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1.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16="http://schemas.microsoft.com/office/drawing/2014/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C48DA" w:rsidR="00DA7B9D" w:rsidP="004B53DF" w:rsidRDefault="00427CB5" w14:paraId="49E4065F" w14:textId="3956712D">
      <w:pPr>
        <w:pStyle w:val="BlockTextSglJ"/>
        <w:spacing w:after="120"/>
        <w:rPr>
          <w:sz w:val="18"/>
          <w:szCs w:val="18"/>
          <w:lang w:val="en-GB"/>
        </w:rPr>
      </w:pPr>
      <w:r w:rsidRPr="009C48DA">
        <w:rPr>
          <w:sz w:val="18"/>
          <w:szCs w:val="18"/>
          <w:lang w:val="en-GB"/>
        </w:rPr>
        <w:t xml:space="preserve">This document comprises a registration document (the </w:t>
      </w:r>
      <w:r w:rsidRPr="009C48DA" w:rsidR="00684D00">
        <w:rPr>
          <w:sz w:val="18"/>
          <w:szCs w:val="18"/>
          <w:lang w:val="en-GB"/>
        </w:rPr>
        <w:t>“</w:t>
      </w:r>
      <w:r w:rsidRPr="009C48DA">
        <w:rPr>
          <w:b/>
          <w:sz w:val="18"/>
          <w:szCs w:val="18"/>
          <w:lang w:val="en-GB"/>
        </w:rPr>
        <w:t>Registration Document</w:t>
      </w:r>
      <w:r w:rsidRPr="009C48DA" w:rsidR="00684D00">
        <w:rPr>
          <w:sz w:val="18"/>
          <w:szCs w:val="18"/>
          <w:lang w:val="en-GB"/>
        </w:rPr>
        <w:t>”</w:t>
      </w:r>
      <w:r w:rsidRPr="009C48DA">
        <w:rPr>
          <w:sz w:val="18"/>
          <w:szCs w:val="18"/>
          <w:lang w:val="en-GB"/>
        </w:rPr>
        <w:t xml:space="preserve">) relating to </w:t>
      </w:r>
      <w:r w:rsidRPr="009C48DA" w:rsidR="00794BFF">
        <w:rPr>
          <w:sz w:val="18"/>
          <w:szCs w:val="18"/>
          <w:lang w:val="en-GB"/>
        </w:rPr>
        <w:t>Atlantic Investments Holdings Limited</w:t>
      </w:r>
      <w:r w:rsidRPr="009C48DA">
        <w:rPr>
          <w:sz w:val="18"/>
          <w:szCs w:val="18"/>
          <w:lang w:val="en-GB"/>
        </w:rPr>
        <w:t xml:space="preserve"> (the </w:t>
      </w:r>
      <w:r w:rsidRPr="009C48DA" w:rsidR="00684D00">
        <w:rPr>
          <w:sz w:val="18"/>
          <w:szCs w:val="18"/>
          <w:lang w:val="en-GB"/>
        </w:rPr>
        <w:t>“</w:t>
      </w:r>
      <w:r w:rsidRPr="009C48DA">
        <w:rPr>
          <w:b/>
          <w:sz w:val="18"/>
          <w:szCs w:val="18"/>
          <w:lang w:val="en-GB"/>
        </w:rPr>
        <w:t>Company</w:t>
      </w:r>
      <w:r w:rsidRPr="009C48DA" w:rsidR="00684D00">
        <w:rPr>
          <w:sz w:val="18"/>
          <w:szCs w:val="18"/>
          <w:lang w:val="en-GB"/>
        </w:rPr>
        <w:t>”</w:t>
      </w:r>
      <w:r w:rsidRPr="009C48DA">
        <w:rPr>
          <w:sz w:val="18"/>
          <w:szCs w:val="18"/>
          <w:lang w:val="en-GB"/>
        </w:rPr>
        <w:t xml:space="preserve"> and</w:t>
      </w:r>
      <w:r w:rsidRPr="009C48DA" w:rsidR="00077E3C">
        <w:rPr>
          <w:sz w:val="18"/>
          <w:szCs w:val="18"/>
          <w:lang w:val="en-GB"/>
        </w:rPr>
        <w:t>,</w:t>
      </w:r>
      <w:r w:rsidRPr="009C48DA">
        <w:rPr>
          <w:sz w:val="18"/>
          <w:szCs w:val="18"/>
          <w:lang w:val="en-GB"/>
        </w:rPr>
        <w:t xml:space="preserve"> </w:t>
      </w:r>
      <w:r w:rsidRPr="009C48DA" w:rsidR="00CE6E74">
        <w:rPr>
          <w:sz w:val="18"/>
          <w:szCs w:val="18"/>
          <w:lang w:val="en-GB"/>
        </w:rPr>
        <w:t xml:space="preserve">together with its subsidiaries, </w:t>
      </w:r>
      <w:r w:rsidRPr="009C48DA">
        <w:rPr>
          <w:sz w:val="18"/>
          <w:szCs w:val="18"/>
          <w:lang w:val="en-GB"/>
        </w:rPr>
        <w:t xml:space="preserve">the </w:t>
      </w:r>
      <w:r w:rsidRPr="009C48DA" w:rsidR="00684D00">
        <w:rPr>
          <w:sz w:val="18"/>
          <w:szCs w:val="18"/>
          <w:lang w:val="en-GB"/>
        </w:rPr>
        <w:t>“</w:t>
      </w:r>
      <w:r w:rsidRPr="009C48DA">
        <w:rPr>
          <w:b/>
          <w:sz w:val="18"/>
          <w:szCs w:val="18"/>
          <w:lang w:val="en-GB"/>
        </w:rPr>
        <w:t>Group</w:t>
      </w:r>
      <w:r w:rsidRPr="009C48DA" w:rsidR="00684D00">
        <w:rPr>
          <w:sz w:val="18"/>
          <w:szCs w:val="18"/>
          <w:lang w:val="en-GB"/>
        </w:rPr>
        <w:t>”</w:t>
      </w:r>
      <w:r w:rsidRPr="009C48DA">
        <w:rPr>
          <w:sz w:val="18"/>
          <w:szCs w:val="18"/>
          <w:lang w:val="en-GB"/>
        </w:rPr>
        <w:t>) p</w:t>
      </w:r>
      <w:r w:rsidRPr="009C48DA" w:rsidR="00722671">
        <w:rPr>
          <w:sz w:val="18"/>
          <w:szCs w:val="18"/>
          <w:lang w:val="en-GB"/>
        </w:rPr>
        <w:t xml:space="preserve">repared in </w:t>
      </w:r>
      <w:r w:rsidRPr="009C48DA" w:rsidR="006F29D6">
        <w:rPr>
          <w:sz w:val="18"/>
          <w:szCs w:val="18"/>
          <w:lang w:val="en-GB"/>
        </w:rPr>
        <w:t>accordance with the Prospectus Regulation R</w:t>
      </w:r>
      <w:r w:rsidRPr="009C48DA">
        <w:rPr>
          <w:sz w:val="18"/>
          <w:szCs w:val="18"/>
          <w:lang w:val="en-GB"/>
        </w:rPr>
        <w:t>ules of the Financial Con</w:t>
      </w:r>
      <w:r w:rsidRPr="009C48DA" w:rsidR="008B5DAC">
        <w:rPr>
          <w:sz w:val="18"/>
          <w:szCs w:val="18"/>
          <w:lang w:val="en-GB"/>
        </w:rPr>
        <w:t xml:space="preserve">duct Authority </w:t>
      </w:r>
      <w:r w:rsidRPr="009C48DA">
        <w:rPr>
          <w:sz w:val="18"/>
          <w:szCs w:val="18"/>
          <w:lang w:val="en-GB"/>
        </w:rPr>
        <w:t>(</w:t>
      </w:r>
      <w:r w:rsidRPr="009C48DA" w:rsidR="008B5DAC">
        <w:rPr>
          <w:sz w:val="18"/>
          <w:szCs w:val="18"/>
          <w:lang w:val="en-GB"/>
        </w:rPr>
        <w:t xml:space="preserve">the </w:t>
      </w:r>
      <w:r w:rsidRPr="009C48DA" w:rsidR="00684D00">
        <w:rPr>
          <w:sz w:val="18"/>
          <w:szCs w:val="18"/>
          <w:lang w:val="en-GB"/>
        </w:rPr>
        <w:t>“</w:t>
      </w:r>
      <w:r w:rsidRPr="009C48DA">
        <w:rPr>
          <w:b/>
          <w:sz w:val="18"/>
          <w:szCs w:val="18"/>
          <w:lang w:val="en-GB"/>
        </w:rPr>
        <w:t>FCA</w:t>
      </w:r>
      <w:r w:rsidRPr="009C48DA" w:rsidR="00684D00">
        <w:rPr>
          <w:sz w:val="18"/>
          <w:szCs w:val="18"/>
          <w:lang w:val="en-GB"/>
        </w:rPr>
        <w:t>”</w:t>
      </w:r>
      <w:r w:rsidRPr="009C48DA">
        <w:rPr>
          <w:sz w:val="18"/>
          <w:szCs w:val="18"/>
          <w:lang w:val="en-GB"/>
        </w:rPr>
        <w:t>) made under section 73A of the Financial Services and Markets Act 2000 (</w:t>
      </w:r>
      <w:r w:rsidRPr="009C48DA" w:rsidR="006F29D6">
        <w:rPr>
          <w:sz w:val="18"/>
          <w:szCs w:val="18"/>
          <w:lang w:val="en-GB"/>
        </w:rPr>
        <w:t xml:space="preserve">as amended, </w:t>
      </w:r>
      <w:r w:rsidRPr="009C48DA" w:rsidR="00684D00">
        <w:rPr>
          <w:sz w:val="18"/>
          <w:szCs w:val="18"/>
          <w:lang w:val="en-GB"/>
        </w:rPr>
        <w:t>“</w:t>
      </w:r>
      <w:r w:rsidRPr="009C48DA">
        <w:rPr>
          <w:b/>
          <w:sz w:val="18"/>
          <w:szCs w:val="18"/>
          <w:lang w:val="en-GB"/>
        </w:rPr>
        <w:t>FSMA</w:t>
      </w:r>
      <w:r w:rsidRPr="009C48DA" w:rsidR="00684D00">
        <w:rPr>
          <w:sz w:val="18"/>
          <w:szCs w:val="18"/>
          <w:lang w:val="en-GB"/>
        </w:rPr>
        <w:t>”</w:t>
      </w:r>
      <w:r w:rsidRPr="009C48DA">
        <w:rPr>
          <w:sz w:val="18"/>
          <w:szCs w:val="18"/>
          <w:lang w:val="en-GB"/>
        </w:rPr>
        <w:t>)</w:t>
      </w:r>
      <w:r w:rsidRPr="009C48DA" w:rsidR="00722671">
        <w:rPr>
          <w:sz w:val="18"/>
          <w:szCs w:val="18"/>
          <w:lang w:val="en-GB"/>
        </w:rPr>
        <w:t xml:space="preserve"> (the </w:t>
      </w:r>
      <w:r w:rsidRPr="009C48DA" w:rsidR="00684D00">
        <w:rPr>
          <w:sz w:val="18"/>
          <w:szCs w:val="18"/>
          <w:lang w:val="en-GB"/>
        </w:rPr>
        <w:t>“</w:t>
      </w:r>
      <w:r w:rsidRPr="009C48DA" w:rsidR="00722671">
        <w:rPr>
          <w:b/>
          <w:sz w:val="18"/>
          <w:szCs w:val="18"/>
          <w:lang w:val="en-GB"/>
        </w:rPr>
        <w:t>Prospectus Regulation Rules</w:t>
      </w:r>
      <w:r w:rsidRPr="009C48DA" w:rsidR="00684D00">
        <w:rPr>
          <w:sz w:val="18"/>
          <w:szCs w:val="18"/>
          <w:lang w:val="en-GB"/>
        </w:rPr>
        <w:t>”</w:t>
      </w:r>
      <w:r w:rsidRPr="009C48DA" w:rsidR="00722671">
        <w:rPr>
          <w:sz w:val="18"/>
          <w:szCs w:val="18"/>
          <w:lang w:val="en-GB"/>
        </w:rPr>
        <w:t>)</w:t>
      </w:r>
      <w:r w:rsidRPr="009C48DA">
        <w:rPr>
          <w:sz w:val="18"/>
          <w:szCs w:val="18"/>
          <w:lang w:val="en-GB"/>
        </w:rPr>
        <w:t xml:space="preserve">. This Registration Document has been </w:t>
      </w:r>
      <w:r w:rsidRPr="009C48DA" w:rsidR="00722671">
        <w:rPr>
          <w:sz w:val="18"/>
          <w:szCs w:val="18"/>
          <w:lang w:val="en-GB"/>
        </w:rPr>
        <w:t xml:space="preserve">filed with and </w:t>
      </w:r>
      <w:r w:rsidRPr="009C48DA">
        <w:rPr>
          <w:sz w:val="18"/>
          <w:szCs w:val="18"/>
          <w:lang w:val="en-GB"/>
        </w:rPr>
        <w:t xml:space="preserve">approved by the FCA </w:t>
      </w:r>
      <w:r w:rsidRPr="009C48DA" w:rsidR="002F479E">
        <w:rPr>
          <w:sz w:val="18"/>
          <w:szCs w:val="18"/>
          <w:lang w:val="en-GB"/>
        </w:rPr>
        <w:t xml:space="preserve">as a competent authority under Regulation (EU) 2017/1129 as it forms part of retained EU law </w:t>
      </w:r>
      <w:r w:rsidRPr="009C48DA" w:rsidR="00843E7C">
        <w:rPr>
          <w:sz w:val="18"/>
          <w:szCs w:val="18"/>
          <w:lang w:val="en-GB"/>
        </w:rPr>
        <w:t>as defined in</w:t>
      </w:r>
      <w:r w:rsidRPr="009C48DA" w:rsidR="00EE49BC">
        <w:rPr>
          <w:sz w:val="18"/>
          <w:szCs w:val="18"/>
          <w:lang w:val="en-GB"/>
        </w:rPr>
        <w:t xml:space="preserve"> </w:t>
      </w:r>
      <w:r w:rsidRPr="009C48DA" w:rsidR="008C441B">
        <w:rPr>
          <w:sz w:val="18"/>
          <w:szCs w:val="18"/>
          <w:lang w:val="en-GB"/>
        </w:rPr>
        <w:t>the E</w:t>
      </w:r>
      <w:r w:rsidRPr="009C48DA" w:rsidR="00722671">
        <w:rPr>
          <w:sz w:val="18"/>
          <w:szCs w:val="18"/>
          <w:lang w:val="en-GB"/>
        </w:rPr>
        <w:t xml:space="preserve">uropean </w:t>
      </w:r>
      <w:r w:rsidRPr="009C48DA" w:rsidR="008C441B">
        <w:rPr>
          <w:sz w:val="18"/>
          <w:szCs w:val="18"/>
          <w:lang w:val="en-GB"/>
        </w:rPr>
        <w:t>U</w:t>
      </w:r>
      <w:r w:rsidRPr="009C48DA" w:rsidR="00722671">
        <w:rPr>
          <w:sz w:val="18"/>
          <w:szCs w:val="18"/>
          <w:lang w:val="en-GB"/>
        </w:rPr>
        <w:t>nion</w:t>
      </w:r>
      <w:r w:rsidRPr="009C48DA" w:rsidR="008C441B">
        <w:rPr>
          <w:sz w:val="18"/>
          <w:szCs w:val="18"/>
          <w:lang w:val="en-GB"/>
        </w:rPr>
        <w:t xml:space="preserve"> (Withdrawal) Act 2018)</w:t>
      </w:r>
      <w:r w:rsidRPr="009C48DA" w:rsidR="004374B1">
        <w:rPr>
          <w:sz w:val="18"/>
          <w:szCs w:val="18"/>
          <w:lang w:val="en-GB"/>
        </w:rPr>
        <w:t xml:space="preserve"> (</w:t>
      </w:r>
      <w:r w:rsidRPr="009C48DA" w:rsidR="00244390">
        <w:rPr>
          <w:sz w:val="18"/>
          <w:szCs w:val="18"/>
          <w:lang w:val="en-GB"/>
        </w:rPr>
        <w:t xml:space="preserve">the </w:t>
      </w:r>
      <w:r w:rsidRPr="009C48DA" w:rsidR="00684D00">
        <w:rPr>
          <w:sz w:val="18"/>
          <w:szCs w:val="18"/>
          <w:lang w:val="en-GB"/>
        </w:rPr>
        <w:t>“</w:t>
      </w:r>
      <w:r w:rsidRPr="009C48DA" w:rsidR="00722671">
        <w:rPr>
          <w:b/>
          <w:sz w:val="18"/>
          <w:szCs w:val="18"/>
          <w:lang w:val="en-GB"/>
        </w:rPr>
        <w:t>UK Prospectus Regulation</w:t>
      </w:r>
      <w:r w:rsidRPr="009C48DA" w:rsidR="00684D00">
        <w:rPr>
          <w:sz w:val="18"/>
          <w:szCs w:val="18"/>
          <w:lang w:val="en-GB"/>
        </w:rPr>
        <w:t>”</w:t>
      </w:r>
      <w:r w:rsidRPr="009C48DA" w:rsidR="00722671">
        <w:rPr>
          <w:sz w:val="18"/>
          <w:szCs w:val="18"/>
          <w:lang w:val="en-GB"/>
        </w:rPr>
        <w:t>)</w:t>
      </w:r>
      <w:r w:rsidRPr="009C48DA" w:rsidR="008C441B">
        <w:rPr>
          <w:sz w:val="18"/>
          <w:szCs w:val="18"/>
          <w:lang w:val="en-GB"/>
        </w:rPr>
        <w:t xml:space="preserve"> </w:t>
      </w:r>
      <w:r w:rsidRPr="009C48DA">
        <w:rPr>
          <w:sz w:val="18"/>
          <w:szCs w:val="18"/>
          <w:lang w:val="en-GB"/>
        </w:rPr>
        <w:t xml:space="preserve">and </w:t>
      </w:r>
      <w:r w:rsidRPr="009C48DA" w:rsidR="002F479E">
        <w:rPr>
          <w:sz w:val="18"/>
          <w:szCs w:val="18"/>
          <w:lang w:val="en-GB"/>
        </w:rPr>
        <w:t xml:space="preserve">has been </w:t>
      </w:r>
      <w:r w:rsidRPr="009C48DA">
        <w:rPr>
          <w:sz w:val="18"/>
          <w:szCs w:val="18"/>
          <w:lang w:val="en-GB"/>
        </w:rPr>
        <w:t>made available to the public as required by Rule 3.2 of the Prospectus Regulation Rules.</w:t>
      </w:r>
      <w:r w:rsidRPr="009C48DA" w:rsidR="008C441B">
        <w:rPr>
          <w:sz w:val="18"/>
          <w:szCs w:val="18"/>
          <w:lang w:val="en-GB"/>
        </w:rPr>
        <w:t xml:space="preserve"> The FCA only approves this Registration Document as meeting the standards of completeness, comprehensibility and consistency imposed by the </w:t>
      </w:r>
      <w:r w:rsidRPr="009C48DA" w:rsidR="00722671">
        <w:rPr>
          <w:sz w:val="18"/>
          <w:szCs w:val="18"/>
          <w:lang w:val="en-GB"/>
        </w:rPr>
        <w:t xml:space="preserve">UK </w:t>
      </w:r>
      <w:r w:rsidRPr="009C48DA" w:rsidR="008C441B">
        <w:rPr>
          <w:sz w:val="18"/>
          <w:szCs w:val="18"/>
          <w:lang w:val="en-GB"/>
        </w:rPr>
        <w:t xml:space="preserve">Prospectus Regulation. Such approval should not be considered as an endorsement of the Company </w:t>
      </w:r>
      <w:r w:rsidRPr="009C48DA" w:rsidR="000244A8">
        <w:rPr>
          <w:sz w:val="18"/>
          <w:szCs w:val="18"/>
          <w:lang w:val="en-GB"/>
        </w:rPr>
        <w:t xml:space="preserve">which </w:t>
      </w:r>
      <w:r w:rsidRPr="009C48DA" w:rsidR="008C441B">
        <w:rPr>
          <w:sz w:val="18"/>
          <w:szCs w:val="18"/>
          <w:lang w:val="en-GB"/>
        </w:rPr>
        <w:t>is the subject of this Registration Document</w:t>
      </w:r>
      <w:r w:rsidRPr="009C48DA" w:rsidR="001E74E5">
        <w:rPr>
          <w:sz w:val="18"/>
          <w:szCs w:val="18"/>
          <w:lang w:val="en-GB"/>
        </w:rPr>
        <w:t xml:space="preserve">. </w:t>
      </w:r>
    </w:p>
    <w:p w:rsidRPr="009C48DA" w:rsidR="00DA7B9D" w:rsidP="004B53DF" w:rsidRDefault="00427CB5" w14:paraId="4BD557FB" w14:textId="4F4ACD2E">
      <w:pPr>
        <w:pStyle w:val="BlockTextSglJ"/>
        <w:spacing w:after="120"/>
        <w:rPr>
          <w:b/>
          <w:sz w:val="18"/>
          <w:szCs w:val="18"/>
          <w:lang w:val="en-GB"/>
        </w:rPr>
      </w:pPr>
      <w:r w:rsidRPr="009C48DA">
        <w:rPr>
          <w:b/>
          <w:sz w:val="18"/>
          <w:szCs w:val="18"/>
          <w:lang w:val="en-GB"/>
        </w:rPr>
        <w:t>The directors of the Compan</w:t>
      </w:r>
      <w:r w:rsidRPr="009C48DA" w:rsidR="000D41A5">
        <w:rPr>
          <w:b/>
          <w:sz w:val="18"/>
          <w:szCs w:val="18"/>
          <w:lang w:val="en-GB"/>
        </w:rPr>
        <w:t xml:space="preserve">y, whose names appear on page </w:t>
      </w:r>
      <w:r w:rsidRPr="009C48DA" w:rsidR="00F002B3">
        <w:rPr>
          <w:rFonts w:eastAsia="Times New Roman" w:cs="Times New Roman"/>
          <w:b/>
          <w:sz w:val="18"/>
          <w:szCs w:val="18"/>
          <w:lang w:val="en-GB"/>
        </w:rPr>
        <w:fldChar w:fldCharType="begin"/>
      </w:r>
      <w:r w:rsidRPr="009C48DA" w:rsidR="00F002B3">
        <w:rPr>
          <w:b/>
          <w:sz w:val="18"/>
          <w:szCs w:val="18"/>
          <w:lang w:val="en-GB"/>
        </w:rPr>
        <w:instrText xml:space="preserve"> PAGEREF _Ref75308190 \h </w:instrText>
      </w:r>
      <w:r w:rsidRPr="009C48DA" w:rsidR="00F002B3">
        <w:rPr>
          <w:rFonts w:eastAsia="Times New Roman" w:cs="Times New Roman"/>
          <w:b/>
          <w:sz w:val="18"/>
          <w:szCs w:val="18"/>
          <w:lang w:val="en-GB"/>
        </w:rPr>
      </w:r>
      <w:r w:rsidRPr="009C48DA" w:rsidR="00F002B3">
        <w:rPr>
          <w:rFonts w:eastAsia="Times New Roman" w:cs="Times New Roman"/>
          <w:b/>
          <w:sz w:val="18"/>
          <w:szCs w:val="18"/>
          <w:lang w:val="en-GB"/>
        </w:rPr>
        <w:fldChar w:fldCharType="separate"/>
      </w:r>
      <w:r w:rsidR="007C3D19">
        <w:rPr>
          <w:b/>
          <w:noProof/>
          <w:sz w:val="18"/>
          <w:szCs w:val="18"/>
          <w:lang w:val="en-GB"/>
        </w:rPr>
        <w:t>2</w:t>
      </w:r>
      <w:r w:rsidRPr="009C48DA" w:rsidR="00F002B3">
        <w:rPr>
          <w:rFonts w:eastAsia="Times New Roman" w:cs="Times New Roman"/>
          <w:b/>
          <w:sz w:val="18"/>
          <w:szCs w:val="18"/>
          <w:lang w:val="en-GB"/>
        </w:rPr>
        <w:fldChar w:fldCharType="end"/>
      </w:r>
      <w:r w:rsidRPr="009C48DA">
        <w:rPr>
          <w:b/>
          <w:sz w:val="18"/>
          <w:szCs w:val="18"/>
          <w:lang w:val="en-GB"/>
        </w:rPr>
        <w:t xml:space="preserve"> </w:t>
      </w:r>
      <w:r w:rsidRPr="009C48DA" w:rsidR="00244390">
        <w:rPr>
          <w:b/>
          <w:sz w:val="18"/>
          <w:szCs w:val="18"/>
          <w:lang w:val="en-GB"/>
        </w:rPr>
        <w:t>of this Registration Document</w:t>
      </w:r>
      <w:r w:rsidRPr="009C48DA" w:rsidR="00AE0991">
        <w:rPr>
          <w:b/>
          <w:sz w:val="18"/>
          <w:szCs w:val="18"/>
          <w:lang w:val="en-GB"/>
        </w:rPr>
        <w:t xml:space="preserve"> </w:t>
      </w:r>
      <w:r w:rsidRPr="009C48DA">
        <w:rPr>
          <w:b/>
          <w:sz w:val="18"/>
          <w:szCs w:val="18"/>
          <w:lang w:val="en-GB"/>
        </w:rPr>
        <w:t xml:space="preserve">(the </w:t>
      </w:r>
      <w:r w:rsidRPr="009C48DA" w:rsidR="00684D00">
        <w:rPr>
          <w:b/>
          <w:sz w:val="18"/>
          <w:szCs w:val="18"/>
          <w:lang w:val="en-GB"/>
        </w:rPr>
        <w:t>“</w:t>
      </w:r>
      <w:r w:rsidRPr="009C48DA">
        <w:rPr>
          <w:b/>
          <w:sz w:val="18"/>
          <w:szCs w:val="18"/>
          <w:lang w:val="en-GB"/>
        </w:rPr>
        <w:t>Directors</w:t>
      </w:r>
      <w:r w:rsidRPr="009C48DA" w:rsidR="00684D00">
        <w:rPr>
          <w:b/>
          <w:sz w:val="18"/>
          <w:szCs w:val="18"/>
          <w:lang w:val="en-GB"/>
        </w:rPr>
        <w:t>”</w:t>
      </w:r>
      <w:r w:rsidRPr="009C48DA">
        <w:rPr>
          <w:b/>
          <w:sz w:val="18"/>
          <w:szCs w:val="18"/>
          <w:lang w:val="en-GB"/>
        </w:rPr>
        <w:t xml:space="preserve">), and the Company accept responsibility for the information contained in this Registration Document. To the best </w:t>
      </w:r>
      <w:r w:rsidRPr="009C48DA" w:rsidR="009854B2">
        <w:rPr>
          <w:b/>
          <w:sz w:val="18"/>
          <w:szCs w:val="18"/>
          <w:lang w:val="en-GB"/>
        </w:rPr>
        <w:t xml:space="preserve">of the </w:t>
      </w:r>
      <w:r w:rsidRPr="009C48DA">
        <w:rPr>
          <w:b/>
          <w:sz w:val="18"/>
          <w:szCs w:val="18"/>
          <w:lang w:val="en-GB"/>
        </w:rPr>
        <w:t>knowledge of the Directors and the Company, the information contained in this Registration Document is in accordance with the facts and the Registration Document makes no omission likely to affect its import.</w:t>
      </w:r>
    </w:p>
    <w:p w:rsidRPr="009C48DA" w:rsidR="00DA7B9D" w:rsidP="00D01706" w:rsidRDefault="00427CB5" w14:paraId="529D207C" w14:textId="26170E49">
      <w:pPr>
        <w:pStyle w:val="BlockTextSglJ"/>
        <w:spacing w:after="120"/>
        <w:rPr>
          <w:sz w:val="18"/>
          <w:szCs w:val="18"/>
          <w:lang w:val="en-GB"/>
        </w:rPr>
      </w:pPr>
      <w:r w:rsidRPr="009C48DA">
        <w:rPr>
          <w:sz w:val="18"/>
          <w:szCs w:val="18"/>
          <w:lang w:val="en-GB"/>
        </w:rPr>
        <w:t xml:space="preserve">This Registration Document should be read in its entirety. See </w:t>
      </w:r>
      <w:r w:rsidRPr="009C48DA" w:rsidR="00B8128D">
        <w:rPr>
          <w:sz w:val="18"/>
          <w:szCs w:val="18"/>
          <w:lang w:val="en-GB"/>
        </w:rPr>
      </w:r>
      <w:r w:rsidR="007C3D19">
        <w:rPr>
          <w:sz w:val="18"/>
          <w:szCs w:val="18"/>
          <w:lang w:val="en-GB"/>
        </w:rPr>
        <w:t>Part I</w:t>
      </w:r>
      <w:r w:rsidRPr="009C48DA">
        <w:rPr>
          <w:sz w:val="18"/>
          <w:szCs w:val="18"/>
          <w:lang w:val="en-GB"/>
        </w:rPr>
        <w:t xml:space="preserve"> (</w:t>
      </w:r>
      <w:r w:rsidRPr="009C48DA" w:rsidR="00F172AB">
        <w:rPr>
          <w:i/>
          <w:sz w:val="18"/>
          <w:szCs w:val="18"/>
          <w:lang w:val="en-GB"/>
        </w:rPr>
        <w:fldChar w:fldCharType="begin"/>
      </w:r>
      <w:r w:rsidRPr="009C48DA" w:rsidR="00F172AB">
        <w:rPr>
          <w:i/>
          <w:sz w:val="18"/>
          <w:szCs w:val="18"/>
          <w:lang w:val="en-GB"/>
        </w:rPr>
        <w:instrText xml:space="preserve"> REF _Ref75190583 \h  \* MERGEFORMAT </w:instrText>
      </w:r>
      <w:r w:rsidRPr="009C48DA" w:rsidR="00F172AB">
        <w:rPr>
          <w:i/>
          <w:sz w:val="18"/>
          <w:szCs w:val="18"/>
          <w:lang w:val="en-GB"/>
        </w:rPr>
      </w:r>
      <w:r w:rsidRPr="009C48DA" w:rsidR="00F172AB">
        <w:rPr>
          <w:i/>
          <w:sz w:val="18"/>
          <w:szCs w:val="18"/>
          <w:lang w:val="en-GB"/>
        </w:rPr>
        <w:fldChar w:fldCharType="separate"/>
      </w:r>
      <w:r w:rsidRPr="007C3D19" w:rsidR="007C3D19">
        <w:rPr>
          <w:i/>
          <w:sz w:val="18"/>
          <w:szCs w:val="18"/>
          <w:lang w:val="en-GB"/>
        </w:rPr>
        <w:t>Risk Factors</w:t>
      </w:r>
      <w:r w:rsidRPr="009C48DA" w:rsidR="00F172AB">
        <w:rPr>
          <w:i/>
          <w:sz w:val="18"/>
          <w:szCs w:val="18"/>
          <w:lang w:val="en-GB"/>
        </w:rPr>
        <w:fldChar w:fldCharType="end"/>
      </w:r>
      <w:r w:rsidRPr="009C48DA">
        <w:rPr>
          <w:sz w:val="18"/>
          <w:szCs w:val="18"/>
          <w:lang w:val="en-GB"/>
        </w:rPr>
        <w:t xml:space="preserve">) for a discussion of </w:t>
      </w:r>
      <w:r w:rsidRPr="009C48DA" w:rsidR="00F13459">
        <w:rPr>
          <w:sz w:val="18"/>
          <w:szCs w:val="18"/>
          <w:lang w:val="en-GB"/>
        </w:rPr>
        <w:t>ce</w:t>
      </w:r>
      <w:r w:rsidRPr="009C48DA" w:rsidR="00CE6E74">
        <w:rPr>
          <w:sz w:val="18"/>
          <w:szCs w:val="18"/>
          <w:lang w:val="en-GB"/>
        </w:rPr>
        <w:t>rtain risks relating to the Group</w:t>
      </w:r>
      <w:r w:rsidRPr="009C48DA">
        <w:rPr>
          <w:sz w:val="18"/>
          <w:szCs w:val="18"/>
          <w:lang w:val="en-GB"/>
        </w:rPr>
        <w:t>.</w:t>
      </w:r>
    </w:p>
    <w:p w:rsidRPr="009C48DA" w:rsidR="009222EE" w:rsidRDefault="00D01706" w14:paraId="4554A25A" w14:textId="07260EAC">
      <w:pPr>
        <w:pBdr>
          <w:top w:val="single" w:color="auto" w:sz="4" w:space="1"/>
          <w:bottom w:val="single" w:color="auto" w:sz="4" w:space="1"/>
        </w:pBdr>
        <w:spacing w:after="240"/>
        <w:jc w:val="center"/>
        <w:textAlignment w:val="baseline"/>
        <w:rPr>
          <w:sz w:val="19"/>
          <w:szCs w:val="19"/>
          <w:lang w:val="en-GB" w:eastAsia="en-GB"/>
        </w:rPr>
      </w:pPr>
      <w:r w:rsidRPr="009C48DA">
        <w:rPr>
          <w:sz w:val="19"/>
          <w:szCs w:val="19"/>
          <w:lang w:val="en-GB" w:eastAsia="en-GB"/>
        </w:rPr>
        <w:br/>
      </w:r>
      <w:r w:rsidRPr="009C48DA" w:rsidR="00A93473">
        <w:rPr>
          <w:noProof/>
        </w:rPr>
        <w:drawing>
          <wp:inline distT="0" distB="0" distL="0" distR="0" wp14:anchorId="5A0D991A" wp14:editId="56B75243">
            <wp:extent cx="1177755" cy="1181100"/>
            <wp:effectExtent l="0" t="0" r="3810" b="0"/>
            <wp:docPr id="5" name="Picture 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9941" cy="1203349"/>
                    </a:xfrm>
                    <a:prstGeom prst="rect">
                      <a:avLst/>
                    </a:prstGeom>
                  </pic:spPr>
                </pic:pic>
              </a:graphicData>
            </a:graphic>
          </wp:inline>
        </w:drawing>
      </w:r>
    </w:p>
    <w:p w:rsidRPr="009C48DA" w:rsidR="00DA7B9D" w:rsidRDefault="00794BFF" w14:paraId="17D88D8E" w14:textId="2B113202">
      <w:pPr>
        <w:pBdr>
          <w:top w:val="single" w:color="auto" w:sz="4" w:space="1"/>
          <w:bottom w:val="single" w:color="auto" w:sz="4" w:space="1"/>
        </w:pBdr>
        <w:spacing w:after="240"/>
        <w:jc w:val="center"/>
        <w:textAlignment w:val="baseline"/>
        <w:rPr>
          <w:b/>
          <w:szCs w:val="22"/>
          <w:lang w:val="en-GB" w:eastAsia="en-GB"/>
        </w:rPr>
      </w:pPr>
      <w:r w:rsidRPr="009C48DA">
        <w:rPr>
          <w:b/>
          <w:szCs w:val="22"/>
          <w:lang w:val="en-GB" w:eastAsia="en-GB"/>
        </w:rPr>
        <w:t>Atlantic Investments Holdings Limited</w:t>
      </w:r>
    </w:p>
    <w:p w:rsidRPr="009C48DA" w:rsidR="00DA7B9D" w:rsidRDefault="00E60F9E" w14:paraId="522A290C" w14:textId="5C61241F">
      <w:pPr>
        <w:pBdr>
          <w:top w:val="single" w:color="auto" w:sz="4" w:space="1"/>
          <w:bottom w:val="single" w:color="auto" w:sz="4" w:space="1"/>
        </w:pBdr>
        <w:spacing w:after="240"/>
        <w:jc w:val="center"/>
        <w:textAlignment w:val="baseline"/>
        <w:rPr>
          <w:color w:val="000000"/>
          <w:sz w:val="18"/>
          <w:szCs w:val="18"/>
          <w:lang w:val="en-GB"/>
        </w:rPr>
      </w:pPr>
      <w:r w:rsidRPr="009C48DA">
        <w:rPr>
          <w:sz w:val="18"/>
          <w:szCs w:val="18"/>
          <w:lang w:val="en-GB" w:eastAsia="en-GB"/>
        </w:rPr>
        <w:t xml:space="preserve">(incorporated </w:t>
      </w:r>
      <w:r w:rsidRPr="009C48DA" w:rsidR="004374B1">
        <w:rPr>
          <w:sz w:val="18"/>
          <w:szCs w:val="18"/>
          <w:lang w:val="en-GB" w:eastAsia="en-GB"/>
        </w:rPr>
        <w:t xml:space="preserve">in England and Wales </w:t>
      </w:r>
      <w:r w:rsidRPr="009C48DA">
        <w:rPr>
          <w:sz w:val="18"/>
          <w:szCs w:val="18"/>
          <w:lang w:val="en-GB" w:eastAsia="en-GB"/>
        </w:rPr>
        <w:t xml:space="preserve">under </w:t>
      </w:r>
      <w:r w:rsidRPr="009C48DA" w:rsidR="00646E6E">
        <w:rPr>
          <w:sz w:val="18"/>
          <w:szCs w:val="18"/>
          <w:lang w:val="en-GB" w:eastAsia="en-GB"/>
        </w:rPr>
        <w:t>the Companies Act 2006</w:t>
      </w:r>
      <w:r w:rsidRPr="009C48DA">
        <w:rPr>
          <w:sz w:val="18"/>
          <w:szCs w:val="18"/>
          <w:lang w:val="en-GB" w:eastAsia="en-GB"/>
        </w:rPr>
        <w:t xml:space="preserve"> with registered number </w:t>
      </w:r>
      <w:r w:rsidRPr="009C48DA" w:rsidR="00646E6E">
        <w:rPr>
          <w:sz w:val="18"/>
          <w:szCs w:val="18"/>
          <w:lang w:val="en-GB" w:eastAsia="en-GB"/>
        </w:rPr>
        <w:t>11443992</w:t>
      </w:r>
      <w:r w:rsidRPr="009C48DA">
        <w:rPr>
          <w:sz w:val="18"/>
          <w:szCs w:val="18"/>
          <w:lang w:val="en-GB" w:eastAsia="en-GB"/>
        </w:rPr>
        <w:t>)</w:t>
      </w:r>
      <w:r w:rsidRPr="009C48DA" w:rsidR="00D01706">
        <w:rPr>
          <w:sz w:val="18"/>
          <w:szCs w:val="18"/>
          <w:lang w:val="en-GB" w:eastAsia="en-GB"/>
        </w:rPr>
        <w:br/>
      </w:r>
    </w:p>
    <w:p w:rsidRPr="009C48DA" w:rsidR="00DA7B9D" w:rsidP="00D01706" w:rsidRDefault="00427CB5" w14:paraId="36758ECC" w14:textId="5B216F8D">
      <w:pPr>
        <w:pStyle w:val="BlockTextSglJ"/>
        <w:spacing w:after="120"/>
        <w:rPr>
          <w:sz w:val="18"/>
          <w:szCs w:val="18"/>
          <w:lang w:val="en-GB"/>
        </w:rPr>
      </w:pPr>
      <w:r w:rsidRPr="009C48DA">
        <w:rPr>
          <w:sz w:val="18"/>
          <w:szCs w:val="18"/>
          <w:lang w:val="en-GB"/>
        </w:rPr>
        <w:t>No representation or warranty, express or implied, is made and no responsibility or liability is accepted by any person other than the Company and its Directors as to the accuracy, completeness, verification or sufficiency of the information contained herein and nothing contained in this Registration Document is, or shall be relied upon as, a promise or r</w:t>
      </w:r>
      <w:r w:rsidRPr="009C48DA" w:rsidR="00BC4057">
        <w:rPr>
          <w:sz w:val="18"/>
          <w:szCs w:val="18"/>
          <w:lang w:val="en-GB"/>
        </w:rPr>
        <w:t xml:space="preserve">epresentation by any of </w:t>
      </w:r>
      <w:r w:rsidRPr="009C48DA" w:rsidR="00CE6E74">
        <w:rPr>
          <w:sz w:val="18"/>
          <w:szCs w:val="18"/>
          <w:lang w:val="en-GB"/>
        </w:rPr>
        <w:t>the Group</w:t>
      </w:r>
      <w:r w:rsidRPr="009C48DA" w:rsidR="00BC4057">
        <w:rPr>
          <w:sz w:val="18"/>
          <w:szCs w:val="18"/>
          <w:lang w:val="en-GB"/>
        </w:rPr>
        <w:t>’s</w:t>
      </w:r>
      <w:r w:rsidRPr="009C48DA">
        <w:rPr>
          <w:sz w:val="18"/>
          <w:szCs w:val="18"/>
          <w:lang w:val="en-GB"/>
        </w:rPr>
        <w:t xml:space="preserve"> advisers or any of their respective affiliates as to the past, present or future. The delivery of this Registration Document shall not, under any circumstances, create any implication that there has been no change in the business or affairs of the </w:t>
      </w:r>
      <w:r w:rsidRPr="009C48DA" w:rsidR="00843E7C">
        <w:rPr>
          <w:sz w:val="18"/>
          <w:szCs w:val="18"/>
          <w:lang w:val="en-GB"/>
        </w:rPr>
        <w:t>Group</w:t>
      </w:r>
      <w:r w:rsidRPr="009C48DA">
        <w:rPr>
          <w:sz w:val="18"/>
          <w:szCs w:val="18"/>
          <w:lang w:val="en-GB"/>
        </w:rPr>
        <w:t xml:space="preserve"> since the date of this Registration Document or that the information contained herein is correct as of any time subsequent to its date. No person is or has been authorised to give any information or to make any representation not contained in or not consistent with this Registration Document and, if given or made, such information or representation must not be relied upon as having been authorised by </w:t>
      </w:r>
      <w:r w:rsidRPr="009C48DA" w:rsidR="00843E7C">
        <w:rPr>
          <w:sz w:val="18"/>
          <w:szCs w:val="18"/>
          <w:lang w:val="en-GB"/>
        </w:rPr>
        <w:t xml:space="preserve">or on behalf of </w:t>
      </w:r>
      <w:r w:rsidRPr="009C48DA">
        <w:rPr>
          <w:sz w:val="18"/>
          <w:szCs w:val="18"/>
          <w:lang w:val="en-GB"/>
        </w:rPr>
        <w:t>the Company</w:t>
      </w:r>
      <w:r w:rsidRPr="009C48DA" w:rsidR="00843E7C">
        <w:rPr>
          <w:sz w:val="18"/>
          <w:szCs w:val="18"/>
          <w:lang w:val="en-GB"/>
        </w:rPr>
        <w:t xml:space="preserve"> or the Directors</w:t>
      </w:r>
      <w:r w:rsidRPr="009C48DA">
        <w:rPr>
          <w:sz w:val="18"/>
          <w:szCs w:val="18"/>
          <w:lang w:val="en-GB"/>
        </w:rPr>
        <w:t>. Without limitation, the c</w:t>
      </w:r>
      <w:r w:rsidRPr="009C48DA" w:rsidR="00CE6E74">
        <w:rPr>
          <w:sz w:val="18"/>
          <w:szCs w:val="18"/>
          <w:lang w:val="en-GB"/>
        </w:rPr>
        <w:t xml:space="preserve">ontents of </w:t>
      </w:r>
      <w:r w:rsidRPr="009C48DA" w:rsidR="00843E7C">
        <w:rPr>
          <w:sz w:val="18"/>
          <w:szCs w:val="18"/>
          <w:lang w:val="en-GB"/>
        </w:rPr>
        <w:t>the Group’s w</w:t>
      </w:r>
      <w:r w:rsidRPr="009C48DA" w:rsidR="00CE6E74">
        <w:rPr>
          <w:sz w:val="18"/>
          <w:szCs w:val="18"/>
          <w:lang w:val="en-GB"/>
        </w:rPr>
        <w:t xml:space="preserve">ebsite </w:t>
      </w:r>
      <w:r w:rsidRPr="009C48DA">
        <w:rPr>
          <w:sz w:val="18"/>
          <w:szCs w:val="18"/>
          <w:lang w:val="en-GB"/>
        </w:rPr>
        <w:t>do not form part of this Registration Document and information contained therein should not be relied upon by any person.</w:t>
      </w:r>
    </w:p>
    <w:p w:rsidRPr="009C48DA" w:rsidR="00DA7B9D" w:rsidP="00D01706" w:rsidRDefault="00FF4A6C" w14:paraId="56F3EEFE" w14:textId="3AC64020">
      <w:pPr>
        <w:pStyle w:val="BlockTextSglJ"/>
        <w:spacing w:after="120"/>
        <w:rPr>
          <w:sz w:val="18"/>
          <w:szCs w:val="18"/>
          <w:lang w:val="en-GB"/>
        </w:rPr>
      </w:pPr>
      <w:r w:rsidRPr="009C48DA">
        <w:rPr>
          <w:sz w:val="18"/>
          <w:szCs w:val="18"/>
          <w:lang w:val="en-GB"/>
        </w:rPr>
        <w:t xml:space="preserve">This Registration Document has been prepared in light of a potential application to admission to trading on a regulated market being under consideration. </w:t>
      </w:r>
      <w:r w:rsidRPr="009C48DA" w:rsidR="00427CB5">
        <w:rPr>
          <w:sz w:val="18"/>
          <w:szCs w:val="18"/>
          <w:lang w:val="en-GB"/>
        </w:rPr>
        <w:t xml:space="preserve">This Registration Document may be combined with a securities note and summary to form a prospectus in accordance with the Prospectus Regulation Rules, under which a securities offering may be made in the future. </w:t>
      </w:r>
      <w:r w:rsidRPr="009C48DA" w:rsidR="00E06A87">
        <w:rPr>
          <w:sz w:val="18"/>
          <w:szCs w:val="18"/>
          <w:lang w:val="en-GB"/>
        </w:rPr>
        <w:t xml:space="preserve">A prospectus is required before an issuer can offer transferable securities to the public or request the admission of transferable securities to trading on a regulated market. </w:t>
      </w:r>
      <w:r w:rsidRPr="009C48DA" w:rsidR="00427CB5">
        <w:rPr>
          <w:sz w:val="18"/>
          <w:szCs w:val="18"/>
          <w:lang w:val="en-GB"/>
        </w:rPr>
        <w:t xml:space="preserve">However, this Registration Document, where not combined with a securities note and summary to form a prospectus, does not constitute an offer or invitation to sell or issue, or a solicitation of an offer or invitation to purchase or subscribe for, any securities in the Company in any jurisdiction, nor shall </w:t>
      </w:r>
      <w:r w:rsidRPr="009C48DA" w:rsidR="00E06A87">
        <w:rPr>
          <w:sz w:val="18"/>
          <w:szCs w:val="18"/>
          <w:lang w:val="en-GB"/>
        </w:rPr>
        <w:t xml:space="preserve">this Registration Document alone </w:t>
      </w:r>
      <w:r w:rsidRPr="009C48DA" w:rsidR="00427CB5">
        <w:rPr>
          <w:sz w:val="18"/>
          <w:szCs w:val="18"/>
          <w:lang w:val="en-GB"/>
        </w:rPr>
        <w:t>(or any part of it), or the fact of its distribution, form the basis of, or be relied upon in connection with, or act as any inducement to enter into, any contract or commitment whatsoever with respect to any offer or otherwise.</w:t>
      </w:r>
    </w:p>
    <w:p w:rsidRPr="009C48DA" w:rsidR="00DA7B9D" w:rsidP="00D01706" w:rsidRDefault="00427CB5" w14:paraId="672459AB" w14:textId="244BA87C">
      <w:pPr>
        <w:pStyle w:val="BlockTextSglJ"/>
        <w:spacing w:after="120"/>
        <w:rPr>
          <w:sz w:val="18"/>
          <w:szCs w:val="18"/>
          <w:lang w:val="en-GB"/>
        </w:rPr>
      </w:pPr>
      <w:r w:rsidRPr="009C48DA">
        <w:rPr>
          <w:sz w:val="18"/>
          <w:szCs w:val="18"/>
          <w:lang w:val="en-GB"/>
        </w:rPr>
        <w:t xml:space="preserve">The distribution of this Registration Document in certain jurisdictions may be restricted by law. No action has been taken by the Company to permit possession or distribution of this Registration Document in any jurisdiction where action for that purpose may be required or doing so is restricted by law. Persons into whose possession this Registration Document comes are required by the Company to inform themselves about and observe any such restrictions. In the United States, this Registration Document may not be distributed nor may copies of it be made available without the Company’s prior written consent other than to people who have been retained to advise in connection with this Registration Document or persons reasonably believed by the Company to be </w:t>
      </w:r>
      <w:r w:rsidRPr="009C48DA" w:rsidR="00684D00">
        <w:rPr>
          <w:sz w:val="18"/>
          <w:szCs w:val="18"/>
          <w:lang w:val="en-GB"/>
        </w:rPr>
        <w:t>“</w:t>
      </w:r>
      <w:r w:rsidRPr="009C48DA">
        <w:rPr>
          <w:sz w:val="18"/>
          <w:szCs w:val="18"/>
          <w:lang w:val="en-GB"/>
        </w:rPr>
        <w:t>qualified institutional buyers</w:t>
      </w:r>
      <w:r w:rsidRPr="009C48DA" w:rsidR="00684D00">
        <w:rPr>
          <w:sz w:val="18"/>
          <w:szCs w:val="18"/>
          <w:lang w:val="en-GB"/>
        </w:rPr>
        <w:t>”</w:t>
      </w:r>
      <w:r w:rsidRPr="009C48DA">
        <w:rPr>
          <w:sz w:val="18"/>
          <w:szCs w:val="18"/>
          <w:lang w:val="en-GB"/>
        </w:rPr>
        <w:t xml:space="preserve"> as defined in and pursuant to Rule 144A of the United States Securities Act of 1933, as amended (the </w:t>
      </w:r>
      <w:r w:rsidRPr="009C48DA" w:rsidR="00684D00">
        <w:rPr>
          <w:sz w:val="18"/>
          <w:szCs w:val="18"/>
          <w:lang w:val="en-GB"/>
        </w:rPr>
        <w:t>“</w:t>
      </w:r>
      <w:r w:rsidRPr="009C48DA">
        <w:rPr>
          <w:b/>
          <w:sz w:val="18"/>
          <w:szCs w:val="18"/>
          <w:lang w:val="en-GB"/>
        </w:rPr>
        <w:t>U.S. Securities Act</w:t>
      </w:r>
      <w:r w:rsidRPr="009C48DA" w:rsidR="00684D00">
        <w:rPr>
          <w:sz w:val="18"/>
          <w:szCs w:val="18"/>
          <w:lang w:val="en-GB"/>
        </w:rPr>
        <w:t>”</w:t>
      </w:r>
      <w:r w:rsidRPr="009C48DA">
        <w:rPr>
          <w:sz w:val="18"/>
          <w:szCs w:val="18"/>
          <w:lang w:val="en-GB"/>
        </w:rPr>
        <w:t>).</w:t>
      </w:r>
    </w:p>
    <w:p w:rsidRPr="009C48DA" w:rsidR="00DA7B9D" w:rsidP="00D01706" w:rsidRDefault="00427CB5" w14:paraId="7890D553" w14:textId="7E1A524C">
      <w:pPr>
        <w:pStyle w:val="BlockTextSglJ"/>
        <w:spacing w:after="120"/>
        <w:rPr>
          <w:sz w:val="18"/>
          <w:szCs w:val="18"/>
          <w:lang w:val="en-GB"/>
        </w:rPr>
      </w:pPr>
      <w:r w:rsidRPr="009C48DA">
        <w:rPr>
          <w:sz w:val="18"/>
          <w:szCs w:val="18"/>
          <w:lang w:val="en-GB"/>
        </w:rPr>
        <w:t xml:space="preserve">The contents of this Registration Document are not to be construed as legal, financial or tax advice. Each recipient of this Registration Document should consult </w:t>
      </w:r>
      <w:r w:rsidRPr="009C48DA" w:rsidR="00B60A44">
        <w:rPr>
          <w:sz w:val="18"/>
          <w:szCs w:val="18"/>
          <w:lang w:val="en-GB"/>
        </w:rPr>
        <w:t>their</w:t>
      </w:r>
      <w:r w:rsidRPr="009C48DA">
        <w:rPr>
          <w:sz w:val="18"/>
          <w:szCs w:val="18"/>
          <w:lang w:val="en-GB"/>
        </w:rPr>
        <w:t xml:space="preserve"> own legal, financial or tax adviser for advice.</w:t>
      </w:r>
    </w:p>
    <w:p w:rsidRPr="009C48DA" w:rsidR="008C441B" w:rsidP="00D01706" w:rsidRDefault="00427CB5" w14:paraId="6754DA0B" w14:textId="5C6694A2">
      <w:pPr>
        <w:pStyle w:val="BlockTextSglJ"/>
        <w:spacing w:after="120"/>
        <w:rPr>
          <w:sz w:val="18"/>
          <w:szCs w:val="18"/>
          <w:lang w:val="en-GB"/>
        </w:rPr>
      </w:pPr>
      <w:r w:rsidRPr="009C48DA">
        <w:rPr>
          <w:sz w:val="18"/>
          <w:szCs w:val="18"/>
          <w:lang w:val="en-GB"/>
        </w:rPr>
        <w:t xml:space="preserve">Certain terms used in this Registration </w:t>
      </w:r>
      <w:r w:rsidRPr="009C48DA" w:rsidR="00F04F82">
        <w:rPr>
          <w:sz w:val="18"/>
          <w:szCs w:val="18"/>
          <w:lang w:val="en-GB"/>
        </w:rPr>
        <w:t xml:space="preserve">Document are defined in </w:t>
      </w:r>
      <w:r w:rsidRPr="009C48DA" w:rsidR="008058C8">
        <w:rPr>
          <w:sz w:val="18"/>
          <w:szCs w:val="18"/>
          <w:lang w:val="en-GB"/>
        </w:rPr>
        <w:fldChar w:fldCharType="begin"/>
      </w:r>
      <w:r w:rsidRPr="009C48DA" w:rsidR="008058C8">
        <w:rPr>
          <w:sz w:val="18"/>
          <w:szCs w:val="18"/>
          <w:lang w:val="en-GB"/>
        </w:rPr>
        <w:instrText xml:space="preserve"> REF _Ref71145980 \n \h </w:instrText>
      </w:r>
      <w:r w:rsidRPr="009C48DA" w:rsidR="004B53DF">
        <w:rPr>
          <w:sz w:val="18"/>
          <w:szCs w:val="18"/>
          <w:lang w:val="en-GB"/>
        </w:rPr>
        <w:instrText xml:space="preserve"> \* MERGEFORMAT </w:instrText>
      </w:r>
      <w:r w:rsidRPr="009C48DA" w:rsidR="008058C8">
        <w:rPr>
          <w:sz w:val="18"/>
          <w:szCs w:val="18"/>
          <w:lang w:val="en-GB"/>
        </w:rPr>
      </w:r>
      <w:r w:rsidRPr="009C48DA" w:rsidR="008058C8">
        <w:rPr>
          <w:sz w:val="18"/>
          <w:szCs w:val="18"/>
          <w:lang w:val="en-GB"/>
        </w:rPr>
        <w:fldChar w:fldCharType="separate"/>
      </w:r>
      <w:r w:rsidR="007C3D19">
        <w:rPr>
          <w:sz w:val="18"/>
          <w:szCs w:val="18"/>
          <w:lang w:val="en-GB"/>
        </w:rPr>
        <w:t>Part XII</w:t>
      </w:r>
      <w:r w:rsidRPr="009C48DA" w:rsidR="008058C8">
        <w:rPr>
          <w:sz w:val="18"/>
          <w:szCs w:val="18"/>
          <w:lang w:val="en-GB"/>
        </w:rPr>
        <w:fldChar w:fldCharType="end"/>
      </w:r>
      <w:r w:rsidRPr="009C48DA">
        <w:rPr>
          <w:sz w:val="18"/>
          <w:szCs w:val="18"/>
          <w:lang w:val="en-GB"/>
        </w:rPr>
        <w:t xml:space="preserve"> (</w:t>
      </w:r>
      <w:r w:rsidRPr="009C48DA" w:rsidR="00EE57B9">
        <w:rPr>
          <w:i/>
          <w:sz w:val="18"/>
          <w:szCs w:val="18"/>
          <w:lang w:val="en-GB"/>
        </w:rPr>
      </w:r>
      <w:r w:rsidRPr="007C3D19" w:rsidR="007C3D19">
        <w:rPr>
          <w:i/>
          <w:sz w:val="18"/>
          <w:szCs w:val="18"/>
          <w:lang w:val="en-GB"/>
        </w:rPr>
        <w:t>Definitions</w:t>
      </w:r>
      <w:r w:rsidRPr="009C48DA">
        <w:rPr>
          <w:sz w:val="18"/>
          <w:szCs w:val="18"/>
          <w:lang w:val="en-GB"/>
        </w:rPr>
        <w:t>).</w:t>
      </w:r>
    </w:p>
    <w:p w:rsidRPr="009C48DA" w:rsidR="00DA7B9D" w:rsidP="00B359CE" w:rsidRDefault="00427CB5" w14:paraId="3D3DD2CE" w14:textId="29C37078">
      <w:pPr>
        <w:pStyle w:val="BlockTextSglJ"/>
        <w:rPr>
          <w:sz w:val="18"/>
          <w:szCs w:val="18"/>
          <w:lang w:val="en-GB"/>
        </w:rPr>
      </w:pPr>
      <w:r w:rsidRPr="009C48DA">
        <w:rPr>
          <w:sz w:val="18"/>
          <w:szCs w:val="18"/>
          <w:lang w:val="en-GB"/>
        </w:rPr>
        <w:t>This Registration Document speaks as of the date hereof. The date of this R</w:t>
      </w:r>
      <w:r w:rsidRPr="009C48DA" w:rsidR="003C538B">
        <w:rPr>
          <w:sz w:val="18"/>
          <w:szCs w:val="18"/>
          <w:lang w:val="en-GB"/>
        </w:rPr>
        <w:t xml:space="preserve">egistration Document is </w:t>
      </w:r>
      <w:r w:rsidR="00B56A37">
        <w:rPr>
          <w:sz w:val="18"/>
          <w:szCs w:val="18"/>
          <w:lang w:val="en-GB"/>
        </w:rPr>
        <w:t>29 June</w:t>
      </w:r>
      <w:r w:rsidRPr="009C48DA" w:rsidR="00E42C97">
        <w:rPr>
          <w:sz w:val="18"/>
          <w:szCs w:val="18"/>
          <w:lang w:val="en-GB"/>
        </w:rPr>
        <w:t xml:space="preserve"> 2021</w:t>
      </w:r>
      <w:r w:rsidRPr="009C48DA">
        <w:rPr>
          <w:sz w:val="18"/>
          <w:szCs w:val="18"/>
          <w:lang w:val="en-GB"/>
        </w:rPr>
        <w:t>.</w:t>
      </w:r>
    </w:p>
    <w:p w:rsidRPr="009C48DA" w:rsidR="00DA7B9D" w:rsidRDefault="00DA7B9D" w14:paraId="07CCF784" w14:textId="77777777">
      <w:pPr>
        <w:rPr>
          <w:sz w:val="19"/>
          <w:szCs w:val="19"/>
          <w:lang w:val="en-GB"/>
        </w:rPr>
        <w:sectPr w:rsidRPr="009C48DA" w:rsidR="00DA7B9D" w:rsidSect="00985035">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134" w:left="1440" w:header="720" w:footer="720" w:gutter="0"/>
          <w:cols w:space="720"/>
          <w:titlePg/>
          <w:docGrid w:linePitch="360"/>
        </w:sectPr>
      </w:pPr>
    </w:p>
    <w:p w:rsidRPr="009C48DA" w:rsidR="00DA7B9D" w:rsidRDefault="00427CB5" w14:paraId="5D402BCA" w14:textId="2A6C287E">
      <w:pPr>
        <w:pStyle w:val="TOCHeading"/>
        <w:rPr>
          <w:lang w:val="en-GB"/>
        </w:rPr>
      </w:pPr>
      <w:r w:rsidRPr="009C48DA">
        <w:rPr>
          <w:lang w:val="en-GB"/>
        </w:rPr>
        <w:lastRenderedPageBreak/>
        <w:t>TABLE OF CONTENTS</w:t>
      </w:r>
    </w:p>
    <w:p w:rsidRPr="009C48DA" w:rsidR="00DA7B9D" w:rsidRDefault="00427CB5" w14:paraId="01DCBE00" w14:textId="73C07698">
      <w:pPr>
        <w:pStyle w:val="TOCPage"/>
        <w:rPr>
          <w:lang w:val="en-GB"/>
        </w:rPr>
      </w:pPr>
      <w:r w:rsidRPr="009C48DA">
        <w:rPr>
          <w:lang w:val="en-GB"/>
        </w:rPr>
        <w:t>Page</w:t>
      </w:r>
    </w:p>
    <w:bookmarkStart w:name="_GoBack" w:id="0"/>
    <w:bookmarkEnd w:id="0"/>
    <w:p w:rsidR="007C3D19" w:rsidRDefault="008D3A35" w14:paraId="19ADDC3F" w14:textId="5E218856">
      <w:pPr>
        <w:pStyle w:val="TOC1"/>
        <w:rPr>
          <w:rFonts w:asciiTheme="minorHAnsi" w:hAnsiTheme="minorHAnsi" w:eastAsiaTheme="minorEastAsia"/>
          <w:caps w:val="0"/>
          <w:szCs w:val="22"/>
          <w:lang w:val="en-US" w:eastAsia="en-US"/>
        </w:rPr>
      </w:pPr>
      <w:r w:rsidRPr="009C48DA">
        <w:rPr>
          <w:noProof w:val="0"/>
        </w:rPr>
        <w:fldChar w:fldCharType="begin"/>
      </w:r>
      <w:r w:rsidRPr="009C48DA" w:rsidR="0053704F">
        <w:rPr>
          <w:noProof w:val="0"/>
        </w:rPr>
        <w:instrText xml:space="preserve"> TOC \O "1-1" \H \Z \U </w:instrText>
      </w:r>
      <w:r w:rsidRPr="009C48DA">
        <w:rPr>
          <w:noProof w:val="0"/>
        </w:rPr>
        <w:fldChar w:fldCharType="separate"/>
      </w:r>
      <w:hyperlink w:history="1" w:anchor="_Toc75831919">
        <w:r w:rsidRPr="00DB15CB" w:rsidR="007C3D19">
          <w:rPr>
            <w:rStyle w:val="Hyperlink"/>
            <w:rFonts w:ascii="Times New Roman Bold" w:hAnsi="Times New Roman Bold"/>
            <w14:scene3d>
              <w14:camera w14:prst="orthographicFront"/>
              <w14:lightRig w14:rig="threePt" w14:dir="t">
                <w14:rot w14:lat="0" w14:lon="0" w14:rev="0"/>
              </w14:lightRig>
            </w14:scene3d>
          </w:rPr>
          <w:t>Part I</w:t>
        </w:r>
        <w:r w:rsidRPr="00DB15CB" w:rsidR="007C3D19">
          <w:rPr>
            <w:rStyle w:val="Hyperlink"/>
          </w:rPr>
          <w:t xml:space="preserve"> Risk Factors</w:t>
        </w:r>
        <w:r w:rsidR="007C3D19">
          <w:rPr>
            <w:webHidden/>
          </w:rPr>
          <w:tab/>
        </w:r>
        <w:r w:rsidR="007C3D19">
          <w:rPr>
            <w:webHidden/>
          </w:rPr>
          <w:fldChar w:fldCharType="begin"/>
        </w:r>
        <w:r w:rsidR="007C3D19">
          <w:rPr>
            <w:webHidden/>
          </w:rPr>
          <w:instrText xml:space="preserve"> PAGEREF _Toc75831919 \h </w:instrText>
        </w:r>
        <w:r w:rsidR="007C3D19">
          <w:rPr>
            <w:webHidden/>
          </w:rPr>
        </w:r>
        <w:r w:rsidR="007C3D19">
          <w:rPr>
            <w:webHidden/>
          </w:rPr>
          <w:fldChar w:fldCharType="separate"/>
        </w:r>
        <w:r w:rsidR="007C3D19">
          <w:rPr>
            <w:webHidden/>
          </w:rPr>
          <w:t>2</w:t>
        </w:r>
        <w:r w:rsidR="007C3D19">
          <w:rPr>
            <w:webHidden/>
          </w:rPr>
          <w:fldChar w:fldCharType="end"/>
        </w:r>
      </w:hyperlink>
    </w:p>
    <w:p w:rsidR="007C3D19" w:rsidRDefault="007C3D19" w14:paraId="3DE727E4" w14:textId="3C026E88">
      <w:pPr>
        <w:pStyle w:val="TOC1"/>
        <w:rPr>
          <w:rFonts w:asciiTheme="minorHAnsi" w:hAnsiTheme="minorHAnsi" w:eastAsiaTheme="minorEastAsia"/>
          <w:caps w:val="0"/>
          <w:szCs w:val="22"/>
          <w:lang w:val="en-US" w:eastAsia="en-US"/>
        </w:rPr>
      </w:pPr>
      <w:hyperlink w:history="1" w:anchor="_Toc75831920">
        <w:r w:rsidRPr="00DB15CB">
          <w:rPr>
            <w:rStyle w:val="Hyperlink"/>
            <w:rFonts w:ascii="Times New Roman Bold" w:hAnsi="Times New Roman Bold"/>
            <w14:scene3d>
              <w14:camera w14:prst="orthographicFront"/>
              <w14:lightRig w14:rig="threePt" w14:dir="t">
                <w14:rot w14:lat="0" w14:lon="0" w14:rev="0"/>
              </w14:lightRig>
            </w14:scene3d>
          </w:rPr>
          <w:t>Part II</w:t>
        </w:r>
        <w:r w:rsidRPr="00DB15CB">
          <w:rPr>
            <w:rStyle w:val="Hyperlink"/>
          </w:rPr>
          <w:t xml:space="preserve"> Presentation of Financial and Other Information</w:t>
        </w:r>
        <w:r>
          <w:rPr>
            <w:webHidden/>
          </w:rPr>
          <w:tab/>
        </w:r>
        <w:r>
          <w:rPr>
            <w:webHidden/>
          </w:rPr>
          <w:fldChar w:fldCharType="begin"/>
        </w:r>
        <w:r>
          <w:rPr>
            <w:webHidden/>
          </w:rPr>
          <w:instrText xml:space="preserve"> PAGEREF _Toc75831920 \h </w:instrText>
        </w:r>
        <w:r>
          <w:rPr>
            <w:webHidden/>
          </w:rPr>
        </w:r>
        <w:r>
          <w:rPr>
            <w:webHidden/>
          </w:rPr>
          <w:fldChar w:fldCharType="separate"/>
        </w:r>
        <w:r>
          <w:rPr>
            <w:webHidden/>
          </w:rPr>
          <w:t>48</w:t>
        </w:r>
        <w:r>
          <w:rPr>
            <w:webHidden/>
          </w:rPr>
          <w:fldChar w:fldCharType="end"/>
        </w:r>
      </w:hyperlink>
    </w:p>
    <w:p w:rsidR="007C3D19" w:rsidRDefault="007C3D19" w14:paraId="67F228D9" w14:textId="5AB75985">
      <w:pPr>
        <w:pStyle w:val="TOC1"/>
        <w:rPr>
          <w:rFonts w:asciiTheme="minorHAnsi" w:hAnsiTheme="minorHAnsi" w:eastAsiaTheme="minorEastAsia"/>
          <w:caps w:val="0"/>
          <w:szCs w:val="22"/>
          <w:lang w:val="en-US" w:eastAsia="en-US"/>
        </w:rPr>
      </w:pPr>
      <w:hyperlink w:history="1" w:anchor="_Toc75831921">
        <w:r w:rsidRPr="00DB15CB">
          <w:rPr>
            <w:rStyle w:val="Hyperlink"/>
            <w:rFonts w:ascii="Times New Roman Bold" w:hAnsi="Times New Roman Bold"/>
            <w14:scene3d>
              <w14:camera w14:prst="orthographicFront"/>
              <w14:lightRig w14:rig="threePt" w14:dir="t">
                <w14:rot w14:lat="0" w14:lon="0" w14:rev="0"/>
              </w14:lightRig>
            </w14:scene3d>
          </w:rPr>
          <w:t>Part III</w:t>
        </w:r>
        <w:r w:rsidRPr="00DB15CB">
          <w:rPr>
            <w:rStyle w:val="Hyperlink"/>
          </w:rPr>
          <w:t xml:space="preserve"> Directors, Company Secretary, Registered Office and Advisers</w:t>
        </w:r>
        <w:r>
          <w:rPr>
            <w:webHidden/>
          </w:rPr>
          <w:tab/>
        </w:r>
        <w:r>
          <w:rPr>
            <w:webHidden/>
          </w:rPr>
          <w:fldChar w:fldCharType="begin"/>
        </w:r>
        <w:r>
          <w:rPr>
            <w:webHidden/>
          </w:rPr>
          <w:instrText xml:space="preserve"> PAGEREF _Toc75831921 \h </w:instrText>
        </w:r>
        <w:r>
          <w:rPr>
            <w:webHidden/>
          </w:rPr>
        </w:r>
        <w:r>
          <w:rPr>
            <w:webHidden/>
          </w:rPr>
          <w:fldChar w:fldCharType="separate"/>
        </w:r>
        <w:r>
          <w:rPr>
            <w:webHidden/>
          </w:rPr>
          <w:t>53</w:t>
        </w:r>
        <w:r>
          <w:rPr>
            <w:webHidden/>
          </w:rPr>
          <w:fldChar w:fldCharType="end"/>
        </w:r>
      </w:hyperlink>
    </w:p>
    <w:p w:rsidR="007C3D19" w:rsidRDefault="007C3D19" w14:paraId="5015F090" w14:textId="31726972">
      <w:pPr>
        <w:pStyle w:val="TOC1"/>
        <w:rPr>
          <w:rFonts w:asciiTheme="minorHAnsi" w:hAnsiTheme="minorHAnsi" w:eastAsiaTheme="minorEastAsia"/>
          <w:caps w:val="0"/>
          <w:szCs w:val="22"/>
          <w:lang w:val="en-US" w:eastAsia="en-US"/>
        </w:rPr>
      </w:pPr>
      <w:hyperlink w:history="1" w:anchor="_Toc75831922">
        <w:r w:rsidRPr="00DB15CB">
          <w:rPr>
            <w:rStyle w:val="Hyperlink"/>
            <w:rFonts w:ascii="Times New Roman Bold" w:hAnsi="Times New Roman Bold"/>
            <w14:scene3d>
              <w14:camera w14:prst="orthographicFront"/>
              <w14:lightRig w14:rig="threePt" w14:dir="t">
                <w14:rot w14:lat="0" w14:lon="0" w14:rev="0"/>
              </w14:lightRig>
            </w14:scene3d>
          </w:rPr>
          <w:t>Part IV</w:t>
        </w:r>
        <w:r w:rsidRPr="00DB15CB">
          <w:rPr>
            <w:rStyle w:val="Hyperlink"/>
          </w:rPr>
          <w:t xml:space="preserve"> Market Overview</w:t>
        </w:r>
        <w:r>
          <w:rPr>
            <w:webHidden/>
          </w:rPr>
          <w:tab/>
        </w:r>
        <w:r>
          <w:rPr>
            <w:webHidden/>
          </w:rPr>
          <w:fldChar w:fldCharType="begin"/>
        </w:r>
        <w:r>
          <w:rPr>
            <w:webHidden/>
          </w:rPr>
          <w:instrText xml:space="preserve"> PAGEREF _Toc75831922 \h </w:instrText>
        </w:r>
        <w:r>
          <w:rPr>
            <w:webHidden/>
          </w:rPr>
        </w:r>
        <w:r>
          <w:rPr>
            <w:webHidden/>
          </w:rPr>
          <w:fldChar w:fldCharType="separate"/>
        </w:r>
        <w:r>
          <w:rPr>
            <w:webHidden/>
          </w:rPr>
          <w:t>54</w:t>
        </w:r>
        <w:r>
          <w:rPr>
            <w:webHidden/>
          </w:rPr>
          <w:fldChar w:fldCharType="end"/>
        </w:r>
      </w:hyperlink>
    </w:p>
    <w:p w:rsidR="007C3D19" w:rsidRDefault="007C3D19" w14:paraId="74BA9515" w14:textId="20C0A18A">
      <w:pPr>
        <w:pStyle w:val="TOC1"/>
        <w:rPr>
          <w:rFonts w:asciiTheme="minorHAnsi" w:hAnsiTheme="minorHAnsi" w:eastAsiaTheme="minorEastAsia"/>
          <w:caps w:val="0"/>
          <w:szCs w:val="22"/>
          <w:lang w:val="en-US" w:eastAsia="en-US"/>
        </w:rPr>
      </w:pPr>
      <w:hyperlink w:history="1" w:anchor="_Toc75831923">
        <w:r w:rsidRPr="00DB15CB">
          <w:rPr>
            <w:rStyle w:val="Hyperlink"/>
            <w:rFonts w:ascii="Times New Roman Bold" w:hAnsi="Times New Roman Bold"/>
            <w14:scene3d>
              <w14:camera w14:prst="orthographicFront"/>
              <w14:lightRig w14:rig="threePt" w14:dir="t">
                <w14:rot w14:lat="0" w14:lon="0" w14:rev="0"/>
              </w14:lightRig>
            </w14:scene3d>
          </w:rPr>
          <w:t>Part V</w:t>
        </w:r>
        <w:r w:rsidRPr="00DB15CB">
          <w:rPr>
            <w:rStyle w:val="Hyperlink"/>
          </w:rPr>
          <w:t xml:space="preserve"> The Business</w:t>
        </w:r>
        <w:r>
          <w:rPr>
            <w:webHidden/>
          </w:rPr>
          <w:tab/>
        </w:r>
        <w:r>
          <w:rPr>
            <w:webHidden/>
          </w:rPr>
          <w:fldChar w:fldCharType="begin"/>
        </w:r>
        <w:r>
          <w:rPr>
            <w:webHidden/>
          </w:rPr>
          <w:instrText xml:space="preserve"> PAGEREF _Toc75831923 \h </w:instrText>
        </w:r>
        <w:r>
          <w:rPr>
            <w:webHidden/>
          </w:rPr>
        </w:r>
        <w:r>
          <w:rPr>
            <w:webHidden/>
          </w:rPr>
          <w:fldChar w:fldCharType="separate"/>
        </w:r>
        <w:r>
          <w:rPr>
            <w:webHidden/>
          </w:rPr>
          <w:t>66</w:t>
        </w:r>
        <w:r>
          <w:rPr>
            <w:webHidden/>
          </w:rPr>
          <w:fldChar w:fldCharType="end"/>
        </w:r>
      </w:hyperlink>
    </w:p>
    <w:p w:rsidR="007C3D19" w:rsidRDefault="007C3D19" w14:paraId="34F63F7D" w14:textId="6098D055">
      <w:pPr>
        <w:pStyle w:val="TOC1"/>
        <w:rPr>
          <w:rFonts w:asciiTheme="minorHAnsi" w:hAnsiTheme="minorHAnsi" w:eastAsiaTheme="minorEastAsia"/>
          <w:caps w:val="0"/>
          <w:szCs w:val="22"/>
          <w:lang w:val="en-US" w:eastAsia="en-US"/>
        </w:rPr>
      </w:pPr>
      <w:hyperlink w:history="1" w:anchor="_Toc75831924">
        <w:r w:rsidRPr="00DB15CB">
          <w:rPr>
            <w:rStyle w:val="Hyperlink"/>
            <w:rFonts w:ascii="Times New Roman Bold" w:hAnsi="Times New Roman Bold"/>
            <w14:scene3d>
              <w14:camera w14:prst="orthographicFront"/>
              <w14:lightRig w14:rig="threePt" w14:dir="t">
                <w14:rot w14:lat="0" w14:lon="0" w14:rev="0"/>
              </w14:lightRig>
            </w14:scene3d>
          </w:rPr>
          <w:t>Part VI</w:t>
        </w:r>
        <w:r w:rsidRPr="00DB15CB">
          <w:rPr>
            <w:rStyle w:val="Hyperlink"/>
          </w:rPr>
          <w:t xml:space="preserve"> Regulatory Overview</w:t>
        </w:r>
        <w:r>
          <w:rPr>
            <w:webHidden/>
          </w:rPr>
          <w:tab/>
        </w:r>
        <w:r>
          <w:rPr>
            <w:webHidden/>
          </w:rPr>
          <w:fldChar w:fldCharType="begin"/>
        </w:r>
        <w:r>
          <w:rPr>
            <w:webHidden/>
          </w:rPr>
          <w:instrText xml:space="preserve"> PAGEREF _Toc75831924 \h </w:instrText>
        </w:r>
        <w:r>
          <w:rPr>
            <w:webHidden/>
          </w:rPr>
        </w:r>
        <w:r>
          <w:rPr>
            <w:webHidden/>
          </w:rPr>
          <w:fldChar w:fldCharType="separate"/>
        </w:r>
        <w:r>
          <w:rPr>
            <w:webHidden/>
          </w:rPr>
          <w:t>90</w:t>
        </w:r>
        <w:r>
          <w:rPr>
            <w:webHidden/>
          </w:rPr>
          <w:fldChar w:fldCharType="end"/>
        </w:r>
      </w:hyperlink>
    </w:p>
    <w:p w:rsidR="007C3D19" w:rsidRDefault="007C3D19" w14:paraId="65EE77CC" w14:textId="18AAA2A5">
      <w:pPr>
        <w:pStyle w:val="TOC1"/>
        <w:rPr>
          <w:rFonts w:asciiTheme="minorHAnsi" w:hAnsiTheme="minorHAnsi" w:eastAsiaTheme="minorEastAsia"/>
          <w:caps w:val="0"/>
          <w:szCs w:val="22"/>
          <w:lang w:val="en-US" w:eastAsia="en-US"/>
        </w:rPr>
      </w:pPr>
      <w:hyperlink w:history="1" w:anchor="_Toc75831925">
        <w:r w:rsidRPr="00DB15CB">
          <w:rPr>
            <w:rStyle w:val="Hyperlink"/>
            <w:rFonts w:ascii="Times New Roman Bold" w:hAnsi="Times New Roman Bold"/>
            <w14:scene3d>
              <w14:camera w14:prst="orthographicFront"/>
              <w14:lightRig w14:rig="threePt" w14:dir="t">
                <w14:rot w14:lat="0" w14:lon="0" w14:rev="0"/>
              </w14:lightRig>
            </w14:scene3d>
          </w:rPr>
          <w:t>Part VII</w:t>
        </w:r>
        <w:r w:rsidRPr="00DB15CB">
          <w:rPr>
            <w:rStyle w:val="Hyperlink"/>
          </w:rPr>
          <w:t xml:space="preserve"> Directors, Senior Management, Employees and Corporate Governance</w:t>
        </w:r>
        <w:r>
          <w:rPr>
            <w:webHidden/>
          </w:rPr>
          <w:tab/>
        </w:r>
        <w:r>
          <w:rPr>
            <w:webHidden/>
          </w:rPr>
          <w:fldChar w:fldCharType="begin"/>
        </w:r>
        <w:r>
          <w:rPr>
            <w:webHidden/>
          </w:rPr>
          <w:instrText xml:space="preserve"> PAGEREF _Toc75831925 \h </w:instrText>
        </w:r>
        <w:r>
          <w:rPr>
            <w:webHidden/>
          </w:rPr>
        </w:r>
        <w:r>
          <w:rPr>
            <w:webHidden/>
          </w:rPr>
          <w:fldChar w:fldCharType="separate"/>
        </w:r>
        <w:r>
          <w:rPr>
            <w:webHidden/>
          </w:rPr>
          <w:t>96</w:t>
        </w:r>
        <w:r>
          <w:rPr>
            <w:webHidden/>
          </w:rPr>
          <w:fldChar w:fldCharType="end"/>
        </w:r>
      </w:hyperlink>
    </w:p>
    <w:p w:rsidR="007C3D19" w:rsidRDefault="007C3D19" w14:paraId="0876C1B4" w14:textId="57345D46">
      <w:pPr>
        <w:pStyle w:val="TOC1"/>
        <w:rPr>
          <w:rFonts w:asciiTheme="minorHAnsi" w:hAnsiTheme="minorHAnsi" w:eastAsiaTheme="minorEastAsia"/>
          <w:caps w:val="0"/>
          <w:szCs w:val="22"/>
          <w:lang w:val="en-US" w:eastAsia="en-US"/>
        </w:rPr>
      </w:pPr>
      <w:hyperlink w:history="1" w:anchor="_Toc75831926">
        <w:r w:rsidRPr="00DB15CB">
          <w:rPr>
            <w:rStyle w:val="Hyperlink"/>
            <w:rFonts w:ascii="Times New Roman Bold" w:hAnsi="Times New Roman Bold"/>
            <w14:scene3d>
              <w14:camera w14:prst="orthographicFront"/>
              <w14:lightRig w14:rig="threePt" w14:dir="t">
                <w14:rot w14:lat="0" w14:lon="0" w14:rev="0"/>
              </w14:lightRig>
            </w14:scene3d>
          </w:rPr>
          <w:t>Part VIII</w:t>
        </w:r>
        <w:r w:rsidRPr="00DB15CB">
          <w:rPr>
            <w:rStyle w:val="Hyperlink"/>
          </w:rPr>
          <w:t xml:space="preserve"> Selected Financial Information</w:t>
        </w:r>
        <w:r>
          <w:rPr>
            <w:webHidden/>
          </w:rPr>
          <w:tab/>
        </w:r>
        <w:r>
          <w:rPr>
            <w:webHidden/>
          </w:rPr>
          <w:fldChar w:fldCharType="begin"/>
        </w:r>
        <w:r>
          <w:rPr>
            <w:webHidden/>
          </w:rPr>
          <w:instrText xml:space="preserve"> PAGEREF _Toc75831926 \h </w:instrText>
        </w:r>
        <w:r>
          <w:rPr>
            <w:webHidden/>
          </w:rPr>
        </w:r>
        <w:r>
          <w:rPr>
            <w:webHidden/>
          </w:rPr>
          <w:fldChar w:fldCharType="separate"/>
        </w:r>
        <w:r>
          <w:rPr>
            <w:webHidden/>
          </w:rPr>
          <w:t>99</w:t>
        </w:r>
        <w:r>
          <w:rPr>
            <w:webHidden/>
          </w:rPr>
          <w:fldChar w:fldCharType="end"/>
        </w:r>
      </w:hyperlink>
    </w:p>
    <w:p w:rsidR="007C3D19" w:rsidRDefault="007C3D19" w14:paraId="4EF1BBC7" w14:textId="4990AB9D">
      <w:pPr>
        <w:pStyle w:val="TOC1"/>
        <w:rPr>
          <w:rFonts w:asciiTheme="minorHAnsi" w:hAnsiTheme="minorHAnsi" w:eastAsiaTheme="minorEastAsia"/>
          <w:caps w:val="0"/>
          <w:szCs w:val="22"/>
          <w:lang w:val="en-US" w:eastAsia="en-US"/>
        </w:rPr>
      </w:pPr>
      <w:hyperlink w:history="1" w:anchor="_Toc75831927">
        <w:r w:rsidRPr="00DB15CB">
          <w:rPr>
            <w:rStyle w:val="Hyperlink"/>
            <w:rFonts w:ascii="Times New Roman Bold" w:hAnsi="Times New Roman Bold"/>
            <w14:scene3d>
              <w14:camera w14:prst="orthographicFront"/>
              <w14:lightRig w14:rig="threePt" w14:dir="t">
                <w14:rot w14:lat="0" w14:lon="0" w14:rev="0"/>
              </w14:lightRig>
            </w14:scene3d>
          </w:rPr>
          <w:t>Part IX</w:t>
        </w:r>
        <w:r w:rsidRPr="00DB15CB">
          <w:rPr>
            <w:rStyle w:val="Hyperlink"/>
          </w:rPr>
          <w:t xml:space="preserve"> Operating and Financial Review</w:t>
        </w:r>
        <w:r>
          <w:rPr>
            <w:webHidden/>
          </w:rPr>
          <w:tab/>
        </w:r>
        <w:r>
          <w:rPr>
            <w:webHidden/>
          </w:rPr>
          <w:fldChar w:fldCharType="begin"/>
        </w:r>
        <w:r>
          <w:rPr>
            <w:webHidden/>
          </w:rPr>
          <w:instrText xml:space="preserve"> PAGEREF _Toc75831927 \h </w:instrText>
        </w:r>
        <w:r>
          <w:rPr>
            <w:webHidden/>
          </w:rPr>
        </w:r>
        <w:r>
          <w:rPr>
            <w:webHidden/>
          </w:rPr>
          <w:fldChar w:fldCharType="separate"/>
        </w:r>
        <w:r>
          <w:rPr>
            <w:webHidden/>
          </w:rPr>
          <w:t>102</w:t>
        </w:r>
        <w:r>
          <w:rPr>
            <w:webHidden/>
          </w:rPr>
          <w:fldChar w:fldCharType="end"/>
        </w:r>
      </w:hyperlink>
    </w:p>
    <w:p w:rsidR="007C3D19" w:rsidRDefault="007C3D19" w14:paraId="2ABDB3A3" w14:textId="3A183C6C">
      <w:pPr>
        <w:pStyle w:val="TOC1"/>
        <w:rPr>
          <w:rFonts w:asciiTheme="minorHAnsi" w:hAnsiTheme="minorHAnsi" w:eastAsiaTheme="minorEastAsia"/>
          <w:caps w:val="0"/>
          <w:szCs w:val="22"/>
          <w:lang w:val="en-US" w:eastAsia="en-US"/>
        </w:rPr>
      </w:pPr>
      <w:hyperlink w:history="1" w:anchor="_Toc75831928">
        <w:r w:rsidRPr="00DB15CB">
          <w:rPr>
            <w:rStyle w:val="Hyperlink"/>
            <w:rFonts w:ascii="Times New Roman Bold" w:hAnsi="Times New Roman Bold"/>
            <w14:scene3d>
              <w14:camera w14:prst="orthographicFront"/>
              <w14:lightRig w14:rig="threePt" w14:dir="t">
                <w14:rot w14:lat="0" w14:lon="0" w14:rev="0"/>
              </w14:lightRig>
            </w14:scene3d>
          </w:rPr>
          <w:t>Part X</w:t>
        </w:r>
        <w:r w:rsidRPr="00DB15CB">
          <w:rPr>
            <w:rStyle w:val="Hyperlink"/>
          </w:rPr>
          <w:t xml:space="preserve"> Historical Financial Information</w:t>
        </w:r>
        <w:r>
          <w:rPr>
            <w:webHidden/>
          </w:rPr>
          <w:tab/>
        </w:r>
        <w:r>
          <w:rPr>
            <w:webHidden/>
          </w:rPr>
          <w:fldChar w:fldCharType="begin"/>
        </w:r>
        <w:r>
          <w:rPr>
            <w:webHidden/>
          </w:rPr>
          <w:instrText xml:space="preserve"> PAGEREF _Toc75831928 \h </w:instrText>
        </w:r>
        <w:r>
          <w:rPr>
            <w:webHidden/>
          </w:rPr>
        </w:r>
        <w:r>
          <w:rPr>
            <w:webHidden/>
          </w:rPr>
          <w:fldChar w:fldCharType="separate"/>
        </w:r>
        <w:r>
          <w:rPr>
            <w:webHidden/>
          </w:rPr>
          <w:t>139</w:t>
        </w:r>
        <w:r>
          <w:rPr>
            <w:webHidden/>
          </w:rPr>
          <w:fldChar w:fldCharType="end"/>
        </w:r>
      </w:hyperlink>
    </w:p>
    <w:p w:rsidR="007C3D19" w:rsidRDefault="007C3D19" w14:paraId="4AA12EBC" w14:textId="6DD00761">
      <w:pPr>
        <w:pStyle w:val="TOC1"/>
        <w:rPr>
          <w:rFonts w:asciiTheme="minorHAnsi" w:hAnsiTheme="minorHAnsi" w:eastAsiaTheme="minorEastAsia"/>
          <w:caps w:val="0"/>
          <w:szCs w:val="22"/>
          <w:lang w:val="en-US" w:eastAsia="en-US"/>
        </w:rPr>
      </w:pPr>
      <w:hyperlink w:history="1" w:anchor="_Toc75831929">
        <w:r w:rsidRPr="00DB15CB">
          <w:rPr>
            <w:rStyle w:val="Hyperlink"/>
            <w:rFonts w:ascii="Times New Roman Bold" w:hAnsi="Times New Roman Bold"/>
            <w14:scene3d>
              <w14:camera w14:prst="orthographicFront"/>
              <w14:lightRig w14:rig="threePt" w14:dir="t">
                <w14:rot w14:lat="0" w14:lon="0" w14:rev="0"/>
              </w14:lightRig>
            </w14:scene3d>
          </w:rPr>
          <w:t>Part XI</w:t>
        </w:r>
        <w:r w:rsidRPr="00DB15CB">
          <w:rPr>
            <w:rStyle w:val="Hyperlink"/>
          </w:rPr>
          <w:t xml:space="preserve"> Additional Information</w:t>
        </w:r>
        <w:r>
          <w:rPr>
            <w:webHidden/>
          </w:rPr>
          <w:tab/>
        </w:r>
        <w:r>
          <w:rPr>
            <w:webHidden/>
          </w:rPr>
          <w:fldChar w:fldCharType="begin"/>
        </w:r>
        <w:r>
          <w:rPr>
            <w:webHidden/>
          </w:rPr>
          <w:instrText xml:space="preserve"> PAGEREF _Toc75831929 \h </w:instrText>
        </w:r>
        <w:r>
          <w:rPr>
            <w:webHidden/>
          </w:rPr>
        </w:r>
        <w:r>
          <w:rPr>
            <w:webHidden/>
          </w:rPr>
          <w:fldChar w:fldCharType="separate"/>
        </w:r>
        <w:r>
          <w:rPr>
            <w:webHidden/>
          </w:rPr>
          <w:t>212</w:t>
        </w:r>
        <w:r>
          <w:rPr>
            <w:webHidden/>
          </w:rPr>
          <w:fldChar w:fldCharType="end"/>
        </w:r>
      </w:hyperlink>
    </w:p>
    <w:p w:rsidR="007C3D19" w:rsidRDefault="007C3D19" w14:paraId="248AB6D1" w14:textId="4A29991E">
      <w:pPr>
        <w:pStyle w:val="TOC1"/>
        <w:rPr>
          <w:rFonts w:asciiTheme="minorHAnsi" w:hAnsiTheme="minorHAnsi" w:eastAsiaTheme="minorEastAsia"/>
          <w:caps w:val="0"/>
          <w:szCs w:val="22"/>
          <w:lang w:val="en-US" w:eastAsia="en-US"/>
        </w:rPr>
      </w:pPr>
      <w:hyperlink w:history="1" w:anchor="_Toc75831930">
        <w:r w:rsidRPr="00DB15CB">
          <w:rPr>
            <w:rStyle w:val="Hyperlink"/>
            <w:rFonts w:ascii="Times New Roman Bold" w:hAnsi="Times New Roman Bold"/>
            <w14:scene3d>
              <w14:camera w14:prst="orthographicFront"/>
              <w14:lightRig w14:rig="threePt" w14:dir="t">
                <w14:rot w14:lat="0" w14:lon="0" w14:rev="0"/>
              </w14:lightRig>
            </w14:scene3d>
          </w:rPr>
          <w:t>Part XII</w:t>
        </w:r>
        <w:r w:rsidRPr="00DB15CB">
          <w:rPr>
            <w:rStyle w:val="Hyperlink"/>
          </w:rPr>
          <w:t xml:space="preserve"> Definitions</w:t>
        </w:r>
        <w:r>
          <w:rPr>
            <w:webHidden/>
          </w:rPr>
          <w:tab/>
        </w:r>
        <w:r>
          <w:rPr>
            <w:webHidden/>
          </w:rPr>
          <w:fldChar w:fldCharType="begin"/>
        </w:r>
        <w:r>
          <w:rPr>
            <w:webHidden/>
          </w:rPr>
          <w:instrText xml:space="preserve"> PAGEREF _Toc75831930 \h </w:instrText>
        </w:r>
        <w:r>
          <w:rPr>
            <w:webHidden/>
          </w:rPr>
        </w:r>
        <w:r>
          <w:rPr>
            <w:webHidden/>
          </w:rPr>
          <w:fldChar w:fldCharType="separate"/>
        </w:r>
        <w:r>
          <w:rPr>
            <w:webHidden/>
          </w:rPr>
          <w:t>227</w:t>
        </w:r>
        <w:r>
          <w:rPr>
            <w:webHidden/>
          </w:rPr>
          <w:fldChar w:fldCharType="end"/>
        </w:r>
      </w:hyperlink>
    </w:p>
    <w:p w:rsidRPr="009C48DA" w:rsidR="00EF6784" w:rsidP="00EF6784" w:rsidRDefault="008D3A35" w14:paraId="321C77CD" w14:textId="4AFE5273">
      <w:pPr>
        <w:rPr>
          <w:lang w:val="en-GB"/>
        </w:rPr>
      </w:pPr>
      <w:r w:rsidRPr="009C48DA">
        <w:rPr>
          <w:lang w:val="en-GB" w:eastAsia="en-GB"/>
        </w:rPr>
        <w:fldChar w:fldCharType="end"/>
      </w:r>
    </w:p>
    <w:p w:rsidRPr="009C48DA" w:rsidR="00DA7B9D" w:rsidP="00EF6784" w:rsidRDefault="00DA7B9D" w14:paraId="26517EE4" w14:textId="0B1EA7EA">
      <w:pPr>
        <w:rPr>
          <w:lang w:val="en-GB"/>
        </w:rPr>
        <w:sectPr w:rsidRPr="009C48DA" w:rsidR="00DA7B9D" w:rsidSect="000D6C1F">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720" w:footer="720" w:gutter="0"/>
          <w:pgNumType w:start="1"/>
          <w:cols w:space="720"/>
          <w:titlePg/>
          <w:docGrid w:linePitch="360"/>
        </w:sectPr>
      </w:pPr>
    </w:p>
    <w:p w:rsidRPr="009C48DA" w:rsidR="00DA7B9D" w:rsidP="00F172AB" w:rsidRDefault="00F172AB" w14:paraId="1F7DC5F3" w14:textId="00694088">
      <w:pPr>
        <w:pStyle w:val="Heading1"/>
        <w:rPr>
          <w:lang w:val="en-GB"/>
        </w:rPr>
      </w:pPr>
      <w:bookmarkStart w:name="_Toc67956029" w:id="1"/>
      <w:bookmarkStart w:name="_Toc67962993" w:id="2"/>
      <w:bookmarkStart w:name="_Toc67963374" w:id="3"/>
      <w:bookmarkStart w:name="_Ref71135222" w:id="4"/>
      <w:bookmarkStart w:name="_Ref71135414" w:id="5"/>
      <w:bookmarkStart w:name="_Ref71135427" w:id="6"/>
      <w:bookmarkStart w:name="_Ref71135612" w:id="7"/>
      <w:bookmarkStart w:name="_Ref71136204" w:id="8"/>
      <w:bookmarkStart w:name="_Toc71147102" w:id="9"/>
      <w:bookmarkStart w:name="_Toc71147142" w:id="10"/>
      <w:bookmarkStart w:name="_Toc71147156" w:id="11"/>
      <w:bookmarkStart w:name="_Toc71167142" w:id="12"/>
      <w:bookmarkStart w:name="_Toc71187611" w:id="13"/>
      <w:bookmarkStart w:name="_Toc71188673" w:id="14"/>
      <w:r w:rsidRPr="009C48DA">
        <w:rPr>
          <w:lang w:val="en-GB"/>
        </w:rPr>
        <w:lastRenderedPageBreak/>
        <w:br/>
      </w:r>
      <w:r w:rsidRPr="009C48DA" w:rsidR="00BE1A8D">
        <w:rPr>
          <w:lang w:val="en-GB"/>
        </w:rPr>
        <w:br/>
      </w:r>
      <w:bookmarkStart w:name="_Ref75190583" w:id="15"/>
      <w:bookmarkStart w:name="_Toc4171249" w:id="16"/>
      <w:bookmarkStart w:name="_Toc75831919" w:id="17"/>
      <w:r w:rsidRPr="009C48DA">
        <w:rPr>
          <w:lang w:val="en-GB"/>
        </w:rPr>
        <w:t>Risk Factors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Pr="009C48DA" w:rsidR="00E25C97" w:rsidP="00F172AB" w:rsidRDefault="00E25C97" w14:paraId="5704B847" w14:textId="779C4C31">
      <w:pPr>
        <w:pStyle w:val="BodyText2SglJ"/>
        <w:rPr>
          <w:rFonts w:eastAsia="Calibri" w:cs="Times New Roman"/>
          <w:i/>
          <w:iCs/>
          <w:lang w:val="en-GB"/>
        </w:rPr>
      </w:pPr>
      <w:r w:rsidRPr="009C48DA">
        <w:rPr>
          <w:rFonts w:eastAsia="Calibri" w:cs="Times New Roman"/>
          <w:i/>
          <w:iCs/>
          <w:lang w:val="en-GB"/>
        </w:rPr>
        <w:t xml:space="preserve">The Group is subject to a number of risks. The occurrence of any of the events discussed below could have a material adverse effect on the Group’s business, financial condition, results of operations, cash flows and/or prospects. </w:t>
      </w:r>
      <w:r w:rsidRPr="009C48DA" w:rsidR="003B6A31">
        <w:rPr>
          <w:rFonts w:eastAsia="Calibri" w:cs="Times New Roman"/>
          <w:i/>
          <w:lang w:val="en-GB"/>
        </w:rPr>
        <w:t>The risk</w:t>
      </w:r>
      <w:r w:rsidRPr="009C48DA">
        <w:rPr>
          <w:rFonts w:eastAsia="Calibri" w:cs="Times New Roman"/>
          <w:i/>
          <w:lang w:val="en-GB"/>
        </w:rPr>
        <w:t xml:space="preserve"> factors described below are not an exhaustive list or explanation of all risks. Additional risks and uncertainties relating to the Group that are not currently known to the Group, or that the Group currently deems immaterial, may individually or cumulatively also have a material adverse effect on the </w:t>
      </w:r>
      <w:bookmarkStart w:name="_9kMLK5YVt48869ISJxkjlv600CgZEIK" w:id="18"/>
      <w:r w:rsidRPr="009C48DA">
        <w:rPr>
          <w:rFonts w:eastAsia="Calibri" w:cs="Times New Roman"/>
          <w:i/>
          <w:lang w:val="en-GB"/>
        </w:rPr>
        <w:t>Group’s</w:t>
      </w:r>
      <w:bookmarkEnd w:id="18"/>
      <w:r w:rsidRPr="009C48DA">
        <w:rPr>
          <w:rFonts w:eastAsia="Calibri" w:cs="Times New Roman"/>
          <w:i/>
          <w:lang w:val="en-GB"/>
        </w:rPr>
        <w:t xml:space="preserve"> business, financial condition, results of operations, cash flows and/or prospects. The risks and uncertainties described in this </w:t>
      </w:r>
      <w:r w:rsidRPr="009C48DA" w:rsidR="00F428F0">
        <w:rPr>
          <w:rFonts w:eastAsia="Calibri" w:cs="Times New Roman"/>
          <w:i/>
          <w:lang w:val="en-GB"/>
        </w:rPr>
      </w:r>
      <w:r w:rsidR="007C3D19">
        <w:rPr>
          <w:rFonts w:eastAsia="Calibri" w:cs="Times New Roman"/>
          <w:i/>
          <w:lang w:val="en-GB"/>
        </w:rPr>
        <w:t>Part I</w:t>
      </w:r>
      <w:r w:rsidRPr="009C48DA">
        <w:rPr>
          <w:rFonts w:eastAsia="Calibri" w:cs="Times New Roman"/>
          <w:i/>
          <w:lang w:val="en-GB"/>
        </w:rPr>
        <w:t xml:space="preserve"> (</w:t>
      </w:r>
      <w:r w:rsidRPr="009C48DA" w:rsidR="00F172AB">
        <w:rPr>
          <w:rFonts w:eastAsia="Calibri" w:cs="Arial"/>
          <w:i/>
          <w:lang w:val="en-GB"/>
        </w:rPr>
        <w:fldChar w:fldCharType="begin"/>
      </w:r>
      <w:r w:rsidRPr="009C48DA" w:rsidR="00F172AB">
        <w:rPr>
          <w:rFonts w:eastAsia="Calibri" w:cs="Times New Roman"/>
          <w:i/>
          <w:lang w:val="en-GB"/>
        </w:rPr>
        <w:instrText xml:space="preserve"> REF _Ref75190583 \h </w:instrText>
      </w:r>
      <w:r w:rsidRPr="009C48DA" w:rsidR="00F172AB">
        <w:rPr>
          <w:rFonts w:eastAsia="Calibri" w:cs="Arial"/>
          <w:i/>
          <w:lang w:val="en-GB"/>
        </w:rPr>
        <w:instrText xml:space="preserve"> \* MERGEFORMAT </w:instrText>
      </w:r>
      <w:r w:rsidRPr="009C48DA" w:rsidR="00F172AB">
        <w:rPr>
          <w:rFonts w:eastAsia="Calibri" w:cs="Arial"/>
          <w:i/>
          <w:lang w:val="en-GB"/>
        </w:rPr>
      </w:r>
      <w:r w:rsidRPr="009C48DA" w:rsidR="00F172AB">
        <w:rPr>
          <w:rFonts w:eastAsia="Calibri" w:cs="Arial"/>
          <w:i/>
          <w:lang w:val="en-GB"/>
        </w:rPr>
        <w:fldChar w:fldCharType="separate"/>
      </w:r>
      <w:r w:rsidRPr="007C3D19" w:rsidR="007C3D19">
        <w:rPr>
          <w:i/>
          <w:lang w:val="en-GB"/>
        </w:rPr>
        <w:t>Risk Factors</w:t>
      </w:r>
      <w:r w:rsidRPr="009C48DA" w:rsidR="00F172AB">
        <w:rPr>
          <w:rFonts w:eastAsia="Calibri" w:cs="Arial"/>
          <w:i/>
          <w:lang w:val="en-GB"/>
        </w:rPr>
        <w:fldChar w:fldCharType="end"/>
      </w:r>
      <w:r w:rsidRPr="009C48DA">
        <w:rPr>
          <w:rFonts w:eastAsia="Calibri" w:cs="Times New Roman"/>
          <w:i/>
          <w:lang w:val="en-GB"/>
        </w:rPr>
        <w:t xml:space="preserve">) </w:t>
      </w:r>
      <w:r w:rsidRPr="009C48DA">
        <w:rPr>
          <w:rFonts w:eastAsia="Calibri" w:cs="Times New Roman"/>
          <w:i/>
          <w:iCs/>
          <w:lang w:val="en-GB"/>
        </w:rPr>
        <w:t>are the material known risks and uncertainties faced by the Group as of the date hereof, and represent those risk factors that the Company believes to represent the most material risks.</w:t>
      </w:r>
    </w:p>
    <w:p w:rsidRPr="009C48DA" w:rsidR="00E25C97" w:rsidP="00E25C97" w:rsidRDefault="00E25C97" w14:paraId="6B1E6BF5" w14:textId="77777777">
      <w:pPr>
        <w:pStyle w:val="BodyText2SglJ"/>
        <w:rPr>
          <w:rFonts w:eastAsia="Calibri" w:cs="Arial"/>
          <w:lang w:val="en-GB"/>
        </w:rPr>
      </w:pPr>
      <w:r w:rsidRPr="009C48DA">
        <w:rPr>
          <w:rFonts w:eastAsia="Calibri" w:cs="Times New Roman"/>
          <w:i/>
          <w:lang w:val="en-GB"/>
        </w:rPr>
        <w:t xml:space="preserve">The risk factors deemed most material for the Group, taking into account their potential negative impact on the Group and the probability of their occurrence, are set out first. The absence of negative past experience associated with a given risk factor does not mean that the risks and uncertainties described in that risk factor are not genuine potential threats to the Group. This Registration Document also contains forward-looking statements that involve risks and uncertainties. </w:t>
      </w:r>
      <w:bookmarkStart w:name="_9kR3WTr2664EGbPhCKylkmw711DhaFJL" w:id="19"/>
      <w:r w:rsidRPr="009C48DA">
        <w:rPr>
          <w:rFonts w:eastAsia="Calibri" w:cs="Times New Roman"/>
          <w:i/>
          <w:lang w:val="en-GB"/>
        </w:rPr>
        <w:t>The Group’s</w:t>
      </w:r>
      <w:bookmarkEnd w:id="19"/>
      <w:r w:rsidRPr="009C48DA">
        <w:rPr>
          <w:rFonts w:eastAsia="Calibri" w:cs="Times New Roman"/>
          <w:i/>
          <w:lang w:val="en-GB"/>
        </w:rPr>
        <w:t xml:space="preserve"> actual results may differ materially from those anticipated in the forward-looking statements as a result of various factors, including the risks described below and elsewhere in this Registration Document.</w:t>
      </w:r>
    </w:p>
    <w:p w:rsidRPr="009C48DA" w:rsidR="00E25C97" w:rsidP="000C376E" w:rsidRDefault="00724C3F" w14:paraId="092092FD" w14:textId="19DF1409">
      <w:pPr>
        <w:pStyle w:val="TitleBAllCaps"/>
        <w:rPr>
          <w:rFonts w:cs="Arial"/>
        </w:rPr>
      </w:pPr>
      <w:bookmarkStart w:name="_Ref73467889" w:id="20"/>
      <w:bookmarkStart w:name="_Ref71146814" w:id="21"/>
      <w:r w:rsidRPr="009C48DA">
        <w:t>Risks related to the Group’s Business, Industry and Markets</w:t>
      </w:r>
      <w:bookmarkEnd w:id="20"/>
      <w:r w:rsidRPr="009C48DA" w:rsidR="00CC7F07">
        <w:t xml:space="preserve"> </w:t>
      </w:r>
      <w:bookmarkEnd w:id="21"/>
    </w:p>
    <w:p w:rsidRPr="009C48DA" w:rsidR="00E25C97" w:rsidP="00F428F0" w:rsidRDefault="00E25C97" w14:paraId="41B3A67D" w14:textId="0F31A1AC">
      <w:pPr>
        <w:pStyle w:val="TitleBI"/>
        <w:rPr>
          <w:lang w:val="en-GB"/>
        </w:rPr>
      </w:pPr>
      <w:r w:rsidRPr="009C48DA">
        <w:rPr>
          <w:lang w:val="en-GB"/>
        </w:rPr>
        <w:t xml:space="preserve">Poor performance by the </w:t>
      </w:r>
      <w:bookmarkStart w:name="_9kR3WTr26647BLHvihjt4yyAdZEy4" w:id="22"/>
      <w:r w:rsidRPr="009C48DA" w:rsidR="00EE2752">
        <w:rPr>
          <w:lang w:val="en-GB"/>
        </w:rPr>
        <w:t>Bridgepoint</w:t>
      </w:r>
      <w:r w:rsidRPr="009C48DA" w:rsidR="004338DD">
        <w:rPr>
          <w:lang w:val="en-GB"/>
        </w:rPr>
        <w:t xml:space="preserve"> funds </w:t>
      </w:r>
      <w:bookmarkEnd w:id="22"/>
      <w:r w:rsidRPr="009C48DA">
        <w:rPr>
          <w:lang w:val="en-GB"/>
        </w:rPr>
        <w:t xml:space="preserve">may adversely affect the </w:t>
      </w:r>
      <w:bookmarkStart w:name="_9kMHzG6ZWu5997AJTKylkmw711DhaFJL" w:id="23"/>
      <w:r w:rsidRPr="009C48DA">
        <w:rPr>
          <w:lang w:val="en-GB"/>
        </w:rPr>
        <w:t>Group’s</w:t>
      </w:r>
      <w:bookmarkEnd w:id="23"/>
      <w:r w:rsidRPr="009C48DA">
        <w:rPr>
          <w:lang w:val="en-GB"/>
        </w:rPr>
        <w:t xml:space="preserve"> business, brand and reputation, management fees, carried interest and </w:t>
      </w:r>
      <w:r w:rsidRPr="009C48DA" w:rsidR="00B26A1D">
        <w:rPr>
          <w:lang w:val="en-GB"/>
        </w:rPr>
        <w:t>i</w:t>
      </w:r>
      <w:r w:rsidRPr="009C48DA">
        <w:rPr>
          <w:lang w:val="en-GB"/>
        </w:rPr>
        <w:t xml:space="preserve">ncome </w:t>
      </w:r>
      <w:r w:rsidRPr="009C48DA" w:rsidR="003C36B4">
        <w:rPr>
          <w:lang w:val="en-GB"/>
        </w:rPr>
        <w:t xml:space="preserve">from the fair value remeasurement of investments </w:t>
      </w:r>
      <w:r w:rsidRPr="009C48DA">
        <w:rPr>
          <w:lang w:val="en-GB"/>
        </w:rPr>
        <w:t>received by the Group, its growth and its ability to raise capital for future funds.</w:t>
      </w:r>
    </w:p>
    <w:p w:rsidRPr="009C48DA" w:rsidR="00E25C97" w:rsidP="00676CA5" w:rsidRDefault="00E25C97" w14:paraId="2406D431" w14:textId="00F030F6">
      <w:pPr>
        <w:pStyle w:val="BodyText2SglJ"/>
        <w:rPr>
          <w:rFonts w:eastAsia="Calibri" w:cs="Arial"/>
          <w:lang w:val="en-GB"/>
        </w:rPr>
      </w:pPr>
      <w:r w:rsidRPr="009C48DA">
        <w:rPr>
          <w:rFonts w:eastAsia="Calibri" w:cs="Arial"/>
          <w:lang w:val="en-GB"/>
        </w:rPr>
        <w:t xml:space="preserve">In the event that certain of the </w:t>
      </w:r>
      <w:bookmarkStart w:name="_9kMHG5YVt48869DNJxkjlv600CfbG06" w:id="24"/>
      <w:r w:rsidRPr="009C48DA" w:rsidR="00EE2752">
        <w:rPr>
          <w:lang w:val="en-GB"/>
        </w:rPr>
        <w:t>Bridgepoint</w:t>
      </w:r>
      <w:r w:rsidRPr="009C48DA" w:rsidR="00EE2752">
        <w:rPr>
          <w:rFonts w:eastAsia="Calibri" w:cs="Arial"/>
          <w:lang w:val="en-GB"/>
        </w:rPr>
        <w:t xml:space="preserve"> </w:t>
      </w:r>
      <w:r w:rsidRPr="009C48DA" w:rsidR="007A03DC">
        <w:rPr>
          <w:rFonts w:eastAsia="Calibri" w:cs="Arial"/>
          <w:lang w:val="en-GB"/>
        </w:rPr>
        <w:t>f</w:t>
      </w:r>
      <w:r w:rsidRPr="009C48DA">
        <w:rPr>
          <w:rFonts w:eastAsia="Calibri" w:cs="Arial"/>
          <w:lang w:val="en-GB"/>
        </w:rPr>
        <w:t>unds</w:t>
      </w:r>
      <w:bookmarkEnd w:id="24"/>
      <w:r w:rsidRPr="009C48DA">
        <w:rPr>
          <w:rFonts w:eastAsia="Calibri" w:cs="Arial"/>
          <w:lang w:val="en-GB"/>
        </w:rPr>
        <w:t xml:space="preserve"> </w:t>
      </w:r>
      <w:r w:rsidRPr="009C48DA" w:rsidR="007A03DC">
        <w:rPr>
          <w:rFonts w:eastAsia="Calibri" w:cs="Arial"/>
          <w:lang w:val="en-GB"/>
        </w:rPr>
        <w:t xml:space="preserve">(all </w:t>
      </w:r>
      <w:r w:rsidRPr="009C48DA" w:rsidR="00EE2752">
        <w:rPr>
          <w:lang w:val="en-GB"/>
        </w:rPr>
        <w:t>Bridgepoint</w:t>
      </w:r>
      <w:r w:rsidRPr="009C48DA" w:rsidR="00EE2752">
        <w:rPr>
          <w:rFonts w:eastAsia="Calibri" w:cs="Arial"/>
          <w:lang w:val="en-GB"/>
        </w:rPr>
        <w:t xml:space="preserve"> </w:t>
      </w:r>
      <w:r w:rsidRPr="009C48DA" w:rsidR="007A03DC">
        <w:rPr>
          <w:rFonts w:eastAsia="Calibri" w:cs="Arial"/>
          <w:lang w:val="en-GB"/>
        </w:rPr>
        <w:t>funds together, the “</w:t>
      </w:r>
      <w:r w:rsidRPr="009C48DA" w:rsidR="00EE2752">
        <w:rPr>
          <w:b/>
          <w:lang w:val="en-GB"/>
        </w:rPr>
        <w:t>Bridgepoint</w:t>
      </w:r>
      <w:r w:rsidRPr="009C48DA" w:rsidR="00EE2752">
        <w:rPr>
          <w:rFonts w:eastAsia="Calibri" w:cs="Arial"/>
          <w:b/>
          <w:lang w:val="en-GB"/>
        </w:rPr>
        <w:t xml:space="preserve"> </w:t>
      </w:r>
      <w:r w:rsidRPr="009C48DA" w:rsidR="007A03DC">
        <w:rPr>
          <w:rFonts w:eastAsia="Calibri" w:cs="Arial"/>
          <w:b/>
          <w:lang w:val="en-GB"/>
        </w:rPr>
        <w:t>Funds</w:t>
      </w:r>
      <w:r w:rsidRPr="009C48DA" w:rsidR="007A03DC">
        <w:rPr>
          <w:rFonts w:eastAsia="Calibri" w:cs="Arial"/>
          <w:lang w:val="en-GB"/>
        </w:rPr>
        <w:t>”, and each a “</w:t>
      </w:r>
      <w:r w:rsidRPr="009C48DA" w:rsidR="00EE2752">
        <w:rPr>
          <w:b/>
          <w:lang w:val="en-GB"/>
        </w:rPr>
        <w:t>Bridgepoint</w:t>
      </w:r>
      <w:r w:rsidRPr="009C48DA" w:rsidR="00EE2752">
        <w:rPr>
          <w:rFonts w:eastAsia="Calibri" w:cs="Arial"/>
          <w:b/>
          <w:lang w:val="en-GB"/>
        </w:rPr>
        <w:t xml:space="preserve"> </w:t>
      </w:r>
      <w:r w:rsidRPr="009C48DA" w:rsidR="007A03DC">
        <w:rPr>
          <w:rFonts w:eastAsia="Calibri" w:cs="Arial"/>
          <w:b/>
          <w:lang w:val="en-GB"/>
        </w:rPr>
        <w:t>Fund</w:t>
      </w:r>
      <w:r w:rsidRPr="009C48DA" w:rsidR="007A03DC">
        <w:rPr>
          <w:rFonts w:eastAsia="Calibri" w:cs="Arial"/>
          <w:lang w:val="en-GB"/>
        </w:rPr>
        <w:t xml:space="preserve">”) </w:t>
      </w:r>
      <w:r w:rsidRPr="009C48DA">
        <w:rPr>
          <w:rFonts w:eastAsia="Calibri" w:cs="Arial"/>
          <w:lang w:val="en-GB"/>
        </w:rPr>
        <w:t xml:space="preserve">were to perform unsatisfactorily, in particular if this were the case for a larger </w:t>
      </w:r>
      <w:bookmarkStart w:name="_9kMIH5YVt48869DNJxkjlv600CfbG06" w:id="25"/>
      <w:r w:rsidRPr="009C48DA" w:rsidR="00EE2752">
        <w:rPr>
          <w:lang w:val="en-GB"/>
        </w:rPr>
        <w:t>Bridgepoint</w:t>
      </w:r>
      <w:r w:rsidRPr="009C48DA" w:rsidR="00EE2752">
        <w:rPr>
          <w:rFonts w:eastAsia="Calibri" w:cs="Arial"/>
          <w:lang w:val="en-GB"/>
        </w:rPr>
        <w:t xml:space="preserve"> </w:t>
      </w:r>
      <w:r w:rsidRPr="009C48DA">
        <w:rPr>
          <w:rFonts w:eastAsia="Calibri" w:cs="Arial"/>
          <w:lang w:val="en-GB"/>
        </w:rPr>
        <w:t>Fund</w:t>
      </w:r>
      <w:bookmarkEnd w:id="25"/>
      <w:r w:rsidRPr="009C48DA">
        <w:rPr>
          <w:rFonts w:eastAsia="Calibri" w:cs="Arial"/>
          <w:lang w:val="en-GB"/>
        </w:rPr>
        <w:t xml:space="preserve"> </w:t>
      </w:r>
      <w:r w:rsidRPr="009C48DA" w:rsidR="00D13D51">
        <w:rPr>
          <w:rFonts w:eastAsia="Calibri" w:cs="Arial"/>
          <w:lang w:val="en-GB"/>
        </w:rPr>
        <w:t>(</w:t>
      </w:r>
      <w:r w:rsidRPr="009C48DA">
        <w:rPr>
          <w:rFonts w:eastAsia="Calibri" w:cs="Arial"/>
          <w:lang w:val="en-GB"/>
        </w:rPr>
        <w:t xml:space="preserve">for example the current flagship fund, </w:t>
      </w:r>
      <w:bookmarkStart w:name="_9kR3WTr26647AKHvihjt4yyAcYIDC3kJ" w:id="26"/>
      <w:r w:rsidRPr="009C48DA" w:rsidR="00EE2752">
        <w:rPr>
          <w:lang w:val="en-GB"/>
        </w:rPr>
        <w:t>Bridgepoint</w:t>
      </w:r>
      <w:r w:rsidRPr="009C48DA" w:rsidR="00EE2752">
        <w:rPr>
          <w:rFonts w:eastAsia="Calibri" w:cs="Arial"/>
          <w:lang w:val="en-GB"/>
        </w:rPr>
        <w:t xml:space="preserve"> </w:t>
      </w:r>
      <w:r w:rsidRPr="009C48DA">
        <w:rPr>
          <w:rFonts w:eastAsia="Calibri" w:cs="Arial"/>
          <w:lang w:val="en-GB"/>
        </w:rPr>
        <w:t>Europe VI</w:t>
      </w:r>
      <w:bookmarkEnd w:id="26"/>
      <w:r w:rsidRPr="009C48DA">
        <w:rPr>
          <w:rFonts w:eastAsia="Calibri" w:cs="Arial"/>
          <w:lang w:val="en-GB"/>
        </w:rPr>
        <w:t xml:space="preserve"> or its successors</w:t>
      </w:r>
      <w:r w:rsidRPr="009C48DA" w:rsidR="00D13D51">
        <w:rPr>
          <w:rFonts w:eastAsia="Calibri" w:cs="Arial"/>
          <w:lang w:val="en-GB"/>
        </w:rPr>
        <w:t>)</w:t>
      </w:r>
      <w:r w:rsidRPr="009C48DA">
        <w:rPr>
          <w:rFonts w:eastAsia="Calibri" w:cs="Arial"/>
          <w:lang w:val="en-GB"/>
        </w:rPr>
        <w:t xml:space="preserve">, this may adversely affect the </w:t>
      </w:r>
      <w:bookmarkStart w:name="_9kMH1I6ZWu5997AJTKylkmw711DhaFJL" w:id="27"/>
      <w:r w:rsidRPr="009C48DA">
        <w:rPr>
          <w:rFonts w:eastAsia="Calibri" w:cs="Arial"/>
          <w:lang w:val="en-GB"/>
        </w:rPr>
        <w:t>Group’s</w:t>
      </w:r>
      <w:bookmarkEnd w:id="27"/>
      <w:r w:rsidRPr="009C48DA">
        <w:rPr>
          <w:rFonts w:eastAsia="Calibri" w:cs="Arial"/>
          <w:lang w:val="en-GB"/>
        </w:rPr>
        <w:t xml:space="preserve"> business, brand and reputation and lead to difficulties for the Group in attracting fund investors and raising capital for new funds in the future </w:t>
      </w:r>
      <w:r w:rsidRPr="009C48DA" w:rsidR="00D13D51">
        <w:rPr>
          <w:rFonts w:eastAsia="Calibri" w:cs="Arial"/>
          <w:lang w:val="en-GB"/>
        </w:rPr>
        <w:t>(</w:t>
      </w:r>
      <w:r w:rsidRPr="009C48DA">
        <w:rPr>
          <w:rFonts w:eastAsia="Calibri" w:cs="Arial"/>
          <w:lang w:val="en-GB"/>
        </w:rPr>
        <w:t>in particular for future flagship funds</w:t>
      </w:r>
      <w:r w:rsidRPr="009C48DA" w:rsidR="00D13D51">
        <w:rPr>
          <w:rFonts w:eastAsia="Calibri" w:cs="Arial"/>
          <w:lang w:val="en-GB"/>
        </w:rPr>
        <w:t>)</w:t>
      </w:r>
      <w:r w:rsidRPr="009C48DA">
        <w:rPr>
          <w:rFonts w:eastAsia="Calibri" w:cs="Arial"/>
          <w:lang w:val="en-GB"/>
        </w:rPr>
        <w:t xml:space="preserve">. Investors and potential investors in the </w:t>
      </w:r>
      <w:bookmarkStart w:name="_9kMKJ5YVt48869DNJxkjlv600CfbG06" w:id="28"/>
      <w:r w:rsidRPr="009C48DA" w:rsidR="00EE2752">
        <w:rPr>
          <w:lang w:val="en-GB"/>
        </w:rPr>
        <w:t>Bridgepoint</w:t>
      </w:r>
      <w:r w:rsidRPr="009C48DA" w:rsidR="00EE2752">
        <w:rPr>
          <w:rFonts w:eastAsia="Calibri" w:cs="Arial"/>
          <w:lang w:val="en-GB"/>
        </w:rPr>
        <w:t xml:space="preserve"> </w:t>
      </w:r>
      <w:r w:rsidRPr="009C48DA">
        <w:rPr>
          <w:rFonts w:eastAsia="Calibri" w:cs="Arial"/>
          <w:lang w:val="en-GB"/>
        </w:rPr>
        <w:t>Funds</w:t>
      </w:r>
      <w:bookmarkEnd w:id="28"/>
      <w:r w:rsidRPr="009C48DA">
        <w:rPr>
          <w:rFonts w:eastAsia="Calibri" w:cs="Arial"/>
          <w:lang w:val="en-GB"/>
        </w:rPr>
        <w:t xml:space="preserve"> continuously assess the </w:t>
      </w:r>
      <w:bookmarkStart w:name="_9kMLK5YVt48869DNJxkjlv600CfbG06" w:id="29"/>
      <w:r w:rsidRPr="009C48DA" w:rsidR="00EE2752">
        <w:rPr>
          <w:lang w:val="en-GB"/>
        </w:rPr>
        <w:t>Bridgepoint</w:t>
      </w:r>
      <w:r w:rsidRPr="009C48DA" w:rsidR="00EE2752">
        <w:rPr>
          <w:rFonts w:eastAsia="Calibri" w:cs="Arial"/>
          <w:lang w:val="en-GB"/>
        </w:rPr>
        <w:t xml:space="preserve"> </w:t>
      </w:r>
      <w:r w:rsidRPr="009C48DA">
        <w:rPr>
          <w:rFonts w:eastAsia="Calibri" w:cs="Arial"/>
          <w:lang w:val="en-GB"/>
        </w:rPr>
        <w:t>Funds’</w:t>
      </w:r>
      <w:bookmarkEnd w:id="29"/>
      <w:r w:rsidRPr="009C48DA">
        <w:rPr>
          <w:rFonts w:eastAsia="Calibri" w:cs="Arial"/>
          <w:lang w:val="en-GB"/>
        </w:rPr>
        <w:t xml:space="preserve"> performance, and the </w:t>
      </w:r>
      <w:bookmarkStart w:name="_9kMH3K6ZWu5997AJTKylkmw711DhaFJL" w:id="30"/>
      <w:r w:rsidRPr="009C48DA">
        <w:rPr>
          <w:rFonts w:eastAsia="Calibri" w:cs="Arial"/>
          <w:lang w:val="en-GB"/>
        </w:rPr>
        <w:t>Group’s</w:t>
      </w:r>
      <w:bookmarkEnd w:id="30"/>
      <w:r w:rsidRPr="009C48DA">
        <w:rPr>
          <w:rFonts w:eastAsia="Calibri" w:cs="Arial"/>
          <w:lang w:val="en-GB"/>
        </w:rPr>
        <w:t xml:space="preserve"> ability to raise capital for existing and future funds will depend on the </w:t>
      </w:r>
      <w:bookmarkStart w:name="_9kMML5YVt48869DNJxkjlv600CfbG06" w:id="31"/>
      <w:r w:rsidRPr="009C48DA" w:rsidR="00EE2752">
        <w:rPr>
          <w:lang w:val="en-GB"/>
        </w:rPr>
        <w:t>Bridgepoint</w:t>
      </w:r>
      <w:r w:rsidRPr="009C48DA" w:rsidR="00EE2752">
        <w:rPr>
          <w:rFonts w:eastAsia="Calibri" w:cs="Arial"/>
          <w:lang w:val="en-GB"/>
        </w:rPr>
        <w:t xml:space="preserve"> </w:t>
      </w:r>
      <w:r w:rsidRPr="009C48DA">
        <w:rPr>
          <w:rFonts w:eastAsia="Calibri" w:cs="Arial"/>
          <w:lang w:val="en-GB"/>
        </w:rPr>
        <w:t>Funds’</w:t>
      </w:r>
      <w:bookmarkEnd w:id="31"/>
      <w:r w:rsidRPr="009C48DA">
        <w:rPr>
          <w:rFonts w:eastAsia="Calibri" w:cs="Arial"/>
          <w:lang w:val="en-GB"/>
        </w:rPr>
        <w:t xml:space="preserve"> satisfactory performance. Accordingly, poor performance may deter future investments in the </w:t>
      </w:r>
      <w:bookmarkStart w:name="_9kMNM5YVt48869DNJxkjlv600CfbG06" w:id="32"/>
      <w:r w:rsidRPr="009C48DA">
        <w:rPr>
          <w:rFonts w:eastAsia="Calibri" w:cs="Arial"/>
          <w:lang w:val="en-GB"/>
        </w:rPr>
        <w:t xml:space="preserve">funds managed by the Group </w:t>
      </w:r>
      <w:bookmarkEnd w:id="32"/>
      <w:r w:rsidRPr="009C48DA">
        <w:rPr>
          <w:rFonts w:eastAsia="Calibri" w:cs="Arial"/>
          <w:lang w:val="en-GB"/>
        </w:rPr>
        <w:t xml:space="preserve">and thereby decrease the capital invested in the </w:t>
      </w:r>
      <w:bookmarkStart w:name="_9kMON5YVt48869DNJxkjlv600CfbG06" w:id="33"/>
      <w:r w:rsidRPr="009C48DA" w:rsidR="00EE2752">
        <w:rPr>
          <w:lang w:val="en-GB"/>
        </w:rPr>
        <w:t>Bridgepoint</w:t>
      </w:r>
      <w:r w:rsidRPr="009C48DA" w:rsidR="00EE2752">
        <w:rPr>
          <w:rFonts w:eastAsia="Calibri" w:cs="Arial"/>
          <w:lang w:val="en-GB"/>
        </w:rPr>
        <w:t xml:space="preserve"> </w:t>
      </w:r>
      <w:r w:rsidRPr="009C48DA">
        <w:rPr>
          <w:rFonts w:eastAsia="Calibri" w:cs="Arial"/>
          <w:lang w:val="en-GB"/>
        </w:rPr>
        <w:t>Funds</w:t>
      </w:r>
      <w:bookmarkEnd w:id="33"/>
      <w:r w:rsidRPr="009C48DA">
        <w:rPr>
          <w:rFonts w:eastAsia="Calibri" w:cs="Arial"/>
          <w:lang w:val="en-GB"/>
        </w:rPr>
        <w:t xml:space="preserve">. In turn, this could materially adversely affect the size of the </w:t>
      </w:r>
      <w:r w:rsidRPr="009C48DA">
        <w:rPr>
          <w:rFonts w:eastAsia="Calibri" w:cs="Arial"/>
          <w:szCs w:val="20"/>
          <w:lang w:val="en-GB"/>
        </w:rPr>
        <w:t>Gr</w:t>
      </w:r>
      <w:r w:rsidRPr="009C48DA" w:rsidR="00600E87">
        <w:rPr>
          <w:rFonts w:eastAsia="Calibri" w:cs="Arial"/>
          <w:szCs w:val="20"/>
          <w:lang w:val="en-GB"/>
        </w:rPr>
        <w:t xml:space="preserve">oup’s </w:t>
      </w:r>
      <w:r w:rsidRPr="009C48DA" w:rsidR="003C36B4">
        <w:rPr>
          <w:rFonts w:cs="Times New Roman"/>
          <w:szCs w:val="20"/>
          <w:lang w:val="en-GB"/>
        </w:rPr>
        <w:t>assets under management</w:t>
      </w:r>
      <w:r w:rsidRPr="009C48DA" w:rsidR="00B23F18">
        <w:rPr>
          <w:rFonts w:cs="Times New Roman"/>
          <w:szCs w:val="20"/>
          <w:lang w:val="en-GB"/>
        </w:rPr>
        <w:t>, excluding collateralised loan obligations (“</w:t>
      </w:r>
      <w:r w:rsidRPr="009C48DA" w:rsidR="00B23F18">
        <w:rPr>
          <w:rFonts w:cs="Times New Roman"/>
          <w:b/>
          <w:szCs w:val="20"/>
          <w:lang w:val="en-GB"/>
        </w:rPr>
        <w:t>CLOs</w:t>
      </w:r>
      <w:r w:rsidRPr="009C48DA" w:rsidR="00B23F18">
        <w:rPr>
          <w:rFonts w:cs="Times New Roman"/>
          <w:szCs w:val="20"/>
          <w:lang w:val="en-GB"/>
        </w:rPr>
        <w:t>”)</w:t>
      </w:r>
      <w:r w:rsidRPr="009C48DA" w:rsidR="00B23F18">
        <w:rPr>
          <w:szCs w:val="20"/>
          <w:lang w:val="en-GB"/>
        </w:rPr>
        <w:t>,</w:t>
      </w:r>
      <w:r w:rsidRPr="009C48DA" w:rsidR="00971B19">
        <w:rPr>
          <w:rFonts w:cs="Times New Roman"/>
          <w:szCs w:val="20"/>
          <w:lang w:val="en-GB"/>
        </w:rPr>
        <w:t xml:space="preserve"> upon which management fees are charged by the Group</w:t>
      </w:r>
      <w:r w:rsidRPr="009C48DA" w:rsidR="003C36B4">
        <w:rPr>
          <w:szCs w:val="20"/>
          <w:lang w:val="en-GB"/>
        </w:rPr>
        <w:t xml:space="preserve"> (“</w:t>
      </w:r>
      <w:r w:rsidRPr="009C48DA" w:rsidR="003C36B4">
        <w:rPr>
          <w:b/>
          <w:szCs w:val="20"/>
          <w:lang w:val="en-GB"/>
        </w:rPr>
        <w:t>AUM</w:t>
      </w:r>
      <w:r w:rsidRPr="009C48DA" w:rsidR="003C36B4">
        <w:rPr>
          <w:szCs w:val="20"/>
          <w:lang w:val="en-GB"/>
        </w:rPr>
        <w:t>”)</w:t>
      </w:r>
      <w:r w:rsidRPr="009C48DA">
        <w:rPr>
          <w:rFonts w:eastAsia="Calibri" w:cs="Arial"/>
          <w:szCs w:val="20"/>
          <w:lang w:val="en-GB"/>
        </w:rPr>
        <w:t>, which could result in a decrease in the Group’s income from management fees. The development of the Group’s AUM is primarily dependent on the Group’s ability to raise capital for new funds, deliver attractive absolute and relative returns to fund investors, the</w:t>
      </w:r>
      <w:r w:rsidRPr="009C48DA">
        <w:rPr>
          <w:rFonts w:eastAsia="Calibri" w:cs="Arial"/>
          <w:lang w:val="en-GB"/>
        </w:rPr>
        <w:t xml:space="preserve"> execution of the Group’s growth </w:t>
      </w:r>
      <w:r w:rsidRPr="009C48DA" w:rsidR="003C36B4">
        <w:rPr>
          <w:rFonts w:eastAsia="Calibri" w:cs="Arial"/>
          <w:lang w:val="en-GB"/>
        </w:rPr>
        <w:t xml:space="preserve">and diversification </w:t>
      </w:r>
      <w:r w:rsidRPr="009C48DA">
        <w:rPr>
          <w:rFonts w:eastAsia="Calibri" w:cs="Arial"/>
          <w:lang w:val="en-GB"/>
        </w:rPr>
        <w:t xml:space="preserve">strategy and the Group being able to maintain its strong brand and positive reputation. AUM is also dependent on the current life cycle stages of the </w:t>
      </w:r>
      <w:r w:rsidRPr="009C48DA" w:rsidR="00EE2752">
        <w:rPr>
          <w:lang w:val="en-GB"/>
        </w:rPr>
        <w:t>Bridgepoint</w:t>
      </w:r>
      <w:r w:rsidRPr="009C48DA" w:rsidR="00EE2752">
        <w:rPr>
          <w:rFonts w:eastAsia="Calibri" w:cs="Arial"/>
          <w:lang w:val="en-GB"/>
        </w:rPr>
        <w:t xml:space="preserve"> </w:t>
      </w:r>
      <w:r w:rsidRPr="009C48DA">
        <w:rPr>
          <w:rFonts w:eastAsia="Calibri" w:cs="Arial"/>
          <w:lang w:val="en-GB"/>
        </w:rPr>
        <w:t xml:space="preserve">Funds, including </w:t>
      </w:r>
      <w:r w:rsidRPr="009C48DA" w:rsidR="00D13D51">
        <w:rPr>
          <w:rFonts w:eastAsia="Calibri" w:cs="Arial"/>
          <w:lang w:val="en-GB"/>
        </w:rPr>
        <w:t xml:space="preserve">with respect to </w:t>
      </w:r>
      <w:r w:rsidRPr="009C48DA">
        <w:rPr>
          <w:rFonts w:eastAsia="Calibri" w:cs="Arial"/>
          <w:lang w:val="en-GB"/>
        </w:rPr>
        <w:t>the maturity of the funds and the realisation of investments. Thus, if the Group’s AUM does not grow as expected, or even declines, or if management fee rates decrease, this may adversel</w:t>
      </w:r>
      <w:r w:rsidRPr="009C48DA" w:rsidR="00625F10">
        <w:rPr>
          <w:rFonts w:eastAsia="Calibri" w:cs="Arial"/>
          <w:lang w:val="en-GB"/>
        </w:rPr>
        <w:t>y affect, in the medium or long-</w:t>
      </w:r>
      <w:r w:rsidRPr="009C48DA">
        <w:rPr>
          <w:rFonts w:eastAsia="Calibri" w:cs="Arial"/>
          <w:lang w:val="en-GB"/>
        </w:rPr>
        <w:t xml:space="preserve">term, the management fees received by the Group. </w:t>
      </w:r>
      <w:r w:rsidRPr="009C48DA" w:rsidDel="00571B6B">
        <w:rPr>
          <w:rFonts w:eastAsia="Calibri" w:cs="Arial"/>
          <w:lang w:val="en-GB"/>
        </w:rPr>
        <w:t xml:space="preserve">Given that </w:t>
      </w:r>
      <w:r w:rsidRPr="009C48DA" w:rsidR="00F2747F">
        <w:rPr>
          <w:rFonts w:eastAsia="Calibri" w:cs="Arial"/>
          <w:lang w:val="en-GB"/>
        </w:rPr>
        <w:t>77</w:t>
      </w:r>
      <w:r w:rsidRPr="009C48DA" w:rsidDel="00571B6B">
        <w:rPr>
          <w:rFonts w:eastAsia="Calibri" w:cs="Arial"/>
          <w:lang w:val="en-GB"/>
        </w:rPr>
        <w:t xml:space="preserve"> </w:t>
      </w:r>
      <w:r w:rsidRPr="009C48DA">
        <w:rPr>
          <w:rFonts w:eastAsia="Calibri" w:cs="Arial"/>
          <w:lang w:val="en-GB"/>
        </w:rPr>
        <w:t>per</w:t>
      </w:r>
      <w:r w:rsidRPr="009C48DA" w:rsidR="006912B8">
        <w:rPr>
          <w:rFonts w:eastAsia="Calibri" w:cs="Arial"/>
          <w:lang w:val="en-GB"/>
        </w:rPr>
        <w:t xml:space="preserve"> </w:t>
      </w:r>
      <w:r w:rsidRPr="009C48DA">
        <w:rPr>
          <w:rFonts w:eastAsia="Calibri" w:cs="Arial"/>
          <w:lang w:val="en-GB"/>
        </w:rPr>
        <w:t>cent</w:t>
      </w:r>
      <w:r w:rsidRPr="009C48DA" w:rsidDel="00571B6B">
        <w:rPr>
          <w:rFonts w:eastAsia="Calibri" w:cs="Arial"/>
          <w:lang w:val="en-GB"/>
        </w:rPr>
        <w:t xml:space="preserve"> of the </w:t>
      </w:r>
      <w:r w:rsidRPr="009C48DA">
        <w:rPr>
          <w:rFonts w:eastAsia="Calibri" w:cs="Arial"/>
          <w:lang w:val="en-GB"/>
        </w:rPr>
        <w:t>Group</w:t>
      </w:r>
      <w:r w:rsidRPr="009C48DA" w:rsidR="004374B1">
        <w:rPr>
          <w:rFonts w:eastAsia="Calibri" w:cs="Arial"/>
          <w:lang w:val="en-GB"/>
        </w:rPr>
        <w:t xml:space="preserve">’s total </w:t>
      </w:r>
      <w:r w:rsidRPr="009C48DA" w:rsidR="00D13D51">
        <w:rPr>
          <w:rFonts w:eastAsia="Calibri" w:cs="Arial"/>
          <w:lang w:val="en-GB"/>
        </w:rPr>
        <w:t xml:space="preserve">operating income </w:t>
      </w:r>
      <w:r w:rsidRPr="009C48DA" w:rsidR="004374B1">
        <w:rPr>
          <w:rFonts w:eastAsia="Calibri" w:cs="Arial"/>
          <w:lang w:val="en-GB"/>
        </w:rPr>
        <w:t>was</w:t>
      </w:r>
      <w:r w:rsidRPr="009C48DA" w:rsidDel="00571B6B">
        <w:rPr>
          <w:rFonts w:eastAsia="Calibri" w:cs="Arial"/>
          <w:lang w:val="en-GB"/>
        </w:rPr>
        <w:t xml:space="preserve"> from management fees in the year ended 31 December 2020, any such future changes could have a material adverse effect on the </w:t>
      </w:r>
      <w:r w:rsidRPr="009C48DA">
        <w:rPr>
          <w:rFonts w:eastAsia="Calibri" w:cs="Arial"/>
          <w:lang w:val="en-GB"/>
        </w:rPr>
        <w:t>Group’s business, revenue</w:t>
      </w:r>
      <w:r w:rsidRPr="009C48DA" w:rsidDel="00571B6B">
        <w:rPr>
          <w:rFonts w:eastAsia="Calibri" w:cs="Arial"/>
          <w:lang w:val="en-GB"/>
        </w:rPr>
        <w:t>, net income and cash flows</w:t>
      </w:r>
      <w:r w:rsidRPr="009C48DA">
        <w:rPr>
          <w:rFonts w:eastAsia="Calibri" w:cs="Arial"/>
          <w:lang w:val="en-GB"/>
        </w:rPr>
        <w:t>.</w:t>
      </w:r>
    </w:p>
    <w:p w:rsidRPr="009C48DA" w:rsidR="00E25C97" w:rsidP="00676CA5" w:rsidRDefault="00E25C97" w14:paraId="350719EB" w14:textId="2EC7FCC1">
      <w:pPr>
        <w:pStyle w:val="BodyText2SglJ"/>
        <w:rPr>
          <w:rFonts w:eastAsia="Calibri" w:cs="Arial"/>
          <w:szCs w:val="20"/>
          <w:lang w:val="en-GB"/>
        </w:rPr>
      </w:pPr>
      <w:r w:rsidRPr="009C48DA">
        <w:rPr>
          <w:rFonts w:eastAsia="Calibri" w:cs="Arial"/>
          <w:lang w:val="en-GB"/>
        </w:rPr>
        <w:t xml:space="preserve">The performance of the </w:t>
      </w:r>
      <w:bookmarkStart w:name="_9kMH1I6ZWu5997AEOKylkmw711DgcH17" w:id="34"/>
      <w:r w:rsidRPr="009C48DA" w:rsidR="006D5BFE">
        <w:rPr>
          <w:lang w:val="en-GB"/>
        </w:rPr>
        <w:t>Bridgepoint</w:t>
      </w:r>
      <w:r w:rsidRPr="009C48DA" w:rsidR="006D5BFE">
        <w:rPr>
          <w:rFonts w:eastAsia="Calibri" w:cs="Arial"/>
          <w:lang w:val="en-GB"/>
        </w:rPr>
        <w:t xml:space="preserve"> </w:t>
      </w:r>
      <w:r w:rsidRPr="009C48DA">
        <w:rPr>
          <w:rFonts w:eastAsia="Calibri" w:cs="Arial"/>
          <w:lang w:val="en-GB"/>
        </w:rPr>
        <w:t>Funds</w:t>
      </w:r>
      <w:bookmarkEnd w:id="34"/>
      <w:r w:rsidRPr="009C48DA">
        <w:rPr>
          <w:rFonts w:eastAsia="Calibri" w:cs="Arial"/>
          <w:lang w:val="en-GB"/>
        </w:rPr>
        <w:t xml:space="preserve"> could be adversely affected by a number of factors, for instance</w:t>
      </w:r>
      <w:r w:rsidRPr="009C48DA" w:rsidR="008B5DAC">
        <w:rPr>
          <w:rFonts w:eastAsia="Calibri" w:cs="Arial"/>
          <w:lang w:val="en-GB"/>
        </w:rPr>
        <w:t>,</w:t>
      </w:r>
      <w:r w:rsidRPr="009C48DA">
        <w:rPr>
          <w:rFonts w:eastAsia="Calibri" w:cs="Arial"/>
          <w:lang w:val="en-GB"/>
        </w:rPr>
        <w:t xml:space="preserve"> if competition for investment opportunities on which a particular </w:t>
      </w:r>
      <w:bookmarkStart w:name="_9kMH2J6ZWu5997AEOKylkmw711DgcH17" w:id="35"/>
      <w:r w:rsidRPr="009C48DA" w:rsidR="006D5BFE">
        <w:rPr>
          <w:lang w:val="en-GB"/>
        </w:rPr>
        <w:t>Bridgepoint</w:t>
      </w:r>
      <w:r w:rsidRPr="009C48DA" w:rsidR="006D5BFE">
        <w:rPr>
          <w:rFonts w:eastAsia="Calibri" w:cs="Arial"/>
          <w:lang w:val="en-GB"/>
        </w:rPr>
        <w:t xml:space="preserve"> </w:t>
      </w:r>
      <w:r w:rsidRPr="009C48DA">
        <w:rPr>
          <w:rFonts w:eastAsia="Calibri" w:cs="Arial"/>
          <w:lang w:val="en-GB"/>
        </w:rPr>
        <w:t>Fund</w:t>
      </w:r>
      <w:bookmarkEnd w:id="35"/>
      <w:r w:rsidRPr="009C48DA">
        <w:rPr>
          <w:rFonts w:eastAsia="Calibri" w:cs="Arial"/>
          <w:lang w:val="en-GB"/>
        </w:rPr>
        <w:t xml:space="preserve"> is focused increases. Competition for investment opportunities is based primarily on the ability to source such investment opportunities, the pricing, terms and structure of a proposed investment and certainty of execution. Competition for investment opportunities is also influenced by the </w:t>
      </w:r>
      <w:bookmarkStart w:name="_9kMH3K6ZWu5997AEOKylkmw711DgcH17" w:id="36"/>
      <w:r w:rsidRPr="009C48DA" w:rsidR="006D5BFE">
        <w:rPr>
          <w:lang w:val="en-GB"/>
        </w:rPr>
        <w:t>Bridgepoint</w:t>
      </w:r>
      <w:r w:rsidRPr="009C48DA" w:rsidR="006D5BFE">
        <w:rPr>
          <w:rFonts w:eastAsia="Calibri" w:cs="Arial"/>
          <w:lang w:val="en-GB"/>
        </w:rPr>
        <w:t xml:space="preserve"> </w:t>
      </w:r>
      <w:r w:rsidRPr="009C48DA">
        <w:rPr>
          <w:rFonts w:eastAsia="Calibri" w:cs="Arial"/>
          <w:lang w:val="en-GB"/>
        </w:rPr>
        <w:t>Funds’</w:t>
      </w:r>
      <w:bookmarkEnd w:id="36"/>
      <w:r w:rsidRPr="009C48DA">
        <w:rPr>
          <w:rFonts w:eastAsia="Calibri" w:cs="Arial"/>
          <w:lang w:val="en-GB"/>
        </w:rPr>
        <w:t xml:space="preserve"> historical returns. For example, a </w:t>
      </w:r>
      <w:bookmarkStart w:name="_9kMH4L6ZWu5997AEOKylkmw711DgcH17" w:id="37"/>
      <w:r w:rsidRPr="009C48DA" w:rsidR="006D5BFE">
        <w:rPr>
          <w:lang w:val="en-GB"/>
        </w:rPr>
        <w:t>Bridgepoint</w:t>
      </w:r>
      <w:r w:rsidRPr="009C48DA" w:rsidR="006D5BFE">
        <w:rPr>
          <w:rFonts w:eastAsia="Calibri" w:cs="Arial"/>
          <w:lang w:val="en-GB"/>
        </w:rPr>
        <w:t xml:space="preserve"> </w:t>
      </w:r>
      <w:r w:rsidRPr="009C48DA">
        <w:rPr>
          <w:rFonts w:eastAsia="Calibri" w:cs="Arial"/>
          <w:lang w:val="en-GB"/>
        </w:rPr>
        <w:t>Fund</w:t>
      </w:r>
      <w:bookmarkEnd w:id="37"/>
      <w:r w:rsidRPr="009C48DA">
        <w:rPr>
          <w:rFonts w:eastAsia="Calibri" w:cs="Arial"/>
          <w:lang w:val="en-GB"/>
        </w:rPr>
        <w:t xml:space="preserve"> may be chosen as the preferred acquirer because of </w:t>
      </w:r>
      <w:bookmarkStart w:name="_9kMHG5YVt48868FQJxkjlv600C" w:id="38"/>
      <w:r w:rsidRPr="009C48DA">
        <w:rPr>
          <w:rFonts w:eastAsia="Calibri" w:cs="Arial"/>
          <w:lang w:val="en-GB"/>
        </w:rPr>
        <w:t>the Group’s</w:t>
      </w:r>
      <w:bookmarkEnd w:id="38"/>
      <w:r w:rsidRPr="009C48DA">
        <w:rPr>
          <w:rFonts w:eastAsia="Calibri" w:cs="Arial"/>
          <w:lang w:val="en-GB"/>
        </w:rPr>
        <w:t xml:space="preserve"> history even where competitors are on </w:t>
      </w:r>
      <w:r w:rsidRPr="009C48DA" w:rsidR="00D13D51">
        <w:rPr>
          <w:rFonts w:eastAsia="Calibri" w:cs="Arial"/>
          <w:lang w:val="en-GB"/>
        </w:rPr>
        <w:t xml:space="preserve">an </w:t>
      </w:r>
      <w:r w:rsidRPr="009C48DA">
        <w:rPr>
          <w:rFonts w:eastAsia="Calibri" w:cs="Arial"/>
          <w:lang w:val="en-GB"/>
        </w:rPr>
        <w:t xml:space="preserve">equal or </w:t>
      </w:r>
      <w:r w:rsidRPr="009C48DA">
        <w:rPr>
          <w:rFonts w:eastAsia="Calibri" w:cs="Arial"/>
          <w:szCs w:val="20"/>
          <w:lang w:val="en-GB"/>
        </w:rPr>
        <w:t xml:space="preserve">better footing in terms of pricing at the time of investment; conversely, a </w:t>
      </w:r>
      <w:bookmarkStart w:name="_9kMH5M6ZWu5997AEOKylkmw711DgcH17" w:id="39"/>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w:t>
      </w:r>
      <w:bookmarkEnd w:id="39"/>
      <w:r w:rsidRPr="009C48DA">
        <w:rPr>
          <w:rFonts w:eastAsia="Calibri" w:cs="Arial"/>
          <w:szCs w:val="20"/>
          <w:lang w:val="en-GB"/>
        </w:rPr>
        <w:t xml:space="preserve"> may lose out on a potential investment if </w:t>
      </w:r>
      <w:bookmarkStart w:name="_9kMIH5YVt48868FQJxkjlv600C" w:id="40"/>
      <w:r w:rsidRPr="009C48DA">
        <w:rPr>
          <w:rFonts w:eastAsia="Calibri" w:cs="Arial"/>
          <w:szCs w:val="20"/>
          <w:lang w:val="en-GB"/>
        </w:rPr>
        <w:t xml:space="preserve">the </w:t>
      </w:r>
      <w:bookmarkEnd w:id="40"/>
      <w:r w:rsidRPr="009C48DA">
        <w:rPr>
          <w:rFonts w:eastAsia="Calibri" w:cs="Arial"/>
          <w:szCs w:val="20"/>
          <w:lang w:val="en-GB"/>
        </w:rPr>
        <w:t xml:space="preserve">Group has been damaged by poor performance, even where the </w:t>
      </w:r>
      <w:bookmarkStart w:name="_9kMH6N6ZWu5997AEOKylkmw711DgcH17" w:id="41"/>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w:t>
      </w:r>
      <w:bookmarkEnd w:id="41"/>
      <w:r w:rsidRPr="009C48DA">
        <w:rPr>
          <w:rFonts w:eastAsia="Calibri" w:cs="Arial"/>
          <w:szCs w:val="20"/>
          <w:lang w:val="en-GB"/>
        </w:rPr>
        <w:t xml:space="preserve"> offered better pricing terms than its competitors. </w:t>
      </w:r>
      <w:bookmarkStart w:name="_9kMH7O6ZWu5997AEOKylkmw711DgcH17" w:id="42"/>
      <w:r w:rsidRPr="009C48DA">
        <w:rPr>
          <w:rFonts w:eastAsia="Calibri" w:cs="Arial"/>
          <w:szCs w:val="20"/>
          <w:lang w:val="en-GB"/>
        </w:rPr>
        <w:t xml:space="preserve">Moreover, if portfolio companies of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 xml:space="preserve">Funds fail to successfully implement plans for value </w:t>
      </w:r>
      <w:r w:rsidRPr="009C48DA">
        <w:rPr>
          <w:rFonts w:eastAsia="Calibri" w:cs="Arial"/>
          <w:szCs w:val="20"/>
          <w:lang w:val="en-GB"/>
        </w:rPr>
        <w:lastRenderedPageBreak/>
        <w:t xml:space="preserve">creation, for example operational improvements, </w:t>
      </w:r>
      <w:r w:rsidRPr="009C48DA" w:rsidR="0030615B">
        <w:rPr>
          <w:rFonts w:eastAsia="Calibri" w:cs="Arial"/>
          <w:szCs w:val="20"/>
          <w:lang w:val="en-GB"/>
        </w:rPr>
        <w:t>add</w:t>
      </w:r>
      <w:r w:rsidRPr="009C48DA">
        <w:rPr>
          <w:rFonts w:eastAsia="Calibri" w:cs="Arial"/>
          <w:szCs w:val="20"/>
          <w:lang w:val="en-GB"/>
        </w:rPr>
        <w:t xml:space="preserve">-on acquisitions and/or changes to their strategy, this could negatively impact performance of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 xml:space="preserve">Funds.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42"/>
      <w:r w:rsidRPr="009C48DA">
        <w:rPr>
          <w:rFonts w:eastAsia="Calibri" w:cs="Arial"/>
          <w:szCs w:val="20"/>
          <w:lang w:val="en-GB"/>
        </w:rPr>
        <w:t xml:space="preserve"> may also have been raised under different organisational structures than those of competitors with the result that applicable laws and investment limitations might differ. </w:t>
      </w:r>
      <w:bookmarkStart w:name="_9kMI0G6ZWu5997AEOKylkmw711DgcH17" w:id="43"/>
      <w:r w:rsidRPr="009C48DA" w:rsidR="00D13D51">
        <w:rPr>
          <w:rFonts w:eastAsia="Calibri" w:cs="Arial"/>
          <w:szCs w:val="20"/>
          <w:lang w:val="en-GB"/>
        </w:rPr>
        <w:t xml:space="preserve">In addition,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43"/>
      <w:r w:rsidRPr="009C48DA">
        <w:rPr>
          <w:rFonts w:eastAsia="Calibri" w:cs="Arial"/>
          <w:szCs w:val="20"/>
          <w:lang w:val="en-GB"/>
        </w:rPr>
        <w:t xml:space="preserve"> could generate lower returns on their investments and experience increased risks of investment losses if the </w:t>
      </w:r>
      <w:bookmarkStart w:name="_9kMI1H6ZWu5997AEOKylkmw711DgcH17" w:id="44"/>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44"/>
      <w:r w:rsidRPr="009C48DA">
        <w:rPr>
          <w:rFonts w:eastAsia="Calibri" w:cs="Arial"/>
          <w:szCs w:val="20"/>
          <w:lang w:val="en-GB"/>
        </w:rPr>
        <w:t xml:space="preserve"> offer pricing terms for potential investment opportunities, structures and terms in excess of</w:t>
      </w:r>
      <w:r w:rsidRPr="009C48DA" w:rsidR="00D13D51">
        <w:rPr>
          <w:rFonts w:eastAsia="Calibri" w:cs="Arial"/>
          <w:szCs w:val="20"/>
          <w:lang w:val="en-GB"/>
        </w:rPr>
        <w:t>,</w:t>
      </w:r>
      <w:r w:rsidRPr="009C48DA">
        <w:rPr>
          <w:rFonts w:eastAsia="Calibri" w:cs="Arial"/>
          <w:szCs w:val="20"/>
          <w:lang w:val="en-GB"/>
        </w:rPr>
        <w:t xml:space="preserve"> or more preferential than</w:t>
      </w:r>
      <w:r w:rsidRPr="009C48DA" w:rsidR="00D13D51">
        <w:rPr>
          <w:rFonts w:eastAsia="Calibri" w:cs="Arial"/>
          <w:szCs w:val="20"/>
          <w:lang w:val="en-GB"/>
        </w:rPr>
        <w:t>,</w:t>
      </w:r>
      <w:r w:rsidRPr="009C48DA">
        <w:rPr>
          <w:rFonts w:eastAsia="Calibri" w:cs="Arial"/>
          <w:szCs w:val="20"/>
          <w:lang w:val="en-GB"/>
        </w:rPr>
        <w:t xml:space="preserve"> those offered by competitors. </w:t>
      </w:r>
      <w:bookmarkStart w:name="_9kMHG5YVt4886DEOQ990mx" w:id="45"/>
      <w:r w:rsidRPr="009C48DA">
        <w:rPr>
          <w:rFonts w:eastAsia="Calibri" w:cs="Arial"/>
          <w:szCs w:val="20"/>
          <w:lang w:val="en-GB"/>
        </w:rPr>
        <w:t xml:space="preserve">Furthermore, there is a risk that current and future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 will not benefit from investment opportunities and general market conditions that are in line with the market developments seen in historical periods. In particular</w:t>
      </w:r>
      <w:bookmarkEnd w:id="45"/>
      <w:r w:rsidRPr="009C48DA">
        <w:rPr>
          <w:rFonts w:eastAsia="Calibri" w:cs="Arial"/>
          <w:szCs w:val="20"/>
          <w:lang w:val="en-GB"/>
        </w:rPr>
        <w:t xml:space="preserve">, the performance of the </w:t>
      </w:r>
      <w:bookmarkStart w:name="_9kMI2I6ZWu5997AEOKylkmw711DgcH17" w:id="46"/>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46"/>
      <w:r w:rsidRPr="009C48DA">
        <w:rPr>
          <w:rFonts w:eastAsia="Calibri" w:cs="Arial"/>
          <w:szCs w:val="20"/>
          <w:lang w:val="en-GB"/>
        </w:rPr>
        <w:t xml:space="preserve"> may be adversely affected by difficult market conditions, including but not limited to fluctuations in public share prices, credit spreads, interest rates, currency exchange rates and inflation rates, supply of liquid funds, economic uncertainty, changes in interpretation of and amendments </w:t>
      </w:r>
      <w:r w:rsidRPr="009C48DA" w:rsidR="00D13D51">
        <w:rPr>
          <w:rFonts w:eastAsia="Calibri" w:cs="Arial"/>
          <w:szCs w:val="20"/>
          <w:lang w:val="en-GB"/>
        </w:rPr>
        <w:t xml:space="preserve">to </w:t>
      </w:r>
      <w:r w:rsidRPr="009C48DA">
        <w:rPr>
          <w:rFonts w:eastAsia="Calibri" w:cs="Arial"/>
          <w:szCs w:val="20"/>
          <w:lang w:val="en-GB"/>
        </w:rPr>
        <w:t xml:space="preserve">laws or regulations </w:t>
      </w:r>
      <w:r w:rsidRPr="009C48DA" w:rsidR="00D13D51">
        <w:rPr>
          <w:rFonts w:eastAsia="Calibri" w:cs="Arial"/>
          <w:szCs w:val="20"/>
          <w:lang w:val="en-GB"/>
        </w:rPr>
        <w:t>(</w:t>
      </w:r>
      <w:r w:rsidRPr="009C48DA">
        <w:rPr>
          <w:rFonts w:eastAsia="Calibri" w:cs="Arial"/>
          <w:szCs w:val="20"/>
          <w:lang w:val="en-GB"/>
        </w:rPr>
        <w:t xml:space="preserve">including those relating to taxation of the Group and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r w:rsidRPr="009C48DA" w:rsidR="00D13D51">
        <w:rPr>
          <w:rFonts w:eastAsia="Calibri" w:cs="Arial"/>
          <w:szCs w:val="20"/>
          <w:lang w:val="en-GB"/>
        </w:rPr>
        <w:t>)</w:t>
      </w:r>
      <w:r w:rsidRPr="009C48DA">
        <w:rPr>
          <w:rFonts w:eastAsia="Calibri" w:cs="Arial"/>
          <w:szCs w:val="20"/>
          <w:lang w:val="en-GB"/>
        </w:rPr>
        <w:t>, trade barriers and trade tensions (including between the United States and China), commodity prices and controls and the overall geopolitical environment, including global health crises like the outbreak of COVID-19, acts of war, terrorist attacks and security operations.</w:t>
      </w:r>
    </w:p>
    <w:p w:rsidRPr="009C48DA" w:rsidR="00E25C97" w:rsidP="00676CA5" w:rsidRDefault="00E25C97" w14:paraId="6C7A1619" w14:textId="5AA4AC91">
      <w:pPr>
        <w:pStyle w:val="BodyText2SglJ"/>
        <w:rPr>
          <w:rFonts w:eastAsia="Calibri" w:cs="Arial"/>
          <w:szCs w:val="20"/>
          <w:lang w:val="en-GB"/>
        </w:rPr>
      </w:pPr>
      <w:r w:rsidRPr="009C48DA">
        <w:rPr>
          <w:rFonts w:eastAsia="Calibri" w:cs="Arial"/>
          <w:szCs w:val="20"/>
          <w:lang w:val="en-GB"/>
        </w:rPr>
        <w:t xml:space="preserve">Moreover, the performance of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 xml:space="preserve">Funds is measured and benchmarked against the performance of competitors’ funds and public markets performance, and there is subsequently a risk that, even if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 xml:space="preserve">Funds perform in line with expectations, superior relative performance of the funds of competitors or the public markets may have an adverse effect on the Group’s ability to retain or attract fund investors and further adversely affect the Group’s ability to negotiate management fee rates or other economic terms of future funds, which could decrease the Group’s revenue. </w:t>
      </w:r>
    </w:p>
    <w:p w:rsidRPr="009C48DA" w:rsidR="00E25C97" w:rsidP="00676CA5" w:rsidRDefault="00E25C97" w14:paraId="22AEB319" w14:textId="504C8681">
      <w:pPr>
        <w:pStyle w:val="BodyText2SglJ"/>
        <w:rPr>
          <w:rFonts w:eastAsia="Calibri" w:cs="Arial"/>
          <w:szCs w:val="20"/>
          <w:lang w:val="en-GB"/>
        </w:rPr>
      </w:pPr>
      <w:r w:rsidRPr="009C48DA">
        <w:rPr>
          <w:rFonts w:eastAsia="Calibri" w:cs="Arial"/>
          <w:szCs w:val="20"/>
          <w:lang w:val="en-GB"/>
        </w:rPr>
        <w:t xml:space="preserve">Poor performance by the </w:t>
      </w:r>
      <w:bookmarkStart w:name="_9kMI3J6ZWu5997AEOKylkmw711DgcH17" w:id="47"/>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47"/>
      <w:r w:rsidRPr="009C48DA">
        <w:rPr>
          <w:rFonts w:eastAsia="Calibri" w:cs="Arial"/>
          <w:szCs w:val="20"/>
          <w:lang w:val="en-GB"/>
        </w:rPr>
        <w:t xml:space="preserve"> could also result in a reduction in the carried interest expected to be received by the Group from existing and potential future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 and the amount of carried interest ultimately received by the Group</w:t>
      </w:r>
      <w:r w:rsidRPr="009C48DA" w:rsidR="003C36B4">
        <w:rPr>
          <w:rFonts w:eastAsia="Calibri" w:cs="Arial"/>
          <w:szCs w:val="20"/>
          <w:lang w:val="en-GB"/>
        </w:rPr>
        <w:t>,</w:t>
      </w:r>
      <w:r w:rsidRPr="009C48DA">
        <w:rPr>
          <w:rFonts w:eastAsia="Calibri" w:cs="Arial"/>
          <w:szCs w:val="20"/>
          <w:lang w:val="en-GB"/>
        </w:rPr>
        <w:t xml:space="preserve"> or could even result in the Group receiving no carried interest at all. Carried interest refers to a share of profits that is received by the participants entitled to carried interest in the </w:t>
      </w:r>
      <w:bookmarkStart w:name="_9kMI4K6ZWu5997AEOKylkmw711DgcH17" w:id="48"/>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48"/>
      <w:r w:rsidRPr="009C48DA">
        <w:rPr>
          <w:rFonts w:eastAsia="Calibri" w:cs="Arial"/>
          <w:szCs w:val="20"/>
          <w:lang w:val="en-GB"/>
        </w:rPr>
        <w:t xml:space="preserve"> </w:t>
      </w:r>
      <w:r w:rsidRPr="009C48DA" w:rsidR="00D13D51">
        <w:rPr>
          <w:rFonts w:eastAsia="Calibri" w:cs="Arial"/>
          <w:szCs w:val="20"/>
          <w:lang w:val="en-GB"/>
        </w:rPr>
        <w:t xml:space="preserve">(including in some cases members of the Group) </w:t>
      </w:r>
      <w:r w:rsidRPr="009C48DA">
        <w:rPr>
          <w:rFonts w:eastAsia="Calibri" w:cs="Arial"/>
          <w:szCs w:val="20"/>
          <w:lang w:val="en-GB"/>
        </w:rPr>
        <w:t>(“</w:t>
      </w:r>
      <w:r w:rsidRPr="009C48DA">
        <w:rPr>
          <w:rFonts w:eastAsia="Calibri" w:cs="Arial"/>
          <w:b/>
          <w:szCs w:val="20"/>
          <w:lang w:val="en-GB"/>
        </w:rPr>
        <w:t>Carried Interest Participants</w:t>
      </w:r>
      <w:r w:rsidRPr="009C48DA">
        <w:rPr>
          <w:rFonts w:eastAsia="Calibri" w:cs="Arial"/>
          <w:szCs w:val="20"/>
          <w:lang w:val="en-GB"/>
        </w:rPr>
        <w:t xml:space="preserve">”) through their </w:t>
      </w:r>
      <w:r w:rsidRPr="009C48DA" w:rsidR="00D13D51">
        <w:rPr>
          <w:rFonts w:eastAsia="Calibri" w:cs="Arial"/>
          <w:szCs w:val="20"/>
          <w:lang w:val="en-GB"/>
        </w:rPr>
        <w:t xml:space="preserve">interest in </w:t>
      </w:r>
      <w:r w:rsidRPr="009C48DA">
        <w:rPr>
          <w:rFonts w:eastAsia="Calibri" w:cs="Arial"/>
          <w:szCs w:val="20"/>
          <w:lang w:val="en-GB"/>
        </w:rPr>
        <w:t xml:space="preserve">a fund structure that is entitled to receive carried interest of the </w:t>
      </w:r>
      <w:bookmarkStart w:name="_9kMI5L6ZWu5997AEOKylkmw711DgcH17" w:id="49"/>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49"/>
      <w:r w:rsidRPr="009C48DA" w:rsidR="00302A7A">
        <w:rPr>
          <w:rFonts w:eastAsia="Calibri" w:cs="Arial"/>
          <w:szCs w:val="20"/>
          <w:lang w:val="en-GB"/>
        </w:rPr>
        <w:t>.</w:t>
      </w:r>
      <w:r w:rsidRPr="009C48DA">
        <w:rPr>
          <w:rFonts w:eastAsia="Calibri" w:cs="Arial"/>
          <w:szCs w:val="20"/>
          <w:lang w:val="en-GB"/>
        </w:rPr>
        <w:t xml:space="preserve"> </w:t>
      </w:r>
      <w:r w:rsidRPr="009C48DA" w:rsidR="00302A7A">
        <w:rPr>
          <w:rFonts w:eastAsia="Calibri" w:cs="Arial"/>
          <w:szCs w:val="20"/>
          <w:lang w:val="en-GB"/>
        </w:rPr>
        <w:t xml:space="preserve">As </w:t>
      </w:r>
      <w:r w:rsidRPr="009C48DA">
        <w:rPr>
          <w:rFonts w:eastAsia="Calibri" w:cs="Arial"/>
          <w:szCs w:val="20"/>
          <w:lang w:val="en-GB"/>
        </w:rPr>
        <w:t>a variable consideration</w:t>
      </w:r>
      <w:r w:rsidRPr="009C48DA" w:rsidR="00302A7A">
        <w:rPr>
          <w:rFonts w:eastAsia="Calibri" w:cs="Arial"/>
          <w:szCs w:val="20"/>
          <w:lang w:val="en-GB"/>
        </w:rPr>
        <w:t>, carried interest is</w:t>
      </w:r>
      <w:r w:rsidRPr="009C48DA">
        <w:rPr>
          <w:rFonts w:eastAsia="Calibri" w:cs="Arial"/>
          <w:szCs w:val="20"/>
          <w:lang w:val="en-GB"/>
        </w:rPr>
        <w:t xml:space="preserve"> fully dependent on the performance of the relevant </w:t>
      </w:r>
      <w:bookmarkStart w:name="_9kMI6M6ZWu5997AEOKylkmw711DgcH17" w:id="50"/>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w:t>
      </w:r>
      <w:bookmarkEnd w:id="50"/>
      <w:r w:rsidRPr="009C48DA">
        <w:rPr>
          <w:rFonts w:eastAsia="Calibri" w:cs="Arial"/>
          <w:szCs w:val="20"/>
          <w:lang w:val="en-GB"/>
        </w:rPr>
        <w:t xml:space="preserve"> and such </w:t>
      </w:r>
      <w:bookmarkStart w:name="_9kMI7N6ZWu5997AEOKylkmw711DgcH17" w:id="51"/>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51"/>
      <w:r w:rsidRPr="009C48DA">
        <w:rPr>
          <w:rFonts w:eastAsia="Calibri" w:cs="Arial"/>
          <w:szCs w:val="20"/>
          <w:lang w:val="en-GB"/>
        </w:rPr>
        <w:t xml:space="preserve"> underlying investments</w:t>
      </w:r>
      <w:r w:rsidRPr="009C48DA" w:rsidR="00302A7A">
        <w:rPr>
          <w:rFonts w:eastAsia="Calibri" w:cs="Arial"/>
          <w:szCs w:val="20"/>
          <w:lang w:val="en-GB"/>
        </w:rPr>
        <w:t xml:space="preserve"> and poor performance of these funds and investments could therefore result in a reduction of the Group’s expected </w:t>
      </w:r>
      <w:r w:rsidRPr="009C48DA" w:rsidR="0068713B">
        <w:rPr>
          <w:rFonts w:eastAsia="Calibri" w:cs="Arial"/>
          <w:szCs w:val="20"/>
          <w:lang w:val="en-GB"/>
        </w:rPr>
        <w:t xml:space="preserve">revenue from carried interest. </w:t>
      </w:r>
      <w:r w:rsidRPr="009C48DA">
        <w:rPr>
          <w:rFonts w:eastAsia="Calibri" w:cs="Arial"/>
          <w:szCs w:val="20"/>
          <w:lang w:val="en-GB"/>
        </w:rPr>
        <w:t xml:space="preserve">Furthermore, if, as a result of poor performance of later investments in one of the </w:t>
      </w:r>
      <w:bookmarkStart w:name="_9kMI8O6ZWu5997AEOKylkmw711DgcH17" w:id="52"/>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52"/>
      <w:r w:rsidRPr="009C48DA" w:rsidR="008B5DAC">
        <w:rPr>
          <w:rFonts w:eastAsia="Calibri" w:cs="Arial"/>
          <w:szCs w:val="20"/>
          <w:lang w:val="en-GB"/>
        </w:rPr>
        <w:t>,</w:t>
      </w:r>
      <w:r w:rsidRPr="009C48DA">
        <w:rPr>
          <w:rFonts w:eastAsia="Calibri" w:cs="Arial"/>
          <w:szCs w:val="20"/>
          <w:lang w:val="en-GB"/>
        </w:rPr>
        <w:t xml:space="preserve"> such </w:t>
      </w:r>
      <w:bookmarkStart w:name="_9kMI9P6ZWu5997AEOKylkmw711DgcH17" w:id="53"/>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w:t>
      </w:r>
      <w:bookmarkEnd w:id="53"/>
      <w:r w:rsidRPr="009C48DA">
        <w:rPr>
          <w:rFonts w:eastAsia="Calibri" w:cs="Arial"/>
          <w:szCs w:val="20"/>
          <w:lang w:val="en-GB"/>
        </w:rPr>
        <w:t xml:space="preserve"> does not achieve certain profitability requirements as agreed under the organisational documents of the relevant fund, under certain circumstances the Group may be obligated to repay the amount by which </w:t>
      </w:r>
      <w:r w:rsidRPr="009C48DA">
        <w:rPr>
          <w:rFonts w:eastAsia="Times New Roman" w:cs="Times New Roman"/>
          <w:color w:val="231F20"/>
          <w:szCs w:val="20"/>
          <w:lang w:val="en-GB"/>
        </w:rPr>
        <w:t>carried</w:t>
      </w:r>
      <w:r w:rsidRPr="009C48DA">
        <w:rPr>
          <w:rFonts w:eastAsia="Calibri" w:cs="Arial"/>
          <w:szCs w:val="20"/>
          <w:lang w:val="en-GB"/>
        </w:rPr>
        <w:t xml:space="preserve"> interest that was previously distributed to the Group exceeds the amounts to which the Group is ultimately entitled. </w:t>
      </w:r>
      <w:bookmarkStart w:name="_9kR3WTr2664DIdOr53n" w:id="54"/>
      <w:r w:rsidRPr="009C48DA">
        <w:rPr>
          <w:rFonts w:eastAsia="Calibri" w:cs="Arial"/>
          <w:szCs w:val="20"/>
          <w:lang w:val="en-GB"/>
        </w:rPr>
        <w:t xml:space="preserve">Carried interest accounted for </w:t>
      </w:r>
      <w:bookmarkEnd w:id="54"/>
      <w:r w:rsidRPr="009C48DA" w:rsidR="00F2747F">
        <w:rPr>
          <w:rFonts w:eastAsia="Calibri" w:cs="Arial"/>
          <w:szCs w:val="20"/>
          <w:lang w:val="en-GB"/>
        </w:rPr>
        <w:t>seven</w:t>
      </w:r>
      <w:r w:rsidRPr="009C48DA">
        <w:rPr>
          <w:rFonts w:eastAsia="Calibri" w:cs="Arial"/>
          <w:szCs w:val="20"/>
          <w:lang w:val="en-GB"/>
        </w:rPr>
        <w:t xml:space="preserve"> per</w:t>
      </w:r>
      <w:r w:rsidRPr="009C48DA" w:rsidR="006912B8">
        <w:rPr>
          <w:rFonts w:eastAsia="Calibri" w:cs="Arial"/>
          <w:szCs w:val="20"/>
          <w:lang w:val="en-GB"/>
        </w:rPr>
        <w:t xml:space="preserve"> </w:t>
      </w:r>
      <w:r w:rsidRPr="009C48DA" w:rsidR="004374B1">
        <w:rPr>
          <w:rFonts w:eastAsia="Calibri" w:cs="Arial"/>
          <w:szCs w:val="20"/>
          <w:lang w:val="en-GB"/>
        </w:rPr>
        <w:t xml:space="preserve">cent of the Group’s </w:t>
      </w:r>
      <w:r w:rsidRPr="009C48DA" w:rsidR="00D13D51">
        <w:rPr>
          <w:rFonts w:eastAsia="Calibri" w:cs="Arial"/>
          <w:szCs w:val="20"/>
          <w:lang w:val="en-GB"/>
        </w:rPr>
        <w:t xml:space="preserve">total operating income </w:t>
      </w:r>
      <w:r w:rsidRPr="009C48DA">
        <w:rPr>
          <w:rFonts w:eastAsia="Calibri" w:cs="Arial"/>
          <w:szCs w:val="20"/>
          <w:lang w:val="en-GB"/>
        </w:rPr>
        <w:t xml:space="preserve">in the year ended 31 December 2020 and any declines </w:t>
      </w:r>
      <w:r w:rsidRPr="009C48DA" w:rsidR="00302A7A">
        <w:rPr>
          <w:rFonts w:eastAsia="Calibri" w:cs="Arial"/>
          <w:szCs w:val="20"/>
          <w:lang w:val="en-GB"/>
        </w:rPr>
        <w:t xml:space="preserve">of carried interest </w:t>
      </w:r>
      <w:r w:rsidRPr="009C48DA">
        <w:rPr>
          <w:rFonts w:eastAsia="Calibri" w:cs="Arial"/>
          <w:szCs w:val="20"/>
          <w:lang w:val="en-GB"/>
        </w:rPr>
        <w:t>in the future</w:t>
      </w:r>
      <w:r w:rsidRPr="009C48DA" w:rsidR="00302A7A">
        <w:rPr>
          <w:rFonts w:eastAsia="Calibri" w:cs="Arial"/>
          <w:szCs w:val="20"/>
          <w:lang w:val="en-GB"/>
        </w:rPr>
        <w:t>, or any requests for the repayment of carried interest that was already distributed to the Group,</w:t>
      </w:r>
      <w:r w:rsidRPr="009C48DA">
        <w:rPr>
          <w:rFonts w:eastAsia="Calibri" w:cs="Arial"/>
          <w:szCs w:val="20"/>
          <w:lang w:val="en-GB"/>
        </w:rPr>
        <w:t xml:space="preserve"> could have a material adverse effect on the Group’s business, revenue, net income and cash flows.</w:t>
      </w:r>
      <w:bookmarkStart w:name="_9kMHG5YVt4886GIdRjEM0nmoy933FjcHLN" w:id="55"/>
    </w:p>
    <w:bookmarkEnd w:id="55"/>
    <w:p w:rsidRPr="009C48DA" w:rsidR="00E25C97" w:rsidP="00676CA5" w:rsidRDefault="00E25C97" w14:paraId="23197CDB" w14:textId="4F5DB39F">
      <w:pPr>
        <w:pStyle w:val="BodyText2SglJ"/>
        <w:rPr>
          <w:rFonts w:eastAsia="Calibri" w:cs="Arial"/>
          <w:szCs w:val="20"/>
          <w:lang w:val="en-GB"/>
        </w:rPr>
      </w:pPr>
      <w:r w:rsidRPr="009C48DA">
        <w:rPr>
          <w:rFonts w:eastAsia="Calibri" w:cs="Arial"/>
          <w:szCs w:val="20"/>
          <w:lang w:val="en-GB"/>
        </w:rPr>
        <w:t xml:space="preserve">In addition, if the </w:t>
      </w:r>
      <w:bookmarkStart w:name="_9kMJ5K6ZWu5997AEOKylkmw711DgcH17" w:id="56"/>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56"/>
      <w:r w:rsidRPr="009C48DA">
        <w:rPr>
          <w:rFonts w:eastAsia="Calibri" w:cs="Arial"/>
          <w:szCs w:val="20"/>
          <w:lang w:val="en-GB"/>
        </w:rPr>
        <w:t xml:space="preserve"> were to perform unsatisfactorily, this could affect the Group</w:t>
      </w:r>
      <w:r w:rsidRPr="009C48DA" w:rsidR="003C36B4">
        <w:rPr>
          <w:rFonts w:eastAsia="Calibri" w:cs="Arial"/>
          <w:szCs w:val="20"/>
          <w:lang w:val="en-GB"/>
        </w:rPr>
        <w:t>’s income from the fair value remeasurement of investments</w:t>
      </w:r>
      <w:r w:rsidRPr="009C48DA">
        <w:rPr>
          <w:rFonts w:eastAsia="Calibri" w:cs="Arial"/>
          <w:szCs w:val="20"/>
          <w:lang w:val="en-GB"/>
        </w:rPr>
        <w:t xml:space="preserve"> and u</w:t>
      </w:r>
      <w:r w:rsidRPr="009C48DA" w:rsidR="004374B1">
        <w:rPr>
          <w:rFonts w:eastAsia="Calibri" w:cs="Arial"/>
          <w:szCs w:val="20"/>
          <w:lang w:val="en-GB"/>
        </w:rPr>
        <w:t>ltimately could lead to a write-</w:t>
      </w:r>
      <w:r w:rsidRPr="009C48DA">
        <w:rPr>
          <w:rFonts w:eastAsia="Calibri" w:cs="Arial"/>
          <w:szCs w:val="20"/>
          <w:lang w:val="en-GB"/>
        </w:rPr>
        <w:t>down in the value of the Group’s investments, which could consequently have a material adverse effect on the Group’s business, revenue, net income and cash flows.</w:t>
      </w:r>
      <w:bookmarkStart w:name="_9kMIH5YVt4886DEOQ990mx" w:id="57"/>
    </w:p>
    <w:p w:rsidRPr="009C48DA" w:rsidR="006912B8" w:rsidP="006912B8" w:rsidRDefault="001F0CF7" w14:paraId="2ADDCC4E" w14:textId="0CF392FD">
      <w:pPr>
        <w:pStyle w:val="TitleBI"/>
        <w:rPr>
          <w:szCs w:val="20"/>
          <w:lang w:val="en-GB"/>
        </w:rPr>
      </w:pPr>
      <w:r w:rsidRPr="009C48DA">
        <w:rPr>
          <w:szCs w:val="20"/>
          <w:lang w:val="en-GB"/>
        </w:rPr>
        <w:t>The Group’s inability to raise additional or successor funds (or raise successor funds of a comparable size to predecessor funds) could have a material adverse impact on its business</w:t>
      </w:r>
      <w:r w:rsidRPr="009C48DA" w:rsidR="00302A7A">
        <w:rPr>
          <w:szCs w:val="20"/>
          <w:lang w:val="en-GB"/>
        </w:rPr>
        <w:t>, revenue, net income, cash flows or ability to retain employees.</w:t>
      </w:r>
    </w:p>
    <w:p w:rsidRPr="009C48DA" w:rsidR="001F0CF7" w:rsidP="001F0CF7" w:rsidRDefault="001F0CF7" w14:paraId="1DC11EB3" w14:textId="4C9B8CA4">
      <w:pPr>
        <w:pStyle w:val="BodyText2SglJ"/>
        <w:rPr>
          <w:szCs w:val="20"/>
          <w:lang w:val="en-GB"/>
        </w:rPr>
      </w:pPr>
      <w:r w:rsidRPr="009C48DA">
        <w:rPr>
          <w:szCs w:val="20"/>
          <w:lang w:val="en-GB"/>
        </w:rPr>
        <w:t xml:space="preserve">The current </w:t>
      </w:r>
      <w:r w:rsidRPr="009C48DA" w:rsidR="006D5BFE">
        <w:rPr>
          <w:lang w:val="en-GB"/>
        </w:rPr>
        <w:t>Bridgepoint</w:t>
      </w:r>
      <w:r w:rsidRPr="009C48DA" w:rsidR="006D5BFE">
        <w:rPr>
          <w:szCs w:val="20"/>
          <w:lang w:val="en-GB"/>
        </w:rPr>
        <w:t xml:space="preserve"> </w:t>
      </w:r>
      <w:r w:rsidRPr="009C48DA">
        <w:rPr>
          <w:szCs w:val="20"/>
          <w:lang w:val="en-GB"/>
        </w:rPr>
        <w:t>Funds have a finite life and a finite amount of commitments from fund investors. Once a fund nears the end of its investment period, the success of the Group depends on its ability to raise additional or successor funds in order to keep making</w:t>
      </w:r>
      <w:r w:rsidRPr="009C48DA" w:rsidR="004977ED">
        <w:rPr>
          <w:szCs w:val="20"/>
          <w:lang w:val="en-GB"/>
        </w:rPr>
        <w:t xml:space="preserve"> investments and, over the long-</w:t>
      </w:r>
      <w:r w:rsidRPr="009C48DA">
        <w:rPr>
          <w:szCs w:val="20"/>
          <w:lang w:val="en-GB"/>
        </w:rPr>
        <w:t xml:space="preserve">term, earning management fees (although funds and investment vehicles continue to earn management fees after the expiration of their investment periods, they generally </w:t>
      </w:r>
      <w:r w:rsidRPr="009C48DA" w:rsidR="00D13D51">
        <w:rPr>
          <w:szCs w:val="20"/>
          <w:lang w:val="en-GB"/>
        </w:rPr>
        <w:t xml:space="preserve">do so </w:t>
      </w:r>
      <w:r w:rsidRPr="009C48DA">
        <w:rPr>
          <w:szCs w:val="20"/>
          <w:lang w:val="en-GB"/>
        </w:rPr>
        <w:t xml:space="preserve">at a reduced rate). Even if the Group is successful in raising successor funds </w:t>
      </w:r>
      <w:r w:rsidRPr="009C48DA" w:rsidR="00D13D51">
        <w:rPr>
          <w:szCs w:val="20"/>
          <w:lang w:val="en-GB"/>
        </w:rPr>
        <w:t>(</w:t>
      </w:r>
      <w:r w:rsidRPr="009C48DA">
        <w:rPr>
          <w:szCs w:val="20"/>
          <w:lang w:val="en-GB"/>
        </w:rPr>
        <w:t>for example</w:t>
      </w:r>
      <w:r w:rsidRPr="009C48DA" w:rsidR="008B5DAC">
        <w:rPr>
          <w:szCs w:val="20"/>
          <w:lang w:val="en-GB"/>
        </w:rPr>
        <w:t>,</w:t>
      </w:r>
      <w:r w:rsidRPr="009C48DA">
        <w:rPr>
          <w:szCs w:val="20"/>
          <w:lang w:val="en-GB"/>
        </w:rPr>
        <w:t xml:space="preserve"> </w:t>
      </w:r>
      <w:r w:rsidRPr="009C48DA" w:rsidR="00302A7A">
        <w:rPr>
          <w:szCs w:val="20"/>
          <w:lang w:val="en-GB"/>
        </w:rPr>
        <w:t xml:space="preserve">the planned fundraising for </w:t>
      </w:r>
      <w:r w:rsidRPr="009C48DA" w:rsidR="006D5BFE">
        <w:rPr>
          <w:lang w:val="en-GB"/>
        </w:rPr>
        <w:t>Bridgepoint</w:t>
      </w:r>
      <w:r w:rsidRPr="009C48DA" w:rsidR="006D5BFE">
        <w:rPr>
          <w:szCs w:val="20"/>
          <w:lang w:val="en-GB"/>
        </w:rPr>
        <w:t xml:space="preserve"> </w:t>
      </w:r>
      <w:r w:rsidRPr="009C48DA" w:rsidR="00302A7A">
        <w:rPr>
          <w:szCs w:val="20"/>
          <w:lang w:val="en-GB"/>
        </w:rPr>
        <w:t>Europe VII</w:t>
      </w:r>
      <w:r w:rsidRPr="009C48DA" w:rsidR="00D13D51">
        <w:rPr>
          <w:szCs w:val="20"/>
          <w:lang w:val="en-GB"/>
        </w:rPr>
        <w:t>)</w:t>
      </w:r>
      <w:r w:rsidRPr="009C48DA">
        <w:rPr>
          <w:szCs w:val="20"/>
          <w:lang w:val="en-GB"/>
        </w:rPr>
        <w:t xml:space="preserve">, to the extent it is unable to raise successor funds of a comparable size to predecessor funds or </w:t>
      </w:r>
      <w:r w:rsidRPr="009C48DA" w:rsidR="003C36B4">
        <w:rPr>
          <w:szCs w:val="20"/>
          <w:lang w:val="en-GB"/>
        </w:rPr>
        <w:t xml:space="preserve">to </w:t>
      </w:r>
      <w:r w:rsidRPr="009C48DA">
        <w:rPr>
          <w:szCs w:val="20"/>
          <w:lang w:val="en-GB"/>
        </w:rPr>
        <w:t>the extent that it is delayed in raising such succe</w:t>
      </w:r>
      <w:r w:rsidRPr="009C48DA" w:rsidR="004374B1">
        <w:rPr>
          <w:szCs w:val="20"/>
          <w:lang w:val="en-GB"/>
        </w:rPr>
        <w:t>ssor funds, the Group’s revenue</w:t>
      </w:r>
      <w:r w:rsidRPr="009C48DA">
        <w:rPr>
          <w:szCs w:val="20"/>
          <w:lang w:val="en-GB"/>
        </w:rPr>
        <w:t xml:space="preserve"> may decrease as the investment period</w:t>
      </w:r>
      <w:r w:rsidRPr="009C48DA" w:rsidR="0065135D">
        <w:rPr>
          <w:szCs w:val="20"/>
          <w:lang w:val="en-GB"/>
        </w:rPr>
        <w:t>s</w:t>
      </w:r>
      <w:r w:rsidRPr="009C48DA">
        <w:rPr>
          <w:szCs w:val="20"/>
          <w:lang w:val="en-GB"/>
        </w:rPr>
        <w:t xml:space="preserve"> of predecessor funds expire and associated fees decrease. The performance of the </w:t>
      </w:r>
      <w:r w:rsidRPr="009C48DA" w:rsidR="006D5BFE">
        <w:rPr>
          <w:lang w:val="en-GB"/>
        </w:rPr>
        <w:t>Bridgepoint</w:t>
      </w:r>
      <w:r w:rsidRPr="009C48DA" w:rsidR="006D5BFE">
        <w:rPr>
          <w:szCs w:val="20"/>
          <w:lang w:val="en-GB"/>
        </w:rPr>
        <w:t xml:space="preserve"> </w:t>
      </w:r>
      <w:r w:rsidRPr="009C48DA">
        <w:rPr>
          <w:szCs w:val="20"/>
          <w:lang w:val="en-GB"/>
        </w:rPr>
        <w:t xml:space="preserve">Funds also </w:t>
      </w:r>
      <w:r w:rsidRPr="009C48DA">
        <w:rPr>
          <w:szCs w:val="20"/>
          <w:lang w:val="en-GB"/>
        </w:rPr>
        <w:lastRenderedPageBreak/>
        <w:t xml:space="preserve">impacts the Group’s ability to raise capital, and deterioration in the performance of funds would result in challenges to future fundraisings. The evolving preferences of fund investors may necessitate that alternatives to the traditional investment fund structure, such as separately managed accounts, smaller funds and co-investment vehicles, become a larger part of the Group’s business going forward. This could increase the Group’s cost of raising capital at the scale it has historically achieved. The Group’s current </w:t>
      </w:r>
      <w:r w:rsidRPr="009C48DA" w:rsidR="006D5BFE">
        <w:rPr>
          <w:lang w:val="en-GB"/>
        </w:rPr>
        <w:t>Bridgepoint</w:t>
      </w:r>
      <w:r w:rsidRPr="009C48DA" w:rsidR="006D5BFE">
        <w:rPr>
          <w:szCs w:val="20"/>
          <w:lang w:val="en-GB"/>
        </w:rPr>
        <w:t xml:space="preserve"> </w:t>
      </w:r>
      <w:r w:rsidRPr="009C48DA">
        <w:rPr>
          <w:szCs w:val="20"/>
          <w:lang w:val="en-GB"/>
        </w:rPr>
        <w:t xml:space="preserve">Funds have performance hurdles which require them to generate a specified return on investment prior to the Group’s right to receive carried interest. This requirement will likely be in all future funds, and the hurdle rate could increase for future funds. In addition, successor funds raised by the Group when such unfavourable circumstances described above exist would also likely result in smaller funds than the Group’s comparable predecessor funds. Furthermore, in order to raise capital for new strategies and products without drawing capital away from existing products and investment strategies, the Group may need to seek new sources of capital. There is no assurance that fundraises for new strategies or successor funds will experience similar success as the Group’s existing or predecessor funds in the future. </w:t>
      </w:r>
    </w:p>
    <w:p w:rsidRPr="009C48DA" w:rsidR="001F0CF7" w:rsidP="001F0CF7" w:rsidRDefault="001F0CF7" w14:paraId="14C369CF" w14:textId="1E804913">
      <w:pPr>
        <w:pStyle w:val="BodyText2SglJ"/>
        <w:rPr>
          <w:szCs w:val="20"/>
          <w:lang w:val="en-GB"/>
        </w:rPr>
      </w:pPr>
      <w:r w:rsidRPr="009C48DA">
        <w:rPr>
          <w:szCs w:val="20"/>
          <w:lang w:val="en-GB"/>
        </w:rPr>
        <w:t>The Group’s ability to raise new funds could also be hindered if the general appeal of private equity</w:t>
      </w:r>
      <w:r w:rsidRPr="009C48DA" w:rsidR="00D13D51">
        <w:rPr>
          <w:szCs w:val="20"/>
          <w:lang w:val="en-GB"/>
        </w:rPr>
        <w:t>, private credit</w:t>
      </w:r>
      <w:r w:rsidRPr="009C48DA">
        <w:rPr>
          <w:szCs w:val="20"/>
          <w:lang w:val="en-GB"/>
        </w:rPr>
        <w:t xml:space="preserve"> and alternative investments were to decline. An investment in a limited partner interest in a private equity </w:t>
      </w:r>
      <w:r w:rsidRPr="009C48DA" w:rsidR="00D13D51">
        <w:rPr>
          <w:szCs w:val="20"/>
          <w:lang w:val="en-GB"/>
        </w:rPr>
        <w:t xml:space="preserve">or private credit </w:t>
      </w:r>
      <w:r w:rsidRPr="009C48DA">
        <w:rPr>
          <w:szCs w:val="20"/>
          <w:lang w:val="en-GB"/>
        </w:rPr>
        <w:t>fund is less liquid than an exchange traded instrument and the returns on such investment may be more volatile than an investment in securities for which there is a more active and transparent market. Private equity</w:t>
      </w:r>
      <w:r w:rsidRPr="009C48DA" w:rsidR="00456F2C">
        <w:rPr>
          <w:szCs w:val="20"/>
          <w:lang w:val="en-GB"/>
        </w:rPr>
        <w:t xml:space="preserve">, private credit and </w:t>
      </w:r>
      <w:r w:rsidRPr="009C48DA">
        <w:rPr>
          <w:szCs w:val="20"/>
          <w:lang w:val="en-GB"/>
        </w:rPr>
        <w:t xml:space="preserve">alternative investments could fall into disfavour as a result of concerns about liquidity and short-term performance. Institutional investors in private equity funds </w:t>
      </w:r>
      <w:r w:rsidRPr="009C48DA" w:rsidR="00456F2C">
        <w:rPr>
          <w:szCs w:val="20"/>
          <w:lang w:val="en-GB"/>
        </w:rPr>
        <w:t xml:space="preserve">or private credit funds </w:t>
      </w:r>
      <w:r w:rsidRPr="009C48DA">
        <w:rPr>
          <w:szCs w:val="20"/>
          <w:lang w:val="en-GB"/>
        </w:rPr>
        <w:t xml:space="preserve">that have suffered from decreasing returns, liquidity pressure, increased volatility or difficulty maintaining target asset allocations may materially decrease or temporarily suspend making new investments in </w:t>
      </w:r>
      <w:r w:rsidRPr="009C48DA" w:rsidR="00456F2C">
        <w:rPr>
          <w:szCs w:val="20"/>
          <w:lang w:val="en-GB"/>
        </w:rPr>
        <w:t xml:space="preserve">such </w:t>
      </w:r>
      <w:r w:rsidRPr="009C48DA">
        <w:rPr>
          <w:szCs w:val="20"/>
          <w:lang w:val="en-GB"/>
        </w:rPr>
        <w:t>funds. Concerns</w:t>
      </w:r>
      <w:r w:rsidRPr="009C48DA" w:rsidR="0065135D">
        <w:rPr>
          <w:szCs w:val="20"/>
          <w:lang w:val="en-GB"/>
        </w:rPr>
        <w:t xml:space="preserve"> with liquidity could cause</w:t>
      </w:r>
      <w:r w:rsidRPr="009C48DA">
        <w:rPr>
          <w:szCs w:val="20"/>
          <w:lang w:val="en-GB"/>
        </w:rPr>
        <w:t xml:space="preserve"> public pension funds to re-evaluate the appropriateness of alternative investments, and other institutional investors may reduce their overall portfolio allocations to alternative investments. This could result in a smaller overall pool of available capital in the Group’s industry. There is no assurance that the amount of commitments investors are making to alternative investment funds will continue at current levels or that the Group’s ability to raise capital from investors will not be hindered.</w:t>
      </w:r>
    </w:p>
    <w:p w:rsidRPr="009C48DA" w:rsidR="001F0CF7" w:rsidP="001F0CF7" w:rsidRDefault="001F0CF7" w14:paraId="27BEE731" w14:textId="07D46590">
      <w:pPr>
        <w:pStyle w:val="BodyText2SglJ"/>
        <w:rPr>
          <w:szCs w:val="20"/>
          <w:lang w:val="en-GB"/>
        </w:rPr>
      </w:pPr>
      <w:r w:rsidRPr="009C48DA">
        <w:rPr>
          <w:szCs w:val="20"/>
          <w:lang w:val="en-GB"/>
        </w:rPr>
        <w:t xml:space="preserve">In addition, the asset allocation rules or regulations or investment policies to which such third-party investors are subject could inhibit or restrict the ability of third-party investors to make investments in the </w:t>
      </w:r>
      <w:r w:rsidRPr="009C48DA" w:rsidR="006D5BFE">
        <w:rPr>
          <w:lang w:val="en-GB"/>
        </w:rPr>
        <w:t>Bridgepoint</w:t>
      </w:r>
      <w:r w:rsidRPr="009C48DA" w:rsidR="006D5BFE">
        <w:rPr>
          <w:szCs w:val="20"/>
          <w:lang w:val="en-GB"/>
        </w:rPr>
        <w:t xml:space="preserve"> </w:t>
      </w:r>
      <w:r w:rsidRPr="009C48DA">
        <w:rPr>
          <w:szCs w:val="20"/>
          <w:lang w:val="en-GB"/>
        </w:rPr>
        <w:t xml:space="preserve">Funds. Coupled with a lack of distributions from their existing investment portfolios, many of these investors may have been left with disproportionately outsized remaining commitments to, and invested capital in, a number of investment funds, which may significantly limit their ability to make new commitments to third-party managed investment funds such as the </w:t>
      </w:r>
      <w:r w:rsidRPr="009C48DA" w:rsidR="006D5BFE">
        <w:rPr>
          <w:lang w:val="en-GB"/>
        </w:rPr>
        <w:t>Bridgepoint</w:t>
      </w:r>
      <w:r w:rsidRPr="009C48DA" w:rsidR="006D5BFE">
        <w:rPr>
          <w:szCs w:val="20"/>
          <w:lang w:val="en-GB"/>
        </w:rPr>
        <w:t xml:space="preserve"> </w:t>
      </w:r>
      <w:r w:rsidRPr="009C48DA">
        <w:rPr>
          <w:szCs w:val="20"/>
          <w:lang w:val="en-GB"/>
        </w:rPr>
        <w:t xml:space="preserve">Funds. Fund investors may also seek to redeploy capital to certain non-private </w:t>
      </w:r>
      <w:r w:rsidRPr="009C48DA" w:rsidR="00456F2C">
        <w:rPr>
          <w:szCs w:val="20"/>
          <w:lang w:val="en-GB"/>
        </w:rPr>
        <w:t xml:space="preserve">markets </w:t>
      </w:r>
      <w:r w:rsidRPr="009C48DA">
        <w:rPr>
          <w:szCs w:val="20"/>
          <w:lang w:val="en-GB"/>
        </w:rPr>
        <w:t>investment vehicles, which permit redemptions on relatively short notice in order to meet liquidity needs or invest in other asset classes.</w:t>
      </w:r>
      <w:r w:rsidRPr="009C48DA" w:rsidR="00760E18">
        <w:rPr>
          <w:szCs w:val="20"/>
          <w:lang w:val="en-GB"/>
        </w:rPr>
        <w:t xml:space="preserve"> </w:t>
      </w:r>
    </w:p>
    <w:p w:rsidRPr="009C48DA" w:rsidR="001F0CF7" w:rsidP="001F0CF7" w:rsidRDefault="001F0CF7" w14:paraId="61B81718" w14:textId="257CE2C8">
      <w:pPr>
        <w:pStyle w:val="BodyText2SglJ"/>
        <w:rPr>
          <w:szCs w:val="20"/>
          <w:lang w:val="en-GB"/>
        </w:rPr>
      </w:pPr>
      <w:r w:rsidRPr="009C48DA">
        <w:rPr>
          <w:szCs w:val="20"/>
          <w:lang w:val="en-GB"/>
        </w:rPr>
        <w:t xml:space="preserve">Any inability </w:t>
      </w:r>
      <w:r w:rsidRPr="009C48DA" w:rsidR="00E45A32">
        <w:rPr>
          <w:szCs w:val="20"/>
          <w:lang w:val="en-GB"/>
        </w:rPr>
        <w:t xml:space="preserve">of the Group </w:t>
      </w:r>
      <w:r w:rsidRPr="009C48DA">
        <w:rPr>
          <w:szCs w:val="20"/>
          <w:lang w:val="en-GB"/>
        </w:rPr>
        <w:t>to raise additional or successor funds (or raise successor funds of a comparable size to predecessor funds) could have a material adverse effect on the Group’s business, revenue, net income</w:t>
      </w:r>
      <w:r w:rsidRPr="009C48DA" w:rsidR="00E45A32">
        <w:rPr>
          <w:szCs w:val="20"/>
          <w:lang w:val="en-GB"/>
        </w:rPr>
        <w:t xml:space="preserve">, </w:t>
      </w:r>
      <w:r w:rsidRPr="009C48DA">
        <w:rPr>
          <w:szCs w:val="20"/>
          <w:lang w:val="en-GB"/>
        </w:rPr>
        <w:t>cash flows</w:t>
      </w:r>
      <w:r w:rsidRPr="009C48DA" w:rsidR="00E45A32">
        <w:rPr>
          <w:szCs w:val="20"/>
          <w:lang w:val="en-GB"/>
        </w:rPr>
        <w:t xml:space="preserve"> or ability to retain employees.</w:t>
      </w:r>
    </w:p>
    <w:p w:rsidRPr="009C48DA" w:rsidR="00E25C97" w:rsidP="00F428F0" w:rsidRDefault="00E25C97" w14:paraId="23D7AEEF" w14:textId="77777777">
      <w:pPr>
        <w:pStyle w:val="TitleBI"/>
        <w:rPr>
          <w:szCs w:val="20"/>
          <w:lang w:val="en-GB"/>
        </w:rPr>
      </w:pPr>
      <w:bookmarkStart w:name="_9kMH5M6ZWu5997HJeSkFN1onpzA44GkdIMO" w:id="58"/>
      <w:bookmarkStart w:name="_9kMKJ5YVt4886GIdRjEM0nmoy933FjcHLN" w:id="59"/>
      <w:bookmarkEnd w:id="57"/>
      <w:r w:rsidRPr="009C48DA">
        <w:rPr>
          <w:szCs w:val="20"/>
          <w:lang w:val="en-GB"/>
        </w:rPr>
        <w:t xml:space="preserve">The </w:t>
      </w:r>
      <w:bookmarkEnd w:id="58"/>
      <w:r w:rsidRPr="009C48DA">
        <w:rPr>
          <w:szCs w:val="20"/>
          <w:lang w:val="en-GB"/>
        </w:rPr>
        <w:t>Group is dependent on its personnel and the market for investment professionals and other personnel in specialist functions is highly competitive.</w:t>
      </w:r>
    </w:p>
    <w:p w:rsidRPr="009C48DA" w:rsidR="00E25C97" w:rsidP="00676CA5" w:rsidRDefault="00E25C97" w14:paraId="245EC458" w14:textId="0FA4DDF3">
      <w:pPr>
        <w:pStyle w:val="BodyText2SglJ"/>
        <w:rPr>
          <w:rFonts w:eastAsia="Calibri" w:cs="Arial"/>
          <w:szCs w:val="20"/>
          <w:lang w:val="en-GB"/>
        </w:rPr>
      </w:pPr>
      <w:bookmarkStart w:name="_9kMH6N6ZWu5997HJeSkFN1onpzA44GkdIMO" w:id="60"/>
      <w:r w:rsidRPr="009C48DA">
        <w:rPr>
          <w:rFonts w:eastAsia="Calibri" w:cs="Arial"/>
          <w:szCs w:val="20"/>
          <w:lang w:val="en-GB"/>
        </w:rPr>
        <w:t>The Group’s</w:t>
      </w:r>
      <w:bookmarkEnd w:id="60"/>
      <w:r w:rsidRPr="009C48DA">
        <w:rPr>
          <w:rFonts w:eastAsia="Calibri" w:cs="Arial"/>
          <w:szCs w:val="20"/>
          <w:lang w:val="en-GB"/>
        </w:rPr>
        <w:t xml:space="preserve"> personnel, including its investment professionals and support teams, are greatly important to the business. </w:t>
      </w:r>
      <w:bookmarkStart w:name="_9kMH7O6ZWu5997HJeSkFN1onpzA44GkdIMO" w:id="61"/>
      <w:r w:rsidRPr="009C48DA">
        <w:rPr>
          <w:rFonts w:eastAsia="Calibri" w:cs="Arial"/>
          <w:szCs w:val="20"/>
          <w:lang w:val="en-GB"/>
        </w:rPr>
        <w:t xml:space="preserve">The Group’s continued success is therefore dependent upon the </w:t>
      </w:r>
      <w:r w:rsidRPr="009C48DA">
        <w:rPr>
          <w:rFonts w:eastAsia="Times New Roman" w:cs="Times New Roman"/>
          <w:color w:val="231F20"/>
          <w:szCs w:val="20"/>
          <w:lang w:val="en-GB"/>
        </w:rPr>
        <w:t>Group’s</w:t>
      </w:r>
      <w:r w:rsidRPr="009C48DA">
        <w:rPr>
          <w:rFonts w:eastAsia="Calibri" w:cs="Arial"/>
          <w:szCs w:val="20"/>
          <w:lang w:val="en-GB"/>
        </w:rPr>
        <w:t xml:space="preserve"> ability to retain and motivate its personnel and to strategically recruit, retain and motivate new talented professionals. The success of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 xml:space="preserve">Funds and the portfolio companies of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 is similarly dependent on their respective personnel.</w:t>
      </w:r>
    </w:p>
    <w:p w:rsidRPr="009C48DA" w:rsidR="00E25C97" w:rsidP="00676CA5" w:rsidRDefault="00E25C97" w14:paraId="629F1C50" w14:textId="3EB96BC7">
      <w:pPr>
        <w:pStyle w:val="BodyText2SglJ"/>
        <w:rPr>
          <w:rFonts w:eastAsia="Calibri" w:cs="Arial"/>
          <w:szCs w:val="20"/>
          <w:lang w:val="en-GB"/>
        </w:rPr>
      </w:pPr>
      <w:r w:rsidRPr="009C48DA">
        <w:rPr>
          <w:rFonts w:eastAsia="Calibri" w:cs="Arial"/>
          <w:szCs w:val="20"/>
          <w:lang w:val="en-GB"/>
        </w:rPr>
        <w:t xml:space="preserve">The professionals of the Group possess substantial experience and expertise and the Group’s investment professionals have strong business relationships with members of the business community across geographies and sectors in which the Group and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 xml:space="preserve">Funds operate. In particular, the Group depends on the efforts, skill, reputations and business contacts of its executive management and other key senior team members and the information and deal flow they generate during the normal course of their activities. Accordingly, the Group’s success will depend on the continued service of these and other individuals, who are not obligated to remain employed with the Group, and some of whom may retire from time to time. Several key employees have left the firm in the past and others may do so in the future, including in connection with their retirement. </w:t>
      </w:r>
      <w:bookmarkEnd w:id="61"/>
      <w:r w:rsidRPr="009C48DA">
        <w:rPr>
          <w:rFonts w:eastAsia="Calibri" w:cs="Arial"/>
          <w:szCs w:val="20"/>
          <w:lang w:val="en-GB"/>
        </w:rPr>
        <w:t xml:space="preserve">There is a risk that the Group may not be successful in its </w:t>
      </w:r>
      <w:r w:rsidRPr="009C48DA">
        <w:rPr>
          <w:rFonts w:eastAsia="Calibri" w:cs="Arial"/>
          <w:szCs w:val="20"/>
          <w:lang w:val="en-GB"/>
        </w:rPr>
        <w:lastRenderedPageBreak/>
        <w:t xml:space="preserve">efforts to recruit, retain and motivate the required personnel as the market for qualified investment professionals and other members of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team in support functions is highly competitive, and such risks may be exacerbated if a number of persons decide to leave the Group at or around the same time. If the Group’s ability to recruit and maintain its personnel worsens, this could jeopardise the Group’s development, culture and relationships with important stakeholders, and</w:t>
      </w:r>
      <w:r w:rsidRPr="009C48DA" w:rsidR="004374B1">
        <w:rPr>
          <w:rFonts w:eastAsia="Calibri" w:cs="Arial"/>
          <w:szCs w:val="20"/>
          <w:lang w:val="en-GB"/>
        </w:rPr>
        <w:t>,</w:t>
      </w:r>
      <w:r w:rsidRPr="009C48DA">
        <w:rPr>
          <w:rFonts w:eastAsia="Calibri" w:cs="Arial"/>
          <w:szCs w:val="20"/>
          <w:lang w:val="en-GB"/>
        </w:rPr>
        <w:t xml:space="preserve"> in particular</w:t>
      </w:r>
      <w:r w:rsidRPr="009C48DA" w:rsidR="004374B1">
        <w:rPr>
          <w:rFonts w:eastAsia="Calibri" w:cs="Arial"/>
          <w:szCs w:val="20"/>
          <w:lang w:val="en-GB"/>
        </w:rPr>
        <w:t>,</w:t>
      </w:r>
      <w:r w:rsidRPr="009C48DA">
        <w:rPr>
          <w:rFonts w:eastAsia="Calibri" w:cs="Arial"/>
          <w:szCs w:val="20"/>
          <w:lang w:val="en-GB"/>
        </w:rPr>
        <w:t xml:space="preserve"> relationships with investors in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 xml:space="preserve">Funds, members of the business community and the portfolio companies of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 This could lead to significant ad</w:t>
      </w:r>
      <w:r w:rsidRPr="009C48DA" w:rsidR="004977ED">
        <w:rPr>
          <w:rFonts w:eastAsia="Calibri" w:cs="Arial"/>
          <w:szCs w:val="20"/>
          <w:lang w:val="en-GB"/>
        </w:rPr>
        <w:t>verse consequences in the short-</w:t>
      </w:r>
      <w:r w:rsidRPr="009C48DA">
        <w:rPr>
          <w:rFonts w:eastAsia="Calibri" w:cs="Arial"/>
          <w:szCs w:val="20"/>
          <w:lang w:val="en-GB"/>
        </w:rPr>
        <w:t xml:space="preserve">term in relation to existing </w:t>
      </w:r>
      <w:r w:rsidRPr="009C48DA" w:rsidR="006D5BFE">
        <w:rPr>
          <w:lang w:val="en-GB"/>
        </w:rPr>
        <w:t>Bridgepoint</w:t>
      </w:r>
      <w:r w:rsidRPr="009C48DA" w:rsidR="006D5BFE">
        <w:rPr>
          <w:rFonts w:eastAsia="Calibri" w:cs="Arial"/>
          <w:szCs w:val="20"/>
          <w:lang w:val="en-GB"/>
        </w:rPr>
        <w:t xml:space="preserve"> </w:t>
      </w:r>
      <w:r w:rsidRPr="009C48DA" w:rsidR="009A613B">
        <w:rPr>
          <w:rFonts w:eastAsia="Calibri" w:cs="Arial"/>
          <w:szCs w:val="20"/>
          <w:lang w:val="en-GB"/>
        </w:rPr>
        <w:t xml:space="preserve">Funds and in the medium-to </w:t>
      </w:r>
      <w:r w:rsidRPr="009C48DA" w:rsidR="004374B1">
        <w:rPr>
          <w:rFonts w:eastAsia="Calibri" w:cs="Arial"/>
          <w:szCs w:val="20"/>
          <w:lang w:val="en-GB"/>
        </w:rPr>
        <w:t>long-</w:t>
      </w:r>
      <w:r w:rsidRPr="009C48DA">
        <w:rPr>
          <w:rFonts w:eastAsia="Calibri" w:cs="Arial"/>
          <w:szCs w:val="20"/>
          <w:lang w:val="en-GB"/>
        </w:rPr>
        <w:t xml:space="preserve">term in relation to the Group’s ability to raise capital for new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 xml:space="preserve">Funds. In the future, it will also be important for the Group to continue with the successful execution of its plans for the generational succession from executive management and key senior team </w:t>
      </w:r>
      <w:r w:rsidRPr="009C48DA" w:rsidR="00456F2C">
        <w:rPr>
          <w:rFonts w:eastAsia="Calibri" w:cs="Arial"/>
          <w:szCs w:val="20"/>
          <w:lang w:val="en-GB"/>
        </w:rPr>
        <w:t xml:space="preserve">members </w:t>
      </w:r>
      <w:r w:rsidRPr="009C48DA">
        <w:rPr>
          <w:rFonts w:eastAsia="Calibri" w:cs="Arial"/>
          <w:szCs w:val="20"/>
          <w:lang w:val="en-GB"/>
        </w:rPr>
        <w:t xml:space="preserve">to the next generation of partners and investment professionals. Any failure to appoint qualified or effective successors in the event of any departures, </w:t>
      </w:r>
      <w:r w:rsidRPr="009C48DA" w:rsidR="00456F2C">
        <w:rPr>
          <w:rFonts w:eastAsia="Calibri" w:cs="Arial"/>
          <w:szCs w:val="20"/>
          <w:lang w:val="en-GB"/>
        </w:rPr>
        <w:t>whe</w:t>
      </w:r>
      <w:r w:rsidRPr="009C48DA">
        <w:rPr>
          <w:rFonts w:eastAsia="Calibri" w:cs="Arial"/>
          <w:szCs w:val="20"/>
          <w:lang w:val="en-GB"/>
        </w:rPr>
        <w:t xml:space="preserve">ther in connection with retirements or otherwise, could have a material adverse effect on the Group’s </w:t>
      </w:r>
      <w:r w:rsidRPr="009C48DA" w:rsidR="00D31BAA">
        <w:rPr>
          <w:szCs w:val="20"/>
          <w:lang w:val="en-GB"/>
        </w:rPr>
        <w:t xml:space="preserve">culture, future growth, and relationships with investors in the </w:t>
      </w:r>
      <w:r w:rsidRPr="009C48DA" w:rsidR="006D5BFE">
        <w:rPr>
          <w:lang w:val="en-GB"/>
        </w:rPr>
        <w:t>Bridgepoint</w:t>
      </w:r>
      <w:r w:rsidRPr="009C48DA" w:rsidR="006D5BFE">
        <w:rPr>
          <w:szCs w:val="20"/>
          <w:lang w:val="en-GB"/>
        </w:rPr>
        <w:t xml:space="preserve"> </w:t>
      </w:r>
      <w:r w:rsidRPr="009C48DA" w:rsidR="00D31BAA">
        <w:rPr>
          <w:szCs w:val="20"/>
          <w:lang w:val="en-GB"/>
        </w:rPr>
        <w:t>Funds</w:t>
      </w:r>
      <w:r w:rsidRPr="009C48DA" w:rsidR="0009390D">
        <w:rPr>
          <w:szCs w:val="20"/>
          <w:lang w:val="en-GB"/>
        </w:rPr>
        <w:t>,</w:t>
      </w:r>
      <w:r w:rsidRPr="009C48DA" w:rsidR="00D31BAA">
        <w:rPr>
          <w:szCs w:val="20"/>
          <w:lang w:val="en-GB"/>
        </w:rPr>
        <w:t xml:space="preserve"> which could lead to adverse consequences in relation to the Group’s ability to raise capital for new funds and achieve its overall</w:t>
      </w:r>
      <w:r w:rsidRPr="009C48DA">
        <w:rPr>
          <w:rFonts w:eastAsia="Calibri" w:cs="Arial"/>
          <w:szCs w:val="20"/>
          <w:lang w:val="en-GB"/>
        </w:rPr>
        <w:t xml:space="preserve"> business objectives.</w:t>
      </w:r>
    </w:p>
    <w:p w:rsidRPr="009C48DA" w:rsidR="00E25C97" w:rsidP="00676CA5" w:rsidRDefault="00E25C97" w14:paraId="0D0E19AF" w14:textId="1993068A">
      <w:pPr>
        <w:pStyle w:val="BodyText2SglJ"/>
        <w:rPr>
          <w:rFonts w:eastAsia="Calibri" w:cs="Arial"/>
          <w:szCs w:val="20"/>
          <w:lang w:val="en-GB"/>
        </w:rPr>
      </w:pPr>
      <w:r w:rsidRPr="009C48DA">
        <w:rPr>
          <w:rFonts w:eastAsia="Calibri" w:cs="Arial"/>
          <w:szCs w:val="20"/>
          <w:lang w:val="en-GB"/>
        </w:rPr>
        <w:t xml:space="preserve">The </w:t>
      </w:r>
      <w:bookmarkStart w:name="_9kMHz3L7aXv6AA8BFPLzmlnx822EhdI28" w:id="62"/>
      <w:r w:rsidRPr="009C48DA">
        <w:rPr>
          <w:rFonts w:eastAsia="Calibri" w:cs="Arial"/>
          <w:szCs w:val="20"/>
          <w:lang w:val="en-GB"/>
        </w:rPr>
        <w:t xml:space="preserve">governing documents of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62"/>
      <w:r w:rsidRPr="009C48DA">
        <w:rPr>
          <w:rFonts w:eastAsia="Calibri" w:cs="Arial"/>
          <w:szCs w:val="20"/>
          <w:lang w:val="en-GB"/>
        </w:rPr>
        <w:t xml:space="preserve"> will also typically include “key person” protections. The terms of these protections differ from fund to fund but will generally identify a minimum number of persons within the Group who are required to devote a certain amount of their business time to the business and affairs of the Group and/or the relevant </w:t>
      </w:r>
      <w:bookmarkStart w:name="_9kMHz4M7aXv6AA8BFPLzmlnx822EhdI28" w:id="63"/>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w:t>
      </w:r>
      <w:bookmarkEnd w:id="63"/>
      <w:r w:rsidRPr="009C48DA">
        <w:rPr>
          <w:rFonts w:eastAsia="Calibri" w:cs="Arial"/>
          <w:szCs w:val="20"/>
          <w:lang w:val="en-GB"/>
        </w:rPr>
        <w:t xml:space="preserve">s, failing which, a temporary suspension will be placed on any further drawdowns for purposes of making new investments. In such circumstances, the </w:t>
      </w:r>
      <w:bookmarkStart w:name="_9kMH0H6ZWu5997DLWR6qMRB31HEDI" w:id="64"/>
      <w:r w:rsidRPr="009C48DA">
        <w:rPr>
          <w:rFonts w:eastAsia="Calibri" w:cs="Arial"/>
          <w:szCs w:val="20"/>
          <w:lang w:val="en-GB"/>
        </w:rPr>
        <w:t>fund investors</w:t>
      </w:r>
      <w:bookmarkEnd w:id="64"/>
      <w:r w:rsidRPr="009C48DA">
        <w:rPr>
          <w:rFonts w:eastAsia="Calibri" w:cs="Arial"/>
          <w:szCs w:val="20"/>
          <w:lang w:val="en-GB"/>
        </w:rPr>
        <w:t xml:space="preserve"> or a committee of their representatives have certain rights with respect to effecting a suspension of investing or lifting any such suspension, for example</w:t>
      </w:r>
      <w:r w:rsidRPr="009C48DA" w:rsidR="004374B1">
        <w:rPr>
          <w:rFonts w:eastAsia="Calibri" w:cs="Arial"/>
          <w:szCs w:val="20"/>
          <w:lang w:val="en-GB"/>
        </w:rPr>
        <w:t>,</w:t>
      </w:r>
      <w:r w:rsidRPr="009C48DA">
        <w:rPr>
          <w:rFonts w:eastAsia="Calibri" w:cs="Arial"/>
          <w:szCs w:val="20"/>
          <w:lang w:val="en-GB"/>
        </w:rPr>
        <w:t xml:space="preserve"> by approving replacement</w:t>
      </w:r>
      <w:r w:rsidRPr="009C48DA" w:rsidR="00456F2C">
        <w:rPr>
          <w:rFonts w:eastAsia="Calibri" w:cs="Arial"/>
          <w:szCs w:val="20"/>
          <w:lang w:val="en-GB"/>
        </w:rPr>
        <w:t>s</w:t>
      </w:r>
      <w:r w:rsidRPr="009C48DA">
        <w:rPr>
          <w:rFonts w:eastAsia="Calibri" w:cs="Arial"/>
          <w:szCs w:val="20"/>
          <w:lang w:val="en-GB"/>
        </w:rPr>
        <w:t xml:space="preserve"> of “key persons” identified by the </w:t>
      </w:r>
      <w:bookmarkStart w:name="_9kR3WTr2664AJUO3nNFnoinz" w:id="65"/>
      <w:r w:rsidRPr="009C48DA" w:rsidR="00456F2C">
        <w:rPr>
          <w:rFonts w:eastAsia="Calibri" w:cs="Arial"/>
          <w:szCs w:val="20"/>
          <w:lang w:val="en-GB"/>
        </w:rPr>
        <w:t xml:space="preserve">entity appointed to act as alternative investment fund manager for a </w:t>
      </w:r>
      <w:r w:rsidRPr="009C48DA" w:rsidR="006D5BFE">
        <w:rPr>
          <w:lang w:val="en-GB"/>
        </w:rPr>
        <w:t>Bridgepoint</w:t>
      </w:r>
      <w:r w:rsidRPr="009C48DA" w:rsidR="006D5BFE">
        <w:rPr>
          <w:rFonts w:eastAsia="Calibri" w:cs="Arial"/>
          <w:szCs w:val="20"/>
          <w:lang w:val="en-GB"/>
        </w:rPr>
        <w:t xml:space="preserve"> </w:t>
      </w:r>
      <w:r w:rsidRPr="009C48DA" w:rsidR="00456F2C">
        <w:rPr>
          <w:rFonts w:eastAsia="Calibri" w:cs="Arial"/>
          <w:szCs w:val="20"/>
          <w:lang w:val="en-GB"/>
        </w:rPr>
        <w:t>Fund (the “</w:t>
      </w:r>
      <w:r w:rsidRPr="009C48DA">
        <w:rPr>
          <w:rFonts w:eastAsia="Calibri" w:cs="Arial"/>
          <w:b/>
          <w:szCs w:val="20"/>
          <w:lang w:val="en-GB"/>
        </w:rPr>
        <w:t>Fund Manager</w:t>
      </w:r>
      <w:bookmarkEnd w:id="65"/>
      <w:r w:rsidRPr="009C48DA" w:rsidR="00456F2C">
        <w:rPr>
          <w:rFonts w:eastAsia="Calibri" w:cs="Arial"/>
          <w:szCs w:val="20"/>
          <w:lang w:val="en-GB"/>
        </w:rPr>
        <w:t>”)</w:t>
      </w:r>
      <w:r w:rsidRPr="009C48DA">
        <w:rPr>
          <w:rFonts w:eastAsia="Calibri" w:cs="Arial"/>
          <w:szCs w:val="20"/>
          <w:lang w:val="en-GB"/>
        </w:rPr>
        <w:t xml:space="preserve">. There is a risk, however, that the exercise of any such rights will not result in maintaining or improving the performance of the fund or that such approval to replace a “key person” or otherwise lift a suspension period will not be forthcoming. In addition to reputational damage, the occurrence of a suspension period with respect to a </w:t>
      </w:r>
      <w:bookmarkStart w:name="_9kMHz6O7aXv6AA8BFPLzmlnx822EhdI28" w:id="66"/>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w:t>
      </w:r>
      <w:bookmarkEnd w:id="66"/>
      <w:r w:rsidRPr="009C48DA">
        <w:rPr>
          <w:rFonts w:eastAsia="Calibri" w:cs="Arial"/>
          <w:szCs w:val="20"/>
          <w:lang w:val="en-GB"/>
        </w:rPr>
        <w:t xml:space="preserve"> may result in a reduction in the management fees received by the Group for the duration of such suspension period and/or ultimately restrict the relevant </w:t>
      </w:r>
      <w:bookmarkStart w:name="_9kMHz7P7aXv6AA8BFPLzmlnx822EhdI28" w:id="67"/>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w:t>
      </w:r>
      <w:bookmarkEnd w:id="67"/>
      <w:r w:rsidRPr="009C48DA">
        <w:rPr>
          <w:rFonts w:eastAsia="Calibri" w:cs="Arial"/>
          <w:szCs w:val="20"/>
          <w:lang w:val="en-GB"/>
        </w:rPr>
        <w:t xml:space="preserve"> from </w:t>
      </w:r>
      <w:r w:rsidRPr="009C48DA">
        <w:rPr>
          <w:rFonts w:eastAsia="Times New Roman" w:cs="Times New Roman"/>
          <w:color w:val="231F20"/>
          <w:szCs w:val="20"/>
          <w:lang w:val="en-GB"/>
        </w:rPr>
        <w:t>making</w:t>
      </w:r>
      <w:r w:rsidRPr="009C48DA">
        <w:rPr>
          <w:rFonts w:eastAsia="Calibri" w:cs="Arial"/>
          <w:szCs w:val="20"/>
          <w:lang w:val="en-GB"/>
        </w:rPr>
        <w:t xml:space="preserve"> new investments in the event that any such suspension is not lifted, thereby reducing AUM on which management fees are calculated over the life of the </w:t>
      </w:r>
      <w:bookmarkStart w:name="_9kMHz8Q7aXv6AA8BFPLzmlnx822EhdI28" w:id="68"/>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w:t>
      </w:r>
      <w:bookmarkEnd w:id="68"/>
      <w:r w:rsidRPr="009C48DA">
        <w:rPr>
          <w:rFonts w:eastAsia="Calibri" w:cs="Arial"/>
          <w:szCs w:val="20"/>
          <w:lang w:val="en-GB"/>
        </w:rPr>
        <w:t xml:space="preserve">. Moreover, the occurrence of a “key person” event could cause the Group to agree to less favourable ongoing terms with respect to the affected </w:t>
      </w:r>
      <w:bookmarkStart w:name="_9kMH00H7aXv6AA8BFPLzmlnx822EhdI28" w:id="69"/>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w:t>
      </w:r>
      <w:bookmarkEnd w:id="69"/>
      <w:r w:rsidRPr="009C48DA">
        <w:rPr>
          <w:rFonts w:eastAsia="Calibri" w:cs="Arial"/>
          <w:szCs w:val="20"/>
          <w:lang w:val="en-GB"/>
        </w:rPr>
        <w:t xml:space="preserve">. Although the Group could engage in discussions with the limited partners of the </w:t>
      </w:r>
      <w:bookmarkStart w:name="_9kMH01I7aXv6AA8BFPLzmlnx822EhdI28" w:id="70"/>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70"/>
      <w:r w:rsidRPr="009C48DA">
        <w:rPr>
          <w:rFonts w:eastAsia="Calibri" w:cs="Arial"/>
          <w:szCs w:val="20"/>
          <w:lang w:val="en-GB"/>
        </w:rPr>
        <w:t xml:space="preserve"> regarding a waiver of such provisions with respect to persons whose departures have occurred or are anticipated, such waivers are not guaranteed, and the </w:t>
      </w:r>
      <w:bookmarkStart w:name="_9kMH02J7aXv6AA8BFPLzmlnx822EhdI28" w:id="71"/>
      <w:r w:rsidRPr="009C48DA">
        <w:rPr>
          <w:rFonts w:eastAsia="Calibri" w:cs="Arial"/>
          <w:szCs w:val="20"/>
          <w:lang w:val="en-GB"/>
        </w:rPr>
        <w:t xml:space="preserve">refusal of limited partners of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71"/>
      <w:r w:rsidRPr="009C48DA">
        <w:rPr>
          <w:rFonts w:eastAsia="Calibri" w:cs="Arial"/>
          <w:szCs w:val="20"/>
          <w:lang w:val="en-GB"/>
        </w:rPr>
        <w:t xml:space="preserve"> to provide a waiver may have a material adverse effect on the </w:t>
      </w:r>
      <w:bookmarkStart w:name="_9kMH7AK7aXv6AA8BKULzmlnx822EibGKM" w:id="72"/>
      <w:r w:rsidRPr="009C48DA">
        <w:rPr>
          <w:rFonts w:eastAsia="Calibri" w:cs="Arial"/>
          <w:szCs w:val="20"/>
          <w:lang w:val="en-GB"/>
        </w:rPr>
        <w:t>Group’s</w:t>
      </w:r>
      <w:bookmarkEnd w:id="72"/>
      <w:r w:rsidRPr="009C48DA">
        <w:rPr>
          <w:rFonts w:eastAsia="Calibri" w:cs="Arial"/>
          <w:szCs w:val="20"/>
          <w:lang w:val="en-GB"/>
        </w:rPr>
        <w:t xml:space="preserve"> revenue, net income and cash flows.</w:t>
      </w:r>
    </w:p>
    <w:p w:rsidRPr="009C48DA" w:rsidR="006D6A27" w:rsidP="00676CA5" w:rsidRDefault="00E25C97" w14:paraId="70FC0246" w14:textId="62C6DAC2">
      <w:pPr>
        <w:pStyle w:val="BodyText2SglJ"/>
        <w:rPr>
          <w:rFonts w:eastAsia="Calibri" w:cs="Arial"/>
          <w:szCs w:val="20"/>
          <w:lang w:val="en-GB"/>
        </w:rPr>
      </w:pPr>
      <w:bookmarkStart w:name="_9kMI0G6ZWu5997HJeSkFN1onpzA44GkdIMO" w:id="73"/>
      <w:r w:rsidRPr="009C48DA">
        <w:rPr>
          <w:rFonts w:eastAsia="Calibri" w:cs="Arial"/>
          <w:szCs w:val="20"/>
          <w:lang w:val="en-GB"/>
        </w:rPr>
        <w:t>The Group’s</w:t>
      </w:r>
      <w:bookmarkEnd w:id="73"/>
      <w:r w:rsidRPr="009C48DA">
        <w:rPr>
          <w:rFonts w:eastAsia="Calibri" w:cs="Arial"/>
          <w:szCs w:val="20"/>
          <w:lang w:val="en-GB"/>
        </w:rPr>
        <w:t xml:space="preserve"> ability to recruit, retain and motivate personnel is particularly dependent on the </w:t>
      </w:r>
      <w:bookmarkStart w:name="_9kMH55H7aXv6AA8BKULzmlnx822EibGKM" w:id="74"/>
      <w:r w:rsidRPr="009C48DA">
        <w:rPr>
          <w:rFonts w:eastAsia="Calibri" w:cs="Arial"/>
          <w:szCs w:val="20"/>
          <w:lang w:val="en-GB"/>
        </w:rPr>
        <w:t>Group’s</w:t>
      </w:r>
      <w:bookmarkEnd w:id="74"/>
      <w:r w:rsidRPr="009C48DA">
        <w:rPr>
          <w:rFonts w:eastAsia="Calibri" w:cs="Arial"/>
          <w:szCs w:val="20"/>
          <w:lang w:val="en-GB"/>
        </w:rPr>
        <w:t xml:space="preserve"> ability to offer highly attractive incentive opportunities. </w:t>
      </w:r>
      <w:bookmarkStart w:name="_9kMI1H6ZWu5997HJeSkFN1onpzA44GkdIMO" w:id="75"/>
      <w:r w:rsidRPr="009C48DA">
        <w:rPr>
          <w:rFonts w:eastAsia="Calibri" w:cs="Arial"/>
          <w:szCs w:val="20"/>
          <w:lang w:val="en-GB"/>
        </w:rPr>
        <w:t xml:space="preserve">The </w:t>
      </w:r>
      <w:bookmarkEnd w:id="75"/>
      <w:r w:rsidRPr="009C48DA">
        <w:rPr>
          <w:rFonts w:eastAsia="Calibri" w:cs="Arial"/>
          <w:szCs w:val="20"/>
          <w:lang w:val="en-GB"/>
        </w:rPr>
        <w:t xml:space="preserve">Group has historically relied in part on the interests of key senior personnel in the </w:t>
      </w:r>
      <w:bookmarkStart w:name="_9kMHzzH7aXv6AA8BFPLzmlnx822EhdI28" w:id="76"/>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76"/>
      <w:r w:rsidRPr="009C48DA">
        <w:rPr>
          <w:rFonts w:eastAsia="Calibri" w:cs="Arial"/>
          <w:szCs w:val="20"/>
          <w:lang w:val="en-GB"/>
        </w:rPr>
        <w:t xml:space="preserve"> carried interest to discourage them from leaving </w:t>
      </w:r>
      <w:r w:rsidRPr="009C48DA" w:rsidR="006D5BFE">
        <w:rPr>
          <w:lang w:val="en-GB"/>
        </w:rPr>
        <w:t>Bridgepoint</w:t>
      </w:r>
      <w:r w:rsidRPr="009C48DA">
        <w:rPr>
          <w:rFonts w:eastAsia="Calibri" w:cs="Arial"/>
          <w:szCs w:val="20"/>
          <w:lang w:val="en-GB"/>
        </w:rPr>
        <w:t xml:space="preserve">. However, to the extent that the </w:t>
      </w:r>
      <w:bookmarkStart w:name="_9kMHz0I7aXv6AA8BFPLzmlnx822EhdI28" w:id="77"/>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77"/>
      <w:r w:rsidRPr="009C48DA">
        <w:rPr>
          <w:rFonts w:eastAsia="Calibri" w:cs="Arial"/>
          <w:szCs w:val="20"/>
          <w:lang w:val="en-GB"/>
        </w:rPr>
        <w:t xml:space="preserve"> perform poorly, thereby reducing the potential for carried interest, their interests in carried interest become less valuable to them and become less effective as incentives for them to continue to be employed at </w:t>
      </w:r>
      <w:r w:rsidRPr="009C48DA" w:rsidR="006D5BFE">
        <w:rPr>
          <w:lang w:val="en-GB"/>
        </w:rPr>
        <w:t>Bridgepoint</w:t>
      </w:r>
      <w:r w:rsidRPr="009C48DA">
        <w:rPr>
          <w:rFonts w:eastAsia="Calibri" w:cs="Arial"/>
          <w:szCs w:val="20"/>
          <w:lang w:val="en-GB"/>
        </w:rPr>
        <w:t xml:space="preserve">. </w:t>
      </w:r>
      <w:bookmarkEnd w:id="59"/>
      <w:r w:rsidRPr="009C48DA" w:rsidR="006D6A27">
        <w:rPr>
          <w:rFonts w:eastAsia="Calibri" w:cs="Arial"/>
          <w:szCs w:val="20"/>
          <w:lang w:val="en-GB"/>
        </w:rPr>
        <w:t xml:space="preserve">Additionally, the value of equity awards that the </w:t>
      </w:r>
      <w:bookmarkStart w:name="_9kMLK5YVt4886BCLHy0poD" w:id="78"/>
      <w:r w:rsidRPr="009C48DA" w:rsidR="006D6A27">
        <w:rPr>
          <w:rFonts w:eastAsia="Calibri" w:cs="Arial"/>
          <w:szCs w:val="20"/>
          <w:lang w:val="en-GB"/>
        </w:rPr>
        <w:t>Company</w:t>
      </w:r>
      <w:bookmarkEnd w:id="78"/>
      <w:r w:rsidRPr="009C48DA" w:rsidR="006D6A27">
        <w:rPr>
          <w:rFonts w:eastAsia="Calibri" w:cs="Arial"/>
          <w:szCs w:val="20"/>
          <w:lang w:val="en-GB"/>
        </w:rPr>
        <w:t xml:space="preserve"> issues to members of its personnel at any given time may subsequently fall, which could counteract the </w:t>
      </w:r>
      <w:bookmarkStart w:name="_9kMH57J7aXv6AA8BKULzmlnx822EibGKM" w:id="79"/>
      <w:r w:rsidRPr="009C48DA" w:rsidR="006D6A27">
        <w:rPr>
          <w:rFonts w:eastAsia="Calibri" w:cs="Arial"/>
          <w:szCs w:val="20"/>
          <w:lang w:val="en-GB"/>
        </w:rPr>
        <w:t>Group’s</w:t>
      </w:r>
      <w:bookmarkEnd w:id="79"/>
      <w:r w:rsidRPr="009C48DA" w:rsidR="006D6A27">
        <w:rPr>
          <w:rFonts w:eastAsia="Calibri" w:cs="Arial"/>
          <w:szCs w:val="20"/>
          <w:lang w:val="en-GB"/>
        </w:rPr>
        <w:t xml:space="preserve"> efforts to incentivise them. Therefore, in order to recruit and retain existing and future personnel, the Group may need to increase the level of compensation that is paid. Accordingly, as the Group promotes or hires new personnel over time, the Group may increase the level of compensation, which would cause the </w:t>
      </w:r>
      <w:bookmarkStart w:name="_9kMH5CO7aXv6AA8BKULzmlnx822EibGKM" w:id="80"/>
      <w:r w:rsidRPr="009C48DA" w:rsidR="006D6A27">
        <w:rPr>
          <w:rFonts w:eastAsia="Calibri" w:cs="Arial"/>
          <w:szCs w:val="20"/>
          <w:lang w:val="en-GB"/>
        </w:rPr>
        <w:t>Group’s</w:t>
      </w:r>
      <w:bookmarkEnd w:id="80"/>
      <w:r w:rsidRPr="009C48DA" w:rsidR="006D6A27">
        <w:rPr>
          <w:rFonts w:eastAsia="Calibri" w:cs="Arial"/>
          <w:szCs w:val="20"/>
          <w:lang w:val="en-GB"/>
        </w:rPr>
        <w:t xml:space="preserve"> total employee compensation and benefits expense as a percentage of total revenue to increase and therefore adversely affect the </w:t>
      </w:r>
      <w:bookmarkStart w:name="_9kMH5DP7aXv6AA8BKULzmlnx822EibGKM" w:id="81"/>
      <w:r w:rsidRPr="009C48DA" w:rsidR="006D6A27">
        <w:rPr>
          <w:rFonts w:eastAsia="Calibri" w:cs="Arial"/>
          <w:szCs w:val="20"/>
          <w:lang w:val="en-GB"/>
        </w:rPr>
        <w:t>Group’s</w:t>
      </w:r>
      <w:bookmarkEnd w:id="81"/>
      <w:r w:rsidRPr="009C48DA" w:rsidR="006D6A27">
        <w:rPr>
          <w:rFonts w:eastAsia="Calibri" w:cs="Arial"/>
          <w:szCs w:val="20"/>
          <w:lang w:val="en-GB"/>
        </w:rPr>
        <w:t xml:space="preserve"> profitability. </w:t>
      </w:r>
    </w:p>
    <w:p w:rsidRPr="009C48DA" w:rsidR="006D6A27" w:rsidP="00676CA5" w:rsidRDefault="006D6A27" w14:paraId="0EF01E03" w14:textId="59A38602">
      <w:pPr>
        <w:pStyle w:val="BodyText2SglJ"/>
        <w:rPr>
          <w:rFonts w:eastAsia="Calibri" w:cs="Arial"/>
          <w:szCs w:val="20"/>
          <w:lang w:val="en-GB"/>
        </w:rPr>
      </w:pPr>
      <w:r w:rsidRPr="009C48DA">
        <w:rPr>
          <w:rFonts w:eastAsia="Calibri" w:cs="Arial"/>
          <w:szCs w:val="20"/>
          <w:lang w:val="en-GB"/>
        </w:rPr>
        <w:t xml:space="preserve">Furthermore, the </w:t>
      </w:r>
      <w:bookmarkStart w:name="_9kMH5EQ7aXv6AA8BKULzmlnx822EibGKM" w:id="82"/>
      <w:r w:rsidRPr="009C48DA">
        <w:rPr>
          <w:rFonts w:eastAsia="Calibri" w:cs="Arial"/>
          <w:szCs w:val="20"/>
          <w:lang w:val="en-GB"/>
        </w:rPr>
        <w:t>Group’s</w:t>
      </w:r>
      <w:bookmarkEnd w:id="82"/>
      <w:r w:rsidRPr="009C48DA">
        <w:rPr>
          <w:rFonts w:eastAsia="Calibri" w:cs="Arial"/>
          <w:szCs w:val="20"/>
          <w:lang w:val="en-GB"/>
        </w:rPr>
        <w:t xml:space="preserve"> partners and other personnel, who are not obliged to remain employed with the Group, may join or form a competing firm, or solicit other employees to also join that competing firm. The non-competition, non-solicitation and confidentiality agreements to which the </w:t>
      </w:r>
      <w:bookmarkStart w:name="_9kMH66H7aXv6AA8BKULzmlnx822EibGKM" w:id="83"/>
      <w:r w:rsidRPr="009C48DA">
        <w:rPr>
          <w:rFonts w:eastAsia="Calibri" w:cs="Arial"/>
          <w:szCs w:val="20"/>
          <w:lang w:val="en-GB"/>
        </w:rPr>
        <w:t>Group’s</w:t>
      </w:r>
      <w:bookmarkEnd w:id="83"/>
      <w:r w:rsidRPr="009C48DA">
        <w:rPr>
          <w:rFonts w:eastAsia="Calibri" w:cs="Arial"/>
          <w:szCs w:val="20"/>
          <w:lang w:val="en-GB"/>
        </w:rPr>
        <w:t xml:space="preserve"> partners and other employees are and will be subject to, together with the </w:t>
      </w:r>
      <w:bookmarkStart w:name="_9kMH67I7aXv6AA8BKULzmlnx822EibGKM" w:id="84"/>
      <w:r w:rsidRPr="009C48DA">
        <w:rPr>
          <w:rFonts w:eastAsia="Calibri" w:cs="Arial"/>
          <w:szCs w:val="20"/>
          <w:lang w:val="en-GB"/>
        </w:rPr>
        <w:t>Group’s</w:t>
      </w:r>
      <w:bookmarkEnd w:id="84"/>
      <w:r w:rsidRPr="009C48DA">
        <w:rPr>
          <w:rFonts w:eastAsia="Calibri" w:cs="Arial"/>
          <w:szCs w:val="20"/>
          <w:lang w:val="en-GB"/>
        </w:rPr>
        <w:t xml:space="preserve"> other arrangements with them, may not prevent them from leaving the Group, joining </w:t>
      </w:r>
      <w:r w:rsidRPr="009C48DA">
        <w:rPr>
          <w:rFonts w:eastAsia="Times New Roman" w:cs="Times New Roman"/>
          <w:color w:val="231F20"/>
          <w:szCs w:val="20"/>
          <w:lang w:val="en-GB"/>
        </w:rPr>
        <w:t>competitors</w:t>
      </w:r>
      <w:r w:rsidRPr="009C48DA">
        <w:rPr>
          <w:rFonts w:eastAsia="Calibri" w:cs="Arial"/>
          <w:szCs w:val="20"/>
          <w:lang w:val="en-GB"/>
        </w:rPr>
        <w:t xml:space="preserve"> or otherwise competing with the Group.</w:t>
      </w:r>
      <w:r w:rsidRPr="009C48DA">
        <w:rPr>
          <w:rFonts w:eastAsia="Times New Roman" w:cs="Times New Roman"/>
          <w:color w:val="000000"/>
          <w:spacing w:val="-2"/>
          <w:szCs w:val="20"/>
          <w:lang w:val="en-GB"/>
        </w:rPr>
        <w:t xml:space="preserve"> </w:t>
      </w:r>
      <w:r w:rsidRPr="009C48DA">
        <w:rPr>
          <w:rFonts w:eastAsia="Calibri" w:cs="Arial"/>
          <w:szCs w:val="20"/>
          <w:lang w:val="en-GB"/>
        </w:rPr>
        <w:t xml:space="preserve">Depending on which entity is a party to these agreements and/or the laws applicable to them, the Group may not be able to, or may choose not to, enforce them or </w:t>
      </w:r>
      <w:r w:rsidRPr="009C48DA" w:rsidR="00456F2C">
        <w:rPr>
          <w:rFonts w:eastAsia="Calibri" w:cs="Arial"/>
          <w:szCs w:val="20"/>
          <w:lang w:val="en-GB"/>
        </w:rPr>
        <w:t xml:space="preserve">may </w:t>
      </w:r>
      <w:r w:rsidRPr="009C48DA">
        <w:rPr>
          <w:rFonts w:eastAsia="Calibri" w:cs="Arial"/>
          <w:szCs w:val="20"/>
          <w:lang w:val="en-GB"/>
        </w:rPr>
        <w:t xml:space="preserve">become subject to lawsuits or other claims, and certain of these agreements might be waived, modified or amended at any time without the </w:t>
      </w:r>
      <w:bookmarkStart w:name="_9kMH6BM7aXv6AA8BKULzmlnx822EibGKM" w:id="85"/>
      <w:r w:rsidRPr="009C48DA">
        <w:rPr>
          <w:rFonts w:eastAsia="Calibri" w:cs="Arial"/>
          <w:szCs w:val="20"/>
          <w:lang w:val="en-GB"/>
        </w:rPr>
        <w:t>Group’s</w:t>
      </w:r>
      <w:bookmarkEnd w:id="85"/>
      <w:r w:rsidRPr="009C48DA">
        <w:rPr>
          <w:rFonts w:eastAsia="Calibri" w:cs="Arial"/>
          <w:szCs w:val="20"/>
          <w:lang w:val="en-GB"/>
        </w:rPr>
        <w:t xml:space="preserve"> consent. Even when enforceable, such agreements will expire after a certain period of time, at which point each of </w:t>
      </w:r>
      <w:r w:rsidRPr="009C48DA">
        <w:rPr>
          <w:rFonts w:eastAsia="Calibri" w:cs="Arial"/>
          <w:szCs w:val="20"/>
          <w:lang w:val="en-GB"/>
        </w:rPr>
        <w:lastRenderedPageBreak/>
        <w:t xml:space="preserve">the </w:t>
      </w:r>
      <w:bookmarkStart w:name="_9kMH6CN7aXv6AA8BKULzmlnx822EibGKM" w:id="86"/>
      <w:r w:rsidRPr="009C48DA">
        <w:rPr>
          <w:rFonts w:eastAsia="Calibri" w:cs="Arial"/>
          <w:szCs w:val="20"/>
          <w:lang w:val="en-GB"/>
        </w:rPr>
        <w:t>Group’s</w:t>
      </w:r>
      <w:bookmarkEnd w:id="86"/>
      <w:r w:rsidRPr="009C48DA">
        <w:rPr>
          <w:rFonts w:eastAsia="Calibri" w:cs="Arial"/>
          <w:szCs w:val="20"/>
          <w:lang w:val="en-GB"/>
        </w:rPr>
        <w:t xml:space="preserve"> partners and other employees would be free to compete against the Group or recruit or solicit employees from it. If any of the foregoing were to materialise, the Group could fail to maintain or grow AUM in existing </w:t>
      </w:r>
      <w:bookmarkStart w:name="_9kMHz1J7aXv6AA8BFPLzmlnx822EhdI28" w:id="87"/>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w:t>
      </w:r>
      <w:bookmarkEnd w:id="87"/>
      <w:r w:rsidRPr="009C48DA">
        <w:rPr>
          <w:rFonts w:eastAsia="Calibri" w:cs="Arial"/>
          <w:szCs w:val="20"/>
          <w:lang w:val="en-GB"/>
        </w:rPr>
        <w:t xml:space="preserve"> or raise additional funds in the future</w:t>
      </w:r>
      <w:r w:rsidRPr="009C48DA" w:rsidR="00C3464A">
        <w:rPr>
          <w:rFonts w:eastAsia="Calibri" w:cs="Arial"/>
          <w:szCs w:val="20"/>
          <w:lang w:val="en-GB"/>
        </w:rPr>
        <w:t>, which could have a material adverse effect on the Group’s business, revenue, net income and cash flows</w:t>
      </w:r>
      <w:r w:rsidRPr="009C48DA">
        <w:rPr>
          <w:rFonts w:eastAsia="Calibri" w:cs="Arial"/>
          <w:szCs w:val="20"/>
          <w:lang w:val="en-GB"/>
        </w:rPr>
        <w:t>.</w:t>
      </w:r>
    </w:p>
    <w:p w:rsidRPr="009C48DA" w:rsidR="006D6A27" w:rsidP="00F428F0" w:rsidRDefault="006D6A27" w14:paraId="2CBBFFD4" w14:textId="77777777">
      <w:pPr>
        <w:pStyle w:val="TitleBI"/>
        <w:rPr>
          <w:szCs w:val="20"/>
          <w:lang w:val="en-GB"/>
        </w:rPr>
      </w:pPr>
      <w:r w:rsidRPr="009C48DA">
        <w:rPr>
          <w:szCs w:val="20"/>
          <w:lang w:val="en-GB"/>
        </w:rPr>
        <w:t>The investment management business is intensely competitive both with respect to fund investors and investment opportunities, which could have a material adverse impact on the Group’s business.</w:t>
      </w:r>
    </w:p>
    <w:p w:rsidRPr="009C48DA" w:rsidR="006D6A27" w:rsidP="00676CA5" w:rsidRDefault="006D6A27" w14:paraId="43523E55" w14:textId="646C11A5">
      <w:pPr>
        <w:pStyle w:val="BodyText2SglJ"/>
        <w:rPr>
          <w:rFonts w:eastAsia="Calibri" w:cs="Arial"/>
          <w:szCs w:val="20"/>
          <w:lang w:val="en-GB"/>
        </w:rPr>
      </w:pPr>
      <w:r w:rsidRPr="009C48DA">
        <w:rPr>
          <w:rFonts w:eastAsia="Calibri" w:cs="Arial"/>
          <w:szCs w:val="20"/>
          <w:lang w:val="en-GB"/>
        </w:rPr>
        <w:t xml:space="preserve">The Group operates in the </w:t>
      </w:r>
      <w:r w:rsidRPr="009C48DA" w:rsidR="00034156">
        <w:rPr>
          <w:rFonts w:eastAsia="Calibri" w:cs="Arial"/>
          <w:szCs w:val="20"/>
          <w:lang w:val="en-GB"/>
        </w:rPr>
        <w:t>middle market</w:t>
      </w:r>
      <w:r w:rsidRPr="009C48DA">
        <w:rPr>
          <w:rFonts w:eastAsia="Calibri" w:cs="Arial"/>
          <w:szCs w:val="20"/>
          <w:lang w:val="en-GB"/>
        </w:rPr>
        <w:t xml:space="preserve"> segment of the private </w:t>
      </w:r>
      <w:r w:rsidRPr="009C48DA" w:rsidR="00C70B19">
        <w:rPr>
          <w:rFonts w:eastAsia="Calibri" w:cs="Arial"/>
          <w:szCs w:val="20"/>
          <w:lang w:val="en-GB"/>
        </w:rPr>
        <w:t>asset management</w:t>
      </w:r>
      <w:r w:rsidRPr="009C48DA" w:rsidR="00456F2C">
        <w:rPr>
          <w:rFonts w:eastAsia="Calibri" w:cs="Arial"/>
          <w:szCs w:val="20"/>
          <w:lang w:val="en-GB"/>
        </w:rPr>
        <w:t xml:space="preserve"> </w:t>
      </w:r>
      <w:r w:rsidRPr="009C48DA">
        <w:rPr>
          <w:rFonts w:eastAsia="Calibri" w:cs="Arial"/>
          <w:szCs w:val="20"/>
          <w:lang w:val="en-GB"/>
        </w:rPr>
        <w:t>industry as an investment manager of funds which invest in private equity and private</w:t>
      </w:r>
      <w:r w:rsidRPr="009C48DA" w:rsidR="00D321CC">
        <w:rPr>
          <w:rFonts w:eastAsia="Calibri" w:cs="Arial"/>
          <w:szCs w:val="20"/>
          <w:lang w:val="en-GB"/>
        </w:rPr>
        <w:t xml:space="preserve"> credit</w:t>
      </w:r>
      <w:r w:rsidRPr="009C48DA">
        <w:rPr>
          <w:rFonts w:eastAsia="Calibri" w:cs="Arial"/>
          <w:szCs w:val="20"/>
          <w:lang w:val="en-GB"/>
        </w:rPr>
        <w:t xml:space="preserve">. The Group competes as an asset manager for both fund investors and investment opportunities. The Group’s competitors consist primarily of sponsors of public and private investment funds, specialised investment funds, hybrid funds, business development companies, investment banks, financial institutions (for example, mortgage banks and pension funds), traditional asset managers, high-net-worth individuals and family offices and operating companies acting as strategic buyers of businesses. </w:t>
      </w:r>
    </w:p>
    <w:p w:rsidRPr="009C48DA" w:rsidR="006D6A27" w:rsidP="00676CA5" w:rsidRDefault="006D6A27" w14:paraId="452E264F" w14:textId="44C0D7E7">
      <w:pPr>
        <w:pStyle w:val="BodyText2SglJ"/>
        <w:rPr>
          <w:rFonts w:eastAsia="Calibri" w:cs="Arial"/>
          <w:b/>
          <w:szCs w:val="20"/>
          <w:lang w:val="en-GB"/>
        </w:rPr>
      </w:pPr>
      <w:r w:rsidRPr="009C48DA">
        <w:rPr>
          <w:rFonts w:eastAsia="Calibri" w:cs="Arial"/>
          <w:szCs w:val="20"/>
          <w:lang w:val="en-GB"/>
        </w:rPr>
        <w:t xml:space="preserve">The Directors believe that competition for fund investors is based primarily on investment performance, investor liquidity and willingness to invest, investor perception of fund managers’ drive, focus and alignment of interest, brand recognition, business reputation, the duration of relationships with fund investors, the quality of services provided to fund investors, pricing, fund terms (including fees), the relative attractiveness of the types of investments that have been or will be made and consideration of ESG </w:t>
      </w:r>
      <w:r w:rsidRPr="009C48DA" w:rsidR="0030615B">
        <w:rPr>
          <w:rFonts w:eastAsia="Calibri" w:cs="Arial"/>
          <w:szCs w:val="20"/>
          <w:lang w:val="en-GB"/>
        </w:rPr>
        <w:t>topics</w:t>
      </w:r>
      <w:r w:rsidRPr="009C48DA">
        <w:rPr>
          <w:rFonts w:eastAsia="Calibri" w:cs="Arial"/>
          <w:szCs w:val="20"/>
          <w:lang w:val="en-GB"/>
        </w:rPr>
        <w:t xml:space="preserve">. In addition, if interest rates were to rise or if market conditions for competing investment products become or are more favourable and such products begin to offer rates of return superior to those achieved by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 xml:space="preserve">Funds, the attractiveness of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 xml:space="preserve">Funds relative to investments in other investment products could decrease. Such competition may have the effect of increasing acquisition and other costs and the length of time required to fully invest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 xml:space="preserve">Funds, thereby reducing investment returns. This competitive pressure within the alternative investment market could limit its ability to raise future funds, which would </w:t>
      </w:r>
      <w:r w:rsidRPr="009C48DA" w:rsidR="00506FCD">
        <w:rPr>
          <w:rFonts w:eastAsia="Calibri" w:cs="Arial"/>
          <w:szCs w:val="20"/>
          <w:lang w:val="en-GB"/>
        </w:rPr>
        <w:t xml:space="preserve">materially </w:t>
      </w:r>
      <w:r w:rsidRPr="009C48DA">
        <w:rPr>
          <w:rFonts w:eastAsia="Calibri" w:cs="Arial"/>
          <w:szCs w:val="20"/>
          <w:lang w:val="en-GB"/>
        </w:rPr>
        <w:t xml:space="preserve">adversely affect the Group’s business, </w:t>
      </w:r>
      <w:r w:rsidRPr="009C48DA" w:rsidR="00506FCD">
        <w:rPr>
          <w:rFonts w:eastAsia="Calibri" w:cs="Arial"/>
          <w:szCs w:val="20"/>
          <w:lang w:val="en-GB"/>
        </w:rPr>
        <w:t>revenue, net income and</w:t>
      </w:r>
      <w:r w:rsidRPr="009C48DA">
        <w:rPr>
          <w:rFonts w:eastAsia="Calibri" w:cs="Arial"/>
          <w:szCs w:val="20"/>
          <w:lang w:val="en-GB"/>
        </w:rPr>
        <w:t xml:space="preserve"> cash flows. </w:t>
      </w:r>
    </w:p>
    <w:p w:rsidRPr="009C48DA" w:rsidR="006D6A27" w:rsidP="00676CA5" w:rsidRDefault="006D6A27" w14:paraId="16807FF7" w14:textId="2014AA97">
      <w:pPr>
        <w:pStyle w:val="BodyText2SglJ"/>
        <w:rPr>
          <w:rFonts w:eastAsia="Calibri" w:cs="Arial"/>
          <w:szCs w:val="20"/>
          <w:lang w:val="en-GB"/>
        </w:rPr>
      </w:pPr>
      <w:r w:rsidRPr="009C48DA">
        <w:rPr>
          <w:rFonts w:eastAsia="Calibri" w:cs="Arial"/>
          <w:szCs w:val="20"/>
          <w:lang w:val="en-GB"/>
        </w:rPr>
        <w:t xml:space="preserve">Competition for investment opportunities is based primarily on the pricing, terms and structure of a proposed investment and certainty of execution.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 xml:space="preserve">Funds and the Group may fail to capitalise on investment opportunities in the future if they do not match investment prices, structures and terms offered by competitors. Alternatively,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 xml:space="preserve">Funds and the Group may experience decreased investment returns and increased risks of loss if investment prices, structures and terms offered by competitors are matched. Moreover, as a result, if the Group is forced to compete with other investment firms on the basis of price, it may not be able to maintain its current management fees, carried interest or other terms with fund investors. Reductions of management fees or carried interest or other changes to the commercial terms of fund documents of existing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 xml:space="preserve">Funds or any future funds established by the Group, without corresponding decreases in the Group’s cost structure, could </w:t>
      </w:r>
      <w:r w:rsidRPr="009C48DA" w:rsidR="00BE4DC3">
        <w:rPr>
          <w:rFonts w:eastAsia="Calibri" w:cs="Arial"/>
          <w:szCs w:val="20"/>
          <w:lang w:val="en-GB"/>
        </w:rPr>
        <w:t xml:space="preserve">have a </w:t>
      </w:r>
      <w:r w:rsidRPr="009C48DA">
        <w:rPr>
          <w:rFonts w:eastAsia="Calibri" w:cs="Arial"/>
          <w:szCs w:val="20"/>
          <w:lang w:val="en-GB"/>
        </w:rPr>
        <w:t xml:space="preserve">material adverse </w:t>
      </w:r>
      <w:r w:rsidRPr="009C48DA" w:rsidR="00BE4DC3">
        <w:rPr>
          <w:rFonts w:eastAsia="Calibri" w:cs="Arial"/>
          <w:szCs w:val="20"/>
          <w:lang w:val="en-GB"/>
        </w:rPr>
        <w:t>e</w:t>
      </w:r>
      <w:r w:rsidRPr="009C48DA">
        <w:rPr>
          <w:rFonts w:eastAsia="Calibri" w:cs="Arial"/>
          <w:szCs w:val="20"/>
          <w:lang w:val="en-GB"/>
        </w:rPr>
        <w:t xml:space="preserve">ffect </w:t>
      </w:r>
      <w:r w:rsidRPr="009C48DA" w:rsidR="00BE4DC3">
        <w:rPr>
          <w:rFonts w:eastAsia="Calibri" w:cs="Arial"/>
          <w:szCs w:val="20"/>
          <w:lang w:val="en-GB"/>
        </w:rPr>
        <w:t xml:space="preserve">on </w:t>
      </w:r>
      <w:r w:rsidRPr="009C48DA">
        <w:rPr>
          <w:rFonts w:eastAsia="Calibri" w:cs="Arial"/>
          <w:szCs w:val="20"/>
          <w:lang w:val="en-GB"/>
        </w:rPr>
        <w:t>the Group’s business, revenue</w:t>
      </w:r>
      <w:r w:rsidRPr="009C48DA" w:rsidDel="00571B6B">
        <w:rPr>
          <w:rFonts w:eastAsia="Calibri" w:cs="Arial"/>
          <w:szCs w:val="20"/>
          <w:lang w:val="en-GB"/>
        </w:rPr>
        <w:t xml:space="preserve">, net income and </w:t>
      </w:r>
      <w:r w:rsidRPr="009C48DA" w:rsidR="00BE4DC3">
        <w:rPr>
          <w:rFonts w:eastAsia="Calibri" w:cs="Arial"/>
          <w:szCs w:val="20"/>
          <w:lang w:val="en-GB"/>
        </w:rPr>
        <w:t>cash flows</w:t>
      </w:r>
      <w:r w:rsidRPr="009C48DA">
        <w:rPr>
          <w:rFonts w:eastAsia="Calibri" w:cs="Arial"/>
          <w:szCs w:val="20"/>
          <w:lang w:val="en-GB"/>
        </w:rPr>
        <w:t xml:space="preserve">. </w:t>
      </w:r>
    </w:p>
    <w:p w:rsidRPr="009C48DA" w:rsidR="006D6A27" w:rsidP="00676CA5" w:rsidRDefault="006D6A27" w14:paraId="5AB9E359" w14:textId="6C347C40">
      <w:pPr>
        <w:pStyle w:val="BodyText2SglJ"/>
        <w:rPr>
          <w:rFonts w:eastAsia="Calibri" w:cs="Arial"/>
          <w:szCs w:val="20"/>
          <w:lang w:val="en-GB"/>
        </w:rPr>
      </w:pPr>
      <w:r w:rsidRPr="009C48DA">
        <w:rPr>
          <w:rFonts w:eastAsia="Calibri" w:cs="Arial"/>
          <w:szCs w:val="20"/>
          <w:lang w:val="en-GB"/>
        </w:rPr>
        <w:t xml:space="preserve">A number of factors </w:t>
      </w:r>
      <w:r w:rsidRPr="009C48DA" w:rsidR="00456F2C">
        <w:rPr>
          <w:rFonts w:eastAsia="Calibri" w:cs="Arial"/>
          <w:szCs w:val="20"/>
          <w:lang w:val="en-GB"/>
        </w:rPr>
        <w:t xml:space="preserve">could </w:t>
      </w:r>
      <w:r w:rsidRPr="009C48DA">
        <w:rPr>
          <w:rFonts w:eastAsia="Calibri" w:cs="Arial"/>
          <w:szCs w:val="20"/>
          <w:lang w:val="en-GB"/>
        </w:rPr>
        <w:t>serve to increase the Group’s competitive risks:</w:t>
      </w:r>
    </w:p>
    <w:p w:rsidRPr="009C48DA" w:rsidR="006D6A27" w:rsidP="00676CA5" w:rsidRDefault="006D6A27" w14:paraId="2853A526" w14:textId="595EE5B3">
      <w:pPr>
        <w:pStyle w:val="STBBullet3"/>
        <w:rPr>
          <w:szCs w:val="20"/>
          <w:lang w:val="en-GB"/>
        </w:rPr>
      </w:pPr>
      <w:r w:rsidRPr="009C48DA">
        <w:rPr>
          <w:szCs w:val="20"/>
          <w:lang w:val="en-GB"/>
        </w:rPr>
        <w:t>some of the Group’s competitors may</w:t>
      </w:r>
      <w:r w:rsidRPr="009C48DA" w:rsidR="009A613B">
        <w:rPr>
          <w:szCs w:val="20"/>
          <w:lang w:val="en-GB"/>
        </w:rPr>
        <w:t>,</w:t>
      </w:r>
      <w:r w:rsidRPr="009C48DA">
        <w:rPr>
          <w:szCs w:val="20"/>
          <w:lang w:val="en-GB"/>
        </w:rPr>
        <w:t xml:space="preserve"> in some aspects of their businesses</w:t>
      </w:r>
      <w:r w:rsidRPr="009C48DA" w:rsidR="009A613B">
        <w:rPr>
          <w:szCs w:val="20"/>
          <w:lang w:val="en-GB"/>
        </w:rPr>
        <w:t>,</w:t>
      </w:r>
      <w:r w:rsidRPr="009C48DA">
        <w:rPr>
          <w:szCs w:val="20"/>
          <w:lang w:val="en-GB"/>
        </w:rPr>
        <w:t xml:space="preserve"> have greater financial, technical, marketing and other resources and more personnel than the Group does, and, in the case of some asset classes or geographic regions, longer operating histories, more established relationships, greater expertise or a better reputation;</w:t>
      </w:r>
    </w:p>
    <w:p w:rsidRPr="009C48DA" w:rsidR="006D6A27" w:rsidP="00676CA5" w:rsidRDefault="006D6A27" w14:paraId="2BF37826" w14:textId="77777777">
      <w:pPr>
        <w:pStyle w:val="STBBullet3"/>
        <w:rPr>
          <w:rFonts w:eastAsia="Calibri" w:cs="Arial"/>
          <w:szCs w:val="20"/>
          <w:lang w:val="en-GB"/>
        </w:rPr>
      </w:pPr>
      <w:r w:rsidRPr="009C48DA">
        <w:rPr>
          <w:rFonts w:eastAsia="Calibri" w:cs="Arial"/>
          <w:szCs w:val="20"/>
          <w:lang w:val="en-GB"/>
        </w:rPr>
        <w:t>fund investors may materially decrease their allocations in new funds established by the Group due to their experiences following an economic downturn, the limited availability of capital, regulatory requirements or a desire to consolidate their relationships with investment firms;</w:t>
      </w:r>
    </w:p>
    <w:p w:rsidRPr="009C48DA" w:rsidR="006D6A27" w:rsidP="00676CA5" w:rsidRDefault="006D6A27" w14:paraId="36551F60" w14:textId="0CA70031">
      <w:pPr>
        <w:pStyle w:val="STBBullet3"/>
        <w:rPr>
          <w:rFonts w:eastAsia="Calibri" w:cs="Arial"/>
          <w:szCs w:val="20"/>
          <w:lang w:val="en-GB"/>
        </w:rPr>
      </w:pPr>
      <w:r w:rsidRPr="009C48DA">
        <w:rPr>
          <w:rFonts w:eastAsia="Calibri" w:cs="Arial"/>
          <w:szCs w:val="20"/>
          <w:lang w:val="en-GB"/>
        </w:rPr>
        <w:t xml:space="preserve">some of the Group’s competitors may have agreed to terms on their investment funds or products that are more favourable to fund investors than those applicable to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 or the Group’s products, such as lower management fees</w:t>
      </w:r>
      <w:r w:rsidRPr="009C48DA" w:rsidR="003C36B4">
        <w:rPr>
          <w:rFonts w:eastAsia="Calibri" w:cs="Arial"/>
          <w:szCs w:val="20"/>
          <w:lang w:val="en-GB"/>
        </w:rPr>
        <w:t>, lower carried interest rates</w:t>
      </w:r>
      <w:r w:rsidRPr="009C48DA">
        <w:rPr>
          <w:rFonts w:eastAsia="Calibri" w:cs="Arial"/>
          <w:szCs w:val="20"/>
          <w:lang w:val="en-GB"/>
        </w:rPr>
        <w:t xml:space="preserve"> or higher performance hurdles for carried interest, and therefore the Group may be forced to match or otherwise revise its terms to be less favourable to the Group than they have been in the past;</w:t>
      </w:r>
    </w:p>
    <w:p w:rsidRPr="009C48DA" w:rsidR="006D6A27" w:rsidP="00676CA5" w:rsidRDefault="006D6A27" w14:paraId="7AA169FB" w14:textId="1C6265CF">
      <w:pPr>
        <w:pStyle w:val="STBBullet3"/>
        <w:rPr>
          <w:rFonts w:eastAsia="Calibri" w:cs="Arial"/>
          <w:szCs w:val="20"/>
          <w:lang w:val="en-GB"/>
        </w:rPr>
      </w:pPr>
      <w:r w:rsidRPr="009C48DA">
        <w:rPr>
          <w:rFonts w:eastAsia="Calibri" w:cs="Arial"/>
          <w:szCs w:val="20"/>
          <w:lang w:val="en-GB"/>
        </w:rPr>
        <w:lastRenderedPageBreak/>
        <w:t xml:space="preserve">some of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 may not perform as well as competitors’ funds or other available investment products;</w:t>
      </w:r>
    </w:p>
    <w:p w:rsidRPr="009C48DA" w:rsidR="006D6A27" w:rsidP="00676CA5" w:rsidRDefault="006D6A27" w14:paraId="1D6BC6A9" w14:textId="02187A9B">
      <w:pPr>
        <w:pStyle w:val="STBBullet3"/>
        <w:rPr>
          <w:rFonts w:eastAsia="Calibri" w:cs="Arial"/>
          <w:szCs w:val="20"/>
          <w:lang w:val="en-GB"/>
        </w:rPr>
      </w:pPr>
      <w:r w:rsidRPr="009C48DA">
        <w:rPr>
          <w:rFonts w:eastAsia="Calibri" w:cs="Arial"/>
          <w:szCs w:val="20"/>
          <w:lang w:val="en-GB"/>
        </w:rPr>
        <w:t>the Group’s competitors have raised or may raise significant amounts of capital, much of whic</w:t>
      </w:r>
      <w:r w:rsidRPr="009C48DA" w:rsidR="004374B1">
        <w:rPr>
          <w:rFonts w:eastAsia="Calibri" w:cs="Arial"/>
          <w:szCs w:val="20"/>
          <w:lang w:val="en-GB"/>
        </w:rPr>
        <w:t>h has not yet been deployed (so-</w:t>
      </w:r>
      <w:r w:rsidRPr="009C48DA">
        <w:rPr>
          <w:rFonts w:eastAsia="Calibri" w:cs="Arial"/>
          <w:szCs w:val="20"/>
          <w:lang w:val="en-GB"/>
        </w:rPr>
        <w:t xml:space="preserve">called “dry powder”), and many of these competitors have similar investment objectives and strategies to some of the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 which may create additional competition for investment opportunities and may reduce the size and duration of pricing inefficiencies that many alternative investment strategies seek to exploit;</w:t>
      </w:r>
    </w:p>
    <w:p w:rsidRPr="009C48DA" w:rsidR="006D6A27" w:rsidP="00676CA5" w:rsidRDefault="0065135D" w14:paraId="4AB0FA44" w14:textId="6F066B77">
      <w:pPr>
        <w:pStyle w:val="STBBullet3"/>
        <w:rPr>
          <w:rFonts w:eastAsia="Calibri" w:cs="Arial"/>
          <w:szCs w:val="20"/>
          <w:lang w:val="en-GB"/>
        </w:rPr>
      </w:pPr>
      <w:r w:rsidRPr="009C48DA">
        <w:rPr>
          <w:rFonts w:eastAsia="Calibri" w:cs="Arial"/>
          <w:szCs w:val="20"/>
          <w:lang w:val="en-GB"/>
        </w:rPr>
        <w:t>some of the Group’s</w:t>
      </w:r>
      <w:r w:rsidRPr="009C48DA" w:rsidR="006D6A27">
        <w:rPr>
          <w:rFonts w:eastAsia="Calibri" w:cs="Arial"/>
          <w:szCs w:val="20"/>
          <w:lang w:val="en-GB"/>
        </w:rPr>
        <w:t xml:space="preserve"> competitors may also have a lower cost of capital and access to funding sources that are not available to the Group, which may create competitive disadvantages for the Group with respect to investment opportunities;</w:t>
      </w:r>
    </w:p>
    <w:p w:rsidRPr="009C48DA" w:rsidR="006D6A27" w:rsidP="00676CA5" w:rsidRDefault="006D6A27" w14:paraId="027DD760" w14:textId="77777777">
      <w:pPr>
        <w:pStyle w:val="STBBullet3"/>
        <w:rPr>
          <w:rFonts w:eastAsia="Calibri" w:cs="Arial"/>
          <w:szCs w:val="20"/>
          <w:lang w:val="en-GB"/>
        </w:rPr>
      </w:pPr>
      <w:r w:rsidRPr="009C48DA">
        <w:rPr>
          <w:rFonts w:eastAsia="Calibri" w:cs="Arial"/>
          <w:szCs w:val="20"/>
          <w:lang w:val="en-GB"/>
        </w:rPr>
        <w:t>some of the Group’s competitors may have higher risk tolerances, different risk assessments or lower return thresholds, which could allow them to consider a wider variety of investments and to bid more aggressively than the Group for investments;</w:t>
      </w:r>
    </w:p>
    <w:p w:rsidRPr="009C48DA" w:rsidR="006D6A27" w:rsidP="00676CA5" w:rsidRDefault="006D6A27" w14:paraId="30BC3B18" w14:textId="77777777">
      <w:pPr>
        <w:pStyle w:val="STBBullet3"/>
        <w:rPr>
          <w:rFonts w:eastAsia="Calibri" w:cs="Arial"/>
          <w:szCs w:val="20"/>
          <w:lang w:val="en-GB"/>
        </w:rPr>
      </w:pPr>
      <w:r w:rsidRPr="009C48DA">
        <w:rPr>
          <w:rFonts w:eastAsia="Calibri" w:cs="Arial"/>
          <w:szCs w:val="20"/>
          <w:lang w:val="en-GB"/>
        </w:rPr>
        <w:t>some of the Group’s competitors may have more flexibility than the Group in raising certain types of investment funds under the investment management contracts they have negotiated with their investors;</w:t>
      </w:r>
    </w:p>
    <w:p w:rsidRPr="009C48DA" w:rsidR="006D6A27" w:rsidP="00676CA5" w:rsidRDefault="006D6A27" w14:paraId="4033CA8F" w14:textId="77777777">
      <w:pPr>
        <w:pStyle w:val="STBBullet3"/>
        <w:rPr>
          <w:rFonts w:eastAsia="Calibri" w:cs="Arial"/>
          <w:szCs w:val="20"/>
          <w:lang w:val="en-GB"/>
        </w:rPr>
      </w:pPr>
      <w:r w:rsidRPr="009C48DA">
        <w:rPr>
          <w:rFonts w:eastAsia="Calibri" w:cs="Arial"/>
          <w:szCs w:val="20"/>
          <w:lang w:val="en-GB"/>
        </w:rPr>
        <w:t>the Group’s competitors that are corporate buyers may be able to achieve synergistic cost savings in respect of an investment, which may provide them with a competitive advantage in bidding for an investment;</w:t>
      </w:r>
    </w:p>
    <w:p w:rsidRPr="009C48DA" w:rsidR="006D6A27" w:rsidP="00676CA5" w:rsidRDefault="006D6A27" w14:paraId="1DEE9B54" w14:textId="77777777">
      <w:pPr>
        <w:pStyle w:val="STBBullet3"/>
        <w:rPr>
          <w:rFonts w:eastAsia="Calibri" w:cs="Arial"/>
          <w:szCs w:val="20"/>
          <w:lang w:val="en-GB"/>
        </w:rPr>
      </w:pPr>
      <w:r w:rsidRPr="009C48DA">
        <w:rPr>
          <w:rFonts w:eastAsia="Calibri" w:cs="Arial"/>
          <w:szCs w:val="20"/>
          <w:lang w:val="en-GB"/>
        </w:rPr>
        <w:t xml:space="preserve">some of the Group’s competitors may be subject to less regulation or less regulatory scrutiny and accordingly may have more flexibility to undertake and execute certain businesses or investments than the Group does and/or bear less expense to comply with such regulations than the Group does; </w:t>
      </w:r>
    </w:p>
    <w:p w:rsidRPr="009C48DA" w:rsidR="006D6A27" w:rsidP="00676CA5" w:rsidRDefault="006D6A27" w14:paraId="65C9B503" w14:textId="39ED3E03">
      <w:pPr>
        <w:pStyle w:val="STBBullet3"/>
        <w:rPr>
          <w:rFonts w:eastAsia="Calibri" w:cs="Arial"/>
          <w:szCs w:val="20"/>
          <w:lang w:val="en-GB"/>
        </w:rPr>
      </w:pPr>
      <w:r w:rsidRPr="009C48DA">
        <w:rPr>
          <w:rFonts w:eastAsia="Calibri" w:cs="Arial"/>
          <w:szCs w:val="20"/>
          <w:lang w:val="en-GB"/>
        </w:rPr>
        <w:t xml:space="preserve">the formation of new funds and the successful efforts of new entrants </w:t>
      </w:r>
      <w:r w:rsidRPr="009C48DA" w:rsidR="00520F83">
        <w:rPr>
          <w:rFonts w:eastAsia="Calibri" w:cs="Arial"/>
          <w:szCs w:val="20"/>
          <w:lang w:val="en-GB"/>
        </w:rPr>
        <w:t xml:space="preserve">to enter </w:t>
      </w:r>
      <w:r w:rsidRPr="009C48DA">
        <w:rPr>
          <w:rFonts w:eastAsia="Calibri" w:cs="Arial"/>
          <w:szCs w:val="20"/>
          <w:lang w:val="en-GB"/>
        </w:rPr>
        <w:t>into the Group’s various lines of business, including major commercial and investment banks and other financial institutions, resulting in increased competition;</w:t>
      </w:r>
    </w:p>
    <w:p w:rsidRPr="009C48DA" w:rsidR="006D6A27" w:rsidP="00676CA5" w:rsidRDefault="006D6A27" w14:paraId="06322995" w14:textId="77777777">
      <w:pPr>
        <w:pStyle w:val="STBBullet3"/>
        <w:rPr>
          <w:rFonts w:eastAsia="Calibri" w:cs="Arial"/>
          <w:szCs w:val="20"/>
          <w:lang w:val="en-GB"/>
        </w:rPr>
      </w:pPr>
      <w:r w:rsidRPr="009C48DA">
        <w:rPr>
          <w:rFonts w:eastAsia="Calibri" w:cs="Arial"/>
          <w:szCs w:val="20"/>
          <w:lang w:val="en-GB"/>
        </w:rPr>
        <w:t>some fund investors may prefer to invest with an investment manager that is not publicly traded, is smaller or manages fewer investment products; and</w:t>
      </w:r>
    </w:p>
    <w:p w:rsidRPr="009C48DA" w:rsidR="006D6A27" w:rsidP="00676CA5" w:rsidRDefault="006D6A27" w14:paraId="4D71E569" w14:textId="77777777">
      <w:pPr>
        <w:pStyle w:val="STBBullet3"/>
        <w:rPr>
          <w:rFonts w:eastAsia="Calibri" w:cs="Arial"/>
          <w:szCs w:val="20"/>
          <w:lang w:val="en-GB"/>
        </w:rPr>
      </w:pPr>
      <w:r w:rsidRPr="009C48DA">
        <w:rPr>
          <w:rFonts w:eastAsia="Calibri" w:cs="Arial"/>
          <w:szCs w:val="20"/>
          <w:lang w:val="en-GB"/>
        </w:rPr>
        <w:t>other industry participants will from time to time seek to recruit the Group’s partners, investment professionals and other employees away from the Group.</w:t>
      </w:r>
    </w:p>
    <w:p w:rsidRPr="009C48DA" w:rsidR="006D6A27" w:rsidP="00F428F0" w:rsidRDefault="006D6A27" w14:paraId="3F96BD7C" w14:textId="2DC27BE9">
      <w:pPr>
        <w:pStyle w:val="TitleBI"/>
        <w:rPr>
          <w:szCs w:val="20"/>
          <w:lang w:val="en-GB"/>
        </w:rPr>
      </w:pPr>
      <w:r w:rsidRPr="009C48DA">
        <w:rPr>
          <w:szCs w:val="20"/>
          <w:lang w:val="en-GB"/>
        </w:rPr>
        <w:t xml:space="preserve">Investors in future funds may negotiate to pay the Group lower management fees, reimburse it for fewer expenses or change the economic terms of future funds, including with respect to management fees and carried interest, to be less favourable to the Group than those of the existing </w:t>
      </w:r>
      <w:r w:rsidRPr="009C48DA" w:rsidR="006D5BFE">
        <w:rPr>
          <w:lang w:val="en-GB"/>
        </w:rPr>
        <w:t>Bridgepoint</w:t>
      </w:r>
      <w:r w:rsidRPr="009C48DA" w:rsidR="006D5BFE">
        <w:rPr>
          <w:szCs w:val="20"/>
          <w:lang w:val="en-GB"/>
        </w:rPr>
        <w:t xml:space="preserve"> </w:t>
      </w:r>
      <w:r w:rsidRPr="009C48DA">
        <w:rPr>
          <w:szCs w:val="20"/>
          <w:lang w:val="en-GB"/>
        </w:rPr>
        <w:t>Funds, which could materially and adver</w:t>
      </w:r>
      <w:r w:rsidRPr="009C48DA" w:rsidR="004374B1">
        <w:rPr>
          <w:szCs w:val="20"/>
          <w:lang w:val="en-GB"/>
        </w:rPr>
        <w:t>sely affect the Group’s revenue</w:t>
      </w:r>
      <w:r w:rsidRPr="009C48DA">
        <w:rPr>
          <w:szCs w:val="20"/>
          <w:lang w:val="en-GB"/>
        </w:rPr>
        <w:t xml:space="preserve"> and profitability. </w:t>
      </w:r>
    </w:p>
    <w:p w:rsidRPr="009C48DA" w:rsidR="006D6A27" w:rsidP="00676CA5" w:rsidRDefault="006D6A27" w14:paraId="14F0048F" w14:textId="18273C2C">
      <w:pPr>
        <w:pStyle w:val="BodyText2SglJ"/>
        <w:rPr>
          <w:rFonts w:eastAsia="Calibri" w:cs="Arial"/>
          <w:szCs w:val="20"/>
          <w:lang w:val="en-GB"/>
        </w:rPr>
      </w:pPr>
      <w:r w:rsidRPr="009C48DA">
        <w:rPr>
          <w:rFonts w:eastAsia="Calibri" w:cs="Arial"/>
          <w:szCs w:val="20"/>
          <w:lang w:val="en-GB"/>
        </w:rPr>
        <w:t xml:space="preserve">In connection with raising new funds or securing additional investments in existing funds, the Group negotiates terms for such funds and investments with its fund limited partners. The outcome of such negotiations could result in the Group’s agreement to terms that are materially less favourable to it than the terms of prior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 or funds advised by the Group’s competitors, for example</w:t>
      </w:r>
      <w:r w:rsidRPr="009C48DA" w:rsidR="008B5DAC">
        <w:rPr>
          <w:rFonts w:eastAsia="Calibri" w:cs="Arial"/>
          <w:szCs w:val="20"/>
          <w:lang w:val="en-GB"/>
        </w:rPr>
        <w:t>,</w:t>
      </w:r>
      <w:r w:rsidRPr="009C48DA">
        <w:rPr>
          <w:rFonts w:eastAsia="Calibri" w:cs="Arial"/>
          <w:szCs w:val="20"/>
          <w:lang w:val="en-GB"/>
        </w:rPr>
        <w:t xml:space="preserve"> lower management fees compared to historical </w:t>
      </w:r>
      <w:r w:rsidRPr="009C48DA" w:rsidR="006D5BFE">
        <w:rPr>
          <w:lang w:val="en-GB"/>
        </w:rPr>
        <w:t>Bridgepoint</w:t>
      </w:r>
      <w:r w:rsidRPr="009C48DA" w:rsidR="006D5BFE">
        <w:rPr>
          <w:rFonts w:eastAsia="Calibri" w:cs="Arial"/>
          <w:szCs w:val="20"/>
          <w:lang w:val="en-GB"/>
        </w:rPr>
        <w:t xml:space="preserve"> </w:t>
      </w:r>
      <w:r w:rsidRPr="009C48DA">
        <w:rPr>
          <w:rFonts w:eastAsia="Calibri" w:cs="Arial"/>
          <w:szCs w:val="20"/>
          <w:lang w:val="en-GB"/>
        </w:rPr>
        <w:t>Funds. Such terms could restrict the Group’s ability to raise investment funds with investment objectives or strategies that compete with exi</w:t>
      </w:r>
      <w:r w:rsidRPr="009C48DA" w:rsidR="004374B1">
        <w:rPr>
          <w:rFonts w:eastAsia="Calibri" w:cs="Arial"/>
          <w:szCs w:val="20"/>
          <w:lang w:val="en-GB"/>
        </w:rPr>
        <w:t>sting funds, reduce fee revenue</w:t>
      </w:r>
      <w:r w:rsidRPr="009C48DA">
        <w:rPr>
          <w:rFonts w:eastAsia="Calibri" w:cs="Arial"/>
          <w:szCs w:val="20"/>
          <w:lang w:val="en-GB"/>
        </w:rPr>
        <w:t>, increase the performance hurdle required to be generated on investment</w:t>
      </w:r>
      <w:r w:rsidRPr="009C48DA" w:rsidR="00456F2C">
        <w:rPr>
          <w:rFonts w:eastAsia="Calibri" w:cs="Arial"/>
          <w:szCs w:val="20"/>
          <w:lang w:val="en-GB"/>
        </w:rPr>
        <w:t xml:space="preserve">s </w:t>
      </w:r>
      <w:r w:rsidRPr="009C48DA">
        <w:rPr>
          <w:rFonts w:eastAsia="Calibri" w:cs="Arial"/>
          <w:szCs w:val="20"/>
          <w:lang w:val="en-GB"/>
        </w:rPr>
        <w:t xml:space="preserve">prior to the Group’s right to receive carried </w:t>
      </w:r>
      <w:r w:rsidRPr="009C48DA">
        <w:rPr>
          <w:rFonts w:eastAsia="Times New Roman" w:cs="Times New Roman"/>
          <w:color w:val="231F20"/>
          <w:szCs w:val="20"/>
          <w:lang w:val="en-GB"/>
        </w:rPr>
        <w:t>interest</w:t>
      </w:r>
      <w:r w:rsidRPr="009C48DA">
        <w:rPr>
          <w:rFonts w:eastAsia="Calibri" w:cs="Arial"/>
          <w:szCs w:val="20"/>
          <w:lang w:val="en-GB"/>
        </w:rPr>
        <w:t xml:space="preserve">, add expenses and obligations in managing the fund or increase the Group’s potential liabilities. Furthermore, as institutional investors increasingly consolidate their relationships with investment firms and competition becomes more acute, the Group may receive more requests to modify the terms </w:t>
      </w:r>
      <w:r w:rsidRPr="009C48DA" w:rsidR="00456F2C">
        <w:rPr>
          <w:rFonts w:eastAsia="Calibri" w:cs="Arial"/>
          <w:szCs w:val="20"/>
          <w:lang w:val="en-GB"/>
        </w:rPr>
        <w:t>of</w:t>
      </w:r>
      <w:r w:rsidRPr="009C48DA">
        <w:rPr>
          <w:rFonts w:eastAsia="Calibri" w:cs="Arial"/>
          <w:szCs w:val="20"/>
          <w:lang w:val="en-GB"/>
        </w:rPr>
        <w:t xml:space="preserve"> new funds. Agreement to terms that are materially less favourable to the Group could result in a material decrease in its profitability.</w:t>
      </w:r>
    </w:p>
    <w:p w:rsidRPr="009C48DA" w:rsidR="006D6A27" w:rsidP="00676CA5" w:rsidRDefault="006D6A27" w14:paraId="56EB9280" w14:textId="56AD380E">
      <w:pPr>
        <w:pStyle w:val="BodyText2SglJ"/>
        <w:rPr>
          <w:rFonts w:eastAsia="Calibri" w:cs="Arial"/>
          <w:szCs w:val="20"/>
          <w:lang w:val="en-GB"/>
        </w:rPr>
      </w:pPr>
      <w:r w:rsidRPr="009C48DA">
        <w:rPr>
          <w:rFonts w:eastAsia="Calibri" w:cs="Arial"/>
          <w:szCs w:val="20"/>
          <w:lang w:val="en-GB"/>
        </w:rPr>
        <w:lastRenderedPageBreak/>
        <w:t>Certain institutional inves</w:t>
      </w:r>
      <w:r w:rsidRPr="009C48DA" w:rsidR="004374B1">
        <w:rPr>
          <w:rFonts w:eastAsia="Calibri" w:cs="Arial"/>
          <w:szCs w:val="20"/>
          <w:lang w:val="en-GB"/>
        </w:rPr>
        <w:t>tors have also publicly criticis</w:t>
      </w:r>
      <w:r w:rsidRPr="009C48DA">
        <w:rPr>
          <w:rFonts w:eastAsia="Calibri" w:cs="Arial"/>
          <w:szCs w:val="20"/>
          <w:lang w:val="en-GB"/>
        </w:rPr>
        <w:t xml:space="preserve">ed certain fund fee and expense structures. The Group has received and expects to continue to receive requests from a variety of fund investors and groups representing such investors to decrease fees and to modify its carried interest and fee structures, which could result in a reduction or delay in the timing of receipt of the management fees and carried interest. </w:t>
      </w:r>
    </w:p>
    <w:p w:rsidRPr="009C48DA" w:rsidR="006D6A27" w:rsidP="00676CA5" w:rsidRDefault="006D6A27" w14:paraId="26602D51" w14:textId="7F8848BB">
      <w:pPr>
        <w:pStyle w:val="BodyText2SglJ"/>
        <w:rPr>
          <w:rFonts w:eastAsia="Calibri" w:cs="Arial"/>
          <w:szCs w:val="20"/>
          <w:lang w:val="en-GB"/>
        </w:rPr>
      </w:pPr>
      <w:r w:rsidRPr="009C48DA">
        <w:rPr>
          <w:rFonts w:eastAsia="Calibri" w:cs="Arial"/>
          <w:szCs w:val="20"/>
          <w:lang w:val="en-GB"/>
        </w:rPr>
        <w:t>In addition, certain institutional investors, including sovereign wealth funds and public pension funds, have demonstrated an increased preference for alternatives to the traditional investment fund structure, such as separa</w:t>
      </w:r>
      <w:r w:rsidRPr="009C48DA" w:rsidR="004374B1">
        <w:rPr>
          <w:rFonts w:eastAsia="Calibri" w:cs="Arial"/>
          <w:szCs w:val="20"/>
          <w:lang w:val="en-GB"/>
        </w:rPr>
        <w:t>tely managed accounts, specialis</w:t>
      </w:r>
      <w:r w:rsidRPr="009C48DA">
        <w:rPr>
          <w:rFonts w:eastAsia="Calibri" w:cs="Arial"/>
          <w:szCs w:val="20"/>
          <w:lang w:val="en-GB"/>
        </w:rPr>
        <w:t xml:space="preserve">ed funds and co-investment vehicles. Moreover, certain institutional investors are demonstrating a preference to in-source their own investment professionals and to make direct investments in alternative assets without the assistance of investment advisers or managers. Such institutional investors may become the Group’s competitors and could cease to be its clients or may demand more favourable </w:t>
      </w:r>
      <w:r w:rsidRPr="009C48DA">
        <w:rPr>
          <w:rFonts w:eastAsia="Times New Roman" w:cs="Times New Roman"/>
          <w:color w:val="231F20"/>
          <w:szCs w:val="20"/>
          <w:lang w:val="en-GB"/>
        </w:rPr>
        <w:t>terms</w:t>
      </w:r>
      <w:r w:rsidRPr="009C48DA">
        <w:rPr>
          <w:rFonts w:eastAsia="Calibri" w:cs="Arial"/>
          <w:szCs w:val="20"/>
          <w:lang w:val="en-GB"/>
        </w:rPr>
        <w:t xml:space="preserve"> to invest in the </w:t>
      </w:r>
      <w:r w:rsidRPr="009C48DA" w:rsidR="00AF0B9A">
        <w:rPr>
          <w:rFonts w:eastAsia="Calibri" w:cs="Arial"/>
          <w:szCs w:val="20"/>
          <w:lang w:val="en-GB"/>
        </w:rPr>
        <w:t>Bridgepoint</w:t>
      </w:r>
      <w:r w:rsidRPr="009C48DA">
        <w:rPr>
          <w:rFonts w:eastAsia="Calibri" w:cs="Arial"/>
          <w:szCs w:val="20"/>
          <w:lang w:val="en-GB"/>
        </w:rPr>
        <w:t xml:space="preserve"> Funds.</w:t>
      </w:r>
    </w:p>
    <w:p w:rsidRPr="009C48DA" w:rsidR="006D6A27" w:rsidP="00676CA5" w:rsidRDefault="006D6A27" w14:paraId="52B736B8" w14:textId="108BFEA3">
      <w:pPr>
        <w:pStyle w:val="BodyText2SglJ"/>
        <w:rPr>
          <w:rFonts w:eastAsia="Calibri" w:cs="Arial"/>
          <w:szCs w:val="20"/>
          <w:lang w:val="en-GB"/>
        </w:rPr>
      </w:pPr>
      <w:r w:rsidRPr="009C48DA">
        <w:rPr>
          <w:rFonts w:eastAsia="Calibri" w:cs="Arial"/>
          <w:szCs w:val="20"/>
          <w:lang w:val="en-GB"/>
        </w:rPr>
        <w:t xml:space="preserve">Any agreement to terms that are less favourable, or changes in terms to make them less favourable, to the Group could </w:t>
      </w:r>
      <w:r w:rsidRPr="009C48DA" w:rsidR="00520F83">
        <w:rPr>
          <w:rFonts w:eastAsia="Calibri" w:cs="Arial"/>
          <w:szCs w:val="20"/>
          <w:lang w:val="en-GB"/>
        </w:rPr>
        <w:t xml:space="preserve">have a </w:t>
      </w:r>
      <w:r w:rsidRPr="009C48DA">
        <w:rPr>
          <w:rFonts w:eastAsia="Calibri" w:cs="Arial"/>
          <w:szCs w:val="20"/>
          <w:lang w:val="en-GB"/>
        </w:rPr>
        <w:t xml:space="preserve">material adverse </w:t>
      </w:r>
      <w:r w:rsidRPr="009C48DA" w:rsidR="00520F83">
        <w:rPr>
          <w:rFonts w:eastAsia="Calibri" w:cs="Arial"/>
          <w:szCs w:val="20"/>
          <w:lang w:val="en-GB"/>
        </w:rPr>
        <w:t>e</w:t>
      </w:r>
      <w:r w:rsidRPr="009C48DA">
        <w:rPr>
          <w:rFonts w:eastAsia="Calibri" w:cs="Arial"/>
          <w:szCs w:val="20"/>
          <w:lang w:val="en-GB"/>
        </w:rPr>
        <w:t xml:space="preserve">ffect </w:t>
      </w:r>
      <w:r w:rsidRPr="009C48DA" w:rsidR="00520F83">
        <w:rPr>
          <w:rFonts w:eastAsia="Calibri" w:cs="Arial"/>
          <w:szCs w:val="20"/>
          <w:lang w:val="en-GB"/>
        </w:rPr>
        <w:t xml:space="preserve">on </w:t>
      </w:r>
      <w:r w:rsidRPr="009C48DA">
        <w:rPr>
          <w:rFonts w:eastAsia="Calibri" w:cs="Arial"/>
          <w:szCs w:val="20"/>
          <w:lang w:val="en-GB"/>
        </w:rPr>
        <w:t xml:space="preserve">the Group’s </w:t>
      </w:r>
      <w:r w:rsidRPr="009C48DA" w:rsidR="008B5DAC">
        <w:rPr>
          <w:rFonts w:eastAsia="Calibri" w:cs="Arial"/>
          <w:szCs w:val="20"/>
          <w:lang w:val="en-GB"/>
        </w:rPr>
        <w:t>business, revenue, net income</w:t>
      </w:r>
      <w:r w:rsidRPr="009C48DA" w:rsidR="00520F83">
        <w:rPr>
          <w:rFonts w:eastAsia="Calibri" w:cs="Arial"/>
          <w:szCs w:val="20"/>
          <w:lang w:val="en-GB"/>
        </w:rPr>
        <w:t xml:space="preserve"> </w:t>
      </w:r>
      <w:r w:rsidRPr="009C48DA">
        <w:rPr>
          <w:rFonts w:eastAsia="Calibri" w:cs="Arial"/>
          <w:szCs w:val="20"/>
          <w:lang w:val="en-GB"/>
        </w:rPr>
        <w:t xml:space="preserve">and </w:t>
      </w:r>
      <w:r w:rsidRPr="009C48DA" w:rsidR="00520F83">
        <w:rPr>
          <w:rFonts w:eastAsia="Calibri" w:cs="Arial"/>
          <w:szCs w:val="20"/>
          <w:lang w:val="en-GB"/>
        </w:rPr>
        <w:t>cash flows</w:t>
      </w:r>
      <w:r w:rsidRPr="009C48DA">
        <w:rPr>
          <w:rFonts w:eastAsia="Calibri" w:cs="Arial"/>
          <w:szCs w:val="20"/>
          <w:lang w:val="en-GB"/>
        </w:rPr>
        <w:t>.</w:t>
      </w:r>
    </w:p>
    <w:p w:rsidRPr="009C48DA" w:rsidR="0025698D" w:rsidP="0025698D" w:rsidRDefault="0025698D" w14:paraId="63526F9A" w14:textId="23ADBFEE">
      <w:pPr>
        <w:pStyle w:val="TitleBI"/>
        <w:rPr>
          <w:szCs w:val="20"/>
          <w:lang w:val="en-GB"/>
        </w:rPr>
      </w:pPr>
      <w:r w:rsidRPr="009C48DA">
        <w:rPr>
          <w:szCs w:val="20"/>
          <w:lang w:val="en-GB"/>
        </w:rPr>
        <w:t xml:space="preserve">A deterioration of </w:t>
      </w:r>
      <w:r w:rsidRPr="009C48DA" w:rsidR="006D5BFE">
        <w:rPr>
          <w:lang w:val="en-GB"/>
        </w:rPr>
        <w:t>Bridgepoint</w:t>
      </w:r>
      <w:r w:rsidRPr="009C48DA">
        <w:rPr>
          <w:szCs w:val="20"/>
          <w:lang w:val="en-GB"/>
        </w:rPr>
        <w:t>’s brand and reputation could have an adverse effect on its competition for fund investors and investment opportunities and impair the Group’s ability to raise capital for new funds and attract and retain key talent.</w:t>
      </w:r>
    </w:p>
    <w:p w:rsidRPr="009C48DA" w:rsidR="0025698D" w:rsidP="0025698D" w:rsidRDefault="006D5BFE" w14:paraId="6C904042" w14:textId="187C2D48">
      <w:pPr>
        <w:pStyle w:val="BodyText2SglJ"/>
        <w:rPr>
          <w:szCs w:val="20"/>
          <w:lang w:val="en-GB"/>
        </w:rPr>
      </w:pPr>
      <w:r w:rsidRPr="009C48DA">
        <w:rPr>
          <w:lang w:val="en-GB"/>
        </w:rPr>
        <w:t>Bridgepoint</w:t>
      </w:r>
      <w:r w:rsidRPr="009C48DA" w:rsidR="0025698D">
        <w:rPr>
          <w:szCs w:val="20"/>
          <w:lang w:val="en-GB"/>
        </w:rPr>
        <w:t xml:space="preserve">’s brand and reputation are of great importance for the Company and the Group, for example in the competition for investors in, and investment opportunities for, the </w:t>
      </w:r>
      <w:r w:rsidRPr="009C48DA" w:rsidR="00AF0B9A">
        <w:rPr>
          <w:rFonts w:eastAsia="Calibri" w:cs="Arial"/>
          <w:szCs w:val="20"/>
          <w:lang w:val="en-GB"/>
        </w:rPr>
        <w:t>Bridgepoint</w:t>
      </w:r>
      <w:r w:rsidRPr="009C48DA" w:rsidR="00AF0B9A">
        <w:rPr>
          <w:szCs w:val="20"/>
          <w:lang w:val="en-GB"/>
        </w:rPr>
        <w:t xml:space="preserve"> </w:t>
      </w:r>
      <w:r w:rsidRPr="009C48DA" w:rsidR="0025698D">
        <w:rPr>
          <w:szCs w:val="20"/>
          <w:lang w:val="en-GB"/>
        </w:rPr>
        <w:t xml:space="preserve">Funds. There is a risk that factors such as poor fund performance, negative press, insufficient sustainability procedures and overriding of ESG factors by any portfolio company of a </w:t>
      </w:r>
      <w:r w:rsidRPr="009C48DA" w:rsidR="00AF0B9A">
        <w:rPr>
          <w:rFonts w:eastAsia="Calibri" w:cs="Arial"/>
          <w:szCs w:val="20"/>
          <w:lang w:val="en-GB"/>
        </w:rPr>
        <w:t>Bridgepoint</w:t>
      </w:r>
      <w:r w:rsidRPr="009C48DA" w:rsidR="00AF0B9A">
        <w:rPr>
          <w:szCs w:val="20"/>
          <w:lang w:val="en-GB"/>
        </w:rPr>
        <w:t xml:space="preserve"> </w:t>
      </w:r>
      <w:r w:rsidRPr="009C48DA" w:rsidR="0025698D">
        <w:rPr>
          <w:szCs w:val="20"/>
          <w:lang w:val="en-GB"/>
        </w:rPr>
        <w:t xml:space="preserve">Fund, or employees or affiliates thereof, the insolvency, liquidation or bankruptcy of a portfolio company and non-compliance with applicable laws and regulations could lead to fund investor dissatisfaction and a decreased ability or inability by the Group to raise capital for new funds, as well as impair its ability to attract and retain key talent. The bankruptcy of a portfolio company may have a limited impact on the Group from a financial point of view, but a significant impact on the Group in relation to fund investors and other important parties. Moreover, this could entail media attention, and the handling of the bankruptcy by </w:t>
      </w:r>
      <w:r w:rsidRPr="009C48DA" w:rsidR="00AF0B9A">
        <w:rPr>
          <w:rFonts w:eastAsia="Calibri" w:cs="Arial"/>
          <w:szCs w:val="20"/>
          <w:lang w:val="en-GB"/>
        </w:rPr>
        <w:t>Bridgepoint</w:t>
      </w:r>
      <w:r w:rsidRPr="009C48DA" w:rsidR="00AF0B9A">
        <w:rPr>
          <w:szCs w:val="20"/>
          <w:lang w:val="en-GB"/>
        </w:rPr>
        <w:t xml:space="preserve"> </w:t>
      </w:r>
      <w:r w:rsidRPr="009C48DA" w:rsidR="0025698D">
        <w:rPr>
          <w:szCs w:val="20"/>
          <w:lang w:val="en-GB"/>
        </w:rPr>
        <w:t xml:space="preserve">and the answering of questions could be time consuming and take resources away from other operations. New initiatives that are launched but that do not reach the Group’s expectations and are abandoned may similarly affect </w:t>
      </w:r>
      <w:r w:rsidRPr="009C48DA">
        <w:rPr>
          <w:lang w:val="en-GB"/>
        </w:rPr>
        <w:t>Bridgepoint</w:t>
      </w:r>
      <w:r w:rsidRPr="009C48DA" w:rsidR="0025698D">
        <w:rPr>
          <w:szCs w:val="20"/>
          <w:lang w:val="en-GB"/>
        </w:rPr>
        <w:t xml:space="preserve">’s brand and reputation among fund investors and other key stakeholders. These risks to </w:t>
      </w:r>
      <w:r w:rsidRPr="009C48DA">
        <w:rPr>
          <w:lang w:val="en-GB"/>
        </w:rPr>
        <w:t>Bridgepoint</w:t>
      </w:r>
      <w:r w:rsidRPr="009C48DA" w:rsidR="0025698D">
        <w:rPr>
          <w:szCs w:val="20"/>
          <w:lang w:val="en-GB"/>
        </w:rPr>
        <w:t xml:space="preserve">’s brand and reputation are not only affected by the Group’s strategy and operating direction, but also by failures and negative publicity relating to the portfolio companies of the </w:t>
      </w:r>
      <w:r w:rsidRPr="009C48DA" w:rsidR="00AF0B9A">
        <w:rPr>
          <w:rFonts w:eastAsia="Calibri" w:cs="Arial"/>
          <w:szCs w:val="20"/>
          <w:lang w:val="en-GB"/>
        </w:rPr>
        <w:t>Bridgepoint</w:t>
      </w:r>
      <w:r w:rsidRPr="009C48DA" w:rsidR="00AF0B9A">
        <w:rPr>
          <w:szCs w:val="20"/>
          <w:lang w:val="en-GB"/>
        </w:rPr>
        <w:t xml:space="preserve"> </w:t>
      </w:r>
      <w:r w:rsidRPr="009C48DA" w:rsidR="0025698D">
        <w:rPr>
          <w:szCs w:val="20"/>
          <w:lang w:val="en-GB"/>
        </w:rPr>
        <w:t xml:space="preserve">Funds, including listed portfolio companies which may be subject to additional media scrutiny. </w:t>
      </w:r>
      <w:r w:rsidRPr="009C48DA">
        <w:rPr>
          <w:lang w:val="en-GB"/>
        </w:rPr>
        <w:t>Bridgepoint</w:t>
      </w:r>
      <w:r w:rsidRPr="009C48DA" w:rsidR="0025698D">
        <w:rPr>
          <w:szCs w:val="20"/>
          <w:lang w:val="en-GB"/>
        </w:rPr>
        <w:t xml:space="preserve">’s brand and reputation may be affected not only by factors and circumstances pertaining to </w:t>
      </w:r>
      <w:r w:rsidRPr="009C48DA" w:rsidR="00AF0B9A">
        <w:rPr>
          <w:rFonts w:eastAsia="Calibri" w:cs="Arial"/>
          <w:szCs w:val="20"/>
          <w:lang w:val="en-GB"/>
        </w:rPr>
        <w:t>Bridgepoint</w:t>
      </w:r>
      <w:r w:rsidRPr="009C48DA" w:rsidR="00AF0B9A">
        <w:rPr>
          <w:szCs w:val="20"/>
          <w:lang w:val="en-GB"/>
        </w:rPr>
        <w:t xml:space="preserve"> </w:t>
      </w:r>
      <w:r w:rsidRPr="009C48DA" w:rsidR="0025698D">
        <w:rPr>
          <w:szCs w:val="20"/>
          <w:lang w:val="en-GB"/>
        </w:rPr>
        <w:t xml:space="preserve">Funds currently managed by the Group, or the Group itself, but also by circumstances pertaining to </w:t>
      </w:r>
      <w:r w:rsidRPr="009C48DA" w:rsidR="00AF0B9A">
        <w:rPr>
          <w:rFonts w:eastAsia="Calibri" w:cs="Arial"/>
          <w:szCs w:val="20"/>
          <w:lang w:val="en-GB"/>
        </w:rPr>
        <w:t>Bridgepoint</w:t>
      </w:r>
      <w:r w:rsidRPr="009C48DA" w:rsidR="00AF0B9A">
        <w:rPr>
          <w:szCs w:val="20"/>
          <w:lang w:val="en-GB"/>
        </w:rPr>
        <w:t xml:space="preserve"> </w:t>
      </w:r>
      <w:r w:rsidRPr="009C48DA" w:rsidR="0025698D">
        <w:rPr>
          <w:szCs w:val="20"/>
          <w:lang w:val="en-GB"/>
        </w:rPr>
        <w:t xml:space="preserve">Funds managed or operated as part of the historical </w:t>
      </w:r>
      <w:r w:rsidRPr="009C48DA" w:rsidR="00AF0B9A">
        <w:rPr>
          <w:rFonts w:eastAsia="Calibri" w:cs="Arial"/>
          <w:szCs w:val="20"/>
          <w:lang w:val="en-GB"/>
        </w:rPr>
        <w:t>Bridgepoint</w:t>
      </w:r>
      <w:r w:rsidRPr="009C48DA" w:rsidR="00AF0B9A">
        <w:rPr>
          <w:szCs w:val="20"/>
          <w:lang w:val="en-GB"/>
        </w:rPr>
        <w:t xml:space="preserve"> </w:t>
      </w:r>
      <w:r w:rsidRPr="009C48DA" w:rsidR="0025698D">
        <w:rPr>
          <w:szCs w:val="20"/>
          <w:lang w:val="en-GB"/>
        </w:rPr>
        <w:t xml:space="preserve">structure. In addition, </w:t>
      </w:r>
      <w:r w:rsidRPr="009C48DA">
        <w:rPr>
          <w:lang w:val="en-GB"/>
        </w:rPr>
        <w:t>Bridgepoint</w:t>
      </w:r>
      <w:r w:rsidRPr="009C48DA" w:rsidR="0025698D">
        <w:rPr>
          <w:szCs w:val="20"/>
          <w:lang w:val="en-GB"/>
        </w:rPr>
        <w:t xml:space="preserve">’s brand and reputation are also dependent on the actions and business operations conducted by third parties over whom </w:t>
      </w:r>
      <w:r w:rsidRPr="009C48DA" w:rsidR="00AF0B9A">
        <w:rPr>
          <w:rFonts w:eastAsia="Calibri" w:cs="Arial"/>
          <w:szCs w:val="20"/>
          <w:lang w:val="en-GB"/>
        </w:rPr>
        <w:t>Bridgepoint</w:t>
      </w:r>
      <w:r w:rsidRPr="009C48DA" w:rsidR="00AF0B9A">
        <w:rPr>
          <w:szCs w:val="20"/>
          <w:lang w:val="en-GB"/>
        </w:rPr>
        <w:t xml:space="preserve"> </w:t>
      </w:r>
      <w:r w:rsidRPr="009C48DA" w:rsidR="0025698D">
        <w:rPr>
          <w:szCs w:val="20"/>
          <w:lang w:val="en-GB"/>
        </w:rPr>
        <w:t xml:space="preserve">does not have control, including its external suppliers and collaborators, such as the Group’s third-party service providers for its credit funds. In addition, </w:t>
      </w:r>
      <w:r w:rsidRPr="009C48DA">
        <w:rPr>
          <w:lang w:val="en-GB"/>
        </w:rPr>
        <w:t>Bridgepoint</w:t>
      </w:r>
      <w:r w:rsidRPr="009C48DA" w:rsidR="0025698D">
        <w:rPr>
          <w:szCs w:val="20"/>
          <w:lang w:val="en-GB"/>
        </w:rPr>
        <w:t xml:space="preserve">’s brand and reputation could be affected by rumours, which may not be true or based on facts. Such rumours may be difficult for the Group to address and may have an adverse effect on </w:t>
      </w:r>
      <w:r w:rsidRPr="009C48DA">
        <w:rPr>
          <w:lang w:val="en-GB"/>
        </w:rPr>
        <w:t>Bridgepoint</w:t>
      </w:r>
      <w:r w:rsidRPr="009C48DA" w:rsidR="0025698D">
        <w:rPr>
          <w:szCs w:val="20"/>
          <w:lang w:val="en-GB"/>
        </w:rPr>
        <w:t xml:space="preserve">’s brand and reputation. Furthermore, </w:t>
      </w:r>
      <w:r w:rsidRPr="009C48DA">
        <w:rPr>
          <w:lang w:val="en-GB"/>
        </w:rPr>
        <w:t>Bridgepoint</w:t>
      </w:r>
      <w:r w:rsidRPr="009C48DA" w:rsidR="0025698D">
        <w:rPr>
          <w:szCs w:val="20"/>
          <w:lang w:val="en-GB"/>
        </w:rPr>
        <w:t xml:space="preserve">’s brand and reputation may be adversely affected by publicity relating to the private markets and the private equity industry as a whole. Financial scandals or questionable ethical conduct by a competitor may taint the reputation of parts of, or the entirety of, </w:t>
      </w:r>
      <w:r w:rsidRPr="009C48DA" w:rsidR="00456F2C">
        <w:rPr>
          <w:szCs w:val="20"/>
          <w:lang w:val="en-GB"/>
        </w:rPr>
        <w:t xml:space="preserve">the </w:t>
      </w:r>
      <w:r w:rsidRPr="009C48DA" w:rsidR="0025698D">
        <w:rPr>
          <w:szCs w:val="20"/>
          <w:lang w:val="en-GB"/>
        </w:rPr>
        <w:t xml:space="preserve">private markets or private equity industry and thereby adversely affect the perception of the Group among investors, the public and regulators. </w:t>
      </w:r>
    </w:p>
    <w:p w:rsidRPr="009C48DA" w:rsidR="0025698D" w:rsidP="0025698D" w:rsidRDefault="0025698D" w14:paraId="74FE1198" w14:textId="424AD0D3">
      <w:pPr>
        <w:pStyle w:val="BodyText2SglJ"/>
        <w:rPr>
          <w:szCs w:val="20"/>
          <w:lang w:val="en-GB"/>
        </w:rPr>
      </w:pPr>
      <w:r w:rsidRPr="009C48DA">
        <w:rPr>
          <w:szCs w:val="20"/>
          <w:lang w:val="en-GB"/>
        </w:rPr>
        <w:t>The Group’s operations extend to many different geographical areas and sectors, some of which are vastly different from one another with respect to culture, generally accepted business practices, applicable laws and regulations. Thus, some actions may be considered customary and appropriate in one area and at the same time have a negative effect on present and future business opportunities in another area. The Group’s international profile may make it difficult for the Group to simultaneously and at all times adhere to different cultural, ethical and even regulatory norms and standards while conducting its business operations.</w:t>
      </w:r>
      <w:r w:rsidRPr="009C48DA" w:rsidR="0065135D">
        <w:rPr>
          <w:szCs w:val="20"/>
          <w:lang w:val="en-GB"/>
        </w:rPr>
        <w:t xml:space="preserve"> This could result in a divergence in the Group’s business practices, and/or have a negative effect on present and future business of the Group which could lead to a deterioration of the Group’s brand and </w:t>
      </w:r>
      <w:r w:rsidRPr="009C48DA" w:rsidR="0065135D">
        <w:rPr>
          <w:szCs w:val="20"/>
          <w:lang w:val="en-GB"/>
        </w:rPr>
        <w:lastRenderedPageBreak/>
        <w:t>reputation. This, in turn could have a material adverse effect on the Group’s business, revenue, net income and cash flows.</w:t>
      </w:r>
    </w:p>
    <w:p w:rsidRPr="009C48DA" w:rsidR="0025698D" w:rsidP="0025698D" w:rsidRDefault="0025698D" w14:paraId="51F5EA88" w14:textId="23D1497B">
      <w:pPr>
        <w:pStyle w:val="TitleBI"/>
        <w:rPr>
          <w:szCs w:val="20"/>
          <w:lang w:val="en-GB"/>
        </w:rPr>
      </w:pPr>
      <w:r w:rsidRPr="009C48DA">
        <w:rPr>
          <w:szCs w:val="20"/>
          <w:lang w:val="en-GB"/>
        </w:rPr>
        <w:t xml:space="preserve">A decline in the pace or size of investments made by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Funds may adver</w:t>
      </w:r>
      <w:r w:rsidRPr="009C48DA" w:rsidR="004374B1">
        <w:rPr>
          <w:szCs w:val="20"/>
          <w:lang w:val="en-GB"/>
        </w:rPr>
        <w:t>sely affect the Group’s revenue</w:t>
      </w:r>
      <w:r w:rsidRPr="009C48DA">
        <w:rPr>
          <w:szCs w:val="20"/>
          <w:lang w:val="en-GB"/>
        </w:rPr>
        <w:t>.</w:t>
      </w:r>
    </w:p>
    <w:p w:rsidRPr="009C48DA" w:rsidR="0025698D" w:rsidP="0025698D" w:rsidRDefault="004374B1" w14:paraId="6233360D" w14:textId="0267E873">
      <w:pPr>
        <w:pStyle w:val="BodyText2SglJ"/>
        <w:rPr>
          <w:szCs w:val="20"/>
          <w:lang w:val="en-GB"/>
        </w:rPr>
      </w:pPr>
      <w:r w:rsidRPr="009C48DA">
        <w:rPr>
          <w:szCs w:val="20"/>
          <w:lang w:val="en-GB"/>
        </w:rPr>
        <w:t>The Group’s revenue</w:t>
      </w:r>
      <w:r w:rsidRPr="009C48DA" w:rsidR="0065135D">
        <w:rPr>
          <w:szCs w:val="20"/>
          <w:lang w:val="en-GB"/>
        </w:rPr>
        <w:t xml:space="preserve"> is</w:t>
      </w:r>
      <w:r w:rsidRPr="009C48DA" w:rsidR="0025698D">
        <w:rPr>
          <w:szCs w:val="20"/>
          <w:lang w:val="en-GB"/>
        </w:rPr>
        <w:t xml:space="preserve"> driven in part by the pace at which the </w:t>
      </w:r>
      <w:r w:rsidRPr="009C48DA" w:rsidR="00AF0B9A">
        <w:rPr>
          <w:rFonts w:eastAsia="Calibri" w:cs="Arial"/>
          <w:szCs w:val="20"/>
          <w:lang w:val="en-GB"/>
        </w:rPr>
        <w:t>Bridgepoint</w:t>
      </w:r>
      <w:r w:rsidRPr="009C48DA" w:rsidR="00AF0B9A">
        <w:rPr>
          <w:szCs w:val="20"/>
          <w:lang w:val="en-GB"/>
        </w:rPr>
        <w:t xml:space="preserve"> </w:t>
      </w:r>
      <w:r w:rsidRPr="009C48DA" w:rsidR="0025698D">
        <w:rPr>
          <w:szCs w:val="20"/>
          <w:lang w:val="en-GB"/>
        </w:rPr>
        <w:t>Funds make investments and the size of those investments, and a decline in the pace or the size of such investments may reduce the Grou</w:t>
      </w:r>
      <w:r w:rsidRPr="009C48DA">
        <w:rPr>
          <w:szCs w:val="20"/>
          <w:lang w:val="en-GB"/>
        </w:rPr>
        <w:t>p’s revenue</w:t>
      </w:r>
      <w:r w:rsidRPr="009C48DA" w:rsidR="0025698D">
        <w:rPr>
          <w:szCs w:val="20"/>
          <w:lang w:val="en-GB"/>
        </w:rPr>
        <w:t xml:space="preserve">. The market for private equity transactions, for example, has at times been characterised by relatively high prices, which can make the deployment of capital more difficult. In addition, many other factors could cause a decline in the pace of investment, including the inability of the Group’s investment professionals to identify attractive investment opportunities, competition for such opportunities among potential acquirers, decreased availability of capital on attractive terms and the failure to consummate identified investment opportunities because of business, regulatory or legal complexities, new regulations, guidance or other actions provided or taken by regulatory authorities or uncertainty and adverse developments in the global economy or financial markets. </w:t>
      </w:r>
      <w:r w:rsidRPr="009C48DA" w:rsidR="00C1663A">
        <w:rPr>
          <w:szCs w:val="20"/>
          <w:lang w:val="en-GB"/>
        </w:rPr>
        <w:t>I</w:t>
      </w:r>
      <w:r w:rsidRPr="009C48DA" w:rsidR="0025698D">
        <w:rPr>
          <w:szCs w:val="20"/>
          <w:lang w:val="en-GB"/>
        </w:rPr>
        <w:t xml:space="preserve">f the </w:t>
      </w:r>
      <w:r w:rsidRPr="009C48DA" w:rsidR="00AF0B9A">
        <w:rPr>
          <w:rFonts w:eastAsia="Calibri" w:cs="Arial"/>
          <w:szCs w:val="20"/>
          <w:lang w:val="en-GB"/>
        </w:rPr>
        <w:t>Bridgepoint</w:t>
      </w:r>
      <w:r w:rsidRPr="009C48DA" w:rsidR="00AF0B9A">
        <w:rPr>
          <w:szCs w:val="20"/>
          <w:lang w:val="en-GB"/>
        </w:rPr>
        <w:t xml:space="preserve"> </w:t>
      </w:r>
      <w:r w:rsidRPr="009C48DA" w:rsidR="0025698D">
        <w:rPr>
          <w:szCs w:val="20"/>
          <w:lang w:val="en-GB"/>
        </w:rPr>
        <w:t xml:space="preserve">Funds are unable to deploy capital at a pace that is sufficient to offset the pace of realisations, the Group’s business, </w:t>
      </w:r>
      <w:r w:rsidRPr="009C48DA">
        <w:rPr>
          <w:szCs w:val="20"/>
          <w:lang w:val="en-GB"/>
        </w:rPr>
        <w:t>revenue</w:t>
      </w:r>
      <w:r w:rsidRPr="009C48DA" w:rsidR="0025698D">
        <w:rPr>
          <w:szCs w:val="20"/>
          <w:lang w:val="en-GB"/>
        </w:rPr>
        <w:t xml:space="preserve">, net income and cash flows could be materially adversely </w:t>
      </w:r>
      <w:r w:rsidRPr="009C48DA" w:rsidR="00C1663A">
        <w:rPr>
          <w:szCs w:val="20"/>
          <w:lang w:val="en-GB"/>
        </w:rPr>
        <w:t>a</w:t>
      </w:r>
      <w:r w:rsidRPr="009C48DA" w:rsidR="0025698D">
        <w:rPr>
          <w:szCs w:val="20"/>
          <w:lang w:val="en-GB"/>
        </w:rPr>
        <w:t>ffected.</w:t>
      </w:r>
    </w:p>
    <w:p w:rsidRPr="009C48DA" w:rsidR="006D6A27" w:rsidP="00F428F0" w:rsidRDefault="006D6A27" w14:paraId="18D2B319" w14:textId="189AA299">
      <w:pPr>
        <w:pStyle w:val="TitleBI"/>
        <w:rPr>
          <w:szCs w:val="20"/>
          <w:lang w:val="en-GB"/>
        </w:rPr>
      </w:pPr>
      <w:r w:rsidRPr="009C48DA">
        <w:rPr>
          <w:szCs w:val="20"/>
          <w:lang w:val="en-GB"/>
        </w:rPr>
        <w:t>The Group is subject to risks relating to the dilution of its corporate culture.</w:t>
      </w:r>
    </w:p>
    <w:p w:rsidRPr="009C48DA" w:rsidR="006D6A27" w:rsidP="00676CA5" w:rsidRDefault="006D6A27" w14:paraId="662D8C23" w14:textId="2E6D870F">
      <w:pPr>
        <w:pStyle w:val="BodyText2SglJ"/>
        <w:rPr>
          <w:rFonts w:eastAsia="Calibri" w:cs="Arial"/>
          <w:szCs w:val="20"/>
          <w:lang w:val="en-GB"/>
        </w:rPr>
      </w:pPr>
      <w:bookmarkStart w:name="_9kMLK5YVt4886GIdRjEM0nmoy933FjcHLN" w:id="88"/>
      <w:r w:rsidRPr="009C48DA">
        <w:rPr>
          <w:rFonts w:eastAsia="Calibri" w:cs="Arial"/>
          <w:szCs w:val="20"/>
          <w:lang w:val="en-GB"/>
        </w:rPr>
        <w:t xml:space="preserve">The </w:t>
      </w:r>
      <w:bookmarkEnd w:id="88"/>
      <w:r w:rsidRPr="009C48DA">
        <w:rPr>
          <w:rFonts w:eastAsia="Calibri" w:cs="Arial"/>
          <w:szCs w:val="20"/>
          <w:lang w:val="en-GB"/>
        </w:rPr>
        <w:t xml:space="preserve">Group has a strong corporate culture based on a number of core values. Three core values underpin the </w:t>
      </w:r>
      <w:r w:rsidRPr="009C48DA" w:rsidR="0030615B">
        <w:rPr>
          <w:rFonts w:eastAsia="Calibri" w:cs="Arial"/>
          <w:szCs w:val="20"/>
          <w:lang w:val="en-GB"/>
        </w:rPr>
        <w:t xml:space="preserve">entrepreneurial </w:t>
      </w:r>
      <w:r w:rsidRPr="009C48DA">
        <w:rPr>
          <w:rFonts w:eastAsia="Calibri" w:cs="Arial"/>
          <w:szCs w:val="20"/>
          <w:lang w:val="en-GB"/>
        </w:rPr>
        <w:t>culture of the Group</w:t>
      </w:r>
      <w:r w:rsidRPr="009C48DA" w:rsidR="0030615B">
        <w:rPr>
          <w:rFonts w:eastAsia="Calibri" w:cs="Arial"/>
          <w:szCs w:val="20"/>
          <w:lang w:val="en-GB"/>
        </w:rPr>
        <w:t xml:space="preserve"> and have been institutionalised within </w:t>
      </w:r>
      <w:r w:rsidRPr="009C48DA" w:rsidR="00AF0B9A">
        <w:rPr>
          <w:rFonts w:eastAsia="Calibri" w:cs="Arial"/>
          <w:szCs w:val="20"/>
          <w:lang w:val="en-GB"/>
        </w:rPr>
        <w:t>Bridgepoint</w:t>
      </w:r>
      <w:r w:rsidRPr="009C48DA">
        <w:rPr>
          <w:rFonts w:eastAsia="Calibri" w:cs="Arial"/>
          <w:szCs w:val="20"/>
          <w:lang w:val="en-GB"/>
        </w:rPr>
        <w:t xml:space="preserve">, being the focus on being performance driven, thoughtful and straightforward. </w:t>
      </w:r>
      <w:bookmarkStart w:name="_9kMML5YVt4886GIdRjEM0nmoy933FjcHLN" w:id="89"/>
      <w:r w:rsidRPr="009C48DA">
        <w:rPr>
          <w:rFonts w:eastAsia="Calibri" w:cs="Arial"/>
          <w:szCs w:val="20"/>
          <w:lang w:val="en-GB"/>
        </w:rPr>
        <w:t xml:space="preserve">The </w:t>
      </w:r>
      <w:bookmarkEnd w:id="89"/>
      <w:r w:rsidRPr="009C48DA">
        <w:rPr>
          <w:rFonts w:eastAsia="Calibri" w:cs="Arial"/>
          <w:szCs w:val="20"/>
          <w:lang w:val="en-GB"/>
        </w:rPr>
        <w:t>Group continuously works to uphold this corporate culture within the organisation and strives to maintain a working environment that reinforces its culture and alignment of interests with investors.</w:t>
      </w:r>
    </w:p>
    <w:p w:rsidRPr="009C48DA" w:rsidR="006D6A27" w:rsidP="00676CA5" w:rsidRDefault="006D6A27" w14:paraId="7C66148B" w14:textId="0E841E29">
      <w:pPr>
        <w:pStyle w:val="BodyText2SglJ"/>
        <w:rPr>
          <w:rFonts w:eastAsia="Calibri" w:cs="Arial"/>
          <w:szCs w:val="20"/>
          <w:lang w:val="en-GB"/>
        </w:rPr>
      </w:pPr>
      <w:r w:rsidRPr="009C48DA">
        <w:rPr>
          <w:rFonts w:eastAsia="Calibri" w:cs="Arial"/>
          <w:szCs w:val="20"/>
          <w:lang w:val="en-GB"/>
        </w:rPr>
        <w:t xml:space="preserve">There is a risk that a dilution of the </w:t>
      </w:r>
      <w:bookmarkStart w:name="_9kMOFP6ZWu5997AJTKylkmw711DhaFJL" w:id="90"/>
      <w:r w:rsidRPr="009C48DA">
        <w:rPr>
          <w:rFonts w:eastAsia="Calibri" w:cs="Arial"/>
          <w:szCs w:val="20"/>
          <w:lang w:val="en-GB"/>
        </w:rPr>
        <w:t>Group’s</w:t>
      </w:r>
      <w:bookmarkEnd w:id="90"/>
      <w:r w:rsidRPr="009C48DA">
        <w:rPr>
          <w:rFonts w:eastAsia="Calibri" w:cs="Arial"/>
          <w:szCs w:val="20"/>
          <w:lang w:val="en-GB"/>
        </w:rPr>
        <w:t xml:space="preserve"> corporate culture may lead to key employees and talent leaving the Group, a change in the leadership style of </w:t>
      </w:r>
      <w:r w:rsidRPr="009C48DA" w:rsidR="00AF0B9A">
        <w:rPr>
          <w:rFonts w:eastAsia="Calibri" w:cs="Arial"/>
          <w:szCs w:val="20"/>
          <w:lang w:val="en-GB"/>
        </w:rPr>
        <w:t xml:space="preserve">Bridgepoint </w:t>
      </w:r>
      <w:r w:rsidRPr="009C48DA">
        <w:rPr>
          <w:rFonts w:eastAsia="Calibri" w:cs="Arial"/>
          <w:szCs w:val="20"/>
          <w:lang w:val="en-GB"/>
        </w:rPr>
        <w:t xml:space="preserve">as well as additional strain on the </w:t>
      </w:r>
      <w:bookmarkStart w:name="_9kMP8H6ZWu5997AJTKylkmw711DhaFJL" w:id="91"/>
      <w:r w:rsidRPr="009C48DA">
        <w:rPr>
          <w:rFonts w:eastAsia="Calibri" w:cs="Arial"/>
          <w:szCs w:val="20"/>
          <w:lang w:val="en-GB"/>
        </w:rPr>
        <w:t>Group’s</w:t>
      </w:r>
      <w:bookmarkEnd w:id="91"/>
      <w:r w:rsidRPr="009C48DA">
        <w:rPr>
          <w:rFonts w:eastAsia="Calibri" w:cs="Arial"/>
          <w:szCs w:val="20"/>
          <w:lang w:val="en-GB"/>
        </w:rPr>
        <w:t xml:space="preserve"> ability to successfully integrate new employees, new systems or other resources. If the Group does not uphold its corporate culture and core values, this may also adversely affect the </w:t>
      </w:r>
      <w:bookmarkStart w:name="_9kMPAJ6ZWu5997AJTKylkmw711DhaFJL" w:id="92"/>
      <w:r w:rsidRPr="009C48DA">
        <w:rPr>
          <w:rFonts w:eastAsia="Calibri" w:cs="Arial"/>
          <w:szCs w:val="20"/>
          <w:lang w:val="en-GB"/>
        </w:rPr>
        <w:t>Group’s</w:t>
      </w:r>
      <w:bookmarkEnd w:id="92"/>
      <w:r w:rsidRPr="009C48DA">
        <w:rPr>
          <w:rFonts w:eastAsia="Calibri" w:cs="Arial"/>
          <w:szCs w:val="20"/>
          <w:lang w:val="en-GB"/>
        </w:rPr>
        <w:t xml:space="preserve"> ability to retain and recruit investment professionals and other key personnel. </w:t>
      </w:r>
      <w:r w:rsidRPr="009C48DA" w:rsidR="00E45A32">
        <w:rPr>
          <w:rFonts w:eastAsia="Calibri" w:cs="Arial"/>
          <w:szCs w:val="20"/>
          <w:lang w:val="en-GB"/>
        </w:rPr>
        <w:t>In addition</w:t>
      </w:r>
      <w:r w:rsidRPr="009C48DA">
        <w:rPr>
          <w:rFonts w:eastAsia="Calibri" w:cs="Arial"/>
          <w:szCs w:val="20"/>
          <w:lang w:val="en-GB"/>
        </w:rPr>
        <w:t>, if the Group fails to continue to develop and implement the right processes and tools to manage the changing organisation and maintain its culture, the Group’s ability to compete effectively and achieve its business objectives could be impaired and the Group could face obstacles in attracting and retaining investors and in raising ca</w:t>
      </w:r>
      <w:bookmarkStart w:name="_9kMON5YVt48868FQJxkjlv600C" w:id="93"/>
      <w:r w:rsidRPr="009C48DA" w:rsidR="0065135D">
        <w:rPr>
          <w:rFonts w:eastAsia="Calibri" w:cs="Arial"/>
          <w:szCs w:val="20"/>
          <w:lang w:val="en-GB"/>
        </w:rPr>
        <w:t xml:space="preserve">pital for future funds. </w:t>
      </w:r>
      <w:r w:rsidRPr="009C48DA" w:rsidR="006D5BFE">
        <w:rPr>
          <w:lang w:val="en-GB"/>
        </w:rPr>
        <w:t>Bridgepoint</w:t>
      </w:r>
      <w:r w:rsidRPr="009C48DA">
        <w:rPr>
          <w:rFonts w:eastAsia="Calibri" w:cs="Arial"/>
          <w:szCs w:val="20"/>
          <w:lang w:val="en-GB"/>
        </w:rPr>
        <w:t>’s</w:t>
      </w:r>
      <w:bookmarkEnd w:id="93"/>
      <w:r w:rsidRPr="009C48DA">
        <w:rPr>
          <w:rFonts w:eastAsia="Calibri" w:cs="Arial"/>
          <w:szCs w:val="20"/>
          <w:lang w:val="en-GB"/>
        </w:rPr>
        <w:t xml:space="preserve"> culture is of material significance to </w:t>
      </w:r>
      <w:bookmarkStart w:name="_9kMPO5YVt48868FQJxkjlv600C" w:id="94"/>
      <w:r w:rsidRPr="009C48DA">
        <w:rPr>
          <w:rFonts w:eastAsia="Calibri" w:cs="Arial"/>
          <w:szCs w:val="20"/>
          <w:lang w:val="en-GB"/>
        </w:rPr>
        <w:t xml:space="preserve">the </w:t>
      </w:r>
      <w:bookmarkEnd w:id="94"/>
      <w:r w:rsidRPr="009C48DA">
        <w:rPr>
          <w:rFonts w:eastAsia="Calibri" w:cs="Arial"/>
          <w:szCs w:val="20"/>
          <w:lang w:val="en-GB"/>
        </w:rPr>
        <w:t xml:space="preserve">Group as the personnel are greatly important to the business, and a dilution of the corporate culture could thereby </w:t>
      </w:r>
      <w:r w:rsidRPr="009C48DA">
        <w:rPr>
          <w:rFonts w:eastAsia="Times New Roman" w:cs="Times New Roman"/>
          <w:color w:val="231F20"/>
          <w:szCs w:val="20"/>
          <w:lang w:val="en-GB"/>
        </w:rPr>
        <w:t>have</w:t>
      </w:r>
      <w:r w:rsidRPr="009C48DA">
        <w:rPr>
          <w:rFonts w:eastAsia="Calibri" w:cs="Arial"/>
          <w:szCs w:val="20"/>
          <w:lang w:val="en-GB"/>
        </w:rPr>
        <w:t xml:space="preserve"> a material adverse effect on the performance of the </w:t>
      </w:r>
      <w:bookmarkStart w:name="_9kML6J6ZWu5997AEOKylkmw711DgcH17" w:id="95"/>
      <w:r w:rsidRPr="009C48DA" w:rsidR="00AF0B9A">
        <w:rPr>
          <w:rFonts w:eastAsia="Calibri" w:cs="Arial"/>
          <w:szCs w:val="20"/>
          <w:lang w:val="en-GB"/>
        </w:rPr>
        <w:t xml:space="preserve">Bridgepoint </w:t>
      </w:r>
      <w:r w:rsidRPr="009C48DA">
        <w:rPr>
          <w:rFonts w:eastAsia="Calibri" w:cs="Arial"/>
          <w:szCs w:val="20"/>
          <w:lang w:val="en-GB"/>
        </w:rPr>
        <w:t>Funds</w:t>
      </w:r>
      <w:bookmarkEnd w:id="95"/>
      <w:r w:rsidRPr="009C48DA">
        <w:rPr>
          <w:rFonts w:eastAsia="Calibri" w:cs="Arial"/>
          <w:szCs w:val="20"/>
          <w:lang w:val="en-GB"/>
        </w:rPr>
        <w:t xml:space="preserve">, </w:t>
      </w:r>
      <w:bookmarkStart w:name="_9kMH0H6ZWu59979GRKylkmw711D" w:id="96"/>
      <w:r w:rsidRPr="009C48DA">
        <w:rPr>
          <w:rFonts w:eastAsia="Calibri" w:cs="Arial"/>
          <w:szCs w:val="20"/>
          <w:lang w:val="en-GB"/>
        </w:rPr>
        <w:t>the Group’s</w:t>
      </w:r>
      <w:bookmarkEnd w:id="96"/>
      <w:r w:rsidRPr="009C48DA">
        <w:rPr>
          <w:rFonts w:eastAsia="Calibri" w:cs="Arial"/>
          <w:szCs w:val="20"/>
          <w:lang w:val="en-GB"/>
        </w:rPr>
        <w:t xml:space="preserve"> continued development and the </w:t>
      </w:r>
      <w:bookmarkStart w:name="_9kMPBK6ZWu5997AJTKylkmw711DhaFJL" w:id="97"/>
      <w:r w:rsidRPr="009C48DA">
        <w:rPr>
          <w:rFonts w:eastAsia="Calibri" w:cs="Arial"/>
          <w:szCs w:val="20"/>
          <w:lang w:val="en-GB"/>
        </w:rPr>
        <w:t>Group’s</w:t>
      </w:r>
      <w:bookmarkEnd w:id="97"/>
      <w:r w:rsidRPr="009C48DA">
        <w:rPr>
          <w:rFonts w:eastAsia="Calibri" w:cs="Arial"/>
          <w:szCs w:val="20"/>
          <w:lang w:val="en-GB"/>
        </w:rPr>
        <w:t xml:space="preserve"> business, revenue, net income, cash flows, results of operation, brand and reputation. </w:t>
      </w:r>
    </w:p>
    <w:p w:rsidRPr="009C48DA" w:rsidR="006D6A27" w:rsidP="00676CA5" w:rsidRDefault="003262F7" w14:paraId="732F2608" w14:textId="5139D1FB">
      <w:pPr>
        <w:pStyle w:val="BodyText2SglJ"/>
        <w:rPr>
          <w:rFonts w:eastAsia="Calibri" w:cs="Arial"/>
          <w:szCs w:val="20"/>
          <w:lang w:val="en-GB"/>
        </w:rPr>
      </w:pPr>
      <w:bookmarkStart w:name="_9kMNM5YVt4886GIdRjEM0nmoy933FjcHLN" w:id="98"/>
      <w:r w:rsidRPr="009C48DA">
        <w:rPr>
          <w:rFonts w:eastAsia="Calibri" w:cs="Arial"/>
          <w:szCs w:val="20"/>
          <w:lang w:val="en-GB"/>
        </w:rPr>
        <w:t>Moreover</w:t>
      </w:r>
      <w:r w:rsidRPr="009C48DA" w:rsidR="006D6A27">
        <w:rPr>
          <w:rFonts w:eastAsia="Calibri" w:cs="Arial"/>
          <w:szCs w:val="20"/>
          <w:lang w:val="en-GB"/>
        </w:rPr>
        <w:t>, the Group’s</w:t>
      </w:r>
      <w:bookmarkEnd w:id="98"/>
      <w:r w:rsidRPr="009C48DA" w:rsidR="006D6A27">
        <w:rPr>
          <w:rFonts w:eastAsia="Calibri" w:cs="Arial"/>
          <w:szCs w:val="20"/>
          <w:lang w:val="en-GB"/>
        </w:rPr>
        <w:t xml:space="preserve"> growth and expansion across different geographical areas and markets </w:t>
      </w:r>
      <w:r w:rsidRPr="009C48DA" w:rsidR="006D6A27">
        <w:rPr>
          <w:rFonts w:eastAsia="Times New Roman" w:cs="Times New Roman"/>
          <w:color w:val="231F20"/>
          <w:szCs w:val="20"/>
          <w:lang w:val="en-GB"/>
        </w:rPr>
        <w:t>may</w:t>
      </w:r>
      <w:r w:rsidRPr="009C48DA" w:rsidR="006D6A27">
        <w:rPr>
          <w:rFonts w:eastAsia="Calibri" w:cs="Arial"/>
          <w:szCs w:val="20"/>
          <w:lang w:val="en-GB"/>
        </w:rPr>
        <w:t xml:space="preserve"> lead to organisational and cultural challenges</w:t>
      </w:r>
      <w:r w:rsidRPr="009C48DA">
        <w:rPr>
          <w:rFonts w:eastAsia="Calibri" w:cs="Arial"/>
          <w:szCs w:val="20"/>
          <w:lang w:val="en-GB"/>
        </w:rPr>
        <w:t xml:space="preserve"> that could dilute</w:t>
      </w:r>
      <w:r w:rsidRPr="009C48DA" w:rsidR="006D6A27">
        <w:rPr>
          <w:rFonts w:eastAsia="Calibri" w:cs="Arial"/>
          <w:szCs w:val="20"/>
          <w:lang w:val="en-GB"/>
        </w:rPr>
        <w:t xml:space="preserve"> the </w:t>
      </w:r>
      <w:bookmarkStart w:name="_9kMO8I6ZWu5997AJTKylkmw711DhaFJL" w:id="99"/>
      <w:r w:rsidRPr="009C48DA" w:rsidR="006D6A27">
        <w:rPr>
          <w:rFonts w:eastAsia="Calibri" w:cs="Arial"/>
          <w:szCs w:val="20"/>
          <w:lang w:val="en-GB"/>
        </w:rPr>
        <w:t>Group’s</w:t>
      </w:r>
      <w:bookmarkEnd w:id="99"/>
      <w:r w:rsidRPr="009C48DA" w:rsidR="006D6A27">
        <w:rPr>
          <w:rFonts w:eastAsia="Calibri" w:cs="Arial"/>
          <w:szCs w:val="20"/>
          <w:lang w:val="en-GB"/>
        </w:rPr>
        <w:t xml:space="preserve"> </w:t>
      </w:r>
      <w:r w:rsidRPr="009C48DA">
        <w:rPr>
          <w:rFonts w:eastAsia="Calibri" w:cs="Arial"/>
          <w:szCs w:val="20"/>
          <w:lang w:val="en-GB"/>
        </w:rPr>
        <w:t>corporate culture</w:t>
      </w:r>
      <w:r w:rsidRPr="009C48DA" w:rsidR="006D6A27">
        <w:rPr>
          <w:rFonts w:eastAsia="Calibri" w:cs="Arial"/>
          <w:szCs w:val="20"/>
          <w:lang w:val="en-GB"/>
        </w:rPr>
        <w:t xml:space="preserve">. In </w:t>
      </w:r>
      <w:r w:rsidRPr="009C48DA" w:rsidR="00DB7F28">
        <w:rPr>
          <w:rFonts w:eastAsia="Calibri" w:cs="Arial"/>
          <w:szCs w:val="20"/>
          <w:lang w:val="en-GB"/>
        </w:rPr>
        <w:t>particular</w:t>
      </w:r>
      <w:r w:rsidRPr="009C48DA" w:rsidR="006D6A27">
        <w:rPr>
          <w:rFonts w:eastAsia="Calibri" w:cs="Arial"/>
          <w:szCs w:val="20"/>
          <w:lang w:val="en-GB"/>
        </w:rPr>
        <w:t xml:space="preserve">, the Group </w:t>
      </w:r>
      <w:r w:rsidRPr="009C48DA" w:rsidR="00DB7F28">
        <w:rPr>
          <w:rFonts w:eastAsia="Calibri" w:cs="Arial"/>
          <w:szCs w:val="20"/>
          <w:lang w:val="en-GB"/>
        </w:rPr>
        <w:t xml:space="preserve">has expanded, and </w:t>
      </w:r>
      <w:r w:rsidRPr="009C48DA" w:rsidR="006D6A27">
        <w:rPr>
          <w:rFonts w:eastAsia="Calibri" w:cs="Arial"/>
          <w:szCs w:val="20"/>
          <w:lang w:val="en-GB"/>
        </w:rPr>
        <w:t>may continue to expand, both geographically and in respect of new investment strategies, including through acquisitions</w:t>
      </w:r>
      <w:r w:rsidRPr="009C48DA" w:rsidR="00DF2E01">
        <w:rPr>
          <w:rFonts w:eastAsia="Calibri" w:cs="Arial"/>
          <w:szCs w:val="20"/>
          <w:lang w:val="en-GB"/>
        </w:rPr>
        <w:t>. Expa</w:t>
      </w:r>
      <w:r w:rsidRPr="009C48DA">
        <w:rPr>
          <w:rFonts w:eastAsia="Calibri" w:cs="Arial"/>
          <w:szCs w:val="20"/>
          <w:lang w:val="en-GB"/>
        </w:rPr>
        <w:t xml:space="preserve">nding into new geographies requires the Group to recruit highly qualified employees locally which may be difficult to do whilst maintaining </w:t>
      </w:r>
      <w:r w:rsidRPr="009C48DA" w:rsidR="0068713B">
        <w:rPr>
          <w:rFonts w:eastAsia="Calibri" w:cs="Arial"/>
          <w:szCs w:val="20"/>
          <w:lang w:val="en-GB"/>
        </w:rPr>
        <w:t xml:space="preserve">the Group’s corporate culture. </w:t>
      </w:r>
      <w:r w:rsidRPr="009C48DA" w:rsidR="006D6A27">
        <w:rPr>
          <w:rFonts w:eastAsia="Calibri" w:cs="Arial"/>
          <w:szCs w:val="20"/>
          <w:lang w:val="en-GB"/>
        </w:rPr>
        <w:t>Without the existence of thoughtful strategies aimed at maintaining corporate culture despite rapid growth,</w:t>
      </w:r>
      <w:r w:rsidRPr="009C48DA" w:rsidR="00DB7F28">
        <w:rPr>
          <w:rFonts w:eastAsia="Calibri" w:cs="Arial"/>
          <w:szCs w:val="20"/>
          <w:lang w:val="en-GB"/>
        </w:rPr>
        <w:t xml:space="preserve"> such as in connection with the integration of new investment professionals into the Group’s operations due to </w:t>
      </w:r>
      <w:r w:rsidRPr="009C48DA" w:rsidR="006D5BFE">
        <w:rPr>
          <w:lang w:val="en-GB"/>
        </w:rPr>
        <w:t>Bridgepoint</w:t>
      </w:r>
      <w:r w:rsidRPr="009C48DA" w:rsidR="00DB7F28">
        <w:rPr>
          <w:rFonts w:eastAsia="Calibri" w:cs="Arial"/>
          <w:szCs w:val="20"/>
          <w:lang w:val="en-GB"/>
        </w:rPr>
        <w:t>’s recent acquisition of EQT Credit,</w:t>
      </w:r>
      <w:r w:rsidRPr="009C48DA" w:rsidR="006D6A27">
        <w:rPr>
          <w:rFonts w:eastAsia="Calibri" w:cs="Arial"/>
          <w:szCs w:val="20"/>
          <w:lang w:val="en-GB"/>
        </w:rPr>
        <w:t xml:space="preserve"> there is a risk that the </w:t>
      </w:r>
      <w:bookmarkStart w:name="_9kMO9J6ZWu5997AJTKylkmw711DhaFJL" w:id="100"/>
      <w:r w:rsidRPr="009C48DA" w:rsidR="006D6A27">
        <w:rPr>
          <w:rFonts w:eastAsia="Calibri" w:cs="Arial"/>
          <w:szCs w:val="20"/>
          <w:lang w:val="en-GB"/>
        </w:rPr>
        <w:t>Group’s</w:t>
      </w:r>
      <w:bookmarkEnd w:id="100"/>
      <w:r w:rsidRPr="009C48DA" w:rsidR="006D6A27">
        <w:rPr>
          <w:rFonts w:eastAsia="Calibri" w:cs="Arial"/>
          <w:szCs w:val="20"/>
          <w:lang w:val="en-GB"/>
        </w:rPr>
        <w:t xml:space="preserve"> corporate culture will be diluted and its values will change over time. Consequently, this could have a </w:t>
      </w:r>
      <w:r w:rsidRPr="009C48DA" w:rsidDel="00571B6B" w:rsidR="006D6A27">
        <w:rPr>
          <w:rFonts w:eastAsia="Calibri" w:cs="Arial"/>
          <w:szCs w:val="20"/>
          <w:lang w:val="en-GB"/>
        </w:rPr>
        <w:t xml:space="preserve">material adverse effect on the </w:t>
      </w:r>
      <w:r w:rsidRPr="009C48DA" w:rsidR="006D6A27">
        <w:rPr>
          <w:rFonts w:eastAsia="Calibri" w:cs="Arial"/>
          <w:szCs w:val="20"/>
          <w:lang w:val="en-GB"/>
        </w:rPr>
        <w:t>Group’s business, revenue</w:t>
      </w:r>
      <w:r w:rsidRPr="009C48DA" w:rsidDel="00571B6B" w:rsidR="006D6A27">
        <w:rPr>
          <w:rFonts w:eastAsia="Calibri" w:cs="Arial"/>
          <w:szCs w:val="20"/>
          <w:lang w:val="en-GB"/>
        </w:rPr>
        <w:t>, net income and cash flows</w:t>
      </w:r>
      <w:r w:rsidRPr="009C48DA" w:rsidR="006D6A27">
        <w:rPr>
          <w:rFonts w:eastAsia="Calibri" w:cs="Arial"/>
          <w:szCs w:val="20"/>
          <w:lang w:val="en-GB"/>
        </w:rPr>
        <w:t>.</w:t>
      </w:r>
    </w:p>
    <w:p w:rsidRPr="009C48DA" w:rsidR="006D6A27" w:rsidP="000F2378" w:rsidRDefault="006D6A27" w14:paraId="72D305C0" w14:textId="5A5BA7F9">
      <w:pPr>
        <w:pStyle w:val="TitleBI"/>
        <w:rPr>
          <w:szCs w:val="20"/>
          <w:lang w:val="en-GB"/>
        </w:rPr>
      </w:pPr>
      <w:r w:rsidRPr="009C48DA">
        <w:rPr>
          <w:szCs w:val="20"/>
          <w:lang w:val="en-GB"/>
        </w:rPr>
        <w:t xml:space="preserve">The Company may not replicate the Group’s and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historical success. </w:t>
      </w:r>
    </w:p>
    <w:p w:rsidRPr="009C48DA" w:rsidR="006D6A27" w:rsidP="00676CA5" w:rsidRDefault="006D6A27" w14:paraId="249098E7" w14:textId="76358EE1">
      <w:pPr>
        <w:pStyle w:val="BodyText2SglJ"/>
        <w:rPr>
          <w:rFonts w:eastAsia="Calibri" w:cs="Arial"/>
          <w:szCs w:val="20"/>
          <w:lang w:val="en-GB"/>
        </w:rPr>
      </w:pPr>
      <w:r w:rsidRPr="009C48DA">
        <w:rPr>
          <w:rFonts w:eastAsia="Calibri" w:cs="Arial"/>
          <w:szCs w:val="20"/>
          <w:lang w:val="en-GB"/>
        </w:rPr>
        <w:t xml:space="preserve">Investors in the Company are not acquiring an interest in the </w:t>
      </w:r>
      <w:r w:rsidRPr="009C48DA" w:rsidR="00AF0B9A">
        <w:rPr>
          <w:rFonts w:eastAsia="Calibri" w:cs="Arial"/>
          <w:szCs w:val="20"/>
          <w:lang w:val="en-GB"/>
        </w:rPr>
        <w:t xml:space="preserve">Bridgepoint </w:t>
      </w:r>
      <w:r w:rsidRPr="009C48DA">
        <w:rPr>
          <w:rFonts w:eastAsia="Calibri" w:cs="Arial"/>
          <w:szCs w:val="20"/>
          <w:lang w:val="en-GB"/>
        </w:rPr>
        <w:t xml:space="preserve">Funds and the Company’s business differs from those of the </w:t>
      </w:r>
      <w:r w:rsidRPr="009C48DA" w:rsidR="00AF0B9A">
        <w:rPr>
          <w:rFonts w:eastAsia="Calibri" w:cs="Arial"/>
          <w:szCs w:val="20"/>
          <w:lang w:val="en-GB"/>
        </w:rPr>
        <w:t xml:space="preserve">Bridgepoint </w:t>
      </w:r>
      <w:r w:rsidRPr="009C48DA">
        <w:rPr>
          <w:rFonts w:eastAsia="Calibri" w:cs="Arial"/>
          <w:szCs w:val="20"/>
          <w:lang w:val="en-GB"/>
        </w:rPr>
        <w:t xml:space="preserve">Funds. Accordingly, the Company cannot assure prospective investors that it will replicate the </w:t>
      </w:r>
      <w:r w:rsidRPr="009C48DA" w:rsidR="00AF0B9A">
        <w:rPr>
          <w:rFonts w:eastAsia="Calibri" w:cs="Arial"/>
          <w:szCs w:val="20"/>
          <w:lang w:val="en-GB"/>
        </w:rPr>
        <w:t xml:space="preserve">Bridgepoint </w:t>
      </w:r>
      <w:r w:rsidRPr="009C48DA">
        <w:rPr>
          <w:rFonts w:eastAsia="Calibri" w:cs="Arial"/>
          <w:szCs w:val="20"/>
          <w:lang w:val="en-GB"/>
        </w:rPr>
        <w:t xml:space="preserve">Funds’ historical success, and investment returns could be substantially lower than the returns achieved by the </w:t>
      </w:r>
      <w:r w:rsidRPr="009C48DA" w:rsidR="00AF0B9A">
        <w:rPr>
          <w:rFonts w:eastAsia="Calibri" w:cs="Arial"/>
          <w:szCs w:val="20"/>
          <w:lang w:val="en-GB"/>
        </w:rPr>
        <w:t xml:space="preserve">Bridgepoint </w:t>
      </w:r>
      <w:r w:rsidRPr="009C48DA">
        <w:rPr>
          <w:rFonts w:eastAsia="Calibri" w:cs="Arial"/>
          <w:szCs w:val="20"/>
          <w:lang w:val="en-GB"/>
        </w:rPr>
        <w:t xml:space="preserve">Funds. The returns of the </w:t>
      </w:r>
      <w:r w:rsidRPr="009C48DA" w:rsidR="00AF0B9A">
        <w:rPr>
          <w:rFonts w:eastAsia="Calibri" w:cs="Arial"/>
          <w:szCs w:val="20"/>
          <w:lang w:val="en-GB"/>
        </w:rPr>
        <w:t xml:space="preserve">Bridgepoint </w:t>
      </w:r>
      <w:r w:rsidRPr="009C48DA">
        <w:rPr>
          <w:rFonts w:eastAsia="Calibri" w:cs="Arial"/>
          <w:szCs w:val="20"/>
          <w:lang w:val="en-GB"/>
        </w:rPr>
        <w:t xml:space="preserve">Funds are relevant to the Group primarily insofar as they are indicative of carried interest and </w:t>
      </w:r>
      <w:r w:rsidRPr="009C48DA" w:rsidR="003262F7">
        <w:rPr>
          <w:rFonts w:eastAsia="Calibri" w:cs="Arial"/>
          <w:szCs w:val="20"/>
          <w:lang w:val="en-GB"/>
        </w:rPr>
        <w:t>i</w:t>
      </w:r>
      <w:r w:rsidRPr="009C48DA">
        <w:rPr>
          <w:rFonts w:eastAsia="Calibri" w:cs="Arial"/>
          <w:szCs w:val="20"/>
          <w:lang w:val="en-GB"/>
        </w:rPr>
        <w:t xml:space="preserve">ncome </w:t>
      </w:r>
      <w:r w:rsidRPr="009C48DA" w:rsidR="003C36B4">
        <w:rPr>
          <w:rFonts w:eastAsia="Calibri" w:cs="Arial"/>
          <w:szCs w:val="20"/>
          <w:lang w:val="en-GB"/>
        </w:rPr>
        <w:t xml:space="preserve">from the fair value remeasurement of investments </w:t>
      </w:r>
      <w:r w:rsidRPr="009C48DA">
        <w:rPr>
          <w:rFonts w:eastAsia="Calibri" w:cs="Arial"/>
          <w:szCs w:val="20"/>
          <w:lang w:val="en-GB"/>
        </w:rPr>
        <w:t>it has earned in the past and may earn in the future</w:t>
      </w:r>
      <w:r w:rsidRPr="009C48DA" w:rsidR="00A903E4">
        <w:rPr>
          <w:rFonts w:eastAsia="Calibri" w:cs="Arial"/>
          <w:szCs w:val="20"/>
          <w:lang w:val="en-GB"/>
        </w:rPr>
        <w:t>,</w:t>
      </w:r>
      <w:r w:rsidRPr="009C48DA">
        <w:rPr>
          <w:rFonts w:eastAsia="Calibri" w:cs="Arial"/>
          <w:szCs w:val="20"/>
          <w:lang w:val="en-GB"/>
        </w:rPr>
        <w:t xml:space="preserve"> and its reputation and ability to raise new funds. However, historical returns of the </w:t>
      </w:r>
      <w:r w:rsidRPr="009C48DA" w:rsidR="00AF0B9A">
        <w:rPr>
          <w:rFonts w:eastAsia="Calibri" w:cs="Arial"/>
          <w:szCs w:val="20"/>
          <w:lang w:val="en-GB"/>
        </w:rPr>
        <w:t xml:space="preserve">Bridgepoint </w:t>
      </w:r>
      <w:r w:rsidRPr="009C48DA">
        <w:rPr>
          <w:rFonts w:eastAsia="Calibri" w:cs="Arial"/>
          <w:szCs w:val="20"/>
          <w:lang w:val="en-GB"/>
        </w:rPr>
        <w:t xml:space="preserve">Funds may not be indicative </w:t>
      </w:r>
      <w:r w:rsidRPr="009C48DA">
        <w:rPr>
          <w:rFonts w:eastAsia="Calibri" w:cs="Arial"/>
          <w:szCs w:val="20"/>
          <w:lang w:val="en-GB"/>
        </w:rPr>
        <w:lastRenderedPageBreak/>
        <w:t xml:space="preserve">of the future results that investors should expect from the </w:t>
      </w:r>
      <w:r w:rsidRPr="009C48DA" w:rsidR="00AF0B9A">
        <w:rPr>
          <w:rFonts w:eastAsia="Calibri" w:cs="Arial"/>
          <w:szCs w:val="20"/>
          <w:lang w:val="en-GB"/>
        </w:rPr>
        <w:t xml:space="preserve">Bridgepoint </w:t>
      </w:r>
      <w:r w:rsidRPr="009C48DA">
        <w:rPr>
          <w:rFonts w:eastAsia="Calibri" w:cs="Arial"/>
          <w:szCs w:val="20"/>
          <w:lang w:val="en-GB"/>
        </w:rPr>
        <w:t>Funds. In particular, future results may differ significantly from historical results for the following reasons, among others:</w:t>
      </w:r>
    </w:p>
    <w:p w:rsidRPr="009C48DA" w:rsidR="006D6A27" w:rsidP="00676CA5" w:rsidRDefault="006D6A27" w14:paraId="5A469D06" w14:textId="145A5AF4">
      <w:pPr>
        <w:pStyle w:val="STBBullet3"/>
        <w:rPr>
          <w:rFonts w:eastAsia="Calibri" w:cs="Arial"/>
          <w:szCs w:val="20"/>
          <w:lang w:val="en-GB"/>
        </w:rPr>
      </w:pPr>
      <w:r w:rsidRPr="009C48DA">
        <w:rPr>
          <w:rFonts w:eastAsia="Calibri" w:cs="Arial"/>
          <w:szCs w:val="20"/>
          <w:lang w:val="en-GB"/>
        </w:rPr>
        <w:t xml:space="preserve">investors will not benefit from any value that was created in any of the </w:t>
      </w:r>
      <w:r w:rsidRPr="009C48DA" w:rsidR="00AF0B9A">
        <w:rPr>
          <w:rFonts w:eastAsia="Calibri" w:cs="Arial"/>
          <w:szCs w:val="20"/>
          <w:lang w:val="en-GB"/>
        </w:rPr>
        <w:t xml:space="preserve">Bridgepoint </w:t>
      </w:r>
      <w:r w:rsidRPr="009C48DA">
        <w:rPr>
          <w:rFonts w:eastAsia="Calibri" w:cs="Arial"/>
          <w:szCs w:val="20"/>
          <w:lang w:val="en-GB"/>
        </w:rPr>
        <w:t>Funds to the extent such value has been realised;</w:t>
      </w:r>
    </w:p>
    <w:p w:rsidRPr="009C48DA" w:rsidR="006D6A27" w:rsidP="00676CA5" w:rsidRDefault="006D6A27" w14:paraId="6202D77A" w14:textId="5BAB9540">
      <w:pPr>
        <w:pStyle w:val="STBBullet3"/>
        <w:rPr>
          <w:rFonts w:eastAsia="Calibri" w:cs="Arial"/>
          <w:szCs w:val="20"/>
          <w:lang w:val="en-GB"/>
        </w:rPr>
      </w:pPr>
      <w:r w:rsidRPr="009C48DA">
        <w:rPr>
          <w:rFonts w:eastAsia="Calibri" w:cs="Arial"/>
          <w:szCs w:val="20"/>
          <w:lang w:val="en-GB"/>
        </w:rPr>
        <w:t xml:space="preserve">the Group may create new funds in the future that reflect a different asset mix and different investment strategies, as well as a varied geographic and industry exposure and economic terms as compared to that of existing </w:t>
      </w:r>
      <w:r w:rsidRPr="009C48DA" w:rsidR="00AF0B9A">
        <w:rPr>
          <w:rFonts w:eastAsia="Calibri" w:cs="Arial"/>
          <w:szCs w:val="20"/>
          <w:lang w:val="en-GB"/>
        </w:rPr>
        <w:t xml:space="preserve">Bridgepoint </w:t>
      </w:r>
      <w:r w:rsidRPr="009C48DA">
        <w:rPr>
          <w:rFonts w:eastAsia="Calibri" w:cs="Arial"/>
          <w:szCs w:val="20"/>
          <w:lang w:val="en-GB"/>
        </w:rPr>
        <w:t xml:space="preserve">Funds, and any such new funds could have different returns from existing or previous </w:t>
      </w:r>
      <w:r w:rsidRPr="009C48DA" w:rsidR="00AF0B9A">
        <w:rPr>
          <w:rFonts w:eastAsia="Calibri" w:cs="Arial"/>
          <w:szCs w:val="20"/>
          <w:lang w:val="en-GB"/>
        </w:rPr>
        <w:t xml:space="preserve">Bridgepoint </w:t>
      </w:r>
      <w:r w:rsidRPr="009C48DA">
        <w:rPr>
          <w:rFonts w:eastAsia="Calibri" w:cs="Arial"/>
          <w:szCs w:val="20"/>
          <w:lang w:val="en-GB"/>
        </w:rPr>
        <w:t>Funds;</w:t>
      </w:r>
    </w:p>
    <w:p w:rsidRPr="009C48DA" w:rsidR="006D6A27" w:rsidP="00676CA5" w:rsidRDefault="006D6A27" w14:paraId="22115D88" w14:textId="32B88CC2">
      <w:pPr>
        <w:pStyle w:val="STBBullet3"/>
        <w:rPr>
          <w:rFonts w:eastAsia="Calibri" w:cs="Arial"/>
          <w:szCs w:val="20"/>
          <w:lang w:val="en-GB"/>
        </w:rPr>
      </w:pPr>
      <w:r w:rsidRPr="009C48DA">
        <w:rPr>
          <w:rFonts w:eastAsia="Calibri" w:cs="Arial"/>
          <w:szCs w:val="20"/>
          <w:lang w:val="en-GB"/>
        </w:rPr>
        <w:t xml:space="preserve">the historical returns that the Group presents in this Registration Document derive largely from the performance of the current </w:t>
      </w:r>
      <w:r w:rsidRPr="009C48DA" w:rsidR="00AF0B9A">
        <w:rPr>
          <w:rFonts w:eastAsia="Calibri" w:cs="Arial"/>
          <w:szCs w:val="20"/>
          <w:lang w:val="en-GB"/>
        </w:rPr>
        <w:t xml:space="preserve">Bridgepoint </w:t>
      </w:r>
      <w:r w:rsidRPr="009C48DA">
        <w:rPr>
          <w:rFonts w:eastAsia="Calibri" w:cs="Arial"/>
          <w:szCs w:val="20"/>
          <w:lang w:val="en-GB"/>
        </w:rPr>
        <w:t>Funds, whereas future fund returns will depend increasingly on the performance of the Group’s newer funds, potentially including funds in new geographies and with new investment strategies, which may have a limited investment track record;</w:t>
      </w:r>
    </w:p>
    <w:p w:rsidRPr="009C48DA" w:rsidR="006D6A27" w:rsidP="00676CA5" w:rsidRDefault="006D6A27" w14:paraId="0F3DE7B3" w14:textId="181B8BA7">
      <w:pPr>
        <w:pStyle w:val="STBBullet3"/>
        <w:rPr>
          <w:rFonts w:eastAsia="Calibri" w:cs="Arial"/>
          <w:szCs w:val="20"/>
          <w:lang w:val="en-GB"/>
        </w:rPr>
      </w:pPr>
      <w:r w:rsidRPr="009C48DA">
        <w:rPr>
          <w:rFonts w:eastAsia="Calibri" w:cs="Arial"/>
          <w:szCs w:val="20"/>
          <w:lang w:val="en-GB"/>
        </w:rPr>
        <w:t xml:space="preserve">the </w:t>
      </w:r>
      <w:r w:rsidRPr="009C48DA" w:rsidR="00AF0B9A">
        <w:rPr>
          <w:rFonts w:eastAsia="Calibri" w:cs="Arial"/>
          <w:szCs w:val="20"/>
          <w:lang w:val="en-GB"/>
        </w:rPr>
        <w:t xml:space="preserve">Bridgepoint </w:t>
      </w:r>
      <w:r w:rsidRPr="009C48DA">
        <w:rPr>
          <w:rFonts w:eastAsia="Calibri" w:cs="Arial"/>
          <w:szCs w:val="20"/>
          <w:lang w:val="en-GB"/>
        </w:rPr>
        <w:t xml:space="preserve">Funds’ rates of returns reflect unrealised gains as of the applicable measurement date that may never be realised, which may adversely affect the ultimate value realised from those </w:t>
      </w:r>
      <w:r w:rsidRPr="009C48DA" w:rsidR="00AF0B9A">
        <w:rPr>
          <w:rFonts w:eastAsia="Calibri" w:cs="Arial"/>
          <w:szCs w:val="20"/>
          <w:lang w:val="en-GB"/>
        </w:rPr>
        <w:t xml:space="preserve">Bridgepoint </w:t>
      </w:r>
      <w:r w:rsidRPr="009C48DA">
        <w:rPr>
          <w:rFonts w:eastAsia="Calibri" w:cs="Arial"/>
          <w:szCs w:val="20"/>
          <w:lang w:val="en-GB"/>
        </w:rPr>
        <w:t>Funds;</w:t>
      </w:r>
    </w:p>
    <w:p w:rsidRPr="009C48DA" w:rsidR="006D6A27" w:rsidP="00676CA5" w:rsidRDefault="006D6A27" w14:paraId="54EE87D5" w14:textId="7A88F591">
      <w:pPr>
        <w:pStyle w:val="STBBullet3"/>
        <w:rPr>
          <w:rFonts w:eastAsia="Calibri" w:cs="Arial"/>
          <w:szCs w:val="20"/>
          <w:lang w:val="en-GB"/>
        </w:rPr>
      </w:pPr>
      <w:r w:rsidRPr="009C48DA">
        <w:rPr>
          <w:rFonts w:eastAsia="Calibri" w:cs="Arial"/>
          <w:szCs w:val="20"/>
          <w:lang w:val="en-GB"/>
        </w:rPr>
        <w:t xml:space="preserve">the </w:t>
      </w:r>
      <w:r w:rsidRPr="009C48DA" w:rsidR="00AF0B9A">
        <w:rPr>
          <w:rFonts w:eastAsia="Calibri" w:cs="Arial"/>
          <w:szCs w:val="20"/>
          <w:lang w:val="en-GB"/>
        </w:rPr>
        <w:t xml:space="preserve">Bridgepoint </w:t>
      </w:r>
      <w:r w:rsidRPr="009C48DA">
        <w:rPr>
          <w:rFonts w:eastAsia="Calibri" w:cs="Arial"/>
          <w:szCs w:val="20"/>
          <w:lang w:val="en-GB"/>
        </w:rPr>
        <w:t xml:space="preserve">Funds’ returns in some years benefited from investment opportunities and general market conditions that may not repeat themselves, the Group’s current or future funds might not be able to avail themselves of comparable investment opportunities or market conditions, and the circumstances under which existing </w:t>
      </w:r>
      <w:r w:rsidRPr="009C48DA" w:rsidR="00AF0B9A">
        <w:rPr>
          <w:rFonts w:eastAsia="Calibri" w:cs="Arial"/>
          <w:szCs w:val="20"/>
          <w:lang w:val="en-GB"/>
        </w:rPr>
        <w:t xml:space="preserve">Bridgepoint </w:t>
      </w:r>
      <w:r w:rsidRPr="009C48DA">
        <w:rPr>
          <w:rFonts w:eastAsia="Calibri" w:cs="Arial"/>
          <w:szCs w:val="20"/>
          <w:lang w:val="en-GB"/>
        </w:rPr>
        <w:t>Funds or any future funds may make future investments may differ significantly from those conditions prevailing in the past;</w:t>
      </w:r>
    </w:p>
    <w:p w:rsidRPr="009C48DA" w:rsidR="006D6A27" w:rsidP="00676CA5" w:rsidRDefault="006D6A27" w14:paraId="5DDDCCFF" w14:textId="5D5F114D">
      <w:pPr>
        <w:pStyle w:val="STBBullet3"/>
        <w:rPr>
          <w:rFonts w:eastAsia="Calibri" w:cs="Arial"/>
          <w:szCs w:val="20"/>
          <w:lang w:val="en-GB"/>
        </w:rPr>
      </w:pPr>
      <w:r w:rsidRPr="009C48DA">
        <w:rPr>
          <w:rFonts w:eastAsia="Calibri" w:cs="Arial"/>
          <w:szCs w:val="20"/>
          <w:lang w:val="en-GB"/>
        </w:rPr>
        <w:t xml:space="preserve">newly established </w:t>
      </w:r>
      <w:r w:rsidRPr="009C48DA" w:rsidR="00AF0B9A">
        <w:rPr>
          <w:rFonts w:eastAsia="Calibri" w:cs="Arial"/>
          <w:szCs w:val="20"/>
          <w:lang w:val="en-GB"/>
        </w:rPr>
        <w:t xml:space="preserve">Bridgepoint </w:t>
      </w:r>
      <w:r w:rsidRPr="009C48DA">
        <w:rPr>
          <w:rFonts w:eastAsia="Calibri" w:cs="Arial"/>
          <w:szCs w:val="20"/>
          <w:lang w:val="en-GB"/>
        </w:rPr>
        <w:t>Funds may generate lower returns during the period in which they initially deploy their capital; and</w:t>
      </w:r>
    </w:p>
    <w:p w:rsidRPr="009C48DA" w:rsidR="006D6A27" w:rsidP="00676CA5" w:rsidRDefault="006D6A27" w14:paraId="210E2B94" w14:textId="77777777">
      <w:pPr>
        <w:pStyle w:val="STBBullet3"/>
        <w:rPr>
          <w:rFonts w:eastAsia="Calibri" w:cs="Arial"/>
          <w:szCs w:val="20"/>
          <w:lang w:val="en-GB"/>
        </w:rPr>
      </w:pPr>
      <w:r w:rsidRPr="009C48DA">
        <w:rPr>
          <w:rFonts w:eastAsia="Calibri" w:cs="Arial"/>
          <w:szCs w:val="20"/>
          <w:lang w:val="en-GB"/>
        </w:rPr>
        <w:t>the historic rates of return reflect the Group’s historical cost structure, which has varied and may vary in the future due to various factors, including factors beyond the Group’s control such as changes in laws and regulations.</w:t>
      </w:r>
    </w:p>
    <w:p w:rsidRPr="009C48DA" w:rsidR="006D6A27" w:rsidP="00676CA5" w:rsidRDefault="006D6A27" w14:paraId="37AA978B" w14:textId="08BF4019">
      <w:pPr>
        <w:pStyle w:val="BodyText2SglJ"/>
        <w:rPr>
          <w:rFonts w:eastAsia="Calibri" w:cs="Times New Roman"/>
          <w:szCs w:val="20"/>
          <w:lang w:val="en-GB"/>
        </w:rPr>
      </w:pPr>
      <w:r w:rsidRPr="009C48DA">
        <w:rPr>
          <w:rFonts w:eastAsia="Calibri" w:cs="Times New Roman"/>
          <w:szCs w:val="20"/>
          <w:lang w:val="en-GB"/>
        </w:rPr>
        <w:t xml:space="preserve">The </w:t>
      </w:r>
      <w:r w:rsidRPr="009C48DA" w:rsidR="00AF0B9A">
        <w:rPr>
          <w:rFonts w:eastAsia="Calibri" w:cs="Arial"/>
          <w:szCs w:val="20"/>
          <w:lang w:val="en-GB"/>
        </w:rPr>
        <w:t>Bridgepoint</w:t>
      </w:r>
      <w:r w:rsidRPr="009C48DA" w:rsidR="00AF0B9A">
        <w:rPr>
          <w:rFonts w:eastAsia="Calibri" w:cs="Times New Roman"/>
          <w:szCs w:val="20"/>
          <w:lang w:val="en-GB"/>
        </w:rPr>
        <w:t xml:space="preserve"> </w:t>
      </w:r>
      <w:r w:rsidRPr="009C48DA">
        <w:rPr>
          <w:rFonts w:eastAsia="Calibri" w:cs="Times New Roman"/>
          <w:szCs w:val="20"/>
          <w:lang w:val="en-GB"/>
        </w:rPr>
        <w:t xml:space="preserve">Funds’ internal rates of return have historically varied from fund to fund. </w:t>
      </w:r>
      <w:r w:rsidRPr="009C48DA">
        <w:rPr>
          <w:rFonts w:eastAsia="Times New Roman" w:cs="Times New Roman"/>
          <w:color w:val="231F20"/>
          <w:szCs w:val="20"/>
          <w:lang w:val="en-GB"/>
        </w:rPr>
        <w:t>Accordingly</w:t>
      </w:r>
      <w:r w:rsidRPr="009C48DA">
        <w:rPr>
          <w:rFonts w:eastAsia="Calibri" w:cs="Times New Roman"/>
          <w:szCs w:val="20"/>
          <w:lang w:val="en-GB"/>
        </w:rPr>
        <w:t xml:space="preserve">, </w:t>
      </w:r>
      <w:r w:rsidRPr="009C48DA" w:rsidR="003C36B4">
        <w:rPr>
          <w:rFonts w:eastAsia="Calibri" w:cs="Times New Roman"/>
          <w:szCs w:val="20"/>
          <w:lang w:val="en-GB"/>
        </w:rPr>
        <w:t xml:space="preserve">the internal rates of return of </w:t>
      </w:r>
      <w:r w:rsidRPr="009C48DA">
        <w:rPr>
          <w:rFonts w:eastAsia="Calibri" w:cs="Times New Roman"/>
          <w:szCs w:val="20"/>
          <w:lang w:val="en-GB"/>
        </w:rPr>
        <w:t xml:space="preserve">any future </w:t>
      </w:r>
      <w:r w:rsidRPr="009C48DA" w:rsidR="00AF0B9A">
        <w:rPr>
          <w:rFonts w:eastAsia="Calibri" w:cs="Arial"/>
          <w:szCs w:val="20"/>
          <w:lang w:val="en-GB"/>
        </w:rPr>
        <w:t>Bridgepoint</w:t>
      </w:r>
      <w:r w:rsidRPr="009C48DA" w:rsidR="00AF0B9A">
        <w:rPr>
          <w:rFonts w:eastAsia="Calibri" w:cs="Times New Roman"/>
          <w:szCs w:val="20"/>
          <w:lang w:val="en-GB"/>
        </w:rPr>
        <w:t xml:space="preserve"> </w:t>
      </w:r>
      <w:r w:rsidRPr="009C48DA">
        <w:rPr>
          <w:rFonts w:eastAsia="Calibri" w:cs="Times New Roman"/>
          <w:szCs w:val="20"/>
          <w:lang w:val="en-GB"/>
        </w:rPr>
        <w:t xml:space="preserve">Fund may vary considerably from the historical internal rate of return generated by any particular </w:t>
      </w:r>
      <w:r w:rsidRPr="009C48DA" w:rsidR="00AF0B9A">
        <w:rPr>
          <w:rFonts w:eastAsia="Calibri" w:cs="Arial"/>
          <w:szCs w:val="20"/>
          <w:lang w:val="en-GB"/>
        </w:rPr>
        <w:t>Bridgepoint</w:t>
      </w:r>
      <w:r w:rsidRPr="009C48DA" w:rsidR="00AF0B9A">
        <w:rPr>
          <w:rFonts w:eastAsia="Calibri" w:cs="Times New Roman"/>
          <w:szCs w:val="20"/>
          <w:lang w:val="en-GB"/>
        </w:rPr>
        <w:t xml:space="preserve"> </w:t>
      </w:r>
      <w:r w:rsidRPr="009C48DA">
        <w:rPr>
          <w:rFonts w:eastAsia="Calibri" w:cs="Times New Roman"/>
          <w:szCs w:val="20"/>
          <w:lang w:val="en-GB"/>
        </w:rPr>
        <w:t xml:space="preserve">Fund, or all the </w:t>
      </w:r>
      <w:r w:rsidRPr="009C48DA" w:rsidR="00AF0B9A">
        <w:rPr>
          <w:rFonts w:eastAsia="Calibri" w:cs="Arial"/>
          <w:szCs w:val="20"/>
          <w:lang w:val="en-GB"/>
        </w:rPr>
        <w:t>Bridgepoint</w:t>
      </w:r>
      <w:r w:rsidRPr="009C48DA" w:rsidR="00AF0B9A">
        <w:rPr>
          <w:rFonts w:eastAsia="Calibri" w:cs="Times New Roman"/>
          <w:szCs w:val="20"/>
          <w:lang w:val="en-GB"/>
        </w:rPr>
        <w:t xml:space="preserve"> </w:t>
      </w:r>
      <w:r w:rsidRPr="009C48DA">
        <w:rPr>
          <w:rFonts w:eastAsia="Calibri" w:cs="Times New Roman"/>
          <w:szCs w:val="20"/>
          <w:lang w:val="en-GB"/>
        </w:rPr>
        <w:t xml:space="preserve">Funds as a whole. </w:t>
      </w:r>
    </w:p>
    <w:p w:rsidRPr="009C48DA" w:rsidR="006D6A27" w:rsidP="00676CA5" w:rsidRDefault="006D6A27" w14:paraId="268493FA" w14:textId="098AEFD7">
      <w:pPr>
        <w:pStyle w:val="BodyText2SglJ"/>
        <w:rPr>
          <w:rFonts w:eastAsia="Calibri" w:cs="Times New Roman"/>
          <w:szCs w:val="20"/>
          <w:lang w:val="en-GB"/>
        </w:rPr>
      </w:pPr>
      <w:r w:rsidRPr="009C48DA">
        <w:rPr>
          <w:rFonts w:eastAsia="Calibri" w:cs="Times New Roman"/>
          <w:szCs w:val="20"/>
          <w:lang w:val="en-GB"/>
        </w:rPr>
        <w:t xml:space="preserve">In addition, future returns will be affected by the applicable risks described elsewhere in this Registration Document, including risks of the industries and businesses in which a particular </w:t>
      </w:r>
      <w:r w:rsidRPr="009C48DA" w:rsidR="00AF0B9A">
        <w:rPr>
          <w:rFonts w:eastAsia="Calibri" w:cs="Arial"/>
          <w:szCs w:val="20"/>
          <w:lang w:val="en-GB"/>
        </w:rPr>
        <w:t>Bridgepoint</w:t>
      </w:r>
      <w:r w:rsidRPr="009C48DA" w:rsidR="00AF0B9A">
        <w:rPr>
          <w:rFonts w:eastAsia="Calibri" w:cs="Times New Roman"/>
          <w:szCs w:val="20"/>
          <w:lang w:val="en-GB"/>
        </w:rPr>
        <w:t xml:space="preserve"> </w:t>
      </w:r>
      <w:r w:rsidRPr="009C48DA">
        <w:rPr>
          <w:rFonts w:eastAsia="Calibri" w:cs="Times New Roman"/>
          <w:szCs w:val="20"/>
          <w:lang w:val="en-GB"/>
        </w:rPr>
        <w:t>Fund invests.</w:t>
      </w:r>
    </w:p>
    <w:p w:rsidRPr="009C48DA" w:rsidR="006D6A27" w:rsidP="000F2378" w:rsidRDefault="00A23619" w14:paraId="4C1BD938" w14:textId="3BC945A0">
      <w:pPr>
        <w:pStyle w:val="TitleBI"/>
        <w:rPr>
          <w:szCs w:val="20"/>
          <w:lang w:val="en-GB"/>
        </w:rPr>
      </w:pPr>
      <w:r w:rsidRPr="009C48DA">
        <w:rPr>
          <w:szCs w:val="20"/>
          <w:lang w:val="en-GB"/>
        </w:rPr>
        <w:t>The</w:t>
      </w:r>
      <w:r w:rsidRPr="009C48DA" w:rsidR="006D6A27">
        <w:rPr>
          <w:szCs w:val="20"/>
          <w:lang w:val="en-GB"/>
        </w:rPr>
        <w:t xml:space="preserve"> investments </w:t>
      </w:r>
      <w:r w:rsidRPr="009C48DA">
        <w:rPr>
          <w:szCs w:val="20"/>
          <w:lang w:val="en-GB"/>
        </w:rPr>
        <w:t>of</w:t>
      </w:r>
      <w:r w:rsidRPr="009C48DA" w:rsidR="006D6A27">
        <w:rPr>
          <w:szCs w:val="20"/>
          <w:lang w:val="en-GB"/>
        </w:rPr>
        <w:t xml:space="preserve"> the </w:t>
      </w:r>
      <w:bookmarkStart w:name="_9kMI5AN7aXv6AA8BFPLzmlnx822EhdI28" w:id="101"/>
      <w:r w:rsidRPr="009C48DA" w:rsidR="00AF0B9A">
        <w:rPr>
          <w:rFonts w:eastAsia="Calibri" w:cs="Arial"/>
          <w:szCs w:val="20"/>
          <w:lang w:val="en-GB"/>
        </w:rPr>
        <w:t>Bridgepoint</w:t>
      </w:r>
      <w:r w:rsidRPr="009C48DA" w:rsidR="00AF0B9A">
        <w:rPr>
          <w:szCs w:val="20"/>
          <w:lang w:val="en-GB"/>
        </w:rPr>
        <w:t xml:space="preserve"> </w:t>
      </w:r>
      <w:r w:rsidRPr="009C48DA" w:rsidR="006D6A27">
        <w:rPr>
          <w:szCs w:val="20"/>
          <w:lang w:val="en-GB"/>
        </w:rPr>
        <w:t>Funds</w:t>
      </w:r>
      <w:bookmarkEnd w:id="101"/>
      <w:r w:rsidRPr="009C48DA" w:rsidR="006D6A27">
        <w:rPr>
          <w:szCs w:val="20"/>
          <w:lang w:val="en-GB"/>
        </w:rPr>
        <w:t xml:space="preserve"> </w:t>
      </w:r>
      <w:r w:rsidRPr="009C48DA">
        <w:rPr>
          <w:szCs w:val="20"/>
          <w:lang w:val="en-GB"/>
        </w:rPr>
        <w:t>are subject to a number of inherent risks</w:t>
      </w:r>
      <w:r w:rsidRPr="009C48DA" w:rsidR="006D6A27">
        <w:rPr>
          <w:szCs w:val="20"/>
          <w:lang w:val="en-GB"/>
        </w:rPr>
        <w:t>.</w:t>
      </w:r>
    </w:p>
    <w:p w:rsidRPr="009C48DA" w:rsidR="00691201" w:rsidP="00ED663C" w:rsidRDefault="00691201" w14:paraId="32660C08" w14:textId="73C58A1E">
      <w:pPr>
        <w:pStyle w:val="BodyText2SglJ"/>
        <w:keepNext/>
        <w:rPr>
          <w:szCs w:val="20"/>
          <w:lang w:val="en-GB"/>
        </w:rPr>
      </w:pPr>
      <w:r w:rsidRPr="009C48DA">
        <w:rPr>
          <w:szCs w:val="20"/>
          <w:lang w:val="en-GB"/>
        </w:rPr>
        <w:t xml:space="preserve">The results of the Company are highly dependent on the continued ability of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to generate attractive returns from their investments. Investments made by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involve a number of significant risks inherent to private equity and private </w:t>
      </w:r>
      <w:r w:rsidRPr="009C48DA" w:rsidR="00D321CC">
        <w:rPr>
          <w:szCs w:val="20"/>
          <w:lang w:val="en-GB"/>
        </w:rPr>
        <w:t xml:space="preserve">credit </w:t>
      </w:r>
      <w:r w:rsidRPr="009C48DA">
        <w:rPr>
          <w:szCs w:val="20"/>
          <w:lang w:val="en-GB"/>
        </w:rPr>
        <w:t>investing</w:t>
      </w:r>
      <w:r w:rsidRPr="009C48DA" w:rsidR="00C1663A">
        <w:rPr>
          <w:szCs w:val="20"/>
          <w:lang w:val="en-GB"/>
        </w:rPr>
        <w:t>,</w:t>
      </w:r>
      <w:r w:rsidRPr="009C48DA">
        <w:rPr>
          <w:szCs w:val="20"/>
          <w:lang w:val="en-GB"/>
        </w:rPr>
        <w:t xml:space="preserve"> including the following:</w:t>
      </w:r>
    </w:p>
    <w:p w:rsidRPr="009C48DA" w:rsidR="00691201" w:rsidP="003F7555" w:rsidRDefault="00691201" w14:paraId="0FE84C80" w14:textId="77777777">
      <w:pPr>
        <w:pStyle w:val="STBBullet3"/>
        <w:numPr>
          <w:ilvl w:val="0"/>
          <w:numId w:val="32"/>
        </w:numPr>
        <w:rPr>
          <w:szCs w:val="20"/>
          <w:lang w:val="en-GB"/>
        </w:rPr>
      </w:pPr>
      <w:r w:rsidRPr="009C48DA">
        <w:rPr>
          <w:szCs w:val="20"/>
          <w:lang w:val="en-GB"/>
        </w:rPr>
        <w:t>companies in which investments are made may have limited financial resources and may be unable to meet their obligations under their securities, which may be accompanied by a deterioration in the value of their equity securities or any collateral or guarantees provided with respect to their debt;</w:t>
      </w:r>
    </w:p>
    <w:p w:rsidRPr="009C48DA" w:rsidR="00691201" w:rsidP="003F7555" w:rsidRDefault="00691201" w14:paraId="5DCB89D0" w14:textId="77777777">
      <w:pPr>
        <w:pStyle w:val="STBBullet3"/>
        <w:numPr>
          <w:ilvl w:val="0"/>
          <w:numId w:val="32"/>
        </w:numPr>
        <w:rPr>
          <w:szCs w:val="20"/>
          <w:lang w:val="en-GB"/>
        </w:rPr>
      </w:pPr>
      <w:r w:rsidRPr="009C48DA">
        <w:rPr>
          <w:szCs w:val="20"/>
          <w:lang w:val="en-GB"/>
        </w:rPr>
        <w:t xml:space="preserve">companies in which investments are made are more likely to depend on the management talents and efforts of a small group of persons and, as a result, the death, disability, resignation or termination of one or more of those persons could have a material adverse impact on their business and prospects; </w:t>
      </w:r>
    </w:p>
    <w:p w:rsidRPr="009C48DA" w:rsidR="00691201" w:rsidP="003F7555" w:rsidRDefault="00691201" w14:paraId="6472DD0F" w14:textId="77777777">
      <w:pPr>
        <w:pStyle w:val="STBBullet3"/>
        <w:numPr>
          <w:ilvl w:val="0"/>
          <w:numId w:val="32"/>
        </w:numPr>
        <w:rPr>
          <w:szCs w:val="20"/>
          <w:lang w:val="en-GB"/>
        </w:rPr>
      </w:pPr>
      <w:r w:rsidRPr="009C48DA">
        <w:rPr>
          <w:szCs w:val="20"/>
          <w:lang w:val="en-GB"/>
        </w:rPr>
        <w:lastRenderedPageBreak/>
        <w:t>companies in which private equity investments are made may be businesses or divisions acquired from larger operating entities that may require a rebuilding or replacement of financial reporting, information technology, operational and other functions;</w:t>
      </w:r>
    </w:p>
    <w:p w:rsidRPr="009C48DA" w:rsidR="00691201" w:rsidP="003F7555" w:rsidRDefault="00691201" w14:paraId="259762E4" w14:textId="77777777">
      <w:pPr>
        <w:pStyle w:val="STBBullet3"/>
        <w:numPr>
          <w:ilvl w:val="0"/>
          <w:numId w:val="32"/>
        </w:numPr>
        <w:rPr>
          <w:szCs w:val="20"/>
          <w:lang w:val="en-GB"/>
        </w:rPr>
      </w:pPr>
      <w:r w:rsidRPr="009C48DA">
        <w:rPr>
          <w:szCs w:val="20"/>
          <w:lang w:val="en-GB"/>
        </w:rPr>
        <w:t>companies in which investments are made may from time to time be parties to litigation, may be engaged in rapidly changing businesses with products subject to a substantial risk of obsolescence and may require substantial additional capital to support their operations, finance expansion or maintain their competitive position;</w:t>
      </w:r>
    </w:p>
    <w:p w:rsidRPr="009C48DA" w:rsidR="00691201" w:rsidP="003F7555" w:rsidRDefault="00691201" w14:paraId="3BB98185" w14:textId="7F3B8CA4">
      <w:pPr>
        <w:pStyle w:val="STBBullet3"/>
        <w:numPr>
          <w:ilvl w:val="0"/>
          <w:numId w:val="32"/>
        </w:numPr>
        <w:rPr>
          <w:szCs w:val="20"/>
          <w:lang w:val="en-GB"/>
        </w:rPr>
      </w:pPr>
      <w:r w:rsidRPr="009C48DA">
        <w:rPr>
          <w:szCs w:val="20"/>
          <w:lang w:val="en-GB"/>
        </w:rPr>
        <w:t xml:space="preserve">instances of bribery, fraud and other deceptive practices committed by senior management of portfolio companies in which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Funds invest may undermine the due diligence efforts with respect to such companies, and if such bribery, fraud or other deceptive practices are discovered, they may negatively affect the valuation of a fund’s investments, as well as contribute to overall market volatility that can negatively impact a fund’s investment program;</w:t>
      </w:r>
    </w:p>
    <w:p w:rsidRPr="009C48DA" w:rsidR="00691201" w:rsidP="003F7555" w:rsidRDefault="00691201" w14:paraId="56AAAA1A" w14:textId="6F05EAC7">
      <w:pPr>
        <w:pStyle w:val="STBBullet3"/>
        <w:numPr>
          <w:ilvl w:val="0"/>
          <w:numId w:val="32"/>
        </w:numPr>
        <w:rPr>
          <w:szCs w:val="20"/>
          <w:lang w:val="en-GB"/>
        </w:rPr>
      </w:pPr>
      <w:r w:rsidRPr="009C48DA">
        <w:rPr>
          <w:szCs w:val="20"/>
          <w:lang w:val="en-GB"/>
        </w:rPr>
        <w:t xml:space="preserve">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Funds may make investments that they do not advantageously dispose of prior to the date the applicable fund is dissolved, either by expiration of such fund’s term or otherwise, resulting in a lower than expected return on the investments and, potentially, on the fund itself;</w:t>
      </w:r>
    </w:p>
    <w:p w:rsidRPr="009C48DA" w:rsidR="00691201" w:rsidP="003F7555" w:rsidRDefault="00691201" w14:paraId="6C4C78AA" w14:textId="4EE74A14">
      <w:pPr>
        <w:pStyle w:val="STBBullet3"/>
        <w:numPr>
          <w:ilvl w:val="0"/>
          <w:numId w:val="32"/>
        </w:numPr>
        <w:rPr>
          <w:szCs w:val="20"/>
          <w:lang w:val="en-GB"/>
        </w:rPr>
      </w:pPr>
      <w:r w:rsidRPr="009C48DA">
        <w:rPr>
          <w:szCs w:val="20"/>
          <w:lang w:val="en-GB"/>
        </w:rPr>
        <w:t xml:space="preserve">the portfolio companies of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generally have capital structures established on the basis of financial projections based primarily on management’s judgments and assumptions, and general economic conditions and other factors may cause actual performance to fall short of these financial projections, which could cause a substantial decrease in the value of the Group’s investments in the portfolio company and cause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or the Group’s performance to fall short of their expectations; </w:t>
      </w:r>
    </w:p>
    <w:p w:rsidRPr="009C48DA" w:rsidR="00691201" w:rsidP="003F7555" w:rsidRDefault="00691201" w14:paraId="4CBE0E10" w14:textId="42C3A21D">
      <w:pPr>
        <w:pStyle w:val="STBBullet3"/>
        <w:numPr>
          <w:ilvl w:val="0"/>
          <w:numId w:val="32"/>
        </w:numPr>
        <w:rPr>
          <w:szCs w:val="20"/>
          <w:lang w:val="en-GB"/>
        </w:rPr>
      </w:pPr>
      <w:r w:rsidRPr="009C48DA">
        <w:rPr>
          <w:szCs w:val="20"/>
          <w:lang w:val="en-GB"/>
        </w:rPr>
        <w:t xml:space="preserve">executive officers, directors and employees of an equity sponsor may be named as defendants in litigation involving a company in which an investment is made or is being made, and the Group or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Funds may indemnify such executive officers, directors or employees for liability relating to such litigation;</w:t>
      </w:r>
    </w:p>
    <w:p w:rsidRPr="009C48DA" w:rsidR="00691201" w:rsidP="003F7555" w:rsidRDefault="00691201" w14:paraId="322E62D7" w14:textId="77777777">
      <w:pPr>
        <w:pStyle w:val="STBBullet3"/>
        <w:numPr>
          <w:ilvl w:val="0"/>
          <w:numId w:val="32"/>
        </w:numPr>
        <w:rPr>
          <w:szCs w:val="20"/>
          <w:lang w:val="en-GB"/>
        </w:rPr>
      </w:pPr>
      <w:r w:rsidRPr="009C48DA">
        <w:rPr>
          <w:szCs w:val="20"/>
          <w:lang w:val="en-GB"/>
        </w:rPr>
        <w:t>the Group operates funds that invest in businesses that operate in a variety of industries that are subject to extensive domestic and foreign regulation (including companies that supply services to governmental agencies), such as the healthcare, medical technology and pharmaceutical industry, the financial services industry and the aerospace industry, which may involve greater risk due to rapidly changing market and governmental conditions in those sectors;</w:t>
      </w:r>
    </w:p>
    <w:p w:rsidRPr="009C48DA" w:rsidR="00691201" w:rsidP="003F7555" w:rsidRDefault="00691201" w14:paraId="3892A294" w14:textId="3B23A947">
      <w:pPr>
        <w:pStyle w:val="STBBullet3"/>
        <w:numPr>
          <w:ilvl w:val="0"/>
          <w:numId w:val="32"/>
        </w:numPr>
        <w:rPr>
          <w:szCs w:val="20"/>
          <w:lang w:val="en-GB"/>
        </w:rPr>
      </w:pPr>
      <w:r w:rsidRPr="009C48DA">
        <w:rPr>
          <w:szCs w:val="20"/>
          <w:lang w:val="en-GB"/>
        </w:rPr>
        <w:t xml:space="preserve">the transactions of the Group and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involve complex tax structuring that could be challenged or disregarded, which may result in losing treaty benefits or would otherwise adversely impact the relevant investments; and </w:t>
      </w:r>
    </w:p>
    <w:p w:rsidRPr="009C48DA" w:rsidR="00691201" w:rsidP="003F7555" w:rsidRDefault="00691201" w14:paraId="6C73E4C0" w14:textId="394CF653">
      <w:pPr>
        <w:pStyle w:val="STBBullet3"/>
        <w:numPr>
          <w:ilvl w:val="0"/>
          <w:numId w:val="32"/>
        </w:numPr>
        <w:rPr>
          <w:szCs w:val="20"/>
          <w:lang w:val="en-GB"/>
        </w:rPr>
      </w:pPr>
      <w:r w:rsidRPr="009C48DA">
        <w:rPr>
          <w:szCs w:val="20"/>
          <w:lang w:val="en-GB"/>
        </w:rPr>
        <w:t xml:space="preserve">significant failures of the portfolio companies of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to comply with laws and regulations applicable to them could affect the ability of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Funds to invest in other companies in certain industries in the future and could harm the Group’s reputation.</w:t>
      </w:r>
    </w:p>
    <w:p w:rsidRPr="009C48DA" w:rsidR="00691201" w:rsidP="00691201" w:rsidRDefault="00691201" w14:paraId="351B838D" w14:textId="601796A7">
      <w:pPr>
        <w:pStyle w:val="TitleBI"/>
        <w:rPr>
          <w:szCs w:val="20"/>
          <w:lang w:val="en-GB"/>
        </w:rPr>
      </w:pPr>
      <w:r w:rsidRPr="009C48DA">
        <w:rPr>
          <w:szCs w:val="20"/>
          <w:lang w:val="en-GB"/>
        </w:rPr>
        <w:t xml:space="preserve">The equity investments of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and many of the debt investments made by </w:t>
      </w:r>
      <w:r w:rsidRPr="009C48DA" w:rsidR="006D5BFE">
        <w:rPr>
          <w:lang w:val="en-GB"/>
        </w:rPr>
        <w:t>Bridgepoint</w:t>
      </w:r>
      <w:r w:rsidRPr="009C48DA">
        <w:rPr>
          <w:szCs w:val="20"/>
          <w:lang w:val="en-GB"/>
        </w:rPr>
        <w:t xml:space="preserve">’s credit funds often rank junior to investments made by others, exposing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Funds to greater risk of losing its investment.</w:t>
      </w:r>
    </w:p>
    <w:p w:rsidRPr="009C48DA" w:rsidR="00691201" w:rsidP="00691201" w:rsidRDefault="00691201" w14:paraId="7B927DFA" w14:textId="0A0060A4">
      <w:pPr>
        <w:pStyle w:val="BodyText2SglJ"/>
        <w:rPr>
          <w:szCs w:val="20"/>
          <w:lang w:val="en-GB"/>
        </w:rPr>
      </w:pPr>
      <w:r w:rsidRPr="009C48DA">
        <w:rPr>
          <w:szCs w:val="20"/>
          <w:lang w:val="en-GB"/>
        </w:rPr>
        <w:t xml:space="preserve">In many cases, the companies in which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invest have, or are permitted to have, outstanding indebtedness or equity securities that rank senior to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investment. By their terms, such instruments may provide that their holders are entitled to receive payments of distributions, interest or principal on or before the dates on which payments are to be made in respect of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investment. Generally, there will be no collateral to protect an investment by a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 once it has been made. Also, in the event of an insolvency, liquidation, dissolution, reorganisation or bankruptcy of a company in which an investment is made, holders of securities ranking senior to the investment of a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 would typically be entitled to receive payment in full before distributions could be made in respect of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investment. In addition, debt investments made by the </w:t>
      </w:r>
      <w:r w:rsidRPr="009C48DA" w:rsidR="00AF0B9A">
        <w:rPr>
          <w:rFonts w:eastAsia="Calibri" w:cs="Arial"/>
          <w:szCs w:val="20"/>
          <w:lang w:val="en-GB"/>
        </w:rPr>
        <w:lastRenderedPageBreak/>
        <w:t>Bridgepoint</w:t>
      </w:r>
      <w:r w:rsidRPr="009C48DA" w:rsidR="00AF0B9A">
        <w:rPr>
          <w:szCs w:val="20"/>
          <w:lang w:val="en-GB"/>
        </w:rPr>
        <w:t xml:space="preserve"> </w:t>
      </w:r>
      <w:r w:rsidRPr="009C48DA">
        <w:rPr>
          <w:szCs w:val="20"/>
          <w:lang w:val="en-GB"/>
        </w:rPr>
        <w:t xml:space="preserve">Funds in portfolio companies may be equitably subordinated to the debt investments made by third parties in the portfolio companies. After repaying senior security holders, the portfolio company may not have any remaining assets to use for repaying amounts owed in respect of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Funds’ investment. To the extent that any assets remain, holders of claims that rank equally with the investment would be entitled to share on an equal and rat</w:t>
      </w:r>
      <w:r w:rsidRPr="009C48DA" w:rsidR="00C1663A">
        <w:rPr>
          <w:szCs w:val="20"/>
          <w:lang w:val="en-GB"/>
        </w:rPr>
        <w:t>e</w:t>
      </w:r>
      <w:r w:rsidRPr="009C48DA">
        <w:rPr>
          <w:szCs w:val="20"/>
          <w:lang w:val="en-GB"/>
        </w:rPr>
        <w:t xml:space="preserve">able basis in distributions that are made out of those assets. Also, during periods of financial distress or following insolvency, the ability of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Funds to influence a company’s affairs and to take actions to protect an investment may be substantially less than that of the senior creditors.</w:t>
      </w:r>
    </w:p>
    <w:p w:rsidRPr="009C48DA" w:rsidR="00691201" w:rsidP="00691201" w:rsidRDefault="00691201" w14:paraId="3DF7E425" w14:textId="06276DB6">
      <w:pPr>
        <w:pStyle w:val="TitleBI"/>
        <w:rPr>
          <w:szCs w:val="20"/>
          <w:lang w:val="en-GB"/>
        </w:rPr>
      </w:pPr>
      <w:r w:rsidRPr="009C48DA">
        <w:rPr>
          <w:szCs w:val="20"/>
          <w:lang w:val="en-GB"/>
        </w:rPr>
        <w:t xml:space="preserve">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Funds invest in relatively high-risk, illiquid assets, and the Group may fail to realise any profits from these assets for a considerable period of time or lose some or all of the principal amount invested in these assets.</w:t>
      </w:r>
    </w:p>
    <w:p w:rsidRPr="009C48DA" w:rsidR="00691201" w:rsidP="00691201" w:rsidRDefault="00691201" w14:paraId="69F830E3" w14:textId="0BCA0139">
      <w:pPr>
        <w:pStyle w:val="BodyText2SglJ"/>
        <w:rPr>
          <w:szCs w:val="20"/>
          <w:lang w:val="en-GB"/>
        </w:rPr>
      </w:pPr>
      <w:r w:rsidRPr="009C48DA">
        <w:rPr>
          <w:szCs w:val="20"/>
          <w:lang w:val="en-GB"/>
        </w:rPr>
        <w:t xml:space="preserve">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w:t>
      </w:r>
      <w:r w:rsidRPr="009C48DA" w:rsidR="003C36B4">
        <w:rPr>
          <w:szCs w:val="20"/>
          <w:lang w:val="en-GB"/>
        </w:rPr>
        <w:t xml:space="preserve">generally </w:t>
      </w:r>
      <w:r w:rsidRPr="009C48DA">
        <w:rPr>
          <w:szCs w:val="20"/>
          <w:lang w:val="en-GB"/>
        </w:rPr>
        <w:t xml:space="preserve">invest in securities that are not publicly traded. In </w:t>
      </w:r>
      <w:r w:rsidRPr="009C48DA" w:rsidR="00F81FFC">
        <w:rPr>
          <w:szCs w:val="20"/>
          <w:lang w:val="en-GB"/>
        </w:rPr>
        <w:t>some</w:t>
      </w:r>
      <w:r w:rsidRPr="009C48DA">
        <w:rPr>
          <w:szCs w:val="20"/>
          <w:lang w:val="en-GB"/>
        </w:rPr>
        <w:t xml:space="preserve"> cases,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w:t>
      </w:r>
      <w:r w:rsidRPr="009C48DA" w:rsidR="00F81FFC">
        <w:rPr>
          <w:szCs w:val="20"/>
          <w:lang w:val="en-GB"/>
        </w:rPr>
        <w:t>could</w:t>
      </w:r>
      <w:r w:rsidRPr="009C48DA">
        <w:rPr>
          <w:szCs w:val="20"/>
          <w:lang w:val="en-GB"/>
        </w:rPr>
        <w:t xml:space="preserve"> be prohibited by contract or by applicable securities laws from selling such securities for a period of time.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will generally not be able to sell these securities publicly unless their sale is registered under applicable securities laws, or unless an exemption from such registration is available. The ability of many of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particularly the private equity funds, to dispose of investments is </w:t>
      </w:r>
      <w:r w:rsidRPr="009C48DA" w:rsidR="00FC2157">
        <w:rPr>
          <w:szCs w:val="20"/>
          <w:lang w:val="en-GB"/>
        </w:rPr>
        <w:t xml:space="preserve">in some instances </w:t>
      </w:r>
      <w:r w:rsidRPr="009C48DA">
        <w:rPr>
          <w:szCs w:val="20"/>
          <w:lang w:val="en-GB"/>
        </w:rPr>
        <w:t xml:space="preserve">dependent on the public equity markets. For example, the ability to realise any value from an investment may depend upon the ability to complete an initial public offering of the portfolio company in which such investment is held. Even if the securities are publicly traded, large holdings of securities can often be disposed of only over a substantial length of time, exposing investment returns to the risk of downward movement in market prices during the intended disposition period. Moreover, because the investment strategy of certain of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can result in the Group having representation on such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portfolio company boards,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may be restricted in their ability to effect such sales during certain time periods. Accordingly, under certain conditions,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may be forced to either sell securities at lower prices than they had expected to realise or defer, potentially for a considerable period of time, sales that they had planned to make. Consequently, there can be no assurance that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Funds will be able to realise such investments in a timely manner and as a result the timing of distributions to the Group is uncertain and unpredictable.</w:t>
      </w:r>
    </w:p>
    <w:p w:rsidRPr="009C48DA" w:rsidR="00691201" w:rsidP="00691201" w:rsidRDefault="00691201" w14:paraId="71785F4F" w14:textId="7F63B50B">
      <w:pPr>
        <w:pStyle w:val="BodyText2SglJ"/>
        <w:rPr>
          <w:szCs w:val="20"/>
          <w:lang w:val="en-GB"/>
        </w:rPr>
      </w:pPr>
      <w:r w:rsidRPr="009C48DA">
        <w:rPr>
          <w:szCs w:val="20"/>
          <w:lang w:val="en-GB"/>
        </w:rPr>
        <w:t xml:space="preserve">In addition, market conditions and the regulatory environment can also delay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ability to exit and realise value from their investments. For example, rising interest rates and challenging credit markets may make it difficult for potential buyers to raise sufficient capital to purchase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investments. Government policies regarding certain regulations, such as antitrust law, or restrictions on foreign investment in certain portfolio companies or assets of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can also limit exit opportunities. As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have a finite term,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could also be forced to dispose of investments sooner than would be otherwise desirable. Accordingly, under certain conditions, the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Funds may be forced to either sell their investments at lower prices than they had expected to realise or defer sales that they had planned to make, potentially for a considerable period of time. Moreover, the Group has made and expects to continue to make significant capital investments in current and future funds and other strategies. Contributing capital to these funds is risky, and the Group may lose some or all of the principal amount of their investments.</w:t>
      </w:r>
    </w:p>
    <w:p w:rsidRPr="009C48DA" w:rsidR="00691201" w:rsidP="00691201" w:rsidRDefault="00691201" w14:paraId="31ED5AA7" w14:textId="77777777">
      <w:pPr>
        <w:pStyle w:val="BodyText2SglJ"/>
        <w:rPr>
          <w:szCs w:val="20"/>
          <w:lang w:val="en-GB"/>
        </w:rPr>
      </w:pPr>
      <w:r w:rsidRPr="009C48DA">
        <w:rPr>
          <w:szCs w:val="20"/>
          <w:lang w:val="en-GB"/>
        </w:rPr>
        <w:t>If any of the foregoing were to materialise, the Group’s business, revenue, net income and cash flows could be materially adversely affected.</w:t>
      </w:r>
    </w:p>
    <w:p w:rsidRPr="009C48DA" w:rsidR="00691201" w:rsidP="00691201" w:rsidRDefault="00691201" w14:paraId="79BB835E" w14:textId="1B04457B">
      <w:pPr>
        <w:pStyle w:val="TitleBI"/>
        <w:rPr>
          <w:szCs w:val="20"/>
          <w:lang w:val="en-GB"/>
        </w:rPr>
      </w:pPr>
      <w:r w:rsidRPr="009C48DA">
        <w:rPr>
          <w:szCs w:val="20"/>
          <w:lang w:val="en-GB"/>
        </w:rPr>
        <w:t xml:space="preserve">Certain of the </w:t>
      </w:r>
      <w:r w:rsidRPr="009C48DA" w:rsidR="00AF0B9A">
        <w:rPr>
          <w:rFonts w:eastAsia="Calibri" w:cs="Arial"/>
          <w:szCs w:val="20"/>
          <w:lang w:val="en-GB"/>
        </w:rPr>
        <w:t>Bridgepoint</w:t>
      </w:r>
      <w:r w:rsidRPr="009C48DA" w:rsidR="00AF0B9A">
        <w:rPr>
          <w:szCs w:val="20"/>
          <w:lang w:val="en-GB"/>
        </w:rPr>
        <w:t xml:space="preserve"> </w:t>
      </w:r>
      <w:r w:rsidRPr="009C48DA" w:rsidR="003C36B4">
        <w:rPr>
          <w:szCs w:val="20"/>
          <w:lang w:val="en-GB"/>
        </w:rPr>
        <w:t xml:space="preserve">private </w:t>
      </w:r>
      <w:r w:rsidRPr="009C48DA">
        <w:rPr>
          <w:szCs w:val="20"/>
          <w:lang w:val="en-GB"/>
        </w:rPr>
        <w:t xml:space="preserve">credit funds hold high-yield, below investment grade or unrated debt, which generally entail greater risk, </w:t>
      </w:r>
      <w:r w:rsidRPr="009C48DA" w:rsidR="004374B1">
        <w:rPr>
          <w:szCs w:val="20"/>
          <w:lang w:val="en-GB"/>
        </w:rPr>
        <w:t>and if those risks are realis</w:t>
      </w:r>
      <w:r w:rsidRPr="009C48DA">
        <w:rPr>
          <w:szCs w:val="20"/>
          <w:lang w:val="en-GB"/>
        </w:rPr>
        <w:t>ed it could materially and adversely affect the Group’s revenue, net income and cash flow</w:t>
      </w:r>
      <w:r w:rsidRPr="009C48DA" w:rsidR="00392042">
        <w:rPr>
          <w:szCs w:val="20"/>
          <w:lang w:val="en-GB"/>
        </w:rPr>
        <w:t>s</w:t>
      </w:r>
      <w:r w:rsidRPr="009C48DA">
        <w:rPr>
          <w:szCs w:val="20"/>
          <w:lang w:val="en-GB"/>
        </w:rPr>
        <w:t>.</w:t>
      </w:r>
    </w:p>
    <w:p w:rsidRPr="009C48DA" w:rsidR="00691201" w:rsidP="00691201" w:rsidRDefault="00691201" w14:paraId="29ABB106" w14:textId="059867CF">
      <w:pPr>
        <w:pStyle w:val="BodyText2SglJ"/>
        <w:rPr>
          <w:szCs w:val="20"/>
          <w:lang w:val="en-GB"/>
        </w:rPr>
      </w:pPr>
      <w:r w:rsidRPr="009C48DA">
        <w:rPr>
          <w:szCs w:val="20"/>
          <w:lang w:val="en-GB"/>
        </w:rPr>
        <w:t xml:space="preserve">Certain of the </w:t>
      </w:r>
      <w:r w:rsidRPr="009C48DA" w:rsidR="00AF0B9A">
        <w:rPr>
          <w:rFonts w:eastAsia="Calibri" w:cs="Arial"/>
          <w:szCs w:val="20"/>
          <w:lang w:val="en-GB"/>
        </w:rPr>
        <w:t>Bridgepoint</w:t>
      </w:r>
      <w:r w:rsidRPr="009C48DA" w:rsidR="00AF0B9A">
        <w:rPr>
          <w:szCs w:val="20"/>
          <w:lang w:val="en-GB"/>
        </w:rPr>
        <w:t xml:space="preserve"> </w:t>
      </w:r>
      <w:r w:rsidRPr="009C48DA" w:rsidR="003C36B4">
        <w:rPr>
          <w:szCs w:val="20"/>
          <w:lang w:val="en-GB"/>
        </w:rPr>
        <w:t xml:space="preserve">private </w:t>
      </w:r>
      <w:r w:rsidRPr="009C48DA">
        <w:rPr>
          <w:szCs w:val="20"/>
          <w:lang w:val="en-GB"/>
        </w:rPr>
        <w:t>credit funds invest in high-yield, below investment grade or unrated debt, including corporate loans and bonds, each of which generally involves a higher degre</w:t>
      </w:r>
      <w:r w:rsidRPr="009C48DA" w:rsidR="00626A7E">
        <w:rPr>
          <w:szCs w:val="20"/>
          <w:lang w:val="en-GB"/>
        </w:rPr>
        <w:t xml:space="preserve">e of risk than investment grade </w:t>
      </w:r>
      <w:r w:rsidRPr="009C48DA">
        <w:rPr>
          <w:szCs w:val="20"/>
          <w:lang w:val="en-GB"/>
        </w:rPr>
        <w:t>rated debt, and may be less liqui</w:t>
      </w:r>
      <w:r w:rsidRPr="009C48DA" w:rsidR="00626A7E">
        <w:rPr>
          <w:szCs w:val="20"/>
          <w:lang w:val="en-GB"/>
        </w:rPr>
        <w:t xml:space="preserve">d. Issuers of high yield, below </w:t>
      </w:r>
      <w:r w:rsidRPr="009C48DA">
        <w:rPr>
          <w:szCs w:val="20"/>
          <w:lang w:val="en-GB"/>
        </w:rPr>
        <w:t>i</w:t>
      </w:r>
      <w:r w:rsidRPr="009C48DA" w:rsidR="00626A7E">
        <w:rPr>
          <w:szCs w:val="20"/>
          <w:lang w:val="en-GB"/>
        </w:rPr>
        <w:t xml:space="preserve">nvestment </w:t>
      </w:r>
      <w:r w:rsidRPr="009C48DA">
        <w:rPr>
          <w:szCs w:val="20"/>
          <w:lang w:val="en-GB"/>
        </w:rPr>
        <w:t>grade or unrated debt may be highly leveraged, and their relatively high debt-to-equity ratios create increased risks that their operations might not generate sufficient cash flow</w:t>
      </w:r>
      <w:r w:rsidRPr="009C48DA" w:rsidR="00392042">
        <w:rPr>
          <w:szCs w:val="20"/>
          <w:lang w:val="en-GB"/>
        </w:rPr>
        <w:t>s</w:t>
      </w:r>
      <w:r w:rsidRPr="009C48DA">
        <w:rPr>
          <w:szCs w:val="20"/>
          <w:lang w:val="en-GB"/>
        </w:rPr>
        <w:t xml:space="preserve"> to service their debt obligations. As a result, high yield, below</w:t>
      </w:r>
      <w:r w:rsidRPr="009C48DA" w:rsidR="00626A7E">
        <w:rPr>
          <w:szCs w:val="20"/>
          <w:lang w:val="en-GB"/>
        </w:rPr>
        <w:t xml:space="preserve"> investment </w:t>
      </w:r>
      <w:r w:rsidRPr="009C48DA">
        <w:rPr>
          <w:szCs w:val="20"/>
          <w:lang w:val="en-GB"/>
        </w:rPr>
        <w:t>grade or unrated debt is of</w:t>
      </w:r>
      <w:r w:rsidRPr="009C48DA" w:rsidR="00626A7E">
        <w:rPr>
          <w:szCs w:val="20"/>
          <w:lang w:val="en-GB"/>
        </w:rPr>
        <w:t>ten less liquid than investment grade r</w:t>
      </w:r>
      <w:r w:rsidRPr="009C48DA">
        <w:rPr>
          <w:szCs w:val="20"/>
          <w:lang w:val="en-GB"/>
        </w:rPr>
        <w:t xml:space="preserve">ated debt. Also, investments may be made in loans and other forms of debt that are not marketable securities and therefore are not liquid. In the absence of appropriate hedging measures, changes in interest rates </w:t>
      </w:r>
      <w:r w:rsidRPr="009C48DA" w:rsidR="00C1663A">
        <w:rPr>
          <w:szCs w:val="20"/>
          <w:lang w:val="en-GB"/>
        </w:rPr>
        <w:t xml:space="preserve">will </w:t>
      </w:r>
      <w:r w:rsidRPr="009C48DA">
        <w:rPr>
          <w:szCs w:val="20"/>
          <w:lang w:val="en-GB"/>
        </w:rPr>
        <w:lastRenderedPageBreak/>
        <w:t xml:space="preserve">generally </w:t>
      </w:r>
      <w:r w:rsidRPr="009C48DA" w:rsidR="008B5DAC">
        <w:rPr>
          <w:szCs w:val="20"/>
          <w:lang w:val="en-GB"/>
        </w:rPr>
        <w:t>cause the value of fixed</w:t>
      </w:r>
      <w:r w:rsidRPr="009C48DA" w:rsidR="00626A7E">
        <w:rPr>
          <w:szCs w:val="20"/>
          <w:lang w:val="en-GB"/>
        </w:rPr>
        <w:t>-r</w:t>
      </w:r>
      <w:r w:rsidRPr="009C48DA">
        <w:rPr>
          <w:szCs w:val="20"/>
          <w:lang w:val="en-GB"/>
        </w:rPr>
        <w:t>ate debt investments to vary inversely to such changes. The obligor of a debt security or instrument may not be able or willing to pay interest or to repay principal when due in accordance with the terms of the associated agreement and collateral may not be available or sufficient to cover such liabilities. Commercial bank lenders and other creditors may be able to contest payments to the holders of other debt obligations of the same obligor in the event of default under their commercial bank loan agreements. Sub-participation interests in syndicated debt may be subject to certain additional risks as a result of having no direct contractual relationship with underlying borrowers. Debt securities and instruments may be rated below investment grade by recognised rating agencies</w:t>
      </w:r>
      <w:r w:rsidRPr="009C48DA" w:rsidR="007A03DC">
        <w:rPr>
          <w:szCs w:val="20"/>
          <w:lang w:val="en-GB"/>
        </w:rPr>
        <w:t>,</w:t>
      </w:r>
      <w:r w:rsidRPr="009C48DA">
        <w:rPr>
          <w:szCs w:val="20"/>
          <w:lang w:val="en-GB"/>
        </w:rPr>
        <w:t xml:space="preserve"> or unrated</w:t>
      </w:r>
      <w:r w:rsidRPr="009C48DA" w:rsidR="007A03DC">
        <w:rPr>
          <w:szCs w:val="20"/>
          <w:lang w:val="en-GB"/>
        </w:rPr>
        <w:t>,</w:t>
      </w:r>
      <w:r w:rsidRPr="009C48DA">
        <w:rPr>
          <w:szCs w:val="20"/>
          <w:lang w:val="en-GB"/>
        </w:rPr>
        <w:t xml:space="preserve"> and face ongoing uncertainties and exposure to adverse business, financial or economic conditions and the issuer</w:t>
      </w:r>
      <w:r w:rsidRPr="009C48DA" w:rsidR="000737A5">
        <w:rPr>
          <w:szCs w:val="20"/>
          <w:lang w:val="en-GB"/>
        </w:rPr>
        <w:t>’</w:t>
      </w:r>
      <w:r w:rsidRPr="009C48DA">
        <w:rPr>
          <w:szCs w:val="20"/>
          <w:lang w:val="en-GB"/>
        </w:rPr>
        <w:t>s failure to make timely interest and principal payments.</w:t>
      </w:r>
    </w:p>
    <w:p w:rsidRPr="009C48DA" w:rsidR="00691201" w:rsidP="00691201" w:rsidRDefault="00691201" w14:paraId="3AB30108" w14:textId="64274A9E">
      <w:pPr>
        <w:pStyle w:val="TitleBI"/>
        <w:rPr>
          <w:szCs w:val="20"/>
          <w:lang w:val="en-GB"/>
        </w:rPr>
      </w:pPr>
      <w:r w:rsidRPr="009C48DA">
        <w:rPr>
          <w:szCs w:val="20"/>
          <w:lang w:val="en-GB"/>
        </w:rPr>
        <w:t xml:space="preserve">The growth equity strategy of certain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invests in emerging and less established companies. </w:t>
      </w:r>
    </w:p>
    <w:p w:rsidRPr="009C48DA" w:rsidR="00691201" w:rsidP="00691201" w:rsidRDefault="00691201" w14:paraId="003B5F2F" w14:textId="3F5F5936">
      <w:pPr>
        <w:pStyle w:val="BodyText2SglJ"/>
        <w:rPr>
          <w:szCs w:val="20"/>
          <w:lang w:val="en-GB"/>
        </w:rPr>
      </w:pPr>
      <w:r w:rsidRPr="009C48DA">
        <w:rPr>
          <w:szCs w:val="20"/>
          <w:lang w:val="en-GB"/>
        </w:rPr>
        <w:t xml:space="preserve">The </w:t>
      </w:r>
      <w:r w:rsidRPr="009C48DA" w:rsidR="008453E7">
        <w:rPr>
          <w:rFonts w:eastAsia="Calibri" w:cs="Arial"/>
          <w:szCs w:val="20"/>
          <w:lang w:val="en-GB"/>
        </w:rPr>
        <w:t>Bridgepoint</w:t>
      </w:r>
      <w:r w:rsidRPr="009C48DA" w:rsidR="008453E7">
        <w:rPr>
          <w:szCs w:val="20"/>
          <w:lang w:val="en-GB"/>
        </w:rPr>
        <w:t xml:space="preserve"> </w:t>
      </w:r>
      <w:r w:rsidRPr="009C48DA" w:rsidR="00725970">
        <w:rPr>
          <w:szCs w:val="20"/>
          <w:lang w:val="en-GB"/>
        </w:rPr>
        <w:t>G</w:t>
      </w:r>
      <w:r w:rsidRPr="009C48DA">
        <w:rPr>
          <w:szCs w:val="20"/>
          <w:lang w:val="en-GB"/>
        </w:rPr>
        <w:t>rowth equity funds may make investments in companies that are in a</w:t>
      </w:r>
      <w:r w:rsidRPr="009C48DA" w:rsidR="00F81FFC">
        <w:rPr>
          <w:szCs w:val="20"/>
          <w:lang w:val="en-GB"/>
        </w:rPr>
        <w:t>n</w:t>
      </w:r>
      <w:r w:rsidRPr="009C48DA">
        <w:rPr>
          <w:szCs w:val="20"/>
          <w:lang w:val="en-GB"/>
        </w:rPr>
        <w:t xml:space="preserve"> early stage of development. These companies are often characterised by short operating histories, quickly evolving markets, management teams that may have limited experience working together and, in many cases, negative cash flow, all of which enhance the difficulty of evaluating these investment opportunities and the ultimate success of such investments. Other substantial operational risks to which such companies are subject include uncertain market acceptance of the company’s products or services, a high degree of regulatory risk for new or untried or untested business models, products and services, high levels of competition among similarly situated companies, new competing products, lower barriers to market entry and downward pricing pressure, lower capitalisations and fewer financial resources, the potential for rapid organisational or strategic change and susceptibility to personal misconduct by or departure of key executives or founders. In addition, growth equity companies may be more susceptible to macroeconomic effects and industry downturns, and their valuations may be more volatile depending on the achievement of milestones, such as</w:t>
      </w:r>
      <w:r w:rsidRPr="009C48DA" w:rsidR="00626A7E">
        <w:rPr>
          <w:szCs w:val="20"/>
          <w:lang w:val="en-GB"/>
        </w:rPr>
        <w:t xml:space="preserve"> receiving a governmental licenc</w:t>
      </w:r>
      <w:r w:rsidRPr="009C48DA">
        <w:rPr>
          <w:szCs w:val="20"/>
          <w:lang w:val="en-GB"/>
        </w:rPr>
        <w:t>e or approval.</w:t>
      </w:r>
    </w:p>
    <w:p w:rsidRPr="009C48DA" w:rsidR="006D6A27" w:rsidP="000F2378" w:rsidRDefault="006D6A27" w14:paraId="5290128B" w14:textId="42A84F1D">
      <w:pPr>
        <w:pStyle w:val="TitleBI"/>
        <w:rPr>
          <w:szCs w:val="20"/>
          <w:lang w:val="en-GB"/>
        </w:rPr>
      </w:pPr>
      <w:r w:rsidRPr="009C48DA">
        <w:rPr>
          <w:szCs w:val="20"/>
          <w:lang w:val="en-GB"/>
        </w:rPr>
        <w:t xml:space="preserve">The </w:t>
      </w:r>
      <w:r w:rsidRPr="009C48DA" w:rsidR="008453E7">
        <w:rPr>
          <w:rFonts w:eastAsia="Calibri" w:cs="Arial"/>
          <w:szCs w:val="20"/>
          <w:lang w:val="en-GB"/>
        </w:rPr>
        <w:t>Bridgepoint</w:t>
      </w:r>
      <w:r w:rsidRPr="009C48DA" w:rsidR="008453E7">
        <w:rPr>
          <w:szCs w:val="20"/>
          <w:lang w:val="en-GB"/>
        </w:rPr>
        <w:t xml:space="preserve"> </w:t>
      </w:r>
      <w:r w:rsidRPr="009C48DA" w:rsidR="00C1663A">
        <w:rPr>
          <w:szCs w:val="20"/>
          <w:lang w:val="en-GB"/>
        </w:rPr>
        <w:t xml:space="preserve">Funds </w:t>
      </w:r>
      <w:r w:rsidRPr="009C48DA">
        <w:rPr>
          <w:szCs w:val="20"/>
          <w:lang w:val="en-GB"/>
        </w:rPr>
        <w:t>often pursue investment opportunities that involve business, regulatory, legal or other complexities.</w:t>
      </w:r>
    </w:p>
    <w:p w:rsidRPr="009C48DA" w:rsidR="006D6A27" w:rsidP="00676CA5" w:rsidRDefault="006D6A27" w14:paraId="7C24533B" w14:textId="3027A99C">
      <w:pPr>
        <w:pStyle w:val="BodyText2SglJ"/>
        <w:rPr>
          <w:rFonts w:eastAsia="Calibri" w:cs="Arial"/>
          <w:szCs w:val="20"/>
          <w:lang w:val="en-GB"/>
        </w:rPr>
      </w:pPr>
      <w:r w:rsidRPr="009C48DA">
        <w:rPr>
          <w:rFonts w:eastAsia="Calibri" w:cs="Arial"/>
          <w:szCs w:val="20"/>
          <w:lang w:val="en-GB"/>
        </w:rPr>
        <w:t xml:space="preserve">As an element of the Group’s investment style, </w:t>
      </w:r>
      <w:r w:rsidRPr="009C48DA" w:rsidR="00C1663A">
        <w:rPr>
          <w:rFonts w:eastAsia="Calibri" w:cs="Arial"/>
          <w:szCs w:val="20"/>
          <w:lang w:val="en-GB"/>
        </w:rPr>
        <w:t xml:space="preserve">the </w:t>
      </w:r>
      <w:r w:rsidRPr="009C48DA" w:rsidR="008453E7">
        <w:rPr>
          <w:rFonts w:eastAsia="Calibri" w:cs="Arial"/>
          <w:szCs w:val="20"/>
          <w:lang w:val="en-GB"/>
        </w:rPr>
        <w:t xml:space="preserve">Bridgepoint </w:t>
      </w:r>
      <w:r w:rsidRPr="009C48DA" w:rsidR="00C1663A">
        <w:rPr>
          <w:rFonts w:eastAsia="Calibri" w:cs="Arial"/>
          <w:szCs w:val="20"/>
          <w:lang w:val="en-GB"/>
        </w:rPr>
        <w:t>Funds</w:t>
      </w:r>
      <w:r w:rsidRPr="009C48DA">
        <w:rPr>
          <w:rFonts w:eastAsia="Calibri" w:cs="Arial"/>
          <w:szCs w:val="20"/>
          <w:lang w:val="en-GB"/>
        </w:rPr>
        <w:t xml:space="preserve"> often pursue complex investment opportunities. This can often take the form of substantial business, regulatory or legal complexity that </w:t>
      </w:r>
      <w:r w:rsidRPr="009C48DA" w:rsidR="003F3801">
        <w:rPr>
          <w:rFonts w:eastAsia="Calibri" w:cs="Arial"/>
          <w:szCs w:val="20"/>
          <w:lang w:val="en-GB"/>
        </w:rPr>
        <w:t xml:space="preserve">may </w:t>
      </w:r>
      <w:r w:rsidRPr="009C48DA">
        <w:rPr>
          <w:rFonts w:eastAsia="Calibri" w:cs="Arial"/>
          <w:szCs w:val="20"/>
          <w:lang w:val="en-GB"/>
        </w:rPr>
        <w:t>deter other investment managers. The Group’s tolerance for complexity presents risks, as such transactions can be more difficult, expensive and time</w:t>
      </w:r>
      <w:r w:rsidRPr="009C48DA" w:rsidR="008F3B48">
        <w:rPr>
          <w:rFonts w:eastAsia="Calibri" w:cs="Arial"/>
          <w:szCs w:val="20"/>
          <w:lang w:val="en-GB"/>
        </w:rPr>
        <w:t>-</w:t>
      </w:r>
      <w:r w:rsidRPr="009C48DA">
        <w:rPr>
          <w:rFonts w:eastAsia="Calibri" w:cs="Arial"/>
          <w:szCs w:val="20"/>
          <w:lang w:val="en-GB"/>
        </w:rPr>
        <w:t xml:space="preserve">consuming to finance and execute; it can be more difficult to manage or realise value from the assets acquired in such transactions; and such transactions sometimes entail a higher level of regulatory scrutiny, the application of complex tax laws or a greater risk of contingent liabilities. The transactions of the </w:t>
      </w:r>
      <w:r w:rsidRPr="009C48DA" w:rsidR="008453E7">
        <w:rPr>
          <w:rFonts w:eastAsia="Calibri" w:cs="Arial"/>
          <w:szCs w:val="20"/>
          <w:lang w:val="en-GB"/>
        </w:rPr>
        <w:t xml:space="preserve">Bridgepoint </w:t>
      </w:r>
      <w:r w:rsidRPr="009C48DA" w:rsidR="00C1663A">
        <w:rPr>
          <w:rFonts w:eastAsia="Calibri" w:cs="Arial"/>
          <w:szCs w:val="20"/>
          <w:lang w:val="en-GB"/>
        </w:rPr>
        <w:t xml:space="preserve">Funds </w:t>
      </w:r>
      <w:r w:rsidRPr="009C48DA" w:rsidR="00F81FFC">
        <w:rPr>
          <w:rFonts w:eastAsia="Calibri" w:cs="Arial"/>
          <w:szCs w:val="20"/>
          <w:lang w:val="en-GB"/>
        </w:rPr>
        <w:t>can</w:t>
      </w:r>
      <w:r w:rsidRPr="009C48DA">
        <w:rPr>
          <w:rFonts w:eastAsia="Calibri" w:cs="Arial"/>
          <w:szCs w:val="20"/>
          <w:lang w:val="en-GB"/>
        </w:rPr>
        <w:t xml:space="preserve"> involve complex tax structures that are costly to establish, monitor and maintain, and as the </w:t>
      </w:r>
      <w:r w:rsidRPr="009C48DA" w:rsidR="008453E7">
        <w:rPr>
          <w:rFonts w:eastAsia="Calibri" w:cs="Arial"/>
          <w:szCs w:val="20"/>
          <w:lang w:val="en-GB"/>
        </w:rPr>
        <w:t xml:space="preserve">Bridgepoint </w:t>
      </w:r>
      <w:r w:rsidRPr="009C48DA" w:rsidR="00C1663A">
        <w:rPr>
          <w:rFonts w:eastAsia="Calibri" w:cs="Arial"/>
          <w:szCs w:val="20"/>
          <w:lang w:val="en-GB"/>
        </w:rPr>
        <w:t>Funds</w:t>
      </w:r>
      <w:r w:rsidRPr="009C48DA">
        <w:rPr>
          <w:rFonts w:eastAsia="Calibri" w:cs="Arial"/>
          <w:szCs w:val="20"/>
          <w:lang w:val="en-GB"/>
        </w:rPr>
        <w:t xml:space="preserve"> pursue a larger number of transactions across multiple assets classes and in multiple jurisdictions, such costs will increase and the risk that a tax matter is overlooked</w:t>
      </w:r>
      <w:r w:rsidRPr="009C48DA" w:rsidR="008F3B48">
        <w:rPr>
          <w:rFonts w:eastAsia="Calibri" w:cs="Arial"/>
          <w:szCs w:val="20"/>
          <w:lang w:val="en-GB"/>
        </w:rPr>
        <w:t>,</w:t>
      </w:r>
      <w:r w:rsidRPr="009C48DA">
        <w:rPr>
          <w:rFonts w:eastAsia="Calibri" w:cs="Arial"/>
          <w:szCs w:val="20"/>
          <w:lang w:val="en-GB"/>
        </w:rPr>
        <w:t xml:space="preserve"> or inadequately or inconsistently addressed</w:t>
      </w:r>
      <w:r w:rsidRPr="009C48DA" w:rsidR="008F3B48">
        <w:rPr>
          <w:rFonts w:eastAsia="Calibri" w:cs="Arial"/>
          <w:szCs w:val="20"/>
          <w:lang w:val="en-GB"/>
        </w:rPr>
        <w:t>,</w:t>
      </w:r>
      <w:r w:rsidRPr="009C48DA">
        <w:rPr>
          <w:rFonts w:eastAsia="Calibri" w:cs="Arial"/>
          <w:szCs w:val="20"/>
          <w:lang w:val="en-GB"/>
        </w:rPr>
        <w:t xml:space="preserve"> will increase. Consequently, the </w:t>
      </w:r>
      <w:r w:rsidRPr="009C48DA" w:rsidR="008453E7">
        <w:rPr>
          <w:rFonts w:eastAsia="Calibri" w:cs="Arial"/>
          <w:szCs w:val="20"/>
          <w:lang w:val="en-GB"/>
        </w:rPr>
        <w:t xml:space="preserve">Bridgepoint </w:t>
      </w:r>
      <w:r w:rsidRPr="009C48DA" w:rsidR="00C1663A">
        <w:rPr>
          <w:rFonts w:eastAsia="Calibri" w:cs="Arial"/>
          <w:szCs w:val="20"/>
          <w:lang w:val="en-GB"/>
        </w:rPr>
        <w:t xml:space="preserve">Funds </w:t>
      </w:r>
      <w:r w:rsidRPr="009C48DA">
        <w:rPr>
          <w:rFonts w:eastAsia="Calibri" w:cs="Arial"/>
          <w:szCs w:val="20"/>
          <w:lang w:val="en-GB"/>
        </w:rPr>
        <w:t xml:space="preserve">may fail to achieve the desired tax benefit or otherwise decrease the returns of the investments of the </w:t>
      </w:r>
      <w:r w:rsidRPr="009C48DA" w:rsidR="008453E7">
        <w:rPr>
          <w:rFonts w:eastAsia="Calibri" w:cs="Arial"/>
          <w:szCs w:val="20"/>
          <w:lang w:val="en-GB"/>
        </w:rPr>
        <w:t xml:space="preserve">Bridgepoint </w:t>
      </w:r>
      <w:r w:rsidRPr="009C48DA">
        <w:rPr>
          <w:rFonts w:eastAsia="Calibri" w:cs="Arial"/>
          <w:szCs w:val="20"/>
          <w:lang w:val="en-GB"/>
        </w:rPr>
        <w:t>Funds or damage the reputation of the Group. Changes in law and regulation and in the enforcement of existing law and regulation, such as antitrust laws and tax laws, also add complexity and risk to the Group’s business. In addition, restrictions on foreign direct investment result in restrictions in completing certain transactions, for example</w:t>
      </w:r>
      <w:r w:rsidRPr="009C48DA" w:rsidR="008B5DAC">
        <w:rPr>
          <w:rFonts w:eastAsia="Calibri" w:cs="Arial"/>
          <w:szCs w:val="20"/>
          <w:lang w:val="en-GB"/>
        </w:rPr>
        <w:t>,</w:t>
      </w:r>
      <w:r w:rsidRPr="009C48DA">
        <w:rPr>
          <w:rFonts w:eastAsia="Calibri" w:cs="Arial"/>
          <w:szCs w:val="20"/>
          <w:lang w:val="en-GB"/>
        </w:rPr>
        <w:t xml:space="preserve"> acquisitions or divestitures. For example, in the United States, the Committee on Foreign Investment in the United States (“</w:t>
      </w:r>
      <w:r w:rsidRPr="009C48DA">
        <w:rPr>
          <w:rFonts w:eastAsia="Calibri" w:cs="Arial"/>
          <w:b/>
          <w:szCs w:val="20"/>
          <w:lang w:val="en-GB"/>
        </w:rPr>
        <w:t>CFIUS</w:t>
      </w:r>
      <w:r w:rsidRPr="009C48DA">
        <w:rPr>
          <w:rFonts w:eastAsia="Calibri" w:cs="Arial"/>
          <w:szCs w:val="20"/>
          <w:lang w:val="en-GB"/>
        </w:rPr>
        <w:t>”) has the authority to review and potentially block or impose conditions on certain foreign investments in U.S. companies or real estate and CFIUS is increasingly using its powers in connection with transactions in different sectors. Many other countries have enacted, and continue to enact, their own foreign direct investment laws (or are beginning to enforc</w:t>
      </w:r>
      <w:r w:rsidRPr="009C48DA" w:rsidR="00626A7E">
        <w:rPr>
          <w:rFonts w:eastAsia="Calibri" w:cs="Arial"/>
          <w:szCs w:val="20"/>
          <w:lang w:val="en-GB"/>
        </w:rPr>
        <w:t>e such laws), such as the so-</w:t>
      </w:r>
      <w:r w:rsidRPr="009C48DA">
        <w:rPr>
          <w:rFonts w:eastAsia="Calibri" w:cs="Arial"/>
          <w:szCs w:val="20"/>
          <w:lang w:val="en-GB"/>
        </w:rPr>
        <w:t>called Measures for the Security Review of Foreign Investments in China, the proposed National Security and Investment Bill in the UK and the Foreign Trade and Payments Ordinance (</w:t>
      </w:r>
      <w:r w:rsidRPr="009C48DA">
        <w:rPr>
          <w:rFonts w:eastAsia="Calibri" w:cs="Arial"/>
          <w:i/>
          <w:szCs w:val="20"/>
          <w:lang w:val="en-GB"/>
        </w:rPr>
        <w:t>Außenwirtschaftsverordnung</w:t>
      </w:r>
      <w:r w:rsidRPr="009C48DA">
        <w:rPr>
          <w:rFonts w:eastAsia="Calibri" w:cs="Arial"/>
          <w:szCs w:val="20"/>
          <w:lang w:val="en-GB"/>
        </w:rPr>
        <w:t xml:space="preserve">) in Germany. Any such laws and government actions thereunder could affect the </w:t>
      </w:r>
      <w:r w:rsidRPr="009C48DA" w:rsidR="008453E7">
        <w:rPr>
          <w:rFonts w:eastAsia="Calibri" w:cs="Arial"/>
          <w:szCs w:val="20"/>
          <w:lang w:val="en-GB"/>
        </w:rPr>
        <w:t xml:space="preserve">Bridgepoint </w:t>
      </w:r>
      <w:r w:rsidRPr="009C48DA">
        <w:rPr>
          <w:rFonts w:eastAsia="Calibri" w:cs="Arial"/>
          <w:szCs w:val="20"/>
          <w:lang w:val="en-GB"/>
        </w:rPr>
        <w:t xml:space="preserve">Funds’ ability to make </w:t>
      </w:r>
      <w:r w:rsidRPr="009C48DA">
        <w:rPr>
          <w:rFonts w:eastAsia="Times New Roman" w:cs="Times New Roman"/>
          <w:color w:val="231F20"/>
          <w:szCs w:val="20"/>
          <w:lang w:val="en-GB"/>
        </w:rPr>
        <w:t>investments</w:t>
      </w:r>
      <w:r w:rsidRPr="009C48DA">
        <w:rPr>
          <w:rFonts w:eastAsia="Calibri" w:cs="Arial"/>
          <w:szCs w:val="20"/>
          <w:lang w:val="en-GB"/>
        </w:rPr>
        <w:t xml:space="preserve"> and divestments and therefore </w:t>
      </w:r>
      <w:r w:rsidRPr="009C48DA" w:rsidR="00216437">
        <w:rPr>
          <w:rFonts w:eastAsia="Calibri" w:cs="Arial"/>
          <w:szCs w:val="20"/>
          <w:lang w:val="en-GB"/>
        </w:rPr>
        <w:t xml:space="preserve">could </w:t>
      </w:r>
      <w:r w:rsidRPr="009C48DA">
        <w:rPr>
          <w:rFonts w:eastAsia="Calibri" w:cs="Arial"/>
          <w:szCs w:val="20"/>
          <w:lang w:val="en-GB"/>
        </w:rPr>
        <w:t xml:space="preserve">have a </w:t>
      </w:r>
      <w:r w:rsidRPr="009C48DA" w:rsidDel="00571B6B">
        <w:rPr>
          <w:rFonts w:eastAsia="Calibri" w:cs="Arial"/>
          <w:szCs w:val="20"/>
          <w:lang w:val="en-GB"/>
        </w:rPr>
        <w:t xml:space="preserve">material adverse effect on the </w:t>
      </w:r>
      <w:r w:rsidRPr="009C48DA">
        <w:rPr>
          <w:rFonts w:eastAsia="Calibri" w:cs="Arial"/>
          <w:szCs w:val="20"/>
          <w:lang w:val="en-GB"/>
        </w:rPr>
        <w:t>Group’s business, revenue</w:t>
      </w:r>
      <w:r w:rsidRPr="009C48DA" w:rsidDel="00571B6B">
        <w:rPr>
          <w:rFonts w:eastAsia="Calibri" w:cs="Arial"/>
          <w:szCs w:val="20"/>
          <w:lang w:val="en-GB"/>
        </w:rPr>
        <w:t>, net income and cash flows</w:t>
      </w:r>
      <w:r w:rsidRPr="009C48DA">
        <w:rPr>
          <w:rFonts w:eastAsia="Calibri" w:cs="Arial"/>
          <w:szCs w:val="20"/>
          <w:lang w:val="en-GB"/>
        </w:rPr>
        <w:t>.</w:t>
      </w:r>
    </w:p>
    <w:p w:rsidRPr="009C48DA" w:rsidR="006D6A27" w:rsidP="00676CA5" w:rsidRDefault="006D6A27" w14:paraId="1899FE7D" w14:textId="4C0B8B1D">
      <w:pPr>
        <w:pStyle w:val="BodyText2SglJ"/>
        <w:rPr>
          <w:rFonts w:eastAsia="Calibri" w:cs="Arial"/>
          <w:szCs w:val="20"/>
          <w:lang w:val="en-GB"/>
        </w:rPr>
      </w:pPr>
      <w:r w:rsidRPr="009C48DA">
        <w:rPr>
          <w:rFonts w:eastAsia="Calibri" w:cs="Arial"/>
          <w:szCs w:val="20"/>
          <w:lang w:val="en-GB"/>
        </w:rPr>
        <w:t xml:space="preserve">Additionally, the </w:t>
      </w:r>
      <w:r w:rsidRPr="009C48DA" w:rsidR="008453E7">
        <w:rPr>
          <w:rFonts w:eastAsia="Calibri" w:cs="Arial"/>
          <w:szCs w:val="20"/>
          <w:lang w:val="en-GB"/>
        </w:rPr>
        <w:t xml:space="preserve">Bridgepoint </w:t>
      </w:r>
      <w:r w:rsidRPr="009C48DA">
        <w:rPr>
          <w:rFonts w:eastAsia="Calibri" w:cs="Arial"/>
          <w:szCs w:val="20"/>
          <w:lang w:val="en-GB"/>
        </w:rPr>
        <w:t xml:space="preserve">Funds may acquire an investment that is subject to contingent liabilities, which could be unknown to the Group at the time of acquisition or, if known, the Group may not accurately assess or protect against the risks that they present. Acquired contingent liabilities could thus result in unforeseen losses for the </w:t>
      </w:r>
      <w:r w:rsidRPr="009C48DA" w:rsidR="008453E7">
        <w:rPr>
          <w:rFonts w:eastAsia="Calibri" w:cs="Arial"/>
          <w:szCs w:val="20"/>
          <w:lang w:val="en-GB"/>
        </w:rPr>
        <w:t xml:space="preserve">Bridgepoint </w:t>
      </w:r>
      <w:r w:rsidRPr="009C48DA">
        <w:rPr>
          <w:rFonts w:eastAsia="Calibri" w:cs="Arial"/>
          <w:szCs w:val="20"/>
          <w:lang w:val="en-GB"/>
        </w:rPr>
        <w:t>Funds</w:t>
      </w:r>
      <w:r w:rsidRPr="009C48DA" w:rsidR="00F81FFC">
        <w:rPr>
          <w:rFonts w:eastAsia="Calibri" w:cs="Arial"/>
          <w:szCs w:val="20"/>
          <w:lang w:val="en-GB"/>
        </w:rPr>
        <w:t xml:space="preserve">, which </w:t>
      </w:r>
      <w:r w:rsidRPr="009C48DA" w:rsidR="00FC2157">
        <w:rPr>
          <w:rFonts w:eastAsia="Calibri" w:cs="Arial"/>
          <w:szCs w:val="20"/>
          <w:lang w:val="en-GB"/>
        </w:rPr>
        <w:t xml:space="preserve">indirectly </w:t>
      </w:r>
      <w:r w:rsidRPr="009C48DA" w:rsidR="00F81FFC">
        <w:rPr>
          <w:rFonts w:eastAsia="Calibri" w:cs="Arial"/>
          <w:szCs w:val="20"/>
          <w:lang w:val="en-GB"/>
        </w:rPr>
        <w:t>could also impact the Group</w:t>
      </w:r>
      <w:r w:rsidRPr="009C48DA">
        <w:rPr>
          <w:rFonts w:eastAsia="Calibri" w:cs="Arial"/>
          <w:szCs w:val="20"/>
          <w:lang w:val="en-GB"/>
        </w:rPr>
        <w:t xml:space="preserve">. In </w:t>
      </w:r>
      <w:r w:rsidRPr="009C48DA">
        <w:rPr>
          <w:rFonts w:eastAsia="Calibri" w:cs="Arial"/>
          <w:szCs w:val="20"/>
          <w:lang w:val="en-GB"/>
        </w:rPr>
        <w:lastRenderedPageBreak/>
        <w:t xml:space="preserve">connection with the disposition of an investment in a portfolio company, the </w:t>
      </w:r>
      <w:r w:rsidRPr="009C48DA" w:rsidR="008453E7">
        <w:rPr>
          <w:rFonts w:eastAsia="Calibri" w:cs="Arial"/>
          <w:szCs w:val="20"/>
          <w:lang w:val="en-GB"/>
        </w:rPr>
        <w:t xml:space="preserve">Bridgepoint </w:t>
      </w:r>
      <w:r w:rsidRPr="009C48DA">
        <w:rPr>
          <w:rFonts w:eastAsia="Calibri" w:cs="Arial"/>
          <w:szCs w:val="20"/>
          <w:lang w:val="en-GB"/>
        </w:rPr>
        <w:t xml:space="preserve">Funds may also be required to make representations about the business and ﬁnancial affairs of the portfolio company typical of those made in connection with the sale of any business, or may be responsible for the contents of disclosure documents under applicable securities laws. The </w:t>
      </w:r>
      <w:r w:rsidRPr="009C48DA" w:rsidR="008453E7">
        <w:rPr>
          <w:rFonts w:eastAsia="Calibri" w:cs="Arial"/>
          <w:szCs w:val="20"/>
          <w:lang w:val="en-GB"/>
        </w:rPr>
        <w:t xml:space="preserve">Bridgepoint </w:t>
      </w:r>
      <w:r w:rsidRPr="009C48DA">
        <w:rPr>
          <w:rFonts w:eastAsia="Calibri" w:cs="Arial"/>
          <w:szCs w:val="20"/>
          <w:lang w:val="en-GB"/>
        </w:rPr>
        <w:t xml:space="preserve">Funds may also be required to indemnify the purchasers of such </w:t>
      </w:r>
      <w:r w:rsidRPr="009C48DA">
        <w:rPr>
          <w:rFonts w:eastAsia="Times New Roman" w:cs="Times New Roman"/>
          <w:color w:val="231F20"/>
          <w:szCs w:val="20"/>
          <w:lang w:val="en-GB"/>
        </w:rPr>
        <w:t>investment</w:t>
      </w:r>
      <w:r w:rsidRPr="009C48DA">
        <w:rPr>
          <w:rFonts w:eastAsia="Calibri" w:cs="Arial"/>
          <w:szCs w:val="20"/>
          <w:lang w:val="en-GB"/>
        </w:rPr>
        <w:t xml:space="preserve"> or underwriters to the extent that any such representations or disclosure documents turn out to be incorrect, inaccurate or misleading. These arrangements may result in the incurrence of contingent liabilities for which reserves or escrow accounts may be established and, in certain circumstances, distributions made to fund investors or the Company may subsequently be recalled to meet such liabilities of the </w:t>
      </w:r>
      <w:r w:rsidRPr="009C48DA" w:rsidR="008453E7">
        <w:rPr>
          <w:rFonts w:eastAsia="Calibri" w:cs="Arial"/>
          <w:szCs w:val="20"/>
          <w:lang w:val="en-GB"/>
        </w:rPr>
        <w:t xml:space="preserve">Bridgepoint </w:t>
      </w:r>
      <w:r w:rsidRPr="009C48DA">
        <w:rPr>
          <w:rFonts w:eastAsia="Calibri" w:cs="Arial"/>
          <w:szCs w:val="20"/>
          <w:lang w:val="en-GB"/>
        </w:rPr>
        <w:t>Fund.</w:t>
      </w:r>
    </w:p>
    <w:p w:rsidRPr="009C48DA" w:rsidR="006D6A27" w:rsidP="00676CA5" w:rsidRDefault="006D6A27" w14:paraId="66C4C538" w14:textId="47434539">
      <w:pPr>
        <w:pStyle w:val="BodyText2SglJ"/>
        <w:rPr>
          <w:rFonts w:eastAsia="Calibri" w:cs="Arial"/>
          <w:szCs w:val="20"/>
          <w:lang w:val="en-GB"/>
        </w:rPr>
      </w:pPr>
      <w:r w:rsidRPr="009C48DA">
        <w:rPr>
          <w:rFonts w:eastAsia="Calibri" w:cs="Arial"/>
          <w:szCs w:val="20"/>
          <w:lang w:val="en-GB"/>
        </w:rPr>
        <w:t xml:space="preserve">The </w:t>
      </w:r>
      <w:r w:rsidRPr="009C48DA" w:rsidR="008453E7">
        <w:rPr>
          <w:rFonts w:eastAsia="Calibri" w:cs="Arial"/>
          <w:szCs w:val="20"/>
          <w:lang w:val="en-GB"/>
        </w:rPr>
        <w:t xml:space="preserve">Bridgepoint </w:t>
      </w:r>
      <w:r w:rsidRPr="009C48DA">
        <w:rPr>
          <w:rFonts w:eastAsia="Calibri" w:cs="Arial"/>
          <w:szCs w:val="20"/>
          <w:lang w:val="en-GB"/>
        </w:rPr>
        <w:t xml:space="preserve">Funds from time to time hold investments that include debt instruments and equity securities of companies that the Group does not control, and such investments may comprise an increasing part of the Group’s business. In addition, the </w:t>
      </w:r>
      <w:r w:rsidRPr="009C48DA" w:rsidR="008453E7">
        <w:rPr>
          <w:rFonts w:eastAsia="Calibri" w:cs="Arial"/>
          <w:szCs w:val="20"/>
          <w:lang w:val="en-GB"/>
        </w:rPr>
        <w:t xml:space="preserve">Bridgepoint </w:t>
      </w:r>
      <w:r w:rsidRPr="009C48DA">
        <w:rPr>
          <w:rFonts w:eastAsia="Calibri" w:cs="Arial"/>
          <w:szCs w:val="20"/>
          <w:lang w:val="en-GB"/>
        </w:rPr>
        <w:t xml:space="preserve">Funds may acquire minority equity interests, particularly when making growth equity investments or sponsoring investments as part of an investor consortium or through the Group’s credit funds. The </w:t>
      </w:r>
      <w:r w:rsidRPr="009C48DA" w:rsidR="008453E7">
        <w:rPr>
          <w:rFonts w:eastAsia="Calibri" w:cs="Arial"/>
          <w:szCs w:val="20"/>
          <w:lang w:val="en-GB"/>
        </w:rPr>
        <w:t xml:space="preserve">Bridgepoint </w:t>
      </w:r>
      <w:r w:rsidRPr="009C48DA">
        <w:rPr>
          <w:rFonts w:eastAsia="Calibri" w:cs="Arial"/>
          <w:szCs w:val="20"/>
          <w:lang w:val="en-GB"/>
        </w:rPr>
        <w:t xml:space="preserve">Funds may also dispose of a portion of their majority equity investments in portfolio companies over time in a manner that results in the </w:t>
      </w:r>
      <w:r w:rsidRPr="009C48DA" w:rsidR="008453E7">
        <w:rPr>
          <w:rFonts w:eastAsia="Calibri" w:cs="Arial"/>
          <w:szCs w:val="20"/>
          <w:lang w:val="en-GB"/>
        </w:rPr>
        <w:t xml:space="preserve">Bridgepoint </w:t>
      </w:r>
      <w:r w:rsidRPr="009C48DA">
        <w:rPr>
          <w:rFonts w:eastAsia="Calibri" w:cs="Arial"/>
          <w:szCs w:val="20"/>
          <w:lang w:val="en-GB"/>
        </w:rPr>
        <w:t xml:space="preserve">Funds retaining a minority investment. To the extent a </w:t>
      </w:r>
      <w:r w:rsidRPr="009C48DA" w:rsidR="008453E7">
        <w:rPr>
          <w:rFonts w:eastAsia="Calibri" w:cs="Arial"/>
          <w:szCs w:val="20"/>
          <w:lang w:val="en-GB"/>
        </w:rPr>
        <w:t xml:space="preserve">Bridgepoint </w:t>
      </w:r>
      <w:r w:rsidRPr="009C48DA">
        <w:rPr>
          <w:rFonts w:eastAsia="Calibri" w:cs="Arial"/>
          <w:szCs w:val="20"/>
          <w:lang w:val="en-GB"/>
        </w:rPr>
        <w:t xml:space="preserve">Fund holds only a minority equity interest in a portfolio company, the Group may lack affirmative control rights, which may diminish its ability to </w:t>
      </w:r>
      <w:r w:rsidRPr="009C48DA" w:rsidR="0065135D">
        <w:rPr>
          <w:rFonts w:eastAsia="Calibri" w:cs="Arial"/>
          <w:szCs w:val="20"/>
          <w:lang w:val="en-GB"/>
        </w:rPr>
        <w:t>influence the c</w:t>
      </w:r>
      <w:r w:rsidRPr="009C48DA">
        <w:rPr>
          <w:rFonts w:eastAsia="Calibri" w:cs="Arial"/>
          <w:szCs w:val="20"/>
          <w:lang w:val="en-GB"/>
        </w:rPr>
        <w:t>ompany’s affairs in a manner intended to enhance</w:t>
      </w:r>
      <w:r w:rsidRPr="009C48DA" w:rsidR="0068713B">
        <w:rPr>
          <w:rFonts w:eastAsia="Calibri" w:cs="Arial"/>
          <w:szCs w:val="20"/>
          <w:lang w:val="en-GB"/>
        </w:rPr>
        <w:t xml:space="preserve"> the value of the </w:t>
      </w:r>
      <w:r w:rsidRPr="009C48DA" w:rsidR="008453E7">
        <w:rPr>
          <w:rFonts w:eastAsia="Calibri" w:cs="Arial"/>
          <w:szCs w:val="20"/>
          <w:lang w:val="en-GB"/>
        </w:rPr>
        <w:t xml:space="preserve">Bridgepoint </w:t>
      </w:r>
      <w:r w:rsidRPr="009C48DA" w:rsidR="0068713B">
        <w:rPr>
          <w:rFonts w:eastAsia="Calibri" w:cs="Arial"/>
          <w:szCs w:val="20"/>
          <w:lang w:val="en-GB"/>
        </w:rPr>
        <w:t>Fund</w:t>
      </w:r>
      <w:r w:rsidRPr="009C48DA">
        <w:rPr>
          <w:rFonts w:eastAsia="Calibri" w:cs="Arial"/>
          <w:szCs w:val="20"/>
          <w:lang w:val="en-GB"/>
        </w:rPr>
        <w:t>s</w:t>
      </w:r>
      <w:r w:rsidRPr="009C48DA" w:rsidR="0068713B">
        <w:rPr>
          <w:rFonts w:eastAsia="Calibri" w:cs="Arial"/>
          <w:szCs w:val="20"/>
          <w:lang w:val="en-GB"/>
        </w:rPr>
        <w:t>’</w:t>
      </w:r>
      <w:r w:rsidRPr="009C48DA">
        <w:rPr>
          <w:rFonts w:eastAsia="Calibri" w:cs="Arial"/>
          <w:szCs w:val="20"/>
          <w:lang w:val="en-GB"/>
        </w:rPr>
        <w:t xml:space="preserve"> investment in the company, including with respect to the form and timing of an exit. The Group and the </w:t>
      </w:r>
      <w:r w:rsidRPr="009C48DA" w:rsidR="008453E7">
        <w:rPr>
          <w:rFonts w:eastAsia="Calibri" w:cs="Arial"/>
          <w:szCs w:val="20"/>
          <w:lang w:val="en-GB"/>
        </w:rPr>
        <w:t xml:space="preserve">Bridgepoint </w:t>
      </w:r>
      <w:r w:rsidRPr="009C48DA">
        <w:rPr>
          <w:rFonts w:eastAsia="Calibri" w:cs="Arial"/>
          <w:szCs w:val="20"/>
          <w:lang w:val="en-GB"/>
        </w:rPr>
        <w:t xml:space="preserve">Funds </w:t>
      </w:r>
      <w:r w:rsidRPr="009C48DA" w:rsidR="003F3801">
        <w:rPr>
          <w:rFonts w:eastAsia="Calibri" w:cs="Arial"/>
          <w:szCs w:val="20"/>
          <w:lang w:val="en-GB"/>
        </w:rPr>
        <w:t>may make</w:t>
      </w:r>
      <w:r w:rsidRPr="009C48DA">
        <w:rPr>
          <w:rFonts w:eastAsia="Calibri" w:cs="Arial"/>
          <w:szCs w:val="20"/>
          <w:lang w:val="en-GB"/>
        </w:rPr>
        <w:t xml:space="preserve"> certain minority investments in publicly traded companies in some cases.</w:t>
      </w:r>
    </w:p>
    <w:p w:rsidRPr="009C48DA" w:rsidR="00B9239F" w:rsidP="00B9239F" w:rsidRDefault="00B9239F" w14:paraId="21E3DD70" w14:textId="305142EC">
      <w:pPr>
        <w:pStyle w:val="BodyText2SglJ"/>
        <w:rPr>
          <w:szCs w:val="20"/>
          <w:lang w:val="en-GB"/>
        </w:rPr>
      </w:pPr>
      <w:r w:rsidRPr="009C48DA">
        <w:rPr>
          <w:szCs w:val="20"/>
          <w:lang w:val="en-GB"/>
        </w:rPr>
        <w:t xml:space="preserve">Where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 xml:space="preserve">Funds take control positions in portfolio companies, the exercise of control over a company imposes additional risks, including liability for environmental damage, product defects, failure to supervise management, violation of governmental regulations and other types of liabilities in respect of which the </w:t>
      </w:r>
      <w:r w:rsidRPr="009C48DA" w:rsidR="008453E7">
        <w:rPr>
          <w:rFonts w:eastAsia="Calibri" w:cs="Arial"/>
          <w:szCs w:val="20"/>
          <w:lang w:val="en-GB"/>
        </w:rPr>
        <w:t>Bridgepoint</w:t>
      </w:r>
      <w:r w:rsidRPr="009C48DA" w:rsidR="008453E7">
        <w:rPr>
          <w:szCs w:val="20"/>
          <w:lang w:val="en-GB"/>
        </w:rPr>
        <w:t xml:space="preserve"> </w:t>
      </w:r>
      <w:r w:rsidRPr="009C48DA" w:rsidR="0065135D">
        <w:rPr>
          <w:szCs w:val="20"/>
          <w:lang w:val="en-GB"/>
        </w:rPr>
        <w:t xml:space="preserve">Funds will have greater potential </w:t>
      </w:r>
      <w:r w:rsidRPr="009C48DA">
        <w:rPr>
          <w:szCs w:val="20"/>
          <w:lang w:val="en-GB"/>
        </w:rPr>
        <w:t xml:space="preserve">liability </w:t>
      </w:r>
      <w:r w:rsidRPr="009C48DA" w:rsidR="0065135D">
        <w:rPr>
          <w:szCs w:val="20"/>
          <w:lang w:val="en-GB"/>
        </w:rPr>
        <w:t xml:space="preserve">than in situations where there is no control taken. </w:t>
      </w:r>
    </w:p>
    <w:p w:rsidRPr="009C48DA" w:rsidR="006D6A27" w:rsidP="00676CA5" w:rsidRDefault="000746F0" w14:paraId="25CEDDF2" w14:textId="3F7E21A2">
      <w:pPr>
        <w:pStyle w:val="BodyText2SglJ"/>
        <w:rPr>
          <w:rFonts w:eastAsia="Calibri" w:cs="Arial"/>
          <w:szCs w:val="20"/>
          <w:lang w:val="en-GB"/>
        </w:rPr>
      </w:pPr>
      <w:r w:rsidRPr="009C48DA">
        <w:rPr>
          <w:rFonts w:eastAsia="Calibri" w:cs="Arial"/>
          <w:szCs w:val="20"/>
          <w:lang w:val="en-GB"/>
        </w:rPr>
        <w:t>C</w:t>
      </w:r>
      <w:r w:rsidRPr="009C48DA" w:rsidR="006D6A27">
        <w:rPr>
          <w:rFonts w:eastAsia="Calibri" w:cs="Arial"/>
          <w:szCs w:val="20"/>
          <w:lang w:val="en-GB"/>
        </w:rPr>
        <w:t xml:space="preserve">ompanies </w:t>
      </w:r>
      <w:r w:rsidRPr="009C48DA">
        <w:rPr>
          <w:rFonts w:eastAsia="Calibri" w:cs="Arial"/>
          <w:szCs w:val="20"/>
          <w:lang w:val="en-GB"/>
        </w:rPr>
        <w:t xml:space="preserve">in which the </w:t>
      </w:r>
      <w:r w:rsidRPr="009C48DA" w:rsidR="008453E7">
        <w:rPr>
          <w:rFonts w:eastAsia="Calibri" w:cs="Arial"/>
          <w:szCs w:val="20"/>
          <w:lang w:val="en-GB"/>
        </w:rPr>
        <w:t xml:space="preserve">Bridgepoint </w:t>
      </w:r>
      <w:r w:rsidRPr="009C48DA">
        <w:rPr>
          <w:rFonts w:eastAsia="Calibri" w:cs="Arial"/>
          <w:szCs w:val="20"/>
          <w:lang w:val="en-GB"/>
        </w:rPr>
        <w:t xml:space="preserve">Funds invest </w:t>
      </w:r>
      <w:r w:rsidRPr="009C48DA" w:rsidR="006D6A27">
        <w:rPr>
          <w:rFonts w:eastAsia="Calibri" w:cs="Arial"/>
          <w:szCs w:val="20"/>
          <w:lang w:val="en-GB"/>
        </w:rPr>
        <w:t xml:space="preserve">may be subject to complex regulatory requirements, and instances of non-compliance by them may subject the Group to reputational harm or, in certain cases, liability. The Group is also reliant on the systems and processes of these companies for, among other things, financial information and valuations of the Group’s investments in or with them, but the Group does not control the decisions and judgments made during such processes. Companies </w:t>
      </w:r>
      <w:r w:rsidRPr="009C48DA" w:rsidR="00216437">
        <w:rPr>
          <w:rFonts w:eastAsia="Calibri" w:cs="Arial"/>
          <w:szCs w:val="20"/>
          <w:lang w:val="en-GB"/>
        </w:rPr>
        <w:t xml:space="preserve">in which the </w:t>
      </w:r>
      <w:r w:rsidRPr="009C48DA" w:rsidR="008453E7">
        <w:rPr>
          <w:rFonts w:eastAsia="Calibri" w:cs="Arial"/>
          <w:szCs w:val="20"/>
          <w:lang w:val="en-GB"/>
        </w:rPr>
        <w:t xml:space="preserve">Bridgepoint </w:t>
      </w:r>
      <w:r w:rsidRPr="009C48DA" w:rsidR="00216437">
        <w:rPr>
          <w:rFonts w:eastAsia="Calibri" w:cs="Arial"/>
          <w:szCs w:val="20"/>
          <w:lang w:val="en-GB"/>
        </w:rPr>
        <w:t xml:space="preserve">Funds invest, in particular </w:t>
      </w:r>
      <w:r w:rsidRPr="009C48DA" w:rsidR="00B9239F">
        <w:rPr>
          <w:rFonts w:eastAsia="Calibri" w:cs="Arial"/>
          <w:szCs w:val="20"/>
          <w:lang w:val="en-GB"/>
        </w:rPr>
        <w:t xml:space="preserve">companies invested in by </w:t>
      </w:r>
      <w:r w:rsidRPr="009C48DA" w:rsidR="008453E7">
        <w:rPr>
          <w:rFonts w:eastAsia="Calibri" w:cs="Arial"/>
          <w:szCs w:val="20"/>
          <w:lang w:val="en-GB"/>
        </w:rPr>
        <w:t xml:space="preserve">Bridgepoint </w:t>
      </w:r>
      <w:r w:rsidRPr="009C48DA" w:rsidR="00216437">
        <w:rPr>
          <w:rFonts w:eastAsia="Calibri" w:cs="Arial"/>
          <w:szCs w:val="20"/>
          <w:lang w:val="en-GB"/>
        </w:rPr>
        <w:t xml:space="preserve">Development Capital and </w:t>
      </w:r>
      <w:r w:rsidRPr="009C48DA" w:rsidR="008453E7">
        <w:rPr>
          <w:rFonts w:eastAsia="Calibri" w:cs="Arial"/>
          <w:szCs w:val="20"/>
          <w:lang w:val="en-GB"/>
        </w:rPr>
        <w:t xml:space="preserve">Bridgepoint </w:t>
      </w:r>
      <w:r w:rsidRPr="009C48DA" w:rsidR="00216437">
        <w:rPr>
          <w:rFonts w:eastAsia="Calibri" w:cs="Arial"/>
          <w:szCs w:val="20"/>
          <w:lang w:val="en-GB"/>
        </w:rPr>
        <w:t>Growth</w:t>
      </w:r>
      <w:r w:rsidRPr="009C48DA" w:rsidR="00DE021F">
        <w:rPr>
          <w:rFonts w:eastAsia="Calibri" w:cs="Arial"/>
          <w:szCs w:val="20"/>
          <w:lang w:val="en-GB"/>
        </w:rPr>
        <w:t>,</w:t>
      </w:r>
      <w:r w:rsidRPr="009C48DA" w:rsidR="00216437">
        <w:rPr>
          <w:rFonts w:eastAsia="Calibri" w:cs="Arial"/>
          <w:szCs w:val="20"/>
          <w:lang w:val="en-GB"/>
        </w:rPr>
        <w:t xml:space="preserve"> </w:t>
      </w:r>
      <w:r w:rsidRPr="009C48DA" w:rsidR="006D6A27">
        <w:rPr>
          <w:rFonts w:eastAsia="Calibri" w:cs="Arial"/>
          <w:szCs w:val="20"/>
          <w:lang w:val="en-GB"/>
        </w:rPr>
        <w:t xml:space="preserve">may also be dependent on their founders and other key persons, and the loss of these key personnel could adversely impact the </w:t>
      </w:r>
      <w:r w:rsidRPr="009C48DA" w:rsidR="008453E7">
        <w:rPr>
          <w:rFonts w:eastAsia="Calibri" w:cs="Arial"/>
          <w:szCs w:val="20"/>
          <w:lang w:val="en-GB"/>
        </w:rPr>
        <w:t xml:space="preserve">Bridgepoint </w:t>
      </w:r>
      <w:r w:rsidRPr="009C48DA" w:rsidR="006D6A27">
        <w:rPr>
          <w:rFonts w:eastAsia="Calibri" w:cs="Arial"/>
          <w:szCs w:val="20"/>
          <w:lang w:val="en-GB"/>
        </w:rPr>
        <w:t xml:space="preserve">Fund’s investment. If any of the foregoing were to occur, the value of the investments held by the </w:t>
      </w:r>
      <w:r w:rsidRPr="009C48DA" w:rsidR="008453E7">
        <w:rPr>
          <w:rFonts w:eastAsia="Calibri" w:cs="Arial"/>
          <w:szCs w:val="20"/>
          <w:lang w:val="en-GB"/>
        </w:rPr>
        <w:t xml:space="preserve">Bridgepoint </w:t>
      </w:r>
      <w:r w:rsidRPr="009C48DA" w:rsidR="006D6A27">
        <w:rPr>
          <w:rFonts w:eastAsia="Calibri" w:cs="Arial"/>
          <w:szCs w:val="20"/>
          <w:lang w:val="en-GB"/>
        </w:rPr>
        <w:t>Funds or by the Group</w:t>
      </w:r>
      <w:r w:rsidRPr="009C48DA" w:rsidDel="005D6F3C" w:rsidR="006D6A27">
        <w:rPr>
          <w:rFonts w:eastAsia="Calibri" w:cs="Arial"/>
          <w:szCs w:val="20"/>
          <w:lang w:val="en-GB"/>
        </w:rPr>
        <w:t xml:space="preserve"> </w:t>
      </w:r>
      <w:r w:rsidRPr="009C48DA" w:rsidR="006D6A27">
        <w:rPr>
          <w:rFonts w:eastAsia="Calibri" w:cs="Arial"/>
          <w:szCs w:val="20"/>
          <w:lang w:val="en-GB"/>
        </w:rPr>
        <w:t xml:space="preserve">could decrease, </w:t>
      </w:r>
      <w:r w:rsidRPr="009C48DA" w:rsidR="00216437">
        <w:rPr>
          <w:rFonts w:eastAsia="Calibri" w:cs="Arial"/>
          <w:szCs w:val="20"/>
          <w:lang w:val="en-GB"/>
        </w:rPr>
        <w:t>which would have a material adverse effect on</w:t>
      </w:r>
      <w:r w:rsidRPr="009C48DA" w:rsidR="006D6A27">
        <w:rPr>
          <w:rFonts w:eastAsia="Calibri" w:cs="Arial"/>
          <w:szCs w:val="20"/>
          <w:lang w:val="en-GB"/>
        </w:rPr>
        <w:t xml:space="preserve"> the Group’s</w:t>
      </w:r>
      <w:r w:rsidRPr="009C48DA" w:rsidDel="005D6F3C" w:rsidR="006D6A27">
        <w:rPr>
          <w:rFonts w:eastAsia="Calibri" w:cs="Arial"/>
          <w:szCs w:val="20"/>
          <w:lang w:val="en-GB"/>
        </w:rPr>
        <w:t xml:space="preserve"> </w:t>
      </w:r>
      <w:r w:rsidRPr="009C48DA" w:rsidR="006D6A27">
        <w:rPr>
          <w:rFonts w:eastAsia="Calibri" w:cs="Arial"/>
          <w:szCs w:val="20"/>
          <w:lang w:val="en-GB"/>
        </w:rPr>
        <w:t>business, revenue, net income and cash flow</w:t>
      </w:r>
      <w:r w:rsidRPr="009C48DA" w:rsidR="00216437">
        <w:rPr>
          <w:rFonts w:eastAsia="Calibri" w:cs="Arial"/>
          <w:szCs w:val="20"/>
          <w:lang w:val="en-GB"/>
        </w:rPr>
        <w:t>s</w:t>
      </w:r>
      <w:r w:rsidRPr="009C48DA" w:rsidR="006D6A27">
        <w:rPr>
          <w:rFonts w:eastAsia="Calibri" w:cs="Arial"/>
          <w:szCs w:val="20"/>
          <w:lang w:val="en-GB"/>
        </w:rPr>
        <w:t>.</w:t>
      </w:r>
    </w:p>
    <w:p w:rsidRPr="009C48DA" w:rsidR="006D6A27" w:rsidP="000F2378" w:rsidRDefault="006D6A27" w14:paraId="0C255646" w14:textId="0BE9BFC1">
      <w:pPr>
        <w:pStyle w:val="TitleBI"/>
        <w:rPr>
          <w:szCs w:val="20"/>
          <w:lang w:val="en-GB"/>
        </w:rPr>
      </w:pPr>
      <w:r w:rsidRPr="009C48DA">
        <w:rPr>
          <w:szCs w:val="20"/>
          <w:lang w:val="en-GB"/>
        </w:rPr>
        <w:t xml:space="preserve">Comparatively large investments made by certain of the </w:t>
      </w:r>
      <w:bookmarkStart w:name="_9kMH18O7aXv6AA8BFPLzmlnx822EhdI28" w:id="102"/>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Funds</w:t>
      </w:r>
      <w:bookmarkEnd w:id="102"/>
      <w:r w:rsidRPr="009C48DA">
        <w:rPr>
          <w:szCs w:val="20"/>
          <w:lang w:val="en-GB"/>
        </w:rPr>
        <w:t xml:space="preserve"> may involve certain complexities and risks that may not be encountered in the context of small- and medium-sized investments.</w:t>
      </w:r>
    </w:p>
    <w:p w:rsidRPr="009C48DA" w:rsidR="006D6A27" w:rsidP="00676CA5" w:rsidRDefault="006D6A27" w14:paraId="0F6B683D" w14:textId="17DC846D">
      <w:pPr>
        <w:pStyle w:val="BodyText2SglJ"/>
        <w:rPr>
          <w:rFonts w:eastAsia="Calibri" w:cs="Arial"/>
          <w:szCs w:val="20"/>
          <w:lang w:val="en-GB"/>
        </w:rPr>
      </w:pPr>
      <w:r w:rsidRPr="009C48DA">
        <w:rPr>
          <w:rFonts w:eastAsia="Calibri" w:cs="Arial"/>
          <w:szCs w:val="20"/>
          <w:lang w:val="en-GB"/>
        </w:rPr>
        <w:t xml:space="preserve">The Group is generally active in the </w:t>
      </w:r>
      <w:r w:rsidRPr="009C48DA" w:rsidR="00034156">
        <w:rPr>
          <w:rFonts w:eastAsia="Calibri" w:cs="Arial"/>
          <w:szCs w:val="20"/>
          <w:lang w:val="en-GB"/>
        </w:rPr>
        <w:t>middle market</w:t>
      </w:r>
      <w:r w:rsidRPr="009C48DA">
        <w:rPr>
          <w:rFonts w:eastAsia="Calibri" w:cs="Arial"/>
          <w:szCs w:val="20"/>
          <w:lang w:val="en-GB"/>
        </w:rPr>
        <w:t xml:space="preserve"> of the private equity industry, but, from time </w:t>
      </w:r>
      <w:r w:rsidRPr="009C48DA">
        <w:rPr>
          <w:rFonts w:eastAsia="Times New Roman" w:cs="Times New Roman"/>
          <w:color w:val="231F20"/>
          <w:szCs w:val="20"/>
          <w:lang w:val="en-GB"/>
        </w:rPr>
        <w:t>to</w:t>
      </w:r>
      <w:r w:rsidRPr="009C48DA">
        <w:rPr>
          <w:rFonts w:eastAsia="Calibri" w:cs="Arial"/>
          <w:szCs w:val="20"/>
          <w:lang w:val="en-GB"/>
        </w:rPr>
        <w:t xml:space="preserve"> time, may enter into comparatively large transactions. Where </w:t>
      </w:r>
      <w:bookmarkStart w:name="_9kMH19P7aXv6AA8BFPLzmlnx822EhdI28" w:id="103"/>
      <w:r w:rsidRPr="009C48DA">
        <w:rPr>
          <w:rFonts w:eastAsia="Calibri" w:cs="Arial"/>
          <w:szCs w:val="20"/>
          <w:lang w:val="en-GB"/>
        </w:rPr>
        <w:t xml:space="preserve">the </w:t>
      </w:r>
      <w:r w:rsidRPr="009C48DA" w:rsidR="008453E7">
        <w:rPr>
          <w:rFonts w:eastAsia="Calibri" w:cs="Arial"/>
          <w:szCs w:val="20"/>
          <w:lang w:val="en-GB"/>
        </w:rPr>
        <w:t xml:space="preserve">Bridgepoint </w:t>
      </w:r>
      <w:r w:rsidRPr="009C48DA">
        <w:rPr>
          <w:rFonts w:eastAsia="Calibri" w:cs="Arial"/>
          <w:szCs w:val="20"/>
          <w:lang w:val="en-GB"/>
        </w:rPr>
        <w:t>Funds</w:t>
      </w:r>
      <w:bookmarkEnd w:id="103"/>
      <w:r w:rsidRPr="009C48DA">
        <w:rPr>
          <w:rFonts w:eastAsia="Calibri" w:cs="Arial"/>
          <w:szCs w:val="20"/>
          <w:lang w:val="en-GB"/>
        </w:rPr>
        <w:t xml:space="preserve"> make comparatively large investments, these may involve certain complexities and risks that may not be encountered in small- and medium-sized investments. For example, larger transactions may be more difficult to finance or may entail greater challenges in implementing changes in the relevant portfolio company’s management culture, finances or operations, and may face greater scrutiny by regulators, interest groups and other third parties. These constituencies may be more active in opposing larger investments by certain private equity firms. </w:t>
      </w:r>
      <w:bookmarkStart w:name="_9kMPO5YVt4886DEOQ990mx" w:id="104"/>
    </w:p>
    <w:p w:rsidRPr="009C48DA" w:rsidR="006D6A27" w:rsidP="00676CA5" w:rsidRDefault="006D6A27" w14:paraId="268AB777" w14:textId="1BC52EFC">
      <w:pPr>
        <w:pStyle w:val="BodyText2SglJ"/>
        <w:rPr>
          <w:rFonts w:eastAsia="Calibri" w:cs="Arial"/>
          <w:szCs w:val="20"/>
          <w:lang w:val="en-GB"/>
        </w:rPr>
      </w:pPr>
      <w:r w:rsidRPr="009C48DA">
        <w:rPr>
          <w:rFonts w:eastAsia="Calibri" w:cs="Arial"/>
          <w:szCs w:val="20"/>
          <w:lang w:val="en-GB"/>
        </w:rPr>
        <w:t>Further</w:t>
      </w:r>
      <w:bookmarkEnd w:id="104"/>
      <w:r w:rsidRPr="009C48DA">
        <w:rPr>
          <w:rFonts w:eastAsia="Calibri" w:cs="Arial"/>
          <w:szCs w:val="20"/>
          <w:lang w:val="en-GB"/>
        </w:rPr>
        <w:t xml:space="preserve">, in larger transactions, the amount of equity capital required to complete an investment has increased significantly. This has resulted in some of the larger private equity deals being structured as consortium transactions. A consortium transaction involves an equity investment in which two or more firms serve together or collectively as equity sponsors. Consortium transactions generally entail a reduced level of control over the investment because governance rights must be shared with the other consortium investors. Accordingly, in such deals, the </w:t>
      </w:r>
      <w:bookmarkStart w:name="_9kMH1AQ7aXv6AA8BFPLzmlnx822EhdI28" w:id="105"/>
      <w:r w:rsidRPr="009C48DA" w:rsidR="008453E7">
        <w:rPr>
          <w:rFonts w:eastAsia="Calibri" w:cs="Arial"/>
          <w:szCs w:val="20"/>
          <w:lang w:val="en-GB"/>
        </w:rPr>
        <w:t xml:space="preserve">Bridgepoint </w:t>
      </w:r>
      <w:r w:rsidRPr="009C48DA">
        <w:rPr>
          <w:rFonts w:eastAsia="Calibri" w:cs="Arial"/>
          <w:szCs w:val="20"/>
          <w:lang w:val="en-GB"/>
        </w:rPr>
        <w:t>Funds</w:t>
      </w:r>
      <w:bookmarkEnd w:id="105"/>
      <w:r w:rsidRPr="009C48DA">
        <w:rPr>
          <w:rFonts w:eastAsia="Calibri" w:cs="Arial"/>
          <w:szCs w:val="20"/>
          <w:lang w:val="en-GB"/>
        </w:rPr>
        <w:t xml:space="preserve"> may not be able to separately control decisions relating to a consortium investment and the timing and nature of any exit. Moreover, such transactions may involve risks in connection with such third-party involvement, including the possibility that a co-investor may have ﬁnancial difﬁculties that negatively impact such investment. Further, a co-investor may have </w:t>
      </w:r>
      <w:r w:rsidRPr="009C48DA">
        <w:rPr>
          <w:rFonts w:eastAsia="Calibri" w:cs="Arial"/>
          <w:szCs w:val="20"/>
          <w:lang w:val="en-GB"/>
        </w:rPr>
        <w:lastRenderedPageBreak/>
        <w:t xml:space="preserve">economic or business interests that are inconsistent with those of the Group, or may be in a position to take action in a manner contrary to the </w:t>
      </w:r>
      <w:r w:rsidRPr="009C48DA" w:rsidR="008453E7">
        <w:rPr>
          <w:rFonts w:eastAsia="Calibri" w:cs="Arial"/>
          <w:szCs w:val="20"/>
          <w:lang w:val="en-GB"/>
        </w:rPr>
        <w:t xml:space="preserve">Bridgepoint </w:t>
      </w:r>
      <w:r w:rsidRPr="009C48DA">
        <w:rPr>
          <w:rFonts w:eastAsia="Calibri" w:cs="Arial"/>
          <w:szCs w:val="20"/>
          <w:lang w:val="en-GB"/>
        </w:rPr>
        <w:t xml:space="preserve">Fund’s investment objectives. Any of these factors could increase the risk that </w:t>
      </w:r>
      <w:bookmarkStart w:name="_9kMH22H7aXv6AA8BFPLzmlnx822EhdI28" w:id="106"/>
      <w:r w:rsidRPr="009C48DA" w:rsidR="00626A7E">
        <w:rPr>
          <w:rFonts w:eastAsia="Calibri" w:cs="Arial"/>
          <w:szCs w:val="20"/>
          <w:lang w:val="en-GB"/>
        </w:rPr>
        <w:t xml:space="preserve">the </w:t>
      </w:r>
      <w:r w:rsidRPr="009C48DA" w:rsidR="008453E7">
        <w:rPr>
          <w:rFonts w:eastAsia="Calibri" w:cs="Arial"/>
          <w:szCs w:val="20"/>
          <w:lang w:val="en-GB"/>
        </w:rPr>
        <w:t xml:space="preserve">Bridgepoint </w:t>
      </w:r>
      <w:r w:rsidRPr="009C48DA">
        <w:rPr>
          <w:rFonts w:eastAsia="Calibri" w:cs="Arial"/>
          <w:szCs w:val="20"/>
          <w:lang w:val="en-GB"/>
        </w:rPr>
        <w:t>Funds’</w:t>
      </w:r>
      <w:bookmarkEnd w:id="106"/>
      <w:r w:rsidRPr="009C48DA">
        <w:rPr>
          <w:rFonts w:eastAsia="Calibri" w:cs="Arial"/>
          <w:szCs w:val="20"/>
          <w:lang w:val="en-GB"/>
        </w:rPr>
        <w:t xml:space="preserve"> larger investments could be less successful than investments over which the relevant </w:t>
      </w:r>
      <w:bookmarkStart w:name="_9kMH23I7aXv6AA8BFPLzmlnx822EhdI28" w:id="107"/>
      <w:r w:rsidRPr="009C48DA" w:rsidR="008453E7">
        <w:rPr>
          <w:rFonts w:eastAsia="Calibri" w:cs="Arial"/>
          <w:szCs w:val="20"/>
          <w:lang w:val="en-GB"/>
        </w:rPr>
        <w:t xml:space="preserve">Bridgepoint </w:t>
      </w:r>
      <w:r w:rsidRPr="009C48DA">
        <w:rPr>
          <w:rFonts w:eastAsia="Calibri" w:cs="Arial"/>
          <w:szCs w:val="20"/>
          <w:lang w:val="en-GB"/>
        </w:rPr>
        <w:t>Fund</w:t>
      </w:r>
      <w:bookmarkEnd w:id="107"/>
      <w:r w:rsidRPr="009C48DA">
        <w:rPr>
          <w:rFonts w:eastAsia="Calibri" w:cs="Arial"/>
          <w:szCs w:val="20"/>
          <w:lang w:val="en-GB"/>
        </w:rPr>
        <w:t xml:space="preserve"> has full control. </w:t>
      </w:r>
    </w:p>
    <w:p w:rsidRPr="009C48DA" w:rsidR="006D6A27" w:rsidP="00676CA5" w:rsidRDefault="006D6A27" w14:paraId="359BC416" w14:textId="63FEFAA5">
      <w:pPr>
        <w:pStyle w:val="BodyText2SglJ"/>
        <w:rPr>
          <w:rFonts w:eastAsia="Calibri" w:cs="Arial"/>
          <w:szCs w:val="20"/>
          <w:lang w:val="en-GB"/>
        </w:rPr>
      </w:pPr>
      <w:r w:rsidRPr="009C48DA">
        <w:rPr>
          <w:rFonts w:eastAsia="Calibri" w:cs="Arial"/>
          <w:szCs w:val="20"/>
          <w:lang w:val="en-GB"/>
        </w:rPr>
        <w:t xml:space="preserve">The consequences of an unsuccessful larger investment by a </w:t>
      </w:r>
      <w:bookmarkStart w:name="_9kMH24J7aXv6AA8BFPLzmlnx822EhdI28" w:id="108"/>
      <w:r w:rsidRPr="009C48DA" w:rsidR="008453E7">
        <w:rPr>
          <w:rFonts w:eastAsia="Calibri" w:cs="Arial"/>
          <w:szCs w:val="20"/>
          <w:lang w:val="en-GB"/>
        </w:rPr>
        <w:t xml:space="preserve">Bridgepoint </w:t>
      </w:r>
      <w:r w:rsidRPr="009C48DA">
        <w:rPr>
          <w:rFonts w:eastAsia="Calibri" w:cs="Arial"/>
          <w:szCs w:val="20"/>
          <w:lang w:val="en-GB"/>
        </w:rPr>
        <w:t>Fund</w:t>
      </w:r>
      <w:bookmarkEnd w:id="108"/>
      <w:r w:rsidRPr="009C48DA">
        <w:rPr>
          <w:rFonts w:eastAsia="Calibri" w:cs="Arial"/>
          <w:szCs w:val="20"/>
          <w:lang w:val="en-GB"/>
        </w:rPr>
        <w:t xml:space="preserve"> could be more severe given the size of the investment, and any such adverse consequences could, in turn, have a material adverse impact on </w:t>
      </w:r>
      <w:bookmarkStart w:name="_9kML4H6ZWu59979GRKylkmw711D" w:id="109"/>
      <w:r w:rsidRPr="009C48DA" w:rsidR="006D5BFE">
        <w:rPr>
          <w:lang w:val="en-GB"/>
        </w:rPr>
        <w:t>Bridgepoint</w:t>
      </w:r>
      <w:r w:rsidRPr="009C48DA">
        <w:rPr>
          <w:rFonts w:eastAsia="Calibri" w:cs="Arial"/>
          <w:szCs w:val="20"/>
          <w:lang w:val="en-GB"/>
        </w:rPr>
        <w:t>’s</w:t>
      </w:r>
      <w:bookmarkEnd w:id="109"/>
      <w:r w:rsidRPr="009C48DA">
        <w:rPr>
          <w:rFonts w:eastAsia="Calibri" w:cs="Arial"/>
          <w:szCs w:val="20"/>
          <w:lang w:val="en-GB"/>
        </w:rPr>
        <w:t xml:space="preserve"> brand and reputation as well as adversely affecting the carried interest and </w:t>
      </w:r>
      <w:r w:rsidRPr="009C48DA" w:rsidR="008E6AE2">
        <w:rPr>
          <w:rFonts w:eastAsia="Calibri" w:cs="Arial"/>
          <w:szCs w:val="20"/>
          <w:lang w:val="en-GB"/>
        </w:rPr>
        <w:t>i</w:t>
      </w:r>
      <w:r w:rsidRPr="009C48DA">
        <w:rPr>
          <w:rFonts w:eastAsia="Calibri" w:cs="Arial"/>
          <w:szCs w:val="20"/>
          <w:lang w:val="en-GB"/>
        </w:rPr>
        <w:t xml:space="preserve">ncome </w:t>
      </w:r>
      <w:r w:rsidRPr="009C48DA" w:rsidR="003C36B4">
        <w:rPr>
          <w:rFonts w:eastAsia="Calibri" w:cs="Arial"/>
          <w:szCs w:val="20"/>
          <w:lang w:val="en-GB"/>
        </w:rPr>
        <w:t xml:space="preserve">from the fair value remeasurement of investments </w:t>
      </w:r>
      <w:r w:rsidRPr="009C48DA">
        <w:rPr>
          <w:rFonts w:eastAsia="Calibri" w:cs="Arial"/>
          <w:szCs w:val="20"/>
          <w:lang w:val="en-GB"/>
        </w:rPr>
        <w:t xml:space="preserve">received by the Group from the relevant </w:t>
      </w:r>
      <w:bookmarkStart w:name="_9kMH25K7aXv6AA8BFPLzmlnx822EhdI28" w:id="110"/>
      <w:r w:rsidRPr="009C48DA" w:rsidR="008453E7">
        <w:rPr>
          <w:rFonts w:eastAsia="Calibri" w:cs="Arial"/>
          <w:szCs w:val="20"/>
          <w:lang w:val="en-GB"/>
        </w:rPr>
        <w:t xml:space="preserve">Bridgepoint </w:t>
      </w:r>
      <w:r w:rsidRPr="009C48DA">
        <w:rPr>
          <w:rFonts w:eastAsia="Calibri" w:cs="Arial"/>
          <w:szCs w:val="20"/>
          <w:lang w:val="en-GB"/>
        </w:rPr>
        <w:t>Fund</w:t>
      </w:r>
      <w:bookmarkEnd w:id="110"/>
      <w:r w:rsidRPr="009C48DA">
        <w:rPr>
          <w:rFonts w:eastAsia="Calibri" w:cs="Arial"/>
          <w:szCs w:val="20"/>
          <w:lang w:val="en-GB"/>
        </w:rPr>
        <w:t>.</w:t>
      </w:r>
    </w:p>
    <w:p w:rsidRPr="009C48DA" w:rsidR="006D6A27" w:rsidP="00676CA5" w:rsidRDefault="006D6A27" w14:paraId="7D20559B" w14:textId="4982216E">
      <w:pPr>
        <w:pStyle w:val="TitleBI"/>
        <w:rPr>
          <w:szCs w:val="20"/>
          <w:lang w:val="en-GB"/>
        </w:rPr>
      </w:pPr>
      <w:r w:rsidRPr="009C48DA">
        <w:rPr>
          <w:szCs w:val="20"/>
          <w:lang w:val="en-GB"/>
        </w:rPr>
        <w:t xml:space="preserve">Certain of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 xml:space="preserve">Funds </w:t>
      </w:r>
      <w:r w:rsidRPr="009C48DA" w:rsidR="00221ED2">
        <w:rPr>
          <w:szCs w:val="20"/>
          <w:lang w:val="en-GB"/>
        </w:rPr>
        <w:t xml:space="preserve">have made, and </w:t>
      </w:r>
      <w:r w:rsidRPr="009C48DA">
        <w:rPr>
          <w:szCs w:val="20"/>
          <w:lang w:val="en-GB"/>
        </w:rPr>
        <w:t>may make</w:t>
      </w:r>
      <w:r w:rsidRPr="009C48DA" w:rsidR="00221ED2">
        <w:rPr>
          <w:szCs w:val="20"/>
          <w:lang w:val="en-GB"/>
        </w:rPr>
        <w:t>,</w:t>
      </w:r>
      <w:r w:rsidRPr="009C48DA">
        <w:rPr>
          <w:szCs w:val="20"/>
          <w:lang w:val="en-GB"/>
        </w:rPr>
        <w:t xml:space="preserve"> a limited number of investments, or investments that are concentrated in certain companies, geographic regions or asset types, which could negatively affect the performance of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Funds to the extent those concentrated assets perform poorly.</w:t>
      </w:r>
    </w:p>
    <w:p w:rsidRPr="009C48DA" w:rsidR="006D6A27" w:rsidP="00221ED2" w:rsidRDefault="006D6A27" w14:paraId="5C812088" w14:textId="6CE96A6F">
      <w:pPr>
        <w:pStyle w:val="BodyText2SglJ"/>
        <w:rPr>
          <w:rFonts w:eastAsia="Calibri" w:cs="Arial"/>
          <w:szCs w:val="20"/>
          <w:lang w:val="en-GB"/>
        </w:rPr>
      </w:pPr>
      <w:r w:rsidRPr="009C48DA">
        <w:rPr>
          <w:rFonts w:eastAsia="Calibri" w:cs="Arial"/>
          <w:szCs w:val="20"/>
          <w:lang w:val="en-GB"/>
        </w:rPr>
        <w:t xml:space="preserve">Concentration in each </w:t>
      </w:r>
      <w:r w:rsidRPr="009C48DA" w:rsidR="008453E7">
        <w:rPr>
          <w:rFonts w:eastAsia="Calibri" w:cs="Arial"/>
          <w:szCs w:val="20"/>
          <w:lang w:val="en-GB"/>
        </w:rPr>
        <w:t xml:space="preserve">Bridgepoint </w:t>
      </w:r>
      <w:r w:rsidRPr="009C48DA">
        <w:rPr>
          <w:rFonts w:eastAsia="Calibri" w:cs="Arial"/>
          <w:szCs w:val="20"/>
          <w:lang w:val="en-GB"/>
        </w:rPr>
        <w:t xml:space="preserve">Fund is regulated by the relevant agreement for that </w:t>
      </w:r>
      <w:r w:rsidRPr="009C48DA" w:rsidR="008453E7">
        <w:rPr>
          <w:rFonts w:eastAsia="Calibri" w:cs="Arial"/>
          <w:szCs w:val="20"/>
          <w:lang w:val="en-GB"/>
        </w:rPr>
        <w:t xml:space="preserve">Bridgepoint </w:t>
      </w:r>
      <w:r w:rsidRPr="009C48DA">
        <w:rPr>
          <w:rFonts w:eastAsia="Calibri" w:cs="Arial"/>
          <w:szCs w:val="20"/>
          <w:lang w:val="en-GB"/>
        </w:rPr>
        <w:t xml:space="preserve">Fund and this exists to ensure that the </w:t>
      </w:r>
      <w:r w:rsidRPr="009C48DA" w:rsidR="008453E7">
        <w:rPr>
          <w:rFonts w:eastAsia="Calibri" w:cs="Arial"/>
          <w:szCs w:val="20"/>
          <w:lang w:val="en-GB"/>
        </w:rPr>
        <w:t xml:space="preserve">Bridgepoint </w:t>
      </w:r>
      <w:r w:rsidRPr="009C48DA">
        <w:rPr>
          <w:rFonts w:eastAsia="Calibri" w:cs="Arial"/>
          <w:szCs w:val="20"/>
          <w:lang w:val="en-GB"/>
        </w:rPr>
        <w:t xml:space="preserve">Funds maintain a diversified pool of investments. The governing agreements of the </w:t>
      </w:r>
      <w:r w:rsidRPr="009C48DA" w:rsidR="008453E7">
        <w:rPr>
          <w:rFonts w:eastAsia="Calibri" w:cs="Arial"/>
          <w:szCs w:val="20"/>
          <w:lang w:val="en-GB"/>
        </w:rPr>
        <w:t xml:space="preserve">Bridgepoint </w:t>
      </w:r>
      <w:r w:rsidRPr="009C48DA">
        <w:rPr>
          <w:rFonts w:eastAsia="Calibri" w:cs="Arial"/>
          <w:szCs w:val="20"/>
          <w:lang w:val="en-GB"/>
        </w:rPr>
        <w:t xml:space="preserve">Funds, however, generally contain only limited investment restrictions and only limited requirements as to diversification of fund investments, either by geographic region or asset type. The Group’s flagship private equity </w:t>
      </w:r>
      <w:r w:rsidRPr="009C48DA" w:rsidR="00917735">
        <w:rPr>
          <w:rFonts w:eastAsia="Calibri" w:cs="Arial"/>
          <w:szCs w:val="20"/>
          <w:lang w:val="en-GB"/>
        </w:rPr>
        <w:t>funds generally permit up to 10 per cent</w:t>
      </w:r>
      <w:r w:rsidRPr="009C48DA">
        <w:rPr>
          <w:rFonts w:eastAsia="Calibri" w:cs="Arial"/>
          <w:szCs w:val="20"/>
          <w:lang w:val="en-GB"/>
        </w:rPr>
        <w:t xml:space="preserve"> of the fund to be invested in a single company. </w:t>
      </w:r>
      <w:r w:rsidRPr="009C48DA" w:rsidR="00EA0402">
        <w:rPr>
          <w:rFonts w:eastAsia="Calibri" w:cs="Arial"/>
          <w:szCs w:val="20"/>
          <w:lang w:val="en-GB"/>
        </w:rPr>
        <w:t xml:space="preserve">For reference, </w:t>
      </w:r>
      <w:r w:rsidRPr="009C48DA" w:rsidR="00B9239F">
        <w:rPr>
          <w:rFonts w:eastAsia="Calibri" w:cs="Arial"/>
          <w:szCs w:val="20"/>
          <w:lang w:val="en-GB"/>
        </w:rPr>
        <w:t>in the private equity segment</w:t>
      </w:r>
      <w:r w:rsidRPr="009C48DA" w:rsidR="00653564">
        <w:rPr>
          <w:rFonts w:eastAsia="Calibri" w:cs="Arial"/>
          <w:szCs w:val="20"/>
          <w:lang w:val="en-GB"/>
        </w:rPr>
        <w:t xml:space="preserve"> (post Bridgepoint Europe III)</w:t>
      </w:r>
      <w:r w:rsidRPr="009C48DA" w:rsidR="00AF4B45">
        <w:rPr>
          <w:rFonts w:eastAsia="Calibri" w:cs="Arial"/>
          <w:szCs w:val="20"/>
          <w:lang w:val="en-GB"/>
        </w:rPr>
        <w:t>,</w:t>
      </w:r>
      <w:r w:rsidRPr="009C48DA" w:rsidR="00B9239F">
        <w:rPr>
          <w:rFonts w:eastAsia="Calibri" w:cs="Arial"/>
          <w:szCs w:val="20"/>
          <w:lang w:val="en-GB"/>
        </w:rPr>
        <w:t xml:space="preserve"> the value of </w:t>
      </w:r>
      <w:r w:rsidRPr="009C48DA" w:rsidR="00EA0402">
        <w:rPr>
          <w:rFonts w:eastAsia="Calibri" w:cs="Arial"/>
          <w:szCs w:val="20"/>
          <w:lang w:val="en-GB"/>
        </w:rPr>
        <w:t xml:space="preserve">the single largest investment held by a </w:t>
      </w:r>
      <w:r w:rsidRPr="009C48DA" w:rsidR="008453E7">
        <w:rPr>
          <w:rFonts w:eastAsia="Calibri" w:cs="Arial"/>
          <w:szCs w:val="20"/>
          <w:lang w:val="en-GB"/>
        </w:rPr>
        <w:t xml:space="preserve">Bridgepoint </w:t>
      </w:r>
      <w:r w:rsidRPr="009C48DA" w:rsidR="00EA0402">
        <w:rPr>
          <w:rFonts w:eastAsia="Calibri" w:cs="Arial"/>
          <w:szCs w:val="20"/>
          <w:lang w:val="en-GB"/>
        </w:rPr>
        <w:t xml:space="preserve">Fund </w:t>
      </w:r>
      <w:r w:rsidRPr="009C48DA" w:rsidR="00B9239F">
        <w:rPr>
          <w:rFonts w:eastAsia="Calibri" w:cs="Arial"/>
          <w:szCs w:val="20"/>
          <w:lang w:val="en-GB"/>
        </w:rPr>
        <w:t xml:space="preserve">as of 31 March 2021 </w:t>
      </w:r>
      <w:r w:rsidRPr="009C48DA" w:rsidR="00EA0402">
        <w:rPr>
          <w:rFonts w:eastAsia="Calibri" w:cs="Arial"/>
          <w:szCs w:val="20"/>
          <w:lang w:val="en-GB"/>
        </w:rPr>
        <w:t>represent</w:t>
      </w:r>
      <w:r w:rsidRPr="009C48DA" w:rsidR="00B9239F">
        <w:rPr>
          <w:rFonts w:eastAsia="Calibri" w:cs="Arial"/>
          <w:szCs w:val="20"/>
          <w:lang w:val="en-GB"/>
        </w:rPr>
        <w:t>ed</w:t>
      </w:r>
      <w:r w:rsidRPr="009C48DA" w:rsidR="00EA0402">
        <w:rPr>
          <w:rFonts w:eastAsia="Calibri" w:cs="Arial"/>
          <w:szCs w:val="20"/>
          <w:lang w:val="en-GB"/>
        </w:rPr>
        <w:t xml:space="preserve"> less than 10 per cent of </w:t>
      </w:r>
      <w:r w:rsidRPr="009C48DA" w:rsidR="003C36B4">
        <w:rPr>
          <w:rFonts w:eastAsia="Calibri" w:cs="Arial"/>
          <w:szCs w:val="20"/>
          <w:lang w:val="en-GB"/>
        </w:rPr>
        <w:t xml:space="preserve">the </w:t>
      </w:r>
      <w:r w:rsidRPr="009C48DA" w:rsidR="00EA0402">
        <w:rPr>
          <w:rFonts w:eastAsia="Calibri" w:cs="Arial"/>
          <w:szCs w:val="20"/>
          <w:lang w:val="en-GB"/>
        </w:rPr>
        <w:t xml:space="preserve">total </w:t>
      </w:r>
      <w:r w:rsidRPr="009C48DA" w:rsidR="00653564">
        <w:rPr>
          <w:rFonts w:eastAsia="Calibri" w:cs="Arial"/>
          <w:szCs w:val="20"/>
          <w:lang w:val="en-GB"/>
        </w:rPr>
        <w:t>fund capital,</w:t>
      </w:r>
      <w:r w:rsidRPr="009C48DA" w:rsidR="00EA0402">
        <w:rPr>
          <w:rFonts w:eastAsia="Calibri" w:cs="Arial"/>
          <w:szCs w:val="20"/>
          <w:lang w:val="en-GB"/>
        </w:rPr>
        <w:t xml:space="preserve"> and the 20 largest </w:t>
      </w:r>
      <w:r w:rsidRPr="009C48DA" w:rsidR="00B9239F">
        <w:rPr>
          <w:rFonts w:eastAsia="Calibri" w:cs="Arial"/>
          <w:szCs w:val="20"/>
          <w:lang w:val="en-GB"/>
        </w:rPr>
        <w:t xml:space="preserve">private equity </w:t>
      </w:r>
      <w:r w:rsidRPr="009C48DA" w:rsidR="00EA0402">
        <w:rPr>
          <w:rFonts w:eastAsia="Calibri" w:cs="Arial"/>
          <w:szCs w:val="20"/>
          <w:lang w:val="en-GB"/>
        </w:rPr>
        <w:t xml:space="preserve">investments </w:t>
      </w:r>
      <w:r w:rsidRPr="009C48DA" w:rsidR="00B9239F">
        <w:rPr>
          <w:rFonts w:eastAsia="Calibri" w:cs="Arial"/>
          <w:szCs w:val="20"/>
          <w:lang w:val="en-GB"/>
        </w:rPr>
        <w:t xml:space="preserve">as of 31 March 2021 </w:t>
      </w:r>
      <w:r w:rsidRPr="009C48DA" w:rsidR="00EA0402">
        <w:rPr>
          <w:rFonts w:eastAsia="Calibri" w:cs="Arial"/>
          <w:szCs w:val="20"/>
          <w:lang w:val="en-GB"/>
        </w:rPr>
        <w:t>together represent</w:t>
      </w:r>
      <w:r w:rsidRPr="009C48DA" w:rsidR="00B9239F">
        <w:rPr>
          <w:rFonts w:eastAsia="Calibri" w:cs="Arial"/>
          <w:szCs w:val="20"/>
          <w:lang w:val="en-GB"/>
        </w:rPr>
        <w:t>ed</w:t>
      </w:r>
      <w:r w:rsidRPr="009C48DA" w:rsidR="00917735">
        <w:rPr>
          <w:rFonts w:eastAsia="Calibri" w:cs="Arial"/>
          <w:szCs w:val="20"/>
          <w:lang w:val="en-GB"/>
        </w:rPr>
        <w:t xml:space="preserve"> approximately 57 per cent</w:t>
      </w:r>
      <w:r w:rsidRPr="009C48DA" w:rsidR="00EA0402">
        <w:rPr>
          <w:rFonts w:eastAsia="Calibri" w:cs="Arial"/>
          <w:szCs w:val="20"/>
          <w:lang w:val="en-GB"/>
        </w:rPr>
        <w:t xml:space="preserve"> of </w:t>
      </w:r>
      <w:r w:rsidRPr="009C48DA" w:rsidR="003C36B4">
        <w:rPr>
          <w:rFonts w:eastAsia="Calibri" w:cs="Arial"/>
          <w:szCs w:val="20"/>
          <w:lang w:val="en-GB"/>
        </w:rPr>
        <w:t xml:space="preserve">the </w:t>
      </w:r>
      <w:r w:rsidRPr="009C48DA" w:rsidR="00653564">
        <w:rPr>
          <w:rFonts w:eastAsia="Calibri" w:cs="Arial"/>
          <w:szCs w:val="20"/>
          <w:lang w:val="en-GB"/>
        </w:rPr>
        <w:t>total value of unrealised assets as of such date (as determined pursuant to the latest quarterly or semi-annual valuation for each Bridgepoint Fund conducted by the Group) plus undrawn commitments managed by the Group (“</w:t>
      </w:r>
      <w:r w:rsidRPr="009C48DA" w:rsidR="00653564">
        <w:rPr>
          <w:rFonts w:eastAsia="Calibri" w:cs="Arial"/>
          <w:b/>
          <w:szCs w:val="20"/>
          <w:lang w:val="en-GB"/>
        </w:rPr>
        <w:t>Total AUM</w:t>
      </w:r>
      <w:r w:rsidRPr="009C48DA" w:rsidR="00653564">
        <w:rPr>
          <w:rFonts w:eastAsia="Calibri" w:cs="Arial"/>
          <w:szCs w:val="20"/>
          <w:lang w:val="en-GB"/>
        </w:rPr>
        <w:t>”) of all Bridgepoint private equity funds</w:t>
      </w:r>
      <w:r w:rsidRPr="009C48DA" w:rsidR="00EA0402">
        <w:rPr>
          <w:rFonts w:eastAsia="Calibri" w:cs="Arial"/>
          <w:szCs w:val="20"/>
          <w:lang w:val="en-GB"/>
        </w:rPr>
        <w:t xml:space="preserve">. </w:t>
      </w:r>
      <w:r w:rsidRPr="009C48DA">
        <w:rPr>
          <w:rFonts w:eastAsia="Calibri" w:cs="Arial"/>
          <w:szCs w:val="20"/>
          <w:lang w:val="en-GB"/>
        </w:rPr>
        <w:t xml:space="preserve">Certain funds also invest in </w:t>
      </w:r>
      <w:r w:rsidRPr="009C48DA" w:rsidR="00FC2157">
        <w:rPr>
          <w:rFonts w:eastAsia="Calibri" w:cs="Arial"/>
          <w:szCs w:val="20"/>
          <w:lang w:val="en-GB"/>
        </w:rPr>
        <w:t>specific areas</w:t>
      </w:r>
      <w:r w:rsidRPr="009C48DA">
        <w:rPr>
          <w:rFonts w:eastAsia="Calibri" w:cs="Arial"/>
          <w:szCs w:val="20"/>
          <w:lang w:val="en-GB"/>
        </w:rPr>
        <w:t xml:space="preserve">, such as growth equity, or focus on particular geographic regions. </w:t>
      </w:r>
      <w:r w:rsidRPr="009C48DA" w:rsidR="00221ED2">
        <w:rPr>
          <w:rFonts w:eastAsia="Calibri" w:cs="Arial"/>
          <w:szCs w:val="20"/>
          <w:lang w:val="en-GB"/>
        </w:rPr>
        <w:t>For example, as of 31 March 2021</w:t>
      </w:r>
      <w:r w:rsidRPr="009C48DA" w:rsidR="008B5DAC">
        <w:rPr>
          <w:rFonts w:eastAsia="Calibri" w:cs="Arial"/>
          <w:szCs w:val="20"/>
          <w:lang w:val="en-GB"/>
        </w:rPr>
        <w:t>,</w:t>
      </w:r>
      <w:r w:rsidRPr="009C48DA" w:rsidR="00221ED2">
        <w:rPr>
          <w:rFonts w:eastAsia="Calibri" w:cs="Arial"/>
          <w:szCs w:val="20"/>
          <w:lang w:val="en-GB"/>
        </w:rPr>
        <w:t xml:space="preserve"> over 90 per cent of the </w:t>
      </w:r>
      <w:r w:rsidRPr="009C48DA" w:rsidR="008453E7">
        <w:rPr>
          <w:rFonts w:eastAsia="Calibri" w:cs="Arial"/>
          <w:szCs w:val="20"/>
          <w:lang w:val="en-GB"/>
        </w:rPr>
        <w:t xml:space="preserve">Bridgepoint </w:t>
      </w:r>
      <w:r w:rsidRPr="009C48DA" w:rsidR="00221ED2">
        <w:rPr>
          <w:rFonts w:eastAsia="Calibri" w:cs="Arial"/>
          <w:szCs w:val="20"/>
          <w:lang w:val="en-GB"/>
        </w:rPr>
        <w:t xml:space="preserve">Funds’ private equity investments by value were in Europe. </w:t>
      </w:r>
      <w:r w:rsidRPr="009C48DA">
        <w:rPr>
          <w:rFonts w:eastAsia="Calibri" w:cs="Arial"/>
          <w:szCs w:val="20"/>
          <w:lang w:val="en-GB"/>
        </w:rPr>
        <w:t>During periods of difficult market conditions or slowdowns in these sectors or geogra</w:t>
      </w:r>
      <w:r w:rsidRPr="009C48DA" w:rsidR="00626A7E">
        <w:rPr>
          <w:rFonts w:eastAsia="Calibri" w:cs="Arial"/>
          <w:szCs w:val="20"/>
          <w:lang w:val="en-GB"/>
        </w:rPr>
        <w:t>phic regions, decreased revenue</w:t>
      </w:r>
      <w:r w:rsidRPr="009C48DA">
        <w:rPr>
          <w:rFonts w:eastAsia="Calibri" w:cs="Arial"/>
          <w:szCs w:val="20"/>
          <w:lang w:val="en-GB"/>
        </w:rPr>
        <w:t xml:space="preserve">, difficulty in obtaining access to financing and increased funding costs may be exacerbated by this concentration of investments, which would result in lower investment returns. Because a significant portion of </w:t>
      </w:r>
      <w:r w:rsidRPr="009C48DA" w:rsidR="00EA0402">
        <w:rPr>
          <w:rFonts w:eastAsia="Calibri" w:cs="Arial"/>
          <w:szCs w:val="20"/>
          <w:lang w:val="en-GB"/>
        </w:rPr>
        <w:t xml:space="preserve">the </w:t>
      </w:r>
      <w:r w:rsidRPr="009C48DA">
        <w:rPr>
          <w:rFonts w:eastAsia="Calibri" w:cs="Arial"/>
          <w:szCs w:val="20"/>
          <w:lang w:val="en-GB"/>
        </w:rPr>
        <w:t xml:space="preserve">capital </w:t>
      </w:r>
      <w:r w:rsidRPr="009C48DA" w:rsidR="00EA0402">
        <w:rPr>
          <w:rFonts w:eastAsia="Calibri" w:cs="Arial"/>
          <w:szCs w:val="20"/>
          <w:lang w:val="en-GB"/>
        </w:rPr>
        <w:t xml:space="preserve">of certain </w:t>
      </w:r>
      <w:r w:rsidRPr="009C48DA" w:rsidR="008453E7">
        <w:rPr>
          <w:rFonts w:eastAsia="Calibri" w:cs="Arial"/>
          <w:szCs w:val="20"/>
          <w:lang w:val="en-GB"/>
        </w:rPr>
        <w:t xml:space="preserve">Bridgepoint </w:t>
      </w:r>
      <w:r w:rsidRPr="009C48DA" w:rsidR="00EA0402">
        <w:rPr>
          <w:rFonts w:eastAsia="Calibri" w:cs="Arial"/>
          <w:szCs w:val="20"/>
          <w:lang w:val="en-GB"/>
        </w:rPr>
        <w:t xml:space="preserve">Funds is invested in </w:t>
      </w:r>
      <w:r w:rsidRPr="009C48DA">
        <w:rPr>
          <w:rFonts w:eastAsia="Calibri" w:cs="Arial"/>
          <w:szCs w:val="20"/>
          <w:lang w:val="en-GB"/>
        </w:rPr>
        <w:t>a single investment or portfolio company</w:t>
      </w:r>
      <w:r w:rsidRPr="009C48DA" w:rsidR="00221ED2">
        <w:rPr>
          <w:rFonts w:eastAsia="Calibri" w:cs="Arial"/>
          <w:szCs w:val="20"/>
          <w:lang w:val="en-GB"/>
        </w:rPr>
        <w:t>,</w:t>
      </w:r>
      <w:r w:rsidRPr="009C48DA" w:rsidR="00EA0402">
        <w:rPr>
          <w:rFonts w:eastAsia="Calibri" w:cs="Arial"/>
          <w:szCs w:val="20"/>
          <w:lang w:val="en-GB"/>
        </w:rPr>
        <w:t xml:space="preserve"> and may continue to be invested in</w:t>
      </w:r>
      <w:r w:rsidRPr="009C48DA" w:rsidR="00221ED2">
        <w:rPr>
          <w:rFonts w:eastAsia="Calibri" w:cs="Arial"/>
          <w:szCs w:val="20"/>
          <w:lang w:val="en-GB"/>
        </w:rPr>
        <w:t xml:space="preserve"> a limited number of investments in the future</w:t>
      </w:r>
      <w:r w:rsidRPr="009C48DA">
        <w:rPr>
          <w:rFonts w:eastAsia="Calibri" w:cs="Arial"/>
          <w:szCs w:val="20"/>
          <w:lang w:val="en-GB"/>
        </w:rPr>
        <w:t xml:space="preserve">, a loss with respect to such investment or portfolio company could have a material adverse impact on </w:t>
      </w:r>
      <w:r w:rsidRPr="009C48DA" w:rsidR="00221ED2">
        <w:rPr>
          <w:rFonts w:eastAsia="Calibri" w:cs="Arial"/>
          <w:szCs w:val="20"/>
          <w:lang w:val="en-GB"/>
        </w:rPr>
        <w:t xml:space="preserve">any </w:t>
      </w:r>
      <w:r w:rsidRPr="009C48DA">
        <w:rPr>
          <w:rFonts w:eastAsia="Calibri" w:cs="Arial"/>
          <w:szCs w:val="20"/>
          <w:lang w:val="en-GB"/>
        </w:rPr>
        <w:t xml:space="preserve">such </w:t>
      </w:r>
      <w:r w:rsidRPr="009C48DA" w:rsidR="008453E7">
        <w:rPr>
          <w:rFonts w:eastAsia="Calibri" w:cs="Arial"/>
          <w:szCs w:val="20"/>
          <w:lang w:val="en-GB"/>
        </w:rPr>
        <w:t xml:space="preserve">Bridgepoint </w:t>
      </w:r>
      <w:r w:rsidRPr="009C48DA" w:rsidR="00A47FAA">
        <w:rPr>
          <w:rFonts w:eastAsia="Calibri" w:cs="Arial"/>
          <w:szCs w:val="20"/>
          <w:lang w:val="en-GB"/>
        </w:rPr>
        <w:t>F</w:t>
      </w:r>
      <w:r w:rsidRPr="009C48DA">
        <w:rPr>
          <w:rFonts w:eastAsia="Calibri" w:cs="Arial"/>
          <w:szCs w:val="20"/>
          <w:lang w:val="en-GB"/>
        </w:rPr>
        <w:t xml:space="preserve">und’s capital. Accordingly, a lack of diversification on the part of a </w:t>
      </w:r>
      <w:r w:rsidRPr="009C48DA" w:rsidR="008453E7">
        <w:rPr>
          <w:rFonts w:eastAsia="Calibri" w:cs="Arial"/>
          <w:szCs w:val="20"/>
          <w:lang w:val="en-GB"/>
        </w:rPr>
        <w:t xml:space="preserve">Bridgepoint </w:t>
      </w:r>
      <w:r w:rsidRPr="009C48DA" w:rsidR="00A47FAA">
        <w:rPr>
          <w:rFonts w:eastAsia="Calibri" w:cs="Arial"/>
          <w:szCs w:val="20"/>
          <w:lang w:val="en-GB"/>
        </w:rPr>
        <w:t>F</w:t>
      </w:r>
      <w:r w:rsidRPr="009C48DA">
        <w:rPr>
          <w:rFonts w:eastAsia="Calibri" w:cs="Arial"/>
          <w:szCs w:val="20"/>
          <w:lang w:val="en-GB"/>
        </w:rPr>
        <w:t xml:space="preserve">und could </w:t>
      </w:r>
      <w:r w:rsidRPr="009C48DA" w:rsidR="00A47FAA">
        <w:rPr>
          <w:rFonts w:eastAsia="Calibri" w:cs="Arial"/>
          <w:szCs w:val="20"/>
          <w:lang w:val="en-GB"/>
        </w:rPr>
        <w:t xml:space="preserve">have a </w:t>
      </w:r>
      <w:r w:rsidRPr="009C48DA">
        <w:rPr>
          <w:rFonts w:eastAsia="Calibri" w:cs="Arial"/>
          <w:szCs w:val="20"/>
          <w:lang w:val="en-GB"/>
        </w:rPr>
        <w:t xml:space="preserve">material adverse </w:t>
      </w:r>
      <w:r w:rsidRPr="009C48DA" w:rsidR="00A47FAA">
        <w:rPr>
          <w:rFonts w:eastAsia="Calibri" w:cs="Arial"/>
          <w:szCs w:val="20"/>
          <w:lang w:val="en-GB"/>
        </w:rPr>
        <w:t>e</w:t>
      </w:r>
      <w:r w:rsidRPr="009C48DA">
        <w:rPr>
          <w:rFonts w:eastAsia="Calibri" w:cs="Arial"/>
          <w:szCs w:val="20"/>
          <w:lang w:val="en-GB"/>
        </w:rPr>
        <w:t xml:space="preserve">ffect </w:t>
      </w:r>
      <w:r w:rsidRPr="009C48DA" w:rsidR="00A47FAA">
        <w:rPr>
          <w:rFonts w:eastAsia="Calibri" w:cs="Arial"/>
          <w:szCs w:val="20"/>
          <w:lang w:val="en-GB"/>
        </w:rPr>
        <w:t xml:space="preserve">on </w:t>
      </w:r>
      <w:r w:rsidRPr="009C48DA" w:rsidR="00392042">
        <w:rPr>
          <w:rFonts w:eastAsia="Calibri" w:cs="Arial"/>
          <w:szCs w:val="20"/>
          <w:lang w:val="en-GB"/>
        </w:rPr>
        <w:t>the</w:t>
      </w:r>
      <w:r w:rsidRPr="009C48DA">
        <w:rPr>
          <w:rFonts w:eastAsia="Calibri" w:cs="Arial"/>
          <w:szCs w:val="20"/>
          <w:lang w:val="en-GB"/>
        </w:rPr>
        <w:t xml:space="preserve"> </w:t>
      </w:r>
      <w:r w:rsidRPr="009C48DA" w:rsidR="008453E7">
        <w:rPr>
          <w:rFonts w:eastAsia="Calibri" w:cs="Arial"/>
          <w:szCs w:val="20"/>
          <w:lang w:val="en-GB"/>
        </w:rPr>
        <w:t xml:space="preserve">Bridgepoint </w:t>
      </w:r>
      <w:r w:rsidRPr="009C48DA" w:rsidR="00221ED2">
        <w:rPr>
          <w:rFonts w:eastAsia="Calibri" w:cs="Arial"/>
          <w:szCs w:val="20"/>
          <w:lang w:val="en-GB"/>
        </w:rPr>
        <w:t>F</w:t>
      </w:r>
      <w:r w:rsidRPr="009C48DA">
        <w:rPr>
          <w:rFonts w:eastAsia="Calibri" w:cs="Arial"/>
          <w:szCs w:val="20"/>
          <w:lang w:val="en-GB"/>
        </w:rPr>
        <w:t>und</w:t>
      </w:r>
      <w:r w:rsidRPr="009C48DA" w:rsidR="00221ED2">
        <w:rPr>
          <w:rFonts w:eastAsia="Calibri" w:cs="Arial"/>
          <w:szCs w:val="20"/>
          <w:lang w:val="en-GB"/>
        </w:rPr>
        <w:t>s</w:t>
      </w:r>
      <w:r w:rsidRPr="009C48DA">
        <w:rPr>
          <w:rFonts w:eastAsia="Calibri" w:cs="Arial"/>
          <w:szCs w:val="20"/>
          <w:lang w:val="en-GB"/>
        </w:rPr>
        <w:t xml:space="preserve">’ performance and, therefore, </w:t>
      </w:r>
      <w:r w:rsidRPr="009C48DA" w:rsidR="00A47FAA">
        <w:rPr>
          <w:rFonts w:eastAsia="Calibri" w:cs="Arial"/>
          <w:szCs w:val="20"/>
          <w:lang w:val="en-GB"/>
        </w:rPr>
        <w:t xml:space="preserve">could </w:t>
      </w:r>
      <w:r w:rsidRPr="009C48DA" w:rsidR="00221ED2">
        <w:rPr>
          <w:rFonts w:eastAsia="Calibri" w:cs="Arial"/>
          <w:szCs w:val="20"/>
          <w:lang w:val="en-GB"/>
        </w:rPr>
        <w:t xml:space="preserve">impact the Group’s brand and reputation and </w:t>
      </w:r>
      <w:r w:rsidRPr="009C48DA" w:rsidR="00A47FAA">
        <w:rPr>
          <w:rFonts w:eastAsia="Calibri" w:cs="Arial"/>
          <w:szCs w:val="20"/>
          <w:lang w:val="en-GB"/>
        </w:rPr>
        <w:t xml:space="preserve">have a material adverse effect on </w:t>
      </w:r>
      <w:r w:rsidRPr="009C48DA">
        <w:rPr>
          <w:rFonts w:eastAsia="Calibri" w:cs="Arial"/>
          <w:szCs w:val="20"/>
          <w:lang w:val="en-GB"/>
        </w:rPr>
        <w:t xml:space="preserve">the </w:t>
      </w:r>
      <w:r w:rsidRPr="009C48DA" w:rsidR="001A03FE">
        <w:rPr>
          <w:rFonts w:eastAsia="Calibri" w:cs="Arial"/>
          <w:szCs w:val="20"/>
          <w:lang w:val="en-GB"/>
        </w:rPr>
        <w:t>Group</w:t>
      </w:r>
      <w:r w:rsidRPr="009C48DA">
        <w:rPr>
          <w:rFonts w:eastAsia="Calibri" w:cs="Arial"/>
          <w:szCs w:val="20"/>
          <w:lang w:val="en-GB"/>
        </w:rPr>
        <w:t xml:space="preserve">’s business, </w:t>
      </w:r>
      <w:r w:rsidRPr="009C48DA" w:rsidR="00A47FAA">
        <w:rPr>
          <w:rFonts w:eastAsia="Calibri" w:cs="Arial"/>
          <w:szCs w:val="20"/>
          <w:lang w:val="en-GB"/>
        </w:rPr>
        <w:t>revenue, net income and cash flow</w:t>
      </w:r>
      <w:r w:rsidRPr="009C48DA" w:rsidR="00392042">
        <w:rPr>
          <w:rFonts w:eastAsia="Calibri" w:cs="Arial"/>
          <w:szCs w:val="20"/>
          <w:lang w:val="en-GB"/>
        </w:rPr>
        <w:t>s</w:t>
      </w:r>
      <w:r w:rsidRPr="009C48DA">
        <w:rPr>
          <w:rFonts w:eastAsia="Calibri" w:cs="Arial"/>
          <w:szCs w:val="20"/>
          <w:lang w:val="en-GB"/>
        </w:rPr>
        <w:t xml:space="preserve">. </w:t>
      </w:r>
    </w:p>
    <w:p w:rsidRPr="009C48DA" w:rsidR="006D6A27" w:rsidP="00676CA5" w:rsidRDefault="006D6A27" w14:paraId="3E22EC92" w14:textId="5DD381B3">
      <w:pPr>
        <w:pStyle w:val="TitleBI"/>
        <w:rPr>
          <w:szCs w:val="20"/>
          <w:lang w:val="en-GB"/>
        </w:rPr>
      </w:pPr>
      <w:r w:rsidRPr="009C48DA">
        <w:rPr>
          <w:szCs w:val="20"/>
          <w:lang w:val="en-GB"/>
        </w:rPr>
        <w:t xml:space="preserve">Implementing the Group’s growth </w:t>
      </w:r>
      <w:r w:rsidRPr="009C48DA" w:rsidR="003C36B4">
        <w:rPr>
          <w:szCs w:val="20"/>
          <w:lang w:val="en-GB"/>
        </w:rPr>
        <w:t xml:space="preserve">and diversification strategy, which includes organic scaling of existing strategies, building out new funds within existing strategies and adding a third </w:t>
      </w:r>
      <w:r w:rsidRPr="009C48DA" w:rsidR="009D2417">
        <w:rPr>
          <w:szCs w:val="20"/>
          <w:lang w:val="en-GB"/>
        </w:rPr>
        <w:t>core</w:t>
      </w:r>
      <w:r w:rsidRPr="009C48DA" w:rsidR="003C36B4">
        <w:rPr>
          <w:szCs w:val="20"/>
          <w:lang w:val="en-GB"/>
        </w:rPr>
        <w:t xml:space="preserve"> product strategy through acquisition-led </w:t>
      </w:r>
      <w:r w:rsidRPr="009C48DA">
        <w:rPr>
          <w:szCs w:val="20"/>
          <w:lang w:val="en-GB"/>
        </w:rPr>
        <w:t>expansion, may be unsuccessful, and may result in additional risks and uncertainties.</w:t>
      </w:r>
    </w:p>
    <w:p w:rsidRPr="009C48DA" w:rsidR="006D6A27" w:rsidP="00676CA5" w:rsidRDefault="006D6A27" w14:paraId="5CDA8111" w14:textId="65ED1519">
      <w:pPr>
        <w:pStyle w:val="BodyText2SglJ"/>
        <w:rPr>
          <w:rFonts w:eastAsia="Calibri" w:cs="Arial"/>
          <w:szCs w:val="20"/>
          <w:lang w:val="en-GB"/>
        </w:rPr>
      </w:pPr>
      <w:r w:rsidRPr="009C48DA">
        <w:rPr>
          <w:rFonts w:eastAsia="Calibri" w:cs="Arial"/>
          <w:szCs w:val="20"/>
          <w:lang w:val="en-GB"/>
        </w:rPr>
        <w:t xml:space="preserve">The organisational documents of the Group do not limit it to certain types of investment management businesses. Accordingly, the Group has pursued, and may continue to pursue, growth through acquisitions of asset managers and other investment management companies, acquisitions of critical business partners or other strategic initiatives and/or through organic </w:t>
      </w:r>
      <w:r w:rsidRPr="009C48DA" w:rsidR="003C36B4">
        <w:rPr>
          <w:rFonts w:eastAsia="Calibri" w:cs="Arial"/>
          <w:szCs w:val="20"/>
          <w:lang w:val="en-GB"/>
        </w:rPr>
        <w:t>expansion</w:t>
      </w:r>
      <w:r w:rsidRPr="009C48DA">
        <w:rPr>
          <w:rFonts w:eastAsia="Calibri" w:cs="Arial"/>
          <w:szCs w:val="20"/>
          <w:lang w:val="en-GB"/>
        </w:rPr>
        <w:t xml:space="preserve">. The Group’s growth </w:t>
      </w:r>
      <w:r w:rsidRPr="009C48DA" w:rsidR="003C36B4">
        <w:rPr>
          <w:rFonts w:eastAsia="Calibri" w:cs="Arial"/>
          <w:szCs w:val="20"/>
          <w:lang w:val="en-GB"/>
        </w:rPr>
        <w:t xml:space="preserve">and diversification </w:t>
      </w:r>
      <w:r w:rsidRPr="009C48DA">
        <w:rPr>
          <w:rFonts w:eastAsia="Calibri" w:cs="Arial"/>
          <w:szCs w:val="20"/>
          <w:lang w:val="en-GB"/>
        </w:rPr>
        <w:t>strategy involves</w:t>
      </w:r>
      <w:r w:rsidRPr="009C48DA" w:rsidR="003C36B4">
        <w:rPr>
          <w:rFonts w:eastAsia="Calibri" w:cs="Arial"/>
          <w:szCs w:val="20"/>
          <w:lang w:val="en-GB"/>
        </w:rPr>
        <w:t xml:space="preserve"> organic </w:t>
      </w:r>
      <w:r w:rsidRPr="009C48DA" w:rsidR="003C36B4">
        <w:rPr>
          <w:szCs w:val="20"/>
          <w:lang w:val="en-GB"/>
        </w:rPr>
        <w:t xml:space="preserve">scaling of existing strategies, building out new funds within existing strategies and adding a third </w:t>
      </w:r>
      <w:r w:rsidRPr="009C48DA" w:rsidR="009D2417">
        <w:rPr>
          <w:szCs w:val="20"/>
          <w:lang w:val="en-GB"/>
        </w:rPr>
        <w:t>core</w:t>
      </w:r>
      <w:r w:rsidRPr="009C48DA" w:rsidR="003C36B4">
        <w:rPr>
          <w:szCs w:val="20"/>
          <w:lang w:val="en-GB"/>
        </w:rPr>
        <w:t xml:space="preserve"> product strategy through acquisition-led expansion</w:t>
      </w:r>
      <w:r w:rsidRPr="009C48DA">
        <w:rPr>
          <w:rFonts w:eastAsia="Calibri" w:cs="Arial"/>
          <w:szCs w:val="20"/>
          <w:lang w:val="en-GB"/>
        </w:rPr>
        <w:t xml:space="preserve">. </w:t>
      </w:r>
    </w:p>
    <w:p w:rsidRPr="009C48DA" w:rsidR="003C36B4" w:rsidP="003C36B4" w:rsidRDefault="003C36B4" w14:paraId="0B12412F" w14:textId="77777777">
      <w:pPr>
        <w:pStyle w:val="BodyText2SglJ"/>
        <w:rPr>
          <w:rFonts w:eastAsia="Calibri" w:cs="Arial"/>
          <w:szCs w:val="20"/>
          <w:lang w:val="en-GB"/>
        </w:rPr>
      </w:pPr>
      <w:r w:rsidRPr="009C48DA">
        <w:rPr>
          <w:rFonts w:eastAsia="Calibri" w:cs="Arial"/>
          <w:szCs w:val="20"/>
          <w:lang w:val="en-GB"/>
        </w:rPr>
        <w:t xml:space="preserve">The Group faces numerous risks and uncertainties in connection with the different aspects of its growth and diversification strategy, including risks associated with: </w:t>
      </w:r>
    </w:p>
    <w:p w:rsidRPr="009C48DA" w:rsidR="006D6A27" w:rsidP="00676CA5" w:rsidRDefault="006D6A27" w14:paraId="336741AA" w14:textId="77777777">
      <w:pPr>
        <w:pStyle w:val="STBBullet3"/>
        <w:rPr>
          <w:rFonts w:eastAsia="Calibri" w:cs="Arial"/>
          <w:szCs w:val="20"/>
          <w:lang w:val="en-GB"/>
        </w:rPr>
      </w:pPr>
      <w:r w:rsidRPr="009C48DA">
        <w:rPr>
          <w:rFonts w:eastAsia="Calibri" w:cs="Arial"/>
          <w:szCs w:val="20"/>
          <w:lang w:val="en-GB"/>
        </w:rPr>
        <w:t xml:space="preserve">the required investment of capital and other resources, including the possibility that the Group has insufficient expertise to engage in such activities profitably or without incurring inappropriate amounts of risk; </w:t>
      </w:r>
    </w:p>
    <w:p w:rsidRPr="009C48DA" w:rsidR="006D6A27" w:rsidP="00676CA5" w:rsidRDefault="006D6A27" w14:paraId="1B4EF193" w14:textId="77777777">
      <w:pPr>
        <w:pStyle w:val="STBBullet3"/>
        <w:rPr>
          <w:rFonts w:eastAsia="Calibri" w:cs="Arial"/>
          <w:szCs w:val="20"/>
          <w:lang w:val="en-GB"/>
        </w:rPr>
      </w:pPr>
      <w:r w:rsidRPr="009C48DA">
        <w:rPr>
          <w:rFonts w:eastAsia="Calibri" w:cs="Arial"/>
          <w:szCs w:val="20"/>
          <w:lang w:val="en-GB"/>
        </w:rPr>
        <w:lastRenderedPageBreak/>
        <w:t xml:space="preserve">the diversion of management’s attention from the Group’s core businesses and the disruption of the Group’s ongoing businesses; </w:t>
      </w:r>
    </w:p>
    <w:p w:rsidRPr="009C48DA" w:rsidR="006D6A27" w:rsidP="00676CA5" w:rsidRDefault="006D6A27" w14:paraId="2FAA893A" w14:textId="3BA8FF55">
      <w:pPr>
        <w:pStyle w:val="STBBullet3"/>
        <w:rPr>
          <w:rFonts w:eastAsia="Calibri" w:cs="Arial"/>
          <w:szCs w:val="20"/>
          <w:lang w:val="en-GB"/>
        </w:rPr>
      </w:pPr>
      <w:r w:rsidRPr="009C48DA">
        <w:rPr>
          <w:rFonts w:eastAsia="Calibri" w:cs="Arial"/>
          <w:szCs w:val="20"/>
          <w:lang w:val="en-GB"/>
        </w:rPr>
        <w:t xml:space="preserve">the </w:t>
      </w:r>
      <w:r w:rsidRPr="009C48DA" w:rsidR="003C36B4">
        <w:rPr>
          <w:rFonts w:eastAsia="Calibri" w:cs="Arial"/>
          <w:szCs w:val="20"/>
          <w:lang w:val="en-GB"/>
        </w:rPr>
        <w:t xml:space="preserve">assumption of liabilities of any acquired business and </w:t>
      </w:r>
      <w:r w:rsidRPr="009C48DA">
        <w:rPr>
          <w:rFonts w:eastAsia="Calibri" w:cs="Arial"/>
          <w:szCs w:val="20"/>
          <w:lang w:val="en-GB"/>
        </w:rPr>
        <w:t xml:space="preserve">increasing demands on or issues related to the combination or integration of operational and management systems and controls and the compliance with additional legal and regulatory requirements; </w:t>
      </w:r>
    </w:p>
    <w:p w:rsidRPr="009C48DA" w:rsidR="006D6A27" w:rsidP="00676CA5" w:rsidRDefault="00626A7E" w14:paraId="3C5F3A68" w14:textId="26427482">
      <w:pPr>
        <w:pStyle w:val="STBBullet3"/>
        <w:rPr>
          <w:rFonts w:eastAsia="Calibri" w:cs="Arial"/>
          <w:szCs w:val="20"/>
          <w:lang w:val="en-GB"/>
        </w:rPr>
      </w:pPr>
      <w:r w:rsidRPr="009C48DA">
        <w:rPr>
          <w:rFonts w:eastAsia="Calibri" w:cs="Arial"/>
          <w:szCs w:val="20"/>
          <w:lang w:val="en-GB"/>
        </w:rPr>
        <w:t>asset-</w:t>
      </w:r>
      <w:r w:rsidRPr="009C48DA" w:rsidR="006D6A27">
        <w:rPr>
          <w:rFonts w:eastAsia="Calibri" w:cs="Arial"/>
          <w:szCs w:val="20"/>
          <w:lang w:val="en-GB"/>
        </w:rPr>
        <w:t>specific risks, including risks in respect of the acquisition of minority stakes in public companies, such as greater volatility in the valuation of such companies, increased obligations to disclose information regarding such companies, limitations on the ability to dispose of such securities at certain times, increased likelihood of shareholder litigation against such companies’ board members, and increased costs associated with each of the aforementioned risks;</w:t>
      </w:r>
    </w:p>
    <w:p w:rsidRPr="009C48DA" w:rsidR="006D6A27" w:rsidP="00676CA5" w:rsidRDefault="006D6A27" w14:paraId="2C50746F" w14:textId="77777777">
      <w:pPr>
        <w:pStyle w:val="STBBullet3"/>
        <w:rPr>
          <w:rFonts w:eastAsia="Calibri" w:cs="Arial"/>
          <w:szCs w:val="20"/>
          <w:lang w:val="en-GB"/>
        </w:rPr>
      </w:pPr>
      <w:r w:rsidRPr="009C48DA">
        <w:rPr>
          <w:rFonts w:eastAsia="Calibri" w:cs="Arial"/>
          <w:szCs w:val="20"/>
          <w:lang w:val="en-GB"/>
        </w:rPr>
        <w:t>competition from established players in the relevant market or sector, who have more experience in, and more resources allocated or available for, such markets or sectors; and</w:t>
      </w:r>
    </w:p>
    <w:p w:rsidRPr="009C48DA" w:rsidR="006D6A27" w:rsidP="00676CA5" w:rsidRDefault="006D6A27" w14:paraId="258F9932" w14:textId="7577B445">
      <w:pPr>
        <w:pStyle w:val="STBBullet3"/>
        <w:rPr>
          <w:rFonts w:eastAsia="Calibri" w:cs="Arial"/>
          <w:szCs w:val="20"/>
          <w:lang w:val="en-GB"/>
        </w:rPr>
      </w:pPr>
      <w:r w:rsidRPr="009C48DA">
        <w:rPr>
          <w:rFonts w:eastAsia="Calibri" w:cs="Arial"/>
          <w:szCs w:val="20"/>
          <w:lang w:val="en-GB"/>
        </w:rPr>
        <w:t>the broadening of the Group’s geographic footprint, including the risks associated with conducting operations in jurisdictions in which it is currently not active</w:t>
      </w:r>
      <w:r w:rsidRPr="009C48DA" w:rsidR="003C36B4">
        <w:rPr>
          <w:rFonts w:eastAsia="Calibri" w:cs="Arial"/>
          <w:szCs w:val="20"/>
          <w:lang w:val="en-GB"/>
        </w:rPr>
        <w:t>, which may result in logistical and overhead costs of opening and expanding offices, as well as the cost of recruiting and training investment professionals</w:t>
      </w:r>
      <w:r w:rsidRPr="009C48DA">
        <w:rPr>
          <w:rFonts w:eastAsia="Calibri" w:cs="Arial"/>
          <w:szCs w:val="20"/>
          <w:lang w:val="en-GB"/>
        </w:rPr>
        <w:t>.</w:t>
      </w:r>
    </w:p>
    <w:p w:rsidRPr="009C48DA" w:rsidR="006D6A27" w:rsidP="00676CA5" w:rsidRDefault="006D6A27" w14:paraId="10F4E8F6" w14:textId="33EC79B4">
      <w:pPr>
        <w:pStyle w:val="BodyText2SglJ"/>
        <w:rPr>
          <w:rFonts w:eastAsia="Calibri" w:cs="Arial"/>
          <w:szCs w:val="20"/>
          <w:lang w:val="en-GB"/>
        </w:rPr>
      </w:pPr>
      <w:r w:rsidRPr="009C48DA">
        <w:rPr>
          <w:rFonts w:eastAsia="Calibri" w:cs="Arial"/>
          <w:szCs w:val="20"/>
          <w:lang w:val="en-GB"/>
        </w:rPr>
        <w:t>Entry into certain lines of business may subject the Group to new laws and regulations with which it is not familiar or from which it is currently exempt, and may lead to increased litigation and regulatory risk. In addition, if a new business</w:t>
      </w:r>
      <w:r w:rsidRPr="009C48DA" w:rsidR="00626A7E">
        <w:rPr>
          <w:rFonts w:eastAsia="Calibri" w:cs="Arial"/>
          <w:szCs w:val="20"/>
          <w:lang w:val="en-GB"/>
        </w:rPr>
        <w:t xml:space="preserve"> generates insufficient revenue</w:t>
      </w:r>
      <w:r w:rsidRPr="009C48DA">
        <w:rPr>
          <w:rFonts w:eastAsia="Calibri" w:cs="Arial"/>
          <w:szCs w:val="20"/>
          <w:lang w:val="en-GB"/>
        </w:rPr>
        <w:t xml:space="preserve"> or if the Group is </w:t>
      </w:r>
      <w:r w:rsidRPr="009C48DA">
        <w:rPr>
          <w:rFonts w:eastAsia="Times New Roman" w:cs="Times New Roman"/>
          <w:color w:val="231F20"/>
          <w:szCs w:val="20"/>
          <w:lang w:val="en-GB"/>
        </w:rPr>
        <w:t>unable</w:t>
      </w:r>
      <w:r w:rsidRPr="009C48DA">
        <w:rPr>
          <w:rFonts w:eastAsia="Calibri" w:cs="Arial"/>
          <w:szCs w:val="20"/>
          <w:lang w:val="en-GB"/>
        </w:rPr>
        <w:t xml:space="preserve"> to efficiently manage its expanded operations, the Company’s business, </w:t>
      </w:r>
      <w:r w:rsidRPr="009C48DA" w:rsidR="00A242D0">
        <w:rPr>
          <w:rFonts w:eastAsia="Calibri" w:cs="Arial"/>
          <w:szCs w:val="20"/>
          <w:lang w:val="en-GB"/>
        </w:rPr>
        <w:t>revenue, net income and cash flow</w:t>
      </w:r>
      <w:r w:rsidRPr="009C48DA" w:rsidR="00E639F5">
        <w:rPr>
          <w:rFonts w:eastAsia="Calibri" w:cs="Arial"/>
          <w:szCs w:val="20"/>
          <w:lang w:val="en-GB"/>
        </w:rPr>
        <w:t>s</w:t>
      </w:r>
      <w:r w:rsidRPr="009C48DA" w:rsidR="00A242D0">
        <w:rPr>
          <w:rFonts w:eastAsia="Calibri" w:cs="Arial"/>
          <w:szCs w:val="20"/>
          <w:lang w:val="en-GB"/>
        </w:rPr>
        <w:t xml:space="preserve"> will be materially</w:t>
      </w:r>
      <w:r w:rsidRPr="009C48DA">
        <w:rPr>
          <w:rFonts w:eastAsia="Calibri" w:cs="Arial"/>
          <w:szCs w:val="20"/>
          <w:lang w:val="en-GB"/>
        </w:rPr>
        <w:t xml:space="preserve"> adversely affected. </w:t>
      </w:r>
    </w:p>
    <w:p w:rsidRPr="009C48DA" w:rsidR="006D6A27" w:rsidP="00676CA5" w:rsidRDefault="006D6A27" w14:paraId="64D9975E" w14:textId="3FFCE36F">
      <w:pPr>
        <w:pStyle w:val="BodyText2SglJ"/>
        <w:rPr>
          <w:rFonts w:eastAsia="Calibri" w:cs="Arial"/>
          <w:szCs w:val="20"/>
          <w:lang w:val="en-GB"/>
        </w:rPr>
      </w:pPr>
      <w:r w:rsidRPr="009C48DA">
        <w:rPr>
          <w:rFonts w:eastAsia="Calibri" w:cs="Arial"/>
          <w:szCs w:val="20"/>
          <w:lang w:val="en-GB"/>
        </w:rPr>
        <w:t xml:space="preserve">Any failure of </w:t>
      </w:r>
      <w:r w:rsidRPr="009C48DA" w:rsidR="006D5BFE">
        <w:rPr>
          <w:lang w:val="en-GB"/>
        </w:rPr>
        <w:t>Bridgepoint</w:t>
      </w:r>
      <w:r w:rsidRPr="009C48DA">
        <w:rPr>
          <w:rFonts w:eastAsia="Calibri" w:cs="Arial"/>
          <w:szCs w:val="20"/>
          <w:lang w:val="en-GB"/>
        </w:rPr>
        <w:t xml:space="preserve">’s new initiatives to meet or exceed expectations could lead to the Group </w:t>
      </w:r>
      <w:r w:rsidRPr="009C48DA">
        <w:rPr>
          <w:rFonts w:eastAsia="Times New Roman" w:cs="Times New Roman"/>
          <w:color w:val="231F20"/>
          <w:szCs w:val="20"/>
          <w:lang w:val="en-GB"/>
        </w:rPr>
        <w:t>not</w:t>
      </w:r>
      <w:r w:rsidRPr="009C48DA">
        <w:rPr>
          <w:rFonts w:eastAsia="Calibri" w:cs="Arial"/>
          <w:szCs w:val="20"/>
          <w:lang w:val="en-GB"/>
        </w:rPr>
        <w:t xml:space="preserve"> reaching profitability within the strategic initiative, not growing in accordance with its growth </w:t>
      </w:r>
      <w:r w:rsidRPr="009C48DA" w:rsidR="003C36B4">
        <w:rPr>
          <w:rFonts w:eastAsia="Calibri" w:cs="Arial"/>
          <w:szCs w:val="20"/>
          <w:lang w:val="en-GB"/>
        </w:rPr>
        <w:t xml:space="preserve">and diversification </w:t>
      </w:r>
      <w:r w:rsidRPr="009C48DA">
        <w:rPr>
          <w:rFonts w:eastAsia="Calibri" w:cs="Arial"/>
          <w:szCs w:val="20"/>
          <w:lang w:val="en-GB"/>
        </w:rPr>
        <w:t>strategy and not being able</w:t>
      </w:r>
      <w:r w:rsidRPr="009C48DA" w:rsidR="00470574">
        <w:rPr>
          <w:rFonts w:eastAsia="Calibri" w:cs="Arial"/>
          <w:szCs w:val="20"/>
          <w:lang w:val="en-GB"/>
        </w:rPr>
        <w:t xml:space="preserve"> to enjoy the benefits that it</w:t>
      </w:r>
      <w:r w:rsidRPr="009C48DA">
        <w:rPr>
          <w:rFonts w:eastAsia="Calibri" w:cs="Arial"/>
          <w:szCs w:val="20"/>
          <w:lang w:val="en-GB"/>
        </w:rPr>
        <w:t xml:space="preserve"> is expected to lead to, as well as the Group not being able to reach its growth targets.</w:t>
      </w:r>
    </w:p>
    <w:p w:rsidRPr="009C48DA" w:rsidR="006D6A27" w:rsidP="00676CA5" w:rsidRDefault="006D6A27" w14:paraId="0A90DACD" w14:textId="77777777">
      <w:pPr>
        <w:pStyle w:val="TitleBI"/>
        <w:rPr>
          <w:szCs w:val="20"/>
          <w:lang w:val="en-GB"/>
        </w:rPr>
      </w:pPr>
      <w:r w:rsidRPr="009C48DA">
        <w:rPr>
          <w:szCs w:val="20"/>
          <w:lang w:val="en-GB"/>
        </w:rPr>
        <w:t xml:space="preserve">The private equity industry is subject to increasing focus by investors and regulators on ESG matters. </w:t>
      </w:r>
    </w:p>
    <w:p w:rsidRPr="009C48DA" w:rsidR="006D6A27" w:rsidP="00676CA5" w:rsidRDefault="006D6A27" w14:paraId="7226A24B" w14:textId="598D0595">
      <w:pPr>
        <w:pStyle w:val="BodyText2SglJ"/>
        <w:rPr>
          <w:rFonts w:eastAsia="Calibri" w:cs="Arial"/>
          <w:szCs w:val="20"/>
          <w:lang w:val="en-GB"/>
        </w:rPr>
      </w:pPr>
      <w:r w:rsidRPr="009C48DA">
        <w:rPr>
          <w:rFonts w:eastAsia="Calibri" w:cs="Arial"/>
          <w:szCs w:val="20"/>
          <w:lang w:val="en-GB"/>
        </w:rPr>
        <w:t>In recent years, investors h</w:t>
      </w:r>
      <w:r w:rsidRPr="009C48DA" w:rsidR="00470574">
        <w:rPr>
          <w:rFonts w:eastAsia="Calibri" w:cs="Arial"/>
          <w:szCs w:val="20"/>
          <w:lang w:val="en-GB"/>
        </w:rPr>
        <w:t>ave placed increasing focus</w:t>
      </w:r>
      <w:r w:rsidRPr="009C48DA">
        <w:rPr>
          <w:rFonts w:eastAsia="Calibri" w:cs="Arial"/>
          <w:szCs w:val="20"/>
          <w:lang w:val="en-GB"/>
        </w:rPr>
        <w:t xml:space="preserve"> on the negative impacts of investments made by private equity and other funds to which they commit capital, including with respect to ESG matters. Certain investors have also demonstrated increased activism with respect to </w:t>
      </w:r>
      <w:r w:rsidRPr="009C48DA">
        <w:rPr>
          <w:rFonts w:eastAsia="Times New Roman" w:cs="Times New Roman"/>
          <w:color w:val="231F20"/>
          <w:szCs w:val="20"/>
          <w:lang w:val="en-GB"/>
        </w:rPr>
        <w:t>existing</w:t>
      </w:r>
      <w:r w:rsidRPr="009C48DA">
        <w:rPr>
          <w:rFonts w:eastAsia="Calibri" w:cs="Arial"/>
          <w:szCs w:val="20"/>
          <w:lang w:val="en-GB"/>
        </w:rPr>
        <w:t xml:space="preserve"> investments, including by urging investment managers to take certain actions that could adversely impact the value of an investment, or refrain from taking certain actions that could improve the value of an investment. At times, investors have conditioned future capital commitments on the taking or refraining from taking of such actions. </w:t>
      </w:r>
    </w:p>
    <w:p w:rsidRPr="009C48DA" w:rsidR="006D6A27" w:rsidP="00676CA5" w:rsidRDefault="006D6A27" w14:paraId="4F2CFD73" w14:textId="2A525FF7">
      <w:pPr>
        <w:pStyle w:val="BodyText2SglJ"/>
        <w:rPr>
          <w:rFonts w:eastAsia="Calibri" w:cs="Arial"/>
          <w:szCs w:val="20"/>
          <w:lang w:val="en-GB"/>
        </w:rPr>
      </w:pPr>
      <w:r w:rsidRPr="009C48DA">
        <w:rPr>
          <w:rFonts w:eastAsia="Calibri" w:cs="Arial"/>
          <w:szCs w:val="20"/>
          <w:lang w:val="en-GB"/>
        </w:rPr>
        <w:t>In addition,</w:t>
      </w:r>
      <w:r w:rsidRPr="009C48DA">
        <w:rPr>
          <w:rFonts w:eastAsia="Calibri" w:cs="Arial"/>
          <w:b/>
          <w:szCs w:val="20"/>
          <w:lang w:val="en-GB"/>
        </w:rPr>
        <w:t xml:space="preserve"> </w:t>
      </w:r>
      <w:r w:rsidRPr="009C48DA">
        <w:rPr>
          <w:rFonts w:eastAsia="Calibri" w:cs="Arial"/>
          <w:szCs w:val="20"/>
          <w:lang w:val="en-GB"/>
        </w:rPr>
        <w:t xml:space="preserve">certain investors consider the Group’s record of socially responsible investing and other ESG factors in determining whether to invest in the </w:t>
      </w:r>
      <w:r w:rsidRPr="009C48DA" w:rsidR="008453E7">
        <w:rPr>
          <w:rFonts w:eastAsia="Calibri" w:cs="Arial"/>
          <w:szCs w:val="20"/>
          <w:lang w:val="en-GB"/>
        </w:rPr>
        <w:t xml:space="preserve">Bridgepoint </w:t>
      </w:r>
      <w:r w:rsidRPr="009C48DA">
        <w:rPr>
          <w:rFonts w:eastAsia="Calibri" w:cs="Arial"/>
          <w:szCs w:val="20"/>
          <w:lang w:val="en-GB"/>
        </w:rPr>
        <w:t>Funds. Some investors in the investment</w:t>
      </w:r>
      <w:r w:rsidRPr="009C48DA" w:rsidDel="00A20DF1">
        <w:rPr>
          <w:rFonts w:eastAsia="Calibri" w:cs="Arial"/>
          <w:szCs w:val="20"/>
          <w:lang w:val="en-GB"/>
        </w:rPr>
        <w:t xml:space="preserve"> </w:t>
      </w:r>
      <w:r w:rsidRPr="009C48DA">
        <w:rPr>
          <w:rFonts w:eastAsia="Calibri" w:cs="Arial"/>
          <w:szCs w:val="20"/>
          <w:lang w:val="en-GB"/>
        </w:rPr>
        <w:t>management industry, particularly institutional investors, use third-party benchmarks or scores to measure the ESG practices of private equity firms, and decide whe</w:t>
      </w:r>
      <w:r w:rsidRPr="009C48DA" w:rsidR="00470574">
        <w:rPr>
          <w:rFonts w:eastAsia="Calibri" w:cs="Arial"/>
          <w:szCs w:val="20"/>
          <w:lang w:val="en-GB"/>
        </w:rPr>
        <w:t>ther to invest or engage with them or to require changes to their</w:t>
      </w:r>
      <w:r w:rsidRPr="009C48DA">
        <w:rPr>
          <w:rFonts w:eastAsia="Calibri" w:cs="Arial"/>
          <w:szCs w:val="20"/>
          <w:lang w:val="en-GB"/>
        </w:rPr>
        <w:t xml:space="preserve"> practices</w:t>
      </w:r>
      <w:r w:rsidRPr="009C48DA" w:rsidR="00B9239F">
        <w:rPr>
          <w:rFonts w:eastAsia="Calibri" w:cs="Arial"/>
          <w:szCs w:val="20"/>
          <w:lang w:val="en-GB"/>
        </w:rPr>
        <w:t xml:space="preserve"> based partly on ESG factors</w:t>
      </w:r>
      <w:r w:rsidRPr="009C48DA">
        <w:rPr>
          <w:rFonts w:eastAsia="Calibri" w:cs="Arial"/>
          <w:szCs w:val="20"/>
          <w:lang w:val="en-GB"/>
        </w:rPr>
        <w:t>. If the Group’s ESG practices</w:t>
      </w:r>
      <w:r w:rsidRPr="009C48DA" w:rsidR="00B9239F">
        <w:rPr>
          <w:rFonts w:eastAsia="Calibri" w:cs="Arial"/>
          <w:szCs w:val="20"/>
          <w:lang w:val="en-GB"/>
        </w:rPr>
        <w:t xml:space="preserve"> </w:t>
      </w:r>
      <w:r w:rsidRPr="009C48DA">
        <w:rPr>
          <w:rFonts w:eastAsia="Calibri" w:cs="Arial"/>
          <w:szCs w:val="20"/>
          <w:lang w:val="en-GB"/>
        </w:rPr>
        <w:t xml:space="preserve">do not meet the standards set by these investors, they may choose not to invest in the </w:t>
      </w:r>
      <w:r w:rsidRPr="009C48DA" w:rsidR="008453E7">
        <w:rPr>
          <w:rFonts w:eastAsia="Calibri" w:cs="Arial"/>
          <w:szCs w:val="20"/>
          <w:lang w:val="en-GB"/>
        </w:rPr>
        <w:t xml:space="preserve">Bridgepoint </w:t>
      </w:r>
      <w:r w:rsidRPr="009C48DA">
        <w:rPr>
          <w:rFonts w:eastAsia="Calibri" w:cs="Arial"/>
          <w:szCs w:val="20"/>
          <w:lang w:val="en-GB"/>
        </w:rPr>
        <w:t xml:space="preserve">Funds or exclude the Group from their investments, and as a result </w:t>
      </w:r>
      <w:r w:rsidRPr="009C48DA" w:rsidR="008453E7">
        <w:rPr>
          <w:rFonts w:eastAsia="Calibri" w:cs="Arial"/>
          <w:szCs w:val="20"/>
          <w:lang w:val="en-GB"/>
        </w:rPr>
        <w:t xml:space="preserve">Bridgepoint </w:t>
      </w:r>
      <w:r w:rsidRPr="009C48DA">
        <w:rPr>
          <w:rFonts w:eastAsia="Calibri" w:cs="Arial"/>
          <w:szCs w:val="20"/>
          <w:lang w:val="en-GB"/>
        </w:rPr>
        <w:t xml:space="preserve">may face reputational challenges from other stakeholders. </w:t>
      </w:r>
    </w:p>
    <w:p w:rsidRPr="009C48DA" w:rsidR="006D6A27" w:rsidP="00676CA5" w:rsidRDefault="006D6A27" w14:paraId="0C03F554" w14:textId="0AC98C15">
      <w:pPr>
        <w:pStyle w:val="BodyText2SglJ"/>
        <w:rPr>
          <w:rFonts w:eastAsia="Calibri" w:cs="Arial"/>
          <w:szCs w:val="20"/>
          <w:lang w:val="en-GB"/>
        </w:rPr>
      </w:pPr>
      <w:r w:rsidRPr="009C48DA">
        <w:rPr>
          <w:rFonts w:eastAsia="Calibri" w:cs="Arial"/>
          <w:szCs w:val="20"/>
          <w:lang w:val="en-GB"/>
        </w:rPr>
        <w:t>Increased focus and activism related to ESG and similar matters may constrain the Group’s capital deployment opportunities, and the demands of certain fund investors, including public pension funds</w:t>
      </w:r>
      <w:r w:rsidRPr="009C48DA" w:rsidR="00470574">
        <w:rPr>
          <w:rFonts w:eastAsia="Calibri" w:cs="Arial"/>
          <w:szCs w:val="20"/>
          <w:lang w:val="en-GB"/>
        </w:rPr>
        <w:t xml:space="preserve"> (which represent a significant portion of the </w:t>
      </w:r>
      <w:r w:rsidRPr="009C48DA" w:rsidR="008453E7">
        <w:rPr>
          <w:rFonts w:eastAsia="Calibri" w:cs="Arial"/>
          <w:szCs w:val="20"/>
          <w:lang w:val="en-GB"/>
        </w:rPr>
        <w:t xml:space="preserve">Bridgepoint </w:t>
      </w:r>
      <w:r w:rsidRPr="009C48DA" w:rsidR="00470574">
        <w:rPr>
          <w:rFonts w:eastAsia="Calibri" w:cs="Arial"/>
          <w:szCs w:val="20"/>
          <w:lang w:val="en-GB"/>
        </w:rPr>
        <w:t>Funds’ investor bases)</w:t>
      </w:r>
      <w:r w:rsidRPr="009C48DA">
        <w:rPr>
          <w:rFonts w:eastAsia="Calibri" w:cs="Arial"/>
          <w:szCs w:val="20"/>
          <w:lang w:val="en-GB"/>
        </w:rPr>
        <w:t xml:space="preserve">, may further limit the types of investments that are available to the </w:t>
      </w:r>
      <w:r w:rsidRPr="009C48DA" w:rsidR="008453E7">
        <w:rPr>
          <w:rFonts w:eastAsia="Calibri" w:cs="Arial"/>
          <w:szCs w:val="20"/>
          <w:lang w:val="en-GB"/>
        </w:rPr>
        <w:t xml:space="preserve">Bridgepoint </w:t>
      </w:r>
      <w:r w:rsidRPr="009C48DA">
        <w:rPr>
          <w:rFonts w:eastAsia="Calibri" w:cs="Arial"/>
          <w:szCs w:val="20"/>
          <w:lang w:val="en-GB"/>
        </w:rPr>
        <w:t xml:space="preserve">Funds. In addition, investors (including public pension funds) may decide to transfer previously committed capital from the </w:t>
      </w:r>
      <w:r w:rsidRPr="009C48DA" w:rsidR="008453E7">
        <w:rPr>
          <w:rFonts w:eastAsia="Calibri" w:cs="Arial"/>
          <w:szCs w:val="20"/>
          <w:lang w:val="en-GB"/>
        </w:rPr>
        <w:t xml:space="preserve">Bridgepoint </w:t>
      </w:r>
      <w:r w:rsidRPr="009C48DA">
        <w:rPr>
          <w:rFonts w:eastAsia="Calibri" w:cs="Arial"/>
          <w:szCs w:val="20"/>
          <w:lang w:val="en-GB"/>
        </w:rPr>
        <w:t xml:space="preserve">Funds or to not commit capital to future fundraises as a result of their assessment of the Group’s approach to, and consideration of, the social cost of investments made by the </w:t>
      </w:r>
      <w:r w:rsidRPr="009C48DA" w:rsidR="008453E7">
        <w:rPr>
          <w:rFonts w:eastAsia="Calibri" w:cs="Arial"/>
          <w:szCs w:val="20"/>
          <w:lang w:val="en-GB"/>
        </w:rPr>
        <w:t xml:space="preserve">Bridgepoint </w:t>
      </w:r>
      <w:r w:rsidRPr="009C48DA">
        <w:rPr>
          <w:rFonts w:eastAsia="Calibri" w:cs="Arial"/>
          <w:szCs w:val="20"/>
          <w:lang w:val="en-GB"/>
        </w:rPr>
        <w:t xml:space="preserve">Funds. To the extent the Group’s access to capital from fund investors is impaired, the Group may not be able to maintain or increase the size of the </w:t>
      </w:r>
      <w:r w:rsidRPr="009C48DA" w:rsidR="008453E7">
        <w:rPr>
          <w:rFonts w:eastAsia="Calibri" w:cs="Arial"/>
          <w:szCs w:val="20"/>
          <w:lang w:val="en-GB"/>
        </w:rPr>
        <w:lastRenderedPageBreak/>
        <w:t xml:space="preserve">Bridgepoint </w:t>
      </w:r>
      <w:r w:rsidRPr="009C48DA">
        <w:rPr>
          <w:rFonts w:eastAsia="Calibri" w:cs="Arial"/>
          <w:szCs w:val="20"/>
          <w:lang w:val="en-GB"/>
        </w:rPr>
        <w:t xml:space="preserve">Funds or raise sufficient capital for new funds, which </w:t>
      </w:r>
      <w:r w:rsidRPr="009C48DA" w:rsidR="00B96576">
        <w:rPr>
          <w:rFonts w:eastAsia="Calibri" w:cs="Arial"/>
          <w:szCs w:val="20"/>
          <w:lang w:val="en-GB"/>
        </w:rPr>
        <w:t>could have a material</w:t>
      </w:r>
      <w:r w:rsidRPr="009C48DA">
        <w:rPr>
          <w:rFonts w:eastAsia="Calibri" w:cs="Arial"/>
          <w:szCs w:val="20"/>
          <w:lang w:val="en-GB"/>
        </w:rPr>
        <w:t xml:space="preserve"> adverse</w:t>
      </w:r>
      <w:r w:rsidRPr="009C48DA" w:rsidR="00B96576">
        <w:rPr>
          <w:rFonts w:eastAsia="Calibri" w:cs="Arial"/>
          <w:szCs w:val="20"/>
          <w:lang w:val="en-GB"/>
        </w:rPr>
        <w:t xml:space="preserve"> effect on</w:t>
      </w:r>
      <w:r w:rsidRPr="009C48DA">
        <w:rPr>
          <w:rFonts w:eastAsia="Calibri" w:cs="Arial"/>
          <w:szCs w:val="20"/>
          <w:lang w:val="en-GB"/>
        </w:rPr>
        <w:t xml:space="preserve"> the Group’s </w:t>
      </w:r>
      <w:r w:rsidRPr="009C48DA" w:rsidR="00B96576">
        <w:rPr>
          <w:rFonts w:eastAsia="Calibri" w:cs="Arial"/>
          <w:szCs w:val="20"/>
          <w:lang w:val="en-GB"/>
        </w:rPr>
        <w:t xml:space="preserve">business, </w:t>
      </w:r>
      <w:r w:rsidRPr="009C48DA" w:rsidR="00626A7E">
        <w:rPr>
          <w:rFonts w:eastAsia="Calibri" w:cs="Arial"/>
          <w:szCs w:val="20"/>
          <w:lang w:val="en-GB"/>
        </w:rPr>
        <w:t>revenue</w:t>
      </w:r>
      <w:r w:rsidRPr="009C48DA" w:rsidR="00B96576">
        <w:rPr>
          <w:rFonts w:eastAsia="Calibri" w:cs="Arial"/>
          <w:szCs w:val="20"/>
          <w:lang w:val="en-GB"/>
        </w:rPr>
        <w:t>, net income and cash flows</w:t>
      </w:r>
      <w:r w:rsidRPr="009C48DA">
        <w:rPr>
          <w:rFonts w:eastAsia="Calibri" w:cs="Arial"/>
          <w:szCs w:val="20"/>
          <w:lang w:val="en-GB"/>
        </w:rPr>
        <w:t>.</w:t>
      </w:r>
    </w:p>
    <w:p w:rsidRPr="009C48DA" w:rsidR="006D6A27" w:rsidP="00676CA5" w:rsidRDefault="006D6A27" w14:paraId="0EE7551C" w14:textId="3B184273">
      <w:pPr>
        <w:pStyle w:val="BodyText2SglJ"/>
        <w:rPr>
          <w:rFonts w:eastAsia="Calibri" w:cs="Arial"/>
          <w:szCs w:val="20"/>
          <w:lang w:val="en-GB"/>
        </w:rPr>
      </w:pPr>
      <w:r w:rsidRPr="009C48DA">
        <w:rPr>
          <w:rFonts w:eastAsia="Calibri" w:cs="Arial"/>
          <w:szCs w:val="20"/>
          <w:lang w:val="en-GB"/>
        </w:rPr>
        <w:t xml:space="preserve">In addition, various stakeholders and regulators are increasingly focused on ESG-related practices </w:t>
      </w:r>
      <w:r w:rsidRPr="009C48DA">
        <w:rPr>
          <w:rFonts w:eastAsia="Times New Roman" w:cs="Times New Roman"/>
          <w:color w:val="231F20"/>
          <w:szCs w:val="20"/>
          <w:lang w:val="en-GB"/>
        </w:rPr>
        <w:t>by</w:t>
      </w:r>
      <w:r w:rsidRPr="009C48DA">
        <w:rPr>
          <w:rFonts w:eastAsia="Calibri" w:cs="Arial"/>
          <w:szCs w:val="20"/>
          <w:lang w:val="en-GB"/>
        </w:rPr>
        <w:t xml:space="preserve"> investment managers. For instance, an EU regulation on sustainability disclosure, which serves to standardise the definition of environmentally sustainable investing, began to apply in March 2021. It is likely that the UK will introduce comparable regulation or legislation. If regulators disagree with the procedures or standards that the Group uses for ESG investing, or new regulation or legislation requires a methodology of measuring or disclosing ESG impact that is different from the Group’s current practice, its business and reputation could be adversely affected. The occurrence of any of the foregoing could have a </w:t>
      </w:r>
      <w:r w:rsidRPr="009C48DA" w:rsidDel="00571B6B">
        <w:rPr>
          <w:rFonts w:eastAsia="Calibri" w:cs="Arial"/>
          <w:szCs w:val="20"/>
          <w:lang w:val="en-GB"/>
        </w:rPr>
        <w:t xml:space="preserve">material adverse effect on the </w:t>
      </w:r>
      <w:r w:rsidRPr="009C48DA">
        <w:rPr>
          <w:rFonts w:eastAsia="Calibri" w:cs="Arial"/>
          <w:szCs w:val="20"/>
          <w:lang w:val="en-GB"/>
        </w:rPr>
        <w:t>Group’s business, revenue</w:t>
      </w:r>
      <w:r w:rsidRPr="009C48DA" w:rsidDel="00571B6B">
        <w:rPr>
          <w:rFonts w:eastAsia="Calibri" w:cs="Arial"/>
          <w:szCs w:val="20"/>
          <w:lang w:val="en-GB"/>
        </w:rPr>
        <w:t>, net income and cash flows</w:t>
      </w:r>
      <w:r w:rsidRPr="009C48DA">
        <w:rPr>
          <w:rFonts w:eastAsia="Calibri" w:cs="Arial"/>
          <w:szCs w:val="20"/>
          <w:lang w:val="en-GB"/>
        </w:rPr>
        <w:t>.</w:t>
      </w:r>
    </w:p>
    <w:p w:rsidRPr="009C48DA" w:rsidR="00496130" w:rsidP="00496130" w:rsidRDefault="00496130" w14:paraId="1A7E5B76" w14:textId="05F50E79">
      <w:pPr>
        <w:pStyle w:val="TitleBI"/>
        <w:rPr>
          <w:szCs w:val="20"/>
          <w:lang w:val="en-GB"/>
        </w:rPr>
      </w:pPr>
      <w:r w:rsidRPr="009C48DA">
        <w:rPr>
          <w:szCs w:val="20"/>
          <w:lang w:val="en-GB"/>
        </w:rPr>
        <w:t xml:space="preserve">The Group may from time to time alter the terms under which it does business or limit or reduce its </w:t>
      </w:r>
      <w:r w:rsidRPr="009C48DA" w:rsidR="003C36B4">
        <w:rPr>
          <w:szCs w:val="20"/>
          <w:lang w:val="en-GB"/>
        </w:rPr>
        <w:t xml:space="preserve">Total </w:t>
      </w:r>
      <w:r w:rsidRPr="009C48DA">
        <w:rPr>
          <w:szCs w:val="20"/>
          <w:lang w:val="en-GB"/>
        </w:rPr>
        <w:t xml:space="preserve">AUM when it deems this to be in the best interests of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Funds and fund investors, even when this might be contrary to the interests of shareholders of the</w:t>
      </w:r>
      <w:r w:rsidRPr="009C48DA" w:rsidR="004977ED">
        <w:rPr>
          <w:szCs w:val="20"/>
          <w:lang w:val="en-GB"/>
        </w:rPr>
        <w:t xml:space="preserve"> Company in the short-</w:t>
      </w:r>
      <w:r w:rsidRPr="009C48DA">
        <w:rPr>
          <w:szCs w:val="20"/>
          <w:lang w:val="en-GB"/>
        </w:rPr>
        <w:t>term.</w:t>
      </w:r>
    </w:p>
    <w:p w:rsidRPr="009C48DA" w:rsidR="00496130" w:rsidP="00496130" w:rsidRDefault="00496130" w14:paraId="7C8782CC" w14:textId="15484A0E">
      <w:pPr>
        <w:pStyle w:val="BodyText2SglJ"/>
        <w:rPr>
          <w:szCs w:val="20"/>
          <w:lang w:val="en-GB"/>
        </w:rPr>
      </w:pPr>
      <w:r w:rsidRPr="009C48DA">
        <w:rPr>
          <w:szCs w:val="20"/>
          <w:lang w:val="en-GB"/>
        </w:rPr>
        <w:t xml:space="preserve">The historical and potential future returns of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 xml:space="preserve">Funds are not directly linked to returns of the Company, and there is a risk that where the Group ensures the success of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 xml:space="preserve">Funds, this will not result in positive returns on an investment in the Company. In ensuring the success of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Funds, the Group may take actions that could adversely affect the financial performance of t</w:t>
      </w:r>
      <w:r w:rsidRPr="009C48DA" w:rsidR="004977ED">
        <w:rPr>
          <w:szCs w:val="20"/>
          <w:lang w:val="en-GB"/>
        </w:rPr>
        <w:t>he Group, at least in the short-</w:t>
      </w:r>
      <w:r w:rsidRPr="009C48DA">
        <w:rPr>
          <w:szCs w:val="20"/>
          <w:lang w:val="en-GB"/>
        </w:rPr>
        <w:t xml:space="preserve">term. While the Group believes that its commitment to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Funds and the fund investors is generally aligned with the long-term interest of the Group and its shareholders, there is a risk that certain actions could adversely impact the financial perfor</w:t>
      </w:r>
      <w:r w:rsidRPr="009C48DA" w:rsidR="004977ED">
        <w:rPr>
          <w:szCs w:val="20"/>
          <w:lang w:val="en-GB"/>
        </w:rPr>
        <w:t>mance of the Group in the short-</w:t>
      </w:r>
      <w:r w:rsidRPr="009C48DA">
        <w:rPr>
          <w:szCs w:val="20"/>
          <w:lang w:val="en-GB"/>
        </w:rPr>
        <w:t xml:space="preserve">term, and there is no guarantee that such actions will ultimately be beneficial to the Group and its shareholders. For example, the Group might seek to limit its </w:t>
      </w:r>
      <w:r w:rsidRPr="009C48DA" w:rsidR="003C36B4">
        <w:rPr>
          <w:szCs w:val="20"/>
          <w:lang w:val="en-GB"/>
        </w:rPr>
        <w:t xml:space="preserve">Total </w:t>
      </w:r>
      <w:r w:rsidRPr="009C48DA">
        <w:rPr>
          <w:szCs w:val="20"/>
          <w:lang w:val="en-GB"/>
        </w:rPr>
        <w:t xml:space="preserve">AUM to an amount that the Group believes can be invested appropriately in accordance with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 xml:space="preserve">Funds’ investment philosophy, the current or anticipated economic and market conditions and/or the terms of the relevant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 xml:space="preserve">Fund’s governing documentation. The Group could also voluntarily decide to reduce management fees and/or allocation of carried interest and other terms for certain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 xml:space="preserve">Funds or strategies when the Group deems it appropriate, including in order to attract investment from fund investors. As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has not previously been listed, it is uncertain how these matters would be assessed by the capital market</w:t>
      </w:r>
      <w:r w:rsidRPr="009C48DA" w:rsidR="00470574">
        <w:rPr>
          <w:szCs w:val="20"/>
          <w:lang w:val="en-GB"/>
        </w:rPr>
        <w:t>s</w:t>
      </w:r>
      <w:r w:rsidRPr="009C48DA">
        <w:rPr>
          <w:szCs w:val="20"/>
          <w:lang w:val="en-GB"/>
        </w:rPr>
        <w:t xml:space="preserve"> if it were listed. In case this risk eventuates, the measures that would be taken, and that could be assessed by the capital market</w:t>
      </w:r>
      <w:r w:rsidRPr="009C48DA" w:rsidR="00470574">
        <w:rPr>
          <w:szCs w:val="20"/>
          <w:lang w:val="en-GB"/>
        </w:rPr>
        <w:t>s</w:t>
      </w:r>
      <w:r w:rsidRPr="009C48DA">
        <w:rPr>
          <w:szCs w:val="20"/>
          <w:lang w:val="en-GB"/>
        </w:rPr>
        <w:t xml:space="preserve"> to go against the intere</w:t>
      </w:r>
      <w:r w:rsidRPr="009C48DA" w:rsidR="004977ED">
        <w:rPr>
          <w:szCs w:val="20"/>
          <w:lang w:val="en-GB"/>
        </w:rPr>
        <w:t>sts of the Company in the short-</w:t>
      </w:r>
      <w:r w:rsidRPr="009C48DA">
        <w:rPr>
          <w:szCs w:val="20"/>
          <w:lang w:val="en-GB"/>
        </w:rPr>
        <w:t>term, could have a material adverse effect on the Group’s business, revenue</w:t>
      </w:r>
      <w:r w:rsidRPr="009C48DA" w:rsidDel="00571B6B">
        <w:rPr>
          <w:szCs w:val="20"/>
          <w:lang w:val="en-GB"/>
        </w:rPr>
        <w:t>, net income and cash flows</w:t>
      </w:r>
      <w:r w:rsidRPr="009C48DA">
        <w:rPr>
          <w:szCs w:val="20"/>
          <w:lang w:val="en-GB"/>
        </w:rPr>
        <w:t>.</w:t>
      </w:r>
    </w:p>
    <w:p w:rsidRPr="009C48DA" w:rsidR="00496130" w:rsidP="00496130" w:rsidRDefault="00496130" w14:paraId="75B1D081" w14:textId="4BD83624">
      <w:pPr>
        <w:pStyle w:val="TitleBI"/>
        <w:rPr>
          <w:szCs w:val="20"/>
          <w:lang w:val="en-GB"/>
        </w:rPr>
      </w:pPr>
      <w:r w:rsidRPr="009C48DA">
        <w:rPr>
          <w:szCs w:val="20"/>
          <w:lang w:val="en-GB"/>
        </w:rPr>
        <w:t>Changed trends in the global savings market or in the private markets industry may adversely affect the Group.</w:t>
      </w:r>
    </w:p>
    <w:p w:rsidRPr="009C48DA" w:rsidR="00496130" w:rsidP="00496130" w:rsidRDefault="00496130" w14:paraId="4198E391" w14:textId="78EE72C3">
      <w:pPr>
        <w:pStyle w:val="BodyText2SglJ"/>
        <w:rPr>
          <w:szCs w:val="20"/>
          <w:lang w:val="en-GB"/>
        </w:rPr>
      </w:pPr>
      <w:bookmarkStart w:name="_9kMH2J6ZWu5997HJeSkFN1onpzA44GkdIMO" w:id="111"/>
      <w:r w:rsidRPr="009C48DA">
        <w:rPr>
          <w:szCs w:val="20"/>
          <w:lang w:val="en-GB"/>
        </w:rPr>
        <w:t xml:space="preserve">The </w:t>
      </w:r>
      <w:bookmarkEnd w:id="111"/>
      <w:r w:rsidRPr="009C48DA">
        <w:rPr>
          <w:szCs w:val="20"/>
          <w:lang w:val="en-GB"/>
        </w:rPr>
        <w:t xml:space="preserve">Group is affected by trends in the </w:t>
      </w:r>
      <w:r w:rsidRPr="009C48DA" w:rsidR="007E3107">
        <w:rPr>
          <w:szCs w:val="20"/>
          <w:lang w:val="en-GB"/>
        </w:rPr>
        <w:t>asset</w:t>
      </w:r>
      <w:r w:rsidRPr="009C48DA">
        <w:rPr>
          <w:szCs w:val="20"/>
          <w:lang w:val="en-GB"/>
        </w:rPr>
        <w:t xml:space="preserve"> management </w:t>
      </w:r>
      <w:r w:rsidRPr="009C48DA" w:rsidR="007E3107">
        <w:rPr>
          <w:szCs w:val="20"/>
          <w:lang w:val="en-GB"/>
        </w:rPr>
        <w:t>sector</w:t>
      </w:r>
      <w:r w:rsidRPr="009C48DA">
        <w:rPr>
          <w:szCs w:val="20"/>
          <w:lang w:val="en-GB"/>
        </w:rPr>
        <w:t>, which has grown significantly in recent years</w:t>
      </w:r>
      <w:r w:rsidRPr="009C48DA" w:rsidR="003C36B4">
        <w:rPr>
          <w:szCs w:val="20"/>
          <w:lang w:val="en-GB"/>
        </w:rPr>
        <w:t xml:space="preserve">, with global assets under management in the industry having grown by more than 40 per cent </w:t>
      </w:r>
      <w:r w:rsidRPr="009C48DA" w:rsidR="00A02C88">
        <w:rPr>
          <w:szCs w:val="20"/>
          <w:lang w:val="en-GB"/>
        </w:rPr>
        <w:t>from</w:t>
      </w:r>
      <w:r w:rsidRPr="009C48DA" w:rsidR="003C36B4">
        <w:rPr>
          <w:szCs w:val="20"/>
          <w:lang w:val="en-GB"/>
        </w:rPr>
        <w:t xml:space="preserve"> 2015 </w:t>
      </w:r>
      <w:r w:rsidRPr="009C48DA" w:rsidR="00A02C88">
        <w:rPr>
          <w:szCs w:val="20"/>
          <w:lang w:val="en-GB"/>
        </w:rPr>
        <w:t>to</w:t>
      </w:r>
      <w:r w:rsidRPr="009C48DA" w:rsidR="003C36B4">
        <w:rPr>
          <w:szCs w:val="20"/>
          <w:lang w:val="en-GB"/>
        </w:rPr>
        <w:t xml:space="preserve"> 2020.</w:t>
      </w:r>
      <w:r w:rsidRPr="009C48DA" w:rsidR="003C36B4">
        <w:rPr>
          <w:szCs w:val="20"/>
          <w:vertAlign w:val="superscript"/>
          <w:lang w:val="en-GB"/>
        </w:rPr>
        <w:footnoteReference w:id="1"/>
      </w:r>
      <w:r w:rsidRPr="009C48DA" w:rsidR="003C36B4">
        <w:rPr>
          <w:szCs w:val="20"/>
          <w:lang w:val="en-GB"/>
        </w:rPr>
        <w:t xml:space="preserve"> Furthermore, within the asset management sector, global </w:t>
      </w:r>
      <w:r w:rsidRPr="009C48DA" w:rsidR="007E3107">
        <w:rPr>
          <w:szCs w:val="20"/>
          <w:lang w:val="en-GB"/>
        </w:rPr>
        <w:t xml:space="preserve">assets under management in </w:t>
      </w:r>
      <w:r w:rsidRPr="009C48DA" w:rsidR="003C36B4">
        <w:rPr>
          <w:szCs w:val="20"/>
          <w:lang w:val="en-GB"/>
        </w:rPr>
        <w:t>private markets are forecast to grow at a higher rate than global savings, with private equity and private credit expected to grow</w:t>
      </w:r>
      <w:r w:rsidRPr="009C48DA" w:rsidR="00A02C88">
        <w:rPr>
          <w:szCs w:val="20"/>
          <w:lang w:val="en-GB"/>
        </w:rPr>
        <w:t>,</w:t>
      </w:r>
      <w:r w:rsidRPr="009C48DA" w:rsidR="003C36B4">
        <w:rPr>
          <w:szCs w:val="20"/>
          <w:lang w:val="en-GB"/>
        </w:rPr>
        <w:t xml:space="preserve"> </w:t>
      </w:r>
      <w:r w:rsidRPr="009C48DA" w:rsidR="00A02C88">
        <w:rPr>
          <w:szCs w:val="20"/>
          <w:lang w:val="en-GB"/>
        </w:rPr>
        <w:t>from</w:t>
      </w:r>
      <w:r w:rsidRPr="009C48DA" w:rsidR="003C36B4">
        <w:rPr>
          <w:szCs w:val="20"/>
          <w:lang w:val="en-GB"/>
        </w:rPr>
        <w:t xml:space="preserve"> 2020 </w:t>
      </w:r>
      <w:r w:rsidRPr="009C48DA" w:rsidR="00A02C88">
        <w:rPr>
          <w:szCs w:val="20"/>
          <w:lang w:val="en-GB"/>
        </w:rPr>
        <w:t>to</w:t>
      </w:r>
      <w:r w:rsidRPr="009C48DA" w:rsidR="003C36B4">
        <w:rPr>
          <w:szCs w:val="20"/>
          <w:lang w:val="en-GB"/>
        </w:rPr>
        <w:t xml:space="preserve"> 2025</w:t>
      </w:r>
      <w:r w:rsidRPr="009C48DA" w:rsidR="00A02C88">
        <w:rPr>
          <w:szCs w:val="20"/>
          <w:lang w:val="en-GB"/>
        </w:rPr>
        <w:t>,</w:t>
      </w:r>
      <w:r w:rsidRPr="009C48DA" w:rsidR="003C36B4">
        <w:rPr>
          <w:szCs w:val="20"/>
          <w:lang w:val="en-GB"/>
        </w:rPr>
        <w:t xml:space="preserve"> at a CAGR of 15.6 per cent and 11.4 per cent, respectively, and total </w:t>
      </w:r>
      <w:r w:rsidRPr="009C48DA" w:rsidR="007E3107">
        <w:rPr>
          <w:szCs w:val="20"/>
          <w:lang w:val="en-GB"/>
        </w:rPr>
        <w:t xml:space="preserve">assets under management for </w:t>
      </w:r>
      <w:r w:rsidRPr="009C48DA" w:rsidR="003C36B4">
        <w:rPr>
          <w:szCs w:val="20"/>
          <w:lang w:val="en-GB"/>
        </w:rPr>
        <w:t>alternatives (comprising private equity, private credit, real estate and infrastructure) expected to grow at a CAGR of 12.6 per cent over the same period.</w:t>
      </w:r>
      <w:r w:rsidRPr="009C48DA" w:rsidR="00C42236">
        <w:rPr>
          <w:rStyle w:val="FootnoteReference"/>
          <w:szCs w:val="20"/>
          <w:lang w:val="en-GB"/>
        </w:rPr>
        <w:footnoteReference w:id="2"/>
      </w:r>
      <w:r w:rsidRPr="009C48DA">
        <w:rPr>
          <w:szCs w:val="20"/>
          <w:lang w:val="en-GB"/>
        </w:rPr>
        <w:t xml:space="preserve"> If the positive trends in the investment</w:t>
      </w:r>
      <w:r w:rsidRPr="009C48DA" w:rsidDel="00A20DF1">
        <w:rPr>
          <w:szCs w:val="20"/>
          <w:lang w:val="en-GB"/>
        </w:rPr>
        <w:t xml:space="preserve"> </w:t>
      </w:r>
      <w:r w:rsidRPr="009C48DA">
        <w:rPr>
          <w:szCs w:val="20"/>
          <w:lang w:val="en-GB"/>
        </w:rPr>
        <w:t xml:space="preserve">management industry do not continue or if the industry were to be subject to negative trends, this may impede the </w:t>
      </w:r>
      <w:bookmarkStart w:name="_9kMH24J7aXv6AA8BKULzmlnx822EibGKM" w:id="112"/>
      <w:r w:rsidRPr="009C48DA">
        <w:rPr>
          <w:szCs w:val="20"/>
          <w:lang w:val="en-GB"/>
        </w:rPr>
        <w:t>Group’s</w:t>
      </w:r>
      <w:bookmarkEnd w:id="112"/>
      <w:r w:rsidRPr="009C48DA">
        <w:rPr>
          <w:szCs w:val="20"/>
          <w:lang w:val="en-GB"/>
        </w:rPr>
        <w:t xml:space="preserve"> ability to raise capital for new funds. Furthermore, </w:t>
      </w:r>
      <w:bookmarkStart w:name="_9kMKJ5YVt4886CKVQ5pLQA20GDCH" w:id="113"/>
      <w:r w:rsidRPr="009C48DA">
        <w:rPr>
          <w:szCs w:val="20"/>
          <w:lang w:val="en-GB"/>
        </w:rPr>
        <w:t>fund investors’</w:t>
      </w:r>
      <w:bookmarkEnd w:id="113"/>
      <w:r w:rsidRPr="009C48DA">
        <w:rPr>
          <w:szCs w:val="20"/>
          <w:lang w:val="en-GB"/>
        </w:rPr>
        <w:t xml:space="preserve"> investment returns may be impacted by overall public share prices and a decrease in share prices may affect the </w:t>
      </w:r>
      <w:bookmarkStart w:name="_9kMNDO6ZWu5997AEOKylkmw711DgcH17" w:id="114"/>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Funds’</w:t>
      </w:r>
      <w:bookmarkEnd w:id="114"/>
      <w:r w:rsidRPr="009C48DA">
        <w:rPr>
          <w:szCs w:val="20"/>
          <w:lang w:val="en-GB"/>
        </w:rPr>
        <w:t xml:space="preserve"> returns to </w:t>
      </w:r>
      <w:bookmarkStart w:name="_9kMLK5YVt4886CKVQ5pLQA20GDCH" w:id="115"/>
      <w:r w:rsidRPr="009C48DA">
        <w:rPr>
          <w:szCs w:val="20"/>
          <w:lang w:val="en-GB"/>
        </w:rPr>
        <w:t>fund investors</w:t>
      </w:r>
      <w:bookmarkEnd w:id="115"/>
      <w:r w:rsidRPr="009C48DA">
        <w:rPr>
          <w:szCs w:val="20"/>
          <w:lang w:val="en-GB"/>
        </w:rPr>
        <w:t xml:space="preserve"> if this impacts achievable exit valuations</w:t>
      </w:r>
      <w:r w:rsidRPr="009C48DA" w:rsidR="00C42236">
        <w:rPr>
          <w:szCs w:val="20"/>
          <w:lang w:val="en-GB"/>
        </w:rPr>
        <w:t>.</w:t>
      </w:r>
    </w:p>
    <w:p w:rsidRPr="009C48DA" w:rsidR="00496130" w:rsidP="00496130" w:rsidRDefault="00496130" w14:paraId="215F1183" w14:textId="4AFEB7F9">
      <w:pPr>
        <w:pStyle w:val="BodyText2SglJ"/>
        <w:rPr>
          <w:szCs w:val="20"/>
          <w:lang w:val="en-GB"/>
        </w:rPr>
      </w:pPr>
      <w:r w:rsidRPr="009C48DA">
        <w:rPr>
          <w:szCs w:val="20"/>
          <w:lang w:val="en-GB"/>
        </w:rPr>
        <w:t>Many fund investors consider themselves to be under-allocated to the private markets asset class compared to their own targets</w:t>
      </w:r>
      <w:r w:rsidRPr="009C48DA" w:rsidR="00C70B19">
        <w:rPr>
          <w:szCs w:val="20"/>
          <w:lang w:val="en-GB"/>
        </w:rPr>
        <w:t>,</w:t>
      </w:r>
      <w:r w:rsidRPr="009C48DA">
        <w:rPr>
          <w:szCs w:val="20"/>
          <w:lang w:val="en-GB"/>
        </w:rPr>
        <w:t xml:space="preserve"> with approximately </w:t>
      </w:r>
      <w:r w:rsidRPr="009C48DA" w:rsidR="003C36B4">
        <w:rPr>
          <w:szCs w:val="20"/>
          <w:lang w:val="en-GB"/>
        </w:rPr>
        <w:t>40</w:t>
      </w:r>
      <w:r w:rsidRPr="009C48DA">
        <w:rPr>
          <w:szCs w:val="20"/>
          <w:lang w:val="en-GB"/>
        </w:rPr>
        <w:t xml:space="preserve"> per cent of private equity fund investors considering themselves under-allocated </w:t>
      </w:r>
      <w:r w:rsidRPr="009C48DA" w:rsidR="003C36B4">
        <w:rPr>
          <w:szCs w:val="20"/>
          <w:lang w:val="en-GB"/>
        </w:rPr>
        <w:t>to the asset class</w:t>
      </w:r>
      <w:r w:rsidRPr="009C48DA">
        <w:rPr>
          <w:szCs w:val="20"/>
          <w:lang w:val="en-GB"/>
        </w:rPr>
        <w:t>.</w:t>
      </w:r>
      <w:r w:rsidRPr="009C48DA" w:rsidR="003C36B4">
        <w:rPr>
          <w:rStyle w:val="FootnoteReference"/>
          <w:szCs w:val="20"/>
          <w:lang w:val="en-GB"/>
        </w:rPr>
        <w:footnoteReference w:id="3"/>
      </w:r>
      <w:r w:rsidRPr="009C48DA">
        <w:rPr>
          <w:szCs w:val="20"/>
          <w:lang w:val="en-GB"/>
        </w:rPr>
        <w:t xml:space="preserve"> However, there is a risk that fund investors may, for instance due to an overall downturn in the public markets, end up over-allocated to private markets, which in turn could have a negative impact on the </w:t>
      </w:r>
      <w:bookmarkStart w:name="_9kMH25K7aXv6AA8BKULzmlnx822EibGKM" w:id="116"/>
      <w:r w:rsidRPr="009C48DA">
        <w:rPr>
          <w:szCs w:val="20"/>
          <w:lang w:val="en-GB"/>
        </w:rPr>
        <w:t>Group’s</w:t>
      </w:r>
      <w:bookmarkEnd w:id="116"/>
      <w:r w:rsidRPr="009C48DA">
        <w:rPr>
          <w:szCs w:val="20"/>
          <w:lang w:val="en-GB"/>
        </w:rPr>
        <w:t xml:space="preserve"> ability to raise capital for new funds. </w:t>
      </w:r>
      <w:bookmarkStart w:name="_9kMML5YVt4886DEOQ990mx" w:id="117"/>
      <w:r w:rsidRPr="009C48DA">
        <w:rPr>
          <w:szCs w:val="20"/>
          <w:lang w:val="en-GB"/>
        </w:rPr>
        <w:t>Further</w:t>
      </w:r>
      <w:bookmarkEnd w:id="117"/>
      <w:r w:rsidRPr="009C48DA">
        <w:rPr>
          <w:szCs w:val="20"/>
          <w:lang w:val="en-GB"/>
        </w:rPr>
        <w:t xml:space="preserve">, for a variety of reasons, fund investor sentiment may turn against private markets investing. For example, the returns </w:t>
      </w:r>
      <w:r w:rsidRPr="009C48DA">
        <w:rPr>
          <w:szCs w:val="20"/>
          <w:lang w:val="en-GB"/>
        </w:rPr>
        <w:lastRenderedPageBreak/>
        <w:t xml:space="preserve">generated by private markets may decline, and other asset classes or investment opportunities may be perceived to offer superior returns. </w:t>
      </w:r>
    </w:p>
    <w:p w:rsidRPr="009C48DA" w:rsidR="00496130" w:rsidP="00496130" w:rsidRDefault="00496130" w14:paraId="572F8E47" w14:textId="0DCA756A">
      <w:pPr>
        <w:pStyle w:val="BodyText2SglJ"/>
        <w:rPr>
          <w:szCs w:val="20"/>
          <w:lang w:val="en-GB"/>
        </w:rPr>
      </w:pPr>
      <w:r w:rsidRPr="009C48DA">
        <w:rPr>
          <w:szCs w:val="20"/>
          <w:lang w:val="en-GB"/>
        </w:rPr>
        <w:t xml:space="preserve">If fund investor requirements and preferences change, this could adversely affect the level of interest in investing in specific asset classes or investing in the </w:t>
      </w:r>
      <w:bookmarkStart w:name="_9kMO8I6ZWu5997AEOKylkmw711DgcH17" w:id="118"/>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Funds</w:t>
      </w:r>
      <w:bookmarkEnd w:id="118"/>
      <w:r w:rsidRPr="009C48DA">
        <w:rPr>
          <w:szCs w:val="20"/>
          <w:lang w:val="en-GB"/>
        </w:rPr>
        <w:t xml:space="preserve">. If fund investor requirements and preferences change in the future, this could adversely affect the level of interest in investing in specific asset classes or investing in the </w:t>
      </w:r>
      <w:bookmarkStart w:name="_9kMO9J6ZWu5997AEOKylkmw711DgcH17" w:id="119"/>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Funds</w:t>
      </w:r>
      <w:bookmarkEnd w:id="119"/>
      <w:r w:rsidRPr="009C48DA">
        <w:rPr>
          <w:szCs w:val="20"/>
          <w:lang w:val="en-GB"/>
        </w:rPr>
        <w:t xml:space="preserve">. Such changes may also impede the </w:t>
      </w:r>
      <w:bookmarkStart w:name="_9kMH2AP7aXv6AA8BKULzmlnx822EibGKM" w:id="120"/>
      <w:r w:rsidRPr="009C48DA">
        <w:rPr>
          <w:szCs w:val="20"/>
          <w:lang w:val="en-GB"/>
        </w:rPr>
        <w:t>Group’s</w:t>
      </w:r>
      <w:bookmarkEnd w:id="120"/>
      <w:r w:rsidRPr="009C48DA">
        <w:rPr>
          <w:szCs w:val="20"/>
          <w:lang w:val="en-GB"/>
        </w:rPr>
        <w:t xml:space="preserve"> ability to raise capital for new funds, which in turn would have a material adverse effect on the Group’s</w:t>
      </w:r>
      <w:r w:rsidRPr="009C48DA" w:rsidR="008B5DAC">
        <w:rPr>
          <w:szCs w:val="20"/>
          <w:lang w:val="en-GB"/>
        </w:rPr>
        <w:t xml:space="preserve"> business, revenue, net income </w:t>
      </w:r>
      <w:r w:rsidRPr="009C48DA">
        <w:rPr>
          <w:szCs w:val="20"/>
          <w:lang w:val="en-GB"/>
        </w:rPr>
        <w:t>and cash flows.</w:t>
      </w:r>
    </w:p>
    <w:p w:rsidRPr="009C48DA" w:rsidR="00496130" w:rsidP="00496130" w:rsidRDefault="00496130" w14:paraId="567222C4" w14:textId="2252B30B">
      <w:pPr>
        <w:pStyle w:val="TitleBI"/>
        <w:rPr>
          <w:szCs w:val="20"/>
          <w:lang w:val="en-GB"/>
        </w:rPr>
      </w:pPr>
      <w:r w:rsidRPr="009C48DA">
        <w:rPr>
          <w:szCs w:val="20"/>
          <w:lang w:val="en-GB"/>
        </w:rPr>
        <w:t xml:space="preserve">Difficult market and economic conditions may adversely affect the Group and the </w:t>
      </w:r>
      <w:bookmarkStart w:name="_9kML7K6ZWu5997AEOKylkmw711DgcH17" w:id="121"/>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Funds</w:t>
      </w:r>
      <w:bookmarkEnd w:id="121"/>
      <w:r w:rsidRPr="009C48DA">
        <w:rPr>
          <w:szCs w:val="20"/>
          <w:lang w:val="en-GB"/>
        </w:rPr>
        <w:t>.</w:t>
      </w:r>
    </w:p>
    <w:p w:rsidRPr="009C48DA" w:rsidR="00496130" w:rsidP="00496130" w:rsidRDefault="00496130" w14:paraId="73ACA566" w14:textId="1047CE28">
      <w:pPr>
        <w:pStyle w:val="BodyText2SglJ"/>
        <w:rPr>
          <w:sz w:val="18"/>
          <w:szCs w:val="20"/>
          <w:lang w:val="en-GB"/>
        </w:rPr>
      </w:pPr>
      <w:bookmarkStart w:name="_9kMHzG6ZWu5997HJeSkFN1onpzA44GkdIMO" w:id="122"/>
      <w:r w:rsidRPr="009C48DA">
        <w:rPr>
          <w:szCs w:val="20"/>
          <w:lang w:val="en-GB"/>
        </w:rPr>
        <w:t xml:space="preserve">The </w:t>
      </w:r>
      <w:bookmarkEnd w:id="122"/>
      <w:r w:rsidRPr="009C48DA">
        <w:rPr>
          <w:szCs w:val="20"/>
          <w:lang w:val="en-GB"/>
        </w:rPr>
        <w:t>Group is scaled across multiple strategies in</w:t>
      </w:r>
      <w:bookmarkStart w:name="_9kR3WTr2664CMfVv0tsxJQD66N" w:id="123"/>
      <w:r w:rsidRPr="009C48DA">
        <w:rPr>
          <w:szCs w:val="20"/>
          <w:lang w:val="en-GB"/>
        </w:rPr>
        <w:t xml:space="preserve"> private equity</w:t>
      </w:r>
      <w:bookmarkEnd w:id="123"/>
      <w:r w:rsidRPr="009C48DA">
        <w:rPr>
          <w:szCs w:val="20"/>
          <w:lang w:val="en-GB"/>
        </w:rPr>
        <w:t xml:space="preserve"> (</w:t>
      </w:r>
      <w:bookmarkStart w:name="_9kR3WTr266479JHvihjt4yyAcYIDC3" w:id="124"/>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Europe</w:t>
      </w:r>
      <w:bookmarkEnd w:id="124"/>
      <w:r w:rsidRPr="009C48DA">
        <w:rPr>
          <w:szCs w:val="20"/>
          <w:lang w:val="en-GB"/>
        </w:rPr>
        <w:t xml:space="preserve">, </w:t>
      </w:r>
      <w:bookmarkStart w:name="_9kR3WTr266478IHvihjt4yyAbH67y9ED35LlN7G" w:id="125"/>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Development Capital and </w:t>
      </w:r>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Growth</w:t>
      </w:r>
      <w:bookmarkEnd w:id="125"/>
      <w:r w:rsidRPr="009C48DA">
        <w:rPr>
          <w:szCs w:val="20"/>
          <w:lang w:val="en-GB"/>
        </w:rPr>
        <w:t xml:space="preserve">) and </w:t>
      </w:r>
      <w:bookmarkStart w:name="_9kR3WTr2664CKdVv0tsxIDiy" w:id="126"/>
      <w:r w:rsidRPr="009C48DA">
        <w:rPr>
          <w:szCs w:val="20"/>
          <w:lang w:val="en-GB"/>
        </w:rPr>
        <w:t xml:space="preserve">private </w:t>
      </w:r>
      <w:r w:rsidRPr="009C48DA" w:rsidR="00D321CC">
        <w:rPr>
          <w:rFonts w:eastAsia="Calibri" w:cs="Arial"/>
          <w:szCs w:val="20"/>
          <w:lang w:val="en-GB"/>
        </w:rPr>
        <w:t xml:space="preserve">credit </w:t>
      </w:r>
      <w:bookmarkEnd w:id="126"/>
      <w:r w:rsidRPr="009C48DA">
        <w:rPr>
          <w:szCs w:val="20"/>
          <w:lang w:val="en-GB"/>
        </w:rPr>
        <w:t>(</w:t>
      </w:r>
      <w:bookmarkStart w:name="_9kR3WTr26649DMIrej0hY669FJE3ABx8" w:id="127"/>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Credit Opportunities</w:t>
      </w:r>
      <w:bookmarkEnd w:id="127"/>
      <w:r w:rsidRPr="009C48DA">
        <w:rPr>
          <w:szCs w:val="20"/>
          <w:lang w:val="en-GB"/>
        </w:rPr>
        <w:t xml:space="preserve">, </w:t>
      </w:r>
      <w:bookmarkStart w:name="_9kR3WTr26649EOAvseueKttp0znvzfb38AKkSxD" w:id="128"/>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Direct Lending and </w:t>
      </w:r>
      <w:r w:rsidRPr="009C48DA" w:rsidR="00AF0B9A">
        <w:rPr>
          <w:rFonts w:eastAsia="Calibri" w:cs="Arial"/>
          <w:szCs w:val="20"/>
          <w:lang w:val="en-GB"/>
        </w:rPr>
        <w:t>Bridgepoint</w:t>
      </w:r>
      <w:r w:rsidRPr="009C48DA" w:rsidR="00AF0B9A">
        <w:rPr>
          <w:szCs w:val="20"/>
          <w:lang w:val="en-GB"/>
        </w:rPr>
        <w:t xml:space="preserve"> </w:t>
      </w:r>
      <w:r w:rsidRPr="009C48DA" w:rsidR="004B150D">
        <w:rPr>
          <w:szCs w:val="20"/>
          <w:lang w:val="en-GB"/>
        </w:rPr>
        <w:t xml:space="preserve">Syndicated </w:t>
      </w:r>
      <w:r w:rsidRPr="009C48DA">
        <w:rPr>
          <w:szCs w:val="20"/>
          <w:lang w:val="en-GB"/>
        </w:rPr>
        <w:t>Debt</w:t>
      </w:r>
      <w:bookmarkEnd w:id="128"/>
      <w:r w:rsidRPr="009C48DA">
        <w:rPr>
          <w:szCs w:val="20"/>
          <w:lang w:val="en-GB"/>
        </w:rPr>
        <w:t xml:space="preserve">). </w:t>
      </w:r>
      <w:r w:rsidRPr="009C48DA" w:rsidR="00BD0C14">
        <w:rPr>
          <w:szCs w:val="20"/>
          <w:lang w:val="en-GB"/>
        </w:rPr>
        <w:t xml:space="preserve">However, </w:t>
      </w:r>
      <w:r w:rsidRPr="009C48DA" w:rsidR="00B01262">
        <w:rPr>
          <w:szCs w:val="20"/>
          <w:lang w:val="en-GB"/>
        </w:rPr>
        <w:t xml:space="preserve">the </w:t>
      </w:r>
      <w:r w:rsidRPr="009C48DA" w:rsidR="00AF0B9A">
        <w:rPr>
          <w:rFonts w:eastAsia="Calibri" w:cs="Arial"/>
          <w:szCs w:val="20"/>
          <w:lang w:val="en-GB"/>
        </w:rPr>
        <w:t>Bridgepoint</w:t>
      </w:r>
      <w:r w:rsidRPr="009C48DA" w:rsidR="00AF0B9A">
        <w:rPr>
          <w:szCs w:val="20"/>
          <w:lang w:val="en-GB"/>
        </w:rPr>
        <w:t xml:space="preserve"> </w:t>
      </w:r>
      <w:r w:rsidRPr="009C48DA" w:rsidR="00B01262">
        <w:rPr>
          <w:szCs w:val="20"/>
          <w:lang w:val="en-GB"/>
        </w:rPr>
        <w:t xml:space="preserve">Funds have a strong focus on Europe and, as of 31 March 2021, </w:t>
      </w:r>
      <w:r w:rsidRPr="009C48DA" w:rsidR="000E655E">
        <w:rPr>
          <w:szCs w:val="20"/>
          <w:lang w:val="en-GB"/>
        </w:rPr>
        <w:t>over 90 per cent of t</w:t>
      </w:r>
      <w:r w:rsidRPr="009C48DA">
        <w:rPr>
          <w:szCs w:val="20"/>
          <w:lang w:val="en-GB"/>
        </w:rPr>
        <w:t xml:space="preserve">he </w:t>
      </w:r>
      <w:bookmarkStart w:name="_9kML8L6ZWu5997AEOKylkmw711DgcH17" w:id="129"/>
      <w:r w:rsidRPr="009C48DA" w:rsidR="00AF0B9A">
        <w:rPr>
          <w:rFonts w:eastAsia="Calibri" w:cs="Arial"/>
          <w:szCs w:val="20"/>
          <w:lang w:val="en-GB"/>
        </w:rPr>
        <w:t>Bridgepoint</w:t>
      </w:r>
      <w:r w:rsidRPr="009C48DA" w:rsidR="00AF0B9A">
        <w:rPr>
          <w:szCs w:val="20"/>
          <w:lang w:val="en-GB"/>
        </w:rPr>
        <w:t xml:space="preserve"> </w:t>
      </w:r>
      <w:r w:rsidRPr="009C48DA" w:rsidR="00B01262">
        <w:rPr>
          <w:szCs w:val="20"/>
          <w:lang w:val="en-GB"/>
        </w:rPr>
        <w:t xml:space="preserve">Funds’ </w:t>
      </w:r>
      <w:r w:rsidRPr="009C48DA" w:rsidR="000E655E">
        <w:rPr>
          <w:szCs w:val="20"/>
          <w:lang w:val="en-GB"/>
        </w:rPr>
        <w:t xml:space="preserve">private equity </w:t>
      </w:r>
      <w:bookmarkEnd w:id="129"/>
      <w:r w:rsidRPr="009C48DA">
        <w:rPr>
          <w:szCs w:val="20"/>
          <w:lang w:val="en-GB"/>
        </w:rPr>
        <w:t xml:space="preserve">investments </w:t>
      </w:r>
      <w:r w:rsidRPr="009C48DA" w:rsidR="000E655E">
        <w:rPr>
          <w:szCs w:val="20"/>
          <w:lang w:val="en-GB"/>
        </w:rPr>
        <w:t xml:space="preserve">by value </w:t>
      </w:r>
      <w:r w:rsidRPr="009C48DA" w:rsidR="00B01262">
        <w:rPr>
          <w:szCs w:val="20"/>
          <w:lang w:val="en-GB"/>
        </w:rPr>
        <w:t xml:space="preserve">were </w:t>
      </w:r>
      <w:r w:rsidRPr="009C48DA" w:rsidR="000E655E">
        <w:rPr>
          <w:szCs w:val="20"/>
          <w:lang w:val="en-GB"/>
        </w:rPr>
        <w:t xml:space="preserve">in Europe. </w:t>
      </w:r>
      <w:r w:rsidRPr="009C48DA">
        <w:rPr>
          <w:szCs w:val="20"/>
          <w:lang w:val="en-GB"/>
        </w:rPr>
        <w:t xml:space="preserve">Due to the </w:t>
      </w:r>
      <w:bookmarkStart w:name="_9kMPDM6ZWu5997AJTKylkmw711DhaFJL" w:id="130"/>
      <w:r w:rsidRPr="009C48DA">
        <w:rPr>
          <w:szCs w:val="20"/>
          <w:lang w:val="en-GB"/>
        </w:rPr>
        <w:t>Group’s</w:t>
      </w:r>
      <w:bookmarkEnd w:id="130"/>
      <w:r w:rsidRPr="009C48DA">
        <w:rPr>
          <w:szCs w:val="20"/>
          <w:lang w:val="en-GB"/>
        </w:rPr>
        <w:t xml:space="preserve"> business model and the geographic concentration of the </w:t>
      </w:r>
      <w:bookmarkStart w:name="_9kML9M6ZWu5997AEOKylkmw711DgcH17" w:id="131"/>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Funds</w:t>
      </w:r>
      <w:bookmarkEnd w:id="131"/>
      <w:r w:rsidRPr="009C48DA">
        <w:rPr>
          <w:szCs w:val="20"/>
          <w:lang w:val="en-GB"/>
        </w:rPr>
        <w:t xml:space="preserve">’ investments, </w:t>
      </w:r>
      <w:bookmarkStart w:name="_9kMH1I6ZWu59979GRKylkmw711D" w:id="132"/>
      <w:r w:rsidRPr="009C48DA">
        <w:rPr>
          <w:szCs w:val="20"/>
          <w:lang w:val="en-GB"/>
        </w:rPr>
        <w:t xml:space="preserve">the </w:t>
      </w:r>
      <w:bookmarkEnd w:id="132"/>
      <w:r w:rsidRPr="009C48DA">
        <w:rPr>
          <w:szCs w:val="20"/>
          <w:lang w:val="en-GB"/>
        </w:rPr>
        <w:t xml:space="preserve">Group is materially affected by market and economic conditions in the different markets in which it operates, including but not limited to fluctuations in public share prices, credit spreads, interest rates, currency exchange rates and inflation rates, supply of liquid funds and availability of credit, economic uncertainty, changes in </w:t>
      </w:r>
      <w:r w:rsidRPr="009C48DA" w:rsidR="00B9239F">
        <w:rPr>
          <w:szCs w:val="20"/>
          <w:lang w:val="en-GB"/>
        </w:rPr>
        <w:t xml:space="preserve">the </w:t>
      </w:r>
      <w:r w:rsidRPr="009C48DA">
        <w:rPr>
          <w:szCs w:val="20"/>
          <w:lang w:val="en-GB"/>
        </w:rPr>
        <w:t xml:space="preserve">interpretation of and amendments </w:t>
      </w:r>
      <w:r w:rsidRPr="009C48DA" w:rsidR="00B9239F">
        <w:rPr>
          <w:szCs w:val="20"/>
          <w:lang w:val="en-GB"/>
        </w:rPr>
        <w:t>to</w:t>
      </w:r>
      <w:r w:rsidRPr="009C48DA">
        <w:rPr>
          <w:szCs w:val="20"/>
          <w:lang w:val="en-GB"/>
        </w:rPr>
        <w:t xml:space="preserve"> laws or regulations, including those relating to taxation, currency exchange rates and controls, trade barriers and trade tensions, including between the United States and China, commodity prices and controls, national and international political circumstances (including wars, terrorist attacks or security operations) and the overall geopolitical environment, including acts of war, terrorist attacks and security operations. For example, the Group and the businesses of the companies in which the </w:t>
      </w:r>
      <w:bookmarkStart w:name="_9kMHzzH7aXv6AA8BKULzmlnx822EibGKM" w:id="133"/>
      <w:r w:rsidRPr="009C48DA" w:rsidR="00AF0B9A">
        <w:rPr>
          <w:rFonts w:eastAsia="Calibri" w:cs="Arial"/>
          <w:szCs w:val="20"/>
          <w:lang w:val="en-GB"/>
        </w:rPr>
        <w:t>Bridgepoint</w:t>
      </w:r>
      <w:r w:rsidRPr="009C48DA" w:rsidR="00AF0B9A">
        <w:rPr>
          <w:szCs w:val="20"/>
          <w:lang w:val="en-GB"/>
        </w:rPr>
        <w:t xml:space="preserve"> </w:t>
      </w:r>
      <w:r w:rsidRPr="009C48DA">
        <w:rPr>
          <w:szCs w:val="20"/>
          <w:lang w:val="en-GB"/>
        </w:rPr>
        <w:t xml:space="preserve">Funds </w:t>
      </w:r>
      <w:bookmarkEnd w:id="133"/>
      <w:r w:rsidRPr="009C48DA">
        <w:rPr>
          <w:szCs w:val="20"/>
          <w:lang w:val="en-GB"/>
        </w:rPr>
        <w:t>invest also suffered during the global financial crisis during 2008 and 2009, which provoked significant volatility of prices</w:t>
      </w:r>
      <w:r w:rsidRPr="009C48DA" w:rsidR="00B9239F">
        <w:rPr>
          <w:szCs w:val="20"/>
          <w:lang w:val="en-GB"/>
        </w:rPr>
        <w:t xml:space="preserve"> of securities</w:t>
      </w:r>
      <w:r w:rsidRPr="009C48DA">
        <w:rPr>
          <w:szCs w:val="20"/>
          <w:lang w:val="en-GB"/>
        </w:rPr>
        <w:t xml:space="preserve">, contraction in the availability of credit and bankruptcies and financial distress of a number of companies, including leading financial institutions. </w:t>
      </w:r>
    </w:p>
    <w:p w:rsidRPr="009C48DA" w:rsidR="00496130" w:rsidP="00496130" w:rsidRDefault="00496130" w14:paraId="41521EFC" w14:textId="2E26607D">
      <w:pPr>
        <w:pStyle w:val="BodyText2SglJ"/>
        <w:rPr>
          <w:lang w:val="en-GB"/>
        </w:rPr>
      </w:pPr>
      <w:r w:rsidRPr="009C48DA">
        <w:rPr>
          <w:lang w:val="en-GB"/>
        </w:rPr>
        <w:t xml:space="preserve">Conditions in the global financial markets and economic conditions are outside of the </w:t>
      </w:r>
      <w:bookmarkStart w:name="_9kMHz0I7aXv6AA8BKULzmlnx822EibGKM" w:id="134"/>
      <w:r w:rsidRPr="009C48DA">
        <w:rPr>
          <w:lang w:val="en-GB"/>
        </w:rPr>
        <w:t>Group’s</w:t>
      </w:r>
      <w:bookmarkEnd w:id="134"/>
      <w:r w:rsidRPr="009C48DA">
        <w:rPr>
          <w:lang w:val="en-GB"/>
        </w:rPr>
        <w:t xml:space="preserve"> control and may affect the value of the </w:t>
      </w:r>
      <w:bookmarkStart w:name="_9kMLAN6ZWu5997AEOKylkmw711DgcH17" w:id="135"/>
      <w:r w:rsidRPr="009C48DA" w:rsidR="00AF0B9A">
        <w:rPr>
          <w:rFonts w:eastAsia="Calibri" w:cs="Arial"/>
          <w:szCs w:val="20"/>
          <w:lang w:val="en-GB"/>
        </w:rPr>
        <w:t>Bridgepoint</w:t>
      </w:r>
      <w:r w:rsidRPr="009C48DA" w:rsidR="00AF0B9A">
        <w:rPr>
          <w:lang w:val="en-GB"/>
        </w:rPr>
        <w:t xml:space="preserve"> </w:t>
      </w:r>
      <w:r w:rsidRPr="009C48DA">
        <w:rPr>
          <w:lang w:val="en-GB"/>
        </w:rPr>
        <w:t>Funds’</w:t>
      </w:r>
      <w:bookmarkEnd w:id="135"/>
      <w:r w:rsidRPr="009C48DA">
        <w:rPr>
          <w:lang w:val="en-GB"/>
        </w:rPr>
        <w:t xml:space="preserve"> investments, the level and volatility of asset prices and liquidity and the </w:t>
      </w:r>
      <w:bookmarkStart w:name="_9kMHz1J7aXv6AA8BKULzmlnx822EibGKM" w:id="136"/>
      <w:r w:rsidRPr="009C48DA">
        <w:rPr>
          <w:lang w:val="en-GB"/>
        </w:rPr>
        <w:t>Group’s</w:t>
      </w:r>
      <w:bookmarkEnd w:id="136"/>
      <w:r w:rsidRPr="009C48DA">
        <w:rPr>
          <w:lang w:val="en-GB"/>
        </w:rPr>
        <w:t xml:space="preserve"> financial results. In addition, the Group may not be able to or may choose not to manage the </w:t>
      </w:r>
      <w:bookmarkStart w:name="_9kMHz3L7aXv6AA8BKULzmlnx822EibGKM" w:id="137"/>
      <w:r w:rsidRPr="009C48DA">
        <w:rPr>
          <w:lang w:val="en-GB"/>
        </w:rPr>
        <w:t>Group’s</w:t>
      </w:r>
      <w:bookmarkEnd w:id="137"/>
      <w:r w:rsidRPr="009C48DA">
        <w:rPr>
          <w:lang w:val="en-GB"/>
        </w:rPr>
        <w:t xml:space="preserve"> exposure to these conditions and/or events. If not otherwise offset, declines in the equity, debt and commodity markets could cause the Group to write down the </w:t>
      </w:r>
      <w:bookmarkStart w:name="_9kMHz5N7aXv6AA8BKULzmlnx822EibGKM" w:id="138"/>
      <w:r w:rsidRPr="009C48DA">
        <w:rPr>
          <w:lang w:val="en-GB"/>
        </w:rPr>
        <w:t>Group’s</w:t>
      </w:r>
      <w:bookmarkEnd w:id="138"/>
      <w:r w:rsidRPr="009C48DA">
        <w:rPr>
          <w:lang w:val="en-GB"/>
        </w:rPr>
        <w:t xml:space="preserve"> investments and the investments of the </w:t>
      </w:r>
      <w:bookmarkStart w:name="_9kMLBO6ZWu5997AEOKylkmw711DgcH17" w:id="139"/>
      <w:r w:rsidRPr="009C48DA" w:rsidR="00AF0B9A">
        <w:rPr>
          <w:rFonts w:eastAsia="Calibri" w:cs="Arial"/>
          <w:szCs w:val="20"/>
          <w:lang w:val="en-GB"/>
        </w:rPr>
        <w:t>Bridgepoint</w:t>
      </w:r>
      <w:r w:rsidRPr="009C48DA" w:rsidR="00AF0B9A">
        <w:rPr>
          <w:lang w:val="en-GB"/>
        </w:rPr>
        <w:t xml:space="preserve"> </w:t>
      </w:r>
      <w:r w:rsidRPr="009C48DA">
        <w:rPr>
          <w:lang w:val="en-GB"/>
        </w:rPr>
        <w:t>Funds</w:t>
      </w:r>
      <w:bookmarkEnd w:id="139"/>
      <w:r w:rsidRPr="009C48DA">
        <w:rPr>
          <w:lang w:val="en-GB"/>
        </w:rPr>
        <w:t xml:space="preserve">. For example, following the outbreak of the COVID-19 pandemic in Europe in the first quarter of 2020, valuations of some of the </w:t>
      </w:r>
      <w:bookmarkStart w:name="_9kMHz6O7aXv6AA8BKULzmlnx822EibGKM" w:id="140"/>
      <w:r w:rsidRPr="009C48DA">
        <w:rPr>
          <w:lang w:val="en-GB"/>
        </w:rPr>
        <w:t>Group</w:t>
      </w:r>
      <w:bookmarkEnd w:id="140"/>
      <w:r w:rsidRPr="009C48DA">
        <w:rPr>
          <w:lang w:val="en-GB"/>
        </w:rPr>
        <w:t xml:space="preserve"> investments as of 31 March 2020 were lower compared to 31 December 2019, driven primarily by actual and expected revenue declines and decreases in the value of the </w:t>
      </w:r>
      <w:bookmarkStart w:name="_9kMHz7P7aXv6AA8BKULzmlnx822EibGKM" w:id="141"/>
      <w:r w:rsidRPr="009C48DA" w:rsidR="00AF0B9A">
        <w:rPr>
          <w:rFonts w:eastAsia="Calibri" w:cs="Arial"/>
          <w:szCs w:val="20"/>
          <w:lang w:val="en-GB"/>
        </w:rPr>
        <w:t>Bridgepoint</w:t>
      </w:r>
      <w:r w:rsidRPr="009C48DA" w:rsidR="00AF0B9A">
        <w:rPr>
          <w:lang w:val="en-GB"/>
        </w:rPr>
        <w:t xml:space="preserve"> </w:t>
      </w:r>
      <w:r w:rsidRPr="009C48DA">
        <w:rPr>
          <w:lang w:val="en-GB"/>
        </w:rPr>
        <w:t>Funds’</w:t>
      </w:r>
      <w:bookmarkEnd w:id="141"/>
      <w:r w:rsidRPr="009C48DA">
        <w:rPr>
          <w:lang w:val="en-GB"/>
        </w:rPr>
        <w:t xml:space="preserve"> portfolio companies. Future market conditions may be less favourable compared to current and historical market conditions, which could adversely affect the </w:t>
      </w:r>
      <w:bookmarkStart w:name="_9kMHz8Q7aXv6AA8BKULzmlnx822EibGKM" w:id="142"/>
      <w:r w:rsidRPr="009C48DA">
        <w:rPr>
          <w:lang w:val="en-GB"/>
        </w:rPr>
        <w:t>Group’s</w:t>
      </w:r>
      <w:bookmarkEnd w:id="142"/>
      <w:r w:rsidRPr="009C48DA">
        <w:rPr>
          <w:lang w:val="en-GB"/>
        </w:rPr>
        <w:t xml:space="preserve"> business, results of operations, financial condition, cash flow</w:t>
      </w:r>
      <w:r w:rsidRPr="009C48DA" w:rsidR="00E639F5">
        <w:rPr>
          <w:lang w:val="en-GB"/>
        </w:rPr>
        <w:t>s</w:t>
      </w:r>
      <w:r w:rsidRPr="009C48DA">
        <w:rPr>
          <w:lang w:val="en-GB"/>
        </w:rPr>
        <w:t xml:space="preserve"> and prospects.</w:t>
      </w:r>
    </w:p>
    <w:p w:rsidRPr="009C48DA" w:rsidR="00496130" w:rsidP="00496130" w:rsidRDefault="00496130" w14:paraId="067B76CD" w14:textId="6AE6C9E9">
      <w:pPr>
        <w:pStyle w:val="BodyText2SglJ"/>
        <w:rPr>
          <w:lang w:val="en-GB"/>
        </w:rPr>
      </w:pPr>
      <w:bookmarkStart w:name="_9kMKJ5YVt4886DEOQ990mx" w:id="143"/>
      <w:r w:rsidRPr="009C48DA">
        <w:rPr>
          <w:lang w:val="en-GB"/>
        </w:rPr>
        <w:t>Further</w:t>
      </w:r>
      <w:bookmarkEnd w:id="143"/>
      <w:r w:rsidRPr="009C48DA">
        <w:rPr>
          <w:lang w:val="en-GB"/>
        </w:rPr>
        <w:t xml:space="preserve">more, weakened market conditions may affect the performance of the </w:t>
      </w:r>
      <w:bookmarkStart w:name="_9kMLCP6ZWu5997AEOKylkmw711DgcH17" w:id="144"/>
      <w:r w:rsidRPr="009C48DA" w:rsidR="00AF0B9A">
        <w:rPr>
          <w:rFonts w:eastAsia="Calibri" w:cs="Arial"/>
          <w:szCs w:val="20"/>
          <w:lang w:val="en-GB"/>
        </w:rPr>
        <w:t>Bridgepoint</w:t>
      </w:r>
      <w:r w:rsidRPr="009C48DA" w:rsidR="00AF0B9A">
        <w:rPr>
          <w:lang w:val="en-GB"/>
        </w:rPr>
        <w:t xml:space="preserve"> </w:t>
      </w:r>
      <w:r w:rsidRPr="009C48DA">
        <w:rPr>
          <w:lang w:val="en-GB"/>
        </w:rPr>
        <w:t>Funds</w:t>
      </w:r>
      <w:bookmarkEnd w:id="144"/>
      <w:r w:rsidRPr="009C48DA">
        <w:rPr>
          <w:lang w:val="en-GB"/>
        </w:rPr>
        <w:t xml:space="preserve">, including by limiting opportunities to exit and realise value from their investments, and the availability of suitable investment opportunities within each of the </w:t>
      </w:r>
      <w:bookmarkStart w:name="_9kMM4G6ZWu5997AEOKylkmw711DgcH17" w:id="145"/>
      <w:r w:rsidRPr="009C48DA" w:rsidR="00AF0B9A">
        <w:rPr>
          <w:rFonts w:eastAsia="Calibri" w:cs="Arial"/>
          <w:szCs w:val="20"/>
          <w:lang w:val="en-GB"/>
        </w:rPr>
        <w:t>Bridgepoint</w:t>
      </w:r>
      <w:r w:rsidRPr="009C48DA" w:rsidR="00AF0B9A">
        <w:rPr>
          <w:lang w:val="en-GB"/>
        </w:rPr>
        <w:t xml:space="preserve"> </w:t>
      </w:r>
      <w:r w:rsidRPr="009C48DA">
        <w:rPr>
          <w:lang w:val="en-GB"/>
        </w:rPr>
        <w:t>Funds’</w:t>
      </w:r>
      <w:bookmarkEnd w:id="145"/>
      <w:r w:rsidRPr="009C48DA">
        <w:rPr>
          <w:lang w:val="en-GB"/>
        </w:rPr>
        <w:t xml:space="preserve"> investment strategies, thereby reducing the ability of such </w:t>
      </w:r>
      <w:bookmarkStart w:name="_9kMM5H6ZWu5997AEOKylkmw711DgcH17" w:id="146"/>
      <w:r w:rsidRPr="009C48DA" w:rsidR="00AF0B9A">
        <w:rPr>
          <w:rFonts w:eastAsia="Calibri" w:cs="Arial"/>
          <w:szCs w:val="20"/>
          <w:lang w:val="en-GB"/>
        </w:rPr>
        <w:t>Bridgepoint</w:t>
      </w:r>
      <w:r w:rsidRPr="009C48DA" w:rsidR="00AF0B9A">
        <w:rPr>
          <w:lang w:val="en-GB"/>
        </w:rPr>
        <w:t xml:space="preserve"> </w:t>
      </w:r>
      <w:r w:rsidRPr="009C48DA">
        <w:rPr>
          <w:lang w:val="en-GB"/>
        </w:rPr>
        <w:t>Funds</w:t>
      </w:r>
      <w:bookmarkEnd w:id="146"/>
      <w:r w:rsidRPr="009C48DA">
        <w:rPr>
          <w:lang w:val="en-GB"/>
        </w:rPr>
        <w:t xml:space="preserve"> to effectively deploy and invest capital. Moreover, in less favourable market conditions (which may occur across one or more industries, sectors or geographies), companies in which </w:t>
      </w:r>
      <w:bookmarkStart w:name="_9kMN6H6ZWu5997AEOKylkmw711DgcH17" w:id="147"/>
      <w:r w:rsidRPr="009C48DA" w:rsidR="00AF0B9A">
        <w:rPr>
          <w:rFonts w:eastAsia="Calibri" w:cs="Arial"/>
          <w:szCs w:val="20"/>
          <w:lang w:val="en-GB"/>
        </w:rPr>
        <w:t>Bridgepoint</w:t>
      </w:r>
      <w:r w:rsidRPr="009C48DA" w:rsidR="00AF0B9A">
        <w:rPr>
          <w:lang w:val="en-GB"/>
        </w:rPr>
        <w:t xml:space="preserve"> </w:t>
      </w:r>
      <w:r w:rsidRPr="009C48DA">
        <w:rPr>
          <w:lang w:val="en-GB"/>
        </w:rPr>
        <w:t>Funds</w:t>
      </w:r>
      <w:bookmarkEnd w:id="147"/>
      <w:r w:rsidRPr="009C48DA">
        <w:rPr>
          <w:lang w:val="en-GB"/>
        </w:rPr>
        <w:t xml:space="preserve"> invest m</w:t>
      </w:r>
      <w:r w:rsidRPr="009C48DA" w:rsidR="008B2C9B">
        <w:rPr>
          <w:lang w:val="en-GB"/>
        </w:rPr>
        <w:t>ay experience decreased revenue</w:t>
      </w:r>
      <w:r w:rsidRPr="009C48DA">
        <w:rPr>
          <w:lang w:val="en-GB"/>
        </w:rPr>
        <w:t xml:space="preserve">, financial losses, credit rating downgrades, difficulty in obtaining access to financing and increased funding costs. </w:t>
      </w:r>
      <w:r w:rsidRPr="009C48DA" w:rsidR="006D279D">
        <w:rPr>
          <w:lang w:val="en-GB"/>
        </w:rPr>
        <w:t xml:space="preserve">For example, the </w:t>
      </w:r>
      <w:r w:rsidRPr="009C48DA" w:rsidR="00AF0B9A">
        <w:rPr>
          <w:rFonts w:eastAsia="Calibri" w:cs="Arial"/>
          <w:szCs w:val="20"/>
          <w:lang w:val="en-GB"/>
        </w:rPr>
        <w:t>Bridgepoint</w:t>
      </w:r>
      <w:r w:rsidRPr="009C48DA" w:rsidR="00AF0B9A">
        <w:rPr>
          <w:lang w:val="en-GB"/>
        </w:rPr>
        <w:t xml:space="preserve"> </w:t>
      </w:r>
      <w:r w:rsidRPr="009C48DA" w:rsidR="006D279D">
        <w:rPr>
          <w:lang w:val="en-GB"/>
        </w:rPr>
        <w:t>Funds</w:t>
      </w:r>
      <w:r w:rsidRPr="009C48DA" w:rsidR="009A613B">
        <w:rPr>
          <w:lang w:val="en-GB"/>
        </w:rPr>
        <w:t>’</w:t>
      </w:r>
      <w:r w:rsidRPr="009C48DA" w:rsidR="006D279D">
        <w:rPr>
          <w:lang w:val="en-GB"/>
        </w:rPr>
        <w:t xml:space="preserve"> portfolio companies in the casual dining</w:t>
      </w:r>
      <w:r w:rsidRPr="009C48DA" w:rsidR="008F020D">
        <w:rPr>
          <w:lang w:val="en-GB"/>
        </w:rPr>
        <w:t xml:space="preserve"> </w:t>
      </w:r>
      <w:r w:rsidRPr="009C48DA" w:rsidR="006D279D">
        <w:rPr>
          <w:lang w:val="en-GB"/>
        </w:rPr>
        <w:t xml:space="preserve">sector </w:t>
      </w:r>
      <w:r w:rsidRPr="009C48DA" w:rsidR="008F020D">
        <w:rPr>
          <w:lang w:val="en-GB"/>
        </w:rPr>
        <w:t xml:space="preserve">were negatively impacted by certain measures to limit the spread of </w:t>
      </w:r>
      <w:r w:rsidRPr="009C48DA" w:rsidR="00942F97">
        <w:rPr>
          <w:lang w:val="en-GB"/>
        </w:rPr>
        <w:t xml:space="preserve">the </w:t>
      </w:r>
      <w:r w:rsidRPr="009C48DA" w:rsidR="00C200CC">
        <w:rPr>
          <w:lang w:val="en-GB"/>
        </w:rPr>
        <w:t>COVID</w:t>
      </w:r>
      <w:r w:rsidRPr="009C48DA" w:rsidR="008F020D">
        <w:rPr>
          <w:lang w:val="en-GB"/>
        </w:rPr>
        <w:t xml:space="preserve">-19 </w:t>
      </w:r>
      <w:r w:rsidRPr="009C48DA" w:rsidR="00942F97">
        <w:rPr>
          <w:lang w:val="en-GB"/>
        </w:rPr>
        <w:t>pandemic</w:t>
      </w:r>
      <w:r w:rsidRPr="009C48DA" w:rsidR="00B01262">
        <w:rPr>
          <w:lang w:val="en-GB"/>
        </w:rPr>
        <w:t>,</w:t>
      </w:r>
      <w:r w:rsidRPr="009C48DA" w:rsidR="00942F97">
        <w:rPr>
          <w:lang w:val="en-GB"/>
        </w:rPr>
        <w:t xml:space="preserve"> </w:t>
      </w:r>
      <w:r w:rsidRPr="009C48DA" w:rsidR="008F020D">
        <w:rPr>
          <w:lang w:val="en-GB"/>
        </w:rPr>
        <w:t xml:space="preserve">including </w:t>
      </w:r>
      <w:r w:rsidRPr="009C48DA" w:rsidR="00B01262">
        <w:rPr>
          <w:lang w:val="en-GB"/>
        </w:rPr>
        <w:t xml:space="preserve">travel bans and restrictions, quarantines, self-isolation, shelter-in-place, heightened border controls and </w:t>
      </w:r>
      <w:r w:rsidRPr="009C48DA" w:rsidR="008F020D">
        <w:rPr>
          <w:lang w:val="en-GB"/>
        </w:rPr>
        <w:t xml:space="preserve">lockdown orders, business restrictions, shutdowns and other limitations. </w:t>
      </w:r>
      <w:r w:rsidRPr="009C48DA">
        <w:rPr>
          <w:lang w:val="en-GB"/>
        </w:rPr>
        <w:t xml:space="preserve">During such periods, </w:t>
      </w:r>
      <w:r w:rsidRPr="009C48DA" w:rsidR="00B01262">
        <w:rPr>
          <w:lang w:val="en-GB"/>
        </w:rPr>
        <w:t xml:space="preserve">portfolio </w:t>
      </w:r>
      <w:r w:rsidRPr="009C48DA">
        <w:rPr>
          <w:lang w:val="en-GB"/>
        </w:rPr>
        <w:t xml:space="preserve">companies </w:t>
      </w:r>
      <w:r w:rsidRPr="009C48DA" w:rsidR="00B01262">
        <w:rPr>
          <w:lang w:val="en-GB"/>
        </w:rPr>
        <w:t xml:space="preserve">of the </w:t>
      </w:r>
      <w:r w:rsidRPr="009C48DA" w:rsidR="00AF0B9A">
        <w:rPr>
          <w:rFonts w:eastAsia="Calibri" w:cs="Arial"/>
          <w:szCs w:val="20"/>
          <w:lang w:val="en-GB"/>
        </w:rPr>
        <w:t>Bridgepoint</w:t>
      </w:r>
      <w:r w:rsidRPr="009C48DA" w:rsidR="00AF0B9A">
        <w:rPr>
          <w:lang w:val="en-GB"/>
        </w:rPr>
        <w:t xml:space="preserve"> </w:t>
      </w:r>
      <w:r w:rsidRPr="009C48DA" w:rsidR="00B01262">
        <w:rPr>
          <w:lang w:val="en-GB"/>
        </w:rPr>
        <w:t xml:space="preserve">Funds </w:t>
      </w:r>
      <w:r w:rsidRPr="009C48DA">
        <w:rPr>
          <w:lang w:val="en-GB"/>
        </w:rPr>
        <w:t>may also have difficulty in expanding their businesses and operations, m</w:t>
      </w:r>
      <w:r w:rsidRPr="009C48DA" w:rsidR="00647FDA">
        <w:rPr>
          <w:lang w:val="en-GB"/>
        </w:rPr>
        <w:t>ay experience decreased revenue</w:t>
      </w:r>
      <w:r w:rsidRPr="009C48DA">
        <w:rPr>
          <w:lang w:val="en-GB"/>
        </w:rPr>
        <w:t xml:space="preserve"> and financial loss, may breach the covenants in their financing arrangements (particularly in the area of acquisition financings for private equity transactions), or be unable to meet their debt service obligations or other obligations as they become due, potentially resulting in enforcement action being taken by lenders in respect of secured assets. Negative financial results in such portfolio companies may result in lower investment returns for the relevant </w:t>
      </w:r>
      <w:r w:rsidRPr="009C48DA" w:rsidR="00AF0B9A">
        <w:rPr>
          <w:rFonts w:eastAsia="Calibri" w:cs="Arial"/>
          <w:szCs w:val="20"/>
          <w:lang w:val="en-GB"/>
        </w:rPr>
        <w:t>Bridgepoint</w:t>
      </w:r>
      <w:r w:rsidRPr="009C48DA" w:rsidR="00AF0B9A">
        <w:rPr>
          <w:lang w:val="en-GB"/>
        </w:rPr>
        <w:t xml:space="preserve"> </w:t>
      </w:r>
      <w:r w:rsidRPr="009C48DA">
        <w:rPr>
          <w:lang w:val="en-GB"/>
        </w:rPr>
        <w:t xml:space="preserve">Funds, which could have a material adverse effect on the Group’s business, revenue, net income and cash flows. Furthermore, such negative market conditions could </w:t>
      </w:r>
      <w:r w:rsidRPr="009C48DA">
        <w:rPr>
          <w:lang w:val="en-GB"/>
        </w:rPr>
        <w:lastRenderedPageBreak/>
        <w:t xml:space="preserve">potentially result in portfolio companies entering into insolvency proceedings, thereby resulting in a complete loss of a </w:t>
      </w:r>
      <w:r w:rsidRPr="009C48DA" w:rsidR="00AF0B9A">
        <w:rPr>
          <w:rFonts w:eastAsia="Calibri" w:cs="Arial"/>
          <w:szCs w:val="20"/>
          <w:lang w:val="en-GB"/>
        </w:rPr>
        <w:t>Bridgepoint</w:t>
      </w:r>
      <w:r w:rsidRPr="009C48DA" w:rsidR="00AF0B9A">
        <w:rPr>
          <w:lang w:val="en-GB"/>
        </w:rPr>
        <w:t xml:space="preserve"> </w:t>
      </w:r>
      <w:r w:rsidRPr="009C48DA">
        <w:rPr>
          <w:lang w:val="en-GB"/>
        </w:rPr>
        <w:t xml:space="preserve">Fund’s investment in such portfolio company and a significant negative impact to </w:t>
      </w:r>
      <w:bookmarkStart w:name="_9kMN7I6ZWu5997AEOKylkmw711DgcH17" w:id="148"/>
      <w:r w:rsidRPr="009C48DA">
        <w:rPr>
          <w:lang w:val="en-GB"/>
        </w:rPr>
        <w:t xml:space="preserve">such </w:t>
      </w:r>
      <w:r w:rsidRPr="009C48DA" w:rsidR="00AF0B9A">
        <w:rPr>
          <w:rFonts w:eastAsia="Calibri" w:cs="Arial"/>
          <w:szCs w:val="20"/>
          <w:lang w:val="en-GB"/>
        </w:rPr>
        <w:t>Bridgepoint</w:t>
      </w:r>
      <w:r w:rsidRPr="009C48DA" w:rsidR="00AF0B9A">
        <w:rPr>
          <w:lang w:val="en-GB"/>
        </w:rPr>
        <w:t xml:space="preserve"> </w:t>
      </w:r>
      <w:r w:rsidRPr="009C48DA">
        <w:rPr>
          <w:lang w:val="en-GB"/>
        </w:rPr>
        <w:t>Fund’s</w:t>
      </w:r>
      <w:bookmarkEnd w:id="148"/>
      <w:r w:rsidRPr="009C48DA">
        <w:rPr>
          <w:lang w:val="en-GB"/>
        </w:rPr>
        <w:t xml:space="preserve"> performance and consequently to the </w:t>
      </w:r>
      <w:bookmarkStart w:name="_9kMH12I7aXv6AA8BKULzmlnx822EibGKM" w:id="149"/>
      <w:r w:rsidRPr="009C48DA">
        <w:rPr>
          <w:lang w:val="en-GB"/>
        </w:rPr>
        <w:t>Group’s</w:t>
      </w:r>
      <w:bookmarkEnd w:id="149"/>
      <w:r w:rsidRPr="009C48DA">
        <w:rPr>
          <w:lang w:val="en-GB"/>
        </w:rPr>
        <w:t xml:space="preserve"> operating results and cash flow, as well as to the </w:t>
      </w:r>
      <w:bookmarkStart w:name="_9kMH13J7aXv6AA8BKULzmlnx822EibGKM" w:id="150"/>
      <w:r w:rsidRPr="009C48DA">
        <w:rPr>
          <w:lang w:val="en-GB"/>
        </w:rPr>
        <w:t>Group’s</w:t>
      </w:r>
      <w:bookmarkEnd w:id="150"/>
      <w:r w:rsidRPr="009C48DA">
        <w:rPr>
          <w:lang w:val="en-GB"/>
        </w:rPr>
        <w:t xml:space="preserve"> reputation.</w:t>
      </w:r>
    </w:p>
    <w:p w:rsidRPr="009C48DA" w:rsidR="00496130" w:rsidP="00496130" w:rsidRDefault="00496130" w14:paraId="4989545D" w14:textId="24F790FB">
      <w:pPr>
        <w:pStyle w:val="BodyText2SglJ"/>
        <w:rPr>
          <w:lang w:val="en-GB"/>
        </w:rPr>
      </w:pPr>
      <w:r w:rsidRPr="009C48DA">
        <w:rPr>
          <w:lang w:val="en-GB"/>
        </w:rPr>
        <w:t xml:space="preserve">Unfavourable market conditions and any of the above </w:t>
      </w:r>
      <w:r w:rsidRPr="009C48DA" w:rsidR="00470574">
        <w:rPr>
          <w:lang w:val="en-GB"/>
        </w:rPr>
        <w:t xml:space="preserve">factors </w:t>
      </w:r>
      <w:r w:rsidRPr="009C48DA">
        <w:rPr>
          <w:lang w:val="en-GB"/>
        </w:rPr>
        <w:t xml:space="preserve">may lead to unsatisfactory performance of the </w:t>
      </w:r>
      <w:r w:rsidRPr="009C48DA" w:rsidR="00AF0B9A">
        <w:rPr>
          <w:rFonts w:eastAsia="Calibri" w:cs="Arial"/>
          <w:szCs w:val="20"/>
          <w:lang w:val="en-GB"/>
        </w:rPr>
        <w:t>Bridgepoint</w:t>
      </w:r>
      <w:r w:rsidRPr="009C48DA" w:rsidR="00AF0B9A">
        <w:rPr>
          <w:lang w:val="en-GB"/>
        </w:rPr>
        <w:t xml:space="preserve"> </w:t>
      </w:r>
      <w:r w:rsidRPr="009C48DA">
        <w:rPr>
          <w:lang w:val="en-GB"/>
        </w:rPr>
        <w:t xml:space="preserve">Funds, which could affect the carried interest and income </w:t>
      </w:r>
      <w:r w:rsidRPr="009C48DA" w:rsidR="003C36B4">
        <w:rPr>
          <w:lang w:val="en-GB"/>
        </w:rPr>
        <w:t xml:space="preserve">from the fair value remeasurement of investments </w:t>
      </w:r>
      <w:r w:rsidRPr="009C48DA">
        <w:rPr>
          <w:lang w:val="en-GB"/>
        </w:rPr>
        <w:t xml:space="preserve">received by the Group. The </w:t>
      </w:r>
      <w:r w:rsidRPr="009C48DA" w:rsidR="001D379E">
        <w:rPr>
          <w:lang w:val="en-GB"/>
        </w:rPr>
        <w:t>receipt</w:t>
      </w:r>
      <w:r w:rsidRPr="009C48DA">
        <w:rPr>
          <w:lang w:val="en-GB"/>
        </w:rPr>
        <w:t xml:space="preserve"> of less or no carried interest </w:t>
      </w:r>
      <w:r w:rsidRPr="009C48DA" w:rsidR="001D379E">
        <w:rPr>
          <w:lang w:val="en-GB"/>
        </w:rPr>
        <w:t>c</w:t>
      </w:r>
      <w:r w:rsidRPr="009C48DA">
        <w:rPr>
          <w:lang w:val="en-GB"/>
        </w:rPr>
        <w:t xml:space="preserve">ould cause the </w:t>
      </w:r>
      <w:bookmarkStart w:name="_9kMH16M7aXv6AA8BKULzmlnx822EibGKM" w:id="151"/>
      <w:r w:rsidRPr="009C48DA">
        <w:rPr>
          <w:lang w:val="en-GB"/>
        </w:rPr>
        <w:t>Group’s</w:t>
      </w:r>
      <w:bookmarkEnd w:id="151"/>
      <w:r w:rsidRPr="009C48DA">
        <w:rPr>
          <w:lang w:val="en-GB"/>
        </w:rPr>
        <w:t xml:space="preserve"> cash flow</w:t>
      </w:r>
      <w:r w:rsidRPr="009C48DA" w:rsidR="001D379E">
        <w:rPr>
          <w:lang w:val="en-GB"/>
        </w:rPr>
        <w:t>s</w:t>
      </w:r>
      <w:r w:rsidRPr="009C48DA">
        <w:rPr>
          <w:lang w:val="en-GB"/>
        </w:rPr>
        <w:t xml:space="preserve"> to significantly decrease, which could materially and adversely affect the </w:t>
      </w:r>
      <w:bookmarkStart w:name="_9kMH17N7aXv6AA8BKULzmlnx822EibGKM" w:id="152"/>
      <w:r w:rsidRPr="009C48DA">
        <w:rPr>
          <w:lang w:val="en-GB"/>
        </w:rPr>
        <w:t>Group’s</w:t>
      </w:r>
      <w:bookmarkEnd w:id="152"/>
      <w:r w:rsidRPr="009C48DA">
        <w:rPr>
          <w:lang w:val="en-GB"/>
        </w:rPr>
        <w:t xml:space="preserve"> liquidity position and cash flow</w:t>
      </w:r>
      <w:r w:rsidRPr="009C48DA" w:rsidR="00E639F5">
        <w:rPr>
          <w:lang w:val="en-GB"/>
        </w:rPr>
        <w:t>s</w:t>
      </w:r>
      <w:r w:rsidRPr="009C48DA">
        <w:rPr>
          <w:lang w:val="en-GB"/>
        </w:rPr>
        <w:t xml:space="preserve"> to cover the cost of its operations, which include, for example, funding significant personnel expenses and real estate lease expenses. </w:t>
      </w:r>
      <w:r w:rsidRPr="009C48DA">
        <w:rPr>
          <w:rFonts w:eastAsia="Times New Roman" w:cs="Times New Roman"/>
          <w:color w:val="000000"/>
          <w:szCs w:val="22"/>
          <w:lang w:val="en-GB"/>
        </w:rPr>
        <w:t xml:space="preserve">This risk could be exacerbated as </w:t>
      </w:r>
      <w:r w:rsidRPr="009C48DA">
        <w:rPr>
          <w:lang w:val="en-GB"/>
        </w:rPr>
        <w:t xml:space="preserve">unfavourable market </w:t>
      </w:r>
      <w:r w:rsidRPr="009C48DA">
        <w:rPr>
          <w:rFonts w:eastAsia="Times New Roman" w:cs="Times New Roman"/>
          <w:color w:val="000000"/>
          <w:szCs w:val="22"/>
          <w:lang w:val="en-GB"/>
        </w:rPr>
        <w:t xml:space="preserve">conditions could also increase the risk of default with respect to the </w:t>
      </w:r>
      <w:r w:rsidRPr="009C48DA" w:rsidR="008453E7">
        <w:rPr>
          <w:rFonts w:eastAsia="Calibri" w:cs="Arial"/>
          <w:szCs w:val="20"/>
          <w:lang w:val="en-GB"/>
        </w:rPr>
        <w:t>Bridgepoint</w:t>
      </w:r>
      <w:r w:rsidRPr="009C48DA" w:rsidR="008453E7">
        <w:rPr>
          <w:rFonts w:eastAsia="Times New Roman" w:cs="Times New Roman"/>
          <w:color w:val="000000"/>
          <w:szCs w:val="22"/>
          <w:lang w:val="en-GB"/>
        </w:rPr>
        <w:t xml:space="preserve"> </w:t>
      </w:r>
      <w:r w:rsidRPr="009C48DA">
        <w:rPr>
          <w:rFonts w:eastAsia="Times New Roman" w:cs="Times New Roman"/>
          <w:color w:val="000000"/>
          <w:szCs w:val="22"/>
          <w:lang w:val="en-GB"/>
        </w:rPr>
        <w:t>Funds that have significant debt inves</w:t>
      </w:r>
      <w:r w:rsidRPr="009C48DA" w:rsidR="00647FDA">
        <w:rPr>
          <w:rFonts w:eastAsia="Times New Roman" w:cs="Times New Roman"/>
          <w:color w:val="000000"/>
          <w:szCs w:val="22"/>
          <w:lang w:val="en-GB"/>
        </w:rPr>
        <w:t xml:space="preserve">tments, such as </w:t>
      </w:r>
      <w:r w:rsidRPr="009C48DA" w:rsidR="00AF0B9A">
        <w:rPr>
          <w:rFonts w:eastAsia="Calibri" w:cs="Arial"/>
          <w:szCs w:val="20"/>
          <w:lang w:val="en-GB"/>
        </w:rPr>
        <w:t>Bridgepoint</w:t>
      </w:r>
      <w:r w:rsidRPr="009C48DA" w:rsidR="00AF0B9A">
        <w:rPr>
          <w:rFonts w:eastAsia="Times New Roman" w:cs="Times New Roman"/>
          <w:color w:val="000000"/>
          <w:szCs w:val="22"/>
          <w:lang w:val="en-GB"/>
        </w:rPr>
        <w:t xml:space="preserve"> </w:t>
      </w:r>
      <w:r w:rsidRPr="009C48DA">
        <w:rPr>
          <w:rFonts w:eastAsia="Times New Roman" w:cs="Times New Roman"/>
          <w:color w:val="000000"/>
          <w:szCs w:val="22"/>
          <w:lang w:val="en-GB"/>
        </w:rPr>
        <w:t xml:space="preserve">private </w:t>
      </w:r>
      <w:r w:rsidRPr="009C48DA" w:rsidR="00D321CC">
        <w:rPr>
          <w:rFonts w:eastAsia="Calibri" w:cs="Arial"/>
          <w:lang w:val="en-GB"/>
        </w:rPr>
        <w:t>credit</w:t>
      </w:r>
      <w:r w:rsidRPr="009C48DA" w:rsidR="00AF0B9A">
        <w:rPr>
          <w:rFonts w:eastAsia="Calibri" w:cs="Arial"/>
          <w:lang w:val="en-GB"/>
        </w:rPr>
        <w:t xml:space="preserve"> funds</w:t>
      </w:r>
      <w:r w:rsidRPr="009C48DA">
        <w:rPr>
          <w:rFonts w:eastAsia="Times New Roman" w:cs="Times New Roman"/>
          <w:color w:val="000000"/>
          <w:szCs w:val="22"/>
          <w:lang w:val="en-GB"/>
        </w:rPr>
        <w:t xml:space="preserve">. An adverse impact on the Group’s cash flows </w:t>
      </w:r>
      <w:r w:rsidRPr="009C48DA">
        <w:rPr>
          <w:lang w:val="en-GB"/>
        </w:rPr>
        <w:t xml:space="preserve">could in turn require the Group to rely on other sources of cash such as </w:t>
      </w:r>
      <w:r w:rsidRPr="009C48DA" w:rsidR="003C36B4">
        <w:rPr>
          <w:lang w:val="en-GB"/>
        </w:rPr>
        <w:t>the BAH</w:t>
      </w:r>
      <w:r w:rsidRPr="009C48DA">
        <w:rPr>
          <w:lang w:val="en-GB"/>
        </w:rPr>
        <w:t xml:space="preserve"> </w:t>
      </w:r>
      <w:r w:rsidRPr="009C48DA" w:rsidR="003C36B4">
        <w:rPr>
          <w:lang w:val="en-GB"/>
        </w:rPr>
        <w:t>R</w:t>
      </w:r>
      <w:r w:rsidRPr="009C48DA">
        <w:rPr>
          <w:lang w:val="en-GB"/>
        </w:rPr>
        <w:t xml:space="preserve">evolving </w:t>
      </w:r>
      <w:r w:rsidRPr="009C48DA" w:rsidR="003C36B4">
        <w:rPr>
          <w:lang w:val="en-GB"/>
        </w:rPr>
        <w:t>C</w:t>
      </w:r>
      <w:r w:rsidRPr="009C48DA">
        <w:rPr>
          <w:lang w:val="en-GB"/>
        </w:rPr>
        <w:t xml:space="preserve">redit </w:t>
      </w:r>
      <w:r w:rsidRPr="009C48DA" w:rsidR="003C36B4">
        <w:rPr>
          <w:lang w:val="en-GB"/>
        </w:rPr>
        <w:t>F</w:t>
      </w:r>
      <w:r w:rsidRPr="009C48DA">
        <w:rPr>
          <w:lang w:val="en-GB"/>
        </w:rPr>
        <w:t xml:space="preserve">acility or the capital markets, which may not be available to the Group on acceptable terms. Moreover, during adverse economic conditions, the Group may not be able to renew all or part of its existing financing arrangements, including </w:t>
      </w:r>
      <w:r w:rsidRPr="009C48DA" w:rsidR="00C200CC">
        <w:rPr>
          <w:lang w:val="en-GB"/>
        </w:rPr>
        <w:t xml:space="preserve">the </w:t>
      </w:r>
      <w:r w:rsidRPr="009C48DA" w:rsidR="00C200CC">
        <w:rPr>
          <w:szCs w:val="22"/>
          <w:lang w:val="en-GB"/>
        </w:rPr>
        <w:t>BAH Revolving Credit Facility</w:t>
      </w:r>
      <w:r w:rsidRPr="009C48DA">
        <w:rPr>
          <w:lang w:val="en-GB"/>
        </w:rPr>
        <w:t>, or to find alternative financing on commercially reasonable terms. As a result of any such events, the Company’s uses of cash may exceed its cash resources, thereby potentially affecting the Company’s liquidity position</w:t>
      </w:r>
      <w:r w:rsidRPr="009C48DA" w:rsidR="003C36B4">
        <w:rPr>
          <w:lang w:val="en-GB"/>
        </w:rPr>
        <w:t xml:space="preserve"> in the medium to long-term (</w:t>
      </w:r>
      <w:r w:rsidRPr="009C48DA" w:rsidR="003C36B4">
        <w:rPr>
          <w:i/>
          <w:lang w:val="en-GB"/>
        </w:rPr>
        <w:t>i.e.</w:t>
      </w:r>
      <w:r w:rsidRPr="009C48DA" w:rsidR="003C36B4">
        <w:rPr>
          <w:lang w:val="en-GB"/>
        </w:rPr>
        <w:t xml:space="preserve"> in periods more than 18 months after</w:t>
      </w:r>
      <w:r w:rsidRPr="009C48DA">
        <w:rPr>
          <w:lang w:val="en-GB"/>
        </w:rPr>
        <w:t xml:space="preserve"> </w:t>
      </w:r>
      <w:r w:rsidRPr="009C48DA" w:rsidR="00BE48CD">
        <w:rPr>
          <w:szCs w:val="22"/>
          <w:lang w:val="en-GB"/>
        </w:rPr>
        <w:t>the date of this Registration Document</w:t>
      </w:r>
      <w:r w:rsidRPr="009C48DA" w:rsidR="003C36B4">
        <w:rPr>
          <w:szCs w:val="22"/>
          <w:lang w:val="en-GB"/>
        </w:rPr>
        <w:t>).</w:t>
      </w:r>
      <w:r w:rsidRPr="009C48DA" w:rsidR="00BE48CD">
        <w:rPr>
          <w:szCs w:val="22"/>
          <w:lang w:val="en-GB"/>
        </w:rPr>
        <w:t xml:space="preserve"> </w:t>
      </w:r>
      <w:r w:rsidRPr="009C48DA" w:rsidR="003C36B4">
        <w:rPr>
          <w:szCs w:val="22"/>
          <w:lang w:val="en-GB"/>
        </w:rPr>
        <w:t>T</w:t>
      </w:r>
      <w:r w:rsidRPr="009C48DA" w:rsidR="00BE48CD">
        <w:rPr>
          <w:szCs w:val="22"/>
          <w:lang w:val="en-GB"/>
        </w:rPr>
        <w:t>here can be no assurance that the Group will be able to fund its liquidity requirements</w:t>
      </w:r>
      <w:r w:rsidRPr="009C48DA" w:rsidR="00C200CC">
        <w:rPr>
          <w:szCs w:val="22"/>
          <w:lang w:val="en-GB"/>
        </w:rPr>
        <w:t xml:space="preserve"> </w:t>
      </w:r>
      <w:r w:rsidRPr="009C48DA" w:rsidR="003C36B4">
        <w:rPr>
          <w:szCs w:val="22"/>
          <w:lang w:val="en-GB"/>
        </w:rPr>
        <w:t>i</w:t>
      </w:r>
      <w:r w:rsidRPr="009C48DA" w:rsidR="00C200CC">
        <w:rPr>
          <w:szCs w:val="22"/>
          <w:lang w:val="en-GB"/>
        </w:rPr>
        <w:t xml:space="preserve">n </w:t>
      </w:r>
      <w:r w:rsidRPr="009C48DA" w:rsidR="003C36B4">
        <w:rPr>
          <w:szCs w:val="22"/>
          <w:lang w:val="en-GB"/>
        </w:rPr>
        <w:t xml:space="preserve">the medium to long-term. In </w:t>
      </w:r>
      <w:r w:rsidRPr="009C48DA" w:rsidR="00C200CC">
        <w:rPr>
          <w:szCs w:val="22"/>
          <w:lang w:val="en-GB"/>
        </w:rPr>
        <w:t xml:space="preserve">the event that the Group’s liquidity requirements </w:t>
      </w:r>
      <w:r w:rsidRPr="009C48DA" w:rsidR="003C36B4">
        <w:rPr>
          <w:szCs w:val="22"/>
          <w:lang w:val="en-GB"/>
        </w:rPr>
        <w:t xml:space="preserve">in the medium to long-term </w:t>
      </w:r>
      <w:r w:rsidRPr="009C48DA" w:rsidR="00C200CC">
        <w:rPr>
          <w:szCs w:val="22"/>
          <w:lang w:val="en-GB"/>
        </w:rPr>
        <w:t>were to exceed available liquid assets for the reasons specified above or for any other reason, it could be forced to sell assets or seek to raise debt or equity capital on unfavourable terms.</w:t>
      </w:r>
    </w:p>
    <w:p w:rsidRPr="009C48DA" w:rsidR="006D6A27" w:rsidP="00676CA5" w:rsidRDefault="006D6A27" w14:paraId="5BB8D27C" w14:textId="6FE1FF4D">
      <w:pPr>
        <w:pStyle w:val="TitleBI"/>
        <w:rPr>
          <w:lang w:val="en-GB"/>
        </w:rPr>
      </w:pPr>
      <w:bookmarkStart w:name="_9kML5I6ZWu5997HJeSkFN1onpzA44GkdIMO" w:id="153"/>
      <w:r w:rsidRPr="009C48DA">
        <w:rPr>
          <w:lang w:val="en-GB"/>
        </w:rPr>
        <w:t xml:space="preserve">The </w:t>
      </w:r>
      <w:bookmarkEnd w:id="153"/>
      <w:r w:rsidRPr="009C48DA">
        <w:rPr>
          <w:lang w:val="en-GB"/>
        </w:rPr>
        <w:t>Group may be required to pay “</w:t>
      </w:r>
      <w:bookmarkStart w:name="_9kR3WTr2334EKoihtvacn" w:id="154"/>
      <w:r w:rsidRPr="009C48DA">
        <w:rPr>
          <w:lang w:val="en-GB"/>
        </w:rPr>
        <w:t>clawback</w:t>
      </w:r>
      <w:bookmarkEnd w:id="154"/>
      <w:r w:rsidRPr="009C48DA">
        <w:rPr>
          <w:lang w:val="en-GB"/>
        </w:rPr>
        <w:t xml:space="preserve">” obligations if and when they are triggered under the documents governing the </w:t>
      </w:r>
      <w:bookmarkStart w:name="_9kMI36L7aXv6AA8BFPLzmlnx822EhdI28" w:id="155"/>
      <w:r w:rsidRPr="009C48DA" w:rsidR="00AF0B9A">
        <w:rPr>
          <w:rFonts w:eastAsia="Calibri" w:cs="Arial"/>
          <w:szCs w:val="20"/>
          <w:lang w:val="en-GB"/>
        </w:rPr>
        <w:t>Bridgepoint</w:t>
      </w:r>
      <w:r w:rsidRPr="009C48DA" w:rsidR="00AF0B9A">
        <w:rPr>
          <w:lang w:val="en-GB"/>
        </w:rPr>
        <w:t xml:space="preserve"> </w:t>
      </w:r>
      <w:r w:rsidRPr="009C48DA">
        <w:rPr>
          <w:lang w:val="en-GB"/>
        </w:rPr>
        <w:t>Funds</w:t>
      </w:r>
      <w:bookmarkEnd w:id="155"/>
      <w:r w:rsidRPr="009C48DA">
        <w:rPr>
          <w:lang w:val="en-GB"/>
        </w:rPr>
        <w:t>.</w:t>
      </w:r>
    </w:p>
    <w:p w:rsidRPr="009C48DA" w:rsidR="006D6A27" w:rsidP="00676CA5" w:rsidRDefault="006D6A27" w14:paraId="5C6FCB8B" w14:textId="0F006175">
      <w:pPr>
        <w:pStyle w:val="BodyText2SglJ"/>
        <w:rPr>
          <w:rFonts w:eastAsia="Calibri" w:cs="Arial"/>
          <w:lang w:val="en-GB"/>
        </w:rPr>
      </w:pPr>
      <w:r w:rsidRPr="009C48DA">
        <w:rPr>
          <w:rFonts w:eastAsia="Calibri" w:cs="Arial"/>
          <w:lang w:val="en-GB"/>
        </w:rPr>
        <w:t xml:space="preserve">Carried Interest Participants (including </w:t>
      </w:r>
      <w:r w:rsidRPr="009C48DA" w:rsidR="003C36B4">
        <w:rPr>
          <w:rFonts w:eastAsia="Calibri" w:cs="Arial"/>
          <w:lang w:val="en-GB"/>
        </w:rPr>
        <w:t xml:space="preserve">in some cases </w:t>
      </w:r>
      <w:r w:rsidRPr="009C48DA" w:rsidR="00B9239F">
        <w:rPr>
          <w:rFonts w:eastAsia="Calibri" w:cs="Arial"/>
          <w:lang w:val="en-GB"/>
        </w:rPr>
        <w:t xml:space="preserve">members of </w:t>
      </w:r>
      <w:r w:rsidRPr="009C48DA">
        <w:rPr>
          <w:rFonts w:eastAsia="Calibri" w:cs="Arial"/>
          <w:lang w:val="en-GB"/>
        </w:rPr>
        <w:t>the Group) may in certain circumstances be liable to repay carried interest that was previously distributed to them and which exceeds the amounts to which they are ultimately entitled. This obligation is known as a “clawback” obligation and is common across private investment fund documents.</w:t>
      </w:r>
    </w:p>
    <w:p w:rsidRPr="009C48DA" w:rsidR="006D6A27" w:rsidP="00676CA5" w:rsidRDefault="00B01262" w14:paraId="47E06DEF" w14:textId="6CC43C50">
      <w:pPr>
        <w:pStyle w:val="BodyText2SglJ"/>
        <w:rPr>
          <w:rFonts w:eastAsia="Calibri" w:cs="Arial"/>
          <w:lang w:val="en-GB"/>
        </w:rPr>
      </w:pPr>
      <w:r w:rsidRPr="009C48DA">
        <w:rPr>
          <w:rFonts w:eastAsia="Calibri" w:cs="Arial"/>
          <w:lang w:val="en-GB"/>
        </w:rPr>
        <w:t>T</w:t>
      </w:r>
      <w:r w:rsidRPr="009C48DA" w:rsidR="006D6A27">
        <w:rPr>
          <w:rFonts w:eastAsia="Calibri" w:cs="Arial"/>
          <w:lang w:val="en-GB"/>
        </w:rPr>
        <w:t xml:space="preserve">he Group monitors its clawback obligations and related obligations </w:t>
      </w:r>
      <w:r w:rsidRPr="009C48DA" w:rsidR="001B04C9">
        <w:rPr>
          <w:rFonts w:eastAsia="Calibri" w:cs="Arial"/>
          <w:lang w:val="en-GB"/>
        </w:rPr>
        <w:t xml:space="preserve">that </w:t>
      </w:r>
      <w:r w:rsidRPr="009C48DA" w:rsidR="006D6A27">
        <w:rPr>
          <w:rFonts w:eastAsia="Calibri" w:cs="Arial"/>
          <w:lang w:val="en-GB"/>
        </w:rPr>
        <w:t xml:space="preserve">it may need to use or reserve cash to repay </w:t>
      </w:r>
      <w:r w:rsidRPr="009C48DA" w:rsidR="00B9239F">
        <w:rPr>
          <w:rFonts w:eastAsia="Calibri" w:cs="Arial"/>
          <w:lang w:val="en-GB"/>
        </w:rPr>
        <w:t>carried interest</w:t>
      </w:r>
      <w:r w:rsidRPr="009C48DA" w:rsidR="000F4908">
        <w:rPr>
          <w:rFonts w:eastAsia="Calibri" w:cs="Arial"/>
          <w:lang w:val="en-GB"/>
        </w:rPr>
        <w:t>. While the Group has not been required to pay any clawback obligations in the recent past</w:t>
      </w:r>
      <w:r w:rsidRPr="009C48DA" w:rsidR="00436F6D">
        <w:rPr>
          <w:rFonts w:eastAsia="Calibri" w:cs="Arial"/>
          <w:lang w:val="en-GB"/>
        </w:rPr>
        <w:t xml:space="preserve">, and does not expect to be required to </w:t>
      </w:r>
      <w:r w:rsidRPr="009C48DA" w:rsidR="00436F6D">
        <w:rPr>
          <w:lang w:val="en-GB"/>
        </w:rPr>
        <w:t>pay “clawback” obligations</w:t>
      </w:r>
      <w:r w:rsidRPr="009C48DA" w:rsidR="004977ED">
        <w:rPr>
          <w:lang w:val="en-GB"/>
        </w:rPr>
        <w:t xml:space="preserve"> in the short-</w:t>
      </w:r>
      <w:r w:rsidRPr="009C48DA" w:rsidR="00436F6D">
        <w:rPr>
          <w:lang w:val="en-GB"/>
        </w:rPr>
        <w:t>term</w:t>
      </w:r>
      <w:r w:rsidRPr="009C48DA" w:rsidR="000F4908">
        <w:rPr>
          <w:rFonts w:eastAsia="Calibri" w:cs="Arial"/>
          <w:lang w:val="en-GB"/>
        </w:rPr>
        <w:t xml:space="preserve">, no assurance can be given that the Group may be required to pay clawback obligations in the future if and when they are triggered under the documents governing the </w:t>
      </w:r>
      <w:r w:rsidRPr="009C48DA" w:rsidR="00AF0B9A">
        <w:rPr>
          <w:rFonts w:eastAsia="Calibri" w:cs="Arial"/>
          <w:szCs w:val="20"/>
          <w:lang w:val="en-GB"/>
        </w:rPr>
        <w:t>Bridgepoint</w:t>
      </w:r>
      <w:r w:rsidRPr="009C48DA" w:rsidR="00AF0B9A">
        <w:rPr>
          <w:rFonts w:eastAsia="Calibri" w:cs="Arial"/>
          <w:lang w:val="en-GB"/>
        </w:rPr>
        <w:t xml:space="preserve"> </w:t>
      </w:r>
      <w:r w:rsidRPr="009C48DA" w:rsidR="000F4908">
        <w:rPr>
          <w:rFonts w:eastAsia="Calibri" w:cs="Arial"/>
          <w:lang w:val="en-GB"/>
        </w:rPr>
        <w:t>Funds.</w:t>
      </w:r>
      <w:r w:rsidRPr="009C48DA" w:rsidR="006D6A27">
        <w:rPr>
          <w:rFonts w:eastAsia="Calibri" w:cs="Arial"/>
          <w:lang w:val="en-GB"/>
        </w:rPr>
        <w:t xml:space="preserve"> </w:t>
      </w:r>
      <w:r w:rsidRPr="009C48DA" w:rsidR="000F4908">
        <w:rPr>
          <w:rFonts w:eastAsia="Calibri" w:cs="Arial"/>
          <w:lang w:val="en-GB"/>
        </w:rPr>
        <w:t>I</w:t>
      </w:r>
      <w:r w:rsidRPr="009C48DA" w:rsidR="006D6A27">
        <w:rPr>
          <w:rFonts w:eastAsia="Calibri" w:cs="Arial"/>
          <w:lang w:val="en-GB"/>
        </w:rPr>
        <w:t xml:space="preserve">f the Group is required to fulfil a clawback obligation, </w:t>
      </w:r>
      <w:r w:rsidRPr="009C48DA" w:rsidR="000F4908">
        <w:rPr>
          <w:rFonts w:eastAsia="Calibri" w:cs="Arial"/>
          <w:lang w:val="en-GB"/>
        </w:rPr>
        <w:t xml:space="preserve">the relevant amount could not be used for other purposes, including distributing such cash to shareholders of the Company, in which case </w:t>
      </w:r>
      <w:r w:rsidRPr="009C48DA" w:rsidR="006D6A27">
        <w:rPr>
          <w:rFonts w:eastAsia="Calibri" w:cs="Arial"/>
          <w:lang w:val="en-GB"/>
        </w:rPr>
        <w:t xml:space="preserve">the Directors may determine to decrease the amount of the </w:t>
      </w:r>
      <w:bookmarkStart w:name="_9kMJ3I6ZWu5997CDMIz1qpE" w:id="156"/>
      <w:r w:rsidRPr="009C48DA" w:rsidR="006D6A27">
        <w:rPr>
          <w:rFonts w:eastAsia="Calibri" w:cs="Arial"/>
          <w:lang w:val="en-GB"/>
        </w:rPr>
        <w:t>Company’s</w:t>
      </w:r>
      <w:bookmarkEnd w:id="156"/>
      <w:r w:rsidRPr="009C48DA" w:rsidR="006D6A27">
        <w:rPr>
          <w:rFonts w:eastAsia="Calibri" w:cs="Arial"/>
          <w:lang w:val="en-GB"/>
        </w:rPr>
        <w:t xml:space="preserve"> dividends to shareholders. Any liability to repay amounts to </w:t>
      </w:r>
      <w:bookmarkStart w:name="_9kMI38N7aXv6AA8BFPLzmlnx822EhdI28" w:id="157"/>
      <w:r w:rsidRPr="009C48DA" w:rsidR="006D6A27">
        <w:rPr>
          <w:rFonts w:eastAsia="Calibri" w:cs="Arial"/>
          <w:lang w:val="en-GB"/>
        </w:rPr>
        <w:t xml:space="preserve">the </w:t>
      </w:r>
      <w:r w:rsidRPr="009C48DA" w:rsidR="00AF0B9A">
        <w:rPr>
          <w:rFonts w:eastAsia="Calibri" w:cs="Arial"/>
          <w:szCs w:val="20"/>
          <w:lang w:val="en-GB"/>
        </w:rPr>
        <w:t>Bridgepoint</w:t>
      </w:r>
      <w:r w:rsidRPr="009C48DA" w:rsidR="00AF0B9A">
        <w:rPr>
          <w:rFonts w:eastAsia="Calibri" w:cs="Arial"/>
          <w:lang w:val="en-GB"/>
        </w:rPr>
        <w:t xml:space="preserve"> </w:t>
      </w:r>
      <w:r w:rsidRPr="009C48DA" w:rsidR="006D6A27">
        <w:rPr>
          <w:rFonts w:eastAsia="Calibri" w:cs="Arial"/>
          <w:lang w:val="en-GB"/>
        </w:rPr>
        <w:t>Funds</w:t>
      </w:r>
      <w:bookmarkEnd w:id="157"/>
      <w:r w:rsidRPr="009C48DA" w:rsidR="006D6A27">
        <w:rPr>
          <w:rFonts w:eastAsia="Calibri" w:cs="Arial"/>
          <w:lang w:val="en-GB"/>
        </w:rPr>
        <w:t xml:space="preserve"> in connection with the </w:t>
      </w:r>
      <w:bookmarkStart w:name="_9kMJAAJ7aXv6AA8BKULzmlnx822EibGKM" w:id="158"/>
      <w:r w:rsidRPr="009C48DA" w:rsidR="006D6A27">
        <w:rPr>
          <w:rFonts w:eastAsia="Calibri" w:cs="Arial"/>
          <w:lang w:val="en-GB"/>
        </w:rPr>
        <w:t>Group’s</w:t>
      </w:r>
      <w:bookmarkEnd w:id="158"/>
      <w:r w:rsidRPr="009C48DA" w:rsidR="006D6A27">
        <w:rPr>
          <w:rFonts w:eastAsia="Calibri" w:cs="Arial"/>
          <w:lang w:val="en-GB"/>
        </w:rPr>
        <w:t xml:space="preserve"> clawback obligations could have a </w:t>
      </w:r>
      <w:r w:rsidRPr="009C48DA" w:rsidDel="00571B6B" w:rsidR="006D6A27">
        <w:rPr>
          <w:rFonts w:eastAsia="Calibri" w:cs="Arial"/>
          <w:lang w:val="en-GB"/>
        </w:rPr>
        <w:t xml:space="preserve">material adverse effect on the </w:t>
      </w:r>
      <w:r w:rsidRPr="009C48DA" w:rsidR="006D6A27">
        <w:rPr>
          <w:rFonts w:eastAsia="Calibri" w:cs="Arial"/>
          <w:lang w:val="en-GB"/>
        </w:rPr>
        <w:t>Group’s business, revenue</w:t>
      </w:r>
      <w:r w:rsidRPr="009C48DA" w:rsidDel="00571B6B" w:rsidR="006D6A27">
        <w:rPr>
          <w:rFonts w:eastAsia="Calibri" w:cs="Arial"/>
          <w:lang w:val="en-GB"/>
        </w:rPr>
        <w:t>, net income and cash flows</w:t>
      </w:r>
      <w:r w:rsidRPr="009C48DA" w:rsidR="006D6A27">
        <w:rPr>
          <w:rFonts w:eastAsia="Calibri" w:cs="Arial"/>
          <w:lang w:val="en-GB"/>
        </w:rPr>
        <w:t xml:space="preserve">. Furthermore, adverse economic conditions may increase the likelihood that the Group may be subject to clawback obligations. To the extent one or more “clawback” obligations were to arise, the Group might not have available cash at the time such clawback obligation is triggered to repay the carried </w:t>
      </w:r>
      <w:r w:rsidRPr="009C48DA" w:rsidR="006D6A27">
        <w:rPr>
          <w:rFonts w:eastAsia="Times New Roman" w:cs="Times New Roman"/>
          <w:color w:val="231F20"/>
          <w:szCs w:val="22"/>
          <w:lang w:val="en-GB"/>
        </w:rPr>
        <w:t>interest</w:t>
      </w:r>
      <w:r w:rsidRPr="009C48DA" w:rsidR="006D6A27">
        <w:rPr>
          <w:rFonts w:eastAsia="Calibri" w:cs="Arial"/>
          <w:lang w:val="en-GB"/>
        </w:rPr>
        <w:t>. If the Group were unable to repay such carried interest, the Group would be in breach o</w:t>
      </w:r>
      <w:r w:rsidRPr="009C48DA" w:rsidR="00470574">
        <w:rPr>
          <w:rFonts w:eastAsia="Calibri" w:cs="Arial"/>
          <w:lang w:val="en-GB"/>
        </w:rPr>
        <w:t xml:space="preserve">f the governing agreements of the relevant </w:t>
      </w:r>
      <w:r w:rsidRPr="009C48DA" w:rsidR="00AF0B9A">
        <w:rPr>
          <w:rFonts w:eastAsia="Calibri" w:cs="Arial"/>
          <w:szCs w:val="20"/>
          <w:lang w:val="en-GB"/>
        </w:rPr>
        <w:t>Bridgepoint</w:t>
      </w:r>
      <w:r w:rsidRPr="009C48DA" w:rsidR="00AF0B9A">
        <w:rPr>
          <w:rFonts w:eastAsia="Calibri" w:cs="Arial"/>
          <w:lang w:val="en-GB"/>
        </w:rPr>
        <w:t xml:space="preserve"> </w:t>
      </w:r>
      <w:r w:rsidRPr="009C48DA" w:rsidR="00470574">
        <w:rPr>
          <w:rFonts w:eastAsia="Calibri" w:cs="Arial"/>
          <w:lang w:val="en-GB"/>
        </w:rPr>
        <w:t>Funds</w:t>
      </w:r>
      <w:r w:rsidRPr="009C48DA" w:rsidR="006D6A27">
        <w:rPr>
          <w:rFonts w:eastAsia="Calibri" w:cs="Arial"/>
          <w:lang w:val="en-GB"/>
        </w:rPr>
        <w:t>.</w:t>
      </w:r>
    </w:p>
    <w:p w:rsidRPr="009C48DA" w:rsidR="006D6A27" w:rsidP="00676CA5" w:rsidRDefault="006D6A27" w14:paraId="07E64CE2" w14:textId="2E6A508D">
      <w:pPr>
        <w:pStyle w:val="BodyText2SglJ"/>
        <w:rPr>
          <w:rFonts w:eastAsia="Calibri" w:cs="Arial"/>
          <w:lang w:val="en-GB"/>
        </w:rPr>
      </w:pPr>
      <w:r w:rsidRPr="009C48DA">
        <w:rPr>
          <w:rFonts w:eastAsia="Times New Roman" w:cs="Times New Roman"/>
          <w:color w:val="231F20"/>
          <w:szCs w:val="22"/>
          <w:lang w:val="en-GB"/>
        </w:rPr>
        <w:t>Moreover</w:t>
      </w:r>
      <w:r w:rsidRPr="009C48DA">
        <w:rPr>
          <w:rFonts w:eastAsia="Calibri" w:cs="Arial"/>
          <w:lang w:val="en-GB"/>
        </w:rPr>
        <w:t xml:space="preserve">, the governing documents for a number of the </w:t>
      </w:r>
      <w:bookmarkStart w:name="_9kMI39O7aXv6AA8BFPLzmlnx822EhdI28" w:id="159"/>
      <w:r w:rsidRPr="009C48DA" w:rsidR="00AF0B9A">
        <w:rPr>
          <w:rFonts w:eastAsia="Calibri" w:cs="Arial"/>
          <w:szCs w:val="20"/>
          <w:lang w:val="en-GB"/>
        </w:rPr>
        <w:t>Bridgepoint</w:t>
      </w:r>
      <w:r w:rsidRPr="009C48DA" w:rsidR="00AF0B9A">
        <w:rPr>
          <w:rFonts w:eastAsia="Calibri" w:cs="Arial"/>
          <w:lang w:val="en-GB"/>
        </w:rPr>
        <w:t xml:space="preserve"> </w:t>
      </w:r>
      <w:r w:rsidRPr="009C48DA">
        <w:rPr>
          <w:rFonts w:eastAsia="Calibri" w:cs="Arial"/>
          <w:lang w:val="en-GB"/>
        </w:rPr>
        <w:t>Funds</w:t>
      </w:r>
      <w:bookmarkEnd w:id="159"/>
      <w:r w:rsidRPr="009C48DA">
        <w:rPr>
          <w:rFonts w:eastAsia="Calibri" w:cs="Arial"/>
          <w:lang w:val="en-GB"/>
        </w:rPr>
        <w:t xml:space="preserve"> provide for all, or a percentage of, carried interest generated by the relevant </w:t>
      </w:r>
      <w:bookmarkStart w:name="_9kMI3AP7aXv6AA8BFPLzmlnx822EhdI28" w:id="160"/>
      <w:r w:rsidRPr="009C48DA" w:rsidR="00AF0B9A">
        <w:rPr>
          <w:rFonts w:eastAsia="Calibri" w:cs="Arial"/>
          <w:szCs w:val="20"/>
          <w:lang w:val="en-GB"/>
        </w:rPr>
        <w:t>Bridgepoint</w:t>
      </w:r>
      <w:r w:rsidRPr="009C48DA" w:rsidR="00AF0B9A">
        <w:rPr>
          <w:rFonts w:eastAsia="Calibri" w:cs="Arial"/>
          <w:lang w:val="en-GB"/>
        </w:rPr>
        <w:t xml:space="preserve"> </w:t>
      </w:r>
      <w:r w:rsidRPr="009C48DA">
        <w:rPr>
          <w:rFonts w:eastAsia="Calibri" w:cs="Arial"/>
          <w:lang w:val="en-GB"/>
        </w:rPr>
        <w:t>Fund</w:t>
      </w:r>
      <w:bookmarkEnd w:id="160"/>
      <w:r w:rsidRPr="009C48DA">
        <w:rPr>
          <w:rFonts w:eastAsia="Calibri" w:cs="Arial"/>
          <w:lang w:val="en-GB"/>
        </w:rPr>
        <w:t xml:space="preserve"> to be paid into an escrow account rather than to Carried Interest Participants, including </w:t>
      </w:r>
      <w:r w:rsidRPr="009C48DA" w:rsidR="003C36B4">
        <w:rPr>
          <w:rFonts w:eastAsia="Calibri" w:cs="Arial"/>
          <w:lang w:val="en-GB"/>
        </w:rPr>
        <w:t xml:space="preserve">in some cases members of </w:t>
      </w:r>
      <w:r w:rsidRPr="009C48DA">
        <w:rPr>
          <w:rFonts w:eastAsia="Calibri" w:cs="Arial"/>
          <w:lang w:val="en-GB"/>
        </w:rPr>
        <w:t xml:space="preserve">the Group, who are ultimately beneficially entitled to receive the relevant amounts of carried interest until such time as certain conditions have been met. Such an obligation may significantly delay the point in time at which the Group receives any carried interest to which it is entitled. The requirement to allocate carried interest into escrow could lead to a short-term decrease in cash positions or, if a clawback liability subsequently arises and any such amounts are required to be satisfied by amounts standing to the credit of a relevant escrow account, could lead to a </w:t>
      </w:r>
      <w:r w:rsidRPr="009C48DA" w:rsidR="00647FDA">
        <w:rPr>
          <w:rFonts w:eastAsia="Calibri" w:cs="Arial"/>
          <w:lang w:val="en-GB"/>
        </w:rPr>
        <w:t>decrease in the overall revenue</w:t>
      </w:r>
      <w:r w:rsidRPr="009C48DA">
        <w:rPr>
          <w:rFonts w:eastAsia="Calibri" w:cs="Arial"/>
          <w:lang w:val="en-GB"/>
        </w:rPr>
        <w:t xml:space="preserve"> which would otherwise have been received by the Group.</w:t>
      </w:r>
      <w:r w:rsidRPr="009C48DA" w:rsidR="00772711">
        <w:rPr>
          <w:rFonts w:eastAsia="Calibri" w:cs="Arial"/>
          <w:lang w:val="en-GB"/>
        </w:rPr>
        <w:t xml:space="preserve"> </w:t>
      </w:r>
    </w:p>
    <w:p w:rsidRPr="009C48DA" w:rsidR="00484821" w:rsidP="00484821" w:rsidRDefault="00484821" w14:paraId="6EFD6F22" w14:textId="266D8923">
      <w:pPr>
        <w:pStyle w:val="TitleBI"/>
        <w:rPr>
          <w:szCs w:val="22"/>
          <w:lang w:val="en-GB"/>
        </w:rPr>
      </w:pPr>
      <w:bookmarkStart w:name="_9kMIH5YVt4886GIdRjEM0nmoy933FjcHLN" w:id="161"/>
      <w:r w:rsidRPr="009C48DA">
        <w:rPr>
          <w:szCs w:val="22"/>
          <w:lang w:val="en-GB"/>
        </w:rPr>
        <w:t xml:space="preserve">Legal, political and </w:t>
      </w:r>
      <w:r w:rsidRPr="009C48DA">
        <w:rPr>
          <w:lang w:val="en-GB"/>
        </w:rPr>
        <w:t>economic</w:t>
      </w:r>
      <w:r w:rsidRPr="009C48DA">
        <w:rPr>
          <w:szCs w:val="22"/>
          <w:lang w:val="en-GB"/>
        </w:rPr>
        <w:t xml:space="preserve"> uncertainty surrounding the UK</w:t>
      </w:r>
      <w:r w:rsidRPr="009C48DA" w:rsidR="00647FDA">
        <w:rPr>
          <w:szCs w:val="22"/>
          <w:lang w:val="en-GB"/>
        </w:rPr>
        <w:t>’s departure from the European Union</w:t>
      </w:r>
      <w:r w:rsidRPr="009C48DA">
        <w:rPr>
          <w:szCs w:val="22"/>
          <w:lang w:val="en-GB"/>
        </w:rPr>
        <w:t xml:space="preserve"> (“Brexit”) and the nature of the future relationship between the UK</w:t>
      </w:r>
      <w:r w:rsidRPr="009C48DA" w:rsidR="00647FDA">
        <w:rPr>
          <w:szCs w:val="22"/>
          <w:lang w:val="en-GB"/>
        </w:rPr>
        <w:t xml:space="preserve"> and the European Union</w:t>
      </w:r>
      <w:r w:rsidRPr="009C48DA">
        <w:rPr>
          <w:szCs w:val="22"/>
          <w:lang w:val="en-GB"/>
        </w:rPr>
        <w:t xml:space="preserve"> is likely to </w:t>
      </w:r>
      <w:r w:rsidRPr="009C48DA">
        <w:rPr>
          <w:szCs w:val="22"/>
          <w:lang w:val="en-GB"/>
        </w:rPr>
        <w:lastRenderedPageBreak/>
        <w:t xml:space="preserve">be a source of instability in international markets, could cause disruption to and create uncertainty surrounding the </w:t>
      </w:r>
      <w:bookmarkStart w:name="_9kMNBM6ZWu5997AJTKylkmw711DhaFJL" w:id="162"/>
      <w:r w:rsidRPr="009C48DA">
        <w:rPr>
          <w:szCs w:val="22"/>
          <w:lang w:val="en-GB"/>
        </w:rPr>
        <w:t>Group’s</w:t>
      </w:r>
      <w:bookmarkEnd w:id="162"/>
      <w:r w:rsidRPr="009C48DA">
        <w:rPr>
          <w:szCs w:val="22"/>
          <w:lang w:val="en-GB"/>
        </w:rPr>
        <w:t xml:space="preserve"> business and result in new regulatory challenges and costs.</w:t>
      </w:r>
    </w:p>
    <w:p w:rsidRPr="009C48DA" w:rsidR="00484821" w:rsidP="00484821" w:rsidRDefault="00484821" w14:paraId="0B9D53E1" w14:textId="10CEEBD0">
      <w:pPr>
        <w:pStyle w:val="BodyText2SglJ"/>
        <w:rPr>
          <w:lang w:val="en-GB"/>
        </w:rPr>
      </w:pPr>
      <w:r w:rsidRPr="009C48DA">
        <w:rPr>
          <w:lang w:val="en-GB"/>
        </w:rPr>
        <w:t>The UK</w:t>
      </w:r>
      <w:r w:rsidRPr="009C48DA" w:rsidR="00647FDA">
        <w:rPr>
          <w:lang w:val="en-GB"/>
        </w:rPr>
        <w:t xml:space="preserve"> left the European Union</w:t>
      </w:r>
      <w:r w:rsidRPr="009C48DA">
        <w:rPr>
          <w:lang w:val="en-GB"/>
        </w:rPr>
        <w:t xml:space="preserve"> on 31 Janu</w:t>
      </w:r>
      <w:r w:rsidRPr="009C48DA" w:rsidR="00647FDA">
        <w:rPr>
          <w:lang w:val="en-GB"/>
        </w:rPr>
        <w:t>ary 2020, but remained in the European Union</w:t>
      </w:r>
      <w:r w:rsidRPr="009C48DA">
        <w:rPr>
          <w:lang w:val="en-GB"/>
        </w:rPr>
        <w:t>’s customs union and single market for a transitional period that expired on 31 December 2020. On 24 December 2020, the UK</w:t>
      </w:r>
      <w:r w:rsidRPr="009C48DA" w:rsidR="00647FDA">
        <w:rPr>
          <w:lang w:val="en-GB"/>
        </w:rPr>
        <w:t xml:space="preserve"> and the European Union</w:t>
      </w:r>
      <w:r w:rsidRPr="009C48DA">
        <w:rPr>
          <w:lang w:val="en-GB"/>
        </w:rPr>
        <w:t xml:space="preserve"> announced that they had agreed </w:t>
      </w:r>
      <w:r w:rsidRPr="009C48DA" w:rsidR="008B5DAC">
        <w:rPr>
          <w:lang w:val="en-GB"/>
        </w:rPr>
        <w:t xml:space="preserve">to </w:t>
      </w:r>
      <w:r w:rsidRPr="009C48DA">
        <w:rPr>
          <w:lang w:val="en-GB"/>
        </w:rPr>
        <w:t>a new trade and cooperation deal (the “</w:t>
      </w:r>
      <w:r w:rsidRPr="009C48DA">
        <w:rPr>
          <w:b/>
          <w:lang w:val="en-GB"/>
        </w:rPr>
        <w:t>Trade and Cooperation Agreement</w:t>
      </w:r>
      <w:r w:rsidRPr="009C48DA">
        <w:rPr>
          <w:lang w:val="en-GB"/>
        </w:rPr>
        <w:t>”) governing certain aspects of the future relationship between the UK and the</w:t>
      </w:r>
      <w:r w:rsidRPr="009C48DA" w:rsidR="00647FDA">
        <w:rPr>
          <w:lang w:val="en-GB"/>
        </w:rPr>
        <w:t xml:space="preserve"> European Union</w:t>
      </w:r>
      <w:r w:rsidRPr="009C48DA">
        <w:rPr>
          <w:lang w:val="en-GB"/>
        </w:rPr>
        <w:t>. The Trade and Cooperation Agreement applies from 1 January 2021 and provides clarity in respect of the intended shape of the future relationship between the UK</w:t>
      </w:r>
      <w:r w:rsidRPr="009C48DA" w:rsidR="00647FDA">
        <w:rPr>
          <w:lang w:val="en-GB"/>
        </w:rPr>
        <w:t xml:space="preserve"> and the European Union</w:t>
      </w:r>
      <w:r w:rsidRPr="009C48DA">
        <w:rPr>
          <w:lang w:val="en-GB"/>
        </w:rPr>
        <w:t xml:space="preserve"> and some detailed matters of trade and cooperation but does not address substantive future cooperation with respect to financial services or reciprocal market access under so-called “equivalence” arrangements. In addition, UK service suppliers no longer benefit from au</w:t>
      </w:r>
      <w:r w:rsidRPr="009C48DA" w:rsidR="00647FDA">
        <w:rPr>
          <w:lang w:val="en-GB"/>
        </w:rPr>
        <w:t xml:space="preserve">tomatic access to the entire European Union </w:t>
      </w:r>
      <w:r w:rsidRPr="009C48DA">
        <w:rPr>
          <w:lang w:val="en-GB"/>
        </w:rPr>
        <w:t xml:space="preserve">single market and free movement of goods is subject to increased bureaucracy. Although the Trade and Cooperation Agreement contains provisions on short-term business visits without visas or work permits, these are unlikely to cover provision of services </w:t>
      </w:r>
      <w:r w:rsidRPr="009C48DA" w:rsidR="00647FDA">
        <w:rPr>
          <w:lang w:val="en-GB"/>
        </w:rPr>
        <w:t>and free movement between the European Union</w:t>
      </w:r>
      <w:r w:rsidRPr="009C48DA">
        <w:rPr>
          <w:lang w:val="en-GB"/>
        </w:rPr>
        <w:t xml:space="preserve"> and the UK. The loss of these benefits, together with the ongoing uncertainty with respect to financial services under the Trade and Cooperation Agreement, could impact the attractiveness of the UK as a global business and financial centre. Moreover, this could have a material adverse effect on the </w:t>
      </w:r>
      <w:bookmarkStart w:name="_9kR3WTr26648FOHvihjt4yyAeXCGIHxK" w:id="163"/>
      <w:r w:rsidRPr="009C48DA">
        <w:rPr>
          <w:lang w:val="en-GB"/>
        </w:rPr>
        <w:t>Group’s UK</w:t>
      </w:r>
      <w:bookmarkEnd w:id="163"/>
      <w:r w:rsidRPr="009C48DA" w:rsidR="00E43396">
        <w:rPr>
          <w:lang w:val="en-GB"/>
        </w:rPr>
        <w:t xml:space="preserve"> operations because, as of</w:t>
      </w:r>
      <w:r w:rsidRPr="009C48DA">
        <w:rPr>
          <w:lang w:val="en-GB"/>
        </w:rPr>
        <w:t xml:space="preserve"> 31 December 2020, approximately 215 of the Group’s 3</w:t>
      </w:r>
      <w:r w:rsidRPr="009C48DA" w:rsidR="003F3801">
        <w:rPr>
          <w:lang w:val="en-GB"/>
        </w:rPr>
        <w:t>10</w:t>
      </w:r>
      <w:r w:rsidRPr="009C48DA">
        <w:rPr>
          <w:lang w:val="en-GB"/>
        </w:rPr>
        <w:t xml:space="preserve"> employees operated from the London office. Additionally, various portfolio companies of the </w:t>
      </w:r>
      <w:r w:rsidRPr="009C48DA" w:rsidR="00AF0B9A">
        <w:rPr>
          <w:rFonts w:eastAsia="Calibri" w:cs="Arial"/>
          <w:szCs w:val="20"/>
          <w:lang w:val="en-GB"/>
        </w:rPr>
        <w:t>Bridgepoint</w:t>
      </w:r>
      <w:r w:rsidRPr="009C48DA" w:rsidR="00AF0B9A">
        <w:rPr>
          <w:lang w:val="en-GB"/>
        </w:rPr>
        <w:t xml:space="preserve"> </w:t>
      </w:r>
      <w:r w:rsidRPr="009C48DA">
        <w:rPr>
          <w:lang w:val="en-GB"/>
        </w:rPr>
        <w:t>Funds operate from the UK. Although the long-term impact of such changes, and of Brexit more broadly, is uncertain, Brexit may have an adverse effect on the rate of economic growth in the UK</w:t>
      </w:r>
      <w:r w:rsidRPr="009C48DA" w:rsidR="00647FDA">
        <w:rPr>
          <w:lang w:val="en-GB"/>
        </w:rPr>
        <w:t xml:space="preserve"> and the European Union</w:t>
      </w:r>
      <w:r w:rsidRPr="009C48DA">
        <w:rPr>
          <w:lang w:val="en-GB"/>
        </w:rPr>
        <w:t xml:space="preserve">, which may negatively impact asset values in those regions. </w:t>
      </w:r>
    </w:p>
    <w:p w:rsidRPr="009C48DA" w:rsidR="00484821" w:rsidP="00484821" w:rsidRDefault="00484821" w14:paraId="2DA7A133" w14:textId="402AF51D">
      <w:pPr>
        <w:pStyle w:val="BodyText2SglJ"/>
        <w:rPr>
          <w:lang w:val="en-GB"/>
        </w:rPr>
      </w:pPr>
      <w:r w:rsidRPr="009C48DA">
        <w:rPr>
          <w:lang w:val="en-GB"/>
        </w:rPr>
        <w:t>Additionally, given the size and global significance of the UK’s economy, ongoing uncertainty related to Brexit and the relationship between the UK</w:t>
      </w:r>
      <w:r w:rsidRPr="009C48DA" w:rsidR="00647FDA">
        <w:rPr>
          <w:lang w:val="en-GB"/>
        </w:rPr>
        <w:t xml:space="preserve"> and the European Union</w:t>
      </w:r>
      <w:r w:rsidRPr="009C48DA">
        <w:rPr>
          <w:lang w:val="en-GB"/>
        </w:rPr>
        <w:t xml:space="preserve"> c</w:t>
      </w:r>
      <w:r w:rsidRPr="009C48DA" w:rsidR="00647FDA">
        <w:rPr>
          <w:lang w:val="en-GB"/>
        </w:rPr>
        <w:t>ould cause instability in the European Union</w:t>
      </w:r>
      <w:r w:rsidRPr="009C48DA">
        <w:rPr>
          <w:lang w:val="en-GB"/>
        </w:rPr>
        <w:t xml:space="preserve">, UK or worldwide political, regulatory, economic or market conditions. Uncertainty in respect of such conditions could result in the relocation of businesses and people, cause business interruptions, cause currency fluctuations (including in relation to pound sterling and the Euro), lead to trade restrictions and increases in or the imposition of trade tariffs, lead to economic recession or depression, affect the availability of credit and impact the stability of the financial markets, political systems, financial institutions and the financial and monetary system. By extension, this may adversely affect </w:t>
      </w:r>
      <w:bookmarkStart w:name="_9kMNCN6ZWu5997AJTKylkmw711DhaFJL" w:id="164"/>
      <w:r w:rsidRPr="009C48DA">
        <w:rPr>
          <w:lang w:val="en-GB"/>
        </w:rPr>
        <w:t>the Group’s</w:t>
      </w:r>
      <w:bookmarkEnd w:id="164"/>
      <w:r w:rsidRPr="009C48DA">
        <w:rPr>
          <w:lang w:val="en-GB"/>
        </w:rPr>
        <w:t xml:space="preserve"> ability to source </w:t>
      </w:r>
      <w:r w:rsidRPr="009C48DA" w:rsidR="00647FDA">
        <w:rPr>
          <w:lang w:val="en-GB"/>
        </w:rPr>
        <w:t>attractive investments in the European Union</w:t>
      </w:r>
      <w:r w:rsidRPr="009C48DA">
        <w:rPr>
          <w:lang w:val="en-GB"/>
        </w:rPr>
        <w:t xml:space="preserve"> and may impact the value of the </w:t>
      </w:r>
      <w:bookmarkStart w:name="_9kMNDO6ZWu5997AJTKylkmw711DhaFJL" w:id="165"/>
      <w:r w:rsidRPr="009C48DA">
        <w:rPr>
          <w:lang w:val="en-GB"/>
        </w:rPr>
        <w:t>Group’s</w:t>
      </w:r>
      <w:bookmarkEnd w:id="165"/>
      <w:r w:rsidRPr="009C48DA">
        <w:rPr>
          <w:lang w:val="en-GB"/>
        </w:rPr>
        <w:t xml:space="preserve"> invest</w:t>
      </w:r>
      <w:r w:rsidRPr="009C48DA" w:rsidR="00647FDA">
        <w:rPr>
          <w:lang w:val="en-GB"/>
        </w:rPr>
        <w:t>ments that are located in the European Union</w:t>
      </w:r>
      <w:r w:rsidRPr="009C48DA">
        <w:rPr>
          <w:lang w:val="en-GB"/>
        </w:rPr>
        <w:t>, or those that conduc</w:t>
      </w:r>
      <w:r w:rsidRPr="009C48DA" w:rsidR="00647FDA">
        <w:rPr>
          <w:lang w:val="en-GB"/>
        </w:rPr>
        <w:t>t business in or derive revenue from the European Union</w:t>
      </w:r>
      <w:r w:rsidRPr="009C48DA">
        <w:rPr>
          <w:lang w:val="en-GB"/>
        </w:rPr>
        <w:t>. The uncertainty surrounding the UK’s</w:t>
      </w:r>
      <w:r w:rsidRPr="009C48DA" w:rsidR="00647FDA">
        <w:rPr>
          <w:lang w:val="en-GB"/>
        </w:rPr>
        <w:t xml:space="preserve"> future relationship with the European Union</w:t>
      </w:r>
      <w:r w:rsidRPr="009C48DA">
        <w:rPr>
          <w:lang w:val="en-GB"/>
        </w:rPr>
        <w:t xml:space="preserve"> could also adversely affect the </w:t>
      </w:r>
      <w:r w:rsidRPr="009C48DA" w:rsidR="00AF0B9A">
        <w:rPr>
          <w:rFonts w:eastAsia="Calibri" w:cs="Arial"/>
          <w:szCs w:val="20"/>
          <w:lang w:val="en-GB"/>
        </w:rPr>
        <w:t>Bridgepoint</w:t>
      </w:r>
      <w:r w:rsidRPr="009C48DA" w:rsidR="00AF0B9A">
        <w:rPr>
          <w:lang w:val="en-GB"/>
        </w:rPr>
        <w:t xml:space="preserve"> </w:t>
      </w:r>
      <w:r w:rsidRPr="009C48DA">
        <w:rPr>
          <w:lang w:val="en-GB"/>
        </w:rPr>
        <w:t>Funds, the performance of their investments and their ability to fulfil their investment objectives, especially if investments include or expose the fund to businesses that have relied on access to the single market or whose value is affected adversely by the UK’s</w:t>
      </w:r>
      <w:r w:rsidRPr="009C48DA" w:rsidR="00647FDA">
        <w:rPr>
          <w:lang w:val="en-GB"/>
        </w:rPr>
        <w:t xml:space="preserve"> future relationship with the European Union</w:t>
      </w:r>
      <w:r w:rsidRPr="009C48DA">
        <w:rPr>
          <w:lang w:val="en-GB"/>
        </w:rPr>
        <w:t xml:space="preserve">. In addition, Brexit will likely increase the </w:t>
      </w:r>
      <w:bookmarkStart w:name="_9kMNEP6ZWu5997AJTKylkmw711DhaFJL" w:id="166"/>
      <w:r w:rsidRPr="009C48DA">
        <w:rPr>
          <w:lang w:val="en-GB"/>
        </w:rPr>
        <w:t>Group’s</w:t>
      </w:r>
      <w:bookmarkEnd w:id="166"/>
      <w:r w:rsidRPr="009C48DA">
        <w:rPr>
          <w:lang w:val="en-GB"/>
        </w:rPr>
        <w:t xml:space="preserve"> cost of raising capital, and conducting business generally, including the cost of complying with two, potentially divergent, regimes. Changes in regulation may also impair its ability to recruit, retain and motivate new employees and retain key employees. Moreover, any </w:t>
      </w:r>
      <w:bookmarkStart w:name="_9kR3WTr26646CNHry30Awrox2n" w:id="167"/>
      <w:r w:rsidRPr="009C48DA">
        <w:rPr>
          <w:lang w:val="en-GB"/>
        </w:rPr>
        <w:t>Brexit-related</w:t>
      </w:r>
      <w:bookmarkEnd w:id="167"/>
      <w:r w:rsidRPr="009C48DA">
        <w:rPr>
          <w:lang w:val="en-GB"/>
        </w:rPr>
        <w:t xml:space="preserve"> effects are also likely to be compounded by the effects of the COVID-19 pandemic. </w:t>
      </w:r>
    </w:p>
    <w:p w:rsidRPr="009C48DA" w:rsidR="00484821" w:rsidP="00484821" w:rsidRDefault="00484821" w14:paraId="12DFFFCA" w14:textId="11055C3C">
      <w:pPr>
        <w:pStyle w:val="BodyText2SglJ"/>
        <w:rPr>
          <w:lang w:val="en-GB"/>
        </w:rPr>
      </w:pPr>
      <w:r w:rsidRPr="009C48DA">
        <w:rPr>
          <w:lang w:val="en-GB"/>
        </w:rPr>
        <w:t>The long-term effects of Brexit will depend on the evolution of any agreements (or lack thereof) that the UK</w:t>
      </w:r>
      <w:r w:rsidRPr="009C48DA" w:rsidR="00647FDA">
        <w:rPr>
          <w:lang w:val="en-GB"/>
        </w:rPr>
        <w:t xml:space="preserve"> makes to retain access to European Union</w:t>
      </w:r>
      <w:r w:rsidRPr="009C48DA">
        <w:rPr>
          <w:lang w:val="en-GB"/>
        </w:rPr>
        <w:t xml:space="preserve"> markets. Brexit is likely to impact the legal rights and obligations of commercial parties across all industries, including the private equity industry. In addition, Brexit could lead to legal uncertainty and potentially divergent national laws and regulations as the UK</w:t>
      </w:r>
      <w:r w:rsidRPr="009C48DA" w:rsidR="00647FDA">
        <w:rPr>
          <w:lang w:val="en-GB"/>
        </w:rPr>
        <w:t xml:space="preserve"> determines which European Union</w:t>
      </w:r>
      <w:r w:rsidRPr="009C48DA">
        <w:rPr>
          <w:lang w:val="en-GB"/>
        </w:rPr>
        <w:t xml:space="preserve"> laws to replace or replicate, which could present new regulatory costs and challenges and could potentially disrupt the markets the Group serves, its ability to market its products and services to investors or conduct ot</w:t>
      </w:r>
      <w:r w:rsidRPr="009C48DA" w:rsidR="00647FDA">
        <w:rPr>
          <w:lang w:val="en-GB"/>
        </w:rPr>
        <w:t>her regulated activity in the European Union</w:t>
      </w:r>
      <w:r w:rsidRPr="009C48DA">
        <w:rPr>
          <w:lang w:val="en-GB"/>
        </w:rPr>
        <w:t>. The</w:t>
      </w:r>
      <w:r w:rsidRPr="009C48DA" w:rsidR="00647FDA">
        <w:rPr>
          <w:lang w:val="en-GB"/>
        </w:rPr>
        <w:t>re is also a renewed focus by European Union</w:t>
      </w:r>
      <w:r w:rsidRPr="009C48DA">
        <w:rPr>
          <w:lang w:val="en-GB"/>
        </w:rPr>
        <w:t xml:space="preserve"> regulators on the role and rights of third-country entities i</w:t>
      </w:r>
      <w:r w:rsidRPr="009C48DA" w:rsidR="00647FDA">
        <w:rPr>
          <w:lang w:val="en-GB"/>
        </w:rPr>
        <w:t>n providing services into the European Union</w:t>
      </w:r>
      <w:r w:rsidRPr="009C48DA">
        <w:rPr>
          <w:lang w:val="en-GB"/>
        </w:rPr>
        <w:t xml:space="preserve">, including to EU-based fund structures, and so there may be additional regulation or changes to existing frameworks in </w:t>
      </w:r>
      <w:r w:rsidRPr="009C48DA" w:rsidR="00420153">
        <w:rPr>
          <w:lang w:val="en-GB"/>
        </w:rPr>
        <w:t xml:space="preserve">the </w:t>
      </w:r>
      <w:r w:rsidRPr="009C48DA">
        <w:rPr>
          <w:lang w:val="en-GB"/>
        </w:rPr>
        <w:t xml:space="preserve">future. Accordingly, any of the foregoing could have a material adverse effect on </w:t>
      </w:r>
      <w:r w:rsidRPr="009C48DA" w:rsidDel="00571B6B">
        <w:rPr>
          <w:lang w:val="en-GB"/>
        </w:rPr>
        <w:t xml:space="preserve">the </w:t>
      </w:r>
      <w:r w:rsidRPr="009C48DA">
        <w:rPr>
          <w:lang w:val="en-GB"/>
        </w:rPr>
        <w:t>Group’s business, revenue</w:t>
      </w:r>
      <w:r w:rsidRPr="009C48DA" w:rsidDel="00571B6B">
        <w:rPr>
          <w:lang w:val="en-GB"/>
        </w:rPr>
        <w:t>, net income and cash flows</w:t>
      </w:r>
      <w:r w:rsidRPr="009C48DA">
        <w:rPr>
          <w:lang w:val="en-GB"/>
        </w:rPr>
        <w:t>.</w:t>
      </w:r>
    </w:p>
    <w:p w:rsidRPr="009C48DA" w:rsidR="00484821" w:rsidP="00484821" w:rsidRDefault="00484821" w14:paraId="3664AF31" w14:textId="77777777">
      <w:pPr>
        <w:pStyle w:val="TitleBI"/>
        <w:rPr>
          <w:szCs w:val="22"/>
          <w:lang w:val="en-GB"/>
        </w:rPr>
      </w:pPr>
      <w:r w:rsidRPr="009C48DA">
        <w:rPr>
          <w:szCs w:val="22"/>
          <w:lang w:val="en-GB"/>
        </w:rPr>
        <w:t xml:space="preserve">The </w:t>
      </w:r>
      <w:bookmarkEnd w:id="161"/>
      <w:r w:rsidRPr="009C48DA">
        <w:rPr>
          <w:lang w:val="en-GB"/>
        </w:rPr>
        <w:t>Group</w:t>
      </w:r>
      <w:r w:rsidRPr="009C48DA">
        <w:rPr>
          <w:szCs w:val="22"/>
          <w:lang w:val="en-GB"/>
        </w:rPr>
        <w:t xml:space="preserve"> faces risks with respect to the continuing effects of the COVID-19 pandemic.</w:t>
      </w:r>
    </w:p>
    <w:p w:rsidRPr="009C48DA" w:rsidR="00484821" w:rsidP="00484821" w:rsidRDefault="00484821" w14:paraId="4FA1B73A" w14:textId="4BBD582F">
      <w:pPr>
        <w:pStyle w:val="BodyText2SglJ"/>
        <w:rPr>
          <w:lang w:val="en-GB"/>
        </w:rPr>
      </w:pPr>
      <w:r w:rsidRPr="009C48DA" w:rsidDel="00E417DD">
        <w:rPr>
          <w:lang w:val="en-GB"/>
        </w:rPr>
        <w:t xml:space="preserve">In March 2020, </w:t>
      </w:r>
      <w:r w:rsidRPr="009C48DA">
        <w:rPr>
          <w:lang w:val="en-GB"/>
        </w:rPr>
        <w:t xml:space="preserve">the global spread of COVID-19 </w:t>
      </w:r>
      <w:r w:rsidRPr="009C48DA" w:rsidDel="00E417DD">
        <w:rPr>
          <w:lang w:val="en-GB"/>
        </w:rPr>
        <w:t xml:space="preserve">was characterised as a pandemic by the World Health Organization. </w:t>
      </w:r>
      <w:r w:rsidRPr="009C48DA">
        <w:rPr>
          <w:lang w:val="en-GB"/>
        </w:rPr>
        <w:t xml:space="preserve">The outbreak has resulted in governments and businesses throughout the world </w:t>
      </w:r>
      <w:r w:rsidRPr="009C48DA">
        <w:rPr>
          <w:lang w:val="en-GB"/>
        </w:rPr>
        <w:lastRenderedPageBreak/>
        <w:t xml:space="preserve">implementing numerous measures intended to contain and limit the spread of the COVID-19 virus, including travel bans and restrictions, quarantines, self-isolation, shelter-in-place, heightened border controls and lockdown orders, business restrictions, shutdowns and other limitations. The COVID-19 pandemic and related shutdowns or limitations in the operations of certain non-essential businesses have created economic and financial disruptions that have adversely </w:t>
      </w:r>
      <w:r w:rsidRPr="009C48DA" w:rsidR="00B9239F">
        <w:rPr>
          <w:lang w:val="en-GB"/>
        </w:rPr>
        <w:t>a</w:t>
      </w:r>
      <w:r w:rsidRPr="009C48DA">
        <w:rPr>
          <w:lang w:val="en-GB"/>
        </w:rPr>
        <w:t xml:space="preserve">ffected, and may continue to adversely </w:t>
      </w:r>
      <w:r w:rsidRPr="009C48DA" w:rsidR="00B9239F">
        <w:rPr>
          <w:lang w:val="en-GB"/>
        </w:rPr>
        <w:t>a</w:t>
      </w:r>
      <w:r w:rsidRPr="009C48DA">
        <w:rPr>
          <w:lang w:val="en-GB"/>
        </w:rPr>
        <w:t xml:space="preserve">ffect, the </w:t>
      </w:r>
      <w:bookmarkStart w:name="_9kMK2G6ZWu5997AJTKylkmw711DhaFJL" w:id="168"/>
      <w:r w:rsidRPr="009C48DA">
        <w:rPr>
          <w:lang w:val="en-GB"/>
        </w:rPr>
        <w:t>Group’s</w:t>
      </w:r>
      <w:bookmarkEnd w:id="168"/>
      <w:r w:rsidRPr="009C48DA">
        <w:rPr>
          <w:lang w:val="en-GB"/>
        </w:rPr>
        <w:t xml:space="preserve"> business, </w:t>
      </w:r>
      <w:r w:rsidRPr="009C48DA" w:rsidR="00647FDA">
        <w:rPr>
          <w:lang w:val="en-GB"/>
        </w:rPr>
        <w:t>revenue, net income</w:t>
      </w:r>
      <w:r w:rsidRPr="009C48DA">
        <w:rPr>
          <w:lang w:val="en-GB"/>
        </w:rPr>
        <w:t xml:space="preserve"> and cash flows. Although an economic recovery is partially underway, it continues to be uneven and characterised by meaningful dispersion across sectors and regions, with uncertainty regarding its ultimate length and trajectory. The longer the COVID-19 pandemic impacts activity levels in the locations and sectors in which the Group and the </w:t>
      </w:r>
      <w:r w:rsidRPr="009C48DA" w:rsidR="00AF0B9A">
        <w:rPr>
          <w:rFonts w:eastAsia="Calibri" w:cs="Arial"/>
          <w:szCs w:val="20"/>
          <w:lang w:val="en-GB"/>
        </w:rPr>
        <w:t>Bridgepoint</w:t>
      </w:r>
      <w:r w:rsidRPr="009C48DA" w:rsidR="00AF0B9A">
        <w:rPr>
          <w:lang w:val="en-GB"/>
        </w:rPr>
        <w:t xml:space="preserve"> </w:t>
      </w:r>
      <w:r w:rsidRPr="009C48DA">
        <w:rPr>
          <w:lang w:val="en-GB"/>
        </w:rPr>
        <w:t xml:space="preserve">Funds and their portfolio companies operate, the more likely it is to have a sustained, material </w:t>
      </w:r>
      <w:r w:rsidRPr="009C48DA" w:rsidR="00470574">
        <w:rPr>
          <w:lang w:val="en-GB"/>
        </w:rPr>
        <w:t xml:space="preserve">adverse </w:t>
      </w:r>
      <w:r w:rsidRPr="009C48DA">
        <w:rPr>
          <w:lang w:val="en-GB"/>
        </w:rPr>
        <w:t xml:space="preserve">impact on the Group. In particular, issues with respect to the distribution or adoption of vaccines or the spread of variants of the virus could result in new restrictions being imposed by governments and businesses and lead people to continue to self-isolate and not participate in the economy at pre-COVID-19 pandemic levels for a prolonged period of time. </w:t>
      </w:r>
      <w:r w:rsidRPr="009C48DA" w:rsidR="00BD0C14">
        <w:rPr>
          <w:lang w:val="en-GB"/>
        </w:rPr>
        <w:t>Such additional restrictions, for example</w:t>
      </w:r>
      <w:r w:rsidRPr="009C48DA" w:rsidR="00B9239F">
        <w:rPr>
          <w:lang w:val="en-GB"/>
        </w:rPr>
        <w:t>,</w:t>
      </w:r>
      <w:r w:rsidRPr="009C48DA" w:rsidR="00BD0C14">
        <w:rPr>
          <w:lang w:val="en-GB"/>
        </w:rPr>
        <w:t xml:space="preserve"> could have a material adverse impact on the earnings of the </w:t>
      </w:r>
      <w:r w:rsidRPr="009C48DA" w:rsidR="00AF0B9A">
        <w:rPr>
          <w:rFonts w:eastAsia="Calibri" w:cs="Arial"/>
          <w:szCs w:val="20"/>
          <w:lang w:val="en-GB"/>
        </w:rPr>
        <w:t>Bridgepoint</w:t>
      </w:r>
      <w:r w:rsidRPr="009C48DA" w:rsidR="00AF0B9A">
        <w:rPr>
          <w:lang w:val="en-GB"/>
        </w:rPr>
        <w:t xml:space="preserve"> </w:t>
      </w:r>
      <w:r w:rsidRPr="009C48DA" w:rsidR="00BD0C14">
        <w:rPr>
          <w:lang w:val="en-GB"/>
        </w:rPr>
        <w:t>Funds</w:t>
      </w:r>
      <w:r w:rsidRPr="009C48DA" w:rsidR="00942F97">
        <w:rPr>
          <w:lang w:val="en-GB"/>
        </w:rPr>
        <w:t>’</w:t>
      </w:r>
      <w:r w:rsidRPr="009C48DA" w:rsidR="00BD0C14">
        <w:rPr>
          <w:lang w:val="en-GB"/>
        </w:rPr>
        <w:t xml:space="preserve"> real estate portfolio companies. </w:t>
      </w:r>
      <w:r w:rsidRPr="009C48DA">
        <w:rPr>
          <w:lang w:val="en-GB"/>
        </w:rPr>
        <w:t>These and other factors may delay a return to pre</w:t>
      </w:r>
      <w:r w:rsidRPr="009C48DA">
        <w:rPr>
          <w:lang w:val="en-GB"/>
        </w:rPr>
        <w:noBreakHyphen/>
        <w:t>COVID-19 pandemic ordinary course economic activity, or cause the UK, European and United States economies or other major global economies to experience a recession.</w:t>
      </w:r>
    </w:p>
    <w:p w:rsidRPr="009C48DA" w:rsidR="003624D4" w:rsidP="00484821" w:rsidRDefault="00484821" w14:paraId="2582D819" w14:textId="2ADCBCD1">
      <w:pPr>
        <w:pStyle w:val="BodyText2SglJ"/>
        <w:rPr>
          <w:lang w:val="en-GB"/>
        </w:rPr>
      </w:pPr>
      <w:r w:rsidRPr="009C48DA">
        <w:rPr>
          <w:lang w:val="en-GB"/>
        </w:rPr>
        <w:t xml:space="preserve">The scale and scope of the COVID-19 pandemic may heighten the potential adverse effects on the </w:t>
      </w:r>
      <w:bookmarkStart w:name="_9kMK5J6ZWu5997AJTKylkmw711DhaFJL" w:id="169"/>
      <w:r w:rsidRPr="009C48DA">
        <w:rPr>
          <w:lang w:val="en-GB"/>
        </w:rPr>
        <w:t>Group’s</w:t>
      </w:r>
      <w:bookmarkEnd w:id="169"/>
      <w:r w:rsidRPr="009C48DA">
        <w:rPr>
          <w:lang w:val="en-GB"/>
        </w:rPr>
        <w:t xml:space="preserve"> business, financial performance and operating results, which may be material and affect the Group in ways that it cannot foresee at this time. Many of the adverse ways in which the COVID-19 pandemic may impact the Group have already materialised</w:t>
      </w:r>
      <w:r w:rsidRPr="009C48DA" w:rsidR="00043202">
        <w:rPr>
          <w:lang w:val="en-GB"/>
        </w:rPr>
        <w:t xml:space="preserve"> (and may in the future materialise or adversely affect the Group)</w:t>
      </w:r>
      <w:r w:rsidRPr="009C48DA">
        <w:rPr>
          <w:lang w:val="en-GB"/>
        </w:rPr>
        <w:t xml:space="preserve">, including the negative impact on portfolio company valuations, the operations of the </w:t>
      </w:r>
      <w:bookmarkStart w:name="_9kMK8M6ZWu5997AJTKylkmw711DhaFJL" w:id="170"/>
      <w:r w:rsidRPr="009C48DA">
        <w:rPr>
          <w:lang w:val="en-GB"/>
        </w:rPr>
        <w:t>Group’s</w:t>
      </w:r>
      <w:bookmarkEnd w:id="170"/>
      <w:r w:rsidRPr="009C48DA">
        <w:rPr>
          <w:lang w:val="en-GB"/>
        </w:rPr>
        <w:t xml:space="preserve"> businesses and the businesses of the </w:t>
      </w:r>
      <w:bookmarkStart w:name="_9kMJAP6ZWu5997AEOKylkmw711DgcH17" w:id="171"/>
      <w:r w:rsidRPr="009C48DA" w:rsidR="00AF0B9A">
        <w:rPr>
          <w:rFonts w:eastAsia="Calibri" w:cs="Arial"/>
          <w:szCs w:val="20"/>
          <w:lang w:val="en-GB"/>
        </w:rPr>
        <w:t>Bridgepoint</w:t>
      </w:r>
      <w:r w:rsidRPr="009C48DA" w:rsidR="00AF0B9A">
        <w:rPr>
          <w:lang w:val="en-GB"/>
        </w:rPr>
        <w:t xml:space="preserve"> </w:t>
      </w:r>
      <w:r w:rsidRPr="009C48DA">
        <w:rPr>
          <w:lang w:val="en-GB"/>
        </w:rPr>
        <w:t>Funds’</w:t>
      </w:r>
      <w:bookmarkEnd w:id="171"/>
      <w:r w:rsidRPr="009C48DA">
        <w:rPr>
          <w:lang w:val="en-GB"/>
        </w:rPr>
        <w:t xml:space="preserve"> portfolio companies, the Group or the </w:t>
      </w:r>
      <w:bookmarkStart w:name="_9kMK2G6ZWu5997AEOKylkmw711DgcH17" w:id="172"/>
      <w:r w:rsidRPr="009C48DA" w:rsidR="00AF0B9A">
        <w:rPr>
          <w:rFonts w:eastAsia="Calibri" w:cs="Arial"/>
          <w:szCs w:val="20"/>
          <w:lang w:val="en-GB"/>
        </w:rPr>
        <w:t>Bridgepoint</w:t>
      </w:r>
      <w:r w:rsidRPr="009C48DA" w:rsidR="00AF0B9A">
        <w:rPr>
          <w:lang w:val="en-GB"/>
        </w:rPr>
        <w:t xml:space="preserve"> </w:t>
      </w:r>
      <w:r w:rsidRPr="009C48DA">
        <w:rPr>
          <w:lang w:val="en-GB"/>
        </w:rPr>
        <w:t>Funds</w:t>
      </w:r>
      <w:bookmarkEnd w:id="172"/>
      <w:r w:rsidRPr="009C48DA" w:rsidR="00647FDA">
        <w:rPr>
          <w:lang w:val="en-GB"/>
        </w:rPr>
        <w:t>’</w:t>
      </w:r>
      <w:r w:rsidRPr="009C48DA">
        <w:rPr>
          <w:lang w:val="en-GB"/>
        </w:rPr>
        <w:t xml:space="preserve"> creditors who are business entities, as well as the Group and the </w:t>
      </w:r>
      <w:bookmarkStart w:name="_9kMK3H6ZWu5997AEOKylkmw711DgcH17" w:id="173"/>
      <w:r w:rsidRPr="009C48DA" w:rsidR="00AF0B9A">
        <w:rPr>
          <w:rFonts w:eastAsia="Calibri" w:cs="Arial"/>
          <w:szCs w:val="20"/>
          <w:lang w:val="en-GB"/>
        </w:rPr>
        <w:t>Bridgepoint</w:t>
      </w:r>
      <w:r w:rsidRPr="009C48DA" w:rsidR="00AF0B9A">
        <w:rPr>
          <w:lang w:val="en-GB"/>
        </w:rPr>
        <w:t xml:space="preserve"> </w:t>
      </w:r>
      <w:r w:rsidRPr="009C48DA">
        <w:rPr>
          <w:lang w:val="en-GB"/>
        </w:rPr>
        <w:t>Funds’</w:t>
      </w:r>
      <w:bookmarkEnd w:id="173"/>
      <w:r w:rsidRPr="009C48DA">
        <w:rPr>
          <w:lang w:val="en-GB"/>
        </w:rPr>
        <w:t xml:space="preserve"> other counterparties, including suppliers and customers. </w:t>
      </w:r>
      <w:r w:rsidRPr="009C48DA" w:rsidR="00043202">
        <w:rPr>
          <w:lang w:val="en-GB"/>
        </w:rPr>
        <w:t xml:space="preserve">For example, certain </w:t>
      </w:r>
      <w:r w:rsidRPr="009C48DA" w:rsidR="00AF0B9A">
        <w:rPr>
          <w:rFonts w:eastAsia="Calibri" w:cs="Arial"/>
          <w:szCs w:val="20"/>
          <w:lang w:val="en-GB"/>
        </w:rPr>
        <w:t>Bridgepoint</w:t>
      </w:r>
      <w:r w:rsidRPr="009C48DA" w:rsidR="00AF0B9A">
        <w:rPr>
          <w:lang w:val="en-GB"/>
        </w:rPr>
        <w:t xml:space="preserve"> </w:t>
      </w:r>
      <w:r w:rsidRPr="009C48DA" w:rsidR="00043202">
        <w:rPr>
          <w:lang w:val="en-GB"/>
        </w:rPr>
        <w:t>Fund portfolio companies</w:t>
      </w:r>
      <w:r w:rsidRPr="009C48DA" w:rsidR="00647FDA">
        <w:rPr>
          <w:lang w:val="en-GB"/>
        </w:rPr>
        <w:t>,</w:t>
      </w:r>
      <w:r w:rsidRPr="009C48DA" w:rsidR="00043202">
        <w:rPr>
          <w:lang w:val="en-GB"/>
        </w:rPr>
        <w:t xml:space="preserve"> such as those in the casual dining </w:t>
      </w:r>
      <w:r w:rsidRPr="009C48DA" w:rsidR="00647FDA">
        <w:rPr>
          <w:lang w:val="en-GB"/>
        </w:rPr>
        <w:t xml:space="preserve">sector, </w:t>
      </w:r>
      <w:r w:rsidRPr="009C48DA" w:rsidR="00043202">
        <w:rPr>
          <w:lang w:val="en-GB"/>
        </w:rPr>
        <w:t xml:space="preserve">were negatively impacted by </w:t>
      </w:r>
      <w:r w:rsidRPr="009C48DA" w:rsidR="000F4908">
        <w:rPr>
          <w:lang w:val="en-GB"/>
        </w:rPr>
        <w:t xml:space="preserve">travel bans and restrictions, quarantines, self-isolation, shelter-in-place, heightened border controls and </w:t>
      </w:r>
      <w:r w:rsidRPr="009C48DA" w:rsidR="00043202">
        <w:rPr>
          <w:lang w:val="en-GB"/>
        </w:rPr>
        <w:t xml:space="preserve">lockdown orders, business restrictions, shutdowns and other limitations around the world. </w:t>
      </w:r>
      <w:r w:rsidRPr="009C48DA">
        <w:rPr>
          <w:lang w:val="en-GB"/>
        </w:rPr>
        <w:t xml:space="preserve">The risks </w:t>
      </w:r>
      <w:r w:rsidRPr="009C48DA" w:rsidR="00C200CC">
        <w:rPr>
          <w:lang w:val="en-GB"/>
        </w:rPr>
        <w:t xml:space="preserve">from the COVID-19 pandemic, or similar pandemics, </w:t>
      </w:r>
      <w:r w:rsidRPr="009C48DA">
        <w:rPr>
          <w:lang w:val="en-GB"/>
        </w:rPr>
        <w:t xml:space="preserve">may, in the future, become even more significant than is currently the case or than is currently anticipated. </w:t>
      </w:r>
    </w:p>
    <w:p w:rsidRPr="009C48DA" w:rsidR="003624D4" w:rsidP="0068713B" w:rsidRDefault="003624D4" w14:paraId="72AFFE82" w14:textId="42E2B2A3">
      <w:pPr>
        <w:pStyle w:val="BodyText2SglJ"/>
        <w:rPr>
          <w:lang w:val="en-GB"/>
        </w:rPr>
      </w:pPr>
      <w:r w:rsidRPr="009C48DA">
        <w:rPr>
          <w:lang w:val="en-GB"/>
        </w:rPr>
        <w:t>If and when the COVID-19 pandemic subsides, the market turmoil and other changes associated with the COVID-19 pandemic may have lasting effects on the Group’s business and operations. The proliferation of remote working</w:t>
      </w:r>
      <w:r w:rsidRPr="009C48DA" w:rsidR="00470574">
        <w:rPr>
          <w:lang w:val="en-GB"/>
        </w:rPr>
        <w:t xml:space="preserve"> may result in long-term changes to</w:t>
      </w:r>
      <w:r w:rsidRPr="009C48DA">
        <w:rPr>
          <w:lang w:val="en-GB"/>
        </w:rPr>
        <w:t xml:space="preserve"> market, consumer and workplace practices that could negatively impact the Group. Increased adoption of</w:t>
      </w:r>
      <w:r w:rsidRPr="009C48DA" w:rsidR="00B97C82">
        <w:rPr>
          <w:lang w:val="en-GB"/>
        </w:rPr>
        <w:t>,</w:t>
      </w:r>
      <w:r w:rsidRPr="009C48DA">
        <w:rPr>
          <w:lang w:val="en-GB"/>
        </w:rPr>
        <w:t xml:space="preserve"> and familiarity with</w:t>
      </w:r>
      <w:r w:rsidRPr="009C48DA" w:rsidR="00B97C82">
        <w:rPr>
          <w:lang w:val="en-GB"/>
        </w:rPr>
        <w:t>,</w:t>
      </w:r>
      <w:r w:rsidRPr="009C48DA">
        <w:rPr>
          <w:lang w:val="en-GB"/>
        </w:rPr>
        <w:t xml:space="preserve"> remote work practices could result in continued decreased demand for business and leisure travel, hotel stays, conference facilities, select urban residential and office assets, diesel fuel and gasoline. In addition, consumer practices and demands may permanently, or for an extended period, change from what they were prior to the onset of the COVID-19 pandemic, including avoiding activities where people are in close proximity to each other, which could adversely affect certain of the Group’s and the </w:t>
      </w:r>
      <w:r w:rsidRPr="009C48DA" w:rsidR="00AF0B9A">
        <w:rPr>
          <w:rFonts w:eastAsia="Calibri" w:cs="Arial"/>
          <w:szCs w:val="20"/>
          <w:lang w:val="en-GB"/>
        </w:rPr>
        <w:t>Bridgepoint</w:t>
      </w:r>
      <w:r w:rsidRPr="009C48DA" w:rsidR="00AF0B9A">
        <w:rPr>
          <w:lang w:val="en-GB"/>
        </w:rPr>
        <w:t xml:space="preserve"> </w:t>
      </w:r>
      <w:r w:rsidRPr="009C48DA">
        <w:rPr>
          <w:lang w:val="en-GB"/>
        </w:rPr>
        <w:t>Funds</w:t>
      </w:r>
      <w:r w:rsidRPr="009C48DA" w:rsidR="0068713B">
        <w:rPr>
          <w:lang w:val="en-GB"/>
        </w:rPr>
        <w:t>’</w:t>
      </w:r>
      <w:r w:rsidRPr="009C48DA">
        <w:rPr>
          <w:lang w:val="en-GB"/>
        </w:rPr>
        <w:t xml:space="preserve"> investments. If the Group fails </w:t>
      </w:r>
      <w:r w:rsidRPr="009C48DA" w:rsidR="00BD0C14">
        <w:rPr>
          <w:lang w:val="en-GB"/>
        </w:rPr>
        <w:t xml:space="preserve">to adapt investment strategies </w:t>
      </w:r>
      <w:r w:rsidRPr="009C48DA">
        <w:rPr>
          <w:lang w:val="en-GB"/>
        </w:rPr>
        <w:t>to these and other changes</w:t>
      </w:r>
      <w:r w:rsidRPr="009C48DA" w:rsidR="00647FDA">
        <w:rPr>
          <w:lang w:val="en-GB"/>
        </w:rPr>
        <w:t>,</w:t>
      </w:r>
      <w:r w:rsidRPr="009C48DA">
        <w:rPr>
          <w:lang w:val="en-GB"/>
        </w:rPr>
        <w:t xml:space="preserve"> </w:t>
      </w:r>
      <w:r w:rsidRPr="009C48DA" w:rsidR="00BD0C14">
        <w:rPr>
          <w:lang w:val="en-GB"/>
        </w:rPr>
        <w:t xml:space="preserve">this </w:t>
      </w:r>
      <w:r w:rsidRPr="009C48DA">
        <w:rPr>
          <w:lang w:val="en-GB"/>
        </w:rPr>
        <w:t>could adve</w:t>
      </w:r>
      <w:r w:rsidRPr="009C48DA" w:rsidR="00BD0C14">
        <w:rPr>
          <w:lang w:val="en-GB"/>
        </w:rPr>
        <w:t xml:space="preserve">rsely impact the returns on the </w:t>
      </w:r>
      <w:r w:rsidRPr="009C48DA" w:rsidR="00AF0B9A">
        <w:rPr>
          <w:rFonts w:eastAsia="Calibri" w:cs="Arial"/>
          <w:szCs w:val="20"/>
          <w:lang w:val="en-GB"/>
        </w:rPr>
        <w:t>Bridgepoint</w:t>
      </w:r>
      <w:r w:rsidRPr="009C48DA" w:rsidR="00AF0B9A">
        <w:rPr>
          <w:lang w:val="en-GB"/>
        </w:rPr>
        <w:t xml:space="preserve"> </w:t>
      </w:r>
      <w:r w:rsidRPr="009C48DA" w:rsidR="00BD0C14">
        <w:rPr>
          <w:lang w:val="en-GB"/>
        </w:rPr>
        <w:t>Funds</w:t>
      </w:r>
      <w:r w:rsidRPr="009C48DA" w:rsidR="0068713B">
        <w:rPr>
          <w:lang w:val="en-GB"/>
        </w:rPr>
        <w:t>’</w:t>
      </w:r>
      <w:r w:rsidRPr="009C48DA" w:rsidR="00BD0C14">
        <w:rPr>
          <w:lang w:val="en-GB"/>
        </w:rPr>
        <w:t xml:space="preserve"> </w:t>
      </w:r>
      <w:r w:rsidRPr="009C48DA">
        <w:rPr>
          <w:lang w:val="en-GB"/>
        </w:rPr>
        <w:t>investments</w:t>
      </w:r>
      <w:r w:rsidRPr="009C48DA" w:rsidR="0047114C">
        <w:rPr>
          <w:lang w:val="en-GB"/>
        </w:rPr>
        <w:t xml:space="preserve"> and, consequently, the Group</w:t>
      </w:r>
      <w:r w:rsidRPr="009C48DA">
        <w:rPr>
          <w:lang w:val="en-GB"/>
        </w:rPr>
        <w:t>.</w:t>
      </w:r>
    </w:p>
    <w:p w:rsidRPr="009C48DA" w:rsidR="00484821" w:rsidP="00484821" w:rsidRDefault="00484821" w14:paraId="09FF1067" w14:textId="53209F0F">
      <w:pPr>
        <w:pStyle w:val="BodyText2SglJ"/>
        <w:rPr>
          <w:lang w:val="en-GB"/>
        </w:rPr>
      </w:pPr>
      <w:r w:rsidRPr="009C48DA">
        <w:rPr>
          <w:lang w:val="en-GB"/>
        </w:rPr>
        <w:t xml:space="preserve">Although it is impossible to predict with certainty the potential full magnitude of the business and economic ramifications, the COVID-19 pandemic has impacted, and may further impact, the </w:t>
      </w:r>
      <w:bookmarkStart w:name="_9kMKBP6ZWu5997AJTKylkmw711DhaFJL" w:id="174"/>
      <w:r w:rsidRPr="009C48DA">
        <w:rPr>
          <w:lang w:val="en-GB"/>
        </w:rPr>
        <w:t>Group’s</w:t>
      </w:r>
      <w:bookmarkEnd w:id="174"/>
      <w:r w:rsidRPr="009C48DA">
        <w:rPr>
          <w:lang w:val="en-GB"/>
        </w:rPr>
        <w:t xml:space="preserve"> business in various ways, including but not limited to:</w:t>
      </w:r>
    </w:p>
    <w:p w:rsidRPr="009C48DA" w:rsidR="00484821" w:rsidP="003F7555" w:rsidRDefault="00484821" w14:paraId="1924FB37" w14:textId="6202F95D">
      <w:pPr>
        <w:pStyle w:val="STBBullet3"/>
        <w:numPr>
          <w:ilvl w:val="0"/>
          <w:numId w:val="32"/>
        </w:numPr>
        <w:rPr>
          <w:szCs w:val="22"/>
          <w:lang w:val="en-GB"/>
        </w:rPr>
      </w:pPr>
      <w:r w:rsidRPr="009C48DA">
        <w:rPr>
          <w:szCs w:val="22"/>
          <w:lang w:val="en-GB"/>
        </w:rPr>
        <w:t xml:space="preserve">Difficult market and economic conditions may adversely impact the valuations of the Group and the </w:t>
      </w:r>
      <w:bookmarkStart w:name="_9kMK4I6ZWu5997AEOKylkmw711DgcH17" w:id="175"/>
      <w:r w:rsidRPr="009C48DA" w:rsidR="00AF0B9A">
        <w:rPr>
          <w:rFonts w:eastAsia="Calibri" w:cs="Arial"/>
          <w:szCs w:val="20"/>
          <w:lang w:val="en-GB"/>
        </w:rPr>
        <w:t>Bridgepoint</w:t>
      </w:r>
      <w:r w:rsidRPr="009C48DA" w:rsidR="00AF0B9A">
        <w:rPr>
          <w:szCs w:val="22"/>
          <w:lang w:val="en-GB"/>
        </w:rPr>
        <w:t xml:space="preserve"> </w:t>
      </w:r>
      <w:r w:rsidRPr="009C48DA">
        <w:rPr>
          <w:szCs w:val="22"/>
          <w:lang w:val="en-GB"/>
        </w:rPr>
        <w:t>Funds’</w:t>
      </w:r>
      <w:bookmarkEnd w:id="175"/>
      <w:r w:rsidRPr="009C48DA">
        <w:rPr>
          <w:szCs w:val="22"/>
          <w:lang w:val="en-GB"/>
        </w:rPr>
        <w:t xml:space="preserve"> investments, particularly if the value of an investment is determined in whole or in part by reference to public equity markets. Valuations of the </w:t>
      </w:r>
      <w:bookmarkStart w:name="_9kMK5J6ZWu5997AEOKylkmw711DgcH17" w:id="176"/>
      <w:r w:rsidRPr="009C48DA" w:rsidR="00AF0B9A">
        <w:rPr>
          <w:rFonts w:eastAsia="Calibri" w:cs="Arial"/>
          <w:szCs w:val="20"/>
          <w:lang w:val="en-GB"/>
        </w:rPr>
        <w:t>Bridgepoint</w:t>
      </w:r>
      <w:r w:rsidRPr="009C48DA" w:rsidR="00AF0B9A">
        <w:rPr>
          <w:szCs w:val="22"/>
          <w:lang w:val="en-GB"/>
        </w:rPr>
        <w:t xml:space="preserve"> </w:t>
      </w:r>
      <w:r w:rsidRPr="009C48DA">
        <w:rPr>
          <w:szCs w:val="22"/>
          <w:lang w:val="en-GB"/>
        </w:rPr>
        <w:t>Funds’</w:t>
      </w:r>
      <w:bookmarkEnd w:id="176"/>
      <w:r w:rsidRPr="009C48DA">
        <w:rPr>
          <w:szCs w:val="22"/>
          <w:lang w:val="en-GB"/>
        </w:rPr>
        <w:t xml:space="preserve"> investments are generally correlated to the performance of the relevant equity and debt markets. The continuing existence and resurgence of COVID-19 cases, which among other things could result in further shutdown of or limitations on businesses, may negatively affect the value of the </w:t>
      </w:r>
      <w:bookmarkStart w:name="_9kML4H6ZWu5997AJTKylkmw711DhaFJL" w:id="177"/>
      <w:r w:rsidRPr="009C48DA" w:rsidR="00AF0B9A">
        <w:rPr>
          <w:rFonts w:eastAsia="Calibri" w:cs="Arial"/>
          <w:szCs w:val="20"/>
          <w:lang w:val="en-GB"/>
        </w:rPr>
        <w:t>Bridgepoint</w:t>
      </w:r>
      <w:r w:rsidRPr="009C48DA" w:rsidR="00AF0B9A">
        <w:rPr>
          <w:szCs w:val="22"/>
          <w:lang w:val="en-GB"/>
        </w:rPr>
        <w:t xml:space="preserve"> </w:t>
      </w:r>
      <w:r w:rsidRPr="009C48DA">
        <w:rPr>
          <w:szCs w:val="22"/>
          <w:lang w:val="en-GB"/>
        </w:rPr>
        <w:t>Funds</w:t>
      </w:r>
      <w:bookmarkEnd w:id="177"/>
      <w:r w:rsidRPr="009C48DA">
        <w:rPr>
          <w:szCs w:val="22"/>
          <w:lang w:val="en-GB"/>
        </w:rPr>
        <w:t xml:space="preserve">’ investment portfolio in the future and thereby adversely impact the </w:t>
      </w:r>
      <w:bookmarkStart w:name="_9kMHG5YVt4886BCLHy0poD" w:id="178"/>
      <w:r w:rsidRPr="009C48DA">
        <w:rPr>
          <w:szCs w:val="22"/>
          <w:lang w:val="en-GB"/>
        </w:rPr>
        <w:t>Company’s</w:t>
      </w:r>
      <w:bookmarkEnd w:id="178"/>
      <w:r w:rsidRPr="009C48DA">
        <w:rPr>
          <w:szCs w:val="22"/>
          <w:lang w:val="en-GB"/>
        </w:rPr>
        <w:t xml:space="preserve"> carried interest, income</w:t>
      </w:r>
      <w:r w:rsidRPr="009C48DA" w:rsidR="00D43E9F">
        <w:rPr>
          <w:szCs w:val="22"/>
          <w:lang w:val="en-GB"/>
        </w:rPr>
        <w:t xml:space="preserve"> from the fair value remeasurement of investments, </w:t>
      </w:r>
      <w:r w:rsidRPr="009C48DA" w:rsidR="0007069B">
        <w:rPr>
          <w:szCs w:val="22"/>
          <w:lang w:val="en-GB"/>
        </w:rPr>
        <w:t>AUM</w:t>
      </w:r>
      <w:r w:rsidRPr="009C48DA" w:rsidDel="0007069B" w:rsidR="0007069B">
        <w:rPr>
          <w:szCs w:val="22"/>
          <w:lang w:val="en-GB"/>
        </w:rPr>
        <w:t xml:space="preserve"> </w:t>
      </w:r>
      <w:r w:rsidRPr="009C48DA">
        <w:rPr>
          <w:szCs w:val="22"/>
          <w:lang w:val="en-GB"/>
        </w:rPr>
        <w:t>and book value per share.</w:t>
      </w:r>
    </w:p>
    <w:p w:rsidRPr="009C48DA" w:rsidR="00484821" w:rsidP="003F7555" w:rsidRDefault="00484821" w14:paraId="3AC61E82" w14:textId="68D02693">
      <w:pPr>
        <w:pStyle w:val="STBBullet3"/>
        <w:numPr>
          <w:ilvl w:val="0"/>
          <w:numId w:val="32"/>
        </w:numPr>
        <w:rPr>
          <w:szCs w:val="22"/>
          <w:lang w:val="en-GB"/>
        </w:rPr>
      </w:pPr>
      <w:r w:rsidRPr="009C48DA">
        <w:rPr>
          <w:szCs w:val="22"/>
          <w:lang w:val="en-GB"/>
        </w:rPr>
        <w:t xml:space="preserve">The COVID-19 pandemic significantly increases the challenges associated with business planning, </w:t>
      </w:r>
      <w:r w:rsidRPr="009C48DA">
        <w:rPr>
          <w:lang w:val="en-GB"/>
        </w:rPr>
        <w:t>strategy</w:t>
      </w:r>
      <w:r w:rsidRPr="009C48DA">
        <w:rPr>
          <w:szCs w:val="22"/>
          <w:lang w:val="en-GB"/>
        </w:rPr>
        <w:t xml:space="preserve">, execution, portfolio management, fundraising and other aspects of the </w:t>
      </w:r>
      <w:bookmarkStart w:name="_9kML5I6ZWu5997AJTKylkmw711DhaFJL" w:id="179"/>
      <w:r w:rsidRPr="009C48DA">
        <w:rPr>
          <w:szCs w:val="22"/>
          <w:lang w:val="en-GB"/>
        </w:rPr>
        <w:lastRenderedPageBreak/>
        <w:t>Group’s</w:t>
      </w:r>
      <w:bookmarkEnd w:id="179"/>
      <w:r w:rsidRPr="009C48DA">
        <w:rPr>
          <w:szCs w:val="22"/>
          <w:lang w:val="en-GB"/>
        </w:rPr>
        <w:t xml:space="preserve"> business operations, and the operation of the </w:t>
      </w:r>
      <w:bookmarkStart w:name="_9kMK6K6ZWu5997AEOKylkmw711DgcH17" w:id="180"/>
      <w:r w:rsidRPr="009C48DA" w:rsidR="00B9239F">
        <w:rPr>
          <w:szCs w:val="22"/>
          <w:lang w:val="en-GB"/>
        </w:rPr>
        <w:t xml:space="preserve">business of the </w:t>
      </w:r>
      <w:r w:rsidRPr="009C48DA" w:rsidR="00AF0B9A">
        <w:rPr>
          <w:rFonts w:eastAsia="Calibri" w:cs="Arial"/>
          <w:szCs w:val="20"/>
          <w:lang w:val="en-GB"/>
        </w:rPr>
        <w:t>Bridgepoint</w:t>
      </w:r>
      <w:r w:rsidRPr="009C48DA" w:rsidR="00AF0B9A">
        <w:rPr>
          <w:szCs w:val="22"/>
          <w:lang w:val="en-GB"/>
        </w:rPr>
        <w:t xml:space="preserve"> </w:t>
      </w:r>
      <w:r w:rsidRPr="009C48DA">
        <w:rPr>
          <w:szCs w:val="22"/>
          <w:lang w:val="en-GB"/>
        </w:rPr>
        <w:t>Funds’</w:t>
      </w:r>
      <w:bookmarkEnd w:id="180"/>
      <w:r w:rsidRPr="009C48DA">
        <w:rPr>
          <w:szCs w:val="22"/>
          <w:lang w:val="en-GB"/>
        </w:rPr>
        <w:t xml:space="preserve"> portfolio companies. None of the Group, the </w:t>
      </w:r>
      <w:bookmarkStart w:name="_9kMK7L6ZWu5997AEOKylkmw711DgcH17" w:id="181"/>
      <w:r w:rsidRPr="009C48DA" w:rsidR="00AF0B9A">
        <w:rPr>
          <w:rFonts w:eastAsia="Calibri" w:cs="Arial"/>
          <w:szCs w:val="20"/>
          <w:lang w:val="en-GB"/>
        </w:rPr>
        <w:t>Bridgepoint</w:t>
      </w:r>
      <w:r w:rsidRPr="009C48DA" w:rsidR="00AF0B9A">
        <w:rPr>
          <w:szCs w:val="22"/>
          <w:lang w:val="en-GB"/>
        </w:rPr>
        <w:t xml:space="preserve"> </w:t>
      </w:r>
      <w:r w:rsidRPr="009C48DA">
        <w:rPr>
          <w:szCs w:val="22"/>
          <w:lang w:val="en-GB"/>
        </w:rPr>
        <w:t>Funds’</w:t>
      </w:r>
      <w:bookmarkEnd w:id="181"/>
      <w:r w:rsidRPr="009C48DA">
        <w:rPr>
          <w:szCs w:val="22"/>
          <w:lang w:val="en-GB"/>
        </w:rPr>
        <w:t xml:space="preserve"> portfolio companies or their respective counterparties, suppliers or advisors have previously faced a situation that is comp</w:t>
      </w:r>
      <w:r w:rsidRPr="009C48DA" w:rsidR="009A613B">
        <w:rPr>
          <w:szCs w:val="22"/>
          <w:lang w:val="en-GB"/>
        </w:rPr>
        <w:t>arable to the COVID-19 pandemic</w:t>
      </w:r>
      <w:r w:rsidRPr="009C48DA">
        <w:rPr>
          <w:szCs w:val="22"/>
          <w:lang w:val="en-GB"/>
        </w:rPr>
        <w:t xml:space="preserve"> which, among other factors, involves a major simultaneous supply and demand shock to global, regional and national economies and significant outsize effects on particular business sectors. The future trajectory of the </w:t>
      </w:r>
      <w:r w:rsidRPr="009C48DA" w:rsidR="00015F17">
        <w:rPr>
          <w:szCs w:val="22"/>
          <w:lang w:val="en-GB"/>
        </w:rPr>
        <w:t xml:space="preserve">COVID-19 </w:t>
      </w:r>
      <w:r w:rsidRPr="009C48DA">
        <w:rPr>
          <w:szCs w:val="22"/>
          <w:lang w:val="en-GB"/>
        </w:rPr>
        <w:t xml:space="preserve">pandemic is subject to a complex interplay of epidemiological, technological, social, psychological, economic and political factors that are generally beyond the </w:t>
      </w:r>
      <w:bookmarkStart w:name="_9kML7K6ZWu5997AJTKylkmw711DhaFJL" w:id="182"/>
      <w:r w:rsidRPr="009C48DA">
        <w:rPr>
          <w:szCs w:val="22"/>
          <w:lang w:val="en-GB"/>
        </w:rPr>
        <w:t>Group’s</w:t>
      </w:r>
      <w:bookmarkEnd w:id="182"/>
      <w:r w:rsidRPr="009C48DA">
        <w:rPr>
          <w:szCs w:val="22"/>
          <w:lang w:val="en-GB"/>
        </w:rPr>
        <w:t xml:space="preserve"> ability to forecast or control. In this environment, historical comparisons may be of little or no value, while the risk and uncertainty associated with a large number of business decisions are materially increased.</w:t>
      </w:r>
    </w:p>
    <w:p w:rsidRPr="009C48DA" w:rsidR="00484821" w:rsidP="003F7555" w:rsidRDefault="00484821" w14:paraId="5D8D3D89" w14:textId="4748CDB6">
      <w:pPr>
        <w:pStyle w:val="STBBullet3"/>
        <w:numPr>
          <w:ilvl w:val="0"/>
          <w:numId w:val="32"/>
        </w:numPr>
        <w:rPr>
          <w:szCs w:val="22"/>
          <w:lang w:val="en-GB"/>
        </w:rPr>
      </w:pPr>
      <w:r w:rsidRPr="009C48DA">
        <w:rPr>
          <w:szCs w:val="22"/>
          <w:lang w:val="en-GB"/>
        </w:rPr>
        <w:t>Limitation</w:t>
      </w:r>
      <w:r w:rsidRPr="009C48DA" w:rsidR="00B9239F">
        <w:rPr>
          <w:szCs w:val="22"/>
          <w:lang w:val="en-GB"/>
        </w:rPr>
        <w:t>s</w:t>
      </w:r>
      <w:r w:rsidRPr="009C48DA">
        <w:rPr>
          <w:szCs w:val="22"/>
          <w:lang w:val="en-GB"/>
        </w:rPr>
        <w:t xml:space="preserve"> </w:t>
      </w:r>
      <w:r w:rsidRPr="009C48DA">
        <w:rPr>
          <w:lang w:val="en-GB"/>
        </w:rPr>
        <w:t>on</w:t>
      </w:r>
      <w:r w:rsidRPr="009C48DA">
        <w:rPr>
          <w:szCs w:val="22"/>
          <w:lang w:val="en-GB"/>
        </w:rPr>
        <w:t xml:space="preserve"> travel and social distancing requirements implemented in response to the COVID</w:t>
      </w:r>
      <w:r w:rsidRPr="009C48DA">
        <w:rPr>
          <w:szCs w:val="22"/>
          <w:lang w:val="en-GB"/>
        </w:rPr>
        <w:noBreakHyphen/>
        <w:t xml:space="preserve">19 pandemic </w:t>
      </w:r>
      <w:r w:rsidRPr="009C48DA" w:rsidR="007767F1">
        <w:rPr>
          <w:szCs w:val="22"/>
          <w:lang w:val="en-GB"/>
        </w:rPr>
        <w:t xml:space="preserve">may </w:t>
      </w:r>
      <w:r w:rsidRPr="009C48DA">
        <w:rPr>
          <w:szCs w:val="22"/>
          <w:lang w:val="en-GB"/>
        </w:rPr>
        <w:t xml:space="preserve">challenge the </w:t>
      </w:r>
      <w:bookmarkStart w:name="_9kR3WTr2664BITM1576" w:id="183"/>
      <w:r w:rsidRPr="009C48DA">
        <w:rPr>
          <w:szCs w:val="22"/>
          <w:lang w:val="en-GB"/>
        </w:rPr>
        <w:t>Group’s</w:t>
      </w:r>
      <w:bookmarkEnd w:id="183"/>
      <w:r w:rsidRPr="009C48DA">
        <w:rPr>
          <w:szCs w:val="22"/>
          <w:lang w:val="en-GB"/>
        </w:rPr>
        <w:t xml:space="preserve"> ability to market new funds as anticipated prior to the COVID-19 pandemic, potentially resultin</w:t>
      </w:r>
      <w:r w:rsidRPr="009C48DA" w:rsidR="00647FDA">
        <w:rPr>
          <w:szCs w:val="22"/>
          <w:lang w:val="en-GB"/>
        </w:rPr>
        <w:t>g in reduced or delayed revenue</w:t>
      </w:r>
      <w:r w:rsidRPr="009C48DA">
        <w:rPr>
          <w:szCs w:val="22"/>
          <w:lang w:val="en-GB"/>
        </w:rPr>
        <w:t xml:space="preserve">. In addition, </w:t>
      </w:r>
      <w:bookmarkStart w:name="_9kR3WTr2664AITO3nJO80yEBAF" w:id="184"/>
      <w:r w:rsidRPr="009C48DA">
        <w:rPr>
          <w:szCs w:val="22"/>
          <w:lang w:val="en-GB"/>
        </w:rPr>
        <w:t>fund investors</w:t>
      </w:r>
      <w:bookmarkEnd w:id="184"/>
      <w:r w:rsidRPr="009C48DA">
        <w:rPr>
          <w:szCs w:val="22"/>
          <w:lang w:val="en-GB"/>
        </w:rPr>
        <w:t xml:space="preserve"> may become restricted by their asset allocation policies from investing in new funds that the Group provides, because these policies often restrict the amount that they are permitted to invest in alternative assets like the strategies of the </w:t>
      </w:r>
      <w:bookmarkStart w:name="_9kMK8M6ZWu5997AEOKylkmw711DgcH17" w:id="185"/>
      <w:r w:rsidRPr="009C48DA" w:rsidR="00AF0B9A">
        <w:rPr>
          <w:rFonts w:eastAsia="Calibri" w:cs="Arial"/>
          <w:szCs w:val="20"/>
          <w:lang w:val="en-GB"/>
        </w:rPr>
        <w:t>Bridgepoint</w:t>
      </w:r>
      <w:r w:rsidRPr="009C48DA" w:rsidR="00AF0B9A">
        <w:rPr>
          <w:szCs w:val="22"/>
          <w:lang w:val="en-GB"/>
        </w:rPr>
        <w:t xml:space="preserve"> </w:t>
      </w:r>
      <w:r w:rsidRPr="009C48DA">
        <w:rPr>
          <w:szCs w:val="22"/>
          <w:lang w:val="en-GB"/>
        </w:rPr>
        <w:t>Funds</w:t>
      </w:r>
      <w:bookmarkEnd w:id="185"/>
      <w:r w:rsidRPr="009C48DA">
        <w:rPr>
          <w:szCs w:val="22"/>
          <w:lang w:val="en-GB"/>
        </w:rPr>
        <w:t xml:space="preserve"> when there is a decline in public equity markets. </w:t>
      </w:r>
      <w:bookmarkStart w:name="_9kMJI5YVt4886DEOQ990mx" w:id="186"/>
      <w:r w:rsidRPr="009C48DA">
        <w:rPr>
          <w:szCs w:val="22"/>
          <w:lang w:val="en-GB"/>
        </w:rPr>
        <w:t>Further</w:t>
      </w:r>
      <w:bookmarkEnd w:id="186"/>
      <w:r w:rsidRPr="009C48DA">
        <w:rPr>
          <w:szCs w:val="22"/>
          <w:lang w:val="en-GB"/>
        </w:rPr>
        <w:t xml:space="preserve">, the COVID-19 pandemic may cause </w:t>
      </w:r>
      <w:bookmarkStart w:name="_9kMHG5YVt4886CKVQ5pLQA20GDCH" w:id="187"/>
      <w:r w:rsidRPr="009C48DA">
        <w:rPr>
          <w:szCs w:val="22"/>
          <w:lang w:val="en-GB"/>
        </w:rPr>
        <w:t>fund investors</w:t>
      </w:r>
      <w:bookmarkEnd w:id="187"/>
      <w:r w:rsidRPr="009C48DA">
        <w:rPr>
          <w:szCs w:val="22"/>
          <w:lang w:val="en-GB"/>
        </w:rPr>
        <w:t xml:space="preserve"> to change their investment strategies in manners that the Group cannot foresee, and that may additionally and negatively affect the </w:t>
      </w:r>
      <w:bookmarkStart w:name="_9kMLAN6ZWu5997AJTKylkmw711DhaFJL" w:id="188"/>
      <w:r w:rsidRPr="009C48DA">
        <w:rPr>
          <w:szCs w:val="22"/>
          <w:lang w:val="en-GB"/>
        </w:rPr>
        <w:t>Group’s</w:t>
      </w:r>
      <w:bookmarkEnd w:id="188"/>
      <w:r w:rsidRPr="009C48DA">
        <w:rPr>
          <w:szCs w:val="22"/>
          <w:lang w:val="en-GB"/>
        </w:rPr>
        <w:t xml:space="preserve"> ability to raise future funds.</w:t>
      </w:r>
    </w:p>
    <w:p w:rsidRPr="009C48DA" w:rsidR="00484821" w:rsidP="003F7555" w:rsidRDefault="00484821" w14:paraId="0E7EA895" w14:textId="77777777">
      <w:pPr>
        <w:pStyle w:val="STBBullet3"/>
        <w:numPr>
          <w:ilvl w:val="0"/>
          <w:numId w:val="32"/>
        </w:numPr>
        <w:rPr>
          <w:szCs w:val="22"/>
          <w:lang w:val="en-GB"/>
        </w:rPr>
      </w:pPr>
      <w:r w:rsidRPr="009C48DA">
        <w:rPr>
          <w:szCs w:val="22"/>
          <w:lang w:val="en-GB"/>
        </w:rPr>
        <w:t xml:space="preserve">While the </w:t>
      </w:r>
      <w:r w:rsidRPr="009C48DA">
        <w:rPr>
          <w:lang w:val="en-GB"/>
        </w:rPr>
        <w:t>market</w:t>
      </w:r>
      <w:r w:rsidRPr="009C48DA">
        <w:rPr>
          <w:szCs w:val="22"/>
          <w:lang w:val="en-GB"/>
        </w:rPr>
        <w:t xml:space="preserve"> dislocation caused by the COVID-19 pandemic would be expected to present attractive investment opportunities, due to increased volatility in the financial markets, the Group may not be able to compete for those investments.</w:t>
      </w:r>
    </w:p>
    <w:p w:rsidRPr="009C48DA" w:rsidR="00484821" w:rsidP="003F7555" w:rsidRDefault="00484821" w14:paraId="2C16209D" w14:textId="41D7E46E">
      <w:pPr>
        <w:pStyle w:val="STBBullet3"/>
        <w:numPr>
          <w:ilvl w:val="0"/>
          <w:numId w:val="32"/>
        </w:numPr>
        <w:rPr>
          <w:szCs w:val="22"/>
          <w:lang w:val="en-GB"/>
        </w:rPr>
      </w:pPr>
      <w:r w:rsidRPr="009C48DA">
        <w:rPr>
          <w:szCs w:val="22"/>
          <w:lang w:val="en-GB"/>
        </w:rPr>
        <w:t xml:space="preserve">If the impact of the COVID-19 pandemic continues, the Group and the </w:t>
      </w:r>
      <w:bookmarkStart w:name="_9kMK9N6ZWu5997AEOKylkmw711DgcH17" w:id="189"/>
      <w:r w:rsidRPr="009C48DA" w:rsidR="00AF0B9A">
        <w:rPr>
          <w:rFonts w:eastAsia="Calibri" w:cs="Arial"/>
          <w:szCs w:val="20"/>
          <w:lang w:val="en-GB"/>
        </w:rPr>
        <w:t>Bridgepoint</w:t>
      </w:r>
      <w:r w:rsidRPr="009C48DA" w:rsidR="00AF0B9A">
        <w:rPr>
          <w:szCs w:val="22"/>
          <w:lang w:val="en-GB"/>
        </w:rPr>
        <w:t xml:space="preserve"> </w:t>
      </w:r>
      <w:r w:rsidRPr="009C48DA">
        <w:rPr>
          <w:szCs w:val="22"/>
          <w:lang w:val="en-GB"/>
        </w:rPr>
        <w:t>Funds</w:t>
      </w:r>
      <w:bookmarkEnd w:id="189"/>
      <w:r w:rsidRPr="009C48DA">
        <w:rPr>
          <w:szCs w:val="22"/>
          <w:lang w:val="en-GB"/>
        </w:rPr>
        <w:t xml:space="preserve"> may have more limited opportunities to successfully exit existing investments, due to, among other </w:t>
      </w:r>
      <w:r w:rsidRPr="009C48DA">
        <w:rPr>
          <w:lang w:val="en-GB"/>
        </w:rPr>
        <w:t>reasons</w:t>
      </w:r>
      <w:r w:rsidRPr="009C48DA">
        <w:rPr>
          <w:szCs w:val="22"/>
          <w:lang w:val="en-GB"/>
        </w:rPr>
        <w:t>, lowe</w:t>
      </w:r>
      <w:r w:rsidRPr="009C48DA" w:rsidR="00647FDA">
        <w:rPr>
          <w:szCs w:val="22"/>
          <w:lang w:val="en-GB"/>
        </w:rPr>
        <w:t>r valuations, decreased revenue</w:t>
      </w:r>
      <w:r w:rsidRPr="009C48DA">
        <w:rPr>
          <w:szCs w:val="22"/>
          <w:lang w:val="en-GB"/>
        </w:rPr>
        <w:t xml:space="preserve"> and earnings, lack of potential buyers with financial resources to pursue an acquisition, or limited or no ability to conduct initial public offerings in equity capital markets, resulting in a reduced ability to realise value from such investments.</w:t>
      </w:r>
    </w:p>
    <w:p w:rsidRPr="009C48DA" w:rsidR="00484821" w:rsidP="003F7555" w:rsidRDefault="00484821" w14:paraId="67EE019F" w14:textId="130CAA8A">
      <w:pPr>
        <w:pStyle w:val="STBBullet3"/>
        <w:numPr>
          <w:ilvl w:val="0"/>
          <w:numId w:val="32"/>
        </w:numPr>
        <w:rPr>
          <w:szCs w:val="22"/>
          <w:lang w:val="en-GB"/>
        </w:rPr>
      </w:pPr>
      <w:bookmarkStart w:name="_9kMJI5YVt4886GIdRjEM0nmoy933FjcHLN" w:id="190"/>
      <w:r w:rsidRPr="009C48DA">
        <w:rPr>
          <w:szCs w:val="22"/>
          <w:lang w:val="en-GB"/>
        </w:rPr>
        <w:t xml:space="preserve">The </w:t>
      </w:r>
      <w:bookmarkEnd w:id="190"/>
      <w:r w:rsidRPr="009C48DA">
        <w:rPr>
          <w:szCs w:val="22"/>
          <w:lang w:val="en-GB"/>
        </w:rPr>
        <w:t xml:space="preserve">portfolio companies of the </w:t>
      </w:r>
      <w:r w:rsidRPr="009C48DA" w:rsidR="008453E7">
        <w:rPr>
          <w:rFonts w:eastAsia="Calibri" w:cs="Arial"/>
          <w:szCs w:val="20"/>
          <w:lang w:val="en-GB"/>
        </w:rPr>
        <w:t>Bridgepoint</w:t>
      </w:r>
      <w:r w:rsidRPr="009C48DA" w:rsidR="008453E7">
        <w:rPr>
          <w:szCs w:val="22"/>
          <w:lang w:val="en-GB"/>
        </w:rPr>
        <w:t xml:space="preserve"> </w:t>
      </w:r>
      <w:r w:rsidRPr="009C48DA">
        <w:rPr>
          <w:szCs w:val="22"/>
          <w:lang w:val="en-GB"/>
        </w:rPr>
        <w:t>Funds are facing or</w:t>
      </w:r>
      <w:r w:rsidRPr="009C48DA">
        <w:rPr>
          <w:szCs w:val="22"/>
          <w:vertAlign w:val="superscript"/>
          <w:lang w:val="en-GB"/>
        </w:rPr>
        <w:t xml:space="preserve"> </w:t>
      </w:r>
      <w:r w:rsidRPr="009C48DA">
        <w:rPr>
          <w:szCs w:val="22"/>
          <w:lang w:val="en-GB"/>
        </w:rPr>
        <w:t xml:space="preserve">may face in the future increased credit and liquidity risk due to volatility in financial markets, </w:t>
      </w:r>
      <w:r w:rsidRPr="009C48DA" w:rsidR="007767F1">
        <w:rPr>
          <w:szCs w:val="22"/>
          <w:lang w:val="en-GB"/>
        </w:rPr>
        <w:t xml:space="preserve">possible </w:t>
      </w:r>
      <w:r w:rsidRPr="009C48DA">
        <w:rPr>
          <w:szCs w:val="22"/>
          <w:lang w:val="en-GB"/>
        </w:rPr>
        <w:t xml:space="preserve">reduced revenue streams and </w:t>
      </w:r>
      <w:r w:rsidRPr="009C48DA" w:rsidR="007767F1">
        <w:rPr>
          <w:szCs w:val="22"/>
          <w:lang w:val="en-GB"/>
        </w:rPr>
        <w:t xml:space="preserve">potentially </w:t>
      </w:r>
      <w:r w:rsidRPr="009C48DA">
        <w:rPr>
          <w:szCs w:val="22"/>
          <w:lang w:val="en-GB"/>
        </w:rPr>
        <w:t>limited or higher cost</w:t>
      </w:r>
      <w:r w:rsidRPr="009C48DA" w:rsidR="00B9239F">
        <w:rPr>
          <w:szCs w:val="22"/>
          <w:lang w:val="en-GB"/>
        </w:rPr>
        <w:t>s</w:t>
      </w:r>
      <w:r w:rsidRPr="009C48DA">
        <w:rPr>
          <w:szCs w:val="22"/>
          <w:lang w:val="en-GB"/>
        </w:rPr>
        <w:t xml:space="preserve"> of access to preferred sources of funding, which may result in potential impairment of the </w:t>
      </w:r>
      <w:r w:rsidRPr="009C48DA" w:rsidR="00B9239F">
        <w:rPr>
          <w:szCs w:val="22"/>
          <w:lang w:val="en-GB"/>
        </w:rPr>
        <w:t xml:space="preserve">investments of the </w:t>
      </w:r>
      <w:r w:rsidRPr="009C48DA">
        <w:rPr>
          <w:szCs w:val="22"/>
          <w:lang w:val="en-GB"/>
        </w:rPr>
        <w:t xml:space="preserve">Group or the </w:t>
      </w:r>
      <w:bookmarkStart w:name="_9kMKAO6ZWu5997AEOKylkmw711DgcH17" w:id="191"/>
      <w:r w:rsidRPr="009C48DA" w:rsidR="008453E7">
        <w:rPr>
          <w:rFonts w:eastAsia="Calibri" w:cs="Arial"/>
          <w:szCs w:val="20"/>
          <w:lang w:val="en-GB"/>
        </w:rPr>
        <w:t>Bridgepoint</w:t>
      </w:r>
      <w:r w:rsidRPr="009C48DA" w:rsidR="008453E7">
        <w:rPr>
          <w:szCs w:val="22"/>
          <w:lang w:val="en-GB"/>
        </w:rPr>
        <w:t xml:space="preserve"> </w:t>
      </w:r>
      <w:r w:rsidRPr="009C48DA">
        <w:rPr>
          <w:szCs w:val="22"/>
          <w:lang w:val="en-GB"/>
        </w:rPr>
        <w:t>Funds</w:t>
      </w:r>
      <w:bookmarkEnd w:id="191"/>
      <w:r w:rsidRPr="009C48DA">
        <w:rPr>
          <w:szCs w:val="22"/>
          <w:lang w:val="en-GB"/>
        </w:rPr>
        <w:t xml:space="preserve">. Changes in the debt financing markets </w:t>
      </w:r>
      <w:r w:rsidRPr="009C48DA" w:rsidR="007767F1">
        <w:rPr>
          <w:szCs w:val="22"/>
          <w:lang w:val="en-GB"/>
        </w:rPr>
        <w:t>may impact</w:t>
      </w:r>
      <w:r w:rsidRPr="009C48DA">
        <w:rPr>
          <w:szCs w:val="22"/>
          <w:lang w:val="en-GB"/>
        </w:rPr>
        <w:t xml:space="preserve"> the ability of the </w:t>
      </w:r>
      <w:bookmarkStart w:name="_9kMM5H6ZWu5997AJTKylkmw711DhaFJL" w:id="192"/>
      <w:r w:rsidRPr="009C48DA" w:rsidR="008453E7">
        <w:rPr>
          <w:rFonts w:eastAsia="Calibri" w:cs="Arial"/>
          <w:szCs w:val="20"/>
          <w:lang w:val="en-GB"/>
        </w:rPr>
        <w:t>Bridgepoint</w:t>
      </w:r>
      <w:r w:rsidRPr="009C48DA" w:rsidR="008453E7">
        <w:rPr>
          <w:szCs w:val="22"/>
          <w:lang w:val="en-GB"/>
        </w:rPr>
        <w:t xml:space="preserve"> </w:t>
      </w:r>
      <w:r w:rsidRPr="009C48DA">
        <w:rPr>
          <w:szCs w:val="22"/>
          <w:lang w:val="en-GB"/>
        </w:rPr>
        <w:t>Funds’</w:t>
      </w:r>
      <w:bookmarkEnd w:id="192"/>
      <w:r w:rsidRPr="009C48DA">
        <w:rPr>
          <w:szCs w:val="22"/>
          <w:lang w:val="en-GB"/>
        </w:rPr>
        <w:t xml:space="preserve"> portfolio companies to meet their respective financial obligations. For example, the initial outbreak of the COVID-19 pandemic created additional liquidity pressure on some of the portfolio companies of the </w:t>
      </w:r>
      <w:r w:rsidRPr="009C48DA" w:rsidR="008453E7">
        <w:rPr>
          <w:rFonts w:eastAsia="Calibri" w:cs="Arial"/>
          <w:szCs w:val="20"/>
          <w:lang w:val="en-GB"/>
        </w:rPr>
        <w:t>Bridgepoint</w:t>
      </w:r>
      <w:r w:rsidRPr="009C48DA" w:rsidR="008453E7">
        <w:rPr>
          <w:szCs w:val="22"/>
          <w:lang w:val="en-GB"/>
        </w:rPr>
        <w:t xml:space="preserve"> </w:t>
      </w:r>
      <w:r w:rsidRPr="009C48DA">
        <w:rPr>
          <w:szCs w:val="22"/>
          <w:lang w:val="en-GB"/>
        </w:rPr>
        <w:t>Funds, including through operational performance being impacted in certain sectors and geographies.</w:t>
      </w:r>
    </w:p>
    <w:p w:rsidRPr="009C48DA" w:rsidR="00484821" w:rsidP="003F7555" w:rsidRDefault="00484821" w14:paraId="30C121C1" w14:textId="0CC67DC9">
      <w:pPr>
        <w:pStyle w:val="STBBullet3"/>
        <w:numPr>
          <w:ilvl w:val="0"/>
          <w:numId w:val="32"/>
        </w:numPr>
        <w:rPr>
          <w:szCs w:val="22"/>
          <w:lang w:val="en-GB"/>
        </w:rPr>
      </w:pPr>
      <w:r w:rsidRPr="009C48DA">
        <w:rPr>
          <w:szCs w:val="22"/>
          <w:lang w:val="en-GB"/>
        </w:rPr>
        <w:t xml:space="preserve">Borrowers of loans, notes and other credit instruments in the </w:t>
      </w:r>
      <w:bookmarkStart w:name="_9kR3WTr26648ENHvihjt4yyAeXCGIHsmCHA9EZU" w:id="193"/>
      <w:r w:rsidRPr="009C48DA">
        <w:rPr>
          <w:szCs w:val="22"/>
          <w:lang w:val="en-GB"/>
        </w:rPr>
        <w:t xml:space="preserve">Group’s </w:t>
      </w:r>
      <w:bookmarkEnd w:id="193"/>
      <w:r w:rsidRPr="009C48DA">
        <w:rPr>
          <w:szCs w:val="22"/>
          <w:lang w:val="en-GB"/>
        </w:rPr>
        <w:t xml:space="preserve">credit funds’ portfolio </w:t>
      </w:r>
      <w:r w:rsidRPr="009C48DA" w:rsidR="007767F1">
        <w:rPr>
          <w:szCs w:val="22"/>
          <w:lang w:val="en-GB"/>
        </w:rPr>
        <w:t>may be</w:t>
      </w:r>
      <w:r w:rsidRPr="009C48DA">
        <w:rPr>
          <w:szCs w:val="22"/>
          <w:lang w:val="en-GB"/>
        </w:rPr>
        <w:t xml:space="preserve"> more likely to be unable to meet their principal or interest payment obligations or satisfy financial covenants, resulting in a decrease in value of the </w:t>
      </w:r>
      <w:bookmarkStart w:name="_9kR3WTr26647EOHvihjt4yyAdZEy4rlBG98DYTy" w:id="194"/>
      <w:r w:rsidRPr="009C48DA" w:rsidR="008453E7">
        <w:rPr>
          <w:rFonts w:eastAsia="Calibri" w:cs="Arial"/>
          <w:szCs w:val="20"/>
          <w:lang w:val="en-GB"/>
        </w:rPr>
        <w:t>Bridgepoint</w:t>
      </w:r>
      <w:r w:rsidRPr="009C48DA" w:rsidR="008453E7">
        <w:rPr>
          <w:szCs w:val="22"/>
          <w:lang w:val="en-GB"/>
        </w:rPr>
        <w:t xml:space="preserve"> </w:t>
      </w:r>
      <w:r w:rsidRPr="009C48DA">
        <w:rPr>
          <w:szCs w:val="22"/>
          <w:lang w:val="en-GB"/>
        </w:rPr>
        <w:t xml:space="preserve">Funds’ </w:t>
      </w:r>
      <w:bookmarkEnd w:id="194"/>
      <w:r w:rsidRPr="009C48DA">
        <w:rPr>
          <w:szCs w:val="22"/>
          <w:lang w:val="en-GB"/>
        </w:rPr>
        <w:t xml:space="preserve">credit investments and reduced expected returns. In addition, for variable interest instruments, lower reference rates resulting from government stimulus programs in response to the COVID-19 pandemic could lead to lower interest income for the </w:t>
      </w:r>
      <w:r w:rsidRPr="009C48DA" w:rsidR="008453E7">
        <w:rPr>
          <w:rFonts w:eastAsia="Calibri" w:cs="Arial"/>
          <w:szCs w:val="20"/>
          <w:lang w:val="en-GB"/>
        </w:rPr>
        <w:t>Bridgepoint</w:t>
      </w:r>
      <w:r w:rsidRPr="009C48DA" w:rsidR="008453E7">
        <w:rPr>
          <w:rFonts w:eastAsia="Times New Roman" w:cs="Times New Roman"/>
          <w:color w:val="000000"/>
          <w:szCs w:val="22"/>
          <w:lang w:val="en-GB"/>
        </w:rPr>
        <w:t xml:space="preserve"> </w:t>
      </w:r>
      <w:r w:rsidRPr="009C48DA">
        <w:rPr>
          <w:rFonts w:eastAsia="Times New Roman" w:cs="Times New Roman"/>
          <w:color w:val="000000"/>
          <w:szCs w:val="22"/>
          <w:lang w:val="en-GB"/>
        </w:rPr>
        <w:t xml:space="preserve">private </w:t>
      </w:r>
      <w:r w:rsidRPr="009C48DA" w:rsidR="00D321CC">
        <w:rPr>
          <w:rFonts w:eastAsia="Calibri" w:cs="Arial"/>
          <w:lang w:val="en-GB"/>
        </w:rPr>
        <w:t xml:space="preserve">credit </w:t>
      </w:r>
      <w:r w:rsidRPr="009C48DA" w:rsidR="00D43E9F">
        <w:rPr>
          <w:rFonts w:eastAsia="Times New Roman" w:cs="Times New Roman"/>
          <w:color w:val="000000"/>
          <w:szCs w:val="22"/>
          <w:lang w:val="en-GB"/>
        </w:rPr>
        <w:t>funds</w:t>
      </w:r>
      <w:r w:rsidRPr="009C48DA">
        <w:rPr>
          <w:szCs w:val="22"/>
          <w:lang w:val="en-GB"/>
        </w:rPr>
        <w:t>.</w:t>
      </w:r>
    </w:p>
    <w:p w:rsidRPr="009C48DA" w:rsidR="00484821" w:rsidP="003F7555" w:rsidRDefault="00484821" w14:paraId="7C38BFA7" w14:textId="749D4646">
      <w:pPr>
        <w:pStyle w:val="STBBullet3"/>
        <w:numPr>
          <w:ilvl w:val="0"/>
          <w:numId w:val="32"/>
        </w:numPr>
        <w:rPr>
          <w:szCs w:val="22"/>
          <w:lang w:val="en-GB"/>
        </w:rPr>
      </w:pPr>
      <w:r w:rsidRPr="009C48DA">
        <w:rPr>
          <w:szCs w:val="22"/>
          <w:lang w:val="en-GB"/>
        </w:rPr>
        <w:t xml:space="preserve">While the impact of the COVID-19 pandemic on the portfolio companies of the </w:t>
      </w:r>
      <w:r w:rsidRPr="009C48DA" w:rsidR="008453E7">
        <w:rPr>
          <w:rFonts w:eastAsia="Calibri" w:cs="Arial"/>
          <w:szCs w:val="20"/>
          <w:lang w:val="en-GB"/>
        </w:rPr>
        <w:t>Bridgepoint</w:t>
      </w:r>
      <w:r w:rsidRPr="009C48DA" w:rsidR="008453E7">
        <w:rPr>
          <w:szCs w:val="22"/>
          <w:lang w:val="en-GB"/>
        </w:rPr>
        <w:t xml:space="preserve"> </w:t>
      </w:r>
      <w:r w:rsidRPr="009C48DA">
        <w:rPr>
          <w:szCs w:val="22"/>
          <w:lang w:val="en-GB"/>
        </w:rPr>
        <w:t>Funds has varied depending on the location and industry in which they operate, many of the portfolio companies operate in industries that have been, and continue to be, materially affected by the COVID-19 pandemic. Many of these companies are facing operational and financial hardships resulting from the spread of the COVID-19 virus and related governmental measures, such as the closure of stores, limitations on business operations, restrictions on travel, quarantines or stay-at-home orders. If the disruptions caused by the COVID</w:t>
      </w:r>
      <w:r w:rsidRPr="009C48DA">
        <w:rPr>
          <w:szCs w:val="22"/>
          <w:lang w:val="en-GB"/>
        </w:rPr>
        <w:noBreakHyphen/>
        <w:t xml:space="preserve">19 pandemic continue and the restrictions put in place are not lifted or are reinstated, the businesses of these portfolio companies could suffer materially or become insolvent, which would decrease the value of the </w:t>
      </w:r>
      <w:bookmarkStart w:name="_9kMKBP6ZWu5997AEOKylkmw711DgcH17" w:id="195"/>
      <w:r w:rsidRPr="009C48DA" w:rsidR="008453E7">
        <w:rPr>
          <w:rFonts w:eastAsia="Calibri" w:cs="Arial"/>
          <w:szCs w:val="20"/>
          <w:lang w:val="en-GB"/>
        </w:rPr>
        <w:t>Bridgepoint</w:t>
      </w:r>
      <w:r w:rsidRPr="009C48DA" w:rsidR="008453E7">
        <w:rPr>
          <w:szCs w:val="22"/>
          <w:lang w:val="en-GB"/>
        </w:rPr>
        <w:t xml:space="preserve"> </w:t>
      </w:r>
      <w:r w:rsidRPr="009C48DA">
        <w:rPr>
          <w:szCs w:val="22"/>
          <w:lang w:val="en-GB"/>
        </w:rPr>
        <w:t>Funds’</w:t>
      </w:r>
      <w:bookmarkEnd w:id="195"/>
      <w:r w:rsidRPr="009C48DA">
        <w:rPr>
          <w:szCs w:val="22"/>
          <w:lang w:val="en-GB"/>
        </w:rPr>
        <w:t xml:space="preserve"> investments.</w:t>
      </w:r>
    </w:p>
    <w:p w:rsidRPr="009C48DA" w:rsidR="00484821" w:rsidP="003F7555" w:rsidRDefault="00484821" w14:paraId="281D6201" w14:textId="4E2FEE35">
      <w:pPr>
        <w:pStyle w:val="STBBullet3"/>
        <w:numPr>
          <w:ilvl w:val="0"/>
          <w:numId w:val="32"/>
        </w:numPr>
        <w:rPr>
          <w:szCs w:val="22"/>
          <w:lang w:val="en-GB"/>
        </w:rPr>
      </w:pPr>
      <w:r w:rsidRPr="009C48DA">
        <w:rPr>
          <w:szCs w:val="22"/>
          <w:lang w:val="en-GB"/>
        </w:rPr>
        <w:lastRenderedPageBreak/>
        <w:t xml:space="preserve">The COVID-19 pandemic may generate workplace, consumer, insurance, contract and other forms of litigation that expose the Group, the </w:t>
      </w:r>
      <w:r w:rsidRPr="009C48DA" w:rsidR="008453E7">
        <w:rPr>
          <w:rFonts w:eastAsia="Calibri" w:cs="Arial"/>
          <w:szCs w:val="20"/>
          <w:lang w:val="en-GB"/>
        </w:rPr>
        <w:t>Bridgepoint</w:t>
      </w:r>
      <w:r w:rsidRPr="009C48DA" w:rsidR="008453E7">
        <w:rPr>
          <w:szCs w:val="22"/>
          <w:lang w:val="en-GB"/>
        </w:rPr>
        <w:t xml:space="preserve"> </w:t>
      </w:r>
      <w:r w:rsidRPr="009C48DA">
        <w:rPr>
          <w:szCs w:val="22"/>
          <w:lang w:val="en-GB"/>
        </w:rPr>
        <w:t>Funds’ portfolio companies and their vendors, customers, debtors and other counterparties to risks and claims of a magnitude and nature that the Group cannot now anticipate.</w:t>
      </w:r>
    </w:p>
    <w:p w:rsidRPr="009C48DA" w:rsidR="00484821" w:rsidP="003F7555" w:rsidRDefault="00484821" w14:paraId="0A458F6B" w14:textId="0E1F4F31">
      <w:pPr>
        <w:pStyle w:val="STBBullet3"/>
        <w:numPr>
          <w:ilvl w:val="0"/>
          <w:numId w:val="32"/>
        </w:numPr>
        <w:rPr>
          <w:szCs w:val="22"/>
          <w:lang w:val="en-GB"/>
        </w:rPr>
      </w:pPr>
      <w:r w:rsidRPr="009C48DA">
        <w:rPr>
          <w:szCs w:val="22"/>
          <w:lang w:val="en-GB"/>
        </w:rPr>
        <w:t xml:space="preserve">Continued </w:t>
      </w:r>
      <w:r w:rsidRPr="009C48DA">
        <w:rPr>
          <w:lang w:val="en-GB"/>
        </w:rPr>
        <w:t>remote</w:t>
      </w:r>
      <w:r w:rsidRPr="009C48DA">
        <w:rPr>
          <w:szCs w:val="22"/>
          <w:lang w:val="en-GB"/>
        </w:rPr>
        <w:t xml:space="preserve"> working by the </w:t>
      </w:r>
      <w:bookmarkStart w:name="_9kMMAM6ZWu5997AJTKylkmw711DhaFJL" w:id="196"/>
      <w:r w:rsidRPr="009C48DA">
        <w:rPr>
          <w:szCs w:val="22"/>
          <w:lang w:val="en-GB"/>
        </w:rPr>
        <w:t>Group’s</w:t>
      </w:r>
      <w:bookmarkEnd w:id="196"/>
      <w:r w:rsidRPr="009C48DA">
        <w:rPr>
          <w:szCs w:val="22"/>
          <w:lang w:val="en-GB"/>
        </w:rPr>
        <w:t xml:space="preserve"> employees could strain the </w:t>
      </w:r>
      <w:bookmarkStart w:name="_9kMHG5YVt4886DKVO3798" w:id="197"/>
      <w:r w:rsidRPr="009C48DA">
        <w:rPr>
          <w:szCs w:val="22"/>
          <w:lang w:val="en-GB"/>
        </w:rPr>
        <w:t>Group’s</w:t>
      </w:r>
      <w:bookmarkEnd w:id="197"/>
      <w:r w:rsidRPr="009C48DA">
        <w:rPr>
          <w:szCs w:val="22"/>
          <w:lang w:val="en-GB"/>
        </w:rPr>
        <w:t xml:space="preserve"> technology resources and introduce operational risks, including heightened cyber</w:t>
      </w:r>
      <w:r w:rsidRPr="009C48DA">
        <w:rPr>
          <w:szCs w:val="22"/>
          <w:lang w:val="en-GB"/>
        </w:rPr>
        <w:noBreakHyphen/>
        <w:t xml:space="preserve">security risks. Remote working environments are </w:t>
      </w:r>
      <w:r w:rsidRPr="009C48DA" w:rsidR="007767F1">
        <w:rPr>
          <w:szCs w:val="22"/>
          <w:lang w:val="en-GB"/>
        </w:rPr>
        <w:t xml:space="preserve">often </w:t>
      </w:r>
      <w:r w:rsidRPr="009C48DA">
        <w:rPr>
          <w:szCs w:val="22"/>
          <w:lang w:val="en-GB"/>
        </w:rPr>
        <w:t xml:space="preserve">less secure and more susceptible to hacking attacks, including phishing and social engineering attempts that seek to exploit the COVID-19 pandemic. In addition, if a natural disaster, power outage, connectivity issue or other event occurs that impacts </w:t>
      </w:r>
      <w:r w:rsidRPr="009C48DA" w:rsidR="00850428">
        <w:rPr>
          <w:szCs w:val="22"/>
          <w:lang w:val="en-GB"/>
        </w:rPr>
        <w:t xml:space="preserve">ability of employees of </w:t>
      </w:r>
      <w:r w:rsidRPr="009C48DA">
        <w:rPr>
          <w:szCs w:val="22"/>
          <w:lang w:val="en-GB"/>
        </w:rPr>
        <w:t xml:space="preserve">the Group or </w:t>
      </w:r>
      <w:r w:rsidRPr="009C48DA" w:rsidR="00850428">
        <w:rPr>
          <w:szCs w:val="22"/>
          <w:lang w:val="en-GB"/>
        </w:rPr>
        <w:t xml:space="preserve">the </w:t>
      </w:r>
      <w:r w:rsidRPr="009C48DA" w:rsidR="008453E7">
        <w:rPr>
          <w:rFonts w:eastAsia="Calibri" w:cs="Arial"/>
          <w:szCs w:val="20"/>
          <w:lang w:val="en-GB"/>
        </w:rPr>
        <w:t>Bridgepoint</w:t>
      </w:r>
      <w:r w:rsidRPr="009C48DA" w:rsidR="008453E7">
        <w:rPr>
          <w:szCs w:val="22"/>
          <w:lang w:val="en-GB"/>
        </w:rPr>
        <w:t xml:space="preserve"> </w:t>
      </w:r>
      <w:r w:rsidRPr="009C48DA" w:rsidR="00850428">
        <w:rPr>
          <w:szCs w:val="22"/>
          <w:lang w:val="en-GB"/>
        </w:rPr>
        <w:t xml:space="preserve">Funds’ </w:t>
      </w:r>
      <w:r w:rsidRPr="009C48DA">
        <w:rPr>
          <w:szCs w:val="22"/>
          <w:lang w:val="en-GB"/>
        </w:rPr>
        <w:t xml:space="preserve">portfolio companies to work remotely, it may be difficult or, in certain cases, impossible for the Group, or the portfolio companies of the </w:t>
      </w:r>
      <w:r w:rsidRPr="009C48DA" w:rsidR="008453E7">
        <w:rPr>
          <w:rFonts w:eastAsia="Calibri" w:cs="Arial"/>
          <w:szCs w:val="20"/>
          <w:lang w:val="en-GB"/>
        </w:rPr>
        <w:t>Bridgepoint</w:t>
      </w:r>
      <w:r w:rsidRPr="009C48DA" w:rsidR="008453E7">
        <w:rPr>
          <w:szCs w:val="22"/>
          <w:lang w:val="en-GB"/>
        </w:rPr>
        <w:t xml:space="preserve"> </w:t>
      </w:r>
      <w:r w:rsidRPr="009C48DA">
        <w:rPr>
          <w:szCs w:val="22"/>
          <w:lang w:val="en-GB"/>
        </w:rPr>
        <w:t>Funds, to continue its business for a substantial period of time. Furthermore, a decline in remote work arrangements and subsequent reintroduction of employees into the workplace could introduce health and safety risks and increase employee absence. Moreover</w:t>
      </w:r>
      <w:r w:rsidRPr="009C48DA" w:rsidR="009A613B">
        <w:rPr>
          <w:szCs w:val="22"/>
          <w:lang w:val="en-GB"/>
        </w:rPr>
        <w:t>,</w:t>
      </w:r>
      <w:r w:rsidRPr="009C48DA">
        <w:rPr>
          <w:szCs w:val="22"/>
          <w:lang w:val="en-GB"/>
        </w:rPr>
        <w:t xml:space="preserve"> third</w:t>
      </w:r>
      <w:r w:rsidRPr="009C48DA">
        <w:rPr>
          <w:szCs w:val="22"/>
          <w:lang w:val="en-GB"/>
        </w:rPr>
        <w:noBreakHyphen/>
        <w:t xml:space="preserve">party service providers on whom the Group has become increasingly reliant for certain aspects of its business, including for certain information systems, technology and the administration of certain funds, could be impacted by an inability to perform due to COVID-19-related restrictions or by failures of, or attacks on, their information systems and technology. </w:t>
      </w:r>
    </w:p>
    <w:p w:rsidRPr="009C48DA" w:rsidR="00484821" w:rsidP="003F7555" w:rsidRDefault="00484821" w14:paraId="299BA130" w14:textId="6661C51C">
      <w:pPr>
        <w:pStyle w:val="STBBullet3"/>
        <w:numPr>
          <w:ilvl w:val="0"/>
          <w:numId w:val="32"/>
        </w:numPr>
        <w:rPr>
          <w:szCs w:val="22"/>
          <w:lang w:val="en-GB"/>
        </w:rPr>
      </w:pPr>
      <w:r w:rsidRPr="009C48DA">
        <w:rPr>
          <w:szCs w:val="22"/>
          <w:lang w:val="en-GB"/>
        </w:rPr>
        <w:t xml:space="preserve">The COVID-19 pandemic presents a significant threat to the </w:t>
      </w:r>
      <w:bookmarkStart w:name="_9kMKJ5YVt4886DKVO3798" w:id="198"/>
      <w:r w:rsidRPr="009C48DA">
        <w:rPr>
          <w:szCs w:val="22"/>
          <w:lang w:val="en-GB"/>
        </w:rPr>
        <w:t xml:space="preserve">well-being and morale of employees of the Group and the employees of the portfolio companies of the </w:t>
      </w:r>
      <w:r w:rsidRPr="009C48DA" w:rsidR="008453E7">
        <w:rPr>
          <w:rFonts w:eastAsia="Calibri" w:cs="Arial"/>
          <w:szCs w:val="20"/>
          <w:lang w:val="en-GB"/>
        </w:rPr>
        <w:t>Bridgepoint</w:t>
      </w:r>
      <w:r w:rsidRPr="009C48DA" w:rsidR="008453E7">
        <w:rPr>
          <w:szCs w:val="22"/>
          <w:lang w:val="en-GB"/>
        </w:rPr>
        <w:t xml:space="preserve"> </w:t>
      </w:r>
      <w:r w:rsidRPr="009C48DA">
        <w:rPr>
          <w:szCs w:val="22"/>
          <w:lang w:val="en-GB"/>
        </w:rPr>
        <w:t>Funds</w:t>
      </w:r>
      <w:bookmarkEnd w:id="198"/>
      <w:r w:rsidRPr="009C48DA">
        <w:rPr>
          <w:szCs w:val="22"/>
          <w:lang w:val="en-GB"/>
        </w:rPr>
        <w:t xml:space="preserve">. </w:t>
      </w:r>
      <w:r w:rsidRPr="009C48DA">
        <w:rPr>
          <w:lang w:val="en-GB"/>
        </w:rPr>
        <w:t>Such</w:t>
      </w:r>
      <w:r w:rsidRPr="009C48DA">
        <w:rPr>
          <w:szCs w:val="22"/>
          <w:lang w:val="en-GB"/>
        </w:rPr>
        <w:t xml:space="preserve"> employees may become sick or otherwise unable to perform their duties for an extended period of time, and continued public health restrictions and remote working arrangements may impact employee morale. In addition to any potential impact it may have on the </w:t>
      </w:r>
      <w:bookmarkStart w:name="_9kMMDP6ZWu5997AJTKylkmw711DhaFJL" w:id="199"/>
      <w:r w:rsidRPr="009C48DA">
        <w:rPr>
          <w:szCs w:val="22"/>
          <w:lang w:val="en-GB"/>
        </w:rPr>
        <w:t>Group’s</w:t>
      </w:r>
      <w:bookmarkEnd w:id="199"/>
      <w:r w:rsidRPr="009C48DA">
        <w:rPr>
          <w:szCs w:val="22"/>
          <w:lang w:val="en-GB"/>
        </w:rPr>
        <w:t xml:space="preserve"> operations, such extended illness may expose the Group to the risk of litigation by employees for, among other things, failure to take adequate steps to protect their well-being, particularly in the event they become sick after a return to the office. Moreover, a prolonged period of remote work may also make it more difficult to integrate new employees and maintain the </w:t>
      </w:r>
      <w:bookmarkStart w:name="_9kMN6H6ZWu5997AJTKylkmw711DhaFJL" w:id="200"/>
      <w:r w:rsidRPr="009C48DA">
        <w:rPr>
          <w:szCs w:val="22"/>
          <w:lang w:val="en-GB"/>
        </w:rPr>
        <w:t>Group’s</w:t>
      </w:r>
      <w:bookmarkEnd w:id="200"/>
      <w:r w:rsidRPr="009C48DA">
        <w:rPr>
          <w:szCs w:val="22"/>
          <w:lang w:val="en-GB"/>
        </w:rPr>
        <w:t xml:space="preserve"> culture.</w:t>
      </w:r>
    </w:p>
    <w:p w:rsidRPr="009C48DA" w:rsidR="00484821" w:rsidP="00484821" w:rsidRDefault="00484821" w14:paraId="52837372" w14:textId="790A5D46">
      <w:pPr>
        <w:pStyle w:val="BodyText2SglJ"/>
        <w:rPr>
          <w:lang w:val="en-GB"/>
        </w:rPr>
      </w:pPr>
      <w:r w:rsidRPr="009C48DA">
        <w:rPr>
          <w:lang w:val="en-GB"/>
        </w:rPr>
        <w:t xml:space="preserve">The extent to which the COVID-19 pandemic </w:t>
      </w:r>
      <w:r w:rsidRPr="009C48DA" w:rsidR="007767F1">
        <w:rPr>
          <w:lang w:val="en-GB"/>
        </w:rPr>
        <w:t>may</w:t>
      </w:r>
      <w:r w:rsidRPr="009C48DA">
        <w:rPr>
          <w:lang w:val="en-GB"/>
        </w:rPr>
        <w:t xml:space="preserve"> continue to adversely affect the </w:t>
      </w:r>
      <w:bookmarkStart w:name="_9kMN7I6ZWu5997AJTKylkmw711DhaFJL" w:id="201"/>
      <w:r w:rsidRPr="009C48DA">
        <w:rPr>
          <w:lang w:val="en-GB"/>
        </w:rPr>
        <w:t>Group’s</w:t>
      </w:r>
      <w:bookmarkEnd w:id="201"/>
      <w:r w:rsidRPr="009C48DA">
        <w:rPr>
          <w:lang w:val="en-GB"/>
        </w:rPr>
        <w:t xml:space="preserve"> </w:t>
      </w:r>
      <w:r w:rsidRPr="009C48DA" w:rsidR="00647FDA">
        <w:rPr>
          <w:lang w:val="en-GB"/>
        </w:rPr>
        <w:t>business, revenue, net income</w:t>
      </w:r>
      <w:r w:rsidRPr="009C48DA">
        <w:rPr>
          <w:lang w:val="en-GB"/>
        </w:rPr>
        <w:t xml:space="preserve"> and cash flows will depend on numerous evolving factors that are unpredictable, including, among others: the duration and scope of the COVID-19 pandemic, any subsequent waves, the effectiveness of vaccination strategies and the development of new virus variants; governmental, business and individual actions that have been and continue to be taken in response to the COVID-19 pandemic; and the impact of the COVID-19 pandemic on global economic activity, unemployment levels and financial markets, including the possibility of a global recession and volatility in the global capital markets which, among other factors, may increase the </w:t>
      </w:r>
      <w:bookmarkStart w:name="_9kMN8J6ZWu5997AJTKylkmw711DhaFJL" w:id="202"/>
      <w:r w:rsidRPr="009C48DA">
        <w:rPr>
          <w:lang w:val="en-GB"/>
        </w:rPr>
        <w:t>Group’s</w:t>
      </w:r>
      <w:bookmarkEnd w:id="202"/>
      <w:r w:rsidRPr="009C48DA">
        <w:rPr>
          <w:lang w:val="en-GB"/>
        </w:rPr>
        <w:t xml:space="preserve"> cost of capital and adversely impact its access to capital. In addition, the Group cannot predict the long-term impact that the COVID-19 pandemic will have on its business and the </w:t>
      </w:r>
      <w:bookmarkStart w:name="_9kML3G6ZWu5997AEOKylkmw711DgcH17" w:id="203"/>
      <w:r w:rsidRPr="009C48DA" w:rsidR="008453E7">
        <w:rPr>
          <w:rFonts w:eastAsia="Calibri" w:cs="Arial"/>
          <w:szCs w:val="20"/>
          <w:lang w:val="en-GB"/>
        </w:rPr>
        <w:t>Bridgepoint</w:t>
      </w:r>
      <w:r w:rsidRPr="009C48DA" w:rsidR="008453E7">
        <w:rPr>
          <w:lang w:val="en-GB"/>
        </w:rPr>
        <w:t xml:space="preserve"> </w:t>
      </w:r>
      <w:r w:rsidRPr="009C48DA">
        <w:rPr>
          <w:lang w:val="en-GB"/>
        </w:rPr>
        <w:t>Funds’</w:t>
      </w:r>
      <w:bookmarkEnd w:id="203"/>
      <w:r w:rsidRPr="009C48DA">
        <w:rPr>
          <w:lang w:val="en-GB"/>
        </w:rPr>
        <w:t xml:space="preserve"> investments. </w:t>
      </w:r>
    </w:p>
    <w:p w:rsidRPr="009C48DA" w:rsidR="00484821" w:rsidP="00F172AB" w:rsidRDefault="00484821" w14:paraId="17F0C16C" w14:textId="3C446AD1">
      <w:pPr>
        <w:pStyle w:val="BodyText2SglJ"/>
        <w:rPr>
          <w:lang w:val="en-GB"/>
        </w:rPr>
      </w:pPr>
      <w:r w:rsidRPr="009C48DA">
        <w:rPr>
          <w:lang w:val="en-GB"/>
        </w:rPr>
        <w:t xml:space="preserve">Any of the foregoing could have a </w:t>
      </w:r>
      <w:r w:rsidRPr="009C48DA" w:rsidDel="00571B6B">
        <w:rPr>
          <w:lang w:val="en-GB"/>
        </w:rPr>
        <w:t xml:space="preserve">material adverse effect on the </w:t>
      </w:r>
      <w:r w:rsidRPr="009C48DA">
        <w:rPr>
          <w:lang w:val="en-GB"/>
        </w:rPr>
        <w:t>Group’s business, revenue</w:t>
      </w:r>
      <w:r w:rsidRPr="009C48DA" w:rsidDel="00571B6B">
        <w:rPr>
          <w:lang w:val="en-GB"/>
        </w:rPr>
        <w:t>, net income and cash flows</w:t>
      </w:r>
      <w:r w:rsidRPr="009C48DA">
        <w:rPr>
          <w:lang w:val="en-GB"/>
        </w:rPr>
        <w:t xml:space="preserve">. Furthermore, the impact of the COVID-19 pandemic may heighten or exacerbate many of the other risks discussed in this </w:t>
      </w:r>
      <w:r w:rsidRPr="009C48DA" w:rsidR="00FF4A6C">
        <w:rPr>
          <w:i/>
          <w:lang w:val="en-GB"/>
        </w:rPr>
        <w:fldChar w:fldCharType="begin"/>
      </w:r>
      <w:r w:rsidRPr="009C48DA" w:rsidR="00FF4A6C">
        <w:rPr>
          <w:lang w:val="en-GB"/>
        </w:rPr>
        <w:instrText xml:space="preserve"> REF _Ref71136204 \r \h </w:instrText>
      </w:r>
      <w:r w:rsidRPr="009C48DA" w:rsidR="00513F0A">
        <w:rPr>
          <w:i/>
          <w:lang w:val="en-GB"/>
        </w:rPr>
        <w:instrText xml:space="preserve"> \* MERGEFORMAT </w:instrText>
      </w:r>
      <w:r w:rsidRPr="009C48DA" w:rsidR="00FF4A6C">
        <w:rPr>
          <w:i/>
          <w:lang w:val="en-GB"/>
        </w:rPr>
      </w:r>
      <w:r w:rsidRPr="009C48DA" w:rsidR="00FF4A6C">
        <w:rPr>
          <w:i/>
          <w:lang w:val="en-GB"/>
        </w:rPr>
        <w:fldChar w:fldCharType="separate"/>
      </w:r>
      <w:r w:rsidR="007C3D19">
        <w:rPr>
          <w:lang w:val="en-GB"/>
        </w:rPr>
        <w:t>Part I</w:t>
      </w:r>
      <w:r w:rsidRPr="009C48DA" w:rsidR="00FF4A6C">
        <w:rPr>
          <w:i/>
          <w:lang w:val="en-GB"/>
        </w:rPr>
        <w:fldChar w:fldCharType="end"/>
      </w:r>
      <w:r w:rsidRPr="009C48DA" w:rsidR="00FF4A6C">
        <w:rPr>
          <w:i/>
          <w:lang w:val="en-GB"/>
        </w:rPr>
        <w:t xml:space="preserve"> </w:t>
      </w:r>
      <w:r w:rsidRPr="009C48DA" w:rsidR="00FF4A6C">
        <w:rPr>
          <w:lang w:val="en-GB"/>
        </w:rPr>
        <w:t>(</w:t>
      </w:r>
      <w:r w:rsidRPr="009C48DA" w:rsidR="00F172AB">
        <w:rPr>
          <w:i/>
          <w:lang w:val="en-GB"/>
        </w:rPr>
        <w:fldChar w:fldCharType="begin"/>
      </w:r>
      <w:r w:rsidRPr="009C48DA" w:rsidR="00F172AB">
        <w:rPr>
          <w:i/>
          <w:lang w:val="en-GB"/>
        </w:rPr>
        <w:instrText xml:space="preserve"> REF _Ref75190583 \h  \* MERGEFORMAT </w:instrText>
      </w:r>
      <w:r w:rsidRPr="009C48DA" w:rsidR="00F172AB">
        <w:rPr>
          <w:i/>
          <w:lang w:val="en-GB"/>
        </w:rPr>
      </w:r>
      <w:r w:rsidRPr="009C48DA" w:rsidR="00F172AB">
        <w:rPr>
          <w:i/>
          <w:lang w:val="en-GB"/>
        </w:rPr>
        <w:fldChar w:fldCharType="separate"/>
      </w:r>
      <w:r w:rsidRPr="007C3D19" w:rsidR="007C3D19">
        <w:rPr>
          <w:i/>
          <w:lang w:val="en-GB"/>
        </w:rPr>
        <w:t>Risk Factors</w:t>
      </w:r>
      <w:r w:rsidRPr="009C48DA" w:rsidR="00F172AB">
        <w:rPr>
          <w:i/>
          <w:lang w:val="en-GB"/>
        </w:rPr>
        <w:fldChar w:fldCharType="end"/>
      </w:r>
      <w:r w:rsidRPr="009C48DA" w:rsidR="00FF4A6C">
        <w:rPr>
          <w:lang w:val="en-GB"/>
        </w:rPr>
        <w:t>)</w:t>
      </w:r>
      <w:r w:rsidRPr="009C48DA">
        <w:rPr>
          <w:i/>
          <w:lang w:val="en-GB"/>
        </w:rPr>
        <w:t>.</w:t>
      </w:r>
    </w:p>
    <w:p w:rsidRPr="009C48DA" w:rsidR="006D6A27" w:rsidP="000C376E" w:rsidRDefault="00EC76BA" w14:paraId="3551E6DD" w14:textId="43BB637A">
      <w:pPr>
        <w:pStyle w:val="TitleBAllCaps"/>
      </w:pPr>
      <w:r w:rsidRPr="009C48DA">
        <w:t xml:space="preserve">Operational </w:t>
      </w:r>
      <w:r w:rsidRPr="009C48DA" w:rsidR="00724C3F">
        <w:t>Risks</w:t>
      </w:r>
    </w:p>
    <w:p w:rsidRPr="009C48DA" w:rsidR="006D6A27" w:rsidP="00676CA5" w:rsidRDefault="006D6A27" w14:paraId="22126CE0" w14:textId="7DB1D750">
      <w:pPr>
        <w:pStyle w:val="TitleBI"/>
        <w:rPr>
          <w:szCs w:val="20"/>
          <w:lang w:val="en-GB"/>
        </w:rPr>
      </w:pPr>
      <w:r w:rsidRPr="009C48DA">
        <w:rPr>
          <w:szCs w:val="20"/>
          <w:lang w:val="en-GB"/>
        </w:rPr>
        <w:t>Cyber-security failures</w:t>
      </w:r>
      <w:r w:rsidRPr="009C48DA" w:rsidR="00F31A70">
        <w:rPr>
          <w:szCs w:val="20"/>
          <w:lang w:val="en-GB"/>
        </w:rPr>
        <w:t>,</w:t>
      </w:r>
      <w:r w:rsidRPr="009C48DA">
        <w:rPr>
          <w:szCs w:val="20"/>
          <w:lang w:val="en-GB"/>
        </w:rPr>
        <w:t xml:space="preserve"> data security breaches </w:t>
      </w:r>
      <w:r w:rsidRPr="009C48DA" w:rsidR="00F31A70">
        <w:rPr>
          <w:szCs w:val="20"/>
          <w:lang w:val="en-GB"/>
        </w:rPr>
        <w:t xml:space="preserve">and operational risks </w:t>
      </w:r>
      <w:r w:rsidRPr="009C48DA">
        <w:rPr>
          <w:szCs w:val="20"/>
          <w:lang w:val="en-GB"/>
        </w:rPr>
        <w:t xml:space="preserve">may disrupt or have a material adverse impact on the </w:t>
      </w:r>
      <w:bookmarkStart w:name="_9kMI24K7aXv6AA8BKULzmlnx822EibGKM" w:id="204"/>
      <w:r w:rsidRPr="009C48DA">
        <w:rPr>
          <w:szCs w:val="20"/>
          <w:lang w:val="en-GB"/>
        </w:rPr>
        <w:t>Group’s</w:t>
      </w:r>
      <w:bookmarkEnd w:id="204"/>
      <w:r w:rsidRPr="009C48DA">
        <w:rPr>
          <w:szCs w:val="20"/>
          <w:lang w:val="en-GB"/>
        </w:rPr>
        <w:t xml:space="preserve"> business, operations and investments. </w:t>
      </w:r>
    </w:p>
    <w:p w:rsidRPr="009C48DA" w:rsidR="006D6A27" w:rsidP="00676CA5" w:rsidRDefault="006D6A27" w14:paraId="37E796E1" w14:textId="373994F0">
      <w:pPr>
        <w:pStyle w:val="BodyText2SglJ"/>
        <w:rPr>
          <w:rFonts w:eastAsia="Calibri" w:cs="Arial"/>
          <w:szCs w:val="20"/>
          <w:lang w:val="en-GB"/>
        </w:rPr>
      </w:pPr>
      <w:bookmarkStart w:name="_9kMI7N6ZWu5997HJeSkFN1onpzA44GkdIMO" w:id="205"/>
      <w:r w:rsidRPr="009C48DA">
        <w:rPr>
          <w:rFonts w:eastAsia="Calibri" w:cs="Arial"/>
          <w:szCs w:val="20"/>
          <w:lang w:val="en-GB"/>
        </w:rPr>
        <w:t xml:space="preserve">The </w:t>
      </w:r>
      <w:bookmarkEnd w:id="205"/>
      <w:r w:rsidRPr="009C48DA">
        <w:rPr>
          <w:rFonts w:eastAsia="Calibri" w:cs="Arial"/>
          <w:szCs w:val="20"/>
          <w:lang w:val="en-GB"/>
        </w:rPr>
        <w:t xml:space="preserve">Group relies on the secure processing, storage and transmission of confidential and other information in the </w:t>
      </w:r>
      <w:r w:rsidRPr="009C48DA" w:rsidR="008453E7">
        <w:rPr>
          <w:rFonts w:eastAsia="Calibri" w:cs="Arial"/>
          <w:szCs w:val="20"/>
          <w:lang w:val="en-GB"/>
        </w:rPr>
        <w:t xml:space="preserve">Bridgepoint </w:t>
      </w:r>
      <w:r w:rsidRPr="009C48DA">
        <w:rPr>
          <w:rFonts w:eastAsia="Calibri" w:cs="Arial"/>
          <w:szCs w:val="20"/>
          <w:lang w:val="en-GB"/>
        </w:rPr>
        <w:t xml:space="preserve">computer systems and networks. Cyber-security incidents and cyber-attacks have been occurring globally at a more frequent and severe level and will likely continue to increase in frequency in the future. </w:t>
      </w:r>
      <w:bookmarkStart w:name="_9kMI8O6ZWu5997HJeSkFN1onpzA44GkdIMO" w:id="206"/>
      <w:r w:rsidRPr="009C48DA">
        <w:rPr>
          <w:rFonts w:eastAsia="Calibri" w:cs="Arial"/>
          <w:szCs w:val="20"/>
          <w:lang w:val="en-GB"/>
        </w:rPr>
        <w:t xml:space="preserve">The </w:t>
      </w:r>
      <w:bookmarkEnd w:id="206"/>
      <w:r w:rsidRPr="009C48DA">
        <w:rPr>
          <w:rFonts w:eastAsia="Calibri" w:cs="Arial"/>
          <w:szCs w:val="20"/>
          <w:lang w:val="en-GB"/>
        </w:rPr>
        <w:t xml:space="preserve">Group faces various cyber-security threats on a regular basis, including ongoing cyber-security threats to, and attacks on, information technology infrastructure that are intended to gain access to proprietary information, destroy data or disable, degrade or sabotage the </w:t>
      </w:r>
      <w:bookmarkStart w:name="_9kMI25L7aXv6AA8BKULzmlnx822EibGKM" w:id="207"/>
      <w:r w:rsidRPr="009C48DA">
        <w:rPr>
          <w:rFonts w:eastAsia="Calibri" w:cs="Arial"/>
          <w:szCs w:val="20"/>
          <w:lang w:val="en-GB"/>
        </w:rPr>
        <w:t>Group’s</w:t>
      </w:r>
      <w:bookmarkEnd w:id="207"/>
      <w:r w:rsidRPr="009C48DA">
        <w:rPr>
          <w:rFonts w:eastAsia="Calibri" w:cs="Arial"/>
          <w:szCs w:val="20"/>
          <w:lang w:val="en-GB"/>
        </w:rPr>
        <w:t xml:space="preserve"> systems, as well as network failures, computer and telecommunication failures, infiltration by unauthorised persons, usage errors by respective professionals or service providers, power, communications or other service outages and </w:t>
      </w:r>
      <w:r w:rsidRPr="009C48DA">
        <w:rPr>
          <w:rFonts w:eastAsia="Calibri" w:cs="Arial"/>
          <w:szCs w:val="20"/>
          <w:lang w:val="en-GB"/>
        </w:rPr>
        <w:lastRenderedPageBreak/>
        <w:t xml:space="preserve">catastrophic events such as fires, tornadoes, floods, hurricanes and earthquakes or other factors. Additionally, the Group, </w:t>
      </w:r>
      <w:r w:rsidRPr="009C48DA" w:rsidR="00850428">
        <w:rPr>
          <w:rFonts w:eastAsia="Calibri" w:cs="Arial"/>
          <w:szCs w:val="20"/>
          <w:lang w:val="en-GB"/>
        </w:rPr>
        <w:t xml:space="preserve">the </w:t>
      </w:r>
      <w:r w:rsidRPr="009C48DA" w:rsidR="008453E7">
        <w:rPr>
          <w:rFonts w:eastAsia="Calibri" w:cs="Arial"/>
          <w:szCs w:val="20"/>
          <w:lang w:val="en-GB"/>
        </w:rPr>
        <w:t xml:space="preserve">Bridgepoint </w:t>
      </w:r>
      <w:r w:rsidRPr="009C48DA">
        <w:rPr>
          <w:rFonts w:eastAsia="Calibri" w:cs="Arial"/>
          <w:szCs w:val="20"/>
          <w:lang w:val="en-GB"/>
        </w:rPr>
        <w:t>Funds and their portfolio companies and their employees may be the target of fra</w:t>
      </w:r>
      <w:r w:rsidRPr="009C48DA" w:rsidR="00647FDA">
        <w:rPr>
          <w:rFonts w:eastAsia="Calibri" w:cs="Arial"/>
          <w:szCs w:val="20"/>
          <w:lang w:val="en-GB"/>
        </w:rPr>
        <w:t>udulent calls and emails and so-</w:t>
      </w:r>
      <w:r w:rsidRPr="009C48DA">
        <w:rPr>
          <w:rFonts w:eastAsia="Calibri" w:cs="Arial"/>
          <w:szCs w:val="20"/>
          <w:lang w:val="en-GB"/>
        </w:rPr>
        <w:t>called “CEO fraud”</w:t>
      </w:r>
      <w:r w:rsidRPr="009C48DA" w:rsidR="008B5DAC">
        <w:rPr>
          <w:rFonts w:eastAsia="Calibri" w:cs="Arial"/>
          <w:szCs w:val="20"/>
          <w:lang w:val="en-GB"/>
        </w:rPr>
        <w:t>,</w:t>
      </w:r>
      <w:r w:rsidRPr="009C48DA">
        <w:rPr>
          <w:rFonts w:eastAsia="Calibri" w:cs="Arial"/>
          <w:szCs w:val="20"/>
          <w:lang w:val="en-GB"/>
        </w:rPr>
        <w:t xml:space="preserve"> whereby an attacker impersonates the CEO or another member of senior management by telephone or email either by using their email account or an email address that looks very similar to the member of management’s address. Moreover, the Group and its employees may be the subject of other impersonations and fraudulent requests for money, including attempts to redirect material payment amounts in a transacti</w:t>
      </w:r>
      <w:r w:rsidRPr="009C48DA" w:rsidR="00647FDA">
        <w:rPr>
          <w:rFonts w:eastAsia="Calibri" w:cs="Arial"/>
          <w:szCs w:val="20"/>
          <w:lang w:val="en-GB"/>
        </w:rPr>
        <w:t>on to a fraudulent bank account</w:t>
      </w:r>
      <w:r w:rsidRPr="009C48DA">
        <w:rPr>
          <w:rFonts w:eastAsia="Calibri" w:cs="Arial"/>
          <w:szCs w:val="20"/>
          <w:lang w:val="en-GB"/>
        </w:rPr>
        <w:t xml:space="preserve"> and other forms of activities. Cyber-criminals may attempt to redirect payments required to be paid at the closing of investments to unauthorised accounts, which the Group or the services providers it retains, like paying agents and escrow agents, may not be able to detect or protect against. The COVID-19 pandemic has exacerbated these risks due to heavier reliance on online communication and remote working environments, which are </w:t>
      </w:r>
      <w:r w:rsidRPr="009C48DA" w:rsidR="007767F1">
        <w:rPr>
          <w:rFonts w:eastAsia="Calibri" w:cs="Arial"/>
          <w:szCs w:val="20"/>
          <w:lang w:val="en-GB"/>
        </w:rPr>
        <w:t xml:space="preserve">often </w:t>
      </w:r>
      <w:r w:rsidRPr="009C48DA">
        <w:rPr>
          <w:rFonts w:eastAsia="Calibri" w:cs="Arial"/>
          <w:szCs w:val="20"/>
          <w:lang w:val="en-GB"/>
        </w:rPr>
        <w:t>less secure, and a significant increase in hacking attempts by cyber-criminals.</w:t>
      </w:r>
      <w:r w:rsidRPr="009C48DA" w:rsidR="005D10FC">
        <w:rPr>
          <w:rFonts w:ascii="Arial" w:hAnsi="Arial" w:eastAsia="Calibri" w:cs="Arial"/>
          <w:i/>
          <w:iCs/>
          <w:color w:val="5B9BD5"/>
          <w:szCs w:val="20"/>
          <w:lang w:val="en-GB"/>
        </w:rPr>
        <w:t xml:space="preserve"> </w:t>
      </w:r>
      <w:r w:rsidRPr="009C48DA" w:rsidR="005D10FC">
        <w:rPr>
          <w:rFonts w:eastAsia="Calibri" w:cs="Arial"/>
          <w:szCs w:val="20"/>
          <w:lang w:val="en-GB"/>
        </w:rPr>
        <w:t xml:space="preserve">The Group’s information system and technology infrastructure is largely cloud-based and managed to a high degree of security protection, and the Group successfully transitioned to remote working at the start of the COVID-19 pandemic. However, any disruption to the Group’s information systems and technology infrastructure, either operational or as a result of cyber-attack, could have a significant impact on its business. </w:t>
      </w:r>
      <w:r w:rsidRPr="009C48DA" w:rsidR="00D83459">
        <w:rPr>
          <w:rFonts w:eastAsia="Calibri" w:cs="Arial"/>
          <w:szCs w:val="20"/>
          <w:lang w:val="en-GB"/>
        </w:rPr>
        <w:t xml:space="preserve">. </w:t>
      </w:r>
      <w:r w:rsidRPr="009C48DA">
        <w:rPr>
          <w:rFonts w:eastAsia="Calibri" w:cs="Arial"/>
          <w:szCs w:val="20"/>
          <w:lang w:val="en-GB"/>
        </w:rPr>
        <w:t xml:space="preserve">The costs related to cyber or other security </w:t>
      </w:r>
      <w:r w:rsidRPr="009C48DA">
        <w:rPr>
          <w:rFonts w:eastAsia="Times New Roman" w:cs="Times New Roman"/>
          <w:color w:val="231F20"/>
          <w:szCs w:val="20"/>
          <w:lang w:val="en-GB"/>
        </w:rPr>
        <w:t>threats</w:t>
      </w:r>
      <w:r w:rsidRPr="009C48DA">
        <w:rPr>
          <w:rFonts w:eastAsia="Calibri" w:cs="Arial"/>
          <w:szCs w:val="20"/>
          <w:lang w:val="en-GB"/>
        </w:rPr>
        <w:t xml:space="preserve"> or disruptions may not be fully insured or indemnified by others, including by the </w:t>
      </w:r>
      <w:bookmarkStart w:name="_9kMI28O7aXv6AA8BKULzmlnx822EibGKM" w:id="208"/>
      <w:r w:rsidRPr="009C48DA">
        <w:rPr>
          <w:rFonts w:eastAsia="Calibri" w:cs="Arial"/>
          <w:szCs w:val="20"/>
          <w:lang w:val="en-GB"/>
        </w:rPr>
        <w:t>Group’s</w:t>
      </w:r>
      <w:bookmarkEnd w:id="208"/>
      <w:r w:rsidRPr="009C48DA">
        <w:rPr>
          <w:rFonts w:eastAsia="Calibri" w:cs="Arial"/>
          <w:szCs w:val="20"/>
          <w:lang w:val="en-GB"/>
        </w:rPr>
        <w:t xml:space="preserve"> third-party service providers. Possible disruptions in the Group’s data processing systems could adversely affect </w:t>
      </w:r>
      <w:r w:rsidRPr="009C48DA" w:rsidR="006D5BFE">
        <w:rPr>
          <w:lang w:val="en-GB"/>
        </w:rPr>
        <w:t>Bridgepoint</w:t>
      </w:r>
      <w:r w:rsidRPr="009C48DA">
        <w:rPr>
          <w:rFonts w:eastAsia="Calibri" w:cs="Arial"/>
          <w:szCs w:val="20"/>
          <w:lang w:val="en-GB"/>
        </w:rPr>
        <w:t xml:space="preserve">’s brand and reputation. Disruptions that are not fully covered by the Group’s external data processing suppliers or </w:t>
      </w:r>
      <w:r w:rsidRPr="009C48DA" w:rsidR="00850428">
        <w:rPr>
          <w:rFonts w:eastAsia="Calibri" w:cs="Arial"/>
          <w:szCs w:val="20"/>
          <w:lang w:val="en-GB"/>
        </w:rPr>
        <w:t xml:space="preserve">are </w:t>
      </w:r>
      <w:r w:rsidRPr="009C48DA">
        <w:rPr>
          <w:rFonts w:eastAsia="Calibri" w:cs="Arial"/>
          <w:szCs w:val="20"/>
          <w:lang w:val="en-GB"/>
        </w:rPr>
        <w:t xml:space="preserve">not reimbursed because they occur in the Group’s internal systems, or issues with data protection measures, could further increase the Group’s operating expenses. Any of these risks can similarly affect the </w:t>
      </w:r>
      <w:r w:rsidRPr="009C48DA" w:rsidR="008453E7">
        <w:rPr>
          <w:rFonts w:eastAsia="Calibri" w:cs="Arial"/>
          <w:szCs w:val="20"/>
          <w:lang w:val="en-GB"/>
        </w:rPr>
        <w:t xml:space="preserve">Bridgepoint </w:t>
      </w:r>
      <w:r w:rsidRPr="009C48DA">
        <w:rPr>
          <w:rFonts w:eastAsia="Calibri" w:cs="Arial"/>
          <w:szCs w:val="20"/>
          <w:lang w:val="en-GB"/>
        </w:rPr>
        <w:t>Funds and their portfolio companies.</w:t>
      </w:r>
    </w:p>
    <w:p w:rsidRPr="009C48DA" w:rsidR="006D6A27" w:rsidP="00676CA5" w:rsidRDefault="006D6A27" w14:paraId="4A9416D8" w14:textId="2C3879F6">
      <w:pPr>
        <w:pStyle w:val="BodyText2SglJ"/>
        <w:rPr>
          <w:rFonts w:eastAsia="Calibri" w:cs="Arial"/>
          <w:szCs w:val="20"/>
          <w:lang w:val="en-GB"/>
        </w:rPr>
      </w:pPr>
      <w:r w:rsidRPr="009C48DA">
        <w:rPr>
          <w:rFonts w:eastAsia="Calibri" w:cs="Arial"/>
          <w:szCs w:val="20"/>
          <w:lang w:val="en-GB"/>
        </w:rPr>
        <w:t xml:space="preserve">While the </w:t>
      </w:r>
      <w:bookmarkStart w:name="_9kMON5YVt4886BCLHy0poD" w:id="209"/>
      <w:r w:rsidRPr="009C48DA">
        <w:rPr>
          <w:rFonts w:eastAsia="Calibri" w:cs="Arial"/>
          <w:szCs w:val="20"/>
          <w:lang w:val="en-GB"/>
        </w:rPr>
        <w:t xml:space="preserve">Group </w:t>
      </w:r>
      <w:bookmarkEnd w:id="209"/>
      <w:r w:rsidRPr="009C48DA">
        <w:rPr>
          <w:rFonts w:eastAsia="Calibri" w:cs="Arial"/>
          <w:szCs w:val="20"/>
          <w:lang w:val="en-GB"/>
        </w:rPr>
        <w:t xml:space="preserve">has implemented, and portfolio companies and service providers may implement, various measures to manage risks relating to these types of events, such systems could prove to be inadequate and, if compromised, data processing systems could become inoperable </w:t>
      </w:r>
      <w:r w:rsidRPr="009C48DA">
        <w:rPr>
          <w:rFonts w:eastAsia="Times New Roman" w:cs="Times New Roman"/>
          <w:color w:val="231F20"/>
          <w:szCs w:val="20"/>
          <w:lang w:val="en-GB"/>
        </w:rPr>
        <w:t>for</w:t>
      </w:r>
      <w:r w:rsidRPr="009C48DA">
        <w:rPr>
          <w:rFonts w:eastAsia="Calibri" w:cs="Arial"/>
          <w:szCs w:val="20"/>
          <w:lang w:val="en-GB"/>
        </w:rPr>
        <w:t xml:space="preserve"> extended periods of time, cease to function properly or fail to adequately secure private information. As a result of disruptions or disturbances in the </w:t>
      </w:r>
      <w:bookmarkStart w:name="_9kMI29P7aXv6AA8BKULzmlnx822EibGKM" w:id="210"/>
      <w:r w:rsidRPr="009C48DA">
        <w:rPr>
          <w:rFonts w:eastAsia="Calibri" w:cs="Arial"/>
          <w:szCs w:val="20"/>
          <w:lang w:val="en-GB"/>
        </w:rPr>
        <w:t>Group’s</w:t>
      </w:r>
      <w:bookmarkEnd w:id="210"/>
      <w:r w:rsidRPr="009C48DA">
        <w:rPr>
          <w:rFonts w:eastAsia="Calibri" w:cs="Arial"/>
          <w:szCs w:val="20"/>
          <w:lang w:val="en-GB"/>
        </w:rPr>
        <w:t xml:space="preserve"> data processing systems, there is a risk that the </w:t>
      </w:r>
      <w:bookmarkStart w:name="_9kMI2AQ7aXv6AA8BKULzmlnx822EibGKM" w:id="211"/>
      <w:r w:rsidRPr="009C48DA">
        <w:rPr>
          <w:rFonts w:eastAsia="Calibri" w:cs="Arial"/>
          <w:szCs w:val="20"/>
          <w:lang w:val="en-GB"/>
        </w:rPr>
        <w:t>Group’s</w:t>
      </w:r>
      <w:bookmarkEnd w:id="211"/>
      <w:r w:rsidRPr="009C48DA">
        <w:rPr>
          <w:rFonts w:eastAsia="Calibri" w:cs="Arial"/>
          <w:szCs w:val="20"/>
          <w:lang w:val="en-GB"/>
        </w:rPr>
        <w:t xml:space="preserve"> business may not be able to be conducted as planned during a certain period and information may be lost or leaked. While bugs and other operational errors existing from time to time are often handled by the </w:t>
      </w:r>
      <w:bookmarkStart w:name="_9kMI32H7aXv6AA8BKULzmlnx822EibGKM" w:id="212"/>
      <w:r w:rsidRPr="009C48DA">
        <w:rPr>
          <w:rFonts w:eastAsia="Calibri" w:cs="Arial"/>
          <w:szCs w:val="20"/>
          <w:lang w:val="en-GB"/>
        </w:rPr>
        <w:t>Group’s</w:t>
      </w:r>
      <w:bookmarkEnd w:id="212"/>
      <w:r w:rsidRPr="009C48DA">
        <w:rPr>
          <w:rFonts w:eastAsia="Calibri" w:cs="Arial"/>
          <w:szCs w:val="20"/>
          <w:lang w:val="en-GB"/>
        </w:rPr>
        <w:t xml:space="preserve"> proactive securit</w:t>
      </w:r>
      <w:r w:rsidRPr="009C48DA" w:rsidR="00850428">
        <w:rPr>
          <w:rFonts w:eastAsia="Calibri" w:cs="Arial"/>
          <w:szCs w:val="20"/>
          <w:lang w:val="en-GB"/>
        </w:rPr>
        <w:t>y</w:t>
      </w:r>
      <w:r w:rsidRPr="009C48DA">
        <w:rPr>
          <w:rFonts w:eastAsia="Calibri" w:cs="Arial"/>
          <w:szCs w:val="20"/>
          <w:lang w:val="en-GB"/>
        </w:rPr>
        <w:t xml:space="preserve"> measures and back-up solutions, any leakage of information, in particular </w:t>
      </w:r>
      <w:r w:rsidRPr="009C48DA" w:rsidR="00850428">
        <w:rPr>
          <w:rFonts w:eastAsia="Calibri" w:cs="Arial"/>
          <w:szCs w:val="20"/>
          <w:lang w:val="en-GB"/>
        </w:rPr>
        <w:t xml:space="preserve">in respect </w:t>
      </w:r>
      <w:r w:rsidRPr="009C48DA">
        <w:rPr>
          <w:rFonts w:eastAsia="Calibri" w:cs="Arial"/>
          <w:szCs w:val="20"/>
          <w:lang w:val="en-GB"/>
        </w:rPr>
        <w:t xml:space="preserve">of the </w:t>
      </w:r>
      <w:bookmarkStart w:name="_9kR3WTr26647DNHvihjt4yyAdZEy4GGigL5bgQI" w:id="213"/>
      <w:r w:rsidRPr="009C48DA" w:rsidR="008453E7">
        <w:rPr>
          <w:rFonts w:eastAsia="Calibri" w:cs="Arial"/>
          <w:szCs w:val="20"/>
          <w:lang w:val="en-GB"/>
        </w:rPr>
        <w:t xml:space="preserve">Bridgepoint </w:t>
      </w:r>
      <w:r w:rsidRPr="009C48DA">
        <w:rPr>
          <w:rFonts w:eastAsia="Calibri" w:cs="Arial"/>
          <w:szCs w:val="20"/>
          <w:lang w:val="en-GB"/>
        </w:rPr>
        <w:t>Funds or fund investors</w:t>
      </w:r>
      <w:bookmarkEnd w:id="213"/>
      <w:r w:rsidRPr="009C48DA">
        <w:rPr>
          <w:rFonts w:eastAsia="Calibri" w:cs="Arial"/>
          <w:szCs w:val="20"/>
          <w:lang w:val="en-GB"/>
        </w:rPr>
        <w:t xml:space="preserve">, could have a negative impact on </w:t>
      </w:r>
      <w:bookmarkStart w:name="_9kML6J6ZWu59979GRKylkmw711D" w:id="214"/>
      <w:r w:rsidRPr="009C48DA" w:rsidR="006D5BFE">
        <w:rPr>
          <w:lang w:val="en-GB"/>
        </w:rPr>
        <w:t>Bridgepoint</w:t>
      </w:r>
      <w:r w:rsidRPr="009C48DA">
        <w:rPr>
          <w:rFonts w:eastAsia="Calibri" w:cs="Arial"/>
          <w:szCs w:val="20"/>
          <w:lang w:val="en-GB"/>
        </w:rPr>
        <w:t>’s</w:t>
      </w:r>
      <w:bookmarkEnd w:id="214"/>
      <w:r w:rsidRPr="009C48DA">
        <w:rPr>
          <w:rFonts w:eastAsia="Calibri" w:cs="Arial"/>
          <w:szCs w:val="20"/>
          <w:lang w:val="en-GB"/>
        </w:rPr>
        <w:t xml:space="preserve"> brand and reputation as well as on the </w:t>
      </w:r>
      <w:bookmarkStart w:name="_9kMI33I7aXv6AA8BKULzmlnx822EibGKM" w:id="215"/>
      <w:r w:rsidRPr="009C48DA">
        <w:rPr>
          <w:rFonts w:eastAsia="Calibri" w:cs="Arial"/>
          <w:szCs w:val="20"/>
          <w:lang w:val="en-GB"/>
        </w:rPr>
        <w:t>Group’s</w:t>
      </w:r>
      <w:bookmarkEnd w:id="215"/>
      <w:r w:rsidRPr="009C48DA">
        <w:rPr>
          <w:rFonts w:eastAsia="Calibri" w:cs="Arial"/>
          <w:szCs w:val="20"/>
          <w:lang w:val="en-GB"/>
        </w:rPr>
        <w:t xml:space="preserve"> operations. Moreover, breaches such as those involving covertly introduced malware, impersonation of authorised users and industrial or other espionage may not be identified even with sophisticated prevention and detection systems, potentially resulting in further harm and preventing t</w:t>
      </w:r>
      <w:r w:rsidRPr="009C48DA" w:rsidR="00850428">
        <w:rPr>
          <w:rFonts w:eastAsia="Calibri" w:cs="Arial"/>
          <w:szCs w:val="20"/>
          <w:lang w:val="en-GB"/>
        </w:rPr>
        <w:t>he issue</w:t>
      </w:r>
      <w:r w:rsidRPr="009C48DA">
        <w:rPr>
          <w:rFonts w:eastAsia="Calibri" w:cs="Arial"/>
          <w:szCs w:val="20"/>
          <w:lang w:val="en-GB"/>
        </w:rPr>
        <w:t xml:space="preserve"> from being addressed appropriately. The failure of these systems and/or of disaster recovery plans for any reason could cause significant interruptions to </w:t>
      </w:r>
      <w:bookmarkStart w:name="_9kML7K6ZWu59979GRKylkmw711D" w:id="216"/>
      <w:r w:rsidRPr="009C48DA">
        <w:rPr>
          <w:rFonts w:eastAsia="Calibri" w:cs="Arial"/>
          <w:szCs w:val="20"/>
          <w:lang w:val="en-GB"/>
        </w:rPr>
        <w:t xml:space="preserve">the </w:t>
      </w:r>
      <w:bookmarkEnd w:id="216"/>
      <w:r w:rsidRPr="009C48DA">
        <w:rPr>
          <w:rFonts w:eastAsia="Calibri" w:cs="Arial"/>
          <w:szCs w:val="20"/>
          <w:lang w:val="en-GB"/>
        </w:rPr>
        <w:t xml:space="preserve">operations of the Group, </w:t>
      </w:r>
      <w:r w:rsidRPr="009C48DA" w:rsidR="00850428">
        <w:rPr>
          <w:rFonts w:eastAsia="Calibri" w:cs="Arial"/>
          <w:szCs w:val="20"/>
          <w:lang w:val="en-GB"/>
        </w:rPr>
        <w:t xml:space="preserve">the </w:t>
      </w:r>
      <w:r w:rsidRPr="009C48DA" w:rsidR="008453E7">
        <w:rPr>
          <w:rFonts w:eastAsia="Calibri" w:cs="Arial"/>
          <w:szCs w:val="20"/>
          <w:lang w:val="en-GB"/>
        </w:rPr>
        <w:t xml:space="preserve">Bridgepoint </w:t>
      </w:r>
      <w:r w:rsidRPr="009C48DA">
        <w:rPr>
          <w:rFonts w:eastAsia="Calibri" w:cs="Arial"/>
          <w:szCs w:val="20"/>
          <w:lang w:val="en-GB"/>
        </w:rPr>
        <w:t xml:space="preserve">Funds and their portfolio companies and result in a failure to maintain the security, confidentiality or privacy of sensitive data, including personal information relating to </w:t>
      </w:r>
      <w:bookmarkStart w:name="_9kMH26L7aXv6AA8BFPLzmlnx822EhdI28" w:id="217"/>
      <w:r w:rsidRPr="009C48DA">
        <w:rPr>
          <w:rFonts w:eastAsia="Calibri" w:cs="Arial"/>
          <w:szCs w:val="20"/>
          <w:lang w:val="en-GB"/>
        </w:rPr>
        <w:t>fund</w:t>
      </w:r>
      <w:bookmarkEnd w:id="217"/>
      <w:r w:rsidRPr="009C48DA">
        <w:rPr>
          <w:rFonts w:eastAsia="Calibri" w:cs="Arial"/>
          <w:szCs w:val="20"/>
          <w:lang w:val="en-GB"/>
        </w:rPr>
        <w:t xml:space="preserve"> investors (and their beneficial owners) and the intellectual property and trade secrets of the Group, </w:t>
      </w:r>
      <w:r w:rsidRPr="009C48DA" w:rsidR="00850428">
        <w:rPr>
          <w:rFonts w:eastAsia="Calibri" w:cs="Arial"/>
          <w:szCs w:val="20"/>
          <w:lang w:val="en-GB"/>
        </w:rPr>
        <w:t xml:space="preserve">the </w:t>
      </w:r>
      <w:r w:rsidRPr="009C48DA" w:rsidR="008453E7">
        <w:rPr>
          <w:rFonts w:eastAsia="Calibri" w:cs="Arial"/>
          <w:szCs w:val="20"/>
          <w:lang w:val="en-GB"/>
        </w:rPr>
        <w:t xml:space="preserve">Bridgepoint </w:t>
      </w:r>
      <w:r w:rsidRPr="009C48DA">
        <w:rPr>
          <w:rFonts w:eastAsia="Calibri" w:cs="Arial"/>
          <w:szCs w:val="20"/>
          <w:lang w:val="en-GB"/>
        </w:rPr>
        <w:t>Funds or portfolio companies. In addition, it could require a significant investment by the Group to remedy the effects of any such failures.</w:t>
      </w:r>
    </w:p>
    <w:p w:rsidRPr="009C48DA" w:rsidR="006D6A27" w:rsidP="00676CA5" w:rsidRDefault="006D6A27" w14:paraId="2E3D45E5" w14:textId="4477139C">
      <w:pPr>
        <w:pStyle w:val="BodyText2SglJ"/>
        <w:rPr>
          <w:rFonts w:eastAsia="Calibri" w:cs="Arial"/>
          <w:szCs w:val="20"/>
          <w:lang w:val="en-GB"/>
        </w:rPr>
      </w:pPr>
      <w:r w:rsidRPr="009C48DA">
        <w:rPr>
          <w:rFonts w:eastAsia="Calibri" w:cs="Arial"/>
          <w:szCs w:val="20"/>
          <w:lang w:val="en-GB"/>
        </w:rPr>
        <w:t>Cyber-security has also become a top priority for regulators around the world. Many jurisdictions in which the Group operates have laws and regulations relating to data privacy, cyber-security and protection of personal information, including the GDPR</w:t>
      </w:r>
      <w:r w:rsidRPr="009C48DA" w:rsidR="00647FDA">
        <w:rPr>
          <w:rFonts w:eastAsia="Calibri" w:cs="Arial"/>
          <w:szCs w:val="20"/>
          <w:lang w:val="en-GB"/>
        </w:rPr>
        <w:t xml:space="preserve"> in the European Union</w:t>
      </w:r>
      <w:r w:rsidRPr="009C48DA">
        <w:rPr>
          <w:rFonts w:eastAsia="Calibri" w:cs="Arial"/>
          <w:szCs w:val="20"/>
          <w:lang w:val="en-GB"/>
        </w:rPr>
        <w:t xml:space="preserve"> that became effective in May 2018, the </w:t>
      </w:r>
      <w:r w:rsidRPr="009C48DA">
        <w:rPr>
          <w:rFonts w:eastAsia="Malgun Gothic" w:cs="Arial"/>
          <w:szCs w:val="20"/>
          <w:lang w:val="en-GB"/>
        </w:rPr>
        <w:t>UK equivalent</w:t>
      </w:r>
      <w:r w:rsidRPr="009C48DA">
        <w:rPr>
          <w:rFonts w:eastAsia="Calibri" w:cs="Arial"/>
          <w:szCs w:val="20"/>
          <w:lang w:val="en-GB"/>
        </w:rPr>
        <w:t xml:space="preserve"> of the GDPR following Brexit and the CCPA. Breaches in security could potentially jeopardise the </w:t>
      </w:r>
      <w:bookmarkStart w:name="_9kMI36L7aXv6AA8BKULzmlnx822EibGKM" w:id="218"/>
      <w:r w:rsidRPr="009C48DA">
        <w:rPr>
          <w:rFonts w:eastAsia="Calibri" w:cs="Arial"/>
          <w:szCs w:val="20"/>
          <w:lang w:val="en-GB"/>
        </w:rPr>
        <w:t xml:space="preserve">Group’s </w:t>
      </w:r>
      <w:bookmarkEnd w:id="218"/>
      <w:r w:rsidRPr="009C48DA">
        <w:rPr>
          <w:rFonts w:eastAsia="Calibri" w:cs="Arial"/>
          <w:szCs w:val="20"/>
          <w:lang w:val="en-GB"/>
        </w:rPr>
        <w:t xml:space="preserve">confidential and other information related to employees and investors processed and stored in, and transmitted through, the </w:t>
      </w:r>
      <w:bookmarkStart w:name="_9kMI37M7aXv6AA8BKULzmlnx822EibGKM" w:id="219"/>
      <w:r w:rsidRPr="009C48DA">
        <w:rPr>
          <w:rFonts w:eastAsia="Calibri" w:cs="Arial"/>
          <w:szCs w:val="20"/>
          <w:lang w:val="en-GB"/>
        </w:rPr>
        <w:t>Group’s</w:t>
      </w:r>
      <w:bookmarkEnd w:id="219"/>
      <w:r w:rsidRPr="009C48DA">
        <w:rPr>
          <w:rFonts w:eastAsia="Calibri" w:cs="Arial"/>
          <w:szCs w:val="20"/>
          <w:lang w:val="en-GB"/>
        </w:rPr>
        <w:t xml:space="preserve"> computer systems and networks. Moreover, such breaches could cause interruptions or malfunctions in the operations of the Group, </w:t>
      </w:r>
      <w:r w:rsidRPr="009C48DA" w:rsidR="00BD2AEF">
        <w:rPr>
          <w:rFonts w:eastAsia="Calibri" w:cs="Arial"/>
          <w:szCs w:val="20"/>
          <w:lang w:val="en-GB"/>
        </w:rPr>
        <w:t xml:space="preserve">the </w:t>
      </w:r>
      <w:r w:rsidRPr="009C48DA" w:rsidR="008453E7">
        <w:rPr>
          <w:rFonts w:eastAsia="Calibri" w:cs="Arial"/>
          <w:szCs w:val="20"/>
          <w:lang w:val="en-GB"/>
        </w:rPr>
        <w:t xml:space="preserve">Bridgepoint </w:t>
      </w:r>
      <w:r w:rsidRPr="009C48DA">
        <w:rPr>
          <w:rFonts w:eastAsia="Calibri" w:cs="Arial"/>
          <w:szCs w:val="20"/>
          <w:lang w:val="en-GB"/>
        </w:rPr>
        <w:t xml:space="preserve">Funds, portfolio companies and/or fund investors, </w:t>
      </w:r>
      <w:r w:rsidRPr="009C48DA">
        <w:rPr>
          <w:rFonts w:eastAsia="Times New Roman" w:cs="Times New Roman"/>
          <w:color w:val="231F20"/>
          <w:szCs w:val="20"/>
          <w:lang w:val="en-GB"/>
        </w:rPr>
        <w:t>counterparties</w:t>
      </w:r>
      <w:r w:rsidRPr="009C48DA">
        <w:rPr>
          <w:rFonts w:eastAsia="Calibri" w:cs="Arial"/>
          <w:szCs w:val="20"/>
          <w:lang w:val="en-GB"/>
        </w:rPr>
        <w:t xml:space="preserve">, or third parties, which could result in significant losses, increased costs, disruption to the </w:t>
      </w:r>
      <w:bookmarkStart w:name="_9kMI39O7aXv6AA8BKULzmlnx822EibGKM" w:id="220"/>
      <w:r w:rsidRPr="009C48DA">
        <w:rPr>
          <w:rFonts w:eastAsia="Calibri" w:cs="Arial"/>
          <w:szCs w:val="20"/>
          <w:lang w:val="en-GB"/>
        </w:rPr>
        <w:t>Group’s</w:t>
      </w:r>
      <w:bookmarkEnd w:id="220"/>
      <w:r w:rsidRPr="009C48DA">
        <w:rPr>
          <w:rFonts w:eastAsia="Calibri" w:cs="Arial"/>
          <w:szCs w:val="20"/>
          <w:lang w:val="en-GB"/>
        </w:rPr>
        <w:t xml:space="preserve"> business, liability to the fund investors</w:t>
      </w:r>
      <w:r w:rsidRPr="009C48DA" w:rsidR="00BD2AEF">
        <w:rPr>
          <w:rFonts w:eastAsia="Calibri" w:cs="Arial"/>
          <w:szCs w:val="20"/>
          <w:lang w:val="en-GB"/>
        </w:rPr>
        <w:t xml:space="preserve"> and/</w:t>
      </w:r>
      <w:r w:rsidRPr="009C48DA">
        <w:rPr>
          <w:rFonts w:eastAsia="Calibri" w:cs="Arial"/>
          <w:szCs w:val="20"/>
          <w:lang w:val="en-GB"/>
        </w:rPr>
        <w:t xml:space="preserve">or reputational damage. Furthermore, if the Group or </w:t>
      </w:r>
      <w:r w:rsidRPr="009C48DA" w:rsidR="008453E7">
        <w:rPr>
          <w:rFonts w:eastAsia="Calibri" w:cs="Arial"/>
          <w:szCs w:val="20"/>
          <w:lang w:val="en-GB"/>
        </w:rPr>
        <w:t xml:space="preserve">Bridgepoint </w:t>
      </w:r>
      <w:r w:rsidRPr="009C48DA">
        <w:rPr>
          <w:rFonts w:eastAsia="Calibri" w:cs="Arial"/>
          <w:szCs w:val="20"/>
          <w:lang w:val="en-GB"/>
        </w:rPr>
        <w:t xml:space="preserve">Funds experience a cyber-security incident and fail to comply with the relevant laws and regulations, it could result in regulatory investigations and penalties, which could </w:t>
      </w:r>
      <w:r w:rsidRPr="009C48DA" w:rsidR="00BD2AEF">
        <w:rPr>
          <w:rFonts w:eastAsia="Calibri" w:cs="Arial"/>
          <w:szCs w:val="20"/>
          <w:lang w:val="en-GB"/>
        </w:rPr>
        <w:t xml:space="preserve">also </w:t>
      </w:r>
      <w:r w:rsidRPr="009C48DA">
        <w:rPr>
          <w:rFonts w:eastAsia="Calibri" w:cs="Arial"/>
          <w:szCs w:val="20"/>
          <w:lang w:val="en-GB"/>
        </w:rPr>
        <w:t xml:space="preserve">lead to negative publicity and may cause </w:t>
      </w:r>
      <w:bookmarkStart w:name="_9kMH2J6ZWu5997DLWR6qMRB31HEDI" w:id="221"/>
      <w:r w:rsidRPr="009C48DA">
        <w:rPr>
          <w:rFonts w:eastAsia="Calibri" w:cs="Arial"/>
          <w:szCs w:val="20"/>
          <w:lang w:val="en-GB"/>
        </w:rPr>
        <w:t>fund investors</w:t>
      </w:r>
      <w:bookmarkEnd w:id="221"/>
      <w:r w:rsidRPr="009C48DA">
        <w:rPr>
          <w:rFonts w:eastAsia="Calibri" w:cs="Arial"/>
          <w:szCs w:val="20"/>
          <w:lang w:val="en-GB"/>
        </w:rPr>
        <w:t xml:space="preserve"> and clients to lose confidence in the effectiveness of the </w:t>
      </w:r>
      <w:bookmarkStart w:name="_9kMI3BQ7aXv6AA8BKULzmlnx822EibGKM" w:id="222"/>
      <w:r w:rsidRPr="009C48DA">
        <w:rPr>
          <w:rFonts w:eastAsia="Calibri" w:cs="Arial"/>
          <w:szCs w:val="20"/>
          <w:lang w:val="en-GB"/>
        </w:rPr>
        <w:t>Group’s</w:t>
      </w:r>
      <w:bookmarkEnd w:id="222"/>
      <w:r w:rsidRPr="009C48DA">
        <w:rPr>
          <w:rFonts w:eastAsia="Calibri" w:cs="Arial"/>
          <w:szCs w:val="20"/>
          <w:lang w:val="en-GB"/>
        </w:rPr>
        <w:t xml:space="preserve"> security measures.</w:t>
      </w:r>
    </w:p>
    <w:p w:rsidRPr="009C48DA" w:rsidR="00C42CE1" w:rsidP="00676CA5" w:rsidRDefault="006D6A27" w14:paraId="009A5193" w14:textId="32F8A221">
      <w:pPr>
        <w:pStyle w:val="BodyText2SglJ"/>
        <w:rPr>
          <w:rFonts w:eastAsia="Calibri" w:cs="Arial"/>
          <w:szCs w:val="20"/>
          <w:lang w:val="en-GB"/>
        </w:rPr>
      </w:pPr>
      <w:r w:rsidRPr="009C48DA">
        <w:rPr>
          <w:rFonts w:eastAsia="Calibri" w:cs="Arial"/>
          <w:szCs w:val="20"/>
          <w:lang w:val="en-GB"/>
        </w:rPr>
        <w:t>In addition, the Group</w:t>
      </w:r>
      <w:r w:rsidRPr="009C48DA" w:rsidR="00C42CE1">
        <w:rPr>
          <w:rFonts w:eastAsia="Calibri" w:cs="Arial"/>
          <w:szCs w:val="20"/>
          <w:lang w:val="en-GB"/>
        </w:rPr>
        <w:t xml:space="preserve"> operates in businesses that are highly dependent on information systems and technology. For example, it faces operational risk from errors made in the execution, confirmation or settlement of transactions. The Group also faces operational risk from transactions not being properly recorded, evaluated or accounted for in the </w:t>
      </w:r>
      <w:r w:rsidRPr="009C48DA" w:rsidR="008453E7">
        <w:rPr>
          <w:rFonts w:eastAsia="Calibri" w:cs="Arial"/>
          <w:szCs w:val="20"/>
          <w:lang w:val="en-GB"/>
        </w:rPr>
        <w:t xml:space="preserve">Bridgepoint </w:t>
      </w:r>
      <w:r w:rsidRPr="009C48DA" w:rsidR="00C42CE1">
        <w:rPr>
          <w:rFonts w:eastAsia="Calibri" w:cs="Arial"/>
          <w:szCs w:val="20"/>
          <w:lang w:val="en-GB"/>
        </w:rPr>
        <w:t>Funds.</w:t>
      </w:r>
      <w:r w:rsidRPr="009C48DA">
        <w:rPr>
          <w:rFonts w:eastAsia="Calibri" w:cs="Arial"/>
          <w:szCs w:val="20"/>
          <w:lang w:val="en-GB"/>
        </w:rPr>
        <w:t xml:space="preserve"> </w:t>
      </w:r>
      <w:r w:rsidRPr="009C48DA" w:rsidR="00C42CE1">
        <w:rPr>
          <w:rFonts w:eastAsia="Calibri" w:cs="Arial"/>
          <w:szCs w:val="20"/>
          <w:lang w:val="en-GB"/>
        </w:rPr>
        <w:t xml:space="preserve">Furthermore, the Group </w:t>
      </w:r>
      <w:r w:rsidRPr="009C48DA">
        <w:rPr>
          <w:rFonts w:eastAsia="Calibri" w:cs="Arial"/>
          <w:szCs w:val="20"/>
          <w:lang w:val="en-GB"/>
        </w:rPr>
        <w:t xml:space="preserve">could suffer losses </w:t>
      </w:r>
      <w:r w:rsidRPr="009C48DA">
        <w:rPr>
          <w:rFonts w:eastAsia="Calibri" w:cs="Arial"/>
          <w:szCs w:val="20"/>
          <w:lang w:val="en-GB"/>
        </w:rPr>
        <w:lastRenderedPageBreak/>
        <w:t xml:space="preserve">in connection with updates to, or the failure to update in a timely manner, the </w:t>
      </w:r>
      <w:bookmarkStart w:name="_9kMI44I7aXv6AA8BKULzmlnx822EibGKM" w:id="223"/>
      <w:r w:rsidRPr="009C48DA">
        <w:rPr>
          <w:rFonts w:eastAsia="Calibri" w:cs="Arial"/>
          <w:szCs w:val="20"/>
          <w:lang w:val="en-GB"/>
        </w:rPr>
        <w:t>Group’s</w:t>
      </w:r>
      <w:bookmarkEnd w:id="223"/>
      <w:r w:rsidRPr="009C48DA">
        <w:rPr>
          <w:rFonts w:eastAsia="Calibri" w:cs="Arial"/>
          <w:szCs w:val="20"/>
          <w:lang w:val="en-GB"/>
        </w:rPr>
        <w:t xml:space="preserve"> information systems and technology. </w:t>
      </w:r>
      <w:r w:rsidRPr="009C48DA" w:rsidR="00C42CE1">
        <w:rPr>
          <w:rFonts w:eastAsia="Calibri" w:cs="Arial"/>
          <w:szCs w:val="20"/>
          <w:lang w:val="en-GB"/>
        </w:rPr>
        <w:t>Moreover</w:t>
      </w:r>
      <w:r w:rsidRPr="009C48DA">
        <w:rPr>
          <w:rFonts w:eastAsia="Calibri" w:cs="Arial"/>
          <w:szCs w:val="20"/>
          <w:lang w:val="en-GB"/>
        </w:rPr>
        <w:t xml:space="preserve">, the Group relies on third-party services and technologies provided for </w:t>
      </w:r>
      <w:r w:rsidRPr="009C48DA" w:rsidR="00647FDA">
        <w:rPr>
          <w:rFonts w:eastAsia="Calibri" w:cs="Arial"/>
          <w:szCs w:val="20"/>
          <w:lang w:val="en-GB"/>
        </w:rPr>
        <w:t xml:space="preserve">in </w:t>
      </w:r>
      <w:r w:rsidRPr="009C48DA">
        <w:rPr>
          <w:rFonts w:eastAsia="Calibri" w:cs="Arial"/>
          <w:szCs w:val="20"/>
          <w:lang w:val="en-GB"/>
        </w:rPr>
        <w:t xml:space="preserve">certain aspects of the </w:t>
      </w:r>
      <w:bookmarkStart w:name="_9kMI46K7aXv6AA8BKULzmlnx822EibGKM" w:id="224"/>
      <w:r w:rsidRPr="009C48DA">
        <w:rPr>
          <w:rFonts w:eastAsia="Calibri" w:cs="Arial"/>
          <w:szCs w:val="20"/>
          <w:lang w:val="en-GB"/>
        </w:rPr>
        <w:t>Group’s</w:t>
      </w:r>
      <w:bookmarkEnd w:id="224"/>
      <w:r w:rsidRPr="009C48DA">
        <w:rPr>
          <w:rFonts w:eastAsia="Calibri" w:cs="Arial"/>
          <w:szCs w:val="20"/>
          <w:lang w:val="en-GB"/>
        </w:rPr>
        <w:t xml:space="preserve"> business.</w:t>
      </w:r>
      <w:r w:rsidRPr="009C48DA" w:rsidR="00C42CE1">
        <w:rPr>
          <w:rFonts w:eastAsia="Calibri" w:cs="Arial"/>
          <w:szCs w:val="20"/>
          <w:lang w:val="en-GB"/>
        </w:rPr>
        <w:t xml:space="preserve"> If any of these systems do not operate properly or are disabled, the Group could suffer financial loss, disruption </w:t>
      </w:r>
      <w:r w:rsidRPr="009C48DA" w:rsidR="00BD2AEF">
        <w:rPr>
          <w:rFonts w:eastAsia="Calibri" w:cs="Arial"/>
          <w:szCs w:val="20"/>
          <w:lang w:val="en-GB"/>
        </w:rPr>
        <w:t xml:space="preserve">to </w:t>
      </w:r>
      <w:r w:rsidRPr="009C48DA" w:rsidR="00C42CE1">
        <w:rPr>
          <w:rFonts w:eastAsia="Calibri" w:cs="Arial"/>
          <w:szCs w:val="20"/>
          <w:lang w:val="en-GB"/>
        </w:rPr>
        <w:t xml:space="preserve">its businesses, liability to the </w:t>
      </w:r>
      <w:r w:rsidRPr="009C48DA" w:rsidR="008453E7">
        <w:rPr>
          <w:rFonts w:eastAsia="Calibri" w:cs="Arial"/>
          <w:szCs w:val="20"/>
          <w:lang w:val="en-GB"/>
        </w:rPr>
        <w:t xml:space="preserve">Bridgepoint </w:t>
      </w:r>
      <w:r w:rsidRPr="009C48DA" w:rsidR="00C42CE1">
        <w:rPr>
          <w:rFonts w:eastAsia="Calibri" w:cs="Arial"/>
          <w:szCs w:val="20"/>
          <w:lang w:val="en-GB"/>
        </w:rPr>
        <w:t xml:space="preserve">Funds, regulatory intervention or reputational damage. </w:t>
      </w:r>
      <w:r w:rsidRPr="009C48DA">
        <w:rPr>
          <w:rFonts w:eastAsia="Calibri" w:cs="Arial"/>
          <w:szCs w:val="20"/>
          <w:lang w:val="en-GB"/>
        </w:rPr>
        <w:t>These third-party service providers could also experience any of the above cyber-security threats, fraudulent activities or security breaches, and</w:t>
      </w:r>
      <w:r w:rsidRPr="009C48DA" w:rsidR="00647FDA">
        <w:rPr>
          <w:rFonts w:eastAsia="Calibri" w:cs="Arial"/>
          <w:szCs w:val="20"/>
          <w:lang w:val="en-GB"/>
        </w:rPr>
        <w:t>,</w:t>
      </w:r>
      <w:r w:rsidRPr="009C48DA">
        <w:rPr>
          <w:rFonts w:eastAsia="Calibri" w:cs="Arial"/>
          <w:szCs w:val="20"/>
          <w:lang w:val="en-GB"/>
        </w:rPr>
        <w:t xml:space="preserve"> as a result, unauthorised individuals could improperly gain access to </w:t>
      </w:r>
      <w:r w:rsidRPr="009C48DA" w:rsidR="008453E7">
        <w:rPr>
          <w:rFonts w:eastAsia="Calibri" w:cs="Arial"/>
          <w:szCs w:val="20"/>
          <w:lang w:val="en-GB"/>
        </w:rPr>
        <w:t xml:space="preserve">Bridgepoint </w:t>
      </w:r>
      <w:r w:rsidRPr="009C48DA">
        <w:rPr>
          <w:rFonts w:eastAsia="Calibri" w:cs="Arial"/>
          <w:szCs w:val="20"/>
          <w:lang w:val="en-GB"/>
        </w:rPr>
        <w:t>confidential data.</w:t>
      </w:r>
    </w:p>
    <w:p w:rsidRPr="009C48DA" w:rsidR="00C42CE1" w:rsidP="00676CA5" w:rsidRDefault="006D6A27" w14:paraId="3EC67D0F" w14:textId="6B869C50">
      <w:pPr>
        <w:pStyle w:val="BodyText2SglJ"/>
        <w:rPr>
          <w:rFonts w:eastAsia="Calibri" w:cs="Arial"/>
          <w:szCs w:val="20"/>
          <w:lang w:val="en-GB"/>
        </w:rPr>
      </w:pPr>
      <w:r w:rsidRPr="009C48DA">
        <w:rPr>
          <w:rFonts w:eastAsia="Calibri" w:cs="Arial"/>
          <w:szCs w:val="20"/>
          <w:lang w:val="en-GB"/>
        </w:rPr>
        <w:t xml:space="preserve">Any interruption or deterioration in the performance of the systems of such third parties could impair the quality of the </w:t>
      </w:r>
      <w:bookmarkStart w:name="_9kR3WTr266489IHvihjt4yyAeXCGIH3z3SbF213" w:id="225"/>
      <w:r w:rsidRPr="009C48DA">
        <w:rPr>
          <w:rFonts w:eastAsia="Calibri" w:cs="Arial"/>
          <w:szCs w:val="20"/>
          <w:lang w:val="en-GB"/>
        </w:rPr>
        <w:t xml:space="preserve">Group’s and the </w:t>
      </w:r>
      <w:r w:rsidRPr="009C48DA" w:rsidR="008453E7">
        <w:rPr>
          <w:rFonts w:eastAsia="Calibri" w:cs="Arial"/>
          <w:szCs w:val="20"/>
          <w:lang w:val="en-GB"/>
        </w:rPr>
        <w:t xml:space="preserve">Bridgepoint </w:t>
      </w:r>
      <w:r w:rsidRPr="009C48DA">
        <w:rPr>
          <w:rFonts w:eastAsia="Calibri" w:cs="Arial"/>
          <w:szCs w:val="20"/>
          <w:lang w:val="en-GB"/>
        </w:rPr>
        <w:t>Funds’</w:t>
      </w:r>
      <w:bookmarkEnd w:id="225"/>
      <w:r w:rsidRPr="009C48DA">
        <w:rPr>
          <w:rFonts w:eastAsia="Calibri" w:cs="Arial"/>
          <w:szCs w:val="20"/>
          <w:lang w:val="en-GB"/>
        </w:rPr>
        <w:t xml:space="preserve"> operations and could impact the </w:t>
      </w:r>
      <w:bookmarkStart w:name="_9kMI47L7aXv6AA8BKULzmlnx822EibGKM" w:id="226"/>
      <w:r w:rsidRPr="009C48DA">
        <w:rPr>
          <w:rFonts w:eastAsia="Calibri" w:cs="Arial"/>
          <w:szCs w:val="20"/>
          <w:lang w:val="en-GB"/>
        </w:rPr>
        <w:t>Group’s</w:t>
      </w:r>
      <w:bookmarkEnd w:id="226"/>
      <w:r w:rsidRPr="009C48DA">
        <w:rPr>
          <w:rFonts w:eastAsia="Calibri" w:cs="Arial"/>
          <w:szCs w:val="20"/>
          <w:lang w:val="en-GB"/>
        </w:rPr>
        <w:t xml:space="preserve"> reputation and materially adversely affect the </w:t>
      </w:r>
      <w:bookmarkStart w:name="_9kMI48M7aXv6AA8BKULzmlnx822EibGKM" w:id="227"/>
      <w:r w:rsidRPr="009C48DA">
        <w:rPr>
          <w:rFonts w:eastAsia="Calibri" w:cs="Arial"/>
          <w:szCs w:val="20"/>
          <w:lang w:val="en-GB"/>
        </w:rPr>
        <w:t>Group’s</w:t>
      </w:r>
      <w:bookmarkEnd w:id="227"/>
      <w:r w:rsidRPr="009C48DA">
        <w:rPr>
          <w:rFonts w:eastAsia="Calibri" w:cs="Arial"/>
          <w:szCs w:val="20"/>
          <w:lang w:val="en-GB"/>
        </w:rPr>
        <w:t xml:space="preserve"> business and ability to grow. </w:t>
      </w:r>
      <w:bookmarkStart w:name="_9kMI9P6ZWu5997HJeSkFN1onpzA44GkdIMO" w:id="228"/>
    </w:p>
    <w:p w:rsidRPr="009C48DA" w:rsidR="006D6A27" w:rsidP="00676CA5" w:rsidRDefault="00C42CE1" w14:paraId="7FAF2B78" w14:textId="36C59320">
      <w:pPr>
        <w:pStyle w:val="BodyText2SglJ"/>
        <w:rPr>
          <w:rFonts w:eastAsia="Calibri" w:cs="Arial"/>
          <w:szCs w:val="20"/>
          <w:lang w:val="en-GB"/>
        </w:rPr>
      </w:pPr>
      <w:r w:rsidRPr="009C48DA">
        <w:rPr>
          <w:rFonts w:eastAsia="Calibri" w:cs="Arial"/>
          <w:szCs w:val="20"/>
          <w:lang w:val="en-GB"/>
        </w:rPr>
        <w:t xml:space="preserve">The information systems and technology of the Group and its third-party service providers may not continue to be able to accommodate the Group’s growth, may not be able to adequately protect the information of individual fund investors, may not be suitable for new products and strategies and may be subject to security risks, and the cost of maintaining such systems and technology may increase from its current level. Such a failure to accommodate growth, or an increase in costs related to such information systems and technology, could have a material adverse effect on the Group’s business. </w:t>
      </w:r>
      <w:r w:rsidRPr="009C48DA" w:rsidR="006D6A27">
        <w:rPr>
          <w:rFonts w:eastAsia="Calibri" w:cs="Arial"/>
          <w:szCs w:val="20"/>
          <w:lang w:val="en-GB"/>
        </w:rPr>
        <w:t>The Group’s</w:t>
      </w:r>
      <w:bookmarkEnd w:id="228"/>
      <w:r w:rsidRPr="009C48DA" w:rsidR="006D6A27">
        <w:rPr>
          <w:rFonts w:eastAsia="Calibri" w:cs="Arial"/>
          <w:szCs w:val="20"/>
          <w:lang w:val="en-GB"/>
        </w:rPr>
        <w:t xml:space="preserve"> ability to obtain compensation for damages incurred as a result of these services and systems </w:t>
      </w:r>
      <w:r w:rsidRPr="009C48DA" w:rsidR="006D6A27">
        <w:rPr>
          <w:rFonts w:eastAsia="Times New Roman" w:cs="Times New Roman"/>
          <w:color w:val="231F20"/>
          <w:szCs w:val="20"/>
          <w:lang w:val="en-GB"/>
        </w:rPr>
        <w:t>may</w:t>
      </w:r>
      <w:r w:rsidRPr="009C48DA" w:rsidR="006D6A27">
        <w:rPr>
          <w:rFonts w:eastAsia="Calibri" w:cs="Arial"/>
          <w:szCs w:val="20"/>
          <w:lang w:val="en-GB"/>
        </w:rPr>
        <w:t xml:space="preserve"> be limited in terms of the amount and type of damages under agreements with these third parties, which means in some cases compensation is only paid for direct damages, if at all.</w:t>
      </w:r>
    </w:p>
    <w:p w:rsidRPr="009C48DA" w:rsidR="006D6A27" w:rsidP="00676CA5" w:rsidRDefault="006D6A27" w14:paraId="7E238D28" w14:textId="1B99B7D3">
      <w:pPr>
        <w:pStyle w:val="BodyText2SglJ"/>
        <w:rPr>
          <w:rFonts w:eastAsia="Calibri" w:cs="Arial"/>
          <w:szCs w:val="20"/>
          <w:lang w:val="en-GB"/>
        </w:rPr>
      </w:pPr>
      <w:r w:rsidRPr="009C48DA">
        <w:rPr>
          <w:rFonts w:eastAsia="Calibri" w:cs="Arial"/>
          <w:szCs w:val="20"/>
          <w:lang w:val="en-GB"/>
        </w:rPr>
        <w:t>Any of the foregoing events, including the materialisat</w:t>
      </w:r>
      <w:r w:rsidRPr="009C48DA" w:rsidR="00470574">
        <w:rPr>
          <w:rFonts w:eastAsia="Calibri" w:cs="Arial"/>
          <w:szCs w:val="20"/>
          <w:lang w:val="en-GB"/>
        </w:rPr>
        <w:t>ion of any of the above risks in</w:t>
      </w:r>
      <w:r w:rsidRPr="009C48DA">
        <w:rPr>
          <w:rFonts w:eastAsia="Calibri" w:cs="Arial"/>
          <w:szCs w:val="20"/>
          <w:lang w:val="en-GB"/>
        </w:rPr>
        <w:t xml:space="preserve"> the </w:t>
      </w:r>
      <w:r w:rsidRPr="009C48DA" w:rsidR="008453E7">
        <w:rPr>
          <w:rFonts w:eastAsia="Calibri" w:cs="Arial"/>
          <w:szCs w:val="20"/>
          <w:lang w:val="en-GB"/>
        </w:rPr>
        <w:t xml:space="preserve">Bridgepoint </w:t>
      </w:r>
      <w:r w:rsidRPr="009C48DA">
        <w:rPr>
          <w:rFonts w:eastAsia="Calibri" w:cs="Arial"/>
          <w:szCs w:val="20"/>
          <w:lang w:val="en-GB"/>
        </w:rPr>
        <w:t xml:space="preserve">Funds and their portfolio companies, could have a material adverse </w:t>
      </w:r>
      <w:r w:rsidRPr="009C48DA" w:rsidR="00E31AFA">
        <w:rPr>
          <w:rFonts w:eastAsia="Calibri" w:cs="Arial"/>
          <w:szCs w:val="20"/>
          <w:lang w:val="en-GB"/>
        </w:rPr>
        <w:t>effect</w:t>
      </w:r>
      <w:r w:rsidRPr="009C48DA">
        <w:rPr>
          <w:rFonts w:eastAsia="Calibri" w:cs="Arial"/>
          <w:szCs w:val="20"/>
          <w:lang w:val="en-GB"/>
        </w:rPr>
        <w:t xml:space="preserve"> on the Group’s business, operations and investments.</w:t>
      </w:r>
    </w:p>
    <w:p w:rsidRPr="009C48DA" w:rsidR="006D6A27" w:rsidP="00A7038F" w:rsidRDefault="006D6A27" w14:paraId="5F225135" w14:textId="78B3D389">
      <w:pPr>
        <w:pStyle w:val="TitleBI"/>
        <w:rPr>
          <w:szCs w:val="20"/>
          <w:lang w:val="en-GB"/>
        </w:rPr>
      </w:pPr>
      <w:bookmarkStart w:name="_9kMJ1G6ZWu5997HJeSkFN1onpzA44GkdIMO" w:id="229"/>
      <w:r w:rsidRPr="009C48DA">
        <w:rPr>
          <w:szCs w:val="20"/>
          <w:lang w:val="en-GB"/>
        </w:rPr>
        <w:t xml:space="preserve">The Group is dependent on an effective control system to mitigate operational risks and maintain appropriate procedures for the management of the </w:t>
      </w:r>
      <w:bookmarkStart w:name="_9kMH27M7aXv6AA8BFPLzmlnx822EhdI28" w:id="230"/>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Funds</w:t>
      </w:r>
      <w:bookmarkEnd w:id="230"/>
      <w:r w:rsidRPr="009C48DA">
        <w:rPr>
          <w:szCs w:val="20"/>
          <w:lang w:val="en-GB"/>
        </w:rPr>
        <w:t>, and is dependent upon fund administration services provided by Citco</w:t>
      </w:r>
      <w:r w:rsidRPr="009C48DA" w:rsidR="002D245E">
        <w:rPr>
          <w:szCs w:val="20"/>
          <w:lang w:val="en-GB"/>
        </w:rPr>
        <w:t xml:space="preserve"> Funds Services (Luxembourg) S.A.</w:t>
      </w:r>
      <w:r w:rsidRPr="009C48DA">
        <w:rPr>
          <w:szCs w:val="20"/>
          <w:lang w:val="en-GB"/>
        </w:rPr>
        <w:t xml:space="preserve"> for certain credit funds.</w:t>
      </w:r>
    </w:p>
    <w:p w:rsidRPr="009C48DA" w:rsidR="006D6A27" w:rsidP="00A7038F" w:rsidRDefault="006D6A27" w14:paraId="42923911" w14:textId="44A9EBEF">
      <w:pPr>
        <w:pStyle w:val="BodyText2SglJ"/>
        <w:rPr>
          <w:rFonts w:eastAsia="Calibri" w:cs="Arial"/>
          <w:szCs w:val="20"/>
          <w:lang w:val="en-GB"/>
        </w:rPr>
      </w:pPr>
      <w:r w:rsidRPr="009C48DA">
        <w:rPr>
          <w:rFonts w:eastAsia="Calibri" w:cs="Arial"/>
          <w:szCs w:val="20"/>
          <w:lang w:val="en-GB"/>
        </w:rPr>
        <w:t xml:space="preserve">In the event that significant or systematic errors occur within the Group or within the management of the </w:t>
      </w:r>
      <w:bookmarkStart w:name="_9kMH28N7aXv6AA8BFPLzmlnx822EhdI28" w:id="231"/>
      <w:r w:rsidRPr="009C48DA" w:rsidR="008453E7">
        <w:rPr>
          <w:rFonts w:eastAsia="Calibri" w:cs="Arial"/>
          <w:szCs w:val="20"/>
          <w:lang w:val="en-GB"/>
        </w:rPr>
        <w:t xml:space="preserve">Bridgepoint </w:t>
      </w:r>
      <w:r w:rsidRPr="009C48DA">
        <w:rPr>
          <w:rFonts w:eastAsia="Calibri" w:cs="Arial"/>
          <w:szCs w:val="20"/>
          <w:lang w:val="en-GB"/>
        </w:rPr>
        <w:t>Funds</w:t>
      </w:r>
      <w:bookmarkEnd w:id="231"/>
      <w:r w:rsidRPr="009C48DA">
        <w:rPr>
          <w:rFonts w:eastAsia="Calibri" w:cs="Arial"/>
          <w:szCs w:val="20"/>
          <w:lang w:val="en-GB"/>
        </w:rPr>
        <w:t xml:space="preserve">, for example in relation to the </w:t>
      </w:r>
      <w:bookmarkStart w:name="_9kMI55I7aXv6AA8BKULzmlnx822EibGKM" w:id="232"/>
      <w:r w:rsidRPr="009C48DA">
        <w:rPr>
          <w:rFonts w:eastAsia="Calibri" w:cs="Arial"/>
          <w:szCs w:val="20"/>
          <w:lang w:val="en-GB"/>
        </w:rPr>
        <w:t>Group’s</w:t>
      </w:r>
      <w:bookmarkEnd w:id="232"/>
      <w:r w:rsidRPr="009C48DA">
        <w:rPr>
          <w:rFonts w:eastAsia="Calibri" w:cs="Arial"/>
          <w:szCs w:val="20"/>
          <w:lang w:val="en-GB"/>
        </w:rPr>
        <w:t xml:space="preserve"> financial reporting, the valuation of the </w:t>
      </w:r>
      <w:bookmarkStart w:name="_9kMH29O7aXv6AA8BFPLzmlnx822EhdI28" w:id="233"/>
      <w:r w:rsidRPr="009C48DA" w:rsidR="008453E7">
        <w:rPr>
          <w:rFonts w:eastAsia="Calibri" w:cs="Arial"/>
          <w:szCs w:val="20"/>
          <w:lang w:val="en-GB"/>
        </w:rPr>
        <w:t xml:space="preserve">Bridgepoint </w:t>
      </w:r>
      <w:r w:rsidRPr="009C48DA">
        <w:rPr>
          <w:rFonts w:eastAsia="Calibri" w:cs="Arial"/>
          <w:szCs w:val="20"/>
          <w:lang w:val="en-GB"/>
        </w:rPr>
        <w:t>Funds</w:t>
      </w:r>
      <w:bookmarkEnd w:id="233"/>
      <w:r w:rsidRPr="009C48DA">
        <w:rPr>
          <w:rFonts w:eastAsia="Calibri" w:cs="Arial"/>
          <w:szCs w:val="20"/>
          <w:lang w:val="en-GB"/>
        </w:rPr>
        <w:t xml:space="preserve"> or the calculation of</w:t>
      </w:r>
      <w:r w:rsidRPr="009C48DA" w:rsidR="00D8325E">
        <w:rPr>
          <w:rFonts w:eastAsia="Calibri" w:cs="Arial"/>
          <w:szCs w:val="20"/>
          <w:lang w:val="en-GB"/>
        </w:rPr>
        <w:t xml:space="preserve"> carried interest and expected </w:t>
      </w:r>
      <w:r w:rsidRPr="009C48DA" w:rsidR="0073560E">
        <w:rPr>
          <w:rFonts w:eastAsia="Calibri" w:cs="Arial"/>
          <w:szCs w:val="20"/>
          <w:lang w:val="en-GB"/>
        </w:rPr>
        <w:t>i</w:t>
      </w:r>
      <w:r w:rsidRPr="009C48DA">
        <w:rPr>
          <w:rFonts w:eastAsia="Calibri" w:cs="Arial"/>
          <w:szCs w:val="20"/>
          <w:lang w:val="en-GB"/>
        </w:rPr>
        <w:t>ncome</w:t>
      </w:r>
      <w:r w:rsidRPr="009C48DA" w:rsidR="00D43E9F">
        <w:rPr>
          <w:rFonts w:eastAsia="Calibri" w:cs="Arial"/>
          <w:szCs w:val="20"/>
          <w:lang w:val="en-GB"/>
        </w:rPr>
        <w:t xml:space="preserve"> from the fair value remeasurement of investments</w:t>
      </w:r>
      <w:r w:rsidRPr="009C48DA">
        <w:rPr>
          <w:rFonts w:eastAsia="Calibri" w:cs="Arial"/>
          <w:szCs w:val="20"/>
          <w:lang w:val="en-GB"/>
        </w:rPr>
        <w:t>, or if payments are not made to the correct investor accounts, or if such significant systems were not operating properly or for some reason were to be disabled, the Group would risk disruption of its business, which could result in financial losses, regulatory interventions and harm to the</w:t>
      </w:r>
      <w:bookmarkStart w:name="_9kMHzG6ZWu5997CDMIz1qpE" w:id="234"/>
      <w:r w:rsidRPr="009C48DA">
        <w:rPr>
          <w:rFonts w:eastAsia="Calibri" w:cs="Arial"/>
          <w:szCs w:val="20"/>
          <w:lang w:val="en-GB"/>
        </w:rPr>
        <w:t xml:space="preserve"> Group’s</w:t>
      </w:r>
      <w:bookmarkEnd w:id="234"/>
      <w:r w:rsidRPr="009C48DA">
        <w:rPr>
          <w:rFonts w:eastAsia="Calibri" w:cs="Arial"/>
          <w:szCs w:val="20"/>
          <w:lang w:val="en-GB"/>
        </w:rPr>
        <w:t xml:space="preserve"> brand and reputation. </w:t>
      </w:r>
    </w:p>
    <w:p w:rsidRPr="009C48DA" w:rsidR="006D6A27" w:rsidP="00A7038F" w:rsidRDefault="006D6A27" w14:paraId="7EA420B5" w14:textId="18A38E4B">
      <w:pPr>
        <w:pStyle w:val="BodyText2SglJ"/>
        <w:rPr>
          <w:rFonts w:eastAsia="Calibri" w:cs="Arial"/>
          <w:szCs w:val="20"/>
          <w:lang w:val="en-GB"/>
        </w:rPr>
      </w:pPr>
      <w:r w:rsidRPr="009C48DA">
        <w:rPr>
          <w:rFonts w:eastAsia="Calibri" w:cs="Arial"/>
          <w:szCs w:val="20"/>
          <w:lang w:val="en-GB"/>
        </w:rPr>
        <w:t xml:space="preserve">In addition, the Group is dependent both on it and the </w:t>
      </w:r>
      <w:bookmarkStart w:name="_9kMH2AP7aXv6AA8BFPLzmlnx822EhdI28" w:id="235"/>
      <w:r w:rsidRPr="009C48DA" w:rsidR="008453E7">
        <w:rPr>
          <w:rFonts w:eastAsia="Calibri" w:cs="Arial"/>
          <w:szCs w:val="20"/>
          <w:lang w:val="en-GB"/>
        </w:rPr>
        <w:t xml:space="preserve">Bridgepoint </w:t>
      </w:r>
      <w:r w:rsidRPr="009C48DA">
        <w:rPr>
          <w:rFonts w:eastAsia="Calibri" w:cs="Arial"/>
          <w:szCs w:val="20"/>
          <w:lang w:val="en-GB"/>
        </w:rPr>
        <w:t>Funds</w:t>
      </w:r>
      <w:bookmarkEnd w:id="235"/>
      <w:r w:rsidRPr="009C48DA">
        <w:rPr>
          <w:rFonts w:eastAsia="Calibri" w:cs="Arial"/>
          <w:szCs w:val="20"/>
          <w:lang w:val="en-GB"/>
        </w:rPr>
        <w:t xml:space="preserve"> having sufficient </w:t>
      </w:r>
      <w:r w:rsidRPr="009C48DA">
        <w:rPr>
          <w:rFonts w:eastAsia="Times New Roman" w:cs="Times New Roman"/>
          <w:color w:val="231F20"/>
          <w:szCs w:val="20"/>
          <w:lang w:val="en-GB"/>
        </w:rPr>
        <w:t>processes</w:t>
      </w:r>
      <w:r w:rsidRPr="009C48DA">
        <w:rPr>
          <w:rFonts w:eastAsia="Calibri" w:cs="Arial"/>
          <w:szCs w:val="20"/>
          <w:lang w:val="en-GB"/>
        </w:rPr>
        <w:t xml:space="preserve"> in place to prevent money laundering. </w:t>
      </w:r>
      <w:bookmarkStart w:name="_9kR3WTr2664AGR4eq3Av" w:id="236"/>
      <w:r w:rsidRPr="009C48DA">
        <w:rPr>
          <w:rFonts w:eastAsia="Calibri" w:cs="Arial"/>
          <w:szCs w:val="20"/>
          <w:lang w:val="en-GB"/>
        </w:rPr>
        <w:t>Failure</w:t>
      </w:r>
      <w:bookmarkEnd w:id="236"/>
      <w:r w:rsidRPr="009C48DA">
        <w:rPr>
          <w:rFonts w:eastAsia="Calibri" w:cs="Arial"/>
          <w:szCs w:val="20"/>
          <w:lang w:val="en-GB"/>
        </w:rPr>
        <w:t xml:space="preserve"> to employ adequate checks in this regard may result in regulatory breaches, for example</w:t>
      </w:r>
      <w:r w:rsidRPr="009C48DA" w:rsidR="008B5DAC">
        <w:rPr>
          <w:rFonts w:eastAsia="Calibri" w:cs="Arial"/>
          <w:szCs w:val="20"/>
          <w:lang w:val="en-GB"/>
        </w:rPr>
        <w:t>,</w:t>
      </w:r>
      <w:r w:rsidRPr="009C48DA">
        <w:rPr>
          <w:rFonts w:eastAsia="Calibri" w:cs="Arial"/>
          <w:szCs w:val="20"/>
          <w:lang w:val="en-GB"/>
        </w:rPr>
        <w:t xml:space="preserve"> by way of the Group or the </w:t>
      </w:r>
      <w:bookmarkStart w:name="_9kMH2BQ7aXv6AA8BFPLzmlnx822EhdI28" w:id="237"/>
      <w:r w:rsidRPr="009C48DA" w:rsidR="008453E7">
        <w:rPr>
          <w:rFonts w:eastAsia="Calibri" w:cs="Arial"/>
          <w:szCs w:val="20"/>
          <w:lang w:val="en-GB"/>
        </w:rPr>
        <w:t xml:space="preserve">Bridgepoint </w:t>
      </w:r>
      <w:r w:rsidRPr="009C48DA">
        <w:rPr>
          <w:rFonts w:eastAsia="Calibri" w:cs="Arial"/>
          <w:szCs w:val="20"/>
          <w:lang w:val="en-GB"/>
        </w:rPr>
        <w:t>Funds</w:t>
      </w:r>
      <w:bookmarkEnd w:id="237"/>
      <w:r w:rsidRPr="009C48DA">
        <w:rPr>
          <w:rFonts w:eastAsia="Calibri" w:cs="Arial"/>
          <w:szCs w:val="20"/>
          <w:lang w:val="en-GB"/>
        </w:rPr>
        <w:t xml:space="preserve"> inadvertently engaging with inappropriate counterparties or making unlawful or unappropriated investments, which may result in individual penalties, as well as sanction charges for Group entities, </w:t>
      </w:r>
      <w:bookmarkStart w:name="_9kMH4L6ZWu5997DLWR6qMRB31HEDI" w:id="238"/>
      <w:r w:rsidRPr="009C48DA">
        <w:rPr>
          <w:rFonts w:eastAsia="Calibri" w:cs="Arial"/>
          <w:szCs w:val="20"/>
          <w:lang w:val="en-GB"/>
        </w:rPr>
        <w:t>fund investor</w:t>
      </w:r>
      <w:bookmarkEnd w:id="238"/>
      <w:r w:rsidRPr="009C48DA">
        <w:rPr>
          <w:rFonts w:eastAsia="Calibri" w:cs="Arial"/>
          <w:szCs w:val="20"/>
          <w:lang w:val="en-GB"/>
        </w:rPr>
        <w:t xml:space="preserve"> claims or rescission rights, loss of fund approvals or harm to the </w:t>
      </w:r>
      <w:bookmarkStart w:name="_9kMH1I6ZWu5997CDMIz1qpE" w:id="239"/>
      <w:r w:rsidRPr="009C48DA">
        <w:rPr>
          <w:rFonts w:eastAsia="Calibri" w:cs="Arial"/>
          <w:szCs w:val="20"/>
          <w:lang w:val="en-GB"/>
        </w:rPr>
        <w:t>Group’s</w:t>
      </w:r>
      <w:bookmarkEnd w:id="239"/>
      <w:r w:rsidRPr="009C48DA">
        <w:rPr>
          <w:rFonts w:eastAsia="Calibri" w:cs="Arial"/>
          <w:szCs w:val="20"/>
          <w:lang w:val="en-GB"/>
        </w:rPr>
        <w:t xml:space="preserve"> brand or reputation.</w:t>
      </w:r>
    </w:p>
    <w:p w:rsidRPr="009C48DA" w:rsidR="006D6A27" w:rsidP="00A7038F" w:rsidRDefault="006D6A27" w14:paraId="7987B04B" w14:textId="7F3CF4C5">
      <w:pPr>
        <w:pStyle w:val="BodyText2SglJ"/>
        <w:rPr>
          <w:rFonts w:eastAsia="Calibri" w:cs="Arial"/>
          <w:szCs w:val="20"/>
          <w:lang w:val="en-GB"/>
        </w:rPr>
      </w:pPr>
      <w:r w:rsidRPr="009C48DA">
        <w:rPr>
          <w:rFonts w:eastAsia="Calibri" w:cs="Arial"/>
          <w:szCs w:val="20"/>
          <w:lang w:val="en-GB"/>
        </w:rPr>
        <w:t xml:space="preserve">The Group manages the fund administration of its private equity segment in-house, </w:t>
      </w:r>
      <w:r w:rsidRPr="009C48DA" w:rsidR="008B453A">
        <w:rPr>
          <w:rFonts w:eastAsia="Calibri" w:cs="Arial"/>
          <w:szCs w:val="20"/>
          <w:lang w:val="en-GB"/>
        </w:rPr>
        <w:t>with a</w:t>
      </w:r>
      <w:r w:rsidRPr="009C48DA">
        <w:rPr>
          <w:rFonts w:eastAsia="Calibri" w:cs="Arial"/>
          <w:szCs w:val="20"/>
          <w:lang w:val="en-GB"/>
        </w:rPr>
        <w:t xml:space="preserve"> fund administration team based in London and Luxembourg. The Group’s private </w:t>
      </w:r>
      <w:r w:rsidRPr="009C48DA" w:rsidR="00D321CC">
        <w:rPr>
          <w:rFonts w:eastAsia="Calibri" w:cs="Arial"/>
          <w:szCs w:val="20"/>
          <w:lang w:val="en-GB"/>
        </w:rPr>
        <w:t xml:space="preserve">credit </w:t>
      </w:r>
      <w:r w:rsidRPr="009C48DA">
        <w:rPr>
          <w:rFonts w:eastAsia="Calibri" w:cs="Arial"/>
          <w:szCs w:val="20"/>
          <w:lang w:val="en-GB"/>
        </w:rPr>
        <w:t>segment currently relies on Citco Funds Services (Luxembourg)</w:t>
      </w:r>
      <w:r w:rsidRPr="009C48DA" w:rsidR="00A27426">
        <w:rPr>
          <w:rFonts w:eastAsia="Calibri" w:cs="Arial"/>
          <w:szCs w:val="20"/>
          <w:lang w:val="en-GB"/>
        </w:rPr>
        <w:t xml:space="preserve"> S.A.</w:t>
      </w:r>
      <w:r w:rsidRPr="009C48DA" w:rsidR="00D8325E">
        <w:rPr>
          <w:szCs w:val="20"/>
          <w:lang w:val="en-GB"/>
        </w:rPr>
        <w:t xml:space="preserve"> </w:t>
      </w:r>
      <w:r w:rsidRPr="009C48DA" w:rsidR="00D8325E">
        <w:rPr>
          <w:rFonts w:eastAsia="Calibri" w:cs="Arial"/>
          <w:szCs w:val="20"/>
          <w:lang w:val="en-GB"/>
        </w:rPr>
        <w:t>(“</w:t>
      </w:r>
      <w:r w:rsidRPr="009C48DA" w:rsidR="00D8325E">
        <w:rPr>
          <w:rFonts w:eastAsia="Calibri" w:cs="Arial"/>
          <w:b/>
          <w:szCs w:val="20"/>
          <w:lang w:val="en-GB"/>
        </w:rPr>
        <w:t>Citco</w:t>
      </w:r>
      <w:r w:rsidRPr="009C48DA" w:rsidR="00D8325E">
        <w:rPr>
          <w:rFonts w:eastAsia="Calibri" w:cs="Arial"/>
          <w:szCs w:val="20"/>
          <w:lang w:val="en-GB"/>
        </w:rPr>
        <w:t>”)</w:t>
      </w:r>
      <w:r w:rsidRPr="009C48DA">
        <w:rPr>
          <w:rFonts w:eastAsia="Calibri" w:cs="Arial"/>
          <w:szCs w:val="20"/>
          <w:lang w:val="en-GB"/>
        </w:rPr>
        <w:t xml:space="preserve">, a global supplier of financial services, acting as administrator for the </w:t>
      </w:r>
      <w:r w:rsidRPr="009C48DA" w:rsidR="008453E7">
        <w:rPr>
          <w:rFonts w:eastAsia="Calibri" w:cs="Arial"/>
          <w:szCs w:val="20"/>
          <w:lang w:val="en-GB"/>
        </w:rPr>
        <w:t>Bridgepoint</w:t>
      </w:r>
      <w:r w:rsidRPr="009C48DA" w:rsidR="008453E7">
        <w:rPr>
          <w:rFonts w:eastAsia="Times New Roman" w:cs="Times New Roman"/>
          <w:color w:val="000000"/>
          <w:szCs w:val="20"/>
          <w:lang w:val="en-GB"/>
        </w:rPr>
        <w:t xml:space="preserve"> </w:t>
      </w:r>
      <w:r w:rsidRPr="009C48DA" w:rsidR="00D43E9F">
        <w:rPr>
          <w:rFonts w:eastAsia="Times New Roman" w:cs="Times New Roman"/>
          <w:color w:val="000000"/>
          <w:szCs w:val="20"/>
          <w:lang w:val="en-GB"/>
        </w:rPr>
        <w:t xml:space="preserve">private </w:t>
      </w:r>
      <w:r w:rsidRPr="009C48DA">
        <w:rPr>
          <w:rFonts w:eastAsia="Times New Roman" w:cs="Times New Roman"/>
          <w:color w:val="000000"/>
          <w:szCs w:val="20"/>
          <w:lang w:val="en-GB"/>
        </w:rPr>
        <w:t>credit funds</w:t>
      </w:r>
      <w:r w:rsidRPr="009C48DA">
        <w:rPr>
          <w:rFonts w:eastAsia="Calibri" w:cs="Arial"/>
          <w:szCs w:val="20"/>
          <w:lang w:val="en-GB"/>
        </w:rPr>
        <w:t xml:space="preserve">. Services provided by Citco and its affiliates in connection with this appointment include loan administration services, administration and accounting services, investor relations services and corporate secretarial services. Issues arising with Citco, such as a commercial disputes, operational failures on Citco’s part such as systematic errors in valuation or erroneous payments to </w:t>
      </w:r>
      <w:bookmarkStart w:name="_9kMH5M6ZWu5997DLWR6qMRB31HEDI" w:id="240"/>
      <w:r w:rsidRPr="009C48DA">
        <w:rPr>
          <w:rFonts w:eastAsia="Calibri" w:cs="Arial"/>
          <w:szCs w:val="20"/>
          <w:lang w:val="en-GB"/>
        </w:rPr>
        <w:t>fund investors</w:t>
      </w:r>
      <w:bookmarkEnd w:id="240"/>
      <w:r w:rsidRPr="009C48DA">
        <w:rPr>
          <w:rFonts w:eastAsia="Calibri" w:cs="Arial"/>
          <w:szCs w:val="20"/>
          <w:lang w:val="en-GB"/>
        </w:rPr>
        <w:t xml:space="preserve">, cyber-security and data protection incidents, governance issues within Citco, or any financial difficulties of Citco, could cause significant disruptions to the </w:t>
      </w:r>
      <w:bookmarkStart w:name="_9kMI5CP7aXv6AA8BKULzmlnx822EibGKM" w:id="241"/>
      <w:r w:rsidRPr="009C48DA">
        <w:rPr>
          <w:rFonts w:eastAsia="Calibri" w:cs="Arial"/>
          <w:szCs w:val="20"/>
          <w:lang w:val="en-GB"/>
        </w:rPr>
        <w:t>Group’s</w:t>
      </w:r>
      <w:bookmarkEnd w:id="241"/>
      <w:r w:rsidRPr="009C48DA">
        <w:rPr>
          <w:rFonts w:eastAsia="Calibri" w:cs="Arial"/>
          <w:szCs w:val="20"/>
          <w:lang w:val="en-GB"/>
        </w:rPr>
        <w:t xml:space="preserve"> and the </w:t>
      </w:r>
      <w:bookmarkStart w:name="_9kMH36K7aXv6AA8BFPLzmlnx822EhdI28" w:id="242"/>
      <w:r w:rsidRPr="009C48DA" w:rsidR="008453E7">
        <w:rPr>
          <w:rFonts w:eastAsia="Calibri" w:cs="Arial"/>
          <w:szCs w:val="20"/>
          <w:lang w:val="en-GB"/>
        </w:rPr>
        <w:t xml:space="preserve">Bridgepoint </w:t>
      </w:r>
      <w:r w:rsidRPr="009C48DA">
        <w:rPr>
          <w:rFonts w:eastAsia="Calibri" w:cs="Arial"/>
          <w:szCs w:val="20"/>
          <w:lang w:val="en-GB"/>
        </w:rPr>
        <w:t>Funds</w:t>
      </w:r>
      <w:bookmarkEnd w:id="242"/>
      <w:r w:rsidRPr="009C48DA">
        <w:rPr>
          <w:rFonts w:eastAsia="Calibri" w:cs="Arial"/>
          <w:szCs w:val="20"/>
          <w:lang w:val="en-GB"/>
        </w:rPr>
        <w:t>’ operations. Furthermore, measures taken to ensure that disruptions caused by the dependency on Citco are mitigated, such as obligations imposed on Citco under its contract with the Group to assist in the transition of its services to another provider in the event of a termination by the Group of Citco’s services, may not be sufficient.</w:t>
      </w:r>
    </w:p>
    <w:p w:rsidRPr="009C48DA" w:rsidR="006D6A27" w:rsidP="00A7038F" w:rsidRDefault="006D6A27" w14:paraId="658326DA" w14:textId="0A053ECC">
      <w:pPr>
        <w:pStyle w:val="BodyText2SglJ"/>
        <w:rPr>
          <w:rFonts w:eastAsia="Calibri" w:cs="Arial"/>
          <w:szCs w:val="20"/>
          <w:lang w:val="en-GB"/>
        </w:rPr>
      </w:pPr>
      <w:bookmarkStart w:name="_9kMHzG6ZWu5997EFPRAA1ny" w:id="243"/>
      <w:r w:rsidRPr="009C48DA">
        <w:rPr>
          <w:rFonts w:eastAsia="Calibri" w:cs="Arial"/>
          <w:szCs w:val="20"/>
          <w:lang w:val="en-GB"/>
        </w:rPr>
        <w:lastRenderedPageBreak/>
        <w:t>I</w:t>
      </w:r>
      <w:bookmarkEnd w:id="243"/>
      <w:r w:rsidRPr="009C48DA">
        <w:rPr>
          <w:rFonts w:eastAsia="Calibri" w:cs="Arial"/>
          <w:szCs w:val="20"/>
          <w:lang w:val="en-GB"/>
        </w:rPr>
        <w:t xml:space="preserve">f the </w:t>
      </w:r>
      <w:bookmarkStart w:name="_9kMI66I7aXv6AA8BKULzmlnx822EibGKM" w:id="244"/>
      <w:r w:rsidRPr="009C48DA">
        <w:rPr>
          <w:rFonts w:eastAsia="Calibri" w:cs="Arial"/>
          <w:szCs w:val="20"/>
          <w:lang w:val="en-GB"/>
        </w:rPr>
        <w:t>Group’s</w:t>
      </w:r>
      <w:bookmarkEnd w:id="244"/>
      <w:r w:rsidRPr="009C48DA">
        <w:rPr>
          <w:rFonts w:eastAsia="Calibri" w:cs="Arial"/>
          <w:szCs w:val="20"/>
          <w:lang w:val="en-GB"/>
        </w:rPr>
        <w:t xml:space="preserve"> or the </w:t>
      </w:r>
      <w:bookmarkStart w:name="_9kMH37L7aXv6AA8BFPLzmlnx822EhdI28" w:id="245"/>
      <w:r w:rsidRPr="009C48DA" w:rsidR="008453E7">
        <w:rPr>
          <w:rFonts w:eastAsia="Calibri" w:cs="Arial"/>
          <w:szCs w:val="20"/>
          <w:lang w:val="en-GB"/>
        </w:rPr>
        <w:t xml:space="preserve">Bridgepoint </w:t>
      </w:r>
      <w:r w:rsidRPr="009C48DA">
        <w:rPr>
          <w:rFonts w:eastAsia="Calibri" w:cs="Arial"/>
          <w:szCs w:val="20"/>
          <w:lang w:val="en-GB"/>
        </w:rPr>
        <w:t>Funds’</w:t>
      </w:r>
      <w:bookmarkEnd w:id="245"/>
      <w:r w:rsidRPr="009C48DA">
        <w:rPr>
          <w:rFonts w:eastAsia="Calibri" w:cs="Arial"/>
          <w:szCs w:val="20"/>
          <w:lang w:val="en-GB"/>
        </w:rPr>
        <w:t xml:space="preserve"> operations were to require the services of an additional </w:t>
      </w:r>
      <w:r w:rsidRPr="009C48DA">
        <w:rPr>
          <w:rFonts w:eastAsia="Times New Roman" w:cs="Times New Roman"/>
          <w:color w:val="231F20"/>
          <w:szCs w:val="20"/>
          <w:lang w:val="en-GB"/>
        </w:rPr>
        <w:t>fund</w:t>
      </w:r>
      <w:r w:rsidRPr="009C48DA">
        <w:rPr>
          <w:rFonts w:eastAsia="Calibri" w:cs="Arial"/>
          <w:szCs w:val="20"/>
          <w:lang w:val="en-GB"/>
        </w:rPr>
        <w:t xml:space="preserve"> administration service provider, this may be an expensive and a time-consuming process. </w:t>
      </w:r>
      <w:bookmarkStart w:name="_9kMH0H6ZWu5997EFPRAA1ny" w:id="246"/>
      <w:r w:rsidRPr="009C48DA">
        <w:rPr>
          <w:rFonts w:eastAsia="Calibri" w:cs="Arial"/>
          <w:szCs w:val="20"/>
          <w:lang w:val="en-GB"/>
        </w:rPr>
        <w:t>Further</w:t>
      </w:r>
      <w:bookmarkEnd w:id="246"/>
      <w:r w:rsidRPr="009C48DA">
        <w:rPr>
          <w:rFonts w:eastAsia="Calibri" w:cs="Arial"/>
          <w:szCs w:val="20"/>
          <w:lang w:val="en-GB"/>
        </w:rPr>
        <w:t xml:space="preserve">, there is a risk that if Citco were not able to continue to provide its services for any reason, the </w:t>
      </w:r>
      <w:r w:rsidRPr="009C48DA" w:rsidR="008453E7">
        <w:rPr>
          <w:rFonts w:eastAsia="Calibri" w:cs="Arial"/>
          <w:szCs w:val="20"/>
          <w:lang w:val="en-GB"/>
        </w:rPr>
        <w:t xml:space="preserve">Bridgepoint </w:t>
      </w:r>
      <w:r w:rsidRPr="009C48DA">
        <w:rPr>
          <w:rFonts w:eastAsia="Calibri" w:cs="Arial"/>
          <w:szCs w:val="20"/>
          <w:lang w:val="en-GB"/>
        </w:rPr>
        <w:t xml:space="preserve">private </w:t>
      </w:r>
      <w:r w:rsidRPr="009C48DA" w:rsidR="00D321CC">
        <w:rPr>
          <w:rFonts w:eastAsia="Calibri" w:cs="Arial"/>
          <w:szCs w:val="20"/>
          <w:lang w:val="en-GB"/>
        </w:rPr>
        <w:t xml:space="preserve">credit </w:t>
      </w:r>
      <w:r w:rsidRPr="009C48DA">
        <w:rPr>
          <w:rFonts w:eastAsia="Calibri" w:cs="Arial"/>
          <w:szCs w:val="20"/>
          <w:lang w:val="en-GB"/>
        </w:rPr>
        <w:t xml:space="preserve">segment would not be able to enter into an agreement with an appropriate service provider in a timely manner or on satisfactory terms and conditions, which could increase </w:t>
      </w:r>
      <w:r w:rsidRPr="009C48DA" w:rsidR="00647FDA">
        <w:rPr>
          <w:rFonts w:eastAsia="Calibri" w:cs="Arial"/>
          <w:szCs w:val="20"/>
          <w:lang w:val="en-GB"/>
        </w:rPr>
        <w:t xml:space="preserve">the </w:t>
      </w:r>
      <w:r w:rsidRPr="009C48DA">
        <w:rPr>
          <w:rFonts w:eastAsia="Calibri" w:cs="Arial"/>
          <w:szCs w:val="20"/>
          <w:lang w:val="en-GB"/>
        </w:rPr>
        <w:t>cost of such services.</w:t>
      </w:r>
    </w:p>
    <w:p w:rsidRPr="009C48DA" w:rsidR="00C42CE1" w:rsidP="00C42CE1" w:rsidRDefault="00C42CE1" w14:paraId="42F42675" w14:textId="77777777">
      <w:pPr>
        <w:pStyle w:val="TitleBI"/>
        <w:rPr>
          <w:szCs w:val="20"/>
          <w:lang w:val="en-GB"/>
        </w:rPr>
      </w:pPr>
      <w:r w:rsidRPr="009C48DA">
        <w:rPr>
          <w:szCs w:val="20"/>
          <w:lang w:val="en-GB"/>
        </w:rPr>
        <w:t>The Group is subject to risks in using third-party service providers.</w:t>
      </w:r>
    </w:p>
    <w:p w:rsidRPr="009C48DA" w:rsidR="00C42CE1" w:rsidP="00C42CE1" w:rsidRDefault="00C42CE1" w14:paraId="2B742D6C" w14:textId="4E6A0BBE">
      <w:pPr>
        <w:pStyle w:val="BodyText2SglJ"/>
        <w:rPr>
          <w:rFonts w:eastAsia="Calibri" w:cs="Arial"/>
          <w:szCs w:val="20"/>
          <w:lang w:val="en-GB"/>
        </w:rPr>
      </w:pPr>
      <w:r w:rsidRPr="009C48DA">
        <w:rPr>
          <w:rFonts w:eastAsia="Calibri" w:cs="Arial"/>
          <w:szCs w:val="20"/>
          <w:lang w:val="en-GB"/>
        </w:rPr>
        <w:t xml:space="preserve">Certain of the </w:t>
      </w:r>
      <w:r w:rsidRPr="009C48DA" w:rsidR="008453E7">
        <w:rPr>
          <w:rFonts w:eastAsia="Calibri" w:cs="Arial"/>
          <w:szCs w:val="20"/>
          <w:lang w:val="en-GB"/>
        </w:rPr>
        <w:t xml:space="preserve">Bridgepoint </w:t>
      </w:r>
      <w:r w:rsidRPr="009C48DA">
        <w:rPr>
          <w:rFonts w:eastAsia="Calibri" w:cs="Arial"/>
          <w:szCs w:val="20"/>
          <w:lang w:val="en-GB"/>
        </w:rPr>
        <w:t xml:space="preserve">Funds and activities of the Group depend on the services of third-party service providers, including those providing banking and foreign exchange, information technology, insurance broking, depository and alternative investment management services. The Group is subject to risks of errors and mistakes made by these third parties, which may be attributed to the Group and subject it or the investors in the </w:t>
      </w:r>
      <w:r w:rsidRPr="009C48DA" w:rsidR="008453E7">
        <w:rPr>
          <w:rFonts w:eastAsia="Calibri" w:cs="Arial"/>
          <w:szCs w:val="20"/>
          <w:lang w:val="en-GB"/>
        </w:rPr>
        <w:t xml:space="preserve">Bridgepoint </w:t>
      </w:r>
      <w:r w:rsidRPr="009C48DA">
        <w:rPr>
          <w:rFonts w:eastAsia="Calibri" w:cs="Arial"/>
          <w:szCs w:val="20"/>
          <w:lang w:val="en-GB"/>
        </w:rPr>
        <w:t xml:space="preserve">Funds to reputational damage, penalties or losses. The Group may be unsuccessful in seeking reimbursement or indemnification from these third-party service providers. </w:t>
      </w:r>
    </w:p>
    <w:p w:rsidRPr="009C48DA" w:rsidR="00C42CE1" w:rsidP="00C42CE1" w:rsidRDefault="00C42CE1" w14:paraId="22FF56B0" w14:textId="35652DFC">
      <w:pPr>
        <w:pStyle w:val="BodyText2SglJ"/>
        <w:rPr>
          <w:rFonts w:eastAsia="Calibri" w:cs="Arial"/>
          <w:szCs w:val="20"/>
          <w:lang w:val="en-GB"/>
        </w:rPr>
      </w:pPr>
      <w:r w:rsidRPr="009C48DA">
        <w:rPr>
          <w:rFonts w:eastAsia="Calibri" w:cs="Arial"/>
          <w:szCs w:val="20"/>
          <w:lang w:val="en-GB"/>
        </w:rPr>
        <w:t xml:space="preserve">The Group engages </w:t>
      </w:r>
      <w:r w:rsidRPr="009C48DA" w:rsidR="00EC76BA">
        <w:rPr>
          <w:rFonts w:eastAsia="Calibri" w:cs="Arial"/>
          <w:szCs w:val="20"/>
          <w:lang w:val="en-GB"/>
        </w:rPr>
        <w:t xml:space="preserve">a </w:t>
      </w:r>
      <w:r w:rsidRPr="009C48DA">
        <w:rPr>
          <w:rFonts w:eastAsia="Calibri" w:cs="Arial"/>
          <w:szCs w:val="20"/>
          <w:lang w:val="en-GB"/>
        </w:rPr>
        <w:t>third-party service provider, namely Citco</w:t>
      </w:r>
      <w:r w:rsidRPr="009C48DA" w:rsidR="00EC76BA">
        <w:rPr>
          <w:rFonts w:eastAsia="Calibri" w:cs="Arial"/>
          <w:szCs w:val="20"/>
          <w:lang w:val="en-GB"/>
        </w:rPr>
        <w:t>,</w:t>
      </w:r>
      <w:r w:rsidRPr="009C48DA">
        <w:rPr>
          <w:rFonts w:eastAsia="Calibri" w:cs="Arial"/>
          <w:szCs w:val="20"/>
          <w:lang w:val="en-GB"/>
        </w:rPr>
        <w:t xml:space="preserve"> to oversee the admini</w:t>
      </w:r>
      <w:r w:rsidRPr="009C48DA" w:rsidR="00647FDA">
        <w:rPr>
          <w:rFonts w:eastAsia="Calibri" w:cs="Arial"/>
          <w:szCs w:val="20"/>
          <w:lang w:val="en-GB"/>
        </w:rPr>
        <w:t xml:space="preserve">stration of the </w:t>
      </w:r>
      <w:r w:rsidRPr="009C48DA" w:rsidR="008453E7">
        <w:rPr>
          <w:rFonts w:eastAsia="Calibri" w:cs="Arial"/>
          <w:szCs w:val="20"/>
          <w:lang w:val="en-GB"/>
        </w:rPr>
        <w:t xml:space="preserve">Bridgepoint </w:t>
      </w:r>
      <w:r w:rsidRPr="009C48DA">
        <w:rPr>
          <w:rFonts w:eastAsia="Calibri" w:cs="Arial"/>
          <w:szCs w:val="20"/>
          <w:lang w:val="en-GB"/>
        </w:rPr>
        <w:t xml:space="preserve">private </w:t>
      </w:r>
      <w:r w:rsidRPr="009C48DA" w:rsidR="00D321CC">
        <w:rPr>
          <w:rFonts w:eastAsia="Calibri" w:cs="Arial"/>
          <w:szCs w:val="20"/>
          <w:lang w:val="en-GB"/>
        </w:rPr>
        <w:t xml:space="preserve">credit </w:t>
      </w:r>
      <w:r w:rsidRPr="009C48DA" w:rsidR="00D43E9F">
        <w:rPr>
          <w:rFonts w:eastAsia="Calibri" w:cs="Arial"/>
          <w:szCs w:val="20"/>
          <w:lang w:val="en-GB"/>
        </w:rPr>
        <w:t>funds</w:t>
      </w:r>
      <w:r w:rsidRPr="009C48DA">
        <w:rPr>
          <w:rFonts w:eastAsia="Calibri" w:cs="Arial"/>
          <w:szCs w:val="20"/>
          <w:lang w:val="en-GB"/>
        </w:rPr>
        <w:t xml:space="preserve">. The employees of </w:t>
      </w:r>
      <w:r w:rsidRPr="009C48DA" w:rsidR="00EC76BA">
        <w:rPr>
          <w:rFonts w:eastAsia="Calibri" w:cs="Arial"/>
          <w:szCs w:val="20"/>
          <w:lang w:val="en-GB"/>
        </w:rPr>
        <w:t>Citco</w:t>
      </w:r>
      <w:r w:rsidRPr="009C48DA">
        <w:rPr>
          <w:rFonts w:eastAsia="Calibri" w:cs="Arial"/>
          <w:szCs w:val="20"/>
          <w:lang w:val="en-GB"/>
        </w:rPr>
        <w:t xml:space="preserve"> also have access to, and routinely process, personal information of fund investors, and the Group is also dependent on </w:t>
      </w:r>
      <w:r w:rsidRPr="009C48DA" w:rsidR="00EC76BA">
        <w:rPr>
          <w:rFonts w:eastAsia="Calibri" w:cs="Arial"/>
          <w:szCs w:val="20"/>
          <w:lang w:val="en-GB"/>
        </w:rPr>
        <w:t xml:space="preserve">Citco and its </w:t>
      </w:r>
      <w:r w:rsidRPr="009C48DA">
        <w:rPr>
          <w:rFonts w:eastAsia="Calibri" w:cs="Arial"/>
          <w:szCs w:val="20"/>
          <w:lang w:val="en-GB"/>
        </w:rPr>
        <w:t>systems to protect such data. Detecting or deterring misconduct by third-party service providers is not always possible. If one of the employees of any of its third-party service providers were to engage in misconduct or were to be accused of such misconduct, the Group’s reputation and business could be materially adversely affected.</w:t>
      </w:r>
    </w:p>
    <w:p w:rsidRPr="009C48DA" w:rsidR="00C42CE1" w:rsidP="00C42CE1" w:rsidRDefault="00C42CE1" w14:paraId="542BA231" w14:textId="65A3EDBD">
      <w:pPr>
        <w:pStyle w:val="BodyText2SglJ"/>
        <w:rPr>
          <w:rFonts w:eastAsia="Calibri" w:cs="Arial"/>
          <w:szCs w:val="20"/>
          <w:lang w:val="en-GB"/>
        </w:rPr>
      </w:pPr>
      <w:r w:rsidRPr="009C48DA">
        <w:rPr>
          <w:rFonts w:eastAsia="Calibri" w:cs="Arial"/>
          <w:szCs w:val="20"/>
          <w:lang w:val="en-GB"/>
        </w:rPr>
        <w:t>The risk of defaults of third parties may arise from events or circumstances that are difficult to detect, foresee or evaluate. In addition, concerns about, or a default by, one large market participant could lead to significant liquidity problems for other market participants, which may in turn expose the Group to significant losses. The Group may not accurately anticipate the impact of market stress or counterparty financial condition, and as a result, it may not have taken sufficient action to reduce these risks effectively, which, if left unmitigated, could have a material adverse effect on the Group’s business, revenue, net income and cash flows.</w:t>
      </w:r>
    </w:p>
    <w:p w:rsidRPr="009C48DA" w:rsidR="006D6A27" w:rsidP="00A7038F" w:rsidRDefault="006D6A27" w14:paraId="737671E7" w14:textId="124459B3">
      <w:pPr>
        <w:pStyle w:val="TitleBI"/>
        <w:rPr>
          <w:szCs w:val="20"/>
          <w:lang w:val="en-GB"/>
        </w:rPr>
      </w:pPr>
      <w:r w:rsidRPr="009C48DA">
        <w:rPr>
          <w:szCs w:val="20"/>
          <w:lang w:val="en-GB"/>
        </w:rPr>
        <w:t xml:space="preserve">Employee misconduct could harm the Group by impairing its ability to attract and retain clients and subjecting it to significant legal liability and reputational harm. Fraud and other deceptive practices or other misconduct at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Funds’ portfolio companies could similarly subject the Group to liability and reputational damage and also harm its reputation and performance.</w:t>
      </w:r>
    </w:p>
    <w:p w:rsidRPr="009C48DA" w:rsidR="006D6A27" w:rsidP="00A7038F" w:rsidRDefault="006D6A27" w14:paraId="21FC9CA9" w14:textId="16B7688B">
      <w:pPr>
        <w:pStyle w:val="BodyText2SglJ"/>
        <w:rPr>
          <w:rFonts w:eastAsia="Calibri" w:cs="Arial"/>
          <w:szCs w:val="20"/>
          <w:lang w:val="en-GB"/>
        </w:rPr>
      </w:pPr>
      <w:r w:rsidRPr="009C48DA">
        <w:rPr>
          <w:rFonts w:eastAsia="Calibri" w:cs="Arial"/>
          <w:szCs w:val="20"/>
          <w:lang w:val="en-GB"/>
        </w:rPr>
        <w:t xml:space="preserve">The Group’s employees could engage in misconduct that adversely affects its business. The Group’s ability to attract and retain investors and to pursue investment opportunities for the </w:t>
      </w:r>
      <w:r w:rsidRPr="009C48DA" w:rsidR="008453E7">
        <w:rPr>
          <w:rFonts w:eastAsia="Calibri" w:cs="Arial"/>
          <w:szCs w:val="20"/>
          <w:lang w:val="en-GB"/>
        </w:rPr>
        <w:t xml:space="preserve">Bridgepoint </w:t>
      </w:r>
      <w:r w:rsidRPr="009C48DA">
        <w:rPr>
          <w:rFonts w:eastAsia="Calibri" w:cs="Arial"/>
          <w:szCs w:val="20"/>
          <w:lang w:val="en-GB"/>
        </w:rPr>
        <w:t xml:space="preserve">Funds depends heavily upon the reputation of the Group’s personnel, especially its senior </w:t>
      </w:r>
      <w:r w:rsidRPr="009C48DA">
        <w:rPr>
          <w:rFonts w:eastAsia="Times New Roman" w:cs="Times New Roman"/>
          <w:color w:val="231F20"/>
          <w:szCs w:val="20"/>
          <w:lang w:val="en-GB"/>
        </w:rPr>
        <w:t>personnel</w:t>
      </w:r>
      <w:r w:rsidRPr="009C48DA">
        <w:rPr>
          <w:rFonts w:eastAsia="Calibri" w:cs="Arial"/>
          <w:szCs w:val="20"/>
          <w:lang w:val="en-GB"/>
        </w:rPr>
        <w:t xml:space="preserve">. There is a risk that the measures taken by the Group to detect, deter and prevent employee misconduct, including implementing policies and organising regular training of its employees, are insufficient. The violation of any obligations and standards or criminal actions by any of the </w:t>
      </w:r>
      <w:bookmarkStart w:name="_9kMI17O7aXv6AA8BKULzmlnx822EibGKM" w:id="247"/>
      <w:r w:rsidRPr="009C48DA">
        <w:rPr>
          <w:rFonts w:eastAsia="Calibri" w:cs="Arial"/>
          <w:szCs w:val="20"/>
          <w:lang w:val="en-GB"/>
        </w:rPr>
        <w:t>Group’s</w:t>
      </w:r>
      <w:bookmarkEnd w:id="247"/>
      <w:r w:rsidRPr="009C48DA">
        <w:rPr>
          <w:rFonts w:eastAsia="Calibri" w:cs="Arial"/>
          <w:szCs w:val="20"/>
          <w:lang w:val="en-GB"/>
        </w:rPr>
        <w:t xml:space="preserve"> employees could subject it to significant legal liability, adversely affect </w:t>
      </w:r>
      <w:bookmarkStart w:name="_9kMKAO6ZWu59979GRKylkmw711D" w:id="248"/>
      <w:r w:rsidRPr="009C48DA">
        <w:rPr>
          <w:rFonts w:eastAsia="Calibri" w:cs="Arial"/>
          <w:szCs w:val="20"/>
          <w:lang w:val="en-GB"/>
        </w:rPr>
        <w:t>the Group’s</w:t>
      </w:r>
      <w:bookmarkEnd w:id="248"/>
      <w:r w:rsidRPr="009C48DA">
        <w:rPr>
          <w:rFonts w:eastAsia="Calibri" w:cs="Arial"/>
          <w:szCs w:val="20"/>
          <w:lang w:val="en-GB"/>
        </w:rPr>
        <w:t xml:space="preserve"> brand and reputation and impair its ability to attract and retain investors, which accordingly could negatively impact the Group’s business, </w:t>
      </w:r>
      <w:r w:rsidRPr="009C48DA" w:rsidR="00A220CE">
        <w:rPr>
          <w:rFonts w:eastAsia="Calibri" w:cs="Arial"/>
          <w:szCs w:val="20"/>
          <w:lang w:val="en-GB"/>
        </w:rPr>
        <w:t>revenue, net income and cash flows</w:t>
      </w:r>
      <w:r w:rsidRPr="009C48DA">
        <w:rPr>
          <w:rFonts w:eastAsia="Calibri" w:cs="Arial"/>
          <w:szCs w:val="20"/>
          <w:lang w:val="en-GB"/>
        </w:rPr>
        <w:t>.</w:t>
      </w:r>
    </w:p>
    <w:p w:rsidRPr="009C48DA" w:rsidR="006D6A27" w:rsidP="00A7038F" w:rsidRDefault="006D6A27" w14:paraId="7312CF0A" w14:textId="09F1CAB1">
      <w:pPr>
        <w:pStyle w:val="BodyText2SglJ"/>
        <w:rPr>
          <w:rFonts w:eastAsia="Calibri" w:cs="Arial"/>
          <w:szCs w:val="20"/>
          <w:lang w:val="en-GB"/>
        </w:rPr>
      </w:pPr>
      <w:r w:rsidRPr="009C48DA">
        <w:rPr>
          <w:rFonts w:eastAsia="Calibri" w:cs="Arial"/>
          <w:szCs w:val="20"/>
          <w:lang w:val="en-GB"/>
        </w:rPr>
        <w:t>The Group</w:t>
      </w:r>
      <w:r w:rsidRPr="009C48DA" w:rsidDel="00FE397A">
        <w:rPr>
          <w:rFonts w:eastAsia="Calibri" w:cs="Arial"/>
          <w:szCs w:val="20"/>
          <w:lang w:val="en-GB"/>
        </w:rPr>
        <w:t xml:space="preserve"> </w:t>
      </w:r>
      <w:r w:rsidRPr="009C48DA">
        <w:rPr>
          <w:rFonts w:eastAsia="Calibri" w:cs="Arial"/>
          <w:szCs w:val="20"/>
          <w:lang w:val="en-GB"/>
        </w:rPr>
        <w:t>is subject to a number of obligations and standards arising from its investment</w:t>
      </w:r>
      <w:r w:rsidRPr="009C48DA" w:rsidDel="00A20DF1">
        <w:rPr>
          <w:rFonts w:eastAsia="Calibri" w:cs="Arial"/>
          <w:szCs w:val="20"/>
          <w:lang w:val="en-GB"/>
        </w:rPr>
        <w:t xml:space="preserve"> </w:t>
      </w:r>
      <w:r w:rsidRPr="009C48DA">
        <w:rPr>
          <w:rFonts w:eastAsia="Calibri" w:cs="Arial"/>
          <w:szCs w:val="20"/>
          <w:lang w:val="en-GB"/>
        </w:rPr>
        <w:t>management business and its authority over the assets managed by its investment</w:t>
      </w:r>
      <w:r w:rsidRPr="009C48DA" w:rsidDel="00A20DF1">
        <w:rPr>
          <w:rFonts w:eastAsia="Calibri" w:cs="Arial"/>
          <w:szCs w:val="20"/>
          <w:lang w:val="en-GB"/>
        </w:rPr>
        <w:t xml:space="preserve"> </w:t>
      </w:r>
      <w:r w:rsidRPr="009C48DA">
        <w:rPr>
          <w:rFonts w:eastAsia="Calibri" w:cs="Arial"/>
          <w:szCs w:val="20"/>
          <w:lang w:val="en-GB"/>
        </w:rPr>
        <w:t xml:space="preserve">management business, namely the </w:t>
      </w:r>
      <w:r w:rsidRPr="009C48DA" w:rsidR="008453E7">
        <w:rPr>
          <w:rFonts w:eastAsia="Calibri" w:cs="Arial"/>
          <w:szCs w:val="20"/>
          <w:lang w:val="en-GB"/>
        </w:rPr>
        <w:t xml:space="preserve">Bridgepoint </w:t>
      </w:r>
      <w:r w:rsidRPr="009C48DA">
        <w:rPr>
          <w:rFonts w:eastAsia="Calibri" w:cs="Arial"/>
          <w:szCs w:val="20"/>
          <w:lang w:val="en-GB"/>
        </w:rPr>
        <w:t xml:space="preserve">Funds and their portfolio companies. The violation of these obligations and standards by any of the Group’s employees, whether intentionally or unintentionally, could adversely affect the Group and its clients. The Group’s business often requires that it deals with confidential matters of great significance to companies in which it may invest. If the Group’s employees were to improperly use or disclose confidential information, the Group could suffer serious harm to its reputation, financial position and current and future business relationships, as well as face potentially significant litigation. Furthermore, a number of the Group’s employees handle disbursements to investment accounts, </w:t>
      </w:r>
      <w:r w:rsidRPr="009C48DA">
        <w:rPr>
          <w:rFonts w:eastAsia="Times New Roman" w:cs="Times New Roman"/>
          <w:color w:val="231F20"/>
          <w:szCs w:val="20"/>
          <w:lang w:val="en-GB"/>
        </w:rPr>
        <w:t>which</w:t>
      </w:r>
      <w:r w:rsidRPr="009C48DA">
        <w:rPr>
          <w:rFonts w:eastAsia="Calibri" w:cs="Arial"/>
          <w:szCs w:val="20"/>
          <w:lang w:val="en-GB"/>
        </w:rPr>
        <w:t xml:space="preserve"> </w:t>
      </w:r>
      <w:r w:rsidRPr="009C48DA" w:rsidR="00BD2AEF">
        <w:rPr>
          <w:rFonts w:eastAsia="Calibri" w:cs="Arial"/>
          <w:szCs w:val="20"/>
          <w:lang w:val="en-GB"/>
        </w:rPr>
        <w:t xml:space="preserve">impose </w:t>
      </w:r>
      <w:r w:rsidRPr="009C48DA">
        <w:rPr>
          <w:rFonts w:eastAsia="Calibri" w:cs="Arial"/>
          <w:szCs w:val="20"/>
          <w:lang w:val="en-GB"/>
        </w:rPr>
        <w:t xml:space="preserve">special demands on the Group to have necessary routines and restrictions in place. Detecting or deterring misconduct by employees is not always possible, and the extensive precautions that the Group takes to detect and prevent this activity may not be effective in all cases. If one of the Group’s employees were to engage in misconduct or were to be accused of such misconduct, the Group’s reputation could be materially adversely affected. </w:t>
      </w:r>
      <w:r w:rsidRPr="009C48DA" w:rsidR="00D8325E">
        <w:rPr>
          <w:rFonts w:eastAsia="Calibri" w:cs="Arial"/>
          <w:szCs w:val="20"/>
          <w:lang w:val="en-GB"/>
        </w:rPr>
        <w:t>This</w:t>
      </w:r>
      <w:r w:rsidRPr="009C48DA" w:rsidR="008B5DAC">
        <w:rPr>
          <w:rFonts w:eastAsia="Calibri" w:cs="Arial"/>
          <w:szCs w:val="20"/>
          <w:lang w:val="en-GB"/>
        </w:rPr>
        <w:t xml:space="preserve">, </w:t>
      </w:r>
      <w:r w:rsidRPr="009C48DA" w:rsidR="006C558B">
        <w:rPr>
          <w:rFonts w:eastAsia="Calibri" w:cs="Arial"/>
          <w:szCs w:val="20"/>
          <w:lang w:val="en-GB"/>
        </w:rPr>
        <w:t>in turn, could have a material adverse effect on the Group’s business revenue, net income and cash flows.</w:t>
      </w:r>
    </w:p>
    <w:bookmarkEnd w:id="229"/>
    <w:p w:rsidRPr="009C48DA" w:rsidR="006D6A27" w:rsidP="00676CA5" w:rsidRDefault="006D6A27" w14:paraId="19D94470" w14:textId="6E6C8C18">
      <w:pPr>
        <w:pStyle w:val="TitleBI"/>
        <w:rPr>
          <w:szCs w:val="20"/>
          <w:lang w:val="en-GB"/>
        </w:rPr>
      </w:pPr>
      <w:r w:rsidRPr="009C48DA">
        <w:rPr>
          <w:szCs w:val="20"/>
          <w:lang w:val="en-GB"/>
        </w:rPr>
        <w:lastRenderedPageBreak/>
        <w:t xml:space="preserve">The Group and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Funds are subject to risks related to due diligence processes that do not reveal all relevant facts.</w:t>
      </w:r>
    </w:p>
    <w:p w:rsidRPr="009C48DA" w:rsidR="006D6A27" w:rsidP="00676CA5" w:rsidRDefault="006D6A27" w14:paraId="4673F07A" w14:textId="31B6F527">
      <w:pPr>
        <w:pStyle w:val="BodyText2SglJ"/>
        <w:rPr>
          <w:rFonts w:eastAsia="Calibri" w:cs="Arial"/>
          <w:szCs w:val="20"/>
          <w:lang w:val="en-GB"/>
        </w:rPr>
      </w:pPr>
      <w:r w:rsidRPr="009C48DA">
        <w:rPr>
          <w:rFonts w:eastAsia="Calibri" w:cs="Arial"/>
          <w:szCs w:val="20"/>
          <w:lang w:val="en-GB"/>
        </w:rPr>
        <w:t xml:space="preserve">The </w:t>
      </w:r>
      <w:bookmarkStart w:name="_9kMH4L6ZWu5997CDMIz1qpE" w:id="249"/>
      <w:r w:rsidRPr="009C48DA">
        <w:rPr>
          <w:rFonts w:eastAsia="Calibri" w:cs="Arial"/>
          <w:szCs w:val="20"/>
          <w:lang w:val="en-GB"/>
        </w:rPr>
        <w:t xml:space="preserve">Group and the </w:t>
      </w:r>
      <w:r w:rsidRPr="009C48DA" w:rsidR="008453E7">
        <w:rPr>
          <w:rFonts w:eastAsia="Calibri" w:cs="Arial"/>
          <w:szCs w:val="20"/>
          <w:lang w:val="en-GB"/>
        </w:rPr>
        <w:t xml:space="preserve">Bridgepoint </w:t>
      </w:r>
      <w:r w:rsidRPr="009C48DA">
        <w:rPr>
          <w:rFonts w:eastAsia="Calibri" w:cs="Arial"/>
          <w:szCs w:val="20"/>
          <w:lang w:val="en-GB"/>
        </w:rPr>
        <w:t xml:space="preserve">Funds </w:t>
      </w:r>
      <w:bookmarkEnd w:id="249"/>
      <w:r w:rsidRPr="009C48DA">
        <w:rPr>
          <w:rFonts w:eastAsia="Calibri" w:cs="Arial"/>
          <w:szCs w:val="20"/>
          <w:lang w:val="en-GB"/>
        </w:rPr>
        <w:t xml:space="preserve">continuously evaluate and carry out due diligence on a broad </w:t>
      </w:r>
      <w:r w:rsidRPr="009C48DA">
        <w:rPr>
          <w:rFonts w:eastAsia="Times New Roman" w:cs="Times New Roman"/>
          <w:color w:val="231F20"/>
          <w:szCs w:val="20"/>
          <w:lang w:val="en-GB"/>
        </w:rPr>
        <w:t>range</w:t>
      </w:r>
      <w:r w:rsidRPr="009C48DA">
        <w:rPr>
          <w:rFonts w:eastAsia="Calibri" w:cs="Arial"/>
          <w:szCs w:val="20"/>
          <w:lang w:val="en-GB"/>
        </w:rPr>
        <w:t xml:space="preserve"> of investment opportunities, some of which lead to investm</w:t>
      </w:r>
      <w:r w:rsidRPr="009C48DA" w:rsidR="000E655E">
        <w:rPr>
          <w:rFonts w:eastAsia="Calibri" w:cs="Arial"/>
          <w:szCs w:val="20"/>
          <w:lang w:val="en-GB"/>
        </w:rPr>
        <w:t>ent while some do not</w:t>
      </w:r>
      <w:r w:rsidRPr="009C48DA" w:rsidR="00CC31A9">
        <w:rPr>
          <w:rFonts w:eastAsia="Calibri" w:cs="Arial"/>
          <w:szCs w:val="20"/>
          <w:lang w:val="en-GB"/>
        </w:rPr>
        <w:t xml:space="preserve">. </w:t>
      </w:r>
      <w:r w:rsidRPr="009C48DA">
        <w:rPr>
          <w:rFonts w:eastAsia="Calibri" w:cs="Arial"/>
          <w:szCs w:val="20"/>
          <w:lang w:val="en-GB"/>
        </w:rPr>
        <w:t xml:space="preserve">Since </w:t>
      </w:r>
      <w:r w:rsidRPr="009C48DA" w:rsidR="000E655E">
        <w:rPr>
          <w:rFonts w:eastAsia="Calibri" w:cs="Arial"/>
          <w:szCs w:val="20"/>
          <w:lang w:val="en-GB"/>
        </w:rPr>
        <w:t xml:space="preserve">the separation of the Group from </w:t>
      </w:r>
      <w:r w:rsidRPr="009C48DA" w:rsidR="00B97C82">
        <w:rPr>
          <w:rFonts w:eastAsia="Calibri" w:cs="Arial"/>
          <w:szCs w:val="20"/>
          <w:lang w:val="en-GB"/>
        </w:rPr>
        <w:t xml:space="preserve">the </w:t>
      </w:r>
      <w:r w:rsidRPr="009C48DA" w:rsidR="000E655E">
        <w:rPr>
          <w:rFonts w:eastAsia="Calibri" w:cs="Arial"/>
          <w:szCs w:val="20"/>
          <w:lang w:val="en-GB"/>
        </w:rPr>
        <w:t>NatWest</w:t>
      </w:r>
      <w:r w:rsidRPr="009C48DA" w:rsidR="00B97C82">
        <w:rPr>
          <w:rFonts w:eastAsia="Calibri" w:cs="Arial"/>
          <w:szCs w:val="20"/>
          <w:lang w:val="en-GB"/>
        </w:rPr>
        <w:t xml:space="preserve"> Group in 2000</w:t>
      </w:r>
      <w:r w:rsidRPr="009C48DA">
        <w:rPr>
          <w:rFonts w:eastAsia="Calibri" w:cs="Arial"/>
          <w:szCs w:val="20"/>
          <w:lang w:val="en-GB"/>
        </w:rPr>
        <w:t xml:space="preserve">, </w:t>
      </w:r>
      <w:bookmarkStart w:name="_9kMH3CQ7aXv6AA8BFPLzmlnx822EhdI28" w:id="250"/>
      <w:r w:rsidRPr="009C48DA">
        <w:rPr>
          <w:rFonts w:eastAsia="Calibri" w:cs="Arial"/>
          <w:szCs w:val="20"/>
          <w:lang w:val="en-GB"/>
        </w:rPr>
        <w:t xml:space="preserve">the </w:t>
      </w:r>
      <w:r w:rsidRPr="009C48DA" w:rsidR="008453E7">
        <w:rPr>
          <w:rFonts w:eastAsia="Calibri" w:cs="Arial"/>
          <w:szCs w:val="20"/>
          <w:lang w:val="en-GB"/>
        </w:rPr>
        <w:t xml:space="preserve">Bridgepoint </w:t>
      </w:r>
      <w:r w:rsidRPr="009C48DA">
        <w:rPr>
          <w:rFonts w:eastAsia="Calibri" w:cs="Arial"/>
          <w:szCs w:val="20"/>
          <w:lang w:val="en-GB"/>
        </w:rPr>
        <w:t>Funds</w:t>
      </w:r>
      <w:bookmarkEnd w:id="250"/>
      <w:r w:rsidRPr="009C48DA">
        <w:rPr>
          <w:rFonts w:eastAsia="Calibri" w:cs="Arial"/>
          <w:szCs w:val="20"/>
          <w:lang w:val="en-GB"/>
        </w:rPr>
        <w:t xml:space="preserve"> have invested in </w:t>
      </w:r>
      <w:r w:rsidRPr="009C48DA" w:rsidR="000E655E">
        <w:rPr>
          <w:rFonts w:eastAsia="Calibri" w:cs="Arial"/>
          <w:szCs w:val="20"/>
          <w:lang w:val="en-GB"/>
        </w:rPr>
        <w:t>more than 200</w:t>
      </w:r>
      <w:r w:rsidRPr="009C48DA">
        <w:rPr>
          <w:rFonts w:eastAsia="Calibri" w:cs="Arial"/>
          <w:szCs w:val="20"/>
          <w:lang w:val="en-GB"/>
        </w:rPr>
        <w:t xml:space="preserve"> portfolio companies.</w:t>
      </w:r>
      <w:r w:rsidR="009C48DA">
        <w:rPr>
          <w:rFonts w:eastAsia="Calibri" w:cs="Arial"/>
          <w:szCs w:val="20"/>
          <w:lang w:val="en-GB"/>
        </w:rPr>
        <w:t xml:space="preserve"> </w:t>
      </w:r>
      <w:r w:rsidRPr="009C48DA">
        <w:rPr>
          <w:rFonts w:eastAsia="Calibri" w:cs="Arial"/>
          <w:szCs w:val="20"/>
          <w:lang w:val="en-GB"/>
        </w:rPr>
        <w:t xml:space="preserve">The objective of the due diligence process is to identify attractive investment opportunities based on the facts and circumstances surrounding an investment, to identify possible risks associated with that investment and, in the case of private equity investments, to prepare a framework that may be used from the date of an acquisition to drive operational </w:t>
      </w:r>
      <w:r w:rsidRPr="009C48DA" w:rsidR="00BD2AEF">
        <w:rPr>
          <w:rFonts w:eastAsia="Calibri" w:cs="Arial"/>
          <w:szCs w:val="20"/>
          <w:lang w:val="en-GB"/>
        </w:rPr>
        <w:t>improve</w:t>
      </w:r>
      <w:r w:rsidRPr="009C48DA">
        <w:rPr>
          <w:rFonts w:eastAsia="Calibri" w:cs="Arial"/>
          <w:szCs w:val="20"/>
          <w:lang w:val="en-GB"/>
        </w:rPr>
        <w:t xml:space="preserve">ment and value creation. When conducting due diligence, </w:t>
      </w:r>
      <w:bookmarkStart w:name="_9kMLBO6ZWu59979GRKylkmw711D" w:id="251"/>
      <w:r w:rsidRPr="009C48DA">
        <w:rPr>
          <w:rFonts w:eastAsia="Calibri" w:cs="Arial"/>
          <w:szCs w:val="20"/>
          <w:lang w:val="en-GB"/>
        </w:rPr>
        <w:t xml:space="preserve">the Group and the </w:t>
      </w:r>
      <w:r w:rsidRPr="009C48DA" w:rsidR="008453E7">
        <w:rPr>
          <w:rFonts w:eastAsia="Calibri" w:cs="Arial"/>
          <w:szCs w:val="20"/>
          <w:lang w:val="en-GB"/>
        </w:rPr>
        <w:t xml:space="preserve">Bridgepoint </w:t>
      </w:r>
      <w:r w:rsidRPr="009C48DA">
        <w:rPr>
          <w:rFonts w:eastAsia="Calibri" w:cs="Arial"/>
          <w:szCs w:val="20"/>
          <w:lang w:val="en-GB"/>
        </w:rPr>
        <w:t xml:space="preserve">Funds </w:t>
      </w:r>
      <w:bookmarkEnd w:id="251"/>
      <w:r w:rsidRPr="009C48DA">
        <w:rPr>
          <w:rFonts w:eastAsia="Calibri" w:cs="Arial"/>
          <w:szCs w:val="20"/>
          <w:lang w:val="en-GB"/>
        </w:rPr>
        <w:t>may be required to evaluate important and complex issues, including</w:t>
      </w:r>
      <w:r w:rsidRPr="009C48DA" w:rsidR="008B5DAC">
        <w:rPr>
          <w:rFonts w:eastAsia="Calibri" w:cs="Arial"/>
          <w:szCs w:val="20"/>
          <w:lang w:val="en-GB"/>
        </w:rPr>
        <w:t>,</w:t>
      </w:r>
      <w:r w:rsidRPr="009C48DA">
        <w:rPr>
          <w:rFonts w:eastAsia="Calibri" w:cs="Arial"/>
          <w:szCs w:val="20"/>
          <w:lang w:val="en-GB"/>
        </w:rPr>
        <w:t xml:space="preserve"> but not limited to</w:t>
      </w:r>
      <w:r w:rsidRPr="009C48DA" w:rsidR="008B5DAC">
        <w:rPr>
          <w:rFonts w:eastAsia="Calibri" w:cs="Arial"/>
          <w:szCs w:val="20"/>
          <w:lang w:val="en-GB"/>
        </w:rPr>
        <w:t>,</w:t>
      </w:r>
      <w:r w:rsidRPr="009C48DA">
        <w:rPr>
          <w:rFonts w:eastAsia="Calibri" w:cs="Arial"/>
          <w:szCs w:val="20"/>
          <w:lang w:val="en-GB"/>
        </w:rPr>
        <w:t xml:space="preserve"> those related to business, financial, credit, tax, accounting, ESG, legal and regulatory </w:t>
      </w:r>
      <w:r w:rsidRPr="009C48DA" w:rsidR="00BD2AEF">
        <w:rPr>
          <w:rFonts w:eastAsia="Calibri" w:cs="Arial"/>
          <w:szCs w:val="20"/>
          <w:lang w:val="en-GB"/>
        </w:rPr>
        <w:t xml:space="preserve">risks </w:t>
      </w:r>
      <w:r w:rsidRPr="009C48DA">
        <w:rPr>
          <w:rFonts w:eastAsia="Calibri" w:cs="Arial"/>
          <w:szCs w:val="20"/>
          <w:lang w:val="en-GB"/>
        </w:rPr>
        <w:t xml:space="preserve">and macroeconomic trends. Outside consultants, legal advisors, accountants and investment banks may be involved in the due diligence process in varying degrees depending on the type of investment. Nevertheless, when conducting due diligence and making an assessment regarding an investment, the Group and the </w:t>
      </w:r>
      <w:r w:rsidRPr="009C48DA" w:rsidR="008453E7">
        <w:rPr>
          <w:rFonts w:eastAsia="Calibri" w:cs="Arial"/>
          <w:szCs w:val="20"/>
          <w:lang w:val="en-GB"/>
        </w:rPr>
        <w:t xml:space="preserve">Bridgepoint </w:t>
      </w:r>
      <w:r w:rsidRPr="009C48DA">
        <w:rPr>
          <w:rFonts w:eastAsia="Calibri" w:cs="Arial"/>
          <w:szCs w:val="20"/>
          <w:lang w:val="en-GB"/>
        </w:rPr>
        <w:t>Funds rely on the resources available, including information provided by the target of the investment and, in some circumstances, third-party investigations and due diligence reports. Information provided or obtained from third-party sources may be limited and could, in some cases, be inaccurate or misleading. Thus, it cannot be certain that the due diligence investigations carried out with respect to an investment opportunity will reveal or highlight all relevant facts, opportunities or risks, including any ongoing fraud</w:t>
      </w:r>
      <w:r w:rsidRPr="009C48DA" w:rsidR="00BD2AEF">
        <w:rPr>
          <w:rFonts w:eastAsia="Calibri" w:cs="Arial"/>
          <w:szCs w:val="20"/>
          <w:lang w:val="en-GB"/>
        </w:rPr>
        <w:t>,</w:t>
      </w:r>
      <w:r w:rsidRPr="009C48DA">
        <w:rPr>
          <w:rFonts w:eastAsia="Calibri" w:cs="Arial"/>
          <w:szCs w:val="20"/>
          <w:lang w:val="en-GB"/>
        </w:rPr>
        <w:t xml:space="preserve"> that might be necessary or helpful in evaluating such an investment opportunity. Moreover, such due diligence investigations will not necessarily result in the investment being successful. Additionally, conduct occurring at portfolio companies, even activities prior to a </w:t>
      </w:r>
      <w:bookmarkStart w:name="_9kMH48L7aXv6AA8BFPLzmlnx822EhdI28" w:id="252"/>
      <w:r w:rsidRPr="009C48DA" w:rsidR="008453E7">
        <w:rPr>
          <w:rFonts w:eastAsia="Calibri" w:cs="Arial"/>
          <w:szCs w:val="20"/>
          <w:lang w:val="en-GB"/>
        </w:rPr>
        <w:t xml:space="preserve">Bridgepoint </w:t>
      </w:r>
      <w:r w:rsidRPr="009C48DA">
        <w:rPr>
          <w:rFonts w:eastAsia="Calibri" w:cs="Arial"/>
          <w:szCs w:val="20"/>
          <w:lang w:val="en-GB"/>
        </w:rPr>
        <w:t>Fund</w:t>
      </w:r>
      <w:bookmarkEnd w:id="252"/>
      <w:r w:rsidRPr="009C48DA">
        <w:rPr>
          <w:rFonts w:eastAsia="Calibri" w:cs="Arial"/>
          <w:szCs w:val="20"/>
          <w:lang w:val="en-GB"/>
        </w:rPr>
        <w:t xml:space="preserve"> investment, could have a material adverse effect on the </w:t>
      </w:r>
      <w:bookmarkStart w:name="_9kMH49M7aXv6AA8BFPLzmlnx822EhdI28" w:id="253"/>
      <w:r w:rsidRPr="009C48DA" w:rsidR="008453E7">
        <w:rPr>
          <w:rFonts w:eastAsia="Calibri" w:cs="Arial"/>
          <w:szCs w:val="20"/>
          <w:lang w:val="en-GB"/>
        </w:rPr>
        <w:t xml:space="preserve">Bridgepoint </w:t>
      </w:r>
      <w:r w:rsidRPr="009C48DA">
        <w:rPr>
          <w:rFonts w:eastAsia="Calibri" w:cs="Arial"/>
          <w:szCs w:val="20"/>
          <w:lang w:val="en-GB"/>
        </w:rPr>
        <w:t>Fund’s</w:t>
      </w:r>
      <w:bookmarkEnd w:id="253"/>
      <w:r w:rsidRPr="009C48DA">
        <w:rPr>
          <w:rFonts w:eastAsia="Calibri" w:cs="Arial"/>
          <w:szCs w:val="20"/>
          <w:lang w:val="en-GB"/>
        </w:rPr>
        <w:t xml:space="preserve"> performance. Accordingly, there is a risk that the success or future performance of an investment might fall short compared to the financial projections used when evaluating such investment, which may affect the </w:t>
      </w:r>
      <w:bookmarkStart w:name="_9kMH4AN7aXv6AA8BFPLzmlnx822EhdI28" w:id="254"/>
      <w:r w:rsidRPr="009C48DA" w:rsidR="008453E7">
        <w:rPr>
          <w:rFonts w:eastAsia="Calibri" w:cs="Arial"/>
          <w:szCs w:val="20"/>
          <w:lang w:val="en-GB"/>
        </w:rPr>
        <w:t xml:space="preserve">Bridgepoint </w:t>
      </w:r>
      <w:r w:rsidRPr="009C48DA">
        <w:rPr>
          <w:rFonts w:eastAsia="Calibri" w:cs="Arial"/>
          <w:szCs w:val="20"/>
          <w:lang w:val="en-GB"/>
        </w:rPr>
        <w:t>Fund’s</w:t>
      </w:r>
      <w:bookmarkEnd w:id="254"/>
      <w:r w:rsidRPr="009C48DA">
        <w:rPr>
          <w:rFonts w:eastAsia="Calibri" w:cs="Arial"/>
          <w:szCs w:val="20"/>
          <w:lang w:val="en-GB"/>
        </w:rPr>
        <w:t xml:space="preserve"> results. In sum, there is no assurance that due diligence investigations will result in investments being successful or that the actual financial performance of an investment will not fall short of the financial projections used when evaluating that investment. </w:t>
      </w:r>
      <w:bookmarkStart w:name="_9kMHG5YVt4886CIT6gs5Cx" w:id="255"/>
      <w:r w:rsidRPr="009C48DA">
        <w:rPr>
          <w:rFonts w:eastAsia="Calibri" w:cs="Arial"/>
          <w:szCs w:val="20"/>
          <w:lang w:val="en-GB"/>
        </w:rPr>
        <w:t>Failure</w:t>
      </w:r>
      <w:bookmarkEnd w:id="255"/>
      <w:r w:rsidRPr="009C48DA">
        <w:rPr>
          <w:rFonts w:eastAsia="Calibri" w:cs="Arial"/>
          <w:szCs w:val="20"/>
          <w:lang w:val="en-GB"/>
        </w:rPr>
        <w:t xml:space="preserve"> to identify risks associated with investments could have a </w:t>
      </w:r>
      <w:r w:rsidRPr="009C48DA" w:rsidDel="00571B6B">
        <w:rPr>
          <w:rFonts w:eastAsia="Calibri" w:cs="Arial"/>
          <w:szCs w:val="20"/>
          <w:lang w:val="en-GB"/>
        </w:rPr>
        <w:t xml:space="preserve">material adverse effect on the </w:t>
      </w:r>
      <w:r w:rsidRPr="009C48DA">
        <w:rPr>
          <w:rFonts w:eastAsia="Calibri" w:cs="Arial"/>
          <w:szCs w:val="20"/>
          <w:lang w:val="en-GB"/>
        </w:rPr>
        <w:t>Group’s business, revenue</w:t>
      </w:r>
      <w:r w:rsidRPr="009C48DA" w:rsidDel="00571B6B">
        <w:rPr>
          <w:rFonts w:eastAsia="Calibri" w:cs="Arial"/>
          <w:szCs w:val="20"/>
          <w:lang w:val="en-GB"/>
        </w:rPr>
        <w:t>, net income and cash flows</w:t>
      </w:r>
      <w:r w:rsidRPr="009C48DA">
        <w:rPr>
          <w:rFonts w:eastAsia="Calibri" w:cs="Arial"/>
          <w:szCs w:val="20"/>
          <w:lang w:val="en-GB"/>
        </w:rPr>
        <w:t>.</w:t>
      </w:r>
    </w:p>
    <w:p w:rsidRPr="009C48DA" w:rsidR="008451ED" w:rsidP="008451ED" w:rsidRDefault="008451ED" w14:paraId="1774071D" w14:textId="77777777">
      <w:pPr>
        <w:pStyle w:val="TitleBI"/>
        <w:rPr>
          <w:szCs w:val="20"/>
          <w:lang w:val="en-GB"/>
        </w:rPr>
      </w:pPr>
      <w:r w:rsidRPr="009C48DA">
        <w:rPr>
          <w:szCs w:val="20"/>
          <w:lang w:val="en-GB"/>
        </w:rPr>
        <w:t>The Group may not be able to enter into or maintain appropriate insurance agreements.</w:t>
      </w:r>
    </w:p>
    <w:p w:rsidRPr="009C48DA" w:rsidR="008451ED" w:rsidP="008451ED" w:rsidRDefault="008451ED" w14:paraId="59419789" w14:textId="464D50D7">
      <w:pPr>
        <w:pStyle w:val="BodyText2SglJ"/>
        <w:rPr>
          <w:szCs w:val="20"/>
          <w:lang w:val="en-GB"/>
        </w:rPr>
      </w:pPr>
      <w:bookmarkStart w:name="_9kMJ4J6ZWu5997HJeSkFN1onpzA44GkdIMO" w:id="256"/>
      <w:r w:rsidRPr="009C48DA">
        <w:rPr>
          <w:szCs w:val="20"/>
          <w:lang w:val="en-GB"/>
        </w:rPr>
        <w:t xml:space="preserve">The </w:t>
      </w:r>
      <w:bookmarkEnd w:id="256"/>
      <w:r w:rsidRPr="009C48DA">
        <w:rPr>
          <w:szCs w:val="20"/>
          <w:lang w:val="en-GB"/>
        </w:rPr>
        <w:t xml:space="preserve">Group maintains insurance cover against risks normally insured against by companies carrying on a similar business including, among other things, directors’ and officers’ liability insurance, property damage insurance and business interruption insurance. However, the Group may experience claims </w:t>
      </w:r>
      <w:r w:rsidRPr="009C48DA" w:rsidR="00BD2AEF">
        <w:rPr>
          <w:szCs w:val="20"/>
          <w:lang w:val="en-GB"/>
        </w:rPr>
        <w:t xml:space="preserve">that are </w:t>
      </w:r>
      <w:r w:rsidRPr="009C48DA">
        <w:rPr>
          <w:szCs w:val="20"/>
          <w:lang w:val="en-GB"/>
        </w:rPr>
        <w:t xml:space="preserve">in excess of or not covered by the </w:t>
      </w:r>
      <w:bookmarkStart w:name="_9kMI69L7aXv6AA8BKULzmlnx822EibGKM" w:id="257"/>
      <w:r w:rsidRPr="009C48DA">
        <w:rPr>
          <w:szCs w:val="20"/>
          <w:lang w:val="en-GB"/>
        </w:rPr>
        <w:t>Group’s</w:t>
      </w:r>
      <w:bookmarkEnd w:id="257"/>
      <w:r w:rsidRPr="009C48DA">
        <w:rPr>
          <w:szCs w:val="20"/>
          <w:lang w:val="en-GB"/>
        </w:rPr>
        <w:t xml:space="preserve"> current insurance policies. For example, given the size of certain </w:t>
      </w:r>
      <w:bookmarkStart w:name="_9kMH39N7aXv6AA8BFPLzmlnx822EhdI28" w:id="258"/>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Funds</w:t>
      </w:r>
      <w:bookmarkEnd w:id="258"/>
      <w:r w:rsidRPr="009C48DA">
        <w:rPr>
          <w:szCs w:val="20"/>
          <w:lang w:val="en-GB"/>
        </w:rPr>
        <w:t xml:space="preserve"> and their investments, the relevant member of the Group such as the </w:t>
      </w:r>
      <w:bookmarkStart w:name="_9kMHG5YVt4886CLWQ5pPHpqkp1" w:id="259"/>
      <w:r w:rsidRPr="009C48DA">
        <w:rPr>
          <w:szCs w:val="20"/>
          <w:lang w:val="en-GB"/>
        </w:rPr>
        <w:t>Fund Managers</w:t>
      </w:r>
      <w:bookmarkEnd w:id="259"/>
      <w:r w:rsidRPr="009C48DA">
        <w:rPr>
          <w:szCs w:val="20"/>
          <w:lang w:val="en-GB"/>
        </w:rPr>
        <w:t xml:space="preserve"> or advisors to such </w:t>
      </w:r>
      <w:bookmarkStart w:name="_9kMH3AO7aXv6AA8BFPLzmlnx822EhdI28" w:id="260"/>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Funds</w:t>
      </w:r>
      <w:bookmarkEnd w:id="260"/>
      <w:r w:rsidRPr="009C48DA">
        <w:rPr>
          <w:szCs w:val="20"/>
          <w:lang w:val="en-GB"/>
        </w:rPr>
        <w:t xml:space="preserve"> could be subject to material legal or regulatory actions, including from dissatisfied </w:t>
      </w:r>
      <w:bookmarkStart w:name="_9kMH6N6ZWu5997DLWR6qMRB31HEDI" w:id="261"/>
      <w:r w:rsidRPr="009C48DA">
        <w:rPr>
          <w:szCs w:val="20"/>
          <w:lang w:val="en-GB"/>
        </w:rPr>
        <w:t>fund investors</w:t>
      </w:r>
      <w:bookmarkEnd w:id="261"/>
      <w:r w:rsidRPr="009C48DA">
        <w:rPr>
          <w:szCs w:val="20"/>
          <w:lang w:val="en-GB"/>
        </w:rPr>
        <w:t xml:space="preserve">, regulators or other third parties, which may not be covered by the </w:t>
      </w:r>
      <w:bookmarkStart w:name="_9kMI6BN7aXv6AA8BKULzmlnx822EibGKM" w:id="262"/>
      <w:r w:rsidRPr="009C48DA">
        <w:rPr>
          <w:szCs w:val="20"/>
          <w:lang w:val="en-GB"/>
        </w:rPr>
        <w:t>Group’s</w:t>
      </w:r>
      <w:bookmarkEnd w:id="262"/>
      <w:r w:rsidRPr="009C48DA">
        <w:rPr>
          <w:szCs w:val="20"/>
          <w:lang w:val="en-GB"/>
        </w:rPr>
        <w:t xml:space="preserve"> current insurance coverage. </w:t>
      </w:r>
      <w:bookmarkStart w:name="_9kMH1I6ZWu5997EFPRAA1ny" w:id="263"/>
      <w:r w:rsidRPr="009C48DA">
        <w:rPr>
          <w:szCs w:val="20"/>
          <w:lang w:val="en-GB"/>
        </w:rPr>
        <w:t>Further</w:t>
      </w:r>
      <w:bookmarkEnd w:id="263"/>
      <w:r w:rsidRPr="009C48DA">
        <w:rPr>
          <w:szCs w:val="20"/>
          <w:lang w:val="en-GB"/>
        </w:rPr>
        <w:t xml:space="preserve">, damage caused to the Group could, even if covered by the </w:t>
      </w:r>
      <w:bookmarkStart w:name="_9kMI6DP7aXv6AA8BKULzmlnx822EibGKM" w:id="264"/>
      <w:r w:rsidRPr="009C48DA">
        <w:rPr>
          <w:szCs w:val="20"/>
          <w:lang w:val="en-GB"/>
        </w:rPr>
        <w:t>Group’s</w:t>
      </w:r>
      <w:bookmarkEnd w:id="264"/>
      <w:r w:rsidRPr="009C48DA">
        <w:rPr>
          <w:szCs w:val="20"/>
          <w:lang w:val="en-GB"/>
        </w:rPr>
        <w:t xml:space="preserve"> insurance coverage, result in increased insurance premiums. </w:t>
      </w:r>
      <w:bookmarkStart w:name="_9kMJ5K6ZWu5997HJeSkFN1onpzA44GkdIMO" w:id="265"/>
      <w:r w:rsidRPr="009C48DA">
        <w:rPr>
          <w:szCs w:val="20"/>
          <w:lang w:val="en-GB"/>
        </w:rPr>
        <w:t xml:space="preserve">The </w:t>
      </w:r>
      <w:bookmarkEnd w:id="265"/>
      <w:r w:rsidRPr="009C48DA">
        <w:rPr>
          <w:szCs w:val="20"/>
          <w:lang w:val="en-GB"/>
        </w:rPr>
        <w:t xml:space="preserve">Group may not be able to obtain or maintain insurance in the future on acceptable terms, or at all, which could in turn create a need or desire for the Group to build up an internal contingency reserve to cover risks, thus affecting the </w:t>
      </w:r>
      <w:bookmarkStart w:name="_9kMI76H7aXv6AA8BKULzmlnx822EibGKM" w:id="266"/>
      <w:r w:rsidRPr="009C48DA">
        <w:rPr>
          <w:szCs w:val="20"/>
          <w:lang w:val="en-GB"/>
        </w:rPr>
        <w:t>Group’s</w:t>
      </w:r>
      <w:bookmarkEnd w:id="266"/>
      <w:r w:rsidRPr="009C48DA">
        <w:rPr>
          <w:szCs w:val="20"/>
          <w:lang w:val="en-GB"/>
        </w:rPr>
        <w:t xml:space="preserve"> financial position. In addition, the premiums payable for certain types of insurance, such as directors’ and officers’ insurance, has significantly increased more recently, which could increase the Group’s cost of operations. Additionally, if any of the </w:t>
      </w:r>
      <w:bookmarkStart w:name="_9kMI77I7aXv6AA8BKULzmlnx822EibGKM" w:id="267"/>
      <w:r w:rsidRPr="009C48DA">
        <w:rPr>
          <w:szCs w:val="20"/>
          <w:lang w:val="en-GB"/>
        </w:rPr>
        <w:t>Group’s</w:t>
      </w:r>
      <w:bookmarkEnd w:id="267"/>
      <w:r w:rsidRPr="009C48DA">
        <w:rPr>
          <w:szCs w:val="20"/>
          <w:lang w:val="en-GB"/>
        </w:rPr>
        <w:t xml:space="preserve"> insurance providers fail, abruptly cancel the </w:t>
      </w:r>
      <w:bookmarkStart w:name="_9kMI78J7aXv6AA8BKULzmlnx822EibGKM" w:id="268"/>
      <w:r w:rsidRPr="009C48DA">
        <w:rPr>
          <w:szCs w:val="20"/>
          <w:lang w:val="en-GB"/>
        </w:rPr>
        <w:t>Group’s</w:t>
      </w:r>
      <w:bookmarkEnd w:id="268"/>
      <w:r w:rsidRPr="009C48DA">
        <w:rPr>
          <w:szCs w:val="20"/>
          <w:lang w:val="en-GB"/>
        </w:rPr>
        <w:t xml:space="preserve"> coverage or otherwise cannot satisfy the </w:t>
      </w:r>
      <w:bookmarkStart w:name="_9kMI79K7aXv6AA8BKULzmlnx822EibGKM" w:id="269"/>
      <w:r w:rsidRPr="009C48DA">
        <w:rPr>
          <w:szCs w:val="20"/>
          <w:lang w:val="en-GB"/>
        </w:rPr>
        <w:t>Group’s</w:t>
      </w:r>
      <w:bookmarkEnd w:id="269"/>
      <w:r w:rsidRPr="009C48DA">
        <w:rPr>
          <w:szCs w:val="20"/>
          <w:lang w:val="en-GB"/>
        </w:rPr>
        <w:t xml:space="preserve"> insurance requirements, then the </w:t>
      </w:r>
      <w:bookmarkStart w:name="_9kMI7AL7aXv6AA8BKULzmlnx822EibGKM" w:id="270"/>
      <w:r w:rsidRPr="009C48DA">
        <w:rPr>
          <w:szCs w:val="20"/>
          <w:lang w:val="en-GB"/>
        </w:rPr>
        <w:t>Group’s</w:t>
      </w:r>
      <w:bookmarkEnd w:id="270"/>
      <w:r w:rsidRPr="009C48DA">
        <w:rPr>
          <w:szCs w:val="20"/>
          <w:lang w:val="en-GB"/>
        </w:rPr>
        <w:t xml:space="preserve"> overall risk exposure and operational expenses could increase and operations could be interrupted. If any of the foregoing were to materialise, this could have a material adverse effect on the </w:t>
      </w:r>
      <w:bookmarkStart w:name="_9kMI7BM7aXv6AA8BKULzmlnx822EibGKM" w:id="271"/>
      <w:r w:rsidRPr="009C48DA">
        <w:rPr>
          <w:szCs w:val="20"/>
          <w:lang w:val="en-GB"/>
        </w:rPr>
        <w:t>Group’s</w:t>
      </w:r>
      <w:bookmarkEnd w:id="271"/>
      <w:r w:rsidRPr="009C48DA">
        <w:rPr>
          <w:szCs w:val="20"/>
          <w:lang w:val="en-GB"/>
        </w:rPr>
        <w:t xml:space="preserve"> business, revenu</w:t>
      </w:r>
      <w:r w:rsidRPr="009C48DA" w:rsidR="008B5DAC">
        <w:rPr>
          <w:szCs w:val="20"/>
          <w:lang w:val="en-GB"/>
        </w:rPr>
        <w:t>e, net income</w:t>
      </w:r>
      <w:r w:rsidRPr="009C48DA">
        <w:rPr>
          <w:szCs w:val="20"/>
          <w:lang w:val="en-GB"/>
        </w:rPr>
        <w:t xml:space="preserve"> and cash flow</w:t>
      </w:r>
      <w:r w:rsidRPr="009C48DA" w:rsidR="004605F3">
        <w:rPr>
          <w:szCs w:val="20"/>
          <w:lang w:val="en-GB"/>
        </w:rPr>
        <w:t>s</w:t>
      </w:r>
      <w:r w:rsidRPr="009C48DA">
        <w:rPr>
          <w:szCs w:val="20"/>
          <w:lang w:val="en-GB"/>
        </w:rPr>
        <w:t xml:space="preserve">. </w:t>
      </w:r>
    </w:p>
    <w:p w:rsidRPr="009C48DA" w:rsidR="006D6A27" w:rsidP="000C376E" w:rsidRDefault="00011CCA" w14:paraId="68DD5FCB" w14:textId="7538EE01">
      <w:pPr>
        <w:pStyle w:val="TitleBAllCaps"/>
      </w:pPr>
      <w:bookmarkStart w:name="_Ref73467618" w:id="272"/>
      <w:r w:rsidRPr="009C48DA">
        <w:t>Legal, Regulatory and Governance Risks</w:t>
      </w:r>
      <w:bookmarkEnd w:id="272"/>
      <w:r w:rsidRPr="009C48DA" w:rsidR="0088106E">
        <w:t xml:space="preserve"> </w:t>
      </w:r>
    </w:p>
    <w:p w:rsidRPr="009C48DA" w:rsidR="006D6A27" w:rsidP="00676CA5" w:rsidRDefault="006D6A27" w14:paraId="0FB0E908" w14:textId="25BA2E2C">
      <w:pPr>
        <w:pStyle w:val="TitleBI"/>
        <w:rPr>
          <w:szCs w:val="20"/>
          <w:lang w:val="en-GB"/>
        </w:rPr>
      </w:pPr>
      <w:bookmarkStart w:name="_9kMJ6L6ZWu5997HJeSkFN1onpzA44GkdIMO" w:id="273"/>
      <w:r w:rsidRPr="009C48DA">
        <w:rPr>
          <w:szCs w:val="20"/>
          <w:lang w:val="en-GB"/>
        </w:rPr>
        <w:t xml:space="preserve">The Group and the </w:t>
      </w:r>
      <w:bookmarkStart w:name="_9kMH58K7aXv6AA8BFPLzmlnx822EhdI28" w:id="274"/>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Funds</w:t>
      </w:r>
      <w:bookmarkEnd w:id="274"/>
      <w:r w:rsidRPr="009C48DA">
        <w:rPr>
          <w:szCs w:val="20"/>
          <w:lang w:val="en-GB"/>
        </w:rPr>
        <w:t xml:space="preserve"> are subject to extensive regulation and </w:t>
      </w:r>
      <w:r w:rsidRPr="009C48DA" w:rsidR="00BD2AEF">
        <w:rPr>
          <w:szCs w:val="20"/>
          <w:lang w:val="en-GB"/>
        </w:rPr>
        <w:t xml:space="preserve">are </w:t>
      </w:r>
      <w:r w:rsidRPr="009C48DA">
        <w:rPr>
          <w:szCs w:val="20"/>
          <w:lang w:val="en-GB"/>
        </w:rPr>
        <w:t>affected by changes in laws, regulations and governmental interpretations and practices, as well as risks related to interpretations of provisions for which no clear guidance or precedent may be available.</w:t>
      </w:r>
    </w:p>
    <w:p w:rsidRPr="009C48DA" w:rsidR="006D6A27" w:rsidP="00676CA5" w:rsidRDefault="006D6A27" w14:paraId="10E89C2B" w14:textId="2ECED94C">
      <w:pPr>
        <w:pStyle w:val="BodyText2SglJ"/>
        <w:rPr>
          <w:rFonts w:eastAsia="Calibri" w:cs="Arial"/>
          <w:szCs w:val="20"/>
          <w:lang w:val="en-GB"/>
        </w:rPr>
      </w:pPr>
      <w:bookmarkStart w:name="_9kMJ9O6ZWu5997HJeSkFN1onpzA44GkdIMO" w:id="275"/>
      <w:r w:rsidRPr="009C48DA">
        <w:rPr>
          <w:rFonts w:eastAsia="Calibri" w:cs="Arial"/>
          <w:szCs w:val="20"/>
          <w:lang w:val="en-GB"/>
        </w:rPr>
        <w:t>The Group’s</w:t>
      </w:r>
      <w:bookmarkEnd w:id="275"/>
      <w:r w:rsidRPr="009C48DA">
        <w:rPr>
          <w:rFonts w:eastAsia="Calibri" w:cs="Arial"/>
          <w:szCs w:val="20"/>
          <w:lang w:val="en-GB"/>
        </w:rPr>
        <w:t xml:space="preserve"> business is subject to extensive regulation, and present or future regulations affect numerous aspects of the </w:t>
      </w:r>
      <w:bookmarkStart w:name="_9kMI8EO7aXv6AA8BKULzmlnx822EibGKM" w:id="276"/>
      <w:r w:rsidRPr="009C48DA">
        <w:rPr>
          <w:rFonts w:eastAsia="Calibri" w:cs="Arial"/>
          <w:szCs w:val="20"/>
          <w:lang w:val="en-GB"/>
        </w:rPr>
        <w:t>Group’s</w:t>
      </w:r>
      <w:bookmarkEnd w:id="276"/>
      <w:r w:rsidRPr="009C48DA">
        <w:rPr>
          <w:rFonts w:eastAsia="Calibri" w:cs="Arial"/>
          <w:szCs w:val="20"/>
          <w:lang w:val="en-GB"/>
        </w:rPr>
        <w:t xml:space="preserve"> operations. </w:t>
      </w:r>
      <w:bookmarkStart w:name="_9kMJAP6ZWu5997HJeSkFN1onpzA44GkdIMO" w:id="277"/>
      <w:r w:rsidRPr="009C48DA">
        <w:rPr>
          <w:rFonts w:eastAsia="Calibri" w:cs="Arial"/>
          <w:szCs w:val="20"/>
          <w:lang w:val="en-GB"/>
        </w:rPr>
        <w:t xml:space="preserve">The </w:t>
      </w:r>
      <w:bookmarkEnd w:id="277"/>
      <w:r w:rsidRPr="009C48DA">
        <w:rPr>
          <w:rFonts w:eastAsia="Calibri" w:cs="Arial"/>
          <w:szCs w:val="20"/>
          <w:lang w:val="en-GB"/>
        </w:rPr>
        <w:t xml:space="preserve">Group must comply with, and is affected by, governmental </w:t>
      </w:r>
      <w:r w:rsidRPr="009C48DA">
        <w:rPr>
          <w:rFonts w:eastAsia="Calibri" w:cs="Arial"/>
          <w:szCs w:val="20"/>
          <w:lang w:val="en-GB"/>
        </w:rPr>
        <w:lastRenderedPageBreak/>
        <w:t>and self-regulatory organisations’ laws and regulations at a national, regional and local level. Such governmental and self-regulatory organisations include, among</w:t>
      </w:r>
      <w:bookmarkStart w:name="_9kMH2J6ZWu5997EFPRAA1ny" w:id="278"/>
      <w:r w:rsidRPr="009C48DA">
        <w:rPr>
          <w:rFonts w:eastAsia="Calibri" w:cs="Arial"/>
          <w:szCs w:val="20"/>
          <w:lang w:val="en-GB"/>
        </w:rPr>
        <w:t xml:space="preserve"> others, the FCA in the UK, </w:t>
      </w:r>
      <w:r w:rsidRPr="009C48DA" w:rsidR="00647FDA">
        <w:rPr>
          <w:rFonts w:eastAsia="Calibri" w:cs="Arial"/>
          <w:szCs w:val="20"/>
          <w:lang w:val="en-GB"/>
        </w:rPr>
        <w:t>the SEC in the United States</w:t>
      </w:r>
      <w:r w:rsidRPr="009C48DA" w:rsidR="00C17C2E">
        <w:rPr>
          <w:rFonts w:eastAsia="Calibri" w:cs="Arial"/>
          <w:szCs w:val="20"/>
          <w:lang w:val="en-GB"/>
        </w:rPr>
        <w:t xml:space="preserve"> </w:t>
      </w:r>
      <w:r w:rsidRPr="009C48DA">
        <w:rPr>
          <w:rFonts w:eastAsia="Calibri" w:cs="Arial"/>
          <w:szCs w:val="20"/>
          <w:lang w:val="en-GB"/>
        </w:rPr>
        <w:t xml:space="preserve">and the </w:t>
      </w:r>
      <w:r w:rsidRPr="009C48DA">
        <w:rPr>
          <w:rFonts w:eastAsia="Calibri" w:cs="Arial"/>
          <w:i/>
          <w:szCs w:val="20"/>
          <w:lang w:val="en-GB"/>
        </w:rPr>
        <w:t>Autorité des Marchés Financiers</w:t>
      </w:r>
      <w:r w:rsidRPr="009C48DA">
        <w:rPr>
          <w:rFonts w:eastAsia="Calibri" w:cs="Arial"/>
          <w:szCs w:val="20"/>
          <w:lang w:val="en-GB"/>
        </w:rPr>
        <w:t xml:space="preserve"> in France. Further</w:t>
      </w:r>
      <w:bookmarkEnd w:id="278"/>
      <w:r w:rsidRPr="009C48DA">
        <w:rPr>
          <w:rFonts w:eastAsia="Calibri" w:cs="Arial"/>
          <w:szCs w:val="20"/>
          <w:lang w:val="en-GB"/>
        </w:rPr>
        <w:t xml:space="preserve">, the Group must comply with, and will be affected by, laws and regulations of jurisdictions into which the Group may expand in the future and the jurisdictions of </w:t>
      </w:r>
      <w:bookmarkStart w:name="_9kMI0G6ZWu5997DLWR6qMRB31HEDI" w:id="279"/>
      <w:r w:rsidRPr="009C48DA">
        <w:rPr>
          <w:rFonts w:eastAsia="Calibri" w:cs="Arial"/>
          <w:szCs w:val="20"/>
          <w:lang w:val="en-GB"/>
        </w:rPr>
        <w:t>fund investors</w:t>
      </w:r>
      <w:bookmarkEnd w:id="279"/>
      <w:r w:rsidRPr="009C48DA">
        <w:rPr>
          <w:rFonts w:eastAsia="Calibri" w:cs="Arial"/>
          <w:szCs w:val="20"/>
          <w:lang w:val="en-GB"/>
        </w:rPr>
        <w:t xml:space="preserve"> and jurisdictions where the </w:t>
      </w:r>
      <w:bookmarkStart w:name="_9kMH59L7aXv6AA8BFPLzmlnx822EhdI28" w:id="280"/>
      <w:r w:rsidRPr="009C48DA" w:rsidR="008453E7">
        <w:rPr>
          <w:rFonts w:eastAsia="Calibri" w:cs="Arial"/>
          <w:szCs w:val="20"/>
          <w:lang w:val="en-GB"/>
        </w:rPr>
        <w:t xml:space="preserve">Bridgepoint </w:t>
      </w:r>
      <w:r w:rsidRPr="009C48DA">
        <w:rPr>
          <w:rFonts w:eastAsia="Calibri" w:cs="Arial"/>
          <w:szCs w:val="20"/>
          <w:lang w:val="en-GB"/>
        </w:rPr>
        <w:t>Funds</w:t>
      </w:r>
      <w:bookmarkEnd w:id="280"/>
      <w:r w:rsidRPr="009C48DA">
        <w:rPr>
          <w:rFonts w:eastAsia="Calibri" w:cs="Arial"/>
          <w:szCs w:val="20"/>
          <w:lang w:val="en-GB"/>
        </w:rPr>
        <w:t xml:space="preserve"> make their investments, and would be subject to risks relating to the complexities involved in being subject to such regulations. Many of the regulators that the Group currently interacts with, or may in the future interact with, are empowered to conduct investigations and administrative proceedings that can result in sanction charges, suspensions of persons or other sanctions, including the suspension or cancellation of applicable approvals and memberships. </w:t>
      </w:r>
      <w:bookmarkStart w:name="_9kMH3K6ZWu5997EFPRAA1ny" w:id="281"/>
      <w:r w:rsidRPr="009C48DA">
        <w:rPr>
          <w:rFonts w:eastAsia="Calibri" w:cs="Arial"/>
          <w:szCs w:val="20"/>
          <w:lang w:val="en-GB"/>
        </w:rPr>
        <w:t>Further</w:t>
      </w:r>
      <w:bookmarkEnd w:id="281"/>
      <w:r w:rsidRPr="009C48DA">
        <w:rPr>
          <w:rFonts w:eastAsia="Calibri" w:cs="Arial"/>
          <w:szCs w:val="20"/>
          <w:lang w:val="en-GB"/>
        </w:rPr>
        <w:t>, investigations and other adminis</w:t>
      </w:r>
      <w:r w:rsidRPr="009C48DA" w:rsidR="00CE3171">
        <w:rPr>
          <w:rFonts w:eastAsia="Calibri" w:cs="Arial"/>
          <w:szCs w:val="20"/>
          <w:lang w:val="en-GB"/>
        </w:rPr>
        <w:t>trative proceedings may be time-</w:t>
      </w:r>
      <w:r w:rsidRPr="009C48DA">
        <w:rPr>
          <w:rFonts w:eastAsia="Calibri" w:cs="Arial"/>
          <w:szCs w:val="20"/>
          <w:lang w:val="en-GB"/>
        </w:rPr>
        <w:t xml:space="preserve">consuming for the Group and may divert the attention of management or other key employees away from their ordinary tasks within the </w:t>
      </w:r>
      <w:bookmarkStart w:name="_9kMI9AJ7aXv6AA8BKULzmlnx822EibGKM" w:id="282"/>
      <w:r w:rsidRPr="009C48DA">
        <w:rPr>
          <w:rFonts w:eastAsia="Calibri" w:cs="Arial"/>
          <w:szCs w:val="20"/>
          <w:lang w:val="en-GB"/>
        </w:rPr>
        <w:t>Group’s</w:t>
      </w:r>
      <w:bookmarkEnd w:id="282"/>
      <w:r w:rsidRPr="009C48DA">
        <w:rPr>
          <w:rFonts w:eastAsia="Calibri" w:cs="Arial"/>
          <w:szCs w:val="20"/>
          <w:lang w:val="en-GB"/>
        </w:rPr>
        <w:t xml:space="preserve"> operations.</w:t>
      </w:r>
    </w:p>
    <w:p w:rsidRPr="009C48DA" w:rsidR="006D6A27" w:rsidP="00676CA5" w:rsidRDefault="006D6A27" w14:paraId="46BBE34E" w14:textId="3ABBE609">
      <w:pPr>
        <w:pStyle w:val="BodyText2SglJ"/>
        <w:rPr>
          <w:rFonts w:eastAsia="Calibri" w:cs="Arial"/>
          <w:szCs w:val="20"/>
          <w:lang w:val="en-GB"/>
        </w:rPr>
      </w:pPr>
      <w:r w:rsidRPr="009C48DA">
        <w:rPr>
          <w:rFonts w:eastAsia="Calibri" w:cs="Arial"/>
          <w:szCs w:val="20"/>
          <w:lang w:val="en-GB"/>
        </w:rPr>
        <w:t xml:space="preserve">The ability to comply with applicable laws and regulations depends in some instances on determinations of fact and interpretations of complex provisions for which no clear precedent or authority may be available, or where only limited guidance may be available. In such cases, it may not </w:t>
      </w:r>
      <w:r w:rsidRPr="009C48DA">
        <w:rPr>
          <w:rFonts w:eastAsia="Times New Roman" w:cs="Times New Roman"/>
          <w:color w:val="231F20"/>
          <w:szCs w:val="20"/>
          <w:lang w:val="en-GB"/>
        </w:rPr>
        <w:t>be</w:t>
      </w:r>
      <w:r w:rsidRPr="009C48DA">
        <w:rPr>
          <w:rFonts w:eastAsia="Calibri" w:cs="Arial"/>
          <w:szCs w:val="20"/>
          <w:lang w:val="en-GB"/>
        </w:rPr>
        <w:t xml:space="preserve"> possible for the Group to correctly assess the implication of such laws and regulations. Such laws and regulations may be under review by persons involved in the legislative process, governmental and self-regulatory organisations or other authorities, and may result in revised interpretations of established concepts, statutory changes, revisions to regulations and other modifications and interpretations. This may, for instance, relate to EU laws and regulations where the implementation thereof in the respective </w:t>
      </w:r>
      <w:bookmarkStart w:name="_9kMHG5YVt4886EGWHomfwlixy33" w:id="283"/>
      <w:r w:rsidRPr="009C48DA" w:rsidR="000E1FF1">
        <w:rPr>
          <w:rFonts w:eastAsia="Calibri" w:cs="Arial"/>
          <w:szCs w:val="20"/>
          <w:lang w:val="en-GB"/>
        </w:rPr>
        <w:t>m</w:t>
      </w:r>
      <w:r w:rsidRPr="009C48DA">
        <w:rPr>
          <w:rFonts w:eastAsia="Calibri" w:cs="Arial"/>
          <w:szCs w:val="20"/>
          <w:lang w:val="en-GB"/>
        </w:rPr>
        <w:t xml:space="preserve">ember </w:t>
      </w:r>
      <w:r w:rsidRPr="009C48DA" w:rsidR="000E1FF1">
        <w:rPr>
          <w:rFonts w:eastAsia="Calibri" w:cs="Arial"/>
          <w:szCs w:val="20"/>
          <w:lang w:val="en-GB"/>
        </w:rPr>
        <w:t>s</w:t>
      </w:r>
      <w:r w:rsidRPr="009C48DA">
        <w:rPr>
          <w:rFonts w:eastAsia="Calibri" w:cs="Arial"/>
          <w:szCs w:val="20"/>
          <w:lang w:val="en-GB"/>
        </w:rPr>
        <w:t>tates</w:t>
      </w:r>
      <w:bookmarkEnd w:id="283"/>
      <w:r w:rsidRPr="009C48DA">
        <w:rPr>
          <w:rFonts w:eastAsia="Calibri" w:cs="Arial"/>
          <w:szCs w:val="20"/>
          <w:lang w:val="en-GB"/>
        </w:rPr>
        <w:t xml:space="preserve"> may differ or be subject to significant uncertainty.</w:t>
      </w:r>
    </w:p>
    <w:p w:rsidRPr="009C48DA" w:rsidR="006D6A27" w:rsidP="00676CA5" w:rsidRDefault="006D6A27" w14:paraId="310BFE54" w14:textId="0FD03BFB">
      <w:pPr>
        <w:pStyle w:val="BodyText2SglJ"/>
        <w:rPr>
          <w:rFonts w:eastAsia="Calibri" w:cs="Arial"/>
          <w:szCs w:val="20"/>
          <w:lang w:val="en-GB"/>
        </w:rPr>
      </w:pPr>
      <w:r w:rsidRPr="009C48DA">
        <w:rPr>
          <w:rFonts w:eastAsia="Calibri" w:cs="Arial"/>
          <w:szCs w:val="20"/>
          <w:lang w:val="en-GB"/>
        </w:rPr>
        <w:t xml:space="preserve">If the Group fails to comply with applicable laws or regulations, including regulations that will apply to the Group once the </w:t>
      </w:r>
      <w:bookmarkStart w:name="_9kMH5M6ZWu5997CDMIz1qpE" w:id="284"/>
      <w:r w:rsidRPr="009C48DA">
        <w:rPr>
          <w:rFonts w:eastAsia="Calibri" w:cs="Arial"/>
          <w:szCs w:val="20"/>
          <w:lang w:val="en-GB"/>
        </w:rPr>
        <w:t>Company</w:t>
      </w:r>
      <w:bookmarkEnd w:id="284"/>
      <w:r w:rsidRPr="009C48DA">
        <w:rPr>
          <w:rFonts w:eastAsia="Calibri" w:cs="Arial"/>
          <w:szCs w:val="20"/>
          <w:lang w:val="en-GB"/>
        </w:rPr>
        <w:t xml:space="preserve"> becomes a listed entity, such as the </w:t>
      </w:r>
      <w:bookmarkStart w:name="_9kR3WTr2664ABLx6Dp0oyV8zH2cXtAGx6FBH" w:id="285"/>
      <w:r w:rsidRPr="009C48DA">
        <w:rPr>
          <w:rFonts w:eastAsia="Calibri" w:cs="Arial"/>
          <w:szCs w:val="20"/>
          <w:lang w:val="en-GB"/>
        </w:rPr>
        <w:t xml:space="preserve">UK Market Abuse </w:t>
      </w:r>
      <w:r w:rsidRPr="009C48DA">
        <w:rPr>
          <w:rFonts w:eastAsia="Times New Roman" w:cs="Times New Roman"/>
          <w:color w:val="231F20"/>
          <w:szCs w:val="20"/>
          <w:lang w:val="en-GB"/>
        </w:rPr>
        <w:t>Regulation</w:t>
      </w:r>
      <w:bookmarkEnd w:id="285"/>
      <w:r w:rsidRPr="009C48DA">
        <w:rPr>
          <w:rFonts w:eastAsia="Calibri" w:cs="Arial"/>
          <w:szCs w:val="20"/>
          <w:lang w:val="en-GB"/>
        </w:rPr>
        <w:t xml:space="preserve">, it may entail limitations </w:t>
      </w:r>
      <w:r w:rsidRPr="009C48DA" w:rsidR="00BD2AEF">
        <w:rPr>
          <w:rFonts w:eastAsia="Calibri" w:cs="Arial"/>
          <w:szCs w:val="20"/>
          <w:lang w:val="en-GB"/>
        </w:rPr>
        <w:t>o</w:t>
      </w:r>
      <w:r w:rsidRPr="009C48DA">
        <w:rPr>
          <w:rFonts w:eastAsia="Calibri" w:cs="Arial"/>
          <w:szCs w:val="20"/>
          <w:lang w:val="en-GB"/>
        </w:rPr>
        <w:t>n the operations of the Group, increased costs of operation, potentially unlimited fines or other sanctions. Even if an investigation or proceeding does not result in a sanction or if the sanction imposed against the Group or its persons by a regulator w</w:t>
      </w:r>
      <w:r w:rsidRPr="009C48DA" w:rsidR="00BD2AEF">
        <w:rPr>
          <w:rFonts w:eastAsia="Calibri" w:cs="Arial"/>
          <w:szCs w:val="20"/>
          <w:lang w:val="en-GB"/>
        </w:rPr>
        <w:t xml:space="preserve">as </w:t>
      </w:r>
      <w:r w:rsidRPr="009C48DA">
        <w:rPr>
          <w:rFonts w:eastAsia="Calibri" w:cs="Arial"/>
          <w:szCs w:val="20"/>
          <w:lang w:val="en-GB"/>
        </w:rPr>
        <w:t xml:space="preserve">small in monetary amount, the adverse publicity relating to the investigation, proceeding or imposition of these sanctions could harm the </w:t>
      </w:r>
      <w:bookmarkStart w:name="_9kMH6N6ZWu5997CDMIz1qpE" w:id="286"/>
      <w:r w:rsidRPr="009C48DA">
        <w:rPr>
          <w:rFonts w:eastAsia="Calibri" w:cs="Arial"/>
          <w:szCs w:val="20"/>
          <w:lang w:val="en-GB"/>
        </w:rPr>
        <w:t>Company’s</w:t>
      </w:r>
      <w:bookmarkEnd w:id="286"/>
      <w:r w:rsidRPr="009C48DA">
        <w:rPr>
          <w:rFonts w:eastAsia="Calibri" w:cs="Arial"/>
          <w:szCs w:val="20"/>
          <w:lang w:val="en-GB"/>
        </w:rPr>
        <w:t xml:space="preserve"> brand and reputation and cause the </w:t>
      </w:r>
      <w:bookmarkStart w:name="_9kMH7O6ZWu5997CDMIz1qpE" w:id="287"/>
      <w:r w:rsidRPr="009C48DA">
        <w:rPr>
          <w:rFonts w:eastAsia="Calibri" w:cs="Arial"/>
          <w:szCs w:val="20"/>
          <w:lang w:val="en-GB"/>
        </w:rPr>
        <w:t>Company</w:t>
      </w:r>
      <w:bookmarkEnd w:id="287"/>
      <w:r w:rsidRPr="009C48DA">
        <w:rPr>
          <w:rFonts w:eastAsia="Calibri" w:cs="Arial"/>
          <w:szCs w:val="20"/>
          <w:lang w:val="en-GB"/>
        </w:rPr>
        <w:t xml:space="preserve"> to lose existing </w:t>
      </w:r>
      <w:bookmarkStart w:name="_9kMI1H6ZWu5997DLWR6qMRB31HEDI" w:id="288"/>
      <w:r w:rsidRPr="009C48DA">
        <w:rPr>
          <w:rFonts w:eastAsia="Calibri" w:cs="Arial"/>
          <w:szCs w:val="20"/>
          <w:lang w:val="en-GB"/>
        </w:rPr>
        <w:t>fund investors</w:t>
      </w:r>
      <w:bookmarkEnd w:id="288"/>
      <w:r w:rsidRPr="009C48DA">
        <w:rPr>
          <w:rFonts w:eastAsia="Calibri" w:cs="Arial"/>
          <w:szCs w:val="20"/>
          <w:lang w:val="en-GB"/>
        </w:rPr>
        <w:t xml:space="preserve"> or harm its ability to attract new fund investors.</w:t>
      </w:r>
    </w:p>
    <w:p w:rsidRPr="009C48DA" w:rsidR="006D6A27" w:rsidP="00676CA5" w:rsidRDefault="002549C2" w14:paraId="25705D69" w14:textId="3E5CF92F">
      <w:pPr>
        <w:pStyle w:val="BodyText2SglJ"/>
        <w:rPr>
          <w:rFonts w:eastAsia="Calibri" w:cs="Arial"/>
          <w:szCs w:val="20"/>
          <w:lang w:val="en-GB"/>
        </w:rPr>
      </w:pPr>
      <w:r w:rsidRPr="009C48DA">
        <w:rPr>
          <w:szCs w:val="20"/>
          <w:lang w:val="en-GB"/>
        </w:rPr>
        <w:t>To conduct the Group’s asset</w:t>
      </w:r>
      <w:r w:rsidRPr="009C48DA" w:rsidDel="00A20DF1">
        <w:rPr>
          <w:szCs w:val="20"/>
          <w:lang w:val="en-GB"/>
        </w:rPr>
        <w:t xml:space="preserve"> </w:t>
      </w:r>
      <w:r w:rsidRPr="009C48DA">
        <w:rPr>
          <w:szCs w:val="20"/>
          <w:lang w:val="en-GB"/>
        </w:rPr>
        <w:t xml:space="preserve">management activities, the Group and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 xml:space="preserve">Funds regularly rely on exemptions and exceptions in the United States from various requirements of the U.S. Securities Act, the Exchange Act, the Investment Company Act, the Advisers Act and ERISA. For example,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 xml:space="preserve">Funds that are marketed in the United States or to U.S. investors generally rely on the private placement exemption set forth in Section 4(a)(2) of the Securities Act. In addition,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 xml:space="preserve">Funds that are marketed in the United States or to U.S. investors generally rely on the statutory exceptions from the definition of “investment company” provided by Section 3(c)(1) or Section 3(c)(7) of the Investment Company Act. The Group and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 xml:space="preserve">Funds must comply with the terms of these exemptions and exceptions, which, among other things, impose significant restrictions on the manner in which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 xml:space="preserve">Funds may be marketed in the United States (for example, general solicitation and general advertising may not be used) and on the pool of U.S. investors who may invest in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 xml:space="preserve">Funds (for example, U.S. investors must be “accredited investors”, as defined in Regulation D under the U.S. Securities Act). Moreover, these exemptions and exceptions are complex and may, in certain circumstances, depend on compliance by third parties that the Group does not control. If for any reason these exemptions and exceptions cease to be available to the Group, the Group and the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 xml:space="preserve">Funds could become subject to regulatory action or third-party claims and the </w:t>
      </w:r>
      <w:bookmarkStart w:name="_9kMJ12K7aXv6AA8BKULzmlnx822EibGKM" w:id="289"/>
      <w:r w:rsidRPr="009C48DA">
        <w:rPr>
          <w:szCs w:val="20"/>
          <w:lang w:val="en-GB"/>
        </w:rPr>
        <w:t>Group’s</w:t>
      </w:r>
      <w:bookmarkEnd w:id="289"/>
      <w:r w:rsidRPr="009C48DA">
        <w:rPr>
          <w:szCs w:val="20"/>
          <w:lang w:val="en-GB"/>
        </w:rPr>
        <w:t xml:space="preserve"> business, revenue, net income and cash flows could be materially and adversely affected. </w:t>
      </w:r>
      <w:r w:rsidRPr="009C48DA" w:rsidR="006D6A27">
        <w:rPr>
          <w:rFonts w:eastAsia="Calibri" w:cs="Arial"/>
          <w:szCs w:val="20"/>
          <w:lang w:val="en-GB"/>
        </w:rPr>
        <w:t xml:space="preserve">For example, the “bad actor” disqualification provisions set forth in Rule 506 of Regulation D under the </w:t>
      </w:r>
      <w:r w:rsidRPr="009C48DA" w:rsidR="00BD2AEF">
        <w:rPr>
          <w:rFonts w:eastAsia="Calibri" w:cs="Arial"/>
          <w:szCs w:val="20"/>
          <w:lang w:val="en-GB"/>
        </w:rPr>
        <w:t xml:space="preserve">U.S. </w:t>
      </w:r>
      <w:r w:rsidRPr="009C48DA" w:rsidR="006D6A27">
        <w:rPr>
          <w:rFonts w:eastAsia="Calibri" w:cs="Arial"/>
          <w:szCs w:val="20"/>
          <w:lang w:val="en-GB"/>
        </w:rPr>
        <w:t>Securities Act ban an issuer from offering or selling securities pursuant to the safe harbour rule in Rule 506 if the issuer or any other “covered person” is the subject of a criminal, regulatory or court order or other “disqualifying event” under the rule that has not been waived. The definition of “covered person” includes, among others, the investment manager of the issuer (where the issuer is a pooled investment fund), any person paid remuneration for soliciting investors in the offering, any directors, general partners, managing members and executive officers of the issuer, such solicitor or such investment manager, affiliates who are also issuing securities in the same offering, beneficial owners of 2</w:t>
      </w:r>
      <w:r w:rsidRPr="009C48DA" w:rsidR="00917735">
        <w:rPr>
          <w:rFonts w:eastAsia="Calibri" w:cs="Arial"/>
          <w:szCs w:val="20"/>
          <w:lang w:val="en-GB"/>
        </w:rPr>
        <w:t xml:space="preserve">0 per cent </w:t>
      </w:r>
      <w:r w:rsidRPr="009C48DA" w:rsidR="006D6A27">
        <w:rPr>
          <w:rFonts w:eastAsia="Calibri" w:cs="Arial"/>
          <w:szCs w:val="20"/>
          <w:lang w:val="en-GB"/>
        </w:rPr>
        <w:t xml:space="preserve">or more of the issuer’s outstanding voting equity securities; and promoters connected with the issuer. Accordingly, the ability of a </w:t>
      </w:r>
      <w:r w:rsidRPr="009C48DA" w:rsidR="008453E7">
        <w:rPr>
          <w:rFonts w:eastAsia="Calibri" w:cs="Arial"/>
          <w:szCs w:val="20"/>
          <w:lang w:val="en-GB"/>
        </w:rPr>
        <w:t xml:space="preserve">Bridgepoint </w:t>
      </w:r>
      <w:r w:rsidRPr="009C48DA" w:rsidR="006D6A27">
        <w:rPr>
          <w:rFonts w:eastAsia="Calibri" w:cs="Arial"/>
          <w:szCs w:val="20"/>
          <w:lang w:val="en-GB"/>
        </w:rPr>
        <w:t xml:space="preserve">Fund to rely on Rule 506 to offer or sell securities would be impaired if </w:t>
      </w:r>
      <w:r w:rsidRPr="009C48DA" w:rsidR="008453E7">
        <w:rPr>
          <w:rFonts w:eastAsia="Calibri" w:cs="Arial"/>
          <w:szCs w:val="20"/>
          <w:lang w:val="en-GB"/>
        </w:rPr>
        <w:t xml:space="preserve">Bridgepoint </w:t>
      </w:r>
      <w:r w:rsidRPr="009C48DA" w:rsidR="006D6A27">
        <w:rPr>
          <w:rFonts w:eastAsia="Calibri" w:cs="Arial"/>
          <w:szCs w:val="20"/>
          <w:lang w:val="en-GB"/>
        </w:rPr>
        <w:t xml:space="preserve">or any “covered person” is the subject of a disqualifying event under the rule and is unable to obtain a waiver. This could adversely affect the relevant </w:t>
      </w:r>
      <w:r w:rsidRPr="009C48DA" w:rsidR="008453E7">
        <w:rPr>
          <w:rFonts w:eastAsia="Calibri" w:cs="Arial"/>
          <w:szCs w:val="20"/>
          <w:lang w:val="en-GB"/>
        </w:rPr>
        <w:t xml:space="preserve">Bridgepoint </w:t>
      </w:r>
      <w:r w:rsidRPr="009C48DA" w:rsidR="006D6A27">
        <w:rPr>
          <w:rFonts w:eastAsia="Calibri" w:cs="Arial"/>
          <w:szCs w:val="20"/>
          <w:lang w:val="en-GB"/>
        </w:rPr>
        <w:t xml:space="preserve">Fund’s </w:t>
      </w:r>
      <w:r w:rsidRPr="009C48DA" w:rsidR="006D6A27">
        <w:rPr>
          <w:rFonts w:eastAsia="Calibri" w:cs="Arial"/>
          <w:szCs w:val="20"/>
          <w:lang w:val="en-GB"/>
        </w:rPr>
        <w:lastRenderedPageBreak/>
        <w:t>ability to raise capital from U.S. investors.</w:t>
      </w:r>
      <w:r w:rsidRPr="009C48DA" w:rsidR="00D43E9F">
        <w:rPr>
          <w:rFonts w:eastAsia="Calibri" w:cs="Arial"/>
          <w:szCs w:val="20"/>
          <w:lang w:val="en-GB"/>
        </w:rPr>
        <w:t xml:space="preserve"> See also</w:t>
      </w:r>
      <w:r w:rsidRPr="009C48DA" w:rsidR="00D43E9F">
        <w:rPr>
          <w:rFonts w:eastAsia="Calibri" w:cs="Arial"/>
          <w:i/>
          <w:szCs w:val="20"/>
          <w:lang w:val="en-GB"/>
        </w:rPr>
        <w:t xml:space="preserve"> “—</w:t>
      </w:r>
      <w:r w:rsidRPr="009C48DA" w:rsidR="006D6A27">
        <w:rPr>
          <w:rFonts w:eastAsia="Calibri" w:cs="Arial"/>
          <w:i/>
          <w:szCs w:val="20"/>
          <w:lang w:val="en-GB"/>
        </w:rPr>
        <w:t xml:space="preserve">If anything were to happen that would cause the Company to be deemed an investment company under the Investment Company Act, </w:t>
      </w:r>
      <w:r w:rsidRPr="009C48DA" w:rsidR="00D43E9F">
        <w:rPr>
          <w:rFonts w:eastAsia="Calibri" w:cs="Arial"/>
          <w:i/>
          <w:szCs w:val="20"/>
          <w:lang w:val="en-GB"/>
        </w:rPr>
        <w:t xml:space="preserve">this </w:t>
      </w:r>
      <w:r w:rsidRPr="009C48DA" w:rsidR="006D6A27">
        <w:rPr>
          <w:rFonts w:eastAsia="Calibri" w:cs="Arial"/>
          <w:i/>
          <w:szCs w:val="20"/>
          <w:lang w:val="en-GB"/>
        </w:rPr>
        <w:t>could make it impractical for the Group to continue its business as currently conducted</w:t>
      </w:r>
      <w:r w:rsidRPr="009C48DA" w:rsidR="00D43E9F">
        <w:rPr>
          <w:rFonts w:eastAsia="Calibri" w:cs="Arial"/>
          <w:i/>
          <w:szCs w:val="20"/>
          <w:lang w:val="en-GB"/>
        </w:rPr>
        <w:t xml:space="preserve">, which </w:t>
      </w:r>
      <w:r w:rsidRPr="009C48DA" w:rsidR="006D6A27">
        <w:rPr>
          <w:rFonts w:eastAsia="Calibri" w:cs="Arial"/>
          <w:i/>
          <w:szCs w:val="20"/>
          <w:lang w:val="en-GB"/>
        </w:rPr>
        <w:t>would materially and adversely affect its business</w:t>
      </w:r>
      <w:r w:rsidRPr="009C48DA" w:rsidR="00011CCA">
        <w:rPr>
          <w:rFonts w:eastAsia="Calibri" w:cs="Arial"/>
          <w:i/>
          <w:szCs w:val="20"/>
          <w:lang w:val="en-GB"/>
        </w:rPr>
        <w:t xml:space="preserve">, the value of the Shares and the ability to pay dividends, or require the Company to force certain shareholders </w:t>
      </w:r>
      <w:r w:rsidRPr="009C48DA" w:rsidR="00D57626">
        <w:rPr>
          <w:rFonts w:eastAsia="Calibri" w:cs="Arial"/>
          <w:i/>
          <w:szCs w:val="20"/>
          <w:lang w:val="en-GB"/>
        </w:rPr>
        <w:t>that are U.S. persons</w:t>
      </w:r>
      <w:r w:rsidRPr="009C48DA" w:rsidR="00011CCA">
        <w:rPr>
          <w:rFonts w:eastAsia="Calibri" w:cs="Arial"/>
          <w:i/>
          <w:szCs w:val="20"/>
          <w:lang w:val="en-GB"/>
        </w:rPr>
        <w:t xml:space="preserve"> to sell their shares, which could cause a loss to any such shareholders</w:t>
      </w:r>
      <w:r w:rsidRPr="009C48DA" w:rsidR="00D43E9F">
        <w:rPr>
          <w:rFonts w:eastAsia="Calibri" w:cs="Arial"/>
          <w:i/>
          <w:szCs w:val="20"/>
          <w:lang w:val="en-GB"/>
        </w:rPr>
        <w:t>.”</w:t>
      </w:r>
    </w:p>
    <w:p w:rsidRPr="009C48DA" w:rsidR="006D6A27" w:rsidP="00676CA5" w:rsidRDefault="006D6A27" w14:paraId="62BC4595" w14:textId="7086E866">
      <w:pPr>
        <w:pStyle w:val="BodyText2SglJ"/>
        <w:rPr>
          <w:rFonts w:eastAsia="Calibri" w:cs="Arial"/>
          <w:szCs w:val="20"/>
          <w:lang w:val="en-GB"/>
        </w:rPr>
      </w:pPr>
      <w:r w:rsidRPr="009C48DA">
        <w:rPr>
          <w:rFonts w:eastAsia="Calibri" w:cs="Arial"/>
          <w:szCs w:val="20"/>
          <w:lang w:val="en-GB"/>
        </w:rPr>
        <w:t xml:space="preserve">In addition, the Group relies on certain exemptions from the registration requirement under the Advisers Act. The terms of these exemptions limit its ability to expand its investment advisory business into the United States for so long as the Group remains unregistered under the Advisers Act. Most notably, one of these exemptions restricts the Group from entering into a separately managed account arrangement with any U.S. investor, managing </w:t>
      </w:r>
      <w:r w:rsidRPr="009C48DA" w:rsidR="00CE3171">
        <w:rPr>
          <w:rFonts w:eastAsia="Calibri" w:cs="Arial"/>
          <w:szCs w:val="20"/>
          <w:lang w:val="en-GB"/>
        </w:rPr>
        <w:t>US</w:t>
      </w:r>
      <w:r w:rsidRPr="009C48DA">
        <w:rPr>
          <w:rFonts w:eastAsia="Calibri" w:cs="Arial"/>
          <w:szCs w:val="20"/>
          <w:lang w:val="en-GB"/>
        </w:rPr>
        <w:t xml:space="preserve">$150 million or more in private fund assets at a U.S. place of business or managing any separately managed account client assets (even for a non-U.S. investor) at a U.S. place of business. Should these exemptions cease to be available to the Group in the future, or if a regulator were to disagree with its analysis that it can rely on these exemptions, the Group would likely need to register with the SEC under the Advisers Act, in which case the Group would need to comply with the Advisers Act provisions and rules that apply to registered investment advisers and would become subject to a higher level of oversight by the SEC. This could </w:t>
      </w:r>
      <w:r w:rsidRPr="009C48DA" w:rsidR="00D042F1">
        <w:rPr>
          <w:rFonts w:eastAsia="Calibri" w:cs="Arial"/>
          <w:szCs w:val="20"/>
          <w:lang w:val="en-GB"/>
        </w:rPr>
        <w:t xml:space="preserve">materially </w:t>
      </w:r>
      <w:r w:rsidRPr="009C48DA">
        <w:rPr>
          <w:rFonts w:eastAsia="Calibri" w:cs="Arial"/>
          <w:szCs w:val="20"/>
          <w:lang w:val="en-GB"/>
        </w:rPr>
        <w:t>adversely affect the Group’s business</w:t>
      </w:r>
      <w:r w:rsidRPr="009C48DA" w:rsidR="00D042F1">
        <w:rPr>
          <w:rFonts w:eastAsia="Calibri" w:cs="Arial"/>
          <w:szCs w:val="20"/>
          <w:lang w:val="en-GB"/>
        </w:rPr>
        <w:t>, revenue, net income and cash flows,</w:t>
      </w:r>
      <w:r w:rsidRPr="009C48DA">
        <w:rPr>
          <w:rFonts w:eastAsia="Calibri" w:cs="Arial"/>
          <w:szCs w:val="20"/>
          <w:lang w:val="en-GB"/>
        </w:rPr>
        <w:t xml:space="preserve"> as the compliance costs and other burdens associated with being a registered investment adviser tend to be substantial. It could also be difficult for the Group to comply with these Advisers Act provisions and rules without meaningful changes to its business operations, and there is no guarantee that it could do so successfully. </w:t>
      </w:r>
      <w:r w:rsidRPr="009C48DA" w:rsidR="002549C2">
        <w:rPr>
          <w:rFonts w:eastAsia="Calibri" w:cs="Arial"/>
          <w:szCs w:val="20"/>
          <w:lang w:val="en-GB"/>
        </w:rPr>
        <w:t xml:space="preserve">If the Group were ever deemed to be subject to, and in non-compliance with, the Advisers Act requirements, it could also be subject to various penalties, including administrative or judicial proceedings that might result in censure, fines, civil penalties, disgorgement, cease-and-desist orders, the suspension or revocation of the Group’s registration as an investment adviser (to the extent applicable) or other adverse consequences, any of which could materially adversely affect its reputation, business, revenue, net income and cash flows. </w:t>
      </w:r>
    </w:p>
    <w:p w:rsidRPr="009C48DA" w:rsidR="00170E13" w:rsidP="00676CA5" w:rsidRDefault="00B97C82" w14:paraId="5AE2F4A6" w14:textId="39A4B26A">
      <w:pPr>
        <w:pStyle w:val="BodyText2SglJ"/>
        <w:rPr>
          <w:rFonts w:eastAsia="Calibri" w:cs="Arial"/>
          <w:i/>
          <w:szCs w:val="20"/>
          <w:lang w:val="en-GB"/>
        </w:rPr>
      </w:pPr>
      <w:r w:rsidRPr="009C48DA">
        <w:rPr>
          <w:rFonts w:eastAsia="Calibri" w:cs="Arial"/>
          <w:szCs w:val="20"/>
          <w:lang w:val="en-GB"/>
        </w:rPr>
        <w:t xml:space="preserve">The </w:t>
      </w:r>
      <w:r w:rsidRPr="009C48DA" w:rsidR="008453E7">
        <w:rPr>
          <w:rFonts w:eastAsia="Calibri" w:cs="Arial"/>
          <w:szCs w:val="20"/>
          <w:lang w:val="en-GB"/>
        </w:rPr>
        <w:t xml:space="preserve">Bridgepoint </w:t>
      </w:r>
      <w:r w:rsidRPr="009C48DA">
        <w:rPr>
          <w:rFonts w:eastAsia="Calibri" w:cs="Arial"/>
          <w:szCs w:val="20"/>
          <w:lang w:val="en-GB"/>
        </w:rPr>
        <w:t>Funds may also be seen as leveraged for purposes of Annex II of the Markets in Financial Instruments Directive (2014/65/EU), as implemented in member states of the EEA, and as retained and transposed within the national law of the UK, which restricts the ability of fund managers to reﬁnance portfolio investments and, in some circumstances, exercise</w:t>
      </w:r>
      <w:r w:rsidRPr="009C48DA" w:rsidR="00BD2AEF">
        <w:rPr>
          <w:rFonts w:eastAsia="Calibri" w:cs="Arial"/>
          <w:szCs w:val="20"/>
          <w:lang w:val="en-GB"/>
        </w:rPr>
        <w:t xml:space="preserve"> </w:t>
      </w:r>
      <w:r w:rsidRPr="009C48DA" w:rsidR="008453E7">
        <w:rPr>
          <w:rFonts w:eastAsia="Calibri" w:cs="Arial"/>
          <w:szCs w:val="20"/>
          <w:lang w:val="en-GB"/>
        </w:rPr>
        <w:t xml:space="preserve">Bridgepoint </w:t>
      </w:r>
      <w:r w:rsidRPr="009C48DA">
        <w:rPr>
          <w:rFonts w:eastAsia="Calibri" w:cs="Arial"/>
          <w:szCs w:val="20"/>
          <w:lang w:val="en-GB"/>
        </w:rPr>
        <w:t xml:space="preserve">Fund-level borrowing powers and similar arrangements which may result in the </w:t>
      </w:r>
      <w:r w:rsidRPr="009C48DA" w:rsidR="008453E7">
        <w:rPr>
          <w:rFonts w:eastAsia="Calibri" w:cs="Arial"/>
          <w:szCs w:val="20"/>
          <w:lang w:val="en-GB"/>
        </w:rPr>
        <w:t xml:space="preserve">Bridgepoint </w:t>
      </w:r>
      <w:r w:rsidRPr="009C48DA">
        <w:rPr>
          <w:rFonts w:eastAsia="Calibri" w:cs="Arial"/>
          <w:szCs w:val="20"/>
          <w:lang w:val="en-GB"/>
        </w:rPr>
        <w:t xml:space="preserve">Funds being leveraged. This could adversely affect the </w:t>
      </w:r>
      <w:r w:rsidRPr="009C48DA" w:rsidR="008453E7">
        <w:rPr>
          <w:rFonts w:eastAsia="Calibri" w:cs="Arial"/>
          <w:szCs w:val="20"/>
          <w:lang w:val="en-GB"/>
        </w:rPr>
        <w:t xml:space="preserve">Bridgepoint </w:t>
      </w:r>
      <w:r w:rsidRPr="009C48DA">
        <w:rPr>
          <w:rFonts w:eastAsia="Calibri" w:cs="Arial"/>
          <w:szCs w:val="20"/>
          <w:lang w:val="en-GB"/>
        </w:rPr>
        <w:t xml:space="preserve">Funds by increasing the regulatory compliance burden and costs of operating and managing the </w:t>
      </w:r>
      <w:r w:rsidRPr="009C48DA" w:rsidR="008453E7">
        <w:rPr>
          <w:rFonts w:eastAsia="Calibri" w:cs="Arial"/>
          <w:szCs w:val="20"/>
          <w:lang w:val="en-GB"/>
        </w:rPr>
        <w:t xml:space="preserve">Bridgepoint </w:t>
      </w:r>
      <w:r w:rsidRPr="009C48DA">
        <w:rPr>
          <w:rFonts w:eastAsia="Calibri" w:cs="Arial"/>
          <w:szCs w:val="20"/>
          <w:lang w:val="en-GB"/>
        </w:rPr>
        <w:t xml:space="preserve">Funds, for example through the increased frequency of providing periodic reports to the FCA and relevant EEA competent authorities, which in turn could have a </w:t>
      </w:r>
      <w:r w:rsidRPr="009C48DA" w:rsidDel="00571B6B">
        <w:rPr>
          <w:rFonts w:eastAsia="Calibri" w:cs="Arial"/>
          <w:szCs w:val="20"/>
          <w:lang w:val="en-GB"/>
        </w:rPr>
        <w:t xml:space="preserve">material adverse effect on the </w:t>
      </w:r>
      <w:r w:rsidRPr="009C48DA">
        <w:rPr>
          <w:rFonts w:eastAsia="Calibri" w:cs="Arial"/>
          <w:szCs w:val="20"/>
          <w:lang w:val="en-GB"/>
        </w:rPr>
        <w:t>Group’s business, revenue</w:t>
      </w:r>
      <w:r w:rsidRPr="009C48DA" w:rsidDel="00571B6B">
        <w:rPr>
          <w:rFonts w:eastAsia="Calibri" w:cs="Arial"/>
          <w:szCs w:val="20"/>
          <w:lang w:val="en-GB"/>
        </w:rPr>
        <w:t>, net income and cash flows</w:t>
      </w:r>
      <w:r w:rsidRPr="009C48DA">
        <w:rPr>
          <w:rFonts w:eastAsia="Calibri" w:cs="Arial"/>
          <w:szCs w:val="20"/>
          <w:lang w:val="en-GB"/>
        </w:rPr>
        <w:t>.</w:t>
      </w:r>
      <w:r w:rsidRPr="009C48DA" w:rsidR="00D43E9F">
        <w:rPr>
          <w:rFonts w:eastAsia="Calibri" w:cs="Arial"/>
          <w:szCs w:val="20"/>
          <w:lang w:val="en-GB"/>
        </w:rPr>
        <w:t xml:space="preserve"> See also </w:t>
      </w:r>
      <w:r w:rsidRPr="009C48DA" w:rsidR="00D43E9F">
        <w:rPr>
          <w:rFonts w:eastAsia="Calibri" w:cs="Arial"/>
          <w:i/>
          <w:szCs w:val="20"/>
          <w:lang w:val="en-GB"/>
        </w:rPr>
        <w:t>“—Compliance with the Investment Firms Prudential Regime may involve costs and could result in burdens on the Group’s business, which could have a material adverse effect on the Group’s business, revenue, net income and cash flows.”</w:t>
      </w:r>
    </w:p>
    <w:p w:rsidRPr="009C48DA" w:rsidR="006D6A27" w:rsidP="00676CA5" w:rsidRDefault="006D6A27" w14:paraId="6BC6470F" w14:textId="5012B894">
      <w:pPr>
        <w:pStyle w:val="BodyText2SglJ"/>
        <w:rPr>
          <w:rFonts w:eastAsia="Calibri" w:cs="Arial"/>
          <w:szCs w:val="20"/>
          <w:lang w:val="en-GB"/>
        </w:rPr>
      </w:pPr>
      <w:r w:rsidRPr="009C48DA">
        <w:rPr>
          <w:rFonts w:eastAsia="Calibri" w:cs="Arial"/>
          <w:szCs w:val="20"/>
          <w:lang w:val="en-GB"/>
        </w:rPr>
        <w:t xml:space="preserve">There have also been significant legislative developments affecting the private equity industry and there continues to be discussion among lawmakers and regulators regarding enhancing governmental scrutiny and/or increasing the regulation of the private equity industry in Europe, the United States and elsewhere which may have an adverse effect on the private equity </w:t>
      </w:r>
      <w:r w:rsidRPr="009C48DA">
        <w:rPr>
          <w:rFonts w:eastAsia="Times New Roman" w:cs="Times New Roman"/>
          <w:color w:val="231F20"/>
          <w:szCs w:val="20"/>
          <w:lang w:val="en-GB"/>
        </w:rPr>
        <w:t>industry</w:t>
      </w:r>
      <w:r w:rsidRPr="009C48DA">
        <w:rPr>
          <w:rFonts w:eastAsia="Calibri" w:cs="Arial"/>
          <w:szCs w:val="20"/>
          <w:lang w:val="en-GB"/>
        </w:rPr>
        <w:t xml:space="preserve"> generally, including making it more difficult to raise capital from certain types of investors or otherwise imposing on private equity funds additional and costly regulatory compliance burdens, which in turn could </w:t>
      </w:r>
      <w:r w:rsidRPr="009C48DA" w:rsidR="00D042F1">
        <w:rPr>
          <w:rFonts w:eastAsia="Calibri" w:cs="Arial"/>
          <w:szCs w:val="20"/>
          <w:lang w:val="en-GB"/>
        </w:rPr>
        <w:t xml:space="preserve">have a material </w:t>
      </w:r>
      <w:r w:rsidRPr="009C48DA">
        <w:rPr>
          <w:rFonts w:eastAsia="Calibri" w:cs="Arial"/>
          <w:szCs w:val="20"/>
          <w:lang w:val="en-GB"/>
        </w:rPr>
        <w:t xml:space="preserve">adverse </w:t>
      </w:r>
      <w:r w:rsidRPr="009C48DA" w:rsidR="00D042F1">
        <w:rPr>
          <w:rFonts w:eastAsia="Calibri" w:cs="Arial"/>
          <w:szCs w:val="20"/>
          <w:lang w:val="en-GB"/>
        </w:rPr>
        <w:t>e</w:t>
      </w:r>
      <w:r w:rsidRPr="009C48DA">
        <w:rPr>
          <w:rFonts w:eastAsia="Calibri" w:cs="Arial"/>
          <w:szCs w:val="20"/>
          <w:lang w:val="en-GB"/>
        </w:rPr>
        <w:t xml:space="preserve">ffect </w:t>
      </w:r>
      <w:r w:rsidRPr="009C48DA" w:rsidR="00D042F1">
        <w:rPr>
          <w:rFonts w:eastAsia="Calibri" w:cs="Arial"/>
          <w:szCs w:val="20"/>
          <w:lang w:val="en-GB"/>
        </w:rPr>
        <w:t xml:space="preserve">on </w:t>
      </w:r>
      <w:r w:rsidRPr="009C48DA">
        <w:rPr>
          <w:rFonts w:eastAsia="Calibri" w:cs="Arial"/>
          <w:szCs w:val="20"/>
          <w:lang w:val="en-GB"/>
        </w:rPr>
        <w:t xml:space="preserve">the </w:t>
      </w:r>
      <w:bookmarkStart w:name="_9kMJ13L7aXv6AA8BKULzmlnx822EibGKM" w:id="290"/>
      <w:r w:rsidRPr="009C48DA">
        <w:rPr>
          <w:rFonts w:eastAsia="Calibri" w:cs="Arial"/>
          <w:szCs w:val="20"/>
          <w:lang w:val="en-GB"/>
        </w:rPr>
        <w:t>Group’s</w:t>
      </w:r>
      <w:bookmarkEnd w:id="290"/>
      <w:r w:rsidRPr="009C48DA">
        <w:rPr>
          <w:rFonts w:eastAsia="Calibri" w:cs="Arial"/>
          <w:szCs w:val="20"/>
          <w:lang w:val="en-GB"/>
        </w:rPr>
        <w:t xml:space="preserve"> </w:t>
      </w:r>
      <w:r w:rsidRPr="009C48DA" w:rsidR="00D042F1">
        <w:rPr>
          <w:rFonts w:eastAsia="Calibri" w:cs="Arial"/>
          <w:szCs w:val="20"/>
          <w:lang w:val="en-GB"/>
        </w:rPr>
        <w:t>business, revenue, net income and cash flows</w:t>
      </w:r>
      <w:r w:rsidRPr="009C48DA">
        <w:rPr>
          <w:rFonts w:eastAsia="Calibri" w:cs="Arial"/>
          <w:szCs w:val="20"/>
          <w:lang w:val="en-GB"/>
        </w:rPr>
        <w:t>.</w:t>
      </w:r>
    </w:p>
    <w:p w:rsidRPr="009C48DA" w:rsidR="006D6A27" w:rsidP="00676CA5" w:rsidRDefault="006D6A27" w14:paraId="30A0F3CD" w14:textId="46B6B59A">
      <w:pPr>
        <w:pStyle w:val="BodyText2SglJ"/>
        <w:rPr>
          <w:rFonts w:eastAsia="Calibri" w:cs="Arial"/>
          <w:szCs w:val="20"/>
          <w:lang w:val="en-GB"/>
        </w:rPr>
      </w:pPr>
      <w:r w:rsidRPr="009C48DA">
        <w:rPr>
          <w:rFonts w:eastAsia="Calibri" w:cs="Arial"/>
          <w:szCs w:val="20"/>
          <w:lang w:val="en-GB"/>
        </w:rPr>
        <w:t xml:space="preserve">The political, economic and regulatory environment in which the </w:t>
      </w:r>
      <w:bookmarkStart w:name="_9kMH8P6ZWu5997CDMIz1qpE" w:id="291"/>
      <w:r w:rsidRPr="009C48DA">
        <w:rPr>
          <w:rFonts w:eastAsia="Calibri" w:cs="Arial"/>
          <w:szCs w:val="20"/>
          <w:lang w:val="en-GB"/>
        </w:rPr>
        <w:t>Company</w:t>
      </w:r>
      <w:bookmarkEnd w:id="291"/>
      <w:r w:rsidRPr="009C48DA">
        <w:rPr>
          <w:rFonts w:eastAsia="Calibri" w:cs="Arial"/>
          <w:szCs w:val="20"/>
          <w:lang w:val="en-GB"/>
        </w:rPr>
        <w:t xml:space="preserve"> operates is subject to </w:t>
      </w:r>
      <w:r w:rsidRPr="009C48DA" w:rsidR="00BD2AEF">
        <w:rPr>
          <w:rFonts w:eastAsia="Calibri" w:cs="Arial"/>
          <w:szCs w:val="20"/>
          <w:lang w:val="en-GB"/>
        </w:rPr>
        <w:t xml:space="preserve">potential </w:t>
      </w:r>
      <w:r w:rsidRPr="009C48DA">
        <w:rPr>
          <w:rFonts w:eastAsia="Calibri" w:cs="Arial"/>
          <w:szCs w:val="20"/>
          <w:lang w:val="en-GB"/>
        </w:rPr>
        <w:t xml:space="preserve">unexpected changes. Any changes in economic development or in local, regional or political </w:t>
      </w:r>
      <w:r w:rsidRPr="009C48DA">
        <w:rPr>
          <w:rFonts w:eastAsia="Times New Roman" w:cs="Times New Roman"/>
          <w:color w:val="231F20"/>
          <w:szCs w:val="20"/>
          <w:lang w:val="en-GB"/>
        </w:rPr>
        <w:t>bodies</w:t>
      </w:r>
      <w:r w:rsidRPr="009C48DA">
        <w:rPr>
          <w:rFonts w:eastAsia="Calibri" w:cs="Arial"/>
          <w:szCs w:val="20"/>
          <w:lang w:val="en-GB"/>
        </w:rPr>
        <w:t xml:space="preserve"> as a result of, for instance, elections or changes in government persons, may also result in changes to applicable laws and regulations or to changes in the application of the current laws and regulations. Such changes may restrict or prevent the </w:t>
      </w:r>
      <w:bookmarkStart w:name="_9kMI0G6ZWu5997CDMIz1qpE" w:id="292"/>
      <w:r w:rsidRPr="009C48DA">
        <w:rPr>
          <w:rFonts w:eastAsia="Calibri" w:cs="Arial"/>
          <w:szCs w:val="20"/>
          <w:lang w:val="en-GB"/>
        </w:rPr>
        <w:t>Company’s</w:t>
      </w:r>
      <w:bookmarkEnd w:id="292"/>
      <w:r w:rsidRPr="009C48DA">
        <w:rPr>
          <w:rFonts w:eastAsia="Calibri" w:cs="Arial"/>
          <w:szCs w:val="20"/>
          <w:lang w:val="en-GB"/>
        </w:rPr>
        <w:t xml:space="preserve"> ability to conduct profitable operations or enter into new markets or sectors, which may lead to increased costs of operations for the Group or to poor performance by the </w:t>
      </w:r>
      <w:bookmarkStart w:name="_9kMH5AM7aXv6AA8BFPLzmlnx822EhdI28" w:id="293"/>
      <w:r w:rsidRPr="009C48DA" w:rsidR="008453E7">
        <w:rPr>
          <w:rFonts w:eastAsia="Calibri" w:cs="Arial"/>
          <w:szCs w:val="20"/>
          <w:lang w:val="en-GB"/>
        </w:rPr>
        <w:t xml:space="preserve">Bridgepoint </w:t>
      </w:r>
      <w:r w:rsidRPr="009C48DA">
        <w:rPr>
          <w:rFonts w:eastAsia="Calibri" w:cs="Arial"/>
          <w:szCs w:val="20"/>
          <w:lang w:val="en-GB"/>
        </w:rPr>
        <w:t>Funds</w:t>
      </w:r>
      <w:bookmarkEnd w:id="293"/>
      <w:r w:rsidRPr="009C48DA">
        <w:rPr>
          <w:rFonts w:eastAsia="Calibri" w:cs="Arial"/>
          <w:szCs w:val="20"/>
          <w:lang w:val="en-GB"/>
        </w:rPr>
        <w:t xml:space="preserve"> and the Group respectively.</w:t>
      </w:r>
    </w:p>
    <w:p w:rsidRPr="009C48DA" w:rsidR="006D6A27" w:rsidP="00676CA5" w:rsidRDefault="006D6A27" w14:paraId="29B5C1F0" w14:textId="2B08BCB6">
      <w:pPr>
        <w:pStyle w:val="TitleBI"/>
        <w:rPr>
          <w:szCs w:val="20"/>
          <w:lang w:val="en-GB"/>
        </w:rPr>
      </w:pPr>
      <w:r w:rsidRPr="009C48DA">
        <w:rPr>
          <w:szCs w:val="20"/>
          <w:lang w:val="en-GB"/>
        </w:rPr>
        <w:lastRenderedPageBreak/>
        <w:t xml:space="preserve">The </w:t>
      </w:r>
      <w:bookmarkEnd w:id="273"/>
      <w:r w:rsidRPr="009C48DA">
        <w:rPr>
          <w:szCs w:val="20"/>
          <w:lang w:val="en-GB"/>
        </w:rPr>
        <w:t>Group may not be able to obtain and maintain requisite regulatory approva</w:t>
      </w:r>
      <w:r w:rsidRPr="009C48DA" w:rsidR="00CE3171">
        <w:rPr>
          <w:szCs w:val="20"/>
          <w:lang w:val="en-GB"/>
        </w:rPr>
        <w:t>ls and permits, including licenc</w:t>
      </w:r>
      <w:r w:rsidRPr="009C48DA">
        <w:rPr>
          <w:szCs w:val="20"/>
          <w:lang w:val="en-GB"/>
        </w:rPr>
        <w:t xml:space="preserve">es for the </w:t>
      </w:r>
      <w:bookmarkStart w:name="_9kMI7FQ7aXv6AA8BKULzmlnx822EibGKM" w:id="294"/>
      <w:r w:rsidRPr="009C48DA">
        <w:rPr>
          <w:szCs w:val="20"/>
          <w:lang w:val="en-GB"/>
        </w:rPr>
        <w:t>Group’s</w:t>
      </w:r>
      <w:bookmarkEnd w:id="294"/>
      <w:r w:rsidRPr="009C48DA">
        <w:rPr>
          <w:szCs w:val="20"/>
          <w:lang w:val="en-GB"/>
        </w:rPr>
        <w:t xml:space="preserve"> fund operations.</w:t>
      </w:r>
    </w:p>
    <w:p w:rsidRPr="009C48DA" w:rsidR="00937D58" w:rsidP="00937D58" w:rsidRDefault="00937D58" w14:paraId="3C2CC686" w14:textId="30F2ED3C">
      <w:pPr>
        <w:pStyle w:val="BodyText2SglJ"/>
        <w:rPr>
          <w:szCs w:val="20"/>
          <w:lang w:val="en-GB"/>
        </w:rPr>
      </w:pPr>
      <w:bookmarkStart w:name="_9kMJ7M6ZWu5997HJeSkFN1onpzA44GkdIMO" w:id="295"/>
      <w:bookmarkStart w:name="_9kMJ8N6ZWu5997HJeSkFN1onpzA44GkdIMO" w:id="296"/>
      <w:r w:rsidRPr="009C48DA">
        <w:rPr>
          <w:szCs w:val="20"/>
          <w:lang w:val="en-GB"/>
        </w:rPr>
        <w:t xml:space="preserve">The </w:t>
      </w:r>
      <w:bookmarkEnd w:id="295"/>
      <w:r w:rsidRPr="009C48DA">
        <w:rPr>
          <w:szCs w:val="20"/>
          <w:lang w:val="en-GB"/>
        </w:rPr>
        <w:t xml:space="preserve">Group is required to maintain regulatory approvals and permits such as those described below. There is a risk that the Group will not have the ability to obtain and retain requisite approvals and permits from relevant governmental authorities and other organisations, and to comply with applicable laws and regulations, or be able to do so without incurring undue costs and delays, which may result in a financial loss for the Group. While the Group has not become aware of any non-compliance with its regulatory approvals or permits or any revocation or material breach of such regulatory approvals or permits as of the date of this Registration Document, no assurance can be given that the Group will be able to obtain and retain requisite approvals and permits and that the Group’s regulatory approvals or permits will be compliant with applicable laws and regulations, or will not be breached in the future. </w:t>
      </w:r>
    </w:p>
    <w:p w:rsidRPr="009C48DA" w:rsidR="006D6A27" w:rsidP="00676CA5" w:rsidRDefault="006D6A27" w14:paraId="23EB2ECD" w14:textId="1E2C7AEA">
      <w:pPr>
        <w:pStyle w:val="BodyText2SglJ"/>
        <w:rPr>
          <w:rFonts w:eastAsia="Calibri" w:cs="Arial"/>
          <w:szCs w:val="20"/>
          <w:lang w:val="en-GB"/>
        </w:rPr>
      </w:pPr>
      <w:r w:rsidRPr="009C48DA">
        <w:rPr>
          <w:rFonts w:eastAsia="Calibri" w:cs="Arial"/>
          <w:szCs w:val="20"/>
          <w:lang w:val="en-GB"/>
        </w:rPr>
        <w:t>The Group’s</w:t>
      </w:r>
      <w:bookmarkEnd w:id="296"/>
      <w:r w:rsidRPr="009C48DA">
        <w:rPr>
          <w:rFonts w:eastAsia="Calibri" w:cs="Arial"/>
          <w:szCs w:val="20"/>
          <w:lang w:val="en-GB"/>
        </w:rPr>
        <w:t xml:space="preserve"> fund management operations constitute licensable activities under the </w:t>
      </w:r>
      <w:bookmarkStart w:name="_9kR3WTr2664AEON721seojez17CaOE87H18HKHf" w:id="297"/>
      <w:r w:rsidRPr="009C48DA" w:rsidR="00CE3171">
        <w:rPr>
          <w:rFonts w:eastAsia="Calibri" w:cs="Arial"/>
          <w:szCs w:val="20"/>
          <w:lang w:val="en-GB"/>
        </w:rPr>
        <w:t>European Union</w:t>
      </w:r>
      <w:r w:rsidRPr="009C48DA">
        <w:rPr>
          <w:rFonts w:eastAsia="Calibri" w:cs="Arial"/>
          <w:szCs w:val="20"/>
          <w:lang w:val="en-GB"/>
        </w:rPr>
        <w:t xml:space="preserve">’s </w:t>
      </w:r>
      <w:bookmarkEnd w:id="297"/>
      <w:r w:rsidRPr="009C48DA">
        <w:rPr>
          <w:rFonts w:eastAsia="Calibri" w:cs="Arial"/>
          <w:szCs w:val="20"/>
          <w:lang w:val="en-GB"/>
        </w:rPr>
        <w:t>AIFM Directive,</w:t>
      </w:r>
      <w:r w:rsidRPr="009C48DA" w:rsidR="00CE3171">
        <w:rPr>
          <w:rFonts w:eastAsia="Calibri" w:cs="Arial"/>
          <w:szCs w:val="20"/>
          <w:lang w:val="en-GB"/>
        </w:rPr>
        <w:t xml:space="preserve"> which regulates AIFMs in the European Union</w:t>
      </w:r>
      <w:r w:rsidRPr="009C48DA">
        <w:rPr>
          <w:rFonts w:eastAsia="Calibri" w:cs="Arial"/>
          <w:szCs w:val="20"/>
          <w:lang w:val="en-GB"/>
        </w:rPr>
        <w:t xml:space="preserve"> and which is applied also in the rest of the EEA, as well as regulatory regimes in other markets where the </w:t>
      </w:r>
      <w:bookmarkStart w:name="_9kMH4BO7aXv6AA8BFPLzmlnx822EhdI28" w:id="298"/>
      <w:r w:rsidRPr="009C48DA" w:rsidR="008453E7">
        <w:rPr>
          <w:rFonts w:eastAsia="Calibri" w:cs="Arial"/>
          <w:szCs w:val="20"/>
          <w:lang w:val="en-GB"/>
        </w:rPr>
        <w:t xml:space="preserve">Bridgepoint </w:t>
      </w:r>
      <w:r w:rsidRPr="009C48DA">
        <w:rPr>
          <w:rFonts w:eastAsia="Calibri" w:cs="Arial"/>
          <w:szCs w:val="20"/>
          <w:lang w:val="en-GB"/>
        </w:rPr>
        <w:t>Funds</w:t>
      </w:r>
      <w:bookmarkEnd w:id="298"/>
      <w:r w:rsidRPr="009C48DA">
        <w:rPr>
          <w:rFonts w:eastAsia="Calibri" w:cs="Arial"/>
          <w:szCs w:val="20"/>
          <w:lang w:val="en-GB"/>
        </w:rPr>
        <w:t xml:space="preserve"> operate. Following Brexit, the UK has “on-shored” relevant European legislation. On-shori</w:t>
      </w:r>
      <w:r w:rsidRPr="009C48DA" w:rsidR="00CE3171">
        <w:rPr>
          <w:rFonts w:eastAsia="Calibri" w:cs="Arial"/>
          <w:szCs w:val="20"/>
          <w:lang w:val="en-GB"/>
        </w:rPr>
        <w:t>ng is the process of amending European Union</w:t>
      </w:r>
      <w:r w:rsidRPr="009C48DA">
        <w:rPr>
          <w:rFonts w:eastAsia="Calibri" w:cs="Arial"/>
          <w:szCs w:val="20"/>
          <w:lang w:val="en-GB"/>
        </w:rPr>
        <w:t xml:space="preserve"> legislation and regulatory requirem</w:t>
      </w:r>
      <w:r w:rsidRPr="009C48DA" w:rsidR="00CE3171">
        <w:rPr>
          <w:rFonts w:eastAsia="Calibri" w:cs="Arial"/>
          <w:szCs w:val="20"/>
          <w:lang w:val="en-GB"/>
        </w:rPr>
        <w:t>ents so that they apply in a UK-</w:t>
      </w:r>
      <w:r w:rsidRPr="009C48DA">
        <w:rPr>
          <w:rFonts w:eastAsia="Calibri" w:cs="Arial"/>
          <w:szCs w:val="20"/>
          <w:lang w:val="en-GB"/>
        </w:rPr>
        <w:t xml:space="preserve">only context. The UK has on-shored the AIFM Directive, and therefore similar requirements continue to apply to </w:t>
      </w:r>
      <w:bookmarkStart w:name="_9kR3WTr2664EJfWryvgNNxwnw6UU8vuw6HBBNqm" w:id="299"/>
      <w:r w:rsidRPr="009C48DA">
        <w:rPr>
          <w:rFonts w:eastAsia="Calibri" w:cs="Arial"/>
          <w:szCs w:val="20"/>
          <w:lang w:val="en-GB"/>
        </w:rPr>
        <w:t xml:space="preserve">the </w:t>
      </w:r>
      <w:r w:rsidRPr="009C48DA" w:rsidR="008453E7">
        <w:rPr>
          <w:rFonts w:eastAsia="Calibri" w:cs="Arial"/>
          <w:szCs w:val="20"/>
          <w:lang w:val="en-GB"/>
        </w:rPr>
        <w:t xml:space="preserve">Bridgepoint </w:t>
      </w:r>
      <w:r w:rsidRPr="009C48DA">
        <w:rPr>
          <w:rFonts w:eastAsia="Calibri" w:cs="Arial"/>
          <w:szCs w:val="20"/>
          <w:lang w:val="en-GB"/>
        </w:rPr>
        <w:t>Funds</w:t>
      </w:r>
      <w:bookmarkEnd w:id="299"/>
      <w:r w:rsidRPr="009C48DA">
        <w:rPr>
          <w:rFonts w:eastAsia="Calibri" w:cs="Arial"/>
          <w:szCs w:val="20"/>
          <w:lang w:val="en-GB"/>
        </w:rPr>
        <w:t xml:space="preserve"> that are set up as limited partnerships under the laws of England and Wales, notwithstanding Brexit. The AIFM Directive imposes requirements regarding, but not limited to, approvals, disclosure, reporting, valuation procedures</w:t>
      </w:r>
      <w:r w:rsidRPr="009C48DA" w:rsidR="00092571">
        <w:rPr>
          <w:rFonts w:eastAsia="Calibri" w:cs="Arial"/>
          <w:szCs w:val="20"/>
          <w:lang w:val="en-GB"/>
        </w:rPr>
        <w:t xml:space="preserve"> and</w:t>
      </w:r>
      <w:r w:rsidRPr="009C48DA">
        <w:rPr>
          <w:rFonts w:eastAsia="Calibri" w:cs="Arial"/>
          <w:szCs w:val="20"/>
          <w:lang w:val="en-GB"/>
        </w:rPr>
        <w:t xml:space="preserve"> certain organisational and capital requirements for the Group, as well as restrictions on early distributions or reductions in capital in respect of EU and UK portfolio companies, which may result in additional costs and may limit the use of certain investment and realisation strategies, for example dividend recapitalisations and reorganisations. </w:t>
      </w:r>
      <w:bookmarkStart w:name="_9kMIH5YVt4886CIT6gs5Cx" w:id="300"/>
      <w:r w:rsidRPr="009C48DA">
        <w:rPr>
          <w:rFonts w:eastAsia="Calibri" w:cs="Arial"/>
          <w:szCs w:val="20"/>
          <w:lang w:val="en-GB"/>
        </w:rPr>
        <w:t>Additionally, following Brexit, UK-based funds and AIFMs will no longer benefit from “passporting” rights in respect of the marketing of such funds to investors domiciled, or with a registered office in the EEA. Instead, such UK-based funds and AIFMs must rely on AIFM</w:t>
      </w:r>
      <w:r w:rsidRPr="009C48DA" w:rsidR="00015F17">
        <w:rPr>
          <w:rFonts w:eastAsia="Calibri" w:cs="Arial"/>
          <w:szCs w:val="20"/>
          <w:lang w:val="en-GB"/>
        </w:rPr>
        <w:t xml:space="preserve"> </w:t>
      </w:r>
      <w:r w:rsidRPr="009C48DA">
        <w:rPr>
          <w:rFonts w:eastAsia="Calibri" w:cs="Arial"/>
          <w:szCs w:val="20"/>
          <w:lang w:val="en-GB"/>
        </w:rPr>
        <w:t>D</w:t>
      </w:r>
      <w:r w:rsidRPr="009C48DA" w:rsidR="00015F17">
        <w:rPr>
          <w:rFonts w:eastAsia="Calibri" w:cs="Arial"/>
          <w:szCs w:val="20"/>
          <w:lang w:val="en-GB"/>
        </w:rPr>
        <w:t>irective</w:t>
      </w:r>
      <w:r w:rsidRPr="009C48DA">
        <w:rPr>
          <w:rFonts w:eastAsia="Calibri" w:cs="Arial"/>
          <w:szCs w:val="20"/>
          <w:lang w:val="en-GB"/>
        </w:rPr>
        <w:t xml:space="preserve"> NPPRs in each member state</w:t>
      </w:r>
      <w:r w:rsidRPr="009C48DA" w:rsidR="00AB1B7F">
        <w:rPr>
          <w:rFonts w:eastAsia="Calibri" w:cs="Arial"/>
          <w:szCs w:val="20"/>
          <w:lang w:val="en-GB"/>
        </w:rPr>
        <w:t xml:space="preserve"> of the EEA</w:t>
      </w:r>
      <w:r w:rsidRPr="009C48DA">
        <w:rPr>
          <w:rFonts w:eastAsia="Calibri" w:cs="Arial"/>
          <w:szCs w:val="20"/>
          <w:lang w:val="en-GB"/>
        </w:rPr>
        <w:t xml:space="preserve">. The requirements applicable to an AIFM and notification or approval processes under these NPPRs vary between such member states, and relevant </w:t>
      </w:r>
      <w:r w:rsidRPr="009C48DA" w:rsidR="008453E7">
        <w:rPr>
          <w:rFonts w:eastAsia="Calibri" w:cs="Arial"/>
          <w:szCs w:val="20"/>
          <w:lang w:val="en-GB"/>
        </w:rPr>
        <w:t xml:space="preserve">Bridgepoint </w:t>
      </w:r>
      <w:r w:rsidRPr="009C48DA">
        <w:rPr>
          <w:rFonts w:eastAsia="Calibri" w:cs="Arial"/>
          <w:szCs w:val="20"/>
          <w:lang w:val="en-GB"/>
        </w:rPr>
        <w:t>Funds may be subject to additional costs and limitations on the ability to market such funds to EEA investors.</w:t>
      </w:r>
      <w:r w:rsidRPr="009C48DA" w:rsidR="00092571">
        <w:rPr>
          <w:rFonts w:eastAsia="Calibri" w:cs="Arial"/>
          <w:szCs w:val="20"/>
          <w:lang w:val="en-GB"/>
        </w:rPr>
        <w:t xml:space="preserve"> </w:t>
      </w:r>
      <w:r w:rsidRPr="009C48DA">
        <w:rPr>
          <w:rFonts w:eastAsia="Calibri" w:cs="Arial"/>
          <w:szCs w:val="20"/>
          <w:lang w:val="en-GB"/>
        </w:rPr>
        <w:t xml:space="preserve">Failure to comply with the AIFM Directive (as implemented in the EEA and UK respectively), </w:t>
      </w:r>
      <w:bookmarkEnd w:id="300"/>
      <w:r w:rsidRPr="009C48DA">
        <w:rPr>
          <w:rFonts w:eastAsia="Calibri" w:cs="Arial"/>
          <w:szCs w:val="20"/>
          <w:lang w:val="en-GB"/>
        </w:rPr>
        <w:t xml:space="preserve">for instance due to systematic errors within the </w:t>
      </w:r>
      <w:r w:rsidRPr="009C48DA" w:rsidR="004219AE">
        <w:rPr>
          <w:rFonts w:eastAsia="Calibri" w:cs="Arial"/>
          <w:szCs w:val="20"/>
          <w:lang w:val="en-GB"/>
        </w:rPr>
        <w:t xml:space="preserve">systems and </w:t>
      </w:r>
      <w:r w:rsidRPr="009C48DA">
        <w:rPr>
          <w:rFonts w:eastAsia="Calibri" w:cs="Arial"/>
          <w:szCs w:val="20"/>
          <w:lang w:val="en-GB"/>
        </w:rPr>
        <w:t xml:space="preserve">operations of the </w:t>
      </w:r>
      <w:bookmarkStart w:name="_9kMH4CP7aXv6AA8BFPLzmlnx822EhdI28" w:id="301"/>
      <w:r w:rsidRPr="009C48DA" w:rsidR="004219AE">
        <w:rPr>
          <w:rFonts w:eastAsia="Calibri" w:cs="Arial"/>
          <w:szCs w:val="20"/>
          <w:lang w:val="en-GB"/>
        </w:rPr>
        <w:t xml:space="preserve">Group and the </w:t>
      </w:r>
      <w:r w:rsidRPr="009C48DA" w:rsidR="008453E7">
        <w:rPr>
          <w:rFonts w:eastAsia="Calibri" w:cs="Arial"/>
          <w:szCs w:val="20"/>
          <w:lang w:val="en-GB"/>
        </w:rPr>
        <w:t xml:space="preserve">Bridgepoint </w:t>
      </w:r>
      <w:r w:rsidRPr="009C48DA">
        <w:rPr>
          <w:rFonts w:eastAsia="Calibri" w:cs="Arial"/>
          <w:szCs w:val="20"/>
          <w:lang w:val="en-GB"/>
        </w:rPr>
        <w:t>Funds</w:t>
      </w:r>
      <w:bookmarkEnd w:id="301"/>
      <w:r w:rsidRPr="009C48DA">
        <w:rPr>
          <w:rFonts w:eastAsia="Calibri" w:cs="Arial"/>
          <w:szCs w:val="20"/>
          <w:lang w:val="en-GB"/>
        </w:rPr>
        <w:t xml:space="preserve">, or due to violation of applicable marketing regulations towards </w:t>
      </w:r>
      <w:bookmarkStart w:name="_9kMH7O6ZWu5997DLWR6qMRB31HEDI" w:id="302"/>
      <w:r w:rsidRPr="009C48DA">
        <w:rPr>
          <w:rFonts w:eastAsia="Calibri" w:cs="Arial"/>
          <w:szCs w:val="20"/>
          <w:lang w:val="en-GB"/>
        </w:rPr>
        <w:t>fund investors</w:t>
      </w:r>
      <w:bookmarkEnd w:id="302"/>
      <w:r w:rsidRPr="009C48DA">
        <w:rPr>
          <w:rFonts w:eastAsia="Calibri" w:cs="Arial"/>
          <w:szCs w:val="20"/>
          <w:lang w:val="en-GB"/>
        </w:rPr>
        <w:t xml:space="preserve">, may lead to </w:t>
      </w:r>
      <w:bookmarkStart w:name="_9kMH8P6ZWu5997DLWR6qMRB31HEDI" w:id="303"/>
      <w:r w:rsidRPr="009C48DA">
        <w:rPr>
          <w:rFonts w:eastAsia="Calibri" w:cs="Arial"/>
          <w:szCs w:val="20"/>
          <w:lang w:val="en-GB"/>
        </w:rPr>
        <w:t>fund investors</w:t>
      </w:r>
      <w:bookmarkEnd w:id="303"/>
      <w:r w:rsidRPr="009C48DA">
        <w:rPr>
          <w:rFonts w:eastAsia="Calibri" w:cs="Arial"/>
          <w:szCs w:val="20"/>
          <w:lang w:val="en-GB"/>
        </w:rPr>
        <w:t xml:space="preserve"> seeking to cancel their investment or request that invested money should be paid back, which may affect the </w:t>
      </w:r>
      <w:bookmarkStart w:name="_9kMH4DQ7aXv6AA8BFPLzmlnx822EhdI28" w:id="304"/>
      <w:r w:rsidRPr="009C48DA" w:rsidR="008453E7">
        <w:rPr>
          <w:rFonts w:eastAsia="Calibri" w:cs="Arial"/>
          <w:szCs w:val="20"/>
          <w:lang w:val="en-GB"/>
        </w:rPr>
        <w:t xml:space="preserve">Bridgepoint </w:t>
      </w:r>
      <w:r w:rsidRPr="009C48DA">
        <w:rPr>
          <w:rFonts w:eastAsia="Calibri" w:cs="Arial"/>
          <w:szCs w:val="20"/>
          <w:lang w:val="en-GB"/>
        </w:rPr>
        <w:t>Funds</w:t>
      </w:r>
      <w:bookmarkEnd w:id="304"/>
      <w:r w:rsidRPr="009C48DA" w:rsidR="004219AE">
        <w:rPr>
          <w:rFonts w:eastAsia="Calibri" w:cs="Arial"/>
          <w:szCs w:val="20"/>
          <w:lang w:val="en-GB"/>
        </w:rPr>
        <w:t>’</w:t>
      </w:r>
      <w:r w:rsidRPr="009C48DA">
        <w:rPr>
          <w:rFonts w:eastAsia="Calibri" w:cs="Arial"/>
          <w:szCs w:val="20"/>
          <w:lang w:val="en-GB"/>
        </w:rPr>
        <w:t xml:space="preserve"> ability to drive </w:t>
      </w:r>
      <w:r w:rsidRPr="009C48DA" w:rsidR="004219AE">
        <w:rPr>
          <w:rFonts w:eastAsia="Calibri" w:cs="Arial"/>
          <w:szCs w:val="20"/>
          <w:lang w:val="en-GB"/>
        </w:rPr>
        <w:t xml:space="preserve">their </w:t>
      </w:r>
      <w:r w:rsidRPr="009C48DA">
        <w:rPr>
          <w:rFonts w:eastAsia="Calibri" w:cs="Arial"/>
          <w:szCs w:val="20"/>
          <w:lang w:val="en-GB"/>
        </w:rPr>
        <w:t xml:space="preserve">strategy and affect the </w:t>
      </w:r>
      <w:bookmarkStart w:name="_9kMI8AK7aXv6AA8BKULzmlnx822EibGKM" w:id="305"/>
      <w:r w:rsidRPr="009C48DA">
        <w:rPr>
          <w:rFonts w:eastAsia="Calibri" w:cs="Arial"/>
          <w:szCs w:val="20"/>
          <w:lang w:val="en-GB"/>
        </w:rPr>
        <w:t>Group’s</w:t>
      </w:r>
      <w:bookmarkEnd w:id="305"/>
      <w:r w:rsidRPr="009C48DA">
        <w:rPr>
          <w:rFonts w:eastAsia="Calibri" w:cs="Arial"/>
          <w:szCs w:val="20"/>
          <w:lang w:val="en-GB"/>
        </w:rPr>
        <w:t xml:space="preserve"> and the </w:t>
      </w:r>
      <w:bookmarkStart w:name="_9kMH55H7aXv6AA8BFPLzmlnx822EhdI28" w:id="306"/>
      <w:r w:rsidRPr="009C48DA" w:rsidR="008453E7">
        <w:rPr>
          <w:rFonts w:eastAsia="Calibri" w:cs="Arial"/>
          <w:szCs w:val="20"/>
          <w:lang w:val="en-GB"/>
        </w:rPr>
        <w:t xml:space="preserve">Bridgepoint </w:t>
      </w:r>
      <w:r w:rsidRPr="009C48DA">
        <w:rPr>
          <w:rFonts w:eastAsia="Calibri" w:cs="Arial"/>
          <w:szCs w:val="20"/>
          <w:lang w:val="en-GB"/>
        </w:rPr>
        <w:t>Funds</w:t>
      </w:r>
      <w:bookmarkEnd w:id="306"/>
      <w:r w:rsidRPr="009C48DA" w:rsidR="003D12F1">
        <w:rPr>
          <w:rFonts w:eastAsia="Calibri" w:cs="Arial"/>
          <w:szCs w:val="20"/>
          <w:lang w:val="en-GB"/>
        </w:rPr>
        <w:t>’</w:t>
      </w:r>
      <w:r w:rsidRPr="009C48DA">
        <w:rPr>
          <w:rFonts w:eastAsia="Calibri" w:cs="Arial"/>
          <w:szCs w:val="20"/>
          <w:lang w:val="en-GB"/>
        </w:rPr>
        <w:t xml:space="preserve"> business, as well as lead to sanctions from national financial supervisory authorities, such as sanction charges or withdrawal of current </w:t>
      </w:r>
      <w:bookmarkStart w:name="_9kMHG5YVt3DE6GOQjpu" w:id="307"/>
      <w:r w:rsidRPr="009C48DA">
        <w:rPr>
          <w:rFonts w:eastAsia="Calibri" w:cs="Arial"/>
          <w:szCs w:val="20"/>
          <w:lang w:val="en-GB"/>
        </w:rPr>
        <w:t>AIFM</w:t>
      </w:r>
      <w:bookmarkEnd w:id="307"/>
      <w:r w:rsidRPr="009C48DA">
        <w:rPr>
          <w:rFonts w:eastAsia="Calibri" w:cs="Arial"/>
          <w:szCs w:val="20"/>
          <w:lang w:val="en-GB"/>
        </w:rPr>
        <w:t xml:space="preserve"> approvals. </w:t>
      </w:r>
      <w:r w:rsidRPr="009C48DA">
        <w:rPr>
          <w:rFonts w:eastAsia="Times New Roman" w:cs="Times New Roman"/>
          <w:color w:val="231F20"/>
          <w:szCs w:val="20"/>
          <w:lang w:val="en-GB"/>
        </w:rPr>
        <w:t>Moreover</w:t>
      </w:r>
      <w:r w:rsidRPr="009C48DA">
        <w:rPr>
          <w:rFonts w:eastAsia="Calibri" w:cs="Arial"/>
          <w:szCs w:val="20"/>
          <w:lang w:val="en-GB"/>
        </w:rPr>
        <w:t xml:space="preserve">, certain requirements of the AIFM Directive and the interpretation thereof remain uncertain, and may be subject to change as a result of the issuance of any further national and/or EU or UK guidelines with respect to the AIFM Directive and its UK version, the interpretation thereof and national implementing legislation in relevant </w:t>
      </w:r>
      <w:bookmarkStart w:name="_9kR3WTr2664CEUFmkdujgvw11" w:id="308"/>
      <w:r w:rsidRPr="009C48DA" w:rsidR="00AB1B7F">
        <w:rPr>
          <w:rFonts w:eastAsia="Calibri" w:cs="Arial"/>
          <w:szCs w:val="20"/>
          <w:lang w:val="en-GB"/>
        </w:rPr>
        <w:t xml:space="preserve">member states of the </w:t>
      </w:r>
      <w:bookmarkEnd w:id="308"/>
      <w:r w:rsidRPr="009C48DA" w:rsidR="00AB1B7F">
        <w:rPr>
          <w:rFonts w:eastAsia="Calibri" w:cs="Arial"/>
          <w:szCs w:val="20"/>
          <w:lang w:val="en-GB"/>
        </w:rPr>
        <w:t xml:space="preserve">European Union </w:t>
      </w:r>
      <w:r w:rsidRPr="009C48DA">
        <w:rPr>
          <w:rFonts w:eastAsia="Calibri" w:cs="Arial"/>
          <w:szCs w:val="20"/>
          <w:lang w:val="en-GB"/>
        </w:rPr>
        <w:t>and EEA.</w:t>
      </w:r>
    </w:p>
    <w:p w:rsidRPr="009C48DA" w:rsidR="006D6A27" w:rsidP="00676CA5" w:rsidRDefault="004219AE" w14:paraId="106F3AE7" w14:textId="38B8220A">
      <w:pPr>
        <w:pStyle w:val="BodyText2SglJ"/>
        <w:rPr>
          <w:rFonts w:eastAsia="Calibri" w:cs="Arial"/>
          <w:szCs w:val="20"/>
          <w:lang w:val="en-GB"/>
        </w:rPr>
      </w:pPr>
      <w:r w:rsidRPr="009C48DA">
        <w:rPr>
          <w:rFonts w:eastAsia="Calibri" w:cs="Arial"/>
          <w:szCs w:val="20"/>
          <w:lang w:val="en-GB"/>
        </w:rPr>
        <w:t>In addition, t</w:t>
      </w:r>
      <w:r w:rsidRPr="009C48DA" w:rsidR="006D6A27">
        <w:rPr>
          <w:rFonts w:eastAsia="Calibri" w:cs="Arial"/>
          <w:szCs w:val="20"/>
          <w:lang w:val="en-GB"/>
        </w:rPr>
        <w:t>he Securitisation Regulation, which became effective on 1 January 2019, imposes due diligence and risk retention requireme</w:t>
      </w:r>
      <w:r w:rsidRPr="009C48DA" w:rsidR="00CE3171">
        <w:rPr>
          <w:rFonts w:eastAsia="Calibri" w:cs="Arial"/>
          <w:szCs w:val="20"/>
          <w:lang w:val="en-GB"/>
        </w:rPr>
        <w:t>nts on “institutional investors</w:t>
      </w:r>
      <w:r w:rsidRPr="009C48DA" w:rsidR="006D6A27">
        <w:rPr>
          <w:rFonts w:eastAsia="Calibri" w:cs="Arial"/>
          <w:szCs w:val="20"/>
          <w:lang w:val="en-GB"/>
        </w:rPr>
        <w:t>”</w:t>
      </w:r>
      <w:r w:rsidRPr="009C48DA" w:rsidR="00CE3171">
        <w:rPr>
          <w:rFonts w:eastAsia="Calibri" w:cs="Arial"/>
          <w:szCs w:val="20"/>
          <w:lang w:val="en-GB"/>
        </w:rPr>
        <w:t>,</w:t>
      </w:r>
      <w:r w:rsidRPr="009C48DA" w:rsidR="006D6A27">
        <w:rPr>
          <w:rFonts w:eastAsia="Calibri" w:cs="Arial"/>
          <w:szCs w:val="20"/>
          <w:lang w:val="en-GB"/>
        </w:rPr>
        <w:t xml:space="preserve"> which includes managers of alternative investment fund assets that must be satisfied prior to holding a securitisation position, and constrains the ability of alternative investment funds to invest in securitisation positions that do not comply with, among other things, the prescribed risk retention requirements. These requirements may apply to AIFs managed not only </w:t>
      </w:r>
      <w:bookmarkStart w:name="_9kR3WTr26649JUxuC2wv5pw585TXH97NI46MplQ" w:id="309"/>
      <w:r w:rsidRPr="009C48DA" w:rsidR="006D6A27">
        <w:rPr>
          <w:rFonts w:eastAsia="Calibri" w:cs="Arial"/>
          <w:szCs w:val="20"/>
          <w:lang w:val="en-GB"/>
        </w:rPr>
        <w:t>by EU AIFMs</w:t>
      </w:r>
      <w:bookmarkEnd w:id="309"/>
      <w:r w:rsidRPr="009C48DA" w:rsidR="006D6A27">
        <w:rPr>
          <w:rFonts w:eastAsia="Calibri" w:cs="Arial"/>
          <w:szCs w:val="20"/>
          <w:lang w:val="en-GB"/>
        </w:rPr>
        <w:t xml:space="preserve">, but also </w:t>
      </w:r>
      <w:bookmarkStart w:name="_9kR3WTr2664CHywxO0xmsxb" w:id="310"/>
      <w:r w:rsidRPr="009C48DA" w:rsidR="006D6A27">
        <w:rPr>
          <w:rFonts w:eastAsia="Calibri" w:cs="Arial"/>
          <w:szCs w:val="20"/>
          <w:lang w:val="en-GB"/>
        </w:rPr>
        <w:t>non-EU AIFMs</w:t>
      </w:r>
      <w:bookmarkEnd w:id="310"/>
      <w:r w:rsidRPr="009C48DA" w:rsidR="006D6A27">
        <w:rPr>
          <w:rFonts w:eastAsia="Calibri" w:cs="Arial"/>
          <w:szCs w:val="20"/>
          <w:lang w:val="en-GB"/>
        </w:rPr>
        <w:t xml:space="preserve"> where those AIFs have been registered for marketing in the </w:t>
      </w:r>
      <w:r w:rsidRPr="009C48DA" w:rsidR="002C2A19">
        <w:rPr>
          <w:rFonts w:eastAsia="Calibri" w:cs="Arial"/>
          <w:szCs w:val="20"/>
          <w:lang w:val="en-GB"/>
        </w:rPr>
        <w:t>European Union</w:t>
      </w:r>
      <w:r w:rsidRPr="009C48DA" w:rsidR="006D6A27">
        <w:rPr>
          <w:rFonts w:eastAsia="Calibri" w:cs="Arial"/>
          <w:szCs w:val="20"/>
          <w:lang w:val="en-GB"/>
        </w:rPr>
        <w:t xml:space="preserve"> under Article 42 of the AIFM Directive. Given the expanded breadth of the revised regulation, this may impact or limit the </w:t>
      </w:r>
      <w:bookmarkStart w:name="_9kMH56I7aXv6AA8BFPLzmlnx822EhdI28" w:id="311"/>
      <w:r w:rsidRPr="009C48DA" w:rsidR="008453E7">
        <w:rPr>
          <w:rFonts w:eastAsia="Calibri" w:cs="Arial"/>
          <w:szCs w:val="20"/>
          <w:lang w:val="en-GB"/>
        </w:rPr>
        <w:t xml:space="preserve">Bridgepoint </w:t>
      </w:r>
      <w:r w:rsidRPr="009C48DA" w:rsidR="006D6A27">
        <w:rPr>
          <w:rFonts w:eastAsia="Calibri" w:cs="Arial"/>
          <w:szCs w:val="20"/>
          <w:lang w:val="en-GB"/>
        </w:rPr>
        <w:t>Funds’</w:t>
      </w:r>
      <w:bookmarkEnd w:id="311"/>
      <w:r w:rsidRPr="009C48DA" w:rsidR="006D6A27">
        <w:rPr>
          <w:rFonts w:eastAsia="Calibri" w:cs="Arial"/>
          <w:szCs w:val="20"/>
          <w:lang w:val="en-GB"/>
        </w:rPr>
        <w:t xml:space="preserve"> ability to make certain investments that constitute “securitisations” under the Securitisation Regulation. The UK has on-shored the </w:t>
      </w:r>
      <w:bookmarkStart w:name="_9kMHG5YVt4886CEOzEPgxD2566z1A6CqcyFL2BK" w:id="312"/>
      <w:r w:rsidRPr="009C48DA" w:rsidR="006D6A27">
        <w:rPr>
          <w:rFonts w:eastAsia="Calibri" w:cs="Arial"/>
          <w:szCs w:val="20"/>
          <w:lang w:val="en-GB"/>
        </w:rPr>
        <w:t>EU Securitisation Regulation</w:t>
      </w:r>
      <w:bookmarkEnd w:id="312"/>
      <w:r w:rsidRPr="009C48DA" w:rsidR="006D6A27">
        <w:rPr>
          <w:rFonts w:eastAsia="Calibri" w:cs="Arial"/>
          <w:szCs w:val="20"/>
          <w:lang w:val="en-GB"/>
        </w:rPr>
        <w:t xml:space="preserve"> and therefore similar requirements continue to apply in the UK notwithstanding Brexit.</w:t>
      </w:r>
    </w:p>
    <w:p w:rsidRPr="009C48DA" w:rsidR="006D6A27" w:rsidP="00676CA5" w:rsidRDefault="006D6A27" w14:paraId="16336DE3" w14:textId="1919AC32">
      <w:pPr>
        <w:pStyle w:val="BodyText2SglJ"/>
        <w:rPr>
          <w:rFonts w:eastAsia="Calibri" w:cs="Arial"/>
          <w:szCs w:val="20"/>
          <w:lang w:val="en-GB"/>
        </w:rPr>
      </w:pPr>
      <w:r w:rsidRPr="009C48DA">
        <w:rPr>
          <w:rFonts w:eastAsia="Calibri" w:cs="Arial"/>
          <w:szCs w:val="20"/>
          <w:lang w:val="en-GB"/>
        </w:rPr>
        <w:t>A</w:t>
      </w:r>
      <w:r w:rsidRPr="009C48DA" w:rsidR="00436F6D">
        <w:rPr>
          <w:rFonts w:eastAsia="Calibri" w:cs="Arial"/>
          <w:szCs w:val="20"/>
          <w:lang w:val="en-GB"/>
        </w:rPr>
        <w:t>ny</w:t>
      </w:r>
      <w:r w:rsidRPr="009C48DA">
        <w:rPr>
          <w:rFonts w:eastAsia="Calibri" w:cs="Arial"/>
          <w:szCs w:val="20"/>
          <w:lang w:val="en-GB"/>
        </w:rPr>
        <w:t xml:space="preserve"> loss of the requisite approvals and/or permits, or the loss of relevant approvals and/or permits for the Group to operate or market funds within a certain area or generally, may result in the wind-down or liquidation of existing </w:t>
      </w:r>
      <w:bookmarkStart w:name="_9kMH57J7aXv6AA8BFPLzmlnx822EhdI28" w:id="313"/>
      <w:r w:rsidRPr="009C48DA" w:rsidR="008453E7">
        <w:rPr>
          <w:rFonts w:eastAsia="Calibri" w:cs="Arial"/>
          <w:szCs w:val="20"/>
          <w:lang w:val="en-GB"/>
        </w:rPr>
        <w:t xml:space="preserve">Bridgepoint </w:t>
      </w:r>
      <w:r w:rsidRPr="009C48DA">
        <w:rPr>
          <w:rFonts w:eastAsia="Calibri" w:cs="Arial"/>
          <w:szCs w:val="20"/>
          <w:lang w:val="en-GB"/>
        </w:rPr>
        <w:t>Funds</w:t>
      </w:r>
      <w:bookmarkEnd w:id="313"/>
      <w:r w:rsidRPr="009C48DA">
        <w:rPr>
          <w:rFonts w:eastAsia="Calibri" w:cs="Arial"/>
          <w:szCs w:val="20"/>
          <w:lang w:val="en-GB"/>
        </w:rPr>
        <w:t xml:space="preserve">, and accordingly </w:t>
      </w:r>
      <w:r w:rsidRPr="009C48DA" w:rsidR="003842C9">
        <w:rPr>
          <w:rFonts w:eastAsia="Calibri" w:cs="Arial"/>
          <w:szCs w:val="20"/>
          <w:lang w:val="en-GB"/>
        </w:rPr>
        <w:t xml:space="preserve">could </w:t>
      </w:r>
      <w:r w:rsidRPr="009C48DA">
        <w:rPr>
          <w:rFonts w:eastAsia="Calibri" w:cs="Arial"/>
          <w:szCs w:val="20"/>
          <w:lang w:val="en-GB"/>
        </w:rPr>
        <w:t xml:space="preserve">have a material adverse effect on the size of the </w:t>
      </w:r>
      <w:bookmarkStart w:name="_9kMML5YVt4886ACLJxkjlv600CgZEIKJfCP" w:id="314"/>
      <w:r w:rsidRPr="009C48DA">
        <w:rPr>
          <w:rFonts w:eastAsia="Calibri" w:cs="Arial"/>
          <w:szCs w:val="20"/>
          <w:lang w:val="en-GB"/>
        </w:rPr>
        <w:t>Group</w:t>
      </w:r>
      <w:r w:rsidRPr="009C48DA" w:rsidR="00436F6D">
        <w:rPr>
          <w:rFonts w:eastAsia="Calibri" w:cs="Arial"/>
          <w:szCs w:val="20"/>
          <w:lang w:val="en-GB"/>
        </w:rPr>
        <w:t xml:space="preserve"> and it</w:t>
      </w:r>
      <w:r w:rsidRPr="009C48DA">
        <w:rPr>
          <w:rFonts w:eastAsia="Calibri" w:cs="Arial"/>
          <w:szCs w:val="20"/>
          <w:lang w:val="en-GB"/>
        </w:rPr>
        <w:t xml:space="preserve">s </w:t>
      </w:r>
      <w:bookmarkEnd w:id="314"/>
      <w:r w:rsidRPr="009C48DA" w:rsidR="00D43E9F">
        <w:rPr>
          <w:rFonts w:eastAsia="Calibri" w:cs="Arial"/>
          <w:szCs w:val="20"/>
          <w:lang w:val="en-GB"/>
        </w:rPr>
        <w:t>AUM (</w:t>
      </w:r>
      <w:r w:rsidRPr="009C48DA">
        <w:rPr>
          <w:rFonts w:eastAsia="Calibri" w:cs="Arial"/>
          <w:szCs w:val="20"/>
          <w:lang w:val="en-GB"/>
        </w:rPr>
        <w:t>and thus also affect management fees that are received by the Group</w:t>
      </w:r>
      <w:r w:rsidRPr="009C48DA" w:rsidR="00D43E9F">
        <w:rPr>
          <w:rFonts w:eastAsia="Calibri" w:cs="Arial"/>
          <w:szCs w:val="20"/>
          <w:lang w:val="en-GB"/>
        </w:rPr>
        <w:t>)</w:t>
      </w:r>
      <w:r w:rsidRPr="009C48DA">
        <w:rPr>
          <w:rFonts w:eastAsia="Calibri" w:cs="Arial"/>
          <w:szCs w:val="20"/>
          <w:lang w:val="en-GB"/>
        </w:rPr>
        <w:t xml:space="preserve">, </w:t>
      </w:r>
      <w:r w:rsidRPr="009C48DA" w:rsidR="003842C9">
        <w:rPr>
          <w:rFonts w:eastAsia="Calibri" w:cs="Arial"/>
          <w:szCs w:val="20"/>
          <w:lang w:val="en-GB"/>
        </w:rPr>
        <w:t>and</w:t>
      </w:r>
      <w:r w:rsidRPr="009C48DA">
        <w:rPr>
          <w:rFonts w:eastAsia="Calibri" w:cs="Arial"/>
          <w:szCs w:val="20"/>
          <w:lang w:val="en-GB"/>
        </w:rPr>
        <w:t xml:space="preserve"> the ability to receive carried interest and </w:t>
      </w:r>
      <w:r w:rsidRPr="009C48DA" w:rsidR="00D42BBF">
        <w:rPr>
          <w:rFonts w:eastAsia="Calibri" w:cs="Arial"/>
          <w:szCs w:val="20"/>
          <w:lang w:val="en-GB"/>
        </w:rPr>
        <w:t xml:space="preserve">earn </w:t>
      </w:r>
      <w:r w:rsidRPr="009C48DA" w:rsidR="003842C9">
        <w:rPr>
          <w:rFonts w:eastAsia="Calibri" w:cs="Arial"/>
          <w:szCs w:val="20"/>
          <w:lang w:val="en-GB"/>
        </w:rPr>
        <w:t>i</w:t>
      </w:r>
      <w:r w:rsidRPr="009C48DA">
        <w:rPr>
          <w:rFonts w:eastAsia="Calibri" w:cs="Arial"/>
          <w:szCs w:val="20"/>
          <w:lang w:val="en-GB"/>
        </w:rPr>
        <w:t>ncome</w:t>
      </w:r>
      <w:r w:rsidRPr="009C48DA" w:rsidR="00D43E9F">
        <w:rPr>
          <w:rFonts w:eastAsia="Calibri" w:cs="Arial"/>
          <w:szCs w:val="20"/>
          <w:lang w:val="en-GB"/>
        </w:rPr>
        <w:t xml:space="preserve"> from the fair value remeasurement of investments</w:t>
      </w:r>
      <w:r w:rsidRPr="009C48DA">
        <w:rPr>
          <w:rFonts w:eastAsia="Calibri" w:cs="Arial"/>
          <w:szCs w:val="20"/>
          <w:lang w:val="en-GB"/>
        </w:rPr>
        <w:t>.</w:t>
      </w:r>
      <w:r w:rsidRPr="009C48DA" w:rsidR="00D8325E">
        <w:rPr>
          <w:rFonts w:eastAsia="Calibri" w:cs="Arial"/>
          <w:szCs w:val="20"/>
          <w:lang w:val="en-GB"/>
        </w:rPr>
        <w:t xml:space="preserve"> This</w:t>
      </w:r>
      <w:r w:rsidRPr="009C48DA" w:rsidR="003842C9">
        <w:rPr>
          <w:rFonts w:eastAsia="Calibri" w:cs="Arial"/>
          <w:szCs w:val="20"/>
          <w:lang w:val="en-GB"/>
        </w:rPr>
        <w:t xml:space="preserve"> </w:t>
      </w:r>
      <w:r w:rsidRPr="009C48DA" w:rsidR="00436F6D">
        <w:rPr>
          <w:rFonts w:eastAsia="Calibri" w:cs="Arial"/>
          <w:szCs w:val="20"/>
          <w:lang w:val="en-GB"/>
        </w:rPr>
        <w:lastRenderedPageBreak/>
        <w:t xml:space="preserve">could therefore affect all of the Group’s existing revenue streams and, </w:t>
      </w:r>
      <w:r w:rsidRPr="009C48DA" w:rsidR="003842C9">
        <w:rPr>
          <w:rFonts w:eastAsia="Calibri" w:cs="Arial"/>
          <w:szCs w:val="20"/>
          <w:lang w:val="en-GB"/>
        </w:rPr>
        <w:t>in turn, have a material adverse effect on the Group’s revenue, net income</w:t>
      </w:r>
      <w:r w:rsidRPr="009C48DA" w:rsidR="00436F6D">
        <w:rPr>
          <w:rFonts w:eastAsia="Calibri" w:cs="Arial"/>
          <w:szCs w:val="20"/>
          <w:lang w:val="en-GB"/>
        </w:rPr>
        <w:t xml:space="preserve">, </w:t>
      </w:r>
      <w:r w:rsidRPr="009C48DA" w:rsidR="003842C9">
        <w:rPr>
          <w:rFonts w:eastAsia="Calibri" w:cs="Arial"/>
          <w:szCs w:val="20"/>
          <w:lang w:val="en-GB"/>
        </w:rPr>
        <w:t>cash flows</w:t>
      </w:r>
      <w:r w:rsidRPr="009C48DA" w:rsidR="00436F6D">
        <w:rPr>
          <w:rFonts w:eastAsia="Calibri" w:cs="Arial"/>
          <w:szCs w:val="20"/>
          <w:lang w:val="en-GB"/>
        </w:rPr>
        <w:t xml:space="preserve"> and liquidity</w:t>
      </w:r>
      <w:r w:rsidRPr="009C48DA" w:rsidR="003842C9">
        <w:rPr>
          <w:rFonts w:eastAsia="Calibri" w:cs="Arial"/>
          <w:szCs w:val="20"/>
          <w:lang w:val="en-GB"/>
        </w:rPr>
        <w:t>.</w:t>
      </w:r>
    </w:p>
    <w:p w:rsidRPr="009C48DA" w:rsidR="00D43E9F" w:rsidP="00D43E9F" w:rsidRDefault="00D43E9F" w14:paraId="7E70CBB8" w14:textId="659A679D">
      <w:pPr>
        <w:pStyle w:val="TitleBI"/>
        <w:rPr>
          <w:szCs w:val="20"/>
          <w:lang w:val="en-GB"/>
        </w:rPr>
      </w:pPr>
      <w:r w:rsidRPr="009C48DA">
        <w:rPr>
          <w:szCs w:val="20"/>
          <w:lang w:val="en-GB"/>
        </w:rPr>
        <w:t xml:space="preserve">If anything were to happen that would cause the Company to be deemed an investment company under the Investment Company Act, this could make it impractical for the Group to continue its business as currently conducted, which would materially and adversely affect </w:t>
      </w:r>
      <w:r w:rsidRPr="009C48DA" w:rsidR="00A977CF">
        <w:rPr>
          <w:szCs w:val="20"/>
          <w:lang w:val="en-GB"/>
        </w:rPr>
        <w:t>its business, the value of the Company’s s</w:t>
      </w:r>
      <w:r w:rsidRPr="009C48DA">
        <w:rPr>
          <w:szCs w:val="20"/>
          <w:lang w:val="en-GB"/>
        </w:rPr>
        <w:t>hares and the ability to pay dividends</w:t>
      </w:r>
      <w:r w:rsidRPr="009C48DA" w:rsidR="00D42BBF">
        <w:rPr>
          <w:szCs w:val="20"/>
          <w:lang w:val="en-GB"/>
        </w:rPr>
        <w:t xml:space="preserve">, or require the Company to force certain shareholders </w:t>
      </w:r>
      <w:r w:rsidRPr="009C48DA" w:rsidR="00D57626">
        <w:rPr>
          <w:szCs w:val="20"/>
          <w:lang w:val="en-GB"/>
        </w:rPr>
        <w:t>that are U.S. persons</w:t>
      </w:r>
      <w:r w:rsidRPr="009C48DA" w:rsidR="00D42BBF">
        <w:rPr>
          <w:szCs w:val="20"/>
          <w:lang w:val="en-GB"/>
        </w:rPr>
        <w:t xml:space="preserve"> to sell their shares, which could cause a loss to any such shareholders</w:t>
      </w:r>
      <w:r w:rsidRPr="009C48DA">
        <w:rPr>
          <w:szCs w:val="20"/>
          <w:lang w:val="en-GB"/>
        </w:rPr>
        <w:t>.</w:t>
      </w:r>
    </w:p>
    <w:p w:rsidRPr="009C48DA" w:rsidR="00D43E9F" w:rsidP="00D43E9F" w:rsidRDefault="00D43E9F" w14:paraId="484448FB" w14:textId="77777777">
      <w:pPr>
        <w:pStyle w:val="BodyText2SglJ"/>
        <w:rPr>
          <w:szCs w:val="20"/>
          <w:lang w:val="en-GB"/>
        </w:rPr>
      </w:pPr>
      <w:r w:rsidRPr="009C48DA">
        <w:rPr>
          <w:szCs w:val="20"/>
          <w:lang w:val="en-GB"/>
        </w:rPr>
        <w:t>The Investment Company Act generally prohibits any “investment company”, as defined in the legislation, that is organised outside of the United States from making use of U.S. jurisdictional means, directly or indirectly, to offer for sale, sell or deliver after sale, in connection with a public offering, any security of which the investment company is the issuer. An issuer will generally be deemed to be an “investment company” for purposes of the Investment Company Act if:</w:t>
      </w:r>
    </w:p>
    <w:p w:rsidRPr="009C48DA" w:rsidR="00D43E9F" w:rsidP="003F7555" w:rsidRDefault="00D43E9F" w14:paraId="7EB097D3" w14:textId="77777777">
      <w:pPr>
        <w:pStyle w:val="STBBullet3"/>
        <w:numPr>
          <w:ilvl w:val="0"/>
          <w:numId w:val="32"/>
        </w:numPr>
        <w:rPr>
          <w:szCs w:val="20"/>
          <w:lang w:val="en-GB"/>
        </w:rPr>
      </w:pPr>
      <w:r w:rsidRPr="009C48DA">
        <w:rPr>
          <w:szCs w:val="20"/>
          <w:lang w:val="en-GB"/>
        </w:rPr>
        <w:t>it is an “orthodox” investment company because it is or holds itself out as being engaged primarily, or proposes to engage primarily, in the business of investing, reinvesting or trading in securities; or</w:t>
      </w:r>
    </w:p>
    <w:p w:rsidRPr="009C48DA" w:rsidR="00D43E9F" w:rsidP="003F7555" w:rsidRDefault="00D43E9F" w14:paraId="57BD8744" w14:textId="77777777">
      <w:pPr>
        <w:pStyle w:val="STBBullet3"/>
        <w:numPr>
          <w:ilvl w:val="0"/>
          <w:numId w:val="32"/>
        </w:numPr>
        <w:rPr>
          <w:szCs w:val="20"/>
          <w:lang w:val="en-GB"/>
        </w:rPr>
      </w:pPr>
      <w:r w:rsidRPr="009C48DA">
        <w:rPr>
          <w:szCs w:val="20"/>
          <w:lang w:val="en-GB"/>
        </w:rPr>
        <w:t>it is an inadvertent investment company because, absent an applicable exemption, it owns or proposes to acquire investment securities having a value exceeding 40 per cent of the value of its total assets (exclusive of U.S. government securities and cash items) on an unconsolidated basis.</w:t>
      </w:r>
    </w:p>
    <w:p w:rsidRPr="009C48DA" w:rsidR="00D43E9F" w:rsidP="00D43E9F" w:rsidRDefault="00D43E9F" w14:paraId="1CFB213C" w14:textId="07730597">
      <w:pPr>
        <w:pStyle w:val="BodyText2SglJ"/>
        <w:rPr>
          <w:szCs w:val="20"/>
          <w:lang w:val="en-GB"/>
        </w:rPr>
      </w:pPr>
      <w:r w:rsidRPr="009C48DA">
        <w:rPr>
          <w:szCs w:val="20"/>
          <w:lang w:val="en-GB"/>
        </w:rPr>
        <w:t>The Directors believe that the Group is engaged primarily in the business of providing asset management services and not primarily in the business of investing, reinvesting or trading in securities. The Group holds itself out as an asset management firm and does not plan to engage primarily in the business of investing, reinvesting or trading in securities. Accordingly, the Directors do not believe that the Company is an “orthodox” investment company as described in</w:t>
      </w:r>
      <w:r w:rsidRPr="009C48DA" w:rsidR="00C30710">
        <w:rPr>
          <w:szCs w:val="20"/>
          <w:lang w:val="en-GB"/>
        </w:rPr>
        <w:t xml:space="preserve"> the first bullet point above. </w:t>
      </w:r>
      <w:r w:rsidRPr="009C48DA">
        <w:rPr>
          <w:szCs w:val="20"/>
          <w:lang w:val="en-GB"/>
        </w:rPr>
        <w:t xml:space="preserve">Furthermore, the Company treats its management company, advisory company and fund general partner subsidiaries as majority-owned subsidiaries for purposes of the Investment Company Act. As a result, less than 40 per cent of the Company’s total assets (exclusive of U.S. government securities and cash items) on an unconsolidated basis comprise assets that </w:t>
      </w:r>
      <w:r w:rsidRPr="009C48DA" w:rsidR="00225C62">
        <w:rPr>
          <w:szCs w:val="20"/>
          <w:lang w:val="en-GB"/>
        </w:rPr>
        <w:t>are</w:t>
      </w:r>
      <w:r w:rsidRPr="009C48DA">
        <w:rPr>
          <w:szCs w:val="20"/>
          <w:lang w:val="en-GB"/>
        </w:rPr>
        <w:t xml:space="preserve"> investment securities</w:t>
      </w:r>
      <w:r w:rsidRPr="009C48DA" w:rsidR="00225C62">
        <w:rPr>
          <w:szCs w:val="20"/>
          <w:lang w:val="en-GB"/>
        </w:rPr>
        <w:t xml:space="preserve"> for purposes of the </w:t>
      </w:r>
      <w:r w:rsidRPr="009C48DA" w:rsidR="00A903E4">
        <w:rPr>
          <w:szCs w:val="20"/>
          <w:lang w:val="en-GB"/>
        </w:rPr>
        <w:t>Investment Company Act</w:t>
      </w:r>
      <w:r w:rsidRPr="009C48DA">
        <w:rPr>
          <w:szCs w:val="20"/>
          <w:lang w:val="en-GB"/>
        </w:rPr>
        <w:t>. Accordingly, the Company does not believe that it is an inadvertent investment company by virtue of the 40 per cent inadvertent investment company test as described in the second bullet point above. In addition, the Company will not be an investment company under section 3(b)(1) of the Investment Company Act because the Company will be primarily engaged in a non-investment company business, directly or through companies that the Company treats as its wholly-owned subsidiaries</w:t>
      </w:r>
      <w:r w:rsidRPr="009C48DA" w:rsidR="00A903E4">
        <w:rPr>
          <w:szCs w:val="20"/>
          <w:lang w:val="en-GB"/>
        </w:rPr>
        <w:t xml:space="preserve"> for purposes of the Investment Company Act</w:t>
      </w:r>
      <w:r w:rsidRPr="009C48DA">
        <w:rPr>
          <w:szCs w:val="20"/>
          <w:lang w:val="en-GB"/>
        </w:rPr>
        <w:t>.</w:t>
      </w:r>
    </w:p>
    <w:p w:rsidRPr="009C48DA" w:rsidR="00D43E9F" w:rsidP="00D43E9F" w:rsidRDefault="00D43E9F" w14:paraId="6936B2FE" w14:textId="6B4A6482">
      <w:pPr>
        <w:pStyle w:val="BodyText2SglJ"/>
        <w:rPr>
          <w:szCs w:val="20"/>
          <w:lang w:val="en-GB"/>
        </w:rPr>
      </w:pPr>
      <w:r w:rsidRPr="009C48DA">
        <w:rPr>
          <w:szCs w:val="20"/>
          <w:lang w:val="en-GB"/>
        </w:rPr>
        <w:t>The Group intends to conduct its operations in a manner that will not cause the Company to be deemed an investment company under the Investment Company Act. To conduct operations in such a manner, the Group may need to restrict the kinds of assets in which it can invest and/or the types of securities that it may issue, sell securities (including on unfavourable terms), acquire assets or businesses that could change the nature of its business and potentially take other actions that may be viewed as adverse t</w:t>
      </w:r>
      <w:r w:rsidRPr="009C48DA" w:rsidR="00A977CF">
        <w:rPr>
          <w:szCs w:val="20"/>
          <w:lang w:val="en-GB"/>
        </w:rPr>
        <w:t>o the holders of the Company’s s</w:t>
      </w:r>
      <w:r w:rsidRPr="009C48DA">
        <w:rPr>
          <w:szCs w:val="20"/>
          <w:lang w:val="en-GB"/>
        </w:rPr>
        <w:t>hares. The Group will also need to monitor regularly the composition of its assets and, potentially, the sources of its income, among other things, to ensure that the Company remains outside the definition of “investment company” under the Investment Company Act.</w:t>
      </w:r>
    </w:p>
    <w:p w:rsidRPr="009C48DA" w:rsidR="00D43E9F" w:rsidP="00D43E9F" w:rsidRDefault="00D43E9F" w14:paraId="727D9CF4" w14:textId="7E6E0B74">
      <w:pPr>
        <w:pStyle w:val="BodyText2SglJ"/>
        <w:rPr>
          <w:szCs w:val="20"/>
          <w:lang w:val="en-GB"/>
        </w:rPr>
      </w:pPr>
      <w:r w:rsidRPr="009C48DA">
        <w:rPr>
          <w:szCs w:val="20"/>
          <w:lang w:val="en-GB"/>
        </w:rPr>
        <w:t xml:space="preserve">If anything were to happen that would cause the Company to be deemed an investment company under the Investment Company Act, it might lose the ability to raise money in U.S. capital markets and from U.S. lenders, U.S. investors and non-U.S. investors located in the United States, and additional restrictions and requirements under the Investment Company Act could apply to it, all of which could make it impractical for the Group to continue its business as currently conducted. This would materially and adversely affect its business, the value of the </w:t>
      </w:r>
      <w:r w:rsidRPr="009C48DA" w:rsidR="00A977CF">
        <w:rPr>
          <w:szCs w:val="20"/>
          <w:lang w:val="en-GB"/>
        </w:rPr>
        <w:t>Company’s s</w:t>
      </w:r>
      <w:r w:rsidRPr="009C48DA">
        <w:rPr>
          <w:szCs w:val="20"/>
          <w:lang w:val="en-GB"/>
        </w:rPr>
        <w:t>hares and the ability to pay dividends. Any such event could also require the Group to make significant changes to its balance sheet, including selling securities on unfavourable terms, in order to cause the Company to cease to be an investment company.</w:t>
      </w:r>
    </w:p>
    <w:p w:rsidRPr="009C48DA" w:rsidR="00225C62" w:rsidP="00D43E9F" w:rsidRDefault="004B53DF" w14:paraId="5EBA67C9" w14:textId="7E20B7C9">
      <w:pPr>
        <w:pStyle w:val="BodyText2SglJ"/>
        <w:rPr>
          <w:szCs w:val="20"/>
          <w:lang w:val="en-GB"/>
        </w:rPr>
      </w:pPr>
      <w:r w:rsidRPr="009C48DA">
        <w:rPr>
          <w:szCs w:val="20"/>
          <w:lang w:val="en-GB"/>
        </w:rPr>
        <w:t xml:space="preserve">It is expected that </w:t>
      </w:r>
      <w:r w:rsidRPr="009C48DA" w:rsidR="00A903E4">
        <w:rPr>
          <w:szCs w:val="20"/>
          <w:lang w:val="en-GB"/>
        </w:rPr>
        <w:t xml:space="preserve">the Company </w:t>
      </w:r>
      <w:r w:rsidRPr="009C48DA">
        <w:rPr>
          <w:szCs w:val="20"/>
          <w:lang w:val="en-GB"/>
        </w:rPr>
        <w:t>will include</w:t>
      </w:r>
      <w:r w:rsidRPr="009C48DA" w:rsidR="00A903E4">
        <w:rPr>
          <w:szCs w:val="20"/>
          <w:lang w:val="en-GB"/>
        </w:rPr>
        <w:t xml:space="preserve"> in its articles of association certain provisions that will allow it</w:t>
      </w:r>
      <w:r w:rsidRPr="009C48DA">
        <w:rPr>
          <w:szCs w:val="20"/>
          <w:lang w:val="en-GB"/>
        </w:rPr>
        <w:t xml:space="preserve">, in the event that it is deemed to be an investment company under the Investment Company Act, </w:t>
      </w:r>
      <w:r w:rsidRPr="009C48DA" w:rsidR="00A903E4">
        <w:rPr>
          <w:szCs w:val="20"/>
          <w:lang w:val="en-GB"/>
        </w:rPr>
        <w:t xml:space="preserve">to force a </w:t>
      </w:r>
      <w:r w:rsidRPr="009C48DA" w:rsidR="00225C62">
        <w:rPr>
          <w:szCs w:val="20"/>
          <w:lang w:val="en-GB"/>
        </w:rPr>
        <w:t>“U.S. person” (a</w:t>
      </w:r>
      <w:r w:rsidRPr="009C48DA">
        <w:rPr>
          <w:szCs w:val="20"/>
          <w:lang w:val="en-GB"/>
        </w:rPr>
        <w:t>s defined in Regulation </w:t>
      </w:r>
      <w:r w:rsidRPr="009C48DA" w:rsidR="00225C62">
        <w:rPr>
          <w:szCs w:val="20"/>
          <w:lang w:val="en-GB"/>
        </w:rPr>
        <w:t xml:space="preserve">S under </w:t>
      </w:r>
      <w:r w:rsidRPr="009C48DA" w:rsidR="00A903E4">
        <w:rPr>
          <w:szCs w:val="20"/>
          <w:lang w:val="en-GB"/>
        </w:rPr>
        <w:t xml:space="preserve">the U.S. Securities Act) </w:t>
      </w:r>
      <w:r w:rsidRPr="009C48DA" w:rsidR="0079617A">
        <w:rPr>
          <w:szCs w:val="20"/>
          <w:lang w:val="en-GB"/>
        </w:rPr>
        <w:t xml:space="preserve">that is a </w:t>
      </w:r>
      <w:r w:rsidRPr="009C48DA" w:rsidR="00A903E4">
        <w:rPr>
          <w:szCs w:val="20"/>
          <w:lang w:val="en-GB"/>
        </w:rPr>
        <w:t>holder</w:t>
      </w:r>
      <w:r w:rsidRPr="009C48DA" w:rsidR="00225C62">
        <w:rPr>
          <w:szCs w:val="20"/>
          <w:lang w:val="en-GB"/>
        </w:rPr>
        <w:t xml:space="preserve"> of </w:t>
      </w:r>
      <w:r w:rsidRPr="009C48DA" w:rsidR="00D57626">
        <w:rPr>
          <w:szCs w:val="20"/>
          <w:lang w:val="en-GB"/>
        </w:rPr>
        <w:t xml:space="preserve">the </w:t>
      </w:r>
      <w:r w:rsidRPr="009C48DA" w:rsidR="00D57626">
        <w:rPr>
          <w:szCs w:val="20"/>
          <w:lang w:val="en-GB"/>
        </w:rPr>
        <w:lastRenderedPageBreak/>
        <w:t>Company</w:t>
      </w:r>
      <w:r w:rsidRPr="009C48DA" w:rsidR="004A6BAF">
        <w:rPr>
          <w:szCs w:val="20"/>
          <w:lang w:val="en-GB"/>
        </w:rPr>
        <w:t xml:space="preserve"> </w:t>
      </w:r>
      <w:r w:rsidRPr="009C48DA" w:rsidR="00F42457">
        <w:rPr>
          <w:szCs w:val="20"/>
          <w:lang w:val="en-GB"/>
        </w:rPr>
        <w:t>s</w:t>
      </w:r>
      <w:r w:rsidRPr="009C48DA" w:rsidR="00A903E4">
        <w:rPr>
          <w:szCs w:val="20"/>
          <w:lang w:val="en-GB"/>
        </w:rPr>
        <w:t xml:space="preserve">hares </w:t>
      </w:r>
      <w:r w:rsidRPr="009C48DA" w:rsidR="0079617A">
        <w:rPr>
          <w:szCs w:val="20"/>
          <w:lang w:val="en-GB"/>
        </w:rPr>
        <w:t xml:space="preserve">and </w:t>
      </w:r>
      <w:r w:rsidRPr="009C48DA" w:rsidR="00A903E4">
        <w:rPr>
          <w:szCs w:val="20"/>
          <w:lang w:val="en-GB"/>
        </w:rPr>
        <w:t>that is</w:t>
      </w:r>
      <w:r w:rsidRPr="009C48DA" w:rsidR="00225C62">
        <w:rPr>
          <w:szCs w:val="20"/>
          <w:lang w:val="en-GB"/>
        </w:rPr>
        <w:t xml:space="preserve"> not </w:t>
      </w:r>
      <w:r w:rsidRPr="009C48DA" w:rsidR="00A903E4">
        <w:rPr>
          <w:szCs w:val="20"/>
          <w:lang w:val="en-GB"/>
        </w:rPr>
        <w:t xml:space="preserve">a </w:t>
      </w:r>
      <w:r w:rsidRPr="009C48DA" w:rsidR="004A6BAF">
        <w:rPr>
          <w:szCs w:val="20"/>
          <w:lang w:val="en-GB"/>
        </w:rPr>
        <w:t>“qualified purchaser</w:t>
      </w:r>
      <w:r w:rsidRPr="009C48DA" w:rsidR="00225C62">
        <w:rPr>
          <w:szCs w:val="20"/>
          <w:lang w:val="en-GB"/>
        </w:rPr>
        <w:t xml:space="preserve">” </w:t>
      </w:r>
      <w:r w:rsidRPr="009C48DA" w:rsidR="0079617A">
        <w:rPr>
          <w:szCs w:val="20"/>
          <w:lang w:val="en-GB"/>
        </w:rPr>
        <w:t>(</w:t>
      </w:r>
      <w:r w:rsidRPr="009C48DA" w:rsidR="00225C62">
        <w:rPr>
          <w:szCs w:val="20"/>
          <w:lang w:val="en-GB"/>
        </w:rPr>
        <w:t>as defined under the Investment Company Act</w:t>
      </w:r>
      <w:r w:rsidRPr="009C48DA" w:rsidR="0079617A">
        <w:rPr>
          <w:szCs w:val="20"/>
          <w:lang w:val="en-GB"/>
        </w:rPr>
        <w:t>)</w:t>
      </w:r>
      <w:r w:rsidRPr="009C48DA" w:rsidR="00225C62">
        <w:rPr>
          <w:szCs w:val="20"/>
          <w:lang w:val="en-GB"/>
        </w:rPr>
        <w:t xml:space="preserve"> </w:t>
      </w:r>
      <w:r w:rsidRPr="009C48DA" w:rsidR="00A903E4">
        <w:rPr>
          <w:szCs w:val="20"/>
          <w:lang w:val="en-GB"/>
        </w:rPr>
        <w:t xml:space="preserve">to sell its </w:t>
      </w:r>
      <w:r w:rsidRPr="009C48DA" w:rsidR="00225C62">
        <w:rPr>
          <w:szCs w:val="20"/>
          <w:lang w:val="en-GB"/>
        </w:rPr>
        <w:t>shares</w:t>
      </w:r>
      <w:r w:rsidRPr="009C48DA" w:rsidR="006B7314">
        <w:rPr>
          <w:szCs w:val="20"/>
          <w:lang w:val="en-GB"/>
        </w:rPr>
        <w:t xml:space="preserve"> </w:t>
      </w:r>
      <w:r w:rsidRPr="009C48DA">
        <w:rPr>
          <w:szCs w:val="20"/>
          <w:lang w:val="en-GB"/>
        </w:rPr>
        <w:t xml:space="preserve">in the Company </w:t>
      </w:r>
      <w:r w:rsidRPr="009C48DA" w:rsidR="006B7314">
        <w:rPr>
          <w:szCs w:val="20"/>
          <w:lang w:val="en-GB"/>
        </w:rPr>
        <w:t xml:space="preserve">to non-U.S. person purchasers within 14 days of receipt of a notice from the Company requesting such a sale </w:t>
      </w:r>
      <w:r w:rsidRPr="009C48DA">
        <w:rPr>
          <w:szCs w:val="20"/>
          <w:lang w:val="en-GB"/>
        </w:rPr>
        <w:t>(</w:t>
      </w:r>
      <w:r w:rsidRPr="009C48DA" w:rsidR="006B7314">
        <w:rPr>
          <w:szCs w:val="20"/>
          <w:lang w:val="en-GB"/>
        </w:rPr>
        <w:t>or such longer period as the Directors consider reasonable</w:t>
      </w:r>
      <w:r w:rsidRPr="009C48DA">
        <w:rPr>
          <w:szCs w:val="20"/>
          <w:lang w:val="en-GB"/>
        </w:rPr>
        <w:t>)</w:t>
      </w:r>
      <w:r w:rsidRPr="009C48DA" w:rsidR="00225C62">
        <w:rPr>
          <w:szCs w:val="20"/>
          <w:lang w:val="en-GB"/>
        </w:rPr>
        <w:t xml:space="preserve">. In such a case, U.S. person holders that cannot demonstrate that they are qualified purchasers would be forced to sell their </w:t>
      </w:r>
      <w:r w:rsidRPr="009C48DA" w:rsidR="00F42457">
        <w:rPr>
          <w:szCs w:val="20"/>
          <w:lang w:val="en-GB"/>
        </w:rPr>
        <w:t>s</w:t>
      </w:r>
      <w:r w:rsidRPr="009C48DA" w:rsidR="00225C62">
        <w:rPr>
          <w:szCs w:val="20"/>
          <w:lang w:val="en-GB"/>
        </w:rPr>
        <w:t>hares</w:t>
      </w:r>
      <w:r w:rsidRPr="009C48DA">
        <w:rPr>
          <w:szCs w:val="20"/>
          <w:lang w:val="en-GB"/>
        </w:rPr>
        <w:t xml:space="preserve"> in the Company</w:t>
      </w:r>
      <w:r w:rsidRPr="009C48DA" w:rsidR="00225C62">
        <w:rPr>
          <w:szCs w:val="20"/>
          <w:lang w:val="en-GB"/>
        </w:rPr>
        <w:t xml:space="preserve">, and potentially make a loss as a result. </w:t>
      </w:r>
      <w:r w:rsidRPr="009C48DA" w:rsidR="00B41930">
        <w:rPr>
          <w:szCs w:val="20"/>
          <w:lang w:val="en-GB"/>
        </w:rPr>
        <w:t>In the event of any such forced sale</w:t>
      </w:r>
      <w:r w:rsidRPr="009C48DA" w:rsidR="007155D4">
        <w:rPr>
          <w:szCs w:val="20"/>
          <w:lang w:val="en-GB"/>
        </w:rPr>
        <w:t>,</w:t>
      </w:r>
      <w:r w:rsidRPr="009C48DA" w:rsidR="00B41930">
        <w:rPr>
          <w:szCs w:val="20"/>
          <w:lang w:val="en-GB"/>
        </w:rPr>
        <w:t xml:space="preserve"> t</w:t>
      </w:r>
      <w:r w:rsidRPr="009C48DA" w:rsidR="00225C62">
        <w:rPr>
          <w:szCs w:val="20"/>
          <w:lang w:val="en-GB"/>
        </w:rPr>
        <w:t>here can b</w:t>
      </w:r>
      <w:r w:rsidRPr="009C48DA">
        <w:rPr>
          <w:szCs w:val="20"/>
          <w:lang w:val="en-GB"/>
        </w:rPr>
        <w:t>e no assurance that U.S. person holders</w:t>
      </w:r>
      <w:r w:rsidRPr="009C48DA" w:rsidR="00225C62">
        <w:rPr>
          <w:szCs w:val="20"/>
          <w:lang w:val="en-GB"/>
        </w:rPr>
        <w:t xml:space="preserve"> </w:t>
      </w:r>
      <w:r w:rsidRPr="009C48DA">
        <w:rPr>
          <w:szCs w:val="20"/>
          <w:lang w:val="en-GB"/>
        </w:rPr>
        <w:t xml:space="preserve">of shares in the Company </w:t>
      </w:r>
      <w:r w:rsidRPr="009C48DA" w:rsidR="00225C62">
        <w:rPr>
          <w:szCs w:val="20"/>
          <w:lang w:val="en-GB"/>
        </w:rPr>
        <w:t>will be able to locate acceptable purchasers at suitable prices.</w:t>
      </w:r>
    </w:p>
    <w:p w:rsidRPr="009C48DA" w:rsidR="00D43E9F" w:rsidP="00D43E9F" w:rsidRDefault="00D43E9F" w14:paraId="57FB1EF2" w14:textId="77777777">
      <w:pPr>
        <w:pStyle w:val="TitleBI"/>
        <w:rPr>
          <w:szCs w:val="20"/>
          <w:lang w:val="en-GB"/>
        </w:rPr>
      </w:pPr>
      <w:r w:rsidRPr="009C48DA">
        <w:rPr>
          <w:szCs w:val="20"/>
          <w:lang w:val="en-GB"/>
        </w:rPr>
        <w:t>Compliance with the Investment Firms Prudential Regime may involve costs and could result in burdens on the Group’s business, which could have a material adverse effect on the Group’s business, revenue, net income and cash flows.</w:t>
      </w:r>
    </w:p>
    <w:p w:rsidRPr="009C48DA" w:rsidR="00D43E9F" w:rsidP="00D43E9F" w:rsidRDefault="00D43E9F" w14:paraId="57DF0FBE" w14:textId="77777777">
      <w:pPr>
        <w:pStyle w:val="BodyText2SglJ"/>
        <w:rPr>
          <w:szCs w:val="20"/>
          <w:lang w:val="en-GB"/>
        </w:rPr>
      </w:pPr>
      <w:r w:rsidRPr="009C48DA">
        <w:rPr>
          <w:szCs w:val="20"/>
          <w:lang w:val="en-GB"/>
        </w:rPr>
        <w:t>From 26 June 2021, firms in the EEA which are authorised under Directive 2014/65/EU (“</w:t>
      </w:r>
      <w:r w:rsidRPr="009C48DA">
        <w:rPr>
          <w:b/>
          <w:szCs w:val="20"/>
          <w:lang w:val="en-GB"/>
        </w:rPr>
        <w:t>MiFID II</w:t>
      </w:r>
      <w:r w:rsidRPr="009C48DA">
        <w:rPr>
          <w:szCs w:val="20"/>
          <w:lang w:val="en-GB"/>
        </w:rPr>
        <w:t>”) will be subject to a new framework for prudential requirements under the Investment Firms Regulation 2019/2033 (“</w:t>
      </w:r>
      <w:r w:rsidRPr="009C48DA">
        <w:rPr>
          <w:b/>
          <w:szCs w:val="20"/>
          <w:lang w:val="en-GB"/>
        </w:rPr>
        <w:t>IFR</w:t>
      </w:r>
      <w:r w:rsidRPr="009C48DA">
        <w:rPr>
          <w:szCs w:val="20"/>
          <w:lang w:val="en-GB"/>
        </w:rPr>
        <w:t>”) and Investment Firms Directive 2019/2034 (“</w:t>
      </w:r>
      <w:r w:rsidRPr="009C48DA">
        <w:rPr>
          <w:b/>
          <w:szCs w:val="20"/>
          <w:lang w:val="en-GB"/>
        </w:rPr>
        <w:t>IFD</w:t>
      </w:r>
      <w:r w:rsidRPr="009C48DA">
        <w:rPr>
          <w:szCs w:val="20"/>
          <w:lang w:val="en-GB"/>
        </w:rPr>
        <w:t>”), replacing the current requirements set out in the Capital Requirements Directive 2013/36/EU (“</w:t>
      </w:r>
      <w:r w:rsidRPr="009C48DA">
        <w:rPr>
          <w:b/>
          <w:szCs w:val="20"/>
          <w:lang w:val="en-GB"/>
        </w:rPr>
        <w:t>CRD IV</w:t>
      </w:r>
      <w:r w:rsidRPr="009C48DA">
        <w:rPr>
          <w:szCs w:val="20"/>
          <w:lang w:val="en-GB"/>
        </w:rPr>
        <w:t>”) and Capital Requirements Regulation 575/2013 (“</w:t>
      </w:r>
      <w:r w:rsidRPr="009C48DA">
        <w:rPr>
          <w:b/>
          <w:szCs w:val="20"/>
          <w:lang w:val="en-GB"/>
        </w:rPr>
        <w:t>CRR</w:t>
      </w:r>
      <w:r w:rsidRPr="009C48DA">
        <w:rPr>
          <w:szCs w:val="20"/>
          <w:lang w:val="en-GB"/>
        </w:rPr>
        <w:t>”). Following its withdrawal from the European Union and EEA, the UK intends to introduce a similarly updated regime for UK-authorised investment firms, which will be similar, though not identical, to that under IFR/IFD. This regime is referred to as the Investment Firms Prudential Regime (“</w:t>
      </w:r>
      <w:r w:rsidRPr="009C48DA">
        <w:rPr>
          <w:b/>
          <w:szCs w:val="20"/>
          <w:lang w:val="en-GB"/>
        </w:rPr>
        <w:t>IFPR</w:t>
      </w:r>
      <w:r w:rsidRPr="009C48DA">
        <w:rPr>
          <w:szCs w:val="20"/>
          <w:lang w:val="en-GB"/>
        </w:rPr>
        <w:t xml:space="preserve">”). </w:t>
      </w:r>
    </w:p>
    <w:p w:rsidRPr="009C48DA" w:rsidR="00D43E9F" w:rsidP="00D43E9F" w:rsidRDefault="00D43E9F" w14:paraId="236BC018" w14:textId="77777777">
      <w:pPr>
        <w:pStyle w:val="BodyText2SglJ"/>
        <w:rPr>
          <w:szCs w:val="20"/>
          <w:lang w:val="en-GB"/>
        </w:rPr>
      </w:pPr>
      <w:r w:rsidRPr="009C48DA">
        <w:rPr>
          <w:szCs w:val="20"/>
          <w:lang w:val="en-GB"/>
        </w:rPr>
        <w:t xml:space="preserve">The IFPR is intended to come into force on 1 January 2022, and is currently subject to a series of consultation papers by the FCA. A final consultation paper is expected to be published in the third quarter of 2021, with policy statements setting out final rules expected to be published within 2021. Certain companies of the Group are UK-authorised investment firms and will be subject to the IFPR. As a result, these companies will need to comply with the changes to the existing prudential regime set out therein. </w:t>
      </w:r>
    </w:p>
    <w:p w:rsidRPr="009C48DA" w:rsidR="00D43E9F" w:rsidP="00DB11C9" w:rsidRDefault="00D43E9F" w14:paraId="77B52AE9" w14:textId="7FA3429B">
      <w:pPr>
        <w:pStyle w:val="BodyText2SglJ"/>
        <w:keepNext/>
        <w:rPr>
          <w:szCs w:val="20"/>
          <w:lang w:val="en-GB"/>
        </w:rPr>
      </w:pPr>
      <w:r w:rsidRPr="009C48DA">
        <w:rPr>
          <w:szCs w:val="20"/>
          <w:lang w:val="en-GB"/>
        </w:rPr>
        <w:t xml:space="preserve">In summary, the IFPR introduces a number of changes which will affect in-scope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entities:</w:t>
      </w:r>
    </w:p>
    <w:p w:rsidRPr="009C48DA" w:rsidR="00D43E9F" w:rsidP="00D43E9F" w:rsidRDefault="00D43E9F" w14:paraId="7C3C36CF" w14:textId="184A866A">
      <w:pPr>
        <w:pStyle w:val="STBBullet3"/>
        <w:rPr>
          <w:szCs w:val="20"/>
          <w:lang w:val="en-GB"/>
        </w:rPr>
      </w:pPr>
      <w:r w:rsidRPr="009C48DA">
        <w:rPr>
          <w:szCs w:val="20"/>
          <w:lang w:val="en-GB"/>
        </w:rPr>
        <w:t>a new methodology for the calculation of capital requirements, based on “K-factors”, which are applied to a firm depending on the nature of the activities it undertakes and the permissions that it holds; specifically, the IFPR sets out “risk to customer” K-factors that are potentially applicable to all firms, based on assets under management, client money held, assets safeguarded and administered, and client orders handled (</w:t>
      </w:r>
      <w:r w:rsidRPr="009C48DA">
        <w:rPr>
          <w:i/>
          <w:szCs w:val="20"/>
          <w:lang w:val="en-GB"/>
        </w:rPr>
        <w:t>i.e</w:t>
      </w:r>
      <w:r w:rsidRPr="009C48DA">
        <w:rPr>
          <w:szCs w:val="20"/>
          <w:lang w:val="en-GB"/>
        </w:rPr>
        <w:t>. orders received/transmitted or executed for clients); additional K-factors apply where a firm holds permission to deal as principal, relating to “risk to market” and “risk to firm” categories;</w:t>
      </w:r>
    </w:p>
    <w:p w:rsidRPr="009C48DA" w:rsidR="00D43E9F" w:rsidP="00D43E9F" w:rsidRDefault="00D43E9F" w14:paraId="2D0FA14E" w14:textId="77777777">
      <w:pPr>
        <w:pStyle w:val="STBBullet3"/>
        <w:rPr>
          <w:szCs w:val="20"/>
          <w:lang w:val="en-GB"/>
        </w:rPr>
      </w:pPr>
      <w:r w:rsidRPr="009C48DA">
        <w:rPr>
          <w:szCs w:val="20"/>
          <w:lang w:val="en-GB"/>
        </w:rPr>
        <w:t xml:space="preserve">new initial capital, own funds, fixed overheads and permanent minimum capital requirements, with most firms being likely to see an increase in initial capital requirements under the new IFPR methodology; </w:t>
      </w:r>
    </w:p>
    <w:p w:rsidRPr="009C48DA" w:rsidR="00D43E9F" w:rsidP="00D43E9F" w:rsidRDefault="00D43E9F" w14:paraId="4BABFBC9" w14:textId="77777777">
      <w:pPr>
        <w:pStyle w:val="STBBullet3"/>
        <w:rPr>
          <w:szCs w:val="20"/>
          <w:lang w:val="en-GB"/>
        </w:rPr>
      </w:pPr>
      <w:r w:rsidRPr="009C48DA">
        <w:rPr>
          <w:szCs w:val="20"/>
          <w:lang w:val="en-GB"/>
        </w:rPr>
        <w:t>new liquid assets requirements, based on calculations including the firm’s fixed overheads and any guarantees given to clients; and</w:t>
      </w:r>
    </w:p>
    <w:p w:rsidRPr="009C48DA" w:rsidR="00D43E9F" w:rsidP="00D43E9F" w:rsidRDefault="00D43E9F" w14:paraId="1FE72EAE" w14:textId="77777777">
      <w:pPr>
        <w:pStyle w:val="STBBullet3"/>
        <w:rPr>
          <w:szCs w:val="20"/>
          <w:lang w:val="en-GB"/>
        </w:rPr>
      </w:pPr>
      <w:r w:rsidRPr="009C48DA">
        <w:rPr>
          <w:szCs w:val="20"/>
          <w:lang w:val="en-GB"/>
        </w:rPr>
        <w:t xml:space="preserve">additional governance, remuneration, risk monitoring and management, and disclosure/reporting requirements covering both disclosure to clients and reporting to the FCA. </w:t>
      </w:r>
    </w:p>
    <w:p w:rsidRPr="009C48DA" w:rsidR="00D43E9F" w:rsidP="00D43E9F" w:rsidRDefault="00D43E9F" w14:paraId="3F407C59" w14:textId="4D719ED1">
      <w:pPr>
        <w:pStyle w:val="BodyText2SglJ"/>
        <w:rPr>
          <w:rFonts w:eastAsia="Calibri" w:cs="Arial"/>
          <w:szCs w:val="20"/>
          <w:lang w:val="en-GB"/>
        </w:rPr>
      </w:pPr>
      <w:r w:rsidRPr="009C48DA">
        <w:rPr>
          <w:szCs w:val="20"/>
          <w:lang w:val="en-GB"/>
        </w:rPr>
        <w:t xml:space="preserve">As the IFPR is currently still subject to ongoing consultation by the FCA, </w:t>
      </w:r>
      <w:r w:rsidRPr="009C48DA" w:rsidR="008453E7">
        <w:rPr>
          <w:rFonts w:eastAsia="Calibri" w:cs="Arial"/>
          <w:szCs w:val="20"/>
          <w:lang w:val="en-GB"/>
        </w:rPr>
        <w:t>Bridgepoint</w:t>
      </w:r>
      <w:r w:rsidRPr="009C48DA" w:rsidR="008453E7">
        <w:rPr>
          <w:szCs w:val="20"/>
          <w:lang w:val="en-GB"/>
        </w:rPr>
        <w:t xml:space="preserve"> </w:t>
      </w:r>
      <w:r w:rsidRPr="009C48DA">
        <w:rPr>
          <w:szCs w:val="20"/>
          <w:lang w:val="en-GB"/>
        </w:rPr>
        <w:t xml:space="preserve">is assessing the impact on in-scope firms in the Group and will take steps to comply with the new regime once applicable rules are finalised. Compliance with the regime may involve additional costs which may indirectly affect the Group and the Company and could result in additional burdens on the Group’s business. This, in turn, could have a material adverse effect on the Group’s business, revenue, net income and cash flows. However, the Directors do not expect that the new regime will have a material effect on liquidity in the short-term </w:t>
      </w:r>
      <w:r w:rsidR="008C4B9C">
        <w:rPr>
          <w:szCs w:val="20"/>
          <w:lang w:val="en-GB"/>
        </w:rPr>
        <w:t xml:space="preserve">(i.e. within 18 months of the date of this Registration Document) </w:t>
      </w:r>
      <w:r w:rsidRPr="009C48DA">
        <w:rPr>
          <w:szCs w:val="20"/>
          <w:lang w:val="en-GB"/>
        </w:rPr>
        <w:t xml:space="preserve">as it expects that the requirements will be satisfied through existing capital resources within the Group </w:t>
      </w:r>
      <w:r w:rsidR="008C4B9C">
        <w:rPr>
          <w:szCs w:val="20"/>
          <w:lang w:val="en-GB"/>
        </w:rPr>
        <w:t xml:space="preserve">and </w:t>
      </w:r>
      <w:r w:rsidRPr="009C48DA">
        <w:rPr>
          <w:szCs w:val="20"/>
          <w:lang w:val="en-GB"/>
        </w:rPr>
        <w:t>cash flows from the Group’s operations.</w:t>
      </w:r>
    </w:p>
    <w:p w:rsidRPr="009C48DA" w:rsidR="006D6A27" w:rsidP="00676CA5" w:rsidRDefault="006D6A27" w14:paraId="737FBC68" w14:textId="77777777">
      <w:pPr>
        <w:pStyle w:val="TitleBI"/>
        <w:rPr>
          <w:szCs w:val="20"/>
          <w:lang w:val="en-GB"/>
        </w:rPr>
      </w:pPr>
      <w:bookmarkStart w:name="_9kMK2G6ZWu5997HJeSkFN1onpzA44GkdIMO" w:id="315"/>
      <w:r w:rsidRPr="009C48DA">
        <w:rPr>
          <w:szCs w:val="20"/>
          <w:lang w:val="en-GB"/>
        </w:rPr>
        <w:lastRenderedPageBreak/>
        <w:t xml:space="preserve">The </w:t>
      </w:r>
      <w:bookmarkEnd w:id="315"/>
      <w:r w:rsidRPr="009C48DA">
        <w:rPr>
          <w:szCs w:val="20"/>
          <w:lang w:val="en-GB"/>
        </w:rPr>
        <w:t>Group is subject to risks related to conflicts of interest.</w:t>
      </w:r>
    </w:p>
    <w:p w:rsidRPr="009C48DA" w:rsidR="006D6A27" w:rsidP="00676CA5" w:rsidRDefault="006D6A27" w14:paraId="066BE2BD" w14:textId="4E663D14">
      <w:pPr>
        <w:pStyle w:val="BodyText2SglJ"/>
        <w:rPr>
          <w:rFonts w:eastAsia="Calibri" w:cs="Arial"/>
          <w:szCs w:val="20"/>
          <w:lang w:val="en-GB"/>
        </w:rPr>
      </w:pPr>
      <w:r w:rsidRPr="009C48DA">
        <w:rPr>
          <w:rFonts w:eastAsia="Calibri" w:cs="Arial"/>
          <w:szCs w:val="20"/>
          <w:lang w:val="en-GB"/>
        </w:rPr>
        <w:t xml:space="preserve">Various conflicts of interest may arise with regard to the activities of the Group, the </w:t>
      </w:r>
      <w:bookmarkStart w:name="_9kMH6AL7aXv6AA8BFPLzmlnx822EhdI28" w:id="316"/>
      <w:r w:rsidRPr="009C48DA" w:rsidR="008453E7">
        <w:rPr>
          <w:rFonts w:eastAsia="Calibri" w:cs="Arial"/>
          <w:szCs w:val="20"/>
          <w:lang w:val="en-GB"/>
        </w:rPr>
        <w:t xml:space="preserve">Bridgepoint </w:t>
      </w:r>
      <w:r w:rsidRPr="009C48DA">
        <w:rPr>
          <w:rFonts w:eastAsia="Calibri" w:cs="Arial"/>
          <w:szCs w:val="20"/>
          <w:lang w:val="en-GB"/>
        </w:rPr>
        <w:t>Funds</w:t>
      </w:r>
      <w:bookmarkEnd w:id="316"/>
      <w:r w:rsidRPr="009C48DA">
        <w:rPr>
          <w:rFonts w:eastAsia="Calibri" w:cs="Arial"/>
          <w:szCs w:val="20"/>
          <w:lang w:val="en-GB"/>
        </w:rPr>
        <w:t xml:space="preserve">, the shareholders of the Company and the </w:t>
      </w:r>
      <w:bookmarkStart w:name="_9kMI2I6ZWu5997DLWR6qMRB31HEDI" w:id="317"/>
      <w:r w:rsidRPr="009C48DA">
        <w:rPr>
          <w:rFonts w:eastAsia="Calibri" w:cs="Arial"/>
          <w:szCs w:val="20"/>
          <w:lang w:val="en-GB"/>
        </w:rPr>
        <w:t>investors</w:t>
      </w:r>
      <w:bookmarkEnd w:id="317"/>
      <w:r w:rsidRPr="009C48DA">
        <w:rPr>
          <w:rFonts w:eastAsia="Calibri" w:cs="Arial"/>
          <w:szCs w:val="20"/>
          <w:lang w:val="en-GB"/>
        </w:rPr>
        <w:t xml:space="preserve"> in the </w:t>
      </w:r>
      <w:r w:rsidRPr="009C48DA" w:rsidR="008453E7">
        <w:rPr>
          <w:rFonts w:eastAsia="Calibri" w:cs="Arial"/>
          <w:szCs w:val="20"/>
          <w:lang w:val="en-GB"/>
        </w:rPr>
        <w:t xml:space="preserve">Bridgepoint </w:t>
      </w:r>
      <w:r w:rsidRPr="009C48DA">
        <w:rPr>
          <w:rFonts w:eastAsia="Calibri" w:cs="Arial"/>
          <w:szCs w:val="20"/>
          <w:lang w:val="en-GB"/>
        </w:rPr>
        <w:t xml:space="preserve">Funds. </w:t>
      </w:r>
      <w:bookmarkStart w:name="_9kMJI5YVt4886CIT6gs5Cx" w:id="318"/>
      <w:r w:rsidRPr="009C48DA">
        <w:rPr>
          <w:rFonts w:eastAsia="Calibri" w:cs="Arial"/>
          <w:szCs w:val="20"/>
          <w:lang w:val="en-GB"/>
        </w:rPr>
        <w:t>Failure</w:t>
      </w:r>
      <w:bookmarkEnd w:id="318"/>
      <w:r w:rsidRPr="009C48DA">
        <w:rPr>
          <w:rFonts w:eastAsia="Calibri" w:cs="Arial"/>
          <w:szCs w:val="20"/>
          <w:lang w:val="en-GB"/>
        </w:rPr>
        <w:t xml:space="preserve"> to appropriately deal with conflicts of interest as they arise, or the appearance thereof, could harm the Group’s brand and reputation or incur potential liability for the Group, and could have a </w:t>
      </w:r>
      <w:r w:rsidRPr="009C48DA" w:rsidDel="00571B6B">
        <w:rPr>
          <w:rFonts w:eastAsia="Calibri" w:cs="Arial"/>
          <w:szCs w:val="20"/>
          <w:lang w:val="en-GB"/>
        </w:rPr>
        <w:t xml:space="preserve">material adverse effect on the </w:t>
      </w:r>
      <w:r w:rsidRPr="009C48DA">
        <w:rPr>
          <w:rFonts w:eastAsia="Calibri" w:cs="Arial"/>
          <w:szCs w:val="20"/>
          <w:lang w:val="en-GB"/>
        </w:rPr>
        <w:t>Group’s business, revenue</w:t>
      </w:r>
      <w:r w:rsidRPr="009C48DA" w:rsidDel="00571B6B">
        <w:rPr>
          <w:rFonts w:eastAsia="Calibri" w:cs="Arial"/>
          <w:szCs w:val="20"/>
          <w:lang w:val="en-GB"/>
        </w:rPr>
        <w:t>, net income and cash flows</w:t>
      </w:r>
      <w:r w:rsidRPr="009C48DA">
        <w:rPr>
          <w:rFonts w:eastAsia="Calibri" w:cs="Arial"/>
          <w:szCs w:val="20"/>
          <w:lang w:val="en-GB"/>
        </w:rPr>
        <w:t>.</w:t>
      </w:r>
    </w:p>
    <w:p w:rsidRPr="009C48DA" w:rsidR="006D6A27" w:rsidP="00676CA5" w:rsidRDefault="006D6A27" w14:paraId="73E610FF" w14:textId="43F542DD">
      <w:pPr>
        <w:pStyle w:val="BodyText2SglJ"/>
        <w:rPr>
          <w:rFonts w:eastAsia="Calibri" w:cs="Arial"/>
          <w:szCs w:val="20"/>
          <w:lang w:val="en-GB"/>
        </w:rPr>
      </w:pPr>
      <w:r w:rsidRPr="009C48DA">
        <w:rPr>
          <w:rFonts w:eastAsia="Calibri" w:cs="Arial"/>
          <w:szCs w:val="20"/>
          <w:lang w:val="en-GB"/>
        </w:rPr>
        <w:t xml:space="preserve">The </w:t>
      </w:r>
      <w:bookmarkStart w:name="_9kMH6BM7aXv6AA8BFPLzmlnx822EhdI28" w:id="319"/>
      <w:r w:rsidRPr="009C48DA" w:rsidR="008453E7">
        <w:rPr>
          <w:rFonts w:eastAsia="Calibri" w:cs="Arial"/>
          <w:szCs w:val="20"/>
          <w:lang w:val="en-GB"/>
        </w:rPr>
        <w:t xml:space="preserve">Bridgepoint </w:t>
      </w:r>
      <w:r w:rsidRPr="009C48DA">
        <w:rPr>
          <w:rFonts w:eastAsia="Calibri" w:cs="Arial"/>
          <w:szCs w:val="20"/>
          <w:lang w:val="en-GB"/>
        </w:rPr>
        <w:t>Funds</w:t>
      </w:r>
      <w:bookmarkEnd w:id="319"/>
      <w:r w:rsidRPr="009C48DA">
        <w:rPr>
          <w:rFonts w:eastAsia="Calibri" w:cs="Arial"/>
          <w:szCs w:val="20"/>
          <w:lang w:val="en-GB"/>
        </w:rPr>
        <w:t xml:space="preserve"> invest in a broad range of asset classes, including in the equity of portfolio companies and debt securities and loans. In certain cases, </w:t>
      </w:r>
      <w:bookmarkStart w:name="_9kMH6CN7aXv6AA8BFPLzmlnx822EhdI28" w:id="320"/>
      <w:r w:rsidRPr="009C48DA" w:rsidR="008453E7">
        <w:rPr>
          <w:rFonts w:eastAsia="Calibri" w:cs="Arial"/>
          <w:szCs w:val="20"/>
          <w:lang w:val="en-GB"/>
        </w:rPr>
        <w:t xml:space="preserve">Bridgepoint </w:t>
      </w:r>
      <w:r w:rsidRPr="009C48DA">
        <w:rPr>
          <w:rFonts w:eastAsia="Calibri" w:cs="Arial"/>
          <w:szCs w:val="20"/>
          <w:lang w:val="en-GB"/>
        </w:rPr>
        <w:t>Funds</w:t>
      </w:r>
      <w:bookmarkEnd w:id="320"/>
      <w:r w:rsidRPr="009C48DA">
        <w:rPr>
          <w:rFonts w:eastAsia="Calibri" w:cs="Arial"/>
          <w:szCs w:val="20"/>
          <w:lang w:val="en-GB"/>
        </w:rPr>
        <w:t xml:space="preserve"> may invest in different parts of the same company’s capital structure. In those cases, the interests of the different </w:t>
      </w:r>
      <w:bookmarkStart w:name="_9kMH6DO7aXv6AA8BFPLzmlnx822EhdI28" w:id="321"/>
      <w:r w:rsidRPr="009C48DA" w:rsidR="008453E7">
        <w:rPr>
          <w:rFonts w:eastAsia="Calibri" w:cs="Arial"/>
          <w:szCs w:val="20"/>
          <w:lang w:val="en-GB"/>
        </w:rPr>
        <w:t xml:space="preserve">Bridgepoint </w:t>
      </w:r>
      <w:r w:rsidRPr="009C48DA">
        <w:rPr>
          <w:rFonts w:eastAsia="Calibri" w:cs="Arial"/>
          <w:szCs w:val="20"/>
          <w:lang w:val="en-GB"/>
        </w:rPr>
        <w:t>Funds</w:t>
      </w:r>
      <w:bookmarkEnd w:id="321"/>
      <w:r w:rsidRPr="009C48DA">
        <w:rPr>
          <w:rFonts w:eastAsia="Calibri" w:cs="Arial"/>
          <w:szCs w:val="20"/>
          <w:lang w:val="en-GB"/>
        </w:rPr>
        <w:t xml:space="preserve"> may not always be aligned, which could create actual or potential conflicts of interest or give the appearance of such conflicts. For example, one of the </w:t>
      </w:r>
      <w:bookmarkStart w:name="_9kMLK5YVt4886EOhXx2vuzLSF88P" w:id="322"/>
      <w:r w:rsidRPr="009C48DA">
        <w:rPr>
          <w:rFonts w:eastAsia="Calibri" w:cs="Arial"/>
          <w:szCs w:val="20"/>
          <w:lang w:val="en-GB"/>
        </w:rPr>
        <w:t>private equity</w:t>
      </w:r>
      <w:bookmarkEnd w:id="322"/>
      <w:r w:rsidRPr="009C48DA">
        <w:rPr>
          <w:rFonts w:eastAsia="Calibri" w:cs="Arial"/>
          <w:szCs w:val="20"/>
          <w:lang w:val="en-GB"/>
        </w:rPr>
        <w:t xml:space="preserve"> funds could have an interest in pursuing an acquisition, divestiture or other transaction that, in that fund’s judgment, could enhance the value of the private equity investment, even though the proposed transaction could subject a credit fund’s debt investment to additional or increased risks. Moreover, to the extent that any potential investment opportunities have been identified by the Group which fall within the investment mandate of several </w:t>
      </w:r>
      <w:bookmarkStart w:name="_9kMH6EP7aXv6AA8BFPLzmlnx822EhdI28" w:id="323"/>
      <w:r w:rsidRPr="009C48DA" w:rsidR="008453E7">
        <w:rPr>
          <w:rFonts w:eastAsia="Calibri" w:cs="Arial"/>
          <w:szCs w:val="20"/>
          <w:lang w:val="en-GB"/>
        </w:rPr>
        <w:t xml:space="preserve">Bridgepoint </w:t>
      </w:r>
      <w:r w:rsidRPr="009C48DA">
        <w:rPr>
          <w:rFonts w:eastAsia="Calibri" w:cs="Arial"/>
          <w:szCs w:val="20"/>
          <w:lang w:val="en-GB"/>
        </w:rPr>
        <w:t>Funds</w:t>
      </w:r>
      <w:bookmarkEnd w:id="323"/>
      <w:r w:rsidRPr="009C48DA">
        <w:rPr>
          <w:rFonts w:eastAsia="Calibri" w:cs="Arial"/>
          <w:szCs w:val="20"/>
          <w:lang w:val="en-GB"/>
        </w:rPr>
        <w:t xml:space="preserve">, conflicts of interest may arise in relation to the allocation of the investment opportunity and which </w:t>
      </w:r>
      <w:bookmarkStart w:name="_9kMH6FQ7aXv6AA8BFPLzmlnx822EhdI28" w:id="324"/>
      <w:r w:rsidRPr="009C48DA" w:rsidR="008453E7">
        <w:rPr>
          <w:rFonts w:eastAsia="Calibri" w:cs="Arial"/>
          <w:szCs w:val="20"/>
          <w:lang w:val="en-GB"/>
        </w:rPr>
        <w:t xml:space="preserve">Bridgepoint </w:t>
      </w:r>
      <w:r w:rsidRPr="009C48DA">
        <w:rPr>
          <w:rFonts w:eastAsia="Calibri" w:cs="Arial"/>
          <w:szCs w:val="20"/>
          <w:lang w:val="en-GB"/>
        </w:rPr>
        <w:t>Fund</w:t>
      </w:r>
      <w:bookmarkEnd w:id="324"/>
      <w:r w:rsidRPr="009C48DA">
        <w:rPr>
          <w:rFonts w:eastAsia="Calibri" w:cs="Arial"/>
          <w:szCs w:val="20"/>
          <w:lang w:val="en-GB"/>
        </w:rPr>
        <w:t xml:space="preserve"> will pursue the potential investment, in particular when such fund</w:t>
      </w:r>
      <w:bookmarkStart w:name="_9kMIH5YVt4886CLWQ5pPHpqkp1" w:id="325"/>
      <w:r w:rsidRPr="009C48DA">
        <w:rPr>
          <w:rFonts w:eastAsia="Calibri" w:cs="Arial"/>
          <w:szCs w:val="20"/>
          <w:lang w:val="en-GB"/>
        </w:rPr>
        <w:t xml:space="preserve">s are </w:t>
      </w:r>
      <w:r w:rsidRPr="009C48DA" w:rsidR="00092571">
        <w:rPr>
          <w:rFonts w:eastAsia="Calibri" w:cs="Arial"/>
          <w:szCs w:val="20"/>
          <w:lang w:val="en-GB"/>
        </w:rPr>
        <w:t xml:space="preserve">all </w:t>
      </w:r>
      <w:r w:rsidRPr="009C48DA">
        <w:rPr>
          <w:rFonts w:eastAsia="Calibri" w:cs="Arial"/>
          <w:szCs w:val="20"/>
          <w:lang w:val="en-GB"/>
        </w:rPr>
        <w:t>managed by the same Fund Manager</w:t>
      </w:r>
      <w:bookmarkEnd w:id="325"/>
      <w:r w:rsidRPr="009C48DA">
        <w:rPr>
          <w:rFonts w:eastAsia="Calibri" w:cs="Arial"/>
          <w:szCs w:val="20"/>
          <w:lang w:val="en-GB"/>
        </w:rPr>
        <w:t xml:space="preserve"> appointed to act as AIFM under the AIFM Directive (and the on-shored version of it in the UK). The Group maintains an allocation and M&amp;A conflicts committee that considers how to allocate opportunities between </w:t>
      </w:r>
      <w:r w:rsidRPr="009C48DA" w:rsidR="008453E7">
        <w:rPr>
          <w:rFonts w:eastAsia="Calibri" w:cs="Arial"/>
          <w:szCs w:val="20"/>
          <w:lang w:val="en-GB"/>
        </w:rPr>
        <w:t xml:space="preserve">Bridgepoint </w:t>
      </w:r>
      <w:r w:rsidRPr="009C48DA">
        <w:rPr>
          <w:rFonts w:eastAsia="Calibri" w:cs="Arial"/>
          <w:szCs w:val="20"/>
          <w:lang w:val="en-GB"/>
        </w:rPr>
        <w:t>Funds or portfolio companies in a fair and equitable manner.</w:t>
      </w:r>
    </w:p>
    <w:p w:rsidRPr="009C48DA" w:rsidR="006D6A27" w:rsidP="00676CA5" w:rsidRDefault="006D6A27" w14:paraId="5C270A82" w14:textId="7DEF65F4">
      <w:pPr>
        <w:pStyle w:val="BodyText2SglJ"/>
        <w:rPr>
          <w:rFonts w:eastAsia="Calibri" w:cs="Arial"/>
          <w:szCs w:val="20"/>
          <w:lang w:val="en-GB"/>
        </w:rPr>
      </w:pPr>
      <w:r w:rsidRPr="009C48DA">
        <w:rPr>
          <w:rFonts w:eastAsia="Calibri" w:cs="Arial"/>
          <w:szCs w:val="20"/>
          <w:lang w:val="en-GB"/>
        </w:rPr>
        <w:t xml:space="preserve">Further, fund investors may have conflicting investment, tax and other interests with respect to their investments in the </w:t>
      </w:r>
      <w:r w:rsidRPr="009C48DA" w:rsidR="008453E7">
        <w:rPr>
          <w:rFonts w:eastAsia="Calibri" w:cs="Arial"/>
          <w:szCs w:val="20"/>
          <w:lang w:val="en-GB"/>
        </w:rPr>
        <w:t xml:space="preserve">Bridgepoint </w:t>
      </w:r>
      <w:r w:rsidRPr="009C48DA">
        <w:rPr>
          <w:rFonts w:eastAsia="Calibri" w:cs="Arial"/>
          <w:szCs w:val="20"/>
          <w:lang w:val="en-GB"/>
        </w:rPr>
        <w:t xml:space="preserve">Funds, including conﬂicts relating to the </w:t>
      </w:r>
      <w:r w:rsidRPr="009C48DA">
        <w:rPr>
          <w:rFonts w:eastAsia="Times New Roman" w:cs="Times New Roman"/>
          <w:color w:val="231F20"/>
          <w:szCs w:val="20"/>
          <w:lang w:val="en-GB"/>
        </w:rPr>
        <w:t>structuring</w:t>
      </w:r>
      <w:r w:rsidRPr="009C48DA">
        <w:rPr>
          <w:rFonts w:eastAsia="Calibri" w:cs="Arial"/>
          <w:szCs w:val="20"/>
          <w:lang w:val="en-GB"/>
        </w:rPr>
        <w:t xml:space="preserve"> of investment acquisitions and dispositions. The conﬂicting interests of fund investors may relate to or arise from, among other things, the nature of investments made by the </w:t>
      </w:r>
      <w:r w:rsidRPr="009C48DA" w:rsidR="008453E7">
        <w:rPr>
          <w:rFonts w:eastAsia="Calibri" w:cs="Arial"/>
          <w:szCs w:val="20"/>
          <w:lang w:val="en-GB"/>
        </w:rPr>
        <w:t xml:space="preserve">Bridgepoint </w:t>
      </w:r>
      <w:r w:rsidRPr="009C48DA">
        <w:rPr>
          <w:rFonts w:eastAsia="Calibri" w:cs="Arial"/>
          <w:szCs w:val="20"/>
          <w:lang w:val="en-GB"/>
        </w:rPr>
        <w:t xml:space="preserve">Fund, the structuring or the acquisition of investments and the timing of the disposition of investments. As a consequence, conﬂicts of interest may arise in connection with decisions made by the Fund Manager with respect to the nature or structuring of investments that may be more beneﬁcial to one investor than to another investor, especially with respect to an investor’s individual tax situation. </w:t>
      </w:r>
    </w:p>
    <w:p w:rsidRPr="009C48DA" w:rsidR="006D6A27" w:rsidP="00676CA5" w:rsidRDefault="006D6A27" w14:paraId="60CB1170" w14:textId="560F43BE">
      <w:pPr>
        <w:pStyle w:val="BodyText2SglJ"/>
        <w:rPr>
          <w:rFonts w:eastAsia="Calibri" w:cs="Arial"/>
          <w:szCs w:val="20"/>
          <w:lang w:val="en-GB"/>
        </w:rPr>
      </w:pPr>
      <w:r w:rsidRPr="009C48DA">
        <w:rPr>
          <w:rFonts w:eastAsia="Calibri" w:cs="Arial"/>
          <w:szCs w:val="20"/>
          <w:lang w:val="en-GB"/>
        </w:rPr>
        <w:t xml:space="preserve">Potential conflicts could arise with respect to decisions regarding how to allocate co-investment opportunities among investors and the terms of any such co-investments. The </w:t>
      </w:r>
      <w:r w:rsidRPr="009C48DA" w:rsidR="008453E7">
        <w:rPr>
          <w:rFonts w:eastAsia="Calibri" w:cs="Arial"/>
          <w:szCs w:val="20"/>
          <w:lang w:val="en-GB"/>
        </w:rPr>
        <w:t xml:space="preserve">Bridgepoint </w:t>
      </w:r>
      <w:r w:rsidRPr="009C48DA">
        <w:rPr>
          <w:rFonts w:eastAsia="Calibri" w:cs="Arial"/>
          <w:szCs w:val="20"/>
          <w:lang w:val="en-GB"/>
        </w:rPr>
        <w:t xml:space="preserve">Funds’ governing documents typically do not mandate specific allocations with respect to co-investments. The Fund Managers of the </w:t>
      </w:r>
      <w:r w:rsidRPr="009C48DA" w:rsidR="008453E7">
        <w:rPr>
          <w:rFonts w:eastAsia="Calibri" w:cs="Arial"/>
          <w:szCs w:val="20"/>
          <w:lang w:val="en-GB"/>
        </w:rPr>
        <w:t xml:space="preserve">Bridgepoint </w:t>
      </w:r>
      <w:r w:rsidRPr="009C48DA">
        <w:rPr>
          <w:rFonts w:eastAsia="Calibri" w:cs="Arial"/>
          <w:szCs w:val="20"/>
          <w:lang w:val="en-GB"/>
        </w:rPr>
        <w:t xml:space="preserve">Funds may have an incentive to provide potential co-investment opportunities to certain investors in lieu of others and/or in lieu of an allocation to the </w:t>
      </w:r>
      <w:r w:rsidRPr="009C48DA" w:rsidR="008453E7">
        <w:rPr>
          <w:rFonts w:eastAsia="Calibri" w:cs="Arial"/>
          <w:szCs w:val="20"/>
          <w:lang w:val="en-GB"/>
        </w:rPr>
        <w:t xml:space="preserve">Bridgepoint </w:t>
      </w:r>
      <w:r w:rsidRPr="009C48DA">
        <w:rPr>
          <w:rFonts w:eastAsia="Calibri" w:cs="Arial"/>
          <w:szCs w:val="20"/>
          <w:lang w:val="en-GB"/>
        </w:rPr>
        <w:t>Funds, for example, as part of an investor</w:t>
      </w:r>
      <w:r w:rsidRPr="009C48DA" w:rsidR="000737A5">
        <w:rPr>
          <w:rFonts w:eastAsia="Calibri" w:cs="Arial"/>
          <w:szCs w:val="20"/>
          <w:lang w:val="en-GB"/>
        </w:rPr>
        <w:t>’</w:t>
      </w:r>
      <w:r w:rsidRPr="009C48DA">
        <w:rPr>
          <w:rFonts w:eastAsia="Calibri" w:cs="Arial"/>
          <w:szCs w:val="20"/>
          <w:lang w:val="en-GB"/>
        </w:rPr>
        <w:t xml:space="preserve">s overall strategic relationship with the Group, if </w:t>
      </w:r>
      <w:r w:rsidRPr="009C48DA" w:rsidR="00CC31A9">
        <w:rPr>
          <w:rFonts w:eastAsia="Calibri" w:cs="Arial"/>
          <w:szCs w:val="20"/>
          <w:lang w:val="en-GB"/>
        </w:rPr>
        <w:t>the</w:t>
      </w:r>
      <w:r w:rsidRPr="009C48DA">
        <w:rPr>
          <w:rFonts w:eastAsia="Calibri" w:cs="Arial"/>
          <w:szCs w:val="20"/>
          <w:lang w:val="en-GB"/>
        </w:rPr>
        <w:t xml:space="preserve"> </w:t>
      </w:r>
      <w:r w:rsidRPr="009C48DA" w:rsidR="00CC31A9">
        <w:rPr>
          <w:rFonts w:eastAsia="Calibri" w:cs="Arial"/>
          <w:szCs w:val="20"/>
          <w:lang w:val="en-GB"/>
        </w:rPr>
        <w:t>commitments</w:t>
      </w:r>
      <w:r w:rsidRPr="009C48DA">
        <w:rPr>
          <w:rFonts w:eastAsia="Calibri" w:cs="Arial"/>
          <w:szCs w:val="20"/>
          <w:lang w:val="en-GB"/>
        </w:rPr>
        <w:t xml:space="preserve"> </w:t>
      </w:r>
      <w:r w:rsidRPr="009C48DA" w:rsidR="00CC31A9">
        <w:rPr>
          <w:rFonts w:eastAsia="Calibri" w:cs="Arial"/>
          <w:szCs w:val="20"/>
          <w:lang w:val="en-GB"/>
        </w:rPr>
        <w:t xml:space="preserve">of these investors </w:t>
      </w:r>
      <w:r w:rsidRPr="009C48DA">
        <w:rPr>
          <w:rFonts w:eastAsia="Calibri" w:cs="Arial"/>
          <w:szCs w:val="20"/>
          <w:lang w:val="en-GB"/>
        </w:rPr>
        <w:t xml:space="preserve">are expected to generate relatively greater fees or carried interest to the Group than would arise if such co-investment opportunities were </w:t>
      </w:r>
      <w:r w:rsidRPr="009C48DA">
        <w:rPr>
          <w:rFonts w:eastAsia="Times New Roman" w:cs="Times New Roman"/>
          <w:color w:val="231F20"/>
          <w:szCs w:val="20"/>
          <w:lang w:val="en-GB"/>
        </w:rPr>
        <w:t>allocated</w:t>
      </w:r>
      <w:r w:rsidRPr="009C48DA">
        <w:rPr>
          <w:rFonts w:eastAsia="Calibri" w:cs="Arial"/>
          <w:szCs w:val="20"/>
          <w:lang w:val="en-GB"/>
        </w:rPr>
        <w:t xml:space="preserve"> otherwise.</w:t>
      </w:r>
    </w:p>
    <w:p w:rsidRPr="009C48DA" w:rsidR="006D6A27" w:rsidP="00676CA5" w:rsidRDefault="006D6A27" w14:paraId="6968EB53" w14:textId="53DFAB3C">
      <w:pPr>
        <w:pStyle w:val="BodyText2SglJ"/>
        <w:rPr>
          <w:rFonts w:eastAsia="Calibri" w:cs="Arial"/>
          <w:szCs w:val="20"/>
          <w:lang w:val="en-GB"/>
        </w:rPr>
      </w:pPr>
      <w:r w:rsidRPr="009C48DA">
        <w:rPr>
          <w:rFonts w:eastAsia="Calibri" w:cs="Arial"/>
          <w:szCs w:val="20"/>
          <w:lang w:val="en-GB"/>
        </w:rPr>
        <w:t xml:space="preserve">Different </w:t>
      </w:r>
      <w:r w:rsidRPr="009C48DA" w:rsidR="008453E7">
        <w:rPr>
          <w:rFonts w:eastAsia="Calibri" w:cs="Arial"/>
          <w:szCs w:val="20"/>
          <w:lang w:val="en-GB"/>
        </w:rPr>
        <w:t xml:space="preserve">Bridgepoint </w:t>
      </w:r>
      <w:r w:rsidRPr="009C48DA">
        <w:rPr>
          <w:rFonts w:eastAsia="Calibri" w:cs="Arial"/>
          <w:szCs w:val="20"/>
          <w:lang w:val="en-GB"/>
        </w:rPr>
        <w:t xml:space="preserve">Funds or portfolio companies may be </w:t>
      </w:r>
      <w:r w:rsidRPr="009C48DA" w:rsidR="003842C9">
        <w:rPr>
          <w:rFonts w:eastAsia="Calibri" w:cs="Arial"/>
          <w:szCs w:val="20"/>
          <w:lang w:val="en-GB"/>
        </w:rPr>
        <w:t xml:space="preserve">interested </w:t>
      </w:r>
      <w:r w:rsidRPr="009C48DA">
        <w:rPr>
          <w:rFonts w:eastAsia="Calibri" w:cs="Arial"/>
          <w:szCs w:val="20"/>
          <w:lang w:val="en-GB"/>
        </w:rPr>
        <w:t xml:space="preserve">in the same investment, or the Group may also cause different </w:t>
      </w:r>
      <w:r w:rsidRPr="009C48DA" w:rsidR="008453E7">
        <w:rPr>
          <w:rFonts w:eastAsia="Calibri" w:cs="Arial"/>
          <w:szCs w:val="20"/>
          <w:lang w:val="en-GB"/>
        </w:rPr>
        <w:t xml:space="preserve">Bridgepoint </w:t>
      </w:r>
      <w:r w:rsidRPr="009C48DA">
        <w:rPr>
          <w:rFonts w:eastAsia="Calibri" w:cs="Arial"/>
          <w:szCs w:val="20"/>
          <w:lang w:val="en-GB"/>
        </w:rPr>
        <w:t xml:space="preserve">Funds to invest in a single portfolio </w:t>
      </w:r>
      <w:r w:rsidRPr="009C48DA">
        <w:rPr>
          <w:rFonts w:eastAsia="Times New Roman" w:cs="Times New Roman"/>
          <w:color w:val="231F20"/>
          <w:szCs w:val="20"/>
          <w:lang w:val="en-GB"/>
        </w:rPr>
        <w:t>company</w:t>
      </w:r>
      <w:r w:rsidRPr="009C48DA">
        <w:rPr>
          <w:rFonts w:eastAsia="Calibri" w:cs="Arial"/>
          <w:szCs w:val="20"/>
          <w:lang w:val="en-GB"/>
        </w:rPr>
        <w:t xml:space="preserve">, for example, where the fund that made an initial investment no longer has capital available to invest. </w:t>
      </w:r>
    </w:p>
    <w:p w:rsidRPr="009C48DA" w:rsidR="006D6A27" w:rsidP="00676CA5" w:rsidRDefault="006D6A27" w14:paraId="7918AFBB" w14:textId="3AC9798B">
      <w:pPr>
        <w:pStyle w:val="BodyText2SglJ"/>
        <w:rPr>
          <w:rFonts w:eastAsia="Calibri" w:cs="Arial"/>
          <w:szCs w:val="20"/>
          <w:lang w:val="en-GB"/>
        </w:rPr>
      </w:pPr>
      <w:r w:rsidRPr="009C48DA">
        <w:rPr>
          <w:rFonts w:eastAsia="Calibri" w:cs="Arial"/>
          <w:szCs w:val="20"/>
          <w:lang w:val="en-GB"/>
        </w:rPr>
        <w:t xml:space="preserve">The Group’s affiliates may be service providers or counterparties to the </w:t>
      </w:r>
      <w:r w:rsidRPr="009C48DA" w:rsidR="008453E7">
        <w:rPr>
          <w:rFonts w:eastAsia="Calibri" w:cs="Arial"/>
          <w:szCs w:val="20"/>
          <w:lang w:val="en-GB"/>
        </w:rPr>
        <w:t xml:space="preserve">Bridgepoint </w:t>
      </w:r>
      <w:r w:rsidRPr="009C48DA">
        <w:rPr>
          <w:rFonts w:eastAsia="Calibri" w:cs="Arial"/>
          <w:szCs w:val="20"/>
          <w:lang w:val="en-GB"/>
        </w:rPr>
        <w:t xml:space="preserve">Funds or their portfolio companies and receive fees or other compensation for services that are not shared with fund investors. In such instances, the Group may be incentivised to cause the </w:t>
      </w:r>
      <w:r w:rsidRPr="009C48DA" w:rsidR="008453E7">
        <w:rPr>
          <w:rFonts w:eastAsia="Calibri" w:cs="Arial"/>
          <w:szCs w:val="20"/>
          <w:lang w:val="en-GB"/>
        </w:rPr>
        <w:t xml:space="preserve">Bridgepoint </w:t>
      </w:r>
      <w:r w:rsidRPr="009C48DA">
        <w:rPr>
          <w:rFonts w:eastAsia="Calibri" w:cs="Arial"/>
          <w:szCs w:val="20"/>
          <w:lang w:val="en-GB"/>
        </w:rPr>
        <w:t xml:space="preserve">Funds or portfolio companies to purchase such services from affiliates rather than an unaffiliated service provider despite the fact that a third-party service provider could potentially provide higher quality services or offer them at a lower cost. In addition, conflicts of interest may exist in the valuation of investments, as well as the personal trading of employees and the allocation of fees and expenses among the Group, the </w:t>
      </w:r>
      <w:r w:rsidRPr="009C48DA" w:rsidR="008453E7">
        <w:rPr>
          <w:rFonts w:eastAsia="Calibri" w:cs="Arial"/>
          <w:szCs w:val="20"/>
          <w:lang w:val="en-GB"/>
        </w:rPr>
        <w:t xml:space="preserve">Bridgepoint </w:t>
      </w:r>
      <w:r w:rsidRPr="009C48DA">
        <w:rPr>
          <w:rFonts w:eastAsia="Calibri" w:cs="Arial"/>
          <w:szCs w:val="20"/>
          <w:lang w:val="en-GB"/>
        </w:rPr>
        <w:t>Funds and their portfolio companies and the Group’s affiliates.</w:t>
      </w:r>
    </w:p>
    <w:p w:rsidRPr="009C48DA" w:rsidR="006D6A27" w:rsidP="00676CA5" w:rsidRDefault="008453E7" w14:paraId="431A9E4E" w14:textId="46578E38">
      <w:pPr>
        <w:pStyle w:val="BodyText2SglJ"/>
        <w:rPr>
          <w:rFonts w:eastAsia="Calibri" w:cs="Arial"/>
          <w:szCs w:val="20"/>
          <w:lang w:val="en-GB"/>
        </w:rPr>
      </w:pPr>
      <w:bookmarkStart w:name="_9kMH77H7aXv6AA8BFPLzmlnx822EhdI28" w:id="326"/>
      <w:r w:rsidRPr="009C48DA">
        <w:rPr>
          <w:rFonts w:eastAsia="Calibri" w:cs="Arial"/>
          <w:szCs w:val="20"/>
          <w:lang w:val="en-GB"/>
        </w:rPr>
        <w:t xml:space="preserve">Bridgepoint </w:t>
      </w:r>
      <w:r w:rsidRPr="009C48DA" w:rsidR="006D6A27">
        <w:rPr>
          <w:rFonts w:eastAsia="Calibri" w:cs="Arial"/>
          <w:szCs w:val="20"/>
          <w:lang w:val="en-GB"/>
        </w:rPr>
        <w:t>Funds</w:t>
      </w:r>
      <w:bookmarkEnd w:id="326"/>
      <w:r w:rsidRPr="009C48DA" w:rsidR="006D6A27">
        <w:rPr>
          <w:rFonts w:eastAsia="Calibri" w:cs="Arial"/>
          <w:szCs w:val="20"/>
          <w:lang w:val="en-GB"/>
        </w:rPr>
        <w:t xml:space="preserve"> may acquire investments from, or sell investments to, other </w:t>
      </w:r>
      <w:bookmarkStart w:name="_9kMH78I7aXv6AA8BFPLzmlnx822EhdI28" w:id="327"/>
      <w:r w:rsidRPr="009C48DA">
        <w:rPr>
          <w:rFonts w:eastAsia="Calibri" w:cs="Arial"/>
          <w:szCs w:val="20"/>
          <w:lang w:val="en-GB"/>
        </w:rPr>
        <w:t xml:space="preserve">Bridgepoint </w:t>
      </w:r>
      <w:r w:rsidRPr="009C48DA" w:rsidR="006D6A27">
        <w:rPr>
          <w:rFonts w:eastAsia="Calibri" w:cs="Arial"/>
          <w:szCs w:val="20"/>
          <w:lang w:val="en-GB"/>
        </w:rPr>
        <w:t>Funds</w:t>
      </w:r>
      <w:bookmarkEnd w:id="327"/>
      <w:r w:rsidRPr="009C48DA" w:rsidR="006D6A27">
        <w:rPr>
          <w:rFonts w:eastAsia="Calibri" w:cs="Arial"/>
          <w:szCs w:val="20"/>
          <w:lang w:val="en-GB"/>
        </w:rPr>
        <w:t xml:space="preserve">, and members of the board of the </w:t>
      </w:r>
      <w:bookmarkStart w:name="_9kR3WTr2664BEP9notqlbLuEBx2" w:id="328"/>
      <w:r w:rsidRPr="009C48DA">
        <w:rPr>
          <w:rFonts w:eastAsia="Calibri" w:cs="Arial"/>
          <w:szCs w:val="20"/>
          <w:lang w:val="en-GB"/>
        </w:rPr>
        <w:t xml:space="preserve">Bridgepoint </w:t>
      </w:r>
      <w:r w:rsidRPr="009C48DA" w:rsidR="000E5BB6">
        <w:rPr>
          <w:rFonts w:eastAsia="Calibri" w:cs="Arial"/>
          <w:szCs w:val="20"/>
          <w:lang w:val="en-GB"/>
        </w:rPr>
        <w:t>g</w:t>
      </w:r>
      <w:r w:rsidRPr="009C48DA" w:rsidR="006D6A27">
        <w:rPr>
          <w:rFonts w:eastAsia="Calibri" w:cs="Arial"/>
          <w:szCs w:val="20"/>
          <w:lang w:val="en-GB"/>
        </w:rPr>
        <w:t xml:space="preserve">eneral </w:t>
      </w:r>
      <w:r w:rsidRPr="009C48DA" w:rsidR="000E5BB6">
        <w:rPr>
          <w:rFonts w:eastAsia="Calibri" w:cs="Arial"/>
          <w:szCs w:val="20"/>
          <w:lang w:val="en-GB"/>
        </w:rPr>
        <w:t>p</w:t>
      </w:r>
      <w:r w:rsidRPr="009C48DA" w:rsidR="006D6A27">
        <w:rPr>
          <w:rFonts w:eastAsia="Calibri" w:cs="Arial"/>
          <w:szCs w:val="20"/>
          <w:lang w:val="en-GB"/>
        </w:rPr>
        <w:t>artner</w:t>
      </w:r>
      <w:bookmarkEnd w:id="328"/>
      <w:r w:rsidRPr="009C48DA" w:rsidR="006D6A27">
        <w:rPr>
          <w:rFonts w:eastAsia="Calibri" w:cs="Arial"/>
          <w:szCs w:val="20"/>
          <w:lang w:val="en-GB"/>
        </w:rPr>
        <w:t xml:space="preserve"> or the </w:t>
      </w:r>
      <w:bookmarkStart w:name="_9kMJI5YVt4886CLWQ5pPHpqkp1" w:id="329"/>
      <w:r w:rsidRPr="009C48DA" w:rsidR="006D6A27">
        <w:rPr>
          <w:rFonts w:eastAsia="Calibri" w:cs="Arial"/>
          <w:szCs w:val="20"/>
          <w:lang w:val="en-GB"/>
        </w:rPr>
        <w:t>Fund Manager</w:t>
      </w:r>
      <w:bookmarkEnd w:id="329"/>
      <w:r w:rsidRPr="009C48DA" w:rsidR="006D6A27">
        <w:rPr>
          <w:rFonts w:eastAsia="Calibri" w:cs="Arial"/>
          <w:szCs w:val="20"/>
          <w:lang w:val="en-GB"/>
        </w:rPr>
        <w:t xml:space="preserve"> of the </w:t>
      </w:r>
      <w:bookmarkStart w:name="_9kMH79J7aXv6AA8BFPLzmlnx822EhdI28" w:id="330"/>
      <w:r w:rsidRPr="009C48DA">
        <w:rPr>
          <w:rFonts w:eastAsia="Calibri" w:cs="Arial"/>
          <w:szCs w:val="20"/>
          <w:lang w:val="en-GB"/>
        </w:rPr>
        <w:t xml:space="preserve">Bridgepoint </w:t>
      </w:r>
      <w:r w:rsidRPr="009C48DA" w:rsidR="006D6A27">
        <w:rPr>
          <w:rFonts w:eastAsia="Calibri" w:cs="Arial"/>
          <w:szCs w:val="20"/>
          <w:lang w:val="en-GB"/>
        </w:rPr>
        <w:t>Fund</w:t>
      </w:r>
      <w:bookmarkEnd w:id="330"/>
      <w:r w:rsidRPr="009C48DA" w:rsidR="006D6A27">
        <w:rPr>
          <w:rFonts w:eastAsia="Calibri" w:cs="Arial"/>
          <w:szCs w:val="20"/>
          <w:lang w:val="en-GB"/>
        </w:rPr>
        <w:t xml:space="preserve"> may be officers or directors of entities which are not part of the Group and which provide advice or services to, or engage in other transactions with, the </w:t>
      </w:r>
      <w:bookmarkStart w:name="_9kMH7AK7aXv6AA8BFPLzmlnx822EhdI28" w:id="331"/>
      <w:r w:rsidRPr="009C48DA">
        <w:rPr>
          <w:rFonts w:eastAsia="Calibri" w:cs="Arial"/>
          <w:szCs w:val="20"/>
          <w:lang w:val="en-GB"/>
        </w:rPr>
        <w:t xml:space="preserve">Bridgepoint </w:t>
      </w:r>
      <w:r w:rsidRPr="009C48DA" w:rsidR="006D6A27">
        <w:rPr>
          <w:rFonts w:eastAsia="Calibri" w:cs="Arial"/>
          <w:szCs w:val="20"/>
          <w:lang w:val="en-GB"/>
        </w:rPr>
        <w:t>Fund</w:t>
      </w:r>
      <w:bookmarkEnd w:id="331"/>
      <w:r w:rsidRPr="009C48DA" w:rsidR="006D6A27">
        <w:rPr>
          <w:rFonts w:eastAsia="Calibri" w:cs="Arial"/>
          <w:szCs w:val="20"/>
          <w:lang w:val="en-GB"/>
        </w:rPr>
        <w:t xml:space="preserve"> or to one or more portfolio companies of the </w:t>
      </w:r>
      <w:bookmarkStart w:name="_9kMH7BL7aXv6AA8BFPLzmlnx822EhdI28" w:id="332"/>
      <w:r w:rsidRPr="009C48DA">
        <w:rPr>
          <w:rFonts w:eastAsia="Calibri" w:cs="Arial"/>
          <w:szCs w:val="20"/>
          <w:lang w:val="en-GB"/>
        </w:rPr>
        <w:t xml:space="preserve">Bridgepoint </w:t>
      </w:r>
      <w:r w:rsidRPr="009C48DA" w:rsidR="006D6A27">
        <w:rPr>
          <w:rFonts w:eastAsia="Calibri" w:cs="Arial"/>
          <w:szCs w:val="20"/>
          <w:lang w:val="en-GB"/>
        </w:rPr>
        <w:t>Fund</w:t>
      </w:r>
      <w:bookmarkEnd w:id="332"/>
      <w:r w:rsidRPr="009C48DA" w:rsidR="006D6A27">
        <w:rPr>
          <w:rFonts w:eastAsia="Calibri" w:cs="Arial"/>
          <w:szCs w:val="20"/>
          <w:lang w:val="en-GB"/>
        </w:rPr>
        <w:t xml:space="preserve">. In the event that any such member has an actual or potential conflict of interest by virtue of such a member’s involvement with an entity that is not a part of the Group, such member is required to </w:t>
      </w:r>
      <w:r w:rsidRPr="009C48DA" w:rsidR="006D6A27">
        <w:rPr>
          <w:rFonts w:eastAsia="Calibri" w:cs="Arial"/>
          <w:szCs w:val="20"/>
          <w:lang w:val="en-GB"/>
        </w:rPr>
        <w:lastRenderedPageBreak/>
        <w:t xml:space="preserve">disclose such conflict of interest to the board of the </w:t>
      </w:r>
      <w:bookmarkStart w:name="_9kMHG5YVt4886DGRBpqvsndNwGDz4" w:id="333"/>
      <w:r w:rsidRPr="009C48DA">
        <w:rPr>
          <w:rFonts w:eastAsia="Calibri" w:cs="Arial"/>
          <w:szCs w:val="20"/>
          <w:lang w:val="en-GB"/>
        </w:rPr>
        <w:t xml:space="preserve">Bridgepoint </w:t>
      </w:r>
      <w:r w:rsidRPr="009C48DA" w:rsidR="000E5BB6">
        <w:rPr>
          <w:rFonts w:eastAsia="Calibri" w:cs="Arial"/>
          <w:szCs w:val="20"/>
          <w:lang w:val="en-GB"/>
        </w:rPr>
        <w:t>g</w:t>
      </w:r>
      <w:r w:rsidRPr="009C48DA" w:rsidR="006D6A27">
        <w:rPr>
          <w:rFonts w:eastAsia="Calibri" w:cs="Arial"/>
          <w:szCs w:val="20"/>
          <w:lang w:val="en-GB"/>
        </w:rPr>
        <w:t xml:space="preserve">eneral </w:t>
      </w:r>
      <w:r w:rsidRPr="009C48DA" w:rsidR="000E5BB6">
        <w:rPr>
          <w:rFonts w:eastAsia="Calibri" w:cs="Arial"/>
          <w:szCs w:val="20"/>
          <w:lang w:val="en-GB"/>
        </w:rPr>
        <w:t>p</w:t>
      </w:r>
      <w:r w:rsidRPr="009C48DA" w:rsidR="006D6A27">
        <w:rPr>
          <w:rFonts w:eastAsia="Calibri" w:cs="Arial"/>
          <w:szCs w:val="20"/>
          <w:lang w:val="en-GB"/>
        </w:rPr>
        <w:t>artner</w:t>
      </w:r>
      <w:bookmarkEnd w:id="333"/>
      <w:r w:rsidRPr="009C48DA" w:rsidR="006D6A27">
        <w:rPr>
          <w:rFonts w:eastAsia="Calibri" w:cs="Arial"/>
          <w:szCs w:val="20"/>
          <w:lang w:val="en-GB"/>
        </w:rPr>
        <w:t xml:space="preserve"> or the </w:t>
      </w:r>
      <w:bookmarkStart w:name="_9kMKJ5YVt4886CLWQ5pPHpqkp1" w:id="334"/>
      <w:r w:rsidRPr="009C48DA" w:rsidR="006D6A27">
        <w:rPr>
          <w:rFonts w:eastAsia="Calibri" w:cs="Arial"/>
          <w:szCs w:val="20"/>
          <w:lang w:val="en-GB"/>
        </w:rPr>
        <w:t>Fund Manager</w:t>
      </w:r>
      <w:bookmarkEnd w:id="334"/>
      <w:r w:rsidRPr="009C48DA" w:rsidR="006D6A27">
        <w:rPr>
          <w:rFonts w:eastAsia="Calibri" w:cs="Arial"/>
          <w:szCs w:val="20"/>
          <w:lang w:val="en-GB"/>
        </w:rPr>
        <w:t xml:space="preserve">. Such conflicts of interest may, however, not always be properly disclosed. </w:t>
      </w:r>
      <w:bookmarkStart w:name="_9kMH5M6ZWu5997EFPRAA1ny" w:id="335"/>
      <w:r w:rsidRPr="009C48DA" w:rsidR="006D6A27">
        <w:rPr>
          <w:rFonts w:eastAsia="Calibri" w:cs="Arial"/>
          <w:szCs w:val="20"/>
          <w:lang w:val="en-GB"/>
        </w:rPr>
        <w:t>Further</w:t>
      </w:r>
      <w:bookmarkEnd w:id="335"/>
      <w:r w:rsidRPr="009C48DA" w:rsidR="00CE3171">
        <w:rPr>
          <w:rFonts w:eastAsia="Calibri" w:cs="Arial"/>
          <w:szCs w:val="20"/>
          <w:lang w:val="en-GB"/>
        </w:rPr>
        <w:t>more</w:t>
      </w:r>
      <w:r w:rsidRPr="009C48DA" w:rsidR="006D6A27">
        <w:rPr>
          <w:rFonts w:eastAsia="Calibri" w:cs="Arial"/>
          <w:szCs w:val="20"/>
          <w:lang w:val="en-GB"/>
        </w:rPr>
        <w:t xml:space="preserve">, officers, directors, members, managers, employees or other legal entities or entities of the Group may hold or acquire a direct or indirect interest in a portfolio company of a </w:t>
      </w:r>
      <w:bookmarkStart w:name="_9kR3WTr26649ITt9zR6q" w:id="336"/>
      <w:r w:rsidRPr="009C48DA">
        <w:rPr>
          <w:rFonts w:eastAsia="Calibri" w:cs="Arial"/>
          <w:szCs w:val="20"/>
          <w:lang w:val="en-GB"/>
        </w:rPr>
        <w:t xml:space="preserve">Bridgepoint </w:t>
      </w:r>
      <w:r w:rsidRPr="009C48DA" w:rsidR="006D6A27">
        <w:rPr>
          <w:rFonts w:eastAsia="Calibri" w:cs="Arial"/>
          <w:szCs w:val="20"/>
          <w:lang w:val="en-GB"/>
        </w:rPr>
        <w:t>Fund</w:t>
      </w:r>
      <w:bookmarkEnd w:id="336"/>
      <w:r w:rsidRPr="009C48DA" w:rsidR="006D6A27">
        <w:rPr>
          <w:rFonts w:eastAsia="Calibri" w:cs="Arial"/>
          <w:szCs w:val="20"/>
          <w:lang w:val="en-GB"/>
        </w:rPr>
        <w:t xml:space="preserve">, which may create a conflict of interest. </w:t>
      </w:r>
    </w:p>
    <w:p w:rsidRPr="009C48DA" w:rsidR="006D6A27" w:rsidP="00676CA5" w:rsidRDefault="006D6A27" w14:paraId="6F37FC76" w14:textId="2B98F6C4">
      <w:pPr>
        <w:pStyle w:val="BodyText2SglJ"/>
        <w:rPr>
          <w:rFonts w:eastAsia="Calibri" w:cs="Arial"/>
          <w:szCs w:val="20"/>
          <w:lang w:val="en-GB"/>
        </w:rPr>
      </w:pPr>
      <w:r w:rsidRPr="009C48DA">
        <w:rPr>
          <w:rFonts w:eastAsia="Calibri" w:cs="Arial"/>
          <w:szCs w:val="20"/>
          <w:lang w:val="en-GB"/>
        </w:rPr>
        <w:t xml:space="preserve">Appropriately dealing with conflicts of interest is complex and difficult, and </w:t>
      </w:r>
      <w:r w:rsidRPr="009C48DA" w:rsidR="008453E7">
        <w:rPr>
          <w:rFonts w:eastAsia="Calibri" w:cs="Arial"/>
          <w:szCs w:val="20"/>
          <w:lang w:val="en-GB"/>
        </w:rPr>
        <w:t xml:space="preserve">Bridgepoint </w:t>
      </w:r>
      <w:r w:rsidRPr="009C48DA">
        <w:rPr>
          <w:rFonts w:eastAsia="Calibri" w:cs="Arial"/>
          <w:szCs w:val="20"/>
          <w:lang w:val="en-GB"/>
        </w:rPr>
        <w:t xml:space="preserve">could suffer reputational damage or potential liability if the Group fails, or appears to fail, to deal </w:t>
      </w:r>
      <w:r w:rsidRPr="009C48DA">
        <w:rPr>
          <w:rFonts w:eastAsia="Times New Roman" w:cs="Times New Roman"/>
          <w:color w:val="231F20"/>
          <w:szCs w:val="20"/>
          <w:lang w:val="en-GB"/>
        </w:rPr>
        <w:t>appropriately</w:t>
      </w:r>
      <w:r w:rsidRPr="009C48DA">
        <w:rPr>
          <w:rFonts w:eastAsia="Calibri" w:cs="Arial"/>
          <w:szCs w:val="20"/>
          <w:lang w:val="en-GB"/>
        </w:rPr>
        <w:t xml:space="preserve"> with conflicts as they arise. Such conflicts may result in regulatory scrutiny or litigation arising from investor dissatisfaction and may cause </w:t>
      </w:r>
      <w:bookmarkStart w:name="_9kMI3J6ZWu5997DLWR6qMRB31HEDI" w:id="337"/>
      <w:r w:rsidRPr="009C48DA">
        <w:rPr>
          <w:rFonts w:eastAsia="Calibri" w:cs="Arial"/>
          <w:szCs w:val="20"/>
          <w:lang w:val="en-GB"/>
        </w:rPr>
        <w:t>fund investors</w:t>
      </w:r>
      <w:bookmarkEnd w:id="337"/>
      <w:r w:rsidRPr="009C48DA">
        <w:rPr>
          <w:rFonts w:eastAsia="Calibri" w:cs="Arial"/>
          <w:szCs w:val="20"/>
          <w:lang w:val="en-GB"/>
        </w:rPr>
        <w:t xml:space="preserve"> to explore withdrawing or cancelling their commitments to the </w:t>
      </w:r>
      <w:bookmarkStart w:name="_9kMH7CM7aXv6AA8BFPLzmlnx822EhdI28" w:id="338"/>
      <w:r w:rsidRPr="009C48DA" w:rsidR="008453E7">
        <w:rPr>
          <w:rFonts w:eastAsia="Calibri" w:cs="Arial"/>
          <w:szCs w:val="20"/>
          <w:lang w:val="en-GB"/>
        </w:rPr>
        <w:t xml:space="preserve">Bridgepoint </w:t>
      </w:r>
      <w:r w:rsidRPr="009C48DA">
        <w:rPr>
          <w:rFonts w:eastAsia="Calibri" w:cs="Arial"/>
          <w:szCs w:val="20"/>
          <w:lang w:val="en-GB"/>
        </w:rPr>
        <w:t>Fund</w:t>
      </w:r>
      <w:bookmarkEnd w:id="338"/>
      <w:r w:rsidRPr="009C48DA">
        <w:rPr>
          <w:rFonts w:eastAsia="Calibri" w:cs="Arial"/>
          <w:szCs w:val="20"/>
          <w:lang w:val="en-GB"/>
        </w:rPr>
        <w:t xml:space="preserve">, or not to invest in new </w:t>
      </w:r>
      <w:bookmarkStart w:name="_9kMH7DN7aXv6AA8BFPLzmlnx822EhdI28" w:id="339"/>
      <w:r w:rsidRPr="009C48DA" w:rsidR="008453E7">
        <w:rPr>
          <w:rFonts w:eastAsia="Calibri" w:cs="Arial"/>
          <w:szCs w:val="20"/>
          <w:lang w:val="en-GB"/>
        </w:rPr>
        <w:t xml:space="preserve">Bridgepoint </w:t>
      </w:r>
      <w:r w:rsidRPr="009C48DA">
        <w:rPr>
          <w:rFonts w:eastAsia="Calibri" w:cs="Arial"/>
          <w:szCs w:val="20"/>
          <w:lang w:val="en-GB"/>
        </w:rPr>
        <w:t>Funds</w:t>
      </w:r>
      <w:bookmarkEnd w:id="339"/>
      <w:r w:rsidRPr="009C48DA">
        <w:rPr>
          <w:rFonts w:eastAsia="Calibri" w:cs="Arial"/>
          <w:szCs w:val="20"/>
          <w:lang w:val="en-GB"/>
        </w:rPr>
        <w:t xml:space="preserve">, which could affect </w:t>
      </w:r>
      <w:r w:rsidRPr="009C48DA" w:rsidR="006D5BFE">
        <w:rPr>
          <w:lang w:val="en-GB"/>
        </w:rPr>
        <w:t>Bridgepoint</w:t>
      </w:r>
      <w:r w:rsidRPr="009C48DA" w:rsidR="00DA794A">
        <w:rPr>
          <w:rFonts w:eastAsia="Calibri" w:cs="Arial"/>
          <w:szCs w:val="20"/>
          <w:lang w:val="en-GB"/>
        </w:rPr>
        <w:t xml:space="preserve">’s reputation and </w:t>
      </w:r>
      <w:r w:rsidRPr="009C48DA">
        <w:rPr>
          <w:rFonts w:eastAsia="Calibri" w:cs="Arial"/>
          <w:szCs w:val="20"/>
          <w:lang w:val="en-GB"/>
        </w:rPr>
        <w:t xml:space="preserve">the size of </w:t>
      </w:r>
      <w:r w:rsidRPr="009C48DA" w:rsidR="00D43E9F">
        <w:rPr>
          <w:rFonts w:eastAsia="Calibri" w:cs="Arial"/>
          <w:szCs w:val="20"/>
          <w:lang w:val="en-GB"/>
        </w:rPr>
        <w:t xml:space="preserve">AUM of the </w:t>
      </w:r>
      <w:r w:rsidRPr="009C48DA">
        <w:rPr>
          <w:rFonts w:eastAsia="Calibri" w:cs="Arial"/>
          <w:szCs w:val="20"/>
          <w:lang w:val="en-GB"/>
        </w:rPr>
        <w:t xml:space="preserve">existing </w:t>
      </w:r>
      <w:bookmarkStart w:name="_9kMH7EO7aXv6AA8BFPLzmlnx822EhdI28" w:id="340"/>
      <w:r w:rsidRPr="009C48DA" w:rsidR="008453E7">
        <w:rPr>
          <w:rFonts w:eastAsia="Calibri" w:cs="Arial"/>
          <w:szCs w:val="20"/>
          <w:lang w:val="en-GB"/>
        </w:rPr>
        <w:t xml:space="preserve">Bridgepoint </w:t>
      </w:r>
      <w:r w:rsidRPr="009C48DA">
        <w:rPr>
          <w:rFonts w:eastAsia="Calibri" w:cs="Arial"/>
          <w:szCs w:val="20"/>
          <w:lang w:val="en-GB"/>
        </w:rPr>
        <w:t>Funds</w:t>
      </w:r>
      <w:bookmarkEnd w:id="340"/>
      <w:r w:rsidRPr="009C48DA">
        <w:rPr>
          <w:rFonts w:eastAsia="Calibri" w:cs="Arial"/>
          <w:szCs w:val="20"/>
          <w:lang w:val="en-GB"/>
        </w:rPr>
        <w:t xml:space="preserve">. Accordingly, any of the foregoing could have a </w:t>
      </w:r>
      <w:r w:rsidRPr="009C48DA" w:rsidDel="00571B6B">
        <w:rPr>
          <w:rFonts w:eastAsia="Calibri" w:cs="Arial"/>
          <w:szCs w:val="20"/>
          <w:lang w:val="en-GB"/>
        </w:rPr>
        <w:t xml:space="preserve">material adverse effect on the </w:t>
      </w:r>
      <w:r w:rsidRPr="009C48DA">
        <w:rPr>
          <w:rFonts w:eastAsia="Calibri" w:cs="Arial"/>
          <w:szCs w:val="20"/>
          <w:lang w:val="en-GB"/>
        </w:rPr>
        <w:t>Group</w:t>
      </w:r>
      <w:r w:rsidRPr="009C48DA" w:rsidDel="00571B6B">
        <w:rPr>
          <w:rFonts w:eastAsia="Calibri" w:cs="Arial"/>
          <w:szCs w:val="20"/>
          <w:lang w:val="en-GB"/>
        </w:rPr>
        <w:t xml:space="preserve">’s business, </w:t>
      </w:r>
      <w:r w:rsidRPr="009C48DA">
        <w:rPr>
          <w:rFonts w:eastAsia="Calibri" w:cs="Arial"/>
          <w:szCs w:val="20"/>
          <w:lang w:val="en-GB"/>
        </w:rPr>
        <w:t>revenue</w:t>
      </w:r>
      <w:r w:rsidRPr="009C48DA" w:rsidDel="00571B6B">
        <w:rPr>
          <w:rFonts w:eastAsia="Calibri" w:cs="Arial"/>
          <w:szCs w:val="20"/>
          <w:lang w:val="en-GB"/>
        </w:rPr>
        <w:t>, net income cash flows</w:t>
      </w:r>
      <w:r w:rsidRPr="009C48DA" w:rsidR="00B20B6C">
        <w:rPr>
          <w:rFonts w:eastAsia="Calibri" w:cs="Arial"/>
          <w:szCs w:val="20"/>
          <w:lang w:val="en-GB"/>
        </w:rPr>
        <w:t xml:space="preserve"> and reputation</w:t>
      </w:r>
      <w:r w:rsidRPr="009C48DA">
        <w:rPr>
          <w:rFonts w:eastAsia="Calibri" w:cs="Arial"/>
          <w:szCs w:val="20"/>
          <w:lang w:val="en-GB"/>
        </w:rPr>
        <w:t>.</w:t>
      </w:r>
    </w:p>
    <w:p w:rsidRPr="009C48DA" w:rsidR="006D6A27" w:rsidP="00676CA5" w:rsidRDefault="006D6A27" w14:paraId="51DD2ACF" w14:textId="77777777">
      <w:pPr>
        <w:pStyle w:val="TitleBI"/>
        <w:rPr>
          <w:szCs w:val="20"/>
          <w:lang w:val="en-GB"/>
        </w:rPr>
      </w:pPr>
      <w:bookmarkStart w:name="_9kMK5J6ZWu5997HJeSkFN1onpzA44GkdIMO" w:id="341"/>
      <w:bookmarkStart w:name="_9kMK3H6ZWu5997HJeSkFN1onpzA44GkdIMO" w:id="342"/>
      <w:r w:rsidRPr="009C48DA">
        <w:rPr>
          <w:szCs w:val="20"/>
          <w:lang w:val="en-GB"/>
        </w:rPr>
        <w:t xml:space="preserve">The </w:t>
      </w:r>
      <w:bookmarkEnd w:id="341"/>
      <w:r w:rsidRPr="009C48DA">
        <w:rPr>
          <w:szCs w:val="20"/>
          <w:lang w:val="en-GB"/>
        </w:rPr>
        <w:t xml:space="preserve">Group is subject to litigation risks and may face significant liabilities and damage to the </w:t>
      </w:r>
      <w:bookmarkStart w:name="_9kMI6M6ZWu5997CDMIz1qpE" w:id="343"/>
      <w:r w:rsidRPr="009C48DA">
        <w:rPr>
          <w:szCs w:val="20"/>
          <w:lang w:val="en-GB"/>
        </w:rPr>
        <w:t>Company’s</w:t>
      </w:r>
      <w:bookmarkEnd w:id="343"/>
      <w:r w:rsidRPr="009C48DA">
        <w:rPr>
          <w:szCs w:val="20"/>
          <w:lang w:val="en-GB"/>
        </w:rPr>
        <w:t xml:space="preserve"> brand and reputation as a result of litigation, allegations and negative publicity.</w:t>
      </w:r>
    </w:p>
    <w:p w:rsidRPr="009C48DA" w:rsidR="006D6A27" w:rsidP="00676CA5" w:rsidRDefault="006D6A27" w14:paraId="2CC02F6D" w14:textId="0D4527B8">
      <w:pPr>
        <w:pStyle w:val="BodyText2SglJ"/>
        <w:rPr>
          <w:rFonts w:eastAsia="Calibri" w:cs="Arial"/>
          <w:szCs w:val="20"/>
          <w:lang w:val="en-GB"/>
        </w:rPr>
      </w:pPr>
      <w:r w:rsidRPr="009C48DA">
        <w:rPr>
          <w:rFonts w:eastAsia="Calibri" w:cs="Arial"/>
          <w:szCs w:val="20"/>
          <w:lang w:val="en-GB"/>
        </w:rPr>
        <w:t xml:space="preserve">The investment activities of the </w:t>
      </w:r>
      <w:bookmarkStart w:name="_9kMH8DM7aXv6AA8BFPLzmlnx822EhdI28" w:id="344"/>
      <w:r w:rsidRPr="009C48DA" w:rsidR="008453E7">
        <w:rPr>
          <w:rFonts w:eastAsia="Calibri" w:cs="Arial"/>
          <w:szCs w:val="20"/>
          <w:lang w:val="en-GB"/>
        </w:rPr>
        <w:t xml:space="preserve">Bridgepoint </w:t>
      </w:r>
      <w:r w:rsidRPr="009C48DA">
        <w:rPr>
          <w:rFonts w:eastAsia="Calibri" w:cs="Arial"/>
          <w:szCs w:val="20"/>
          <w:lang w:val="en-GB"/>
        </w:rPr>
        <w:t>Funds</w:t>
      </w:r>
      <w:bookmarkEnd w:id="344"/>
      <w:r w:rsidRPr="009C48DA">
        <w:rPr>
          <w:rFonts w:eastAsia="Calibri" w:cs="Arial"/>
          <w:szCs w:val="20"/>
          <w:lang w:val="en-GB"/>
        </w:rPr>
        <w:t xml:space="preserve"> and the management and advisory activities of the </w:t>
      </w:r>
      <w:bookmarkStart w:name="_9kR3WTr26648DMHvihjt4yyAeXCGIHifK4eW45z" w:id="345"/>
      <w:r w:rsidRPr="009C48DA">
        <w:rPr>
          <w:rFonts w:eastAsia="Calibri" w:cs="Arial"/>
          <w:szCs w:val="20"/>
          <w:lang w:val="en-GB"/>
        </w:rPr>
        <w:t xml:space="preserve">Group </w:t>
      </w:r>
      <w:bookmarkEnd w:id="345"/>
      <w:r w:rsidRPr="009C48DA">
        <w:rPr>
          <w:rFonts w:eastAsia="Calibri" w:cs="Arial"/>
          <w:szCs w:val="20"/>
          <w:lang w:val="en-GB"/>
        </w:rPr>
        <w:t xml:space="preserve">may subject the Group to the risk of third-party litigation arising from investor dissatisfaction with the performance of the </w:t>
      </w:r>
      <w:bookmarkStart w:name="_9kMH8EN7aXv6AA8BFPLzmlnx822EhdI28" w:id="346"/>
      <w:r w:rsidRPr="009C48DA" w:rsidR="008453E7">
        <w:rPr>
          <w:rFonts w:eastAsia="Calibri" w:cs="Arial"/>
          <w:szCs w:val="20"/>
          <w:lang w:val="en-GB"/>
        </w:rPr>
        <w:t xml:space="preserve">Bridgepoint </w:t>
      </w:r>
      <w:r w:rsidRPr="009C48DA">
        <w:rPr>
          <w:rFonts w:eastAsia="Calibri" w:cs="Arial"/>
          <w:szCs w:val="20"/>
          <w:lang w:val="en-GB"/>
        </w:rPr>
        <w:t>Funds</w:t>
      </w:r>
      <w:bookmarkEnd w:id="346"/>
      <w:r w:rsidRPr="009C48DA">
        <w:rPr>
          <w:rFonts w:eastAsia="Calibri" w:cs="Arial"/>
          <w:szCs w:val="20"/>
          <w:lang w:val="en-GB"/>
        </w:rPr>
        <w:t xml:space="preserve">, the activities of the </w:t>
      </w:r>
      <w:bookmarkStart w:name="_9kMH8FO7aXv6AA8BFPLzmlnx822EhdI28" w:id="347"/>
      <w:r w:rsidRPr="009C48DA" w:rsidR="008453E7">
        <w:rPr>
          <w:rFonts w:eastAsia="Calibri" w:cs="Arial"/>
          <w:szCs w:val="20"/>
          <w:lang w:val="en-GB"/>
        </w:rPr>
        <w:t xml:space="preserve">Bridgepoint </w:t>
      </w:r>
      <w:r w:rsidRPr="009C48DA">
        <w:rPr>
          <w:rFonts w:eastAsia="Calibri" w:cs="Arial"/>
          <w:szCs w:val="20"/>
          <w:lang w:val="en-GB"/>
        </w:rPr>
        <w:t>Funds’</w:t>
      </w:r>
      <w:bookmarkEnd w:id="347"/>
      <w:r w:rsidRPr="009C48DA">
        <w:rPr>
          <w:rFonts w:eastAsia="Calibri" w:cs="Arial"/>
          <w:szCs w:val="20"/>
          <w:lang w:val="en-GB"/>
        </w:rPr>
        <w:t xml:space="preserve"> portfolio companies, alleged conflicts of interest and a variety of other grounds for litigation claims. Furthermore, the current rise of populist political movements has generated and may continue to generate a growing negative public sentiment toward globalisation, free trade, capitalism and financial institutions, which could lead to heightened scrutiny and criticisms of the </w:t>
      </w:r>
      <w:bookmarkStart w:name="_9kMJ3AQ7aXv6AA8BKULzmlnx822EibGKM" w:id="348"/>
      <w:r w:rsidRPr="009C48DA">
        <w:rPr>
          <w:rFonts w:eastAsia="Calibri" w:cs="Arial"/>
          <w:szCs w:val="20"/>
          <w:lang w:val="en-GB"/>
        </w:rPr>
        <w:t>Group’s</w:t>
      </w:r>
      <w:bookmarkEnd w:id="348"/>
      <w:r w:rsidRPr="009C48DA">
        <w:rPr>
          <w:rFonts w:eastAsia="Calibri" w:cs="Arial"/>
          <w:szCs w:val="20"/>
          <w:lang w:val="en-GB"/>
        </w:rPr>
        <w:t xml:space="preserve"> business and investments. </w:t>
      </w:r>
      <w:bookmarkStart w:name="_9kMK6K6ZWu5997HJeSkFN1onpzA44GkdIMO" w:id="349"/>
      <w:r w:rsidRPr="009C48DA">
        <w:rPr>
          <w:rFonts w:eastAsia="Calibri" w:cs="Arial"/>
          <w:szCs w:val="20"/>
          <w:lang w:val="en-GB"/>
        </w:rPr>
        <w:t xml:space="preserve">The </w:t>
      </w:r>
      <w:bookmarkEnd w:id="349"/>
      <w:r w:rsidRPr="009C48DA">
        <w:rPr>
          <w:rFonts w:eastAsia="Calibri" w:cs="Arial"/>
          <w:szCs w:val="20"/>
          <w:lang w:val="en-GB"/>
        </w:rPr>
        <w:t xml:space="preserve">Group may be adversely affected by ongoing and/or future legal disputes and proceedings regarding, among other things, negligence, malpractice, contract disputes, public authorities’ investigations, audits and other legal claims that may involve large potential damages and defence costs. Moreover, legal disputes against </w:t>
      </w:r>
      <w:bookmarkStart w:name="_9kMH8HQ7aXv6AA8BFPLzmlnx822EhdI28" w:id="350"/>
      <w:r w:rsidRPr="009C48DA" w:rsidR="00CE3171">
        <w:rPr>
          <w:rFonts w:eastAsia="Calibri" w:cs="Arial"/>
          <w:szCs w:val="20"/>
          <w:lang w:val="en-GB"/>
        </w:rPr>
        <w:t xml:space="preserve">the </w:t>
      </w:r>
      <w:r w:rsidRPr="009C48DA" w:rsidR="008453E7">
        <w:rPr>
          <w:rFonts w:eastAsia="Calibri" w:cs="Arial"/>
          <w:szCs w:val="20"/>
          <w:lang w:val="en-GB"/>
        </w:rPr>
        <w:t xml:space="preserve">Bridgepoint </w:t>
      </w:r>
      <w:r w:rsidRPr="009C48DA">
        <w:rPr>
          <w:rFonts w:eastAsia="Calibri" w:cs="Arial"/>
          <w:szCs w:val="20"/>
          <w:lang w:val="en-GB"/>
        </w:rPr>
        <w:t>Fund</w:t>
      </w:r>
      <w:bookmarkEnd w:id="350"/>
      <w:r w:rsidRPr="009C48DA" w:rsidR="00CE3171">
        <w:rPr>
          <w:rFonts w:eastAsia="Calibri" w:cs="Arial"/>
          <w:szCs w:val="20"/>
          <w:lang w:val="en-GB"/>
        </w:rPr>
        <w:t>s’</w:t>
      </w:r>
      <w:r w:rsidRPr="009C48DA">
        <w:rPr>
          <w:rFonts w:eastAsia="Calibri" w:cs="Arial"/>
          <w:szCs w:val="20"/>
          <w:lang w:val="en-GB"/>
        </w:rPr>
        <w:t xml:space="preserve"> portfolio companies could materially reduce the value of the </w:t>
      </w:r>
      <w:bookmarkStart w:name="_9kMI0zH7aXv6AA8BFPLzmlnx822EhdI28" w:id="351"/>
      <w:r w:rsidRPr="009C48DA" w:rsidR="008453E7">
        <w:rPr>
          <w:rFonts w:eastAsia="Calibri" w:cs="Arial"/>
          <w:szCs w:val="20"/>
          <w:lang w:val="en-GB"/>
        </w:rPr>
        <w:t xml:space="preserve">Bridgepoint </w:t>
      </w:r>
      <w:r w:rsidRPr="009C48DA" w:rsidR="0068713B">
        <w:rPr>
          <w:rFonts w:eastAsia="Calibri" w:cs="Arial"/>
          <w:szCs w:val="20"/>
          <w:lang w:val="en-GB"/>
        </w:rPr>
        <w:t>Fund</w:t>
      </w:r>
      <w:r w:rsidRPr="009C48DA">
        <w:rPr>
          <w:rFonts w:eastAsia="Calibri" w:cs="Arial"/>
          <w:szCs w:val="20"/>
          <w:lang w:val="en-GB"/>
        </w:rPr>
        <w:t>s</w:t>
      </w:r>
      <w:bookmarkEnd w:id="351"/>
      <w:r w:rsidRPr="009C48DA" w:rsidR="0068713B">
        <w:rPr>
          <w:rFonts w:eastAsia="Calibri" w:cs="Arial"/>
          <w:szCs w:val="20"/>
          <w:lang w:val="en-GB"/>
        </w:rPr>
        <w:t>’</w:t>
      </w:r>
      <w:r w:rsidRPr="009C48DA">
        <w:rPr>
          <w:rFonts w:eastAsia="Calibri" w:cs="Arial"/>
          <w:szCs w:val="20"/>
          <w:lang w:val="en-GB"/>
        </w:rPr>
        <w:t xml:space="preserve"> investment. </w:t>
      </w:r>
      <w:bookmarkStart w:name="_9kMK7L6ZWu5997HJeSkFN1onpzA44GkdIMO" w:id="352"/>
      <w:r w:rsidRPr="009C48DA">
        <w:rPr>
          <w:rFonts w:eastAsia="Calibri" w:cs="Arial"/>
          <w:szCs w:val="20"/>
          <w:lang w:val="en-GB"/>
        </w:rPr>
        <w:t xml:space="preserve">The </w:t>
      </w:r>
      <w:bookmarkEnd w:id="352"/>
      <w:r w:rsidRPr="009C48DA">
        <w:rPr>
          <w:rFonts w:eastAsia="Calibri" w:cs="Arial"/>
          <w:szCs w:val="20"/>
          <w:lang w:val="en-GB"/>
        </w:rPr>
        <w:t>Group has not been a party in any legal or arbitration proceeding, including cases that are pending or that the Group is awa</w:t>
      </w:r>
      <w:r w:rsidRPr="009C48DA" w:rsidR="00CE3171">
        <w:rPr>
          <w:rFonts w:eastAsia="Calibri" w:cs="Arial"/>
          <w:szCs w:val="20"/>
          <w:lang w:val="en-GB"/>
        </w:rPr>
        <w:t>re could arise during the last 12</w:t>
      </w:r>
      <w:r w:rsidRPr="009C48DA">
        <w:rPr>
          <w:rFonts w:eastAsia="Calibri" w:cs="Arial"/>
          <w:szCs w:val="20"/>
          <w:lang w:val="en-GB"/>
        </w:rPr>
        <w:t xml:space="preserve"> months which have had, or may have, material effects on the </w:t>
      </w:r>
      <w:bookmarkStart w:name="_9kMJ45K7aXv6AA8BKULzmlnx822EibGKM" w:id="353"/>
      <w:r w:rsidRPr="009C48DA">
        <w:rPr>
          <w:rFonts w:eastAsia="Calibri" w:cs="Arial"/>
          <w:szCs w:val="20"/>
          <w:lang w:val="en-GB"/>
        </w:rPr>
        <w:t>Group’s</w:t>
      </w:r>
      <w:bookmarkEnd w:id="353"/>
      <w:r w:rsidRPr="009C48DA">
        <w:rPr>
          <w:rFonts w:eastAsia="Calibri" w:cs="Arial"/>
          <w:szCs w:val="20"/>
          <w:lang w:val="en-GB"/>
        </w:rPr>
        <w:t xml:space="preserve"> business, </w:t>
      </w:r>
      <w:r w:rsidRPr="009C48DA" w:rsidR="00943AE8">
        <w:rPr>
          <w:rFonts w:eastAsia="Calibri" w:cs="Arial"/>
          <w:szCs w:val="20"/>
          <w:lang w:val="en-GB"/>
        </w:rPr>
        <w:t>revenue, net income and</w:t>
      </w:r>
      <w:r w:rsidRPr="009C48DA">
        <w:rPr>
          <w:rFonts w:eastAsia="Calibri" w:cs="Arial"/>
          <w:szCs w:val="20"/>
          <w:lang w:val="en-GB"/>
        </w:rPr>
        <w:t xml:space="preserve"> cash flow</w:t>
      </w:r>
      <w:r w:rsidRPr="009C48DA" w:rsidR="00943AE8">
        <w:rPr>
          <w:rFonts w:eastAsia="Calibri" w:cs="Arial"/>
          <w:szCs w:val="20"/>
          <w:lang w:val="en-GB"/>
        </w:rPr>
        <w:t>s</w:t>
      </w:r>
      <w:r w:rsidRPr="009C48DA">
        <w:rPr>
          <w:rFonts w:eastAsia="Calibri" w:cs="Arial"/>
          <w:szCs w:val="20"/>
          <w:lang w:val="en-GB"/>
        </w:rPr>
        <w:t xml:space="preserve">. Within the ordinary course of business, the Group is from time to time involved in disputes or other proceedings, and the </w:t>
      </w:r>
      <w:bookmarkStart w:name="_9kMI7N6ZWu5997CDMIz1qpE" w:id="354"/>
      <w:r w:rsidRPr="009C48DA">
        <w:rPr>
          <w:rFonts w:eastAsia="Calibri" w:cs="Arial"/>
          <w:szCs w:val="20"/>
          <w:lang w:val="en-GB"/>
        </w:rPr>
        <w:t>Company</w:t>
      </w:r>
      <w:bookmarkEnd w:id="354"/>
      <w:r w:rsidRPr="009C48DA">
        <w:rPr>
          <w:rFonts w:eastAsia="Calibri" w:cs="Arial"/>
          <w:szCs w:val="20"/>
          <w:lang w:val="en-GB"/>
        </w:rPr>
        <w:t xml:space="preserve"> has insurance in place aimed at covering such claims.</w:t>
      </w:r>
      <w:r w:rsidRPr="009C48DA">
        <w:rPr>
          <w:rFonts w:eastAsia="Times New Roman" w:cs="Times New Roman"/>
          <w:color w:val="000000"/>
          <w:szCs w:val="20"/>
          <w:lang w:val="en-GB"/>
        </w:rPr>
        <w:t xml:space="preserve"> </w:t>
      </w:r>
      <w:r w:rsidRPr="009C48DA">
        <w:rPr>
          <w:rFonts w:eastAsia="Calibri" w:cs="Arial"/>
          <w:szCs w:val="20"/>
          <w:lang w:val="en-GB"/>
        </w:rPr>
        <w:t xml:space="preserve">In addition, with a workforce composed of many highly paid professionals, the Group faces the risk of litigation relating to claims for compensation, which may, individually or in the aggregate, be significant in amount. The cost of settling any such claims could ultimately negatively impact the </w:t>
      </w:r>
      <w:bookmarkStart w:name="_9kMJ48N7aXv6AA8BKULzmlnx822EibGKM" w:id="355"/>
      <w:r w:rsidRPr="009C48DA">
        <w:rPr>
          <w:rFonts w:eastAsia="Calibri" w:cs="Arial"/>
          <w:szCs w:val="20"/>
          <w:lang w:val="en-GB"/>
        </w:rPr>
        <w:t>Group’s</w:t>
      </w:r>
      <w:bookmarkEnd w:id="355"/>
      <w:r w:rsidRPr="009C48DA">
        <w:rPr>
          <w:rFonts w:eastAsia="Calibri" w:cs="Arial"/>
          <w:szCs w:val="20"/>
          <w:lang w:val="en-GB"/>
        </w:rPr>
        <w:t xml:space="preserve"> business, results of operations and financial condition. If any lawsuits were brought against any member or the Group, any </w:t>
      </w:r>
      <w:r w:rsidRPr="009C48DA" w:rsidR="008453E7">
        <w:rPr>
          <w:rFonts w:eastAsia="Calibri" w:cs="Arial"/>
          <w:szCs w:val="20"/>
          <w:lang w:val="en-GB"/>
        </w:rPr>
        <w:t xml:space="preserve">Bridgepoint </w:t>
      </w:r>
      <w:r w:rsidRPr="009C48DA">
        <w:rPr>
          <w:rFonts w:eastAsia="Calibri" w:cs="Arial"/>
          <w:szCs w:val="20"/>
          <w:lang w:val="en-GB"/>
        </w:rPr>
        <w:t xml:space="preserve">Fund or their employees, and resulted in a finding of substantial legal liability, the lawsuit could materially adversely affect the </w:t>
      </w:r>
      <w:bookmarkStart w:name="_9kMJ5AO7aXv6AA8BKULzmlnx822EibGKM" w:id="356"/>
      <w:r w:rsidRPr="009C48DA">
        <w:rPr>
          <w:rFonts w:eastAsia="Calibri" w:cs="Arial"/>
          <w:szCs w:val="20"/>
          <w:lang w:val="en-GB"/>
        </w:rPr>
        <w:t>Group’s</w:t>
      </w:r>
      <w:bookmarkEnd w:id="356"/>
      <w:r w:rsidRPr="009C48DA">
        <w:rPr>
          <w:rFonts w:eastAsia="Calibri" w:cs="Arial"/>
          <w:szCs w:val="20"/>
          <w:lang w:val="en-GB"/>
        </w:rPr>
        <w:t xml:space="preserve"> business, financial condition or results of operations or cause significant harm to the </w:t>
      </w:r>
      <w:r w:rsidRPr="009C48DA" w:rsidR="008453E7">
        <w:rPr>
          <w:rFonts w:eastAsia="Calibri" w:cs="Arial"/>
          <w:szCs w:val="20"/>
          <w:lang w:val="en-GB"/>
        </w:rPr>
        <w:t xml:space="preserve">Bridgepoint </w:t>
      </w:r>
      <w:r w:rsidRPr="009C48DA">
        <w:rPr>
          <w:rFonts w:eastAsia="Calibri" w:cs="Arial"/>
          <w:szCs w:val="20"/>
          <w:lang w:val="en-GB"/>
        </w:rPr>
        <w:t xml:space="preserve">brand or reputation, which could seriously harm the </w:t>
      </w:r>
      <w:bookmarkStart w:name="_9kMJ5BP7aXv6AA8BKULzmlnx822EibGKM" w:id="357"/>
      <w:r w:rsidRPr="009C48DA">
        <w:rPr>
          <w:rFonts w:eastAsia="Calibri" w:cs="Arial"/>
          <w:szCs w:val="20"/>
          <w:lang w:val="en-GB"/>
        </w:rPr>
        <w:t>Group’s</w:t>
      </w:r>
      <w:bookmarkEnd w:id="357"/>
      <w:r w:rsidRPr="009C48DA">
        <w:rPr>
          <w:rFonts w:eastAsia="Calibri" w:cs="Arial"/>
          <w:szCs w:val="20"/>
          <w:lang w:val="en-GB"/>
        </w:rPr>
        <w:t xml:space="preserve"> business and could impact the </w:t>
      </w:r>
      <w:bookmarkStart w:name="_9kMJ5CQ7aXv6AA8BKULzmlnx822EibGKM" w:id="358"/>
      <w:r w:rsidRPr="009C48DA">
        <w:rPr>
          <w:rFonts w:eastAsia="Calibri" w:cs="Arial"/>
          <w:szCs w:val="20"/>
          <w:lang w:val="en-GB"/>
        </w:rPr>
        <w:t>Group’s</w:t>
      </w:r>
      <w:bookmarkEnd w:id="358"/>
      <w:r w:rsidRPr="009C48DA">
        <w:rPr>
          <w:rFonts w:eastAsia="Calibri" w:cs="Arial"/>
          <w:szCs w:val="20"/>
          <w:lang w:val="en-GB"/>
        </w:rPr>
        <w:t xml:space="preserve"> ability to raise capital for new funds. </w:t>
      </w:r>
    </w:p>
    <w:p w:rsidRPr="009C48DA" w:rsidR="006D6A27" w:rsidP="00676CA5" w:rsidRDefault="006D6A27" w14:paraId="63E83579" w14:textId="24BBEF15">
      <w:pPr>
        <w:pStyle w:val="BodyText2SglJ"/>
        <w:rPr>
          <w:rFonts w:eastAsia="Calibri" w:cs="Arial"/>
          <w:szCs w:val="20"/>
          <w:lang w:val="en-GB"/>
        </w:rPr>
      </w:pPr>
      <w:r w:rsidRPr="009C48DA">
        <w:rPr>
          <w:rFonts w:eastAsia="Calibri" w:cs="Arial"/>
          <w:szCs w:val="20"/>
          <w:lang w:val="en-GB"/>
        </w:rPr>
        <w:t xml:space="preserve">Although </w:t>
      </w:r>
      <w:bookmarkStart w:name="_9kMI6M6ZWu5997DLWR6qMRB31HEDI" w:id="359"/>
      <w:r w:rsidRPr="009C48DA">
        <w:rPr>
          <w:rFonts w:eastAsia="Calibri" w:cs="Arial"/>
          <w:szCs w:val="20"/>
          <w:lang w:val="en-GB"/>
        </w:rPr>
        <w:t>fund investors</w:t>
      </w:r>
      <w:bookmarkEnd w:id="359"/>
      <w:r w:rsidRPr="009C48DA">
        <w:rPr>
          <w:rFonts w:eastAsia="Calibri" w:cs="Arial"/>
          <w:szCs w:val="20"/>
          <w:lang w:val="en-GB"/>
        </w:rPr>
        <w:t xml:space="preserve"> do not have legal remedies against the </w:t>
      </w:r>
      <w:bookmarkStart w:name="_9kMI8O6ZWu5997CDMIz1qpE" w:id="360"/>
      <w:r w:rsidRPr="009C48DA">
        <w:rPr>
          <w:rFonts w:eastAsia="Calibri" w:cs="Arial"/>
          <w:szCs w:val="20"/>
          <w:lang w:val="en-GB"/>
        </w:rPr>
        <w:t>Company</w:t>
      </w:r>
      <w:bookmarkEnd w:id="360"/>
      <w:r w:rsidRPr="009C48DA">
        <w:rPr>
          <w:rFonts w:eastAsia="Calibri" w:cs="Arial"/>
          <w:szCs w:val="20"/>
          <w:lang w:val="en-GB"/>
        </w:rPr>
        <w:t xml:space="preserve"> or its </w:t>
      </w:r>
      <w:r w:rsidRPr="009C48DA" w:rsidR="00092571">
        <w:rPr>
          <w:rFonts w:eastAsia="Calibri" w:cs="Arial"/>
          <w:szCs w:val="20"/>
          <w:lang w:val="en-GB"/>
        </w:rPr>
        <w:t>Group</w:t>
      </w:r>
      <w:r w:rsidRPr="009C48DA">
        <w:rPr>
          <w:rFonts w:eastAsia="Calibri" w:cs="Arial"/>
          <w:szCs w:val="20"/>
          <w:lang w:val="en-GB"/>
        </w:rPr>
        <w:t xml:space="preserve">, the </w:t>
      </w:r>
      <w:r w:rsidRPr="009C48DA" w:rsidR="008453E7">
        <w:rPr>
          <w:rFonts w:eastAsia="Calibri" w:cs="Arial"/>
          <w:szCs w:val="20"/>
          <w:lang w:val="en-GB"/>
        </w:rPr>
        <w:t xml:space="preserve">Bridgepoint </w:t>
      </w:r>
      <w:r w:rsidRPr="009C48DA" w:rsidR="000E5BB6">
        <w:rPr>
          <w:rFonts w:eastAsia="Calibri" w:cs="Arial"/>
          <w:szCs w:val="20"/>
          <w:lang w:val="en-GB"/>
        </w:rPr>
        <w:t>g</w:t>
      </w:r>
      <w:r w:rsidRPr="009C48DA">
        <w:rPr>
          <w:rFonts w:eastAsia="Calibri" w:cs="Arial"/>
          <w:szCs w:val="20"/>
          <w:lang w:val="en-GB"/>
        </w:rPr>
        <w:t xml:space="preserve">eneral </w:t>
      </w:r>
      <w:r w:rsidRPr="009C48DA" w:rsidR="000E5BB6">
        <w:rPr>
          <w:rFonts w:eastAsia="Calibri" w:cs="Arial"/>
          <w:szCs w:val="20"/>
          <w:lang w:val="en-GB"/>
        </w:rPr>
        <w:t>p</w:t>
      </w:r>
      <w:r w:rsidRPr="009C48DA">
        <w:rPr>
          <w:rFonts w:eastAsia="Calibri" w:cs="Arial"/>
          <w:szCs w:val="20"/>
          <w:lang w:val="en-GB"/>
        </w:rPr>
        <w:t xml:space="preserve">artners, the </w:t>
      </w:r>
      <w:bookmarkStart w:name="_9kMI01J7aXv6AA8BFPLzmlnx822EhdI28" w:id="361"/>
      <w:r w:rsidRPr="009C48DA" w:rsidR="008453E7">
        <w:rPr>
          <w:rFonts w:eastAsia="Calibri" w:cs="Arial"/>
          <w:szCs w:val="20"/>
          <w:lang w:val="en-GB"/>
        </w:rPr>
        <w:t xml:space="preserve">Bridgepoint </w:t>
      </w:r>
      <w:r w:rsidRPr="009C48DA">
        <w:rPr>
          <w:rFonts w:eastAsia="Calibri" w:cs="Arial"/>
          <w:szCs w:val="20"/>
          <w:lang w:val="en-GB"/>
        </w:rPr>
        <w:t>Funds</w:t>
      </w:r>
      <w:bookmarkEnd w:id="361"/>
      <w:r w:rsidRPr="009C48DA">
        <w:rPr>
          <w:rFonts w:eastAsia="Calibri" w:cs="Arial"/>
          <w:szCs w:val="20"/>
          <w:lang w:val="en-GB"/>
        </w:rPr>
        <w:t xml:space="preserve"> or the </w:t>
      </w:r>
      <w:bookmarkStart w:name="_9kMJ49O7aXv6AA8BKULzmlnx822EibGKM" w:id="362"/>
      <w:r w:rsidRPr="009C48DA">
        <w:rPr>
          <w:rFonts w:eastAsia="Calibri" w:cs="Arial"/>
          <w:szCs w:val="20"/>
          <w:lang w:val="en-GB"/>
        </w:rPr>
        <w:t>Group’s</w:t>
      </w:r>
      <w:bookmarkEnd w:id="362"/>
      <w:r w:rsidRPr="009C48DA">
        <w:rPr>
          <w:rFonts w:eastAsia="Calibri" w:cs="Arial"/>
          <w:szCs w:val="20"/>
          <w:lang w:val="en-GB"/>
        </w:rPr>
        <w:t xml:space="preserve"> employees solely based on dissatisfaction with the investment performance of those funds, such investor may have remedies against the Group, the </w:t>
      </w:r>
      <w:r w:rsidRPr="009C48DA" w:rsidR="008453E7">
        <w:rPr>
          <w:rFonts w:eastAsia="Calibri" w:cs="Arial"/>
          <w:szCs w:val="20"/>
          <w:lang w:val="en-GB"/>
        </w:rPr>
        <w:t xml:space="preserve">Bridgepoint </w:t>
      </w:r>
      <w:r w:rsidRPr="009C48DA" w:rsidR="000E5BB6">
        <w:rPr>
          <w:rFonts w:eastAsia="Calibri" w:cs="Arial"/>
          <w:szCs w:val="20"/>
          <w:lang w:val="en-GB"/>
        </w:rPr>
        <w:t>g</w:t>
      </w:r>
      <w:r w:rsidRPr="009C48DA">
        <w:rPr>
          <w:rFonts w:eastAsia="Calibri" w:cs="Arial"/>
          <w:szCs w:val="20"/>
          <w:lang w:val="en-GB"/>
        </w:rPr>
        <w:t xml:space="preserve">eneral </w:t>
      </w:r>
      <w:r w:rsidRPr="009C48DA" w:rsidR="000E5BB6">
        <w:rPr>
          <w:rFonts w:eastAsia="Calibri" w:cs="Arial"/>
          <w:szCs w:val="20"/>
          <w:lang w:val="en-GB"/>
        </w:rPr>
        <w:t>p</w:t>
      </w:r>
      <w:r w:rsidRPr="009C48DA">
        <w:rPr>
          <w:rFonts w:eastAsia="Calibri" w:cs="Arial"/>
          <w:szCs w:val="20"/>
          <w:lang w:val="en-GB"/>
        </w:rPr>
        <w:t xml:space="preserve">artners, the </w:t>
      </w:r>
      <w:bookmarkStart w:name="_9kMI03L7aXv6AA8BFPLzmlnx822EhdI28" w:id="363"/>
      <w:r w:rsidRPr="009C48DA" w:rsidR="008453E7">
        <w:rPr>
          <w:rFonts w:eastAsia="Calibri" w:cs="Arial"/>
          <w:szCs w:val="20"/>
          <w:lang w:val="en-GB"/>
        </w:rPr>
        <w:t xml:space="preserve">Bridgepoint </w:t>
      </w:r>
      <w:r w:rsidRPr="009C48DA">
        <w:rPr>
          <w:rFonts w:eastAsia="Calibri" w:cs="Arial"/>
          <w:szCs w:val="20"/>
          <w:lang w:val="en-GB"/>
        </w:rPr>
        <w:t>Funds</w:t>
      </w:r>
      <w:bookmarkEnd w:id="363"/>
      <w:r w:rsidRPr="009C48DA">
        <w:rPr>
          <w:rFonts w:eastAsia="Calibri" w:cs="Arial"/>
          <w:szCs w:val="20"/>
          <w:lang w:val="en-GB"/>
        </w:rPr>
        <w:t xml:space="preserve"> or the </w:t>
      </w:r>
      <w:bookmarkStart w:name="_9kMJ4BQ7aXv6AA8BKULzmlnx822EibGKM" w:id="364"/>
      <w:r w:rsidRPr="009C48DA">
        <w:rPr>
          <w:rFonts w:eastAsia="Calibri" w:cs="Arial"/>
          <w:szCs w:val="20"/>
          <w:lang w:val="en-GB"/>
        </w:rPr>
        <w:t>Group’s</w:t>
      </w:r>
      <w:bookmarkEnd w:id="364"/>
      <w:r w:rsidRPr="009C48DA">
        <w:rPr>
          <w:rFonts w:eastAsia="Calibri" w:cs="Arial"/>
          <w:szCs w:val="20"/>
          <w:lang w:val="en-GB"/>
        </w:rPr>
        <w:t xml:space="preserve"> employees to the extent any losses result from fraud, </w:t>
      </w:r>
      <w:r w:rsidRPr="009C48DA" w:rsidR="003F3801">
        <w:rPr>
          <w:rFonts w:eastAsia="Calibri" w:cs="Arial"/>
          <w:szCs w:val="20"/>
          <w:lang w:val="en-GB"/>
        </w:rPr>
        <w:t xml:space="preserve">gross </w:t>
      </w:r>
      <w:r w:rsidRPr="009C48DA">
        <w:rPr>
          <w:rFonts w:eastAsia="Calibri" w:cs="Arial"/>
          <w:szCs w:val="20"/>
          <w:lang w:val="en-GB"/>
        </w:rPr>
        <w:t xml:space="preserve">negligence, wilful misconduct or other similar misconduct. While the </w:t>
      </w:r>
      <w:r w:rsidRPr="009C48DA" w:rsidR="008453E7">
        <w:rPr>
          <w:rFonts w:eastAsia="Calibri" w:cs="Arial"/>
          <w:szCs w:val="20"/>
          <w:lang w:val="en-GB"/>
        </w:rPr>
        <w:t xml:space="preserve">Bridgepoint </w:t>
      </w:r>
      <w:r w:rsidRPr="009C48DA" w:rsidR="000E5BB6">
        <w:rPr>
          <w:rFonts w:eastAsia="Calibri" w:cs="Arial"/>
          <w:szCs w:val="20"/>
          <w:lang w:val="en-GB"/>
        </w:rPr>
        <w:t>g</w:t>
      </w:r>
      <w:r w:rsidRPr="009C48DA">
        <w:rPr>
          <w:rFonts w:eastAsia="Calibri" w:cs="Arial"/>
          <w:szCs w:val="20"/>
          <w:lang w:val="en-GB"/>
        </w:rPr>
        <w:t xml:space="preserve">eneral </w:t>
      </w:r>
      <w:r w:rsidRPr="009C48DA" w:rsidR="000E5BB6">
        <w:rPr>
          <w:rFonts w:eastAsia="Calibri" w:cs="Arial"/>
          <w:szCs w:val="20"/>
          <w:lang w:val="en-GB"/>
        </w:rPr>
        <w:t>p</w:t>
      </w:r>
      <w:r w:rsidRPr="009C48DA">
        <w:rPr>
          <w:rFonts w:eastAsia="Calibri" w:cs="Arial"/>
          <w:szCs w:val="20"/>
          <w:lang w:val="en-GB"/>
        </w:rPr>
        <w:t xml:space="preserve">artners and investment advisers to the </w:t>
      </w:r>
      <w:bookmarkStart w:name="_9kMI04M7aXv6AA8BFPLzmlnx822EhdI28" w:id="365"/>
      <w:r w:rsidRPr="009C48DA" w:rsidR="008453E7">
        <w:rPr>
          <w:rFonts w:eastAsia="Calibri" w:cs="Arial"/>
          <w:szCs w:val="20"/>
          <w:lang w:val="en-GB"/>
        </w:rPr>
        <w:t xml:space="preserve">Bridgepoint </w:t>
      </w:r>
      <w:r w:rsidRPr="009C48DA">
        <w:rPr>
          <w:rFonts w:eastAsia="Calibri" w:cs="Arial"/>
          <w:szCs w:val="20"/>
          <w:lang w:val="en-GB"/>
        </w:rPr>
        <w:t>Funds</w:t>
      </w:r>
      <w:bookmarkEnd w:id="365"/>
      <w:r w:rsidRPr="009C48DA">
        <w:rPr>
          <w:rFonts w:eastAsia="Calibri" w:cs="Arial"/>
          <w:szCs w:val="20"/>
          <w:lang w:val="en-GB"/>
        </w:rPr>
        <w:t xml:space="preserve">, including the Fund Managers, every member of the Group and their respective directors, officers, shareholders, partners, members, agents, consultants and employees, and the limited partners of the </w:t>
      </w:r>
      <w:r w:rsidRPr="009C48DA" w:rsidR="008453E7">
        <w:rPr>
          <w:rFonts w:eastAsia="Calibri" w:cs="Arial"/>
          <w:szCs w:val="20"/>
          <w:lang w:val="en-GB"/>
        </w:rPr>
        <w:t xml:space="preserve">Bridgepoint </w:t>
      </w:r>
      <w:r w:rsidRPr="009C48DA">
        <w:rPr>
          <w:rFonts w:eastAsia="Calibri" w:cs="Arial"/>
          <w:szCs w:val="20"/>
          <w:lang w:val="en-GB"/>
        </w:rPr>
        <w:t xml:space="preserve">Funds are generally indemnified under the </w:t>
      </w:r>
      <w:bookmarkStart w:name="_9kMI05N7aXv6AA8BFPLzmlnx822EhdI28" w:id="366"/>
      <w:r w:rsidRPr="009C48DA" w:rsidR="008453E7">
        <w:rPr>
          <w:rFonts w:eastAsia="Calibri" w:cs="Arial"/>
          <w:szCs w:val="20"/>
          <w:lang w:val="en-GB"/>
        </w:rPr>
        <w:t xml:space="preserve">Bridgepoint </w:t>
      </w:r>
      <w:r w:rsidRPr="009C48DA">
        <w:rPr>
          <w:rFonts w:eastAsia="Calibri" w:cs="Arial"/>
          <w:szCs w:val="20"/>
          <w:lang w:val="en-GB"/>
        </w:rPr>
        <w:t>Funds’</w:t>
      </w:r>
      <w:bookmarkEnd w:id="366"/>
      <w:r w:rsidRPr="009C48DA">
        <w:rPr>
          <w:rFonts w:eastAsia="Calibri" w:cs="Arial"/>
          <w:szCs w:val="20"/>
          <w:lang w:val="en-GB"/>
        </w:rPr>
        <w:t xml:space="preserve"> governing documents to the fullest extent permitted by law with respect to their conduct in connection with the management of the business and affairs of the </w:t>
      </w:r>
      <w:bookmarkStart w:name="_9kMI06O7aXv6AA8BFPLzmlnx822EhdI28" w:id="367"/>
      <w:r w:rsidRPr="009C48DA" w:rsidR="008453E7">
        <w:rPr>
          <w:rFonts w:eastAsia="Calibri" w:cs="Arial"/>
          <w:szCs w:val="20"/>
          <w:lang w:val="en-GB"/>
        </w:rPr>
        <w:t xml:space="preserve">Bridgepoint </w:t>
      </w:r>
      <w:r w:rsidRPr="009C48DA">
        <w:rPr>
          <w:rFonts w:eastAsia="Calibri" w:cs="Arial"/>
          <w:szCs w:val="20"/>
          <w:lang w:val="en-GB"/>
        </w:rPr>
        <w:t>Funds</w:t>
      </w:r>
      <w:bookmarkEnd w:id="367"/>
      <w:r w:rsidRPr="009C48DA">
        <w:rPr>
          <w:rFonts w:eastAsia="Calibri" w:cs="Arial"/>
          <w:szCs w:val="20"/>
          <w:lang w:val="en-GB"/>
        </w:rPr>
        <w:t xml:space="preserve">, such indemnity generally does not extend to actions determined to have involved fraud, gross </w:t>
      </w:r>
      <w:r w:rsidRPr="009C48DA">
        <w:rPr>
          <w:rFonts w:eastAsia="Times New Roman" w:cs="Times New Roman"/>
          <w:color w:val="231F20"/>
          <w:szCs w:val="20"/>
          <w:lang w:val="en-GB"/>
        </w:rPr>
        <w:t>negligence</w:t>
      </w:r>
      <w:r w:rsidRPr="009C48DA">
        <w:rPr>
          <w:rFonts w:eastAsia="Calibri" w:cs="Arial"/>
          <w:szCs w:val="20"/>
          <w:lang w:val="en-GB"/>
        </w:rPr>
        <w:t xml:space="preserve">, wilful misconduct or other similar misconduct. If any civil or criminal lawsuits were brought against the Group and resulted in a finding of substantial legal liability or culpability, the lawsuit could materially and adversely affect the </w:t>
      </w:r>
      <w:bookmarkStart w:name="_9kMJ54I7aXv6AA8BKULzmlnx822EibGKM" w:id="368"/>
      <w:r w:rsidRPr="009C48DA">
        <w:rPr>
          <w:rFonts w:eastAsia="Calibri" w:cs="Arial"/>
          <w:szCs w:val="20"/>
          <w:lang w:val="en-GB"/>
        </w:rPr>
        <w:t>Group’s</w:t>
      </w:r>
      <w:bookmarkEnd w:id="368"/>
      <w:r w:rsidRPr="009C48DA">
        <w:rPr>
          <w:rFonts w:eastAsia="Calibri" w:cs="Arial"/>
          <w:szCs w:val="20"/>
          <w:lang w:val="en-GB"/>
        </w:rPr>
        <w:t xml:space="preserve"> business, results of operations and financial condition or cause significant reputational harm to the Group, which could seriously impact its business. Furthermore, allegations of improper conduct, as well as negative publicity and press speculation about </w:t>
      </w:r>
      <w:r w:rsidRPr="009C48DA" w:rsidR="008453E7">
        <w:rPr>
          <w:rFonts w:eastAsia="Calibri" w:cs="Arial"/>
          <w:szCs w:val="20"/>
          <w:lang w:val="en-GB"/>
        </w:rPr>
        <w:t>Bridgepoint</w:t>
      </w:r>
      <w:r w:rsidRPr="009C48DA">
        <w:rPr>
          <w:rFonts w:eastAsia="Calibri" w:cs="Arial"/>
          <w:szCs w:val="20"/>
          <w:lang w:val="en-GB"/>
        </w:rPr>
        <w:t xml:space="preserve">, the </w:t>
      </w:r>
      <w:bookmarkStart w:name="_9kMJ64H7aXv6AA8BKULzmlnx822EibGKM" w:id="369"/>
      <w:r w:rsidRPr="009C48DA">
        <w:rPr>
          <w:rFonts w:eastAsia="Calibri" w:cs="Arial"/>
          <w:szCs w:val="20"/>
          <w:lang w:val="en-GB"/>
        </w:rPr>
        <w:t>Group’s</w:t>
      </w:r>
      <w:bookmarkEnd w:id="369"/>
      <w:r w:rsidRPr="009C48DA">
        <w:rPr>
          <w:rFonts w:eastAsia="Calibri" w:cs="Arial"/>
          <w:szCs w:val="20"/>
          <w:lang w:val="en-GB"/>
        </w:rPr>
        <w:t xml:space="preserve"> investment activities or the private equity industry in general, whether or not valid, may harm the</w:t>
      </w:r>
      <w:bookmarkStart w:name="_9kMI9P6ZWu5997CDMIz1qpE" w:id="370"/>
      <w:r w:rsidRPr="009C48DA">
        <w:rPr>
          <w:rFonts w:eastAsia="Calibri" w:cs="Arial"/>
          <w:szCs w:val="20"/>
          <w:lang w:val="en-GB"/>
        </w:rPr>
        <w:t xml:space="preserve"> Group’s</w:t>
      </w:r>
      <w:bookmarkEnd w:id="370"/>
      <w:r w:rsidRPr="009C48DA">
        <w:rPr>
          <w:rFonts w:eastAsia="Calibri" w:cs="Arial"/>
          <w:szCs w:val="20"/>
          <w:lang w:val="en-GB"/>
        </w:rPr>
        <w:t xml:space="preserve"> brand and reputation, which may be damaging to the </w:t>
      </w:r>
      <w:bookmarkStart w:name="_9kMJ65I7aXv6AA8BKULzmlnx822EibGKM" w:id="371"/>
      <w:r w:rsidRPr="009C48DA">
        <w:rPr>
          <w:rFonts w:eastAsia="Calibri" w:cs="Arial"/>
          <w:szCs w:val="20"/>
          <w:lang w:val="en-GB"/>
        </w:rPr>
        <w:t>Group’s</w:t>
      </w:r>
      <w:bookmarkEnd w:id="371"/>
      <w:r w:rsidRPr="009C48DA">
        <w:rPr>
          <w:rFonts w:eastAsia="Calibri" w:cs="Arial"/>
          <w:szCs w:val="20"/>
          <w:lang w:val="en-GB"/>
        </w:rPr>
        <w:t xml:space="preserve"> business. Moreover, the performance of the </w:t>
      </w:r>
      <w:bookmarkStart w:name="_9kMI07P7aXv6AA8BFPLzmlnx822EhdI28" w:id="372"/>
      <w:r w:rsidRPr="009C48DA" w:rsidR="008453E7">
        <w:rPr>
          <w:rFonts w:eastAsia="Calibri" w:cs="Arial"/>
          <w:szCs w:val="20"/>
          <w:lang w:val="en-GB"/>
        </w:rPr>
        <w:t xml:space="preserve">Bridgepoint </w:t>
      </w:r>
      <w:r w:rsidRPr="009C48DA">
        <w:rPr>
          <w:rFonts w:eastAsia="Calibri" w:cs="Arial"/>
          <w:szCs w:val="20"/>
          <w:lang w:val="en-GB"/>
        </w:rPr>
        <w:t>Funds</w:t>
      </w:r>
      <w:bookmarkEnd w:id="372"/>
      <w:r w:rsidRPr="009C48DA">
        <w:rPr>
          <w:rFonts w:eastAsia="Calibri" w:cs="Arial"/>
          <w:szCs w:val="20"/>
          <w:lang w:val="en-GB"/>
        </w:rPr>
        <w:t xml:space="preserve"> may also be affected in the event that litigation is commenced against one or more </w:t>
      </w:r>
      <w:r w:rsidRPr="009C48DA">
        <w:rPr>
          <w:rFonts w:eastAsia="Calibri" w:cs="Arial"/>
          <w:szCs w:val="20"/>
          <w:lang w:val="en-GB"/>
        </w:rPr>
        <w:lastRenderedPageBreak/>
        <w:t xml:space="preserve">members of the Group, which may restrict such members from performing their functions and duties in relation to the relevant </w:t>
      </w:r>
      <w:bookmarkStart w:name="_9kMI08Q7aXv6AA8BFPLzmlnx822EhdI28" w:id="373"/>
      <w:r w:rsidRPr="009C48DA" w:rsidR="008453E7">
        <w:rPr>
          <w:rFonts w:eastAsia="Calibri" w:cs="Arial"/>
          <w:szCs w:val="20"/>
          <w:lang w:val="en-GB"/>
        </w:rPr>
        <w:t xml:space="preserve">Bridgepoint </w:t>
      </w:r>
      <w:r w:rsidRPr="009C48DA">
        <w:rPr>
          <w:rFonts w:eastAsia="Calibri" w:cs="Arial"/>
          <w:szCs w:val="20"/>
          <w:lang w:val="en-GB"/>
        </w:rPr>
        <w:t>Fund</w:t>
      </w:r>
      <w:bookmarkEnd w:id="373"/>
      <w:r w:rsidRPr="009C48DA">
        <w:rPr>
          <w:rFonts w:eastAsia="Calibri" w:cs="Arial"/>
          <w:szCs w:val="20"/>
          <w:lang w:val="en-GB"/>
        </w:rPr>
        <w:t>.</w:t>
      </w:r>
    </w:p>
    <w:p w:rsidRPr="009C48DA" w:rsidR="006D6A27" w:rsidP="00676CA5" w:rsidRDefault="006D6A27" w14:paraId="5E584ABB" w14:textId="6AC4B648">
      <w:pPr>
        <w:pStyle w:val="BodyText2SglJ"/>
        <w:rPr>
          <w:rFonts w:eastAsia="Calibri" w:cs="Arial"/>
          <w:szCs w:val="20"/>
          <w:lang w:val="en-GB"/>
        </w:rPr>
      </w:pPr>
      <w:bookmarkStart w:name="_9kMH6N6ZWu5997EFPRAA1ny" w:id="374"/>
      <w:r w:rsidRPr="009C48DA">
        <w:rPr>
          <w:rFonts w:eastAsia="Calibri" w:cs="Arial"/>
          <w:szCs w:val="20"/>
          <w:lang w:val="en-GB"/>
        </w:rPr>
        <w:t>Further</w:t>
      </w:r>
      <w:bookmarkEnd w:id="374"/>
      <w:r w:rsidRPr="009C48DA">
        <w:rPr>
          <w:rFonts w:eastAsia="Calibri" w:cs="Arial"/>
          <w:szCs w:val="20"/>
          <w:lang w:val="en-GB"/>
        </w:rPr>
        <w:t xml:space="preserve">, </w:t>
      </w:r>
      <w:bookmarkStart w:name="_9kMI7N6ZWu5997DLWR6qMRB31HEDI" w:id="375"/>
      <w:r w:rsidRPr="009C48DA">
        <w:rPr>
          <w:rFonts w:eastAsia="Calibri" w:cs="Arial"/>
          <w:szCs w:val="20"/>
          <w:lang w:val="en-GB"/>
        </w:rPr>
        <w:t>fund investors</w:t>
      </w:r>
      <w:bookmarkEnd w:id="375"/>
      <w:r w:rsidRPr="009C48DA">
        <w:rPr>
          <w:rFonts w:eastAsia="Calibri" w:cs="Arial"/>
          <w:szCs w:val="20"/>
          <w:lang w:val="en-GB"/>
        </w:rPr>
        <w:t xml:space="preserve"> may seek to replace the </w:t>
      </w:r>
      <w:bookmarkStart w:name="_9kR3WTr2664BGR9notqlbLuEBx2D2pMYCzy0ALF" w:id="376"/>
      <w:r w:rsidRPr="009C48DA" w:rsidR="008453E7">
        <w:rPr>
          <w:rFonts w:eastAsia="Calibri" w:cs="Arial"/>
          <w:szCs w:val="20"/>
          <w:lang w:val="en-GB"/>
        </w:rPr>
        <w:t xml:space="preserve">Bridgepoint </w:t>
      </w:r>
      <w:r w:rsidRPr="009C48DA" w:rsidR="000E5BB6">
        <w:rPr>
          <w:rFonts w:eastAsia="Calibri" w:cs="Arial"/>
          <w:szCs w:val="20"/>
          <w:lang w:val="en-GB"/>
        </w:rPr>
        <w:t>g</w:t>
      </w:r>
      <w:r w:rsidRPr="009C48DA">
        <w:rPr>
          <w:rFonts w:eastAsia="Calibri" w:cs="Arial"/>
          <w:szCs w:val="20"/>
          <w:lang w:val="en-GB"/>
        </w:rPr>
        <w:t xml:space="preserve">eneral </w:t>
      </w:r>
      <w:r w:rsidRPr="009C48DA" w:rsidR="000E5BB6">
        <w:rPr>
          <w:rFonts w:eastAsia="Calibri" w:cs="Arial"/>
          <w:szCs w:val="20"/>
          <w:lang w:val="en-GB"/>
        </w:rPr>
        <w:t>p</w:t>
      </w:r>
      <w:r w:rsidRPr="009C48DA">
        <w:rPr>
          <w:rFonts w:eastAsia="Calibri" w:cs="Arial"/>
          <w:szCs w:val="20"/>
          <w:lang w:val="en-GB"/>
        </w:rPr>
        <w:t xml:space="preserve">artner of a </w:t>
      </w:r>
      <w:r w:rsidRPr="009C48DA" w:rsidR="008453E7">
        <w:rPr>
          <w:rFonts w:eastAsia="Calibri" w:cs="Arial"/>
          <w:szCs w:val="20"/>
          <w:lang w:val="en-GB"/>
        </w:rPr>
        <w:t xml:space="preserve">Bridgepoint </w:t>
      </w:r>
      <w:r w:rsidRPr="009C48DA">
        <w:rPr>
          <w:rFonts w:eastAsia="Calibri" w:cs="Arial"/>
          <w:szCs w:val="20"/>
          <w:lang w:val="en-GB"/>
        </w:rPr>
        <w:t>Fund</w:t>
      </w:r>
      <w:bookmarkEnd w:id="376"/>
      <w:r w:rsidRPr="009C48DA">
        <w:rPr>
          <w:rFonts w:eastAsia="Calibri" w:cs="Arial"/>
          <w:szCs w:val="20"/>
          <w:lang w:val="en-GB"/>
        </w:rPr>
        <w:t xml:space="preserve"> with an external general partner, which may be done if permitted under the governing agreement for the relevant </w:t>
      </w:r>
      <w:bookmarkStart w:name="_9kMI10H7aXv6AA8BFPLzmlnx822EhdI28" w:id="377"/>
      <w:r w:rsidRPr="009C48DA" w:rsidR="008453E7">
        <w:rPr>
          <w:rFonts w:eastAsia="Calibri" w:cs="Arial"/>
          <w:szCs w:val="20"/>
          <w:lang w:val="en-GB"/>
        </w:rPr>
        <w:t xml:space="preserve">Bridgepoint </w:t>
      </w:r>
      <w:r w:rsidRPr="009C48DA">
        <w:rPr>
          <w:rFonts w:eastAsia="Calibri" w:cs="Arial"/>
          <w:szCs w:val="20"/>
          <w:lang w:val="en-GB"/>
        </w:rPr>
        <w:t>Fund</w:t>
      </w:r>
      <w:bookmarkEnd w:id="377"/>
      <w:r w:rsidRPr="009C48DA">
        <w:rPr>
          <w:rFonts w:eastAsia="Calibri" w:cs="Arial"/>
          <w:szCs w:val="20"/>
          <w:lang w:val="en-GB"/>
        </w:rPr>
        <w:t xml:space="preserve"> and the requisite majority for doing so is </w:t>
      </w:r>
      <w:r w:rsidRPr="009C48DA" w:rsidR="00092571">
        <w:rPr>
          <w:rFonts w:eastAsia="Calibri" w:cs="Arial"/>
          <w:szCs w:val="20"/>
          <w:lang w:val="en-GB"/>
        </w:rPr>
        <w:t xml:space="preserve">achieved </w:t>
      </w:r>
      <w:r w:rsidRPr="009C48DA">
        <w:rPr>
          <w:rFonts w:eastAsia="Calibri" w:cs="Arial"/>
          <w:szCs w:val="20"/>
          <w:lang w:val="en-GB"/>
        </w:rPr>
        <w:t xml:space="preserve">among </w:t>
      </w:r>
      <w:bookmarkStart w:name="_9kMI8O6ZWu5997DLWR6qMRB31HEDI" w:id="378"/>
      <w:r w:rsidRPr="009C48DA">
        <w:rPr>
          <w:rFonts w:eastAsia="Calibri" w:cs="Arial"/>
          <w:szCs w:val="20"/>
          <w:lang w:val="en-GB"/>
        </w:rPr>
        <w:t>fund investors</w:t>
      </w:r>
      <w:bookmarkEnd w:id="378"/>
      <w:r w:rsidRPr="009C48DA">
        <w:rPr>
          <w:rFonts w:eastAsia="Calibri" w:cs="Arial"/>
          <w:szCs w:val="20"/>
          <w:lang w:val="en-GB"/>
        </w:rPr>
        <w:t xml:space="preserve">. </w:t>
      </w:r>
      <w:bookmarkStart w:name="_9kMI9P6ZWu5997DLWR6qMRB31HEDI" w:id="379"/>
      <w:r w:rsidRPr="009C48DA">
        <w:rPr>
          <w:rFonts w:eastAsia="Calibri" w:cs="Arial"/>
          <w:szCs w:val="20"/>
          <w:lang w:val="en-GB"/>
        </w:rPr>
        <w:t>Fund investors</w:t>
      </w:r>
      <w:bookmarkEnd w:id="379"/>
      <w:r w:rsidRPr="009C48DA">
        <w:rPr>
          <w:rFonts w:eastAsia="Calibri" w:cs="Arial"/>
          <w:szCs w:val="20"/>
          <w:lang w:val="en-GB"/>
        </w:rPr>
        <w:t xml:space="preserve"> have the right to remove the </w:t>
      </w:r>
      <w:bookmarkStart w:name="_9kMIH5YVt4886DGRBpqvsndNwGDz4" w:id="380"/>
      <w:r w:rsidRPr="009C48DA" w:rsidR="008453E7">
        <w:rPr>
          <w:rFonts w:eastAsia="Calibri" w:cs="Arial"/>
          <w:szCs w:val="20"/>
          <w:lang w:val="en-GB"/>
        </w:rPr>
        <w:t xml:space="preserve">Bridgepoint </w:t>
      </w:r>
      <w:r w:rsidRPr="009C48DA" w:rsidR="000E5BB6">
        <w:rPr>
          <w:rFonts w:eastAsia="Calibri" w:cs="Arial"/>
          <w:szCs w:val="20"/>
          <w:lang w:val="en-GB"/>
        </w:rPr>
        <w:t>g</w:t>
      </w:r>
      <w:r w:rsidRPr="009C48DA">
        <w:rPr>
          <w:rFonts w:eastAsia="Calibri" w:cs="Arial"/>
          <w:szCs w:val="20"/>
          <w:lang w:val="en-GB"/>
        </w:rPr>
        <w:t xml:space="preserve">eneral </w:t>
      </w:r>
      <w:r w:rsidRPr="009C48DA" w:rsidR="000E5BB6">
        <w:rPr>
          <w:rFonts w:eastAsia="Calibri" w:cs="Arial"/>
          <w:szCs w:val="20"/>
          <w:lang w:val="en-GB"/>
        </w:rPr>
        <w:t>p</w:t>
      </w:r>
      <w:r w:rsidRPr="009C48DA">
        <w:rPr>
          <w:rFonts w:eastAsia="Calibri" w:cs="Arial"/>
          <w:szCs w:val="20"/>
          <w:lang w:val="en-GB"/>
        </w:rPr>
        <w:t>artner</w:t>
      </w:r>
      <w:bookmarkEnd w:id="380"/>
      <w:r w:rsidRPr="009C48DA">
        <w:rPr>
          <w:rFonts w:eastAsia="Calibri" w:cs="Arial"/>
          <w:szCs w:val="20"/>
          <w:lang w:val="en-GB"/>
        </w:rPr>
        <w:t xml:space="preserve"> of the fund </w:t>
      </w:r>
      <w:r w:rsidRPr="009C48DA" w:rsidR="00235E4D">
        <w:rPr>
          <w:rFonts w:eastAsia="Calibri" w:cs="Arial"/>
          <w:szCs w:val="20"/>
          <w:lang w:val="en-GB"/>
        </w:rPr>
        <w:t>“</w:t>
      </w:r>
      <w:r w:rsidRPr="009C48DA">
        <w:rPr>
          <w:rFonts w:eastAsia="Calibri" w:cs="Arial"/>
          <w:szCs w:val="20"/>
          <w:lang w:val="en-GB"/>
        </w:rPr>
        <w:t>for cause</w:t>
      </w:r>
      <w:r w:rsidRPr="009C48DA" w:rsidR="00235E4D">
        <w:rPr>
          <w:rFonts w:eastAsia="Calibri" w:cs="Arial"/>
          <w:szCs w:val="20"/>
          <w:lang w:val="en-GB"/>
        </w:rPr>
        <w:t>,”</w:t>
      </w:r>
      <w:r w:rsidRPr="009C48DA">
        <w:rPr>
          <w:rFonts w:eastAsia="Calibri" w:cs="Arial"/>
          <w:szCs w:val="20"/>
          <w:lang w:val="en-GB"/>
        </w:rPr>
        <w:t xml:space="preserve"> for example, </w:t>
      </w:r>
      <w:r w:rsidRPr="009C48DA" w:rsidR="00092571">
        <w:rPr>
          <w:rFonts w:eastAsia="Calibri" w:cs="Arial"/>
          <w:szCs w:val="20"/>
          <w:lang w:val="en-GB"/>
        </w:rPr>
        <w:t xml:space="preserve">as a result of </w:t>
      </w:r>
      <w:r w:rsidRPr="009C48DA">
        <w:rPr>
          <w:rFonts w:eastAsia="Calibri" w:cs="Arial"/>
          <w:szCs w:val="20"/>
          <w:lang w:val="en-GB"/>
        </w:rPr>
        <w:t xml:space="preserve">bad acts on the part of certain members of the Group which </w:t>
      </w:r>
      <w:r w:rsidRPr="009C48DA" w:rsidR="00D43E9F">
        <w:rPr>
          <w:rFonts w:eastAsia="Calibri" w:cs="Arial"/>
          <w:szCs w:val="20"/>
          <w:lang w:val="en-GB"/>
        </w:rPr>
        <w:t xml:space="preserve">results in a material financial disadvantage </w:t>
      </w:r>
      <w:r w:rsidRPr="009C48DA" w:rsidR="00235E4D">
        <w:rPr>
          <w:rFonts w:eastAsia="Calibri" w:cs="Arial"/>
          <w:szCs w:val="20"/>
          <w:lang w:val="en-GB"/>
        </w:rPr>
        <w:t>for</w:t>
      </w:r>
      <w:r w:rsidRPr="009C48DA" w:rsidR="00D43E9F">
        <w:rPr>
          <w:rFonts w:eastAsia="Calibri" w:cs="Arial"/>
          <w:szCs w:val="20"/>
          <w:lang w:val="en-GB"/>
        </w:rPr>
        <w:t xml:space="preserve"> </w:t>
      </w:r>
      <w:r w:rsidRPr="009C48DA">
        <w:rPr>
          <w:rFonts w:eastAsia="Calibri" w:cs="Arial"/>
          <w:szCs w:val="20"/>
          <w:lang w:val="en-GB"/>
        </w:rPr>
        <w:t xml:space="preserve">the fund </w:t>
      </w:r>
      <w:r w:rsidRPr="009C48DA" w:rsidR="00D43E9F">
        <w:rPr>
          <w:rFonts w:eastAsia="Calibri" w:cs="Arial"/>
          <w:szCs w:val="20"/>
          <w:lang w:val="en-GB"/>
        </w:rPr>
        <w:t xml:space="preserve">or its limited partners </w:t>
      </w:r>
      <w:r w:rsidRPr="009C48DA" w:rsidR="00092571">
        <w:rPr>
          <w:rFonts w:eastAsia="Calibri" w:cs="Arial"/>
          <w:szCs w:val="20"/>
          <w:lang w:val="en-GB"/>
        </w:rPr>
        <w:t xml:space="preserve">and </w:t>
      </w:r>
      <w:r w:rsidRPr="009C48DA">
        <w:rPr>
          <w:rFonts w:eastAsia="Calibri" w:cs="Arial"/>
          <w:szCs w:val="20"/>
          <w:lang w:val="en-GB"/>
        </w:rPr>
        <w:t xml:space="preserve">typically with the consent of </w:t>
      </w:r>
      <w:bookmarkStart w:name="_9kMJ1G6ZWu5997DLWR6qMRB31HEDI" w:id="381"/>
      <w:r w:rsidRPr="009C48DA">
        <w:rPr>
          <w:rFonts w:eastAsia="Calibri" w:cs="Arial"/>
          <w:szCs w:val="20"/>
          <w:lang w:val="en-GB"/>
        </w:rPr>
        <w:t>fund investors</w:t>
      </w:r>
      <w:bookmarkEnd w:id="381"/>
      <w:r w:rsidRPr="009C48DA">
        <w:rPr>
          <w:rFonts w:eastAsia="Calibri" w:cs="Arial"/>
          <w:szCs w:val="20"/>
          <w:lang w:val="en-GB"/>
        </w:rPr>
        <w:t xml:space="preserve"> representing a majority of the commitments to the relevant </w:t>
      </w:r>
      <w:bookmarkStart w:name="_9kMI11I7aXv6AA8BFPLzmlnx822EhdI28" w:id="382"/>
      <w:r w:rsidRPr="009C48DA" w:rsidR="008453E7">
        <w:rPr>
          <w:rFonts w:eastAsia="Calibri" w:cs="Arial"/>
          <w:szCs w:val="20"/>
          <w:lang w:val="en-GB"/>
        </w:rPr>
        <w:t xml:space="preserve">Bridgepoint </w:t>
      </w:r>
      <w:r w:rsidRPr="009C48DA">
        <w:rPr>
          <w:rFonts w:eastAsia="Calibri" w:cs="Arial"/>
          <w:szCs w:val="20"/>
          <w:lang w:val="en-GB"/>
        </w:rPr>
        <w:t>Fund</w:t>
      </w:r>
      <w:bookmarkEnd w:id="382"/>
      <w:r w:rsidRPr="009C48DA">
        <w:rPr>
          <w:rFonts w:eastAsia="Calibri" w:cs="Arial"/>
          <w:szCs w:val="20"/>
          <w:lang w:val="en-GB"/>
        </w:rPr>
        <w:t xml:space="preserve">. </w:t>
      </w:r>
      <w:bookmarkStart w:name="_9kMJ2H6ZWu5997DLWR6qMRB31HEDI" w:id="383"/>
      <w:r w:rsidRPr="009C48DA">
        <w:rPr>
          <w:rFonts w:eastAsia="Calibri" w:cs="Arial"/>
          <w:szCs w:val="20"/>
          <w:lang w:val="en-GB"/>
        </w:rPr>
        <w:t>Fund investors</w:t>
      </w:r>
      <w:bookmarkEnd w:id="383"/>
      <w:r w:rsidRPr="009C48DA">
        <w:rPr>
          <w:rFonts w:eastAsia="Calibri" w:cs="Arial"/>
          <w:szCs w:val="20"/>
          <w:lang w:val="en-GB"/>
        </w:rPr>
        <w:t xml:space="preserve"> also have the right to remove the </w:t>
      </w:r>
      <w:bookmarkStart w:name="_9kMJI5YVt4886DGRBpqvsndNwGDz4" w:id="384"/>
      <w:r w:rsidRPr="009C48DA" w:rsidR="008453E7">
        <w:rPr>
          <w:rFonts w:eastAsia="Calibri" w:cs="Arial"/>
          <w:szCs w:val="20"/>
          <w:lang w:val="en-GB"/>
        </w:rPr>
        <w:t xml:space="preserve">Bridgepoint </w:t>
      </w:r>
      <w:r w:rsidRPr="009C48DA" w:rsidR="000E5BB6">
        <w:rPr>
          <w:rFonts w:eastAsia="Calibri" w:cs="Arial"/>
          <w:szCs w:val="20"/>
          <w:lang w:val="en-GB"/>
        </w:rPr>
        <w:t>g</w:t>
      </w:r>
      <w:r w:rsidRPr="009C48DA">
        <w:rPr>
          <w:rFonts w:eastAsia="Calibri" w:cs="Arial"/>
          <w:szCs w:val="20"/>
          <w:lang w:val="en-GB"/>
        </w:rPr>
        <w:t xml:space="preserve">eneral </w:t>
      </w:r>
      <w:r w:rsidRPr="009C48DA" w:rsidR="000E5BB6">
        <w:rPr>
          <w:rFonts w:eastAsia="Calibri" w:cs="Arial"/>
          <w:szCs w:val="20"/>
          <w:lang w:val="en-GB"/>
        </w:rPr>
        <w:t>p</w:t>
      </w:r>
      <w:r w:rsidRPr="009C48DA">
        <w:rPr>
          <w:rFonts w:eastAsia="Calibri" w:cs="Arial"/>
          <w:szCs w:val="20"/>
          <w:lang w:val="en-GB"/>
        </w:rPr>
        <w:t>artner</w:t>
      </w:r>
      <w:bookmarkEnd w:id="384"/>
      <w:r w:rsidRPr="009C48DA">
        <w:rPr>
          <w:rFonts w:eastAsia="Calibri" w:cs="Arial"/>
          <w:szCs w:val="20"/>
          <w:lang w:val="en-GB"/>
        </w:rPr>
        <w:t xml:space="preserve"> of the fund ‘without cause’</w:t>
      </w:r>
      <w:r w:rsidRPr="009C48DA" w:rsidR="00092571">
        <w:rPr>
          <w:rFonts w:eastAsia="Calibri" w:cs="Arial"/>
          <w:szCs w:val="20"/>
          <w:lang w:val="en-GB"/>
        </w:rPr>
        <w:t>,</w:t>
      </w:r>
      <w:r w:rsidRPr="009C48DA">
        <w:rPr>
          <w:rFonts w:eastAsia="Calibri" w:cs="Arial"/>
          <w:szCs w:val="20"/>
          <w:lang w:val="en-GB"/>
        </w:rPr>
        <w:t xml:space="preserve"> typically with the consent of </w:t>
      </w:r>
      <w:bookmarkStart w:name="_9kMJ3I6ZWu5997DLWR6qMRB31HEDI" w:id="385"/>
      <w:r w:rsidRPr="009C48DA">
        <w:rPr>
          <w:rFonts w:eastAsia="Calibri" w:cs="Arial"/>
          <w:szCs w:val="20"/>
          <w:lang w:val="en-GB"/>
        </w:rPr>
        <w:t>fund investors</w:t>
      </w:r>
      <w:bookmarkEnd w:id="385"/>
      <w:r w:rsidRPr="009C48DA">
        <w:rPr>
          <w:rFonts w:eastAsia="Calibri" w:cs="Arial"/>
          <w:szCs w:val="20"/>
          <w:lang w:val="en-GB"/>
        </w:rPr>
        <w:t xml:space="preserve"> representing a majority of at least 75 per</w:t>
      </w:r>
      <w:r w:rsidRPr="009C48DA" w:rsidR="00943AE8">
        <w:rPr>
          <w:rFonts w:eastAsia="Calibri" w:cs="Arial"/>
          <w:szCs w:val="20"/>
          <w:lang w:val="en-GB"/>
        </w:rPr>
        <w:t xml:space="preserve"> </w:t>
      </w:r>
      <w:r w:rsidRPr="009C48DA">
        <w:rPr>
          <w:rFonts w:eastAsia="Calibri" w:cs="Arial"/>
          <w:szCs w:val="20"/>
          <w:lang w:val="en-GB"/>
        </w:rPr>
        <w:t xml:space="preserve">cent of the commitments to the relevant </w:t>
      </w:r>
      <w:bookmarkStart w:name="_9kMI12J7aXv6AA8BFPLzmlnx822EhdI28" w:id="386"/>
      <w:r w:rsidRPr="009C48DA" w:rsidR="008453E7">
        <w:rPr>
          <w:rFonts w:eastAsia="Calibri" w:cs="Arial"/>
          <w:szCs w:val="20"/>
          <w:lang w:val="en-GB"/>
        </w:rPr>
        <w:t xml:space="preserve">Bridgepoint </w:t>
      </w:r>
      <w:r w:rsidRPr="009C48DA">
        <w:rPr>
          <w:rFonts w:eastAsia="Calibri" w:cs="Arial"/>
          <w:szCs w:val="20"/>
          <w:lang w:val="en-GB"/>
        </w:rPr>
        <w:t>Fund</w:t>
      </w:r>
      <w:bookmarkEnd w:id="386"/>
      <w:r w:rsidRPr="009C48DA">
        <w:rPr>
          <w:rFonts w:eastAsia="Calibri" w:cs="Arial"/>
          <w:szCs w:val="20"/>
          <w:lang w:val="en-GB"/>
        </w:rPr>
        <w:t xml:space="preserve">. The removal of the </w:t>
      </w:r>
      <w:bookmarkStart w:name="_9kMKJ5YVt4886DGRBpqvsndNwGDz4" w:id="387"/>
      <w:r w:rsidRPr="009C48DA" w:rsidR="008453E7">
        <w:rPr>
          <w:rFonts w:eastAsia="Calibri" w:cs="Arial"/>
          <w:szCs w:val="20"/>
          <w:lang w:val="en-GB"/>
        </w:rPr>
        <w:t xml:space="preserve">Bridgepoint </w:t>
      </w:r>
      <w:r w:rsidRPr="009C48DA" w:rsidR="000E5BB6">
        <w:rPr>
          <w:rFonts w:eastAsia="Calibri" w:cs="Arial"/>
          <w:szCs w:val="20"/>
          <w:lang w:val="en-GB"/>
        </w:rPr>
        <w:t>g</w:t>
      </w:r>
      <w:r w:rsidRPr="009C48DA">
        <w:rPr>
          <w:rFonts w:eastAsia="Calibri" w:cs="Arial"/>
          <w:szCs w:val="20"/>
          <w:lang w:val="en-GB"/>
        </w:rPr>
        <w:t xml:space="preserve">eneral </w:t>
      </w:r>
      <w:r w:rsidRPr="009C48DA" w:rsidR="000E5BB6">
        <w:rPr>
          <w:rFonts w:eastAsia="Calibri" w:cs="Arial"/>
          <w:szCs w:val="20"/>
          <w:lang w:val="en-GB"/>
        </w:rPr>
        <w:t>p</w:t>
      </w:r>
      <w:r w:rsidRPr="009C48DA">
        <w:rPr>
          <w:rFonts w:eastAsia="Calibri" w:cs="Arial"/>
          <w:szCs w:val="20"/>
          <w:lang w:val="en-GB"/>
        </w:rPr>
        <w:t>artner</w:t>
      </w:r>
      <w:bookmarkEnd w:id="387"/>
      <w:r w:rsidRPr="009C48DA">
        <w:rPr>
          <w:rFonts w:eastAsia="Calibri" w:cs="Arial"/>
          <w:szCs w:val="20"/>
          <w:lang w:val="en-GB"/>
        </w:rPr>
        <w:t xml:space="preserve"> would result in management fees in respect of the relevant </w:t>
      </w:r>
      <w:bookmarkStart w:name="_9kMI13K7aXv6AA8BFPLzmlnx822EhdI28" w:id="388"/>
      <w:r w:rsidRPr="009C48DA" w:rsidR="008453E7">
        <w:rPr>
          <w:rFonts w:eastAsia="Calibri" w:cs="Arial"/>
          <w:szCs w:val="20"/>
          <w:lang w:val="en-GB"/>
        </w:rPr>
        <w:t xml:space="preserve">Bridgepoint </w:t>
      </w:r>
      <w:r w:rsidRPr="009C48DA">
        <w:rPr>
          <w:rFonts w:eastAsia="Calibri" w:cs="Arial"/>
          <w:szCs w:val="20"/>
          <w:lang w:val="en-GB"/>
        </w:rPr>
        <w:t>Fund</w:t>
      </w:r>
      <w:bookmarkEnd w:id="388"/>
      <w:r w:rsidRPr="009C48DA">
        <w:rPr>
          <w:rFonts w:eastAsia="Calibri" w:cs="Arial"/>
          <w:szCs w:val="20"/>
          <w:lang w:val="en-GB"/>
        </w:rPr>
        <w:t xml:space="preserve"> no longer being payable subject to, in certain cases, limited compensation being paid in circumstances where the </w:t>
      </w:r>
      <w:bookmarkStart w:name="_9kMLK5YVt4886DGRBpqvsndNwGDz4" w:id="389"/>
      <w:r w:rsidRPr="009C48DA" w:rsidR="008453E7">
        <w:rPr>
          <w:rFonts w:eastAsia="Calibri" w:cs="Arial"/>
          <w:szCs w:val="20"/>
          <w:lang w:val="en-GB"/>
        </w:rPr>
        <w:t xml:space="preserve">Bridgepoint </w:t>
      </w:r>
      <w:r w:rsidRPr="009C48DA" w:rsidR="000E5BB6">
        <w:rPr>
          <w:rFonts w:eastAsia="Calibri" w:cs="Arial"/>
          <w:szCs w:val="20"/>
          <w:lang w:val="en-GB"/>
        </w:rPr>
        <w:t>g</w:t>
      </w:r>
      <w:r w:rsidRPr="009C48DA">
        <w:rPr>
          <w:rFonts w:eastAsia="Calibri" w:cs="Arial"/>
          <w:szCs w:val="20"/>
          <w:lang w:val="en-GB"/>
        </w:rPr>
        <w:t xml:space="preserve">eneral </w:t>
      </w:r>
      <w:r w:rsidRPr="009C48DA" w:rsidR="000E5BB6">
        <w:rPr>
          <w:rFonts w:eastAsia="Calibri" w:cs="Arial"/>
          <w:szCs w:val="20"/>
          <w:lang w:val="en-GB"/>
        </w:rPr>
        <w:t>p</w:t>
      </w:r>
      <w:r w:rsidRPr="009C48DA">
        <w:rPr>
          <w:rFonts w:eastAsia="Calibri" w:cs="Arial"/>
          <w:szCs w:val="20"/>
          <w:lang w:val="en-GB"/>
        </w:rPr>
        <w:t>artner</w:t>
      </w:r>
      <w:bookmarkEnd w:id="389"/>
      <w:r w:rsidRPr="009C48DA">
        <w:rPr>
          <w:rFonts w:eastAsia="Calibri" w:cs="Arial"/>
          <w:szCs w:val="20"/>
          <w:lang w:val="en-GB"/>
        </w:rPr>
        <w:t xml:space="preserve"> is removed “without cause”, as well as, potentially, a significant reduction in the expected amounts of total carried interest which might otherwise have been received from the relevant </w:t>
      </w:r>
      <w:bookmarkStart w:name="_9kMI14L7aXv6AA8BFPLzmlnx822EhdI28" w:id="390"/>
      <w:r w:rsidRPr="009C48DA" w:rsidR="008453E7">
        <w:rPr>
          <w:rFonts w:eastAsia="Calibri" w:cs="Arial"/>
          <w:szCs w:val="20"/>
          <w:lang w:val="en-GB"/>
        </w:rPr>
        <w:t xml:space="preserve">Bridgepoint </w:t>
      </w:r>
      <w:r w:rsidRPr="009C48DA">
        <w:rPr>
          <w:rFonts w:eastAsia="Calibri" w:cs="Arial"/>
          <w:szCs w:val="20"/>
          <w:lang w:val="en-GB"/>
        </w:rPr>
        <w:t>Fund</w:t>
      </w:r>
      <w:bookmarkEnd w:id="390"/>
      <w:r w:rsidRPr="009C48DA">
        <w:rPr>
          <w:rFonts w:eastAsia="Calibri" w:cs="Arial"/>
          <w:szCs w:val="20"/>
          <w:lang w:val="en-GB"/>
        </w:rPr>
        <w:t xml:space="preserve">. </w:t>
      </w:r>
      <w:r w:rsidRPr="009C48DA">
        <w:rPr>
          <w:rFonts w:eastAsia="Times New Roman" w:cs="Times New Roman"/>
          <w:color w:val="231F20"/>
          <w:szCs w:val="20"/>
          <w:lang w:val="en-GB"/>
        </w:rPr>
        <w:t>Historically</w:t>
      </w:r>
      <w:r w:rsidRPr="009C48DA">
        <w:rPr>
          <w:rFonts w:eastAsia="Calibri" w:cs="Arial"/>
          <w:szCs w:val="20"/>
          <w:lang w:val="en-GB"/>
        </w:rPr>
        <w:t xml:space="preserve">, a </w:t>
      </w:r>
      <w:bookmarkStart w:name="_9kR3WTr26647FPHvihjt4yyAeKyz41wmW5PM8D" w:id="391"/>
      <w:r w:rsidRPr="009C48DA" w:rsidR="008453E7">
        <w:rPr>
          <w:rFonts w:eastAsia="Calibri" w:cs="Arial"/>
          <w:szCs w:val="20"/>
          <w:lang w:val="en-GB"/>
        </w:rPr>
        <w:t xml:space="preserve">Bridgepoint </w:t>
      </w:r>
      <w:r w:rsidRPr="009C48DA" w:rsidR="000E5BB6">
        <w:rPr>
          <w:rFonts w:eastAsia="Calibri" w:cs="Arial"/>
          <w:szCs w:val="20"/>
          <w:lang w:val="en-GB"/>
        </w:rPr>
        <w:t>g</w:t>
      </w:r>
      <w:r w:rsidRPr="009C48DA">
        <w:rPr>
          <w:rFonts w:eastAsia="Calibri" w:cs="Arial"/>
          <w:szCs w:val="20"/>
          <w:lang w:val="en-GB"/>
        </w:rPr>
        <w:t xml:space="preserve">eneral </w:t>
      </w:r>
      <w:r w:rsidRPr="009C48DA" w:rsidR="000E5BB6">
        <w:rPr>
          <w:rFonts w:eastAsia="Calibri" w:cs="Arial"/>
          <w:szCs w:val="20"/>
          <w:lang w:val="en-GB"/>
        </w:rPr>
        <w:t>p</w:t>
      </w:r>
      <w:r w:rsidRPr="009C48DA">
        <w:rPr>
          <w:rFonts w:eastAsia="Calibri" w:cs="Arial"/>
          <w:szCs w:val="20"/>
          <w:lang w:val="en-GB"/>
        </w:rPr>
        <w:t>artner</w:t>
      </w:r>
      <w:bookmarkEnd w:id="391"/>
      <w:r w:rsidRPr="009C48DA">
        <w:rPr>
          <w:rFonts w:eastAsia="Calibri" w:cs="Arial"/>
          <w:szCs w:val="20"/>
          <w:lang w:val="en-GB"/>
        </w:rPr>
        <w:t xml:space="preserve"> has never been replaced, however if this were to occur, it could have a significant negative impact on the </w:t>
      </w:r>
      <w:bookmarkStart w:name="_9kMJ58M7aXv6AA8BKULzmlnx822EibGKM" w:id="392"/>
      <w:r w:rsidRPr="009C48DA">
        <w:rPr>
          <w:rFonts w:eastAsia="Calibri" w:cs="Arial"/>
          <w:szCs w:val="20"/>
          <w:lang w:val="en-GB"/>
        </w:rPr>
        <w:t>Group’s</w:t>
      </w:r>
      <w:bookmarkEnd w:id="392"/>
      <w:r w:rsidRPr="009C48DA">
        <w:rPr>
          <w:rFonts w:eastAsia="Calibri" w:cs="Arial"/>
          <w:szCs w:val="20"/>
          <w:lang w:val="en-GB"/>
        </w:rPr>
        <w:t xml:space="preserve"> revenue, net income and cash flows and the occurrence of such an event with respect to any of the </w:t>
      </w:r>
      <w:bookmarkStart w:name="_9kMI15M7aXv6AA8BFPLzmlnx822EhdI28" w:id="393"/>
      <w:r w:rsidRPr="009C48DA" w:rsidR="00BB773E">
        <w:rPr>
          <w:rFonts w:eastAsia="Calibri" w:cs="Arial"/>
          <w:szCs w:val="20"/>
          <w:lang w:val="en-GB"/>
        </w:rPr>
        <w:t xml:space="preserve">Bridgepoint </w:t>
      </w:r>
      <w:r w:rsidRPr="009C48DA">
        <w:rPr>
          <w:rFonts w:eastAsia="Calibri" w:cs="Arial"/>
          <w:szCs w:val="20"/>
          <w:lang w:val="en-GB"/>
        </w:rPr>
        <w:t>Funds</w:t>
      </w:r>
      <w:bookmarkEnd w:id="393"/>
      <w:r w:rsidRPr="009C48DA">
        <w:rPr>
          <w:rFonts w:eastAsia="Calibri" w:cs="Arial"/>
          <w:szCs w:val="20"/>
          <w:lang w:val="en-GB"/>
        </w:rPr>
        <w:t xml:space="preserve"> could result in significant and substantial reputational damage to the Group which could adversely impact, and potentially irreparably damage, its future fundraising efforts.</w:t>
      </w:r>
    </w:p>
    <w:p w:rsidRPr="009C48DA" w:rsidR="006D6A27" w:rsidP="00676CA5" w:rsidRDefault="006D6A27" w14:paraId="2EFC1160" w14:textId="77777777">
      <w:pPr>
        <w:pStyle w:val="TitleBI"/>
        <w:rPr>
          <w:szCs w:val="20"/>
          <w:lang w:val="en-GB"/>
        </w:rPr>
      </w:pPr>
      <w:bookmarkStart w:name="_9kMKAO6ZWu5997HJeSkFN1onpzA44GkdIMO" w:id="394"/>
      <w:bookmarkEnd w:id="342"/>
      <w:r w:rsidRPr="009C48DA">
        <w:rPr>
          <w:szCs w:val="20"/>
          <w:lang w:val="en-GB"/>
        </w:rPr>
        <w:t xml:space="preserve">The </w:t>
      </w:r>
      <w:bookmarkEnd w:id="394"/>
      <w:r w:rsidRPr="009C48DA">
        <w:rPr>
          <w:szCs w:val="20"/>
          <w:lang w:val="en-GB"/>
        </w:rPr>
        <w:t>Group may be liable to pay fines or damages for improper processing of personal data.</w:t>
      </w:r>
    </w:p>
    <w:p w:rsidRPr="009C48DA" w:rsidR="006D6A27" w:rsidP="00676CA5" w:rsidRDefault="006D6A27" w14:paraId="17335FC0" w14:textId="77777777">
      <w:pPr>
        <w:pStyle w:val="BodyText2SglJ"/>
        <w:rPr>
          <w:rFonts w:eastAsia="Calibri" w:cs="Arial"/>
          <w:szCs w:val="20"/>
          <w:lang w:val="en-GB"/>
        </w:rPr>
      </w:pPr>
      <w:bookmarkStart w:name="_9kMKBP6ZWu5997HJeSkFN1onpzA44GkdIMO" w:id="395"/>
      <w:r w:rsidRPr="009C48DA">
        <w:rPr>
          <w:rFonts w:eastAsia="Calibri" w:cs="Arial"/>
          <w:szCs w:val="20"/>
          <w:lang w:val="en-GB"/>
        </w:rPr>
        <w:t xml:space="preserve">The </w:t>
      </w:r>
      <w:bookmarkEnd w:id="395"/>
      <w:r w:rsidRPr="009C48DA">
        <w:rPr>
          <w:rFonts w:eastAsia="Calibri" w:cs="Arial"/>
          <w:szCs w:val="20"/>
          <w:lang w:val="en-GB"/>
        </w:rPr>
        <w:t xml:space="preserve">Group processes and stores a variety of data both in electronic and physical form, including a large amount of personal data, some of which is protected personal data and other information. When the Group processes such data, it is of great importance that the processing of the data is conducted in accordance with, among other things, UK laws and European regulations, such as the </w:t>
      </w:r>
      <w:bookmarkStart w:name="_9kMHG5YVt4886DFQBpqvsnRByzWiEH8s8FBHvh3" w:id="396"/>
      <w:r w:rsidRPr="009C48DA">
        <w:rPr>
          <w:rFonts w:eastAsia="Calibri" w:cs="Arial"/>
          <w:szCs w:val="20"/>
          <w:lang w:val="en-GB"/>
        </w:rPr>
        <w:t xml:space="preserve">GDPR. </w:t>
      </w:r>
      <w:bookmarkEnd w:id="396"/>
    </w:p>
    <w:p w:rsidRPr="009C48DA" w:rsidR="006D6A27" w:rsidP="00676CA5" w:rsidRDefault="006D6A27" w14:paraId="28ED145B" w14:textId="11FF7654">
      <w:pPr>
        <w:pStyle w:val="BodyText2SglJ"/>
        <w:rPr>
          <w:rFonts w:eastAsia="Malgun Gothic" w:cs="Arial"/>
          <w:szCs w:val="20"/>
          <w:lang w:val="en-GB"/>
        </w:rPr>
      </w:pPr>
      <w:r w:rsidRPr="009C48DA">
        <w:rPr>
          <w:rFonts w:eastAsia="Malgun Gothic" w:cs="Arial"/>
          <w:szCs w:val="20"/>
          <w:lang w:val="en-GB"/>
        </w:rPr>
        <w:t xml:space="preserve">In addition to imposing substantial data protection governance requirements on companies, giving individuals extensive rights to control how companies handle their personal data and imposing data breach notification requirements, the GDPR restricts the ability of </w:t>
      </w:r>
      <w:r w:rsidRPr="009C48DA">
        <w:rPr>
          <w:rFonts w:eastAsia="Times New Roman" w:cs="Times New Roman"/>
          <w:color w:val="231F20"/>
          <w:szCs w:val="20"/>
          <w:lang w:val="en-GB"/>
        </w:rPr>
        <w:t>companies</w:t>
      </w:r>
      <w:r w:rsidRPr="009C48DA">
        <w:rPr>
          <w:rFonts w:eastAsia="Malgun Gothic" w:cs="Arial"/>
          <w:szCs w:val="20"/>
          <w:lang w:val="en-GB"/>
        </w:rPr>
        <w:t xml:space="preserve"> to transfer personal data</w:t>
      </w:r>
      <w:r w:rsidRPr="009C48DA" w:rsidR="00CE3171">
        <w:rPr>
          <w:rFonts w:eastAsia="Malgun Gothic" w:cs="Arial"/>
          <w:szCs w:val="20"/>
          <w:lang w:val="en-GB"/>
        </w:rPr>
        <w:t xml:space="preserve"> from the European Union</w:t>
      </w:r>
      <w:r w:rsidRPr="009C48DA">
        <w:rPr>
          <w:rFonts w:eastAsia="Malgun Gothic" w:cs="Arial"/>
          <w:szCs w:val="20"/>
          <w:lang w:val="en-GB"/>
        </w:rPr>
        <w:t xml:space="preserve"> to the United States and other countries. The Court of Just</w:t>
      </w:r>
      <w:r w:rsidRPr="009C48DA" w:rsidR="008F740A">
        <w:rPr>
          <w:rFonts w:eastAsia="Malgun Gothic" w:cs="Arial"/>
          <w:szCs w:val="20"/>
          <w:lang w:val="en-GB"/>
        </w:rPr>
        <w:t>ice of the European Union</w:t>
      </w:r>
      <w:r w:rsidRPr="009C48DA">
        <w:rPr>
          <w:rFonts w:eastAsia="Malgun Gothic" w:cs="Arial"/>
          <w:szCs w:val="20"/>
          <w:lang w:val="en-GB"/>
        </w:rPr>
        <w:t xml:space="preserve"> has called into question whether companies can lawfully use the </w:t>
      </w:r>
      <w:bookmarkStart w:name="_9kR3WTr2664ADNN721seoRN4307I96CHxt837vA" w:id="397"/>
      <w:r w:rsidRPr="009C48DA">
        <w:rPr>
          <w:rFonts w:eastAsia="Malgun Gothic" w:cs="Arial"/>
          <w:szCs w:val="20"/>
          <w:lang w:val="en-GB"/>
        </w:rPr>
        <w:t xml:space="preserve">European Commission’s </w:t>
      </w:r>
      <w:r w:rsidRPr="009C48DA" w:rsidR="00D43E9F">
        <w:rPr>
          <w:rFonts w:eastAsia="Malgun Gothic" w:cs="Arial"/>
          <w:szCs w:val="20"/>
          <w:lang w:val="en-GB"/>
        </w:rPr>
        <w:t>s</w:t>
      </w:r>
      <w:r w:rsidRPr="009C48DA">
        <w:rPr>
          <w:rFonts w:eastAsia="Malgun Gothic" w:cs="Arial"/>
          <w:szCs w:val="20"/>
          <w:lang w:val="en-GB"/>
        </w:rPr>
        <w:t xml:space="preserve">tandard </w:t>
      </w:r>
      <w:r w:rsidRPr="009C48DA" w:rsidR="00D43E9F">
        <w:rPr>
          <w:rFonts w:eastAsia="Malgun Gothic" w:cs="Arial"/>
          <w:szCs w:val="20"/>
          <w:lang w:val="en-GB"/>
        </w:rPr>
        <w:t>c</w:t>
      </w:r>
      <w:r w:rsidRPr="009C48DA">
        <w:rPr>
          <w:rFonts w:eastAsia="Malgun Gothic" w:cs="Arial"/>
          <w:szCs w:val="20"/>
          <w:lang w:val="en-GB"/>
        </w:rPr>
        <w:t xml:space="preserve">ontractual </w:t>
      </w:r>
      <w:r w:rsidRPr="009C48DA" w:rsidR="00D43E9F">
        <w:rPr>
          <w:rFonts w:eastAsia="Malgun Gothic" w:cs="Arial"/>
          <w:szCs w:val="20"/>
          <w:lang w:val="en-GB"/>
        </w:rPr>
        <w:t>c</w:t>
      </w:r>
      <w:r w:rsidRPr="009C48DA">
        <w:rPr>
          <w:rFonts w:eastAsia="Malgun Gothic" w:cs="Arial"/>
          <w:szCs w:val="20"/>
          <w:lang w:val="en-GB"/>
        </w:rPr>
        <w:t>lauses</w:t>
      </w:r>
      <w:bookmarkEnd w:id="397"/>
      <w:r w:rsidRPr="009C48DA">
        <w:rPr>
          <w:rFonts w:eastAsia="Malgun Gothic" w:cs="Arial"/>
          <w:szCs w:val="20"/>
          <w:lang w:val="en-GB"/>
        </w:rPr>
        <w:t xml:space="preserve">, </w:t>
      </w:r>
      <w:r w:rsidRPr="009C48DA" w:rsidR="000651BE">
        <w:rPr>
          <w:rFonts w:eastAsia="Malgun Gothic" w:cs="Arial"/>
          <w:szCs w:val="20"/>
          <w:lang w:val="en-GB"/>
        </w:rPr>
        <w:t xml:space="preserve">a </w:t>
      </w:r>
      <w:r w:rsidRPr="009C48DA">
        <w:rPr>
          <w:rFonts w:eastAsia="Malgun Gothic" w:cs="Arial"/>
          <w:szCs w:val="20"/>
          <w:lang w:val="en-GB"/>
        </w:rPr>
        <w:t xml:space="preserve">compliance mechanism on which the Group has relied on for transfers of personal information from Europe to the United States and most other countries. </w:t>
      </w:r>
      <w:r w:rsidRPr="009C48DA" w:rsidR="00D43E9F">
        <w:rPr>
          <w:rFonts w:eastAsia="Malgun Gothic" w:cs="Arial"/>
          <w:szCs w:val="20"/>
          <w:lang w:val="en-GB"/>
        </w:rPr>
        <w:t xml:space="preserve">On 4 June 2021, the European Commission published its final implementing decision adopting new standard contractual clauses for the transfer of personal data to the United States and other countries. </w:t>
      </w:r>
      <w:r w:rsidRPr="009C48DA">
        <w:rPr>
          <w:rFonts w:eastAsia="Malgun Gothic" w:cs="Arial"/>
          <w:szCs w:val="20"/>
          <w:lang w:val="en-GB"/>
        </w:rPr>
        <w:t xml:space="preserve">At present, there are few, if any, viable alternatives to the </w:t>
      </w:r>
      <w:bookmarkStart w:name="_9kR3WTr2664DLgapkocrvHN5BGyk4N5xaV0ATEF" w:id="398"/>
      <w:r w:rsidRPr="009C48DA" w:rsidR="00D43E9F">
        <w:rPr>
          <w:rFonts w:eastAsia="Malgun Gothic" w:cs="Arial"/>
          <w:szCs w:val="20"/>
          <w:lang w:val="en-GB"/>
        </w:rPr>
        <w:t>European Commission’s s</w:t>
      </w:r>
      <w:r w:rsidRPr="009C48DA">
        <w:rPr>
          <w:rFonts w:eastAsia="Malgun Gothic" w:cs="Arial"/>
          <w:szCs w:val="20"/>
          <w:lang w:val="en-GB"/>
        </w:rPr>
        <w:t xml:space="preserve">tandard </w:t>
      </w:r>
      <w:r w:rsidRPr="009C48DA" w:rsidR="00D43E9F">
        <w:rPr>
          <w:rFonts w:eastAsia="Malgun Gothic" w:cs="Arial"/>
          <w:szCs w:val="20"/>
          <w:lang w:val="en-GB"/>
        </w:rPr>
        <w:t>c</w:t>
      </w:r>
      <w:r w:rsidRPr="009C48DA">
        <w:rPr>
          <w:rFonts w:eastAsia="Malgun Gothic" w:cs="Arial"/>
          <w:szCs w:val="20"/>
          <w:lang w:val="en-GB"/>
        </w:rPr>
        <w:t xml:space="preserve">ontractual </w:t>
      </w:r>
      <w:r w:rsidRPr="009C48DA" w:rsidR="00D43E9F">
        <w:rPr>
          <w:rFonts w:eastAsia="Malgun Gothic" w:cs="Arial"/>
          <w:szCs w:val="20"/>
          <w:lang w:val="en-GB"/>
        </w:rPr>
        <w:t>c</w:t>
      </w:r>
      <w:r w:rsidRPr="009C48DA">
        <w:rPr>
          <w:rFonts w:eastAsia="Malgun Gothic" w:cs="Arial"/>
          <w:szCs w:val="20"/>
          <w:lang w:val="en-GB"/>
        </w:rPr>
        <w:t>lauses</w:t>
      </w:r>
      <w:bookmarkEnd w:id="398"/>
      <w:r w:rsidRPr="009C48DA">
        <w:rPr>
          <w:rFonts w:eastAsia="Malgun Gothic" w:cs="Arial"/>
          <w:szCs w:val="20"/>
          <w:lang w:val="en-GB"/>
        </w:rPr>
        <w:t xml:space="preserve">. If the Group is unable to implement sufficient safeguards to ensure that the </w:t>
      </w:r>
      <w:bookmarkStart w:name="_9kMJ75H7aXv6AA8BKULzmlnx822EibGKM" w:id="399"/>
      <w:r w:rsidRPr="009C48DA">
        <w:rPr>
          <w:rFonts w:eastAsia="Malgun Gothic" w:cs="Arial"/>
          <w:szCs w:val="20"/>
          <w:lang w:val="en-GB"/>
        </w:rPr>
        <w:t>Group’s</w:t>
      </w:r>
      <w:bookmarkEnd w:id="399"/>
      <w:r w:rsidRPr="009C48DA">
        <w:rPr>
          <w:rFonts w:eastAsia="Malgun Gothic" w:cs="Arial"/>
          <w:szCs w:val="20"/>
          <w:lang w:val="en-GB"/>
        </w:rPr>
        <w:t xml:space="preserve"> transfers of </w:t>
      </w:r>
      <w:r w:rsidRPr="009C48DA" w:rsidR="00CE3171">
        <w:rPr>
          <w:rFonts w:eastAsia="Malgun Gothic" w:cs="Arial"/>
          <w:szCs w:val="20"/>
          <w:lang w:val="en-GB"/>
        </w:rPr>
        <w:t>personal information from the European Union</w:t>
      </w:r>
      <w:r w:rsidRPr="009C48DA">
        <w:rPr>
          <w:rFonts w:eastAsia="Malgun Gothic" w:cs="Arial"/>
          <w:szCs w:val="20"/>
          <w:lang w:val="en-GB"/>
        </w:rPr>
        <w:t xml:space="preserve"> are lawful, the Group may face increased exposure to regulatory actions, substantial fines and injunctions against processing </w:t>
      </w:r>
      <w:r w:rsidRPr="009C48DA" w:rsidR="00CE3171">
        <w:rPr>
          <w:rFonts w:eastAsia="Malgun Gothic" w:cs="Arial"/>
          <w:szCs w:val="20"/>
          <w:lang w:val="en-GB"/>
        </w:rPr>
        <w:t>personal information from the European Union</w:t>
      </w:r>
      <w:r w:rsidRPr="009C48DA">
        <w:rPr>
          <w:rFonts w:eastAsia="Malgun Gothic" w:cs="Arial"/>
          <w:szCs w:val="20"/>
          <w:lang w:val="en-GB"/>
        </w:rPr>
        <w:t xml:space="preserve">. Loss of the </w:t>
      </w:r>
      <w:bookmarkStart w:name="_9kMJ77J7aXv6AA8BKULzmlnx822EibGKM" w:id="400"/>
      <w:r w:rsidRPr="009C48DA">
        <w:rPr>
          <w:rFonts w:eastAsia="Malgun Gothic" w:cs="Arial"/>
          <w:szCs w:val="20"/>
          <w:lang w:val="en-GB"/>
        </w:rPr>
        <w:t>Group’s</w:t>
      </w:r>
      <w:bookmarkEnd w:id="400"/>
      <w:r w:rsidRPr="009C48DA">
        <w:rPr>
          <w:rFonts w:eastAsia="Malgun Gothic" w:cs="Arial"/>
          <w:szCs w:val="20"/>
          <w:lang w:val="en-GB"/>
        </w:rPr>
        <w:t xml:space="preserve"> ability to lawfully tran</w:t>
      </w:r>
      <w:r w:rsidRPr="009C48DA" w:rsidR="00CE3171">
        <w:rPr>
          <w:rFonts w:eastAsia="Malgun Gothic" w:cs="Arial"/>
          <w:szCs w:val="20"/>
          <w:lang w:val="en-GB"/>
        </w:rPr>
        <w:t>sfer personal data out of the European Union</w:t>
      </w:r>
      <w:r w:rsidRPr="009C48DA">
        <w:rPr>
          <w:rFonts w:eastAsia="Malgun Gothic" w:cs="Arial"/>
          <w:szCs w:val="20"/>
          <w:lang w:val="en-GB"/>
        </w:rPr>
        <w:t xml:space="preserve"> to these or any other jurisdictions may cause reluctance or refusal by current </w:t>
      </w:r>
      <w:bookmarkStart w:name="_9kMJ4J6ZWu5997DLWR6qMRB31HEDI" w:id="401"/>
      <w:r w:rsidRPr="009C48DA">
        <w:rPr>
          <w:rFonts w:eastAsia="Malgun Gothic" w:cs="Arial"/>
          <w:szCs w:val="20"/>
          <w:lang w:val="en-GB"/>
        </w:rPr>
        <w:t>fund investors</w:t>
      </w:r>
      <w:bookmarkEnd w:id="401"/>
      <w:r w:rsidRPr="009C48DA">
        <w:rPr>
          <w:rFonts w:eastAsia="Malgun Gothic" w:cs="Arial"/>
          <w:szCs w:val="20"/>
          <w:lang w:val="en-GB"/>
        </w:rPr>
        <w:t xml:space="preserve"> to provide additional personal data and/or to invest further in the </w:t>
      </w:r>
      <w:r w:rsidRPr="009C48DA" w:rsidR="00BB773E">
        <w:rPr>
          <w:rFonts w:eastAsia="Calibri" w:cs="Arial"/>
          <w:szCs w:val="20"/>
          <w:lang w:val="en-GB"/>
        </w:rPr>
        <w:t>Bridgepoint</w:t>
      </w:r>
      <w:r w:rsidRPr="009C48DA" w:rsidR="00BB773E">
        <w:rPr>
          <w:rFonts w:eastAsia="Malgun Gothic" w:cs="Arial"/>
          <w:szCs w:val="20"/>
          <w:lang w:val="en-GB"/>
        </w:rPr>
        <w:t xml:space="preserve"> </w:t>
      </w:r>
      <w:r w:rsidRPr="009C48DA">
        <w:rPr>
          <w:rFonts w:eastAsia="Malgun Gothic" w:cs="Arial"/>
          <w:szCs w:val="20"/>
          <w:lang w:val="en-GB"/>
        </w:rPr>
        <w:t>Funds, and the Group may be required to increase their data p</w:t>
      </w:r>
      <w:r w:rsidRPr="009C48DA" w:rsidR="00CE3171">
        <w:rPr>
          <w:rFonts w:eastAsia="Malgun Gothic" w:cs="Arial"/>
          <w:szCs w:val="20"/>
          <w:lang w:val="en-GB"/>
        </w:rPr>
        <w:t>rocessing capabilities in the European Union</w:t>
      </w:r>
      <w:r w:rsidRPr="009C48DA">
        <w:rPr>
          <w:rFonts w:eastAsia="Malgun Gothic" w:cs="Arial"/>
          <w:szCs w:val="20"/>
          <w:lang w:val="en-GB"/>
        </w:rPr>
        <w:t xml:space="preserve"> at significant expense. </w:t>
      </w:r>
    </w:p>
    <w:p w:rsidRPr="009C48DA" w:rsidR="006D6A27" w:rsidP="00676CA5" w:rsidRDefault="006D6A27" w14:paraId="2A32A51A" w14:textId="348633BD">
      <w:pPr>
        <w:pStyle w:val="BodyText2SglJ"/>
        <w:rPr>
          <w:rFonts w:eastAsia="Malgun Gothic" w:cs="Arial"/>
          <w:szCs w:val="20"/>
          <w:lang w:val="en-GB"/>
        </w:rPr>
      </w:pPr>
      <w:r w:rsidRPr="009C48DA">
        <w:rPr>
          <w:rFonts w:eastAsia="Malgun Gothic" w:cs="Arial"/>
          <w:szCs w:val="20"/>
          <w:lang w:val="en-GB"/>
        </w:rPr>
        <w:t xml:space="preserve">Furthermore, Brexit has created uncertainty with regard to data protection regulation in the UK, where the </w:t>
      </w:r>
      <w:bookmarkStart w:name="_9kMJ79L7aXv6AA8BKULzmlnx822EibGKM" w:id="402"/>
      <w:r w:rsidRPr="009C48DA">
        <w:rPr>
          <w:rFonts w:eastAsia="Malgun Gothic" w:cs="Arial"/>
          <w:szCs w:val="20"/>
          <w:lang w:val="en-GB"/>
        </w:rPr>
        <w:t>Group’s</w:t>
      </w:r>
      <w:bookmarkEnd w:id="402"/>
      <w:r w:rsidRPr="009C48DA">
        <w:rPr>
          <w:rFonts w:eastAsia="Malgun Gothic" w:cs="Arial"/>
          <w:szCs w:val="20"/>
          <w:lang w:val="en-GB"/>
        </w:rPr>
        <w:t xml:space="preserve"> busine</w:t>
      </w:r>
      <w:r w:rsidRPr="009C48DA" w:rsidR="00CE3171">
        <w:rPr>
          <w:rFonts w:eastAsia="Malgun Gothic" w:cs="Arial"/>
          <w:szCs w:val="20"/>
          <w:lang w:val="en-GB"/>
        </w:rPr>
        <w:t>ss involves the processing of European Union</w:t>
      </w:r>
      <w:r w:rsidRPr="009C48DA">
        <w:rPr>
          <w:rFonts w:eastAsia="Malgun Gothic" w:cs="Arial"/>
          <w:szCs w:val="20"/>
          <w:lang w:val="en-GB"/>
        </w:rPr>
        <w:t xml:space="preserve"> residents’ personal data. As of 1</w:t>
      </w:r>
      <w:r w:rsidRPr="009C48DA" w:rsidR="00770FC6">
        <w:rPr>
          <w:rFonts w:eastAsia="Malgun Gothic" w:cs="Arial"/>
          <w:szCs w:val="20"/>
          <w:lang w:val="en-GB"/>
        </w:rPr>
        <w:t> </w:t>
      </w:r>
      <w:r w:rsidRPr="009C48DA">
        <w:rPr>
          <w:rFonts w:eastAsia="Malgun Gothic" w:cs="Arial"/>
          <w:szCs w:val="20"/>
          <w:lang w:val="en-GB"/>
        </w:rPr>
        <w:t xml:space="preserve">January 2021, the Group is required to comply with the GDPR as well as the UK equivalent, exposing the Group to two parallel data protection regimes in Europe, each of which potentially authorises similar fines and other enforcement actions for certain violations. The </w:t>
      </w:r>
      <w:r w:rsidRPr="009C48DA" w:rsidR="00CE3171">
        <w:rPr>
          <w:rFonts w:eastAsia="Malgun Gothic" w:cs="Arial"/>
          <w:szCs w:val="20"/>
          <w:lang w:val="en-GB"/>
        </w:rPr>
        <w:t>European Union</w:t>
      </w:r>
      <w:r w:rsidRPr="009C48DA" w:rsidR="008B5DAC">
        <w:rPr>
          <w:rFonts w:eastAsia="Malgun Gothic" w:cs="Arial"/>
          <w:szCs w:val="20"/>
          <w:lang w:val="en-GB"/>
        </w:rPr>
        <w:t xml:space="preserve">’s </w:t>
      </w:r>
      <w:r w:rsidRPr="009C48DA">
        <w:rPr>
          <w:rFonts w:eastAsia="Malgun Gothic" w:cs="Arial"/>
          <w:szCs w:val="20"/>
          <w:lang w:val="en-GB"/>
        </w:rPr>
        <w:t xml:space="preserve">and </w:t>
      </w:r>
      <w:r w:rsidRPr="009C48DA">
        <w:rPr>
          <w:rFonts w:eastAsia="Times New Roman" w:cs="Times New Roman"/>
          <w:color w:val="231F20"/>
          <w:szCs w:val="20"/>
          <w:lang w:val="en-GB"/>
        </w:rPr>
        <w:t>UK’s</w:t>
      </w:r>
      <w:r w:rsidRPr="009C48DA">
        <w:rPr>
          <w:rFonts w:eastAsia="Malgun Gothic" w:cs="Arial"/>
          <w:szCs w:val="20"/>
          <w:lang w:val="en-GB"/>
        </w:rPr>
        <w:t xml:space="preserve"> GDPRs impose several stringent requirements for controllers and processors of personal data and could make it more difficult and/or more costly for the Group to collect, store, use, transmit and process personal and sensitive data. Under both regimes, substantial fines may be imposed for breaches of data protection requirements, which can be up to four per</w:t>
      </w:r>
      <w:r w:rsidRPr="009C48DA" w:rsidR="00943AE8">
        <w:rPr>
          <w:rFonts w:eastAsia="Malgun Gothic" w:cs="Arial"/>
          <w:szCs w:val="20"/>
          <w:lang w:val="en-GB"/>
        </w:rPr>
        <w:t xml:space="preserve"> </w:t>
      </w:r>
      <w:r w:rsidRPr="009C48DA">
        <w:rPr>
          <w:rFonts w:eastAsia="Malgun Gothic" w:cs="Arial"/>
          <w:szCs w:val="20"/>
          <w:lang w:val="en-GB"/>
        </w:rPr>
        <w:t>cent of worldwide revenue or €20 million, whichever is greater. In addition, while the UK data protection regime currently permits data</w:t>
      </w:r>
      <w:r w:rsidRPr="009C48DA" w:rsidR="00CE3171">
        <w:rPr>
          <w:rFonts w:eastAsia="Malgun Gothic" w:cs="Arial"/>
          <w:szCs w:val="20"/>
          <w:lang w:val="en-GB"/>
        </w:rPr>
        <w:t xml:space="preserve"> transfers from the UK to the European Union</w:t>
      </w:r>
      <w:r w:rsidRPr="009C48DA">
        <w:rPr>
          <w:rFonts w:eastAsia="Malgun Gothic" w:cs="Arial"/>
          <w:szCs w:val="20"/>
          <w:lang w:val="en-GB"/>
        </w:rPr>
        <w:t xml:space="preserve"> and other third countries covered by a European Commission adequacy decision, and currently includes a framework to permit the continued use of EU standard contractual clauses and binding corporate rules for personal data transfers from the UK to third countries, this is subject to change in the future, and any such </w:t>
      </w:r>
      <w:r w:rsidRPr="009C48DA">
        <w:rPr>
          <w:rFonts w:eastAsia="Malgun Gothic" w:cs="Arial"/>
          <w:szCs w:val="20"/>
          <w:lang w:val="en-GB"/>
        </w:rPr>
        <w:lastRenderedPageBreak/>
        <w:t xml:space="preserve">changes could have implications for the </w:t>
      </w:r>
      <w:bookmarkStart w:name="_9kMJ7DP7aXv6AA8BKULzmlnx822EibGKM" w:id="403"/>
      <w:r w:rsidRPr="009C48DA">
        <w:rPr>
          <w:rFonts w:eastAsia="Malgun Gothic" w:cs="Arial"/>
          <w:szCs w:val="20"/>
          <w:lang w:val="en-GB"/>
        </w:rPr>
        <w:t>Group’s</w:t>
      </w:r>
      <w:bookmarkEnd w:id="403"/>
      <w:r w:rsidRPr="009C48DA">
        <w:rPr>
          <w:rFonts w:eastAsia="Malgun Gothic" w:cs="Arial"/>
          <w:szCs w:val="20"/>
          <w:lang w:val="en-GB"/>
        </w:rPr>
        <w:t xml:space="preserve"> transfer of per</w:t>
      </w:r>
      <w:r w:rsidRPr="009C48DA" w:rsidR="00CE3171">
        <w:rPr>
          <w:rFonts w:eastAsia="Malgun Gothic" w:cs="Arial"/>
          <w:szCs w:val="20"/>
          <w:lang w:val="en-GB"/>
        </w:rPr>
        <w:t>sonal data from the UK to the European Union</w:t>
      </w:r>
      <w:r w:rsidRPr="009C48DA">
        <w:rPr>
          <w:rFonts w:eastAsia="Malgun Gothic" w:cs="Arial"/>
          <w:szCs w:val="20"/>
          <w:lang w:val="en-GB"/>
        </w:rPr>
        <w:t xml:space="preserve"> and other third countries. </w:t>
      </w:r>
    </w:p>
    <w:p w:rsidRPr="009C48DA" w:rsidR="006D6A27" w:rsidP="00676CA5" w:rsidRDefault="006D6A27" w14:paraId="73F49934" w14:textId="6FD3B57E">
      <w:pPr>
        <w:pStyle w:val="BodyText2SglJ"/>
        <w:rPr>
          <w:rFonts w:eastAsia="Malgun Gothic" w:cs="Arial"/>
          <w:szCs w:val="20"/>
          <w:lang w:val="en-GB"/>
        </w:rPr>
      </w:pPr>
      <w:r w:rsidRPr="009C48DA">
        <w:rPr>
          <w:rFonts w:eastAsia="Malgun Gothic" w:cs="Arial"/>
          <w:szCs w:val="20"/>
          <w:lang w:val="en-GB"/>
        </w:rPr>
        <w:t xml:space="preserve">While the Group continues to undertake efforts to conform to current regulatory obligations and evolving best practices, the Group may be unsuccessful in conforming to </w:t>
      </w:r>
      <w:r w:rsidRPr="009C48DA">
        <w:rPr>
          <w:rFonts w:eastAsia="Times New Roman" w:cs="Times New Roman"/>
          <w:color w:val="231F20"/>
          <w:szCs w:val="20"/>
          <w:lang w:val="en-GB"/>
        </w:rPr>
        <w:t>requirements</w:t>
      </w:r>
      <w:r w:rsidRPr="009C48DA">
        <w:rPr>
          <w:rFonts w:eastAsia="Malgun Gothic" w:cs="Arial"/>
          <w:szCs w:val="20"/>
          <w:lang w:val="en-GB"/>
        </w:rPr>
        <w:t xml:space="preserve"> in respect of transferring personal data from the EEA. </w:t>
      </w:r>
      <w:bookmarkStart w:name="_9kML3G6ZWu5997HJeSkFN1onpzA44GkdIMO" w:id="404"/>
      <w:r w:rsidRPr="009C48DA">
        <w:rPr>
          <w:rFonts w:eastAsia="Malgun Gothic" w:cs="Arial"/>
          <w:szCs w:val="20"/>
          <w:lang w:val="en-GB"/>
        </w:rPr>
        <w:t xml:space="preserve">The </w:t>
      </w:r>
      <w:bookmarkEnd w:id="404"/>
      <w:r w:rsidRPr="009C48DA">
        <w:rPr>
          <w:rFonts w:eastAsia="Malgun Gothic" w:cs="Arial"/>
          <w:szCs w:val="20"/>
          <w:lang w:val="en-GB"/>
        </w:rPr>
        <w:t xml:space="preserve">Group may also experience hesitancy, reluctance or refusal by European or multi-national </w:t>
      </w:r>
      <w:bookmarkStart w:name="_9kMJ5K6ZWu5997DLWR6qMRB31HEDI" w:id="405"/>
      <w:r w:rsidRPr="009C48DA">
        <w:rPr>
          <w:rFonts w:eastAsia="Malgun Gothic" w:cs="Arial"/>
          <w:szCs w:val="20"/>
          <w:lang w:val="en-GB"/>
        </w:rPr>
        <w:t>fund investors</w:t>
      </w:r>
      <w:bookmarkEnd w:id="405"/>
      <w:r w:rsidRPr="009C48DA">
        <w:rPr>
          <w:rFonts w:eastAsia="Malgun Gothic" w:cs="Arial"/>
          <w:szCs w:val="20"/>
          <w:lang w:val="en-GB"/>
        </w:rPr>
        <w:t xml:space="preserve"> to continue to invest in the Group due to the potential risk exposure of personal data transfers. </w:t>
      </w:r>
    </w:p>
    <w:p w:rsidRPr="009C48DA" w:rsidR="006D6A27" w:rsidP="00676CA5" w:rsidRDefault="006D6A27" w14:paraId="09A65A07" w14:textId="2659F003">
      <w:pPr>
        <w:pStyle w:val="BodyText2SglJ"/>
        <w:rPr>
          <w:rFonts w:eastAsia="Malgun Gothic" w:cs="Arial"/>
          <w:szCs w:val="20"/>
          <w:lang w:val="en-GB"/>
        </w:rPr>
      </w:pPr>
      <w:r w:rsidRPr="009C48DA">
        <w:rPr>
          <w:rFonts w:eastAsia="Malgun Gothic" w:cs="Arial"/>
          <w:szCs w:val="20"/>
          <w:lang w:val="en-GB"/>
        </w:rPr>
        <w:t xml:space="preserve">In addition, the </w:t>
      </w:r>
      <w:bookmarkStart w:name="_9kMHG5YVt4886AIS3jsnu77znIR9EMH28upFKDv" w:id="406"/>
      <w:r w:rsidRPr="009C48DA">
        <w:rPr>
          <w:rFonts w:eastAsia="Malgun Gothic" w:cs="Arial"/>
          <w:szCs w:val="20"/>
          <w:lang w:val="en-GB"/>
        </w:rPr>
        <w:t>CCPA</w:t>
      </w:r>
      <w:bookmarkEnd w:id="406"/>
      <w:r w:rsidRPr="009C48DA">
        <w:rPr>
          <w:rFonts w:eastAsia="Malgun Gothic" w:cs="Arial"/>
          <w:szCs w:val="20"/>
          <w:lang w:val="en-GB"/>
        </w:rPr>
        <w:t>, which</w:t>
      </w:r>
      <w:r w:rsidRPr="009C48DA" w:rsidR="008B5DAC">
        <w:rPr>
          <w:rFonts w:eastAsia="Malgun Gothic" w:cs="Arial"/>
          <w:szCs w:val="20"/>
          <w:lang w:val="en-GB"/>
        </w:rPr>
        <w:t xml:space="preserve"> became effective on 1 January </w:t>
      </w:r>
      <w:r w:rsidRPr="009C48DA">
        <w:rPr>
          <w:rFonts w:eastAsia="Malgun Gothic" w:cs="Arial"/>
          <w:szCs w:val="20"/>
          <w:lang w:val="en-GB"/>
        </w:rPr>
        <w:t xml:space="preserve">2020, limits how the Group may collect, use and process personal data of California residents. The CCPA establishes a privacy framework for covered businesses such as private equity firms by, among other things, creating an expanded definition of personal information, establishing data privacy rights for California residents and creating a potentially severe statutory </w:t>
      </w:r>
      <w:r w:rsidRPr="009C48DA">
        <w:rPr>
          <w:rFonts w:eastAsia="Calibri" w:cs="Arial"/>
          <w:szCs w:val="20"/>
          <w:lang w:val="en-GB"/>
        </w:rPr>
        <w:t>damages</w:t>
      </w:r>
      <w:r w:rsidRPr="009C48DA">
        <w:rPr>
          <w:rFonts w:eastAsia="Malgun Gothic" w:cs="Arial"/>
          <w:szCs w:val="20"/>
          <w:lang w:val="en-GB"/>
        </w:rPr>
        <w:t xml:space="preserve"> framework and private rights of action for certain data breaches. Furthermore, California voters approved the </w:t>
      </w:r>
      <w:bookmarkStart w:name="_9kR3WTr26648HR1hqls55xlTf5A3lA0f11FRjOE" w:id="407"/>
      <w:r w:rsidRPr="009C48DA">
        <w:rPr>
          <w:rFonts w:eastAsia="Malgun Gothic" w:cs="Arial"/>
          <w:szCs w:val="20"/>
          <w:lang w:val="en-GB"/>
        </w:rPr>
        <w:t>California Privacy Rights Act</w:t>
      </w:r>
      <w:bookmarkEnd w:id="407"/>
      <w:r w:rsidRPr="009C48DA">
        <w:rPr>
          <w:rFonts w:eastAsia="Malgun Gothic" w:cs="Arial"/>
          <w:szCs w:val="20"/>
          <w:lang w:val="en-GB"/>
        </w:rPr>
        <w:t xml:space="preserve"> (“</w:t>
      </w:r>
      <w:r w:rsidRPr="009C48DA">
        <w:rPr>
          <w:rFonts w:eastAsia="Malgun Gothic" w:cs="Arial"/>
          <w:b/>
          <w:szCs w:val="20"/>
          <w:lang w:val="en-GB"/>
        </w:rPr>
        <w:t>CPRA</w:t>
      </w:r>
      <w:r w:rsidRPr="009C48DA">
        <w:rPr>
          <w:rFonts w:eastAsia="Malgun Gothic" w:cs="Arial"/>
          <w:szCs w:val="20"/>
          <w:lang w:val="en-GB"/>
        </w:rPr>
        <w:t xml:space="preserve">”) on 3 November 2020, which will amend and expand the CCPA, including by providing individuals with additional rights with respect to their personal data, and establishing a regulatory agency dedicated to enforcing compliance. The CPRA will come into effect on 1 January 2023, applying to information collected by businesses on or after 1 January 2022. The effects of the CCPA and CPRA are potentially far-reaching, and may require the Group to modify its data processing practices and policies and incur substantial compliance-related costs and expenses, and it remains unclear how various provisions will be interpreted and enforced. These and other data privacy laws and their interpretations continue to develop and their uncertainty and inconsistency may increase the cost of compliance, restrict the </w:t>
      </w:r>
      <w:bookmarkStart w:name="_9kMJ89K7aXv6AA8BKULzmlnx822EibGKM" w:id="408"/>
      <w:r w:rsidRPr="009C48DA">
        <w:rPr>
          <w:rFonts w:eastAsia="Malgun Gothic" w:cs="Arial"/>
          <w:szCs w:val="20"/>
          <w:lang w:val="en-GB"/>
        </w:rPr>
        <w:t>Group’s</w:t>
      </w:r>
      <w:bookmarkEnd w:id="408"/>
      <w:r w:rsidRPr="009C48DA">
        <w:rPr>
          <w:rFonts w:eastAsia="Malgun Gothic" w:cs="Arial"/>
          <w:szCs w:val="20"/>
          <w:lang w:val="en-GB"/>
        </w:rPr>
        <w:t xml:space="preserve"> business activities in certain locations or subject the Group or the </w:t>
      </w:r>
      <w:bookmarkStart w:name="_9kMI17O7aXv6AA8BFPLzmlnx822EhdI28" w:id="409"/>
      <w:r w:rsidRPr="009C48DA" w:rsidR="00BB773E">
        <w:rPr>
          <w:rFonts w:eastAsia="Calibri" w:cs="Arial"/>
          <w:szCs w:val="20"/>
          <w:lang w:val="en-GB"/>
        </w:rPr>
        <w:t>Bridgepoint</w:t>
      </w:r>
      <w:r w:rsidRPr="009C48DA" w:rsidR="00BB773E">
        <w:rPr>
          <w:rFonts w:eastAsia="Malgun Gothic" w:cs="Arial"/>
          <w:szCs w:val="20"/>
          <w:lang w:val="en-GB"/>
        </w:rPr>
        <w:t xml:space="preserve"> </w:t>
      </w:r>
      <w:r w:rsidRPr="009C48DA">
        <w:rPr>
          <w:rFonts w:eastAsia="Malgun Gothic" w:cs="Arial"/>
          <w:szCs w:val="20"/>
          <w:lang w:val="en-GB"/>
        </w:rPr>
        <w:t>Funds</w:t>
      </w:r>
      <w:bookmarkEnd w:id="409"/>
      <w:r w:rsidRPr="009C48DA">
        <w:rPr>
          <w:rFonts w:eastAsia="Malgun Gothic" w:cs="Arial"/>
          <w:szCs w:val="20"/>
          <w:lang w:val="en-GB"/>
        </w:rPr>
        <w:t xml:space="preserve"> to sanctions by national, regional, state, local and international data protection regulators, all of which could </w:t>
      </w:r>
      <w:r w:rsidRPr="009C48DA" w:rsidR="00553878">
        <w:rPr>
          <w:rFonts w:eastAsia="Malgun Gothic" w:cs="Arial"/>
          <w:szCs w:val="20"/>
          <w:lang w:val="en-GB"/>
        </w:rPr>
        <w:t xml:space="preserve">have a material </w:t>
      </w:r>
      <w:r w:rsidRPr="009C48DA">
        <w:rPr>
          <w:rFonts w:eastAsia="Malgun Gothic" w:cs="Arial"/>
          <w:szCs w:val="20"/>
          <w:lang w:val="en-GB"/>
        </w:rPr>
        <w:t>adverse</w:t>
      </w:r>
      <w:r w:rsidRPr="009C48DA" w:rsidR="00553878">
        <w:rPr>
          <w:rFonts w:eastAsia="Malgun Gothic" w:cs="Arial"/>
          <w:szCs w:val="20"/>
          <w:lang w:val="en-GB"/>
        </w:rPr>
        <w:t xml:space="preserve"> e</w:t>
      </w:r>
      <w:r w:rsidRPr="009C48DA">
        <w:rPr>
          <w:rFonts w:eastAsia="Malgun Gothic" w:cs="Arial"/>
          <w:szCs w:val="20"/>
          <w:lang w:val="en-GB"/>
        </w:rPr>
        <w:t xml:space="preserve">ffect </w:t>
      </w:r>
      <w:r w:rsidRPr="009C48DA" w:rsidR="00553878">
        <w:rPr>
          <w:rFonts w:eastAsia="Malgun Gothic" w:cs="Arial"/>
          <w:szCs w:val="20"/>
          <w:lang w:val="en-GB"/>
        </w:rPr>
        <w:t xml:space="preserve">on </w:t>
      </w:r>
      <w:r w:rsidRPr="009C48DA">
        <w:rPr>
          <w:rFonts w:eastAsia="Malgun Gothic" w:cs="Arial"/>
          <w:szCs w:val="20"/>
          <w:lang w:val="en-GB"/>
        </w:rPr>
        <w:t xml:space="preserve">the </w:t>
      </w:r>
      <w:bookmarkStart w:name="_9kMJ8BM7aXv6AA8BKULzmlnx822EibGKM" w:id="410"/>
      <w:r w:rsidRPr="009C48DA">
        <w:rPr>
          <w:rFonts w:eastAsia="Malgun Gothic" w:cs="Arial"/>
          <w:szCs w:val="20"/>
          <w:lang w:val="en-GB"/>
        </w:rPr>
        <w:t>Group’s</w:t>
      </w:r>
      <w:bookmarkEnd w:id="410"/>
      <w:r w:rsidRPr="009C48DA">
        <w:rPr>
          <w:rFonts w:eastAsia="Malgun Gothic" w:cs="Arial"/>
          <w:szCs w:val="20"/>
          <w:lang w:val="en-GB"/>
        </w:rPr>
        <w:t xml:space="preserve"> business, </w:t>
      </w:r>
      <w:r w:rsidRPr="009C48DA" w:rsidR="00553878">
        <w:rPr>
          <w:rFonts w:eastAsia="Malgun Gothic" w:cs="Arial"/>
          <w:szCs w:val="20"/>
          <w:lang w:val="en-GB"/>
        </w:rPr>
        <w:t>revenue, net income and cash flows</w:t>
      </w:r>
      <w:r w:rsidRPr="009C48DA">
        <w:rPr>
          <w:rFonts w:eastAsia="Malgun Gothic" w:cs="Arial"/>
          <w:szCs w:val="20"/>
          <w:lang w:val="en-GB"/>
        </w:rPr>
        <w:t>.</w:t>
      </w:r>
    </w:p>
    <w:p w:rsidRPr="009C48DA" w:rsidR="006D6A27" w:rsidP="00676CA5" w:rsidRDefault="006D6A27" w14:paraId="4DD87504" w14:textId="23368965">
      <w:pPr>
        <w:pStyle w:val="BodyText2SglJ"/>
        <w:rPr>
          <w:rFonts w:eastAsia="Malgun Gothic" w:cs="Arial"/>
          <w:szCs w:val="20"/>
          <w:lang w:val="en-GB"/>
        </w:rPr>
      </w:pPr>
      <w:r w:rsidRPr="009C48DA">
        <w:rPr>
          <w:rFonts w:eastAsia="Malgun Gothic" w:cs="Arial"/>
          <w:szCs w:val="20"/>
          <w:lang w:val="en-GB"/>
        </w:rPr>
        <w:t xml:space="preserve">Although the Group takes reasonable efforts to comply with all applicable laws and regulations and has invested and continues to invest human and technology resources into data privacy </w:t>
      </w:r>
      <w:r w:rsidRPr="009C48DA">
        <w:rPr>
          <w:rFonts w:eastAsia="Times New Roman" w:cs="Times New Roman"/>
          <w:color w:val="231F20"/>
          <w:szCs w:val="20"/>
          <w:lang w:val="en-GB"/>
        </w:rPr>
        <w:t>compliance</w:t>
      </w:r>
      <w:r w:rsidRPr="009C48DA">
        <w:rPr>
          <w:rFonts w:eastAsia="Malgun Gothic" w:cs="Arial"/>
          <w:szCs w:val="20"/>
          <w:lang w:val="en-GB"/>
        </w:rPr>
        <w:t xml:space="preserve"> efforts, there can be no assurance that </w:t>
      </w:r>
      <w:r w:rsidRPr="009C48DA">
        <w:rPr>
          <w:rFonts w:eastAsia="Calibri" w:cs="Arial"/>
          <w:szCs w:val="20"/>
          <w:lang w:val="en-GB"/>
        </w:rPr>
        <w:t>the</w:t>
      </w:r>
      <w:r w:rsidRPr="009C48DA">
        <w:rPr>
          <w:rFonts w:eastAsia="Malgun Gothic" w:cs="Arial"/>
          <w:szCs w:val="20"/>
          <w:lang w:val="en-GB"/>
        </w:rPr>
        <w:t xml:space="preserve"> Group will not be subject to regulatory or individual legal action, including </w:t>
      </w:r>
      <w:r w:rsidRPr="009C48DA" w:rsidR="00092571">
        <w:rPr>
          <w:rFonts w:eastAsia="Malgun Gothic" w:cs="Arial"/>
          <w:szCs w:val="20"/>
          <w:lang w:val="en-GB"/>
        </w:rPr>
        <w:t xml:space="preserve">the imposition of </w:t>
      </w:r>
      <w:r w:rsidRPr="009C48DA">
        <w:rPr>
          <w:rFonts w:eastAsia="Malgun Gothic" w:cs="Arial"/>
          <w:szCs w:val="20"/>
          <w:lang w:val="en-GB"/>
        </w:rPr>
        <w:t xml:space="preserve">fines, in the event of a security incident or other claim that privacy rights have been violated. </w:t>
      </w:r>
    </w:p>
    <w:p w:rsidRPr="009C48DA" w:rsidR="005C50DF" w:rsidP="005C50DF" w:rsidRDefault="005C50DF" w14:paraId="25AA25DD" w14:textId="48352B00">
      <w:pPr>
        <w:pStyle w:val="TitleBI"/>
        <w:rPr>
          <w:szCs w:val="20"/>
          <w:lang w:val="en-GB"/>
        </w:rPr>
      </w:pPr>
      <w:r w:rsidRPr="009C48DA">
        <w:rPr>
          <w:szCs w:val="20"/>
          <w:lang w:val="en-GB"/>
        </w:rPr>
        <w:t xml:space="preserve">Domestic and foreign anti-corruption and trade sanction laws and other regulatory requirements applicable to the Group and the </w:t>
      </w:r>
      <w:r w:rsidRPr="009C48DA" w:rsidR="00BB773E">
        <w:rPr>
          <w:rFonts w:eastAsia="Calibri" w:cs="Arial"/>
          <w:szCs w:val="20"/>
          <w:lang w:val="en-GB"/>
        </w:rPr>
        <w:t>Bridgepoint</w:t>
      </w:r>
      <w:r w:rsidRPr="009C48DA" w:rsidR="00BB773E">
        <w:rPr>
          <w:szCs w:val="20"/>
          <w:lang w:val="en-GB"/>
        </w:rPr>
        <w:t xml:space="preserve"> </w:t>
      </w:r>
      <w:r w:rsidRPr="009C48DA">
        <w:rPr>
          <w:szCs w:val="20"/>
          <w:lang w:val="en-GB"/>
        </w:rPr>
        <w:t>Funds’ portfolio companies create the potential for significant liabilities and penalties, the inability to complete transactions and reputational harm.</w:t>
      </w:r>
    </w:p>
    <w:p w:rsidRPr="009C48DA" w:rsidR="005C50DF" w:rsidP="005C50DF" w:rsidRDefault="005C50DF" w14:paraId="0B7B654D" w14:textId="63A749CF">
      <w:pPr>
        <w:pStyle w:val="BodyText2SglJ"/>
        <w:rPr>
          <w:szCs w:val="20"/>
          <w:lang w:val="en-GB"/>
        </w:rPr>
      </w:pPr>
      <w:r w:rsidRPr="009C48DA">
        <w:rPr>
          <w:szCs w:val="20"/>
          <w:lang w:val="en-GB"/>
        </w:rPr>
        <w:t xml:space="preserve">The Group may be adversely affected if there is wrongdoing by personnel of portfolio companies in which the </w:t>
      </w:r>
      <w:r w:rsidRPr="009C48DA" w:rsidR="00BB773E">
        <w:rPr>
          <w:rFonts w:eastAsia="Calibri" w:cs="Arial"/>
          <w:szCs w:val="20"/>
          <w:lang w:val="en-GB"/>
        </w:rPr>
        <w:t>Bridgepoint</w:t>
      </w:r>
      <w:r w:rsidRPr="009C48DA" w:rsidR="00BB773E">
        <w:rPr>
          <w:szCs w:val="20"/>
          <w:lang w:val="en-GB"/>
        </w:rPr>
        <w:t xml:space="preserve"> </w:t>
      </w:r>
      <w:r w:rsidRPr="009C48DA">
        <w:rPr>
          <w:szCs w:val="20"/>
          <w:lang w:val="en-GB"/>
        </w:rPr>
        <w:t xml:space="preserve">Funds invest. For example, financial fraud or other deceptive practices at the </w:t>
      </w:r>
      <w:r w:rsidRPr="009C48DA" w:rsidR="00BB773E">
        <w:rPr>
          <w:rFonts w:eastAsia="Calibri" w:cs="Arial"/>
          <w:szCs w:val="20"/>
          <w:lang w:val="en-GB"/>
        </w:rPr>
        <w:t>Bridgepoint</w:t>
      </w:r>
      <w:r w:rsidRPr="009C48DA" w:rsidR="00BB773E">
        <w:rPr>
          <w:szCs w:val="20"/>
          <w:lang w:val="en-GB"/>
        </w:rPr>
        <w:t xml:space="preserve"> </w:t>
      </w:r>
      <w:r w:rsidRPr="009C48DA">
        <w:rPr>
          <w:szCs w:val="20"/>
          <w:lang w:val="en-GB"/>
        </w:rPr>
        <w:t xml:space="preserve">Funds’ portfolio companies, or failures by personnel </w:t>
      </w:r>
      <w:r w:rsidRPr="009C48DA" w:rsidR="00092571">
        <w:rPr>
          <w:szCs w:val="20"/>
          <w:lang w:val="en-GB"/>
        </w:rPr>
        <w:t xml:space="preserve">of </w:t>
      </w:r>
      <w:r w:rsidRPr="009C48DA">
        <w:rPr>
          <w:szCs w:val="20"/>
          <w:lang w:val="en-GB"/>
        </w:rPr>
        <w:t>such portfolio companies to comply with anti-bribery, trade sanctions, anti-harassment, anti-discrimination or other legal and regulatory requirements could subject the Group to, among other things, civil and criminal penalties or material fines, profit disgorgement, injunctions on future conduct and securities litigation, and a general loss of investor confidence, any one of which could adversely affect the Group’s reputation, business, revenue, net income and cash flow</w:t>
      </w:r>
      <w:r w:rsidRPr="009C48DA" w:rsidR="00410762">
        <w:rPr>
          <w:szCs w:val="20"/>
          <w:lang w:val="en-GB"/>
        </w:rPr>
        <w:t>s</w:t>
      </w:r>
      <w:r w:rsidRPr="009C48DA">
        <w:rPr>
          <w:szCs w:val="20"/>
          <w:lang w:val="en-GB"/>
        </w:rPr>
        <w:t xml:space="preserve">. </w:t>
      </w:r>
    </w:p>
    <w:p w:rsidRPr="009C48DA" w:rsidR="005C50DF" w:rsidP="005C50DF" w:rsidRDefault="005C50DF" w14:paraId="17E9FAE4" w14:textId="29976980">
      <w:pPr>
        <w:pStyle w:val="BodyText2SglJ"/>
        <w:rPr>
          <w:szCs w:val="20"/>
          <w:lang w:val="en-GB"/>
        </w:rPr>
      </w:pPr>
      <w:r w:rsidRPr="009C48DA">
        <w:rPr>
          <w:szCs w:val="20"/>
          <w:lang w:val="en-GB"/>
        </w:rPr>
        <w:t>In recent years, the UK has significantly expanded the reach of its anti-bribery laws. Various other jurisdictions in which the Group operates have also brought a greater focus to anti-bribery laws, including the United States with the U.S. Foreign Corrupt Practices Act. While the Group has developed and implemented policies and procedures designed to ensure strict compliance by it and its personnel with applicable anti-bribery laws, such policies and procedures may not be effective in all instances to prevent violations. Such misconduct may undermine the Group’s</w:t>
      </w:r>
      <w:r w:rsidRPr="009C48DA" w:rsidDel="00F46AE7">
        <w:rPr>
          <w:szCs w:val="20"/>
          <w:lang w:val="en-GB"/>
        </w:rPr>
        <w:t xml:space="preserve"> </w:t>
      </w:r>
      <w:r w:rsidRPr="009C48DA">
        <w:rPr>
          <w:szCs w:val="20"/>
          <w:lang w:val="en-GB"/>
        </w:rPr>
        <w:t xml:space="preserve">due diligence efforts with respect to portfolio companies, and could negatively affect the valuations of the investments by the </w:t>
      </w:r>
      <w:r w:rsidRPr="009C48DA" w:rsidR="00BB773E">
        <w:rPr>
          <w:rFonts w:eastAsia="Calibri" w:cs="Arial"/>
          <w:szCs w:val="20"/>
          <w:lang w:val="en-GB"/>
        </w:rPr>
        <w:t>Bridgepoint</w:t>
      </w:r>
      <w:r w:rsidRPr="009C48DA" w:rsidR="00BB773E">
        <w:rPr>
          <w:szCs w:val="20"/>
          <w:lang w:val="en-GB"/>
        </w:rPr>
        <w:t xml:space="preserve"> </w:t>
      </w:r>
      <w:r w:rsidRPr="009C48DA">
        <w:rPr>
          <w:szCs w:val="20"/>
          <w:lang w:val="en-GB"/>
        </w:rPr>
        <w:t xml:space="preserve">Funds in such portfolio companies. In addition, the Group may face an increased risk of such misconduct to the extent its investment in non-UK, EU and U.S. markets, particularly emerging markets, increases. Furthermore, there is a risk that the Group may be subject to successor liability for violations or other acts of bribery, or </w:t>
      </w:r>
      <w:r w:rsidRPr="009C48DA" w:rsidR="00092571">
        <w:rPr>
          <w:szCs w:val="20"/>
          <w:lang w:val="en-GB"/>
        </w:rPr>
        <w:t xml:space="preserve">anti-bribery </w:t>
      </w:r>
      <w:r w:rsidRPr="009C48DA">
        <w:rPr>
          <w:szCs w:val="20"/>
          <w:lang w:val="en-GB"/>
        </w:rPr>
        <w:t xml:space="preserve">violations of applicable sanctions and other applicable laws and regulations. In addition, a recent decision of the European Court of Justice underlines the risk that private equity firms, such as the Group, may be subject to fines that are imposed due to violations of antitrust laws by portfolio companies based on the concept of parental liability </w:t>
      </w:r>
      <w:r w:rsidRPr="009C48DA" w:rsidR="0030615B">
        <w:rPr>
          <w:szCs w:val="20"/>
          <w:lang w:val="en-GB"/>
        </w:rPr>
        <w:t xml:space="preserve">in the event that a </w:t>
      </w:r>
      <w:r w:rsidRPr="009C48DA">
        <w:rPr>
          <w:szCs w:val="20"/>
          <w:lang w:val="en-GB"/>
        </w:rPr>
        <w:t xml:space="preserve">private equity firm </w:t>
      </w:r>
      <w:r w:rsidRPr="009C48DA" w:rsidR="0030615B">
        <w:rPr>
          <w:szCs w:val="20"/>
          <w:lang w:val="en-GB"/>
        </w:rPr>
        <w:t xml:space="preserve">exercises decisive influence </w:t>
      </w:r>
      <w:r w:rsidRPr="009C48DA">
        <w:rPr>
          <w:szCs w:val="20"/>
          <w:lang w:val="en-GB"/>
        </w:rPr>
        <w:t xml:space="preserve">over the </w:t>
      </w:r>
      <w:r w:rsidRPr="009C48DA">
        <w:rPr>
          <w:szCs w:val="20"/>
          <w:lang w:val="en-GB"/>
        </w:rPr>
        <w:lastRenderedPageBreak/>
        <w:t>business of such portfol</w:t>
      </w:r>
      <w:r w:rsidRPr="009C48DA" w:rsidR="00CE3171">
        <w:rPr>
          <w:szCs w:val="20"/>
          <w:lang w:val="en-GB"/>
        </w:rPr>
        <w:t>io companies. Any such practice</w:t>
      </w:r>
      <w:r w:rsidRPr="009C48DA">
        <w:rPr>
          <w:szCs w:val="20"/>
          <w:lang w:val="en-GB"/>
        </w:rPr>
        <w:t xml:space="preserve"> could adversely affect the Group’s brand and reputation and impair its ability to attract and retain investors, which accordingly could have a material adverse effect on the Group’s business, revenue, net income and cash flows.</w:t>
      </w:r>
    </w:p>
    <w:p w:rsidRPr="009C48DA" w:rsidR="005C50DF" w:rsidP="005C50DF" w:rsidRDefault="005C50DF" w14:paraId="064AADFC" w14:textId="3F93064C">
      <w:pPr>
        <w:pStyle w:val="BodyText2SglJ"/>
        <w:rPr>
          <w:szCs w:val="20"/>
          <w:lang w:val="en-GB"/>
        </w:rPr>
      </w:pPr>
      <w:r w:rsidRPr="009C48DA">
        <w:rPr>
          <w:szCs w:val="20"/>
          <w:lang w:val="en-GB"/>
        </w:rPr>
        <w:t xml:space="preserve">In light of controversies and highly publicised incidents involving money managers, a number of states and public pension plans have adopted so-called “pay-to-play” laws, regulations or policies which prohibit, restrict or require disclosure of payments to (and/or certain contacts with) state officials by individuals and entities seeking to do business with state entities, including investments by public retirement funds. The SEC also has adopted rules that, among other things, prohibit an investment adviser from providing advisory services for compensation with respect to a government plan investor for two years after the adviser or certain of its executives or employees make a contribution to certain elected officials or candidates. If the Group or its employees fail to comply with such pay-to-play laws, regulations or policies, such non-compliance could have a negative impact on the </w:t>
      </w:r>
      <w:r w:rsidRPr="009C48DA" w:rsidR="00BB773E">
        <w:rPr>
          <w:rFonts w:eastAsia="Calibri" w:cs="Arial"/>
          <w:szCs w:val="20"/>
          <w:lang w:val="en-GB"/>
        </w:rPr>
        <w:t>Bridgepoint</w:t>
      </w:r>
      <w:r w:rsidRPr="009C48DA" w:rsidR="00BB773E">
        <w:rPr>
          <w:szCs w:val="20"/>
          <w:lang w:val="en-GB"/>
        </w:rPr>
        <w:t xml:space="preserve"> </w:t>
      </w:r>
      <w:r w:rsidRPr="009C48DA">
        <w:rPr>
          <w:szCs w:val="20"/>
          <w:lang w:val="en-GB"/>
        </w:rPr>
        <w:t xml:space="preserve">Funds and could have a material adverse effect on the Group’s business, revenue, net income and cash flows, for example </w:t>
      </w:r>
      <w:r w:rsidRPr="009C48DA" w:rsidR="00092571">
        <w:rPr>
          <w:szCs w:val="20"/>
          <w:lang w:val="en-GB"/>
        </w:rPr>
        <w:t xml:space="preserve">by </w:t>
      </w:r>
      <w:r w:rsidRPr="009C48DA">
        <w:rPr>
          <w:szCs w:val="20"/>
          <w:lang w:val="en-GB"/>
        </w:rPr>
        <w:t>providing the basis for the withdrawal of the affected government plan investor and subjecting entities of the Group to certain penalties.</w:t>
      </w:r>
    </w:p>
    <w:p w:rsidRPr="009C48DA" w:rsidR="005C50DF" w:rsidP="005C50DF" w:rsidRDefault="005C50DF" w14:paraId="7A015603" w14:textId="6BFE18E6">
      <w:pPr>
        <w:pStyle w:val="TitleBI"/>
        <w:rPr>
          <w:szCs w:val="20"/>
          <w:lang w:val="en-GB"/>
        </w:rPr>
      </w:pPr>
      <w:r w:rsidRPr="009C48DA">
        <w:rPr>
          <w:szCs w:val="20"/>
          <w:lang w:val="en-GB"/>
        </w:rPr>
        <w:t xml:space="preserve">The </w:t>
      </w:r>
      <w:bookmarkStart w:name="_9kMJ1G6ZWu5997CDMIz1qpE" w:id="411"/>
      <w:r w:rsidRPr="009C48DA">
        <w:rPr>
          <w:szCs w:val="20"/>
          <w:lang w:val="en-GB"/>
        </w:rPr>
        <w:t>Company</w:t>
      </w:r>
      <w:bookmarkEnd w:id="411"/>
      <w:r w:rsidRPr="009C48DA">
        <w:rPr>
          <w:szCs w:val="20"/>
          <w:lang w:val="en-GB"/>
        </w:rPr>
        <w:t xml:space="preserve"> could have inadequate protection for, and be subject to infringements to, its intellectual property or could infringe the intellectual property rights of third parties. </w:t>
      </w:r>
    </w:p>
    <w:p w:rsidRPr="009C48DA" w:rsidR="005C50DF" w:rsidP="005C50DF" w:rsidRDefault="005C50DF" w14:paraId="204DBD82" w14:textId="25F0AEBD">
      <w:pPr>
        <w:pStyle w:val="BodyText2SglJ"/>
        <w:rPr>
          <w:szCs w:val="20"/>
          <w:lang w:val="en-GB"/>
        </w:rPr>
      </w:pPr>
      <w:bookmarkStart w:name="_9kMK8M6ZWu5997HJeSkFN1onpzA44GkdIMO" w:id="412"/>
      <w:r w:rsidRPr="009C48DA">
        <w:rPr>
          <w:szCs w:val="20"/>
          <w:lang w:val="en-GB"/>
        </w:rPr>
        <w:t xml:space="preserve">The </w:t>
      </w:r>
      <w:bookmarkEnd w:id="412"/>
      <w:r w:rsidRPr="009C48DA">
        <w:rPr>
          <w:szCs w:val="20"/>
          <w:lang w:val="en-GB"/>
        </w:rPr>
        <w:t xml:space="preserve">Group owns a number of trademarks, domain names and other intellectual property and uses various software through licensing agreements. </w:t>
      </w:r>
      <w:bookmarkStart w:name="_9kMK9N6ZWu5997HJeSkFN1onpzA44GkdIMO" w:id="413"/>
      <w:r w:rsidRPr="009C48DA">
        <w:rPr>
          <w:szCs w:val="20"/>
          <w:lang w:val="en-GB"/>
        </w:rPr>
        <w:t xml:space="preserve">The </w:t>
      </w:r>
      <w:bookmarkEnd w:id="413"/>
      <w:r w:rsidRPr="009C48DA">
        <w:rPr>
          <w:szCs w:val="20"/>
          <w:lang w:val="en-GB"/>
        </w:rPr>
        <w:t xml:space="preserve">Group may not have sufficient protection for trademarks used in its business and could have difficulty defending its trademarks and other intellectual property rights. Moreover, third parties may be able to successfully challenge, oppose, invalidate, render unenforceable, dilute, misappropriate or circumvent the </w:t>
      </w:r>
      <w:bookmarkStart w:name="_9kMJ66J7aXv6AA8BKULzmlnx822EibGKM" w:id="414"/>
      <w:r w:rsidRPr="009C48DA">
        <w:rPr>
          <w:szCs w:val="20"/>
          <w:lang w:val="en-GB"/>
        </w:rPr>
        <w:t>Group’s</w:t>
      </w:r>
      <w:bookmarkEnd w:id="414"/>
      <w:r w:rsidRPr="009C48DA">
        <w:rPr>
          <w:szCs w:val="20"/>
          <w:lang w:val="en-GB"/>
        </w:rPr>
        <w:t xml:space="preserve"> trademarks, copyrights, patent and other intellectual property rights. In addition, third parties’ use or misuse of the </w:t>
      </w:r>
      <w:r w:rsidRPr="009C48DA" w:rsidR="00BB773E">
        <w:rPr>
          <w:rFonts w:eastAsia="Calibri" w:cs="Arial"/>
          <w:szCs w:val="20"/>
          <w:lang w:val="en-GB"/>
        </w:rPr>
        <w:t>Bridgepoint</w:t>
      </w:r>
      <w:r w:rsidRPr="009C48DA" w:rsidR="00BB773E">
        <w:rPr>
          <w:szCs w:val="20"/>
          <w:lang w:val="en-GB"/>
        </w:rPr>
        <w:t xml:space="preserve"> </w:t>
      </w:r>
      <w:r w:rsidRPr="009C48DA">
        <w:rPr>
          <w:szCs w:val="20"/>
          <w:lang w:val="en-GB"/>
        </w:rPr>
        <w:t xml:space="preserve">brand could reflect badly on </w:t>
      </w:r>
      <w:r w:rsidRPr="009C48DA" w:rsidR="00BB773E">
        <w:rPr>
          <w:rFonts w:eastAsia="Calibri" w:cs="Arial"/>
          <w:szCs w:val="20"/>
          <w:lang w:val="en-GB"/>
        </w:rPr>
        <w:t>Bridgepoint</w:t>
      </w:r>
      <w:r w:rsidRPr="009C48DA">
        <w:rPr>
          <w:szCs w:val="20"/>
          <w:lang w:val="en-GB"/>
        </w:rPr>
        <w:t>, for example</w:t>
      </w:r>
      <w:r w:rsidRPr="009C48DA" w:rsidR="008B5DAC">
        <w:rPr>
          <w:szCs w:val="20"/>
          <w:lang w:val="en-GB"/>
        </w:rPr>
        <w:t>,</w:t>
      </w:r>
      <w:r w:rsidRPr="009C48DA">
        <w:rPr>
          <w:szCs w:val="20"/>
          <w:lang w:val="en-GB"/>
        </w:rPr>
        <w:t xml:space="preserve"> if such third party is involved in a business that the Group does not want to be associated with. Monitoring and protecting intellectual property rights can be challenging and costly. From time to time, the Group may be required to initiate litigation or other action to enforce its intellectual property rights or to establish their validity and enforceability. Such action could result in substantial cost and diversion of resources and management attention, and the Group cannot provide any assurances that any such action will be successful. Furthermore, if the portfolio companies of the </w:t>
      </w:r>
      <w:bookmarkStart w:name="_9kMI16N7aXv6AA8BFPLzmlnx822EhdI28" w:id="415"/>
      <w:r w:rsidRPr="009C48DA" w:rsidR="00BB773E">
        <w:rPr>
          <w:rFonts w:eastAsia="Calibri" w:cs="Arial"/>
          <w:szCs w:val="20"/>
          <w:lang w:val="en-GB"/>
        </w:rPr>
        <w:t>Bridgepoint</w:t>
      </w:r>
      <w:r w:rsidRPr="009C48DA" w:rsidR="00BB773E">
        <w:rPr>
          <w:szCs w:val="20"/>
          <w:lang w:val="en-GB"/>
        </w:rPr>
        <w:t xml:space="preserve"> </w:t>
      </w:r>
      <w:r w:rsidRPr="009C48DA">
        <w:rPr>
          <w:szCs w:val="20"/>
          <w:lang w:val="en-GB"/>
        </w:rPr>
        <w:t>Funds</w:t>
      </w:r>
      <w:bookmarkEnd w:id="415"/>
      <w:r w:rsidRPr="009C48DA">
        <w:rPr>
          <w:szCs w:val="20"/>
          <w:lang w:val="en-GB"/>
        </w:rPr>
        <w:t xml:space="preserve"> do not have sufficient protection for their intellectual property, or if such a portfolio company were to infringe or is alleged to have infringed on the intellectual property rights of others, this could adversely affect the </w:t>
      </w:r>
      <w:bookmarkStart w:name="_9kMJ2H6ZWu5997CDMIz1qpE" w:id="416"/>
      <w:r w:rsidRPr="009C48DA">
        <w:rPr>
          <w:szCs w:val="20"/>
          <w:lang w:val="en-GB"/>
        </w:rPr>
        <w:t>Company’s</w:t>
      </w:r>
      <w:bookmarkEnd w:id="416"/>
      <w:r w:rsidRPr="009C48DA">
        <w:rPr>
          <w:szCs w:val="20"/>
          <w:lang w:val="en-GB"/>
        </w:rPr>
        <w:t xml:space="preserve"> brand and reputation. </w:t>
      </w:r>
    </w:p>
    <w:p w:rsidRPr="009C48DA" w:rsidR="006D6A27" w:rsidP="00676CA5" w:rsidRDefault="006D6A27" w14:paraId="040DF652" w14:textId="77777777">
      <w:pPr>
        <w:pStyle w:val="TitleBI"/>
        <w:rPr>
          <w:szCs w:val="20"/>
          <w:lang w:val="en-GB"/>
        </w:rPr>
      </w:pPr>
      <w:r w:rsidRPr="009C48DA">
        <w:rPr>
          <w:szCs w:val="20"/>
          <w:lang w:val="en-GB"/>
        </w:rPr>
        <w:t>Changes to applicable accounting standards, or changes to the interpretations thereof, could have a material adverse effect on the Group.</w:t>
      </w:r>
    </w:p>
    <w:p w:rsidRPr="009C48DA" w:rsidR="006D6A27" w:rsidP="00676CA5" w:rsidRDefault="006D6A27" w14:paraId="26AF4F6E" w14:textId="44583E5F">
      <w:pPr>
        <w:pStyle w:val="BodyText2SglJ"/>
        <w:rPr>
          <w:rFonts w:eastAsia="Calibri" w:cs="Arial"/>
          <w:szCs w:val="20"/>
          <w:lang w:val="en-GB"/>
        </w:rPr>
      </w:pPr>
      <w:r w:rsidRPr="009C48DA">
        <w:rPr>
          <w:rFonts w:eastAsia="Calibri" w:cs="Arial"/>
          <w:szCs w:val="20"/>
          <w:lang w:val="en-GB"/>
        </w:rPr>
        <w:t xml:space="preserve">The </w:t>
      </w:r>
      <w:r w:rsidRPr="009C48DA" w:rsidR="00D43E9F">
        <w:rPr>
          <w:rFonts w:eastAsia="Calibri" w:cs="Arial"/>
          <w:szCs w:val="20"/>
          <w:lang w:val="en-GB"/>
        </w:rPr>
        <w:t xml:space="preserve">historical </w:t>
      </w:r>
      <w:r w:rsidRPr="009C48DA">
        <w:rPr>
          <w:rFonts w:eastAsia="Calibri" w:cs="Arial"/>
          <w:szCs w:val="20"/>
          <w:lang w:val="en-GB"/>
        </w:rPr>
        <w:t xml:space="preserve">financial </w:t>
      </w:r>
      <w:r w:rsidRPr="009C48DA" w:rsidR="00D43E9F">
        <w:rPr>
          <w:rFonts w:eastAsia="Calibri" w:cs="Arial"/>
          <w:szCs w:val="20"/>
          <w:lang w:val="en-GB"/>
        </w:rPr>
        <w:t xml:space="preserve">information of </w:t>
      </w:r>
      <w:r w:rsidRPr="009C48DA" w:rsidR="00CC3F8F">
        <w:rPr>
          <w:rFonts w:eastAsia="Calibri" w:cs="Arial"/>
          <w:szCs w:val="20"/>
          <w:lang w:val="en-GB"/>
        </w:rPr>
        <w:t xml:space="preserve">Atlantic Investments Holdings Limited </w:t>
      </w:r>
      <w:r w:rsidRPr="009C48DA">
        <w:rPr>
          <w:rFonts w:eastAsia="Calibri" w:cs="Arial"/>
          <w:szCs w:val="20"/>
          <w:lang w:val="en-GB"/>
        </w:rPr>
        <w:t xml:space="preserve">as of and for the years ended 31 December 2018, 2019 and 2020 and </w:t>
      </w:r>
      <w:r w:rsidRPr="009C48DA" w:rsidR="00CC3F8F">
        <w:rPr>
          <w:rFonts w:eastAsia="Calibri" w:cs="Arial"/>
          <w:szCs w:val="20"/>
          <w:lang w:val="en-GB"/>
        </w:rPr>
        <w:t xml:space="preserve">as of and for </w:t>
      </w:r>
      <w:r w:rsidRPr="009C48DA" w:rsidR="008B5DAC">
        <w:rPr>
          <w:rFonts w:eastAsia="Calibri" w:cs="Arial"/>
          <w:szCs w:val="20"/>
          <w:lang w:val="en-GB"/>
        </w:rPr>
        <w:t>the three months ended 31 March</w:t>
      </w:r>
      <w:r w:rsidRPr="009C48DA">
        <w:rPr>
          <w:rFonts w:eastAsia="Calibri" w:cs="Arial"/>
          <w:szCs w:val="20"/>
          <w:lang w:val="en-GB"/>
        </w:rPr>
        <w:t xml:space="preserve"> 2021 have recently been converted from Generally Accepted Accounting Practice as applied in the UK (UK accounting </w:t>
      </w:r>
      <w:r w:rsidRPr="009C48DA" w:rsidR="00092571">
        <w:rPr>
          <w:rFonts w:eastAsia="Calibri" w:cs="Arial"/>
          <w:szCs w:val="20"/>
          <w:lang w:val="en-GB"/>
        </w:rPr>
        <w:t>s</w:t>
      </w:r>
      <w:r w:rsidRPr="009C48DA">
        <w:rPr>
          <w:rFonts w:eastAsia="Calibri" w:cs="Arial"/>
          <w:szCs w:val="20"/>
          <w:lang w:val="en-GB"/>
        </w:rPr>
        <w:t xml:space="preserve">tandards, comprising FRS 102 “The </w:t>
      </w:r>
      <w:r w:rsidRPr="009C48DA">
        <w:rPr>
          <w:rFonts w:eastAsia="Times New Roman" w:cs="Times New Roman"/>
          <w:color w:val="231F20"/>
          <w:szCs w:val="20"/>
          <w:lang w:val="en-GB"/>
        </w:rPr>
        <w:t>Financial</w:t>
      </w:r>
      <w:r w:rsidRPr="009C48DA">
        <w:rPr>
          <w:rFonts w:eastAsia="Calibri" w:cs="Arial"/>
          <w:szCs w:val="20"/>
          <w:lang w:val="en-GB"/>
        </w:rPr>
        <w:t xml:space="preserve"> Reporting Standard applicable in the UK and Republic of Ireland” and applicable law) </w:t>
      </w:r>
      <w:r w:rsidRPr="009C48DA" w:rsidR="007F4D66">
        <w:rPr>
          <w:rFonts w:eastAsia="Calibri" w:cs="Arial"/>
          <w:szCs w:val="20"/>
          <w:lang w:val="en-GB"/>
        </w:rPr>
        <w:t>o</w:t>
      </w:r>
      <w:r w:rsidRPr="009C48DA">
        <w:rPr>
          <w:rFonts w:eastAsia="Calibri" w:cs="Arial"/>
          <w:szCs w:val="20"/>
          <w:lang w:val="en-GB"/>
        </w:rPr>
        <w:t xml:space="preserve">nto </w:t>
      </w:r>
      <w:r w:rsidRPr="009C48DA" w:rsidR="00410762">
        <w:rPr>
          <w:rFonts w:eastAsia="Calibri" w:cs="Arial"/>
          <w:szCs w:val="20"/>
          <w:lang w:val="en-GB"/>
        </w:rPr>
        <w:t>international accounting standards in conformity with the requirements of the Companies Act 2006 (“</w:t>
      </w:r>
      <w:r w:rsidRPr="009C48DA" w:rsidR="00410762">
        <w:rPr>
          <w:rFonts w:eastAsia="Calibri" w:cs="Arial"/>
          <w:b/>
          <w:szCs w:val="20"/>
          <w:lang w:val="en-GB"/>
        </w:rPr>
        <w:t>IFRS</w:t>
      </w:r>
      <w:r w:rsidRPr="009C48DA" w:rsidR="00410762">
        <w:rPr>
          <w:rFonts w:eastAsia="Calibri" w:cs="Arial"/>
          <w:szCs w:val="20"/>
          <w:lang w:val="en-GB"/>
        </w:rPr>
        <w:t>”).</w:t>
      </w:r>
      <w:r w:rsidRPr="009C48DA" w:rsidDel="004251E5">
        <w:rPr>
          <w:rFonts w:eastAsia="Calibri" w:cs="Arial"/>
          <w:szCs w:val="20"/>
          <w:lang w:val="en-GB"/>
        </w:rPr>
        <w:t xml:space="preserve"> </w:t>
      </w:r>
      <w:r w:rsidRPr="009C48DA" w:rsidR="00C70B19">
        <w:rPr>
          <w:rFonts w:eastAsia="Calibri" w:cs="Arial"/>
          <w:szCs w:val="20"/>
          <w:lang w:val="en-GB"/>
        </w:rPr>
        <w:t>Following such conversion, the Group appl</w:t>
      </w:r>
      <w:r w:rsidRPr="009C48DA" w:rsidR="00D43E9F">
        <w:rPr>
          <w:rFonts w:eastAsia="Calibri" w:cs="Arial"/>
          <w:szCs w:val="20"/>
          <w:lang w:val="en-GB"/>
        </w:rPr>
        <w:t>ies</w:t>
      </w:r>
      <w:r w:rsidRPr="009C48DA" w:rsidR="00C70B19">
        <w:rPr>
          <w:rFonts w:eastAsia="Calibri" w:cs="Arial"/>
          <w:szCs w:val="20"/>
          <w:lang w:val="en-GB"/>
        </w:rPr>
        <w:t xml:space="preserve"> IFRS, as amended from time to time in accordance with the amendments and interpretations of the International Accounting Standards Board (“</w:t>
      </w:r>
      <w:r w:rsidRPr="009C48DA" w:rsidR="00C70B19">
        <w:rPr>
          <w:rFonts w:eastAsia="Calibri" w:cs="Arial"/>
          <w:b/>
          <w:szCs w:val="20"/>
          <w:lang w:val="en-GB"/>
        </w:rPr>
        <w:t>IASB</w:t>
      </w:r>
      <w:r w:rsidRPr="009C48DA" w:rsidR="00C70B19">
        <w:rPr>
          <w:rFonts w:eastAsia="Calibri" w:cs="Arial"/>
          <w:szCs w:val="20"/>
          <w:lang w:val="en-GB"/>
        </w:rPr>
        <w:t>”).</w:t>
      </w:r>
      <w:r w:rsidRPr="009C48DA">
        <w:rPr>
          <w:rFonts w:eastAsia="Calibri" w:cs="Arial"/>
          <w:szCs w:val="20"/>
          <w:lang w:val="en-GB"/>
        </w:rPr>
        <w:t xml:space="preserve"> </w:t>
      </w:r>
    </w:p>
    <w:p w:rsidRPr="009C48DA" w:rsidR="006D6A27" w:rsidP="00676CA5" w:rsidRDefault="006D6A27" w14:paraId="2E86E5CF" w14:textId="57C1FA81">
      <w:pPr>
        <w:pStyle w:val="BodyText2SglJ"/>
        <w:rPr>
          <w:rFonts w:eastAsia="Calibri" w:cs="Arial"/>
          <w:szCs w:val="20"/>
          <w:lang w:val="en-GB"/>
        </w:rPr>
      </w:pPr>
      <w:r w:rsidRPr="009C48DA">
        <w:rPr>
          <w:rFonts w:eastAsia="Calibri" w:cs="Arial"/>
          <w:szCs w:val="20"/>
          <w:lang w:val="en-GB"/>
        </w:rPr>
        <w:t xml:space="preserve">In preparing the </w:t>
      </w:r>
      <w:bookmarkStart w:name="_9kMJ8FQ7aXv6AA8BKULzmlnx822EibGKM" w:id="417"/>
      <w:r w:rsidRPr="009C48DA">
        <w:rPr>
          <w:rFonts w:eastAsia="Calibri" w:cs="Arial"/>
          <w:szCs w:val="20"/>
          <w:lang w:val="en-GB"/>
        </w:rPr>
        <w:t>Group’s</w:t>
      </w:r>
      <w:bookmarkEnd w:id="417"/>
      <w:r w:rsidRPr="009C48DA">
        <w:rPr>
          <w:rFonts w:eastAsia="Calibri" w:cs="Arial"/>
          <w:szCs w:val="20"/>
          <w:lang w:val="en-GB"/>
        </w:rPr>
        <w:t xml:space="preserve"> </w:t>
      </w:r>
      <w:r w:rsidRPr="009C48DA" w:rsidR="00D43E9F">
        <w:rPr>
          <w:rFonts w:eastAsia="Calibri" w:cs="Arial"/>
          <w:szCs w:val="20"/>
          <w:lang w:val="en-GB"/>
        </w:rPr>
        <w:t xml:space="preserve">historical </w:t>
      </w:r>
      <w:r w:rsidRPr="009C48DA">
        <w:rPr>
          <w:rFonts w:eastAsia="Calibri" w:cs="Arial"/>
          <w:szCs w:val="20"/>
          <w:lang w:val="en-GB"/>
        </w:rPr>
        <w:t xml:space="preserve">financial </w:t>
      </w:r>
      <w:r w:rsidRPr="009C48DA" w:rsidR="00D43E9F">
        <w:rPr>
          <w:rFonts w:eastAsia="Calibri" w:cs="Arial"/>
          <w:szCs w:val="20"/>
          <w:lang w:val="en-GB"/>
        </w:rPr>
        <w:t>information the Group made, and it will continue to make for any future financial statements</w:t>
      </w:r>
      <w:r w:rsidRPr="009C48DA">
        <w:rPr>
          <w:rFonts w:eastAsia="Calibri" w:cs="Arial"/>
          <w:szCs w:val="20"/>
          <w:lang w:val="en-GB"/>
        </w:rPr>
        <w:t xml:space="preserve">, judgments and accounting estimates that affect the application of the </w:t>
      </w:r>
      <w:bookmarkStart w:name="_9kMJ98I7aXv6AA8BKULzmlnx822EibGKM" w:id="418"/>
      <w:r w:rsidRPr="009C48DA">
        <w:rPr>
          <w:rFonts w:eastAsia="Calibri" w:cs="Arial"/>
          <w:szCs w:val="20"/>
          <w:lang w:val="en-GB"/>
        </w:rPr>
        <w:t>Group’s</w:t>
      </w:r>
      <w:bookmarkEnd w:id="418"/>
      <w:r w:rsidRPr="009C48DA">
        <w:rPr>
          <w:rFonts w:eastAsia="Calibri" w:cs="Arial"/>
          <w:szCs w:val="20"/>
          <w:lang w:val="en-GB"/>
        </w:rPr>
        <w:t xml:space="preserve"> accounting policies, and by extension the reported amounts of assets, liabilities, income (including the r</w:t>
      </w:r>
      <w:r w:rsidRPr="009C48DA" w:rsidR="00CE3171">
        <w:rPr>
          <w:rFonts w:eastAsia="Calibri" w:cs="Arial"/>
          <w:szCs w:val="20"/>
          <w:lang w:val="en-GB"/>
        </w:rPr>
        <w:t>ecognition of carried interest)</w:t>
      </w:r>
      <w:r w:rsidRPr="009C48DA">
        <w:rPr>
          <w:rFonts w:eastAsia="Calibri" w:cs="Arial"/>
          <w:szCs w:val="20"/>
          <w:lang w:val="en-GB"/>
        </w:rPr>
        <w:t xml:space="preserve"> and expenses. Valuation methodologies for certain assets in the </w:t>
      </w:r>
      <w:bookmarkStart w:name="_9kMI18P7aXv6AA8BFPLzmlnx822EhdI28" w:id="419"/>
      <w:r w:rsidRPr="009C48DA" w:rsidR="00BB773E">
        <w:rPr>
          <w:rFonts w:eastAsia="Calibri" w:cs="Arial"/>
          <w:szCs w:val="20"/>
          <w:lang w:val="en-GB"/>
        </w:rPr>
        <w:t xml:space="preserve">Bridgepoint </w:t>
      </w:r>
      <w:r w:rsidRPr="009C48DA">
        <w:rPr>
          <w:rFonts w:eastAsia="Calibri" w:cs="Arial"/>
          <w:szCs w:val="20"/>
          <w:lang w:val="en-GB"/>
        </w:rPr>
        <w:t>Funds</w:t>
      </w:r>
      <w:bookmarkEnd w:id="419"/>
      <w:r w:rsidRPr="009C48DA">
        <w:rPr>
          <w:rFonts w:eastAsia="Calibri" w:cs="Arial"/>
          <w:szCs w:val="20"/>
          <w:lang w:val="en-GB"/>
        </w:rPr>
        <w:t xml:space="preserve"> can be subject to significant subjectivity and the fair value of assets established pursuant to such methodologies may never be realised, and valuation methodologies for historical </w:t>
      </w:r>
      <w:bookmarkStart w:name="_9kMI19Q7aXv6AA8BFPLzmlnx822EhdI28" w:id="420"/>
      <w:r w:rsidRPr="009C48DA" w:rsidR="00BB773E">
        <w:rPr>
          <w:rFonts w:eastAsia="Calibri" w:cs="Arial"/>
          <w:szCs w:val="20"/>
          <w:lang w:val="en-GB"/>
        </w:rPr>
        <w:t xml:space="preserve">Bridgepoint </w:t>
      </w:r>
      <w:r w:rsidRPr="009C48DA">
        <w:rPr>
          <w:rFonts w:eastAsia="Calibri" w:cs="Arial"/>
          <w:szCs w:val="20"/>
          <w:lang w:val="en-GB"/>
        </w:rPr>
        <w:t>Funds</w:t>
      </w:r>
      <w:bookmarkEnd w:id="420"/>
      <w:r w:rsidRPr="009C48DA">
        <w:rPr>
          <w:rFonts w:eastAsia="Calibri" w:cs="Arial"/>
          <w:szCs w:val="20"/>
          <w:lang w:val="en-GB"/>
        </w:rPr>
        <w:t xml:space="preserve"> may differ to the valuation methodologies used for current or future </w:t>
      </w:r>
      <w:bookmarkStart w:name="_9kMI21H7aXv6AA8BFPLzmlnx822EhdI28" w:id="421"/>
      <w:r w:rsidRPr="009C48DA" w:rsidR="00BB773E">
        <w:rPr>
          <w:rFonts w:eastAsia="Calibri" w:cs="Arial"/>
          <w:szCs w:val="20"/>
          <w:lang w:val="en-GB"/>
        </w:rPr>
        <w:t xml:space="preserve">Bridgepoint </w:t>
      </w:r>
      <w:r w:rsidRPr="009C48DA">
        <w:rPr>
          <w:rFonts w:eastAsia="Calibri" w:cs="Arial"/>
          <w:szCs w:val="20"/>
          <w:lang w:val="en-GB"/>
        </w:rPr>
        <w:t>Funds</w:t>
      </w:r>
      <w:bookmarkEnd w:id="421"/>
      <w:r w:rsidRPr="009C48DA">
        <w:rPr>
          <w:rFonts w:eastAsia="Calibri" w:cs="Arial"/>
          <w:szCs w:val="20"/>
          <w:lang w:val="en-GB"/>
        </w:rPr>
        <w:t xml:space="preserve">. Amendments to, and changes to interpretations of, existing accounting standards could have a significant effect on the </w:t>
      </w:r>
      <w:bookmarkStart w:name="_9kMJ99J7aXv6AA8BKULzmlnx822EibGKM" w:id="422"/>
      <w:r w:rsidRPr="009C48DA">
        <w:rPr>
          <w:rFonts w:eastAsia="Calibri" w:cs="Arial"/>
          <w:szCs w:val="20"/>
          <w:lang w:val="en-GB"/>
        </w:rPr>
        <w:t>Group’s</w:t>
      </w:r>
      <w:bookmarkEnd w:id="422"/>
      <w:r w:rsidRPr="009C48DA">
        <w:rPr>
          <w:rFonts w:eastAsia="Calibri" w:cs="Arial"/>
          <w:szCs w:val="20"/>
          <w:lang w:val="en-GB"/>
        </w:rPr>
        <w:t xml:space="preserve"> financial condition, and also result in extensive adaptation costs.</w:t>
      </w:r>
    </w:p>
    <w:p w:rsidRPr="009C48DA" w:rsidR="006D6A27" w:rsidP="00676CA5" w:rsidRDefault="006D6A27" w14:paraId="082B0E8B" w14:textId="307A04FA">
      <w:pPr>
        <w:pStyle w:val="BodyText2SglJ"/>
        <w:rPr>
          <w:rFonts w:eastAsia="Calibri" w:cs="Arial"/>
          <w:szCs w:val="20"/>
          <w:lang w:val="en-GB"/>
        </w:rPr>
      </w:pPr>
      <w:r w:rsidRPr="009C48DA">
        <w:rPr>
          <w:rFonts w:eastAsia="Calibri" w:cs="Arial"/>
          <w:szCs w:val="20"/>
          <w:lang w:val="en-GB"/>
        </w:rPr>
        <w:t xml:space="preserve">The ability to comply with applicable accounting standards depends in some instances on determinations of fact and interpretations of complex provisions for which no clear precedent or authority </w:t>
      </w:r>
      <w:r w:rsidRPr="009C48DA">
        <w:rPr>
          <w:rFonts w:eastAsia="Calibri" w:cs="Arial"/>
          <w:szCs w:val="20"/>
          <w:lang w:val="en-GB"/>
        </w:rPr>
        <w:lastRenderedPageBreak/>
        <w:t xml:space="preserve">may be available, or where only limited guidance may be available. Such accounting standards may be under review by persons involved in, among others, the </w:t>
      </w:r>
      <w:r w:rsidRPr="009C48DA" w:rsidR="00C70B19">
        <w:rPr>
          <w:rFonts w:eastAsia="Calibri" w:cs="Arial"/>
          <w:szCs w:val="20"/>
          <w:lang w:val="en-GB"/>
        </w:rPr>
        <w:t>IASB</w:t>
      </w:r>
      <w:r w:rsidRPr="009C48DA">
        <w:rPr>
          <w:rFonts w:eastAsia="Calibri" w:cs="Arial"/>
          <w:szCs w:val="20"/>
          <w:lang w:val="en-GB"/>
        </w:rPr>
        <w:t xml:space="preserve"> and other self-regulated organisations and groups, and may result in revised interpretations of established concepts and other modifications and interpretations. For example, under the relevant </w:t>
      </w:r>
      <w:bookmarkStart w:name="_9kMIH5YVt4666GNXoy" w:id="423"/>
      <w:r w:rsidRPr="009C48DA">
        <w:rPr>
          <w:rFonts w:eastAsia="Calibri" w:cs="Arial"/>
          <w:szCs w:val="20"/>
          <w:lang w:val="en-GB"/>
        </w:rPr>
        <w:t>IFRS</w:t>
      </w:r>
      <w:bookmarkEnd w:id="423"/>
      <w:r w:rsidRPr="009C48DA">
        <w:rPr>
          <w:rFonts w:eastAsia="Calibri" w:cs="Arial"/>
          <w:szCs w:val="20"/>
          <w:lang w:val="en-GB"/>
        </w:rPr>
        <w:t xml:space="preserve"> standards</w:t>
      </w:r>
      <w:r w:rsidRPr="009C48DA" w:rsidR="008B5DAC">
        <w:rPr>
          <w:rFonts w:eastAsia="Calibri" w:cs="Arial"/>
          <w:szCs w:val="20"/>
          <w:lang w:val="en-GB"/>
        </w:rPr>
        <w:t>,</w:t>
      </w:r>
      <w:r w:rsidRPr="009C48DA">
        <w:rPr>
          <w:rFonts w:eastAsia="Calibri" w:cs="Arial"/>
          <w:szCs w:val="20"/>
          <w:lang w:val="en-GB"/>
        </w:rPr>
        <w:t xml:space="preserve"> </w:t>
      </w:r>
      <w:r w:rsidRPr="009C48DA" w:rsidR="00BB773E">
        <w:rPr>
          <w:rFonts w:eastAsia="Calibri" w:cs="Arial"/>
          <w:szCs w:val="20"/>
          <w:lang w:val="en-GB"/>
        </w:rPr>
        <w:t xml:space="preserve">Bridgepoint </w:t>
      </w:r>
      <w:r w:rsidRPr="009C48DA">
        <w:rPr>
          <w:rFonts w:eastAsia="Calibri" w:cs="Arial"/>
          <w:szCs w:val="20"/>
          <w:lang w:val="en-GB"/>
        </w:rPr>
        <w:t>recognises carried interest if it is highly probable that this would not result in significant revenue reversals. No exact definition exists regarding what should be interpreted as highly probable. If any relevant guidelines, or a definition, were to be amended, or if the level of certainty were to be reconsidered or revised, this could have a negative effect on the reported income of the Group.</w:t>
      </w:r>
      <w:r w:rsidRPr="009C48DA" w:rsidR="00D43E9F">
        <w:rPr>
          <w:rFonts w:eastAsia="Calibri" w:cs="Arial"/>
          <w:szCs w:val="20"/>
          <w:lang w:val="en-GB"/>
        </w:rPr>
        <w:t xml:space="preserve"> Changes to applicable accounting standards, or changes to the interpretations thereof, could have a material adverse effect on the Group.</w:t>
      </w:r>
      <w:r w:rsidRPr="009C48DA">
        <w:rPr>
          <w:rFonts w:eastAsia="Calibri" w:cs="Arial"/>
          <w:szCs w:val="20"/>
          <w:lang w:val="en-GB"/>
        </w:rPr>
        <w:t xml:space="preserve"> </w:t>
      </w:r>
    </w:p>
    <w:p w:rsidRPr="009C48DA" w:rsidR="006D6A27" w:rsidP="00676CA5" w:rsidRDefault="006D6A27" w14:paraId="76D9A3E3" w14:textId="644CA6F0">
      <w:pPr>
        <w:pStyle w:val="TitleBI"/>
        <w:rPr>
          <w:szCs w:val="20"/>
          <w:lang w:val="en-GB"/>
        </w:rPr>
      </w:pPr>
      <w:r w:rsidRPr="009C48DA">
        <w:rPr>
          <w:szCs w:val="20"/>
          <w:lang w:val="en-GB"/>
        </w:rPr>
        <w:t xml:space="preserve">Valuation methodologies for certain assets in the </w:t>
      </w:r>
      <w:bookmarkStart w:name="_9kMI22I7aXv6AA8BFPLzmlnx822EhdI28" w:id="424"/>
      <w:r w:rsidRPr="009C48DA" w:rsidR="00BB773E">
        <w:rPr>
          <w:rFonts w:eastAsia="Calibri" w:cs="Arial"/>
          <w:szCs w:val="20"/>
          <w:lang w:val="en-GB"/>
        </w:rPr>
        <w:t>Bridgepoint</w:t>
      </w:r>
      <w:r w:rsidRPr="009C48DA" w:rsidR="00BB773E">
        <w:rPr>
          <w:szCs w:val="20"/>
          <w:lang w:val="en-GB"/>
        </w:rPr>
        <w:t xml:space="preserve"> </w:t>
      </w:r>
      <w:r w:rsidRPr="009C48DA">
        <w:rPr>
          <w:szCs w:val="20"/>
          <w:lang w:val="en-GB"/>
        </w:rPr>
        <w:t>Funds</w:t>
      </w:r>
      <w:bookmarkEnd w:id="424"/>
      <w:r w:rsidRPr="009C48DA">
        <w:rPr>
          <w:szCs w:val="20"/>
          <w:lang w:val="en-GB"/>
        </w:rPr>
        <w:t xml:space="preserve"> involve subjective judgments and assumptions and the fair value of assets established pursuant to such methodologies could, therefore, be incorrect, which could result in the misstatement of fund performance, accrued carried interest and </w:t>
      </w:r>
      <w:r w:rsidRPr="009C48DA" w:rsidR="00F20A2B">
        <w:rPr>
          <w:szCs w:val="20"/>
          <w:lang w:val="en-GB"/>
        </w:rPr>
        <w:t>i</w:t>
      </w:r>
      <w:r w:rsidRPr="009C48DA">
        <w:rPr>
          <w:szCs w:val="20"/>
          <w:lang w:val="en-GB"/>
        </w:rPr>
        <w:t>ncome</w:t>
      </w:r>
      <w:r w:rsidRPr="009C48DA" w:rsidR="00D43E9F">
        <w:rPr>
          <w:szCs w:val="20"/>
          <w:lang w:val="en-GB"/>
        </w:rPr>
        <w:t xml:space="preserve"> from the fair value remeasurement of investments</w:t>
      </w:r>
      <w:r w:rsidRPr="009C48DA">
        <w:rPr>
          <w:szCs w:val="20"/>
          <w:lang w:val="en-GB"/>
        </w:rPr>
        <w:t>.</w:t>
      </w:r>
    </w:p>
    <w:p w:rsidRPr="009C48DA" w:rsidR="006D6A27" w:rsidP="00676CA5" w:rsidRDefault="006D6A27" w14:paraId="167140EA" w14:textId="60BDBF6B">
      <w:pPr>
        <w:pStyle w:val="BodyText2SglJ"/>
        <w:rPr>
          <w:rFonts w:eastAsia="Calibri" w:cs="Arial"/>
          <w:szCs w:val="20"/>
          <w:lang w:val="en-GB"/>
        </w:rPr>
      </w:pPr>
      <w:r w:rsidRPr="009C48DA">
        <w:rPr>
          <w:rFonts w:eastAsia="Calibri" w:cs="Arial"/>
          <w:szCs w:val="20"/>
          <w:lang w:val="en-GB"/>
        </w:rPr>
        <w:t xml:space="preserve">Valuation methodologies for investments held by the </w:t>
      </w:r>
      <w:bookmarkStart w:name="_9kMI23J7aXv6AA8BFPLzmlnx822EhdI28" w:id="425"/>
      <w:r w:rsidRPr="009C48DA" w:rsidR="00BB773E">
        <w:rPr>
          <w:rFonts w:eastAsia="Calibri" w:cs="Arial"/>
          <w:szCs w:val="20"/>
          <w:lang w:val="en-GB"/>
        </w:rPr>
        <w:t xml:space="preserve">Bridgepoint </w:t>
      </w:r>
      <w:r w:rsidRPr="009C48DA">
        <w:rPr>
          <w:rFonts w:eastAsia="Calibri" w:cs="Arial"/>
          <w:szCs w:val="20"/>
          <w:lang w:val="en-GB"/>
        </w:rPr>
        <w:t>Funds</w:t>
      </w:r>
      <w:bookmarkEnd w:id="425"/>
      <w:r w:rsidRPr="009C48DA">
        <w:rPr>
          <w:rFonts w:eastAsia="Calibri" w:cs="Arial"/>
          <w:szCs w:val="20"/>
          <w:lang w:val="en-GB"/>
        </w:rPr>
        <w:t xml:space="preserve"> can involve subjective judgments, and the fair value of assets established pursuant to such methodologies may </w:t>
      </w:r>
      <w:r w:rsidRPr="009C48DA">
        <w:rPr>
          <w:rFonts w:eastAsia="Times New Roman" w:cs="Times New Roman"/>
          <w:color w:val="231F20"/>
          <w:szCs w:val="20"/>
          <w:lang w:val="en-GB"/>
        </w:rPr>
        <w:t>therefore</w:t>
      </w:r>
      <w:r w:rsidRPr="009C48DA">
        <w:rPr>
          <w:rFonts w:eastAsia="Calibri" w:cs="Arial"/>
          <w:szCs w:val="20"/>
          <w:lang w:val="en-GB"/>
        </w:rPr>
        <w:t xml:space="preserve"> be incorrect, which could result in the misstatement of fund performance and accrued carried interest fees.</w:t>
      </w:r>
    </w:p>
    <w:p w:rsidRPr="009C48DA" w:rsidR="006D6A27" w:rsidP="00676CA5" w:rsidRDefault="006D6A27" w14:paraId="11D417D1" w14:textId="4FF6AE84">
      <w:pPr>
        <w:pStyle w:val="BodyText2SglJ"/>
        <w:rPr>
          <w:rFonts w:eastAsia="Calibri" w:cs="Arial"/>
          <w:szCs w:val="20"/>
          <w:lang w:val="en-GB"/>
        </w:rPr>
      </w:pPr>
      <w:r w:rsidRPr="009C48DA">
        <w:rPr>
          <w:rFonts w:eastAsia="Calibri" w:cs="Arial"/>
          <w:szCs w:val="20"/>
          <w:lang w:val="en-GB"/>
        </w:rPr>
        <w:t xml:space="preserve">There are often no readily ascertainable market prices for a considerable majority of </w:t>
      </w:r>
      <w:r w:rsidRPr="009C48DA">
        <w:rPr>
          <w:rFonts w:eastAsia="Times New Roman" w:cs="Times New Roman"/>
          <w:color w:val="231F20"/>
          <w:szCs w:val="20"/>
          <w:lang w:val="en-GB"/>
        </w:rPr>
        <w:t>investments</w:t>
      </w:r>
      <w:r w:rsidRPr="009C48DA">
        <w:rPr>
          <w:rFonts w:eastAsia="Calibri" w:cs="Arial"/>
          <w:szCs w:val="20"/>
          <w:lang w:val="en-GB"/>
        </w:rPr>
        <w:t xml:space="preserve"> of the </w:t>
      </w:r>
      <w:bookmarkStart w:name="_9kMI24K7aXv6AA8BFPLzmlnx822EhdI28" w:id="426"/>
      <w:r w:rsidRPr="009C48DA" w:rsidR="00BB773E">
        <w:rPr>
          <w:rFonts w:eastAsia="Calibri" w:cs="Arial"/>
          <w:szCs w:val="20"/>
          <w:lang w:val="en-GB"/>
        </w:rPr>
        <w:t xml:space="preserve">Bridgepoint </w:t>
      </w:r>
      <w:r w:rsidRPr="009C48DA">
        <w:rPr>
          <w:rFonts w:eastAsia="Calibri" w:cs="Arial"/>
          <w:szCs w:val="20"/>
          <w:lang w:val="en-GB"/>
        </w:rPr>
        <w:t>Funds</w:t>
      </w:r>
      <w:bookmarkEnd w:id="426"/>
      <w:r w:rsidRPr="009C48DA">
        <w:rPr>
          <w:rFonts w:eastAsia="Calibri" w:cs="Arial"/>
          <w:szCs w:val="20"/>
          <w:lang w:val="en-GB"/>
        </w:rPr>
        <w:t xml:space="preserve">. Currently, investments in non-listed companies comprise a substantial majority of the </w:t>
      </w:r>
      <w:bookmarkStart w:name="_9kMI25L7aXv6AA8BFPLzmlnx822EhdI28" w:id="427"/>
      <w:r w:rsidRPr="009C48DA" w:rsidR="00BB773E">
        <w:rPr>
          <w:rFonts w:eastAsia="Calibri" w:cs="Arial"/>
          <w:szCs w:val="20"/>
          <w:lang w:val="en-GB"/>
        </w:rPr>
        <w:t xml:space="preserve">Bridgepoint </w:t>
      </w:r>
      <w:r w:rsidRPr="009C48DA">
        <w:rPr>
          <w:rFonts w:eastAsia="Calibri" w:cs="Arial"/>
          <w:szCs w:val="20"/>
          <w:lang w:val="en-GB"/>
        </w:rPr>
        <w:t>Funds’</w:t>
      </w:r>
      <w:bookmarkEnd w:id="427"/>
      <w:r w:rsidRPr="009C48DA">
        <w:rPr>
          <w:rFonts w:eastAsia="Calibri" w:cs="Arial"/>
          <w:szCs w:val="20"/>
          <w:lang w:val="en-GB"/>
        </w:rPr>
        <w:t xml:space="preserve"> investments in portfolio companies. Valuations of the investments held by </w:t>
      </w:r>
      <w:bookmarkStart w:name="_9kMI26M7aXv6AA8BFPLzmlnx822EhdI28" w:id="428"/>
      <w:r w:rsidRPr="009C48DA" w:rsidR="00BB773E">
        <w:rPr>
          <w:rFonts w:eastAsia="Calibri" w:cs="Arial"/>
          <w:szCs w:val="20"/>
          <w:lang w:val="en-GB"/>
        </w:rPr>
        <w:t xml:space="preserve">Bridgepoint </w:t>
      </w:r>
      <w:r w:rsidRPr="009C48DA">
        <w:rPr>
          <w:rFonts w:eastAsia="Calibri" w:cs="Arial"/>
          <w:szCs w:val="20"/>
          <w:lang w:val="en-GB"/>
        </w:rPr>
        <w:t>Funds</w:t>
      </w:r>
      <w:bookmarkEnd w:id="428"/>
      <w:r w:rsidRPr="009C48DA">
        <w:rPr>
          <w:rFonts w:eastAsia="Calibri" w:cs="Arial"/>
          <w:szCs w:val="20"/>
          <w:lang w:val="en-GB"/>
        </w:rPr>
        <w:t xml:space="preserve"> are generally prepared in line with applicable and recognised valuation processes and procedures, for example</w:t>
      </w:r>
      <w:r w:rsidRPr="009C48DA" w:rsidR="00461973">
        <w:rPr>
          <w:rFonts w:eastAsia="Calibri" w:cs="Arial"/>
          <w:szCs w:val="20"/>
          <w:lang w:val="en-GB"/>
        </w:rPr>
        <w:t>,</w:t>
      </w:r>
      <w:r w:rsidRPr="009C48DA">
        <w:rPr>
          <w:rFonts w:eastAsia="Calibri" w:cs="Arial"/>
          <w:szCs w:val="20"/>
          <w:lang w:val="en-GB"/>
        </w:rPr>
        <w:t xml:space="preserve"> in respect of private equity investments in accordance with the </w:t>
      </w:r>
      <w:bookmarkStart w:name="_9kR3WTr2664BKXK2ut3nu3z5srhi8D65AWdQJJa" w:id="429"/>
      <w:r w:rsidRPr="009C48DA">
        <w:rPr>
          <w:rFonts w:eastAsia="Calibri" w:cs="Arial"/>
          <w:szCs w:val="20"/>
          <w:lang w:val="en-GB"/>
        </w:rPr>
        <w:t>International Private Equity and Venture Capital Valuation Guidelines</w:t>
      </w:r>
      <w:bookmarkEnd w:id="429"/>
      <w:r w:rsidRPr="009C48DA">
        <w:rPr>
          <w:rFonts w:eastAsia="Calibri" w:cs="Arial"/>
          <w:szCs w:val="20"/>
          <w:lang w:val="en-GB"/>
        </w:rPr>
        <w:t xml:space="preserve">. There is a risk that investments held by the </w:t>
      </w:r>
      <w:bookmarkStart w:name="_9kMI27N7aXv6AA8BFPLzmlnx822EhdI28" w:id="430"/>
      <w:r w:rsidRPr="009C48DA" w:rsidR="00BB773E">
        <w:rPr>
          <w:rFonts w:eastAsia="Calibri" w:cs="Arial"/>
          <w:szCs w:val="20"/>
          <w:lang w:val="en-GB"/>
        </w:rPr>
        <w:t xml:space="preserve">Bridgepoint </w:t>
      </w:r>
      <w:r w:rsidRPr="009C48DA">
        <w:rPr>
          <w:rFonts w:eastAsia="Calibri" w:cs="Arial"/>
          <w:szCs w:val="20"/>
          <w:lang w:val="en-GB"/>
        </w:rPr>
        <w:t>Funds</w:t>
      </w:r>
      <w:bookmarkEnd w:id="430"/>
      <w:r w:rsidRPr="009C48DA">
        <w:rPr>
          <w:rFonts w:eastAsia="Calibri" w:cs="Arial"/>
          <w:szCs w:val="20"/>
          <w:lang w:val="en-GB"/>
        </w:rPr>
        <w:t xml:space="preserve"> will not be realised for amounts equal to, or greater than, the amounts at which they are valued, or that the past valuations based on such performance information will not accurately reflect the realisation value of such investments. An investment’s actual realisation value will depend on, among other factors, future operating results of the relevant investment, the value of the assets and market conditions at the time of disposal, any related transaction costs and the timing and manner of sale, all of which may differ from the assumptions on which previous valuations were determined.</w:t>
      </w:r>
    </w:p>
    <w:p w:rsidRPr="009C48DA" w:rsidR="006D6A27" w:rsidP="00676CA5" w:rsidRDefault="006D6A27" w14:paraId="10A2795B" w14:textId="66E5AFCE">
      <w:pPr>
        <w:pStyle w:val="BodyText2SglJ"/>
        <w:rPr>
          <w:rFonts w:eastAsia="Calibri" w:cs="Arial"/>
          <w:szCs w:val="20"/>
          <w:lang w:val="en-GB"/>
        </w:rPr>
      </w:pPr>
      <w:r w:rsidRPr="009C48DA">
        <w:rPr>
          <w:rFonts w:eastAsia="Calibri" w:cs="Arial"/>
          <w:szCs w:val="20"/>
          <w:lang w:val="en-GB"/>
        </w:rPr>
        <w:t xml:space="preserve">Valuations of unrealised investments held by the </w:t>
      </w:r>
      <w:bookmarkStart w:name="_9kMI28O7aXv6AA8BFPLzmlnx822EhdI28" w:id="431"/>
      <w:r w:rsidRPr="009C48DA" w:rsidR="00BB773E">
        <w:rPr>
          <w:rFonts w:eastAsia="Calibri" w:cs="Arial"/>
          <w:szCs w:val="20"/>
          <w:lang w:val="en-GB"/>
        </w:rPr>
        <w:t xml:space="preserve">Bridgepoint </w:t>
      </w:r>
      <w:r w:rsidRPr="009C48DA">
        <w:rPr>
          <w:rFonts w:eastAsia="Calibri" w:cs="Arial"/>
          <w:szCs w:val="20"/>
          <w:lang w:val="en-GB"/>
        </w:rPr>
        <w:t>Funds</w:t>
      </w:r>
      <w:bookmarkEnd w:id="431"/>
      <w:r w:rsidRPr="009C48DA">
        <w:rPr>
          <w:rFonts w:eastAsia="Calibri" w:cs="Arial"/>
          <w:szCs w:val="20"/>
          <w:lang w:val="en-GB"/>
        </w:rPr>
        <w:t xml:space="preserve"> can affect the amount of carried interest generated by the </w:t>
      </w:r>
      <w:bookmarkStart w:name="_9kMI29P7aXv6AA8BFPLzmlnx822EhdI28" w:id="432"/>
      <w:r w:rsidRPr="009C48DA" w:rsidR="00BB773E">
        <w:rPr>
          <w:rFonts w:eastAsia="Calibri" w:cs="Arial"/>
          <w:szCs w:val="20"/>
          <w:lang w:val="en-GB"/>
        </w:rPr>
        <w:t xml:space="preserve">Bridgepoint </w:t>
      </w:r>
      <w:r w:rsidRPr="009C48DA">
        <w:rPr>
          <w:rFonts w:eastAsia="Calibri" w:cs="Arial"/>
          <w:szCs w:val="20"/>
          <w:lang w:val="en-GB"/>
        </w:rPr>
        <w:t>Funds</w:t>
      </w:r>
      <w:bookmarkEnd w:id="432"/>
      <w:r w:rsidRPr="009C48DA">
        <w:rPr>
          <w:rFonts w:eastAsia="Calibri" w:cs="Arial"/>
          <w:szCs w:val="20"/>
          <w:lang w:val="en-GB"/>
        </w:rPr>
        <w:t xml:space="preserve"> in circumstances where unrealised investments are written off or written down in value. To the extent that a valuation is incorrect, this may result in a recognition of revenue from carried interest, a subsequent reduction of which could ultimately reduce the </w:t>
      </w:r>
      <w:bookmarkStart w:name="_9kMJ9BL7aXv6AA8BKULzmlnx822EibGKM" w:id="433"/>
      <w:r w:rsidRPr="009C48DA">
        <w:rPr>
          <w:rFonts w:eastAsia="Calibri" w:cs="Arial"/>
          <w:szCs w:val="20"/>
          <w:lang w:val="en-GB"/>
        </w:rPr>
        <w:t>Group’s</w:t>
      </w:r>
      <w:bookmarkEnd w:id="433"/>
      <w:r w:rsidRPr="009C48DA">
        <w:rPr>
          <w:rFonts w:eastAsia="Calibri" w:cs="Arial"/>
          <w:szCs w:val="20"/>
          <w:lang w:val="en-GB"/>
        </w:rPr>
        <w:t xml:space="preserve"> profitability. Moreover, if realisations of the </w:t>
      </w:r>
      <w:bookmarkStart w:name="_9kMI2AQ7aXv6AA8BFPLzmlnx822EhdI28" w:id="434"/>
      <w:r w:rsidRPr="009C48DA" w:rsidR="00BB773E">
        <w:rPr>
          <w:rFonts w:eastAsia="Calibri" w:cs="Arial"/>
          <w:szCs w:val="20"/>
          <w:lang w:val="en-GB"/>
        </w:rPr>
        <w:t xml:space="preserve">Bridgepoint </w:t>
      </w:r>
      <w:r w:rsidRPr="009C48DA">
        <w:rPr>
          <w:rFonts w:eastAsia="Calibri" w:cs="Arial"/>
          <w:szCs w:val="20"/>
          <w:lang w:val="en-GB"/>
        </w:rPr>
        <w:t>Funds’</w:t>
      </w:r>
      <w:bookmarkEnd w:id="434"/>
      <w:r w:rsidRPr="009C48DA">
        <w:rPr>
          <w:rFonts w:eastAsia="Calibri" w:cs="Arial"/>
          <w:szCs w:val="20"/>
          <w:lang w:val="en-GB"/>
        </w:rPr>
        <w:t xml:space="preserve"> investments produce values materially different than the carrying values reflected in prior fund net asset values, </w:t>
      </w:r>
      <w:bookmarkStart w:name="_9kMJ6L6ZWu5997DLWR6qMRB31HEDI" w:id="435"/>
      <w:r w:rsidRPr="009C48DA">
        <w:rPr>
          <w:rFonts w:eastAsia="Calibri" w:cs="Arial"/>
          <w:szCs w:val="20"/>
          <w:lang w:val="en-GB"/>
        </w:rPr>
        <w:t>fund investors</w:t>
      </w:r>
      <w:bookmarkEnd w:id="435"/>
      <w:r w:rsidRPr="009C48DA">
        <w:rPr>
          <w:rFonts w:eastAsia="Calibri" w:cs="Arial"/>
          <w:szCs w:val="20"/>
          <w:lang w:val="en-GB"/>
        </w:rPr>
        <w:t xml:space="preserve"> may lose confidence in </w:t>
      </w:r>
      <w:r w:rsidRPr="009C48DA" w:rsidR="00BB773E">
        <w:rPr>
          <w:rFonts w:eastAsia="Calibri" w:cs="Arial"/>
          <w:szCs w:val="20"/>
          <w:lang w:val="en-GB"/>
        </w:rPr>
        <w:t>Bridgepoint</w:t>
      </w:r>
      <w:r w:rsidRPr="009C48DA">
        <w:rPr>
          <w:rFonts w:eastAsia="Calibri" w:cs="Arial"/>
          <w:szCs w:val="20"/>
          <w:lang w:val="en-GB"/>
        </w:rPr>
        <w:t xml:space="preserve">, which could in turn result in difficulty in raising capital for future funds. Valuation of unrealised investments held by the </w:t>
      </w:r>
      <w:bookmarkStart w:name="_9kMI32H7aXv6AA8BFPLzmlnx822EhdI28" w:id="436"/>
      <w:r w:rsidRPr="009C48DA" w:rsidR="00BB773E">
        <w:rPr>
          <w:rFonts w:eastAsia="Calibri" w:cs="Arial"/>
          <w:szCs w:val="20"/>
          <w:lang w:val="en-GB"/>
        </w:rPr>
        <w:t xml:space="preserve">Bridgepoint </w:t>
      </w:r>
      <w:r w:rsidRPr="009C48DA">
        <w:rPr>
          <w:rFonts w:eastAsia="Calibri" w:cs="Arial"/>
          <w:szCs w:val="20"/>
          <w:lang w:val="en-GB"/>
        </w:rPr>
        <w:t>Funds</w:t>
      </w:r>
      <w:bookmarkEnd w:id="436"/>
      <w:r w:rsidRPr="009C48DA">
        <w:rPr>
          <w:rFonts w:eastAsia="Calibri" w:cs="Arial"/>
          <w:szCs w:val="20"/>
          <w:lang w:val="en-GB"/>
        </w:rPr>
        <w:t xml:space="preserve"> could also affect management fees in the case of a liquidation of a portfolio company of a </w:t>
      </w:r>
      <w:bookmarkStart w:name="_9kMI33I7aXv6AA8BFPLzmlnx822EhdI28" w:id="437"/>
      <w:r w:rsidRPr="009C48DA" w:rsidR="00BB773E">
        <w:rPr>
          <w:rFonts w:eastAsia="Calibri" w:cs="Arial"/>
          <w:szCs w:val="20"/>
          <w:lang w:val="en-GB"/>
        </w:rPr>
        <w:t xml:space="preserve">Bridgepoint </w:t>
      </w:r>
      <w:r w:rsidRPr="009C48DA">
        <w:rPr>
          <w:rFonts w:eastAsia="Calibri" w:cs="Arial"/>
          <w:szCs w:val="20"/>
          <w:lang w:val="en-GB"/>
        </w:rPr>
        <w:t>Fund</w:t>
      </w:r>
      <w:bookmarkEnd w:id="437"/>
      <w:r w:rsidRPr="009C48DA">
        <w:rPr>
          <w:rFonts w:eastAsia="Calibri" w:cs="Arial"/>
          <w:szCs w:val="20"/>
          <w:lang w:val="en-GB"/>
        </w:rPr>
        <w:t xml:space="preserve">, whereby the investment is considered written off and therefore realised and the invested capital is deducted from the base on which management fee is calculated, which could have an effect on the income from management fees received by the Group from existing </w:t>
      </w:r>
      <w:bookmarkStart w:name="_9kMI34J7aXv6AA8BFPLzmlnx822EhdI28" w:id="438"/>
      <w:r w:rsidRPr="009C48DA" w:rsidR="00BB773E">
        <w:rPr>
          <w:rFonts w:eastAsia="Calibri" w:cs="Arial"/>
          <w:szCs w:val="20"/>
          <w:lang w:val="en-GB"/>
        </w:rPr>
        <w:t xml:space="preserve">Bridgepoint </w:t>
      </w:r>
      <w:r w:rsidRPr="009C48DA">
        <w:rPr>
          <w:rFonts w:eastAsia="Calibri" w:cs="Arial"/>
          <w:szCs w:val="20"/>
          <w:lang w:val="en-GB"/>
        </w:rPr>
        <w:t>Funds</w:t>
      </w:r>
      <w:bookmarkEnd w:id="438"/>
      <w:r w:rsidRPr="009C48DA">
        <w:rPr>
          <w:rFonts w:eastAsia="Calibri" w:cs="Arial"/>
          <w:szCs w:val="20"/>
          <w:lang w:val="en-GB"/>
        </w:rPr>
        <w:t>.</w:t>
      </w:r>
    </w:p>
    <w:p w:rsidRPr="009C48DA" w:rsidR="006D6A27" w:rsidP="00676CA5" w:rsidRDefault="006D6A27" w14:paraId="44165606" w14:textId="01C45B50">
      <w:pPr>
        <w:pStyle w:val="BodyText2SglJ"/>
        <w:rPr>
          <w:rFonts w:eastAsia="Calibri" w:cs="Arial"/>
          <w:szCs w:val="20"/>
          <w:lang w:val="en-GB"/>
        </w:rPr>
      </w:pPr>
      <w:r w:rsidRPr="009C48DA">
        <w:rPr>
          <w:rFonts w:eastAsia="Calibri" w:cs="Arial"/>
          <w:szCs w:val="20"/>
          <w:lang w:val="en-GB"/>
        </w:rPr>
        <w:t xml:space="preserve">Changes in values attributed to investments from time to time may result in volatility in the </w:t>
      </w:r>
      <w:r w:rsidRPr="009C48DA">
        <w:rPr>
          <w:rFonts w:eastAsia="Times New Roman" w:cs="Times New Roman"/>
          <w:color w:val="231F20"/>
          <w:szCs w:val="20"/>
          <w:lang w:val="en-GB"/>
        </w:rPr>
        <w:t>results</w:t>
      </w:r>
      <w:r w:rsidRPr="009C48DA">
        <w:rPr>
          <w:rFonts w:eastAsia="Calibri" w:cs="Arial"/>
          <w:szCs w:val="20"/>
          <w:lang w:val="en-GB"/>
        </w:rPr>
        <w:t xml:space="preserve"> of operations that </w:t>
      </w:r>
      <w:bookmarkStart w:name="_9kMI35K7aXv6AA8BFPLzmlnx822EhdI28" w:id="439"/>
      <w:r w:rsidRPr="009C48DA" w:rsidR="00CE3171">
        <w:rPr>
          <w:rFonts w:eastAsia="Calibri" w:cs="Arial"/>
          <w:szCs w:val="20"/>
          <w:lang w:val="en-GB"/>
        </w:rPr>
        <w:t xml:space="preserve">the </w:t>
      </w:r>
      <w:r w:rsidRPr="009C48DA" w:rsidR="00BB773E">
        <w:rPr>
          <w:rFonts w:eastAsia="Calibri" w:cs="Arial"/>
          <w:szCs w:val="20"/>
          <w:lang w:val="en-GB"/>
        </w:rPr>
        <w:t xml:space="preserve">Bridgepoint </w:t>
      </w:r>
      <w:r w:rsidRPr="009C48DA">
        <w:rPr>
          <w:rFonts w:eastAsia="Calibri" w:cs="Arial"/>
          <w:szCs w:val="20"/>
          <w:lang w:val="en-GB"/>
        </w:rPr>
        <w:t>Funds</w:t>
      </w:r>
      <w:bookmarkEnd w:id="439"/>
      <w:r w:rsidRPr="009C48DA">
        <w:rPr>
          <w:rFonts w:eastAsia="Calibri" w:cs="Arial"/>
          <w:szCs w:val="20"/>
          <w:lang w:val="en-GB"/>
        </w:rPr>
        <w:t xml:space="preserve"> and the Group report from period to period. Moreover, a situation where asset values turn out to be materially different to those values previously realised could cause </w:t>
      </w:r>
      <w:bookmarkStart w:name="_9kMJ7M6ZWu5997DLWR6qMRB31HEDI" w:id="440"/>
      <w:r w:rsidRPr="009C48DA">
        <w:rPr>
          <w:rFonts w:eastAsia="Calibri" w:cs="Arial"/>
          <w:szCs w:val="20"/>
          <w:lang w:val="en-GB"/>
        </w:rPr>
        <w:t>fund investors</w:t>
      </w:r>
      <w:bookmarkEnd w:id="440"/>
      <w:r w:rsidRPr="009C48DA">
        <w:rPr>
          <w:rFonts w:eastAsia="Calibri" w:cs="Arial"/>
          <w:szCs w:val="20"/>
          <w:lang w:val="en-GB"/>
        </w:rPr>
        <w:t xml:space="preserve"> to lose confidence in the Group, which could in turn result in difficulty in raising capital for additional funds.</w:t>
      </w:r>
    </w:p>
    <w:p w:rsidRPr="009C48DA" w:rsidR="006D6A27" w:rsidP="000C376E" w:rsidRDefault="007F4D66" w14:paraId="27EF0656" w14:textId="174702DC">
      <w:pPr>
        <w:pStyle w:val="TitleBAllCaps"/>
      </w:pPr>
      <w:r w:rsidRPr="009C48DA">
        <w:t>Tax Risks</w:t>
      </w:r>
    </w:p>
    <w:p w:rsidRPr="009C48DA" w:rsidR="006D6A27" w:rsidP="00E6792A" w:rsidRDefault="006D6A27" w14:paraId="7A4AEE3E" w14:textId="77777777">
      <w:pPr>
        <w:pStyle w:val="TitleBI"/>
        <w:rPr>
          <w:rFonts w:cs="Arial"/>
          <w:szCs w:val="20"/>
          <w:lang w:val="en-GB"/>
        </w:rPr>
      </w:pPr>
      <w:r w:rsidRPr="009C48DA">
        <w:rPr>
          <w:szCs w:val="20"/>
          <w:lang w:val="en-GB"/>
        </w:rPr>
        <w:t xml:space="preserve">Due to the nature of its </w:t>
      </w:r>
      <w:r w:rsidRPr="009C48DA">
        <w:rPr>
          <w:rFonts w:cs="Arial"/>
          <w:szCs w:val="20"/>
          <w:lang w:val="en-GB"/>
        </w:rPr>
        <w:t xml:space="preserve">business, the Group is subject to taxation in a number of jurisdictions and changes in, or new interpretation of, tax laws, tax rulings or their application by tax authorities could result in additional tax liabilities </w:t>
      </w:r>
      <w:r w:rsidRPr="009C48DA">
        <w:rPr>
          <w:szCs w:val="20"/>
          <w:lang w:val="en-GB"/>
        </w:rPr>
        <w:t xml:space="preserve">and could materially affect its </w:t>
      </w:r>
      <w:r w:rsidRPr="009C48DA">
        <w:rPr>
          <w:rFonts w:cs="Arial"/>
          <w:szCs w:val="20"/>
          <w:lang w:val="en-GB"/>
        </w:rPr>
        <w:t>business, financial condition and results of operations.</w:t>
      </w:r>
    </w:p>
    <w:p w:rsidRPr="009C48DA" w:rsidR="006D6A27" w:rsidP="00E6792A" w:rsidRDefault="006D6A27" w14:paraId="27A2B08B" w14:textId="009ABA40">
      <w:pPr>
        <w:pStyle w:val="BlockTextSglJ"/>
        <w:ind w:firstLine="720"/>
        <w:rPr>
          <w:rFonts w:cs="Arial"/>
          <w:szCs w:val="20"/>
          <w:lang w:val="en-GB"/>
        </w:rPr>
      </w:pPr>
      <w:r w:rsidRPr="009C48DA">
        <w:rPr>
          <w:rFonts w:cs="Arial"/>
          <w:szCs w:val="20"/>
          <w:lang w:val="en-GB"/>
        </w:rPr>
        <w:t>The Group is subject to tax in a number of jurisdictions and the tax</w:t>
      </w:r>
      <w:r w:rsidRPr="009C48DA">
        <w:rPr>
          <w:szCs w:val="20"/>
          <w:lang w:val="en-GB"/>
        </w:rPr>
        <w:t xml:space="preserve"> laws that are applicable to its</w:t>
      </w:r>
      <w:r w:rsidRPr="009C48DA">
        <w:rPr>
          <w:rFonts w:cs="Arial"/>
          <w:szCs w:val="20"/>
          <w:lang w:val="en-GB"/>
        </w:rPr>
        <w:t xml:space="preserve"> business are subject to interpretation, and significant judgmen</w:t>
      </w:r>
      <w:r w:rsidRPr="009C48DA">
        <w:rPr>
          <w:szCs w:val="20"/>
          <w:lang w:val="en-GB"/>
        </w:rPr>
        <w:t>t is required in determining the Group’s</w:t>
      </w:r>
      <w:r w:rsidRPr="009C48DA">
        <w:rPr>
          <w:rFonts w:cs="Arial"/>
          <w:szCs w:val="20"/>
          <w:lang w:val="en-GB"/>
        </w:rPr>
        <w:t xml:space="preserve"> </w:t>
      </w:r>
      <w:r w:rsidRPr="009C48DA">
        <w:rPr>
          <w:rFonts w:cs="Arial"/>
          <w:szCs w:val="20"/>
          <w:lang w:val="en-GB"/>
        </w:rPr>
        <w:lastRenderedPageBreak/>
        <w:t>worldwide provision for taxes, deferred tax assets or li</w:t>
      </w:r>
      <w:r w:rsidRPr="009C48DA">
        <w:rPr>
          <w:szCs w:val="20"/>
          <w:lang w:val="en-GB"/>
        </w:rPr>
        <w:t xml:space="preserve">abilities and in evaluating its </w:t>
      </w:r>
      <w:r w:rsidRPr="009C48DA">
        <w:rPr>
          <w:rFonts w:cs="Arial"/>
          <w:szCs w:val="20"/>
          <w:lang w:val="en-GB"/>
        </w:rPr>
        <w:t xml:space="preserve">tax </w:t>
      </w:r>
      <w:r w:rsidRPr="009C48DA">
        <w:rPr>
          <w:szCs w:val="20"/>
          <w:lang w:val="en-GB"/>
        </w:rPr>
        <w:t xml:space="preserve">positions. In the course of the Group’s </w:t>
      </w:r>
      <w:r w:rsidRPr="009C48DA">
        <w:rPr>
          <w:rFonts w:cs="Arial"/>
          <w:szCs w:val="20"/>
          <w:lang w:val="en-GB"/>
        </w:rPr>
        <w:t>business, there will be many transactions and calculations where the ultimate tax determination</w:t>
      </w:r>
      <w:r w:rsidRPr="009C48DA">
        <w:rPr>
          <w:szCs w:val="20"/>
          <w:lang w:val="en-GB"/>
        </w:rPr>
        <w:t xml:space="preserve"> is uncertain and as the Group </w:t>
      </w:r>
      <w:r w:rsidRPr="009C48DA">
        <w:rPr>
          <w:rFonts w:cs="Arial"/>
          <w:szCs w:val="20"/>
          <w:lang w:val="en-GB"/>
        </w:rPr>
        <w:t>gather</w:t>
      </w:r>
      <w:r w:rsidRPr="009C48DA" w:rsidR="00F20A2B">
        <w:rPr>
          <w:rFonts w:cs="Arial"/>
          <w:szCs w:val="20"/>
          <w:lang w:val="en-GB"/>
        </w:rPr>
        <w:t>s</w:t>
      </w:r>
      <w:r w:rsidRPr="009C48DA">
        <w:rPr>
          <w:rFonts w:cs="Arial"/>
          <w:szCs w:val="20"/>
          <w:lang w:val="en-GB"/>
        </w:rPr>
        <w:t xml:space="preserve"> more information</w:t>
      </w:r>
      <w:r w:rsidRPr="009C48DA">
        <w:rPr>
          <w:szCs w:val="20"/>
          <w:lang w:val="en-GB"/>
        </w:rPr>
        <w:t xml:space="preserve"> and perform</w:t>
      </w:r>
      <w:r w:rsidRPr="009C48DA" w:rsidR="00F20A2B">
        <w:rPr>
          <w:szCs w:val="20"/>
          <w:lang w:val="en-GB"/>
        </w:rPr>
        <w:t>s</w:t>
      </w:r>
      <w:r w:rsidRPr="009C48DA">
        <w:rPr>
          <w:szCs w:val="20"/>
          <w:lang w:val="en-GB"/>
        </w:rPr>
        <w:t xml:space="preserve"> more analysis, its </w:t>
      </w:r>
      <w:r w:rsidRPr="009C48DA" w:rsidR="00F20A2B">
        <w:rPr>
          <w:rFonts w:cs="Arial"/>
          <w:szCs w:val="20"/>
          <w:lang w:val="en-GB"/>
        </w:rPr>
        <w:t>calculation</w:t>
      </w:r>
      <w:r w:rsidRPr="009C48DA">
        <w:rPr>
          <w:rFonts w:cs="Arial"/>
          <w:szCs w:val="20"/>
          <w:lang w:val="en-GB"/>
        </w:rPr>
        <w:t xml:space="preserve"> may differ from previous estimate</w:t>
      </w:r>
      <w:r w:rsidRPr="009C48DA">
        <w:rPr>
          <w:szCs w:val="20"/>
          <w:lang w:val="en-GB"/>
        </w:rPr>
        <w:t xml:space="preserve">s and may materially affect its </w:t>
      </w:r>
      <w:r w:rsidRPr="009C48DA">
        <w:rPr>
          <w:rFonts w:cs="Arial"/>
          <w:szCs w:val="20"/>
          <w:lang w:val="en-GB"/>
        </w:rPr>
        <w:t>consolidated financial statements.</w:t>
      </w:r>
    </w:p>
    <w:p w:rsidRPr="009C48DA" w:rsidR="006D6A27" w:rsidP="00E6792A" w:rsidRDefault="006D6A27" w14:paraId="275B8D41" w14:textId="79907A49">
      <w:pPr>
        <w:pStyle w:val="BlockTextSglJ"/>
        <w:ind w:firstLine="720"/>
        <w:rPr>
          <w:rFonts w:cs="Arial"/>
          <w:szCs w:val="20"/>
          <w:lang w:val="en-GB"/>
        </w:rPr>
      </w:pPr>
      <w:r w:rsidRPr="009C48DA">
        <w:rPr>
          <w:rFonts w:cs="Arial"/>
          <w:szCs w:val="20"/>
          <w:lang w:val="en-GB"/>
        </w:rPr>
        <w:t xml:space="preserve">Changes in tax rates, enactment of new tax laws and regulations, revisions </w:t>
      </w:r>
      <w:r w:rsidRPr="009C48DA" w:rsidR="00224F74">
        <w:rPr>
          <w:rFonts w:cs="Arial"/>
          <w:szCs w:val="20"/>
          <w:lang w:val="en-GB"/>
        </w:rPr>
        <w:t xml:space="preserve">and adverse interpretations </w:t>
      </w:r>
      <w:r w:rsidRPr="009C48DA">
        <w:rPr>
          <w:rFonts w:cs="Arial"/>
          <w:szCs w:val="20"/>
          <w:lang w:val="en-GB"/>
        </w:rPr>
        <w:t>of existing tax laws and regulations and enquiries by or litigation with taxing authorities may require significant judgment in determining the appropriate provision and related accruals for these taxes which may change as a result and such changes, enactments, revisions, enquiries and litigation could also result in substantially higher taxes</w:t>
      </w:r>
      <w:r w:rsidRPr="009C48DA" w:rsidR="00224F74">
        <w:rPr>
          <w:rFonts w:cs="Arial"/>
          <w:szCs w:val="20"/>
          <w:lang w:val="en-GB"/>
        </w:rPr>
        <w:t xml:space="preserve"> and an increase of the Group’s effective tax rate</w:t>
      </w:r>
      <w:r w:rsidRPr="009C48DA">
        <w:rPr>
          <w:rFonts w:cs="Arial"/>
          <w:szCs w:val="20"/>
          <w:lang w:val="en-GB"/>
        </w:rPr>
        <w:t xml:space="preserve">. This could have a significant </w:t>
      </w:r>
      <w:r w:rsidRPr="009C48DA">
        <w:rPr>
          <w:szCs w:val="20"/>
          <w:lang w:val="en-GB"/>
        </w:rPr>
        <w:t xml:space="preserve">adverse effect on the Group’s </w:t>
      </w:r>
      <w:r w:rsidRPr="009C48DA">
        <w:rPr>
          <w:rFonts w:cs="Arial"/>
          <w:szCs w:val="20"/>
          <w:lang w:val="en-GB"/>
        </w:rPr>
        <w:t>financial condition and results of operations. In this regard, the UK</w:t>
      </w:r>
      <w:r w:rsidRPr="009C48DA" w:rsidR="00491908">
        <w:rPr>
          <w:rFonts w:cs="Arial"/>
          <w:szCs w:val="20"/>
          <w:lang w:val="en-GB"/>
        </w:rPr>
        <w:t>, the European Union and its member s</w:t>
      </w:r>
      <w:r w:rsidRPr="009C48DA">
        <w:rPr>
          <w:rFonts w:cs="Arial"/>
          <w:szCs w:val="20"/>
          <w:lang w:val="en-GB"/>
        </w:rPr>
        <w:t xml:space="preserve">tates along with numerous other countries are currently engaged in establishing fundamental changes to tax laws affecting the taxation of multinational corporations, including pursuant to the Organization for Economic Co-operation and Development’s Base Erosion and Profit Shifting initiative. Any such developments </w:t>
      </w:r>
      <w:r w:rsidRPr="009C48DA">
        <w:rPr>
          <w:szCs w:val="20"/>
          <w:lang w:val="en-GB"/>
        </w:rPr>
        <w:t xml:space="preserve">could materially affect </w:t>
      </w:r>
      <w:r w:rsidRPr="009C48DA" w:rsidR="00F20A2B">
        <w:rPr>
          <w:szCs w:val="20"/>
          <w:lang w:val="en-GB"/>
        </w:rPr>
        <w:t>the Group’s</w:t>
      </w:r>
      <w:r w:rsidRPr="009C48DA">
        <w:rPr>
          <w:rFonts w:cs="Arial"/>
          <w:szCs w:val="20"/>
          <w:lang w:val="en-GB"/>
        </w:rPr>
        <w:t xml:space="preserve"> tax burden and/</w:t>
      </w:r>
      <w:r w:rsidRPr="009C48DA">
        <w:rPr>
          <w:szCs w:val="20"/>
          <w:lang w:val="en-GB"/>
        </w:rPr>
        <w:t>or have a negative impact on its</w:t>
      </w:r>
      <w:r w:rsidRPr="009C48DA">
        <w:rPr>
          <w:rFonts w:cs="Arial"/>
          <w:szCs w:val="20"/>
          <w:lang w:val="en-GB"/>
        </w:rPr>
        <w:t xml:space="preserve"> ability to compete in the global marketplace.</w:t>
      </w:r>
    </w:p>
    <w:p w:rsidRPr="009C48DA" w:rsidR="006D6A27" w:rsidP="00E6792A" w:rsidRDefault="006D6A27" w14:paraId="7E46B866" w14:textId="77777777">
      <w:pPr>
        <w:pStyle w:val="TitleBI"/>
        <w:rPr>
          <w:rFonts w:cs="Arial"/>
          <w:szCs w:val="20"/>
          <w:lang w:val="en-GB"/>
        </w:rPr>
      </w:pPr>
      <w:r w:rsidRPr="009C48DA">
        <w:rPr>
          <w:szCs w:val="20"/>
          <w:lang w:val="en-GB"/>
        </w:rPr>
        <w:t>The Group is</w:t>
      </w:r>
      <w:r w:rsidRPr="009C48DA">
        <w:rPr>
          <w:rFonts w:cs="Arial"/>
          <w:szCs w:val="20"/>
          <w:lang w:val="en-GB"/>
        </w:rPr>
        <w:t xml:space="preserve"> subject to periodic audits and examinations by taxing authorities, the results of </w:t>
      </w:r>
      <w:r w:rsidRPr="009C48DA">
        <w:rPr>
          <w:szCs w:val="20"/>
          <w:lang w:val="en-GB"/>
        </w:rPr>
        <w:t xml:space="preserve">which may materially impact the Group’s </w:t>
      </w:r>
      <w:r w:rsidRPr="009C48DA">
        <w:rPr>
          <w:rFonts w:cs="Arial"/>
          <w:szCs w:val="20"/>
          <w:lang w:val="en-GB"/>
        </w:rPr>
        <w:t>business, financial condition and results of operations in the period in which the audit or examination occurs.</w:t>
      </w:r>
    </w:p>
    <w:p w:rsidRPr="009C48DA" w:rsidR="006D6A27" w:rsidP="00E6792A" w:rsidRDefault="006D6A27" w14:paraId="7A1D0D53" w14:textId="0BA27195">
      <w:pPr>
        <w:pStyle w:val="BlockTextSglJ"/>
        <w:ind w:firstLine="720"/>
        <w:rPr>
          <w:rFonts w:cs="Arial"/>
          <w:szCs w:val="20"/>
          <w:lang w:val="en-GB"/>
        </w:rPr>
      </w:pPr>
      <w:r w:rsidRPr="009C48DA">
        <w:rPr>
          <w:szCs w:val="20"/>
          <w:lang w:val="en-GB"/>
        </w:rPr>
        <w:t>The Group is</w:t>
      </w:r>
      <w:r w:rsidRPr="009C48DA">
        <w:rPr>
          <w:rFonts w:cs="Arial"/>
          <w:szCs w:val="20"/>
          <w:lang w:val="en-GB"/>
        </w:rPr>
        <w:t xml:space="preserve"> subject to periodic review and audit by tax authorities. </w:t>
      </w:r>
      <w:r w:rsidRPr="009C48DA" w:rsidR="00F20A2B">
        <w:rPr>
          <w:rFonts w:cs="Arial"/>
          <w:szCs w:val="20"/>
          <w:lang w:val="en-GB"/>
        </w:rPr>
        <w:t xml:space="preserve">Although the </w:t>
      </w:r>
      <w:r w:rsidRPr="009C48DA" w:rsidR="00D8325E">
        <w:rPr>
          <w:rFonts w:cs="Arial"/>
          <w:szCs w:val="20"/>
          <w:lang w:val="en-GB"/>
        </w:rPr>
        <w:t>Group</w:t>
      </w:r>
      <w:r w:rsidRPr="009C48DA" w:rsidR="00F20A2B">
        <w:rPr>
          <w:rFonts w:cs="Arial"/>
          <w:szCs w:val="20"/>
          <w:lang w:val="en-GB"/>
        </w:rPr>
        <w:t xml:space="preserve"> believes that its tax provisions, positions and estimates are reasonable and appropriate, t</w:t>
      </w:r>
      <w:r w:rsidRPr="009C48DA">
        <w:rPr>
          <w:rFonts w:cs="Arial"/>
          <w:szCs w:val="20"/>
          <w:lang w:val="en-GB"/>
        </w:rPr>
        <w:t>ax authorities may dis</w:t>
      </w:r>
      <w:r w:rsidRPr="009C48DA">
        <w:rPr>
          <w:szCs w:val="20"/>
          <w:lang w:val="en-GB"/>
        </w:rPr>
        <w:t>agree with certain positions the Group ha</w:t>
      </w:r>
      <w:r w:rsidRPr="009C48DA" w:rsidR="00F20A2B">
        <w:rPr>
          <w:szCs w:val="20"/>
          <w:lang w:val="en-GB"/>
        </w:rPr>
        <w:t>s</w:t>
      </w:r>
      <w:r w:rsidRPr="009C48DA">
        <w:rPr>
          <w:szCs w:val="20"/>
          <w:lang w:val="en-GB"/>
        </w:rPr>
        <w:t xml:space="preserve"> taken or that it </w:t>
      </w:r>
      <w:r w:rsidRPr="009C48DA">
        <w:rPr>
          <w:rFonts w:cs="Arial"/>
          <w:szCs w:val="20"/>
          <w:lang w:val="en-GB"/>
        </w:rPr>
        <w:t>will take, and any adverse outcome of such a review or audit could</w:t>
      </w:r>
      <w:r w:rsidRPr="009C48DA">
        <w:rPr>
          <w:szCs w:val="20"/>
          <w:lang w:val="en-GB"/>
        </w:rPr>
        <w:t xml:space="preserve"> have a negative effect on the Group’s </w:t>
      </w:r>
      <w:r w:rsidRPr="009C48DA">
        <w:rPr>
          <w:rFonts w:cs="Arial"/>
          <w:szCs w:val="20"/>
          <w:lang w:val="en-GB"/>
        </w:rPr>
        <w:t>business, financial condition and results of operations</w:t>
      </w:r>
      <w:r w:rsidRPr="009C48DA">
        <w:rPr>
          <w:szCs w:val="20"/>
          <w:lang w:val="en-GB"/>
        </w:rPr>
        <w:t xml:space="preserve">. </w:t>
      </w:r>
      <w:r w:rsidRPr="009C48DA">
        <w:rPr>
          <w:rFonts w:cs="Arial"/>
          <w:szCs w:val="20"/>
          <w:lang w:val="en-GB"/>
        </w:rPr>
        <w:t xml:space="preserve">In addition, economic and political pressures to increase tax revenue in various jurisdictions may make </w:t>
      </w:r>
      <w:r w:rsidRPr="009C48DA" w:rsidR="00F20A2B">
        <w:rPr>
          <w:rFonts w:cs="Arial"/>
          <w:szCs w:val="20"/>
          <w:lang w:val="en-GB"/>
        </w:rPr>
        <w:t>favourable resolution of</w:t>
      </w:r>
      <w:r w:rsidRPr="009C48DA">
        <w:rPr>
          <w:rFonts w:cs="Arial"/>
          <w:szCs w:val="20"/>
          <w:lang w:val="en-GB"/>
        </w:rPr>
        <w:t xml:space="preserve"> tax disputes more difficult. </w:t>
      </w:r>
    </w:p>
    <w:p w:rsidRPr="009C48DA" w:rsidR="006D6A27" w:rsidP="00E6792A" w:rsidRDefault="006D6A27" w14:paraId="7D1E65B6" w14:textId="0BC77B06">
      <w:pPr>
        <w:pStyle w:val="TitleBI"/>
        <w:rPr>
          <w:rFonts w:cs="Arial"/>
          <w:szCs w:val="20"/>
          <w:lang w:val="en-GB"/>
        </w:rPr>
      </w:pPr>
      <w:r w:rsidRPr="009C48DA">
        <w:rPr>
          <w:szCs w:val="20"/>
          <w:lang w:val="en-GB"/>
        </w:rPr>
        <w:t xml:space="preserve">The Group </w:t>
      </w:r>
      <w:r w:rsidRPr="009C48DA">
        <w:rPr>
          <w:rFonts w:cs="Arial"/>
          <w:szCs w:val="20"/>
          <w:lang w:val="en-GB"/>
        </w:rPr>
        <w:t>intend</w:t>
      </w:r>
      <w:r w:rsidRPr="009C48DA">
        <w:rPr>
          <w:szCs w:val="20"/>
          <w:lang w:val="en-GB"/>
        </w:rPr>
        <w:t>s</w:t>
      </w:r>
      <w:r w:rsidRPr="009C48DA">
        <w:rPr>
          <w:rFonts w:cs="Arial"/>
          <w:szCs w:val="20"/>
          <w:lang w:val="en-GB"/>
        </w:rPr>
        <w:t xml:space="preserve"> to operate so as to be treated exclusively as a resident of the UK for tax purposes, but the relevant tax authorities may</w:t>
      </w:r>
      <w:r w:rsidRPr="009C48DA">
        <w:rPr>
          <w:szCs w:val="20"/>
          <w:lang w:val="en-GB"/>
        </w:rPr>
        <w:t xml:space="preserve"> treat it</w:t>
      </w:r>
      <w:r w:rsidRPr="009C48DA">
        <w:rPr>
          <w:rFonts w:cs="Arial"/>
          <w:szCs w:val="20"/>
          <w:lang w:val="en-GB"/>
        </w:rPr>
        <w:t xml:space="preserve"> as also being a resident of another jurisdiction for tax purposes.</w:t>
      </w:r>
    </w:p>
    <w:p w:rsidRPr="009C48DA" w:rsidR="006D6A27" w:rsidP="00E6792A" w:rsidRDefault="006D6A27" w14:paraId="1230F586" w14:textId="27932B5A">
      <w:pPr>
        <w:pStyle w:val="BlockTextSglJ"/>
        <w:ind w:firstLine="720"/>
        <w:rPr>
          <w:rFonts w:cs="Arial"/>
          <w:szCs w:val="20"/>
          <w:lang w:val="en-GB"/>
        </w:rPr>
      </w:pPr>
      <w:r w:rsidRPr="009C48DA">
        <w:rPr>
          <w:szCs w:val="20"/>
          <w:lang w:val="en-GB"/>
        </w:rPr>
        <w:t xml:space="preserve">The Company is </w:t>
      </w:r>
      <w:r w:rsidRPr="009C48DA">
        <w:rPr>
          <w:rFonts w:cs="Arial"/>
          <w:szCs w:val="20"/>
          <w:lang w:val="en-GB"/>
        </w:rPr>
        <w:t>incorporated in the UK. Cur</w:t>
      </w:r>
      <w:r w:rsidRPr="009C48DA">
        <w:rPr>
          <w:szCs w:val="20"/>
          <w:lang w:val="en-GB"/>
        </w:rPr>
        <w:t>rent UK tax law provides that it</w:t>
      </w:r>
      <w:r w:rsidRPr="009C48DA">
        <w:rPr>
          <w:rFonts w:cs="Arial"/>
          <w:szCs w:val="20"/>
          <w:lang w:val="en-GB"/>
        </w:rPr>
        <w:t xml:space="preserve"> will be regarded as being UK resident for tax purposes from incorporation and shall remain</w:t>
      </w:r>
      <w:r w:rsidRPr="009C48DA">
        <w:rPr>
          <w:szCs w:val="20"/>
          <w:lang w:val="en-GB"/>
        </w:rPr>
        <w:t xml:space="preserve"> so unless (i) it</w:t>
      </w:r>
      <w:r w:rsidRPr="009C48DA">
        <w:rPr>
          <w:rFonts w:cs="Arial"/>
          <w:szCs w:val="20"/>
          <w:lang w:val="en-GB"/>
        </w:rPr>
        <w:t xml:space="preserve"> </w:t>
      </w:r>
      <w:r w:rsidRPr="009C48DA" w:rsidR="00F20A2B">
        <w:rPr>
          <w:rFonts w:cs="Arial"/>
          <w:szCs w:val="20"/>
          <w:lang w:val="en-GB"/>
        </w:rPr>
        <w:t>became</w:t>
      </w:r>
      <w:r w:rsidRPr="009C48DA">
        <w:rPr>
          <w:rFonts w:cs="Arial"/>
          <w:szCs w:val="20"/>
          <w:lang w:val="en-GB"/>
        </w:rPr>
        <w:t xml:space="preserve"> concurrently resident of another jurisdiction (applying the tax residence rules of that jurisdiction) that has a double tax treaty with the UK and (ii) there is a tiebreaker provision in that tax treaty which allocates exclusive residence to that other jurisdiction.</w:t>
      </w:r>
    </w:p>
    <w:p w:rsidRPr="009C48DA" w:rsidR="006D6A27" w:rsidP="00E6792A" w:rsidRDefault="006D6A27" w14:paraId="7B47D9A3" w14:textId="2CF2CD81">
      <w:pPr>
        <w:pStyle w:val="BlockTextSglJ"/>
        <w:ind w:firstLine="720"/>
        <w:rPr>
          <w:szCs w:val="20"/>
          <w:lang w:val="en-GB"/>
        </w:rPr>
      </w:pPr>
      <w:r w:rsidRPr="009C48DA">
        <w:rPr>
          <w:szCs w:val="20"/>
          <w:lang w:val="en-GB"/>
        </w:rPr>
        <w:t xml:space="preserve">Based upon the </w:t>
      </w:r>
      <w:r w:rsidRPr="009C48DA" w:rsidR="00A13C17">
        <w:rPr>
          <w:szCs w:val="20"/>
          <w:lang w:val="en-GB"/>
        </w:rPr>
        <w:t>Company</w:t>
      </w:r>
      <w:r w:rsidRPr="009C48DA">
        <w:rPr>
          <w:szCs w:val="20"/>
          <w:lang w:val="en-GB"/>
        </w:rPr>
        <w:t xml:space="preserve">’s </w:t>
      </w:r>
      <w:r w:rsidRPr="009C48DA">
        <w:rPr>
          <w:rFonts w:cs="Arial"/>
          <w:szCs w:val="20"/>
          <w:lang w:val="en-GB"/>
        </w:rPr>
        <w:t xml:space="preserve">anticipated management </w:t>
      </w:r>
      <w:r w:rsidRPr="009C48DA" w:rsidR="00CE3171">
        <w:rPr>
          <w:szCs w:val="20"/>
          <w:lang w:val="en-GB"/>
        </w:rPr>
        <w:t>and organis</w:t>
      </w:r>
      <w:r w:rsidRPr="009C48DA">
        <w:rPr>
          <w:szCs w:val="20"/>
          <w:lang w:val="en-GB"/>
        </w:rPr>
        <w:t xml:space="preserve">ational structure, it </w:t>
      </w:r>
      <w:r w:rsidRPr="009C48DA">
        <w:rPr>
          <w:rFonts w:cs="Arial"/>
          <w:szCs w:val="20"/>
          <w:lang w:val="en-GB"/>
        </w:rPr>
        <w:t>believe</w:t>
      </w:r>
      <w:r w:rsidRPr="009C48DA" w:rsidR="00F20A2B">
        <w:rPr>
          <w:rFonts w:cs="Arial"/>
          <w:szCs w:val="20"/>
          <w:lang w:val="en-GB"/>
        </w:rPr>
        <w:t>s</w:t>
      </w:r>
      <w:r w:rsidRPr="009C48DA">
        <w:rPr>
          <w:rFonts w:cs="Arial"/>
          <w:szCs w:val="20"/>
          <w:lang w:val="en-GB"/>
        </w:rPr>
        <w:t xml:space="preserve"> that </w:t>
      </w:r>
      <w:r w:rsidRPr="009C48DA">
        <w:rPr>
          <w:szCs w:val="20"/>
          <w:lang w:val="en-GB"/>
        </w:rPr>
        <w:t xml:space="preserve">it </w:t>
      </w:r>
      <w:r w:rsidRPr="009C48DA">
        <w:rPr>
          <w:rFonts w:cs="Arial"/>
          <w:szCs w:val="20"/>
          <w:lang w:val="en-GB"/>
        </w:rPr>
        <w:t>should be regarded solely as resident</w:t>
      </w:r>
      <w:r w:rsidRPr="009C48DA">
        <w:rPr>
          <w:szCs w:val="20"/>
          <w:lang w:val="en-GB"/>
        </w:rPr>
        <w:t xml:space="preserve"> in the UK from </w:t>
      </w:r>
      <w:r w:rsidRPr="009C48DA">
        <w:rPr>
          <w:rFonts w:cs="Arial"/>
          <w:szCs w:val="20"/>
          <w:lang w:val="en-GB"/>
        </w:rPr>
        <w:t xml:space="preserve">incorporation for tax purposes. However, because this analysis is highly factual and may depend on future changes in </w:t>
      </w:r>
      <w:r w:rsidRPr="009C48DA">
        <w:rPr>
          <w:szCs w:val="20"/>
          <w:lang w:val="en-GB"/>
        </w:rPr>
        <w:t xml:space="preserve">its </w:t>
      </w:r>
      <w:r w:rsidRPr="009C48DA">
        <w:rPr>
          <w:rFonts w:cs="Arial"/>
          <w:szCs w:val="20"/>
          <w:lang w:val="en-GB"/>
        </w:rPr>
        <w:t>management and organ</w:t>
      </w:r>
      <w:r w:rsidRPr="009C48DA" w:rsidR="00CE3171">
        <w:rPr>
          <w:rFonts w:cs="Arial"/>
          <w:szCs w:val="20"/>
          <w:lang w:val="en-GB"/>
        </w:rPr>
        <w:t>is</w:t>
      </w:r>
      <w:r w:rsidRPr="009C48DA">
        <w:rPr>
          <w:rFonts w:cs="Arial"/>
          <w:szCs w:val="20"/>
          <w:lang w:val="en-GB"/>
        </w:rPr>
        <w:t>ational structure, there can be no assurance regarding</w:t>
      </w:r>
      <w:r w:rsidRPr="009C48DA">
        <w:rPr>
          <w:szCs w:val="20"/>
          <w:lang w:val="en-GB"/>
        </w:rPr>
        <w:t xml:space="preserve"> the final determination of its tax residence. Should the </w:t>
      </w:r>
      <w:r w:rsidRPr="009C48DA" w:rsidR="00A13C17">
        <w:rPr>
          <w:szCs w:val="20"/>
          <w:lang w:val="en-GB"/>
        </w:rPr>
        <w:t>Company</w:t>
      </w:r>
      <w:r w:rsidRPr="009C48DA">
        <w:rPr>
          <w:szCs w:val="20"/>
          <w:lang w:val="en-GB"/>
        </w:rPr>
        <w:t xml:space="preserve"> </w:t>
      </w:r>
      <w:r w:rsidRPr="009C48DA">
        <w:rPr>
          <w:rFonts w:cs="Arial"/>
          <w:szCs w:val="20"/>
          <w:lang w:val="en-GB"/>
        </w:rPr>
        <w:t xml:space="preserve">be treated as resident in a country or jurisdiction other than the UK, </w:t>
      </w:r>
      <w:r w:rsidRPr="009C48DA">
        <w:rPr>
          <w:szCs w:val="20"/>
          <w:lang w:val="en-GB"/>
        </w:rPr>
        <w:t xml:space="preserve">it </w:t>
      </w:r>
      <w:r w:rsidRPr="009C48DA">
        <w:rPr>
          <w:rFonts w:cs="Arial"/>
          <w:szCs w:val="20"/>
          <w:lang w:val="en-GB"/>
        </w:rPr>
        <w:t>could be subject to taxation in that</w:t>
      </w:r>
      <w:r w:rsidRPr="009C48DA">
        <w:rPr>
          <w:szCs w:val="20"/>
          <w:lang w:val="en-GB"/>
        </w:rPr>
        <w:t xml:space="preserve"> country or jurisdiction on its </w:t>
      </w:r>
      <w:r w:rsidRPr="009C48DA">
        <w:rPr>
          <w:rFonts w:cs="Arial"/>
          <w:szCs w:val="20"/>
          <w:lang w:val="en-GB"/>
        </w:rPr>
        <w:t>worldwide income and may be required to comply with a number of material and formal tax obligations, including withholding tax and/or reporting obligations provided under the relevant tax law, which could result in additional costs and expenses.</w:t>
      </w:r>
    </w:p>
    <w:p w:rsidRPr="009C48DA" w:rsidR="006D6A27" w:rsidP="00E6792A" w:rsidRDefault="006D6A27" w14:paraId="0E7538C1" w14:textId="10217210">
      <w:pPr>
        <w:pStyle w:val="TitleBI"/>
        <w:rPr>
          <w:szCs w:val="20"/>
          <w:lang w:val="en-GB"/>
        </w:rPr>
      </w:pPr>
      <w:r w:rsidRPr="009C48DA">
        <w:rPr>
          <w:szCs w:val="20"/>
          <w:lang w:val="en-GB"/>
        </w:rPr>
        <w:t>The Company may be or become a passiv</w:t>
      </w:r>
      <w:r w:rsidRPr="009C48DA" w:rsidR="009717FB">
        <w:rPr>
          <w:szCs w:val="20"/>
          <w:lang w:val="en-GB"/>
        </w:rPr>
        <w:t>e foreign investment company,</w:t>
      </w:r>
      <w:r w:rsidRPr="009C48DA">
        <w:rPr>
          <w:szCs w:val="20"/>
          <w:lang w:val="en-GB"/>
        </w:rPr>
        <w:t xml:space="preserve"> </w:t>
      </w:r>
      <w:r w:rsidRPr="009C48DA" w:rsidR="009717FB">
        <w:rPr>
          <w:szCs w:val="20"/>
          <w:lang w:val="en-GB"/>
        </w:rPr>
        <w:t>(</w:t>
      </w:r>
      <w:r w:rsidRPr="009C48DA">
        <w:rPr>
          <w:szCs w:val="20"/>
          <w:lang w:val="en-GB"/>
        </w:rPr>
        <w:t xml:space="preserve">a </w:t>
      </w:r>
      <w:r w:rsidRPr="009C48DA" w:rsidR="009717FB">
        <w:rPr>
          <w:szCs w:val="20"/>
          <w:lang w:val="en-GB"/>
        </w:rPr>
        <w:t>“</w:t>
      </w:r>
      <w:r w:rsidRPr="009C48DA">
        <w:rPr>
          <w:szCs w:val="20"/>
          <w:lang w:val="en-GB"/>
        </w:rPr>
        <w:t>PFIC</w:t>
      </w:r>
      <w:r w:rsidRPr="009C48DA" w:rsidR="009717FB">
        <w:rPr>
          <w:szCs w:val="20"/>
          <w:lang w:val="en-GB"/>
        </w:rPr>
        <w:t>”)</w:t>
      </w:r>
      <w:r w:rsidRPr="009C48DA">
        <w:rPr>
          <w:szCs w:val="20"/>
          <w:lang w:val="en-GB"/>
        </w:rPr>
        <w:t>, which could result in adverse U.S. tax consequences to U.S. investors.</w:t>
      </w:r>
    </w:p>
    <w:p w:rsidRPr="009C48DA" w:rsidR="006D6A27" w:rsidP="001C61FE" w:rsidRDefault="006D6A27" w14:paraId="420F0560" w14:textId="54664D7C">
      <w:pPr>
        <w:pStyle w:val="BlockTextSglJ"/>
        <w:keepNext/>
        <w:ind w:firstLine="720"/>
        <w:rPr>
          <w:szCs w:val="20"/>
          <w:lang w:val="en-GB"/>
        </w:rPr>
      </w:pPr>
      <w:r w:rsidRPr="009C48DA">
        <w:rPr>
          <w:szCs w:val="20"/>
          <w:lang w:val="en-GB"/>
        </w:rPr>
        <w:t>In general, the Company will be a PFIC for U.S. federal income tax purposes for any taxable year in which:</w:t>
      </w:r>
    </w:p>
    <w:p w:rsidRPr="009C48DA" w:rsidR="006D6A27" w:rsidP="00DB11C9" w:rsidRDefault="00917735" w14:paraId="554E15BB" w14:textId="7F054127">
      <w:pPr>
        <w:pStyle w:val="STBBullet3"/>
        <w:rPr>
          <w:lang w:val="en-GB"/>
        </w:rPr>
      </w:pPr>
      <w:r w:rsidRPr="009C48DA">
        <w:rPr>
          <w:lang w:val="en-GB"/>
        </w:rPr>
        <w:t>at least 75 per cent</w:t>
      </w:r>
      <w:r w:rsidRPr="009C48DA" w:rsidR="006D6A27">
        <w:rPr>
          <w:lang w:val="en-GB"/>
        </w:rPr>
        <w:t xml:space="preserve"> of </w:t>
      </w:r>
      <w:r w:rsidRPr="009C48DA" w:rsidR="00174138">
        <w:rPr>
          <w:lang w:val="en-GB"/>
        </w:rPr>
        <w:t>its</w:t>
      </w:r>
      <w:r w:rsidRPr="009C48DA" w:rsidR="006D6A27">
        <w:rPr>
          <w:lang w:val="en-GB"/>
        </w:rPr>
        <w:t xml:space="preserve"> gross income is passive income, or </w:t>
      </w:r>
    </w:p>
    <w:p w:rsidRPr="009C48DA" w:rsidR="006D6A27" w:rsidP="00DB11C9" w:rsidRDefault="00917735" w14:paraId="2FA48951" w14:textId="16116716">
      <w:pPr>
        <w:pStyle w:val="STBBullet3"/>
        <w:rPr>
          <w:lang w:val="en-GB"/>
        </w:rPr>
      </w:pPr>
      <w:r w:rsidRPr="009C48DA">
        <w:rPr>
          <w:lang w:val="en-GB"/>
        </w:rPr>
        <w:t>at least 50 per cent</w:t>
      </w:r>
      <w:r w:rsidRPr="009C48DA" w:rsidR="006D6A27">
        <w:rPr>
          <w:lang w:val="en-GB"/>
        </w:rPr>
        <w:t xml:space="preserve"> of the value (determined based on a quarterly average) of its assets is attributable to assets that produce or are held for the production of passive income.</w:t>
      </w:r>
    </w:p>
    <w:p w:rsidRPr="009C48DA" w:rsidR="006D6A27" w:rsidP="00E6792A" w:rsidRDefault="006D6A27" w14:paraId="17D2E923" w14:textId="6985C3F3">
      <w:pPr>
        <w:pStyle w:val="BlockTextSglJ"/>
        <w:ind w:firstLine="720"/>
        <w:rPr>
          <w:rFonts w:cs="Arial"/>
          <w:szCs w:val="20"/>
          <w:lang w:val="en-GB"/>
        </w:rPr>
      </w:pPr>
      <w:r w:rsidRPr="009C48DA">
        <w:rPr>
          <w:szCs w:val="20"/>
          <w:lang w:val="en-GB"/>
        </w:rPr>
        <w:t>Based on the past and projected composition of income and assets, an</w:t>
      </w:r>
      <w:r w:rsidRPr="009C48DA" w:rsidR="001C61FE">
        <w:rPr>
          <w:szCs w:val="20"/>
          <w:lang w:val="en-GB"/>
        </w:rPr>
        <w:t xml:space="preserve">d the valuation of its assets, including goodwill, </w:t>
      </w:r>
      <w:r w:rsidRPr="009C48DA">
        <w:rPr>
          <w:szCs w:val="20"/>
          <w:lang w:val="en-GB"/>
        </w:rPr>
        <w:t xml:space="preserve">the Company does not believe </w:t>
      </w:r>
      <w:r w:rsidRPr="009C48DA" w:rsidR="009717FB">
        <w:rPr>
          <w:szCs w:val="20"/>
          <w:lang w:val="en-GB"/>
        </w:rPr>
        <w:t xml:space="preserve">that it was a </w:t>
      </w:r>
      <w:r w:rsidRPr="009C48DA">
        <w:rPr>
          <w:szCs w:val="20"/>
          <w:lang w:val="en-GB"/>
        </w:rPr>
        <w:t>PFIC for its most recent</w:t>
      </w:r>
      <w:r w:rsidRPr="009C48DA" w:rsidR="00174138">
        <w:rPr>
          <w:szCs w:val="20"/>
          <w:lang w:val="en-GB"/>
        </w:rPr>
        <w:t>ly completed</w:t>
      </w:r>
      <w:r w:rsidRPr="009C48DA">
        <w:rPr>
          <w:szCs w:val="20"/>
          <w:lang w:val="en-GB"/>
        </w:rPr>
        <w:t xml:space="preserve"> taxable </w:t>
      </w:r>
      <w:r w:rsidRPr="009C48DA">
        <w:rPr>
          <w:szCs w:val="20"/>
          <w:lang w:val="en-GB"/>
        </w:rPr>
        <w:lastRenderedPageBreak/>
        <w:t xml:space="preserve">year, and does not expect to become a PFIC in the current taxable year or the foreseeable future, although there can be no assurance in this regard. </w:t>
      </w:r>
      <w:r w:rsidRPr="009C48DA" w:rsidR="00D43E9F">
        <w:rPr>
          <w:szCs w:val="20"/>
          <w:lang w:val="en-GB"/>
        </w:rPr>
        <w:t xml:space="preserve">The Company’s </w:t>
      </w:r>
      <w:r w:rsidRPr="009C48DA">
        <w:rPr>
          <w:szCs w:val="20"/>
          <w:lang w:val="en-GB"/>
        </w:rPr>
        <w:t xml:space="preserve">PFIC status </w:t>
      </w:r>
      <w:r w:rsidRPr="009C48DA" w:rsidR="00D43E9F">
        <w:rPr>
          <w:szCs w:val="20"/>
          <w:lang w:val="en-GB"/>
        </w:rPr>
        <w:t xml:space="preserve">for any taxable year is an annual, </w:t>
      </w:r>
      <w:r w:rsidRPr="009C48DA">
        <w:rPr>
          <w:szCs w:val="20"/>
          <w:lang w:val="en-GB"/>
        </w:rPr>
        <w:t xml:space="preserve">factual determination that </w:t>
      </w:r>
      <w:r w:rsidRPr="009C48DA" w:rsidR="00D43E9F">
        <w:rPr>
          <w:szCs w:val="20"/>
          <w:lang w:val="en-GB"/>
        </w:rPr>
        <w:t>can be</w:t>
      </w:r>
      <w:r w:rsidRPr="009C48DA">
        <w:rPr>
          <w:szCs w:val="20"/>
          <w:lang w:val="en-GB"/>
        </w:rPr>
        <w:t xml:space="preserve"> made </w:t>
      </w:r>
      <w:r w:rsidRPr="009C48DA" w:rsidR="00D43E9F">
        <w:rPr>
          <w:szCs w:val="20"/>
          <w:lang w:val="en-GB"/>
        </w:rPr>
        <w:t>only after the end of that year</w:t>
      </w:r>
      <w:r w:rsidRPr="009C48DA">
        <w:rPr>
          <w:szCs w:val="20"/>
          <w:lang w:val="en-GB"/>
        </w:rPr>
        <w:t xml:space="preserve">. Accordingly, it is possible that the Company may become a PFIC in the current or any future taxable year due to changes in the composition of its income or assets or the valuation of its assets. If the Company </w:t>
      </w:r>
      <w:r w:rsidRPr="009C48DA" w:rsidR="00174138">
        <w:rPr>
          <w:szCs w:val="20"/>
          <w:lang w:val="en-GB"/>
        </w:rPr>
        <w:t>were to be</w:t>
      </w:r>
      <w:r w:rsidRPr="009C48DA" w:rsidR="00CE3171">
        <w:rPr>
          <w:szCs w:val="20"/>
          <w:lang w:val="en-GB"/>
        </w:rPr>
        <w:t xml:space="preserve"> a PFIC, such characteris</w:t>
      </w:r>
      <w:r w:rsidRPr="009C48DA">
        <w:rPr>
          <w:szCs w:val="20"/>
          <w:lang w:val="en-GB"/>
        </w:rPr>
        <w:t>ation could result in adverse U.S. federal income tax consequences to a U.S. investor. For example, if the Company is or becomes a PFIC, the U.S. investors may become subject to increased tax liabilities under U.S. federal income tax laws and regulations and will become subject to potentially onerous reporting requirements. For more information on PFICs (including certain elections), see “</w:t>
      </w:r>
      <w:r w:rsidRPr="009C48DA">
        <w:rPr>
          <w:i/>
          <w:szCs w:val="20"/>
          <w:lang w:val="en-GB"/>
        </w:rPr>
        <w:t>Taxation—Certain U.S. Federal Income Tax Consequences—Passive Foreign Investment Company</w:t>
      </w:r>
      <w:r w:rsidRPr="009C48DA" w:rsidR="00F075B0">
        <w:rPr>
          <w:i/>
          <w:szCs w:val="20"/>
          <w:lang w:val="en-GB"/>
        </w:rPr>
        <w:t>.</w:t>
      </w:r>
      <w:r w:rsidRPr="009C48DA">
        <w:rPr>
          <w:szCs w:val="20"/>
          <w:lang w:val="en-GB"/>
        </w:rPr>
        <w:t>”</w:t>
      </w:r>
    </w:p>
    <w:p w:rsidRPr="009C48DA" w:rsidR="006D6A27" w:rsidP="000C376E" w:rsidRDefault="007F4D66" w14:paraId="114699AB" w14:textId="4CBE3D9B">
      <w:pPr>
        <w:pStyle w:val="TitleBAllCaps"/>
      </w:pPr>
      <w:r w:rsidRPr="009C48DA">
        <w:t>Financial Risks</w:t>
      </w:r>
    </w:p>
    <w:p w:rsidRPr="009C48DA" w:rsidR="006D6A27" w:rsidP="00676CA5" w:rsidRDefault="006D6A27" w14:paraId="3BF1DE32" w14:textId="02E20881">
      <w:pPr>
        <w:pStyle w:val="TitleBI"/>
        <w:rPr>
          <w:szCs w:val="20"/>
          <w:lang w:val="en-GB"/>
        </w:rPr>
      </w:pPr>
      <w:bookmarkStart w:name="_9kMNAL6ZWu59979GRKylkmw711D" w:id="441"/>
      <w:r w:rsidRPr="009C48DA">
        <w:rPr>
          <w:szCs w:val="20"/>
          <w:lang w:val="en-GB"/>
        </w:rPr>
        <w:t xml:space="preserve">The </w:t>
      </w:r>
      <w:bookmarkEnd w:id="441"/>
      <w:r w:rsidRPr="009C48DA" w:rsidR="00F94147">
        <w:rPr>
          <w:szCs w:val="20"/>
          <w:lang w:val="en-GB"/>
        </w:rPr>
        <w:t>Group is subject to credit risk</w:t>
      </w:r>
      <w:r w:rsidRPr="009C48DA">
        <w:rPr>
          <w:szCs w:val="20"/>
          <w:lang w:val="en-GB"/>
        </w:rPr>
        <w:t>.</w:t>
      </w:r>
    </w:p>
    <w:p w:rsidRPr="009C48DA" w:rsidR="00404462" w:rsidP="00404462" w:rsidRDefault="006D6A27" w14:paraId="2EC6DF74" w14:textId="6E7878EA">
      <w:pPr>
        <w:pStyle w:val="BodyText2SglJ"/>
        <w:rPr>
          <w:rFonts w:eastAsia="Calibri" w:cs="Arial"/>
          <w:szCs w:val="20"/>
          <w:lang w:val="en-GB"/>
        </w:rPr>
      </w:pPr>
      <w:r w:rsidRPr="009C48DA">
        <w:rPr>
          <w:rFonts w:eastAsia="Calibri" w:cs="Arial"/>
          <w:szCs w:val="20"/>
          <w:lang w:val="en-GB"/>
        </w:rPr>
        <w:t xml:space="preserve">Credit risk </w:t>
      </w:r>
      <w:r w:rsidRPr="009C48DA" w:rsidR="00404462">
        <w:rPr>
          <w:rFonts w:eastAsia="Calibri" w:cs="Arial"/>
          <w:szCs w:val="20"/>
          <w:lang w:val="en-GB"/>
        </w:rPr>
        <w:t xml:space="preserve">is </w:t>
      </w:r>
      <w:r w:rsidRPr="009C48DA">
        <w:rPr>
          <w:rFonts w:eastAsia="Calibri" w:cs="Arial"/>
          <w:szCs w:val="20"/>
          <w:lang w:val="en-GB"/>
        </w:rPr>
        <w:t xml:space="preserve">the risk that a counterparty </w:t>
      </w:r>
      <w:r w:rsidRPr="009C48DA" w:rsidR="00404462">
        <w:rPr>
          <w:rFonts w:eastAsia="Calibri" w:cs="Arial"/>
          <w:szCs w:val="20"/>
          <w:lang w:val="en-GB"/>
        </w:rPr>
        <w:t xml:space="preserve">is unable to meet their contractual </w:t>
      </w:r>
      <w:r w:rsidRPr="009C48DA">
        <w:rPr>
          <w:rFonts w:eastAsia="Calibri" w:cs="Arial"/>
          <w:szCs w:val="20"/>
          <w:lang w:val="en-GB"/>
        </w:rPr>
        <w:t>obligations</w:t>
      </w:r>
      <w:r w:rsidRPr="009C48DA" w:rsidR="00404462">
        <w:rPr>
          <w:rFonts w:eastAsia="Calibri" w:cs="Arial"/>
          <w:szCs w:val="20"/>
          <w:lang w:val="en-GB"/>
        </w:rPr>
        <w:t xml:space="preserve"> in full when due</w:t>
      </w:r>
      <w:r w:rsidRPr="009C48DA">
        <w:rPr>
          <w:rFonts w:eastAsia="Calibri" w:cs="Arial"/>
          <w:szCs w:val="20"/>
          <w:lang w:val="en-GB"/>
        </w:rPr>
        <w:t xml:space="preserve">. There is a risk that </w:t>
      </w:r>
      <w:r w:rsidRPr="009C48DA" w:rsidR="007F4D66">
        <w:rPr>
          <w:rFonts w:eastAsia="Calibri" w:cs="Arial"/>
          <w:szCs w:val="20"/>
          <w:lang w:val="en-GB"/>
        </w:rPr>
        <w:t>a</w:t>
      </w:r>
      <w:r w:rsidRPr="009C48DA">
        <w:rPr>
          <w:rFonts w:eastAsia="Calibri" w:cs="Arial"/>
          <w:szCs w:val="20"/>
          <w:lang w:val="en-GB"/>
        </w:rPr>
        <w:t xml:space="preserve"> counterpart</w:t>
      </w:r>
      <w:r w:rsidRPr="009C48DA" w:rsidR="007F4D66">
        <w:rPr>
          <w:rFonts w:eastAsia="Calibri" w:cs="Arial"/>
          <w:szCs w:val="20"/>
          <w:lang w:val="en-GB"/>
        </w:rPr>
        <w:t>y</w:t>
      </w:r>
      <w:r w:rsidRPr="009C48DA">
        <w:rPr>
          <w:rFonts w:eastAsia="Calibri" w:cs="Arial"/>
          <w:szCs w:val="20"/>
          <w:lang w:val="en-GB"/>
        </w:rPr>
        <w:t>’</w:t>
      </w:r>
      <w:r w:rsidRPr="009C48DA" w:rsidR="007F4D66">
        <w:rPr>
          <w:rFonts w:eastAsia="Calibri" w:cs="Arial"/>
          <w:szCs w:val="20"/>
          <w:lang w:val="en-GB"/>
        </w:rPr>
        <w:t>s</w:t>
      </w:r>
      <w:r w:rsidRPr="009C48DA">
        <w:rPr>
          <w:rFonts w:eastAsia="Calibri" w:cs="Arial"/>
          <w:szCs w:val="20"/>
          <w:lang w:val="en-GB"/>
        </w:rPr>
        <w:t xml:space="preserve"> creditworthiness will deteriorate and that they no longer will be able to fulfil their financial obligations to the Group. For the Group, </w:t>
      </w:r>
      <w:r w:rsidRPr="009C48DA" w:rsidR="00404462">
        <w:rPr>
          <w:rFonts w:eastAsia="Calibri" w:cs="Arial"/>
          <w:szCs w:val="20"/>
          <w:lang w:val="en-GB"/>
        </w:rPr>
        <w:t xml:space="preserve">potential areas of </w:t>
      </w:r>
      <w:r w:rsidRPr="009C48DA" w:rsidR="00F94147">
        <w:rPr>
          <w:rFonts w:eastAsia="Calibri" w:cs="Arial"/>
          <w:szCs w:val="20"/>
          <w:lang w:val="en-GB"/>
        </w:rPr>
        <w:t>credit risk</w:t>
      </w:r>
      <w:r w:rsidRPr="009C48DA" w:rsidR="00404462">
        <w:rPr>
          <w:rFonts w:eastAsia="Calibri" w:cs="Arial"/>
          <w:szCs w:val="20"/>
          <w:lang w:val="en-GB"/>
        </w:rPr>
        <w:t xml:space="preserve"> consist of cash and cash equivalents, including deposits with banks and financial institutions, short-term receivables and derivative financial instruments. The Group has not experienced any significant defaults in prior periods. The Group’s exposure to credit risk is influenced mainly by the individual characteristics of each counterparty.</w:t>
      </w:r>
    </w:p>
    <w:p w:rsidRPr="009C48DA" w:rsidR="00404462" w:rsidP="00404462" w:rsidRDefault="00404462" w14:paraId="1E7734CB" w14:textId="5E52D5AC">
      <w:pPr>
        <w:pStyle w:val="BodyText2SglJ"/>
        <w:rPr>
          <w:rFonts w:eastAsia="Calibri" w:cs="Arial"/>
          <w:szCs w:val="20"/>
          <w:lang w:val="en-GB"/>
        </w:rPr>
      </w:pPr>
      <w:r w:rsidRPr="009C48DA">
        <w:rPr>
          <w:rFonts w:eastAsia="Calibri" w:cs="Arial"/>
          <w:szCs w:val="20"/>
          <w:lang w:val="en-GB"/>
        </w:rPr>
        <w:t xml:space="preserve">The Group holds investments in the subordinated notes of the </w:t>
      </w:r>
      <w:r w:rsidRPr="009C48DA" w:rsidR="00BB773E">
        <w:rPr>
          <w:rFonts w:eastAsia="Calibri" w:cs="Arial"/>
          <w:szCs w:val="20"/>
          <w:lang w:val="en-GB"/>
        </w:rPr>
        <w:t xml:space="preserve">Bridgepoint </w:t>
      </w:r>
      <w:r w:rsidRPr="009C48DA">
        <w:rPr>
          <w:rFonts w:eastAsia="Calibri" w:cs="Arial"/>
          <w:szCs w:val="20"/>
          <w:lang w:val="en-GB"/>
        </w:rPr>
        <w:t>CLO fund vehicles which it manages (</w:t>
      </w:r>
      <w:r w:rsidRPr="009C48DA" w:rsidR="00BB773E">
        <w:rPr>
          <w:rFonts w:eastAsia="Calibri" w:cs="Arial"/>
          <w:szCs w:val="20"/>
          <w:lang w:val="en-GB"/>
        </w:rPr>
        <w:t xml:space="preserve">Bridgepoint </w:t>
      </w:r>
      <w:r w:rsidRPr="009C48DA">
        <w:rPr>
          <w:rFonts w:eastAsia="Calibri" w:cs="Arial"/>
          <w:szCs w:val="20"/>
          <w:lang w:val="en-GB"/>
        </w:rPr>
        <w:t xml:space="preserve">CLO I DAC and </w:t>
      </w:r>
      <w:r w:rsidRPr="009C48DA" w:rsidR="00BB773E">
        <w:rPr>
          <w:rFonts w:eastAsia="Calibri" w:cs="Arial"/>
          <w:szCs w:val="20"/>
          <w:lang w:val="en-GB"/>
        </w:rPr>
        <w:t xml:space="preserve">Bridgepoint </w:t>
      </w:r>
      <w:r w:rsidRPr="009C48DA">
        <w:rPr>
          <w:rFonts w:eastAsia="Calibri" w:cs="Arial"/>
          <w:szCs w:val="20"/>
          <w:lang w:val="en-GB"/>
        </w:rPr>
        <w:t xml:space="preserve">CLO II DAC), predominately driven by EU risk retention requirements. The </w:t>
      </w:r>
      <w:r w:rsidRPr="009C48DA" w:rsidR="00BB773E">
        <w:rPr>
          <w:rFonts w:eastAsia="Calibri" w:cs="Arial"/>
          <w:szCs w:val="20"/>
          <w:lang w:val="en-GB"/>
        </w:rPr>
        <w:t xml:space="preserve">Bridgepoint </w:t>
      </w:r>
      <w:r w:rsidRPr="009C48DA">
        <w:rPr>
          <w:rFonts w:eastAsia="Calibri" w:cs="Arial"/>
          <w:szCs w:val="20"/>
          <w:lang w:val="en-GB"/>
        </w:rPr>
        <w:t xml:space="preserve">CLO fund vehicles are consolidated by the Group. The Group’s investment in the subordinated notes of the </w:t>
      </w:r>
      <w:r w:rsidRPr="009C48DA" w:rsidR="00BB773E">
        <w:rPr>
          <w:rFonts w:eastAsia="Calibri" w:cs="Arial"/>
          <w:szCs w:val="20"/>
          <w:lang w:val="en-GB"/>
        </w:rPr>
        <w:t xml:space="preserve">Bridgepoint </w:t>
      </w:r>
      <w:r w:rsidRPr="009C48DA">
        <w:rPr>
          <w:rFonts w:eastAsia="Calibri" w:cs="Arial"/>
          <w:szCs w:val="20"/>
          <w:lang w:val="en-GB"/>
        </w:rPr>
        <w:t>CLO fund vehicles are the tranche that is most exposed to the risk of portfolio assets failing to pay</w:t>
      </w:r>
      <w:r w:rsidRPr="009C48DA" w:rsidR="007F4D66">
        <w:rPr>
          <w:rFonts w:eastAsia="Calibri" w:cs="Arial"/>
          <w:szCs w:val="20"/>
          <w:lang w:val="en-GB"/>
        </w:rPr>
        <w:t>,</w:t>
      </w:r>
      <w:r w:rsidRPr="009C48DA">
        <w:rPr>
          <w:rFonts w:eastAsia="Calibri" w:cs="Arial"/>
          <w:szCs w:val="20"/>
          <w:lang w:val="en-GB"/>
        </w:rPr>
        <w:t xml:space="preserve"> as they are the first to absorb any losses if there is any default within a portfolio of assets by an individual borrower. The assets and liabilities of the CLO are held within separate legal entities and, as a result, the liabilities of the CLO are </w:t>
      </w:r>
      <w:r w:rsidRPr="009C48DA" w:rsidR="00D16A07">
        <w:rPr>
          <w:rFonts w:eastAsia="Calibri" w:cs="Arial"/>
          <w:szCs w:val="20"/>
          <w:lang w:val="en-GB"/>
        </w:rPr>
        <w:t xml:space="preserve">without </w:t>
      </w:r>
      <w:r w:rsidRPr="009C48DA">
        <w:rPr>
          <w:rFonts w:eastAsia="Calibri" w:cs="Arial"/>
          <w:szCs w:val="20"/>
          <w:lang w:val="en-GB"/>
        </w:rPr>
        <w:t xml:space="preserve">recourse to the Group. The Group’s maximum exposure to loss associated with its interest in the </w:t>
      </w:r>
      <w:r w:rsidRPr="009C48DA" w:rsidR="00BB773E">
        <w:rPr>
          <w:rFonts w:eastAsia="Calibri" w:cs="Arial"/>
          <w:szCs w:val="20"/>
          <w:lang w:val="en-GB"/>
        </w:rPr>
        <w:t xml:space="preserve">Bridgepoint </w:t>
      </w:r>
      <w:r w:rsidRPr="009C48DA">
        <w:rPr>
          <w:rFonts w:eastAsia="Calibri" w:cs="Arial"/>
          <w:szCs w:val="20"/>
          <w:lang w:val="en-GB"/>
        </w:rPr>
        <w:t>CLOs is therefore limited to its investment in the relevant CLOs.</w:t>
      </w:r>
    </w:p>
    <w:p w:rsidRPr="009C48DA" w:rsidR="00404462" w:rsidP="00404462" w:rsidRDefault="00404462" w14:paraId="5E310671" w14:textId="696B5C37">
      <w:pPr>
        <w:pStyle w:val="BodyText2SglJ"/>
        <w:rPr>
          <w:rFonts w:eastAsia="Calibri" w:cs="Arial"/>
          <w:szCs w:val="20"/>
          <w:lang w:val="en-GB"/>
        </w:rPr>
      </w:pPr>
      <w:r w:rsidRPr="009C48DA">
        <w:rPr>
          <w:rFonts w:eastAsia="Calibri" w:cs="Arial"/>
          <w:szCs w:val="20"/>
          <w:lang w:val="en-GB"/>
        </w:rPr>
        <w:t>Trade and</w:t>
      </w:r>
      <w:r w:rsidRPr="009C48DA" w:rsidR="007A03DC">
        <w:rPr>
          <w:rFonts w:eastAsia="Calibri" w:cs="Arial"/>
          <w:szCs w:val="20"/>
          <w:lang w:val="en-GB"/>
        </w:rPr>
        <w:t xml:space="preserve"> other receivables of the Group</w:t>
      </w:r>
      <w:r w:rsidRPr="009C48DA">
        <w:rPr>
          <w:rFonts w:eastAsia="Calibri" w:cs="Arial"/>
          <w:szCs w:val="20"/>
          <w:lang w:val="en-GB"/>
        </w:rPr>
        <w:t xml:space="preserve"> are primarily amounts due from the </w:t>
      </w:r>
      <w:r w:rsidRPr="009C48DA" w:rsidR="00BB773E">
        <w:rPr>
          <w:rFonts w:eastAsia="Calibri" w:cs="Arial"/>
          <w:szCs w:val="20"/>
          <w:lang w:val="en-GB"/>
        </w:rPr>
        <w:t xml:space="preserve">Bridgepoint </w:t>
      </w:r>
      <w:r w:rsidRPr="009C48DA">
        <w:rPr>
          <w:rFonts w:eastAsia="Calibri" w:cs="Arial"/>
          <w:szCs w:val="20"/>
          <w:lang w:val="en-GB"/>
        </w:rPr>
        <w:t xml:space="preserve">Funds or portfolio companies of the </w:t>
      </w:r>
      <w:r w:rsidRPr="009C48DA" w:rsidR="00BB773E">
        <w:rPr>
          <w:rFonts w:eastAsia="Calibri" w:cs="Arial"/>
          <w:szCs w:val="20"/>
          <w:lang w:val="en-GB"/>
        </w:rPr>
        <w:t xml:space="preserve">Bridgepoint </w:t>
      </w:r>
      <w:r w:rsidRPr="009C48DA">
        <w:rPr>
          <w:rFonts w:eastAsia="Calibri" w:cs="Arial"/>
          <w:szCs w:val="20"/>
          <w:lang w:val="en-GB"/>
        </w:rPr>
        <w:t xml:space="preserve">Funds, which are collected by the Group, for the benefit of the </w:t>
      </w:r>
      <w:r w:rsidRPr="009C48DA" w:rsidR="00BB773E">
        <w:rPr>
          <w:rFonts w:eastAsia="Calibri" w:cs="Arial"/>
          <w:szCs w:val="20"/>
          <w:lang w:val="en-GB"/>
        </w:rPr>
        <w:t xml:space="preserve">Bridgepoint </w:t>
      </w:r>
      <w:r w:rsidRPr="009C48DA">
        <w:rPr>
          <w:rFonts w:eastAsia="Calibri" w:cs="Arial"/>
          <w:szCs w:val="20"/>
          <w:lang w:val="en-GB"/>
        </w:rPr>
        <w:t xml:space="preserve">Funds. The </w:t>
      </w:r>
      <w:r w:rsidRPr="009C48DA" w:rsidR="00BB773E">
        <w:rPr>
          <w:rFonts w:eastAsia="Calibri" w:cs="Arial"/>
          <w:szCs w:val="20"/>
          <w:lang w:val="en-GB"/>
        </w:rPr>
        <w:t xml:space="preserve">Bridgepoint </w:t>
      </w:r>
      <w:r w:rsidRPr="009C48DA">
        <w:rPr>
          <w:rFonts w:eastAsia="Calibri" w:cs="Arial"/>
          <w:szCs w:val="20"/>
          <w:lang w:val="en-GB"/>
        </w:rPr>
        <w:t xml:space="preserve">Funds are managed by the Group on behalf of investors, who have made commitments to the </w:t>
      </w:r>
      <w:r w:rsidRPr="009C48DA" w:rsidR="00BB773E">
        <w:rPr>
          <w:rFonts w:eastAsia="Calibri" w:cs="Arial"/>
          <w:szCs w:val="20"/>
          <w:lang w:val="en-GB"/>
        </w:rPr>
        <w:t xml:space="preserve">Bridgepoint </w:t>
      </w:r>
      <w:r w:rsidRPr="009C48DA">
        <w:rPr>
          <w:rFonts w:eastAsia="Calibri" w:cs="Arial"/>
          <w:szCs w:val="20"/>
          <w:lang w:val="en-GB"/>
        </w:rPr>
        <w:t xml:space="preserve">Funds. Therefore, trade and other receivables to the </w:t>
      </w:r>
      <w:r w:rsidRPr="009C48DA" w:rsidR="00BB773E">
        <w:rPr>
          <w:rFonts w:eastAsia="Calibri" w:cs="Arial"/>
          <w:szCs w:val="20"/>
          <w:lang w:val="en-GB"/>
        </w:rPr>
        <w:t xml:space="preserve">Bridgepoint </w:t>
      </w:r>
      <w:r w:rsidRPr="009C48DA">
        <w:rPr>
          <w:rFonts w:eastAsia="Calibri" w:cs="Arial"/>
          <w:szCs w:val="20"/>
          <w:lang w:val="en-GB"/>
        </w:rPr>
        <w:t xml:space="preserve">Funds are collateralised against unfunded investor commitments. In the </w:t>
      </w:r>
      <w:r w:rsidRPr="009C48DA" w:rsidR="00BB773E">
        <w:rPr>
          <w:rFonts w:eastAsia="Calibri" w:cs="Arial"/>
          <w:szCs w:val="20"/>
          <w:lang w:val="en-GB"/>
        </w:rPr>
        <w:t xml:space="preserve">Bridgepoint </w:t>
      </w:r>
      <w:r w:rsidRPr="009C48DA">
        <w:rPr>
          <w:rFonts w:eastAsia="Calibri" w:cs="Arial"/>
          <w:szCs w:val="20"/>
          <w:lang w:val="en-GB"/>
        </w:rPr>
        <w:t xml:space="preserve">Funds’ activities, defaults on commitments may have adverse consequences on the investment process. For instance, fund investors may not satisfy their contractual obligation to fund capital calls when requested by the </w:t>
      </w:r>
      <w:r w:rsidRPr="009C48DA" w:rsidR="00BB773E">
        <w:rPr>
          <w:rFonts w:eastAsia="Calibri" w:cs="Arial"/>
          <w:szCs w:val="20"/>
          <w:lang w:val="en-GB"/>
        </w:rPr>
        <w:t xml:space="preserve">Bridgepoint </w:t>
      </w:r>
      <w:r w:rsidRPr="009C48DA" w:rsidR="000E5BB6">
        <w:rPr>
          <w:rFonts w:eastAsia="Calibri" w:cs="Arial"/>
          <w:szCs w:val="20"/>
          <w:lang w:val="en-GB"/>
        </w:rPr>
        <w:t>g</w:t>
      </w:r>
      <w:r w:rsidRPr="009C48DA">
        <w:rPr>
          <w:rFonts w:eastAsia="Calibri" w:cs="Arial"/>
          <w:szCs w:val="20"/>
          <w:lang w:val="en-GB"/>
        </w:rPr>
        <w:t xml:space="preserve">eneral </w:t>
      </w:r>
      <w:r w:rsidRPr="009C48DA" w:rsidR="000E5BB6">
        <w:rPr>
          <w:rFonts w:eastAsia="Calibri" w:cs="Arial"/>
          <w:szCs w:val="20"/>
          <w:lang w:val="en-GB"/>
        </w:rPr>
        <w:t>p</w:t>
      </w:r>
      <w:r w:rsidRPr="009C48DA">
        <w:rPr>
          <w:rFonts w:eastAsia="Calibri" w:cs="Arial"/>
          <w:szCs w:val="20"/>
          <w:lang w:val="en-GB"/>
        </w:rPr>
        <w:t xml:space="preserve">artner or Fund Manager of the relevant </w:t>
      </w:r>
      <w:r w:rsidRPr="009C48DA" w:rsidR="00BB773E">
        <w:rPr>
          <w:rFonts w:eastAsia="Calibri" w:cs="Arial"/>
          <w:szCs w:val="20"/>
          <w:lang w:val="en-GB"/>
        </w:rPr>
        <w:t xml:space="preserve">Bridgepoint </w:t>
      </w:r>
      <w:r w:rsidRPr="009C48DA">
        <w:rPr>
          <w:rFonts w:eastAsia="Calibri" w:cs="Arial"/>
          <w:szCs w:val="20"/>
          <w:lang w:val="en-GB"/>
        </w:rPr>
        <w:t xml:space="preserve">Fund. This may result in shortfalls in capital and may affect the relevant </w:t>
      </w:r>
      <w:r w:rsidRPr="009C48DA" w:rsidR="00BB773E">
        <w:rPr>
          <w:rFonts w:eastAsia="Calibri" w:cs="Arial"/>
          <w:szCs w:val="20"/>
          <w:lang w:val="en-GB"/>
        </w:rPr>
        <w:t xml:space="preserve">Bridgepoint </w:t>
      </w:r>
      <w:r w:rsidRPr="009C48DA">
        <w:rPr>
          <w:rFonts w:eastAsia="Calibri" w:cs="Arial"/>
          <w:szCs w:val="20"/>
          <w:lang w:val="en-GB"/>
        </w:rPr>
        <w:t>Fund’s ability to consummate investments and adversely affect the Group’s ability to receive management fees and other income. This in turn, would adversely affect the Group’s business, revenue, net income and cash flows.</w:t>
      </w:r>
    </w:p>
    <w:p w:rsidRPr="009C48DA" w:rsidR="006D6A27" w:rsidP="00676CA5" w:rsidRDefault="006D6A27" w14:paraId="48E60A4B" w14:textId="1B2190D9">
      <w:pPr>
        <w:pStyle w:val="BodyText2SglJ"/>
        <w:rPr>
          <w:rFonts w:eastAsia="Calibri" w:cs="Arial"/>
          <w:szCs w:val="20"/>
          <w:lang w:val="en-GB"/>
        </w:rPr>
      </w:pPr>
      <w:r w:rsidRPr="009C48DA">
        <w:rPr>
          <w:rFonts w:eastAsia="Calibri" w:cs="Arial"/>
          <w:szCs w:val="20"/>
          <w:lang w:val="en-GB"/>
        </w:rPr>
        <w:t>If measures taken by th</w:t>
      </w:r>
      <w:r w:rsidRPr="009C48DA" w:rsidR="00F94147">
        <w:rPr>
          <w:rFonts w:eastAsia="Calibri" w:cs="Arial"/>
          <w:szCs w:val="20"/>
          <w:lang w:val="en-GB"/>
        </w:rPr>
        <w:t>e Group to minimise credit risk</w:t>
      </w:r>
      <w:r w:rsidRPr="009C48DA">
        <w:rPr>
          <w:rFonts w:eastAsia="Calibri" w:cs="Arial"/>
          <w:szCs w:val="20"/>
          <w:lang w:val="en-GB"/>
        </w:rPr>
        <w:t xml:space="preserve"> are not sufficient, or if one or more counterparties run into financial difficulties, this could result in losses for the Group. Moreover, while the Group attempts to diversify its portfolio of investments, the </w:t>
      </w:r>
      <w:bookmarkStart w:name="_9kMK45L7aXv6AA8BKULzmlnx822EibGKM" w:id="442"/>
      <w:r w:rsidRPr="009C48DA">
        <w:rPr>
          <w:rFonts w:eastAsia="Calibri" w:cs="Arial"/>
          <w:szCs w:val="20"/>
          <w:lang w:val="en-GB"/>
        </w:rPr>
        <w:t>Group’s</w:t>
      </w:r>
      <w:bookmarkEnd w:id="442"/>
      <w:r w:rsidRPr="009C48DA">
        <w:rPr>
          <w:rFonts w:eastAsia="Calibri" w:cs="Arial"/>
          <w:szCs w:val="20"/>
          <w:lang w:val="en-GB"/>
        </w:rPr>
        <w:t xml:space="preserve"> investment activities may result in </w:t>
      </w:r>
      <w:r w:rsidRPr="009C48DA">
        <w:rPr>
          <w:rFonts w:eastAsia="Times New Roman" w:cs="Times New Roman"/>
          <w:color w:val="231F20"/>
          <w:szCs w:val="20"/>
          <w:lang w:val="en-GB"/>
        </w:rPr>
        <w:t>credit</w:t>
      </w:r>
      <w:r w:rsidRPr="009C48DA">
        <w:rPr>
          <w:rFonts w:eastAsia="Calibri" w:cs="Arial"/>
          <w:szCs w:val="20"/>
          <w:lang w:val="en-GB"/>
        </w:rPr>
        <w:t xml:space="preserve"> risk relating to investments in which the Group has a direct or indirect exposure. In the event of a bad credit development or a default of investments in which the Group has direct or indirect exposure, this could lead to a lower net asset value and to lower dividends and fewer directly held and opportunistic investments. The performance of the </w:t>
      </w:r>
      <w:bookmarkStart w:name="_9kMI6BN7aXv6AA8BFPLzmlnx822EhdI28" w:id="443"/>
      <w:r w:rsidRPr="009C48DA" w:rsidR="00BB773E">
        <w:rPr>
          <w:rFonts w:eastAsia="Calibri" w:cs="Arial"/>
          <w:szCs w:val="20"/>
          <w:lang w:val="en-GB"/>
        </w:rPr>
        <w:t xml:space="preserve">Bridgepoint </w:t>
      </w:r>
      <w:r w:rsidRPr="009C48DA">
        <w:rPr>
          <w:rFonts w:eastAsia="Calibri" w:cs="Arial"/>
          <w:szCs w:val="20"/>
          <w:lang w:val="en-GB"/>
        </w:rPr>
        <w:t>Funds</w:t>
      </w:r>
      <w:bookmarkEnd w:id="443"/>
      <w:r w:rsidRPr="009C48DA">
        <w:rPr>
          <w:rFonts w:eastAsia="Calibri" w:cs="Arial"/>
          <w:szCs w:val="20"/>
          <w:lang w:val="en-GB"/>
        </w:rPr>
        <w:t xml:space="preserve"> may </w:t>
      </w:r>
      <w:r w:rsidRPr="009C48DA" w:rsidR="00F94147">
        <w:rPr>
          <w:rFonts w:eastAsia="Calibri" w:cs="Arial"/>
          <w:szCs w:val="20"/>
          <w:lang w:val="en-GB"/>
        </w:rPr>
        <w:t>also be affected by credit risk</w:t>
      </w:r>
      <w:r w:rsidRPr="009C48DA">
        <w:rPr>
          <w:rFonts w:eastAsia="Calibri" w:cs="Arial"/>
          <w:szCs w:val="20"/>
          <w:lang w:val="en-GB"/>
        </w:rPr>
        <w:t xml:space="preserve">, which subsequently could influence the Group. Additionally, certain </w:t>
      </w:r>
      <w:bookmarkStart w:name="_9kMI6CO7aXv6AA8BFPLzmlnx822EhdI28" w:id="444"/>
      <w:r w:rsidRPr="009C48DA">
        <w:rPr>
          <w:rFonts w:eastAsia="Calibri" w:cs="Arial"/>
          <w:szCs w:val="20"/>
          <w:lang w:val="en-GB"/>
        </w:rPr>
        <w:t xml:space="preserve">members of the Group </w:t>
      </w:r>
      <w:bookmarkEnd w:id="444"/>
      <w:r w:rsidRPr="009C48DA">
        <w:rPr>
          <w:rFonts w:eastAsia="Calibri" w:cs="Arial"/>
          <w:szCs w:val="20"/>
          <w:lang w:val="en-GB"/>
        </w:rPr>
        <w:t xml:space="preserve">hold derivative instruments that contain an element of risk in the event that the counterparty may be unable to meet the terms of such agreements. </w:t>
      </w:r>
      <w:r w:rsidRPr="009C48DA" w:rsidR="00404462">
        <w:rPr>
          <w:rFonts w:eastAsia="Calibri" w:cs="Arial"/>
          <w:szCs w:val="20"/>
          <w:lang w:val="en-GB"/>
        </w:rPr>
        <w:t xml:space="preserve">Any of the foregoing could subsequently influence the performance of the Company and have a negative effect on its </w:t>
      </w:r>
      <w:r w:rsidRPr="009C48DA" w:rsidR="00174138">
        <w:rPr>
          <w:rFonts w:eastAsia="Calibri" w:cs="Arial"/>
          <w:szCs w:val="20"/>
          <w:lang w:val="en-GB"/>
        </w:rPr>
        <w:t>business, net income</w:t>
      </w:r>
      <w:r w:rsidRPr="009C48DA" w:rsidR="00404462">
        <w:rPr>
          <w:rFonts w:eastAsia="Calibri" w:cs="Arial"/>
          <w:szCs w:val="20"/>
          <w:lang w:val="en-GB"/>
        </w:rPr>
        <w:t>, liquidity</w:t>
      </w:r>
      <w:r w:rsidRPr="009C48DA" w:rsidR="00174138">
        <w:rPr>
          <w:rFonts w:eastAsia="Calibri" w:cs="Arial"/>
          <w:szCs w:val="20"/>
          <w:lang w:val="en-GB"/>
        </w:rPr>
        <w:t xml:space="preserve"> and cash flows</w:t>
      </w:r>
      <w:r w:rsidRPr="009C48DA">
        <w:rPr>
          <w:rFonts w:eastAsia="Calibri" w:cs="Arial"/>
          <w:szCs w:val="20"/>
          <w:lang w:val="en-GB"/>
        </w:rPr>
        <w:t>.</w:t>
      </w:r>
    </w:p>
    <w:p w:rsidRPr="009C48DA" w:rsidR="006D6A27" w:rsidP="00676CA5" w:rsidRDefault="006D6A27" w14:paraId="3C25A8D4" w14:textId="21A94DE9">
      <w:pPr>
        <w:pStyle w:val="TitleBI"/>
        <w:rPr>
          <w:szCs w:val="20"/>
          <w:lang w:val="en-GB"/>
        </w:rPr>
      </w:pPr>
      <w:bookmarkStart w:name="_9kMM5H6ZWu5997HJeSkFN1onpzA44GkdIMO" w:id="445"/>
      <w:r w:rsidRPr="009C48DA">
        <w:rPr>
          <w:szCs w:val="20"/>
          <w:lang w:val="en-GB"/>
        </w:rPr>
        <w:lastRenderedPageBreak/>
        <w:t xml:space="preserve">The </w:t>
      </w:r>
      <w:bookmarkEnd w:id="445"/>
      <w:r w:rsidRPr="009C48DA">
        <w:rPr>
          <w:szCs w:val="20"/>
          <w:lang w:val="en-GB"/>
        </w:rPr>
        <w:t xml:space="preserve">Group is subject to currency risks. </w:t>
      </w:r>
    </w:p>
    <w:p w:rsidRPr="009C48DA" w:rsidR="00404462" w:rsidP="001B1AC7" w:rsidRDefault="006D6A27" w14:paraId="26CDF4EE" w14:textId="0888ADB7">
      <w:pPr>
        <w:pStyle w:val="BodyText2SglJ"/>
        <w:rPr>
          <w:szCs w:val="20"/>
          <w:lang w:val="en-GB"/>
        </w:rPr>
      </w:pPr>
      <w:bookmarkStart w:name="_9kMM6I6ZWu5997HJeSkFN1onpzA44GkdIMO" w:id="446"/>
      <w:r w:rsidRPr="009C48DA">
        <w:rPr>
          <w:rFonts w:eastAsia="Calibri" w:cs="Arial"/>
          <w:szCs w:val="20"/>
          <w:lang w:val="en-GB"/>
        </w:rPr>
        <w:t xml:space="preserve">The </w:t>
      </w:r>
      <w:bookmarkEnd w:id="446"/>
      <w:r w:rsidRPr="009C48DA">
        <w:rPr>
          <w:rFonts w:eastAsia="Calibri" w:cs="Arial"/>
          <w:szCs w:val="20"/>
          <w:lang w:val="en-GB"/>
        </w:rPr>
        <w:t xml:space="preserve">Group is subject to currency risks relating to potential changes in foreign currency exchange rates which could have an impact on the </w:t>
      </w:r>
      <w:bookmarkStart w:name="_9kMK4AQ7aXv6AA8BKULzmlnx822EibGKM" w:id="447"/>
      <w:r w:rsidRPr="009C48DA">
        <w:rPr>
          <w:rFonts w:eastAsia="Calibri" w:cs="Arial"/>
          <w:szCs w:val="20"/>
          <w:lang w:val="en-GB"/>
        </w:rPr>
        <w:t>Group’s</w:t>
      </w:r>
      <w:bookmarkEnd w:id="447"/>
      <w:r w:rsidRPr="009C48DA">
        <w:rPr>
          <w:rFonts w:eastAsia="Calibri" w:cs="Arial"/>
          <w:szCs w:val="20"/>
          <w:lang w:val="en-GB"/>
        </w:rPr>
        <w:t xml:space="preserve"> income statement and/or the value of its assets and liabilities. </w:t>
      </w:r>
      <w:bookmarkStart w:name="_9kMM7J6ZWu5997HJeSkFN1onpzA44GkdIMO" w:id="448"/>
      <w:r w:rsidRPr="009C48DA" w:rsidR="001B1AC7">
        <w:rPr>
          <w:rFonts w:eastAsia="Calibri" w:cs="Arial"/>
          <w:szCs w:val="20"/>
          <w:lang w:val="en-GB"/>
        </w:rPr>
        <w:t xml:space="preserve">This involves transaction risk, which is the adverse effect that foreign exchange rate fluctuations can have on a completed transaction prior to settlement, and translation risk, which is the risk that changes in the rates at which assets, liabilities, income or costs in foreign currencies are translated into the reporting currency. </w:t>
      </w:r>
      <w:r w:rsidRPr="009C48DA">
        <w:rPr>
          <w:rFonts w:eastAsia="Calibri" w:cs="Arial"/>
          <w:szCs w:val="20"/>
          <w:lang w:val="en-GB"/>
        </w:rPr>
        <w:t>The Group’s</w:t>
      </w:r>
      <w:bookmarkEnd w:id="448"/>
      <w:r w:rsidRPr="009C48DA">
        <w:rPr>
          <w:rFonts w:eastAsia="Calibri" w:cs="Arial"/>
          <w:szCs w:val="20"/>
          <w:lang w:val="en-GB"/>
        </w:rPr>
        <w:t xml:space="preserve"> income is primarily denominated in </w:t>
      </w:r>
      <w:r w:rsidRPr="009C48DA" w:rsidR="00CE3171">
        <w:rPr>
          <w:rFonts w:eastAsia="Calibri" w:cs="Arial"/>
          <w:szCs w:val="20"/>
          <w:lang w:val="en-GB"/>
        </w:rPr>
        <w:t>e</w:t>
      </w:r>
      <w:r w:rsidRPr="009C48DA" w:rsidR="0087038F">
        <w:rPr>
          <w:rFonts w:eastAsia="Calibri" w:cs="Arial"/>
          <w:szCs w:val="20"/>
          <w:lang w:val="en-GB"/>
        </w:rPr>
        <w:t>uro</w:t>
      </w:r>
      <w:r w:rsidRPr="009C48DA">
        <w:rPr>
          <w:rFonts w:eastAsia="Calibri" w:cs="Arial"/>
          <w:szCs w:val="20"/>
          <w:lang w:val="en-GB"/>
        </w:rPr>
        <w:t xml:space="preserve"> and its expenses are primarily denominated in </w:t>
      </w:r>
      <w:r w:rsidRPr="009C48DA" w:rsidR="0087038F">
        <w:rPr>
          <w:rFonts w:eastAsia="Calibri" w:cs="Arial"/>
          <w:szCs w:val="20"/>
          <w:lang w:val="en-GB"/>
        </w:rPr>
        <w:t>pound sterling</w:t>
      </w:r>
      <w:r w:rsidRPr="009C48DA">
        <w:rPr>
          <w:rFonts w:eastAsia="Calibri" w:cs="Arial"/>
          <w:szCs w:val="20"/>
          <w:lang w:val="en-GB"/>
        </w:rPr>
        <w:t xml:space="preserve"> </w:t>
      </w:r>
      <w:r w:rsidRPr="009C48DA" w:rsidR="00CE3171">
        <w:rPr>
          <w:rFonts w:eastAsia="Calibri" w:cs="Arial"/>
          <w:szCs w:val="20"/>
          <w:lang w:val="en-GB"/>
        </w:rPr>
        <w:t>and e</w:t>
      </w:r>
      <w:r w:rsidRPr="009C48DA" w:rsidR="000E655E">
        <w:rPr>
          <w:rFonts w:eastAsia="Calibri" w:cs="Arial"/>
          <w:szCs w:val="20"/>
          <w:lang w:val="en-GB"/>
        </w:rPr>
        <w:t xml:space="preserve">uro </w:t>
      </w:r>
      <w:r w:rsidRPr="009C48DA">
        <w:rPr>
          <w:rFonts w:eastAsia="Calibri" w:cs="Arial"/>
          <w:szCs w:val="20"/>
          <w:lang w:val="en-GB"/>
        </w:rPr>
        <w:t xml:space="preserve">but also in </w:t>
      </w:r>
      <w:r w:rsidRPr="009C48DA" w:rsidR="0087038F">
        <w:rPr>
          <w:rFonts w:eastAsia="Calibri" w:cs="Arial"/>
          <w:szCs w:val="20"/>
          <w:lang w:val="en-GB"/>
        </w:rPr>
        <w:t>U</w:t>
      </w:r>
      <w:r w:rsidRPr="009C48DA" w:rsidR="006B502F">
        <w:rPr>
          <w:rFonts w:eastAsia="Calibri" w:cs="Arial"/>
          <w:szCs w:val="20"/>
          <w:lang w:val="en-GB"/>
        </w:rPr>
        <w:t>nited States dollar</w:t>
      </w:r>
      <w:r w:rsidRPr="009C48DA" w:rsidR="0087038F">
        <w:rPr>
          <w:rFonts w:eastAsia="Calibri" w:cs="Arial"/>
          <w:szCs w:val="20"/>
          <w:lang w:val="en-GB"/>
        </w:rPr>
        <w:t>, Swedish kronor</w:t>
      </w:r>
      <w:r w:rsidRPr="009C48DA">
        <w:rPr>
          <w:rFonts w:eastAsia="Calibri" w:cs="Arial"/>
          <w:szCs w:val="20"/>
          <w:lang w:val="en-GB"/>
        </w:rPr>
        <w:t xml:space="preserve"> and </w:t>
      </w:r>
      <w:r w:rsidRPr="009C48DA" w:rsidR="0087038F">
        <w:rPr>
          <w:rFonts w:eastAsia="Calibri" w:cs="Arial"/>
          <w:szCs w:val="20"/>
          <w:lang w:val="en-GB"/>
        </w:rPr>
        <w:t>Chinese yuan</w:t>
      </w:r>
      <w:r w:rsidRPr="009C48DA" w:rsidR="000E655E">
        <w:rPr>
          <w:rFonts w:eastAsia="Calibri" w:cs="Arial"/>
          <w:szCs w:val="20"/>
          <w:lang w:val="en-GB"/>
        </w:rPr>
        <w:t>, among others</w:t>
      </w:r>
      <w:r w:rsidRPr="009C48DA">
        <w:rPr>
          <w:rFonts w:eastAsia="Calibri" w:cs="Arial"/>
          <w:szCs w:val="20"/>
          <w:lang w:val="en-GB"/>
        </w:rPr>
        <w:t xml:space="preserve">. </w:t>
      </w:r>
      <w:bookmarkStart w:name="_9kMM8K6ZWu5997HJeSkFN1onpzA44GkdIMO" w:id="449"/>
      <w:r w:rsidRPr="009C48DA" w:rsidR="00404462">
        <w:rPr>
          <w:rFonts w:eastAsia="Calibri" w:cs="Arial"/>
          <w:szCs w:val="20"/>
          <w:lang w:val="en-GB"/>
        </w:rPr>
        <w:t xml:space="preserve">For example, in the year ended 31 December 2020, approximately </w:t>
      </w:r>
      <w:r w:rsidRPr="009C48DA" w:rsidR="00D16A07">
        <w:rPr>
          <w:rFonts w:eastAsia="Calibri" w:cs="Arial"/>
          <w:szCs w:val="20"/>
          <w:lang w:val="en-GB"/>
        </w:rPr>
        <w:t>87</w:t>
      </w:r>
      <w:r w:rsidRPr="009C48DA" w:rsidR="00404462">
        <w:rPr>
          <w:rFonts w:eastAsia="Calibri" w:cs="Arial"/>
          <w:szCs w:val="20"/>
          <w:lang w:val="en-GB"/>
        </w:rPr>
        <w:t xml:space="preserve"> per cent and </w:t>
      </w:r>
      <w:r w:rsidRPr="009C48DA" w:rsidR="00D16A07">
        <w:rPr>
          <w:rFonts w:eastAsia="Calibri" w:cs="Arial"/>
          <w:szCs w:val="20"/>
          <w:lang w:val="en-GB"/>
        </w:rPr>
        <w:t>13</w:t>
      </w:r>
      <w:r w:rsidRPr="009C48DA" w:rsidR="00404462">
        <w:rPr>
          <w:rFonts w:eastAsia="Calibri" w:cs="Arial"/>
          <w:szCs w:val="20"/>
          <w:lang w:val="en-GB"/>
        </w:rPr>
        <w:t xml:space="preserve"> per cent of the Group’s </w:t>
      </w:r>
      <w:r w:rsidRPr="009C48DA" w:rsidR="00D16A07">
        <w:rPr>
          <w:rFonts w:eastAsia="Calibri" w:cs="Arial"/>
          <w:szCs w:val="20"/>
          <w:lang w:val="en-GB"/>
        </w:rPr>
        <w:t>total operating</w:t>
      </w:r>
      <w:r w:rsidRPr="009C48DA" w:rsidR="00404462">
        <w:rPr>
          <w:rFonts w:eastAsia="Calibri" w:cs="Arial"/>
          <w:szCs w:val="20"/>
          <w:lang w:val="en-GB"/>
        </w:rPr>
        <w:t xml:space="preserve"> income was euro and pound ster</w:t>
      </w:r>
      <w:r w:rsidRPr="009C48DA" w:rsidR="00B41930">
        <w:rPr>
          <w:rFonts w:eastAsia="Calibri" w:cs="Arial"/>
          <w:szCs w:val="20"/>
          <w:lang w:val="en-GB"/>
        </w:rPr>
        <w:t>ling denominated, respectively.</w:t>
      </w:r>
      <w:r w:rsidRPr="009C48DA" w:rsidR="003F3801">
        <w:rPr>
          <w:rFonts w:eastAsia="Calibri" w:cs="Arial"/>
          <w:szCs w:val="20"/>
          <w:lang w:val="en-GB"/>
        </w:rPr>
        <w:t xml:space="preserve"> </w:t>
      </w:r>
      <w:r w:rsidRPr="009C48DA" w:rsidR="00B41930">
        <w:rPr>
          <w:rFonts w:eastAsia="Calibri" w:cs="Arial"/>
          <w:szCs w:val="20"/>
          <w:lang w:val="en-GB"/>
        </w:rPr>
        <w:t xml:space="preserve">In 2021, it is expected that approximately 24 per cent, 62 per cent and 15 </w:t>
      </w:r>
      <w:r w:rsidRPr="009C48DA" w:rsidR="00404462">
        <w:rPr>
          <w:rFonts w:eastAsia="Calibri" w:cs="Arial"/>
          <w:szCs w:val="20"/>
          <w:lang w:val="en-GB"/>
        </w:rPr>
        <w:t xml:space="preserve">per cent of the Group’s costs </w:t>
      </w:r>
      <w:r w:rsidRPr="009C48DA" w:rsidR="00B41930">
        <w:rPr>
          <w:rFonts w:eastAsia="Calibri" w:cs="Arial"/>
          <w:szCs w:val="20"/>
          <w:lang w:val="en-GB"/>
        </w:rPr>
        <w:t>will be</w:t>
      </w:r>
      <w:r w:rsidRPr="009C48DA" w:rsidR="00404462">
        <w:rPr>
          <w:rFonts w:eastAsia="Calibri" w:cs="Arial"/>
          <w:szCs w:val="20"/>
          <w:lang w:val="en-GB"/>
        </w:rPr>
        <w:t xml:space="preserve"> denominated in euro, pound sterling and other currencies, respectively. </w:t>
      </w:r>
      <w:r w:rsidRPr="009C48DA">
        <w:rPr>
          <w:rFonts w:eastAsia="Calibri" w:cs="Arial"/>
          <w:szCs w:val="20"/>
          <w:lang w:val="en-GB"/>
        </w:rPr>
        <w:t>The Group’s</w:t>
      </w:r>
      <w:bookmarkEnd w:id="449"/>
      <w:r w:rsidRPr="009C48DA">
        <w:rPr>
          <w:rFonts w:eastAsia="Calibri" w:cs="Arial"/>
          <w:szCs w:val="20"/>
          <w:lang w:val="en-GB"/>
        </w:rPr>
        <w:t xml:space="preserve"> presentation currency is pound sterling. Income an</w:t>
      </w:r>
      <w:r w:rsidRPr="009C48DA" w:rsidR="00AD3493">
        <w:rPr>
          <w:rFonts w:eastAsia="Calibri" w:cs="Arial"/>
          <w:szCs w:val="20"/>
          <w:lang w:val="en-GB"/>
        </w:rPr>
        <w:t>d expenses denominated in pound</w:t>
      </w:r>
      <w:r w:rsidRPr="009C48DA">
        <w:rPr>
          <w:rFonts w:eastAsia="Calibri" w:cs="Arial"/>
          <w:szCs w:val="20"/>
          <w:lang w:val="en-GB"/>
        </w:rPr>
        <w:t xml:space="preserve"> sterling are therefore not directly affected by changes in exchange rates. However, when income and expenses arise in entities with a functional currency other than pound sterling, the </w:t>
      </w:r>
      <w:bookmarkStart w:name="_9kMK52H7aXv6AA8BKULzmlnx822EibGKM" w:id="450"/>
      <w:r w:rsidRPr="009C48DA">
        <w:rPr>
          <w:rFonts w:eastAsia="Calibri" w:cs="Arial"/>
          <w:szCs w:val="20"/>
          <w:lang w:val="en-GB"/>
        </w:rPr>
        <w:t>Group’s</w:t>
      </w:r>
      <w:bookmarkEnd w:id="450"/>
      <w:r w:rsidRPr="009C48DA">
        <w:rPr>
          <w:rFonts w:eastAsia="Calibri" w:cs="Arial"/>
          <w:szCs w:val="20"/>
          <w:lang w:val="en-GB"/>
        </w:rPr>
        <w:t xml:space="preserve"> operating profits will be affected by changes in exchange rates in the period between initial recognition of revenue or </w:t>
      </w:r>
      <w:r w:rsidRPr="009C48DA">
        <w:rPr>
          <w:rFonts w:eastAsia="Times New Roman" w:cs="Times New Roman"/>
          <w:color w:val="231F20"/>
          <w:szCs w:val="20"/>
          <w:lang w:val="en-GB"/>
        </w:rPr>
        <w:t>expense</w:t>
      </w:r>
      <w:r w:rsidRPr="009C48DA">
        <w:rPr>
          <w:rFonts w:eastAsia="Calibri" w:cs="Arial"/>
          <w:szCs w:val="20"/>
          <w:lang w:val="en-GB"/>
        </w:rPr>
        <w:t xml:space="preserve"> and settlement. </w:t>
      </w:r>
      <w:r w:rsidRPr="009C48DA" w:rsidR="0094374F">
        <w:rPr>
          <w:rFonts w:eastAsia="Calibri" w:cs="Arial"/>
          <w:szCs w:val="20"/>
          <w:lang w:val="en-GB"/>
        </w:rPr>
        <w:t xml:space="preserve">The exposure to </w:t>
      </w:r>
      <w:r w:rsidRPr="009C48DA" w:rsidR="000E655E">
        <w:rPr>
          <w:rFonts w:eastAsia="Calibri" w:cs="Arial"/>
          <w:szCs w:val="20"/>
          <w:lang w:val="en-GB"/>
        </w:rPr>
        <w:t>currency risk</w:t>
      </w:r>
      <w:r w:rsidRPr="009C48DA" w:rsidR="00404462">
        <w:rPr>
          <w:rFonts w:eastAsia="Calibri" w:cs="Arial"/>
          <w:szCs w:val="20"/>
          <w:lang w:val="en-GB"/>
        </w:rPr>
        <w:t>s</w:t>
      </w:r>
      <w:r w:rsidRPr="009C48DA" w:rsidR="000E655E">
        <w:rPr>
          <w:rFonts w:eastAsia="Calibri" w:cs="Arial"/>
          <w:szCs w:val="20"/>
          <w:lang w:val="en-GB"/>
        </w:rPr>
        <w:t xml:space="preserve"> is to a large extent related to </w:t>
      </w:r>
      <w:r w:rsidRPr="009C48DA" w:rsidR="00BB773E">
        <w:rPr>
          <w:rFonts w:eastAsia="Calibri" w:cs="Arial"/>
          <w:szCs w:val="20"/>
          <w:lang w:val="en-GB"/>
        </w:rPr>
        <w:t xml:space="preserve">Bridgepoint </w:t>
      </w:r>
      <w:r w:rsidRPr="009C48DA" w:rsidR="0094374F">
        <w:rPr>
          <w:rFonts w:eastAsia="Calibri" w:cs="Arial"/>
          <w:szCs w:val="20"/>
          <w:lang w:val="en-GB"/>
        </w:rPr>
        <w:t xml:space="preserve">Advisers Limited, </w:t>
      </w:r>
      <w:r w:rsidRPr="009C48DA" w:rsidR="00BB773E">
        <w:rPr>
          <w:rFonts w:eastAsia="Calibri" w:cs="Arial"/>
          <w:szCs w:val="20"/>
          <w:lang w:val="en-GB"/>
        </w:rPr>
        <w:t xml:space="preserve">Bridgepoint </w:t>
      </w:r>
      <w:r w:rsidRPr="009C48DA" w:rsidR="0094374F">
        <w:rPr>
          <w:rFonts w:eastAsia="Calibri" w:cs="Arial"/>
          <w:szCs w:val="20"/>
          <w:lang w:val="en-GB"/>
        </w:rPr>
        <w:t>Credit Limited</w:t>
      </w:r>
      <w:r w:rsidRPr="009C48DA" w:rsidR="0068713B">
        <w:rPr>
          <w:rFonts w:eastAsia="Calibri" w:cs="Arial"/>
          <w:szCs w:val="20"/>
          <w:lang w:val="en-GB"/>
        </w:rPr>
        <w:t xml:space="preserve"> (“</w:t>
      </w:r>
      <w:r w:rsidRPr="009C48DA" w:rsidR="0068713B">
        <w:rPr>
          <w:rFonts w:eastAsia="Calibri" w:cs="Arial"/>
          <w:b/>
          <w:szCs w:val="20"/>
          <w:lang w:val="en-GB"/>
        </w:rPr>
        <w:t>BCL</w:t>
      </w:r>
      <w:r w:rsidRPr="009C48DA" w:rsidR="0068713B">
        <w:rPr>
          <w:rFonts w:eastAsia="Calibri" w:cs="Arial"/>
          <w:szCs w:val="20"/>
          <w:lang w:val="en-GB"/>
        </w:rPr>
        <w:t>”)</w:t>
      </w:r>
      <w:r w:rsidRPr="009C48DA" w:rsidR="0094374F">
        <w:rPr>
          <w:rFonts w:eastAsia="Calibri" w:cs="Arial"/>
          <w:szCs w:val="20"/>
          <w:lang w:val="en-GB"/>
        </w:rPr>
        <w:t xml:space="preserve"> and </w:t>
      </w:r>
      <w:r w:rsidRPr="009C48DA" w:rsidR="00BB773E">
        <w:rPr>
          <w:rFonts w:eastAsia="Calibri" w:cs="Arial"/>
          <w:szCs w:val="20"/>
          <w:lang w:val="en-GB"/>
        </w:rPr>
        <w:t xml:space="preserve">Bridgepoint </w:t>
      </w:r>
      <w:r w:rsidRPr="009C48DA" w:rsidR="0094374F">
        <w:rPr>
          <w:rFonts w:eastAsia="Calibri" w:cs="Arial"/>
          <w:szCs w:val="20"/>
          <w:lang w:val="en-GB"/>
        </w:rPr>
        <w:t>Credit Services S.à</w:t>
      </w:r>
      <w:r w:rsidRPr="009C48DA" w:rsidR="00D16A07">
        <w:rPr>
          <w:rFonts w:eastAsia="Calibri" w:cs="Arial"/>
          <w:szCs w:val="20"/>
          <w:lang w:val="en-GB"/>
        </w:rPr>
        <w:t xml:space="preserve"> </w:t>
      </w:r>
      <w:r w:rsidRPr="009C48DA" w:rsidR="0094374F">
        <w:rPr>
          <w:rFonts w:eastAsia="Calibri" w:cs="Arial"/>
          <w:szCs w:val="20"/>
          <w:lang w:val="en-GB"/>
        </w:rPr>
        <w:t>r.l</w:t>
      </w:r>
      <w:r w:rsidRPr="009C48DA" w:rsidR="004A5559">
        <w:rPr>
          <w:rFonts w:eastAsia="Calibri" w:cs="Arial"/>
          <w:szCs w:val="20"/>
          <w:lang w:val="en-GB"/>
        </w:rPr>
        <w:t>.</w:t>
      </w:r>
      <w:r w:rsidRPr="009C48DA" w:rsidR="0094374F">
        <w:rPr>
          <w:rFonts w:eastAsia="Calibri" w:cs="Arial"/>
          <w:szCs w:val="20"/>
          <w:lang w:val="en-GB"/>
        </w:rPr>
        <w:t xml:space="preserve"> as the majority of the income in th</w:t>
      </w:r>
      <w:r w:rsidRPr="009C48DA" w:rsidR="00CE3171">
        <w:rPr>
          <w:rFonts w:eastAsia="Calibri" w:cs="Arial"/>
          <w:szCs w:val="20"/>
          <w:lang w:val="en-GB"/>
        </w:rPr>
        <w:t>ese entities is denominated in e</w:t>
      </w:r>
      <w:r w:rsidRPr="009C48DA" w:rsidR="0094374F">
        <w:rPr>
          <w:rFonts w:eastAsia="Calibri" w:cs="Arial"/>
          <w:szCs w:val="20"/>
          <w:lang w:val="en-GB"/>
        </w:rPr>
        <w:t xml:space="preserve">uro and expenses in pound sterling. </w:t>
      </w:r>
      <w:r w:rsidRPr="009C48DA" w:rsidR="00404462">
        <w:rPr>
          <w:szCs w:val="20"/>
          <w:lang w:val="en-GB"/>
        </w:rPr>
        <w:t>While the Group undertakes a programme of hedging foreign exchange exposure between income in euro and operating expenses in pound sterling where there is a mismatch and uses forward and swap contracts for typically up to three years in the future with an aim to hedge up to its forecast pound sterling operating cost base, major currency fluctuations, in particular between pound sterling and euro, could result in a loss for the Group and have a negative effect on its liquidity. See also “</w:t>
      </w:r>
      <w:r w:rsidRPr="009C48DA" w:rsidR="00404462">
        <w:rPr>
          <w:i/>
          <w:szCs w:val="20"/>
          <w:lang w:val="en-GB"/>
        </w:rPr>
        <w:t>—Risk management activities may adversely affect the return on the Group’s investments</w:t>
      </w:r>
      <w:r w:rsidRPr="009C48DA" w:rsidR="00404462">
        <w:rPr>
          <w:szCs w:val="20"/>
          <w:lang w:val="en-GB"/>
        </w:rPr>
        <w:t>.”</w:t>
      </w:r>
    </w:p>
    <w:p w:rsidRPr="009C48DA" w:rsidR="006D6A27" w:rsidP="00676CA5" w:rsidRDefault="006D6A27" w14:paraId="74D25ADF" w14:textId="60C6902C">
      <w:pPr>
        <w:pStyle w:val="BodyText2SglJ"/>
        <w:rPr>
          <w:rFonts w:eastAsia="Calibri" w:cs="Arial"/>
          <w:szCs w:val="20"/>
          <w:lang w:val="en-GB"/>
        </w:rPr>
      </w:pPr>
      <w:r w:rsidRPr="009C48DA">
        <w:rPr>
          <w:rFonts w:eastAsia="Calibri" w:cs="Arial"/>
          <w:szCs w:val="20"/>
          <w:lang w:val="en-GB"/>
        </w:rPr>
        <w:t xml:space="preserve">Additionally, the </w:t>
      </w:r>
      <w:bookmarkStart w:name="_9kMK54J7aXv6AA8BKULzmlnx822EibGKM" w:id="451"/>
      <w:r w:rsidRPr="009C48DA">
        <w:rPr>
          <w:rFonts w:eastAsia="Calibri" w:cs="Arial"/>
          <w:szCs w:val="20"/>
          <w:lang w:val="en-GB"/>
        </w:rPr>
        <w:t>Group’s</w:t>
      </w:r>
      <w:bookmarkEnd w:id="451"/>
      <w:r w:rsidRPr="009C48DA">
        <w:rPr>
          <w:rFonts w:eastAsia="Calibri" w:cs="Arial"/>
          <w:szCs w:val="20"/>
          <w:lang w:val="en-GB"/>
        </w:rPr>
        <w:t xml:space="preserve"> investments are made (and the Group may incur </w:t>
      </w:r>
      <w:r w:rsidRPr="009C48DA">
        <w:rPr>
          <w:rFonts w:eastAsia="Times New Roman" w:cs="Times New Roman"/>
          <w:color w:val="231F20"/>
          <w:szCs w:val="20"/>
          <w:lang w:val="en-GB"/>
        </w:rPr>
        <w:t>indebtedness</w:t>
      </w:r>
      <w:r w:rsidRPr="009C48DA">
        <w:rPr>
          <w:rFonts w:eastAsia="Calibri" w:cs="Arial"/>
          <w:szCs w:val="20"/>
          <w:lang w:val="en-GB"/>
        </w:rPr>
        <w:t xml:space="preserve">) in a number of different currencies, and the </w:t>
      </w:r>
      <w:bookmarkStart w:name="_9kMI76H7aXv6AA8BFPLzmlnx822EhdI28" w:id="452"/>
      <w:r w:rsidRPr="009C48DA" w:rsidR="00BB773E">
        <w:rPr>
          <w:rFonts w:eastAsia="Calibri" w:cs="Arial"/>
          <w:szCs w:val="20"/>
          <w:lang w:val="en-GB"/>
        </w:rPr>
        <w:t xml:space="preserve">Bridgepoint </w:t>
      </w:r>
      <w:r w:rsidRPr="009C48DA">
        <w:rPr>
          <w:rFonts w:eastAsia="Calibri" w:cs="Arial"/>
          <w:szCs w:val="20"/>
          <w:lang w:val="en-GB"/>
        </w:rPr>
        <w:t>Funds</w:t>
      </w:r>
      <w:bookmarkEnd w:id="452"/>
      <w:r w:rsidRPr="009C48DA" w:rsidR="000F0DE8">
        <w:rPr>
          <w:rFonts w:eastAsia="Calibri" w:cs="Arial"/>
          <w:szCs w:val="20"/>
          <w:lang w:val="en-GB"/>
        </w:rPr>
        <w:t>, their portfolio companies</w:t>
      </w:r>
      <w:r w:rsidRPr="009C48DA">
        <w:rPr>
          <w:rFonts w:eastAsia="Calibri" w:cs="Arial"/>
          <w:szCs w:val="20"/>
          <w:lang w:val="en-GB"/>
        </w:rPr>
        <w:t xml:space="preserve"> and the investment companies in which the Group invests may themselves be exposed to currency risk. Among the factors that may affect currency values and trade balances are relative levels of short-term interest rates, differences in relative values of similar assets in different currencies, long-term opportunities for investment and capital appreciation and political developments. Any returns on, and the value of, the </w:t>
      </w:r>
      <w:bookmarkStart w:name="_9kMK57M7aXv6AA8BKULzmlnx822EibGKM" w:id="453"/>
      <w:r w:rsidRPr="009C48DA">
        <w:rPr>
          <w:rFonts w:eastAsia="Calibri" w:cs="Arial"/>
          <w:szCs w:val="20"/>
          <w:lang w:val="en-GB"/>
        </w:rPr>
        <w:t>Group’s</w:t>
      </w:r>
      <w:bookmarkEnd w:id="453"/>
      <w:r w:rsidRPr="009C48DA">
        <w:rPr>
          <w:rFonts w:eastAsia="Calibri" w:cs="Arial"/>
          <w:szCs w:val="20"/>
          <w:lang w:val="en-GB"/>
        </w:rPr>
        <w:t xml:space="preserve"> investments may, therefore, be materially affected by these factors and by exchange rate fluctuations, local exchange control, limited liquidity of the relevant foreign exchange markets, the convertibility of the currencies in question and/or other factors. Accordingly, an increase in the value of the currencies in which the </w:t>
      </w:r>
      <w:bookmarkStart w:name="_9kMMDP6ZWu5997CDMIz1qpE" w:id="454"/>
      <w:r w:rsidRPr="009C48DA">
        <w:rPr>
          <w:rFonts w:eastAsia="Calibri" w:cs="Arial"/>
          <w:szCs w:val="20"/>
          <w:lang w:val="en-GB"/>
        </w:rPr>
        <w:t>Company’s</w:t>
      </w:r>
      <w:bookmarkEnd w:id="454"/>
      <w:r w:rsidRPr="009C48DA">
        <w:rPr>
          <w:rFonts w:eastAsia="Calibri" w:cs="Arial"/>
          <w:szCs w:val="20"/>
          <w:lang w:val="en-GB"/>
        </w:rPr>
        <w:t xml:space="preserve"> investments are denominated against </w:t>
      </w:r>
      <w:r w:rsidRPr="009C48DA" w:rsidR="0087038F">
        <w:rPr>
          <w:rFonts w:eastAsia="Calibri" w:cs="Arial"/>
          <w:szCs w:val="20"/>
          <w:lang w:val="en-GB"/>
        </w:rPr>
        <w:t>pound sterling</w:t>
      </w:r>
      <w:r w:rsidRPr="009C48DA">
        <w:rPr>
          <w:rFonts w:eastAsia="Calibri" w:cs="Arial"/>
          <w:szCs w:val="20"/>
          <w:lang w:val="en-GB"/>
        </w:rPr>
        <w:t xml:space="preserve"> may adversely affect the </w:t>
      </w:r>
      <w:bookmarkStart w:name="_9kMN5G6ZWu5997CDMIz1qpE" w:id="455"/>
      <w:r w:rsidRPr="009C48DA">
        <w:rPr>
          <w:rFonts w:eastAsia="Calibri" w:cs="Arial"/>
          <w:szCs w:val="20"/>
          <w:lang w:val="en-GB"/>
        </w:rPr>
        <w:t>Company’s</w:t>
      </w:r>
      <w:bookmarkEnd w:id="455"/>
      <w:r w:rsidRPr="009C48DA">
        <w:rPr>
          <w:rFonts w:eastAsia="Calibri" w:cs="Arial"/>
          <w:szCs w:val="20"/>
          <w:lang w:val="en-GB"/>
        </w:rPr>
        <w:t xml:space="preserve"> net asset value. In addition, the </w:t>
      </w:r>
      <w:bookmarkStart w:name="_9kMN6H6ZWu5997CDMIz1qpE" w:id="456"/>
      <w:r w:rsidRPr="009C48DA">
        <w:rPr>
          <w:rFonts w:eastAsia="Calibri" w:cs="Arial"/>
          <w:szCs w:val="20"/>
          <w:lang w:val="en-GB"/>
        </w:rPr>
        <w:t>Company</w:t>
      </w:r>
      <w:bookmarkEnd w:id="456"/>
      <w:r w:rsidRPr="009C48DA">
        <w:rPr>
          <w:rFonts w:eastAsia="Calibri" w:cs="Arial"/>
          <w:szCs w:val="20"/>
          <w:lang w:val="en-GB"/>
        </w:rPr>
        <w:t xml:space="preserve"> will incur costs in connection with conversion between various currencies, which will reduce its net income and accordingly reduce the </w:t>
      </w:r>
      <w:bookmarkStart w:name="_9kMN7I6ZWu5997CDMIz1qpE" w:id="457"/>
      <w:r w:rsidRPr="009C48DA">
        <w:rPr>
          <w:rFonts w:eastAsia="Calibri" w:cs="Arial"/>
          <w:szCs w:val="20"/>
          <w:lang w:val="en-GB"/>
        </w:rPr>
        <w:t>Company’s</w:t>
      </w:r>
      <w:bookmarkEnd w:id="457"/>
      <w:r w:rsidRPr="009C48DA">
        <w:rPr>
          <w:rFonts w:eastAsia="Calibri" w:cs="Arial"/>
          <w:szCs w:val="20"/>
          <w:lang w:val="en-GB"/>
        </w:rPr>
        <w:t xml:space="preserve"> ability to pay dividends.</w:t>
      </w:r>
    </w:p>
    <w:p w:rsidRPr="009C48DA" w:rsidR="006D6A27" w:rsidP="00676CA5" w:rsidRDefault="006D6A27" w14:paraId="44F50D08" w14:textId="13642FF6">
      <w:pPr>
        <w:pStyle w:val="BodyText2SglJ"/>
        <w:rPr>
          <w:rFonts w:eastAsia="Calibri" w:cs="Arial"/>
          <w:szCs w:val="20"/>
          <w:lang w:val="en-GB"/>
        </w:rPr>
      </w:pPr>
      <w:r w:rsidRPr="009C48DA">
        <w:rPr>
          <w:rFonts w:eastAsia="Calibri" w:cs="Arial"/>
          <w:szCs w:val="20"/>
          <w:lang w:val="en-GB"/>
        </w:rPr>
        <w:t xml:space="preserve">Furthermore, changes in rates of exchange may have an adverse effect on the value, price or income of the investments in the </w:t>
      </w:r>
      <w:bookmarkStart w:name="_9kMI77I7aXv6AA8BFPLzmlnx822EhdI28" w:id="458"/>
      <w:r w:rsidRPr="009C48DA" w:rsidR="00BB773E">
        <w:rPr>
          <w:rFonts w:eastAsia="Calibri" w:cs="Arial"/>
          <w:szCs w:val="20"/>
          <w:lang w:val="en-GB"/>
        </w:rPr>
        <w:t xml:space="preserve">Bridgepoint </w:t>
      </w:r>
      <w:r w:rsidRPr="009C48DA">
        <w:rPr>
          <w:rFonts w:eastAsia="Calibri" w:cs="Arial"/>
          <w:szCs w:val="20"/>
          <w:lang w:val="en-GB"/>
        </w:rPr>
        <w:t>Funds</w:t>
      </w:r>
      <w:bookmarkEnd w:id="458"/>
      <w:r w:rsidRPr="009C48DA">
        <w:rPr>
          <w:rFonts w:eastAsia="Calibri" w:cs="Arial"/>
          <w:szCs w:val="20"/>
          <w:lang w:val="en-GB"/>
        </w:rPr>
        <w:t xml:space="preserve">. The value of an investment in a </w:t>
      </w:r>
      <w:bookmarkStart w:name="_9kMI78J7aXv6AA8BFPLzmlnx822EhdI28" w:id="459"/>
      <w:r w:rsidRPr="009C48DA" w:rsidR="00BB773E">
        <w:rPr>
          <w:rFonts w:eastAsia="Calibri" w:cs="Arial"/>
          <w:szCs w:val="20"/>
          <w:lang w:val="en-GB"/>
        </w:rPr>
        <w:t xml:space="preserve">Bridgepoint </w:t>
      </w:r>
      <w:r w:rsidRPr="009C48DA">
        <w:rPr>
          <w:rFonts w:eastAsia="Calibri" w:cs="Arial"/>
          <w:szCs w:val="20"/>
          <w:lang w:val="en-GB"/>
        </w:rPr>
        <w:t>Fund</w:t>
      </w:r>
      <w:bookmarkEnd w:id="459"/>
      <w:r w:rsidRPr="009C48DA">
        <w:rPr>
          <w:rFonts w:eastAsia="Calibri" w:cs="Arial"/>
          <w:szCs w:val="20"/>
          <w:lang w:val="en-GB"/>
        </w:rPr>
        <w:t xml:space="preserve"> may fall as a result of ﬂuctuations in the currency of the country in which the investment is made as against the value of </w:t>
      </w:r>
      <w:r w:rsidRPr="009C48DA" w:rsidR="0087038F">
        <w:rPr>
          <w:rFonts w:eastAsia="Calibri" w:cs="Arial"/>
          <w:szCs w:val="20"/>
          <w:lang w:val="en-GB"/>
        </w:rPr>
        <w:t>pound sterling</w:t>
      </w:r>
      <w:r w:rsidRPr="009C48DA">
        <w:rPr>
          <w:rFonts w:eastAsia="Calibri" w:cs="Arial"/>
          <w:szCs w:val="20"/>
          <w:lang w:val="en-GB"/>
        </w:rPr>
        <w:t xml:space="preserve">. The relevant </w:t>
      </w:r>
      <w:bookmarkStart w:name="_9kMLK5YVt4886CLWQ5pPHpqkp1" w:id="460"/>
      <w:r w:rsidRPr="009C48DA">
        <w:rPr>
          <w:rFonts w:eastAsia="Calibri" w:cs="Arial"/>
          <w:szCs w:val="20"/>
          <w:lang w:val="en-GB"/>
        </w:rPr>
        <w:t>Fund Manager</w:t>
      </w:r>
      <w:bookmarkEnd w:id="460"/>
      <w:r w:rsidRPr="009C48DA">
        <w:rPr>
          <w:rFonts w:eastAsia="Calibri" w:cs="Arial"/>
          <w:szCs w:val="20"/>
          <w:lang w:val="en-GB"/>
        </w:rPr>
        <w:t xml:space="preserve"> may endeavour to manage currency exposures using appropriate hedging techniques where available and </w:t>
      </w:r>
      <w:r w:rsidRPr="009C48DA">
        <w:rPr>
          <w:rFonts w:eastAsia="Times New Roman" w:cs="Times New Roman"/>
          <w:color w:val="231F20"/>
          <w:szCs w:val="20"/>
          <w:lang w:val="en-GB"/>
        </w:rPr>
        <w:t>appropriate</w:t>
      </w:r>
      <w:r w:rsidRPr="009C48DA">
        <w:rPr>
          <w:rFonts w:eastAsia="Calibri" w:cs="Arial"/>
          <w:szCs w:val="20"/>
          <w:lang w:val="en-GB"/>
        </w:rPr>
        <w:t xml:space="preserve"> which will be costly and there can be no assurance that adequate hedging arrangements will be available on an economically viable basis. In the event that </w:t>
      </w:r>
      <w:bookmarkStart w:name="_9kMJI5YVt4886EGWHomfwlixy33" w:id="461"/>
      <w:r w:rsidRPr="009C48DA" w:rsidR="000E1FF1">
        <w:rPr>
          <w:rFonts w:eastAsia="Calibri" w:cs="Arial"/>
          <w:szCs w:val="20"/>
          <w:lang w:val="en-GB"/>
        </w:rPr>
        <w:t>m</w:t>
      </w:r>
      <w:r w:rsidRPr="009C48DA">
        <w:rPr>
          <w:rFonts w:eastAsia="Calibri" w:cs="Arial"/>
          <w:szCs w:val="20"/>
          <w:lang w:val="en-GB"/>
        </w:rPr>
        <w:t xml:space="preserve">ember </w:t>
      </w:r>
      <w:r w:rsidRPr="009C48DA" w:rsidR="000E1FF1">
        <w:rPr>
          <w:rFonts w:eastAsia="Calibri" w:cs="Arial"/>
          <w:szCs w:val="20"/>
          <w:lang w:val="en-GB"/>
        </w:rPr>
        <w:t>s</w:t>
      </w:r>
      <w:r w:rsidRPr="009C48DA">
        <w:rPr>
          <w:rFonts w:eastAsia="Calibri" w:cs="Arial"/>
          <w:szCs w:val="20"/>
          <w:lang w:val="en-GB"/>
        </w:rPr>
        <w:t>tates</w:t>
      </w:r>
      <w:bookmarkEnd w:id="461"/>
      <w:r w:rsidRPr="009C48DA" w:rsidR="00CE3171">
        <w:rPr>
          <w:rFonts w:eastAsia="Calibri" w:cs="Arial"/>
          <w:szCs w:val="20"/>
          <w:lang w:val="en-GB"/>
        </w:rPr>
        <w:t xml:space="preserve"> cease to use the e</w:t>
      </w:r>
      <w:r w:rsidRPr="009C48DA">
        <w:rPr>
          <w:rFonts w:eastAsia="Calibri" w:cs="Arial"/>
          <w:szCs w:val="20"/>
          <w:lang w:val="en-GB"/>
        </w:rPr>
        <w:t xml:space="preserve">uro as their national currency, this could have an adverse effect on the </w:t>
      </w:r>
      <w:bookmarkStart w:name="_9kMI79K7aXv6AA8BFPLzmlnx822EhdI28" w:id="462"/>
      <w:r w:rsidRPr="009C48DA" w:rsidR="00BB773E">
        <w:rPr>
          <w:rFonts w:eastAsia="Calibri" w:cs="Arial"/>
          <w:szCs w:val="20"/>
          <w:lang w:val="en-GB"/>
        </w:rPr>
        <w:t xml:space="preserve">Bridgepoint </w:t>
      </w:r>
      <w:r w:rsidRPr="009C48DA">
        <w:rPr>
          <w:rFonts w:eastAsia="Calibri" w:cs="Arial"/>
          <w:szCs w:val="20"/>
          <w:lang w:val="en-GB"/>
        </w:rPr>
        <w:t>Funds</w:t>
      </w:r>
      <w:bookmarkEnd w:id="462"/>
      <w:r w:rsidRPr="009C48DA">
        <w:rPr>
          <w:rFonts w:eastAsia="Calibri" w:cs="Arial"/>
          <w:szCs w:val="20"/>
          <w:lang w:val="en-GB"/>
        </w:rPr>
        <w:t xml:space="preserve">, the performance of their investments and ability to fulfil their investment objectives. Any of the foregoing could subsequently influence the performance of the </w:t>
      </w:r>
      <w:bookmarkStart w:name="_9kMN8J6ZWu5997CDMIz1qpE" w:id="463"/>
      <w:r w:rsidRPr="009C48DA">
        <w:rPr>
          <w:rFonts w:eastAsia="Calibri" w:cs="Arial"/>
          <w:szCs w:val="20"/>
          <w:lang w:val="en-GB"/>
        </w:rPr>
        <w:t>Company</w:t>
      </w:r>
      <w:bookmarkEnd w:id="463"/>
      <w:r w:rsidRPr="009C48DA">
        <w:rPr>
          <w:rFonts w:eastAsia="Calibri" w:cs="Arial"/>
          <w:szCs w:val="20"/>
          <w:lang w:val="en-GB"/>
        </w:rPr>
        <w:t xml:space="preserve"> and have a negative effect on its </w:t>
      </w:r>
      <w:r w:rsidRPr="009C48DA" w:rsidR="00080B75">
        <w:rPr>
          <w:rFonts w:eastAsia="Calibri" w:cs="Arial"/>
          <w:szCs w:val="20"/>
          <w:lang w:val="en-GB"/>
        </w:rPr>
        <w:t xml:space="preserve">business, net income, </w:t>
      </w:r>
      <w:r w:rsidRPr="009C48DA">
        <w:rPr>
          <w:rFonts w:eastAsia="Calibri" w:cs="Arial"/>
          <w:szCs w:val="20"/>
          <w:lang w:val="en-GB"/>
        </w:rPr>
        <w:t>liquidity and cash flow</w:t>
      </w:r>
      <w:r w:rsidRPr="009C48DA" w:rsidR="00080B75">
        <w:rPr>
          <w:rFonts w:eastAsia="Calibri" w:cs="Arial"/>
          <w:szCs w:val="20"/>
          <w:lang w:val="en-GB"/>
        </w:rPr>
        <w:t>s</w:t>
      </w:r>
      <w:r w:rsidRPr="009C48DA">
        <w:rPr>
          <w:rFonts w:eastAsia="Calibri" w:cs="Arial"/>
          <w:szCs w:val="20"/>
          <w:lang w:val="en-GB"/>
        </w:rPr>
        <w:t>.</w:t>
      </w:r>
    </w:p>
    <w:p w:rsidRPr="009C48DA" w:rsidR="006D6A27" w:rsidP="00676CA5" w:rsidRDefault="006D6A27" w14:paraId="0801B4AA" w14:textId="3E38D7BB">
      <w:pPr>
        <w:pStyle w:val="TitleBI"/>
        <w:rPr>
          <w:szCs w:val="20"/>
          <w:lang w:val="en-GB"/>
        </w:rPr>
      </w:pPr>
      <w:r w:rsidRPr="009C48DA">
        <w:rPr>
          <w:szCs w:val="20"/>
          <w:lang w:val="en-GB"/>
        </w:rPr>
        <w:t xml:space="preserve">An increase in interest rates and other changes in debt financing markets could negatively impact the ability of the </w:t>
      </w:r>
      <w:bookmarkStart w:name="_9kMI7AL7aXv6AA8BFPLzmlnx822EhdI28" w:id="464"/>
      <w:r w:rsidRPr="009C48DA" w:rsidR="00BB773E">
        <w:rPr>
          <w:rFonts w:eastAsia="Calibri" w:cs="Arial"/>
          <w:szCs w:val="20"/>
          <w:lang w:val="en-GB"/>
        </w:rPr>
        <w:t xml:space="preserve">Bridgepoint </w:t>
      </w:r>
      <w:r w:rsidRPr="009C48DA">
        <w:rPr>
          <w:szCs w:val="20"/>
          <w:lang w:val="en-GB"/>
        </w:rPr>
        <w:t>Funds</w:t>
      </w:r>
      <w:bookmarkEnd w:id="464"/>
      <w:r w:rsidRPr="009C48DA">
        <w:rPr>
          <w:szCs w:val="20"/>
          <w:lang w:val="en-GB"/>
        </w:rPr>
        <w:t xml:space="preserve"> and their portfolio companies to obtain attractive financing or refinancing and could increase the cost of such financing if it is obtained, which could lead to lower-yielding investments and potentially decrease the </w:t>
      </w:r>
      <w:bookmarkStart w:name="_9kMK58N7aXv6AA8BKULzmlnx822EibGKM" w:id="465"/>
      <w:r w:rsidRPr="009C48DA">
        <w:rPr>
          <w:szCs w:val="20"/>
          <w:lang w:val="en-GB"/>
        </w:rPr>
        <w:t>Group’s</w:t>
      </w:r>
      <w:bookmarkEnd w:id="465"/>
      <w:r w:rsidRPr="009C48DA">
        <w:rPr>
          <w:szCs w:val="20"/>
          <w:lang w:val="en-GB"/>
        </w:rPr>
        <w:t xml:space="preserve"> net income.</w:t>
      </w:r>
    </w:p>
    <w:p w:rsidRPr="009C48DA" w:rsidR="006D6A27" w:rsidP="00676CA5" w:rsidRDefault="006D6A27" w14:paraId="447C9F8B" w14:textId="76A40EA8">
      <w:pPr>
        <w:pStyle w:val="BodyText2SglJ"/>
        <w:rPr>
          <w:rFonts w:eastAsia="Calibri" w:cs="Arial"/>
          <w:szCs w:val="20"/>
          <w:lang w:val="en-GB"/>
        </w:rPr>
      </w:pPr>
      <w:r w:rsidRPr="009C48DA">
        <w:rPr>
          <w:rFonts w:eastAsia="Calibri" w:cs="Arial"/>
          <w:szCs w:val="20"/>
          <w:lang w:val="en-GB"/>
        </w:rPr>
        <w:t xml:space="preserve">Interest rates have remained at relatively low levels on a historical basis. However, a period of sharply rising interest rates could increase the cost and availability of debt financing for the transactions the </w:t>
      </w:r>
      <w:bookmarkStart w:name="_9kMI7BM7aXv6AA8BFPLzmlnx822EhdI28" w:id="466"/>
      <w:r w:rsidRPr="009C48DA" w:rsidR="00BB773E">
        <w:rPr>
          <w:rFonts w:eastAsia="Calibri" w:cs="Arial"/>
          <w:szCs w:val="20"/>
          <w:lang w:val="en-GB"/>
        </w:rPr>
        <w:t xml:space="preserve">Bridgepoint </w:t>
      </w:r>
      <w:r w:rsidRPr="009C48DA">
        <w:rPr>
          <w:rFonts w:eastAsia="Calibri" w:cs="Arial"/>
          <w:szCs w:val="20"/>
          <w:lang w:val="en-GB"/>
        </w:rPr>
        <w:t>Funds</w:t>
      </w:r>
      <w:bookmarkEnd w:id="466"/>
      <w:r w:rsidRPr="009C48DA">
        <w:rPr>
          <w:rFonts w:eastAsia="Calibri" w:cs="Arial"/>
          <w:szCs w:val="20"/>
          <w:lang w:val="en-GB"/>
        </w:rPr>
        <w:t xml:space="preserve"> pursue and decrease the value of fixed-rate debt </w:t>
      </w:r>
      <w:r w:rsidRPr="009C48DA">
        <w:rPr>
          <w:rFonts w:eastAsia="Times New Roman" w:cs="Times New Roman"/>
          <w:color w:val="231F20"/>
          <w:szCs w:val="20"/>
          <w:lang w:val="en-GB"/>
        </w:rPr>
        <w:t>investments</w:t>
      </w:r>
      <w:r w:rsidRPr="009C48DA">
        <w:rPr>
          <w:rFonts w:eastAsia="Calibri" w:cs="Arial"/>
          <w:szCs w:val="20"/>
          <w:lang w:val="en-GB"/>
        </w:rPr>
        <w:t xml:space="preserve"> made by the </w:t>
      </w:r>
      <w:bookmarkStart w:name="_9kMI7CN7aXv6AA8BFPLzmlnx822EhdI28" w:id="467"/>
      <w:r w:rsidRPr="009C48DA" w:rsidR="00BB773E">
        <w:rPr>
          <w:rFonts w:eastAsia="Calibri" w:cs="Arial"/>
          <w:szCs w:val="20"/>
          <w:lang w:val="en-GB"/>
        </w:rPr>
        <w:t xml:space="preserve">Bridgepoint </w:t>
      </w:r>
      <w:r w:rsidRPr="009C48DA">
        <w:rPr>
          <w:rFonts w:eastAsia="Calibri" w:cs="Arial"/>
          <w:szCs w:val="20"/>
          <w:lang w:val="en-GB"/>
        </w:rPr>
        <w:t>Funds</w:t>
      </w:r>
      <w:bookmarkEnd w:id="467"/>
      <w:r w:rsidRPr="009C48DA">
        <w:rPr>
          <w:rFonts w:eastAsia="Calibri" w:cs="Arial"/>
          <w:szCs w:val="20"/>
          <w:lang w:val="en-GB"/>
        </w:rPr>
        <w:t xml:space="preserve">, each of which may have an adverse impact on the </w:t>
      </w:r>
      <w:bookmarkStart w:name="_9kMK59O7aXv6AA8BKULzmlnx822EibGKM" w:id="468"/>
      <w:r w:rsidRPr="009C48DA">
        <w:rPr>
          <w:rFonts w:eastAsia="Calibri" w:cs="Arial"/>
          <w:szCs w:val="20"/>
          <w:lang w:val="en-GB"/>
        </w:rPr>
        <w:t>Group’s</w:t>
      </w:r>
      <w:bookmarkEnd w:id="468"/>
      <w:r w:rsidRPr="009C48DA">
        <w:rPr>
          <w:rFonts w:eastAsia="Calibri" w:cs="Arial"/>
          <w:szCs w:val="20"/>
          <w:lang w:val="en-GB"/>
        </w:rPr>
        <w:t xml:space="preserve"> business. </w:t>
      </w:r>
    </w:p>
    <w:p w:rsidRPr="009C48DA" w:rsidR="006D6A27" w:rsidP="00676CA5" w:rsidRDefault="006D6A27" w14:paraId="7C0183C4" w14:textId="0CF5BA65">
      <w:pPr>
        <w:pStyle w:val="BodyText2SglJ"/>
        <w:rPr>
          <w:rFonts w:eastAsia="Calibri" w:cs="Arial"/>
          <w:szCs w:val="20"/>
          <w:lang w:val="en-GB"/>
        </w:rPr>
      </w:pPr>
      <w:r w:rsidRPr="009C48DA">
        <w:rPr>
          <w:rFonts w:eastAsia="Calibri" w:cs="Arial"/>
          <w:szCs w:val="20"/>
          <w:lang w:val="en-GB"/>
        </w:rPr>
        <w:lastRenderedPageBreak/>
        <w:t xml:space="preserve">If the </w:t>
      </w:r>
      <w:bookmarkStart w:name="_9kMI7DO7aXv6AA8BFPLzmlnx822EhdI28" w:id="469"/>
      <w:r w:rsidRPr="009C48DA" w:rsidR="00BB773E">
        <w:rPr>
          <w:rFonts w:eastAsia="Calibri" w:cs="Arial"/>
          <w:szCs w:val="20"/>
          <w:lang w:val="en-GB"/>
        </w:rPr>
        <w:t xml:space="preserve">Bridgepoint </w:t>
      </w:r>
      <w:r w:rsidRPr="009C48DA">
        <w:rPr>
          <w:rFonts w:eastAsia="Calibri" w:cs="Arial"/>
          <w:szCs w:val="20"/>
          <w:lang w:val="en-GB"/>
        </w:rPr>
        <w:t>Funds</w:t>
      </w:r>
      <w:bookmarkEnd w:id="469"/>
      <w:r w:rsidRPr="009C48DA">
        <w:rPr>
          <w:rFonts w:eastAsia="Calibri" w:cs="Arial"/>
          <w:szCs w:val="20"/>
          <w:lang w:val="en-GB"/>
        </w:rPr>
        <w:t xml:space="preserve"> are unable to obtain committed debt financing for potential acquisitions, </w:t>
      </w:r>
      <w:r w:rsidRPr="009C48DA" w:rsidR="00DF315C">
        <w:rPr>
          <w:rFonts w:eastAsia="Calibri" w:cs="Arial"/>
          <w:szCs w:val="20"/>
          <w:lang w:val="en-GB"/>
        </w:rPr>
        <w:t xml:space="preserve">or </w:t>
      </w:r>
      <w:r w:rsidRPr="009C48DA">
        <w:rPr>
          <w:rFonts w:eastAsia="Calibri" w:cs="Arial"/>
          <w:szCs w:val="20"/>
          <w:lang w:val="en-GB"/>
        </w:rPr>
        <w:t xml:space="preserve">can only obtain debt financing at an increased interest rate or on unfavourable terms or </w:t>
      </w:r>
      <w:r w:rsidRPr="009C48DA">
        <w:rPr>
          <w:rFonts w:eastAsia="Times New Roman" w:cs="Times New Roman"/>
          <w:color w:val="231F20"/>
          <w:szCs w:val="20"/>
          <w:lang w:val="en-GB"/>
        </w:rPr>
        <w:t>the</w:t>
      </w:r>
      <w:r w:rsidRPr="009C48DA">
        <w:rPr>
          <w:rFonts w:eastAsia="Calibri" w:cs="Arial"/>
          <w:szCs w:val="20"/>
          <w:lang w:val="en-GB"/>
        </w:rPr>
        <w:t xml:space="preserve"> ability to deduct corporate interest expense is substantially limited, the </w:t>
      </w:r>
      <w:bookmarkStart w:name="_9kMI7EP7aXv6AA8BFPLzmlnx822EhdI28" w:id="470"/>
      <w:r w:rsidRPr="009C48DA" w:rsidR="00BB773E">
        <w:rPr>
          <w:rFonts w:eastAsia="Calibri" w:cs="Arial"/>
          <w:szCs w:val="20"/>
          <w:lang w:val="en-GB"/>
        </w:rPr>
        <w:t xml:space="preserve">Bridgepoint </w:t>
      </w:r>
      <w:r w:rsidRPr="009C48DA">
        <w:rPr>
          <w:rFonts w:eastAsia="Calibri" w:cs="Arial"/>
          <w:szCs w:val="20"/>
          <w:lang w:val="en-GB"/>
        </w:rPr>
        <w:t>Funds</w:t>
      </w:r>
      <w:bookmarkEnd w:id="470"/>
      <w:r w:rsidRPr="009C48DA">
        <w:rPr>
          <w:rFonts w:eastAsia="Calibri" w:cs="Arial"/>
          <w:szCs w:val="20"/>
          <w:lang w:val="en-GB"/>
        </w:rPr>
        <w:t xml:space="preserve"> may face increased competition from strategic buyers of assets who may have an overall lower cost of capital or the ability to benefit from a higher amount of cost savings following an acquisition, may have difficulty completing otherwise profitable acquisitions or may generate profits that are lower than would otherwise be the case, each of which could lead to a decrease in the </w:t>
      </w:r>
      <w:bookmarkStart w:name="_9kMK63H7aXv6AA8BKULzmlnx822EibGKM" w:id="471"/>
      <w:r w:rsidRPr="009C48DA">
        <w:rPr>
          <w:rFonts w:eastAsia="Calibri" w:cs="Arial"/>
          <w:szCs w:val="20"/>
          <w:lang w:val="en-GB"/>
        </w:rPr>
        <w:t>Group’s</w:t>
      </w:r>
      <w:bookmarkEnd w:id="471"/>
      <w:r w:rsidRPr="009C48DA" w:rsidR="000F0DE8">
        <w:rPr>
          <w:rFonts w:eastAsia="Calibri" w:cs="Arial"/>
          <w:szCs w:val="20"/>
          <w:lang w:val="en-GB"/>
        </w:rPr>
        <w:t xml:space="preserve"> revenue</w:t>
      </w:r>
      <w:r w:rsidRPr="009C48DA">
        <w:rPr>
          <w:rFonts w:eastAsia="Calibri" w:cs="Arial"/>
          <w:szCs w:val="20"/>
          <w:lang w:val="en-GB"/>
        </w:rPr>
        <w:t xml:space="preserve">. In addition, rising interest rates, coupled with periods of significant equity and credit market volatility may potentially make it more difficult for the Group to find attractive opportunities for the </w:t>
      </w:r>
      <w:bookmarkStart w:name="_9kMI7FQ7aXv6AA8BFPLzmlnx822EhdI28" w:id="472"/>
      <w:r w:rsidRPr="009C48DA" w:rsidR="00BB773E">
        <w:rPr>
          <w:rFonts w:eastAsia="Calibri" w:cs="Arial"/>
          <w:szCs w:val="20"/>
          <w:lang w:val="en-GB"/>
        </w:rPr>
        <w:t xml:space="preserve">Bridgepoint </w:t>
      </w:r>
      <w:r w:rsidRPr="009C48DA">
        <w:rPr>
          <w:rFonts w:eastAsia="Calibri" w:cs="Arial"/>
          <w:szCs w:val="20"/>
          <w:lang w:val="en-GB"/>
        </w:rPr>
        <w:t>Funds</w:t>
      </w:r>
      <w:bookmarkEnd w:id="472"/>
      <w:r w:rsidRPr="009C48DA">
        <w:rPr>
          <w:rFonts w:eastAsia="Calibri" w:cs="Arial"/>
          <w:szCs w:val="20"/>
          <w:lang w:val="en-GB"/>
        </w:rPr>
        <w:t xml:space="preserve"> to exit and realise value from their existing investments.</w:t>
      </w:r>
    </w:p>
    <w:p w:rsidRPr="009C48DA" w:rsidR="006D6A27" w:rsidP="00676CA5" w:rsidRDefault="006D6A27" w14:paraId="6128E219" w14:textId="516D29F6">
      <w:pPr>
        <w:pStyle w:val="BodyText2SglJ"/>
        <w:rPr>
          <w:rFonts w:eastAsia="Calibri" w:cs="Arial"/>
          <w:szCs w:val="20"/>
          <w:lang w:val="en-GB"/>
        </w:rPr>
      </w:pPr>
      <w:bookmarkStart w:name="_9kMM9L6ZWu5997HJeSkFN1onpzA44GkdIMO" w:id="473"/>
      <w:r w:rsidRPr="009C48DA">
        <w:rPr>
          <w:rFonts w:eastAsia="Calibri" w:cs="Arial"/>
          <w:szCs w:val="20"/>
          <w:lang w:val="en-GB"/>
        </w:rPr>
        <w:t xml:space="preserve">The </w:t>
      </w:r>
      <w:bookmarkEnd w:id="473"/>
      <w:r w:rsidRPr="009C48DA" w:rsidR="00BB773E">
        <w:rPr>
          <w:rFonts w:eastAsia="Calibri" w:cs="Arial"/>
          <w:szCs w:val="20"/>
          <w:lang w:val="en-GB"/>
        </w:rPr>
        <w:t xml:space="preserve">Bridgepoint </w:t>
      </w:r>
      <w:r w:rsidRPr="009C48DA">
        <w:rPr>
          <w:rFonts w:eastAsia="Calibri" w:cs="Arial"/>
          <w:szCs w:val="20"/>
          <w:lang w:val="en-GB"/>
        </w:rPr>
        <w:t xml:space="preserve">Funds’ portfolio companies also regularly utilise the corporate debt markets in order to obtain financing for their operations. To the extent monetary policy, tax or other regulatory changes or difficult credit markets render such financing difficult to obtain, more expensive or otherwise less attractive, this may also negatively impact the financial results of those portfolio companies and, therefore, the investment returns of the </w:t>
      </w:r>
      <w:bookmarkStart w:name="_9kMI87H7aXv6AA8BFPLzmlnx822EhdI28" w:id="474"/>
      <w:r w:rsidRPr="009C48DA" w:rsidR="00BB773E">
        <w:rPr>
          <w:rFonts w:eastAsia="Calibri" w:cs="Arial"/>
          <w:szCs w:val="20"/>
          <w:lang w:val="en-GB"/>
        </w:rPr>
        <w:t xml:space="preserve">Bridgepoint </w:t>
      </w:r>
      <w:r w:rsidRPr="009C48DA">
        <w:rPr>
          <w:rFonts w:eastAsia="Calibri" w:cs="Arial"/>
          <w:szCs w:val="20"/>
          <w:lang w:val="en-GB"/>
        </w:rPr>
        <w:t>Funds</w:t>
      </w:r>
      <w:bookmarkEnd w:id="474"/>
      <w:r w:rsidRPr="009C48DA">
        <w:rPr>
          <w:rFonts w:eastAsia="Calibri" w:cs="Arial"/>
          <w:szCs w:val="20"/>
          <w:lang w:val="en-GB"/>
        </w:rPr>
        <w:t xml:space="preserve">. In addition, to the extent that market conditions and/or tax or other regulatory changes make it difficult or impossible to refinance debt that is maturing in the near term, some of the </w:t>
      </w:r>
      <w:bookmarkStart w:name="_9kMI88I7aXv6AA8BFPLzmlnx822EhdI28" w:id="475"/>
      <w:r w:rsidRPr="009C48DA" w:rsidR="00BB773E">
        <w:rPr>
          <w:rFonts w:eastAsia="Calibri" w:cs="Arial"/>
          <w:szCs w:val="20"/>
          <w:lang w:val="en-GB"/>
        </w:rPr>
        <w:t xml:space="preserve">Bridgepoint </w:t>
      </w:r>
      <w:r w:rsidRPr="009C48DA">
        <w:rPr>
          <w:rFonts w:eastAsia="Calibri" w:cs="Arial"/>
          <w:szCs w:val="20"/>
          <w:lang w:val="en-GB"/>
        </w:rPr>
        <w:t>Funds’</w:t>
      </w:r>
      <w:bookmarkEnd w:id="475"/>
      <w:r w:rsidRPr="009C48DA">
        <w:rPr>
          <w:rFonts w:eastAsia="Calibri" w:cs="Arial"/>
          <w:szCs w:val="20"/>
          <w:lang w:val="en-GB"/>
        </w:rPr>
        <w:t xml:space="preserve"> portfolio companies may be unable to repay such debt at maturity and may be forced to sell assets, undergo a recapitalisation or undertake insolvency procedures, any of which would also likely impair the value of the </w:t>
      </w:r>
      <w:bookmarkStart w:name="_9kMI89J7aXv6AA8BFPLzmlnx822EhdI28" w:id="476"/>
      <w:r w:rsidRPr="009C48DA" w:rsidR="00BB773E">
        <w:rPr>
          <w:rFonts w:eastAsia="Calibri" w:cs="Arial"/>
          <w:szCs w:val="20"/>
          <w:lang w:val="en-GB"/>
        </w:rPr>
        <w:t xml:space="preserve">Bridgepoint </w:t>
      </w:r>
      <w:r w:rsidRPr="009C48DA">
        <w:rPr>
          <w:rFonts w:eastAsia="Calibri" w:cs="Arial"/>
          <w:szCs w:val="20"/>
          <w:lang w:val="en-GB"/>
        </w:rPr>
        <w:t>Funds’</w:t>
      </w:r>
      <w:bookmarkEnd w:id="476"/>
      <w:r w:rsidRPr="009C48DA">
        <w:rPr>
          <w:rFonts w:eastAsia="Calibri" w:cs="Arial"/>
          <w:szCs w:val="20"/>
          <w:lang w:val="en-GB"/>
        </w:rPr>
        <w:t xml:space="preserve"> investm</w:t>
      </w:r>
      <w:r w:rsidRPr="009C48DA" w:rsidR="0087038F">
        <w:rPr>
          <w:rFonts w:eastAsia="Calibri" w:cs="Arial"/>
          <w:szCs w:val="20"/>
          <w:lang w:val="en-GB"/>
        </w:rPr>
        <w:t>ents and lead to a decrease in i</w:t>
      </w:r>
      <w:r w:rsidRPr="009C48DA">
        <w:rPr>
          <w:rFonts w:eastAsia="Calibri" w:cs="Arial"/>
          <w:szCs w:val="20"/>
          <w:lang w:val="en-GB"/>
        </w:rPr>
        <w:t xml:space="preserve">ncome </w:t>
      </w:r>
      <w:r w:rsidRPr="009C48DA" w:rsidR="00404462">
        <w:rPr>
          <w:rFonts w:eastAsia="Calibri" w:cs="Arial"/>
          <w:szCs w:val="20"/>
          <w:lang w:val="en-GB"/>
        </w:rPr>
        <w:t xml:space="preserve">from the fair value remeasurement of investments received </w:t>
      </w:r>
      <w:r w:rsidRPr="009C48DA">
        <w:rPr>
          <w:rFonts w:eastAsia="Calibri" w:cs="Arial"/>
          <w:szCs w:val="20"/>
          <w:lang w:val="en-GB"/>
        </w:rPr>
        <w:t>by the Group.</w:t>
      </w:r>
    </w:p>
    <w:p w:rsidRPr="009C48DA" w:rsidR="006D6A27" w:rsidP="00676CA5" w:rsidRDefault="006D6A27" w14:paraId="7876C87F" w14:textId="6F787E7B">
      <w:pPr>
        <w:pStyle w:val="TitleBI"/>
        <w:rPr>
          <w:szCs w:val="20"/>
          <w:lang w:val="en-GB"/>
        </w:rPr>
      </w:pPr>
      <w:r w:rsidRPr="009C48DA">
        <w:rPr>
          <w:szCs w:val="20"/>
          <w:lang w:val="en-GB"/>
        </w:rPr>
        <w:t xml:space="preserve">Dependence on significant leverage in investments by the </w:t>
      </w:r>
      <w:bookmarkStart w:name="_9kMI8AK7aXv6AA8BFPLzmlnx822EhdI28" w:id="477"/>
      <w:r w:rsidRPr="009C48DA" w:rsidR="00BB773E">
        <w:rPr>
          <w:rFonts w:eastAsia="Calibri" w:cs="Arial"/>
          <w:szCs w:val="20"/>
          <w:lang w:val="en-GB"/>
        </w:rPr>
        <w:t xml:space="preserve">Bridgepoint </w:t>
      </w:r>
      <w:r w:rsidRPr="009C48DA">
        <w:rPr>
          <w:szCs w:val="20"/>
          <w:lang w:val="en-GB"/>
        </w:rPr>
        <w:t>Funds</w:t>
      </w:r>
      <w:bookmarkEnd w:id="477"/>
      <w:r w:rsidRPr="009C48DA">
        <w:rPr>
          <w:szCs w:val="20"/>
          <w:lang w:val="en-GB"/>
        </w:rPr>
        <w:t xml:space="preserve"> could adversely affect the </w:t>
      </w:r>
      <w:bookmarkStart w:name="_9kMK66K7aXv6AA8BKULzmlnx822EibGKM" w:id="478"/>
      <w:r w:rsidRPr="009C48DA">
        <w:rPr>
          <w:szCs w:val="20"/>
          <w:lang w:val="en-GB"/>
        </w:rPr>
        <w:t>Group’s</w:t>
      </w:r>
      <w:bookmarkEnd w:id="478"/>
      <w:r w:rsidRPr="009C48DA">
        <w:rPr>
          <w:szCs w:val="20"/>
          <w:lang w:val="en-GB"/>
        </w:rPr>
        <w:t xml:space="preserve"> ability to achieve attractive rates of return on those investments</w:t>
      </w:r>
      <w:r w:rsidRPr="009C48DA" w:rsidR="00B97C82">
        <w:rPr>
          <w:szCs w:val="20"/>
          <w:lang w:val="en-GB"/>
        </w:rPr>
        <w:t xml:space="preserve"> and </w:t>
      </w:r>
      <w:r w:rsidRPr="009C48DA" w:rsidR="00B97C82">
        <w:rPr>
          <w:rFonts w:eastAsia="Calibri" w:cs="Arial"/>
          <w:szCs w:val="20"/>
          <w:lang w:val="en-GB"/>
        </w:rPr>
        <w:t xml:space="preserve">have a </w:t>
      </w:r>
      <w:r w:rsidRPr="009C48DA" w:rsidDel="00571B6B" w:rsidR="00B97C82">
        <w:rPr>
          <w:rFonts w:eastAsia="Calibri" w:cs="Arial"/>
          <w:szCs w:val="20"/>
          <w:lang w:val="en-GB"/>
        </w:rPr>
        <w:t xml:space="preserve">material adverse effect </w:t>
      </w:r>
      <w:r w:rsidRPr="009C48DA" w:rsidR="00B97C82">
        <w:rPr>
          <w:rFonts w:eastAsia="Calibri" w:cs="Arial"/>
          <w:szCs w:val="20"/>
          <w:lang w:val="en-GB"/>
        </w:rPr>
        <w:t>on the Group’s business, revenue</w:t>
      </w:r>
      <w:r w:rsidRPr="009C48DA" w:rsidDel="00571B6B" w:rsidR="00B97C82">
        <w:rPr>
          <w:rFonts w:eastAsia="Calibri" w:cs="Arial"/>
          <w:szCs w:val="20"/>
          <w:lang w:val="en-GB"/>
        </w:rPr>
        <w:t>, net income and cash flows</w:t>
      </w:r>
      <w:r w:rsidRPr="009C48DA">
        <w:rPr>
          <w:szCs w:val="20"/>
          <w:lang w:val="en-GB"/>
        </w:rPr>
        <w:t>.</w:t>
      </w:r>
    </w:p>
    <w:p w:rsidRPr="009C48DA" w:rsidR="00B97C82" w:rsidP="00B97C82" w:rsidRDefault="006D6A27" w14:paraId="767EA67D" w14:textId="70AB70D4">
      <w:pPr>
        <w:pStyle w:val="BodyText2SglJ"/>
        <w:rPr>
          <w:rFonts w:eastAsia="Calibri" w:cs="Arial"/>
          <w:szCs w:val="20"/>
          <w:lang w:val="en-GB"/>
        </w:rPr>
      </w:pPr>
      <w:r w:rsidRPr="009C48DA">
        <w:rPr>
          <w:rFonts w:eastAsia="Calibri" w:cs="Arial"/>
          <w:szCs w:val="20"/>
          <w:lang w:val="en-GB"/>
        </w:rPr>
        <w:t xml:space="preserve">Many of the </w:t>
      </w:r>
      <w:bookmarkStart w:name="_9kMI8BL7aXv6AA8BFPLzmlnx822EhdI28" w:id="479"/>
      <w:r w:rsidRPr="009C48DA" w:rsidR="00BB773E">
        <w:rPr>
          <w:rFonts w:eastAsia="Calibri" w:cs="Arial"/>
          <w:szCs w:val="20"/>
          <w:lang w:val="en-GB"/>
        </w:rPr>
        <w:t xml:space="preserve">Bridgepoint </w:t>
      </w:r>
      <w:r w:rsidRPr="009C48DA">
        <w:rPr>
          <w:rFonts w:eastAsia="Calibri" w:cs="Arial"/>
          <w:szCs w:val="20"/>
          <w:lang w:val="en-GB"/>
        </w:rPr>
        <w:t>Funds’</w:t>
      </w:r>
      <w:bookmarkEnd w:id="479"/>
      <w:r w:rsidRPr="009C48DA">
        <w:rPr>
          <w:rFonts w:eastAsia="Calibri" w:cs="Arial"/>
          <w:szCs w:val="20"/>
          <w:lang w:val="en-GB"/>
        </w:rPr>
        <w:t xml:space="preserve"> investments rely heavily on the use of leverage, and the </w:t>
      </w:r>
      <w:bookmarkStart w:name="_9kMK67L7aXv6AA8BKULzmlnx822EibGKM" w:id="480"/>
      <w:r w:rsidRPr="009C48DA">
        <w:rPr>
          <w:rFonts w:eastAsia="Calibri" w:cs="Arial"/>
          <w:szCs w:val="20"/>
          <w:lang w:val="en-GB"/>
        </w:rPr>
        <w:t>Group’s</w:t>
      </w:r>
      <w:bookmarkEnd w:id="480"/>
      <w:r w:rsidRPr="009C48DA">
        <w:rPr>
          <w:rFonts w:eastAsia="Calibri" w:cs="Arial"/>
          <w:szCs w:val="20"/>
          <w:lang w:val="en-GB"/>
        </w:rPr>
        <w:t xml:space="preserve"> ability to achieve attractive rates of return on investments will depend on the </w:t>
      </w:r>
      <w:bookmarkStart w:name="_9kMK68M7aXv6AA8BKULzmlnx822EibGKM" w:id="481"/>
      <w:r w:rsidRPr="009C48DA">
        <w:rPr>
          <w:rFonts w:eastAsia="Calibri" w:cs="Arial"/>
          <w:szCs w:val="20"/>
          <w:lang w:val="en-GB"/>
        </w:rPr>
        <w:t>Group’s</w:t>
      </w:r>
      <w:bookmarkEnd w:id="481"/>
      <w:r w:rsidRPr="009C48DA">
        <w:rPr>
          <w:rFonts w:eastAsia="Calibri" w:cs="Arial"/>
          <w:szCs w:val="20"/>
          <w:lang w:val="en-GB"/>
        </w:rPr>
        <w:t xml:space="preserve"> ability to access sufficient sources of indebtedness at attractive rates.</w:t>
      </w:r>
      <w:bookmarkStart w:name="_9kR3WTr2664DJePqrrkr3B" w:id="482"/>
      <w:r w:rsidRPr="009C48DA" w:rsidR="00092571">
        <w:rPr>
          <w:rFonts w:eastAsia="Calibri" w:cs="Arial"/>
          <w:szCs w:val="20"/>
          <w:lang w:val="en-GB"/>
        </w:rPr>
        <w:t xml:space="preserve"> </w:t>
      </w:r>
      <w:r w:rsidRPr="009C48DA" w:rsidR="00D321CC">
        <w:rPr>
          <w:rFonts w:eastAsia="Calibri" w:cs="Arial"/>
          <w:szCs w:val="20"/>
          <w:lang w:val="en-GB"/>
        </w:rPr>
        <w:t>I</w:t>
      </w:r>
      <w:bookmarkEnd w:id="482"/>
      <w:r w:rsidRPr="009C48DA">
        <w:rPr>
          <w:rFonts w:eastAsia="Calibri" w:cs="Arial"/>
          <w:szCs w:val="20"/>
          <w:lang w:val="en-GB"/>
        </w:rPr>
        <w:t>n many</w:t>
      </w:r>
      <w:r w:rsidRPr="009C48DA" w:rsidR="00B97C82">
        <w:rPr>
          <w:rFonts w:eastAsia="Calibri" w:cs="Arial"/>
          <w:szCs w:val="20"/>
          <w:lang w:val="en-GB"/>
        </w:rPr>
        <w:t xml:space="preserve"> </w:t>
      </w:r>
      <w:r w:rsidRPr="009C48DA">
        <w:rPr>
          <w:rFonts w:eastAsia="Calibri" w:cs="Arial"/>
          <w:szCs w:val="20"/>
          <w:lang w:val="en-GB"/>
        </w:rPr>
        <w:t>private equity investments</w:t>
      </w:r>
      <w:r w:rsidRPr="009C48DA" w:rsidR="00B97C82">
        <w:rPr>
          <w:rFonts w:eastAsia="Calibri" w:cs="Arial"/>
          <w:szCs w:val="20"/>
          <w:lang w:val="en-GB"/>
        </w:rPr>
        <w:t xml:space="preserve"> of the </w:t>
      </w:r>
      <w:r w:rsidRPr="009C48DA" w:rsidR="00BB773E">
        <w:rPr>
          <w:rFonts w:eastAsia="Calibri" w:cs="Arial"/>
          <w:szCs w:val="20"/>
          <w:lang w:val="en-GB"/>
        </w:rPr>
        <w:t xml:space="preserve">Bridgepoint </w:t>
      </w:r>
      <w:r w:rsidRPr="009C48DA" w:rsidR="00B97C82">
        <w:rPr>
          <w:rFonts w:eastAsia="Calibri" w:cs="Arial"/>
          <w:szCs w:val="20"/>
          <w:lang w:val="en-GB"/>
        </w:rPr>
        <w:t>Funds</w:t>
      </w:r>
      <w:r w:rsidRPr="009C48DA">
        <w:rPr>
          <w:rFonts w:eastAsia="Calibri" w:cs="Arial"/>
          <w:szCs w:val="20"/>
          <w:lang w:val="en-GB"/>
        </w:rPr>
        <w:t>, indebted</w:t>
      </w:r>
      <w:r w:rsidRPr="009C48DA" w:rsidR="0094374F">
        <w:rPr>
          <w:rFonts w:eastAsia="Calibri" w:cs="Arial"/>
          <w:szCs w:val="20"/>
          <w:lang w:val="en-GB"/>
        </w:rPr>
        <w:t>ness may constitute as much as 40</w:t>
      </w:r>
      <w:r w:rsidRPr="009C48DA" w:rsidR="00917735">
        <w:rPr>
          <w:rFonts w:eastAsia="Calibri" w:cs="Arial"/>
          <w:szCs w:val="20"/>
          <w:lang w:val="en-GB"/>
        </w:rPr>
        <w:t xml:space="preserve"> per cent</w:t>
      </w:r>
      <w:r w:rsidRPr="009C48DA">
        <w:rPr>
          <w:rFonts w:eastAsia="Calibri" w:cs="Arial"/>
          <w:szCs w:val="20"/>
          <w:lang w:val="en-GB"/>
        </w:rPr>
        <w:t xml:space="preserve"> or more of a portfolio company’s total enterprise value, including debt that may be incurred in connection with the investment. The absence of available sources of sufficient </w:t>
      </w:r>
      <w:r w:rsidRPr="009C48DA" w:rsidR="00D321CC">
        <w:rPr>
          <w:rFonts w:eastAsia="Calibri" w:cs="Arial"/>
          <w:szCs w:val="20"/>
          <w:lang w:val="en-GB"/>
        </w:rPr>
        <w:t>(</w:t>
      </w:r>
      <w:r w:rsidRPr="009C48DA">
        <w:rPr>
          <w:rFonts w:eastAsia="Calibri" w:cs="Arial"/>
          <w:szCs w:val="20"/>
          <w:lang w:val="en-GB"/>
        </w:rPr>
        <w:t>senior</w:t>
      </w:r>
      <w:r w:rsidRPr="009C48DA" w:rsidR="00D321CC">
        <w:rPr>
          <w:rFonts w:eastAsia="Calibri" w:cs="Arial"/>
          <w:szCs w:val="20"/>
          <w:lang w:val="en-GB"/>
        </w:rPr>
        <w:t>)</w:t>
      </w:r>
      <w:r w:rsidRPr="009C48DA">
        <w:rPr>
          <w:rFonts w:eastAsia="Calibri" w:cs="Arial"/>
          <w:szCs w:val="20"/>
          <w:lang w:val="en-GB"/>
        </w:rPr>
        <w:t xml:space="preserve"> debt financing for extended periods of time could therefore materially and adversely affect the </w:t>
      </w:r>
      <w:bookmarkStart w:name="_9kMK69N7aXv6AA8BKULzmlnx822EibGKM" w:id="483"/>
      <w:r w:rsidRPr="009C48DA">
        <w:rPr>
          <w:rFonts w:eastAsia="Calibri" w:cs="Arial"/>
          <w:szCs w:val="20"/>
          <w:lang w:val="en-GB"/>
        </w:rPr>
        <w:t>Group’s</w:t>
      </w:r>
      <w:bookmarkEnd w:id="483"/>
      <w:r w:rsidRPr="009C48DA">
        <w:rPr>
          <w:rFonts w:eastAsia="Calibri" w:cs="Arial"/>
          <w:szCs w:val="20"/>
          <w:lang w:val="en-GB"/>
        </w:rPr>
        <w:t xml:space="preserve"> private equity business. </w:t>
      </w:r>
      <w:r w:rsidRPr="009C48DA" w:rsidR="004619FF">
        <w:rPr>
          <w:rFonts w:eastAsia="Calibri" w:cs="Arial"/>
          <w:szCs w:val="20"/>
          <w:lang w:val="en-GB"/>
        </w:rPr>
        <w:t>Furthermore</w:t>
      </w:r>
      <w:r w:rsidRPr="009C48DA">
        <w:rPr>
          <w:rFonts w:eastAsia="Calibri" w:cs="Arial"/>
          <w:szCs w:val="20"/>
          <w:lang w:val="en-GB"/>
        </w:rPr>
        <w:t xml:space="preserve">, an increase in either the general levels of interest rates or in the risk spread demanded by providers of debt finance would make it more expensive to finance such investments. Increases in interest rates could also make it more difficult to locate and consummate private equity and other investments because other potential buyers, including strategic buyers, may be able to bid for an asset at a higher price due to a lower overall cost of capital or their ability to benefit from a higher amount of cost savings </w:t>
      </w:r>
      <w:r w:rsidRPr="009C48DA">
        <w:rPr>
          <w:rFonts w:eastAsia="Times New Roman" w:cs="Times New Roman"/>
          <w:color w:val="231F20"/>
          <w:szCs w:val="20"/>
          <w:lang w:val="en-GB"/>
        </w:rPr>
        <w:t>following</w:t>
      </w:r>
      <w:r w:rsidRPr="009C48DA">
        <w:rPr>
          <w:rFonts w:eastAsia="Calibri" w:cs="Arial"/>
          <w:szCs w:val="20"/>
          <w:lang w:val="en-GB"/>
        </w:rPr>
        <w:t xml:space="preserve"> the acquisition of the asset.</w:t>
      </w:r>
    </w:p>
    <w:p w:rsidRPr="009C48DA" w:rsidR="00B97C82" w:rsidP="00B97C82" w:rsidRDefault="00B97C82" w14:paraId="49C0FBA0" w14:textId="357FA908">
      <w:pPr>
        <w:pStyle w:val="BodyText2SglJ"/>
        <w:rPr>
          <w:rFonts w:eastAsia="Calibri" w:cs="Arial"/>
          <w:szCs w:val="20"/>
          <w:lang w:val="en-GB"/>
        </w:rPr>
      </w:pPr>
      <w:r w:rsidRPr="009C48DA">
        <w:rPr>
          <w:rFonts w:eastAsia="Calibri" w:cs="Arial"/>
          <w:szCs w:val="20"/>
          <w:lang w:val="en-GB"/>
        </w:rPr>
        <w:t xml:space="preserve">The </w:t>
      </w:r>
      <w:r w:rsidRPr="009C48DA" w:rsidR="00BB773E">
        <w:rPr>
          <w:rFonts w:eastAsia="Calibri" w:cs="Arial"/>
          <w:szCs w:val="20"/>
          <w:lang w:val="en-GB"/>
        </w:rPr>
        <w:t xml:space="preserve">Bridgepoint </w:t>
      </w:r>
      <w:r w:rsidRPr="009C48DA">
        <w:rPr>
          <w:rFonts w:eastAsia="Calibri" w:cs="Arial"/>
          <w:szCs w:val="20"/>
          <w:lang w:val="en-GB"/>
        </w:rPr>
        <w:t xml:space="preserve">Funds within the private credit segment also use varying degrees of leverage when making investments and regularly borrow a substantial amount of their capital. For example, a credit fund may borrow money from time to time to purchase or carry securities or may enter into derivative transactions, for example total return swaps with counterparties that have embedded leverage. The interest expense and other costs incurred in connection with such borrowing may not be recovered by appreciation in the securities purchased or carried and may be lost and the timing and magnitude of such losses may be accelerated or exacerbated in the event of a </w:t>
      </w:r>
      <w:r w:rsidRPr="009C48DA">
        <w:rPr>
          <w:rFonts w:eastAsia="Times New Roman" w:cs="Times New Roman"/>
          <w:color w:val="231F20"/>
          <w:szCs w:val="20"/>
          <w:lang w:val="en-GB"/>
        </w:rPr>
        <w:t>decline</w:t>
      </w:r>
      <w:r w:rsidRPr="009C48DA">
        <w:rPr>
          <w:rFonts w:eastAsia="Calibri" w:cs="Arial"/>
          <w:szCs w:val="20"/>
          <w:lang w:val="en-GB"/>
        </w:rPr>
        <w:t xml:space="preserve"> in the market value of such securities. Gains realised with borrowed funds may cause the relevant </w:t>
      </w:r>
      <w:r w:rsidRPr="009C48DA" w:rsidR="00BB773E">
        <w:rPr>
          <w:rFonts w:eastAsia="Calibri" w:cs="Arial"/>
          <w:szCs w:val="20"/>
          <w:lang w:val="en-GB"/>
        </w:rPr>
        <w:t xml:space="preserve">Bridgepoint </w:t>
      </w:r>
      <w:r w:rsidRPr="009C48DA">
        <w:rPr>
          <w:rFonts w:eastAsia="Calibri" w:cs="Arial"/>
          <w:szCs w:val="20"/>
          <w:lang w:val="en-GB"/>
        </w:rPr>
        <w:t>Funds’ net asset value to increase at a faster rate than would be the case without borrowings. However, if investment results fail to cover the cost of borrowings, the fund’s net asset value could also decrease faster than if there had been no borrowings.</w:t>
      </w:r>
    </w:p>
    <w:p w:rsidRPr="009C48DA" w:rsidR="006D6A27" w:rsidP="00676CA5" w:rsidRDefault="006D6A27" w14:paraId="366A64D5" w14:textId="7CFE3056">
      <w:pPr>
        <w:pStyle w:val="BodyText2SglJ"/>
        <w:rPr>
          <w:rFonts w:eastAsia="Calibri" w:cs="Arial"/>
          <w:szCs w:val="20"/>
          <w:lang w:val="en-GB"/>
        </w:rPr>
      </w:pPr>
      <w:r w:rsidRPr="009C48DA">
        <w:rPr>
          <w:rFonts w:eastAsia="Calibri" w:cs="Arial"/>
          <w:szCs w:val="20"/>
          <w:lang w:val="en-GB"/>
        </w:rPr>
        <w:t>Investments in highly leveraged entities are inherently more s</w:t>
      </w:r>
      <w:r w:rsidRPr="009C48DA" w:rsidR="000F0DE8">
        <w:rPr>
          <w:rFonts w:eastAsia="Calibri" w:cs="Arial"/>
          <w:szCs w:val="20"/>
          <w:lang w:val="en-GB"/>
        </w:rPr>
        <w:t>ensitive to declines in revenue</w:t>
      </w:r>
      <w:r w:rsidRPr="009C48DA">
        <w:rPr>
          <w:rFonts w:eastAsia="Calibri" w:cs="Arial"/>
          <w:szCs w:val="20"/>
          <w:lang w:val="en-GB"/>
        </w:rPr>
        <w:t xml:space="preserve">, increases in expenses and interest rates and adverse economic, market and industry </w:t>
      </w:r>
      <w:r w:rsidRPr="009C48DA">
        <w:rPr>
          <w:rFonts w:eastAsia="Times New Roman" w:cs="Times New Roman"/>
          <w:color w:val="231F20"/>
          <w:szCs w:val="20"/>
          <w:lang w:val="en-GB"/>
        </w:rPr>
        <w:t>developments</w:t>
      </w:r>
      <w:r w:rsidRPr="009C48DA">
        <w:rPr>
          <w:rFonts w:eastAsia="Calibri" w:cs="Arial"/>
          <w:szCs w:val="20"/>
          <w:lang w:val="en-GB"/>
        </w:rPr>
        <w:t>. The incurrence of a significant amount of indebtedness by an entity could, among other things:</w:t>
      </w:r>
    </w:p>
    <w:p w:rsidRPr="009C48DA" w:rsidR="006D6A27" w:rsidP="00F02DE2" w:rsidRDefault="006D6A27" w14:paraId="2AAB146D" w14:textId="77777777">
      <w:pPr>
        <w:pStyle w:val="STBBullet3"/>
        <w:rPr>
          <w:rFonts w:eastAsia="Calibri" w:cs="Arial"/>
          <w:szCs w:val="20"/>
          <w:lang w:val="en-GB"/>
        </w:rPr>
      </w:pPr>
      <w:r w:rsidRPr="009C48DA">
        <w:rPr>
          <w:rFonts w:eastAsia="Calibri" w:cs="Arial"/>
          <w:szCs w:val="20"/>
          <w:lang w:val="en-GB"/>
        </w:rPr>
        <w:t>give rise to an obligation to make mandatory pre-payments of debt using excess cash flow, which might limit the entity’s ability to respond to changing industry conditions to the extent additional cash is needed for the response, to make unplanned but necessary capital expenditures or to take advantage of growth opportunities;</w:t>
      </w:r>
    </w:p>
    <w:p w:rsidRPr="009C48DA" w:rsidR="006D6A27" w:rsidP="00F02DE2" w:rsidRDefault="006D6A27" w14:paraId="003B534C" w14:textId="61A014DB">
      <w:pPr>
        <w:pStyle w:val="STBBullet3"/>
        <w:rPr>
          <w:rFonts w:eastAsia="Calibri" w:cs="Arial"/>
          <w:szCs w:val="20"/>
          <w:lang w:val="en-GB"/>
        </w:rPr>
      </w:pPr>
      <w:r w:rsidRPr="009C48DA">
        <w:rPr>
          <w:rFonts w:eastAsia="Calibri" w:cs="Arial"/>
          <w:szCs w:val="20"/>
          <w:lang w:val="en-GB"/>
        </w:rPr>
        <w:lastRenderedPageBreak/>
        <w:t xml:space="preserve">subject the entity to a number of restrictive covenants, terms and conditions, any violations of which would be viewed by creditors as an event of default and could materially impact the ability of the Group and the </w:t>
      </w:r>
      <w:r w:rsidRPr="009C48DA" w:rsidR="00BB773E">
        <w:rPr>
          <w:rFonts w:eastAsia="Calibri" w:cs="Arial"/>
          <w:szCs w:val="20"/>
          <w:lang w:val="en-GB"/>
        </w:rPr>
        <w:t xml:space="preserve">Bridgepoint </w:t>
      </w:r>
      <w:r w:rsidRPr="009C48DA">
        <w:rPr>
          <w:rFonts w:eastAsia="Calibri" w:cs="Arial"/>
          <w:szCs w:val="20"/>
          <w:lang w:val="en-GB"/>
        </w:rPr>
        <w:t>Funds to realise value from investments;</w:t>
      </w:r>
    </w:p>
    <w:p w:rsidRPr="009C48DA" w:rsidR="006D6A27" w:rsidP="00F02DE2" w:rsidRDefault="006D6A27" w14:paraId="7EF738D6" w14:textId="77777777">
      <w:pPr>
        <w:pStyle w:val="STBBullet3"/>
        <w:rPr>
          <w:rFonts w:eastAsia="Calibri" w:cs="Arial"/>
          <w:szCs w:val="20"/>
          <w:lang w:val="en-GB"/>
        </w:rPr>
      </w:pPr>
      <w:r w:rsidRPr="009C48DA">
        <w:rPr>
          <w:rFonts w:eastAsia="Calibri" w:cs="Arial"/>
          <w:szCs w:val="20"/>
          <w:lang w:val="en-GB"/>
        </w:rPr>
        <w:t>limit the entity’s ability to adjust to changing market conditions, thereby placing it at a competitive disadvantage compared to its competitors who have relatively less debt;</w:t>
      </w:r>
    </w:p>
    <w:p w:rsidRPr="009C48DA" w:rsidR="006D6A27" w:rsidP="00F02DE2" w:rsidRDefault="006D6A27" w14:paraId="6D4C6CB7" w14:textId="61EF301E">
      <w:pPr>
        <w:pStyle w:val="STBBullet3"/>
        <w:rPr>
          <w:rFonts w:eastAsia="Calibri" w:cs="Arial"/>
          <w:szCs w:val="20"/>
          <w:lang w:val="en-GB"/>
        </w:rPr>
      </w:pPr>
      <w:r w:rsidRPr="009C48DA">
        <w:rPr>
          <w:rFonts w:eastAsia="Calibri" w:cs="Arial"/>
          <w:szCs w:val="20"/>
          <w:lang w:val="en-GB"/>
        </w:rPr>
        <w:t>allow even moderate reductions in operating cash flow</w:t>
      </w:r>
      <w:r w:rsidRPr="009C48DA" w:rsidR="00207F3D">
        <w:rPr>
          <w:rFonts w:eastAsia="Calibri" w:cs="Arial"/>
          <w:szCs w:val="20"/>
          <w:lang w:val="en-GB"/>
        </w:rPr>
        <w:t>s</w:t>
      </w:r>
      <w:r w:rsidRPr="009C48DA">
        <w:rPr>
          <w:rFonts w:eastAsia="Calibri" w:cs="Arial"/>
          <w:szCs w:val="20"/>
          <w:lang w:val="en-GB"/>
        </w:rPr>
        <w:t xml:space="preserve"> to render it unable to service its indebtedness, leading to a liquidation or other reorganisation of the entity and a loss of part or all of the equity investment in it;</w:t>
      </w:r>
    </w:p>
    <w:p w:rsidRPr="009C48DA" w:rsidR="006D6A27" w:rsidP="00F02DE2" w:rsidRDefault="006D6A27" w14:paraId="27F3A430" w14:textId="77777777">
      <w:pPr>
        <w:pStyle w:val="STBBullet3"/>
        <w:rPr>
          <w:rFonts w:eastAsia="Calibri" w:cs="Arial"/>
          <w:szCs w:val="20"/>
          <w:lang w:val="en-GB"/>
        </w:rPr>
      </w:pPr>
      <w:r w:rsidRPr="009C48DA">
        <w:rPr>
          <w:rFonts w:eastAsia="Calibri" w:cs="Arial"/>
          <w:szCs w:val="20"/>
          <w:lang w:val="en-GB"/>
        </w:rPr>
        <w:t>limit the entity’s ability to engage in strategic acquisitions that might be necessary to generate attractive returns or further growth; and</w:t>
      </w:r>
    </w:p>
    <w:p w:rsidRPr="009C48DA" w:rsidR="006D6A27" w:rsidP="00F02DE2" w:rsidRDefault="006D6A27" w14:paraId="48EE9B15" w14:textId="77777777">
      <w:pPr>
        <w:pStyle w:val="STBBullet3"/>
        <w:rPr>
          <w:rFonts w:eastAsia="Calibri" w:cs="Arial"/>
          <w:szCs w:val="20"/>
          <w:lang w:val="en-GB"/>
        </w:rPr>
      </w:pPr>
      <w:r w:rsidRPr="009C48DA">
        <w:rPr>
          <w:rFonts w:eastAsia="Calibri" w:cs="Arial"/>
          <w:szCs w:val="20"/>
          <w:lang w:val="en-GB"/>
        </w:rPr>
        <w:t>limit the entity’s ability to obtain additional financing or increase the cost of obtaining such financing, including for capital expenditures, working capital or general corporate purposes.</w:t>
      </w:r>
    </w:p>
    <w:p w:rsidRPr="009C48DA" w:rsidR="006D6A27" w:rsidP="00676CA5" w:rsidRDefault="006D6A27" w14:paraId="04C03FB6" w14:textId="1510569E">
      <w:pPr>
        <w:pStyle w:val="BodyText2SglJ"/>
        <w:rPr>
          <w:rFonts w:eastAsia="Calibri" w:cs="Arial"/>
          <w:szCs w:val="20"/>
          <w:lang w:val="en-GB"/>
        </w:rPr>
      </w:pPr>
      <w:r w:rsidRPr="009C48DA">
        <w:rPr>
          <w:rFonts w:eastAsia="Calibri" w:cs="Arial"/>
          <w:szCs w:val="20"/>
          <w:lang w:val="en-GB"/>
        </w:rPr>
        <w:t xml:space="preserve">As a result, the risk of loss associated with a leveraged entity is generally greater than for </w:t>
      </w:r>
      <w:r w:rsidRPr="009C48DA">
        <w:rPr>
          <w:rFonts w:eastAsia="Times New Roman" w:cs="Times New Roman"/>
          <w:color w:val="231F20"/>
          <w:szCs w:val="20"/>
          <w:lang w:val="en-GB"/>
        </w:rPr>
        <w:t>companies</w:t>
      </w:r>
      <w:r w:rsidRPr="009C48DA">
        <w:rPr>
          <w:rFonts w:eastAsia="Calibri" w:cs="Arial"/>
          <w:szCs w:val="20"/>
          <w:lang w:val="en-GB"/>
        </w:rPr>
        <w:t xml:space="preserve"> with comparatively less debt. For example, many investments consummated by private equity sponsors during 2005, 2006 and 2007 that utilised significant amounts of leverage subsequently experienced severe economic stress and, in certain cases, defaulted on their debt obligations due t</w:t>
      </w:r>
      <w:r w:rsidRPr="009C48DA" w:rsidR="000F0DE8">
        <w:rPr>
          <w:rFonts w:eastAsia="Calibri" w:cs="Arial"/>
          <w:szCs w:val="20"/>
          <w:lang w:val="en-GB"/>
        </w:rPr>
        <w:t>o a decrease in revenue</w:t>
      </w:r>
      <w:r w:rsidRPr="009C48DA">
        <w:rPr>
          <w:rFonts w:eastAsia="Calibri" w:cs="Arial"/>
          <w:szCs w:val="20"/>
          <w:lang w:val="en-GB"/>
        </w:rPr>
        <w:t xml:space="preserve"> and cash flow</w:t>
      </w:r>
      <w:r w:rsidRPr="009C48DA" w:rsidR="00080B75">
        <w:rPr>
          <w:rFonts w:eastAsia="Calibri" w:cs="Arial"/>
          <w:szCs w:val="20"/>
          <w:lang w:val="en-GB"/>
        </w:rPr>
        <w:t>s</w:t>
      </w:r>
      <w:r w:rsidRPr="009C48DA">
        <w:rPr>
          <w:rFonts w:eastAsia="Calibri" w:cs="Arial"/>
          <w:szCs w:val="20"/>
          <w:lang w:val="en-GB"/>
        </w:rPr>
        <w:t xml:space="preserve"> precipitated by the subsequent economic downturn during 2008 and 2009</w:t>
      </w:r>
      <w:r w:rsidRPr="009C48DA" w:rsidR="000F0DE8">
        <w:rPr>
          <w:rFonts w:eastAsia="Calibri" w:cs="Arial"/>
          <w:szCs w:val="20"/>
          <w:lang w:val="en-GB"/>
        </w:rPr>
        <w:t>.</w:t>
      </w:r>
      <w:r w:rsidRPr="009C48DA" w:rsidR="0087038F">
        <w:rPr>
          <w:rStyle w:val="FootnoteReference"/>
          <w:rFonts w:eastAsia="Calibri" w:cs="Arial"/>
          <w:szCs w:val="20"/>
          <w:lang w:val="en-GB"/>
        </w:rPr>
        <w:footnoteReference w:id="4"/>
      </w:r>
      <w:r w:rsidRPr="009C48DA" w:rsidR="00B97C82">
        <w:rPr>
          <w:rFonts w:eastAsia="Calibri" w:cs="Arial"/>
          <w:szCs w:val="20"/>
          <w:lang w:val="en-GB"/>
        </w:rPr>
        <w:t xml:space="preserve"> More recently, counterparties have generally reacted to market volatility by tightening their underwriting standards and increasing their margin requirements for all categories of financing, which has the result of decreasing the overall amount of leverage available and increasing the costs of borrowing.</w:t>
      </w:r>
    </w:p>
    <w:p w:rsidRPr="009C48DA" w:rsidR="006D6A27" w:rsidP="00676CA5" w:rsidRDefault="006D6A27" w14:paraId="5E58DCBE" w14:textId="2E31552F">
      <w:pPr>
        <w:pStyle w:val="BodyText2SglJ"/>
        <w:rPr>
          <w:rFonts w:eastAsia="Calibri" w:cs="Arial"/>
          <w:szCs w:val="20"/>
          <w:lang w:val="en-GB"/>
        </w:rPr>
      </w:pPr>
      <w:r w:rsidRPr="009C48DA">
        <w:rPr>
          <w:rFonts w:eastAsia="Calibri" w:cs="Arial"/>
          <w:szCs w:val="20"/>
          <w:lang w:val="en-GB"/>
        </w:rPr>
        <w:t xml:space="preserve">When the </w:t>
      </w:r>
      <w:bookmarkStart w:name="_9kMI8DN7aXv6AA8BFPLzmlnx822EhdI28" w:id="484"/>
      <w:r w:rsidRPr="009C48DA" w:rsidR="00BB773E">
        <w:rPr>
          <w:rFonts w:eastAsia="Calibri" w:cs="Arial"/>
          <w:szCs w:val="20"/>
          <w:lang w:val="en-GB"/>
        </w:rPr>
        <w:t xml:space="preserve">Bridgepoint </w:t>
      </w:r>
      <w:r w:rsidRPr="009C48DA">
        <w:rPr>
          <w:rFonts w:eastAsia="Calibri" w:cs="Arial"/>
          <w:szCs w:val="20"/>
          <w:lang w:val="en-GB"/>
        </w:rPr>
        <w:t>Funds’</w:t>
      </w:r>
      <w:bookmarkEnd w:id="484"/>
      <w:r w:rsidRPr="009C48DA">
        <w:rPr>
          <w:rFonts w:eastAsia="Calibri" w:cs="Arial"/>
          <w:szCs w:val="20"/>
          <w:lang w:val="en-GB"/>
        </w:rPr>
        <w:t xml:space="preserve"> existing portfolio investments reach the point when debt incurred to finance those investments matures in significant amounts and must be either repaid or refinanced, those investments may materially suffer if they have generated insufficient cash flow</w:t>
      </w:r>
      <w:r w:rsidRPr="009C48DA" w:rsidR="00080B75">
        <w:rPr>
          <w:rFonts w:eastAsia="Calibri" w:cs="Arial"/>
          <w:szCs w:val="20"/>
          <w:lang w:val="en-GB"/>
        </w:rPr>
        <w:t>s</w:t>
      </w:r>
      <w:r w:rsidRPr="009C48DA">
        <w:rPr>
          <w:rFonts w:eastAsia="Calibri" w:cs="Arial"/>
          <w:szCs w:val="20"/>
          <w:lang w:val="en-GB"/>
        </w:rPr>
        <w:t xml:space="preserve"> to repay maturing debt and there is insufficient capacity and availability in the financing markets to permit them to refinance maturing debt on satisfactory terms, or at all. If the limited availability of financing for such purposes were to persist for an extended period of time, when significant amounts of the debt incurred to finance the </w:t>
      </w:r>
      <w:bookmarkStart w:name="_9kMI8EO7aXv6AA8BFPLzmlnx822EhdI28" w:id="485"/>
      <w:r w:rsidRPr="009C48DA" w:rsidR="00BB773E">
        <w:rPr>
          <w:rFonts w:eastAsia="Calibri" w:cs="Arial"/>
          <w:szCs w:val="20"/>
          <w:lang w:val="en-GB"/>
        </w:rPr>
        <w:t xml:space="preserve">Bridgepoint </w:t>
      </w:r>
      <w:r w:rsidRPr="009C48DA">
        <w:rPr>
          <w:rFonts w:eastAsia="Calibri" w:cs="Arial"/>
          <w:szCs w:val="20"/>
          <w:lang w:val="en-GB"/>
        </w:rPr>
        <w:t>Funds’</w:t>
      </w:r>
      <w:bookmarkEnd w:id="485"/>
      <w:r w:rsidRPr="009C48DA">
        <w:rPr>
          <w:rFonts w:eastAsia="Calibri" w:cs="Arial"/>
          <w:szCs w:val="20"/>
          <w:lang w:val="en-GB"/>
        </w:rPr>
        <w:t xml:space="preserve"> existing portfolio investments come due, the </w:t>
      </w:r>
      <w:r w:rsidRPr="009C48DA" w:rsidR="00BB773E">
        <w:rPr>
          <w:rFonts w:eastAsia="Calibri" w:cs="Arial"/>
          <w:szCs w:val="20"/>
          <w:lang w:val="en-GB"/>
        </w:rPr>
        <w:t xml:space="preserve">Bridgepoint </w:t>
      </w:r>
      <w:r w:rsidRPr="009C48DA">
        <w:rPr>
          <w:rFonts w:eastAsia="Calibri" w:cs="Arial"/>
          <w:szCs w:val="20"/>
          <w:lang w:val="en-GB"/>
        </w:rPr>
        <w:t xml:space="preserve">Funds could be materially and adversely affected. Moreover, in the event of default or potential default under applicable financing arrangements, one or </w:t>
      </w:r>
      <w:r w:rsidRPr="009C48DA">
        <w:rPr>
          <w:rFonts w:eastAsia="Times New Roman" w:cs="Times New Roman"/>
          <w:color w:val="231F20"/>
          <w:szCs w:val="20"/>
          <w:lang w:val="en-GB"/>
        </w:rPr>
        <w:t>more</w:t>
      </w:r>
      <w:r w:rsidRPr="009C48DA">
        <w:rPr>
          <w:rFonts w:eastAsia="Calibri" w:cs="Arial"/>
          <w:szCs w:val="20"/>
          <w:lang w:val="en-GB"/>
        </w:rPr>
        <w:t xml:space="preserve"> of the </w:t>
      </w:r>
      <w:bookmarkStart w:name="_9kMI8FP7aXv6AA8BFPLzmlnx822EhdI28" w:id="486"/>
      <w:r w:rsidRPr="009C48DA" w:rsidR="00BB773E">
        <w:rPr>
          <w:rFonts w:eastAsia="Calibri" w:cs="Arial"/>
          <w:szCs w:val="20"/>
          <w:lang w:val="en-GB"/>
        </w:rPr>
        <w:t xml:space="preserve">Bridgepoint </w:t>
      </w:r>
      <w:r w:rsidRPr="009C48DA">
        <w:rPr>
          <w:rFonts w:eastAsia="Calibri" w:cs="Arial"/>
          <w:szCs w:val="20"/>
          <w:lang w:val="en-GB"/>
        </w:rPr>
        <w:t>Funds’</w:t>
      </w:r>
      <w:bookmarkEnd w:id="486"/>
      <w:r w:rsidRPr="009C48DA">
        <w:rPr>
          <w:rFonts w:eastAsia="Calibri" w:cs="Arial"/>
          <w:szCs w:val="20"/>
          <w:lang w:val="en-GB"/>
        </w:rPr>
        <w:t xml:space="preserve"> portfolio companies may become insolvent, which could give rise to substantial investment losses, adverse claims or litigation against the Group or the </w:t>
      </w:r>
      <w:bookmarkStart w:name="_9kMK74H7aXv6AA8BKULzmlnx822EibGKM" w:id="487"/>
      <w:r w:rsidRPr="009C48DA">
        <w:rPr>
          <w:rFonts w:eastAsia="Calibri" w:cs="Arial"/>
          <w:szCs w:val="20"/>
          <w:lang w:val="en-GB"/>
        </w:rPr>
        <w:t>Group’s</w:t>
      </w:r>
      <w:bookmarkEnd w:id="487"/>
      <w:r w:rsidRPr="009C48DA">
        <w:rPr>
          <w:rFonts w:eastAsia="Calibri" w:cs="Arial"/>
          <w:szCs w:val="20"/>
          <w:lang w:val="en-GB"/>
        </w:rPr>
        <w:t xml:space="preserve"> employees and damage the </w:t>
      </w:r>
      <w:bookmarkStart w:name="_9kMK75I7aXv6AA8BKULzmlnx822EibGKM" w:id="488"/>
      <w:r w:rsidRPr="009C48DA">
        <w:rPr>
          <w:rFonts w:eastAsia="Calibri" w:cs="Arial"/>
          <w:szCs w:val="20"/>
          <w:lang w:val="en-GB"/>
        </w:rPr>
        <w:t>Group’s</w:t>
      </w:r>
      <w:bookmarkEnd w:id="488"/>
      <w:r w:rsidRPr="009C48DA">
        <w:rPr>
          <w:rFonts w:eastAsia="Calibri" w:cs="Arial"/>
          <w:szCs w:val="20"/>
          <w:lang w:val="en-GB"/>
        </w:rPr>
        <w:t xml:space="preserve"> reputation.</w:t>
      </w:r>
      <w:r w:rsidRPr="009C48DA" w:rsidR="00B97C82">
        <w:rPr>
          <w:rFonts w:eastAsia="Calibri" w:cs="Arial"/>
          <w:szCs w:val="20"/>
          <w:lang w:val="en-GB"/>
        </w:rPr>
        <w:t xml:space="preserve"> In addition, many of the </w:t>
      </w:r>
      <w:r w:rsidRPr="009C48DA" w:rsidR="00BB773E">
        <w:rPr>
          <w:rFonts w:eastAsia="Calibri" w:cs="Arial"/>
          <w:szCs w:val="20"/>
          <w:lang w:val="en-GB"/>
        </w:rPr>
        <w:t xml:space="preserve">Bridgepoint </w:t>
      </w:r>
      <w:r w:rsidRPr="009C48DA" w:rsidR="00B97C82">
        <w:rPr>
          <w:rFonts w:eastAsia="Calibri" w:cs="Arial"/>
          <w:szCs w:val="20"/>
          <w:lang w:val="en-GB"/>
        </w:rPr>
        <w:t>Funds have credit lines, and if a lender under one or more of these credit lines were to become insolvent, the Group may have difficulty replacing the credit line and one or more of such funds may face liquidity problems.</w:t>
      </w:r>
    </w:p>
    <w:p w:rsidRPr="009C48DA" w:rsidR="006D6A27" w:rsidP="00676CA5" w:rsidRDefault="006D6A27" w14:paraId="236A672E" w14:textId="341BC504">
      <w:pPr>
        <w:pStyle w:val="BodyText2SglJ"/>
        <w:rPr>
          <w:rFonts w:eastAsia="Calibri" w:cs="Arial"/>
          <w:szCs w:val="20"/>
          <w:lang w:val="en-GB"/>
        </w:rPr>
      </w:pPr>
      <w:r w:rsidRPr="009C48DA">
        <w:rPr>
          <w:rFonts w:eastAsia="Times New Roman" w:cs="Times New Roman"/>
          <w:color w:val="231F20"/>
          <w:szCs w:val="20"/>
          <w:lang w:val="en-GB"/>
        </w:rPr>
        <w:t>Any</w:t>
      </w:r>
      <w:r w:rsidRPr="009C48DA">
        <w:rPr>
          <w:rFonts w:eastAsia="Calibri" w:cs="Arial"/>
          <w:szCs w:val="20"/>
          <w:lang w:val="en-GB"/>
        </w:rPr>
        <w:t xml:space="preserve"> of the foregoing circumstances could have a </w:t>
      </w:r>
      <w:r w:rsidRPr="009C48DA" w:rsidDel="00571B6B">
        <w:rPr>
          <w:rFonts w:eastAsia="Calibri" w:cs="Arial"/>
          <w:szCs w:val="20"/>
          <w:lang w:val="en-GB"/>
        </w:rPr>
        <w:t xml:space="preserve">material adverse effect on the </w:t>
      </w:r>
      <w:r w:rsidRPr="009C48DA">
        <w:rPr>
          <w:rFonts w:eastAsia="Calibri" w:cs="Arial"/>
          <w:szCs w:val="20"/>
          <w:lang w:val="en-GB"/>
        </w:rPr>
        <w:t>Group’s business, revenue</w:t>
      </w:r>
      <w:r w:rsidRPr="009C48DA" w:rsidDel="00571B6B">
        <w:rPr>
          <w:rFonts w:eastAsia="Calibri" w:cs="Arial"/>
          <w:szCs w:val="20"/>
          <w:lang w:val="en-GB"/>
        </w:rPr>
        <w:t>, net income and cash flows</w:t>
      </w:r>
      <w:r w:rsidRPr="009C48DA">
        <w:rPr>
          <w:rFonts w:eastAsia="Calibri" w:cs="Arial"/>
          <w:szCs w:val="20"/>
          <w:lang w:val="en-GB"/>
        </w:rPr>
        <w:t>.</w:t>
      </w:r>
    </w:p>
    <w:p w:rsidRPr="009C48DA" w:rsidR="003A6C44" w:rsidP="009A0710" w:rsidRDefault="00E748FF" w14:paraId="34282385" w14:textId="412D461D">
      <w:pPr>
        <w:pStyle w:val="TitleBI"/>
        <w:rPr>
          <w:szCs w:val="20"/>
          <w:lang w:val="en-GB"/>
        </w:rPr>
      </w:pPr>
      <w:r w:rsidRPr="009C48DA">
        <w:rPr>
          <w:szCs w:val="20"/>
          <w:lang w:val="en-GB"/>
        </w:rPr>
        <w:t xml:space="preserve">Investments in the leverage finance markets and the </w:t>
      </w:r>
      <w:r w:rsidRPr="009C48DA" w:rsidR="004619FF">
        <w:rPr>
          <w:szCs w:val="20"/>
          <w:lang w:val="en-GB"/>
        </w:rPr>
        <w:t xml:space="preserve">Group’s </w:t>
      </w:r>
      <w:r w:rsidRPr="009C48DA" w:rsidR="005A3F50">
        <w:rPr>
          <w:szCs w:val="20"/>
          <w:lang w:val="en-GB"/>
        </w:rPr>
        <w:t>CLOs</w:t>
      </w:r>
      <w:r w:rsidRPr="009C48DA" w:rsidR="004619FF">
        <w:rPr>
          <w:szCs w:val="20"/>
          <w:lang w:val="en-GB"/>
        </w:rPr>
        <w:t xml:space="preserve"> are subject to a number of inherent risks.</w:t>
      </w:r>
    </w:p>
    <w:p w:rsidRPr="009C48DA" w:rsidR="003A6C44" w:rsidP="003A6C44" w:rsidRDefault="003A6C44" w14:paraId="19E6B9D6" w14:textId="7C3D7B0C">
      <w:pPr>
        <w:pStyle w:val="BodyText2SglJ"/>
        <w:rPr>
          <w:rFonts w:eastAsia="Calibri" w:cs="Arial"/>
          <w:szCs w:val="20"/>
          <w:lang w:val="en-GB"/>
        </w:rPr>
      </w:pPr>
      <w:r w:rsidRPr="009C48DA">
        <w:rPr>
          <w:rFonts w:eastAsia="Calibri" w:cs="Arial"/>
          <w:szCs w:val="20"/>
          <w:lang w:val="en-GB"/>
        </w:rPr>
        <w:t>Among the sectors particularly challenged by downturns in the global credit markets</w:t>
      </w:r>
      <w:r w:rsidRPr="009C48DA" w:rsidR="00492B7A">
        <w:rPr>
          <w:rFonts w:eastAsia="Calibri" w:cs="Arial"/>
          <w:szCs w:val="20"/>
          <w:lang w:val="en-GB"/>
        </w:rPr>
        <w:t>,</w:t>
      </w:r>
      <w:r w:rsidRPr="009C48DA">
        <w:rPr>
          <w:rFonts w:eastAsia="Calibri" w:cs="Arial"/>
          <w:szCs w:val="20"/>
          <w:lang w:val="en-GB"/>
        </w:rPr>
        <w:t xml:space="preserve"> such as the global financial crisis in 2008 and 2009</w:t>
      </w:r>
      <w:r w:rsidRPr="009C48DA" w:rsidR="00492B7A">
        <w:rPr>
          <w:rFonts w:eastAsia="Calibri" w:cs="Arial"/>
          <w:szCs w:val="20"/>
          <w:lang w:val="en-GB"/>
        </w:rPr>
        <w:t>,</w:t>
      </w:r>
      <w:r w:rsidRPr="009C48DA">
        <w:rPr>
          <w:rFonts w:eastAsia="Calibri" w:cs="Arial"/>
          <w:szCs w:val="20"/>
          <w:lang w:val="en-GB"/>
        </w:rPr>
        <w:t xml:space="preserve"> are the CLO and leveraged finance markets. </w:t>
      </w:r>
      <w:bookmarkStart w:name="_9kMMAM6ZWu5997HJeSkFN1onpzA44GkdIMO" w:id="489"/>
      <w:r w:rsidRPr="009C48DA">
        <w:rPr>
          <w:rFonts w:eastAsia="Calibri" w:cs="Arial"/>
          <w:szCs w:val="20"/>
          <w:lang w:val="en-GB"/>
        </w:rPr>
        <w:t xml:space="preserve">In general, CLOs have historically experienced an increase in downgrades, depreciations in market value and defaults in respect of leveraged loans in their collateral during downturns in credit markets. The </w:t>
      </w:r>
      <w:bookmarkEnd w:id="489"/>
      <w:r w:rsidRPr="009C48DA">
        <w:rPr>
          <w:rFonts w:eastAsia="Calibri" w:cs="Arial"/>
          <w:szCs w:val="20"/>
          <w:lang w:val="en-GB"/>
        </w:rPr>
        <w:t xml:space="preserve">Group has exposure to these markets through the </w:t>
      </w:r>
      <w:r w:rsidRPr="009C48DA" w:rsidR="00C42236">
        <w:rPr>
          <w:rFonts w:eastAsia="Calibri" w:cs="Arial"/>
          <w:szCs w:val="20"/>
          <w:lang w:val="en-GB"/>
        </w:rPr>
        <w:t>CLO fund vehicle</w:t>
      </w:r>
      <w:r w:rsidRPr="009C48DA" w:rsidR="00207F3D">
        <w:rPr>
          <w:rFonts w:eastAsia="Calibri" w:cs="Arial"/>
          <w:szCs w:val="20"/>
          <w:lang w:val="en-GB"/>
        </w:rPr>
        <w:t>s</w:t>
      </w:r>
      <w:r w:rsidRPr="009C48DA" w:rsidR="00C42236">
        <w:rPr>
          <w:rFonts w:eastAsia="Calibri" w:cs="Arial"/>
          <w:szCs w:val="20"/>
          <w:lang w:val="en-GB"/>
        </w:rPr>
        <w:t xml:space="preserve"> </w:t>
      </w:r>
      <w:r w:rsidRPr="009C48DA" w:rsidR="00BB773E">
        <w:rPr>
          <w:rFonts w:eastAsia="Calibri" w:cs="Arial"/>
          <w:szCs w:val="20"/>
          <w:lang w:val="en-GB"/>
        </w:rPr>
        <w:t xml:space="preserve">Bridgepoint </w:t>
      </w:r>
      <w:r w:rsidRPr="009C48DA">
        <w:rPr>
          <w:rFonts w:eastAsia="Calibri" w:cs="Arial"/>
          <w:szCs w:val="20"/>
          <w:lang w:val="en-GB"/>
        </w:rPr>
        <w:t>CLO 1 DAC</w:t>
      </w:r>
      <w:r w:rsidRPr="009C48DA" w:rsidR="00E748FF">
        <w:rPr>
          <w:rFonts w:eastAsia="Calibri" w:cs="Arial"/>
          <w:szCs w:val="20"/>
          <w:lang w:val="en-GB"/>
        </w:rPr>
        <w:t xml:space="preserve"> </w:t>
      </w:r>
      <w:r w:rsidRPr="009C48DA" w:rsidR="00092571">
        <w:rPr>
          <w:rFonts w:eastAsia="Calibri" w:cs="Arial"/>
          <w:szCs w:val="20"/>
          <w:lang w:val="en-GB"/>
        </w:rPr>
        <w:t xml:space="preserve">and </w:t>
      </w:r>
      <w:r w:rsidRPr="009C48DA" w:rsidR="00BB773E">
        <w:rPr>
          <w:rFonts w:eastAsia="Calibri" w:cs="Arial"/>
          <w:szCs w:val="20"/>
          <w:lang w:val="en-GB"/>
        </w:rPr>
        <w:t xml:space="preserve">Bridgepoint </w:t>
      </w:r>
      <w:r w:rsidRPr="009C48DA" w:rsidR="00C42236">
        <w:rPr>
          <w:rFonts w:eastAsia="Calibri" w:cs="Arial"/>
          <w:szCs w:val="20"/>
          <w:lang w:val="en-GB"/>
        </w:rPr>
        <w:t>CLO 2 DAC</w:t>
      </w:r>
      <w:r w:rsidRPr="009C48DA" w:rsidR="00461973">
        <w:rPr>
          <w:rFonts w:eastAsia="Calibri" w:cs="Arial"/>
          <w:szCs w:val="20"/>
          <w:lang w:val="en-GB"/>
        </w:rPr>
        <w:t>,</w:t>
      </w:r>
      <w:r w:rsidRPr="009C48DA" w:rsidR="00404462">
        <w:rPr>
          <w:rFonts w:eastAsia="Calibri" w:cs="Arial"/>
          <w:szCs w:val="20"/>
          <w:lang w:val="en-GB"/>
        </w:rPr>
        <w:t xml:space="preserve"> </w:t>
      </w:r>
      <w:r w:rsidRPr="009C48DA">
        <w:rPr>
          <w:rFonts w:eastAsia="Calibri" w:cs="Arial"/>
          <w:szCs w:val="20"/>
          <w:lang w:val="en-GB"/>
        </w:rPr>
        <w:t xml:space="preserve">and it </w:t>
      </w:r>
      <w:r w:rsidRPr="009C48DA">
        <w:rPr>
          <w:rFonts w:eastAsia="Times New Roman" w:cs="Times New Roman"/>
          <w:color w:val="231F20"/>
          <w:szCs w:val="20"/>
          <w:lang w:val="en-GB"/>
        </w:rPr>
        <w:t>may</w:t>
      </w:r>
      <w:r w:rsidRPr="009C48DA">
        <w:rPr>
          <w:rFonts w:eastAsia="Calibri" w:cs="Arial"/>
          <w:szCs w:val="20"/>
          <w:lang w:val="en-GB"/>
        </w:rPr>
        <w:t xml:space="preserve"> arrange further CLOs in the future. For the Group, CLOs serve as long-term financing for debt investments </w:t>
      </w:r>
      <w:r w:rsidRPr="009C48DA" w:rsidR="00207F3D">
        <w:rPr>
          <w:rFonts w:eastAsia="Calibri" w:cs="Arial"/>
          <w:szCs w:val="20"/>
          <w:lang w:val="en-GB"/>
        </w:rPr>
        <w:t xml:space="preserve">without recourse to the Group </w:t>
      </w:r>
      <w:r w:rsidRPr="009C48DA">
        <w:rPr>
          <w:rFonts w:eastAsia="Calibri" w:cs="Arial"/>
          <w:szCs w:val="20"/>
          <w:lang w:val="en-GB"/>
        </w:rPr>
        <w:t xml:space="preserve">and as a way to reduce refinancing risk, reduce maturity risk and secure a fixed cost of funds over an underlying market interest rate. </w:t>
      </w:r>
    </w:p>
    <w:p w:rsidRPr="009C48DA" w:rsidR="005A3F50" w:rsidP="005A3F50" w:rsidRDefault="003A6C44" w14:paraId="0B45CB43" w14:textId="5E899992">
      <w:pPr>
        <w:pStyle w:val="BodyText2SglJ"/>
        <w:rPr>
          <w:rFonts w:eastAsia="Calibri" w:cs="Arial"/>
          <w:szCs w:val="20"/>
          <w:lang w:val="en-GB"/>
        </w:rPr>
      </w:pPr>
      <w:r w:rsidRPr="009C48DA">
        <w:rPr>
          <w:rFonts w:eastAsia="Calibri" w:cs="Arial"/>
          <w:szCs w:val="20"/>
          <w:lang w:val="en-GB"/>
        </w:rPr>
        <w:t>CLOs are generally special purpose companies that issue notes secured by a pool of collateral consisting primarily of corporate leveraged loans. CLO</w:t>
      </w:r>
      <w:r w:rsidRPr="009C48DA" w:rsidR="007A03DC">
        <w:rPr>
          <w:rFonts w:eastAsia="Calibri" w:cs="Arial"/>
          <w:szCs w:val="20"/>
          <w:lang w:val="en-GB"/>
        </w:rPr>
        <w:t>s</w:t>
      </w:r>
      <w:r w:rsidRPr="009C48DA">
        <w:rPr>
          <w:rFonts w:eastAsia="Calibri" w:cs="Arial"/>
          <w:szCs w:val="20"/>
          <w:lang w:val="en-GB"/>
        </w:rPr>
        <w:t xml:space="preserve"> </w:t>
      </w:r>
      <w:r w:rsidRPr="009C48DA" w:rsidR="00207F3D">
        <w:rPr>
          <w:rFonts w:eastAsia="Calibri" w:cs="Arial"/>
          <w:szCs w:val="20"/>
          <w:lang w:val="en-GB"/>
        </w:rPr>
        <w:t>utilise substantial leverage and the Group’s interest in the CLOs</w:t>
      </w:r>
      <w:r w:rsidRPr="009C48DA">
        <w:rPr>
          <w:rFonts w:eastAsia="Calibri" w:cs="Arial"/>
          <w:szCs w:val="20"/>
          <w:lang w:val="en-GB"/>
        </w:rPr>
        <w:t xml:space="preserve"> are deeply subordinated, which increases both the opportunity for higher returns as well as the </w:t>
      </w:r>
      <w:r w:rsidRPr="009C48DA">
        <w:rPr>
          <w:rFonts w:eastAsia="Calibri" w:cs="Arial"/>
          <w:szCs w:val="20"/>
          <w:lang w:val="en-GB"/>
        </w:rPr>
        <w:lastRenderedPageBreak/>
        <w:t xml:space="preserve">potential magnitude of losses when compared to holders or investors that rank more </w:t>
      </w:r>
      <w:bookmarkStart w:name="_9kMIH5YVt4886AKUo1Z" w:id="490"/>
      <w:r w:rsidRPr="009C48DA" w:rsidR="0079617A">
        <w:rPr>
          <w:rFonts w:eastAsia="Calibri" w:cs="Arial"/>
          <w:szCs w:val="20"/>
          <w:lang w:val="en-GB"/>
        </w:rPr>
        <w:t xml:space="preserve">senior in right of payment. Each </w:t>
      </w:r>
      <w:r w:rsidRPr="009C48DA">
        <w:rPr>
          <w:rFonts w:eastAsia="Calibri" w:cs="Arial"/>
          <w:szCs w:val="20"/>
          <w:lang w:val="en-GB"/>
        </w:rPr>
        <w:t>CLO’s</w:t>
      </w:r>
      <w:bookmarkEnd w:id="490"/>
      <w:r w:rsidRPr="009C48DA">
        <w:rPr>
          <w:rFonts w:eastAsia="Calibri" w:cs="Arial"/>
          <w:szCs w:val="20"/>
          <w:lang w:val="en-GB"/>
        </w:rPr>
        <w:t xml:space="preserve"> portfolio profile tests set limits on the </w:t>
      </w:r>
      <w:r w:rsidRPr="009C48DA" w:rsidR="00207F3D">
        <w:rPr>
          <w:rFonts w:eastAsia="Calibri" w:cs="Arial"/>
          <w:szCs w:val="20"/>
          <w:lang w:val="en-GB"/>
        </w:rPr>
        <w:t>collateral that the</w:t>
      </w:r>
      <w:r w:rsidRPr="009C48DA">
        <w:rPr>
          <w:rFonts w:eastAsia="Calibri" w:cs="Arial"/>
          <w:szCs w:val="20"/>
          <w:lang w:val="en-GB"/>
        </w:rPr>
        <w:t xml:space="preserve"> CLO can hold. During any time that a CLO exceeds such a limit, the ability of the </w:t>
      </w:r>
      <w:r w:rsidRPr="009C48DA" w:rsidR="002F35CA">
        <w:rPr>
          <w:rFonts w:eastAsia="Calibri" w:cs="Arial"/>
          <w:szCs w:val="20"/>
          <w:lang w:val="en-GB"/>
        </w:rPr>
        <w:t xml:space="preserve">manager of the CLO, which is a member of the Group, </w:t>
      </w:r>
      <w:r w:rsidRPr="009C48DA">
        <w:rPr>
          <w:rFonts w:eastAsia="Calibri" w:cs="Arial"/>
          <w:szCs w:val="20"/>
          <w:lang w:val="en-GB"/>
        </w:rPr>
        <w:t xml:space="preserve">to sell assets and reinvest available principal proceeds into substitute assets is restricted. In such circumstances, </w:t>
      </w:r>
      <w:bookmarkStart w:name="_9kMJI5YVt4886AKUo1Z" w:id="491"/>
      <w:r w:rsidRPr="009C48DA">
        <w:rPr>
          <w:rFonts w:eastAsia="Calibri" w:cs="Arial"/>
          <w:szCs w:val="20"/>
          <w:lang w:val="en-GB"/>
        </w:rPr>
        <w:t>CLOs</w:t>
      </w:r>
      <w:bookmarkEnd w:id="491"/>
      <w:r w:rsidRPr="009C48DA">
        <w:rPr>
          <w:rFonts w:eastAsia="Calibri" w:cs="Arial"/>
          <w:szCs w:val="20"/>
          <w:lang w:val="en-GB"/>
        </w:rPr>
        <w:t xml:space="preserve"> may fail certain over-collateralisation tests, which would cause diversions of cash flows away from the Group as holders of the junior </w:t>
      </w:r>
      <w:bookmarkStart w:name="_9kMKJ5YVt4886AKUo1Z" w:id="492"/>
      <w:r w:rsidRPr="009C48DA" w:rsidR="00207F3D">
        <w:rPr>
          <w:rFonts w:eastAsia="Calibri" w:cs="Arial"/>
          <w:szCs w:val="20"/>
          <w:lang w:val="en-GB"/>
        </w:rPr>
        <w:t xml:space="preserve">notes of the </w:t>
      </w:r>
      <w:r w:rsidRPr="009C48DA">
        <w:rPr>
          <w:rFonts w:eastAsia="Calibri" w:cs="Arial"/>
          <w:szCs w:val="20"/>
          <w:lang w:val="en-GB"/>
        </w:rPr>
        <w:t>CLOs</w:t>
      </w:r>
      <w:bookmarkEnd w:id="492"/>
      <w:r w:rsidRPr="009C48DA">
        <w:rPr>
          <w:rFonts w:eastAsia="Calibri" w:cs="Arial"/>
          <w:szCs w:val="20"/>
          <w:lang w:val="en-GB"/>
        </w:rPr>
        <w:t xml:space="preserve">, which may impact the </w:t>
      </w:r>
      <w:bookmarkStart w:name="_9kMK78L7aXv6AA8BKULzmlnx822EibGKM" w:id="493"/>
      <w:r w:rsidRPr="009C48DA">
        <w:rPr>
          <w:rFonts w:eastAsia="Calibri" w:cs="Arial"/>
          <w:szCs w:val="20"/>
          <w:lang w:val="en-GB"/>
        </w:rPr>
        <w:t>Group’s</w:t>
      </w:r>
      <w:bookmarkEnd w:id="493"/>
      <w:r w:rsidRPr="009C48DA">
        <w:rPr>
          <w:rFonts w:eastAsia="Calibri" w:cs="Arial"/>
          <w:szCs w:val="20"/>
          <w:lang w:val="en-GB"/>
        </w:rPr>
        <w:t xml:space="preserve"> cash flows. The ability of the </w:t>
      </w:r>
      <w:bookmarkStart w:name="_9kMLK5YVt4886AKUo1Z" w:id="494"/>
      <w:r w:rsidRPr="009C48DA">
        <w:rPr>
          <w:rFonts w:eastAsia="Calibri" w:cs="Arial"/>
          <w:szCs w:val="20"/>
          <w:lang w:val="en-GB"/>
        </w:rPr>
        <w:t>CLOs</w:t>
      </w:r>
      <w:bookmarkEnd w:id="494"/>
      <w:r w:rsidRPr="009C48DA">
        <w:rPr>
          <w:rFonts w:eastAsia="Calibri" w:cs="Arial"/>
          <w:szCs w:val="20"/>
          <w:lang w:val="en-GB"/>
        </w:rPr>
        <w:t xml:space="preserve"> to make interest payments to the holders of the senior notes </w:t>
      </w:r>
      <w:r w:rsidRPr="009C48DA" w:rsidR="00207F3D">
        <w:rPr>
          <w:rFonts w:eastAsia="Calibri" w:cs="Arial"/>
          <w:szCs w:val="20"/>
          <w:lang w:val="en-GB"/>
        </w:rPr>
        <w:t>issued by the CLOs</w:t>
      </w:r>
      <w:r w:rsidRPr="009C48DA">
        <w:rPr>
          <w:rFonts w:eastAsia="Calibri" w:cs="Arial"/>
          <w:szCs w:val="20"/>
          <w:lang w:val="en-GB"/>
        </w:rPr>
        <w:t xml:space="preserve"> is highly dependent upon the performance of the CLO collateral. If the collateral </w:t>
      </w:r>
      <w:r w:rsidRPr="009C48DA" w:rsidR="00207F3D">
        <w:rPr>
          <w:rFonts w:eastAsia="Calibri" w:cs="Arial"/>
          <w:szCs w:val="20"/>
          <w:lang w:val="en-GB"/>
        </w:rPr>
        <w:t>held by the CLOs</w:t>
      </w:r>
      <w:r w:rsidRPr="009C48DA">
        <w:rPr>
          <w:rFonts w:eastAsia="Calibri" w:cs="Arial"/>
          <w:szCs w:val="20"/>
          <w:lang w:val="en-GB"/>
        </w:rPr>
        <w:t xml:space="preserve"> were to experience a significant decrease in cash flows due to an increased default level, payment of all principal and interest outstanding may be accelerated as a result of an event of default or by holders of the senior notes</w:t>
      </w:r>
      <w:r w:rsidRPr="009C48DA" w:rsidR="00207F3D">
        <w:rPr>
          <w:rFonts w:eastAsia="Calibri" w:cs="Arial"/>
          <w:szCs w:val="20"/>
          <w:lang w:val="en-GB"/>
        </w:rPr>
        <w:t xml:space="preserve"> issued by the CLOs</w:t>
      </w:r>
      <w:r w:rsidRPr="009C48DA">
        <w:rPr>
          <w:rFonts w:eastAsia="Calibri" w:cs="Arial"/>
          <w:szCs w:val="20"/>
          <w:lang w:val="en-GB"/>
        </w:rPr>
        <w:t xml:space="preserve">. There can be no assurance that market conditions giving rise to these types of consequences will not occur, re-occur, subsist or become more acute in the future. </w:t>
      </w:r>
      <w:r w:rsidRPr="009C48DA" w:rsidR="004619FF">
        <w:rPr>
          <w:rFonts w:eastAsia="Calibri" w:cs="Arial"/>
          <w:szCs w:val="20"/>
          <w:lang w:val="en-GB"/>
        </w:rPr>
        <w:t>Furthermore, b</w:t>
      </w:r>
      <w:r w:rsidRPr="009C48DA">
        <w:rPr>
          <w:rFonts w:eastAsia="Calibri" w:cs="Arial"/>
          <w:szCs w:val="20"/>
          <w:lang w:val="en-GB"/>
        </w:rPr>
        <w:t xml:space="preserve">ecause CLO structures involve complex collateral and other arrangements, the documentation for such structures is complex, is subject to differing interpretations and involves legal risk. </w:t>
      </w:r>
    </w:p>
    <w:p w:rsidRPr="009C48DA" w:rsidR="004619FF" w:rsidP="005A3F50" w:rsidRDefault="003A6C44" w14:paraId="141DCF37" w14:textId="79B531C8">
      <w:pPr>
        <w:pStyle w:val="BodyText2SglJ"/>
        <w:rPr>
          <w:rFonts w:eastAsia="Calibri" w:cs="Arial"/>
          <w:szCs w:val="20"/>
          <w:lang w:val="en-GB"/>
        </w:rPr>
      </w:pPr>
      <w:r w:rsidRPr="009C48DA">
        <w:rPr>
          <w:rFonts w:eastAsia="Calibri" w:cs="Arial"/>
          <w:szCs w:val="20"/>
          <w:lang w:val="en-GB"/>
        </w:rPr>
        <w:t xml:space="preserve">CLOs regularly use significant leverage to finance their </w:t>
      </w:r>
      <w:r w:rsidRPr="009C48DA" w:rsidR="00207F3D">
        <w:rPr>
          <w:rFonts w:eastAsia="Calibri" w:cs="Arial"/>
          <w:szCs w:val="20"/>
          <w:lang w:val="en-GB"/>
        </w:rPr>
        <w:t>underlying collateral</w:t>
      </w:r>
      <w:r w:rsidRPr="009C48DA">
        <w:rPr>
          <w:rFonts w:eastAsia="Calibri" w:cs="Arial"/>
          <w:szCs w:val="20"/>
          <w:lang w:val="en-GB"/>
        </w:rPr>
        <w:t xml:space="preserve">. An inability of such CLOs to continue to raise or utilise leverage, to refinance or extend the maturities of their outstanding indebtedness or to maintain </w:t>
      </w:r>
      <w:r w:rsidRPr="009C48DA" w:rsidR="00207F3D">
        <w:rPr>
          <w:rFonts w:eastAsia="Calibri" w:cs="Arial"/>
          <w:szCs w:val="20"/>
          <w:lang w:val="en-GB"/>
        </w:rPr>
        <w:t>the requisite types and</w:t>
      </w:r>
      <w:r w:rsidRPr="009C48DA">
        <w:rPr>
          <w:rFonts w:eastAsia="Calibri" w:cs="Arial"/>
          <w:szCs w:val="20"/>
          <w:lang w:val="en-GB"/>
        </w:rPr>
        <w:t xml:space="preserve"> levels of collateral under the terms of </w:t>
      </w:r>
      <w:bookmarkStart w:name="_9kMON5YVt4886AKUo1Z" w:id="495"/>
      <w:r w:rsidRPr="009C48DA">
        <w:rPr>
          <w:rFonts w:eastAsia="Calibri" w:cs="Arial"/>
          <w:szCs w:val="20"/>
          <w:lang w:val="en-GB"/>
        </w:rPr>
        <w:t>the CLOs</w:t>
      </w:r>
      <w:bookmarkEnd w:id="495"/>
      <w:r w:rsidRPr="009C48DA">
        <w:rPr>
          <w:rFonts w:eastAsia="Calibri" w:cs="Arial"/>
          <w:szCs w:val="20"/>
          <w:lang w:val="en-GB"/>
        </w:rPr>
        <w:t xml:space="preserve"> could limit their ability to grow their business, reinvest principal cash, distribute cash to the </w:t>
      </w:r>
      <w:r w:rsidRPr="009C48DA" w:rsidR="0079617A">
        <w:rPr>
          <w:rFonts w:eastAsia="Calibri" w:cs="Arial"/>
          <w:szCs w:val="20"/>
          <w:lang w:val="en-GB"/>
        </w:rPr>
        <w:t xml:space="preserve">CLO’s </w:t>
      </w:r>
      <w:r w:rsidRPr="009C48DA" w:rsidR="00207F3D">
        <w:rPr>
          <w:rFonts w:eastAsia="Calibri" w:cs="Arial"/>
          <w:szCs w:val="20"/>
          <w:lang w:val="en-GB"/>
        </w:rPr>
        <w:t xml:space="preserve">noteholders (including the </w:t>
      </w:r>
      <w:r w:rsidRPr="009C48DA">
        <w:rPr>
          <w:rFonts w:eastAsia="Calibri" w:cs="Arial"/>
          <w:szCs w:val="20"/>
          <w:lang w:val="en-GB"/>
        </w:rPr>
        <w:t>Group</w:t>
      </w:r>
      <w:r w:rsidRPr="009C48DA" w:rsidR="00207F3D">
        <w:rPr>
          <w:rFonts w:eastAsia="Calibri" w:cs="Arial"/>
          <w:szCs w:val="20"/>
          <w:lang w:val="en-GB"/>
        </w:rPr>
        <w:t>)</w:t>
      </w:r>
      <w:r w:rsidRPr="009C48DA">
        <w:rPr>
          <w:rFonts w:eastAsia="Calibri" w:cs="Arial"/>
          <w:szCs w:val="20"/>
          <w:lang w:val="en-GB"/>
        </w:rPr>
        <w:t xml:space="preserve"> or fully execute their business strategy. If these subsidiaries are unable to maintain their operating results and access to capital resources, they could face substantial liquidity problems and might be required to dispose of material assets or operations to meet debt service and other obligations. </w:t>
      </w:r>
    </w:p>
    <w:p w:rsidRPr="009C48DA" w:rsidR="003A6C44" w:rsidP="003A6C44" w:rsidRDefault="003A6C44" w14:paraId="6745FEBB" w14:textId="363B8E41">
      <w:pPr>
        <w:pStyle w:val="BodyText2SglJ"/>
        <w:rPr>
          <w:rFonts w:eastAsia="Calibri" w:cs="Arial"/>
          <w:szCs w:val="20"/>
          <w:lang w:val="en-GB"/>
        </w:rPr>
      </w:pPr>
      <w:r w:rsidRPr="009C48DA">
        <w:rPr>
          <w:rFonts w:eastAsia="Calibri" w:cs="Arial"/>
          <w:szCs w:val="20"/>
          <w:lang w:val="en-GB"/>
        </w:rPr>
        <w:t xml:space="preserve">The strategies of CLOs and the value of the assets of CLOs are also sensitive to changes in interest rates because these strategies rely on borrowed money and because the value of the underlying portfolio loans can fall when interest rates rise. If interest rates on CLO borrowings increase and the interest rates on the portfolio loans do not increase in parallel, the CLO strategy is unlikely to achieve its projected returns. Furthermore, if interest rates increase in the future, the </w:t>
      </w:r>
      <w:bookmarkStart w:name="_9kMIH5YVt4886AENJxkjlv600CgZEIKJh5I" w:id="496"/>
      <w:r w:rsidRPr="009C48DA">
        <w:rPr>
          <w:rFonts w:eastAsia="Calibri" w:cs="Arial"/>
          <w:szCs w:val="20"/>
          <w:lang w:val="en-GB"/>
        </w:rPr>
        <w:t xml:space="preserve">Group’s </w:t>
      </w:r>
      <w:r w:rsidRPr="009C48DA" w:rsidR="00321C6F">
        <w:rPr>
          <w:rFonts w:eastAsia="Calibri" w:cs="Arial"/>
          <w:szCs w:val="20"/>
          <w:lang w:val="en-GB"/>
        </w:rPr>
        <w:t xml:space="preserve">interest in the </w:t>
      </w:r>
      <w:r w:rsidRPr="009C48DA">
        <w:rPr>
          <w:rFonts w:eastAsia="Calibri" w:cs="Arial"/>
          <w:szCs w:val="20"/>
          <w:lang w:val="en-GB"/>
        </w:rPr>
        <w:t>CLO</w:t>
      </w:r>
      <w:bookmarkEnd w:id="496"/>
      <w:r w:rsidRPr="009C48DA" w:rsidR="00321C6F">
        <w:rPr>
          <w:rFonts w:eastAsia="Calibri" w:cs="Arial"/>
          <w:szCs w:val="20"/>
          <w:lang w:val="en-GB"/>
        </w:rPr>
        <w:t>s</w:t>
      </w:r>
      <w:r w:rsidRPr="009C48DA">
        <w:rPr>
          <w:rFonts w:eastAsia="Calibri" w:cs="Arial"/>
          <w:szCs w:val="20"/>
          <w:lang w:val="en-GB"/>
        </w:rPr>
        <w:t xml:space="preserve"> could experience a reduction in value because it would hold assets receiving below market rates of interest.</w:t>
      </w:r>
    </w:p>
    <w:p w:rsidRPr="009C48DA" w:rsidR="004619FF" w:rsidP="004619FF" w:rsidRDefault="004619FF" w14:paraId="1EEDECDF" w14:textId="31D6F277">
      <w:pPr>
        <w:pStyle w:val="BodyText2SglJ"/>
        <w:rPr>
          <w:rFonts w:eastAsia="Calibri" w:cs="Arial"/>
          <w:szCs w:val="20"/>
          <w:lang w:val="en-GB"/>
        </w:rPr>
      </w:pPr>
      <w:r w:rsidRPr="009C48DA">
        <w:rPr>
          <w:rFonts w:eastAsia="Times New Roman" w:cs="Times New Roman"/>
          <w:color w:val="231F20"/>
          <w:szCs w:val="20"/>
          <w:lang w:val="en-GB"/>
        </w:rPr>
        <w:t>Any</w:t>
      </w:r>
      <w:r w:rsidRPr="009C48DA">
        <w:rPr>
          <w:rFonts w:eastAsia="Calibri" w:cs="Arial"/>
          <w:szCs w:val="20"/>
          <w:lang w:val="en-GB"/>
        </w:rPr>
        <w:t xml:space="preserve"> of the foregoing circumstances could have a </w:t>
      </w:r>
      <w:r w:rsidRPr="009C48DA" w:rsidDel="00571B6B">
        <w:rPr>
          <w:rFonts w:eastAsia="Calibri" w:cs="Arial"/>
          <w:szCs w:val="20"/>
          <w:lang w:val="en-GB"/>
        </w:rPr>
        <w:t xml:space="preserve">material adverse effect on the </w:t>
      </w:r>
      <w:r w:rsidRPr="009C48DA">
        <w:rPr>
          <w:rFonts w:eastAsia="Calibri" w:cs="Arial"/>
          <w:szCs w:val="20"/>
          <w:lang w:val="en-GB"/>
        </w:rPr>
        <w:t>Group’s business, revenue</w:t>
      </w:r>
      <w:r w:rsidRPr="009C48DA" w:rsidDel="00571B6B">
        <w:rPr>
          <w:rFonts w:eastAsia="Calibri" w:cs="Arial"/>
          <w:szCs w:val="20"/>
          <w:lang w:val="en-GB"/>
        </w:rPr>
        <w:t>, net income and cash flows</w:t>
      </w:r>
      <w:r w:rsidRPr="009C48DA">
        <w:rPr>
          <w:rFonts w:eastAsia="Calibri" w:cs="Arial"/>
          <w:szCs w:val="20"/>
          <w:lang w:val="en-GB"/>
        </w:rPr>
        <w:t>.</w:t>
      </w:r>
    </w:p>
    <w:p w:rsidRPr="009C48DA" w:rsidR="009A0710" w:rsidP="009A0710" w:rsidRDefault="009A0710" w14:paraId="0ED2E085" w14:textId="5417E7E5">
      <w:pPr>
        <w:pStyle w:val="TitleBI"/>
        <w:rPr>
          <w:szCs w:val="20"/>
          <w:lang w:val="en-GB"/>
        </w:rPr>
      </w:pPr>
      <w:r w:rsidRPr="009C48DA">
        <w:rPr>
          <w:szCs w:val="20"/>
          <w:lang w:val="en-GB"/>
        </w:rPr>
        <w:t xml:space="preserve">The Group has significant liquidity requirements and adverse market and economic conditions may adversely affect its sources of liquidity, which could adversely affect its business operations in the future. </w:t>
      </w:r>
    </w:p>
    <w:p w:rsidRPr="009C48DA" w:rsidR="009A0710" w:rsidP="00DB11C9" w:rsidRDefault="009A0710" w14:paraId="4AFC0696" w14:textId="77777777">
      <w:pPr>
        <w:pStyle w:val="BodyText2SglJ"/>
        <w:keepNext/>
        <w:rPr>
          <w:szCs w:val="20"/>
          <w:lang w:val="en-GB"/>
        </w:rPr>
      </w:pPr>
      <w:r w:rsidRPr="009C48DA">
        <w:rPr>
          <w:szCs w:val="20"/>
          <w:lang w:val="en-GB"/>
        </w:rPr>
        <w:t>It is expected that the primary liquidity needs of the Group will consist of cash required to:</w:t>
      </w:r>
    </w:p>
    <w:p w:rsidRPr="009C48DA" w:rsidR="009A0710" w:rsidP="003F7555" w:rsidRDefault="009A0710" w14:paraId="41959224" w14:textId="4A1E4FBB">
      <w:pPr>
        <w:pStyle w:val="STBBullet3"/>
        <w:numPr>
          <w:ilvl w:val="0"/>
          <w:numId w:val="32"/>
        </w:numPr>
        <w:rPr>
          <w:szCs w:val="20"/>
          <w:lang w:val="en-GB"/>
        </w:rPr>
      </w:pPr>
      <w:r w:rsidRPr="009C48DA">
        <w:rPr>
          <w:szCs w:val="20"/>
          <w:lang w:val="en-GB"/>
        </w:rPr>
        <w:t xml:space="preserve">continue to grow its business, including new strategies, fund its capital commitments made to existing and future funds, </w:t>
      </w:r>
      <w:r w:rsidRPr="009C48DA" w:rsidR="00092571">
        <w:rPr>
          <w:szCs w:val="20"/>
          <w:lang w:val="en-GB"/>
        </w:rPr>
        <w:t xml:space="preserve">make </w:t>
      </w:r>
      <w:r w:rsidRPr="009C48DA">
        <w:rPr>
          <w:szCs w:val="20"/>
          <w:lang w:val="en-GB"/>
        </w:rPr>
        <w:t xml:space="preserve">co-investments and otherwise support the </w:t>
      </w:r>
      <w:r w:rsidRPr="009C48DA" w:rsidR="00BB773E">
        <w:rPr>
          <w:rFonts w:eastAsia="Calibri" w:cs="Arial"/>
          <w:szCs w:val="20"/>
          <w:lang w:val="en-GB"/>
        </w:rPr>
        <w:t xml:space="preserve">Bridgepoint </w:t>
      </w:r>
      <w:r w:rsidRPr="009C48DA">
        <w:rPr>
          <w:szCs w:val="20"/>
          <w:lang w:val="en-GB"/>
        </w:rPr>
        <w:t>Funds;</w:t>
      </w:r>
    </w:p>
    <w:p w:rsidRPr="009C48DA" w:rsidR="009A0710" w:rsidP="003F7555" w:rsidRDefault="009A0710" w14:paraId="22144D44" w14:textId="272C8A83">
      <w:pPr>
        <w:pStyle w:val="STBBullet3"/>
        <w:numPr>
          <w:ilvl w:val="0"/>
          <w:numId w:val="32"/>
        </w:numPr>
        <w:rPr>
          <w:szCs w:val="20"/>
          <w:lang w:val="en-GB"/>
        </w:rPr>
      </w:pPr>
      <w:r w:rsidRPr="009C48DA">
        <w:rPr>
          <w:szCs w:val="20"/>
          <w:lang w:val="en-GB"/>
        </w:rPr>
        <w:t xml:space="preserve">warehouse investments in portfolio companies or other investments for the benefit of one or more of the </w:t>
      </w:r>
      <w:r w:rsidRPr="009C48DA" w:rsidR="00BB773E">
        <w:rPr>
          <w:rFonts w:eastAsia="Calibri" w:cs="Arial"/>
          <w:szCs w:val="20"/>
          <w:lang w:val="en-GB"/>
        </w:rPr>
        <w:t xml:space="preserve">Bridgepoint </w:t>
      </w:r>
      <w:r w:rsidRPr="009C48DA">
        <w:rPr>
          <w:szCs w:val="20"/>
          <w:lang w:val="en-GB"/>
        </w:rPr>
        <w:t>Funds, accounts or CLOs pending the contribution of committed capital by the investors in such vehicles, and advancing capital to them for operational or other needs;</w:t>
      </w:r>
    </w:p>
    <w:p w:rsidRPr="009C48DA" w:rsidR="009A0710" w:rsidP="003F7555" w:rsidRDefault="009A0710" w14:paraId="7FE4E98A" w14:textId="11D290C8">
      <w:pPr>
        <w:pStyle w:val="STBBullet3"/>
        <w:numPr>
          <w:ilvl w:val="0"/>
          <w:numId w:val="32"/>
        </w:numPr>
        <w:rPr>
          <w:szCs w:val="20"/>
          <w:lang w:val="en-GB"/>
        </w:rPr>
      </w:pPr>
      <w:r w:rsidRPr="009C48DA">
        <w:rPr>
          <w:szCs w:val="20"/>
          <w:lang w:val="en-GB"/>
        </w:rPr>
        <w:t>service debt obligations</w:t>
      </w:r>
      <w:r w:rsidRPr="009C48DA" w:rsidR="00092571">
        <w:rPr>
          <w:szCs w:val="20"/>
          <w:lang w:val="en-GB"/>
        </w:rPr>
        <w:t>,</w:t>
      </w:r>
      <w:r w:rsidRPr="009C48DA">
        <w:rPr>
          <w:szCs w:val="20"/>
          <w:lang w:val="en-GB"/>
        </w:rPr>
        <w:t xml:space="preserve"> including the payment of obligations at maturity, on interest payment dates or upon redemption, as well as any contingent liabilities that may give rise to future cash payments;</w:t>
      </w:r>
    </w:p>
    <w:p w:rsidRPr="009C48DA" w:rsidR="009A0710" w:rsidP="003F7555" w:rsidRDefault="009A0710" w14:paraId="0BE04A0C" w14:textId="77777777">
      <w:pPr>
        <w:pStyle w:val="STBBullet3"/>
        <w:numPr>
          <w:ilvl w:val="0"/>
          <w:numId w:val="32"/>
        </w:numPr>
        <w:rPr>
          <w:szCs w:val="20"/>
          <w:lang w:val="en-GB"/>
        </w:rPr>
      </w:pPr>
      <w:r w:rsidRPr="009C48DA">
        <w:rPr>
          <w:szCs w:val="20"/>
          <w:lang w:val="en-GB"/>
        </w:rPr>
        <w:t xml:space="preserve">fund cash operating expenses and contingencies, including for any litigation; </w:t>
      </w:r>
    </w:p>
    <w:p w:rsidRPr="009C48DA" w:rsidR="009A0710" w:rsidP="003F7555" w:rsidRDefault="009A0710" w14:paraId="36856C07" w14:textId="15688F67">
      <w:pPr>
        <w:pStyle w:val="STBBullet3"/>
        <w:numPr>
          <w:ilvl w:val="0"/>
          <w:numId w:val="32"/>
        </w:numPr>
        <w:rPr>
          <w:szCs w:val="20"/>
          <w:lang w:val="en-GB"/>
        </w:rPr>
      </w:pPr>
      <w:r w:rsidRPr="009C48DA">
        <w:rPr>
          <w:szCs w:val="20"/>
          <w:lang w:val="en-GB"/>
        </w:rPr>
        <w:t>pay cash dividends in accordance with the div</w:t>
      </w:r>
      <w:r w:rsidRPr="009C48DA" w:rsidR="00A977CF">
        <w:rPr>
          <w:szCs w:val="20"/>
          <w:lang w:val="en-GB"/>
        </w:rPr>
        <w:t>idend policy for the Company’s s</w:t>
      </w:r>
      <w:r w:rsidRPr="009C48DA">
        <w:rPr>
          <w:szCs w:val="20"/>
          <w:lang w:val="en-GB"/>
        </w:rPr>
        <w:t>hares; and</w:t>
      </w:r>
    </w:p>
    <w:p w:rsidRPr="009C48DA" w:rsidR="009A0710" w:rsidP="003F7555" w:rsidRDefault="009A0710" w14:paraId="378E0ED4" w14:textId="77777777">
      <w:pPr>
        <w:pStyle w:val="STBBullet3"/>
        <w:numPr>
          <w:ilvl w:val="0"/>
          <w:numId w:val="32"/>
        </w:numPr>
        <w:rPr>
          <w:szCs w:val="20"/>
          <w:lang w:val="en-GB"/>
        </w:rPr>
      </w:pPr>
      <w:r w:rsidRPr="009C48DA">
        <w:rPr>
          <w:szCs w:val="20"/>
          <w:lang w:val="en-GB"/>
        </w:rPr>
        <w:t>address capital needs of regulated and other members of the Group.</w:t>
      </w:r>
    </w:p>
    <w:p w:rsidRPr="009C48DA" w:rsidR="008E796E" w:rsidP="000B1C12" w:rsidRDefault="009A0710" w14:paraId="6625F3D3" w14:textId="7B6C1E54">
      <w:pPr>
        <w:pStyle w:val="BlockTextSglJ"/>
        <w:ind w:firstLine="720"/>
        <w:rPr>
          <w:szCs w:val="20"/>
          <w:lang w:val="en-GB"/>
        </w:rPr>
      </w:pPr>
      <w:r w:rsidRPr="009C48DA">
        <w:rPr>
          <w:szCs w:val="20"/>
          <w:lang w:val="en-GB"/>
        </w:rPr>
        <w:t xml:space="preserve">These </w:t>
      </w:r>
      <w:r w:rsidRPr="009C48DA" w:rsidR="005C34BE">
        <w:rPr>
          <w:szCs w:val="20"/>
          <w:lang w:val="en-GB"/>
        </w:rPr>
        <w:t xml:space="preserve">liquidity requirements are significant and, in some cases, involve capital that will remain invested for extended periods of time. As of 31 March 2021, the Group had </w:t>
      </w:r>
      <w:r w:rsidRPr="009C48DA" w:rsidR="00404462">
        <w:rPr>
          <w:rFonts w:cs="Times New Roman"/>
          <w:szCs w:val="20"/>
          <w:lang w:val="en-GB"/>
        </w:rPr>
        <w:t>£</w:t>
      </w:r>
      <w:r w:rsidRPr="009C48DA" w:rsidR="005C34BE">
        <w:rPr>
          <w:szCs w:val="20"/>
          <w:lang w:val="en-GB"/>
        </w:rPr>
        <w:t>13</w:t>
      </w:r>
      <w:r w:rsidRPr="009C48DA" w:rsidR="00653B94">
        <w:rPr>
          <w:szCs w:val="20"/>
          <w:lang w:val="en-GB"/>
        </w:rPr>
        <w:t>2.6</w:t>
      </w:r>
      <w:r w:rsidRPr="009C48DA" w:rsidR="005C34BE">
        <w:rPr>
          <w:szCs w:val="20"/>
          <w:lang w:val="en-GB"/>
        </w:rPr>
        <w:t xml:space="preserve"> million and </w:t>
      </w:r>
      <w:r w:rsidRPr="009C48DA" w:rsidR="00404462">
        <w:rPr>
          <w:rFonts w:cs="Times New Roman"/>
          <w:szCs w:val="20"/>
          <w:lang w:val="en-GB"/>
        </w:rPr>
        <w:t>£</w:t>
      </w:r>
      <w:r w:rsidRPr="009C48DA" w:rsidR="00321C6F">
        <w:rPr>
          <w:szCs w:val="20"/>
          <w:lang w:val="en-GB"/>
        </w:rPr>
        <w:t>26.2</w:t>
      </w:r>
      <w:r w:rsidRPr="009C48DA" w:rsidR="00404462">
        <w:rPr>
          <w:szCs w:val="20"/>
          <w:lang w:val="en-GB"/>
        </w:rPr>
        <w:t xml:space="preserve"> </w:t>
      </w:r>
      <w:r w:rsidRPr="009C48DA" w:rsidR="008C1469">
        <w:rPr>
          <w:szCs w:val="20"/>
          <w:lang w:val="en-GB"/>
        </w:rPr>
        <w:t>million</w:t>
      </w:r>
      <w:r w:rsidRPr="009C48DA" w:rsidR="005C34BE">
        <w:rPr>
          <w:szCs w:val="20"/>
          <w:lang w:val="en-GB"/>
        </w:rPr>
        <w:t xml:space="preserve"> of remaining </w:t>
      </w:r>
      <w:r w:rsidRPr="009C48DA" w:rsidR="00321C6F">
        <w:rPr>
          <w:szCs w:val="20"/>
          <w:lang w:val="en-GB"/>
        </w:rPr>
        <w:t>undrawn</w:t>
      </w:r>
      <w:r w:rsidRPr="009C48DA" w:rsidR="005C34BE">
        <w:rPr>
          <w:szCs w:val="20"/>
          <w:lang w:val="en-GB"/>
        </w:rPr>
        <w:t xml:space="preserve"> capital commitments to the </w:t>
      </w:r>
      <w:r w:rsidRPr="009C48DA" w:rsidR="00BB773E">
        <w:rPr>
          <w:rFonts w:eastAsia="Calibri" w:cs="Arial"/>
          <w:szCs w:val="20"/>
          <w:lang w:val="en-GB"/>
        </w:rPr>
        <w:t xml:space="preserve">Bridgepoint </w:t>
      </w:r>
      <w:r w:rsidRPr="009C48DA" w:rsidR="005C34BE">
        <w:rPr>
          <w:szCs w:val="20"/>
          <w:lang w:val="en-GB"/>
        </w:rPr>
        <w:t xml:space="preserve">Funds in each of the private equity and private credit segments, respectively, which will require significant cash outlays over time during the </w:t>
      </w:r>
      <w:r w:rsidRPr="009C48DA" w:rsidR="005C34BE">
        <w:rPr>
          <w:szCs w:val="20"/>
          <w:lang w:val="en-GB"/>
        </w:rPr>
        <w:lastRenderedPageBreak/>
        <w:t xml:space="preserve">investment period of the relevant </w:t>
      </w:r>
      <w:r w:rsidRPr="009C48DA" w:rsidR="00BB773E">
        <w:rPr>
          <w:rFonts w:eastAsia="Calibri" w:cs="Arial"/>
          <w:szCs w:val="20"/>
          <w:lang w:val="en-GB"/>
        </w:rPr>
        <w:t xml:space="preserve">Bridgepoint </w:t>
      </w:r>
      <w:r w:rsidRPr="009C48DA" w:rsidR="005C34BE">
        <w:rPr>
          <w:szCs w:val="20"/>
          <w:lang w:val="en-GB"/>
        </w:rPr>
        <w:t xml:space="preserve">Funds. Capital commitments will also arise under the governing documents for future funds that the Group expects to raise. Capital commitments are </w:t>
      </w:r>
      <w:r w:rsidRPr="009C48DA" w:rsidR="00321C6F">
        <w:rPr>
          <w:szCs w:val="20"/>
          <w:lang w:val="en-GB"/>
        </w:rPr>
        <w:t xml:space="preserve">called by the </w:t>
      </w:r>
      <w:r w:rsidRPr="009C48DA" w:rsidR="00BB773E">
        <w:rPr>
          <w:rFonts w:eastAsia="Calibri" w:cs="Arial"/>
          <w:szCs w:val="20"/>
          <w:lang w:val="en-GB"/>
        </w:rPr>
        <w:t xml:space="preserve">Bridgepoint </w:t>
      </w:r>
      <w:r w:rsidRPr="009C48DA" w:rsidR="00321C6F">
        <w:rPr>
          <w:szCs w:val="20"/>
          <w:lang w:val="en-GB"/>
        </w:rPr>
        <w:t>Funds</w:t>
      </w:r>
      <w:r w:rsidRPr="009C48DA" w:rsidR="005C34BE">
        <w:rPr>
          <w:szCs w:val="20"/>
          <w:lang w:val="en-GB"/>
        </w:rPr>
        <w:t xml:space="preserve"> over time, </w:t>
      </w:r>
      <w:r w:rsidRPr="009C48DA" w:rsidR="00321C6F">
        <w:rPr>
          <w:szCs w:val="20"/>
          <w:lang w:val="en-GB"/>
        </w:rPr>
        <w:t xml:space="preserve">typically </w:t>
      </w:r>
      <w:r w:rsidRPr="009C48DA" w:rsidR="001D0D01">
        <w:rPr>
          <w:szCs w:val="20"/>
          <w:lang w:val="en-GB"/>
        </w:rPr>
        <w:t>from</w:t>
      </w:r>
      <w:r w:rsidRPr="009C48DA" w:rsidR="00321C6F">
        <w:rPr>
          <w:szCs w:val="20"/>
          <w:lang w:val="en-GB"/>
        </w:rPr>
        <w:t xml:space="preserve"> one to five years following the subscription of the commitment. F</w:t>
      </w:r>
      <w:r w:rsidRPr="009C48DA" w:rsidR="005C34BE">
        <w:rPr>
          <w:szCs w:val="20"/>
          <w:lang w:val="en-GB"/>
        </w:rPr>
        <w:t xml:space="preserve">or example, the </w:t>
      </w:r>
      <w:r w:rsidRPr="009C48DA" w:rsidR="00BB773E">
        <w:rPr>
          <w:rFonts w:eastAsia="Calibri" w:cs="Arial"/>
          <w:szCs w:val="20"/>
          <w:lang w:val="en-GB"/>
        </w:rPr>
        <w:t xml:space="preserve">Bridgepoint </w:t>
      </w:r>
      <w:r w:rsidRPr="009C48DA" w:rsidR="005C34BE">
        <w:rPr>
          <w:szCs w:val="20"/>
          <w:lang w:val="en-GB"/>
        </w:rPr>
        <w:t xml:space="preserve">Funds in the private equity segment are typically funded over a period of four to five years. </w:t>
      </w:r>
      <w:r w:rsidRPr="009C48DA" w:rsidR="00321C6F">
        <w:rPr>
          <w:szCs w:val="20"/>
          <w:lang w:val="en-GB"/>
        </w:rPr>
        <w:t xml:space="preserve">Capital commitments are a financial liability, but the Group does not have an obligation to pay cash until the capital is called by the relevant </w:t>
      </w:r>
      <w:r w:rsidRPr="009C48DA" w:rsidR="00BB773E">
        <w:rPr>
          <w:rFonts w:eastAsia="Calibri" w:cs="Arial"/>
          <w:szCs w:val="20"/>
          <w:lang w:val="en-GB"/>
        </w:rPr>
        <w:t xml:space="preserve">Bridgepoint </w:t>
      </w:r>
      <w:r w:rsidRPr="009C48DA" w:rsidR="00321C6F">
        <w:rPr>
          <w:szCs w:val="20"/>
          <w:lang w:val="en-GB"/>
        </w:rPr>
        <w:t>Fund</w:t>
      </w:r>
      <w:r w:rsidRPr="009C48DA" w:rsidR="008E796E">
        <w:rPr>
          <w:szCs w:val="20"/>
          <w:lang w:val="en-GB"/>
        </w:rPr>
        <w:t xml:space="preserve"> once the fund has made an investment requiring capital to fund. The decision to make such an investment is in the control of the Group as members of the Group are the Fund Managers of the </w:t>
      </w:r>
      <w:r w:rsidRPr="009C48DA" w:rsidR="00BB773E">
        <w:rPr>
          <w:szCs w:val="20"/>
          <w:lang w:val="en-GB"/>
        </w:rPr>
        <w:t xml:space="preserve">Bridgepoint </w:t>
      </w:r>
      <w:r w:rsidRPr="009C48DA" w:rsidR="008E796E">
        <w:rPr>
          <w:szCs w:val="20"/>
          <w:lang w:val="en-GB"/>
        </w:rPr>
        <w:t>Funds</w:t>
      </w:r>
      <w:r w:rsidRPr="009C48DA" w:rsidR="00321C6F">
        <w:rPr>
          <w:szCs w:val="20"/>
          <w:lang w:val="en-GB"/>
        </w:rPr>
        <w:t xml:space="preserve">. Commitments may increase where distributions made by a </w:t>
      </w:r>
      <w:r w:rsidRPr="009C48DA" w:rsidR="00BB773E">
        <w:rPr>
          <w:szCs w:val="20"/>
          <w:lang w:val="en-GB"/>
        </w:rPr>
        <w:t xml:space="preserve">Bridgepoint </w:t>
      </w:r>
      <w:r w:rsidRPr="009C48DA" w:rsidR="00321C6F">
        <w:rPr>
          <w:szCs w:val="20"/>
          <w:lang w:val="en-GB"/>
        </w:rPr>
        <w:t>Fund are recallable</w:t>
      </w:r>
      <w:r w:rsidRPr="009C48DA" w:rsidR="008E796E">
        <w:rPr>
          <w:szCs w:val="20"/>
          <w:lang w:val="en-GB"/>
        </w:rPr>
        <w:t>, but only to the extent of the amount of received distributions</w:t>
      </w:r>
      <w:r w:rsidRPr="009C48DA" w:rsidR="00321C6F">
        <w:rPr>
          <w:szCs w:val="20"/>
          <w:lang w:val="en-GB"/>
        </w:rPr>
        <w:t xml:space="preserve">. </w:t>
      </w:r>
      <w:r w:rsidRPr="009C48DA" w:rsidR="00404462">
        <w:rPr>
          <w:szCs w:val="20"/>
          <w:lang w:val="en-GB"/>
        </w:rPr>
        <w:t xml:space="preserve">Due to its careful approach in assessing its funding requirements under the governing documents of the </w:t>
      </w:r>
      <w:r w:rsidRPr="009C48DA" w:rsidR="00BB773E">
        <w:rPr>
          <w:szCs w:val="20"/>
          <w:lang w:val="en-GB"/>
        </w:rPr>
        <w:t xml:space="preserve">Bridgepoint </w:t>
      </w:r>
      <w:r w:rsidRPr="009C48DA" w:rsidR="00404462">
        <w:rPr>
          <w:szCs w:val="20"/>
          <w:lang w:val="en-GB"/>
        </w:rPr>
        <w:t xml:space="preserve">Funds, the Group did not have any problems in funding its capital commitments to the </w:t>
      </w:r>
      <w:r w:rsidRPr="009C48DA" w:rsidR="00BB773E">
        <w:rPr>
          <w:szCs w:val="20"/>
          <w:lang w:val="en-GB"/>
        </w:rPr>
        <w:t xml:space="preserve">Bridgepoint </w:t>
      </w:r>
      <w:r w:rsidRPr="009C48DA" w:rsidR="00404462">
        <w:rPr>
          <w:szCs w:val="20"/>
          <w:lang w:val="en-GB"/>
        </w:rPr>
        <w:t xml:space="preserve">Funds in the past. </w:t>
      </w:r>
      <w:r w:rsidRPr="009C48DA" w:rsidR="007D5332">
        <w:rPr>
          <w:szCs w:val="20"/>
          <w:lang w:val="en-GB"/>
        </w:rPr>
        <w:t xml:space="preserve">The Group constantly monitors and forecasts its expected capital commitments to each of the Bridgepoint Funds. Whilst the exact quantum and timing of these </w:t>
      </w:r>
      <w:r w:rsidRPr="009C48DA" w:rsidR="008776DD">
        <w:rPr>
          <w:szCs w:val="20"/>
          <w:lang w:val="en-GB"/>
        </w:rPr>
        <w:t xml:space="preserve">capital </w:t>
      </w:r>
      <w:r w:rsidRPr="009C48DA" w:rsidR="007D5332">
        <w:rPr>
          <w:szCs w:val="20"/>
          <w:lang w:val="en-GB"/>
        </w:rPr>
        <w:t xml:space="preserve">commitments is inherently uncertain, </w:t>
      </w:r>
      <w:r w:rsidRPr="009C48DA" w:rsidR="008776DD">
        <w:rPr>
          <w:szCs w:val="20"/>
          <w:lang w:val="en-GB"/>
        </w:rPr>
        <w:t>the Group</w:t>
      </w:r>
      <w:r w:rsidRPr="009C48DA" w:rsidR="007D5332">
        <w:rPr>
          <w:szCs w:val="20"/>
          <w:lang w:val="en-GB"/>
        </w:rPr>
        <w:t xml:space="preserve"> currently expects that approximately £40 to £50 million </w:t>
      </w:r>
      <w:r w:rsidRPr="009C48DA" w:rsidR="008776DD">
        <w:rPr>
          <w:szCs w:val="20"/>
          <w:lang w:val="en-GB"/>
        </w:rPr>
        <w:t xml:space="preserve">and £80 to £100 million of capital commitments will be invested within </w:t>
      </w:r>
      <w:r w:rsidRPr="009C48DA" w:rsidR="007D5332">
        <w:rPr>
          <w:szCs w:val="20"/>
          <w:lang w:val="en-GB"/>
        </w:rPr>
        <w:t xml:space="preserve">12 months </w:t>
      </w:r>
      <w:r w:rsidRPr="009C48DA" w:rsidR="008776DD">
        <w:rPr>
          <w:szCs w:val="20"/>
          <w:lang w:val="en-GB"/>
        </w:rPr>
        <w:t xml:space="preserve">and 24 months of </w:t>
      </w:r>
      <w:r w:rsidRPr="009C48DA" w:rsidR="007D5332">
        <w:rPr>
          <w:szCs w:val="20"/>
          <w:lang w:val="en-GB"/>
        </w:rPr>
        <w:t>the date of this Registration Document</w:t>
      </w:r>
      <w:r w:rsidRPr="009C48DA" w:rsidR="008776DD">
        <w:rPr>
          <w:szCs w:val="20"/>
          <w:lang w:val="en-GB"/>
        </w:rPr>
        <w:t>, respectively</w:t>
      </w:r>
      <w:r w:rsidRPr="009C48DA" w:rsidR="007D5332">
        <w:rPr>
          <w:szCs w:val="20"/>
          <w:lang w:val="en-GB"/>
        </w:rPr>
        <w:t xml:space="preserve">. On a net basis, after expected receipt of cashflows from fund investment realisations, </w:t>
      </w:r>
      <w:r w:rsidRPr="009C48DA" w:rsidR="008776DD">
        <w:rPr>
          <w:szCs w:val="20"/>
          <w:lang w:val="en-GB"/>
        </w:rPr>
        <w:t xml:space="preserve">these amounts are </w:t>
      </w:r>
      <w:r w:rsidRPr="009C48DA" w:rsidR="007D5332">
        <w:rPr>
          <w:szCs w:val="20"/>
          <w:lang w:val="en-GB"/>
        </w:rPr>
        <w:t>expected to be broadly nil. If the investment requirements exceed the proceeds from investment realisations due to timing differences, the commitments are expected to be funded through a mix of the capital resources as described in the following paragraph</w:t>
      </w:r>
      <w:r w:rsidRPr="009C48DA" w:rsidR="008776DD">
        <w:rPr>
          <w:szCs w:val="20"/>
          <w:lang w:val="en-GB"/>
        </w:rPr>
        <w:t>,</w:t>
      </w:r>
      <w:r w:rsidRPr="009C48DA" w:rsidR="007D5332">
        <w:rPr>
          <w:szCs w:val="20"/>
          <w:lang w:val="en-GB"/>
        </w:rPr>
        <w:t xml:space="preserve"> and </w:t>
      </w:r>
      <w:r w:rsidRPr="009C48DA" w:rsidDel="00BA3E96" w:rsidR="007D5332">
        <w:rPr>
          <w:szCs w:val="20"/>
          <w:lang w:val="en-GB"/>
        </w:rPr>
        <w:t>the Group seeks to ensure it has sufficient liquidity available in all reasonable circumstances.</w:t>
      </w:r>
    </w:p>
    <w:p w:rsidRPr="009C48DA" w:rsidR="009A0710" w:rsidP="000B1C12" w:rsidRDefault="00404462" w14:paraId="5FDB9D07" w14:textId="2C5F9A4D">
      <w:pPr>
        <w:pStyle w:val="BlockTextSglJ"/>
        <w:ind w:firstLine="720"/>
        <w:rPr>
          <w:szCs w:val="20"/>
          <w:lang w:val="en-GB"/>
        </w:rPr>
      </w:pPr>
      <w:r w:rsidRPr="009C48DA">
        <w:rPr>
          <w:szCs w:val="20"/>
          <w:lang w:val="en-GB"/>
        </w:rPr>
        <w:t xml:space="preserve">As </w:t>
      </w:r>
      <w:r w:rsidRPr="009C48DA" w:rsidR="005C34BE">
        <w:rPr>
          <w:szCs w:val="20"/>
          <w:lang w:val="en-GB"/>
        </w:rPr>
        <w:t>of 31 March 2021</w:t>
      </w:r>
      <w:r w:rsidRPr="009C48DA" w:rsidR="00492B7A">
        <w:rPr>
          <w:szCs w:val="20"/>
          <w:lang w:val="en-GB"/>
        </w:rPr>
        <w:t>,</w:t>
      </w:r>
      <w:r w:rsidRPr="009C48DA" w:rsidR="005C34BE">
        <w:rPr>
          <w:szCs w:val="20"/>
          <w:lang w:val="en-GB"/>
        </w:rPr>
        <w:t xml:space="preserve"> the Group had, among other </w:t>
      </w:r>
      <w:r w:rsidRPr="009C48DA" w:rsidR="008C1469">
        <w:rPr>
          <w:szCs w:val="20"/>
          <w:lang w:val="en-GB"/>
        </w:rPr>
        <w:t xml:space="preserve">financial </w:t>
      </w:r>
      <w:r w:rsidRPr="009C48DA" w:rsidR="005C34BE">
        <w:rPr>
          <w:szCs w:val="20"/>
          <w:lang w:val="en-GB"/>
        </w:rPr>
        <w:t>liabilities, £</w:t>
      </w:r>
      <w:r w:rsidRPr="009C48DA" w:rsidR="008C1469">
        <w:rPr>
          <w:szCs w:val="20"/>
          <w:lang w:val="en-GB"/>
        </w:rPr>
        <w:t>87.5</w:t>
      </w:r>
      <w:r w:rsidRPr="009C48DA" w:rsidR="005C34BE">
        <w:rPr>
          <w:szCs w:val="20"/>
          <w:lang w:val="en-GB"/>
        </w:rPr>
        <w:t xml:space="preserve"> million of borrowings, </w:t>
      </w:r>
      <w:r w:rsidRPr="009C48DA" w:rsidR="00384F77">
        <w:rPr>
          <w:szCs w:val="20"/>
          <w:lang w:val="en-GB"/>
        </w:rPr>
        <w:t xml:space="preserve">£47.7 million of lease liabilities, </w:t>
      </w:r>
      <w:r w:rsidRPr="009C48DA" w:rsidR="005C34BE">
        <w:rPr>
          <w:szCs w:val="20"/>
          <w:lang w:val="en-GB"/>
        </w:rPr>
        <w:t>£</w:t>
      </w:r>
      <w:r w:rsidRPr="009C48DA" w:rsidR="008C1469">
        <w:rPr>
          <w:szCs w:val="20"/>
          <w:lang w:val="en-GB"/>
        </w:rPr>
        <w:t>4</w:t>
      </w:r>
      <w:r w:rsidRPr="009C48DA" w:rsidR="00765795">
        <w:rPr>
          <w:szCs w:val="20"/>
          <w:lang w:val="en-GB"/>
        </w:rPr>
        <w:t>2</w:t>
      </w:r>
      <w:r w:rsidRPr="009C48DA" w:rsidR="005C34BE">
        <w:rPr>
          <w:szCs w:val="20"/>
          <w:lang w:val="en-GB"/>
        </w:rPr>
        <w:t>.</w:t>
      </w:r>
      <w:r w:rsidRPr="009C48DA" w:rsidR="00384F77">
        <w:rPr>
          <w:szCs w:val="20"/>
          <w:lang w:val="en-GB"/>
        </w:rPr>
        <w:t>4</w:t>
      </w:r>
      <w:r w:rsidRPr="009C48DA" w:rsidR="005C34BE">
        <w:rPr>
          <w:szCs w:val="20"/>
          <w:lang w:val="en-GB"/>
        </w:rPr>
        <w:t xml:space="preserve"> million of trade and other payables</w:t>
      </w:r>
      <w:r w:rsidRPr="009C48DA" w:rsidR="008C1469">
        <w:rPr>
          <w:szCs w:val="20"/>
          <w:lang w:val="en-GB"/>
        </w:rPr>
        <w:t>,</w:t>
      </w:r>
      <w:r w:rsidRPr="009C48DA" w:rsidR="005C34BE">
        <w:rPr>
          <w:szCs w:val="20"/>
          <w:lang w:val="en-GB"/>
        </w:rPr>
        <w:t xml:space="preserve"> £31.</w:t>
      </w:r>
      <w:r w:rsidRPr="009C48DA" w:rsidR="008C1469">
        <w:rPr>
          <w:szCs w:val="20"/>
          <w:lang w:val="en-GB"/>
        </w:rPr>
        <w:t>7</w:t>
      </w:r>
      <w:r w:rsidRPr="009C48DA" w:rsidR="005C34BE">
        <w:rPr>
          <w:szCs w:val="20"/>
          <w:lang w:val="en-GB"/>
        </w:rPr>
        <w:t xml:space="preserve"> </w:t>
      </w:r>
      <w:r w:rsidRPr="009C48DA" w:rsidR="008C1469">
        <w:rPr>
          <w:szCs w:val="20"/>
          <w:lang w:val="en-GB"/>
        </w:rPr>
        <w:t>million</w:t>
      </w:r>
      <w:r w:rsidRPr="009C48DA" w:rsidR="005C34BE">
        <w:rPr>
          <w:szCs w:val="20"/>
          <w:lang w:val="en-GB"/>
        </w:rPr>
        <w:t xml:space="preserve"> of liabilities under de</w:t>
      </w:r>
      <w:r w:rsidRPr="009C48DA" w:rsidR="007A03DC">
        <w:rPr>
          <w:szCs w:val="20"/>
          <w:lang w:val="en-GB"/>
        </w:rPr>
        <w:t>ferred contingent con</w:t>
      </w:r>
      <w:r w:rsidRPr="009C48DA" w:rsidR="00384F77">
        <w:rPr>
          <w:szCs w:val="20"/>
          <w:lang w:val="en-GB"/>
        </w:rPr>
        <w:t>sideration</w:t>
      </w:r>
      <w:r w:rsidRPr="009C48DA" w:rsidR="007A03DC">
        <w:rPr>
          <w:szCs w:val="20"/>
          <w:lang w:val="en-GB"/>
        </w:rPr>
        <w:t xml:space="preserve"> and £5.8 million of other financial liabilities </w:t>
      </w:r>
      <w:r w:rsidRPr="009C48DA" w:rsidR="008C1469">
        <w:rPr>
          <w:szCs w:val="20"/>
          <w:lang w:val="en-GB"/>
        </w:rPr>
        <w:t>(excluding in each case the liabilities of the Group’s CLOs, which are without recourse to the Group)</w:t>
      </w:r>
      <w:r w:rsidRPr="009C48DA" w:rsidR="005C34BE">
        <w:rPr>
          <w:szCs w:val="20"/>
          <w:lang w:val="en-GB"/>
        </w:rPr>
        <w:t>, the majority of which will become due within two years of such date. The Group expects to fund its business, including in particular the un</w:t>
      </w:r>
      <w:r w:rsidRPr="009C48DA" w:rsidR="008C1469">
        <w:rPr>
          <w:szCs w:val="20"/>
          <w:lang w:val="en-GB"/>
        </w:rPr>
        <w:t>drawn</w:t>
      </w:r>
      <w:r w:rsidRPr="009C48DA" w:rsidR="005C34BE">
        <w:rPr>
          <w:szCs w:val="20"/>
          <w:lang w:val="en-GB"/>
        </w:rPr>
        <w:t xml:space="preserve"> capital commitments to the </w:t>
      </w:r>
      <w:r w:rsidRPr="009C48DA" w:rsidR="00BB773E">
        <w:rPr>
          <w:rFonts w:eastAsia="Calibri" w:cs="Arial"/>
          <w:szCs w:val="20"/>
          <w:lang w:val="en-GB"/>
        </w:rPr>
        <w:t xml:space="preserve">Bridgepoint </w:t>
      </w:r>
      <w:r w:rsidRPr="009C48DA" w:rsidR="005C34BE">
        <w:rPr>
          <w:szCs w:val="20"/>
          <w:lang w:val="en-GB"/>
        </w:rPr>
        <w:t>Funds which it expects to fund when due,</w:t>
      </w:r>
      <w:r w:rsidRPr="009C48DA" w:rsidR="00B209E0">
        <w:rPr>
          <w:szCs w:val="20"/>
          <w:lang w:val="en-GB"/>
        </w:rPr>
        <w:t xml:space="preserve"> primarily using </w:t>
      </w:r>
      <w:r w:rsidRPr="009C48DA" w:rsidR="005C34BE">
        <w:rPr>
          <w:szCs w:val="20"/>
          <w:lang w:val="en-GB"/>
        </w:rPr>
        <w:t xml:space="preserve">cash from operations, proceeds from financing transactions, including </w:t>
      </w:r>
      <w:r w:rsidRPr="009C48DA" w:rsidR="0079617A">
        <w:rPr>
          <w:szCs w:val="20"/>
          <w:lang w:val="en-GB"/>
        </w:rPr>
        <w:t xml:space="preserve">borrowings under </w:t>
      </w:r>
      <w:r w:rsidRPr="009C48DA" w:rsidR="005C34BE">
        <w:rPr>
          <w:szCs w:val="20"/>
          <w:lang w:val="en-GB"/>
        </w:rPr>
        <w:t xml:space="preserve">the BAH Revolving Credit Facility </w:t>
      </w:r>
      <w:r w:rsidRPr="009C48DA" w:rsidR="00A357F1">
        <w:rPr>
          <w:szCs w:val="20"/>
          <w:lang w:val="en-GB"/>
        </w:rPr>
        <w:t>(£105.9</w:t>
      </w:r>
      <w:r w:rsidRPr="009C48DA" w:rsidR="00051C27">
        <w:rPr>
          <w:szCs w:val="20"/>
          <w:lang w:val="en-GB"/>
        </w:rPr>
        <w:t xml:space="preserve"> </w:t>
      </w:r>
      <w:r w:rsidRPr="009C48DA" w:rsidR="005C34BE">
        <w:rPr>
          <w:szCs w:val="20"/>
          <w:lang w:val="en-GB"/>
        </w:rPr>
        <w:t xml:space="preserve">million of </w:t>
      </w:r>
      <w:r w:rsidRPr="009C48DA" w:rsidR="00480351">
        <w:rPr>
          <w:szCs w:val="20"/>
          <w:lang w:val="en-GB"/>
        </w:rPr>
        <w:t xml:space="preserve">the total available amount of £125 million </w:t>
      </w:r>
      <w:r w:rsidRPr="009C48DA" w:rsidR="007A03DC">
        <w:rPr>
          <w:szCs w:val="20"/>
          <w:lang w:val="en-GB"/>
        </w:rPr>
        <w:t>was</w:t>
      </w:r>
      <w:r w:rsidRPr="009C48DA" w:rsidR="005C34BE">
        <w:rPr>
          <w:szCs w:val="20"/>
          <w:lang w:val="en-GB"/>
        </w:rPr>
        <w:t xml:space="preserve"> </w:t>
      </w:r>
      <w:r w:rsidRPr="009C48DA" w:rsidR="00051C27">
        <w:rPr>
          <w:szCs w:val="20"/>
          <w:lang w:val="en-GB"/>
        </w:rPr>
        <w:t xml:space="preserve">drawn </w:t>
      </w:r>
      <w:r w:rsidRPr="009C48DA" w:rsidR="005C34BE">
        <w:rPr>
          <w:szCs w:val="20"/>
          <w:lang w:val="en-GB"/>
        </w:rPr>
        <w:t xml:space="preserve">as of </w:t>
      </w:r>
      <w:r w:rsidRPr="009C48DA" w:rsidR="00B209E0">
        <w:rPr>
          <w:szCs w:val="20"/>
          <w:lang w:val="en-GB"/>
        </w:rPr>
        <w:t>the la</w:t>
      </w:r>
      <w:r w:rsidRPr="009C48DA" w:rsidR="00590789">
        <w:rPr>
          <w:szCs w:val="20"/>
          <w:lang w:val="en-GB"/>
        </w:rPr>
        <w:t xml:space="preserve">st practicable date prior to the publication of this </w:t>
      </w:r>
      <w:r w:rsidRPr="009C48DA" w:rsidR="00B41930">
        <w:rPr>
          <w:szCs w:val="20"/>
          <w:lang w:val="en-GB"/>
        </w:rPr>
        <w:t>Registration D</w:t>
      </w:r>
      <w:r w:rsidRPr="009C48DA" w:rsidR="00590789">
        <w:rPr>
          <w:szCs w:val="20"/>
          <w:lang w:val="en-GB"/>
        </w:rPr>
        <w:t>ocument</w:t>
      </w:r>
      <w:r w:rsidRPr="009C48DA" w:rsidR="00B209E0">
        <w:rPr>
          <w:szCs w:val="20"/>
          <w:lang w:val="en-GB"/>
        </w:rPr>
        <w:t>, which is 25 June 2021</w:t>
      </w:r>
      <w:r w:rsidRPr="009C48DA" w:rsidR="005C34BE">
        <w:rPr>
          <w:szCs w:val="20"/>
          <w:lang w:val="en-GB"/>
        </w:rPr>
        <w:t xml:space="preserve">), and the proceeds of the </w:t>
      </w:r>
      <w:r w:rsidRPr="009C48DA" w:rsidR="00A977CF">
        <w:rPr>
          <w:szCs w:val="20"/>
          <w:lang w:val="en-GB"/>
        </w:rPr>
        <w:t>potential initial public offering</w:t>
      </w:r>
      <w:r w:rsidRPr="009C48DA">
        <w:rPr>
          <w:szCs w:val="20"/>
          <w:lang w:val="en-GB"/>
        </w:rPr>
        <w:t xml:space="preserve">. </w:t>
      </w:r>
      <w:r w:rsidRPr="009C48DA" w:rsidR="0046368D">
        <w:rPr>
          <w:szCs w:val="20"/>
          <w:lang w:val="en-GB"/>
        </w:rPr>
        <w:t xml:space="preserve">The end of June typically represents the lowest point in the Group’s annual working capital cycle and the Group expects a significant cash inflow related to management fee income in July 2021 which is expected to put the Group in a net positive cash position. </w:t>
      </w:r>
      <w:r w:rsidRPr="009C48DA">
        <w:rPr>
          <w:szCs w:val="20"/>
          <w:lang w:val="en-GB"/>
        </w:rPr>
        <w:t>However,</w:t>
      </w:r>
      <w:r w:rsidRPr="009C48DA" w:rsidR="005C34BE">
        <w:rPr>
          <w:szCs w:val="20"/>
          <w:lang w:val="en-GB"/>
        </w:rPr>
        <w:t xml:space="preserve"> there can be no assurance that the Group will be able to fund its liquidity requirements </w:t>
      </w:r>
      <w:r w:rsidRPr="009C48DA">
        <w:rPr>
          <w:szCs w:val="20"/>
          <w:lang w:val="en-GB"/>
        </w:rPr>
        <w:t>in the medium to long-term (</w:t>
      </w:r>
      <w:r w:rsidRPr="009C48DA">
        <w:rPr>
          <w:i/>
          <w:szCs w:val="20"/>
          <w:lang w:val="en-GB"/>
        </w:rPr>
        <w:t>i.e.</w:t>
      </w:r>
      <w:r w:rsidRPr="009C48DA">
        <w:rPr>
          <w:szCs w:val="20"/>
          <w:lang w:val="en-GB"/>
        </w:rPr>
        <w:t xml:space="preserve"> in periods more than 18 months after the date of this Registration Document). </w:t>
      </w:r>
      <w:r w:rsidRPr="009C48DA" w:rsidR="005C34BE">
        <w:rPr>
          <w:szCs w:val="20"/>
          <w:lang w:val="en-GB"/>
        </w:rPr>
        <w:t xml:space="preserve">In the event that the Group’s liquidity requirements </w:t>
      </w:r>
      <w:r w:rsidRPr="009C48DA">
        <w:rPr>
          <w:szCs w:val="20"/>
          <w:lang w:val="en-GB"/>
        </w:rPr>
        <w:t xml:space="preserve">in the medium to long-term </w:t>
      </w:r>
      <w:r w:rsidRPr="009C48DA" w:rsidR="005C34BE">
        <w:rPr>
          <w:szCs w:val="20"/>
          <w:lang w:val="en-GB"/>
        </w:rPr>
        <w:t>were to exceed available liquid assets for the reasons specified above or for any other reason, it could be forced to sell assets or seek to raise debt or equity capital on unfavourable terms.</w:t>
      </w:r>
    </w:p>
    <w:p w:rsidRPr="009C48DA" w:rsidR="006D6A27" w:rsidP="00676CA5" w:rsidRDefault="006D6A27" w14:paraId="44052820" w14:textId="0A5F1184">
      <w:pPr>
        <w:pStyle w:val="TitleBI"/>
        <w:rPr>
          <w:szCs w:val="20"/>
          <w:lang w:val="en-GB"/>
        </w:rPr>
      </w:pPr>
      <w:r w:rsidRPr="009C48DA">
        <w:rPr>
          <w:szCs w:val="20"/>
          <w:lang w:val="en-GB"/>
        </w:rPr>
        <w:t>Risk management activities may adversely affect the return on the Group’s investments.</w:t>
      </w:r>
    </w:p>
    <w:p w:rsidRPr="009C48DA" w:rsidR="006D6A27" w:rsidP="00676CA5" w:rsidRDefault="006D6A27" w14:paraId="14E13A5B" w14:textId="77777777">
      <w:pPr>
        <w:pStyle w:val="BodyText2SglJ"/>
        <w:rPr>
          <w:rFonts w:eastAsia="Calibri" w:cs="Arial"/>
          <w:szCs w:val="20"/>
          <w:lang w:val="en-GB"/>
        </w:rPr>
      </w:pPr>
      <w:r w:rsidRPr="009C48DA">
        <w:rPr>
          <w:rFonts w:eastAsia="Calibri" w:cs="Arial"/>
          <w:szCs w:val="20"/>
          <w:lang w:val="en-GB"/>
        </w:rPr>
        <w:t xml:space="preserve">When managing exposure to market risks, the Group employs hedging strategies or certain forms of derivative instruments to limit its exposure to changes in the relative values of investments that may result from market developments, including changes in prevailing interest rates, currency exchange rates and commodity prices. The scope of risk management activities undertaken by the Group is selective and varies based on the level and volatility of interest rates, prevailing foreign currency exchange rates, the types of investments that are made and other changing market conditions. The Group does not seek to hedge its exposure in all currencies or all investments, which means that its exposure to certain market risks is not limited. Where applicable, the Group uses hedging transactions and other derivative instruments to reduce the effects of a decline in the value of a position, but they do not eliminate the possibility of fluctuations in the value of the position or prevent losses if the value of the position declines. However, such activities can establish other positions designed to gain from those same </w:t>
      </w:r>
      <w:r w:rsidRPr="009C48DA">
        <w:rPr>
          <w:rFonts w:eastAsia="Times New Roman" w:cs="Times New Roman"/>
          <w:color w:val="231F20"/>
          <w:szCs w:val="20"/>
          <w:lang w:val="en-GB"/>
        </w:rPr>
        <w:t>developments</w:t>
      </w:r>
      <w:r w:rsidRPr="009C48DA">
        <w:rPr>
          <w:rFonts w:eastAsia="Calibri" w:cs="Arial"/>
          <w:szCs w:val="20"/>
          <w:lang w:val="en-GB"/>
        </w:rPr>
        <w:t>, thereby offsetting the decline in the value of the position. Such transactions may also limit the opportunity for gain if the value of a position increases. Moreover, it may not be possible to limit the exposure to a market development that is so generally anticipated that a hedging or other derivative transaction cannot be entered into at an acceptable price.</w:t>
      </w:r>
    </w:p>
    <w:p w:rsidRPr="009C48DA" w:rsidR="006D6A27" w:rsidP="00676CA5" w:rsidRDefault="006D6A27" w14:paraId="1F8869A9" w14:textId="71A0D3B2">
      <w:pPr>
        <w:pStyle w:val="BodyText2SglJ"/>
        <w:rPr>
          <w:rFonts w:eastAsia="Calibri" w:cs="Arial"/>
          <w:szCs w:val="20"/>
          <w:lang w:val="en-GB"/>
        </w:rPr>
      </w:pPr>
      <w:r w:rsidRPr="009C48DA">
        <w:rPr>
          <w:rFonts w:eastAsia="Calibri" w:cs="Arial"/>
          <w:szCs w:val="20"/>
          <w:lang w:val="en-GB"/>
        </w:rPr>
        <w:t xml:space="preserve">The success of any hedging or other derivative transactions that the Group decides to enter into </w:t>
      </w:r>
      <w:r w:rsidRPr="009C48DA">
        <w:rPr>
          <w:rFonts w:eastAsia="Times New Roman" w:cs="Times New Roman"/>
          <w:color w:val="231F20"/>
          <w:szCs w:val="20"/>
          <w:lang w:val="en-GB"/>
        </w:rPr>
        <w:t>generally</w:t>
      </w:r>
      <w:r w:rsidRPr="009C48DA">
        <w:rPr>
          <w:rFonts w:eastAsia="Calibri" w:cs="Arial"/>
          <w:szCs w:val="20"/>
          <w:lang w:val="en-GB"/>
        </w:rPr>
        <w:t xml:space="preserve"> will be driven by its ability to foresee potential volatility in markets and market changes. As a result, while the Group may enter into such transactions in order to reduce the Group’s exposure to market risks, unanticipated market changes may result in poorer overall investment performance than if the hedging </w:t>
      </w:r>
      <w:r w:rsidRPr="009C48DA">
        <w:rPr>
          <w:rFonts w:eastAsia="Calibri" w:cs="Arial"/>
          <w:szCs w:val="20"/>
          <w:lang w:val="en-GB"/>
        </w:rPr>
        <w:lastRenderedPageBreak/>
        <w:t xml:space="preserve">or other derivative transaction had not been executed. In addition, the degree of correlation between price movements of the instruments used in connection with hedging activities and price movements in a position being hedged may vary. Moreover, for a variety of reasons, the Group may not seek or be successful in establishing a perfect correlation between the instruments used in hedging or other derivative transactions and the positions being hedged. An imperfect correlation could prevent the Group from achieving the intended result and could give rise to a loss. In addition, it may not be possible to fully or perfectly limit the Group’s exposure against all changes in the value of the </w:t>
      </w:r>
      <w:r w:rsidRPr="009C48DA" w:rsidR="00BB773E">
        <w:rPr>
          <w:rFonts w:eastAsia="Calibri" w:cs="Arial"/>
          <w:szCs w:val="20"/>
          <w:lang w:val="en-GB"/>
        </w:rPr>
        <w:t xml:space="preserve">Bridgepoint </w:t>
      </w:r>
      <w:r w:rsidRPr="009C48DA">
        <w:rPr>
          <w:rFonts w:eastAsia="Calibri" w:cs="Arial"/>
          <w:szCs w:val="20"/>
          <w:lang w:val="en-GB"/>
        </w:rPr>
        <w:t xml:space="preserve">Funds’ investments, because the value of investments is likely to fluctuate as a result of a number of factors, some of which will be beyond the Group’s control or ability to hedge. </w:t>
      </w:r>
    </w:p>
    <w:p w:rsidRPr="009C48DA" w:rsidR="006D6A27" w:rsidP="00676CA5" w:rsidRDefault="006D6A27" w14:paraId="4F4A3F80" w14:textId="1A5A8519">
      <w:pPr>
        <w:pStyle w:val="BodyText2SglJ"/>
        <w:rPr>
          <w:rFonts w:eastAsia="Calibri" w:cs="Arial"/>
          <w:szCs w:val="20"/>
          <w:lang w:val="en-GB"/>
        </w:rPr>
      </w:pPr>
      <w:r w:rsidRPr="009C48DA">
        <w:rPr>
          <w:rFonts w:eastAsia="Times New Roman" w:cs="Times New Roman"/>
          <w:color w:val="231F20"/>
          <w:szCs w:val="20"/>
          <w:lang w:val="en-GB"/>
        </w:rPr>
        <w:t>While</w:t>
      </w:r>
      <w:r w:rsidRPr="009C48DA">
        <w:rPr>
          <w:rFonts w:eastAsia="Calibri" w:cs="Arial"/>
          <w:szCs w:val="20"/>
          <w:lang w:val="en-GB"/>
        </w:rPr>
        <w:t xml:space="preserve"> hedging arrangements may reduce certain risks, such arrangements themselves may entail certain other risks. These arrangements may require the posting of cash collateral, including at a time when a fund has insufficient cash or illiquid assets such that the posting of the cash is either impossible or requires the sale of assets at prices that do not reflect their underlying value. Moreover, these hedging arrangements may generate significant transaction costs, including potential tax costs, </w:t>
      </w:r>
      <w:r w:rsidRPr="009C48DA" w:rsidR="0030615B">
        <w:rPr>
          <w:rFonts w:eastAsia="Calibri" w:cs="Arial"/>
          <w:szCs w:val="20"/>
          <w:lang w:val="en-GB"/>
        </w:rPr>
        <w:t xml:space="preserve">which </w:t>
      </w:r>
      <w:r w:rsidRPr="009C48DA">
        <w:rPr>
          <w:rFonts w:eastAsia="Calibri" w:cs="Arial"/>
          <w:szCs w:val="20"/>
          <w:lang w:val="en-GB"/>
        </w:rPr>
        <w:t>reduce the returns generated by a fund.</w:t>
      </w:r>
    </w:p>
    <w:p w:rsidRPr="009C48DA" w:rsidR="006D6A27" w:rsidP="00676CA5" w:rsidRDefault="006D6A27" w14:paraId="6E72F9CC" w14:textId="03BFE5EC">
      <w:pPr>
        <w:pStyle w:val="TitleBI"/>
        <w:rPr>
          <w:szCs w:val="20"/>
          <w:lang w:val="en-GB"/>
        </w:rPr>
      </w:pPr>
      <w:r w:rsidRPr="009C48DA">
        <w:rPr>
          <w:szCs w:val="20"/>
          <w:lang w:val="en-GB"/>
        </w:rPr>
        <w:t xml:space="preserve">The </w:t>
      </w:r>
      <w:bookmarkStart w:name="_9kMN9K6ZWu5997CDMIz1qpE" w:id="497"/>
      <w:r w:rsidRPr="009C48DA">
        <w:rPr>
          <w:szCs w:val="20"/>
          <w:lang w:val="en-GB"/>
        </w:rPr>
        <w:t>Company’s</w:t>
      </w:r>
      <w:bookmarkEnd w:id="497"/>
      <w:r w:rsidRPr="009C48DA">
        <w:rPr>
          <w:szCs w:val="20"/>
          <w:lang w:val="en-GB"/>
        </w:rPr>
        <w:t xml:space="preserve"> revenue, earnings, net income and cash flow</w:t>
      </w:r>
      <w:r w:rsidRPr="009C48DA" w:rsidR="001D2A02">
        <w:rPr>
          <w:szCs w:val="20"/>
          <w:lang w:val="en-GB"/>
        </w:rPr>
        <w:t>s</w:t>
      </w:r>
      <w:r w:rsidRPr="009C48DA">
        <w:rPr>
          <w:szCs w:val="20"/>
          <w:lang w:val="en-GB"/>
        </w:rPr>
        <w:t xml:space="preserve"> can all vary, which may make it difficult for the </w:t>
      </w:r>
      <w:bookmarkStart w:name="_9kMNAL6ZWu5997CDMIz1qpE" w:id="498"/>
      <w:r w:rsidRPr="009C48DA">
        <w:rPr>
          <w:szCs w:val="20"/>
          <w:lang w:val="en-GB"/>
        </w:rPr>
        <w:t>Company</w:t>
      </w:r>
      <w:bookmarkEnd w:id="498"/>
      <w:r w:rsidRPr="009C48DA">
        <w:rPr>
          <w:szCs w:val="20"/>
          <w:lang w:val="en-GB"/>
        </w:rPr>
        <w:t xml:space="preserve"> to achieve steady earnings growth on a quarterly basis.</w:t>
      </w:r>
    </w:p>
    <w:p w:rsidRPr="009C48DA" w:rsidR="006D6A27" w:rsidP="00676CA5" w:rsidRDefault="006D6A27" w14:paraId="4BE60151" w14:textId="43937C15">
      <w:pPr>
        <w:pStyle w:val="BodyText2SglJ"/>
        <w:rPr>
          <w:rFonts w:eastAsia="Calibri" w:cs="Arial"/>
          <w:szCs w:val="20"/>
          <w:lang w:val="en-GB"/>
        </w:rPr>
      </w:pPr>
      <w:r w:rsidRPr="009C48DA">
        <w:rPr>
          <w:rFonts w:eastAsia="Calibri" w:cs="Arial"/>
          <w:szCs w:val="20"/>
          <w:lang w:val="en-GB"/>
        </w:rPr>
        <w:t xml:space="preserve">The </w:t>
      </w:r>
      <w:bookmarkStart w:name="_9kMNBM6ZWu5997CDMIz1qpE" w:id="499"/>
      <w:r w:rsidRPr="009C48DA">
        <w:rPr>
          <w:rFonts w:eastAsia="Calibri" w:cs="Arial"/>
          <w:szCs w:val="20"/>
          <w:lang w:val="en-GB"/>
        </w:rPr>
        <w:t>Company’s</w:t>
      </w:r>
      <w:bookmarkEnd w:id="499"/>
      <w:r w:rsidRPr="009C48DA">
        <w:rPr>
          <w:rFonts w:eastAsia="Calibri" w:cs="Arial"/>
          <w:szCs w:val="20"/>
          <w:lang w:val="en-GB"/>
        </w:rPr>
        <w:t xml:space="preserve"> revenue, </w:t>
      </w:r>
      <w:r w:rsidRPr="009C48DA" w:rsidR="002A617E">
        <w:rPr>
          <w:rFonts w:eastAsia="Calibri" w:cs="Arial"/>
          <w:szCs w:val="20"/>
          <w:lang w:val="en-GB"/>
        </w:rPr>
        <w:t xml:space="preserve">earnings, </w:t>
      </w:r>
      <w:r w:rsidRPr="009C48DA">
        <w:rPr>
          <w:rFonts w:eastAsia="Calibri" w:cs="Arial"/>
          <w:szCs w:val="20"/>
          <w:lang w:val="en-GB"/>
        </w:rPr>
        <w:t>net income and cash flow</w:t>
      </w:r>
      <w:r w:rsidRPr="009C48DA" w:rsidR="001D2A02">
        <w:rPr>
          <w:rFonts w:eastAsia="Calibri" w:cs="Arial"/>
          <w:szCs w:val="20"/>
          <w:lang w:val="en-GB"/>
        </w:rPr>
        <w:t>s</w:t>
      </w:r>
      <w:r w:rsidRPr="009C48DA">
        <w:rPr>
          <w:rFonts w:eastAsia="Calibri" w:cs="Arial"/>
          <w:szCs w:val="20"/>
          <w:lang w:val="en-GB"/>
        </w:rPr>
        <w:t xml:space="preserve"> can all vary from quarter to quarter </w:t>
      </w:r>
      <w:r w:rsidRPr="009C48DA">
        <w:rPr>
          <w:rFonts w:eastAsia="Times New Roman" w:cs="Times New Roman"/>
          <w:color w:val="231F20"/>
          <w:szCs w:val="20"/>
          <w:lang w:val="en-GB"/>
        </w:rPr>
        <w:t>due</w:t>
      </w:r>
      <w:r w:rsidRPr="009C48DA">
        <w:rPr>
          <w:rFonts w:eastAsia="Calibri" w:cs="Arial"/>
          <w:szCs w:val="20"/>
          <w:lang w:val="en-GB"/>
        </w:rPr>
        <w:t xml:space="preserve"> to the </w:t>
      </w:r>
      <w:r w:rsidRPr="009C48DA" w:rsidR="00AB552B">
        <w:rPr>
          <w:rFonts w:eastAsia="Calibri" w:cs="Arial"/>
          <w:szCs w:val="20"/>
          <w:lang w:val="en-GB"/>
        </w:rPr>
        <w:t xml:space="preserve">Group’s </w:t>
      </w:r>
      <w:r w:rsidRPr="009C48DA">
        <w:rPr>
          <w:rFonts w:eastAsia="Calibri" w:cs="Arial"/>
          <w:szCs w:val="20"/>
          <w:lang w:val="en-GB"/>
        </w:rPr>
        <w:t xml:space="preserve">reliance on </w:t>
      </w:r>
      <w:r w:rsidRPr="009C48DA" w:rsidR="001D2A02">
        <w:rPr>
          <w:rFonts w:eastAsia="Calibri" w:cs="Arial"/>
          <w:szCs w:val="20"/>
          <w:lang w:val="en-GB"/>
        </w:rPr>
        <w:t>management fees</w:t>
      </w:r>
      <w:r w:rsidRPr="009C48DA" w:rsidR="00AB552B">
        <w:rPr>
          <w:rFonts w:eastAsia="Calibri" w:cs="Arial"/>
          <w:szCs w:val="20"/>
          <w:lang w:val="en-GB"/>
        </w:rPr>
        <w:t xml:space="preserve"> and</w:t>
      </w:r>
      <w:r w:rsidRPr="009C48DA" w:rsidR="001D2A02">
        <w:rPr>
          <w:rFonts w:eastAsia="Calibri" w:cs="Arial"/>
          <w:szCs w:val="20"/>
          <w:lang w:val="en-GB"/>
        </w:rPr>
        <w:t xml:space="preserve"> </w:t>
      </w:r>
      <w:r w:rsidRPr="009C48DA">
        <w:rPr>
          <w:rFonts w:eastAsia="Calibri" w:cs="Arial"/>
          <w:szCs w:val="20"/>
          <w:lang w:val="en-GB"/>
        </w:rPr>
        <w:t xml:space="preserve">carried interest from the </w:t>
      </w:r>
      <w:bookmarkStart w:name="_9kMI98H7aXv6AA8BFPLzmlnx822EhdI28" w:id="500"/>
      <w:r w:rsidRPr="009C48DA" w:rsidR="00BB773E">
        <w:rPr>
          <w:rFonts w:eastAsia="Calibri" w:cs="Arial"/>
          <w:szCs w:val="20"/>
          <w:lang w:val="en-GB"/>
        </w:rPr>
        <w:t xml:space="preserve">Bridgepoint </w:t>
      </w:r>
      <w:r w:rsidRPr="009C48DA">
        <w:rPr>
          <w:rFonts w:eastAsia="Calibri" w:cs="Arial"/>
          <w:szCs w:val="20"/>
          <w:lang w:val="en-GB"/>
        </w:rPr>
        <w:t>Funds</w:t>
      </w:r>
      <w:bookmarkEnd w:id="500"/>
      <w:r w:rsidRPr="009C48DA" w:rsidR="00AB552B">
        <w:rPr>
          <w:rFonts w:eastAsia="Calibri" w:cs="Arial"/>
          <w:szCs w:val="20"/>
          <w:lang w:val="en-GB"/>
        </w:rPr>
        <w:t xml:space="preserve"> and income from the fair value remeasurement of investments in the </w:t>
      </w:r>
      <w:r w:rsidRPr="009C48DA" w:rsidR="00BB773E">
        <w:rPr>
          <w:rFonts w:eastAsia="Calibri" w:cs="Arial"/>
          <w:szCs w:val="20"/>
          <w:lang w:val="en-GB"/>
        </w:rPr>
        <w:t xml:space="preserve">Bridgepoint </w:t>
      </w:r>
      <w:r w:rsidRPr="009C48DA" w:rsidR="00AB552B">
        <w:rPr>
          <w:rFonts w:eastAsia="Calibri" w:cs="Arial"/>
          <w:szCs w:val="20"/>
          <w:lang w:val="en-GB"/>
        </w:rPr>
        <w:t>Funds</w:t>
      </w:r>
      <w:r w:rsidRPr="009C48DA">
        <w:rPr>
          <w:rFonts w:eastAsia="Calibri" w:cs="Arial"/>
          <w:szCs w:val="20"/>
          <w:lang w:val="en-GB"/>
        </w:rPr>
        <w:t xml:space="preserve">. The </w:t>
      </w:r>
      <w:bookmarkStart w:name="_9kMNCN6ZWu5997CDMIz1qpE" w:id="501"/>
      <w:r w:rsidRPr="009C48DA">
        <w:rPr>
          <w:rFonts w:eastAsia="Calibri" w:cs="Arial"/>
          <w:szCs w:val="20"/>
          <w:lang w:val="en-GB"/>
        </w:rPr>
        <w:t>Company</w:t>
      </w:r>
      <w:bookmarkEnd w:id="501"/>
      <w:r w:rsidRPr="009C48DA">
        <w:rPr>
          <w:rFonts w:eastAsia="Calibri" w:cs="Arial"/>
          <w:szCs w:val="20"/>
          <w:lang w:val="en-GB"/>
        </w:rPr>
        <w:t xml:space="preserve"> may experience fluctuations in the </w:t>
      </w:r>
      <w:bookmarkStart w:name="_9kMNDO6ZWu5997CDMIz1qpE" w:id="502"/>
      <w:r w:rsidRPr="009C48DA">
        <w:rPr>
          <w:rFonts w:eastAsia="Calibri" w:cs="Arial"/>
          <w:szCs w:val="20"/>
          <w:lang w:val="en-GB"/>
        </w:rPr>
        <w:t>Company’s</w:t>
      </w:r>
      <w:bookmarkEnd w:id="502"/>
      <w:r w:rsidRPr="009C48DA">
        <w:rPr>
          <w:rFonts w:eastAsia="Calibri" w:cs="Arial"/>
          <w:szCs w:val="20"/>
          <w:lang w:val="en-GB"/>
        </w:rPr>
        <w:t xml:space="preserve"> results, including revenue and net income, from quarter to quarter due to a number of other factors, including timing of realisations, changes in the valuations of the </w:t>
      </w:r>
      <w:bookmarkStart w:name="_9kMI99I7aXv6AA8BFPLzmlnx822EhdI28" w:id="503"/>
      <w:r w:rsidRPr="009C48DA" w:rsidR="00BB773E">
        <w:rPr>
          <w:rFonts w:eastAsia="Calibri" w:cs="Arial"/>
          <w:szCs w:val="20"/>
          <w:lang w:val="en-GB"/>
        </w:rPr>
        <w:t xml:space="preserve">Bridgepoint </w:t>
      </w:r>
      <w:r w:rsidRPr="009C48DA">
        <w:rPr>
          <w:rFonts w:eastAsia="Calibri" w:cs="Arial"/>
          <w:szCs w:val="20"/>
          <w:lang w:val="en-GB"/>
        </w:rPr>
        <w:t>Funds’</w:t>
      </w:r>
      <w:bookmarkEnd w:id="503"/>
      <w:r w:rsidRPr="009C48DA">
        <w:rPr>
          <w:rFonts w:eastAsia="Calibri" w:cs="Arial"/>
          <w:szCs w:val="20"/>
          <w:lang w:val="en-GB"/>
        </w:rPr>
        <w:t xml:space="preserve"> investments, changes in the amount of distributions, dividends or interest paid in respect of investments, changes in operating expenses, the degree to which the Group encounters competition and general economic and market conditions.</w:t>
      </w:r>
    </w:p>
    <w:p w:rsidRPr="009C48DA" w:rsidR="006D6A27" w:rsidP="00676CA5" w:rsidRDefault="006D6A27" w14:paraId="51CD6428" w14:textId="61C13907">
      <w:pPr>
        <w:pStyle w:val="BodyText2SglJ"/>
        <w:rPr>
          <w:rFonts w:eastAsia="Calibri" w:cs="Arial"/>
          <w:szCs w:val="20"/>
          <w:lang w:val="en-GB"/>
        </w:rPr>
      </w:pPr>
      <w:r w:rsidRPr="009C48DA">
        <w:rPr>
          <w:rFonts w:eastAsia="Calibri" w:cs="Arial"/>
          <w:szCs w:val="20"/>
          <w:lang w:val="en-GB"/>
        </w:rPr>
        <w:t xml:space="preserve">The </w:t>
      </w:r>
      <w:bookmarkStart w:name="_9kMNEP6ZWu5997CDMIz1qpE" w:id="504"/>
      <w:r w:rsidRPr="009C48DA">
        <w:rPr>
          <w:rFonts w:eastAsia="Calibri" w:cs="Arial"/>
          <w:szCs w:val="20"/>
          <w:lang w:val="en-GB"/>
        </w:rPr>
        <w:t>Company’s</w:t>
      </w:r>
      <w:bookmarkEnd w:id="504"/>
      <w:r w:rsidRPr="009C48DA">
        <w:rPr>
          <w:rFonts w:eastAsia="Calibri" w:cs="Arial"/>
          <w:szCs w:val="20"/>
          <w:lang w:val="en-GB"/>
        </w:rPr>
        <w:t xml:space="preserve"> cash flow</w:t>
      </w:r>
      <w:r w:rsidRPr="009C48DA" w:rsidR="001D2A02">
        <w:rPr>
          <w:rFonts w:eastAsia="Calibri" w:cs="Arial"/>
          <w:szCs w:val="20"/>
          <w:lang w:val="en-GB"/>
        </w:rPr>
        <w:t>s</w:t>
      </w:r>
      <w:r w:rsidRPr="009C48DA">
        <w:rPr>
          <w:rFonts w:eastAsia="Calibri" w:cs="Arial"/>
          <w:szCs w:val="20"/>
          <w:lang w:val="en-GB"/>
        </w:rPr>
        <w:t xml:space="preserve"> may fluctuate significantly due to the fact that the </w:t>
      </w:r>
      <w:bookmarkStart w:name="_9kMO6G6ZWu5997CDMIz1qpE" w:id="505"/>
      <w:r w:rsidRPr="009C48DA">
        <w:rPr>
          <w:rFonts w:eastAsia="Calibri" w:cs="Arial"/>
          <w:szCs w:val="20"/>
          <w:lang w:val="en-GB"/>
        </w:rPr>
        <w:t>Company</w:t>
      </w:r>
      <w:bookmarkEnd w:id="505"/>
      <w:r w:rsidRPr="009C48DA">
        <w:rPr>
          <w:rFonts w:eastAsia="Calibri" w:cs="Arial"/>
          <w:szCs w:val="20"/>
          <w:lang w:val="en-GB"/>
        </w:rPr>
        <w:t xml:space="preserve"> generally receives carried interest from the </w:t>
      </w:r>
      <w:bookmarkStart w:name="_9kMI9AJ7aXv6AA8BFPLzmlnx822EhdI28" w:id="506"/>
      <w:r w:rsidRPr="009C48DA" w:rsidR="00BB773E">
        <w:rPr>
          <w:rFonts w:eastAsia="Calibri" w:cs="Arial"/>
          <w:szCs w:val="20"/>
          <w:lang w:val="en-GB"/>
        </w:rPr>
        <w:t xml:space="preserve">Bridgepoint </w:t>
      </w:r>
      <w:r w:rsidRPr="009C48DA">
        <w:rPr>
          <w:rFonts w:eastAsia="Calibri" w:cs="Arial"/>
          <w:szCs w:val="20"/>
          <w:lang w:val="en-GB"/>
        </w:rPr>
        <w:t>Funds</w:t>
      </w:r>
      <w:bookmarkEnd w:id="506"/>
      <w:r w:rsidRPr="009C48DA">
        <w:rPr>
          <w:rFonts w:eastAsia="Calibri" w:cs="Arial"/>
          <w:szCs w:val="20"/>
          <w:lang w:val="en-GB"/>
        </w:rPr>
        <w:t xml:space="preserve"> only when investments are realised and</w:t>
      </w:r>
      <w:r w:rsidRPr="009C48DA" w:rsidR="00B97618">
        <w:rPr>
          <w:rFonts w:eastAsia="Calibri" w:cs="Arial"/>
          <w:szCs w:val="20"/>
          <w:lang w:val="en-GB"/>
        </w:rPr>
        <w:t xml:space="preserve"> </w:t>
      </w:r>
      <w:r w:rsidRPr="009C48DA">
        <w:rPr>
          <w:rFonts w:eastAsia="Calibri" w:cs="Arial"/>
          <w:szCs w:val="20"/>
          <w:lang w:val="en-GB"/>
        </w:rPr>
        <w:t xml:space="preserve">achieve a certain return. Carried interest depends on the </w:t>
      </w:r>
      <w:bookmarkStart w:name="_9kMI9BK7aXv6AA8BFPLzmlnx822EhdI28" w:id="507"/>
      <w:r w:rsidRPr="009C48DA" w:rsidR="00BB773E">
        <w:rPr>
          <w:rFonts w:eastAsia="Calibri" w:cs="Arial"/>
          <w:szCs w:val="20"/>
          <w:lang w:val="en-GB"/>
        </w:rPr>
        <w:t xml:space="preserve">Bridgepoint </w:t>
      </w:r>
      <w:r w:rsidRPr="009C48DA">
        <w:rPr>
          <w:rFonts w:eastAsia="Calibri" w:cs="Arial"/>
          <w:szCs w:val="20"/>
          <w:lang w:val="en-GB"/>
        </w:rPr>
        <w:t>Funds’</w:t>
      </w:r>
      <w:bookmarkEnd w:id="507"/>
      <w:r w:rsidRPr="009C48DA">
        <w:rPr>
          <w:rFonts w:eastAsia="Calibri" w:cs="Arial"/>
          <w:szCs w:val="20"/>
          <w:lang w:val="en-GB"/>
        </w:rPr>
        <w:t xml:space="preserve"> performance and opportunities for realising gains, which may be limited. It takes a substantial period of time to identify attractive investment opportunities, to raise all the funds needed to make an investment and then to realise the cash value or other proceeds of an investment through a sale, public offering, recapitalisation or other exit. Even if an investment proves to be profitable, it may be a number of years before any profits can be realised in cash or other proceeds. Accordingly, the Group cannot predict when, or if, any realisation of investments will occur. The timing and receipt of carried interest also vary with the life cycle of certain of the </w:t>
      </w:r>
      <w:r w:rsidRPr="009C48DA" w:rsidR="00BB773E">
        <w:rPr>
          <w:rFonts w:eastAsia="Calibri" w:cs="Arial"/>
          <w:szCs w:val="20"/>
          <w:lang w:val="en-GB"/>
        </w:rPr>
        <w:t xml:space="preserve">Bridgepoint </w:t>
      </w:r>
      <w:r w:rsidRPr="009C48DA">
        <w:rPr>
          <w:rFonts w:eastAsia="Calibri" w:cs="Arial"/>
          <w:szCs w:val="20"/>
          <w:lang w:val="en-GB"/>
        </w:rPr>
        <w:t xml:space="preserve">Funds. </w:t>
      </w:r>
      <w:r w:rsidRPr="009C48DA" w:rsidR="00BB773E">
        <w:rPr>
          <w:rFonts w:eastAsia="Calibri" w:cs="Arial"/>
          <w:szCs w:val="20"/>
          <w:lang w:val="en-GB"/>
        </w:rPr>
        <w:t xml:space="preserve">Bridgepoint </w:t>
      </w:r>
      <w:r w:rsidRPr="009C48DA">
        <w:rPr>
          <w:rFonts w:eastAsia="Calibri" w:cs="Arial"/>
          <w:szCs w:val="20"/>
          <w:lang w:val="en-GB"/>
        </w:rPr>
        <w:t>Funds that pay carried interest have completed their investment periods and are able to rea</w:t>
      </w:r>
      <w:r w:rsidRPr="009C48DA" w:rsidR="000F0DE8">
        <w:rPr>
          <w:rFonts w:eastAsia="Calibri" w:cs="Arial"/>
          <w:szCs w:val="20"/>
          <w:lang w:val="en-GB"/>
        </w:rPr>
        <w:t>lis</w:t>
      </w:r>
      <w:r w:rsidRPr="009C48DA">
        <w:rPr>
          <w:rFonts w:eastAsia="Calibri" w:cs="Arial"/>
          <w:szCs w:val="20"/>
          <w:lang w:val="en-GB"/>
        </w:rPr>
        <w:t>e mature investments, sometimes referred to a</w:t>
      </w:r>
      <w:r w:rsidRPr="009C48DA" w:rsidR="000F0DE8">
        <w:rPr>
          <w:rFonts w:eastAsia="Calibri" w:cs="Arial"/>
          <w:szCs w:val="20"/>
          <w:lang w:val="en-GB"/>
        </w:rPr>
        <w:t>s being in a “harvesting period</w:t>
      </w:r>
      <w:r w:rsidRPr="009C48DA">
        <w:rPr>
          <w:rFonts w:eastAsia="Calibri" w:cs="Arial"/>
          <w:szCs w:val="20"/>
          <w:lang w:val="en-GB"/>
        </w:rPr>
        <w:t>”</w:t>
      </w:r>
      <w:r w:rsidRPr="009C48DA" w:rsidR="000F0DE8">
        <w:rPr>
          <w:rFonts w:eastAsia="Calibri" w:cs="Arial"/>
          <w:szCs w:val="20"/>
          <w:lang w:val="en-GB"/>
        </w:rPr>
        <w:t>,</w:t>
      </w:r>
      <w:r w:rsidRPr="009C48DA">
        <w:rPr>
          <w:rFonts w:eastAsia="Calibri" w:cs="Arial"/>
          <w:szCs w:val="20"/>
          <w:lang w:val="en-GB"/>
        </w:rPr>
        <w:t xml:space="preserve"> </w:t>
      </w:r>
      <w:r w:rsidRPr="009C48DA" w:rsidR="00092571">
        <w:rPr>
          <w:rFonts w:eastAsia="Calibri" w:cs="Arial"/>
          <w:szCs w:val="20"/>
          <w:lang w:val="en-GB"/>
        </w:rPr>
        <w:t xml:space="preserve">and </w:t>
      </w:r>
      <w:r w:rsidRPr="009C48DA">
        <w:rPr>
          <w:rFonts w:eastAsia="Calibri" w:cs="Arial"/>
          <w:szCs w:val="20"/>
          <w:lang w:val="en-GB"/>
        </w:rPr>
        <w:t>are more likely to make larger distributions than funds that are in their fund raising or investment periods that precede the harvesting period. During times when a significant portion of the Group’s AUM is attributable to funds that are not in their harvesting periods, the Group may receive substantially lower carried interest distributions.</w:t>
      </w:r>
    </w:p>
    <w:p w:rsidRPr="009C48DA" w:rsidR="002A617E" w:rsidP="002A617E" w:rsidRDefault="002A617E" w14:paraId="54ECD447" w14:textId="4C19763F">
      <w:pPr>
        <w:pStyle w:val="BlockTextSglJ"/>
        <w:rPr>
          <w:b/>
          <w:i/>
          <w:szCs w:val="20"/>
          <w:lang w:val="en-GB"/>
        </w:rPr>
      </w:pPr>
      <w:r w:rsidRPr="009C48DA">
        <w:rPr>
          <w:b/>
          <w:i/>
          <w:szCs w:val="20"/>
          <w:lang w:val="en-GB"/>
        </w:rPr>
        <w:t xml:space="preserve">The amounts drawn under the </w:t>
      </w:r>
      <w:r w:rsidRPr="009C48DA" w:rsidR="00FD288A">
        <w:rPr>
          <w:b/>
          <w:i/>
          <w:szCs w:val="20"/>
          <w:lang w:val="en-GB"/>
        </w:rPr>
        <w:t xml:space="preserve">BAH </w:t>
      </w:r>
      <w:r w:rsidRPr="009C48DA">
        <w:rPr>
          <w:b/>
          <w:i/>
          <w:szCs w:val="20"/>
          <w:lang w:val="en-GB"/>
        </w:rPr>
        <w:t>Revolving Credit Facility bear interest at a floating rate that could rise significantly, increasing the Group’s interest cost and debt. In addition, the discontinuation of LIBOR or EURIBOR could have a material adverse effect on the Group.</w:t>
      </w:r>
    </w:p>
    <w:p w:rsidRPr="009C48DA" w:rsidR="002A617E" w:rsidP="002A617E" w:rsidRDefault="002A617E" w14:paraId="1C987F50" w14:textId="37EB2209">
      <w:pPr>
        <w:pStyle w:val="BodyText2SglJ"/>
        <w:rPr>
          <w:szCs w:val="20"/>
          <w:lang w:val="en-GB"/>
        </w:rPr>
      </w:pPr>
      <w:r w:rsidRPr="009C48DA">
        <w:rPr>
          <w:szCs w:val="20"/>
          <w:lang w:val="en-GB"/>
        </w:rPr>
        <w:t xml:space="preserve">The amounts drawn under the </w:t>
      </w:r>
      <w:r w:rsidRPr="009C48DA" w:rsidR="00FD288A">
        <w:rPr>
          <w:szCs w:val="20"/>
          <w:lang w:val="en-GB"/>
        </w:rPr>
        <w:t xml:space="preserve">BAH </w:t>
      </w:r>
      <w:r w:rsidRPr="009C48DA">
        <w:rPr>
          <w:szCs w:val="20"/>
          <w:lang w:val="en-GB"/>
        </w:rPr>
        <w:t>Revolving Credit Facility bear interest at a floating rate per annum equal to the daily Euro Interbank Offered Rate (“</w:t>
      </w:r>
      <w:r w:rsidRPr="009C48DA">
        <w:rPr>
          <w:b/>
          <w:szCs w:val="20"/>
          <w:lang w:val="en-GB"/>
        </w:rPr>
        <w:t>EURIBOR</w:t>
      </w:r>
      <w:r w:rsidRPr="009C48DA">
        <w:rPr>
          <w:szCs w:val="20"/>
          <w:lang w:val="en-GB"/>
        </w:rPr>
        <w:t>”) or the London Interbank Offered Rate (“</w:t>
      </w:r>
      <w:r w:rsidRPr="009C48DA">
        <w:rPr>
          <w:b/>
          <w:szCs w:val="20"/>
          <w:lang w:val="en-GB"/>
        </w:rPr>
        <w:t>LIBOR</w:t>
      </w:r>
      <w:r w:rsidRPr="009C48DA">
        <w:rPr>
          <w:szCs w:val="20"/>
          <w:lang w:val="en-GB"/>
        </w:rPr>
        <w:t>”), as applicable, subject to a floor of 0 per</w:t>
      </w:r>
      <w:r w:rsidRPr="009C48DA" w:rsidR="001D2A02">
        <w:rPr>
          <w:szCs w:val="20"/>
          <w:lang w:val="en-GB"/>
        </w:rPr>
        <w:t xml:space="preserve"> </w:t>
      </w:r>
      <w:r w:rsidRPr="009C48DA">
        <w:rPr>
          <w:szCs w:val="20"/>
          <w:lang w:val="en-GB"/>
        </w:rPr>
        <w:t>cent, plus a margin of 3.50 per cent. These rates could rise significantly in the future. Moreover, interest rates are highly sensitive to many factors beyond the Group’s control, including monetary policies and domestic</w:t>
      </w:r>
      <w:r w:rsidRPr="009C48DA" w:rsidR="008651BF">
        <w:rPr>
          <w:szCs w:val="20"/>
          <w:lang w:val="en-GB"/>
        </w:rPr>
        <w:t xml:space="preserve"> </w:t>
      </w:r>
      <w:r w:rsidRPr="009C48DA">
        <w:rPr>
          <w:szCs w:val="20"/>
          <w:lang w:val="en-GB"/>
        </w:rPr>
        <w:t xml:space="preserve">and international economic and political conditions. To the extent interest rates were to rise significantly, the Group’s interest expense associated with the amounts drawn under its </w:t>
      </w:r>
      <w:r w:rsidRPr="009C48DA" w:rsidR="00FD288A">
        <w:rPr>
          <w:szCs w:val="20"/>
          <w:lang w:val="en-GB"/>
        </w:rPr>
        <w:t xml:space="preserve">BAH </w:t>
      </w:r>
      <w:r w:rsidRPr="009C48DA">
        <w:rPr>
          <w:szCs w:val="20"/>
          <w:lang w:val="en-GB"/>
        </w:rPr>
        <w:t>Revolving Credit Facility</w:t>
      </w:r>
      <w:r w:rsidRPr="009C48DA" w:rsidR="00AB552B">
        <w:rPr>
          <w:szCs w:val="20"/>
          <w:lang w:val="en-GB"/>
        </w:rPr>
        <w:t xml:space="preserve"> </w:t>
      </w:r>
      <w:r w:rsidRPr="009C48DA">
        <w:rPr>
          <w:szCs w:val="20"/>
          <w:lang w:val="en-GB"/>
        </w:rPr>
        <w:t>would correspondingly increase, thus reducing cash flow</w:t>
      </w:r>
      <w:r w:rsidRPr="009C48DA" w:rsidR="001D2A02">
        <w:rPr>
          <w:szCs w:val="20"/>
          <w:lang w:val="en-GB"/>
        </w:rPr>
        <w:t>s</w:t>
      </w:r>
      <w:r w:rsidRPr="009C48DA">
        <w:rPr>
          <w:szCs w:val="20"/>
          <w:lang w:val="en-GB"/>
        </w:rPr>
        <w:t xml:space="preserve">. </w:t>
      </w:r>
    </w:p>
    <w:p w:rsidRPr="009C48DA" w:rsidR="0078256C" w:rsidP="0078256C" w:rsidRDefault="0078256C" w14:paraId="51AFF1F7" w14:textId="408564A1">
      <w:pPr>
        <w:pStyle w:val="BodyText2SglJ"/>
        <w:rPr>
          <w:szCs w:val="20"/>
          <w:lang w:val="en-GB"/>
        </w:rPr>
      </w:pPr>
      <w:r w:rsidRPr="009C48DA">
        <w:rPr>
          <w:szCs w:val="20"/>
          <w:lang w:val="en-GB"/>
        </w:rPr>
        <w:t xml:space="preserve">Following allegations of manipulation of various interest rate benchmarks, regulators and law enforcement agencies from a number of governments and the European Union are conducting investigations into whether the banks that contribute data in connection with the calculation of EURIBOR or LIBOR may </w:t>
      </w:r>
      <w:r w:rsidRPr="009C48DA">
        <w:rPr>
          <w:szCs w:val="20"/>
          <w:lang w:val="en-GB"/>
        </w:rPr>
        <w:lastRenderedPageBreak/>
        <w:t>have been manipulating or attempting to manipulate EURIBOR and LIBOR. As a result, EURIBOR, LIBOR and other interest rates indices which are deemed to be “benchmarks” are the subject of recent and ongoing national, international and other regulatory guidance and proposals for reform, including the implementation of the IOSCO Principles for Financial Market Benchmarks (July 2013) and Regulation (EU) 2016/1011 which was published in the Official Journal of the European Union on 29 June 2016 and has applied since 1 January 2018, and an equivalent regulation which applies in the UK following Brexit. Furthermore, on 27 July 2017, the FCA (the authority that regulates LIBOR) announced that it will no longer persuade or compel banks to submit rates for the calculation of the LIBOR benchmark after 2021. The discontinuation of the LIBOR benchmark has been the subject of various releases by global regulators and there remains uncertainty around the precise discontinuation dates and effects of any such discontinuation. The current expectation is that most LIBOR fixings will cease to take place from 31 December 2021, with the exception of certain U</w:t>
      </w:r>
      <w:r w:rsidRPr="009C48DA" w:rsidR="00AB552B">
        <w:rPr>
          <w:szCs w:val="20"/>
          <w:lang w:val="en-GB"/>
        </w:rPr>
        <w:t>nited States</w:t>
      </w:r>
      <w:r w:rsidRPr="009C48DA">
        <w:rPr>
          <w:szCs w:val="20"/>
          <w:lang w:val="en-GB"/>
        </w:rPr>
        <w:t xml:space="preserve"> dollar LIBOR settings, which will continue to be provided until 30 June 2023. Although the foregoing reflects the likely timing and certain details of the LIBOR discontinuance, there is no assurance that LIBOR, of any particular currency and tenor, will continue to be published until any particular date or in any particular form. It is not known if or when regulatory reform may, in the future, cause EURIBOR and other benchmarks to cease or be replaced.</w:t>
      </w:r>
    </w:p>
    <w:p w:rsidRPr="009C48DA" w:rsidR="0078256C" w:rsidP="0078256C" w:rsidRDefault="0078256C" w14:paraId="65E26699" w14:textId="68E0D3D1">
      <w:pPr>
        <w:pStyle w:val="BodyText2SglJ"/>
        <w:rPr>
          <w:szCs w:val="20"/>
          <w:lang w:val="en-GB"/>
        </w:rPr>
      </w:pPr>
      <w:r w:rsidRPr="009C48DA">
        <w:rPr>
          <w:szCs w:val="20"/>
          <w:lang w:val="en-GB"/>
        </w:rPr>
        <w:t>The potential elimination of LIBOR, EURIBOR or any other benchmark, changes in the manner of administration of any benchmark, or actions by regulators or law enforcement agencies could result in changes to the manner in which benchmarks are determined, which could require an adjustment to the terms and conditions, or result in other consequences, in respect of any debt linked to such benchmark, including the BAH Revolving Credit Facility. Moreover if LIBOR (or EURIBOR) ceases to exist the Group may need to renegotiate certain terms of the BAH Revolving Credit Facility and any replacement of LIBOR (or EURIBOR) would require the consent of the majority lenders under the BAH</w:t>
      </w:r>
      <w:r w:rsidRPr="009C48DA" w:rsidR="0036034E">
        <w:rPr>
          <w:szCs w:val="20"/>
          <w:lang w:val="en-GB"/>
        </w:rPr>
        <w:t xml:space="preserve"> Revolving Credit Facility and </w:t>
      </w:r>
      <w:r w:rsidRPr="009C48DA" w:rsidR="00BB773E">
        <w:rPr>
          <w:rFonts w:eastAsia="Calibri" w:cs="Arial"/>
          <w:szCs w:val="20"/>
          <w:lang w:val="en-GB"/>
        </w:rPr>
        <w:t xml:space="preserve">Bridgepoint </w:t>
      </w:r>
      <w:r w:rsidRPr="009C48DA">
        <w:rPr>
          <w:szCs w:val="20"/>
          <w:lang w:val="en-GB"/>
        </w:rPr>
        <w:t>Advisers Holdings. If it is unable to do so, amounts drawn under the BAH Revolving Credit Facility may bear interest at a higher rate, which would increase the costs of the Group’s borrowings, and, in turn, could have a material adverse effect on the Group’s business, financial condition, revenue and cash flows.</w:t>
      </w:r>
    </w:p>
    <w:p w:rsidRPr="009C48DA" w:rsidR="0078256C" w:rsidP="0078256C" w:rsidRDefault="0078256C" w14:paraId="13297613" w14:textId="3340569A">
      <w:pPr>
        <w:pStyle w:val="BodyText2SglJ"/>
        <w:rPr>
          <w:szCs w:val="20"/>
          <w:lang w:val="en-GB"/>
        </w:rPr>
      </w:pPr>
      <w:r w:rsidRPr="009C48DA">
        <w:rPr>
          <w:szCs w:val="20"/>
          <w:lang w:val="en-GB"/>
        </w:rPr>
        <w:t>Any of the foregoing may result in a sudden or prolonged increase in any effected benchmarks, which could have a material adverse effect on the Group’s interest expense in connection with its floating rate debt obligations, including the BAH Revolving Credit Facility, reducing cash flows otherwise available for the Group’s operations. In addition, the overall financial market may be disrupted as a result of the phase-out or replacement of LIBOR and a disruption in the financial market could have a material adverse effect on the Group’s business, financial condition, revenue and cash flows.</w:t>
      </w:r>
    </w:p>
    <w:p w:rsidRPr="009C48DA" w:rsidR="006D6A27" w:rsidP="00391CD1" w:rsidRDefault="006D6A27" w14:paraId="49CB6563" w14:textId="07D883BC">
      <w:pPr>
        <w:pStyle w:val="BodyText2SglJ"/>
        <w:rPr>
          <w:rFonts w:cs="Times New Roman"/>
          <w:lang w:val="en-GB"/>
        </w:rPr>
      </w:pPr>
      <w:r w:rsidRPr="009C48DA">
        <w:rPr>
          <w:b/>
          <w:color w:val="000000"/>
          <w:lang w:val="en-GB"/>
        </w:rPr>
        <w:br w:type="page"/>
      </w:r>
    </w:p>
    <w:p w:rsidRPr="009C48DA" w:rsidR="006D6A27" w:rsidP="00F172AB" w:rsidRDefault="006D6A27" w14:paraId="1AFD514C" w14:textId="106F5B41">
      <w:pPr>
        <w:pStyle w:val="Heading1"/>
        <w:rPr>
          <w:lang w:val="en-GB"/>
        </w:rPr>
      </w:pPr>
      <w:r w:rsidRPr="009C48DA">
        <w:rPr>
          <w:lang w:val="en-GB"/>
        </w:rPr>
        <w:lastRenderedPageBreak/>
        <w:br/>
      </w:r>
      <w:bookmarkStart w:name="_Toc67956030" w:id="508"/>
      <w:bookmarkStart w:name="_Toc67962994" w:id="509"/>
      <w:bookmarkStart w:name="_Toc67963375" w:id="510"/>
      <w:bookmarkStart w:name="_Toc4171250" w:id="511"/>
      <w:r w:rsidRPr="009C48DA">
        <w:rPr>
          <w:lang w:val="en-GB"/>
        </w:rPr>
        <w:br/>
      </w:r>
      <w:bookmarkStart w:name="_Ref71140204" w:id="512"/>
      <w:bookmarkStart w:name="_Ref71140393" w:id="513"/>
      <w:bookmarkStart w:name="_Ref71141737" w:id="514"/>
      <w:bookmarkStart w:name="_Ref71142523" w:id="515"/>
      <w:bookmarkStart w:name="_Ref71144252" w:id="516"/>
      <w:bookmarkStart w:name="_Ref71144347" w:id="517"/>
      <w:bookmarkStart w:name="_Ref71146324" w:id="518"/>
      <w:bookmarkStart w:name="_Ref71146331" w:id="519"/>
      <w:bookmarkStart w:name="_Ref71146338" w:id="520"/>
      <w:bookmarkStart w:name="_Ref71146374" w:id="521"/>
      <w:bookmarkStart w:name="_Ref71146539" w:id="522"/>
      <w:bookmarkStart w:name="_Toc71147103" w:id="523"/>
      <w:bookmarkStart w:name="_Toc71147143" w:id="524"/>
      <w:bookmarkStart w:name="_Toc71147157" w:id="525"/>
      <w:bookmarkStart w:name="_Toc71167143" w:id="526"/>
      <w:bookmarkStart w:name="_Toc71187612" w:id="527"/>
      <w:bookmarkStart w:name="_Toc71188674" w:id="528"/>
      <w:bookmarkStart w:name="_Toc75831920" w:id="529"/>
      <w:r w:rsidRPr="009C48DA" w:rsidR="00F172AB">
        <w:rPr>
          <w:lang w:val="en-GB"/>
        </w:rPr>
        <w:t>Presentation of Financial and Other Information</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rsidRPr="009C48DA" w:rsidR="006D6A27" w:rsidP="000C376E" w:rsidRDefault="006D6A27" w14:paraId="03248B48" w14:textId="77777777">
      <w:pPr>
        <w:pStyle w:val="TitleBAllCaps"/>
      </w:pPr>
      <w:r w:rsidRPr="009C48DA">
        <w:t>GENERAL</w:t>
      </w:r>
    </w:p>
    <w:p w:rsidRPr="009C48DA" w:rsidR="006D6A27" w:rsidP="00A97446" w:rsidRDefault="006D6A27" w14:paraId="2C000540" w14:textId="14409D6D">
      <w:pPr>
        <w:pStyle w:val="BodyText2SglJ"/>
        <w:rPr>
          <w:rFonts w:eastAsia="Times New Roman" w:cs="Times New Roman"/>
          <w:color w:val="231F20"/>
          <w:szCs w:val="22"/>
          <w:lang w:val="en-GB"/>
        </w:rPr>
      </w:pPr>
      <w:r w:rsidRPr="009C48DA">
        <w:rPr>
          <w:rFonts w:eastAsia="Times New Roman" w:cs="Times New Roman"/>
          <w:color w:val="231F20"/>
          <w:szCs w:val="22"/>
          <w:lang w:val="en-GB"/>
        </w:rPr>
        <w:t>Recipients of this Registration Document should only rely on the information contained in it. No person has been authorised to give any information or to make any representations other than those contained in this Registration Document and, if given or made, such information or representations must not be relied upon as having been authorised by or on behalf of the Company, the Directors</w:t>
      </w:r>
      <w:r w:rsidRPr="009C48DA" w:rsidR="00AB552B">
        <w:rPr>
          <w:rFonts w:eastAsia="Times New Roman" w:cs="Times New Roman"/>
          <w:color w:val="231F20"/>
          <w:szCs w:val="22"/>
          <w:lang w:val="en-GB"/>
        </w:rPr>
        <w:t>,</w:t>
      </w:r>
      <w:r w:rsidRPr="009C48DA">
        <w:rPr>
          <w:rFonts w:eastAsia="Times New Roman" w:cs="Times New Roman"/>
          <w:color w:val="231F20"/>
          <w:szCs w:val="22"/>
          <w:lang w:val="en-GB"/>
        </w:rPr>
        <w:t xml:space="preserve"> the shareholders</w:t>
      </w:r>
      <w:r w:rsidRPr="009C48DA" w:rsidR="00AB552B">
        <w:rPr>
          <w:rFonts w:eastAsia="Times New Roman" w:cs="Times New Roman"/>
          <w:color w:val="231F20"/>
          <w:szCs w:val="22"/>
          <w:lang w:val="en-GB"/>
        </w:rPr>
        <w:t xml:space="preserve"> or the Financial Adviser</w:t>
      </w:r>
      <w:r w:rsidRPr="009C48DA">
        <w:rPr>
          <w:rFonts w:eastAsia="Times New Roman" w:cs="Times New Roman"/>
          <w:color w:val="231F20"/>
          <w:szCs w:val="22"/>
          <w:lang w:val="en-GB"/>
        </w:rPr>
        <w:t>. The delivery of this Registration Document does not create any implication that there has been no change in the business or affairs of the Group since the date of this Registration Document or that the information contained herein is correct as of any time subsequent to its date. This Registration Document may be combined with a securities note and summary to form a prospectus in accordance with the Prospectus Regulation Rules. A prospectus is required before an issuer can offer transferable securities to the public or request the admission of transferable securities to trading on a regulated market. However, this Registration Document, where not combined with such securities note and summary to form a prospectus, does not constitute an offer or invitation to sell or issue, or a solicitation of an offer or invitation to purchase or subscribe for, any securities in the Company in any jurisdiction, nor shall this Registration Document alone (or any part of it), or the fact of its distribution, form the basis of, or be relied upon in connection with, or act as any inducement to enter into, any contract or commitment whatsoever with respect to any offer or otherwise.</w:t>
      </w:r>
    </w:p>
    <w:p w:rsidRPr="009C48DA" w:rsidR="006D6A27" w:rsidP="00A97446" w:rsidRDefault="006D6A27" w14:paraId="17D635A8" w14:textId="2D4C00A1">
      <w:pPr>
        <w:pStyle w:val="BodyText2SglJ"/>
        <w:rPr>
          <w:rFonts w:eastAsia="Times New Roman" w:cs="Times New Roman"/>
          <w:color w:val="231F20"/>
          <w:szCs w:val="22"/>
          <w:lang w:val="en-GB"/>
        </w:rPr>
      </w:pPr>
      <w:r w:rsidRPr="009C48DA">
        <w:rPr>
          <w:rFonts w:eastAsia="Times New Roman" w:cs="Times New Roman"/>
          <w:color w:val="231F20"/>
          <w:szCs w:val="22"/>
          <w:lang w:val="en-GB"/>
        </w:rPr>
        <w:t>The contents of this Registration Document are not to be construed as legal, regulatory, tax, business or financial advice. This Registration Document is not intended to provide the basis of any credit or other evaluation and should not be considered as a recommendation by any of the Company or the Directors, any of the Company’s advisers, the Group</w:t>
      </w:r>
      <w:r w:rsidRPr="009C48DA" w:rsidR="00AB552B">
        <w:rPr>
          <w:rFonts w:eastAsia="Times New Roman" w:cs="Times New Roman"/>
          <w:color w:val="231F20"/>
          <w:szCs w:val="22"/>
          <w:lang w:val="en-GB"/>
        </w:rPr>
        <w:t>, the Financial Adviser</w:t>
      </w:r>
      <w:r w:rsidRPr="009C48DA">
        <w:rPr>
          <w:rFonts w:eastAsia="Times New Roman" w:cs="Times New Roman"/>
          <w:color w:val="231F20"/>
          <w:szCs w:val="22"/>
          <w:lang w:val="en-GB"/>
        </w:rPr>
        <w:t xml:space="preserve"> or any of their representatives regarding the securities of the Company.</w:t>
      </w:r>
      <w:r w:rsidRPr="009C48DA" w:rsidR="00652A9E">
        <w:rPr>
          <w:rFonts w:eastAsia="Times New Roman" w:cs="Times New Roman"/>
          <w:color w:val="231F20"/>
          <w:szCs w:val="22"/>
          <w:lang w:val="en-GB"/>
        </w:rPr>
        <w:t xml:space="preserve"> Neither the Financial Adviser nor any of its affiliates accept any responsibility whatsoever for, or makes any representation or warranty, express or implied, as to, the accuracy, completeness or verification of the contents of this Registration Document and the Financial Adviser and its affiliates accordingly disclaims any and all responsibility or liability for its accuracy, completeness or verification, whether arising in tort, contract or otherwise (save as referred to above), which it might otherwise have in respect of this Registration Document. The Financial Adviser is acting exclusively for the Company and no one else in connection with this Registration Document, and will not regard any other person (whether or not a recipient of this Registration Document) as its client in relation to this Registration Document and will not be responsible to anyone other than the Company for providing the protections afforded to its clients nor for providing advice in relation to this Registration Document or any transaction, matter or arrangement referred to in this Registration Document.</w:t>
      </w:r>
    </w:p>
    <w:p w:rsidRPr="009C48DA" w:rsidR="006D6A27" w:rsidP="000C376E" w:rsidRDefault="006D6A27" w14:paraId="0FD52A80" w14:textId="3AFBF957">
      <w:pPr>
        <w:pStyle w:val="TitleBAllCaps"/>
      </w:pPr>
      <w:r w:rsidRPr="009C48DA">
        <w:t>PRESENTATION OF FINANCIAL INFORMATION</w:t>
      </w:r>
    </w:p>
    <w:p w:rsidRPr="009C48DA" w:rsidR="006D6A27" w:rsidP="005035EB" w:rsidRDefault="00E15E59" w14:paraId="0A3ADA7C" w14:textId="197699AF">
      <w:pPr>
        <w:pStyle w:val="BlockTextSglJ"/>
        <w:ind w:firstLine="709"/>
        <w:rPr>
          <w:rFonts w:eastAsia="Times New Roman" w:cs="Times New Roman"/>
          <w:color w:val="000000"/>
          <w:szCs w:val="22"/>
          <w:lang w:val="en-GB"/>
        </w:rPr>
      </w:pPr>
      <w:r w:rsidRPr="009C48DA">
        <w:rPr>
          <w:lang w:val="en-GB"/>
        </w:rPr>
        <w:t xml:space="preserve">The consolidated </w:t>
      </w:r>
      <w:r w:rsidRPr="009C48DA" w:rsidR="006D6A27">
        <w:rPr>
          <w:lang w:val="en-GB"/>
        </w:rPr>
        <w:t>financial information of Atlantic Investments Holdings Limited</w:t>
      </w:r>
      <w:r w:rsidRPr="009C48DA" w:rsidR="00682965">
        <w:rPr>
          <w:lang w:val="en-GB"/>
        </w:rPr>
        <w:t xml:space="preserve"> </w:t>
      </w:r>
      <w:r w:rsidRPr="009C48DA" w:rsidR="006D6A27">
        <w:rPr>
          <w:lang w:val="en-GB"/>
        </w:rPr>
        <w:t xml:space="preserve">as of and for the three </w:t>
      </w:r>
      <w:r w:rsidRPr="009C48DA">
        <w:rPr>
          <w:lang w:val="en-GB"/>
        </w:rPr>
        <w:t xml:space="preserve">years ended 31 December 2020, 2019 and 2018 and </w:t>
      </w:r>
      <w:r w:rsidRPr="009C48DA" w:rsidR="00CC3F8F">
        <w:rPr>
          <w:lang w:val="en-GB"/>
        </w:rPr>
        <w:t xml:space="preserve">as of and for </w:t>
      </w:r>
      <w:r w:rsidRPr="009C48DA">
        <w:rPr>
          <w:lang w:val="en-GB"/>
        </w:rPr>
        <w:t xml:space="preserve">the three </w:t>
      </w:r>
      <w:r w:rsidRPr="009C48DA" w:rsidR="006D6A27">
        <w:rPr>
          <w:lang w:val="en-GB"/>
        </w:rPr>
        <w:t>months ended 31 March 2021 (</w:t>
      </w:r>
      <w:r w:rsidRPr="009C48DA">
        <w:rPr>
          <w:lang w:val="en-GB"/>
        </w:rPr>
        <w:t xml:space="preserve">and </w:t>
      </w:r>
      <w:r w:rsidRPr="009C48DA" w:rsidR="006D6A27">
        <w:rPr>
          <w:lang w:val="en-GB"/>
        </w:rPr>
        <w:t xml:space="preserve">unaudited comparative information for the three months ended 31 March 2020) </w:t>
      </w:r>
      <w:r w:rsidRPr="009C48DA">
        <w:rPr>
          <w:lang w:val="en-GB"/>
        </w:rPr>
        <w:t xml:space="preserve">has been </w:t>
      </w:r>
      <w:r w:rsidRPr="009C48DA" w:rsidR="006D6A27">
        <w:rPr>
          <w:rFonts w:eastAsia="Times New Roman" w:cs="Times New Roman"/>
          <w:color w:val="000000"/>
          <w:szCs w:val="22"/>
          <w:lang w:val="en-GB"/>
        </w:rPr>
        <w:t>included in this Registration Document</w:t>
      </w:r>
      <w:r w:rsidRPr="009C48DA">
        <w:rPr>
          <w:rFonts w:eastAsia="Times New Roman" w:cs="Times New Roman"/>
          <w:color w:val="000000"/>
          <w:szCs w:val="22"/>
          <w:lang w:val="en-GB"/>
        </w:rPr>
        <w:t xml:space="preserve"> in </w:t>
      </w:r>
      <w:r w:rsidRPr="009C48DA">
        <w:rPr>
          <w:rFonts w:eastAsia="Times New Roman" w:cs="Times New Roman"/>
          <w:color w:val="000000"/>
          <w:szCs w:val="22"/>
          <w:lang w:val="en-GB"/>
        </w:rPr>
        <w:fldChar w:fldCharType="begin"/>
      </w:r>
      <w:r w:rsidRPr="009C48DA">
        <w:rPr>
          <w:rFonts w:eastAsia="Times New Roman" w:cs="Times New Roman"/>
          <w:color w:val="000000"/>
          <w:szCs w:val="22"/>
          <w:lang w:val="en-GB"/>
        </w:rPr>
        <w:instrText xml:space="preserve"> REF _Ref74459908 \n \h </w:instrText>
      </w:r>
      <w:r w:rsidRPr="009C48DA">
        <w:rPr>
          <w:rFonts w:eastAsia="Times New Roman" w:cs="Times New Roman"/>
          <w:color w:val="000000"/>
          <w:szCs w:val="22"/>
          <w:lang w:val="en-GB"/>
        </w:rPr>
      </w:r>
      <w:r w:rsidRPr="009C48DA">
        <w:rPr>
          <w:rFonts w:eastAsia="Times New Roman" w:cs="Times New Roman"/>
          <w:color w:val="000000"/>
          <w:szCs w:val="22"/>
          <w:lang w:val="en-GB"/>
        </w:rPr>
        <w:fldChar w:fldCharType="separate"/>
      </w:r>
      <w:r w:rsidR="007C3D19">
        <w:rPr>
          <w:rFonts w:eastAsia="Times New Roman" w:cs="Times New Roman"/>
          <w:color w:val="000000"/>
          <w:szCs w:val="22"/>
          <w:lang w:val="en-GB"/>
        </w:rPr>
        <w:t>Part B</w:t>
      </w:r>
      <w:r w:rsidRPr="009C48DA">
        <w:rPr>
          <w:rFonts w:eastAsia="Times New Roman" w:cs="Times New Roman"/>
          <w:color w:val="000000"/>
          <w:szCs w:val="22"/>
          <w:lang w:val="en-GB"/>
        </w:rPr>
        <w:fldChar w:fldCharType="end"/>
      </w:r>
      <w:r w:rsidRPr="009C48DA">
        <w:rPr>
          <w:rFonts w:eastAsia="Times New Roman" w:cs="Times New Roman"/>
          <w:color w:val="000000"/>
          <w:szCs w:val="22"/>
          <w:lang w:val="en-GB"/>
        </w:rPr>
        <w:t xml:space="preserve"> of </w:t>
      </w:r>
      <w:r w:rsidRPr="009C48DA">
        <w:rPr>
          <w:rFonts w:eastAsia="Times New Roman" w:cs="Times New Roman"/>
          <w:color w:val="000000"/>
          <w:szCs w:val="22"/>
          <w:lang w:val="en-GB"/>
        </w:rPr>
        <w:fldChar w:fldCharType="begin"/>
      </w:r>
      <w:r w:rsidRPr="009C48DA">
        <w:rPr>
          <w:rFonts w:eastAsia="Times New Roman" w:cs="Times New Roman"/>
          <w:color w:val="000000"/>
          <w:szCs w:val="22"/>
          <w:lang w:val="en-GB"/>
        </w:rPr>
        <w:instrText xml:space="preserve"> REF _Ref74459914 \n \h </w:instrText>
      </w:r>
      <w:r w:rsidRPr="009C48DA">
        <w:rPr>
          <w:rFonts w:eastAsia="Times New Roman" w:cs="Times New Roman"/>
          <w:color w:val="000000"/>
          <w:szCs w:val="22"/>
          <w:lang w:val="en-GB"/>
        </w:rPr>
      </w:r>
      <w:r w:rsidRPr="009C48DA">
        <w:rPr>
          <w:rFonts w:eastAsia="Times New Roman" w:cs="Times New Roman"/>
          <w:color w:val="000000"/>
          <w:szCs w:val="22"/>
          <w:lang w:val="en-GB"/>
        </w:rPr>
        <w:fldChar w:fldCharType="separate"/>
      </w:r>
      <w:r w:rsidR="007C3D19">
        <w:rPr>
          <w:rFonts w:eastAsia="Times New Roman" w:cs="Times New Roman"/>
          <w:color w:val="000000"/>
          <w:szCs w:val="22"/>
          <w:lang w:val="en-GB"/>
        </w:rPr>
        <w:t>Part X</w:t>
      </w:r>
      <w:r w:rsidRPr="009C48DA">
        <w:rPr>
          <w:rFonts w:eastAsia="Times New Roman" w:cs="Times New Roman"/>
          <w:color w:val="000000"/>
          <w:szCs w:val="22"/>
          <w:lang w:val="en-GB"/>
        </w:rPr>
        <w:fldChar w:fldCharType="end"/>
      </w:r>
      <w:r w:rsidRPr="009C48DA">
        <w:rPr>
          <w:rFonts w:eastAsia="Times New Roman" w:cs="Times New Roman"/>
          <w:color w:val="000000"/>
          <w:szCs w:val="22"/>
          <w:lang w:val="en-GB"/>
        </w:rPr>
        <w:t xml:space="preserve"> (</w:t>
      </w:r>
      <w:r w:rsidRPr="009C48DA" w:rsidR="00EE57B9">
        <w:rPr>
          <w:rFonts w:eastAsia="Times New Roman" w:cs="Times New Roman"/>
          <w:i/>
          <w:color w:val="000000"/>
          <w:szCs w:val="22"/>
          <w:lang w:val="en-GB"/>
        </w:rPr>
      </w:r>
      <w:r w:rsidRPr="007C3D19" w:rsidR="007C3D19">
        <w:rPr>
          <w:i/>
          <w:lang w:val="en-GB"/>
        </w:rPr>
        <w:t>Historical Financial Information</w:t>
      </w:r>
      <w:r w:rsidRPr="009C48DA">
        <w:rPr>
          <w:rFonts w:eastAsia="Times New Roman" w:cs="Times New Roman"/>
          <w:color w:val="000000"/>
          <w:szCs w:val="22"/>
          <w:lang w:val="en-GB"/>
        </w:rPr>
        <w:t>) (</w:t>
      </w:r>
      <w:r w:rsidRPr="009C48DA" w:rsidR="00326108">
        <w:rPr>
          <w:rFonts w:eastAsia="Times New Roman" w:cs="Times New Roman"/>
          <w:color w:val="000000"/>
          <w:szCs w:val="22"/>
          <w:lang w:val="en-GB"/>
        </w:rPr>
        <w:t>collectively</w:t>
      </w:r>
      <w:r w:rsidRPr="009C48DA">
        <w:rPr>
          <w:rFonts w:eastAsia="Times New Roman" w:cs="Times New Roman"/>
          <w:color w:val="000000"/>
          <w:szCs w:val="22"/>
          <w:lang w:val="en-GB"/>
        </w:rPr>
        <w:t>, the “</w:t>
      </w:r>
      <w:r w:rsidRPr="009C48DA">
        <w:rPr>
          <w:rFonts w:eastAsia="Times New Roman" w:cs="Times New Roman"/>
          <w:b/>
          <w:color w:val="000000"/>
          <w:szCs w:val="22"/>
          <w:lang w:val="en-GB"/>
        </w:rPr>
        <w:t>Historical Financial Information</w:t>
      </w:r>
      <w:r w:rsidRPr="009C48DA">
        <w:rPr>
          <w:rFonts w:eastAsia="Times New Roman" w:cs="Times New Roman"/>
          <w:color w:val="000000"/>
          <w:szCs w:val="22"/>
          <w:lang w:val="en-GB"/>
        </w:rPr>
        <w:t xml:space="preserve">”). The Company’s </w:t>
      </w:r>
      <w:r w:rsidRPr="009C48DA" w:rsidR="006D6A27">
        <w:rPr>
          <w:rFonts w:eastAsia="Times New Roman" w:cs="Times New Roman"/>
          <w:color w:val="000000"/>
          <w:szCs w:val="22"/>
          <w:lang w:val="en-GB"/>
        </w:rPr>
        <w:t>financial year runs from 1 January to 31 December.</w:t>
      </w:r>
    </w:p>
    <w:p w:rsidRPr="009C48DA" w:rsidR="006D6A27" w:rsidP="005035EB" w:rsidRDefault="006D6A27" w14:paraId="16CC74AA" w14:textId="249351FB">
      <w:pPr>
        <w:pStyle w:val="BlockTextSglJ"/>
        <w:ind w:firstLine="709"/>
        <w:rPr>
          <w:rFonts w:eastAsia="Times New Roman" w:cs="Times New Roman"/>
          <w:color w:val="000000"/>
          <w:sz w:val="18"/>
          <w:szCs w:val="22"/>
          <w:lang w:val="en-GB"/>
        </w:rPr>
      </w:pPr>
      <w:r w:rsidRPr="009C48DA">
        <w:rPr>
          <w:rFonts w:eastAsia="Times New Roman" w:cs="Times New Roman"/>
          <w:color w:val="000000"/>
          <w:szCs w:val="22"/>
          <w:lang w:val="en-GB"/>
        </w:rPr>
        <w:t xml:space="preserve">In October 2018, as part of a group reconstruction, the Company issued shares in exchange for a holding in the </w:t>
      </w:r>
      <w:r w:rsidRPr="009C48DA" w:rsidR="00E15E59">
        <w:rPr>
          <w:rFonts w:eastAsia="Times New Roman" w:cs="Times New Roman"/>
          <w:color w:val="000000"/>
          <w:szCs w:val="22"/>
          <w:lang w:val="en-GB"/>
        </w:rPr>
        <w:t>G</w:t>
      </w:r>
      <w:r w:rsidRPr="009C48DA">
        <w:rPr>
          <w:rFonts w:eastAsia="Times New Roman" w:cs="Times New Roman"/>
          <w:color w:val="000000"/>
          <w:szCs w:val="22"/>
          <w:lang w:val="en-GB"/>
        </w:rPr>
        <w:t xml:space="preserve">roup. In preparing the </w:t>
      </w:r>
      <w:r w:rsidRPr="009C48DA" w:rsidR="00E15E59">
        <w:rPr>
          <w:rFonts w:eastAsia="Times New Roman" w:cs="Times New Roman"/>
          <w:color w:val="000000"/>
          <w:szCs w:val="22"/>
          <w:lang w:val="en-GB"/>
        </w:rPr>
        <w:t>Historical F</w:t>
      </w:r>
      <w:r w:rsidRPr="009C48DA">
        <w:rPr>
          <w:rFonts w:eastAsia="Times New Roman" w:cs="Times New Roman"/>
          <w:color w:val="000000"/>
          <w:szCs w:val="22"/>
          <w:lang w:val="en-GB"/>
        </w:rPr>
        <w:t xml:space="preserve">inancial </w:t>
      </w:r>
      <w:r w:rsidRPr="009C48DA" w:rsidR="00E15E59">
        <w:rPr>
          <w:rFonts w:eastAsia="Times New Roman" w:cs="Times New Roman"/>
          <w:color w:val="000000"/>
          <w:szCs w:val="22"/>
          <w:lang w:val="en-GB"/>
        </w:rPr>
        <w:t>Information</w:t>
      </w:r>
      <w:r w:rsidRPr="009C48DA">
        <w:rPr>
          <w:rFonts w:eastAsia="Times New Roman" w:cs="Times New Roman"/>
          <w:color w:val="000000"/>
          <w:szCs w:val="22"/>
          <w:lang w:val="en-GB"/>
        </w:rPr>
        <w:t>, merger accounting has been applied even though the structure means that there is no ultimate controlling party either before or after the insertion of the Company as a new holding company. The Directors believe that merger accounting more fairly reflects the substance of the transaction and have therefore used a true and fair override of SI2</w:t>
      </w:r>
      <w:r w:rsidR="00A65814">
        <w:rPr>
          <w:rFonts w:eastAsia="Times New Roman" w:cs="Times New Roman"/>
          <w:color w:val="000000"/>
          <w:szCs w:val="22"/>
          <w:lang w:val="en-GB"/>
        </w:rPr>
        <w:t>008/410 Sch 6 </w:t>
      </w:r>
      <w:r w:rsidRPr="009C48DA">
        <w:rPr>
          <w:rFonts w:eastAsia="Times New Roman" w:cs="Times New Roman"/>
          <w:color w:val="000000"/>
          <w:szCs w:val="22"/>
          <w:lang w:val="en-GB"/>
        </w:rPr>
        <w:t xml:space="preserve">para 10(a), which requires that the undertaking whose shares are acquired is ultimately controlled by the same party both before and after the acquisition. The effect of merger accounting for the group reconstruction is that the carrying amount of </w:t>
      </w:r>
      <w:r w:rsidRPr="009C48DA" w:rsidR="00EC5FCA">
        <w:rPr>
          <w:rFonts w:eastAsia="Calibri" w:cs="Arial"/>
          <w:szCs w:val="20"/>
          <w:lang w:val="en-GB"/>
        </w:rPr>
        <w:t xml:space="preserve">Bridgepoint Group </w:t>
      </w:r>
      <w:r w:rsidR="00CD2359">
        <w:rPr>
          <w:rFonts w:eastAsia="Calibri" w:cs="Arial"/>
          <w:szCs w:val="20"/>
          <w:lang w:val="en-GB"/>
        </w:rPr>
        <w:t xml:space="preserve">Holdings </w:t>
      </w:r>
      <w:r w:rsidRPr="009C48DA" w:rsidR="00EC5FCA">
        <w:rPr>
          <w:rFonts w:eastAsia="Calibri" w:cs="Arial"/>
          <w:szCs w:val="20"/>
          <w:lang w:val="en-GB"/>
        </w:rPr>
        <w:t>Limited</w:t>
      </w:r>
      <w:r w:rsidRPr="009C48DA">
        <w:rPr>
          <w:rFonts w:eastAsia="Times New Roman" w:cs="Times New Roman"/>
          <w:color w:val="000000"/>
          <w:szCs w:val="22"/>
          <w:lang w:val="en-GB"/>
        </w:rPr>
        <w:t>’s assets and liabilities were not adjusted to fair value and no new goodwill arose as a result of the transaction. Accordingly, whilst the Company was incorporated on 2 July 2018, the consolidated results and cash flows of the Company and the Group have been brought into the financial statements of the Group from the</w:t>
      </w:r>
      <w:r w:rsidR="00A65814">
        <w:rPr>
          <w:rFonts w:eastAsia="Times New Roman" w:cs="Times New Roman"/>
          <w:color w:val="000000"/>
          <w:szCs w:val="22"/>
          <w:lang w:val="en-GB"/>
        </w:rPr>
        <w:t xml:space="preserve"> beginning of the year ended 31 </w:t>
      </w:r>
      <w:r w:rsidRPr="009C48DA">
        <w:rPr>
          <w:rFonts w:eastAsia="Times New Roman" w:cs="Times New Roman"/>
          <w:color w:val="000000"/>
          <w:szCs w:val="22"/>
          <w:lang w:val="en-GB"/>
        </w:rPr>
        <w:t>December 2018.</w:t>
      </w:r>
    </w:p>
    <w:p w:rsidRPr="009C48DA" w:rsidR="006D6A27" w:rsidP="00727A72" w:rsidRDefault="006D6A27" w14:paraId="4324DD9E" w14:textId="78E95631">
      <w:pPr>
        <w:pStyle w:val="BodyText2SglJ"/>
        <w:rPr>
          <w:color w:val="000000" w:themeColor="text1"/>
          <w:lang w:val="en-GB"/>
        </w:rPr>
      </w:pPr>
      <w:r w:rsidRPr="009C48DA">
        <w:rPr>
          <w:color w:val="000000" w:themeColor="text1"/>
          <w:lang w:val="en-GB"/>
        </w:rPr>
        <w:lastRenderedPageBreak/>
        <w:t xml:space="preserve">Refer to Note 1 of </w:t>
      </w:r>
      <w:r w:rsidRPr="009C48DA">
        <w:rPr>
          <w:color w:val="000000" w:themeColor="text1"/>
          <w:lang w:val="en-GB"/>
        </w:rPr>
        <w:fldChar w:fldCharType="begin"/>
      </w:r>
      <w:r w:rsidRPr="009C48DA">
        <w:rPr>
          <w:color w:val="000000" w:themeColor="text1"/>
          <w:lang w:val="en-GB"/>
        </w:rPr>
        <w:instrText xml:space="preserve"> REF _Ref71145999 \n \h </w:instrText>
      </w:r>
      <w:r w:rsidRPr="009C48DA" w:rsidR="00513F0A">
        <w:rPr>
          <w:color w:val="000000" w:themeColor="text1"/>
          <w:lang w:val="en-GB"/>
        </w:rPr>
        <w:instrText xml:space="preserve"> \* MERGEFORMAT </w:instrText>
      </w:r>
      <w:r w:rsidRPr="009C48DA">
        <w:rPr>
          <w:color w:val="000000" w:themeColor="text1"/>
          <w:lang w:val="en-GB"/>
        </w:rPr>
      </w:r>
      <w:r w:rsidRPr="009C48DA">
        <w:rPr>
          <w:color w:val="000000" w:themeColor="text1"/>
          <w:lang w:val="en-GB"/>
        </w:rPr>
        <w:fldChar w:fldCharType="separate"/>
      </w:r>
      <w:r w:rsidR="007C3D19">
        <w:rPr>
          <w:color w:val="000000" w:themeColor="text1"/>
          <w:lang w:val="en-GB"/>
        </w:rPr>
        <w:t>Part B</w:t>
      </w:r>
      <w:r w:rsidRPr="009C48DA">
        <w:rPr>
          <w:color w:val="000000" w:themeColor="text1"/>
          <w:lang w:val="en-GB"/>
        </w:rPr>
        <w:fldChar w:fldCharType="end"/>
      </w:r>
      <w:r w:rsidRPr="009C48DA">
        <w:rPr>
          <w:color w:val="000000" w:themeColor="text1"/>
          <w:lang w:val="en-GB"/>
        </w:rPr>
        <w:t xml:space="preserve"> of </w:t>
      </w:r>
      <w:r w:rsidRPr="009C48DA">
        <w:rPr>
          <w:lang w:val="en-GB"/>
        </w:rPr>
        <w:fldChar w:fldCharType="begin"/>
      </w:r>
      <w:r w:rsidRPr="009C48DA">
        <w:rPr>
          <w:lang w:val="en-GB"/>
        </w:rPr>
        <w:instrText xml:space="preserve"> REF _Ref69831818 \n \h </w:instrText>
      </w:r>
      <w:r w:rsidRPr="009C48DA" w:rsidR="00513F0A">
        <w:rPr>
          <w:lang w:val="en-GB"/>
        </w:rPr>
        <w:instrText xml:space="preserve"> \* MERGEFORMAT </w:instrText>
      </w:r>
      <w:r w:rsidRPr="009C48DA">
        <w:rPr>
          <w:lang w:val="en-GB"/>
        </w:rPr>
      </w:r>
      <w:r w:rsidRPr="009C48DA">
        <w:rPr>
          <w:lang w:val="en-GB"/>
        </w:rPr>
        <w:fldChar w:fldCharType="separate"/>
      </w:r>
      <w:r w:rsidR="007C3D19">
        <w:rPr>
          <w:lang w:val="en-GB"/>
        </w:rPr>
        <w:t>Part X</w:t>
      </w:r>
      <w:r w:rsidRPr="009C48DA">
        <w:rPr>
          <w:lang w:val="en-GB"/>
        </w:rPr>
        <w:fldChar w:fldCharType="end"/>
      </w:r>
      <w:r w:rsidRPr="009C48DA">
        <w:rPr>
          <w:color w:val="000000" w:themeColor="text1"/>
          <w:lang w:val="en-GB"/>
        </w:rPr>
        <w:t xml:space="preserve"> (</w:t>
      </w:r>
      <w:r w:rsidRPr="009C48DA" w:rsidR="00EE57B9">
        <w:rPr>
          <w:rFonts w:eastAsia="Times New Roman" w:cs="Times New Roman"/>
          <w:i/>
          <w:color w:val="000000"/>
          <w:szCs w:val="22"/>
          <w:lang w:val="en-GB"/>
        </w:rPr>
      </w:r>
      <w:r w:rsidRPr="007C3D19" w:rsidR="007C3D19">
        <w:rPr>
          <w:i/>
          <w:lang w:val="en-GB"/>
        </w:rPr>
        <w:t>Historical Financial Information</w:t>
      </w:r>
      <w:r w:rsidRPr="009C48DA" w:rsidR="00C13C31">
        <w:rPr>
          <w:color w:val="000000" w:themeColor="text1"/>
          <w:lang w:val="en-GB"/>
        </w:rPr>
        <w:t>)</w:t>
      </w:r>
      <w:r w:rsidRPr="009C48DA">
        <w:rPr>
          <w:color w:val="000000" w:themeColor="text1"/>
          <w:lang w:val="en-GB"/>
        </w:rPr>
        <w:t xml:space="preserve"> for further information on the basis of preparation of the Historical Financial Information.</w:t>
      </w:r>
    </w:p>
    <w:p w:rsidRPr="009C48DA" w:rsidR="006D6A27" w:rsidP="00727A72" w:rsidRDefault="006D6A27" w14:paraId="7856BE1A" w14:textId="5999D42C">
      <w:pPr>
        <w:pStyle w:val="BodyText2SglJ"/>
        <w:rPr>
          <w:color w:val="000000" w:themeColor="text1"/>
          <w:lang w:val="en-GB"/>
        </w:rPr>
      </w:pPr>
      <w:r w:rsidRPr="009C48DA">
        <w:rPr>
          <w:color w:val="000000" w:themeColor="text1"/>
          <w:lang w:val="en-GB"/>
        </w:rPr>
        <w:t xml:space="preserve">The Historical Financial Information included in </w:t>
      </w:r>
      <w:r w:rsidRPr="009C48DA">
        <w:rPr>
          <w:color w:val="000000" w:themeColor="text1"/>
          <w:lang w:val="en-GB"/>
        </w:rPr>
        <w:fldChar w:fldCharType="begin"/>
      </w:r>
      <w:r w:rsidRPr="009C48DA">
        <w:rPr>
          <w:color w:val="000000" w:themeColor="text1"/>
          <w:lang w:val="en-GB"/>
        </w:rPr>
        <w:instrText xml:space="preserve"> REF _Ref71146010 \n \h </w:instrText>
      </w:r>
      <w:r w:rsidRPr="009C48DA" w:rsidR="00513F0A">
        <w:rPr>
          <w:color w:val="000000" w:themeColor="text1"/>
          <w:lang w:val="en-GB"/>
        </w:rPr>
        <w:instrText xml:space="preserve"> \* MERGEFORMAT </w:instrText>
      </w:r>
      <w:r w:rsidRPr="009C48DA">
        <w:rPr>
          <w:color w:val="000000" w:themeColor="text1"/>
          <w:lang w:val="en-GB"/>
        </w:rPr>
      </w:r>
      <w:r w:rsidRPr="009C48DA">
        <w:rPr>
          <w:color w:val="000000" w:themeColor="text1"/>
          <w:lang w:val="en-GB"/>
        </w:rPr>
        <w:fldChar w:fldCharType="separate"/>
      </w:r>
      <w:r w:rsidR="007C3D19">
        <w:rPr>
          <w:color w:val="000000" w:themeColor="text1"/>
          <w:lang w:val="en-GB"/>
        </w:rPr>
        <w:t>Part B</w:t>
      </w:r>
      <w:r w:rsidRPr="009C48DA">
        <w:rPr>
          <w:color w:val="000000" w:themeColor="text1"/>
          <w:lang w:val="en-GB"/>
        </w:rPr>
        <w:fldChar w:fldCharType="end"/>
      </w:r>
      <w:r w:rsidRPr="009C48DA">
        <w:rPr>
          <w:color w:val="000000" w:themeColor="text1"/>
          <w:lang w:val="en-GB"/>
        </w:rPr>
        <w:t xml:space="preserve"> of </w:t>
      </w:r>
      <w:r w:rsidRPr="009C48DA">
        <w:rPr>
          <w:lang w:val="en-GB"/>
        </w:rPr>
        <w:fldChar w:fldCharType="begin"/>
      </w:r>
      <w:r w:rsidRPr="009C48DA">
        <w:rPr>
          <w:lang w:val="en-GB"/>
        </w:rPr>
        <w:instrText xml:space="preserve"> REF _Ref69831818 \n \h </w:instrText>
      </w:r>
      <w:r w:rsidRPr="009C48DA" w:rsidR="00513F0A">
        <w:rPr>
          <w:lang w:val="en-GB"/>
        </w:rPr>
        <w:instrText xml:space="preserve"> \* MERGEFORMAT </w:instrText>
      </w:r>
      <w:r w:rsidRPr="009C48DA">
        <w:rPr>
          <w:lang w:val="en-GB"/>
        </w:rPr>
      </w:r>
      <w:r w:rsidRPr="009C48DA">
        <w:rPr>
          <w:lang w:val="en-GB"/>
        </w:rPr>
        <w:fldChar w:fldCharType="separate"/>
      </w:r>
      <w:r w:rsidR="007C3D19">
        <w:rPr>
          <w:lang w:val="en-GB"/>
        </w:rPr>
        <w:t>Part X</w:t>
      </w:r>
      <w:r w:rsidRPr="009C48DA">
        <w:rPr>
          <w:lang w:val="en-GB"/>
        </w:rPr>
        <w:fldChar w:fldCharType="end"/>
      </w:r>
      <w:r w:rsidRPr="009C48DA">
        <w:rPr>
          <w:color w:val="000000" w:themeColor="text1"/>
          <w:lang w:val="en-GB"/>
        </w:rPr>
        <w:t xml:space="preserve"> (</w:t>
      </w:r>
      <w:r w:rsidRPr="009C48DA" w:rsidR="00EE57B9">
        <w:rPr>
          <w:rFonts w:eastAsia="Times New Roman" w:cs="Times New Roman"/>
          <w:i/>
          <w:color w:val="000000"/>
          <w:szCs w:val="22"/>
          <w:lang w:val="en-GB"/>
        </w:rPr>
      </w:r>
      <w:r w:rsidRPr="007C3D19" w:rsidR="007C3D19">
        <w:rPr>
          <w:i/>
          <w:lang w:val="en-GB"/>
        </w:rPr>
        <w:t>Historical Financial Information</w:t>
      </w:r>
      <w:r w:rsidRPr="009C48DA" w:rsidR="00C13C31">
        <w:rPr>
          <w:color w:val="000000" w:themeColor="text1"/>
          <w:lang w:val="en-GB"/>
        </w:rPr>
        <w:t>)</w:t>
      </w:r>
      <w:r w:rsidRPr="009C48DA">
        <w:rPr>
          <w:color w:val="000000" w:themeColor="text1"/>
          <w:lang w:val="en-GB"/>
        </w:rPr>
        <w:t xml:space="preserve"> is covered by the accountant’s report included in </w:t>
      </w:r>
      <w:r w:rsidRPr="009C48DA">
        <w:rPr>
          <w:color w:val="000000" w:themeColor="text1"/>
          <w:lang w:val="en-GB"/>
        </w:rPr>
        <w:fldChar w:fldCharType="begin"/>
      </w:r>
      <w:r w:rsidRPr="009C48DA">
        <w:rPr>
          <w:color w:val="000000" w:themeColor="text1"/>
          <w:lang w:val="en-GB"/>
        </w:rPr>
        <w:instrText xml:space="preserve"> REF _Ref71146023 \n \h </w:instrText>
      </w:r>
      <w:r w:rsidRPr="009C48DA" w:rsidR="00513F0A">
        <w:rPr>
          <w:color w:val="000000" w:themeColor="text1"/>
          <w:lang w:val="en-GB"/>
        </w:rPr>
        <w:instrText xml:space="preserve"> \* MERGEFORMAT </w:instrText>
      </w:r>
      <w:r w:rsidRPr="009C48DA">
        <w:rPr>
          <w:color w:val="000000" w:themeColor="text1"/>
          <w:lang w:val="en-GB"/>
        </w:rPr>
      </w:r>
      <w:r w:rsidRPr="009C48DA">
        <w:rPr>
          <w:color w:val="000000" w:themeColor="text1"/>
          <w:lang w:val="en-GB"/>
        </w:rPr>
        <w:fldChar w:fldCharType="separate"/>
      </w:r>
      <w:r w:rsidR="007C3D19">
        <w:rPr>
          <w:color w:val="000000" w:themeColor="text1"/>
          <w:lang w:val="en-GB"/>
        </w:rPr>
        <w:t>Part A</w:t>
      </w:r>
      <w:r w:rsidRPr="009C48DA">
        <w:rPr>
          <w:color w:val="000000" w:themeColor="text1"/>
          <w:lang w:val="en-GB"/>
        </w:rPr>
        <w:fldChar w:fldCharType="end"/>
      </w:r>
      <w:r w:rsidRPr="009C48DA">
        <w:rPr>
          <w:color w:val="000000" w:themeColor="text1"/>
          <w:lang w:val="en-GB"/>
        </w:rPr>
        <w:t xml:space="preserve"> of </w:t>
      </w:r>
      <w:r w:rsidRPr="009C48DA">
        <w:rPr>
          <w:lang w:val="en-GB"/>
        </w:rPr>
        <w:fldChar w:fldCharType="begin"/>
      </w:r>
      <w:r w:rsidRPr="009C48DA">
        <w:rPr>
          <w:lang w:val="en-GB"/>
        </w:rPr>
        <w:instrText xml:space="preserve"> REF _Ref69831818 \n \h </w:instrText>
      </w:r>
      <w:r w:rsidRPr="009C48DA" w:rsidR="00513F0A">
        <w:rPr>
          <w:lang w:val="en-GB"/>
        </w:rPr>
        <w:instrText xml:space="preserve"> \* MERGEFORMAT </w:instrText>
      </w:r>
      <w:r w:rsidRPr="009C48DA">
        <w:rPr>
          <w:lang w:val="en-GB"/>
        </w:rPr>
      </w:r>
      <w:r w:rsidRPr="009C48DA">
        <w:rPr>
          <w:lang w:val="en-GB"/>
        </w:rPr>
        <w:fldChar w:fldCharType="separate"/>
      </w:r>
      <w:r w:rsidR="007C3D19">
        <w:rPr>
          <w:lang w:val="en-GB"/>
        </w:rPr>
        <w:t>Part X</w:t>
      </w:r>
      <w:r w:rsidRPr="009C48DA">
        <w:rPr>
          <w:lang w:val="en-GB"/>
        </w:rPr>
        <w:fldChar w:fldCharType="end"/>
      </w:r>
      <w:r w:rsidRPr="009C48DA">
        <w:rPr>
          <w:color w:val="000000" w:themeColor="text1"/>
          <w:lang w:val="en-GB"/>
        </w:rPr>
        <w:t xml:space="preserve"> (</w:t>
      </w:r>
      <w:r w:rsidRPr="009C48DA" w:rsidR="00EE57B9">
        <w:rPr>
          <w:rFonts w:eastAsia="Times New Roman" w:cs="Times New Roman"/>
          <w:i/>
          <w:color w:val="000000"/>
          <w:szCs w:val="22"/>
          <w:lang w:val="en-GB"/>
        </w:rPr>
      </w:r>
      <w:r w:rsidRPr="007C3D19" w:rsidR="007C3D19">
        <w:rPr>
          <w:i/>
          <w:lang w:val="en-GB"/>
        </w:rPr>
        <w:t>Historical Financial Information</w:t>
      </w:r>
      <w:r w:rsidRPr="009C48DA" w:rsidR="00C13C31">
        <w:rPr>
          <w:color w:val="000000" w:themeColor="text1"/>
          <w:lang w:val="en-GB"/>
        </w:rPr>
        <w:t>)</w:t>
      </w:r>
      <w:r w:rsidRPr="009C48DA">
        <w:rPr>
          <w:color w:val="000000" w:themeColor="text1"/>
          <w:lang w:val="en-GB"/>
        </w:rPr>
        <w:t xml:space="preserve">, which was prepared in accordance with Standards for Investment Reporting issued by the Auditing Practices Board. Such Historical Financial Information has been prepared </w:t>
      </w:r>
      <w:r w:rsidRPr="009C48DA" w:rsidR="00E15E59">
        <w:rPr>
          <w:color w:val="000000" w:themeColor="text1"/>
          <w:lang w:val="en-GB"/>
        </w:rPr>
        <w:t>on the basis of international accounting standards in conformity with the requirements of the Companies Act 2006 (“</w:t>
      </w:r>
      <w:r w:rsidRPr="009C48DA" w:rsidR="00E15E59">
        <w:rPr>
          <w:b/>
          <w:color w:val="000000" w:themeColor="text1"/>
          <w:lang w:val="en-GB"/>
        </w:rPr>
        <w:t>IFRS</w:t>
      </w:r>
      <w:r w:rsidRPr="009C48DA" w:rsidR="00E15E59">
        <w:rPr>
          <w:color w:val="000000" w:themeColor="text1"/>
          <w:lang w:val="en-GB"/>
        </w:rPr>
        <w:t xml:space="preserve">”) and </w:t>
      </w:r>
      <w:r w:rsidRPr="009C48DA">
        <w:rPr>
          <w:color w:val="000000" w:themeColor="text1"/>
          <w:lang w:val="en-GB"/>
        </w:rPr>
        <w:t xml:space="preserve">in accordance with the requirements of the </w:t>
      </w:r>
      <w:r w:rsidRPr="009C48DA" w:rsidR="00FB185F">
        <w:rPr>
          <w:color w:val="000000" w:themeColor="text1"/>
          <w:lang w:val="en-GB"/>
        </w:rPr>
        <w:t xml:space="preserve">UK </w:t>
      </w:r>
      <w:r w:rsidRPr="009C48DA">
        <w:rPr>
          <w:color w:val="000000" w:themeColor="text1"/>
          <w:lang w:val="en-GB"/>
        </w:rPr>
        <w:t xml:space="preserve">Prospectus Regulation. The basis of preparation and significant accounting policies are set out within Notes 1 and 2 of the Historical Financial Information. None of the Historical Financial Information has been audited in accordance with auditing standards generally accepted in the United States </w:t>
      </w:r>
      <w:r w:rsidRPr="009C48DA" w:rsidR="00E15E59">
        <w:rPr>
          <w:color w:val="000000" w:themeColor="text1"/>
          <w:lang w:val="en-GB"/>
        </w:rPr>
        <w:t>(“</w:t>
      </w:r>
      <w:r w:rsidRPr="009C48DA" w:rsidR="00E15E59">
        <w:rPr>
          <w:b/>
          <w:color w:val="000000" w:themeColor="text1"/>
          <w:lang w:val="en-GB"/>
        </w:rPr>
        <w:t>U</w:t>
      </w:r>
      <w:r w:rsidRPr="009C48DA" w:rsidR="003520D4">
        <w:rPr>
          <w:b/>
          <w:color w:val="000000" w:themeColor="text1"/>
          <w:lang w:val="en-GB"/>
        </w:rPr>
        <w:t>.</w:t>
      </w:r>
      <w:r w:rsidRPr="009C48DA" w:rsidR="00E15E59">
        <w:rPr>
          <w:b/>
          <w:color w:val="000000" w:themeColor="text1"/>
          <w:lang w:val="en-GB"/>
        </w:rPr>
        <w:t>S</w:t>
      </w:r>
      <w:r w:rsidRPr="009C48DA" w:rsidR="006B502F">
        <w:rPr>
          <w:b/>
          <w:color w:val="000000" w:themeColor="text1"/>
          <w:lang w:val="en-GB"/>
        </w:rPr>
        <w:t>.</w:t>
      </w:r>
      <w:r w:rsidRPr="009C48DA" w:rsidR="00E15E59">
        <w:rPr>
          <w:b/>
          <w:color w:val="000000" w:themeColor="text1"/>
          <w:lang w:val="en-GB"/>
        </w:rPr>
        <w:t xml:space="preserve"> GAAS</w:t>
      </w:r>
      <w:r w:rsidRPr="009C48DA" w:rsidR="00E15E59">
        <w:rPr>
          <w:color w:val="000000" w:themeColor="text1"/>
          <w:lang w:val="en-GB"/>
        </w:rPr>
        <w:t xml:space="preserve">”) </w:t>
      </w:r>
      <w:r w:rsidRPr="009C48DA">
        <w:rPr>
          <w:color w:val="000000" w:themeColor="text1"/>
          <w:lang w:val="en-GB"/>
        </w:rPr>
        <w:t xml:space="preserve">or auditing standards of the </w:t>
      </w:r>
      <w:r w:rsidRPr="009C48DA" w:rsidR="00E15E59">
        <w:rPr>
          <w:color w:val="000000" w:themeColor="text1"/>
          <w:lang w:val="en-GB"/>
        </w:rPr>
        <w:t xml:space="preserve">United States </w:t>
      </w:r>
      <w:r w:rsidRPr="009C48DA">
        <w:rPr>
          <w:color w:val="000000" w:themeColor="text1"/>
          <w:lang w:val="en-GB"/>
        </w:rPr>
        <w:t>Public Company Accounting Oversight Board</w:t>
      </w:r>
      <w:r w:rsidRPr="009C48DA" w:rsidR="00E15E59">
        <w:rPr>
          <w:color w:val="000000" w:themeColor="text1"/>
          <w:lang w:val="en-GB"/>
        </w:rPr>
        <w:t xml:space="preserve"> (“</w:t>
      </w:r>
      <w:r w:rsidRPr="009C48DA" w:rsidR="00E15E59">
        <w:rPr>
          <w:b/>
          <w:color w:val="000000" w:themeColor="text1"/>
          <w:lang w:val="en-GB"/>
        </w:rPr>
        <w:t>PCAOB</w:t>
      </w:r>
      <w:r w:rsidRPr="009C48DA" w:rsidR="00E15E59">
        <w:rPr>
          <w:color w:val="000000" w:themeColor="text1"/>
          <w:lang w:val="en-GB"/>
        </w:rPr>
        <w:t>”)</w:t>
      </w:r>
      <w:r w:rsidRPr="009C48DA">
        <w:rPr>
          <w:color w:val="000000" w:themeColor="text1"/>
          <w:lang w:val="en-GB"/>
        </w:rPr>
        <w:t>.</w:t>
      </w:r>
      <w:r w:rsidRPr="009C48DA" w:rsidR="00E15E59">
        <w:rPr>
          <w:color w:val="000000" w:themeColor="text1"/>
          <w:lang w:val="en-GB"/>
        </w:rPr>
        <w:t xml:space="preserve"> In addition, there could be other differences between the standards issued by the Auditing Practices Board in the United Kingdom and those required by U</w:t>
      </w:r>
      <w:r w:rsidRPr="009C48DA" w:rsidR="00073CA8">
        <w:rPr>
          <w:color w:val="000000" w:themeColor="text1"/>
          <w:lang w:val="en-GB"/>
        </w:rPr>
        <w:t>.</w:t>
      </w:r>
      <w:r w:rsidRPr="009C48DA" w:rsidR="00E15E59">
        <w:rPr>
          <w:color w:val="000000" w:themeColor="text1"/>
          <w:lang w:val="en-GB"/>
        </w:rPr>
        <w:t>S</w:t>
      </w:r>
      <w:r w:rsidRPr="009C48DA" w:rsidR="00073CA8">
        <w:rPr>
          <w:color w:val="000000" w:themeColor="text1"/>
          <w:lang w:val="en-GB"/>
        </w:rPr>
        <w:t>.</w:t>
      </w:r>
      <w:r w:rsidRPr="009C48DA" w:rsidR="00E15E59">
        <w:rPr>
          <w:color w:val="000000" w:themeColor="text1"/>
          <w:lang w:val="en-GB"/>
        </w:rPr>
        <w:t xml:space="preserve"> GAAS or the auditing standards of the PCAOB. Potential investors should consult their own professional advisers to gain an understanding of the financial information in </w:t>
      </w:r>
      <w:r w:rsidRPr="009C48DA" w:rsidR="00E15E59">
        <w:rPr>
          <w:color w:val="000000" w:themeColor="text1"/>
          <w:lang w:val="en-GB"/>
        </w:rPr>
        <w:fldChar w:fldCharType="begin"/>
      </w:r>
      <w:r w:rsidRPr="009C48DA" w:rsidR="00E15E59">
        <w:rPr>
          <w:color w:val="000000" w:themeColor="text1"/>
          <w:lang w:val="en-GB"/>
        </w:rPr>
        <w:instrText xml:space="preserve"> REF _Ref74460116 \n \h </w:instrText>
      </w:r>
      <w:r w:rsidRPr="009C48DA" w:rsidR="00E15E59">
        <w:rPr>
          <w:color w:val="000000" w:themeColor="text1"/>
          <w:lang w:val="en-GB"/>
        </w:rPr>
      </w:r>
      <w:r w:rsidRPr="009C48DA" w:rsidR="00E15E59">
        <w:rPr>
          <w:color w:val="000000" w:themeColor="text1"/>
          <w:lang w:val="en-GB"/>
        </w:rPr>
        <w:fldChar w:fldCharType="separate"/>
      </w:r>
      <w:r w:rsidR="007C3D19">
        <w:rPr>
          <w:color w:val="000000" w:themeColor="text1"/>
          <w:lang w:val="en-GB"/>
        </w:rPr>
        <w:t>Part B</w:t>
      </w:r>
      <w:r w:rsidRPr="009C48DA" w:rsidR="00E15E59">
        <w:rPr>
          <w:color w:val="000000" w:themeColor="text1"/>
          <w:lang w:val="en-GB"/>
        </w:rPr>
        <w:fldChar w:fldCharType="end"/>
      </w:r>
      <w:r w:rsidRPr="009C48DA" w:rsidR="00E15E59">
        <w:rPr>
          <w:color w:val="000000" w:themeColor="text1"/>
          <w:lang w:val="en-GB"/>
        </w:rPr>
        <w:t xml:space="preserve"> of </w:t>
      </w:r>
      <w:r w:rsidRPr="009C48DA" w:rsidR="00E15E59">
        <w:rPr>
          <w:color w:val="000000" w:themeColor="text1"/>
          <w:lang w:val="en-GB"/>
        </w:rPr>
        <w:fldChar w:fldCharType="begin"/>
      </w:r>
      <w:r w:rsidRPr="009C48DA" w:rsidR="00E15E59">
        <w:rPr>
          <w:color w:val="000000" w:themeColor="text1"/>
          <w:lang w:val="en-GB"/>
        </w:rPr>
        <w:instrText xml:space="preserve"> REF _Ref74460124 \n \h </w:instrText>
      </w:r>
      <w:r w:rsidRPr="009C48DA" w:rsidR="00E15E59">
        <w:rPr>
          <w:color w:val="000000" w:themeColor="text1"/>
          <w:lang w:val="en-GB"/>
        </w:rPr>
      </w:r>
      <w:r w:rsidRPr="009C48DA" w:rsidR="00E15E59">
        <w:rPr>
          <w:color w:val="000000" w:themeColor="text1"/>
          <w:lang w:val="en-GB"/>
        </w:rPr>
        <w:fldChar w:fldCharType="separate"/>
      </w:r>
      <w:r w:rsidR="007C3D19">
        <w:rPr>
          <w:color w:val="000000" w:themeColor="text1"/>
          <w:lang w:val="en-GB"/>
        </w:rPr>
        <w:t>Part X</w:t>
      </w:r>
      <w:r w:rsidRPr="009C48DA" w:rsidR="00E15E59">
        <w:rPr>
          <w:color w:val="000000" w:themeColor="text1"/>
          <w:lang w:val="en-GB"/>
        </w:rPr>
        <w:fldChar w:fldCharType="end"/>
      </w:r>
      <w:r w:rsidRPr="009C48DA" w:rsidR="00E15E59">
        <w:rPr>
          <w:color w:val="000000" w:themeColor="text1"/>
          <w:lang w:val="en-GB"/>
        </w:rPr>
        <w:t xml:space="preserve"> (</w:t>
      </w:r>
      <w:r w:rsidRPr="009C48DA" w:rsidR="00EE57B9">
        <w:rPr>
          <w:rFonts w:eastAsia="Times New Roman" w:cs="Times New Roman"/>
          <w:i/>
          <w:color w:val="000000"/>
          <w:szCs w:val="22"/>
          <w:lang w:val="en-GB"/>
        </w:rPr>
      </w:r>
      <w:r w:rsidRPr="007C3D19" w:rsidR="007C3D19">
        <w:rPr>
          <w:i/>
          <w:lang w:val="en-GB"/>
        </w:rPr>
        <w:t>Historical Financial Information</w:t>
      </w:r>
      <w:r w:rsidRPr="009C48DA" w:rsidR="00E15E59">
        <w:rPr>
          <w:color w:val="000000" w:themeColor="text1"/>
          <w:lang w:val="en-GB"/>
        </w:rPr>
        <w:t>) and the implications of differences between the auditing standards noted herein.</w:t>
      </w:r>
    </w:p>
    <w:p w:rsidRPr="009C48DA" w:rsidR="006D6A27" w:rsidP="00727A72" w:rsidRDefault="006D6A27" w14:paraId="7A05792B" w14:textId="397C2704">
      <w:pPr>
        <w:pStyle w:val="BlockTextSglJ"/>
        <w:ind w:firstLine="709"/>
        <w:rPr>
          <w:rFonts w:eastAsia="Times New Roman" w:cs="Times New Roman"/>
          <w:color w:val="000000"/>
          <w:szCs w:val="22"/>
          <w:lang w:val="en-GB"/>
        </w:rPr>
      </w:pPr>
      <w:r w:rsidRPr="009C48DA">
        <w:rPr>
          <w:color w:val="000000" w:themeColor="text1"/>
          <w:lang w:val="en-GB"/>
        </w:rPr>
        <w:t xml:space="preserve">Unless otherwise specified, the financial information and </w:t>
      </w:r>
      <w:r w:rsidRPr="009C48DA" w:rsidR="00E15E59">
        <w:rPr>
          <w:color w:val="000000" w:themeColor="text1"/>
          <w:lang w:val="en-GB"/>
        </w:rPr>
        <w:t>H</w:t>
      </w:r>
      <w:r w:rsidRPr="009C48DA">
        <w:rPr>
          <w:color w:val="000000" w:themeColor="text1"/>
          <w:lang w:val="en-GB"/>
        </w:rPr>
        <w:t xml:space="preserve">istorical </w:t>
      </w:r>
      <w:r w:rsidRPr="009C48DA" w:rsidR="00E15E59">
        <w:rPr>
          <w:color w:val="000000" w:themeColor="text1"/>
          <w:lang w:val="en-GB"/>
        </w:rPr>
        <w:t>F</w:t>
      </w:r>
      <w:r w:rsidRPr="009C48DA">
        <w:rPr>
          <w:color w:val="000000" w:themeColor="text1"/>
          <w:lang w:val="en-GB"/>
        </w:rPr>
        <w:t xml:space="preserve">inancial </w:t>
      </w:r>
      <w:r w:rsidRPr="009C48DA" w:rsidR="00E15E59">
        <w:rPr>
          <w:color w:val="000000" w:themeColor="text1"/>
          <w:lang w:val="en-GB"/>
        </w:rPr>
        <w:t>I</w:t>
      </w:r>
      <w:r w:rsidRPr="009C48DA">
        <w:rPr>
          <w:color w:val="000000" w:themeColor="text1"/>
          <w:lang w:val="en-GB"/>
        </w:rPr>
        <w:t>nformation included in this Registration Document are presented in pound sterling.</w:t>
      </w:r>
    </w:p>
    <w:p w:rsidRPr="009C48DA" w:rsidR="006D6A27" w:rsidP="000C376E" w:rsidRDefault="006D6A27" w14:paraId="59D07C50" w14:textId="7B54CA4A">
      <w:pPr>
        <w:pStyle w:val="TitleBAllCaps"/>
      </w:pPr>
      <w:r w:rsidRPr="009C48DA">
        <w:t>ALTERNATIVE PERFORMANCE MEASURES</w:t>
      </w:r>
      <w:r w:rsidRPr="009C48DA" w:rsidR="00E15E59">
        <w:t xml:space="preserve"> AND KEY PERFORMANCE INDICATORS</w:t>
      </w:r>
    </w:p>
    <w:p w:rsidRPr="009C48DA" w:rsidR="006D6A27" w:rsidP="006F29D6" w:rsidRDefault="006D6A27" w14:paraId="5323D78D" w14:textId="4DECA4A5">
      <w:pPr>
        <w:pStyle w:val="BlockTextSglJ"/>
        <w:ind w:firstLine="709"/>
        <w:rPr>
          <w:rFonts w:eastAsia="Times New Roman" w:cs="Times New Roman"/>
          <w:color w:val="000000"/>
          <w:lang w:val="en-GB"/>
        </w:rPr>
      </w:pPr>
      <w:r w:rsidRPr="009C48DA">
        <w:rPr>
          <w:lang w:val="en-GB"/>
        </w:rPr>
        <w:t xml:space="preserve">This Registration Document contains financial </w:t>
      </w:r>
      <w:r w:rsidRPr="009C48DA" w:rsidR="00E15E59">
        <w:rPr>
          <w:lang w:val="en-GB"/>
        </w:rPr>
        <w:t xml:space="preserve">and operating </w:t>
      </w:r>
      <w:r w:rsidRPr="009C48DA">
        <w:rPr>
          <w:lang w:val="en-GB"/>
        </w:rPr>
        <w:t xml:space="preserve">measures that are not defined or recognised under IFRS or UK GAAP, including financial </w:t>
      </w:r>
      <w:r w:rsidRPr="009C48DA" w:rsidR="00E15E59">
        <w:rPr>
          <w:lang w:val="en-GB"/>
        </w:rPr>
        <w:t xml:space="preserve">and operating </w:t>
      </w:r>
      <w:r w:rsidRPr="009C48DA">
        <w:rPr>
          <w:lang w:val="en-GB"/>
        </w:rPr>
        <w:t xml:space="preserve">measures relating to the Group such as </w:t>
      </w:r>
      <w:r w:rsidRPr="009C48DA" w:rsidR="000D6A7E">
        <w:rPr>
          <w:lang w:val="en-GB"/>
        </w:rPr>
        <w:t xml:space="preserve">EBITDA, </w:t>
      </w:r>
      <w:r w:rsidRPr="009C48DA" w:rsidR="00E15E59">
        <w:rPr>
          <w:lang w:val="en-GB"/>
        </w:rPr>
        <w:t xml:space="preserve">Underlying </w:t>
      </w:r>
      <w:r w:rsidRPr="009C48DA" w:rsidR="000A69FB">
        <w:rPr>
          <w:lang w:val="en-GB"/>
        </w:rPr>
        <w:t xml:space="preserve">EBITDA, Underlying EBITDA Margin, Underlying </w:t>
      </w:r>
      <w:r w:rsidRPr="009C48DA" w:rsidR="00E15E59">
        <w:rPr>
          <w:lang w:val="en-GB"/>
        </w:rPr>
        <w:t>FRE, Underlying FRE Margin, Total AUM</w:t>
      </w:r>
      <w:r w:rsidRPr="009C48DA" w:rsidR="000A69FB">
        <w:rPr>
          <w:lang w:val="en-GB"/>
        </w:rPr>
        <w:t xml:space="preserve"> and</w:t>
      </w:r>
      <w:r w:rsidRPr="009C48DA" w:rsidR="00B41930">
        <w:rPr>
          <w:lang w:val="en-GB"/>
        </w:rPr>
        <w:t xml:space="preserve"> </w:t>
      </w:r>
      <w:r w:rsidRPr="009C48DA" w:rsidR="00E15E59">
        <w:rPr>
          <w:lang w:val="en-GB"/>
        </w:rPr>
        <w:t>AUM</w:t>
      </w:r>
      <w:r w:rsidRPr="009C48DA">
        <w:rPr>
          <w:rFonts w:eastAsia="Times New Roman" w:cs="Times New Roman"/>
          <w:color w:val="000000"/>
          <w:lang w:val="en-GB"/>
        </w:rPr>
        <w:t xml:space="preserve">, </w:t>
      </w:r>
      <w:r w:rsidRPr="009C48DA">
        <w:rPr>
          <w:lang w:val="en-GB"/>
        </w:rPr>
        <w:t>all of which the Company considers to be alternative performance measures (“</w:t>
      </w:r>
      <w:r w:rsidRPr="009C48DA">
        <w:rPr>
          <w:b/>
          <w:lang w:val="en-GB"/>
        </w:rPr>
        <w:t>APMs</w:t>
      </w:r>
      <w:r w:rsidRPr="009C48DA">
        <w:rPr>
          <w:lang w:val="en-GB"/>
        </w:rPr>
        <w:t>”)</w:t>
      </w:r>
      <w:r w:rsidRPr="009C48DA" w:rsidR="00E15E59">
        <w:rPr>
          <w:lang w:val="en-GB"/>
        </w:rPr>
        <w:t xml:space="preserve"> or key performance indicators (“</w:t>
      </w:r>
      <w:r w:rsidRPr="009C48DA" w:rsidR="00E15E59">
        <w:rPr>
          <w:b/>
          <w:lang w:val="en-GB"/>
        </w:rPr>
        <w:t>KPIs</w:t>
      </w:r>
      <w:r w:rsidRPr="009C48DA" w:rsidR="00E15E59">
        <w:rPr>
          <w:lang w:val="en-GB"/>
        </w:rPr>
        <w:t>”)</w:t>
      </w:r>
      <w:r w:rsidRPr="009C48DA">
        <w:rPr>
          <w:lang w:val="en-GB"/>
        </w:rPr>
        <w:t>.</w:t>
      </w:r>
      <w:r w:rsidRPr="009C48DA">
        <w:rPr>
          <w:rFonts w:eastAsia="Times New Roman" w:cs="Times New Roman"/>
          <w:color w:val="000000"/>
          <w:lang w:val="en-GB"/>
        </w:rPr>
        <w:t xml:space="preserve"> </w:t>
      </w:r>
    </w:p>
    <w:p w:rsidRPr="009C48DA" w:rsidR="006D6A27" w:rsidP="006F29D6" w:rsidRDefault="006D6A27" w14:paraId="7D38387D" w14:textId="6EB81BF1">
      <w:pPr>
        <w:pStyle w:val="BlockTextSglJ"/>
        <w:ind w:firstLine="709"/>
        <w:rPr>
          <w:lang w:val="en-GB"/>
        </w:rPr>
      </w:pPr>
      <w:r w:rsidRPr="009C48DA">
        <w:rPr>
          <w:lang w:val="en-GB"/>
        </w:rPr>
        <w:t xml:space="preserve">These APMs </w:t>
      </w:r>
      <w:r w:rsidRPr="009C48DA" w:rsidR="00E15E59">
        <w:rPr>
          <w:lang w:val="en-GB"/>
        </w:rPr>
        <w:t xml:space="preserve">and KPIs </w:t>
      </w:r>
      <w:r w:rsidRPr="009C48DA">
        <w:rPr>
          <w:lang w:val="en-GB"/>
        </w:rPr>
        <w:t>are used by the Directors and management to analyse the business and financial performance, track the Group’s</w:t>
      </w:r>
      <w:r w:rsidRPr="009C48DA" w:rsidR="00461973">
        <w:rPr>
          <w:lang w:val="en-GB"/>
        </w:rPr>
        <w:t xml:space="preserve"> progress and help develop long-</w:t>
      </w:r>
      <w:r w:rsidRPr="009C48DA">
        <w:rPr>
          <w:lang w:val="en-GB"/>
        </w:rPr>
        <w:t xml:space="preserve">term strategic plans. The Directors present these APMs to provide additional information to investors and enhance their understanding of the Group’s results of operations. Furthermore, the Directors believe that these APMs </w:t>
      </w:r>
      <w:r w:rsidRPr="009C48DA" w:rsidR="00E15E59">
        <w:rPr>
          <w:lang w:val="en-GB"/>
        </w:rPr>
        <w:t xml:space="preserve">and KPIs </w:t>
      </w:r>
      <w:r w:rsidRPr="009C48DA">
        <w:rPr>
          <w:lang w:val="en-GB"/>
        </w:rPr>
        <w:t xml:space="preserve">are widely used by certain investors, securities analysts and other interested parties as supplemental measures of performance and liquidity. </w:t>
      </w:r>
      <w:r w:rsidRPr="009C48DA" w:rsidR="00E15E59">
        <w:rPr>
          <w:lang w:val="en-GB"/>
        </w:rPr>
        <w:t>However, as these measures are not det</w:t>
      </w:r>
      <w:r w:rsidRPr="009C48DA" w:rsidR="00191222">
        <w:rPr>
          <w:lang w:val="en-GB"/>
        </w:rPr>
        <w:t xml:space="preserve">ermined in accordance with IFRS, </w:t>
      </w:r>
      <w:r w:rsidRPr="009C48DA" w:rsidR="00E15E59">
        <w:rPr>
          <w:lang w:val="en-GB"/>
        </w:rPr>
        <w:t>UK GAAP</w:t>
      </w:r>
      <w:r w:rsidRPr="009C48DA" w:rsidR="00191222">
        <w:rPr>
          <w:lang w:val="en-GB"/>
        </w:rPr>
        <w:t xml:space="preserve"> or any generally accepted accounting standards</w:t>
      </w:r>
      <w:r w:rsidRPr="009C48DA" w:rsidR="00E15E59">
        <w:rPr>
          <w:lang w:val="en-GB"/>
        </w:rPr>
        <w:t>, and are thus susceptible to varying calculations, they may not be comparable to other similarly titled measures used by other companies and have limitations as analytical tools. In particular, there are no generally accepted principles governing the calculation of these measures and the criteria upon which these measures are based can vary from company to company, which means that other companies may define and calculate such measures differently from the Group.</w:t>
      </w:r>
    </w:p>
    <w:p w:rsidRPr="009C48DA" w:rsidR="006D6A27" w:rsidP="006F29D6" w:rsidRDefault="006D6A27" w14:paraId="70DC1F86" w14:textId="0F6F808C">
      <w:pPr>
        <w:pStyle w:val="BlockTextSglJ"/>
        <w:ind w:firstLine="709"/>
        <w:rPr>
          <w:lang w:val="en-GB"/>
        </w:rPr>
      </w:pPr>
      <w:r w:rsidRPr="009C48DA">
        <w:rPr>
          <w:lang w:val="en-GB"/>
        </w:rPr>
        <w:t xml:space="preserve">APMs should not be considered in isolation and investors should not consider such information as alternatives to </w:t>
      </w:r>
      <w:r w:rsidRPr="009C48DA" w:rsidR="00E15E59">
        <w:rPr>
          <w:lang w:val="en-GB"/>
        </w:rPr>
        <w:t>total operating income</w:t>
      </w:r>
      <w:r w:rsidRPr="009C48DA">
        <w:rPr>
          <w:lang w:val="en-GB"/>
        </w:rPr>
        <w:t>, profit</w:t>
      </w:r>
      <w:r w:rsidRPr="009C48DA" w:rsidR="007F0DBD">
        <w:rPr>
          <w:lang w:val="en-GB"/>
        </w:rPr>
        <w:t xml:space="preserve"> </w:t>
      </w:r>
      <w:r w:rsidRPr="009C48DA" w:rsidR="00E15E59">
        <w:rPr>
          <w:lang w:val="en-GB"/>
        </w:rPr>
        <w:t>/</w:t>
      </w:r>
      <w:r w:rsidRPr="009C48DA" w:rsidR="007F0DBD">
        <w:rPr>
          <w:lang w:val="en-GB"/>
        </w:rPr>
        <w:t xml:space="preserve"> </w:t>
      </w:r>
      <w:r w:rsidRPr="009C48DA" w:rsidR="00E15E59">
        <w:rPr>
          <w:lang w:val="en-GB"/>
        </w:rPr>
        <w:t>(loss)</w:t>
      </w:r>
      <w:r w:rsidRPr="009C48DA">
        <w:rPr>
          <w:lang w:val="en-GB"/>
        </w:rPr>
        <w:t xml:space="preserve"> before tax or cash flow</w:t>
      </w:r>
      <w:r w:rsidRPr="009C48DA" w:rsidR="00FD4F0E">
        <w:rPr>
          <w:lang w:val="en-GB"/>
        </w:rPr>
        <w:t>s</w:t>
      </w:r>
      <w:r w:rsidRPr="009C48DA">
        <w:rPr>
          <w:lang w:val="en-GB"/>
        </w:rPr>
        <w:t xml:space="preserve"> from operating activities calculated in accordance with IFRS, as indications of operating performance or as measures of the Group’s profitability or liquidity. Such financial information must be considered only in addition to, and not as a substitute for or superior to, financial information prepared in accordance with IFRS included elsewhere in this Registration Document. APMs </w:t>
      </w:r>
      <w:r w:rsidRPr="009C48DA" w:rsidR="00E15E59">
        <w:rPr>
          <w:lang w:val="en-GB"/>
        </w:rPr>
        <w:t xml:space="preserve">and KPIs </w:t>
      </w:r>
      <w:r w:rsidRPr="009C48DA">
        <w:rPr>
          <w:lang w:val="en-GB"/>
        </w:rPr>
        <w:t xml:space="preserve">are non-IFRS financial </w:t>
      </w:r>
      <w:r w:rsidRPr="009C48DA" w:rsidR="00E15E59">
        <w:rPr>
          <w:lang w:val="en-GB"/>
        </w:rPr>
        <w:t xml:space="preserve">or operating </w:t>
      </w:r>
      <w:r w:rsidRPr="009C48DA">
        <w:rPr>
          <w:lang w:val="en-GB"/>
        </w:rPr>
        <w:t xml:space="preserve">measures and have not been audited or reviewed. </w:t>
      </w:r>
      <w:r w:rsidRPr="009C48DA" w:rsidR="00E15E59">
        <w:rPr>
          <w:lang w:val="en-GB"/>
        </w:rPr>
        <w:t xml:space="preserve">These APMs and KPIs have also not been prepared in accordance with the requirements of Regulation S-X of the U.S. Securities Act, the </w:t>
      </w:r>
      <w:r w:rsidRPr="009C48DA" w:rsidR="007A03DC">
        <w:rPr>
          <w:lang w:val="en-GB"/>
        </w:rPr>
        <w:t xml:space="preserve">UK </w:t>
      </w:r>
      <w:r w:rsidRPr="009C48DA" w:rsidR="00E15E59">
        <w:rPr>
          <w:lang w:val="en-GB"/>
        </w:rPr>
        <w:t>Prospectus Regulation</w:t>
      </w:r>
      <w:r w:rsidRPr="009C48DA" w:rsidR="00191222">
        <w:rPr>
          <w:lang w:val="en-GB"/>
        </w:rPr>
        <w:t>, IFRS, UK GAAP</w:t>
      </w:r>
      <w:r w:rsidRPr="009C48DA" w:rsidR="00E15E59">
        <w:rPr>
          <w:lang w:val="en-GB"/>
        </w:rPr>
        <w:t xml:space="preserve"> or any generally accepted accounting standards. </w:t>
      </w:r>
      <w:r w:rsidRPr="009C48DA">
        <w:rPr>
          <w:lang w:val="en-GB"/>
        </w:rPr>
        <w:t xml:space="preserve">Investors are cautioned not to place undue reliance on these APMs and </w:t>
      </w:r>
      <w:r w:rsidRPr="009C48DA" w:rsidR="00E15E59">
        <w:rPr>
          <w:lang w:val="en-GB"/>
        </w:rPr>
        <w:t xml:space="preserve">KPIs and </w:t>
      </w:r>
      <w:r w:rsidRPr="009C48DA">
        <w:rPr>
          <w:lang w:val="en-GB"/>
        </w:rPr>
        <w:t xml:space="preserve">are also advised to review them in conjunction with the </w:t>
      </w:r>
      <w:r w:rsidRPr="009C48DA" w:rsidR="00E15E59">
        <w:rPr>
          <w:lang w:val="en-GB"/>
        </w:rPr>
        <w:t>H</w:t>
      </w:r>
      <w:r w:rsidRPr="009C48DA">
        <w:rPr>
          <w:lang w:val="en-GB"/>
        </w:rPr>
        <w:t xml:space="preserve">istorical </w:t>
      </w:r>
      <w:r w:rsidRPr="009C48DA" w:rsidR="00E15E59">
        <w:rPr>
          <w:lang w:val="en-GB"/>
        </w:rPr>
        <w:t>F</w:t>
      </w:r>
      <w:r w:rsidRPr="009C48DA">
        <w:rPr>
          <w:lang w:val="en-GB"/>
        </w:rPr>
        <w:t xml:space="preserve">inancial </w:t>
      </w:r>
      <w:r w:rsidRPr="009C48DA" w:rsidR="00E15E59">
        <w:rPr>
          <w:lang w:val="en-GB"/>
        </w:rPr>
        <w:t>I</w:t>
      </w:r>
      <w:r w:rsidRPr="009C48DA">
        <w:rPr>
          <w:lang w:val="en-GB"/>
        </w:rPr>
        <w:t xml:space="preserve">nformation in </w:t>
      </w:r>
      <w:r w:rsidRPr="009C48DA">
        <w:rPr>
          <w:lang w:val="en-GB"/>
        </w:rPr>
        <w:fldChar w:fldCharType="begin"/>
      </w:r>
      <w:r w:rsidRPr="009C48DA">
        <w:rPr>
          <w:lang w:val="en-GB"/>
        </w:rPr>
        <w:instrText xml:space="preserve"> REF _Ref69831790 \n \h </w:instrText>
      </w:r>
      <w:r w:rsidRPr="009C48DA" w:rsidR="00513F0A">
        <w:rPr>
          <w:lang w:val="en-GB"/>
        </w:rPr>
        <w:instrText xml:space="preserve"> \* MERGEFORMAT </w:instrText>
      </w:r>
      <w:r w:rsidRPr="009C48DA">
        <w:rPr>
          <w:lang w:val="en-GB"/>
        </w:rPr>
      </w:r>
      <w:r w:rsidRPr="009C48DA">
        <w:rPr>
          <w:lang w:val="en-GB"/>
        </w:rPr>
        <w:fldChar w:fldCharType="separate"/>
      </w:r>
      <w:r w:rsidR="007C3D19">
        <w:rPr>
          <w:lang w:val="en-GB"/>
        </w:rPr>
        <w:t>Part B</w:t>
      </w:r>
      <w:r w:rsidRPr="009C48DA">
        <w:rPr>
          <w:lang w:val="en-GB"/>
        </w:rPr>
        <w:fldChar w:fldCharType="end"/>
      </w:r>
      <w:r w:rsidRPr="009C48DA">
        <w:rPr>
          <w:lang w:val="en-GB"/>
        </w:rPr>
        <w:t xml:space="preserve"> of </w:t>
      </w:r>
      <w:r w:rsidRPr="009C48DA">
        <w:rPr>
          <w:lang w:val="en-GB"/>
        </w:rPr>
        <w:fldChar w:fldCharType="begin"/>
      </w:r>
      <w:r w:rsidRPr="009C48DA">
        <w:rPr>
          <w:lang w:val="en-GB"/>
        </w:rPr>
        <w:instrText xml:space="preserve"> REF _Ref69831818 \n \h </w:instrText>
      </w:r>
      <w:r w:rsidRPr="009C48DA" w:rsidR="00513F0A">
        <w:rPr>
          <w:lang w:val="en-GB"/>
        </w:rPr>
        <w:instrText xml:space="preserve"> \* MERGEFORMAT </w:instrText>
      </w:r>
      <w:r w:rsidRPr="009C48DA">
        <w:rPr>
          <w:lang w:val="en-GB"/>
        </w:rPr>
      </w:r>
      <w:r w:rsidRPr="009C48DA">
        <w:rPr>
          <w:lang w:val="en-GB"/>
        </w:rPr>
        <w:fldChar w:fldCharType="separate"/>
      </w:r>
      <w:r w:rsidR="007C3D19">
        <w:rPr>
          <w:lang w:val="en-GB"/>
        </w:rPr>
        <w:t>Part X</w:t>
      </w:r>
      <w:r w:rsidRPr="009C48DA">
        <w:rPr>
          <w:lang w:val="en-GB"/>
        </w:rPr>
        <w:fldChar w:fldCharType="end"/>
      </w:r>
      <w:r w:rsidRPr="009C48DA">
        <w:rPr>
          <w:lang w:val="en-GB"/>
        </w:rPr>
        <w:t xml:space="preserve"> (</w:t>
      </w:r>
      <w:r w:rsidRPr="009C48DA" w:rsidR="00EE57B9">
        <w:rPr>
          <w:rFonts w:eastAsia="Times New Roman" w:cs="Times New Roman"/>
          <w:i/>
          <w:color w:val="000000"/>
          <w:szCs w:val="22"/>
          <w:lang w:val="en-GB"/>
        </w:rPr>
      </w:r>
      <w:r w:rsidRPr="007C3D19" w:rsidR="007C3D19">
        <w:rPr>
          <w:i/>
          <w:lang w:val="en-GB"/>
        </w:rPr>
        <w:t>Historical Financial Information</w:t>
      </w:r>
      <w:r w:rsidRPr="009C48DA" w:rsidR="00C13C31">
        <w:rPr>
          <w:lang w:val="en-GB"/>
        </w:rPr>
        <w:t>)</w:t>
      </w:r>
      <w:r w:rsidRPr="009C48DA">
        <w:rPr>
          <w:lang w:val="en-GB"/>
        </w:rPr>
        <w:t xml:space="preserve">. </w:t>
      </w:r>
    </w:p>
    <w:p w:rsidRPr="009C48DA" w:rsidR="006D6A27" w:rsidP="006E3BE7" w:rsidRDefault="006D6A27" w14:paraId="47B24B4B" w14:textId="6B80DF4F">
      <w:pPr>
        <w:pStyle w:val="BlockTextSglJ"/>
        <w:ind w:firstLine="720"/>
        <w:rPr>
          <w:lang w:val="en-GB"/>
        </w:rPr>
      </w:pPr>
      <w:r w:rsidRPr="009C48DA">
        <w:rPr>
          <w:lang w:val="en-GB"/>
        </w:rPr>
        <w:t xml:space="preserve">For the definition of </w:t>
      </w:r>
      <w:r w:rsidRPr="009C48DA" w:rsidR="00E15E59">
        <w:rPr>
          <w:lang w:val="en-GB"/>
        </w:rPr>
        <w:t xml:space="preserve">the APMs and KPIs included in this Registration Document </w:t>
      </w:r>
      <w:r w:rsidRPr="009C48DA">
        <w:rPr>
          <w:lang w:val="en-GB"/>
        </w:rPr>
        <w:t xml:space="preserve">and a reconciliation </w:t>
      </w:r>
      <w:r w:rsidRPr="009C48DA" w:rsidR="00E15E59">
        <w:rPr>
          <w:lang w:val="en-GB"/>
        </w:rPr>
        <w:t xml:space="preserve">of financial APMs </w:t>
      </w:r>
      <w:r w:rsidRPr="009C48DA">
        <w:rPr>
          <w:lang w:val="en-GB"/>
        </w:rPr>
        <w:t>to an appropriate measure calculated in accordance with IFRS, see the section headed “</w:t>
      </w:r>
      <w:r w:rsidRPr="009C48DA">
        <w:rPr>
          <w:i/>
          <w:lang w:val="en-GB"/>
        </w:rPr>
        <w:t>Alternative Performance Measures</w:t>
      </w:r>
      <w:r w:rsidRPr="009C48DA" w:rsidR="00E15E59">
        <w:rPr>
          <w:i/>
          <w:lang w:val="en-GB"/>
        </w:rPr>
        <w:t xml:space="preserve"> and Key Performance Indicators</w:t>
      </w:r>
      <w:r w:rsidRPr="009C48DA">
        <w:rPr>
          <w:lang w:val="en-GB"/>
        </w:rPr>
        <w:t xml:space="preserve">” in </w:t>
      </w:r>
      <w:r w:rsidRPr="009C48DA" w:rsidR="004A6AB8">
        <w:rPr>
          <w:lang w:val="en-GB"/>
        </w:rPr>
        <w:fldChar w:fldCharType="begin"/>
      </w:r>
      <w:r w:rsidRPr="009C48DA" w:rsidR="004A6AB8">
        <w:rPr>
          <w:lang w:val="en-GB"/>
        </w:rPr>
        <w:instrText xml:space="preserve"> REF _Ref74476394 \w \h </w:instrText>
      </w:r>
      <w:r w:rsidRPr="009C48DA" w:rsidR="004A6AB8">
        <w:rPr>
          <w:lang w:val="en-GB"/>
        </w:rPr>
      </w:r>
      <w:r w:rsidRPr="009C48DA" w:rsidR="004A6AB8">
        <w:rPr>
          <w:lang w:val="en-GB"/>
        </w:rPr>
        <w:fldChar w:fldCharType="separate"/>
      </w:r>
      <w:r w:rsidR="007C3D19">
        <w:rPr>
          <w:lang w:val="en-GB"/>
        </w:rPr>
        <w:t>Part IX</w:t>
      </w:r>
      <w:r w:rsidRPr="009C48DA" w:rsidR="004A6AB8">
        <w:rPr>
          <w:lang w:val="en-GB"/>
        </w:rPr>
        <w:fldChar w:fldCharType="end"/>
      </w:r>
      <w:r w:rsidRPr="009C48DA" w:rsidR="004A6AB8">
        <w:rPr>
          <w:lang w:val="en-GB"/>
        </w:rPr>
        <w:t xml:space="preserve"> (</w:t>
      </w:r>
      <w:r w:rsidRPr="009C48DA" w:rsidR="004A6AB8">
        <w:rPr>
          <w:i/>
          <w:lang w:val="en-GB"/>
        </w:rPr>
        <w:fldChar w:fldCharType="begin"/>
      </w:r>
      <w:r w:rsidRPr="009C48DA" w:rsidR="004A6AB8">
        <w:rPr>
          <w:i/>
          <w:lang w:val="en-GB"/>
        </w:rPr>
        <w:instrText xml:space="preserve"> REF _Ref75191226 \h  \* MERGEFORMAT </w:instrText>
      </w:r>
      <w:r w:rsidRPr="009C48DA" w:rsidR="004A6AB8">
        <w:rPr>
          <w:i/>
          <w:lang w:val="en-GB"/>
        </w:rPr>
      </w:r>
      <w:r w:rsidRPr="009C48DA" w:rsidR="004A6AB8">
        <w:rPr>
          <w:i/>
          <w:lang w:val="en-GB"/>
        </w:rPr>
        <w:fldChar w:fldCharType="separate"/>
      </w:r>
      <w:r w:rsidRPr="007C3D19" w:rsidR="007C3D19">
        <w:rPr>
          <w:i/>
          <w:lang w:val="en-GB"/>
        </w:rPr>
        <w:t>Operating and Financial Review</w:t>
      </w:r>
      <w:r w:rsidRPr="009C48DA" w:rsidR="004A6AB8">
        <w:rPr>
          <w:i/>
          <w:lang w:val="en-GB"/>
        </w:rPr>
        <w:fldChar w:fldCharType="end"/>
      </w:r>
      <w:r w:rsidRPr="009C48DA" w:rsidR="004A6AB8">
        <w:rPr>
          <w:lang w:val="en-GB"/>
        </w:rPr>
        <w:t>).</w:t>
      </w:r>
    </w:p>
    <w:p w:rsidRPr="009C48DA" w:rsidR="006D6A27" w:rsidP="000C376E" w:rsidRDefault="006D6A27" w14:paraId="1DFF6094" w14:textId="77777777">
      <w:pPr>
        <w:pStyle w:val="TitleBAllCaps"/>
      </w:pPr>
      <w:r w:rsidRPr="009C48DA">
        <w:lastRenderedPageBreak/>
        <w:t>ROUNDING</w:t>
      </w:r>
    </w:p>
    <w:p w:rsidRPr="009C48DA" w:rsidR="006D6A27" w:rsidP="00B8430B" w:rsidRDefault="006D6A27" w14:paraId="2A653E74" w14:textId="67ED100C">
      <w:pPr>
        <w:pStyle w:val="BodyText2SglJ"/>
        <w:rPr>
          <w:rFonts w:eastAsia="Times New Roman" w:cs="Times New Roman"/>
          <w:color w:val="000000"/>
          <w:lang w:val="en-GB"/>
        </w:rPr>
      </w:pPr>
      <w:r w:rsidRPr="009C48DA">
        <w:rPr>
          <w:rFonts w:cs="Times New Roman"/>
          <w:szCs w:val="22"/>
          <w:lang w:val="en-GB"/>
        </w:rPr>
        <w:t xml:space="preserve">Certain numerical figures included in this Registration Document have been rounded. Discrepancies in tables </w:t>
      </w:r>
      <w:r w:rsidRPr="009C48DA">
        <w:rPr>
          <w:lang w:val="en-GB"/>
        </w:rPr>
        <w:t>between</w:t>
      </w:r>
      <w:r w:rsidRPr="009C48DA">
        <w:rPr>
          <w:rFonts w:cs="Times New Roman"/>
          <w:szCs w:val="22"/>
          <w:lang w:val="en-GB"/>
        </w:rPr>
        <w:t xml:space="preserve"> totals and the sums of the amounts listed may occur due to such rounding. In addition, percentages in tables have been rounded and ac</w:t>
      </w:r>
      <w:r w:rsidRPr="009C48DA" w:rsidR="00917735">
        <w:rPr>
          <w:rFonts w:cs="Times New Roman"/>
          <w:szCs w:val="22"/>
          <w:lang w:val="en-GB"/>
        </w:rPr>
        <w:t>cordingly may not add up to 100 per cent</w:t>
      </w:r>
      <w:r w:rsidRPr="009C48DA">
        <w:rPr>
          <w:rFonts w:cs="Times New Roman"/>
          <w:szCs w:val="22"/>
          <w:lang w:val="en-GB"/>
        </w:rPr>
        <w:t>.</w:t>
      </w:r>
    </w:p>
    <w:p w:rsidRPr="009C48DA" w:rsidR="006D6A27" w:rsidP="000C376E" w:rsidRDefault="006D6A27" w14:paraId="34BCF136" w14:textId="3A854E3F">
      <w:pPr>
        <w:pStyle w:val="TitleBAllCaps"/>
      </w:pPr>
      <w:r w:rsidRPr="009C48DA">
        <w:t>MARKET AND INDUSTRY DATA</w:t>
      </w:r>
    </w:p>
    <w:p w:rsidRPr="009C48DA" w:rsidR="006D6A27" w:rsidP="007076EF" w:rsidRDefault="006D6A27" w14:paraId="54F43D6C" w14:textId="3B6AE709">
      <w:pPr>
        <w:pStyle w:val="BodyText2SglJ"/>
        <w:rPr>
          <w:lang w:val="en-GB"/>
        </w:rPr>
      </w:pPr>
      <w:r w:rsidRPr="009C48DA">
        <w:rPr>
          <w:lang w:val="en-GB"/>
        </w:rPr>
        <w:t xml:space="preserve">Unless the source is otherwise stated, the information contained in this Registration Document related to markets, market sizes, market shares, market positions, </w:t>
      </w:r>
      <w:r w:rsidRPr="009C48DA" w:rsidR="008651BF">
        <w:rPr>
          <w:lang w:val="en-GB"/>
        </w:rPr>
        <w:t xml:space="preserve">and </w:t>
      </w:r>
      <w:r w:rsidRPr="009C48DA">
        <w:rPr>
          <w:lang w:val="en-GB"/>
        </w:rPr>
        <w:t>economic and industry data constitute the Directors’ estimates, using underlying data from independent third parties. The Company obtained market data and certain industry forecasts used in this Registration Document from internal surveys, reports and studies, where appropriate, as well as market research, publicly available information and industry publications, including pub</w:t>
      </w:r>
      <w:r w:rsidRPr="009C48DA" w:rsidR="00EB72E5">
        <w:rPr>
          <w:lang w:val="en-GB"/>
        </w:rPr>
        <w:t xml:space="preserve">lications and data compiled by </w:t>
      </w:r>
      <w:r w:rsidRPr="009C48DA">
        <w:rPr>
          <w:lang w:val="en-GB"/>
        </w:rPr>
        <w:t xml:space="preserve">PricewaterhouseCoopers LLP, </w:t>
      </w:r>
      <w:r w:rsidRPr="009C48DA" w:rsidR="00C21D3F">
        <w:rPr>
          <w:lang w:val="en-GB"/>
        </w:rPr>
        <w:t xml:space="preserve">Cambridge Associates, Coller Capital, Hamilton Lane, </w:t>
      </w:r>
      <w:r w:rsidRPr="009C48DA">
        <w:rPr>
          <w:lang w:val="en-GB"/>
        </w:rPr>
        <w:t>Pitchbook Data, Inc., Preqin Ltd., The PEW Charitable Trusts 2020, Private Equity International</w:t>
      </w:r>
      <w:r w:rsidRPr="009C48DA" w:rsidR="00CE4A5B">
        <w:rPr>
          <w:lang w:val="en-GB"/>
        </w:rPr>
        <w:t>, Orbis Europe</w:t>
      </w:r>
      <w:r w:rsidRPr="009C48DA" w:rsidR="002C11F7">
        <w:rPr>
          <w:lang w:val="en-GB"/>
        </w:rPr>
        <w:t>, International Monetary Fund, Euromonitor International,</w:t>
      </w:r>
      <w:r w:rsidRPr="009C48DA">
        <w:rPr>
          <w:lang w:val="en-GB"/>
        </w:rPr>
        <w:t xml:space="preserve"> </w:t>
      </w:r>
      <w:r w:rsidRPr="009C48DA" w:rsidR="002C11F7">
        <w:rPr>
          <w:lang w:val="en-GB"/>
        </w:rPr>
        <w:t>United Nations, Department of Economics and Social Affairs, Population Division 2019, Unquote by Merg</w:t>
      </w:r>
      <w:r w:rsidRPr="009C48DA" w:rsidR="00CC7216">
        <w:rPr>
          <w:lang w:val="en-GB"/>
        </w:rPr>
        <w:t xml:space="preserve">erMarket, J.P. Morgan Research and </w:t>
      </w:r>
      <w:r w:rsidRPr="009C48DA" w:rsidR="002C11F7">
        <w:rPr>
          <w:lang w:val="en-GB"/>
        </w:rPr>
        <w:t>CapIQ</w:t>
      </w:r>
      <w:r w:rsidRPr="009C48DA" w:rsidR="00CC7216">
        <w:rPr>
          <w:lang w:val="en-GB"/>
        </w:rPr>
        <w:t>.</w:t>
      </w:r>
    </w:p>
    <w:p w:rsidRPr="009C48DA" w:rsidR="006D6A27" w:rsidP="007076EF" w:rsidRDefault="006D6A27" w14:paraId="38E52D21" w14:textId="28F6CD19">
      <w:pPr>
        <w:pStyle w:val="BodyText2SglJ"/>
        <w:rPr>
          <w:lang w:val="en-GB"/>
        </w:rPr>
      </w:pPr>
      <w:r w:rsidRPr="009C48DA">
        <w:rPr>
          <w:lang w:val="en-GB"/>
        </w:rPr>
        <w:t>The Company confirms that all third-party data contained in this Registration Document has been accurately reproduced and, so far as the Company is aware and able to ascertain from information published by that third party, no facts have been omitted that would render the reproduced information inaccurate or misleading. While the Directors believe the third-party information included herein to be reliable, the Company has not independently verified such third-party information, and the Company makes no representation or warranty as to the accuracy or completeness of such information as set forth</w:t>
      </w:r>
      <w:r w:rsidRPr="009C48DA" w:rsidR="00843E7C">
        <w:rPr>
          <w:lang w:val="en-GB"/>
        </w:rPr>
        <w:t xml:space="preserve"> in this Registration Document.</w:t>
      </w:r>
    </w:p>
    <w:p w:rsidRPr="009C48DA" w:rsidR="006D6A27" w:rsidP="007076EF" w:rsidRDefault="006D6A27" w14:paraId="43477A5B" w14:textId="5A78454E">
      <w:pPr>
        <w:pStyle w:val="BodyText2SglJ"/>
        <w:rPr>
          <w:lang w:val="en-GB"/>
        </w:rPr>
      </w:pPr>
      <w:r w:rsidRPr="009C48DA">
        <w:rPr>
          <w:lang w:val="en-GB"/>
        </w:rPr>
        <w:t>Where third-party information has been used in this Registration Document, the source of such information has been identified.</w:t>
      </w:r>
    </w:p>
    <w:p w:rsidRPr="009C48DA" w:rsidR="006D6A27" w:rsidP="000C376E" w:rsidRDefault="006D6A27" w14:paraId="282DD4D2" w14:textId="533A17B5">
      <w:pPr>
        <w:pStyle w:val="TitleBAllCaps"/>
      </w:pPr>
      <w:r w:rsidRPr="009C48DA">
        <w:t>CURRENCY INFORMATION</w:t>
      </w:r>
    </w:p>
    <w:p w:rsidRPr="009C48DA" w:rsidR="006D6A27" w:rsidP="005B6132" w:rsidRDefault="006D6A27" w14:paraId="014A3504" w14:textId="5848F7D5">
      <w:pPr>
        <w:pStyle w:val="BodyText2SglJ"/>
        <w:rPr>
          <w:lang w:val="en-GB"/>
        </w:rPr>
      </w:pPr>
      <w:r w:rsidRPr="009C48DA">
        <w:rPr>
          <w:lang w:val="en-GB"/>
        </w:rPr>
        <w:t xml:space="preserve">Unless otherwise indicated, references in this Registration Document to “pound sterling” or “£” are to the lawful currency of the </w:t>
      </w:r>
      <w:r w:rsidRPr="009C48DA" w:rsidR="00BB7DE8">
        <w:rPr>
          <w:lang w:val="en-GB"/>
        </w:rPr>
        <w:t>UK</w:t>
      </w:r>
      <w:r w:rsidRPr="009C48DA">
        <w:rPr>
          <w:lang w:val="en-GB"/>
        </w:rPr>
        <w:t>.</w:t>
      </w:r>
    </w:p>
    <w:p w:rsidRPr="009C48DA" w:rsidR="006D6A27" w:rsidP="0033221A" w:rsidRDefault="006D6A27" w14:paraId="16E07AD3" w14:textId="3EA2BDD1">
      <w:pPr>
        <w:pStyle w:val="BodyText2SglJ"/>
        <w:rPr>
          <w:lang w:val="en-GB"/>
        </w:rPr>
      </w:pPr>
      <w:r w:rsidRPr="009C48DA">
        <w:rPr>
          <w:lang w:val="en-GB"/>
        </w:rPr>
        <w:t>Unless otherwise indicated, references in this Registration Document to “euro” or “€” are to the lawful currency of the European Union.</w:t>
      </w:r>
    </w:p>
    <w:p w:rsidRPr="009C48DA" w:rsidR="00E15E59" w:rsidP="00E15E59" w:rsidRDefault="00E15E59" w14:paraId="401E1AB2" w14:textId="576CD6C1">
      <w:pPr>
        <w:pStyle w:val="BodyText2SglJ"/>
        <w:rPr>
          <w:szCs w:val="20"/>
          <w:lang w:val="en-GB"/>
        </w:rPr>
      </w:pPr>
      <w:r w:rsidRPr="009C48DA">
        <w:rPr>
          <w:szCs w:val="20"/>
          <w:lang w:val="en-GB"/>
        </w:rPr>
        <w:t xml:space="preserve">Unless otherwise indicated, references in this </w:t>
      </w:r>
      <w:r w:rsidRPr="009C48DA" w:rsidR="00A977CF">
        <w:rPr>
          <w:lang w:val="en-GB"/>
        </w:rPr>
        <w:t xml:space="preserve">Registration Document </w:t>
      </w:r>
      <w:r w:rsidRPr="009C48DA">
        <w:rPr>
          <w:szCs w:val="20"/>
          <w:lang w:val="en-GB"/>
        </w:rPr>
        <w:t>to “United States dollar” or “US$” are to the lawful currency of the United States.</w:t>
      </w:r>
    </w:p>
    <w:p w:rsidRPr="009C48DA" w:rsidR="006D6A27" w:rsidP="000C376E" w:rsidRDefault="006D6A27" w14:paraId="3CD4B61D" w14:textId="77777777">
      <w:pPr>
        <w:pStyle w:val="TitleBAllCaps"/>
      </w:pPr>
      <w:r w:rsidRPr="009C48DA">
        <w:t>FORWARD-LOOKING STATEMENTS</w:t>
      </w:r>
    </w:p>
    <w:p w:rsidRPr="009C48DA" w:rsidR="006D6A27" w:rsidP="005B6132" w:rsidRDefault="006D6A27" w14:paraId="475B4420" w14:textId="65D4FE09">
      <w:pPr>
        <w:pStyle w:val="BodyText2SglJ"/>
        <w:rPr>
          <w:lang w:val="en-GB"/>
        </w:rPr>
      </w:pPr>
      <w:r w:rsidRPr="009C48DA">
        <w:rPr>
          <w:lang w:val="en-GB"/>
        </w:rPr>
        <w:t>This Registration Document includes certain forward-looking statements, forecasts, estimates, projections and opinions (“</w:t>
      </w:r>
      <w:r w:rsidRPr="009C48DA">
        <w:rPr>
          <w:b/>
          <w:lang w:val="en-GB"/>
        </w:rPr>
        <w:t>Forward-looking Statements</w:t>
      </w:r>
      <w:r w:rsidRPr="009C48DA">
        <w:rPr>
          <w:lang w:val="en-GB"/>
        </w:rPr>
        <w:t xml:space="preserve">”). When used in this Registration Document, the words “anticipate”, “believe”, “estimate”, “forecast”, “expect”, “intend”, “plan”, “project”, “may”, “will” or “should” or, in each case, their negative or other variations or similar expressions, as they relate to the Company, the Group, its management or third parties, identify Forward-looking Statements. Forward-looking Statements include statements regarding the Group’s business strategy, its objectives (as detailed in </w:t>
      </w:r>
      <w:r w:rsidRPr="009C48DA">
        <w:rPr>
          <w:lang w:val="en-GB"/>
        </w:rPr>
        <w:fldChar w:fldCharType="begin"/>
      </w:r>
      <w:r w:rsidRPr="009C48DA">
        <w:rPr>
          <w:lang w:val="en-GB"/>
        </w:rPr>
        <w:instrText xml:space="preserve"> REF _Ref71146060 \n \h </w:instrText>
      </w:r>
      <w:r w:rsidRPr="009C48DA" w:rsidR="00513F0A">
        <w:rPr>
          <w:lang w:val="en-GB"/>
        </w:rPr>
        <w:instrText xml:space="preserve"> \* MERGEFORMAT </w:instrText>
      </w:r>
      <w:r w:rsidRPr="009C48DA">
        <w:rPr>
          <w:lang w:val="en-GB"/>
        </w:rPr>
      </w:r>
      <w:r w:rsidRPr="009C48DA">
        <w:rPr>
          <w:lang w:val="en-GB"/>
        </w:rPr>
        <w:fldChar w:fldCharType="separate"/>
      </w:r>
      <w:r w:rsidR="007C3D19">
        <w:rPr>
          <w:lang w:val="en-GB"/>
        </w:rPr>
        <w:t>Part V</w:t>
      </w:r>
      <w:r w:rsidRPr="009C48DA">
        <w:rPr>
          <w:lang w:val="en-GB"/>
        </w:rPr>
        <w:fldChar w:fldCharType="end"/>
      </w:r>
      <w:r w:rsidRPr="009C48DA">
        <w:rPr>
          <w:lang w:val="en-GB"/>
        </w:rPr>
        <w:t xml:space="preserve"> (</w:t>
      </w:r>
      <w:r w:rsidRPr="009C48DA" w:rsidR="00A32B42">
        <w:rPr>
          <w:i/>
          <w:lang w:val="en-GB"/>
        </w:rPr>
      </w:r>
      <w:r w:rsidRPr="007C3D19" w:rsidR="007C3D19">
        <w:rPr>
          <w:i/>
          <w:lang w:val="en-GB"/>
        </w:rPr>
        <w:t>The Business</w:t>
      </w:r>
      <w:r w:rsidRPr="009C48DA">
        <w:rPr>
          <w:lang w:val="en-GB"/>
        </w:rPr>
        <w:t>)), financial condition, results of operations and market data, as well as any other statements that are not historical facts. These statements reflect beliefs</w:t>
      </w:r>
      <w:r w:rsidRPr="009C48DA" w:rsidR="00AD3493">
        <w:rPr>
          <w:lang w:val="en-GB"/>
        </w:rPr>
        <w:t xml:space="preserve"> of the Directors (including </w:t>
      </w:r>
      <w:r w:rsidRPr="009C48DA">
        <w:rPr>
          <w:lang w:val="en-GB"/>
        </w:rPr>
        <w:t>based on their expectations arising from pursuit of the Group’s strategy), as well as assumptions made by the Directors and information currently available to the Company.</w:t>
      </w:r>
    </w:p>
    <w:p w:rsidRPr="009C48DA" w:rsidR="006D6A27" w:rsidP="005B6132" w:rsidRDefault="006D6A27" w14:paraId="135149A8" w14:textId="285638B7">
      <w:pPr>
        <w:pStyle w:val="BodyText2SglJ"/>
        <w:rPr>
          <w:lang w:val="en-GB"/>
        </w:rPr>
      </w:pPr>
      <w:r w:rsidRPr="009C48DA">
        <w:rPr>
          <w:lang w:val="en-GB"/>
        </w:rPr>
        <w:t xml:space="preserve">Although the Company believes that these beliefs and assumptions are reasonable, by their nature Forward-looking Statements involve known and unknown risks, uncertainties, assumptions and other factors because they relate to events and depend on circumstances that will occur in the future whether or not outside the control of the Company. These risks, uncertainties, assumptions and other factors could cause actual outcomes and results to be materially different from those projected. Past performance cannot be relied upon as a guide to future performance and should not be taken as a representation that trends or </w:t>
      </w:r>
      <w:r w:rsidRPr="009C48DA">
        <w:rPr>
          <w:lang w:val="en-GB"/>
        </w:rPr>
        <w:lastRenderedPageBreak/>
        <w:t>activities underlying past performance will continue in the future. No representation is made or will be made that any Forward-looking Statements will be achieved or will prove to be correct. These risks, assumptions, uncertainties and other factors expressly qualify all subsequent oral and written Forward-looking Statements attributable to the Group or persons acting on its behalf.</w:t>
      </w:r>
    </w:p>
    <w:p w:rsidRPr="009C48DA" w:rsidR="006D6A27" w:rsidP="005B6132" w:rsidRDefault="006D6A27" w14:paraId="30837731" w14:textId="093E8C80">
      <w:pPr>
        <w:pStyle w:val="BodyText2SglJ"/>
        <w:rPr>
          <w:lang w:val="en-GB"/>
        </w:rPr>
      </w:pPr>
      <w:r w:rsidRPr="009C48DA">
        <w:rPr>
          <w:lang w:val="en-GB"/>
        </w:rPr>
        <w:t>Forward-looking Statements contained in this Registration Document speak only as of the date of this Registration Document. The Company does not assume any obligation to update any Forward-looking Statement and disclaims any obligation to update its view of any risks or uncertainties described herein or to publicly announce the result of any revisions to Forward-looking Statements made in this Registration Document, except as required by law, the Prospectus Regulation Rules, the Listing Rules, the Disclosure Guidance and Transparency Rules or the UK Market Abuse Regulation.</w:t>
      </w:r>
      <w:r w:rsidRPr="009C48DA" w:rsidR="00EE4AF4">
        <w:rPr>
          <w:lang w:val="en-GB"/>
        </w:rPr>
        <w:t xml:space="preserve"> </w:t>
      </w:r>
    </w:p>
    <w:p w:rsidRPr="009C48DA" w:rsidR="006D6A27" w:rsidP="005B6132" w:rsidRDefault="006D6A27" w14:paraId="3E805F61" w14:textId="07E14761">
      <w:pPr>
        <w:pStyle w:val="BodyText2SglJ"/>
        <w:rPr>
          <w:lang w:val="en-GB"/>
        </w:rPr>
      </w:pPr>
      <w:r w:rsidRPr="009C48DA">
        <w:rPr>
          <w:lang w:val="en-GB"/>
        </w:rPr>
        <w:t>In addition, this Registration Document contains information concerning the Group’s industry and its market and business lines generally, which is forward-looking in nature and is based on a variety of assumptions regarding the ways in which the industry, and the Group’s market and business lines, will develop. These assumptions are based on information currently available to the Company. If any one or more of these assumptions turns out to be incorrect, actual market results may differ from those predicted. While the Company does not know what effect any such differences may have on the Group’s business, if there are such differences, they could have a material adverse effect on the Group’s future results of operations and financial condition. The Company does not intend, and does not assume any obligation, to update industry or market data set forth in this Registration Document.</w:t>
      </w:r>
    </w:p>
    <w:p w:rsidRPr="009C48DA" w:rsidR="006D6A27" w:rsidP="006F29D6" w:rsidRDefault="006D6A27" w14:paraId="56F806EA" w14:textId="3E96EF8C">
      <w:pPr>
        <w:pStyle w:val="BodyText2SglJ"/>
        <w:rPr>
          <w:rFonts w:eastAsia="Calibri" w:cs="Arial"/>
          <w:lang w:val="en-GB"/>
        </w:rPr>
      </w:pPr>
      <w:r w:rsidRPr="009C48DA">
        <w:rPr>
          <w:lang w:val="en-GB"/>
        </w:rPr>
        <w:t xml:space="preserve">The Forward-looking Statements are not guarantees of future performance and involve risks and uncertainties. The Forward-looking Statements are based on the Directors’ current expectations and are subject to a number of factors and uncertainties that could cause actual results to differ materially from those described in the Forward-looking Statements. </w:t>
      </w:r>
      <w:r w:rsidRPr="009C48DA">
        <w:rPr>
          <w:rFonts w:eastAsia="Calibri" w:cs="Arial"/>
          <w:lang w:val="en-GB"/>
        </w:rPr>
        <w:t>Important factors that could cause the Group’s actual results to so differ materially include, but are not limited to:</w:t>
      </w:r>
    </w:p>
    <w:p w:rsidRPr="009C48DA" w:rsidR="006D6A27" w:rsidP="00DB11C9" w:rsidRDefault="006D6A27" w14:paraId="058C67D5" w14:textId="6C74F94E">
      <w:pPr>
        <w:pStyle w:val="STBBullet3"/>
        <w:rPr>
          <w:lang w:val="en-GB"/>
        </w:rPr>
      </w:pPr>
      <w:r w:rsidRPr="009C48DA">
        <w:rPr>
          <w:lang w:val="en-GB"/>
        </w:rPr>
        <w:t xml:space="preserve">risks relating to poor performance of the </w:t>
      </w:r>
      <w:r w:rsidRPr="009C48DA" w:rsidR="00BB773E">
        <w:rPr>
          <w:rFonts w:eastAsia="Calibri" w:cs="Arial"/>
          <w:szCs w:val="20"/>
          <w:lang w:val="en-GB"/>
        </w:rPr>
        <w:t xml:space="preserve">Bridgepoint </w:t>
      </w:r>
      <w:r w:rsidRPr="009C48DA">
        <w:rPr>
          <w:lang w:val="en-GB"/>
        </w:rPr>
        <w:t>Funds;</w:t>
      </w:r>
    </w:p>
    <w:p w:rsidRPr="009C48DA" w:rsidR="006D6A27" w:rsidP="00DB11C9" w:rsidRDefault="006D6A27" w14:paraId="76780F79" w14:textId="77777777">
      <w:pPr>
        <w:pStyle w:val="STBBullet3"/>
        <w:rPr>
          <w:lang w:val="en-GB"/>
        </w:rPr>
      </w:pPr>
      <w:r w:rsidRPr="009C48DA">
        <w:rPr>
          <w:lang w:val="en-GB"/>
        </w:rPr>
        <w:t>risks relating to the Group’s dependency on its personnel and the fact that the market for investment professionals and other personnel in specialist functions is highly competitive;</w:t>
      </w:r>
    </w:p>
    <w:p w:rsidRPr="009C48DA" w:rsidR="006D6A27" w:rsidP="00DB11C9" w:rsidRDefault="006D6A27" w14:paraId="76F67E87" w14:textId="77777777">
      <w:pPr>
        <w:pStyle w:val="STBBullet3"/>
        <w:rPr>
          <w:lang w:val="en-GB"/>
        </w:rPr>
      </w:pPr>
      <w:r w:rsidRPr="009C48DA">
        <w:rPr>
          <w:lang w:val="en-GB"/>
        </w:rPr>
        <w:t>risks relating to the investment management business being intensely competitive with respect to fund investors and investment opportunities;</w:t>
      </w:r>
    </w:p>
    <w:p w:rsidRPr="009C48DA" w:rsidR="006D6A27" w:rsidP="00DB11C9" w:rsidRDefault="006D6A27" w14:paraId="6960FEB2" w14:textId="003C76E9">
      <w:pPr>
        <w:pStyle w:val="STBBullet3"/>
        <w:rPr>
          <w:lang w:val="en-GB"/>
        </w:rPr>
      </w:pPr>
      <w:r w:rsidRPr="009C48DA">
        <w:rPr>
          <w:lang w:val="en-GB"/>
        </w:rPr>
        <w:t>risks relating to any inability to raise additional or su</w:t>
      </w:r>
      <w:r w:rsidRPr="009C48DA" w:rsidR="0030615B">
        <w:rPr>
          <w:lang w:val="en-GB"/>
        </w:rPr>
        <w:t>c</w:t>
      </w:r>
      <w:r w:rsidRPr="009C48DA">
        <w:rPr>
          <w:lang w:val="en-GB"/>
        </w:rPr>
        <w:t>cessor funds (or raise succe</w:t>
      </w:r>
      <w:r w:rsidRPr="009C48DA" w:rsidR="0030615B">
        <w:rPr>
          <w:lang w:val="en-GB"/>
        </w:rPr>
        <w:t>s</w:t>
      </w:r>
      <w:r w:rsidRPr="009C48DA">
        <w:rPr>
          <w:lang w:val="en-GB"/>
        </w:rPr>
        <w:t>sor funds of a comparable size to prede</w:t>
      </w:r>
      <w:r w:rsidRPr="009C48DA" w:rsidR="0030615B">
        <w:rPr>
          <w:lang w:val="en-GB"/>
        </w:rPr>
        <w:t>cess</w:t>
      </w:r>
      <w:r w:rsidRPr="009C48DA">
        <w:rPr>
          <w:lang w:val="en-GB"/>
        </w:rPr>
        <w:t>or funds);</w:t>
      </w:r>
    </w:p>
    <w:p w:rsidRPr="009C48DA" w:rsidR="006D6A27" w:rsidP="00DB11C9" w:rsidRDefault="006D6A27" w14:paraId="4917E408" w14:textId="4270C006">
      <w:pPr>
        <w:pStyle w:val="STBBullet3"/>
        <w:rPr>
          <w:lang w:val="en-GB"/>
        </w:rPr>
      </w:pPr>
      <w:r w:rsidRPr="009C48DA">
        <w:rPr>
          <w:lang w:val="en-GB"/>
        </w:rPr>
        <w:t xml:space="preserve">risks relating to investors in future funds negotiating to pay the Group lower management fees, reimburse it for fewer expenses or change the economic terms of future funds including with respect to management fees and carried interest that are less favourable to the Group than those of existing </w:t>
      </w:r>
      <w:r w:rsidRPr="009C48DA" w:rsidR="00BB773E">
        <w:rPr>
          <w:rFonts w:eastAsia="Calibri" w:cs="Arial"/>
          <w:szCs w:val="20"/>
          <w:lang w:val="en-GB"/>
        </w:rPr>
        <w:t xml:space="preserve">Bridgepoint </w:t>
      </w:r>
      <w:r w:rsidRPr="009C48DA">
        <w:rPr>
          <w:lang w:val="en-GB"/>
        </w:rPr>
        <w:t>Funds;</w:t>
      </w:r>
    </w:p>
    <w:p w:rsidRPr="009C48DA" w:rsidR="006D6A27" w:rsidP="00DB11C9" w:rsidRDefault="006D6A27" w14:paraId="3493D9EE" w14:textId="3947D089">
      <w:pPr>
        <w:pStyle w:val="STBBullet3"/>
        <w:rPr>
          <w:lang w:val="en-GB"/>
        </w:rPr>
      </w:pPr>
      <w:r w:rsidRPr="009C48DA">
        <w:rPr>
          <w:lang w:val="en-GB"/>
        </w:rPr>
        <w:t>risks relating to cyber-security failures and data security breaches and risks resulting from the Group</w:t>
      </w:r>
      <w:r w:rsidRPr="009C48DA" w:rsidR="007A03DC">
        <w:rPr>
          <w:lang w:val="en-GB"/>
        </w:rPr>
        <w:t>’</w:t>
      </w:r>
      <w:r w:rsidRPr="009C48DA">
        <w:rPr>
          <w:lang w:val="en-GB"/>
        </w:rPr>
        <w:t xml:space="preserve">s dependency on an effective control system to mitigate operational risks and maintain appropriate procedures for the management of the </w:t>
      </w:r>
      <w:r w:rsidRPr="009C48DA" w:rsidR="00BB773E">
        <w:rPr>
          <w:rFonts w:eastAsia="Calibri" w:cs="Arial"/>
          <w:szCs w:val="20"/>
          <w:lang w:val="en-GB"/>
        </w:rPr>
        <w:t xml:space="preserve">Bridgepoint </w:t>
      </w:r>
      <w:r w:rsidRPr="009C48DA">
        <w:rPr>
          <w:lang w:val="en-GB"/>
        </w:rPr>
        <w:t>Funds; and</w:t>
      </w:r>
    </w:p>
    <w:p w:rsidRPr="009C48DA" w:rsidR="006D6A27" w:rsidP="00DB11C9" w:rsidRDefault="006D6A27" w14:paraId="3F709B09" w14:textId="5D50793C">
      <w:pPr>
        <w:pStyle w:val="STBBullet3"/>
        <w:rPr>
          <w:lang w:val="en-GB"/>
        </w:rPr>
      </w:pPr>
      <w:r w:rsidRPr="009C48DA">
        <w:rPr>
          <w:lang w:val="en-GB"/>
        </w:rPr>
        <w:t>risks resulting from changes in laws, regulations and governmental interpretations and practices from the Group not being able to obtain and maintain requisite regulatory approva</w:t>
      </w:r>
      <w:r w:rsidRPr="009C48DA" w:rsidR="00C70B19">
        <w:rPr>
          <w:lang w:val="en-GB"/>
        </w:rPr>
        <w:t>ls and permits, including licenc</w:t>
      </w:r>
      <w:r w:rsidRPr="009C48DA">
        <w:rPr>
          <w:lang w:val="en-GB"/>
        </w:rPr>
        <w:t>es for the Group’s fund operations.</w:t>
      </w:r>
    </w:p>
    <w:p w:rsidRPr="009C48DA" w:rsidR="006D6A27" w:rsidP="00883C77" w:rsidRDefault="006D6A27" w14:paraId="042E1448" w14:textId="088C7E3F">
      <w:pPr>
        <w:pStyle w:val="BodyText2SglJ"/>
        <w:rPr>
          <w:lang w:val="en-GB"/>
        </w:rPr>
      </w:pPr>
      <w:r w:rsidRPr="009C48DA">
        <w:rPr>
          <w:lang w:val="en-GB"/>
        </w:rPr>
        <w:t xml:space="preserve">Due to such uncertainties and risks, investors are cautioned not to place undue reliance on the Forward-looking Statements, which speak only as of the date of this Registration Document. It is urged by the Directors that this Registration Document, including </w:t>
      </w:r>
      <w:r w:rsidRPr="009C48DA">
        <w:rPr>
          <w:lang w:val="en-GB"/>
        </w:rPr>
        <w:fldChar w:fldCharType="begin"/>
      </w:r>
      <w:r w:rsidRPr="009C48DA">
        <w:rPr>
          <w:lang w:val="en-GB"/>
        </w:rPr>
        <w:instrText xml:space="preserve"> REF _Ref71136204 \n \h </w:instrText>
      </w:r>
      <w:r w:rsidRPr="009C48DA" w:rsidR="00513F0A">
        <w:rPr>
          <w:lang w:val="en-GB"/>
        </w:rPr>
        <w:instrText xml:space="preserve"> \* MERGEFORMAT </w:instrText>
      </w:r>
      <w:r w:rsidRPr="009C48DA">
        <w:rPr>
          <w:lang w:val="en-GB"/>
        </w:rPr>
      </w:r>
      <w:r w:rsidRPr="009C48DA">
        <w:rPr>
          <w:lang w:val="en-GB"/>
        </w:rPr>
        <w:fldChar w:fldCharType="separate"/>
      </w:r>
      <w:r w:rsidR="007C3D19">
        <w:rPr>
          <w:lang w:val="en-GB"/>
        </w:rPr>
        <w:t>Part I</w:t>
      </w:r>
      <w:r w:rsidRPr="009C48DA">
        <w:rPr>
          <w:lang w:val="en-GB"/>
        </w:rPr>
        <w:fldChar w:fldCharType="end"/>
      </w:r>
      <w:r w:rsidRPr="009C48DA">
        <w:rPr>
          <w:lang w:val="en-GB"/>
        </w:rPr>
        <w:t xml:space="preserve"> (</w:t>
      </w:r>
      <w:r w:rsidRPr="009C48DA" w:rsidR="006E3BE7">
        <w:rPr>
          <w:i/>
          <w:lang w:val="en-GB"/>
        </w:rPr>
        <w:fldChar w:fldCharType="begin"/>
      </w:r>
      <w:r w:rsidRPr="009C48DA" w:rsidR="006E3BE7">
        <w:rPr>
          <w:i/>
          <w:lang w:val="en-GB"/>
        </w:rPr>
        <w:instrText xml:space="preserve"> REF _Ref75190583 \h  \* MERGEFORMAT </w:instrText>
      </w:r>
      <w:r w:rsidRPr="009C48DA" w:rsidR="006E3BE7">
        <w:rPr>
          <w:i/>
          <w:lang w:val="en-GB"/>
        </w:rPr>
      </w:r>
      <w:r w:rsidRPr="009C48DA" w:rsidR="006E3BE7">
        <w:rPr>
          <w:i/>
          <w:lang w:val="en-GB"/>
        </w:rPr>
        <w:fldChar w:fldCharType="separate"/>
      </w:r>
      <w:r w:rsidRPr="007C3D19" w:rsidR="007C3D19">
        <w:rPr>
          <w:i/>
          <w:lang w:val="en-GB"/>
        </w:rPr>
        <w:t>Risk Factors</w:t>
      </w:r>
      <w:r w:rsidRPr="009C48DA" w:rsidR="006E3BE7">
        <w:rPr>
          <w:i/>
          <w:lang w:val="en-GB"/>
        </w:rPr>
        <w:fldChar w:fldCharType="end"/>
      </w:r>
      <w:r w:rsidRPr="009C48DA">
        <w:rPr>
          <w:lang w:val="en-GB"/>
        </w:rPr>
        <w:t xml:space="preserve">), </w:t>
      </w:r>
      <w:r w:rsidRPr="009C48DA">
        <w:rPr>
          <w:lang w:val="en-GB"/>
        </w:rPr>
        <w:fldChar w:fldCharType="begin"/>
      </w:r>
      <w:r w:rsidRPr="009C48DA">
        <w:rPr>
          <w:lang w:val="en-GB"/>
        </w:rPr>
        <w:instrText xml:space="preserve"> REF _Ref71146077 \n \h </w:instrText>
      </w:r>
      <w:r w:rsidRPr="009C48DA" w:rsidR="00513F0A">
        <w:rPr>
          <w:lang w:val="en-GB"/>
        </w:rPr>
        <w:instrText xml:space="preserve"> \* MERGEFORMAT </w:instrText>
      </w:r>
      <w:r w:rsidRPr="009C48DA">
        <w:rPr>
          <w:lang w:val="en-GB"/>
        </w:rPr>
      </w:r>
      <w:r w:rsidRPr="009C48DA">
        <w:rPr>
          <w:lang w:val="en-GB"/>
        </w:rPr>
        <w:fldChar w:fldCharType="separate"/>
      </w:r>
      <w:r w:rsidR="007C3D19">
        <w:rPr>
          <w:lang w:val="en-GB"/>
        </w:rPr>
        <w:t>Part IX</w:t>
      </w:r>
      <w:r w:rsidRPr="009C48DA">
        <w:rPr>
          <w:lang w:val="en-GB"/>
        </w:rPr>
        <w:fldChar w:fldCharType="end"/>
      </w:r>
      <w:r w:rsidRPr="009C48DA">
        <w:rPr>
          <w:lang w:val="en-GB"/>
        </w:rPr>
        <w:t xml:space="preserve"> (</w:t>
      </w:r>
      <w:r w:rsidRPr="009C48DA" w:rsidR="00883C77">
        <w:rPr>
          <w:i/>
          <w:iCs/>
          <w:lang w:val="en-GB"/>
        </w:rPr>
        <w:fldChar w:fldCharType="begin"/>
      </w:r>
      <w:r w:rsidRPr="009C48DA" w:rsidR="00883C77">
        <w:rPr>
          <w:i/>
          <w:iCs/>
          <w:lang w:val="en-GB"/>
        </w:rPr>
        <w:instrText xml:space="preserve"> REF _Ref75191226 \h  \* MERGEFORMAT </w:instrText>
      </w:r>
      <w:r w:rsidRPr="009C48DA" w:rsidR="00883C77">
        <w:rPr>
          <w:i/>
          <w:iCs/>
          <w:lang w:val="en-GB"/>
        </w:rPr>
      </w:r>
      <w:r w:rsidRPr="009C48DA" w:rsidR="00883C77">
        <w:rPr>
          <w:i/>
          <w:iCs/>
          <w:lang w:val="en-GB"/>
        </w:rPr>
        <w:fldChar w:fldCharType="separate"/>
      </w:r>
      <w:r w:rsidRPr="007C3D19" w:rsidR="007C3D19">
        <w:rPr>
          <w:i/>
          <w:iCs/>
          <w:lang w:val="en-GB"/>
        </w:rPr>
        <w:t>Operating and Financial Review</w:t>
      </w:r>
      <w:r w:rsidRPr="009C48DA" w:rsidR="00883C77">
        <w:rPr>
          <w:i/>
          <w:iCs/>
          <w:lang w:val="en-GB"/>
        </w:rPr>
        <w:fldChar w:fldCharType="end"/>
      </w:r>
      <w:r w:rsidRPr="009C48DA">
        <w:rPr>
          <w:lang w:val="en-GB"/>
        </w:rPr>
        <w:t xml:space="preserve">) and </w:t>
      </w:r>
      <w:r w:rsidRPr="009C48DA">
        <w:rPr>
          <w:lang w:val="en-GB"/>
        </w:rPr>
        <w:fldChar w:fldCharType="begin"/>
      </w:r>
      <w:r w:rsidRPr="009C48DA">
        <w:rPr>
          <w:lang w:val="en-GB"/>
        </w:rPr>
        <w:instrText xml:space="preserve"> REF _Ref71146086 \n \h </w:instrText>
      </w:r>
      <w:r w:rsidRPr="009C48DA" w:rsidR="00513F0A">
        <w:rPr>
          <w:lang w:val="en-GB"/>
        </w:rPr>
        <w:instrText xml:space="preserve"> \* MERGEFORMAT </w:instrText>
      </w:r>
      <w:r w:rsidRPr="009C48DA">
        <w:rPr>
          <w:lang w:val="en-GB"/>
        </w:rPr>
      </w:r>
      <w:r w:rsidRPr="009C48DA">
        <w:rPr>
          <w:lang w:val="en-GB"/>
        </w:rPr>
        <w:fldChar w:fldCharType="separate"/>
      </w:r>
      <w:r w:rsidR="007C3D19">
        <w:rPr>
          <w:lang w:val="en-GB"/>
        </w:rPr>
        <w:t>Part V</w:t>
      </w:r>
      <w:r w:rsidRPr="009C48DA">
        <w:rPr>
          <w:lang w:val="en-GB"/>
        </w:rPr>
        <w:fldChar w:fldCharType="end"/>
      </w:r>
      <w:r w:rsidRPr="009C48DA">
        <w:rPr>
          <w:lang w:val="en-GB"/>
        </w:rPr>
        <w:t xml:space="preserve"> (</w:t>
      </w:r>
      <w:r w:rsidRPr="009C48DA" w:rsidR="00A32B42">
        <w:rPr>
          <w:i/>
          <w:lang w:val="en-GB"/>
        </w:rPr>
      </w:r>
      <w:r w:rsidRPr="007C3D19" w:rsidR="007C3D19">
        <w:rPr>
          <w:i/>
          <w:lang w:val="en-GB"/>
        </w:rPr>
        <w:t>The Business</w:t>
      </w:r>
      <w:r w:rsidRPr="009C48DA">
        <w:rPr>
          <w:lang w:val="en-GB"/>
        </w:rPr>
        <w:t xml:space="preserve">) be read for a more complete discussion of the factors that could affect the Group’s future performance and the industry in which it operates. Moreover, the Group operates in a very competitive and rapidly changing environment. The Group may face new risks from time to time, and it is not possible to predict all such risks; nor can the Directors assess the impact of all such risks on the Group’s business or the extent to which any factor, or combination of factors, may cause actual </w:t>
      </w:r>
      <w:r w:rsidRPr="009C48DA">
        <w:rPr>
          <w:lang w:val="en-GB"/>
        </w:rPr>
        <w:lastRenderedPageBreak/>
        <w:t>results to differ materially from those contained in the Forward-looking Statements. Given these risks and uncertainties, no undue reliance should be placed on the Forward-looking Statements as a prediction of actual results.</w:t>
      </w:r>
      <w:r w:rsidRPr="009C48DA">
        <w:rPr>
          <w:b/>
          <w:color w:val="000000"/>
          <w:lang w:val="en-GB"/>
        </w:rPr>
        <w:br w:type="page"/>
      </w:r>
    </w:p>
    <w:p w:rsidRPr="009C48DA" w:rsidR="006D6A27" w:rsidP="00F002B3" w:rsidRDefault="00F002B3" w14:paraId="76CCB664" w14:textId="634E2EC6">
      <w:pPr>
        <w:pStyle w:val="Heading1"/>
        <w:rPr>
          <w:lang w:val="en-GB"/>
        </w:rPr>
      </w:pPr>
      <w:bookmarkStart w:name="_Toc67956031" w:id="530"/>
      <w:bookmarkStart w:name="_Toc67962995" w:id="531"/>
      <w:bookmarkStart w:name="_Toc67963376" w:id="532"/>
      <w:bookmarkStart w:name="_Ref71146364" w:id="533"/>
      <w:bookmarkStart w:name="_Toc71147104" w:id="534"/>
      <w:bookmarkStart w:name="_Toc71147144" w:id="535"/>
      <w:bookmarkStart w:name="_Toc71147158" w:id="536"/>
      <w:bookmarkStart w:name="_Toc71167144" w:id="537"/>
      <w:bookmarkStart w:name="_Toc71187613" w:id="538"/>
      <w:bookmarkStart w:name="_Toc71188675" w:id="539"/>
      <w:r w:rsidRPr="009C48DA">
        <w:rPr>
          <w:lang w:val="en-GB"/>
        </w:rPr>
        <w:lastRenderedPageBreak/>
        <w:br/>
      </w:r>
      <w:r w:rsidRPr="009C48DA">
        <w:rPr>
          <w:lang w:val="en-GB"/>
        </w:rPr>
        <w:br/>
      </w:r>
      <w:bookmarkStart w:name="_Ref75308190" w:id="540"/>
      <w:bookmarkStart w:name="_Toc75831921" w:id="541"/>
      <w:r w:rsidRPr="009C48DA">
        <w:rPr>
          <w:lang w:val="en-GB"/>
        </w:rPr>
        <w:t>Directors, Company Secretary, Registered Office and Advisers</w:t>
      </w:r>
      <w:bookmarkEnd w:id="530"/>
      <w:bookmarkEnd w:id="531"/>
      <w:bookmarkEnd w:id="532"/>
      <w:bookmarkEnd w:id="533"/>
      <w:bookmarkEnd w:id="534"/>
      <w:bookmarkEnd w:id="535"/>
      <w:bookmarkEnd w:id="536"/>
      <w:bookmarkEnd w:id="537"/>
      <w:bookmarkEnd w:id="538"/>
      <w:bookmarkEnd w:id="539"/>
      <w:bookmarkEnd w:id="540"/>
      <w:bookmarkEnd w:id="541"/>
    </w:p>
    <w:tbl>
      <w:tblPr>
        <w:tblStyle w:val="TableGrid"/>
        <w:tblW w:w="86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23"/>
        <w:gridCol w:w="5817"/>
      </w:tblGrid>
      <w:tr w:rsidRPr="009C48DA" w:rsidR="006D6A27" w14:paraId="104DBB3C" w14:textId="77777777">
        <w:trPr>
          <w:trHeight w:val="84"/>
        </w:trPr>
        <w:tc>
          <w:tcPr>
            <w:tcW w:w="2823" w:type="dxa"/>
          </w:tcPr>
          <w:p w:rsidRPr="009C48DA" w:rsidR="006D6A27" w:rsidRDefault="006D6A27" w14:paraId="267E08ED" w14:textId="77777777">
            <w:pPr>
              <w:spacing w:after="240"/>
              <w:textAlignment w:val="baseline"/>
              <w:rPr>
                <w:b/>
                <w:color w:val="000000"/>
                <w:sz w:val="20"/>
                <w:lang w:val="en-GB"/>
              </w:rPr>
            </w:pPr>
            <w:r w:rsidRPr="009C48DA">
              <w:rPr>
                <w:b/>
                <w:color w:val="000000"/>
                <w:sz w:val="20"/>
                <w:lang w:val="en-GB"/>
              </w:rPr>
              <w:t>Directors</w:t>
            </w:r>
          </w:p>
        </w:tc>
        <w:tc>
          <w:tcPr>
            <w:tcW w:w="5817" w:type="dxa"/>
          </w:tcPr>
          <w:p w:rsidRPr="009C48DA" w:rsidR="006D6A27" w:rsidP="00FB63DB" w:rsidRDefault="00CC08F7" w14:paraId="3626F9E6" w14:textId="220EF2BA">
            <w:pPr>
              <w:spacing w:after="240"/>
              <w:ind w:left="216"/>
              <w:textAlignment w:val="baseline"/>
              <w:rPr>
                <w:color w:val="000000"/>
                <w:sz w:val="20"/>
                <w:lang w:val="en-GB"/>
              </w:rPr>
            </w:pPr>
            <w:r w:rsidRPr="009C48DA">
              <w:rPr>
                <w:color w:val="000000"/>
                <w:sz w:val="20"/>
                <w:lang w:val="en-GB"/>
              </w:rPr>
              <w:t>William Jackson</w:t>
            </w:r>
            <w:r w:rsidRPr="009C48DA">
              <w:rPr>
                <w:color w:val="000000"/>
                <w:sz w:val="20"/>
                <w:lang w:val="en-GB"/>
              </w:rPr>
              <w:br/>
              <w:t>Adam Jones</w:t>
            </w:r>
            <w:r w:rsidRPr="009C48DA">
              <w:rPr>
                <w:color w:val="000000"/>
                <w:sz w:val="20"/>
                <w:lang w:val="en-GB"/>
              </w:rPr>
              <w:br/>
              <w:t>Archie Norman</w:t>
            </w:r>
            <w:r w:rsidRPr="009C48DA">
              <w:rPr>
                <w:color w:val="000000"/>
                <w:sz w:val="20"/>
                <w:lang w:val="en-GB"/>
              </w:rPr>
              <w:br/>
              <w:t>Angeles Garcia-Poveda</w:t>
            </w:r>
            <w:r w:rsidRPr="009C48DA">
              <w:rPr>
                <w:color w:val="000000"/>
                <w:sz w:val="20"/>
                <w:lang w:val="en-GB"/>
              </w:rPr>
              <w:br/>
              <w:t>Tim Score</w:t>
            </w:r>
          </w:p>
        </w:tc>
      </w:tr>
      <w:tr w:rsidRPr="009C48DA" w:rsidR="006D6A27" w14:paraId="4085555C" w14:textId="77777777">
        <w:trPr>
          <w:trHeight w:val="394"/>
        </w:trPr>
        <w:tc>
          <w:tcPr>
            <w:tcW w:w="2823" w:type="dxa"/>
          </w:tcPr>
          <w:p w:rsidRPr="009C48DA" w:rsidR="006D6A27" w:rsidRDefault="006D6A27" w14:paraId="111495A3" w14:textId="77777777">
            <w:pPr>
              <w:spacing w:after="240"/>
              <w:textAlignment w:val="baseline"/>
              <w:rPr>
                <w:b/>
                <w:color w:val="000000"/>
                <w:sz w:val="20"/>
                <w:lang w:val="en-GB"/>
              </w:rPr>
            </w:pPr>
            <w:r w:rsidRPr="009C48DA">
              <w:rPr>
                <w:b/>
                <w:color w:val="000000"/>
                <w:sz w:val="20"/>
                <w:lang w:val="en-GB"/>
              </w:rPr>
              <w:t>Company Secretary</w:t>
            </w:r>
          </w:p>
        </w:tc>
        <w:tc>
          <w:tcPr>
            <w:tcW w:w="5817" w:type="dxa"/>
          </w:tcPr>
          <w:p w:rsidRPr="009C48DA" w:rsidR="006D6A27" w:rsidP="00CB28F5" w:rsidRDefault="00FA30C8" w14:paraId="5DBD4177" w14:textId="6D947022">
            <w:pPr>
              <w:ind w:left="215"/>
              <w:textAlignment w:val="baseline"/>
              <w:rPr>
                <w:color w:val="000000"/>
                <w:sz w:val="20"/>
                <w:lang w:val="en-GB"/>
              </w:rPr>
            </w:pPr>
            <w:r w:rsidRPr="009C48DA">
              <w:rPr>
                <w:color w:val="000000"/>
                <w:sz w:val="20"/>
                <w:lang w:val="en-GB"/>
              </w:rPr>
              <w:t>Sandra Dadd</w:t>
            </w:r>
          </w:p>
        </w:tc>
      </w:tr>
      <w:tr w:rsidRPr="009C48DA" w:rsidR="006D6A27" w14:paraId="6002A118" w14:textId="77777777">
        <w:trPr>
          <w:trHeight w:val="394"/>
        </w:trPr>
        <w:tc>
          <w:tcPr>
            <w:tcW w:w="2823" w:type="dxa"/>
          </w:tcPr>
          <w:p w:rsidRPr="009C48DA" w:rsidR="006D6A27" w:rsidRDefault="006D6A27" w14:paraId="5628902C" w14:textId="77777777">
            <w:pPr>
              <w:spacing w:after="240"/>
              <w:textAlignment w:val="baseline"/>
              <w:rPr>
                <w:b/>
                <w:color w:val="000000"/>
                <w:sz w:val="20"/>
                <w:lang w:val="en-GB"/>
              </w:rPr>
            </w:pPr>
            <w:r w:rsidRPr="009C48DA">
              <w:rPr>
                <w:b/>
                <w:color w:val="000000"/>
                <w:sz w:val="20"/>
                <w:lang w:val="en-GB"/>
              </w:rPr>
              <w:t>Registered Office</w:t>
            </w:r>
          </w:p>
        </w:tc>
        <w:tc>
          <w:tcPr>
            <w:tcW w:w="5817" w:type="dxa"/>
          </w:tcPr>
          <w:p w:rsidRPr="009C48DA" w:rsidR="006D6A27" w:rsidP="00495B88" w:rsidRDefault="006D6A27" w14:paraId="6D2FDB72" w14:textId="665D7DBA">
            <w:pPr>
              <w:ind w:left="215"/>
              <w:textAlignment w:val="baseline"/>
              <w:rPr>
                <w:b/>
                <w:sz w:val="20"/>
                <w:lang w:val="en-GB"/>
              </w:rPr>
            </w:pPr>
            <w:r w:rsidRPr="009C48DA">
              <w:rPr>
                <w:color w:val="000000"/>
                <w:sz w:val="20"/>
                <w:lang w:val="en-GB"/>
              </w:rPr>
              <w:t>95 Wigmore Street</w:t>
            </w:r>
            <w:r w:rsidRPr="009C48DA">
              <w:rPr>
                <w:color w:val="000000"/>
                <w:sz w:val="20"/>
                <w:lang w:val="en-GB"/>
              </w:rPr>
              <w:br/>
              <w:t>London</w:t>
            </w:r>
            <w:r w:rsidRPr="009C48DA">
              <w:rPr>
                <w:color w:val="000000"/>
                <w:sz w:val="20"/>
                <w:lang w:val="en-GB"/>
              </w:rPr>
              <w:br/>
              <w:t>W1U 1FB</w:t>
            </w:r>
            <w:r w:rsidRPr="009C48DA">
              <w:rPr>
                <w:color w:val="000000"/>
                <w:sz w:val="20"/>
                <w:lang w:val="en-GB"/>
              </w:rPr>
              <w:br/>
            </w:r>
          </w:p>
        </w:tc>
      </w:tr>
      <w:tr w:rsidRPr="009C48DA" w:rsidR="006D6A27" w14:paraId="071C346B" w14:textId="77777777">
        <w:trPr>
          <w:trHeight w:val="1204"/>
        </w:trPr>
        <w:tc>
          <w:tcPr>
            <w:tcW w:w="2823" w:type="dxa"/>
          </w:tcPr>
          <w:p w:rsidRPr="009C48DA" w:rsidR="006D6A27" w:rsidRDefault="000D6A7E" w14:paraId="5FEAF926" w14:textId="677BB63A">
            <w:pPr>
              <w:spacing w:after="240"/>
              <w:textAlignment w:val="baseline"/>
              <w:rPr>
                <w:rFonts w:eastAsia="Arial"/>
                <w:b/>
                <w:color w:val="000000"/>
                <w:sz w:val="20"/>
                <w:lang w:val="en-GB"/>
              </w:rPr>
            </w:pPr>
            <w:r w:rsidRPr="009C48DA">
              <w:rPr>
                <w:b/>
                <w:color w:val="000000"/>
                <w:sz w:val="20"/>
                <w:lang w:val="en-GB"/>
              </w:rPr>
              <w:t>Independent Auditor</w:t>
            </w:r>
            <w:r w:rsidRPr="009C48DA" w:rsidR="00192FCB">
              <w:rPr>
                <w:b/>
                <w:color w:val="000000"/>
                <w:sz w:val="20"/>
                <w:lang w:val="en-GB"/>
              </w:rPr>
              <w:t xml:space="preserve"> and R</w:t>
            </w:r>
            <w:r w:rsidRPr="009C48DA" w:rsidR="006D6A27">
              <w:rPr>
                <w:b/>
                <w:color w:val="000000"/>
                <w:sz w:val="20"/>
                <w:lang w:val="en-GB"/>
              </w:rPr>
              <w:t>eporting Accountant</w:t>
            </w:r>
          </w:p>
        </w:tc>
        <w:tc>
          <w:tcPr>
            <w:tcW w:w="5817" w:type="dxa"/>
          </w:tcPr>
          <w:p w:rsidRPr="009C48DA" w:rsidR="006D6A27" w:rsidRDefault="006D6A27" w14:paraId="54650211" w14:textId="6748F71A">
            <w:pPr>
              <w:ind w:left="215"/>
              <w:textAlignment w:val="baseline"/>
              <w:rPr>
                <w:color w:val="000000"/>
                <w:sz w:val="20"/>
                <w:lang w:val="en-GB"/>
              </w:rPr>
            </w:pPr>
            <w:r w:rsidRPr="009C48DA">
              <w:rPr>
                <w:b/>
                <w:color w:val="000000"/>
                <w:sz w:val="20"/>
                <w:lang w:val="en-GB"/>
              </w:rPr>
              <w:t>PricewaterhouseCoopers LLP</w:t>
            </w:r>
          </w:p>
          <w:p w:rsidRPr="009C48DA" w:rsidR="006D6A27" w:rsidP="005010EE" w:rsidRDefault="005010EE" w14:paraId="67501AAC" w14:textId="5F6C5BB8">
            <w:pPr>
              <w:ind w:left="215"/>
              <w:textAlignment w:val="baseline"/>
              <w:rPr>
                <w:color w:val="000000"/>
                <w:sz w:val="20"/>
                <w:lang w:val="en-GB"/>
              </w:rPr>
            </w:pPr>
            <w:r w:rsidRPr="009C48DA">
              <w:rPr>
                <w:color w:val="000000"/>
                <w:sz w:val="20"/>
                <w:lang w:val="en-GB"/>
              </w:rPr>
              <w:t>1 Embankment Place</w:t>
            </w:r>
            <w:r w:rsidRPr="009C48DA" w:rsidR="006D6A27">
              <w:rPr>
                <w:color w:val="000000"/>
                <w:sz w:val="20"/>
                <w:lang w:val="en-GB"/>
              </w:rPr>
              <w:br/>
              <w:t>London</w:t>
            </w:r>
            <w:r w:rsidRPr="009C48DA" w:rsidR="006D6A27">
              <w:rPr>
                <w:color w:val="000000"/>
                <w:sz w:val="20"/>
                <w:lang w:val="en-GB"/>
              </w:rPr>
              <w:br/>
            </w:r>
            <w:r w:rsidRPr="009C48DA">
              <w:rPr>
                <w:color w:val="000000"/>
                <w:sz w:val="20"/>
                <w:lang w:val="en-GB"/>
              </w:rPr>
              <w:t>WC2N 6RH</w:t>
            </w:r>
          </w:p>
        </w:tc>
      </w:tr>
      <w:tr w:rsidRPr="009C48DA" w:rsidR="006D6A27" w14:paraId="3D5D726E" w14:textId="77777777">
        <w:trPr>
          <w:trHeight w:val="84"/>
        </w:trPr>
        <w:tc>
          <w:tcPr>
            <w:tcW w:w="2823" w:type="dxa"/>
          </w:tcPr>
          <w:p w:rsidRPr="009C48DA" w:rsidR="006D6A27" w:rsidRDefault="006D6A27" w14:paraId="6013B0FB" w14:textId="77777777">
            <w:pPr>
              <w:spacing w:after="240"/>
              <w:textAlignment w:val="baseline"/>
              <w:rPr>
                <w:b/>
                <w:color w:val="000000"/>
                <w:sz w:val="20"/>
                <w:lang w:val="en-GB"/>
              </w:rPr>
            </w:pPr>
            <w:r w:rsidRPr="009C48DA">
              <w:rPr>
                <w:b/>
                <w:color w:val="000000"/>
                <w:sz w:val="20"/>
                <w:lang w:val="en-GB"/>
              </w:rPr>
              <w:t>Legal Advisers to the Company</w:t>
            </w:r>
          </w:p>
        </w:tc>
        <w:tc>
          <w:tcPr>
            <w:tcW w:w="5817" w:type="dxa"/>
          </w:tcPr>
          <w:p w:rsidRPr="009C48DA" w:rsidR="006D6A27" w:rsidRDefault="006D6A27" w14:paraId="6E796B4B" w14:textId="77777777">
            <w:pPr>
              <w:spacing w:after="240"/>
              <w:ind w:left="216"/>
              <w:textAlignment w:val="baseline"/>
              <w:rPr>
                <w:color w:val="000000"/>
                <w:sz w:val="20"/>
                <w:lang w:val="en-GB"/>
              </w:rPr>
            </w:pPr>
            <w:r w:rsidRPr="009C48DA">
              <w:rPr>
                <w:b/>
                <w:color w:val="000000"/>
                <w:sz w:val="20"/>
                <w:lang w:val="en-GB"/>
              </w:rPr>
              <w:t>Simpson Thacher &amp; Bartlett LLP</w:t>
            </w:r>
            <w:r w:rsidRPr="009C48DA">
              <w:rPr>
                <w:b/>
                <w:color w:val="000000"/>
                <w:sz w:val="20"/>
                <w:lang w:val="en-GB"/>
              </w:rPr>
              <w:br/>
            </w:r>
            <w:r w:rsidRPr="009C48DA">
              <w:rPr>
                <w:color w:val="000000"/>
                <w:sz w:val="20"/>
                <w:lang w:val="en-GB"/>
              </w:rPr>
              <w:t>CityPoint</w:t>
            </w:r>
            <w:r w:rsidRPr="009C48DA">
              <w:rPr>
                <w:color w:val="000000"/>
                <w:sz w:val="20"/>
                <w:lang w:val="en-GB"/>
              </w:rPr>
              <w:br/>
              <w:t>One Ropemaker Street</w:t>
            </w:r>
            <w:r w:rsidRPr="009C48DA">
              <w:rPr>
                <w:color w:val="000000"/>
                <w:sz w:val="20"/>
                <w:lang w:val="en-GB"/>
              </w:rPr>
              <w:br/>
              <w:t>London</w:t>
            </w:r>
            <w:r w:rsidRPr="009C48DA">
              <w:rPr>
                <w:color w:val="000000"/>
                <w:sz w:val="20"/>
                <w:lang w:val="en-GB"/>
              </w:rPr>
              <w:br/>
              <w:t>EC2Y 9HU</w:t>
            </w:r>
          </w:p>
          <w:p w:rsidRPr="009C48DA" w:rsidR="006D6A27" w:rsidP="008910D4" w:rsidRDefault="006D6A27" w14:paraId="4315FB7B" w14:textId="77777777">
            <w:pPr>
              <w:spacing w:after="240"/>
              <w:ind w:left="216"/>
              <w:textAlignment w:val="baseline"/>
              <w:rPr>
                <w:color w:val="000000"/>
                <w:sz w:val="20"/>
                <w:lang w:val="en-GB"/>
              </w:rPr>
            </w:pPr>
          </w:p>
        </w:tc>
      </w:tr>
    </w:tbl>
    <w:p w:rsidRPr="009C48DA" w:rsidR="006D6A27" w:rsidRDefault="006D6A27" w14:paraId="05BB3286" w14:textId="3B760AEE">
      <w:pPr>
        <w:rPr>
          <w:b/>
          <w:color w:val="000000"/>
          <w:lang w:val="en-GB"/>
        </w:rPr>
      </w:pPr>
      <w:r w:rsidRPr="009C48DA">
        <w:rPr>
          <w:b/>
          <w:color w:val="000000"/>
          <w:lang w:val="en-GB"/>
        </w:rPr>
        <w:br w:type="page"/>
      </w:r>
    </w:p>
    <w:p w:rsidRPr="009C48DA" w:rsidR="006D6A27" w:rsidP="00F172AB" w:rsidRDefault="006D6A27" w14:paraId="798DF36D" w14:textId="2B7CA336">
      <w:pPr>
        <w:pStyle w:val="Heading1"/>
        <w:rPr>
          <w:lang w:val="en-GB"/>
        </w:rPr>
      </w:pPr>
      <w:bookmarkStart w:name="_Toc4171252" w:id="542"/>
      <w:r w:rsidRPr="009C48DA">
        <w:rPr>
          <w:lang w:val="en-GB"/>
        </w:rPr>
        <w:lastRenderedPageBreak/>
        <w:br/>
      </w:r>
      <w:bookmarkStart w:name="_Toc67956032" w:id="543"/>
      <w:bookmarkStart w:name="_Toc67962996" w:id="544"/>
      <w:bookmarkStart w:name="_Toc67963377" w:id="545"/>
      <w:r w:rsidRPr="009C48DA">
        <w:rPr>
          <w:lang w:val="en-GB"/>
        </w:rPr>
        <w:br/>
      </w:r>
      <w:bookmarkStart w:name="_Ref71144150" w:id="546"/>
      <w:bookmarkStart w:name="_Ref71144271" w:id="547"/>
      <w:bookmarkStart w:name="_Ref71144356" w:id="548"/>
      <w:bookmarkStart w:name="_Toc71147105" w:id="549"/>
      <w:bookmarkStart w:name="_Toc71147145" w:id="550"/>
      <w:bookmarkStart w:name="_Toc71147159" w:id="551"/>
      <w:bookmarkStart w:name="_Toc71167145" w:id="552"/>
      <w:bookmarkStart w:name="_Toc71187614" w:id="553"/>
      <w:bookmarkStart w:name="_Toc71188676" w:id="554"/>
      <w:bookmarkStart w:name="_Toc75831922" w:id="555"/>
      <w:r w:rsidRPr="009C48DA" w:rsidR="00F172AB">
        <w:rPr>
          <w:lang w:val="en-GB"/>
        </w:rPr>
        <w:t>Market Overview</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rsidRPr="009C48DA" w:rsidR="006D6A27" w:rsidP="00770C4F" w:rsidRDefault="006D6A27" w14:paraId="02FB616B" w14:textId="74EB7241">
      <w:pPr>
        <w:pStyle w:val="BodyText2SglJ"/>
        <w:rPr>
          <w:i/>
          <w:lang w:val="en-GB"/>
        </w:rPr>
      </w:pPr>
      <w:r w:rsidRPr="009C48DA">
        <w:rPr>
          <w:i/>
          <w:lang w:val="en-GB"/>
        </w:rPr>
        <w:t xml:space="preserve">The following information relating to the Group’s markets has been provided for background purposes only. The information has been extracted from a variety of sources released by public and private organisations. The information has been accurately reproduced and, as far as the Group is aware and is able to ascertain from information published by such sources, no facts have been omitted which would render the reproduced information inaccurate or misleading. Investors should read this </w:t>
      </w:r>
      <w:r w:rsidRPr="009C48DA">
        <w:rPr>
          <w:i/>
          <w:lang w:val="en-GB"/>
        </w:rPr>
        <w:fldChar w:fldCharType="begin"/>
      </w:r>
      <w:r w:rsidRPr="009C48DA">
        <w:rPr>
          <w:i/>
          <w:lang w:val="en-GB"/>
        </w:rPr>
        <w:instrText xml:space="preserve"> REF _Ref71144150 \n \h </w:instrText>
      </w:r>
      <w:r w:rsidRPr="009C48DA" w:rsidR="00513F0A">
        <w:rPr>
          <w:i/>
          <w:lang w:val="en-GB"/>
        </w:rPr>
        <w:instrText xml:space="preserve"> \* MERGEFORMAT </w:instrText>
      </w:r>
      <w:r w:rsidRPr="009C48DA">
        <w:rPr>
          <w:i/>
          <w:lang w:val="en-GB"/>
        </w:rPr>
      </w:r>
      <w:r w:rsidRPr="009C48DA">
        <w:rPr>
          <w:i/>
          <w:lang w:val="en-GB"/>
        </w:rPr>
        <w:fldChar w:fldCharType="separate"/>
      </w:r>
      <w:r w:rsidR="007C3D19">
        <w:rPr>
          <w:i/>
          <w:lang w:val="en-GB"/>
        </w:rPr>
        <w:t>Part IV</w:t>
      </w:r>
      <w:r w:rsidRPr="009C48DA">
        <w:rPr>
          <w:i/>
          <w:lang w:val="en-GB"/>
        </w:rPr>
        <w:fldChar w:fldCharType="end"/>
      </w:r>
      <w:r w:rsidRPr="009C48DA">
        <w:rPr>
          <w:i/>
          <w:lang w:val="en-GB"/>
        </w:rPr>
        <w:t xml:space="preserve"> (</w:t>
      </w:r>
      <w:r w:rsidRPr="009C48DA" w:rsidR="00A32B42">
        <w:rPr>
          <w:i/>
          <w:lang w:val="en-GB"/>
        </w:rPr>
      </w:r>
      <w:r w:rsidRPr="007C3D19" w:rsidR="007C3D19">
        <w:rPr>
          <w:i/>
          <w:lang w:val="en-GB"/>
        </w:rPr>
        <w:t>Market Overview</w:t>
      </w:r>
      <w:r w:rsidRPr="009C48DA">
        <w:rPr>
          <w:i/>
          <w:lang w:val="en-GB"/>
        </w:rPr>
        <w:t xml:space="preserve">) in conjunction with the more detailed information contained in this Registration Document including </w:t>
      </w:r>
      <w:r w:rsidRPr="009C48DA">
        <w:rPr>
          <w:i/>
          <w:lang w:val="en-GB"/>
        </w:rPr>
        <w:fldChar w:fldCharType="begin"/>
      </w:r>
      <w:r w:rsidRPr="009C48DA">
        <w:rPr>
          <w:i/>
          <w:lang w:val="en-GB"/>
        </w:rPr>
        <w:instrText xml:space="preserve"> REF _Ref71136204 \n \h </w:instrText>
      </w:r>
      <w:r w:rsidRPr="009C48DA" w:rsidR="00513F0A">
        <w:rPr>
          <w:i/>
          <w:lang w:val="en-GB"/>
        </w:rPr>
        <w:instrText xml:space="preserve"> \* MERGEFORMAT </w:instrText>
      </w:r>
      <w:r w:rsidRPr="009C48DA">
        <w:rPr>
          <w:i/>
          <w:lang w:val="en-GB"/>
        </w:rPr>
      </w:r>
      <w:r w:rsidRPr="009C48DA">
        <w:rPr>
          <w:i/>
          <w:lang w:val="en-GB"/>
        </w:rPr>
        <w:fldChar w:fldCharType="separate"/>
      </w:r>
      <w:r w:rsidR="007C3D19">
        <w:rPr>
          <w:i/>
          <w:lang w:val="en-GB"/>
        </w:rPr>
        <w:t>Part I</w:t>
      </w:r>
      <w:r w:rsidRPr="009C48DA">
        <w:rPr>
          <w:i/>
          <w:lang w:val="en-GB"/>
        </w:rPr>
        <w:fldChar w:fldCharType="end"/>
      </w:r>
      <w:r w:rsidRPr="009C48DA">
        <w:rPr>
          <w:i/>
          <w:lang w:val="en-GB"/>
        </w:rPr>
        <w:t xml:space="preserve"> (</w:t>
      </w:r>
      <w:r w:rsidRPr="009C48DA" w:rsidR="00770C4F">
        <w:rPr>
          <w:i/>
          <w:lang w:val="en-GB"/>
        </w:rPr>
        <w:fldChar w:fldCharType="begin"/>
      </w:r>
      <w:r w:rsidRPr="009C48DA" w:rsidR="00770C4F">
        <w:rPr>
          <w:i/>
          <w:lang w:val="en-GB"/>
        </w:rPr>
        <w:instrText xml:space="preserve"> REF _Ref75190583 \h  \* MERGEFORMAT </w:instrText>
      </w:r>
      <w:r w:rsidRPr="009C48DA" w:rsidR="00770C4F">
        <w:rPr>
          <w:i/>
          <w:lang w:val="en-GB"/>
        </w:rPr>
      </w:r>
      <w:r w:rsidRPr="009C48DA" w:rsidR="00770C4F">
        <w:rPr>
          <w:i/>
          <w:lang w:val="en-GB"/>
        </w:rPr>
        <w:fldChar w:fldCharType="separate"/>
      </w:r>
      <w:r w:rsidRPr="007C3D19" w:rsidR="007C3D19">
        <w:rPr>
          <w:i/>
          <w:lang w:val="en-GB"/>
        </w:rPr>
        <w:t>Risk Factors</w:t>
      </w:r>
      <w:r w:rsidRPr="009C48DA" w:rsidR="00770C4F">
        <w:rPr>
          <w:i/>
          <w:lang w:val="en-GB"/>
        </w:rPr>
        <w:fldChar w:fldCharType="end"/>
      </w:r>
      <w:r w:rsidRPr="009C48DA">
        <w:rPr>
          <w:i/>
          <w:lang w:val="en-GB"/>
        </w:rPr>
        <w:t xml:space="preserve">) and </w:t>
      </w:r>
      <w:r w:rsidRPr="009C48DA">
        <w:rPr>
          <w:i/>
          <w:lang w:val="en-GB"/>
        </w:rPr>
        <w:fldChar w:fldCharType="begin"/>
      </w:r>
      <w:r w:rsidRPr="009C48DA">
        <w:rPr>
          <w:i/>
          <w:lang w:val="en-GB"/>
        </w:rPr>
        <w:instrText xml:space="preserve"> REF _Ref71144174 \n \h </w:instrText>
      </w:r>
      <w:r w:rsidRPr="009C48DA" w:rsidR="00513F0A">
        <w:rPr>
          <w:i/>
          <w:lang w:val="en-GB"/>
        </w:rPr>
        <w:instrText xml:space="preserve"> \* MERGEFORMAT </w:instrText>
      </w:r>
      <w:r w:rsidRPr="009C48DA">
        <w:rPr>
          <w:i/>
          <w:lang w:val="en-GB"/>
        </w:rPr>
      </w:r>
      <w:r w:rsidRPr="009C48DA">
        <w:rPr>
          <w:i/>
          <w:lang w:val="en-GB"/>
        </w:rPr>
        <w:fldChar w:fldCharType="separate"/>
      </w:r>
      <w:r w:rsidR="007C3D19">
        <w:rPr>
          <w:i/>
          <w:lang w:val="en-GB"/>
        </w:rPr>
        <w:t>Part IX</w:t>
      </w:r>
      <w:r w:rsidRPr="009C48DA">
        <w:rPr>
          <w:i/>
          <w:lang w:val="en-GB"/>
        </w:rPr>
        <w:fldChar w:fldCharType="end"/>
      </w:r>
      <w:r w:rsidRPr="009C48DA">
        <w:rPr>
          <w:i/>
          <w:lang w:val="en-GB"/>
        </w:rPr>
        <w:t xml:space="preserve"> (</w:t>
      </w:r>
      <w:r w:rsidRPr="009C48DA" w:rsidR="00770C4F">
        <w:rPr>
          <w:i/>
          <w:lang w:val="en-GB"/>
        </w:rPr>
        <w:fldChar w:fldCharType="begin"/>
      </w:r>
      <w:r w:rsidRPr="009C48DA" w:rsidR="00770C4F">
        <w:rPr>
          <w:i/>
          <w:lang w:val="en-GB"/>
        </w:rPr>
        <w:instrText xml:space="preserve"> REF _Ref75191226 \h  \* MERGEFORMAT </w:instrText>
      </w:r>
      <w:r w:rsidRPr="009C48DA" w:rsidR="00770C4F">
        <w:rPr>
          <w:i/>
          <w:lang w:val="en-GB"/>
        </w:rPr>
      </w:r>
      <w:r w:rsidRPr="009C48DA" w:rsidR="00770C4F">
        <w:rPr>
          <w:i/>
          <w:lang w:val="en-GB"/>
        </w:rPr>
        <w:fldChar w:fldCharType="separate"/>
      </w:r>
      <w:r w:rsidRPr="007C3D19" w:rsidR="007C3D19">
        <w:rPr>
          <w:i/>
          <w:lang w:val="en-GB"/>
        </w:rPr>
        <w:t>Operating and Financial Review</w:t>
      </w:r>
      <w:r w:rsidRPr="009C48DA" w:rsidR="00770C4F">
        <w:rPr>
          <w:i/>
          <w:lang w:val="en-GB"/>
        </w:rPr>
        <w:fldChar w:fldCharType="end"/>
      </w:r>
      <w:r w:rsidRPr="009C48DA">
        <w:rPr>
          <w:i/>
          <w:lang w:val="en-GB"/>
        </w:rPr>
        <w:t>).</w:t>
      </w:r>
    </w:p>
    <w:p w:rsidRPr="009C48DA" w:rsidR="00E15E59" w:rsidP="00FB111A" w:rsidRDefault="00FB111A" w14:paraId="69F113AD" w14:textId="474ED0BA">
      <w:pPr>
        <w:pStyle w:val="TitleBAllCaps"/>
      </w:pPr>
      <w:r w:rsidRPr="009C48DA">
        <w:t>OVERVIEW OF THE GLOBAL ASSET MANAGEMENT AND PRIVATE MARKETS</w:t>
      </w:r>
    </w:p>
    <w:p w:rsidRPr="009C48DA" w:rsidR="00E15E59" w:rsidP="0002759F" w:rsidRDefault="00E15E59" w14:paraId="608CB76D" w14:textId="26C1CA5B">
      <w:pPr>
        <w:pStyle w:val="BodyText2SglJ"/>
        <w:rPr>
          <w:lang w:val="en-GB"/>
        </w:rPr>
      </w:pPr>
      <w:r w:rsidRPr="009C48DA">
        <w:rPr>
          <w:lang w:val="en-GB"/>
        </w:rPr>
        <w:t>The global savings market is serviced by asset management companies which provide professional investment management services to investors. These include institutional investors, such as insurance companies, pension funds and sovereign wealth funds, as well as high</w:t>
      </w:r>
      <w:r w:rsidRPr="009C48DA" w:rsidR="00973017">
        <w:rPr>
          <w:lang w:val="en-GB"/>
        </w:rPr>
        <w:t>-</w:t>
      </w:r>
      <w:r w:rsidRPr="009C48DA">
        <w:rPr>
          <w:lang w:val="en-GB"/>
        </w:rPr>
        <w:t>net</w:t>
      </w:r>
      <w:r w:rsidRPr="009C48DA" w:rsidR="00973017">
        <w:rPr>
          <w:lang w:val="en-GB"/>
        </w:rPr>
        <w:t>-</w:t>
      </w:r>
      <w:r w:rsidRPr="009C48DA">
        <w:rPr>
          <w:lang w:val="en-GB"/>
        </w:rPr>
        <w:t>worth individuals (“</w:t>
      </w:r>
      <w:r w:rsidRPr="009C48DA">
        <w:rPr>
          <w:b/>
          <w:lang w:val="en-GB"/>
        </w:rPr>
        <w:t>HNWIs</w:t>
      </w:r>
      <w:r w:rsidRPr="009C48DA">
        <w:rPr>
          <w:lang w:val="en-GB"/>
        </w:rPr>
        <w:t>”) and retail investors.</w:t>
      </w:r>
    </w:p>
    <w:p w:rsidRPr="009C48DA" w:rsidR="00E15E59" w:rsidP="0002759F" w:rsidRDefault="00E15E59" w14:paraId="1165B9CD" w14:textId="29C5BDF4">
      <w:pPr>
        <w:pStyle w:val="BodyText2SglJ"/>
        <w:rPr>
          <w:lang w:val="en-GB"/>
        </w:rPr>
      </w:pPr>
      <w:r w:rsidRPr="009C48DA">
        <w:rPr>
          <w:lang w:val="en-GB"/>
        </w:rPr>
        <w:t xml:space="preserve">The asset management sector has expanded rapidly, with global assets under management in the industry having grown by more than 40 per cent </w:t>
      </w:r>
      <w:r w:rsidRPr="009C48DA" w:rsidR="001D0D01">
        <w:rPr>
          <w:lang w:val="en-GB"/>
        </w:rPr>
        <w:t>from</w:t>
      </w:r>
      <w:r w:rsidRPr="009C48DA">
        <w:rPr>
          <w:lang w:val="en-GB"/>
        </w:rPr>
        <w:t xml:space="preserve"> 2015 </w:t>
      </w:r>
      <w:r w:rsidRPr="009C48DA" w:rsidR="001D0D01">
        <w:rPr>
          <w:lang w:val="en-GB"/>
        </w:rPr>
        <w:t>to</w:t>
      </w:r>
      <w:r w:rsidRPr="009C48DA">
        <w:rPr>
          <w:lang w:val="en-GB"/>
        </w:rPr>
        <w:t xml:space="preserve"> 2020.</w:t>
      </w:r>
      <w:r w:rsidRPr="009C48DA">
        <w:rPr>
          <w:vertAlign w:val="superscript"/>
          <w:lang w:val="en-GB"/>
        </w:rPr>
        <w:footnoteReference w:id="5"/>
      </w:r>
      <w:r w:rsidRPr="009C48DA">
        <w:rPr>
          <w:lang w:val="en-GB"/>
        </w:rPr>
        <w:t xml:space="preserve"> The aggregate amount of global </w:t>
      </w:r>
      <w:r w:rsidRPr="009C48DA" w:rsidR="00727E05">
        <w:rPr>
          <w:lang w:val="en-GB"/>
        </w:rPr>
        <w:t>assets under management</w:t>
      </w:r>
      <w:r w:rsidRPr="009C48DA">
        <w:rPr>
          <w:lang w:val="en-GB"/>
        </w:rPr>
        <w:t xml:space="preserve"> held or managed by asset management compan</w:t>
      </w:r>
      <w:r w:rsidR="00A65814">
        <w:rPr>
          <w:lang w:val="en-GB"/>
        </w:rPr>
        <w:t>ies in 2020 was estimated to be </w:t>
      </w:r>
      <w:r w:rsidRPr="009C48DA">
        <w:rPr>
          <w:lang w:val="en-GB"/>
        </w:rPr>
        <w:t>US$112.3</w:t>
      </w:r>
      <w:r w:rsidRPr="009C48DA" w:rsidR="00973017">
        <w:rPr>
          <w:lang w:val="en-GB"/>
        </w:rPr>
        <w:t> </w:t>
      </w:r>
      <w:r w:rsidRPr="009C48DA">
        <w:rPr>
          <w:lang w:val="en-GB"/>
        </w:rPr>
        <w:t>trillion.</w:t>
      </w:r>
      <w:r w:rsidRPr="009C48DA">
        <w:rPr>
          <w:vertAlign w:val="superscript"/>
          <w:lang w:val="en-GB"/>
        </w:rPr>
        <w:footnoteReference w:id="6"/>
      </w:r>
      <w:r w:rsidRPr="009C48DA">
        <w:rPr>
          <w:lang w:val="en-GB"/>
        </w:rPr>
        <w:t xml:space="preserve"> Further net inflows to the sector are likely to be driven by increased pools of wealth, ageing populations and mounting pension funding gaps. </w:t>
      </w:r>
    </w:p>
    <w:p w:rsidRPr="009C48DA" w:rsidR="00E15E59" w:rsidP="0002759F" w:rsidRDefault="00E15E59" w14:paraId="0695A1DA" w14:textId="5FB6183E">
      <w:pPr>
        <w:pStyle w:val="BodyText2SglJ"/>
        <w:rPr>
          <w:lang w:val="en-GB"/>
        </w:rPr>
      </w:pPr>
      <w:r w:rsidRPr="009C48DA">
        <w:rPr>
          <w:lang w:val="en-GB"/>
        </w:rPr>
        <w:t xml:space="preserve">Within the asset management sector, global </w:t>
      </w:r>
      <w:r w:rsidRPr="009C48DA" w:rsidR="00727E05">
        <w:rPr>
          <w:lang w:val="en-GB"/>
        </w:rPr>
        <w:t xml:space="preserve">assets under management in </w:t>
      </w:r>
      <w:r w:rsidRPr="009C48DA">
        <w:rPr>
          <w:lang w:val="en-GB"/>
        </w:rPr>
        <w:t>private markets are forecast to grow at a higher rate than global savings, with private equity and private credit expected to grow</w:t>
      </w:r>
      <w:r w:rsidRPr="009C48DA" w:rsidR="001D0D01">
        <w:rPr>
          <w:lang w:val="en-GB"/>
        </w:rPr>
        <w:t>,</w:t>
      </w:r>
      <w:r w:rsidRPr="009C48DA">
        <w:rPr>
          <w:lang w:val="en-GB"/>
        </w:rPr>
        <w:t xml:space="preserve"> </w:t>
      </w:r>
      <w:r w:rsidRPr="009C48DA" w:rsidR="001D0D01">
        <w:rPr>
          <w:lang w:val="en-GB"/>
        </w:rPr>
        <w:t>from</w:t>
      </w:r>
      <w:r w:rsidRPr="009C48DA">
        <w:rPr>
          <w:lang w:val="en-GB"/>
        </w:rPr>
        <w:t xml:space="preserve"> 2020 </w:t>
      </w:r>
      <w:r w:rsidRPr="009C48DA" w:rsidR="001D0D01">
        <w:rPr>
          <w:lang w:val="en-GB"/>
        </w:rPr>
        <w:t>to</w:t>
      </w:r>
      <w:r w:rsidRPr="009C48DA">
        <w:rPr>
          <w:lang w:val="en-GB"/>
        </w:rPr>
        <w:t xml:space="preserve"> 2025</w:t>
      </w:r>
      <w:r w:rsidRPr="009C48DA" w:rsidR="001D0D01">
        <w:rPr>
          <w:lang w:val="en-GB"/>
        </w:rPr>
        <w:t>,</w:t>
      </w:r>
      <w:r w:rsidRPr="009C48DA">
        <w:rPr>
          <w:lang w:val="en-GB"/>
        </w:rPr>
        <w:t xml:space="preserve"> at a CAGR of 15.6 per cent and 11.4 per cent, respectively, and total </w:t>
      </w:r>
      <w:r w:rsidRPr="009C48DA" w:rsidR="00727E05">
        <w:rPr>
          <w:lang w:val="en-GB"/>
        </w:rPr>
        <w:t xml:space="preserve">assets under management for </w:t>
      </w:r>
      <w:r w:rsidRPr="009C48DA">
        <w:rPr>
          <w:lang w:val="en-GB"/>
        </w:rPr>
        <w:t>alternatives (comprising private equity, private credit, real estate and infrastructure) expected to grow at a CAGR of 12.6 per cent over the same period.</w:t>
      </w:r>
    </w:p>
    <w:p w:rsidRPr="009C48DA" w:rsidR="006B79DE" w:rsidP="006B79DE" w:rsidRDefault="00A74803" w14:paraId="67CCEBCC" w14:textId="4F2A60B9">
      <w:pPr>
        <w:pStyle w:val="BodyText2SglJ"/>
        <w:ind w:firstLine="0"/>
        <w:jc w:val="center"/>
        <w:rPr>
          <w:lang w:val="en-GB"/>
        </w:rPr>
      </w:pPr>
      <w:r w:rsidRPr="000A57A3">
        <w:rPr>
          <w:noProof/>
        </w:rPr>
        <w:drawing>
          <wp:inline distT="0" distB="0" distL="0" distR="0" wp14:anchorId="27CD8BED" wp14:editId="39D30C0E">
            <wp:extent cx="5429250" cy="2895800"/>
            <wp:effectExtent l="0" t="0" r="0" b="0"/>
            <wp:docPr id="10" name="Picture 9" descr="" title="">
              <a:extLst xmlns:a="http://schemas.openxmlformats.org/drawingml/2006/main">
                <a:ext uri="{FF2B5EF4-FFF2-40B4-BE49-F238E27FC236}">
                  <a16:creationId xmlns:a16="http://schemas.microsoft.com/office/drawing/2014/main" id="{B6945E6B-EC15-4809-A2FB-99B7C46938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B6945E6B-EC15-4809-A2FB-99B7C469387D}"/>
                        </a:ext>
                      </a:extLst>
                    </pic:cNvPr>
                    <pic:cNvPicPr>
                      <a:picLocks noChangeAspect="1"/>
                    </pic:cNvPicPr>
                  </pic:nvPicPr>
                  <pic:blipFill>
                    <a:blip r:embed="rId21"/>
                    <a:stretch>
                      <a:fillRect/>
                    </a:stretch>
                  </pic:blipFill>
                  <pic:spPr>
                    <a:xfrm>
                      <a:off x="0" y="0"/>
                      <a:ext cx="5429250" cy="2895800"/>
                    </a:xfrm>
                    <a:prstGeom prst="rect">
                      <a:avLst/>
                    </a:prstGeom>
                  </pic:spPr>
                </pic:pic>
              </a:graphicData>
            </a:graphic>
          </wp:inline>
        </w:drawing>
      </w:r>
    </w:p>
    <w:p w:rsidRPr="009C48DA" w:rsidR="00E15E59" w:rsidP="00280F77" w:rsidRDefault="00E15E59" w14:paraId="356EDA66" w14:textId="4FD0058C">
      <w:pPr>
        <w:pStyle w:val="BlockTextSglJ"/>
        <w:spacing w:after="0"/>
        <w:rPr>
          <w:lang w:val="en-GB"/>
        </w:rPr>
      </w:pPr>
      <w:r w:rsidRPr="009C48DA">
        <w:rPr>
          <w:i/>
          <w:lang w:val="en-GB"/>
        </w:rPr>
        <w:t>Source</w:t>
      </w:r>
      <w:r w:rsidRPr="009C48DA">
        <w:rPr>
          <w:lang w:val="en-GB"/>
        </w:rPr>
        <w:t xml:space="preserve">: Preqin, </w:t>
      </w:r>
      <w:r w:rsidRPr="009C48DA">
        <w:rPr>
          <w:i/>
          <w:lang w:val="en-GB"/>
        </w:rPr>
        <w:t>Preqin Special Report: The Future of Alternatives 2025</w:t>
      </w:r>
      <w:r w:rsidRPr="009C48DA">
        <w:rPr>
          <w:lang w:val="en-GB"/>
        </w:rPr>
        <w:t>, November 2020.</w:t>
      </w:r>
    </w:p>
    <w:p w:rsidRPr="009C48DA" w:rsidR="00E15E59" w:rsidP="00280F77" w:rsidRDefault="00E15E59" w14:paraId="78BD495A" w14:textId="6D2F6963">
      <w:pPr>
        <w:pStyle w:val="BlockTextSglJ"/>
        <w:rPr>
          <w:lang w:val="en-GB"/>
        </w:rPr>
      </w:pPr>
      <w:r w:rsidRPr="009C48DA">
        <w:rPr>
          <w:i/>
          <w:lang w:val="en-GB"/>
        </w:rPr>
        <w:t>Note</w:t>
      </w:r>
      <w:r w:rsidRPr="009C48DA">
        <w:rPr>
          <w:lang w:val="en-GB"/>
        </w:rPr>
        <w:t xml:space="preserve">: </w:t>
      </w:r>
      <w:r w:rsidRPr="009C48DA">
        <w:rPr>
          <w:vertAlign w:val="superscript"/>
          <w:lang w:val="en-GB"/>
        </w:rPr>
        <w:t>1</w:t>
      </w:r>
      <w:r w:rsidRPr="009C48DA">
        <w:rPr>
          <w:lang w:val="en-GB"/>
        </w:rPr>
        <w:t xml:space="preserve"> 2020 is annualised based on data to October 2020.</w:t>
      </w:r>
      <w:r w:rsidRPr="009C48DA" w:rsidR="00FB71EC">
        <w:rPr>
          <w:lang w:val="en-GB"/>
        </w:rPr>
        <w:t xml:space="preserve"> </w:t>
      </w:r>
      <w:r w:rsidRPr="009C48DA">
        <w:rPr>
          <w:lang w:val="en-GB"/>
        </w:rPr>
        <w:t>2021 to 2025 are Preqin’s forecasted figures.</w:t>
      </w:r>
    </w:p>
    <w:p w:rsidRPr="009C48DA" w:rsidR="00E15E59" w:rsidP="00FB111A" w:rsidRDefault="00FB111A" w14:paraId="10B3FAC8" w14:textId="2FDEC1D1">
      <w:pPr>
        <w:pStyle w:val="TitleBAllCaps"/>
      </w:pPr>
      <w:r w:rsidRPr="009C48DA">
        <w:lastRenderedPageBreak/>
        <w:t>OVERVIEW OF PRIVATE MARKET INVESTMENTS</w:t>
      </w:r>
    </w:p>
    <w:p w:rsidRPr="009C48DA" w:rsidR="00E15E59" w:rsidP="0002759F" w:rsidRDefault="00E15E59" w14:paraId="63A89283" w14:textId="563A7DA0">
      <w:pPr>
        <w:pStyle w:val="BodyText2SglJ"/>
        <w:rPr>
          <w:lang w:val="en-GB"/>
        </w:rPr>
      </w:pPr>
      <w:r w:rsidRPr="009C48DA">
        <w:rPr>
          <w:lang w:val="en-GB"/>
        </w:rPr>
        <w:t xml:space="preserve">Private market investments are an increasingly important asset class both for investors seeking returns and for asset management firms. In comparison to public markets, the nature of private markets investing is typically longer-term, with capital locked into funds for periods typically ranging </w:t>
      </w:r>
      <w:r w:rsidRPr="009C48DA" w:rsidR="001D0D01">
        <w:rPr>
          <w:lang w:val="en-GB"/>
        </w:rPr>
        <w:t>from</w:t>
      </w:r>
      <w:r w:rsidR="00A65814">
        <w:rPr>
          <w:lang w:val="en-GB"/>
        </w:rPr>
        <w:t xml:space="preserve"> eight to </w:t>
      </w:r>
      <w:r w:rsidRPr="009C48DA" w:rsidR="001E4357">
        <w:rPr>
          <w:lang w:val="en-GB"/>
        </w:rPr>
        <w:t xml:space="preserve">10 </w:t>
      </w:r>
      <w:r w:rsidRPr="009C48DA">
        <w:rPr>
          <w:lang w:val="en-GB"/>
        </w:rPr>
        <w:t xml:space="preserve">years. </w:t>
      </w:r>
    </w:p>
    <w:p w:rsidRPr="009C48DA" w:rsidR="00E15E59" w:rsidP="0002759F" w:rsidRDefault="00E15E59" w14:paraId="55098CD9" w14:textId="37A60DA3">
      <w:pPr>
        <w:pStyle w:val="BodyText2SglJ"/>
        <w:rPr>
          <w:lang w:val="en-GB"/>
        </w:rPr>
      </w:pPr>
      <w:r w:rsidRPr="009C48DA">
        <w:rPr>
          <w:lang w:val="en-GB"/>
        </w:rPr>
        <w:t>This long-term investment period can be further extended through the use of continuation funds, a relatively new development in the private markets space. For continuation funds, a new fund vehicle is set up to acquire one or more assets from the original fund, and the continuation fund typically continues to be managed by the same asset management firm. Continuation funds serve the dual purpose of providing liquidity to investors in the original fund towards the end of the fund’s life as well as allowing the asset management firms</w:t>
      </w:r>
      <w:r w:rsidRPr="009C48DA" w:rsidDel="00FD73DE">
        <w:rPr>
          <w:lang w:val="en-GB"/>
        </w:rPr>
        <w:t xml:space="preserve"> </w:t>
      </w:r>
      <w:r w:rsidRPr="009C48DA">
        <w:rPr>
          <w:lang w:val="en-GB"/>
        </w:rPr>
        <w:t xml:space="preserve">to drive further value creation in the assets transferred to the continuation fund whilst continuing to generate management fees and performance-related income. </w:t>
      </w:r>
      <w:r w:rsidRPr="009C48DA" w:rsidR="00342097">
        <w:rPr>
          <w:lang w:val="en-GB"/>
        </w:rPr>
        <w:t>Compared to primary funds, continuation funds typically have a shorter term (</w:t>
      </w:r>
      <w:r w:rsidRPr="009C48DA" w:rsidR="00AD15E0">
        <w:rPr>
          <w:lang w:val="en-GB"/>
        </w:rPr>
        <w:t>for example</w:t>
      </w:r>
      <w:r w:rsidRPr="009C48DA" w:rsidR="00342097">
        <w:rPr>
          <w:lang w:val="en-GB"/>
        </w:rPr>
        <w:t>, five years).</w:t>
      </w:r>
    </w:p>
    <w:p w:rsidRPr="009C48DA" w:rsidR="00E15E59" w:rsidP="0002759F" w:rsidRDefault="00E15E59" w14:paraId="6A6D31D4" w14:textId="77777777">
      <w:pPr>
        <w:pStyle w:val="BodyText2SglJ"/>
        <w:rPr>
          <w:lang w:val="en-GB"/>
        </w:rPr>
      </w:pPr>
      <w:r w:rsidRPr="009C48DA">
        <w:rPr>
          <w:lang w:val="en-GB"/>
        </w:rPr>
        <w:t>The key strategies within private markets include:</w:t>
      </w:r>
    </w:p>
    <w:p w:rsidRPr="009C48DA" w:rsidR="00E15E59" w:rsidP="000C376E" w:rsidRDefault="00E15E59" w14:paraId="7A1D796A" w14:textId="77777777">
      <w:pPr>
        <w:pStyle w:val="TitleB"/>
        <w:rPr>
          <w:lang w:val="en-GB"/>
        </w:rPr>
      </w:pPr>
      <w:r w:rsidRPr="009C48DA">
        <w:rPr>
          <w:lang w:val="en-GB"/>
        </w:rPr>
        <w:t>Private equity</w:t>
      </w:r>
    </w:p>
    <w:p w:rsidRPr="009C48DA" w:rsidR="00E15E59" w:rsidP="0002759F" w:rsidRDefault="00E15E59" w14:paraId="57C7CAD2" w14:textId="6E44CCD0">
      <w:pPr>
        <w:pStyle w:val="BodyText2SglJ"/>
        <w:rPr>
          <w:lang w:val="en-GB"/>
        </w:rPr>
      </w:pPr>
      <w:r w:rsidRPr="009C48DA">
        <w:rPr>
          <w:lang w:val="en-GB"/>
        </w:rPr>
        <w:t>Private equity investments typically comprise acquisitions of either controlling, co-controlling or influential minority stakes in developing or developed unlisted companies. The stated investment strategy of a given private equity fund may dictate, among other criteria, the sector, geography and stage of life</w:t>
      </w:r>
      <w:r w:rsidRPr="009C48DA" w:rsidR="00FD0449">
        <w:rPr>
          <w:lang w:val="en-GB"/>
        </w:rPr>
        <w:t xml:space="preserve"> </w:t>
      </w:r>
      <w:r w:rsidRPr="009C48DA">
        <w:rPr>
          <w:lang w:val="en-GB"/>
        </w:rPr>
        <w:t>cycle of a target company in which the fund may invest.</w:t>
      </w:r>
    </w:p>
    <w:p w:rsidRPr="009C48DA" w:rsidR="00E15E59" w:rsidP="000C376E" w:rsidRDefault="00E15E59" w14:paraId="26BCC91C" w14:textId="77777777">
      <w:pPr>
        <w:pStyle w:val="TitleB"/>
        <w:rPr>
          <w:rFonts w:cs="Times New Roman"/>
          <w:lang w:val="en-GB"/>
        </w:rPr>
      </w:pPr>
      <w:r w:rsidRPr="009C48DA">
        <w:rPr>
          <w:lang w:val="en-GB"/>
        </w:rPr>
        <w:t>Private debt or credit</w:t>
      </w:r>
    </w:p>
    <w:p w:rsidRPr="009C48DA" w:rsidR="00E15E59" w:rsidP="0002759F" w:rsidRDefault="00E15E59" w14:paraId="337C0373" w14:textId="21E8AEB3">
      <w:pPr>
        <w:pStyle w:val="BodyText2SglJ"/>
        <w:rPr>
          <w:lang w:val="en-GB"/>
        </w:rPr>
      </w:pPr>
      <w:r w:rsidRPr="009C48DA">
        <w:rPr>
          <w:lang w:val="en-GB"/>
        </w:rPr>
        <w:t>Private debt or credit investments include investments in (generally unlisted) credit assets with strategies addressing different parts of the credit spectrum through both the primary and secondary markets. These can range from lower risk senior and syndicated debt strategies, such as the financing of fixed</w:t>
      </w:r>
      <w:r w:rsidRPr="009C48DA" w:rsidR="00FD0449">
        <w:rPr>
          <w:lang w:val="en-GB"/>
        </w:rPr>
        <w:t>-</w:t>
      </w:r>
      <w:r w:rsidRPr="009C48DA">
        <w:rPr>
          <w:lang w:val="en-GB"/>
        </w:rPr>
        <w:t xml:space="preserve"> and floating-rate loans or notes, and collateralised loan obligations, as well as direct lending strategies with a focus on high</w:t>
      </w:r>
      <w:r w:rsidRPr="009C48DA" w:rsidR="00FD0449">
        <w:rPr>
          <w:lang w:val="en-GB"/>
        </w:rPr>
        <w:t>-</w:t>
      </w:r>
      <w:r w:rsidRPr="009C48DA">
        <w:rPr>
          <w:lang w:val="en-GB"/>
        </w:rPr>
        <w:t xml:space="preserve">quality companies, through to mezzanine lending and more opportunistic stressed and distressed investment opportunities. </w:t>
      </w:r>
    </w:p>
    <w:p w:rsidRPr="009C48DA" w:rsidR="00E15E59" w:rsidP="000C376E" w:rsidRDefault="00E15E59" w14:paraId="379D292C" w14:textId="77777777">
      <w:pPr>
        <w:pStyle w:val="TitleB"/>
        <w:rPr>
          <w:lang w:val="en-GB"/>
        </w:rPr>
      </w:pPr>
      <w:r w:rsidRPr="009C48DA">
        <w:rPr>
          <w:lang w:val="en-GB"/>
        </w:rPr>
        <w:t>Infrastructure</w:t>
      </w:r>
    </w:p>
    <w:p w:rsidRPr="009C48DA" w:rsidR="00E15E59" w:rsidP="0002759F" w:rsidRDefault="00E15E59" w14:paraId="23414105" w14:textId="77777777">
      <w:pPr>
        <w:pStyle w:val="BodyText2SglJ"/>
        <w:rPr>
          <w:lang w:val="en-GB"/>
        </w:rPr>
      </w:pPr>
      <w:r w:rsidRPr="009C48DA">
        <w:rPr>
          <w:lang w:val="en-GB"/>
        </w:rPr>
        <w:t>Funds following this strategy typically invest in either infrastructure assets (for example, power assets, roads or airports) or companies that own and operate infrastructure assets (for example, utility or fibre companies), with varying risk profiles and levels of active management.</w:t>
      </w:r>
    </w:p>
    <w:p w:rsidRPr="009C48DA" w:rsidR="00E15E59" w:rsidP="000C376E" w:rsidRDefault="00E15E59" w14:paraId="196833F6" w14:textId="77777777">
      <w:pPr>
        <w:pStyle w:val="TitleB"/>
        <w:rPr>
          <w:rFonts w:cs="Times New Roman"/>
          <w:lang w:val="en-GB"/>
        </w:rPr>
      </w:pPr>
      <w:r w:rsidRPr="009C48DA">
        <w:rPr>
          <w:lang w:val="en-GB"/>
        </w:rPr>
        <w:t>Real estate</w:t>
      </w:r>
    </w:p>
    <w:p w:rsidRPr="009C48DA" w:rsidR="00E15E59" w:rsidP="0002759F" w:rsidRDefault="00E15E59" w14:paraId="4D9E215C" w14:textId="77777777">
      <w:pPr>
        <w:pStyle w:val="BodyText2SglJ"/>
        <w:rPr>
          <w:lang w:val="en-GB"/>
        </w:rPr>
      </w:pPr>
      <w:r w:rsidRPr="009C48DA">
        <w:rPr>
          <w:lang w:val="en-GB"/>
        </w:rPr>
        <w:t>Private market investors with a real estate strategy typically focus on investments in portfolios of real estate assets (for example, residential or commercial developments), with varying risk profiles ranging from core, low-risk strategies to value-add strategies (which focus on the active management and improvement of assets).</w:t>
      </w:r>
    </w:p>
    <w:p w:rsidRPr="009C48DA" w:rsidR="00E15E59" w:rsidP="000C376E" w:rsidRDefault="00E15E59" w14:paraId="46729AB7" w14:textId="77777777">
      <w:pPr>
        <w:pStyle w:val="TitleB"/>
        <w:rPr>
          <w:lang w:val="en-GB"/>
        </w:rPr>
      </w:pPr>
      <w:r w:rsidRPr="009C48DA">
        <w:rPr>
          <w:lang w:val="en-GB"/>
        </w:rPr>
        <w:t>Venture capital</w:t>
      </w:r>
    </w:p>
    <w:p w:rsidRPr="009C48DA" w:rsidR="00E15E59" w:rsidP="0002759F" w:rsidRDefault="00E15E59" w14:paraId="35A64595" w14:textId="77777777">
      <w:pPr>
        <w:pStyle w:val="BodyText2SglJ"/>
        <w:rPr>
          <w:lang w:val="en-GB"/>
        </w:rPr>
      </w:pPr>
      <w:r w:rsidRPr="009C48DA">
        <w:rPr>
          <w:lang w:val="en-GB"/>
        </w:rPr>
        <w:t>Venture capital investors usually invest in smaller, early-stage growth businesses, typically without the use of leverage and more often than private equity strategies taking a minority stake of equity in those businesses.</w:t>
      </w:r>
    </w:p>
    <w:p w:rsidRPr="009C48DA" w:rsidR="00E15E59" w:rsidP="000C376E" w:rsidRDefault="00E15E59" w14:paraId="46C83C92" w14:textId="77777777">
      <w:pPr>
        <w:pStyle w:val="TitleB"/>
        <w:rPr>
          <w:lang w:val="en-GB"/>
        </w:rPr>
      </w:pPr>
      <w:r w:rsidRPr="009C48DA">
        <w:rPr>
          <w:lang w:val="en-GB"/>
        </w:rPr>
        <w:t>Secondary transactions</w:t>
      </w:r>
    </w:p>
    <w:p w:rsidRPr="009C48DA" w:rsidR="00E15E59" w:rsidP="0002759F" w:rsidRDefault="00E15E59" w14:paraId="0AC885E8" w14:textId="55B337D8">
      <w:pPr>
        <w:pStyle w:val="BodyText2SglJ"/>
        <w:rPr>
          <w:lang w:val="en-GB"/>
        </w:rPr>
      </w:pPr>
      <w:r w:rsidRPr="009C48DA">
        <w:rPr>
          <w:lang w:val="en-GB"/>
        </w:rPr>
        <w:t>In recent years, secondary transactions (whereby an investment manager purchases pre-existing investor interests and unfunded commitments in a private markets fund) have also meaningfully grown in volume, hitting in 2019 a record high of US$85 billion before declining in 2020 as a result of the COVID</w:t>
      </w:r>
      <w:r w:rsidRPr="009C48DA" w:rsidR="000E1FF1">
        <w:rPr>
          <w:lang w:val="en-GB"/>
        </w:rPr>
        <w:noBreakHyphen/>
      </w:r>
      <w:r w:rsidRPr="009C48DA">
        <w:rPr>
          <w:lang w:val="en-GB"/>
        </w:rPr>
        <w:t xml:space="preserve">19 </w:t>
      </w:r>
      <w:r w:rsidRPr="009C48DA">
        <w:rPr>
          <w:lang w:val="en-GB"/>
        </w:rPr>
        <w:lastRenderedPageBreak/>
        <w:t>pandemic.</w:t>
      </w:r>
      <w:r w:rsidRPr="009C48DA">
        <w:rPr>
          <w:vertAlign w:val="superscript"/>
          <w:lang w:val="en-GB"/>
        </w:rPr>
        <w:footnoteReference w:id="7"/>
      </w:r>
      <w:r w:rsidRPr="009C48DA">
        <w:rPr>
          <w:lang w:val="en-GB"/>
        </w:rPr>
        <w:t xml:space="preserve"> Such transactions provide early liquidity and allow more active management of portfolios for fund investors. </w:t>
      </w:r>
    </w:p>
    <w:p w:rsidRPr="009C48DA" w:rsidR="00E15E59" w:rsidP="00FB111A" w:rsidRDefault="00FB111A" w14:paraId="49C5D917" w14:textId="2D0BEEDB">
      <w:pPr>
        <w:pStyle w:val="TitleBAllCaps"/>
      </w:pPr>
      <w:r w:rsidRPr="009C48DA">
        <w:t>OVERVIEW OF THE MIDDLE MARKET OF THE EUROPEAN PRIVATE MARKETS INDUSTRY</w:t>
      </w:r>
    </w:p>
    <w:p w:rsidRPr="009C48DA" w:rsidR="00E15E59" w:rsidP="0002759F" w:rsidRDefault="00E15E59" w14:paraId="46262FF5" w14:textId="74ECB5E6">
      <w:pPr>
        <w:pStyle w:val="BodyText2SglJ"/>
        <w:rPr>
          <w:lang w:val="en-GB"/>
        </w:rPr>
      </w:pPr>
      <w:r w:rsidRPr="009C48DA">
        <w:rPr>
          <w:lang w:val="en-GB"/>
        </w:rPr>
        <w:t xml:space="preserve">The middle market of the European private markets industry is defined by </w:t>
      </w:r>
      <w:r w:rsidRPr="009C48DA" w:rsidR="00BB773E">
        <w:rPr>
          <w:rFonts w:eastAsia="Calibri" w:cs="Arial"/>
          <w:szCs w:val="20"/>
          <w:lang w:val="en-GB"/>
        </w:rPr>
        <w:t xml:space="preserve">Bridgepoint </w:t>
      </w:r>
      <w:r w:rsidRPr="009C48DA">
        <w:rPr>
          <w:lang w:val="en-GB"/>
        </w:rPr>
        <w:t xml:space="preserve">as comprising investments of private asset managers in businesses with an enterprise value of </w:t>
      </w:r>
      <w:r w:rsidRPr="009C48DA" w:rsidR="00342097">
        <w:rPr>
          <w:lang w:val="en-GB"/>
        </w:rPr>
        <w:t xml:space="preserve">typically </w:t>
      </w:r>
      <w:r w:rsidR="00A65814">
        <w:rPr>
          <w:lang w:val="en-GB"/>
        </w:rPr>
        <w:t>up to </w:t>
      </w:r>
      <w:r w:rsidRPr="009C48DA">
        <w:rPr>
          <w:lang w:val="en-GB"/>
        </w:rPr>
        <w:t xml:space="preserve">€1.5 billion. The majority of these businesses are small to medium-sized companies, which represent a large part of the economy in many European countries and in other global markets. For example, there </w:t>
      </w:r>
      <w:r w:rsidRPr="009C48DA" w:rsidR="00727E05">
        <w:rPr>
          <w:lang w:val="en-GB"/>
        </w:rPr>
        <w:t>were</w:t>
      </w:r>
      <w:r w:rsidRPr="009C48DA">
        <w:rPr>
          <w:lang w:val="en-GB"/>
        </w:rPr>
        <w:t xml:space="preserve"> approximately </w:t>
      </w:r>
      <w:r w:rsidRPr="009C48DA" w:rsidR="00BC4C61">
        <w:rPr>
          <w:lang w:val="en-GB"/>
        </w:rPr>
        <w:t>24,5</w:t>
      </w:r>
      <w:r w:rsidRPr="009C48DA">
        <w:rPr>
          <w:lang w:val="en-GB"/>
        </w:rPr>
        <w:t>00 companies in Europe with revenue between €200 million and €1</w:t>
      </w:r>
      <w:r w:rsidRPr="009C48DA" w:rsidR="00BC4C61">
        <w:rPr>
          <w:lang w:val="en-GB"/>
        </w:rPr>
        <w:t>.5</w:t>
      </w:r>
      <w:r w:rsidRPr="009C48DA">
        <w:rPr>
          <w:lang w:val="en-GB"/>
        </w:rPr>
        <w:t xml:space="preserve"> billion</w:t>
      </w:r>
      <w:r w:rsidRPr="009C48DA" w:rsidR="00BC4C61">
        <w:rPr>
          <w:lang w:val="en-GB"/>
        </w:rPr>
        <w:t xml:space="preserve"> as of 15 June 2021</w:t>
      </w:r>
      <w:r w:rsidRPr="009C48DA">
        <w:rPr>
          <w:lang w:val="en-GB"/>
        </w:rPr>
        <w:t>.</w:t>
      </w:r>
      <w:r w:rsidRPr="009C48DA">
        <w:rPr>
          <w:vertAlign w:val="superscript"/>
          <w:lang w:val="en-GB"/>
        </w:rPr>
        <w:footnoteReference w:id="8"/>
      </w:r>
    </w:p>
    <w:p w:rsidRPr="009C48DA" w:rsidR="00E15E59" w:rsidP="0002759F" w:rsidRDefault="00E15E59" w14:paraId="420A935C" w14:textId="77777777">
      <w:pPr>
        <w:pStyle w:val="BodyText2SglJ"/>
        <w:rPr>
          <w:lang w:val="en-GB"/>
        </w:rPr>
      </w:pPr>
      <w:r w:rsidRPr="009C48DA">
        <w:rPr>
          <w:lang w:val="en-GB"/>
        </w:rPr>
        <w:t>The European middle market, in particular, offers a vast pool of investment opportunities for middle market investors. Europe is the world’s single largest trading area, generating 24 per cent of global GDP,</w:t>
      </w:r>
      <w:r w:rsidRPr="009C48DA">
        <w:rPr>
          <w:vertAlign w:val="superscript"/>
          <w:lang w:val="en-GB"/>
        </w:rPr>
        <w:footnoteReference w:id="9"/>
      </w:r>
      <w:r w:rsidRPr="009C48DA">
        <w:rPr>
          <w:lang w:val="en-GB"/>
        </w:rPr>
        <w:t xml:space="preserve"> the largest exporting region with 39 per cent of the world’s exports,</w:t>
      </w:r>
      <w:r w:rsidRPr="009C48DA">
        <w:rPr>
          <w:vertAlign w:val="superscript"/>
          <w:lang w:val="en-GB"/>
        </w:rPr>
        <w:footnoteReference w:id="10"/>
      </w:r>
      <w:r w:rsidRPr="009C48DA">
        <w:rPr>
          <w:lang w:val="en-GB"/>
        </w:rPr>
        <w:t xml:space="preserve"> and home to over 700 million people,</w:t>
      </w:r>
      <w:r w:rsidRPr="009C48DA">
        <w:rPr>
          <w:vertAlign w:val="superscript"/>
          <w:lang w:val="en-GB"/>
        </w:rPr>
        <w:footnoteReference w:id="11"/>
      </w:r>
      <w:r w:rsidRPr="009C48DA">
        <w:rPr>
          <w:lang w:val="en-GB"/>
        </w:rPr>
        <w:t xml:space="preserve"> as well as many world-leading businesses that are well-positioned to exploit the global return to growth. Importantly, these Europe-headquartered multinationals are served by a broad universe of middle market companies that supply in-demand goods and services.</w:t>
      </w:r>
    </w:p>
    <w:p w:rsidRPr="009C48DA" w:rsidR="00E15E59" w:rsidP="0002759F" w:rsidRDefault="00E15E59" w14:paraId="2AC40398" w14:textId="2686959E">
      <w:pPr>
        <w:pStyle w:val="BodyText2SglJ"/>
        <w:rPr>
          <w:lang w:val="en-GB"/>
        </w:rPr>
      </w:pPr>
      <w:r w:rsidRPr="009C48DA">
        <w:rPr>
          <w:lang w:val="en-GB"/>
        </w:rPr>
        <w:t>The middle market of the private equity sector has remained resilient even through periods of disruption, which is well demonstrated by the number of U.S. middle market private equity deals during the ongoing COVID-19 pandemic in 2020, which, at 3,294, was only 2.9 per cent less than the number in 2019. On a deal</w:t>
      </w:r>
      <w:r w:rsidRPr="009C48DA" w:rsidR="00BB1587">
        <w:rPr>
          <w:lang w:val="en-GB"/>
        </w:rPr>
        <w:t>-</w:t>
      </w:r>
      <w:r w:rsidRPr="009C48DA">
        <w:rPr>
          <w:lang w:val="en-GB"/>
        </w:rPr>
        <w:t>value basis, U</w:t>
      </w:r>
      <w:r w:rsidRPr="009C48DA" w:rsidR="00B41930">
        <w:rPr>
          <w:lang w:val="en-GB"/>
        </w:rPr>
        <w:t xml:space="preserve">nited States </w:t>
      </w:r>
      <w:r w:rsidRPr="009C48DA">
        <w:rPr>
          <w:lang w:val="en-GB"/>
        </w:rPr>
        <w:t>middle market private equity activity was actually higher in 2020, with an estimated aggregate deal value of US$480.9 billion.</w:t>
      </w:r>
      <w:r w:rsidRPr="009C48DA">
        <w:rPr>
          <w:vertAlign w:val="superscript"/>
          <w:lang w:val="en-GB"/>
        </w:rPr>
        <w:footnoteReference w:id="12"/>
      </w:r>
    </w:p>
    <w:p w:rsidRPr="009C48DA" w:rsidR="00E15E59" w:rsidP="0002759F" w:rsidRDefault="00E15E59" w14:paraId="3CCAA986" w14:textId="473144D3">
      <w:pPr>
        <w:pStyle w:val="BodyText2SglJ"/>
        <w:rPr>
          <w:lang w:val="en-GB"/>
        </w:rPr>
      </w:pPr>
      <w:r w:rsidRPr="009C48DA">
        <w:rPr>
          <w:lang w:val="en-GB"/>
        </w:rPr>
        <w:t xml:space="preserve">Similarly, in Europe, investments in middle market businesses have consistently accounted for the majority of private equity deals in Europe </w:t>
      </w:r>
      <w:r w:rsidRPr="009C48DA" w:rsidR="001D0D01">
        <w:rPr>
          <w:lang w:val="en-GB"/>
        </w:rPr>
        <w:t>from</w:t>
      </w:r>
      <w:r w:rsidRPr="009C48DA">
        <w:rPr>
          <w:lang w:val="en-GB"/>
        </w:rPr>
        <w:t xml:space="preserve"> 2007 </w:t>
      </w:r>
      <w:r w:rsidRPr="009C48DA" w:rsidR="001D0D01">
        <w:rPr>
          <w:lang w:val="en-GB"/>
        </w:rPr>
        <w:t>to</w:t>
      </w:r>
      <w:r w:rsidRPr="009C48DA">
        <w:rPr>
          <w:lang w:val="en-GB"/>
        </w:rPr>
        <w:t xml:space="preserve"> 2020, as demonstrated in the chart below. </w:t>
      </w:r>
      <w:r w:rsidRPr="009C48DA" w:rsidR="001D0D01">
        <w:rPr>
          <w:lang w:val="en-GB"/>
        </w:rPr>
        <w:t>From</w:t>
      </w:r>
      <w:r w:rsidR="00A65814">
        <w:rPr>
          <w:lang w:val="en-GB"/>
        </w:rPr>
        <w:t> </w:t>
      </w:r>
      <w:r w:rsidRPr="009C48DA">
        <w:rPr>
          <w:lang w:val="en-GB"/>
        </w:rPr>
        <w:t xml:space="preserve">2017 </w:t>
      </w:r>
      <w:r w:rsidRPr="009C48DA" w:rsidR="001D0D01">
        <w:rPr>
          <w:lang w:val="en-GB"/>
        </w:rPr>
        <w:t>to</w:t>
      </w:r>
      <w:r w:rsidRPr="009C48DA">
        <w:rPr>
          <w:lang w:val="en-GB"/>
        </w:rPr>
        <w:t xml:space="preserve"> 2020, there were more than three times more European middle market transactions than European large</w:t>
      </w:r>
      <w:r w:rsidRPr="009C48DA" w:rsidR="006F5756">
        <w:rPr>
          <w:lang w:val="en-GB"/>
        </w:rPr>
        <w:t>-</w:t>
      </w:r>
      <w:r w:rsidRPr="009C48DA">
        <w:rPr>
          <w:lang w:val="en-GB"/>
        </w:rPr>
        <w:t>cap transactions.</w:t>
      </w:r>
      <w:r w:rsidRPr="009C48DA">
        <w:rPr>
          <w:vertAlign w:val="superscript"/>
          <w:lang w:val="en-GB"/>
        </w:rPr>
        <w:footnoteReference w:id="13"/>
      </w:r>
    </w:p>
    <w:p w:rsidRPr="009C48DA" w:rsidR="00E15E59" w:rsidP="00FB185F" w:rsidRDefault="00A74803" w14:paraId="45D64236" w14:textId="0A031DE4">
      <w:pPr>
        <w:keepNext/>
        <w:jc w:val="center"/>
        <w:rPr>
          <w:rFonts w:eastAsia="Calibri" w:cs="Times New Roman"/>
          <w:sz w:val="20"/>
          <w:szCs w:val="20"/>
          <w:lang w:val="en-GB"/>
        </w:rPr>
      </w:pPr>
      <w:r w:rsidRPr="00041514">
        <w:rPr>
          <w:noProof/>
        </w:rPr>
        <w:drawing>
          <wp:inline distT="0" distB="0" distL="0" distR="0" wp14:anchorId="349E75FE" wp14:editId="37C0CBCB">
            <wp:extent cx="4998330" cy="2716772"/>
            <wp:effectExtent l="0" t="0" r="0" b="0"/>
            <wp:docPr id="13" name="Picture 5" descr="" title="">
              <a:extLst xmlns:a="http://schemas.openxmlformats.org/drawingml/2006/main">
                <a:ext uri="{FF2B5EF4-FFF2-40B4-BE49-F238E27FC236}">
                  <a16:creationId xmlns:a16="http://schemas.microsoft.com/office/drawing/2014/main" id="{20C9D70B-FAE1-4E17-9CFA-B1312AECC0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0C9D70B-FAE1-4E17-9CFA-B1312AECC0CA}"/>
                        </a:ext>
                      </a:extLst>
                    </pic:cNvPr>
                    <pic:cNvPicPr>
                      <a:picLocks noChangeAspect="1"/>
                    </pic:cNvPicPr>
                  </pic:nvPicPr>
                  <pic:blipFill>
                    <a:blip r:embed="rId22"/>
                    <a:stretch>
                      <a:fillRect/>
                    </a:stretch>
                  </pic:blipFill>
                  <pic:spPr>
                    <a:xfrm>
                      <a:off x="0" y="0"/>
                      <a:ext cx="5012393" cy="2724416"/>
                    </a:xfrm>
                    <a:prstGeom prst="rect">
                      <a:avLst/>
                    </a:prstGeom>
                  </pic:spPr>
                </pic:pic>
              </a:graphicData>
            </a:graphic>
          </wp:inline>
        </w:drawing>
      </w:r>
    </w:p>
    <w:p w:rsidRPr="009C48DA" w:rsidR="00E15E59" w:rsidP="00280F77" w:rsidRDefault="00E15E59" w14:paraId="47B6E4DD" w14:textId="77777777">
      <w:pPr>
        <w:pStyle w:val="BlockTextSglJ"/>
        <w:rPr>
          <w:rFonts w:cs="Arial"/>
          <w:lang w:val="en-GB"/>
        </w:rPr>
      </w:pPr>
      <w:r w:rsidRPr="009C48DA">
        <w:rPr>
          <w:i/>
          <w:lang w:val="en-GB"/>
        </w:rPr>
        <w:t>Source</w:t>
      </w:r>
      <w:r w:rsidRPr="009C48DA">
        <w:rPr>
          <w:lang w:val="en-GB"/>
        </w:rPr>
        <w:t xml:space="preserve">: Pitchbook, </w:t>
      </w:r>
      <w:r w:rsidRPr="009C48DA">
        <w:rPr>
          <w:i/>
          <w:lang w:val="en-GB"/>
        </w:rPr>
        <w:t>2020 Annual European PE Breakdown Report</w:t>
      </w:r>
      <w:r w:rsidRPr="009C48DA">
        <w:rPr>
          <w:lang w:val="en-GB"/>
        </w:rPr>
        <w:t>, January 2021.</w:t>
      </w:r>
    </w:p>
    <w:p w:rsidRPr="009C48DA" w:rsidR="00E15E59" w:rsidP="00FB111A" w:rsidRDefault="00FB111A" w14:paraId="4E76C48E" w14:textId="37A3E9AB">
      <w:pPr>
        <w:pStyle w:val="TitleBAllCaps"/>
      </w:pPr>
      <w:r w:rsidRPr="009C48DA">
        <w:lastRenderedPageBreak/>
        <w:t>PRIVATE EQUITY’S ROLE IN THE MIDDLE MARKET</w:t>
      </w:r>
    </w:p>
    <w:p w:rsidRPr="009C48DA" w:rsidR="00E15E59" w:rsidP="0002759F" w:rsidRDefault="00E15E59" w14:paraId="3D5F665C" w14:textId="49ADECF9">
      <w:pPr>
        <w:pStyle w:val="BodyText2SglJ"/>
        <w:rPr>
          <w:lang w:val="en-GB"/>
        </w:rPr>
      </w:pPr>
      <w:r w:rsidRPr="009C48DA">
        <w:rPr>
          <w:lang w:val="en-GB"/>
        </w:rPr>
        <w:t xml:space="preserve">The Directors believe that the capital and other contributions provided by private equity can help the many middle market businesses to achieve a step change in their growth market, particularly when the sponsor can draw on global resources. Many of these businesses have outgrown their existing shareholder structure (often founders, smaller investors or larger conglomerates) and typically require signiﬁcant investments in people, systems and infrastructure, giving asset management firms an opportunity to put the capital of their investors to work. </w:t>
      </w:r>
    </w:p>
    <w:p w:rsidRPr="009C48DA" w:rsidR="00E15E59" w:rsidP="0002759F" w:rsidRDefault="00E15E59" w14:paraId="0FE6AB0C" w14:textId="7D2D0BD5">
      <w:pPr>
        <w:pStyle w:val="BodyText2SglJ"/>
        <w:rPr>
          <w:lang w:val="en-GB"/>
        </w:rPr>
      </w:pPr>
      <w:r w:rsidRPr="009C48DA">
        <w:rPr>
          <w:lang w:val="en-GB"/>
        </w:rPr>
        <w:t>However, equity commitments for middle market busines</w:t>
      </w:r>
      <w:r w:rsidR="00A65814">
        <w:rPr>
          <w:lang w:val="en-GB"/>
        </w:rPr>
        <w:t>ses of between €150 million and </w:t>
      </w:r>
      <w:r w:rsidRPr="009C48DA">
        <w:rPr>
          <w:lang w:val="en-GB"/>
        </w:rPr>
        <w:t>€350</w:t>
      </w:r>
      <w:r w:rsidRPr="009C48DA" w:rsidR="00BB1587">
        <w:rPr>
          <w:lang w:val="en-GB"/>
        </w:rPr>
        <w:t> </w:t>
      </w:r>
      <w:r w:rsidRPr="009C48DA">
        <w:rPr>
          <w:lang w:val="en-GB"/>
        </w:rPr>
        <w:t>million are often too large for individual country funds and too small for ﬁrms that concentrate on larger buyouts, limiting competition in the space. The ability to create and then exploit a platform able to sustain growth over the long-term represents a barrier to less well</w:t>
      </w:r>
      <w:r w:rsidRPr="009C48DA" w:rsidR="00BB1587">
        <w:rPr>
          <w:lang w:val="en-GB"/>
        </w:rPr>
        <w:t>-</w:t>
      </w:r>
      <w:r w:rsidRPr="009C48DA">
        <w:rPr>
          <w:lang w:val="en-GB"/>
        </w:rPr>
        <w:t xml:space="preserve">established investors, requiring proactive portfolio management and a sufﬁciently large and experienced investment team. Meanwhile, the </w:t>
      </w:r>
      <w:r w:rsidRPr="009C48DA" w:rsidR="00BB773E">
        <w:rPr>
          <w:rFonts w:eastAsia="Calibri" w:cs="Arial"/>
          <w:szCs w:val="20"/>
          <w:lang w:val="en-GB"/>
        </w:rPr>
        <w:t xml:space="preserve">Bridgepoint </w:t>
      </w:r>
      <w:r w:rsidRPr="009C48DA">
        <w:rPr>
          <w:lang w:val="en-GB"/>
        </w:rPr>
        <w:t xml:space="preserve">Growth and </w:t>
      </w:r>
      <w:r w:rsidRPr="009C48DA" w:rsidR="00BB773E">
        <w:rPr>
          <w:rFonts w:eastAsia="Calibri" w:cs="Arial"/>
          <w:szCs w:val="20"/>
          <w:lang w:val="en-GB"/>
        </w:rPr>
        <w:t xml:space="preserve">Bridgepoint </w:t>
      </w:r>
      <w:r w:rsidRPr="009C48DA">
        <w:rPr>
          <w:lang w:val="en-GB"/>
        </w:rPr>
        <w:t xml:space="preserve">Development Capital funds benefit from the scale of the wider </w:t>
      </w:r>
      <w:r w:rsidRPr="009C48DA" w:rsidR="00BB773E">
        <w:rPr>
          <w:rFonts w:eastAsia="Calibri" w:cs="Arial"/>
          <w:szCs w:val="20"/>
          <w:lang w:val="en-GB"/>
        </w:rPr>
        <w:t xml:space="preserve">Bridgepoint </w:t>
      </w:r>
      <w:r w:rsidRPr="009C48DA">
        <w:rPr>
          <w:lang w:val="en-GB"/>
        </w:rPr>
        <w:t>platform and the associated support teams to drive value creation, representing resources that are typically unavailable at smaller firms.</w:t>
      </w:r>
    </w:p>
    <w:p w:rsidRPr="009C48DA" w:rsidR="00E15E59" w:rsidP="0002759F" w:rsidRDefault="00E15E59" w14:paraId="1F3C93C0" w14:textId="3437793E">
      <w:pPr>
        <w:pStyle w:val="BodyText2SglJ"/>
        <w:rPr>
          <w:lang w:val="en-GB"/>
        </w:rPr>
      </w:pPr>
      <w:r w:rsidRPr="009C48DA">
        <w:rPr>
          <w:lang w:val="en-GB"/>
        </w:rPr>
        <w:t xml:space="preserve">For private asset managers with a strong investment platform, the middle market often offers signiﬁcant opportunities to create value by consolidating fragmented markets via add-on acquisitions. </w:t>
      </w:r>
      <w:r w:rsidRPr="009C48DA" w:rsidR="004A6AB8">
        <w:rPr>
          <w:lang w:val="en-GB"/>
        </w:rPr>
        <w:t xml:space="preserve">The Directors believe that </w:t>
      </w:r>
      <w:r w:rsidRPr="009C48DA" w:rsidR="00BE3402">
        <w:rPr>
          <w:lang w:val="en-GB"/>
        </w:rPr>
        <w:t xml:space="preserve">even </w:t>
      </w:r>
      <w:r w:rsidRPr="009C48DA">
        <w:rPr>
          <w:lang w:val="en-GB"/>
        </w:rPr>
        <w:t>smaller</w:t>
      </w:r>
      <w:r w:rsidRPr="009C48DA" w:rsidR="00DF289B">
        <w:rPr>
          <w:lang w:val="en-GB"/>
        </w:rPr>
        <w:t>-</w:t>
      </w:r>
      <w:r w:rsidRPr="009C48DA">
        <w:rPr>
          <w:lang w:val="en-GB"/>
        </w:rPr>
        <w:t xml:space="preserve">scale transactions can, after the extraction of synergies, deliver increased earnings, often at highly accretive valuation multiples. Successful execution of such strategies requires signiﬁcant origination and execution capacity to identify targets and complete the required number of (cross-border) transactions. </w:t>
      </w:r>
    </w:p>
    <w:p w:rsidRPr="009C48DA" w:rsidR="00E15E59" w:rsidP="0002759F" w:rsidRDefault="004A6AB8" w14:paraId="71FCDC8D" w14:textId="4DE4EEB4">
      <w:pPr>
        <w:pStyle w:val="BodyText2SglJ"/>
        <w:rPr>
          <w:lang w:val="en-GB"/>
        </w:rPr>
      </w:pPr>
      <w:r w:rsidRPr="009C48DA">
        <w:rPr>
          <w:lang w:val="en-GB"/>
        </w:rPr>
        <w:t>The Directors believe that s</w:t>
      </w:r>
      <w:r w:rsidRPr="009C48DA" w:rsidR="00E15E59">
        <w:rPr>
          <w:lang w:val="en-GB"/>
        </w:rPr>
        <w:t xml:space="preserve">tarting with scaled investment platforms allows the creation of signiﬁcant businesses within their niches which are of a sufﬁcient size at exit to be attractive to international trade buyers, larger buyout ﬁrms and the public markets, thereby maximising competitive tension on exit. </w:t>
      </w:r>
    </w:p>
    <w:p w:rsidRPr="009C48DA" w:rsidR="00E15E59" w:rsidP="0002759F" w:rsidRDefault="00E15E59" w14:paraId="0CA60915" w14:textId="144E9CBA">
      <w:pPr>
        <w:pStyle w:val="BodyText2SglJ"/>
        <w:rPr>
          <w:lang w:val="en-GB"/>
        </w:rPr>
      </w:pPr>
      <w:r w:rsidRPr="009C48DA">
        <w:rPr>
          <w:lang w:val="en-GB"/>
        </w:rPr>
        <w:t xml:space="preserve">Firms like </w:t>
      </w:r>
      <w:r w:rsidRPr="009C48DA" w:rsidR="00BB773E">
        <w:rPr>
          <w:rFonts w:eastAsia="Calibri" w:cs="Arial"/>
          <w:szCs w:val="20"/>
          <w:lang w:val="en-GB"/>
        </w:rPr>
        <w:t xml:space="preserve">Bridgepoint </w:t>
      </w:r>
      <w:r w:rsidRPr="009C48DA">
        <w:rPr>
          <w:lang w:val="en-GB"/>
        </w:rPr>
        <w:t>which operate a global platform benefit from a scale advantage as well as geographic diversification and reduced country-risk when compared with these individual country funds.</w:t>
      </w:r>
    </w:p>
    <w:p w:rsidRPr="009C48DA" w:rsidR="00E15E59" w:rsidP="00FB111A" w:rsidRDefault="00FB111A" w14:paraId="58B727D8" w14:textId="532A4F6D">
      <w:pPr>
        <w:pStyle w:val="TitleBAllCaps"/>
      </w:pPr>
      <w:r w:rsidRPr="009C48DA">
        <w:t>GROWTH IN PRIVATE MARKETS</w:t>
      </w:r>
    </w:p>
    <w:p w:rsidRPr="009C48DA" w:rsidR="00E15E59" w:rsidP="00C121D7" w:rsidRDefault="00E15E59" w14:paraId="058072AC" w14:textId="19AC0BC3">
      <w:pPr>
        <w:pStyle w:val="BodyText2SglJ"/>
        <w:rPr>
          <w:lang w:val="en-GB"/>
        </w:rPr>
      </w:pPr>
      <w:r w:rsidRPr="009C48DA">
        <w:rPr>
          <w:lang w:val="en-GB"/>
        </w:rPr>
        <w:t xml:space="preserve">Within the private markets segment of the asset management industry, Preqin estimates that the </w:t>
      </w:r>
      <w:r w:rsidRPr="009C48DA" w:rsidR="00727E05">
        <w:rPr>
          <w:lang w:val="en-GB"/>
        </w:rPr>
        <w:t xml:space="preserve">assets under management </w:t>
      </w:r>
      <w:r w:rsidRPr="009C48DA">
        <w:rPr>
          <w:lang w:val="en-GB"/>
        </w:rPr>
        <w:t>of global private markets (excluding hedge funds an</w:t>
      </w:r>
      <w:r w:rsidR="00A65814">
        <w:rPr>
          <w:lang w:val="en-GB"/>
        </w:rPr>
        <w:t>d natural resources) will total </w:t>
      </w:r>
      <w:r w:rsidRPr="009C48DA">
        <w:rPr>
          <w:lang w:val="en-GB"/>
        </w:rPr>
        <w:t>US$12.6 trillion in 2025 compared to US$7.0 billion today.</w:t>
      </w:r>
      <w:r w:rsidRPr="009C48DA">
        <w:rPr>
          <w:vertAlign w:val="superscript"/>
          <w:lang w:val="en-GB"/>
        </w:rPr>
        <w:footnoteReference w:id="14"/>
      </w:r>
      <w:r w:rsidRPr="009C48DA">
        <w:rPr>
          <w:lang w:val="en-GB"/>
        </w:rPr>
        <w:t xml:space="preserve"> The Directors believe that this expected growth is supported by a number of the underlying trends outlined below.</w:t>
      </w:r>
      <w:r w:rsidRPr="009C48DA" w:rsidDel="00C84609">
        <w:rPr>
          <w:vertAlign w:val="superscript"/>
          <w:lang w:val="en-GB"/>
        </w:rPr>
        <w:t xml:space="preserve"> </w:t>
      </w:r>
    </w:p>
    <w:p w:rsidRPr="009C48DA" w:rsidR="00E15E59" w:rsidP="000C376E" w:rsidRDefault="00E15E59" w14:paraId="2BBBE4DC" w14:textId="77777777">
      <w:pPr>
        <w:pStyle w:val="TitleB"/>
        <w:rPr>
          <w:lang w:val="en-GB"/>
        </w:rPr>
      </w:pPr>
      <w:r w:rsidRPr="009C48DA">
        <w:rPr>
          <w:lang w:val="en-GB"/>
        </w:rPr>
        <w:t>Relative long-term outperformance of private markets versus public markets</w:t>
      </w:r>
    </w:p>
    <w:p w:rsidRPr="009C48DA" w:rsidR="00E15E59" w:rsidP="00AE3700" w:rsidRDefault="00E15E59" w14:paraId="6247A47C" w14:textId="77777777">
      <w:pPr>
        <w:pStyle w:val="BodyText2SglJ"/>
        <w:keepNext/>
        <w:rPr>
          <w:lang w:val="en-GB"/>
        </w:rPr>
      </w:pPr>
      <w:r w:rsidRPr="009C48DA">
        <w:rPr>
          <w:lang w:val="en-GB"/>
        </w:rPr>
        <w:t>Research by Hamilton Lane indicates that private equity and private credit strategies have outperformed their equivalent public benchmarks in 19 of the past 20 years.</w:t>
      </w:r>
      <w:r w:rsidRPr="009C48DA">
        <w:rPr>
          <w:vertAlign w:val="superscript"/>
          <w:lang w:val="en-GB"/>
        </w:rPr>
        <w:footnoteReference w:id="15"/>
      </w:r>
      <w:r w:rsidRPr="009C48DA">
        <w:rPr>
          <w:lang w:val="en-GB"/>
        </w:rPr>
        <w:t xml:space="preserve"> As shown in the graphs below, as of January 2021, returns from investments of buyout and private credit funds have largely outperformed </w:t>
      </w:r>
      <w:r w:rsidRPr="009C48DA">
        <w:rPr>
          <w:lang w:val="en-GB"/>
        </w:rPr>
        <w:lastRenderedPageBreak/>
        <w:t xml:space="preserve">public market equivalents, underlining their relative attractiveness for institutional investors and HNWIs with a long-term investment horizon. </w:t>
      </w:r>
    </w:p>
    <w:p w:rsidRPr="009C48DA" w:rsidR="00E15E59" w:rsidP="00E15E59" w:rsidRDefault="00CB4931" w14:paraId="717E1DB5" w14:textId="0F80DBE3">
      <w:pPr>
        <w:spacing w:before="120" w:line="288" w:lineRule="auto"/>
        <w:jc w:val="center"/>
        <w:rPr>
          <w:rFonts w:eastAsia="Calibri" w:cs="Times New Roman"/>
          <w:sz w:val="20"/>
          <w:szCs w:val="20"/>
          <w:lang w:val="en-GB"/>
        </w:rPr>
      </w:pPr>
      <w:r w:rsidRPr="00041514">
        <w:rPr>
          <w:noProof/>
        </w:rPr>
        <w:drawing>
          <wp:inline distT="0" distB="0" distL="0" distR="0" wp14:anchorId="5D80443E" wp14:editId="12BFAC52">
            <wp:extent cx="5395004" cy="2611062"/>
            <wp:effectExtent l="0" t="0" r="0" b="0"/>
            <wp:docPr id="3" name="Picture 2" descr="" title="">
              <a:extLst xmlns:a="http://schemas.openxmlformats.org/drawingml/2006/main">
                <a:ext uri="{FF2B5EF4-FFF2-40B4-BE49-F238E27FC236}">
                  <a16:creationId xmlns:a16="http://schemas.microsoft.com/office/drawing/2014/main" id="{2406AE8F-F29F-4490-A8C3-FAAE21D72C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406AE8F-F29F-4490-A8C3-FAAE21D72C1C}"/>
                        </a:ext>
                      </a:extLst>
                    </pic:cNvPr>
                    <pic:cNvPicPr>
                      <a:picLocks noChangeAspect="1"/>
                    </pic:cNvPicPr>
                  </pic:nvPicPr>
                  <pic:blipFill>
                    <a:blip r:embed="rId23"/>
                    <a:stretch>
                      <a:fillRect/>
                    </a:stretch>
                  </pic:blipFill>
                  <pic:spPr>
                    <a:xfrm>
                      <a:off x="0" y="0"/>
                      <a:ext cx="5406619" cy="2616683"/>
                    </a:xfrm>
                    <a:prstGeom prst="rect">
                      <a:avLst/>
                    </a:prstGeom>
                  </pic:spPr>
                </pic:pic>
              </a:graphicData>
            </a:graphic>
          </wp:inline>
        </w:drawing>
      </w:r>
    </w:p>
    <w:p w:rsidRPr="009C48DA" w:rsidR="00E15E59" w:rsidP="00280F77" w:rsidRDefault="00E15E59" w14:paraId="0E46A1D7" w14:textId="77777777">
      <w:pPr>
        <w:pStyle w:val="BlockTextSglJ"/>
        <w:spacing w:after="0"/>
        <w:rPr>
          <w:lang w:val="en-GB"/>
        </w:rPr>
      </w:pPr>
      <w:r w:rsidRPr="009C48DA">
        <w:rPr>
          <w:i/>
          <w:lang w:val="en-GB"/>
        </w:rPr>
        <w:t>Source</w:t>
      </w:r>
      <w:r w:rsidRPr="009C48DA">
        <w:rPr>
          <w:lang w:val="en-GB"/>
        </w:rPr>
        <w:t xml:space="preserve">: Hamilton Lane, </w:t>
      </w:r>
      <w:r w:rsidRPr="009C48DA">
        <w:rPr>
          <w:i/>
          <w:lang w:val="en-GB"/>
        </w:rPr>
        <w:t>2021 Market Overview</w:t>
      </w:r>
      <w:r w:rsidRPr="009C48DA">
        <w:rPr>
          <w:szCs w:val="18"/>
          <w:lang w:val="en-GB"/>
        </w:rPr>
        <w:t>, 2021</w:t>
      </w:r>
      <w:r w:rsidRPr="009C48DA">
        <w:rPr>
          <w:lang w:val="en-GB"/>
        </w:rPr>
        <w:t>.</w:t>
      </w:r>
    </w:p>
    <w:p w:rsidRPr="009C48DA" w:rsidR="00E15E59" w:rsidP="00AE3700" w:rsidRDefault="00E15E59" w14:paraId="46BB7CF6" w14:textId="62874CBD">
      <w:pPr>
        <w:pStyle w:val="BlockTextSglJ"/>
        <w:jc w:val="left"/>
        <w:rPr>
          <w:lang w:val="en-GB"/>
        </w:rPr>
      </w:pPr>
      <w:r w:rsidRPr="009C48DA">
        <w:rPr>
          <w:i/>
          <w:lang w:val="en-GB"/>
        </w:rPr>
        <w:t>Note</w:t>
      </w:r>
      <w:r w:rsidRPr="009C48DA">
        <w:rPr>
          <w:lang w:val="en-GB"/>
        </w:rPr>
        <w:t>: Hamilton Lane Data, Bloomberg (January 2021).</w:t>
      </w:r>
      <w:r w:rsidRPr="009C48DA" w:rsidR="00AE3700">
        <w:rPr>
          <w:lang w:val="en-GB"/>
        </w:rPr>
        <w:br/>
      </w:r>
    </w:p>
    <w:p w:rsidRPr="009C48DA" w:rsidR="00E15E59" w:rsidP="0002759F" w:rsidRDefault="00E15E59" w14:paraId="21B5CAA0" w14:textId="24773B5C">
      <w:pPr>
        <w:pStyle w:val="BodyText2SglJ"/>
        <w:rPr>
          <w:lang w:val="en-GB"/>
        </w:rPr>
      </w:pPr>
      <w:r w:rsidRPr="009C48DA">
        <w:rPr>
          <w:lang w:val="en-GB"/>
        </w:rPr>
        <w:t>In the past, the global private equity industry in particular has outperformed other asset classes over most time periods.</w:t>
      </w:r>
      <w:r w:rsidRPr="009C48DA">
        <w:rPr>
          <w:vertAlign w:val="superscript"/>
          <w:lang w:val="en-GB"/>
        </w:rPr>
        <w:footnoteReference w:id="16"/>
      </w:r>
      <w:r w:rsidRPr="009C48DA">
        <w:rPr>
          <w:lang w:val="en-GB"/>
        </w:rPr>
        <w:t xml:space="preserve"> For example, private equity has outperformed public mar</w:t>
      </w:r>
      <w:r w:rsidR="00A65814">
        <w:rPr>
          <w:lang w:val="en-GB"/>
        </w:rPr>
        <w:t>kets by an average of </w:t>
      </w:r>
      <w:r w:rsidRPr="009C48DA">
        <w:rPr>
          <w:lang w:val="en-GB"/>
        </w:rPr>
        <w:t xml:space="preserve">600 basis points </w:t>
      </w:r>
      <w:r w:rsidRPr="009C48DA" w:rsidR="001D0D01">
        <w:rPr>
          <w:lang w:val="en-GB"/>
        </w:rPr>
        <w:t>from</w:t>
      </w:r>
      <w:r w:rsidRPr="009C48DA">
        <w:rPr>
          <w:lang w:val="en-GB"/>
        </w:rPr>
        <w:t xml:space="preserve"> </w:t>
      </w:r>
      <w:r w:rsidRPr="009C48DA" w:rsidR="005429EF">
        <w:rPr>
          <w:lang w:val="en-GB"/>
        </w:rPr>
        <w:t xml:space="preserve">2010 </w:t>
      </w:r>
      <w:r w:rsidRPr="009C48DA" w:rsidR="001D0D01">
        <w:rPr>
          <w:lang w:val="en-GB"/>
        </w:rPr>
        <w:t>to</w:t>
      </w:r>
      <w:r w:rsidRPr="009C48DA" w:rsidR="005429EF">
        <w:rPr>
          <w:lang w:val="en-GB"/>
        </w:rPr>
        <w:t xml:space="preserve"> 2020, as of 30 September 2020</w:t>
      </w:r>
      <w:r w:rsidRPr="009C48DA">
        <w:rPr>
          <w:lang w:val="en-GB"/>
        </w:rPr>
        <w:t>.</w:t>
      </w:r>
      <w:r w:rsidRPr="009C48DA">
        <w:rPr>
          <w:vertAlign w:val="superscript"/>
          <w:lang w:val="en-GB"/>
        </w:rPr>
        <w:footnoteReference w:id="17"/>
      </w:r>
      <w:r w:rsidRPr="009C48DA">
        <w:rPr>
          <w:lang w:val="en-GB"/>
        </w:rPr>
        <w:t xml:space="preserve"> In Europe, the buyout space has delivered particularly strong returns, exceeding the Hamilton Lane All Private Markets Index pooled IRR in </w:t>
      </w:r>
      <w:r w:rsidRPr="009C48DA" w:rsidR="001E2866">
        <w:rPr>
          <w:lang w:val="en-GB"/>
        </w:rPr>
        <w:t xml:space="preserve">13 </w:t>
      </w:r>
      <w:r w:rsidRPr="009C48DA">
        <w:rPr>
          <w:lang w:val="en-GB"/>
        </w:rPr>
        <w:t xml:space="preserve">of the years </w:t>
      </w:r>
      <w:r w:rsidRPr="009C48DA" w:rsidR="00A65391">
        <w:rPr>
          <w:lang w:val="en-GB"/>
        </w:rPr>
        <w:t>from</w:t>
      </w:r>
      <w:r w:rsidRPr="009C48DA">
        <w:rPr>
          <w:lang w:val="en-GB"/>
        </w:rPr>
        <w:t xml:space="preserve"> 2000 </w:t>
      </w:r>
      <w:r w:rsidRPr="009C48DA" w:rsidR="00A65391">
        <w:rPr>
          <w:lang w:val="en-GB"/>
        </w:rPr>
        <w:t>to</w:t>
      </w:r>
      <w:r w:rsidRPr="009C48DA">
        <w:rPr>
          <w:lang w:val="en-GB"/>
        </w:rPr>
        <w:t xml:space="preserve"> 2017. Analysis of the spread of returns with a vintage year </w:t>
      </w:r>
      <w:r w:rsidRPr="009C48DA" w:rsidR="0003405D">
        <w:rPr>
          <w:lang w:val="en-GB"/>
        </w:rPr>
        <w:t>from</w:t>
      </w:r>
      <w:r w:rsidRPr="009C48DA">
        <w:rPr>
          <w:lang w:val="en-GB"/>
        </w:rPr>
        <w:t xml:space="preserve"> 1979 </w:t>
      </w:r>
      <w:r w:rsidRPr="009C48DA" w:rsidR="0003405D">
        <w:rPr>
          <w:lang w:val="en-GB"/>
        </w:rPr>
        <w:t>to</w:t>
      </w:r>
      <w:r w:rsidRPr="009C48DA">
        <w:rPr>
          <w:lang w:val="en-GB"/>
        </w:rPr>
        <w:t xml:space="preserve"> 2017 highlights that Western Europe in particular had been the best-performing geography within private markets over this period.</w:t>
      </w:r>
      <w:r w:rsidRPr="009C48DA">
        <w:rPr>
          <w:vertAlign w:val="superscript"/>
          <w:lang w:val="en-GB"/>
        </w:rPr>
        <w:footnoteReference w:id="18"/>
      </w:r>
    </w:p>
    <w:p w:rsidRPr="009C48DA" w:rsidR="00E15E59" w:rsidP="0002759F" w:rsidRDefault="00E15E59" w14:paraId="562B2D1F" w14:textId="77777777">
      <w:pPr>
        <w:pStyle w:val="BodyText2SglJ"/>
        <w:rPr>
          <w:lang w:val="en-GB"/>
        </w:rPr>
      </w:pPr>
      <w:r w:rsidRPr="009C48DA">
        <w:rPr>
          <w:lang w:val="en-GB"/>
        </w:rPr>
        <w:t xml:space="preserve">Private market investments have not only provided high and stable returns relative to public markets, but are also attractive to investors as they can offer diversification, an inflation hedge and returns that are relatively independent of the performance of other asset classes. </w:t>
      </w:r>
    </w:p>
    <w:p w:rsidRPr="009C48DA" w:rsidR="00E15E59" w:rsidP="000C376E" w:rsidRDefault="00E15E59" w14:paraId="516EE5A9" w14:textId="77777777">
      <w:pPr>
        <w:pStyle w:val="TitleB"/>
        <w:rPr>
          <w:lang w:val="en-GB"/>
        </w:rPr>
      </w:pPr>
      <w:r w:rsidRPr="009C48DA">
        <w:rPr>
          <w:lang w:val="en-GB"/>
        </w:rPr>
        <w:t xml:space="preserve">Search for higher, differentiated returns in an era of prolonged low interest rates </w:t>
      </w:r>
    </w:p>
    <w:p w:rsidRPr="009C48DA" w:rsidR="00E15E59" w:rsidP="00AE3700" w:rsidRDefault="00E15E59" w14:paraId="266D77B6" w14:textId="75BCFFD0">
      <w:pPr>
        <w:pStyle w:val="BodyText2SglJ"/>
        <w:keepNext/>
        <w:rPr>
          <w:lang w:val="en-GB"/>
        </w:rPr>
      </w:pPr>
      <w:r w:rsidRPr="009C48DA">
        <w:rPr>
          <w:lang w:val="en-GB"/>
        </w:rPr>
        <w:t xml:space="preserve">The loose monetary policy pursued by central banks following the global financial crisis in 2008 to 2009 has resulted in an environment with challengingly low yields for investors. In this low interest rate environment, institutional investors managing defined benefit schemes have faced the challenge of achieving targeted returns within a framework of conventional asset allocations to equities and bonds. As this challenge has grown, the gap between pension assets and liabilities has widened, as highlighted by the </w:t>
      </w:r>
      <w:r w:rsidRPr="009C48DA" w:rsidR="00705868">
        <w:rPr>
          <w:lang w:val="en-GB"/>
        </w:rPr>
        <w:t>U.S.</w:t>
      </w:r>
      <w:r w:rsidRPr="009C48DA">
        <w:rPr>
          <w:lang w:val="en-GB"/>
        </w:rPr>
        <w:t xml:space="preserve"> state pension funding gap that is shown in the chart below. </w:t>
      </w:r>
      <w:r w:rsidRPr="009C48DA" w:rsidR="005429EF">
        <w:rPr>
          <w:lang w:val="en-GB"/>
        </w:rPr>
        <w:t xml:space="preserve">The COVID-19 pandemic resulted in decisive stimulus packages from a number of central banks, which, overall, the market expects will extend </w:t>
      </w:r>
      <w:r w:rsidRPr="009C48DA" w:rsidR="005429EF">
        <w:rPr>
          <w:lang w:val="en-GB"/>
        </w:rPr>
        <w:lastRenderedPageBreak/>
        <w:t>the current low interest</w:t>
      </w:r>
      <w:r w:rsidRPr="009C48DA" w:rsidR="00705868">
        <w:rPr>
          <w:lang w:val="en-GB"/>
        </w:rPr>
        <w:t xml:space="preserve"> rate</w:t>
      </w:r>
      <w:r w:rsidRPr="009C48DA" w:rsidR="005429EF">
        <w:rPr>
          <w:lang w:val="en-GB"/>
        </w:rPr>
        <w:t xml:space="preserve"> environment for the foreseeable future, in spite of recent inflationary spikes driven by shortages due to prolonged lockdowns in a number of countries.</w:t>
      </w:r>
    </w:p>
    <w:p w:rsidRPr="009C48DA" w:rsidR="00E15E59" w:rsidP="007767F1" w:rsidRDefault="00CB4931" w14:paraId="5096497F" w14:textId="0C4CF8A7">
      <w:pPr>
        <w:spacing w:before="120" w:line="288" w:lineRule="auto"/>
        <w:jc w:val="center"/>
        <w:rPr>
          <w:rFonts w:eastAsia="Calibri" w:cs="Times New Roman"/>
          <w:sz w:val="20"/>
          <w:szCs w:val="20"/>
          <w:lang w:val="en-GB"/>
        </w:rPr>
      </w:pPr>
      <w:r w:rsidRPr="004401FA">
        <w:rPr>
          <w:noProof/>
        </w:rPr>
        <w:drawing>
          <wp:inline distT="0" distB="0" distL="0" distR="0" wp14:anchorId="7FEBE6F8" wp14:editId="478CFAC5">
            <wp:extent cx="5433399" cy="2827769"/>
            <wp:effectExtent l="0" t="0" r="0" b="0"/>
            <wp:docPr id="2" name="Picture 1" descr="" title="">
              <a:extLst xmlns:a="http://schemas.openxmlformats.org/drawingml/2006/main">
                <a:ext uri="{FF2B5EF4-FFF2-40B4-BE49-F238E27FC236}">
                  <a16:creationId xmlns:a16="http://schemas.microsoft.com/office/drawing/2014/main" id="{F1A9767C-DDF7-408B-95D7-DDC222197F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1A9767C-DDF7-408B-95D7-DDC222197FAD}"/>
                        </a:ext>
                      </a:extLst>
                    </pic:cNvPr>
                    <pic:cNvPicPr>
                      <a:picLocks noChangeAspect="1"/>
                    </pic:cNvPicPr>
                  </pic:nvPicPr>
                  <pic:blipFill>
                    <a:blip r:embed="rId24"/>
                    <a:stretch>
                      <a:fillRect/>
                    </a:stretch>
                  </pic:blipFill>
                  <pic:spPr>
                    <a:xfrm>
                      <a:off x="0" y="0"/>
                      <a:ext cx="5452704" cy="2837816"/>
                    </a:xfrm>
                    <a:prstGeom prst="rect">
                      <a:avLst/>
                    </a:prstGeom>
                  </pic:spPr>
                </pic:pic>
              </a:graphicData>
            </a:graphic>
          </wp:inline>
        </w:drawing>
      </w:r>
    </w:p>
    <w:p w:rsidRPr="009C48DA" w:rsidR="00E15E59" w:rsidP="00280F77" w:rsidRDefault="00E15E59" w14:paraId="308E78CF" w14:textId="77777777">
      <w:pPr>
        <w:pStyle w:val="BlockTextSglJ"/>
        <w:spacing w:after="0"/>
        <w:rPr>
          <w:lang w:val="en-GB"/>
        </w:rPr>
      </w:pPr>
      <w:r w:rsidRPr="009C48DA">
        <w:rPr>
          <w:i/>
          <w:lang w:val="en-GB"/>
        </w:rPr>
        <w:t>Source</w:t>
      </w:r>
      <w:r w:rsidRPr="009C48DA">
        <w:rPr>
          <w:lang w:val="en-GB"/>
        </w:rPr>
        <w:t xml:space="preserve">: The PEW Charitable Trusts, </w:t>
      </w:r>
      <w:r w:rsidRPr="009C48DA">
        <w:rPr>
          <w:i/>
          <w:lang w:val="en-GB"/>
        </w:rPr>
        <w:t>The State Pension Funding Gap: 2018</w:t>
      </w:r>
      <w:r w:rsidRPr="009C48DA">
        <w:rPr>
          <w:lang w:val="en-GB"/>
        </w:rPr>
        <w:t>, June 2020.</w:t>
      </w:r>
    </w:p>
    <w:p w:rsidRPr="009C48DA" w:rsidR="00E15E59" w:rsidP="00AE3700" w:rsidRDefault="00E15E59" w14:paraId="64BD77B6" w14:textId="09DC1B2B">
      <w:pPr>
        <w:pStyle w:val="BlockTextSglJ"/>
        <w:jc w:val="left"/>
        <w:rPr>
          <w:lang w:val="en-GB"/>
        </w:rPr>
      </w:pPr>
      <w:r w:rsidRPr="009C48DA">
        <w:rPr>
          <w:i/>
          <w:lang w:val="en-GB"/>
        </w:rPr>
        <w:t>Note</w:t>
      </w:r>
      <w:r w:rsidRPr="009C48DA">
        <w:rPr>
          <w:lang w:val="en-GB"/>
        </w:rPr>
        <w:t>: Projections for 2019 and 2020 are based on past growth of service cost, benefit payments, and contributions as well as actual returns for FY 2019 and estimated returns for FY 2020.</w:t>
      </w:r>
    </w:p>
    <w:p w:rsidRPr="009C48DA" w:rsidR="00E15E59" w:rsidP="0002759F" w:rsidRDefault="00E15E59" w14:paraId="53A66B24" w14:textId="4545D973">
      <w:pPr>
        <w:pStyle w:val="BodyText2SglJ"/>
        <w:rPr>
          <w:lang w:val="en-GB"/>
        </w:rPr>
      </w:pPr>
      <w:r w:rsidRPr="009C48DA">
        <w:rPr>
          <w:lang w:val="en-GB"/>
        </w:rPr>
        <w:t>As a result, pension funds have increased allocations to private markets in an attempt to meet long-term return obligations, given the generally higher returns relative to public markets, as outlined in the section above. Indeed, as outlined in the chart below, with the exception of 2018, allocations of public pension funds to alternative asset classes have steadily increased year-on-year from 2010 to 2020.</w:t>
      </w:r>
    </w:p>
    <w:p w:rsidRPr="009C48DA" w:rsidR="00E15E59" w:rsidP="00E15E59" w:rsidRDefault="00CB4931" w14:paraId="32691EBE" w14:textId="46932D4F">
      <w:pPr>
        <w:spacing w:line="288" w:lineRule="auto"/>
        <w:jc w:val="center"/>
        <w:rPr>
          <w:rFonts w:eastAsia="Calibri" w:cs="Times New Roman"/>
          <w:sz w:val="20"/>
          <w:szCs w:val="20"/>
          <w:lang w:val="en-GB"/>
        </w:rPr>
      </w:pPr>
      <w:r w:rsidRPr="004401FA">
        <w:rPr>
          <w:noProof/>
          <w:sz w:val="20"/>
        </w:rPr>
        <w:drawing>
          <wp:inline distT="0" distB="0" distL="0" distR="0" wp14:anchorId="173DFD2E" wp14:editId="0CC97628">
            <wp:extent cx="5392153" cy="3033905"/>
            <wp:effectExtent l="0" t="0" r="0" b="0"/>
            <wp:docPr id="14" name="Picture 14" descr="" title="">
              <a:extLst xmlns:a="http://schemas.openxmlformats.org/drawingml/2006/main">
                <a:ext uri="{FF2B5EF4-FFF2-40B4-BE49-F238E27FC236}">
                  <a16:creationId xmlns:a16="http://schemas.microsoft.com/office/drawing/2014/main" id="{3D3F9923-44F8-459E-AF7A-B1DF113700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D3F9923-44F8-459E-AF7A-B1DF11370086}"/>
                        </a:ext>
                      </a:extLst>
                    </pic:cNvPr>
                    <pic:cNvPicPr>
                      <a:picLocks noChangeAspect="1"/>
                    </pic:cNvPicPr>
                  </pic:nvPicPr>
                  <pic:blipFill>
                    <a:blip r:embed="rId25"/>
                    <a:stretch>
                      <a:fillRect/>
                    </a:stretch>
                  </pic:blipFill>
                  <pic:spPr>
                    <a:xfrm>
                      <a:off x="0" y="0"/>
                      <a:ext cx="5401956" cy="3039421"/>
                    </a:xfrm>
                    <a:prstGeom prst="rect">
                      <a:avLst/>
                    </a:prstGeom>
                  </pic:spPr>
                </pic:pic>
              </a:graphicData>
            </a:graphic>
          </wp:inline>
        </w:drawing>
      </w:r>
    </w:p>
    <w:p w:rsidRPr="009C48DA" w:rsidR="00E15E59" w:rsidP="00AE3700" w:rsidRDefault="00E15E59" w14:paraId="05CD30A0" w14:textId="13E1EF3E">
      <w:pPr>
        <w:pStyle w:val="BlockTextSglJ"/>
        <w:jc w:val="left"/>
        <w:rPr>
          <w:lang w:val="en-GB"/>
        </w:rPr>
      </w:pPr>
      <w:r w:rsidRPr="009C48DA">
        <w:rPr>
          <w:i/>
          <w:lang w:val="en-GB"/>
        </w:rPr>
        <w:t>Source</w:t>
      </w:r>
      <w:r w:rsidRPr="009C48DA">
        <w:rPr>
          <w:lang w:val="en-GB"/>
        </w:rPr>
        <w:t xml:space="preserve">: Preqin, </w:t>
      </w:r>
      <w:r w:rsidRPr="009C48DA">
        <w:rPr>
          <w:i/>
          <w:lang w:val="en-GB"/>
        </w:rPr>
        <w:t>Preqin Special Report: The Future of Alternatives 2025</w:t>
      </w:r>
      <w:r w:rsidRPr="009C48DA">
        <w:rPr>
          <w:lang w:val="en-GB"/>
        </w:rPr>
        <w:t>, November 2020.</w:t>
      </w:r>
    </w:p>
    <w:p w:rsidRPr="009C48DA" w:rsidR="00E15E59" w:rsidP="001B2CC4" w:rsidRDefault="00E15E59" w14:paraId="2BCF162F" w14:textId="77777777">
      <w:pPr>
        <w:pStyle w:val="TitleB"/>
        <w:rPr>
          <w:lang w:val="en-GB"/>
        </w:rPr>
      </w:pPr>
      <w:r w:rsidRPr="009C48DA">
        <w:rPr>
          <w:lang w:val="en-GB"/>
        </w:rPr>
        <w:t>Increased allocations to private markets by institutional investors</w:t>
      </w:r>
    </w:p>
    <w:p w:rsidRPr="009C48DA" w:rsidR="00E15E59" w:rsidP="0002759F" w:rsidRDefault="00E15E59" w14:paraId="4292DB6C" w14:textId="0CBACEAF">
      <w:pPr>
        <w:pStyle w:val="BodyText2SglJ"/>
        <w:rPr>
          <w:lang w:val="en-GB"/>
        </w:rPr>
      </w:pPr>
      <w:r w:rsidRPr="009C48DA">
        <w:rPr>
          <w:lang w:val="en-GB"/>
        </w:rPr>
        <w:t xml:space="preserve">The relative outperformance of private markets outlined above has made investments in these markets an increasingly attractive strategy for investors. Almost 80 per cent of investors surveyed as part of Private Equity International’s “LP Perspectives 2021 Study” were confident that private equity performance will either meet or exceed relevant benchmarks over the next 12 months. Close to 40 per cent of these </w:t>
      </w:r>
      <w:r w:rsidRPr="009C48DA">
        <w:rPr>
          <w:lang w:val="en-GB"/>
        </w:rPr>
        <w:lastRenderedPageBreak/>
        <w:t>investors believed that they were under-allocated to the asset class and the vast majority planned to either increase or maintain their commitments in 2021.</w:t>
      </w:r>
      <w:r w:rsidRPr="009C48DA">
        <w:rPr>
          <w:vertAlign w:val="superscript"/>
          <w:lang w:val="en-GB"/>
        </w:rPr>
        <w:footnoteReference w:id="19"/>
      </w:r>
      <w:r w:rsidRPr="009C48DA">
        <w:rPr>
          <w:lang w:val="en-GB"/>
        </w:rPr>
        <w:t xml:space="preserve"> The results of the investor poll done by Preqin for their “Future of Alternatives 2025” report revealed similar results, with the vast majority of investors planning on increasing allocations to private markets, particularly in </w:t>
      </w:r>
      <w:r w:rsidRPr="009C48DA" w:rsidR="007A03DC">
        <w:rPr>
          <w:lang w:val="en-GB"/>
        </w:rPr>
        <w:t xml:space="preserve">the </w:t>
      </w:r>
      <w:r w:rsidRPr="009C48DA">
        <w:rPr>
          <w:lang w:val="en-GB"/>
        </w:rPr>
        <w:t>private equity and private credit</w:t>
      </w:r>
      <w:r w:rsidRPr="009C48DA" w:rsidR="00FB185F">
        <w:rPr>
          <w:lang w:val="en-GB"/>
        </w:rPr>
        <w:t xml:space="preserve"> asset classes</w:t>
      </w:r>
      <w:r w:rsidRPr="009C48DA" w:rsidR="007A03DC">
        <w:rPr>
          <w:lang w:val="en-GB"/>
        </w:rPr>
        <w:t xml:space="preserve"> in which </w:t>
      </w:r>
      <w:r w:rsidRPr="009C48DA" w:rsidR="00BB773E">
        <w:rPr>
          <w:rFonts w:eastAsia="Calibri" w:cs="Arial"/>
          <w:szCs w:val="20"/>
          <w:lang w:val="en-GB"/>
        </w:rPr>
        <w:t xml:space="preserve">Bridgepoint </w:t>
      </w:r>
      <w:r w:rsidRPr="009C48DA" w:rsidR="007A03DC">
        <w:rPr>
          <w:lang w:val="en-GB"/>
        </w:rPr>
        <w:t>is currently active</w:t>
      </w:r>
      <w:r w:rsidRPr="009C48DA">
        <w:rPr>
          <w:lang w:val="en-GB"/>
        </w:rPr>
        <w:t>, as set out in the chart below.</w:t>
      </w:r>
    </w:p>
    <w:p w:rsidRPr="009C48DA" w:rsidR="00E15E59" w:rsidP="00E15E59" w:rsidRDefault="00CB4931" w14:paraId="16F8899D" w14:textId="7A58294D">
      <w:pPr>
        <w:spacing w:before="120" w:line="288" w:lineRule="auto"/>
        <w:jc w:val="center"/>
        <w:rPr>
          <w:rFonts w:eastAsia="Calibri" w:cs="Times New Roman"/>
          <w:sz w:val="20"/>
          <w:szCs w:val="20"/>
          <w:lang w:val="en-GB"/>
        </w:rPr>
      </w:pPr>
      <w:r w:rsidRPr="004401FA">
        <w:rPr>
          <w:noProof/>
          <w:sz w:val="20"/>
        </w:rPr>
        <w:drawing>
          <wp:inline distT="0" distB="0" distL="0" distR="0" wp14:anchorId="23356F07" wp14:editId="26E33F5F">
            <wp:extent cx="5429250" cy="1252027"/>
            <wp:effectExtent l="0" t="0" r="0" b="5715"/>
            <wp:docPr id="15" name="Picture 5" descr="" title="">
              <a:extLst xmlns:a="http://schemas.openxmlformats.org/drawingml/2006/main">
                <a:ext uri="{FF2B5EF4-FFF2-40B4-BE49-F238E27FC236}">
                  <a16:creationId xmlns:a16="http://schemas.microsoft.com/office/drawing/2014/main" id="{5571C6C7-4F6E-485C-B604-DABDCB1E92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571C6C7-4F6E-485C-B604-DABDCB1E925A}"/>
                        </a:ext>
                      </a:extLst>
                    </pic:cNvPr>
                    <pic:cNvPicPr>
                      <a:picLocks noChangeAspect="1"/>
                    </pic:cNvPicPr>
                  </pic:nvPicPr>
                  <pic:blipFill>
                    <a:blip r:embed="rId26"/>
                    <a:stretch>
                      <a:fillRect/>
                    </a:stretch>
                  </pic:blipFill>
                  <pic:spPr>
                    <a:xfrm>
                      <a:off x="0" y="0"/>
                      <a:ext cx="5429250" cy="1252027"/>
                    </a:xfrm>
                    <a:prstGeom prst="rect">
                      <a:avLst/>
                    </a:prstGeom>
                  </pic:spPr>
                </pic:pic>
              </a:graphicData>
            </a:graphic>
          </wp:inline>
        </w:drawing>
      </w:r>
    </w:p>
    <w:p w:rsidRPr="009C48DA" w:rsidR="00E15E59" w:rsidP="00AE3700" w:rsidRDefault="00E15E59" w14:paraId="57C41B88" w14:textId="3C1E417F">
      <w:pPr>
        <w:pStyle w:val="BlockTextSglJ"/>
        <w:jc w:val="left"/>
        <w:rPr>
          <w:lang w:val="en-GB"/>
        </w:rPr>
      </w:pPr>
      <w:r w:rsidRPr="009C48DA">
        <w:rPr>
          <w:i/>
          <w:lang w:val="en-GB"/>
        </w:rPr>
        <w:t>Source</w:t>
      </w:r>
      <w:r w:rsidRPr="009C48DA">
        <w:rPr>
          <w:lang w:val="en-GB"/>
        </w:rPr>
        <w:t xml:space="preserve">: Preqin, </w:t>
      </w:r>
      <w:r w:rsidRPr="009C48DA">
        <w:rPr>
          <w:i/>
          <w:lang w:val="en-GB"/>
        </w:rPr>
        <w:t>Preqin Special Report: The Future of Alternatives 2025</w:t>
      </w:r>
      <w:r w:rsidRPr="009C48DA">
        <w:rPr>
          <w:lang w:val="en-GB"/>
        </w:rPr>
        <w:t>, November 2020.</w:t>
      </w:r>
      <w:r w:rsidRPr="009C48DA" w:rsidR="00AE3700">
        <w:rPr>
          <w:lang w:val="en-GB"/>
        </w:rPr>
        <w:br/>
      </w:r>
    </w:p>
    <w:p w:rsidRPr="009C48DA" w:rsidR="00E15E59" w:rsidP="000C376E" w:rsidRDefault="00E15E59" w14:paraId="196125E6" w14:textId="77777777">
      <w:pPr>
        <w:pStyle w:val="TitleB"/>
        <w:rPr>
          <w:lang w:val="en-GB"/>
        </w:rPr>
      </w:pPr>
      <w:r w:rsidRPr="009C48DA">
        <w:rPr>
          <w:lang w:val="en-GB"/>
        </w:rPr>
        <w:t>Growth in distributions in private markets</w:t>
      </w:r>
    </w:p>
    <w:p w:rsidRPr="009C48DA" w:rsidR="00E15E59" w:rsidP="0002759F" w:rsidRDefault="00E15E59" w14:paraId="3EF794D6" w14:textId="2C763F3F">
      <w:pPr>
        <w:pStyle w:val="BodyText2SglJ"/>
        <w:rPr>
          <w:b/>
          <w:i/>
          <w:lang w:val="en-GB"/>
        </w:rPr>
      </w:pPr>
      <w:r w:rsidRPr="009C48DA">
        <w:rPr>
          <w:lang w:val="en-GB"/>
        </w:rPr>
        <w:t>The relative resilience seen in the private markets sector over the past decade is demonstrated by growth in the level of capital distributed to investors (with only a limited impact from the market turbulence resulting from the COVID-19 pandemic), as demonstrated by the chart below. These distribution trends are anticipated to support fundraising conditions going forward, as it is anticipated that the growing level of capital being distributed to investors will need to be re-deployed in the near future.</w:t>
      </w:r>
    </w:p>
    <w:p w:rsidRPr="009C48DA" w:rsidR="00E15E59" w:rsidP="00BB7720" w:rsidRDefault="00CB4931" w14:paraId="3B15BCFE" w14:textId="14392F08">
      <w:pPr>
        <w:jc w:val="center"/>
        <w:rPr>
          <w:rFonts w:eastAsia="Calibri" w:cs="Times New Roman"/>
          <w:sz w:val="20"/>
          <w:szCs w:val="20"/>
          <w:lang w:val="en-GB"/>
        </w:rPr>
      </w:pPr>
      <w:r w:rsidRPr="004401FA">
        <w:rPr>
          <w:rFonts w:eastAsia="Calibri" w:cs="Times New Roman"/>
          <w:noProof/>
          <w:sz w:val="20"/>
          <w:szCs w:val="20"/>
        </w:rPr>
        <w:drawing>
          <wp:inline distT="0" distB="0" distL="0" distR="0" wp14:anchorId="4638D53B" wp14:editId="6C04FBE6">
            <wp:extent cx="5462039" cy="2965193"/>
            <wp:effectExtent l="0" t="0" r="5715" b="0"/>
            <wp:docPr id="7" name="Picture 1" descr="" title="">
              <a:extLst xmlns:a="http://schemas.openxmlformats.org/drawingml/2006/main">
                <a:ext uri="{FF2B5EF4-FFF2-40B4-BE49-F238E27FC236}">
                  <a16:creationId xmlns:a16="http://schemas.microsoft.com/office/drawing/2014/main" id="{4572AF6F-4C85-4681-A909-4B846FEAA6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572AF6F-4C85-4681-A909-4B846FEAA622}"/>
                        </a:ext>
                      </a:extLst>
                    </pic:cNvPr>
                    <pic:cNvPicPr>
                      <a:picLocks noChangeAspect="1"/>
                    </pic:cNvPicPr>
                  </pic:nvPicPr>
                  <pic:blipFill>
                    <a:blip r:embed="rId27"/>
                    <a:stretch>
                      <a:fillRect/>
                    </a:stretch>
                  </pic:blipFill>
                  <pic:spPr>
                    <a:xfrm>
                      <a:off x="0" y="0"/>
                      <a:ext cx="5478467" cy="2974111"/>
                    </a:xfrm>
                    <a:prstGeom prst="rect">
                      <a:avLst/>
                    </a:prstGeom>
                  </pic:spPr>
                </pic:pic>
              </a:graphicData>
            </a:graphic>
          </wp:inline>
        </w:drawing>
      </w:r>
    </w:p>
    <w:p w:rsidRPr="009C48DA" w:rsidR="00E15E59" w:rsidP="00AE3700" w:rsidRDefault="00E15E59" w14:paraId="4C0041A7" w14:textId="7D568CC1">
      <w:pPr>
        <w:pStyle w:val="BlockTextSglJ"/>
        <w:jc w:val="left"/>
        <w:rPr>
          <w:lang w:val="en-GB"/>
        </w:rPr>
      </w:pPr>
      <w:r w:rsidRPr="009C48DA">
        <w:rPr>
          <w:i/>
          <w:lang w:val="en-GB"/>
        </w:rPr>
        <w:t>Source</w:t>
      </w:r>
      <w:r w:rsidRPr="009C48DA">
        <w:rPr>
          <w:lang w:val="en-GB"/>
        </w:rPr>
        <w:t xml:space="preserve">: Hamilton Lane, </w:t>
      </w:r>
      <w:r w:rsidRPr="009C48DA">
        <w:rPr>
          <w:i/>
          <w:lang w:val="en-GB"/>
        </w:rPr>
        <w:t>2021 Market Overview</w:t>
      </w:r>
      <w:r w:rsidRPr="009C48DA">
        <w:rPr>
          <w:lang w:val="en-GB"/>
        </w:rPr>
        <w:t>, 2021.</w:t>
      </w:r>
    </w:p>
    <w:p w:rsidRPr="009C48DA" w:rsidR="00E15E59" w:rsidP="000C376E" w:rsidRDefault="00E15E59" w14:paraId="40E3744B" w14:textId="77777777">
      <w:pPr>
        <w:pStyle w:val="TitleB"/>
        <w:rPr>
          <w:lang w:val="en-GB"/>
        </w:rPr>
      </w:pPr>
      <w:r w:rsidRPr="009C48DA">
        <w:rPr>
          <w:lang w:val="en-GB"/>
        </w:rPr>
        <w:t>Concentration of capital allocations towards fewer private equity firms</w:t>
      </w:r>
    </w:p>
    <w:p w:rsidRPr="009C48DA" w:rsidR="00E15E59" w:rsidP="0002759F" w:rsidRDefault="00E15E59" w14:paraId="70F125CE" w14:textId="5D2821EC">
      <w:pPr>
        <w:pStyle w:val="BodyText2SglJ"/>
        <w:rPr>
          <w:lang w:val="en-GB"/>
        </w:rPr>
      </w:pPr>
      <w:r w:rsidRPr="009C48DA">
        <w:rPr>
          <w:lang w:val="en-GB"/>
        </w:rPr>
        <w:t>The growing allocation of funds to private equity has been accompanied by a concentration of these allocations towards more established private equity management firms. This trend is driven by multiple factors, including the ability of broader investment platforms to source attractive deals and deliver returns; increasing investor demands with respect to servicing and reporting and a desire from limited partners to manage fewer general partner relationships, with the aim to reduce their own administrative burden whilst maintaining their target allocations to private assets.</w:t>
      </w:r>
    </w:p>
    <w:p w:rsidRPr="009C48DA" w:rsidR="00AE3700" w:rsidP="00AE3700" w:rsidRDefault="00AE3700" w14:paraId="67AA4C2C" w14:textId="50608A3F">
      <w:pPr>
        <w:pStyle w:val="BodyText2SglJ"/>
        <w:keepNext/>
        <w:rPr>
          <w:lang w:val="en-GB"/>
        </w:rPr>
      </w:pPr>
      <w:r w:rsidRPr="009C48DA">
        <w:rPr>
          <w:lang w:val="en-GB"/>
        </w:rPr>
        <w:lastRenderedPageBreak/>
        <w:t>In particular, relatively large, well-established funds benefitted from this “flight to quality” in 2020, as well as the years leading up to it, as highlighted in the chart below.</w:t>
      </w:r>
    </w:p>
    <w:p w:rsidRPr="009C48DA" w:rsidR="00E15E59" w:rsidP="00BB7720" w:rsidRDefault="00CB4931" w14:paraId="6E443164" w14:textId="4A092D0E">
      <w:pPr>
        <w:jc w:val="center"/>
        <w:rPr>
          <w:rFonts w:eastAsia="Calibri" w:cs="Times New Roman"/>
          <w:sz w:val="20"/>
          <w:szCs w:val="20"/>
          <w:lang w:val="en-GB"/>
        </w:rPr>
      </w:pPr>
      <w:r w:rsidRPr="004401FA">
        <w:rPr>
          <w:rFonts w:eastAsia="Calibri" w:cs="Times New Roman"/>
          <w:noProof/>
          <w:sz w:val="20"/>
          <w:szCs w:val="20"/>
        </w:rPr>
        <w:drawing>
          <wp:inline distT="0" distB="0" distL="0" distR="0" wp14:anchorId="0B485EEB" wp14:editId="445F3C35">
            <wp:extent cx="5309778" cy="3033906"/>
            <wp:effectExtent l="0" t="0" r="5715" b="0"/>
            <wp:docPr id="8" name="Picture 6" descr="" title="">
              <a:extLst xmlns:a="http://schemas.openxmlformats.org/drawingml/2006/main">
                <a:ext uri="{FF2B5EF4-FFF2-40B4-BE49-F238E27FC236}">
                  <a16:creationId xmlns:a16="http://schemas.microsoft.com/office/drawing/2014/main" id="{C6ABC35C-CD9C-4E46-95E0-4329712EB4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6ABC35C-CD9C-4E46-95E0-4329712EB4BD}"/>
                        </a:ext>
                      </a:extLst>
                    </pic:cNvPr>
                    <pic:cNvPicPr>
                      <a:picLocks noChangeAspect="1"/>
                    </pic:cNvPicPr>
                  </pic:nvPicPr>
                  <pic:blipFill>
                    <a:blip r:embed="rId28"/>
                    <a:stretch>
                      <a:fillRect/>
                    </a:stretch>
                  </pic:blipFill>
                  <pic:spPr>
                    <a:xfrm>
                      <a:off x="0" y="0"/>
                      <a:ext cx="5333369" cy="3047385"/>
                    </a:xfrm>
                    <a:prstGeom prst="rect">
                      <a:avLst/>
                    </a:prstGeom>
                  </pic:spPr>
                </pic:pic>
              </a:graphicData>
            </a:graphic>
          </wp:inline>
        </w:drawing>
      </w:r>
    </w:p>
    <w:p w:rsidRPr="009C48DA" w:rsidR="00E15E59" w:rsidP="00AE3700" w:rsidRDefault="00E15E59" w14:paraId="4927B659" w14:textId="0236B45E">
      <w:pPr>
        <w:pStyle w:val="BlockTextSglJ"/>
        <w:jc w:val="left"/>
        <w:rPr>
          <w:lang w:val="en-GB"/>
        </w:rPr>
      </w:pPr>
      <w:r w:rsidRPr="009C48DA">
        <w:rPr>
          <w:i/>
          <w:lang w:val="en-GB"/>
        </w:rPr>
        <w:t>Source</w:t>
      </w:r>
      <w:r w:rsidRPr="009C48DA">
        <w:rPr>
          <w:lang w:val="en-GB"/>
        </w:rPr>
        <w:t xml:space="preserve">: Preqin, </w:t>
      </w:r>
      <w:r w:rsidRPr="009C48DA">
        <w:rPr>
          <w:i/>
          <w:lang w:val="en-GB"/>
        </w:rPr>
        <w:t>2021 Preqin Global Private Equity and Venture Capital Report</w:t>
      </w:r>
      <w:r w:rsidRPr="009C48DA">
        <w:rPr>
          <w:lang w:val="en-GB"/>
        </w:rPr>
        <w:t>, January 2021.</w:t>
      </w:r>
    </w:p>
    <w:p w:rsidRPr="009C48DA" w:rsidR="00E15E59" w:rsidP="0002759F" w:rsidRDefault="00E15E59" w14:paraId="138B5943" w14:textId="77777777">
      <w:pPr>
        <w:pStyle w:val="BodyText2SglJ"/>
        <w:rPr>
          <w:lang w:val="en-GB"/>
        </w:rPr>
      </w:pPr>
      <w:r w:rsidRPr="009C48DA" w:rsidDel="00E1740F">
        <w:rPr>
          <w:vertAlign w:val="superscript"/>
          <w:lang w:val="en-GB"/>
        </w:rPr>
        <w:t xml:space="preserve"> </w:t>
      </w:r>
      <w:r w:rsidRPr="009C48DA">
        <w:rPr>
          <w:lang w:val="en-GB"/>
        </w:rPr>
        <w:t>More established private equity management firms</w:t>
      </w:r>
      <w:r w:rsidRPr="009C48DA" w:rsidDel="000A6DD6">
        <w:rPr>
          <w:lang w:val="en-GB"/>
        </w:rPr>
        <w:t xml:space="preserve"> </w:t>
      </w:r>
      <w:r w:rsidRPr="009C48DA">
        <w:rPr>
          <w:lang w:val="en-GB"/>
        </w:rPr>
        <w:t>also benefit from greater resources to invest in technology and investment processes, as well as in their operating platforms more generally. Such investments result in benefits for their clients and have resulted in larger and more established managers generally growing more rapidly than the wider private assets market.</w:t>
      </w:r>
      <w:r w:rsidRPr="009C48DA">
        <w:rPr>
          <w:vertAlign w:val="superscript"/>
          <w:lang w:val="en-GB"/>
        </w:rPr>
        <w:footnoteReference w:id="20"/>
      </w:r>
    </w:p>
    <w:p w:rsidRPr="009C48DA" w:rsidR="00E15E59" w:rsidP="000C376E" w:rsidRDefault="00E15E59" w14:paraId="63EC2C84" w14:textId="77777777">
      <w:pPr>
        <w:pStyle w:val="TitleB"/>
        <w:rPr>
          <w:lang w:val="en-GB"/>
        </w:rPr>
      </w:pPr>
      <w:r w:rsidRPr="009C48DA">
        <w:rPr>
          <w:lang w:val="en-GB"/>
        </w:rPr>
        <w:t xml:space="preserve">Established players are able to defend their position in the private markets industry </w:t>
      </w:r>
    </w:p>
    <w:p w:rsidRPr="009C48DA" w:rsidR="00E15E59" w:rsidP="0002759F" w:rsidRDefault="00E15E59" w14:paraId="7674A13C" w14:textId="12B040BC">
      <w:pPr>
        <w:pStyle w:val="BodyText2SglJ"/>
        <w:rPr>
          <w:lang w:val="en-GB"/>
        </w:rPr>
      </w:pPr>
      <w:r w:rsidRPr="009C48DA">
        <w:rPr>
          <w:lang w:val="en-GB"/>
        </w:rPr>
        <w:t>The private markets industry remains a diverse and highly competitive sector with regards to both investor capital and investment opportunities. As of January 2021, more than 4,200 private equity funds were estimated to be in the market collectively targeting investor capital of US$884 billion, with almost 550 private credit funds in the market collectively targeting investor capital of US$290 billion.</w:t>
      </w:r>
      <w:r w:rsidRPr="009C48DA">
        <w:rPr>
          <w:vertAlign w:val="superscript"/>
          <w:lang w:val="en-GB"/>
        </w:rPr>
        <w:footnoteReference w:id="21"/>
      </w:r>
      <w:r w:rsidRPr="009C48DA">
        <w:rPr>
          <w:lang w:val="en-GB"/>
        </w:rPr>
        <w:t xml:space="preserve"> The majority of these funds are North America-focused, with approximately 2,250 and 317 North America-focused private equity and private credit funds seeking to raise capital via new fund offerings at that time, respectively. The number of European-focused funds is comparat</w:t>
      </w:r>
      <w:r w:rsidR="00A65814">
        <w:rPr>
          <w:lang w:val="en-GB"/>
        </w:rPr>
        <w:t>ively lower, with approximately </w:t>
      </w:r>
      <w:r w:rsidRPr="009C48DA">
        <w:rPr>
          <w:lang w:val="en-GB"/>
        </w:rPr>
        <w:t>650</w:t>
      </w:r>
      <w:r w:rsidRPr="009C48DA" w:rsidR="00F816AB">
        <w:rPr>
          <w:lang w:val="en-GB"/>
        </w:rPr>
        <w:t> </w:t>
      </w:r>
      <w:r w:rsidRPr="009C48DA">
        <w:rPr>
          <w:lang w:val="en-GB"/>
        </w:rPr>
        <w:t>European-focused private equity funds in the market targeting US$178 billion of aggregate capital and 132 European-focused private credit funds targeting US$98 billion aggregate capital.</w:t>
      </w:r>
      <w:r w:rsidRPr="009C48DA">
        <w:rPr>
          <w:vertAlign w:val="superscript"/>
          <w:lang w:val="en-GB"/>
        </w:rPr>
        <w:footnoteReference w:id="22"/>
      </w:r>
      <w:r w:rsidRPr="009C48DA">
        <w:rPr>
          <w:lang w:val="en-GB"/>
        </w:rPr>
        <w:t xml:space="preserve"> This excludes funds pursuing alternative investment strategies such as infrastructure, real estate and venture capital. </w:t>
      </w:r>
    </w:p>
    <w:p w:rsidRPr="009C48DA" w:rsidR="00E15E59" w:rsidP="00AE3700" w:rsidRDefault="00E15E59" w14:paraId="735A8077" w14:textId="48A72E60">
      <w:pPr>
        <w:pStyle w:val="BodyText2SglJ"/>
        <w:keepNext/>
        <w:rPr>
          <w:lang w:val="en-GB"/>
        </w:rPr>
      </w:pPr>
      <w:r w:rsidRPr="009C48DA">
        <w:rPr>
          <w:lang w:val="en-GB"/>
        </w:rPr>
        <w:t>In spite of the growing number of firms within the private markets industry, well-established and high</w:t>
      </w:r>
      <w:r w:rsidRPr="009C48DA" w:rsidR="00F816AB">
        <w:rPr>
          <w:lang w:val="en-GB"/>
        </w:rPr>
        <w:t>-</w:t>
      </w:r>
      <w:r w:rsidRPr="009C48DA">
        <w:rPr>
          <w:lang w:val="en-GB"/>
        </w:rPr>
        <w:t xml:space="preserve">quality firms have continued to benefit from the growing size of the overall market and have generally commanded a larger proportion of overall market fundraising. As demonstrated by the chart below, the </w:t>
      </w:r>
      <w:r w:rsidRPr="009C48DA">
        <w:rPr>
          <w:lang w:val="en-GB"/>
        </w:rPr>
        <w:lastRenderedPageBreak/>
        <w:t>top</w:t>
      </w:r>
      <w:r w:rsidRPr="009C48DA" w:rsidR="00B336EC">
        <w:rPr>
          <w:lang w:val="en-GB"/>
        </w:rPr>
        <w:t> </w:t>
      </w:r>
      <w:r w:rsidRPr="009C48DA" w:rsidR="006F5756">
        <w:rPr>
          <w:lang w:val="en-GB"/>
        </w:rPr>
        <w:t xml:space="preserve">10 </w:t>
      </w:r>
      <w:r w:rsidRPr="009C48DA">
        <w:rPr>
          <w:lang w:val="en-GB"/>
        </w:rPr>
        <w:t xml:space="preserve">general partners, as defined by Hamilton Lane, have increasingly dominated the overall proportion of funds being raised. </w:t>
      </w:r>
    </w:p>
    <w:p w:rsidRPr="009C48DA" w:rsidR="00E15E59" w:rsidP="00E15E59" w:rsidRDefault="001A3FD2" w14:paraId="71FF573A" w14:textId="08AE9E00">
      <w:pPr>
        <w:jc w:val="center"/>
        <w:rPr>
          <w:rFonts w:eastAsia="Calibri" w:cs="Times New Roman"/>
          <w:sz w:val="20"/>
          <w:szCs w:val="20"/>
          <w:lang w:val="en-GB"/>
        </w:rPr>
      </w:pPr>
      <w:r w:rsidRPr="004401FA">
        <w:rPr>
          <w:rFonts w:eastAsia="Calibri" w:cs="Times New Roman"/>
          <w:noProof/>
          <w:sz w:val="20"/>
          <w:szCs w:val="20"/>
        </w:rPr>
        <w:drawing>
          <wp:inline distT="0" distB="0" distL="0" distR="0" wp14:anchorId="2DF01A60" wp14:editId="582468BF">
            <wp:extent cx="5355160" cy="2891196"/>
            <wp:effectExtent l="0" t="0" r="0" b="0"/>
            <wp:docPr id="9" name="Picture 3" descr="" title="">
              <a:extLst xmlns:a="http://schemas.openxmlformats.org/drawingml/2006/main">
                <a:ext uri="{FF2B5EF4-FFF2-40B4-BE49-F238E27FC236}">
                  <a16:creationId xmlns:a16="http://schemas.microsoft.com/office/drawing/2014/main" id="{1D2BA68C-4C84-4023-B1B6-E18F81F81E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D2BA68C-4C84-4023-B1B6-E18F81F81E6B}"/>
                        </a:ext>
                      </a:extLst>
                    </pic:cNvPr>
                    <pic:cNvPicPr>
                      <a:picLocks noChangeAspect="1"/>
                    </pic:cNvPicPr>
                  </pic:nvPicPr>
                  <pic:blipFill>
                    <a:blip r:embed="rId29"/>
                    <a:stretch>
                      <a:fillRect/>
                    </a:stretch>
                  </pic:blipFill>
                  <pic:spPr>
                    <a:xfrm>
                      <a:off x="0" y="0"/>
                      <a:ext cx="5366981" cy="2897578"/>
                    </a:xfrm>
                    <a:prstGeom prst="rect">
                      <a:avLst/>
                    </a:prstGeom>
                  </pic:spPr>
                </pic:pic>
              </a:graphicData>
            </a:graphic>
          </wp:inline>
        </w:drawing>
      </w:r>
    </w:p>
    <w:p w:rsidRPr="009C48DA" w:rsidR="00E15E59" w:rsidP="00AE3700" w:rsidRDefault="00E15E59" w14:paraId="6BC251F7" w14:textId="4229A0AB">
      <w:pPr>
        <w:pStyle w:val="BlockTextSglJ"/>
        <w:jc w:val="left"/>
        <w:rPr>
          <w:lang w:val="en-GB"/>
        </w:rPr>
      </w:pPr>
      <w:r w:rsidRPr="009C48DA">
        <w:rPr>
          <w:i/>
          <w:lang w:val="en-GB"/>
        </w:rPr>
        <w:t>Source</w:t>
      </w:r>
      <w:r w:rsidRPr="009C48DA">
        <w:rPr>
          <w:lang w:val="en-GB"/>
        </w:rPr>
        <w:t xml:space="preserve">: Hamilton Lane, </w:t>
      </w:r>
      <w:r w:rsidRPr="009C48DA">
        <w:rPr>
          <w:i/>
          <w:lang w:val="en-GB"/>
        </w:rPr>
        <w:t>2021 Market Overview</w:t>
      </w:r>
      <w:r w:rsidRPr="009C48DA">
        <w:rPr>
          <w:lang w:val="en-GB"/>
        </w:rPr>
        <w:t>, 2021.</w:t>
      </w:r>
    </w:p>
    <w:p w:rsidRPr="009C48DA" w:rsidR="00E15E59" w:rsidP="0002759F" w:rsidRDefault="00E15E59" w14:paraId="18CF615A" w14:textId="310EBBEE">
      <w:pPr>
        <w:pStyle w:val="BodyText2SglJ"/>
        <w:rPr>
          <w:lang w:val="en-GB"/>
        </w:rPr>
      </w:pPr>
      <w:r w:rsidRPr="009C48DA">
        <w:rPr>
          <w:lang w:val="en-GB"/>
        </w:rPr>
        <w:t xml:space="preserve">Similarly, the chart below shows that first-time private equity fundraising as a proportion of total fundraising has declined </w:t>
      </w:r>
      <w:r w:rsidRPr="009C48DA" w:rsidR="0003405D">
        <w:rPr>
          <w:lang w:val="en-GB"/>
        </w:rPr>
        <w:t>from</w:t>
      </w:r>
      <w:r w:rsidRPr="009C48DA">
        <w:rPr>
          <w:lang w:val="en-GB"/>
        </w:rPr>
        <w:t xml:space="preserve"> 2017 </w:t>
      </w:r>
      <w:r w:rsidRPr="009C48DA" w:rsidR="0003405D">
        <w:rPr>
          <w:lang w:val="en-GB"/>
        </w:rPr>
        <w:t>to</w:t>
      </w:r>
      <w:r w:rsidRPr="009C48DA">
        <w:rPr>
          <w:lang w:val="en-GB"/>
        </w:rPr>
        <w:t xml:space="preserve"> 2020.</w:t>
      </w:r>
    </w:p>
    <w:p w:rsidRPr="009C48DA" w:rsidR="00E15E59" w:rsidP="00BB7720" w:rsidRDefault="001A3FD2" w14:paraId="66D66D78" w14:textId="4605F8FE">
      <w:pPr>
        <w:jc w:val="center"/>
        <w:rPr>
          <w:rFonts w:eastAsia="Calibri" w:cs="Times New Roman"/>
          <w:sz w:val="20"/>
          <w:szCs w:val="20"/>
          <w:lang w:val="en-GB"/>
        </w:rPr>
      </w:pPr>
      <w:r w:rsidRPr="004401FA">
        <w:rPr>
          <w:rFonts w:eastAsia="Calibri" w:cs="Times New Roman"/>
          <w:noProof/>
          <w:sz w:val="20"/>
          <w:szCs w:val="20"/>
        </w:rPr>
        <w:drawing>
          <wp:inline distT="0" distB="0" distL="0" distR="0" wp14:anchorId="6E2DF6DF" wp14:editId="1C7C3756">
            <wp:extent cx="5348170" cy="2928194"/>
            <wp:effectExtent l="0" t="0" r="0" b="0"/>
            <wp:docPr id="12" name="Picture 2" descr="" title="">
              <a:extLst xmlns:a="http://schemas.openxmlformats.org/drawingml/2006/main">
                <a:ext uri="{FF2B5EF4-FFF2-40B4-BE49-F238E27FC236}">
                  <a16:creationId xmlns:a16="http://schemas.microsoft.com/office/drawing/2014/main" id="{DF36187A-051F-4C41-B5C6-40E4800308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F36187A-051F-4C41-B5C6-40E480030813}"/>
                        </a:ext>
                      </a:extLst>
                    </pic:cNvPr>
                    <pic:cNvPicPr>
                      <a:picLocks noChangeAspect="1"/>
                    </pic:cNvPicPr>
                  </pic:nvPicPr>
                  <pic:blipFill>
                    <a:blip r:embed="rId30"/>
                    <a:stretch>
                      <a:fillRect/>
                    </a:stretch>
                  </pic:blipFill>
                  <pic:spPr>
                    <a:xfrm>
                      <a:off x="0" y="0"/>
                      <a:ext cx="5375775" cy="2943308"/>
                    </a:xfrm>
                    <a:prstGeom prst="rect">
                      <a:avLst/>
                    </a:prstGeom>
                  </pic:spPr>
                </pic:pic>
              </a:graphicData>
            </a:graphic>
          </wp:inline>
        </w:drawing>
      </w:r>
    </w:p>
    <w:p w:rsidRPr="009C48DA" w:rsidR="00E15E59" w:rsidP="00AE3700" w:rsidRDefault="00E15E59" w14:paraId="4B328223" w14:textId="520A43F5">
      <w:pPr>
        <w:pStyle w:val="BlockTextSglJ"/>
        <w:jc w:val="left"/>
        <w:rPr>
          <w:lang w:val="en-GB"/>
        </w:rPr>
      </w:pPr>
      <w:r w:rsidRPr="009C48DA">
        <w:rPr>
          <w:i/>
          <w:lang w:val="en-GB"/>
        </w:rPr>
        <w:t>Source</w:t>
      </w:r>
      <w:r w:rsidRPr="009C48DA">
        <w:rPr>
          <w:lang w:val="en-GB"/>
        </w:rPr>
        <w:t xml:space="preserve">: Preqin, </w:t>
      </w:r>
      <w:r w:rsidRPr="009C48DA">
        <w:rPr>
          <w:i/>
          <w:lang w:val="en-GB"/>
        </w:rPr>
        <w:t>2021 Preqin Global Private Equity and Venture Capital Report</w:t>
      </w:r>
      <w:r w:rsidRPr="009C48DA">
        <w:rPr>
          <w:lang w:val="en-GB"/>
        </w:rPr>
        <w:t>, January 2021.</w:t>
      </w:r>
    </w:p>
    <w:p w:rsidRPr="009C48DA" w:rsidR="00E15E59" w:rsidP="0002759F" w:rsidRDefault="00E15E59" w14:paraId="6BB767FB" w14:textId="77777777">
      <w:pPr>
        <w:pStyle w:val="BodyText2SglJ"/>
        <w:rPr>
          <w:lang w:val="en-GB"/>
        </w:rPr>
      </w:pPr>
      <w:r w:rsidRPr="009C48DA">
        <w:rPr>
          <w:lang w:val="en-GB"/>
        </w:rPr>
        <w:t xml:space="preserve">A range of factors provide material advantages to established private asset managers which allow them to maintain or enhance their competitive positioning. These factors include: an established investment track record; reputation and brand recognition (both of which have important implications for an investment origination perspective as well as in securing board and investment committee approval of commitments made by institutional investors); robust technology infrastructure; and a comprehensive compliance function (which is increasingly important in an era of expanding regulation). </w:t>
      </w:r>
    </w:p>
    <w:p w:rsidRPr="009C48DA" w:rsidR="00E15E59" w:rsidP="000C376E" w:rsidRDefault="00E15E59" w14:paraId="761CFE45" w14:textId="77777777">
      <w:pPr>
        <w:pStyle w:val="TitleB"/>
        <w:rPr>
          <w:lang w:val="en-GB"/>
        </w:rPr>
      </w:pPr>
      <w:r w:rsidRPr="009C48DA">
        <w:rPr>
          <w:lang w:val="en-GB"/>
        </w:rPr>
        <w:t xml:space="preserve">Strategy diversification by leading fund managers </w:t>
      </w:r>
    </w:p>
    <w:p w:rsidRPr="009C48DA" w:rsidR="00E15E59" w:rsidP="0002759F" w:rsidRDefault="00E15E59" w14:paraId="51538118" w14:textId="77777777">
      <w:pPr>
        <w:pStyle w:val="BodyText2SglJ"/>
        <w:rPr>
          <w:lang w:val="en-GB"/>
        </w:rPr>
      </w:pPr>
      <w:r w:rsidRPr="009C48DA">
        <w:rPr>
          <w:lang w:val="en-GB"/>
        </w:rPr>
        <w:t xml:space="preserve">An increasing number of established fund managers are assuming an even greater overall market share by expanding their fund offerings into other investment strategies, as highlighted in research by </w:t>
      </w:r>
      <w:r w:rsidRPr="009C48DA">
        <w:rPr>
          <w:lang w:val="en-GB"/>
        </w:rPr>
        <w:lastRenderedPageBreak/>
        <w:t xml:space="preserve">Hamilton Lane. These complementary strategies include private credit, real estate and infrastructure, as well as sub-sets within investment strategies, such as growth strategies within private equity. </w:t>
      </w:r>
    </w:p>
    <w:p w:rsidRPr="009C48DA" w:rsidR="00E15E59" w:rsidP="0002759F" w:rsidRDefault="00E15E59" w14:paraId="0B8C6271" w14:textId="77777777">
      <w:pPr>
        <w:pStyle w:val="BodyText2SglJ"/>
        <w:rPr>
          <w:lang w:val="en-GB"/>
        </w:rPr>
      </w:pPr>
      <w:r w:rsidRPr="009C48DA">
        <w:rPr>
          <w:lang w:val="en-GB"/>
        </w:rPr>
        <w:t>This expansion allows established fund managers to offer a greater range of products to their core, long-term investors. As highlighted in the chart below, the amount of fundraising for funds which are not flagship funds of the fund manager (non-flagship funds) has steadily increased over the past decade, with Hamilton Lane stating that non-flagship funds have become an integral part of business for experienced fund managers.</w:t>
      </w:r>
      <w:r w:rsidRPr="009C48DA">
        <w:rPr>
          <w:vertAlign w:val="superscript"/>
          <w:lang w:val="en-GB"/>
        </w:rPr>
        <w:footnoteReference w:id="23"/>
      </w:r>
    </w:p>
    <w:p w:rsidRPr="009C48DA" w:rsidR="00E15E59" w:rsidP="00BB7720" w:rsidRDefault="001A3FD2" w14:paraId="23A95208" w14:textId="733413C5">
      <w:pPr>
        <w:jc w:val="center"/>
        <w:rPr>
          <w:rFonts w:eastAsia="Calibri" w:cs="Times New Roman"/>
          <w:sz w:val="20"/>
          <w:szCs w:val="20"/>
          <w:lang w:val="en-GB"/>
        </w:rPr>
      </w:pPr>
      <w:r w:rsidRPr="002B6AB2">
        <w:rPr>
          <w:rFonts w:eastAsia="Calibri" w:cs="Times New Roman"/>
          <w:noProof/>
          <w:sz w:val="20"/>
          <w:szCs w:val="20"/>
        </w:rPr>
        <w:drawing>
          <wp:inline distT="0" distB="0" distL="0" distR="0" wp14:anchorId="2FE75684" wp14:editId="5712806B">
            <wp:extent cx="5426292" cy="2830665"/>
            <wp:effectExtent l="0" t="0" r="0" b="0"/>
            <wp:docPr id="16" name="Picture 1" descr="" title="">
              <a:extLst xmlns:a="http://schemas.openxmlformats.org/drawingml/2006/main">
                <a:ext uri="{FF2B5EF4-FFF2-40B4-BE49-F238E27FC236}">
                  <a16:creationId xmlns:a16="http://schemas.microsoft.com/office/drawing/2014/main" id="{7C9FBF05-4DAF-4104-A489-4D91326EFA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C9FBF05-4DAF-4104-A489-4D91326EFA2E}"/>
                        </a:ext>
                      </a:extLst>
                    </pic:cNvPr>
                    <pic:cNvPicPr>
                      <a:picLocks noChangeAspect="1"/>
                    </pic:cNvPicPr>
                  </pic:nvPicPr>
                  <pic:blipFill>
                    <a:blip r:embed="rId31"/>
                    <a:stretch>
                      <a:fillRect/>
                    </a:stretch>
                  </pic:blipFill>
                  <pic:spPr>
                    <a:xfrm>
                      <a:off x="0" y="0"/>
                      <a:ext cx="5461622" cy="2849095"/>
                    </a:xfrm>
                    <a:prstGeom prst="rect">
                      <a:avLst/>
                    </a:prstGeom>
                  </pic:spPr>
                </pic:pic>
              </a:graphicData>
            </a:graphic>
          </wp:inline>
        </w:drawing>
      </w:r>
    </w:p>
    <w:p w:rsidRPr="009C48DA" w:rsidR="00E15E59" w:rsidP="00AE3700" w:rsidRDefault="00E15E59" w14:paraId="31BCD399" w14:textId="4A58A6F5">
      <w:pPr>
        <w:pStyle w:val="BlockTextSglJ"/>
        <w:jc w:val="left"/>
        <w:rPr>
          <w:lang w:val="en-GB"/>
        </w:rPr>
      </w:pPr>
      <w:r w:rsidRPr="009C48DA">
        <w:rPr>
          <w:i/>
          <w:lang w:val="en-GB"/>
        </w:rPr>
        <w:t>Source</w:t>
      </w:r>
      <w:r w:rsidRPr="009C48DA">
        <w:rPr>
          <w:lang w:val="en-GB"/>
        </w:rPr>
        <w:t>: Hamilton Lane,</w:t>
      </w:r>
      <w:r w:rsidRPr="009C48DA">
        <w:rPr>
          <w:i/>
          <w:lang w:val="en-GB"/>
        </w:rPr>
        <w:t xml:space="preserve"> 2021 Market Overview</w:t>
      </w:r>
      <w:r w:rsidRPr="009C48DA">
        <w:rPr>
          <w:lang w:val="en-GB"/>
        </w:rPr>
        <w:t>, 2021.</w:t>
      </w:r>
    </w:p>
    <w:p w:rsidRPr="009C48DA" w:rsidR="00E15E59" w:rsidP="00FB111A" w:rsidRDefault="00FB111A" w14:paraId="340E747E" w14:textId="3450FB12">
      <w:pPr>
        <w:pStyle w:val="TitleBAllCaps"/>
      </w:pPr>
      <w:r w:rsidRPr="009C48DA">
        <w:t>COMPETITIVE DYNAMICS IN THE PRIVATE MARKETS INDUSTRY</w:t>
      </w:r>
    </w:p>
    <w:p w:rsidRPr="009C48DA" w:rsidR="00E15E59" w:rsidP="0002759F" w:rsidRDefault="00E15E59" w14:paraId="2997CC6F" w14:textId="77777777">
      <w:pPr>
        <w:pStyle w:val="BodyText2SglJ"/>
        <w:rPr>
          <w:lang w:val="en-GB"/>
        </w:rPr>
      </w:pPr>
      <w:r w:rsidRPr="009C48DA">
        <w:rPr>
          <w:lang w:val="en-GB"/>
        </w:rPr>
        <w:t>The private markets industry remains fragmented, and Preqin estimates that there were approximately 650 Europe-focused private equity funds and 132 Europe-focused private credit funds in the market as of January 2021, targeting US$178 billion and US$98 billion aggregate capital, respectively.</w:t>
      </w:r>
      <w:r w:rsidRPr="009C48DA">
        <w:rPr>
          <w:vertAlign w:val="superscript"/>
          <w:lang w:val="en-GB"/>
        </w:rPr>
        <w:footnoteReference w:id="24"/>
      </w:r>
      <w:r w:rsidRPr="009C48DA">
        <w:rPr>
          <w:lang w:val="en-GB"/>
        </w:rPr>
        <w:t xml:space="preserve"> </w:t>
      </w:r>
    </w:p>
    <w:p w:rsidRPr="009C48DA" w:rsidR="00E15E59" w:rsidP="0002759F" w:rsidRDefault="00BB773E" w14:paraId="3F8A7CD1" w14:textId="2554591D">
      <w:pPr>
        <w:pStyle w:val="BodyText2SglJ"/>
        <w:rPr>
          <w:lang w:val="en-GB"/>
        </w:rPr>
      </w:pPr>
      <w:bookmarkStart w:name="OLE_LINK3" w:id="556"/>
      <w:r w:rsidRPr="009C48DA">
        <w:rPr>
          <w:rFonts w:eastAsia="Calibri" w:cs="Arial"/>
          <w:szCs w:val="20"/>
          <w:lang w:val="en-GB"/>
        </w:rPr>
        <w:t xml:space="preserve">Bridgepoint </w:t>
      </w:r>
      <w:r w:rsidRPr="009C48DA" w:rsidR="00E15E59">
        <w:rPr>
          <w:lang w:val="en-GB"/>
        </w:rPr>
        <w:t>is unusual amongst European private asset managers in combining a long-standing specific focus on the middle market with a well-invested global platform more typical of firms operating in the large-cap segment of the market</w:t>
      </w:r>
      <w:bookmarkEnd w:id="556"/>
      <w:r w:rsidRPr="009C48DA" w:rsidR="00E15E59">
        <w:rPr>
          <w:lang w:val="en-GB"/>
        </w:rPr>
        <w:t xml:space="preserve">. As a result, the Directors believe that </w:t>
      </w:r>
      <w:r w:rsidRPr="009C48DA" w:rsidR="006D5BFE">
        <w:rPr>
          <w:lang w:val="en-GB"/>
        </w:rPr>
        <w:t>Bridgepoint</w:t>
      </w:r>
      <w:r w:rsidRPr="009C48DA" w:rsidR="00E15E59">
        <w:rPr>
          <w:lang w:val="en-GB"/>
        </w:rPr>
        <w:t xml:space="preserve">’s flagship private equity funds </w:t>
      </w:r>
      <w:bookmarkStart w:name="OLE_LINK4" w:id="557"/>
      <w:r w:rsidRPr="009C48DA" w:rsidR="00E15E59">
        <w:rPr>
          <w:lang w:val="en-GB"/>
        </w:rPr>
        <w:t>only genuinely compete with a small handful of managers in competitive situations and it is rare to compete with the same group on multiple transactions during the build</w:t>
      </w:r>
      <w:r w:rsidRPr="009C48DA" w:rsidR="006F5756">
        <w:rPr>
          <w:lang w:val="en-GB"/>
        </w:rPr>
        <w:t>-</w:t>
      </w:r>
      <w:r w:rsidRPr="009C48DA" w:rsidR="00E15E59">
        <w:rPr>
          <w:lang w:val="en-GB"/>
        </w:rPr>
        <w:t>out of a fund portfolio</w:t>
      </w:r>
      <w:bookmarkEnd w:id="557"/>
      <w:r w:rsidRPr="009C48DA" w:rsidR="00E15E59">
        <w:rPr>
          <w:lang w:val="en-GB"/>
        </w:rPr>
        <w:t>.</w:t>
      </w:r>
    </w:p>
    <w:p w:rsidRPr="009C48DA" w:rsidR="00E15E59" w:rsidP="000C376E" w:rsidRDefault="00E15E59" w14:paraId="3EE32422" w14:textId="77777777">
      <w:pPr>
        <w:pStyle w:val="TitleB"/>
        <w:rPr>
          <w:rFonts w:cs="Times New Roman"/>
          <w:lang w:val="en-GB"/>
        </w:rPr>
      </w:pPr>
      <w:r w:rsidRPr="009C48DA">
        <w:rPr>
          <w:lang w:val="en-GB"/>
        </w:rPr>
        <w:t>Private markets investors</w:t>
      </w:r>
    </w:p>
    <w:p w:rsidRPr="009C48DA" w:rsidR="00E15E59" w:rsidP="00AE3700" w:rsidRDefault="00E15E59" w14:paraId="2AEE0DC3" w14:textId="71FF1CA8">
      <w:pPr>
        <w:pStyle w:val="BodyText2SglJ"/>
        <w:keepNext/>
        <w:rPr>
          <w:lang w:val="en-GB"/>
        </w:rPr>
      </w:pPr>
      <w:r w:rsidRPr="009C48DA">
        <w:rPr>
          <w:lang w:val="en-GB"/>
        </w:rPr>
        <w:t>Investors which invest in private markets are generally long-term</w:t>
      </w:r>
      <w:r w:rsidRPr="009C48DA" w:rsidR="00CB2CB6">
        <w:rPr>
          <w:lang w:val="en-GB"/>
        </w:rPr>
        <w:t>,</w:t>
      </w:r>
      <w:r w:rsidRPr="009C48DA">
        <w:rPr>
          <w:lang w:val="en-GB"/>
        </w:rPr>
        <w:t xml:space="preserve"> focused institutional asset allocators such as pension funds (both governmental and corporate), asset managers and advisors, funds of funds, insurance companies, financial institutions and sovereign wealth funds, as well as endowments, </w:t>
      </w:r>
      <w:r w:rsidRPr="009C48DA">
        <w:rPr>
          <w:lang w:val="en-GB"/>
        </w:rPr>
        <w:lastRenderedPageBreak/>
        <w:t xml:space="preserve">private wealth managers, family offices and HNWIs, as demonstrated by the composition of investors in </w:t>
      </w:r>
      <w:r w:rsidRPr="009C48DA" w:rsidR="006D5BFE">
        <w:rPr>
          <w:lang w:val="en-GB"/>
        </w:rPr>
        <w:t>Bridgepoint</w:t>
      </w:r>
      <w:r w:rsidRPr="009C48DA">
        <w:rPr>
          <w:lang w:val="en-GB"/>
        </w:rPr>
        <w:t>’s private equity funds, shown below.</w:t>
      </w:r>
    </w:p>
    <w:p w:rsidRPr="009C48DA" w:rsidR="00E15E59" w:rsidP="00E15E59" w:rsidRDefault="001A3FD2" w14:paraId="0992AA6A" w14:textId="6C239902">
      <w:pPr>
        <w:jc w:val="center"/>
        <w:rPr>
          <w:rFonts w:eastAsia="Calibri" w:cs="Times New Roman"/>
          <w:sz w:val="20"/>
          <w:szCs w:val="20"/>
          <w:lang w:val="en-GB"/>
        </w:rPr>
      </w:pPr>
      <w:r w:rsidRPr="002B6AB2">
        <w:rPr>
          <w:rFonts w:eastAsia="Calibri" w:cs="Times New Roman"/>
          <w:noProof/>
          <w:sz w:val="20"/>
          <w:szCs w:val="20"/>
        </w:rPr>
        <w:drawing>
          <wp:inline distT="0" distB="0" distL="0" distR="0" wp14:anchorId="2CB1C48F" wp14:editId="23BD995C">
            <wp:extent cx="3591984" cy="2687541"/>
            <wp:effectExtent l="0" t="0" r="8890" b="0"/>
            <wp:docPr id="17" name="Picture 12" descr="" title="">
              <a:extLst xmlns:a="http://schemas.openxmlformats.org/drawingml/2006/main">
                <a:ext uri="{FF2B5EF4-FFF2-40B4-BE49-F238E27FC236}">
                  <a16:creationId xmlns:a16="http://schemas.microsoft.com/office/drawing/2014/main" id="{DFCA2F88-7F4C-4979-81EB-4534BEECD8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FCA2F88-7F4C-4979-81EB-4534BEECD827}"/>
                        </a:ext>
                      </a:extLst>
                    </pic:cNvPr>
                    <pic:cNvPicPr>
                      <a:picLocks noChangeAspect="1"/>
                    </pic:cNvPicPr>
                  </pic:nvPicPr>
                  <pic:blipFill>
                    <a:blip r:embed="rId32"/>
                    <a:stretch>
                      <a:fillRect/>
                    </a:stretch>
                  </pic:blipFill>
                  <pic:spPr>
                    <a:xfrm>
                      <a:off x="0" y="0"/>
                      <a:ext cx="3610719" cy="2701559"/>
                    </a:xfrm>
                    <a:prstGeom prst="rect">
                      <a:avLst/>
                    </a:prstGeom>
                  </pic:spPr>
                </pic:pic>
              </a:graphicData>
            </a:graphic>
          </wp:inline>
        </w:drawing>
      </w:r>
    </w:p>
    <w:p w:rsidRPr="009C48DA" w:rsidR="00E15E59" w:rsidP="00C121D7" w:rsidRDefault="00E15E59" w14:paraId="5AA05D4D" w14:textId="77777777">
      <w:pPr>
        <w:pStyle w:val="BlockTextSglJ"/>
        <w:rPr>
          <w:lang w:val="en-GB"/>
        </w:rPr>
      </w:pPr>
      <w:r w:rsidRPr="009C48DA">
        <w:rPr>
          <w:i/>
          <w:lang w:val="en-GB"/>
        </w:rPr>
        <w:t>Source</w:t>
      </w:r>
      <w:r w:rsidRPr="009C48DA">
        <w:rPr>
          <w:lang w:val="en-GB"/>
        </w:rPr>
        <w:t>: Company information.</w:t>
      </w:r>
    </w:p>
    <w:p w:rsidRPr="009C48DA" w:rsidR="00E15E59" w:rsidP="0002759F" w:rsidRDefault="00E15E59" w14:paraId="55284709" w14:textId="77777777">
      <w:pPr>
        <w:pStyle w:val="BodyText2SglJ"/>
        <w:rPr>
          <w:lang w:val="en-GB"/>
        </w:rPr>
      </w:pPr>
      <w:r w:rsidRPr="009C48DA">
        <w:rPr>
          <w:lang w:val="en-GB"/>
        </w:rPr>
        <w:t>As shown in the chart below, Preqin estimates that there are more than 7,000 investors in private equity, venture capital and private credit in North America, approximately 3,500 in Europe (including the UK) and approximately 3,700 in the rest of the world.</w:t>
      </w:r>
      <w:r w:rsidRPr="009C48DA">
        <w:rPr>
          <w:vertAlign w:val="superscript"/>
          <w:lang w:val="en-GB"/>
        </w:rPr>
        <w:footnoteReference w:id="25"/>
      </w:r>
      <w:r w:rsidRPr="009C48DA">
        <w:rPr>
          <w:lang w:val="en-GB"/>
        </w:rPr>
        <w:t xml:space="preserve"> </w:t>
      </w:r>
    </w:p>
    <w:p w:rsidRPr="009C48DA" w:rsidR="00E15E59" w:rsidP="00E15E59" w:rsidRDefault="001A3FD2" w14:paraId="053A0BF9" w14:textId="5D84FB74">
      <w:pPr>
        <w:spacing w:after="240"/>
        <w:jc w:val="center"/>
        <w:rPr>
          <w:rFonts w:eastAsia="Calibri" w:cs="Times New Roman"/>
          <w:sz w:val="20"/>
          <w:szCs w:val="20"/>
          <w:lang w:val="en-GB"/>
        </w:rPr>
      </w:pPr>
      <w:r w:rsidRPr="002B6AB2">
        <w:rPr>
          <w:rFonts w:eastAsia="Calibri" w:cs="Times New Roman"/>
          <w:noProof/>
          <w:sz w:val="20"/>
          <w:szCs w:val="20"/>
        </w:rPr>
        <w:drawing>
          <wp:inline distT="0" distB="0" distL="0" distR="0" wp14:anchorId="51AF6EE0" wp14:editId="20D57E93">
            <wp:extent cx="5409065" cy="2751152"/>
            <wp:effectExtent l="0" t="0" r="1270" b="0"/>
            <wp:docPr id="18" name="Picture 5" descr="" title="">
              <a:extLst xmlns:a="http://schemas.openxmlformats.org/drawingml/2006/main">
                <a:ext uri="{FF2B5EF4-FFF2-40B4-BE49-F238E27FC236}">
                  <a16:creationId xmlns:a16="http://schemas.microsoft.com/office/drawing/2014/main" id="{69D47488-0770-4962-8BA3-F9B3727F1E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9D47488-0770-4962-8BA3-F9B3727F1E34}"/>
                        </a:ext>
                      </a:extLst>
                    </pic:cNvPr>
                    <pic:cNvPicPr>
                      <a:picLocks noChangeAspect="1"/>
                    </pic:cNvPicPr>
                  </pic:nvPicPr>
                  <pic:blipFill>
                    <a:blip r:embed="rId33"/>
                    <a:stretch>
                      <a:fillRect/>
                    </a:stretch>
                  </pic:blipFill>
                  <pic:spPr>
                    <a:xfrm>
                      <a:off x="0" y="0"/>
                      <a:ext cx="5438759" cy="2766255"/>
                    </a:xfrm>
                    <a:prstGeom prst="rect">
                      <a:avLst/>
                    </a:prstGeom>
                  </pic:spPr>
                </pic:pic>
              </a:graphicData>
            </a:graphic>
          </wp:inline>
        </w:drawing>
      </w:r>
    </w:p>
    <w:p w:rsidRPr="009C48DA" w:rsidR="00E15E59" w:rsidP="00AE3700" w:rsidRDefault="00E15E59" w14:paraId="1EEA11EC" w14:textId="2DA16E3F">
      <w:pPr>
        <w:pStyle w:val="BlockTextSglJ"/>
        <w:jc w:val="left"/>
        <w:rPr>
          <w:lang w:val="en-GB"/>
        </w:rPr>
      </w:pPr>
      <w:r w:rsidRPr="009C48DA">
        <w:rPr>
          <w:i/>
          <w:lang w:val="en-GB"/>
        </w:rPr>
        <w:t>Source</w:t>
      </w:r>
      <w:r w:rsidRPr="009C48DA">
        <w:rPr>
          <w:lang w:val="en-GB"/>
        </w:rPr>
        <w:t xml:space="preserve">: Preqin, </w:t>
      </w:r>
      <w:r w:rsidRPr="009C48DA">
        <w:rPr>
          <w:i/>
          <w:lang w:val="en-GB"/>
        </w:rPr>
        <w:t>2021 Preqin Global Private Equity and Venture Capital Report</w:t>
      </w:r>
      <w:r w:rsidRPr="009C48DA">
        <w:rPr>
          <w:lang w:val="en-GB"/>
        </w:rPr>
        <w:t>, January 2021</w:t>
      </w:r>
      <w:r w:rsidRPr="009C48DA" w:rsidR="008A6389">
        <w:rPr>
          <w:lang w:val="en-GB"/>
        </w:rPr>
        <w:t>;</w:t>
      </w:r>
      <w:r w:rsidRPr="009C48DA">
        <w:rPr>
          <w:lang w:val="en-GB"/>
        </w:rPr>
        <w:t xml:space="preserve"> and Preqin,</w:t>
      </w:r>
      <w:r w:rsidRPr="009C48DA" w:rsidR="008A6389">
        <w:rPr>
          <w:lang w:val="en-GB"/>
        </w:rPr>
        <w:t> </w:t>
      </w:r>
      <w:r w:rsidRPr="009C48DA">
        <w:rPr>
          <w:i/>
          <w:lang w:val="en-GB"/>
        </w:rPr>
        <w:t>2021 Preqin Global Private Debt Report</w:t>
      </w:r>
      <w:r w:rsidRPr="009C48DA">
        <w:rPr>
          <w:lang w:val="en-GB"/>
        </w:rPr>
        <w:t>, January 2021.</w:t>
      </w:r>
    </w:p>
    <w:p w:rsidRPr="009C48DA" w:rsidR="00E15E59" w:rsidP="000C376E" w:rsidRDefault="00E15E59" w14:paraId="14BE42A2" w14:textId="77777777">
      <w:pPr>
        <w:pStyle w:val="TitleB"/>
        <w:rPr>
          <w:rFonts w:cs="Arial"/>
          <w:lang w:val="en-GB"/>
        </w:rPr>
      </w:pPr>
      <w:r w:rsidRPr="009C48DA">
        <w:rPr>
          <w:lang w:val="en-GB"/>
        </w:rPr>
        <w:t>Fundraising by private markets asset managers</w:t>
      </w:r>
    </w:p>
    <w:p w:rsidRPr="009C48DA" w:rsidR="00E15E59" w:rsidP="00BB7720" w:rsidRDefault="0003405D" w14:paraId="620F07A8" w14:textId="44789028">
      <w:pPr>
        <w:pStyle w:val="BodyText2SglJ"/>
        <w:keepNext/>
        <w:rPr>
          <w:lang w:val="en-GB"/>
        </w:rPr>
      </w:pPr>
      <w:r w:rsidRPr="009C48DA">
        <w:rPr>
          <w:lang w:val="en-GB"/>
        </w:rPr>
        <w:t>From</w:t>
      </w:r>
      <w:r w:rsidRPr="009C48DA" w:rsidR="00E15E59">
        <w:rPr>
          <w:lang w:val="en-GB"/>
        </w:rPr>
        <w:t xml:space="preserve"> 2016 </w:t>
      </w:r>
      <w:r w:rsidRPr="009C48DA">
        <w:rPr>
          <w:lang w:val="en-GB"/>
        </w:rPr>
        <w:t>to</w:t>
      </w:r>
      <w:r w:rsidRPr="009C48DA" w:rsidR="00E15E59">
        <w:rPr>
          <w:lang w:val="en-GB"/>
        </w:rPr>
        <w:t xml:space="preserve"> 2020, private markets asset managers have raised over US$5 trillion in capital. Even though 2020 saw a decline in total funds raised across nearly all fund types, the aggregate amount of capital raised globally was still the fourth highest in history at US$947 billion, as set out in the chart below.</w:t>
      </w:r>
      <w:r w:rsidRPr="009C48DA" w:rsidR="00E15E59">
        <w:rPr>
          <w:vertAlign w:val="superscript"/>
          <w:lang w:val="en-GB"/>
        </w:rPr>
        <w:footnoteReference w:id="26"/>
      </w:r>
      <w:r w:rsidRPr="009C48DA" w:rsidR="00E15E59">
        <w:rPr>
          <w:lang w:val="en-GB"/>
        </w:rPr>
        <w:t xml:space="preserve"> </w:t>
      </w:r>
      <w:r w:rsidRPr="009C48DA" w:rsidR="00E15E59">
        <w:rPr>
          <w:lang w:val="en-GB"/>
        </w:rPr>
        <w:lastRenderedPageBreak/>
        <w:t>Fundraising activity has in part been driven by accelerating levels of deployment and realisations, which have resulted in shorter fund cycles and higher levels of overall fundraising activity.</w:t>
      </w:r>
      <w:r w:rsidRPr="009C48DA" w:rsidR="00E15E59">
        <w:rPr>
          <w:vertAlign w:val="superscript"/>
          <w:lang w:val="en-GB"/>
        </w:rPr>
        <w:footnoteReference w:id="27"/>
      </w:r>
      <w:r w:rsidRPr="009C48DA" w:rsidR="00E15E59">
        <w:rPr>
          <w:lang w:val="en-GB"/>
        </w:rPr>
        <w:t xml:space="preserve"> </w:t>
      </w:r>
    </w:p>
    <w:p w:rsidRPr="009C48DA" w:rsidR="00E15E59" w:rsidP="00E15E59" w:rsidRDefault="001A3FD2" w14:paraId="75A5AAD2" w14:textId="1B69AE86">
      <w:pPr>
        <w:spacing w:before="120" w:line="288" w:lineRule="auto"/>
        <w:jc w:val="center"/>
        <w:rPr>
          <w:rFonts w:eastAsia="Calibri" w:cs="Times New Roman"/>
          <w:sz w:val="20"/>
          <w:szCs w:val="20"/>
          <w:lang w:val="en-GB"/>
        </w:rPr>
      </w:pPr>
      <w:r w:rsidRPr="002B6AB2">
        <w:rPr>
          <w:rFonts w:eastAsia="Calibri" w:cs="Times New Roman"/>
          <w:noProof/>
          <w:sz w:val="20"/>
          <w:szCs w:val="20"/>
        </w:rPr>
        <w:drawing>
          <wp:inline distT="0" distB="0" distL="0" distR="0" wp14:anchorId="40591C34" wp14:editId="6DF2352C">
            <wp:extent cx="4953663" cy="2439611"/>
            <wp:effectExtent l="0" t="0" r="0" b="0"/>
            <wp:docPr id="19" name="Picture 1" descr="" title="">
              <a:extLst xmlns:a="http://schemas.openxmlformats.org/drawingml/2006/main">
                <a:ext uri="{FF2B5EF4-FFF2-40B4-BE49-F238E27FC236}">
                  <a16:creationId xmlns:a16="http://schemas.microsoft.com/office/drawing/2014/main" id="{C99A2EBB-2B74-4A27-A384-F03532C2E5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99A2EBB-2B74-4A27-A384-F03532C2E56A}"/>
                        </a:ext>
                      </a:extLst>
                    </pic:cNvPr>
                    <pic:cNvPicPr>
                      <a:picLocks noChangeAspect="1"/>
                    </pic:cNvPicPr>
                  </pic:nvPicPr>
                  <pic:blipFill>
                    <a:blip r:embed="rId34"/>
                    <a:stretch>
                      <a:fillRect/>
                    </a:stretch>
                  </pic:blipFill>
                  <pic:spPr>
                    <a:xfrm>
                      <a:off x="0" y="0"/>
                      <a:ext cx="4968400" cy="2446869"/>
                    </a:xfrm>
                    <a:prstGeom prst="rect">
                      <a:avLst/>
                    </a:prstGeom>
                  </pic:spPr>
                </pic:pic>
              </a:graphicData>
            </a:graphic>
          </wp:inline>
        </w:drawing>
      </w:r>
    </w:p>
    <w:p w:rsidRPr="009C48DA" w:rsidR="00E15E59" w:rsidP="00C121D7" w:rsidRDefault="00E15E59" w14:paraId="6F971E9E" w14:textId="77777777">
      <w:pPr>
        <w:pStyle w:val="BlockTextSglJ"/>
        <w:rPr>
          <w:lang w:val="en-GB"/>
        </w:rPr>
      </w:pPr>
      <w:r w:rsidRPr="009C48DA">
        <w:rPr>
          <w:i/>
          <w:lang w:val="en-GB"/>
        </w:rPr>
        <w:t>Source</w:t>
      </w:r>
      <w:r w:rsidRPr="009C48DA">
        <w:rPr>
          <w:lang w:val="en-GB"/>
        </w:rPr>
        <w:t xml:space="preserve">: Preqin, </w:t>
      </w:r>
      <w:r w:rsidRPr="009C48DA">
        <w:rPr>
          <w:i/>
          <w:lang w:val="en-GB"/>
        </w:rPr>
        <w:t>2021 Private Equity and Venture Capital Report, 2021 Private Debt Report</w:t>
      </w:r>
      <w:r w:rsidRPr="009C48DA">
        <w:rPr>
          <w:lang w:val="en-GB"/>
        </w:rPr>
        <w:t xml:space="preserve">, </w:t>
      </w:r>
      <w:r w:rsidRPr="009C48DA">
        <w:rPr>
          <w:i/>
          <w:lang w:val="en-GB"/>
        </w:rPr>
        <w:t xml:space="preserve">2021 Real Estate Report </w:t>
      </w:r>
      <w:r w:rsidRPr="009C48DA">
        <w:rPr>
          <w:lang w:val="en-GB"/>
        </w:rPr>
        <w:t>and</w:t>
      </w:r>
      <w:r w:rsidRPr="009C48DA">
        <w:rPr>
          <w:i/>
          <w:lang w:val="en-GB"/>
        </w:rPr>
        <w:t xml:space="preserve"> 2021 Infrastructure Report</w:t>
      </w:r>
      <w:r w:rsidRPr="009C48DA">
        <w:rPr>
          <w:lang w:val="en-GB"/>
        </w:rPr>
        <w:t>, March 2021</w:t>
      </w:r>
      <w:r w:rsidRPr="009C48DA">
        <w:rPr>
          <w:i/>
          <w:lang w:val="en-GB"/>
        </w:rPr>
        <w:t>.</w:t>
      </w:r>
    </w:p>
    <w:p w:rsidRPr="009C48DA" w:rsidR="00E15E59" w:rsidP="0002759F" w:rsidRDefault="00E15E59" w14:paraId="137E75A2" w14:textId="2AEB18CC">
      <w:pPr>
        <w:pStyle w:val="BodyText2SglJ"/>
        <w:rPr>
          <w:lang w:val="en-GB"/>
        </w:rPr>
      </w:pPr>
      <w:r w:rsidRPr="009C48DA">
        <w:rPr>
          <w:lang w:val="en-GB"/>
        </w:rPr>
        <w:t xml:space="preserve">As the private markets investor base has increased, so too has the demand for a wider range of investment opportunities, as highlighted by the increase in capital raised for private debt and infrastructure funds as shown in the chart above. </w:t>
      </w:r>
    </w:p>
    <w:p w:rsidRPr="009C48DA" w:rsidR="00E15E59" w:rsidP="000C376E" w:rsidRDefault="00E15E59" w14:paraId="7573806B" w14:textId="77777777">
      <w:pPr>
        <w:pStyle w:val="TitleB"/>
        <w:rPr>
          <w:rFonts w:cs="Arial"/>
          <w:lang w:val="en-GB"/>
        </w:rPr>
      </w:pPr>
      <w:r w:rsidRPr="009C48DA">
        <w:rPr>
          <w:lang w:val="en-GB"/>
        </w:rPr>
        <w:t>The increasing importance of ESG criteria</w:t>
      </w:r>
    </w:p>
    <w:p w:rsidRPr="009C48DA" w:rsidR="00E15E59" w:rsidP="00AE3700" w:rsidRDefault="00E15E59" w14:paraId="6B128E64" w14:textId="26806535">
      <w:pPr>
        <w:pStyle w:val="BodyText2SglJ"/>
        <w:keepNext/>
        <w:rPr>
          <w:lang w:val="en-GB"/>
        </w:rPr>
      </w:pPr>
      <w:r w:rsidRPr="009C48DA">
        <w:rPr>
          <w:lang w:val="en-GB"/>
        </w:rPr>
        <w:t>ESG factors are becoming an increasingly important topic in the private asset management industry. Although ESG has been growing in significance over the past five years</w:t>
      </w:r>
      <w:r w:rsidRPr="009C48DA" w:rsidR="00BD5FFF">
        <w:rPr>
          <w:lang w:val="en-GB"/>
        </w:rPr>
        <w:t xml:space="preserve"> for both the public and private markets</w:t>
      </w:r>
      <w:r w:rsidRPr="009C48DA">
        <w:rPr>
          <w:lang w:val="en-GB"/>
        </w:rPr>
        <w:t xml:space="preserve">, this trend has accelerated rapidly in recent years </w:t>
      </w:r>
      <w:r w:rsidRPr="009C48DA" w:rsidR="00BD5FFF">
        <w:rPr>
          <w:lang w:val="en-GB"/>
        </w:rPr>
        <w:t>within the private asset management industry</w:t>
      </w:r>
      <w:r w:rsidRPr="009C48DA" w:rsidR="0098080C">
        <w:rPr>
          <w:lang w:val="en-GB"/>
        </w:rPr>
        <w:t>,</w:t>
      </w:r>
      <w:r w:rsidRPr="009C48DA" w:rsidR="00BD5FFF">
        <w:rPr>
          <w:lang w:val="en-GB"/>
        </w:rPr>
        <w:t xml:space="preserve"> </w:t>
      </w:r>
      <w:r w:rsidRPr="009C48DA">
        <w:rPr>
          <w:lang w:val="en-GB"/>
        </w:rPr>
        <w:t>with ESG criteria becoming an ever-increasingly important consideration for both fund managers and investors. Significantly, a growing number of investors believe that funds with a strong commitment to ESG principles also perform better. According to Preqin, 23 per cent of investors surveyed in 2019 believed that ESG-committed funds performed better, whereas in 2020 this figure increased to 40 per cent.</w:t>
      </w:r>
      <w:r w:rsidRPr="009C48DA">
        <w:rPr>
          <w:vertAlign w:val="superscript"/>
          <w:lang w:val="en-GB"/>
        </w:rPr>
        <w:footnoteReference w:id="28"/>
      </w:r>
      <w:r w:rsidRPr="009C48DA">
        <w:rPr>
          <w:lang w:val="en-GB"/>
        </w:rPr>
        <w:t xml:space="preserve"> As a result, approximately two thirds of private equity and private credit investors surveyed by Preqin in November 2020 either have an active ESG policy in place or plan to introduce such a policy within the next 12 months,</w:t>
      </w:r>
      <w:r w:rsidRPr="009C48DA">
        <w:rPr>
          <w:vertAlign w:val="superscript"/>
          <w:lang w:val="en-GB"/>
        </w:rPr>
        <w:footnoteReference w:id="29"/>
      </w:r>
      <w:r w:rsidRPr="009C48DA">
        <w:rPr>
          <w:lang w:val="en-GB"/>
        </w:rPr>
        <w:t xml:space="preserve"> as outlined in the chart below. </w:t>
      </w:r>
    </w:p>
    <w:p w:rsidRPr="009C48DA" w:rsidR="00E15E59" w:rsidP="000454BB" w:rsidRDefault="001A3FD2" w14:paraId="41ED868B" w14:textId="18EC79D6">
      <w:pPr>
        <w:keepNext/>
        <w:jc w:val="center"/>
        <w:rPr>
          <w:rFonts w:eastAsia="Calibri" w:cs="Times New Roman"/>
          <w:sz w:val="20"/>
          <w:szCs w:val="20"/>
          <w:lang w:val="en-GB"/>
        </w:rPr>
      </w:pPr>
      <w:r w:rsidRPr="002B6AB2">
        <w:rPr>
          <w:noProof/>
        </w:rPr>
        <w:drawing>
          <wp:inline distT="0" distB="0" distL="0" distR="0" wp14:anchorId="430AC95B" wp14:editId="159AFCD4">
            <wp:extent cx="3881712" cy="2209359"/>
            <wp:effectExtent l="0" t="0" r="5080" b="635"/>
            <wp:docPr id="20" name="Picture 2" descr="" title="">
              <a:extLst xmlns:a="http://schemas.openxmlformats.org/drawingml/2006/main">
                <a:ext uri="{FF2B5EF4-FFF2-40B4-BE49-F238E27FC236}">
                  <a16:creationId xmlns:a16="http://schemas.microsoft.com/office/drawing/2014/main" id="{7DF12ACA-D3CC-47BF-8B40-DE8A7AFA1E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DF12ACA-D3CC-47BF-8B40-DE8A7AFA1E7D}"/>
                        </a:ext>
                      </a:extLst>
                    </pic:cNvPr>
                    <pic:cNvPicPr>
                      <a:picLocks noChangeAspect="1"/>
                    </pic:cNvPicPr>
                  </pic:nvPicPr>
                  <pic:blipFill>
                    <a:blip r:embed="rId35"/>
                    <a:stretch>
                      <a:fillRect/>
                    </a:stretch>
                  </pic:blipFill>
                  <pic:spPr>
                    <a:xfrm>
                      <a:off x="0" y="0"/>
                      <a:ext cx="4028096" cy="2292677"/>
                    </a:xfrm>
                    <a:prstGeom prst="rect">
                      <a:avLst/>
                    </a:prstGeom>
                  </pic:spPr>
                </pic:pic>
              </a:graphicData>
            </a:graphic>
          </wp:inline>
        </w:drawing>
      </w:r>
    </w:p>
    <w:p w:rsidRPr="009C48DA" w:rsidR="000B1EAF" w:rsidP="00AE3700" w:rsidRDefault="00E15E59" w14:paraId="1CA638DB" w14:textId="36183DD8">
      <w:pPr>
        <w:pStyle w:val="BlockTextSglJ"/>
        <w:rPr>
          <w:rFonts w:cs="Times New Roman"/>
          <w:szCs w:val="20"/>
          <w:lang w:val="en-GB"/>
        </w:rPr>
      </w:pPr>
      <w:r w:rsidRPr="009C48DA">
        <w:rPr>
          <w:i/>
          <w:lang w:val="en-GB"/>
        </w:rPr>
        <w:t>Source</w:t>
      </w:r>
      <w:r w:rsidRPr="009C48DA">
        <w:rPr>
          <w:lang w:val="en-GB"/>
        </w:rPr>
        <w:t xml:space="preserve">: Preqin, </w:t>
      </w:r>
      <w:r w:rsidRPr="009C48DA">
        <w:rPr>
          <w:i/>
          <w:lang w:val="en-GB"/>
        </w:rPr>
        <w:t>2021 Preqin Investor Outlook Alternative Assets H1 2021</w:t>
      </w:r>
      <w:r w:rsidRPr="009C48DA" w:rsidR="00F76D3A">
        <w:rPr>
          <w:lang w:val="en-GB"/>
        </w:rPr>
        <w:t>, November 2020</w:t>
      </w:r>
      <w:r w:rsidRPr="009C48DA">
        <w:rPr>
          <w:lang w:val="en-GB"/>
        </w:rPr>
        <w:t>.</w:t>
      </w:r>
      <w:r w:rsidRPr="009C48DA" w:rsidR="000B1EAF">
        <w:rPr>
          <w:rFonts w:cs="Times New Roman"/>
          <w:szCs w:val="20"/>
          <w:lang w:val="en-GB"/>
        </w:rPr>
        <w:br w:type="page"/>
      </w:r>
    </w:p>
    <w:p w:rsidRPr="009C48DA" w:rsidR="006D6A27" w:rsidP="00F172AB" w:rsidRDefault="00EB6486" w14:paraId="2EF13D48" w14:textId="671DEC58">
      <w:pPr>
        <w:pStyle w:val="Heading1"/>
        <w:rPr>
          <w:lang w:val="en-GB"/>
        </w:rPr>
      </w:pPr>
      <w:bookmarkStart w:name="_Toc67956033" w:id="558"/>
      <w:bookmarkStart w:name="_Toc67962997" w:id="559"/>
      <w:bookmarkStart w:name="_Toc67963378" w:id="560"/>
      <w:bookmarkStart w:name="_Ref71140179" w:id="561"/>
      <w:bookmarkStart w:name="_Ref71144280" w:id="562"/>
      <w:bookmarkStart w:name="_Ref71146060" w:id="563"/>
      <w:bookmarkStart w:name="_Ref71146086" w:id="564"/>
      <w:bookmarkStart w:name="_Toc71147106" w:id="565"/>
      <w:bookmarkStart w:name="_Toc71147146" w:id="566"/>
      <w:bookmarkStart w:name="_Toc71147160" w:id="567"/>
      <w:bookmarkStart w:name="_Toc71167146" w:id="568"/>
      <w:bookmarkStart w:name="_Toc71187615" w:id="569"/>
      <w:bookmarkStart w:name="_Toc71188677" w:id="570"/>
      <w:bookmarkStart w:name="_Ref72799527" w:id="571"/>
      <w:bookmarkStart w:name="_Ref72799534" w:id="572"/>
      <w:r w:rsidRPr="009C48DA">
        <w:rPr>
          <w:lang w:val="en-GB"/>
        </w:rPr>
        <w:lastRenderedPageBreak/>
        <w:br/>
      </w:r>
      <w:r w:rsidRPr="009C48DA">
        <w:rPr>
          <w:lang w:val="en-GB"/>
        </w:rPr>
        <w:br/>
      </w:r>
      <w:bookmarkStart w:name="_Ref74466404" w:id="573"/>
      <w:bookmarkStart w:name="_Ref74466766" w:id="574"/>
      <w:bookmarkStart w:name="_Ref74468091" w:id="575"/>
      <w:bookmarkStart w:name="_Toc4171253" w:id="576"/>
      <w:bookmarkStart w:name="_Toc75831923" w:id="577"/>
      <w:r w:rsidRPr="009C48DA" w:rsidR="00F172AB">
        <w:rPr>
          <w:lang w:val="en-GB"/>
        </w:rPr>
        <w:t>The Business</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rsidRPr="009C48DA" w:rsidR="006D6A27" w:rsidP="00890CC2" w:rsidRDefault="006D6A27" w14:paraId="15F9DE1D" w14:textId="3B71BCD7">
      <w:pPr>
        <w:pStyle w:val="BodyText2SglJ"/>
        <w:rPr>
          <w:i/>
          <w:lang w:val="en-GB"/>
        </w:rPr>
      </w:pPr>
      <w:r w:rsidRPr="009C48DA">
        <w:rPr>
          <w:i/>
          <w:lang w:val="en-GB"/>
        </w:rPr>
        <w:t xml:space="preserve">The following </w:t>
      </w:r>
      <w:r w:rsidRPr="009C48DA">
        <w:rPr>
          <w:i/>
          <w:lang w:val="en-GB"/>
        </w:rPr>
      </w:r>
      <w:r w:rsidR="007C3D19">
        <w:rPr>
          <w:i/>
          <w:lang w:val="en-GB"/>
        </w:rPr>
        <w:t>Part V</w:t>
      </w:r>
      <w:r w:rsidRPr="009C48DA">
        <w:rPr>
          <w:i/>
          <w:lang w:val="en-GB"/>
        </w:rPr>
        <w:t xml:space="preserve"> (</w:t>
      </w:r>
      <w:r w:rsidRPr="009C48DA" w:rsidR="00A32B42">
        <w:rPr>
          <w:i/>
          <w:lang w:val="en-GB"/>
        </w:rPr>
      </w:r>
      <w:r w:rsidRPr="007C3D19" w:rsidR="007C3D19">
        <w:rPr>
          <w:i/>
          <w:lang w:val="en-GB"/>
        </w:rPr>
        <w:t>The Business</w:t>
      </w:r>
      <w:r w:rsidRPr="009C48DA" w:rsidR="00C13C31">
        <w:rPr>
          <w:i/>
          <w:lang w:val="en-GB"/>
        </w:rPr>
        <w:t>)</w:t>
      </w:r>
      <w:r w:rsidRPr="009C48DA">
        <w:rPr>
          <w:i/>
          <w:lang w:val="en-GB"/>
        </w:rPr>
        <w:t xml:space="preserve"> should be read in conjunction with the more</w:t>
      </w:r>
      <w:r w:rsidRPr="009C48DA" w:rsidR="00F76D3A">
        <w:rPr>
          <w:i/>
          <w:lang w:val="en-GB"/>
        </w:rPr>
        <w:t>-</w:t>
      </w:r>
      <w:r w:rsidRPr="009C48DA">
        <w:rPr>
          <w:i/>
          <w:lang w:val="en-GB"/>
        </w:rPr>
        <w:t xml:space="preserve">detailed operating and financial information </w:t>
      </w:r>
      <w:r w:rsidRPr="009C48DA" w:rsidR="00191222">
        <w:rPr>
          <w:i/>
          <w:lang w:val="en-GB"/>
        </w:rPr>
        <w:t xml:space="preserve">in </w:t>
      </w:r>
      <w:r w:rsidRPr="009C48DA">
        <w:rPr>
          <w:i/>
          <w:lang w:val="en-GB"/>
        </w:rPr>
      </w:r>
      <w:r w:rsidR="007C3D19">
        <w:rPr>
          <w:i/>
          <w:lang w:val="en-GB"/>
        </w:rPr>
        <w:t>Part X</w:t>
      </w:r>
      <w:r w:rsidRPr="009C48DA">
        <w:rPr>
          <w:i/>
          <w:lang w:val="en-GB"/>
        </w:rPr>
        <w:t xml:space="preserve"> (</w:t>
      </w:r>
      <w:r w:rsidRPr="009C48DA" w:rsidR="00EE4217">
        <w:rPr>
          <w:i/>
          <w:lang w:val="en-GB"/>
        </w:rPr>
      </w:r>
      <w:r w:rsidRPr="007C3D19" w:rsidR="007C3D19">
        <w:rPr>
          <w:i/>
          <w:lang w:val="en-GB"/>
        </w:rPr>
        <w:t>Historical Financial Information</w:t>
      </w:r>
      <w:r w:rsidRPr="009C48DA" w:rsidR="00EE4217">
        <w:rPr>
          <w:i/>
          <w:lang w:val="en-GB"/>
        </w:rPr>
        <w:t>)</w:t>
      </w:r>
      <w:r w:rsidRPr="009C48DA">
        <w:rPr>
          <w:i/>
          <w:lang w:val="en-GB"/>
        </w:rPr>
        <w:t xml:space="preserve">. The financial information included in this </w:t>
      </w:r>
      <w:r w:rsidRPr="009C48DA">
        <w:rPr>
          <w:i/>
          <w:lang w:val="en-GB"/>
        </w:rPr>
      </w:r>
      <w:r w:rsidR="007C3D19">
        <w:rPr>
          <w:i/>
          <w:lang w:val="en-GB"/>
        </w:rPr>
        <w:t>Part V</w:t>
      </w:r>
      <w:r w:rsidRPr="009C48DA">
        <w:rPr>
          <w:i/>
          <w:lang w:val="en-GB"/>
        </w:rPr>
        <w:t xml:space="preserve"> (</w:t>
      </w:r>
      <w:r w:rsidRPr="009C48DA" w:rsidR="00A32B42">
        <w:rPr>
          <w:i/>
          <w:lang w:val="en-GB"/>
        </w:rPr>
      </w:r>
      <w:r w:rsidRPr="007C3D19" w:rsidR="007C3D19">
        <w:rPr>
          <w:i/>
          <w:lang w:val="en-GB"/>
        </w:rPr>
        <w:t>The Business</w:t>
      </w:r>
      <w:r w:rsidRPr="009C48DA">
        <w:rPr>
          <w:i/>
          <w:lang w:val="en-GB"/>
        </w:rPr>
        <w:t xml:space="preserve">) has been extracted without material adjustment from the </w:t>
      </w:r>
      <w:r w:rsidRPr="009C48DA" w:rsidR="0060782E">
        <w:rPr>
          <w:i/>
          <w:lang w:val="en-GB"/>
        </w:rPr>
        <w:t xml:space="preserve">Historical Financial Information </w:t>
      </w:r>
      <w:r w:rsidRPr="009C48DA">
        <w:rPr>
          <w:i/>
          <w:lang w:val="en-GB"/>
        </w:rPr>
        <w:t xml:space="preserve">in </w:t>
      </w:r>
      <w:r w:rsidRPr="009C48DA">
        <w:rPr>
          <w:i/>
          <w:lang w:val="en-GB"/>
        </w:rPr>
      </w:r>
      <w:r w:rsidR="007C3D19">
        <w:rPr>
          <w:i/>
          <w:lang w:val="en-GB"/>
        </w:rPr>
        <w:t>Part X</w:t>
      </w:r>
      <w:r w:rsidRPr="009C48DA">
        <w:rPr>
          <w:i/>
          <w:lang w:val="en-GB"/>
        </w:rPr>
        <w:t xml:space="preserve"> (</w:t>
      </w:r>
      <w:r w:rsidRPr="009C48DA" w:rsidR="00EE4217">
        <w:rPr>
          <w:i/>
          <w:lang w:val="en-GB"/>
        </w:rPr>
      </w:r>
      <w:r w:rsidRPr="007C3D19" w:rsidR="007C3D19">
        <w:rPr>
          <w:i/>
          <w:lang w:val="en-GB"/>
        </w:rPr>
        <w:t>Historical Financial Information</w:t>
      </w:r>
      <w:r w:rsidRPr="009C48DA" w:rsidR="00C13C31">
        <w:rPr>
          <w:i/>
          <w:lang w:val="en-GB"/>
        </w:rPr>
        <w:t>)</w:t>
      </w:r>
      <w:r w:rsidRPr="009C48DA">
        <w:rPr>
          <w:i/>
          <w:lang w:val="en-GB"/>
        </w:rPr>
        <w:t>, or has been extracted without material adjustment from the Group’s accounting records, which form</w:t>
      </w:r>
      <w:r w:rsidRPr="009C48DA" w:rsidR="00191222">
        <w:rPr>
          <w:i/>
          <w:lang w:val="en-GB"/>
        </w:rPr>
        <w:t>ed the underlying basis of the Historical Financial I</w:t>
      </w:r>
      <w:r w:rsidRPr="009C48DA">
        <w:rPr>
          <w:i/>
          <w:lang w:val="en-GB"/>
        </w:rPr>
        <w:t xml:space="preserve">nformation contained in </w:t>
      </w:r>
      <w:r w:rsidRPr="009C48DA">
        <w:rPr>
          <w:i/>
          <w:lang w:val="en-GB"/>
        </w:rPr>
      </w:r>
      <w:r w:rsidR="007C3D19">
        <w:rPr>
          <w:i/>
          <w:lang w:val="en-GB"/>
        </w:rPr>
        <w:t>Part X</w:t>
      </w:r>
      <w:r w:rsidRPr="009C48DA">
        <w:rPr>
          <w:i/>
          <w:lang w:val="en-GB"/>
        </w:rPr>
        <w:t xml:space="preserve"> (</w:t>
      </w:r>
      <w:r w:rsidRPr="009C48DA" w:rsidR="00EE4217">
        <w:rPr>
          <w:i/>
          <w:lang w:val="en-GB"/>
        </w:rPr>
      </w:r>
      <w:r w:rsidRPr="007C3D19" w:rsidR="007C3D19">
        <w:rPr>
          <w:i/>
          <w:lang w:val="en-GB"/>
        </w:rPr>
        <w:t>Historical Financial Information</w:t>
      </w:r>
      <w:r w:rsidRPr="009C48DA" w:rsidR="00C13C31">
        <w:rPr>
          <w:i/>
          <w:lang w:val="en-GB"/>
        </w:rPr>
        <w:t>)</w:t>
      </w:r>
      <w:r w:rsidRPr="009C48DA">
        <w:rPr>
          <w:i/>
          <w:lang w:val="en-GB"/>
        </w:rPr>
        <w:t xml:space="preserve">. The following </w:t>
      </w:r>
      <w:r w:rsidRPr="009C48DA">
        <w:rPr>
          <w:i/>
          <w:lang w:val="en-GB"/>
        </w:rPr>
      </w:r>
      <w:r w:rsidR="007C3D19">
        <w:rPr>
          <w:i/>
          <w:lang w:val="en-GB"/>
        </w:rPr>
        <w:t>Part V</w:t>
      </w:r>
      <w:r w:rsidRPr="009C48DA">
        <w:rPr>
          <w:i/>
          <w:lang w:val="en-GB"/>
        </w:rPr>
        <w:t xml:space="preserve"> (</w:t>
      </w:r>
      <w:r w:rsidRPr="009C48DA" w:rsidR="00A32B42">
        <w:rPr>
          <w:i/>
          <w:lang w:val="en-GB"/>
        </w:rPr>
      </w:r>
      <w:r w:rsidRPr="007C3D19" w:rsidR="007C3D19">
        <w:rPr>
          <w:i/>
          <w:lang w:val="en-GB"/>
        </w:rPr>
        <w:t>The Business</w:t>
      </w:r>
      <w:r w:rsidRPr="009C48DA">
        <w:rPr>
          <w:i/>
          <w:lang w:val="en-GB"/>
        </w:rPr>
        <w:t xml:space="preserve">) contains Forward-looking Statements that reflect the Company’s plans and estimates; see </w:t>
      </w:r>
      <w:r w:rsidRPr="009C48DA" w:rsidR="00E20B5D">
        <w:rPr>
          <w:i/>
          <w:lang w:val="en-GB"/>
        </w:rPr>
        <w:t>“</w:t>
      </w:r>
      <w:r w:rsidRPr="009C48DA">
        <w:rPr>
          <w:i/>
          <w:lang w:val="en-GB"/>
        </w:rPr>
        <w:t>Forward-looking Statements</w:t>
      </w:r>
      <w:r w:rsidRPr="009C48DA" w:rsidR="00E20B5D">
        <w:rPr>
          <w:i/>
          <w:lang w:val="en-GB"/>
        </w:rPr>
        <w:t xml:space="preserve">” in </w:t>
      </w:r>
      <w:r w:rsidRPr="009C48DA" w:rsidR="00E20B5D">
        <w:rPr>
          <w:i/>
          <w:lang w:val="en-GB"/>
        </w:rPr>
        <w:fldChar w:fldCharType="begin"/>
      </w:r>
      <w:r w:rsidRPr="009C48DA" w:rsidR="00E20B5D">
        <w:rPr>
          <w:i/>
          <w:lang w:val="en-GB"/>
        </w:rPr>
        <w:instrText xml:space="preserve"> REF _Ref71142523 \n \h  \* MERGEFORMAT </w:instrText>
      </w:r>
      <w:r w:rsidRPr="009C48DA" w:rsidR="00E20B5D">
        <w:rPr>
          <w:i/>
          <w:lang w:val="en-GB"/>
        </w:rPr>
      </w:r>
      <w:r w:rsidRPr="009C48DA" w:rsidR="00E20B5D">
        <w:rPr>
          <w:i/>
          <w:lang w:val="en-GB"/>
        </w:rPr>
        <w:fldChar w:fldCharType="separate"/>
      </w:r>
      <w:r w:rsidR="007C3D19">
        <w:rPr>
          <w:i/>
          <w:lang w:val="en-GB"/>
        </w:rPr>
        <w:t>Part II</w:t>
      </w:r>
      <w:r w:rsidRPr="009C48DA" w:rsidR="00E20B5D">
        <w:rPr>
          <w:i/>
          <w:lang w:val="en-GB"/>
        </w:rPr>
        <w:fldChar w:fldCharType="end"/>
      </w:r>
      <w:r w:rsidRPr="009C48DA" w:rsidR="00E20B5D">
        <w:rPr>
          <w:i/>
          <w:lang w:val="en-GB"/>
        </w:rPr>
        <w:t xml:space="preserve"> (</w:t>
      </w:r>
      <w:r w:rsidRPr="009C48DA" w:rsidR="00E20B5D">
        <w:rPr>
          <w:i/>
          <w:lang w:val="en-GB"/>
        </w:rPr>
      </w:r>
      <w:r w:rsidRPr="007C3D19" w:rsidR="007C3D19">
        <w:rPr>
          <w:i/>
          <w:lang w:val="en-GB"/>
        </w:rPr>
        <w:t>Presentation Of Financial And Other Information</w:t>
      </w:r>
      <w:r w:rsidRPr="009C48DA" w:rsidR="00E20B5D">
        <w:rPr>
          <w:i/>
          <w:lang w:val="en-GB"/>
        </w:rPr>
        <w:t>)</w:t>
      </w:r>
      <w:r w:rsidRPr="009C48DA">
        <w:rPr>
          <w:i/>
          <w:lang w:val="en-GB"/>
        </w:rPr>
        <w:t xml:space="preserve">. You should read this </w:t>
      </w:r>
      <w:r w:rsidRPr="009C48DA">
        <w:rPr>
          <w:i/>
          <w:lang w:val="en-GB"/>
        </w:rPr>
      </w:r>
      <w:r w:rsidR="007C3D19">
        <w:rPr>
          <w:i/>
          <w:lang w:val="en-GB"/>
        </w:rPr>
        <w:t>Part V</w:t>
      </w:r>
      <w:r w:rsidRPr="009C48DA">
        <w:rPr>
          <w:i/>
          <w:lang w:val="en-GB"/>
        </w:rPr>
        <w:t xml:space="preserve"> (</w:t>
      </w:r>
      <w:r w:rsidRPr="009C48DA" w:rsidR="00A32B42">
        <w:rPr>
          <w:i/>
          <w:lang w:val="en-GB"/>
        </w:rPr>
      </w:r>
      <w:r w:rsidRPr="007C3D19" w:rsidR="007C3D19">
        <w:rPr>
          <w:i/>
          <w:lang w:val="en-GB"/>
        </w:rPr>
        <w:t>The Business</w:t>
      </w:r>
      <w:r w:rsidRPr="009C48DA">
        <w:rPr>
          <w:i/>
          <w:lang w:val="en-GB"/>
        </w:rPr>
        <w:t xml:space="preserve">) in conjunction with the other parts of this Registration Document, in particular </w:t>
      </w:r>
      <w:r w:rsidRPr="009C48DA">
        <w:rPr>
          <w:i/>
          <w:lang w:val="en-GB"/>
        </w:rPr>
      </w:r>
      <w:r w:rsidR="007C3D19">
        <w:rPr>
          <w:i/>
          <w:lang w:val="en-GB"/>
        </w:rPr>
        <w:t>Part I</w:t>
      </w:r>
      <w:r w:rsidRPr="009C48DA">
        <w:rPr>
          <w:i/>
          <w:lang w:val="en-GB"/>
        </w:rPr>
        <w:t xml:space="preserve"> (</w:t>
      </w:r>
      <w:r w:rsidRPr="009C48DA" w:rsidR="00890CC2">
        <w:rPr>
          <w:i/>
          <w:lang w:val="en-GB"/>
        </w:rPr>
        <w:fldChar w:fldCharType="begin"/>
      </w:r>
      <w:r w:rsidRPr="009C48DA" w:rsidR="00890CC2">
        <w:rPr>
          <w:i/>
          <w:lang w:val="en-GB"/>
        </w:rPr>
        <w:instrText xml:space="preserve"> REF _Ref75190583 \h  \* MERGEFORMAT </w:instrText>
      </w:r>
      <w:r w:rsidRPr="009C48DA" w:rsidR="00890CC2">
        <w:rPr>
          <w:i/>
          <w:lang w:val="en-GB"/>
        </w:rPr>
      </w:r>
      <w:r w:rsidRPr="009C48DA" w:rsidR="00890CC2">
        <w:rPr>
          <w:i/>
          <w:lang w:val="en-GB"/>
        </w:rPr>
        <w:fldChar w:fldCharType="separate"/>
      </w:r>
      <w:r w:rsidRPr="007C3D19" w:rsidR="007C3D19">
        <w:rPr>
          <w:i/>
          <w:lang w:val="en-GB"/>
        </w:rPr>
        <w:t>Risk Factors</w:t>
      </w:r>
      <w:r w:rsidRPr="009C48DA" w:rsidR="00890CC2">
        <w:rPr>
          <w:i/>
          <w:lang w:val="en-GB"/>
        </w:rPr>
        <w:fldChar w:fldCharType="end"/>
      </w:r>
      <w:r w:rsidRPr="009C48DA">
        <w:rPr>
          <w:i/>
          <w:lang w:val="en-GB"/>
        </w:rPr>
        <w:t>), and not just rely on the information set out below.</w:t>
      </w:r>
    </w:p>
    <w:p w:rsidRPr="009C48DA" w:rsidR="0072514F" w:rsidP="0038502A" w:rsidRDefault="0072514F" w14:paraId="189F17E1" w14:textId="25135EA3">
      <w:pPr>
        <w:pStyle w:val="TitleBAllCaps"/>
      </w:pPr>
      <w:r w:rsidRPr="009C48DA">
        <w:t>OVERVIEW</w:t>
      </w:r>
    </w:p>
    <w:p w:rsidRPr="009C48DA" w:rsidR="001C3CEC" w:rsidP="0002759F" w:rsidRDefault="00BB773E" w14:paraId="5E986BE9" w14:textId="1DA31813">
      <w:pPr>
        <w:pStyle w:val="BodyText2SglJ"/>
        <w:rPr>
          <w:lang w:val="en-GB"/>
        </w:rPr>
      </w:pPr>
      <w:r w:rsidRPr="009C48DA">
        <w:rPr>
          <w:rFonts w:eastAsia="Calibri" w:cs="Arial"/>
          <w:szCs w:val="20"/>
          <w:lang w:val="en-GB"/>
        </w:rPr>
        <w:t xml:space="preserve">Bridgepoint </w:t>
      </w:r>
      <w:r w:rsidRPr="009C48DA" w:rsidR="001C3CEC">
        <w:rPr>
          <w:lang w:val="en-GB"/>
        </w:rPr>
        <w:t xml:space="preserve">is the global leader in middle market private assets </w:t>
      </w:r>
      <w:r w:rsidR="00A65814">
        <w:rPr>
          <w:lang w:val="en-GB"/>
        </w:rPr>
        <w:t>investing. It had approximately </w:t>
      </w:r>
      <w:r w:rsidRPr="009C48DA" w:rsidR="001C3CEC">
        <w:rPr>
          <w:lang w:val="en-GB"/>
        </w:rPr>
        <w:t>€</w:t>
      </w:r>
      <w:r w:rsidRPr="009C48DA" w:rsidR="00D56F5B">
        <w:rPr>
          <w:lang w:val="en-GB"/>
        </w:rPr>
        <w:t>27.4</w:t>
      </w:r>
      <w:r w:rsidRPr="009C48DA" w:rsidR="0013735C">
        <w:rPr>
          <w:lang w:val="en-GB"/>
        </w:rPr>
        <w:t> </w:t>
      </w:r>
      <w:r w:rsidRPr="009C48DA" w:rsidR="001C3CEC">
        <w:rPr>
          <w:lang w:val="en-GB"/>
        </w:rPr>
        <w:t>billion of total assets under management as of 31 March 2021, in six distinct investment strategies across private equity and private credit. Operating in a fast</w:t>
      </w:r>
      <w:r w:rsidRPr="009C48DA" w:rsidR="001C3CEC">
        <w:rPr>
          <w:lang w:val="en-GB"/>
        </w:rPr>
        <w:noBreakHyphen/>
        <w:t>growing market, the group has a 30-year track record of delivering compelling returns with an attractive risk profile to a blue</w:t>
      </w:r>
      <w:r w:rsidRPr="009C48DA" w:rsidR="001C3CEC">
        <w:rPr>
          <w:lang w:val="en-GB"/>
        </w:rPr>
        <w:noBreakHyphen/>
        <w:t xml:space="preserve">chip and loyal base of over 300 investors globally as of 31 March 2021. Led by a team of partners who have a long history of working together, with over 170 investment professionals as of 31 March 2021, </w:t>
      </w:r>
      <w:r w:rsidRPr="009C48DA">
        <w:rPr>
          <w:rFonts w:eastAsia="Calibri" w:cs="Arial"/>
          <w:szCs w:val="20"/>
          <w:lang w:val="en-GB"/>
        </w:rPr>
        <w:t xml:space="preserve">Bridgepoint </w:t>
      </w:r>
      <w:r w:rsidRPr="009C48DA" w:rsidR="001C3CEC">
        <w:rPr>
          <w:lang w:val="en-GB"/>
        </w:rPr>
        <w:t>has a well</w:t>
      </w:r>
      <w:r w:rsidRPr="009C48DA" w:rsidR="001C3CEC">
        <w:rPr>
          <w:lang w:val="en-GB"/>
        </w:rPr>
        <w:noBreakHyphen/>
        <w:t>invested middle market platform across Europe, North America and Asia, providing a strong foundation for further strategic expansion. The Group’s global presence is outlined in the graphic below.</w:t>
      </w:r>
    </w:p>
    <w:p w:rsidRPr="009C48DA" w:rsidR="001C3CEC" w:rsidP="001C3CEC" w:rsidRDefault="001A3FD2" w14:paraId="1870C31B" w14:textId="1826540D">
      <w:pPr>
        <w:spacing w:before="120" w:line="288" w:lineRule="auto"/>
        <w:jc w:val="center"/>
        <w:rPr>
          <w:rFonts w:cs="Times New Roman"/>
          <w:sz w:val="20"/>
          <w:szCs w:val="20"/>
          <w:lang w:val="en-GB"/>
        </w:rPr>
      </w:pPr>
      <w:r w:rsidRPr="00C167FF">
        <w:rPr>
          <w:rFonts w:cs="Times New Roman"/>
          <w:noProof/>
          <w:sz w:val="20"/>
          <w:szCs w:val="20"/>
        </w:rPr>
        <w:drawing>
          <wp:inline distT="0" distB="0" distL="0" distR="0" wp14:anchorId="11732EB2" wp14:editId="3199289B">
            <wp:extent cx="5429250" cy="2507654"/>
            <wp:effectExtent l="0" t="0" r="0" b="6985"/>
            <wp:docPr id="21" name="Picture 7" descr="" title="">
              <a:extLst xmlns:a="http://schemas.openxmlformats.org/drawingml/2006/main">
                <a:ext uri="{FF2B5EF4-FFF2-40B4-BE49-F238E27FC236}">
                  <a16:creationId xmlns:a16="http://schemas.microsoft.com/office/drawing/2014/main" id="{F3233D26-0604-4944-96D1-FB681C7C10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F3233D26-0604-4944-96D1-FB681C7C106B}"/>
                        </a:ext>
                      </a:extLst>
                    </pic:cNvPr>
                    <pic:cNvPicPr>
                      <a:picLocks noChangeAspect="1"/>
                    </pic:cNvPicPr>
                  </pic:nvPicPr>
                  <pic:blipFill>
                    <a:blip r:embed="rId36"/>
                    <a:stretch>
                      <a:fillRect/>
                    </a:stretch>
                  </pic:blipFill>
                  <pic:spPr>
                    <a:xfrm>
                      <a:off x="0" y="0"/>
                      <a:ext cx="5429250" cy="2507654"/>
                    </a:xfrm>
                    <a:prstGeom prst="rect">
                      <a:avLst/>
                    </a:prstGeom>
                  </pic:spPr>
                </pic:pic>
              </a:graphicData>
            </a:graphic>
          </wp:inline>
        </w:drawing>
      </w:r>
    </w:p>
    <w:p w:rsidRPr="009C48DA" w:rsidR="001C3CEC" w:rsidP="0002759F" w:rsidRDefault="001C3CEC" w14:paraId="38F9A725" w14:textId="43E042E3">
      <w:pPr>
        <w:pStyle w:val="BodyText2SglJ"/>
        <w:rPr>
          <w:lang w:val="en-GB"/>
        </w:rPr>
      </w:pPr>
      <w:r w:rsidRPr="009C48DA">
        <w:rPr>
          <w:lang w:val="en-GB"/>
        </w:rPr>
        <w:t>Key to the Group’s investment approach is a strong culture of unity, deep experience and industrial networks through an investment platform with a distinctive, highly developed corporate culture and a focus on responsible investing.</w:t>
      </w:r>
      <w:r w:rsidRPr="009C48DA" w:rsidR="00D56F5B">
        <w:rPr>
          <w:lang w:val="en-GB"/>
        </w:rPr>
        <w:t xml:space="preserve"> Throughout </w:t>
      </w:r>
      <w:r w:rsidRPr="009C48DA" w:rsidR="006D5BFE">
        <w:rPr>
          <w:lang w:val="en-GB"/>
        </w:rPr>
        <w:t>Bridgepoint</w:t>
      </w:r>
      <w:r w:rsidRPr="009C48DA" w:rsidR="00D56F5B">
        <w:rPr>
          <w:lang w:val="en-GB"/>
        </w:rPr>
        <w:t xml:space="preserve">’s history, the </w:t>
      </w:r>
      <w:r w:rsidRPr="009C48DA" w:rsidR="006D5BFE">
        <w:rPr>
          <w:lang w:val="en-GB"/>
        </w:rPr>
        <w:t xml:space="preserve">Bridgepoint </w:t>
      </w:r>
      <w:r w:rsidRPr="009C48DA" w:rsidR="00D56F5B">
        <w:rPr>
          <w:lang w:val="en-GB"/>
        </w:rPr>
        <w:t xml:space="preserve">private equity funds have made investments in over 400 businesses and the </w:t>
      </w:r>
      <w:r w:rsidRPr="009C48DA" w:rsidR="00BB773E">
        <w:rPr>
          <w:rFonts w:eastAsia="Calibri" w:cs="Arial"/>
          <w:szCs w:val="20"/>
          <w:lang w:val="en-GB"/>
        </w:rPr>
        <w:t xml:space="preserve">Bridgepoint </w:t>
      </w:r>
      <w:r w:rsidRPr="009C48DA" w:rsidR="00D56F5B">
        <w:rPr>
          <w:lang w:val="en-GB"/>
        </w:rPr>
        <w:t xml:space="preserve">private credit funds have provided </w:t>
      </w:r>
      <w:r w:rsidRPr="009C48DA" w:rsidR="00B41930">
        <w:rPr>
          <w:lang w:val="en-GB"/>
        </w:rPr>
        <w:t>financing</w:t>
      </w:r>
      <w:r w:rsidR="00A65814">
        <w:rPr>
          <w:lang w:val="en-GB"/>
        </w:rPr>
        <w:t xml:space="preserve"> to over </w:t>
      </w:r>
      <w:r w:rsidRPr="009C48DA" w:rsidR="00D56F5B">
        <w:rPr>
          <w:lang w:val="en-GB"/>
        </w:rPr>
        <w:t>250 businesses.</w:t>
      </w:r>
    </w:p>
    <w:p w:rsidRPr="009C48DA" w:rsidR="001C3CEC" w:rsidP="0002759F" w:rsidRDefault="001C3CEC" w14:paraId="5C8E0317" w14:textId="07889728">
      <w:pPr>
        <w:pStyle w:val="BodyText2SglJ"/>
        <w:rPr>
          <w:lang w:val="en-GB"/>
        </w:rPr>
      </w:pPr>
      <w:r w:rsidRPr="009C48DA">
        <w:rPr>
          <w:lang w:val="en-GB"/>
        </w:rPr>
        <w:t xml:space="preserve">Founded in 1984, </w:t>
      </w:r>
      <w:r w:rsidRPr="009C48DA" w:rsidR="00BB773E">
        <w:rPr>
          <w:rFonts w:eastAsia="Calibri" w:cs="Arial"/>
          <w:szCs w:val="20"/>
          <w:lang w:val="en-GB"/>
        </w:rPr>
        <w:t xml:space="preserve">Bridgepoint </w:t>
      </w:r>
      <w:r w:rsidRPr="009C48DA">
        <w:rPr>
          <w:lang w:val="en-GB"/>
        </w:rPr>
        <w:t xml:space="preserve">has continuously evolved and invested in its investment platform. The Directors believe that the Group is strongly placed to capitalise on forecast double-digit market growth in the alternative asset management market </w:t>
      </w:r>
      <w:r w:rsidRPr="009C48DA" w:rsidR="0003405D">
        <w:rPr>
          <w:lang w:val="en-GB"/>
        </w:rPr>
        <w:t>from</w:t>
      </w:r>
      <w:r w:rsidRPr="009C48DA">
        <w:rPr>
          <w:lang w:val="en-GB"/>
        </w:rPr>
        <w:t xml:space="preserve"> 2020</w:t>
      </w:r>
      <w:r w:rsidRPr="009C48DA">
        <w:rPr>
          <w:rFonts w:cs="Times New Roman"/>
          <w:lang w:val="en-GB"/>
        </w:rPr>
        <w:t xml:space="preserve"> </w:t>
      </w:r>
      <w:r w:rsidRPr="009C48DA" w:rsidR="0003405D">
        <w:rPr>
          <w:rFonts w:cs="Times New Roman"/>
          <w:lang w:val="en-GB"/>
        </w:rPr>
        <w:t>to</w:t>
      </w:r>
      <w:r w:rsidRPr="009C48DA">
        <w:rPr>
          <w:rFonts w:cs="Times New Roman"/>
          <w:lang w:val="en-GB"/>
        </w:rPr>
        <w:t xml:space="preserve"> </w:t>
      </w:r>
      <w:r w:rsidRPr="009C48DA">
        <w:rPr>
          <w:lang w:val="en-GB"/>
        </w:rPr>
        <w:t>2025</w:t>
      </w:r>
      <w:r w:rsidRPr="009C48DA">
        <w:rPr>
          <w:vertAlign w:val="superscript"/>
          <w:lang w:val="en-GB"/>
        </w:rPr>
        <w:footnoteReference w:id="30"/>
      </w:r>
      <w:r w:rsidRPr="009C48DA">
        <w:rPr>
          <w:lang w:val="en-GB"/>
        </w:rPr>
        <w:t xml:space="preserve"> and to continue the Group’s strategic diversification. </w:t>
      </w:r>
      <w:r w:rsidRPr="009C48DA" w:rsidR="00BB773E">
        <w:rPr>
          <w:rFonts w:eastAsia="Calibri" w:cs="Arial"/>
          <w:szCs w:val="20"/>
          <w:lang w:val="en-GB"/>
        </w:rPr>
        <w:t xml:space="preserve">Bridgepoint </w:t>
      </w:r>
      <w:r w:rsidRPr="009C48DA">
        <w:rPr>
          <w:lang w:val="en-GB"/>
        </w:rPr>
        <w:t xml:space="preserve">has a strong track record of delivering returns to investors in the </w:t>
      </w:r>
      <w:r w:rsidRPr="009C48DA" w:rsidR="00BB773E">
        <w:rPr>
          <w:rFonts w:eastAsia="Calibri" w:cs="Arial"/>
          <w:szCs w:val="20"/>
          <w:lang w:val="en-GB"/>
        </w:rPr>
        <w:t xml:space="preserve">Bridgepoint </w:t>
      </w:r>
      <w:r w:rsidRPr="009C48DA">
        <w:rPr>
          <w:lang w:val="en-GB"/>
        </w:rPr>
        <w:t xml:space="preserve">Funds that spans over more than 35 years. This stability, bringing experience of investing over multiple economic cycles, and a well-established, excellent reputation in the industry, has been balanced with team development to create depth in leadership, ensuring consistent decision-making rigour across the Group. </w:t>
      </w:r>
    </w:p>
    <w:p w:rsidRPr="009C48DA" w:rsidR="001C3CEC" w:rsidP="00CC6F5F" w:rsidRDefault="001C3CEC" w14:paraId="4F198297" w14:textId="7B8183A1">
      <w:pPr>
        <w:pStyle w:val="BodyText2SglJ"/>
        <w:rPr>
          <w:lang w:val="en-GB"/>
        </w:rPr>
      </w:pPr>
      <w:r w:rsidRPr="009C48DA">
        <w:rPr>
          <w:lang w:val="en-GB"/>
        </w:rPr>
        <w:lastRenderedPageBreak/>
        <w:t>The Group’s private equity track record is demonstrated by the 2.5 times gross multiple on invested capital (“</w:t>
      </w:r>
      <w:r w:rsidRPr="009C48DA">
        <w:rPr>
          <w:b/>
          <w:lang w:val="en-GB"/>
        </w:rPr>
        <w:t>Gross</w:t>
      </w:r>
      <w:r w:rsidRPr="009C48DA">
        <w:rPr>
          <w:lang w:val="en-GB"/>
        </w:rPr>
        <w:t xml:space="preserve"> </w:t>
      </w:r>
      <w:r w:rsidRPr="009C48DA">
        <w:rPr>
          <w:b/>
          <w:lang w:val="en-GB"/>
        </w:rPr>
        <w:t>MOIC</w:t>
      </w:r>
      <w:r w:rsidRPr="009C48DA">
        <w:rPr>
          <w:lang w:val="en-GB"/>
        </w:rPr>
        <w:t>”) and 22.6 per cent gross internal rate of return (“</w:t>
      </w:r>
      <w:r w:rsidRPr="009C48DA">
        <w:rPr>
          <w:b/>
          <w:lang w:val="en-GB"/>
        </w:rPr>
        <w:t>IRR</w:t>
      </w:r>
      <w:r w:rsidRPr="009C48DA">
        <w:rPr>
          <w:lang w:val="en-GB"/>
        </w:rPr>
        <w:t>”)</w:t>
      </w:r>
      <w:r w:rsidRPr="009C48DA" w:rsidR="00906792">
        <w:rPr>
          <w:lang w:val="en-GB"/>
        </w:rPr>
        <w:t xml:space="preserve">, in each case based on realised investments and </w:t>
      </w:r>
      <w:r w:rsidRPr="009C48DA">
        <w:rPr>
          <w:lang w:val="en-GB"/>
        </w:rPr>
        <w:t xml:space="preserve">delivered on invested capital after the global financial crisis (in the period from the first quarter of 2009 through the fourth quarter of 2020) across the </w:t>
      </w:r>
      <w:r w:rsidRPr="009C48DA" w:rsidR="00BB773E">
        <w:rPr>
          <w:rFonts w:eastAsia="Calibri" w:cs="Arial"/>
          <w:szCs w:val="20"/>
          <w:lang w:val="en-GB"/>
        </w:rPr>
        <w:t xml:space="preserve">Bridgepoint </w:t>
      </w:r>
      <w:r w:rsidRPr="009C48DA">
        <w:rPr>
          <w:lang w:val="en-GB"/>
        </w:rPr>
        <w:t xml:space="preserve">Europe </w:t>
      </w:r>
      <w:r w:rsidRPr="009C48DA" w:rsidR="00725970">
        <w:rPr>
          <w:lang w:val="en-GB"/>
        </w:rPr>
        <w:t>f</w:t>
      </w:r>
      <w:r w:rsidRPr="009C48DA">
        <w:rPr>
          <w:lang w:val="en-GB"/>
        </w:rPr>
        <w:t xml:space="preserve">unds IV to VI, </w:t>
      </w:r>
      <w:r w:rsidRPr="009C48DA" w:rsidR="00BB773E">
        <w:rPr>
          <w:rFonts w:eastAsia="Calibri" w:cs="Arial"/>
          <w:szCs w:val="20"/>
          <w:lang w:val="en-GB"/>
        </w:rPr>
        <w:t xml:space="preserve">Bridgepoint </w:t>
      </w:r>
      <w:r w:rsidRPr="009C48DA">
        <w:rPr>
          <w:lang w:val="en-GB"/>
        </w:rPr>
        <w:t xml:space="preserve">Development Capital </w:t>
      </w:r>
      <w:r w:rsidRPr="009C48DA" w:rsidR="0080145B">
        <w:rPr>
          <w:lang w:val="en-GB"/>
        </w:rPr>
        <w:t>f</w:t>
      </w:r>
      <w:r w:rsidRPr="009C48DA">
        <w:rPr>
          <w:lang w:val="en-GB"/>
        </w:rPr>
        <w:t xml:space="preserve">unds I to III and </w:t>
      </w:r>
      <w:r w:rsidRPr="009C48DA" w:rsidR="00BB773E">
        <w:rPr>
          <w:rFonts w:eastAsia="Calibri" w:cs="Arial"/>
          <w:szCs w:val="20"/>
          <w:lang w:val="en-GB"/>
        </w:rPr>
        <w:t xml:space="preserve">Bridgepoint </w:t>
      </w:r>
      <w:r w:rsidRPr="009C48DA">
        <w:rPr>
          <w:lang w:val="en-GB"/>
        </w:rPr>
        <w:t>Growth. See “</w:t>
      </w:r>
      <w:r w:rsidRPr="009C48DA">
        <w:rPr>
          <w:i/>
          <w:lang w:val="en-GB"/>
        </w:rPr>
        <w:t xml:space="preserve">Financial Model—Selected Key Metrics of the </w:t>
      </w:r>
      <w:r w:rsidRPr="009C48DA" w:rsidR="00BB773E">
        <w:rPr>
          <w:i/>
          <w:lang w:val="en-GB"/>
        </w:rPr>
        <w:t xml:space="preserve">Bridgepoint </w:t>
      </w:r>
      <w:r w:rsidRPr="009C48DA">
        <w:rPr>
          <w:i/>
          <w:lang w:val="en-GB"/>
        </w:rPr>
        <w:t>Funds</w:t>
      </w:r>
      <w:r w:rsidRPr="009C48DA">
        <w:rPr>
          <w:lang w:val="en-GB"/>
        </w:rPr>
        <w:t xml:space="preserve">” in </w:t>
      </w:r>
      <w:r w:rsidRPr="009C48DA" w:rsidR="001B45EC">
        <w:rPr>
          <w:lang w:val="en-GB"/>
        </w:rPr>
        <w:fldChar w:fldCharType="begin"/>
      </w:r>
      <w:r w:rsidRPr="009C48DA" w:rsidR="001B45EC">
        <w:rPr>
          <w:lang w:val="en-GB"/>
        </w:rPr>
        <w:instrText xml:space="preserve"> REF _Ref74476394 \w \h </w:instrText>
      </w:r>
      <w:r w:rsidRPr="009C48DA" w:rsidR="001B45EC">
        <w:rPr>
          <w:lang w:val="en-GB"/>
        </w:rPr>
      </w:r>
      <w:r w:rsidRPr="009C48DA" w:rsidR="001B45EC">
        <w:rPr>
          <w:lang w:val="en-GB"/>
        </w:rPr>
        <w:fldChar w:fldCharType="separate"/>
      </w:r>
      <w:r w:rsidR="007C3D19">
        <w:rPr>
          <w:lang w:val="en-GB"/>
        </w:rPr>
        <w:t>Part IX</w:t>
      </w:r>
      <w:r w:rsidRPr="009C48DA" w:rsidR="001B45EC">
        <w:rPr>
          <w:lang w:val="en-GB"/>
        </w:rPr>
        <w:fldChar w:fldCharType="end"/>
      </w:r>
      <w:r w:rsidRPr="009C48DA">
        <w:rPr>
          <w:lang w:val="en-GB"/>
        </w:rPr>
        <w:t xml:space="preserve"> (</w:t>
      </w:r>
      <w:r w:rsidRPr="009C48DA" w:rsidR="00CC6F5F">
        <w:rPr>
          <w:i/>
          <w:lang w:val="en-GB"/>
        </w:rPr>
        <w:fldChar w:fldCharType="begin"/>
      </w:r>
      <w:r w:rsidRPr="009C48DA" w:rsidR="00CC6F5F">
        <w:rPr>
          <w:i/>
          <w:lang w:val="en-GB"/>
        </w:rPr>
        <w:instrText xml:space="preserve"> REF _Ref75191226 \h  \* MERGEFORMAT </w:instrText>
      </w:r>
      <w:r w:rsidRPr="009C48DA" w:rsidR="00CC6F5F">
        <w:rPr>
          <w:i/>
          <w:lang w:val="en-GB"/>
        </w:rPr>
      </w:r>
      <w:r w:rsidRPr="009C48DA" w:rsidR="00CC6F5F">
        <w:rPr>
          <w:i/>
          <w:lang w:val="en-GB"/>
        </w:rPr>
        <w:fldChar w:fldCharType="separate"/>
      </w:r>
      <w:r w:rsidRPr="007C3D19" w:rsidR="007C3D19">
        <w:rPr>
          <w:i/>
          <w:lang w:val="en-GB"/>
        </w:rPr>
        <w:t>Operating and Financial Review</w:t>
      </w:r>
      <w:r w:rsidRPr="009C48DA" w:rsidR="00CC6F5F">
        <w:rPr>
          <w:i/>
          <w:lang w:val="en-GB"/>
        </w:rPr>
        <w:fldChar w:fldCharType="end"/>
      </w:r>
      <w:r w:rsidRPr="009C48DA">
        <w:rPr>
          <w:lang w:val="en-GB"/>
        </w:rPr>
        <w:t xml:space="preserve">) for a detailed definition of Gross MOIC and IRR and how they are calculated. The Group has a similar track record in private credit, having committed approximately €11 billion of capital to over 250 companies </w:t>
      </w:r>
      <w:r w:rsidRPr="009C48DA" w:rsidR="0003405D">
        <w:rPr>
          <w:lang w:val="en-GB"/>
        </w:rPr>
        <w:t>from</w:t>
      </w:r>
      <w:r w:rsidRPr="009C48DA">
        <w:rPr>
          <w:lang w:val="en-GB"/>
        </w:rPr>
        <w:t xml:space="preserve"> 2010 </w:t>
      </w:r>
      <w:r w:rsidRPr="009C48DA" w:rsidR="0003405D">
        <w:rPr>
          <w:lang w:val="en-GB"/>
        </w:rPr>
        <w:t>to</w:t>
      </w:r>
      <w:r w:rsidRPr="009C48DA">
        <w:rPr>
          <w:lang w:val="en-GB"/>
        </w:rPr>
        <w:t xml:space="preserve"> 2020 across all </w:t>
      </w:r>
      <w:r w:rsidRPr="009C48DA" w:rsidR="00BB773E">
        <w:rPr>
          <w:rFonts w:eastAsia="Calibri" w:cs="Arial"/>
          <w:szCs w:val="20"/>
          <w:lang w:val="en-GB"/>
        </w:rPr>
        <w:t xml:space="preserve">Bridgepoint </w:t>
      </w:r>
      <w:r w:rsidRPr="009C48DA">
        <w:rPr>
          <w:lang w:val="en-GB"/>
        </w:rPr>
        <w:t xml:space="preserve">private credit funds, with both </w:t>
      </w:r>
      <w:r w:rsidRPr="009C48DA" w:rsidR="00BB773E">
        <w:rPr>
          <w:rFonts w:eastAsia="Calibri" w:cs="Arial"/>
          <w:szCs w:val="20"/>
          <w:lang w:val="en-GB"/>
        </w:rPr>
        <w:t xml:space="preserve">Bridgepoint </w:t>
      </w:r>
      <w:r w:rsidRPr="009C48DA">
        <w:rPr>
          <w:lang w:val="en-GB"/>
        </w:rPr>
        <w:t xml:space="preserve">Credit Opportunities I and II as top </w:t>
      </w:r>
      <w:r w:rsidRPr="009C48DA" w:rsidR="00E76773">
        <w:rPr>
          <w:lang w:val="en-GB"/>
        </w:rPr>
        <w:t>five</w:t>
      </w:r>
      <w:r w:rsidRPr="009C48DA">
        <w:rPr>
          <w:lang w:val="en-GB"/>
        </w:rPr>
        <w:t xml:space="preserve"> per cent performers</w:t>
      </w:r>
      <w:r w:rsidRPr="009C48DA">
        <w:rPr>
          <w:rStyle w:val="FootnoteReference"/>
          <w:szCs w:val="20"/>
          <w:lang w:val="en-GB"/>
        </w:rPr>
        <w:footnoteReference w:id="31"/>
      </w:r>
      <w:r w:rsidRPr="009C48DA">
        <w:rPr>
          <w:lang w:val="en-GB"/>
        </w:rPr>
        <w:t xml:space="preserve"> and </w:t>
      </w:r>
      <w:r w:rsidRPr="009C48DA" w:rsidR="00BB773E">
        <w:rPr>
          <w:rFonts w:eastAsia="Calibri" w:cs="Arial"/>
          <w:szCs w:val="20"/>
          <w:lang w:val="en-GB"/>
        </w:rPr>
        <w:t xml:space="preserve">Bridgepoint </w:t>
      </w:r>
      <w:r w:rsidRPr="009C48DA">
        <w:rPr>
          <w:lang w:val="en-GB"/>
        </w:rPr>
        <w:t>Direct Lending funds delivering tar</w:t>
      </w:r>
      <w:r w:rsidRPr="009C48DA" w:rsidR="00BC4C61">
        <w:rPr>
          <w:lang w:val="en-GB"/>
        </w:rPr>
        <w:t xml:space="preserve">get returns, in each case </w:t>
      </w:r>
      <w:r w:rsidRPr="009C48DA">
        <w:rPr>
          <w:lang w:val="en-GB"/>
        </w:rPr>
        <w:t xml:space="preserve">as of </w:t>
      </w:r>
      <w:r w:rsidRPr="009C48DA" w:rsidR="00342097">
        <w:rPr>
          <w:lang w:val="en-GB"/>
        </w:rPr>
        <w:t>30 September 2020.</w:t>
      </w:r>
    </w:p>
    <w:p w:rsidRPr="009C48DA" w:rsidR="00131DF2" w:rsidP="00CC6F5F" w:rsidRDefault="001C3CEC" w14:paraId="153A2D2B" w14:textId="5C8E5D0C">
      <w:pPr>
        <w:pStyle w:val="BodyText2SglJ"/>
        <w:rPr>
          <w:lang w:val="en-GB"/>
        </w:rPr>
      </w:pPr>
      <w:r w:rsidRPr="009C48DA">
        <w:rPr>
          <w:lang w:val="en-GB"/>
        </w:rPr>
        <w:t xml:space="preserve">The strong and consistent returns delivered by the </w:t>
      </w:r>
      <w:r w:rsidRPr="009C48DA" w:rsidR="00BB773E">
        <w:rPr>
          <w:rFonts w:eastAsia="Calibri" w:cs="Arial"/>
          <w:szCs w:val="20"/>
          <w:lang w:val="en-GB"/>
        </w:rPr>
        <w:t xml:space="preserve">Bridgepoint </w:t>
      </w:r>
      <w:r w:rsidRPr="009C48DA">
        <w:rPr>
          <w:lang w:val="en-GB"/>
        </w:rPr>
        <w:t xml:space="preserve">Funds have enabled the Group to grow Total AUM by approximately three times </w:t>
      </w:r>
      <w:r w:rsidRPr="009C48DA" w:rsidR="0003405D">
        <w:rPr>
          <w:lang w:val="en-GB"/>
        </w:rPr>
        <w:t>from</w:t>
      </w:r>
      <w:r w:rsidRPr="009C48DA">
        <w:rPr>
          <w:lang w:val="en-GB"/>
        </w:rPr>
        <w:t xml:space="preserve"> 2011 </w:t>
      </w:r>
      <w:r w:rsidRPr="009C48DA" w:rsidR="0003405D">
        <w:rPr>
          <w:lang w:val="en-GB"/>
        </w:rPr>
        <w:t>to</w:t>
      </w:r>
      <w:r w:rsidRPr="009C48DA">
        <w:rPr>
          <w:lang w:val="en-GB"/>
        </w:rPr>
        <w:t xml:space="preserve"> 31 March 2021 to approximately €</w:t>
      </w:r>
      <w:r w:rsidRPr="009C48DA" w:rsidR="00711B9B">
        <w:rPr>
          <w:lang w:val="en-GB"/>
        </w:rPr>
        <w:t>27.4</w:t>
      </w:r>
      <w:r w:rsidRPr="009C48DA">
        <w:rPr>
          <w:lang w:val="en-GB"/>
        </w:rPr>
        <w:t xml:space="preserve"> billion as of 31 March 2021. As of 31 March 2021, the Group had approximately €</w:t>
      </w:r>
      <w:r w:rsidRPr="009C48DA" w:rsidR="00711B9B">
        <w:rPr>
          <w:lang w:val="en-GB"/>
        </w:rPr>
        <w:t>17.8</w:t>
      </w:r>
      <w:r w:rsidRPr="009C48DA">
        <w:rPr>
          <w:lang w:val="en-GB"/>
        </w:rPr>
        <w:t xml:space="preserve"> billion of AUM. See “</w:t>
      </w:r>
      <w:r w:rsidRPr="009C48DA">
        <w:rPr>
          <w:i/>
          <w:lang w:val="en-GB"/>
        </w:rPr>
        <w:t>Alternative Performance Measures and Key Performance Indicators—AUM and Total AUM</w:t>
      </w:r>
      <w:r w:rsidRPr="009C48DA">
        <w:rPr>
          <w:lang w:val="en-GB"/>
        </w:rPr>
        <w:t xml:space="preserve">” in </w:t>
      </w:r>
      <w:r w:rsidRPr="009C48DA" w:rsidR="001B45EC">
        <w:rPr>
          <w:lang w:val="en-GB"/>
        </w:rPr>
        <w:fldChar w:fldCharType="begin"/>
      </w:r>
      <w:r w:rsidRPr="009C48DA" w:rsidR="001B45EC">
        <w:rPr>
          <w:lang w:val="en-GB"/>
        </w:rPr>
        <w:instrText xml:space="preserve"> REF _Ref74476394 \w \h </w:instrText>
      </w:r>
      <w:r w:rsidRPr="009C48DA" w:rsidR="001B45EC">
        <w:rPr>
          <w:lang w:val="en-GB"/>
        </w:rPr>
      </w:r>
      <w:r w:rsidRPr="009C48DA" w:rsidR="001B45EC">
        <w:rPr>
          <w:lang w:val="en-GB"/>
        </w:rPr>
        <w:fldChar w:fldCharType="separate"/>
      </w:r>
      <w:r w:rsidR="007C3D19">
        <w:rPr>
          <w:lang w:val="en-GB"/>
        </w:rPr>
        <w:t>Part IX</w:t>
      </w:r>
      <w:r w:rsidRPr="009C48DA" w:rsidR="001B45EC">
        <w:rPr>
          <w:lang w:val="en-GB"/>
        </w:rPr>
        <w:fldChar w:fldCharType="end"/>
      </w:r>
      <w:r w:rsidRPr="009C48DA">
        <w:rPr>
          <w:lang w:val="en-GB"/>
        </w:rPr>
        <w:t xml:space="preserve"> (</w:t>
      </w:r>
      <w:r w:rsidRPr="009C48DA" w:rsidR="00CC6F5F">
        <w:rPr>
          <w:i/>
          <w:lang w:val="en-GB"/>
        </w:rPr>
        <w:fldChar w:fldCharType="begin"/>
      </w:r>
      <w:r w:rsidRPr="009C48DA" w:rsidR="00CC6F5F">
        <w:rPr>
          <w:i/>
          <w:lang w:val="en-GB"/>
        </w:rPr>
        <w:instrText xml:space="preserve"> REF _Ref75191226 \h  \* MERGEFORMAT </w:instrText>
      </w:r>
      <w:r w:rsidRPr="009C48DA" w:rsidR="00CC6F5F">
        <w:rPr>
          <w:i/>
          <w:lang w:val="en-GB"/>
        </w:rPr>
      </w:r>
      <w:r w:rsidRPr="009C48DA" w:rsidR="00CC6F5F">
        <w:rPr>
          <w:i/>
          <w:lang w:val="en-GB"/>
        </w:rPr>
        <w:fldChar w:fldCharType="separate"/>
      </w:r>
      <w:r w:rsidRPr="007C3D19" w:rsidR="007C3D19">
        <w:rPr>
          <w:i/>
          <w:lang w:val="en-GB"/>
        </w:rPr>
        <w:t>Operating and Financial Review</w:t>
      </w:r>
      <w:r w:rsidRPr="009C48DA" w:rsidR="00CC6F5F">
        <w:rPr>
          <w:i/>
          <w:lang w:val="en-GB"/>
        </w:rPr>
        <w:fldChar w:fldCharType="end"/>
      </w:r>
      <w:r w:rsidRPr="009C48DA">
        <w:rPr>
          <w:lang w:val="en-GB"/>
        </w:rPr>
        <w:t xml:space="preserve">) for a detailed definition </w:t>
      </w:r>
      <w:r w:rsidRPr="009C48DA" w:rsidR="00BC4C61">
        <w:rPr>
          <w:lang w:val="en-GB"/>
        </w:rPr>
        <w:t xml:space="preserve">and description </w:t>
      </w:r>
      <w:r w:rsidRPr="009C48DA">
        <w:rPr>
          <w:lang w:val="en-GB"/>
        </w:rPr>
        <w:t xml:space="preserve">of Total AUM and AUM. </w:t>
      </w:r>
    </w:p>
    <w:p w:rsidRPr="009C48DA" w:rsidR="001C3CEC" w:rsidP="00CC6F5F" w:rsidRDefault="0016222C" w14:paraId="20B3B0A7" w14:textId="781AE311">
      <w:pPr>
        <w:pStyle w:val="BodyText2SglJ"/>
        <w:rPr>
          <w:lang w:val="en-GB"/>
        </w:rPr>
      </w:pPr>
      <w:bookmarkStart w:name="OLE_LINK1" w:id="578"/>
      <w:r w:rsidRPr="009C48DA">
        <w:rPr>
          <w:lang w:val="en-GB"/>
        </w:rPr>
        <w:t>During the year ended 31 December 2020 and the three months ended 31 March 2021, the Group generated total operating income of £191.8 million and £61.4 million as well a</w:t>
      </w:r>
      <w:r w:rsidR="00CF56DC">
        <w:rPr>
          <w:lang w:val="en-GB"/>
        </w:rPr>
        <w:t>s Underlying EBITDA of </w:t>
      </w:r>
      <w:r w:rsidRPr="009C48DA">
        <w:rPr>
          <w:lang w:val="en-GB"/>
        </w:rPr>
        <w:t>£66.1 million and £27.7 million, respectively, equating to an Under</w:t>
      </w:r>
      <w:r w:rsidR="00CF56DC">
        <w:rPr>
          <w:lang w:val="en-GB"/>
        </w:rPr>
        <w:t>lying EBITDA Margin of 34.4 and </w:t>
      </w:r>
      <w:r w:rsidRPr="009C48DA">
        <w:rPr>
          <w:lang w:val="en-GB"/>
        </w:rPr>
        <w:t xml:space="preserve">45.0 per cent, respectively. The quality of the return of the </w:t>
      </w:r>
      <w:r w:rsidRPr="009C48DA" w:rsidR="00BB773E">
        <w:rPr>
          <w:rFonts w:eastAsia="Calibri" w:cs="Arial"/>
          <w:szCs w:val="20"/>
          <w:lang w:val="en-GB"/>
        </w:rPr>
        <w:t xml:space="preserve">Bridgepoint </w:t>
      </w:r>
      <w:r w:rsidRPr="009C48DA">
        <w:rPr>
          <w:lang w:val="en-GB"/>
        </w:rPr>
        <w:t xml:space="preserve">Funds is also greatly enhanced by careful portfolio construction, with diversity by sector, geography and vintage year of commitment in each </w:t>
      </w:r>
      <w:r w:rsidRPr="009C48DA" w:rsidR="00BB773E">
        <w:rPr>
          <w:rFonts w:eastAsia="Calibri" w:cs="Arial"/>
          <w:szCs w:val="20"/>
          <w:lang w:val="en-GB"/>
        </w:rPr>
        <w:t xml:space="preserve">Bridgepoint </w:t>
      </w:r>
      <w:r w:rsidRPr="009C48DA">
        <w:rPr>
          <w:lang w:val="en-GB"/>
        </w:rPr>
        <w:t>Fund reducing the fund’s overall risk profile while maintaining strong absolute returns.</w:t>
      </w:r>
    </w:p>
    <w:bookmarkEnd w:id="578"/>
    <w:p w:rsidRPr="009C48DA" w:rsidR="001C3CEC" w:rsidP="004C312B" w:rsidRDefault="001C3CEC" w14:paraId="288CA952" w14:textId="77777777">
      <w:pPr>
        <w:pStyle w:val="BodyText2SglJ"/>
        <w:keepNext/>
        <w:rPr>
          <w:lang w:val="en-GB"/>
        </w:rPr>
      </w:pPr>
      <w:r w:rsidRPr="009C48DA">
        <w:rPr>
          <w:lang w:val="en-GB"/>
        </w:rPr>
        <w:t>The Group operates six distinct investment strategies across two complementary asset classes:</w:t>
      </w:r>
    </w:p>
    <w:p w:rsidRPr="009C48DA" w:rsidR="001C3CEC" w:rsidP="00C121D7" w:rsidRDefault="001C3CEC" w14:paraId="37488089" w14:textId="43E4EA2B">
      <w:pPr>
        <w:pStyle w:val="STBBullet3"/>
        <w:rPr>
          <w:lang w:val="en-GB"/>
        </w:rPr>
      </w:pPr>
      <w:r w:rsidRPr="009C48DA">
        <w:rPr>
          <w:b/>
          <w:lang w:val="en-GB"/>
        </w:rPr>
        <w:t>Private Equity</w:t>
      </w:r>
      <w:r w:rsidRPr="009C48DA">
        <w:rPr>
          <w:lang w:val="en-GB"/>
        </w:rPr>
        <w:t>: As of 31 March 2021, the Group managed €19.2 billion of Total AUM across three classes of highly synergistic private equity funds, with the Group’s flagship European middle market strategy (“</w:t>
      </w:r>
      <w:r w:rsidRPr="009C48DA" w:rsidR="00BB773E">
        <w:rPr>
          <w:rFonts w:eastAsia="Calibri" w:cs="Arial"/>
          <w:b/>
          <w:szCs w:val="20"/>
          <w:lang w:val="en-GB"/>
        </w:rPr>
        <w:t>Bridgepoint</w:t>
      </w:r>
      <w:r w:rsidRPr="009C48DA" w:rsidR="00BB773E">
        <w:rPr>
          <w:rFonts w:eastAsia="Calibri" w:cs="Arial"/>
          <w:szCs w:val="20"/>
          <w:lang w:val="en-GB"/>
        </w:rPr>
        <w:t xml:space="preserve"> </w:t>
      </w:r>
      <w:r w:rsidRPr="009C48DA">
        <w:rPr>
          <w:b/>
          <w:lang w:val="en-GB"/>
        </w:rPr>
        <w:t>Europe</w:t>
      </w:r>
      <w:r w:rsidRPr="009C48DA">
        <w:rPr>
          <w:lang w:val="en-GB"/>
        </w:rPr>
        <w:t>”), a lower middle market strategy (“</w:t>
      </w:r>
      <w:r w:rsidRPr="009C48DA" w:rsidR="00BB773E">
        <w:rPr>
          <w:rFonts w:eastAsia="Calibri" w:cs="Arial"/>
          <w:b/>
          <w:szCs w:val="20"/>
          <w:lang w:val="en-GB"/>
        </w:rPr>
        <w:t>Bridgepoint</w:t>
      </w:r>
      <w:r w:rsidRPr="009C48DA" w:rsidR="00BB773E">
        <w:rPr>
          <w:rFonts w:eastAsia="Calibri" w:cs="Arial"/>
          <w:szCs w:val="20"/>
          <w:lang w:val="en-GB"/>
        </w:rPr>
        <w:t xml:space="preserve"> </w:t>
      </w:r>
      <w:r w:rsidRPr="009C48DA">
        <w:rPr>
          <w:b/>
          <w:lang w:val="en-GB"/>
        </w:rPr>
        <w:t>Development Capital</w:t>
      </w:r>
      <w:r w:rsidRPr="009C48DA">
        <w:rPr>
          <w:lang w:val="en-GB"/>
        </w:rPr>
        <w:t>”) and an early stage strategy (“</w:t>
      </w:r>
      <w:r w:rsidRPr="009C48DA" w:rsidR="00BB773E">
        <w:rPr>
          <w:rFonts w:eastAsia="Calibri" w:cs="Arial"/>
          <w:b/>
          <w:szCs w:val="20"/>
          <w:lang w:val="en-GB"/>
        </w:rPr>
        <w:t>Bridgepoint</w:t>
      </w:r>
      <w:r w:rsidRPr="009C48DA" w:rsidR="00BB773E">
        <w:rPr>
          <w:rFonts w:eastAsia="Calibri" w:cs="Arial"/>
          <w:szCs w:val="20"/>
          <w:lang w:val="en-GB"/>
        </w:rPr>
        <w:t xml:space="preserve"> </w:t>
      </w:r>
      <w:r w:rsidRPr="009C48DA">
        <w:rPr>
          <w:b/>
          <w:lang w:val="en-GB"/>
        </w:rPr>
        <w:t>Growth</w:t>
      </w:r>
      <w:r w:rsidRPr="009C48DA">
        <w:rPr>
          <w:lang w:val="en-GB"/>
        </w:rPr>
        <w:t xml:space="preserve">”). </w:t>
      </w:r>
    </w:p>
    <w:p w:rsidRPr="009C48DA" w:rsidR="001C3CEC" w:rsidP="00C121D7" w:rsidRDefault="001C3CEC" w14:paraId="7377E820" w14:textId="62EE18F3">
      <w:pPr>
        <w:pStyle w:val="STBBullet3"/>
        <w:rPr>
          <w:lang w:val="en-GB"/>
        </w:rPr>
      </w:pPr>
      <w:r w:rsidRPr="009C48DA">
        <w:rPr>
          <w:b/>
          <w:lang w:val="en-GB"/>
        </w:rPr>
        <w:t>Private Credit</w:t>
      </w:r>
      <w:r w:rsidRPr="009C48DA">
        <w:rPr>
          <w:lang w:val="en-GB"/>
        </w:rPr>
        <w:t>:</w:t>
      </w:r>
      <w:r w:rsidRPr="009C48DA">
        <w:rPr>
          <w:b/>
          <w:lang w:val="en-GB"/>
        </w:rPr>
        <w:t xml:space="preserve"> </w:t>
      </w:r>
      <w:r w:rsidRPr="009C48DA">
        <w:rPr>
          <w:lang w:val="en-GB"/>
        </w:rPr>
        <w:t>In addition, the Group managed €7.4 bill</w:t>
      </w:r>
      <w:r w:rsidR="00BA3614">
        <w:rPr>
          <w:lang w:val="en-GB"/>
        </w:rPr>
        <w:t>ion of Total AUM as of 31 March </w:t>
      </w:r>
      <w:r w:rsidRPr="009C48DA">
        <w:rPr>
          <w:lang w:val="en-GB"/>
        </w:rPr>
        <w:t>2021 across three classes of private credit funds, with a strategy to act as lender to privately owned companies and priva</w:t>
      </w:r>
      <w:r w:rsidRPr="009C48DA" w:rsidR="007A03DC">
        <w:rPr>
          <w:lang w:val="en-GB"/>
        </w:rPr>
        <w:t xml:space="preserve">te </w:t>
      </w:r>
      <w:r w:rsidRPr="009C48DA">
        <w:rPr>
          <w:lang w:val="en-GB"/>
        </w:rPr>
        <w:t>equity</w:t>
      </w:r>
      <w:r w:rsidRPr="009C48DA" w:rsidR="00E76773">
        <w:rPr>
          <w:lang w:val="en-GB"/>
        </w:rPr>
        <w:t>-</w:t>
      </w:r>
      <w:r w:rsidRPr="009C48DA">
        <w:rPr>
          <w:lang w:val="en-GB"/>
        </w:rPr>
        <w:t>backed portfolio companies (“</w:t>
      </w:r>
      <w:r w:rsidRPr="009C48DA" w:rsidR="00BB773E">
        <w:rPr>
          <w:rFonts w:eastAsia="Calibri" w:cs="Arial"/>
          <w:b/>
          <w:szCs w:val="20"/>
          <w:lang w:val="en-GB"/>
        </w:rPr>
        <w:t>Bridgepoint</w:t>
      </w:r>
      <w:r w:rsidRPr="009C48DA" w:rsidR="00BB773E">
        <w:rPr>
          <w:rFonts w:eastAsia="Calibri" w:cs="Arial"/>
          <w:szCs w:val="20"/>
          <w:lang w:val="en-GB"/>
        </w:rPr>
        <w:t xml:space="preserve"> </w:t>
      </w:r>
      <w:r w:rsidRPr="009C48DA">
        <w:rPr>
          <w:b/>
          <w:lang w:val="en-GB"/>
        </w:rPr>
        <w:t>Direct Lending</w:t>
      </w:r>
      <w:r w:rsidRPr="009C48DA">
        <w:rPr>
          <w:lang w:val="en-GB"/>
        </w:rPr>
        <w:t>”) a distressed credit investment strategy (“</w:t>
      </w:r>
      <w:r w:rsidRPr="009C48DA" w:rsidR="00BB773E">
        <w:rPr>
          <w:rFonts w:eastAsia="Calibri" w:cs="Arial"/>
          <w:b/>
          <w:szCs w:val="20"/>
          <w:lang w:val="en-GB"/>
        </w:rPr>
        <w:t>Bridgepoint</w:t>
      </w:r>
      <w:r w:rsidRPr="009C48DA" w:rsidR="00BB773E">
        <w:rPr>
          <w:rFonts w:eastAsia="Calibri" w:cs="Arial"/>
          <w:szCs w:val="20"/>
          <w:lang w:val="en-GB"/>
        </w:rPr>
        <w:t xml:space="preserve"> </w:t>
      </w:r>
      <w:r w:rsidRPr="009C48DA">
        <w:rPr>
          <w:b/>
          <w:lang w:val="en-GB"/>
        </w:rPr>
        <w:t>Credit Opportunities</w:t>
      </w:r>
      <w:r w:rsidRPr="009C48DA">
        <w:rPr>
          <w:lang w:val="en-GB"/>
        </w:rPr>
        <w:t>”) and a syndicated debt strategy (“</w:t>
      </w:r>
      <w:r w:rsidRPr="009C48DA" w:rsidR="00BB773E">
        <w:rPr>
          <w:rFonts w:eastAsia="Calibri" w:cs="Arial"/>
          <w:b/>
          <w:szCs w:val="20"/>
          <w:lang w:val="en-GB"/>
        </w:rPr>
        <w:t>Bridgepoint</w:t>
      </w:r>
      <w:r w:rsidRPr="009C48DA" w:rsidR="00BB773E">
        <w:rPr>
          <w:rFonts w:eastAsia="Calibri" w:cs="Arial"/>
          <w:szCs w:val="20"/>
          <w:lang w:val="en-GB"/>
        </w:rPr>
        <w:t xml:space="preserve"> </w:t>
      </w:r>
      <w:r w:rsidRPr="009C48DA">
        <w:rPr>
          <w:b/>
          <w:lang w:val="en-GB"/>
        </w:rPr>
        <w:t>Syndicated Debt</w:t>
      </w:r>
      <w:r w:rsidRPr="009C48DA">
        <w:rPr>
          <w:lang w:val="en-GB"/>
        </w:rPr>
        <w:t xml:space="preserve">”). </w:t>
      </w:r>
    </w:p>
    <w:p w:rsidRPr="009C48DA" w:rsidR="001C3CEC" w:rsidP="00480351" w:rsidRDefault="001C3CEC" w14:paraId="5A110417" w14:textId="77777777">
      <w:pPr>
        <w:pStyle w:val="BodyText2SglJ"/>
        <w:keepNext/>
        <w:spacing w:after="120"/>
        <w:rPr>
          <w:lang w:val="en-GB"/>
        </w:rPr>
      </w:pPr>
      <w:r w:rsidRPr="009C48DA">
        <w:rPr>
          <w:lang w:val="en-GB"/>
        </w:rPr>
        <w:t>The key attributes of the Group are outlined in the graphic below:</w:t>
      </w:r>
    </w:p>
    <w:p w:rsidRPr="009C48DA" w:rsidR="001C3CEC" w:rsidP="001C3CEC" w:rsidRDefault="001A3FD2" w14:paraId="59D6D8EB" w14:textId="7E39F4CE">
      <w:pPr>
        <w:spacing w:after="240"/>
        <w:jc w:val="center"/>
        <w:rPr>
          <w:sz w:val="20"/>
          <w:szCs w:val="20"/>
          <w:lang w:val="en-GB"/>
        </w:rPr>
      </w:pPr>
      <w:r w:rsidRPr="009A322C">
        <w:rPr>
          <w:noProof/>
          <w:sz w:val="20"/>
          <w:szCs w:val="20"/>
        </w:rPr>
        <w:drawing>
          <wp:inline distT="0" distB="0" distL="0" distR="0" wp14:anchorId="107189EF" wp14:editId="296564AE">
            <wp:extent cx="5038725" cy="2512125"/>
            <wp:effectExtent l="0" t="0" r="0" b="2540"/>
            <wp:docPr id="45" name="Picture 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4"/>
                    <pic:cNvPicPr>
                      <a:picLocks noChangeAspect="1"/>
                    </pic:cNvPicPr>
                  </pic:nvPicPr>
                  <pic:blipFill>
                    <a:blip r:embed="rId37"/>
                    <a:stretch>
                      <a:fillRect/>
                    </a:stretch>
                  </pic:blipFill>
                  <pic:spPr>
                    <a:xfrm>
                      <a:off x="0" y="0"/>
                      <a:ext cx="5058567" cy="2522017"/>
                    </a:xfrm>
                    <a:prstGeom prst="rect">
                      <a:avLst/>
                    </a:prstGeom>
                  </pic:spPr>
                </pic:pic>
              </a:graphicData>
            </a:graphic>
          </wp:inline>
        </w:drawing>
      </w:r>
    </w:p>
    <w:p w:rsidRPr="009C48DA" w:rsidR="001C3CEC" w:rsidP="0038502A" w:rsidRDefault="00C121D7" w14:paraId="224CA529" w14:textId="08377257">
      <w:pPr>
        <w:pStyle w:val="TitleBAllCaps"/>
      </w:pPr>
      <w:r w:rsidRPr="009C48DA">
        <w:lastRenderedPageBreak/>
        <w:t xml:space="preserve">HISTORY OF </w:t>
      </w:r>
      <w:r w:rsidRPr="009C48DA" w:rsidR="00BB773E">
        <w:t>BRIDGEPOINT</w:t>
      </w:r>
    </w:p>
    <w:p w:rsidRPr="009C48DA" w:rsidR="001C3CEC" w:rsidP="0002759F" w:rsidRDefault="001C3CEC" w14:paraId="7168DE0C" w14:textId="7992FB54">
      <w:pPr>
        <w:pStyle w:val="BodyText2SglJ"/>
        <w:rPr>
          <w:lang w:val="en-GB"/>
        </w:rPr>
      </w:pPr>
      <w:r w:rsidRPr="009C48DA">
        <w:rPr>
          <w:lang w:val="en-GB"/>
        </w:rPr>
        <w:t xml:space="preserve">From its establishment in 1984 to 2000, </w:t>
      </w:r>
      <w:r w:rsidRPr="009C48DA" w:rsidR="00BB773E">
        <w:rPr>
          <w:rFonts w:eastAsia="Calibri" w:cs="Arial"/>
          <w:szCs w:val="20"/>
          <w:lang w:val="en-GB"/>
        </w:rPr>
        <w:t xml:space="preserve">Bridgepoint </w:t>
      </w:r>
      <w:r w:rsidRPr="009C48DA">
        <w:rPr>
          <w:lang w:val="en-GB"/>
        </w:rPr>
        <w:t xml:space="preserve">operated as a subsidiary of NatWest Group, a UK banking group. During the 1990s, </w:t>
      </w:r>
      <w:r w:rsidRPr="009C48DA" w:rsidR="00BB773E">
        <w:rPr>
          <w:rFonts w:eastAsia="Calibri" w:cs="Arial"/>
          <w:szCs w:val="20"/>
          <w:lang w:val="en-GB"/>
        </w:rPr>
        <w:t xml:space="preserve">Bridgepoint </w:t>
      </w:r>
      <w:r w:rsidRPr="009C48DA">
        <w:rPr>
          <w:lang w:val="en-GB"/>
        </w:rPr>
        <w:t xml:space="preserve">gradually increased the proportion of assets under management coming from external investors and in 1998 it raised </w:t>
      </w:r>
      <w:r w:rsidRPr="009C48DA" w:rsidR="00BB773E">
        <w:rPr>
          <w:rFonts w:eastAsia="Calibri" w:cs="Arial"/>
          <w:szCs w:val="20"/>
          <w:lang w:val="en-GB"/>
        </w:rPr>
        <w:t xml:space="preserve">Bridgepoint </w:t>
      </w:r>
      <w:r w:rsidRPr="009C48DA">
        <w:rPr>
          <w:lang w:val="en-GB"/>
        </w:rPr>
        <w:t>Europe I, its first external fund, with commitments of £1.0 billion.</w:t>
      </w:r>
    </w:p>
    <w:p w:rsidRPr="009C48DA" w:rsidR="001C3CEC" w:rsidP="0002759F" w:rsidRDefault="001C3CEC" w14:paraId="5F1B6F7D" w14:textId="0A85325C">
      <w:pPr>
        <w:pStyle w:val="BodyText2SglJ"/>
        <w:rPr>
          <w:lang w:val="en-GB"/>
        </w:rPr>
      </w:pPr>
      <w:r w:rsidRPr="009C48DA">
        <w:rPr>
          <w:lang w:val="en-GB"/>
        </w:rPr>
        <w:t xml:space="preserve">In June 2000, </w:t>
      </w:r>
      <w:r w:rsidRPr="009C48DA" w:rsidR="00BB773E">
        <w:rPr>
          <w:rFonts w:eastAsia="Calibri" w:cs="Arial"/>
          <w:szCs w:val="20"/>
          <w:lang w:val="en-GB"/>
        </w:rPr>
        <w:t xml:space="preserve">Bridgepoint </w:t>
      </w:r>
      <w:r w:rsidRPr="009C48DA">
        <w:rPr>
          <w:lang w:val="en-GB"/>
        </w:rPr>
        <w:t xml:space="preserve">and its employees completed the acquisition of the management company of the </w:t>
      </w:r>
      <w:r w:rsidRPr="009C48DA" w:rsidR="00BB773E">
        <w:rPr>
          <w:rFonts w:eastAsia="Calibri" w:cs="Arial"/>
          <w:szCs w:val="20"/>
          <w:lang w:val="en-GB"/>
        </w:rPr>
        <w:t xml:space="preserve">Bridgepoint </w:t>
      </w:r>
      <w:r w:rsidRPr="009C48DA">
        <w:rPr>
          <w:lang w:val="en-GB"/>
        </w:rPr>
        <w:t>business from the NatWest Group. The transaction also included the sale of NatWest Group’s interests in the underlying fund portfolio to a syndicate of new, high</w:t>
      </w:r>
      <w:r w:rsidRPr="009C48DA" w:rsidR="00E76773">
        <w:rPr>
          <w:lang w:val="en-GB"/>
        </w:rPr>
        <w:t>-</w:t>
      </w:r>
      <w:r w:rsidRPr="009C48DA">
        <w:rPr>
          <w:lang w:val="en-GB"/>
        </w:rPr>
        <w:t>quality, investors.</w:t>
      </w:r>
    </w:p>
    <w:p w:rsidRPr="009C48DA" w:rsidR="001C3CEC" w:rsidP="0002759F" w:rsidRDefault="001C3CEC" w14:paraId="3A90F570" w14:textId="530F74A1">
      <w:pPr>
        <w:pStyle w:val="BodyText2SglJ"/>
        <w:rPr>
          <w:lang w:val="en-GB"/>
        </w:rPr>
      </w:pPr>
      <w:r w:rsidRPr="009C48DA">
        <w:rPr>
          <w:lang w:val="en-GB"/>
        </w:rPr>
        <w:t xml:space="preserve">Since June 2000, the Group’s business has been majority-owned by partners and employees of the Group. This broad share ownership is important to </w:t>
      </w:r>
      <w:r w:rsidRPr="009C48DA" w:rsidR="006D5BFE">
        <w:rPr>
          <w:lang w:val="en-GB"/>
        </w:rPr>
        <w:t>Bridgepoint</w:t>
      </w:r>
      <w:r w:rsidRPr="009C48DA">
        <w:rPr>
          <w:lang w:val="en-GB"/>
        </w:rPr>
        <w:t xml:space="preserve">’s success and culture. Partners, Directors and long-serving employees are shareholders, </w:t>
      </w:r>
      <w:r w:rsidRPr="009C48DA" w:rsidR="00F622C3">
        <w:rPr>
          <w:lang w:val="en-GB"/>
        </w:rPr>
        <w:t>with 133 employees and their families making up the majority of the shareholder base as of the date of this Registration Document</w:t>
      </w:r>
      <w:r w:rsidRPr="009C48DA">
        <w:rPr>
          <w:lang w:val="en-GB"/>
        </w:rPr>
        <w:t>. The Group has regularly increased the shareholder base to reflect promotions and new joiners in order to incentivise and align current and futur</w:t>
      </w:r>
      <w:r w:rsidRPr="009C48DA" w:rsidR="00A357F1">
        <w:rPr>
          <w:lang w:val="en-GB"/>
        </w:rPr>
        <w:t xml:space="preserve">e cohorts of senior employees. </w:t>
      </w:r>
      <w:r w:rsidRPr="009C48DA">
        <w:rPr>
          <w:lang w:val="en-GB"/>
        </w:rPr>
        <w:t xml:space="preserve">Post completion of </w:t>
      </w:r>
      <w:r w:rsidRPr="009C48DA" w:rsidR="00480351">
        <w:rPr>
          <w:lang w:val="en-GB"/>
        </w:rPr>
        <w:t>the</w:t>
      </w:r>
      <w:r w:rsidRPr="009C48DA" w:rsidR="00A357F1">
        <w:rPr>
          <w:lang w:val="en-GB"/>
        </w:rPr>
        <w:t xml:space="preserve"> </w:t>
      </w:r>
      <w:r w:rsidRPr="009C48DA" w:rsidR="00A977CF">
        <w:rPr>
          <w:lang w:val="en-GB"/>
        </w:rPr>
        <w:t>potential initial public offering</w:t>
      </w:r>
      <w:r w:rsidRPr="009C48DA">
        <w:rPr>
          <w:lang w:val="en-GB"/>
        </w:rPr>
        <w:t xml:space="preserve">, employee shareholders </w:t>
      </w:r>
      <w:r w:rsidRPr="009C48DA" w:rsidR="00A357F1">
        <w:rPr>
          <w:lang w:val="en-GB"/>
        </w:rPr>
        <w:t xml:space="preserve">are expected to </w:t>
      </w:r>
      <w:r w:rsidRPr="009C48DA">
        <w:rPr>
          <w:lang w:val="en-GB"/>
        </w:rPr>
        <w:t xml:space="preserve">continue to own a majority of the </w:t>
      </w:r>
      <w:r w:rsidRPr="009C48DA" w:rsidR="00A977CF">
        <w:rPr>
          <w:lang w:val="en-GB"/>
        </w:rPr>
        <w:t xml:space="preserve">Company’s </w:t>
      </w:r>
      <w:r w:rsidRPr="009C48DA">
        <w:rPr>
          <w:lang w:val="en-GB"/>
        </w:rPr>
        <w:t xml:space="preserve">shares in issue, </w:t>
      </w:r>
      <w:r w:rsidRPr="009C48DA" w:rsidR="006E7F4C">
        <w:rPr>
          <w:lang w:val="en-GB"/>
        </w:rPr>
        <w:t>with share based arrangements which will provide the Group with the ability to incentivise employees and maintain the Group’s culture of employee ownership.</w:t>
      </w:r>
    </w:p>
    <w:p w:rsidRPr="009C48DA" w:rsidR="001C3CEC" w:rsidP="0002759F" w:rsidRDefault="001C3CEC" w14:paraId="66249A29" w14:textId="48DBF89E">
      <w:pPr>
        <w:pStyle w:val="BodyText2SglJ"/>
        <w:rPr>
          <w:lang w:val="en-GB"/>
        </w:rPr>
      </w:pPr>
      <w:r w:rsidRPr="009C48DA">
        <w:rPr>
          <w:lang w:val="en-GB"/>
        </w:rPr>
        <w:t>As a business that is largely owned by its employees, the Group has implemented and continually evolved an investment strategy emphasising active ownership and business transformations to drive high</w:t>
      </w:r>
      <w:r w:rsidRPr="009C48DA" w:rsidR="00134E14">
        <w:rPr>
          <w:lang w:val="en-GB"/>
        </w:rPr>
        <w:noBreakHyphen/>
      </w:r>
      <w:r w:rsidRPr="009C48DA">
        <w:rPr>
          <w:lang w:val="en-GB"/>
        </w:rPr>
        <w:t>quality risk-adjusted returns and low volatility regardless of the external environment.</w:t>
      </w:r>
    </w:p>
    <w:p w:rsidRPr="009C48DA" w:rsidR="001C3CEC" w:rsidP="0002759F" w:rsidRDefault="001C3CEC" w14:paraId="253AF3E2" w14:textId="538BA40D">
      <w:pPr>
        <w:pStyle w:val="BodyText2SglJ"/>
        <w:rPr>
          <w:lang w:val="en-GB"/>
        </w:rPr>
      </w:pPr>
      <w:r w:rsidRPr="009C48DA">
        <w:rPr>
          <w:lang w:val="en-GB"/>
        </w:rPr>
        <w:t xml:space="preserve">Since the Group’s independence from the NatWest Group, </w:t>
      </w:r>
      <w:r w:rsidRPr="009C48DA" w:rsidR="00BB773E">
        <w:rPr>
          <w:rFonts w:eastAsia="Calibri" w:cs="Arial"/>
          <w:szCs w:val="20"/>
          <w:lang w:val="en-GB"/>
        </w:rPr>
        <w:t xml:space="preserve">Bridgepoint </w:t>
      </w:r>
      <w:r w:rsidRPr="009C48DA">
        <w:rPr>
          <w:lang w:val="en-GB"/>
        </w:rPr>
        <w:t>has diversified and scaled its platform, expanding its office footprint to 10 locations and building on its strong foundations in Europe to create a global platform through the establishment of offices in North America and China.</w:t>
      </w:r>
    </w:p>
    <w:p w:rsidRPr="009C48DA" w:rsidR="001C3CEC" w:rsidP="0002759F" w:rsidRDefault="001C3CEC" w14:paraId="61AAE889" w14:textId="289E4333">
      <w:pPr>
        <w:pStyle w:val="BodyText2SglJ"/>
        <w:rPr>
          <w:lang w:val="en-GB"/>
        </w:rPr>
      </w:pPr>
      <w:r w:rsidRPr="009C48DA">
        <w:rPr>
          <w:lang w:val="en-GB"/>
        </w:rPr>
        <w:t xml:space="preserve">In the Group’s flagship </w:t>
      </w:r>
      <w:r w:rsidRPr="009C48DA" w:rsidR="00BB773E">
        <w:rPr>
          <w:rFonts w:eastAsia="Calibri" w:cs="Arial"/>
          <w:szCs w:val="20"/>
          <w:lang w:val="en-GB"/>
        </w:rPr>
        <w:t xml:space="preserve">Bridgepoint </w:t>
      </w:r>
      <w:r w:rsidRPr="009C48DA">
        <w:rPr>
          <w:lang w:val="en-GB"/>
        </w:rPr>
        <w:t xml:space="preserve">Europe strategy, </w:t>
      </w:r>
      <w:r w:rsidRPr="009C48DA" w:rsidR="00BB773E">
        <w:rPr>
          <w:rFonts w:eastAsia="Calibri" w:cs="Arial"/>
          <w:szCs w:val="20"/>
          <w:lang w:val="en-GB"/>
        </w:rPr>
        <w:t xml:space="preserve">Bridgepoint </w:t>
      </w:r>
      <w:r w:rsidRPr="009C48DA">
        <w:rPr>
          <w:lang w:val="en-GB"/>
        </w:rPr>
        <w:t xml:space="preserve">raised </w:t>
      </w:r>
      <w:r w:rsidRPr="009C48DA" w:rsidR="00BB773E">
        <w:rPr>
          <w:rFonts w:eastAsia="Calibri" w:cs="Arial"/>
          <w:szCs w:val="20"/>
          <w:lang w:val="en-GB"/>
        </w:rPr>
        <w:t xml:space="preserve">Bridgepoint </w:t>
      </w:r>
      <w:r w:rsidRPr="009C48DA">
        <w:rPr>
          <w:lang w:val="en-GB"/>
        </w:rPr>
        <w:t xml:space="preserve">Europe II (aggregate commitments of €2.0 billion) in 2001, </w:t>
      </w:r>
      <w:r w:rsidRPr="009C48DA" w:rsidR="00BB773E">
        <w:rPr>
          <w:rFonts w:eastAsia="Calibri" w:cs="Arial"/>
          <w:szCs w:val="20"/>
          <w:lang w:val="en-GB"/>
        </w:rPr>
        <w:t xml:space="preserve">Bridgepoint </w:t>
      </w:r>
      <w:r w:rsidRPr="009C48DA">
        <w:rPr>
          <w:lang w:val="en-GB"/>
        </w:rPr>
        <w:t>Europe III (aggregate commitments of €2.5</w:t>
      </w:r>
      <w:r w:rsidRPr="009C48DA" w:rsidR="00134E14">
        <w:rPr>
          <w:lang w:val="en-GB"/>
        </w:rPr>
        <w:t> </w:t>
      </w:r>
      <w:r w:rsidRPr="009C48DA">
        <w:rPr>
          <w:lang w:val="en-GB"/>
        </w:rPr>
        <w:t xml:space="preserve">billion) in 2005, </w:t>
      </w:r>
      <w:r w:rsidRPr="009C48DA" w:rsidR="00BB773E">
        <w:rPr>
          <w:rFonts w:eastAsia="Calibri" w:cs="Arial"/>
          <w:szCs w:val="20"/>
          <w:lang w:val="en-GB"/>
        </w:rPr>
        <w:t xml:space="preserve">Bridgepoint </w:t>
      </w:r>
      <w:r w:rsidRPr="009C48DA">
        <w:rPr>
          <w:lang w:val="en-GB"/>
        </w:rPr>
        <w:t xml:space="preserve">Europe IV (aggregate commitments of €4.8 billion) in 2008, </w:t>
      </w:r>
      <w:r w:rsidRPr="009C48DA" w:rsidR="00BB773E">
        <w:rPr>
          <w:rFonts w:eastAsia="Calibri" w:cs="Arial"/>
          <w:szCs w:val="20"/>
          <w:lang w:val="en-GB"/>
        </w:rPr>
        <w:t xml:space="preserve">Bridgepoint </w:t>
      </w:r>
      <w:r w:rsidRPr="009C48DA">
        <w:rPr>
          <w:lang w:val="en-GB"/>
        </w:rPr>
        <w:t xml:space="preserve">Europe V (aggregate commitments of €4.0 billion) in 2014, and </w:t>
      </w:r>
      <w:r w:rsidRPr="009C48DA" w:rsidR="00BB773E">
        <w:rPr>
          <w:rFonts w:eastAsia="Calibri" w:cs="Arial"/>
          <w:szCs w:val="20"/>
          <w:lang w:val="en-GB"/>
        </w:rPr>
        <w:t xml:space="preserve">Bridgepoint </w:t>
      </w:r>
      <w:r w:rsidRPr="009C48DA">
        <w:rPr>
          <w:lang w:val="en-GB"/>
        </w:rPr>
        <w:t>Europe VI (aggregate commitments of €5.8 billion) in 2017, representing an average 49 per cent increase in successor fund size versus the previous fund.</w:t>
      </w:r>
      <w:r w:rsidRPr="009C48DA" w:rsidDel="001D767C">
        <w:rPr>
          <w:lang w:val="en-GB"/>
        </w:rPr>
        <w:t xml:space="preserve"> </w:t>
      </w:r>
      <w:r w:rsidRPr="009C48DA">
        <w:rPr>
          <w:lang w:val="en-GB"/>
        </w:rPr>
        <w:t xml:space="preserve">As of 31 March 2021, approximately 78 per cent of </w:t>
      </w:r>
      <w:r w:rsidRPr="009C48DA" w:rsidR="00BB773E">
        <w:rPr>
          <w:rFonts w:eastAsia="Calibri" w:cs="Arial"/>
          <w:szCs w:val="20"/>
          <w:lang w:val="en-GB"/>
        </w:rPr>
        <w:t xml:space="preserve">Bridgepoint </w:t>
      </w:r>
      <w:r w:rsidRPr="009C48DA">
        <w:rPr>
          <w:lang w:val="en-GB"/>
        </w:rPr>
        <w:t xml:space="preserve">Europe VI’s primary capital was deployed, and </w:t>
      </w:r>
      <w:r w:rsidRPr="009C48DA" w:rsidR="007A1A68">
        <w:rPr>
          <w:lang w:val="en-GB"/>
        </w:rPr>
        <w:t xml:space="preserve">the </w:t>
      </w:r>
      <w:r w:rsidRPr="009C48DA" w:rsidR="00FA6470">
        <w:rPr>
          <w:lang w:val="en-GB"/>
        </w:rPr>
        <w:t>Group therefore expect</w:t>
      </w:r>
      <w:r w:rsidRPr="009C48DA" w:rsidR="007A1A68">
        <w:rPr>
          <w:lang w:val="en-GB"/>
        </w:rPr>
        <w:t>s</w:t>
      </w:r>
      <w:r w:rsidRPr="009C48DA" w:rsidR="00FA6470">
        <w:rPr>
          <w:lang w:val="en-GB"/>
        </w:rPr>
        <w:t xml:space="preserve"> </w:t>
      </w:r>
      <w:r w:rsidRPr="009C48DA">
        <w:rPr>
          <w:lang w:val="en-GB"/>
        </w:rPr>
        <w:t xml:space="preserve">to commence fundraising for the next generation flagship </w:t>
      </w:r>
      <w:r w:rsidRPr="009C48DA" w:rsidR="00BB773E">
        <w:rPr>
          <w:rFonts w:eastAsia="Calibri" w:cs="Arial"/>
          <w:szCs w:val="20"/>
          <w:lang w:val="en-GB"/>
        </w:rPr>
        <w:t xml:space="preserve">Bridgepoint </w:t>
      </w:r>
      <w:r w:rsidRPr="009C48DA">
        <w:rPr>
          <w:lang w:val="en-GB"/>
        </w:rPr>
        <w:t xml:space="preserve">Europe fund, </w:t>
      </w:r>
      <w:r w:rsidRPr="009C48DA" w:rsidR="00BB773E">
        <w:rPr>
          <w:rFonts w:eastAsia="Calibri" w:cs="Arial"/>
          <w:szCs w:val="20"/>
          <w:lang w:val="en-GB"/>
        </w:rPr>
        <w:t xml:space="preserve">Bridgepoint </w:t>
      </w:r>
      <w:r w:rsidRPr="009C48DA">
        <w:rPr>
          <w:lang w:val="en-GB"/>
        </w:rPr>
        <w:t>Europe VII</w:t>
      </w:r>
      <w:r w:rsidRPr="009C48DA" w:rsidR="007A1A68">
        <w:rPr>
          <w:lang w:val="en-GB"/>
        </w:rPr>
        <w:t>, imminently</w:t>
      </w:r>
      <w:r w:rsidRPr="009C48DA">
        <w:rPr>
          <w:lang w:val="en-GB"/>
        </w:rPr>
        <w:t>.</w:t>
      </w:r>
    </w:p>
    <w:p w:rsidRPr="009C48DA" w:rsidR="001C3CEC" w:rsidP="0002759F" w:rsidRDefault="001C3CEC" w14:paraId="74A7BBE3" w14:textId="073386FA">
      <w:pPr>
        <w:pStyle w:val="BodyText2SglJ"/>
        <w:rPr>
          <w:lang w:val="en-GB"/>
        </w:rPr>
      </w:pPr>
      <w:r w:rsidRPr="009C48DA">
        <w:rPr>
          <w:lang w:val="en-GB"/>
        </w:rPr>
        <w:t xml:space="preserve">The Group’s market position was enhanced with the acquisition of Hermes’ direct investment platform in the UK in 2009. The acquired business was rebranded to </w:t>
      </w:r>
      <w:r w:rsidRPr="009C48DA" w:rsidR="00BB773E">
        <w:rPr>
          <w:rFonts w:eastAsia="Calibri" w:cs="Arial"/>
          <w:szCs w:val="20"/>
          <w:lang w:val="en-GB"/>
        </w:rPr>
        <w:t xml:space="preserve">Bridgepoint </w:t>
      </w:r>
      <w:r w:rsidRPr="009C48DA">
        <w:rPr>
          <w:lang w:val="en-GB"/>
        </w:rPr>
        <w:t xml:space="preserve">Development Capital, followed by an expansion into France and Northern Europe. In 2014, </w:t>
      </w:r>
      <w:r w:rsidRPr="009C48DA" w:rsidR="00BB773E">
        <w:rPr>
          <w:rFonts w:eastAsia="Calibri" w:cs="Arial"/>
          <w:szCs w:val="20"/>
          <w:lang w:val="en-GB"/>
        </w:rPr>
        <w:t xml:space="preserve">Bridgepoint </w:t>
      </w:r>
      <w:r w:rsidRPr="009C48DA">
        <w:rPr>
          <w:lang w:val="en-GB"/>
        </w:rPr>
        <w:t>acquired the management company of two lower</w:t>
      </w:r>
      <w:r w:rsidRPr="009C48DA" w:rsidR="007A03DC">
        <w:rPr>
          <w:lang w:val="en-GB"/>
        </w:rPr>
        <w:t xml:space="preserve"> </w:t>
      </w:r>
      <w:r w:rsidRPr="009C48DA">
        <w:rPr>
          <w:lang w:val="en-GB"/>
        </w:rPr>
        <w:t xml:space="preserve">middle market funds in France, previously managed by Edmond de Rothschild Capital Partners, and the team of five investment professionals was integrated into the </w:t>
      </w:r>
      <w:r w:rsidRPr="009C48DA" w:rsidR="00BB773E">
        <w:rPr>
          <w:rFonts w:eastAsia="Calibri" w:cs="Arial"/>
          <w:szCs w:val="20"/>
          <w:lang w:val="en-GB"/>
        </w:rPr>
        <w:t xml:space="preserve">Bridgepoint </w:t>
      </w:r>
      <w:r w:rsidRPr="009C48DA">
        <w:rPr>
          <w:lang w:val="en-GB"/>
        </w:rPr>
        <w:t xml:space="preserve">Development Capital team based in Paris. Significant value has since been created and the acquisition materially enhanced </w:t>
      </w:r>
      <w:r w:rsidRPr="009C48DA" w:rsidR="00BB773E">
        <w:rPr>
          <w:rFonts w:eastAsia="Calibri" w:cs="Arial"/>
          <w:szCs w:val="20"/>
          <w:lang w:val="en-GB"/>
        </w:rPr>
        <w:t xml:space="preserve">Bridgepoint </w:t>
      </w:r>
      <w:r w:rsidRPr="009C48DA">
        <w:rPr>
          <w:lang w:val="en-GB"/>
        </w:rPr>
        <w:t xml:space="preserve">Development Capital’s market position in France. </w:t>
      </w:r>
    </w:p>
    <w:p w:rsidRPr="009C48DA" w:rsidR="001C3CEC" w:rsidP="0002759F" w:rsidRDefault="00BB773E" w14:paraId="61DFF7C9" w14:textId="6569B184">
      <w:pPr>
        <w:pStyle w:val="BodyText2SglJ"/>
        <w:rPr>
          <w:lang w:val="en-GB"/>
        </w:rPr>
      </w:pPr>
      <w:r w:rsidRPr="009C48DA">
        <w:rPr>
          <w:rFonts w:eastAsia="Calibri" w:cs="Arial"/>
          <w:szCs w:val="20"/>
          <w:lang w:val="en-GB"/>
        </w:rPr>
        <w:t xml:space="preserve">Bridgepoint </w:t>
      </w:r>
      <w:r w:rsidRPr="009C48DA" w:rsidR="001C3CEC">
        <w:rPr>
          <w:lang w:val="en-GB"/>
        </w:rPr>
        <w:t xml:space="preserve">Development Capital has benefitted significantly from the Group’s existing presence and resources and has expanded the Group’s market and sector coverage and its industrial networks. </w:t>
      </w:r>
      <w:r w:rsidRPr="009C48DA">
        <w:rPr>
          <w:rFonts w:eastAsia="Calibri" w:cs="Arial"/>
          <w:szCs w:val="20"/>
          <w:lang w:val="en-GB"/>
        </w:rPr>
        <w:t xml:space="preserve">Bridgepoint </w:t>
      </w:r>
      <w:r w:rsidRPr="009C48DA" w:rsidR="001C3CEC">
        <w:rPr>
          <w:lang w:val="en-GB"/>
        </w:rPr>
        <w:t>Development Capital, the Group’s lower</w:t>
      </w:r>
      <w:r w:rsidRPr="009C48DA" w:rsidR="007A03DC">
        <w:rPr>
          <w:lang w:val="en-GB"/>
        </w:rPr>
        <w:t xml:space="preserve"> </w:t>
      </w:r>
      <w:r w:rsidRPr="009C48DA" w:rsidR="001C3CEC">
        <w:rPr>
          <w:lang w:val="en-GB"/>
        </w:rPr>
        <w:t xml:space="preserve">middle market buyout strategy, has raised three funds </w:t>
      </w:r>
      <w:r w:rsidRPr="009C48DA" w:rsidR="007A03DC">
        <w:rPr>
          <w:lang w:val="en-GB"/>
        </w:rPr>
        <w:t>as of the date of this Registration Document</w:t>
      </w:r>
      <w:r w:rsidRPr="009C48DA" w:rsidR="001C3CEC">
        <w:rPr>
          <w:lang w:val="en-GB"/>
        </w:rPr>
        <w:t xml:space="preserve">, in addition to </w:t>
      </w:r>
      <w:r w:rsidRPr="009C48DA">
        <w:rPr>
          <w:rFonts w:eastAsia="Calibri" w:cs="Arial"/>
          <w:szCs w:val="20"/>
          <w:lang w:val="en-GB"/>
        </w:rPr>
        <w:t xml:space="preserve">Bridgepoint </w:t>
      </w:r>
      <w:r w:rsidRPr="009C48DA" w:rsidR="001C3CEC">
        <w:rPr>
          <w:lang w:val="en-GB"/>
        </w:rPr>
        <w:t xml:space="preserve">Development Capital I (aggregate commitments of £300 million) which was rebranded following the acquisition of the Hermes direct investment platform: </w:t>
      </w:r>
      <w:r w:rsidRPr="009C48DA">
        <w:rPr>
          <w:rFonts w:eastAsia="Calibri" w:cs="Arial"/>
          <w:szCs w:val="20"/>
          <w:lang w:val="en-GB"/>
        </w:rPr>
        <w:t xml:space="preserve">Bridgepoint </w:t>
      </w:r>
      <w:r w:rsidRPr="009C48DA" w:rsidR="001C3CEC">
        <w:rPr>
          <w:lang w:val="en-GB"/>
        </w:rPr>
        <w:t xml:space="preserve">Development Capital II in 2012 (aggregate commitments of €353 million), </w:t>
      </w:r>
      <w:r w:rsidRPr="009C48DA">
        <w:rPr>
          <w:rFonts w:eastAsia="Calibri" w:cs="Arial"/>
          <w:szCs w:val="20"/>
          <w:lang w:val="en-GB"/>
        </w:rPr>
        <w:t xml:space="preserve">Bridgepoint </w:t>
      </w:r>
      <w:r w:rsidRPr="009C48DA" w:rsidR="001C3CEC">
        <w:rPr>
          <w:lang w:val="en-GB"/>
        </w:rPr>
        <w:t xml:space="preserve">Development Capital III in 2016 (aggregate commitments of £605 million) and </w:t>
      </w:r>
      <w:r w:rsidRPr="009C48DA">
        <w:rPr>
          <w:rFonts w:eastAsia="Calibri" w:cs="Arial"/>
          <w:szCs w:val="20"/>
          <w:lang w:val="en-GB"/>
        </w:rPr>
        <w:t xml:space="preserve">Bridgepoint </w:t>
      </w:r>
      <w:r w:rsidRPr="009C48DA" w:rsidR="001C3CEC">
        <w:rPr>
          <w:lang w:val="en-GB"/>
        </w:rPr>
        <w:t xml:space="preserve">Development Capital IV in 2020 (aggregate commitments of £1.56 billion). </w:t>
      </w:r>
    </w:p>
    <w:p w:rsidRPr="009C48DA" w:rsidR="001C3CEC" w:rsidP="0002759F" w:rsidRDefault="00BB773E" w14:paraId="6831D1D4" w14:textId="1425C8D9">
      <w:pPr>
        <w:pStyle w:val="BodyText2SglJ"/>
        <w:rPr>
          <w:lang w:val="en-GB"/>
        </w:rPr>
      </w:pPr>
      <w:r w:rsidRPr="009C48DA">
        <w:rPr>
          <w:rFonts w:eastAsia="Calibri" w:cs="Arial"/>
          <w:szCs w:val="20"/>
          <w:lang w:val="en-GB"/>
        </w:rPr>
        <w:t xml:space="preserve">Bridgepoint </w:t>
      </w:r>
      <w:r w:rsidRPr="009C48DA" w:rsidR="001C3CEC">
        <w:rPr>
          <w:lang w:val="en-GB"/>
        </w:rPr>
        <w:t xml:space="preserve">Growth, the Group’s third private equity investment strategy, focuses on earlier stage investments with enterprise values </w:t>
      </w:r>
      <w:r w:rsidRPr="009C48DA" w:rsidR="003E1653">
        <w:rPr>
          <w:lang w:val="en-GB"/>
        </w:rPr>
        <w:t xml:space="preserve">typically </w:t>
      </w:r>
      <w:r w:rsidRPr="009C48DA" w:rsidR="001C3CEC">
        <w:rPr>
          <w:lang w:val="en-GB"/>
        </w:rPr>
        <w:t xml:space="preserve">up to £30 million and has raised its first fund, </w:t>
      </w:r>
      <w:r w:rsidRPr="009C48DA">
        <w:rPr>
          <w:rFonts w:eastAsia="Calibri" w:cs="Arial"/>
          <w:szCs w:val="20"/>
          <w:lang w:val="en-GB"/>
        </w:rPr>
        <w:t xml:space="preserve">Bridgepoint </w:t>
      </w:r>
      <w:r w:rsidRPr="009C48DA" w:rsidR="001C3CEC">
        <w:rPr>
          <w:lang w:val="en-GB"/>
        </w:rPr>
        <w:t xml:space="preserve">Growth I, in 2017 with aggregate commitments of £105 million, and </w:t>
      </w:r>
      <w:r w:rsidRPr="009C48DA" w:rsidR="00FA6470">
        <w:rPr>
          <w:lang w:val="en-GB"/>
        </w:rPr>
        <w:t xml:space="preserve">the Group expects to </w:t>
      </w:r>
      <w:r w:rsidRPr="009C48DA" w:rsidR="001C3CEC">
        <w:rPr>
          <w:lang w:val="en-GB"/>
        </w:rPr>
        <w:t xml:space="preserve">shortly launch a fundraise for its second fund, </w:t>
      </w:r>
      <w:r w:rsidRPr="009C48DA">
        <w:rPr>
          <w:rFonts w:eastAsia="Calibri" w:cs="Arial"/>
          <w:szCs w:val="20"/>
          <w:lang w:val="en-GB"/>
        </w:rPr>
        <w:t xml:space="preserve">Bridgepoint </w:t>
      </w:r>
      <w:r w:rsidRPr="009C48DA" w:rsidR="001C3CEC">
        <w:rPr>
          <w:lang w:val="en-GB"/>
        </w:rPr>
        <w:t xml:space="preserve">Growth II. Together, these </w:t>
      </w:r>
      <w:r w:rsidRPr="009C48DA">
        <w:rPr>
          <w:rFonts w:eastAsia="Calibri" w:cs="Arial"/>
          <w:szCs w:val="20"/>
          <w:lang w:val="en-GB"/>
        </w:rPr>
        <w:t xml:space="preserve">Bridgepoint </w:t>
      </w:r>
      <w:r w:rsidRPr="009C48DA" w:rsidR="001C3CEC">
        <w:rPr>
          <w:lang w:val="en-GB"/>
        </w:rPr>
        <w:t xml:space="preserve">Funds deepen the Group’s broader corporate relationships (often through successful partnering with founders) across a wide range of </w:t>
      </w:r>
      <w:r w:rsidRPr="009C48DA" w:rsidR="001C3CEC">
        <w:rPr>
          <w:lang w:val="en-GB"/>
        </w:rPr>
        <w:lastRenderedPageBreak/>
        <w:t xml:space="preserve">asset sizes and market segments, creating access to a comprehensive set of investment opportunities (for example, minority transactions), enhanced sector knowledge and insight into developing investment themes. </w:t>
      </w:r>
    </w:p>
    <w:p w:rsidRPr="009C48DA" w:rsidR="001C3CEC" w:rsidP="0002759F" w:rsidRDefault="001C3CEC" w14:paraId="5A4B9CDD" w14:textId="5F5FBF50">
      <w:pPr>
        <w:pStyle w:val="BodyText2SglJ"/>
        <w:rPr>
          <w:lang w:val="en-GB"/>
        </w:rPr>
      </w:pPr>
      <w:r w:rsidRPr="009C48DA">
        <w:rPr>
          <w:lang w:val="en-GB"/>
        </w:rPr>
        <w:t xml:space="preserve">The Group diversified into private credit investing in 2016, with the launch of private credit as a separate segment of the Group’s operations and a direct lending strategy which was built through a combination of existing </w:t>
      </w:r>
      <w:r w:rsidRPr="009C48DA" w:rsidR="00BB773E">
        <w:rPr>
          <w:rFonts w:eastAsia="Calibri" w:cs="Arial"/>
          <w:szCs w:val="20"/>
          <w:lang w:val="en-GB"/>
        </w:rPr>
        <w:t xml:space="preserve">Bridgepoint </w:t>
      </w:r>
      <w:r w:rsidRPr="009C48DA">
        <w:rPr>
          <w:lang w:val="en-GB"/>
        </w:rPr>
        <w:t xml:space="preserve">team members and lateral hires in London and Paris. This strategy raised €1.3 billion of capital in total across two funds and a substantial separately managed account and has delivered strong performance with returns in line with target levels and no realised losses across </w:t>
      </w:r>
      <w:r w:rsidRPr="009C48DA" w:rsidR="00FF57E7">
        <w:rPr>
          <w:lang w:val="en-GB"/>
        </w:rPr>
        <w:t>approximately 50</w:t>
      </w:r>
      <w:r w:rsidRPr="009C48DA" w:rsidR="00E71A14">
        <w:rPr>
          <w:lang w:val="en-GB"/>
        </w:rPr>
        <w:t> </w:t>
      </w:r>
      <w:r w:rsidRPr="009C48DA">
        <w:rPr>
          <w:lang w:val="en-GB"/>
        </w:rPr>
        <w:t>completed i</w:t>
      </w:r>
      <w:r w:rsidRPr="009C48DA" w:rsidR="00FF57E7">
        <w:rPr>
          <w:lang w:val="en-GB"/>
        </w:rPr>
        <w:t>nvestments as of 31 March 2021.</w:t>
      </w:r>
    </w:p>
    <w:p w:rsidRPr="009C48DA" w:rsidR="001C3CEC" w:rsidP="0002759F" w:rsidRDefault="001C3CEC" w14:paraId="21CDA4E0" w14:textId="68225A74">
      <w:pPr>
        <w:pStyle w:val="BodyText2SglJ"/>
        <w:rPr>
          <w:lang w:val="en-GB"/>
        </w:rPr>
      </w:pPr>
      <w:r w:rsidRPr="009C48DA">
        <w:rPr>
          <w:lang w:val="en-GB"/>
        </w:rPr>
        <w:t>In 2018, Dyal</w:t>
      </w:r>
      <w:r w:rsidRPr="009C48DA" w:rsidR="00EE2752">
        <w:rPr>
          <w:lang w:val="en-GB"/>
        </w:rPr>
        <w:t xml:space="preserve"> Equity Funds</w:t>
      </w:r>
      <w:r w:rsidRPr="009C48DA">
        <w:rPr>
          <w:lang w:val="en-GB"/>
        </w:rPr>
        <w:t xml:space="preserve">, a leading fund specialising in acquiring minority stakes in alternative asset management firms, acquired a passive minority shareholding in the Group. This investment supported the continued expansion of the Group’s operating platform and provided significant further capital to reinforce the Group’s market position. </w:t>
      </w:r>
    </w:p>
    <w:p w:rsidRPr="009C48DA" w:rsidR="001C3CEC" w:rsidP="0002759F" w:rsidRDefault="001C3CEC" w14:paraId="693AF000" w14:textId="60A9143F">
      <w:pPr>
        <w:pStyle w:val="BodyText2SglJ"/>
        <w:rPr>
          <w:lang w:val="en-GB"/>
        </w:rPr>
      </w:pPr>
      <w:r w:rsidRPr="009C48DA">
        <w:rPr>
          <w:lang w:val="en-GB"/>
        </w:rPr>
        <w:t xml:space="preserve">The Group’s private credit strategy increased greatly in scale following </w:t>
      </w:r>
      <w:r w:rsidRPr="009C48DA" w:rsidR="006D5BFE">
        <w:rPr>
          <w:lang w:val="en-GB"/>
        </w:rPr>
        <w:t>Bridgepoint</w:t>
      </w:r>
      <w:r w:rsidRPr="009C48DA">
        <w:rPr>
          <w:lang w:val="en-GB"/>
        </w:rPr>
        <w:t xml:space="preserve">’s acquisition of EQT Credit in 2020. </w:t>
      </w:r>
      <w:r w:rsidRPr="009C48DA" w:rsidR="00DC7667">
        <w:rPr>
          <w:lang w:val="en-GB"/>
        </w:rPr>
        <w:t>EQT Credit</w:t>
      </w:r>
      <w:r w:rsidRPr="009C48DA">
        <w:rPr>
          <w:lang w:val="en-GB"/>
        </w:rPr>
        <w:t xml:space="preserve"> was successfully integrated into </w:t>
      </w:r>
      <w:r w:rsidRPr="009C48DA" w:rsidR="006D5BFE">
        <w:rPr>
          <w:lang w:val="en-GB"/>
        </w:rPr>
        <w:t>Bridgepoint</w:t>
      </w:r>
      <w:r w:rsidRPr="009C48DA">
        <w:rPr>
          <w:lang w:val="en-GB"/>
        </w:rPr>
        <w:t xml:space="preserve">’s business as </w:t>
      </w:r>
      <w:r w:rsidRPr="009C48DA" w:rsidR="00DC7667">
        <w:rPr>
          <w:lang w:val="en-GB"/>
        </w:rPr>
        <w:t>there was</w:t>
      </w:r>
      <w:r w:rsidRPr="009C48DA">
        <w:rPr>
          <w:lang w:val="en-GB"/>
        </w:rPr>
        <w:t xml:space="preserve"> no loss of Total AUM </w:t>
      </w:r>
      <w:r w:rsidRPr="009C48DA" w:rsidR="00DC7667">
        <w:rPr>
          <w:lang w:val="en-GB"/>
        </w:rPr>
        <w:t>as a result of</w:t>
      </w:r>
      <w:r w:rsidRPr="009C48DA">
        <w:rPr>
          <w:lang w:val="en-GB"/>
        </w:rPr>
        <w:t xml:space="preserve"> the acquisition </w:t>
      </w:r>
      <w:r w:rsidRPr="009C48DA" w:rsidR="00DC7667">
        <w:rPr>
          <w:lang w:val="en-GB"/>
        </w:rPr>
        <w:t>at the time of the completion of the transaction</w:t>
      </w:r>
      <w:r w:rsidRPr="009C48DA">
        <w:rPr>
          <w:lang w:val="en-GB"/>
        </w:rPr>
        <w:t xml:space="preserve">. As of 31 March 2021, </w:t>
      </w:r>
      <w:r w:rsidRPr="009C48DA" w:rsidR="00822115">
        <w:rPr>
          <w:lang w:val="en-GB"/>
        </w:rPr>
        <w:t>Bridgepoint</w:t>
      </w:r>
      <w:r w:rsidRPr="009C48DA">
        <w:rPr>
          <w:lang w:val="en-GB"/>
        </w:rPr>
        <w:t xml:space="preserve"> private credit managed €7.4 billion of Total AUM through its three key complementary strategies: </w:t>
      </w:r>
      <w:r w:rsidRPr="009C48DA" w:rsidR="00822115">
        <w:rPr>
          <w:lang w:val="en-GB"/>
        </w:rPr>
        <w:t xml:space="preserve">Bridgepoint </w:t>
      </w:r>
      <w:r w:rsidRPr="009C48DA">
        <w:rPr>
          <w:lang w:val="en-GB"/>
        </w:rPr>
        <w:t xml:space="preserve">Credit Opportunities, </w:t>
      </w:r>
      <w:r w:rsidRPr="009C48DA" w:rsidR="00822115">
        <w:rPr>
          <w:lang w:val="en-GB"/>
        </w:rPr>
        <w:t xml:space="preserve">Bridgepoint </w:t>
      </w:r>
      <w:r w:rsidRPr="009C48DA">
        <w:rPr>
          <w:lang w:val="en-GB"/>
        </w:rPr>
        <w:t xml:space="preserve">Direct Lending and </w:t>
      </w:r>
      <w:r w:rsidRPr="009C48DA" w:rsidR="00822115">
        <w:rPr>
          <w:lang w:val="en-GB"/>
        </w:rPr>
        <w:t xml:space="preserve">Bridgepoint </w:t>
      </w:r>
      <w:r w:rsidRPr="009C48DA">
        <w:rPr>
          <w:lang w:val="en-GB"/>
        </w:rPr>
        <w:t xml:space="preserve">Syndicated Debt (including CLOs). Following continued strong performance and investing momentum, </w:t>
      </w:r>
      <w:r w:rsidRPr="009C48DA" w:rsidR="00822115">
        <w:rPr>
          <w:lang w:val="en-GB"/>
        </w:rPr>
        <w:t xml:space="preserve">Bridgepoint </w:t>
      </w:r>
      <w:r w:rsidRPr="009C48DA">
        <w:rPr>
          <w:lang w:val="en-GB"/>
        </w:rPr>
        <w:t xml:space="preserve">is currently fundraising for all three private credit strategies and working on establishing </w:t>
      </w:r>
      <w:r w:rsidRPr="009C48DA" w:rsidR="00822115">
        <w:rPr>
          <w:lang w:val="en-GB"/>
        </w:rPr>
        <w:t xml:space="preserve">Bridgepoint </w:t>
      </w:r>
      <w:r w:rsidRPr="009C48DA">
        <w:rPr>
          <w:lang w:val="en-GB"/>
        </w:rPr>
        <w:t xml:space="preserve">Credit Opportunities IV, </w:t>
      </w:r>
      <w:r w:rsidRPr="009C48DA" w:rsidR="00822115">
        <w:rPr>
          <w:lang w:val="en-GB"/>
        </w:rPr>
        <w:t xml:space="preserve">Bridgepoint </w:t>
      </w:r>
      <w:r w:rsidRPr="009C48DA">
        <w:rPr>
          <w:lang w:val="en-GB"/>
        </w:rPr>
        <w:t xml:space="preserve">Direct Lending III and </w:t>
      </w:r>
      <w:r w:rsidRPr="009C48DA" w:rsidR="00822115">
        <w:rPr>
          <w:lang w:val="en-GB"/>
        </w:rPr>
        <w:t xml:space="preserve">Bridgepoint </w:t>
      </w:r>
      <w:r w:rsidRPr="009C48DA">
        <w:rPr>
          <w:lang w:val="en-GB"/>
        </w:rPr>
        <w:t>CLO II.</w:t>
      </w:r>
    </w:p>
    <w:p w:rsidRPr="009C48DA" w:rsidR="001C3CEC" w:rsidP="00FB185F" w:rsidRDefault="001C3CEC" w14:paraId="15162CE9" w14:textId="708AF82C">
      <w:pPr>
        <w:pStyle w:val="BodyText2SglJ"/>
        <w:keepNext/>
        <w:rPr>
          <w:lang w:val="en-GB"/>
        </w:rPr>
      </w:pPr>
      <w:r w:rsidRPr="009C48DA">
        <w:rPr>
          <w:lang w:val="en-GB"/>
        </w:rPr>
        <w:t>An overview of the key stages in the Group’s history is set out in the timeline below:</w:t>
      </w:r>
    </w:p>
    <w:p w:rsidRPr="009C48DA" w:rsidR="00C02148" w:rsidP="00C02148" w:rsidRDefault="001A3FD2" w14:paraId="1E5FB3A3" w14:textId="32A8B81F">
      <w:pPr>
        <w:pStyle w:val="BodyText2SglJ"/>
        <w:keepNext/>
        <w:ind w:firstLine="0"/>
        <w:rPr>
          <w:lang w:val="en-GB"/>
        </w:rPr>
      </w:pPr>
      <w:r w:rsidRPr="00C167FF">
        <w:rPr>
          <w:noProof/>
        </w:rPr>
        <w:drawing>
          <wp:inline distT="0" distB="0" distL="0" distR="0" wp14:anchorId="0DAC54B5" wp14:editId="56C35311">
            <wp:extent cx="5429250" cy="2001923"/>
            <wp:effectExtent l="0" t="0" r="0" b="0"/>
            <wp:docPr id="22" name="Picture 1" descr="" title="">
              <a:extLst xmlns:a="http://schemas.openxmlformats.org/drawingml/2006/main">
                <a:ext uri="{FF2B5EF4-FFF2-40B4-BE49-F238E27FC236}">
                  <a16:creationId xmlns:a16="http://schemas.microsoft.com/office/drawing/2014/main" id="{F1440DBA-4B35-406E-8C7A-5A4B88E503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1440DBA-4B35-406E-8C7A-5A4B88E50367}"/>
                        </a:ext>
                      </a:extLst>
                    </pic:cNvPr>
                    <pic:cNvPicPr>
                      <a:picLocks noChangeAspect="1"/>
                    </pic:cNvPicPr>
                  </pic:nvPicPr>
                  <pic:blipFill>
                    <a:blip r:embed="rId38"/>
                    <a:stretch>
                      <a:fillRect/>
                    </a:stretch>
                  </pic:blipFill>
                  <pic:spPr>
                    <a:xfrm>
                      <a:off x="0" y="0"/>
                      <a:ext cx="5429250" cy="2001923"/>
                    </a:xfrm>
                    <a:prstGeom prst="rect">
                      <a:avLst/>
                    </a:prstGeom>
                  </pic:spPr>
                </pic:pic>
              </a:graphicData>
            </a:graphic>
          </wp:inline>
        </w:drawing>
      </w:r>
    </w:p>
    <w:p w:rsidRPr="009C48DA" w:rsidR="001C3CEC" w:rsidP="0038502A" w:rsidRDefault="00C121D7" w14:paraId="4C889683" w14:textId="49BD82BB">
      <w:pPr>
        <w:pStyle w:val="TitleBAllCaps"/>
      </w:pPr>
      <w:r w:rsidRPr="009C48DA">
        <w:t xml:space="preserve">KEY STRENGTHS </w:t>
      </w:r>
    </w:p>
    <w:p w:rsidRPr="009C48DA" w:rsidR="001C3CEC" w:rsidP="00C121D7" w:rsidRDefault="001C3CEC" w14:paraId="2F0303B2" w14:textId="77777777">
      <w:pPr>
        <w:pStyle w:val="BodyText2SglJ"/>
        <w:keepNext/>
        <w:rPr>
          <w:lang w:val="en-GB"/>
        </w:rPr>
      </w:pPr>
      <w:r w:rsidRPr="009C48DA">
        <w:rPr>
          <w:lang w:val="en-GB"/>
        </w:rPr>
        <w:t>The Directors believe that the principal strengths of the Group are as follows:</w:t>
      </w:r>
    </w:p>
    <w:p w:rsidRPr="009C48DA" w:rsidR="001C3CEC" w:rsidP="00C121D7" w:rsidRDefault="00F8762E" w14:paraId="21B190EB" w14:textId="696C1534">
      <w:pPr>
        <w:pStyle w:val="STBBullet3"/>
        <w:rPr>
          <w:lang w:val="en-GB"/>
        </w:rPr>
      </w:pPr>
      <w:r w:rsidRPr="009C48DA">
        <w:rPr>
          <w:b/>
          <w:lang w:val="en-GB"/>
        </w:rPr>
        <w:t>The leading</w:t>
      </w:r>
      <w:r w:rsidRPr="009C48DA" w:rsidR="001C3CEC">
        <w:rPr>
          <w:b/>
          <w:lang w:val="en-GB"/>
        </w:rPr>
        <w:t xml:space="preserve"> middle market private </w:t>
      </w:r>
      <w:r w:rsidR="00A74803">
        <w:rPr>
          <w:b/>
          <w:lang w:val="en-GB"/>
        </w:rPr>
        <w:t>markets</w:t>
      </w:r>
      <w:r w:rsidRPr="009C48DA" w:rsidR="001C3CEC">
        <w:rPr>
          <w:b/>
          <w:lang w:val="en-GB"/>
        </w:rPr>
        <w:t xml:space="preserve"> firm in the world: </w:t>
      </w:r>
      <w:r w:rsidRPr="009C48DA" w:rsidR="00822115">
        <w:rPr>
          <w:lang w:val="en-GB"/>
        </w:rPr>
        <w:t xml:space="preserve">Bridgepoint </w:t>
      </w:r>
      <w:r w:rsidRPr="009C48DA" w:rsidR="001C3CEC">
        <w:rPr>
          <w:lang w:val="en-GB"/>
        </w:rPr>
        <w:t xml:space="preserve">is the leader in middle market investing, with a global reach </w:t>
      </w:r>
      <w:r w:rsidRPr="009C48DA" w:rsidR="00342097">
        <w:rPr>
          <w:lang w:val="en-GB"/>
        </w:rPr>
        <w:t>that leverages its strong</w:t>
      </w:r>
      <w:r w:rsidRPr="009C48DA" w:rsidR="00AB1B7F">
        <w:rPr>
          <w:lang w:val="en-GB"/>
        </w:rPr>
        <w:t xml:space="preserve"> </w:t>
      </w:r>
      <w:r w:rsidRPr="009C48DA" w:rsidR="00B41930">
        <w:rPr>
          <w:lang w:val="en-GB"/>
        </w:rPr>
        <w:t>pan</w:t>
      </w:r>
      <w:r w:rsidRPr="009C48DA" w:rsidR="00AB1B7F">
        <w:rPr>
          <w:lang w:val="en-GB"/>
        </w:rPr>
        <w:t>-</w:t>
      </w:r>
      <w:r w:rsidRPr="009C48DA" w:rsidR="004A2A93">
        <w:rPr>
          <w:lang w:val="en-GB"/>
        </w:rPr>
        <w:t xml:space="preserve">European footprint and </w:t>
      </w:r>
      <w:r w:rsidRPr="009C48DA" w:rsidR="006D5BFE">
        <w:rPr>
          <w:lang w:val="en-GB"/>
        </w:rPr>
        <w:t>Bridgepoint</w:t>
      </w:r>
      <w:r w:rsidRPr="009C48DA" w:rsidR="004A2A93">
        <w:rPr>
          <w:lang w:val="en-GB"/>
        </w:rPr>
        <w:t>’s</w:t>
      </w:r>
      <w:r w:rsidRPr="009C48DA" w:rsidR="001C3CEC">
        <w:rPr>
          <w:lang w:val="en-GB"/>
        </w:rPr>
        <w:t xml:space="preserve"> ability to deploy meaningful amounts of client capital across several well</w:t>
      </w:r>
      <w:r w:rsidRPr="009C48DA" w:rsidR="001C3CEC">
        <w:rPr>
          <w:caps/>
          <w:lang w:val="en-GB"/>
        </w:rPr>
        <w:noBreakHyphen/>
      </w:r>
      <w:r w:rsidRPr="009C48DA" w:rsidR="001C3CEC">
        <w:rPr>
          <w:lang w:val="en-GB"/>
        </w:rPr>
        <w:t>established strategies.</w:t>
      </w:r>
    </w:p>
    <w:p w:rsidRPr="009C48DA" w:rsidR="001C3CEC" w:rsidP="00B00240" w:rsidRDefault="001C3CEC" w14:paraId="34114543" w14:textId="2BBC6E3D">
      <w:pPr>
        <w:pStyle w:val="STBBullet3"/>
        <w:rPr>
          <w:lang w:val="en-GB"/>
        </w:rPr>
      </w:pPr>
      <w:r w:rsidRPr="009C48DA">
        <w:rPr>
          <w:b/>
          <w:lang w:val="en-GB"/>
        </w:rPr>
        <w:t>A performance</w:t>
      </w:r>
      <w:r w:rsidRPr="009C48DA">
        <w:rPr>
          <w:b/>
          <w:lang w:val="en-GB"/>
        </w:rPr>
        <w:noBreakHyphen/>
        <w:t xml:space="preserve">driven partnership culture: </w:t>
      </w:r>
      <w:r w:rsidRPr="009C48DA">
        <w:rPr>
          <w:lang w:val="en-GB"/>
        </w:rPr>
        <w:t>Led by a highly</w:t>
      </w:r>
      <w:r w:rsidRPr="009C48DA" w:rsidR="00DE493C">
        <w:rPr>
          <w:lang w:val="en-GB"/>
        </w:rPr>
        <w:t xml:space="preserve"> </w:t>
      </w:r>
      <w:r w:rsidRPr="009C48DA">
        <w:rPr>
          <w:lang w:val="en-GB"/>
        </w:rPr>
        <w:t xml:space="preserve">experienced management team, </w:t>
      </w:r>
      <w:r w:rsidRPr="009C48DA" w:rsidR="00822115">
        <w:rPr>
          <w:lang w:val="en-GB"/>
        </w:rPr>
        <w:t xml:space="preserve">Bridgepoint </w:t>
      </w:r>
      <w:r w:rsidRPr="009C48DA">
        <w:rPr>
          <w:lang w:val="en-GB"/>
        </w:rPr>
        <w:t xml:space="preserve">operates a performance-driven culture, borne out of its long heritage, which </w:t>
      </w:r>
      <w:r w:rsidRPr="009C48DA" w:rsidR="00080705">
        <w:rPr>
          <w:lang w:val="en-GB"/>
        </w:rPr>
        <w:t>lies behind its proven record of</w:t>
      </w:r>
      <w:r w:rsidRPr="009C48DA">
        <w:rPr>
          <w:lang w:val="en-GB"/>
        </w:rPr>
        <w:t xml:space="preserve"> attracting and retaining investment talent. </w:t>
      </w:r>
    </w:p>
    <w:p w:rsidRPr="009C48DA" w:rsidR="001C3CEC" w:rsidP="00C121D7" w:rsidRDefault="001C3CEC" w14:paraId="159AF688" w14:textId="1038F7D8">
      <w:pPr>
        <w:pStyle w:val="STBBullet3"/>
        <w:rPr>
          <w:lang w:val="en-GB"/>
        </w:rPr>
      </w:pPr>
      <w:r w:rsidRPr="009C48DA">
        <w:rPr>
          <w:b/>
          <w:lang w:val="en-GB"/>
        </w:rPr>
        <w:t xml:space="preserve">A highly attractive and growing industry: </w:t>
      </w:r>
      <w:r w:rsidRPr="009C48DA">
        <w:rPr>
          <w:lang w:val="en-GB"/>
        </w:rPr>
        <w:t xml:space="preserve">Private </w:t>
      </w:r>
      <w:r w:rsidRPr="009C48DA" w:rsidR="00F8762E">
        <w:rPr>
          <w:lang w:val="en-GB"/>
        </w:rPr>
        <w:t xml:space="preserve">market </w:t>
      </w:r>
      <w:r w:rsidRPr="009C48DA">
        <w:rPr>
          <w:lang w:val="en-GB"/>
        </w:rPr>
        <w:t>assets continue to grow rapidly as investors increase allocations to the asset class as a result of the search for yield in a low global interest rate environment and the continued strong and consistent performance of private markets asset classes.</w:t>
      </w:r>
    </w:p>
    <w:p w:rsidRPr="009C48DA" w:rsidR="001C3CEC" w:rsidP="00F8762E" w:rsidRDefault="001C3CEC" w14:paraId="74F0750D" w14:textId="1CF9E00B">
      <w:pPr>
        <w:pStyle w:val="STBBullet3"/>
        <w:rPr>
          <w:lang w:val="en-GB"/>
        </w:rPr>
      </w:pPr>
      <w:r w:rsidRPr="009C48DA">
        <w:rPr>
          <w:b/>
          <w:lang w:val="en-GB"/>
        </w:rPr>
        <w:lastRenderedPageBreak/>
        <w:t>Differentiated, sustainable and data-driven approach delivering high</w:t>
      </w:r>
      <w:r w:rsidRPr="009C48DA" w:rsidR="00DE493C">
        <w:rPr>
          <w:b/>
          <w:lang w:val="en-GB"/>
        </w:rPr>
        <w:t>-</w:t>
      </w:r>
      <w:r w:rsidRPr="009C48DA">
        <w:rPr>
          <w:b/>
          <w:lang w:val="en-GB"/>
        </w:rPr>
        <w:t>quality returns over the long</w:t>
      </w:r>
      <w:r w:rsidRPr="009C48DA" w:rsidR="00A24F78">
        <w:rPr>
          <w:b/>
          <w:lang w:val="en-GB"/>
        </w:rPr>
        <w:t>-</w:t>
      </w:r>
      <w:r w:rsidRPr="009C48DA">
        <w:rPr>
          <w:b/>
          <w:lang w:val="en-GB"/>
        </w:rPr>
        <w:t xml:space="preserve">term: </w:t>
      </w:r>
      <w:r w:rsidRPr="009C48DA" w:rsidR="006D5BFE">
        <w:rPr>
          <w:lang w:val="en-GB"/>
        </w:rPr>
        <w:t>Bridgepoint</w:t>
      </w:r>
      <w:r w:rsidRPr="009C48DA">
        <w:rPr>
          <w:lang w:val="en-GB"/>
        </w:rPr>
        <w:t>’s investment approach has evolved over more than three decades</w:t>
      </w:r>
      <w:r w:rsidRPr="009C48DA" w:rsidR="00F8762E">
        <w:rPr>
          <w:lang w:val="en-GB"/>
        </w:rPr>
        <w:t xml:space="preserve"> and through different economic cycles</w:t>
      </w:r>
      <w:r w:rsidRPr="009C48DA">
        <w:rPr>
          <w:lang w:val="en-GB"/>
        </w:rPr>
        <w:t xml:space="preserve">, combining differentiated sourcing and investment selection, </w:t>
      </w:r>
      <w:r w:rsidRPr="009C48DA" w:rsidR="00F7498A">
        <w:rPr>
          <w:lang w:val="en-GB"/>
        </w:rPr>
        <w:t xml:space="preserve">a </w:t>
      </w:r>
      <w:r w:rsidRPr="009C48DA">
        <w:rPr>
          <w:lang w:val="en-GB"/>
        </w:rPr>
        <w:t xml:space="preserve">hands-on </w:t>
      </w:r>
      <w:r w:rsidRPr="009C48DA" w:rsidR="00F7498A">
        <w:rPr>
          <w:lang w:val="en-GB"/>
        </w:rPr>
        <w:t xml:space="preserve">approach to </w:t>
      </w:r>
      <w:r w:rsidRPr="009C48DA">
        <w:rPr>
          <w:lang w:val="en-GB"/>
        </w:rPr>
        <w:t xml:space="preserve">value creation and focused approach to portfolio construction. This approach has delivered strong and consistent returns throughout </w:t>
      </w:r>
      <w:r w:rsidRPr="009C48DA" w:rsidR="006D5BFE">
        <w:rPr>
          <w:lang w:val="en-GB"/>
        </w:rPr>
        <w:t>Bridgepoint</w:t>
      </w:r>
      <w:r w:rsidRPr="009C48DA">
        <w:rPr>
          <w:lang w:val="en-GB"/>
        </w:rPr>
        <w:t xml:space="preserve">’s history and across strategies. </w:t>
      </w:r>
      <w:r w:rsidRPr="009C48DA" w:rsidR="00822115">
        <w:rPr>
          <w:lang w:val="en-GB"/>
        </w:rPr>
        <w:t xml:space="preserve">Bridgepoint </w:t>
      </w:r>
      <w:r w:rsidRPr="009C48DA">
        <w:rPr>
          <w:lang w:val="en-GB"/>
        </w:rPr>
        <w:t xml:space="preserve">utilises systemised data </w:t>
      </w:r>
      <w:r w:rsidRPr="009C48DA" w:rsidR="00F8762E">
        <w:rPr>
          <w:lang w:val="en-GB"/>
        </w:rPr>
        <w:t xml:space="preserve">held in its proprietary data warehouse </w:t>
      </w:r>
      <w:r w:rsidRPr="009C48DA">
        <w:rPr>
          <w:lang w:val="en-GB"/>
        </w:rPr>
        <w:t xml:space="preserve">from more than 300 private equity investments </w:t>
      </w:r>
      <w:r w:rsidRPr="009C48DA" w:rsidR="000D3E7A">
        <w:rPr>
          <w:lang w:val="en-GB"/>
        </w:rPr>
        <w:t>and multiple credit exposures</w:t>
      </w:r>
      <w:r w:rsidRPr="009C48DA" w:rsidR="00F8762E">
        <w:rPr>
          <w:lang w:val="en-GB"/>
        </w:rPr>
        <w:t xml:space="preserve"> </w:t>
      </w:r>
      <w:r w:rsidRPr="009C48DA">
        <w:rPr>
          <w:lang w:val="en-GB"/>
        </w:rPr>
        <w:t xml:space="preserve">to inform its investment decision making. </w:t>
      </w:r>
    </w:p>
    <w:p w:rsidRPr="009C48DA" w:rsidR="001C3CEC" w:rsidP="00C121D7" w:rsidRDefault="001C3CEC" w14:paraId="47C77606" w14:textId="4FCDBF5E">
      <w:pPr>
        <w:pStyle w:val="STBBullet3"/>
        <w:rPr>
          <w:b/>
          <w:lang w:val="en-GB"/>
        </w:rPr>
      </w:pPr>
      <w:r w:rsidRPr="009C48DA">
        <w:rPr>
          <w:b/>
          <w:lang w:val="en-GB"/>
        </w:rPr>
        <w:t xml:space="preserve">Focus on responsible investing: </w:t>
      </w:r>
      <w:r w:rsidRPr="009C48DA" w:rsidR="00822115">
        <w:rPr>
          <w:lang w:val="en-GB"/>
        </w:rPr>
        <w:t xml:space="preserve">Bridgepoint </w:t>
      </w:r>
      <w:r w:rsidRPr="009C48DA">
        <w:rPr>
          <w:lang w:val="en-GB"/>
        </w:rPr>
        <w:t xml:space="preserve">is an investor with a long-term perspective, focused on constant improvement both in financial and non-financial terms of the portfolio companies of the </w:t>
      </w:r>
      <w:r w:rsidRPr="009C48DA" w:rsidR="00822115">
        <w:rPr>
          <w:lang w:val="en-GB"/>
        </w:rPr>
        <w:t xml:space="preserve">Bridgepoint </w:t>
      </w:r>
      <w:r w:rsidRPr="009C48DA">
        <w:rPr>
          <w:lang w:val="en-GB"/>
        </w:rPr>
        <w:t xml:space="preserve">Funds and the building of sustainable businesses, with ESG criteria being integrated across </w:t>
      </w:r>
      <w:r w:rsidRPr="009C48DA" w:rsidR="00822115">
        <w:rPr>
          <w:lang w:val="en-GB"/>
        </w:rPr>
        <w:t xml:space="preserve">Bridgepoint </w:t>
      </w:r>
      <w:r w:rsidRPr="009C48DA">
        <w:rPr>
          <w:lang w:val="en-GB"/>
        </w:rPr>
        <w:t xml:space="preserve">and its investment approach. Responsible investment and sustainability is embedded throughout the Group’s investment and active portfolio management approach and the Directors believe that </w:t>
      </w:r>
      <w:r w:rsidR="00F969DE">
        <w:rPr>
          <w:lang w:val="en-GB"/>
        </w:rPr>
        <w:t xml:space="preserve">the </w:t>
      </w:r>
      <w:r w:rsidRPr="009C48DA">
        <w:rPr>
          <w:lang w:val="en-GB"/>
        </w:rPr>
        <w:t xml:space="preserve">Group’s long-standing commitment to responsible investment is a differentiator versus peers. </w:t>
      </w:r>
    </w:p>
    <w:p w:rsidRPr="009C48DA" w:rsidR="001C3CEC" w:rsidP="00C121D7" w:rsidRDefault="001C3CEC" w14:paraId="4A079939" w14:textId="37F9D69B">
      <w:pPr>
        <w:pStyle w:val="STBBullet3"/>
        <w:rPr>
          <w:b/>
          <w:lang w:val="en-GB"/>
        </w:rPr>
      </w:pPr>
      <w:r w:rsidRPr="009C48DA">
        <w:rPr>
          <w:b/>
          <w:lang w:val="en-GB"/>
        </w:rPr>
        <w:t xml:space="preserve">Proven track record of scaling strategies with a growing blue-chip investor base: </w:t>
      </w:r>
      <w:r w:rsidRPr="009C48DA" w:rsidR="00822115">
        <w:rPr>
          <w:lang w:val="en-GB"/>
        </w:rPr>
        <w:t xml:space="preserve">Bridgepoint </w:t>
      </w:r>
      <w:r w:rsidRPr="009C48DA">
        <w:rPr>
          <w:lang w:val="en-GB"/>
        </w:rPr>
        <w:t xml:space="preserve">has successfully scaled its flagship </w:t>
      </w:r>
      <w:r w:rsidRPr="009C48DA" w:rsidR="00822115">
        <w:rPr>
          <w:lang w:val="en-GB"/>
        </w:rPr>
        <w:t xml:space="preserve">Bridgepoint </w:t>
      </w:r>
      <w:r w:rsidRPr="009C48DA">
        <w:rPr>
          <w:lang w:val="en-GB"/>
        </w:rPr>
        <w:t xml:space="preserve">Europe strategy as well as several more recently launched strategies on the basis of a committed and growing investor base of over 300 of the world’s leading investors, consisting generally of institutional investors. With an average </w:t>
      </w:r>
      <w:r w:rsidRPr="009C48DA" w:rsidR="00D8221B">
        <w:rPr>
          <w:lang w:val="en-GB"/>
        </w:rPr>
        <w:t xml:space="preserve">approximate </w:t>
      </w:r>
      <w:r w:rsidRPr="009C48DA">
        <w:rPr>
          <w:lang w:val="en-GB"/>
        </w:rPr>
        <w:t>contr</w:t>
      </w:r>
      <w:r w:rsidRPr="009C48DA" w:rsidR="000E409A">
        <w:rPr>
          <w:lang w:val="en-GB"/>
        </w:rPr>
        <w:t xml:space="preserve">actual life of over nine years </w:t>
      </w:r>
      <w:r w:rsidRPr="009C48DA">
        <w:rPr>
          <w:lang w:val="en-GB"/>
        </w:rPr>
        <w:t xml:space="preserve">as of 31 March 2021 (calculated as weighted average of Total AUM divided by the charging period of all </w:t>
      </w:r>
      <w:r w:rsidRPr="009C48DA" w:rsidR="00822115">
        <w:rPr>
          <w:lang w:val="en-GB"/>
        </w:rPr>
        <w:t xml:space="preserve">Bridgepoint </w:t>
      </w:r>
      <w:r w:rsidRPr="009C48DA">
        <w:rPr>
          <w:lang w:val="en-GB"/>
        </w:rPr>
        <w:t xml:space="preserve">Funds in the private equity segment and the </w:t>
      </w:r>
      <w:r w:rsidRPr="009C48DA" w:rsidR="00822115">
        <w:rPr>
          <w:lang w:val="en-GB"/>
        </w:rPr>
        <w:t xml:space="preserve">Bridgepoint </w:t>
      </w:r>
      <w:r w:rsidRPr="009C48DA">
        <w:rPr>
          <w:lang w:val="en-GB"/>
        </w:rPr>
        <w:t xml:space="preserve">Direct Lending funds and </w:t>
      </w:r>
      <w:r w:rsidRPr="009C48DA" w:rsidR="00822115">
        <w:rPr>
          <w:lang w:val="en-GB"/>
        </w:rPr>
        <w:t xml:space="preserve">Bridgepoint </w:t>
      </w:r>
      <w:r w:rsidRPr="009C48DA">
        <w:rPr>
          <w:lang w:val="en-GB"/>
        </w:rPr>
        <w:t xml:space="preserve">Credit Opportunities funds), the Group’s current asset base has a long duration, upon which it continues to build through deep and long-standing relationships with blue-chip clients globally. </w:t>
      </w:r>
    </w:p>
    <w:p w:rsidRPr="009C48DA" w:rsidR="00F8762E" w:rsidP="00F8762E" w:rsidRDefault="001C3CEC" w14:paraId="55661327" w14:textId="49C4EF72">
      <w:pPr>
        <w:pStyle w:val="STBBullet3"/>
        <w:rPr>
          <w:lang w:val="en-GB"/>
        </w:rPr>
      </w:pPr>
      <w:r w:rsidRPr="009C48DA">
        <w:rPr>
          <w:b/>
          <w:lang w:val="en-GB"/>
        </w:rPr>
        <w:t xml:space="preserve">Significant amount of existing AUM and expected further growth in AUM from near-term fundraising pipeline: </w:t>
      </w:r>
      <w:r w:rsidRPr="009C48DA" w:rsidR="00822115">
        <w:rPr>
          <w:lang w:val="en-GB"/>
        </w:rPr>
        <w:t xml:space="preserve">Bridgepoint </w:t>
      </w:r>
      <w:r w:rsidRPr="009C48DA">
        <w:rPr>
          <w:lang w:val="en-GB"/>
        </w:rPr>
        <w:t>was able to grow its AUM significantly in the past and expects its AUM to further grow in the near</w:t>
      </w:r>
      <w:r w:rsidRPr="009C48DA" w:rsidR="00DE493C">
        <w:rPr>
          <w:lang w:val="en-GB"/>
        </w:rPr>
        <w:t xml:space="preserve"> </w:t>
      </w:r>
      <w:r w:rsidRPr="009C48DA">
        <w:rPr>
          <w:lang w:val="en-GB"/>
        </w:rPr>
        <w:t>term, with all of the Group’s strategies having either recently raised new funds, being in fundraising or expected to start fundraising in the near future.</w:t>
      </w:r>
      <w:r w:rsidRPr="009C48DA" w:rsidR="00F8762E">
        <w:rPr>
          <w:lang w:val="en-GB"/>
        </w:rPr>
        <w:t xml:space="preserve"> The growth in AUM has driven robust increases in revenues and profitability, with total operating income rising from £14</w:t>
      </w:r>
      <w:r w:rsidR="00BD5F9E">
        <w:rPr>
          <w:lang w:val="en-GB"/>
        </w:rPr>
        <w:t>4.8</w:t>
      </w:r>
      <w:r w:rsidRPr="009C48DA" w:rsidR="00F8762E">
        <w:rPr>
          <w:lang w:val="en-GB"/>
        </w:rPr>
        <w:t xml:space="preserve"> million in</w:t>
      </w:r>
      <w:r w:rsidR="00BD5F9E">
        <w:rPr>
          <w:lang w:val="en-GB"/>
        </w:rPr>
        <w:t xml:space="preserve"> the financial year 2018 to £191.8</w:t>
      </w:r>
      <w:r w:rsidRPr="009C48DA" w:rsidR="00F8762E">
        <w:rPr>
          <w:lang w:val="en-GB"/>
        </w:rPr>
        <w:t xml:space="preserve"> million in the financial year 2020, and with Underlying EBITDA increasing from £43</w:t>
      </w:r>
      <w:r w:rsidR="00BD5F9E">
        <w:rPr>
          <w:lang w:val="en-GB"/>
        </w:rPr>
        <w:t>.3</w:t>
      </w:r>
      <w:r w:rsidRPr="009C48DA" w:rsidR="00F8762E">
        <w:rPr>
          <w:lang w:val="en-GB"/>
        </w:rPr>
        <w:t xml:space="preserve"> million to £66</w:t>
      </w:r>
      <w:r w:rsidR="00BD5F9E">
        <w:rPr>
          <w:lang w:val="en-GB"/>
        </w:rPr>
        <w:t>.1</w:t>
      </w:r>
      <w:r w:rsidRPr="009C48DA" w:rsidR="00F8762E">
        <w:rPr>
          <w:lang w:val="en-GB"/>
        </w:rPr>
        <w:t xml:space="preserve"> million over the same period. Significant further profitable growth has been achieved in the three months ended 31 March 2021.</w:t>
      </w:r>
    </w:p>
    <w:p w:rsidRPr="009C48DA" w:rsidR="001C3CEC" w:rsidP="00C121D7" w:rsidRDefault="001C3CEC" w14:paraId="0299D6CD" w14:textId="142F5346">
      <w:pPr>
        <w:pStyle w:val="STBBullet3"/>
        <w:rPr>
          <w:lang w:val="en-GB"/>
        </w:rPr>
      </w:pPr>
      <w:r w:rsidRPr="009C48DA">
        <w:rPr>
          <w:b/>
          <w:lang w:val="en-GB"/>
        </w:rPr>
        <w:t xml:space="preserve">Well-invested platform for growth: </w:t>
      </w:r>
      <w:r w:rsidRPr="009C48DA" w:rsidR="00822115">
        <w:rPr>
          <w:lang w:val="en-GB"/>
        </w:rPr>
        <w:t xml:space="preserve">Bridgepoint </w:t>
      </w:r>
      <w:r w:rsidRPr="009C48DA">
        <w:rPr>
          <w:lang w:val="en-GB"/>
        </w:rPr>
        <w:t>has made significant investments in its operating platform in preparation for its expected growth in AUM, increasing the number of investment professionals and investing to ensure scalability across its capital raising, investor servicing and central functions.</w:t>
      </w:r>
    </w:p>
    <w:p w:rsidRPr="009C48DA" w:rsidR="001C3CEC" w:rsidP="00C121D7" w:rsidRDefault="001C3CEC" w14:paraId="62D22CB8" w14:textId="3F866084">
      <w:pPr>
        <w:pStyle w:val="TitleB"/>
        <w:rPr>
          <w:lang w:val="en-GB"/>
        </w:rPr>
      </w:pPr>
      <w:r w:rsidRPr="009C48DA">
        <w:rPr>
          <w:lang w:val="en-GB"/>
        </w:rPr>
        <w:t xml:space="preserve">The </w:t>
      </w:r>
      <w:r w:rsidRPr="009C48DA" w:rsidR="00F8762E">
        <w:rPr>
          <w:lang w:val="en-GB"/>
        </w:rPr>
        <w:t>leading</w:t>
      </w:r>
      <w:r w:rsidRPr="009C48DA">
        <w:rPr>
          <w:lang w:val="en-GB"/>
        </w:rPr>
        <w:t xml:space="preserve"> middle market private </w:t>
      </w:r>
      <w:r w:rsidR="00A74803">
        <w:rPr>
          <w:lang w:val="en-GB"/>
        </w:rPr>
        <w:t>markets</w:t>
      </w:r>
      <w:r w:rsidRPr="009C48DA">
        <w:rPr>
          <w:lang w:val="en-GB"/>
        </w:rPr>
        <w:t xml:space="preserve"> firm in the world</w:t>
      </w:r>
    </w:p>
    <w:p w:rsidRPr="009C48DA" w:rsidR="005C6CD7" w:rsidP="0002759F" w:rsidRDefault="001C3CEC" w14:paraId="4F063CC7" w14:textId="77777777">
      <w:pPr>
        <w:pStyle w:val="BodyText2SglJ"/>
        <w:rPr>
          <w:lang w:val="en-GB"/>
        </w:rPr>
      </w:pPr>
      <w:r w:rsidRPr="009C48DA">
        <w:rPr>
          <w:lang w:val="en-GB"/>
        </w:rPr>
        <w:t>As the leader in middle market investing</w:t>
      </w:r>
      <w:r w:rsidRPr="009C48DA" w:rsidR="000A01EB">
        <w:rPr>
          <w:lang w:val="en-GB"/>
        </w:rPr>
        <w:t>, Bridgepoint</w:t>
      </w:r>
      <w:r w:rsidRPr="009C48DA">
        <w:rPr>
          <w:lang w:val="en-GB"/>
        </w:rPr>
        <w:t xml:space="preserve"> offers investors a differentiated approach arising from its global reach and ability to deploy capital across middle market strategies. The Directors believe that the middle market is a highly attractive investment proposition for clients given its scale and number of potential investment opportunities, and the significant potential for hands-on value creation, including through operational improvement and add-on acquisitions. </w:t>
      </w:r>
    </w:p>
    <w:p w:rsidRPr="009C48DA" w:rsidR="001C3CEC" w:rsidP="0002759F" w:rsidRDefault="001C3CEC" w14:paraId="340A7C2B" w14:textId="5E5FBD35">
      <w:pPr>
        <w:pStyle w:val="BodyText2SglJ"/>
        <w:rPr>
          <w:lang w:val="en-GB"/>
        </w:rPr>
      </w:pPr>
      <w:r w:rsidRPr="009C48DA">
        <w:rPr>
          <w:lang w:val="en-GB"/>
        </w:rPr>
        <w:t xml:space="preserve">The Group enjoys a favourable competitive position and </w:t>
      </w:r>
      <w:r w:rsidRPr="009C48DA" w:rsidR="005C6CD7">
        <w:rPr>
          <w:lang w:val="en-GB"/>
        </w:rPr>
        <w:t>has one of the best invested private market platfor</w:t>
      </w:r>
      <w:r w:rsidRPr="009C48DA" w:rsidR="007C6FC4">
        <w:rPr>
          <w:lang w:val="en-GB"/>
        </w:rPr>
        <w:t>ms directed at growth investing.</w:t>
      </w:r>
      <w:r w:rsidRPr="009C48DA" w:rsidR="005C6CD7">
        <w:rPr>
          <w:lang w:val="en-GB"/>
        </w:rPr>
        <w:t xml:space="preserve"> </w:t>
      </w:r>
      <w:r w:rsidRPr="009C48DA" w:rsidR="007C6FC4">
        <w:rPr>
          <w:lang w:val="en-GB"/>
        </w:rPr>
        <w:t xml:space="preserve">This is </w:t>
      </w:r>
      <w:r w:rsidRPr="009C48DA" w:rsidR="005C6CD7">
        <w:rPr>
          <w:lang w:val="en-GB"/>
        </w:rPr>
        <w:t xml:space="preserve">untypical of middle </w:t>
      </w:r>
      <w:r w:rsidRPr="009C48DA" w:rsidR="007C6FC4">
        <w:rPr>
          <w:lang w:val="en-GB"/>
        </w:rPr>
        <w:t xml:space="preserve">market firms and drives origination, value creation and fund investor returns. </w:t>
      </w:r>
      <w:r w:rsidRPr="009C48DA" w:rsidR="00822115">
        <w:rPr>
          <w:lang w:val="en-GB"/>
        </w:rPr>
        <w:t xml:space="preserve">Bridgepoint </w:t>
      </w:r>
      <w:r w:rsidRPr="009C48DA">
        <w:rPr>
          <w:lang w:val="en-GB"/>
        </w:rPr>
        <w:t xml:space="preserve">benefits from increasing opportunities as large buyout firms continue to </w:t>
      </w:r>
      <w:r w:rsidRPr="009C48DA" w:rsidR="009D2417">
        <w:rPr>
          <w:lang w:val="en-GB"/>
        </w:rPr>
        <w:t xml:space="preserve">increase the </w:t>
      </w:r>
      <w:r w:rsidRPr="009C48DA">
        <w:rPr>
          <w:lang w:val="en-GB"/>
        </w:rPr>
        <w:t xml:space="preserve">size of their funds and </w:t>
      </w:r>
      <w:r w:rsidRPr="009C48DA" w:rsidR="009D2417">
        <w:rPr>
          <w:lang w:val="en-GB"/>
        </w:rPr>
        <w:t xml:space="preserve">as a result the </w:t>
      </w:r>
      <w:r w:rsidRPr="009C48DA">
        <w:rPr>
          <w:lang w:val="en-GB"/>
        </w:rPr>
        <w:t>investments they make, which creates incremental investing scope for firms with a true focus on middle markets. Combined with consistent strong returns, this competitive position has enabled the Group to build a high</w:t>
      </w:r>
      <w:r w:rsidRPr="009C48DA" w:rsidR="009F315E">
        <w:rPr>
          <w:lang w:val="en-GB"/>
        </w:rPr>
        <w:t>-</w:t>
      </w:r>
      <w:r w:rsidRPr="009C48DA">
        <w:rPr>
          <w:lang w:val="en-GB"/>
        </w:rPr>
        <w:t xml:space="preserve">quality base of leading blue-chip investors who can put capital to work across different middle market strategies without being the dominant investor. </w:t>
      </w:r>
    </w:p>
    <w:p w:rsidRPr="009C48DA" w:rsidR="001C3CEC" w:rsidP="0002759F" w:rsidRDefault="001C3CEC" w14:paraId="114A48A1" w14:textId="6DCF75E9">
      <w:pPr>
        <w:pStyle w:val="BodyText2SglJ"/>
        <w:rPr>
          <w:lang w:val="en-GB"/>
        </w:rPr>
      </w:pPr>
      <w:r w:rsidRPr="009C48DA">
        <w:rPr>
          <w:lang w:val="en-GB"/>
        </w:rPr>
        <w:lastRenderedPageBreak/>
        <w:t xml:space="preserve">In addition to the Group’s existing strength in middle market private equity, the acquisition of EQT Credit in 2020 significantly accelerated </w:t>
      </w:r>
      <w:r w:rsidRPr="009C48DA" w:rsidR="006D5BFE">
        <w:rPr>
          <w:lang w:val="en-GB"/>
        </w:rPr>
        <w:t>Bridgepoint</w:t>
      </w:r>
      <w:r w:rsidRPr="009C48DA">
        <w:rPr>
          <w:lang w:val="en-GB"/>
        </w:rPr>
        <w:t xml:space="preserve">’s growth in private credit. As of January 2021, </w:t>
      </w:r>
      <w:r w:rsidRPr="009C48DA" w:rsidR="00822115">
        <w:rPr>
          <w:lang w:val="en-GB"/>
        </w:rPr>
        <w:t xml:space="preserve">Bridgepoint </w:t>
      </w:r>
      <w:r w:rsidRPr="009C48DA">
        <w:rPr>
          <w:lang w:val="en-GB"/>
        </w:rPr>
        <w:t>private credit was within the top 10 private credit investors in Europe based on research by Preqin,</w:t>
      </w:r>
      <w:r w:rsidRPr="009C48DA">
        <w:rPr>
          <w:rFonts w:cs="Times New Roman"/>
          <w:vertAlign w:val="superscript"/>
          <w:lang w:val="en-GB"/>
        </w:rPr>
        <w:footnoteReference w:id="32"/>
      </w:r>
      <w:r w:rsidRPr="009C48DA">
        <w:rPr>
          <w:lang w:val="en-GB"/>
        </w:rPr>
        <w:t xml:space="preserve"> with scale across multiple sub-strategies and a track record of delivering strong and consistent returns for clients. For example, the </w:t>
      </w:r>
      <w:r w:rsidRPr="009C48DA" w:rsidR="00822115">
        <w:rPr>
          <w:lang w:val="en-GB"/>
        </w:rPr>
        <w:t xml:space="preserve">Bridgepoint </w:t>
      </w:r>
      <w:r w:rsidRPr="009C48DA">
        <w:rPr>
          <w:lang w:val="en-GB"/>
        </w:rPr>
        <w:t>Credit Opportunities I and II funds were within the top five per cent based on benchmarking by Cambridge Associates as of 30 September 2020</w:t>
      </w:r>
      <w:r w:rsidRPr="009C48DA">
        <w:rPr>
          <w:rFonts w:cs="Times New Roman"/>
          <w:vertAlign w:val="superscript"/>
          <w:lang w:val="en-GB"/>
        </w:rPr>
        <w:footnoteReference w:id="33"/>
      </w:r>
      <w:r w:rsidRPr="009C48DA">
        <w:rPr>
          <w:lang w:val="en-GB"/>
        </w:rPr>
        <w:t xml:space="preserve"> and there have been no realised losses within the </w:t>
      </w:r>
      <w:r w:rsidRPr="009C48DA" w:rsidR="00822115">
        <w:rPr>
          <w:lang w:val="en-GB"/>
        </w:rPr>
        <w:t xml:space="preserve">Bridgepoint </w:t>
      </w:r>
      <w:r w:rsidRPr="009C48DA">
        <w:rPr>
          <w:lang w:val="en-GB"/>
        </w:rPr>
        <w:t xml:space="preserve">Direct Lending </w:t>
      </w:r>
      <w:r w:rsidRPr="009C48DA" w:rsidR="00EE3C99">
        <w:rPr>
          <w:lang w:val="en-GB"/>
        </w:rPr>
        <w:t>f</w:t>
      </w:r>
      <w:r w:rsidRPr="009C48DA">
        <w:rPr>
          <w:lang w:val="en-GB"/>
        </w:rPr>
        <w:t>unds as of 31 March 2021.</w:t>
      </w:r>
    </w:p>
    <w:p w:rsidRPr="009C48DA" w:rsidR="001C3CEC" w:rsidP="00C121D7" w:rsidRDefault="001C3CEC" w14:paraId="69D0F525" w14:textId="77777777">
      <w:pPr>
        <w:pStyle w:val="TitleB"/>
        <w:rPr>
          <w:lang w:val="en-GB"/>
        </w:rPr>
      </w:pPr>
      <w:r w:rsidRPr="009C48DA">
        <w:rPr>
          <w:lang w:val="en-GB"/>
        </w:rPr>
        <w:t>A performance-driven and value-based corporate culture</w:t>
      </w:r>
    </w:p>
    <w:p w:rsidRPr="009C48DA" w:rsidR="001C3CEC" w:rsidP="0002759F" w:rsidRDefault="00822115" w14:paraId="1059702D" w14:textId="2B5B270C">
      <w:pPr>
        <w:pStyle w:val="BodyText2SglJ"/>
        <w:rPr>
          <w:lang w:val="en-GB"/>
        </w:rPr>
      </w:pPr>
      <w:r w:rsidRPr="009C48DA">
        <w:rPr>
          <w:lang w:val="en-GB"/>
        </w:rPr>
        <w:t xml:space="preserve">Bridgepoint </w:t>
      </w:r>
      <w:r w:rsidRPr="009C48DA" w:rsidR="001C3CEC">
        <w:rPr>
          <w:lang w:val="en-GB"/>
        </w:rPr>
        <w:t xml:space="preserve">views its corporate culture as critical to its success in private markets investing, whether it is with respect to the Group’s ability to attract leading investment talent, its role as a trusted home for capital of investors in the </w:t>
      </w:r>
      <w:r w:rsidRPr="009C48DA">
        <w:rPr>
          <w:lang w:val="en-GB"/>
        </w:rPr>
        <w:t xml:space="preserve">Bridgepoint </w:t>
      </w:r>
      <w:r w:rsidRPr="009C48DA" w:rsidR="001C3CEC">
        <w:rPr>
          <w:lang w:val="en-GB"/>
        </w:rPr>
        <w:t>Funds or its ability to position itself as a reliable counterparty when engaging with potentia</w:t>
      </w:r>
      <w:r w:rsidRPr="009C48DA" w:rsidR="009D2417">
        <w:rPr>
          <w:lang w:val="en-GB"/>
        </w:rPr>
        <w:t>l investment opportunities</w:t>
      </w:r>
      <w:r w:rsidRPr="009C48DA" w:rsidR="001C3CEC">
        <w:rPr>
          <w:lang w:val="en-GB"/>
        </w:rPr>
        <w:t>. The Group is led by a highly experienced management team and the 43</w:t>
      </w:r>
      <w:r w:rsidRPr="009C48DA" w:rsidR="009F315E">
        <w:rPr>
          <w:lang w:val="en-GB"/>
        </w:rPr>
        <w:t> </w:t>
      </w:r>
      <w:r w:rsidRPr="009C48DA">
        <w:rPr>
          <w:lang w:val="en-GB"/>
        </w:rPr>
        <w:t xml:space="preserve">Bridgepoint </w:t>
      </w:r>
      <w:r w:rsidRPr="009C48DA" w:rsidR="004355B6">
        <w:rPr>
          <w:lang w:val="en-GB"/>
        </w:rPr>
        <w:t>partners have an average of 21</w:t>
      </w:r>
      <w:r w:rsidRPr="009C48DA" w:rsidR="001C3CEC">
        <w:rPr>
          <w:lang w:val="en-GB"/>
        </w:rPr>
        <w:t xml:space="preserve"> years</w:t>
      </w:r>
      <w:r w:rsidRPr="009C48DA" w:rsidR="009F315E">
        <w:rPr>
          <w:lang w:val="en-GB"/>
        </w:rPr>
        <w:t xml:space="preserve"> of</w:t>
      </w:r>
      <w:r w:rsidRPr="009C48DA" w:rsidR="001C3CEC">
        <w:rPr>
          <w:lang w:val="en-GB"/>
        </w:rPr>
        <w:t xml:space="preserve"> private equity or private credit experience, of which 15 years are at </w:t>
      </w:r>
      <w:r w:rsidRPr="009C48DA">
        <w:rPr>
          <w:lang w:val="en-GB"/>
        </w:rPr>
        <w:t>Bridgepoint</w:t>
      </w:r>
      <w:r w:rsidRPr="009C48DA" w:rsidR="00EC28B6">
        <w:rPr>
          <w:lang w:val="en-GB"/>
        </w:rPr>
        <w:t>.</w:t>
      </w:r>
    </w:p>
    <w:p w:rsidRPr="009C48DA" w:rsidR="001C3CEC" w:rsidP="0002759F" w:rsidRDefault="001C3CEC" w14:paraId="523118C2" w14:textId="46B294C3">
      <w:pPr>
        <w:pStyle w:val="BodyText2SglJ"/>
        <w:rPr>
          <w:lang w:val="en-GB"/>
        </w:rPr>
      </w:pPr>
      <w:r w:rsidRPr="009C48DA">
        <w:rPr>
          <w:lang w:val="en-GB"/>
        </w:rPr>
        <w:t xml:space="preserve">The Group’s culture and value-based approach towards fundraising and investing has been shaped through more than 35 years of collaboration, </w:t>
      </w:r>
      <w:r w:rsidRPr="009C48DA" w:rsidR="00F622C3">
        <w:rPr>
          <w:lang w:val="en-GB"/>
        </w:rPr>
        <w:t>and with 133 employees and their families making up the majority of the shareholder base as of the date of this Registration Document</w:t>
      </w:r>
      <w:r w:rsidRPr="009C48DA" w:rsidR="009F315E">
        <w:rPr>
          <w:lang w:val="en-GB"/>
        </w:rPr>
        <w:t>,</w:t>
      </w:r>
      <w:r w:rsidRPr="009C48DA">
        <w:rPr>
          <w:lang w:val="en-GB"/>
        </w:rPr>
        <w:t xml:space="preserve"> the Group is an organisation with its employees at its heart. Following the completion of the </w:t>
      </w:r>
      <w:r w:rsidRPr="009C48DA" w:rsidR="00A977CF">
        <w:rPr>
          <w:lang w:val="en-GB"/>
        </w:rPr>
        <w:t>potential initial public offering</w:t>
      </w:r>
      <w:r w:rsidRPr="009C48DA">
        <w:rPr>
          <w:lang w:val="en-GB"/>
        </w:rPr>
        <w:t xml:space="preserve">, the Directors expect that there will remain significant employee ownership of the Group, resulting in a strong alignment of the interests of the Group and its other stakeholders. </w:t>
      </w:r>
    </w:p>
    <w:p w:rsidRPr="009C48DA" w:rsidR="001C3CEC" w:rsidP="0002759F" w:rsidRDefault="001C3CEC" w14:paraId="408F9CF9" w14:textId="6168B12B">
      <w:pPr>
        <w:pStyle w:val="BodyText2SglJ"/>
        <w:rPr>
          <w:lang w:val="en-GB"/>
        </w:rPr>
      </w:pPr>
      <w:r w:rsidRPr="009C48DA">
        <w:rPr>
          <w:lang w:val="en-GB"/>
        </w:rPr>
        <w:t xml:space="preserve">The strength of the Group’s attractiveness to employees is illustrated by </w:t>
      </w:r>
      <w:r w:rsidRPr="009C48DA" w:rsidR="006D5BFE">
        <w:rPr>
          <w:lang w:val="en-GB"/>
        </w:rPr>
        <w:t>Bridgepoint</w:t>
      </w:r>
      <w:r w:rsidRPr="009C48DA">
        <w:rPr>
          <w:lang w:val="en-GB"/>
        </w:rPr>
        <w:t xml:space="preserve">’s low </w:t>
      </w:r>
      <w:r w:rsidRPr="009C48DA" w:rsidR="004355B6">
        <w:rPr>
          <w:lang w:val="en-GB"/>
        </w:rPr>
        <w:t xml:space="preserve">voluntary </w:t>
      </w:r>
      <w:r w:rsidRPr="009C48DA">
        <w:rPr>
          <w:lang w:val="en-GB"/>
        </w:rPr>
        <w:t>investment professional turnover, wit</w:t>
      </w:r>
      <w:r w:rsidRPr="009C48DA" w:rsidR="00C54DB2">
        <w:rPr>
          <w:lang w:val="en-GB"/>
        </w:rPr>
        <w:t xml:space="preserve">h an average rate of less than </w:t>
      </w:r>
      <w:r w:rsidRPr="009C48DA" w:rsidR="004355B6">
        <w:rPr>
          <w:lang w:val="en-GB"/>
        </w:rPr>
        <w:t>three</w:t>
      </w:r>
      <w:r w:rsidRPr="009C48DA">
        <w:rPr>
          <w:lang w:val="en-GB"/>
        </w:rPr>
        <w:t xml:space="preserve"> per cent annually </w:t>
      </w:r>
      <w:r w:rsidRPr="009C48DA" w:rsidR="0003405D">
        <w:rPr>
          <w:lang w:val="en-GB"/>
        </w:rPr>
        <w:t>from</w:t>
      </w:r>
      <w:r w:rsidR="00CF56DC">
        <w:rPr>
          <w:lang w:val="en-GB"/>
        </w:rPr>
        <w:t> </w:t>
      </w:r>
      <w:r w:rsidRPr="009C48DA">
        <w:rPr>
          <w:lang w:val="en-GB"/>
        </w:rPr>
        <w:t xml:space="preserve">2018 </w:t>
      </w:r>
      <w:r w:rsidRPr="009C48DA" w:rsidR="0003405D">
        <w:rPr>
          <w:lang w:val="en-GB"/>
        </w:rPr>
        <w:t>to</w:t>
      </w:r>
      <w:r w:rsidRPr="009C48DA">
        <w:rPr>
          <w:lang w:val="en-GB"/>
        </w:rPr>
        <w:t xml:space="preserve"> 2020. As of 31 March 2021, the average tenure of </w:t>
      </w:r>
      <w:r w:rsidRPr="009C48DA" w:rsidR="00FF1652">
        <w:rPr>
          <w:lang w:val="en-GB"/>
        </w:rPr>
        <w:t>the Group’s</w:t>
      </w:r>
      <w:r w:rsidRPr="009C48DA">
        <w:rPr>
          <w:lang w:val="en-GB"/>
        </w:rPr>
        <w:t xml:space="preserve"> investment partners </w:t>
      </w:r>
      <w:r w:rsidRPr="009C48DA" w:rsidR="00FF1652">
        <w:rPr>
          <w:lang w:val="en-GB"/>
        </w:rPr>
        <w:t>was</w:t>
      </w:r>
      <w:r w:rsidRPr="009C48DA">
        <w:rPr>
          <w:lang w:val="en-GB"/>
        </w:rPr>
        <w:t xml:space="preserve"> 15 years, which </w:t>
      </w:r>
      <w:r w:rsidRPr="009C48DA" w:rsidR="00FA6470">
        <w:rPr>
          <w:lang w:val="en-GB"/>
        </w:rPr>
        <w:t xml:space="preserve">the Directors believe </w:t>
      </w:r>
      <w:r w:rsidRPr="009C48DA">
        <w:rPr>
          <w:lang w:val="en-GB"/>
        </w:rPr>
        <w:t xml:space="preserve">compares favourably to the wider industry. At the heart of this attractiveness are three core values which underpin the culture of </w:t>
      </w:r>
      <w:r w:rsidRPr="009C48DA" w:rsidR="00822115">
        <w:rPr>
          <w:lang w:val="en-GB"/>
        </w:rPr>
        <w:t>Bridgepoint</w:t>
      </w:r>
      <w:r w:rsidRPr="009C48DA">
        <w:rPr>
          <w:lang w:val="en-GB"/>
        </w:rPr>
        <w:t>:</w:t>
      </w:r>
    </w:p>
    <w:p w:rsidRPr="009C48DA" w:rsidR="001C3CEC" w:rsidP="00C121D7" w:rsidRDefault="001A3FD2" w14:paraId="6085D5C5" w14:textId="59C6B7EA">
      <w:pPr>
        <w:spacing w:after="240"/>
        <w:jc w:val="center"/>
        <w:rPr>
          <w:rFonts w:cs="Times New Roman"/>
          <w:sz w:val="20"/>
          <w:szCs w:val="20"/>
          <w:lang w:val="en-GB"/>
        </w:rPr>
      </w:pPr>
      <w:r w:rsidRPr="00C167FF">
        <w:rPr>
          <w:noProof/>
        </w:rPr>
        <w:drawing>
          <wp:inline distT="0" distB="0" distL="0" distR="0" wp14:anchorId="378A8445" wp14:editId="0FF3B6EB">
            <wp:extent cx="5429250" cy="710302"/>
            <wp:effectExtent l="0" t="0" r="0" b="0"/>
            <wp:docPr id="23" name="Picture 7" descr="" title="">
              <a:extLst xmlns:a="http://schemas.openxmlformats.org/drawingml/2006/main">
                <a:ext uri="{FF2B5EF4-FFF2-40B4-BE49-F238E27FC236}">
                  <a16:creationId xmlns:a16="http://schemas.microsoft.com/office/drawing/2014/main" id="{340E8133-52E4-4B3F-BB32-114D05CD6F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340E8133-52E4-4B3F-BB32-114D05CD6F5D}"/>
                        </a:ext>
                      </a:extLst>
                    </pic:cNvPr>
                    <pic:cNvPicPr>
                      <a:picLocks noChangeAspect="1"/>
                    </pic:cNvPicPr>
                  </pic:nvPicPr>
                  <pic:blipFill>
                    <a:blip r:embed="rId39"/>
                    <a:stretch>
                      <a:fillRect/>
                    </a:stretch>
                  </pic:blipFill>
                  <pic:spPr>
                    <a:xfrm>
                      <a:off x="0" y="0"/>
                      <a:ext cx="5429250" cy="710302"/>
                    </a:xfrm>
                    <a:prstGeom prst="rect">
                      <a:avLst/>
                    </a:prstGeom>
                  </pic:spPr>
                </pic:pic>
              </a:graphicData>
            </a:graphic>
          </wp:inline>
        </w:drawing>
      </w:r>
    </w:p>
    <w:p w:rsidRPr="009C48DA" w:rsidR="001C3CEC" w:rsidP="00C121D7" w:rsidRDefault="00822115" w14:paraId="48E70550" w14:textId="43DF0AB6">
      <w:pPr>
        <w:pStyle w:val="TitleB"/>
        <w:rPr>
          <w:lang w:val="en-GB"/>
        </w:rPr>
      </w:pPr>
      <w:r w:rsidRPr="009C48DA">
        <w:rPr>
          <w:lang w:val="en-GB"/>
        </w:rPr>
        <w:t xml:space="preserve">Bridgepoint </w:t>
      </w:r>
      <w:r w:rsidRPr="009C48DA" w:rsidR="001C3CEC">
        <w:rPr>
          <w:lang w:val="en-GB"/>
        </w:rPr>
        <w:t>operates in a highly attractive and growing industry that favours firms with a strong track record and sophisticated investor servicing and operating platforms</w:t>
      </w:r>
    </w:p>
    <w:p w:rsidRPr="009C48DA" w:rsidR="001C3CEC" w:rsidP="0002759F" w:rsidRDefault="001C3CEC" w14:paraId="61C399AA" w14:textId="155C932E">
      <w:pPr>
        <w:pStyle w:val="BodyText2SglJ"/>
        <w:rPr>
          <w:lang w:val="en-GB"/>
        </w:rPr>
      </w:pPr>
      <w:r w:rsidRPr="009C48DA">
        <w:rPr>
          <w:lang w:val="en-GB"/>
        </w:rPr>
        <w:t xml:space="preserve">Within the alternative asset market, private markets are expanding rapidly, with overall </w:t>
      </w:r>
      <w:r w:rsidRPr="009C48DA" w:rsidR="00FF1652">
        <w:rPr>
          <w:lang w:val="en-GB"/>
        </w:rPr>
        <w:t>assets under management</w:t>
      </w:r>
      <w:r w:rsidRPr="009C48DA">
        <w:rPr>
          <w:lang w:val="en-GB"/>
        </w:rPr>
        <w:t xml:space="preserve"> forecast to grow from approximately US$7 trillion to approximately US$13 trillion </w:t>
      </w:r>
      <w:r w:rsidRPr="009C48DA" w:rsidR="0003405D">
        <w:rPr>
          <w:lang w:val="en-GB"/>
        </w:rPr>
        <w:t>from</w:t>
      </w:r>
      <w:r w:rsidR="00CF56DC">
        <w:rPr>
          <w:lang w:val="en-GB"/>
        </w:rPr>
        <w:t> </w:t>
      </w:r>
      <w:r w:rsidRPr="009C48DA">
        <w:rPr>
          <w:lang w:val="en-GB"/>
        </w:rPr>
        <w:t xml:space="preserve">2020 </w:t>
      </w:r>
      <w:r w:rsidRPr="009C48DA" w:rsidR="0003405D">
        <w:rPr>
          <w:lang w:val="en-GB"/>
        </w:rPr>
        <w:t>to</w:t>
      </w:r>
      <w:r w:rsidRPr="009C48DA">
        <w:rPr>
          <w:lang w:val="en-GB"/>
        </w:rPr>
        <w:t xml:space="preserve"> 2025.</w:t>
      </w:r>
      <w:r w:rsidRPr="009C48DA">
        <w:rPr>
          <w:rFonts w:cs="Times New Roman"/>
          <w:vertAlign w:val="superscript"/>
          <w:lang w:val="en-GB"/>
        </w:rPr>
        <w:footnoteReference w:id="34"/>
      </w:r>
      <w:r w:rsidRPr="009C48DA">
        <w:rPr>
          <w:lang w:val="en-GB"/>
        </w:rPr>
        <w:t xml:space="preserve"> This expected growth is driven by, among other factors: </w:t>
      </w:r>
    </w:p>
    <w:p w:rsidRPr="009C48DA" w:rsidR="001C3CEC" w:rsidP="00C121D7" w:rsidRDefault="001C3CEC" w14:paraId="27EAF32A" w14:textId="77777777">
      <w:pPr>
        <w:pStyle w:val="STBBullet3"/>
        <w:rPr>
          <w:lang w:val="en-GB"/>
        </w:rPr>
      </w:pPr>
      <w:r w:rsidRPr="009C48DA">
        <w:rPr>
          <w:lang w:val="en-GB"/>
        </w:rPr>
        <w:t>a desire of some of the world’s largest investors, such as pension funds, to achieve higher returns due to ageing populations and growing pension funding gaps;</w:t>
      </w:r>
      <w:r w:rsidRPr="009C48DA">
        <w:rPr>
          <w:rFonts w:cs="Times New Roman"/>
          <w:vertAlign w:val="superscript"/>
          <w:lang w:val="en-GB"/>
        </w:rPr>
        <w:footnoteReference w:id="35"/>
      </w:r>
    </w:p>
    <w:p w:rsidRPr="009C48DA" w:rsidR="001C3CEC" w:rsidP="00C121D7" w:rsidRDefault="001C3CEC" w14:paraId="7B7F5504" w14:textId="7BD66438">
      <w:pPr>
        <w:pStyle w:val="STBBullet3"/>
        <w:rPr>
          <w:lang w:val="en-GB"/>
        </w:rPr>
      </w:pPr>
      <w:r w:rsidRPr="009C48DA">
        <w:rPr>
          <w:lang w:val="en-GB"/>
        </w:rPr>
        <w:t xml:space="preserve">the relative outperformance of private markets versus public markets and lower volatility, which was particularly highlighted </w:t>
      </w:r>
      <w:r w:rsidRPr="009C48DA" w:rsidR="009D2417">
        <w:rPr>
          <w:lang w:val="en-GB"/>
        </w:rPr>
        <w:t>during</w:t>
      </w:r>
      <w:r w:rsidRPr="009C48DA">
        <w:rPr>
          <w:lang w:val="en-GB"/>
        </w:rPr>
        <w:t xml:space="preserve"> the market </w:t>
      </w:r>
      <w:r w:rsidRPr="009C48DA" w:rsidR="009D2417">
        <w:rPr>
          <w:lang w:val="en-GB"/>
        </w:rPr>
        <w:t xml:space="preserve">turbulence of </w:t>
      </w:r>
      <w:r w:rsidRPr="009C48DA">
        <w:rPr>
          <w:lang w:val="en-GB"/>
        </w:rPr>
        <w:t>2020 and 2021;</w:t>
      </w:r>
      <w:r w:rsidRPr="009C48DA">
        <w:rPr>
          <w:rFonts w:cs="Times New Roman"/>
          <w:vertAlign w:val="superscript"/>
          <w:lang w:val="en-GB"/>
        </w:rPr>
        <w:footnoteReference w:id="36"/>
      </w:r>
      <w:r w:rsidRPr="009C48DA">
        <w:rPr>
          <w:lang w:val="en-GB"/>
        </w:rPr>
        <w:t xml:space="preserve"> and</w:t>
      </w:r>
    </w:p>
    <w:p w:rsidRPr="009C48DA" w:rsidR="001C3CEC" w:rsidP="00C121D7" w:rsidRDefault="001C3CEC" w14:paraId="5EED7496" w14:textId="77777777">
      <w:pPr>
        <w:pStyle w:val="STBBullet3"/>
        <w:rPr>
          <w:lang w:val="en-GB"/>
        </w:rPr>
      </w:pPr>
      <w:r w:rsidRPr="009C48DA">
        <w:rPr>
          <w:lang w:val="en-GB"/>
        </w:rPr>
        <w:t>“lower for longer” interest rates becoming “lower for the foreseeable future.”</w:t>
      </w:r>
      <w:r w:rsidRPr="009C48DA">
        <w:rPr>
          <w:rFonts w:cs="Times New Roman"/>
          <w:vertAlign w:val="superscript"/>
          <w:lang w:val="en-GB"/>
        </w:rPr>
        <w:footnoteReference w:id="37"/>
      </w:r>
    </w:p>
    <w:p w:rsidRPr="009C48DA" w:rsidR="001C3CEC" w:rsidP="0002759F" w:rsidRDefault="001C3CEC" w14:paraId="569E7B54" w14:textId="06ACCDDA">
      <w:pPr>
        <w:pStyle w:val="BodyText2SglJ"/>
        <w:rPr>
          <w:lang w:val="en-GB"/>
        </w:rPr>
      </w:pPr>
      <w:r w:rsidRPr="009C48DA">
        <w:rPr>
          <w:lang w:val="en-GB"/>
        </w:rPr>
        <w:lastRenderedPageBreak/>
        <w:t xml:space="preserve">These trends have driven an increase </w:t>
      </w:r>
      <w:r w:rsidRPr="009C48DA" w:rsidR="009D2417">
        <w:rPr>
          <w:lang w:val="en-GB"/>
        </w:rPr>
        <w:t>in</w:t>
      </w:r>
      <w:r w:rsidRPr="009C48DA">
        <w:rPr>
          <w:lang w:val="en-GB"/>
        </w:rPr>
        <w:t xml:space="preserve"> allocations to private markets by investors, who still believe that they are under-allocated to the asset class as illustrated by the substantial majority of investors seeking to increase allocations to private markets both in the short</w:t>
      </w:r>
      <w:r w:rsidRPr="009C48DA" w:rsidR="007A03DC">
        <w:rPr>
          <w:lang w:val="en-GB"/>
        </w:rPr>
        <w:t>-</w:t>
      </w:r>
      <w:r w:rsidRPr="009C48DA">
        <w:rPr>
          <w:lang w:val="en-GB"/>
        </w:rPr>
        <w:t xml:space="preserve"> and long</w:t>
      </w:r>
      <w:r w:rsidRPr="009C48DA" w:rsidR="007A03DC">
        <w:rPr>
          <w:lang w:val="en-GB"/>
        </w:rPr>
        <w:t>-</w:t>
      </w:r>
      <w:r w:rsidRPr="009C48DA">
        <w:rPr>
          <w:lang w:val="en-GB"/>
        </w:rPr>
        <w:t>term.</w:t>
      </w:r>
      <w:r w:rsidRPr="009C48DA">
        <w:rPr>
          <w:rFonts w:cs="Times New Roman"/>
          <w:vertAlign w:val="superscript"/>
          <w:lang w:val="en-GB"/>
        </w:rPr>
        <w:footnoteReference w:id="38"/>
      </w:r>
      <w:r w:rsidRPr="009C48DA">
        <w:rPr>
          <w:lang w:val="en-GB"/>
        </w:rPr>
        <w:t xml:space="preserve"> In addition, there is a general market trend of investors into private markets seeking to consolidate their relationships with managers and to reduce the number of counterparties with which they invest. With its focus on private equity and private credit, the Group expects to be well positioned to capitalise on these market trends. </w:t>
      </w:r>
    </w:p>
    <w:p w:rsidRPr="009C48DA" w:rsidR="001C3CEC" w:rsidP="0002759F" w:rsidRDefault="001C3CEC" w14:paraId="18EE2161" w14:textId="4231F052">
      <w:pPr>
        <w:pStyle w:val="BodyText2SglJ"/>
        <w:rPr>
          <w:lang w:val="en-GB"/>
        </w:rPr>
      </w:pPr>
      <w:r w:rsidRPr="009C48DA">
        <w:rPr>
          <w:lang w:val="en-GB"/>
        </w:rPr>
        <w:t>The private markets asset management industry is characterised by several factors that have become increasingly important for asset managers in maintaining their competitive positioning, such as a focus on investment track record, the need for ever more sophisticated investor servicing and the requisite investments in a robust technology and compliance infrastructure, all of which reinforce the competitive positioning of established firms</w:t>
      </w:r>
      <w:r w:rsidRPr="009C48DA" w:rsidR="00EC28B6">
        <w:rPr>
          <w:lang w:val="en-GB"/>
        </w:rPr>
        <w:t xml:space="preserve"> such as Bridgepoint</w:t>
      </w:r>
      <w:r w:rsidRPr="009C48DA">
        <w:rPr>
          <w:lang w:val="en-GB"/>
        </w:rPr>
        <w:t xml:space="preserve">. With its well-invested platform and highly experienced team, established network of global offices and long pedigree of delivering strong returns for its investors, the Group believes that it is well positioned to maintain and further develop its competitive positioning in this market. </w:t>
      </w:r>
    </w:p>
    <w:p w:rsidRPr="009C48DA" w:rsidR="001C3CEC" w:rsidP="00C121D7" w:rsidRDefault="001C3CEC" w14:paraId="0283543E" w14:textId="7978B98F">
      <w:pPr>
        <w:pStyle w:val="TitleB"/>
        <w:rPr>
          <w:lang w:val="en-GB"/>
        </w:rPr>
      </w:pPr>
      <w:r w:rsidRPr="009C48DA">
        <w:rPr>
          <w:lang w:val="en-GB"/>
        </w:rPr>
        <w:t>Differentiated and sustainable approach delivering high</w:t>
      </w:r>
      <w:r w:rsidRPr="009C48DA" w:rsidR="00727C85">
        <w:rPr>
          <w:lang w:val="en-GB"/>
        </w:rPr>
        <w:t>-</w:t>
      </w:r>
      <w:r w:rsidRPr="009C48DA">
        <w:rPr>
          <w:lang w:val="en-GB"/>
        </w:rPr>
        <w:t xml:space="preserve">quality returns </w:t>
      </w:r>
    </w:p>
    <w:p w:rsidRPr="009C48DA" w:rsidR="001C3CEC" w:rsidP="0002759F" w:rsidRDefault="001C3CEC" w14:paraId="03438560" w14:textId="197670BA">
      <w:pPr>
        <w:pStyle w:val="BodyText2SglJ"/>
        <w:rPr>
          <w:lang w:val="en-GB"/>
        </w:rPr>
      </w:pPr>
      <w:r w:rsidRPr="009C48DA">
        <w:rPr>
          <w:lang w:val="en-GB"/>
        </w:rPr>
        <w:t xml:space="preserve">The </w:t>
      </w:r>
      <w:r w:rsidRPr="009C48DA" w:rsidR="00822115">
        <w:rPr>
          <w:lang w:val="en-GB"/>
        </w:rPr>
        <w:t xml:space="preserve">Bridgepoint </w:t>
      </w:r>
      <w:r w:rsidRPr="009C48DA">
        <w:rPr>
          <w:lang w:val="en-GB"/>
        </w:rPr>
        <w:t>Funds’ investment approach has delivered stron</w:t>
      </w:r>
      <w:r w:rsidR="00CF56DC">
        <w:rPr>
          <w:lang w:val="en-GB"/>
        </w:rPr>
        <w:t>g and consistent returns. As of </w:t>
      </w:r>
      <w:r w:rsidRPr="009C48DA">
        <w:rPr>
          <w:lang w:val="en-GB"/>
        </w:rPr>
        <w:t xml:space="preserve">30 September 2020, all </w:t>
      </w:r>
      <w:r w:rsidRPr="009C48DA" w:rsidR="00822115">
        <w:rPr>
          <w:lang w:val="en-GB"/>
        </w:rPr>
        <w:t xml:space="preserve">Bridgepoint </w:t>
      </w:r>
      <w:r w:rsidRPr="009C48DA">
        <w:rPr>
          <w:lang w:val="en-GB"/>
        </w:rPr>
        <w:t xml:space="preserve">Europe, </w:t>
      </w:r>
      <w:r w:rsidRPr="009C48DA" w:rsidR="00822115">
        <w:rPr>
          <w:lang w:val="en-GB"/>
        </w:rPr>
        <w:t xml:space="preserve">Bridgepoint </w:t>
      </w:r>
      <w:r w:rsidRPr="009C48DA">
        <w:rPr>
          <w:lang w:val="en-GB"/>
        </w:rPr>
        <w:t xml:space="preserve">Development Capital and </w:t>
      </w:r>
      <w:r w:rsidRPr="009C48DA" w:rsidR="00822115">
        <w:rPr>
          <w:lang w:val="en-GB"/>
        </w:rPr>
        <w:t xml:space="preserve">Bridgepoint </w:t>
      </w:r>
      <w:r w:rsidRPr="009C48DA">
        <w:rPr>
          <w:lang w:val="en-GB"/>
        </w:rPr>
        <w:t>Credit Opportunities funds raised after the global financial crisis of 2008 to 2009 were first or second quartile performers based on Cambridge Associates Benchmark Statistics.</w:t>
      </w:r>
      <w:r w:rsidRPr="009C48DA">
        <w:rPr>
          <w:vertAlign w:val="superscript"/>
          <w:lang w:val="en-GB"/>
        </w:rPr>
        <w:footnoteReference w:id="39"/>
      </w:r>
      <w:r w:rsidRPr="009C48DA">
        <w:rPr>
          <w:lang w:val="en-GB"/>
        </w:rPr>
        <w:t xml:space="preserve"> </w:t>
      </w:r>
      <w:r w:rsidRPr="009C48DA" w:rsidR="00822115">
        <w:rPr>
          <w:lang w:val="en-GB"/>
        </w:rPr>
        <w:t xml:space="preserve">Bridgepoint </w:t>
      </w:r>
      <w:r w:rsidRPr="009C48DA">
        <w:rPr>
          <w:lang w:val="en-GB"/>
        </w:rPr>
        <w:t xml:space="preserve">Direct Lending funds are not subject to equivalent industry benchmarks given the specific targeted returns of each fund to reflect their respective investment strategies and risk profiles, however, the </w:t>
      </w:r>
      <w:r w:rsidRPr="009C48DA" w:rsidR="00822115">
        <w:rPr>
          <w:lang w:val="en-GB"/>
        </w:rPr>
        <w:t xml:space="preserve">Bridgepoint </w:t>
      </w:r>
      <w:r w:rsidRPr="009C48DA">
        <w:rPr>
          <w:lang w:val="en-GB"/>
        </w:rPr>
        <w:t>Direct Lending funds have continued to deliver against their target returns with no realised losses as of 31 March 2021.</w:t>
      </w:r>
    </w:p>
    <w:p w:rsidRPr="009C48DA" w:rsidR="001C3CEC" w:rsidP="0002759F" w:rsidRDefault="00822115" w14:paraId="506065DB" w14:textId="30C12CC6">
      <w:pPr>
        <w:pStyle w:val="BodyText2SglJ"/>
        <w:rPr>
          <w:lang w:val="en-GB"/>
        </w:rPr>
      </w:pPr>
      <w:r w:rsidRPr="009C48DA">
        <w:rPr>
          <w:lang w:val="en-GB"/>
        </w:rPr>
        <w:t xml:space="preserve">Bridgepoint </w:t>
      </w:r>
      <w:r w:rsidRPr="009C48DA" w:rsidR="001C3CEC">
        <w:rPr>
          <w:lang w:val="en-GB"/>
        </w:rPr>
        <w:t>has delivered these high</w:t>
      </w:r>
      <w:r w:rsidRPr="009C48DA" w:rsidR="00727C85">
        <w:rPr>
          <w:lang w:val="en-GB"/>
        </w:rPr>
        <w:t>-</w:t>
      </w:r>
      <w:r w:rsidRPr="009C48DA" w:rsidR="009D2417">
        <w:rPr>
          <w:lang w:val="en-GB"/>
        </w:rPr>
        <w:t>quality returns</w:t>
      </w:r>
      <w:r w:rsidRPr="009C48DA" w:rsidR="001C3CEC">
        <w:rPr>
          <w:lang w:val="en-GB"/>
        </w:rPr>
        <w:t xml:space="preserve"> </w:t>
      </w:r>
      <w:r w:rsidRPr="009C48DA" w:rsidR="009D2417">
        <w:rPr>
          <w:lang w:val="en-GB"/>
        </w:rPr>
        <w:t xml:space="preserve">through </w:t>
      </w:r>
      <w:r w:rsidRPr="009C48DA" w:rsidR="001C3CEC">
        <w:rPr>
          <w:lang w:val="en-GB"/>
        </w:rPr>
        <w:t>careful portfolio construction, sensible use of leverage and asset selection focused on high margin, cash generative businesses</w:t>
      </w:r>
      <w:r w:rsidRPr="009C48DA" w:rsidR="009D2417">
        <w:rPr>
          <w:lang w:val="en-GB"/>
        </w:rPr>
        <w:t>,</w:t>
      </w:r>
      <w:r w:rsidRPr="009C48DA" w:rsidR="001C3CEC">
        <w:rPr>
          <w:lang w:val="en-GB"/>
        </w:rPr>
        <w:t xml:space="preserve"> contributing to low realised loss ratios (for example, one per cent across </w:t>
      </w:r>
      <w:r w:rsidRPr="009C48DA">
        <w:rPr>
          <w:lang w:val="en-GB"/>
        </w:rPr>
        <w:t xml:space="preserve">Bridgepoint </w:t>
      </w:r>
      <w:r w:rsidRPr="009C48DA" w:rsidR="001C3CEC">
        <w:rPr>
          <w:lang w:val="en-GB"/>
        </w:rPr>
        <w:t xml:space="preserve">Europe IV through VI and with only </w:t>
      </w:r>
      <w:r w:rsidRPr="009C48DA" w:rsidR="000F302B">
        <w:rPr>
          <w:lang w:val="en-GB"/>
        </w:rPr>
        <w:t>four </w:t>
      </w:r>
      <w:r w:rsidRPr="009C48DA" w:rsidR="001C3CEC">
        <w:rPr>
          <w:lang w:val="en-GB"/>
        </w:rPr>
        <w:t>per</w:t>
      </w:r>
      <w:r w:rsidRPr="009C48DA" w:rsidR="000F302B">
        <w:rPr>
          <w:lang w:val="en-GB"/>
        </w:rPr>
        <w:t> </w:t>
      </w:r>
      <w:r w:rsidRPr="009C48DA" w:rsidR="001C3CEC">
        <w:rPr>
          <w:lang w:val="en-GB"/>
        </w:rPr>
        <w:t xml:space="preserve">cent of assets realised at a Gross MOIC of less than 1.0 times). These returns have been delivered by the application of the Group’s differentiated and proven investment approach, consistently applied across all </w:t>
      </w:r>
      <w:r w:rsidRPr="009C48DA" w:rsidR="009D2417">
        <w:rPr>
          <w:lang w:val="en-GB"/>
        </w:rPr>
        <w:t>investment</w:t>
      </w:r>
      <w:r w:rsidRPr="009C48DA" w:rsidR="001C3CEC">
        <w:rPr>
          <w:lang w:val="en-GB"/>
        </w:rPr>
        <w:t xml:space="preserve"> strategies. The key principles of this differentiated approach are summarised in the graphic below:</w:t>
      </w:r>
    </w:p>
    <w:p w:rsidRPr="009C48DA" w:rsidR="001C3CEC" w:rsidP="001C3CEC" w:rsidRDefault="001A3FD2" w14:paraId="1D3052F4" w14:textId="16774D31">
      <w:pPr>
        <w:spacing w:before="120" w:line="288" w:lineRule="auto"/>
        <w:jc w:val="center"/>
        <w:rPr>
          <w:rFonts w:cs="Times New Roman"/>
          <w:sz w:val="20"/>
          <w:szCs w:val="20"/>
          <w:lang w:val="en-GB"/>
        </w:rPr>
      </w:pPr>
      <w:r w:rsidRPr="00C167FF">
        <w:rPr>
          <w:noProof/>
        </w:rPr>
        <w:drawing>
          <wp:inline distT="0" distB="0" distL="0" distR="0" wp14:anchorId="79D91462" wp14:editId="3EF4A7E3">
            <wp:extent cx="5429250" cy="2904199"/>
            <wp:effectExtent l="0" t="0" r="0" b="0"/>
            <wp:docPr id="24" name="Picture 2" descr="" title="">
              <a:extLst xmlns:a="http://schemas.openxmlformats.org/drawingml/2006/main">
                <a:ext uri="{FF2B5EF4-FFF2-40B4-BE49-F238E27FC236}">
                  <a16:creationId xmlns:a16="http://schemas.microsoft.com/office/drawing/2014/main" id="{14159EC2-EF96-4FA3-A3DC-A89B5E9AC6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4159EC2-EF96-4FA3-A3DC-A89B5E9AC684}"/>
                        </a:ext>
                      </a:extLst>
                    </pic:cNvPr>
                    <pic:cNvPicPr>
                      <a:picLocks noChangeAspect="1"/>
                    </pic:cNvPicPr>
                  </pic:nvPicPr>
                  <pic:blipFill>
                    <a:blip r:embed="rId40"/>
                    <a:stretch>
                      <a:fillRect/>
                    </a:stretch>
                  </pic:blipFill>
                  <pic:spPr>
                    <a:xfrm>
                      <a:off x="0" y="0"/>
                      <a:ext cx="5429250" cy="2904199"/>
                    </a:xfrm>
                    <a:prstGeom prst="rect">
                      <a:avLst/>
                    </a:prstGeom>
                  </pic:spPr>
                </pic:pic>
              </a:graphicData>
            </a:graphic>
          </wp:inline>
        </w:drawing>
      </w:r>
    </w:p>
    <w:p w:rsidRPr="009C48DA" w:rsidR="001C3CEC" w:rsidP="00C121D7" w:rsidRDefault="001C3CEC" w14:paraId="61EB2904" w14:textId="1B02626F">
      <w:pPr>
        <w:pStyle w:val="BlockTextSglJ"/>
        <w:rPr>
          <w:lang w:val="en-GB"/>
        </w:rPr>
      </w:pPr>
      <w:r w:rsidRPr="009C48DA">
        <w:rPr>
          <w:i/>
          <w:lang w:val="en-GB"/>
        </w:rPr>
        <w:t>Note</w:t>
      </w:r>
      <w:r w:rsidRPr="009C48DA">
        <w:rPr>
          <w:lang w:val="en-GB"/>
        </w:rPr>
        <w:t>:</w:t>
      </w:r>
      <w:r w:rsidRPr="009C48DA">
        <w:rPr>
          <w:vertAlign w:val="superscript"/>
          <w:lang w:val="en-GB"/>
        </w:rPr>
        <w:t xml:space="preserve"> 1</w:t>
      </w:r>
      <w:r w:rsidRPr="009C48DA">
        <w:rPr>
          <w:lang w:val="en-GB"/>
        </w:rPr>
        <w:t xml:space="preserve"> As of 31 March 2021, excluding employees in </w:t>
      </w:r>
      <w:r w:rsidRPr="009C48DA" w:rsidR="006D5BFE">
        <w:rPr>
          <w:lang w:val="en-GB"/>
        </w:rPr>
        <w:t>Bridgepoint</w:t>
      </w:r>
      <w:r w:rsidRPr="009C48DA" w:rsidR="00D81326">
        <w:rPr>
          <w:lang w:val="en-GB"/>
        </w:rPr>
        <w:t>’s</w:t>
      </w:r>
      <w:r w:rsidRPr="009C48DA">
        <w:rPr>
          <w:lang w:val="en-GB"/>
        </w:rPr>
        <w:t xml:space="preserve"> investor relations team.</w:t>
      </w:r>
    </w:p>
    <w:p w:rsidRPr="009C48DA" w:rsidR="001C3CEC" w:rsidP="0002759F" w:rsidRDefault="001C3CEC" w14:paraId="03EF472E" w14:textId="09B8A8C7">
      <w:pPr>
        <w:pStyle w:val="BodyText2SglJ"/>
        <w:rPr>
          <w:lang w:val="en-GB"/>
        </w:rPr>
      </w:pPr>
      <w:r w:rsidRPr="009C48DA">
        <w:rPr>
          <w:b/>
          <w:i/>
          <w:lang w:val="en-GB"/>
        </w:rPr>
        <w:lastRenderedPageBreak/>
        <w:t>Evolving and well</w:t>
      </w:r>
      <w:r w:rsidRPr="009C48DA">
        <w:rPr>
          <w:b/>
          <w:i/>
          <w:lang w:val="en-GB"/>
        </w:rPr>
        <w:noBreakHyphen/>
        <w:t>invested office network</w:t>
      </w:r>
      <w:r w:rsidRPr="009C48DA">
        <w:rPr>
          <w:b/>
          <w:lang w:val="en-GB"/>
        </w:rPr>
        <w:t xml:space="preserve">: </w:t>
      </w:r>
      <w:r w:rsidRPr="009C48DA">
        <w:rPr>
          <w:lang w:val="en-GB"/>
        </w:rPr>
        <w:t>The local presence of the Group in its</w:t>
      </w:r>
      <w:r w:rsidRPr="009C48DA" w:rsidR="000F302B">
        <w:rPr>
          <w:lang w:val="en-GB"/>
        </w:rPr>
        <w:t xml:space="preserve"> 10 </w:t>
      </w:r>
      <w:r w:rsidRPr="009C48DA">
        <w:rPr>
          <w:lang w:val="en-GB"/>
        </w:rPr>
        <w:t xml:space="preserve">offices and the strength of its investment platform are particularly important in sourcing attractive deals and driving value creation in the middle market. From time to time, </w:t>
      </w:r>
      <w:r w:rsidRPr="009C48DA" w:rsidR="00822115">
        <w:rPr>
          <w:lang w:val="en-GB"/>
        </w:rPr>
        <w:t xml:space="preserve">Bridgepoint </w:t>
      </w:r>
      <w:r w:rsidRPr="009C48DA">
        <w:rPr>
          <w:lang w:val="en-GB"/>
        </w:rPr>
        <w:t>reallocates resources from regions which it believes are less compelling than other markets and has in the past closed offices accordingly.</w:t>
      </w:r>
    </w:p>
    <w:p w:rsidRPr="009C48DA" w:rsidR="001C3CEC" w:rsidP="0002759F" w:rsidRDefault="001C3CEC" w14:paraId="0D8A6AFC" w14:textId="4C42DD5E">
      <w:pPr>
        <w:pStyle w:val="BodyText2SglJ"/>
        <w:rPr>
          <w:lang w:val="en-GB"/>
        </w:rPr>
      </w:pPr>
      <w:r w:rsidRPr="009C48DA">
        <w:rPr>
          <w:b/>
          <w:i/>
          <w:lang w:val="en-GB"/>
        </w:rPr>
        <w:t>Deep and long-standing sector focus</w:t>
      </w:r>
      <w:r w:rsidRPr="009C48DA">
        <w:rPr>
          <w:b/>
          <w:lang w:val="en-GB"/>
        </w:rPr>
        <w:t>:</w:t>
      </w:r>
      <w:r w:rsidRPr="009C48DA">
        <w:rPr>
          <w:lang w:val="en-GB"/>
        </w:rPr>
        <w:t xml:space="preserve"> The Group’s investment professionals in both private equity and credit are deep sector specialists across the Business Services, Media and Sports Rights, Consumer, Financial Services, Healthcare, Advanced Industrials, and Technology sectors, with the latter representing a “technology transversal” interfacing with the other sectors. The investment strategy focuses on long-term thematic trends which are constantly evolving (with strategic ‘tilts’ to capitalise on particular aspects of these trends that create fresh investment opportunities). Within </w:t>
      </w:r>
      <w:r w:rsidRPr="009C48DA" w:rsidR="006D5BFE">
        <w:rPr>
          <w:lang w:val="en-GB"/>
        </w:rPr>
        <w:t>Bridgepoint</w:t>
      </w:r>
      <w:r w:rsidRPr="009C48DA">
        <w:rPr>
          <w:lang w:val="en-GB"/>
        </w:rPr>
        <w:t>’s private equity sector, this was illustrated in healthcare by the migration from services to medical technology and pharma, and in media and technology from legacy media to technology investments and financial software.</w:t>
      </w:r>
    </w:p>
    <w:p w:rsidRPr="009C48DA" w:rsidR="001C3CEC" w:rsidP="0002759F" w:rsidRDefault="001C3CEC" w14:paraId="1236ECAA" w14:textId="2809E76B">
      <w:pPr>
        <w:pStyle w:val="BodyText2SglJ"/>
        <w:rPr>
          <w:lang w:val="en-GB"/>
        </w:rPr>
      </w:pPr>
      <w:r w:rsidRPr="009C48DA">
        <w:rPr>
          <w:b/>
          <w:i/>
          <w:lang w:val="en-GB"/>
        </w:rPr>
        <w:t>Thematic approach</w:t>
      </w:r>
      <w:r w:rsidRPr="009C48DA">
        <w:rPr>
          <w:b/>
          <w:lang w:val="en-GB"/>
        </w:rPr>
        <w:t xml:space="preserve">: </w:t>
      </w:r>
      <w:r w:rsidRPr="009C48DA" w:rsidR="006D5BFE">
        <w:rPr>
          <w:lang w:val="en-GB"/>
        </w:rPr>
        <w:t>Bridgepoint</w:t>
      </w:r>
      <w:r w:rsidRPr="009C48DA">
        <w:rPr>
          <w:lang w:val="en-GB"/>
        </w:rPr>
        <w:t>’s private equity investment teams regularly produce detailed, bottom</w:t>
      </w:r>
      <w:r w:rsidRPr="009C48DA">
        <w:rPr>
          <w:lang w:val="en-GB"/>
        </w:rPr>
        <w:noBreakHyphen/>
        <w:t xml:space="preserve">up sector plans and ‘market maps’ which set out their expectations for the evolution of sub-sectors and identify assets which may be potentially attractive acquisition targets, often some years in advance of an investment decision. This is mirrored in the research-driven approach </w:t>
      </w:r>
      <w:r w:rsidRPr="009C48DA" w:rsidR="008E7DB2">
        <w:rPr>
          <w:lang w:val="en-GB"/>
        </w:rPr>
        <w:t xml:space="preserve">of the </w:t>
      </w:r>
      <w:r w:rsidRPr="009C48DA" w:rsidR="00822115">
        <w:rPr>
          <w:lang w:val="en-GB"/>
        </w:rPr>
        <w:t xml:space="preserve">Bridgepoint </w:t>
      </w:r>
      <w:r w:rsidRPr="009C48DA" w:rsidR="008E7DB2">
        <w:rPr>
          <w:lang w:val="en-GB"/>
        </w:rPr>
        <w:t>private c</w:t>
      </w:r>
      <w:r w:rsidRPr="009C48DA">
        <w:rPr>
          <w:lang w:val="en-GB"/>
        </w:rPr>
        <w:t>redit</w:t>
      </w:r>
      <w:r w:rsidRPr="009C48DA" w:rsidR="008E7DB2">
        <w:rPr>
          <w:lang w:val="en-GB"/>
        </w:rPr>
        <w:t xml:space="preserve"> team</w:t>
      </w:r>
      <w:r w:rsidRPr="009C48DA">
        <w:rPr>
          <w:lang w:val="en-GB"/>
        </w:rPr>
        <w:t xml:space="preserve">, as illustrated by the sector deep dives, primary deal tracking and secondary market screening in the </w:t>
      </w:r>
      <w:r w:rsidRPr="009C48DA" w:rsidR="00822115">
        <w:rPr>
          <w:lang w:val="en-GB"/>
        </w:rPr>
        <w:t xml:space="preserve">Bridgepoint </w:t>
      </w:r>
      <w:r w:rsidRPr="009C48DA">
        <w:rPr>
          <w:lang w:val="en-GB"/>
        </w:rPr>
        <w:t>Credit Opportunities funds.</w:t>
      </w:r>
    </w:p>
    <w:p w:rsidRPr="009C48DA" w:rsidR="001C3CEC" w:rsidP="0002759F" w:rsidRDefault="001C3CEC" w14:paraId="6021E230" w14:textId="48B018B3">
      <w:pPr>
        <w:pStyle w:val="BodyText2SglJ"/>
        <w:rPr>
          <w:lang w:val="en-GB"/>
        </w:rPr>
      </w:pPr>
      <w:r w:rsidRPr="009C48DA">
        <w:rPr>
          <w:b/>
          <w:i/>
          <w:lang w:val="en-GB"/>
        </w:rPr>
        <w:t>Differentiated sourcing and origination</w:t>
      </w:r>
      <w:r w:rsidRPr="009C48DA">
        <w:rPr>
          <w:b/>
          <w:lang w:val="en-GB"/>
        </w:rPr>
        <w:t xml:space="preserve">: </w:t>
      </w:r>
      <w:r w:rsidRPr="009C48DA" w:rsidR="00822115">
        <w:rPr>
          <w:lang w:val="en-GB"/>
        </w:rPr>
        <w:t xml:space="preserve">Bridgepoint </w:t>
      </w:r>
      <w:r w:rsidRPr="009C48DA">
        <w:rPr>
          <w:lang w:val="en-GB"/>
        </w:rPr>
        <w:t xml:space="preserve">has historically been successful in sourcing assets in bilateral deals or limited auctions, avoiding the intense competition and price maximisation that can often be seen in full auction processes in the larger deal segment of the private equity market. The Group typically focuses on primary transactions and only a smaller amount of deals originates from secondary transactions, which are sales through other private equity firms. </w:t>
      </w:r>
      <w:r w:rsidRPr="009C48DA" w:rsidR="006D5BFE">
        <w:rPr>
          <w:lang w:val="en-GB"/>
        </w:rPr>
        <w:t>Bridgepoint</w:t>
      </w:r>
      <w:r w:rsidRPr="009C48DA">
        <w:rPr>
          <w:lang w:val="en-GB"/>
        </w:rPr>
        <w:t>’s strategic origination capabilities allowed it to make its investments at a competitive entry pricing, with many investments being made at the lower end of long-term valuation ranges of peers with similar geographic and sector exposures.</w:t>
      </w:r>
    </w:p>
    <w:p w:rsidRPr="009C48DA" w:rsidR="001C3CEC" w:rsidP="0002759F" w:rsidRDefault="001C3CEC" w14:paraId="0EEF40A1" w14:textId="2E71ED4B">
      <w:pPr>
        <w:pStyle w:val="BodyText2SglJ"/>
        <w:rPr>
          <w:lang w:val="en-GB"/>
        </w:rPr>
      </w:pPr>
      <w:r w:rsidRPr="009C48DA">
        <w:rPr>
          <w:b/>
          <w:i/>
          <w:lang w:val="en-GB"/>
        </w:rPr>
        <w:t>Disciplined asset selection and portfolio construction</w:t>
      </w:r>
      <w:r w:rsidRPr="009C48DA">
        <w:rPr>
          <w:b/>
          <w:lang w:val="en-GB"/>
        </w:rPr>
        <w:t xml:space="preserve">: </w:t>
      </w:r>
      <w:r w:rsidRPr="009C48DA">
        <w:rPr>
          <w:lang w:val="en-GB"/>
        </w:rPr>
        <w:t>Core</w:t>
      </w:r>
      <w:r w:rsidRPr="009C48DA">
        <w:rPr>
          <w:b/>
          <w:lang w:val="en-GB"/>
        </w:rPr>
        <w:t xml:space="preserve"> </w:t>
      </w:r>
      <w:r w:rsidRPr="009C48DA">
        <w:rPr>
          <w:lang w:val="en-GB"/>
        </w:rPr>
        <w:t xml:space="preserve">to </w:t>
      </w:r>
      <w:r w:rsidRPr="009C48DA" w:rsidR="006D5BFE">
        <w:rPr>
          <w:lang w:val="en-GB"/>
        </w:rPr>
        <w:t>Bridgepoint</w:t>
      </w:r>
      <w:r w:rsidRPr="009C48DA">
        <w:rPr>
          <w:lang w:val="en-GB"/>
        </w:rPr>
        <w:t xml:space="preserve">’s investment performance and its strong positioning with investors is a focus on fundamental metrics for each new investment made by its private equity strategies and careful portfolio construction to generate attractive risk adjusted returns. Potential targets are typically selected for investments through the </w:t>
      </w:r>
      <w:r w:rsidRPr="009C48DA" w:rsidR="00822115">
        <w:rPr>
          <w:lang w:val="en-GB"/>
        </w:rPr>
        <w:t xml:space="preserve">Bridgepoint </w:t>
      </w:r>
      <w:r w:rsidRPr="009C48DA">
        <w:rPr>
          <w:lang w:val="en-GB"/>
        </w:rPr>
        <w:t xml:space="preserve">Funds based on criteria such as market leadership, exceptional revenue visibility, high EBITDA margins, strong cash conversion, repeatable business models, potential for international expansion, attractive relative value, clear sector themes and high-growth niches, and a platform for potential consolidation at accretive valuations. Additionally, potential targets are assessed for their ESG credentials and their potential for operational improvement. </w:t>
      </w:r>
    </w:p>
    <w:p w:rsidRPr="009C48DA" w:rsidR="001C3CEC" w:rsidP="0002759F" w:rsidRDefault="001C3CEC" w14:paraId="0B8F1744" w14:textId="2A54ADB7">
      <w:pPr>
        <w:pStyle w:val="BodyText2SglJ"/>
        <w:rPr>
          <w:lang w:val="en-GB"/>
        </w:rPr>
      </w:pPr>
      <w:r w:rsidRPr="009C48DA">
        <w:rPr>
          <w:lang w:val="en-GB"/>
        </w:rPr>
        <w:t xml:space="preserve">Every </w:t>
      </w:r>
      <w:r w:rsidRPr="009C48DA" w:rsidR="00822115">
        <w:rPr>
          <w:lang w:val="en-GB"/>
        </w:rPr>
        <w:t xml:space="preserve">Bridgepoint </w:t>
      </w:r>
      <w:r w:rsidRPr="009C48DA">
        <w:rPr>
          <w:lang w:val="en-GB"/>
        </w:rPr>
        <w:t xml:space="preserve">Fund is deliberately diversified by vintage year, sector, geography and number of investments, with, for example, approximately 20 and 15 assets per </w:t>
      </w:r>
      <w:r w:rsidRPr="009C48DA" w:rsidR="00822115">
        <w:rPr>
          <w:lang w:val="en-GB"/>
        </w:rPr>
        <w:t xml:space="preserve">Bridgepoint </w:t>
      </w:r>
      <w:r w:rsidRPr="009C48DA">
        <w:rPr>
          <w:lang w:val="en-GB"/>
        </w:rPr>
        <w:t xml:space="preserve">Europe fund and </w:t>
      </w:r>
      <w:r w:rsidRPr="009C48DA" w:rsidR="00822115">
        <w:rPr>
          <w:lang w:val="en-GB"/>
        </w:rPr>
        <w:t xml:space="preserve">Bridgepoint </w:t>
      </w:r>
      <w:r w:rsidRPr="009C48DA">
        <w:rPr>
          <w:lang w:val="en-GB"/>
        </w:rPr>
        <w:t xml:space="preserve">Development Capital fund, respectively, and no asset typically accounting for greater than 10 per cent of a fund’s capital. The Group’s careful approach to geographic diversification is shown by the composition of </w:t>
      </w:r>
      <w:r w:rsidRPr="009C48DA" w:rsidR="00822115">
        <w:rPr>
          <w:lang w:val="en-GB"/>
        </w:rPr>
        <w:t xml:space="preserve">Bridgepoint </w:t>
      </w:r>
      <w:r w:rsidRPr="009C48DA">
        <w:rPr>
          <w:lang w:val="en-GB"/>
        </w:rPr>
        <w:t xml:space="preserve">Europe VI’s portfolio, with 11 per cent, 13 per cent, 17 per cent, 49 per cent and 11 per cent of investments based on cost located in the UK, France, the Nordics, the rest of Europe and the </w:t>
      </w:r>
      <w:r w:rsidRPr="009C48DA" w:rsidR="00AD15E0">
        <w:rPr>
          <w:lang w:val="en-GB"/>
        </w:rPr>
        <w:t>United States</w:t>
      </w:r>
      <w:r w:rsidRPr="009C48DA">
        <w:rPr>
          <w:lang w:val="en-GB"/>
        </w:rPr>
        <w:t xml:space="preserve"> as of 31 March 2021, respectively. Combined with prudent opening capital structures and a sensible mix of value and growth-themed investing, this multi-dimensional diversification strategy leads to funds with a consistent performance profile, high cash generation, average operating margins and revenue visibility, low standard deviation of returns and low loss ratios. Similarly stringent metrics and thresholds are applied by the Group’s private credit strategies.</w:t>
      </w:r>
    </w:p>
    <w:p w:rsidRPr="009C48DA" w:rsidR="001C3CEC" w:rsidP="0002759F" w:rsidRDefault="001C3CEC" w14:paraId="0B7C36B7" w14:textId="11193C2F">
      <w:pPr>
        <w:pStyle w:val="BodyText2SglJ"/>
        <w:rPr>
          <w:lang w:val="en-GB"/>
        </w:rPr>
      </w:pPr>
      <w:r w:rsidRPr="009C48DA">
        <w:rPr>
          <w:b/>
          <w:i/>
          <w:lang w:val="en-GB"/>
        </w:rPr>
        <w:t>Hands-on value creation philosophy</w:t>
      </w:r>
      <w:r w:rsidRPr="009C48DA">
        <w:rPr>
          <w:i/>
          <w:lang w:val="en-GB"/>
        </w:rPr>
        <w:t xml:space="preserve">: </w:t>
      </w:r>
      <w:r w:rsidRPr="009C48DA">
        <w:rPr>
          <w:lang w:val="en-GB"/>
        </w:rPr>
        <w:t xml:space="preserve">Following an investment, </w:t>
      </w:r>
      <w:r w:rsidRPr="009C48DA" w:rsidR="00822115">
        <w:rPr>
          <w:lang w:val="en-GB"/>
        </w:rPr>
        <w:t xml:space="preserve">Bridgepoint </w:t>
      </w:r>
      <w:r w:rsidRPr="009C48DA">
        <w:rPr>
          <w:lang w:val="en-GB"/>
        </w:rPr>
        <w:t xml:space="preserve">is hands-on in delivering value creation, driving value from investment to exit through a toolbox of strategic and operational improvement measures. Elements of the </w:t>
      </w:r>
      <w:r w:rsidRPr="009C48DA" w:rsidR="00822115">
        <w:rPr>
          <w:lang w:val="en-GB"/>
        </w:rPr>
        <w:t xml:space="preserve">Bridgepoint </w:t>
      </w:r>
      <w:r w:rsidRPr="009C48DA">
        <w:rPr>
          <w:lang w:val="en-GB"/>
        </w:rPr>
        <w:t xml:space="preserve">value creation toolbox include the improvement of systems, the delivery of organic growth through new product launches or international expansion and the optimisation of costs, including through partnerships with </w:t>
      </w:r>
      <w:r w:rsidRPr="009C48DA" w:rsidR="006D5BFE">
        <w:rPr>
          <w:lang w:val="en-GB"/>
        </w:rPr>
        <w:t>Bridgepoint</w:t>
      </w:r>
      <w:r w:rsidRPr="009C48DA">
        <w:rPr>
          <w:lang w:val="en-GB"/>
        </w:rPr>
        <w:t xml:space="preserve">’s wholly-owned procurement specialist PEPCO Services LLP. In addition, </w:t>
      </w:r>
      <w:r w:rsidRPr="009C48DA" w:rsidR="00822115">
        <w:rPr>
          <w:lang w:val="en-GB"/>
        </w:rPr>
        <w:t xml:space="preserve">Bridgepoint </w:t>
      </w:r>
      <w:r w:rsidRPr="009C48DA">
        <w:rPr>
          <w:lang w:val="en-GB"/>
        </w:rPr>
        <w:t xml:space="preserve">has a strong focus on delivering value-accretive add-on acquisitions for portfolio companies across its private equity strategies, often at a lower valuation multiple than the original investment. For example, </w:t>
      </w:r>
      <w:r w:rsidRPr="009C48DA" w:rsidR="00822115">
        <w:rPr>
          <w:lang w:val="en-GB"/>
        </w:rPr>
        <w:t xml:space="preserve">Bridgepoint </w:t>
      </w:r>
      <w:r w:rsidRPr="009C48DA">
        <w:rPr>
          <w:lang w:val="en-GB"/>
        </w:rPr>
        <w:t xml:space="preserve">Europe V has been able to </w:t>
      </w:r>
      <w:r w:rsidRPr="009C48DA">
        <w:rPr>
          <w:lang w:val="en-GB"/>
        </w:rPr>
        <w:lastRenderedPageBreak/>
        <w:t>harness this method of value creation through the completion of 58 add-on acquisitions as of 31 March 2021.</w:t>
      </w:r>
    </w:p>
    <w:p w:rsidRPr="009C48DA" w:rsidR="001C3CEC" w:rsidP="0002759F" w:rsidRDefault="001C3CEC" w14:paraId="374BC7FF" w14:textId="22B1299B">
      <w:pPr>
        <w:pStyle w:val="BodyText2SglJ"/>
        <w:rPr>
          <w:lang w:val="en-GB"/>
        </w:rPr>
      </w:pPr>
      <w:r w:rsidRPr="009C48DA">
        <w:rPr>
          <w:b/>
          <w:i/>
          <w:lang w:val="en-GB"/>
        </w:rPr>
        <w:t>Responsible investing</w:t>
      </w:r>
      <w:r w:rsidRPr="009C48DA">
        <w:rPr>
          <w:b/>
          <w:lang w:val="en-GB"/>
        </w:rPr>
        <w:t xml:space="preserve">: </w:t>
      </w:r>
      <w:r w:rsidRPr="009C48DA" w:rsidR="00822115">
        <w:rPr>
          <w:lang w:val="en-GB"/>
        </w:rPr>
        <w:t xml:space="preserve">Bridgepoint </w:t>
      </w:r>
      <w:r w:rsidRPr="009C48DA">
        <w:rPr>
          <w:lang w:val="en-GB"/>
        </w:rPr>
        <w:t>follows a long-term approach with its investments, and</w:t>
      </w:r>
      <w:r w:rsidRPr="009C48DA" w:rsidR="00431928">
        <w:rPr>
          <w:lang w:val="en-GB"/>
        </w:rPr>
        <w:t>,</w:t>
      </w:r>
      <w:r w:rsidRPr="009C48DA">
        <w:rPr>
          <w:lang w:val="en-GB"/>
        </w:rPr>
        <w:t xml:space="preserve"> accordingly</w:t>
      </w:r>
      <w:r w:rsidRPr="009C48DA" w:rsidR="00431928">
        <w:rPr>
          <w:lang w:val="en-GB"/>
        </w:rPr>
        <w:t>,</w:t>
      </w:r>
      <w:r w:rsidRPr="009C48DA">
        <w:rPr>
          <w:lang w:val="en-GB"/>
        </w:rPr>
        <w:t xml:space="preserve"> has embedded ESG criteria across its investment process and portfolio management. </w:t>
      </w:r>
      <w:r w:rsidRPr="009C48DA" w:rsidR="00822115">
        <w:rPr>
          <w:lang w:val="en-GB"/>
        </w:rPr>
        <w:t xml:space="preserve">Bridgepoint </w:t>
      </w:r>
      <w:r w:rsidRPr="009C48DA">
        <w:rPr>
          <w:lang w:val="en-GB"/>
        </w:rPr>
        <w:t>is hands-on in driving improvement in businesses’ ESG</w:t>
      </w:r>
      <w:r w:rsidRPr="009C48DA" w:rsidR="0071189B">
        <w:rPr>
          <w:lang w:val="en-GB"/>
        </w:rPr>
        <w:t>-</w:t>
      </w:r>
      <w:r w:rsidRPr="009C48DA">
        <w:rPr>
          <w:lang w:val="en-GB"/>
        </w:rPr>
        <w:t xml:space="preserve">oriented measures with a philosophy of “constant improvement,” and upholds a clear set of expectations with respect to the activities of its portfolio companies, as summarised below. </w:t>
      </w:r>
      <w:r w:rsidRPr="009C48DA" w:rsidR="00822115">
        <w:rPr>
          <w:lang w:val="en-GB"/>
        </w:rPr>
        <w:t xml:space="preserve">Bridgepoint </w:t>
      </w:r>
      <w:r w:rsidRPr="009C48DA">
        <w:rPr>
          <w:lang w:val="en-GB"/>
        </w:rPr>
        <w:t xml:space="preserve">has an institutionalised ESG governance framework that includes an ESG committee and an in-house ESG team. ESG criteria are also an integrated part of the investment process, from pre-investment, where </w:t>
      </w:r>
      <w:r w:rsidRPr="009C48DA" w:rsidR="00822115">
        <w:rPr>
          <w:lang w:val="en-GB"/>
        </w:rPr>
        <w:t xml:space="preserve">Bridgepoint </w:t>
      </w:r>
      <w:r w:rsidRPr="009C48DA">
        <w:rPr>
          <w:lang w:val="en-GB"/>
        </w:rPr>
        <w:t xml:space="preserve">avoids investing in companies whose products, services or practices cause environmental or social harm and where there is no path to mitigation, to post-investment, where specific ESG key performance indicators are reported by portfolio companies using a dedicated internal ESG cloud-based reporting tool on a quarterly basis. </w:t>
      </w:r>
      <w:r w:rsidRPr="009C48DA" w:rsidR="006D5BFE">
        <w:rPr>
          <w:lang w:val="en-GB"/>
        </w:rPr>
        <w:t>Bridgepoint</w:t>
      </w:r>
      <w:r w:rsidRPr="009C48DA">
        <w:rPr>
          <w:lang w:val="en-GB"/>
        </w:rPr>
        <w:t>’s portfolio companies are expected to meet the criteria set out below:</w:t>
      </w:r>
    </w:p>
    <w:p w:rsidRPr="009C48DA" w:rsidR="001C3CEC" w:rsidP="001C3CEC" w:rsidRDefault="001A3FD2" w14:paraId="71446058" w14:textId="3443470C">
      <w:pPr>
        <w:spacing w:before="120" w:line="288" w:lineRule="auto"/>
        <w:jc w:val="both"/>
        <w:rPr>
          <w:rFonts w:cs="Times New Roman"/>
          <w:i/>
          <w:sz w:val="20"/>
          <w:szCs w:val="20"/>
          <w:lang w:val="en-GB"/>
        </w:rPr>
      </w:pPr>
      <w:r w:rsidRPr="00581ED3">
        <w:rPr>
          <w:noProof/>
        </w:rPr>
        <w:drawing>
          <wp:inline distT="0" distB="0" distL="0" distR="0" wp14:anchorId="14095FE5" wp14:editId="5552E82C">
            <wp:extent cx="5429250" cy="1585581"/>
            <wp:effectExtent l="0" t="0" r="0" b="0"/>
            <wp:docPr id="36" name="Picture 35" descr="" title="">
              <a:extLst xmlns:a="http://schemas.openxmlformats.org/drawingml/2006/main">
                <a:ext uri="{FF2B5EF4-FFF2-40B4-BE49-F238E27FC236}">
                  <a16:creationId xmlns:a16="http://schemas.microsoft.com/office/drawing/2014/main" id="{73DF7CCA-54B4-4827-90FB-277761A87A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73DF7CCA-54B4-4827-90FB-277761A87A46}"/>
                        </a:ext>
                      </a:extLst>
                    </pic:cNvPr>
                    <pic:cNvPicPr>
                      <a:picLocks noChangeAspect="1"/>
                    </pic:cNvPicPr>
                  </pic:nvPicPr>
                  <pic:blipFill>
                    <a:blip r:embed="rId41"/>
                    <a:stretch>
                      <a:fillRect/>
                    </a:stretch>
                  </pic:blipFill>
                  <pic:spPr>
                    <a:xfrm>
                      <a:off x="0" y="0"/>
                      <a:ext cx="5429250" cy="1585581"/>
                    </a:xfrm>
                    <a:prstGeom prst="rect">
                      <a:avLst/>
                    </a:prstGeom>
                  </pic:spPr>
                </pic:pic>
              </a:graphicData>
            </a:graphic>
          </wp:inline>
        </w:drawing>
      </w:r>
    </w:p>
    <w:p w:rsidRPr="009C48DA" w:rsidR="001C3CEC" w:rsidP="00C121D7" w:rsidRDefault="001C3CEC" w14:paraId="67310095" w14:textId="6CEE606D">
      <w:pPr>
        <w:pStyle w:val="BlockTextSglJ"/>
        <w:rPr>
          <w:lang w:val="en-GB"/>
        </w:rPr>
      </w:pPr>
      <w:r w:rsidRPr="009C48DA">
        <w:rPr>
          <w:i/>
          <w:lang w:val="en-GB"/>
        </w:rPr>
        <w:t>Note</w:t>
      </w:r>
      <w:r w:rsidRPr="009C48DA">
        <w:rPr>
          <w:lang w:val="en-GB"/>
        </w:rPr>
        <w:t>: As of 31 </w:t>
      </w:r>
      <w:r w:rsidRPr="009C48DA" w:rsidR="00DC7577">
        <w:rPr>
          <w:lang w:val="en-GB"/>
        </w:rPr>
        <w:t>December</w:t>
      </w:r>
      <w:r w:rsidRPr="009C48DA">
        <w:rPr>
          <w:lang w:val="en-GB"/>
        </w:rPr>
        <w:t xml:space="preserve"> 202</w:t>
      </w:r>
      <w:r w:rsidRPr="009C48DA" w:rsidR="00DC7577">
        <w:rPr>
          <w:lang w:val="en-GB"/>
        </w:rPr>
        <w:t>0</w:t>
      </w:r>
      <w:r w:rsidRPr="009C48DA">
        <w:rPr>
          <w:lang w:val="en-GB"/>
        </w:rPr>
        <w:t>.</w:t>
      </w:r>
    </w:p>
    <w:p w:rsidRPr="009C48DA" w:rsidR="001C3CEC" w:rsidP="0002759F" w:rsidRDefault="001C3CEC" w14:paraId="67EB9208" w14:textId="5E962712">
      <w:pPr>
        <w:pStyle w:val="BodyText2SglJ"/>
        <w:rPr>
          <w:lang w:val="en-GB"/>
        </w:rPr>
      </w:pPr>
      <w:r w:rsidRPr="009C48DA">
        <w:rPr>
          <w:b/>
          <w:i/>
          <w:lang w:val="en-GB"/>
        </w:rPr>
        <w:t>Data-driven approach</w:t>
      </w:r>
      <w:r w:rsidRPr="009C48DA">
        <w:rPr>
          <w:lang w:val="en-GB"/>
        </w:rPr>
        <w:t xml:space="preserve">: The Group believes the breadth of data it holds in its proprietary data warehouse (explained in further detail below) from more than </w:t>
      </w:r>
      <w:r w:rsidRPr="009C48DA" w:rsidR="0071189B">
        <w:rPr>
          <w:lang w:val="en-GB"/>
        </w:rPr>
        <w:t xml:space="preserve">30 </w:t>
      </w:r>
      <w:r w:rsidRPr="009C48DA">
        <w:rPr>
          <w:lang w:val="en-GB"/>
        </w:rPr>
        <w:t xml:space="preserve">years of investing and a long track record of successful fundraisings is an additional source of potential competitive advantage. Over recent years, </w:t>
      </w:r>
      <w:r w:rsidRPr="009C48DA" w:rsidR="00822115">
        <w:rPr>
          <w:lang w:val="en-GB"/>
        </w:rPr>
        <w:t xml:space="preserve">Bridgepoint </w:t>
      </w:r>
      <w:r w:rsidRPr="009C48DA">
        <w:rPr>
          <w:lang w:val="en-GB"/>
        </w:rPr>
        <w:t xml:space="preserve">has invested significantly in a data team to capture and systemise performance information from more than 300 current and historic </w:t>
      </w:r>
      <w:r w:rsidRPr="009C48DA" w:rsidR="00DC7577">
        <w:rPr>
          <w:lang w:val="en-GB"/>
        </w:rPr>
        <w:t xml:space="preserve">private equity </w:t>
      </w:r>
      <w:r w:rsidRPr="009C48DA">
        <w:rPr>
          <w:lang w:val="en-GB"/>
        </w:rPr>
        <w:t xml:space="preserve">investments, providing the Group with a deep and continuously growing track record of over </w:t>
      </w:r>
      <w:r w:rsidRPr="009C48DA" w:rsidR="0071189B">
        <w:rPr>
          <w:lang w:val="en-GB"/>
        </w:rPr>
        <w:t>four</w:t>
      </w:r>
      <w:r w:rsidRPr="009C48DA">
        <w:rPr>
          <w:lang w:val="en-GB"/>
        </w:rPr>
        <w:t xml:space="preserve"> million data points of past performance to support decision</w:t>
      </w:r>
      <w:r w:rsidRPr="009C48DA" w:rsidR="0071189B">
        <w:rPr>
          <w:lang w:val="en-GB"/>
        </w:rPr>
        <w:t> </w:t>
      </w:r>
      <w:r w:rsidRPr="009C48DA">
        <w:rPr>
          <w:lang w:val="en-GB"/>
        </w:rPr>
        <w:t>making.</w:t>
      </w:r>
    </w:p>
    <w:p w:rsidRPr="009C48DA" w:rsidR="001C3CEC" w:rsidP="0002759F" w:rsidRDefault="001C3CEC" w14:paraId="534E2C2D" w14:textId="4CC16933">
      <w:pPr>
        <w:pStyle w:val="BodyText2SglJ"/>
        <w:rPr>
          <w:lang w:val="en-GB"/>
        </w:rPr>
      </w:pPr>
      <w:r w:rsidRPr="009C48DA">
        <w:rPr>
          <w:lang w:val="en-GB"/>
        </w:rPr>
        <w:t xml:space="preserve">Accordingly, the Group has structured its data and developed tools which allow executives to access this data and compare prospective investment cases against the historical experience with similar assets, improving the quality of its investment decisions for the benefit of fund investors. Investment opportunities reviewed at </w:t>
      </w:r>
      <w:r w:rsidRPr="009C48DA" w:rsidR="0071189B">
        <w:rPr>
          <w:lang w:val="en-GB"/>
        </w:rPr>
        <w:t xml:space="preserve">the </w:t>
      </w:r>
      <w:r w:rsidRPr="009C48DA">
        <w:rPr>
          <w:lang w:val="en-GB"/>
        </w:rPr>
        <w:t xml:space="preserve">investment advisory committee stage for the funds in the Group’s private equity segment are analysed against the performance of comparable assets, and portfolio company business plans are benchmarked against internal comparators. As well as aiding the investment teams in making better investment decisions, the Group’s capabilities in data also ensure that fund construction and portfolio analysis are made more simple and efficient. </w:t>
      </w:r>
    </w:p>
    <w:p w:rsidRPr="009C48DA" w:rsidR="001C3CEC" w:rsidP="0002759F" w:rsidRDefault="00822115" w14:paraId="79018A11" w14:textId="4BEA12C4">
      <w:pPr>
        <w:pStyle w:val="BodyText2SglJ"/>
        <w:rPr>
          <w:lang w:val="en-GB"/>
        </w:rPr>
      </w:pPr>
      <w:r w:rsidRPr="009C48DA">
        <w:rPr>
          <w:lang w:val="en-GB"/>
        </w:rPr>
        <w:t xml:space="preserve">Bridgepoint </w:t>
      </w:r>
      <w:r w:rsidRPr="009C48DA" w:rsidR="00FC3A2B">
        <w:rPr>
          <w:lang w:val="en-GB"/>
        </w:rPr>
        <w:t>expects to</w:t>
      </w:r>
      <w:r w:rsidRPr="009C48DA" w:rsidR="001C3CEC">
        <w:rPr>
          <w:lang w:val="en-GB"/>
        </w:rPr>
        <w:t xml:space="preserve"> continue to refine and develop its capabilities in this respect, including by adding additional external data and building more efficient tools for capturing internal data at the portfolio company level, and believes there is significant scope to build a powerful capability in data and analytics for its professionals. </w:t>
      </w:r>
    </w:p>
    <w:p w:rsidRPr="009C48DA" w:rsidR="001C3CEC" w:rsidP="004C312B" w:rsidRDefault="001C3CEC" w14:paraId="4B1AB891" w14:textId="77777777">
      <w:pPr>
        <w:pStyle w:val="TitleB"/>
        <w:rPr>
          <w:lang w:val="en-GB"/>
        </w:rPr>
      </w:pPr>
      <w:r w:rsidRPr="009C48DA">
        <w:rPr>
          <w:lang w:val="en-GB"/>
        </w:rPr>
        <w:t xml:space="preserve">Proven track record of scaling strategies with a growing blue-chip investor base </w:t>
      </w:r>
    </w:p>
    <w:p w:rsidRPr="009C48DA" w:rsidR="001C3CEC" w:rsidP="00131DF2" w:rsidRDefault="001C3CEC" w14:paraId="5B277F65" w14:textId="0FB247EB">
      <w:pPr>
        <w:pStyle w:val="BodyText2SglJ"/>
        <w:keepNext/>
        <w:rPr>
          <w:lang w:val="en-GB"/>
        </w:rPr>
      </w:pPr>
      <w:r w:rsidRPr="009C48DA">
        <w:rPr>
          <w:lang w:val="en-GB"/>
        </w:rPr>
        <w:t>The Group’s fundraising track record has been supported by a long-standing, loyal and growing blue-chip client base, which includes many of the world’s leading investors, and is diverse across regions</w:t>
      </w:r>
      <w:r w:rsidRPr="009C48DA" w:rsidR="00536C87">
        <w:rPr>
          <w:lang w:val="en-GB"/>
        </w:rPr>
        <w:t>,</w:t>
      </w:r>
      <w:r w:rsidRPr="009C48DA">
        <w:rPr>
          <w:lang w:val="en-GB"/>
        </w:rPr>
        <w:t xml:space="preserve"> with particular strength in North America. Indeed, the Group’s global base of more than 300 long-term institutional investors includes 13 of the top 20 U</w:t>
      </w:r>
      <w:r w:rsidRPr="009C48DA" w:rsidR="00073CA8">
        <w:rPr>
          <w:lang w:val="en-GB"/>
        </w:rPr>
        <w:t>.</w:t>
      </w:r>
      <w:r w:rsidRPr="009C48DA">
        <w:rPr>
          <w:lang w:val="en-GB"/>
        </w:rPr>
        <w:t>S</w:t>
      </w:r>
      <w:r w:rsidRPr="009C48DA" w:rsidR="00073CA8">
        <w:rPr>
          <w:lang w:val="en-GB"/>
        </w:rPr>
        <w:t>.</w:t>
      </w:r>
      <w:r w:rsidRPr="009C48DA">
        <w:rPr>
          <w:lang w:val="en-GB"/>
        </w:rPr>
        <w:t xml:space="preserve"> </w:t>
      </w:r>
      <w:r w:rsidRPr="009C48DA" w:rsidR="00536C87">
        <w:rPr>
          <w:lang w:val="en-GB"/>
        </w:rPr>
        <w:t>s</w:t>
      </w:r>
      <w:r w:rsidRPr="009C48DA">
        <w:rPr>
          <w:lang w:val="en-GB"/>
        </w:rPr>
        <w:t xml:space="preserve">tate </w:t>
      </w:r>
      <w:r w:rsidRPr="009C48DA" w:rsidR="00536C87">
        <w:rPr>
          <w:lang w:val="en-GB"/>
        </w:rPr>
        <w:t>p</w:t>
      </w:r>
      <w:r w:rsidRPr="009C48DA">
        <w:rPr>
          <w:lang w:val="en-GB"/>
        </w:rPr>
        <w:t xml:space="preserve">ension </w:t>
      </w:r>
      <w:r w:rsidRPr="009C48DA" w:rsidR="00536C87">
        <w:rPr>
          <w:lang w:val="en-GB"/>
        </w:rPr>
        <w:t>f</w:t>
      </w:r>
      <w:r w:rsidRPr="009C48DA">
        <w:rPr>
          <w:lang w:val="en-GB"/>
        </w:rPr>
        <w:t>unds (by assets under management)</w:t>
      </w:r>
      <w:r w:rsidRPr="009C48DA">
        <w:rPr>
          <w:rStyle w:val="FootnoteReference"/>
          <w:szCs w:val="20"/>
          <w:lang w:val="en-GB"/>
        </w:rPr>
        <w:footnoteReference w:id="40"/>
      </w:r>
      <w:r w:rsidRPr="009C48DA">
        <w:rPr>
          <w:lang w:val="en-GB"/>
        </w:rPr>
        <w:t xml:space="preserve">, </w:t>
      </w:r>
      <w:r w:rsidRPr="009C48DA">
        <w:rPr>
          <w:lang w:val="en-GB"/>
        </w:rPr>
        <w:lastRenderedPageBreak/>
        <w:t xml:space="preserve">and across the investor base, the average relationship length with </w:t>
      </w:r>
      <w:r w:rsidRPr="009C48DA" w:rsidR="00822115">
        <w:rPr>
          <w:lang w:val="en-GB"/>
        </w:rPr>
        <w:t xml:space="preserve">Bridgepoint </w:t>
      </w:r>
      <w:r w:rsidRPr="009C48DA">
        <w:rPr>
          <w:lang w:val="en-GB"/>
        </w:rPr>
        <w:t>is 14 years. The diversity of the Group’s investor base, by both geography and institution type, is demonstrated in the charts below:</w:t>
      </w:r>
    </w:p>
    <w:p w:rsidRPr="009C48DA" w:rsidR="001C3CEC" w:rsidP="001C3CEC" w:rsidRDefault="001A3FD2" w14:paraId="154F350A" w14:textId="3A73850E">
      <w:pPr>
        <w:spacing w:before="120" w:line="288" w:lineRule="auto"/>
        <w:jc w:val="both"/>
        <w:rPr>
          <w:rFonts w:cs="Times New Roman"/>
          <w:sz w:val="20"/>
          <w:szCs w:val="20"/>
          <w:lang w:val="en-GB"/>
        </w:rPr>
      </w:pPr>
      <w:r w:rsidRPr="00581ED3">
        <w:rPr>
          <w:noProof/>
        </w:rPr>
        <w:drawing>
          <wp:inline distT="0" distB="0" distL="0" distR="0" wp14:anchorId="7CC43C5B" wp14:editId="4BFACE11">
            <wp:extent cx="5429250" cy="1523790"/>
            <wp:effectExtent l="0" t="0" r="0" b="0"/>
            <wp:docPr id="25" name="Picture 7" descr="" title="">
              <a:extLst xmlns:a="http://schemas.openxmlformats.org/drawingml/2006/main">
                <a:ext uri="{FF2B5EF4-FFF2-40B4-BE49-F238E27FC236}">
                  <a16:creationId xmlns:a16="http://schemas.microsoft.com/office/drawing/2014/main" id="{F48DDB04-E70E-479D-A852-C5A8860F03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F48DDB04-E70E-479D-A852-C5A8860F038C}"/>
                        </a:ext>
                      </a:extLst>
                    </pic:cNvPr>
                    <pic:cNvPicPr>
                      <a:picLocks noChangeAspect="1"/>
                    </pic:cNvPicPr>
                  </pic:nvPicPr>
                  <pic:blipFill>
                    <a:blip r:embed="rId42"/>
                    <a:stretch>
                      <a:fillRect/>
                    </a:stretch>
                  </pic:blipFill>
                  <pic:spPr>
                    <a:xfrm>
                      <a:off x="0" y="0"/>
                      <a:ext cx="5429250" cy="1523790"/>
                    </a:xfrm>
                    <a:prstGeom prst="rect">
                      <a:avLst/>
                    </a:prstGeom>
                  </pic:spPr>
                </pic:pic>
              </a:graphicData>
            </a:graphic>
          </wp:inline>
        </w:drawing>
      </w:r>
    </w:p>
    <w:p w:rsidRPr="009C48DA" w:rsidR="001C3CEC" w:rsidP="004C312B" w:rsidRDefault="001C3CEC" w14:paraId="1AB270F7" w14:textId="64379A04">
      <w:pPr>
        <w:pStyle w:val="BlockTextSglJ"/>
        <w:rPr>
          <w:lang w:val="en-GB"/>
        </w:rPr>
      </w:pPr>
      <w:r w:rsidRPr="009C48DA">
        <w:rPr>
          <w:i/>
          <w:lang w:val="en-GB"/>
        </w:rPr>
        <w:t>Note</w:t>
      </w:r>
      <w:r w:rsidRPr="009C48DA">
        <w:rPr>
          <w:lang w:val="en-GB"/>
        </w:rPr>
        <w:t xml:space="preserve">: Investors by geography as of </w:t>
      </w:r>
      <w:r w:rsidRPr="009C48DA" w:rsidR="00C15EAC">
        <w:rPr>
          <w:lang w:val="en-GB"/>
        </w:rPr>
        <w:t>24</w:t>
      </w:r>
      <w:r w:rsidRPr="009C48DA">
        <w:rPr>
          <w:lang w:val="en-GB"/>
        </w:rPr>
        <w:t xml:space="preserve"> May 2021 and investors by institution type as of 31 March 2021; </w:t>
      </w:r>
      <w:r w:rsidRPr="009C48DA">
        <w:rPr>
          <w:vertAlign w:val="superscript"/>
          <w:lang w:val="en-GB"/>
        </w:rPr>
        <w:t>1</w:t>
      </w:r>
      <w:r w:rsidRPr="009C48DA" w:rsidR="007A03DC">
        <w:rPr>
          <w:vertAlign w:val="superscript"/>
          <w:lang w:val="en-GB"/>
        </w:rPr>
        <w:t> </w:t>
      </w:r>
      <w:r w:rsidRPr="009C48DA">
        <w:rPr>
          <w:lang w:val="en-GB"/>
        </w:rPr>
        <w:t xml:space="preserve">Breakdown of investors by institution type relates to the </w:t>
      </w:r>
      <w:r w:rsidRPr="009C48DA" w:rsidR="00822115">
        <w:rPr>
          <w:lang w:val="en-GB"/>
        </w:rPr>
        <w:t xml:space="preserve">Bridgepoint </w:t>
      </w:r>
      <w:r w:rsidRPr="009C48DA">
        <w:rPr>
          <w:lang w:val="en-GB"/>
        </w:rPr>
        <w:t>private equity funds only.</w:t>
      </w:r>
    </w:p>
    <w:p w:rsidRPr="009C48DA" w:rsidR="001C3CEC" w:rsidP="0002759F" w:rsidRDefault="00822115" w14:paraId="21010374" w14:textId="178F3134">
      <w:pPr>
        <w:pStyle w:val="BodyText2SglJ"/>
        <w:rPr>
          <w:lang w:val="en-GB"/>
        </w:rPr>
      </w:pPr>
      <w:r w:rsidRPr="009C48DA">
        <w:rPr>
          <w:lang w:val="en-GB"/>
        </w:rPr>
        <w:t xml:space="preserve">Bridgepoint </w:t>
      </w:r>
      <w:r w:rsidRPr="009C48DA" w:rsidR="001C3CEC">
        <w:rPr>
          <w:lang w:val="en-GB"/>
        </w:rPr>
        <w:t xml:space="preserve">has a strategic approach to the cultivation of its investors. The key priorities are to build and maintain a diverse pool of </w:t>
      </w:r>
      <w:r w:rsidRPr="009C48DA" w:rsidR="00727C85">
        <w:rPr>
          <w:lang w:val="en-GB"/>
        </w:rPr>
        <w:t>high-quality</w:t>
      </w:r>
      <w:r w:rsidRPr="009C48DA" w:rsidR="001C3CEC">
        <w:rPr>
          <w:lang w:val="en-GB"/>
        </w:rPr>
        <w:t xml:space="preserve"> and committed partners and to develop deep and long</w:t>
      </w:r>
      <w:r w:rsidRPr="009C48DA" w:rsidR="00F738C6">
        <w:rPr>
          <w:lang w:val="en-GB"/>
        </w:rPr>
        <w:t>-</w:t>
      </w:r>
      <w:r w:rsidRPr="009C48DA" w:rsidR="001C3CEC">
        <w:rPr>
          <w:lang w:val="en-GB"/>
        </w:rPr>
        <w:t xml:space="preserve">lasting relationships with them, ideally across multiple strategies. In some cases, the time between initial contact and an investor’s first commitment to a </w:t>
      </w:r>
      <w:r w:rsidRPr="009C48DA">
        <w:rPr>
          <w:lang w:val="en-GB"/>
        </w:rPr>
        <w:t xml:space="preserve">Bridgepoint </w:t>
      </w:r>
      <w:r w:rsidRPr="009C48DA" w:rsidR="001C3CEC">
        <w:rPr>
          <w:lang w:val="en-GB"/>
        </w:rPr>
        <w:t>fund can be many years, which the Directors believe is essential to achieve the Group’s fundraising goals and establish a stable investor base that will support future growth. An overview of the Group’s geographic positioning with regards to its investor base is set out below:</w:t>
      </w:r>
    </w:p>
    <w:p w:rsidRPr="009C48DA" w:rsidR="001C3CEC" w:rsidP="000D32D1" w:rsidRDefault="001A3FD2" w14:paraId="3EEE37A2" w14:textId="3232C41B">
      <w:pPr>
        <w:keepNext/>
        <w:spacing w:before="120" w:line="288" w:lineRule="auto"/>
        <w:jc w:val="both"/>
        <w:rPr>
          <w:rFonts w:cs="Times New Roman"/>
          <w:sz w:val="20"/>
          <w:szCs w:val="20"/>
          <w:lang w:val="en-GB"/>
        </w:rPr>
      </w:pPr>
      <w:r w:rsidRPr="00581ED3">
        <w:rPr>
          <w:noProof/>
        </w:rPr>
        <w:drawing>
          <wp:inline distT="0" distB="0" distL="0" distR="0" wp14:anchorId="609A1E37" wp14:editId="2A885ABB">
            <wp:extent cx="5429250" cy="2021721"/>
            <wp:effectExtent l="0" t="0" r="0" b="0"/>
            <wp:docPr id="26" name="Picture 1" descr="" title="">
              <a:extLst xmlns:a="http://schemas.openxmlformats.org/drawingml/2006/main">
                <a:ext uri="{FF2B5EF4-FFF2-40B4-BE49-F238E27FC236}">
                  <a16:creationId xmlns:a16="http://schemas.microsoft.com/office/drawing/2014/main" id="{9720470D-932D-46C9-80F0-3878D1958C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720470D-932D-46C9-80F0-3878D1958CBE}"/>
                        </a:ext>
                      </a:extLst>
                    </pic:cNvPr>
                    <pic:cNvPicPr>
                      <a:picLocks noChangeAspect="1"/>
                    </pic:cNvPicPr>
                  </pic:nvPicPr>
                  <pic:blipFill>
                    <a:blip r:embed="rId43"/>
                    <a:stretch>
                      <a:fillRect/>
                    </a:stretch>
                  </pic:blipFill>
                  <pic:spPr>
                    <a:xfrm>
                      <a:off x="0" y="0"/>
                      <a:ext cx="5429250" cy="2021721"/>
                    </a:xfrm>
                    <a:prstGeom prst="rect">
                      <a:avLst/>
                    </a:prstGeom>
                  </pic:spPr>
                </pic:pic>
              </a:graphicData>
            </a:graphic>
          </wp:inline>
        </w:drawing>
      </w:r>
    </w:p>
    <w:p w:rsidRPr="009C48DA" w:rsidR="001C3CEC" w:rsidP="004C312B" w:rsidRDefault="001C3CEC" w14:paraId="53D9080F" w14:textId="720563DB">
      <w:pPr>
        <w:pStyle w:val="BlockTextSglJ"/>
        <w:rPr>
          <w:lang w:val="en-GB"/>
        </w:rPr>
      </w:pPr>
      <w:r w:rsidRPr="009C48DA">
        <w:rPr>
          <w:i/>
          <w:lang w:val="en-GB"/>
        </w:rPr>
        <w:t>Note</w:t>
      </w:r>
      <w:r w:rsidRPr="009C48DA">
        <w:rPr>
          <w:lang w:val="en-GB"/>
        </w:rPr>
        <w:t xml:space="preserve">: As of </w:t>
      </w:r>
      <w:r w:rsidRPr="009C48DA" w:rsidR="00C15EAC">
        <w:rPr>
          <w:lang w:val="en-GB"/>
        </w:rPr>
        <w:t>24</w:t>
      </w:r>
      <w:r w:rsidRPr="009C48DA" w:rsidR="004028A5">
        <w:rPr>
          <w:lang w:val="en-GB"/>
        </w:rPr>
        <w:t> May</w:t>
      </w:r>
      <w:r w:rsidRPr="009C48DA">
        <w:rPr>
          <w:lang w:val="en-GB"/>
        </w:rPr>
        <w:t xml:space="preserve"> 2021.</w:t>
      </w:r>
    </w:p>
    <w:p w:rsidRPr="009C48DA" w:rsidR="001C3CEC" w:rsidP="0002759F" w:rsidRDefault="00822115" w14:paraId="36BB987E" w14:textId="362292CA">
      <w:pPr>
        <w:pStyle w:val="BodyText2SglJ"/>
        <w:rPr>
          <w:lang w:val="en-GB"/>
        </w:rPr>
      </w:pPr>
      <w:r w:rsidRPr="009C48DA">
        <w:rPr>
          <w:lang w:val="en-GB"/>
        </w:rPr>
        <w:t xml:space="preserve">Bridgepoint </w:t>
      </w:r>
      <w:r w:rsidRPr="009C48DA" w:rsidR="001C3CEC">
        <w:rPr>
          <w:lang w:val="en-GB"/>
        </w:rPr>
        <w:t xml:space="preserve">has a long track record of successful capital raising, having raised 18 funds across its private equity and private credit strategies, respectively, </w:t>
      </w:r>
      <w:r w:rsidRPr="009C48DA" w:rsidR="0003405D">
        <w:rPr>
          <w:lang w:val="en-GB"/>
        </w:rPr>
        <w:t>from</w:t>
      </w:r>
      <w:r w:rsidRPr="009C48DA" w:rsidR="001C3CEC">
        <w:rPr>
          <w:lang w:val="en-GB"/>
        </w:rPr>
        <w:t xml:space="preserve"> 1998 </w:t>
      </w:r>
      <w:r w:rsidRPr="009C48DA" w:rsidR="0003405D">
        <w:rPr>
          <w:lang w:val="en-GB"/>
        </w:rPr>
        <w:t>to</w:t>
      </w:r>
      <w:r w:rsidRPr="009C48DA" w:rsidR="001C3CEC">
        <w:rPr>
          <w:lang w:val="en-GB"/>
        </w:rPr>
        <w:t xml:space="preserve"> 2021, including funds raised by the team which joined </w:t>
      </w:r>
      <w:r w:rsidRPr="009C48DA">
        <w:rPr>
          <w:lang w:val="en-GB"/>
        </w:rPr>
        <w:t xml:space="preserve">Bridgepoint </w:t>
      </w:r>
      <w:r w:rsidRPr="009C48DA" w:rsidR="001C3CEC">
        <w:rPr>
          <w:lang w:val="en-GB"/>
        </w:rPr>
        <w:t xml:space="preserve">as part of the EQT Credit acquisition. The Group expects that four further funds will be in the market in the next 12 months. </w:t>
      </w:r>
      <w:r w:rsidRPr="009C48DA" w:rsidR="006D5BFE">
        <w:rPr>
          <w:lang w:val="en-GB"/>
        </w:rPr>
        <w:t>Bridgepoint</w:t>
      </w:r>
      <w:r w:rsidRPr="009C48DA" w:rsidR="001C3CEC">
        <w:rPr>
          <w:lang w:val="en-GB"/>
        </w:rPr>
        <w:t>’s capital raising efforts are supported by an in</w:t>
      </w:r>
      <w:r w:rsidRPr="009C48DA" w:rsidR="00F738C6">
        <w:rPr>
          <w:lang w:val="en-GB"/>
        </w:rPr>
        <w:noBreakHyphen/>
      </w:r>
      <w:r w:rsidRPr="009C48DA" w:rsidR="001C3CEC">
        <w:rPr>
          <w:lang w:val="en-GB"/>
        </w:rPr>
        <w:t xml:space="preserve">house global investor services team of 22 FTEs in five offices, </w:t>
      </w:r>
      <w:r w:rsidRPr="009C48DA" w:rsidR="004028A5">
        <w:rPr>
          <w:lang w:val="en-GB"/>
        </w:rPr>
        <w:t xml:space="preserve">with </w:t>
      </w:r>
      <w:r w:rsidRPr="009C48DA" w:rsidR="001C3CEC">
        <w:rPr>
          <w:lang w:val="en-GB"/>
        </w:rPr>
        <w:t xml:space="preserve">nine senior team members that focus on capital raising and an in-house team of 49 FTEs across </w:t>
      </w:r>
      <w:r w:rsidRPr="009C48DA" w:rsidR="003E1653">
        <w:rPr>
          <w:lang w:val="en-GB"/>
        </w:rPr>
        <w:t xml:space="preserve">fund administration, finance, legal and tax across </w:t>
      </w:r>
      <w:r w:rsidRPr="009C48DA" w:rsidR="001C3CEC">
        <w:rPr>
          <w:lang w:val="en-GB"/>
        </w:rPr>
        <w:t xml:space="preserve">Europe and North America as of 31 March 2021. </w:t>
      </w:r>
      <w:r w:rsidRPr="009C48DA">
        <w:rPr>
          <w:lang w:val="en-GB"/>
        </w:rPr>
        <w:t xml:space="preserve">Bridgepoint </w:t>
      </w:r>
      <w:r w:rsidRPr="009C48DA" w:rsidR="001C3CEC">
        <w:rPr>
          <w:lang w:val="en-GB"/>
        </w:rPr>
        <w:t xml:space="preserve">believes its proposition to investors is differentiated, combining a focus and leadership in middle markets with local insight and an agile, global platform to deliver a long track record of attractive and consistent risk adjusted returns. Within investor relations, </w:t>
      </w:r>
      <w:r w:rsidRPr="009C48DA">
        <w:rPr>
          <w:lang w:val="en-GB"/>
        </w:rPr>
        <w:t xml:space="preserve">Bridgepoint </w:t>
      </w:r>
      <w:r w:rsidRPr="009C48DA" w:rsidR="001C3CEC">
        <w:rPr>
          <w:lang w:val="en-GB"/>
        </w:rPr>
        <w:t xml:space="preserve">takes a long-term and strategic approach to capital raising and maintaining </w:t>
      </w:r>
      <w:r w:rsidRPr="009C48DA" w:rsidR="00727C85">
        <w:rPr>
          <w:lang w:val="en-GB"/>
        </w:rPr>
        <w:t>high-quality</w:t>
      </w:r>
      <w:r w:rsidRPr="009C48DA" w:rsidR="001C3CEC">
        <w:rPr>
          <w:lang w:val="en-GB"/>
        </w:rPr>
        <w:t xml:space="preserve"> investor relations is central to </w:t>
      </w:r>
      <w:r w:rsidRPr="009C48DA" w:rsidR="006D5BFE">
        <w:rPr>
          <w:lang w:val="en-GB"/>
        </w:rPr>
        <w:t>Bridgepoint</w:t>
      </w:r>
      <w:r w:rsidRPr="009C48DA" w:rsidR="001C3CEC">
        <w:rPr>
          <w:lang w:val="en-GB"/>
        </w:rPr>
        <w:t xml:space="preserve">’s operating philosophy, with regular and consistent interactions. </w:t>
      </w:r>
      <w:r w:rsidRPr="009C48DA" w:rsidR="006D5BFE">
        <w:rPr>
          <w:lang w:val="en-GB"/>
        </w:rPr>
        <w:t>Bridgepoint</w:t>
      </w:r>
      <w:r w:rsidRPr="009C48DA" w:rsidR="001C3CEC">
        <w:rPr>
          <w:lang w:val="en-GB"/>
        </w:rPr>
        <w:t xml:space="preserve">’s investor relations team aims to deliver best-in-class investor relations service, utilising the Group’s data and technology capabilities and focussing its communications on transparency and openness to investors in the </w:t>
      </w:r>
      <w:r w:rsidRPr="009C48DA">
        <w:rPr>
          <w:lang w:val="en-GB"/>
        </w:rPr>
        <w:t xml:space="preserve">Bridgepoint </w:t>
      </w:r>
      <w:r w:rsidRPr="009C48DA" w:rsidR="001C3CEC">
        <w:rPr>
          <w:lang w:val="en-GB"/>
        </w:rPr>
        <w:t xml:space="preserve">Funds. </w:t>
      </w:r>
    </w:p>
    <w:p w:rsidRPr="009C48DA" w:rsidR="001C3CEC" w:rsidP="0002759F" w:rsidRDefault="004028A5" w14:paraId="0CBBB687" w14:textId="68A42161">
      <w:pPr>
        <w:pStyle w:val="BodyText2SglJ"/>
        <w:rPr>
          <w:lang w:val="en-GB"/>
        </w:rPr>
      </w:pPr>
      <w:r w:rsidRPr="009C48DA">
        <w:rPr>
          <w:szCs w:val="20"/>
          <w:lang w:val="en-GB"/>
        </w:rPr>
        <w:t>The Group’s investor base has also consistently broadened and deepened, both in terms of the number of investors across the platform and the average commitment of tho</w:t>
      </w:r>
      <w:r w:rsidR="00CF56DC">
        <w:rPr>
          <w:szCs w:val="20"/>
          <w:lang w:val="en-GB"/>
        </w:rPr>
        <w:t>se investors. For example, from </w:t>
      </w:r>
      <w:r w:rsidRPr="009C48DA">
        <w:rPr>
          <w:szCs w:val="20"/>
          <w:lang w:val="en-GB"/>
        </w:rPr>
        <w:t xml:space="preserve">2008 to 24 May 2021, </w:t>
      </w:r>
      <w:r w:rsidRPr="009C48DA" w:rsidR="006D5BFE">
        <w:rPr>
          <w:lang w:val="en-GB"/>
        </w:rPr>
        <w:t>Bridgepoint</w:t>
      </w:r>
      <w:r w:rsidRPr="009C48DA">
        <w:rPr>
          <w:lang w:val="en-GB"/>
        </w:rPr>
        <w:t>’s</w:t>
      </w:r>
      <w:r w:rsidRPr="009C48DA">
        <w:rPr>
          <w:szCs w:val="20"/>
          <w:lang w:val="en-GB"/>
        </w:rPr>
        <w:t xml:space="preserve"> investor base has grown by 71 per cent to 302 and</w:t>
      </w:r>
      <w:r w:rsidRPr="009C48DA" w:rsidR="00F738C6">
        <w:rPr>
          <w:szCs w:val="20"/>
          <w:lang w:val="en-GB"/>
        </w:rPr>
        <w:t>,</w:t>
      </w:r>
      <w:r w:rsidRPr="009C48DA">
        <w:rPr>
          <w:szCs w:val="20"/>
          <w:lang w:val="en-GB"/>
        </w:rPr>
        <w:t xml:space="preserve"> concurrently, has seen an increase in the average commitment per investor in the </w:t>
      </w:r>
      <w:r w:rsidRPr="009C48DA" w:rsidR="00822115">
        <w:rPr>
          <w:lang w:val="en-GB"/>
        </w:rPr>
        <w:t>Bridgepoint</w:t>
      </w:r>
      <w:r w:rsidRPr="009C48DA" w:rsidR="00822115">
        <w:rPr>
          <w:szCs w:val="20"/>
          <w:lang w:val="en-GB"/>
        </w:rPr>
        <w:t xml:space="preserve"> </w:t>
      </w:r>
      <w:r w:rsidRPr="009C48DA">
        <w:rPr>
          <w:szCs w:val="20"/>
          <w:lang w:val="en-GB"/>
        </w:rPr>
        <w:t xml:space="preserve">Europe funds of approximately 106 per cent, from €36 million in </w:t>
      </w:r>
      <w:r w:rsidRPr="009C48DA" w:rsidR="00822115">
        <w:rPr>
          <w:lang w:val="en-GB"/>
        </w:rPr>
        <w:t>Bridgepoint</w:t>
      </w:r>
      <w:r w:rsidRPr="009C48DA" w:rsidR="00822115">
        <w:rPr>
          <w:szCs w:val="20"/>
          <w:lang w:val="en-GB"/>
        </w:rPr>
        <w:t xml:space="preserve"> </w:t>
      </w:r>
      <w:r w:rsidRPr="009C48DA">
        <w:rPr>
          <w:szCs w:val="20"/>
          <w:lang w:val="en-GB"/>
        </w:rPr>
        <w:t xml:space="preserve">Europe IV in 2008 to €74 million in </w:t>
      </w:r>
      <w:r w:rsidRPr="009C48DA" w:rsidR="00822115">
        <w:rPr>
          <w:lang w:val="en-GB"/>
        </w:rPr>
        <w:lastRenderedPageBreak/>
        <w:t>Bridgepoint</w:t>
      </w:r>
      <w:r w:rsidRPr="009C48DA" w:rsidR="00822115">
        <w:rPr>
          <w:szCs w:val="20"/>
          <w:lang w:val="en-GB"/>
        </w:rPr>
        <w:t xml:space="preserve"> </w:t>
      </w:r>
      <w:r w:rsidRPr="009C48DA">
        <w:rPr>
          <w:szCs w:val="20"/>
          <w:lang w:val="en-GB"/>
        </w:rPr>
        <w:t xml:space="preserve">Europe VI in 2019. Similarly, the average commitment per investor increased by 87 per cent for investors in </w:t>
      </w:r>
      <w:r w:rsidRPr="009C48DA" w:rsidR="00822115">
        <w:rPr>
          <w:lang w:val="en-GB"/>
        </w:rPr>
        <w:t>Bridgepoint</w:t>
      </w:r>
      <w:r w:rsidRPr="009C48DA" w:rsidR="00822115">
        <w:rPr>
          <w:szCs w:val="20"/>
          <w:lang w:val="en-GB"/>
        </w:rPr>
        <w:t xml:space="preserve"> </w:t>
      </w:r>
      <w:r w:rsidRPr="009C48DA">
        <w:rPr>
          <w:szCs w:val="20"/>
          <w:lang w:val="en-GB"/>
        </w:rPr>
        <w:t xml:space="preserve">Development Capital IV compared to </w:t>
      </w:r>
      <w:r w:rsidRPr="009C48DA" w:rsidR="00822115">
        <w:rPr>
          <w:lang w:val="en-GB"/>
        </w:rPr>
        <w:t>Bridgepoint</w:t>
      </w:r>
      <w:r w:rsidRPr="009C48DA" w:rsidR="00822115">
        <w:rPr>
          <w:szCs w:val="20"/>
          <w:lang w:val="en-GB"/>
        </w:rPr>
        <w:t xml:space="preserve"> </w:t>
      </w:r>
      <w:r w:rsidRPr="009C48DA">
        <w:rPr>
          <w:szCs w:val="20"/>
          <w:lang w:val="en-GB"/>
        </w:rPr>
        <w:t>De</w:t>
      </w:r>
      <w:r w:rsidR="00CF56DC">
        <w:rPr>
          <w:szCs w:val="20"/>
          <w:lang w:val="en-GB"/>
        </w:rPr>
        <w:t>velopment Capital III. As of 31 </w:t>
      </w:r>
      <w:r w:rsidRPr="009C48DA">
        <w:rPr>
          <w:szCs w:val="20"/>
          <w:lang w:val="en-GB"/>
        </w:rPr>
        <w:t>March 2021, the top</w:t>
      </w:r>
      <w:r w:rsidRPr="009C48DA" w:rsidR="000F302B">
        <w:rPr>
          <w:szCs w:val="20"/>
          <w:lang w:val="en-GB"/>
        </w:rPr>
        <w:t xml:space="preserve"> 10 </w:t>
      </w:r>
      <w:r w:rsidRPr="009C48DA">
        <w:rPr>
          <w:szCs w:val="20"/>
          <w:lang w:val="en-GB"/>
        </w:rPr>
        <w:t xml:space="preserve">investors across the aggregate of </w:t>
      </w:r>
      <w:r w:rsidRPr="009C48DA" w:rsidR="00822115">
        <w:rPr>
          <w:lang w:val="en-GB"/>
        </w:rPr>
        <w:t>Bridgepoint</w:t>
      </w:r>
      <w:r w:rsidRPr="009C48DA" w:rsidR="00822115">
        <w:rPr>
          <w:szCs w:val="20"/>
          <w:lang w:val="en-GB"/>
        </w:rPr>
        <w:t xml:space="preserve"> </w:t>
      </w:r>
      <w:r w:rsidRPr="009C48DA">
        <w:rPr>
          <w:szCs w:val="20"/>
          <w:lang w:val="en-GB"/>
        </w:rPr>
        <w:t xml:space="preserve">Europe VI, </w:t>
      </w:r>
      <w:r w:rsidRPr="009C48DA" w:rsidR="00822115">
        <w:rPr>
          <w:lang w:val="en-GB"/>
        </w:rPr>
        <w:t>Bridgepoint</w:t>
      </w:r>
      <w:r w:rsidRPr="009C48DA" w:rsidR="00822115">
        <w:rPr>
          <w:szCs w:val="20"/>
          <w:lang w:val="en-GB"/>
        </w:rPr>
        <w:t xml:space="preserve"> </w:t>
      </w:r>
      <w:r w:rsidRPr="009C48DA">
        <w:rPr>
          <w:szCs w:val="20"/>
          <w:lang w:val="en-GB"/>
        </w:rPr>
        <w:t xml:space="preserve">Development Capital IV, </w:t>
      </w:r>
      <w:r w:rsidRPr="009C48DA" w:rsidR="00822115">
        <w:rPr>
          <w:lang w:val="en-GB"/>
        </w:rPr>
        <w:t>Bridgepoint</w:t>
      </w:r>
      <w:r w:rsidRPr="009C48DA" w:rsidR="00822115">
        <w:rPr>
          <w:szCs w:val="20"/>
          <w:lang w:val="en-GB"/>
        </w:rPr>
        <w:t xml:space="preserve"> </w:t>
      </w:r>
      <w:r w:rsidRPr="009C48DA">
        <w:rPr>
          <w:szCs w:val="20"/>
          <w:lang w:val="en-GB"/>
        </w:rPr>
        <w:t xml:space="preserve">Credit Opportunities III and </w:t>
      </w:r>
      <w:r w:rsidRPr="009C48DA" w:rsidR="00822115">
        <w:rPr>
          <w:lang w:val="en-GB"/>
        </w:rPr>
        <w:t>Bridgepoint</w:t>
      </w:r>
      <w:r w:rsidRPr="009C48DA" w:rsidR="00822115">
        <w:rPr>
          <w:szCs w:val="20"/>
          <w:lang w:val="en-GB"/>
        </w:rPr>
        <w:t xml:space="preserve"> </w:t>
      </w:r>
      <w:r w:rsidRPr="009C48DA">
        <w:rPr>
          <w:szCs w:val="20"/>
          <w:lang w:val="en-GB"/>
        </w:rPr>
        <w:t>Direct Lending II</w:t>
      </w:r>
      <w:r w:rsidRPr="009C48DA" w:rsidR="007A03DC">
        <w:rPr>
          <w:szCs w:val="20"/>
          <w:lang w:val="en-GB"/>
        </w:rPr>
        <w:t xml:space="preserve">, which are the main </w:t>
      </w:r>
      <w:r w:rsidRPr="009C48DA" w:rsidR="00822115">
        <w:rPr>
          <w:lang w:val="en-GB"/>
        </w:rPr>
        <w:t>Bridgepoint</w:t>
      </w:r>
      <w:r w:rsidRPr="009C48DA" w:rsidR="00822115">
        <w:rPr>
          <w:szCs w:val="20"/>
          <w:lang w:val="en-GB"/>
        </w:rPr>
        <w:t xml:space="preserve"> </w:t>
      </w:r>
      <w:r w:rsidRPr="009C48DA" w:rsidR="007A03DC">
        <w:rPr>
          <w:szCs w:val="20"/>
          <w:lang w:val="en-GB"/>
        </w:rPr>
        <w:t>Funds that are currently in deployment,</w:t>
      </w:r>
      <w:r w:rsidRPr="009C48DA">
        <w:rPr>
          <w:szCs w:val="20"/>
          <w:lang w:val="en-GB"/>
        </w:rPr>
        <w:t xml:space="preserve"> account for approximately €3 billion </w:t>
      </w:r>
      <w:r w:rsidRPr="009C48DA" w:rsidR="007A03DC">
        <w:rPr>
          <w:szCs w:val="20"/>
          <w:lang w:val="en-GB"/>
        </w:rPr>
        <w:t xml:space="preserve">of the approximately €11 billion in total </w:t>
      </w:r>
      <w:r w:rsidRPr="009C48DA">
        <w:rPr>
          <w:szCs w:val="20"/>
          <w:lang w:val="en-GB"/>
        </w:rPr>
        <w:t>commitments</w:t>
      </w:r>
      <w:r w:rsidRPr="009C48DA" w:rsidR="007A03DC">
        <w:rPr>
          <w:szCs w:val="20"/>
          <w:lang w:val="en-GB"/>
        </w:rPr>
        <w:t xml:space="preserve"> to these funds</w:t>
      </w:r>
      <w:r w:rsidRPr="009C48DA">
        <w:rPr>
          <w:szCs w:val="20"/>
          <w:lang w:val="en-GB"/>
        </w:rPr>
        <w:t>.</w:t>
      </w:r>
      <w:r w:rsidRPr="009C48DA" w:rsidR="00B263E6">
        <w:rPr>
          <w:szCs w:val="20"/>
          <w:lang w:val="en-GB"/>
        </w:rPr>
        <w:t xml:space="preserve"> </w:t>
      </w:r>
      <w:r w:rsidRPr="009C48DA" w:rsidR="00B263E6">
        <w:rPr>
          <w:lang w:val="en-GB"/>
        </w:rPr>
        <w:t xml:space="preserve">Three of the top 10 investors in the Bridgepoint Europe VI fund were new investors, with average commitments of €178 million (one of the new investors, under a different team, had made a smaller commitment in 2001, but they had not invested in any subsequent Bridgepoint Funds). </w:t>
      </w:r>
      <w:r w:rsidRPr="009C48DA" w:rsidR="001C3CEC">
        <w:rPr>
          <w:lang w:val="en-GB"/>
        </w:rPr>
        <w:t xml:space="preserve">In addition, the firm has a robust track record of </w:t>
      </w:r>
      <w:r w:rsidRPr="009C48DA" w:rsidR="002F14BC">
        <w:rPr>
          <w:lang w:val="en-GB"/>
        </w:rPr>
        <w:t xml:space="preserve">its investors committing to </w:t>
      </w:r>
      <w:r w:rsidRPr="009C48DA" w:rsidR="001C3CEC">
        <w:rPr>
          <w:lang w:val="en-GB"/>
        </w:rPr>
        <w:t xml:space="preserve">multiple strategies, </w:t>
      </w:r>
      <w:r w:rsidRPr="009C48DA" w:rsidR="002D38B3">
        <w:rPr>
          <w:lang w:val="en-GB"/>
        </w:rPr>
        <w:t>and </w:t>
      </w:r>
      <w:r w:rsidRPr="009C48DA" w:rsidR="001C3CEC">
        <w:rPr>
          <w:lang w:val="en-GB"/>
        </w:rPr>
        <w:t xml:space="preserve">41 investors </w:t>
      </w:r>
      <w:r w:rsidRPr="009C48DA" w:rsidR="00F7498A">
        <w:rPr>
          <w:lang w:val="en-GB"/>
        </w:rPr>
        <w:t xml:space="preserve">with </w:t>
      </w:r>
      <w:r w:rsidRPr="009C48DA" w:rsidR="002F14BC">
        <w:rPr>
          <w:lang w:val="en-GB"/>
        </w:rPr>
        <w:t xml:space="preserve">total commitments of </w:t>
      </w:r>
      <w:r w:rsidRPr="009C48DA" w:rsidR="001C3CEC">
        <w:rPr>
          <w:lang w:val="en-GB"/>
        </w:rPr>
        <w:t xml:space="preserve">€13 billion </w:t>
      </w:r>
      <w:r w:rsidRPr="009C48DA" w:rsidR="00F7498A">
        <w:rPr>
          <w:lang w:val="en-GB"/>
        </w:rPr>
        <w:t>invested in more than one strategy as of 31 March 2021</w:t>
      </w:r>
      <w:r w:rsidRPr="009C48DA" w:rsidR="001C3CEC">
        <w:rPr>
          <w:lang w:val="en-GB"/>
        </w:rPr>
        <w:t xml:space="preserve">. </w:t>
      </w:r>
    </w:p>
    <w:p w:rsidRPr="009C48DA" w:rsidR="001C3CEC" w:rsidP="0002759F" w:rsidRDefault="001C3CEC" w14:paraId="18561A62" w14:textId="1DDC7841">
      <w:pPr>
        <w:pStyle w:val="BodyText2SglJ"/>
        <w:rPr>
          <w:lang w:val="en-GB"/>
        </w:rPr>
      </w:pPr>
      <w:r w:rsidRPr="009C48DA">
        <w:rPr>
          <w:lang w:val="en-GB"/>
        </w:rPr>
        <w:t xml:space="preserve">The AUM raised from investors is of long duration and provides significant visibility on the future revenue and earnings of the Group. As of 31 March 2021, the longevity of the Group’s relations to its investors was shown by an average </w:t>
      </w:r>
      <w:r w:rsidRPr="009C48DA" w:rsidR="00D8221B">
        <w:rPr>
          <w:lang w:val="en-GB"/>
        </w:rPr>
        <w:t xml:space="preserve">approximate </w:t>
      </w:r>
      <w:r w:rsidRPr="009C48DA">
        <w:rPr>
          <w:lang w:val="en-GB"/>
        </w:rPr>
        <w:t>contractual life of over nine years (calculated as weighted average of Total</w:t>
      </w:r>
      <w:r w:rsidRPr="009C48DA" w:rsidR="00611834">
        <w:rPr>
          <w:lang w:val="en-GB"/>
        </w:rPr>
        <w:t xml:space="preserve"> </w:t>
      </w:r>
      <w:r w:rsidRPr="009C48DA">
        <w:rPr>
          <w:lang w:val="en-GB"/>
        </w:rPr>
        <w:t xml:space="preserve">AUM divided by the charging period of all </w:t>
      </w:r>
      <w:r w:rsidRPr="009C48DA" w:rsidR="00822115">
        <w:rPr>
          <w:lang w:val="en-GB"/>
        </w:rPr>
        <w:t xml:space="preserve">Bridgepoint </w:t>
      </w:r>
      <w:r w:rsidRPr="009C48DA">
        <w:rPr>
          <w:lang w:val="en-GB"/>
        </w:rPr>
        <w:t xml:space="preserve">Funds in the private equity segment and the </w:t>
      </w:r>
      <w:r w:rsidRPr="009C48DA" w:rsidR="00822115">
        <w:rPr>
          <w:lang w:val="en-GB"/>
        </w:rPr>
        <w:t xml:space="preserve">Bridgepoint </w:t>
      </w:r>
      <w:r w:rsidRPr="009C48DA">
        <w:rPr>
          <w:lang w:val="en-GB"/>
        </w:rPr>
        <w:t xml:space="preserve">Direct Lending Funds and </w:t>
      </w:r>
      <w:r w:rsidRPr="009C48DA" w:rsidR="00822115">
        <w:rPr>
          <w:lang w:val="en-GB"/>
        </w:rPr>
        <w:t xml:space="preserve">Bridgepoint </w:t>
      </w:r>
      <w:r w:rsidRPr="009C48DA">
        <w:rPr>
          <w:lang w:val="en-GB"/>
        </w:rPr>
        <w:t xml:space="preserve">Credit Opportunities </w:t>
      </w:r>
      <w:r w:rsidRPr="009C48DA" w:rsidR="00B05D7D">
        <w:rPr>
          <w:lang w:val="en-GB"/>
        </w:rPr>
        <w:t>f</w:t>
      </w:r>
      <w:r w:rsidRPr="009C48DA">
        <w:rPr>
          <w:lang w:val="en-GB"/>
        </w:rPr>
        <w:t>unds). The re-up rate, which is the rate of investors in previous funds who elect to invest in successor funds (by value</w:t>
      </w:r>
      <w:r w:rsidRPr="009C48DA" w:rsidR="00C86C2D">
        <w:rPr>
          <w:lang w:val="en-GB"/>
        </w:rPr>
        <w:t>)</w:t>
      </w:r>
      <w:r w:rsidRPr="009C48DA">
        <w:rPr>
          <w:lang w:val="en-GB"/>
        </w:rPr>
        <w:t>, was 88</w:t>
      </w:r>
      <w:r w:rsidRPr="009C48DA" w:rsidR="00B30F0D">
        <w:rPr>
          <w:lang w:val="en-GB"/>
        </w:rPr>
        <w:t> </w:t>
      </w:r>
      <w:r w:rsidRPr="009C48DA">
        <w:rPr>
          <w:lang w:val="en-GB"/>
        </w:rPr>
        <w:t>per</w:t>
      </w:r>
      <w:r w:rsidRPr="009C48DA" w:rsidR="00B30F0D">
        <w:rPr>
          <w:lang w:val="en-GB"/>
        </w:rPr>
        <w:t> </w:t>
      </w:r>
      <w:r w:rsidRPr="009C48DA">
        <w:rPr>
          <w:lang w:val="en-GB"/>
        </w:rPr>
        <w:t xml:space="preserve">cent for </w:t>
      </w:r>
      <w:r w:rsidRPr="009C48DA" w:rsidR="00822115">
        <w:rPr>
          <w:lang w:val="en-GB"/>
        </w:rPr>
        <w:t xml:space="preserve">Bridgepoint </w:t>
      </w:r>
      <w:r w:rsidRPr="009C48DA">
        <w:rPr>
          <w:lang w:val="en-GB"/>
        </w:rPr>
        <w:t>Europe VI c</w:t>
      </w:r>
      <w:r w:rsidRPr="009C48DA" w:rsidR="003E1653">
        <w:rPr>
          <w:lang w:val="en-GB"/>
        </w:rPr>
        <w:t xml:space="preserve">ompared to </w:t>
      </w:r>
      <w:r w:rsidRPr="009C48DA" w:rsidR="00822115">
        <w:rPr>
          <w:lang w:val="en-GB"/>
        </w:rPr>
        <w:t xml:space="preserve">Bridgepoint </w:t>
      </w:r>
      <w:r w:rsidRPr="009C48DA" w:rsidR="003E1653">
        <w:rPr>
          <w:lang w:val="en-GB"/>
        </w:rPr>
        <w:t>Europe V, 83</w:t>
      </w:r>
      <w:r w:rsidRPr="009C48DA">
        <w:rPr>
          <w:lang w:val="en-GB"/>
        </w:rPr>
        <w:t xml:space="preserve"> per cent for </w:t>
      </w:r>
      <w:r w:rsidRPr="009C48DA" w:rsidR="00822115">
        <w:rPr>
          <w:lang w:val="en-GB"/>
        </w:rPr>
        <w:t xml:space="preserve">Bridgepoint </w:t>
      </w:r>
      <w:r w:rsidRPr="009C48DA">
        <w:rPr>
          <w:lang w:val="en-GB"/>
        </w:rPr>
        <w:t xml:space="preserve">Development Capital IV compared to </w:t>
      </w:r>
      <w:r w:rsidRPr="009C48DA" w:rsidR="00822115">
        <w:rPr>
          <w:lang w:val="en-GB"/>
        </w:rPr>
        <w:t xml:space="preserve">Bridgepoint </w:t>
      </w:r>
      <w:r w:rsidRPr="009C48DA">
        <w:rPr>
          <w:lang w:val="en-GB"/>
        </w:rPr>
        <w:t>Development Capital III and</w:t>
      </w:r>
      <w:r w:rsidRPr="009C48DA" w:rsidR="003E1653">
        <w:rPr>
          <w:lang w:val="en-GB"/>
        </w:rPr>
        <w:t xml:space="preserve"> 86</w:t>
      </w:r>
      <w:r w:rsidRPr="009C48DA">
        <w:rPr>
          <w:lang w:val="en-GB"/>
        </w:rPr>
        <w:t xml:space="preserve"> per cent for </w:t>
      </w:r>
      <w:r w:rsidRPr="009C48DA" w:rsidR="00822115">
        <w:rPr>
          <w:lang w:val="en-GB"/>
        </w:rPr>
        <w:t xml:space="preserve">Bridgepoint </w:t>
      </w:r>
      <w:r w:rsidRPr="009C48DA">
        <w:rPr>
          <w:lang w:val="en-GB"/>
        </w:rPr>
        <w:t xml:space="preserve">Direct Lending II compared to </w:t>
      </w:r>
      <w:r w:rsidRPr="009C48DA" w:rsidR="00822115">
        <w:rPr>
          <w:lang w:val="en-GB"/>
        </w:rPr>
        <w:t xml:space="preserve">Bridgepoint </w:t>
      </w:r>
      <w:r w:rsidRPr="009C48DA">
        <w:rPr>
          <w:lang w:val="en-GB"/>
        </w:rPr>
        <w:t xml:space="preserve">Direct Lending I, with lower re-up rates for the </w:t>
      </w:r>
      <w:r w:rsidRPr="009C48DA" w:rsidR="00822115">
        <w:rPr>
          <w:lang w:val="en-GB"/>
        </w:rPr>
        <w:t xml:space="preserve">Bridgepoint </w:t>
      </w:r>
      <w:r w:rsidRPr="009C48DA">
        <w:rPr>
          <w:lang w:val="en-GB"/>
        </w:rPr>
        <w:t>Credit Opportunities funds, which the Group considers to be in line with overall market trends.</w:t>
      </w:r>
    </w:p>
    <w:p w:rsidRPr="009C48DA" w:rsidR="001C3CEC" w:rsidP="0002759F" w:rsidRDefault="001C3CEC" w14:paraId="3A3EE410" w14:textId="5FB91636">
      <w:pPr>
        <w:pStyle w:val="BodyText2SglJ"/>
        <w:rPr>
          <w:lang w:val="en-GB"/>
        </w:rPr>
      </w:pPr>
      <w:r w:rsidRPr="009C48DA">
        <w:rPr>
          <w:lang w:val="en-GB"/>
        </w:rPr>
        <w:t xml:space="preserve">The impressive returns of the </w:t>
      </w:r>
      <w:r w:rsidRPr="009C48DA" w:rsidR="00822115">
        <w:rPr>
          <w:lang w:val="en-GB"/>
        </w:rPr>
        <w:t xml:space="preserve">Bridgepoint </w:t>
      </w:r>
      <w:r w:rsidRPr="009C48DA">
        <w:rPr>
          <w:lang w:val="en-GB"/>
        </w:rPr>
        <w:t xml:space="preserve">Funds have contributed to the Group’s proven track record of fundraising from its leading client base, which helped to scale strategies with each successive fundraise (with the exception of </w:t>
      </w:r>
      <w:r w:rsidRPr="009C48DA" w:rsidR="00822115">
        <w:rPr>
          <w:lang w:val="en-GB"/>
        </w:rPr>
        <w:t xml:space="preserve">Bridgepoint </w:t>
      </w:r>
      <w:r w:rsidRPr="009C48DA">
        <w:rPr>
          <w:lang w:val="en-GB"/>
        </w:rPr>
        <w:t xml:space="preserve">Europe V). For example, within its private equity investment strategies, the Group was able to increase the size of the fund versus the immediate predecessor of the relevant fund (based on committed amounts) by 49 per cent on average for its </w:t>
      </w:r>
      <w:r w:rsidRPr="009C48DA" w:rsidR="00822115">
        <w:rPr>
          <w:lang w:val="en-GB"/>
        </w:rPr>
        <w:t xml:space="preserve">Bridgepoint </w:t>
      </w:r>
      <w:r w:rsidRPr="009C48DA">
        <w:rPr>
          <w:lang w:val="en-GB"/>
        </w:rPr>
        <w:t xml:space="preserve">Europe funds and 86 per cent on average for its </w:t>
      </w:r>
      <w:r w:rsidRPr="009C48DA" w:rsidR="00822115">
        <w:rPr>
          <w:lang w:val="en-GB"/>
        </w:rPr>
        <w:t xml:space="preserve">Bridgepoint </w:t>
      </w:r>
      <w:r w:rsidRPr="009C48DA">
        <w:rPr>
          <w:lang w:val="en-GB"/>
        </w:rPr>
        <w:t xml:space="preserve">Development Capital funds. </w:t>
      </w:r>
    </w:p>
    <w:p w:rsidRPr="009C48DA" w:rsidR="001C3CEC" w:rsidP="0002759F" w:rsidRDefault="001C3CEC" w14:paraId="19C01813" w14:textId="72D91D89">
      <w:pPr>
        <w:pStyle w:val="BodyText2SglJ"/>
        <w:rPr>
          <w:lang w:val="en-GB"/>
        </w:rPr>
      </w:pPr>
      <w:r w:rsidRPr="009C48DA">
        <w:rPr>
          <w:lang w:val="en-GB"/>
        </w:rPr>
        <w:t>Since 2010, similar scaling was achieved in the Group’s private credit funds, with a 107 per cent and</w:t>
      </w:r>
      <w:r w:rsidRPr="009C48DA" w:rsidR="00B30F0D">
        <w:rPr>
          <w:lang w:val="en-GB"/>
        </w:rPr>
        <w:t xml:space="preserve"> a</w:t>
      </w:r>
      <w:r w:rsidRPr="009C48DA">
        <w:rPr>
          <w:lang w:val="en-GB"/>
        </w:rPr>
        <w:t xml:space="preserve"> </w:t>
      </w:r>
      <w:r w:rsidRPr="009C48DA" w:rsidR="002D32B3">
        <w:rPr>
          <w:lang w:val="en-GB"/>
        </w:rPr>
        <w:t xml:space="preserve">328 </w:t>
      </w:r>
      <w:r w:rsidRPr="009C48DA">
        <w:rPr>
          <w:lang w:val="en-GB"/>
        </w:rPr>
        <w:t xml:space="preserve">per cent increase on average for the </w:t>
      </w:r>
      <w:r w:rsidRPr="009C48DA" w:rsidR="00822115">
        <w:rPr>
          <w:lang w:val="en-GB"/>
        </w:rPr>
        <w:t xml:space="preserve">Bridgepoint </w:t>
      </w:r>
      <w:r w:rsidRPr="009C48DA">
        <w:rPr>
          <w:lang w:val="en-GB"/>
        </w:rPr>
        <w:t xml:space="preserve">Credit Opportunities </w:t>
      </w:r>
      <w:r w:rsidRPr="009C48DA" w:rsidR="00B05D7D">
        <w:rPr>
          <w:lang w:val="en-GB"/>
        </w:rPr>
        <w:t>f</w:t>
      </w:r>
      <w:r w:rsidRPr="009C48DA">
        <w:rPr>
          <w:lang w:val="en-GB"/>
        </w:rPr>
        <w:t xml:space="preserve">unds and the </w:t>
      </w:r>
      <w:r w:rsidRPr="009C48DA" w:rsidR="00822115">
        <w:rPr>
          <w:lang w:val="en-GB"/>
        </w:rPr>
        <w:t xml:space="preserve">Bridgepoint </w:t>
      </w:r>
      <w:r w:rsidRPr="009C48DA">
        <w:rPr>
          <w:lang w:val="en-GB"/>
        </w:rPr>
        <w:t xml:space="preserve">Direct Lending </w:t>
      </w:r>
      <w:r w:rsidRPr="009C48DA" w:rsidR="00B05D7D">
        <w:rPr>
          <w:lang w:val="en-GB"/>
        </w:rPr>
        <w:t>f</w:t>
      </w:r>
      <w:r w:rsidRPr="009C48DA">
        <w:rPr>
          <w:lang w:val="en-GB"/>
        </w:rPr>
        <w:t xml:space="preserve">unds (based on committed amounts and compared to the immediate predecessor of the relevant fund), respectively, which joined </w:t>
      </w:r>
      <w:r w:rsidRPr="009C48DA" w:rsidR="006D5BFE">
        <w:rPr>
          <w:lang w:val="en-GB"/>
        </w:rPr>
        <w:t>Bridgepoint</w:t>
      </w:r>
      <w:r w:rsidRPr="009C48DA">
        <w:rPr>
          <w:lang w:val="en-GB"/>
        </w:rPr>
        <w:t>’s suite of strategies</w:t>
      </w:r>
      <w:r w:rsidRPr="009C48DA" w:rsidDel="00CA11C6">
        <w:rPr>
          <w:vertAlign w:val="superscript"/>
          <w:lang w:val="en-GB"/>
        </w:rPr>
        <w:t xml:space="preserve"> </w:t>
      </w:r>
      <w:r w:rsidRPr="009C48DA">
        <w:rPr>
          <w:lang w:val="en-GB"/>
        </w:rPr>
        <w:t xml:space="preserve">as part of the Group’s acquisition of the EQT Credit business in 2020. </w:t>
      </w:r>
      <w:r w:rsidRPr="009C48DA" w:rsidR="00C86C2D">
        <w:rPr>
          <w:lang w:val="en-GB"/>
        </w:rPr>
        <w:t>T</w:t>
      </w:r>
      <w:r w:rsidRPr="009C48DA">
        <w:rPr>
          <w:lang w:val="en-GB"/>
        </w:rPr>
        <w:t xml:space="preserve">here was no loss of Total AUM </w:t>
      </w:r>
      <w:r w:rsidRPr="009C48DA" w:rsidR="00887260">
        <w:rPr>
          <w:lang w:val="en-GB"/>
        </w:rPr>
        <w:t xml:space="preserve">of the EQT Credit funds </w:t>
      </w:r>
      <w:r w:rsidRPr="009C48DA" w:rsidR="00C86C2D">
        <w:rPr>
          <w:lang w:val="en-GB"/>
        </w:rPr>
        <w:t>as a result of the acquisition at the time of the completion of the transaction</w:t>
      </w:r>
      <w:r w:rsidRPr="009C48DA" w:rsidR="00B30F0D">
        <w:rPr>
          <w:lang w:val="en-GB"/>
        </w:rPr>
        <w:t>,</w:t>
      </w:r>
      <w:r w:rsidRPr="009C48DA">
        <w:rPr>
          <w:lang w:val="en-GB"/>
        </w:rPr>
        <w:t xml:space="preserve"> and fundraising </w:t>
      </w:r>
      <w:r w:rsidRPr="009C48DA" w:rsidR="00611834">
        <w:rPr>
          <w:lang w:val="en-GB"/>
        </w:rPr>
        <w:t xml:space="preserve">for some of the </w:t>
      </w:r>
      <w:r w:rsidRPr="009C48DA" w:rsidR="00822115">
        <w:rPr>
          <w:lang w:val="en-GB"/>
        </w:rPr>
        <w:t xml:space="preserve">Bridgepoint </w:t>
      </w:r>
      <w:r w:rsidRPr="009C48DA" w:rsidR="00611834">
        <w:rPr>
          <w:lang w:val="en-GB"/>
        </w:rPr>
        <w:t xml:space="preserve">private credit funds </w:t>
      </w:r>
      <w:r w:rsidRPr="009C48DA">
        <w:rPr>
          <w:lang w:val="en-GB"/>
        </w:rPr>
        <w:t>commenced almost immediately post completion.</w:t>
      </w:r>
    </w:p>
    <w:p w:rsidRPr="009C48DA" w:rsidR="001C3CEC" w:rsidP="004C312B" w:rsidRDefault="001C3CEC" w14:paraId="796857B5" w14:textId="769A6E15">
      <w:pPr>
        <w:pStyle w:val="TitleB"/>
        <w:rPr>
          <w:lang w:val="en-GB"/>
        </w:rPr>
      </w:pPr>
      <w:r w:rsidRPr="009C48DA">
        <w:rPr>
          <w:lang w:val="en-GB"/>
        </w:rPr>
        <w:t>Expected growth in AUM from near-term fundraising pipeline</w:t>
      </w:r>
    </w:p>
    <w:p w:rsidRPr="009C48DA" w:rsidR="001C3CEC" w:rsidP="0002759F" w:rsidRDefault="001C3CEC" w14:paraId="32F9AD8C" w14:textId="77777777">
      <w:pPr>
        <w:pStyle w:val="BodyText2SglJ"/>
        <w:rPr>
          <w:lang w:val="en-GB"/>
        </w:rPr>
      </w:pPr>
      <w:r w:rsidRPr="009C48DA">
        <w:rPr>
          <w:lang w:val="en-GB"/>
        </w:rPr>
        <w:t>As demonstrated by the chart below, the Group grew its Total AUM significantly from approximately €3 billion in 2001 to approximately €26.6 billion in 2020.</w:t>
      </w:r>
    </w:p>
    <w:p w:rsidRPr="009C48DA" w:rsidR="001C3CEC" w:rsidP="001C3CEC" w:rsidRDefault="001A3FD2" w14:paraId="2F8391D4" w14:textId="54218B7E">
      <w:pPr>
        <w:spacing w:after="240"/>
        <w:jc w:val="both"/>
        <w:rPr>
          <w:sz w:val="20"/>
          <w:szCs w:val="20"/>
          <w:lang w:val="en-GB"/>
        </w:rPr>
      </w:pPr>
      <w:r w:rsidRPr="00581ED3">
        <w:rPr>
          <w:noProof/>
          <w:sz w:val="20"/>
          <w:szCs w:val="20"/>
        </w:rPr>
        <w:drawing>
          <wp:inline distT="0" distB="0" distL="0" distR="0" wp14:anchorId="25F13EBC" wp14:editId="6F88992A">
            <wp:extent cx="5429250" cy="2029520"/>
            <wp:effectExtent l="0" t="0" r="0" b="0"/>
            <wp:docPr id="27" name="Picture 1" descr="" title="">
              <a:extLst xmlns:a="http://schemas.openxmlformats.org/drawingml/2006/main">
                <a:ext uri="{FF2B5EF4-FFF2-40B4-BE49-F238E27FC236}">
                  <a16:creationId xmlns:a16="http://schemas.microsoft.com/office/drawing/2014/main" id="{48142082-F1D8-4626-8003-7CD6B3D129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8142082-F1D8-4626-8003-7CD6B3D1292B}"/>
                        </a:ext>
                      </a:extLst>
                    </pic:cNvPr>
                    <pic:cNvPicPr>
                      <a:picLocks noChangeAspect="1"/>
                    </pic:cNvPicPr>
                  </pic:nvPicPr>
                  <pic:blipFill>
                    <a:blip r:embed="rId44"/>
                    <a:stretch>
                      <a:fillRect/>
                    </a:stretch>
                  </pic:blipFill>
                  <pic:spPr>
                    <a:xfrm>
                      <a:off x="0" y="0"/>
                      <a:ext cx="5429250" cy="2029520"/>
                    </a:xfrm>
                    <a:prstGeom prst="rect">
                      <a:avLst/>
                    </a:prstGeom>
                  </pic:spPr>
                </pic:pic>
              </a:graphicData>
            </a:graphic>
          </wp:inline>
        </w:drawing>
      </w:r>
    </w:p>
    <w:p w:rsidRPr="009C48DA" w:rsidR="00F622C3" w:rsidP="00F622C3" w:rsidRDefault="00F622C3" w14:paraId="144C7C73" w14:textId="09902C69">
      <w:pPr>
        <w:pStyle w:val="BodyText2SglJ"/>
        <w:rPr>
          <w:szCs w:val="20"/>
          <w:lang w:val="en-GB"/>
        </w:rPr>
      </w:pPr>
      <w:r w:rsidRPr="009C48DA">
        <w:rPr>
          <w:i/>
          <w:szCs w:val="20"/>
          <w:lang w:val="en-GB"/>
        </w:rPr>
        <w:t>Note</w:t>
      </w:r>
      <w:r w:rsidRPr="009C48DA">
        <w:rPr>
          <w:szCs w:val="20"/>
          <w:lang w:val="en-GB"/>
        </w:rPr>
        <w:t xml:space="preserve">: </w:t>
      </w:r>
      <w:r w:rsidRPr="009C48DA">
        <w:rPr>
          <w:szCs w:val="20"/>
          <w:vertAlign w:val="superscript"/>
          <w:lang w:val="en-GB"/>
        </w:rPr>
        <w:t>1</w:t>
      </w:r>
      <w:r w:rsidRPr="009C48DA">
        <w:rPr>
          <w:szCs w:val="20"/>
          <w:lang w:val="en-GB"/>
        </w:rPr>
        <w:t xml:space="preserve"> Pro forma for the acquisition of the EQT Credit business.</w:t>
      </w:r>
    </w:p>
    <w:p w:rsidRPr="009C48DA" w:rsidR="001C3CEC" w:rsidP="0002759F" w:rsidRDefault="00822115" w14:paraId="657E2DCE" w14:textId="1D7E0AAD">
      <w:pPr>
        <w:pStyle w:val="BodyText2SglJ"/>
        <w:rPr>
          <w:lang w:val="en-GB"/>
        </w:rPr>
      </w:pPr>
      <w:r w:rsidRPr="009C48DA">
        <w:rPr>
          <w:lang w:val="en-GB"/>
        </w:rPr>
        <w:lastRenderedPageBreak/>
        <w:t xml:space="preserve">Bridgepoint </w:t>
      </w:r>
      <w:r w:rsidRPr="009C48DA" w:rsidR="001C3CEC">
        <w:rPr>
          <w:lang w:val="en-GB"/>
        </w:rPr>
        <w:t>expects to continue growing its AUM in the near</w:t>
      </w:r>
      <w:r w:rsidRPr="009C48DA" w:rsidR="00EE2083">
        <w:rPr>
          <w:lang w:val="en-GB"/>
        </w:rPr>
        <w:t xml:space="preserve"> </w:t>
      </w:r>
      <w:r w:rsidRPr="009C48DA" w:rsidR="001C3CEC">
        <w:rPr>
          <w:lang w:val="en-GB"/>
        </w:rPr>
        <w:t xml:space="preserve">term, with all of its strategies having either recently raised new funds (for example, </w:t>
      </w:r>
      <w:r w:rsidRPr="009C48DA">
        <w:rPr>
          <w:lang w:val="en-GB"/>
        </w:rPr>
        <w:t xml:space="preserve">Bridgepoint </w:t>
      </w:r>
      <w:r w:rsidRPr="009C48DA" w:rsidR="001C3CEC">
        <w:rPr>
          <w:lang w:val="en-GB"/>
        </w:rPr>
        <w:t xml:space="preserve">Development Capital IV, which closed at its £1.6 billion hard cap in September 2020), currently raising new funds (for example, </w:t>
      </w:r>
      <w:r w:rsidRPr="009C48DA">
        <w:rPr>
          <w:lang w:val="en-GB"/>
        </w:rPr>
        <w:t xml:space="preserve">Bridgepoint </w:t>
      </w:r>
      <w:r w:rsidRPr="009C48DA" w:rsidR="001C3CEC">
        <w:rPr>
          <w:lang w:val="en-GB"/>
        </w:rPr>
        <w:t xml:space="preserve">Credit Opportunities and </w:t>
      </w:r>
      <w:r w:rsidRPr="009C48DA">
        <w:rPr>
          <w:lang w:val="en-GB"/>
        </w:rPr>
        <w:t xml:space="preserve">Bridgepoint </w:t>
      </w:r>
      <w:r w:rsidRPr="009C48DA" w:rsidR="001C3CEC">
        <w:rPr>
          <w:lang w:val="en-GB"/>
        </w:rPr>
        <w:t>Direct Lending) or expected to begin fundraising in the near</w:t>
      </w:r>
      <w:r w:rsidRPr="009C48DA" w:rsidR="00EE2083">
        <w:rPr>
          <w:lang w:val="en-GB"/>
        </w:rPr>
        <w:t xml:space="preserve"> </w:t>
      </w:r>
      <w:r w:rsidRPr="009C48DA" w:rsidR="001C3CEC">
        <w:rPr>
          <w:lang w:val="en-GB"/>
        </w:rPr>
        <w:t xml:space="preserve">term (for example, </w:t>
      </w:r>
      <w:r w:rsidRPr="009C48DA">
        <w:rPr>
          <w:lang w:val="en-GB"/>
        </w:rPr>
        <w:t xml:space="preserve">Bridgepoint </w:t>
      </w:r>
      <w:r w:rsidRPr="009C48DA" w:rsidR="001C3CEC">
        <w:rPr>
          <w:lang w:val="en-GB"/>
        </w:rPr>
        <w:t xml:space="preserve">Europe and </w:t>
      </w:r>
      <w:r w:rsidRPr="009C48DA">
        <w:rPr>
          <w:lang w:val="en-GB"/>
        </w:rPr>
        <w:t xml:space="preserve">Bridgepoint </w:t>
      </w:r>
      <w:r w:rsidRPr="009C48DA" w:rsidR="001C3CEC">
        <w:rPr>
          <w:lang w:val="en-GB"/>
        </w:rPr>
        <w:t xml:space="preserve">Growth). </w:t>
      </w:r>
    </w:p>
    <w:p w:rsidRPr="009C48DA" w:rsidR="001C3CEC" w:rsidP="0002759F" w:rsidRDefault="001C3CEC" w14:paraId="34B03617" w14:textId="076C49D2">
      <w:pPr>
        <w:pStyle w:val="BodyText2SglJ"/>
        <w:rPr>
          <w:lang w:val="en-GB"/>
        </w:rPr>
      </w:pPr>
      <w:r w:rsidRPr="009C48DA">
        <w:rPr>
          <w:lang w:val="en-GB"/>
        </w:rPr>
        <w:t xml:space="preserve">The Group’s fundraising pipeline is expected to result in a step change and meaningful increase in the Group’s AUM, with a corresponding impact on </w:t>
      </w:r>
      <w:r w:rsidRPr="009C48DA" w:rsidR="006D5BFE">
        <w:rPr>
          <w:lang w:val="en-GB"/>
        </w:rPr>
        <w:t>Bridgepoint</w:t>
      </w:r>
      <w:r w:rsidRPr="009C48DA">
        <w:rPr>
          <w:lang w:val="en-GB"/>
        </w:rPr>
        <w:t>’s revenue. The Group has made significant investments in its investment talent and platform in preparation for this anticipated growth, and therefore expects to benefit from operating leverage and expanding margins if this expected fundraising pipeline is realised.</w:t>
      </w:r>
    </w:p>
    <w:p w:rsidRPr="009C48DA" w:rsidR="001C3CEC" w:rsidP="001C3CEC" w:rsidRDefault="001A3FD2" w14:paraId="1BDF2D92" w14:textId="54C3C5E8">
      <w:pPr>
        <w:spacing w:before="120" w:line="288" w:lineRule="auto"/>
        <w:jc w:val="center"/>
        <w:rPr>
          <w:rFonts w:cs="Times New Roman"/>
          <w:b/>
          <w:sz w:val="20"/>
          <w:szCs w:val="20"/>
          <w:lang w:val="en-GB"/>
        </w:rPr>
      </w:pPr>
      <w:r w:rsidRPr="00581ED3">
        <w:rPr>
          <w:rFonts w:cs="Times New Roman"/>
          <w:b/>
          <w:noProof/>
          <w:sz w:val="20"/>
          <w:szCs w:val="20"/>
        </w:rPr>
        <w:drawing>
          <wp:inline distT="0" distB="0" distL="0" distR="0" wp14:anchorId="758C2ED1" wp14:editId="6DCFED7B">
            <wp:extent cx="5429250" cy="1351013"/>
            <wp:effectExtent l="0" t="0" r="0" b="1905"/>
            <wp:docPr id="28" name="Picture 4" descr="" title="">
              <a:extLst xmlns:a="http://schemas.openxmlformats.org/drawingml/2006/main">
                <a:ext uri="{FF2B5EF4-FFF2-40B4-BE49-F238E27FC236}">
                  <a16:creationId xmlns:a16="http://schemas.microsoft.com/office/drawing/2014/main" id="{A8DF4961-1DFF-4A7F-BC41-52B1AE694E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8DF4961-1DFF-4A7F-BC41-52B1AE694E39}"/>
                        </a:ext>
                      </a:extLst>
                    </pic:cNvPr>
                    <pic:cNvPicPr>
                      <a:picLocks noChangeAspect="1"/>
                    </pic:cNvPicPr>
                  </pic:nvPicPr>
                  <pic:blipFill>
                    <a:blip r:embed="rId45"/>
                    <a:stretch>
                      <a:fillRect/>
                    </a:stretch>
                  </pic:blipFill>
                  <pic:spPr>
                    <a:xfrm>
                      <a:off x="0" y="0"/>
                      <a:ext cx="5429250" cy="1351013"/>
                    </a:xfrm>
                    <a:prstGeom prst="rect">
                      <a:avLst/>
                    </a:prstGeom>
                  </pic:spPr>
                </pic:pic>
              </a:graphicData>
            </a:graphic>
          </wp:inline>
        </w:drawing>
      </w:r>
    </w:p>
    <w:p w:rsidRPr="009C48DA" w:rsidR="001C3CEC" w:rsidP="004C312B" w:rsidRDefault="001C3CEC" w14:paraId="5BE3FE86" w14:textId="0DA76EEC">
      <w:pPr>
        <w:pStyle w:val="BlockTextSglJ"/>
        <w:rPr>
          <w:b/>
          <w:lang w:val="en-GB"/>
        </w:rPr>
      </w:pPr>
      <w:r w:rsidRPr="009C48DA">
        <w:rPr>
          <w:i/>
          <w:lang w:val="en-GB"/>
        </w:rPr>
        <w:t>Note</w:t>
      </w:r>
      <w:r w:rsidRPr="009C48DA">
        <w:rPr>
          <w:lang w:val="en-GB"/>
        </w:rPr>
        <w:t xml:space="preserve">: </w:t>
      </w:r>
      <w:r w:rsidRPr="009C48DA">
        <w:rPr>
          <w:vertAlign w:val="superscript"/>
          <w:lang w:val="en-GB"/>
        </w:rPr>
        <w:t>1</w:t>
      </w:r>
      <w:r w:rsidRPr="009C48DA">
        <w:rPr>
          <w:lang w:val="en-GB"/>
        </w:rPr>
        <w:t xml:space="preserve"> </w:t>
      </w:r>
      <w:r w:rsidRPr="009C48DA" w:rsidR="004028A5">
        <w:rPr>
          <w:rFonts w:eastAsia="Calibri" w:cs="Times New Roman"/>
          <w:szCs w:val="20"/>
          <w:lang w:val="en-GB"/>
        </w:rPr>
        <w:t xml:space="preserve">Core range; </w:t>
      </w:r>
      <w:r w:rsidRPr="009C48DA" w:rsidR="004028A5">
        <w:rPr>
          <w:rFonts w:eastAsia="Calibri" w:cs="Times New Roman"/>
          <w:szCs w:val="20"/>
          <w:vertAlign w:val="superscript"/>
          <w:lang w:val="en-GB"/>
        </w:rPr>
        <w:t>2</w:t>
      </w:r>
      <w:r w:rsidRPr="009C48DA" w:rsidR="004028A5">
        <w:rPr>
          <w:rFonts w:eastAsia="Calibri" w:cs="Times New Roman"/>
          <w:szCs w:val="20"/>
          <w:lang w:val="en-GB"/>
        </w:rPr>
        <w:t xml:space="preserve"> </w:t>
      </w:r>
      <w:r w:rsidRPr="009C48DA">
        <w:rPr>
          <w:lang w:val="en-GB"/>
        </w:rPr>
        <w:t xml:space="preserve">Fund size includes the Group’s commitment for the private equity funds; </w:t>
      </w:r>
      <w:r w:rsidRPr="009C48DA">
        <w:rPr>
          <w:vertAlign w:val="superscript"/>
          <w:lang w:val="en-GB"/>
        </w:rPr>
        <w:t>2</w:t>
      </w:r>
      <w:r w:rsidRPr="009C48DA">
        <w:rPr>
          <w:lang w:val="en-GB"/>
        </w:rPr>
        <w:t xml:space="preserve"> Fund size of various syndicated debt funds / CLOs; </w:t>
      </w:r>
      <w:r w:rsidRPr="009C48DA">
        <w:rPr>
          <w:vertAlign w:val="superscript"/>
          <w:lang w:val="en-GB"/>
        </w:rPr>
        <w:t>3</w:t>
      </w:r>
      <w:r w:rsidRPr="009C48DA">
        <w:rPr>
          <w:lang w:val="en-GB"/>
        </w:rPr>
        <w:t xml:space="preserve"> Includes leverage; </w:t>
      </w:r>
      <w:r w:rsidRPr="009C48DA">
        <w:rPr>
          <w:vertAlign w:val="superscript"/>
          <w:lang w:val="en-GB"/>
        </w:rPr>
        <w:t>4</w:t>
      </w:r>
      <w:r w:rsidRPr="009C48DA">
        <w:rPr>
          <w:lang w:val="en-GB"/>
        </w:rPr>
        <w:t xml:space="preserve"> Original investment vehicle, a carve-out from EQT V, began in 2008</w:t>
      </w:r>
      <w:r w:rsidRPr="009C48DA">
        <w:rPr>
          <w:b/>
          <w:lang w:val="en-GB"/>
        </w:rPr>
        <w:t>.</w:t>
      </w:r>
    </w:p>
    <w:p w:rsidRPr="009C48DA" w:rsidR="001C3CEC" w:rsidP="004C312B" w:rsidRDefault="001C3CEC" w14:paraId="54A83544" w14:textId="77777777">
      <w:pPr>
        <w:pStyle w:val="TitleB"/>
        <w:rPr>
          <w:lang w:val="en-GB"/>
        </w:rPr>
      </w:pPr>
      <w:r w:rsidRPr="009C48DA">
        <w:rPr>
          <w:lang w:val="en-GB"/>
        </w:rPr>
        <w:t>Well-invested platform for growth</w:t>
      </w:r>
    </w:p>
    <w:p w:rsidRPr="009C48DA" w:rsidR="001C3CEC" w:rsidP="0002759F" w:rsidRDefault="001C3CEC" w14:paraId="541062B2" w14:textId="453A441C">
      <w:pPr>
        <w:pStyle w:val="BodyText2SglJ"/>
        <w:rPr>
          <w:lang w:val="en-GB"/>
        </w:rPr>
      </w:pPr>
      <w:r w:rsidRPr="009C48DA">
        <w:rPr>
          <w:lang w:val="en-GB"/>
        </w:rPr>
        <w:t xml:space="preserve">With 43 investment partners, over 300 permanent FTEs and more than 170 investment professionals </w:t>
      </w:r>
      <w:r w:rsidRPr="009C48DA" w:rsidR="00F94147">
        <w:rPr>
          <w:lang w:val="en-GB"/>
        </w:rPr>
        <w:t xml:space="preserve">located in 10 offices in Europe, the U.S. and Asia </w:t>
      </w:r>
      <w:r w:rsidRPr="009C48DA">
        <w:rPr>
          <w:lang w:val="en-GB"/>
        </w:rPr>
        <w:t xml:space="preserve">as of 31 March 2021, the Group combines depth and reach of investment resources. </w:t>
      </w:r>
      <w:r w:rsidRPr="009C48DA" w:rsidR="00F94147">
        <w:rPr>
          <w:lang w:val="en-GB"/>
        </w:rPr>
        <w:t xml:space="preserve">Over the last three years, the Group has undertaken further substantial investment in its operating platform, creating an infrastructure which has the capacity to manage a substantial increase in AUM. As a result, the Group’s strong operating platform across investor servicing and capital raising, technology and central functions has been scaled for future increases of AUM and strategies. </w:t>
      </w:r>
      <w:r w:rsidRPr="009C48DA">
        <w:rPr>
          <w:lang w:val="en-GB"/>
        </w:rPr>
        <w:t xml:space="preserve">For example, the readiness of the platform to efficiently and effectively add new strategies and acquisitions was illustrated by the </w:t>
      </w:r>
      <w:r w:rsidRPr="009C48DA" w:rsidR="009D2417">
        <w:rPr>
          <w:lang w:val="en-GB"/>
        </w:rPr>
        <w:t>seamless</w:t>
      </w:r>
      <w:r w:rsidRPr="009C48DA">
        <w:rPr>
          <w:lang w:val="en-GB"/>
        </w:rPr>
        <w:t xml:space="preserve"> integration of EQT Credit in 2020 and the first months of 2021.</w:t>
      </w:r>
    </w:p>
    <w:p w:rsidRPr="009C48DA" w:rsidR="001C3CEC" w:rsidP="0038502A" w:rsidRDefault="0038502A" w14:paraId="13A71D36" w14:textId="625D8BF1">
      <w:pPr>
        <w:pStyle w:val="TitleBAllCaps"/>
      </w:pPr>
      <w:r w:rsidRPr="009C48DA">
        <w:t>THE GROUP’S APPROACH TO INVESTING</w:t>
      </w:r>
    </w:p>
    <w:p w:rsidRPr="009C48DA" w:rsidR="001C3CEC" w:rsidP="0002759F" w:rsidRDefault="001C3CEC" w14:paraId="0D184C3B" w14:textId="2D709B97">
      <w:pPr>
        <w:pStyle w:val="BodyText2SglJ"/>
        <w:rPr>
          <w:lang w:val="en-GB"/>
        </w:rPr>
      </w:pPr>
      <w:r w:rsidRPr="009C48DA">
        <w:rPr>
          <w:lang w:val="en-GB"/>
        </w:rPr>
        <w:t xml:space="preserve">The Group’s goal is to generate premium returns for investors in a responsible way, through </w:t>
      </w:r>
      <w:r w:rsidRPr="009C48DA" w:rsidR="00F7498A">
        <w:rPr>
          <w:lang w:val="en-GB"/>
        </w:rPr>
        <w:t xml:space="preserve">a </w:t>
      </w:r>
      <w:r w:rsidRPr="009C48DA">
        <w:rPr>
          <w:lang w:val="en-GB"/>
        </w:rPr>
        <w:t xml:space="preserve">hands-on </w:t>
      </w:r>
      <w:r w:rsidRPr="009C48DA" w:rsidR="00F7498A">
        <w:rPr>
          <w:lang w:val="en-GB"/>
        </w:rPr>
        <w:t xml:space="preserve">approach to </w:t>
      </w:r>
      <w:r w:rsidRPr="009C48DA">
        <w:rPr>
          <w:lang w:val="en-GB"/>
        </w:rPr>
        <w:t xml:space="preserve">value creation and a focus on sustainability throughout the investment cycle. Investments are focused on </w:t>
      </w:r>
      <w:r w:rsidRPr="009C48DA" w:rsidR="00727C85">
        <w:rPr>
          <w:lang w:val="en-GB"/>
        </w:rPr>
        <w:t>high-quality</w:t>
      </w:r>
      <w:r w:rsidRPr="009C48DA">
        <w:rPr>
          <w:lang w:val="en-GB"/>
        </w:rPr>
        <w:t xml:space="preserve"> growth companies with repeatable business models which operate within the seven sectors in which the </w:t>
      </w:r>
      <w:r w:rsidRPr="009C48DA" w:rsidR="00822115">
        <w:rPr>
          <w:lang w:val="en-GB"/>
        </w:rPr>
        <w:t xml:space="preserve">Bridgepoint </w:t>
      </w:r>
      <w:r w:rsidRPr="009C48DA">
        <w:rPr>
          <w:lang w:val="en-GB"/>
        </w:rPr>
        <w:t xml:space="preserve">Funds specialise: Business Services, Media and Sports Rights, Consumer, Financial Services, Healthcare, Advanced Industrials, and Technology. </w:t>
      </w:r>
    </w:p>
    <w:p w:rsidRPr="009C48DA" w:rsidR="001C3CEC" w:rsidP="0002759F" w:rsidRDefault="001C3CEC" w14:paraId="78311BF7" w14:textId="68601837">
      <w:pPr>
        <w:pStyle w:val="BodyText2SglJ"/>
        <w:rPr>
          <w:lang w:val="en-GB"/>
        </w:rPr>
      </w:pPr>
      <w:r w:rsidRPr="009C48DA">
        <w:rPr>
          <w:lang w:val="en-GB"/>
        </w:rPr>
        <w:t xml:space="preserve">The Group’s investment strategy has been refined since </w:t>
      </w:r>
      <w:r w:rsidRPr="009C48DA" w:rsidR="006D5BFE">
        <w:rPr>
          <w:lang w:val="en-GB"/>
        </w:rPr>
        <w:t>Bridgepoint</w:t>
      </w:r>
      <w:r w:rsidRPr="009C48DA">
        <w:rPr>
          <w:lang w:val="en-GB"/>
        </w:rPr>
        <w:t>’s inception in 1984 to create compelling investment returns. Investment teams leverage domain knowledge and depth of local presence to identify attractive assets based on</w:t>
      </w:r>
      <w:r w:rsidRPr="009C48DA">
        <w:rPr>
          <w:rFonts w:cs="Times New Roman"/>
          <w:lang w:val="en-GB"/>
        </w:rPr>
        <w:t xml:space="preserve"> </w:t>
      </w:r>
      <w:r w:rsidRPr="009C48DA" w:rsidR="006D5BFE">
        <w:rPr>
          <w:lang w:val="en-GB"/>
        </w:rPr>
        <w:t>Bridgepoint</w:t>
      </w:r>
      <w:r w:rsidRPr="009C48DA">
        <w:rPr>
          <w:rFonts w:cs="Times New Roman"/>
          <w:lang w:val="en-GB"/>
        </w:rPr>
        <w:t xml:space="preserve">’s long-term origination programme </w:t>
      </w:r>
      <w:r w:rsidRPr="009C48DA">
        <w:rPr>
          <w:lang w:val="en-GB"/>
        </w:rPr>
        <w:t>at competitive valuations, targets with significant growth profiles and underlying beneficial structural drivers.</w:t>
      </w:r>
    </w:p>
    <w:p w:rsidRPr="009C48DA" w:rsidR="001C3CEC" w:rsidP="0002759F" w:rsidRDefault="001C3CEC" w14:paraId="0F0ADD34" w14:textId="77777777">
      <w:pPr>
        <w:pStyle w:val="BodyText2SglJ"/>
        <w:rPr>
          <w:lang w:val="en-GB"/>
        </w:rPr>
      </w:pPr>
      <w:r w:rsidRPr="009C48DA">
        <w:rPr>
          <w:lang w:val="en-GB"/>
        </w:rPr>
        <w:t>Across the Group’s three highly complementary private equity investment strategies, an active ownership approach is applied to acquisitions, driving value creation by earnings growth generation through market share gains (organic and inorganic), expansion into new geographic and product areas, comprehensive business transformations and active buy-and-build programmes.</w:t>
      </w:r>
    </w:p>
    <w:p w:rsidRPr="009C48DA" w:rsidR="001C3CEC" w:rsidP="0002759F" w:rsidRDefault="001C3CEC" w14:paraId="2ED4BAC8" w14:textId="738D27E6">
      <w:pPr>
        <w:pStyle w:val="BodyText2SglJ"/>
        <w:rPr>
          <w:lang w:val="en-GB"/>
        </w:rPr>
      </w:pPr>
      <w:r w:rsidRPr="009C48DA">
        <w:rPr>
          <w:lang w:val="en-GB"/>
        </w:rPr>
        <w:t xml:space="preserve">The Group’s private credit platform typically focuses on </w:t>
      </w:r>
      <w:r w:rsidRPr="009C48DA" w:rsidR="00727C85">
        <w:rPr>
          <w:lang w:val="en-GB"/>
        </w:rPr>
        <w:t>high-quality</w:t>
      </w:r>
      <w:r w:rsidRPr="009C48DA">
        <w:rPr>
          <w:lang w:val="en-GB"/>
        </w:rPr>
        <w:t xml:space="preserve"> European middle market businesses with defensive characteristics, including a high proportion of recurring earnings and strong cash flow generation and resilient end markets. A due diligence-heavy approach to investing is taken across the entire platform, with strict risk assessments and pricing discipline in respect of every investment to maintain and improve upon the Group’s track record of consistent returns and low loss ratios.</w:t>
      </w:r>
    </w:p>
    <w:p w:rsidRPr="009C48DA" w:rsidR="001C3CEC" w:rsidP="0002759F" w:rsidRDefault="001C3CEC" w14:paraId="320E488C" w14:textId="0D490695">
      <w:pPr>
        <w:pStyle w:val="BodyText2SglJ"/>
        <w:rPr>
          <w:lang w:val="en-GB"/>
        </w:rPr>
      </w:pPr>
      <w:r w:rsidRPr="009C48DA">
        <w:rPr>
          <w:lang w:val="en-GB"/>
        </w:rPr>
        <w:lastRenderedPageBreak/>
        <w:t xml:space="preserve">To deliver on its investment strategy, </w:t>
      </w:r>
      <w:r w:rsidRPr="009C48DA" w:rsidR="00822115">
        <w:rPr>
          <w:lang w:val="en-GB"/>
        </w:rPr>
        <w:t xml:space="preserve">Bridgepoint </w:t>
      </w:r>
      <w:r w:rsidRPr="009C48DA">
        <w:rPr>
          <w:lang w:val="en-GB"/>
        </w:rPr>
        <w:t>operates a sector framework with private equity and private credit investment professionals</w:t>
      </w:r>
      <w:r w:rsidRPr="009C48DA" w:rsidDel="00552F7B">
        <w:rPr>
          <w:lang w:val="en-GB"/>
        </w:rPr>
        <w:t xml:space="preserve"> </w:t>
      </w:r>
      <w:r w:rsidRPr="009C48DA">
        <w:rPr>
          <w:lang w:val="en-GB"/>
        </w:rPr>
        <w:t xml:space="preserve">in the Group’s specialised sector teams covering the seven sectors in which the </w:t>
      </w:r>
      <w:r w:rsidRPr="009C48DA" w:rsidR="00822115">
        <w:rPr>
          <w:lang w:val="en-GB"/>
        </w:rPr>
        <w:t xml:space="preserve">Bridgepoint </w:t>
      </w:r>
      <w:r w:rsidRPr="009C48DA">
        <w:rPr>
          <w:lang w:val="en-GB"/>
        </w:rPr>
        <w:t>Funds specialise. This approach promotes a collaborative environment and enables investment teams to draw on the broader institutional knowledge and resources of the Group across its target sectors and sub-verticals, as well as across its global platform of</w:t>
      </w:r>
      <w:r w:rsidRPr="009C48DA" w:rsidR="000F302B">
        <w:rPr>
          <w:lang w:val="en-GB"/>
        </w:rPr>
        <w:t xml:space="preserve"> 10 </w:t>
      </w:r>
      <w:r w:rsidRPr="009C48DA">
        <w:rPr>
          <w:lang w:val="en-GB"/>
        </w:rPr>
        <w:t xml:space="preserve">offices with over 170 investment professionals as of 31 March 2021. </w:t>
      </w:r>
    </w:p>
    <w:p w:rsidRPr="009C48DA" w:rsidR="001C3CEC" w:rsidP="0002759F" w:rsidRDefault="001C3CEC" w14:paraId="6901FE0C" w14:textId="5ABFAE74">
      <w:pPr>
        <w:pStyle w:val="BodyText2SglJ"/>
        <w:rPr>
          <w:lang w:val="en-GB"/>
        </w:rPr>
      </w:pPr>
      <w:r w:rsidRPr="009C48DA">
        <w:rPr>
          <w:lang w:val="en-GB"/>
        </w:rPr>
        <w:t xml:space="preserve">The pooling of information, with information barriers where appropriate and necessary, provides the Group with the ability to competitively source investment opportunities and supports the Group’s focus on finding attractive assets within its target sectors. Similarly, the composition of deal teams also draws on the wider </w:t>
      </w:r>
      <w:r w:rsidRPr="009C48DA" w:rsidR="00822115">
        <w:rPr>
          <w:lang w:val="en-GB"/>
        </w:rPr>
        <w:t xml:space="preserve">Bridgepoint </w:t>
      </w:r>
      <w:r w:rsidRPr="009C48DA">
        <w:rPr>
          <w:lang w:val="en-GB"/>
        </w:rPr>
        <w:t xml:space="preserve">operating platform, taking into account the geography and sector of the target, but also the potential need for functional expertise and operational support, both of which are typically sourced from within the Group. </w:t>
      </w:r>
    </w:p>
    <w:p w:rsidRPr="009C48DA" w:rsidR="001C3CEC" w:rsidP="0002759F" w:rsidRDefault="00822115" w14:paraId="0C7BEE60" w14:textId="63F6E4ED">
      <w:pPr>
        <w:pStyle w:val="BodyText2SglJ"/>
        <w:rPr>
          <w:lang w:val="en-GB"/>
        </w:rPr>
      </w:pPr>
      <w:r w:rsidRPr="009C48DA">
        <w:rPr>
          <w:lang w:val="en-GB"/>
        </w:rPr>
        <w:t xml:space="preserve">Bridgepoint </w:t>
      </w:r>
      <w:r w:rsidRPr="009C48DA" w:rsidR="001C3CEC">
        <w:rPr>
          <w:lang w:val="en-GB"/>
        </w:rPr>
        <w:t xml:space="preserve">has a demonstrated capacity to create value in its investments through a combination of strong earnings growth and the creation of well-invested platforms of scale with long-term growth potential which have proven attractive to acquirers on exit. </w:t>
      </w:r>
      <w:r w:rsidRPr="009C48DA" w:rsidR="0036079A">
        <w:rPr>
          <w:lang w:val="en-GB"/>
        </w:rPr>
        <w:t>From</w:t>
      </w:r>
      <w:r w:rsidRPr="009C48DA" w:rsidR="001C3CEC">
        <w:rPr>
          <w:lang w:val="en-GB"/>
        </w:rPr>
        <w:t xml:space="preserve"> 2000 </w:t>
      </w:r>
      <w:r w:rsidRPr="009C48DA" w:rsidR="0036079A">
        <w:rPr>
          <w:lang w:val="en-GB"/>
        </w:rPr>
        <w:t>to</w:t>
      </w:r>
      <w:r w:rsidRPr="009C48DA" w:rsidR="001C3CEC">
        <w:rPr>
          <w:lang w:val="en-GB"/>
        </w:rPr>
        <w:t xml:space="preserve"> 2020, an estimated 77 per cent of value creation across profitable investments has been driven by revenue growth and earnings improvement in the </w:t>
      </w:r>
      <w:r w:rsidRPr="009C48DA">
        <w:rPr>
          <w:lang w:val="en-GB"/>
        </w:rPr>
        <w:t xml:space="preserve">Bridgepoint </w:t>
      </w:r>
      <w:r w:rsidRPr="009C48DA" w:rsidR="001C3CEC">
        <w:rPr>
          <w:lang w:val="en-GB"/>
        </w:rPr>
        <w:t xml:space="preserve">private equity funds, with a further 25 per cent driven by multiple expansion at exit as a result of the repositioning of portfolio companies for growth and professionalisation, slightly offset by (2) per cent from deleveraging. In aggregate, the Group was able to return €5.8 billion to its investors </w:t>
      </w:r>
      <w:r w:rsidRPr="009C48DA" w:rsidR="0036079A">
        <w:rPr>
          <w:lang w:val="en-GB"/>
        </w:rPr>
        <w:t>from</w:t>
      </w:r>
      <w:r w:rsidRPr="009C48DA" w:rsidR="001C3CEC">
        <w:rPr>
          <w:lang w:val="en-GB"/>
        </w:rPr>
        <w:t xml:space="preserve"> 1 January</w:t>
      </w:r>
      <w:r w:rsidRPr="009C48DA" w:rsidR="001C3CEC">
        <w:rPr>
          <w:rFonts w:cs="Times New Roman"/>
          <w:lang w:val="en-GB"/>
        </w:rPr>
        <w:t xml:space="preserve"> </w:t>
      </w:r>
      <w:r w:rsidRPr="009C48DA" w:rsidR="001C3CEC">
        <w:rPr>
          <w:lang w:val="en-GB"/>
        </w:rPr>
        <w:t xml:space="preserve">2019 </w:t>
      </w:r>
      <w:r w:rsidRPr="009C48DA" w:rsidR="0036079A">
        <w:rPr>
          <w:lang w:val="en-GB"/>
        </w:rPr>
        <w:t>to</w:t>
      </w:r>
      <w:r w:rsidRPr="009C48DA" w:rsidR="001C3CEC">
        <w:rPr>
          <w:lang w:val="en-GB"/>
        </w:rPr>
        <w:t xml:space="preserve"> 31 March 2021.</w:t>
      </w:r>
    </w:p>
    <w:p w:rsidRPr="009C48DA" w:rsidR="001C3CEC" w:rsidP="0002759F" w:rsidRDefault="001C3CEC" w14:paraId="09748E74" w14:textId="6D26A0F7">
      <w:pPr>
        <w:pStyle w:val="BodyText2SglJ"/>
        <w:rPr>
          <w:lang w:val="en-GB"/>
        </w:rPr>
      </w:pPr>
      <w:r w:rsidRPr="009C48DA">
        <w:rPr>
          <w:lang w:val="en-GB"/>
        </w:rPr>
        <w:t xml:space="preserve">The Group’s operationally-driven model is fundamental to value creation and was broadened in the market environment after the global financial crisis of 2008 </w:t>
      </w:r>
      <w:r w:rsidRPr="009C48DA" w:rsidR="00D72819">
        <w:rPr>
          <w:lang w:val="en-GB"/>
        </w:rPr>
        <w:t>and</w:t>
      </w:r>
      <w:r w:rsidRPr="009C48DA">
        <w:rPr>
          <w:lang w:val="en-GB"/>
        </w:rPr>
        <w:t xml:space="preserve"> 2009 and subsequent Eurozone crisis. Using </w:t>
      </w:r>
      <w:r w:rsidRPr="009C48DA" w:rsidR="006D5BFE">
        <w:rPr>
          <w:lang w:val="en-GB"/>
        </w:rPr>
        <w:t>Bridgepoint</w:t>
      </w:r>
      <w:r w:rsidRPr="009C48DA">
        <w:rPr>
          <w:lang w:val="en-GB"/>
        </w:rPr>
        <w:t>’s extensive operational expertise, often drawing on its dedicated Operational Support Group, the Group executes far-reaching business transformations in its private equity strategies to create platforms for long-term, sustainable profit development and employment growth. The Group’s investment professionals benefit from the support of a number of additional teams designed to add value across the portfolio:</w:t>
      </w:r>
    </w:p>
    <w:p w:rsidRPr="009C48DA" w:rsidR="001C3CEC" w:rsidP="004C312B" w:rsidRDefault="001C3CEC" w14:paraId="5789A6BF" w14:textId="77777777">
      <w:pPr>
        <w:pStyle w:val="STBBullet3"/>
        <w:rPr>
          <w:lang w:val="en-GB"/>
        </w:rPr>
      </w:pPr>
      <w:r w:rsidRPr="009C48DA">
        <w:rPr>
          <w:b/>
          <w:lang w:val="en-GB"/>
        </w:rPr>
        <w:t>Operational Support Group</w:t>
      </w:r>
      <w:r w:rsidRPr="009C48DA">
        <w:rPr>
          <w:lang w:val="en-GB"/>
        </w:rPr>
        <w:t>: The Operational Support Group is largely made up of senior individuals with operational experience and industrial skills. It is a fully integrated part of the investment team and is typically involved in portfolio companies where the investment case requires significant operational or management change, strategic expansion or repositioning. Areas of focus include industrial rationalisation (often across different geographies) and significant capital expenditure programmes as well as the provision of substantial additional resources in situations where an asset requires strategic repositioning as a result of underperformance.</w:t>
      </w:r>
    </w:p>
    <w:p w:rsidRPr="009C48DA" w:rsidR="001C3CEC" w:rsidP="004C312B" w:rsidRDefault="001C3CEC" w14:paraId="56CEC67A" w14:textId="23AC30F4">
      <w:pPr>
        <w:pStyle w:val="STBBullet3"/>
        <w:rPr>
          <w:lang w:val="en-GB"/>
        </w:rPr>
      </w:pPr>
      <w:r w:rsidRPr="009C48DA">
        <w:rPr>
          <w:b/>
          <w:lang w:val="en-GB"/>
        </w:rPr>
        <w:t>Capital Markets Team</w:t>
      </w:r>
      <w:r w:rsidRPr="009C48DA">
        <w:rPr>
          <w:lang w:val="en-GB"/>
        </w:rPr>
        <w:t xml:space="preserve">: The Group’s Capital Markets Team acts as a centre of excellence for </w:t>
      </w:r>
      <w:r w:rsidRPr="009C48DA" w:rsidR="00822115">
        <w:rPr>
          <w:lang w:val="en-GB"/>
        </w:rPr>
        <w:t xml:space="preserve">Bridgepoint </w:t>
      </w:r>
      <w:r w:rsidRPr="009C48DA">
        <w:rPr>
          <w:lang w:val="en-GB"/>
        </w:rPr>
        <w:t>in the area of raising debt finance for companies in which its private equity funds invest and optimising capital structures and terms both at entry and for any subsequent portfolio company activities, for example buy-and-build and dividend recapitalisations. The team has a critical role both in managing risk within portfolio companies by employing leverage prudently, and in protecting value with proactive management of covenant headroom, interest rate hedging and compliance activities.</w:t>
      </w:r>
    </w:p>
    <w:p w:rsidRPr="009C48DA" w:rsidR="001C3CEC" w:rsidP="004C312B" w:rsidRDefault="001C3CEC" w14:paraId="55A10F09" w14:textId="3CAFDD19">
      <w:pPr>
        <w:pStyle w:val="STBBullet3"/>
        <w:rPr>
          <w:lang w:val="en-GB"/>
        </w:rPr>
      </w:pPr>
      <w:r w:rsidRPr="009C48DA">
        <w:rPr>
          <w:b/>
          <w:lang w:val="en-GB"/>
        </w:rPr>
        <w:t>Procurement Team</w:t>
      </w:r>
      <w:r w:rsidRPr="009C48DA">
        <w:rPr>
          <w:lang w:val="en-GB"/>
        </w:rPr>
        <w:t xml:space="preserve">: The Procurement Team, initially created in 2000, is a team of </w:t>
      </w:r>
      <w:r w:rsidRPr="009C48DA" w:rsidR="00712828">
        <w:rPr>
          <w:lang w:val="en-GB"/>
        </w:rPr>
        <w:t>six</w:t>
      </w:r>
      <w:r w:rsidRPr="009C48DA">
        <w:rPr>
          <w:lang w:val="en-GB"/>
        </w:rPr>
        <w:t xml:space="preserve"> professionals based in London focused on implementing savings and best practice across the </w:t>
      </w:r>
      <w:r w:rsidRPr="009C48DA" w:rsidR="00822115">
        <w:rPr>
          <w:lang w:val="en-GB"/>
        </w:rPr>
        <w:t xml:space="preserve">Bridgepoint </w:t>
      </w:r>
      <w:r w:rsidRPr="009C48DA">
        <w:rPr>
          <w:lang w:val="en-GB"/>
        </w:rPr>
        <w:t>portfolio and for third</w:t>
      </w:r>
      <w:r w:rsidRPr="009C48DA">
        <w:rPr>
          <w:lang w:val="en-GB"/>
        </w:rPr>
        <w:noBreakHyphen/>
        <w:t xml:space="preserve">party clients. </w:t>
      </w:r>
      <w:r w:rsidRPr="009C48DA" w:rsidR="0036079A">
        <w:rPr>
          <w:lang w:val="en-GB"/>
        </w:rPr>
        <w:t>F</w:t>
      </w:r>
      <w:r w:rsidRPr="009C48DA" w:rsidR="000D32D1">
        <w:rPr>
          <w:lang w:val="en-GB"/>
        </w:rPr>
        <w:t>r</w:t>
      </w:r>
      <w:r w:rsidRPr="009C48DA" w:rsidR="0036079A">
        <w:rPr>
          <w:lang w:val="en-GB"/>
        </w:rPr>
        <w:t>om</w:t>
      </w:r>
      <w:r w:rsidRPr="009C48DA">
        <w:rPr>
          <w:lang w:val="en-GB"/>
        </w:rPr>
        <w:t xml:space="preserve"> 2003 </w:t>
      </w:r>
      <w:r w:rsidRPr="009C48DA" w:rsidR="0036079A">
        <w:rPr>
          <w:lang w:val="en-GB"/>
        </w:rPr>
        <w:t>to</w:t>
      </w:r>
      <w:r w:rsidRPr="009C48DA">
        <w:rPr>
          <w:lang w:val="en-GB"/>
        </w:rPr>
        <w:t xml:space="preserve"> 31 March 2021, this team has delivered estimated savings of approximately £300 million for the </w:t>
      </w:r>
      <w:r w:rsidRPr="009C48DA" w:rsidR="00822115">
        <w:rPr>
          <w:lang w:val="en-GB"/>
        </w:rPr>
        <w:t xml:space="preserve">Bridgepoint </w:t>
      </w:r>
      <w:r w:rsidRPr="009C48DA">
        <w:rPr>
          <w:lang w:val="en-GB"/>
        </w:rPr>
        <w:t>Funds’ portfolio companies. Core initiatives include the introduction of e-auctions, where potential suppliers bid “live” on terms, direct sourcing in Asia in conjunction with the Shanghai Office and significant cost reductions from aggregating the buying power of the portfolio for generic items such as software licences, insurance and utilities.</w:t>
      </w:r>
    </w:p>
    <w:p w:rsidRPr="009C48DA" w:rsidR="001C3CEC" w:rsidP="0038502A" w:rsidRDefault="0038502A" w14:paraId="1ECAA882" w14:textId="453E16D9">
      <w:pPr>
        <w:pStyle w:val="TitleBAllCaps"/>
      </w:pPr>
      <w:r w:rsidRPr="009C48DA">
        <w:lastRenderedPageBreak/>
        <w:t>DEEP DIVE BY INVESTMENT STRATEGY</w:t>
      </w:r>
    </w:p>
    <w:p w:rsidRPr="009C48DA" w:rsidR="001C3CEC" w:rsidP="0002759F" w:rsidRDefault="001C3CEC" w14:paraId="5FAF4DB4" w14:textId="5AE91217">
      <w:pPr>
        <w:pStyle w:val="BodyText2SglJ"/>
        <w:rPr>
          <w:lang w:val="en-GB"/>
        </w:rPr>
      </w:pPr>
      <w:r w:rsidRPr="009C48DA">
        <w:rPr>
          <w:lang w:val="en-GB"/>
        </w:rPr>
        <w:t>As of 31 March 2021, the Group had approximately €</w:t>
      </w:r>
      <w:r w:rsidRPr="009C48DA" w:rsidR="00712828">
        <w:rPr>
          <w:lang w:val="en-GB"/>
        </w:rPr>
        <w:t>27.4</w:t>
      </w:r>
      <w:r w:rsidRPr="009C48DA">
        <w:rPr>
          <w:lang w:val="en-GB"/>
        </w:rPr>
        <w:t xml:space="preserve"> billion Total AUM in six distinct investment strategies across private equity and private credit. The Group’s complementary investment strategies in the private equity and private credit segment have reinforced and expanded </w:t>
      </w:r>
      <w:r w:rsidRPr="009C48DA" w:rsidR="006D5BFE">
        <w:rPr>
          <w:lang w:val="en-GB"/>
        </w:rPr>
        <w:t>Bridgepoint</w:t>
      </w:r>
      <w:r w:rsidRPr="009C48DA">
        <w:rPr>
          <w:lang w:val="en-GB"/>
        </w:rPr>
        <w:t xml:space="preserve">’s market and sector coverage and the industrial network for the </w:t>
      </w:r>
      <w:r w:rsidRPr="009C48DA" w:rsidR="00822115">
        <w:rPr>
          <w:lang w:val="en-GB"/>
        </w:rPr>
        <w:t xml:space="preserve">Bridgepoint </w:t>
      </w:r>
      <w:r w:rsidRPr="009C48DA">
        <w:rPr>
          <w:lang w:val="en-GB"/>
        </w:rPr>
        <w:t xml:space="preserve">Funds. Together, the </w:t>
      </w:r>
      <w:r w:rsidRPr="009C48DA" w:rsidR="00822115">
        <w:rPr>
          <w:lang w:val="en-GB"/>
        </w:rPr>
        <w:t xml:space="preserve">Bridgepoint </w:t>
      </w:r>
      <w:r w:rsidRPr="009C48DA">
        <w:rPr>
          <w:lang w:val="en-GB"/>
        </w:rPr>
        <w:t>Funds cover a vast number of corporate relationships across a wide range of asset sizes and market segments, creating access to attractive opportunities across the capital structure and life</w:t>
      </w:r>
      <w:r w:rsidRPr="009C48DA" w:rsidR="00FD0449">
        <w:rPr>
          <w:lang w:val="en-GB"/>
        </w:rPr>
        <w:t xml:space="preserve"> </w:t>
      </w:r>
      <w:r w:rsidRPr="009C48DA">
        <w:rPr>
          <w:lang w:val="en-GB"/>
        </w:rPr>
        <w:t>cycle of middle market businesses.</w:t>
      </w:r>
    </w:p>
    <w:p w:rsidRPr="009C48DA" w:rsidR="001C3CEC" w:rsidP="0002759F" w:rsidRDefault="001C3CEC" w14:paraId="6344E15C" w14:textId="3E160DE3">
      <w:pPr>
        <w:pStyle w:val="BodyText2SglJ"/>
        <w:rPr>
          <w:lang w:val="en-GB"/>
        </w:rPr>
      </w:pPr>
      <w:r w:rsidRPr="009C48DA">
        <w:rPr>
          <w:lang w:val="en-GB"/>
        </w:rPr>
        <w:t xml:space="preserve">Each investment strategy of the </w:t>
      </w:r>
      <w:r w:rsidRPr="009C48DA" w:rsidR="00822115">
        <w:rPr>
          <w:lang w:val="en-GB"/>
        </w:rPr>
        <w:t xml:space="preserve">Bridgepoint </w:t>
      </w:r>
      <w:r w:rsidRPr="009C48DA">
        <w:rPr>
          <w:lang w:val="en-GB"/>
        </w:rPr>
        <w:t>Funds focuses on its respective investment area while benefitting from differentiated access to central support functions and the sharing of sector research and insights across the Group. This gives rise to significant firm-wide benefits, particularly in respect of sector-based origination and the identification of emerging industrial trends.</w:t>
      </w:r>
    </w:p>
    <w:p w:rsidRPr="009C48DA" w:rsidR="001C3CEC" w:rsidP="001C3CEC" w:rsidRDefault="001A3FD2" w14:paraId="648660A2" w14:textId="0B16C5F8">
      <w:pPr>
        <w:spacing w:before="120" w:line="288" w:lineRule="auto"/>
        <w:jc w:val="center"/>
        <w:rPr>
          <w:rFonts w:cs="Times New Roman"/>
          <w:sz w:val="20"/>
          <w:szCs w:val="20"/>
          <w:lang w:val="en-GB"/>
        </w:rPr>
      </w:pPr>
      <w:r w:rsidRPr="00581ED3">
        <w:rPr>
          <w:rFonts w:cs="Times New Roman"/>
          <w:noProof/>
          <w:sz w:val="20"/>
          <w:szCs w:val="20"/>
        </w:rPr>
        <w:drawing>
          <wp:inline distT="0" distB="0" distL="0" distR="0" wp14:anchorId="03B57AC9" wp14:editId="5BDF23EB">
            <wp:extent cx="5429250" cy="1518990"/>
            <wp:effectExtent l="0" t="0" r="0" b="0"/>
            <wp:docPr id="29" name="Picture 1" descr="" title="">
              <a:extLst xmlns:a="http://schemas.openxmlformats.org/drawingml/2006/main">
                <a:ext uri="{FF2B5EF4-FFF2-40B4-BE49-F238E27FC236}">
                  <a16:creationId xmlns:a16="http://schemas.microsoft.com/office/drawing/2014/main" id="{D4082CA1-4EA0-4310-8A70-FC6E6DEECF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D4082CA1-4EA0-4310-8A70-FC6E6DEECF32}"/>
                        </a:ext>
                      </a:extLst>
                    </pic:cNvPr>
                    <pic:cNvPicPr>
                      <a:picLocks noChangeAspect="1"/>
                    </pic:cNvPicPr>
                  </pic:nvPicPr>
                  <pic:blipFill>
                    <a:blip r:embed="rId46"/>
                    <a:stretch>
                      <a:fillRect/>
                    </a:stretch>
                  </pic:blipFill>
                  <pic:spPr>
                    <a:xfrm>
                      <a:off x="0" y="0"/>
                      <a:ext cx="5429250" cy="1518990"/>
                    </a:xfrm>
                    <a:prstGeom prst="rect">
                      <a:avLst/>
                    </a:prstGeom>
                  </pic:spPr>
                </pic:pic>
              </a:graphicData>
            </a:graphic>
          </wp:inline>
        </w:drawing>
      </w:r>
    </w:p>
    <w:p w:rsidRPr="009C48DA" w:rsidR="001C3CEC" w:rsidP="00541287" w:rsidRDefault="001C3CEC" w14:paraId="12361B5E" w14:textId="48462175">
      <w:pPr>
        <w:pStyle w:val="BlockTextSglJ"/>
        <w:jc w:val="left"/>
        <w:rPr>
          <w:lang w:val="en-GB"/>
        </w:rPr>
      </w:pPr>
      <w:r w:rsidRPr="009C48DA">
        <w:rPr>
          <w:i/>
          <w:lang w:val="en-GB"/>
        </w:rPr>
        <w:t>Note</w:t>
      </w:r>
      <w:r w:rsidRPr="009C48DA">
        <w:rPr>
          <w:lang w:val="en-GB"/>
        </w:rPr>
        <w:t>: Total AUM data as of 31 </w:t>
      </w:r>
      <w:r w:rsidRPr="009C48DA" w:rsidR="004028A5">
        <w:rPr>
          <w:lang w:val="en-GB"/>
        </w:rPr>
        <w:t>December 2020.</w:t>
      </w:r>
      <w:r w:rsidRPr="009C48DA" w:rsidR="00541287">
        <w:rPr>
          <w:lang w:val="en-GB"/>
        </w:rPr>
        <w:br/>
      </w:r>
    </w:p>
    <w:p w:rsidRPr="009C48DA" w:rsidR="001C3CEC" w:rsidP="004C312B" w:rsidRDefault="001C3CEC" w14:paraId="40C4A9EF" w14:textId="77777777">
      <w:pPr>
        <w:pStyle w:val="TitleB"/>
        <w:rPr>
          <w:lang w:val="en-GB"/>
        </w:rPr>
      </w:pPr>
      <w:r w:rsidRPr="009C48DA">
        <w:rPr>
          <w:lang w:val="en-GB"/>
        </w:rPr>
        <w:t>Private Equity</w:t>
      </w:r>
    </w:p>
    <w:p w:rsidRPr="009C48DA" w:rsidR="001C3CEC" w:rsidP="0002759F" w:rsidRDefault="001C3CEC" w14:paraId="53B805EC" w14:textId="262E26A8">
      <w:pPr>
        <w:pStyle w:val="BodyText2SglJ"/>
        <w:rPr>
          <w:lang w:val="en-GB"/>
        </w:rPr>
      </w:pPr>
      <w:r w:rsidRPr="009C48DA">
        <w:rPr>
          <w:lang w:val="en-GB"/>
        </w:rPr>
        <w:t xml:space="preserve">Whilst the teams which are responsible for the three distinct investment strategies within </w:t>
      </w:r>
      <w:r w:rsidRPr="009C48DA" w:rsidR="00822115">
        <w:rPr>
          <w:lang w:val="en-GB"/>
        </w:rPr>
        <w:t xml:space="preserve">Bridgepoint’s </w:t>
      </w:r>
      <w:r w:rsidRPr="009C48DA">
        <w:rPr>
          <w:lang w:val="en-GB"/>
        </w:rPr>
        <w:t xml:space="preserve">private equity segment, being </w:t>
      </w:r>
      <w:r w:rsidRPr="009C48DA" w:rsidR="00822115">
        <w:rPr>
          <w:lang w:val="en-GB"/>
        </w:rPr>
        <w:t xml:space="preserve">Bridgepoint </w:t>
      </w:r>
      <w:r w:rsidRPr="009C48DA">
        <w:rPr>
          <w:lang w:val="en-GB"/>
        </w:rPr>
        <w:t xml:space="preserve">Europe, </w:t>
      </w:r>
      <w:r w:rsidRPr="009C48DA" w:rsidR="00822115">
        <w:rPr>
          <w:lang w:val="en-GB"/>
        </w:rPr>
        <w:t xml:space="preserve">Bridgepoint </w:t>
      </w:r>
      <w:r w:rsidRPr="009C48DA">
        <w:rPr>
          <w:lang w:val="en-GB"/>
        </w:rPr>
        <w:t xml:space="preserve">Development Capital and </w:t>
      </w:r>
      <w:r w:rsidRPr="009C48DA" w:rsidR="00822115">
        <w:rPr>
          <w:lang w:val="en-GB"/>
        </w:rPr>
        <w:t xml:space="preserve">Bridgepoint </w:t>
      </w:r>
      <w:r w:rsidRPr="009C48DA">
        <w:rPr>
          <w:lang w:val="en-GB"/>
        </w:rPr>
        <w:t>Growth, operate independently, they benefit from the ability to collaborate across the strategies, both in sharing knowledge within sector teams and by utilising industrial and market relationships to generate deal introductions for each of the three strategies.</w:t>
      </w:r>
    </w:p>
    <w:p w:rsidRPr="009C48DA" w:rsidR="001C3CEC" w:rsidP="004C312B" w:rsidRDefault="00822115" w14:paraId="55C80F3E" w14:textId="11669DCF">
      <w:pPr>
        <w:pStyle w:val="TitleBI"/>
        <w:rPr>
          <w:lang w:val="en-GB"/>
        </w:rPr>
      </w:pPr>
      <w:r w:rsidRPr="009C48DA">
        <w:rPr>
          <w:lang w:val="en-GB"/>
        </w:rPr>
        <w:t xml:space="preserve">Bridgepoint </w:t>
      </w:r>
      <w:r w:rsidRPr="009C48DA" w:rsidR="001C3CEC">
        <w:rPr>
          <w:lang w:val="en-GB"/>
        </w:rPr>
        <w:t>Europe</w:t>
      </w:r>
    </w:p>
    <w:p w:rsidRPr="009C48DA" w:rsidR="001C3CEC" w:rsidP="0002759F" w:rsidRDefault="001C3CEC" w14:paraId="76FD9590" w14:textId="3723B89E">
      <w:pPr>
        <w:pStyle w:val="BodyText2SglJ"/>
        <w:rPr>
          <w:lang w:val="en-GB"/>
        </w:rPr>
      </w:pPr>
      <w:r w:rsidRPr="009C48DA">
        <w:rPr>
          <w:lang w:val="en-GB"/>
        </w:rPr>
        <w:t xml:space="preserve">The Group’s flagship buyout fund, </w:t>
      </w:r>
      <w:r w:rsidRPr="009C48DA" w:rsidR="00822115">
        <w:rPr>
          <w:lang w:val="en-GB"/>
        </w:rPr>
        <w:t xml:space="preserve">Bridgepoint </w:t>
      </w:r>
      <w:r w:rsidRPr="009C48DA">
        <w:rPr>
          <w:lang w:val="en-GB"/>
        </w:rPr>
        <w:t xml:space="preserve">Europe, focuses on investing in businesses in the middle market with enterprise values typically between €200 million and €1.5 billion and targets gross returns of 2.3 to 3.0 times per fund, with both </w:t>
      </w:r>
      <w:r w:rsidRPr="009C48DA" w:rsidR="00822115">
        <w:rPr>
          <w:lang w:val="en-GB"/>
        </w:rPr>
        <w:t xml:space="preserve">Bridgepoint </w:t>
      </w:r>
      <w:r w:rsidRPr="009C48DA">
        <w:rPr>
          <w:lang w:val="en-GB"/>
        </w:rPr>
        <w:t xml:space="preserve">Europe IV and </w:t>
      </w:r>
      <w:r w:rsidRPr="009C48DA" w:rsidR="00822115">
        <w:rPr>
          <w:lang w:val="en-GB"/>
        </w:rPr>
        <w:t xml:space="preserve">Bridgepoint </w:t>
      </w:r>
      <w:r w:rsidRPr="009C48DA">
        <w:rPr>
          <w:lang w:val="en-GB"/>
        </w:rPr>
        <w:t xml:space="preserve">Europe V being expected to meet their respective target ranges. The Group is currently investing its sixth external buyout fund, </w:t>
      </w:r>
      <w:r w:rsidRPr="009C48DA" w:rsidR="00822115">
        <w:rPr>
          <w:lang w:val="en-GB"/>
        </w:rPr>
        <w:t xml:space="preserve">Bridgepoint </w:t>
      </w:r>
      <w:r w:rsidRPr="009C48DA">
        <w:rPr>
          <w:lang w:val="en-GB"/>
        </w:rPr>
        <w:t>Europe VI, which has total commitments of €5.8 billion. Of this amount, 78 per cent was committed to investments as of 31 May 2021 during the typical commitment period of three to four years</w:t>
      </w:r>
      <w:r w:rsidRPr="009C48DA" w:rsidR="00710AA4">
        <w:rPr>
          <w:lang w:val="en-GB"/>
        </w:rPr>
        <w:t>. The</w:t>
      </w:r>
      <w:r w:rsidRPr="009C48DA">
        <w:rPr>
          <w:lang w:val="en-GB"/>
        </w:rPr>
        <w:t xml:space="preserve"> Group expects that the fundraising for the next flagship fund, </w:t>
      </w:r>
      <w:r w:rsidRPr="009C48DA" w:rsidR="00822115">
        <w:rPr>
          <w:lang w:val="en-GB"/>
        </w:rPr>
        <w:t xml:space="preserve">Bridgepoint </w:t>
      </w:r>
      <w:r w:rsidRPr="009C48DA">
        <w:rPr>
          <w:lang w:val="en-GB"/>
        </w:rPr>
        <w:t xml:space="preserve">Europe VII, will commence </w:t>
      </w:r>
      <w:r w:rsidRPr="009C48DA" w:rsidR="007A1A68">
        <w:rPr>
          <w:lang w:val="en-GB"/>
        </w:rPr>
        <w:t>imminently</w:t>
      </w:r>
      <w:r w:rsidRPr="009C48DA">
        <w:rPr>
          <w:lang w:val="en-GB"/>
        </w:rPr>
        <w:t>.</w:t>
      </w:r>
    </w:p>
    <w:p w:rsidRPr="009C48DA" w:rsidR="00710AA4" w:rsidP="0002759F" w:rsidRDefault="00710AA4" w14:paraId="2C1B7EB8" w14:textId="598B95F3">
      <w:pPr>
        <w:pStyle w:val="BodyText2SglJ"/>
        <w:rPr>
          <w:lang w:val="en-GB"/>
        </w:rPr>
      </w:pPr>
      <w:r w:rsidRPr="009C48DA">
        <w:rPr>
          <w:lang w:val="en-GB"/>
        </w:rPr>
        <w:t xml:space="preserve">The progress </w:t>
      </w:r>
      <w:r w:rsidRPr="009C48DA" w:rsidR="00822115">
        <w:rPr>
          <w:lang w:val="en-GB"/>
        </w:rPr>
        <w:t xml:space="preserve">Bridgepoint </w:t>
      </w:r>
      <w:r w:rsidRPr="009C48DA">
        <w:rPr>
          <w:lang w:val="en-GB"/>
        </w:rPr>
        <w:t xml:space="preserve">is making in deploying the current fund, </w:t>
      </w:r>
      <w:r w:rsidRPr="009C48DA" w:rsidR="00822115">
        <w:rPr>
          <w:lang w:val="en-GB"/>
        </w:rPr>
        <w:t xml:space="preserve">Bridgepoint </w:t>
      </w:r>
      <w:r w:rsidRPr="009C48DA">
        <w:rPr>
          <w:lang w:val="en-GB"/>
        </w:rPr>
        <w:t>Europe VI (with total commitments of €5.8 billion) alongside an estimated €1 billion of total co-investments from investors once that fund is fully deployed, in combination with recent investment in the team and geographic expansion, gives the Directors confidence in its ability to deploy a similar level of aggregate capital in the next flagship fund, which in turn would be supplemented by further co-investments by investors.</w:t>
      </w:r>
    </w:p>
    <w:p w:rsidRPr="009C48DA" w:rsidR="001C3CEC" w:rsidP="0002759F" w:rsidRDefault="001C3CEC" w14:paraId="795F9F8F" w14:textId="18C00540">
      <w:pPr>
        <w:pStyle w:val="BodyText2SglJ"/>
        <w:rPr>
          <w:lang w:val="en-GB"/>
        </w:rPr>
      </w:pPr>
      <w:r w:rsidRPr="009C48DA">
        <w:rPr>
          <w:lang w:val="en-GB"/>
        </w:rPr>
        <w:t xml:space="preserve">The </w:t>
      </w:r>
      <w:r w:rsidRPr="009C48DA" w:rsidR="00822115">
        <w:rPr>
          <w:lang w:val="en-GB"/>
        </w:rPr>
        <w:t xml:space="preserve">Bridgepoint </w:t>
      </w:r>
      <w:r w:rsidRPr="009C48DA">
        <w:rPr>
          <w:lang w:val="en-GB"/>
        </w:rPr>
        <w:t xml:space="preserve">Europe investment team comprises over 90 investment professionals, including 27 investment partners with an average of 20 years’ private equity experience. The </w:t>
      </w:r>
      <w:r w:rsidRPr="009C48DA" w:rsidR="00822115">
        <w:rPr>
          <w:lang w:val="en-GB"/>
        </w:rPr>
        <w:t xml:space="preserve">Bridgepoint </w:t>
      </w:r>
      <w:r w:rsidRPr="009C48DA">
        <w:rPr>
          <w:lang w:val="en-GB"/>
        </w:rPr>
        <w:t xml:space="preserve">Europe strategy has delivered strong and consistent investment returns over an extended period, having invested in 164 transactions since the first </w:t>
      </w:r>
      <w:r w:rsidRPr="009C48DA" w:rsidR="00822115">
        <w:rPr>
          <w:lang w:val="en-GB"/>
        </w:rPr>
        <w:t xml:space="preserve">Bridgepoint </w:t>
      </w:r>
      <w:r w:rsidRPr="009C48DA">
        <w:rPr>
          <w:lang w:val="en-GB"/>
        </w:rPr>
        <w:t xml:space="preserve">Europe fund was raised in 1998 until 31 March 2021. </w:t>
      </w:r>
      <w:r w:rsidRPr="009C48DA" w:rsidR="00243F6D">
        <w:rPr>
          <w:lang w:val="en-GB"/>
        </w:rPr>
        <w:t xml:space="preserve">Over </w:t>
      </w:r>
      <w:r w:rsidRPr="009C48DA" w:rsidR="00BE117F">
        <w:rPr>
          <w:lang w:val="en-GB"/>
        </w:rPr>
        <w:t>the</w:t>
      </w:r>
      <w:r w:rsidRPr="009C48DA" w:rsidR="00243F6D">
        <w:rPr>
          <w:lang w:val="en-GB"/>
        </w:rPr>
        <w:t xml:space="preserve"> same period</w:t>
      </w:r>
      <w:r w:rsidRPr="009C48DA">
        <w:rPr>
          <w:lang w:val="en-GB"/>
        </w:rPr>
        <w:t xml:space="preserve">, the </w:t>
      </w:r>
      <w:r w:rsidRPr="009C48DA" w:rsidR="00822115">
        <w:rPr>
          <w:lang w:val="en-GB"/>
        </w:rPr>
        <w:t xml:space="preserve">Bridgepoint </w:t>
      </w:r>
      <w:r w:rsidRPr="009C48DA">
        <w:rPr>
          <w:lang w:val="en-GB"/>
        </w:rPr>
        <w:t>Europe f</w:t>
      </w:r>
      <w:r w:rsidRPr="009C48DA" w:rsidR="004F4EDB">
        <w:rPr>
          <w:lang w:val="en-GB"/>
        </w:rPr>
        <w:t xml:space="preserve">unds realised </w:t>
      </w:r>
      <w:r w:rsidRPr="009C48DA" w:rsidR="002D32B3">
        <w:rPr>
          <w:lang w:val="en-GB"/>
        </w:rPr>
        <w:t xml:space="preserve">proceeds of €20.6 billion from </w:t>
      </w:r>
      <w:r w:rsidRPr="009C48DA" w:rsidR="004F4EDB">
        <w:rPr>
          <w:lang w:val="en-GB"/>
        </w:rPr>
        <w:t>213</w:t>
      </w:r>
      <w:r w:rsidRPr="009C48DA">
        <w:rPr>
          <w:lang w:val="en-GB"/>
        </w:rPr>
        <w:t xml:space="preserve"> exits and delivered a gross IRR of </w:t>
      </w:r>
      <w:r w:rsidRPr="009C48DA" w:rsidR="004F4EDB">
        <w:rPr>
          <w:lang w:val="en-GB"/>
        </w:rPr>
        <w:t>17</w:t>
      </w:r>
      <w:r w:rsidRPr="009C48DA">
        <w:rPr>
          <w:lang w:val="en-GB"/>
        </w:rPr>
        <w:t xml:space="preserve"> per cent. </w:t>
      </w:r>
      <w:r w:rsidRPr="009C48DA" w:rsidR="00822115">
        <w:rPr>
          <w:lang w:val="en-GB"/>
        </w:rPr>
        <w:t xml:space="preserve">Bridgepoint </w:t>
      </w:r>
      <w:r w:rsidRPr="009C48DA">
        <w:rPr>
          <w:lang w:val="en-GB"/>
        </w:rPr>
        <w:t xml:space="preserve">Europe’s track record has continued to be strong in recent fund generations, with more than 55 investments (from </w:t>
      </w:r>
      <w:r w:rsidRPr="009C48DA" w:rsidR="00822115">
        <w:rPr>
          <w:lang w:val="en-GB"/>
        </w:rPr>
        <w:t xml:space="preserve">Bridgepoint </w:t>
      </w:r>
      <w:r w:rsidRPr="009C48DA">
        <w:rPr>
          <w:lang w:val="en-GB"/>
        </w:rPr>
        <w:t xml:space="preserve">Europe IV through </w:t>
      </w:r>
      <w:r w:rsidRPr="009C48DA" w:rsidR="00822115">
        <w:rPr>
          <w:lang w:val="en-GB"/>
        </w:rPr>
        <w:t xml:space="preserve">Bridgepoint </w:t>
      </w:r>
      <w:r w:rsidRPr="009C48DA">
        <w:rPr>
          <w:lang w:val="en-GB"/>
        </w:rPr>
        <w:t xml:space="preserve">Europe VI) </w:t>
      </w:r>
      <w:r w:rsidRPr="009C48DA">
        <w:rPr>
          <w:lang w:val="en-GB"/>
        </w:rPr>
        <w:lastRenderedPageBreak/>
        <w:t xml:space="preserve">and each of </w:t>
      </w:r>
      <w:r w:rsidRPr="009C48DA" w:rsidR="00D46607">
        <w:rPr>
          <w:lang w:val="en-GB"/>
        </w:rPr>
        <w:t xml:space="preserve">Bridgepoint </w:t>
      </w:r>
      <w:r w:rsidRPr="009C48DA">
        <w:rPr>
          <w:lang w:val="en-GB"/>
        </w:rPr>
        <w:t>Europe IV, V and VI being ranked first or second quartile performers on a net IRR basis based on Cambridge Associates Benchmark Statistics as of 30 September 2020.</w:t>
      </w:r>
      <w:r w:rsidRPr="009C48DA">
        <w:rPr>
          <w:vertAlign w:val="superscript"/>
          <w:lang w:val="en-GB"/>
        </w:rPr>
        <w:footnoteReference w:id="41"/>
      </w:r>
      <w:r w:rsidRPr="009C48DA">
        <w:rPr>
          <w:lang w:val="en-GB"/>
        </w:rPr>
        <w:t xml:space="preserve"> </w:t>
      </w:r>
    </w:p>
    <w:p w:rsidRPr="009C48DA" w:rsidR="001C3CEC" w:rsidP="004C312B" w:rsidRDefault="00D46607" w14:paraId="647920AA" w14:textId="69C8973A">
      <w:pPr>
        <w:pStyle w:val="TitleBI"/>
        <w:rPr>
          <w:lang w:val="en-GB"/>
        </w:rPr>
      </w:pPr>
      <w:r w:rsidRPr="009C48DA">
        <w:rPr>
          <w:lang w:val="en-GB"/>
        </w:rPr>
        <w:t xml:space="preserve">Bridgepoint </w:t>
      </w:r>
      <w:r w:rsidRPr="009C48DA" w:rsidR="001C3CEC">
        <w:rPr>
          <w:lang w:val="en-GB"/>
        </w:rPr>
        <w:t>Development Capital</w:t>
      </w:r>
    </w:p>
    <w:p w:rsidRPr="009C48DA" w:rsidR="001C3CEC" w:rsidP="0002759F" w:rsidRDefault="001C3CEC" w14:paraId="15E7135F" w14:textId="17599F58">
      <w:pPr>
        <w:pStyle w:val="BodyText2SglJ"/>
        <w:rPr>
          <w:lang w:val="en-GB"/>
        </w:rPr>
      </w:pPr>
      <w:r w:rsidRPr="009C48DA">
        <w:rPr>
          <w:lang w:val="en-GB"/>
        </w:rPr>
        <w:t xml:space="preserve">Established in 2009, </w:t>
      </w:r>
      <w:r w:rsidRPr="009C48DA" w:rsidR="00D46607">
        <w:rPr>
          <w:lang w:val="en-GB"/>
        </w:rPr>
        <w:t xml:space="preserve">Bridgepoint </w:t>
      </w:r>
      <w:r w:rsidRPr="009C48DA">
        <w:rPr>
          <w:lang w:val="en-GB"/>
        </w:rPr>
        <w:t xml:space="preserve">Development Capital forms </w:t>
      </w:r>
      <w:r w:rsidRPr="009C48DA" w:rsidR="006D5BFE">
        <w:rPr>
          <w:lang w:val="en-GB"/>
        </w:rPr>
        <w:t>Bridgepoint</w:t>
      </w:r>
      <w:r w:rsidRPr="009C48DA">
        <w:rPr>
          <w:lang w:val="en-GB"/>
        </w:rPr>
        <w:t xml:space="preserve">’s lower middle market strategy. </w:t>
      </w:r>
      <w:r w:rsidRPr="009C48DA" w:rsidR="00D46607">
        <w:rPr>
          <w:lang w:val="en-GB"/>
        </w:rPr>
        <w:t xml:space="preserve">Bridgepoint </w:t>
      </w:r>
      <w:r w:rsidRPr="009C48DA">
        <w:rPr>
          <w:lang w:val="en-GB"/>
        </w:rPr>
        <w:t>Development Capital invests in businesses with ente</w:t>
      </w:r>
      <w:r w:rsidR="00CF56DC">
        <w:rPr>
          <w:lang w:val="en-GB"/>
        </w:rPr>
        <w:t>rprise values typically between </w:t>
      </w:r>
      <w:r w:rsidRPr="009C48DA">
        <w:rPr>
          <w:lang w:val="en-GB"/>
        </w:rPr>
        <w:t xml:space="preserve">£30 million and £150 million and targets gross returns in excess of 2.5 times per fund. In 2020, the Group raised the fourth fund for this strategy, </w:t>
      </w:r>
      <w:r w:rsidRPr="009C48DA" w:rsidR="00D46607">
        <w:rPr>
          <w:lang w:val="en-GB"/>
        </w:rPr>
        <w:t xml:space="preserve">Bridgepoint </w:t>
      </w:r>
      <w:r w:rsidRPr="009C48DA">
        <w:rPr>
          <w:lang w:val="en-GB"/>
        </w:rPr>
        <w:t xml:space="preserve">Development Capital IV, at the hard cap with a total committed capital of £1.56 billion. </w:t>
      </w:r>
      <w:r w:rsidRPr="009C48DA" w:rsidR="00D46607">
        <w:rPr>
          <w:lang w:val="en-GB"/>
        </w:rPr>
        <w:t xml:space="preserve">Bridgepoint </w:t>
      </w:r>
      <w:r w:rsidRPr="009C48DA">
        <w:rPr>
          <w:lang w:val="en-GB"/>
        </w:rPr>
        <w:t xml:space="preserve">Development Capital has a strong track record of applying </w:t>
      </w:r>
      <w:r w:rsidRPr="009C48DA" w:rsidR="006D5BFE">
        <w:rPr>
          <w:lang w:val="en-GB"/>
        </w:rPr>
        <w:t>Bridgepoint</w:t>
      </w:r>
      <w:r w:rsidRPr="009C48DA">
        <w:rPr>
          <w:lang w:val="en-GB"/>
        </w:rPr>
        <w:t>’s investment approach consistently to lower middle market opportunities, with all of its raised funds ranking as top quartile performers by all measures</w:t>
      </w:r>
      <w:r w:rsidRPr="009C48DA">
        <w:rPr>
          <w:vertAlign w:val="superscript"/>
          <w:lang w:val="en-GB"/>
        </w:rPr>
        <w:footnoteReference w:id="42"/>
      </w:r>
      <w:r w:rsidRPr="009C48DA">
        <w:rPr>
          <w:lang w:val="en-GB"/>
        </w:rPr>
        <w:t xml:space="preserve">. </w:t>
      </w:r>
      <w:r w:rsidRPr="009C48DA" w:rsidR="00D46607">
        <w:rPr>
          <w:lang w:val="en-GB"/>
        </w:rPr>
        <w:t xml:space="preserve">Bridgepoint </w:t>
      </w:r>
      <w:r w:rsidRPr="009C48DA">
        <w:rPr>
          <w:lang w:val="en-GB"/>
        </w:rPr>
        <w:t xml:space="preserve">Development Capital also benefits from synergies with the wider </w:t>
      </w:r>
      <w:r w:rsidRPr="009C48DA" w:rsidR="00D46607">
        <w:rPr>
          <w:lang w:val="en-GB"/>
        </w:rPr>
        <w:t xml:space="preserve">Bridgepoint </w:t>
      </w:r>
      <w:r w:rsidRPr="009C48DA">
        <w:rPr>
          <w:lang w:val="en-GB"/>
        </w:rPr>
        <w:t xml:space="preserve">platform, from sector insights and knowledge, to sourcing opportunities and deal flow, to value creation and execution, as well as being able to leverage the group’s best-invested supported functions. </w:t>
      </w:r>
    </w:p>
    <w:p w:rsidRPr="009C48DA" w:rsidR="001C3CEC" w:rsidP="0002759F" w:rsidRDefault="001C3CEC" w14:paraId="5CDECF6B" w14:textId="4C9DEEE5">
      <w:pPr>
        <w:pStyle w:val="BodyText2SglJ"/>
        <w:rPr>
          <w:lang w:val="en-GB"/>
        </w:rPr>
      </w:pPr>
      <w:r w:rsidRPr="009C48DA">
        <w:rPr>
          <w:lang w:val="en-GB"/>
        </w:rPr>
        <w:t xml:space="preserve">As of 31 March 2021, the </w:t>
      </w:r>
      <w:r w:rsidRPr="009C48DA" w:rsidR="00D46607">
        <w:rPr>
          <w:lang w:val="en-GB"/>
        </w:rPr>
        <w:t xml:space="preserve">Bridgepoint </w:t>
      </w:r>
      <w:r w:rsidRPr="009C48DA">
        <w:rPr>
          <w:lang w:val="en-GB"/>
        </w:rPr>
        <w:t>Development Capital investment team comprised 33 professionals located across the Group’s London, Paris and Stockholm offices, including eight investment partners with an avera</w:t>
      </w:r>
      <w:r w:rsidRPr="009C48DA" w:rsidR="004355B6">
        <w:rPr>
          <w:lang w:val="en-GB"/>
        </w:rPr>
        <w:t>ge of 21</w:t>
      </w:r>
      <w:r w:rsidRPr="009C48DA">
        <w:rPr>
          <w:lang w:val="en-GB"/>
        </w:rPr>
        <w:t xml:space="preserve"> years’ private equity experience. The realised investments across </w:t>
      </w:r>
      <w:r w:rsidRPr="009C48DA" w:rsidR="00D46607">
        <w:rPr>
          <w:lang w:val="en-GB"/>
        </w:rPr>
        <w:t xml:space="preserve">Bridgepoint </w:t>
      </w:r>
      <w:r w:rsidRPr="009C48DA">
        <w:rPr>
          <w:lang w:val="en-GB"/>
        </w:rPr>
        <w:t xml:space="preserve">Development Capital I, II and III, delivered a net IRR of 20 </w:t>
      </w:r>
      <w:r w:rsidRPr="009C48DA" w:rsidR="00AB1B7F">
        <w:rPr>
          <w:lang w:val="en-GB"/>
        </w:rPr>
        <w:t>per cent</w:t>
      </w:r>
      <w:r w:rsidRPr="009C48DA">
        <w:rPr>
          <w:lang w:val="en-GB"/>
        </w:rPr>
        <w:t>, 28 per cent and 48 per cent</w:t>
      </w:r>
      <w:r w:rsidRPr="009C48DA" w:rsidR="003E1653">
        <w:rPr>
          <w:lang w:val="en-GB"/>
        </w:rPr>
        <w:t xml:space="preserve"> as of</w:t>
      </w:r>
      <w:r w:rsidR="00CF56DC">
        <w:rPr>
          <w:lang w:val="en-GB"/>
        </w:rPr>
        <w:t xml:space="preserve"> 31 </w:t>
      </w:r>
      <w:r w:rsidRPr="009C48DA" w:rsidR="004028A5">
        <w:rPr>
          <w:lang w:val="en-GB"/>
        </w:rPr>
        <w:t>March 2021</w:t>
      </w:r>
      <w:r w:rsidRPr="009C48DA">
        <w:rPr>
          <w:lang w:val="en-GB"/>
        </w:rPr>
        <w:t xml:space="preserve">, respectively. </w:t>
      </w:r>
    </w:p>
    <w:p w:rsidRPr="009C48DA" w:rsidR="001C3CEC" w:rsidP="004C312B" w:rsidRDefault="00D46607" w14:paraId="6AC826A4" w14:textId="720399B2">
      <w:pPr>
        <w:pStyle w:val="TitleBI"/>
        <w:rPr>
          <w:lang w:val="en-GB"/>
        </w:rPr>
      </w:pPr>
      <w:r w:rsidRPr="009C48DA">
        <w:rPr>
          <w:lang w:val="en-GB"/>
        </w:rPr>
        <w:t xml:space="preserve">Bridgepoint </w:t>
      </w:r>
      <w:r w:rsidRPr="009C48DA" w:rsidR="001C3CEC">
        <w:rPr>
          <w:lang w:val="en-GB"/>
        </w:rPr>
        <w:t>Growth</w:t>
      </w:r>
    </w:p>
    <w:p w:rsidRPr="009C48DA" w:rsidR="001C3CEC" w:rsidP="0002759F" w:rsidRDefault="001C3CEC" w14:paraId="1B7F5B90" w14:textId="411B365A">
      <w:pPr>
        <w:pStyle w:val="BodyText2SglJ"/>
        <w:rPr>
          <w:lang w:val="en-GB"/>
        </w:rPr>
      </w:pPr>
      <w:r w:rsidRPr="009C48DA">
        <w:rPr>
          <w:lang w:val="en-GB"/>
        </w:rPr>
        <w:t xml:space="preserve">The Group’s third private equity investment strategy, </w:t>
      </w:r>
      <w:r w:rsidRPr="009C48DA" w:rsidR="00D46607">
        <w:rPr>
          <w:lang w:val="en-GB"/>
        </w:rPr>
        <w:t xml:space="preserve">Bridgepoint </w:t>
      </w:r>
      <w:r w:rsidRPr="009C48DA">
        <w:rPr>
          <w:lang w:val="en-GB"/>
        </w:rPr>
        <w:t xml:space="preserve">Growth, was launched in 2016 and focuses on earlier stage investments in businesses with enterprise values of </w:t>
      </w:r>
      <w:r w:rsidRPr="009C48DA" w:rsidR="00696269">
        <w:rPr>
          <w:lang w:val="en-GB"/>
        </w:rPr>
        <w:t xml:space="preserve">typically </w:t>
      </w:r>
      <w:r w:rsidRPr="009C48DA">
        <w:rPr>
          <w:lang w:val="en-GB"/>
        </w:rPr>
        <w:t xml:space="preserve">up to £30 million, targeting gross returns in excess of 2.75 times per fund. The strategy raised £105 million for its first fund, </w:t>
      </w:r>
      <w:r w:rsidRPr="009C48DA" w:rsidR="00D46607">
        <w:rPr>
          <w:lang w:val="en-GB"/>
        </w:rPr>
        <w:t xml:space="preserve">Bridgepoint </w:t>
      </w:r>
      <w:r w:rsidRPr="009C48DA">
        <w:rPr>
          <w:lang w:val="en-GB"/>
        </w:rPr>
        <w:t>Growth I, and has made eight investments</w:t>
      </w:r>
      <w:r w:rsidRPr="009C48DA" w:rsidR="007A03DC">
        <w:rPr>
          <w:lang w:val="en-GB"/>
        </w:rPr>
        <w:t xml:space="preserve"> as of the date of this Registration Document</w:t>
      </w:r>
      <w:r w:rsidRPr="009C48DA">
        <w:rPr>
          <w:lang w:val="en-GB"/>
        </w:rPr>
        <w:t>. Currently, the strategy is focused on the UK and Nordic markets.</w:t>
      </w:r>
    </w:p>
    <w:p w:rsidRPr="009C48DA" w:rsidR="001C3CEC" w:rsidP="0002759F" w:rsidRDefault="001C3CEC" w14:paraId="7FE8720F" w14:textId="46C35252">
      <w:pPr>
        <w:pStyle w:val="BodyText2SglJ"/>
        <w:rPr>
          <w:lang w:val="en-GB"/>
        </w:rPr>
      </w:pPr>
      <w:r w:rsidRPr="009C48DA">
        <w:rPr>
          <w:lang w:val="en-GB"/>
        </w:rPr>
        <w:t xml:space="preserve">As of 31 March 2021, the </w:t>
      </w:r>
      <w:r w:rsidRPr="009C48DA" w:rsidR="00D46607">
        <w:rPr>
          <w:lang w:val="en-GB"/>
        </w:rPr>
        <w:t xml:space="preserve">Bridgepoint </w:t>
      </w:r>
      <w:r w:rsidRPr="009C48DA">
        <w:rPr>
          <w:lang w:val="en-GB"/>
        </w:rPr>
        <w:t xml:space="preserve">Growth investment team comprised seven professionals, with a dedicated senior team led by two partners, based in London and Stockholm, with an average of eight years’ private equity experience. Junior resource is shared between </w:t>
      </w:r>
      <w:r w:rsidRPr="009C48DA" w:rsidR="00D46607">
        <w:rPr>
          <w:lang w:val="en-GB"/>
        </w:rPr>
        <w:t xml:space="preserve">Bridgepoint </w:t>
      </w:r>
      <w:r w:rsidRPr="009C48DA">
        <w:rPr>
          <w:lang w:val="en-GB"/>
        </w:rPr>
        <w:t xml:space="preserve">Development Capital and </w:t>
      </w:r>
      <w:r w:rsidRPr="009C48DA" w:rsidR="00D46607">
        <w:rPr>
          <w:lang w:val="en-GB"/>
        </w:rPr>
        <w:t xml:space="preserve">Bridgepoint </w:t>
      </w:r>
      <w:r w:rsidRPr="009C48DA">
        <w:rPr>
          <w:lang w:val="en-GB"/>
        </w:rPr>
        <w:t xml:space="preserve">Growth, providing efficient execution. As of 31 March 2021, the realised investment in the </w:t>
      </w:r>
      <w:r w:rsidRPr="009C48DA" w:rsidR="00D46607">
        <w:rPr>
          <w:lang w:val="en-GB"/>
        </w:rPr>
        <w:t xml:space="preserve">Bridgepoint </w:t>
      </w:r>
      <w:r w:rsidRPr="009C48DA">
        <w:rPr>
          <w:lang w:val="en-GB"/>
        </w:rPr>
        <w:t xml:space="preserve">Growth I fund has delivered a gross IRR of </w:t>
      </w:r>
      <w:r w:rsidRPr="009C48DA" w:rsidR="00243F6D">
        <w:rPr>
          <w:lang w:val="en-GB"/>
        </w:rPr>
        <w:t>32</w:t>
      </w:r>
      <w:r w:rsidRPr="009C48DA">
        <w:rPr>
          <w:lang w:val="en-GB"/>
        </w:rPr>
        <w:t xml:space="preserve"> per cent. </w:t>
      </w:r>
    </w:p>
    <w:p w:rsidRPr="009C48DA" w:rsidR="001C3CEC" w:rsidP="008E7BED" w:rsidRDefault="001C3CEC" w14:paraId="136CA5FC" w14:textId="77777777">
      <w:pPr>
        <w:pStyle w:val="TitleB"/>
        <w:rPr>
          <w:lang w:val="en-GB"/>
        </w:rPr>
      </w:pPr>
      <w:r w:rsidRPr="009C48DA">
        <w:rPr>
          <w:lang w:val="en-GB"/>
        </w:rPr>
        <w:t>Private Credit</w:t>
      </w:r>
    </w:p>
    <w:p w:rsidRPr="009C48DA" w:rsidR="001C3CEC" w:rsidP="0002759F" w:rsidRDefault="001C3CEC" w14:paraId="4A2863D4" w14:textId="53AEFA35">
      <w:pPr>
        <w:pStyle w:val="BodyText2SglJ"/>
        <w:rPr>
          <w:lang w:val="en-GB"/>
        </w:rPr>
      </w:pPr>
      <w:r w:rsidRPr="009C48DA">
        <w:rPr>
          <w:lang w:val="en-GB"/>
        </w:rPr>
        <w:t xml:space="preserve">The consolidated </w:t>
      </w:r>
      <w:r w:rsidRPr="009C48DA" w:rsidR="00D46607">
        <w:rPr>
          <w:lang w:val="en-GB"/>
        </w:rPr>
        <w:t xml:space="preserve">Bridgepoint </w:t>
      </w:r>
      <w:r w:rsidRPr="009C48DA">
        <w:rPr>
          <w:lang w:val="en-GB"/>
        </w:rPr>
        <w:t>private credit team (comprising the original team and the team that joined with the acquisition of the EQT Credit business in 2020) has a 13</w:t>
      </w:r>
      <w:r w:rsidRPr="009C48DA" w:rsidR="00737993">
        <w:rPr>
          <w:lang w:val="en-GB"/>
        </w:rPr>
        <w:t>-</w:t>
      </w:r>
      <w:r w:rsidRPr="009C48DA">
        <w:rPr>
          <w:lang w:val="en-GB"/>
        </w:rPr>
        <w:t>year track record of investing in private credit and, as of 31 March 2021, it had raised €9 billion in private credit funds over the entire tenure of the private credit segment.</w:t>
      </w:r>
    </w:p>
    <w:p w:rsidRPr="009C48DA" w:rsidR="001C3CEC" w:rsidP="0002759F" w:rsidRDefault="001C3CEC" w14:paraId="0A8A8719" w14:textId="5DFAFF50">
      <w:pPr>
        <w:pStyle w:val="BodyText2SglJ"/>
        <w:rPr>
          <w:lang w:val="en-GB"/>
        </w:rPr>
      </w:pPr>
      <w:r w:rsidRPr="009C48DA">
        <w:rPr>
          <w:lang w:val="en-GB"/>
        </w:rPr>
        <w:t>The Group originally started pursuing private credit as a separate investment strategy with the launch of the first direct lending fund in 2016</w:t>
      </w:r>
      <w:r w:rsidRPr="009C48DA" w:rsidR="00737993">
        <w:rPr>
          <w:lang w:val="en-GB"/>
        </w:rPr>
        <w:t>,</w:t>
      </w:r>
      <w:r w:rsidRPr="009C48DA">
        <w:rPr>
          <w:lang w:val="en-GB"/>
        </w:rPr>
        <w:t xml:space="preserve"> which was built with a combination of existing </w:t>
      </w:r>
      <w:r w:rsidRPr="009C48DA" w:rsidR="00D46607">
        <w:rPr>
          <w:lang w:val="en-GB"/>
        </w:rPr>
        <w:t xml:space="preserve">Bridgepoint </w:t>
      </w:r>
      <w:r w:rsidRPr="009C48DA">
        <w:rPr>
          <w:lang w:val="en-GB"/>
        </w:rPr>
        <w:t xml:space="preserve">team members and lateral hires across London and Paris. This strategy raised €1.3 billion of capital in total across two funds and a substantial separately managed account. Subsequently, the </w:t>
      </w:r>
      <w:r w:rsidRPr="009C48DA" w:rsidR="00D46607">
        <w:rPr>
          <w:lang w:val="en-GB"/>
        </w:rPr>
        <w:t xml:space="preserve">Bridgepoint </w:t>
      </w:r>
      <w:r w:rsidRPr="009C48DA">
        <w:rPr>
          <w:lang w:val="en-GB"/>
        </w:rPr>
        <w:t xml:space="preserve">private credit business increased materially in size following </w:t>
      </w:r>
      <w:r w:rsidRPr="009C48DA" w:rsidR="006D5BFE">
        <w:rPr>
          <w:lang w:val="en-GB"/>
        </w:rPr>
        <w:t>Bridgepoint</w:t>
      </w:r>
      <w:r w:rsidRPr="009C48DA">
        <w:rPr>
          <w:lang w:val="en-GB"/>
        </w:rPr>
        <w:t xml:space="preserve">’s acquisition of EQT Credit in 2020. </w:t>
      </w:r>
    </w:p>
    <w:p w:rsidRPr="009C48DA" w:rsidR="001C3CEC" w:rsidP="00131DF2" w:rsidRDefault="001C3CEC" w14:paraId="7F6D7DB4" w14:textId="298A5246">
      <w:pPr>
        <w:pStyle w:val="BodyText2SglJ"/>
        <w:keepNext/>
        <w:rPr>
          <w:lang w:val="en-GB"/>
        </w:rPr>
      </w:pPr>
      <w:r w:rsidRPr="009C48DA">
        <w:rPr>
          <w:lang w:val="en-GB"/>
        </w:rPr>
        <w:t xml:space="preserve">As of 31 December 2020, the Group’s private credit team managed €7.4 billion of Total AUM across the capital structure and risk-reward spectrum through its three key complementary strategies, </w:t>
      </w:r>
      <w:r w:rsidRPr="009C48DA" w:rsidR="00D46607">
        <w:rPr>
          <w:lang w:val="en-GB"/>
        </w:rPr>
        <w:lastRenderedPageBreak/>
        <w:t xml:space="preserve">Bridgepoint </w:t>
      </w:r>
      <w:r w:rsidRPr="009C48DA">
        <w:rPr>
          <w:lang w:val="en-GB"/>
        </w:rPr>
        <w:t xml:space="preserve">Credit Opportunities, </w:t>
      </w:r>
      <w:r w:rsidRPr="009C48DA" w:rsidR="00D46607">
        <w:rPr>
          <w:lang w:val="en-GB"/>
        </w:rPr>
        <w:t xml:space="preserve">Bridgepoint </w:t>
      </w:r>
      <w:r w:rsidRPr="009C48DA">
        <w:rPr>
          <w:lang w:val="en-GB"/>
        </w:rPr>
        <w:t xml:space="preserve">Direct Lending and </w:t>
      </w:r>
      <w:r w:rsidRPr="009C48DA" w:rsidR="00D46607">
        <w:rPr>
          <w:lang w:val="en-GB"/>
        </w:rPr>
        <w:t xml:space="preserve">Bridgepoint </w:t>
      </w:r>
      <w:r w:rsidRPr="009C48DA">
        <w:rPr>
          <w:lang w:val="en-GB"/>
        </w:rPr>
        <w:t>Syndicated Debt</w:t>
      </w:r>
      <w:r w:rsidRPr="009C48DA" w:rsidR="00131DF2">
        <w:rPr>
          <w:lang w:val="en-GB"/>
        </w:rPr>
        <w:t>, as set out in the chart below.</w:t>
      </w:r>
    </w:p>
    <w:p w:rsidRPr="009C48DA" w:rsidR="001C3CEC" w:rsidP="001C3CEC" w:rsidRDefault="001A3FD2" w14:paraId="267C685D" w14:textId="34B4EDC9">
      <w:pPr>
        <w:spacing w:before="120" w:line="288" w:lineRule="auto"/>
        <w:jc w:val="center"/>
        <w:rPr>
          <w:rFonts w:cs="Times New Roman"/>
          <w:sz w:val="20"/>
          <w:szCs w:val="20"/>
          <w:lang w:val="en-GB"/>
        </w:rPr>
      </w:pPr>
      <w:r w:rsidRPr="00581ED3">
        <w:rPr>
          <w:rFonts w:cs="Times New Roman"/>
          <w:noProof/>
          <w:sz w:val="20"/>
          <w:szCs w:val="20"/>
        </w:rPr>
        <w:drawing>
          <wp:inline distT="0" distB="0" distL="0" distR="0" wp14:anchorId="1C130892" wp14:editId="7FACF9F4">
            <wp:extent cx="4234601" cy="3106916"/>
            <wp:effectExtent l="0" t="0" r="0" b="0"/>
            <wp:docPr id="30" name="Picture 1" descr="" title="">
              <a:extLst xmlns:a="http://schemas.openxmlformats.org/drawingml/2006/main">
                <a:ext uri="{FF2B5EF4-FFF2-40B4-BE49-F238E27FC236}">
                  <a16:creationId xmlns:a16="http://schemas.microsoft.com/office/drawing/2014/main" id="{1F2B82F7-E0BC-4BD6-AC2C-48B8283870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F2B82F7-E0BC-4BD6-AC2C-48B828387080}"/>
                        </a:ext>
                      </a:extLst>
                    </pic:cNvPr>
                    <pic:cNvPicPr>
                      <a:picLocks noChangeAspect="1"/>
                    </pic:cNvPicPr>
                  </pic:nvPicPr>
                  <pic:blipFill>
                    <a:blip r:embed="rId47"/>
                    <a:stretch>
                      <a:fillRect/>
                    </a:stretch>
                  </pic:blipFill>
                  <pic:spPr>
                    <a:xfrm>
                      <a:off x="0" y="0"/>
                      <a:ext cx="4235701" cy="3107723"/>
                    </a:xfrm>
                    <a:prstGeom prst="rect">
                      <a:avLst/>
                    </a:prstGeom>
                  </pic:spPr>
                </pic:pic>
              </a:graphicData>
            </a:graphic>
          </wp:inline>
        </w:drawing>
      </w:r>
    </w:p>
    <w:p w:rsidRPr="009C48DA" w:rsidR="001C3CEC" w:rsidP="004028A5" w:rsidRDefault="004028A5" w14:paraId="0DBC88F0" w14:textId="5C06B9A1">
      <w:pPr>
        <w:spacing w:after="240"/>
        <w:rPr>
          <w:rFonts w:eastAsia="Calibri" w:cs="Arial"/>
          <w:sz w:val="20"/>
          <w:szCs w:val="20"/>
          <w:lang w:val="en-GB"/>
        </w:rPr>
      </w:pPr>
      <w:r w:rsidRPr="009C48DA">
        <w:rPr>
          <w:rFonts w:eastAsia="Calibri" w:cs="Arial"/>
          <w:i/>
          <w:sz w:val="20"/>
          <w:szCs w:val="20"/>
          <w:lang w:val="en-GB"/>
        </w:rPr>
        <w:t>Note</w:t>
      </w:r>
      <w:r w:rsidRPr="009C48DA">
        <w:rPr>
          <w:rFonts w:eastAsia="Calibri" w:cs="Arial"/>
          <w:sz w:val="20"/>
          <w:szCs w:val="20"/>
          <w:lang w:val="en-GB"/>
        </w:rPr>
        <w:t xml:space="preserve">: Total AUM as of 31 March 2021; </w:t>
      </w:r>
      <w:r w:rsidRPr="009C48DA">
        <w:rPr>
          <w:rFonts w:eastAsia="Calibri" w:cs="Arial"/>
          <w:sz w:val="20"/>
          <w:szCs w:val="20"/>
          <w:vertAlign w:val="superscript"/>
          <w:lang w:val="en-GB"/>
        </w:rPr>
        <w:t xml:space="preserve">1 </w:t>
      </w:r>
      <w:r w:rsidRPr="009C48DA">
        <w:rPr>
          <w:rFonts w:eastAsia="Calibri" w:cs="Arial"/>
          <w:sz w:val="20"/>
          <w:szCs w:val="20"/>
          <w:lang w:val="en-GB"/>
        </w:rPr>
        <w:t xml:space="preserve">Includes Total AUM of </w:t>
      </w:r>
      <w:r w:rsidRPr="009C48DA" w:rsidR="00D46607">
        <w:rPr>
          <w:lang w:val="en-GB"/>
        </w:rPr>
        <w:t>Bridgepoint</w:t>
      </w:r>
      <w:r w:rsidRPr="009C48DA" w:rsidR="00D46607">
        <w:rPr>
          <w:rFonts w:eastAsia="Calibri" w:cs="Arial"/>
          <w:sz w:val="20"/>
          <w:szCs w:val="20"/>
          <w:lang w:val="en-GB"/>
        </w:rPr>
        <w:t xml:space="preserve"> </w:t>
      </w:r>
      <w:r w:rsidRPr="009C48DA">
        <w:rPr>
          <w:rFonts w:eastAsia="Calibri" w:cs="Arial"/>
          <w:sz w:val="20"/>
          <w:szCs w:val="20"/>
          <w:lang w:val="en-GB"/>
        </w:rPr>
        <w:t xml:space="preserve">CLO I and </w:t>
      </w:r>
      <w:r w:rsidRPr="009C48DA" w:rsidR="00D46607">
        <w:rPr>
          <w:lang w:val="en-GB"/>
        </w:rPr>
        <w:t>Bridgepoint</w:t>
      </w:r>
      <w:r w:rsidRPr="009C48DA" w:rsidR="00D46607">
        <w:rPr>
          <w:rFonts w:eastAsia="Calibri" w:cs="Arial"/>
          <w:sz w:val="20"/>
          <w:szCs w:val="20"/>
          <w:lang w:val="en-GB"/>
        </w:rPr>
        <w:t xml:space="preserve"> </w:t>
      </w:r>
      <w:r w:rsidRPr="009C48DA">
        <w:rPr>
          <w:rFonts w:eastAsia="Calibri" w:cs="Arial"/>
          <w:sz w:val="20"/>
          <w:szCs w:val="20"/>
          <w:lang w:val="en-GB"/>
        </w:rPr>
        <w:t>CLO II.</w:t>
      </w:r>
    </w:p>
    <w:p w:rsidRPr="009C48DA" w:rsidR="001C3CEC" w:rsidP="0002759F" w:rsidRDefault="006D5BFE" w14:paraId="14DE07CD" w14:textId="2790BF47">
      <w:pPr>
        <w:pStyle w:val="BodyText2SglJ"/>
        <w:rPr>
          <w:lang w:val="en-GB"/>
        </w:rPr>
      </w:pPr>
      <w:r w:rsidRPr="009C48DA">
        <w:rPr>
          <w:lang w:val="en-GB"/>
        </w:rPr>
        <w:t>Bridgepoint</w:t>
      </w:r>
      <w:r w:rsidRPr="009C48DA" w:rsidR="001C3CEC">
        <w:rPr>
          <w:lang w:val="en-GB"/>
        </w:rPr>
        <w:t xml:space="preserve">’s private credit strategy benefits from significant natural synergies with </w:t>
      </w:r>
      <w:r w:rsidRPr="009C48DA">
        <w:rPr>
          <w:lang w:val="en-GB"/>
        </w:rPr>
        <w:t>Bridgepoint</w:t>
      </w:r>
      <w:r w:rsidRPr="009C48DA" w:rsidR="001C3CEC">
        <w:rPr>
          <w:lang w:val="en-GB"/>
        </w:rPr>
        <w:t xml:space="preserve">’s private equity platform. These synergies include substantial overlap in institutional knowledge, sector themes and industrial networks, along with strong reciprocal information flow back to the private equity investment platform, where appropriate and subject to information barriers where necessary. For example, where </w:t>
      </w:r>
      <w:r w:rsidRPr="009C48DA" w:rsidR="00D46607">
        <w:rPr>
          <w:lang w:val="en-GB"/>
        </w:rPr>
        <w:t xml:space="preserve">Bridgepoint </w:t>
      </w:r>
      <w:r w:rsidRPr="009C48DA" w:rsidR="001C3CEC">
        <w:rPr>
          <w:lang w:val="en-GB"/>
        </w:rPr>
        <w:t xml:space="preserve">private credit lends to a sponsor in competition with </w:t>
      </w:r>
      <w:r w:rsidRPr="009C48DA">
        <w:rPr>
          <w:lang w:val="en-GB"/>
        </w:rPr>
        <w:t>Bridgepoint</w:t>
      </w:r>
      <w:r w:rsidRPr="009C48DA" w:rsidR="001C3CEC">
        <w:rPr>
          <w:lang w:val="en-GB"/>
        </w:rPr>
        <w:t xml:space="preserve">’s private equity strategies. </w:t>
      </w:r>
      <w:r w:rsidRPr="009C48DA">
        <w:rPr>
          <w:lang w:val="en-GB"/>
        </w:rPr>
        <w:t>Bridgepoint</w:t>
      </w:r>
      <w:r w:rsidRPr="009C48DA" w:rsidR="001C3CEC">
        <w:rPr>
          <w:lang w:val="en-GB"/>
        </w:rPr>
        <w:t>’s powerful market position is well illustrated by its standing as the largest originator of middle market leveraged loans in Europe in the twelve months ended 31 March 2021 (based on analysis by S&amp;P Global Market Intelligence</w:t>
      </w:r>
      <w:r w:rsidRPr="009C48DA" w:rsidR="001C3CEC">
        <w:rPr>
          <w:rFonts w:cs="Times New Roman"/>
          <w:lang w:val="en-GB"/>
        </w:rPr>
        <w:t>)</w:t>
      </w:r>
      <w:r w:rsidRPr="009C48DA" w:rsidR="00B263E6">
        <w:rPr>
          <w:lang w:val="en-GB"/>
        </w:rPr>
        <w:t>.</w:t>
      </w:r>
    </w:p>
    <w:p w:rsidRPr="009C48DA" w:rsidR="001C3CEC" w:rsidP="0002759F" w:rsidRDefault="001C3CEC" w14:paraId="24DE082F" w14:textId="29E0CEBD">
      <w:pPr>
        <w:pStyle w:val="BodyText2SglJ"/>
        <w:rPr>
          <w:lang w:val="en-GB"/>
        </w:rPr>
      </w:pPr>
      <w:r w:rsidRPr="009C48DA">
        <w:rPr>
          <w:lang w:val="en-GB"/>
        </w:rPr>
        <w:t>Located across offices in London, New York, Frankfurt, Paris and Stockholm, with Amsterdam due to open in the summer of 2021 and Madrid</w:t>
      </w:r>
      <w:r w:rsidRPr="009C48DA" w:rsidR="00D46607">
        <w:rPr>
          <w:lang w:val="en-GB"/>
        </w:rPr>
        <w:t xml:space="preserve"> targeted to join in late 2021 or</w:t>
      </w:r>
      <w:r w:rsidRPr="009C48DA">
        <w:rPr>
          <w:lang w:val="en-GB"/>
        </w:rPr>
        <w:t xml:space="preserve"> early 2022, the </w:t>
      </w:r>
      <w:r w:rsidRPr="009C48DA" w:rsidR="00D46607">
        <w:rPr>
          <w:lang w:val="en-GB"/>
        </w:rPr>
        <w:t xml:space="preserve">Bridgepoint </w:t>
      </w:r>
      <w:r w:rsidRPr="009C48DA">
        <w:rPr>
          <w:lang w:val="en-GB"/>
        </w:rPr>
        <w:t xml:space="preserve">private credit team comprised 42 dedicated investment professionals </w:t>
      </w:r>
      <w:r w:rsidRPr="009C48DA" w:rsidR="00696269">
        <w:rPr>
          <w:lang w:val="en-GB"/>
        </w:rPr>
        <w:t>as of 31 March 2021, including 95</w:t>
      </w:r>
      <w:r w:rsidRPr="009C48DA">
        <w:rPr>
          <w:lang w:val="en-GB"/>
        </w:rPr>
        <w:t xml:space="preserve"> per cent of EQT Credit’s staff that was retained within </w:t>
      </w:r>
      <w:r w:rsidRPr="009C48DA" w:rsidR="00D46607">
        <w:rPr>
          <w:lang w:val="en-GB"/>
        </w:rPr>
        <w:t xml:space="preserve">Bridgepoint </w:t>
      </w:r>
      <w:r w:rsidRPr="009C48DA">
        <w:rPr>
          <w:lang w:val="en-GB"/>
        </w:rPr>
        <w:t xml:space="preserve">as part of the successful integration of EQT Credit’s business into the Group’s portfolio. As of 31 March 2021, the team was led by seven partners with an average of </w:t>
      </w:r>
      <w:r w:rsidRPr="009C48DA" w:rsidR="001E24E2">
        <w:rPr>
          <w:lang w:val="en-GB"/>
        </w:rPr>
        <w:t>more than 20</w:t>
      </w:r>
      <w:r w:rsidRPr="009C48DA">
        <w:rPr>
          <w:lang w:val="en-GB"/>
        </w:rPr>
        <w:t xml:space="preserve"> years’ experience in the industry.</w:t>
      </w:r>
    </w:p>
    <w:p w:rsidRPr="009C48DA" w:rsidR="001C3CEC" w:rsidP="001B2CC4" w:rsidRDefault="001C3CEC" w14:paraId="74ECBC34" w14:textId="77777777">
      <w:pPr>
        <w:pStyle w:val="TitleBI"/>
        <w:rPr>
          <w:lang w:val="en-GB"/>
        </w:rPr>
      </w:pPr>
      <w:r w:rsidRPr="009C48DA">
        <w:rPr>
          <w:lang w:val="en-GB"/>
        </w:rPr>
        <w:t>Direct Lending</w:t>
      </w:r>
    </w:p>
    <w:p w:rsidRPr="009C48DA" w:rsidR="001C3CEC" w:rsidP="0002759F" w:rsidRDefault="001C3CEC" w14:paraId="38FCFB85" w14:textId="3EA9D7AB">
      <w:pPr>
        <w:pStyle w:val="BodyText2SglJ"/>
        <w:rPr>
          <w:lang w:val="en-GB"/>
        </w:rPr>
      </w:pPr>
      <w:r w:rsidRPr="009C48DA">
        <w:rPr>
          <w:lang w:val="en-GB"/>
        </w:rPr>
        <w:t>The Group’s direct lending strategy focuses on European middle market companies with approximately €10 to 75 million of EBITDA that exhibit defensive characteristics, including a high proportion of recurring or contractual earnings and strong cash flow generation. Typically, these companies operate in resilient end</w:t>
      </w:r>
      <w:r w:rsidRPr="009C48DA" w:rsidR="00826102">
        <w:rPr>
          <w:lang w:val="en-GB"/>
        </w:rPr>
        <w:t>-</w:t>
      </w:r>
      <w:r w:rsidRPr="009C48DA">
        <w:rPr>
          <w:lang w:val="en-GB"/>
        </w:rPr>
        <w:t>markets with a strong competitive positioning</w:t>
      </w:r>
      <w:r w:rsidRPr="009C48DA" w:rsidR="00826102">
        <w:rPr>
          <w:lang w:val="en-GB"/>
        </w:rPr>
        <w:t>,</w:t>
      </w:r>
      <w:r w:rsidRPr="009C48DA">
        <w:rPr>
          <w:lang w:val="en-GB"/>
        </w:rPr>
        <w:t xml:space="preserve"> and in defensive sectors. The </w:t>
      </w:r>
      <w:r w:rsidRPr="009C48DA" w:rsidR="00D46607">
        <w:rPr>
          <w:lang w:val="en-GB"/>
        </w:rPr>
        <w:t xml:space="preserve">Bridgepoint </w:t>
      </w:r>
      <w:r w:rsidRPr="009C48DA">
        <w:rPr>
          <w:lang w:val="en-GB"/>
        </w:rPr>
        <w:t xml:space="preserve">Direct Lending strategy also benefits from </w:t>
      </w:r>
      <w:r w:rsidRPr="009C48DA" w:rsidR="00D46607">
        <w:rPr>
          <w:lang w:val="en-GB"/>
        </w:rPr>
        <w:t xml:space="preserve">Bridgepoint </w:t>
      </w:r>
      <w:r w:rsidRPr="009C48DA">
        <w:rPr>
          <w:lang w:val="en-GB"/>
        </w:rPr>
        <w:t xml:space="preserve">private credit’s broad platform, and sources many direct lending opportunities through the </w:t>
      </w:r>
      <w:r w:rsidRPr="009C48DA" w:rsidR="00D46607">
        <w:rPr>
          <w:lang w:val="en-GB"/>
        </w:rPr>
        <w:t xml:space="preserve">Bridgepoint </w:t>
      </w:r>
      <w:r w:rsidRPr="009C48DA">
        <w:rPr>
          <w:lang w:val="en-GB"/>
        </w:rPr>
        <w:t>Credit Opportunities and</w:t>
      </w:r>
      <w:r w:rsidRPr="009C48DA" w:rsidR="00725970">
        <w:rPr>
          <w:lang w:val="en-GB"/>
        </w:rPr>
        <w:t xml:space="preserve"> </w:t>
      </w:r>
      <w:r w:rsidRPr="009C48DA" w:rsidR="00D46607">
        <w:rPr>
          <w:lang w:val="en-GB"/>
        </w:rPr>
        <w:t xml:space="preserve">Bridgepoint </w:t>
      </w:r>
      <w:r w:rsidRPr="009C48DA">
        <w:rPr>
          <w:lang w:val="en-GB"/>
        </w:rPr>
        <w:t xml:space="preserve">Syndicated Debt funds. </w:t>
      </w:r>
      <w:r w:rsidRPr="009C48DA" w:rsidR="00D46607">
        <w:rPr>
          <w:lang w:val="en-GB"/>
        </w:rPr>
        <w:t xml:space="preserve">Bridgepoint </w:t>
      </w:r>
      <w:r w:rsidRPr="009C48DA">
        <w:rPr>
          <w:lang w:val="en-GB"/>
        </w:rPr>
        <w:t>Direct Lending is typically the sole or largest lender offering senior secured debt</w:t>
      </w:r>
      <w:r w:rsidRPr="009C48DA" w:rsidR="00C61F89">
        <w:rPr>
          <w:lang w:val="en-GB"/>
        </w:rPr>
        <w:t xml:space="preserve">. </w:t>
      </w:r>
      <w:r w:rsidRPr="009C48DA">
        <w:rPr>
          <w:lang w:val="en-GB"/>
        </w:rPr>
        <w:t xml:space="preserve">The position of the </w:t>
      </w:r>
      <w:r w:rsidRPr="009C48DA" w:rsidR="00D46607">
        <w:rPr>
          <w:lang w:val="en-GB"/>
        </w:rPr>
        <w:t xml:space="preserve">Bridgepoint </w:t>
      </w:r>
      <w:r w:rsidRPr="009C48DA" w:rsidR="001E24E2">
        <w:rPr>
          <w:lang w:val="en-GB"/>
        </w:rPr>
        <w:t>credit funds</w:t>
      </w:r>
      <w:r w:rsidRPr="009C48DA">
        <w:rPr>
          <w:lang w:val="en-GB"/>
        </w:rPr>
        <w:t xml:space="preserve"> as incumbent lender across over </w:t>
      </w:r>
      <w:r w:rsidRPr="009C48DA" w:rsidR="001E24E2">
        <w:rPr>
          <w:lang w:val="en-GB"/>
        </w:rPr>
        <w:t>150</w:t>
      </w:r>
      <w:r w:rsidRPr="009C48DA">
        <w:rPr>
          <w:lang w:val="en-GB"/>
        </w:rPr>
        <w:t xml:space="preserve"> companies as of 31 March 2021 provides a regular flow of high</w:t>
      </w:r>
      <w:r w:rsidRPr="009C48DA" w:rsidR="00727C85">
        <w:rPr>
          <w:lang w:val="en-GB"/>
        </w:rPr>
        <w:noBreakHyphen/>
      </w:r>
      <w:r w:rsidRPr="009C48DA">
        <w:rPr>
          <w:lang w:val="en-GB"/>
        </w:rPr>
        <w:t xml:space="preserve">quality new investment opportunities. </w:t>
      </w:r>
    </w:p>
    <w:p w:rsidRPr="009C48DA" w:rsidR="001C3CEC" w:rsidP="0002759F" w:rsidRDefault="001C3CEC" w14:paraId="5C49F50E" w14:textId="0F76D0B6">
      <w:pPr>
        <w:pStyle w:val="BodyText2SglJ"/>
        <w:rPr>
          <w:lang w:val="en-GB"/>
        </w:rPr>
      </w:pPr>
      <w:r w:rsidRPr="009C48DA">
        <w:rPr>
          <w:lang w:val="en-GB"/>
        </w:rPr>
        <w:t>The sourcing approach employed by the</w:t>
      </w:r>
      <w:r w:rsidRPr="009C48DA" w:rsidR="00EE3C99">
        <w:rPr>
          <w:lang w:val="en-GB"/>
        </w:rPr>
        <w:t xml:space="preserve"> </w:t>
      </w:r>
      <w:r w:rsidRPr="009C48DA" w:rsidR="00D46607">
        <w:rPr>
          <w:lang w:val="en-GB"/>
        </w:rPr>
        <w:t xml:space="preserve">Bridgepoint </w:t>
      </w:r>
      <w:r w:rsidRPr="009C48DA">
        <w:rPr>
          <w:lang w:val="en-GB"/>
        </w:rPr>
        <w:t xml:space="preserve">Direct Lending strategy is based on thematic expertise, the ability to conduct diligence in respect of potential targets efficiently and strong cross-border relationships with approximately </w:t>
      </w:r>
      <w:r w:rsidRPr="009C48DA" w:rsidR="001E24E2">
        <w:rPr>
          <w:lang w:val="en-GB"/>
        </w:rPr>
        <w:t>70</w:t>
      </w:r>
      <w:r w:rsidRPr="009C48DA">
        <w:rPr>
          <w:lang w:val="en-GB"/>
        </w:rPr>
        <w:t xml:space="preserve"> sponsors (as of </w:t>
      </w:r>
      <w:r w:rsidRPr="009C48DA" w:rsidR="001E24E2">
        <w:rPr>
          <w:lang w:val="en-GB"/>
        </w:rPr>
        <w:t>31 March 2021</w:t>
      </w:r>
      <w:r w:rsidRPr="009C48DA">
        <w:rPr>
          <w:lang w:val="en-GB"/>
        </w:rPr>
        <w:t xml:space="preserve">) which also results in repeat business, generating </w:t>
      </w:r>
      <w:r w:rsidRPr="009C48DA" w:rsidR="00727C85">
        <w:rPr>
          <w:lang w:val="en-GB"/>
        </w:rPr>
        <w:t>high-quality</w:t>
      </w:r>
      <w:r w:rsidRPr="009C48DA">
        <w:rPr>
          <w:lang w:val="en-GB"/>
        </w:rPr>
        <w:t xml:space="preserve"> investment opportunities.</w:t>
      </w:r>
    </w:p>
    <w:p w:rsidRPr="009C48DA" w:rsidR="001C3CEC" w:rsidP="0002759F" w:rsidRDefault="0036079A" w14:paraId="1C4B0ED4" w14:textId="286868DB">
      <w:pPr>
        <w:pStyle w:val="BodyText2SglJ"/>
        <w:rPr>
          <w:lang w:val="en-GB"/>
        </w:rPr>
      </w:pPr>
      <w:r w:rsidRPr="009C48DA">
        <w:rPr>
          <w:lang w:val="en-GB"/>
        </w:rPr>
        <w:lastRenderedPageBreak/>
        <w:t>From</w:t>
      </w:r>
      <w:r w:rsidRPr="009C48DA" w:rsidR="001C3CEC">
        <w:rPr>
          <w:lang w:val="en-GB"/>
        </w:rPr>
        <w:t xml:space="preserve"> 2015 </w:t>
      </w:r>
      <w:r w:rsidRPr="009C48DA">
        <w:rPr>
          <w:lang w:val="en-GB"/>
        </w:rPr>
        <w:t>to</w:t>
      </w:r>
      <w:r w:rsidRPr="009C48DA" w:rsidR="001C3CEC">
        <w:rPr>
          <w:lang w:val="en-GB"/>
        </w:rPr>
        <w:t xml:space="preserve"> 31 March 2021, the </w:t>
      </w:r>
      <w:r w:rsidRPr="009C48DA" w:rsidR="00D46607">
        <w:rPr>
          <w:lang w:val="en-GB"/>
        </w:rPr>
        <w:t xml:space="preserve">Bridgepoint </w:t>
      </w:r>
      <w:r w:rsidRPr="009C48DA" w:rsidR="001C3CEC">
        <w:rPr>
          <w:lang w:val="en-GB"/>
        </w:rPr>
        <w:t>Direct Lending Funds have generated a gross realised IRR of nine per cent on an unlevered basis</w:t>
      </w:r>
      <w:r w:rsidRPr="009C48DA" w:rsidR="001E24E2">
        <w:rPr>
          <w:lang w:val="en-GB"/>
        </w:rPr>
        <w:t>,</w:t>
      </w:r>
      <w:r w:rsidRPr="009C48DA" w:rsidR="001C3CEC">
        <w:rPr>
          <w:lang w:val="en-GB"/>
        </w:rPr>
        <w:t xml:space="preserve"> which </w:t>
      </w:r>
      <w:r w:rsidRPr="009C48DA" w:rsidR="001E24E2">
        <w:rPr>
          <w:lang w:val="en-GB"/>
        </w:rPr>
        <w:t>is</w:t>
      </w:r>
      <w:r w:rsidRPr="009C48DA" w:rsidR="001C3CEC">
        <w:rPr>
          <w:lang w:val="en-GB"/>
        </w:rPr>
        <w:t xml:space="preserve"> in line with targeted returns. As of 31 March 2021, the </w:t>
      </w:r>
      <w:r w:rsidRPr="009C48DA" w:rsidR="00D46607">
        <w:rPr>
          <w:lang w:val="en-GB"/>
        </w:rPr>
        <w:t xml:space="preserve">Bridgepoint </w:t>
      </w:r>
      <w:r w:rsidRPr="009C48DA" w:rsidR="001C3CEC">
        <w:rPr>
          <w:lang w:val="en-GB"/>
        </w:rPr>
        <w:t xml:space="preserve">Direct Lending Funds had no realised losses throughout their history. </w:t>
      </w:r>
    </w:p>
    <w:p w:rsidRPr="009C48DA" w:rsidR="001C3CEC" w:rsidP="0002759F" w:rsidRDefault="001C3CEC" w14:paraId="06848E58" w14:textId="415DAFB4">
      <w:pPr>
        <w:pStyle w:val="BodyText2SglJ"/>
        <w:rPr>
          <w:lang w:val="en-GB"/>
        </w:rPr>
      </w:pPr>
      <w:r w:rsidRPr="009C48DA">
        <w:rPr>
          <w:lang w:val="en-GB"/>
        </w:rPr>
        <w:t xml:space="preserve">The strategy is currently raising its third fund, </w:t>
      </w:r>
      <w:r w:rsidRPr="009C48DA" w:rsidR="00D46607">
        <w:rPr>
          <w:lang w:val="en-GB"/>
        </w:rPr>
        <w:t xml:space="preserve">Bridgepoint </w:t>
      </w:r>
      <w:r w:rsidRPr="009C48DA">
        <w:rPr>
          <w:lang w:val="en-GB"/>
        </w:rPr>
        <w:t>Direct Lending III, which is expected to be materially larger than the previous fund generation (given the combined resources following the acquisition of EQT Credit) and will target a seven to nine per cent gross IRR in the unlevered sleeve and a 11 to 14 per cent gross IRR in the levered sleeve.</w:t>
      </w:r>
      <w:r w:rsidRPr="009C48DA" w:rsidR="00DA1079">
        <w:rPr>
          <w:lang w:val="en-GB"/>
        </w:rPr>
        <w:t xml:space="preserve"> The levered sleeve of </w:t>
      </w:r>
      <w:r w:rsidRPr="009C48DA" w:rsidR="006D5BFE">
        <w:rPr>
          <w:lang w:val="en-GB"/>
        </w:rPr>
        <w:t>Bridgepoint</w:t>
      </w:r>
      <w:r w:rsidRPr="009C48DA" w:rsidR="00DA1079">
        <w:rPr>
          <w:lang w:val="en-GB"/>
        </w:rPr>
        <w:t>’s private credit fund entails the leveraging of that sleeve of the fund with debt.</w:t>
      </w:r>
    </w:p>
    <w:p w:rsidRPr="009C48DA" w:rsidR="001C3CEC" w:rsidP="001B2CC4" w:rsidRDefault="001C3CEC" w14:paraId="265589B5" w14:textId="77777777">
      <w:pPr>
        <w:pStyle w:val="TitleBI"/>
        <w:rPr>
          <w:lang w:val="en-GB"/>
        </w:rPr>
      </w:pPr>
      <w:r w:rsidRPr="009C48DA">
        <w:rPr>
          <w:lang w:val="en-GB"/>
        </w:rPr>
        <w:t>Credit Opportunities</w:t>
      </w:r>
    </w:p>
    <w:p w:rsidRPr="009C48DA" w:rsidR="001C3CEC" w:rsidP="0002759F" w:rsidRDefault="001C3CEC" w14:paraId="3A90A006" w14:textId="73CA0729">
      <w:pPr>
        <w:pStyle w:val="BodyText2SglJ"/>
        <w:rPr>
          <w:lang w:val="en-GB"/>
        </w:rPr>
      </w:pPr>
      <w:r w:rsidRPr="009C48DA">
        <w:rPr>
          <w:lang w:val="en-GB"/>
        </w:rPr>
        <w:t xml:space="preserve">Since 2008, </w:t>
      </w:r>
      <w:r w:rsidRPr="009C48DA" w:rsidR="006D5BFE">
        <w:rPr>
          <w:lang w:val="en-GB"/>
        </w:rPr>
        <w:t>Bridgepoint</w:t>
      </w:r>
      <w:r w:rsidRPr="009C48DA">
        <w:rPr>
          <w:lang w:val="en-GB"/>
        </w:rPr>
        <w:t xml:space="preserve">’s Credit Opportunities funds seek investment opportunities in complex situations via the secondary market and by providing creative capital solutions to distressed companies or companies which are unable to access the capital markets. The strategy targets three key types of investments (with a typical size of an individual investment of €30 to €100 million), which allow flexibility and relevance throughout all periods of the investment cycle–deep value in the secondary market, bespoke primary capital solutions and balance sheet transformations: </w:t>
      </w:r>
    </w:p>
    <w:p w:rsidRPr="009C48DA" w:rsidR="001C3CEC" w:rsidP="004C312B" w:rsidRDefault="001C3CEC" w14:paraId="5957D3A8" w14:textId="77777777">
      <w:pPr>
        <w:pStyle w:val="STBBullet3"/>
        <w:rPr>
          <w:lang w:val="en-GB"/>
        </w:rPr>
      </w:pPr>
      <w:r w:rsidRPr="009C48DA">
        <w:rPr>
          <w:b/>
          <w:lang w:val="en-GB"/>
        </w:rPr>
        <w:t>Deep Value Secondary</w:t>
      </w:r>
      <w:r w:rsidRPr="009C48DA">
        <w:rPr>
          <w:lang w:val="en-GB"/>
        </w:rPr>
        <w:t>: The Group</w:t>
      </w:r>
      <w:r w:rsidRPr="009C48DA">
        <w:rPr>
          <w:b/>
          <w:lang w:val="en-GB"/>
        </w:rPr>
        <w:t xml:space="preserve"> </w:t>
      </w:r>
      <w:r w:rsidRPr="009C48DA">
        <w:rPr>
          <w:lang w:val="en-GB"/>
        </w:rPr>
        <w:t xml:space="preserve">expects pressures on the holders of debt of highly leveraged companies to continue and, as a result, anticipates more motivated sellers of assets at discounted prices. This strategy therefore aims to identify investments in good companies believed to have a clear route to exit or repayment, purchasing debt from existing holders at a meaningful discount to par. </w:t>
      </w:r>
    </w:p>
    <w:p w:rsidRPr="009C48DA" w:rsidR="001C3CEC" w:rsidP="004C312B" w:rsidRDefault="001C3CEC" w14:paraId="195FA6D4" w14:textId="77777777">
      <w:pPr>
        <w:pStyle w:val="STBBullet3"/>
        <w:rPr>
          <w:lang w:val="en-GB"/>
        </w:rPr>
      </w:pPr>
      <w:r w:rsidRPr="009C48DA">
        <w:rPr>
          <w:b/>
          <w:lang w:val="en-GB"/>
        </w:rPr>
        <w:t>Bespoke Primary Capital</w:t>
      </w:r>
      <w:r w:rsidRPr="009C48DA">
        <w:rPr>
          <w:lang w:val="en-GB"/>
        </w:rPr>
        <w:t>: The inability of some companies to access traditional sources of capital (for example, syndicated bank loans, high yield bonds and public equity) generates a need for creative, tailored financing solutions for companies requiring new money. This can include financing acquisitions or growth, adjustments to the current capital structure or refinancing transactions.</w:t>
      </w:r>
    </w:p>
    <w:p w:rsidRPr="009C48DA" w:rsidR="001C3CEC" w:rsidP="004C312B" w:rsidRDefault="001C3CEC" w14:paraId="058FE1D8" w14:textId="7D1F5C47">
      <w:pPr>
        <w:pStyle w:val="STBBullet3"/>
        <w:rPr>
          <w:lang w:val="en-GB"/>
        </w:rPr>
      </w:pPr>
      <w:r w:rsidRPr="009C48DA">
        <w:rPr>
          <w:b/>
          <w:lang w:val="en-GB"/>
        </w:rPr>
        <w:t>Balance Sheet Transformations</w:t>
      </w:r>
      <w:r w:rsidRPr="009C48DA">
        <w:rPr>
          <w:lang w:val="en-GB"/>
        </w:rPr>
        <w:t>: The Group</w:t>
      </w:r>
      <w:r w:rsidRPr="009C48DA">
        <w:rPr>
          <w:b/>
          <w:lang w:val="en-GB"/>
        </w:rPr>
        <w:t xml:space="preserve"> </w:t>
      </w:r>
      <w:r w:rsidRPr="009C48DA">
        <w:rPr>
          <w:lang w:val="en-GB"/>
        </w:rPr>
        <w:t xml:space="preserve">expects excess leverage and weak corporate performance to continue to result in balance sheet restructurings of a number of companies, and illiquid situations and therefore, the </w:t>
      </w:r>
      <w:r w:rsidRPr="009C48DA" w:rsidR="00D46607">
        <w:rPr>
          <w:lang w:val="en-GB"/>
        </w:rPr>
        <w:t xml:space="preserve">Bridgepoint </w:t>
      </w:r>
      <w:r w:rsidRPr="009C48DA">
        <w:rPr>
          <w:lang w:val="en-GB"/>
        </w:rPr>
        <w:t>Credit Opportunities funds also look for opportunities to purchase debt in the secondary market ahead of such restructurings and/or investments after a restructuring has occurred.</w:t>
      </w:r>
    </w:p>
    <w:p w:rsidRPr="009C48DA" w:rsidR="001C3CEC" w:rsidP="0002759F" w:rsidRDefault="001C3CEC" w14:paraId="7BD7D23D" w14:textId="339A6750">
      <w:pPr>
        <w:pStyle w:val="BodyText2SglJ"/>
        <w:rPr>
          <w:lang w:val="en-GB"/>
        </w:rPr>
      </w:pPr>
      <w:r w:rsidRPr="009C48DA">
        <w:rPr>
          <w:lang w:val="en-GB"/>
        </w:rPr>
        <w:t xml:space="preserve">The strategy is currently raising its fourth fund, </w:t>
      </w:r>
      <w:r w:rsidRPr="009C48DA" w:rsidR="00D46607">
        <w:rPr>
          <w:lang w:val="en-GB"/>
        </w:rPr>
        <w:t xml:space="preserve">Bridgepoint </w:t>
      </w:r>
      <w:r w:rsidRPr="009C48DA">
        <w:rPr>
          <w:lang w:val="en-GB"/>
        </w:rPr>
        <w:t>Credit Opportunities IV, which is targeting a similar size to the previous funds in this strategy</w:t>
      </w:r>
      <w:r w:rsidRPr="009C48DA" w:rsidR="003F6AB3">
        <w:rPr>
          <w:lang w:val="en-GB"/>
        </w:rPr>
        <w:t>.</w:t>
      </w:r>
      <w:r w:rsidRPr="009C48DA">
        <w:rPr>
          <w:lang w:val="en-GB"/>
        </w:rPr>
        <w:t xml:space="preserve"> </w:t>
      </w:r>
      <w:r w:rsidRPr="009C48DA" w:rsidR="003F6AB3">
        <w:rPr>
          <w:lang w:val="en-GB"/>
        </w:rPr>
        <w:t>From</w:t>
      </w:r>
      <w:r w:rsidRPr="009C48DA">
        <w:rPr>
          <w:lang w:val="en-GB"/>
        </w:rPr>
        <w:t xml:space="preserve"> 2008 </w:t>
      </w:r>
      <w:r w:rsidRPr="009C48DA" w:rsidR="003F6AB3">
        <w:rPr>
          <w:lang w:val="en-GB"/>
        </w:rPr>
        <w:t>to</w:t>
      </w:r>
      <w:r w:rsidRPr="009C48DA">
        <w:rPr>
          <w:lang w:val="en-GB"/>
        </w:rPr>
        <w:t xml:space="preserve"> 31 March 2021, </w:t>
      </w:r>
      <w:r w:rsidRPr="009C48DA" w:rsidR="00D46607">
        <w:rPr>
          <w:lang w:val="en-GB"/>
        </w:rPr>
        <w:t xml:space="preserve">Bridgepoint </w:t>
      </w:r>
      <w:r w:rsidRPr="009C48DA">
        <w:rPr>
          <w:lang w:val="en-GB"/>
        </w:rPr>
        <w:t xml:space="preserve">Credit Opportunities funds have made over 100 credit opportunities investments in </w:t>
      </w:r>
      <w:r w:rsidRPr="009C48DA" w:rsidR="001E24E2">
        <w:rPr>
          <w:lang w:val="en-GB"/>
        </w:rPr>
        <w:t>more than 80</w:t>
      </w:r>
      <w:r w:rsidRPr="009C48DA">
        <w:rPr>
          <w:lang w:val="en-GB"/>
        </w:rPr>
        <w:t xml:space="preserve"> companies. As of 31 March 2021, the exited investments of the </w:t>
      </w:r>
      <w:r w:rsidRPr="009C48DA" w:rsidR="00D46607">
        <w:rPr>
          <w:lang w:val="en-GB"/>
        </w:rPr>
        <w:t xml:space="preserve">Bridgepoint </w:t>
      </w:r>
      <w:r w:rsidRPr="009C48DA">
        <w:rPr>
          <w:lang w:val="en-GB"/>
        </w:rPr>
        <w:t xml:space="preserve">Credit Opportunities funds have generated a </w:t>
      </w:r>
      <w:r w:rsidRPr="009C48DA" w:rsidR="001E24E2">
        <w:rPr>
          <w:lang w:val="en-GB"/>
        </w:rPr>
        <w:t>1.41</w:t>
      </w:r>
      <w:r w:rsidRPr="009C48DA">
        <w:rPr>
          <w:lang w:val="en-GB"/>
        </w:rPr>
        <w:t xml:space="preserve"> times Gross MOIC and a gross IRR of </w:t>
      </w:r>
      <w:r w:rsidRPr="009C48DA" w:rsidR="001E24E2">
        <w:rPr>
          <w:lang w:val="en-GB"/>
        </w:rPr>
        <w:t>23</w:t>
      </w:r>
      <w:r w:rsidRPr="009C48DA">
        <w:rPr>
          <w:lang w:val="en-GB"/>
        </w:rPr>
        <w:t xml:space="preserve"> per cent. </w:t>
      </w:r>
    </w:p>
    <w:p w:rsidRPr="009C48DA" w:rsidR="001C3CEC" w:rsidP="001B2CC4" w:rsidRDefault="001C3CEC" w14:paraId="21A965E6" w14:textId="77777777">
      <w:pPr>
        <w:pStyle w:val="TitleBI"/>
        <w:rPr>
          <w:lang w:val="en-GB"/>
        </w:rPr>
      </w:pPr>
      <w:r w:rsidRPr="009C48DA">
        <w:rPr>
          <w:lang w:val="en-GB"/>
        </w:rPr>
        <w:t>Syndicated Debt</w:t>
      </w:r>
    </w:p>
    <w:p w:rsidRPr="009C48DA" w:rsidR="001C3CEC" w:rsidP="0002759F" w:rsidRDefault="00B263E6" w14:paraId="7AB6E638" w14:textId="7FF17134">
      <w:pPr>
        <w:pStyle w:val="BodyText2SglJ"/>
        <w:rPr>
          <w:lang w:val="en-GB"/>
        </w:rPr>
      </w:pPr>
      <w:r w:rsidRPr="009C48DA">
        <w:rPr>
          <w:lang w:val="en-GB"/>
        </w:rPr>
        <w:t>T</w:t>
      </w:r>
      <w:r w:rsidRPr="009C48DA" w:rsidR="001C3CEC">
        <w:rPr>
          <w:lang w:val="en-GB"/>
        </w:rPr>
        <w:t xml:space="preserve">he Group’s syndicated debt investment strategy seeks investment opportunities in floating-rate loans and notes of strongly performing European companies and manages a portfolio of large, liquid, European credits. These investment opportunities usually provide a regular interest income stream and are characterised by high capital preservation, which is supported by the Group’s active selection and monitoring of companies. As of 31 March 2021, the </w:t>
      </w:r>
      <w:r w:rsidRPr="009C48DA" w:rsidR="00D46607">
        <w:rPr>
          <w:lang w:val="en-GB"/>
        </w:rPr>
        <w:t xml:space="preserve">Bridgepoint </w:t>
      </w:r>
      <w:r w:rsidRPr="009C48DA" w:rsidR="001C3CEC">
        <w:rPr>
          <w:lang w:val="en-GB"/>
        </w:rPr>
        <w:t xml:space="preserve">Syndicated Debt funds had provided capital to approximately </w:t>
      </w:r>
      <w:r w:rsidRPr="009C48DA" w:rsidR="00003914">
        <w:rPr>
          <w:lang w:val="en-GB"/>
        </w:rPr>
        <w:t>150</w:t>
      </w:r>
      <w:r w:rsidRPr="009C48DA" w:rsidR="001C3CEC">
        <w:rPr>
          <w:lang w:val="en-GB"/>
        </w:rPr>
        <w:t xml:space="preserve"> companies.</w:t>
      </w:r>
    </w:p>
    <w:p w:rsidRPr="009C48DA" w:rsidR="001C3CEC" w:rsidP="0002759F" w:rsidRDefault="001C3CEC" w14:paraId="55AADEFD" w14:textId="79B93490">
      <w:pPr>
        <w:pStyle w:val="BodyText2SglJ"/>
        <w:rPr>
          <w:lang w:val="en-GB"/>
        </w:rPr>
      </w:pPr>
      <w:r w:rsidRPr="009C48DA">
        <w:rPr>
          <w:lang w:val="en-GB"/>
        </w:rPr>
        <w:t xml:space="preserve">The </w:t>
      </w:r>
      <w:r w:rsidRPr="009C48DA" w:rsidR="00D46607">
        <w:rPr>
          <w:lang w:val="en-GB"/>
        </w:rPr>
        <w:t xml:space="preserve">Bridgepoint </w:t>
      </w:r>
      <w:r w:rsidRPr="009C48DA" w:rsidR="00725970">
        <w:rPr>
          <w:lang w:val="en-GB"/>
        </w:rPr>
        <w:t>S</w:t>
      </w:r>
      <w:r w:rsidRPr="009C48DA">
        <w:rPr>
          <w:lang w:val="en-GB"/>
        </w:rPr>
        <w:t xml:space="preserve">yndicated </w:t>
      </w:r>
      <w:r w:rsidRPr="009C48DA" w:rsidR="00725970">
        <w:rPr>
          <w:lang w:val="en-GB"/>
        </w:rPr>
        <w:t>D</w:t>
      </w:r>
      <w:r w:rsidRPr="009C48DA">
        <w:rPr>
          <w:lang w:val="en-GB"/>
        </w:rPr>
        <w:t xml:space="preserve">ebt strategy utilises the Group’s market knowledge about a vast majority of leveraged buyout loans in the European market. Furthermore, this strategy raises </w:t>
      </w:r>
      <w:r w:rsidRPr="009C48DA" w:rsidR="00D46607">
        <w:rPr>
          <w:lang w:val="en-GB"/>
        </w:rPr>
        <w:t xml:space="preserve">Bridgepoint </w:t>
      </w:r>
      <w:r w:rsidRPr="009C48DA">
        <w:rPr>
          <w:lang w:val="en-GB"/>
        </w:rPr>
        <w:t>private credit’s relevance to banks and financial sponsors, strengthening the market profile of the wider private credit platform, as well as a stable and highly profitable fee base and the opportunity to broaden the investor base.</w:t>
      </w:r>
    </w:p>
    <w:p w:rsidRPr="009C48DA" w:rsidR="001C3CEC" w:rsidP="0002759F" w:rsidRDefault="001C3CEC" w14:paraId="17397870" w14:textId="78526967">
      <w:pPr>
        <w:pStyle w:val="BodyText2SglJ"/>
        <w:rPr>
          <w:lang w:val="en-GB"/>
        </w:rPr>
      </w:pPr>
      <w:r w:rsidRPr="009C48DA">
        <w:rPr>
          <w:lang w:val="en-GB"/>
        </w:rPr>
        <w:t>In 2020, the Group’s current CLO product offering was launched as part of the syndicated debt investment strategy, creating a highly scalable product offering with operational synergies and a broad risk-</w:t>
      </w:r>
      <w:r w:rsidRPr="009C48DA">
        <w:rPr>
          <w:lang w:val="en-GB"/>
        </w:rPr>
        <w:lastRenderedPageBreak/>
        <w:t xml:space="preserve">return profile across tranches. The first </w:t>
      </w:r>
      <w:r w:rsidRPr="009C48DA" w:rsidR="00D46607">
        <w:rPr>
          <w:lang w:val="en-GB"/>
        </w:rPr>
        <w:t xml:space="preserve">Bridgepoint </w:t>
      </w:r>
      <w:r w:rsidRPr="009C48DA">
        <w:rPr>
          <w:lang w:val="en-GB"/>
        </w:rPr>
        <w:t xml:space="preserve">CLO, </w:t>
      </w:r>
      <w:r w:rsidRPr="009C48DA" w:rsidR="00D46607">
        <w:rPr>
          <w:lang w:val="en-GB"/>
        </w:rPr>
        <w:t xml:space="preserve">Bridgepoint </w:t>
      </w:r>
      <w:r w:rsidRPr="009C48DA">
        <w:rPr>
          <w:lang w:val="en-GB"/>
        </w:rPr>
        <w:t xml:space="preserve">CLO I, was priced in 2020, </w:t>
      </w:r>
      <w:r w:rsidRPr="009C48DA" w:rsidR="00D46607">
        <w:rPr>
          <w:lang w:val="en-GB"/>
        </w:rPr>
        <w:t xml:space="preserve">Bridgepoint </w:t>
      </w:r>
      <w:r w:rsidRPr="009C48DA">
        <w:rPr>
          <w:lang w:val="en-GB"/>
        </w:rPr>
        <w:t>CLO II price</w:t>
      </w:r>
      <w:r w:rsidRPr="009C48DA" w:rsidR="00003914">
        <w:rPr>
          <w:lang w:val="en-GB"/>
        </w:rPr>
        <w:t>d</w:t>
      </w:r>
      <w:r w:rsidRPr="009C48DA">
        <w:rPr>
          <w:lang w:val="en-GB"/>
        </w:rPr>
        <w:t xml:space="preserve"> in June 2021 and a warehouse has been agreed for </w:t>
      </w:r>
      <w:r w:rsidRPr="009C48DA" w:rsidR="00D46607">
        <w:rPr>
          <w:lang w:val="en-GB"/>
        </w:rPr>
        <w:t xml:space="preserve">Bridgepoint </w:t>
      </w:r>
      <w:r w:rsidRPr="009C48DA">
        <w:rPr>
          <w:lang w:val="en-GB"/>
        </w:rPr>
        <w:t xml:space="preserve">CLO III. The Group’s CLO strategy is expected to be self-funding for the foreseeable future based on the existing capital retained in the business, with additional CLOs being expected to be launched approximately every six months. In addition, the Group plans to source capital from third parties for future issuances. </w:t>
      </w:r>
    </w:p>
    <w:p w:rsidRPr="009C48DA" w:rsidR="001C3CEC" w:rsidP="0038502A" w:rsidRDefault="0038502A" w14:paraId="12CE2314" w14:textId="2035EC09">
      <w:pPr>
        <w:pStyle w:val="TitleBAllCaps"/>
      </w:pPr>
      <w:r w:rsidRPr="009C48DA">
        <w:t>STRATEGY OF THE GROUP</w:t>
      </w:r>
    </w:p>
    <w:p w:rsidRPr="009C48DA" w:rsidR="001C3CEC" w:rsidP="0002759F" w:rsidRDefault="00D46607" w14:paraId="09246733" w14:textId="40931495">
      <w:pPr>
        <w:pStyle w:val="BodyText2SglJ"/>
        <w:rPr>
          <w:lang w:val="en-GB"/>
        </w:rPr>
      </w:pPr>
      <w:r w:rsidRPr="009C48DA">
        <w:rPr>
          <w:lang w:val="en-GB"/>
        </w:rPr>
        <w:t xml:space="preserve">Bridgepoint </w:t>
      </w:r>
      <w:r w:rsidRPr="009C48DA" w:rsidR="001C3CEC">
        <w:rPr>
          <w:lang w:val="en-GB"/>
        </w:rPr>
        <w:t>is strongly positioned to continue to deliver significant growth</w:t>
      </w:r>
      <w:r w:rsidRPr="009C48DA" w:rsidR="00B263E6">
        <w:rPr>
          <w:lang w:val="en-GB"/>
        </w:rPr>
        <w:t xml:space="preserve"> in three ways</w:t>
      </w:r>
      <w:r w:rsidRPr="009C48DA" w:rsidR="001C3CEC">
        <w:rPr>
          <w:lang w:val="en-GB"/>
        </w:rPr>
        <w:t xml:space="preserve">: the continued organic scaling of existing strategies, </w:t>
      </w:r>
      <w:r w:rsidRPr="009C48DA" w:rsidR="00143262">
        <w:rPr>
          <w:lang w:val="en-GB"/>
        </w:rPr>
        <w:t>product strategy extension</w:t>
      </w:r>
      <w:r w:rsidRPr="009C48DA" w:rsidR="001C3CEC">
        <w:rPr>
          <w:lang w:val="en-GB"/>
        </w:rPr>
        <w:t xml:space="preserve"> and adding a third </w:t>
      </w:r>
      <w:r w:rsidRPr="009C48DA" w:rsidR="00143262">
        <w:rPr>
          <w:lang w:val="en-GB"/>
        </w:rPr>
        <w:t xml:space="preserve">vertical over time </w:t>
      </w:r>
      <w:r w:rsidRPr="009C48DA" w:rsidR="001C3CEC">
        <w:rPr>
          <w:bCs/>
          <w:lang w:val="en-GB"/>
        </w:rPr>
        <w:t>through acquisition-led expansion</w:t>
      </w:r>
      <w:r w:rsidRPr="009C48DA" w:rsidR="001C3CEC">
        <w:rPr>
          <w:lang w:val="en-GB"/>
        </w:rPr>
        <w:t>.</w:t>
      </w:r>
    </w:p>
    <w:p w:rsidRPr="009C48DA" w:rsidR="001C3CEC" w:rsidP="004C312B" w:rsidRDefault="001C3CEC" w14:paraId="5497B417" w14:textId="77777777">
      <w:pPr>
        <w:pStyle w:val="TitleB"/>
        <w:rPr>
          <w:lang w:val="en-GB"/>
        </w:rPr>
      </w:pPr>
      <w:r w:rsidRPr="009C48DA">
        <w:rPr>
          <w:lang w:val="en-GB"/>
        </w:rPr>
        <w:t>Continued organic scaling of existing strategies</w:t>
      </w:r>
    </w:p>
    <w:p w:rsidRPr="009C48DA" w:rsidR="001C3CEC" w:rsidP="0002759F" w:rsidRDefault="00D46607" w14:paraId="5AE4C8C5" w14:textId="61D3D9BA">
      <w:pPr>
        <w:pStyle w:val="BodyText2SglJ"/>
        <w:rPr>
          <w:lang w:val="en-GB"/>
        </w:rPr>
      </w:pPr>
      <w:r w:rsidRPr="009C48DA">
        <w:rPr>
          <w:lang w:val="en-GB"/>
        </w:rPr>
        <w:t xml:space="preserve">Bridgepoint </w:t>
      </w:r>
      <w:r w:rsidRPr="009C48DA" w:rsidR="00652A9E">
        <w:rPr>
          <w:lang w:val="en-GB"/>
        </w:rPr>
        <w:t xml:space="preserve">expects to continue to </w:t>
      </w:r>
      <w:r w:rsidRPr="009C48DA" w:rsidR="001C3CEC">
        <w:rPr>
          <w:lang w:val="en-GB"/>
        </w:rPr>
        <w:t>scale its existing private equity</w:t>
      </w:r>
      <w:r w:rsidRPr="009C48DA" w:rsidR="00887260">
        <w:rPr>
          <w:lang w:val="en-GB"/>
        </w:rPr>
        <w:t xml:space="preserve"> and private credit strategies in order to </w:t>
      </w:r>
      <w:r w:rsidRPr="009C48DA" w:rsidR="001C3CEC">
        <w:rPr>
          <w:lang w:val="en-GB"/>
        </w:rPr>
        <w:t>captur</w:t>
      </w:r>
      <w:r w:rsidRPr="009C48DA" w:rsidR="00887260">
        <w:rPr>
          <w:lang w:val="en-GB"/>
        </w:rPr>
        <w:t>e</w:t>
      </w:r>
      <w:r w:rsidRPr="009C48DA" w:rsidR="001C3CEC">
        <w:rPr>
          <w:lang w:val="en-GB"/>
        </w:rPr>
        <w:t xml:space="preserve"> the forecast growth in its markets and continu</w:t>
      </w:r>
      <w:r w:rsidRPr="009C48DA" w:rsidR="00887260">
        <w:rPr>
          <w:lang w:val="en-GB"/>
        </w:rPr>
        <w:t xml:space="preserve">e </w:t>
      </w:r>
      <w:r w:rsidRPr="009C48DA" w:rsidR="00481119">
        <w:rPr>
          <w:lang w:val="en-GB"/>
        </w:rPr>
        <w:t>the</w:t>
      </w:r>
      <w:r w:rsidRPr="009C48DA" w:rsidR="001C3CEC">
        <w:rPr>
          <w:lang w:val="en-GB"/>
        </w:rPr>
        <w:t xml:space="preserve"> track record of strong AUM growth over the past two decades.</w:t>
      </w:r>
    </w:p>
    <w:p w:rsidRPr="009C48DA" w:rsidR="001C3CEC" w:rsidP="00143262" w:rsidRDefault="001C3CEC" w14:paraId="15F7156B" w14:textId="31E87C4E">
      <w:pPr>
        <w:pStyle w:val="BodyText2SglJ"/>
        <w:rPr>
          <w:lang w:val="en-GB"/>
        </w:rPr>
      </w:pPr>
      <w:r w:rsidRPr="009C48DA">
        <w:rPr>
          <w:lang w:val="en-GB"/>
        </w:rPr>
        <w:t xml:space="preserve">The middle market of the private markets industry has consistently expanded as private markets have grown, with the core enterprise value range of targeted assets for </w:t>
      </w:r>
      <w:r w:rsidRPr="009C48DA" w:rsidR="006D5BFE">
        <w:rPr>
          <w:lang w:val="en-GB"/>
        </w:rPr>
        <w:t>Bridgepoint</w:t>
      </w:r>
      <w:r w:rsidRPr="009C48DA">
        <w:rPr>
          <w:lang w:val="en-GB"/>
        </w:rPr>
        <w:t xml:space="preserve">’s middle market focus moving up in size as larger buyout firms have continued to shift their focus up the scale in terms of enterprise value. This is </w:t>
      </w:r>
      <w:r w:rsidRPr="009C48DA" w:rsidR="00003914">
        <w:rPr>
          <w:lang w:val="en-GB"/>
        </w:rPr>
        <w:t xml:space="preserve">illustrated well by the </w:t>
      </w:r>
      <w:r w:rsidRPr="009C48DA" w:rsidR="00143262">
        <w:rPr>
          <w:lang w:val="en-GB"/>
        </w:rPr>
        <w:t xml:space="preserve">continued </w:t>
      </w:r>
      <w:r w:rsidRPr="009C48DA" w:rsidR="00003914">
        <w:rPr>
          <w:lang w:val="en-GB"/>
        </w:rPr>
        <w:t>evolution of the</w:t>
      </w:r>
      <w:r w:rsidRPr="009C48DA">
        <w:rPr>
          <w:lang w:val="en-GB"/>
        </w:rPr>
        <w:t xml:space="preserve"> definition of </w:t>
      </w:r>
      <w:r w:rsidRPr="009C48DA" w:rsidR="00003914">
        <w:rPr>
          <w:lang w:val="en-GB"/>
        </w:rPr>
        <w:t xml:space="preserve">the size of the middle market. </w:t>
      </w:r>
      <w:r w:rsidRPr="009C48DA" w:rsidR="00D46607">
        <w:rPr>
          <w:lang w:val="en-GB"/>
        </w:rPr>
        <w:t xml:space="preserve">Bridgepoint </w:t>
      </w:r>
      <w:r w:rsidRPr="009C48DA" w:rsidR="00003914">
        <w:rPr>
          <w:lang w:val="en-GB"/>
        </w:rPr>
        <w:t xml:space="preserve">currently defines </w:t>
      </w:r>
      <w:r w:rsidRPr="009C48DA" w:rsidR="00143262">
        <w:rPr>
          <w:lang w:val="en-GB"/>
        </w:rPr>
        <w:t xml:space="preserve">the </w:t>
      </w:r>
      <w:r w:rsidRPr="009C48DA">
        <w:rPr>
          <w:lang w:val="en-GB"/>
        </w:rPr>
        <w:t xml:space="preserve">market as </w:t>
      </w:r>
      <w:r w:rsidRPr="009C48DA" w:rsidR="00143262">
        <w:rPr>
          <w:lang w:val="en-GB"/>
        </w:rPr>
        <w:t xml:space="preserve">being </w:t>
      </w:r>
      <w:r w:rsidRPr="009C48DA">
        <w:rPr>
          <w:lang w:val="en-GB"/>
        </w:rPr>
        <w:t>compr</w:t>
      </w:r>
      <w:r w:rsidRPr="009C48DA" w:rsidR="00143262">
        <w:rPr>
          <w:lang w:val="en-GB"/>
        </w:rPr>
        <w:t xml:space="preserve">ised of </w:t>
      </w:r>
      <w:r w:rsidRPr="009C48DA">
        <w:rPr>
          <w:lang w:val="en-GB"/>
        </w:rPr>
        <w:t xml:space="preserve">businesses with an enterprise value of </w:t>
      </w:r>
      <w:r w:rsidRPr="009C48DA" w:rsidR="00494016">
        <w:rPr>
          <w:lang w:val="en-GB"/>
        </w:rPr>
        <w:t xml:space="preserve">typically </w:t>
      </w:r>
      <w:r w:rsidRPr="009C48DA">
        <w:rPr>
          <w:lang w:val="en-GB"/>
        </w:rPr>
        <w:t>up to €1.5 billion</w:t>
      </w:r>
      <w:r w:rsidRPr="009C48DA" w:rsidR="00003914">
        <w:rPr>
          <w:lang w:val="en-GB"/>
        </w:rPr>
        <w:t xml:space="preserve">. This </w:t>
      </w:r>
      <w:r w:rsidRPr="009C48DA" w:rsidR="00143262">
        <w:rPr>
          <w:lang w:val="en-GB"/>
        </w:rPr>
        <w:t xml:space="preserve">is </w:t>
      </w:r>
      <w:r w:rsidRPr="009C48DA" w:rsidR="00003914">
        <w:rPr>
          <w:lang w:val="en-GB"/>
        </w:rPr>
        <w:t xml:space="preserve">a continued evolution from the definition used in each successive fund raise </w:t>
      </w:r>
      <w:r w:rsidRPr="009C48DA" w:rsidR="003F6AB3">
        <w:rPr>
          <w:lang w:val="en-GB"/>
        </w:rPr>
        <w:t>from</w:t>
      </w:r>
      <w:r w:rsidRPr="009C48DA" w:rsidR="00003914">
        <w:rPr>
          <w:lang w:val="en-GB"/>
        </w:rPr>
        <w:t xml:space="preserve"> 2000 </w:t>
      </w:r>
      <w:r w:rsidRPr="009C48DA" w:rsidR="003F6AB3">
        <w:rPr>
          <w:lang w:val="en-GB"/>
        </w:rPr>
        <w:t>to</w:t>
      </w:r>
      <w:r w:rsidRPr="009C48DA" w:rsidR="00003914">
        <w:rPr>
          <w:lang w:val="en-GB"/>
        </w:rPr>
        <w:t xml:space="preserve"> 2020 </w:t>
      </w:r>
      <w:r w:rsidRPr="009C48DA" w:rsidR="000E409A">
        <w:rPr>
          <w:lang w:val="en-GB"/>
        </w:rPr>
        <w:t xml:space="preserve">as private markets have grown. </w:t>
      </w:r>
      <w:r w:rsidRPr="009C48DA" w:rsidR="00003914">
        <w:rPr>
          <w:lang w:val="en-GB"/>
        </w:rPr>
        <w:t xml:space="preserve">For example, </w:t>
      </w:r>
      <w:r w:rsidRPr="009C48DA" w:rsidR="00143262">
        <w:rPr>
          <w:lang w:val="en-GB"/>
        </w:rPr>
        <w:t>the size of the middle market was defined as capturing business</w:t>
      </w:r>
      <w:r w:rsidRPr="009C48DA" w:rsidR="00F02DD3">
        <w:rPr>
          <w:lang w:val="en-GB"/>
        </w:rPr>
        <w:t>es</w:t>
      </w:r>
      <w:r w:rsidRPr="009C48DA" w:rsidR="00143262">
        <w:rPr>
          <w:lang w:val="en-GB"/>
        </w:rPr>
        <w:t xml:space="preserve"> with an enterprise value of typically up to €600 million and €1 billion at the time</w:t>
      </w:r>
      <w:r w:rsidRPr="009C48DA" w:rsidR="00F02DD3">
        <w:rPr>
          <w:lang w:val="en-GB"/>
        </w:rPr>
        <w:t>s</w:t>
      </w:r>
      <w:r w:rsidRPr="009C48DA" w:rsidR="00143262">
        <w:rPr>
          <w:lang w:val="en-GB"/>
        </w:rPr>
        <w:t xml:space="preserve"> of raising </w:t>
      </w:r>
      <w:r w:rsidRPr="009C48DA" w:rsidR="00D46607">
        <w:rPr>
          <w:lang w:val="en-GB"/>
        </w:rPr>
        <w:t xml:space="preserve">Bridgepoint </w:t>
      </w:r>
      <w:r w:rsidRPr="009C48DA" w:rsidR="00143262">
        <w:rPr>
          <w:lang w:val="en-GB"/>
        </w:rPr>
        <w:t xml:space="preserve">Europe V and </w:t>
      </w:r>
      <w:r w:rsidRPr="009C48DA" w:rsidR="00D46607">
        <w:rPr>
          <w:lang w:val="en-GB"/>
        </w:rPr>
        <w:t xml:space="preserve">Bridgepoint </w:t>
      </w:r>
      <w:r w:rsidRPr="009C48DA" w:rsidR="00143262">
        <w:rPr>
          <w:lang w:val="en-GB"/>
        </w:rPr>
        <w:t>Europe VI, respectively.</w:t>
      </w:r>
    </w:p>
    <w:p w:rsidRPr="009C48DA" w:rsidR="001C3CEC" w:rsidP="0002759F" w:rsidRDefault="001C3CEC" w14:paraId="42FD7A45" w14:textId="6BEC13D4">
      <w:pPr>
        <w:pStyle w:val="BodyText2SglJ"/>
        <w:rPr>
          <w:lang w:val="en-GB"/>
        </w:rPr>
      </w:pPr>
      <w:r w:rsidRPr="009C48DA">
        <w:rPr>
          <w:lang w:val="en-GB"/>
        </w:rPr>
        <w:t xml:space="preserve">The potential for a further scaling of existing strategies is </w:t>
      </w:r>
      <w:r w:rsidRPr="009C48DA" w:rsidR="00003914">
        <w:rPr>
          <w:lang w:val="en-GB"/>
        </w:rPr>
        <w:t>also clearly</w:t>
      </w:r>
      <w:r w:rsidRPr="009C48DA">
        <w:rPr>
          <w:lang w:val="en-GB"/>
        </w:rPr>
        <w:t xml:space="preserve"> evident in the very large universe of investable assets, with, for example, approximately </w:t>
      </w:r>
      <w:r w:rsidRPr="009C48DA" w:rsidR="00696269">
        <w:rPr>
          <w:lang w:val="en-GB"/>
        </w:rPr>
        <w:t>24,5</w:t>
      </w:r>
      <w:r w:rsidRPr="009C48DA">
        <w:rPr>
          <w:lang w:val="en-GB"/>
        </w:rPr>
        <w:t>00 companies in Europe with revenue between €200 million and €1</w:t>
      </w:r>
      <w:r w:rsidRPr="009C48DA" w:rsidR="00D57EE5">
        <w:rPr>
          <w:lang w:val="en-GB"/>
        </w:rPr>
        <w:t>.5</w:t>
      </w:r>
      <w:r w:rsidRPr="009C48DA">
        <w:rPr>
          <w:lang w:val="en-GB"/>
        </w:rPr>
        <w:t xml:space="preserve"> billion</w:t>
      </w:r>
      <w:r w:rsidRPr="009C48DA" w:rsidR="00E5148E">
        <w:rPr>
          <w:lang w:val="en-GB"/>
        </w:rPr>
        <w:t xml:space="preserve"> </w:t>
      </w:r>
      <w:r w:rsidRPr="009C48DA" w:rsidR="00611834">
        <w:rPr>
          <w:lang w:val="en-GB"/>
        </w:rPr>
        <w:t>a</w:t>
      </w:r>
      <w:r w:rsidRPr="009C48DA" w:rsidR="00D57EE5">
        <w:rPr>
          <w:lang w:val="en-GB"/>
        </w:rPr>
        <w:t>s of 15 June 2021</w:t>
      </w:r>
      <w:r w:rsidRPr="009C48DA">
        <w:rPr>
          <w:lang w:val="en-GB"/>
        </w:rPr>
        <w:t>.</w:t>
      </w:r>
      <w:r w:rsidRPr="009C48DA">
        <w:rPr>
          <w:rStyle w:val="FootnoteReference"/>
          <w:szCs w:val="20"/>
          <w:lang w:val="en-GB"/>
        </w:rPr>
        <w:footnoteReference w:id="43"/>
      </w:r>
      <w:r w:rsidRPr="009C48DA">
        <w:rPr>
          <w:lang w:val="en-GB"/>
        </w:rPr>
        <w:t xml:space="preserve"> Companies are also on average staying private for longer as a result of the growth in private markets assets and the ability to raise capital to support growth across the life</w:t>
      </w:r>
      <w:r w:rsidRPr="009C48DA" w:rsidR="00FD0449">
        <w:rPr>
          <w:lang w:val="en-GB"/>
        </w:rPr>
        <w:t xml:space="preserve"> </w:t>
      </w:r>
      <w:r w:rsidRPr="009C48DA">
        <w:rPr>
          <w:lang w:val="en-GB"/>
        </w:rPr>
        <w:t xml:space="preserve">cycle of a company, which has resulted in fewer firms choosing to go public in recent years. </w:t>
      </w:r>
      <w:r w:rsidRPr="009C48DA" w:rsidR="00143262">
        <w:rPr>
          <w:lang w:val="en-GB"/>
        </w:rPr>
        <w:t>This is combined with</w:t>
      </w:r>
      <w:r w:rsidRPr="009C48DA">
        <w:rPr>
          <w:lang w:val="en-GB"/>
        </w:rPr>
        <w:t xml:space="preserve"> genuine advantages of scale and incumbency due to the Group’s sizeable presence and industrial n</w:t>
      </w:r>
      <w:r w:rsidRPr="009C48DA" w:rsidR="00143262">
        <w:rPr>
          <w:lang w:val="en-GB"/>
        </w:rPr>
        <w:t>etworks “on the ground” in its market</w:t>
      </w:r>
      <w:r w:rsidRPr="009C48DA" w:rsidR="00F02DD3">
        <w:rPr>
          <w:lang w:val="en-GB"/>
        </w:rPr>
        <w:t>s</w:t>
      </w:r>
      <w:r w:rsidRPr="009C48DA" w:rsidR="00143262">
        <w:rPr>
          <w:lang w:val="en-GB"/>
        </w:rPr>
        <w:t xml:space="preserve"> and </w:t>
      </w:r>
      <w:r w:rsidRPr="009C48DA">
        <w:rPr>
          <w:lang w:val="en-GB"/>
        </w:rPr>
        <w:t>infrastructure built up over decades, all of which would be difficult to recreate for new market entrants.</w:t>
      </w:r>
    </w:p>
    <w:p w:rsidRPr="009C48DA" w:rsidR="00143262" w:rsidP="00143262" w:rsidRDefault="00143262" w14:paraId="7022A17F" w14:textId="42714CFE">
      <w:pPr>
        <w:pStyle w:val="BodyText2SglJ"/>
        <w:rPr>
          <w:lang w:val="en-GB"/>
        </w:rPr>
      </w:pPr>
      <w:r w:rsidRPr="009C48DA">
        <w:rPr>
          <w:lang w:val="en-GB"/>
        </w:rPr>
        <w:t xml:space="preserve">Incremental to this is the potential for each of </w:t>
      </w:r>
      <w:r w:rsidRPr="009C48DA" w:rsidR="001C3CEC">
        <w:rPr>
          <w:lang w:val="en-GB"/>
        </w:rPr>
        <w:t xml:space="preserve">the Group’s core products </w:t>
      </w:r>
      <w:r w:rsidRPr="009C48DA">
        <w:rPr>
          <w:lang w:val="en-GB"/>
        </w:rPr>
        <w:t xml:space="preserve">to expand </w:t>
      </w:r>
      <w:r w:rsidRPr="009C48DA" w:rsidR="001C3CEC">
        <w:rPr>
          <w:lang w:val="en-GB"/>
        </w:rPr>
        <w:t>irrespective of market growth:</w:t>
      </w:r>
    </w:p>
    <w:p w:rsidRPr="009C48DA" w:rsidR="00143262" w:rsidP="00143262" w:rsidRDefault="00D46607" w14:paraId="7B9A6C62" w14:textId="0CF99F66">
      <w:pPr>
        <w:pStyle w:val="STBBullet3"/>
        <w:rPr>
          <w:szCs w:val="20"/>
          <w:lang w:val="en-GB"/>
        </w:rPr>
      </w:pPr>
      <w:r w:rsidRPr="009C48DA">
        <w:rPr>
          <w:lang w:val="en-GB"/>
        </w:rPr>
        <w:t>Bridgepoint</w:t>
      </w:r>
      <w:r w:rsidRPr="009C48DA">
        <w:rPr>
          <w:szCs w:val="20"/>
          <w:lang w:val="en-GB"/>
        </w:rPr>
        <w:t xml:space="preserve"> </w:t>
      </w:r>
      <w:r w:rsidRPr="009C48DA" w:rsidR="00143262">
        <w:rPr>
          <w:szCs w:val="20"/>
          <w:lang w:val="en-GB"/>
        </w:rPr>
        <w:t xml:space="preserve">Europe has the opportunity to further deepen its presence in existing geographies, for </w:t>
      </w:r>
      <w:r w:rsidRPr="009C48DA" w:rsidR="00143262">
        <w:rPr>
          <w:lang w:val="en-GB"/>
        </w:rPr>
        <w:t>example</w:t>
      </w:r>
      <w:r w:rsidRPr="009C48DA" w:rsidR="00143262">
        <w:rPr>
          <w:szCs w:val="20"/>
          <w:lang w:val="en-GB"/>
        </w:rPr>
        <w:t xml:space="preserve"> in the UK, where activity levels have been intentionally lower following Brexit, and in Germany, where the Group has recently significantly expanded the investment team. In parallel, origination has been expanded into to the United States, focusing exclusively on businesses in the region where a strong or developing European presence and franchise is a core component of the growth and value creation strategy for the asset, and where </w:t>
      </w:r>
      <w:r w:rsidRPr="009C48DA" w:rsidR="00887260">
        <w:rPr>
          <w:szCs w:val="20"/>
          <w:lang w:val="en-GB"/>
        </w:rPr>
        <w:t xml:space="preserve">the Directors believe that </w:t>
      </w:r>
      <w:r w:rsidRPr="009C48DA" w:rsidR="006D5BFE">
        <w:rPr>
          <w:lang w:val="en-GB"/>
        </w:rPr>
        <w:t>Bridgepoint</w:t>
      </w:r>
      <w:r w:rsidRPr="009C48DA" w:rsidR="00143262">
        <w:rPr>
          <w:szCs w:val="20"/>
          <w:lang w:val="en-GB"/>
        </w:rPr>
        <w:t xml:space="preserve">’s platform can add significant strategic value and make a real difference to a portfolio company. Building an investment track record targeting businesses in the United States with European reach or potential, represents a material enlargement of </w:t>
      </w:r>
      <w:r w:rsidRPr="009C48DA" w:rsidR="006D5BFE">
        <w:rPr>
          <w:lang w:val="en-GB"/>
        </w:rPr>
        <w:t>Bridgepoint</w:t>
      </w:r>
      <w:r w:rsidRPr="009C48DA" w:rsidR="00143262">
        <w:rPr>
          <w:szCs w:val="20"/>
          <w:lang w:val="en-GB"/>
        </w:rPr>
        <w:t>’s universe of investable businesses.</w:t>
      </w:r>
    </w:p>
    <w:p w:rsidRPr="009C48DA" w:rsidR="00143262" w:rsidP="00143262" w:rsidRDefault="00D46607" w14:paraId="6E3CF77D" w14:textId="7E1E89BE">
      <w:pPr>
        <w:pStyle w:val="STBBullet3"/>
        <w:rPr>
          <w:szCs w:val="20"/>
          <w:lang w:val="en-GB"/>
        </w:rPr>
      </w:pPr>
      <w:r w:rsidRPr="009C48DA">
        <w:rPr>
          <w:lang w:val="en-GB"/>
        </w:rPr>
        <w:t>Bridgepoint</w:t>
      </w:r>
      <w:r w:rsidRPr="009C48DA">
        <w:rPr>
          <w:szCs w:val="20"/>
          <w:lang w:val="en-GB"/>
        </w:rPr>
        <w:t xml:space="preserve"> </w:t>
      </w:r>
      <w:r w:rsidRPr="009C48DA" w:rsidR="00143262">
        <w:rPr>
          <w:szCs w:val="20"/>
          <w:lang w:val="en-GB"/>
        </w:rPr>
        <w:t>Development Capital is similarly placed to deepen scale in existing geographies. This is evidenced by the size of more country specific funds in its markets</w:t>
      </w:r>
      <w:r w:rsidRPr="009C48DA" w:rsidR="00B263E6">
        <w:rPr>
          <w:szCs w:val="20"/>
          <w:lang w:val="en-GB"/>
        </w:rPr>
        <w:t xml:space="preserve"> even before further expanding</w:t>
      </w:r>
      <w:r w:rsidRPr="009C48DA" w:rsidR="00143262">
        <w:rPr>
          <w:szCs w:val="20"/>
          <w:lang w:val="en-GB"/>
        </w:rPr>
        <w:t xml:space="preserve"> its geographic reach in Europe over time beyond its current focus regions of the UK, France and the Nordic region, leveraging the Group’s office footprint and the existing strength of </w:t>
      </w:r>
      <w:r w:rsidRPr="009C48DA" w:rsidR="006D5BFE">
        <w:rPr>
          <w:lang w:val="en-GB"/>
        </w:rPr>
        <w:t>Bridgepoint</w:t>
      </w:r>
      <w:r w:rsidRPr="009C48DA" w:rsidR="00143262">
        <w:rPr>
          <w:szCs w:val="20"/>
          <w:lang w:val="en-GB"/>
        </w:rPr>
        <w:t>’s business across Europe.</w:t>
      </w:r>
    </w:p>
    <w:p w:rsidRPr="009C48DA" w:rsidR="009A6282" w:rsidP="009A6282" w:rsidRDefault="00D46607" w14:paraId="6E5BE4C6" w14:textId="3688F867">
      <w:pPr>
        <w:pStyle w:val="STBBullet3"/>
        <w:rPr>
          <w:szCs w:val="20"/>
          <w:lang w:val="en-GB"/>
        </w:rPr>
      </w:pPr>
      <w:r w:rsidRPr="009C48DA">
        <w:rPr>
          <w:lang w:val="en-GB"/>
        </w:rPr>
        <w:lastRenderedPageBreak/>
        <w:t>Bridgepoint</w:t>
      </w:r>
      <w:r w:rsidRPr="009C48DA">
        <w:rPr>
          <w:szCs w:val="20"/>
          <w:lang w:val="en-GB"/>
        </w:rPr>
        <w:t xml:space="preserve"> </w:t>
      </w:r>
      <w:r w:rsidRPr="009C48DA" w:rsidR="00143262">
        <w:rPr>
          <w:szCs w:val="20"/>
          <w:lang w:val="en-GB"/>
        </w:rPr>
        <w:t xml:space="preserve">private credit’s expected further expansion is underway, with expected launches of the Group’s private credit activities in the Netherlands in summer 2021 and in Spain in late 2021 / early 2022, alongside continuing efforts to build the track record of its </w:t>
      </w:r>
      <w:r w:rsidRPr="009C48DA">
        <w:rPr>
          <w:lang w:val="en-GB"/>
        </w:rPr>
        <w:t>Bridgepoint</w:t>
      </w:r>
      <w:r w:rsidRPr="009C48DA">
        <w:rPr>
          <w:szCs w:val="20"/>
          <w:lang w:val="en-GB"/>
        </w:rPr>
        <w:t xml:space="preserve"> </w:t>
      </w:r>
      <w:r w:rsidRPr="009C48DA" w:rsidR="00143262">
        <w:rPr>
          <w:szCs w:val="20"/>
          <w:lang w:val="en-GB"/>
        </w:rPr>
        <w:t>Credit Opportunities strategy in the United States.</w:t>
      </w:r>
    </w:p>
    <w:p w:rsidRPr="009C48DA" w:rsidR="00143262" w:rsidP="009A6282" w:rsidRDefault="00143262" w14:paraId="1310C57E" w14:textId="0CB3F21C">
      <w:pPr>
        <w:pStyle w:val="TitleB"/>
        <w:rPr>
          <w:lang w:val="en-GB"/>
        </w:rPr>
      </w:pPr>
      <w:r w:rsidRPr="009C48DA">
        <w:rPr>
          <w:lang w:val="en-GB"/>
        </w:rPr>
        <w:t>The addition of new funds within existing strategies</w:t>
      </w:r>
    </w:p>
    <w:p w:rsidRPr="009C48DA" w:rsidR="00143262" w:rsidP="009A6282" w:rsidRDefault="00D46607" w14:paraId="05753B62" w14:textId="12D20088">
      <w:pPr>
        <w:pStyle w:val="BodyText2SglJ"/>
        <w:rPr>
          <w:szCs w:val="20"/>
          <w:lang w:val="en-GB"/>
        </w:rPr>
      </w:pPr>
      <w:r w:rsidRPr="009C48DA">
        <w:rPr>
          <w:lang w:val="en-GB"/>
        </w:rPr>
        <w:t>Bridgepoint</w:t>
      </w:r>
      <w:r w:rsidRPr="009C48DA">
        <w:rPr>
          <w:szCs w:val="20"/>
          <w:lang w:val="en-GB"/>
        </w:rPr>
        <w:t xml:space="preserve"> </w:t>
      </w:r>
      <w:r w:rsidRPr="009C48DA" w:rsidR="00143262">
        <w:rPr>
          <w:szCs w:val="20"/>
          <w:lang w:val="en-GB"/>
        </w:rPr>
        <w:t xml:space="preserve">has successfully added multiple complementary ancillary funds within </w:t>
      </w:r>
      <w:r w:rsidRPr="009C48DA" w:rsidR="007C6FC4">
        <w:rPr>
          <w:szCs w:val="20"/>
          <w:lang w:val="en-GB"/>
        </w:rPr>
        <w:t xml:space="preserve">its existing investment strategies </w:t>
      </w:r>
      <w:r w:rsidRPr="009C48DA" w:rsidR="00143262">
        <w:rPr>
          <w:szCs w:val="20"/>
          <w:lang w:val="en-GB"/>
        </w:rPr>
        <w:t xml:space="preserve">and believes </w:t>
      </w:r>
      <w:r w:rsidRPr="009C48DA" w:rsidR="007C6FC4">
        <w:rPr>
          <w:szCs w:val="20"/>
          <w:lang w:val="en-GB"/>
        </w:rPr>
        <w:t xml:space="preserve">that there is </w:t>
      </w:r>
      <w:r w:rsidRPr="009C48DA" w:rsidR="00143262">
        <w:rPr>
          <w:szCs w:val="20"/>
          <w:lang w:val="en-GB"/>
        </w:rPr>
        <w:t xml:space="preserve">further accretive growth </w:t>
      </w:r>
      <w:r w:rsidRPr="009C48DA" w:rsidR="007C6FC4">
        <w:rPr>
          <w:szCs w:val="20"/>
          <w:lang w:val="en-GB"/>
        </w:rPr>
        <w:t xml:space="preserve">potential </w:t>
      </w:r>
      <w:r w:rsidRPr="009C48DA" w:rsidR="009D2417">
        <w:rPr>
          <w:szCs w:val="20"/>
          <w:lang w:val="en-GB"/>
        </w:rPr>
        <w:t>via this channel</w:t>
      </w:r>
      <w:r w:rsidRPr="009C48DA" w:rsidR="00143262">
        <w:rPr>
          <w:szCs w:val="20"/>
          <w:lang w:val="en-GB"/>
        </w:rPr>
        <w:t xml:space="preserve">. This is illustrated by sizeable continuation funds raised for flagship </w:t>
      </w:r>
      <w:r w:rsidRPr="009C48DA">
        <w:rPr>
          <w:lang w:val="en-GB"/>
        </w:rPr>
        <w:t>Bridgepoint</w:t>
      </w:r>
      <w:r w:rsidRPr="009C48DA">
        <w:rPr>
          <w:szCs w:val="20"/>
          <w:lang w:val="en-GB"/>
        </w:rPr>
        <w:t xml:space="preserve"> </w:t>
      </w:r>
      <w:r w:rsidRPr="009C48DA" w:rsidR="00143262">
        <w:rPr>
          <w:szCs w:val="20"/>
          <w:lang w:val="en-GB"/>
        </w:rPr>
        <w:t xml:space="preserve">Europe funds and </w:t>
      </w:r>
      <w:r w:rsidRPr="009C48DA">
        <w:rPr>
          <w:lang w:val="en-GB"/>
        </w:rPr>
        <w:t>Bridgepoint</w:t>
      </w:r>
      <w:r w:rsidRPr="009C48DA">
        <w:rPr>
          <w:szCs w:val="20"/>
          <w:lang w:val="en-GB"/>
        </w:rPr>
        <w:t xml:space="preserve"> </w:t>
      </w:r>
      <w:r w:rsidRPr="009C48DA" w:rsidR="00143262">
        <w:rPr>
          <w:szCs w:val="20"/>
          <w:lang w:val="en-GB"/>
        </w:rPr>
        <w:t>Development Capital</w:t>
      </w:r>
      <w:r w:rsidRPr="009C48DA" w:rsidR="007C6FC4">
        <w:rPr>
          <w:szCs w:val="20"/>
          <w:lang w:val="en-GB"/>
        </w:rPr>
        <w:t xml:space="preserve"> funds to drive further value creation in the assets transferred to the continuation fund creating additional value for fund investors</w:t>
      </w:r>
      <w:r w:rsidRPr="009C48DA" w:rsidR="00143262">
        <w:rPr>
          <w:szCs w:val="20"/>
          <w:lang w:val="en-GB"/>
        </w:rPr>
        <w:t xml:space="preserve">. </w:t>
      </w:r>
      <w:r w:rsidRPr="009C48DA" w:rsidR="007C6FC4">
        <w:rPr>
          <w:szCs w:val="20"/>
          <w:lang w:val="en-GB"/>
        </w:rPr>
        <w:t xml:space="preserve">The directors also believe that in the medium-term </w:t>
      </w:r>
      <w:r w:rsidRPr="009C48DA" w:rsidR="00143262">
        <w:rPr>
          <w:szCs w:val="20"/>
          <w:lang w:val="en-GB"/>
        </w:rPr>
        <w:t>the oppo</w:t>
      </w:r>
      <w:r w:rsidRPr="009C48DA" w:rsidR="007C6FC4">
        <w:rPr>
          <w:szCs w:val="20"/>
          <w:lang w:val="en-GB"/>
        </w:rPr>
        <w:t>rtunity exists to launch sector-</w:t>
      </w:r>
      <w:r w:rsidRPr="009C48DA" w:rsidR="00143262">
        <w:rPr>
          <w:szCs w:val="20"/>
          <w:lang w:val="en-GB"/>
        </w:rPr>
        <w:t>focused funds alongside the flagship funds as part of a diversification strategy.</w:t>
      </w:r>
    </w:p>
    <w:p w:rsidRPr="009C48DA" w:rsidR="00143262" w:rsidP="009A6282" w:rsidRDefault="00143262" w14:paraId="7D73D273" w14:textId="6BC932A9">
      <w:pPr>
        <w:pStyle w:val="BodyText2SglJ"/>
        <w:rPr>
          <w:szCs w:val="20"/>
          <w:lang w:val="en-GB"/>
        </w:rPr>
      </w:pPr>
      <w:r w:rsidRPr="009C48DA">
        <w:rPr>
          <w:szCs w:val="20"/>
          <w:lang w:val="en-GB"/>
        </w:rPr>
        <w:t xml:space="preserve">In parallel, further new equity and credit products are under review alongside current offerings. For example, </w:t>
      </w:r>
      <w:r w:rsidRPr="009C48DA" w:rsidR="006D5BFE">
        <w:rPr>
          <w:lang w:val="en-GB"/>
        </w:rPr>
        <w:t>Bridgepoint</w:t>
      </w:r>
      <w:r w:rsidRPr="009C48DA">
        <w:rPr>
          <w:szCs w:val="20"/>
          <w:lang w:val="en-GB"/>
        </w:rPr>
        <w:t xml:space="preserve">’s origination power identifies a large excess of investable assets that do not precisely fit the investment strategy of the current </w:t>
      </w:r>
      <w:r w:rsidRPr="009C48DA" w:rsidR="00D46607">
        <w:rPr>
          <w:lang w:val="en-GB"/>
        </w:rPr>
        <w:t>Bridgepoint</w:t>
      </w:r>
      <w:r w:rsidRPr="009C48DA" w:rsidR="00D46607">
        <w:rPr>
          <w:szCs w:val="20"/>
          <w:lang w:val="en-GB"/>
        </w:rPr>
        <w:t xml:space="preserve"> </w:t>
      </w:r>
      <w:r w:rsidRPr="009C48DA">
        <w:rPr>
          <w:szCs w:val="20"/>
          <w:lang w:val="en-GB"/>
        </w:rPr>
        <w:t xml:space="preserve">Funds but offer attractive value creation opportunities. Consequently, preparation had been well advanced to consider a fund to hold assets longer than the timescale available to existing funds. Although paused given the onset of the COVID-19 pandemic, the Directors believe that the concept has good potential in the medium-term. Other avenues under review include broadening the </w:t>
      </w:r>
      <w:r w:rsidRPr="009C48DA" w:rsidR="00D46607">
        <w:rPr>
          <w:lang w:val="en-GB"/>
        </w:rPr>
        <w:t>Bridgepoint</w:t>
      </w:r>
      <w:r w:rsidRPr="009C48DA" w:rsidR="00D46607">
        <w:rPr>
          <w:szCs w:val="20"/>
          <w:lang w:val="en-GB"/>
        </w:rPr>
        <w:t xml:space="preserve"> </w:t>
      </w:r>
      <w:r w:rsidRPr="009C48DA">
        <w:rPr>
          <w:szCs w:val="20"/>
          <w:lang w:val="en-GB"/>
        </w:rPr>
        <w:t xml:space="preserve">private credit offering to adjacent verticals, such as real estate debt. Key to any such expansion would be ensuring excellent origination and alignment with </w:t>
      </w:r>
      <w:r w:rsidRPr="009C48DA" w:rsidR="006D5BFE">
        <w:rPr>
          <w:lang w:val="en-GB"/>
        </w:rPr>
        <w:t>Bridgepoint</w:t>
      </w:r>
      <w:r w:rsidRPr="009C48DA">
        <w:rPr>
          <w:szCs w:val="20"/>
          <w:lang w:val="en-GB"/>
        </w:rPr>
        <w:t>’s expertise, competitive advantage and values.</w:t>
      </w:r>
    </w:p>
    <w:p w:rsidRPr="009C48DA" w:rsidR="00143262" w:rsidP="009A6282" w:rsidRDefault="006D5BFE" w14:paraId="5F5D7A4A" w14:textId="5BBEB5F5">
      <w:pPr>
        <w:pStyle w:val="BodyText2SglJ"/>
        <w:rPr>
          <w:szCs w:val="20"/>
          <w:lang w:val="en-GB"/>
        </w:rPr>
      </w:pPr>
      <w:r w:rsidRPr="009C48DA">
        <w:rPr>
          <w:lang w:val="en-GB"/>
        </w:rPr>
        <w:t>Bridgepoint</w:t>
      </w:r>
      <w:r w:rsidRPr="009C48DA" w:rsidR="00143262">
        <w:rPr>
          <w:szCs w:val="20"/>
          <w:lang w:val="en-GB"/>
        </w:rPr>
        <w:t xml:space="preserve">’s ability to grow organically was demonstrated by the greenfield launch of </w:t>
      </w:r>
      <w:r w:rsidRPr="009C48DA" w:rsidR="00D46607">
        <w:rPr>
          <w:lang w:val="en-GB"/>
        </w:rPr>
        <w:t>Bridgepoint</w:t>
      </w:r>
      <w:r w:rsidRPr="009C48DA" w:rsidR="00D46607">
        <w:rPr>
          <w:szCs w:val="20"/>
          <w:lang w:val="en-GB"/>
        </w:rPr>
        <w:t xml:space="preserve"> </w:t>
      </w:r>
      <w:r w:rsidRPr="009C48DA" w:rsidR="00143262">
        <w:rPr>
          <w:szCs w:val="20"/>
          <w:lang w:val="en-GB"/>
        </w:rPr>
        <w:t>private c</w:t>
      </w:r>
      <w:r w:rsidRPr="009C48DA" w:rsidR="008F0157">
        <w:rPr>
          <w:szCs w:val="20"/>
          <w:lang w:val="en-GB"/>
        </w:rPr>
        <w:t>redit in 2016</w:t>
      </w:r>
      <w:r w:rsidRPr="009C48DA" w:rsidR="00143262">
        <w:rPr>
          <w:szCs w:val="20"/>
          <w:lang w:val="en-GB"/>
        </w:rPr>
        <w:t xml:space="preserve"> (prior to the acceleration of the strategy via acquisition in 2020), comprising successfully building an investment team, raising capital and establishing a track record.</w:t>
      </w:r>
    </w:p>
    <w:p w:rsidRPr="009C48DA" w:rsidR="00143262" w:rsidP="009A6282" w:rsidRDefault="00143262" w14:paraId="2029541C" w14:textId="77777777">
      <w:pPr>
        <w:pStyle w:val="BodyText2SglJ"/>
        <w:rPr>
          <w:szCs w:val="20"/>
          <w:lang w:val="en-GB"/>
        </w:rPr>
      </w:pPr>
      <w:r w:rsidRPr="009C48DA">
        <w:rPr>
          <w:szCs w:val="20"/>
          <w:lang w:val="en-GB"/>
        </w:rPr>
        <w:t>The Directors believe that these factors, combined with the continued expected growth in allocations from investors to private markets, will allow that the Group has the ability to continue to significantly scale its strategies organically in the future.</w:t>
      </w:r>
    </w:p>
    <w:p w:rsidRPr="009C48DA" w:rsidR="009A6282" w:rsidP="009A6282" w:rsidRDefault="009A6282" w14:paraId="6E3C0DE4" w14:textId="77777777">
      <w:pPr>
        <w:pStyle w:val="TitleB"/>
        <w:rPr>
          <w:b w:val="0"/>
          <w:szCs w:val="20"/>
          <w:lang w:val="en-GB"/>
        </w:rPr>
      </w:pPr>
      <w:r w:rsidRPr="009C48DA">
        <w:rPr>
          <w:szCs w:val="20"/>
          <w:lang w:val="en-GB"/>
        </w:rPr>
        <w:t>Acquisition-</w:t>
      </w:r>
      <w:r w:rsidRPr="009C48DA">
        <w:rPr>
          <w:lang w:val="en-GB"/>
        </w:rPr>
        <w:t>led</w:t>
      </w:r>
      <w:r w:rsidRPr="009C48DA">
        <w:rPr>
          <w:szCs w:val="20"/>
          <w:lang w:val="en-GB"/>
        </w:rPr>
        <w:t xml:space="preserve"> expansion</w:t>
      </w:r>
    </w:p>
    <w:p w:rsidRPr="009C48DA" w:rsidR="009A6282" w:rsidP="009A6282" w:rsidRDefault="00887260" w14:paraId="56A75284" w14:textId="40D2516B">
      <w:pPr>
        <w:pStyle w:val="BodyText2SglJ"/>
        <w:rPr>
          <w:bCs/>
          <w:szCs w:val="20"/>
          <w:lang w:val="en-GB"/>
        </w:rPr>
      </w:pPr>
      <w:r w:rsidRPr="009C48DA">
        <w:rPr>
          <w:bCs/>
          <w:szCs w:val="20"/>
          <w:lang w:val="en-GB"/>
        </w:rPr>
        <w:t xml:space="preserve">The Directors believe </w:t>
      </w:r>
      <w:r w:rsidRPr="009C48DA" w:rsidR="009A6282">
        <w:rPr>
          <w:bCs/>
          <w:szCs w:val="20"/>
          <w:lang w:val="en-GB"/>
        </w:rPr>
        <w:t xml:space="preserve">that the Group could significantly enhance its middle market positioning and further deepen its market insights and platform synergies with the addition of a third </w:t>
      </w:r>
      <w:r w:rsidRPr="009C48DA" w:rsidR="00CF42AF">
        <w:rPr>
          <w:bCs/>
          <w:szCs w:val="20"/>
          <w:lang w:val="en-GB"/>
        </w:rPr>
        <w:t xml:space="preserve">core </w:t>
      </w:r>
      <w:r w:rsidRPr="009C48DA" w:rsidR="009A6282">
        <w:rPr>
          <w:bCs/>
          <w:szCs w:val="20"/>
          <w:lang w:val="en-GB"/>
        </w:rPr>
        <w:t>product strategy alongside priv</w:t>
      </w:r>
      <w:r w:rsidRPr="009C48DA" w:rsidR="00FF579B">
        <w:rPr>
          <w:bCs/>
          <w:szCs w:val="20"/>
          <w:lang w:val="en-GB"/>
        </w:rPr>
        <w:t>ate equity and private credit. It is expected that t</w:t>
      </w:r>
      <w:r w:rsidRPr="009C48DA" w:rsidR="009A6282">
        <w:rPr>
          <w:bCs/>
          <w:szCs w:val="20"/>
          <w:lang w:val="en-GB"/>
        </w:rPr>
        <w:t xml:space="preserve">his could be delivered without materially expanding </w:t>
      </w:r>
      <w:r w:rsidRPr="009C48DA" w:rsidR="006D5BFE">
        <w:rPr>
          <w:lang w:val="en-GB"/>
        </w:rPr>
        <w:t>Bridgepoint</w:t>
      </w:r>
      <w:r w:rsidRPr="009C48DA" w:rsidR="009A6282">
        <w:rPr>
          <w:bCs/>
          <w:szCs w:val="20"/>
          <w:lang w:val="en-GB"/>
        </w:rPr>
        <w:t>’s central and platform cost bases.</w:t>
      </w:r>
    </w:p>
    <w:p w:rsidRPr="009C48DA" w:rsidR="009A6282" w:rsidP="009A6282" w:rsidRDefault="009A6282" w14:paraId="6C157D2C" w14:textId="4141E3F3">
      <w:pPr>
        <w:pStyle w:val="BodyText2SglJ"/>
        <w:rPr>
          <w:szCs w:val="20"/>
          <w:lang w:val="en-GB"/>
        </w:rPr>
      </w:pPr>
      <w:r w:rsidRPr="009C48DA">
        <w:rPr>
          <w:bCs/>
          <w:szCs w:val="20"/>
          <w:lang w:val="en-GB"/>
        </w:rPr>
        <w:t>The Group has a demonstrable and strong track record of successfully acquiring and integrating new businesse</w:t>
      </w:r>
      <w:r w:rsidRPr="009C48DA" w:rsidR="00FF579B">
        <w:rPr>
          <w:bCs/>
          <w:szCs w:val="20"/>
          <w:lang w:val="en-GB"/>
        </w:rPr>
        <w:t>s alongside organic development</w:t>
      </w:r>
      <w:r w:rsidRPr="009C48DA">
        <w:rPr>
          <w:bCs/>
          <w:szCs w:val="20"/>
          <w:lang w:val="en-GB"/>
        </w:rPr>
        <w:t xml:space="preserve"> in both existing verticals. </w:t>
      </w:r>
      <w:r w:rsidRPr="009C48DA">
        <w:rPr>
          <w:szCs w:val="20"/>
          <w:lang w:val="en-GB"/>
        </w:rPr>
        <w:t xml:space="preserve">In 2009, the direct investment platform of Hermes Private Equity was acquired, forming the original base for </w:t>
      </w:r>
      <w:r w:rsidRPr="009C48DA" w:rsidR="00D46607">
        <w:rPr>
          <w:lang w:val="en-GB"/>
        </w:rPr>
        <w:t>Bridgepoint</w:t>
      </w:r>
      <w:r w:rsidRPr="009C48DA" w:rsidR="00D46607">
        <w:rPr>
          <w:szCs w:val="20"/>
          <w:lang w:val="en-GB"/>
        </w:rPr>
        <w:t xml:space="preserve"> </w:t>
      </w:r>
      <w:r w:rsidRPr="009C48DA">
        <w:rPr>
          <w:szCs w:val="20"/>
          <w:lang w:val="en-GB"/>
        </w:rPr>
        <w:t xml:space="preserve">Development Capital. This was followed by the acquisition of the management company for the two Edmond de Rothschild lower middle market funds in France in 2014. More recently, the acquisition of EQT Credit in 2020, which accelerated </w:t>
      </w:r>
      <w:r w:rsidRPr="009C48DA" w:rsidR="00D46607">
        <w:rPr>
          <w:lang w:val="en-GB"/>
        </w:rPr>
        <w:t>Bridgepoint</w:t>
      </w:r>
      <w:r w:rsidRPr="009C48DA" w:rsidR="00D46607">
        <w:rPr>
          <w:szCs w:val="20"/>
          <w:lang w:val="en-GB"/>
        </w:rPr>
        <w:t xml:space="preserve"> </w:t>
      </w:r>
      <w:r w:rsidRPr="009C48DA">
        <w:rPr>
          <w:szCs w:val="20"/>
          <w:lang w:val="en-GB"/>
        </w:rPr>
        <w:t xml:space="preserve">private credit’s organic growth materially, scaled the Group’s private credit franchise across multiple credit strategies, with the business being integrated into </w:t>
      </w:r>
      <w:r w:rsidRPr="009C48DA" w:rsidR="00D46607">
        <w:rPr>
          <w:lang w:val="en-GB"/>
        </w:rPr>
        <w:t>Bridgepoint</w:t>
      </w:r>
      <w:r w:rsidRPr="009C48DA" w:rsidR="00D46607">
        <w:rPr>
          <w:szCs w:val="20"/>
          <w:lang w:val="en-GB"/>
        </w:rPr>
        <w:t xml:space="preserve"> </w:t>
      </w:r>
      <w:r w:rsidRPr="009C48DA">
        <w:rPr>
          <w:szCs w:val="20"/>
          <w:lang w:val="en-GB"/>
        </w:rPr>
        <w:t xml:space="preserve">without any material loss of clients, assets or investment professionals. </w:t>
      </w:r>
    </w:p>
    <w:p w:rsidRPr="009C48DA" w:rsidR="009A6282" w:rsidP="009A6282" w:rsidRDefault="00D46607" w14:paraId="0F6FFE6B" w14:textId="74D7577E">
      <w:pPr>
        <w:pStyle w:val="BodyText2SglJ"/>
        <w:rPr>
          <w:szCs w:val="20"/>
          <w:lang w:val="en-GB"/>
        </w:rPr>
      </w:pPr>
      <w:r w:rsidRPr="009C48DA">
        <w:rPr>
          <w:lang w:val="en-GB"/>
        </w:rPr>
        <w:t>Bridgepoint</w:t>
      </w:r>
      <w:r w:rsidRPr="009C48DA">
        <w:rPr>
          <w:szCs w:val="20"/>
          <w:lang w:val="en-GB"/>
        </w:rPr>
        <w:t xml:space="preserve"> </w:t>
      </w:r>
      <w:r w:rsidRPr="009C48DA" w:rsidR="009A6282">
        <w:rPr>
          <w:szCs w:val="20"/>
          <w:lang w:val="en-GB"/>
        </w:rPr>
        <w:t xml:space="preserve">sees scope for similar acquisitions within other private markets asset classes, with real estate (including real estate debt) or infrastructure holding obvious attractions to </w:t>
      </w:r>
      <w:r w:rsidRPr="009C48DA">
        <w:rPr>
          <w:lang w:val="en-GB"/>
        </w:rPr>
        <w:t>Bridgepoint</w:t>
      </w:r>
      <w:r w:rsidRPr="009C48DA" w:rsidR="009A6282">
        <w:rPr>
          <w:szCs w:val="20"/>
          <w:lang w:val="en-GB"/>
        </w:rPr>
        <w:t xml:space="preserve">, but also other segments where the Group’s well-invested operating platform, capital raising capabilities and reputation as a reliable investor would allow any acquired businesses to more successfully scale their operations than as a standalone entity. The Group aims to build out one of these strategies to become its third </w:t>
      </w:r>
      <w:r w:rsidRPr="009C48DA" w:rsidR="009D2417">
        <w:rPr>
          <w:szCs w:val="20"/>
          <w:lang w:val="en-GB"/>
        </w:rPr>
        <w:t>core</w:t>
      </w:r>
      <w:r w:rsidRPr="009C48DA" w:rsidR="009A6282">
        <w:rPr>
          <w:szCs w:val="20"/>
          <w:lang w:val="en-GB"/>
        </w:rPr>
        <w:t xml:space="preserve"> </w:t>
      </w:r>
      <w:r w:rsidRPr="009C48DA" w:rsidR="009D2417">
        <w:rPr>
          <w:szCs w:val="20"/>
          <w:lang w:val="en-GB"/>
        </w:rPr>
        <w:t>asset class in the medium-term.</w:t>
      </w:r>
    </w:p>
    <w:p w:rsidRPr="009C48DA" w:rsidR="009A6282" w:rsidP="00541287" w:rsidRDefault="009A6282" w14:paraId="5680050B" w14:textId="5906BD96">
      <w:pPr>
        <w:pStyle w:val="BodyText2SglJ"/>
        <w:keepNext/>
        <w:rPr>
          <w:lang w:val="en-GB"/>
        </w:rPr>
      </w:pPr>
      <w:r w:rsidRPr="009C48DA">
        <w:rPr>
          <w:szCs w:val="20"/>
          <w:lang w:val="en-GB"/>
        </w:rPr>
        <w:lastRenderedPageBreak/>
        <w:t xml:space="preserve">When assessing potential opportunities for inorganic growth, </w:t>
      </w:r>
      <w:r w:rsidRPr="009C48DA" w:rsidR="00D46607">
        <w:rPr>
          <w:lang w:val="en-GB"/>
        </w:rPr>
        <w:t>Bridgepoint</w:t>
      </w:r>
      <w:r w:rsidRPr="009C48DA" w:rsidR="00D46607">
        <w:rPr>
          <w:szCs w:val="20"/>
          <w:lang w:val="en-GB"/>
        </w:rPr>
        <w:t xml:space="preserve"> </w:t>
      </w:r>
      <w:r w:rsidRPr="009C48DA">
        <w:rPr>
          <w:szCs w:val="20"/>
          <w:lang w:val="en-GB"/>
        </w:rPr>
        <w:t>works within a structured and consistent framework, as summarised below. This applies the Group’s strong investment discipline and rigor, with a focus on delivering sustainable returns for the Group’s shareholders.</w:t>
      </w:r>
    </w:p>
    <w:p w:rsidRPr="009C48DA" w:rsidR="001C3CEC" w:rsidP="001C3CEC" w:rsidRDefault="001A3FD2" w14:paraId="1A25B369" w14:textId="11CCE635">
      <w:pPr>
        <w:spacing w:before="120" w:line="288" w:lineRule="auto"/>
        <w:jc w:val="center"/>
        <w:rPr>
          <w:rFonts w:cs="Times New Roman"/>
          <w:b/>
          <w:sz w:val="20"/>
          <w:szCs w:val="20"/>
          <w:lang w:val="en-GB"/>
        </w:rPr>
      </w:pPr>
      <w:r w:rsidRPr="00581ED3">
        <w:rPr>
          <w:rFonts w:cs="Times New Roman"/>
          <w:b/>
          <w:noProof/>
          <w:sz w:val="20"/>
          <w:szCs w:val="20"/>
        </w:rPr>
        <w:drawing>
          <wp:inline distT="0" distB="0" distL="0" distR="0" wp14:anchorId="7CA82D08" wp14:editId="5AD48B6F">
            <wp:extent cx="3479292" cy="3479292"/>
            <wp:effectExtent l="0" t="0" r="6985" b="6985"/>
            <wp:docPr id="31" name="Picture 3" descr="" title="">
              <a:extLst xmlns:a="http://schemas.openxmlformats.org/drawingml/2006/main">
                <a:ext uri="{FF2B5EF4-FFF2-40B4-BE49-F238E27FC236}">
                  <a16:creationId xmlns:a16="http://schemas.microsoft.com/office/drawing/2014/main" id="{F12F29AD-15DC-42D5-A64D-8B5C9E98A5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12F29AD-15DC-42D5-A64D-8B5C9E98A5A1}"/>
                        </a:ext>
                      </a:extLst>
                    </pic:cNvPr>
                    <pic:cNvPicPr>
                      <a:picLocks noChangeAspect="1"/>
                    </pic:cNvPicPr>
                  </pic:nvPicPr>
                  <pic:blipFill>
                    <a:blip r:embed="rId48"/>
                    <a:stretch>
                      <a:fillRect/>
                    </a:stretch>
                  </pic:blipFill>
                  <pic:spPr>
                    <a:xfrm>
                      <a:off x="0" y="0"/>
                      <a:ext cx="3479292" cy="3479292"/>
                    </a:xfrm>
                    <a:prstGeom prst="rect">
                      <a:avLst/>
                    </a:prstGeom>
                  </pic:spPr>
                </pic:pic>
              </a:graphicData>
            </a:graphic>
          </wp:inline>
        </w:drawing>
      </w:r>
    </w:p>
    <w:p w:rsidRPr="009C48DA" w:rsidR="001C3CEC" w:rsidP="0038502A" w:rsidRDefault="0038502A" w14:paraId="1809940C" w14:textId="18994A01">
      <w:pPr>
        <w:pStyle w:val="TitleBAllCaps"/>
      </w:pPr>
      <w:r w:rsidRPr="009C48DA">
        <w:t xml:space="preserve">OPERATING </w:t>
      </w:r>
      <w:r w:rsidRPr="009C48DA" w:rsidR="001C3CEC">
        <w:t>platform</w:t>
      </w:r>
    </w:p>
    <w:p w:rsidRPr="009C48DA" w:rsidR="001C3CEC" w:rsidP="0002759F" w:rsidRDefault="001C3CEC" w14:paraId="42814BB4" w14:textId="52445C96">
      <w:pPr>
        <w:pStyle w:val="BodyText2SglJ"/>
        <w:rPr>
          <w:lang w:val="en-GB"/>
        </w:rPr>
      </w:pPr>
      <w:r w:rsidRPr="009C48DA">
        <w:rPr>
          <w:lang w:val="en-GB"/>
        </w:rPr>
        <w:t xml:space="preserve">The Group operates a well-invested platform that supports scaling and integration of new strategies. With 43 investment partners, over 300 permanent FTEs and more than 170 investment professionals as of 31 March 2021, the Directors believe that the Group is well resourced to support the expected growth of </w:t>
      </w:r>
      <w:r w:rsidRPr="009C48DA" w:rsidR="006D5BFE">
        <w:rPr>
          <w:lang w:val="en-GB"/>
        </w:rPr>
        <w:t>Bridgepoint</w:t>
      </w:r>
      <w:r w:rsidRPr="009C48DA">
        <w:rPr>
          <w:lang w:val="en-GB"/>
        </w:rPr>
        <w:t>’s operations going forward. The Group also views investment in talent as critical to success and the delivery of returns for its investors, and has therefore scaled its number of investment p</w:t>
      </w:r>
      <w:r w:rsidRPr="009C48DA" w:rsidR="008F0157">
        <w:rPr>
          <w:lang w:val="en-GB"/>
        </w:rPr>
        <w:t>rofessionals by approximately 15</w:t>
      </w:r>
      <w:r w:rsidRPr="009C48DA">
        <w:rPr>
          <w:lang w:val="en-GB"/>
        </w:rPr>
        <w:t xml:space="preserve">0 per cent </w:t>
      </w:r>
      <w:r w:rsidRPr="009C48DA" w:rsidR="003F6AB3">
        <w:rPr>
          <w:lang w:val="en-GB"/>
        </w:rPr>
        <w:t>from</w:t>
      </w:r>
      <w:r w:rsidRPr="009C48DA">
        <w:rPr>
          <w:lang w:val="en-GB"/>
        </w:rPr>
        <w:t xml:space="preserve"> 31 December 2008 </w:t>
      </w:r>
      <w:r w:rsidRPr="009C48DA" w:rsidR="003F6AB3">
        <w:rPr>
          <w:lang w:val="en-GB"/>
        </w:rPr>
        <w:t>to</w:t>
      </w:r>
      <w:r w:rsidRPr="009C48DA">
        <w:rPr>
          <w:lang w:val="en-GB"/>
        </w:rPr>
        <w:t xml:space="preserve"> 31 March 2021. The development of the Group’s </w:t>
      </w:r>
      <w:r w:rsidRPr="009C48DA" w:rsidR="0068630A">
        <w:rPr>
          <w:lang w:val="en-GB"/>
        </w:rPr>
        <w:t>i</w:t>
      </w:r>
      <w:r w:rsidRPr="009C48DA">
        <w:rPr>
          <w:lang w:val="en-GB"/>
        </w:rPr>
        <w:t>nvestment FTE is set out in the chart below:</w:t>
      </w:r>
    </w:p>
    <w:p w:rsidRPr="009C48DA" w:rsidR="001C3CEC" w:rsidP="001C3CEC" w:rsidRDefault="001A3FD2" w14:paraId="75420CD5" w14:textId="183EC204">
      <w:pPr>
        <w:spacing w:before="120" w:line="288" w:lineRule="auto"/>
        <w:jc w:val="center"/>
        <w:rPr>
          <w:rFonts w:cs="Times New Roman"/>
          <w:sz w:val="20"/>
          <w:szCs w:val="20"/>
          <w:lang w:val="en-GB"/>
        </w:rPr>
      </w:pPr>
      <w:r w:rsidRPr="00581ED3">
        <w:rPr>
          <w:rFonts w:cs="Times New Roman"/>
          <w:noProof/>
          <w:sz w:val="20"/>
          <w:szCs w:val="20"/>
        </w:rPr>
        <w:drawing>
          <wp:inline distT="0" distB="0" distL="0" distR="0" wp14:anchorId="3AA5D5C4" wp14:editId="09C7A6D2">
            <wp:extent cx="5429250" cy="1485995"/>
            <wp:effectExtent l="0" t="0" r="0" b="0"/>
            <wp:docPr id="32" name="Picture 2" descr="" title="">
              <a:extLst xmlns:a="http://schemas.openxmlformats.org/drawingml/2006/main">
                <a:ext uri="{FF2B5EF4-FFF2-40B4-BE49-F238E27FC236}">
                  <a16:creationId xmlns:a16="http://schemas.microsoft.com/office/drawing/2014/main" id="{A634474A-851D-45E4-9C44-0338657F9D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634474A-851D-45E4-9C44-0338657F9D63}"/>
                        </a:ext>
                      </a:extLst>
                    </pic:cNvPr>
                    <pic:cNvPicPr>
                      <a:picLocks noChangeAspect="1"/>
                    </pic:cNvPicPr>
                  </pic:nvPicPr>
                  <pic:blipFill>
                    <a:blip r:embed="rId49"/>
                    <a:stretch>
                      <a:fillRect/>
                    </a:stretch>
                  </pic:blipFill>
                  <pic:spPr>
                    <a:xfrm>
                      <a:off x="0" y="0"/>
                      <a:ext cx="5429250" cy="1485995"/>
                    </a:xfrm>
                    <a:prstGeom prst="rect">
                      <a:avLst/>
                    </a:prstGeom>
                  </pic:spPr>
                </pic:pic>
              </a:graphicData>
            </a:graphic>
          </wp:inline>
        </w:drawing>
      </w:r>
    </w:p>
    <w:p w:rsidRPr="009C48DA" w:rsidR="001C3CEC" w:rsidP="00551D4E" w:rsidRDefault="001C3CEC" w14:paraId="01F33C6C" w14:textId="5FD19AFB">
      <w:pPr>
        <w:pStyle w:val="BlockTextSglJ"/>
        <w:jc w:val="left"/>
        <w:rPr>
          <w:lang w:val="en-GB"/>
        </w:rPr>
      </w:pPr>
      <w:r w:rsidRPr="009C48DA">
        <w:rPr>
          <w:i/>
          <w:lang w:val="en-GB"/>
        </w:rPr>
        <w:t>Note</w:t>
      </w:r>
      <w:r w:rsidRPr="009C48DA">
        <w:rPr>
          <w:lang w:val="en-GB"/>
        </w:rPr>
        <w:t xml:space="preserve">: As of 31 December 2020. </w:t>
      </w:r>
      <w:r w:rsidRPr="009C48DA">
        <w:rPr>
          <w:vertAlign w:val="superscript"/>
          <w:lang w:val="en-GB"/>
        </w:rPr>
        <w:t>1</w:t>
      </w:r>
      <w:r w:rsidRPr="009C48DA">
        <w:rPr>
          <w:lang w:val="en-GB"/>
        </w:rPr>
        <w:t xml:space="preserve"> Excludes support in investment teams; </w:t>
      </w:r>
      <w:r w:rsidRPr="009C48DA">
        <w:rPr>
          <w:vertAlign w:val="superscript"/>
          <w:lang w:val="en-GB"/>
        </w:rPr>
        <w:t>2</w:t>
      </w:r>
      <w:r w:rsidRPr="009C48DA">
        <w:rPr>
          <w:lang w:val="en-GB"/>
        </w:rPr>
        <w:t xml:space="preserve"> Permanent FTEs only; </w:t>
      </w:r>
      <w:r w:rsidRPr="009C48DA">
        <w:rPr>
          <w:vertAlign w:val="superscript"/>
          <w:lang w:val="en-GB"/>
        </w:rPr>
        <w:t>3</w:t>
      </w:r>
      <w:r w:rsidR="00B74D38">
        <w:rPr>
          <w:lang w:val="en-GB"/>
        </w:rPr>
        <w:t> </w:t>
      </w:r>
      <w:r w:rsidRPr="009C48DA">
        <w:rPr>
          <w:lang w:val="en-GB"/>
        </w:rPr>
        <w:t>Includes head office and senior employees / advisory.</w:t>
      </w:r>
      <w:r w:rsidRPr="009C48DA" w:rsidR="00551D4E">
        <w:rPr>
          <w:lang w:val="en-GB"/>
        </w:rPr>
        <w:br/>
      </w:r>
    </w:p>
    <w:p w:rsidRPr="009C48DA" w:rsidR="001C3CEC" w:rsidP="00131DF2" w:rsidRDefault="001C3CEC" w14:paraId="6B61A438" w14:textId="2702DBDC">
      <w:pPr>
        <w:pStyle w:val="BodyText2SglJ"/>
        <w:keepNext/>
        <w:rPr>
          <w:lang w:val="en-GB"/>
        </w:rPr>
      </w:pPr>
      <w:r w:rsidRPr="009C48DA">
        <w:rPr>
          <w:lang w:val="en-GB"/>
        </w:rPr>
        <w:t xml:space="preserve">The Group’s investment professionals are supported by </w:t>
      </w:r>
      <w:r w:rsidRPr="009C48DA" w:rsidR="00727C85">
        <w:rPr>
          <w:lang w:val="en-GB"/>
        </w:rPr>
        <w:t>high-quality</w:t>
      </w:r>
      <w:r w:rsidRPr="009C48DA">
        <w:rPr>
          <w:lang w:val="en-GB"/>
        </w:rPr>
        <w:t xml:space="preserve"> specialist functions </w:t>
      </w:r>
      <w:r w:rsidRPr="009C48DA" w:rsidR="00FD75BF">
        <w:rPr>
          <w:lang w:val="en-GB"/>
        </w:rPr>
        <w:t xml:space="preserve">teams </w:t>
      </w:r>
      <w:r w:rsidRPr="009C48DA">
        <w:rPr>
          <w:lang w:val="en-GB"/>
        </w:rPr>
        <w:t>compris</w:t>
      </w:r>
      <w:r w:rsidRPr="009C48DA" w:rsidR="00FD75BF">
        <w:rPr>
          <w:lang w:val="en-GB"/>
        </w:rPr>
        <w:t>ing</w:t>
      </w:r>
      <w:r w:rsidRPr="009C48DA">
        <w:rPr>
          <w:lang w:val="en-GB"/>
        </w:rPr>
        <w:t xml:space="preserve"> 67 FTEs as of 31 March 2021 across different functions in London, Paris and Luxembourg, providing significant synergies to the wider </w:t>
      </w:r>
      <w:r w:rsidRPr="009C48DA" w:rsidR="00D46607">
        <w:rPr>
          <w:lang w:val="en-GB"/>
        </w:rPr>
        <w:t xml:space="preserve">Bridgepoint </w:t>
      </w:r>
      <w:r w:rsidRPr="009C48DA">
        <w:rPr>
          <w:lang w:val="en-GB"/>
        </w:rPr>
        <w:t xml:space="preserve">team. These teams include various specialist functions, such as finance, fund administration, legal and compliance, tax, HR, IT and marketing and ESG, some of which are uncommon at other middle market asset management firms. The composition of teams </w:t>
      </w:r>
      <w:r w:rsidRPr="009C48DA">
        <w:rPr>
          <w:lang w:val="en-GB"/>
        </w:rPr>
        <w:lastRenderedPageBreak/>
        <w:t xml:space="preserve">across the </w:t>
      </w:r>
      <w:r w:rsidRPr="009C48DA" w:rsidR="00D46607">
        <w:rPr>
          <w:lang w:val="en-GB"/>
        </w:rPr>
        <w:t xml:space="preserve">Bridgepoint </w:t>
      </w:r>
      <w:r w:rsidRPr="009C48DA">
        <w:rPr>
          <w:lang w:val="en-GB"/>
        </w:rPr>
        <w:t>platform, and in particular, the Group’s specialist functions, is set out in the graphic below.</w:t>
      </w:r>
    </w:p>
    <w:p w:rsidRPr="009C48DA" w:rsidR="001C3CEC" w:rsidP="001C3CEC" w:rsidRDefault="001A3FD2" w14:paraId="1BE5DFE6" w14:textId="7814FC7F">
      <w:pPr>
        <w:jc w:val="center"/>
        <w:rPr>
          <w:sz w:val="20"/>
          <w:szCs w:val="20"/>
          <w:lang w:val="en-GB"/>
        </w:rPr>
      </w:pPr>
      <w:r w:rsidRPr="00682065">
        <w:rPr>
          <w:noProof/>
          <w:sz w:val="20"/>
          <w:szCs w:val="20"/>
        </w:rPr>
        <w:drawing>
          <wp:inline distT="0" distB="0" distL="0" distR="0" wp14:anchorId="58278FC4" wp14:editId="43ADB735">
            <wp:extent cx="5429250" cy="2561646"/>
            <wp:effectExtent l="0" t="0" r="0" b="0"/>
            <wp:docPr id="33" name="Picture 3" descr="" title="">
              <a:extLst xmlns:a="http://schemas.openxmlformats.org/drawingml/2006/main">
                <a:ext uri="{FF2B5EF4-FFF2-40B4-BE49-F238E27FC236}">
                  <a16:creationId xmlns:a16="http://schemas.microsoft.com/office/drawing/2014/main" id="{4645BD71-1208-4347-AA5D-BDEF8BC218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645BD71-1208-4347-AA5D-BDEF8BC218EB}"/>
                        </a:ext>
                      </a:extLst>
                    </pic:cNvPr>
                    <pic:cNvPicPr>
                      <a:picLocks noChangeAspect="1"/>
                    </pic:cNvPicPr>
                  </pic:nvPicPr>
                  <pic:blipFill>
                    <a:blip r:embed="rId50"/>
                    <a:stretch>
                      <a:fillRect/>
                    </a:stretch>
                  </pic:blipFill>
                  <pic:spPr>
                    <a:xfrm>
                      <a:off x="0" y="0"/>
                      <a:ext cx="5429250" cy="2561646"/>
                    </a:xfrm>
                    <a:prstGeom prst="rect">
                      <a:avLst/>
                    </a:prstGeom>
                  </pic:spPr>
                </pic:pic>
              </a:graphicData>
            </a:graphic>
          </wp:inline>
        </w:drawing>
      </w:r>
    </w:p>
    <w:p w:rsidRPr="009C48DA" w:rsidR="001C3CEC" w:rsidP="00170C84" w:rsidRDefault="001C3CEC" w14:paraId="5CCB4628" w14:textId="1442A41A">
      <w:pPr>
        <w:pStyle w:val="BlockTextSglJ"/>
        <w:rPr>
          <w:lang w:val="en-GB"/>
        </w:rPr>
      </w:pPr>
      <w:r w:rsidRPr="009C48DA">
        <w:rPr>
          <w:i/>
          <w:lang w:val="en-GB"/>
        </w:rPr>
        <w:t>Note</w:t>
      </w:r>
      <w:r w:rsidRPr="009C48DA">
        <w:rPr>
          <w:lang w:val="en-GB"/>
        </w:rPr>
        <w:t>: As of 31 March 2021.</w:t>
      </w:r>
      <w:r w:rsidRPr="009C48DA" w:rsidR="00FD75BF">
        <w:rPr>
          <w:vertAlign w:val="superscript"/>
          <w:lang w:val="en-GB"/>
        </w:rPr>
        <w:t xml:space="preserve">1 </w:t>
      </w:r>
      <w:r w:rsidRPr="009C48DA" w:rsidR="00FD75BF">
        <w:rPr>
          <w:lang w:val="en-GB"/>
        </w:rPr>
        <w:t>Ten managed IT service desk, specialist cyber security and project FTEs support the core IT team.</w:t>
      </w:r>
    </w:p>
    <w:p w:rsidRPr="009C48DA" w:rsidR="001C3CEC" w:rsidP="00170C84" w:rsidRDefault="001C3CEC" w14:paraId="7D4F50EF" w14:textId="77777777">
      <w:pPr>
        <w:pStyle w:val="TitleB"/>
        <w:rPr>
          <w:lang w:val="en-GB"/>
        </w:rPr>
      </w:pPr>
      <w:r w:rsidRPr="009C48DA">
        <w:rPr>
          <w:lang w:val="en-GB"/>
        </w:rPr>
        <w:t>Investor relations</w:t>
      </w:r>
    </w:p>
    <w:p w:rsidRPr="009C48DA" w:rsidR="001C3CEC" w:rsidP="0002759F" w:rsidRDefault="001C3CEC" w14:paraId="66E0C9F2" w14:textId="143B8827">
      <w:pPr>
        <w:pStyle w:val="BodyText2SglJ"/>
        <w:rPr>
          <w:lang w:val="en-GB"/>
        </w:rPr>
      </w:pPr>
      <w:r w:rsidRPr="009C48DA">
        <w:rPr>
          <w:lang w:val="en-GB"/>
        </w:rPr>
        <w:t xml:space="preserve">The Group has significant dedicated investor services resources to assist with the raising of new funds and to ensure regular communication of developments at the </w:t>
      </w:r>
      <w:r w:rsidRPr="009C48DA" w:rsidR="00D46607">
        <w:rPr>
          <w:lang w:val="en-GB"/>
        </w:rPr>
        <w:t xml:space="preserve">Bridgepoint </w:t>
      </w:r>
      <w:r w:rsidRPr="009C48DA">
        <w:rPr>
          <w:lang w:val="en-GB"/>
        </w:rPr>
        <w:t xml:space="preserve">Funds and their portfolio companies to </w:t>
      </w:r>
      <w:r w:rsidRPr="009C48DA" w:rsidR="00D46607">
        <w:rPr>
          <w:lang w:val="en-GB"/>
        </w:rPr>
        <w:t xml:space="preserve">Bridgepoint </w:t>
      </w:r>
      <w:r w:rsidRPr="009C48DA">
        <w:rPr>
          <w:lang w:val="en-GB"/>
        </w:rPr>
        <w:t>Fund investors. In total, the Group’s investor services team</w:t>
      </w:r>
      <w:r w:rsidRPr="009C48DA" w:rsidR="00C24FAF">
        <w:rPr>
          <w:lang w:val="en-GB"/>
        </w:rPr>
        <w:t>,</w:t>
      </w:r>
      <w:r w:rsidRPr="009C48DA">
        <w:rPr>
          <w:lang w:val="en-GB"/>
        </w:rPr>
        <w:t xml:space="preserve"> as of 31 March 2021</w:t>
      </w:r>
      <w:r w:rsidRPr="009C48DA" w:rsidR="00C24FAF">
        <w:rPr>
          <w:lang w:val="en-GB"/>
        </w:rPr>
        <w:t>,</w:t>
      </w:r>
      <w:r w:rsidRPr="009C48DA">
        <w:rPr>
          <w:lang w:val="en-GB"/>
        </w:rPr>
        <w:t xml:space="preserve"> comprised 22 FTEs based in the UK, France, Spain and North America. The team manages the Group’s long-standing relationships with leading </w:t>
      </w:r>
      <w:r w:rsidRPr="009C48DA" w:rsidR="00D46607">
        <w:rPr>
          <w:lang w:val="en-GB"/>
        </w:rPr>
        <w:t xml:space="preserve">Bridgepoint </w:t>
      </w:r>
      <w:r w:rsidRPr="009C48DA">
        <w:rPr>
          <w:lang w:val="en-GB"/>
        </w:rPr>
        <w:t>Fund investors as well as seek</w:t>
      </w:r>
      <w:r w:rsidRPr="009C48DA" w:rsidR="00B00240">
        <w:rPr>
          <w:lang w:val="en-GB"/>
        </w:rPr>
        <w:t>ing</w:t>
      </w:r>
      <w:r w:rsidRPr="009C48DA">
        <w:rPr>
          <w:lang w:val="en-GB"/>
        </w:rPr>
        <w:t xml:space="preserve"> to develop new relationships with prospective clients. The Group’s investor relations philosophy is centred on the principle of transparency, regular interactions (including outside of fundraising cycles), and </w:t>
      </w:r>
      <w:r w:rsidRPr="009C48DA" w:rsidR="00727C85">
        <w:rPr>
          <w:lang w:val="en-GB"/>
        </w:rPr>
        <w:t>high-quality</w:t>
      </w:r>
      <w:r w:rsidRPr="009C48DA">
        <w:rPr>
          <w:lang w:val="en-GB"/>
        </w:rPr>
        <w:t xml:space="preserve"> and data-rich reporting. Together, these professionals ensure that investors are provided with regular updates through calls, meetings and various forms of written reports which focus on the provision of </w:t>
      </w:r>
      <w:r w:rsidRPr="009C48DA" w:rsidR="00727C85">
        <w:rPr>
          <w:lang w:val="en-GB"/>
        </w:rPr>
        <w:t>high-quality</w:t>
      </w:r>
      <w:r w:rsidRPr="009C48DA">
        <w:rPr>
          <w:lang w:val="en-GB"/>
        </w:rPr>
        <w:t xml:space="preserve"> and timely information and data.</w:t>
      </w:r>
    </w:p>
    <w:p w:rsidRPr="009C48DA" w:rsidR="001C3CEC" w:rsidP="00170C84" w:rsidRDefault="001C3CEC" w14:paraId="58B0431F" w14:textId="77777777">
      <w:pPr>
        <w:pStyle w:val="TitleB"/>
        <w:rPr>
          <w:lang w:val="en-GB"/>
        </w:rPr>
      </w:pPr>
      <w:r w:rsidRPr="009C48DA">
        <w:rPr>
          <w:lang w:val="en-GB"/>
        </w:rPr>
        <w:t>Fund administration</w:t>
      </w:r>
    </w:p>
    <w:p w:rsidRPr="009C48DA" w:rsidR="001C3CEC" w:rsidP="0002759F" w:rsidRDefault="001C3CEC" w14:paraId="7D0BDFEA" w14:textId="76BA47CE">
      <w:pPr>
        <w:pStyle w:val="BodyText2SglJ"/>
        <w:rPr>
          <w:lang w:val="en-GB"/>
        </w:rPr>
      </w:pPr>
      <w:r w:rsidRPr="009C48DA">
        <w:rPr>
          <w:lang w:val="en-GB"/>
        </w:rPr>
        <w:t xml:space="preserve">The Group employs an in-house fund administration team that is responsible for the administration of funds within the three private equity strategies, </w:t>
      </w:r>
      <w:r w:rsidRPr="009C48DA" w:rsidR="00D46607">
        <w:rPr>
          <w:lang w:val="en-GB"/>
        </w:rPr>
        <w:t xml:space="preserve">Bridgepoint </w:t>
      </w:r>
      <w:r w:rsidRPr="009C48DA">
        <w:rPr>
          <w:lang w:val="en-GB"/>
        </w:rPr>
        <w:t xml:space="preserve">Europe, </w:t>
      </w:r>
      <w:r w:rsidRPr="009C48DA" w:rsidR="00D46607">
        <w:rPr>
          <w:lang w:val="en-GB"/>
        </w:rPr>
        <w:t xml:space="preserve">Bridgepoint </w:t>
      </w:r>
      <w:r w:rsidRPr="009C48DA">
        <w:rPr>
          <w:lang w:val="en-GB"/>
        </w:rPr>
        <w:t xml:space="preserve">Development Capital and </w:t>
      </w:r>
      <w:r w:rsidRPr="009C48DA" w:rsidR="00D46607">
        <w:rPr>
          <w:lang w:val="en-GB"/>
        </w:rPr>
        <w:t xml:space="preserve">Bridgepoint </w:t>
      </w:r>
      <w:r w:rsidRPr="009C48DA">
        <w:rPr>
          <w:lang w:val="en-GB"/>
        </w:rPr>
        <w:t>Growth. Based in London</w:t>
      </w:r>
      <w:r w:rsidRPr="009C48DA" w:rsidR="00494016">
        <w:rPr>
          <w:lang w:val="en-GB"/>
        </w:rPr>
        <w:t>, Paris</w:t>
      </w:r>
      <w:r w:rsidRPr="009C48DA">
        <w:rPr>
          <w:lang w:val="en-GB"/>
        </w:rPr>
        <w:t xml:space="preserve"> and</w:t>
      </w:r>
      <w:r w:rsidRPr="009C48DA" w:rsidR="00494016">
        <w:rPr>
          <w:lang w:val="en-GB"/>
        </w:rPr>
        <w:t xml:space="preserve"> Luxembourg, this team</w:t>
      </w:r>
      <w:r w:rsidRPr="009C48DA" w:rsidR="00C24FAF">
        <w:rPr>
          <w:lang w:val="en-GB"/>
        </w:rPr>
        <w:t>,</w:t>
      </w:r>
      <w:r w:rsidRPr="009C48DA" w:rsidR="004F4EDB">
        <w:rPr>
          <w:lang w:val="en-GB"/>
        </w:rPr>
        <w:t xml:space="preserve"> with 17</w:t>
      </w:r>
      <w:r w:rsidRPr="009C48DA">
        <w:rPr>
          <w:lang w:val="en-GB"/>
        </w:rPr>
        <w:t xml:space="preserve"> FTEs as of 31 March 2021</w:t>
      </w:r>
      <w:r w:rsidRPr="009C48DA" w:rsidR="00C24FAF">
        <w:rPr>
          <w:lang w:val="en-GB"/>
        </w:rPr>
        <w:t>,</w:t>
      </w:r>
      <w:r w:rsidRPr="009C48DA">
        <w:rPr>
          <w:lang w:val="en-GB"/>
        </w:rPr>
        <w:t xml:space="preserve"> handles the full scope of fund administration activities, including reporting to investors, drawdowns and distributions. The Group considers the in-house fund administration capabilities for its private equity funds to be a differentiator, enabling the Group to provide a </w:t>
      </w:r>
      <w:r w:rsidRPr="009C48DA" w:rsidR="00727C85">
        <w:rPr>
          <w:lang w:val="en-GB"/>
        </w:rPr>
        <w:t>high-quality</w:t>
      </w:r>
      <w:r w:rsidRPr="009C48DA">
        <w:rPr>
          <w:lang w:val="en-GB"/>
        </w:rPr>
        <w:t xml:space="preserve"> service to investors at no materially higher cost. The Group uses a depository which provides justification for any significant distributions or deposits, providing a useful additional control function and complies with the best practices under the European AIFM Directive.</w:t>
      </w:r>
    </w:p>
    <w:p w:rsidRPr="009C48DA" w:rsidR="001C3CEC" w:rsidP="0002759F" w:rsidRDefault="001C3CEC" w14:paraId="4B9A042D" w14:textId="34E96A12">
      <w:pPr>
        <w:pStyle w:val="BodyText2SglJ"/>
        <w:rPr>
          <w:lang w:val="en-GB"/>
        </w:rPr>
      </w:pPr>
      <w:r w:rsidRPr="009C48DA">
        <w:rPr>
          <w:lang w:val="en-GB"/>
        </w:rPr>
        <w:t xml:space="preserve">By contrast, the nature of the Group’s private credit funds, which are generally characterised by a high volume of transactions, means that fund administration of the </w:t>
      </w:r>
      <w:r w:rsidRPr="009C48DA" w:rsidR="00D46607">
        <w:rPr>
          <w:lang w:val="en-GB"/>
        </w:rPr>
        <w:t xml:space="preserve">Bridgepoint </w:t>
      </w:r>
      <w:r w:rsidRPr="009C48DA">
        <w:rPr>
          <w:lang w:val="en-GB"/>
        </w:rPr>
        <w:t xml:space="preserve">private credit funds is outsourced to Citco. </w:t>
      </w:r>
    </w:p>
    <w:p w:rsidRPr="009C48DA" w:rsidR="001C3CEC" w:rsidP="0002759F" w:rsidRDefault="001C3CEC" w14:paraId="6E9F090A" w14:textId="4C53B835">
      <w:pPr>
        <w:pStyle w:val="BodyText2SglJ"/>
        <w:rPr>
          <w:lang w:val="en-GB"/>
        </w:rPr>
      </w:pPr>
      <w:r w:rsidRPr="009C48DA">
        <w:rPr>
          <w:lang w:val="en-GB"/>
        </w:rPr>
        <w:t xml:space="preserve">The Group uses a monitoring tool which requires all portfolio companies to provide certain key metrics on a monthly basis, which is important for the monitoring and analysis of the </w:t>
      </w:r>
      <w:r w:rsidRPr="009C48DA" w:rsidR="00D46607">
        <w:rPr>
          <w:lang w:val="en-GB"/>
        </w:rPr>
        <w:t xml:space="preserve">Bridgepoint </w:t>
      </w:r>
      <w:r w:rsidRPr="009C48DA">
        <w:rPr>
          <w:lang w:val="en-GB"/>
        </w:rPr>
        <w:t xml:space="preserve">Funds’ investments. This approach also supports and is integrated into the Group’s data strategy, ensuring its data warehouse (explained in further detail below) is regularly updated with consistent and valuable information from portfolio companies. Fund valuations of portfolio companies across all </w:t>
      </w:r>
      <w:r w:rsidRPr="009C48DA" w:rsidR="00D46607">
        <w:rPr>
          <w:lang w:val="en-GB"/>
        </w:rPr>
        <w:t xml:space="preserve">Bridgepoint </w:t>
      </w:r>
      <w:r w:rsidRPr="009C48DA">
        <w:rPr>
          <w:lang w:val="en-GB"/>
        </w:rPr>
        <w:t>Funds are conducted in-house on a quarterly basis and are audited at year end by the Group’s auditor.</w:t>
      </w:r>
    </w:p>
    <w:p w:rsidRPr="009C48DA" w:rsidR="001C3CEC" w:rsidP="00170C84" w:rsidRDefault="001C3CEC" w14:paraId="662AA48A" w14:textId="77777777">
      <w:pPr>
        <w:pStyle w:val="TitleB"/>
        <w:rPr>
          <w:lang w:val="en-GB"/>
        </w:rPr>
      </w:pPr>
      <w:r w:rsidRPr="009C48DA">
        <w:rPr>
          <w:lang w:val="en-GB"/>
        </w:rPr>
        <w:lastRenderedPageBreak/>
        <w:t>Legal, compliance and tax</w:t>
      </w:r>
    </w:p>
    <w:p w:rsidRPr="009C48DA" w:rsidR="001C3CEC" w:rsidP="0002759F" w:rsidRDefault="001C3CEC" w14:paraId="0CF72F28" w14:textId="1805461C">
      <w:pPr>
        <w:pStyle w:val="BodyText2SglJ"/>
        <w:rPr>
          <w:lang w:val="en-GB"/>
        </w:rPr>
      </w:pPr>
      <w:r w:rsidRPr="009C48DA">
        <w:rPr>
          <w:lang w:val="en-GB"/>
        </w:rPr>
        <w:t>The Group has a comprehensive legal and compliance team which is integral to the broader business, providing support in areas including deal team transactional support, fundraising, strategic priorities, carried interest schemes, litigation, human resources, and investor services. As of 31 March 2021, the team comprised</w:t>
      </w:r>
      <w:r w:rsidRPr="009C48DA" w:rsidR="000F302B">
        <w:rPr>
          <w:lang w:val="en-GB"/>
        </w:rPr>
        <w:t xml:space="preserve"> 10 </w:t>
      </w:r>
      <w:r w:rsidRPr="009C48DA">
        <w:rPr>
          <w:lang w:val="en-GB"/>
        </w:rPr>
        <w:t xml:space="preserve">FTEs based in London, supported by a team of </w:t>
      </w:r>
      <w:r w:rsidRPr="009C48DA" w:rsidR="004F4EDB">
        <w:rPr>
          <w:lang w:val="en-GB"/>
        </w:rPr>
        <w:t>three</w:t>
      </w:r>
      <w:r w:rsidRPr="009C48DA">
        <w:rPr>
          <w:lang w:val="en-GB"/>
        </w:rPr>
        <w:t xml:space="preserve"> secondees from external law firms. Additionally, as part of the legal and compliance team</w:t>
      </w:r>
      <w:r w:rsidRPr="009C48DA" w:rsidR="00C24FAF">
        <w:rPr>
          <w:lang w:val="en-GB"/>
        </w:rPr>
        <w:t>,</w:t>
      </w:r>
      <w:r w:rsidRPr="009C48DA">
        <w:rPr>
          <w:lang w:val="en-GB"/>
        </w:rPr>
        <w:t xml:space="preserve"> a further three FTEs were based in the Luxembourg office and two FTEs in the Paris office as of 31 March 2021. Of the entire team, three FTEs were solely dedicated to the compliance functions within </w:t>
      </w:r>
      <w:r w:rsidRPr="009C48DA" w:rsidR="00D46607">
        <w:rPr>
          <w:lang w:val="en-GB"/>
        </w:rPr>
        <w:t xml:space="preserve">Bridgepoint </w:t>
      </w:r>
      <w:r w:rsidRPr="009C48DA">
        <w:rPr>
          <w:lang w:val="en-GB"/>
        </w:rPr>
        <w:t>as of 31 March 2021.</w:t>
      </w:r>
    </w:p>
    <w:p w:rsidRPr="009C48DA" w:rsidR="001C3CEC" w:rsidP="00170C84" w:rsidRDefault="001C3CEC" w14:paraId="01D8D007" w14:textId="77777777">
      <w:pPr>
        <w:pStyle w:val="TitleB"/>
        <w:rPr>
          <w:lang w:val="en-GB"/>
        </w:rPr>
      </w:pPr>
      <w:r w:rsidRPr="009C48DA">
        <w:rPr>
          <w:lang w:val="en-GB"/>
        </w:rPr>
        <w:t>Human Resources (HR)</w:t>
      </w:r>
    </w:p>
    <w:p w:rsidRPr="009C48DA" w:rsidR="001C3CEC" w:rsidP="0002759F" w:rsidRDefault="001C3CEC" w14:paraId="75B13C62" w14:textId="7765176D">
      <w:pPr>
        <w:pStyle w:val="BodyText2SglJ"/>
        <w:rPr>
          <w:lang w:val="en-GB"/>
        </w:rPr>
      </w:pPr>
      <w:r w:rsidRPr="009C48DA">
        <w:rPr>
          <w:lang w:val="en-GB"/>
        </w:rPr>
        <w:t xml:space="preserve">The Group sees the ability to hire, develop and retain talented and experienced employees as critical to its success. As of 31 March 2021, </w:t>
      </w:r>
      <w:r w:rsidRPr="009C48DA" w:rsidR="006D5BFE">
        <w:rPr>
          <w:lang w:val="en-GB"/>
        </w:rPr>
        <w:t>Bridgepoint</w:t>
      </w:r>
      <w:r w:rsidRPr="009C48DA">
        <w:rPr>
          <w:lang w:val="en-GB"/>
        </w:rPr>
        <w:t xml:space="preserve">’s HR team comprised of seven FTEs based in London. Talent within the Group is usually home-grown and successfully supplemented by high-quality senior lateral hires. The Group aims to achieve a high retention rate of its investment professionals. The strength of the Group’s attractiveness to employees is illustrated by an average partner and investment professional tenure of 15 years and eight years </w:t>
      </w:r>
      <w:r w:rsidRPr="009C48DA" w:rsidR="007714CF">
        <w:rPr>
          <w:lang w:val="en-GB"/>
        </w:rPr>
        <w:t xml:space="preserve">respectively, </w:t>
      </w:r>
      <w:r w:rsidRPr="009C48DA">
        <w:rPr>
          <w:lang w:val="en-GB"/>
        </w:rPr>
        <w:t xml:space="preserve">as of 31 March 2021, and </w:t>
      </w:r>
      <w:r w:rsidRPr="009C48DA" w:rsidR="006D5BFE">
        <w:rPr>
          <w:lang w:val="en-GB"/>
        </w:rPr>
        <w:t>Bridgepoint</w:t>
      </w:r>
      <w:r w:rsidRPr="009C48DA">
        <w:rPr>
          <w:lang w:val="en-GB"/>
        </w:rPr>
        <w:t xml:space="preserve">’s low </w:t>
      </w:r>
      <w:r w:rsidRPr="009C48DA" w:rsidR="004355B6">
        <w:rPr>
          <w:lang w:val="en-GB"/>
        </w:rPr>
        <w:t xml:space="preserve">voluntary </w:t>
      </w:r>
      <w:r w:rsidRPr="009C48DA">
        <w:rPr>
          <w:lang w:val="en-GB"/>
        </w:rPr>
        <w:t xml:space="preserve">investment professional turnover, with an </w:t>
      </w:r>
      <w:r w:rsidRPr="009C48DA" w:rsidR="00FA6470">
        <w:rPr>
          <w:lang w:val="en-GB"/>
        </w:rPr>
        <w:t xml:space="preserve">average rate of less than </w:t>
      </w:r>
      <w:r w:rsidRPr="009C48DA" w:rsidR="004355B6">
        <w:rPr>
          <w:lang w:val="en-GB"/>
        </w:rPr>
        <w:t xml:space="preserve">three </w:t>
      </w:r>
      <w:r w:rsidRPr="009C48DA" w:rsidR="00AB1B7F">
        <w:rPr>
          <w:lang w:val="en-GB"/>
        </w:rPr>
        <w:t>per cent</w:t>
      </w:r>
      <w:r w:rsidRPr="009C48DA">
        <w:rPr>
          <w:lang w:val="en-GB"/>
        </w:rPr>
        <w:t xml:space="preserve"> annually </w:t>
      </w:r>
      <w:r w:rsidRPr="009C48DA" w:rsidR="003F6AB3">
        <w:rPr>
          <w:lang w:val="en-GB"/>
        </w:rPr>
        <w:t>from</w:t>
      </w:r>
      <w:r w:rsidRPr="009C48DA">
        <w:rPr>
          <w:lang w:val="en-GB"/>
        </w:rPr>
        <w:t xml:space="preserve"> 2018 </w:t>
      </w:r>
      <w:r w:rsidRPr="009C48DA" w:rsidR="003F6AB3">
        <w:rPr>
          <w:lang w:val="en-GB"/>
        </w:rPr>
        <w:t>to</w:t>
      </w:r>
      <w:r w:rsidRPr="009C48DA">
        <w:rPr>
          <w:lang w:val="en-GB"/>
        </w:rPr>
        <w:t xml:space="preserve"> 2020. To help it to maintain employee satisfaction and drive retention, the Group offers attractive on-the-job learning and development opportunities, pays competitive compensation (cash base payment and carried interest with pay-out in six to 10 years), conducts internal and external employee surveys, and, as an example of its thoughtful policies, it offers the possibility for a paid sabbatical after a certain period of employment with the Group.</w:t>
      </w:r>
    </w:p>
    <w:p w:rsidRPr="009C48DA" w:rsidR="001C3CEC" w:rsidP="0002759F" w:rsidRDefault="006D5BFE" w14:paraId="2B668360" w14:textId="5F6B668F">
      <w:pPr>
        <w:pStyle w:val="BodyText2SglJ"/>
        <w:rPr>
          <w:lang w:val="en-GB"/>
        </w:rPr>
      </w:pPr>
      <w:r w:rsidRPr="009C48DA">
        <w:rPr>
          <w:lang w:val="en-GB"/>
        </w:rPr>
        <w:t>Bridgepoint</w:t>
      </w:r>
      <w:r w:rsidRPr="009C48DA" w:rsidR="001C3CEC">
        <w:rPr>
          <w:lang w:val="en-GB"/>
        </w:rPr>
        <w:t xml:space="preserve">’s compensation philosophy is designed to align the interests of employees with the overall interests of the Group and its fund investors, with a single pool of carried interest across each fund to encourage collaborative working, and with a transparent and collegiate approach to allocation of carried interest between investment professionals. </w:t>
      </w:r>
    </w:p>
    <w:p w:rsidRPr="009C48DA" w:rsidR="001C3CEC" w:rsidP="0002759F" w:rsidRDefault="001C3CEC" w14:paraId="16CAC987" w14:textId="1EC29A40">
      <w:pPr>
        <w:pStyle w:val="BodyText2SglJ"/>
        <w:rPr>
          <w:lang w:val="en-GB"/>
        </w:rPr>
      </w:pPr>
      <w:r w:rsidRPr="009C48DA">
        <w:rPr>
          <w:lang w:val="en-GB"/>
        </w:rPr>
        <w:t>The Group continuously invests in its human capital with internal career development initiatives, such as the “</w:t>
      </w:r>
      <w:r w:rsidRPr="009C48DA" w:rsidR="00D46607">
        <w:rPr>
          <w:lang w:val="en-GB"/>
        </w:rPr>
        <w:t xml:space="preserve">Bridgepoint </w:t>
      </w:r>
      <w:r w:rsidRPr="009C48DA">
        <w:rPr>
          <w:lang w:val="en-GB"/>
        </w:rPr>
        <w:t>Core Training Programme” and appraisal and mentoring systems. The Group’s “</w:t>
      </w:r>
      <w:r w:rsidRPr="009C48DA" w:rsidR="00D46607">
        <w:rPr>
          <w:lang w:val="en-GB"/>
        </w:rPr>
        <w:t xml:space="preserve">Bridgepoint </w:t>
      </w:r>
      <w:r w:rsidRPr="009C48DA">
        <w:rPr>
          <w:lang w:val="en-GB"/>
        </w:rPr>
        <w:t xml:space="preserve">Core Training Programme” offers all </w:t>
      </w:r>
      <w:r w:rsidRPr="009C48DA" w:rsidR="00D46607">
        <w:rPr>
          <w:lang w:val="en-GB"/>
        </w:rPr>
        <w:t xml:space="preserve">Bridgepoint </w:t>
      </w:r>
      <w:r w:rsidRPr="009C48DA">
        <w:rPr>
          <w:lang w:val="en-GB"/>
        </w:rPr>
        <w:t xml:space="preserve">employees the opportunity to develop their personal and professional skills through both internal and external training. As part of an effort to enhance the programme and provide more remote learning opportunities, </w:t>
      </w:r>
      <w:r w:rsidRPr="009C48DA" w:rsidR="00D46607">
        <w:rPr>
          <w:lang w:val="en-GB"/>
        </w:rPr>
        <w:t xml:space="preserve">Bridgepoint </w:t>
      </w:r>
      <w:r w:rsidRPr="009C48DA">
        <w:rPr>
          <w:lang w:val="en-GB"/>
        </w:rPr>
        <w:t>has launched LearningPoint, which is an online training platform where employees have access to a curated library of courses specific to their role to help them develop their technical and non-technical skills. In addition, the “</w:t>
      </w:r>
      <w:r w:rsidRPr="009C48DA" w:rsidR="00D46607">
        <w:rPr>
          <w:lang w:val="en-GB"/>
        </w:rPr>
        <w:t xml:space="preserve">Bridgepoint </w:t>
      </w:r>
      <w:r w:rsidRPr="009C48DA">
        <w:rPr>
          <w:lang w:val="en-GB"/>
        </w:rPr>
        <w:t>International Associate Programme” provides a systematic approach to recruitment, development and retention at the entry associate level.</w:t>
      </w:r>
    </w:p>
    <w:p w:rsidRPr="009C48DA" w:rsidR="001C3CEC" w:rsidP="0002759F" w:rsidRDefault="001C3CEC" w14:paraId="7CA1F6BD" w14:textId="62FD93D1">
      <w:pPr>
        <w:pStyle w:val="BodyText2SglJ"/>
        <w:rPr>
          <w:i/>
          <w:iCs/>
          <w:lang w:val="en-GB"/>
        </w:rPr>
      </w:pPr>
      <w:r w:rsidRPr="009C48DA">
        <w:rPr>
          <w:lang w:val="en-GB"/>
        </w:rPr>
        <w:t xml:space="preserve">Diversity and inclusion represents a core long-term strategic objective for the </w:t>
      </w:r>
      <w:r w:rsidRPr="009C48DA" w:rsidR="006D5BFE">
        <w:rPr>
          <w:lang w:val="en-GB"/>
        </w:rPr>
        <w:t>Bridgepoint</w:t>
      </w:r>
      <w:r w:rsidRPr="009C48DA">
        <w:rPr>
          <w:lang w:val="en-GB"/>
        </w:rPr>
        <w:t xml:space="preserve">’s Group. With its international footprint and employees from more than 35 nationalities and 69 per cent of investment professionals who speak two or more languages, </w:t>
      </w:r>
      <w:r w:rsidRPr="009C48DA" w:rsidR="00D46607">
        <w:rPr>
          <w:lang w:val="en-GB"/>
        </w:rPr>
        <w:t xml:space="preserve">Bridgepoint </w:t>
      </w:r>
      <w:r w:rsidRPr="009C48DA">
        <w:rPr>
          <w:lang w:val="en-GB"/>
        </w:rPr>
        <w:t xml:space="preserve">sees itself as a truly international organisation. Female investment professionals made up more than 25 per cent of the total number of investment professionals as of 31 March 2021, and the Group aims to increase this number further, with more than 50 per cent of new associate hires being women and female promotions accounting to approximately one third of all promotions </w:t>
      </w:r>
      <w:r w:rsidRPr="009C48DA" w:rsidR="003F6AB3">
        <w:rPr>
          <w:lang w:val="en-GB"/>
        </w:rPr>
        <w:t>from</w:t>
      </w:r>
      <w:r w:rsidRPr="009C48DA">
        <w:rPr>
          <w:lang w:val="en-GB"/>
        </w:rPr>
        <w:t xml:space="preserve"> January 2019 </w:t>
      </w:r>
      <w:r w:rsidRPr="009C48DA" w:rsidR="003F6AB3">
        <w:rPr>
          <w:lang w:val="en-GB"/>
        </w:rPr>
        <w:t>to</w:t>
      </w:r>
      <w:r w:rsidRPr="009C48DA">
        <w:rPr>
          <w:lang w:val="en-GB"/>
        </w:rPr>
        <w:t xml:space="preserve"> April 2021. The Group supports all aspects of diversity and inclusion, including through its diversity and inclusion committee, and ongoing initiatives include specific recruitment programmes, the “</w:t>
      </w:r>
      <w:r w:rsidRPr="009C48DA" w:rsidR="00D46607">
        <w:rPr>
          <w:lang w:val="en-GB"/>
        </w:rPr>
        <w:t xml:space="preserve">Bridgepoint </w:t>
      </w:r>
      <w:r w:rsidRPr="009C48DA">
        <w:rPr>
          <w:lang w:val="en-GB"/>
        </w:rPr>
        <w:t>International Associate Programme,” participation in the 100 Black Interns Initiative, partnerships with “Level20,” “Black Women in Asset Management” and “Girls Who Invest” and other well-established initiatives.</w:t>
      </w:r>
    </w:p>
    <w:p w:rsidRPr="009C48DA" w:rsidR="001C3CEC" w:rsidP="00170C84" w:rsidRDefault="001C3CEC" w14:paraId="6C83A16D" w14:textId="77777777">
      <w:pPr>
        <w:pStyle w:val="TitleB"/>
        <w:rPr>
          <w:lang w:val="en-GB"/>
        </w:rPr>
      </w:pPr>
      <w:r w:rsidRPr="009C48DA">
        <w:rPr>
          <w:lang w:val="en-GB"/>
        </w:rPr>
        <w:t xml:space="preserve">Technology </w:t>
      </w:r>
    </w:p>
    <w:p w:rsidRPr="009C48DA" w:rsidR="001C3CEC" w:rsidP="0002759F" w:rsidRDefault="001C3CEC" w14:paraId="10D4BAAD" w14:textId="77777777">
      <w:pPr>
        <w:pStyle w:val="BodyText2SglJ"/>
        <w:rPr>
          <w:lang w:val="en-GB"/>
        </w:rPr>
      </w:pPr>
      <w:bookmarkStart w:name="OLE_LINK2" w:id="579"/>
      <w:r w:rsidRPr="009C48DA">
        <w:rPr>
          <w:lang w:val="en-GB"/>
        </w:rPr>
        <w:t>The Group operates a robust technology and data infrastructure, with a significant team of FTEs and contractor</w:t>
      </w:r>
      <w:bookmarkEnd w:id="579"/>
      <w:r w:rsidRPr="009C48DA">
        <w:rPr>
          <w:lang w:val="en-GB"/>
        </w:rPr>
        <w:t xml:space="preserve">s based across offices in London, Paris and New York as of 31 March 2021. The Group recognises the value of sophisticated technology and a state-of-the-art data infrastructure, both commercially and with regards to security and safeguarding of client data and assets. To this end, the Group has made considerable investment in recent years to transform its technology architecture. The Group’s systems and applications are fully cloud hosted, and the Group has updated its application suite to more </w:t>
      </w:r>
      <w:r w:rsidRPr="009C48DA">
        <w:rPr>
          <w:lang w:val="en-GB"/>
        </w:rPr>
        <w:lastRenderedPageBreak/>
        <w:t xml:space="preserve">modern and flexible offerings. The flexibility and resilience of the Group’s systems has been demonstrated by the lack of disruption experienced during the COVID-19 pandemic, with the Group’s employees moving to a full-time remote working model with no material technology issues. </w:t>
      </w:r>
    </w:p>
    <w:p w:rsidRPr="009C48DA" w:rsidR="001C3CEC" w:rsidP="0002759F" w:rsidRDefault="001C3CEC" w14:paraId="4C0A3DDD" w14:textId="5B4E6667">
      <w:pPr>
        <w:pStyle w:val="BodyText2SglJ"/>
        <w:rPr>
          <w:lang w:val="en-GB"/>
        </w:rPr>
      </w:pPr>
      <w:r w:rsidRPr="009C48DA">
        <w:rPr>
          <w:lang w:val="en-GB"/>
        </w:rPr>
        <w:t>With respect to data and cyber</w:t>
      </w:r>
      <w:r w:rsidRPr="009C48DA">
        <w:rPr>
          <w:lang w:val="en-GB"/>
        </w:rPr>
        <w:noBreakHyphen/>
        <w:t>security, the Group utilises a number of systems and applications that are focused on threat detection and response</w:t>
      </w:r>
      <w:r w:rsidRPr="009C48DA" w:rsidR="000D1922">
        <w:rPr>
          <w:lang w:val="en-GB"/>
        </w:rPr>
        <w:t xml:space="preserve">, </w:t>
      </w:r>
      <w:r w:rsidRPr="009C48DA">
        <w:rPr>
          <w:lang w:val="en-GB"/>
        </w:rPr>
        <w:t xml:space="preserve">as well as constant data monitoring and the use of artificial intelligence to detect unexpected movements in data. The Group also employs a full-time analyst focused on cyber-security. As of the date of this </w:t>
      </w:r>
      <w:r w:rsidRPr="009C48DA" w:rsidR="00A977CF">
        <w:rPr>
          <w:lang w:val="en-GB"/>
        </w:rPr>
        <w:t>Registration Document</w:t>
      </w:r>
      <w:r w:rsidRPr="009C48DA">
        <w:rPr>
          <w:lang w:val="en-GB"/>
        </w:rPr>
        <w:t>, these measures have succeeded in preventing any third party breach of the Group’s systems or data. From a commercial perspective, the Group makes use of a range of applications across its investment, finance and human resources functions, such as CRM Software, eFront, Dynamo, as well as a portfolio monitoring tool which facilitates enhanced monitoring of portfolio companies on a monthly basis.</w:t>
      </w:r>
    </w:p>
    <w:p w:rsidRPr="009C48DA" w:rsidR="001C3CEC" w:rsidP="00170C84" w:rsidRDefault="001C3CEC" w14:paraId="3FF417E9" w14:textId="77777777">
      <w:pPr>
        <w:pStyle w:val="TitleB"/>
        <w:rPr>
          <w:lang w:val="en-GB"/>
        </w:rPr>
      </w:pPr>
      <w:r w:rsidRPr="009C48DA">
        <w:rPr>
          <w:lang w:val="en-GB"/>
        </w:rPr>
        <w:t>Data</w:t>
      </w:r>
    </w:p>
    <w:p w:rsidRPr="009C48DA" w:rsidR="001C3CEC" w:rsidP="0002759F" w:rsidRDefault="00D46607" w14:paraId="12460A35" w14:textId="609B54D3">
      <w:pPr>
        <w:pStyle w:val="BodyText2SglJ"/>
        <w:rPr>
          <w:lang w:val="en-GB"/>
        </w:rPr>
      </w:pPr>
      <w:r w:rsidRPr="009C48DA">
        <w:rPr>
          <w:lang w:val="en-GB"/>
        </w:rPr>
        <w:t xml:space="preserve">Bridgepoint </w:t>
      </w:r>
      <w:r w:rsidRPr="009C48DA" w:rsidR="001C3CEC">
        <w:rPr>
          <w:lang w:val="en-GB"/>
        </w:rPr>
        <w:t xml:space="preserve">has a significant data warehouse and aims to maximise the competitive advantage provided by its deep data sets of historic and current portfolio performance information to drive proprietary decision support for the investment process as well as to enhance risk management and origination. In recent years, the Group has therefore invested significantly in data analytics to utilise the insights that have been generated by </w:t>
      </w:r>
      <w:r w:rsidRPr="009C48DA">
        <w:rPr>
          <w:lang w:val="en-GB"/>
        </w:rPr>
        <w:t xml:space="preserve">Bridgepoint </w:t>
      </w:r>
      <w:r w:rsidRPr="009C48DA" w:rsidR="001C3CEC">
        <w:rPr>
          <w:lang w:val="en-GB"/>
        </w:rPr>
        <w:t>during more than 35 years of experience as an investment manager, and portfolio trading data since the early 2000’s.</w:t>
      </w:r>
    </w:p>
    <w:p w:rsidRPr="009C48DA" w:rsidR="001C3CEC" w:rsidP="0002759F" w:rsidRDefault="001C3CEC" w14:paraId="24024E73" w14:textId="62743CB3">
      <w:pPr>
        <w:pStyle w:val="BodyText2SglJ"/>
        <w:rPr>
          <w:lang w:val="en-GB"/>
        </w:rPr>
      </w:pPr>
      <w:r w:rsidRPr="009C48DA">
        <w:rPr>
          <w:lang w:val="en-GB"/>
        </w:rPr>
        <w:t xml:space="preserve">Most significantly, a team of three FTEs </w:t>
      </w:r>
      <w:r w:rsidRPr="009C48DA" w:rsidR="001C61FE">
        <w:rPr>
          <w:lang w:val="en-GB"/>
        </w:rPr>
        <w:t xml:space="preserve">is </w:t>
      </w:r>
      <w:r w:rsidRPr="009C48DA">
        <w:rPr>
          <w:lang w:val="en-GB"/>
        </w:rPr>
        <w:t xml:space="preserve">currently focused on development with a Head of Data and Applications expected to join in August 2021 to further bolster the team, supported by external resources where required, and has developed an extensive data warehouse. The data warehouse combines performance information from a data set of more than 400 completed investments of the </w:t>
      </w:r>
      <w:r w:rsidRPr="009C48DA" w:rsidR="00D46607">
        <w:rPr>
          <w:lang w:val="en-GB"/>
        </w:rPr>
        <w:t xml:space="preserve">Bridgepoint </w:t>
      </w:r>
      <w:r w:rsidRPr="009C48DA">
        <w:rPr>
          <w:lang w:val="en-GB"/>
        </w:rPr>
        <w:t>Funds as of 31 March 2021, a portfolio reporting solution that contains monthly financials for all current investments, a funds administration system that captures investment performance and valuations, CRM systems for origination and investment opportunities as well as relevant external data.</w:t>
      </w:r>
    </w:p>
    <w:p w:rsidRPr="009C48DA" w:rsidR="001C3CEC" w:rsidP="001C3CEC" w:rsidRDefault="001A3FD2" w14:paraId="0788584A" w14:textId="1E9B1C58">
      <w:pPr>
        <w:spacing w:before="120" w:line="288" w:lineRule="auto"/>
        <w:jc w:val="center"/>
        <w:rPr>
          <w:rFonts w:cs="Times New Roman"/>
          <w:sz w:val="20"/>
          <w:szCs w:val="20"/>
          <w:lang w:val="en-GB"/>
        </w:rPr>
      </w:pPr>
      <w:r w:rsidRPr="009C48DA">
        <w:rPr>
          <w:noProof/>
          <w:sz w:val="20"/>
          <w:szCs w:val="20"/>
        </w:rPr>
        <w:drawing>
          <wp:inline distT="0" distB="0" distL="0" distR="0" wp14:anchorId="3F9B23C0" wp14:editId="3DB7570A">
            <wp:extent cx="4046492" cy="3183038"/>
            <wp:effectExtent l="0" t="0" r="0" b="0"/>
            <wp:docPr id="110" name="Picture 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72153" cy="3203224"/>
                    </a:xfrm>
                    <a:prstGeom prst="rect">
                      <a:avLst/>
                    </a:prstGeom>
                    <a:noFill/>
                    <a:ln>
                      <a:noFill/>
                    </a:ln>
                  </pic:spPr>
                </pic:pic>
              </a:graphicData>
            </a:graphic>
          </wp:inline>
        </w:drawing>
      </w:r>
    </w:p>
    <w:p w:rsidRPr="009C48DA" w:rsidR="00131DF2" w:rsidP="001C3CEC" w:rsidRDefault="00131DF2" w14:paraId="3CE633E5" w14:textId="77777777">
      <w:pPr>
        <w:spacing w:before="120" w:line="288" w:lineRule="auto"/>
        <w:jc w:val="center"/>
        <w:rPr>
          <w:rFonts w:cs="Times New Roman"/>
          <w:sz w:val="20"/>
          <w:szCs w:val="20"/>
          <w:lang w:val="en-GB"/>
        </w:rPr>
      </w:pPr>
    </w:p>
    <w:p w:rsidRPr="009C48DA" w:rsidR="001C3CEC" w:rsidP="0002759F" w:rsidRDefault="001C3CEC" w14:paraId="354FFA23" w14:textId="64967CFC">
      <w:pPr>
        <w:pStyle w:val="BodyText2SglJ"/>
        <w:rPr>
          <w:lang w:val="en-GB"/>
        </w:rPr>
      </w:pPr>
      <w:r w:rsidRPr="009C48DA">
        <w:rPr>
          <w:lang w:val="en-GB"/>
        </w:rPr>
        <w:t xml:space="preserve">Since the beginning of 2021, the data warehouse has also been used to prepare custom reports for </w:t>
      </w:r>
      <w:r w:rsidRPr="009C48DA" w:rsidR="006D5BFE">
        <w:rPr>
          <w:lang w:val="en-GB"/>
        </w:rPr>
        <w:t>Bridgepoint</w:t>
      </w:r>
      <w:r w:rsidRPr="009C48DA">
        <w:rPr>
          <w:lang w:val="en-GB"/>
        </w:rPr>
        <w:t xml:space="preserve">’s Investment Advisory Committees that provide quantitative insights and analysis in relation to each potential investment. The reports benchmark and forecast expected performance and returns based on </w:t>
      </w:r>
      <w:r w:rsidRPr="009C48DA" w:rsidR="006D5BFE">
        <w:rPr>
          <w:lang w:val="en-GB"/>
        </w:rPr>
        <w:t>Bridgepoint</w:t>
      </w:r>
      <w:r w:rsidRPr="009C48DA">
        <w:rPr>
          <w:lang w:val="en-GB"/>
        </w:rPr>
        <w:t>’s comprehensive data from past investments and experience with similar situations, supporting the investment decision, portfolio construction and risk management through information on asset</w:t>
      </w:r>
      <w:r w:rsidRPr="009C48DA">
        <w:rPr>
          <w:lang w:val="en-GB"/>
        </w:rPr>
        <w:noBreakHyphen/>
        <w:t xml:space="preserve">specific investment performance, financial history and components of value creation. These reports have proven important in making more informed and proprietary investment decisions and, whilst as of the </w:t>
      </w:r>
      <w:r w:rsidRPr="009C48DA">
        <w:rPr>
          <w:lang w:val="en-GB"/>
        </w:rPr>
        <w:lastRenderedPageBreak/>
        <w:t xml:space="preserve">date of this </w:t>
      </w:r>
      <w:r w:rsidRPr="009C48DA" w:rsidR="00A977CF">
        <w:rPr>
          <w:lang w:val="en-GB"/>
        </w:rPr>
        <w:t xml:space="preserve">Registration Document </w:t>
      </w:r>
      <w:r w:rsidRPr="009C48DA">
        <w:rPr>
          <w:lang w:val="en-GB"/>
        </w:rPr>
        <w:t xml:space="preserve">they are only used within the </w:t>
      </w:r>
      <w:r w:rsidRPr="009C48DA" w:rsidR="00D46607">
        <w:rPr>
          <w:lang w:val="en-GB"/>
        </w:rPr>
        <w:t xml:space="preserve">Bridgepoint </w:t>
      </w:r>
      <w:r w:rsidRPr="009C48DA">
        <w:rPr>
          <w:lang w:val="en-GB"/>
        </w:rPr>
        <w:t xml:space="preserve">Europe </w:t>
      </w:r>
      <w:r w:rsidRPr="009C48DA" w:rsidR="00EE3C99">
        <w:rPr>
          <w:lang w:val="en-GB"/>
        </w:rPr>
        <w:t>f</w:t>
      </w:r>
      <w:r w:rsidRPr="009C48DA">
        <w:rPr>
          <w:lang w:val="en-GB"/>
        </w:rPr>
        <w:t>unds, the Group is in the process of rolling out their use across all strategies.</w:t>
      </w:r>
    </w:p>
    <w:p w:rsidRPr="009C48DA" w:rsidR="001C3CEC" w:rsidP="0002759F" w:rsidRDefault="001C3CEC" w14:paraId="1B8D7286" w14:textId="3045A974">
      <w:pPr>
        <w:pStyle w:val="BodyText2SglJ"/>
        <w:rPr>
          <w:lang w:val="en-GB"/>
        </w:rPr>
      </w:pPr>
      <w:r w:rsidRPr="009C48DA">
        <w:rPr>
          <w:lang w:val="en-GB"/>
        </w:rPr>
        <w:t>In addition, the data warehouse provides substantial benefits for internal reporting and investor updates. Significantly, the central warehousing and structuring of data in the data warehouse also provides the foundation for using the data already earlier in the investment process (</w:t>
      </w:r>
      <w:r w:rsidRPr="009C48DA" w:rsidR="00AD15E0">
        <w:rPr>
          <w:lang w:val="en-GB"/>
        </w:rPr>
        <w:t>for example</w:t>
      </w:r>
      <w:r w:rsidRPr="009C48DA">
        <w:rPr>
          <w:lang w:val="en-GB"/>
        </w:rPr>
        <w:t>, for deal origination) and for exploring more advanced solutions, such as advanced analytics and machine learning.</w:t>
      </w:r>
    </w:p>
    <w:p w:rsidRPr="009C48DA" w:rsidR="006D6A27" w:rsidP="00E41D5E" w:rsidRDefault="006D6A27" w14:paraId="16C363C5" w14:textId="77777777">
      <w:pPr>
        <w:pStyle w:val="BlockTextSglJ"/>
        <w:jc w:val="left"/>
        <w:rPr>
          <w:lang w:val="en-GB"/>
        </w:rPr>
      </w:pPr>
      <w:r w:rsidRPr="009C48DA">
        <w:rPr>
          <w:b/>
          <w:color w:val="000000"/>
          <w:lang w:val="en-GB"/>
        </w:rPr>
        <w:br w:type="page"/>
      </w:r>
    </w:p>
    <w:p w:rsidRPr="009C48DA" w:rsidR="006D6A27" w:rsidP="00552B07" w:rsidRDefault="00552B07" w14:paraId="1437AE8A" w14:textId="6CA28F34">
      <w:pPr>
        <w:pStyle w:val="Heading1"/>
        <w:rPr>
          <w:lang w:val="en-GB"/>
        </w:rPr>
      </w:pPr>
      <w:bookmarkStart w:name="_Ref72934826" w:id="580"/>
      <w:bookmarkStart w:name="_Ref72934903" w:id="581"/>
      <w:bookmarkStart w:name="_Ref72934908" w:id="582"/>
      <w:bookmarkStart w:name="_Ref75192005" w:id="583"/>
      <w:r w:rsidRPr="009C48DA">
        <w:rPr>
          <w:lang w:val="en-GB"/>
        </w:rPr>
        <w:lastRenderedPageBreak/>
        <w:br/>
      </w:r>
      <w:r w:rsidRPr="009C48DA">
        <w:rPr>
          <w:lang w:val="en-GB"/>
        </w:rPr>
        <w:br/>
      </w:r>
      <w:bookmarkStart w:name="_Ref75192095" w:id="584"/>
      <w:bookmarkStart w:name="_Ref71146307" w:id="585"/>
      <w:bookmarkStart w:name="_Ref71146409" w:id="586"/>
      <w:bookmarkStart w:name="_Ref71146503" w:id="587"/>
      <w:bookmarkStart w:name="_Toc71147107" w:id="588"/>
      <w:bookmarkStart w:name="_Toc71147147" w:id="589"/>
      <w:bookmarkStart w:name="_Toc71147161" w:id="590"/>
      <w:bookmarkStart w:name="_Toc71167147" w:id="591"/>
      <w:bookmarkStart w:name="_Toc71187616" w:id="592"/>
      <w:bookmarkStart w:name="_Toc71188678" w:id="593"/>
      <w:bookmarkStart w:name="_Toc75831924" w:id="594"/>
      <w:r w:rsidRPr="009C48DA" w:rsidR="00F172AB">
        <w:rPr>
          <w:lang w:val="en-GB"/>
        </w:rPr>
        <w:t>Regulatory Overview</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rsidRPr="009C48DA" w:rsidR="005F2A4B" w:rsidP="00552B07" w:rsidRDefault="005F2A4B" w14:paraId="5566BB9A" w14:textId="3B42654B">
      <w:pPr>
        <w:pStyle w:val="BlockTextSglJ"/>
        <w:ind w:firstLine="720"/>
        <w:rPr>
          <w:rFonts w:eastAsia="Calibri" w:cs="Arial"/>
          <w:i/>
          <w:lang w:val="en-GB"/>
        </w:rPr>
      </w:pPr>
      <w:r w:rsidRPr="009C48DA">
        <w:rPr>
          <w:rFonts w:eastAsia="Calibri" w:cs="Arial"/>
          <w:i/>
          <w:lang w:val="en-GB"/>
        </w:rPr>
        <w:t>This section provides a regulatory overview for the Group that describes the requisite approvals and licenses held by the Group for its operations as well as certain regulatory considerations with particular relevance for the Group in selected key jurisdictions. This section does not capture all regulatory requirements in all jurisdictions in which the Group conducts its operations. For a description of additional regulations and regulatory requirements that are applicable to the Group, or may become applicable over time, and the risks associated therewith, please refer to “Legal, Regulatory and Governance Risks”</w:t>
      </w:r>
      <w:r w:rsidR="00CF56DC">
        <w:rPr>
          <w:rFonts w:eastAsia="Calibri" w:cs="Arial"/>
          <w:i/>
          <w:lang w:val="en-GB"/>
        </w:rPr>
        <w:t xml:space="preserve"> </w:t>
      </w:r>
      <w:r w:rsidR="00CF56DC">
        <w:rPr>
          <w:rFonts w:eastAsia="Calibri" w:cs="Arial"/>
          <w:i/>
          <w:lang w:val="en-GB"/>
        </w:rPr>
        <w:br/>
      </w:r>
      <w:r w:rsidRPr="009C48DA">
        <w:rPr>
          <w:rFonts w:eastAsia="Calibri" w:cs="Arial"/>
          <w:i/>
          <w:lang w:val="en-GB"/>
        </w:rPr>
        <w:t xml:space="preserve">in </w:t>
      </w:r>
      <w:r w:rsidRPr="009C48DA" w:rsidR="0086568D">
        <w:rPr>
          <w:i/>
          <w:lang w:val="en-GB"/>
        </w:rPr>
      </w:r>
      <w:r w:rsidR="007C3D19">
        <w:rPr>
          <w:i/>
          <w:lang w:val="en-GB"/>
        </w:rPr>
        <w:t>Part I</w:t>
      </w:r>
      <w:r w:rsidRPr="009C48DA" w:rsidR="0086568D">
        <w:rPr>
          <w:i/>
          <w:lang w:val="en-GB"/>
        </w:rPr>
        <w:t xml:space="preserve"> (</w:t>
      </w:r>
      <w:r w:rsidRPr="009C48DA" w:rsidR="00552B07">
        <w:rPr>
          <w:i/>
          <w:lang w:val="en-GB"/>
        </w:rPr>
        <w:fldChar w:fldCharType="begin"/>
      </w:r>
      <w:r w:rsidRPr="009C48DA" w:rsidR="00552B07">
        <w:rPr>
          <w:i/>
          <w:lang w:val="en-GB"/>
        </w:rPr>
        <w:instrText xml:space="preserve"> REF _Ref75190583 \h  \* MERGEFORMAT </w:instrText>
      </w:r>
      <w:r w:rsidRPr="009C48DA" w:rsidR="00552B07">
        <w:rPr>
          <w:i/>
          <w:lang w:val="en-GB"/>
        </w:rPr>
      </w:r>
      <w:r w:rsidRPr="009C48DA" w:rsidR="00552B07">
        <w:rPr>
          <w:i/>
          <w:lang w:val="en-GB"/>
        </w:rPr>
        <w:fldChar w:fldCharType="separate"/>
      </w:r>
      <w:r w:rsidRPr="007C3D19" w:rsidR="007C3D19">
        <w:rPr>
          <w:i/>
          <w:lang w:val="en-GB"/>
        </w:rPr>
        <w:t>Risk Factors</w:t>
      </w:r>
      <w:r w:rsidRPr="009C48DA" w:rsidR="00552B07">
        <w:rPr>
          <w:i/>
          <w:lang w:val="en-GB"/>
        </w:rPr>
        <w:fldChar w:fldCharType="end"/>
      </w:r>
      <w:r w:rsidRPr="009C48DA" w:rsidR="0086568D">
        <w:rPr>
          <w:i/>
          <w:lang w:val="en-GB"/>
        </w:rPr>
        <w:t>)</w:t>
      </w:r>
      <w:r w:rsidRPr="009C48DA" w:rsidR="0086568D">
        <w:rPr>
          <w:lang w:val="en-GB"/>
        </w:rPr>
        <w:t xml:space="preserve"> </w:t>
      </w:r>
      <w:r w:rsidRPr="009C48DA">
        <w:rPr>
          <w:rFonts w:eastAsia="Calibri" w:cs="Arial"/>
          <w:i/>
          <w:lang w:val="en-GB"/>
        </w:rPr>
        <w:t>of this document.</w:t>
      </w:r>
    </w:p>
    <w:p w:rsidRPr="009C48DA" w:rsidR="003F7555" w:rsidP="003F7555" w:rsidRDefault="003F7555" w14:paraId="0EC29CED" w14:textId="6FA6665F">
      <w:pPr>
        <w:pStyle w:val="TitleBAllCaps"/>
      </w:pPr>
      <w:r w:rsidRPr="009C48DA">
        <w:t>United Kingdom</w:t>
      </w:r>
    </w:p>
    <w:p w:rsidRPr="009C48DA" w:rsidR="00A503E4" w:rsidP="000C376E" w:rsidRDefault="00A503E4" w14:paraId="51927850" w14:textId="03992811">
      <w:pPr>
        <w:pStyle w:val="TitleB"/>
        <w:rPr>
          <w:i/>
          <w:lang w:val="en-GB"/>
        </w:rPr>
      </w:pPr>
      <w:r w:rsidRPr="009C48DA">
        <w:rPr>
          <w:lang w:val="en-GB"/>
        </w:rPr>
        <w:t>Appli</w:t>
      </w:r>
      <w:r w:rsidRPr="009C48DA" w:rsidR="0036034E">
        <w:rPr>
          <w:lang w:val="en-GB"/>
        </w:rPr>
        <w:t xml:space="preserve">cable Regulatory Framework for </w:t>
      </w:r>
      <w:r w:rsidRPr="009C48DA" w:rsidR="00D46607">
        <w:rPr>
          <w:lang w:val="en-GB"/>
        </w:rPr>
        <w:t xml:space="preserve">Bridgepoint </w:t>
      </w:r>
      <w:r w:rsidRPr="009C48DA">
        <w:rPr>
          <w:lang w:val="en-GB"/>
        </w:rPr>
        <w:t>Entities</w:t>
      </w:r>
    </w:p>
    <w:p w:rsidRPr="009C48DA" w:rsidR="00A503E4" w:rsidP="00A503E4" w:rsidRDefault="00D46607" w14:paraId="7B1E812E" w14:textId="5EE2B721">
      <w:pPr>
        <w:pStyle w:val="BlockTextSglJ"/>
        <w:ind w:firstLine="720"/>
        <w:rPr>
          <w:rFonts w:cs="Times New Roman"/>
          <w:szCs w:val="20"/>
          <w:lang w:val="en-GB"/>
        </w:rPr>
      </w:pPr>
      <w:r w:rsidRPr="009C48DA">
        <w:rPr>
          <w:lang w:val="en-GB"/>
        </w:rPr>
        <w:t>Bridgepoint</w:t>
      </w:r>
      <w:r w:rsidRPr="009C48DA">
        <w:rPr>
          <w:rFonts w:cs="Times New Roman"/>
          <w:szCs w:val="20"/>
          <w:lang w:val="en-GB"/>
        </w:rPr>
        <w:t xml:space="preserve"> </w:t>
      </w:r>
      <w:r w:rsidRPr="009C48DA" w:rsidR="00A503E4">
        <w:rPr>
          <w:rFonts w:cs="Times New Roman"/>
          <w:szCs w:val="20"/>
          <w:lang w:val="en-GB"/>
        </w:rPr>
        <w:t>Advisers Limited (“</w:t>
      </w:r>
      <w:r w:rsidRPr="009C48DA" w:rsidR="00A503E4">
        <w:rPr>
          <w:rFonts w:cs="Times New Roman"/>
          <w:b/>
          <w:szCs w:val="20"/>
          <w:lang w:val="en-GB"/>
        </w:rPr>
        <w:t>BAL</w:t>
      </w:r>
      <w:r w:rsidRPr="009C48DA" w:rsidR="00A503E4">
        <w:rPr>
          <w:rFonts w:cs="Times New Roman"/>
          <w:szCs w:val="20"/>
          <w:lang w:val="en-GB"/>
        </w:rPr>
        <w:t>”) manages funds which constitute alternative investment funds (“</w:t>
      </w:r>
      <w:r w:rsidRPr="009C48DA" w:rsidR="00A503E4">
        <w:rPr>
          <w:rFonts w:cs="Times New Roman"/>
          <w:b/>
          <w:szCs w:val="20"/>
          <w:lang w:val="en-GB"/>
        </w:rPr>
        <w:t>AIFs</w:t>
      </w:r>
      <w:r w:rsidRPr="009C48DA" w:rsidR="00A503E4">
        <w:rPr>
          <w:rFonts w:cs="Times New Roman"/>
          <w:szCs w:val="20"/>
          <w:lang w:val="en-GB"/>
        </w:rPr>
        <w:t>”) pursuant to Directive 2011/61/EU on Alternative Investment Fund Managers, as implemented in the UK (“</w:t>
      </w:r>
      <w:r w:rsidRPr="009C48DA" w:rsidR="00A503E4">
        <w:rPr>
          <w:rFonts w:cs="Times New Roman"/>
          <w:b/>
          <w:szCs w:val="20"/>
          <w:lang w:val="en-GB"/>
        </w:rPr>
        <w:t>UK AIFMD</w:t>
      </w:r>
      <w:r w:rsidRPr="009C48DA" w:rsidR="00A503E4">
        <w:rPr>
          <w:rFonts w:cs="Times New Roman"/>
          <w:szCs w:val="20"/>
          <w:lang w:val="en-GB"/>
        </w:rPr>
        <w:t>”</w:t>
      </w:r>
      <w:r w:rsidRPr="009C48DA" w:rsidR="00805D67">
        <w:rPr>
          <w:rFonts w:cs="Times New Roman"/>
          <w:szCs w:val="20"/>
          <w:lang w:val="en-GB"/>
        </w:rPr>
        <w:t xml:space="preserve">). </w:t>
      </w:r>
      <w:r w:rsidRPr="009C48DA" w:rsidR="0036034E">
        <w:rPr>
          <w:rFonts w:cs="Times New Roman"/>
          <w:szCs w:val="20"/>
          <w:lang w:val="en-GB"/>
        </w:rPr>
        <w:t xml:space="preserve">Similarly, </w:t>
      </w:r>
      <w:r w:rsidRPr="009C48DA">
        <w:rPr>
          <w:lang w:val="en-GB"/>
        </w:rPr>
        <w:t>Bridgepoint</w:t>
      </w:r>
      <w:r w:rsidRPr="009C48DA">
        <w:rPr>
          <w:rFonts w:cs="Times New Roman"/>
          <w:szCs w:val="20"/>
          <w:lang w:val="en-GB"/>
        </w:rPr>
        <w:t xml:space="preserve"> </w:t>
      </w:r>
      <w:r w:rsidRPr="009C48DA" w:rsidR="00A503E4">
        <w:rPr>
          <w:rFonts w:cs="Times New Roman"/>
          <w:szCs w:val="20"/>
          <w:lang w:val="en-GB"/>
        </w:rPr>
        <w:t>Advisers II Limited (“</w:t>
      </w:r>
      <w:r w:rsidRPr="009C48DA" w:rsidR="00A503E4">
        <w:rPr>
          <w:rFonts w:cs="Times New Roman"/>
          <w:b/>
          <w:szCs w:val="20"/>
          <w:lang w:val="en-GB"/>
        </w:rPr>
        <w:t>BA II</w:t>
      </w:r>
      <w:r w:rsidRPr="009C48DA" w:rsidR="00A503E4">
        <w:rPr>
          <w:rFonts w:cs="Times New Roman"/>
          <w:szCs w:val="20"/>
          <w:lang w:val="en-GB"/>
        </w:rPr>
        <w:t xml:space="preserve">”) and BCL manage funds constituting UK-based AIFs. </w:t>
      </w:r>
    </w:p>
    <w:p w:rsidRPr="009C48DA" w:rsidR="00A503E4" w:rsidP="00A503E4" w:rsidRDefault="00A503E4" w14:paraId="5C4EC608" w14:textId="40F94583">
      <w:pPr>
        <w:pStyle w:val="BlockTextSglJ"/>
        <w:ind w:firstLine="720"/>
        <w:rPr>
          <w:rFonts w:cs="Times New Roman"/>
          <w:szCs w:val="20"/>
          <w:lang w:val="en-GB"/>
        </w:rPr>
      </w:pPr>
      <w:r w:rsidRPr="009C48DA">
        <w:rPr>
          <w:rFonts w:cs="Times New Roman"/>
          <w:szCs w:val="20"/>
          <w:lang w:val="en-GB"/>
        </w:rPr>
        <w:t xml:space="preserve">BAL, BA II and BCL’s respective operations constitute licensable activities under, among other laws, UK AIFMD, which governs AIFMs. UK AIFMD imposes requirements regarding, but not limited to, licensing, disclosure, reporting, valuation procedures and certain organisational and capital requirements, which may indirectly affect </w:t>
      </w:r>
      <w:r w:rsidRPr="009C48DA" w:rsidR="00794BFF">
        <w:rPr>
          <w:rFonts w:cs="Times New Roman"/>
          <w:szCs w:val="20"/>
          <w:lang w:val="en-GB"/>
        </w:rPr>
        <w:t>Atlantic Investments Holdings Limited</w:t>
      </w:r>
      <w:r w:rsidRPr="009C48DA">
        <w:rPr>
          <w:rFonts w:cs="Times New Roman"/>
          <w:szCs w:val="20"/>
          <w:lang w:val="en-GB"/>
        </w:rPr>
        <w:t xml:space="preserve">. </w:t>
      </w:r>
    </w:p>
    <w:p w:rsidRPr="009C48DA" w:rsidR="00A503E4" w:rsidP="00A503E4" w:rsidRDefault="00D46607" w14:paraId="551018B7" w14:textId="051A47AE">
      <w:pPr>
        <w:pStyle w:val="BlockTextSglJ"/>
        <w:ind w:firstLine="720"/>
        <w:rPr>
          <w:rFonts w:cs="Times New Roman"/>
          <w:szCs w:val="20"/>
          <w:lang w:val="en-GB"/>
        </w:rPr>
      </w:pPr>
      <w:r w:rsidRPr="009C48DA">
        <w:rPr>
          <w:lang w:val="en-GB"/>
        </w:rPr>
        <w:t>Bridgepoint</w:t>
      </w:r>
      <w:r w:rsidRPr="009C48DA">
        <w:rPr>
          <w:rFonts w:cs="Times New Roman"/>
          <w:szCs w:val="20"/>
          <w:lang w:val="en-GB"/>
        </w:rPr>
        <w:t xml:space="preserve"> </w:t>
      </w:r>
      <w:r w:rsidRPr="009C48DA" w:rsidR="00A503E4">
        <w:rPr>
          <w:rFonts w:cs="Times New Roman"/>
          <w:szCs w:val="20"/>
          <w:lang w:val="en-GB"/>
        </w:rPr>
        <w:t>Advisers UK Limited (“</w:t>
      </w:r>
      <w:r w:rsidRPr="009C48DA" w:rsidR="00A503E4">
        <w:rPr>
          <w:rFonts w:cs="Times New Roman"/>
          <w:b/>
          <w:szCs w:val="20"/>
          <w:lang w:val="en-GB"/>
        </w:rPr>
        <w:t>BA UK</w:t>
      </w:r>
      <w:r w:rsidRPr="009C48DA" w:rsidR="0036034E">
        <w:rPr>
          <w:rFonts w:cs="Times New Roman"/>
          <w:szCs w:val="20"/>
          <w:lang w:val="en-GB"/>
        </w:rPr>
        <w:t xml:space="preserve">”), </w:t>
      </w:r>
      <w:r w:rsidRPr="009C48DA">
        <w:rPr>
          <w:lang w:val="en-GB"/>
        </w:rPr>
        <w:t>Bridgepoint</w:t>
      </w:r>
      <w:r w:rsidRPr="009C48DA">
        <w:rPr>
          <w:rFonts w:cs="Times New Roman"/>
          <w:szCs w:val="20"/>
          <w:lang w:val="en-GB"/>
        </w:rPr>
        <w:t xml:space="preserve"> </w:t>
      </w:r>
      <w:r w:rsidRPr="009C48DA" w:rsidR="00A503E4">
        <w:rPr>
          <w:rFonts w:cs="Times New Roman"/>
          <w:szCs w:val="20"/>
          <w:lang w:val="en-GB"/>
        </w:rPr>
        <w:t>Credit Advisers Limited (“</w:t>
      </w:r>
      <w:r w:rsidRPr="009C48DA" w:rsidR="00A503E4">
        <w:rPr>
          <w:rFonts w:cs="Times New Roman"/>
          <w:b/>
          <w:szCs w:val="20"/>
          <w:lang w:val="en-GB"/>
        </w:rPr>
        <w:t>BCA</w:t>
      </w:r>
      <w:r w:rsidRPr="009C48DA" w:rsidR="0036034E">
        <w:rPr>
          <w:rFonts w:cs="Times New Roman"/>
          <w:szCs w:val="20"/>
          <w:lang w:val="en-GB"/>
        </w:rPr>
        <w:t xml:space="preserve">”), </w:t>
      </w:r>
      <w:r w:rsidRPr="009C48DA">
        <w:rPr>
          <w:lang w:val="en-GB"/>
        </w:rPr>
        <w:t>Bridgepoint</w:t>
      </w:r>
      <w:r w:rsidRPr="009C48DA">
        <w:rPr>
          <w:rFonts w:cs="Times New Roman"/>
          <w:szCs w:val="20"/>
          <w:lang w:val="en-GB"/>
        </w:rPr>
        <w:t xml:space="preserve"> </w:t>
      </w:r>
      <w:r w:rsidRPr="009C48DA" w:rsidR="00A503E4">
        <w:rPr>
          <w:rFonts w:cs="Times New Roman"/>
          <w:szCs w:val="20"/>
          <w:lang w:val="en-GB"/>
        </w:rPr>
        <w:t>Credit Advisors UK Limited (“</w:t>
      </w:r>
      <w:r w:rsidRPr="009C48DA" w:rsidR="00A503E4">
        <w:rPr>
          <w:rFonts w:cs="Times New Roman"/>
          <w:b/>
          <w:szCs w:val="20"/>
          <w:lang w:val="en-GB"/>
        </w:rPr>
        <w:t>BCA UK</w:t>
      </w:r>
      <w:r w:rsidRPr="009C48DA" w:rsidR="00561C09">
        <w:rPr>
          <w:rFonts w:cs="Times New Roman"/>
          <w:szCs w:val="20"/>
          <w:lang w:val="en-GB"/>
        </w:rPr>
        <w:t>”)</w:t>
      </w:r>
      <w:r w:rsidRPr="009C48DA" w:rsidR="0036034E">
        <w:rPr>
          <w:rFonts w:cs="Times New Roman"/>
          <w:szCs w:val="20"/>
          <w:lang w:val="en-GB"/>
        </w:rPr>
        <w:t xml:space="preserve"> and </w:t>
      </w:r>
      <w:r w:rsidRPr="009C48DA">
        <w:rPr>
          <w:lang w:val="en-GB"/>
        </w:rPr>
        <w:t>Bridgepoint</w:t>
      </w:r>
      <w:r w:rsidRPr="009C48DA">
        <w:rPr>
          <w:rFonts w:cs="Times New Roman"/>
          <w:szCs w:val="20"/>
          <w:lang w:val="en-GB"/>
        </w:rPr>
        <w:t xml:space="preserve"> </w:t>
      </w:r>
      <w:r w:rsidRPr="009C48DA" w:rsidR="00A503E4">
        <w:rPr>
          <w:rFonts w:cs="Times New Roman"/>
          <w:szCs w:val="20"/>
          <w:lang w:val="en-GB"/>
        </w:rPr>
        <w:t>Credit Management Limited (“</w:t>
      </w:r>
      <w:r w:rsidRPr="009C48DA" w:rsidR="00A503E4">
        <w:rPr>
          <w:rFonts w:cs="Times New Roman"/>
          <w:b/>
          <w:szCs w:val="20"/>
          <w:lang w:val="en-GB"/>
        </w:rPr>
        <w:t>BCM</w:t>
      </w:r>
      <w:r w:rsidRPr="009C48DA" w:rsidR="00A503E4">
        <w:rPr>
          <w:rFonts w:cs="Times New Roman"/>
          <w:szCs w:val="20"/>
          <w:lang w:val="en-GB"/>
        </w:rPr>
        <w:t>”) each provide investment advisory services in the UK under the regulatory framework of Directive 2014/65/EU on Markets in Financial Instruments, as implemented in the UK (“</w:t>
      </w:r>
      <w:r w:rsidRPr="009C48DA" w:rsidR="00A503E4">
        <w:rPr>
          <w:rFonts w:cs="Times New Roman"/>
          <w:b/>
          <w:szCs w:val="20"/>
          <w:lang w:val="en-GB"/>
        </w:rPr>
        <w:t>UK MiFID</w:t>
      </w:r>
      <w:r w:rsidRPr="009C48DA" w:rsidR="00A503E4">
        <w:rPr>
          <w:rFonts w:cs="Times New Roman"/>
          <w:szCs w:val="20"/>
          <w:lang w:val="en-GB"/>
        </w:rPr>
        <w:t xml:space="preserve">”). </w:t>
      </w:r>
    </w:p>
    <w:p w:rsidRPr="009C48DA" w:rsidR="00A503E4" w:rsidP="00A503E4" w:rsidRDefault="00A503E4" w14:paraId="65910F54" w14:textId="1305D3CA">
      <w:pPr>
        <w:pStyle w:val="BlockTextSglJ"/>
        <w:ind w:firstLine="720"/>
        <w:rPr>
          <w:rFonts w:cs="Times New Roman"/>
          <w:szCs w:val="20"/>
          <w:lang w:val="en-GB"/>
        </w:rPr>
      </w:pPr>
      <w:r w:rsidRPr="009C48DA">
        <w:rPr>
          <w:rFonts w:cs="Times New Roman"/>
          <w:szCs w:val="20"/>
          <w:lang w:val="en-GB"/>
        </w:rPr>
        <w:t xml:space="preserve">BA UK, BCA, BCA UK and BCM’s respective operations constitute licensable activities under, among other laws, UK MiFID, which sets the legal framework governing regulatory requirements applicable to investment firms. UK MiFID imposes requirements regarding, but not limited to, licensing, conduct of business, organisational, transparency and reporting requirements, which may indirectly affect </w:t>
      </w:r>
      <w:r w:rsidRPr="009C48DA" w:rsidR="00794BFF">
        <w:rPr>
          <w:rFonts w:cs="Times New Roman"/>
          <w:szCs w:val="20"/>
          <w:lang w:val="en-GB"/>
        </w:rPr>
        <w:t>Atlantic Investments Holdings Limited</w:t>
      </w:r>
      <w:r w:rsidRPr="009C48DA">
        <w:rPr>
          <w:rFonts w:cs="Times New Roman"/>
          <w:szCs w:val="20"/>
          <w:lang w:val="en-GB"/>
        </w:rPr>
        <w:t xml:space="preserve">. </w:t>
      </w:r>
    </w:p>
    <w:p w:rsidRPr="009C48DA" w:rsidR="00A503E4" w:rsidP="000C376E" w:rsidRDefault="00A503E4" w14:paraId="0905E41C" w14:textId="5E9159EA">
      <w:pPr>
        <w:pStyle w:val="TitleB"/>
        <w:rPr>
          <w:i/>
          <w:lang w:val="en-GB"/>
        </w:rPr>
      </w:pPr>
      <w:r w:rsidRPr="009C48DA">
        <w:rPr>
          <w:lang w:val="en-GB"/>
        </w:rPr>
        <w:t xml:space="preserve">Regulatory Authorities, </w:t>
      </w:r>
      <w:r w:rsidRPr="009C48DA" w:rsidR="00561C09">
        <w:rPr>
          <w:lang w:val="en-GB"/>
        </w:rPr>
        <w:t>Permissions and Licenc</w:t>
      </w:r>
      <w:r w:rsidRPr="009C48DA">
        <w:rPr>
          <w:lang w:val="en-GB"/>
        </w:rPr>
        <w:t>es</w:t>
      </w:r>
    </w:p>
    <w:p w:rsidRPr="009C48DA" w:rsidR="00A503E4" w:rsidP="00A503E4" w:rsidRDefault="0073560E" w14:paraId="420CAA70" w14:textId="1F0AF3A9">
      <w:pPr>
        <w:pStyle w:val="BlockTextSglJ"/>
        <w:ind w:firstLine="720"/>
        <w:rPr>
          <w:rFonts w:cs="Times New Roman"/>
          <w:szCs w:val="20"/>
          <w:lang w:val="en-GB"/>
        </w:rPr>
      </w:pPr>
      <w:r w:rsidRPr="009C48DA">
        <w:rPr>
          <w:rFonts w:cs="Times New Roman"/>
          <w:szCs w:val="20"/>
          <w:lang w:val="en-GB"/>
        </w:rPr>
        <w:t xml:space="preserve">The </w:t>
      </w:r>
      <w:r w:rsidRPr="009C48DA" w:rsidR="00DC09A5">
        <w:rPr>
          <w:rFonts w:cs="Times New Roman"/>
          <w:szCs w:val="20"/>
          <w:lang w:val="en-GB"/>
        </w:rPr>
        <w:t>FCA</w:t>
      </w:r>
      <w:r w:rsidRPr="009C48DA" w:rsidR="00A503E4">
        <w:rPr>
          <w:rFonts w:cs="Times New Roman"/>
          <w:szCs w:val="20"/>
          <w:lang w:val="en-GB"/>
        </w:rPr>
        <w:t xml:space="preserve"> is responsible for</w:t>
      </w:r>
      <w:r w:rsidRPr="009C48DA" w:rsidR="0036034E">
        <w:rPr>
          <w:rFonts w:cs="Times New Roman"/>
          <w:szCs w:val="20"/>
          <w:lang w:val="en-GB"/>
        </w:rPr>
        <w:t xml:space="preserve"> the supervision of authorised </w:t>
      </w:r>
      <w:r w:rsidRPr="009C48DA" w:rsidR="00D46607">
        <w:rPr>
          <w:lang w:val="en-GB"/>
        </w:rPr>
        <w:t>Bridgepoint</w:t>
      </w:r>
      <w:r w:rsidRPr="009C48DA" w:rsidR="00D46607">
        <w:rPr>
          <w:rFonts w:cs="Times New Roman"/>
          <w:szCs w:val="20"/>
          <w:lang w:val="en-GB"/>
        </w:rPr>
        <w:t xml:space="preserve"> </w:t>
      </w:r>
      <w:r w:rsidRPr="009C48DA" w:rsidR="00A503E4">
        <w:rPr>
          <w:rFonts w:cs="Times New Roman"/>
          <w:szCs w:val="20"/>
          <w:lang w:val="en-GB"/>
        </w:rPr>
        <w:t xml:space="preserve">entities in the UK. Entities authorised in the UK by the FCA must adhere to the regulator’s </w:t>
      </w:r>
      <w:r w:rsidRPr="009C48DA" w:rsidR="00785ED0">
        <w:rPr>
          <w:rFonts w:cs="Times New Roman"/>
          <w:szCs w:val="20"/>
          <w:lang w:val="en-GB"/>
        </w:rPr>
        <w:t>h</w:t>
      </w:r>
      <w:r w:rsidRPr="009C48DA" w:rsidR="00A503E4">
        <w:rPr>
          <w:rFonts w:cs="Times New Roman"/>
          <w:szCs w:val="20"/>
          <w:lang w:val="en-GB"/>
        </w:rPr>
        <w:t xml:space="preserve">andbook, which sets out certain high-level business principles, conduct of business standards, prudential requirements, regulatory processes and other specialist rules. Requirements under the FCA </w:t>
      </w:r>
      <w:r w:rsidRPr="009C48DA" w:rsidR="00785ED0">
        <w:rPr>
          <w:rFonts w:cs="Times New Roman"/>
          <w:szCs w:val="20"/>
          <w:lang w:val="en-GB"/>
        </w:rPr>
        <w:t>h</w:t>
      </w:r>
      <w:r w:rsidRPr="009C48DA" w:rsidR="00A503E4">
        <w:rPr>
          <w:rFonts w:cs="Times New Roman"/>
          <w:szCs w:val="20"/>
          <w:lang w:val="en-GB"/>
        </w:rPr>
        <w:t xml:space="preserve">andbook are additional to requirements directly applicable to authorised entities under UK AIFMD and/or UK MiFID. </w:t>
      </w:r>
    </w:p>
    <w:p w:rsidRPr="009C48DA" w:rsidR="00A503E4" w:rsidP="00A503E4" w:rsidRDefault="00A503E4" w14:paraId="7AF3613A" w14:textId="12373E2C">
      <w:pPr>
        <w:pStyle w:val="BlockTextSglJ"/>
        <w:ind w:firstLine="720"/>
        <w:rPr>
          <w:rFonts w:cs="Times New Roman"/>
          <w:szCs w:val="20"/>
          <w:lang w:val="en-GB"/>
        </w:rPr>
      </w:pPr>
      <w:r w:rsidRPr="009C48DA">
        <w:rPr>
          <w:rFonts w:cs="Times New Roman"/>
          <w:szCs w:val="20"/>
          <w:lang w:val="en-GB"/>
        </w:rPr>
        <w:t xml:space="preserve">BAL, BA II and BCL are respectively permitted to carry out the regulated activity of managing an unauthorised AIF in the UK. </w:t>
      </w:r>
      <w:r w:rsidRPr="009C48DA" w:rsidR="00FF6B4E">
        <w:rPr>
          <w:rFonts w:cs="Times New Roman"/>
          <w:szCs w:val="20"/>
          <w:lang w:val="en-GB"/>
        </w:rPr>
        <w:t>BAL is an exempt firm under UK MiFID, and therefore unable to carry on any investment services and activities to which UK MiFID applies.</w:t>
      </w:r>
    </w:p>
    <w:p w:rsidRPr="009C48DA" w:rsidR="00A503E4" w:rsidP="00170C84" w:rsidRDefault="00A503E4" w14:paraId="65E5E667" w14:textId="77777777">
      <w:pPr>
        <w:pStyle w:val="BlockTextSglJ"/>
        <w:keepNext/>
        <w:ind w:firstLine="720"/>
        <w:rPr>
          <w:rFonts w:cs="Times New Roman"/>
          <w:szCs w:val="20"/>
          <w:lang w:val="en-GB"/>
        </w:rPr>
      </w:pPr>
      <w:r w:rsidRPr="009C48DA">
        <w:rPr>
          <w:rFonts w:cs="Times New Roman"/>
          <w:szCs w:val="20"/>
          <w:lang w:val="en-GB"/>
        </w:rPr>
        <w:t>BA UK holds permissions from the FCA to carry out the following regulated activities:</w:t>
      </w:r>
    </w:p>
    <w:p w:rsidRPr="009C48DA" w:rsidR="00A503E4" w:rsidP="003F7555" w:rsidRDefault="00A503E4" w14:paraId="3FC4F2D5" w14:textId="77777777">
      <w:pPr>
        <w:pStyle w:val="STBBullet3"/>
        <w:numPr>
          <w:ilvl w:val="0"/>
          <w:numId w:val="32"/>
        </w:numPr>
        <w:rPr>
          <w:szCs w:val="20"/>
          <w:lang w:val="en-GB"/>
        </w:rPr>
      </w:pPr>
      <w:r w:rsidRPr="009C48DA">
        <w:rPr>
          <w:szCs w:val="20"/>
          <w:lang w:val="en-GB"/>
        </w:rPr>
        <w:t>advising on investments (except pension transfers and pension opt outs);</w:t>
      </w:r>
    </w:p>
    <w:p w:rsidRPr="009C48DA" w:rsidR="00A503E4" w:rsidP="003F7555" w:rsidRDefault="00A503E4" w14:paraId="01A4A110" w14:textId="56D8DB02">
      <w:pPr>
        <w:pStyle w:val="STBBullet3"/>
        <w:numPr>
          <w:ilvl w:val="0"/>
          <w:numId w:val="32"/>
        </w:numPr>
        <w:rPr>
          <w:szCs w:val="20"/>
          <w:lang w:val="en-GB"/>
        </w:rPr>
      </w:pPr>
      <w:r w:rsidRPr="009C48DA">
        <w:rPr>
          <w:szCs w:val="20"/>
          <w:lang w:val="en-GB"/>
        </w:rPr>
        <w:t xml:space="preserve">advising on </w:t>
      </w:r>
      <w:r w:rsidRPr="009C48DA" w:rsidR="00C70B19">
        <w:rPr>
          <w:szCs w:val="20"/>
          <w:lang w:val="en-GB"/>
        </w:rPr>
        <w:t>p</w:t>
      </w:r>
      <w:r w:rsidRPr="009C48DA" w:rsidR="00FF6B4E">
        <w:rPr>
          <w:szCs w:val="20"/>
          <w:lang w:val="en-GB"/>
        </w:rPr>
        <w:t>eer</w:t>
      </w:r>
      <w:r w:rsidRPr="009C48DA" w:rsidR="00C70B19">
        <w:rPr>
          <w:szCs w:val="20"/>
          <w:lang w:val="en-GB"/>
        </w:rPr>
        <w:t>-to-p</w:t>
      </w:r>
      <w:r w:rsidRPr="009C48DA" w:rsidR="00FF6B4E">
        <w:rPr>
          <w:szCs w:val="20"/>
          <w:lang w:val="en-GB"/>
        </w:rPr>
        <w:t>eer</w:t>
      </w:r>
      <w:r w:rsidRPr="009C48DA" w:rsidR="00C70B19">
        <w:rPr>
          <w:szCs w:val="20"/>
          <w:lang w:val="en-GB"/>
        </w:rPr>
        <w:t xml:space="preserve"> (</w:t>
      </w:r>
      <w:r w:rsidRPr="009C48DA">
        <w:rPr>
          <w:szCs w:val="20"/>
          <w:lang w:val="en-GB"/>
        </w:rPr>
        <w:t>P2P</w:t>
      </w:r>
      <w:r w:rsidRPr="009C48DA" w:rsidR="00C70B19">
        <w:rPr>
          <w:szCs w:val="20"/>
          <w:lang w:val="en-GB"/>
        </w:rPr>
        <w:t>)</w:t>
      </w:r>
      <w:r w:rsidRPr="009C48DA">
        <w:rPr>
          <w:szCs w:val="20"/>
          <w:lang w:val="en-GB"/>
        </w:rPr>
        <w:t xml:space="preserve"> agreements;</w:t>
      </w:r>
    </w:p>
    <w:p w:rsidRPr="009C48DA" w:rsidR="00A503E4" w:rsidP="003F7555" w:rsidRDefault="00A503E4" w14:paraId="23C38176" w14:textId="77777777">
      <w:pPr>
        <w:pStyle w:val="STBBullet3"/>
        <w:numPr>
          <w:ilvl w:val="0"/>
          <w:numId w:val="32"/>
        </w:numPr>
        <w:rPr>
          <w:szCs w:val="20"/>
          <w:lang w:val="en-GB"/>
        </w:rPr>
      </w:pPr>
      <w:r w:rsidRPr="009C48DA">
        <w:rPr>
          <w:szCs w:val="20"/>
          <w:lang w:val="en-GB"/>
        </w:rPr>
        <w:t>arranging (bringing about) deals in investments;</w:t>
      </w:r>
    </w:p>
    <w:p w:rsidRPr="009C48DA" w:rsidR="00A503E4" w:rsidP="003F7555" w:rsidRDefault="00A503E4" w14:paraId="1E4A4A83" w14:textId="77777777">
      <w:pPr>
        <w:pStyle w:val="STBBullet3"/>
        <w:numPr>
          <w:ilvl w:val="0"/>
          <w:numId w:val="32"/>
        </w:numPr>
        <w:rPr>
          <w:szCs w:val="20"/>
          <w:lang w:val="en-GB"/>
        </w:rPr>
      </w:pPr>
      <w:r w:rsidRPr="009C48DA">
        <w:rPr>
          <w:szCs w:val="20"/>
          <w:lang w:val="en-GB"/>
        </w:rPr>
        <w:t xml:space="preserve">making arrangements with a view to transactions in investments; and </w:t>
      </w:r>
    </w:p>
    <w:p w:rsidRPr="009C48DA" w:rsidR="00A503E4" w:rsidP="003F7555" w:rsidRDefault="00A503E4" w14:paraId="23193CE0" w14:textId="77777777">
      <w:pPr>
        <w:pStyle w:val="STBBullet3"/>
        <w:numPr>
          <w:ilvl w:val="0"/>
          <w:numId w:val="32"/>
        </w:numPr>
        <w:rPr>
          <w:szCs w:val="20"/>
          <w:lang w:val="en-GB"/>
        </w:rPr>
      </w:pPr>
      <w:r w:rsidRPr="009C48DA">
        <w:rPr>
          <w:szCs w:val="20"/>
          <w:lang w:val="en-GB"/>
        </w:rPr>
        <w:lastRenderedPageBreak/>
        <w:t xml:space="preserve">agreeing to carry on regulated activities. </w:t>
      </w:r>
    </w:p>
    <w:p w:rsidRPr="009C48DA" w:rsidR="00A503E4" w:rsidP="00A503E4" w:rsidRDefault="00A503E4" w14:paraId="1A411ED4" w14:textId="4BA56E4A">
      <w:pPr>
        <w:pStyle w:val="BlockTextSglJ"/>
        <w:ind w:firstLine="720"/>
        <w:rPr>
          <w:rFonts w:cs="Times New Roman"/>
          <w:szCs w:val="20"/>
          <w:lang w:val="en-GB"/>
        </w:rPr>
      </w:pPr>
      <w:r w:rsidRPr="009C48DA">
        <w:rPr>
          <w:rFonts w:cs="Times New Roman"/>
          <w:szCs w:val="20"/>
          <w:lang w:val="en-GB"/>
        </w:rPr>
        <w:t xml:space="preserve">These permissions are connected to the following investment types: certificates representing certain security; contracts for differences (excluding spread bets, rolling spot forex contracts and binary bets); debentures; futures (excluding commodity options and options on commodity futures); </w:t>
      </w:r>
      <w:r w:rsidRPr="009C48DA" w:rsidR="00FF6B4E">
        <w:rPr>
          <w:rFonts w:cs="Times New Roman"/>
          <w:szCs w:val="20"/>
          <w:lang w:val="en-GB"/>
        </w:rPr>
        <w:t xml:space="preserve">government and public securities; options (excluding a commodity option and an option on a commodity future); </w:t>
      </w:r>
      <w:r w:rsidRPr="009C48DA">
        <w:rPr>
          <w:rFonts w:cs="Times New Roman"/>
          <w:szCs w:val="20"/>
          <w:lang w:val="en-GB"/>
        </w:rPr>
        <w:t>rights to or interests in investments (contractually based investments); rights to or interests in investments (securities); rolling spot forex contracts, shares, units; and warrants.</w:t>
      </w:r>
      <w:r w:rsidRPr="009C48DA" w:rsidR="00802DD4">
        <w:rPr>
          <w:rFonts w:cs="Times New Roman"/>
          <w:szCs w:val="20"/>
          <w:lang w:val="en-GB"/>
        </w:rPr>
        <w:t xml:space="preserve"> </w:t>
      </w:r>
    </w:p>
    <w:p w:rsidRPr="009C48DA" w:rsidR="00FF6B4E" w:rsidP="00FF6B4E" w:rsidRDefault="00FF6B4E" w14:paraId="244AA599" w14:textId="77777777">
      <w:pPr>
        <w:pStyle w:val="BodyText2SglJ"/>
        <w:rPr>
          <w:szCs w:val="20"/>
          <w:lang w:val="en-GB"/>
        </w:rPr>
      </w:pPr>
      <w:r w:rsidRPr="009C48DA">
        <w:rPr>
          <w:szCs w:val="20"/>
          <w:lang w:val="en-GB"/>
        </w:rPr>
        <w:t>BA UK is unable to carry on any investment services and activities to which UK MiFID applies on a regular basis, except the reception and transmission of orders in relation to one or more financial instruments, or investment advice.</w:t>
      </w:r>
    </w:p>
    <w:p w:rsidRPr="009C48DA" w:rsidR="00A503E4" w:rsidP="00170C84" w:rsidRDefault="00A503E4" w14:paraId="4F4864BF" w14:textId="77777777">
      <w:pPr>
        <w:pStyle w:val="BlockTextSglJ"/>
        <w:keepNext/>
        <w:ind w:firstLine="720"/>
        <w:rPr>
          <w:rFonts w:cs="Times New Roman"/>
          <w:szCs w:val="20"/>
          <w:lang w:val="en-GB"/>
        </w:rPr>
      </w:pPr>
      <w:r w:rsidRPr="009C48DA">
        <w:rPr>
          <w:rFonts w:cs="Times New Roman"/>
          <w:szCs w:val="20"/>
          <w:lang w:val="en-GB"/>
        </w:rPr>
        <w:t>BCA holds permissions from the FCA to carry out the following regulated activities:</w:t>
      </w:r>
    </w:p>
    <w:p w:rsidRPr="009C48DA" w:rsidR="00A503E4" w:rsidP="003F7555" w:rsidRDefault="00A503E4" w14:paraId="274DDEA6" w14:textId="77777777">
      <w:pPr>
        <w:pStyle w:val="STBBullet3"/>
        <w:numPr>
          <w:ilvl w:val="0"/>
          <w:numId w:val="32"/>
        </w:numPr>
        <w:rPr>
          <w:szCs w:val="20"/>
          <w:lang w:val="en-GB"/>
        </w:rPr>
      </w:pPr>
      <w:r w:rsidRPr="009C48DA">
        <w:rPr>
          <w:szCs w:val="20"/>
          <w:lang w:val="en-GB"/>
        </w:rPr>
        <w:t>advising on investments (except pension transfers and pension opt outs);</w:t>
      </w:r>
    </w:p>
    <w:p w:rsidRPr="009C48DA" w:rsidR="00A503E4" w:rsidP="003F7555" w:rsidRDefault="00A503E4" w14:paraId="71634DA2" w14:textId="77777777">
      <w:pPr>
        <w:pStyle w:val="STBBullet3"/>
        <w:numPr>
          <w:ilvl w:val="0"/>
          <w:numId w:val="32"/>
        </w:numPr>
        <w:rPr>
          <w:szCs w:val="20"/>
          <w:lang w:val="en-GB"/>
        </w:rPr>
      </w:pPr>
      <w:r w:rsidRPr="009C48DA">
        <w:rPr>
          <w:szCs w:val="20"/>
          <w:lang w:val="en-GB"/>
        </w:rPr>
        <w:t>arranging (bringing about) deals in investments;</w:t>
      </w:r>
    </w:p>
    <w:p w:rsidRPr="009C48DA" w:rsidR="00A503E4" w:rsidP="003F7555" w:rsidRDefault="00A503E4" w14:paraId="09A63D0F" w14:textId="77777777">
      <w:pPr>
        <w:pStyle w:val="STBBullet3"/>
        <w:numPr>
          <w:ilvl w:val="0"/>
          <w:numId w:val="32"/>
        </w:numPr>
        <w:rPr>
          <w:szCs w:val="20"/>
          <w:lang w:val="en-GB"/>
        </w:rPr>
      </w:pPr>
      <w:r w:rsidRPr="009C48DA">
        <w:rPr>
          <w:szCs w:val="20"/>
          <w:lang w:val="en-GB"/>
        </w:rPr>
        <w:t xml:space="preserve">making arrangements with a view to transactions in investments; and </w:t>
      </w:r>
    </w:p>
    <w:p w:rsidRPr="009C48DA" w:rsidR="00A503E4" w:rsidP="003F7555" w:rsidRDefault="00A503E4" w14:paraId="49813001" w14:textId="77777777">
      <w:pPr>
        <w:pStyle w:val="STBBullet3"/>
        <w:numPr>
          <w:ilvl w:val="0"/>
          <w:numId w:val="32"/>
        </w:numPr>
        <w:rPr>
          <w:szCs w:val="20"/>
          <w:lang w:val="en-GB"/>
        </w:rPr>
      </w:pPr>
      <w:r w:rsidRPr="009C48DA">
        <w:rPr>
          <w:szCs w:val="20"/>
          <w:lang w:val="en-GB"/>
        </w:rPr>
        <w:t xml:space="preserve">agreeing to carry on regulated activities. </w:t>
      </w:r>
    </w:p>
    <w:p w:rsidRPr="009C48DA" w:rsidR="00A503E4" w:rsidP="00A503E4" w:rsidRDefault="00A503E4" w14:paraId="7C1B821B" w14:textId="4D4926CD">
      <w:pPr>
        <w:pStyle w:val="BlockTextSglJ"/>
        <w:ind w:firstLine="720"/>
        <w:rPr>
          <w:rFonts w:cs="Times New Roman"/>
          <w:szCs w:val="20"/>
          <w:lang w:val="en-GB"/>
        </w:rPr>
      </w:pPr>
      <w:r w:rsidRPr="009C48DA">
        <w:rPr>
          <w:rFonts w:cs="Times New Roman"/>
          <w:szCs w:val="20"/>
          <w:lang w:val="en-GB"/>
        </w:rPr>
        <w:t xml:space="preserve">These permissions are connected to the following investment types: alternative debentures; certificates representing certain security; contracts for differences (excluding spread bets, rolling spot forex contracts and binary bets); debentures; futures (excluding commodity options and options on commodity futures); government and public securities; </w:t>
      </w:r>
      <w:r w:rsidRPr="009C48DA" w:rsidR="00FF6B4E">
        <w:rPr>
          <w:rFonts w:cs="Times New Roman"/>
          <w:szCs w:val="20"/>
          <w:lang w:val="en-GB"/>
        </w:rPr>
        <w:t xml:space="preserve">options (excluding a commodity option and an option on a commodity future); </w:t>
      </w:r>
      <w:r w:rsidRPr="009C48DA">
        <w:rPr>
          <w:rFonts w:cs="Times New Roman"/>
          <w:szCs w:val="20"/>
          <w:lang w:val="en-GB"/>
        </w:rPr>
        <w:t xml:space="preserve">rights to or interests in investments (contractually based investments); rights to or interests in investments (securities); rolling spot forex contracts, shares, units; and warrants. </w:t>
      </w:r>
    </w:p>
    <w:p w:rsidRPr="009C48DA" w:rsidR="00FF6B4E" w:rsidP="00FF6B4E" w:rsidRDefault="00FF6B4E" w14:paraId="24BAE291" w14:textId="77777777">
      <w:pPr>
        <w:pStyle w:val="BodyText2SglJ"/>
        <w:rPr>
          <w:szCs w:val="20"/>
          <w:lang w:val="en-GB"/>
        </w:rPr>
      </w:pPr>
      <w:r w:rsidRPr="009C48DA">
        <w:rPr>
          <w:szCs w:val="20"/>
          <w:lang w:val="en-GB"/>
        </w:rPr>
        <w:t>BCA is unable to carry on any investment services and activities to which UK MiFID applies on a regular basis, except the reception and transmission of orders in relation to one or more financial instruments, or investment advice.</w:t>
      </w:r>
    </w:p>
    <w:p w:rsidRPr="009C48DA" w:rsidR="00A503E4" w:rsidP="00170C84" w:rsidRDefault="00A503E4" w14:paraId="465B4DA7" w14:textId="77777777">
      <w:pPr>
        <w:pStyle w:val="BlockTextSglJ"/>
        <w:keepNext/>
        <w:ind w:firstLine="720"/>
        <w:rPr>
          <w:rFonts w:cs="Times New Roman"/>
          <w:szCs w:val="20"/>
          <w:lang w:val="en-GB"/>
        </w:rPr>
      </w:pPr>
      <w:r w:rsidRPr="009C48DA">
        <w:rPr>
          <w:rFonts w:cs="Times New Roman"/>
          <w:szCs w:val="20"/>
          <w:lang w:val="en-GB"/>
        </w:rPr>
        <w:t>BCA UK holds permissions from the FCA to carry out the following regulated activities:</w:t>
      </w:r>
    </w:p>
    <w:p w:rsidRPr="009C48DA" w:rsidR="00A503E4" w:rsidP="003F7555" w:rsidRDefault="00A503E4" w14:paraId="37BEE5A5" w14:textId="77777777">
      <w:pPr>
        <w:pStyle w:val="STBBullet3"/>
        <w:numPr>
          <w:ilvl w:val="0"/>
          <w:numId w:val="32"/>
        </w:numPr>
        <w:rPr>
          <w:szCs w:val="20"/>
          <w:lang w:val="en-GB"/>
        </w:rPr>
      </w:pPr>
      <w:r w:rsidRPr="009C48DA">
        <w:rPr>
          <w:szCs w:val="20"/>
          <w:lang w:val="en-GB"/>
        </w:rPr>
        <w:t>advising on investments (except pension transfers and pension opt outs);</w:t>
      </w:r>
    </w:p>
    <w:p w:rsidRPr="009C48DA" w:rsidR="00A503E4" w:rsidP="003F7555" w:rsidRDefault="00A503E4" w14:paraId="317CCCF3" w14:textId="77777777">
      <w:pPr>
        <w:pStyle w:val="STBBullet3"/>
        <w:numPr>
          <w:ilvl w:val="0"/>
          <w:numId w:val="32"/>
        </w:numPr>
        <w:rPr>
          <w:szCs w:val="20"/>
          <w:lang w:val="en-GB"/>
        </w:rPr>
      </w:pPr>
      <w:r w:rsidRPr="009C48DA">
        <w:rPr>
          <w:szCs w:val="20"/>
          <w:lang w:val="en-GB"/>
        </w:rPr>
        <w:t>arranging (bringing about) deals in investments;</w:t>
      </w:r>
    </w:p>
    <w:p w:rsidRPr="009C48DA" w:rsidR="00A503E4" w:rsidP="003F7555" w:rsidRDefault="00A503E4" w14:paraId="1BCF503C" w14:textId="77777777">
      <w:pPr>
        <w:pStyle w:val="STBBullet3"/>
        <w:numPr>
          <w:ilvl w:val="0"/>
          <w:numId w:val="32"/>
        </w:numPr>
        <w:rPr>
          <w:szCs w:val="20"/>
          <w:lang w:val="en-GB"/>
        </w:rPr>
      </w:pPr>
      <w:r w:rsidRPr="009C48DA">
        <w:rPr>
          <w:szCs w:val="20"/>
          <w:lang w:val="en-GB"/>
        </w:rPr>
        <w:t xml:space="preserve">making arrangements with a view to transactions in investments; and </w:t>
      </w:r>
    </w:p>
    <w:p w:rsidRPr="009C48DA" w:rsidR="00A503E4" w:rsidP="003F7555" w:rsidRDefault="00A503E4" w14:paraId="7B45CBFC" w14:textId="77777777">
      <w:pPr>
        <w:pStyle w:val="STBBullet3"/>
        <w:numPr>
          <w:ilvl w:val="0"/>
          <w:numId w:val="32"/>
        </w:numPr>
        <w:rPr>
          <w:szCs w:val="20"/>
          <w:lang w:val="en-GB"/>
        </w:rPr>
      </w:pPr>
      <w:r w:rsidRPr="009C48DA">
        <w:rPr>
          <w:szCs w:val="20"/>
          <w:lang w:val="en-GB"/>
        </w:rPr>
        <w:t>agreeing to carry on regulated activities.</w:t>
      </w:r>
    </w:p>
    <w:p w:rsidRPr="009C48DA" w:rsidR="00A503E4" w:rsidP="00A503E4" w:rsidRDefault="00A503E4" w14:paraId="3FAF799C" w14:textId="1F0D40CF">
      <w:pPr>
        <w:pStyle w:val="BlockTextSglJ"/>
        <w:ind w:firstLine="720"/>
        <w:rPr>
          <w:rFonts w:cs="Times New Roman"/>
          <w:szCs w:val="20"/>
          <w:lang w:val="en-GB"/>
        </w:rPr>
      </w:pPr>
      <w:r w:rsidRPr="009C48DA">
        <w:rPr>
          <w:rFonts w:cs="Times New Roman"/>
          <w:szCs w:val="20"/>
          <w:lang w:val="en-GB"/>
        </w:rPr>
        <w:t xml:space="preserve">These permissions are connected to the following investment types: certificates representing certain security; contracts for differences (excluding spread bets, rolling spot forex contracts and binary bets); debentures; futures </w:t>
      </w:r>
      <w:r w:rsidRPr="009C48DA" w:rsidR="00FF6B4E">
        <w:rPr>
          <w:rFonts w:cs="Times New Roman"/>
          <w:szCs w:val="20"/>
          <w:lang w:val="en-GB"/>
        </w:rPr>
        <w:t xml:space="preserve">(excluding commodity options and options on commodity futures); options </w:t>
      </w:r>
      <w:r w:rsidRPr="009C48DA">
        <w:rPr>
          <w:rFonts w:cs="Times New Roman"/>
          <w:szCs w:val="20"/>
          <w:lang w:val="en-GB"/>
        </w:rPr>
        <w:t xml:space="preserve">(excluding commodity options and options on commodity futures); rights to or interests in investments (contractually based investments); rights to or interests in investments (securities); rolling spot forex contracts, shares, units; and warrants. </w:t>
      </w:r>
      <w:r w:rsidRPr="009C48DA" w:rsidR="00611834">
        <w:rPr>
          <w:rFonts w:cs="Times New Roman"/>
          <w:szCs w:val="20"/>
          <w:lang w:val="en-GB"/>
        </w:rPr>
        <w:t>Please note that an application has been lodged by BCA to cancel the authorisations described above.</w:t>
      </w:r>
    </w:p>
    <w:p w:rsidRPr="009C48DA" w:rsidR="00FF6B4E" w:rsidP="00FF6B4E" w:rsidRDefault="00FF6B4E" w14:paraId="61D97B95" w14:textId="77777777">
      <w:pPr>
        <w:pStyle w:val="BodyText2SglJ"/>
        <w:rPr>
          <w:szCs w:val="20"/>
          <w:lang w:val="en-GB"/>
        </w:rPr>
      </w:pPr>
      <w:r w:rsidRPr="009C48DA">
        <w:rPr>
          <w:szCs w:val="20"/>
          <w:lang w:val="en-GB"/>
        </w:rPr>
        <w:t>BCA UK is unable to carry on any investment services and activities to which UK MiFID applies on a regular basis, except the reception and transmission of orders in relation to one or more financial instruments, or investment advice.</w:t>
      </w:r>
    </w:p>
    <w:p w:rsidRPr="009C48DA" w:rsidR="00A503E4" w:rsidP="00A503E4" w:rsidRDefault="00A503E4" w14:paraId="49D92146" w14:textId="77777777">
      <w:pPr>
        <w:pStyle w:val="BlockTextSglJ"/>
        <w:ind w:firstLine="720"/>
        <w:rPr>
          <w:rFonts w:cs="Times New Roman"/>
          <w:szCs w:val="20"/>
          <w:lang w:val="en-GB"/>
        </w:rPr>
      </w:pPr>
      <w:r w:rsidRPr="009C48DA">
        <w:rPr>
          <w:rFonts w:cs="Times New Roman"/>
          <w:szCs w:val="20"/>
          <w:lang w:val="en-GB"/>
        </w:rPr>
        <w:t>BCM holds permissions from the FCA to carry out the following regulated activities:</w:t>
      </w:r>
    </w:p>
    <w:p w:rsidRPr="009C48DA" w:rsidR="00A503E4" w:rsidP="003F7555" w:rsidRDefault="00A503E4" w14:paraId="29DE5ED6" w14:textId="77777777">
      <w:pPr>
        <w:pStyle w:val="STBBullet3"/>
        <w:numPr>
          <w:ilvl w:val="0"/>
          <w:numId w:val="32"/>
        </w:numPr>
        <w:rPr>
          <w:szCs w:val="20"/>
          <w:lang w:val="en-GB"/>
        </w:rPr>
      </w:pPr>
      <w:r w:rsidRPr="009C48DA">
        <w:rPr>
          <w:szCs w:val="20"/>
          <w:lang w:val="en-GB"/>
        </w:rPr>
        <w:t>advising on investments (except pension transfers and pension opt outs);</w:t>
      </w:r>
    </w:p>
    <w:p w:rsidRPr="009C48DA" w:rsidR="00A503E4" w:rsidP="003F7555" w:rsidRDefault="00A503E4" w14:paraId="52E8FA81" w14:textId="77777777">
      <w:pPr>
        <w:pStyle w:val="STBBullet3"/>
        <w:numPr>
          <w:ilvl w:val="0"/>
          <w:numId w:val="32"/>
        </w:numPr>
        <w:rPr>
          <w:szCs w:val="20"/>
          <w:lang w:val="en-GB"/>
        </w:rPr>
      </w:pPr>
      <w:r w:rsidRPr="009C48DA">
        <w:rPr>
          <w:szCs w:val="20"/>
          <w:lang w:val="en-GB"/>
        </w:rPr>
        <w:lastRenderedPageBreak/>
        <w:t>arranging (bringing about) deals in investments;</w:t>
      </w:r>
    </w:p>
    <w:p w:rsidRPr="009C48DA" w:rsidR="00A503E4" w:rsidP="003F7555" w:rsidRDefault="00A503E4" w14:paraId="4EDEFAA2" w14:textId="77777777">
      <w:pPr>
        <w:pStyle w:val="STBBullet3"/>
        <w:numPr>
          <w:ilvl w:val="0"/>
          <w:numId w:val="32"/>
        </w:numPr>
        <w:rPr>
          <w:szCs w:val="20"/>
          <w:lang w:val="en-GB"/>
        </w:rPr>
      </w:pPr>
      <w:r w:rsidRPr="009C48DA">
        <w:rPr>
          <w:szCs w:val="20"/>
          <w:lang w:val="en-GB"/>
        </w:rPr>
        <w:t>arranging safeguarding and administration of assets;</w:t>
      </w:r>
    </w:p>
    <w:p w:rsidRPr="009C48DA" w:rsidR="00A503E4" w:rsidP="003F7555" w:rsidRDefault="00A503E4" w14:paraId="5B41F589" w14:textId="77777777">
      <w:pPr>
        <w:pStyle w:val="STBBullet3"/>
        <w:numPr>
          <w:ilvl w:val="0"/>
          <w:numId w:val="32"/>
        </w:numPr>
        <w:rPr>
          <w:szCs w:val="20"/>
          <w:lang w:val="en-GB"/>
        </w:rPr>
      </w:pPr>
      <w:r w:rsidRPr="009C48DA">
        <w:rPr>
          <w:szCs w:val="20"/>
          <w:lang w:val="en-GB"/>
        </w:rPr>
        <w:t>dealing in investments as agent;</w:t>
      </w:r>
    </w:p>
    <w:p w:rsidRPr="009C48DA" w:rsidR="00A503E4" w:rsidP="003F7555" w:rsidRDefault="00A503E4" w14:paraId="0C757D10" w14:textId="77777777">
      <w:pPr>
        <w:pStyle w:val="STBBullet3"/>
        <w:numPr>
          <w:ilvl w:val="0"/>
          <w:numId w:val="32"/>
        </w:numPr>
        <w:rPr>
          <w:szCs w:val="20"/>
          <w:lang w:val="en-GB"/>
        </w:rPr>
      </w:pPr>
      <w:r w:rsidRPr="009C48DA">
        <w:rPr>
          <w:szCs w:val="20"/>
          <w:lang w:val="en-GB"/>
        </w:rPr>
        <w:t>making arrangements with a view to transactions in investments;</w:t>
      </w:r>
    </w:p>
    <w:p w:rsidRPr="009C48DA" w:rsidR="00A503E4" w:rsidP="003F7555" w:rsidRDefault="00A503E4" w14:paraId="124B7EB2" w14:textId="77777777">
      <w:pPr>
        <w:pStyle w:val="STBBullet3"/>
        <w:numPr>
          <w:ilvl w:val="0"/>
          <w:numId w:val="32"/>
        </w:numPr>
        <w:rPr>
          <w:szCs w:val="20"/>
          <w:lang w:val="en-GB"/>
        </w:rPr>
      </w:pPr>
      <w:r w:rsidRPr="009C48DA">
        <w:rPr>
          <w:szCs w:val="20"/>
          <w:lang w:val="en-GB"/>
        </w:rPr>
        <w:t xml:space="preserve">managing investments; and </w:t>
      </w:r>
    </w:p>
    <w:p w:rsidRPr="009C48DA" w:rsidR="00A503E4" w:rsidP="003F7555" w:rsidRDefault="00A503E4" w14:paraId="754828C2" w14:textId="77777777">
      <w:pPr>
        <w:pStyle w:val="STBBullet3"/>
        <w:numPr>
          <w:ilvl w:val="0"/>
          <w:numId w:val="32"/>
        </w:numPr>
        <w:rPr>
          <w:szCs w:val="20"/>
          <w:lang w:val="en-GB"/>
        </w:rPr>
      </w:pPr>
      <w:r w:rsidRPr="009C48DA">
        <w:rPr>
          <w:szCs w:val="20"/>
          <w:lang w:val="en-GB"/>
        </w:rPr>
        <w:t xml:space="preserve">agreeing to carry on regulated activities. </w:t>
      </w:r>
    </w:p>
    <w:p w:rsidRPr="009C48DA" w:rsidR="00A503E4" w:rsidP="00A503E4" w:rsidRDefault="00A503E4" w14:paraId="6C50A039" w14:textId="12C68A63">
      <w:pPr>
        <w:pStyle w:val="BlockTextSglJ"/>
        <w:ind w:firstLine="720"/>
        <w:rPr>
          <w:rFonts w:cs="Times New Roman"/>
          <w:szCs w:val="20"/>
          <w:lang w:val="en-GB"/>
        </w:rPr>
      </w:pPr>
      <w:r w:rsidRPr="009C48DA">
        <w:rPr>
          <w:rFonts w:cs="Times New Roman"/>
          <w:szCs w:val="20"/>
          <w:lang w:val="en-GB"/>
        </w:rPr>
        <w:t xml:space="preserve">These permissions are connected to the following investment types: certificates representing certain security; </w:t>
      </w:r>
      <w:r w:rsidRPr="009C48DA" w:rsidR="00906792">
        <w:rPr>
          <w:rFonts w:cs="Times New Roman"/>
          <w:szCs w:val="20"/>
          <w:lang w:val="en-GB"/>
        </w:rPr>
        <w:t xml:space="preserve">commodity futures, commodity options and options on commodity futures; </w:t>
      </w:r>
      <w:r w:rsidRPr="009C48DA">
        <w:rPr>
          <w:rFonts w:cs="Times New Roman"/>
          <w:szCs w:val="20"/>
          <w:lang w:val="en-GB"/>
        </w:rPr>
        <w:t xml:space="preserve">contracts for differences (excluding spread bets, rolling spot forex contracts and binary bets); debentures; futures (excluding commodity options and options on commodity futures); government and public securities; rights to or interests in investments (contractually based investments); rights to or interests in investments (securities); rolling spot forex contracts, shares, units; and warrants. </w:t>
      </w:r>
    </w:p>
    <w:p w:rsidRPr="009C48DA" w:rsidR="00FF6B4E" w:rsidP="00FF6B4E" w:rsidRDefault="00FF6B4E" w14:paraId="4FD905BB" w14:textId="77777777">
      <w:pPr>
        <w:pStyle w:val="BodyText2SglJ"/>
        <w:rPr>
          <w:szCs w:val="20"/>
          <w:lang w:val="en-GB"/>
        </w:rPr>
      </w:pPr>
      <w:r w:rsidRPr="009C48DA">
        <w:rPr>
          <w:szCs w:val="20"/>
          <w:lang w:val="en-GB"/>
        </w:rPr>
        <w:t>BCM is unable to carry on the UK MiFID investment service and activity of placing financial instruments without a firm commitment basis.</w:t>
      </w:r>
    </w:p>
    <w:p w:rsidRPr="009C48DA" w:rsidR="00A503E4" w:rsidP="000C376E" w:rsidRDefault="00A503E4" w14:paraId="6C1F8D63" w14:textId="77777777">
      <w:pPr>
        <w:pStyle w:val="TitleB"/>
        <w:rPr>
          <w:lang w:val="en-GB"/>
        </w:rPr>
      </w:pPr>
      <w:r w:rsidRPr="009C48DA">
        <w:rPr>
          <w:lang w:val="en-GB"/>
        </w:rPr>
        <w:t>Supervision and Sanctions</w:t>
      </w:r>
    </w:p>
    <w:p w:rsidRPr="009C48DA" w:rsidR="00A503E4" w:rsidP="00A503E4" w:rsidRDefault="00A503E4" w14:paraId="117FF159" w14:textId="1EAC203E">
      <w:pPr>
        <w:pStyle w:val="BlockTextSglJ"/>
        <w:ind w:firstLine="720"/>
        <w:rPr>
          <w:rFonts w:cs="Times New Roman"/>
          <w:szCs w:val="20"/>
          <w:lang w:val="en-GB"/>
        </w:rPr>
      </w:pPr>
      <w:r w:rsidRPr="009C48DA">
        <w:rPr>
          <w:rFonts w:cs="Times New Roman"/>
          <w:szCs w:val="20"/>
          <w:lang w:val="en-GB"/>
        </w:rPr>
        <w:t>The FCA</w:t>
      </w:r>
      <w:r w:rsidRPr="009C48DA" w:rsidR="0036034E">
        <w:rPr>
          <w:rFonts w:cs="Times New Roman"/>
          <w:szCs w:val="20"/>
          <w:lang w:val="en-GB"/>
        </w:rPr>
        <w:t xml:space="preserve"> is responsible for authorised </w:t>
      </w:r>
      <w:r w:rsidRPr="009C48DA" w:rsidR="00D46607">
        <w:rPr>
          <w:lang w:val="en-GB"/>
        </w:rPr>
        <w:t>Bridgepoint</w:t>
      </w:r>
      <w:r w:rsidRPr="009C48DA" w:rsidR="00D46607">
        <w:rPr>
          <w:rFonts w:cs="Times New Roman"/>
          <w:szCs w:val="20"/>
          <w:lang w:val="en-GB"/>
        </w:rPr>
        <w:t xml:space="preserve"> </w:t>
      </w:r>
      <w:r w:rsidRPr="009C48DA">
        <w:rPr>
          <w:rFonts w:cs="Times New Roman"/>
          <w:szCs w:val="20"/>
          <w:lang w:val="en-GB"/>
        </w:rPr>
        <w:t xml:space="preserve">entities in the UK. As part of this supervisory role, the FCA is mandated to make information available and document requests from authorised firms, appoint a “skilled person” to investigate and report on an authorised firm and to take disciplinary action such as issue public censure or statements against authorised firms or certain individuals connected to authorised firms, impose financial penalties and suspend the permission of an authorised firm to carry on regulated activities. </w:t>
      </w:r>
    </w:p>
    <w:p w:rsidRPr="009C48DA" w:rsidR="00A503E4" w:rsidP="000C376E" w:rsidRDefault="00A503E4" w14:paraId="745AA9D6" w14:textId="77777777">
      <w:pPr>
        <w:pStyle w:val="TitleB"/>
        <w:rPr>
          <w:i/>
          <w:lang w:val="en-GB"/>
        </w:rPr>
      </w:pPr>
      <w:r w:rsidRPr="009C48DA">
        <w:rPr>
          <w:lang w:val="en-GB"/>
        </w:rPr>
        <w:t>Regulatory Requirements and Approvals for Acquisitions of Shares and Voting Rights</w:t>
      </w:r>
    </w:p>
    <w:p w:rsidRPr="009C48DA" w:rsidR="00A503E4" w:rsidP="00A503E4" w:rsidRDefault="00561C09" w14:paraId="55327405" w14:textId="43FFF90B">
      <w:pPr>
        <w:pStyle w:val="BlockTextSglJ"/>
        <w:ind w:firstLine="720"/>
        <w:rPr>
          <w:rFonts w:cs="Times New Roman"/>
          <w:szCs w:val="20"/>
          <w:lang w:val="en-GB"/>
        </w:rPr>
      </w:pPr>
      <w:r w:rsidRPr="009C48DA">
        <w:rPr>
          <w:rFonts w:cs="Times New Roman"/>
          <w:szCs w:val="20"/>
          <w:lang w:val="en-GB"/>
        </w:rPr>
        <w:t>Under the S</w:t>
      </w:r>
      <w:r w:rsidRPr="009C48DA" w:rsidR="00A503E4">
        <w:rPr>
          <w:rFonts w:cs="Times New Roman"/>
          <w:szCs w:val="20"/>
          <w:lang w:val="en-GB"/>
        </w:rPr>
        <w:t xml:space="preserve">ection 178 of the </w:t>
      </w:r>
      <w:r w:rsidRPr="009C48DA" w:rsidR="00DC09A5">
        <w:rPr>
          <w:rFonts w:cs="Times New Roman"/>
          <w:szCs w:val="20"/>
          <w:lang w:val="en-GB"/>
        </w:rPr>
        <w:t>FSMA</w:t>
      </w:r>
      <w:r w:rsidRPr="009C48DA" w:rsidR="00A503E4">
        <w:rPr>
          <w:rFonts w:cs="Times New Roman"/>
          <w:szCs w:val="20"/>
          <w:lang w:val="en-GB"/>
        </w:rPr>
        <w:t>, prior approval is required from the FCA of an</w:t>
      </w:r>
      <w:r w:rsidRPr="009C48DA">
        <w:rPr>
          <w:rFonts w:cs="Times New Roman"/>
          <w:szCs w:val="20"/>
          <w:lang w:val="en-GB"/>
        </w:rPr>
        <w:t>y person proposing to acquire or</w:t>
      </w:r>
      <w:r w:rsidRPr="009C48DA" w:rsidR="00A503E4">
        <w:rPr>
          <w:rFonts w:cs="Times New Roman"/>
          <w:szCs w:val="20"/>
          <w:lang w:val="en-GB"/>
        </w:rPr>
        <w:t xml:space="preserve"> increase “control” of a “qualifying holding” of a UK-authorised </w:t>
      </w:r>
      <w:r w:rsidRPr="009C48DA" w:rsidR="0036034E">
        <w:rPr>
          <w:rFonts w:cs="Times New Roman"/>
          <w:szCs w:val="20"/>
          <w:lang w:val="en-GB"/>
        </w:rPr>
        <w:t xml:space="preserve">person, such as the authorised </w:t>
      </w:r>
      <w:r w:rsidRPr="009C48DA" w:rsidR="00D46607">
        <w:rPr>
          <w:lang w:val="en-GB"/>
        </w:rPr>
        <w:t>Bridgepoint</w:t>
      </w:r>
      <w:r w:rsidRPr="009C48DA" w:rsidR="00D46607">
        <w:rPr>
          <w:rFonts w:cs="Times New Roman"/>
          <w:szCs w:val="20"/>
          <w:lang w:val="en-GB"/>
        </w:rPr>
        <w:t xml:space="preserve"> </w:t>
      </w:r>
      <w:r w:rsidRPr="009C48DA" w:rsidR="00A503E4">
        <w:rPr>
          <w:rFonts w:cs="Times New Roman"/>
          <w:szCs w:val="20"/>
          <w:lang w:val="en-GB"/>
        </w:rPr>
        <w:t xml:space="preserve">entities, or a parent undertaking of a UK-authorised person such as </w:t>
      </w:r>
      <w:r w:rsidRPr="009C48DA" w:rsidR="00794BFF">
        <w:rPr>
          <w:rFonts w:cs="Times New Roman"/>
          <w:szCs w:val="20"/>
          <w:lang w:val="en-GB"/>
        </w:rPr>
        <w:t>Atlantic Investments Holdings Limited</w:t>
      </w:r>
      <w:r w:rsidRPr="009C48DA" w:rsidR="00A503E4">
        <w:rPr>
          <w:rFonts w:cs="Times New Roman"/>
          <w:szCs w:val="20"/>
          <w:lang w:val="en-GB"/>
        </w:rPr>
        <w:t>. A “qualify</w:t>
      </w:r>
      <w:r w:rsidRPr="009C48DA" w:rsidR="0036034E">
        <w:rPr>
          <w:rFonts w:cs="Times New Roman"/>
          <w:szCs w:val="20"/>
          <w:lang w:val="en-GB"/>
        </w:rPr>
        <w:t xml:space="preserve">ing holding” in respect of the </w:t>
      </w:r>
      <w:r w:rsidRPr="009C48DA" w:rsidR="00D46607">
        <w:rPr>
          <w:lang w:val="en-GB"/>
        </w:rPr>
        <w:t>Bridgepoint</w:t>
      </w:r>
      <w:r w:rsidRPr="009C48DA" w:rsidR="00D46607">
        <w:rPr>
          <w:rFonts w:cs="Times New Roman"/>
          <w:szCs w:val="20"/>
          <w:lang w:val="en-GB"/>
        </w:rPr>
        <w:t xml:space="preserve"> </w:t>
      </w:r>
      <w:r w:rsidRPr="009C48DA" w:rsidR="00A503E4">
        <w:rPr>
          <w:rFonts w:cs="Times New Roman"/>
          <w:szCs w:val="20"/>
          <w:lang w:val="en-GB"/>
        </w:rPr>
        <w:t xml:space="preserve">authorised entities would be a holding of, in relation to BAL, BA II and BCL, 20 per cent or more and in relation to BA UK, BCA, BCA UK and BCM, 10 per cent or more. Any person would need to </w:t>
      </w:r>
      <w:r w:rsidR="00500C4A">
        <w:rPr>
          <w:rFonts w:cs="Times New Roman"/>
          <w:szCs w:val="20"/>
          <w:lang w:val="en-GB"/>
        </w:rPr>
        <w:t xml:space="preserve">be </w:t>
      </w:r>
      <w:r w:rsidRPr="009C48DA" w:rsidR="00A503E4">
        <w:rPr>
          <w:rFonts w:cs="Times New Roman"/>
          <w:szCs w:val="20"/>
          <w:lang w:val="en-GB"/>
        </w:rPr>
        <w:t xml:space="preserve">approved by the FCA as a “controller” prior to that person and any other person with whom they are acting in concert acquiring ordinary shares or voting rights that </w:t>
      </w:r>
      <w:r w:rsidRPr="009C48DA" w:rsidR="00785ED0">
        <w:rPr>
          <w:rFonts w:cs="Times New Roman"/>
          <w:szCs w:val="20"/>
          <w:lang w:val="en-GB"/>
        </w:rPr>
        <w:t xml:space="preserve">result in </w:t>
      </w:r>
      <w:r w:rsidRPr="009C48DA" w:rsidR="00A503E4">
        <w:rPr>
          <w:rFonts w:cs="Times New Roman"/>
          <w:szCs w:val="20"/>
          <w:lang w:val="en-GB"/>
        </w:rPr>
        <w:t xml:space="preserve">an interest above these thresholds, or otherwise entitle that person to exercise a </w:t>
      </w:r>
      <w:r w:rsidRPr="009C48DA" w:rsidR="0036034E">
        <w:rPr>
          <w:rFonts w:cs="Times New Roman"/>
          <w:szCs w:val="20"/>
          <w:lang w:val="en-GB"/>
        </w:rPr>
        <w:t xml:space="preserve">“significant influence” over a </w:t>
      </w:r>
      <w:r w:rsidRPr="009C48DA" w:rsidR="00D46607">
        <w:rPr>
          <w:lang w:val="en-GB"/>
        </w:rPr>
        <w:t>Bridgepoint</w:t>
      </w:r>
      <w:r w:rsidRPr="009C48DA" w:rsidR="00D46607">
        <w:rPr>
          <w:rFonts w:cs="Times New Roman"/>
          <w:szCs w:val="20"/>
          <w:lang w:val="en-GB"/>
        </w:rPr>
        <w:t xml:space="preserve"> </w:t>
      </w:r>
      <w:r w:rsidRPr="009C48DA" w:rsidR="00A503E4">
        <w:rPr>
          <w:rFonts w:cs="Times New Roman"/>
          <w:szCs w:val="20"/>
          <w:lang w:val="en-GB"/>
        </w:rPr>
        <w:t>authorised entity. Where shareholders are “acting in concert” the total percentage of the voting power held by th</w:t>
      </w:r>
      <w:r w:rsidRPr="009C48DA" w:rsidR="00785ED0">
        <w:rPr>
          <w:rFonts w:cs="Times New Roman"/>
          <w:szCs w:val="20"/>
          <w:lang w:val="en-GB"/>
        </w:rPr>
        <w:t>ose</w:t>
      </w:r>
      <w:r w:rsidRPr="009C48DA" w:rsidR="00A503E4">
        <w:rPr>
          <w:rFonts w:cs="Times New Roman"/>
          <w:szCs w:val="20"/>
          <w:lang w:val="en-GB"/>
        </w:rPr>
        <w:t xml:space="preserve"> shareholders will be amalgamated and considered together for the purposes of the relevant thresholds. An investor contemplating such an acquisition should seek independent legal advice to test whether regulatory pre-approval might be necessary.</w:t>
      </w:r>
    </w:p>
    <w:p w:rsidRPr="009C48DA" w:rsidR="00A503E4" w:rsidP="00A503E4" w:rsidRDefault="00A503E4" w14:paraId="0B99D8A2" w14:textId="414E21C7">
      <w:pPr>
        <w:pStyle w:val="BlockTextSglJ"/>
        <w:ind w:firstLine="720"/>
        <w:rPr>
          <w:rFonts w:cs="Times New Roman"/>
          <w:szCs w:val="20"/>
          <w:lang w:val="en-GB"/>
        </w:rPr>
      </w:pPr>
      <w:r w:rsidRPr="009C48DA">
        <w:rPr>
          <w:rFonts w:cs="Times New Roman"/>
          <w:szCs w:val="20"/>
          <w:lang w:val="en-GB"/>
        </w:rPr>
        <w:t xml:space="preserve">The FCA has 60 working days to decide whether to approve an application for change in control from the day on which it acknowledges that such an application, as submitted by a proposed controller, is complete. The FCA may refuse to approve a person as a controller and/or may impose conditions or restrictions on the proposed controller in connection with the application to become a controller. These conditions/restrictions could have the effect of delaying any acquisition or imposing additional costs on the </w:t>
      </w:r>
      <w:r w:rsidRPr="009C48DA" w:rsidR="00561C09">
        <w:rPr>
          <w:rFonts w:cs="Times New Roman"/>
          <w:szCs w:val="20"/>
          <w:lang w:val="en-GB"/>
        </w:rPr>
        <w:t>business activities and revenue</w:t>
      </w:r>
      <w:r w:rsidRPr="009C48DA">
        <w:rPr>
          <w:rFonts w:cs="Times New Roman"/>
          <w:szCs w:val="20"/>
          <w:lang w:val="en-GB"/>
        </w:rPr>
        <w:t xml:space="preserve"> of the acqu</w:t>
      </w:r>
      <w:r w:rsidRPr="009C48DA" w:rsidR="0036034E">
        <w:rPr>
          <w:rFonts w:cs="Times New Roman"/>
          <w:szCs w:val="20"/>
          <w:lang w:val="en-GB"/>
        </w:rPr>
        <w:t xml:space="preserve">iring person and/or the target </w:t>
      </w:r>
      <w:r w:rsidRPr="009C48DA" w:rsidR="00D46607">
        <w:rPr>
          <w:lang w:val="en-GB"/>
        </w:rPr>
        <w:t>Bridgepoint</w:t>
      </w:r>
      <w:r w:rsidRPr="009C48DA" w:rsidR="00D46607">
        <w:rPr>
          <w:rFonts w:cs="Times New Roman"/>
          <w:szCs w:val="20"/>
          <w:lang w:val="en-GB"/>
        </w:rPr>
        <w:t xml:space="preserve"> </w:t>
      </w:r>
      <w:r w:rsidRPr="009C48DA">
        <w:rPr>
          <w:rFonts w:cs="Times New Roman"/>
          <w:szCs w:val="20"/>
          <w:lang w:val="en-GB"/>
        </w:rPr>
        <w:t>authorised entity, each of which might have a material adverse effect on its business, results of operations, financial condition or prospects.</w:t>
      </w:r>
    </w:p>
    <w:p w:rsidRPr="009C48DA" w:rsidR="00A503E4" w:rsidP="00A503E4" w:rsidRDefault="00A503E4" w14:paraId="28187926" w14:textId="77777777">
      <w:pPr>
        <w:pStyle w:val="BlockTextSglJ"/>
        <w:ind w:firstLine="720"/>
        <w:rPr>
          <w:rFonts w:cs="Times New Roman"/>
          <w:szCs w:val="20"/>
          <w:lang w:val="en-GB"/>
        </w:rPr>
      </w:pPr>
      <w:r w:rsidRPr="009C48DA">
        <w:rPr>
          <w:rFonts w:cs="Times New Roman"/>
          <w:szCs w:val="20"/>
          <w:lang w:val="en-GB"/>
        </w:rPr>
        <w:t xml:space="preserve">Failure to notify the FCA or obtain the required approval in relation to a change in control prior to such change occurring amounts to a criminal offence, and the target entity or a shareholder may be liable to pay a fine on summary conviction or indictment. </w:t>
      </w:r>
    </w:p>
    <w:p w:rsidRPr="009C48DA" w:rsidR="00A503E4" w:rsidP="00A503E4" w:rsidRDefault="00A503E4" w14:paraId="4DEC666B" w14:textId="5B239768">
      <w:pPr>
        <w:pStyle w:val="BlockTextSglJ"/>
        <w:ind w:firstLine="720"/>
        <w:rPr>
          <w:rFonts w:cs="Times New Roman"/>
          <w:szCs w:val="20"/>
          <w:lang w:val="en-GB"/>
        </w:rPr>
      </w:pPr>
      <w:r w:rsidRPr="009C48DA">
        <w:rPr>
          <w:rFonts w:cs="Times New Roman"/>
          <w:szCs w:val="20"/>
          <w:lang w:val="en-GB"/>
        </w:rPr>
        <w:lastRenderedPageBreak/>
        <w:t xml:space="preserve">The applicable laws in respect of change in control may be subject to change and could become more restrictive, discouraging potential future acquisition proposals and delaying, deterring or preventing potential acquirers of ordinary shares in </w:t>
      </w:r>
      <w:r w:rsidRPr="009C48DA" w:rsidR="00794BFF">
        <w:rPr>
          <w:rFonts w:cs="Times New Roman"/>
          <w:szCs w:val="20"/>
          <w:lang w:val="en-GB"/>
        </w:rPr>
        <w:t>Atlantic Investments Holdings Limited</w:t>
      </w:r>
      <w:r w:rsidRPr="009C48DA">
        <w:rPr>
          <w:rFonts w:cs="Times New Roman"/>
          <w:szCs w:val="20"/>
          <w:lang w:val="en-GB"/>
        </w:rPr>
        <w:t xml:space="preserve"> which may, in turn, reduce the value of the ordinary shares in </w:t>
      </w:r>
      <w:r w:rsidRPr="009C48DA" w:rsidR="00794BFF">
        <w:rPr>
          <w:rFonts w:cs="Times New Roman"/>
          <w:szCs w:val="20"/>
          <w:lang w:val="en-GB"/>
        </w:rPr>
        <w:t>Atlantic Investments Holdings Limited</w:t>
      </w:r>
      <w:r w:rsidRPr="009C48DA">
        <w:rPr>
          <w:rFonts w:cs="Times New Roman"/>
          <w:szCs w:val="20"/>
          <w:lang w:val="en-GB"/>
        </w:rPr>
        <w:t xml:space="preserve">. </w:t>
      </w:r>
    </w:p>
    <w:p w:rsidRPr="009C48DA" w:rsidR="00D756AC" w:rsidP="000C376E" w:rsidRDefault="00D756AC" w14:paraId="0E023086" w14:textId="39FDF65F">
      <w:pPr>
        <w:pStyle w:val="TitleB"/>
        <w:rPr>
          <w:lang w:val="en-GB"/>
        </w:rPr>
      </w:pPr>
      <w:r w:rsidRPr="009C48DA">
        <w:rPr>
          <w:lang w:val="en-GB"/>
        </w:rPr>
        <w:t>The Proposed UK Investment Firm Prudential Regime</w:t>
      </w:r>
    </w:p>
    <w:p w:rsidRPr="009C48DA" w:rsidR="00D756AC" w:rsidP="00D756AC" w:rsidRDefault="00D756AC" w14:paraId="5071114E" w14:textId="3E9ED8E1">
      <w:pPr>
        <w:pStyle w:val="BodyText2SglJ"/>
        <w:rPr>
          <w:rFonts w:eastAsia="Calibri" w:cs="Arial"/>
          <w:szCs w:val="20"/>
          <w:lang w:val="en-GB"/>
        </w:rPr>
      </w:pPr>
      <w:r w:rsidRPr="009C48DA">
        <w:rPr>
          <w:rFonts w:eastAsia="Calibri" w:cs="Arial"/>
          <w:szCs w:val="20"/>
          <w:lang w:val="en-GB"/>
        </w:rPr>
        <w:t xml:space="preserve">From 26 June 2021, firms in the EEA which are authorised under MiFID II will be subject to a new framework for prudential requirements under the IFR and IFD, replacing the current requirements set out in the CRD IV and CRR. Following its withdrawal from the European Union and EEA, the UK intends to introduce a similarly updated regime for UK-authorised investment firms, which will be similar, though not identical, to that under IFR/IFD. This regime is referred to as the IFPR. </w:t>
      </w:r>
    </w:p>
    <w:p w:rsidRPr="009C48DA" w:rsidR="00D756AC" w:rsidP="00D756AC" w:rsidRDefault="00D756AC" w14:paraId="1CB1BD2C" w14:textId="475B5F06">
      <w:pPr>
        <w:pStyle w:val="BodyText2SglJ"/>
        <w:rPr>
          <w:rFonts w:eastAsia="Calibri" w:cs="Arial"/>
          <w:szCs w:val="20"/>
          <w:lang w:val="en-GB"/>
        </w:rPr>
      </w:pPr>
      <w:r w:rsidRPr="009C48DA">
        <w:rPr>
          <w:rFonts w:eastAsia="Calibri" w:cs="Arial"/>
          <w:szCs w:val="20"/>
          <w:lang w:val="en-GB"/>
        </w:rPr>
        <w:t xml:space="preserve">The IFPR is intended to come into force on 1 January 2022, and is currently subject to a series of consultation papers by the FCA. A final consultation paper is expected to be published in the third quarter of 2021, with policy statements setting out final rules expected to be published </w:t>
      </w:r>
      <w:r w:rsidRPr="009C48DA" w:rsidR="00785ED0">
        <w:rPr>
          <w:rFonts w:eastAsia="Calibri" w:cs="Arial"/>
          <w:szCs w:val="20"/>
          <w:lang w:val="en-GB"/>
        </w:rPr>
        <w:t xml:space="preserve">during </w:t>
      </w:r>
      <w:r w:rsidRPr="009C48DA">
        <w:rPr>
          <w:rFonts w:eastAsia="Calibri" w:cs="Arial"/>
          <w:szCs w:val="20"/>
          <w:lang w:val="en-GB"/>
        </w:rPr>
        <w:t xml:space="preserve">2021. Certain companies of the Group are UK-authorised investment firms and will be subject to the IFPR. As a result, these companies will need to comply with the changes to the existing prudential regime set out therein. </w:t>
      </w:r>
    </w:p>
    <w:p w:rsidRPr="009C48DA" w:rsidR="00D756AC" w:rsidP="00D756AC" w:rsidRDefault="00D756AC" w14:paraId="69B300AC" w14:textId="60D28095">
      <w:pPr>
        <w:pStyle w:val="BodyText2SglJ"/>
        <w:rPr>
          <w:rFonts w:eastAsia="Calibri" w:cs="Arial"/>
          <w:szCs w:val="20"/>
          <w:lang w:val="en-GB"/>
        </w:rPr>
      </w:pPr>
      <w:r w:rsidRPr="009C48DA">
        <w:rPr>
          <w:rFonts w:eastAsia="Calibri" w:cs="Arial"/>
          <w:szCs w:val="20"/>
          <w:lang w:val="en-GB"/>
        </w:rPr>
        <w:t xml:space="preserve">In summary, the IFPR introduces a number of changes which will affect in-scope </w:t>
      </w:r>
      <w:r w:rsidRPr="009C48DA" w:rsidR="00D46607">
        <w:rPr>
          <w:lang w:val="en-GB"/>
        </w:rPr>
        <w:t>Bridgepoint</w:t>
      </w:r>
      <w:r w:rsidRPr="009C48DA" w:rsidR="00D46607">
        <w:rPr>
          <w:rFonts w:eastAsia="Calibri" w:cs="Arial"/>
          <w:szCs w:val="20"/>
          <w:lang w:val="en-GB"/>
        </w:rPr>
        <w:t xml:space="preserve"> </w:t>
      </w:r>
      <w:r w:rsidRPr="009C48DA">
        <w:rPr>
          <w:rFonts w:eastAsia="Calibri" w:cs="Arial"/>
          <w:szCs w:val="20"/>
          <w:lang w:val="en-GB"/>
        </w:rPr>
        <w:t>entities:</w:t>
      </w:r>
    </w:p>
    <w:p w:rsidRPr="009C48DA" w:rsidR="00D756AC" w:rsidP="00D756AC" w:rsidRDefault="00D756AC" w14:paraId="132DAF76" w14:textId="322C8392">
      <w:pPr>
        <w:pStyle w:val="STBBullet3"/>
        <w:rPr>
          <w:rFonts w:eastAsia="Calibri" w:cs="Arial"/>
          <w:szCs w:val="20"/>
          <w:lang w:val="en-GB"/>
        </w:rPr>
      </w:pPr>
      <w:r w:rsidRPr="009C48DA">
        <w:rPr>
          <w:rFonts w:eastAsia="Calibri" w:cs="Arial"/>
          <w:szCs w:val="20"/>
          <w:lang w:val="en-GB"/>
        </w:rPr>
        <w:t>a new methodology for the calculation of capital requirements, based on “K-factors”, which are applied to a firm depending on the nature of the activities it undertakes and the permissions that it holds; specifically, the IFPR sets out “risk to customer” K-factors that are potentially applicable to all firms, based on assets under management, client money held, asse</w:t>
      </w:r>
      <w:r w:rsidRPr="009C48DA" w:rsidR="00561C09">
        <w:rPr>
          <w:rFonts w:eastAsia="Calibri" w:cs="Arial"/>
          <w:szCs w:val="20"/>
          <w:lang w:val="en-GB"/>
        </w:rPr>
        <w:t>ts safeguarded and administered</w:t>
      </w:r>
      <w:r w:rsidRPr="009C48DA">
        <w:rPr>
          <w:rFonts w:eastAsia="Calibri" w:cs="Arial"/>
          <w:szCs w:val="20"/>
          <w:lang w:val="en-GB"/>
        </w:rPr>
        <w:t xml:space="preserve"> </w:t>
      </w:r>
      <w:r w:rsidRPr="009C48DA" w:rsidR="00494016">
        <w:rPr>
          <w:rFonts w:eastAsia="Calibri" w:cs="Arial"/>
          <w:szCs w:val="20"/>
          <w:lang w:val="en-GB"/>
        </w:rPr>
        <w:t>and client orders handled (</w:t>
      </w:r>
      <w:r w:rsidRPr="009C48DA" w:rsidR="00494016">
        <w:rPr>
          <w:rFonts w:eastAsia="Calibri" w:cs="Arial"/>
          <w:i/>
          <w:szCs w:val="20"/>
          <w:lang w:val="en-GB"/>
        </w:rPr>
        <w:t>i.e.</w:t>
      </w:r>
      <w:r w:rsidRPr="009C48DA">
        <w:rPr>
          <w:rFonts w:eastAsia="Calibri" w:cs="Arial"/>
          <w:szCs w:val="20"/>
          <w:lang w:val="en-GB"/>
        </w:rPr>
        <w:t xml:space="preserve"> orders received/transmitted or executed for clients); additional K-factors apply where a firm holds permission to deal as principal, relating to “risk to market” and “risk to firm” categories;</w:t>
      </w:r>
    </w:p>
    <w:p w:rsidRPr="009C48DA" w:rsidR="00D756AC" w:rsidP="00D756AC" w:rsidRDefault="00D756AC" w14:paraId="5AB107B3" w14:textId="77777777">
      <w:pPr>
        <w:pStyle w:val="STBBullet3"/>
        <w:rPr>
          <w:rFonts w:eastAsia="Calibri" w:cs="Arial"/>
          <w:szCs w:val="20"/>
          <w:lang w:val="en-GB"/>
        </w:rPr>
      </w:pPr>
      <w:r w:rsidRPr="009C48DA">
        <w:rPr>
          <w:rFonts w:eastAsia="Calibri" w:cs="Arial"/>
          <w:szCs w:val="20"/>
          <w:lang w:val="en-GB"/>
        </w:rPr>
        <w:t xml:space="preserve">new initial capital, own funds, fixed overheads and permanent minimum capital requirements, with most firms being likely to see an increase in initial capital requirements under the new IFPR methodology; </w:t>
      </w:r>
    </w:p>
    <w:p w:rsidRPr="009C48DA" w:rsidR="00D756AC" w:rsidP="00D756AC" w:rsidRDefault="00D756AC" w14:paraId="548142F4" w14:textId="77777777">
      <w:pPr>
        <w:pStyle w:val="STBBullet3"/>
        <w:rPr>
          <w:rFonts w:eastAsia="Calibri" w:cs="Arial"/>
          <w:szCs w:val="20"/>
          <w:lang w:val="en-GB"/>
        </w:rPr>
      </w:pPr>
      <w:r w:rsidRPr="009C48DA">
        <w:rPr>
          <w:rFonts w:eastAsia="Calibri" w:cs="Arial"/>
          <w:szCs w:val="20"/>
          <w:lang w:val="en-GB"/>
        </w:rPr>
        <w:t>new liquid assets requirements, based on calculations including the firm’s fixed overheads and any guarantees given to clients; and</w:t>
      </w:r>
    </w:p>
    <w:p w:rsidRPr="009C48DA" w:rsidR="00D756AC" w:rsidP="00D756AC" w:rsidRDefault="00D756AC" w14:paraId="7DF27E2D" w14:textId="375B35CC">
      <w:pPr>
        <w:pStyle w:val="STBBullet3"/>
        <w:rPr>
          <w:rFonts w:eastAsia="Calibri" w:cs="Arial"/>
          <w:szCs w:val="20"/>
          <w:lang w:val="en-GB"/>
        </w:rPr>
      </w:pPr>
      <w:r w:rsidRPr="009C48DA">
        <w:rPr>
          <w:rFonts w:eastAsia="Calibri" w:cs="Arial"/>
          <w:szCs w:val="20"/>
          <w:lang w:val="en-GB"/>
        </w:rPr>
        <w:t>new additional governance, remuneration,</w:t>
      </w:r>
      <w:r w:rsidRPr="009C48DA" w:rsidR="000C43CA">
        <w:rPr>
          <w:rFonts w:eastAsia="Calibri" w:cs="Arial"/>
          <w:szCs w:val="20"/>
          <w:lang w:val="en-GB"/>
        </w:rPr>
        <w:t xml:space="preserve"> risk monitoring and management</w:t>
      </w:r>
      <w:r w:rsidRPr="009C48DA">
        <w:rPr>
          <w:rFonts w:eastAsia="Calibri" w:cs="Arial"/>
          <w:szCs w:val="20"/>
          <w:lang w:val="en-GB"/>
        </w:rPr>
        <w:t xml:space="preserve"> and disclosure/reporting requirements covering both disclosure to clients and reporting to the FCA. </w:t>
      </w:r>
    </w:p>
    <w:p w:rsidRPr="009C48DA" w:rsidR="00D756AC" w:rsidP="00D756AC" w:rsidRDefault="00D756AC" w14:paraId="629510FE" w14:textId="6E83837A">
      <w:pPr>
        <w:pStyle w:val="BodyText2SglJ"/>
        <w:rPr>
          <w:rFonts w:eastAsia="Calibri" w:cs="Arial"/>
          <w:szCs w:val="20"/>
          <w:lang w:val="en-GB"/>
        </w:rPr>
      </w:pPr>
      <w:r w:rsidRPr="009C48DA">
        <w:rPr>
          <w:rFonts w:eastAsia="Calibri" w:cs="Arial"/>
          <w:szCs w:val="20"/>
          <w:lang w:val="en-GB"/>
        </w:rPr>
        <w:t xml:space="preserve">As the IFPR is currently still subject to ongoing consultation by the FCA, </w:t>
      </w:r>
      <w:r w:rsidRPr="009C48DA" w:rsidR="00D46607">
        <w:rPr>
          <w:lang w:val="en-GB"/>
        </w:rPr>
        <w:t>Bridgepoint</w:t>
      </w:r>
      <w:r w:rsidRPr="009C48DA" w:rsidR="00D46607">
        <w:rPr>
          <w:rFonts w:eastAsia="Calibri" w:cs="Arial"/>
          <w:szCs w:val="20"/>
          <w:lang w:val="en-GB"/>
        </w:rPr>
        <w:t xml:space="preserve"> </w:t>
      </w:r>
      <w:r w:rsidRPr="009C48DA">
        <w:rPr>
          <w:rFonts w:eastAsia="Calibri" w:cs="Arial"/>
          <w:szCs w:val="20"/>
          <w:lang w:val="en-GB"/>
        </w:rPr>
        <w:t>is assessing the impact on in-scope firms in the Group and will take steps to comply with the new regime once applicable rules are finalised. Compliance with the regime may involve additional costs which may indirectly affect the Group and the Company. However, the Directors do not expect that the new regime will have a material e</w:t>
      </w:r>
      <w:r w:rsidRPr="009C48DA" w:rsidR="004977ED">
        <w:rPr>
          <w:rFonts w:eastAsia="Calibri" w:cs="Arial"/>
          <w:szCs w:val="20"/>
          <w:lang w:val="en-GB"/>
        </w:rPr>
        <w:t>ffect on liquidity in the short-</w:t>
      </w:r>
      <w:r w:rsidRPr="009C48DA">
        <w:rPr>
          <w:rFonts w:eastAsia="Calibri" w:cs="Arial"/>
          <w:szCs w:val="20"/>
          <w:lang w:val="en-GB"/>
        </w:rPr>
        <w:t xml:space="preserve">term as it expects that the requirements will be satisfied to a large extent through </w:t>
      </w:r>
      <w:r w:rsidRPr="009C48DA" w:rsidR="00C90F62">
        <w:rPr>
          <w:rFonts w:eastAsia="Calibri" w:cs="Arial"/>
          <w:szCs w:val="20"/>
          <w:lang w:val="en-GB"/>
        </w:rPr>
        <w:t xml:space="preserve">existing capital within the Group and </w:t>
      </w:r>
      <w:r w:rsidRPr="009C48DA">
        <w:rPr>
          <w:rFonts w:eastAsia="Calibri" w:cs="Arial"/>
          <w:szCs w:val="20"/>
          <w:lang w:val="en-GB"/>
        </w:rPr>
        <w:t>cash flows from the Group’s operations.</w:t>
      </w:r>
    </w:p>
    <w:p w:rsidRPr="009C48DA" w:rsidR="003F7555" w:rsidP="003F7555" w:rsidRDefault="003F7555" w14:paraId="16488121" w14:textId="36BD2DE1">
      <w:pPr>
        <w:pStyle w:val="TitleBAllCaps"/>
      </w:pPr>
      <w:r w:rsidRPr="009C48DA">
        <w:t>THE UNITED STATES OF AMERICA</w:t>
      </w:r>
    </w:p>
    <w:p w:rsidRPr="009C48DA" w:rsidR="00BC4768" w:rsidP="003F7555" w:rsidRDefault="00BC4768" w14:paraId="6FBD0D77" w14:textId="77777777">
      <w:pPr>
        <w:pStyle w:val="TitleB"/>
        <w:rPr>
          <w:lang w:val="en-GB"/>
        </w:rPr>
      </w:pPr>
      <w:r w:rsidRPr="009C48DA">
        <w:rPr>
          <w:lang w:val="en-GB"/>
        </w:rPr>
        <w:t>The Advisers Act</w:t>
      </w:r>
    </w:p>
    <w:p w:rsidRPr="009C48DA" w:rsidR="00BC4768" w:rsidP="00D46607" w:rsidRDefault="00BC4768" w14:paraId="42BA74E2" w14:textId="33BC7E63">
      <w:pPr>
        <w:pStyle w:val="BodyText2SglJ"/>
        <w:rPr>
          <w:rFonts w:eastAsia="Calibri" w:cs="Arial"/>
          <w:szCs w:val="20"/>
          <w:lang w:val="en-GB"/>
        </w:rPr>
      </w:pPr>
      <w:r w:rsidRPr="009C48DA">
        <w:rPr>
          <w:rFonts w:eastAsia="Calibri" w:cs="Arial"/>
          <w:szCs w:val="20"/>
          <w:lang w:val="en-GB"/>
        </w:rPr>
        <w:t>Certain management and advisory companies within the Group</w:t>
      </w:r>
      <w:r w:rsidRPr="009C48DA" w:rsidR="006876CA">
        <w:rPr>
          <w:rFonts w:eastAsia="Calibri" w:cs="Arial"/>
          <w:szCs w:val="20"/>
          <w:lang w:val="en-GB"/>
        </w:rPr>
        <w:t xml:space="preserve"> </w:t>
      </w:r>
      <w:r w:rsidRPr="009C48DA">
        <w:rPr>
          <w:rFonts w:eastAsia="Calibri" w:cs="Arial"/>
          <w:szCs w:val="20"/>
          <w:lang w:val="en-GB"/>
        </w:rPr>
        <w:t>–</w:t>
      </w:r>
      <w:r w:rsidRPr="009C48DA" w:rsidR="006876CA">
        <w:rPr>
          <w:rFonts w:eastAsia="Calibri" w:cs="Arial"/>
          <w:szCs w:val="20"/>
          <w:lang w:val="en-GB"/>
        </w:rPr>
        <w:t xml:space="preserve"> </w:t>
      </w:r>
      <w:r w:rsidRPr="009C48DA" w:rsidR="0036034E">
        <w:rPr>
          <w:rFonts w:eastAsia="Calibri" w:cs="Arial"/>
          <w:szCs w:val="20"/>
          <w:lang w:val="en-GB"/>
        </w:rPr>
        <w:t xml:space="preserve">namely, </w:t>
      </w:r>
      <w:r w:rsidRPr="009C48DA" w:rsidR="00D46607">
        <w:rPr>
          <w:rFonts w:eastAsia="Calibri" w:cs="Arial"/>
          <w:szCs w:val="20"/>
          <w:lang w:val="en-GB"/>
        </w:rPr>
        <w:t xml:space="preserve">Bridgepoint </w:t>
      </w:r>
      <w:r w:rsidRPr="009C48DA" w:rsidR="0036034E">
        <w:rPr>
          <w:rFonts w:eastAsia="Calibri" w:cs="Arial"/>
          <w:szCs w:val="20"/>
          <w:lang w:val="en-GB"/>
        </w:rPr>
        <w:t xml:space="preserve">Advisers Limited, </w:t>
      </w:r>
      <w:r w:rsidRPr="009C48DA" w:rsidR="00D46607">
        <w:rPr>
          <w:rFonts w:eastAsia="Calibri" w:cs="Arial"/>
          <w:szCs w:val="20"/>
          <w:lang w:val="en-GB"/>
        </w:rPr>
        <w:t xml:space="preserve">Bridgepoint </w:t>
      </w:r>
      <w:r w:rsidRPr="009C48DA">
        <w:rPr>
          <w:rFonts w:eastAsia="Calibri" w:cs="Arial"/>
          <w:szCs w:val="20"/>
          <w:lang w:val="en-GB"/>
        </w:rPr>
        <w:t>Advisers I</w:t>
      </w:r>
      <w:r w:rsidRPr="009C48DA" w:rsidR="0036034E">
        <w:rPr>
          <w:rFonts w:eastAsia="Calibri" w:cs="Arial"/>
          <w:szCs w:val="20"/>
          <w:lang w:val="en-GB"/>
        </w:rPr>
        <w:t xml:space="preserve">I Limited, </w:t>
      </w:r>
      <w:r w:rsidRPr="009C48DA" w:rsidR="00961BEE">
        <w:rPr>
          <w:lang w:val="en-GB"/>
        </w:rPr>
        <w:t>Bridgepoint</w:t>
      </w:r>
      <w:r w:rsidRPr="009C48DA" w:rsidR="00961BEE">
        <w:rPr>
          <w:rFonts w:eastAsia="Calibri" w:cs="Arial"/>
          <w:szCs w:val="20"/>
          <w:lang w:val="en-GB"/>
        </w:rPr>
        <w:t xml:space="preserve"> </w:t>
      </w:r>
      <w:r w:rsidRPr="009C48DA">
        <w:rPr>
          <w:rFonts w:eastAsia="Calibri" w:cs="Arial"/>
          <w:szCs w:val="20"/>
          <w:lang w:val="en-GB"/>
        </w:rPr>
        <w:t>Credit Services S.à</w:t>
      </w:r>
      <w:r w:rsidRPr="009C48DA" w:rsidR="0036034E">
        <w:rPr>
          <w:rFonts w:eastAsia="Calibri" w:cs="Arial"/>
          <w:szCs w:val="20"/>
          <w:lang w:val="en-GB"/>
        </w:rPr>
        <w:t xml:space="preserve"> r.l., </w:t>
      </w:r>
      <w:r w:rsidRPr="009C48DA" w:rsidR="00961BEE">
        <w:rPr>
          <w:lang w:val="en-GB"/>
        </w:rPr>
        <w:t>Bridgepoint</w:t>
      </w:r>
      <w:r w:rsidRPr="009C48DA" w:rsidR="00961BEE">
        <w:rPr>
          <w:rFonts w:eastAsia="Calibri" w:cs="Arial"/>
          <w:szCs w:val="20"/>
          <w:lang w:val="en-GB"/>
        </w:rPr>
        <w:t xml:space="preserve"> </w:t>
      </w:r>
      <w:r w:rsidRPr="009C48DA" w:rsidR="0036034E">
        <w:rPr>
          <w:rFonts w:eastAsia="Calibri" w:cs="Arial"/>
          <w:szCs w:val="20"/>
          <w:lang w:val="en-GB"/>
        </w:rPr>
        <w:t xml:space="preserve">Credit Limited and </w:t>
      </w:r>
      <w:r w:rsidRPr="009C48DA" w:rsidR="00961BEE">
        <w:rPr>
          <w:lang w:val="en-GB"/>
        </w:rPr>
        <w:t>Bridgepoint</w:t>
      </w:r>
      <w:r w:rsidRPr="009C48DA" w:rsidR="00961BEE">
        <w:rPr>
          <w:rFonts w:eastAsia="Calibri" w:cs="Arial"/>
          <w:szCs w:val="20"/>
          <w:lang w:val="en-GB"/>
        </w:rPr>
        <w:t xml:space="preserve"> </w:t>
      </w:r>
      <w:r w:rsidRPr="009C48DA">
        <w:rPr>
          <w:rFonts w:eastAsia="Calibri" w:cs="Arial"/>
          <w:szCs w:val="20"/>
          <w:lang w:val="en-GB"/>
        </w:rPr>
        <w:t>Credit Advisers UK Limited (the “</w:t>
      </w:r>
      <w:r w:rsidRPr="009C48DA" w:rsidR="00961BEE">
        <w:rPr>
          <w:rFonts w:eastAsia="Calibri" w:cs="Arial"/>
          <w:b/>
          <w:szCs w:val="20"/>
          <w:lang w:val="en-GB"/>
        </w:rPr>
        <w:t xml:space="preserve">Bridgepoint </w:t>
      </w:r>
      <w:r w:rsidRPr="009C48DA">
        <w:rPr>
          <w:rFonts w:eastAsia="Calibri" w:cs="Arial"/>
          <w:b/>
          <w:szCs w:val="20"/>
          <w:lang w:val="en-GB"/>
        </w:rPr>
        <w:t>ERAs</w:t>
      </w:r>
      <w:r w:rsidRPr="009C48DA">
        <w:rPr>
          <w:rFonts w:eastAsia="Calibri" w:cs="Arial"/>
          <w:szCs w:val="20"/>
          <w:lang w:val="en-GB"/>
        </w:rPr>
        <w:t>”)</w:t>
      </w:r>
      <w:r w:rsidRPr="009C48DA" w:rsidR="006876CA">
        <w:rPr>
          <w:rFonts w:eastAsia="Calibri" w:cs="Arial"/>
          <w:szCs w:val="20"/>
          <w:lang w:val="en-GB"/>
        </w:rPr>
        <w:t xml:space="preserve"> </w:t>
      </w:r>
      <w:r w:rsidRPr="009C48DA">
        <w:rPr>
          <w:rFonts w:eastAsia="Calibri" w:cs="Arial"/>
          <w:szCs w:val="20"/>
          <w:lang w:val="en-GB"/>
        </w:rPr>
        <w:t>–</w:t>
      </w:r>
      <w:r w:rsidRPr="009C48DA" w:rsidR="006876CA">
        <w:rPr>
          <w:rFonts w:eastAsia="Calibri" w:cs="Arial"/>
          <w:szCs w:val="20"/>
          <w:lang w:val="en-GB"/>
        </w:rPr>
        <w:t xml:space="preserve"> </w:t>
      </w:r>
      <w:r w:rsidRPr="009C48DA">
        <w:rPr>
          <w:rFonts w:eastAsia="Calibri" w:cs="Arial"/>
          <w:szCs w:val="20"/>
          <w:lang w:val="en-GB"/>
        </w:rPr>
        <w:t>qualify for an exemption from the registration requirements under the U.S. Investment Advisers Act of 1940, as amended, (the “</w:t>
      </w:r>
      <w:r w:rsidRPr="009C48DA">
        <w:rPr>
          <w:rFonts w:eastAsia="Calibri" w:cs="Arial"/>
          <w:b/>
          <w:szCs w:val="20"/>
          <w:lang w:val="en-GB"/>
        </w:rPr>
        <w:t>Advisers Act</w:t>
      </w:r>
      <w:r w:rsidRPr="009C48DA">
        <w:rPr>
          <w:rFonts w:eastAsia="Calibri" w:cs="Arial"/>
          <w:szCs w:val="20"/>
          <w:lang w:val="en-GB"/>
        </w:rPr>
        <w:t>”) but file reports with the U.S. Securities and Exchange Commission (the “</w:t>
      </w:r>
      <w:r w:rsidRPr="009C48DA">
        <w:rPr>
          <w:rFonts w:eastAsia="Calibri" w:cs="Arial"/>
          <w:b/>
          <w:szCs w:val="20"/>
          <w:lang w:val="en-GB"/>
        </w:rPr>
        <w:t>SEC</w:t>
      </w:r>
      <w:r w:rsidRPr="009C48DA">
        <w:rPr>
          <w:rFonts w:eastAsia="Calibri" w:cs="Arial"/>
          <w:szCs w:val="20"/>
          <w:lang w:val="en-GB"/>
        </w:rPr>
        <w:t xml:space="preserve">”) as “exempt reporting advisers” pursuant to the terms of the registration exemption on which they rely. Provisions of the Advisers Act that apply only to registered investment advisers do not apply to exempt reporting advisers. However, exempt reporting advisers are subject to some of the requirements and regulations of the Advisers Act. Such requirements and regulations include, among other things, fiduciary duties to advisory clients, </w:t>
      </w:r>
      <w:r w:rsidRPr="009C48DA">
        <w:rPr>
          <w:rFonts w:eastAsia="Calibri" w:cs="Arial"/>
          <w:szCs w:val="20"/>
          <w:lang w:val="en-GB"/>
        </w:rPr>
        <w:lastRenderedPageBreak/>
        <w:t xml:space="preserve">recordkeeping and regulatory reporting requirements, disclosure obligations, limitations on agency cross and principal transactions between an adviser and its advisory clients, anti-corruption rules relating to investors associated with U.S. state or local governments and general anti-fraud prohibitions. </w:t>
      </w:r>
    </w:p>
    <w:p w:rsidRPr="009C48DA" w:rsidR="00BC4768" w:rsidP="00961BEE" w:rsidRDefault="00BC4768" w14:paraId="0622D640" w14:textId="014E26F3">
      <w:pPr>
        <w:pStyle w:val="BodyText2SglJ"/>
        <w:rPr>
          <w:rFonts w:eastAsia="Calibri" w:cs="Arial"/>
          <w:szCs w:val="20"/>
          <w:lang w:val="en-GB"/>
        </w:rPr>
      </w:pPr>
      <w:r w:rsidRPr="009C48DA">
        <w:rPr>
          <w:rFonts w:eastAsia="Calibri" w:cs="Arial"/>
          <w:szCs w:val="20"/>
          <w:lang w:val="en-GB"/>
        </w:rPr>
        <w:t>The terms of this Advisers Act exem</w:t>
      </w:r>
      <w:r w:rsidRPr="009C48DA" w:rsidR="0036034E">
        <w:rPr>
          <w:rFonts w:eastAsia="Calibri" w:cs="Arial"/>
          <w:szCs w:val="20"/>
          <w:lang w:val="en-GB"/>
        </w:rPr>
        <w:t xml:space="preserve">ption limit the ability of the </w:t>
      </w:r>
      <w:r w:rsidRPr="009C48DA" w:rsidR="00961BEE">
        <w:rPr>
          <w:lang w:val="en-GB"/>
        </w:rPr>
        <w:t>Bridgepoint</w:t>
      </w:r>
      <w:r w:rsidRPr="009C48DA" w:rsidR="00961BEE">
        <w:rPr>
          <w:rFonts w:eastAsia="Calibri" w:cs="Arial"/>
          <w:szCs w:val="20"/>
          <w:lang w:val="en-GB"/>
        </w:rPr>
        <w:t xml:space="preserve"> </w:t>
      </w:r>
      <w:r w:rsidRPr="009C48DA">
        <w:rPr>
          <w:rFonts w:eastAsia="Calibri" w:cs="Arial"/>
          <w:szCs w:val="20"/>
          <w:lang w:val="en-GB"/>
        </w:rPr>
        <w:t>ERAs to expand their investment advisory businesses into the United States for so long as they remain unregistered under the Advisers Act. Most notably</w:t>
      </w:r>
      <w:r w:rsidRPr="009C48DA" w:rsidR="0036034E">
        <w:rPr>
          <w:rFonts w:eastAsia="Calibri" w:cs="Arial"/>
          <w:szCs w:val="20"/>
          <w:lang w:val="en-GB"/>
        </w:rPr>
        <w:t xml:space="preserve">, the exemption restricts each </w:t>
      </w:r>
      <w:r w:rsidRPr="009C48DA" w:rsidR="00961BEE">
        <w:rPr>
          <w:lang w:val="en-GB"/>
        </w:rPr>
        <w:t>Bridgepoint</w:t>
      </w:r>
      <w:r w:rsidRPr="009C48DA" w:rsidR="00961BEE">
        <w:rPr>
          <w:rFonts w:eastAsia="Calibri" w:cs="Arial"/>
          <w:szCs w:val="20"/>
          <w:lang w:val="en-GB"/>
        </w:rPr>
        <w:t xml:space="preserve"> </w:t>
      </w:r>
      <w:r w:rsidRPr="009C48DA">
        <w:rPr>
          <w:rFonts w:eastAsia="Calibri" w:cs="Arial"/>
          <w:szCs w:val="20"/>
          <w:lang w:val="en-GB"/>
        </w:rPr>
        <w:t xml:space="preserve">ERA from entering into a separately managed account arrangement with any U.S. investor, managing US$150 million or more in private fund assets at a U.S. place of business or managing any separately managed account client assets (even for a non-U.S. investor) at a U.S. place of business. </w:t>
      </w:r>
    </w:p>
    <w:p w:rsidRPr="009C48DA" w:rsidR="00BC4768" w:rsidP="00961BEE" w:rsidRDefault="00BC4768" w14:paraId="0182080E" w14:textId="77777777">
      <w:pPr>
        <w:pStyle w:val="BodyText2SglJ"/>
        <w:rPr>
          <w:rFonts w:eastAsia="Calibri" w:cs="Arial"/>
          <w:szCs w:val="20"/>
          <w:lang w:val="en-GB"/>
        </w:rPr>
      </w:pPr>
      <w:r w:rsidRPr="009C48DA">
        <w:rPr>
          <w:rFonts w:eastAsia="Calibri" w:cs="Arial"/>
          <w:szCs w:val="20"/>
          <w:lang w:val="en-GB"/>
        </w:rPr>
        <w:t>While there are currently no Group entities that are registered with the SEC under the Advisers Act, it is possible that one or more Group entities will register with the SEC in the future. In addition to being subject to the same Advisers Act requirements and regulations that apply to exempt reporting advisers (as described above), investment advisers registered with the SEC are also subject to the Advisers Act requirements and regulations that apply specifically to registered investment advisers. Such requirements and regulations include, among other things, compliance program obligations, more extensive recordkeeping, regulatory reporting and disclosure requirements, advertising and solicitation rules, mandated safeguards for protecting client funds and securities, restrictions on advisory contract assignments and performance fee arrangements and proxy voting requirements.</w:t>
      </w:r>
    </w:p>
    <w:p w:rsidRPr="009C48DA" w:rsidR="00BC4768" w:rsidP="00961BEE" w:rsidRDefault="00BC4768" w14:paraId="747BBA67" w14:textId="0A5BCC44">
      <w:pPr>
        <w:pStyle w:val="BodyText2SglJ"/>
        <w:rPr>
          <w:rFonts w:eastAsia="Calibri" w:cs="Arial"/>
          <w:szCs w:val="20"/>
          <w:lang w:val="en-GB"/>
        </w:rPr>
      </w:pPr>
      <w:r w:rsidRPr="009C48DA">
        <w:rPr>
          <w:rFonts w:eastAsia="Calibri" w:cs="Arial"/>
          <w:szCs w:val="20"/>
          <w:lang w:val="en-GB"/>
        </w:rPr>
        <w:t>If a Group entity registers with the SEC as a registered investment adviser under the Advisers Act, it will be subject to periodic inspections by the SEC. A regular or routine SEC inspection will typically involve, at a minimum, a careful review of the adviser’s books and records and may include interviewing employees. The SEC inspection staff may also conduct more frequent examinations focusing on a limited number of specific issues or conduct an examination “for cause.” In addition, although registered investment advisers are generally subject to a higher level of oversight by the SEC than exempt reporting advisers, the SEC is authorised under the Advisers Act to require exempt rep</w:t>
      </w:r>
      <w:r w:rsidRPr="009C48DA" w:rsidR="0036034E">
        <w:rPr>
          <w:rFonts w:eastAsia="Calibri" w:cs="Arial"/>
          <w:szCs w:val="20"/>
          <w:lang w:val="en-GB"/>
        </w:rPr>
        <w:t xml:space="preserve">orting advisers, including the </w:t>
      </w:r>
      <w:r w:rsidRPr="009C48DA" w:rsidR="00961BEE">
        <w:rPr>
          <w:lang w:val="en-GB"/>
        </w:rPr>
        <w:t>Bridgepoint</w:t>
      </w:r>
      <w:r w:rsidRPr="009C48DA" w:rsidR="00961BEE">
        <w:rPr>
          <w:rFonts w:eastAsia="Calibri" w:cs="Arial"/>
          <w:szCs w:val="20"/>
          <w:lang w:val="en-GB"/>
        </w:rPr>
        <w:t xml:space="preserve"> </w:t>
      </w:r>
      <w:r w:rsidRPr="009C48DA">
        <w:rPr>
          <w:rFonts w:eastAsia="Calibri" w:cs="Arial"/>
          <w:szCs w:val="20"/>
          <w:lang w:val="en-GB"/>
        </w:rPr>
        <w:t>ERAs, to maintain records and provide reports, and to examine these advisers’ records.</w:t>
      </w:r>
    </w:p>
    <w:p w:rsidRPr="009C48DA" w:rsidR="00BC4768" w:rsidP="00961BEE" w:rsidRDefault="00BC4768" w14:paraId="49AAFFE6" w14:textId="77777777">
      <w:pPr>
        <w:pStyle w:val="BodyText2SglJ"/>
        <w:rPr>
          <w:rFonts w:eastAsia="Calibri" w:cs="Arial"/>
          <w:szCs w:val="20"/>
          <w:lang w:val="en-GB"/>
        </w:rPr>
      </w:pPr>
      <w:r w:rsidRPr="009C48DA">
        <w:rPr>
          <w:rFonts w:eastAsia="Calibri" w:cs="Arial"/>
          <w:szCs w:val="20"/>
          <w:lang w:val="en-GB"/>
        </w:rPr>
        <w:t>The SEC may bring civil actions against investment advisers in respect of alleged breaches of their obligations under the Advisers Act, and seek damages or other relief, either in a U.S. district court or before an administrative law judge. Criminal actions under the Advisers Act are referred to the U.S. Department of Justice. The Advisers Act provides that persons who wilfully violate the provisions and rules of the Advisers Act are subject to criminal penalties of up to five years in prison and/or significant monetary penalties. In general, Section 203(e)–(f) of the Advisers Act gives the SEC the authority to discipline an adviser if, among other things, the adviser or certain persons associated with the adviser engaged in certain prohibited acts, generally including securities fraud. The disciplinary actions, orders or sanctions the SEC may impose include significant monetary penalties, disgorgement of gain, cease-and-desist orders, censure, suspension and revocation of the investment adviser’s registration. The SEC can also bar an individual from being associated with a registered investment adviser for a prescribed period or take other actions designed to prevent violations.</w:t>
      </w:r>
    </w:p>
    <w:p w:rsidRPr="009C48DA" w:rsidR="00BC4768" w:rsidP="003F7555" w:rsidRDefault="00BC4768" w14:paraId="4027F0F3" w14:textId="77777777">
      <w:pPr>
        <w:pStyle w:val="TitleB"/>
        <w:rPr>
          <w:lang w:val="en-GB"/>
        </w:rPr>
      </w:pPr>
      <w:r w:rsidRPr="009C48DA">
        <w:rPr>
          <w:lang w:val="en-GB"/>
        </w:rPr>
        <w:t>The Investment Company Act</w:t>
      </w:r>
    </w:p>
    <w:p w:rsidRPr="009C48DA" w:rsidR="00BC4768" w:rsidP="00961BEE" w:rsidRDefault="00961BEE" w14:paraId="57535E50" w14:textId="2422E6CB">
      <w:pPr>
        <w:pStyle w:val="BodyText2SglJ"/>
        <w:rPr>
          <w:rFonts w:eastAsia="Calibri" w:cs="Arial"/>
          <w:szCs w:val="20"/>
          <w:lang w:val="en-GB"/>
        </w:rPr>
      </w:pPr>
      <w:r w:rsidRPr="009C48DA">
        <w:rPr>
          <w:lang w:val="en-GB"/>
        </w:rPr>
        <w:t>Bridgepoint</w:t>
      </w:r>
      <w:r w:rsidRPr="009C48DA">
        <w:rPr>
          <w:rFonts w:eastAsia="Calibri" w:cs="Arial"/>
          <w:szCs w:val="20"/>
          <w:lang w:val="en-GB"/>
        </w:rPr>
        <w:t xml:space="preserve"> </w:t>
      </w:r>
      <w:r w:rsidRPr="009C48DA" w:rsidR="00BC4768">
        <w:rPr>
          <w:rFonts w:eastAsia="Calibri" w:cs="Arial"/>
          <w:szCs w:val="20"/>
          <w:lang w:val="en-GB"/>
        </w:rPr>
        <w:t>Funds that are marketed in the United States or to U.S. investors generally rely on the statutory exceptions from the definition of “investment company” provided by Section 3(c)(1) or Section 3(c)(7) of the Investment Company Act. Section 3(c)(7) of the Investment Company</w:t>
      </w:r>
      <w:r w:rsidRPr="009C48DA" w:rsidDel="004E2C1A" w:rsidR="00BC4768">
        <w:rPr>
          <w:rFonts w:eastAsia="Calibri" w:cs="Arial"/>
          <w:szCs w:val="20"/>
          <w:lang w:val="en-GB"/>
        </w:rPr>
        <w:t xml:space="preserve"> </w:t>
      </w:r>
      <w:r w:rsidRPr="009C48DA" w:rsidR="00BC4768">
        <w:rPr>
          <w:rFonts w:eastAsia="Calibri" w:cs="Arial"/>
          <w:szCs w:val="20"/>
          <w:lang w:val="en-GB"/>
        </w:rPr>
        <w:t xml:space="preserve">Act provides an exception for investment vehicles privately placed in the United States whose securities are beneficially owned exclusively by persons who, at the time of acquisition of such securities, are “qualified purchasers” as defined under the Investment Company Act. In addition, under current interpretations of the SEC, the exception provided by Section 3(c)(7) is available to any non-U.S. investment vehicle not publicly offered in the United States, all of whose outstanding securities are beneficially owned either by non-U.S. residents or by U.S. residents that are qualified purchasers. The exception provided by Section 3(c)(1) of the Investment Company Act is available to privately placed investment vehicles whose securities are beneficially owned by not more than 100 persons, as determined in accordance with Section 3(c)(1). Additionally, under current interpretations of the SEC, the exception provided by Section 3(c)(1) of the Investment Company Act is available to any non-U.S. investment vehicle not publicly offered in the United States, all of whose outstanding securities are beneficially owned by not more than 100 U.S. residents. For purposes of determining the number of beneficial owners of a Section 3(c)(1) investment vehicle, and </w:t>
      </w:r>
      <w:r w:rsidRPr="009C48DA" w:rsidR="00BC4768">
        <w:rPr>
          <w:rFonts w:eastAsia="Calibri" w:cs="Arial"/>
          <w:szCs w:val="20"/>
          <w:lang w:val="en-GB"/>
        </w:rPr>
        <w:lastRenderedPageBreak/>
        <w:t xml:space="preserve">whether the outstanding securities of a Section 3(c)(7) investment vehicle are owned exclusively by qualified purchasers, securities beneficially owned by “knowledgeable employees,” as defined in Rule 3c-5 under the Investment Company Act, are excluded. If for any reason one or more of these exceptions cease to be available to a </w:t>
      </w:r>
      <w:r w:rsidRPr="009C48DA">
        <w:rPr>
          <w:lang w:val="en-GB"/>
        </w:rPr>
        <w:t>Bridgepoint</w:t>
      </w:r>
      <w:r w:rsidRPr="009C48DA">
        <w:rPr>
          <w:rFonts w:eastAsia="Calibri" w:cs="Arial"/>
          <w:szCs w:val="20"/>
          <w:lang w:val="en-GB"/>
        </w:rPr>
        <w:t xml:space="preserve"> </w:t>
      </w:r>
      <w:r w:rsidRPr="009C48DA" w:rsidR="00BC4768">
        <w:rPr>
          <w:rFonts w:eastAsia="Calibri" w:cs="Arial"/>
          <w:szCs w:val="20"/>
          <w:lang w:val="en-GB"/>
        </w:rPr>
        <w:t xml:space="preserve">Fund, the </w:t>
      </w:r>
      <w:r w:rsidRPr="009C48DA">
        <w:rPr>
          <w:lang w:val="en-GB"/>
        </w:rPr>
        <w:t>Bridgepoint</w:t>
      </w:r>
      <w:r w:rsidRPr="009C48DA">
        <w:rPr>
          <w:rFonts w:eastAsia="Calibri" w:cs="Arial"/>
          <w:szCs w:val="20"/>
          <w:lang w:val="en-GB"/>
        </w:rPr>
        <w:t xml:space="preserve"> </w:t>
      </w:r>
      <w:r w:rsidRPr="009C48DA" w:rsidR="00BC4768">
        <w:rPr>
          <w:rFonts w:eastAsia="Calibri" w:cs="Arial"/>
          <w:szCs w:val="20"/>
          <w:lang w:val="en-GB"/>
        </w:rPr>
        <w:t xml:space="preserve">Fund could become subject to regulatory actions or third-party claims, which could have a material adverse effect on the </w:t>
      </w:r>
      <w:r w:rsidRPr="009C48DA">
        <w:rPr>
          <w:lang w:val="en-GB"/>
        </w:rPr>
        <w:t>Bridgepoint</w:t>
      </w:r>
      <w:r w:rsidRPr="009C48DA">
        <w:rPr>
          <w:rFonts w:eastAsia="Calibri" w:cs="Arial"/>
          <w:szCs w:val="20"/>
          <w:lang w:val="en-GB"/>
        </w:rPr>
        <w:t xml:space="preserve"> </w:t>
      </w:r>
      <w:r w:rsidRPr="009C48DA" w:rsidR="00BC4768">
        <w:rPr>
          <w:rFonts w:eastAsia="Calibri" w:cs="Arial"/>
          <w:szCs w:val="20"/>
          <w:lang w:val="en-GB"/>
        </w:rPr>
        <w:t>Fund and the Group.</w:t>
      </w:r>
    </w:p>
    <w:p w:rsidRPr="009C48DA" w:rsidR="00BC4768" w:rsidP="003F7555" w:rsidRDefault="00BC4768" w14:paraId="3455FA35" w14:textId="77777777">
      <w:pPr>
        <w:pStyle w:val="TitleB"/>
        <w:rPr>
          <w:lang w:val="en-GB"/>
        </w:rPr>
      </w:pPr>
      <w:r w:rsidRPr="009C48DA">
        <w:rPr>
          <w:lang w:val="en-GB"/>
        </w:rPr>
        <w:t>The Securities Act</w:t>
      </w:r>
    </w:p>
    <w:p w:rsidRPr="009C48DA" w:rsidR="00BC4768" w:rsidP="00961BEE" w:rsidRDefault="00961BEE" w14:paraId="616C803E" w14:textId="58645DA1">
      <w:pPr>
        <w:pStyle w:val="BodyText2SglJ"/>
        <w:rPr>
          <w:rFonts w:eastAsia="Calibri" w:cs="Arial"/>
          <w:szCs w:val="20"/>
          <w:lang w:val="en-GB"/>
        </w:rPr>
      </w:pPr>
      <w:r w:rsidRPr="009C48DA">
        <w:rPr>
          <w:lang w:val="en-GB"/>
        </w:rPr>
        <w:t>Bridgepoint</w:t>
      </w:r>
      <w:r w:rsidRPr="009C48DA">
        <w:rPr>
          <w:rFonts w:eastAsia="Calibri" w:cs="Arial"/>
          <w:szCs w:val="20"/>
          <w:lang w:val="en-GB"/>
        </w:rPr>
        <w:t xml:space="preserve"> </w:t>
      </w:r>
      <w:r w:rsidRPr="009C48DA" w:rsidR="00BC4768">
        <w:rPr>
          <w:rFonts w:eastAsia="Calibri" w:cs="Arial"/>
          <w:szCs w:val="20"/>
          <w:lang w:val="en-GB"/>
        </w:rPr>
        <w:t xml:space="preserve">Funds that are marketed in the United States or to U.S. investors generally rely on the private placement exemption set forth in Section 4(a)(2) of the Securities Act. To rely on the private placement exemption, these </w:t>
      </w:r>
      <w:r w:rsidRPr="009C48DA">
        <w:rPr>
          <w:lang w:val="en-GB"/>
        </w:rPr>
        <w:t>Bridgepoint</w:t>
      </w:r>
      <w:r w:rsidRPr="009C48DA">
        <w:rPr>
          <w:rFonts w:eastAsia="Calibri" w:cs="Arial"/>
          <w:szCs w:val="20"/>
          <w:lang w:val="en-GB"/>
        </w:rPr>
        <w:t xml:space="preserve"> </w:t>
      </w:r>
      <w:r w:rsidRPr="009C48DA" w:rsidR="00BC4768">
        <w:rPr>
          <w:rFonts w:eastAsia="Calibri" w:cs="Arial"/>
          <w:szCs w:val="20"/>
          <w:lang w:val="en-GB"/>
        </w:rPr>
        <w:t>Funds are not marketed by means of general solicitation or general advertising and do not sell their securities to U.S. investors that are not “accredited investors,” as defined in Regulation D under the Securities Act.</w:t>
      </w:r>
    </w:p>
    <w:p w:rsidRPr="009C48DA" w:rsidR="003F7555" w:rsidP="003F7555" w:rsidRDefault="003F7555" w14:paraId="4EC64208" w14:textId="74B2D04C">
      <w:pPr>
        <w:spacing w:after="240"/>
        <w:jc w:val="both"/>
        <w:rPr>
          <w:rFonts w:eastAsia="Calibri" w:cs="Arial"/>
          <w:w w:val="105"/>
          <w:sz w:val="20"/>
          <w:lang w:val="en-GB"/>
        </w:rPr>
      </w:pPr>
      <w:r w:rsidRPr="009C48DA">
        <w:rPr>
          <w:rFonts w:ascii="Times New Roman Bold" w:hAnsi="Times New Roman Bold" w:eastAsia="Calibri" w:cs="Times New Roman"/>
          <w:b/>
          <w:caps/>
          <w:sz w:val="20"/>
          <w:lang w:val="en-GB"/>
        </w:rPr>
        <w:t>France</w:t>
      </w:r>
    </w:p>
    <w:p w:rsidRPr="009C48DA" w:rsidR="00A503E4" w:rsidP="000C376E" w:rsidRDefault="00A503E4" w14:paraId="0F5599B2" w14:textId="6BA8D6E6">
      <w:pPr>
        <w:pStyle w:val="TitleB"/>
        <w:rPr>
          <w:i/>
          <w:lang w:val="en-GB"/>
        </w:rPr>
      </w:pPr>
      <w:r w:rsidRPr="009C48DA">
        <w:rPr>
          <w:lang w:val="en-GB"/>
        </w:rPr>
        <w:t>Applicable Regulatory Fram</w:t>
      </w:r>
      <w:r w:rsidRPr="009C48DA" w:rsidR="0036034E">
        <w:rPr>
          <w:lang w:val="en-GB"/>
        </w:rPr>
        <w:t xml:space="preserve">ework for </w:t>
      </w:r>
      <w:r w:rsidRPr="009C48DA" w:rsidR="00961BEE">
        <w:rPr>
          <w:lang w:val="en-GB"/>
        </w:rPr>
        <w:t xml:space="preserve">Bridgepoint </w:t>
      </w:r>
      <w:r w:rsidRPr="009C48DA">
        <w:rPr>
          <w:lang w:val="en-GB"/>
        </w:rPr>
        <w:t>Entities</w:t>
      </w:r>
    </w:p>
    <w:p w:rsidRPr="009C48DA" w:rsidR="00A503E4" w:rsidP="00A503E4" w:rsidRDefault="00961BEE" w14:paraId="61F5FFDB" w14:textId="50B8971F">
      <w:pPr>
        <w:pStyle w:val="BlockTextSglJ"/>
        <w:ind w:firstLine="720"/>
        <w:rPr>
          <w:rFonts w:cs="Times New Roman"/>
          <w:szCs w:val="20"/>
          <w:lang w:val="en-GB"/>
        </w:rPr>
      </w:pPr>
      <w:r w:rsidRPr="009C48DA">
        <w:rPr>
          <w:lang w:val="en-GB"/>
        </w:rPr>
        <w:t>Bridgepoint</w:t>
      </w:r>
      <w:r w:rsidRPr="009C48DA">
        <w:rPr>
          <w:rFonts w:cs="Times New Roman"/>
          <w:szCs w:val="20"/>
          <w:lang w:val="en-GB"/>
        </w:rPr>
        <w:t xml:space="preserve"> </w:t>
      </w:r>
      <w:r w:rsidRPr="009C48DA" w:rsidR="00A503E4">
        <w:rPr>
          <w:rFonts w:cs="Times New Roman"/>
          <w:szCs w:val="20"/>
          <w:lang w:val="en-GB"/>
        </w:rPr>
        <w:t xml:space="preserve">SAS </w:t>
      </w:r>
      <w:r w:rsidRPr="009C48DA" w:rsidR="0036034E">
        <w:rPr>
          <w:rFonts w:cs="Times New Roman"/>
          <w:szCs w:val="20"/>
          <w:lang w:val="en-GB"/>
        </w:rPr>
        <w:t xml:space="preserve">and </w:t>
      </w:r>
      <w:r w:rsidRPr="009C48DA">
        <w:rPr>
          <w:lang w:val="en-GB"/>
        </w:rPr>
        <w:t>Bridgepoint</w:t>
      </w:r>
      <w:r w:rsidRPr="009C48DA">
        <w:rPr>
          <w:rFonts w:cs="Times New Roman"/>
          <w:szCs w:val="20"/>
          <w:lang w:val="en-GB"/>
        </w:rPr>
        <w:t xml:space="preserve"> </w:t>
      </w:r>
      <w:r w:rsidRPr="009C48DA" w:rsidR="00FF6B4E">
        <w:rPr>
          <w:rFonts w:cs="Times New Roman"/>
          <w:szCs w:val="20"/>
          <w:lang w:val="en-GB"/>
        </w:rPr>
        <w:t>Credit F</w:t>
      </w:r>
      <w:r w:rsidRPr="009C48DA" w:rsidR="00611834">
        <w:rPr>
          <w:rFonts w:cs="Times New Roman"/>
          <w:szCs w:val="20"/>
          <w:lang w:val="en-GB"/>
        </w:rPr>
        <w:t>rance</w:t>
      </w:r>
      <w:r w:rsidRPr="009C48DA" w:rsidR="00FF6B4E">
        <w:rPr>
          <w:rFonts w:cs="Times New Roman"/>
          <w:szCs w:val="20"/>
          <w:lang w:val="en-GB"/>
        </w:rPr>
        <w:t xml:space="preserve"> SAS </w:t>
      </w:r>
      <w:r w:rsidRPr="009C48DA" w:rsidR="00A503E4">
        <w:rPr>
          <w:rFonts w:cs="Times New Roman"/>
          <w:szCs w:val="20"/>
          <w:lang w:val="en-GB"/>
        </w:rPr>
        <w:t xml:space="preserve">manage funds which constitute AIFs pursuant to Directive 2011/61/EU on Alternative Investment Fund Managers, as implemented in the </w:t>
      </w:r>
      <w:r w:rsidRPr="009C48DA" w:rsidR="00561C09">
        <w:rPr>
          <w:rFonts w:cs="Times New Roman"/>
          <w:szCs w:val="20"/>
          <w:lang w:val="en-GB"/>
        </w:rPr>
        <w:t>EEA</w:t>
      </w:r>
      <w:r w:rsidRPr="009C48DA" w:rsidR="00A503E4">
        <w:rPr>
          <w:rFonts w:cs="Times New Roman"/>
          <w:szCs w:val="20"/>
          <w:lang w:val="en-GB"/>
        </w:rPr>
        <w:t xml:space="preserve"> (“</w:t>
      </w:r>
      <w:r w:rsidRPr="009C48DA" w:rsidR="00A503E4">
        <w:rPr>
          <w:rFonts w:cs="Times New Roman"/>
          <w:b/>
          <w:szCs w:val="20"/>
          <w:lang w:val="en-GB"/>
        </w:rPr>
        <w:t>EU AIFMD</w:t>
      </w:r>
      <w:r w:rsidRPr="009C48DA" w:rsidR="00A503E4">
        <w:rPr>
          <w:rFonts w:cs="Times New Roman"/>
          <w:szCs w:val="20"/>
          <w:lang w:val="en-GB"/>
        </w:rPr>
        <w:t>”).</w:t>
      </w:r>
    </w:p>
    <w:p w:rsidRPr="009C48DA" w:rsidR="00A503E4" w:rsidP="00A503E4" w:rsidRDefault="00961BEE" w14:paraId="356550C2" w14:textId="5D600976">
      <w:pPr>
        <w:pStyle w:val="BlockTextSglJ"/>
        <w:ind w:firstLine="720"/>
        <w:rPr>
          <w:rFonts w:cs="Times New Roman"/>
          <w:szCs w:val="20"/>
          <w:lang w:val="en-GB"/>
        </w:rPr>
      </w:pPr>
      <w:r w:rsidRPr="009C48DA">
        <w:rPr>
          <w:lang w:val="en-GB"/>
        </w:rPr>
        <w:t>Bridgepoint</w:t>
      </w:r>
      <w:r w:rsidRPr="009C48DA">
        <w:rPr>
          <w:rFonts w:cs="Times New Roman"/>
          <w:szCs w:val="20"/>
          <w:lang w:val="en-GB"/>
        </w:rPr>
        <w:t xml:space="preserve"> </w:t>
      </w:r>
      <w:r w:rsidRPr="009C48DA" w:rsidR="00A503E4">
        <w:rPr>
          <w:rFonts w:cs="Times New Roman"/>
          <w:szCs w:val="20"/>
          <w:lang w:val="en-GB"/>
        </w:rPr>
        <w:t xml:space="preserve">SAS’ </w:t>
      </w:r>
      <w:r w:rsidRPr="009C48DA" w:rsidR="0036034E">
        <w:rPr>
          <w:rFonts w:cs="Times New Roman"/>
          <w:szCs w:val="20"/>
          <w:lang w:val="en-GB"/>
        </w:rPr>
        <w:t xml:space="preserve">and </w:t>
      </w:r>
      <w:r w:rsidRPr="009C48DA">
        <w:rPr>
          <w:lang w:val="en-GB"/>
        </w:rPr>
        <w:t>Bridgepoint</w:t>
      </w:r>
      <w:r w:rsidRPr="009C48DA">
        <w:rPr>
          <w:rFonts w:cs="Times New Roman"/>
          <w:szCs w:val="20"/>
          <w:lang w:val="en-GB"/>
        </w:rPr>
        <w:t xml:space="preserve"> </w:t>
      </w:r>
      <w:r w:rsidRPr="009C48DA" w:rsidR="00611834">
        <w:rPr>
          <w:rFonts w:cs="Times New Roman"/>
          <w:szCs w:val="20"/>
          <w:lang w:val="en-GB"/>
        </w:rPr>
        <w:t>Credit France</w:t>
      </w:r>
      <w:r w:rsidRPr="009C48DA" w:rsidR="00FF6B4E">
        <w:rPr>
          <w:rFonts w:cs="Times New Roman"/>
          <w:szCs w:val="20"/>
          <w:lang w:val="en-GB"/>
        </w:rPr>
        <w:t xml:space="preserve"> SAS’ respective </w:t>
      </w:r>
      <w:r w:rsidRPr="009C48DA" w:rsidR="00A503E4">
        <w:rPr>
          <w:rFonts w:cs="Times New Roman"/>
          <w:szCs w:val="20"/>
          <w:lang w:val="en-GB"/>
        </w:rPr>
        <w:t xml:space="preserve">operations constitute licensable activities under, among other laws, EU AIFMD, which governs AIFMs. EU AIFMD imposes requirements regarding, but not limited to, licensing, disclosure, reporting, valuation procedures and certain organisational and capital requirements, which may indirectly affect </w:t>
      </w:r>
      <w:r w:rsidRPr="009C48DA" w:rsidR="00794BFF">
        <w:rPr>
          <w:rFonts w:cs="Times New Roman"/>
          <w:szCs w:val="20"/>
          <w:lang w:val="en-GB"/>
        </w:rPr>
        <w:t>Atlantic Investments Holdings Limited</w:t>
      </w:r>
      <w:r w:rsidRPr="009C48DA" w:rsidR="00A503E4">
        <w:rPr>
          <w:rFonts w:cs="Times New Roman"/>
          <w:szCs w:val="20"/>
          <w:lang w:val="en-GB"/>
        </w:rPr>
        <w:t>.</w:t>
      </w:r>
    </w:p>
    <w:p w:rsidRPr="009C48DA" w:rsidR="006D6A27" w:rsidP="00DC5E56" w:rsidRDefault="006D6A27" w14:paraId="5E1B5120" w14:textId="7B8DB71D">
      <w:pPr>
        <w:rPr>
          <w:rFonts w:eastAsiaTheme="majorEastAsia" w:cstheme="majorBidi"/>
          <w:b/>
          <w:bCs/>
          <w:szCs w:val="26"/>
          <w:lang w:val="en-GB"/>
        </w:rPr>
      </w:pPr>
      <w:r w:rsidRPr="009C48DA">
        <w:rPr>
          <w:lang w:val="en-GB"/>
        </w:rPr>
        <w:br w:type="page"/>
      </w:r>
    </w:p>
    <w:p w:rsidRPr="009C48DA" w:rsidR="006D6A27" w:rsidP="00F172AB" w:rsidRDefault="006D6A27" w14:paraId="60D72EC4" w14:textId="2A748C81">
      <w:pPr>
        <w:pStyle w:val="Heading1"/>
        <w:rPr>
          <w:lang w:val="en-GB"/>
        </w:rPr>
      </w:pPr>
      <w:r w:rsidRPr="009C48DA">
        <w:rPr>
          <w:lang w:val="en-GB"/>
        </w:rPr>
        <w:lastRenderedPageBreak/>
        <w:br/>
      </w:r>
      <w:bookmarkStart w:name="_Toc4171254" w:id="595"/>
      <w:bookmarkStart w:name="_Toc67675172" w:id="596"/>
      <w:bookmarkStart w:name="_Toc67956034" w:id="597"/>
      <w:bookmarkStart w:name="_Ref67961568" w:id="598"/>
      <w:bookmarkStart w:name="_Ref67962107" w:id="599"/>
      <w:bookmarkStart w:name="_Ref67962444" w:id="600"/>
      <w:bookmarkStart w:name="_Ref67962741" w:id="601"/>
      <w:bookmarkStart w:name="_Toc67962998" w:id="602"/>
      <w:bookmarkStart w:name="_Toc67963379" w:id="603"/>
      <w:r w:rsidRPr="009C48DA">
        <w:rPr>
          <w:lang w:val="en-GB"/>
        </w:rPr>
        <w:br/>
      </w:r>
      <w:bookmarkStart w:name="_Ref71144380" w:id="604"/>
      <w:bookmarkStart w:name="_Ref71146420" w:id="605"/>
      <w:bookmarkStart w:name="_Ref71146523" w:id="606"/>
      <w:bookmarkStart w:name="_Toc71147108" w:id="607"/>
      <w:bookmarkStart w:name="_Toc71147148" w:id="608"/>
      <w:bookmarkStart w:name="_Toc71147162" w:id="609"/>
      <w:bookmarkStart w:name="_Toc71167148" w:id="610"/>
      <w:bookmarkStart w:name="_Toc71187617" w:id="611"/>
      <w:bookmarkStart w:name="_Toc71188679" w:id="612"/>
      <w:bookmarkStart w:name="_Toc75831925" w:id="613"/>
      <w:r w:rsidRPr="009C48DA" w:rsidR="00F172AB">
        <w:rPr>
          <w:lang w:val="en-GB"/>
        </w:rPr>
        <w:t>Directors, Senior Management, Employees and Corporate Governance</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rsidRPr="00CF56DC" w:rsidR="006D6A27" w:rsidP="00CF56DC" w:rsidRDefault="006D6A27" w14:paraId="3A2A09DE" w14:textId="6659517B">
      <w:pPr>
        <w:spacing w:after="240"/>
        <w:jc w:val="both"/>
        <w:rPr>
          <w:rFonts w:ascii="Times New Roman Bold" w:hAnsi="Times New Roman Bold" w:eastAsia="Calibri" w:cs="Times New Roman"/>
          <w:b/>
          <w:caps/>
          <w:sz w:val="20"/>
          <w:lang w:val="en-GB"/>
        </w:rPr>
      </w:pPr>
      <w:bookmarkStart w:name="_Ref71147006" w:id="614"/>
      <w:r w:rsidRPr="00CF56DC">
        <w:rPr>
          <w:rFonts w:ascii="Times New Roman Bold" w:hAnsi="Times New Roman Bold" w:eastAsia="Calibri" w:cs="Times New Roman"/>
          <w:b/>
          <w:caps/>
          <w:sz w:val="20"/>
          <w:lang w:val="en-GB"/>
        </w:rPr>
        <w:t>DIRECTORS</w:t>
      </w:r>
      <w:bookmarkEnd w:id="614"/>
    </w:p>
    <w:p w:rsidRPr="009C48DA" w:rsidR="006D6A27" w:rsidP="00E41D5E" w:rsidRDefault="006D6A27" w14:paraId="79C95C5E" w14:textId="1FC87FBC">
      <w:pPr>
        <w:pStyle w:val="BodyText2SglJ"/>
        <w:rPr>
          <w:color w:val="000000"/>
          <w:szCs w:val="20"/>
          <w:lang w:val="en-GB"/>
        </w:rPr>
      </w:pPr>
      <w:r w:rsidRPr="009C48DA">
        <w:rPr>
          <w:color w:val="000000"/>
          <w:szCs w:val="20"/>
          <w:lang w:val="en-GB"/>
        </w:rPr>
        <w:t xml:space="preserve">The </w:t>
      </w:r>
      <w:r w:rsidRPr="004C2810">
        <w:rPr>
          <w:rFonts w:eastAsia="Calibri" w:cs="Arial"/>
          <w:szCs w:val="20"/>
          <w:lang w:val="en-GB"/>
        </w:rPr>
        <w:t>following</w:t>
      </w:r>
      <w:r w:rsidRPr="009C48DA">
        <w:rPr>
          <w:color w:val="000000"/>
          <w:szCs w:val="20"/>
          <w:lang w:val="en-GB"/>
        </w:rPr>
        <w:t xml:space="preserve"> </w:t>
      </w:r>
      <w:r w:rsidRPr="00CF56DC">
        <w:rPr>
          <w:rFonts w:eastAsia="Calibri" w:cs="Arial"/>
          <w:szCs w:val="20"/>
          <w:lang w:val="en-GB"/>
        </w:rPr>
        <w:t>table</w:t>
      </w:r>
      <w:r w:rsidRPr="009C48DA">
        <w:rPr>
          <w:color w:val="000000"/>
          <w:szCs w:val="20"/>
          <w:lang w:val="en-GB"/>
        </w:rPr>
        <w:t xml:space="preserve"> lists the name and position of each Director:</w:t>
      </w:r>
    </w:p>
    <w:tbl>
      <w:tblPr>
        <w:tblW w:w="7767" w:type="dxa"/>
        <w:tblInd w:w="738" w:type="dxa"/>
        <w:tblLook w:val="04A0" w:firstRow="1" w:lastRow="0" w:firstColumn="1" w:lastColumn="0" w:noHBand="0" w:noVBand="1"/>
      </w:tblPr>
      <w:tblGrid>
        <w:gridCol w:w="4230"/>
        <w:gridCol w:w="3537"/>
      </w:tblGrid>
      <w:tr w:rsidRPr="009C48DA" w:rsidR="006D6A27" w:rsidTr="004353FA" w14:paraId="2F8DF1A7" w14:textId="77777777">
        <w:tc>
          <w:tcPr>
            <w:tcW w:w="4230" w:type="dxa"/>
            <w:vAlign w:val="bottom"/>
            <w:hideMark/>
          </w:tcPr>
          <w:p w:rsidRPr="009C48DA" w:rsidR="006D6A27" w:rsidP="004D302C" w:rsidRDefault="006D6A27" w14:paraId="3CE9705E" w14:textId="77777777">
            <w:pPr>
              <w:pBdr>
                <w:bottom w:val="single" w:color="auto" w:sz="4" w:space="1"/>
              </w:pBdr>
              <w:tabs>
                <w:tab w:val="right" w:leader="dot" w:pos="4752"/>
              </w:tabs>
              <w:ind w:left="144" w:hanging="144"/>
              <w:rPr>
                <w:rFonts w:eastAsia="Calibri" w:cs="Times New Roman"/>
                <w:b/>
                <w:sz w:val="20"/>
                <w:szCs w:val="20"/>
                <w:lang w:val="en-GB"/>
              </w:rPr>
            </w:pPr>
            <w:r w:rsidRPr="009C48DA">
              <w:rPr>
                <w:rFonts w:eastAsia="Calibri" w:cs="Times New Roman"/>
                <w:b/>
                <w:sz w:val="20"/>
                <w:szCs w:val="20"/>
                <w:lang w:val="en-GB"/>
              </w:rPr>
              <w:t>Name</w:t>
            </w:r>
          </w:p>
        </w:tc>
        <w:tc>
          <w:tcPr>
            <w:tcW w:w="3537" w:type="dxa"/>
            <w:vAlign w:val="bottom"/>
            <w:hideMark/>
          </w:tcPr>
          <w:p w:rsidRPr="009C48DA" w:rsidR="006D6A27" w:rsidP="004D302C" w:rsidRDefault="006D6A27" w14:paraId="6288A77A" w14:textId="77777777">
            <w:pPr>
              <w:pBdr>
                <w:bottom w:val="single" w:color="auto" w:sz="4" w:space="1"/>
              </w:pBdr>
              <w:rPr>
                <w:rFonts w:eastAsia="Calibri" w:cs="Times New Roman"/>
                <w:b/>
                <w:sz w:val="20"/>
                <w:szCs w:val="20"/>
                <w:lang w:val="en-GB"/>
              </w:rPr>
            </w:pPr>
            <w:r w:rsidRPr="009C48DA">
              <w:rPr>
                <w:rFonts w:eastAsia="Calibri" w:cs="Times New Roman"/>
                <w:b/>
                <w:sz w:val="20"/>
                <w:szCs w:val="20"/>
                <w:lang w:val="en-GB"/>
              </w:rPr>
              <w:t>Position</w:t>
            </w:r>
          </w:p>
        </w:tc>
      </w:tr>
      <w:tr w:rsidRPr="009C48DA" w:rsidR="006D6A27" w:rsidTr="004353FA" w14:paraId="5731D826" w14:textId="77777777">
        <w:tc>
          <w:tcPr>
            <w:tcW w:w="4230" w:type="dxa"/>
          </w:tcPr>
          <w:p w:rsidRPr="009C48DA" w:rsidR="006D6A27" w:rsidP="004D302C" w:rsidRDefault="006D6A27" w14:paraId="737C5095" w14:textId="64033CC6">
            <w:pPr>
              <w:rPr>
                <w:rFonts w:eastAsia="Calibri" w:cs="Times New Roman"/>
                <w:sz w:val="20"/>
                <w:szCs w:val="20"/>
                <w:lang w:val="en-GB" w:eastAsia="en-GB"/>
              </w:rPr>
            </w:pPr>
            <w:r w:rsidRPr="009C48DA">
              <w:rPr>
                <w:rFonts w:eastAsia="Calibri" w:cs="Times New Roman"/>
                <w:sz w:val="20"/>
                <w:szCs w:val="20"/>
                <w:lang w:val="en-GB" w:eastAsia="en-GB"/>
              </w:rPr>
              <w:t>William Jackson</w:t>
            </w:r>
          </w:p>
        </w:tc>
        <w:tc>
          <w:tcPr>
            <w:tcW w:w="3537" w:type="dxa"/>
            <w:vAlign w:val="bottom"/>
          </w:tcPr>
          <w:p w:rsidRPr="009C48DA" w:rsidR="006D6A27" w:rsidP="004D302C" w:rsidRDefault="006D6A27" w14:paraId="032C57D2" w14:textId="2DEAA2E8">
            <w:pPr>
              <w:rPr>
                <w:rFonts w:eastAsia="Calibri" w:cs="Times New Roman"/>
                <w:sz w:val="20"/>
                <w:szCs w:val="20"/>
                <w:lang w:val="en-GB" w:eastAsia="en-GB"/>
              </w:rPr>
            </w:pPr>
            <w:r w:rsidRPr="009C48DA">
              <w:rPr>
                <w:rFonts w:eastAsia="Calibri" w:cs="Times New Roman"/>
                <w:sz w:val="20"/>
                <w:szCs w:val="20"/>
                <w:lang w:val="en-GB" w:eastAsia="en-GB"/>
              </w:rPr>
              <w:t>Executive Chairman</w:t>
            </w:r>
          </w:p>
        </w:tc>
      </w:tr>
      <w:tr w:rsidRPr="009C48DA" w:rsidR="006D6A27" w:rsidTr="004353FA" w14:paraId="719664C4" w14:textId="77777777">
        <w:tc>
          <w:tcPr>
            <w:tcW w:w="4230" w:type="dxa"/>
          </w:tcPr>
          <w:p w:rsidRPr="009C48DA" w:rsidR="006D6A27" w:rsidP="004D302C" w:rsidRDefault="006D6A27" w14:paraId="2E3E00E0" w14:textId="60791353">
            <w:pPr>
              <w:rPr>
                <w:rFonts w:eastAsia="Calibri" w:cs="Times New Roman"/>
                <w:sz w:val="20"/>
                <w:szCs w:val="20"/>
                <w:lang w:val="en-GB"/>
              </w:rPr>
            </w:pPr>
            <w:r w:rsidRPr="009C48DA">
              <w:rPr>
                <w:rFonts w:eastAsia="Calibri" w:cs="Times New Roman"/>
                <w:sz w:val="20"/>
                <w:szCs w:val="20"/>
                <w:lang w:val="en-GB"/>
              </w:rPr>
              <w:t>Adam Jones</w:t>
            </w:r>
          </w:p>
        </w:tc>
        <w:tc>
          <w:tcPr>
            <w:tcW w:w="3537" w:type="dxa"/>
            <w:vAlign w:val="bottom"/>
          </w:tcPr>
          <w:p w:rsidRPr="009C48DA" w:rsidR="006D6A27" w:rsidP="004D302C" w:rsidRDefault="006D6A27" w14:paraId="1BB45E67" w14:textId="705B01E4">
            <w:pPr>
              <w:rPr>
                <w:rFonts w:eastAsia="Calibri" w:cs="Times New Roman"/>
                <w:sz w:val="20"/>
                <w:szCs w:val="20"/>
                <w:lang w:val="en-GB"/>
              </w:rPr>
            </w:pPr>
            <w:r w:rsidRPr="009C48DA">
              <w:rPr>
                <w:rFonts w:eastAsia="Calibri" w:cs="Times New Roman"/>
                <w:sz w:val="20"/>
                <w:szCs w:val="20"/>
                <w:lang w:val="en-GB"/>
              </w:rPr>
              <w:t>Chief Financial Officer</w:t>
            </w:r>
          </w:p>
        </w:tc>
      </w:tr>
      <w:tr w:rsidRPr="009C48DA" w:rsidR="006D6A27" w:rsidTr="004353FA" w14:paraId="12B8DB3F" w14:textId="77777777">
        <w:tc>
          <w:tcPr>
            <w:tcW w:w="4230" w:type="dxa"/>
          </w:tcPr>
          <w:p w:rsidRPr="009C48DA" w:rsidR="006D6A27" w:rsidP="004D302C" w:rsidRDefault="00CC08F7" w14:paraId="31A49AC1" w14:textId="115D4E37">
            <w:pPr>
              <w:rPr>
                <w:rFonts w:eastAsia="Calibri" w:cs="Times New Roman"/>
                <w:sz w:val="20"/>
                <w:szCs w:val="20"/>
                <w:lang w:val="en-GB"/>
              </w:rPr>
            </w:pPr>
            <w:r w:rsidRPr="009C48DA">
              <w:rPr>
                <w:rFonts w:eastAsia="Calibri" w:cs="Times New Roman"/>
                <w:sz w:val="20"/>
                <w:szCs w:val="20"/>
                <w:lang w:val="en-GB"/>
              </w:rPr>
              <w:t>Archie Norman</w:t>
            </w:r>
          </w:p>
        </w:tc>
        <w:tc>
          <w:tcPr>
            <w:tcW w:w="3537" w:type="dxa"/>
            <w:vAlign w:val="bottom"/>
          </w:tcPr>
          <w:p w:rsidRPr="009C48DA" w:rsidR="006D6A27" w:rsidP="004D302C" w:rsidRDefault="00CC08F7" w14:paraId="12D1B927" w14:textId="25AF920A">
            <w:pPr>
              <w:rPr>
                <w:rFonts w:eastAsia="Calibri" w:cs="Times New Roman"/>
                <w:sz w:val="20"/>
                <w:szCs w:val="20"/>
                <w:lang w:val="en-GB"/>
              </w:rPr>
            </w:pPr>
            <w:r w:rsidRPr="009C48DA">
              <w:rPr>
                <w:rFonts w:eastAsia="Calibri" w:cs="Times New Roman"/>
                <w:sz w:val="20"/>
                <w:szCs w:val="20"/>
                <w:lang w:val="en-GB"/>
              </w:rPr>
              <w:t>Senior Independent Director</w:t>
            </w:r>
          </w:p>
        </w:tc>
      </w:tr>
      <w:tr w:rsidRPr="009C48DA" w:rsidR="006D6A27" w:rsidTr="004353FA" w14:paraId="136A7682" w14:textId="77777777">
        <w:tc>
          <w:tcPr>
            <w:tcW w:w="4230" w:type="dxa"/>
          </w:tcPr>
          <w:p w:rsidRPr="009C48DA" w:rsidR="006D6A27" w:rsidP="004D302C" w:rsidRDefault="00CC08F7" w14:paraId="1C30CC6A" w14:textId="27D187DF">
            <w:pPr>
              <w:rPr>
                <w:rFonts w:eastAsia="Calibri" w:cs="Times New Roman"/>
                <w:sz w:val="20"/>
                <w:szCs w:val="20"/>
                <w:lang w:val="en-GB"/>
              </w:rPr>
            </w:pPr>
            <w:r w:rsidRPr="009C48DA">
              <w:rPr>
                <w:rFonts w:eastAsia="Calibri" w:cs="Times New Roman"/>
                <w:sz w:val="20"/>
                <w:szCs w:val="20"/>
                <w:lang w:val="en-GB"/>
              </w:rPr>
              <w:t>Angeles Garcia-Poveda</w:t>
            </w:r>
          </w:p>
        </w:tc>
        <w:tc>
          <w:tcPr>
            <w:tcW w:w="3537" w:type="dxa"/>
            <w:vAlign w:val="bottom"/>
          </w:tcPr>
          <w:p w:rsidRPr="009C48DA" w:rsidR="006D6A27" w:rsidP="00CC08F7" w:rsidRDefault="004D153E" w14:paraId="171ECB50" w14:textId="48E96A31">
            <w:pPr>
              <w:rPr>
                <w:rFonts w:eastAsia="Calibri" w:cs="Times New Roman"/>
                <w:sz w:val="20"/>
                <w:szCs w:val="20"/>
                <w:lang w:val="en-GB"/>
              </w:rPr>
            </w:pPr>
            <w:r w:rsidRPr="009C48DA">
              <w:rPr>
                <w:color w:val="000000"/>
                <w:sz w:val="20"/>
                <w:szCs w:val="20"/>
                <w:lang w:val="en-GB"/>
              </w:rPr>
              <w:t xml:space="preserve">Independent </w:t>
            </w:r>
            <w:r w:rsidRPr="009C48DA" w:rsidR="00CC08F7">
              <w:rPr>
                <w:rFonts w:eastAsia="Calibri" w:cs="Times New Roman"/>
                <w:sz w:val="20"/>
                <w:szCs w:val="20"/>
                <w:lang w:val="en-GB"/>
              </w:rPr>
              <w:t>Non-Executive Director</w:t>
            </w:r>
          </w:p>
        </w:tc>
      </w:tr>
      <w:tr w:rsidRPr="009C48DA" w:rsidR="00CC08F7" w:rsidTr="00CC08F7" w14:paraId="5828BEC3" w14:textId="77777777">
        <w:tc>
          <w:tcPr>
            <w:tcW w:w="4230" w:type="dxa"/>
          </w:tcPr>
          <w:p w:rsidRPr="009C48DA" w:rsidR="00CC08F7" w:rsidP="00CC08F7" w:rsidRDefault="00CC08F7" w14:paraId="66AA954F" w14:textId="1E46FA20">
            <w:pPr>
              <w:rPr>
                <w:rFonts w:eastAsia="Calibri" w:cs="Times New Roman"/>
                <w:sz w:val="20"/>
                <w:szCs w:val="20"/>
                <w:lang w:val="en-GB"/>
              </w:rPr>
            </w:pPr>
            <w:r w:rsidRPr="009C48DA">
              <w:rPr>
                <w:rFonts w:eastAsia="Calibri" w:cs="Times New Roman"/>
                <w:sz w:val="20"/>
                <w:szCs w:val="20"/>
                <w:lang w:val="en-GB"/>
              </w:rPr>
              <w:t>Tim Score</w:t>
            </w:r>
          </w:p>
        </w:tc>
        <w:tc>
          <w:tcPr>
            <w:tcW w:w="3537" w:type="dxa"/>
          </w:tcPr>
          <w:p w:rsidRPr="009C48DA" w:rsidR="00CC08F7" w:rsidP="00CC08F7" w:rsidRDefault="004D153E" w14:paraId="392EEC37" w14:textId="2C2A8181">
            <w:pPr>
              <w:rPr>
                <w:rFonts w:eastAsia="Calibri" w:cs="Times New Roman"/>
                <w:sz w:val="20"/>
                <w:szCs w:val="20"/>
                <w:lang w:val="en-GB"/>
              </w:rPr>
            </w:pPr>
            <w:r w:rsidRPr="009C48DA">
              <w:rPr>
                <w:color w:val="000000"/>
                <w:sz w:val="20"/>
                <w:szCs w:val="20"/>
                <w:lang w:val="en-GB"/>
              </w:rPr>
              <w:t xml:space="preserve">Independent </w:t>
            </w:r>
            <w:r w:rsidRPr="009C48DA" w:rsidR="00CC08F7">
              <w:rPr>
                <w:rFonts w:eastAsia="Calibri" w:cs="Times New Roman"/>
                <w:sz w:val="20"/>
                <w:szCs w:val="20"/>
                <w:lang w:val="en-GB"/>
              </w:rPr>
              <w:t>Non-Executive Director</w:t>
            </w:r>
          </w:p>
        </w:tc>
      </w:tr>
      <w:tr w:rsidRPr="009C48DA" w:rsidR="006D6A27" w:rsidTr="004353FA" w14:paraId="028DD7A8" w14:textId="77777777">
        <w:tc>
          <w:tcPr>
            <w:tcW w:w="4230" w:type="dxa"/>
          </w:tcPr>
          <w:p w:rsidRPr="009C48DA" w:rsidR="006D6A27" w:rsidP="004D302C" w:rsidRDefault="006D6A27" w14:paraId="2C0EE616" w14:textId="77777777">
            <w:pPr>
              <w:rPr>
                <w:rFonts w:eastAsia="Calibri" w:cs="Times New Roman"/>
                <w:sz w:val="20"/>
                <w:szCs w:val="20"/>
                <w:lang w:val="en-GB" w:eastAsia="en-GB"/>
              </w:rPr>
            </w:pPr>
          </w:p>
        </w:tc>
        <w:tc>
          <w:tcPr>
            <w:tcW w:w="3537" w:type="dxa"/>
            <w:vAlign w:val="bottom"/>
          </w:tcPr>
          <w:p w:rsidRPr="009C48DA" w:rsidR="006D6A27" w:rsidP="004D302C" w:rsidRDefault="006D6A27" w14:paraId="529D95EF" w14:textId="77777777">
            <w:pPr>
              <w:rPr>
                <w:rFonts w:eastAsia="Calibri" w:cs="Times New Roman"/>
                <w:sz w:val="20"/>
                <w:szCs w:val="20"/>
                <w:lang w:val="en-GB" w:eastAsia="en-GB"/>
              </w:rPr>
            </w:pPr>
          </w:p>
        </w:tc>
      </w:tr>
    </w:tbl>
    <w:p w:rsidRPr="009C48DA" w:rsidR="00682965" w:rsidP="00CF56DC" w:rsidRDefault="00C645CB" w14:paraId="02AF3A71" w14:textId="5E4D6E4A">
      <w:pPr>
        <w:pStyle w:val="BodyText2SglJ"/>
        <w:rPr>
          <w:color w:val="000000"/>
          <w:szCs w:val="22"/>
          <w:lang w:val="en-GB"/>
        </w:rPr>
      </w:pPr>
      <w:r w:rsidRPr="009C48DA">
        <w:rPr>
          <w:color w:val="000000"/>
          <w:lang w:val="en-GB"/>
        </w:rPr>
        <w:t xml:space="preserve">Should the Company proceed with an initial public offering, the Board will consist of two Executive Directors and four Non-Executive Directors. Three Non-Executive Directors have been appointed to date and a </w:t>
      </w:r>
      <w:r w:rsidRPr="00CF56DC">
        <w:rPr>
          <w:rFonts w:eastAsia="Calibri" w:cs="Arial"/>
          <w:szCs w:val="20"/>
          <w:lang w:val="en-GB"/>
        </w:rPr>
        <w:t>fourth</w:t>
      </w:r>
      <w:r w:rsidRPr="009C48DA">
        <w:rPr>
          <w:color w:val="000000"/>
          <w:lang w:val="en-GB"/>
        </w:rPr>
        <w:t xml:space="preserve"> Non-Executive Director will be joining prior to an initial public offering and is currently completing her regulatory disclosures.</w:t>
      </w:r>
    </w:p>
    <w:p w:rsidRPr="009C48DA" w:rsidR="006D6A27" w:rsidP="00CF56DC" w:rsidRDefault="006D6A27" w14:paraId="03EC0FAC" w14:textId="41B4695D">
      <w:pPr>
        <w:pStyle w:val="BodyText2SglJ"/>
        <w:rPr>
          <w:color w:val="000000"/>
          <w:szCs w:val="22"/>
          <w:lang w:val="en-GB"/>
        </w:rPr>
      </w:pPr>
      <w:r w:rsidRPr="009C48DA">
        <w:rPr>
          <w:color w:val="000000"/>
          <w:szCs w:val="22"/>
          <w:lang w:val="en-GB"/>
        </w:rPr>
        <w:t xml:space="preserve">The </w:t>
      </w:r>
      <w:r w:rsidRPr="00CF56DC">
        <w:rPr>
          <w:rFonts w:eastAsia="Calibri" w:cs="Arial"/>
          <w:szCs w:val="20"/>
          <w:lang w:val="en-GB"/>
        </w:rPr>
        <w:t>business</w:t>
      </w:r>
      <w:r w:rsidRPr="009C48DA">
        <w:rPr>
          <w:color w:val="000000"/>
          <w:szCs w:val="22"/>
          <w:lang w:val="en-GB"/>
        </w:rPr>
        <w:t xml:space="preserve"> address of each of the Directors (in such capacit</w:t>
      </w:r>
      <w:r w:rsidR="004C2810">
        <w:rPr>
          <w:color w:val="000000"/>
          <w:szCs w:val="22"/>
          <w:lang w:val="en-GB"/>
        </w:rPr>
        <w:t>y) is 95 Wigmore Street, London W1U </w:t>
      </w:r>
      <w:r w:rsidRPr="009C48DA">
        <w:rPr>
          <w:color w:val="000000"/>
          <w:szCs w:val="22"/>
          <w:lang w:val="en-GB"/>
        </w:rPr>
        <w:t>1FB.</w:t>
      </w:r>
    </w:p>
    <w:p w:rsidRPr="009C48DA" w:rsidR="006D6A27" w:rsidP="00CF56DC" w:rsidRDefault="006D6A27" w14:paraId="25420DD3" w14:textId="1A91BA0C">
      <w:pPr>
        <w:pStyle w:val="BodyText2SglJ"/>
        <w:rPr>
          <w:color w:val="000000"/>
          <w:szCs w:val="22"/>
          <w:lang w:val="en-GB"/>
        </w:rPr>
      </w:pPr>
      <w:r w:rsidRPr="009C48DA">
        <w:rPr>
          <w:color w:val="000000"/>
          <w:szCs w:val="22"/>
          <w:lang w:val="en-GB"/>
        </w:rPr>
        <w:t xml:space="preserve">A brief </w:t>
      </w:r>
      <w:r w:rsidRPr="00CF56DC">
        <w:rPr>
          <w:rFonts w:eastAsia="Calibri" w:cs="Arial"/>
          <w:szCs w:val="20"/>
          <w:lang w:val="en-GB"/>
        </w:rPr>
        <w:t>description</w:t>
      </w:r>
      <w:r w:rsidRPr="009C48DA">
        <w:rPr>
          <w:color w:val="000000" w:themeColor="text1"/>
          <w:szCs w:val="22"/>
          <w:lang w:val="en-GB"/>
        </w:rPr>
        <w:t xml:space="preserve"> </w:t>
      </w:r>
      <w:r w:rsidRPr="009C48DA">
        <w:rPr>
          <w:color w:val="000000"/>
          <w:szCs w:val="22"/>
          <w:lang w:val="en-GB"/>
        </w:rPr>
        <w:t xml:space="preserve">of the Directors’ business experience and principal business activities outside the Group is set out below: </w:t>
      </w:r>
    </w:p>
    <w:p w:rsidRPr="009C48DA" w:rsidR="006D6A27" w:rsidP="00CF56DC" w:rsidRDefault="006D6A27" w14:paraId="6DC5C154" w14:textId="6FCEE834">
      <w:pPr>
        <w:pStyle w:val="TitleB"/>
        <w:rPr>
          <w:lang w:val="en-GB"/>
        </w:rPr>
      </w:pPr>
      <w:r w:rsidRPr="00CF56DC">
        <w:rPr>
          <w:lang w:val="en-GB"/>
        </w:rPr>
        <w:t>William Jackson – Executive Chair</w:t>
      </w:r>
      <w:r w:rsidRPr="00CF56DC" w:rsidR="001B7278">
        <w:rPr>
          <w:lang w:val="en-GB"/>
        </w:rPr>
        <w:t>man</w:t>
      </w:r>
    </w:p>
    <w:p w:rsidRPr="009C48DA" w:rsidR="006D6A27" w:rsidP="00CF56DC" w:rsidRDefault="006D6A27" w14:paraId="56969A77" w14:textId="2D097637">
      <w:pPr>
        <w:pStyle w:val="BodyText2SglJ"/>
        <w:rPr>
          <w:lang w:val="en-GB"/>
        </w:rPr>
      </w:pPr>
      <w:r w:rsidRPr="009C48DA">
        <w:rPr>
          <w:lang w:val="en-GB"/>
        </w:rPr>
        <w:t>William Jac</w:t>
      </w:r>
      <w:r w:rsidRPr="009C48DA" w:rsidR="0036034E">
        <w:rPr>
          <w:lang w:val="en-GB"/>
        </w:rPr>
        <w:t xml:space="preserve">kson is the Chief Executive of </w:t>
      </w:r>
      <w:r w:rsidRPr="009C48DA" w:rsidR="00961BEE">
        <w:rPr>
          <w:lang w:val="en-GB"/>
        </w:rPr>
        <w:t xml:space="preserve">Bridgepoint </w:t>
      </w:r>
      <w:r w:rsidRPr="009C48DA" w:rsidR="0036034E">
        <w:rPr>
          <w:lang w:val="en-GB"/>
        </w:rPr>
        <w:t xml:space="preserve">and the Chairman of </w:t>
      </w:r>
      <w:r w:rsidRPr="009C48DA" w:rsidR="006D5BFE">
        <w:rPr>
          <w:lang w:val="en-GB"/>
        </w:rPr>
        <w:t>Bridgepoint</w:t>
      </w:r>
      <w:r w:rsidRPr="009C48DA">
        <w:rPr>
          <w:lang w:val="en-GB"/>
        </w:rPr>
        <w:t xml:space="preserve">’s Investment Committee. William, a graduate of Oxford, has worked extensively on private equity transactions across Europe over a 30 year career and has served on numerous boards. He is currently </w:t>
      </w:r>
      <w:r w:rsidRPr="00CF56DC">
        <w:rPr>
          <w:rFonts w:eastAsia="Calibri" w:cs="Arial"/>
          <w:szCs w:val="20"/>
          <w:lang w:val="en-GB"/>
        </w:rPr>
        <w:t>President</w:t>
      </w:r>
      <w:r w:rsidRPr="009C48DA">
        <w:rPr>
          <w:lang w:val="en-GB"/>
        </w:rPr>
        <w:t xml:space="preserve"> of the Board of Dorna Sports, the international sports management company which runs the MotoGP World Motorcycling Championship. William is also a Non-Executive Director of Berkeley Group Plc, the FTSE 100 property company</w:t>
      </w:r>
      <w:r w:rsidRPr="009C48DA" w:rsidR="00FF6B4E">
        <w:rPr>
          <w:lang w:val="en-GB"/>
        </w:rPr>
        <w:t>,</w:t>
      </w:r>
      <w:r w:rsidRPr="009C48DA">
        <w:rPr>
          <w:lang w:val="en-GB"/>
        </w:rPr>
        <w:t xml:space="preserve"> and a Director of The Royal Marsden NHS Foundation Trust, Europe</w:t>
      </w:r>
      <w:r w:rsidRPr="009C48DA" w:rsidR="000737A5">
        <w:rPr>
          <w:lang w:val="en-GB"/>
        </w:rPr>
        <w:t>’</w:t>
      </w:r>
      <w:r w:rsidRPr="009C48DA">
        <w:rPr>
          <w:lang w:val="en-GB"/>
        </w:rPr>
        <w:t>s largest comprehensive cancer hospital and one of the world</w:t>
      </w:r>
      <w:r w:rsidRPr="009C48DA" w:rsidR="000737A5">
        <w:rPr>
          <w:lang w:val="en-GB"/>
        </w:rPr>
        <w:t>’</w:t>
      </w:r>
      <w:r w:rsidRPr="009C48DA">
        <w:rPr>
          <w:lang w:val="en-GB"/>
        </w:rPr>
        <w:t>s top five centres for cancer research. He also serves as a Governor of Wellington College, one of the leading co-educational schools in the UK.</w:t>
      </w:r>
    </w:p>
    <w:p w:rsidRPr="00CF56DC" w:rsidR="006D6A27" w:rsidP="00CF56DC" w:rsidRDefault="006D6A27" w14:paraId="6AB0B73F" w14:textId="77777777">
      <w:pPr>
        <w:pStyle w:val="TitleB"/>
        <w:rPr>
          <w:lang w:val="en-GB"/>
        </w:rPr>
      </w:pPr>
      <w:r w:rsidRPr="00CF56DC">
        <w:rPr>
          <w:lang w:val="en-GB"/>
        </w:rPr>
        <w:t>Adam Jones – Chief Financial Officer</w:t>
      </w:r>
    </w:p>
    <w:p w:rsidRPr="009C48DA" w:rsidR="006D6A27" w:rsidP="00CF56DC" w:rsidRDefault="006D6A27" w14:paraId="1872DAEF" w14:textId="2EF14D63">
      <w:pPr>
        <w:pStyle w:val="BodyText2SglJ"/>
        <w:rPr>
          <w:lang w:val="en-GB"/>
        </w:rPr>
      </w:pPr>
      <w:r w:rsidRPr="009C48DA">
        <w:rPr>
          <w:lang w:val="en-GB"/>
        </w:rPr>
        <w:t xml:space="preserve">Adam </w:t>
      </w:r>
      <w:r w:rsidRPr="009C48DA" w:rsidR="00561C09">
        <w:rPr>
          <w:lang w:val="en-GB"/>
        </w:rPr>
        <w:t xml:space="preserve">Jones </w:t>
      </w:r>
      <w:r w:rsidRPr="009C48DA">
        <w:rPr>
          <w:lang w:val="en-GB"/>
        </w:rPr>
        <w:t>is a Partner and Gr</w:t>
      </w:r>
      <w:r w:rsidRPr="009C48DA" w:rsidR="0036034E">
        <w:rPr>
          <w:lang w:val="en-GB"/>
        </w:rPr>
        <w:t xml:space="preserve">oup Chief Operating Officer at </w:t>
      </w:r>
      <w:r w:rsidRPr="009C48DA" w:rsidR="00961BEE">
        <w:rPr>
          <w:lang w:val="en-GB"/>
        </w:rPr>
        <w:t>Bridgepoint</w:t>
      </w:r>
      <w:r w:rsidRPr="009C48DA">
        <w:rPr>
          <w:lang w:val="en-GB"/>
        </w:rPr>
        <w:t xml:space="preserve">. He is a member of </w:t>
      </w:r>
      <w:r w:rsidRPr="009C48DA" w:rsidR="006D5BFE">
        <w:rPr>
          <w:lang w:val="en-GB"/>
        </w:rPr>
        <w:t>Bridgepoint</w:t>
      </w:r>
      <w:r w:rsidRPr="009C48DA" w:rsidR="00CF42AF">
        <w:rPr>
          <w:lang w:val="en-GB"/>
        </w:rPr>
        <w:t xml:space="preserve">’s Group Board, </w:t>
      </w:r>
      <w:r w:rsidRPr="009C48DA">
        <w:rPr>
          <w:lang w:val="en-GB"/>
        </w:rPr>
        <w:t xml:space="preserve">Operating Committee and joined the </w:t>
      </w:r>
      <w:r w:rsidRPr="009C48DA" w:rsidR="0068630A">
        <w:rPr>
          <w:lang w:val="en-GB"/>
        </w:rPr>
        <w:t>f</w:t>
      </w:r>
      <w:r w:rsidRPr="009C48DA">
        <w:rPr>
          <w:lang w:val="en-GB"/>
        </w:rPr>
        <w:t xml:space="preserve">irm </w:t>
      </w:r>
      <w:r w:rsidRPr="009C48DA" w:rsidR="0036034E">
        <w:rPr>
          <w:lang w:val="en-GB"/>
        </w:rPr>
        <w:t xml:space="preserve">in 2018. Prior to </w:t>
      </w:r>
      <w:r w:rsidRPr="009C48DA" w:rsidR="00961BEE">
        <w:rPr>
          <w:lang w:val="en-GB"/>
        </w:rPr>
        <w:t>Bridgepoint</w:t>
      </w:r>
      <w:r w:rsidRPr="009C48DA" w:rsidR="00F77D9C">
        <w:rPr>
          <w:lang w:val="en-GB"/>
        </w:rPr>
        <w:t>,</w:t>
      </w:r>
      <w:r w:rsidRPr="009C48DA">
        <w:rPr>
          <w:lang w:val="en-GB"/>
        </w:rPr>
        <w:t xml:space="preserve"> he held a number of global </w:t>
      </w:r>
      <w:r w:rsidRPr="009C48DA" w:rsidR="00CF42AF">
        <w:rPr>
          <w:lang w:val="en-GB"/>
        </w:rPr>
        <w:t>chief financial officer</w:t>
      </w:r>
      <w:r w:rsidRPr="009C48DA">
        <w:rPr>
          <w:lang w:val="en-GB"/>
        </w:rPr>
        <w:t xml:space="preserve"> roles, including most recently at Pret A Manger and </w:t>
      </w:r>
      <w:r w:rsidRPr="00CF56DC">
        <w:rPr>
          <w:rFonts w:eastAsia="Calibri" w:cs="Arial"/>
          <w:szCs w:val="20"/>
          <w:lang w:val="en-GB"/>
        </w:rPr>
        <w:t>previously</w:t>
      </w:r>
      <w:r w:rsidRPr="009C48DA">
        <w:rPr>
          <w:lang w:val="en-GB"/>
        </w:rPr>
        <w:t xml:space="preserve"> All3Media, NBC News in New York and Universal Studios. Adam started his </w:t>
      </w:r>
      <w:r w:rsidRPr="009C48DA" w:rsidR="00561C09">
        <w:rPr>
          <w:lang w:val="en-GB"/>
        </w:rPr>
        <w:t xml:space="preserve">career with </w:t>
      </w:r>
      <w:r w:rsidRPr="009C48DA" w:rsidR="00CF42AF">
        <w:rPr>
          <w:lang w:val="en-GB"/>
        </w:rPr>
        <w:t>PricewaterhouseCoopers</w:t>
      </w:r>
      <w:r w:rsidRPr="009C48DA" w:rsidR="00561C09">
        <w:rPr>
          <w:lang w:val="en-GB"/>
        </w:rPr>
        <w:t xml:space="preserve"> </w:t>
      </w:r>
      <w:r w:rsidRPr="009C48DA" w:rsidR="00CF42AF">
        <w:rPr>
          <w:lang w:val="en-GB"/>
        </w:rPr>
        <w:t xml:space="preserve">(PwC) </w:t>
      </w:r>
      <w:r w:rsidRPr="009C48DA" w:rsidR="00561C09">
        <w:rPr>
          <w:lang w:val="en-GB"/>
        </w:rPr>
        <w:t>and then spent nine</w:t>
      </w:r>
      <w:r w:rsidRPr="009C48DA">
        <w:rPr>
          <w:lang w:val="en-GB"/>
        </w:rPr>
        <w:t xml:space="preserve"> years at IMG, the global sports management group in a number of roles up to Senior International Vice President. Adam has an Honours degree in Accounting fro</w:t>
      </w:r>
      <w:r w:rsidRPr="009C48DA" w:rsidR="00CC08F7">
        <w:rPr>
          <w:lang w:val="en-GB"/>
        </w:rPr>
        <w:t>m the University of Birmingham.</w:t>
      </w:r>
    </w:p>
    <w:p w:rsidRPr="00CF56DC" w:rsidR="00CC08F7" w:rsidP="00CF56DC" w:rsidRDefault="00CC08F7" w14:paraId="068E6EF6" w14:textId="3836DAA0">
      <w:pPr>
        <w:pStyle w:val="TitleB"/>
        <w:rPr>
          <w:lang w:val="en-GB"/>
        </w:rPr>
      </w:pPr>
      <w:r w:rsidRPr="00CF56DC">
        <w:rPr>
          <w:lang w:val="en-GB"/>
        </w:rPr>
        <w:t>Archie Norman</w:t>
      </w:r>
      <w:r w:rsidRPr="00CF56DC" w:rsidR="00A13900">
        <w:rPr>
          <w:lang w:val="en-GB"/>
        </w:rPr>
        <w:t xml:space="preserve"> – Senior Independent Director</w:t>
      </w:r>
    </w:p>
    <w:p w:rsidRPr="009C48DA" w:rsidR="00CC08F7" w:rsidP="00CF56DC" w:rsidRDefault="003E745C" w14:paraId="4F3B6986" w14:textId="1D6FE811">
      <w:pPr>
        <w:pStyle w:val="BodyText2SglJ"/>
        <w:rPr>
          <w:lang w:val="en-GB"/>
        </w:rPr>
      </w:pPr>
      <w:r w:rsidRPr="009C48DA">
        <w:rPr>
          <w:lang w:val="en-GB"/>
        </w:rPr>
        <w:t xml:space="preserve">Archie Norman has a breadth of business experience and an extensive track record in business change, having led the transformation of a number of major UK businesses. He has served on the board of a number of publicly listed </w:t>
      </w:r>
      <w:r w:rsidRPr="009C48DA" w:rsidR="00AF3D54">
        <w:rPr>
          <w:lang w:val="en-GB"/>
        </w:rPr>
        <w:t xml:space="preserve">companies </w:t>
      </w:r>
      <w:r w:rsidRPr="009C48DA">
        <w:rPr>
          <w:lang w:val="en-GB"/>
        </w:rPr>
        <w:t xml:space="preserve">in the UK and internationally. He is currently </w:t>
      </w:r>
      <w:r w:rsidRPr="009C48DA" w:rsidR="00FD030F">
        <w:rPr>
          <w:lang w:val="en-GB"/>
        </w:rPr>
        <w:t>C</w:t>
      </w:r>
      <w:r w:rsidRPr="009C48DA">
        <w:rPr>
          <w:lang w:val="en-GB"/>
        </w:rPr>
        <w:t>hairman of Marks and Spencer plc and of Signal AI and has served as Chairma</w:t>
      </w:r>
      <w:r w:rsidRPr="009C48DA" w:rsidR="00CF42AF">
        <w:rPr>
          <w:lang w:val="en-GB"/>
        </w:rPr>
        <w:t xml:space="preserve">n of ITV plc and of Lazard UK. </w:t>
      </w:r>
      <w:r w:rsidRPr="009C48DA">
        <w:rPr>
          <w:lang w:val="en-GB"/>
        </w:rPr>
        <w:t xml:space="preserve">He has also served as Lead Non-Executive </w:t>
      </w:r>
      <w:r w:rsidRPr="009C48DA" w:rsidR="00FD030F">
        <w:rPr>
          <w:lang w:val="en-GB"/>
        </w:rPr>
        <w:t>D</w:t>
      </w:r>
      <w:r w:rsidRPr="009C48DA">
        <w:rPr>
          <w:lang w:val="en-GB"/>
        </w:rPr>
        <w:t>irector at the Department of Business, E</w:t>
      </w:r>
      <w:r w:rsidRPr="009C48DA" w:rsidR="00CF42AF">
        <w:rPr>
          <w:lang w:val="en-GB"/>
        </w:rPr>
        <w:t xml:space="preserve">nergy and Industrial Strategy. </w:t>
      </w:r>
      <w:r w:rsidRPr="009C48DA" w:rsidR="00BA61E8">
        <w:rPr>
          <w:lang w:val="en-GB"/>
        </w:rPr>
        <w:t>Amongst other positions he has held during his career, Archie has previously served as Chief Executive and Chairman of ASDA plc and Finance Director of Kingfisher plc. He</w:t>
      </w:r>
      <w:r w:rsidRPr="009C48DA">
        <w:rPr>
          <w:lang w:val="en-GB"/>
        </w:rPr>
        <w:t xml:space="preserve"> </w:t>
      </w:r>
      <w:r w:rsidRPr="009C48DA" w:rsidR="00BA61E8">
        <w:rPr>
          <w:lang w:val="en-GB"/>
        </w:rPr>
        <w:t xml:space="preserve">has </w:t>
      </w:r>
      <w:r w:rsidRPr="009C48DA">
        <w:rPr>
          <w:lang w:val="en-GB"/>
        </w:rPr>
        <w:t>served as a Non-Executive Director on the Board of British Rail, Railtrack and Geest, and has also served as a Member of Parliament in the House of Commons of the Parliament of the United Kingdom for eight years.</w:t>
      </w:r>
    </w:p>
    <w:p w:rsidRPr="00CF56DC" w:rsidR="00CC08F7" w:rsidP="00CF56DC" w:rsidRDefault="00A13900" w14:paraId="4C948891" w14:textId="2BFECFED">
      <w:pPr>
        <w:pStyle w:val="TitleB"/>
        <w:rPr>
          <w:lang w:val="en-GB"/>
        </w:rPr>
      </w:pPr>
      <w:r w:rsidRPr="00CF56DC">
        <w:rPr>
          <w:lang w:val="en-GB"/>
        </w:rPr>
        <w:lastRenderedPageBreak/>
        <w:t>Angeles Garcia-Poveda – Independent Non-Executive Director</w:t>
      </w:r>
    </w:p>
    <w:p w:rsidRPr="009C48DA" w:rsidR="00CC08F7" w:rsidP="00CF56DC" w:rsidRDefault="003E745C" w14:paraId="35AB152C" w14:textId="640DB5DF">
      <w:pPr>
        <w:pStyle w:val="BodyText2SglJ"/>
        <w:rPr>
          <w:lang w:val="en-GB"/>
        </w:rPr>
      </w:pPr>
      <w:r w:rsidRPr="009C48DA">
        <w:rPr>
          <w:lang w:val="en-GB"/>
        </w:rPr>
        <w:t xml:space="preserve">Angeles Garcia-Poveda is an international executive with extensive experience in governance. She is currently Chairperson of the Board of Legrand SA, the CAC 40 global specialist in electrical and digital building infrastructures, where she has been lead independent director and chaired the Nominations, Governance and Remuneration committees. She is also an independent director at Edenred, </w:t>
      </w:r>
      <w:r w:rsidRPr="00CF56DC">
        <w:rPr>
          <w:rFonts w:eastAsia="Calibri" w:cs="Arial"/>
          <w:szCs w:val="20"/>
          <w:lang w:val="en-GB"/>
        </w:rPr>
        <w:t>listed</w:t>
      </w:r>
      <w:r w:rsidRPr="009C48DA">
        <w:rPr>
          <w:lang w:val="en-GB"/>
        </w:rPr>
        <w:t xml:space="preserve"> in the French SBF 120 index, and is a member of the Supervisory Board of Advini. She also sits on the Board of Directors of IFA (French Directors Institute). As a partner with Spencer Stuart, she led its French and EMEA businesses and served on the global Board of Directors. She is a member of the Boards Practice and has been a member of the consumer and private equity practices. She also spent 14 years with The Boston Consulting Group (BCG), where she worked as a consultant in Madrid and Paris.</w:t>
      </w:r>
    </w:p>
    <w:p w:rsidRPr="00CF56DC" w:rsidR="00CC08F7" w:rsidP="00CF56DC" w:rsidRDefault="00CC08F7" w14:paraId="4FE5F03D" w14:textId="628F65E6">
      <w:pPr>
        <w:pStyle w:val="TitleB"/>
        <w:rPr>
          <w:lang w:val="en-GB"/>
        </w:rPr>
      </w:pPr>
      <w:r w:rsidRPr="00CF56DC">
        <w:rPr>
          <w:lang w:val="en-GB"/>
        </w:rPr>
        <w:t>Tim Score</w:t>
      </w:r>
      <w:r w:rsidRPr="00CF56DC" w:rsidR="00A13900">
        <w:rPr>
          <w:lang w:val="en-GB"/>
        </w:rPr>
        <w:t xml:space="preserve"> – Independent Non-Executive Director</w:t>
      </w:r>
    </w:p>
    <w:p w:rsidRPr="009C48DA" w:rsidR="00FB63DB" w:rsidP="00CF56DC" w:rsidRDefault="003E745C" w14:paraId="067E0B8F" w14:textId="7733A985">
      <w:pPr>
        <w:pStyle w:val="BodyText2SglJ"/>
        <w:rPr>
          <w:lang w:val="en-GB"/>
        </w:rPr>
      </w:pPr>
      <w:r w:rsidRPr="009C48DA">
        <w:rPr>
          <w:lang w:val="en-GB"/>
        </w:rPr>
        <w:t>Tim Score has significant experience in the rapidly evolving global technology landscape as well as many years of engagement both with mature economies and emerging markets. He is Chairman of British Land, having been a Non-Executive Director and Chair of Audit Committee since 2014. He is the Senior Independent Director and Chair of Audit Committee at Pearson plc and a Non-Executive Director at HM Treasury. Tim was formerly CFO of ARM Holdings plc for 13 years and held senior financial positions at Rebus Group Limited, William Baird plc, LucasVarity plc and BTR plc. From 2005 to 2014, he was a Non-Executive Director and Chair of Audit Committee at National Express Group PLC, including time as interim chairman and six years as senior independent director. He chairs the Corporate Partnership Board of the Great Ormond Street Children’s Charity, the Audit Committee of the Football Association and sits on the board of trustees of the Royal National Theatre.</w:t>
      </w:r>
    </w:p>
    <w:p w:rsidRPr="00CF56DC" w:rsidR="006D6A27" w:rsidP="00CF56DC" w:rsidRDefault="006D6A27" w14:paraId="75B9C8BE" w14:textId="7B7DEE0B">
      <w:pPr>
        <w:spacing w:after="240"/>
        <w:jc w:val="both"/>
        <w:rPr>
          <w:rFonts w:ascii="Times New Roman Bold" w:hAnsi="Times New Roman Bold" w:eastAsia="Calibri" w:cs="Times New Roman"/>
          <w:b/>
          <w:caps/>
          <w:sz w:val="20"/>
          <w:lang w:val="en-GB"/>
        </w:rPr>
      </w:pPr>
      <w:r w:rsidRPr="00CF56DC">
        <w:rPr>
          <w:rFonts w:ascii="Times New Roman Bold" w:hAnsi="Times New Roman Bold" w:eastAsia="Calibri" w:cs="Times New Roman"/>
          <w:b/>
          <w:caps/>
          <w:sz w:val="20"/>
          <w:lang w:val="en-GB"/>
        </w:rPr>
        <w:t>SENIOR MANA</w:t>
      </w:r>
      <w:r w:rsidRPr="00CF56DC" w:rsidR="00557473">
        <w:rPr>
          <w:rFonts w:ascii="Times New Roman Bold" w:hAnsi="Times New Roman Bold" w:eastAsia="Calibri" w:cs="Times New Roman"/>
          <w:b/>
          <w:caps/>
          <w:sz w:val="20"/>
          <w:lang w:val="en-GB"/>
        </w:rPr>
        <w:t>GEMENT</w:t>
      </w:r>
    </w:p>
    <w:p w:rsidRPr="009C48DA" w:rsidR="001B7278" w:rsidP="00CF56DC" w:rsidRDefault="001B7278" w14:paraId="6D6627EA" w14:textId="1AE47C31">
      <w:pPr>
        <w:pStyle w:val="BodyText2SglJ"/>
        <w:rPr>
          <w:lang w:val="en-GB"/>
        </w:rPr>
      </w:pPr>
      <w:r w:rsidRPr="009C48DA">
        <w:rPr>
          <w:lang w:val="en-GB"/>
        </w:rPr>
        <w:t xml:space="preserve">The day-to-day management of the Company’s operations is conducted by its senior management team, consisting of </w:t>
      </w:r>
      <w:r w:rsidRPr="009C48DA">
        <w:rPr>
          <w:rFonts w:eastAsia="Times New Roman" w:cs="Times New Roman"/>
          <w:szCs w:val="22"/>
          <w:lang w:val="en-GB"/>
        </w:rPr>
        <w:t>William Jackson</w:t>
      </w:r>
      <w:r w:rsidRPr="009C48DA" w:rsidR="00E0232A">
        <w:rPr>
          <w:rFonts w:eastAsia="Times New Roman" w:cs="Times New Roman"/>
          <w:szCs w:val="22"/>
          <w:lang w:val="en-GB"/>
        </w:rPr>
        <w:t xml:space="preserve"> and Adam Jones. </w:t>
      </w:r>
      <w:r w:rsidRPr="009C48DA">
        <w:rPr>
          <w:rFonts w:eastAsia="Times New Roman" w:cs="Times New Roman"/>
          <w:szCs w:val="22"/>
          <w:lang w:val="en-GB"/>
        </w:rPr>
        <w:t xml:space="preserve">For details of their expertise and experience, refer to </w:t>
      </w:r>
      <w:r w:rsidR="004C2810">
        <w:rPr>
          <w:rFonts w:eastAsia="Times New Roman" w:cs="Times New Roman"/>
          <w:szCs w:val="22"/>
          <w:lang w:val="en-GB"/>
        </w:rPr>
        <w:t>“—</w:t>
      </w:r>
      <w:r w:rsidRPr="009C48DA" w:rsidR="000F0321">
        <w:rPr>
          <w:rFonts w:eastAsia="Times New Roman" w:cs="Times New Roman"/>
          <w:i/>
          <w:szCs w:val="22"/>
          <w:lang w:val="en-GB"/>
        </w:rPr>
        <w:t>Directors</w:t>
      </w:r>
      <w:r w:rsidRPr="004C2810" w:rsidR="004C2810">
        <w:rPr>
          <w:rFonts w:eastAsia="Times New Roman" w:cs="Times New Roman"/>
          <w:szCs w:val="22"/>
          <w:lang w:val="en-GB"/>
        </w:rPr>
        <w:t>”</w:t>
      </w:r>
      <w:r w:rsidRPr="009C48DA" w:rsidR="000F0321">
        <w:rPr>
          <w:rFonts w:eastAsia="Times New Roman" w:cs="Times New Roman"/>
          <w:szCs w:val="22"/>
          <w:lang w:val="en-GB"/>
        </w:rPr>
        <w:t xml:space="preserve"> </w:t>
      </w:r>
      <w:r w:rsidR="00D14A4B">
        <w:rPr>
          <w:color w:val="000000"/>
          <w:szCs w:val="22"/>
          <w:lang w:val="en-GB"/>
        </w:rPr>
        <w:t>of</w:t>
      </w:r>
      <w:r w:rsidRPr="009C48DA">
        <w:rPr>
          <w:rFonts w:eastAsia="Times New Roman" w:cs="Times New Roman"/>
          <w:szCs w:val="22"/>
          <w:lang w:val="en-GB"/>
        </w:rPr>
        <w:t xml:space="preserve"> this </w:t>
      </w:r>
      <w:r w:rsidRPr="009C48DA">
        <w:rPr>
          <w:rFonts w:eastAsia="Times New Roman" w:cs="Times New Roman"/>
          <w:szCs w:val="22"/>
          <w:lang w:val="en-GB"/>
        </w:rPr>
        <w:fldChar w:fldCharType="begin"/>
      </w:r>
      <w:r w:rsidRPr="009C48DA">
        <w:rPr>
          <w:rFonts w:eastAsia="Times New Roman" w:cs="Times New Roman"/>
          <w:szCs w:val="22"/>
          <w:lang w:val="en-GB"/>
        </w:rPr>
        <w:instrText xml:space="preserve"> REF _Ref71144380 \r \h </w:instrText>
      </w:r>
      <w:r w:rsidRPr="009C48DA" w:rsidR="00F10B04">
        <w:rPr>
          <w:rFonts w:eastAsia="Times New Roman" w:cs="Times New Roman"/>
          <w:szCs w:val="22"/>
          <w:lang w:val="en-GB"/>
        </w:rPr>
        <w:instrText xml:space="preserve"> \* MERGEFORMAT </w:instrText>
      </w:r>
      <w:r w:rsidRPr="009C48DA">
        <w:rPr>
          <w:rFonts w:eastAsia="Times New Roman" w:cs="Times New Roman"/>
          <w:szCs w:val="22"/>
          <w:lang w:val="en-GB"/>
        </w:rPr>
      </w:r>
      <w:r w:rsidRPr="009C48DA">
        <w:rPr>
          <w:rFonts w:eastAsia="Times New Roman" w:cs="Times New Roman"/>
          <w:szCs w:val="22"/>
          <w:lang w:val="en-GB"/>
        </w:rPr>
        <w:fldChar w:fldCharType="separate"/>
      </w:r>
      <w:r w:rsidR="007C3D19">
        <w:rPr>
          <w:rFonts w:eastAsia="Times New Roman" w:cs="Times New Roman"/>
          <w:szCs w:val="22"/>
          <w:lang w:val="en-GB"/>
        </w:rPr>
        <w:t>Part VII</w:t>
      </w:r>
      <w:r w:rsidRPr="009C48DA">
        <w:rPr>
          <w:rFonts w:eastAsia="Times New Roman" w:cs="Times New Roman"/>
          <w:szCs w:val="22"/>
          <w:lang w:val="en-GB"/>
        </w:rPr>
        <w:fldChar w:fldCharType="end"/>
      </w:r>
      <w:r w:rsidRPr="009C48DA">
        <w:rPr>
          <w:rFonts w:eastAsia="Times New Roman" w:cs="Times New Roman"/>
          <w:szCs w:val="22"/>
          <w:lang w:val="en-GB"/>
        </w:rPr>
        <w:t xml:space="preserve"> (</w:t>
      </w:r>
      <w:r w:rsidRPr="009C48DA" w:rsidR="001B45EC">
        <w:rPr>
          <w:rFonts w:eastAsia="Times New Roman" w:cs="Times New Roman"/>
          <w:i/>
          <w:szCs w:val="22"/>
          <w:lang w:val="en-GB"/>
        </w:rPr>
      </w:r>
      <w:r w:rsidRPr="007C3D19" w:rsidR="007C3D19">
        <w:rPr>
          <w:i/>
          <w:lang w:val="en-GB"/>
        </w:rPr>
        <w:t>Directors, Senior Management, Employees And Corporate Governance</w:t>
      </w:r>
      <w:r w:rsidRPr="009C48DA">
        <w:rPr>
          <w:rFonts w:eastAsia="Times New Roman" w:cs="Times New Roman"/>
          <w:szCs w:val="22"/>
          <w:lang w:val="en-GB"/>
        </w:rPr>
        <w:t>).</w:t>
      </w:r>
    </w:p>
    <w:p w:rsidRPr="00CF56DC" w:rsidR="006D6A27" w:rsidP="00CF56DC" w:rsidRDefault="006D6A27" w14:paraId="1B49CAAD" w14:textId="1D78EB7C">
      <w:pPr>
        <w:spacing w:after="240"/>
        <w:jc w:val="both"/>
        <w:rPr>
          <w:rFonts w:ascii="Times New Roman Bold" w:hAnsi="Times New Roman Bold" w:eastAsia="Calibri" w:cs="Times New Roman"/>
          <w:b/>
          <w:caps/>
          <w:sz w:val="20"/>
          <w:lang w:val="en-GB"/>
        </w:rPr>
      </w:pPr>
      <w:r w:rsidRPr="00CF56DC">
        <w:rPr>
          <w:rFonts w:ascii="Times New Roman Bold" w:hAnsi="Times New Roman Bold" w:eastAsia="Calibri" w:cs="Times New Roman"/>
          <w:b/>
          <w:caps/>
          <w:sz w:val="20"/>
          <w:lang w:val="en-GB"/>
        </w:rPr>
        <w:t>EMPLOYEES</w:t>
      </w:r>
    </w:p>
    <w:p w:rsidRPr="009C48DA" w:rsidR="006D6A27" w:rsidP="00CF56DC" w:rsidRDefault="006D6A27" w14:paraId="49FF86A0" w14:textId="7456BED1">
      <w:pPr>
        <w:pStyle w:val="BodyText2SglJ"/>
        <w:rPr>
          <w:rFonts w:eastAsia="Calibri" w:cs="Times New Roman"/>
          <w:szCs w:val="20"/>
          <w:lang w:val="en-GB"/>
        </w:rPr>
      </w:pPr>
      <w:r w:rsidRPr="009C48DA">
        <w:rPr>
          <w:rFonts w:eastAsia="Calibri" w:cs="Times New Roman"/>
          <w:lang w:val="en-GB"/>
        </w:rPr>
        <w:t xml:space="preserve">The number of employees employed by the Group </w:t>
      </w:r>
      <w:r w:rsidRPr="009C48DA" w:rsidR="00561C09">
        <w:rPr>
          <w:rFonts w:eastAsia="Calibri" w:cs="Times New Roman"/>
          <w:lang w:val="en-GB"/>
        </w:rPr>
        <w:t>as of</w:t>
      </w:r>
      <w:r w:rsidRPr="009C48DA">
        <w:rPr>
          <w:rFonts w:eastAsia="Calibri" w:cs="Times New Roman"/>
          <w:lang w:val="en-GB"/>
        </w:rPr>
        <w:t xml:space="preserve"> 31 De</w:t>
      </w:r>
      <w:r w:rsidR="004C2810">
        <w:rPr>
          <w:rFonts w:eastAsia="Calibri" w:cs="Times New Roman"/>
          <w:lang w:val="en-GB"/>
        </w:rPr>
        <w:t>cember 2018, 2019 and 2020 was </w:t>
      </w:r>
      <w:r w:rsidRPr="009C48DA" w:rsidR="004353FA">
        <w:rPr>
          <w:rFonts w:eastAsia="Calibri" w:cs="Times New Roman"/>
          <w:lang w:val="en-GB"/>
        </w:rPr>
        <w:t>223</w:t>
      </w:r>
      <w:r w:rsidRPr="009C48DA">
        <w:rPr>
          <w:rFonts w:eastAsia="Calibri" w:cs="Times New Roman"/>
          <w:lang w:val="en-GB"/>
        </w:rPr>
        <w:t xml:space="preserve">, </w:t>
      </w:r>
      <w:r w:rsidRPr="009C48DA" w:rsidR="004353FA">
        <w:rPr>
          <w:rFonts w:eastAsia="Calibri" w:cs="Times New Roman"/>
          <w:lang w:val="en-GB"/>
        </w:rPr>
        <w:t>253</w:t>
      </w:r>
      <w:r w:rsidRPr="009C48DA">
        <w:rPr>
          <w:rFonts w:eastAsia="Calibri" w:cs="Times New Roman"/>
          <w:lang w:val="en-GB"/>
        </w:rPr>
        <w:t xml:space="preserve"> and </w:t>
      </w:r>
      <w:r w:rsidRPr="009C48DA" w:rsidR="004353FA">
        <w:rPr>
          <w:rFonts w:eastAsia="Calibri" w:cs="Times New Roman"/>
          <w:lang w:val="en-GB"/>
        </w:rPr>
        <w:t>310</w:t>
      </w:r>
      <w:r w:rsidRPr="009C48DA">
        <w:rPr>
          <w:rFonts w:eastAsia="Calibri" w:cs="Times New Roman"/>
          <w:lang w:val="en-GB"/>
        </w:rPr>
        <w:t xml:space="preserve">, respectively. </w:t>
      </w:r>
      <w:r w:rsidRPr="009C48DA" w:rsidR="00561C09">
        <w:rPr>
          <w:rFonts w:eastAsia="Calibri" w:cs="Times New Roman"/>
          <w:szCs w:val="20"/>
          <w:lang w:val="en-GB"/>
        </w:rPr>
        <w:t>The table</w:t>
      </w:r>
      <w:r w:rsidRPr="009C48DA">
        <w:rPr>
          <w:rFonts w:eastAsia="Calibri" w:cs="Times New Roman"/>
          <w:szCs w:val="20"/>
          <w:lang w:val="en-GB"/>
        </w:rPr>
        <w:t xml:space="preserve"> </w:t>
      </w:r>
      <w:r w:rsidRPr="009C48DA">
        <w:rPr>
          <w:color w:val="000000"/>
          <w:lang w:val="en-GB"/>
        </w:rPr>
        <w:t>below</w:t>
      </w:r>
      <w:r w:rsidRPr="009C48DA">
        <w:rPr>
          <w:rFonts w:eastAsia="Calibri" w:cs="Times New Roman"/>
          <w:szCs w:val="20"/>
          <w:lang w:val="en-GB"/>
        </w:rPr>
        <w:t xml:space="preserve"> shows the breakdown of the number of employees </w:t>
      </w:r>
      <w:r w:rsidRPr="009C48DA" w:rsidR="00561C09">
        <w:rPr>
          <w:rFonts w:eastAsia="Calibri" w:cs="Times New Roman"/>
          <w:szCs w:val="20"/>
          <w:lang w:val="en-GB"/>
        </w:rPr>
        <w:t>as of</w:t>
      </w:r>
      <w:r w:rsidRPr="009C48DA">
        <w:rPr>
          <w:rFonts w:eastAsia="Calibri" w:cs="Times New Roman"/>
          <w:szCs w:val="20"/>
          <w:lang w:val="en-GB"/>
        </w:rPr>
        <w:t xml:space="preserve"> 31 December 2018, 2019 and 2020 by geographic location.</w:t>
      </w:r>
    </w:p>
    <w:tbl>
      <w:tblPr>
        <w:tblStyle w:val="TableGrid"/>
        <w:tblW w:w="8017" w:type="dxa"/>
        <w:tblInd w:w="63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17"/>
        <w:gridCol w:w="1180"/>
        <w:gridCol w:w="374"/>
        <w:gridCol w:w="1894"/>
        <w:gridCol w:w="284"/>
        <w:gridCol w:w="1914"/>
        <w:gridCol w:w="241"/>
        <w:gridCol w:w="1813"/>
      </w:tblGrid>
      <w:tr w:rsidRPr="009C48DA" w:rsidR="006D6A27" w:rsidTr="00CF56DC" w14:paraId="172D6FD6" w14:textId="77777777">
        <w:tc>
          <w:tcPr>
            <w:tcW w:w="317" w:type="dxa"/>
          </w:tcPr>
          <w:p w:rsidRPr="009C48DA" w:rsidR="006D6A27" w:rsidP="00E97923" w:rsidRDefault="006D6A27" w14:paraId="1F73A547" w14:textId="77777777">
            <w:pPr>
              <w:jc w:val="center"/>
              <w:rPr>
                <w:b/>
                <w:sz w:val="20"/>
                <w:szCs w:val="20"/>
                <w:u w:val="single"/>
                <w:lang w:val="en-GB"/>
              </w:rPr>
            </w:pPr>
          </w:p>
        </w:tc>
        <w:tc>
          <w:tcPr>
            <w:tcW w:w="7700" w:type="dxa"/>
            <w:gridSpan w:val="7"/>
            <w:vAlign w:val="center"/>
          </w:tcPr>
          <w:p w:rsidRPr="009C48DA" w:rsidR="006D6A27" w:rsidP="00561C09" w:rsidRDefault="006D6A27" w14:paraId="329848CB" w14:textId="10B039D9">
            <w:pPr>
              <w:jc w:val="center"/>
              <w:rPr>
                <w:b/>
                <w:sz w:val="20"/>
                <w:szCs w:val="20"/>
                <w:u w:val="single"/>
                <w:lang w:val="en-GB"/>
              </w:rPr>
            </w:pPr>
          </w:p>
        </w:tc>
      </w:tr>
      <w:tr w:rsidRPr="009C48DA" w:rsidR="00C5293E" w:rsidTr="00CF56DC" w14:paraId="4ECDF0EC" w14:textId="77777777">
        <w:tc>
          <w:tcPr>
            <w:tcW w:w="1497" w:type="dxa"/>
            <w:gridSpan w:val="2"/>
          </w:tcPr>
          <w:p w:rsidRPr="009C48DA" w:rsidR="00C5293E" w:rsidP="00E97923" w:rsidRDefault="00C5293E" w14:paraId="31889A73" w14:textId="77777777">
            <w:pPr>
              <w:jc w:val="both"/>
              <w:rPr>
                <w:b/>
                <w:sz w:val="20"/>
                <w:szCs w:val="20"/>
                <w:lang w:val="en-GB"/>
              </w:rPr>
            </w:pPr>
          </w:p>
        </w:tc>
        <w:tc>
          <w:tcPr>
            <w:tcW w:w="374" w:type="dxa"/>
          </w:tcPr>
          <w:p w:rsidRPr="009C48DA" w:rsidR="00C5293E" w:rsidP="00E97923" w:rsidRDefault="00C5293E" w14:paraId="6099FD20" w14:textId="77777777">
            <w:pPr>
              <w:jc w:val="right"/>
              <w:rPr>
                <w:b/>
                <w:sz w:val="20"/>
                <w:szCs w:val="20"/>
                <w:lang w:val="en-GB"/>
              </w:rPr>
            </w:pPr>
          </w:p>
        </w:tc>
        <w:tc>
          <w:tcPr>
            <w:tcW w:w="6146" w:type="dxa"/>
            <w:gridSpan w:val="5"/>
          </w:tcPr>
          <w:p w:rsidRPr="009C48DA" w:rsidR="00C5293E" w:rsidP="00C5293E" w:rsidRDefault="00C5293E" w14:paraId="1D047374" w14:textId="5AA5CCD8">
            <w:pPr>
              <w:pBdr>
                <w:bottom w:val="single" w:color="auto" w:sz="4" w:space="1"/>
              </w:pBdr>
              <w:jc w:val="center"/>
              <w:rPr>
                <w:b/>
                <w:sz w:val="20"/>
                <w:szCs w:val="20"/>
                <w:lang w:val="en-GB"/>
              </w:rPr>
            </w:pPr>
            <w:r w:rsidRPr="009C48DA">
              <w:rPr>
                <w:b/>
                <w:sz w:val="20"/>
                <w:szCs w:val="20"/>
                <w:lang w:val="en-GB"/>
              </w:rPr>
              <w:t>Number at the financial year ended</w:t>
            </w:r>
          </w:p>
        </w:tc>
      </w:tr>
      <w:tr w:rsidRPr="009C48DA" w:rsidR="006D6A27" w:rsidTr="00CF56DC" w14:paraId="023B8AB5" w14:textId="77777777">
        <w:tc>
          <w:tcPr>
            <w:tcW w:w="1497" w:type="dxa"/>
            <w:gridSpan w:val="2"/>
          </w:tcPr>
          <w:p w:rsidRPr="009C48DA" w:rsidR="006D6A27" w:rsidP="00E97923" w:rsidRDefault="006D6A27" w14:paraId="45282149" w14:textId="77777777">
            <w:pPr>
              <w:jc w:val="both"/>
              <w:rPr>
                <w:b/>
                <w:sz w:val="20"/>
                <w:szCs w:val="20"/>
                <w:lang w:val="en-GB"/>
              </w:rPr>
            </w:pPr>
          </w:p>
          <w:p w:rsidRPr="009C48DA" w:rsidR="006D6A27" w:rsidP="00E97923" w:rsidRDefault="006D6A27" w14:paraId="2F91BE5E" w14:textId="77777777">
            <w:pPr>
              <w:jc w:val="both"/>
              <w:rPr>
                <w:b/>
                <w:sz w:val="20"/>
                <w:szCs w:val="20"/>
                <w:lang w:val="en-GB"/>
              </w:rPr>
            </w:pPr>
            <w:r w:rsidRPr="009C48DA">
              <w:rPr>
                <w:b/>
                <w:sz w:val="20"/>
                <w:szCs w:val="20"/>
                <w:lang w:val="en-GB"/>
              </w:rPr>
              <w:t>Location</w:t>
            </w:r>
          </w:p>
        </w:tc>
        <w:tc>
          <w:tcPr>
            <w:tcW w:w="374" w:type="dxa"/>
          </w:tcPr>
          <w:p w:rsidRPr="009C48DA" w:rsidR="006D6A27" w:rsidP="00E97923" w:rsidRDefault="006D6A27" w14:paraId="0540F59E" w14:textId="77777777">
            <w:pPr>
              <w:jc w:val="right"/>
              <w:rPr>
                <w:b/>
                <w:sz w:val="20"/>
                <w:szCs w:val="20"/>
                <w:lang w:val="en-GB"/>
              </w:rPr>
            </w:pPr>
          </w:p>
        </w:tc>
        <w:tc>
          <w:tcPr>
            <w:tcW w:w="1894" w:type="dxa"/>
          </w:tcPr>
          <w:p w:rsidRPr="009C48DA" w:rsidR="006D6A27" w:rsidP="00C5293E" w:rsidRDefault="006D6A27" w14:paraId="281B5D3B" w14:textId="77777777">
            <w:pPr>
              <w:pBdr>
                <w:bottom w:val="single" w:color="auto" w:sz="4" w:space="1"/>
              </w:pBdr>
              <w:jc w:val="right"/>
              <w:rPr>
                <w:b/>
                <w:sz w:val="20"/>
                <w:szCs w:val="20"/>
                <w:lang w:val="en-GB"/>
              </w:rPr>
            </w:pPr>
          </w:p>
          <w:p w:rsidRPr="009C48DA" w:rsidR="006D6A27" w:rsidP="00C5293E" w:rsidRDefault="006D6A27" w14:paraId="3CD46811" w14:textId="241A4D5E">
            <w:pPr>
              <w:pBdr>
                <w:bottom w:val="single" w:color="auto" w:sz="4" w:space="1"/>
              </w:pBdr>
              <w:jc w:val="right"/>
              <w:rPr>
                <w:b/>
                <w:sz w:val="20"/>
                <w:szCs w:val="20"/>
                <w:lang w:val="en-GB"/>
              </w:rPr>
            </w:pPr>
            <w:r w:rsidRPr="009C48DA">
              <w:rPr>
                <w:b/>
                <w:sz w:val="20"/>
                <w:szCs w:val="20"/>
                <w:lang w:val="en-GB"/>
              </w:rPr>
              <w:t>31 Dec</w:t>
            </w:r>
            <w:r w:rsidRPr="009C48DA" w:rsidR="00C5293E">
              <w:rPr>
                <w:b/>
                <w:sz w:val="20"/>
                <w:szCs w:val="20"/>
                <w:lang w:val="en-GB"/>
              </w:rPr>
              <w:t>ember</w:t>
            </w:r>
            <w:r w:rsidRPr="009C48DA">
              <w:rPr>
                <w:b/>
                <w:sz w:val="20"/>
                <w:szCs w:val="20"/>
                <w:lang w:val="en-GB"/>
              </w:rPr>
              <w:t xml:space="preserve"> 2018</w:t>
            </w:r>
          </w:p>
        </w:tc>
        <w:tc>
          <w:tcPr>
            <w:tcW w:w="284" w:type="dxa"/>
          </w:tcPr>
          <w:p w:rsidRPr="009C48DA" w:rsidR="006D6A27" w:rsidP="00C5293E" w:rsidRDefault="006D6A27" w14:paraId="3BA92087" w14:textId="77777777">
            <w:pPr>
              <w:jc w:val="right"/>
              <w:rPr>
                <w:b/>
                <w:sz w:val="20"/>
                <w:szCs w:val="20"/>
                <w:lang w:val="en-GB"/>
              </w:rPr>
            </w:pPr>
          </w:p>
        </w:tc>
        <w:tc>
          <w:tcPr>
            <w:tcW w:w="1914" w:type="dxa"/>
          </w:tcPr>
          <w:p w:rsidRPr="009C48DA" w:rsidR="006D6A27" w:rsidP="00C5293E" w:rsidRDefault="006D6A27" w14:paraId="6251B867" w14:textId="77777777">
            <w:pPr>
              <w:pBdr>
                <w:bottom w:val="single" w:color="auto" w:sz="4" w:space="1"/>
              </w:pBdr>
              <w:jc w:val="right"/>
              <w:rPr>
                <w:b/>
                <w:sz w:val="20"/>
                <w:szCs w:val="20"/>
                <w:lang w:val="en-GB"/>
              </w:rPr>
            </w:pPr>
          </w:p>
          <w:p w:rsidRPr="009C48DA" w:rsidR="006D6A27" w:rsidP="00C5293E" w:rsidRDefault="00C5293E" w14:paraId="741C2DB1" w14:textId="074CC4E2">
            <w:pPr>
              <w:pBdr>
                <w:bottom w:val="single" w:color="auto" w:sz="4" w:space="1"/>
              </w:pBdr>
              <w:jc w:val="right"/>
              <w:rPr>
                <w:b/>
                <w:sz w:val="20"/>
                <w:szCs w:val="20"/>
                <w:lang w:val="en-GB"/>
              </w:rPr>
            </w:pPr>
            <w:r w:rsidRPr="009C48DA">
              <w:rPr>
                <w:b/>
                <w:sz w:val="20"/>
                <w:szCs w:val="20"/>
                <w:lang w:val="en-GB"/>
              </w:rPr>
              <w:t xml:space="preserve">31 December </w:t>
            </w:r>
            <w:r w:rsidRPr="009C48DA" w:rsidR="006D6A27">
              <w:rPr>
                <w:b/>
                <w:sz w:val="20"/>
                <w:szCs w:val="20"/>
                <w:lang w:val="en-GB"/>
              </w:rPr>
              <w:t>2019</w:t>
            </w:r>
          </w:p>
        </w:tc>
        <w:tc>
          <w:tcPr>
            <w:tcW w:w="241" w:type="dxa"/>
          </w:tcPr>
          <w:p w:rsidRPr="009C48DA" w:rsidR="006D6A27" w:rsidP="00C5293E" w:rsidRDefault="006D6A27" w14:paraId="7811DD2D" w14:textId="77777777">
            <w:pPr>
              <w:jc w:val="right"/>
              <w:rPr>
                <w:b/>
                <w:sz w:val="20"/>
                <w:szCs w:val="20"/>
                <w:lang w:val="en-GB"/>
              </w:rPr>
            </w:pPr>
          </w:p>
        </w:tc>
        <w:tc>
          <w:tcPr>
            <w:tcW w:w="1813" w:type="dxa"/>
          </w:tcPr>
          <w:p w:rsidRPr="009C48DA" w:rsidR="006D6A27" w:rsidP="00C5293E" w:rsidRDefault="006D6A27" w14:paraId="605F0D8B" w14:textId="77777777">
            <w:pPr>
              <w:pBdr>
                <w:bottom w:val="single" w:color="auto" w:sz="4" w:space="1"/>
              </w:pBdr>
              <w:jc w:val="right"/>
              <w:rPr>
                <w:b/>
                <w:sz w:val="20"/>
                <w:szCs w:val="20"/>
                <w:lang w:val="en-GB"/>
              </w:rPr>
            </w:pPr>
          </w:p>
          <w:p w:rsidRPr="009C48DA" w:rsidR="006D6A27" w:rsidP="00C5293E" w:rsidRDefault="006D6A27" w14:paraId="399773A0" w14:textId="5565C59C">
            <w:pPr>
              <w:pBdr>
                <w:bottom w:val="single" w:color="auto" w:sz="4" w:space="1"/>
              </w:pBdr>
              <w:jc w:val="right"/>
              <w:rPr>
                <w:b/>
                <w:sz w:val="20"/>
                <w:szCs w:val="20"/>
                <w:lang w:val="en-GB"/>
              </w:rPr>
            </w:pPr>
            <w:r w:rsidRPr="009C48DA">
              <w:rPr>
                <w:b/>
                <w:sz w:val="20"/>
                <w:szCs w:val="20"/>
                <w:lang w:val="en-GB"/>
              </w:rPr>
              <w:t>31 Dec</w:t>
            </w:r>
            <w:r w:rsidRPr="009C48DA" w:rsidR="00C5293E">
              <w:rPr>
                <w:b/>
                <w:sz w:val="20"/>
                <w:szCs w:val="20"/>
                <w:lang w:val="en-GB"/>
              </w:rPr>
              <w:t>ember</w:t>
            </w:r>
            <w:r w:rsidRPr="009C48DA">
              <w:rPr>
                <w:b/>
                <w:sz w:val="20"/>
                <w:szCs w:val="20"/>
                <w:lang w:val="en-GB"/>
              </w:rPr>
              <w:t xml:space="preserve"> 2020</w:t>
            </w:r>
          </w:p>
        </w:tc>
      </w:tr>
      <w:tr w:rsidRPr="009C48DA" w:rsidR="006D6A27" w:rsidTr="00CF56DC" w14:paraId="1856641E" w14:textId="77777777">
        <w:tc>
          <w:tcPr>
            <w:tcW w:w="1497" w:type="dxa"/>
            <w:gridSpan w:val="2"/>
          </w:tcPr>
          <w:p w:rsidRPr="009C48DA" w:rsidR="006D6A27" w:rsidP="00E97923" w:rsidRDefault="006D6A27" w14:paraId="41450377" w14:textId="77777777">
            <w:pPr>
              <w:rPr>
                <w:sz w:val="20"/>
                <w:szCs w:val="20"/>
                <w:lang w:val="en-GB"/>
              </w:rPr>
            </w:pPr>
            <w:r w:rsidRPr="009C48DA">
              <w:rPr>
                <w:sz w:val="20"/>
                <w:szCs w:val="20"/>
                <w:lang w:val="en-GB"/>
              </w:rPr>
              <w:t>London</w:t>
            </w:r>
          </w:p>
        </w:tc>
        <w:tc>
          <w:tcPr>
            <w:tcW w:w="374" w:type="dxa"/>
          </w:tcPr>
          <w:p w:rsidRPr="009C48DA" w:rsidR="006D6A27" w:rsidP="00E97923" w:rsidRDefault="006D6A27" w14:paraId="0FA2D18A" w14:textId="77777777">
            <w:pPr>
              <w:jc w:val="right"/>
              <w:rPr>
                <w:sz w:val="20"/>
                <w:szCs w:val="20"/>
                <w:lang w:val="en-GB"/>
              </w:rPr>
            </w:pPr>
          </w:p>
        </w:tc>
        <w:tc>
          <w:tcPr>
            <w:tcW w:w="1894" w:type="dxa"/>
          </w:tcPr>
          <w:p w:rsidRPr="009C48DA" w:rsidR="006D6A27" w:rsidP="00E97923" w:rsidRDefault="004353FA" w14:paraId="744D556D" w14:textId="6A964CC7">
            <w:pPr>
              <w:jc w:val="right"/>
              <w:rPr>
                <w:sz w:val="20"/>
                <w:szCs w:val="20"/>
                <w:lang w:val="en-GB"/>
              </w:rPr>
            </w:pPr>
            <w:r w:rsidRPr="009C48DA">
              <w:rPr>
                <w:sz w:val="20"/>
                <w:szCs w:val="20"/>
                <w:lang w:val="en-GB"/>
              </w:rPr>
              <w:t>123</w:t>
            </w:r>
          </w:p>
        </w:tc>
        <w:tc>
          <w:tcPr>
            <w:tcW w:w="284" w:type="dxa"/>
          </w:tcPr>
          <w:p w:rsidRPr="009C48DA" w:rsidR="006D6A27" w:rsidP="00E97923" w:rsidRDefault="006D6A27" w14:paraId="55D31C93" w14:textId="77777777">
            <w:pPr>
              <w:jc w:val="right"/>
              <w:rPr>
                <w:sz w:val="20"/>
                <w:szCs w:val="20"/>
                <w:lang w:val="en-GB"/>
              </w:rPr>
            </w:pPr>
          </w:p>
        </w:tc>
        <w:tc>
          <w:tcPr>
            <w:tcW w:w="1914" w:type="dxa"/>
          </w:tcPr>
          <w:p w:rsidRPr="009C48DA" w:rsidR="006D6A27" w:rsidP="00E97923" w:rsidRDefault="004353FA" w14:paraId="1EFC157C" w14:textId="5FA67B60">
            <w:pPr>
              <w:jc w:val="right"/>
              <w:rPr>
                <w:sz w:val="20"/>
                <w:szCs w:val="20"/>
                <w:lang w:val="en-GB"/>
              </w:rPr>
            </w:pPr>
            <w:r w:rsidRPr="009C48DA">
              <w:rPr>
                <w:sz w:val="20"/>
                <w:szCs w:val="20"/>
                <w:lang w:val="en-GB"/>
              </w:rPr>
              <w:t>141</w:t>
            </w:r>
          </w:p>
        </w:tc>
        <w:tc>
          <w:tcPr>
            <w:tcW w:w="241" w:type="dxa"/>
          </w:tcPr>
          <w:p w:rsidRPr="009C48DA" w:rsidR="006D6A27" w:rsidP="00E97923" w:rsidRDefault="006D6A27" w14:paraId="47D106F8" w14:textId="77777777">
            <w:pPr>
              <w:jc w:val="right"/>
              <w:rPr>
                <w:sz w:val="20"/>
                <w:szCs w:val="20"/>
                <w:lang w:val="en-GB"/>
              </w:rPr>
            </w:pPr>
          </w:p>
        </w:tc>
        <w:tc>
          <w:tcPr>
            <w:tcW w:w="1813" w:type="dxa"/>
          </w:tcPr>
          <w:p w:rsidRPr="009C48DA" w:rsidR="006D6A27" w:rsidP="00E97923" w:rsidRDefault="004353FA" w14:paraId="39053887" w14:textId="17D07F2C">
            <w:pPr>
              <w:jc w:val="right"/>
              <w:rPr>
                <w:sz w:val="20"/>
                <w:szCs w:val="20"/>
                <w:lang w:val="en-GB"/>
              </w:rPr>
            </w:pPr>
            <w:r w:rsidRPr="009C48DA">
              <w:rPr>
                <w:sz w:val="20"/>
                <w:szCs w:val="20"/>
                <w:lang w:val="en-GB"/>
              </w:rPr>
              <w:t>177</w:t>
            </w:r>
          </w:p>
        </w:tc>
      </w:tr>
      <w:tr w:rsidRPr="009C48DA" w:rsidR="006D6A27" w:rsidTr="00CF56DC" w14:paraId="1E0C9E2D" w14:textId="77777777">
        <w:tc>
          <w:tcPr>
            <w:tcW w:w="1497" w:type="dxa"/>
            <w:gridSpan w:val="2"/>
          </w:tcPr>
          <w:p w:rsidRPr="009C48DA" w:rsidR="006D6A27" w:rsidP="00E97923" w:rsidRDefault="006D6A27" w14:paraId="454B9AE8" w14:textId="77777777">
            <w:pPr>
              <w:rPr>
                <w:sz w:val="20"/>
                <w:szCs w:val="20"/>
                <w:lang w:val="en-GB"/>
              </w:rPr>
            </w:pPr>
            <w:r w:rsidRPr="009C48DA">
              <w:rPr>
                <w:sz w:val="20"/>
                <w:szCs w:val="20"/>
                <w:lang w:val="en-GB"/>
              </w:rPr>
              <w:t>Paris</w:t>
            </w:r>
          </w:p>
        </w:tc>
        <w:tc>
          <w:tcPr>
            <w:tcW w:w="374" w:type="dxa"/>
          </w:tcPr>
          <w:p w:rsidRPr="009C48DA" w:rsidR="006D6A27" w:rsidP="00E97923" w:rsidRDefault="006D6A27" w14:paraId="00827F1E" w14:textId="77777777">
            <w:pPr>
              <w:jc w:val="right"/>
              <w:rPr>
                <w:sz w:val="20"/>
                <w:szCs w:val="20"/>
                <w:lang w:val="en-GB"/>
              </w:rPr>
            </w:pPr>
          </w:p>
        </w:tc>
        <w:tc>
          <w:tcPr>
            <w:tcW w:w="1894" w:type="dxa"/>
          </w:tcPr>
          <w:p w:rsidRPr="009C48DA" w:rsidR="006D6A27" w:rsidP="00E97923" w:rsidRDefault="004353FA" w14:paraId="2953444B" w14:textId="4264F2D1">
            <w:pPr>
              <w:jc w:val="right"/>
              <w:rPr>
                <w:sz w:val="20"/>
                <w:szCs w:val="20"/>
                <w:lang w:val="en-GB"/>
              </w:rPr>
            </w:pPr>
            <w:r w:rsidRPr="009C48DA">
              <w:rPr>
                <w:sz w:val="20"/>
                <w:szCs w:val="20"/>
                <w:lang w:val="en-GB"/>
              </w:rPr>
              <w:t>38</w:t>
            </w:r>
          </w:p>
        </w:tc>
        <w:tc>
          <w:tcPr>
            <w:tcW w:w="284" w:type="dxa"/>
          </w:tcPr>
          <w:p w:rsidRPr="009C48DA" w:rsidR="006D6A27" w:rsidP="00E97923" w:rsidRDefault="006D6A27" w14:paraId="7A6FB308" w14:textId="77777777">
            <w:pPr>
              <w:jc w:val="right"/>
              <w:rPr>
                <w:sz w:val="20"/>
                <w:szCs w:val="20"/>
                <w:lang w:val="en-GB"/>
              </w:rPr>
            </w:pPr>
          </w:p>
        </w:tc>
        <w:tc>
          <w:tcPr>
            <w:tcW w:w="1914" w:type="dxa"/>
          </w:tcPr>
          <w:p w:rsidRPr="009C48DA" w:rsidR="006D6A27" w:rsidP="004353FA" w:rsidRDefault="006D6A27" w14:paraId="2A3431AE" w14:textId="4F1FE178">
            <w:pPr>
              <w:jc w:val="right"/>
              <w:rPr>
                <w:sz w:val="20"/>
                <w:szCs w:val="20"/>
                <w:lang w:val="en-GB"/>
              </w:rPr>
            </w:pPr>
            <w:r w:rsidRPr="009C48DA">
              <w:rPr>
                <w:sz w:val="20"/>
                <w:szCs w:val="20"/>
                <w:lang w:val="en-GB"/>
              </w:rPr>
              <w:t>4</w:t>
            </w:r>
            <w:r w:rsidRPr="009C48DA" w:rsidR="004353FA">
              <w:rPr>
                <w:sz w:val="20"/>
                <w:szCs w:val="20"/>
                <w:lang w:val="en-GB"/>
              </w:rPr>
              <w:t>3</w:t>
            </w:r>
          </w:p>
        </w:tc>
        <w:tc>
          <w:tcPr>
            <w:tcW w:w="241" w:type="dxa"/>
          </w:tcPr>
          <w:p w:rsidRPr="009C48DA" w:rsidR="006D6A27" w:rsidP="00E97923" w:rsidRDefault="006D6A27" w14:paraId="2F62B482" w14:textId="77777777">
            <w:pPr>
              <w:jc w:val="right"/>
              <w:rPr>
                <w:sz w:val="20"/>
                <w:szCs w:val="20"/>
                <w:lang w:val="en-GB"/>
              </w:rPr>
            </w:pPr>
          </w:p>
        </w:tc>
        <w:tc>
          <w:tcPr>
            <w:tcW w:w="1813" w:type="dxa"/>
          </w:tcPr>
          <w:p w:rsidRPr="009C48DA" w:rsidR="006D6A27" w:rsidP="00E97923" w:rsidRDefault="004353FA" w14:paraId="78B39FF6" w14:textId="7F7DF1BA">
            <w:pPr>
              <w:jc w:val="right"/>
              <w:rPr>
                <w:sz w:val="20"/>
                <w:szCs w:val="20"/>
                <w:lang w:val="en-GB"/>
              </w:rPr>
            </w:pPr>
            <w:r w:rsidRPr="009C48DA">
              <w:rPr>
                <w:sz w:val="20"/>
                <w:szCs w:val="20"/>
                <w:lang w:val="en-GB"/>
              </w:rPr>
              <w:t>45</w:t>
            </w:r>
          </w:p>
        </w:tc>
      </w:tr>
      <w:tr w:rsidRPr="009C48DA" w:rsidR="006D6A27" w:rsidTr="00CF56DC" w14:paraId="29F24D88" w14:textId="77777777">
        <w:tc>
          <w:tcPr>
            <w:tcW w:w="1497" w:type="dxa"/>
            <w:gridSpan w:val="2"/>
          </w:tcPr>
          <w:p w:rsidRPr="009C48DA" w:rsidR="006D6A27" w:rsidP="00E97923" w:rsidRDefault="006D6A27" w14:paraId="651CD6EC" w14:textId="77777777">
            <w:pPr>
              <w:rPr>
                <w:sz w:val="20"/>
                <w:szCs w:val="20"/>
                <w:lang w:val="en-GB"/>
              </w:rPr>
            </w:pPr>
            <w:r w:rsidRPr="009C48DA">
              <w:rPr>
                <w:sz w:val="20"/>
                <w:szCs w:val="20"/>
                <w:lang w:val="en-GB"/>
              </w:rPr>
              <w:t>New York</w:t>
            </w:r>
          </w:p>
        </w:tc>
        <w:tc>
          <w:tcPr>
            <w:tcW w:w="374" w:type="dxa"/>
          </w:tcPr>
          <w:p w:rsidRPr="009C48DA" w:rsidR="006D6A27" w:rsidP="00E97923" w:rsidRDefault="006D6A27" w14:paraId="1E6E0CE1" w14:textId="77777777">
            <w:pPr>
              <w:jc w:val="right"/>
              <w:rPr>
                <w:sz w:val="20"/>
                <w:szCs w:val="20"/>
                <w:lang w:val="en-GB"/>
              </w:rPr>
            </w:pPr>
          </w:p>
        </w:tc>
        <w:tc>
          <w:tcPr>
            <w:tcW w:w="1894" w:type="dxa"/>
          </w:tcPr>
          <w:p w:rsidRPr="009C48DA" w:rsidR="006D6A27" w:rsidP="00E97923" w:rsidRDefault="006D6A27" w14:paraId="7EF0D1DA" w14:textId="77777777">
            <w:pPr>
              <w:jc w:val="right"/>
              <w:rPr>
                <w:sz w:val="20"/>
                <w:szCs w:val="20"/>
                <w:lang w:val="en-GB"/>
              </w:rPr>
            </w:pPr>
            <w:r w:rsidRPr="009C48DA">
              <w:rPr>
                <w:sz w:val="20"/>
                <w:szCs w:val="20"/>
                <w:lang w:val="en-GB"/>
              </w:rPr>
              <w:t>10</w:t>
            </w:r>
          </w:p>
        </w:tc>
        <w:tc>
          <w:tcPr>
            <w:tcW w:w="284" w:type="dxa"/>
          </w:tcPr>
          <w:p w:rsidRPr="009C48DA" w:rsidR="006D6A27" w:rsidP="00E97923" w:rsidRDefault="006D6A27" w14:paraId="77AF8849" w14:textId="77777777">
            <w:pPr>
              <w:jc w:val="right"/>
              <w:rPr>
                <w:sz w:val="20"/>
                <w:szCs w:val="20"/>
                <w:lang w:val="en-GB"/>
              </w:rPr>
            </w:pPr>
          </w:p>
        </w:tc>
        <w:tc>
          <w:tcPr>
            <w:tcW w:w="1914" w:type="dxa"/>
          </w:tcPr>
          <w:p w:rsidRPr="009C48DA" w:rsidR="006D6A27" w:rsidP="00E97923" w:rsidRDefault="006D6A27" w14:paraId="240C4E89" w14:textId="77777777">
            <w:pPr>
              <w:jc w:val="right"/>
              <w:rPr>
                <w:sz w:val="20"/>
                <w:szCs w:val="20"/>
                <w:lang w:val="en-GB"/>
              </w:rPr>
            </w:pPr>
            <w:r w:rsidRPr="009C48DA">
              <w:rPr>
                <w:sz w:val="20"/>
                <w:szCs w:val="20"/>
                <w:lang w:val="en-GB"/>
              </w:rPr>
              <w:t>12</w:t>
            </w:r>
          </w:p>
        </w:tc>
        <w:tc>
          <w:tcPr>
            <w:tcW w:w="241" w:type="dxa"/>
          </w:tcPr>
          <w:p w:rsidRPr="009C48DA" w:rsidR="006D6A27" w:rsidP="00E97923" w:rsidRDefault="006D6A27" w14:paraId="072D948C" w14:textId="77777777">
            <w:pPr>
              <w:jc w:val="right"/>
              <w:rPr>
                <w:sz w:val="20"/>
                <w:szCs w:val="20"/>
                <w:lang w:val="en-GB"/>
              </w:rPr>
            </w:pPr>
          </w:p>
        </w:tc>
        <w:tc>
          <w:tcPr>
            <w:tcW w:w="1813" w:type="dxa"/>
          </w:tcPr>
          <w:p w:rsidRPr="009C48DA" w:rsidR="006D6A27" w:rsidP="00E97923" w:rsidRDefault="006D6A27" w14:paraId="7AA869DD" w14:textId="77777777">
            <w:pPr>
              <w:jc w:val="right"/>
              <w:rPr>
                <w:sz w:val="20"/>
                <w:szCs w:val="20"/>
                <w:lang w:val="en-GB"/>
              </w:rPr>
            </w:pPr>
            <w:r w:rsidRPr="009C48DA">
              <w:rPr>
                <w:sz w:val="20"/>
                <w:szCs w:val="20"/>
                <w:lang w:val="en-GB"/>
              </w:rPr>
              <w:t>19</w:t>
            </w:r>
          </w:p>
        </w:tc>
      </w:tr>
      <w:tr w:rsidRPr="009C48DA" w:rsidR="006D6A27" w:rsidTr="00CF56DC" w14:paraId="5D7DA3F1" w14:textId="77777777">
        <w:tc>
          <w:tcPr>
            <w:tcW w:w="1497" w:type="dxa"/>
            <w:gridSpan w:val="2"/>
          </w:tcPr>
          <w:p w:rsidRPr="009C48DA" w:rsidR="006D6A27" w:rsidP="00E97923" w:rsidRDefault="006D6A27" w14:paraId="4F9512D4" w14:textId="77777777">
            <w:pPr>
              <w:rPr>
                <w:sz w:val="20"/>
                <w:szCs w:val="20"/>
                <w:lang w:val="en-GB"/>
              </w:rPr>
            </w:pPr>
            <w:r w:rsidRPr="009C48DA">
              <w:rPr>
                <w:sz w:val="20"/>
                <w:szCs w:val="20"/>
                <w:lang w:val="en-GB"/>
              </w:rPr>
              <w:t>Stockholm</w:t>
            </w:r>
          </w:p>
        </w:tc>
        <w:tc>
          <w:tcPr>
            <w:tcW w:w="374" w:type="dxa"/>
          </w:tcPr>
          <w:p w:rsidRPr="009C48DA" w:rsidR="006D6A27" w:rsidP="00E97923" w:rsidRDefault="006D6A27" w14:paraId="2500203D" w14:textId="77777777">
            <w:pPr>
              <w:jc w:val="right"/>
              <w:rPr>
                <w:sz w:val="20"/>
                <w:szCs w:val="20"/>
                <w:lang w:val="en-GB"/>
              </w:rPr>
            </w:pPr>
          </w:p>
        </w:tc>
        <w:tc>
          <w:tcPr>
            <w:tcW w:w="1894" w:type="dxa"/>
          </w:tcPr>
          <w:p w:rsidRPr="009C48DA" w:rsidR="006D6A27" w:rsidP="004353FA" w:rsidRDefault="006D6A27" w14:paraId="10E19A1B" w14:textId="309AA4D4">
            <w:pPr>
              <w:jc w:val="right"/>
              <w:rPr>
                <w:sz w:val="20"/>
                <w:szCs w:val="20"/>
                <w:lang w:val="en-GB"/>
              </w:rPr>
            </w:pPr>
            <w:r w:rsidRPr="009C48DA">
              <w:rPr>
                <w:sz w:val="20"/>
                <w:szCs w:val="20"/>
                <w:lang w:val="en-GB"/>
              </w:rPr>
              <w:t>1</w:t>
            </w:r>
            <w:r w:rsidRPr="009C48DA" w:rsidR="004353FA">
              <w:rPr>
                <w:sz w:val="20"/>
                <w:szCs w:val="20"/>
                <w:lang w:val="en-GB"/>
              </w:rPr>
              <w:t>1</w:t>
            </w:r>
          </w:p>
        </w:tc>
        <w:tc>
          <w:tcPr>
            <w:tcW w:w="284" w:type="dxa"/>
          </w:tcPr>
          <w:p w:rsidRPr="009C48DA" w:rsidR="006D6A27" w:rsidP="00E97923" w:rsidRDefault="006D6A27" w14:paraId="39E1BE66" w14:textId="77777777">
            <w:pPr>
              <w:jc w:val="right"/>
              <w:rPr>
                <w:sz w:val="20"/>
                <w:szCs w:val="20"/>
                <w:lang w:val="en-GB"/>
              </w:rPr>
            </w:pPr>
          </w:p>
        </w:tc>
        <w:tc>
          <w:tcPr>
            <w:tcW w:w="1914" w:type="dxa"/>
          </w:tcPr>
          <w:p w:rsidRPr="009C48DA" w:rsidR="006D6A27" w:rsidP="004353FA" w:rsidRDefault="006D6A27" w14:paraId="24521890" w14:textId="648370D4">
            <w:pPr>
              <w:jc w:val="right"/>
              <w:rPr>
                <w:sz w:val="20"/>
                <w:szCs w:val="20"/>
                <w:lang w:val="en-GB"/>
              </w:rPr>
            </w:pPr>
            <w:r w:rsidRPr="009C48DA">
              <w:rPr>
                <w:sz w:val="20"/>
                <w:szCs w:val="20"/>
                <w:lang w:val="en-GB"/>
              </w:rPr>
              <w:t>1</w:t>
            </w:r>
            <w:r w:rsidRPr="009C48DA" w:rsidR="004353FA">
              <w:rPr>
                <w:sz w:val="20"/>
                <w:szCs w:val="20"/>
                <w:lang w:val="en-GB"/>
              </w:rPr>
              <w:t>3</w:t>
            </w:r>
          </w:p>
        </w:tc>
        <w:tc>
          <w:tcPr>
            <w:tcW w:w="241" w:type="dxa"/>
          </w:tcPr>
          <w:p w:rsidRPr="009C48DA" w:rsidR="006D6A27" w:rsidP="00E97923" w:rsidRDefault="006D6A27" w14:paraId="7C85070E" w14:textId="77777777">
            <w:pPr>
              <w:jc w:val="right"/>
              <w:rPr>
                <w:sz w:val="20"/>
                <w:szCs w:val="20"/>
                <w:lang w:val="en-GB"/>
              </w:rPr>
            </w:pPr>
          </w:p>
        </w:tc>
        <w:tc>
          <w:tcPr>
            <w:tcW w:w="1813" w:type="dxa"/>
          </w:tcPr>
          <w:p w:rsidRPr="009C48DA" w:rsidR="006D6A27" w:rsidP="004353FA" w:rsidRDefault="006D6A27" w14:paraId="166C8D83" w14:textId="2136A1C2">
            <w:pPr>
              <w:jc w:val="right"/>
              <w:rPr>
                <w:sz w:val="20"/>
                <w:szCs w:val="20"/>
                <w:lang w:val="en-GB"/>
              </w:rPr>
            </w:pPr>
            <w:r w:rsidRPr="009C48DA">
              <w:rPr>
                <w:sz w:val="20"/>
                <w:szCs w:val="20"/>
                <w:lang w:val="en-GB"/>
              </w:rPr>
              <w:t>1</w:t>
            </w:r>
            <w:r w:rsidRPr="009C48DA" w:rsidR="004353FA">
              <w:rPr>
                <w:sz w:val="20"/>
                <w:szCs w:val="20"/>
                <w:lang w:val="en-GB"/>
              </w:rPr>
              <w:t>6</w:t>
            </w:r>
          </w:p>
        </w:tc>
      </w:tr>
      <w:tr w:rsidRPr="009C48DA" w:rsidR="006D6A27" w:rsidTr="00CF56DC" w14:paraId="66BE9214" w14:textId="77777777">
        <w:tc>
          <w:tcPr>
            <w:tcW w:w="1497" w:type="dxa"/>
            <w:gridSpan w:val="2"/>
          </w:tcPr>
          <w:p w:rsidRPr="009C48DA" w:rsidR="006D6A27" w:rsidP="00E97923" w:rsidRDefault="006D6A27" w14:paraId="38074E16" w14:textId="77777777">
            <w:pPr>
              <w:rPr>
                <w:sz w:val="20"/>
                <w:szCs w:val="20"/>
                <w:lang w:val="en-GB"/>
              </w:rPr>
            </w:pPr>
            <w:r w:rsidRPr="009C48DA">
              <w:rPr>
                <w:sz w:val="20"/>
                <w:szCs w:val="20"/>
                <w:lang w:val="en-GB"/>
              </w:rPr>
              <w:t>Luxembourg</w:t>
            </w:r>
          </w:p>
        </w:tc>
        <w:tc>
          <w:tcPr>
            <w:tcW w:w="374" w:type="dxa"/>
          </w:tcPr>
          <w:p w:rsidRPr="009C48DA" w:rsidR="006D6A27" w:rsidP="00E97923" w:rsidRDefault="006D6A27" w14:paraId="0B4B6D4C" w14:textId="77777777">
            <w:pPr>
              <w:jc w:val="right"/>
              <w:rPr>
                <w:sz w:val="20"/>
                <w:szCs w:val="20"/>
                <w:lang w:val="en-GB"/>
              </w:rPr>
            </w:pPr>
          </w:p>
        </w:tc>
        <w:tc>
          <w:tcPr>
            <w:tcW w:w="1894" w:type="dxa"/>
          </w:tcPr>
          <w:p w:rsidRPr="009C48DA" w:rsidR="006D6A27" w:rsidP="00E97923" w:rsidRDefault="004353FA" w14:paraId="67ACC523" w14:textId="6C9E716F">
            <w:pPr>
              <w:jc w:val="right"/>
              <w:rPr>
                <w:sz w:val="20"/>
                <w:szCs w:val="20"/>
                <w:lang w:val="en-GB"/>
              </w:rPr>
            </w:pPr>
            <w:r w:rsidRPr="009C48DA">
              <w:rPr>
                <w:sz w:val="20"/>
                <w:szCs w:val="20"/>
                <w:lang w:val="en-GB"/>
              </w:rPr>
              <w:t>7</w:t>
            </w:r>
          </w:p>
        </w:tc>
        <w:tc>
          <w:tcPr>
            <w:tcW w:w="284" w:type="dxa"/>
          </w:tcPr>
          <w:p w:rsidRPr="009C48DA" w:rsidR="006D6A27" w:rsidP="00E97923" w:rsidRDefault="006D6A27" w14:paraId="6A13C952" w14:textId="77777777">
            <w:pPr>
              <w:jc w:val="right"/>
              <w:rPr>
                <w:sz w:val="20"/>
                <w:szCs w:val="20"/>
                <w:lang w:val="en-GB"/>
              </w:rPr>
            </w:pPr>
          </w:p>
        </w:tc>
        <w:tc>
          <w:tcPr>
            <w:tcW w:w="1914" w:type="dxa"/>
          </w:tcPr>
          <w:p w:rsidRPr="009C48DA" w:rsidR="006D6A27" w:rsidP="00E97923" w:rsidRDefault="004353FA" w14:paraId="141F476D" w14:textId="00AF9C98">
            <w:pPr>
              <w:jc w:val="right"/>
              <w:rPr>
                <w:sz w:val="20"/>
                <w:szCs w:val="20"/>
                <w:lang w:val="en-GB"/>
              </w:rPr>
            </w:pPr>
            <w:r w:rsidRPr="009C48DA">
              <w:rPr>
                <w:sz w:val="20"/>
                <w:szCs w:val="20"/>
                <w:lang w:val="en-GB"/>
              </w:rPr>
              <w:t>8</w:t>
            </w:r>
          </w:p>
        </w:tc>
        <w:tc>
          <w:tcPr>
            <w:tcW w:w="241" w:type="dxa"/>
          </w:tcPr>
          <w:p w:rsidRPr="009C48DA" w:rsidR="006D6A27" w:rsidP="00E97923" w:rsidRDefault="006D6A27" w14:paraId="0F03E503" w14:textId="77777777">
            <w:pPr>
              <w:jc w:val="right"/>
              <w:rPr>
                <w:sz w:val="20"/>
                <w:szCs w:val="20"/>
                <w:lang w:val="en-GB"/>
              </w:rPr>
            </w:pPr>
          </w:p>
        </w:tc>
        <w:tc>
          <w:tcPr>
            <w:tcW w:w="1813" w:type="dxa"/>
          </w:tcPr>
          <w:p w:rsidRPr="009C48DA" w:rsidR="006D6A27" w:rsidP="004353FA" w:rsidRDefault="006D6A27" w14:paraId="23755159" w14:textId="312F965A">
            <w:pPr>
              <w:jc w:val="right"/>
              <w:rPr>
                <w:sz w:val="20"/>
                <w:szCs w:val="20"/>
                <w:lang w:val="en-GB"/>
              </w:rPr>
            </w:pPr>
            <w:r w:rsidRPr="009C48DA">
              <w:rPr>
                <w:sz w:val="20"/>
                <w:szCs w:val="20"/>
                <w:lang w:val="en-GB"/>
              </w:rPr>
              <w:t>1</w:t>
            </w:r>
            <w:r w:rsidRPr="009C48DA" w:rsidR="004353FA">
              <w:rPr>
                <w:sz w:val="20"/>
                <w:szCs w:val="20"/>
                <w:lang w:val="en-GB"/>
              </w:rPr>
              <w:t>0</w:t>
            </w:r>
          </w:p>
        </w:tc>
      </w:tr>
      <w:tr w:rsidRPr="009C48DA" w:rsidR="006D6A27" w:rsidTr="00CF56DC" w14:paraId="466C3338" w14:textId="77777777">
        <w:tc>
          <w:tcPr>
            <w:tcW w:w="1497" w:type="dxa"/>
            <w:gridSpan w:val="2"/>
          </w:tcPr>
          <w:p w:rsidRPr="009C48DA" w:rsidR="006D6A27" w:rsidP="00E97923" w:rsidRDefault="006D6A27" w14:paraId="37F705CC" w14:textId="77777777">
            <w:pPr>
              <w:rPr>
                <w:sz w:val="20"/>
                <w:szCs w:val="20"/>
                <w:lang w:val="en-GB"/>
              </w:rPr>
            </w:pPr>
            <w:r w:rsidRPr="009C48DA">
              <w:rPr>
                <w:sz w:val="20"/>
                <w:szCs w:val="20"/>
                <w:lang w:val="en-GB"/>
              </w:rPr>
              <w:t>Frankfurt</w:t>
            </w:r>
          </w:p>
        </w:tc>
        <w:tc>
          <w:tcPr>
            <w:tcW w:w="374" w:type="dxa"/>
          </w:tcPr>
          <w:p w:rsidRPr="009C48DA" w:rsidR="006D6A27" w:rsidP="00E97923" w:rsidRDefault="006D6A27" w14:paraId="1AA6389B" w14:textId="77777777">
            <w:pPr>
              <w:jc w:val="right"/>
              <w:rPr>
                <w:sz w:val="20"/>
                <w:szCs w:val="20"/>
                <w:lang w:val="en-GB"/>
              </w:rPr>
            </w:pPr>
          </w:p>
        </w:tc>
        <w:tc>
          <w:tcPr>
            <w:tcW w:w="1894" w:type="dxa"/>
          </w:tcPr>
          <w:p w:rsidRPr="009C48DA" w:rsidR="006D6A27" w:rsidP="00E97923" w:rsidRDefault="006D6A27" w14:paraId="75D64F72" w14:textId="77777777">
            <w:pPr>
              <w:jc w:val="right"/>
              <w:rPr>
                <w:sz w:val="20"/>
                <w:szCs w:val="20"/>
                <w:lang w:val="en-GB"/>
              </w:rPr>
            </w:pPr>
            <w:r w:rsidRPr="009C48DA">
              <w:rPr>
                <w:sz w:val="20"/>
                <w:szCs w:val="20"/>
                <w:lang w:val="en-GB"/>
              </w:rPr>
              <w:t>9</w:t>
            </w:r>
          </w:p>
        </w:tc>
        <w:tc>
          <w:tcPr>
            <w:tcW w:w="284" w:type="dxa"/>
          </w:tcPr>
          <w:p w:rsidRPr="009C48DA" w:rsidR="006D6A27" w:rsidP="00E97923" w:rsidRDefault="006D6A27" w14:paraId="39B2D102" w14:textId="77777777">
            <w:pPr>
              <w:jc w:val="right"/>
              <w:rPr>
                <w:sz w:val="20"/>
                <w:szCs w:val="20"/>
                <w:lang w:val="en-GB"/>
              </w:rPr>
            </w:pPr>
          </w:p>
        </w:tc>
        <w:tc>
          <w:tcPr>
            <w:tcW w:w="1914" w:type="dxa"/>
          </w:tcPr>
          <w:p w:rsidRPr="009C48DA" w:rsidR="006D6A27" w:rsidP="00E97923" w:rsidRDefault="006D6A27" w14:paraId="1C0918AA" w14:textId="77777777">
            <w:pPr>
              <w:jc w:val="right"/>
              <w:rPr>
                <w:sz w:val="20"/>
                <w:szCs w:val="20"/>
                <w:lang w:val="en-GB"/>
              </w:rPr>
            </w:pPr>
            <w:r w:rsidRPr="009C48DA">
              <w:rPr>
                <w:sz w:val="20"/>
                <w:szCs w:val="20"/>
                <w:lang w:val="en-GB"/>
              </w:rPr>
              <w:t>8</w:t>
            </w:r>
          </w:p>
        </w:tc>
        <w:tc>
          <w:tcPr>
            <w:tcW w:w="241" w:type="dxa"/>
          </w:tcPr>
          <w:p w:rsidRPr="009C48DA" w:rsidR="006D6A27" w:rsidP="00E97923" w:rsidRDefault="006D6A27" w14:paraId="2403EA8E" w14:textId="77777777">
            <w:pPr>
              <w:jc w:val="right"/>
              <w:rPr>
                <w:sz w:val="20"/>
                <w:szCs w:val="20"/>
                <w:lang w:val="en-GB"/>
              </w:rPr>
            </w:pPr>
          </w:p>
        </w:tc>
        <w:tc>
          <w:tcPr>
            <w:tcW w:w="1813" w:type="dxa"/>
          </w:tcPr>
          <w:p w:rsidRPr="009C48DA" w:rsidR="006D6A27" w:rsidP="00E97923" w:rsidRDefault="006D6A27" w14:paraId="454A1749" w14:textId="77777777">
            <w:pPr>
              <w:jc w:val="right"/>
              <w:rPr>
                <w:sz w:val="20"/>
                <w:szCs w:val="20"/>
                <w:lang w:val="en-GB"/>
              </w:rPr>
            </w:pPr>
            <w:r w:rsidRPr="009C48DA">
              <w:rPr>
                <w:sz w:val="20"/>
                <w:szCs w:val="20"/>
                <w:lang w:val="en-GB"/>
              </w:rPr>
              <w:t>12</w:t>
            </w:r>
          </w:p>
        </w:tc>
      </w:tr>
      <w:tr w:rsidRPr="009C48DA" w:rsidR="006D6A27" w:rsidTr="00CF56DC" w14:paraId="33B1F3E2" w14:textId="77777777">
        <w:tc>
          <w:tcPr>
            <w:tcW w:w="1497" w:type="dxa"/>
            <w:gridSpan w:val="2"/>
          </w:tcPr>
          <w:p w:rsidRPr="009C48DA" w:rsidR="006D6A27" w:rsidP="00E97923" w:rsidRDefault="006D6A27" w14:paraId="3FF5D42B" w14:textId="77777777">
            <w:pPr>
              <w:rPr>
                <w:sz w:val="20"/>
                <w:szCs w:val="20"/>
                <w:lang w:val="en-GB"/>
              </w:rPr>
            </w:pPr>
            <w:r w:rsidRPr="009C48DA">
              <w:rPr>
                <w:sz w:val="20"/>
                <w:szCs w:val="20"/>
                <w:lang w:val="en-GB"/>
              </w:rPr>
              <w:t>Madrid</w:t>
            </w:r>
          </w:p>
        </w:tc>
        <w:tc>
          <w:tcPr>
            <w:tcW w:w="374" w:type="dxa"/>
          </w:tcPr>
          <w:p w:rsidRPr="009C48DA" w:rsidR="006D6A27" w:rsidP="00E97923" w:rsidRDefault="006D6A27" w14:paraId="54D953E1" w14:textId="77777777">
            <w:pPr>
              <w:jc w:val="right"/>
              <w:rPr>
                <w:sz w:val="20"/>
                <w:szCs w:val="20"/>
                <w:lang w:val="en-GB"/>
              </w:rPr>
            </w:pPr>
          </w:p>
        </w:tc>
        <w:tc>
          <w:tcPr>
            <w:tcW w:w="1894" w:type="dxa"/>
          </w:tcPr>
          <w:p w:rsidRPr="009C48DA" w:rsidR="006D6A27" w:rsidP="00E97923" w:rsidRDefault="004353FA" w14:paraId="3073CBE9" w14:textId="6B6F12C6">
            <w:pPr>
              <w:jc w:val="right"/>
              <w:rPr>
                <w:sz w:val="20"/>
                <w:szCs w:val="20"/>
                <w:lang w:val="en-GB"/>
              </w:rPr>
            </w:pPr>
            <w:r w:rsidRPr="009C48DA">
              <w:rPr>
                <w:sz w:val="20"/>
                <w:szCs w:val="20"/>
                <w:lang w:val="en-GB"/>
              </w:rPr>
              <w:t>7</w:t>
            </w:r>
          </w:p>
        </w:tc>
        <w:tc>
          <w:tcPr>
            <w:tcW w:w="284" w:type="dxa"/>
          </w:tcPr>
          <w:p w:rsidRPr="009C48DA" w:rsidR="006D6A27" w:rsidP="00E97923" w:rsidRDefault="006D6A27" w14:paraId="65627612" w14:textId="77777777">
            <w:pPr>
              <w:jc w:val="right"/>
              <w:rPr>
                <w:sz w:val="20"/>
                <w:szCs w:val="20"/>
                <w:lang w:val="en-GB"/>
              </w:rPr>
            </w:pPr>
          </w:p>
        </w:tc>
        <w:tc>
          <w:tcPr>
            <w:tcW w:w="1914" w:type="dxa"/>
          </w:tcPr>
          <w:p w:rsidRPr="009C48DA" w:rsidR="006D6A27" w:rsidP="00E97923" w:rsidRDefault="004353FA" w14:paraId="0D5874DF" w14:textId="01A4077E">
            <w:pPr>
              <w:jc w:val="right"/>
              <w:rPr>
                <w:sz w:val="20"/>
                <w:szCs w:val="20"/>
                <w:lang w:val="en-GB"/>
              </w:rPr>
            </w:pPr>
            <w:r w:rsidRPr="009C48DA">
              <w:rPr>
                <w:sz w:val="20"/>
                <w:szCs w:val="20"/>
                <w:lang w:val="en-GB"/>
              </w:rPr>
              <w:t>7</w:t>
            </w:r>
          </w:p>
        </w:tc>
        <w:tc>
          <w:tcPr>
            <w:tcW w:w="241" w:type="dxa"/>
          </w:tcPr>
          <w:p w:rsidRPr="009C48DA" w:rsidR="006D6A27" w:rsidP="00E97923" w:rsidRDefault="006D6A27" w14:paraId="15884ACF" w14:textId="77777777">
            <w:pPr>
              <w:jc w:val="right"/>
              <w:rPr>
                <w:sz w:val="20"/>
                <w:szCs w:val="20"/>
                <w:lang w:val="en-GB"/>
              </w:rPr>
            </w:pPr>
          </w:p>
        </w:tc>
        <w:tc>
          <w:tcPr>
            <w:tcW w:w="1813" w:type="dxa"/>
          </w:tcPr>
          <w:p w:rsidRPr="009C48DA" w:rsidR="006D6A27" w:rsidP="00E97923" w:rsidRDefault="006D6A27" w14:paraId="28AA98BB" w14:textId="77777777">
            <w:pPr>
              <w:jc w:val="right"/>
              <w:rPr>
                <w:sz w:val="20"/>
                <w:szCs w:val="20"/>
                <w:lang w:val="en-GB"/>
              </w:rPr>
            </w:pPr>
            <w:r w:rsidRPr="009C48DA">
              <w:rPr>
                <w:sz w:val="20"/>
                <w:szCs w:val="20"/>
                <w:lang w:val="en-GB"/>
              </w:rPr>
              <w:t>10</w:t>
            </w:r>
          </w:p>
        </w:tc>
      </w:tr>
      <w:tr w:rsidRPr="009C48DA" w:rsidR="006D6A27" w:rsidTr="00CF56DC" w14:paraId="5ED97ADF" w14:textId="77777777">
        <w:tc>
          <w:tcPr>
            <w:tcW w:w="1497" w:type="dxa"/>
            <w:gridSpan w:val="2"/>
          </w:tcPr>
          <w:p w:rsidRPr="009C48DA" w:rsidR="006D6A27" w:rsidP="00E97923" w:rsidRDefault="006D6A27" w14:paraId="4CE5F68C" w14:textId="77777777">
            <w:pPr>
              <w:rPr>
                <w:sz w:val="20"/>
                <w:szCs w:val="20"/>
                <w:lang w:val="en-GB"/>
              </w:rPr>
            </w:pPr>
            <w:r w:rsidRPr="009C48DA">
              <w:rPr>
                <w:sz w:val="20"/>
                <w:szCs w:val="20"/>
                <w:lang w:val="en-GB"/>
              </w:rPr>
              <w:t>San Francisco</w:t>
            </w:r>
          </w:p>
        </w:tc>
        <w:tc>
          <w:tcPr>
            <w:tcW w:w="374" w:type="dxa"/>
          </w:tcPr>
          <w:p w:rsidRPr="009C48DA" w:rsidR="006D6A27" w:rsidP="00E97923" w:rsidRDefault="006D6A27" w14:paraId="2D3043B5" w14:textId="77777777">
            <w:pPr>
              <w:jc w:val="right"/>
              <w:rPr>
                <w:sz w:val="20"/>
                <w:szCs w:val="20"/>
                <w:lang w:val="en-GB"/>
              </w:rPr>
            </w:pPr>
          </w:p>
        </w:tc>
        <w:tc>
          <w:tcPr>
            <w:tcW w:w="1894" w:type="dxa"/>
          </w:tcPr>
          <w:p w:rsidRPr="009C48DA" w:rsidR="006D6A27" w:rsidP="00E97923" w:rsidRDefault="004353FA" w14:paraId="2FA25158" w14:textId="17C9CAEF">
            <w:pPr>
              <w:jc w:val="right"/>
              <w:rPr>
                <w:sz w:val="20"/>
                <w:szCs w:val="20"/>
                <w:lang w:val="en-GB"/>
              </w:rPr>
            </w:pPr>
            <w:r w:rsidRPr="009C48DA">
              <w:rPr>
                <w:sz w:val="20"/>
                <w:szCs w:val="20"/>
                <w:lang w:val="en-GB"/>
              </w:rPr>
              <w:t>1</w:t>
            </w:r>
          </w:p>
        </w:tc>
        <w:tc>
          <w:tcPr>
            <w:tcW w:w="284" w:type="dxa"/>
          </w:tcPr>
          <w:p w:rsidRPr="009C48DA" w:rsidR="006D6A27" w:rsidP="00E97923" w:rsidRDefault="006D6A27" w14:paraId="0117679A" w14:textId="77777777">
            <w:pPr>
              <w:jc w:val="right"/>
              <w:rPr>
                <w:sz w:val="20"/>
                <w:szCs w:val="20"/>
                <w:lang w:val="en-GB"/>
              </w:rPr>
            </w:pPr>
          </w:p>
        </w:tc>
        <w:tc>
          <w:tcPr>
            <w:tcW w:w="1914" w:type="dxa"/>
          </w:tcPr>
          <w:p w:rsidRPr="009C48DA" w:rsidR="006D6A27" w:rsidP="00E97923" w:rsidRDefault="006D6A27" w14:paraId="79EE2F1F" w14:textId="77777777">
            <w:pPr>
              <w:jc w:val="right"/>
              <w:rPr>
                <w:sz w:val="20"/>
                <w:szCs w:val="20"/>
                <w:lang w:val="en-GB"/>
              </w:rPr>
            </w:pPr>
            <w:r w:rsidRPr="009C48DA">
              <w:rPr>
                <w:sz w:val="20"/>
                <w:szCs w:val="20"/>
                <w:lang w:val="en-GB"/>
              </w:rPr>
              <w:t>5</w:t>
            </w:r>
          </w:p>
        </w:tc>
        <w:tc>
          <w:tcPr>
            <w:tcW w:w="241" w:type="dxa"/>
          </w:tcPr>
          <w:p w:rsidRPr="009C48DA" w:rsidR="006D6A27" w:rsidP="00E97923" w:rsidRDefault="006D6A27" w14:paraId="4192B099" w14:textId="77777777">
            <w:pPr>
              <w:jc w:val="right"/>
              <w:rPr>
                <w:sz w:val="20"/>
                <w:szCs w:val="20"/>
                <w:lang w:val="en-GB"/>
              </w:rPr>
            </w:pPr>
          </w:p>
        </w:tc>
        <w:tc>
          <w:tcPr>
            <w:tcW w:w="1813" w:type="dxa"/>
          </w:tcPr>
          <w:p w:rsidRPr="009C48DA" w:rsidR="006D6A27" w:rsidP="00E97923" w:rsidRDefault="004353FA" w14:paraId="338DB806" w14:textId="1A519D77">
            <w:pPr>
              <w:jc w:val="right"/>
              <w:rPr>
                <w:sz w:val="20"/>
                <w:szCs w:val="20"/>
                <w:lang w:val="en-GB"/>
              </w:rPr>
            </w:pPr>
            <w:r w:rsidRPr="009C48DA">
              <w:rPr>
                <w:sz w:val="20"/>
                <w:szCs w:val="20"/>
                <w:lang w:val="en-GB"/>
              </w:rPr>
              <w:t>6</w:t>
            </w:r>
          </w:p>
        </w:tc>
      </w:tr>
      <w:tr w:rsidRPr="009C48DA" w:rsidR="006D6A27" w:rsidTr="00CF56DC" w14:paraId="1CBB6837" w14:textId="77777777">
        <w:tc>
          <w:tcPr>
            <w:tcW w:w="1497" w:type="dxa"/>
            <w:gridSpan w:val="2"/>
          </w:tcPr>
          <w:p w:rsidRPr="009C48DA" w:rsidR="006D6A27" w:rsidP="00E97923" w:rsidRDefault="006D6A27" w14:paraId="584B9BCB" w14:textId="77777777">
            <w:pPr>
              <w:rPr>
                <w:sz w:val="20"/>
                <w:szCs w:val="20"/>
                <w:lang w:val="en-GB"/>
              </w:rPr>
            </w:pPr>
            <w:r w:rsidRPr="009C48DA">
              <w:rPr>
                <w:sz w:val="20"/>
                <w:szCs w:val="20"/>
                <w:lang w:val="en-GB"/>
              </w:rPr>
              <w:t>Amsterdam</w:t>
            </w:r>
          </w:p>
        </w:tc>
        <w:tc>
          <w:tcPr>
            <w:tcW w:w="374" w:type="dxa"/>
          </w:tcPr>
          <w:p w:rsidRPr="009C48DA" w:rsidR="006D6A27" w:rsidP="00E97923" w:rsidRDefault="006D6A27" w14:paraId="67A4B254" w14:textId="77777777">
            <w:pPr>
              <w:jc w:val="right"/>
              <w:rPr>
                <w:sz w:val="20"/>
                <w:szCs w:val="20"/>
                <w:lang w:val="en-GB"/>
              </w:rPr>
            </w:pPr>
          </w:p>
        </w:tc>
        <w:tc>
          <w:tcPr>
            <w:tcW w:w="1894" w:type="dxa"/>
          </w:tcPr>
          <w:p w:rsidRPr="009C48DA" w:rsidR="006D6A27" w:rsidP="00E97923" w:rsidRDefault="004353FA" w14:paraId="345A3CD3" w14:textId="28A973F5">
            <w:pPr>
              <w:jc w:val="right"/>
              <w:rPr>
                <w:sz w:val="20"/>
                <w:szCs w:val="20"/>
                <w:lang w:val="en-GB"/>
              </w:rPr>
            </w:pPr>
            <w:r w:rsidRPr="009C48DA">
              <w:rPr>
                <w:sz w:val="20"/>
                <w:szCs w:val="20"/>
                <w:lang w:val="en-GB"/>
              </w:rPr>
              <w:t>4</w:t>
            </w:r>
          </w:p>
        </w:tc>
        <w:tc>
          <w:tcPr>
            <w:tcW w:w="284" w:type="dxa"/>
          </w:tcPr>
          <w:p w:rsidRPr="009C48DA" w:rsidR="006D6A27" w:rsidP="00E97923" w:rsidRDefault="006D6A27" w14:paraId="04DC2B3F" w14:textId="77777777">
            <w:pPr>
              <w:jc w:val="right"/>
              <w:rPr>
                <w:sz w:val="20"/>
                <w:szCs w:val="20"/>
                <w:lang w:val="en-GB"/>
              </w:rPr>
            </w:pPr>
          </w:p>
        </w:tc>
        <w:tc>
          <w:tcPr>
            <w:tcW w:w="1914" w:type="dxa"/>
          </w:tcPr>
          <w:p w:rsidRPr="009C48DA" w:rsidR="006D6A27" w:rsidP="00E97923" w:rsidRDefault="004353FA" w14:paraId="0D73B308" w14:textId="12473D38">
            <w:pPr>
              <w:jc w:val="right"/>
              <w:rPr>
                <w:sz w:val="20"/>
                <w:szCs w:val="20"/>
                <w:lang w:val="en-GB"/>
              </w:rPr>
            </w:pPr>
            <w:r w:rsidRPr="009C48DA">
              <w:rPr>
                <w:sz w:val="20"/>
                <w:szCs w:val="20"/>
                <w:lang w:val="en-GB"/>
              </w:rPr>
              <w:t>5</w:t>
            </w:r>
          </w:p>
        </w:tc>
        <w:tc>
          <w:tcPr>
            <w:tcW w:w="241" w:type="dxa"/>
          </w:tcPr>
          <w:p w:rsidRPr="009C48DA" w:rsidR="006D6A27" w:rsidP="00E97923" w:rsidRDefault="006D6A27" w14:paraId="2AA7F4A7" w14:textId="77777777">
            <w:pPr>
              <w:jc w:val="right"/>
              <w:rPr>
                <w:sz w:val="20"/>
                <w:szCs w:val="20"/>
                <w:lang w:val="en-GB"/>
              </w:rPr>
            </w:pPr>
          </w:p>
        </w:tc>
        <w:tc>
          <w:tcPr>
            <w:tcW w:w="1813" w:type="dxa"/>
          </w:tcPr>
          <w:p w:rsidRPr="009C48DA" w:rsidR="006D6A27" w:rsidP="00E97923" w:rsidRDefault="004353FA" w14:paraId="08616DBC" w14:textId="5723443A">
            <w:pPr>
              <w:jc w:val="right"/>
              <w:rPr>
                <w:sz w:val="20"/>
                <w:szCs w:val="20"/>
                <w:lang w:val="en-GB"/>
              </w:rPr>
            </w:pPr>
            <w:r w:rsidRPr="009C48DA">
              <w:rPr>
                <w:sz w:val="20"/>
                <w:szCs w:val="20"/>
                <w:lang w:val="en-GB"/>
              </w:rPr>
              <w:t>5</w:t>
            </w:r>
          </w:p>
        </w:tc>
      </w:tr>
      <w:tr w:rsidRPr="009C48DA" w:rsidR="006D6A27" w:rsidTr="00CF56DC" w14:paraId="1C7C67A1" w14:textId="77777777">
        <w:tc>
          <w:tcPr>
            <w:tcW w:w="1497" w:type="dxa"/>
            <w:gridSpan w:val="2"/>
          </w:tcPr>
          <w:p w:rsidRPr="009C48DA" w:rsidR="006D6A27" w:rsidP="00E97923" w:rsidRDefault="006D6A27" w14:paraId="5C99D22E" w14:textId="77777777">
            <w:pPr>
              <w:rPr>
                <w:sz w:val="20"/>
                <w:szCs w:val="20"/>
                <w:lang w:val="en-GB"/>
              </w:rPr>
            </w:pPr>
            <w:r w:rsidRPr="009C48DA">
              <w:rPr>
                <w:sz w:val="20"/>
                <w:szCs w:val="20"/>
                <w:lang w:val="en-GB"/>
              </w:rPr>
              <w:t>Shanghai</w:t>
            </w:r>
          </w:p>
        </w:tc>
        <w:tc>
          <w:tcPr>
            <w:tcW w:w="374" w:type="dxa"/>
          </w:tcPr>
          <w:p w:rsidRPr="009C48DA" w:rsidR="006D6A27" w:rsidP="00E97923" w:rsidRDefault="006D6A27" w14:paraId="14212480" w14:textId="77777777">
            <w:pPr>
              <w:jc w:val="right"/>
              <w:rPr>
                <w:sz w:val="20"/>
                <w:szCs w:val="20"/>
                <w:lang w:val="en-GB"/>
              </w:rPr>
            </w:pPr>
          </w:p>
        </w:tc>
        <w:tc>
          <w:tcPr>
            <w:tcW w:w="1894" w:type="dxa"/>
          </w:tcPr>
          <w:p w:rsidRPr="009C48DA" w:rsidR="006D6A27" w:rsidP="00E97923" w:rsidRDefault="004353FA" w14:paraId="56820AA8" w14:textId="133C1A74">
            <w:pPr>
              <w:jc w:val="right"/>
              <w:rPr>
                <w:sz w:val="20"/>
                <w:szCs w:val="20"/>
                <w:lang w:val="en-GB"/>
              </w:rPr>
            </w:pPr>
            <w:r w:rsidRPr="009C48DA">
              <w:rPr>
                <w:sz w:val="20"/>
                <w:szCs w:val="20"/>
                <w:lang w:val="en-GB"/>
              </w:rPr>
              <w:t>8</w:t>
            </w:r>
          </w:p>
        </w:tc>
        <w:tc>
          <w:tcPr>
            <w:tcW w:w="284" w:type="dxa"/>
          </w:tcPr>
          <w:p w:rsidRPr="009C48DA" w:rsidR="006D6A27" w:rsidP="00E97923" w:rsidRDefault="006D6A27" w14:paraId="55DFA5CC" w14:textId="77777777">
            <w:pPr>
              <w:jc w:val="right"/>
              <w:rPr>
                <w:sz w:val="20"/>
                <w:szCs w:val="20"/>
                <w:lang w:val="en-GB"/>
              </w:rPr>
            </w:pPr>
          </w:p>
        </w:tc>
        <w:tc>
          <w:tcPr>
            <w:tcW w:w="1914" w:type="dxa"/>
          </w:tcPr>
          <w:p w:rsidRPr="009C48DA" w:rsidR="006D6A27" w:rsidP="00E97923" w:rsidRDefault="004353FA" w14:paraId="7FE869FB" w14:textId="0C9ABA87">
            <w:pPr>
              <w:jc w:val="right"/>
              <w:rPr>
                <w:sz w:val="20"/>
                <w:szCs w:val="20"/>
                <w:lang w:val="en-GB"/>
              </w:rPr>
            </w:pPr>
            <w:r w:rsidRPr="009C48DA">
              <w:rPr>
                <w:sz w:val="20"/>
                <w:szCs w:val="20"/>
                <w:lang w:val="en-GB"/>
              </w:rPr>
              <w:t>6</w:t>
            </w:r>
          </w:p>
        </w:tc>
        <w:tc>
          <w:tcPr>
            <w:tcW w:w="241" w:type="dxa"/>
          </w:tcPr>
          <w:p w:rsidRPr="009C48DA" w:rsidR="006D6A27" w:rsidP="00E97923" w:rsidRDefault="006D6A27" w14:paraId="1236D173" w14:textId="77777777">
            <w:pPr>
              <w:jc w:val="right"/>
              <w:rPr>
                <w:sz w:val="20"/>
                <w:szCs w:val="20"/>
                <w:lang w:val="en-GB"/>
              </w:rPr>
            </w:pPr>
          </w:p>
        </w:tc>
        <w:tc>
          <w:tcPr>
            <w:tcW w:w="1813" w:type="dxa"/>
          </w:tcPr>
          <w:p w:rsidRPr="009C48DA" w:rsidR="006D6A27" w:rsidP="00E97923" w:rsidRDefault="006D6A27" w14:paraId="5C0DE7A4" w14:textId="77777777">
            <w:pPr>
              <w:jc w:val="right"/>
              <w:rPr>
                <w:sz w:val="20"/>
                <w:szCs w:val="20"/>
                <w:lang w:val="en-GB"/>
              </w:rPr>
            </w:pPr>
            <w:r w:rsidRPr="009C48DA">
              <w:rPr>
                <w:sz w:val="20"/>
                <w:szCs w:val="20"/>
                <w:lang w:val="en-GB"/>
              </w:rPr>
              <w:t>7</w:t>
            </w:r>
          </w:p>
        </w:tc>
      </w:tr>
      <w:tr w:rsidRPr="009C48DA" w:rsidR="006D6A27" w:rsidTr="00CF56DC" w14:paraId="266196A4" w14:textId="77777777">
        <w:tc>
          <w:tcPr>
            <w:tcW w:w="1497" w:type="dxa"/>
            <w:gridSpan w:val="2"/>
          </w:tcPr>
          <w:p w:rsidRPr="009C48DA" w:rsidR="006D6A27" w:rsidP="00E97923" w:rsidRDefault="006D6A27" w14:paraId="6BA0584A" w14:textId="77777777">
            <w:pPr>
              <w:rPr>
                <w:sz w:val="20"/>
                <w:szCs w:val="20"/>
                <w:lang w:val="en-GB"/>
              </w:rPr>
            </w:pPr>
            <w:r w:rsidRPr="009C48DA">
              <w:rPr>
                <w:sz w:val="20"/>
                <w:szCs w:val="20"/>
                <w:lang w:val="en-GB"/>
              </w:rPr>
              <w:t>Istanbul</w:t>
            </w:r>
          </w:p>
        </w:tc>
        <w:tc>
          <w:tcPr>
            <w:tcW w:w="374" w:type="dxa"/>
          </w:tcPr>
          <w:p w:rsidRPr="009C48DA" w:rsidR="006D6A27" w:rsidP="00E97923" w:rsidRDefault="006D6A27" w14:paraId="0167EFB2" w14:textId="77777777">
            <w:pPr>
              <w:jc w:val="right"/>
              <w:rPr>
                <w:sz w:val="20"/>
                <w:szCs w:val="20"/>
                <w:lang w:val="en-GB"/>
              </w:rPr>
            </w:pPr>
          </w:p>
        </w:tc>
        <w:tc>
          <w:tcPr>
            <w:tcW w:w="1894" w:type="dxa"/>
          </w:tcPr>
          <w:p w:rsidRPr="009C48DA" w:rsidR="006D6A27" w:rsidP="00E97923" w:rsidRDefault="006D6A27" w14:paraId="0B6326DB" w14:textId="77777777">
            <w:pPr>
              <w:jc w:val="right"/>
              <w:rPr>
                <w:sz w:val="20"/>
                <w:szCs w:val="20"/>
                <w:lang w:val="en-GB"/>
              </w:rPr>
            </w:pPr>
            <w:r w:rsidRPr="009C48DA">
              <w:rPr>
                <w:sz w:val="20"/>
                <w:szCs w:val="20"/>
                <w:lang w:val="en-GB"/>
              </w:rPr>
              <w:t>3</w:t>
            </w:r>
          </w:p>
        </w:tc>
        <w:tc>
          <w:tcPr>
            <w:tcW w:w="284" w:type="dxa"/>
          </w:tcPr>
          <w:p w:rsidRPr="009C48DA" w:rsidR="006D6A27" w:rsidP="00E97923" w:rsidRDefault="006D6A27" w14:paraId="75D652F5" w14:textId="77777777">
            <w:pPr>
              <w:jc w:val="right"/>
              <w:rPr>
                <w:sz w:val="20"/>
                <w:szCs w:val="20"/>
                <w:lang w:val="en-GB"/>
              </w:rPr>
            </w:pPr>
          </w:p>
        </w:tc>
        <w:tc>
          <w:tcPr>
            <w:tcW w:w="1914" w:type="dxa"/>
          </w:tcPr>
          <w:p w:rsidRPr="009C48DA" w:rsidR="006D6A27" w:rsidP="00E97923" w:rsidRDefault="006D6A27" w14:paraId="3A397D93" w14:textId="77777777">
            <w:pPr>
              <w:jc w:val="right"/>
              <w:rPr>
                <w:sz w:val="20"/>
                <w:szCs w:val="20"/>
                <w:lang w:val="en-GB"/>
              </w:rPr>
            </w:pPr>
            <w:r w:rsidRPr="009C48DA">
              <w:rPr>
                <w:sz w:val="20"/>
                <w:szCs w:val="20"/>
                <w:lang w:val="en-GB"/>
              </w:rPr>
              <w:t>2</w:t>
            </w:r>
          </w:p>
        </w:tc>
        <w:tc>
          <w:tcPr>
            <w:tcW w:w="241" w:type="dxa"/>
          </w:tcPr>
          <w:p w:rsidRPr="009C48DA" w:rsidR="006D6A27" w:rsidP="00E97923" w:rsidRDefault="006D6A27" w14:paraId="4A93364F" w14:textId="77777777">
            <w:pPr>
              <w:jc w:val="right"/>
              <w:rPr>
                <w:sz w:val="20"/>
                <w:szCs w:val="20"/>
                <w:lang w:val="en-GB"/>
              </w:rPr>
            </w:pPr>
          </w:p>
        </w:tc>
        <w:tc>
          <w:tcPr>
            <w:tcW w:w="1813" w:type="dxa"/>
          </w:tcPr>
          <w:p w:rsidRPr="009C48DA" w:rsidR="006D6A27" w:rsidP="00E97923" w:rsidRDefault="006D6A27" w14:paraId="0C976099" w14:textId="77777777">
            <w:pPr>
              <w:jc w:val="right"/>
              <w:rPr>
                <w:sz w:val="20"/>
                <w:szCs w:val="20"/>
                <w:lang w:val="en-GB"/>
              </w:rPr>
            </w:pPr>
            <w:r w:rsidRPr="009C48DA">
              <w:rPr>
                <w:sz w:val="20"/>
                <w:szCs w:val="20"/>
                <w:lang w:val="en-GB"/>
              </w:rPr>
              <w:t>2</w:t>
            </w:r>
          </w:p>
        </w:tc>
      </w:tr>
      <w:tr w:rsidRPr="009C48DA" w:rsidR="006D6A27" w:rsidTr="00CF56DC" w14:paraId="6DFDFC80" w14:textId="77777777">
        <w:tc>
          <w:tcPr>
            <w:tcW w:w="1497" w:type="dxa"/>
            <w:gridSpan w:val="2"/>
          </w:tcPr>
          <w:p w:rsidRPr="009C48DA" w:rsidR="006D6A27" w:rsidP="00E97923" w:rsidRDefault="006D6A27" w14:paraId="08DCC8E1" w14:textId="77777777">
            <w:pPr>
              <w:rPr>
                <w:sz w:val="20"/>
                <w:szCs w:val="20"/>
                <w:lang w:val="en-GB"/>
              </w:rPr>
            </w:pPr>
            <w:r w:rsidRPr="009C48DA">
              <w:rPr>
                <w:sz w:val="20"/>
                <w:szCs w:val="20"/>
                <w:lang w:val="en-GB"/>
              </w:rPr>
              <w:t>Warsaw</w:t>
            </w:r>
          </w:p>
        </w:tc>
        <w:tc>
          <w:tcPr>
            <w:tcW w:w="374" w:type="dxa"/>
          </w:tcPr>
          <w:p w:rsidRPr="009C48DA" w:rsidR="006D6A27" w:rsidP="00E97923" w:rsidRDefault="006D6A27" w14:paraId="1913152A" w14:textId="77777777">
            <w:pPr>
              <w:jc w:val="right"/>
              <w:rPr>
                <w:sz w:val="20"/>
                <w:szCs w:val="20"/>
                <w:lang w:val="en-GB"/>
              </w:rPr>
            </w:pPr>
          </w:p>
        </w:tc>
        <w:tc>
          <w:tcPr>
            <w:tcW w:w="1894" w:type="dxa"/>
          </w:tcPr>
          <w:p w:rsidRPr="009C48DA" w:rsidR="006D6A27" w:rsidP="00C5293E" w:rsidRDefault="006D6A27" w14:paraId="0C1FB34B" w14:textId="77777777">
            <w:pPr>
              <w:pBdr>
                <w:bottom w:val="single" w:color="auto" w:sz="4" w:space="1"/>
              </w:pBdr>
              <w:jc w:val="right"/>
              <w:rPr>
                <w:sz w:val="20"/>
                <w:szCs w:val="20"/>
                <w:lang w:val="en-GB"/>
              </w:rPr>
            </w:pPr>
            <w:r w:rsidRPr="009C48DA">
              <w:rPr>
                <w:sz w:val="20"/>
                <w:szCs w:val="20"/>
                <w:lang w:val="en-GB"/>
              </w:rPr>
              <w:t>2</w:t>
            </w:r>
          </w:p>
        </w:tc>
        <w:tc>
          <w:tcPr>
            <w:tcW w:w="284" w:type="dxa"/>
          </w:tcPr>
          <w:p w:rsidRPr="009C48DA" w:rsidR="006D6A27" w:rsidP="00C5293E" w:rsidRDefault="006D6A27" w14:paraId="372DFF37" w14:textId="77777777">
            <w:pPr>
              <w:jc w:val="right"/>
              <w:rPr>
                <w:sz w:val="20"/>
                <w:szCs w:val="20"/>
                <w:lang w:val="en-GB"/>
              </w:rPr>
            </w:pPr>
          </w:p>
        </w:tc>
        <w:tc>
          <w:tcPr>
            <w:tcW w:w="1914" w:type="dxa"/>
          </w:tcPr>
          <w:p w:rsidRPr="009C48DA" w:rsidR="006D6A27" w:rsidP="00C5293E" w:rsidRDefault="004353FA" w14:paraId="7AA4B8F1" w14:textId="78D44F8B">
            <w:pPr>
              <w:pBdr>
                <w:bottom w:val="single" w:color="auto" w:sz="4" w:space="1"/>
              </w:pBdr>
              <w:jc w:val="right"/>
              <w:rPr>
                <w:sz w:val="20"/>
                <w:szCs w:val="20"/>
                <w:lang w:val="en-GB"/>
              </w:rPr>
            </w:pPr>
            <w:r w:rsidRPr="009C48DA">
              <w:rPr>
                <w:sz w:val="20"/>
                <w:szCs w:val="20"/>
                <w:lang w:val="en-GB"/>
              </w:rPr>
              <w:t>3</w:t>
            </w:r>
          </w:p>
        </w:tc>
        <w:tc>
          <w:tcPr>
            <w:tcW w:w="241" w:type="dxa"/>
          </w:tcPr>
          <w:p w:rsidRPr="009C48DA" w:rsidR="006D6A27" w:rsidP="00C5293E" w:rsidRDefault="006D6A27" w14:paraId="1C57FF32" w14:textId="77777777">
            <w:pPr>
              <w:jc w:val="right"/>
              <w:rPr>
                <w:sz w:val="20"/>
                <w:szCs w:val="20"/>
                <w:lang w:val="en-GB"/>
              </w:rPr>
            </w:pPr>
          </w:p>
        </w:tc>
        <w:tc>
          <w:tcPr>
            <w:tcW w:w="1813" w:type="dxa"/>
          </w:tcPr>
          <w:p w:rsidRPr="009C48DA" w:rsidR="006D6A27" w:rsidP="00C5293E" w:rsidRDefault="006D6A27" w14:paraId="76E5EE90" w14:textId="77777777">
            <w:pPr>
              <w:pBdr>
                <w:bottom w:val="single" w:color="auto" w:sz="4" w:space="1"/>
              </w:pBdr>
              <w:jc w:val="right"/>
              <w:rPr>
                <w:sz w:val="20"/>
                <w:szCs w:val="20"/>
                <w:lang w:val="en-GB"/>
              </w:rPr>
            </w:pPr>
            <w:r w:rsidRPr="009C48DA">
              <w:rPr>
                <w:sz w:val="20"/>
                <w:szCs w:val="20"/>
                <w:lang w:val="en-GB"/>
              </w:rPr>
              <w:t>1</w:t>
            </w:r>
          </w:p>
        </w:tc>
      </w:tr>
      <w:tr w:rsidRPr="009C48DA" w:rsidR="006D6A27" w:rsidTr="00CF56DC" w14:paraId="46CBA566" w14:textId="77777777">
        <w:tc>
          <w:tcPr>
            <w:tcW w:w="1497" w:type="dxa"/>
            <w:gridSpan w:val="2"/>
          </w:tcPr>
          <w:p w:rsidRPr="009C48DA" w:rsidR="006D6A27" w:rsidP="00E97923" w:rsidRDefault="006D6A27" w14:paraId="43CCB3CF" w14:textId="77777777">
            <w:pPr>
              <w:rPr>
                <w:sz w:val="20"/>
                <w:szCs w:val="20"/>
                <w:lang w:val="en-GB"/>
              </w:rPr>
            </w:pPr>
            <w:r w:rsidRPr="009C48DA">
              <w:rPr>
                <w:b/>
                <w:sz w:val="20"/>
                <w:szCs w:val="20"/>
                <w:lang w:val="en-GB"/>
              </w:rPr>
              <w:t>Total</w:t>
            </w:r>
          </w:p>
        </w:tc>
        <w:tc>
          <w:tcPr>
            <w:tcW w:w="374" w:type="dxa"/>
          </w:tcPr>
          <w:p w:rsidRPr="009C48DA" w:rsidR="006D6A27" w:rsidP="00E97923" w:rsidRDefault="006D6A27" w14:paraId="1F1AE90A" w14:textId="77777777">
            <w:pPr>
              <w:jc w:val="right"/>
              <w:rPr>
                <w:sz w:val="20"/>
                <w:szCs w:val="20"/>
                <w:lang w:val="en-GB"/>
              </w:rPr>
            </w:pPr>
          </w:p>
        </w:tc>
        <w:tc>
          <w:tcPr>
            <w:tcW w:w="1894" w:type="dxa"/>
          </w:tcPr>
          <w:p w:rsidRPr="009C48DA" w:rsidR="006D6A27" w:rsidP="004353FA" w:rsidRDefault="006D6A27" w14:paraId="666ADA21" w14:textId="765D30FF">
            <w:pPr>
              <w:jc w:val="right"/>
              <w:rPr>
                <w:b/>
                <w:sz w:val="20"/>
                <w:szCs w:val="20"/>
                <w:lang w:val="en-GB"/>
              </w:rPr>
            </w:pPr>
            <w:r w:rsidRPr="009C48DA">
              <w:rPr>
                <w:b/>
                <w:sz w:val="20"/>
                <w:szCs w:val="20"/>
                <w:lang w:val="en-GB"/>
              </w:rPr>
              <w:t>2</w:t>
            </w:r>
            <w:r w:rsidRPr="009C48DA" w:rsidR="004353FA">
              <w:rPr>
                <w:b/>
                <w:sz w:val="20"/>
                <w:szCs w:val="20"/>
                <w:lang w:val="en-GB"/>
              </w:rPr>
              <w:t>23</w:t>
            </w:r>
          </w:p>
        </w:tc>
        <w:tc>
          <w:tcPr>
            <w:tcW w:w="284" w:type="dxa"/>
          </w:tcPr>
          <w:p w:rsidRPr="009C48DA" w:rsidR="006D6A27" w:rsidP="00E97923" w:rsidRDefault="006D6A27" w14:paraId="2C3F185A" w14:textId="77777777">
            <w:pPr>
              <w:jc w:val="right"/>
              <w:rPr>
                <w:b/>
                <w:sz w:val="20"/>
                <w:szCs w:val="20"/>
                <w:lang w:val="en-GB"/>
              </w:rPr>
            </w:pPr>
          </w:p>
        </w:tc>
        <w:tc>
          <w:tcPr>
            <w:tcW w:w="1914" w:type="dxa"/>
          </w:tcPr>
          <w:p w:rsidRPr="009C48DA" w:rsidR="006D6A27" w:rsidP="00E97923" w:rsidRDefault="004353FA" w14:paraId="0B9611E9" w14:textId="6BD7A781">
            <w:pPr>
              <w:jc w:val="right"/>
              <w:rPr>
                <w:b/>
                <w:sz w:val="20"/>
                <w:szCs w:val="20"/>
                <w:lang w:val="en-GB"/>
              </w:rPr>
            </w:pPr>
            <w:r w:rsidRPr="009C48DA">
              <w:rPr>
                <w:b/>
                <w:sz w:val="20"/>
                <w:szCs w:val="20"/>
                <w:lang w:val="en-GB"/>
              </w:rPr>
              <w:t>253</w:t>
            </w:r>
          </w:p>
        </w:tc>
        <w:tc>
          <w:tcPr>
            <w:tcW w:w="241" w:type="dxa"/>
          </w:tcPr>
          <w:p w:rsidRPr="009C48DA" w:rsidR="006D6A27" w:rsidP="00E97923" w:rsidRDefault="006D6A27" w14:paraId="1739C9A0" w14:textId="77777777">
            <w:pPr>
              <w:jc w:val="right"/>
              <w:rPr>
                <w:b/>
                <w:sz w:val="20"/>
                <w:szCs w:val="20"/>
                <w:lang w:val="en-GB"/>
              </w:rPr>
            </w:pPr>
          </w:p>
        </w:tc>
        <w:tc>
          <w:tcPr>
            <w:tcW w:w="1813" w:type="dxa"/>
          </w:tcPr>
          <w:p w:rsidRPr="009C48DA" w:rsidR="006D6A27" w:rsidP="004353FA" w:rsidRDefault="006D6A27" w14:paraId="1EF8B886" w14:textId="2E1DA509">
            <w:pPr>
              <w:jc w:val="right"/>
              <w:rPr>
                <w:b/>
                <w:sz w:val="20"/>
                <w:szCs w:val="20"/>
                <w:lang w:val="en-GB"/>
              </w:rPr>
            </w:pPr>
            <w:r w:rsidRPr="009C48DA">
              <w:rPr>
                <w:b/>
                <w:sz w:val="20"/>
                <w:szCs w:val="20"/>
                <w:lang w:val="en-GB"/>
              </w:rPr>
              <w:t>3</w:t>
            </w:r>
            <w:r w:rsidRPr="009C48DA" w:rsidR="004353FA">
              <w:rPr>
                <w:b/>
                <w:sz w:val="20"/>
                <w:szCs w:val="20"/>
                <w:lang w:val="en-GB"/>
              </w:rPr>
              <w:t>10</w:t>
            </w:r>
          </w:p>
        </w:tc>
      </w:tr>
    </w:tbl>
    <w:p w:rsidRPr="009C48DA" w:rsidR="001923D4" w:rsidP="00170C84" w:rsidRDefault="001923D4" w14:paraId="3C09266E" w14:textId="77777777">
      <w:pPr>
        <w:rPr>
          <w:lang w:val="en-GB"/>
        </w:rPr>
      </w:pPr>
    </w:p>
    <w:p w:rsidRPr="009C48DA" w:rsidR="006D6A27" w:rsidP="00CF56DC" w:rsidRDefault="001923D4" w14:paraId="3D0D401C" w14:textId="0C9F2E1F">
      <w:pPr>
        <w:pStyle w:val="BodyText2SglJ"/>
        <w:rPr>
          <w:rFonts w:cs="Times New Roman"/>
          <w:color w:val="000000"/>
          <w:szCs w:val="20"/>
          <w:lang w:val="en-GB"/>
        </w:rPr>
      </w:pPr>
      <w:r w:rsidRPr="009C48DA">
        <w:rPr>
          <w:rFonts w:cs="Times New Roman"/>
          <w:color w:val="000000"/>
          <w:szCs w:val="20"/>
          <w:lang w:val="en-GB"/>
        </w:rPr>
        <w:t xml:space="preserve">The Group’s </w:t>
      </w:r>
      <w:r w:rsidRPr="009C48DA" w:rsidR="000B76FC">
        <w:rPr>
          <w:rFonts w:eastAsia="Calibri" w:cs="Times New Roman"/>
          <w:lang w:val="en-GB"/>
        </w:rPr>
        <w:t>office</w:t>
      </w:r>
      <w:r w:rsidRPr="009C48DA">
        <w:rPr>
          <w:rFonts w:cs="Times New Roman"/>
          <w:color w:val="000000"/>
          <w:szCs w:val="20"/>
          <w:lang w:val="en-GB"/>
        </w:rPr>
        <w:t xml:space="preserve"> in Warsaw ha</w:t>
      </w:r>
      <w:r w:rsidRPr="009C48DA" w:rsidR="000B76FC">
        <w:rPr>
          <w:rFonts w:cs="Times New Roman"/>
          <w:color w:val="000000"/>
          <w:szCs w:val="20"/>
          <w:lang w:val="en-GB"/>
        </w:rPr>
        <w:t>s now</w:t>
      </w:r>
      <w:r w:rsidRPr="009C48DA">
        <w:rPr>
          <w:rFonts w:cs="Times New Roman"/>
          <w:color w:val="000000"/>
          <w:szCs w:val="20"/>
          <w:lang w:val="en-GB"/>
        </w:rPr>
        <w:t xml:space="preserve"> been closed</w:t>
      </w:r>
      <w:r w:rsidRPr="009C48DA" w:rsidR="000B76FC">
        <w:rPr>
          <w:rFonts w:cs="Times New Roman"/>
          <w:color w:val="000000"/>
          <w:szCs w:val="20"/>
          <w:lang w:val="en-GB"/>
        </w:rPr>
        <w:t xml:space="preserve">, whist the Group’s office in Istanbul is in the process of </w:t>
      </w:r>
      <w:r w:rsidRPr="009C48DA" w:rsidR="000B76FC">
        <w:rPr>
          <w:color w:val="000000"/>
          <w:lang w:val="en-GB"/>
        </w:rPr>
        <w:t>being</w:t>
      </w:r>
      <w:r w:rsidRPr="009C48DA" w:rsidR="000B76FC">
        <w:rPr>
          <w:rFonts w:cs="Times New Roman"/>
          <w:color w:val="000000"/>
          <w:szCs w:val="20"/>
          <w:lang w:val="en-GB"/>
        </w:rPr>
        <w:t xml:space="preserve"> closed.</w:t>
      </w:r>
    </w:p>
    <w:p w:rsidRPr="00CF56DC" w:rsidR="006D6A27" w:rsidP="00CF56DC" w:rsidRDefault="006D6A27" w14:paraId="4061469E" w14:textId="0BB55EF4">
      <w:pPr>
        <w:keepNext/>
        <w:spacing w:after="240"/>
        <w:jc w:val="both"/>
        <w:rPr>
          <w:rFonts w:ascii="Times New Roman Bold" w:hAnsi="Times New Roman Bold" w:eastAsia="Calibri" w:cs="Times New Roman"/>
          <w:b/>
          <w:caps/>
          <w:sz w:val="20"/>
          <w:lang w:val="en-GB"/>
        </w:rPr>
      </w:pPr>
      <w:r w:rsidRPr="00CF56DC">
        <w:rPr>
          <w:rFonts w:ascii="Times New Roman Bold" w:hAnsi="Times New Roman Bold" w:eastAsia="Calibri" w:cs="Times New Roman"/>
          <w:b/>
          <w:caps/>
          <w:sz w:val="20"/>
          <w:lang w:val="en-GB"/>
        </w:rPr>
        <w:lastRenderedPageBreak/>
        <w:t>THE BOARD AND CORPORATE GOVERNANCE</w:t>
      </w:r>
    </w:p>
    <w:p w:rsidRPr="009C48DA" w:rsidR="006D6A27" w:rsidP="00CF56DC" w:rsidRDefault="006D6A27" w14:paraId="6EDEEA12" w14:textId="0843E126">
      <w:pPr>
        <w:pStyle w:val="BodyText2SglJ"/>
        <w:rPr>
          <w:color w:val="000000"/>
          <w:lang w:val="en-GB"/>
        </w:rPr>
      </w:pPr>
      <w:r w:rsidRPr="009C48DA">
        <w:rPr>
          <w:color w:val="000000"/>
          <w:lang w:val="en-GB"/>
        </w:rPr>
        <w:t xml:space="preserve">As an </w:t>
      </w:r>
      <w:r w:rsidRPr="00CF56DC">
        <w:rPr>
          <w:rFonts w:eastAsia="Calibri" w:cs="Arial"/>
          <w:szCs w:val="20"/>
          <w:lang w:val="en-GB"/>
        </w:rPr>
        <w:t>unlisted</w:t>
      </w:r>
      <w:r w:rsidRPr="009C48DA">
        <w:rPr>
          <w:color w:val="000000"/>
          <w:lang w:val="en-GB"/>
        </w:rPr>
        <w:t xml:space="preserve"> company, the Corporate Governance Code does not apply to the Company as of the date of this Registration Document. However, the Board is committed to the highest standards of corporate governance.</w:t>
      </w:r>
    </w:p>
    <w:p w:rsidRPr="00CF56DC" w:rsidR="006D6A27" w:rsidP="00CF56DC" w:rsidRDefault="006D6A27" w14:paraId="78C6AA19" w14:textId="77777777">
      <w:pPr>
        <w:pStyle w:val="TitleB"/>
        <w:rPr>
          <w:lang w:val="en-GB"/>
        </w:rPr>
      </w:pPr>
      <w:r w:rsidRPr="00CF56DC">
        <w:rPr>
          <w:lang w:val="en-GB"/>
        </w:rPr>
        <w:t>The Board</w:t>
      </w:r>
    </w:p>
    <w:p w:rsidRPr="009C48DA" w:rsidR="006D6A27" w:rsidP="00CF56DC" w:rsidRDefault="006D6A27" w14:paraId="41FEDF86" w14:textId="36771CC5">
      <w:pPr>
        <w:pStyle w:val="BodyText2SglJ"/>
        <w:rPr>
          <w:color w:val="000000"/>
          <w:lang w:val="en-GB"/>
        </w:rPr>
      </w:pPr>
      <w:r w:rsidRPr="009C48DA">
        <w:rPr>
          <w:color w:val="000000"/>
          <w:lang w:val="en-GB"/>
        </w:rPr>
        <w:t xml:space="preserve">As of the date </w:t>
      </w:r>
      <w:r w:rsidRPr="00CF56DC">
        <w:rPr>
          <w:rFonts w:eastAsia="Calibri" w:cs="Arial"/>
          <w:szCs w:val="20"/>
          <w:lang w:val="en-GB"/>
        </w:rPr>
        <w:t>of</w:t>
      </w:r>
      <w:r w:rsidRPr="009C48DA">
        <w:rPr>
          <w:color w:val="000000"/>
          <w:lang w:val="en-GB"/>
        </w:rPr>
        <w:t xml:space="preserve"> this Registration Document, the Board consists of </w:t>
      </w:r>
      <w:r w:rsidRPr="009C48DA" w:rsidR="00C5293E">
        <w:rPr>
          <w:color w:val="000000"/>
          <w:lang w:val="en-GB"/>
        </w:rPr>
        <w:t>two</w:t>
      </w:r>
      <w:r w:rsidRPr="009C48DA">
        <w:rPr>
          <w:color w:val="000000"/>
          <w:lang w:val="en-GB"/>
        </w:rPr>
        <w:t xml:space="preserve"> Executive Directors and </w:t>
      </w:r>
      <w:r w:rsidRPr="009C48DA" w:rsidR="00C5293E">
        <w:rPr>
          <w:color w:val="000000"/>
          <w:lang w:val="en-GB"/>
        </w:rPr>
        <w:t>three</w:t>
      </w:r>
      <w:r w:rsidRPr="009C48DA" w:rsidR="00FB63DB">
        <w:rPr>
          <w:color w:val="000000"/>
          <w:lang w:val="en-GB"/>
        </w:rPr>
        <w:t xml:space="preserve"> </w:t>
      </w:r>
      <w:r w:rsidRPr="009C48DA">
        <w:rPr>
          <w:color w:val="000000"/>
          <w:lang w:val="en-GB"/>
        </w:rPr>
        <w:t>Non-Executive Directors.</w:t>
      </w:r>
      <w:r w:rsidRPr="009C48DA" w:rsidR="000E7078">
        <w:rPr>
          <w:color w:val="000000"/>
          <w:lang w:val="en-GB"/>
        </w:rPr>
        <w:t xml:space="preserve"> </w:t>
      </w:r>
      <w:r w:rsidRPr="009C48DA" w:rsidR="00C645CB">
        <w:rPr>
          <w:color w:val="000000"/>
          <w:lang w:val="en-GB"/>
        </w:rPr>
        <w:t>Should the Company proceed with an initial public offering, the Board will consist of two Executive Directors and four Non-Executive Directors. Three Non-Executive Directors have been appointed to date and a fourth Non-Executive Director will be joining prior to an initial public offering and is currently completing her regulatory disclosures.</w:t>
      </w:r>
    </w:p>
    <w:p w:rsidRPr="009C48DA" w:rsidR="006D6A27" w:rsidP="00CF56DC" w:rsidRDefault="006D6A27" w14:paraId="69D2005A" w14:textId="1A3C604B">
      <w:pPr>
        <w:pStyle w:val="BodyText2SglJ"/>
        <w:rPr>
          <w:color w:val="000000"/>
          <w:lang w:val="en-GB"/>
        </w:rPr>
      </w:pPr>
      <w:r w:rsidRPr="009C48DA">
        <w:rPr>
          <w:color w:val="000000"/>
          <w:lang w:val="en-GB"/>
        </w:rPr>
        <w:t>The Chair</w:t>
      </w:r>
      <w:r w:rsidRPr="009C48DA" w:rsidR="001B7278">
        <w:rPr>
          <w:color w:val="000000"/>
          <w:lang w:val="en-GB"/>
        </w:rPr>
        <w:t>man</w:t>
      </w:r>
      <w:r w:rsidRPr="009C48DA">
        <w:rPr>
          <w:color w:val="000000"/>
          <w:lang w:val="en-GB"/>
        </w:rPr>
        <w:t xml:space="preserve"> leads the Board and is responsible for its overall effectiveness, facilitating constructive board relations and the effective contributions of all Non-Executive Directors.</w:t>
      </w:r>
    </w:p>
    <w:p w:rsidRPr="00CF56DC" w:rsidR="006D6A27" w:rsidP="00CF56DC" w:rsidRDefault="006D6A27" w14:paraId="38647362" w14:textId="7507EB09">
      <w:pPr>
        <w:pStyle w:val="TitleB"/>
        <w:rPr>
          <w:lang w:val="en-GB"/>
        </w:rPr>
      </w:pPr>
      <w:r w:rsidRPr="00CF56DC">
        <w:rPr>
          <w:lang w:val="en-GB"/>
        </w:rPr>
        <w:t>Board Committees</w:t>
      </w:r>
    </w:p>
    <w:p w:rsidRPr="009C48DA" w:rsidR="006D6A27" w:rsidP="00CF56DC" w:rsidRDefault="00F951B6" w14:paraId="00AB45A8" w14:textId="3E09D8F8">
      <w:pPr>
        <w:pStyle w:val="BodyText2SglJ"/>
        <w:rPr>
          <w:color w:val="000000"/>
          <w:lang w:val="en-GB"/>
        </w:rPr>
      </w:pPr>
      <w:r w:rsidRPr="009C48DA">
        <w:rPr>
          <w:color w:val="000000"/>
          <w:lang w:val="en-GB"/>
        </w:rPr>
        <w:t>The Board has not established an audit committee and a remuneration committee. If the need should arise, the Board may set up committees as appropriate.</w:t>
      </w:r>
    </w:p>
    <w:p w:rsidRPr="00CF56DC" w:rsidR="006D6A27" w:rsidP="00CF56DC" w:rsidRDefault="006D6A27" w14:paraId="459BE358" w14:textId="77777777">
      <w:pPr>
        <w:spacing w:after="240"/>
        <w:jc w:val="both"/>
        <w:rPr>
          <w:rFonts w:ascii="Times New Roman Bold" w:hAnsi="Times New Roman Bold" w:eastAsia="Calibri" w:cs="Times New Roman"/>
          <w:b/>
          <w:caps/>
          <w:sz w:val="20"/>
          <w:lang w:val="en-GB"/>
        </w:rPr>
      </w:pPr>
      <w:r w:rsidRPr="00CF56DC">
        <w:rPr>
          <w:rFonts w:ascii="Times New Roman Bold" w:hAnsi="Times New Roman Bold" w:eastAsia="Calibri" w:cs="Times New Roman"/>
          <w:b/>
          <w:caps/>
          <w:sz w:val="20"/>
          <w:lang w:val="en-GB"/>
        </w:rPr>
        <w:t>REMUNERATION</w:t>
      </w:r>
    </w:p>
    <w:p w:rsidRPr="009C48DA" w:rsidR="006D6A27" w:rsidP="00CF56DC" w:rsidRDefault="006D6A27" w14:paraId="6E940412" w14:textId="1DB42AAD">
      <w:pPr>
        <w:pStyle w:val="BodyText2SglJ"/>
        <w:rPr>
          <w:color w:val="000000"/>
          <w:lang w:val="en-GB"/>
        </w:rPr>
      </w:pPr>
      <w:r w:rsidRPr="009C48DA">
        <w:rPr>
          <w:color w:val="000000"/>
          <w:lang w:val="en-GB"/>
        </w:rPr>
        <w:t xml:space="preserve">Details regarding </w:t>
      </w:r>
      <w:r w:rsidRPr="00CF56DC">
        <w:rPr>
          <w:rFonts w:eastAsia="Calibri" w:cs="Arial"/>
          <w:szCs w:val="20"/>
          <w:lang w:val="en-GB"/>
        </w:rPr>
        <w:t>remuneration</w:t>
      </w:r>
      <w:r w:rsidRPr="009C48DA">
        <w:rPr>
          <w:color w:val="000000"/>
          <w:lang w:val="en-GB"/>
        </w:rPr>
        <w:t xml:space="preserve"> of the Directors are set out in section </w:t>
      </w:r>
      <w:r w:rsidRPr="009C48DA" w:rsidR="006A29E4">
        <w:rPr>
          <w:color w:val="000000"/>
          <w:lang w:val="en-GB"/>
        </w:rPr>
        <w:fldChar w:fldCharType="begin"/>
      </w:r>
      <w:r w:rsidRPr="009C48DA" w:rsidR="006A29E4">
        <w:rPr>
          <w:color w:val="000000"/>
          <w:lang w:val="en-GB"/>
        </w:rPr>
        <w:instrText xml:space="preserve"> REF _Ref74464369 \n \h </w:instrText>
      </w:r>
      <w:r w:rsidRPr="009C48DA" w:rsidR="006A29E4">
        <w:rPr>
          <w:color w:val="000000"/>
          <w:lang w:val="en-GB"/>
        </w:rPr>
      </w:r>
      <w:r w:rsidRPr="009C48DA" w:rsidR="006A29E4">
        <w:rPr>
          <w:color w:val="000000"/>
          <w:lang w:val="en-GB"/>
        </w:rPr>
        <w:fldChar w:fldCharType="separate"/>
      </w:r>
      <w:r w:rsidR="007C3D19">
        <w:rPr>
          <w:color w:val="000000"/>
          <w:lang w:val="en-GB"/>
        </w:rPr>
        <w:t>9.3</w:t>
      </w:r>
      <w:r w:rsidRPr="009C48DA" w:rsidR="006A29E4">
        <w:rPr>
          <w:color w:val="000000"/>
          <w:lang w:val="en-GB"/>
        </w:rPr>
        <w:fldChar w:fldCharType="end"/>
      </w:r>
      <w:r w:rsidRPr="009C48DA" w:rsidR="006A29E4">
        <w:rPr>
          <w:color w:val="000000"/>
          <w:lang w:val="en-GB"/>
        </w:rPr>
        <w:t xml:space="preserve"> </w:t>
      </w:r>
      <w:r w:rsidRPr="009C48DA">
        <w:rPr>
          <w:color w:val="000000"/>
          <w:lang w:val="en-GB"/>
        </w:rPr>
        <w:t xml:space="preserve">of </w:t>
      </w:r>
      <w:r w:rsidR="004C2810">
        <w:rPr>
          <w:color w:val="000000"/>
          <w:lang w:val="en-GB"/>
        </w:rPr>
        <w:br/>
      </w:r>
      <w:r w:rsidRPr="009C48DA">
        <w:rPr>
          <w:color w:val="000000"/>
          <w:lang w:val="en-GB"/>
        </w:rPr>
        <w:fldChar w:fldCharType="begin"/>
      </w:r>
      <w:r w:rsidRPr="009C48DA">
        <w:rPr>
          <w:color w:val="000000"/>
          <w:lang w:val="en-GB"/>
        </w:rPr>
        <w:instrText xml:space="preserve"> REF _Ref71144215 \n \h </w:instrText>
      </w:r>
      <w:r w:rsidRPr="009C48DA" w:rsidR="00F10B04">
        <w:rPr>
          <w:color w:val="000000"/>
          <w:lang w:val="en-GB"/>
        </w:rPr>
        <w:instrText xml:space="preserve"> \* MERGEFORMAT </w:instrText>
      </w:r>
      <w:r w:rsidRPr="009C48DA">
        <w:rPr>
          <w:color w:val="000000"/>
          <w:lang w:val="en-GB"/>
        </w:rPr>
      </w:r>
      <w:r w:rsidRPr="009C48DA">
        <w:rPr>
          <w:color w:val="000000"/>
          <w:lang w:val="en-GB"/>
        </w:rPr>
        <w:fldChar w:fldCharType="separate"/>
      </w:r>
      <w:r w:rsidR="007C3D19">
        <w:rPr>
          <w:color w:val="000000"/>
          <w:lang w:val="en-GB"/>
        </w:rPr>
        <w:t>Part XI</w:t>
      </w:r>
      <w:r w:rsidRPr="009C48DA">
        <w:rPr>
          <w:color w:val="000000"/>
          <w:lang w:val="en-GB"/>
        </w:rPr>
        <w:fldChar w:fldCharType="end"/>
      </w:r>
      <w:r w:rsidR="004C2810">
        <w:rPr>
          <w:color w:val="000000"/>
          <w:lang w:val="en-GB"/>
        </w:rPr>
        <w:t> </w:t>
      </w:r>
      <w:r w:rsidRPr="009C48DA">
        <w:rPr>
          <w:color w:val="000000"/>
          <w:lang w:val="en-GB"/>
        </w:rPr>
        <w:t>(</w:t>
      </w:r>
      <w:r w:rsidRPr="009C48DA" w:rsidR="001B45EC">
        <w:rPr>
          <w:i/>
          <w:color w:val="000000"/>
          <w:lang w:val="en-GB"/>
        </w:rPr>
      </w:r>
      <w:r w:rsidRPr="007C3D19" w:rsidR="007C3D19">
        <w:rPr>
          <w:i/>
          <w:lang w:val="en-GB"/>
        </w:rPr>
        <w:t>Additional Information</w:t>
      </w:r>
      <w:r w:rsidRPr="009C48DA">
        <w:rPr>
          <w:color w:val="000000"/>
          <w:lang w:val="en-GB"/>
        </w:rPr>
        <w:t xml:space="preserve">). </w:t>
      </w:r>
      <w:r w:rsidRPr="009C48DA">
        <w:rPr>
          <w:b/>
          <w:color w:val="000000"/>
          <w:lang w:val="en-GB"/>
        </w:rPr>
        <w:br w:type="page"/>
      </w:r>
    </w:p>
    <w:p w:rsidRPr="009C48DA" w:rsidR="006D6A27" w:rsidP="00F172AB" w:rsidRDefault="006D6A27" w14:paraId="3F6D1908" w14:textId="10F4D3FC">
      <w:pPr>
        <w:pStyle w:val="Heading1"/>
        <w:rPr>
          <w:lang w:val="en-GB"/>
        </w:rPr>
      </w:pPr>
      <w:bookmarkStart w:name="_Toc67956035" w:id="615"/>
      <w:bookmarkStart w:name="_Toc67962999" w:id="616"/>
      <w:bookmarkStart w:name="_Toc67963380" w:id="617"/>
      <w:r w:rsidRPr="009C48DA">
        <w:rPr>
          <w:lang w:val="en-GB"/>
        </w:rPr>
        <w:lastRenderedPageBreak/>
        <w:br/>
      </w:r>
      <w:r w:rsidRPr="009C48DA">
        <w:rPr>
          <w:lang w:val="en-GB"/>
        </w:rPr>
        <w:br/>
      </w:r>
      <w:bookmarkStart w:name="_Ref71144292" w:id="618"/>
      <w:bookmarkStart w:name="_Toc71147109" w:id="619"/>
      <w:bookmarkStart w:name="_Toc71147149" w:id="620"/>
      <w:bookmarkStart w:name="_Toc71147163" w:id="621"/>
      <w:bookmarkStart w:name="_Toc71167149" w:id="622"/>
      <w:bookmarkStart w:name="_Toc71187618" w:id="623"/>
      <w:bookmarkStart w:name="_Toc71188680" w:id="624"/>
      <w:bookmarkStart w:name="_Toc4171255" w:id="625"/>
      <w:bookmarkStart w:name="_Toc75831926" w:id="626"/>
      <w:r w:rsidRPr="009C48DA" w:rsidR="00F172AB">
        <w:rPr>
          <w:lang w:val="en-GB"/>
        </w:rPr>
        <w:t>Selected Financial Information</w:t>
      </w:r>
      <w:bookmarkEnd w:id="615"/>
      <w:bookmarkEnd w:id="616"/>
      <w:bookmarkEnd w:id="617"/>
      <w:bookmarkEnd w:id="618"/>
      <w:bookmarkEnd w:id="619"/>
      <w:bookmarkEnd w:id="620"/>
      <w:bookmarkEnd w:id="621"/>
      <w:bookmarkEnd w:id="622"/>
      <w:bookmarkEnd w:id="623"/>
      <w:bookmarkEnd w:id="624"/>
      <w:bookmarkEnd w:id="625"/>
      <w:bookmarkEnd w:id="626"/>
    </w:p>
    <w:p w:rsidRPr="009C48DA" w:rsidR="006D6A27" w:rsidP="003D6EB0" w:rsidRDefault="001923D4" w14:paraId="5766105C" w14:textId="1EDF5D59">
      <w:pPr>
        <w:pStyle w:val="BodyText2SglJItal"/>
      </w:pPr>
      <w:r w:rsidRPr="009C48DA">
        <w:t>T</w:t>
      </w:r>
      <w:r w:rsidRPr="009C48DA" w:rsidR="006D6A27">
        <w:t xml:space="preserve">he Selected Financial Information set out below has been extracted without material adjustment from </w:t>
      </w:r>
      <w:r w:rsidRPr="009C48DA" w:rsidR="006D6A27">
        <w:fldChar w:fldCharType="begin"/>
      </w:r>
      <w:r w:rsidRPr="009C48DA" w:rsidR="006D6A27">
        <w:instrText xml:space="preserve"> REF _Ref71146116 \n \h </w:instrText>
      </w:r>
      <w:r w:rsidRPr="009C48DA" w:rsidR="00F10B04">
        <w:instrText xml:space="preserve"> \* MERGEFORMAT </w:instrText>
      </w:r>
      <w:r w:rsidRPr="009C48DA" w:rsidR="006D6A27">
        <w:fldChar w:fldCharType="separate"/>
      </w:r>
      <w:r w:rsidR="007C3D19">
        <w:t>Part B</w:t>
      </w:r>
      <w:r w:rsidRPr="009C48DA" w:rsidR="006D6A27">
        <w:fldChar w:fldCharType="end"/>
      </w:r>
      <w:r w:rsidRPr="009C48DA" w:rsidR="006D6A27">
        <w:t xml:space="preserve"> of </w:t>
      </w:r>
      <w:r w:rsidRPr="009C48DA" w:rsidR="006D6A27">
        <w:fldChar w:fldCharType="begin"/>
      </w:r>
      <w:r w:rsidRPr="009C48DA" w:rsidR="006D6A27">
        <w:instrText xml:space="preserve"> REF _Ref71144227 \n \h </w:instrText>
      </w:r>
      <w:r w:rsidRPr="009C48DA" w:rsidR="00F10B04">
        <w:instrText xml:space="preserve"> \* MERGEFORMAT </w:instrText>
      </w:r>
      <w:r w:rsidRPr="009C48DA" w:rsidR="006D6A27">
        <w:fldChar w:fldCharType="separate"/>
      </w:r>
      <w:r w:rsidR="007C3D19">
        <w:t>Part X</w:t>
      </w:r>
      <w:r w:rsidRPr="009C48DA" w:rsidR="006D6A27">
        <w:fldChar w:fldCharType="end"/>
      </w:r>
      <w:r w:rsidRPr="009C48DA" w:rsidR="006D6A27">
        <w:t xml:space="preserve"> (</w:t>
      </w:r>
      <w:r w:rsidRPr="009C48DA" w:rsidR="007C3D19">
        <w:t>Historical Financial Information</w:t>
      </w:r>
      <w:r w:rsidRPr="009C48DA" w:rsidR="006D6A27">
        <w:t>) where it is shown with important notes describing some of the line items.</w:t>
      </w:r>
    </w:p>
    <w:p w:rsidRPr="009C48DA" w:rsidR="006D6A27" w:rsidP="003D6EB0" w:rsidRDefault="006D6A27" w14:paraId="20FD22BD" w14:textId="3C0ED3A9">
      <w:pPr>
        <w:pStyle w:val="BodyText2SglJItal"/>
      </w:pPr>
      <w:r w:rsidRPr="009C48DA">
        <w:t>In October 2018, as part of a group reconstruction, the Company issued shares in exchange for a holding in the</w:t>
      </w:r>
      <w:r w:rsidRPr="009C48DA" w:rsidR="00F33AF7">
        <w:t xml:space="preserve"> </w:t>
      </w:r>
      <w:r w:rsidRPr="009C48DA" w:rsidR="001923D4">
        <w:t>G</w:t>
      </w:r>
      <w:r w:rsidRPr="009C48DA">
        <w:t xml:space="preserve">roup. In preparing the consolidated financial statements, merger accounting has been applied even though the structure means that there is no ultimate controlling party either before or after the insertion of the Company as a new holding company. The Directors believe that merger accounting more fairly reflects the substance of the transaction and have therefore used a true and fair override of SI2008/410 Sch 6 para 10(a), which requires that the undertaking whose shares are acquired is ultimately controlled by the same party both before and after the acquisition. The effect of merger accounting for the group reconstruction is that the carrying amount of </w:t>
      </w:r>
      <w:r w:rsidRPr="009C48DA" w:rsidR="00CD2359">
        <w:rPr>
          <w:rFonts w:cs="Arial"/>
          <w:szCs w:val="20"/>
        </w:rPr>
        <w:t xml:space="preserve">Bridgepoint Group </w:t>
      </w:r>
      <w:r w:rsidR="00CD2359">
        <w:rPr>
          <w:rFonts w:cs="Arial"/>
          <w:szCs w:val="20"/>
        </w:rPr>
        <w:t xml:space="preserve">Holdings </w:t>
      </w:r>
      <w:r w:rsidRPr="009C48DA" w:rsidR="00CD2359">
        <w:rPr>
          <w:rFonts w:cs="Arial"/>
          <w:szCs w:val="20"/>
        </w:rPr>
        <w:t>Limited</w:t>
      </w:r>
      <w:r w:rsidRPr="009C48DA">
        <w:t>’s assets and liabilities were not adjusted to fair value and no new goodwill arose as a result of the transaction. Accordingly, whilst the Company was incorporated on 2 July 2018, the consolidated results and cash flows of the Company and the Group have been brought into the financial statements of the Group from the beginning of the year ended 31 December 2018.</w:t>
      </w:r>
    </w:p>
    <w:p w:rsidRPr="009C48DA" w:rsidR="006D6A27" w:rsidP="003D6EB0" w:rsidRDefault="006D6A27" w14:paraId="564BEB93" w14:textId="3A5780C0">
      <w:pPr>
        <w:pStyle w:val="BodyText2SglJItal"/>
      </w:pPr>
      <w:r w:rsidRPr="009C48DA">
        <w:t xml:space="preserve">Refer to Note 1 of </w:t>
      </w:r>
      <w:r w:rsidRPr="009C48DA">
        <w:fldChar w:fldCharType="begin"/>
      </w:r>
      <w:r w:rsidRPr="009C48DA">
        <w:instrText xml:space="preserve"> REF _Ref71146123 \n \h </w:instrText>
      </w:r>
      <w:r w:rsidRPr="009C48DA" w:rsidR="00F10B04">
        <w:instrText xml:space="preserve"> \* MERGEFORMAT </w:instrText>
      </w:r>
      <w:r w:rsidRPr="009C48DA">
        <w:fldChar w:fldCharType="separate"/>
      </w:r>
      <w:r w:rsidR="007C3D19">
        <w:t>Part B</w:t>
      </w:r>
      <w:r w:rsidRPr="009C48DA">
        <w:fldChar w:fldCharType="end"/>
      </w:r>
      <w:r w:rsidRPr="009C48DA">
        <w:t xml:space="preserve"> of </w:t>
      </w:r>
      <w:r w:rsidRPr="009C48DA">
        <w:fldChar w:fldCharType="begin"/>
      </w:r>
      <w:r w:rsidRPr="009C48DA">
        <w:instrText xml:space="preserve"> REF _Ref69831818 \n \h </w:instrText>
      </w:r>
      <w:r w:rsidRPr="009C48DA" w:rsidR="00F10B04">
        <w:instrText xml:space="preserve"> \* MERGEFORMAT </w:instrText>
      </w:r>
      <w:r w:rsidRPr="009C48DA">
        <w:fldChar w:fldCharType="separate"/>
      </w:r>
      <w:r w:rsidR="007C3D19">
        <w:t>Part X</w:t>
      </w:r>
      <w:r w:rsidRPr="009C48DA">
        <w:fldChar w:fldCharType="end"/>
      </w:r>
      <w:r w:rsidRPr="009C48DA">
        <w:t xml:space="preserve"> (</w:t>
      </w:r>
      <w:r w:rsidRPr="009C48DA" w:rsidR="007C3D19">
        <w:t>Historical Financial Information</w:t>
      </w:r>
      <w:r w:rsidRPr="009C48DA" w:rsidR="001D38AC">
        <w:t>)</w:t>
      </w:r>
      <w:r w:rsidRPr="009C48DA">
        <w:t xml:space="preserve"> for further information on the basis of preparation of the Historical Financial Information.</w:t>
      </w:r>
    </w:p>
    <w:p w:rsidRPr="009C48DA" w:rsidR="0036034E" w:rsidP="0036034E" w:rsidRDefault="0036034E" w14:paraId="1AE2BFD5" w14:textId="77777777">
      <w:pPr>
        <w:pStyle w:val="TitleBAllCaps"/>
      </w:pPr>
      <w:r w:rsidRPr="009C48DA">
        <w:t>CONSOLIDATED INCOME STATEMENT</w:t>
      </w:r>
    </w:p>
    <w:tbl>
      <w:tblPr>
        <w:tblW w:w="5142" w:type="pct"/>
        <w:tblInd w:w="-147" w:type="dxa"/>
        <w:tblLayout w:type="fixed"/>
        <w:tblLook w:val="04A0" w:firstRow="1" w:lastRow="0" w:firstColumn="1" w:lastColumn="0" w:noHBand="0" w:noVBand="1"/>
      </w:tblPr>
      <w:tblGrid>
        <w:gridCol w:w="3116"/>
        <w:gridCol w:w="1133"/>
        <w:gridCol w:w="1134"/>
        <w:gridCol w:w="1138"/>
        <w:gridCol w:w="1134"/>
        <w:gridCol w:w="1138"/>
      </w:tblGrid>
      <w:tr w:rsidRPr="009C48DA" w:rsidR="0036034E" w:rsidTr="0036034E" w14:paraId="7AA003AE" w14:textId="77777777">
        <w:trPr>
          <w:trHeight w:val="74"/>
        </w:trPr>
        <w:tc>
          <w:tcPr>
            <w:tcW w:w="1772" w:type="pct"/>
            <w:shd w:val="clear" w:color="auto" w:fill="auto"/>
            <w:vAlign w:val="bottom"/>
          </w:tcPr>
          <w:p w:rsidRPr="009C48DA" w:rsidR="0036034E" w:rsidP="0036034E" w:rsidRDefault="0036034E" w14:paraId="07E5FF76" w14:textId="77777777">
            <w:pPr>
              <w:keepNext/>
              <w:rPr>
                <w:rFonts w:cs="Times New Roman"/>
                <w:b/>
                <w:sz w:val="17"/>
                <w:szCs w:val="17"/>
                <w:lang w:val="en-GB"/>
              </w:rPr>
            </w:pPr>
          </w:p>
        </w:tc>
        <w:tc>
          <w:tcPr>
            <w:tcW w:w="1936" w:type="pct"/>
            <w:gridSpan w:val="3"/>
            <w:vAlign w:val="bottom"/>
          </w:tcPr>
          <w:p w:rsidRPr="009C48DA" w:rsidR="0036034E" w:rsidP="0036034E" w:rsidRDefault="0036034E" w14:paraId="1D86045F"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 xml:space="preserve">For the year </w:t>
            </w:r>
          </w:p>
          <w:p w:rsidRPr="009C48DA" w:rsidR="0036034E" w:rsidP="0036034E" w:rsidRDefault="0036034E" w14:paraId="39627453"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ended 31 December</w:t>
            </w:r>
          </w:p>
        </w:tc>
        <w:tc>
          <w:tcPr>
            <w:tcW w:w="1291" w:type="pct"/>
            <w:gridSpan w:val="2"/>
            <w:shd w:val="clear" w:color="auto" w:fill="auto"/>
          </w:tcPr>
          <w:p w:rsidRPr="009C48DA" w:rsidR="0036034E" w:rsidP="0036034E" w:rsidRDefault="008C06C3" w14:paraId="11155664" w14:textId="52510C96">
            <w:pPr>
              <w:keepNext/>
              <w:pBdr>
                <w:bottom w:val="single" w:color="auto" w:sz="4" w:space="1"/>
              </w:pBdr>
              <w:jc w:val="center"/>
              <w:rPr>
                <w:rFonts w:cs="Times New Roman"/>
                <w:b/>
                <w:sz w:val="17"/>
                <w:szCs w:val="17"/>
                <w:lang w:val="en-GB"/>
              </w:rPr>
            </w:pPr>
            <w:r w:rsidRPr="009C48DA">
              <w:rPr>
                <w:rFonts w:cs="Times New Roman"/>
                <w:b/>
                <w:sz w:val="17"/>
                <w:szCs w:val="17"/>
                <w:lang w:val="en-GB"/>
              </w:rPr>
              <w:t>For the three months</w:t>
            </w:r>
            <w:r w:rsidRPr="009C48DA">
              <w:rPr>
                <w:rFonts w:cs="Times New Roman"/>
                <w:b/>
                <w:sz w:val="17"/>
                <w:szCs w:val="17"/>
                <w:lang w:val="en-GB"/>
              </w:rPr>
              <w:br/>
            </w:r>
            <w:r w:rsidRPr="009C48DA" w:rsidR="0036034E">
              <w:rPr>
                <w:rFonts w:cs="Times New Roman"/>
                <w:b/>
                <w:sz w:val="17"/>
                <w:szCs w:val="17"/>
                <w:lang w:val="en-GB"/>
              </w:rPr>
              <w:t>ended 31 March</w:t>
            </w:r>
          </w:p>
        </w:tc>
      </w:tr>
      <w:tr w:rsidRPr="009C48DA" w:rsidR="0036034E" w:rsidTr="0036034E" w14:paraId="07FB7D26" w14:textId="77777777">
        <w:trPr>
          <w:trHeight w:val="74"/>
        </w:trPr>
        <w:tc>
          <w:tcPr>
            <w:tcW w:w="1772" w:type="pct"/>
            <w:shd w:val="clear" w:color="auto" w:fill="auto"/>
            <w:vAlign w:val="bottom"/>
          </w:tcPr>
          <w:p w:rsidRPr="009C48DA" w:rsidR="0036034E" w:rsidP="0036034E" w:rsidRDefault="0036034E" w14:paraId="67BA23BE" w14:textId="77777777">
            <w:pPr>
              <w:keepNext/>
              <w:rPr>
                <w:rFonts w:cs="Times New Roman"/>
                <w:b/>
                <w:sz w:val="17"/>
                <w:szCs w:val="17"/>
                <w:lang w:val="en-GB"/>
              </w:rPr>
            </w:pPr>
          </w:p>
        </w:tc>
        <w:tc>
          <w:tcPr>
            <w:tcW w:w="644" w:type="pct"/>
            <w:vAlign w:val="bottom"/>
          </w:tcPr>
          <w:p w:rsidRPr="009C48DA" w:rsidR="0036034E" w:rsidP="0036034E" w:rsidRDefault="0036034E" w14:paraId="6AFA21D6"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2018</w:t>
            </w:r>
          </w:p>
        </w:tc>
        <w:tc>
          <w:tcPr>
            <w:tcW w:w="645" w:type="pct"/>
            <w:vAlign w:val="bottom"/>
          </w:tcPr>
          <w:p w:rsidRPr="009C48DA" w:rsidR="0036034E" w:rsidP="0036034E" w:rsidRDefault="0036034E" w14:paraId="18F10B93"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2019</w:t>
            </w:r>
          </w:p>
        </w:tc>
        <w:tc>
          <w:tcPr>
            <w:tcW w:w="647" w:type="pct"/>
            <w:vAlign w:val="bottom"/>
          </w:tcPr>
          <w:p w:rsidRPr="009C48DA" w:rsidR="0036034E" w:rsidP="0036034E" w:rsidRDefault="0036034E" w14:paraId="7255D18D"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2020</w:t>
            </w:r>
          </w:p>
        </w:tc>
        <w:tc>
          <w:tcPr>
            <w:tcW w:w="645" w:type="pct"/>
            <w:shd w:val="clear" w:color="auto" w:fill="auto"/>
          </w:tcPr>
          <w:p w:rsidRPr="009C48DA" w:rsidR="0036034E" w:rsidP="0036034E" w:rsidRDefault="0036034E" w14:paraId="6155158B"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2020</w:t>
            </w:r>
          </w:p>
          <w:p w:rsidRPr="009C48DA" w:rsidR="0036034E" w:rsidP="0036034E" w:rsidRDefault="0036034E" w14:paraId="18285123"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(unaudited)</w:t>
            </w:r>
          </w:p>
        </w:tc>
        <w:tc>
          <w:tcPr>
            <w:tcW w:w="646" w:type="pct"/>
            <w:shd w:val="clear" w:color="auto" w:fill="auto"/>
          </w:tcPr>
          <w:p w:rsidRPr="009C48DA" w:rsidR="0036034E" w:rsidP="0036034E" w:rsidRDefault="0036034E" w14:paraId="5DBD64CF" w14:textId="77777777">
            <w:pPr>
              <w:keepNext/>
              <w:pBdr>
                <w:bottom w:val="single" w:color="auto" w:sz="4" w:space="1"/>
              </w:pBdr>
              <w:jc w:val="center"/>
              <w:rPr>
                <w:rFonts w:cs="Times New Roman"/>
                <w:b/>
                <w:sz w:val="17"/>
                <w:szCs w:val="17"/>
                <w:lang w:val="en-GB"/>
              </w:rPr>
            </w:pPr>
          </w:p>
          <w:p w:rsidRPr="009C48DA" w:rsidR="0036034E" w:rsidP="0036034E" w:rsidRDefault="0036034E" w14:paraId="45D142C6"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2021</w:t>
            </w:r>
          </w:p>
        </w:tc>
      </w:tr>
      <w:tr w:rsidRPr="009C48DA" w:rsidR="0036034E" w:rsidTr="0036034E" w14:paraId="11D8AB5B" w14:textId="77777777">
        <w:trPr>
          <w:trHeight w:val="74"/>
        </w:trPr>
        <w:tc>
          <w:tcPr>
            <w:tcW w:w="1772" w:type="pct"/>
            <w:shd w:val="clear" w:color="auto" w:fill="auto"/>
            <w:vAlign w:val="bottom"/>
          </w:tcPr>
          <w:p w:rsidRPr="009C48DA" w:rsidR="0036034E" w:rsidP="0036034E" w:rsidRDefault="0036034E" w14:paraId="55FCDEC3" w14:textId="77777777">
            <w:pPr>
              <w:keepNext/>
              <w:tabs>
                <w:tab w:val="right" w:leader="dot" w:pos="4628"/>
              </w:tabs>
              <w:rPr>
                <w:rFonts w:cs="Times New Roman"/>
                <w:sz w:val="17"/>
                <w:szCs w:val="17"/>
                <w:lang w:val="en-GB"/>
              </w:rPr>
            </w:pPr>
          </w:p>
        </w:tc>
        <w:tc>
          <w:tcPr>
            <w:tcW w:w="3228" w:type="pct"/>
            <w:gridSpan w:val="5"/>
            <w:vAlign w:val="bottom"/>
          </w:tcPr>
          <w:p w:rsidRPr="009C48DA" w:rsidR="0036034E" w:rsidP="0036034E" w:rsidRDefault="0036034E" w14:paraId="60FAD560" w14:textId="77777777">
            <w:pPr>
              <w:keepNext/>
              <w:jc w:val="center"/>
              <w:rPr>
                <w:rFonts w:cs="Times New Roman"/>
                <w:sz w:val="17"/>
                <w:szCs w:val="17"/>
                <w:lang w:val="en-GB"/>
              </w:rPr>
            </w:pPr>
            <w:r w:rsidRPr="009C48DA">
              <w:rPr>
                <w:rFonts w:cs="Times New Roman"/>
                <w:sz w:val="17"/>
                <w:szCs w:val="17"/>
                <w:lang w:val="en-GB"/>
              </w:rPr>
              <w:t>(£ in thousands)</w:t>
            </w:r>
          </w:p>
        </w:tc>
      </w:tr>
      <w:tr w:rsidRPr="009C48DA" w:rsidR="0036034E" w:rsidTr="0036034E" w14:paraId="3105866C" w14:textId="77777777">
        <w:tc>
          <w:tcPr>
            <w:tcW w:w="1772" w:type="pct"/>
            <w:shd w:val="clear" w:color="auto" w:fill="auto"/>
            <w:vAlign w:val="bottom"/>
          </w:tcPr>
          <w:p w:rsidRPr="009C48DA" w:rsidR="0036034E" w:rsidP="0036034E" w:rsidRDefault="0036034E" w14:paraId="40326F9E" w14:textId="77777777">
            <w:pPr>
              <w:keepNext/>
              <w:tabs>
                <w:tab w:val="right" w:leader="dot" w:pos="5515"/>
              </w:tabs>
              <w:rPr>
                <w:rFonts w:cs="Times New Roman"/>
                <w:sz w:val="17"/>
                <w:szCs w:val="17"/>
                <w:lang w:val="en-GB"/>
              </w:rPr>
            </w:pPr>
            <w:r w:rsidRPr="009C48DA">
              <w:rPr>
                <w:rFonts w:cs="Times New Roman"/>
                <w:sz w:val="17"/>
                <w:szCs w:val="17"/>
                <w:lang w:val="en-GB"/>
              </w:rPr>
              <w:t>Management fees</w:t>
            </w:r>
            <w:r w:rsidRPr="009C48DA">
              <w:rPr>
                <w:rFonts w:cs="Times New Roman"/>
                <w:sz w:val="17"/>
                <w:szCs w:val="17"/>
                <w:lang w:val="en-GB"/>
              </w:rPr>
              <w:tab/>
            </w:r>
          </w:p>
        </w:tc>
        <w:tc>
          <w:tcPr>
            <w:tcW w:w="644" w:type="pct"/>
            <w:vAlign w:val="bottom"/>
          </w:tcPr>
          <w:p w:rsidRPr="009C48DA" w:rsidR="0036034E" w:rsidP="0036034E" w:rsidRDefault="0036034E" w14:paraId="69F0C4A8" w14:textId="77777777">
            <w:pPr>
              <w:tabs>
                <w:tab w:val="decimal" w:pos="600"/>
              </w:tabs>
              <w:jc w:val="right"/>
              <w:rPr>
                <w:sz w:val="17"/>
                <w:szCs w:val="17"/>
                <w:lang w:val="en-GB"/>
              </w:rPr>
            </w:pPr>
            <w:r w:rsidRPr="009C48DA">
              <w:rPr>
                <w:sz w:val="17"/>
                <w:szCs w:val="17"/>
                <w:lang w:val="en-GB"/>
              </w:rPr>
              <w:t>117,367</w:t>
            </w:r>
          </w:p>
        </w:tc>
        <w:tc>
          <w:tcPr>
            <w:tcW w:w="645" w:type="pct"/>
            <w:vAlign w:val="bottom"/>
          </w:tcPr>
          <w:p w:rsidRPr="009C48DA" w:rsidR="0036034E" w:rsidP="0036034E" w:rsidRDefault="0036034E" w14:paraId="54B54D14" w14:textId="1EFF1E80">
            <w:pPr>
              <w:jc w:val="right"/>
              <w:rPr>
                <w:sz w:val="17"/>
                <w:szCs w:val="17"/>
                <w:lang w:val="en-GB"/>
              </w:rPr>
            </w:pPr>
            <w:r w:rsidRPr="009C48DA">
              <w:rPr>
                <w:sz w:val="17"/>
                <w:szCs w:val="17"/>
                <w:lang w:val="en-GB"/>
              </w:rPr>
              <w:t>143,893</w:t>
            </w:r>
          </w:p>
        </w:tc>
        <w:tc>
          <w:tcPr>
            <w:tcW w:w="647" w:type="pct"/>
            <w:vAlign w:val="bottom"/>
          </w:tcPr>
          <w:p w:rsidRPr="009C48DA" w:rsidR="0036034E" w:rsidP="0036034E" w:rsidRDefault="0036034E" w14:paraId="4A5ACF42" w14:textId="3C41D1CB">
            <w:pPr>
              <w:jc w:val="right"/>
              <w:rPr>
                <w:sz w:val="17"/>
                <w:szCs w:val="17"/>
                <w:lang w:val="en-GB"/>
              </w:rPr>
            </w:pPr>
            <w:r w:rsidRPr="009C48DA">
              <w:rPr>
                <w:sz w:val="17"/>
                <w:szCs w:val="17"/>
                <w:lang w:val="en-GB"/>
              </w:rPr>
              <w:t>148,624</w:t>
            </w:r>
          </w:p>
        </w:tc>
        <w:tc>
          <w:tcPr>
            <w:tcW w:w="645" w:type="pct"/>
            <w:shd w:val="clear" w:color="auto" w:fill="auto"/>
            <w:vAlign w:val="bottom"/>
          </w:tcPr>
          <w:p w:rsidRPr="009C48DA" w:rsidR="0036034E" w:rsidP="0036034E" w:rsidRDefault="0036034E" w14:paraId="18CDEC66" w14:textId="77777777">
            <w:pPr>
              <w:jc w:val="right"/>
              <w:rPr>
                <w:sz w:val="17"/>
                <w:szCs w:val="17"/>
                <w:lang w:val="en-GB"/>
              </w:rPr>
            </w:pPr>
            <w:r w:rsidRPr="009C48DA">
              <w:rPr>
                <w:sz w:val="17"/>
                <w:szCs w:val="17"/>
                <w:lang w:val="en-GB"/>
              </w:rPr>
              <w:t>35,385</w:t>
            </w:r>
          </w:p>
        </w:tc>
        <w:tc>
          <w:tcPr>
            <w:tcW w:w="646" w:type="pct"/>
            <w:shd w:val="clear" w:color="auto" w:fill="auto"/>
            <w:vAlign w:val="bottom"/>
          </w:tcPr>
          <w:p w:rsidRPr="009C48DA" w:rsidR="0036034E" w:rsidP="0036034E" w:rsidRDefault="0036034E" w14:paraId="2EF2BB3B" w14:textId="77777777">
            <w:pPr>
              <w:jc w:val="right"/>
              <w:rPr>
                <w:sz w:val="17"/>
                <w:szCs w:val="17"/>
                <w:lang w:val="en-GB"/>
              </w:rPr>
            </w:pPr>
            <w:r w:rsidRPr="009C48DA">
              <w:rPr>
                <w:sz w:val="17"/>
                <w:szCs w:val="17"/>
                <w:lang w:val="en-GB"/>
              </w:rPr>
              <w:t>48,057</w:t>
            </w:r>
          </w:p>
        </w:tc>
      </w:tr>
      <w:tr w:rsidRPr="009C48DA" w:rsidR="0036034E" w:rsidTr="0036034E" w14:paraId="4CBBE2AD" w14:textId="77777777">
        <w:tc>
          <w:tcPr>
            <w:tcW w:w="1772" w:type="pct"/>
            <w:shd w:val="clear" w:color="auto" w:fill="auto"/>
            <w:vAlign w:val="bottom"/>
          </w:tcPr>
          <w:p w:rsidRPr="009C48DA" w:rsidR="0036034E" w:rsidP="0036034E" w:rsidRDefault="0036034E" w14:paraId="3C02BBB8" w14:textId="77777777">
            <w:pPr>
              <w:keepNext/>
              <w:tabs>
                <w:tab w:val="right" w:leader="dot" w:pos="5518"/>
              </w:tabs>
              <w:rPr>
                <w:rFonts w:cs="Times New Roman"/>
                <w:sz w:val="17"/>
                <w:szCs w:val="17"/>
                <w:lang w:val="en-GB"/>
              </w:rPr>
            </w:pPr>
            <w:r w:rsidRPr="009C48DA">
              <w:rPr>
                <w:rFonts w:cs="Times New Roman"/>
                <w:sz w:val="17"/>
                <w:szCs w:val="17"/>
                <w:lang w:val="en-GB"/>
              </w:rPr>
              <w:t>Carried interest</w:t>
            </w:r>
            <w:r w:rsidRPr="009C48DA">
              <w:rPr>
                <w:sz w:val="17"/>
                <w:szCs w:val="17"/>
                <w:lang w:val="en-GB"/>
              </w:rPr>
              <w:tab/>
            </w:r>
          </w:p>
        </w:tc>
        <w:tc>
          <w:tcPr>
            <w:tcW w:w="644" w:type="pct"/>
            <w:vAlign w:val="bottom"/>
          </w:tcPr>
          <w:p w:rsidRPr="009C48DA" w:rsidR="0036034E" w:rsidP="0036034E" w:rsidRDefault="0036034E" w14:paraId="4FE85D8E" w14:textId="77777777">
            <w:pPr>
              <w:jc w:val="right"/>
              <w:rPr>
                <w:sz w:val="17"/>
                <w:szCs w:val="17"/>
                <w:lang w:val="en-GB"/>
              </w:rPr>
            </w:pPr>
            <w:r w:rsidRPr="009C48DA">
              <w:rPr>
                <w:sz w:val="17"/>
                <w:szCs w:val="17"/>
                <w:lang w:val="en-GB"/>
              </w:rPr>
              <w:t>4,768</w:t>
            </w:r>
          </w:p>
        </w:tc>
        <w:tc>
          <w:tcPr>
            <w:tcW w:w="645" w:type="pct"/>
            <w:vAlign w:val="bottom"/>
          </w:tcPr>
          <w:p w:rsidRPr="009C48DA" w:rsidR="0036034E" w:rsidP="0036034E" w:rsidRDefault="0036034E" w14:paraId="2059F704" w14:textId="77777777">
            <w:pPr>
              <w:jc w:val="right"/>
              <w:rPr>
                <w:sz w:val="17"/>
                <w:szCs w:val="17"/>
                <w:lang w:val="en-GB"/>
              </w:rPr>
            </w:pPr>
            <w:r w:rsidRPr="009C48DA">
              <w:rPr>
                <w:sz w:val="17"/>
                <w:szCs w:val="17"/>
                <w:lang w:val="en-GB"/>
              </w:rPr>
              <w:t>9,582</w:t>
            </w:r>
          </w:p>
        </w:tc>
        <w:tc>
          <w:tcPr>
            <w:tcW w:w="647" w:type="pct"/>
            <w:vAlign w:val="bottom"/>
          </w:tcPr>
          <w:p w:rsidRPr="009C48DA" w:rsidR="0036034E" w:rsidP="0036034E" w:rsidRDefault="0036034E" w14:paraId="3666138B" w14:textId="441A228D">
            <w:pPr>
              <w:jc w:val="right"/>
              <w:rPr>
                <w:sz w:val="17"/>
                <w:szCs w:val="17"/>
                <w:lang w:val="en-GB"/>
              </w:rPr>
            </w:pPr>
            <w:r w:rsidRPr="009C48DA">
              <w:rPr>
                <w:sz w:val="17"/>
                <w:szCs w:val="17"/>
                <w:lang w:val="en-GB"/>
              </w:rPr>
              <w:t>12,917</w:t>
            </w:r>
          </w:p>
        </w:tc>
        <w:tc>
          <w:tcPr>
            <w:tcW w:w="645" w:type="pct"/>
            <w:shd w:val="clear" w:color="auto" w:fill="auto"/>
            <w:vAlign w:val="bottom"/>
          </w:tcPr>
          <w:p w:rsidRPr="009C48DA" w:rsidR="0036034E" w:rsidP="0036034E" w:rsidRDefault="0036034E" w14:paraId="05089317" w14:textId="77777777">
            <w:pPr>
              <w:jc w:val="right"/>
              <w:rPr>
                <w:sz w:val="17"/>
                <w:szCs w:val="17"/>
                <w:lang w:val="en-GB"/>
              </w:rPr>
            </w:pPr>
            <w:r w:rsidRPr="009C48DA">
              <w:rPr>
                <w:sz w:val="17"/>
                <w:szCs w:val="17"/>
                <w:lang w:val="en-GB"/>
              </w:rPr>
              <w:t>614</w:t>
            </w:r>
          </w:p>
        </w:tc>
        <w:tc>
          <w:tcPr>
            <w:tcW w:w="646" w:type="pct"/>
            <w:shd w:val="clear" w:color="auto" w:fill="auto"/>
            <w:vAlign w:val="bottom"/>
          </w:tcPr>
          <w:p w:rsidRPr="009C48DA" w:rsidR="0036034E" w:rsidP="0036034E" w:rsidRDefault="0036034E" w14:paraId="34FF99CB" w14:textId="39AC51D7">
            <w:pPr>
              <w:jc w:val="right"/>
              <w:rPr>
                <w:sz w:val="17"/>
                <w:szCs w:val="17"/>
                <w:lang w:val="en-GB"/>
              </w:rPr>
            </w:pPr>
            <w:r w:rsidRPr="009C48DA">
              <w:rPr>
                <w:sz w:val="17"/>
                <w:szCs w:val="17"/>
                <w:lang w:val="en-GB"/>
              </w:rPr>
              <w:t>(681)</w:t>
            </w:r>
          </w:p>
        </w:tc>
      </w:tr>
      <w:tr w:rsidRPr="009C48DA" w:rsidR="0036034E" w:rsidTr="0036034E" w14:paraId="196A5969" w14:textId="77777777">
        <w:tc>
          <w:tcPr>
            <w:tcW w:w="1772" w:type="pct"/>
            <w:shd w:val="clear" w:color="auto" w:fill="auto"/>
            <w:vAlign w:val="bottom"/>
          </w:tcPr>
          <w:p w:rsidRPr="009C48DA" w:rsidR="0036034E" w:rsidP="0036034E" w:rsidRDefault="0036034E" w14:paraId="5EF3F032" w14:textId="77777777">
            <w:pPr>
              <w:keepNext/>
              <w:tabs>
                <w:tab w:val="right" w:leader="dot" w:pos="5518"/>
              </w:tabs>
              <w:rPr>
                <w:rFonts w:cs="Times New Roman"/>
                <w:sz w:val="17"/>
                <w:szCs w:val="17"/>
                <w:lang w:val="en-GB"/>
              </w:rPr>
            </w:pPr>
            <w:r w:rsidRPr="009C48DA">
              <w:rPr>
                <w:rFonts w:cs="Times New Roman"/>
                <w:sz w:val="17"/>
                <w:szCs w:val="17"/>
                <w:lang w:val="en-GB"/>
              </w:rPr>
              <w:t>Fair value remeasurement of investments</w:t>
            </w:r>
            <w:r w:rsidRPr="009C48DA">
              <w:rPr>
                <w:sz w:val="17"/>
                <w:szCs w:val="17"/>
                <w:lang w:val="en-GB"/>
              </w:rPr>
              <w:tab/>
            </w:r>
          </w:p>
        </w:tc>
        <w:tc>
          <w:tcPr>
            <w:tcW w:w="644" w:type="pct"/>
            <w:vAlign w:val="bottom"/>
          </w:tcPr>
          <w:p w:rsidRPr="009C48DA" w:rsidR="0036034E" w:rsidP="0036034E" w:rsidRDefault="0036034E" w14:paraId="4F5296D7" w14:textId="77777777">
            <w:pPr>
              <w:jc w:val="right"/>
              <w:rPr>
                <w:sz w:val="17"/>
                <w:szCs w:val="17"/>
                <w:lang w:val="en-GB"/>
              </w:rPr>
            </w:pPr>
            <w:r w:rsidRPr="009C48DA">
              <w:rPr>
                <w:sz w:val="17"/>
                <w:szCs w:val="17"/>
                <w:lang w:val="en-GB"/>
              </w:rPr>
              <w:t>20,815</w:t>
            </w:r>
          </w:p>
        </w:tc>
        <w:tc>
          <w:tcPr>
            <w:tcW w:w="645" w:type="pct"/>
            <w:vAlign w:val="bottom"/>
          </w:tcPr>
          <w:p w:rsidRPr="009C48DA" w:rsidR="0036034E" w:rsidP="0036034E" w:rsidRDefault="0036034E" w14:paraId="2E71866E" w14:textId="77777777">
            <w:pPr>
              <w:jc w:val="right"/>
              <w:rPr>
                <w:sz w:val="17"/>
                <w:szCs w:val="17"/>
                <w:lang w:val="en-GB"/>
              </w:rPr>
            </w:pPr>
            <w:r w:rsidRPr="009C48DA">
              <w:rPr>
                <w:sz w:val="17"/>
                <w:szCs w:val="17"/>
                <w:lang w:val="en-GB"/>
              </w:rPr>
              <w:t>14,467</w:t>
            </w:r>
          </w:p>
        </w:tc>
        <w:tc>
          <w:tcPr>
            <w:tcW w:w="647" w:type="pct"/>
            <w:vAlign w:val="bottom"/>
          </w:tcPr>
          <w:p w:rsidRPr="009C48DA" w:rsidR="0036034E" w:rsidP="0036034E" w:rsidRDefault="0036034E" w14:paraId="543EF902" w14:textId="22CC7E0C">
            <w:pPr>
              <w:jc w:val="right"/>
              <w:rPr>
                <w:sz w:val="17"/>
                <w:szCs w:val="17"/>
                <w:lang w:val="en-GB"/>
              </w:rPr>
            </w:pPr>
            <w:r w:rsidRPr="009C48DA">
              <w:rPr>
                <w:sz w:val="17"/>
                <w:szCs w:val="17"/>
                <w:lang w:val="en-GB"/>
              </w:rPr>
              <w:t>29,397</w:t>
            </w:r>
          </w:p>
        </w:tc>
        <w:tc>
          <w:tcPr>
            <w:tcW w:w="645" w:type="pct"/>
            <w:shd w:val="clear" w:color="auto" w:fill="auto"/>
            <w:vAlign w:val="bottom"/>
          </w:tcPr>
          <w:p w:rsidRPr="009C48DA" w:rsidR="0036034E" w:rsidP="0036034E" w:rsidRDefault="0036034E" w14:paraId="0EE3B3C5" w14:textId="77777777">
            <w:pPr>
              <w:jc w:val="right"/>
              <w:rPr>
                <w:sz w:val="17"/>
                <w:szCs w:val="17"/>
                <w:lang w:val="en-GB"/>
              </w:rPr>
            </w:pPr>
            <w:r w:rsidRPr="009C48DA">
              <w:rPr>
                <w:sz w:val="17"/>
                <w:szCs w:val="17"/>
                <w:lang w:val="en-GB"/>
              </w:rPr>
              <w:t>(7,934)</w:t>
            </w:r>
          </w:p>
        </w:tc>
        <w:tc>
          <w:tcPr>
            <w:tcW w:w="646" w:type="pct"/>
            <w:shd w:val="clear" w:color="auto" w:fill="auto"/>
            <w:vAlign w:val="bottom"/>
          </w:tcPr>
          <w:p w:rsidRPr="009C48DA" w:rsidR="0036034E" w:rsidP="0036034E" w:rsidRDefault="0036034E" w14:paraId="50745193" w14:textId="1A0C5D24">
            <w:pPr>
              <w:jc w:val="right"/>
              <w:rPr>
                <w:sz w:val="17"/>
                <w:szCs w:val="17"/>
                <w:lang w:val="en-GB"/>
              </w:rPr>
            </w:pPr>
            <w:r w:rsidRPr="009C48DA">
              <w:rPr>
                <w:sz w:val="17"/>
                <w:szCs w:val="17"/>
                <w:lang w:val="en-GB"/>
              </w:rPr>
              <w:t>13,611</w:t>
            </w:r>
          </w:p>
        </w:tc>
      </w:tr>
      <w:tr w:rsidRPr="009C48DA" w:rsidR="0036034E" w:rsidTr="0036034E" w14:paraId="7AED6008" w14:textId="77777777">
        <w:tc>
          <w:tcPr>
            <w:tcW w:w="1772" w:type="pct"/>
            <w:shd w:val="clear" w:color="auto" w:fill="auto"/>
            <w:vAlign w:val="bottom"/>
          </w:tcPr>
          <w:p w:rsidRPr="009C48DA" w:rsidR="0036034E" w:rsidP="0036034E" w:rsidRDefault="0036034E" w14:paraId="1FF4BEEE" w14:textId="77777777">
            <w:pPr>
              <w:tabs>
                <w:tab w:val="right" w:leader="dot" w:pos="5518"/>
              </w:tabs>
              <w:rPr>
                <w:rFonts w:cs="Times New Roman"/>
                <w:sz w:val="17"/>
                <w:szCs w:val="17"/>
                <w:lang w:val="en-GB"/>
              </w:rPr>
            </w:pPr>
            <w:r w:rsidRPr="009C48DA">
              <w:rPr>
                <w:rFonts w:cs="Times New Roman"/>
                <w:sz w:val="17"/>
                <w:szCs w:val="17"/>
                <w:lang w:val="en-GB"/>
              </w:rPr>
              <w:t>Other operating income</w:t>
            </w:r>
            <w:r w:rsidRPr="009C48DA">
              <w:rPr>
                <w:sz w:val="17"/>
                <w:szCs w:val="17"/>
                <w:lang w:val="en-GB"/>
              </w:rPr>
              <w:tab/>
            </w:r>
          </w:p>
        </w:tc>
        <w:tc>
          <w:tcPr>
            <w:tcW w:w="644" w:type="pct"/>
            <w:vAlign w:val="bottom"/>
          </w:tcPr>
          <w:p w:rsidRPr="009C48DA" w:rsidR="0036034E" w:rsidP="0036034E" w:rsidRDefault="0036034E" w14:paraId="0B4D6344" w14:textId="77777777">
            <w:pPr>
              <w:pBdr>
                <w:bottom w:val="single" w:color="auto" w:sz="4" w:space="1"/>
              </w:pBdr>
              <w:jc w:val="right"/>
              <w:rPr>
                <w:sz w:val="17"/>
                <w:szCs w:val="17"/>
                <w:lang w:val="en-GB"/>
              </w:rPr>
            </w:pPr>
            <w:r w:rsidRPr="009C48DA">
              <w:rPr>
                <w:sz w:val="17"/>
                <w:szCs w:val="17"/>
                <w:lang w:val="en-GB"/>
              </w:rPr>
              <w:t>1,861</w:t>
            </w:r>
          </w:p>
        </w:tc>
        <w:tc>
          <w:tcPr>
            <w:tcW w:w="645" w:type="pct"/>
            <w:vAlign w:val="bottom"/>
          </w:tcPr>
          <w:p w:rsidRPr="009C48DA" w:rsidR="0036034E" w:rsidP="0036034E" w:rsidRDefault="0036034E" w14:paraId="32E5E106" w14:textId="77777777">
            <w:pPr>
              <w:pBdr>
                <w:bottom w:val="single" w:color="auto" w:sz="4" w:space="1"/>
              </w:pBdr>
              <w:jc w:val="right"/>
              <w:rPr>
                <w:sz w:val="17"/>
                <w:szCs w:val="17"/>
                <w:lang w:val="en-GB"/>
              </w:rPr>
            </w:pPr>
            <w:r w:rsidRPr="009C48DA">
              <w:rPr>
                <w:sz w:val="17"/>
                <w:szCs w:val="17"/>
                <w:lang w:val="en-GB"/>
              </w:rPr>
              <w:t>1,895</w:t>
            </w:r>
          </w:p>
        </w:tc>
        <w:tc>
          <w:tcPr>
            <w:tcW w:w="647" w:type="pct"/>
            <w:vAlign w:val="bottom"/>
          </w:tcPr>
          <w:p w:rsidRPr="009C48DA" w:rsidR="0036034E" w:rsidP="0036034E" w:rsidRDefault="0036034E" w14:paraId="37F67B4C" w14:textId="77777777">
            <w:pPr>
              <w:pBdr>
                <w:bottom w:val="single" w:color="auto" w:sz="4" w:space="1"/>
              </w:pBdr>
              <w:jc w:val="right"/>
              <w:rPr>
                <w:sz w:val="17"/>
                <w:szCs w:val="17"/>
                <w:lang w:val="en-GB"/>
              </w:rPr>
            </w:pPr>
            <w:r w:rsidRPr="009C48DA">
              <w:rPr>
                <w:sz w:val="17"/>
                <w:szCs w:val="17"/>
                <w:lang w:val="en-GB"/>
              </w:rPr>
              <w:t>873</w:t>
            </w:r>
          </w:p>
        </w:tc>
        <w:tc>
          <w:tcPr>
            <w:tcW w:w="645" w:type="pct"/>
            <w:shd w:val="clear" w:color="auto" w:fill="auto"/>
            <w:vAlign w:val="bottom"/>
          </w:tcPr>
          <w:p w:rsidRPr="009C48DA" w:rsidR="0036034E" w:rsidP="0036034E" w:rsidRDefault="0036034E" w14:paraId="05E4DD77" w14:textId="77777777">
            <w:pPr>
              <w:pBdr>
                <w:bottom w:val="single" w:color="auto" w:sz="4" w:space="1"/>
              </w:pBdr>
              <w:jc w:val="right"/>
              <w:rPr>
                <w:sz w:val="17"/>
                <w:szCs w:val="17"/>
                <w:lang w:val="en-GB"/>
              </w:rPr>
            </w:pPr>
            <w:r w:rsidRPr="009C48DA">
              <w:rPr>
                <w:sz w:val="17"/>
                <w:szCs w:val="17"/>
                <w:lang w:val="en-GB"/>
              </w:rPr>
              <w:t>380</w:t>
            </w:r>
          </w:p>
        </w:tc>
        <w:tc>
          <w:tcPr>
            <w:tcW w:w="646" w:type="pct"/>
            <w:shd w:val="clear" w:color="auto" w:fill="auto"/>
            <w:vAlign w:val="bottom"/>
          </w:tcPr>
          <w:p w:rsidRPr="009C48DA" w:rsidR="0036034E" w:rsidP="0036034E" w:rsidRDefault="0036034E" w14:paraId="3810E351" w14:textId="77777777">
            <w:pPr>
              <w:pBdr>
                <w:bottom w:val="single" w:color="auto" w:sz="4" w:space="1"/>
              </w:pBdr>
              <w:jc w:val="right"/>
              <w:rPr>
                <w:sz w:val="17"/>
                <w:szCs w:val="17"/>
                <w:lang w:val="en-GB"/>
              </w:rPr>
            </w:pPr>
            <w:r w:rsidRPr="009C48DA">
              <w:rPr>
                <w:sz w:val="17"/>
                <w:szCs w:val="17"/>
                <w:lang w:val="en-GB"/>
              </w:rPr>
              <w:t>383</w:t>
            </w:r>
          </w:p>
        </w:tc>
      </w:tr>
      <w:tr w:rsidRPr="009C48DA" w:rsidR="0036034E" w:rsidTr="0036034E" w14:paraId="1BB07952" w14:textId="77777777">
        <w:tc>
          <w:tcPr>
            <w:tcW w:w="1772" w:type="pct"/>
            <w:shd w:val="clear" w:color="auto" w:fill="auto"/>
            <w:vAlign w:val="bottom"/>
          </w:tcPr>
          <w:p w:rsidRPr="009C48DA" w:rsidR="0036034E" w:rsidP="0036034E" w:rsidRDefault="0036034E" w14:paraId="7F8A094A" w14:textId="77777777">
            <w:pPr>
              <w:tabs>
                <w:tab w:val="right" w:leader="dot" w:pos="5518"/>
              </w:tabs>
              <w:rPr>
                <w:rFonts w:cs="Times New Roman"/>
                <w:b/>
                <w:sz w:val="17"/>
                <w:szCs w:val="17"/>
                <w:lang w:val="en-GB"/>
              </w:rPr>
            </w:pPr>
            <w:r w:rsidRPr="009C48DA">
              <w:rPr>
                <w:rFonts w:cs="Times New Roman"/>
                <w:b/>
                <w:sz w:val="17"/>
                <w:szCs w:val="17"/>
                <w:lang w:val="en-GB"/>
              </w:rPr>
              <w:t>Total operating income</w:t>
            </w:r>
            <w:r w:rsidRPr="009C48DA">
              <w:rPr>
                <w:rFonts w:cs="Times New Roman"/>
                <w:sz w:val="17"/>
                <w:szCs w:val="17"/>
                <w:lang w:val="en-GB"/>
              </w:rPr>
              <w:tab/>
            </w:r>
          </w:p>
        </w:tc>
        <w:tc>
          <w:tcPr>
            <w:tcW w:w="644" w:type="pct"/>
            <w:vAlign w:val="bottom"/>
          </w:tcPr>
          <w:p w:rsidRPr="009C48DA" w:rsidR="0036034E" w:rsidP="0036034E" w:rsidRDefault="0036034E" w14:paraId="6D935BC8" w14:textId="77777777">
            <w:pPr>
              <w:jc w:val="right"/>
              <w:rPr>
                <w:b/>
                <w:sz w:val="17"/>
                <w:szCs w:val="17"/>
                <w:lang w:val="en-GB"/>
              </w:rPr>
            </w:pPr>
            <w:r w:rsidRPr="009C48DA">
              <w:rPr>
                <w:b/>
                <w:sz w:val="17"/>
                <w:szCs w:val="17"/>
                <w:lang w:val="en-GB"/>
              </w:rPr>
              <w:t>144,811</w:t>
            </w:r>
          </w:p>
        </w:tc>
        <w:tc>
          <w:tcPr>
            <w:tcW w:w="645" w:type="pct"/>
            <w:vAlign w:val="bottom"/>
          </w:tcPr>
          <w:p w:rsidRPr="009C48DA" w:rsidR="0036034E" w:rsidP="0036034E" w:rsidRDefault="0036034E" w14:paraId="49350A42" w14:textId="675DEC31">
            <w:pPr>
              <w:jc w:val="right"/>
              <w:rPr>
                <w:b/>
                <w:sz w:val="17"/>
                <w:szCs w:val="17"/>
                <w:lang w:val="en-GB"/>
              </w:rPr>
            </w:pPr>
            <w:r w:rsidRPr="009C48DA">
              <w:rPr>
                <w:b/>
                <w:sz w:val="17"/>
                <w:szCs w:val="17"/>
                <w:lang w:val="en-GB"/>
              </w:rPr>
              <w:t>169,837</w:t>
            </w:r>
          </w:p>
        </w:tc>
        <w:tc>
          <w:tcPr>
            <w:tcW w:w="647" w:type="pct"/>
            <w:vAlign w:val="bottom"/>
          </w:tcPr>
          <w:p w:rsidRPr="009C48DA" w:rsidR="0036034E" w:rsidP="0036034E" w:rsidRDefault="0036034E" w14:paraId="12D75089" w14:textId="193B03E5">
            <w:pPr>
              <w:jc w:val="right"/>
              <w:rPr>
                <w:b/>
                <w:sz w:val="17"/>
                <w:szCs w:val="17"/>
                <w:lang w:val="en-GB"/>
              </w:rPr>
            </w:pPr>
            <w:r w:rsidRPr="009C48DA">
              <w:rPr>
                <w:b/>
                <w:sz w:val="17"/>
                <w:szCs w:val="17"/>
                <w:lang w:val="en-GB"/>
              </w:rPr>
              <w:t>191,811</w:t>
            </w:r>
          </w:p>
        </w:tc>
        <w:tc>
          <w:tcPr>
            <w:tcW w:w="645" w:type="pct"/>
            <w:shd w:val="clear" w:color="auto" w:fill="auto"/>
            <w:vAlign w:val="bottom"/>
          </w:tcPr>
          <w:p w:rsidRPr="009C48DA" w:rsidR="0036034E" w:rsidP="0036034E" w:rsidRDefault="0036034E" w14:paraId="693940FA" w14:textId="77777777">
            <w:pPr>
              <w:jc w:val="right"/>
              <w:rPr>
                <w:b/>
                <w:sz w:val="17"/>
                <w:szCs w:val="17"/>
                <w:lang w:val="en-GB"/>
              </w:rPr>
            </w:pPr>
            <w:r w:rsidRPr="009C48DA">
              <w:rPr>
                <w:b/>
                <w:sz w:val="17"/>
                <w:szCs w:val="17"/>
                <w:lang w:val="en-GB"/>
              </w:rPr>
              <w:t>28,445</w:t>
            </w:r>
          </w:p>
        </w:tc>
        <w:tc>
          <w:tcPr>
            <w:tcW w:w="646" w:type="pct"/>
            <w:shd w:val="clear" w:color="auto" w:fill="auto"/>
            <w:vAlign w:val="bottom"/>
          </w:tcPr>
          <w:p w:rsidRPr="009C48DA" w:rsidR="0036034E" w:rsidP="0036034E" w:rsidRDefault="001B5BD2" w14:paraId="547EB346" w14:textId="21A90897">
            <w:pPr>
              <w:jc w:val="right"/>
              <w:rPr>
                <w:b/>
                <w:sz w:val="17"/>
                <w:szCs w:val="17"/>
                <w:lang w:val="en-GB"/>
              </w:rPr>
            </w:pPr>
            <w:r w:rsidRPr="009C48DA">
              <w:rPr>
                <w:b/>
                <w:sz w:val="17"/>
                <w:szCs w:val="17"/>
                <w:lang w:val="en-GB"/>
              </w:rPr>
              <w:t>61,3</w:t>
            </w:r>
            <w:r w:rsidRPr="009C48DA" w:rsidR="0036034E">
              <w:rPr>
                <w:b/>
                <w:sz w:val="17"/>
                <w:szCs w:val="17"/>
                <w:lang w:val="en-GB"/>
              </w:rPr>
              <w:t>70</w:t>
            </w:r>
          </w:p>
        </w:tc>
      </w:tr>
      <w:tr w:rsidRPr="009C48DA" w:rsidR="0036034E" w:rsidTr="0036034E" w14:paraId="18665D83" w14:textId="77777777">
        <w:tc>
          <w:tcPr>
            <w:tcW w:w="1772" w:type="pct"/>
            <w:shd w:val="clear" w:color="auto" w:fill="auto"/>
            <w:vAlign w:val="bottom"/>
          </w:tcPr>
          <w:p w:rsidRPr="009C48DA" w:rsidR="0036034E" w:rsidP="0036034E" w:rsidRDefault="0036034E" w14:paraId="5C2B000D" w14:textId="77777777">
            <w:pPr>
              <w:tabs>
                <w:tab w:val="right" w:leader="dot" w:pos="5518"/>
              </w:tabs>
              <w:rPr>
                <w:rFonts w:cs="Times New Roman"/>
                <w:sz w:val="17"/>
                <w:szCs w:val="17"/>
                <w:lang w:val="en-GB"/>
              </w:rPr>
            </w:pPr>
            <w:r w:rsidRPr="009C48DA">
              <w:rPr>
                <w:rFonts w:cs="Times New Roman"/>
                <w:sz w:val="17"/>
                <w:szCs w:val="17"/>
                <w:lang w:val="en-GB"/>
              </w:rPr>
              <w:t>Personnel expenses</w:t>
            </w:r>
            <w:r w:rsidRPr="009C48DA">
              <w:rPr>
                <w:rFonts w:cs="Times New Roman"/>
                <w:sz w:val="17"/>
                <w:szCs w:val="17"/>
                <w:lang w:val="en-GB"/>
              </w:rPr>
              <w:tab/>
            </w:r>
          </w:p>
        </w:tc>
        <w:tc>
          <w:tcPr>
            <w:tcW w:w="644" w:type="pct"/>
            <w:vAlign w:val="bottom"/>
          </w:tcPr>
          <w:p w:rsidRPr="009C48DA" w:rsidR="0036034E" w:rsidP="0036034E" w:rsidRDefault="0036034E" w14:paraId="78ADD493" w14:textId="77777777">
            <w:pPr>
              <w:jc w:val="right"/>
              <w:rPr>
                <w:sz w:val="17"/>
                <w:szCs w:val="17"/>
                <w:lang w:val="en-GB"/>
              </w:rPr>
            </w:pPr>
            <w:r w:rsidRPr="009C48DA">
              <w:rPr>
                <w:sz w:val="17"/>
                <w:szCs w:val="17"/>
                <w:lang w:val="en-GB"/>
              </w:rPr>
              <w:t>(91,447)</w:t>
            </w:r>
          </w:p>
        </w:tc>
        <w:tc>
          <w:tcPr>
            <w:tcW w:w="645" w:type="pct"/>
            <w:vAlign w:val="bottom"/>
          </w:tcPr>
          <w:p w:rsidRPr="009C48DA" w:rsidR="0036034E" w:rsidP="0036034E" w:rsidRDefault="0036034E" w14:paraId="3FC11426" w14:textId="77777777">
            <w:pPr>
              <w:jc w:val="right"/>
              <w:rPr>
                <w:sz w:val="17"/>
                <w:szCs w:val="17"/>
                <w:lang w:val="en-GB"/>
              </w:rPr>
            </w:pPr>
            <w:r w:rsidRPr="009C48DA">
              <w:rPr>
                <w:sz w:val="17"/>
                <w:szCs w:val="17"/>
                <w:lang w:val="en-GB"/>
              </w:rPr>
              <w:t>(88,882)</w:t>
            </w:r>
          </w:p>
        </w:tc>
        <w:tc>
          <w:tcPr>
            <w:tcW w:w="647" w:type="pct"/>
            <w:vAlign w:val="bottom"/>
          </w:tcPr>
          <w:p w:rsidRPr="009C48DA" w:rsidR="0036034E" w:rsidP="0036034E" w:rsidRDefault="0036034E" w14:paraId="6D2EBC4F" w14:textId="1798102B">
            <w:pPr>
              <w:jc w:val="right"/>
              <w:rPr>
                <w:sz w:val="17"/>
                <w:szCs w:val="17"/>
                <w:lang w:val="en-GB"/>
              </w:rPr>
            </w:pPr>
            <w:r w:rsidRPr="009C48DA">
              <w:rPr>
                <w:sz w:val="17"/>
                <w:szCs w:val="17"/>
                <w:lang w:val="en-GB"/>
              </w:rPr>
              <w:t>(96,260)</w:t>
            </w:r>
          </w:p>
        </w:tc>
        <w:tc>
          <w:tcPr>
            <w:tcW w:w="645" w:type="pct"/>
            <w:shd w:val="clear" w:color="auto" w:fill="auto"/>
            <w:vAlign w:val="bottom"/>
          </w:tcPr>
          <w:p w:rsidRPr="009C48DA" w:rsidR="0036034E" w:rsidP="0036034E" w:rsidRDefault="0036034E" w14:paraId="34FB1FFB" w14:textId="77777777">
            <w:pPr>
              <w:jc w:val="right"/>
              <w:rPr>
                <w:sz w:val="17"/>
                <w:szCs w:val="17"/>
                <w:lang w:val="en-GB"/>
              </w:rPr>
            </w:pPr>
            <w:r w:rsidRPr="009C48DA">
              <w:rPr>
                <w:sz w:val="17"/>
                <w:szCs w:val="17"/>
                <w:lang w:val="en-GB"/>
              </w:rPr>
              <w:t>(20,516)</w:t>
            </w:r>
            <w:r w:rsidRPr="009C48DA" w:rsidDel="00EF3443">
              <w:rPr>
                <w:sz w:val="17"/>
                <w:szCs w:val="17"/>
                <w:lang w:val="en-GB"/>
              </w:rPr>
              <w:t xml:space="preserve"> </w:t>
            </w:r>
          </w:p>
        </w:tc>
        <w:tc>
          <w:tcPr>
            <w:tcW w:w="646" w:type="pct"/>
            <w:shd w:val="clear" w:color="auto" w:fill="auto"/>
            <w:vAlign w:val="bottom"/>
          </w:tcPr>
          <w:p w:rsidRPr="009C48DA" w:rsidR="0036034E" w:rsidP="0036034E" w:rsidRDefault="0036034E" w14:paraId="2106AEA3" w14:textId="06272A2F">
            <w:pPr>
              <w:jc w:val="right"/>
              <w:rPr>
                <w:sz w:val="17"/>
                <w:szCs w:val="17"/>
                <w:lang w:val="en-GB"/>
              </w:rPr>
            </w:pPr>
            <w:r w:rsidRPr="009C48DA">
              <w:rPr>
                <w:sz w:val="17"/>
                <w:szCs w:val="17"/>
                <w:lang w:val="en-GB"/>
              </w:rPr>
              <w:t>(27,751)</w:t>
            </w:r>
            <w:r w:rsidRPr="009C48DA" w:rsidDel="00EF3443">
              <w:rPr>
                <w:sz w:val="17"/>
                <w:szCs w:val="17"/>
                <w:lang w:val="en-GB"/>
              </w:rPr>
              <w:t xml:space="preserve"> </w:t>
            </w:r>
          </w:p>
        </w:tc>
      </w:tr>
      <w:tr w:rsidRPr="009C48DA" w:rsidR="0036034E" w:rsidTr="0036034E" w14:paraId="4F2860ED" w14:textId="77777777">
        <w:tc>
          <w:tcPr>
            <w:tcW w:w="1772" w:type="pct"/>
            <w:shd w:val="clear" w:color="auto" w:fill="auto"/>
            <w:vAlign w:val="bottom"/>
          </w:tcPr>
          <w:p w:rsidRPr="009C48DA" w:rsidR="0036034E" w:rsidP="0036034E" w:rsidRDefault="0036034E" w14:paraId="2A1E2A35" w14:textId="77777777">
            <w:pPr>
              <w:tabs>
                <w:tab w:val="right" w:leader="dot" w:pos="5518"/>
              </w:tabs>
              <w:rPr>
                <w:rFonts w:cs="Times New Roman"/>
                <w:sz w:val="17"/>
                <w:szCs w:val="17"/>
                <w:lang w:val="en-GB"/>
              </w:rPr>
            </w:pPr>
            <w:r w:rsidRPr="009C48DA">
              <w:rPr>
                <w:rFonts w:cs="Times New Roman"/>
                <w:sz w:val="17"/>
                <w:szCs w:val="17"/>
                <w:lang w:val="en-GB"/>
              </w:rPr>
              <w:t>Other expenses</w:t>
            </w:r>
            <w:r w:rsidRPr="009C48DA">
              <w:rPr>
                <w:sz w:val="17"/>
                <w:szCs w:val="17"/>
                <w:lang w:val="en-GB"/>
              </w:rPr>
              <w:tab/>
            </w:r>
          </w:p>
        </w:tc>
        <w:tc>
          <w:tcPr>
            <w:tcW w:w="644" w:type="pct"/>
            <w:vAlign w:val="bottom"/>
          </w:tcPr>
          <w:p w:rsidRPr="009C48DA" w:rsidR="0036034E" w:rsidP="0036034E" w:rsidRDefault="0036034E" w14:paraId="6245EEE5" w14:textId="77777777">
            <w:pPr>
              <w:jc w:val="right"/>
              <w:rPr>
                <w:sz w:val="17"/>
                <w:szCs w:val="17"/>
                <w:lang w:val="en-GB"/>
              </w:rPr>
            </w:pPr>
            <w:r w:rsidRPr="009C48DA">
              <w:rPr>
                <w:sz w:val="17"/>
                <w:szCs w:val="17"/>
                <w:lang w:val="en-GB"/>
              </w:rPr>
              <w:t>(35,705)</w:t>
            </w:r>
          </w:p>
        </w:tc>
        <w:tc>
          <w:tcPr>
            <w:tcW w:w="645" w:type="pct"/>
            <w:vAlign w:val="bottom"/>
          </w:tcPr>
          <w:p w:rsidRPr="009C48DA" w:rsidR="0036034E" w:rsidP="0036034E" w:rsidRDefault="0036034E" w14:paraId="2FEAB783" w14:textId="77777777">
            <w:pPr>
              <w:jc w:val="right"/>
              <w:rPr>
                <w:sz w:val="17"/>
                <w:szCs w:val="17"/>
                <w:lang w:val="en-GB"/>
              </w:rPr>
            </w:pPr>
            <w:r w:rsidRPr="009C48DA">
              <w:rPr>
                <w:sz w:val="17"/>
                <w:szCs w:val="17"/>
                <w:lang w:val="en-GB"/>
              </w:rPr>
              <w:t>(27,772)</w:t>
            </w:r>
          </w:p>
        </w:tc>
        <w:tc>
          <w:tcPr>
            <w:tcW w:w="647" w:type="pct"/>
            <w:vAlign w:val="bottom"/>
          </w:tcPr>
          <w:p w:rsidRPr="009C48DA" w:rsidR="0036034E" w:rsidP="0036034E" w:rsidRDefault="0036034E" w14:paraId="5A8EDAC7" w14:textId="278A050C">
            <w:pPr>
              <w:jc w:val="right"/>
              <w:rPr>
                <w:sz w:val="17"/>
                <w:szCs w:val="17"/>
                <w:lang w:val="en-GB"/>
              </w:rPr>
            </w:pPr>
            <w:r w:rsidRPr="009C48DA">
              <w:rPr>
                <w:sz w:val="17"/>
                <w:szCs w:val="17"/>
                <w:lang w:val="en-GB"/>
              </w:rPr>
              <w:t>(36,624)</w:t>
            </w:r>
          </w:p>
        </w:tc>
        <w:tc>
          <w:tcPr>
            <w:tcW w:w="645" w:type="pct"/>
            <w:shd w:val="clear" w:color="auto" w:fill="auto"/>
            <w:vAlign w:val="bottom"/>
          </w:tcPr>
          <w:p w:rsidRPr="009C48DA" w:rsidR="0036034E" w:rsidP="0036034E" w:rsidRDefault="0036034E" w14:paraId="356BFB5B" w14:textId="77777777">
            <w:pPr>
              <w:jc w:val="right"/>
              <w:rPr>
                <w:sz w:val="17"/>
                <w:szCs w:val="17"/>
                <w:lang w:val="en-GB"/>
              </w:rPr>
            </w:pPr>
            <w:r w:rsidRPr="009C48DA">
              <w:rPr>
                <w:sz w:val="17"/>
                <w:szCs w:val="17"/>
                <w:lang w:val="en-GB"/>
              </w:rPr>
              <w:t>(7,088)</w:t>
            </w:r>
            <w:r w:rsidRPr="009C48DA" w:rsidDel="00EF3443">
              <w:rPr>
                <w:sz w:val="17"/>
                <w:szCs w:val="17"/>
                <w:lang w:val="en-GB"/>
              </w:rPr>
              <w:t xml:space="preserve"> </w:t>
            </w:r>
          </w:p>
        </w:tc>
        <w:tc>
          <w:tcPr>
            <w:tcW w:w="646" w:type="pct"/>
            <w:shd w:val="clear" w:color="auto" w:fill="auto"/>
            <w:vAlign w:val="bottom"/>
          </w:tcPr>
          <w:p w:rsidRPr="009C48DA" w:rsidR="0036034E" w:rsidP="0036034E" w:rsidRDefault="0036034E" w14:paraId="0A969D97" w14:textId="74F06B22">
            <w:pPr>
              <w:jc w:val="right"/>
              <w:rPr>
                <w:sz w:val="17"/>
                <w:szCs w:val="17"/>
                <w:lang w:val="en-GB"/>
              </w:rPr>
            </w:pPr>
            <w:r w:rsidRPr="009C48DA">
              <w:rPr>
                <w:sz w:val="17"/>
                <w:szCs w:val="17"/>
                <w:lang w:val="en-GB"/>
              </w:rPr>
              <w:t>(7,164)</w:t>
            </w:r>
            <w:r w:rsidRPr="009C48DA" w:rsidDel="00EF3443">
              <w:rPr>
                <w:sz w:val="17"/>
                <w:szCs w:val="17"/>
                <w:lang w:val="en-GB"/>
              </w:rPr>
              <w:t xml:space="preserve"> </w:t>
            </w:r>
          </w:p>
        </w:tc>
      </w:tr>
      <w:tr w:rsidRPr="009C48DA" w:rsidR="0036034E" w:rsidTr="0036034E" w14:paraId="15C3E695" w14:textId="77777777">
        <w:tc>
          <w:tcPr>
            <w:tcW w:w="1772" w:type="pct"/>
            <w:shd w:val="clear" w:color="auto" w:fill="auto"/>
            <w:vAlign w:val="bottom"/>
          </w:tcPr>
          <w:p w:rsidRPr="009C48DA" w:rsidR="0036034E" w:rsidP="0036034E" w:rsidRDefault="0036034E" w14:paraId="5B1B5157" w14:textId="77777777">
            <w:pPr>
              <w:tabs>
                <w:tab w:val="right" w:leader="dot" w:pos="5518"/>
              </w:tabs>
              <w:rPr>
                <w:rFonts w:cs="Times New Roman"/>
                <w:sz w:val="17"/>
                <w:szCs w:val="17"/>
                <w:lang w:val="en-GB"/>
              </w:rPr>
            </w:pPr>
            <w:r w:rsidRPr="009C48DA">
              <w:rPr>
                <w:rFonts w:cs="Times New Roman"/>
                <w:sz w:val="17"/>
                <w:szCs w:val="17"/>
                <w:lang w:val="en-GB"/>
              </w:rPr>
              <w:t>Foreign exchange gains / (losses)</w:t>
            </w:r>
            <w:r w:rsidRPr="009C48DA">
              <w:rPr>
                <w:sz w:val="17"/>
                <w:szCs w:val="17"/>
                <w:lang w:val="en-GB"/>
              </w:rPr>
              <w:tab/>
            </w:r>
          </w:p>
        </w:tc>
        <w:tc>
          <w:tcPr>
            <w:tcW w:w="644" w:type="pct"/>
            <w:vAlign w:val="bottom"/>
          </w:tcPr>
          <w:p w:rsidRPr="009C48DA" w:rsidR="0036034E" w:rsidP="0036034E" w:rsidRDefault="0036034E" w14:paraId="420C705D" w14:textId="77777777">
            <w:pPr>
              <w:pBdr>
                <w:bottom w:val="single" w:color="auto" w:sz="4" w:space="1"/>
              </w:pBdr>
              <w:jc w:val="right"/>
              <w:rPr>
                <w:sz w:val="17"/>
                <w:szCs w:val="17"/>
                <w:lang w:val="en-GB"/>
              </w:rPr>
            </w:pPr>
            <w:r w:rsidRPr="009C48DA">
              <w:rPr>
                <w:sz w:val="17"/>
                <w:szCs w:val="17"/>
                <w:lang w:val="en-GB"/>
              </w:rPr>
              <w:t>1,524</w:t>
            </w:r>
          </w:p>
        </w:tc>
        <w:tc>
          <w:tcPr>
            <w:tcW w:w="645" w:type="pct"/>
            <w:vAlign w:val="bottom"/>
          </w:tcPr>
          <w:p w:rsidRPr="009C48DA" w:rsidR="0036034E" w:rsidP="0036034E" w:rsidRDefault="0036034E" w14:paraId="723F7FFE" w14:textId="464AE605">
            <w:pPr>
              <w:pBdr>
                <w:bottom w:val="single" w:color="auto" w:sz="4" w:space="1"/>
              </w:pBdr>
              <w:jc w:val="right"/>
              <w:rPr>
                <w:sz w:val="17"/>
                <w:szCs w:val="17"/>
                <w:lang w:val="en-GB"/>
              </w:rPr>
            </w:pPr>
            <w:r w:rsidRPr="009C48DA">
              <w:rPr>
                <w:sz w:val="17"/>
                <w:szCs w:val="17"/>
                <w:lang w:val="en-GB"/>
              </w:rPr>
              <w:t>(58)</w:t>
            </w:r>
          </w:p>
        </w:tc>
        <w:tc>
          <w:tcPr>
            <w:tcW w:w="647" w:type="pct"/>
            <w:vAlign w:val="bottom"/>
          </w:tcPr>
          <w:p w:rsidRPr="009C48DA" w:rsidR="0036034E" w:rsidP="0036034E" w:rsidRDefault="0036034E" w14:paraId="091E15CF" w14:textId="42673298">
            <w:pPr>
              <w:pBdr>
                <w:bottom w:val="single" w:color="auto" w:sz="4" w:space="1"/>
              </w:pBdr>
              <w:jc w:val="right"/>
              <w:rPr>
                <w:sz w:val="17"/>
                <w:szCs w:val="17"/>
                <w:lang w:val="en-GB"/>
              </w:rPr>
            </w:pPr>
            <w:r w:rsidRPr="009C48DA">
              <w:rPr>
                <w:sz w:val="17"/>
                <w:szCs w:val="17"/>
                <w:lang w:val="en-GB"/>
              </w:rPr>
              <w:t>(229)</w:t>
            </w:r>
          </w:p>
        </w:tc>
        <w:tc>
          <w:tcPr>
            <w:tcW w:w="645" w:type="pct"/>
            <w:shd w:val="clear" w:color="auto" w:fill="auto"/>
            <w:vAlign w:val="bottom"/>
          </w:tcPr>
          <w:p w:rsidRPr="009C48DA" w:rsidR="0036034E" w:rsidP="0036034E" w:rsidRDefault="0036034E" w14:paraId="62375447" w14:textId="77777777">
            <w:pPr>
              <w:pBdr>
                <w:bottom w:val="single" w:color="auto" w:sz="4" w:space="1"/>
              </w:pBdr>
              <w:jc w:val="right"/>
              <w:rPr>
                <w:sz w:val="17"/>
                <w:szCs w:val="17"/>
                <w:lang w:val="en-GB"/>
              </w:rPr>
            </w:pPr>
            <w:r w:rsidRPr="009C48DA">
              <w:rPr>
                <w:sz w:val="17"/>
                <w:szCs w:val="17"/>
                <w:lang w:val="en-GB"/>
              </w:rPr>
              <w:t>(1,323)</w:t>
            </w:r>
          </w:p>
        </w:tc>
        <w:tc>
          <w:tcPr>
            <w:tcW w:w="646" w:type="pct"/>
            <w:shd w:val="clear" w:color="auto" w:fill="auto"/>
            <w:vAlign w:val="bottom"/>
          </w:tcPr>
          <w:p w:rsidRPr="009C48DA" w:rsidR="0036034E" w:rsidP="0036034E" w:rsidRDefault="0036034E" w14:paraId="7FA91CD4" w14:textId="77777777">
            <w:pPr>
              <w:pBdr>
                <w:bottom w:val="single" w:color="auto" w:sz="4" w:space="1"/>
              </w:pBdr>
              <w:jc w:val="right"/>
              <w:rPr>
                <w:sz w:val="17"/>
                <w:szCs w:val="17"/>
                <w:lang w:val="en-GB"/>
              </w:rPr>
            </w:pPr>
            <w:r w:rsidRPr="009C48DA">
              <w:rPr>
                <w:sz w:val="17"/>
                <w:szCs w:val="17"/>
                <w:lang w:val="en-GB"/>
              </w:rPr>
              <w:t>1,199</w:t>
            </w:r>
          </w:p>
        </w:tc>
      </w:tr>
      <w:tr w:rsidRPr="009C48DA" w:rsidR="0036034E" w:rsidTr="0036034E" w14:paraId="0A22645B" w14:textId="77777777">
        <w:tc>
          <w:tcPr>
            <w:tcW w:w="1772" w:type="pct"/>
            <w:shd w:val="clear" w:color="auto" w:fill="auto"/>
            <w:vAlign w:val="bottom"/>
          </w:tcPr>
          <w:p w:rsidRPr="009C48DA" w:rsidR="0036034E" w:rsidP="0036034E" w:rsidRDefault="0036034E" w14:paraId="17719575" w14:textId="77777777">
            <w:pPr>
              <w:tabs>
                <w:tab w:val="right" w:leader="dot" w:pos="5518"/>
              </w:tabs>
              <w:rPr>
                <w:rFonts w:cs="Times New Roman"/>
                <w:b/>
                <w:sz w:val="17"/>
                <w:szCs w:val="17"/>
                <w:lang w:val="en-GB"/>
              </w:rPr>
            </w:pPr>
            <w:r w:rsidRPr="009C48DA">
              <w:rPr>
                <w:rFonts w:cs="Times New Roman"/>
                <w:b/>
                <w:sz w:val="17"/>
                <w:szCs w:val="17"/>
                <w:lang w:val="en-GB"/>
              </w:rPr>
              <w:t>EBITDA</w:t>
            </w:r>
            <w:r w:rsidRPr="009C48DA">
              <w:rPr>
                <w:sz w:val="17"/>
                <w:szCs w:val="17"/>
                <w:lang w:val="en-GB"/>
              </w:rPr>
              <w:tab/>
            </w:r>
          </w:p>
        </w:tc>
        <w:tc>
          <w:tcPr>
            <w:tcW w:w="644" w:type="pct"/>
            <w:vAlign w:val="bottom"/>
          </w:tcPr>
          <w:p w:rsidRPr="009C48DA" w:rsidR="0036034E" w:rsidP="0036034E" w:rsidRDefault="0036034E" w14:paraId="7B7F6D3C" w14:textId="77777777">
            <w:pPr>
              <w:pBdr>
                <w:bottom w:val="single" w:color="auto" w:sz="4" w:space="1"/>
              </w:pBdr>
              <w:jc w:val="right"/>
              <w:rPr>
                <w:b/>
                <w:sz w:val="17"/>
                <w:szCs w:val="17"/>
                <w:lang w:val="en-GB"/>
              </w:rPr>
            </w:pPr>
            <w:r w:rsidRPr="009C48DA">
              <w:rPr>
                <w:b/>
                <w:sz w:val="17"/>
                <w:szCs w:val="17"/>
                <w:lang w:val="en-GB"/>
              </w:rPr>
              <w:t>19,183</w:t>
            </w:r>
          </w:p>
        </w:tc>
        <w:tc>
          <w:tcPr>
            <w:tcW w:w="645" w:type="pct"/>
            <w:vAlign w:val="bottom"/>
          </w:tcPr>
          <w:p w:rsidRPr="009C48DA" w:rsidR="0036034E" w:rsidP="0036034E" w:rsidRDefault="0036034E" w14:paraId="628E9ECA" w14:textId="77777777">
            <w:pPr>
              <w:pBdr>
                <w:bottom w:val="single" w:color="auto" w:sz="4" w:space="1"/>
              </w:pBdr>
              <w:jc w:val="right"/>
              <w:rPr>
                <w:b/>
                <w:sz w:val="17"/>
                <w:szCs w:val="17"/>
                <w:lang w:val="en-GB"/>
              </w:rPr>
            </w:pPr>
            <w:r w:rsidRPr="009C48DA">
              <w:rPr>
                <w:b/>
                <w:sz w:val="17"/>
                <w:szCs w:val="17"/>
                <w:lang w:val="en-GB"/>
              </w:rPr>
              <w:t>53,125</w:t>
            </w:r>
          </w:p>
        </w:tc>
        <w:tc>
          <w:tcPr>
            <w:tcW w:w="647" w:type="pct"/>
            <w:vAlign w:val="bottom"/>
          </w:tcPr>
          <w:p w:rsidRPr="009C48DA" w:rsidR="0036034E" w:rsidP="0036034E" w:rsidRDefault="0036034E" w14:paraId="146E9F4D" w14:textId="0C0CD6D3">
            <w:pPr>
              <w:pBdr>
                <w:bottom w:val="single" w:color="auto" w:sz="4" w:space="1"/>
              </w:pBdr>
              <w:jc w:val="right"/>
              <w:rPr>
                <w:b/>
                <w:sz w:val="17"/>
                <w:szCs w:val="17"/>
                <w:lang w:val="en-GB"/>
              </w:rPr>
            </w:pPr>
            <w:r w:rsidRPr="009C48DA">
              <w:rPr>
                <w:b/>
                <w:sz w:val="17"/>
                <w:szCs w:val="17"/>
                <w:lang w:val="en-GB"/>
              </w:rPr>
              <w:t>58,698</w:t>
            </w:r>
          </w:p>
        </w:tc>
        <w:tc>
          <w:tcPr>
            <w:tcW w:w="645" w:type="pct"/>
            <w:shd w:val="clear" w:color="auto" w:fill="auto"/>
            <w:vAlign w:val="bottom"/>
          </w:tcPr>
          <w:p w:rsidRPr="009C48DA" w:rsidR="0036034E" w:rsidP="0036034E" w:rsidRDefault="0036034E" w14:paraId="72E2005F" w14:textId="77777777">
            <w:pPr>
              <w:pBdr>
                <w:bottom w:val="single" w:color="auto" w:sz="4" w:space="1"/>
              </w:pBdr>
              <w:jc w:val="right"/>
              <w:rPr>
                <w:b/>
                <w:sz w:val="17"/>
                <w:szCs w:val="17"/>
                <w:lang w:val="en-GB"/>
              </w:rPr>
            </w:pPr>
            <w:r w:rsidRPr="009C48DA">
              <w:rPr>
                <w:b/>
                <w:sz w:val="17"/>
                <w:szCs w:val="17"/>
                <w:lang w:val="en-GB"/>
              </w:rPr>
              <w:t>(482)</w:t>
            </w:r>
          </w:p>
        </w:tc>
        <w:tc>
          <w:tcPr>
            <w:tcW w:w="646" w:type="pct"/>
            <w:shd w:val="clear" w:color="auto" w:fill="auto"/>
            <w:vAlign w:val="bottom"/>
          </w:tcPr>
          <w:p w:rsidRPr="009C48DA" w:rsidR="0036034E" w:rsidP="0036034E" w:rsidRDefault="0036034E" w14:paraId="63352D94" w14:textId="639A1BD1">
            <w:pPr>
              <w:pBdr>
                <w:bottom w:val="single" w:color="auto" w:sz="4" w:space="1"/>
              </w:pBdr>
              <w:jc w:val="right"/>
              <w:rPr>
                <w:b/>
                <w:sz w:val="17"/>
                <w:szCs w:val="17"/>
                <w:lang w:val="en-GB"/>
              </w:rPr>
            </w:pPr>
            <w:r w:rsidRPr="009C48DA">
              <w:rPr>
                <w:b/>
                <w:sz w:val="17"/>
                <w:szCs w:val="17"/>
                <w:lang w:val="en-GB"/>
              </w:rPr>
              <w:t>27,654</w:t>
            </w:r>
          </w:p>
        </w:tc>
      </w:tr>
      <w:tr w:rsidRPr="009C48DA" w:rsidR="0036034E" w:rsidTr="0036034E" w14:paraId="026AFF0B" w14:textId="77777777">
        <w:tc>
          <w:tcPr>
            <w:tcW w:w="1772" w:type="pct"/>
            <w:shd w:val="clear" w:color="auto" w:fill="auto"/>
            <w:vAlign w:val="bottom"/>
          </w:tcPr>
          <w:p w:rsidRPr="009C48DA" w:rsidR="0036034E" w:rsidP="0036034E" w:rsidRDefault="0036034E" w14:paraId="6470A583" w14:textId="77777777">
            <w:pPr>
              <w:tabs>
                <w:tab w:val="right" w:leader="dot" w:pos="5518"/>
              </w:tabs>
              <w:ind w:left="328"/>
              <w:rPr>
                <w:rFonts w:cs="Times New Roman"/>
                <w:b/>
                <w:sz w:val="17"/>
                <w:szCs w:val="17"/>
                <w:lang w:val="en-GB"/>
              </w:rPr>
            </w:pPr>
            <w:r w:rsidRPr="009C48DA">
              <w:rPr>
                <w:rFonts w:cs="Times New Roman"/>
                <w:i/>
                <w:sz w:val="17"/>
                <w:szCs w:val="17"/>
                <w:lang w:val="en-GB"/>
              </w:rPr>
              <w:t>of which: Underlying EBITDA</w:t>
            </w:r>
            <w:r w:rsidRPr="009C48DA">
              <w:rPr>
                <w:rFonts w:cs="Times New Roman"/>
                <w:i/>
                <w:sz w:val="17"/>
                <w:szCs w:val="17"/>
                <w:lang w:val="en-GB"/>
              </w:rPr>
              <w:tab/>
            </w:r>
          </w:p>
        </w:tc>
        <w:tc>
          <w:tcPr>
            <w:tcW w:w="644" w:type="pct"/>
            <w:vAlign w:val="bottom"/>
          </w:tcPr>
          <w:p w:rsidRPr="009C48DA" w:rsidR="0036034E" w:rsidP="0036034E" w:rsidRDefault="0036034E" w14:paraId="508A841B" w14:textId="77777777">
            <w:pPr>
              <w:jc w:val="right"/>
              <w:rPr>
                <w:sz w:val="17"/>
                <w:szCs w:val="17"/>
                <w:lang w:val="en-GB"/>
              </w:rPr>
            </w:pPr>
            <w:r w:rsidRPr="009C48DA">
              <w:rPr>
                <w:sz w:val="17"/>
                <w:szCs w:val="17"/>
                <w:lang w:val="en-GB"/>
              </w:rPr>
              <w:t>43,266</w:t>
            </w:r>
          </w:p>
        </w:tc>
        <w:tc>
          <w:tcPr>
            <w:tcW w:w="645" w:type="pct"/>
            <w:vAlign w:val="bottom"/>
          </w:tcPr>
          <w:p w:rsidRPr="009C48DA" w:rsidR="0036034E" w:rsidP="0036034E" w:rsidRDefault="0036034E" w14:paraId="6CFAE0C3" w14:textId="77777777">
            <w:pPr>
              <w:jc w:val="right"/>
              <w:rPr>
                <w:sz w:val="17"/>
                <w:szCs w:val="17"/>
                <w:lang w:val="en-GB"/>
              </w:rPr>
            </w:pPr>
            <w:r w:rsidRPr="009C48DA">
              <w:rPr>
                <w:sz w:val="17"/>
                <w:szCs w:val="17"/>
                <w:lang w:val="en-GB"/>
              </w:rPr>
              <w:t>53,125</w:t>
            </w:r>
          </w:p>
        </w:tc>
        <w:tc>
          <w:tcPr>
            <w:tcW w:w="647" w:type="pct"/>
            <w:vAlign w:val="bottom"/>
          </w:tcPr>
          <w:p w:rsidRPr="009C48DA" w:rsidR="0036034E" w:rsidP="0036034E" w:rsidRDefault="0036034E" w14:paraId="6F8D9AB0" w14:textId="2A29FF7D">
            <w:pPr>
              <w:jc w:val="right"/>
              <w:rPr>
                <w:sz w:val="17"/>
                <w:szCs w:val="17"/>
                <w:lang w:val="en-GB"/>
              </w:rPr>
            </w:pPr>
            <w:r w:rsidRPr="009C48DA">
              <w:rPr>
                <w:sz w:val="17"/>
                <w:szCs w:val="17"/>
                <w:lang w:val="en-GB"/>
              </w:rPr>
              <w:t>66,075</w:t>
            </w:r>
          </w:p>
        </w:tc>
        <w:tc>
          <w:tcPr>
            <w:tcW w:w="645" w:type="pct"/>
            <w:shd w:val="clear" w:color="auto" w:fill="auto"/>
            <w:vAlign w:val="bottom"/>
          </w:tcPr>
          <w:p w:rsidRPr="009C48DA" w:rsidR="0036034E" w:rsidP="0036034E" w:rsidRDefault="0036034E" w14:paraId="267449E6" w14:textId="77777777">
            <w:pPr>
              <w:jc w:val="right"/>
              <w:rPr>
                <w:sz w:val="17"/>
                <w:szCs w:val="17"/>
                <w:lang w:val="en-GB"/>
              </w:rPr>
            </w:pPr>
            <w:r w:rsidRPr="009C48DA">
              <w:rPr>
                <w:sz w:val="17"/>
                <w:szCs w:val="17"/>
                <w:lang w:val="en-GB"/>
              </w:rPr>
              <w:t>(482)</w:t>
            </w:r>
          </w:p>
        </w:tc>
        <w:tc>
          <w:tcPr>
            <w:tcW w:w="646" w:type="pct"/>
            <w:shd w:val="clear" w:color="auto" w:fill="auto"/>
            <w:vAlign w:val="bottom"/>
          </w:tcPr>
          <w:p w:rsidRPr="009C48DA" w:rsidR="0036034E" w:rsidP="0036034E" w:rsidRDefault="0036034E" w14:paraId="5643CF0D" w14:textId="283B1ABB">
            <w:pPr>
              <w:jc w:val="right"/>
              <w:rPr>
                <w:sz w:val="17"/>
                <w:szCs w:val="17"/>
                <w:lang w:val="en-GB"/>
              </w:rPr>
            </w:pPr>
            <w:r w:rsidRPr="009C48DA">
              <w:rPr>
                <w:sz w:val="17"/>
                <w:szCs w:val="17"/>
                <w:lang w:val="en-GB"/>
              </w:rPr>
              <w:t>27,654</w:t>
            </w:r>
          </w:p>
        </w:tc>
      </w:tr>
      <w:tr w:rsidRPr="009C48DA" w:rsidR="0036034E" w:rsidTr="0036034E" w14:paraId="4F09200A" w14:textId="77777777">
        <w:tc>
          <w:tcPr>
            <w:tcW w:w="1772" w:type="pct"/>
            <w:shd w:val="clear" w:color="auto" w:fill="auto"/>
            <w:vAlign w:val="bottom"/>
          </w:tcPr>
          <w:p w:rsidRPr="009C48DA" w:rsidR="0036034E" w:rsidDel="008E0499" w:rsidP="0036034E" w:rsidRDefault="0036034E" w14:paraId="5DC6E9E3" w14:textId="77777777">
            <w:pPr>
              <w:tabs>
                <w:tab w:val="right" w:leader="dot" w:pos="5518"/>
              </w:tabs>
              <w:ind w:left="328"/>
              <w:rPr>
                <w:rFonts w:cs="Times New Roman"/>
                <w:b/>
                <w:sz w:val="17"/>
                <w:szCs w:val="17"/>
                <w:highlight w:val="yellow"/>
                <w:lang w:val="en-GB"/>
              </w:rPr>
            </w:pPr>
            <w:r w:rsidRPr="009C48DA">
              <w:rPr>
                <w:rFonts w:cs="Times New Roman"/>
                <w:i/>
                <w:sz w:val="17"/>
                <w:szCs w:val="17"/>
                <w:lang w:val="en-GB"/>
              </w:rPr>
              <w:t>of which: Exceptional items within EBITDA</w:t>
            </w:r>
            <w:r w:rsidRPr="009C48DA">
              <w:rPr>
                <w:rFonts w:cs="Times New Roman"/>
                <w:i/>
                <w:sz w:val="17"/>
                <w:szCs w:val="17"/>
                <w:lang w:val="en-GB"/>
              </w:rPr>
              <w:tab/>
            </w:r>
          </w:p>
        </w:tc>
        <w:tc>
          <w:tcPr>
            <w:tcW w:w="644" w:type="pct"/>
            <w:vAlign w:val="bottom"/>
          </w:tcPr>
          <w:p w:rsidRPr="009C48DA" w:rsidR="0036034E" w:rsidP="0036034E" w:rsidRDefault="0036034E" w14:paraId="33079FB5" w14:textId="77777777">
            <w:pPr>
              <w:pBdr>
                <w:bottom w:val="single" w:color="auto" w:sz="4" w:space="1"/>
              </w:pBdr>
              <w:jc w:val="right"/>
              <w:rPr>
                <w:sz w:val="17"/>
                <w:szCs w:val="17"/>
                <w:lang w:val="en-GB"/>
              </w:rPr>
            </w:pPr>
            <w:r w:rsidRPr="009C48DA">
              <w:rPr>
                <w:rFonts w:cs="Times New Roman"/>
                <w:sz w:val="17"/>
                <w:szCs w:val="17"/>
                <w:lang w:val="en-GB"/>
              </w:rPr>
              <w:t>(24,083)</w:t>
            </w:r>
          </w:p>
        </w:tc>
        <w:tc>
          <w:tcPr>
            <w:tcW w:w="645" w:type="pct"/>
            <w:vAlign w:val="bottom"/>
          </w:tcPr>
          <w:p w:rsidRPr="009C48DA" w:rsidR="0036034E" w:rsidP="0036034E" w:rsidRDefault="0036034E" w14:paraId="46869EFF" w14:textId="77777777">
            <w:pPr>
              <w:pBdr>
                <w:bottom w:val="single" w:color="auto" w:sz="4" w:space="1"/>
              </w:pBdr>
              <w:jc w:val="right"/>
              <w:rPr>
                <w:sz w:val="17"/>
                <w:szCs w:val="17"/>
                <w:lang w:val="en-GB"/>
              </w:rPr>
            </w:pPr>
            <w:r w:rsidRPr="009C48DA">
              <w:rPr>
                <w:rFonts w:cs="Times New Roman"/>
                <w:sz w:val="17"/>
                <w:szCs w:val="17"/>
                <w:lang w:val="en-GB"/>
              </w:rPr>
              <w:t>—</w:t>
            </w:r>
          </w:p>
        </w:tc>
        <w:tc>
          <w:tcPr>
            <w:tcW w:w="647" w:type="pct"/>
            <w:vAlign w:val="bottom"/>
          </w:tcPr>
          <w:p w:rsidRPr="009C48DA" w:rsidR="0036034E" w:rsidP="0036034E" w:rsidRDefault="0036034E" w14:paraId="358E77FA" w14:textId="243BFE34">
            <w:pPr>
              <w:pBdr>
                <w:bottom w:val="single" w:color="auto" w:sz="4" w:space="1"/>
              </w:pBdr>
              <w:jc w:val="right"/>
              <w:rPr>
                <w:sz w:val="17"/>
                <w:szCs w:val="17"/>
                <w:lang w:val="en-GB"/>
              </w:rPr>
            </w:pPr>
            <w:r w:rsidRPr="009C48DA">
              <w:rPr>
                <w:sz w:val="17"/>
                <w:szCs w:val="17"/>
                <w:lang w:val="en-GB"/>
              </w:rPr>
              <w:t>(7,377)</w:t>
            </w:r>
          </w:p>
        </w:tc>
        <w:tc>
          <w:tcPr>
            <w:tcW w:w="645" w:type="pct"/>
            <w:shd w:val="clear" w:color="auto" w:fill="auto"/>
            <w:vAlign w:val="bottom"/>
          </w:tcPr>
          <w:p w:rsidRPr="009C48DA" w:rsidR="0036034E" w:rsidP="0036034E" w:rsidRDefault="0036034E" w14:paraId="359D7568" w14:textId="77777777">
            <w:pPr>
              <w:pBdr>
                <w:bottom w:val="single" w:color="auto" w:sz="4" w:space="1"/>
              </w:pBdr>
              <w:jc w:val="right"/>
              <w:rPr>
                <w:b/>
                <w:sz w:val="17"/>
                <w:szCs w:val="17"/>
                <w:lang w:val="en-GB"/>
              </w:rPr>
            </w:pPr>
            <w:r w:rsidRPr="009C48DA">
              <w:rPr>
                <w:rFonts w:cs="Times New Roman"/>
                <w:sz w:val="17"/>
                <w:szCs w:val="17"/>
                <w:lang w:val="en-GB"/>
              </w:rPr>
              <w:t>—</w:t>
            </w:r>
          </w:p>
        </w:tc>
        <w:tc>
          <w:tcPr>
            <w:tcW w:w="646" w:type="pct"/>
            <w:shd w:val="clear" w:color="auto" w:fill="auto"/>
            <w:vAlign w:val="bottom"/>
          </w:tcPr>
          <w:p w:rsidRPr="009C48DA" w:rsidR="0036034E" w:rsidP="0036034E" w:rsidRDefault="0036034E" w14:paraId="74ADEA79" w14:textId="77777777">
            <w:pPr>
              <w:pBdr>
                <w:bottom w:val="single" w:color="auto" w:sz="4" w:space="1"/>
              </w:pBdr>
              <w:jc w:val="right"/>
              <w:rPr>
                <w:b/>
                <w:sz w:val="17"/>
                <w:szCs w:val="17"/>
                <w:lang w:val="en-GB"/>
              </w:rPr>
            </w:pPr>
            <w:r w:rsidRPr="009C48DA">
              <w:rPr>
                <w:rFonts w:cs="Times New Roman"/>
                <w:sz w:val="17"/>
                <w:szCs w:val="17"/>
                <w:lang w:val="en-GB"/>
              </w:rPr>
              <w:t>—</w:t>
            </w:r>
          </w:p>
        </w:tc>
      </w:tr>
      <w:tr w:rsidRPr="009C48DA" w:rsidR="0036034E" w:rsidTr="0036034E" w14:paraId="2CFAA500" w14:textId="77777777">
        <w:tc>
          <w:tcPr>
            <w:tcW w:w="1772" w:type="pct"/>
            <w:shd w:val="clear" w:color="auto" w:fill="auto"/>
            <w:vAlign w:val="bottom"/>
          </w:tcPr>
          <w:p w:rsidRPr="009C48DA" w:rsidR="0036034E" w:rsidP="0036034E" w:rsidRDefault="0036034E" w14:paraId="2C1EF1AE" w14:textId="77777777">
            <w:pPr>
              <w:tabs>
                <w:tab w:val="right" w:leader="dot" w:pos="5518"/>
              </w:tabs>
              <w:rPr>
                <w:rFonts w:cs="Times New Roman"/>
                <w:b/>
                <w:sz w:val="17"/>
                <w:szCs w:val="17"/>
                <w:highlight w:val="yellow"/>
                <w:lang w:val="en-GB"/>
              </w:rPr>
            </w:pPr>
            <w:r w:rsidRPr="009C48DA">
              <w:rPr>
                <w:rFonts w:cs="Times New Roman"/>
                <w:sz w:val="17"/>
                <w:szCs w:val="17"/>
                <w:lang w:val="en-GB"/>
              </w:rPr>
              <w:t>Depreciation and amortisation expense</w:t>
            </w:r>
            <w:r w:rsidRPr="009C48DA">
              <w:rPr>
                <w:sz w:val="17"/>
                <w:szCs w:val="17"/>
                <w:lang w:val="en-GB"/>
              </w:rPr>
              <w:tab/>
            </w:r>
          </w:p>
        </w:tc>
        <w:tc>
          <w:tcPr>
            <w:tcW w:w="644" w:type="pct"/>
            <w:vAlign w:val="bottom"/>
          </w:tcPr>
          <w:p w:rsidRPr="009C48DA" w:rsidR="0036034E" w:rsidP="0036034E" w:rsidRDefault="0036034E" w14:paraId="3A2A7614" w14:textId="77777777">
            <w:pPr>
              <w:pBdr>
                <w:bottom w:val="single" w:color="auto" w:sz="4" w:space="1"/>
              </w:pBdr>
              <w:jc w:val="right"/>
              <w:rPr>
                <w:sz w:val="17"/>
                <w:szCs w:val="17"/>
                <w:lang w:val="en-GB"/>
              </w:rPr>
            </w:pPr>
            <w:r w:rsidRPr="009C48DA">
              <w:rPr>
                <w:sz w:val="17"/>
                <w:szCs w:val="17"/>
                <w:lang w:val="en-GB"/>
              </w:rPr>
              <w:t>(6,765)</w:t>
            </w:r>
          </w:p>
        </w:tc>
        <w:tc>
          <w:tcPr>
            <w:tcW w:w="645" w:type="pct"/>
            <w:vAlign w:val="bottom"/>
          </w:tcPr>
          <w:p w:rsidRPr="009C48DA" w:rsidR="0036034E" w:rsidP="0036034E" w:rsidRDefault="0036034E" w14:paraId="0A00BD41" w14:textId="77777777">
            <w:pPr>
              <w:pBdr>
                <w:bottom w:val="single" w:color="auto" w:sz="4" w:space="1"/>
              </w:pBdr>
              <w:jc w:val="right"/>
              <w:rPr>
                <w:sz w:val="17"/>
                <w:szCs w:val="17"/>
                <w:lang w:val="en-GB"/>
              </w:rPr>
            </w:pPr>
            <w:r w:rsidRPr="009C48DA">
              <w:rPr>
                <w:sz w:val="17"/>
                <w:szCs w:val="17"/>
                <w:lang w:val="en-GB"/>
              </w:rPr>
              <w:t>(7,757)</w:t>
            </w:r>
          </w:p>
        </w:tc>
        <w:tc>
          <w:tcPr>
            <w:tcW w:w="647" w:type="pct"/>
            <w:vAlign w:val="bottom"/>
          </w:tcPr>
          <w:p w:rsidRPr="009C48DA" w:rsidR="0036034E" w:rsidP="0036034E" w:rsidRDefault="0036034E" w14:paraId="59690DE0" w14:textId="2C93E509">
            <w:pPr>
              <w:pBdr>
                <w:bottom w:val="single" w:color="auto" w:sz="4" w:space="1"/>
              </w:pBdr>
              <w:jc w:val="right"/>
              <w:rPr>
                <w:sz w:val="17"/>
                <w:szCs w:val="17"/>
                <w:lang w:val="en-GB"/>
              </w:rPr>
            </w:pPr>
            <w:r w:rsidRPr="009C48DA">
              <w:rPr>
                <w:sz w:val="17"/>
                <w:szCs w:val="17"/>
                <w:lang w:val="en-GB"/>
              </w:rPr>
              <w:t>(8,809)</w:t>
            </w:r>
          </w:p>
        </w:tc>
        <w:tc>
          <w:tcPr>
            <w:tcW w:w="645" w:type="pct"/>
            <w:shd w:val="clear" w:color="auto" w:fill="auto"/>
            <w:vAlign w:val="bottom"/>
          </w:tcPr>
          <w:p w:rsidRPr="009C48DA" w:rsidR="0036034E" w:rsidP="0036034E" w:rsidRDefault="0036034E" w14:paraId="2E462B1C" w14:textId="77777777">
            <w:pPr>
              <w:pBdr>
                <w:bottom w:val="single" w:color="auto" w:sz="4" w:space="1"/>
              </w:pBdr>
              <w:jc w:val="right"/>
              <w:rPr>
                <w:sz w:val="17"/>
                <w:szCs w:val="17"/>
                <w:lang w:val="en-GB"/>
              </w:rPr>
            </w:pPr>
            <w:r w:rsidRPr="009C48DA">
              <w:rPr>
                <w:sz w:val="17"/>
                <w:szCs w:val="17"/>
                <w:lang w:val="en-GB"/>
              </w:rPr>
              <w:t>(2,006)</w:t>
            </w:r>
          </w:p>
        </w:tc>
        <w:tc>
          <w:tcPr>
            <w:tcW w:w="646" w:type="pct"/>
            <w:shd w:val="clear" w:color="auto" w:fill="auto"/>
            <w:vAlign w:val="bottom"/>
          </w:tcPr>
          <w:p w:rsidRPr="009C48DA" w:rsidR="0036034E" w:rsidP="0036034E" w:rsidRDefault="0036034E" w14:paraId="54F097C1" w14:textId="77777777">
            <w:pPr>
              <w:pBdr>
                <w:bottom w:val="single" w:color="auto" w:sz="4" w:space="1"/>
              </w:pBdr>
              <w:jc w:val="right"/>
              <w:rPr>
                <w:sz w:val="17"/>
                <w:szCs w:val="17"/>
                <w:lang w:val="en-GB"/>
              </w:rPr>
            </w:pPr>
            <w:r w:rsidRPr="009C48DA">
              <w:rPr>
                <w:sz w:val="17"/>
                <w:szCs w:val="17"/>
                <w:lang w:val="en-GB"/>
              </w:rPr>
              <w:t>(3,181)</w:t>
            </w:r>
          </w:p>
        </w:tc>
      </w:tr>
      <w:tr w:rsidRPr="009C48DA" w:rsidR="0036034E" w:rsidTr="0036034E" w14:paraId="45792745" w14:textId="77777777">
        <w:tc>
          <w:tcPr>
            <w:tcW w:w="1772" w:type="pct"/>
            <w:shd w:val="clear" w:color="auto" w:fill="auto"/>
            <w:vAlign w:val="bottom"/>
          </w:tcPr>
          <w:p w:rsidRPr="009C48DA" w:rsidR="0036034E" w:rsidP="0036034E" w:rsidRDefault="0036034E" w14:paraId="2698BB55" w14:textId="77777777">
            <w:pPr>
              <w:tabs>
                <w:tab w:val="right" w:leader="dot" w:pos="5518"/>
              </w:tabs>
              <w:rPr>
                <w:rFonts w:cs="Times New Roman"/>
                <w:b/>
                <w:sz w:val="17"/>
                <w:szCs w:val="17"/>
                <w:lang w:val="en-GB"/>
              </w:rPr>
            </w:pPr>
            <w:r w:rsidRPr="009C48DA">
              <w:rPr>
                <w:rFonts w:cs="Times New Roman"/>
                <w:b/>
                <w:sz w:val="17"/>
                <w:szCs w:val="17"/>
                <w:lang w:val="en-GB"/>
              </w:rPr>
              <w:t xml:space="preserve">Total operating profit / (loss) </w:t>
            </w:r>
            <w:r w:rsidRPr="009C48DA">
              <w:rPr>
                <w:sz w:val="17"/>
                <w:szCs w:val="17"/>
                <w:lang w:val="en-GB"/>
              </w:rPr>
              <w:tab/>
            </w:r>
          </w:p>
        </w:tc>
        <w:tc>
          <w:tcPr>
            <w:tcW w:w="644" w:type="pct"/>
            <w:vAlign w:val="bottom"/>
          </w:tcPr>
          <w:p w:rsidRPr="009C48DA" w:rsidR="0036034E" w:rsidP="0036034E" w:rsidRDefault="0036034E" w14:paraId="4C57668C" w14:textId="77777777">
            <w:pPr>
              <w:jc w:val="right"/>
              <w:rPr>
                <w:b/>
                <w:sz w:val="17"/>
                <w:szCs w:val="17"/>
                <w:lang w:val="en-GB"/>
              </w:rPr>
            </w:pPr>
            <w:r w:rsidRPr="009C48DA">
              <w:rPr>
                <w:b/>
                <w:sz w:val="17"/>
                <w:szCs w:val="17"/>
                <w:lang w:val="en-GB"/>
              </w:rPr>
              <w:t>12,418</w:t>
            </w:r>
          </w:p>
        </w:tc>
        <w:tc>
          <w:tcPr>
            <w:tcW w:w="645" w:type="pct"/>
            <w:vAlign w:val="bottom"/>
          </w:tcPr>
          <w:p w:rsidRPr="009C48DA" w:rsidR="0036034E" w:rsidP="0036034E" w:rsidRDefault="0036034E" w14:paraId="5005EB51" w14:textId="77777777">
            <w:pPr>
              <w:jc w:val="right"/>
              <w:rPr>
                <w:b/>
                <w:sz w:val="17"/>
                <w:szCs w:val="17"/>
                <w:lang w:val="en-GB"/>
              </w:rPr>
            </w:pPr>
            <w:r w:rsidRPr="009C48DA">
              <w:rPr>
                <w:b/>
                <w:sz w:val="17"/>
                <w:szCs w:val="17"/>
                <w:lang w:val="en-GB"/>
              </w:rPr>
              <w:t>45,368</w:t>
            </w:r>
          </w:p>
        </w:tc>
        <w:tc>
          <w:tcPr>
            <w:tcW w:w="647" w:type="pct"/>
            <w:vAlign w:val="bottom"/>
          </w:tcPr>
          <w:p w:rsidRPr="009C48DA" w:rsidR="0036034E" w:rsidP="0036034E" w:rsidRDefault="0036034E" w14:paraId="0E214FD4" w14:textId="40C6636F">
            <w:pPr>
              <w:jc w:val="right"/>
              <w:rPr>
                <w:b/>
                <w:sz w:val="17"/>
                <w:szCs w:val="17"/>
                <w:lang w:val="en-GB"/>
              </w:rPr>
            </w:pPr>
            <w:r w:rsidRPr="009C48DA">
              <w:rPr>
                <w:b/>
                <w:sz w:val="17"/>
                <w:szCs w:val="17"/>
                <w:lang w:val="en-GB"/>
              </w:rPr>
              <w:t>49,889</w:t>
            </w:r>
          </w:p>
        </w:tc>
        <w:tc>
          <w:tcPr>
            <w:tcW w:w="645" w:type="pct"/>
            <w:shd w:val="clear" w:color="auto" w:fill="auto"/>
            <w:vAlign w:val="bottom"/>
          </w:tcPr>
          <w:p w:rsidRPr="009C48DA" w:rsidR="0036034E" w:rsidP="0036034E" w:rsidRDefault="0036034E" w14:paraId="2F0043D8" w14:textId="77777777">
            <w:pPr>
              <w:jc w:val="right"/>
              <w:rPr>
                <w:b/>
                <w:sz w:val="17"/>
                <w:szCs w:val="17"/>
                <w:lang w:val="en-GB"/>
              </w:rPr>
            </w:pPr>
            <w:r w:rsidRPr="009C48DA">
              <w:rPr>
                <w:b/>
                <w:sz w:val="17"/>
                <w:szCs w:val="17"/>
                <w:lang w:val="en-GB"/>
              </w:rPr>
              <w:t>(2,488)</w:t>
            </w:r>
          </w:p>
        </w:tc>
        <w:tc>
          <w:tcPr>
            <w:tcW w:w="646" w:type="pct"/>
            <w:shd w:val="clear" w:color="auto" w:fill="auto"/>
            <w:vAlign w:val="bottom"/>
          </w:tcPr>
          <w:p w:rsidRPr="009C48DA" w:rsidR="0036034E" w:rsidP="0036034E" w:rsidRDefault="0036034E" w14:paraId="3837886A" w14:textId="05EC19D9">
            <w:pPr>
              <w:jc w:val="right"/>
              <w:rPr>
                <w:b/>
                <w:sz w:val="17"/>
                <w:szCs w:val="17"/>
                <w:lang w:val="en-GB"/>
              </w:rPr>
            </w:pPr>
            <w:r w:rsidRPr="009C48DA">
              <w:rPr>
                <w:b/>
                <w:sz w:val="17"/>
                <w:szCs w:val="17"/>
                <w:lang w:val="en-GB"/>
              </w:rPr>
              <w:t>24,473</w:t>
            </w:r>
          </w:p>
        </w:tc>
      </w:tr>
      <w:tr w:rsidRPr="009C48DA" w:rsidR="0036034E" w:rsidTr="0036034E" w14:paraId="3D8DB1F4" w14:textId="77777777">
        <w:tc>
          <w:tcPr>
            <w:tcW w:w="1772" w:type="pct"/>
            <w:shd w:val="clear" w:color="auto" w:fill="auto"/>
            <w:vAlign w:val="bottom"/>
          </w:tcPr>
          <w:p w:rsidRPr="009C48DA" w:rsidR="0036034E" w:rsidP="0036034E" w:rsidRDefault="0036034E" w14:paraId="53E456F6" w14:textId="77777777">
            <w:pPr>
              <w:tabs>
                <w:tab w:val="right" w:leader="dot" w:pos="5518"/>
              </w:tabs>
              <w:rPr>
                <w:rFonts w:cs="Times New Roman"/>
                <w:sz w:val="17"/>
                <w:szCs w:val="17"/>
                <w:lang w:val="en-GB"/>
              </w:rPr>
            </w:pPr>
            <w:r w:rsidRPr="009C48DA">
              <w:rPr>
                <w:rFonts w:cs="Times New Roman"/>
                <w:sz w:val="17"/>
                <w:szCs w:val="17"/>
                <w:lang w:val="en-GB"/>
              </w:rPr>
              <w:t>Finance income</w:t>
            </w:r>
            <w:r w:rsidRPr="009C48DA">
              <w:rPr>
                <w:sz w:val="17"/>
                <w:szCs w:val="17"/>
                <w:lang w:val="en-GB"/>
              </w:rPr>
              <w:tab/>
            </w:r>
          </w:p>
        </w:tc>
        <w:tc>
          <w:tcPr>
            <w:tcW w:w="644" w:type="pct"/>
            <w:vAlign w:val="bottom"/>
          </w:tcPr>
          <w:p w:rsidRPr="009C48DA" w:rsidR="0036034E" w:rsidP="0036034E" w:rsidRDefault="0036034E" w14:paraId="79E8ED7C" w14:textId="77777777">
            <w:pPr>
              <w:jc w:val="right"/>
              <w:rPr>
                <w:sz w:val="17"/>
                <w:szCs w:val="17"/>
                <w:lang w:val="en-GB"/>
              </w:rPr>
            </w:pPr>
            <w:r w:rsidRPr="009C48DA">
              <w:rPr>
                <w:sz w:val="17"/>
                <w:szCs w:val="17"/>
                <w:lang w:val="en-GB"/>
              </w:rPr>
              <w:t>5,481</w:t>
            </w:r>
          </w:p>
        </w:tc>
        <w:tc>
          <w:tcPr>
            <w:tcW w:w="645" w:type="pct"/>
            <w:vAlign w:val="bottom"/>
          </w:tcPr>
          <w:p w:rsidRPr="009C48DA" w:rsidR="0036034E" w:rsidP="0036034E" w:rsidRDefault="0036034E" w14:paraId="77EBB13E" w14:textId="77777777">
            <w:pPr>
              <w:jc w:val="right"/>
              <w:rPr>
                <w:sz w:val="17"/>
                <w:szCs w:val="17"/>
                <w:lang w:val="en-GB"/>
              </w:rPr>
            </w:pPr>
            <w:r w:rsidRPr="009C48DA">
              <w:rPr>
                <w:sz w:val="17"/>
                <w:szCs w:val="17"/>
                <w:lang w:val="en-GB"/>
              </w:rPr>
              <w:t>7,665</w:t>
            </w:r>
          </w:p>
        </w:tc>
        <w:tc>
          <w:tcPr>
            <w:tcW w:w="647" w:type="pct"/>
            <w:vAlign w:val="bottom"/>
          </w:tcPr>
          <w:p w:rsidRPr="009C48DA" w:rsidR="0036034E" w:rsidP="0036034E" w:rsidRDefault="0036034E" w14:paraId="27FB99D3" w14:textId="77777777">
            <w:pPr>
              <w:jc w:val="right"/>
              <w:rPr>
                <w:sz w:val="17"/>
                <w:szCs w:val="17"/>
                <w:lang w:val="en-GB"/>
              </w:rPr>
            </w:pPr>
            <w:r w:rsidRPr="009C48DA">
              <w:rPr>
                <w:sz w:val="17"/>
                <w:szCs w:val="17"/>
                <w:lang w:val="en-GB"/>
              </w:rPr>
              <w:t>4,736</w:t>
            </w:r>
          </w:p>
        </w:tc>
        <w:tc>
          <w:tcPr>
            <w:tcW w:w="645" w:type="pct"/>
            <w:shd w:val="clear" w:color="auto" w:fill="auto"/>
            <w:vAlign w:val="bottom"/>
          </w:tcPr>
          <w:p w:rsidRPr="009C48DA" w:rsidR="0036034E" w:rsidP="0036034E" w:rsidRDefault="0036034E" w14:paraId="7A4908B1" w14:textId="77777777">
            <w:pPr>
              <w:jc w:val="right"/>
              <w:rPr>
                <w:sz w:val="17"/>
                <w:szCs w:val="17"/>
                <w:lang w:val="en-GB"/>
              </w:rPr>
            </w:pPr>
            <w:r w:rsidRPr="009C48DA">
              <w:rPr>
                <w:sz w:val="17"/>
                <w:szCs w:val="17"/>
                <w:lang w:val="en-GB"/>
              </w:rPr>
              <w:t>2,036</w:t>
            </w:r>
          </w:p>
        </w:tc>
        <w:tc>
          <w:tcPr>
            <w:tcW w:w="646" w:type="pct"/>
            <w:shd w:val="clear" w:color="auto" w:fill="auto"/>
            <w:vAlign w:val="bottom"/>
          </w:tcPr>
          <w:p w:rsidRPr="009C48DA" w:rsidR="0036034E" w:rsidP="0036034E" w:rsidRDefault="0036034E" w14:paraId="5EDF74B8" w14:textId="77777777">
            <w:pPr>
              <w:jc w:val="right"/>
              <w:rPr>
                <w:sz w:val="17"/>
                <w:szCs w:val="17"/>
                <w:lang w:val="en-GB"/>
              </w:rPr>
            </w:pPr>
            <w:r w:rsidRPr="009C48DA">
              <w:rPr>
                <w:sz w:val="17"/>
                <w:szCs w:val="17"/>
                <w:lang w:val="en-GB"/>
              </w:rPr>
              <w:t>754</w:t>
            </w:r>
          </w:p>
        </w:tc>
      </w:tr>
      <w:tr w:rsidRPr="009C48DA" w:rsidR="0036034E" w:rsidTr="0036034E" w14:paraId="2A83CDFD" w14:textId="77777777">
        <w:tc>
          <w:tcPr>
            <w:tcW w:w="1772" w:type="pct"/>
            <w:shd w:val="clear" w:color="auto" w:fill="auto"/>
            <w:vAlign w:val="bottom"/>
          </w:tcPr>
          <w:p w:rsidRPr="009C48DA" w:rsidR="0036034E" w:rsidP="0036034E" w:rsidRDefault="0036034E" w14:paraId="7FF0A1D2" w14:textId="77777777">
            <w:pPr>
              <w:tabs>
                <w:tab w:val="right" w:leader="dot" w:pos="5518"/>
              </w:tabs>
              <w:rPr>
                <w:rFonts w:cs="Times New Roman"/>
                <w:sz w:val="17"/>
                <w:szCs w:val="17"/>
                <w:lang w:val="en-GB"/>
              </w:rPr>
            </w:pPr>
            <w:r w:rsidRPr="009C48DA">
              <w:rPr>
                <w:rFonts w:cs="Times New Roman"/>
                <w:sz w:val="17"/>
                <w:szCs w:val="17"/>
                <w:lang w:val="en-GB"/>
              </w:rPr>
              <w:t>Finance expense</w:t>
            </w:r>
            <w:r w:rsidRPr="009C48DA">
              <w:rPr>
                <w:sz w:val="17"/>
                <w:szCs w:val="17"/>
                <w:lang w:val="en-GB"/>
              </w:rPr>
              <w:tab/>
            </w:r>
          </w:p>
        </w:tc>
        <w:tc>
          <w:tcPr>
            <w:tcW w:w="644" w:type="pct"/>
            <w:vAlign w:val="bottom"/>
          </w:tcPr>
          <w:p w:rsidRPr="009C48DA" w:rsidR="0036034E" w:rsidP="0036034E" w:rsidRDefault="0036034E" w14:paraId="4D7D00BB" w14:textId="77777777">
            <w:pPr>
              <w:pBdr>
                <w:bottom w:val="single" w:color="auto" w:sz="4" w:space="1"/>
              </w:pBdr>
              <w:jc w:val="right"/>
              <w:rPr>
                <w:sz w:val="17"/>
                <w:szCs w:val="17"/>
                <w:lang w:val="en-GB"/>
              </w:rPr>
            </w:pPr>
            <w:r w:rsidRPr="009C48DA">
              <w:rPr>
                <w:sz w:val="17"/>
                <w:szCs w:val="17"/>
                <w:lang w:val="en-GB"/>
              </w:rPr>
              <w:t>(5,358)</w:t>
            </w:r>
          </w:p>
        </w:tc>
        <w:tc>
          <w:tcPr>
            <w:tcW w:w="645" w:type="pct"/>
            <w:vAlign w:val="bottom"/>
          </w:tcPr>
          <w:p w:rsidRPr="009C48DA" w:rsidR="0036034E" w:rsidP="0036034E" w:rsidRDefault="0036034E" w14:paraId="4F91E11F" w14:textId="77777777">
            <w:pPr>
              <w:pBdr>
                <w:bottom w:val="single" w:color="auto" w:sz="4" w:space="1"/>
              </w:pBdr>
              <w:jc w:val="right"/>
              <w:rPr>
                <w:sz w:val="17"/>
                <w:szCs w:val="17"/>
                <w:lang w:val="en-GB"/>
              </w:rPr>
            </w:pPr>
            <w:r w:rsidRPr="009C48DA">
              <w:rPr>
                <w:sz w:val="17"/>
                <w:szCs w:val="17"/>
                <w:lang w:val="en-GB"/>
              </w:rPr>
              <w:t>(5,556)</w:t>
            </w:r>
          </w:p>
        </w:tc>
        <w:tc>
          <w:tcPr>
            <w:tcW w:w="647" w:type="pct"/>
            <w:vAlign w:val="bottom"/>
          </w:tcPr>
          <w:p w:rsidRPr="009C48DA" w:rsidR="0036034E" w:rsidP="0036034E" w:rsidRDefault="0036034E" w14:paraId="2A763E46" w14:textId="77777777">
            <w:pPr>
              <w:pBdr>
                <w:bottom w:val="single" w:color="auto" w:sz="4" w:space="1"/>
              </w:pBdr>
              <w:jc w:val="right"/>
              <w:rPr>
                <w:sz w:val="17"/>
                <w:szCs w:val="17"/>
                <w:lang w:val="en-GB"/>
              </w:rPr>
            </w:pPr>
            <w:r w:rsidRPr="009C48DA">
              <w:rPr>
                <w:sz w:val="17"/>
                <w:szCs w:val="17"/>
                <w:lang w:val="en-GB"/>
              </w:rPr>
              <w:t>(6,149)</w:t>
            </w:r>
          </w:p>
        </w:tc>
        <w:tc>
          <w:tcPr>
            <w:tcW w:w="645" w:type="pct"/>
            <w:shd w:val="clear" w:color="auto" w:fill="auto"/>
            <w:vAlign w:val="bottom"/>
          </w:tcPr>
          <w:p w:rsidRPr="009C48DA" w:rsidR="0036034E" w:rsidP="0036034E" w:rsidRDefault="0036034E" w14:paraId="153FDF5F" w14:textId="77777777">
            <w:pPr>
              <w:pBdr>
                <w:bottom w:val="single" w:color="auto" w:sz="4" w:space="1"/>
              </w:pBdr>
              <w:jc w:val="right"/>
              <w:rPr>
                <w:sz w:val="17"/>
                <w:szCs w:val="17"/>
                <w:lang w:val="en-GB"/>
              </w:rPr>
            </w:pPr>
            <w:r w:rsidRPr="009C48DA">
              <w:rPr>
                <w:sz w:val="17"/>
                <w:szCs w:val="17"/>
                <w:lang w:val="en-GB"/>
              </w:rPr>
              <w:t>(776)</w:t>
            </w:r>
          </w:p>
        </w:tc>
        <w:tc>
          <w:tcPr>
            <w:tcW w:w="646" w:type="pct"/>
            <w:shd w:val="clear" w:color="auto" w:fill="auto"/>
            <w:vAlign w:val="bottom"/>
          </w:tcPr>
          <w:p w:rsidRPr="009C48DA" w:rsidR="0036034E" w:rsidP="0036034E" w:rsidRDefault="0036034E" w14:paraId="4E68EE1E" w14:textId="77777777">
            <w:pPr>
              <w:pBdr>
                <w:bottom w:val="single" w:color="auto" w:sz="4" w:space="1"/>
              </w:pBdr>
              <w:jc w:val="right"/>
              <w:rPr>
                <w:sz w:val="17"/>
                <w:szCs w:val="17"/>
                <w:lang w:val="en-GB"/>
              </w:rPr>
            </w:pPr>
            <w:r w:rsidRPr="009C48DA">
              <w:rPr>
                <w:sz w:val="17"/>
                <w:szCs w:val="17"/>
                <w:lang w:val="en-GB"/>
              </w:rPr>
              <w:t>(3,887)</w:t>
            </w:r>
          </w:p>
        </w:tc>
      </w:tr>
      <w:tr w:rsidRPr="009C48DA" w:rsidR="0036034E" w:rsidTr="0036034E" w14:paraId="386FB4AE" w14:textId="77777777">
        <w:tc>
          <w:tcPr>
            <w:tcW w:w="1772" w:type="pct"/>
            <w:shd w:val="clear" w:color="auto" w:fill="auto"/>
            <w:vAlign w:val="bottom"/>
          </w:tcPr>
          <w:p w:rsidRPr="009C48DA" w:rsidR="0036034E" w:rsidP="0036034E" w:rsidRDefault="0036034E" w14:paraId="1D823BA1" w14:textId="77777777">
            <w:pPr>
              <w:tabs>
                <w:tab w:val="right" w:leader="dot" w:pos="5518"/>
              </w:tabs>
              <w:rPr>
                <w:rFonts w:cs="Times New Roman"/>
                <w:b/>
                <w:sz w:val="17"/>
                <w:szCs w:val="17"/>
                <w:lang w:val="en-GB"/>
              </w:rPr>
            </w:pPr>
            <w:r w:rsidRPr="009C48DA">
              <w:rPr>
                <w:rFonts w:cs="Times New Roman"/>
                <w:b/>
                <w:sz w:val="17"/>
                <w:szCs w:val="17"/>
                <w:lang w:val="en-GB"/>
              </w:rPr>
              <w:t>Profit / (loss) before income tax</w:t>
            </w:r>
            <w:r w:rsidRPr="009C48DA">
              <w:rPr>
                <w:sz w:val="17"/>
                <w:szCs w:val="17"/>
                <w:lang w:val="en-GB"/>
              </w:rPr>
              <w:tab/>
            </w:r>
          </w:p>
        </w:tc>
        <w:tc>
          <w:tcPr>
            <w:tcW w:w="644" w:type="pct"/>
            <w:vAlign w:val="bottom"/>
          </w:tcPr>
          <w:p w:rsidRPr="009C48DA" w:rsidR="0036034E" w:rsidP="0036034E" w:rsidRDefault="0036034E" w14:paraId="2836455D" w14:textId="77777777">
            <w:pPr>
              <w:jc w:val="right"/>
              <w:rPr>
                <w:b/>
                <w:sz w:val="17"/>
                <w:szCs w:val="17"/>
                <w:lang w:val="en-GB"/>
              </w:rPr>
            </w:pPr>
            <w:r w:rsidRPr="009C48DA">
              <w:rPr>
                <w:b/>
                <w:sz w:val="17"/>
                <w:szCs w:val="17"/>
                <w:lang w:val="en-GB"/>
              </w:rPr>
              <w:t>12,541</w:t>
            </w:r>
          </w:p>
        </w:tc>
        <w:tc>
          <w:tcPr>
            <w:tcW w:w="645" w:type="pct"/>
            <w:vAlign w:val="bottom"/>
          </w:tcPr>
          <w:p w:rsidRPr="009C48DA" w:rsidR="0036034E" w:rsidP="0036034E" w:rsidRDefault="0036034E" w14:paraId="450FCB44" w14:textId="77777777">
            <w:pPr>
              <w:jc w:val="right"/>
              <w:rPr>
                <w:b/>
                <w:sz w:val="17"/>
                <w:szCs w:val="17"/>
                <w:lang w:val="en-GB"/>
              </w:rPr>
            </w:pPr>
            <w:r w:rsidRPr="009C48DA">
              <w:rPr>
                <w:b/>
                <w:sz w:val="17"/>
                <w:szCs w:val="17"/>
                <w:lang w:val="en-GB"/>
              </w:rPr>
              <w:t>47,477</w:t>
            </w:r>
          </w:p>
        </w:tc>
        <w:tc>
          <w:tcPr>
            <w:tcW w:w="647" w:type="pct"/>
            <w:vAlign w:val="bottom"/>
          </w:tcPr>
          <w:p w:rsidRPr="009C48DA" w:rsidR="0036034E" w:rsidP="0036034E" w:rsidRDefault="0036034E" w14:paraId="09F5B850" w14:textId="4DA83E52">
            <w:pPr>
              <w:jc w:val="right"/>
              <w:rPr>
                <w:b/>
                <w:sz w:val="17"/>
                <w:szCs w:val="17"/>
                <w:lang w:val="en-GB"/>
              </w:rPr>
            </w:pPr>
            <w:r w:rsidRPr="009C48DA">
              <w:rPr>
                <w:b/>
                <w:sz w:val="17"/>
                <w:szCs w:val="17"/>
                <w:lang w:val="en-GB"/>
              </w:rPr>
              <w:t>48,476</w:t>
            </w:r>
          </w:p>
        </w:tc>
        <w:tc>
          <w:tcPr>
            <w:tcW w:w="645" w:type="pct"/>
            <w:shd w:val="clear" w:color="auto" w:fill="auto"/>
            <w:vAlign w:val="bottom"/>
          </w:tcPr>
          <w:p w:rsidRPr="009C48DA" w:rsidR="0036034E" w:rsidP="0036034E" w:rsidRDefault="0036034E" w14:paraId="32AC88EA" w14:textId="77777777">
            <w:pPr>
              <w:jc w:val="right"/>
              <w:rPr>
                <w:b/>
                <w:sz w:val="17"/>
                <w:szCs w:val="17"/>
                <w:lang w:val="en-GB"/>
              </w:rPr>
            </w:pPr>
            <w:r w:rsidRPr="009C48DA">
              <w:rPr>
                <w:b/>
                <w:sz w:val="17"/>
                <w:szCs w:val="17"/>
                <w:lang w:val="en-GB"/>
              </w:rPr>
              <w:t>(1,228)</w:t>
            </w:r>
          </w:p>
        </w:tc>
        <w:tc>
          <w:tcPr>
            <w:tcW w:w="646" w:type="pct"/>
            <w:shd w:val="clear" w:color="auto" w:fill="auto"/>
            <w:vAlign w:val="bottom"/>
          </w:tcPr>
          <w:p w:rsidRPr="009C48DA" w:rsidR="0036034E" w:rsidP="0036034E" w:rsidRDefault="0036034E" w14:paraId="200D4729" w14:textId="4A6BBB3C">
            <w:pPr>
              <w:jc w:val="right"/>
              <w:rPr>
                <w:b/>
                <w:sz w:val="17"/>
                <w:szCs w:val="17"/>
                <w:lang w:val="en-GB"/>
              </w:rPr>
            </w:pPr>
            <w:r w:rsidRPr="009C48DA">
              <w:rPr>
                <w:b/>
                <w:sz w:val="17"/>
                <w:szCs w:val="17"/>
                <w:lang w:val="en-GB"/>
              </w:rPr>
              <w:t>21,340</w:t>
            </w:r>
          </w:p>
        </w:tc>
      </w:tr>
      <w:tr w:rsidRPr="009C48DA" w:rsidR="0036034E" w:rsidTr="0036034E" w14:paraId="1027EE70" w14:textId="77777777">
        <w:tc>
          <w:tcPr>
            <w:tcW w:w="1772" w:type="pct"/>
            <w:shd w:val="clear" w:color="auto" w:fill="auto"/>
            <w:vAlign w:val="bottom"/>
          </w:tcPr>
          <w:p w:rsidRPr="009C48DA" w:rsidR="0036034E" w:rsidP="0036034E" w:rsidRDefault="0036034E" w14:paraId="30734750" w14:textId="77777777">
            <w:pPr>
              <w:tabs>
                <w:tab w:val="right" w:leader="dot" w:pos="5518"/>
              </w:tabs>
              <w:rPr>
                <w:rFonts w:cs="Times New Roman"/>
                <w:sz w:val="17"/>
                <w:szCs w:val="17"/>
                <w:lang w:val="en-GB"/>
              </w:rPr>
            </w:pPr>
            <w:r w:rsidRPr="009C48DA">
              <w:rPr>
                <w:rFonts w:cs="Times New Roman"/>
                <w:sz w:val="17"/>
                <w:szCs w:val="17"/>
                <w:lang w:val="en-GB"/>
              </w:rPr>
              <w:t>Income tax charge</w:t>
            </w:r>
            <w:r w:rsidRPr="009C48DA">
              <w:rPr>
                <w:sz w:val="17"/>
                <w:szCs w:val="17"/>
                <w:lang w:val="en-GB"/>
              </w:rPr>
              <w:tab/>
            </w:r>
          </w:p>
        </w:tc>
        <w:tc>
          <w:tcPr>
            <w:tcW w:w="644" w:type="pct"/>
            <w:vAlign w:val="bottom"/>
          </w:tcPr>
          <w:p w:rsidRPr="009C48DA" w:rsidR="0036034E" w:rsidP="0036034E" w:rsidRDefault="0036034E" w14:paraId="51838235" w14:textId="77777777">
            <w:pPr>
              <w:pBdr>
                <w:bottom w:val="single" w:color="auto" w:sz="4" w:space="1"/>
              </w:pBdr>
              <w:jc w:val="right"/>
              <w:rPr>
                <w:sz w:val="17"/>
                <w:szCs w:val="17"/>
                <w:lang w:val="en-GB"/>
              </w:rPr>
            </w:pPr>
            <w:r w:rsidRPr="009C48DA">
              <w:rPr>
                <w:sz w:val="17"/>
                <w:szCs w:val="17"/>
                <w:lang w:val="en-GB"/>
              </w:rPr>
              <w:t>(9,476)</w:t>
            </w:r>
          </w:p>
        </w:tc>
        <w:tc>
          <w:tcPr>
            <w:tcW w:w="645" w:type="pct"/>
            <w:vAlign w:val="bottom"/>
          </w:tcPr>
          <w:p w:rsidRPr="009C48DA" w:rsidR="0036034E" w:rsidP="0036034E" w:rsidRDefault="0036034E" w14:paraId="3D27034C" w14:textId="77777777">
            <w:pPr>
              <w:pBdr>
                <w:bottom w:val="single" w:color="auto" w:sz="4" w:space="1"/>
              </w:pBdr>
              <w:jc w:val="right"/>
              <w:rPr>
                <w:sz w:val="17"/>
                <w:szCs w:val="17"/>
                <w:lang w:val="en-GB"/>
              </w:rPr>
            </w:pPr>
            <w:r w:rsidRPr="009C48DA">
              <w:rPr>
                <w:sz w:val="17"/>
                <w:szCs w:val="17"/>
                <w:lang w:val="en-GB"/>
              </w:rPr>
              <w:t>(5,547)</w:t>
            </w:r>
          </w:p>
        </w:tc>
        <w:tc>
          <w:tcPr>
            <w:tcW w:w="647" w:type="pct"/>
            <w:vAlign w:val="bottom"/>
          </w:tcPr>
          <w:p w:rsidRPr="009C48DA" w:rsidR="0036034E" w:rsidP="0036034E" w:rsidRDefault="0036034E" w14:paraId="1CB63E7F" w14:textId="21FAD8C5">
            <w:pPr>
              <w:pBdr>
                <w:bottom w:val="single" w:color="auto" w:sz="4" w:space="1"/>
              </w:pBdr>
              <w:jc w:val="right"/>
              <w:rPr>
                <w:sz w:val="17"/>
                <w:szCs w:val="17"/>
                <w:lang w:val="en-GB"/>
              </w:rPr>
            </w:pPr>
            <w:r w:rsidRPr="009C48DA">
              <w:rPr>
                <w:sz w:val="17"/>
                <w:szCs w:val="17"/>
                <w:lang w:val="en-GB"/>
              </w:rPr>
              <w:t>(805)</w:t>
            </w:r>
          </w:p>
        </w:tc>
        <w:tc>
          <w:tcPr>
            <w:tcW w:w="645" w:type="pct"/>
            <w:shd w:val="clear" w:color="auto" w:fill="auto"/>
            <w:vAlign w:val="bottom"/>
          </w:tcPr>
          <w:p w:rsidRPr="009C48DA" w:rsidR="0036034E" w:rsidP="0036034E" w:rsidRDefault="0036034E" w14:paraId="16885758" w14:textId="77777777">
            <w:pPr>
              <w:pBdr>
                <w:bottom w:val="single" w:color="auto" w:sz="4" w:space="1"/>
              </w:pBdr>
              <w:jc w:val="right"/>
              <w:rPr>
                <w:sz w:val="17"/>
                <w:szCs w:val="17"/>
                <w:lang w:val="en-GB"/>
              </w:rPr>
            </w:pPr>
            <w:r w:rsidRPr="009C48DA">
              <w:rPr>
                <w:sz w:val="17"/>
                <w:szCs w:val="17"/>
                <w:lang w:val="en-GB"/>
              </w:rPr>
              <w:t>(253)</w:t>
            </w:r>
          </w:p>
        </w:tc>
        <w:tc>
          <w:tcPr>
            <w:tcW w:w="646" w:type="pct"/>
            <w:shd w:val="clear" w:color="auto" w:fill="auto"/>
            <w:vAlign w:val="bottom"/>
          </w:tcPr>
          <w:p w:rsidRPr="009C48DA" w:rsidR="0036034E" w:rsidP="0036034E" w:rsidRDefault="0036034E" w14:paraId="078B9035" w14:textId="77777777">
            <w:pPr>
              <w:pBdr>
                <w:bottom w:val="single" w:color="auto" w:sz="4" w:space="1"/>
              </w:pBdr>
              <w:jc w:val="right"/>
              <w:rPr>
                <w:sz w:val="17"/>
                <w:szCs w:val="17"/>
                <w:lang w:val="en-GB"/>
              </w:rPr>
            </w:pPr>
            <w:r w:rsidRPr="009C48DA">
              <w:rPr>
                <w:sz w:val="17"/>
                <w:szCs w:val="17"/>
                <w:lang w:val="en-GB"/>
              </w:rPr>
              <w:t>(2,668)</w:t>
            </w:r>
          </w:p>
        </w:tc>
      </w:tr>
      <w:tr w:rsidRPr="009C48DA" w:rsidR="0036034E" w:rsidTr="0036034E" w14:paraId="31183835" w14:textId="77777777">
        <w:tc>
          <w:tcPr>
            <w:tcW w:w="1772" w:type="pct"/>
            <w:shd w:val="clear" w:color="auto" w:fill="auto"/>
            <w:vAlign w:val="bottom"/>
          </w:tcPr>
          <w:p w:rsidRPr="009C48DA" w:rsidR="0036034E" w:rsidP="0036034E" w:rsidRDefault="0036034E" w14:paraId="66F30677" w14:textId="7C3DCA23">
            <w:pPr>
              <w:tabs>
                <w:tab w:val="right" w:leader="dot" w:pos="5518"/>
              </w:tabs>
              <w:rPr>
                <w:rFonts w:cs="Times New Roman"/>
                <w:b/>
                <w:sz w:val="17"/>
                <w:szCs w:val="17"/>
                <w:lang w:val="en-GB"/>
              </w:rPr>
            </w:pPr>
            <w:r w:rsidRPr="009C48DA">
              <w:rPr>
                <w:rFonts w:cs="Times New Roman"/>
                <w:b/>
                <w:sz w:val="17"/>
                <w:szCs w:val="17"/>
                <w:lang w:val="en-GB"/>
              </w:rPr>
              <w:t>Profit / (loss) after income tax</w:t>
            </w:r>
            <w:r w:rsidRPr="009C48DA" w:rsidR="00E4072D">
              <w:rPr>
                <w:sz w:val="17"/>
                <w:szCs w:val="17"/>
                <w:lang w:val="en-GB"/>
              </w:rPr>
              <w:tab/>
            </w:r>
          </w:p>
        </w:tc>
        <w:tc>
          <w:tcPr>
            <w:tcW w:w="644" w:type="pct"/>
            <w:vAlign w:val="bottom"/>
          </w:tcPr>
          <w:p w:rsidRPr="009C48DA" w:rsidR="0036034E" w:rsidP="0036034E" w:rsidRDefault="0036034E" w14:paraId="144C03E3" w14:textId="77777777">
            <w:pPr>
              <w:pBdr>
                <w:bottom w:val="double" w:color="auto" w:sz="4" w:space="1"/>
              </w:pBdr>
              <w:jc w:val="right"/>
              <w:rPr>
                <w:b/>
                <w:sz w:val="17"/>
                <w:szCs w:val="17"/>
                <w:lang w:val="en-GB"/>
              </w:rPr>
            </w:pPr>
            <w:r w:rsidRPr="009C48DA">
              <w:rPr>
                <w:b/>
                <w:sz w:val="17"/>
                <w:szCs w:val="17"/>
                <w:lang w:val="en-GB"/>
              </w:rPr>
              <w:t>3,065</w:t>
            </w:r>
          </w:p>
        </w:tc>
        <w:tc>
          <w:tcPr>
            <w:tcW w:w="645" w:type="pct"/>
            <w:vAlign w:val="bottom"/>
          </w:tcPr>
          <w:p w:rsidRPr="009C48DA" w:rsidR="0036034E" w:rsidP="0036034E" w:rsidRDefault="0036034E" w14:paraId="433DCA38" w14:textId="77777777">
            <w:pPr>
              <w:pBdr>
                <w:bottom w:val="double" w:color="auto" w:sz="4" w:space="1"/>
              </w:pBdr>
              <w:jc w:val="right"/>
              <w:rPr>
                <w:b/>
                <w:sz w:val="17"/>
                <w:szCs w:val="17"/>
                <w:lang w:val="en-GB"/>
              </w:rPr>
            </w:pPr>
            <w:r w:rsidRPr="009C48DA">
              <w:rPr>
                <w:b/>
                <w:sz w:val="17"/>
                <w:szCs w:val="17"/>
                <w:lang w:val="en-GB"/>
              </w:rPr>
              <w:t>41,930</w:t>
            </w:r>
          </w:p>
        </w:tc>
        <w:tc>
          <w:tcPr>
            <w:tcW w:w="647" w:type="pct"/>
            <w:vAlign w:val="bottom"/>
          </w:tcPr>
          <w:p w:rsidRPr="009C48DA" w:rsidR="0036034E" w:rsidP="0036034E" w:rsidRDefault="0036034E" w14:paraId="3483AD5F" w14:textId="2F5ACD97">
            <w:pPr>
              <w:pBdr>
                <w:bottom w:val="double" w:color="auto" w:sz="4" w:space="1"/>
              </w:pBdr>
              <w:jc w:val="right"/>
              <w:rPr>
                <w:b/>
                <w:sz w:val="17"/>
                <w:szCs w:val="17"/>
                <w:lang w:val="en-GB"/>
              </w:rPr>
            </w:pPr>
            <w:r w:rsidRPr="009C48DA">
              <w:rPr>
                <w:b/>
                <w:sz w:val="17"/>
                <w:szCs w:val="17"/>
                <w:lang w:val="en-GB"/>
              </w:rPr>
              <w:t>47,671</w:t>
            </w:r>
          </w:p>
        </w:tc>
        <w:tc>
          <w:tcPr>
            <w:tcW w:w="645" w:type="pct"/>
            <w:shd w:val="clear" w:color="auto" w:fill="auto"/>
            <w:vAlign w:val="bottom"/>
          </w:tcPr>
          <w:p w:rsidRPr="009C48DA" w:rsidR="0036034E" w:rsidP="0036034E" w:rsidRDefault="0036034E" w14:paraId="3A9EE5FC" w14:textId="77777777">
            <w:pPr>
              <w:pBdr>
                <w:bottom w:val="double" w:color="auto" w:sz="4" w:space="1"/>
              </w:pBdr>
              <w:jc w:val="right"/>
              <w:rPr>
                <w:b/>
                <w:sz w:val="17"/>
                <w:szCs w:val="17"/>
                <w:lang w:val="en-GB"/>
              </w:rPr>
            </w:pPr>
            <w:r w:rsidRPr="009C48DA">
              <w:rPr>
                <w:b/>
                <w:sz w:val="17"/>
                <w:szCs w:val="17"/>
                <w:lang w:val="en-GB"/>
              </w:rPr>
              <w:t>(1,481)</w:t>
            </w:r>
          </w:p>
        </w:tc>
        <w:tc>
          <w:tcPr>
            <w:tcW w:w="646" w:type="pct"/>
            <w:shd w:val="clear" w:color="auto" w:fill="auto"/>
            <w:vAlign w:val="bottom"/>
          </w:tcPr>
          <w:p w:rsidRPr="009C48DA" w:rsidR="0036034E" w:rsidP="0036034E" w:rsidRDefault="0036034E" w14:paraId="7CE9D188" w14:textId="65BF45DA">
            <w:pPr>
              <w:pBdr>
                <w:bottom w:val="double" w:color="auto" w:sz="4" w:space="1"/>
              </w:pBdr>
              <w:jc w:val="right"/>
              <w:rPr>
                <w:b/>
                <w:sz w:val="17"/>
                <w:szCs w:val="17"/>
                <w:lang w:val="en-GB"/>
              </w:rPr>
            </w:pPr>
            <w:r w:rsidRPr="009C48DA">
              <w:rPr>
                <w:b/>
                <w:sz w:val="17"/>
                <w:szCs w:val="17"/>
                <w:lang w:val="en-GB"/>
              </w:rPr>
              <w:t>18,672</w:t>
            </w:r>
          </w:p>
        </w:tc>
      </w:tr>
      <w:tr w:rsidRPr="009C48DA" w:rsidR="0036034E" w:rsidTr="0036034E" w14:paraId="161CAB22" w14:textId="77777777">
        <w:tc>
          <w:tcPr>
            <w:tcW w:w="1772" w:type="pct"/>
            <w:shd w:val="clear" w:color="auto" w:fill="auto"/>
            <w:vAlign w:val="bottom"/>
          </w:tcPr>
          <w:p w:rsidRPr="009C48DA" w:rsidR="0036034E" w:rsidP="0036034E" w:rsidRDefault="0036034E" w14:paraId="09310F04" w14:textId="77777777">
            <w:pPr>
              <w:tabs>
                <w:tab w:val="right" w:leader="dot" w:pos="5518"/>
              </w:tabs>
              <w:rPr>
                <w:rFonts w:cs="Times New Roman"/>
                <w:b/>
                <w:sz w:val="17"/>
                <w:szCs w:val="17"/>
                <w:lang w:val="en-GB"/>
              </w:rPr>
            </w:pPr>
          </w:p>
          <w:p w:rsidRPr="009C48DA" w:rsidR="0036034E" w:rsidP="0036034E" w:rsidRDefault="0036034E" w14:paraId="3A19C40D" w14:textId="77777777">
            <w:pPr>
              <w:tabs>
                <w:tab w:val="right" w:leader="dot" w:pos="5518"/>
              </w:tabs>
              <w:rPr>
                <w:rFonts w:cs="Times New Roman"/>
                <w:b/>
                <w:sz w:val="17"/>
                <w:szCs w:val="17"/>
                <w:lang w:val="en-GB"/>
              </w:rPr>
            </w:pPr>
            <w:r w:rsidRPr="009C48DA">
              <w:rPr>
                <w:rFonts w:cs="Times New Roman"/>
                <w:b/>
                <w:sz w:val="17"/>
                <w:szCs w:val="17"/>
                <w:lang w:val="en-GB"/>
              </w:rPr>
              <w:t>Attributable to:</w:t>
            </w:r>
          </w:p>
        </w:tc>
        <w:tc>
          <w:tcPr>
            <w:tcW w:w="644" w:type="pct"/>
            <w:vAlign w:val="bottom"/>
          </w:tcPr>
          <w:p w:rsidRPr="009C48DA" w:rsidR="0036034E" w:rsidP="0036034E" w:rsidRDefault="0036034E" w14:paraId="0982F806" w14:textId="77777777">
            <w:pPr>
              <w:jc w:val="right"/>
              <w:rPr>
                <w:b/>
                <w:sz w:val="17"/>
                <w:szCs w:val="17"/>
                <w:lang w:val="en-GB"/>
              </w:rPr>
            </w:pPr>
          </w:p>
        </w:tc>
        <w:tc>
          <w:tcPr>
            <w:tcW w:w="645" w:type="pct"/>
            <w:vAlign w:val="bottom"/>
          </w:tcPr>
          <w:p w:rsidRPr="009C48DA" w:rsidR="0036034E" w:rsidP="0036034E" w:rsidRDefault="0036034E" w14:paraId="0071B4BB" w14:textId="77777777">
            <w:pPr>
              <w:jc w:val="right"/>
              <w:rPr>
                <w:b/>
                <w:sz w:val="17"/>
                <w:szCs w:val="17"/>
                <w:lang w:val="en-GB"/>
              </w:rPr>
            </w:pPr>
          </w:p>
        </w:tc>
        <w:tc>
          <w:tcPr>
            <w:tcW w:w="647" w:type="pct"/>
            <w:vAlign w:val="bottom"/>
          </w:tcPr>
          <w:p w:rsidRPr="009C48DA" w:rsidR="0036034E" w:rsidP="0036034E" w:rsidRDefault="0036034E" w14:paraId="252F2667" w14:textId="77777777">
            <w:pPr>
              <w:jc w:val="right"/>
              <w:rPr>
                <w:b/>
                <w:sz w:val="17"/>
                <w:szCs w:val="17"/>
                <w:lang w:val="en-GB"/>
              </w:rPr>
            </w:pPr>
          </w:p>
        </w:tc>
        <w:tc>
          <w:tcPr>
            <w:tcW w:w="645" w:type="pct"/>
            <w:shd w:val="clear" w:color="auto" w:fill="auto"/>
            <w:vAlign w:val="bottom"/>
          </w:tcPr>
          <w:p w:rsidRPr="009C48DA" w:rsidR="0036034E" w:rsidP="0036034E" w:rsidRDefault="0036034E" w14:paraId="1CE1074D" w14:textId="77777777">
            <w:pPr>
              <w:jc w:val="right"/>
              <w:rPr>
                <w:b/>
                <w:sz w:val="17"/>
                <w:szCs w:val="17"/>
                <w:lang w:val="en-GB"/>
              </w:rPr>
            </w:pPr>
          </w:p>
        </w:tc>
        <w:tc>
          <w:tcPr>
            <w:tcW w:w="646" w:type="pct"/>
            <w:shd w:val="clear" w:color="auto" w:fill="auto"/>
            <w:vAlign w:val="bottom"/>
          </w:tcPr>
          <w:p w:rsidRPr="009C48DA" w:rsidR="0036034E" w:rsidP="0036034E" w:rsidRDefault="0036034E" w14:paraId="7FE1D7B1" w14:textId="77777777">
            <w:pPr>
              <w:jc w:val="right"/>
              <w:rPr>
                <w:b/>
                <w:sz w:val="17"/>
                <w:szCs w:val="17"/>
                <w:lang w:val="en-GB"/>
              </w:rPr>
            </w:pPr>
          </w:p>
        </w:tc>
      </w:tr>
      <w:tr w:rsidRPr="009C48DA" w:rsidR="0036034E" w:rsidTr="0036034E" w14:paraId="7115BC76" w14:textId="77777777">
        <w:tc>
          <w:tcPr>
            <w:tcW w:w="1772" w:type="pct"/>
            <w:shd w:val="clear" w:color="auto" w:fill="auto"/>
            <w:vAlign w:val="bottom"/>
          </w:tcPr>
          <w:p w:rsidRPr="009C48DA" w:rsidR="0036034E" w:rsidP="0036034E" w:rsidRDefault="0036034E" w14:paraId="64DE02F4" w14:textId="77777777">
            <w:pPr>
              <w:tabs>
                <w:tab w:val="right" w:leader="dot" w:pos="5518"/>
              </w:tabs>
              <w:rPr>
                <w:rFonts w:cs="Times New Roman"/>
                <w:sz w:val="17"/>
                <w:szCs w:val="17"/>
                <w:lang w:val="en-GB"/>
              </w:rPr>
            </w:pPr>
            <w:r w:rsidRPr="009C48DA">
              <w:rPr>
                <w:rFonts w:cs="Times New Roman"/>
                <w:sz w:val="17"/>
                <w:szCs w:val="17"/>
                <w:lang w:val="en-GB"/>
              </w:rPr>
              <w:t>Equity holders of the parent</w:t>
            </w:r>
            <w:r w:rsidRPr="009C48DA">
              <w:rPr>
                <w:rFonts w:cs="Times New Roman"/>
                <w:i/>
                <w:sz w:val="17"/>
                <w:szCs w:val="17"/>
                <w:lang w:val="en-GB"/>
              </w:rPr>
              <w:tab/>
            </w:r>
          </w:p>
        </w:tc>
        <w:tc>
          <w:tcPr>
            <w:tcW w:w="644" w:type="pct"/>
            <w:vAlign w:val="bottom"/>
          </w:tcPr>
          <w:p w:rsidRPr="009C48DA" w:rsidR="0036034E" w:rsidP="0036034E" w:rsidRDefault="0036034E" w14:paraId="34242F0C" w14:textId="75E7A611">
            <w:pPr>
              <w:jc w:val="right"/>
              <w:rPr>
                <w:sz w:val="17"/>
                <w:szCs w:val="17"/>
                <w:lang w:val="en-GB"/>
              </w:rPr>
            </w:pPr>
            <w:r w:rsidRPr="009C48DA">
              <w:rPr>
                <w:sz w:val="17"/>
                <w:szCs w:val="17"/>
                <w:lang w:val="en-GB"/>
              </w:rPr>
              <w:t>(4,659)</w:t>
            </w:r>
          </w:p>
        </w:tc>
        <w:tc>
          <w:tcPr>
            <w:tcW w:w="645" w:type="pct"/>
            <w:vAlign w:val="bottom"/>
          </w:tcPr>
          <w:p w:rsidRPr="009C48DA" w:rsidR="0036034E" w:rsidP="0036034E" w:rsidRDefault="0036034E" w14:paraId="6B2DA21E" w14:textId="52DACD44">
            <w:pPr>
              <w:jc w:val="right"/>
              <w:rPr>
                <w:sz w:val="17"/>
                <w:szCs w:val="17"/>
                <w:lang w:val="en-GB"/>
              </w:rPr>
            </w:pPr>
            <w:r w:rsidRPr="009C48DA">
              <w:rPr>
                <w:sz w:val="17"/>
                <w:szCs w:val="17"/>
                <w:lang w:val="en-GB"/>
              </w:rPr>
              <w:t>28,901</w:t>
            </w:r>
          </w:p>
        </w:tc>
        <w:tc>
          <w:tcPr>
            <w:tcW w:w="647" w:type="pct"/>
            <w:vAlign w:val="bottom"/>
          </w:tcPr>
          <w:p w:rsidRPr="009C48DA" w:rsidR="0036034E" w:rsidP="0036034E" w:rsidRDefault="0036034E" w14:paraId="50B15308" w14:textId="2F01838B">
            <w:pPr>
              <w:jc w:val="right"/>
              <w:rPr>
                <w:sz w:val="17"/>
                <w:szCs w:val="17"/>
                <w:lang w:val="en-GB"/>
              </w:rPr>
            </w:pPr>
            <w:r w:rsidRPr="009C48DA">
              <w:rPr>
                <w:sz w:val="17"/>
                <w:szCs w:val="17"/>
                <w:lang w:val="en-GB"/>
              </w:rPr>
              <w:t>36,481</w:t>
            </w:r>
          </w:p>
        </w:tc>
        <w:tc>
          <w:tcPr>
            <w:tcW w:w="645" w:type="pct"/>
            <w:shd w:val="clear" w:color="auto" w:fill="auto"/>
            <w:vAlign w:val="bottom"/>
          </w:tcPr>
          <w:p w:rsidRPr="009C48DA" w:rsidR="0036034E" w:rsidP="0036034E" w:rsidRDefault="0036034E" w14:paraId="3DCB36BE" w14:textId="77777777">
            <w:pPr>
              <w:jc w:val="right"/>
              <w:rPr>
                <w:sz w:val="17"/>
                <w:szCs w:val="17"/>
                <w:lang w:val="en-GB"/>
              </w:rPr>
            </w:pPr>
            <w:r w:rsidRPr="009C48DA">
              <w:rPr>
                <w:sz w:val="17"/>
                <w:szCs w:val="17"/>
                <w:lang w:val="en-GB"/>
              </w:rPr>
              <w:t>2,647</w:t>
            </w:r>
          </w:p>
        </w:tc>
        <w:tc>
          <w:tcPr>
            <w:tcW w:w="646" w:type="pct"/>
            <w:shd w:val="clear" w:color="auto" w:fill="auto"/>
            <w:vAlign w:val="bottom"/>
          </w:tcPr>
          <w:p w:rsidRPr="009C48DA" w:rsidR="0036034E" w:rsidP="0036034E" w:rsidRDefault="0036034E" w14:paraId="37FFF2E3" w14:textId="68203D2A">
            <w:pPr>
              <w:jc w:val="right"/>
              <w:rPr>
                <w:sz w:val="17"/>
                <w:szCs w:val="17"/>
                <w:lang w:val="en-GB"/>
              </w:rPr>
            </w:pPr>
            <w:r w:rsidRPr="009C48DA">
              <w:rPr>
                <w:sz w:val="17"/>
                <w:szCs w:val="17"/>
                <w:lang w:val="en-GB"/>
              </w:rPr>
              <w:t>14,448</w:t>
            </w:r>
          </w:p>
        </w:tc>
      </w:tr>
      <w:tr w:rsidRPr="009C48DA" w:rsidR="0036034E" w:rsidTr="0036034E" w14:paraId="2ADCF3F5" w14:textId="77777777">
        <w:tc>
          <w:tcPr>
            <w:tcW w:w="1772" w:type="pct"/>
            <w:shd w:val="clear" w:color="auto" w:fill="auto"/>
            <w:vAlign w:val="bottom"/>
          </w:tcPr>
          <w:p w:rsidRPr="009C48DA" w:rsidR="0036034E" w:rsidP="0036034E" w:rsidRDefault="0036034E" w14:paraId="69EBFE70" w14:textId="77777777">
            <w:pPr>
              <w:tabs>
                <w:tab w:val="right" w:leader="dot" w:pos="5518"/>
              </w:tabs>
              <w:rPr>
                <w:rFonts w:cs="Times New Roman"/>
                <w:sz w:val="17"/>
                <w:szCs w:val="17"/>
                <w:lang w:val="en-GB"/>
              </w:rPr>
            </w:pPr>
            <w:r w:rsidRPr="009C48DA">
              <w:rPr>
                <w:rFonts w:cs="Times New Roman"/>
                <w:sz w:val="17"/>
                <w:szCs w:val="17"/>
                <w:lang w:val="en-GB"/>
              </w:rPr>
              <w:t>Non-controlling interests</w:t>
            </w:r>
            <w:r w:rsidRPr="009C48DA">
              <w:rPr>
                <w:rFonts w:cs="Times New Roman"/>
                <w:i/>
                <w:sz w:val="17"/>
                <w:szCs w:val="17"/>
                <w:lang w:val="en-GB"/>
              </w:rPr>
              <w:tab/>
            </w:r>
          </w:p>
        </w:tc>
        <w:tc>
          <w:tcPr>
            <w:tcW w:w="644" w:type="pct"/>
            <w:vAlign w:val="bottom"/>
          </w:tcPr>
          <w:p w:rsidRPr="009C48DA" w:rsidR="0036034E" w:rsidP="0036034E" w:rsidRDefault="0036034E" w14:paraId="1D8D0D65" w14:textId="37D77403">
            <w:pPr>
              <w:pBdr>
                <w:bottom w:val="single" w:color="auto" w:sz="4" w:space="1"/>
              </w:pBdr>
              <w:jc w:val="right"/>
              <w:rPr>
                <w:sz w:val="17"/>
                <w:szCs w:val="17"/>
                <w:lang w:val="en-GB"/>
              </w:rPr>
            </w:pPr>
            <w:r w:rsidRPr="009C48DA">
              <w:rPr>
                <w:sz w:val="17"/>
                <w:szCs w:val="17"/>
                <w:lang w:val="en-GB"/>
              </w:rPr>
              <w:t>7,724</w:t>
            </w:r>
          </w:p>
        </w:tc>
        <w:tc>
          <w:tcPr>
            <w:tcW w:w="645" w:type="pct"/>
            <w:vAlign w:val="bottom"/>
          </w:tcPr>
          <w:p w:rsidRPr="009C48DA" w:rsidR="0036034E" w:rsidP="0036034E" w:rsidRDefault="0036034E" w14:paraId="47479516" w14:textId="5F8A6550">
            <w:pPr>
              <w:pBdr>
                <w:bottom w:val="single" w:color="auto" w:sz="4" w:space="1"/>
              </w:pBdr>
              <w:jc w:val="right"/>
              <w:rPr>
                <w:sz w:val="17"/>
                <w:szCs w:val="17"/>
                <w:lang w:val="en-GB"/>
              </w:rPr>
            </w:pPr>
            <w:r w:rsidRPr="009C48DA">
              <w:rPr>
                <w:sz w:val="17"/>
                <w:szCs w:val="17"/>
                <w:lang w:val="en-GB"/>
              </w:rPr>
              <w:t>13,029</w:t>
            </w:r>
          </w:p>
        </w:tc>
        <w:tc>
          <w:tcPr>
            <w:tcW w:w="647" w:type="pct"/>
            <w:vAlign w:val="bottom"/>
          </w:tcPr>
          <w:p w:rsidRPr="009C48DA" w:rsidR="0036034E" w:rsidP="0036034E" w:rsidRDefault="0036034E" w14:paraId="202F4C14" w14:textId="5B5DA02D">
            <w:pPr>
              <w:pBdr>
                <w:bottom w:val="single" w:color="auto" w:sz="4" w:space="1"/>
              </w:pBdr>
              <w:jc w:val="right"/>
              <w:rPr>
                <w:sz w:val="17"/>
                <w:szCs w:val="17"/>
                <w:lang w:val="en-GB"/>
              </w:rPr>
            </w:pPr>
            <w:r w:rsidRPr="009C48DA">
              <w:rPr>
                <w:sz w:val="17"/>
                <w:szCs w:val="17"/>
                <w:lang w:val="en-GB"/>
              </w:rPr>
              <w:t>11,190</w:t>
            </w:r>
          </w:p>
        </w:tc>
        <w:tc>
          <w:tcPr>
            <w:tcW w:w="645" w:type="pct"/>
            <w:shd w:val="clear" w:color="auto" w:fill="auto"/>
            <w:vAlign w:val="bottom"/>
          </w:tcPr>
          <w:p w:rsidRPr="009C48DA" w:rsidR="0036034E" w:rsidP="0036034E" w:rsidRDefault="0036034E" w14:paraId="518661FF" w14:textId="77777777">
            <w:pPr>
              <w:pBdr>
                <w:bottom w:val="single" w:color="auto" w:sz="4" w:space="1"/>
              </w:pBdr>
              <w:jc w:val="right"/>
              <w:rPr>
                <w:sz w:val="17"/>
                <w:szCs w:val="17"/>
                <w:lang w:val="en-GB"/>
              </w:rPr>
            </w:pPr>
            <w:r w:rsidRPr="009C48DA">
              <w:rPr>
                <w:sz w:val="17"/>
                <w:szCs w:val="17"/>
                <w:lang w:val="en-GB"/>
              </w:rPr>
              <w:t>(4,128)</w:t>
            </w:r>
          </w:p>
        </w:tc>
        <w:tc>
          <w:tcPr>
            <w:tcW w:w="646" w:type="pct"/>
            <w:shd w:val="clear" w:color="auto" w:fill="auto"/>
            <w:vAlign w:val="bottom"/>
          </w:tcPr>
          <w:p w:rsidRPr="009C48DA" w:rsidR="0036034E" w:rsidP="0036034E" w:rsidRDefault="0036034E" w14:paraId="2B6A5F76" w14:textId="31D6D0B0">
            <w:pPr>
              <w:pBdr>
                <w:bottom w:val="single" w:color="auto" w:sz="4" w:space="1"/>
              </w:pBdr>
              <w:jc w:val="right"/>
              <w:rPr>
                <w:sz w:val="17"/>
                <w:szCs w:val="17"/>
                <w:lang w:val="en-GB"/>
              </w:rPr>
            </w:pPr>
            <w:r w:rsidRPr="009C48DA">
              <w:rPr>
                <w:sz w:val="17"/>
                <w:szCs w:val="17"/>
                <w:lang w:val="en-GB"/>
              </w:rPr>
              <w:t>4,224</w:t>
            </w:r>
          </w:p>
        </w:tc>
      </w:tr>
      <w:tr w:rsidRPr="009C48DA" w:rsidR="0036034E" w:rsidTr="0036034E" w14:paraId="79C5DDA0" w14:textId="77777777">
        <w:tc>
          <w:tcPr>
            <w:tcW w:w="1772" w:type="pct"/>
            <w:shd w:val="clear" w:color="auto" w:fill="auto"/>
            <w:vAlign w:val="bottom"/>
          </w:tcPr>
          <w:p w:rsidRPr="009C48DA" w:rsidR="0036034E" w:rsidP="0036034E" w:rsidRDefault="0036034E" w14:paraId="7987B96B" w14:textId="77777777">
            <w:pPr>
              <w:tabs>
                <w:tab w:val="right" w:leader="dot" w:pos="5518"/>
              </w:tabs>
              <w:rPr>
                <w:rFonts w:cs="Times New Roman"/>
                <w:sz w:val="17"/>
                <w:szCs w:val="17"/>
                <w:lang w:val="en-GB"/>
              </w:rPr>
            </w:pPr>
          </w:p>
        </w:tc>
        <w:tc>
          <w:tcPr>
            <w:tcW w:w="644" w:type="pct"/>
            <w:vAlign w:val="bottom"/>
          </w:tcPr>
          <w:p w:rsidRPr="009C48DA" w:rsidR="0036034E" w:rsidP="0036034E" w:rsidRDefault="0036034E" w14:paraId="66E13FA5" w14:textId="77777777">
            <w:pPr>
              <w:pBdr>
                <w:bottom w:val="double" w:color="auto" w:sz="4" w:space="1"/>
              </w:pBdr>
              <w:jc w:val="right"/>
              <w:rPr>
                <w:sz w:val="17"/>
                <w:szCs w:val="17"/>
                <w:lang w:val="en-GB"/>
              </w:rPr>
            </w:pPr>
            <w:r w:rsidRPr="009C48DA">
              <w:rPr>
                <w:sz w:val="17"/>
                <w:szCs w:val="17"/>
                <w:lang w:val="en-GB"/>
              </w:rPr>
              <w:t>3,065</w:t>
            </w:r>
          </w:p>
        </w:tc>
        <w:tc>
          <w:tcPr>
            <w:tcW w:w="645" w:type="pct"/>
            <w:vAlign w:val="bottom"/>
          </w:tcPr>
          <w:p w:rsidRPr="009C48DA" w:rsidR="0036034E" w:rsidP="0036034E" w:rsidRDefault="0036034E" w14:paraId="6A538DDB" w14:textId="77777777">
            <w:pPr>
              <w:pBdr>
                <w:bottom w:val="double" w:color="auto" w:sz="4" w:space="1"/>
              </w:pBdr>
              <w:jc w:val="right"/>
              <w:rPr>
                <w:sz w:val="17"/>
                <w:szCs w:val="17"/>
                <w:lang w:val="en-GB"/>
              </w:rPr>
            </w:pPr>
            <w:r w:rsidRPr="009C48DA">
              <w:rPr>
                <w:sz w:val="17"/>
                <w:szCs w:val="17"/>
                <w:lang w:val="en-GB"/>
              </w:rPr>
              <w:t>41,930</w:t>
            </w:r>
          </w:p>
        </w:tc>
        <w:tc>
          <w:tcPr>
            <w:tcW w:w="647" w:type="pct"/>
            <w:vAlign w:val="bottom"/>
          </w:tcPr>
          <w:p w:rsidRPr="009C48DA" w:rsidR="0036034E" w:rsidP="0036034E" w:rsidRDefault="0036034E" w14:paraId="2276007F" w14:textId="1910D0D3">
            <w:pPr>
              <w:pBdr>
                <w:bottom w:val="double" w:color="auto" w:sz="4" w:space="1"/>
              </w:pBdr>
              <w:jc w:val="right"/>
              <w:rPr>
                <w:sz w:val="17"/>
                <w:szCs w:val="17"/>
                <w:lang w:val="en-GB"/>
              </w:rPr>
            </w:pPr>
            <w:r w:rsidRPr="009C48DA">
              <w:rPr>
                <w:sz w:val="17"/>
                <w:szCs w:val="17"/>
                <w:lang w:val="en-GB"/>
              </w:rPr>
              <w:t>47,671</w:t>
            </w:r>
          </w:p>
        </w:tc>
        <w:tc>
          <w:tcPr>
            <w:tcW w:w="645" w:type="pct"/>
            <w:shd w:val="clear" w:color="auto" w:fill="auto"/>
            <w:vAlign w:val="bottom"/>
          </w:tcPr>
          <w:p w:rsidRPr="009C48DA" w:rsidR="0036034E" w:rsidP="0036034E" w:rsidRDefault="0036034E" w14:paraId="23FDDE3B" w14:textId="77777777">
            <w:pPr>
              <w:pBdr>
                <w:bottom w:val="double" w:color="auto" w:sz="4" w:space="1"/>
              </w:pBdr>
              <w:jc w:val="right"/>
              <w:rPr>
                <w:sz w:val="17"/>
                <w:szCs w:val="17"/>
                <w:lang w:val="en-GB"/>
              </w:rPr>
            </w:pPr>
            <w:r w:rsidRPr="009C48DA">
              <w:rPr>
                <w:sz w:val="17"/>
                <w:szCs w:val="17"/>
                <w:lang w:val="en-GB"/>
              </w:rPr>
              <w:t>(1,481)</w:t>
            </w:r>
          </w:p>
        </w:tc>
        <w:tc>
          <w:tcPr>
            <w:tcW w:w="646" w:type="pct"/>
            <w:shd w:val="clear" w:color="auto" w:fill="auto"/>
            <w:vAlign w:val="bottom"/>
          </w:tcPr>
          <w:p w:rsidRPr="009C48DA" w:rsidR="0036034E" w:rsidP="0036034E" w:rsidRDefault="0036034E" w14:paraId="5D434BF5" w14:textId="3527DCCF">
            <w:pPr>
              <w:pBdr>
                <w:bottom w:val="double" w:color="auto" w:sz="4" w:space="1"/>
              </w:pBdr>
              <w:jc w:val="right"/>
              <w:rPr>
                <w:sz w:val="17"/>
                <w:szCs w:val="17"/>
                <w:lang w:val="en-GB"/>
              </w:rPr>
            </w:pPr>
            <w:r w:rsidRPr="009C48DA">
              <w:rPr>
                <w:sz w:val="17"/>
                <w:szCs w:val="17"/>
                <w:lang w:val="en-GB"/>
              </w:rPr>
              <w:t>18,672</w:t>
            </w:r>
          </w:p>
        </w:tc>
      </w:tr>
      <w:tr w:rsidRPr="009C48DA" w:rsidR="0036034E" w:rsidTr="0036034E" w14:paraId="6A5EB1C9" w14:textId="77777777">
        <w:tc>
          <w:tcPr>
            <w:tcW w:w="1772" w:type="pct"/>
            <w:shd w:val="clear" w:color="auto" w:fill="auto"/>
            <w:vAlign w:val="bottom"/>
          </w:tcPr>
          <w:p w:rsidRPr="009C48DA" w:rsidR="0036034E" w:rsidP="0036034E" w:rsidRDefault="0036034E" w14:paraId="36D44B58" w14:textId="554EC6D7">
            <w:pPr>
              <w:tabs>
                <w:tab w:val="right" w:leader="dot" w:pos="5518"/>
              </w:tabs>
              <w:rPr>
                <w:rFonts w:cs="Times New Roman"/>
                <w:sz w:val="17"/>
                <w:szCs w:val="17"/>
                <w:lang w:val="en-GB"/>
              </w:rPr>
            </w:pPr>
            <w:r w:rsidRPr="009C48DA">
              <w:rPr>
                <w:rFonts w:cs="Times New Roman"/>
                <w:sz w:val="17"/>
                <w:szCs w:val="17"/>
                <w:lang w:val="en-GB"/>
              </w:rPr>
              <w:t>Basic and diluted (loss) / earnings per share (including exceptionals)</w:t>
            </w:r>
            <w:r w:rsidRPr="009C48DA">
              <w:rPr>
                <w:rFonts w:cs="Times New Roman"/>
                <w:i/>
                <w:sz w:val="17"/>
                <w:szCs w:val="17"/>
                <w:lang w:val="en-GB"/>
              </w:rPr>
              <w:tab/>
            </w:r>
          </w:p>
        </w:tc>
        <w:tc>
          <w:tcPr>
            <w:tcW w:w="644" w:type="pct"/>
            <w:vAlign w:val="bottom"/>
          </w:tcPr>
          <w:p w:rsidRPr="009C48DA" w:rsidR="0036034E" w:rsidP="0036034E" w:rsidRDefault="0036034E" w14:paraId="095B5181" w14:textId="4A2F178C">
            <w:pPr>
              <w:pBdr>
                <w:bottom w:val="triple" w:color="auto" w:sz="4" w:space="1"/>
              </w:pBdr>
              <w:jc w:val="right"/>
              <w:rPr>
                <w:sz w:val="17"/>
                <w:szCs w:val="17"/>
                <w:lang w:val="en-GB"/>
              </w:rPr>
            </w:pPr>
            <w:r w:rsidRPr="009C48DA">
              <w:rPr>
                <w:sz w:val="17"/>
                <w:szCs w:val="17"/>
                <w:lang w:val="en-GB"/>
              </w:rPr>
              <w:t>(3.91)</w:t>
            </w:r>
          </w:p>
        </w:tc>
        <w:tc>
          <w:tcPr>
            <w:tcW w:w="645" w:type="pct"/>
            <w:vAlign w:val="bottom"/>
          </w:tcPr>
          <w:p w:rsidRPr="009C48DA" w:rsidR="0036034E" w:rsidP="0036034E" w:rsidRDefault="0036034E" w14:paraId="0F526FDF" w14:textId="77777777">
            <w:pPr>
              <w:pBdr>
                <w:bottom w:val="triple" w:color="auto" w:sz="4" w:space="1"/>
              </w:pBdr>
              <w:jc w:val="right"/>
              <w:rPr>
                <w:sz w:val="17"/>
                <w:szCs w:val="17"/>
                <w:lang w:val="en-GB"/>
              </w:rPr>
            </w:pPr>
            <w:r w:rsidRPr="009C48DA">
              <w:rPr>
                <w:sz w:val="17"/>
                <w:szCs w:val="17"/>
                <w:lang w:val="en-GB"/>
              </w:rPr>
              <w:t>9.15</w:t>
            </w:r>
          </w:p>
        </w:tc>
        <w:tc>
          <w:tcPr>
            <w:tcW w:w="647" w:type="pct"/>
            <w:vAlign w:val="bottom"/>
          </w:tcPr>
          <w:p w:rsidRPr="009C48DA" w:rsidR="0036034E" w:rsidP="0036034E" w:rsidRDefault="0036034E" w14:paraId="689A85B7" w14:textId="0BA72FDA">
            <w:pPr>
              <w:pBdr>
                <w:bottom w:val="triple" w:color="auto" w:sz="4" w:space="1"/>
              </w:pBdr>
              <w:jc w:val="right"/>
              <w:rPr>
                <w:sz w:val="17"/>
                <w:szCs w:val="17"/>
                <w:lang w:val="en-GB"/>
              </w:rPr>
            </w:pPr>
            <w:r w:rsidRPr="009C48DA">
              <w:rPr>
                <w:sz w:val="17"/>
                <w:szCs w:val="17"/>
                <w:lang w:val="en-GB"/>
              </w:rPr>
              <w:t>11.59</w:t>
            </w:r>
          </w:p>
        </w:tc>
        <w:tc>
          <w:tcPr>
            <w:tcW w:w="645" w:type="pct"/>
            <w:shd w:val="clear" w:color="auto" w:fill="auto"/>
            <w:vAlign w:val="bottom"/>
          </w:tcPr>
          <w:p w:rsidRPr="009C48DA" w:rsidR="0036034E" w:rsidP="0036034E" w:rsidRDefault="0036034E" w14:paraId="0B08B72B" w14:textId="77777777">
            <w:pPr>
              <w:pBdr>
                <w:bottom w:val="triple" w:color="auto" w:sz="4" w:space="1"/>
              </w:pBdr>
              <w:jc w:val="right"/>
              <w:rPr>
                <w:sz w:val="17"/>
                <w:szCs w:val="17"/>
                <w:lang w:val="en-GB"/>
              </w:rPr>
            </w:pPr>
            <w:r w:rsidRPr="009C48DA">
              <w:rPr>
                <w:sz w:val="17"/>
                <w:szCs w:val="17"/>
                <w:lang w:val="en-GB"/>
              </w:rPr>
              <w:t>0.83</w:t>
            </w:r>
          </w:p>
        </w:tc>
        <w:tc>
          <w:tcPr>
            <w:tcW w:w="646" w:type="pct"/>
            <w:shd w:val="clear" w:color="auto" w:fill="auto"/>
            <w:vAlign w:val="bottom"/>
          </w:tcPr>
          <w:p w:rsidRPr="009C48DA" w:rsidR="0036034E" w:rsidP="0036034E" w:rsidRDefault="0036034E" w14:paraId="68679F7F" w14:textId="27E37771">
            <w:pPr>
              <w:pBdr>
                <w:bottom w:val="triple" w:color="auto" w:sz="4" w:space="1"/>
              </w:pBdr>
              <w:jc w:val="right"/>
              <w:rPr>
                <w:sz w:val="17"/>
                <w:szCs w:val="17"/>
                <w:lang w:val="en-GB"/>
              </w:rPr>
            </w:pPr>
            <w:r w:rsidRPr="009C48DA">
              <w:rPr>
                <w:sz w:val="17"/>
                <w:szCs w:val="17"/>
                <w:lang w:val="en-GB"/>
              </w:rPr>
              <w:t>4.59</w:t>
            </w:r>
          </w:p>
        </w:tc>
      </w:tr>
    </w:tbl>
    <w:p w:rsidRPr="009C48DA" w:rsidR="0036034E" w:rsidP="0036034E" w:rsidRDefault="0036034E" w14:paraId="4DD76660" w14:textId="77777777">
      <w:pPr>
        <w:rPr>
          <w:lang w:val="en-GB"/>
        </w:rPr>
      </w:pPr>
    </w:p>
    <w:p w:rsidRPr="009C48DA" w:rsidR="0036034E" w:rsidP="0036034E" w:rsidRDefault="0036034E" w14:paraId="5B7F6277" w14:textId="77777777">
      <w:pPr>
        <w:pStyle w:val="TitleBAllCaps"/>
      </w:pPr>
      <w:r w:rsidRPr="009C48DA">
        <w:lastRenderedPageBreak/>
        <w:t>CONSOLIDATED STATEMENT OF FINANCIAL POSITION</w:t>
      </w:r>
    </w:p>
    <w:tbl>
      <w:tblPr>
        <w:tblW w:w="5140" w:type="pct"/>
        <w:tblInd w:w="-142" w:type="dxa"/>
        <w:tblLayout w:type="fixed"/>
        <w:tblLook w:val="04A0" w:firstRow="1" w:lastRow="0" w:firstColumn="1" w:lastColumn="0" w:noHBand="0" w:noVBand="1"/>
      </w:tblPr>
      <w:tblGrid>
        <w:gridCol w:w="4253"/>
        <w:gridCol w:w="1134"/>
        <w:gridCol w:w="1134"/>
        <w:gridCol w:w="1141"/>
        <w:gridCol w:w="1127"/>
      </w:tblGrid>
      <w:tr w:rsidRPr="009C48DA" w:rsidR="008C06C3" w:rsidTr="008C06C3" w14:paraId="53F04BE3" w14:textId="77777777">
        <w:trPr>
          <w:trHeight w:val="74"/>
        </w:trPr>
        <w:tc>
          <w:tcPr>
            <w:tcW w:w="2420" w:type="pct"/>
            <w:shd w:val="clear" w:color="auto" w:fill="auto"/>
            <w:vAlign w:val="bottom"/>
          </w:tcPr>
          <w:p w:rsidRPr="009C48DA" w:rsidR="008C06C3" w:rsidP="008C06C3" w:rsidRDefault="008C06C3" w14:paraId="2C48A763" w14:textId="77777777">
            <w:pPr>
              <w:keepNext/>
              <w:rPr>
                <w:rFonts w:cs="Times New Roman"/>
                <w:b/>
                <w:sz w:val="17"/>
                <w:szCs w:val="17"/>
                <w:lang w:val="en-GB"/>
              </w:rPr>
            </w:pPr>
          </w:p>
        </w:tc>
        <w:tc>
          <w:tcPr>
            <w:tcW w:w="1939" w:type="pct"/>
            <w:gridSpan w:val="3"/>
            <w:vAlign w:val="bottom"/>
          </w:tcPr>
          <w:p w:rsidRPr="009C48DA" w:rsidR="008C06C3" w:rsidP="008C06C3" w:rsidRDefault="008C06C3" w14:paraId="7A4A51CF"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As of</w:t>
            </w:r>
            <w:r w:rsidRPr="009C48DA">
              <w:rPr>
                <w:rFonts w:cs="Times New Roman"/>
                <w:b/>
                <w:sz w:val="17"/>
                <w:szCs w:val="17"/>
                <w:lang w:val="en-GB"/>
              </w:rPr>
              <w:br/>
              <w:t>31 December</w:t>
            </w:r>
          </w:p>
        </w:tc>
        <w:tc>
          <w:tcPr>
            <w:tcW w:w="641" w:type="pct"/>
            <w:shd w:val="clear" w:color="auto" w:fill="auto"/>
          </w:tcPr>
          <w:p w:rsidRPr="009C48DA" w:rsidR="008C06C3" w:rsidP="008C06C3" w:rsidRDefault="008C06C3" w14:paraId="10317208"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 xml:space="preserve">As of </w:t>
            </w:r>
            <w:r w:rsidRPr="009C48DA">
              <w:rPr>
                <w:rFonts w:cs="Times New Roman"/>
                <w:b/>
                <w:sz w:val="17"/>
                <w:szCs w:val="17"/>
                <w:lang w:val="en-GB"/>
              </w:rPr>
              <w:br/>
              <w:t>31 March</w:t>
            </w:r>
          </w:p>
        </w:tc>
      </w:tr>
      <w:tr w:rsidRPr="009C48DA" w:rsidR="008C06C3" w:rsidTr="008C06C3" w14:paraId="21A7788D" w14:textId="77777777">
        <w:trPr>
          <w:trHeight w:val="74"/>
        </w:trPr>
        <w:tc>
          <w:tcPr>
            <w:tcW w:w="2420" w:type="pct"/>
            <w:shd w:val="clear" w:color="auto" w:fill="auto"/>
            <w:vAlign w:val="bottom"/>
          </w:tcPr>
          <w:p w:rsidRPr="009C48DA" w:rsidR="008C06C3" w:rsidP="008C06C3" w:rsidRDefault="008C06C3" w14:paraId="449C1908" w14:textId="77777777">
            <w:pPr>
              <w:keepNext/>
              <w:rPr>
                <w:rFonts w:cs="Times New Roman"/>
                <w:b/>
                <w:sz w:val="17"/>
                <w:szCs w:val="17"/>
                <w:lang w:val="en-GB"/>
              </w:rPr>
            </w:pPr>
          </w:p>
        </w:tc>
        <w:tc>
          <w:tcPr>
            <w:tcW w:w="645" w:type="pct"/>
            <w:vAlign w:val="bottom"/>
          </w:tcPr>
          <w:p w:rsidRPr="009C48DA" w:rsidR="008C06C3" w:rsidP="008C06C3" w:rsidRDefault="008C06C3" w14:paraId="33793261"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2018</w:t>
            </w:r>
          </w:p>
        </w:tc>
        <w:tc>
          <w:tcPr>
            <w:tcW w:w="645" w:type="pct"/>
            <w:vAlign w:val="bottom"/>
          </w:tcPr>
          <w:p w:rsidRPr="009C48DA" w:rsidR="008C06C3" w:rsidP="008C06C3" w:rsidRDefault="008C06C3" w14:paraId="4B8E9159"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2019</w:t>
            </w:r>
          </w:p>
        </w:tc>
        <w:tc>
          <w:tcPr>
            <w:tcW w:w="649" w:type="pct"/>
            <w:vAlign w:val="bottom"/>
          </w:tcPr>
          <w:p w:rsidRPr="009C48DA" w:rsidR="008C06C3" w:rsidP="008C06C3" w:rsidRDefault="008C06C3" w14:paraId="376AE291"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2020</w:t>
            </w:r>
          </w:p>
        </w:tc>
        <w:tc>
          <w:tcPr>
            <w:tcW w:w="641" w:type="pct"/>
            <w:shd w:val="clear" w:color="auto" w:fill="auto"/>
            <w:vAlign w:val="bottom"/>
          </w:tcPr>
          <w:p w:rsidRPr="009C48DA" w:rsidR="008C06C3" w:rsidP="008C06C3" w:rsidRDefault="008C06C3" w14:paraId="1A82A959"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2021</w:t>
            </w:r>
          </w:p>
        </w:tc>
      </w:tr>
      <w:tr w:rsidRPr="009C48DA" w:rsidR="008C06C3" w:rsidTr="008C06C3" w14:paraId="0261D802" w14:textId="77777777">
        <w:trPr>
          <w:trHeight w:val="74"/>
        </w:trPr>
        <w:tc>
          <w:tcPr>
            <w:tcW w:w="2420" w:type="pct"/>
            <w:shd w:val="clear" w:color="auto" w:fill="auto"/>
            <w:vAlign w:val="bottom"/>
          </w:tcPr>
          <w:p w:rsidRPr="009C48DA" w:rsidR="008C06C3" w:rsidP="008C06C3" w:rsidRDefault="008C06C3" w14:paraId="30C87C0F" w14:textId="77777777">
            <w:pPr>
              <w:keepNext/>
              <w:tabs>
                <w:tab w:val="right" w:leader="dot" w:pos="4628"/>
              </w:tabs>
              <w:rPr>
                <w:rFonts w:cs="Times New Roman"/>
                <w:sz w:val="17"/>
                <w:szCs w:val="17"/>
                <w:lang w:val="en-GB"/>
              </w:rPr>
            </w:pPr>
          </w:p>
        </w:tc>
        <w:tc>
          <w:tcPr>
            <w:tcW w:w="2580" w:type="pct"/>
            <w:gridSpan w:val="4"/>
            <w:vAlign w:val="bottom"/>
          </w:tcPr>
          <w:p w:rsidRPr="009C48DA" w:rsidR="008C06C3" w:rsidP="008C06C3" w:rsidRDefault="008C06C3" w14:paraId="164C2631" w14:textId="77777777">
            <w:pPr>
              <w:keepNext/>
              <w:jc w:val="center"/>
              <w:rPr>
                <w:rFonts w:cs="Times New Roman"/>
                <w:sz w:val="17"/>
                <w:szCs w:val="17"/>
                <w:lang w:val="en-GB"/>
              </w:rPr>
            </w:pPr>
            <w:r w:rsidRPr="009C48DA">
              <w:rPr>
                <w:rFonts w:cs="Times New Roman"/>
                <w:sz w:val="17"/>
                <w:szCs w:val="17"/>
                <w:lang w:val="en-GB"/>
              </w:rPr>
              <w:t>(£ in thousands)</w:t>
            </w:r>
          </w:p>
        </w:tc>
      </w:tr>
      <w:tr w:rsidRPr="009C48DA" w:rsidR="008C06C3" w:rsidTr="008C06C3" w14:paraId="293DAC15" w14:textId="77777777">
        <w:tc>
          <w:tcPr>
            <w:tcW w:w="2420" w:type="pct"/>
            <w:shd w:val="clear" w:color="auto" w:fill="auto"/>
            <w:vAlign w:val="bottom"/>
          </w:tcPr>
          <w:p w:rsidRPr="009C48DA" w:rsidR="008C06C3" w:rsidP="008C06C3" w:rsidRDefault="008C06C3" w14:paraId="7EA86CA9" w14:textId="77777777">
            <w:pPr>
              <w:keepNext/>
              <w:tabs>
                <w:tab w:val="right" w:leader="dot" w:pos="5515"/>
              </w:tabs>
              <w:rPr>
                <w:rFonts w:cs="Times New Roman"/>
                <w:b/>
                <w:sz w:val="17"/>
                <w:szCs w:val="17"/>
                <w:lang w:val="en-GB"/>
              </w:rPr>
            </w:pPr>
            <w:r w:rsidRPr="009C48DA">
              <w:rPr>
                <w:rFonts w:cs="Times New Roman"/>
                <w:b/>
                <w:sz w:val="17"/>
                <w:szCs w:val="17"/>
                <w:lang w:val="en-GB"/>
              </w:rPr>
              <w:t>Assets</w:t>
            </w:r>
          </w:p>
        </w:tc>
        <w:tc>
          <w:tcPr>
            <w:tcW w:w="645" w:type="pct"/>
            <w:vAlign w:val="bottom"/>
          </w:tcPr>
          <w:p w:rsidRPr="009C48DA" w:rsidR="008C06C3" w:rsidP="008C06C3" w:rsidRDefault="008C06C3" w14:paraId="1E5D887C" w14:textId="77777777">
            <w:pPr>
              <w:jc w:val="right"/>
              <w:rPr>
                <w:sz w:val="17"/>
                <w:szCs w:val="17"/>
                <w:lang w:val="en-GB"/>
              </w:rPr>
            </w:pPr>
          </w:p>
        </w:tc>
        <w:tc>
          <w:tcPr>
            <w:tcW w:w="645" w:type="pct"/>
            <w:vAlign w:val="bottom"/>
          </w:tcPr>
          <w:p w:rsidRPr="009C48DA" w:rsidR="008C06C3" w:rsidP="008C06C3" w:rsidRDefault="008C06C3" w14:paraId="0549B59F" w14:textId="77777777">
            <w:pPr>
              <w:jc w:val="right"/>
              <w:rPr>
                <w:sz w:val="17"/>
                <w:szCs w:val="17"/>
                <w:lang w:val="en-GB"/>
              </w:rPr>
            </w:pPr>
          </w:p>
        </w:tc>
        <w:tc>
          <w:tcPr>
            <w:tcW w:w="649" w:type="pct"/>
            <w:vAlign w:val="bottom"/>
          </w:tcPr>
          <w:p w:rsidRPr="009C48DA" w:rsidR="008C06C3" w:rsidP="008C06C3" w:rsidRDefault="008C06C3" w14:paraId="77C94D8E" w14:textId="77777777">
            <w:pPr>
              <w:jc w:val="right"/>
              <w:rPr>
                <w:sz w:val="17"/>
                <w:szCs w:val="17"/>
                <w:lang w:val="en-GB"/>
              </w:rPr>
            </w:pPr>
          </w:p>
        </w:tc>
        <w:tc>
          <w:tcPr>
            <w:tcW w:w="641" w:type="pct"/>
            <w:shd w:val="clear" w:color="auto" w:fill="auto"/>
            <w:vAlign w:val="bottom"/>
          </w:tcPr>
          <w:p w:rsidRPr="009C48DA" w:rsidR="008C06C3" w:rsidP="008C06C3" w:rsidRDefault="008C06C3" w14:paraId="00B134A7" w14:textId="77777777">
            <w:pPr>
              <w:jc w:val="right"/>
              <w:rPr>
                <w:sz w:val="17"/>
                <w:szCs w:val="17"/>
                <w:lang w:val="en-GB"/>
              </w:rPr>
            </w:pPr>
          </w:p>
        </w:tc>
      </w:tr>
      <w:tr w:rsidRPr="009C48DA" w:rsidR="008C06C3" w:rsidTr="008C06C3" w14:paraId="10B971D5" w14:textId="77777777">
        <w:tc>
          <w:tcPr>
            <w:tcW w:w="2420" w:type="pct"/>
            <w:shd w:val="clear" w:color="auto" w:fill="auto"/>
            <w:vAlign w:val="bottom"/>
          </w:tcPr>
          <w:p w:rsidRPr="009C48DA" w:rsidR="008C06C3" w:rsidP="008C06C3" w:rsidRDefault="008C06C3" w14:paraId="3DFF6B0F" w14:textId="77777777">
            <w:pPr>
              <w:keepNext/>
              <w:tabs>
                <w:tab w:val="right" w:leader="dot" w:pos="5515"/>
              </w:tabs>
              <w:rPr>
                <w:rFonts w:cs="Times New Roman"/>
                <w:sz w:val="17"/>
                <w:szCs w:val="17"/>
                <w:lang w:val="en-GB"/>
              </w:rPr>
            </w:pPr>
          </w:p>
        </w:tc>
        <w:tc>
          <w:tcPr>
            <w:tcW w:w="645" w:type="pct"/>
            <w:vAlign w:val="bottom"/>
          </w:tcPr>
          <w:p w:rsidRPr="009C48DA" w:rsidR="008C06C3" w:rsidP="008C06C3" w:rsidRDefault="008C06C3" w14:paraId="0ABB0418" w14:textId="77777777">
            <w:pPr>
              <w:jc w:val="right"/>
              <w:rPr>
                <w:sz w:val="17"/>
                <w:szCs w:val="17"/>
                <w:lang w:val="en-GB"/>
              </w:rPr>
            </w:pPr>
          </w:p>
        </w:tc>
        <w:tc>
          <w:tcPr>
            <w:tcW w:w="645" w:type="pct"/>
            <w:vAlign w:val="bottom"/>
          </w:tcPr>
          <w:p w:rsidRPr="009C48DA" w:rsidR="008C06C3" w:rsidP="008C06C3" w:rsidRDefault="008C06C3" w14:paraId="4398BC39" w14:textId="77777777">
            <w:pPr>
              <w:jc w:val="right"/>
              <w:rPr>
                <w:sz w:val="17"/>
                <w:szCs w:val="17"/>
                <w:lang w:val="en-GB"/>
              </w:rPr>
            </w:pPr>
          </w:p>
        </w:tc>
        <w:tc>
          <w:tcPr>
            <w:tcW w:w="649" w:type="pct"/>
            <w:vAlign w:val="bottom"/>
          </w:tcPr>
          <w:p w:rsidRPr="009C48DA" w:rsidR="008C06C3" w:rsidP="008C06C3" w:rsidRDefault="008C06C3" w14:paraId="5579B6B0" w14:textId="77777777">
            <w:pPr>
              <w:jc w:val="right"/>
              <w:rPr>
                <w:sz w:val="17"/>
                <w:szCs w:val="17"/>
                <w:lang w:val="en-GB"/>
              </w:rPr>
            </w:pPr>
          </w:p>
        </w:tc>
        <w:tc>
          <w:tcPr>
            <w:tcW w:w="641" w:type="pct"/>
            <w:shd w:val="clear" w:color="auto" w:fill="auto"/>
            <w:vAlign w:val="bottom"/>
          </w:tcPr>
          <w:p w:rsidRPr="009C48DA" w:rsidR="008C06C3" w:rsidP="008C06C3" w:rsidRDefault="008C06C3" w14:paraId="396271ED" w14:textId="77777777">
            <w:pPr>
              <w:jc w:val="right"/>
              <w:rPr>
                <w:sz w:val="17"/>
                <w:szCs w:val="17"/>
                <w:lang w:val="en-GB"/>
              </w:rPr>
            </w:pPr>
          </w:p>
        </w:tc>
      </w:tr>
      <w:tr w:rsidRPr="009C48DA" w:rsidR="008C06C3" w:rsidTr="008C06C3" w14:paraId="7EF687E4" w14:textId="77777777">
        <w:tc>
          <w:tcPr>
            <w:tcW w:w="2420" w:type="pct"/>
            <w:shd w:val="clear" w:color="auto" w:fill="auto"/>
            <w:vAlign w:val="bottom"/>
          </w:tcPr>
          <w:p w:rsidRPr="009C48DA" w:rsidR="008C06C3" w:rsidP="008C06C3" w:rsidRDefault="008C06C3" w14:paraId="3550BEF6" w14:textId="77777777">
            <w:pPr>
              <w:keepNext/>
              <w:tabs>
                <w:tab w:val="right" w:leader="dot" w:pos="5515"/>
              </w:tabs>
              <w:rPr>
                <w:rFonts w:cs="Times New Roman"/>
                <w:b/>
                <w:sz w:val="17"/>
                <w:szCs w:val="17"/>
                <w:lang w:val="en-GB"/>
              </w:rPr>
            </w:pPr>
            <w:r w:rsidRPr="009C48DA">
              <w:rPr>
                <w:rFonts w:cs="Times New Roman"/>
                <w:b/>
                <w:sz w:val="17"/>
                <w:szCs w:val="17"/>
                <w:lang w:val="en-GB"/>
              </w:rPr>
              <w:t>Non-current assets</w:t>
            </w:r>
          </w:p>
        </w:tc>
        <w:tc>
          <w:tcPr>
            <w:tcW w:w="645" w:type="pct"/>
            <w:vAlign w:val="bottom"/>
          </w:tcPr>
          <w:p w:rsidRPr="009C48DA" w:rsidR="008C06C3" w:rsidP="008C06C3" w:rsidRDefault="008C06C3" w14:paraId="75BAC140" w14:textId="77777777">
            <w:pPr>
              <w:jc w:val="right"/>
              <w:rPr>
                <w:sz w:val="17"/>
                <w:szCs w:val="17"/>
                <w:lang w:val="en-GB"/>
              </w:rPr>
            </w:pPr>
          </w:p>
        </w:tc>
        <w:tc>
          <w:tcPr>
            <w:tcW w:w="645" w:type="pct"/>
            <w:vAlign w:val="bottom"/>
          </w:tcPr>
          <w:p w:rsidRPr="009C48DA" w:rsidR="008C06C3" w:rsidP="008C06C3" w:rsidRDefault="008C06C3" w14:paraId="1894A4F2" w14:textId="77777777">
            <w:pPr>
              <w:jc w:val="right"/>
              <w:rPr>
                <w:sz w:val="17"/>
                <w:szCs w:val="17"/>
                <w:lang w:val="en-GB"/>
              </w:rPr>
            </w:pPr>
          </w:p>
        </w:tc>
        <w:tc>
          <w:tcPr>
            <w:tcW w:w="649" w:type="pct"/>
            <w:vAlign w:val="bottom"/>
          </w:tcPr>
          <w:p w:rsidRPr="009C48DA" w:rsidR="008C06C3" w:rsidP="008C06C3" w:rsidRDefault="008C06C3" w14:paraId="19889296" w14:textId="77777777">
            <w:pPr>
              <w:jc w:val="right"/>
              <w:rPr>
                <w:sz w:val="17"/>
                <w:szCs w:val="17"/>
                <w:lang w:val="en-GB"/>
              </w:rPr>
            </w:pPr>
          </w:p>
        </w:tc>
        <w:tc>
          <w:tcPr>
            <w:tcW w:w="641" w:type="pct"/>
            <w:shd w:val="clear" w:color="auto" w:fill="auto"/>
            <w:vAlign w:val="bottom"/>
          </w:tcPr>
          <w:p w:rsidRPr="009C48DA" w:rsidR="008C06C3" w:rsidP="008C06C3" w:rsidRDefault="008C06C3" w14:paraId="276C4096" w14:textId="77777777">
            <w:pPr>
              <w:jc w:val="right"/>
              <w:rPr>
                <w:sz w:val="17"/>
                <w:szCs w:val="17"/>
                <w:lang w:val="en-GB"/>
              </w:rPr>
            </w:pPr>
          </w:p>
        </w:tc>
      </w:tr>
      <w:tr w:rsidRPr="009C48DA" w:rsidR="008C06C3" w:rsidTr="008C06C3" w14:paraId="6720FAE8" w14:textId="77777777">
        <w:tc>
          <w:tcPr>
            <w:tcW w:w="2420" w:type="pct"/>
            <w:shd w:val="clear" w:color="auto" w:fill="auto"/>
            <w:vAlign w:val="bottom"/>
          </w:tcPr>
          <w:p w:rsidRPr="009C48DA" w:rsidR="008C06C3" w:rsidP="008C06C3" w:rsidRDefault="008C06C3" w14:paraId="52C82805" w14:textId="77777777">
            <w:pPr>
              <w:keepNext/>
              <w:tabs>
                <w:tab w:val="right" w:leader="dot" w:pos="5515"/>
              </w:tabs>
              <w:rPr>
                <w:rFonts w:cs="Times New Roman"/>
                <w:sz w:val="17"/>
                <w:szCs w:val="17"/>
                <w:lang w:val="en-GB"/>
              </w:rPr>
            </w:pPr>
            <w:r w:rsidRPr="009C48DA">
              <w:rPr>
                <w:rFonts w:cs="Times New Roman"/>
                <w:sz w:val="17"/>
                <w:szCs w:val="17"/>
                <w:lang w:val="en-GB"/>
              </w:rPr>
              <w:t>Property, plant and equipment</w:t>
            </w:r>
            <w:r w:rsidRPr="009C48DA">
              <w:rPr>
                <w:rFonts w:cs="Times New Roman"/>
                <w:sz w:val="17"/>
                <w:szCs w:val="17"/>
                <w:lang w:val="en-GB"/>
              </w:rPr>
              <w:tab/>
            </w:r>
          </w:p>
        </w:tc>
        <w:tc>
          <w:tcPr>
            <w:tcW w:w="645" w:type="pct"/>
            <w:vAlign w:val="bottom"/>
          </w:tcPr>
          <w:p w:rsidRPr="009C48DA" w:rsidR="008C06C3" w:rsidP="008C06C3" w:rsidRDefault="008C06C3" w14:paraId="63B41AC3" w14:textId="77777777">
            <w:pPr>
              <w:jc w:val="right"/>
              <w:rPr>
                <w:sz w:val="17"/>
                <w:szCs w:val="17"/>
                <w:lang w:val="en-GB"/>
              </w:rPr>
            </w:pPr>
            <w:r w:rsidRPr="009C48DA">
              <w:rPr>
                <w:sz w:val="17"/>
                <w:szCs w:val="17"/>
                <w:lang w:val="en-GB"/>
              </w:rPr>
              <w:t>46,659</w:t>
            </w:r>
          </w:p>
        </w:tc>
        <w:tc>
          <w:tcPr>
            <w:tcW w:w="645" w:type="pct"/>
            <w:vAlign w:val="bottom"/>
          </w:tcPr>
          <w:p w:rsidRPr="009C48DA" w:rsidR="008C06C3" w:rsidP="008C06C3" w:rsidRDefault="008C06C3" w14:paraId="0F73879B" w14:textId="77777777">
            <w:pPr>
              <w:jc w:val="right"/>
              <w:rPr>
                <w:sz w:val="17"/>
                <w:szCs w:val="17"/>
                <w:lang w:val="en-GB"/>
              </w:rPr>
            </w:pPr>
            <w:r w:rsidRPr="009C48DA">
              <w:rPr>
                <w:sz w:val="17"/>
                <w:szCs w:val="17"/>
                <w:lang w:val="en-GB"/>
              </w:rPr>
              <w:t>46,760</w:t>
            </w:r>
          </w:p>
        </w:tc>
        <w:tc>
          <w:tcPr>
            <w:tcW w:w="649" w:type="pct"/>
            <w:vAlign w:val="bottom"/>
          </w:tcPr>
          <w:p w:rsidRPr="009C48DA" w:rsidR="008C06C3" w:rsidP="008C06C3" w:rsidRDefault="008C06C3" w14:paraId="5E25F3D6" w14:textId="77777777">
            <w:pPr>
              <w:jc w:val="right"/>
              <w:rPr>
                <w:sz w:val="17"/>
                <w:szCs w:val="17"/>
                <w:lang w:val="en-GB"/>
              </w:rPr>
            </w:pPr>
            <w:r w:rsidRPr="009C48DA">
              <w:rPr>
                <w:sz w:val="17"/>
                <w:szCs w:val="17"/>
                <w:lang w:val="en-GB"/>
              </w:rPr>
              <w:t>41,591</w:t>
            </w:r>
          </w:p>
        </w:tc>
        <w:tc>
          <w:tcPr>
            <w:tcW w:w="641" w:type="pct"/>
            <w:shd w:val="clear" w:color="auto" w:fill="auto"/>
            <w:vAlign w:val="bottom"/>
          </w:tcPr>
          <w:p w:rsidRPr="009C48DA" w:rsidR="008C06C3" w:rsidP="008C06C3" w:rsidRDefault="008C06C3" w14:paraId="71085139" w14:textId="77777777">
            <w:pPr>
              <w:jc w:val="right"/>
              <w:rPr>
                <w:sz w:val="17"/>
                <w:szCs w:val="17"/>
                <w:lang w:val="en-GB"/>
              </w:rPr>
            </w:pPr>
            <w:r w:rsidRPr="009C48DA">
              <w:rPr>
                <w:sz w:val="17"/>
                <w:szCs w:val="17"/>
                <w:lang w:val="en-GB"/>
              </w:rPr>
              <w:t>41,392</w:t>
            </w:r>
          </w:p>
        </w:tc>
      </w:tr>
      <w:tr w:rsidRPr="009C48DA" w:rsidR="008C06C3" w:rsidTr="008C06C3" w14:paraId="09C27791" w14:textId="77777777">
        <w:tc>
          <w:tcPr>
            <w:tcW w:w="2420" w:type="pct"/>
            <w:shd w:val="clear" w:color="auto" w:fill="auto"/>
            <w:vAlign w:val="bottom"/>
          </w:tcPr>
          <w:p w:rsidRPr="009C48DA" w:rsidR="008C06C3" w:rsidP="008C06C3" w:rsidRDefault="008C06C3" w14:paraId="77467237" w14:textId="77777777">
            <w:pPr>
              <w:keepNext/>
              <w:tabs>
                <w:tab w:val="right" w:leader="dot" w:pos="5518"/>
              </w:tabs>
              <w:rPr>
                <w:rFonts w:cs="Times New Roman"/>
                <w:sz w:val="17"/>
                <w:szCs w:val="17"/>
                <w:lang w:val="en-GB"/>
              </w:rPr>
            </w:pPr>
            <w:r w:rsidRPr="009C48DA">
              <w:rPr>
                <w:sz w:val="17"/>
                <w:szCs w:val="17"/>
                <w:lang w:val="en-GB"/>
              </w:rPr>
              <w:t>Goodwill and intangible assets</w:t>
            </w:r>
            <w:r w:rsidRPr="009C48DA">
              <w:rPr>
                <w:sz w:val="17"/>
                <w:szCs w:val="17"/>
                <w:lang w:val="en-GB"/>
              </w:rPr>
              <w:tab/>
            </w:r>
          </w:p>
        </w:tc>
        <w:tc>
          <w:tcPr>
            <w:tcW w:w="645" w:type="pct"/>
            <w:vAlign w:val="bottom"/>
          </w:tcPr>
          <w:p w:rsidRPr="009C48DA" w:rsidR="008C06C3" w:rsidP="008C06C3" w:rsidRDefault="008C06C3" w14:paraId="6498A34F" w14:textId="77777777">
            <w:pPr>
              <w:jc w:val="right"/>
              <w:rPr>
                <w:sz w:val="17"/>
                <w:szCs w:val="17"/>
                <w:lang w:val="en-GB"/>
              </w:rPr>
            </w:pPr>
            <w:r w:rsidRPr="009C48DA">
              <w:rPr>
                <w:rFonts w:cs="Times New Roman"/>
                <w:sz w:val="17"/>
                <w:szCs w:val="17"/>
                <w:lang w:val="en-GB"/>
              </w:rPr>
              <w:t>—</w:t>
            </w:r>
          </w:p>
        </w:tc>
        <w:tc>
          <w:tcPr>
            <w:tcW w:w="645" w:type="pct"/>
            <w:vAlign w:val="bottom"/>
          </w:tcPr>
          <w:p w:rsidRPr="009C48DA" w:rsidR="008C06C3" w:rsidP="008C06C3" w:rsidRDefault="008C06C3" w14:paraId="4EBE0D4D" w14:textId="77777777">
            <w:pPr>
              <w:jc w:val="right"/>
              <w:rPr>
                <w:sz w:val="17"/>
                <w:szCs w:val="17"/>
                <w:lang w:val="en-GB"/>
              </w:rPr>
            </w:pPr>
            <w:r w:rsidRPr="009C48DA">
              <w:rPr>
                <w:rFonts w:cs="Times New Roman"/>
                <w:sz w:val="17"/>
                <w:szCs w:val="17"/>
                <w:lang w:val="en-GB"/>
              </w:rPr>
              <w:t>—</w:t>
            </w:r>
          </w:p>
        </w:tc>
        <w:tc>
          <w:tcPr>
            <w:tcW w:w="649" w:type="pct"/>
            <w:vAlign w:val="bottom"/>
          </w:tcPr>
          <w:p w:rsidRPr="009C48DA" w:rsidR="008C06C3" w:rsidP="008C06C3" w:rsidRDefault="008C06C3" w14:paraId="6C11299F" w14:textId="77777777">
            <w:pPr>
              <w:jc w:val="right"/>
              <w:rPr>
                <w:sz w:val="17"/>
                <w:szCs w:val="17"/>
                <w:lang w:val="en-GB"/>
              </w:rPr>
            </w:pPr>
            <w:r w:rsidRPr="009C48DA">
              <w:rPr>
                <w:sz w:val="17"/>
                <w:szCs w:val="17"/>
                <w:lang w:val="en-GB"/>
              </w:rPr>
              <w:t>125,722</w:t>
            </w:r>
          </w:p>
        </w:tc>
        <w:tc>
          <w:tcPr>
            <w:tcW w:w="641" w:type="pct"/>
            <w:shd w:val="clear" w:color="auto" w:fill="auto"/>
            <w:vAlign w:val="bottom"/>
          </w:tcPr>
          <w:p w:rsidRPr="009C48DA" w:rsidR="008C06C3" w:rsidP="008C06C3" w:rsidRDefault="008C06C3" w14:paraId="6976B31E" w14:textId="77777777">
            <w:pPr>
              <w:jc w:val="right"/>
              <w:rPr>
                <w:sz w:val="17"/>
                <w:szCs w:val="17"/>
                <w:lang w:val="en-GB"/>
              </w:rPr>
            </w:pPr>
            <w:r w:rsidRPr="009C48DA">
              <w:rPr>
                <w:sz w:val="17"/>
                <w:szCs w:val="17"/>
                <w:lang w:val="en-GB"/>
              </w:rPr>
              <w:t>124,964</w:t>
            </w:r>
          </w:p>
        </w:tc>
      </w:tr>
      <w:tr w:rsidRPr="009C48DA" w:rsidR="008C06C3" w:rsidTr="008C06C3" w14:paraId="4A8FA2D2" w14:textId="77777777">
        <w:tc>
          <w:tcPr>
            <w:tcW w:w="2420" w:type="pct"/>
            <w:shd w:val="clear" w:color="auto" w:fill="auto"/>
            <w:vAlign w:val="bottom"/>
          </w:tcPr>
          <w:p w:rsidRPr="009C48DA" w:rsidR="008C06C3" w:rsidP="008C06C3" w:rsidRDefault="008C06C3" w14:paraId="0471BE36" w14:textId="77777777">
            <w:pPr>
              <w:keepNext/>
              <w:tabs>
                <w:tab w:val="right" w:leader="dot" w:pos="5518"/>
              </w:tabs>
              <w:rPr>
                <w:rFonts w:cs="Times New Roman"/>
                <w:sz w:val="17"/>
                <w:szCs w:val="17"/>
                <w:lang w:val="en-GB"/>
              </w:rPr>
            </w:pPr>
            <w:r w:rsidRPr="009C48DA">
              <w:rPr>
                <w:sz w:val="17"/>
                <w:szCs w:val="17"/>
                <w:lang w:val="en-GB"/>
              </w:rPr>
              <w:t>Carried interest receivable</w:t>
            </w:r>
            <w:r w:rsidRPr="009C48DA">
              <w:rPr>
                <w:sz w:val="17"/>
                <w:szCs w:val="17"/>
                <w:lang w:val="en-GB"/>
              </w:rPr>
              <w:tab/>
            </w:r>
          </w:p>
        </w:tc>
        <w:tc>
          <w:tcPr>
            <w:tcW w:w="645" w:type="pct"/>
            <w:vAlign w:val="bottom"/>
          </w:tcPr>
          <w:p w:rsidRPr="009C48DA" w:rsidR="008C06C3" w:rsidP="008C06C3" w:rsidRDefault="008C06C3" w14:paraId="1A9ACA80" w14:textId="77777777">
            <w:pPr>
              <w:jc w:val="right"/>
              <w:rPr>
                <w:sz w:val="17"/>
                <w:szCs w:val="17"/>
                <w:lang w:val="en-GB"/>
              </w:rPr>
            </w:pPr>
            <w:r w:rsidRPr="009C48DA">
              <w:rPr>
                <w:sz w:val="17"/>
                <w:szCs w:val="17"/>
                <w:lang w:val="en-GB"/>
              </w:rPr>
              <w:t>17,757</w:t>
            </w:r>
          </w:p>
        </w:tc>
        <w:tc>
          <w:tcPr>
            <w:tcW w:w="645" w:type="pct"/>
            <w:vAlign w:val="bottom"/>
          </w:tcPr>
          <w:p w:rsidRPr="009C48DA" w:rsidR="008C06C3" w:rsidP="008C06C3" w:rsidRDefault="008C06C3" w14:paraId="3F5762C6" w14:textId="77777777">
            <w:pPr>
              <w:jc w:val="right"/>
              <w:rPr>
                <w:sz w:val="17"/>
                <w:szCs w:val="17"/>
                <w:lang w:val="en-GB"/>
              </w:rPr>
            </w:pPr>
            <w:r w:rsidRPr="009C48DA">
              <w:rPr>
                <w:sz w:val="17"/>
                <w:szCs w:val="17"/>
                <w:lang w:val="en-GB"/>
              </w:rPr>
              <w:t>13,002</w:t>
            </w:r>
          </w:p>
        </w:tc>
        <w:tc>
          <w:tcPr>
            <w:tcW w:w="649" w:type="pct"/>
            <w:vAlign w:val="bottom"/>
          </w:tcPr>
          <w:p w:rsidRPr="009C48DA" w:rsidR="008C06C3" w:rsidP="008C06C3" w:rsidRDefault="008C06C3" w14:paraId="16750A58" w14:textId="77777777">
            <w:pPr>
              <w:jc w:val="right"/>
              <w:rPr>
                <w:sz w:val="17"/>
                <w:szCs w:val="17"/>
                <w:lang w:val="en-GB"/>
              </w:rPr>
            </w:pPr>
            <w:r w:rsidRPr="009C48DA">
              <w:rPr>
                <w:sz w:val="17"/>
                <w:szCs w:val="17"/>
                <w:lang w:val="en-GB"/>
              </w:rPr>
              <w:t>27,915</w:t>
            </w:r>
          </w:p>
        </w:tc>
        <w:tc>
          <w:tcPr>
            <w:tcW w:w="641" w:type="pct"/>
            <w:shd w:val="clear" w:color="auto" w:fill="auto"/>
            <w:vAlign w:val="bottom"/>
          </w:tcPr>
          <w:p w:rsidRPr="009C48DA" w:rsidR="008C06C3" w:rsidP="008C06C3" w:rsidRDefault="008C06C3" w14:paraId="231A7F3A" w14:textId="77777777">
            <w:pPr>
              <w:jc w:val="right"/>
              <w:rPr>
                <w:sz w:val="17"/>
                <w:szCs w:val="17"/>
                <w:lang w:val="en-GB"/>
              </w:rPr>
            </w:pPr>
            <w:r w:rsidRPr="009C48DA">
              <w:rPr>
                <w:sz w:val="17"/>
                <w:szCs w:val="17"/>
                <w:lang w:val="en-GB"/>
              </w:rPr>
              <w:t>27,084</w:t>
            </w:r>
          </w:p>
        </w:tc>
      </w:tr>
      <w:tr w:rsidRPr="009C48DA" w:rsidR="008C06C3" w:rsidTr="008C06C3" w14:paraId="10EE095C" w14:textId="77777777">
        <w:tc>
          <w:tcPr>
            <w:tcW w:w="2420" w:type="pct"/>
            <w:shd w:val="clear" w:color="auto" w:fill="auto"/>
            <w:vAlign w:val="bottom"/>
          </w:tcPr>
          <w:p w:rsidRPr="009C48DA" w:rsidR="008C06C3" w:rsidP="008C06C3" w:rsidRDefault="008C06C3" w14:paraId="03662876" w14:textId="77777777">
            <w:pPr>
              <w:keepNext/>
              <w:tabs>
                <w:tab w:val="right" w:leader="dot" w:pos="5518"/>
              </w:tabs>
              <w:rPr>
                <w:rFonts w:cs="Times New Roman"/>
                <w:sz w:val="17"/>
                <w:szCs w:val="17"/>
                <w:lang w:val="en-GB"/>
              </w:rPr>
            </w:pPr>
            <w:r w:rsidRPr="009C48DA">
              <w:rPr>
                <w:sz w:val="17"/>
                <w:szCs w:val="17"/>
                <w:lang w:val="en-GB"/>
              </w:rPr>
              <w:t>Fair value of fund investments</w:t>
            </w:r>
            <w:r w:rsidRPr="009C48DA">
              <w:rPr>
                <w:sz w:val="17"/>
                <w:szCs w:val="17"/>
                <w:lang w:val="en-GB"/>
              </w:rPr>
              <w:tab/>
            </w:r>
          </w:p>
        </w:tc>
        <w:tc>
          <w:tcPr>
            <w:tcW w:w="645" w:type="pct"/>
            <w:vAlign w:val="bottom"/>
          </w:tcPr>
          <w:p w:rsidRPr="009C48DA" w:rsidR="008C06C3" w:rsidP="008C06C3" w:rsidRDefault="008C06C3" w14:paraId="012AE600" w14:textId="77777777">
            <w:pPr>
              <w:jc w:val="right"/>
              <w:rPr>
                <w:sz w:val="17"/>
                <w:szCs w:val="17"/>
                <w:lang w:val="en-GB"/>
              </w:rPr>
            </w:pPr>
            <w:r w:rsidRPr="009C48DA">
              <w:rPr>
                <w:rFonts w:cs="Times New Roman"/>
                <w:sz w:val="17"/>
                <w:szCs w:val="17"/>
                <w:lang w:val="en-GB"/>
              </w:rPr>
              <w:t>125,497</w:t>
            </w:r>
          </w:p>
        </w:tc>
        <w:tc>
          <w:tcPr>
            <w:tcW w:w="645" w:type="pct"/>
            <w:vAlign w:val="bottom"/>
          </w:tcPr>
          <w:p w:rsidRPr="009C48DA" w:rsidR="008C06C3" w:rsidP="008C06C3" w:rsidRDefault="008C06C3" w14:paraId="65C64B24" w14:textId="77777777">
            <w:pPr>
              <w:jc w:val="right"/>
              <w:rPr>
                <w:sz w:val="17"/>
                <w:szCs w:val="17"/>
                <w:lang w:val="en-GB"/>
              </w:rPr>
            </w:pPr>
            <w:r w:rsidRPr="009C48DA">
              <w:rPr>
                <w:sz w:val="17"/>
                <w:szCs w:val="17"/>
                <w:lang w:val="en-GB"/>
              </w:rPr>
              <w:t>206,079</w:t>
            </w:r>
          </w:p>
        </w:tc>
        <w:tc>
          <w:tcPr>
            <w:tcW w:w="649" w:type="pct"/>
            <w:vAlign w:val="bottom"/>
          </w:tcPr>
          <w:p w:rsidRPr="009C48DA" w:rsidR="008C06C3" w:rsidP="008C06C3" w:rsidRDefault="008C06C3" w14:paraId="033D8650" w14:textId="77777777">
            <w:pPr>
              <w:jc w:val="right"/>
              <w:rPr>
                <w:sz w:val="17"/>
                <w:szCs w:val="17"/>
                <w:lang w:val="en-GB"/>
              </w:rPr>
            </w:pPr>
            <w:r w:rsidRPr="009C48DA">
              <w:rPr>
                <w:sz w:val="17"/>
                <w:szCs w:val="17"/>
                <w:lang w:val="en-GB"/>
              </w:rPr>
              <w:t>233,469</w:t>
            </w:r>
          </w:p>
        </w:tc>
        <w:tc>
          <w:tcPr>
            <w:tcW w:w="641" w:type="pct"/>
            <w:shd w:val="clear" w:color="auto" w:fill="auto"/>
            <w:vAlign w:val="bottom"/>
          </w:tcPr>
          <w:p w:rsidRPr="009C48DA" w:rsidR="008C06C3" w:rsidP="008C06C3" w:rsidRDefault="008C06C3" w14:paraId="6A566F05" w14:textId="77777777">
            <w:pPr>
              <w:jc w:val="right"/>
              <w:rPr>
                <w:sz w:val="17"/>
                <w:szCs w:val="17"/>
                <w:lang w:val="en-GB"/>
              </w:rPr>
            </w:pPr>
            <w:r w:rsidRPr="009C48DA">
              <w:rPr>
                <w:sz w:val="17"/>
                <w:szCs w:val="17"/>
                <w:lang w:val="en-GB"/>
              </w:rPr>
              <w:t>232,933</w:t>
            </w:r>
          </w:p>
        </w:tc>
      </w:tr>
      <w:tr w:rsidRPr="009C48DA" w:rsidR="008C06C3" w:rsidTr="008C06C3" w14:paraId="6D4D5C15" w14:textId="77777777">
        <w:tc>
          <w:tcPr>
            <w:tcW w:w="2420" w:type="pct"/>
            <w:shd w:val="clear" w:color="auto" w:fill="auto"/>
            <w:vAlign w:val="bottom"/>
          </w:tcPr>
          <w:p w:rsidRPr="009C48DA" w:rsidR="008C06C3" w:rsidP="008C06C3" w:rsidRDefault="008C06C3" w14:paraId="16E9C02D" w14:textId="77777777">
            <w:pPr>
              <w:keepNext/>
              <w:tabs>
                <w:tab w:val="right" w:leader="dot" w:pos="5518"/>
              </w:tabs>
              <w:rPr>
                <w:rFonts w:cs="Times New Roman"/>
                <w:sz w:val="17"/>
                <w:szCs w:val="17"/>
                <w:lang w:val="en-GB"/>
              </w:rPr>
            </w:pPr>
            <w:r w:rsidRPr="009C48DA">
              <w:rPr>
                <w:rFonts w:cs="Times New Roman"/>
                <w:sz w:val="17"/>
                <w:szCs w:val="17"/>
                <w:lang w:val="en-GB"/>
              </w:rPr>
              <w:t>Investments at amortised cost</w:t>
            </w:r>
            <w:r w:rsidRPr="009C48DA">
              <w:rPr>
                <w:sz w:val="17"/>
                <w:szCs w:val="17"/>
                <w:lang w:val="en-GB"/>
              </w:rPr>
              <w:tab/>
            </w:r>
          </w:p>
        </w:tc>
        <w:tc>
          <w:tcPr>
            <w:tcW w:w="645" w:type="pct"/>
            <w:vAlign w:val="bottom"/>
          </w:tcPr>
          <w:p w:rsidRPr="009C48DA" w:rsidR="008C06C3" w:rsidP="008C06C3" w:rsidRDefault="008C06C3" w14:paraId="207E4934" w14:textId="77777777">
            <w:pPr>
              <w:jc w:val="right"/>
              <w:rPr>
                <w:sz w:val="17"/>
                <w:szCs w:val="17"/>
                <w:lang w:val="en-GB"/>
              </w:rPr>
            </w:pPr>
            <w:r w:rsidRPr="009C48DA">
              <w:rPr>
                <w:sz w:val="17"/>
                <w:szCs w:val="17"/>
                <w:lang w:val="en-GB"/>
              </w:rPr>
              <w:t>86,363</w:t>
            </w:r>
          </w:p>
        </w:tc>
        <w:tc>
          <w:tcPr>
            <w:tcW w:w="645" w:type="pct"/>
            <w:vAlign w:val="bottom"/>
          </w:tcPr>
          <w:p w:rsidRPr="009C48DA" w:rsidR="008C06C3" w:rsidP="008C06C3" w:rsidRDefault="008C06C3" w14:paraId="27CB14FA" w14:textId="77777777">
            <w:pPr>
              <w:jc w:val="right"/>
              <w:rPr>
                <w:sz w:val="17"/>
                <w:szCs w:val="17"/>
                <w:lang w:val="en-GB"/>
              </w:rPr>
            </w:pPr>
            <w:r w:rsidRPr="009C48DA">
              <w:rPr>
                <w:rFonts w:cs="Times New Roman"/>
                <w:sz w:val="17"/>
                <w:szCs w:val="17"/>
                <w:lang w:val="en-GB"/>
              </w:rPr>
              <w:t>—</w:t>
            </w:r>
          </w:p>
        </w:tc>
        <w:tc>
          <w:tcPr>
            <w:tcW w:w="649" w:type="pct"/>
            <w:vAlign w:val="bottom"/>
          </w:tcPr>
          <w:p w:rsidRPr="009C48DA" w:rsidR="008C06C3" w:rsidP="008C06C3" w:rsidRDefault="008C06C3" w14:paraId="34F0806E" w14:textId="77777777">
            <w:pPr>
              <w:jc w:val="right"/>
              <w:rPr>
                <w:sz w:val="17"/>
                <w:szCs w:val="17"/>
                <w:lang w:val="en-GB"/>
              </w:rPr>
            </w:pPr>
            <w:r w:rsidRPr="009C48DA">
              <w:rPr>
                <w:rFonts w:cs="Times New Roman"/>
                <w:sz w:val="17"/>
                <w:szCs w:val="17"/>
                <w:lang w:val="en-GB"/>
              </w:rPr>
              <w:t>—</w:t>
            </w:r>
          </w:p>
        </w:tc>
        <w:tc>
          <w:tcPr>
            <w:tcW w:w="641" w:type="pct"/>
            <w:shd w:val="clear" w:color="auto" w:fill="auto"/>
            <w:vAlign w:val="bottom"/>
          </w:tcPr>
          <w:p w:rsidRPr="009C48DA" w:rsidR="008C06C3" w:rsidP="008C06C3" w:rsidRDefault="008C06C3" w14:paraId="097BCBFD" w14:textId="77777777">
            <w:pPr>
              <w:jc w:val="right"/>
              <w:rPr>
                <w:sz w:val="17"/>
                <w:szCs w:val="17"/>
                <w:lang w:val="en-GB"/>
              </w:rPr>
            </w:pPr>
            <w:r w:rsidRPr="009C48DA">
              <w:rPr>
                <w:rFonts w:cs="Times New Roman"/>
                <w:sz w:val="17"/>
                <w:szCs w:val="17"/>
                <w:lang w:val="en-GB"/>
              </w:rPr>
              <w:t>—</w:t>
            </w:r>
          </w:p>
        </w:tc>
      </w:tr>
      <w:tr w:rsidRPr="009C48DA" w:rsidR="008C06C3" w:rsidTr="008C06C3" w14:paraId="37CF2C09" w14:textId="77777777">
        <w:tc>
          <w:tcPr>
            <w:tcW w:w="2420" w:type="pct"/>
            <w:shd w:val="clear" w:color="auto" w:fill="auto"/>
            <w:vAlign w:val="bottom"/>
          </w:tcPr>
          <w:p w:rsidRPr="009C48DA" w:rsidR="008C06C3" w:rsidP="008C06C3" w:rsidRDefault="008C06C3" w14:paraId="4BD29427" w14:textId="77777777">
            <w:pPr>
              <w:tabs>
                <w:tab w:val="right" w:leader="dot" w:pos="5518"/>
              </w:tabs>
              <w:rPr>
                <w:rFonts w:cs="Times New Roman"/>
                <w:sz w:val="17"/>
                <w:szCs w:val="17"/>
                <w:lang w:val="en-GB"/>
              </w:rPr>
            </w:pPr>
            <w:r w:rsidRPr="009C48DA">
              <w:rPr>
                <w:rFonts w:cs="Times New Roman"/>
                <w:sz w:val="17"/>
                <w:szCs w:val="17"/>
                <w:lang w:val="en-GB"/>
              </w:rPr>
              <w:t>Trade and other receivables</w:t>
            </w:r>
            <w:r w:rsidRPr="009C48DA">
              <w:rPr>
                <w:sz w:val="17"/>
                <w:szCs w:val="17"/>
                <w:lang w:val="en-GB"/>
              </w:rPr>
              <w:tab/>
            </w:r>
          </w:p>
        </w:tc>
        <w:tc>
          <w:tcPr>
            <w:tcW w:w="645" w:type="pct"/>
            <w:vAlign w:val="bottom"/>
          </w:tcPr>
          <w:p w:rsidRPr="009C48DA" w:rsidR="008C06C3" w:rsidP="008C06C3" w:rsidRDefault="008C06C3" w14:paraId="688A8630" w14:textId="77777777">
            <w:pPr>
              <w:pBdr>
                <w:bottom w:val="single" w:color="auto" w:sz="4" w:space="1"/>
              </w:pBdr>
              <w:jc w:val="right"/>
              <w:rPr>
                <w:sz w:val="17"/>
                <w:szCs w:val="17"/>
                <w:lang w:val="en-GB"/>
              </w:rPr>
            </w:pPr>
            <w:r w:rsidRPr="009C48DA">
              <w:rPr>
                <w:sz w:val="17"/>
                <w:szCs w:val="17"/>
                <w:lang w:val="en-GB"/>
              </w:rPr>
              <w:t>185,039</w:t>
            </w:r>
          </w:p>
        </w:tc>
        <w:tc>
          <w:tcPr>
            <w:tcW w:w="645" w:type="pct"/>
            <w:vAlign w:val="bottom"/>
          </w:tcPr>
          <w:p w:rsidRPr="009C48DA" w:rsidR="008C06C3" w:rsidP="008C06C3" w:rsidRDefault="008C06C3" w14:paraId="254AE077" w14:textId="77777777">
            <w:pPr>
              <w:pBdr>
                <w:bottom w:val="single" w:color="auto" w:sz="4" w:space="1"/>
              </w:pBdr>
              <w:jc w:val="right"/>
              <w:rPr>
                <w:sz w:val="17"/>
                <w:szCs w:val="17"/>
                <w:lang w:val="en-GB"/>
              </w:rPr>
            </w:pPr>
            <w:r w:rsidRPr="009C48DA">
              <w:rPr>
                <w:sz w:val="17"/>
                <w:szCs w:val="17"/>
                <w:lang w:val="en-GB"/>
              </w:rPr>
              <w:t>117,142</w:t>
            </w:r>
          </w:p>
        </w:tc>
        <w:tc>
          <w:tcPr>
            <w:tcW w:w="649" w:type="pct"/>
            <w:vAlign w:val="bottom"/>
          </w:tcPr>
          <w:p w:rsidRPr="009C48DA" w:rsidR="008C06C3" w:rsidP="008C06C3" w:rsidRDefault="008C06C3" w14:paraId="449206D4" w14:textId="77777777">
            <w:pPr>
              <w:pBdr>
                <w:bottom w:val="single" w:color="auto" w:sz="4" w:space="1"/>
              </w:pBdr>
              <w:jc w:val="right"/>
              <w:rPr>
                <w:sz w:val="17"/>
                <w:szCs w:val="17"/>
                <w:lang w:val="en-GB"/>
              </w:rPr>
            </w:pPr>
            <w:r w:rsidRPr="009C48DA">
              <w:rPr>
                <w:sz w:val="17"/>
                <w:szCs w:val="17"/>
                <w:lang w:val="en-GB"/>
              </w:rPr>
              <w:t>6,924</w:t>
            </w:r>
          </w:p>
        </w:tc>
        <w:tc>
          <w:tcPr>
            <w:tcW w:w="641" w:type="pct"/>
            <w:shd w:val="clear" w:color="auto" w:fill="auto"/>
            <w:vAlign w:val="bottom"/>
          </w:tcPr>
          <w:p w:rsidRPr="009C48DA" w:rsidR="008C06C3" w:rsidP="008C06C3" w:rsidRDefault="008C06C3" w14:paraId="311CC570" w14:textId="77777777">
            <w:pPr>
              <w:pBdr>
                <w:bottom w:val="single" w:color="auto" w:sz="4" w:space="1"/>
              </w:pBdr>
              <w:jc w:val="right"/>
              <w:rPr>
                <w:sz w:val="17"/>
                <w:szCs w:val="17"/>
                <w:lang w:val="en-GB"/>
              </w:rPr>
            </w:pPr>
            <w:r w:rsidRPr="009C48DA">
              <w:rPr>
                <w:sz w:val="17"/>
                <w:szCs w:val="17"/>
                <w:lang w:val="en-GB"/>
              </w:rPr>
              <w:t>6,663</w:t>
            </w:r>
          </w:p>
        </w:tc>
      </w:tr>
      <w:tr w:rsidRPr="009C48DA" w:rsidR="008C06C3" w:rsidTr="008C06C3" w14:paraId="3DF4B0FC" w14:textId="77777777">
        <w:tc>
          <w:tcPr>
            <w:tcW w:w="2420" w:type="pct"/>
            <w:shd w:val="clear" w:color="auto" w:fill="auto"/>
            <w:vAlign w:val="bottom"/>
          </w:tcPr>
          <w:p w:rsidRPr="009C48DA" w:rsidR="008C06C3" w:rsidP="008C06C3" w:rsidRDefault="008C06C3" w14:paraId="21D920A6" w14:textId="77777777">
            <w:pPr>
              <w:tabs>
                <w:tab w:val="right" w:leader="dot" w:pos="5518"/>
              </w:tabs>
              <w:rPr>
                <w:rFonts w:cs="Times New Roman"/>
                <w:b/>
                <w:sz w:val="17"/>
                <w:szCs w:val="17"/>
                <w:lang w:val="en-GB"/>
              </w:rPr>
            </w:pPr>
            <w:r w:rsidRPr="009C48DA">
              <w:rPr>
                <w:rFonts w:cs="Times New Roman"/>
                <w:b/>
                <w:sz w:val="17"/>
                <w:szCs w:val="17"/>
                <w:lang w:val="en-GB"/>
              </w:rPr>
              <w:t>Total non-current assets</w:t>
            </w:r>
            <w:r w:rsidRPr="009C48DA">
              <w:rPr>
                <w:rFonts w:cs="Times New Roman"/>
                <w:sz w:val="17"/>
                <w:szCs w:val="17"/>
                <w:lang w:val="en-GB"/>
              </w:rPr>
              <w:tab/>
            </w:r>
          </w:p>
        </w:tc>
        <w:tc>
          <w:tcPr>
            <w:tcW w:w="645" w:type="pct"/>
            <w:vAlign w:val="bottom"/>
          </w:tcPr>
          <w:p w:rsidRPr="009C48DA" w:rsidR="008C06C3" w:rsidP="008C06C3" w:rsidRDefault="008C06C3" w14:paraId="21C64FCE" w14:textId="77777777">
            <w:pPr>
              <w:pBdr>
                <w:bottom w:val="single" w:color="auto" w:sz="4" w:space="1"/>
              </w:pBdr>
              <w:jc w:val="right"/>
              <w:rPr>
                <w:b/>
                <w:sz w:val="17"/>
                <w:szCs w:val="17"/>
                <w:lang w:val="en-GB"/>
              </w:rPr>
            </w:pPr>
            <w:r w:rsidRPr="009C48DA">
              <w:rPr>
                <w:b/>
                <w:sz w:val="17"/>
                <w:szCs w:val="17"/>
                <w:lang w:val="en-GB"/>
              </w:rPr>
              <w:t>461,315</w:t>
            </w:r>
          </w:p>
        </w:tc>
        <w:tc>
          <w:tcPr>
            <w:tcW w:w="645" w:type="pct"/>
            <w:vAlign w:val="bottom"/>
          </w:tcPr>
          <w:p w:rsidRPr="009C48DA" w:rsidR="008C06C3" w:rsidP="008C06C3" w:rsidRDefault="008C06C3" w14:paraId="4FF060F6" w14:textId="77777777">
            <w:pPr>
              <w:pBdr>
                <w:bottom w:val="single" w:color="auto" w:sz="4" w:space="1"/>
              </w:pBdr>
              <w:jc w:val="right"/>
              <w:rPr>
                <w:b/>
                <w:sz w:val="17"/>
                <w:szCs w:val="17"/>
                <w:lang w:val="en-GB"/>
              </w:rPr>
            </w:pPr>
            <w:r w:rsidRPr="009C48DA">
              <w:rPr>
                <w:b/>
                <w:sz w:val="17"/>
                <w:szCs w:val="17"/>
                <w:lang w:val="en-GB"/>
              </w:rPr>
              <w:t>382,983</w:t>
            </w:r>
          </w:p>
        </w:tc>
        <w:tc>
          <w:tcPr>
            <w:tcW w:w="649" w:type="pct"/>
            <w:vAlign w:val="bottom"/>
          </w:tcPr>
          <w:p w:rsidRPr="009C48DA" w:rsidR="008C06C3" w:rsidP="008C06C3" w:rsidRDefault="008C06C3" w14:paraId="53C49003" w14:textId="77777777">
            <w:pPr>
              <w:pBdr>
                <w:bottom w:val="single" w:color="auto" w:sz="4" w:space="1"/>
              </w:pBdr>
              <w:jc w:val="right"/>
              <w:rPr>
                <w:b/>
                <w:sz w:val="17"/>
                <w:szCs w:val="17"/>
                <w:lang w:val="en-GB"/>
              </w:rPr>
            </w:pPr>
            <w:r w:rsidRPr="009C48DA">
              <w:rPr>
                <w:b/>
                <w:sz w:val="17"/>
                <w:szCs w:val="17"/>
                <w:lang w:val="en-GB"/>
              </w:rPr>
              <w:t>435,621</w:t>
            </w:r>
          </w:p>
        </w:tc>
        <w:tc>
          <w:tcPr>
            <w:tcW w:w="641" w:type="pct"/>
            <w:shd w:val="clear" w:color="auto" w:fill="auto"/>
            <w:vAlign w:val="bottom"/>
          </w:tcPr>
          <w:p w:rsidRPr="009C48DA" w:rsidR="008C06C3" w:rsidP="008C06C3" w:rsidRDefault="008C06C3" w14:paraId="36D5AA58" w14:textId="77777777">
            <w:pPr>
              <w:pBdr>
                <w:bottom w:val="single" w:color="auto" w:sz="4" w:space="1"/>
              </w:pBdr>
              <w:jc w:val="right"/>
              <w:rPr>
                <w:b/>
                <w:sz w:val="17"/>
                <w:szCs w:val="17"/>
                <w:lang w:val="en-GB"/>
              </w:rPr>
            </w:pPr>
            <w:r w:rsidRPr="009C48DA">
              <w:rPr>
                <w:b/>
                <w:sz w:val="17"/>
                <w:szCs w:val="17"/>
                <w:lang w:val="en-GB"/>
              </w:rPr>
              <w:t>433,036</w:t>
            </w:r>
          </w:p>
        </w:tc>
      </w:tr>
      <w:tr w:rsidRPr="009C48DA" w:rsidR="008C06C3" w:rsidTr="008C06C3" w14:paraId="5925B85E" w14:textId="77777777">
        <w:tc>
          <w:tcPr>
            <w:tcW w:w="2420" w:type="pct"/>
            <w:shd w:val="clear" w:color="auto" w:fill="auto"/>
            <w:vAlign w:val="bottom"/>
          </w:tcPr>
          <w:p w:rsidRPr="009C48DA" w:rsidR="008C06C3" w:rsidP="008C06C3" w:rsidRDefault="008C06C3" w14:paraId="6F36842B" w14:textId="77777777">
            <w:pPr>
              <w:tabs>
                <w:tab w:val="right" w:leader="dot" w:pos="5518"/>
              </w:tabs>
              <w:rPr>
                <w:rFonts w:cs="Times New Roman"/>
                <w:b/>
                <w:sz w:val="17"/>
                <w:szCs w:val="17"/>
                <w:lang w:val="en-GB"/>
              </w:rPr>
            </w:pPr>
          </w:p>
        </w:tc>
        <w:tc>
          <w:tcPr>
            <w:tcW w:w="645" w:type="pct"/>
            <w:vAlign w:val="bottom"/>
          </w:tcPr>
          <w:p w:rsidRPr="009C48DA" w:rsidR="008C06C3" w:rsidP="008C06C3" w:rsidRDefault="008C06C3" w14:paraId="1979508C" w14:textId="77777777">
            <w:pPr>
              <w:jc w:val="right"/>
              <w:rPr>
                <w:b/>
                <w:sz w:val="17"/>
                <w:szCs w:val="17"/>
                <w:lang w:val="en-GB"/>
              </w:rPr>
            </w:pPr>
          </w:p>
        </w:tc>
        <w:tc>
          <w:tcPr>
            <w:tcW w:w="645" w:type="pct"/>
            <w:vAlign w:val="bottom"/>
          </w:tcPr>
          <w:p w:rsidRPr="009C48DA" w:rsidR="008C06C3" w:rsidP="008C06C3" w:rsidRDefault="008C06C3" w14:paraId="5E13C620" w14:textId="77777777">
            <w:pPr>
              <w:jc w:val="right"/>
              <w:rPr>
                <w:b/>
                <w:sz w:val="17"/>
                <w:szCs w:val="17"/>
                <w:lang w:val="en-GB"/>
              </w:rPr>
            </w:pPr>
          </w:p>
        </w:tc>
        <w:tc>
          <w:tcPr>
            <w:tcW w:w="649" w:type="pct"/>
            <w:vAlign w:val="bottom"/>
          </w:tcPr>
          <w:p w:rsidRPr="009C48DA" w:rsidR="008C06C3" w:rsidP="008C06C3" w:rsidRDefault="008C06C3" w14:paraId="37A4AD77" w14:textId="77777777">
            <w:pPr>
              <w:jc w:val="right"/>
              <w:rPr>
                <w:b/>
                <w:sz w:val="17"/>
                <w:szCs w:val="17"/>
                <w:lang w:val="en-GB"/>
              </w:rPr>
            </w:pPr>
          </w:p>
        </w:tc>
        <w:tc>
          <w:tcPr>
            <w:tcW w:w="641" w:type="pct"/>
            <w:shd w:val="clear" w:color="auto" w:fill="auto"/>
            <w:vAlign w:val="bottom"/>
          </w:tcPr>
          <w:p w:rsidRPr="009C48DA" w:rsidR="008C06C3" w:rsidP="008C06C3" w:rsidRDefault="008C06C3" w14:paraId="439F8107" w14:textId="77777777">
            <w:pPr>
              <w:jc w:val="right"/>
              <w:rPr>
                <w:b/>
                <w:sz w:val="17"/>
                <w:szCs w:val="17"/>
                <w:lang w:val="en-GB"/>
              </w:rPr>
            </w:pPr>
          </w:p>
        </w:tc>
      </w:tr>
      <w:tr w:rsidRPr="009C48DA" w:rsidR="008C06C3" w:rsidTr="008C06C3" w14:paraId="7C42661B" w14:textId="77777777">
        <w:tc>
          <w:tcPr>
            <w:tcW w:w="2420" w:type="pct"/>
            <w:shd w:val="clear" w:color="auto" w:fill="auto"/>
            <w:vAlign w:val="bottom"/>
          </w:tcPr>
          <w:p w:rsidRPr="009C48DA" w:rsidR="008C06C3" w:rsidP="008C06C3" w:rsidRDefault="008C06C3" w14:paraId="171ECB4A" w14:textId="77777777">
            <w:pPr>
              <w:tabs>
                <w:tab w:val="right" w:leader="dot" w:pos="5518"/>
              </w:tabs>
              <w:rPr>
                <w:rFonts w:cs="Times New Roman"/>
                <w:b/>
                <w:sz w:val="17"/>
                <w:szCs w:val="17"/>
                <w:lang w:val="en-GB"/>
              </w:rPr>
            </w:pPr>
            <w:r w:rsidRPr="009C48DA">
              <w:rPr>
                <w:rFonts w:cs="Times New Roman"/>
                <w:b/>
                <w:sz w:val="17"/>
                <w:szCs w:val="17"/>
                <w:lang w:val="en-GB"/>
              </w:rPr>
              <w:t>Current assets</w:t>
            </w:r>
          </w:p>
        </w:tc>
        <w:tc>
          <w:tcPr>
            <w:tcW w:w="645" w:type="pct"/>
            <w:vAlign w:val="bottom"/>
          </w:tcPr>
          <w:p w:rsidRPr="009C48DA" w:rsidR="008C06C3" w:rsidP="008C06C3" w:rsidRDefault="008C06C3" w14:paraId="136980E5" w14:textId="77777777">
            <w:pPr>
              <w:jc w:val="right"/>
              <w:rPr>
                <w:b/>
                <w:sz w:val="17"/>
                <w:szCs w:val="17"/>
                <w:lang w:val="en-GB"/>
              </w:rPr>
            </w:pPr>
          </w:p>
        </w:tc>
        <w:tc>
          <w:tcPr>
            <w:tcW w:w="645" w:type="pct"/>
            <w:vAlign w:val="bottom"/>
          </w:tcPr>
          <w:p w:rsidRPr="009C48DA" w:rsidR="008C06C3" w:rsidP="008C06C3" w:rsidRDefault="008C06C3" w14:paraId="51828EB5" w14:textId="77777777">
            <w:pPr>
              <w:jc w:val="right"/>
              <w:rPr>
                <w:b/>
                <w:sz w:val="17"/>
                <w:szCs w:val="17"/>
                <w:lang w:val="en-GB"/>
              </w:rPr>
            </w:pPr>
          </w:p>
        </w:tc>
        <w:tc>
          <w:tcPr>
            <w:tcW w:w="649" w:type="pct"/>
            <w:vAlign w:val="bottom"/>
          </w:tcPr>
          <w:p w:rsidRPr="009C48DA" w:rsidR="008C06C3" w:rsidP="008C06C3" w:rsidRDefault="008C06C3" w14:paraId="18A99477" w14:textId="77777777">
            <w:pPr>
              <w:jc w:val="right"/>
              <w:rPr>
                <w:b/>
                <w:sz w:val="17"/>
                <w:szCs w:val="17"/>
                <w:lang w:val="en-GB"/>
              </w:rPr>
            </w:pPr>
          </w:p>
        </w:tc>
        <w:tc>
          <w:tcPr>
            <w:tcW w:w="641" w:type="pct"/>
            <w:shd w:val="clear" w:color="auto" w:fill="auto"/>
            <w:vAlign w:val="bottom"/>
          </w:tcPr>
          <w:p w:rsidRPr="009C48DA" w:rsidR="008C06C3" w:rsidP="008C06C3" w:rsidRDefault="008C06C3" w14:paraId="3CB1637C" w14:textId="77777777">
            <w:pPr>
              <w:jc w:val="right"/>
              <w:rPr>
                <w:b/>
                <w:sz w:val="17"/>
                <w:szCs w:val="17"/>
                <w:lang w:val="en-GB"/>
              </w:rPr>
            </w:pPr>
          </w:p>
        </w:tc>
      </w:tr>
      <w:tr w:rsidRPr="009C48DA" w:rsidR="008C06C3" w:rsidTr="008C06C3" w14:paraId="0BE58340" w14:textId="77777777">
        <w:tc>
          <w:tcPr>
            <w:tcW w:w="2420" w:type="pct"/>
            <w:shd w:val="clear" w:color="auto" w:fill="auto"/>
            <w:vAlign w:val="bottom"/>
          </w:tcPr>
          <w:p w:rsidRPr="009C48DA" w:rsidR="008C06C3" w:rsidP="008C06C3" w:rsidRDefault="008C06C3" w14:paraId="1A5426C0" w14:textId="77777777">
            <w:pPr>
              <w:tabs>
                <w:tab w:val="right" w:leader="dot" w:pos="5518"/>
              </w:tabs>
              <w:rPr>
                <w:rFonts w:cs="Times New Roman"/>
                <w:sz w:val="17"/>
                <w:szCs w:val="17"/>
                <w:lang w:val="en-GB"/>
              </w:rPr>
            </w:pPr>
            <w:r w:rsidRPr="009C48DA">
              <w:rPr>
                <w:rFonts w:cs="Times New Roman"/>
                <w:sz w:val="17"/>
                <w:szCs w:val="17"/>
                <w:lang w:val="en-GB"/>
              </w:rPr>
              <w:t>Fair value of CLO assets</w:t>
            </w:r>
            <w:r w:rsidRPr="009C48DA">
              <w:rPr>
                <w:rFonts w:cs="Times New Roman"/>
                <w:sz w:val="17"/>
                <w:szCs w:val="17"/>
                <w:vertAlign w:val="superscript"/>
                <w:lang w:val="en-GB"/>
              </w:rPr>
              <w:t>(1)</w:t>
            </w:r>
            <w:r w:rsidRPr="009C48DA">
              <w:rPr>
                <w:rFonts w:cs="Times New Roman"/>
                <w:sz w:val="17"/>
                <w:szCs w:val="17"/>
                <w:lang w:val="en-GB"/>
              </w:rPr>
              <w:tab/>
            </w:r>
          </w:p>
        </w:tc>
        <w:tc>
          <w:tcPr>
            <w:tcW w:w="645" w:type="pct"/>
            <w:vAlign w:val="bottom"/>
          </w:tcPr>
          <w:p w:rsidRPr="009C48DA" w:rsidR="008C06C3" w:rsidP="008C06C3" w:rsidRDefault="008C06C3" w14:paraId="295F60DA" w14:textId="77777777">
            <w:pPr>
              <w:jc w:val="right"/>
              <w:rPr>
                <w:sz w:val="17"/>
                <w:szCs w:val="17"/>
                <w:lang w:val="en-GB"/>
              </w:rPr>
            </w:pPr>
            <w:r w:rsidRPr="009C48DA">
              <w:rPr>
                <w:rFonts w:cs="Times New Roman"/>
                <w:sz w:val="17"/>
                <w:szCs w:val="17"/>
                <w:lang w:val="en-GB"/>
              </w:rPr>
              <w:t>—</w:t>
            </w:r>
          </w:p>
        </w:tc>
        <w:tc>
          <w:tcPr>
            <w:tcW w:w="645" w:type="pct"/>
            <w:vAlign w:val="bottom"/>
          </w:tcPr>
          <w:p w:rsidRPr="009C48DA" w:rsidR="008C06C3" w:rsidP="008C06C3" w:rsidRDefault="008C06C3" w14:paraId="4B136183" w14:textId="77777777">
            <w:pPr>
              <w:jc w:val="right"/>
              <w:rPr>
                <w:sz w:val="17"/>
                <w:szCs w:val="17"/>
                <w:lang w:val="en-GB"/>
              </w:rPr>
            </w:pPr>
            <w:r w:rsidRPr="009C48DA">
              <w:rPr>
                <w:rFonts w:cs="Times New Roman"/>
                <w:sz w:val="17"/>
                <w:szCs w:val="17"/>
                <w:lang w:val="en-GB"/>
              </w:rPr>
              <w:t>—</w:t>
            </w:r>
          </w:p>
        </w:tc>
        <w:tc>
          <w:tcPr>
            <w:tcW w:w="649" w:type="pct"/>
            <w:vAlign w:val="bottom"/>
          </w:tcPr>
          <w:p w:rsidRPr="009C48DA" w:rsidR="008C06C3" w:rsidP="008C06C3" w:rsidRDefault="008C06C3" w14:paraId="4190C205" w14:textId="77777777">
            <w:pPr>
              <w:jc w:val="right"/>
              <w:rPr>
                <w:sz w:val="17"/>
                <w:szCs w:val="17"/>
                <w:lang w:val="en-GB"/>
              </w:rPr>
            </w:pPr>
            <w:r w:rsidRPr="009C48DA">
              <w:rPr>
                <w:sz w:val="17"/>
                <w:szCs w:val="17"/>
                <w:lang w:val="en-GB"/>
              </w:rPr>
              <w:t>272,476</w:t>
            </w:r>
          </w:p>
        </w:tc>
        <w:tc>
          <w:tcPr>
            <w:tcW w:w="641" w:type="pct"/>
            <w:shd w:val="clear" w:color="auto" w:fill="auto"/>
            <w:vAlign w:val="bottom"/>
          </w:tcPr>
          <w:p w:rsidRPr="009C48DA" w:rsidR="008C06C3" w:rsidP="008C06C3" w:rsidRDefault="008C06C3" w14:paraId="69701514" w14:textId="77777777">
            <w:pPr>
              <w:jc w:val="right"/>
              <w:rPr>
                <w:sz w:val="17"/>
                <w:szCs w:val="17"/>
                <w:lang w:val="en-GB"/>
              </w:rPr>
            </w:pPr>
            <w:r w:rsidRPr="009C48DA">
              <w:rPr>
                <w:sz w:val="17"/>
                <w:szCs w:val="17"/>
                <w:lang w:val="en-GB"/>
              </w:rPr>
              <w:t>380,534</w:t>
            </w:r>
          </w:p>
        </w:tc>
      </w:tr>
      <w:tr w:rsidRPr="009C48DA" w:rsidR="008C06C3" w:rsidTr="008C06C3" w14:paraId="67A8C7ED" w14:textId="77777777">
        <w:tc>
          <w:tcPr>
            <w:tcW w:w="2420" w:type="pct"/>
            <w:shd w:val="clear" w:color="auto" w:fill="auto"/>
            <w:vAlign w:val="bottom"/>
          </w:tcPr>
          <w:p w:rsidRPr="009C48DA" w:rsidR="008C06C3" w:rsidP="008C06C3" w:rsidRDefault="008C06C3" w14:paraId="7EE8DFB3" w14:textId="77777777">
            <w:pPr>
              <w:tabs>
                <w:tab w:val="right" w:leader="dot" w:pos="5518"/>
              </w:tabs>
              <w:rPr>
                <w:rFonts w:cs="Times New Roman"/>
                <w:sz w:val="17"/>
                <w:szCs w:val="17"/>
                <w:lang w:val="en-GB"/>
              </w:rPr>
            </w:pPr>
            <w:r w:rsidRPr="009C48DA">
              <w:rPr>
                <w:rFonts w:cs="Times New Roman"/>
                <w:sz w:val="17"/>
                <w:szCs w:val="17"/>
                <w:lang w:val="en-GB"/>
              </w:rPr>
              <w:t>Trade and other receivables</w:t>
            </w:r>
            <w:r w:rsidRPr="009C48DA">
              <w:rPr>
                <w:rFonts w:cs="Times New Roman"/>
                <w:sz w:val="17"/>
                <w:szCs w:val="17"/>
                <w:lang w:val="en-GB"/>
              </w:rPr>
              <w:tab/>
            </w:r>
          </w:p>
        </w:tc>
        <w:tc>
          <w:tcPr>
            <w:tcW w:w="645" w:type="pct"/>
            <w:vAlign w:val="bottom"/>
          </w:tcPr>
          <w:p w:rsidRPr="009C48DA" w:rsidR="008C06C3" w:rsidP="008C06C3" w:rsidRDefault="008C06C3" w14:paraId="46DAD1BC" w14:textId="77777777">
            <w:pPr>
              <w:jc w:val="right"/>
              <w:rPr>
                <w:sz w:val="17"/>
                <w:szCs w:val="17"/>
                <w:lang w:val="en-GB"/>
              </w:rPr>
            </w:pPr>
            <w:r w:rsidRPr="009C48DA">
              <w:rPr>
                <w:sz w:val="17"/>
                <w:szCs w:val="17"/>
                <w:lang w:val="en-GB"/>
              </w:rPr>
              <w:t>33,348</w:t>
            </w:r>
          </w:p>
        </w:tc>
        <w:tc>
          <w:tcPr>
            <w:tcW w:w="645" w:type="pct"/>
            <w:vAlign w:val="bottom"/>
          </w:tcPr>
          <w:p w:rsidRPr="009C48DA" w:rsidR="008C06C3" w:rsidP="008C06C3" w:rsidRDefault="008C06C3" w14:paraId="53ACEEF0" w14:textId="77777777">
            <w:pPr>
              <w:jc w:val="right"/>
              <w:rPr>
                <w:sz w:val="17"/>
                <w:szCs w:val="17"/>
                <w:lang w:val="en-GB"/>
              </w:rPr>
            </w:pPr>
            <w:r w:rsidRPr="009C48DA">
              <w:rPr>
                <w:sz w:val="17"/>
                <w:szCs w:val="17"/>
                <w:lang w:val="en-GB"/>
              </w:rPr>
              <w:t>110,143</w:t>
            </w:r>
          </w:p>
        </w:tc>
        <w:tc>
          <w:tcPr>
            <w:tcW w:w="649" w:type="pct"/>
            <w:vAlign w:val="bottom"/>
          </w:tcPr>
          <w:p w:rsidRPr="009C48DA" w:rsidR="008C06C3" w:rsidP="008C06C3" w:rsidRDefault="008C06C3" w14:paraId="2C575EA1" w14:textId="374B2192">
            <w:pPr>
              <w:jc w:val="right"/>
              <w:rPr>
                <w:sz w:val="17"/>
                <w:szCs w:val="17"/>
                <w:lang w:val="en-GB"/>
              </w:rPr>
            </w:pPr>
            <w:r w:rsidRPr="009C48DA">
              <w:rPr>
                <w:sz w:val="17"/>
                <w:szCs w:val="17"/>
                <w:lang w:val="en-GB"/>
              </w:rPr>
              <w:t>176,761</w:t>
            </w:r>
          </w:p>
        </w:tc>
        <w:tc>
          <w:tcPr>
            <w:tcW w:w="641" w:type="pct"/>
            <w:shd w:val="clear" w:color="auto" w:fill="auto"/>
            <w:vAlign w:val="bottom"/>
          </w:tcPr>
          <w:p w:rsidRPr="009C48DA" w:rsidR="008C06C3" w:rsidP="008C06C3" w:rsidRDefault="008C06C3" w14:paraId="2ED6207B" w14:textId="5853A31F">
            <w:pPr>
              <w:jc w:val="right"/>
              <w:rPr>
                <w:sz w:val="17"/>
                <w:szCs w:val="17"/>
                <w:lang w:val="en-GB"/>
              </w:rPr>
            </w:pPr>
            <w:r w:rsidRPr="009C48DA">
              <w:rPr>
                <w:sz w:val="17"/>
                <w:szCs w:val="17"/>
                <w:lang w:val="en-GB"/>
              </w:rPr>
              <w:t>171,179</w:t>
            </w:r>
          </w:p>
        </w:tc>
      </w:tr>
      <w:tr w:rsidRPr="009C48DA" w:rsidR="008C06C3" w:rsidTr="008C06C3" w14:paraId="799A1A24" w14:textId="77777777">
        <w:tc>
          <w:tcPr>
            <w:tcW w:w="2420" w:type="pct"/>
            <w:shd w:val="clear" w:color="auto" w:fill="auto"/>
            <w:vAlign w:val="bottom"/>
          </w:tcPr>
          <w:p w:rsidRPr="009C48DA" w:rsidR="008C06C3" w:rsidP="008C06C3" w:rsidRDefault="008C06C3" w14:paraId="510AC69C" w14:textId="77777777">
            <w:pPr>
              <w:tabs>
                <w:tab w:val="right" w:leader="dot" w:pos="5518"/>
              </w:tabs>
              <w:rPr>
                <w:rFonts w:cs="Times New Roman"/>
                <w:sz w:val="17"/>
                <w:szCs w:val="17"/>
                <w:lang w:val="en-GB"/>
              </w:rPr>
            </w:pPr>
            <w:r w:rsidRPr="009C48DA">
              <w:rPr>
                <w:rFonts w:cs="Times New Roman"/>
                <w:sz w:val="17"/>
                <w:szCs w:val="17"/>
                <w:lang w:val="en-GB"/>
              </w:rPr>
              <w:t>Derivative financial instruments</w:t>
            </w:r>
            <w:r w:rsidRPr="009C48DA">
              <w:rPr>
                <w:sz w:val="17"/>
                <w:szCs w:val="17"/>
                <w:lang w:val="en-GB"/>
              </w:rPr>
              <w:tab/>
            </w:r>
          </w:p>
        </w:tc>
        <w:tc>
          <w:tcPr>
            <w:tcW w:w="645" w:type="pct"/>
            <w:vAlign w:val="bottom"/>
          </w:tcPr>
          <w:p w:rsidRPr="009C48DA" w:rsidR="008C06C3" w:rsidP="008C06C3" w:rsidRDefault="008C06C3" w14:paraId="25721DA6" w14:textId="77777777">
            <w:pPr>
              <w:jc w:val="right"/>
              <w:rPr>
                <w:sz w:val="17"/>
                <w:szCs w:val="17"/>
                <w:lang w:val="en-GB"/>
              </w:rPr>
            </w:pPr>
            <w:r w:rsidRPr="009C48DA">
              <w:rPr>
                <w:rFonts w:cs="Times New Roman"/>
                <w:sz w:val="17"/>
                <w:szCs w:val="17"/>
                <w:lang w:val="en-GB"/>
              </w:rPr>
              <w:t>—</w:t>
            </w:r>
          </w:p>
        </w:tc>
        <w:tc>
          <w:tcPr>
            <w:tcW w:w="645" w:type="pct"/>
            <w:vAlign w:val="bottom"/>
          </w:tcPr>
          <w:p w:rsidRPr="009C48DA" w:rsidR="008C06C3" w:rsidP="008C06C3" w:rsidRDefault="008C06C3" w14:paraId="25E82E04" w14:textId="77777777">
            <w:pPr>
              <w:jc w:val="right"/>
              <w:rPr>
                <w:sz w:val="17"/>
                <w:szCs w:val="17"/>
                <w:lang w:val="en-GB"/>
              </w:rPr>
            </w:pPr>
            <w:r w:rsidRPr="009C48DA">
              <w:rPr>
                <w:sz w:val="17"/>
                <w:szCs w:val="17"/>
                <w:lang w:val="en-GB"/>
              </w:rPr>
              <w:t>2,015</w:t>
            </w:r>
          </w:p>
        </w:tc>
        <w:tc>
          <w:tcPr>
            <w:tcW w:w="649" w:type="pct"/>
            <w:vAlign w:val="bottom"/>
          </w:tcPr>
          <w:p w:rsidRPr="009C48DA" w:rsidR="008C06C3" w:rsidP="008C06C3" w:rsidRDefault="008C06C3" w14:paraId="573A1895" w14:textId="77777777">
            <w:pPr>
              <w:jc w:val="right"/>
              <w:rPr>
                <w:sz w:val="17"/>
                <w:szCs w:val="17"/>
                <w:lang w:val="en-GB"/>
              </w:rPr>
            </w:pPr>
            <w:r w:rsidRPr="009C48DA">
              <w:rPr>
                <w:rFonts w:cs="Times New Roman"/>
                <w:sz w:val="17"/>
                <w:szCs w:val="17"/>
                <w:lang w:val="en-GB"/>
              </w:rPr>
              <w:t>—</w:t>
            </w:r>
          </w:p>
        </w:tc>
        <w:tc>
          <w:tcPr>
            <w:tcW w:w="641" w:type="pct"/>
            <w:shd w:val="clear" w:color="auto" w:fill="auto"/>
            <w:vAlign w:val="bottom"/>
          </w:tcPr>
          <w:p w:rsidRPr="009C48DA" w:rsidR="008C06C3" w:rsidP="008C06C3" w:rsidRDefault="008C06C3" w14:paraId="6ACDF0C1" w14:textId="77777777">
            <w:pPr>
              <w:jc w:val="right"/>
              <w:rPr>
                <w:sz w:val="17"/>
                <w:szCs w:val="17"/>
                <w:lang w:val="en-GB"/>
              </w:rPr>
            </w:pPr>
            <w:r w:rsidRPr="009C48DA">
              <w:rPr>
                <w:sz w:val="17"/>
                <w:szCs w:val="17"/>
                <w:lang w:val="en-GB"/>
              </w:rPr>
              <w:t>5,841</w:t>
            </w:r>
          </w:p>
        </w:tc>
      </w:tr>
      <w:tr w:rsidRPr="009C48DA" w:rsidR="008C06C3" w:rsidTr="008C06C3" w14:paraId="2B0A34DC" w14:textId="77777777">
        <w:tc>
          <w:tcPr>
            <w:tcW w:w="2420" w:type="pct"/>
            <w:shd w:val="clear" w:color="auto" w:fill="auto"/>
            <w:vAlign w:val="bottom"/>
          </w:tcPr>
          <w:p w:rsidRPr="009C48DA" w:rsidR="008C06C3" w:rsidP="008C06C3" w:rsidRDefault="008C06C3" w14:paraId="27E9C500" w14:textId="77777777">
            <w:pPr>
              <w:tabs>
                <w:tab w:val="right" w:leader="dot" w:pos="5518"/>
              </w:tabs>
              <w:rPr>
                <w:rFonts w:cs="Times New Roman"/>
                <w:sz w:val="17"/>
                <w:szCs w:val="17"/>
                <w:lang w:val="en-GB"/>
              </w:rPr>
            </w:pPr>
            <w:r w:rsidRPr="009C48DA">
              <w:rPr>
                <w:rFonts w:cs="Times New Roman"/>
                <w:sz w:val="17"/>
                <w:szCs w:val="17"/>
                <w:lang w:val="en-GB"/>
              </w:rPr>
              <w:t>Cash and cash equivalents</w:t>
            </w:r>
            <w:r w:rsidRPr="009C48DA">
              <w:rPr>
                <w:sz w:val="17"/>
                <w:szCs w:val="17"/>
                <w:lang w:val="en-GB"/>
              </w:rPr>
              <w:tab/>
            </w:r>
          </w:p>
        </w:tc>
        <w:tc>
          <w:tcPr>
            <w:tcW w:w="645" w:type="pct"/>
            <w:vAlign w:val="bottom"/>
          </w:tcPr>
          <w:p w:rsidRPr="009C48DA" w:rsidR="008C06C3" w:rsidP="008C06C3" w:rsidRDefault="008C06C3" w14:paraId="4E375675" w14:textId="77777777">
            <w:pPr>
              <w:jc w:val="right"/>
              <w:rPr>
                <w:sz w:val="17"/>
                <w:szCs w:val="17"/>
                <w:lang w:val="en-GB"/>
              </w:rPr>
            </w:pPr>
            <w:r w:rsidRPr="009C48DA">
              <w:rPr>
                <w:sz w:val="17"/>
                <w:szCs w:val="17"/>
                <w:lang w:val="en-GB"/>
              </w:rPr>
              <w:t>37,075</w:t>
            </w:r>
          </w:p>
        </w:tc>
        <w:tc>
          <w:tcPr>
            <w:tcW w:w="645" w:type="pct"/>
            <w:vAlign w:val="bottom"/>
          </w:tcPr>
          <w:p w:rsidRPr="009C48DA" w:rsidR="008C06C3" w:rsidP="008C06C3" w:rsidRDefault="008C06C3" w14:paraId="3BFCAEF4" w14:textId="77777777">
            <w:pPr>
              <w:jc w:val="right"/>
              <w:rPr>
                <w:sz w:val="17"/>
                <w:szCs w:val="17"/>
                <w:lang w:val="en-GB"/>
              </w:rPr>
            </w:pPr>
            <w:r w:rsidRPr="009C48DA">
              <w:rPr>
                <w:sz w:val="17"/>
                <w:szCs w:val="17"/>
                <w:lang w:val="en-GB"/>
              </w:rPr>
              <w:t>12,083</w:t>
            </w:r>
          </w:p>
        </w:tc>
        <w:tc>
          <w:tcPr>
            <w:tcW w:w="649" w:type="pct"/>
            <w:vAlign w:val="bottom"/>
          </w:tcPr>
          <w:p w:rsidRPr="009C48DA" w:rsidR="008C06C3" w:rsidP="008C06C3" w:rsidRDefault="008C06C3" w14:paraId="67D0A86C" w14:textId="77777777">
            <w:pPr>
              <w:jc w:val="right"/>
              <w:rPr>
                <w:sz w:val="17"/>
                <w:szCs w:val="17"/>
                <w:lang w:val="en-GB"/>
              </w:rPr>
            </w:pPr>
            <w:r w:rsidRPr="009C48DA">
              <w:rPr>
                <w:sz w:val="17"/>
                <w:szCs w:val="17"/>
                <w:lang w:val="en-GB"/>
              </w:rPr>
              <w:t>42,366</w:t>
            </w:r>
          </w:p>
        </w:tc>
        <w:tc>
          <w:tcPr>
            <w:tcW w:w="641" w:type="pct"/>
            <w:shd w:val="clear" w:color="auto" w:fill="auto"/>
            <w:vAlign w:val="bottom"/>
          </w:tcPr>
          <w:p w:rsidRPr="009C48DA" w:rsidR="008C06C3" w:rsidP="008C06C3" w:rsidRDefault="008C06C3" w14:paraId="4ADA12A6" w14:textId="77777777">
            <w:pPr>
              <w:jc w:val="right"/>
              <w:rPr>
                <w:sz w:val="17"/>
                <w:szCs w:val="17"/>
                <w:lang w:val="en-GB"/>
              </w:rPr>
            </w:pPr>
            <w:r w:rsidRPr="009C48DA">
              <w:rPr>
                <w:sz w:val="17"/>
                <w:szCs w:val="17"/>
                <w:lang w:val="en-GB"/>
              </w:rPr>
              <w:t>67,762</w:t>
            </w:r>
          </w:p>
        </w:tc>
      </w:tr>
      <w:tr w:rsidRPr="009C48DA" w:rsidR="008C06C3" w:rsidTr="008C06C3" w14:paraId="05E48039" w14:textId="77777777">
        <w:tc>
          <w:tcPr>
            <w:tcW w:w="2420" w:type="pct"/>
            <w:shd w:val="clear" w:color="auto" w:fill="auto"/>
            <w:vAlign w:val="bottom"/>
          </w:tcPr>
          <w:p w:rsidRPr="009C48DA" w:rsidR="008C06C3" w:rsidP="008C06C3" w:rsidRDefault="008C06C3" w14:paraId="419AAB7F" w14:textId="77777777">
            <w:pPr>
              <w:tabs>
                <w:tab w:val="right" w:leader="dot" w:pos="5518"/>
              </w:tabs>
              <w:rPr>
                <w:rFonts w:cs="Times New Roman"/>
                <w:sz w:val="17"/>
                <w:szCs w:val="17"/>
                <w:lang w:val="en-GB"/>
              </w:rPr>
            </w:pPr>
            <w:r w:rsidRPr="009C48DA">
              <w:rPr>
                <w:rFonts w:cs="Times New Roman"/>
                <w:sz w:val="17"/>
                <w:szCs w:val="17"/>
                <w:lang w:val="en-GB"/>
              </w:rPr>
              <w:t>CLO cash</w:t>
            </w:r>
            <w:r w:rsidRPr="009C48DA">
              <w:rPr>
                <w:rFonts w:cs="Times New Roman"/>
                <w:sz w:val="17"/>
                <w:szCs w:val="17"/>
                <w:vertAlign w:val="superscript"/>
                <w:lang w:val="en-GB"/>
              </w:rPr>
              <w:t>(1)</w:t>
            </w:r>
            <w:r w:rsidRPr="009C48DA">
              <w:rPr>
                <w:rFonts w:cs="Times New Roman"/>
                <w:sz w:val="17"/>
                <w:szCs w:val="17"/>
                <w:lang w:val="en-GB"/>
              </w:rPr>
              <w:tab/>
            </w:r>
          </w:p>
        </w:tc>
        <w:tc>
          <w:tcPr>
            <w:tcW w:w="645" w:type="pct"/>
            <w:vAlign w:val="bottom"/>
          </w:tcPr>
          <w:p w:rsidRPr="009C48DA" w:rsidR="008C06C3" w:rsidP="008C06C3" w:rsidRDefault="008C06C3" w14:paraId="65B1FD3A" w14:textId="77777777">
            <w:pPr>
              <w:pBdr>
                <w:bottom w:val="single" w:color="auto" w:sz="4" w:space="1"/>
              </w:pBdr>
              <w:jc w:val="right"/>
              <w:rPr>
                <w:sz w:val="17"/>
                <w:szCs w:val="17"/>
                <w:lang w:val="en-GB"/>
              </w:rPr>
            </w:pPr>
            <w:r w:rsidRPr="009C48DA">
              <w:rPr>
                <w:rFonts w:cs="Times New Roman"/>
                <w:sz w:val="17"/>
                <w:szCs w:val="17"/>
                <w:lang w:val="en-GB"/>
              </w:rPr>
              <w:t>—</w:t>
            </w:r>
          </w:p>
        </w:tc>
        <w:tc>
          <w:tcPr>
            <w:tcW w:w="645" w:type="pct"/>
            <w:vAlign w:val="bottom"/>
          </w:tcPr>
          <w:p w:rsidRPr="009C48DA" w:rsidR="008C06C3" w:rsidP="008C06C3" w:rsidRDefault="008C06C3" w14:paraId="784C8EF5" w14:textId="77777777">
            <w:pPr>
              <w:pBdr>
                <w:bottom w:val="single" w:color="auto" w:sz="4" w:space="1"/>
              </w:pBdr>
              <w:jc w:val="right"/>
              <w:rPr>
                <w:sz w:val="17"/>
                <w:szCs w:val="17"/>
                <w:lang w:val="en-GB"/>
              </w:rPr>
            </w:pPr>
            <w:r w:rsidRPr="009C48DA">
              <w:rPr>
                <w:rFonts w:cs="Times New Roman"/>
                <w:sz w:val="17"/>
                <w:szCs w:val="17"/>
                <w:lang w:val="en-GB"/>
              </w:rPr>
              <w:t>—</w:t>
            </w:r>
          </w:p>
        </w:tc>
        <w:tc>
          <w:tcPr>
            <w:tcW w:w="649" w:type="pct"/>
            <w:vAlign w:val="bottom"/>
          </w:tcPr>
          <w:p w:rsidRPr="009C48DA" w:rsidR="008C06C3" w:rsidP="008C06C3" w:rsidRDefault="008C06C3" w14:paraId="2C1534A2" w14:textId="1BA5C83C">
            <w:pPr>
              <w:pBdr>
                <w:bottom w:val="single" w:color="auto" w:sz="4" w:space="1"/>
              </w:pBdr>
              <w:jc w:val="right"/>
              <w:rPr>
                <w:sz w:val="17"/>
                <w:szCs w:val="17"/>
                <w:lang w:val="en-GB"/>
              </w:rPr>
            </w:pPr>
            <w:r w:rsidRPr="009C48DA">
              <w:rPr>
                <w:rFonts w:cs="Times New Roman"/>
                <w:sz w:val="17"/>
                <w:szCs w:val="17"/>
                <w:lang w:val="en-GB"/>
              </w:rPr>
              <w:t>114,750</w:t>
            </w:r>
          </w:p>
        </w:tc>
        <w:tc>
          <w:tcPr>
            <w:tcW w:w="641" w:type="pct"/>
            <w:shd w:val="clear" w:color="auto" w:fill="auto"/>
            <w:vAlign w:val="bottom"/>
          </w:tcPr>
          <w:p w:rsidRPr="009C48DA" w:rsidR="008C06C3" w:rsidP="008C06C3" w:rsidRDefault="008C06C3" w14:paraId="4490E66B" w14:textId="41FF75D2">
            <w:pPr>
              <w:pBdr>
                <w:bottom w:val="single" w:color="auto" w:sz="4" w:space="1"/>
              </w:pBdr>
              <w:jc w:val="right"/>
              <w:rPr>
                <w:sz w:val="17"/>
                <w:szCs w:val="17"/>
                <w:lang w:val="en-GB"/>
              </w:rPr>
            </w:pPr>
            <w:r w:rsidRPr="009C48DA">
              <w:rPr>
                <w:sz w:val="17"/>
                <w:szCs w:val="17"/>
                <w:lang w:val="en-GB"/>
              </w:rPr>
              <w:t>59,976</w:t>
            </w:r>
          </w:p>
        </w:tc>
      </w:tr>
      <w:tr w:rsidRPr="009C48DA" w:rsidR="008C06C3" w:rsidTr="008C06C3" w14:paraId="6551B3E1" w14:textId="77777777">
        <w:tc>
          <w:tcPr>
            <w:tcW w:w="2420" w:type="pct"/>
            <w:shd w:val="clear" w:color="auto" w:fill="auto"/>
            <w:vAlign w:val="bottom"/>
          </w:tcPr>
          <w:p w:rsidRPr="009C48DA" w:rsidR="008C06C3" w:rsidP="008C06C3" w:rsidRDefault="008C06C3" w14:paraId="2A17CD05" w14:textId="77777777">
            <w:pPr>
              <w:tabs>
                <w:tab w:val="right" w:leader="dot" w:pos="5518"/>
              </w:tabs>
              <w:rPr>
                <w:rFonts w:cs="Times New Roman"/>
                <w:b/>
                <w:sz w:val="17"/>
                <w:szCs w:val="17"/>
                <w:lang w:val="en-GB"/>
              </w:rPr>
            </w:pPr>
            <w:r w:rsidRPr="009C48DA">
              <w:rPr>
                <w:rFonts w:cs="Times New Roman"/>
                <w:b/>
                <w:sz w:val="17"/>
                <w:szCs w:val="17"/>
                <w:lang w:val="en-GB"/>
              </w:rPr>
              <w:t>Total current assets</w:t>
            </w:r>
            <w:r w:rsidRPr="009C48DA">
              <w:rPr>
                <w:sz w:val="17"/>
                <w:szCs w:val="17"/>
                <w:lang w:val="en-GB"/>
              </w:rPr>
              <w:tab/>
            </w:r>
          </w:p>
        </w:tc>
        <w:tc>
          <w:tcPr>
            <w:tcW w:w="645" w:type="pct"/>
            <w:vAlign w:val="bottom"/>
          </w:tcPr>
          <w:p w:rsidRPr="009C48DA" w:rsidR="008C06C3" w:rsidP="008C06C3" w:rsidRDefault="008C06C3" w14:paraId="6E210923" w14:textId="77777777">
            <w:pPr>
              <w:pBdr>
                <w:bottom w:val="single" w:color="auto" w:sz="4" w:space="1"/>
              </w:pBdr>
              <w:jc w:val="right"/>
              <w:rPr>
                <w:b/>
                <w:sz w:val="17"/>
                <w:szCs w:val="17"/>
                <w:lang w:val="en-GB"/>
              </w:rPr>
            </w:pPr>
            <w:r w:rsidRPr="009C48DA">
              <w:rPr>
                <w:b/>
                <w:sz w:val="17"/>
                <w:szCs w:val="17"/>
                <w:lang w:val="en-GB"/>
              </w:rPr>
              <w:t>70,423</w:t>
            </w:r>
          </w:p>
        </w:tc>
        <w:tc>
          <w:tcPr>
            <w:tcW w:w="645" w:type="pct"/>
            <w:vAlign w:val="bottom"/>
          </w:tcPr>
          <w:p w:rsidRPr="009C48DA" w:rsidR="008C06C3" w:rsidP="008C06C3" w:rsidRDefault="008C06C3" w14:paraId="04687922" w14:textId="77777777">
            <w:pPr>
              <w:pBdr>
                <w:bottom w:val="single" w:color="auto" w:sz="4" w:space="1"/>
              </w:pBdr>
              <w:jc w:val="right"/>
              <w:rPr>
                <w:b/>
                <w:sz w:val="17"/>
                <w:szCs w:val="17"/>
                <w:lang w:val="en-GB"/>
              </w:rPr>
            </w:pPr>
            <w:r w:rsidRPr="009C48DA">
              <w:rPr>
                <w:b/>
                <w:sz w:val="17"/>
                <w:szCs w:val="17"/>
                <w:lang w:val="en-GB"/>
              </w:rPr>
              <w:t>124,241</w:t>
            </w:r>
          </w:p>
        </w:tc>
        <w:tc>
          <w:tcPr>
            <w:tcW w:w="649" w:type="pct"/>
            <w:vAlign w:val="bottom"/>
          </w:tcPr>
          <w:p w:rsidRPr="009C48DA" w:rsidR="008C06C3" w:rsidP="008C06C3" w:rsidRDefault="008C06C3" w14:paraId="36FBB2BE" w14:textId="0057D2D5">
            <w:pPr>
              <w:pBdr>
                <w:bottom w:val="single" w:color="auto" w:sz="4" w:space="1"/>
              </w:pBdr>
              <w:jc w:val="right"/>
              <w:rPr>
                <w:b/>
                <w:sz w:val="17"/>
                <w:szCs w:val="17"/>
                <w:lang w:val="en-GB"/>
              </w:rPr>
            </w:pPr>
            <w:r w:rsidRPr="009C48DA">
              <w:rPr>
                <w:b/>
                <w:sz w:val="17"/>
                <w:szCs w:val="17"/>
                <w:lang w:val="en-GB"/>
              </w:rPr>
              <w:t>606,353</w:t>
            </w:r>
          </w:p>
        </w:tc>
        <w:tc>
          <w:tcPr>
            <w:tcW w:w="641" w:type="pct"/>
            <w:shd w:val="clear" w:color="auto" w:fill="auto"/>
            <w:vAlign w:val="bottom"/>
          </w:tcPr>
          <w:p w:rsidRPr="009C48DA" w:rsidR="008C06C3" w:rsidP="008C06C3" w:rsidRDefault="008C06C3" w14:paraId="7104EF00" w14:textId="632E0739">
            <w:pPr>
              <w:pBdr>
                <w:bottom w:val="single" w:color="auto" w:sz="4" w:space="1"/>
              </w:pBdr>
              <w:jc w:val="right"/>
              <w:rPr>
                <w:b/>
                <w:sz w:val="17"/>
                <w:szCs w:val="17"/>
                <w:lang w:val="en-GB"/>
              </w:rPr>
            </w:pPr>
            <w:r w:rsidRPr="009C48DA">
              <w:rPr>
                <w:b/>
                <w:sz w:val="17"/>
                <w:szCs w:val="17"/>
                <w:lang w:val="en-GB"/>
              </w:rPr>
              <w:t>685,292</w:t>
            </w:r>
          </w:p>
        </w:tc>
      </w:tr>
      <w:tr w:rsidRPr="009C48DA" w:rsidR="008C06C3" w:rsidTr="008C06C3" w14:paraId="06F36AAC" w14:textId="77777777">
        <w:tc>
          <w:tcPr>
            <w:tcW w:w="2420" w:type="pct"/>
            <w:shd w:val="clear" w:color="auto" w:fill="auto"/>
            <w:vAlign w:val="bottom"/>
          </w:tcPr>
          <w:p w:rsidRPr="009C48DA" w:rsidR="008C06C3" w:rsidDel="008E0499" w:rsidP="008C06C3" w:rsidRDefault="008C06C3" w14:paraId="0A6EB9B3" w14:textId="77777777">
            <w:pPr>
              <w:tabs>
                <w:tab w:val="right" w:leader="dot" w:pos="5518"/>
              </w:tabs>
              <w:rPr>
                <w:rFonts w:cs="Times New Roman"/>
                <w:b/>
                <w:sz w:val="17"/>
                <w:szCs w:val="17"/>
                <w:lang w:val="en-GB"/>
              </w:rPr>
            </w:pPr>
            <w:r w:rsidRPr="009C48DA">
              <w:rPr>
                <w:rFonts w:cs="Times New Roman"/>
                <w:b/>
                <w:sz w:val="17"/>
                <w:szCs w:val="17"/>
                <w:lang w:val="en-GB"/>
              </w:rPr>
              <w:t>Total assets</w:t>
            </w:r>
            <w:r w:rsidRPr="009C48DA">
              <w:rPr>
                <w:sz w:val="17"/>
                <w:szCs w:val="17"/>
                <w:lang w:val="en-GB"/>
              </w:rPr>
              <w:tab/>
            </w:r>
          </w:p>
        </w:tc>
        <w:tc>
          <w:tcPr>
            <w:tcW w:w="645" w:type="pct"/>
            <w:vAlign w:val="bottom"/>
          </w:tcPr>
          <w:p w:rsidRPr="009C48DA" w:rsidR="008C06C3" w:rsidP="008C06C3" w:rsidRDefault="008C06C3" w14:paraId="54D6BE46" w14:textId="77777777">
            <w:pPr>
              <w:pBdr>
                <w:bottom w:val="single" w:color="auto" w:sz="4" w:space="1"/>
              </w:pBdr>
              <w:jc w:val="right"/>
              <w:rPr>
                <w:b/>
                <w:sz w:val="17"/>
                <w:szCs w:val="17"/>
                <w:lang w:val="en-GB"/>
              </w:rPr>
            </w:pPr>
            <w:r w:rsidRPr="009C48DA">
              <w:rPr>
                <w:rFonts w:cs="Times New Roman"/>
                <w:b/>
                <w:sz w:val="17"/>
                <w:szCs w:val="17"/>
                <w:lang w:val="en-GB"/>
              </w:rPr>
              <w:t>531,738</w:t>
            </w:r>
          </w:p>
        </w:tc>
        <w:tc>
          <w:tcPr>
            <w:tcW w:w="645" w:type="pct"/>
            <w:vAlign w:val="bottom"/>
          </w:tcPr>
          <w:p w:rsidRPr="009C48DA" w:rsidR="008C06C3" w:rsidP="008C06C3" w:rsidRDefault="008C06C3" w14:paraId="4D4E70C0" w14:textId="77777777">
            <w:pPr>
              <w:pBdr>
                <w:bottom w:val="single" w:color="auto" w:sz="4" w:space="1"/>
              </w:pBdr>
              <w:jc w:val="right"/>
              <w:rPr>
                <w:b/>
                <w:sz w:val="17"/>
                <w:szCs w:val="17"/>
                <w:lang w:val="en-GB"/>
              </w:rPr>
            </w:pPr>
            <w:r w:rsidRPr="009C48DA">
              <w:rPr>
                <w:rFonts w:cs="Times New Roman"/>
                <w:b/>
                <w:sz w:val="17"/>
                <w:szCs w:val="17"/>
                <w:lang w:val="en-GB"/>
              </w:rPr>
              <w:t>507,224</w:t>
            </w:r>
          </w:p>
        </w:tc>
        <w:tc>
          <w:tcPr>
            <w:tcW w:w="649" w:type="pct"/>
            <w:vAlign w:val="bottom"/>
          </w:tcPr>
          <w:p w:rsidRPr="009C48DA" w:rsidR="008C06C3" w:rsidP="008C06C3" w:rsidRDefault="008C06C3" w14:paraId="5548501D" w14:textId="323E7D55">
            <w:pPr>
              <w:pBdr>
                <w:bottom w:val="single" w:color="auto" w:sz="4" w:space="1"/>
              </w:pBdr>
              <w:jc w:val="right"/>
              <w:rPr>
                <w:b/>
                <w:sz w:val="17"/>
                <w:szCs w:val="17"/>
                <w:lang w:val="en-GB"/>
              </w:rPr>
            </w:pPr>
            <w:r w:rsidRPr="009C48DA">
              <w:rPr>
                <w:b/>
                <w:sz w:val="17"/>
                <w:szCs w:val="17"/>
                <w:lang w:val="en-GB"/>
              </w:rPr>
              <w:t>1,041,974</w:t>
            </w:r>
          </w:p>
        </w:tc>
        <w:tc>
          <w:tcPr>
            <w:tcW w:w="641" w:type="pct"/>
            <w:shd w:val="clear" w:color="auto" w:fill="auto"/>
            <w:vAlign w:val="bottom"/>
          </w:tcPr>
          <w:p w:rsidRPr="009C48DA" w:rsidR="008C06C3" w:rsidP="008C06C3" w:rsidRDefault="008C06C3" w14:paraId="5236449F" w14:textId="225B0604">
            <w:pPr>
              <w:pBdr>
                <w:bottom w:val="single" w:color="auto" w:sz="4" w:space="1"/>
              </w:pBdr>
              <w:jc w:val="right"/>
              <w:rPr>
                <w:b/>
                <w:sz w:val="17"/>
                <w:szCs w:val="17"/>
                <w:lang w:val="en-GB"/>
              </w:rPr>
            </w:pPr>
            <w:r w:rsidRPr="009C48DA">
              <w:rPr>
                <w:b/>
                <w:sz w:val="17"/>
                <w:szCs w:val="17"/>
                <w:lang w:val="en-GB"/>
              </w:rPr>
              <w:t>1,118,328</w:t>
            </w:r>
          </w:p>
        </w:tc>
      </w:tr>
      <w:tr w:rsidRPr="009C48DA" w:rsidR="008C06C3" w:rsidTr="008C06C3" w14:paraId="20FBECDE" w14:textId="77777777">
        <w:tc>
          <w:tcPr>
            <w:tcW w:w="2420" w:type="pct"/>
            <w:shd w:val="clear" w:color="auto" w:fill="auto"/>
            <w:vAlign w:val="bottom"/>
          </w:tcPr>
          <w:p w:rsidRPr="009C48DA" w:rsidR="008C06C3" w:rsidP="008C06C3" w:rsidRDefault="008C06C3" w14:paraId="434FF2F8" w14:textId="77777777">
            <w:pPr>
              <w:tabs>
                <w:tab w:val="right" w:leader="dot" w:pos="5518"/>
              </w:tabs>
              <w:rPr>
                <w:rFonts w:cs="Times New Roman"/>
                <w:b/>
                <w:sz w:val="17"/>
                <w:szCs w:val="17"/>
                <w:lang w:val="en-GB"/>
              </w:rPr>
            </w:pPr>
          </w:p>
        </w:tc>
        <w:tc>
          <w:tcPr>
            <w:tcW w:w="645" w:type="pct"/>
            <w:vAlign w:val="bottom"/>
          </w:tcPr>
          <w:p w:rsidRPr="009C48DA" w:rsidR="008C06C3" w:rsidP="008C06C3" w:rsidRDefault="008C06C3" w14:paraId="6D28ED8E" w14:textId="77777777">
            <w:pPr>
              <w:jc w:val="right"/>
              <w:rPr>
                <w:b/>
                <w:sz w:val="17"/>
                <w:szCs w:val="17"/>
                <w:lang w:val="en-GB"/>
              </w:rPr>
            </w:pPr>
          </w:p>
        </w:tc>
        <w:tc>
          <w:tcPr>
            <w:tcW w:w="645" w:type="pct"/>
            <w:vAlign w:val="bottom"/>
          </w:tcPr>
          <w:p w:rsidRPr="009C48DA" w:rsidR="008C06C3" w:rsidP="008C06C3" w:rsidRDefault="008C06C3" w14:paraId="562E5C24" w14:textId="77777777">
            <w:pPr>
              <w:jc w:val="right"/>
              <w:rPr>
                <w:b/>
                <w:sz w:val="17"/>
                <w:szCs w:val="17"/>
                <w:lang w:val="en-GB"/>
              </w:rPr>
            </w:pPr>
          </w:p>
        </w:tc>
        <w:tc>
          <w:tcPr>
            <w:tcW w:w="649" w:type="pct"/>
            <w:vAlign w:val="bottom"/>
          </w:tcPr>
          <w:p w:rsidRPr="009C48DA" w:rsidR="008C06C3" w:rsidP="008C06C3" w:rsidRDefault="008C06C3" w14:paraId="4B91BF26" w14:textId="77777777">
            <w:pPr>
              <w:jc w:val="right"/>
              <w:rPr>
                <w:b/>
                <w:sz w:val="17"/>
                <w:szCs w:val="17"/>
                <w:lang w:val="en-GB"/>
              </w:rPr>
            </w:pPr>
          </w:p>
        </w:tc>
        <w:tc>
          <w:tcPr>
            <w:tcW w:w="641" w:type="pct"/>
            <w:shd w:val="clear" w:color="auto" w:fill="auto"/>
            <w:vAlign w:val="bottom"/>
          </w:tcPr>
          <w:p w:rsidRPr="009C48DA" w:rsidR="008C06C3" w:rsidP="008C06C3" w:rsidRDefault="008C06C3" w14:paraId="315EE820" w14:textId="77777777">
            <w:pPr>
              <w:jc w:val="right"/>
              <w:rPr>
                <w:b/>
                <w:sz w:val="17"/>
                <w:szCs w:val="17"/>
                <w:lang w:val="en-GB"/>
              </w:rPr>
            </w:pPr>
          </w:p>
        </w:tc>
      </w:tr>
      <w:tr w:rsidRPr="009C48DA" w:rsidR="008C06C3" w:rsidTr="008C06C3" w14:paraId="72D737D5" w14:textId="77777777">
        <w:tc>
          <w:tcPr>
            <w:tcW w:w="2420" w:type="pct"/>
            <w:shd w:val="clear" w:color="auto" w:fill="auto"/>
            <w:vAlign w:val="bottom"/>
          </w:tcPr>
          <w:p w:rsidRPr="009C48DA" w:rsidR="008C06C3" w:rsidP="008C06C3" w:rsidRDefault="008C06C3" w14:paraId="7BBAC0EF" w14:textId="77777777">
            <w:pPr>
              <w:tabs>
                <w:tab w:val="right" w:leader="dot" w:pos="5518"/>
              </w:tabs>
              <w:rPr>
                <w:rFonts w:cs="Times New Roman"/>
                <w:b/>
                <w:sz w:val="17"/>
                <w:szCs w:val="17"/>
                <w:lang w:val="en-GB"/>
              </w:rPr>
            </w:pPr>
            <w:r w:rsidRPr="009C48DA">
              <w:rPr>
                <w:rFonts w:cs="Times New Roman"/>
                <w:b/>
                <w:sz w:val="17"/>
                <w:szCs w:val="17"/>
                <w:lang w:val="en-GB"/>
              </w:rPr>
              <w:t>Liabilities</w:t>
            </w:r>
          </w:p>
        </w:tc>
        <w:tc>
          <w:tcPr>
            <w:tcW w:w="645" w:type="pct"/>
            <w:vAlign w:val="bottom"/>
          </w:tcPr>
          <w:p w:rsidRPr="009C48DA" w:rsidR="008C06C3" w:rsidP="008C06C3" w:rsidRDefault="008C06C3" w14:paraId="46888B2F" w14:textId="77777777">
            <w:pPr>
              <w:jc w:val="right"/>
              <w:rPr>
                <w:b/>
                <w:sz w:val="17"/>
                <w:szCs w:val="17"/>
                <w:lang w:val="en-GB"/>
              </w:rPr>
            </w:pPr>
          </w:p>
        </w:tc>
        <w:tc>
          <w:tcPr>
            <w:tcW w:w="645" w:type="pct"/>
            <w:vAlign w:val="bottom"/>
          </w:tcPr>
          <w:p w:rsidRPr="009C48DA" w:rsidR="008C06C3" w:rsidP="008C06C3" w:rsidRDefault="008C06C3" w14:paraId="7F505560" w14:textId="77777777">
            <w:pPr>
              <w:jc w:val="right"/>
              <w:rPr>
                <w:b/>
                <w:sz w:val="17"/>
                <w:szCs w:val="17"/>
                <w:lang w:val="en-GB"/>
              </w:rPr>
            </w:pPr>
          </w:p>
        </w:tc>
        <w:tc>
          <w:tcPr>
            <w:tcW w:w="649" w:type="pct"/>
            <w:vAlign w:val="bottom"/>
          </w:tcPr>
          <w:p w:rsidRPr="009C48DA" w:rsidR="008C06C3" w:rsidP="008C06C3" w:rsidRDefault="008C06C3" w14:paraId="47E832C5" w14:textId="77777777">
            <w:pPr>
              <w:jc w:val="right"/>
              <w:rPr>
                <w:b/>
                <w:sz w:val="17"/>
                <w:szCs w:val="17"/>
                <w:lang w:val="en-GB"/>
              </w:rPr>
            </w:pPr>
          </w:p>
        </w:tc>
        <w:tc>
          <w:tcPr>
            <w:tcW w:w="641" w:type="pct"/>
            <w:shd w:val="clear" w:color="auto" w:fill="auto"/>
            <w:vAlign w:val="bottom"/>
          </w:tcPr>
          <w:p w:rsidRPr="009C48DA" w:rsidR="008C06C3" w:rsidP="008C06C3" w:rsidRDefault="008C06C3" w14:paraId="31F082D0" w14:textId="77777777">
            <w:pPr>
              <w:jc w:val="right"/>
              <w:rPr>
                <w:b/>
                <w:sz w:val="17"/>
                <w:szCs w:val="17"/>
                <w:lang w:val="en-GB"/>
              </w:rPr>
            </w:pPr>
          </w:p>
        </w:tc>
      </w:tr>
      <w:tr w:rsidRPr="009C48DA" w:rsidR="008C06C3" w:rsidTr="008C06C3" w14:paraId="424FF113" w14:textId="77777777">
        <w:tc>
          <w:tcPr>
            <w:tcW w:w="2420" w:type="pct"/>
            <w:shd w:val="clear" w:color="auto" w:fill="auto"/>
            <w:vAlign w:val="bottom"/>
          </w:tcPr>
          <w:p w:rsidRPr="009C48DA" w:rsidR="008C06C3" w:rsidP="008C06C3" w:rsidRDefault="008C06C3" w14:paraId="4585D127" w14:textId="77777777">
            <w:pPr>
              <w:tabs>
                <w:tab w:val="right" w:leader="dot" w:pos="5518"/>
              </w:tabs>
              <w:rPr>
                <w:rFonts w:cs="Times New Roman"/>
                <w:b/>
                <w:sz w:val="17"/>
                <w:szCs w:val="17"/>
                <w:lang w:val="en-GB"/>
              </w:rPr>
            </w:pPr>
          </w:p>
        </w:tc>
        <w:tc>
          <w:tcPr>
            <w:tcW w:w="645" w:type="pct"/>
            <w:vAlign w:val="bottom"/>
          </w:tcPr>
          <w:p w:rsidRPr="009C48DA" w:rsidR="008C06C3" w:rsidP="008C06C3" w:rsidRDefault="008C06C3" w14:paraId="39B598DD" w14:textId="77777777">
            <w:pPr>
              <w:jc w:val="right"/>
              <w:rPr>
                <w:b/>
                <w:sz w:val="17"/>
                <w:szCs w:val="17"/>
                <w:lang w:val="en-GB"/>
              </w:rPr>
            </w:pPr>
          </w:p>
        </w:tc>
        <w:tc>
          <w:tcPr>
            <w:tcW w:w="645" w:type="pct"/>
            <w:vAlign w:val="bottom"/>
          </w:tcPr>
          <w:p w:rsidRPr="009C48DA" w:rsidR="008C06C3" w:rsidP="008C06C3" w:rsidRDefault="008C06C3" w14:paraId="06B62C02" w14:textId="77777777">
            <w:pPr>
              <w:jc w:val="right"/>
              <w:rPr>
                <w:b/>
                <w:sz w:val="17"/>
                <w:szCs w:val="17"/>
                <w:lang w:val="en-GB"/>
              </w:rPr>
            </w:pPr>
          </w:p>
        </w:tc>
        <w:tc>
          <w:tcPr>
            <w:tcW w:w="649" w:type="pct"/>
            <w:vAlign w:val="bottom"/>
          </w:tcPr>
          <w:p w:rsidRPr="009C48DA" w:rsidR="008C06C3" w:rsidP="008C06C3" w:rsidRDefault="008C06C3" w14:paraId="15C2F46A" w14:textId="77777777">
            <w:pPr>
              <w:jc w:val="right"/>
              <w:rPr>
                <w:b/>
                <w:sz w:val="17"/>
                <w:szCs w:val="17"/>
                <w:lang w:val="en-GB"/>
              </w:rPr>
            </w:pPr>
          </w:p>
        </w:tc>
        <w:tc>
          <w:tcPr>
            <w:tcW w:w="641" w:type="pct"/>
            <w:shd w:val="clear" w:color="auto" w:fill="auto"/>
            <w:vAlign w:val="bottom"/>
          </w:tcPr>
          <w:p w:rsidRPr="009C48DA" w:rsidR="008C06C3" w:rsidP="008C06C3" w:rsidRDefault="008C06C3" w14:paraId="73273602" w14:textId="77777777">
            <w:pPr>
              <w:jc w:val="right"/>
              <w:rPr>
                <w:b/>
                <w:sz w:val="17"/>
                <w:szCs w:val="17"/>
                <w:lang w:val="en-GB"/>
              </w:rPr>
            </w:pPr>
          </w:p>
        </w:tc>
      </w:tr>
      <w:tr w:rsidRPr="009C48DA" w:rsidR="008C06C3" w:rsidTr="008C06C3" w14:paraId="7F34290E" w14:textId="77777777">
        <w:tc>
          <w:tcPr>
            <w:tcW w:w="2420" w:type="pct"/>
            <w:shd w:val="clear" w:color="auto" w:fill="auto"/>
            <w:vAlign w:val="bottom"/>
          </w:tcPr>
          <w:p w:rsidRPr="009C48DA" w:rsidR="008C06C3" w:rsidP="008C06C3" w:rsidRDefault="008C06C3" w14:paraId="0FE0339B" w14:textId="77777777">
            <w:pPr>
              <w:tabs>
                <w:tab w:val="right" w:leader="dot" w:pos="5518"/>
              </w:tabs>
              <w:rPr>
                <w:rFonts w:cs="Times New Roman"/>
                <w:b/>
                <w:sz w:val="17"/>
                <w:szCs w:val="17"/>
                <w:lang w:val="en-GB"/>
              </w:rPr>
            </w:pPr>
            <w:r w:rsidRPr="009C48DA">
              <w:rPr>
                <w:rFonts w:cs="Times New Roman"/>
                <w:b/>
                <w:sz w:val="17"/>
                <w:szCs w:val="17"/>
                <w:lang w:val="en-GB"/>
              </w:rPr>
              <w:t>Non-current liabilities</w:t>
            </w:r>
          </w:p>
        </w:tc>
        <w:tc>
          <w:tcPr>
            <w:tcW w:w="645" w:type="pct"/>
            <w:vAlign w:val="bottom"/>
          </w:tcPr>
          <w:p w:rsidRPr="009C48DA" w:rsidR="008C06C3" w:rsidP="008C06C3" w:rsidRDefault="008C06C3" w14:paraId="272882A6" w14:textId="77777777">
            <w:pPr>
              <w:jc w:val="right"/>
              <w:rPr>
                <w:b/>
                <w:sz w:val="17"/>
                <w:szCs w:val="17"/>
                <w:lang w:val="en-GB"/>
              </w:rPr>
            </w:pPr>
          </w:p>
        </w:tc>
        <w:tc>
          <w:tcPr>
            <w:tcW w:w="645" w:type="pct"/>
            <w:vAlign w:val="bottom"/>
          </w:tcPr>
          <w:p w:rsidRPr="009C48DA" w:rsidR="008C06C3" w:rsidP="008C06C3" w:rsidRDefault="008C06C3" w14:paraId="5828DCC4" w14:textId="77777777">
            <w:pPr>
              <w:jc w:val="right"/>
              <w:rPr>
                <w:b/>
                <w:sz w:val="17"/>
                <w:szCs w:val="17"/>
                <w:lang w:val="en-GB"/>
              </w:rPr>
            </w:pPr>
          </w:p>
        </w:tc>
        <w:tc>
          <w:tcPr>
            <w:tcW w:w="649" w:type="pct"/>
            <w:vAlign w:val="bottom"/>
          </w:tcPr>
          <w:p w:rsidRPr="009C48DA" w:rsidR="008C06C3" w:rsidP="008C06C3" w:rsidRDefault="008C06C3" w14:paraId="32AA2977" w14:textId="77777777">
            <w:pPr>
              <w:jc w:val="right"/>
              <w:rPr>
                <w:b/>
                <w:sz w:val="17"/>
                <w:szCs w:val="17"/>
                <w:lang w:val="en-GB"/>
              </w:rPr>
            </w:pPr>
          </w:p>
        </w:tc>
        <w:tc>
          <w:tcPr>
            <w:tcW w:w="641" w:type="pct"/>
            <w:shd w:val="clear" w:color="auto" w:fill="auto"/>
            <w:vAlign w:val="bottom"/>
          </w:tcPr>
          <w:p w:rsidRPr="009C48DA" w:rsidR="008C06C3" w:rsidP="008C06C3" w:rsidRDefault="008C06C3" w14:paraId="4505810A" w14:textId="77777777">
            <w:pPr>
              <w:jc w:val="right"/>
              <w:rPr>
                <w:b/>
                <w:sz w:val="17"/>
                <w:szCs w:val="17"/>
                <w:lang w:val="en-GB"/>
              </w:rPr>
            </w:pPr>
          </w:p>
        </w:tc>
      </w:tr>
      <w:tr w:rsidRPr="009C48DA" w:rsidR="008C06C3" w:rsidTr="008C06C3" w14:paraId="342A25C9" w14:textId="77777777">
        <w:tc>
          <w:tcPr>
            <w:tcW w:w="2420" w:type="pct"/>
            <w:shd w:val="clear" w:color="auto" w:fill="auto"/>
            <w:vAlign w:val="bottom"/>
          </w:tcPr>
          <w:p w:rsidRPr="009C48DA" w:rsidR="008C06C3" w:rsidP="008C06C3" w:rsidRDefault="008C06C3" w14:paraId="0F1808C8" w14:textId="77777777">
            <w:pPr>
              <w:tabs>
                <w:tab w:val="right" w:leader="dot" w:pos="5518"/>
              </w:tabs>
              <w:rPr>
                <w:rFonts w:cs="Times New Roman"/>
                <w:b/>
                <w:sz w:val="17"/>
                <w:szCs w:val="17"/>
                <w:lang w:val="en-GB"/>
              </w:rPr>
            </w:pPr>
            <w:r w:rsidRPr="009C48DA">
              <w:rPr>
                <w:rFonts w:cs="Times New Roman"/>
                <w:sz w:val="17"/>
                <w:szCs w:val="17"/>
                <w:lang w:val="en-GB"/>
              </w:rPr>
              <w:t>Trade and other payables</w:t>
            </w:r>
            <w:r w:rsidRPr="009C48DA">
              <w:rPr>
                <w:rFonts w:cs="Times New Roman"/>
                <w:sz w:val="17"/>
                <w:szCs w:val="17"/>
                <w:lang w:val="en-GB"/>
              </w:rPr>
              <w:tab/>
            </w:r>
          </w:p>
        </w:tc>
        <w:tc>
          <w:tcPr>
            <w:tcW w:w="645" w:type="pct"/>
            <w:vAlign w:val="bottom"/>
          </w:tcPr>
          <w:p w:rsidRPr="009C48DA" w:rsidR="008C06C3" w:rsidP="008C06C3" w:rsidRDefault="008C06C3" w14:paraId="28159C87" w14:textId="77777777">
            <w:pPr>
              <w:jc w:val="right"/>
              <w:rPr>
                <w:sz w:val="17"/>
                <w:szCs w:val="17"/>
                <w:lang w:val="en-GB"/>
              </w:rPr>
            </w:pPr>
            <w:r w:rsidRPr="009C48DA">
              <w:rPr>
                <w:sz w:val="17"/>
                <w:szCs w:val="17"/>
                <w:lang w:val="en-GB"/>
              </w:rPr>
              <w:t>480</w:t>
            </w:r>
          </w:p>
        </w:tc>
        <w:tc>
          <w:tcPr>
            <w:tcW w:w="645" w:type="pct"/>
            <w:vAlign w:val="bottom"/>
          </w:tcPr>
          <w:p w:rsidRPr="009C48DA" w:rsidR="008C06C3" w:rsidP="008C06C3" w:rsidRDefault="008C06C3" w14:paraId="60229F8A" w14:textId="77777777">
            <w:pPr>
              <w:jc w:val="right"/>
              <w:rPr>
                <w:sz w:val="17"/>
                <w:szCs w:val="17"/>
                <w:lang w:val="en-GB"/>
              </w:rPr>
            </w:pPr>
            <w:r w:rsidRPr="009C48DA">
              <w:rPr>
                <w:sz w:val="17"/>
                <w:szCs w:val="17"/>
                <w:lang w:val="en-GB"/>
              </w:rPr>
              <w:t>515</w:t>
            </w:r>
          </w:p>
        </w:tc>
        <w:tc>
          <w:tcPr>
            <w:tcW w:w="649" w:type="pct"/>
            <w:vAlign w:val="bottom"/>
          </w:tcPr>
          <w:p w:rsidRPr="009C48DA" w:rsidR="008C06C3" w:rsidP="008C06C3" w:rsidRDefault="008C06C3" w14:paraId="2B4F4953" w14:textId="77777777">
            <w:pPr>
              <w:jc w:val="right"/>
              <w:rPr>
                <w:sz w:val="17"/>
                <w:szCs w:val="17"/>
                <w:lang w:val="en-GB"/>
              </w:rPr>
            </w:pPr>
            <w:r w:rsidRPr="009C48DA">
              <w:rPr>
                <w:sz w:val="17"/>
                <w:szCs w:val="17"/>
                <w:lang w:val="en-GB"/>
              </w:rPr>
              <w:t>32,151</w:t>
            </w:r>
          </w:p>
        </w:tc>
        <w:tc>
          <w:tcPr>
            <w:tcW w:w="641" w:type="pct"/>
            <w:shd w:val="clear" w:color="auto" w:fill="auto"/>
            <w:vAlign w:val="bottom"/>
          </w:tcPr>
          <w:p w:rsidRPr="009C48DA" w:rsidR="008C06C3" w:rsidP="008C06C3" w:rsidRDefault="008C06C3" w14:paraId="1BBCC6FA" w14:textId="77777777">
            <w:pPr>
              <w:jc w:val="right"/>
              <w:rPr>
                <w:sz w:val="17"/>
                <w:szCs w:val="17"/>
                <w:lang w:val="en-GB"/>
              </w:rPr>
            </w:pPr>
            <w:r w:rsidRPr="009C48DA">
              <w:rPr>
                <w:sz w:val="17"/>
                <w:szCs w:val="17"/>
                <w:lang w:val="en-GB"/>
              </w:rPr>
              <w:t>31,001</w:t>
            </w:r>
          </w:p>
        </w:tc>
      </w:tr>
      <w:tr w:rsidRPr="009C48DA" w:rsidR="008C06C3" w:rsidTr="008C06C3" w14:paraId="31C04379" w14:textId="77777777">
        <w:tc>
          <w:tcPr>
            <w:tcW w:w="2420" w:type="pct"/>
            <w:shd w:val="clear" w:color="auto" w:fill="auto"/>
            <w:vAlign w:val="bottom"/>
          </w:tcPr>
          <w:p w:rsidRPr="009C48DA" w:rsidR="008C06C3" w:rsidP="008C06C3" w:rsidRDefault="008C06C3" w14:paraId="4FF85600" w14:textId="77777777">
            <w:pPr>
              <w:tabs>
                <w:tab w:val="right" w:leader="dot" w:pos="5518"/>
              </w:tabs>
              <w:rPr>
                <w:rFonts w:cs="Times New Roman"/>
                <w:b/>
                <w:sz w:val="17"/>
                <w:szCs w:val="17"/>
                <w:lang w:val="en-GB"/>
              </w:rPr>
            </w:pPr>
            <w:r w:rsidRPr="009C48DA">
              <w:rPr>
                <w:rFonts w:cs="Times New Roman"/>
                <w:sz w:val="17"/>
                <w:szCs w:val="17"/>
                <w:lang w:val="en-GB"/>
              </w:rPr>
              <w:t>Borrowings</w:t>
            </w:r>
            <w:r w:rsidRPr="009C48DA">
              <w:rPr>
                <w:sz w:val="17"/>
                <w:szCs w:val="17"/>
                <w:lang w:val="en-GB"/>
              </w:rPr>
              <w:tab/>
            </w:r>
          </w:p>
        </w:tc>
        <w:tc>
          <w:tcPr>
            <w:tcW w:w="645" w:type="pct"/>
            <w:vAlign w:val="bottom"/>
          </w:tcPr>
          <w:p w:rsidRPr="009C48DA" w:rsidR="008C06C3" w:rsidP="008C06C3" w:rsidRDefault="008C06C3" w14:paraId="050830DE" w14:textId="77777777">
            <w:pPr>
              <w:jc w:val="right"/>
              <w:rPr>
                <w:sz w:val="17"/>
                <w:szCs w:val="17"/>
                <w:lang w:val="en-GB"/>
              </w:rPr>
            </w:pPr>
            <w:r w:rsidRPr="009C48DA">
              <w:rPr>
                <w:sz w:val="17"/>
                <w:szCs w:val="17"/>
                <w:lang w:val="en-GB"/>
              </w:rPr>
              <w:t>77,316</w:t>
            </w:r>
          </w:p>
        </w:tc>
        <w:tc>
          <w:tcPr>
            <w:tcW w:w="645" w:type="pct"/>
            <w:vAlign w:val="bottom"/>
          </w:tcPr>
          <w:p w:rsidRPr="009C48DA" w:rsidR="008C06C3" w:rsidP="008C06C3" w:rsidRDefault="008C06C3" w14:paraId="26477996" w14:textId="77777777">
            <w:pPr>
              <w:jc w:val="right"/>
              <w:rPr>
                <w:sz w:val="17"/>
                <w:szCs w:val="17"/>
                <w:lang w:val="en-GB"/>
              </w:rPr>
            </w:pPr>
            <w:r w:rsidRPr="009C48DA">
              <w:rPr>
                <w:sz w:val="17"/>
                <w:szCs w:val="17"/>
                <w:lang w:val="en-GB"/>
              </w:rPr>
              <w:t>19,226</w:t>
            </w:r>
          </w:p>
        </w:tc>
        <w:tc>
          <w:tcPr>
            <w:tcW w:w="649" w:type="pct"/>
            <w:vAlign w:val="bottom"/>
          </w:tcPr>
          <w:p w:rsidRPr="009C48DA" w:rsidR="008C06C3" w:rsidP="008C06C3" w:rsidRDefault="008C06C3" w14:paraId="1F10272B" w14:textId="77777777">
            <w:pPr>
              <w:jc w:val="right"/>
              <w:rPr>
                <w:sz w:val="17"/>
                <w:szCs w:val="17"/>
                <w:lang w:val="en-GB"/>
              </w:rPr>
            </w:pPr>
            <w:r w:rsidRPr="009C48DA">
              <w:rPr>
                <w:rFonts w:cs="Times New Roman"/>
                <w:sz w:val="17"/>
                <w:szCs w:val="17"/>
                <w:lang w:val="en-GB"/>
              </w:rPr>
              <w:t>—</w:t>
            </w:r>
          </w:p>
        </w:tc>
        <w:tc>
          <w:tcPr>
            <w:tcW w:w="641" w:type="pct"/>
            <w:shd w:val="clear" w:color="auto" w:fill="auto"/>
            <w:vAlign w:val="bottom"/>
          </w:tcPr>
          <w:p w:rsidRPr="009C48DA" w:rsidR="008C06C3" w:rsidP="008C06C3" w:rsidRDefault="008C06C3" w14:paraId="49BB4E86" w14:textId="77777777">
            <w:pPr>
              <w:jc w:val="right"/>
              <w:rPr>
                <w:sz w:val="17"/>
                <w:szCs w:val="17"/>
                <w:lang w:val="en-GB"/>
              </w:rPr>
            </w:pPr>
            <w:r w:rsidRPr="009C48DA">
              <w:rPr>
                <w:rFonts w:cs="Times New Roman"/>
                <w:sz w:val="17"/>
                <w:szCs w:val="17"/>
                <w:lang w:val="en-GB"/>
              </w:rPr>
              <w:t>—</w:t>
            </w:r>
          </w:p>
        </w:tc>
      </w:tr>
      <w:tr w:rsidRPr="009C48DA" w:rsidR="008C06C3" w:rsidTr="008C06C3" w14:paraId="193C4713" w14:textId="77777777">
        <w:tc>
          <w:tcPr>
            <w:tcW w:w="2420" w:type="pct"/>
            <w:shd w:val="clear" w:color="auto" w:fill="auto"/>
            <w:vAlign w:val="bottom"/>
          </w:tcPr>
          <w:p w:rsidRPr="009C48DA" w:rsidR="008C06C3" w:rsidP="008C06C3" w:rsidRDefault="008C06C3" w14:paraId="37E935CD" w14:textId="77777777">
            <w:pPr>
              <w:tabs>
                <w:tab w:val="right" w:leader="dot" w:pos="5518"/>
              </w:tabs>
              <w:rPr>
                <w:rFonts w:cs="Times New Roman"/>
                <w:sz w:val="17"/>
                <w:szCs w:val="17"/>
                <w:lang w:val="en-GB"/>
              </w:rPr>
            </w:pPr>
            <w:r w:rsidRPr="009C48DA">
              <w:rPr>
                <w:rFonts w:cs="Times New Roman"/>
                <w:sz w:val="17"/>
                <w:szCs w:val="17"/>
                <w:lang w:val="en-GB"/>
              </w:rPr>
              <w:t>Other financial liabilities</w:t>
            </w:r>
            <w:r w:rsidRPr="009C48DA">
              <w:rPr>
                <w:sz w:val="17"/>
                <w:szCs w:val="17"/>
                <w:lang w:val="en-GB"/>
              </w:rPr>
              <w:tab/>
            </w:r>
          </w:p>
        </w:tc>
        <w:tc>
          <w:tcPr>
            <w:tcW w:w="645" w:type="pct"/>
            <w:vAlign w:val="bottom"/>
          </w:tcPr>
          <w:p w:rsidRPr="009C48DA" w:rsidR="008C06C3" w:rsidP="008C06C3" w:rsidRDefault="008C06C3" w14:paraId="08C1BFD6" w14:textId="77777777">
            <w:pPr>
              <w:jc w:val="right"/>
              <w:rPr>
                <w:sz w:val="17"/>
                <w:szCs w:val="17"/>
                <w:lang w:val="en-GB"/>
              </w:rPr>
            </w:pPr>
            <w:r w:rsidRPr="009C48DA">
              <w:rPr>
                <w:sz w:val="17"/>
                <w:szCs w:val="17"/>
                <w:lang w:val="en-GB"/>
              </w:rPr>
              <w:t>2,096</w:t>
            </w:r>
          </w:p>
        </w:tc>
        <w:tc>
          <w:tcPr>
            <w:tcW w:w="645" w:type="pct"/>
            <w:vAlign w:val="bottom"/>
          </w:tcPr>
          <w:p w:rsidRPr="009C48DA" w:rsidR="008C06C3" w:rsidP="008C06C3" w:rsidRDefault="008C06C3" w14:paraId="0BE9175D" w14:textId="77777777">
            <w:pPr>
              <w:jc w:val="right"/>
              <w:rPr>
                <w:sz w:val="17"/>
                <w:szCs w:val="17"/>
                <w:lang w:val="en-GB"/>
              </w:rPr>
            </w:pPr>
            <w:r w:rsidRPr="009C48DA">
              <w:rPr>
                <w:sz w:val="17"/>
                <w:szCs w:val="17"/>
                <w:lang w:val="en-GB"/>
              </w:rPr>
              <w:t>2,840</w:t>
            </w:r>
          </w:p>
        </w:tc>
        <w:tc>
          <w:tcPr>
            <w:tcW w:w="649" w:type="pct"/>
            <w:vAlign w:val="bottom"/>
          </w:tcPr>
          <w:p w:rsidRPr="009C48DA" w:rsidR="008C06C3" w:rsidP="008C06C3" w:rsidRDefault="008C06C3" w14:paraId="0831FB1E" w14:textId="77777777">
            <w:pPr>
              <w:jc w:val="right"/>
              <w:rPr>
                <w:rFonts w:cs="Times New Roman"/>
                <w:sz w:val="17"/>
                <w:szCs w:val="17"/>
                <w:lang w:val="en-GB"/>
              </w:rPr>
            </w:pPr>
            <w:r w:rsidRPr="009C48DA">
              <w:rPr>
                <w:rFonts w:cs="Times New Roman"/>
                <w:sz w:val="17"/>
                <w:szCs w:val="17"/>
                <w:lang w:val="en-GB"/>
              </w:rPr>
              <w:t>3,821</w:t>
            </w:r>
          </w:p>
        </w:tc>
        <w:tc>
          <w:tcPr>
            <w:tcW w:w="641" w:type="pct"/>
            <w:shd w:val="clear" w:color="auto" w:fill="auto"/>
            <w:vAlign w:val="bottom"/>
          </w:tcPr>
          <w:p w:rsidRPr="009C48DA" w:rsidR="008C06C3" w:rsidP="008C06C3" w:rsidRDefault="008C06C3" w14:paraId="007B6773" w14:textId="77777777">
            <w:pPr>
              <w:jc w:val="right"/>
              <w:rPr>
                <w:rFonts w:cs="Times New Roman"/>
                <w:sz w:val="17"/>
                <w:szCs w:val="17"/>
                <w:lang w:val="en-GB"/>
              </w:rPr>
            </w:pPr>
            <w:r w:rsidRPr="009C48DA">
              <w:rPr>
                <w:rFonts w:cs="Times New Roman"/>
                <w:sz w:val="17"/>
                <w:szCs w:val="17"/>
                <w:lang w:val="en-GB"/>
              </w:rPr>
              <w:t>5,762</w:t>
            </w:r>
          </w:p>
        </w:tc>
      </w:tr>
      <w:tr w:rsidRPr="009C48DA" w:rsidR="008C06C3" w:rsidTr="008C06C3" w14:paraId="0228CC4D" w14:textId="77777777">
        <w:tc>
          <w:tcPr>
            <w:tcW w:w="2420" w:type="pct"/>
            <w:shd w:val="clear" w:color="auto" w:fill="auto"/>
            <w:vAlign w:val="bottom"/>
          </w:tcPr>
          <w:p w:rsidRPr="009C48DA" w:rsidR="008C06C3" w:rsidP="008C06C3" w:rsidRDefault="008C06C3" w14:paraId="387F6265" w14:textId="77777777">
            <w:pPr>
              <w:tabs>
                <w:tab w:val="right" w:leader="dot" w:pos="5518"/>
              </w:tabs>
              <w:rPr>
                <w:rFonts w:cs="Times New Roman"/>
                <w:sz w:val="17"/>
                <w:szCs w:val="17"/>
                <w:lang w:val="en-GB"/>
              </w:rPr>
            </w:pPr>
            <w:r w:rsidRPr="009C48DA">
              <w:rPr>
                <w:rFonts w:cs="Times New Roman"/>
                <w:sz w:val="17"/>
                <w:szCs w:val="17"/>
                <w:lang w:val="en-GB"/>
              </w:rPr>
              <w:t>CLO liabilities</w:t>
            </w:r>
            <w:r w:rsidRPr="009C48DA">
              <w:rPr>
                <w:rFonts w:cs="Times New Roman"/>
                <w:sz w:val="17"/>
                <w:szCs w:val="17"/>
                <w:vertAlign w:val="superscript"/>
                <w:lang w:val="en-GB"/>
              </w:rPr>
              <w:t>(1)</w:t>
            </w:r>
            <w:r w:rsidRPr="009C48DA">
              <w:rPr>
                <w:sz w:val="17"/>
                <w:szCs w:val="17"/>
                <w:lang w:val="en-GB"/>
              </w:rPr>
              <w:tab/>
            </w:r>
          </w:p>
        </w:tc>
        <w:tc>
          <w:tcPr>
            <w:tcW w:w="645" w:type="pct"/>
            <w:vAlign w:val="bottom"/>
          </w:tcPr>
          <w:p w:rsidRPr="009C48DA" w:rsidR="008C06C3" w:rsidP="008C06C3" w:rsidRDefault="008C06C3" w14:paraId="09EE8E68" w14:textId="77777777">
            <w:pPr>
              <w:jc w:val="right"/>
              <w:rPr>
                <w:sz w:val="17"/>
                <w:szCs w:val="17"/>
                <w:lang w:val="en-GB"/>
              </w:rPr>
            </w:pPr>
            <w:r w:rsidRPr="009C48DA">
              <w:rPr>
                <w:rFonts w:cs="Times New Roman"/>
                <w:sz w:val="17"/>
                <w:szCs w:val="17"/>
                <w:lang w:val="en-GB"/>
              </w:rPr>
              <w:t>—</w:t>
            </w:r>
          </w:p>
        </w:tc>
        <w:tc>
          <w:tcPr>
            <w:tcW w:w="645" w:type="pct"/>
            <w:vAlign w:val="bottom"/>
          </w:tcPr>
          <w:p w:rsidRPr="009C48DA" w:rsidR="008C06C3" w:rsidP="008C06C3" w:rsidRDefault="008C06C3" w14:paraId="1FD9CF26" w14:textId="77777777">
            <w:pPr>
              <w:jc w:val="right"/>
              <w:rPr>
                <w:sz w:val="17"/>
                <w:szCs w:val="17"/>
                <w:lang w:val="en-GB"/>
              </w:rPr>
            </w:pPr>
            <w:r w:rsidRPr="009C48DA">
              <w:rPr>
                <w:rFonts w:cs="Times New Roman"/>
                <w:sz w:val="17"/>
                <w:szCs w:val="17"/>
                <w:lang w:val="en-GB"/>
              </w:rPr>
              <w:t>—</w:t>
            </w:r>
          </w:p>
        </w:tc>
        <w:tc>
          <w:tcPr>
            <w:tcW w:w="649" w:type="pct"/>
            <w:vAlign w:val="bottom"/>
          </w:tcPr>
          <w:p w:rsidRPr="009C48DA" w:rsidR="008C06C3" w:rsidP="008C06C3" w:rsidRDefault="008C06C3" w14:paraId="01ECB475" w14:textId="19027CA8">
            <w:pPr>
              <w:jc w:val="right"/>
              <w:rPr>
                <w:rFonts w:cs="Times New Roman"/>
                <w:sz w:val="17"/>
                <w:szCs w:val="17"/>
                <w:lang w:val="en-GB"/>
              </w:rPr>
            </w:pPr>
            <w:r w:rsidRPr="009C48DA">
              <w:rPr>
                <w:rFonts w:cs="Times New Roman"/>
                <w:sz w:val="17"/>
                <w:szCs w:val="17"/>
                <w:lang w:val="en-GB"/>
              </w:rPr>
              <w:t>256,606</w:t>
            </w:r>
          </w:p>
        </w:tc>
        <w:tc>
          <w:tcPr>
            <w:tcW w:w="641" w:type="pct"/>
            <w:shd w:val="clear" w:color="auto" w:fill="auto"/>
            <w:vAlign w:val="bottom"/>
          </w:tcPr>
          <w:p w:rsidRPr="009C48DA" w:rsidR="008C06C3" w:rsidP="008C06C3" w:rsidRDefault="008C06C3" w14:paraId="70D3A333" w14:textId="0F74EB29">
            <w:pPr>
              <w:jc w:val="right"/>
              <w:rPr>
                <w:rFonts w:cs="Times New Roman"/>
                <w:sz w:val="17"/>
                <w:szCs w:val="17"/>
                <w:lang w:val="en-GB"/>
              </w:rPr>
            </w:pPr>
            <w:r w:rsidRPr="009C48DA">
              <w:rPr>
                <w:rFonts w:cs="Times New Roman"/>
                <w:sz w:val="17"/>
                <w:szCs w:val="17"/>
                <w:lang w:val="en-GB"/>
              </w:rPr>
              <w:t>245,727</w:t>
            </w:r>
          </w:p>
        </w:tc>
      </w:tr>
      <w:tr w:rsidRPr="009C48DA" w:rsidR="008C06C3" w:rsidTr="008C06C3" w14:paraId="003F886C" w14:textId="77777777">
        <w:tc>
          <w:tcPr>
            <w:tcW w:w="2420" w:type="pct"/>
            <w:shd w:val="clear" w:color="auto" w:fill="auto"/>
            <w:vAlign w:val="bottom"/>
          </w:tcPr>
          <w:p w:rsidRPr="009C48DA" w:rsidR="008C06C3" w:rsidP="008C06C3" w:rsidRDefault="008C06C3" w14:paraId="7232583F" w14:textId="77777777">
            <w:pPr>
              <w:tabs>
                <w:tab w:val="right" w:leader="dot" w:pos="5518"/>
              </w:tabs>
              <w:rPr>
                <w:rFonts w:cs="Times New Roman"/>
                <w:b/>
                <w:sz w:val="17"/>
                <w:szCs w:val="17"/>
                <w:lang w:val="en-GB"/>
              </w:rPr>
            </w:pPr>
            <w:r w:rsidRPr="009C48DA">
              <w:rPr>
                <w:sz w:val="17"/>
                <w:szCs w:val="17"/>
                <w:lang w:val="en-GB"/>
              </w:rPr>
              <w:t>Lease liabilities</w:t>
            </w:r>
            <w:r w:rsidRPr="009C48DA">
              <w:rPr>
                <w:sz w:val="17"/>
                <w:szCs w:val="17"/>
                <w:lang w:val="en-GB"/>
              </w:rPr>
              <w:tab/>
            </w:r>
          </w:p>
        </w:tc>
        <w:tc>
          <w:tcPr>
            <w:tcW w:w="645" w:type="pct"/>
            <w:vAlign w:val="bottom"/>
          </w:tcPr>
          <w:p w:rsidRPr="009C48DA" w:rsidR="008C06C3" w:rsidP="008C06C3" w:rsidRDefault="008C06C3" w14:paraId="10706486" w14:textId="77777777">
            <w:pPr>
              <w:jc w:val="right"/>
              <w:rPr>
                <w:sz w:val="17"/>
                <w:szCs w:val="17"/>
                <w:lang w:val="en-GB"/>
              </w:rPr>
            </w:pPr>
            <w:r w:rsidRPr="009C48DA">
              <w:rPr>
                <w:rFonts w:cs="Times New Roman"/>
                <w:sz w:val="17"/>
                <w:szCs w:val="17"/>
                <w:lang w:val="en-GB"/>
              </w:rPr>
              <w:t>44,671</w:t>
            </w:r>
          </w:p>
        </w:tc>
        <w:tc>
          <w:tcPr>
            <w:tcW w:w="645" w:type="pct"/>
            <w:vAlign w:val="bottom"/>
          </w:tcPr>
          <w:p w:rsidRPr="009C48DA" w:rsidR="008C06C3" w:rsidP="008C06C3" w:rsidRDefault="008C06C3" w14:paraId="42CD27FF" w14:textId="77777777">
            <w:pPr>
              <w:jc w:val="right"/>
              <w:rPr>
                <w:sz w:val="17"/>
                <w:szCs w:val="17"/>
                <w:lang w:val="en-GB"/>
              </w:rPr>
            </w:pPr>
            <w:r w:rsidRPr="009C48DA">
              <w:rPr>
                <w:rFonts w:cs="Times New Roman"/>
                <w:sz w:val="17"/>
                <w:szCs w:val="17"/>
                <w:lang w:val="en-GB"/>
              </w:rPr>
              <w:t>42,267</w:t>
            </w:r>
          </w:p>
        </w:tc>
        <w:tc>
          <w:tcPr>
            <w:tcW w:w="649" w:type="pct"/>
            <w:vAlign w:val="bottom"/>
          </w:tcPr>
          <w:p w:rsidRPr="009C48DA" w:rsidR="008C06C3" w:rsidP="008C06C3" w:rsidRDefault="008C06C3" w14:paraId="538427C5" w14:textId="77777777">
            <w:pPr>
              <w:jc w:val="right"/>
              <w:rPr>
                <w:sz w:val="17"/>
                <w:szCs w:val="17"/>
                <w:lang w:val="en-GB"/>
              </w:rPr>
            </w:pPr>
            <w:r w:rsidRPr="009C48DA">
              <w:rPr>
                <w:rFonts w:cs="Times New Roman"/>
                <w:sz w:val="17"/>
                <w:szCs w:val="17"/>
                <w:lang w:val="en-GB"/>
              </w:rPr>
              <w:t>35,915</w:t>
            </w:r>
          </w:p>
        </w:tc>
        <w:tc>
          <w:tcPr>
            <w:tcW w:w="641" w:type="pct"/>
            <w:shd w:val="clear" w:color="auto" w:fill="auto"/>
            <w:vAlign w:val="bottom"/>
          </w:tcPr>
          <w:p w:rsidRPr="009C48DA" w:rsidR="008C06C3" w:rsidP="008C06C3" w:rsidRDefault="008C06C3" w14:paraId="0FF68B02" w14:textId="77777777">
            <w:pPr>
              <w:jc w:val="right"/>
              <w:rPr>
                <w:sz w:val="17"/>
                <w:szCs w:val="17"/>
                <w:lang w:val="en-GB"/>
              </w:rPr>
            </w:pPr>
            <w:r w:rsidRPr="009C48DA">
              <w:rPr>
                <w:sz w:val="17"/>
                <w:szCs w:val="17"/>
                <w:lang w:val="en-GB"/>
              </w:rPr>
              <w:t>35,098</w:t>
            </w:r>
          </w:p>
        </w:tc>
      </w:tr>
      <w:tr w:rsidRPr="009C48DA" w:rsidR="008C06C3" w:rsidTr="008C06C3" w14:paraId="6B992E53" w14:textId="77777777">
        <w:tc>
          <w:tcPr>
            <w:tcW w:w="2420" w:type="pct"/>
            <w:shd w:val="clear" w:color="auto" w:fill="auto"/>
            <w:vAlign w:val="bottom"/>
          </w:tcPr>
          <w:p w:rsidRPr="009C48DA" w:rsidR="008C06C3" w:rsidP="008C06C3" w:rsidRDefault="008C06C3" w14:paraId="20614FA8" w14:textId="77777777">
            <w:pPr>
              <w:tabs>
                <w:tab w:val="right" w:leader="dot" w:pos="5518"/>
              </w:tabs>
              <w:rPr>
                <w:rFonts w:cs="Times New Roman"/>
                <w:b/>
                <w:sz w:val="17"/>
                <w:szCs w:val="17"/>
                <w:lang w:val="en-GB"/>
              </w:rPr>
            </w:pPr>
            <w:r w:rsidRPr="009C48DA">
              <w:rPr>
                <w:rFonts w:cs="Times New Roman"/>
                <w:sz w:val="17"/>
                <w:szCs w:val="17"/>
                <w:lang w:val="en-GB"/>
              </w:rPr>
              <w:t>Deferred tax liabilities</w:t>
            </w:r>
            <w:r w:rsidRPr="009C48DA">
              <w:rPr>
                <w:sz w:val="17"/>
                <w:szCs w:val="17"/>
                <w:lang w:val="en-GB"/>
              </w:rPr>
              <w:tab/>
            </w:r>
          </w:p>
        </w:tc>
        <w:tc>
          <w:tcPr>
            <w:tcW w:w="645" w:type="pct"/>
            <w:vAlign w:val="bottom"/>
          </w:tcPr>
          <w:p w:rsidRPr="009C48DA" w:rsidR="008C06C3" w:rsidP="008C06C3" w:rsidRDefault="008C06C3" w14:paraId="5039B141" w14:textId="77777777">
            <w:pPr>
              <w:pBdr>
                <w:bottom w:val="single" w:color="auto" w:sz="4" w:space="1"/>
              </w:pBdr>
              <w:jc w:val="right"/>
              <w:rPr>
                <w:sz w:val="17"/>
                <w:szCs w:val="17"/>
                <w:lang w:val="en-GB"/>
              </w:rPr>
            </w:pPr>
            <w:r w:rsidRPr="009C48DA">
              <w:rPr>
                <w:sz w:val="17"/>
                <w:szCs w:val="17"/>
                <w:lang w:val="en-GB"/>
              </w:rPr>
              <w:t>9,369</w:t>
            </w:r>
          </w:p>
        </w:tc>
        <w:tc>
          <w:tcPr>
            <w:tcW w:w="645" w:type="pct"/>
            <w:vAlign w:val="bottom"/>
          </w:tcPr>
          <w:p w:rsidRPr="009C48DA" w:rsidR="008C06C3" w:rsidP="008C06C3" w:rsidRDefault="008C06C3" w14:paraId="5051EEF1" w14:textId="77777777">
            <w:pPr>
              <w:pBdr>
                <w:bottom w:val="single" w:color="auto" w:sz="4" w:space="1"/>
              </w:pBdr>
              <w:jc w:val="right"/>
              <w:rPr>
                <w:sz w:val="17"/>
                <w:szCs w:val="17"/>
                <w:lang w:val="en-GB"/>
              </w:rPr>
            </w:pPr>
            <w:r w:rsidRPr="009C48DA">
              <w:rPr>
                <w:sz w:val="17"/>
                <w:szCs w:val="17"/>
                <w:lang w:val="en-GB"/>
              </w:rPr>
              <w:t>13,895</w:t>
            </w:r>
          </w:p>
        </w:tc>
        <w:tc>
          <w:tcPr>
            <w:tcW w:w="649" w:type="pct"/>
            <w:vAlign w:val="bottom"/>
          </w:tcPr>
          <w:p w:rsidRPr="009C48DA" w:rsidR="008C06C3" w:rsidP="008C06C3" w:rsidRDefault="008C06C3" w14:paraId="724875B4" w14:textId="77777777">
            <w:pPr>
              <w:pBdr>
                <w:bottom w:val="single" w:color="auto" w:sz="4" w:space="1"/>
              </w:pBdr>
              <w:jc w:val="right"/>
              <w:rPr>
                <w:sz w:val="17"/>
                <w:szCs w:val="17"/>
                <w:lang w:val="en-GB"/>
              </w:rPr>
            </w:pPr>
            <w:r w:rsidRPr="009C48DA">
              <w:rPr>
                <w:sz w:val="17"/>
                <w:szCs w:val="17"/>
                <w:lang w:val="en-GB"/>
              </w:rPr>
              <w:t>15,903</w:t>
            </w:r>
          </w:p>
        </w:tc>
        <w:tc>
          <w:tcPr>
            <w:tcW w:w="641" w:type="pct"/>
            <w:shd w:val="clear" w:color="auto" w:fill="auto"/>
            <w:vAlign w:val="bottom"/>
          </w:tcPr>
          <w:p w:rsidRPr="009C48DA" w:rsidR="008C06C3" w:rsidP="008C06C3" w:rsidRDefault="008C06C3" w14:paraId="60D878A5" w14:textId="77777777">
            <w:pPr>
              <w:pBdr>
                <w:bottom w:val="single" w:color="auto" w:sz="4" w:space="1"/>
              </w:pBdr>
              <w:jc w:val="right"/>
              <w:rPr>
                <w:sz w:val="17"/>
                <w:szCs w:val="17"/>
                <w:lang w:val="en-GB"/>
              </w:rPr>
            </w:pPr>
            <w:r w:rsidRPr="009C48DA">
              <w:rPr>
                <w:sz w:val="17"/>
                <w:szCs w:val="17"/>
                <w:lang w:val="en-GB"/>
              </w:rPr>
              <w:t>19,932</w:t>
            </w:r>
          </w:p>
        </w:tc>
      </w:tr>
      <w:tr w:rsidRPr="009C48DA" w:rsidR="008C06C3" w:rsidTr="008C06C3" w14:paraId="1C50B29A" w14:textId="77777777">
        <w:tc>
          <w:tcPr>
            <w:tcW w:w="2420" w:type="pct"/>
            <w:shd w:val="clear" w:color="auto" w:fill="auto"/>
            <w:vAlign w:val="bottom"/>
          </w:tcPr>
          <w:p w:rsidRPr="009C48DA" w:rsidR="008C06C3" w:rsidP="008C06C3" w:rsidRDefault="008C06C3" w14:paraId="6E9324EE" w14:textId="77777777">
            <w:pPr>
              <w:tabs>
                <w:tab w:val="right" w:leader="dot" w:pos="5518"/>
              </w:tabs>
              <w:rPr>
                <w:rFonts w:cs="Times New Roman"/>
                <w:b/>
                <w:sz w:val="17"/>
                <w:szCs w:val="17"/>
                <w:lang w:val="en-GB"/>
              </w:rPr>
            </w:pPr>
            <w:r w:rsidRPr="009C48DA">
              <w:rPr>
                <w:rFonts w:cs="Times New Roman"/>
                <w:b/>
                <w:sz w:val="17"/>
                <w:szCs w:val="17"/>
                <w:lang w:val="en-GB"/>
              </w:rPr>
              <w:t>Total non-current liabilities</w:t>
            </w:r>
            <w:r w:rsidRPr="009C48DA">
              <w:rPr>
                <w:rFonts w:cs="Times New Roman"/>
                <w:sz w:val="17"/>
                <w:szCs w:val="17"/>
                <w:lang w:val="en-GB"/>
              </w:rPr>
              <w:tab/>
            </w:r>
          </w:p>
        </w:tc>
        <w:tc>
          <w:tcPr>
            <w:tcW w:w="645" w:type="pct"/>
            <w:vAlign w:val="bottom"/>
          </w:tcPr>
          <w:p w:rsidRPr="009C48DA" w:rsidR="008C06C3" w:rsidP="008C06C3" w:rsidRDefault="008C06C3" w14:paraId="1DFCA531" w14:textId="77777777">
            <w:pPr>
              <w:pBdr>
                <w:bottom w:val="single" w:color="auto" w:sz="4" w:space="1"/>
              </w:pBdr>
              <w:jc w:val="right"/>
              <w:rPr>
                <w:b/>
                <w:sz w:val="17"/>
                <w:szCs w:val="17"/>
                <w:lang w:val="en-GB"/>
              </w:rPr>
            </w:pPr>
            <w:r w:rsidRPr="009C48DA">
              <w:rPr>
                <w:b/>
                <w:sz w:val="17"/>
                <w:szCs w:val="17"/>
                <w:lang w:val="en-GB"/>
              </w:rPr>
              <w:t>133,932</w:t>
            </w:r>
          </w:p>
        </w:tc>
        <w:tc>
          <w:tcPr>
            <w:tcW w:w="645" w:type="pct"/>
            <w:vAlign w:val="bottom"/>
          </w:tcPr>
          <w:p w:rsidRPr="009C48DA" w:rsidR="008C06C3" w:rsidP="008C06C3" w:rsidRDefault="008C06C3" w14:paraId="0059FD7B" w14:textId="77777777">
            <w:pPr>
              <w:pBdr>
                <w:bottom w:val="single" w:color="auto" w:sz="4" w:space="1"/>
              </w:pBdr>
              <w:jc w:val="right"/>
              <w:rPr>
                <w:b/>
                <w:sz w:val="17"/>
                <w:szCs w:val="17"/>
                <w:lang w:val="en-GB"/>
              </w:rPr>
            </w:pPr>
            <w:r w:rsidRPr="009C48DA">
              <w:rPr>
                <w:b/>
                <w:sz w:val="17"/>
                <w:szCs w:val="17"/>
                <w:lang w:val="en-GB"/>
              </w:rPr>
              <w:t>78,743</w:t>
            </w:r>
          </w:p>
        </w:tc>
        <w:tc>
          <w:tcPr>
            <w:tcW w:w="649" w:type="pct"/>
            <w:vAlign w:val="bottom"/>
          </w:tcPr>
          <w:p w:rsidRPr="009C48DA" w:rsidR="008C06C3" w:rsidP="008C06C3" w:rsidRDefault="008C06C3" w14:paraId="175DFF66" w14:textId="136E4B3B">
            <w:pPr>
              <w:pBdr>
                <w:bottom w:val="single" w:color="auto" w:sz="4" w:space="1"/>
              </w:pBdr>
              <w:jc w:val="right"/>
              <w:rPr>
                <w:b/>
                <w:sz w:val="17"/>
                <w:szCs w:val="17"/>
                <w:lang w:val="en-GB"/>
              </w:rPr>
            </w:pPr>
            <w:r w:rsidRPr="009C48DA">
              <w:rPr>
                <w:b/>
                <w:sz w:val="17"/>
                <w:szCs w:val="17"/>
                <w:lang w:val="en-GB"/>
              </w:rPr>
              <w:t>344,396</w:t>
            </w:r>
          </w:p>
        </w:tc>
        <w:tc>
          <w:tcPr>
            <w:tcW w:w="641" w:type="pct"/>
            <w:shd w:val="clear" w:color="auto" w:fill="auto"/>
            <w:vAlign w:val="bottom"/>
          </w:tcPr>
          <w:p w:rsidRPr="009C48DA" w:rsidR="008C06C3" w:rsidP="008C06C3" w:rsidRDefault="008C06C3" w14:paraId="0C1BA9E0" w14:textId="0948C6EA">
            <w:pPr>
              <w:pBdr>
                <w:bottom w:val="single" w:color="auto" w:sz="4" w:space="1"/>
              </w:pBdr>
              <w:jc w:val="right"/>
              <w:rPr>
                <w:b/>
                <w:sz w:val="17"/>
                <w:szCs w:val="17"/>
                <w:lang w:val="en-GB"/>
              </w:rPr>
            </w:pPr>
            <w:r w:rsidRPr="009C48DA">
              <w:rPr>
                <w:b/>
                <w:sz w:val="17"/>
                <w:szCs w:val="17"/>
                <w:lang w:val="en-GB"/>
              </w:rPr>
              <w:t>337,520</w:t>
            </w:r>
          </w:p>
        </w:tc>
      </w:tr>
      <w:tr w:rsidRPr="009C48DA" w:rsidR="008C06C3" w:rsidTr="008C06C3" w14:paraId="5355A4CC" w14:textId="77777777">
        <w:tc>
          <w:tcPr>
            <w:tcW w:w="2420" w:type="pct"/>
            <w:shd w:val="clear" w:color="auto" w:fill="auto"/>
            <w:vAlign w:val="bottom"/>
          </w:tcPr>
          <w:p w:rsidRPr="009C48DA" w:rsidR="008C06C3" w:rsidP="008C06C3" w:rsidRDefault="008C06C3" w14:paraId="5EE07AC4" w14:textId="77777777">
            <w:pPr>
              <w:tabs>
                <w:tab w:val="right" w:leader="dot" w:pos="5518"/>
              </w:tabs>
              <w:rPr>
                <w:rFonts w:cs="Times New Roman"/>
                <w:b/>
                <w:sz w:val="17"/>
                <w:szCs w:val="17"/>
                <w:lang w:val="en-GB"/>
              </w:rPr>
            </w:pPr>
          </w:p>
        </w:tc>
        <w:tc>
          <w:tcPr>
            <w:tcW w:w="645" w:type="pct"/>
            <w:vAlign w:val="bottom"/>
          </w:tcPr>
          <w:p w:rsidRPr="009C48DA" w:rsidR="008C06C3" w:rsidP="008C06C3" w:rsidRDefault="008C06C3" w14:paraId="64D2A5CA" w14:textId="77777777">
            <w:pPr>
              <w:jc w:val="right"/>
              <w:rPr>
                <w:b/>
                <w:sz w:val="17"/>
                <w:szCs w:val="17"/>
                <w:lang w:val="en-GB"/>
              </w:rPr>
            </w:pPr>
          </w:p>
        </w:tc>
        <w:tc>
          <w:tcPr>
            <w:tcW w:w="645" w:type="pct"/>
            <w:vAlign w:val="bottom"/>
          </w:tcPr>
          <w:p w:rsidRPr="009C48DA" w:rsidR="008C06C3" w:rsidP="008C06C3" w:rsidRDefault="008C06C3" w14:paraId="002F2881" w14:textId="77777777">
            <w:pPr>
              <w:jc w:val="right"/>
              <w:rPr>
                <w:b/>
                <w:sz w:val="17"/>
                <w:szCs w:val="17"/>
                <w:lang w:val="en-GB"/>
              </w:rPr>
            </w:pPr>
          </w:p>
        </w:tc>
        <w:tc>
          <w:tcPr>
            <w:tcW w:w="649" w:type="pct"/>
            <w:vAlign w:val="bottom"/>
          </w:tcPr>
          <w:p w:rsidRPr="009C48DA" w:rsidR="008C06C3" w:rsidP="008C06C3" w:rsidRDefault="008C06C3" w14:paraId="2C31827B" w14:textId="77777777">
            <w:pPr>
              <w:jc w:val="right"/>
              <w:rPr>
                <w:b/>
                <w:sz w:val="17"/>
                <w:szCs w:val="17"/>
                <w:lang w:val="en-GB"/>
              </w:rPr>
            </w:pPr>
          </w:p>
        </w:tc>
        <w:tc>
          <w:tcPr>
            <w:tcW w:w="641" w:type="pct"/>
            <w:shd w:val="clear" w:color="auto" w:fill="auto"/>
            <w:vAlign w:val="bottom"/>
          </w:tcPr>
          <w:p w:rsidRPr="009C48DA" w:rsidR="008C06C3" w:rsidP="008C06C3" w:rsidRDefault="008C06C3" w14:paraId="02676335" w14:textId="77777777">
            <w:pPr>
              <w:jc w:val="right"/>
              <w:rPr>
                <w:b/>
                <w:sz w:val="17"/>
                <w:szCs w:val="17"/>
                <w:lang w:val="en-GB"/>
              </w:rPr>
            </w:pPr>
          </w:p>
        </w:tc>
      </w:tr>
      <w:tr w:rsidRPr="009C48DA" w:rsidR="008C06C3" w:rsidTr="008C06C3" w14:paraId="698F467A" w14:textId="77777777">
        <w:tc>
          <w:tcPr>
            <w:tcW w:w="2420" w:type="pct"/>
            <w:shd w:val="clear" w:color="auto" w:fill="auto"/>
            <w:vAlign w:val="bottom"/>
          </w:tcPr>
          <w:p w:rsidRPr="009C48DA" w:rsidR="008C06C3" w:rsidP="008C06C3" w:rsidRDefault="008C06C3" w14:paraId="179FF6F6" w14:textId="77777777">
            <w:pPr>
              <w:tabs>
                <w:tab w:val="right" w:leader="dot" w:pos="5518"/>
              </w:tabs>
              <w:rPr>
                <w:rFonts w:cs="Times New Roman"/>
                <w:b/>
                <w:sz w:val="17"/>
                <w:szCs w:val="17"/>
                <w:lang w:val="en-GB"/>
              </w:rPr>
            </w:pPr>
            <w:r w:rsidRPr="009C48DA">
              <w:rPr>
                <w:rFonts w:cs="Times New Roman"/>
                <w:b/>
                <w:sz w:val="17"/>
                <w:szCs w:val="17"/>
                <w:lang w:val="en-GB"/>
              </w:rPr>
              <w:t>Current liabilities</w:t>
            </w:r>
          </w:p>
        </w:tc>
        <w:tc>
          <w:tcPr>
            <w:tcW w:w="645" w:type="pct"/>
            <w:vAlign w:val="bottom"/>
          </w:tcPr>
          <w:p w:rsidRPr="009C48DA" w:rsidR="008C06C3" w:rsidP="008C06C3" w:rsidRDefault="008C06C3" w14:paraId="6ED20578" w14:textId="77777777">
            <w:pPr>
              <w:jc w:val="right"/>
              <w:rPr>
                <w:b/>
                <w:sz w:val="17"/>
                <w:szCs w:val="17"/>
                <w:lang w:val="en-GB"/>
              </w:rPr>
            </w:pPr>
          </w:p>
        </w:tc>
        <w:tc>
          <w:tcPr>
            <w:tcW w:w="645" w:type="pct"/>
            <w:vAlign w:val="bottom"/>
          </w:tcPr>
          <w:p w:rsidRPr="009C48DA" w:rsidR="008C06C3" w:rsidP="008C06C3" w:rsidRDefault="008C06C3" w14:paraId="0A28BF16" w14:textId="77777777">
            <w:pPr>
              <w:jc w:val="right"/>
              <w:rPr>
                <w:b/>
                <w:sz w:val="17"/>
                <w:szCs w:val="17"/>
                <w:lang w:val="en-GB"/>
              </w:rPr>
            </w:pPr>
          </w:p>
        </w:tc>
        <w:tc>
          <w:tcPr>
            <w:tcW w:w="649" w:type="pct"/>
            <w:vAlign w:val="bottom"/>
          </w:tcPr>
          <w:p w:rsidRPr="009C48DA" w:rsidR="008C06C3" w:rsidP="008C06C3" w:rsidRDefault="008C06C3" w14:paraId="58377772" w14:textId="77777777">
            <w:pPr>
              <w:jc w:val="right"/>
              <w:rPr>
                <w:b/>
                <w:sz w:val="17"/>
                <w:szCs w:val="17"/>
                <w:lang w:val="en-GB"/>
              </w:rPr>
            </w:pPr>
          </w:p>
        </w:tc>
        <w:tc>
          <w:tcPr>
            <w:tcW w:w="641" w:type="pct"/>
            <w:shd w:val="clear" w:color="auto" w:fill="auto"/>
            <w:vAlign w:val="bottom"/>
          </w:tcPr>
          <w:p w:rsidRPr="009C48DA" w:rsidR="008C06C3" w:rsidP="008C06C3" w:rsidRDefault="008C06C3" w14:paraId="62EE430D" w14:textId="77777777">
            <w:pPr>
              <w:jc w:val="right"/>
              <w:rPr>
                <w:b/>
                <w:sz w:val="17"/>
                <w:szCs w:val="17"/>
                <w:lang w:val="en-GB"/>
              </w:rPr>
            </w:pPr>
          </w:p>
        </w:tc>
      </w:tr>
      <w:tr w:rsidRPr="009C48DA" w:rsidR="008C06C3" w:rsidTr="008C06C3" w14:paraId="69D51D10" w14:textId="77777777">
        <w:tc>
          <w:tcPr>
            <w:tcW w:w="2420" w:type="pct"/>
            <w:shd w:val="clear" w:color="auto" w:fill="auto"/>
            <w:vAlign w:val="bottom"/>
          </w:tcPr>
          <w:p w:rsidRPr="009C48DA" w:rsidR="008C06C3" w:rsidP="008C06C3" w:rsidRDefault="008C06C3" w14:paraId="388FA0B8" w14:textId="77777777">
            <w:pPr>
              <w:tabs>
                <w:tab w:val="right" w:leader="dot" w:pos="5518"/>
              </w:tabs>
              <w:rPr>
                <w:rFonts w:cs="Times New Roman"/>
                <w:b/>
                <w:sz w:val="17"/>
                <w:szCs w:val="17"/>
                <w:lang w:val="en-GB"/>
              </w:rPr>
            </w:pPr>
            <w:r w:rsidRPr="009C48DA">
              <w:rPr>
                <w:rFonts w:cs="Times New Roman"/>
                <w:sz w:val="17"/>
                <w:szCs w:val="17"/>
                <w:lang w:val="en-GB"/>
              </w:rPr>
              <w:t>Trade and other payables</w:t>
            </w:r>
            <w:r w:rsidRPr="009C48DA">
              <w:rPr>
                <w:rFonts w:cs="Times New Roman"/>
                <w:sz w:val="17"/>
                <w:szCs w:val="17"/>
                <w:lang w:val="en-GB"/>
              </w:rPr>
              <w:tab/>
            </w:r>
          </w:p>
        </w:tc>
        <w:tc>
          <w:tcPr>
            <w:tcW w:w="645" w:type="pct"/>
            <w:vAlign w:val="bottom"/>
          </w:tcPr>
          <w:p w:rsidRPr="009C48DA" w:rsidR="008C06C3" w:rsidP="008C06C3" w:rsidRDefault="008C06C3" w14:paraId="791589FB" w14:textId="77777777">
            <w:pPr>
              <w:jc w:val="right"/>
              <w:rPr>
                <w:sz w:val="17"/>
                <w:szCs w:val="17"/>
                <w:lang w:val="en-GB"/>
              </w:rPr>
            </w:pPr>
            <w:r w:rsidRPr="009C48DA">
              <w:rPr>
                <w:sz w:val="17"/>
                <w:szCs w:val="17"/>
                <w:lang w:val="en-GB"/>
              </w:rPr>
              <w:t>67,732</w:t>
            </w:r>
          </w:p>
        </w:tc>
        <w:tc>
          <w:tcPr>
            <w:tcW w:w="645" w:type="pct"/>
            <w:vAlign w:val="bottom"/>
          </w:tcPr>
          <w:p w:rsidRPr="009C48DA" w:rsidR="008C06C3" w:rsidP="008C06C3" w:rsidRDefault="008C06C3" w14:paraId="4A5B6BE7" w14:textId="77777777">
            <w:pPr>
              <w:jc w:val="right"/>
              <w:rPr>
                <w:sz w:val="17"/>
                <w:szCs w:val="17"/>
                <w:lang w:val="en-GB"/>
              </w:rPr>
            </w:pPr>
            <w:r w:rsidRPr="009C48DA">
              <w:rPr>
                <w:sz w:val="17"/>
                <w:szCs w:val="17"/>
                <w:lang w:val="en-GB"/>
              </w:rPr>
              <w:t>43,213</w:t>
            </w:r>
          </w:p>
        </w:tc>
        <w:tc>
          <w:tcPr>
            <w:tcW w:w="649" w:type="pct"/>
            <w:vAlign w:val="bottom"/>
          </w:tcPr>
          <w:p w:rsidRPr="009C48DA" w:rsidR="008C06C3" w:rsidP="008C06C3" w:rsidRDefault="008C06C3" w14:paraId="3047515D" w14:textId="77777777">
            <w:pPr>
              <w:jc w:val="right"/>
              <w:rPr>
                <w:sz w:val="17"/>
                <w:szCs w:val="17"/>
                <w:lang w:val="en-GB"/>
              </w:rPr>
            </w:pPr>
            <w:r w:rsidRPr="009C48DA">
              <w:rPr>
                <w:sz w:val="17"/>
                <w:szCs w:val="17"/>
                <w:lang w:val="en-GB"/>
              </w:rPr>
              <w:t>85,871</w:t>
            </w:r>
          </w:p>
        </w:tc>
        <w:tc>
          <w:tcPr>
            <w:tcW w:w="641" w:type="pct"/>
            <w:shd w:val="clear" w:color="auto" w:fill="auto"/>
            <w:vAlign w:val="bottom"/>
          </w:tcPr>
          <w:p w:rsidRPr="009C48DA" w:rsidR="008C06C3" w:rsidP="008C06C3" w:rsidRDefault="008C06C3" w14:paraId="3B092B76" w14:textId="77777777">
            <w:pPr>
              <w:jc w:val="right"/>
              <w:rPr>
                <w:b/>
                <w:sz w:val="17"/>
                <w:szCs w:val="17"/>
                <w:lang w:val="en-GB"/>
              </w:rPr>
            </w:pPr>
            <w:r w:rsidRPr="009C48DA">
              <w:rPr>
                <w:sz w:val="17"/>
                <w:szCs w:val="17"/>
                <w:lang w:val="en-GB"/>
              </w:rPr>
              <w:t>98,340</w:t>
            </w:r>
          </w:p>
        </w:tc>
      </w:tr>
      <w:tr w:rsidRPr="009C48DA" w:rsidR="008C06C3" w:rsidTr="008C06C3" w14:paraId="496D62FD" w14:textId="77777777">
        <w:tc>
          <w:tcPr>
            <w:tcW w:w="2420" w:type="pct"/>
            <w:shd w:val="clear" w:color="auto" w:fill="auto"/>
            <w:vAlign w:val="bottom"/>
          </w:tcPr>
          <w:p w:rsidRPr="009C48DA" w:rsidR="008C06C3" w:rsidP="008C06C3" w:rsidRDefault="008C06C3" w14:paraId="2FC8EECB" w14:textId="77777777">
            <w:pPr>
              <w:tabs>
                <w:tab w:val="right" w:leader="dot" w:pos="5518"/>
              </w:tabs>
              <w:rPr>
                <w:rFonts w:cs="Times New Roman"/>
                <w:b/>
                <w:sz w:val="17"/>
                <w:szCs w:val="17"/>
                <w:lang w:val="en-GB"/>
              </w:rPr>
            </w:pPr>
            <w:r w:rsidRPr="009C48DA">
              <w:rPr>
                <w:rFonts w:cs="Times New Roman"/>
                <w:sz w:val="17"/>
                <w:szCs w:val="17"/>
                <w:lang w:val="en-GB"/>
              </w:rPr>
              <w:t>Borrowings</w:t>
            </w:r>
            <w:r w:rsidRPr="009C48DA">
              <w:rPr>
                <w:rFonts w:cs="Times New Roman"/>
                <w:sz w:val="17"/>
                <w:szCs w:val="17"/>
                <w:lang w:val="en-GB"/>
              </w:rPr>
              <w:tab/>
            </w:r>
          </w:p>
        </w:tc>
        <w:tc>
          <w:tcPr>
            <w:tcW w:w="645" w:type="pct"/>
            <w:vAlign w:val="bottom"/>
          </w:tcPr>
          <w:p w:rsidRPr="009C48DA" w:rsidR="008C06C3" w:rsidP="008C06C3" w:rsidRDefault="008C06C3" w14:paraId="4A7D9E83" w14:textId="77777777">
            <w:pPr>
              <w:jc w:val="right"/>
              <w:rPr>
                <w:sz w:val="17"/>
                <w:szCs w:val="17"/>
                <w:lang w:val="en-GB"/>
              </w:rPr>
            </w:pPr>
            <w:r w:rsidRPr="009C48DA">
              <w:rPr>
                <w:rFonts w:cs="Times New Roman"/>
                <w:sz w:val="17"/>
                <w:szCs w:val="17"/>
                <w:lang w:val="en-GB"/>
              </w:rPr>
              <w:t>—</w:t>
            </w:r>
          </w:p>
        </w:tc>
        <w:tc>
          <w:tcPr>
            <w:tcW w:w="645" w:type="pct"/>
            <w:vAlign w:val="bottom"/>
          </w:tcPr>
          <w:p w:rsidRPr="009C48DA" w:rsidR="008C06C3" w:rsidP="008C06C3" w:rsidRDefault="008C06C3" w14:paraId="5036ED58" w14:textId="77777777">
            <w:pPr>
              <w:jc w:val="right"/>
              <w:rPr>
                <w:sz w:val="17"/>
                <w:szCs w:val="17"/>
                <w:lang w:val="en-GB"/>
              </w:rPr>
            </w:pPr>
            <w:r w:rsidRPr="009C48DA">
              <w:rPr>
                <w:rFonts w:cs="Times New Roman"/>
                <w:sz w:val="17"/>
                <w:szCs w:val="17"/>
                <w:lang w:val="en-GB"/>
              </w:rPr>
              <w:t>23,036</w:t>
            </w:r>
          </w:p>
        </w:tc>
        <w:tc>
          <w:tcPr>
            <w:tcW w:w="649" w:type="pct"/>
            <w:vAlign w:val="bottom"/>
          </w:tcPr>
          <w:p w:rsidRPr="009C48DA" w:rsidR="008C06C3" w:rsidP="008C06C3" w:rsidRDefault="008C06C3" w14:paraId="663C1611" w14:textId="77777777">
            <w:pPr>
              <w:jc w:val="right"/>
              <w:rPr>
                <w:sz w:val="17"/>
                <w:szCs w:val="17"/>
                <w:lang w:val="en-GB"/>
              </w:rPr>
            </w:pPr>
            <w:r w:rsidRPr="009C48DA">
              <w:rPr>
                <w:rFonts w:cs="Times New Roman"/>
                <w:sz w:val="17"/>
                <w:szCs w:val="17"/>
                <w:lang w:val="en-GB"/>
              </w:rPr>
              <w:t>99,708</w:t>
            </w:r>
          </w:p>
        </w:tc>
        <w:tc>
          <w:tcPr>
            <w:tcW w:w="641" w:type="pct"/>
            <w:shd w:val="clear" w:color="auto" w:fill="auto"/>
            <w:vAlign w:val="bottom"/>
          </w:tcPr>
          <w:p w:rsidRPr="009C48DA" w:rsidR="008C06C3" w:rsidP="008C06C3" w:rsidRDefault="008C06C3" w14:paraId="2A2786DC" w14:textId="77777777">
            <w:pPr>
              <w:jc w:val="right"/>
              <w:rPr>
                <w:b/>
                <w:sz w:val="17"/>
                <w:szCs w:val="17"/>
                <w:lang w:val="en-GB"/>
              </w:rPr>
            </w:pPr>
            <w:r w:rsidRPr="009C48DA">
              <w:rPr>
                <w:sz w:val="17"/>
                <w:szCs w:val="17"/>
                <w:lang w:val="en-GB"/>
              </w:rPr>
              <w:t>87,493</w:t>
            </w:r>
          </w:p>
        </w:tc>
      </w:tr>
      <w:tr w:rsidRPr="009C48DA" w:rsidR="008C06C3" w:rsidTr="008C06C3" w14:paraId="7481B6F9" w14:textId="77777777">
        <w:tc>
          <w:tcPr>
            <w:tcW w:w="2420" w:type="pct"/>
            <w:shd w:val="clear" w:color="auto" w:fill="auto"/>
            <w:vAlign w:val="bottom"/>
          </w:tcPr>
          <w:p w:rsidRPr="009C48DA" w:rsidR="008C06C3" w:rsidP="008C06C3" w:rsidRDefault="008C06C3" w14:paraId="047B5F2D" w14:textId="77777777">
            <w:pPr>
              <w:tabs>
                <w:tab w:val="right" w:leader="dot" w:pos="5518"/>
              </w:tabs>
              <w:rPr>
                <w:rFonts w:cs="Times New Roman"/>
                <w:b/>
                <w:sz w:val="17"/>
                <w:szCs w:val="17"/>
                <w:lang w:val="en-GB"/>
              </w:rPr>
            </w:pPr>
            <w:r w:rsidRPr="009C48DA">
              <w:rPr>
                <w:rFonts w:cs="Times New Roman"/>
                <w:sz w:val="17"/>
                <w:szCs w:val="17"/>
                <w:lang w:val="en-GB"/>
              </w:rPr>
              <w:t>Lease liabilities</w:t>
            </w:r>
            <w:r w:rsidRPr="009C48DA">
              <w:rPr>
                <w:sz w:val="17"/>
                <w:szCs w:val="17"/>
                <w:lang w:val="en-GB"/>
              </w:rPr>
              <w:tab/>
            </w:r>
          </w:p>
        </w:tc>
        <w:tc>
          <w:tcPr>
            <w:tcW w:w="645" w:type="pct"/>
            <w:vAlign w:val="bottom"/>
          </w:tcPr>
          <w:p w:rsidRPr="009C48DA" w:rsidR="008C06C3" w:rsidP="008C06C3" w:rsidRDefault="008C06C3" w14:paraId="0BFEFDF8" w14:textId="77777777">
            <w:pPr>
              <w:jc w:val="right"/>
              <w:rPr>
                <w:sz w:val="17"/>
                <w:szCs w:val="17"/>
                <w:lang w:val="en-GB"/>
              </w:rPr>
            </w:pPr>
            <w:r w:rsidRPr="009C48DA">
              <w:rPr>
                <w:sz w:val="17"/>
                <w:szCs w:val="17"/>
                <w:lang w:val="en-GB"/>
              </w:rPr>
              <w:t>4,120</w:t>
            </w:r>
          </w:p>
        </w:tc>
        <w:tc>
          <w:tcPr>
            <w:tcW w:w="645" w:type="pct"/>
            <w:vAlign w:val="bottom"/>
          </w:tcPr>
          <w:p w:rsidRPr="009C48DA" w:rsidR="008C06C3" w:rsidP="008C06C3" w:rsidRDefault="008C06C3" w14:paraId="5061C48C" w14:textId="77777777">
            <w:pPr>
              <w:jc w:val="right"/>
              <w:rPr>
                <w:sz w:val="17"/>
                <w:szCs w:val="17"/>
                <w:lang w:val="en-GB"/>
              </w:rPr>
            </w:pPr>
            <w:r w:rsidRPr="009C48DA">
              <w:rPr>
                <w:sz w:val="17"/>
                <w:szCs w:val="17"/>
                <w:lang w:val="en-GB"/>
              </w:rPr>
              <w:t>5,893</w:t>
            </w:r>
          </w:p>
        </w:tc>
        <w:tc>
          <w:tcPr>
            <w:tcW w:w="649" w:type="pct"/>
            <w:vAlign w:val="bottom"/>
          </w:tcPr>
          <w:p w:rsidRPr="009C48DA" w:rsidR="008C06C3" w:rsidP="008C06C3" w:rsidRDefault="008C06C3" w14:paraId="51BE0434" w14:textId="77777777">
            <w:pPr>
              <w:jc w:val="right"/>
              <w:rPr>
                <w:sz w:val="17"/>
                <w:szCs w:val="17"/>
                <w:lang w:val="en-GB"/>
              </w:rPr>
            </w:pPr>
            <w:r w:rsidRPr="009C48DA">
              <w:rPr>
                <w:sz w:val="17"/>
                <w:szCs w:val="17"/>
                <w:lang w:val="en-GB"/>
              </w:rPr>
              <w:t>6,087</w:t>
            </w:r>
          </w:p>
        </w:tc>
        <w:tc>
          <w:tcPr>
            <w:tcW w:w="641" w:type="pct"/>
            <w:shd w:val="clear" w:color="auto" w:fill="auto"/>
            <w:vAlign w:val="bottom"/>
          </w:tcPr>
          <w:p w:rsidRPr="009C48DA" w:rsidR="008C06C3" w:rsidP="008C06C3" w:rsidRDefault="008C06C3" w14:paraId="01B41476" w14:textId="77777777">
            <w:pPr>
              <w:jc w:val="right"/>
              <w:rPr>
                <w:b/>
                <w:sz w:val="17"/>
                <w:szCs w:val="17"/>
                <w:lang w:val="en-GB"/>
              </w:rPr>
            </w:pPr>
            <w:r w:rsidRPr="009C48DA">
              <w:rPr>
                <w:sz w:val="17"/>
                <w:szCs w:val="17"/>
                <w:lang w:val="en-GB"/>
              </w:rPr>
              <w:t>6,770</w:t>
            </w:r>
          </w:p>
        </w:tc>
      </w:tr>
      <w:tr w:rsidRPr="009C48DA" w:rsidR="008C06C3" w:rsidTr="008C06C3" w14:paraId="016A6611" w14:textId="77777777">
        <w:tc>
          <w:tcPr>
            <w:tcW w:w="2420" w:type="pct"/>
            <w:shd w:val="clear" w:color="auto" w:fill="auto"/>
            <w:vAlign w:val="bottom"/>
          </w:tcPr>
          <w:p w:rsidRPr="009C48DA" w:rsidR="008C06C3" w:rsidP="008C06C3" w:rsidRDefault="008C06C3" w14:paraId="2F5572EF" w14:textId="77777777">
            <w:pPr>
              <w:tabs>
                <w:tab w:val="right" w:leader="dot" w:pos="5518"/>
              </w:tabs>
              <w:rPr>
                <w:rFonts w:cs="Times New Roman"/>
                <w:b/>
                <w:sz w:val="17"/>
                <w:szCs w:val="17"/>
                <w:lang w:val="en-GB"/>
              </w:rPr>
            </w:pPr>
            <w:r w:rsidRPr="009C48DA">
              <w:rPr>
                <w:rFonts w:cs="Times New Roman"/>
                <w:sz w:val="17"/>
                <w:szCs w:val="17"/>
                <w:lang w:val="en-GB"/>
              </w:rPr>
              <w:t>Derivative financial instruments</w:t>
            </w:r>
            <w:r w:rsidRPr="009C48DA">
              <w:rPr>
                <w:sz w:val="17"/>
                <w:szCs w:val="17"/>
                <w:lang w:val="en-GB"/>
              </w:rPr>
              <w:tab/>
            </w:r>
          </w:p>
        </w:tc>
        <w:tc>
          <w:tcPr>
            <w:tcW w:w="645" w:type="pct"/>
            <w:vAlign w:val="bottom"/>
          </w:tcPr>
          <w:p w:rsidRPr="009C48DA" w:rsidR="008C06C3" w:rsidP="008C06C3" w:rsidRDefault="008C06C3" w14:paraId="7C270AC5" w14:textId="77777777">
            <w:pPr>
              <w:jc w:val="right"/>
              <w:rPr>
                <w:sz w:val="17"/>
                <w:szCs w:val="17"/>
                <w:lang w:val="en-GB"/>
              </w:rPr>
            </w:pPr>
            <w:r w:rsidRPr="009C48DA">
              <w:rPr>
                <w:sz w:val="17"/>
                <w:szCs w:val="17"/>
                <w:lang w:val="en-GB"/>
              </w:rPr>
              <w:t>5,719</w:t>
            </w:r>
          </w:p>
        </w:tc>
        <w:tc>
          <w:tcPr>
            <w:tcW w:w="645" w:type="pct"/>
            <w:vAlign w:val="bottom"/>
          </w:tcPr>
          <w:p w:rsidRPr="009C48DA" w:rsidR="008C06C3" w:rsidP="008C06C3" w:rsidRDefault="008C06C3" w14:paraId="00D52081" w14:textId="77777777">
            <w:pPr>
              <w:jc w:val="right"/>
              <w:rPr>
                <w:sz w:val="17"/>
                <w:szCs w:val="17"/>
                <w:lang w:val="en-GB"/>
              </w:rPr>
            </w:pPr>
            <w:r w:rsidRPr="009C48DA">
              <w:rPr>
                <w:rFonts w:cs="Times New Roman"/>
                <w:sz w:val="17"/>
                <w:szCs w:val="17"/>
                <w:lang w:val="en-GB"/>
              </w:rPr>
              <w:t>—</w:t>
            </w:r>
          </w:p>
        </w:tc>
        <w:tc>
          <w:tcPr>
            <w:tcW w:w="649" w:type="pct"/>
            <w:vAlign w:val="bottom"/>
          </w:tcPr>
          <w:p w:rsidRPr="009C48DA" w:rsidR="008C06C3" w:rsidP="008C06C3" w:rsidRDefault="008C06C3" w14:paraId="0B4CAEF0" w14:textId="77777777">
            <w:pPr>
              <w:jc w:val="right"/>
              <w:rPr>
                <w:sz w:val="17"/>
                <w:szCs w:val="17"/>
                <w:lang w:val="en-GB"/>
              </w:rPr>
            </w:pPr>
            <w:r w:rsidRPr="009C48DA">
              <w:rPr>
                <w:sz w:val="17"/>
                <w:szCs w:val="17"/>
                <w:lang w:val="en-GB"/>
              </w:rPr>
              <w:t>4,230</w:t>
            </w:r>
          </w:p>
        </w:tc>
        <w:tc>
          <w:tcPr>
            <w:tcW w:w="641" w:type="pct"/>
            <w:shd w:val="clear" w:color="auto" w:fill="auto"/>
            <w:vAlign w:val="bottom"/>
          </w:tcPr>
          <w:p w:rsidRPr="009C48DA" w:rsidR="008C06C3" w:rsidP="008C06C3" w:rsidRDefault="008C06C3" w14:paraId="17DFD7E7" w14:textId="77777777">
            <w:pPr>
              <w:jc w:val="right"/>
              <w:rPr>
                <w:b/>
                <w:sz w:val="17"/>
                <w:szCs w:val="17"/>
                <w:lang w:val="en-GB"/>
              </w:rPr>
            </w:pPr>
            <w:r w:rsidRPr="009C48DA">
              <w:rPr>
                <w:rFonts w:cs="Times New Roman"/>
                <w:sz w:val="17"/>
                <w:szCs w:val="17"/>
                <w:lang w:val="en-GB"/>
              </w:rPr>
              <w:t>—</w:t>
            </w:r>
          </w:p>
        </w:tc>
      </w:tr>
      <w:tr w:rsidRPr="009C48DA" w:rsidR="008C06C3" w:rsidTr="008C06C3" w14:paraId="1BF1C213" w14:textId="77777777">
        <w:tc>
          <w:tcPr>
            <w:tcW w:w="2420" w:type="pct"/>
            <w:shd w:val="clear" w:color="auto" w:fill="auto"/>
            <w:vAlign w:val="bottom"/>
          </w:tcPr>
          <w:p w:rsidRPr="009C48DA" w:rsidR="008C06C3" w:rsidP="008C06C3" w:rsidRDefault="008C06C3" w14:paraId="69DA4B4A" w14:textId="77777777">
            <w:pPr>
              <w:tabs>
                <w:tab w:val="right" w:leader="dot" w:pos="5518"/>
              </w:tabs>
              <w:rPr>
                <w:rFonts w:cs="Times New Roman"/>
                <w:sz w:val="17"/>
                <w:szCs w:val="17"/>
                <w:lang w:val="en-GB"/>
              </w:rPr>
            </w:pPr>
            <w:r w:rsidRPr="009C48DA">
              <w:rPr>
                <w:rFonts w:cs="Times New Roman"/>
                <w:sz w:val="17"/>
                <w:szCs w:val="17"/>
                <w:lang w:val="en-GB"/>
              </w:rPr>
              <w:t>CLO liabilities</w:t>
            </w:r>
            <w:r w:rsidRPr="009C48DA">
              <w:rPr>
                <w:rFonts w:cs="Times New Roman"/>
                <w:sz w:val="17"/>
                <w:szCs w:val="17"/>
                <w:vertAlign w:val="superscript"/>
                <w:lang w:val="en-GB"/>
              </w:rPr>
              <w:t>(1)</w:t>
            </w:r>
            <w:r w:rsidRPr="009C48DA">
              <w:rPr>
                <w:sz w:val="17"/>
                <w:szCs w:val="17"/>
                <w:lang w:val="en-GB"/>
              </w:rPr>
              <w:tab/>
            </w:r>
          </w:p>
        </w:tc>
        <w:tc>
          <w:tcPr>
            <w:tcW w:w="645" w:type="pct"/>
            <w:vAlign w:val="bottom"/>
          </w:tcPr>
          <w:p w:rsidRPr="009C48DA" w:rsidR="008C06C3" w:rsidP="008C06C3" w:rsidRDefault="008C06C3" w14:paraId="76874569" w14:textId="77777777">
            <w:pPr>
              <w:jc w:val="right"/>
              <w:rPr>
                <w:sz w:val="17"/>
                <w:szCs w:val="17"/>
                <w:lang w:val="en-GB"/>
              </w:rPr>
            </w:pPr>
            <w:r w:rsidRPr="009C48DA">
              <w:rPr>
                <w:rFonts w:cs="Times New Roman"/>
                <w:sz w:val="17"/>
                <w:szCs w:val="17"/>
                <w:lang w:val="en-GB"/>
              </w:rPr>
              <w:t>—</w:t>
            </w:r>
          </w:p>
        </w:tc>
        <w:tc>
          <w:tcPr>
            <w:tcW w:w="645" w:type="pct"/>
            <w:vAlign w:val="bottom"/>
          </w:tcPr>
          <w:p w:rsidRPr="009C48DA" w:rsidR="008C06C3" w:rsidP="008C06C3" w:rsidRDefault="008C06C3" w14:paraId="3E7ED3F1" w14:textId="77777777">
            <w:pPr>
              <w:jc w:val="right"/>
              <w:rPr>
                <w:rFonts w:cs="Times New Roman"/>
                <w:sz w:val="17"/>
                <w:szCs w:val="17"/>
                <w:lang w:val="en-GB"/>
              </w:rPr>
            </w:pPr>
            <w:r w:rsidRPr="009C48DA">
              <w:rPr>
                <w:rFonts w:cs="Times New Roman"/>
                <w:sz w:val="17"/>
                <w:szCs w:val="17"/>
                <w:lang w:val="en-GB"/>
              </w:rPr>
              <w:t>—</w:t>
            </w:r>
          </w:p>
        </w:tc>
        <w:tc>
          <w:tcPr>
            <w:tcW w:w="649" w:type="pct"/>
            <w:vAlign w:val="bottom"/>
          </w:tcPr>
          <w:p w:rsidRPr="009C48DA" w:rsidR="008C06C3" w:rsidP="008C06C3" w:rsidRDefault="008C06C3" w14:paraId="229595B3" w14:textId="77777777">
            <w:pPr>
              <w:jc w:val="right"/>
              <w:rPr>
                <w:sz w:val="17"/>
                <w:szCs w:val="17"/>
                <w:lang w:val="en-GB"/>
              </w:rPr>
            </w:pPr>
            <w:r w:rsidRPr="009C48DA">
              <w:rPr>
                <w:sz w:val="17"/>
                <w:szCs w:val="17"/>
                <w:lang w:val="en-GB"/>
              </w:rPr>
              <w:t>17,889</w:t>
            </w:r>
          </w:p>
        </w:tc>
        <w:tc>
          <w:tcPr>
            <w:tcW w:w="641" w:type="pct"/>
            <w:shd w:val="clear" w:color="auto" w:fill="auto"/>
            <w:vAlign w:val="bottom"/>
          </w:tcPr>
          <w:p w:rsidRPr="009C48DA" w:rsidR="008C06C3" w:rsidP="008C06C3" w:rsidRDefault="008C06C3" w14:paraId="5F9CC300" w14:textId="77777777">
            <w:pPr>
              <w:jc w:val="right"/>
              <w:rPr>
                <w:rFonts w:cs="Times New Roman"/>
                <w:sz w:val="17"/>
                <w:szCs w:val="17"/>
                <w:lang w:val="en-GB"/>
              </w:rPr>
            </w:pPr>
            <w:r w:rsidRPr="009C48DA">
              <w:rPr>
                <w:rFonts w:cs="Times New Roman"/>
                <w:sz w:val="17"/>
                <w:szCs w:val="17"/>
                <w:lang w:val="en-GB"/>
              </w:rPr>
              <w:t>49,331</w:t>
            </w:r>
          </w:p>
        </w:tc>
      </w:tr>
      <w:tr w:rsidRPr="009C48DA" w:rsidR="008C06C3" w:rsidTr="008C06C3" w14:paraId="6B03546B" w14:textId="77777777">
        <w:tc>
          <w:tcPr>
            <w:tcW w:w="2420" w:type="pct"/>
            <w:shd w:val="clear" w:color="auto" w:fill="auto"/>
            <w:vAlign w:val="bottom"/>
          </w:tcPr>
          <w:p w:rsidRPr="009C48DA" w:rsidR="008C06C3" w:rsidP="008C06C3" w:rsidRDefault="008C06C3" w14:paraId="24AF1C09" w14:textId="77777777">
            <w:pPr>
              <w:tabs>
                <w:tab w:val="right" w:leader="dot" w:pos="5518"/>
              </w:tabs>
              <w:rPr>
                <w:rFonts w:cs="Times New Roman"/>
                <w:sz w:val="17"/>
                <w:szCs w:val="17"/>
                <w:lang w:val="en-GB"/>
              </w:rPr>
            </w:pPr>
            <w:r w:rsidRPr="009C48DA">
              <w:rPr>
                <w:rFonts w:cs="Times New Roman"/>
                <w:sz w:val="17"/>
                <w:szCs w:val="17"/>
                <w:lang w:val="en-GB"/>
              </w:rPr>
              <w:t>CLO purchases awaiting settlement</w:t>
            </w:r>
            <w:r w:rsidRPr="009C48DA">
              <w:rPr>
                <w:rFonts w:cs="Times New Roman"/>
                <w:sz w:val="17"/>
                <w:szCs w:val="17"/>
                <w:vertAlign w:val="superscript"/>
                <w:lang w:val="en-GB"/>
              </w:rPr>
              <w:t>(1)</w:t>
            </w:r>
            <w:r w:rsidRPr="009C48DA">
              <w:rPr>
                <w:sz w:val="17"/>
                <w:szCs w:val="17"/>
                <w:lang w:val="en-GB"/>
              </w:rPr>
              <w:tab/>
            </w:r>
          </w:p>
        </w:tc>
        <w:tc>
          <w:tcPr>
            <w:tcW w:w="645" w:type="pct"/>
            <w:vAlign w:val="bottom"/>
          </w:tcPr>
          <w:p w:rsidRPr="009C48DA" w:rsidR="008C06C3" w:rsidP="008C06C3" w:rsidRDefault="008C06C3" w14:paraId="6CD34388" w14:textId="77777777">
            <w:pPr>
              <w:pBdr>
                <w:bottom w:val="single" w:color="auto" w:sz="4" w:space="1"/>
              </w:pBdr>
              <w:jc w:val="right"/>
              <w:rPr>
                <w:sz w:val="17"/>
                <w:szCs w:val="17"/>
                <w:lang w:val="en-GB"/>
              </w:rPr>
            </w:pPr>
            <w:r w:rsidRPr="009C48DA">
              <w:rPr>
                <w:rFonts w:cs="Times New Roman"/>
                <w:sz w:val="17"/>
                <w:szCs w:val="17"/>
                <w:lang w:val="en-GB"/>
              </w:rPr>
              <w:t>—</w:t>
            </w:r>
          </w:p>
        </w:tc>
        <w:tc>
          <w:tcPr>
            <w:tcW w:w="645" w:type="pct"/>
            <w:vAlign w:val="bottom"/>
          </w:tcPr>
          <w:p w:rsidRPr="009C48DA" w:rsidR="008C06C3" w:rsidP="008C06C3" w:rsidRDefault="008C06C3" w14:paraId="7FD2B66F" w14:textId="77777777">
            <w:pPr>
              <w:pBdr>
                <w:bottom w:val="single" w:color="auto" w:sz="4" w:space="1"/>
              </w:pBdr>
              <w:jc w:val="right"/>
              <w:rPr>
                <w:rFonts w:cs="Times New Roman"/>
                <w:sz w:val="17"/>
                <w:szCs w:val="17"/>
                <w:lang w:val="en-GB"/>
              </w:rPr>
            </w:pPr>
            <w:r w:rsidRPr="009C48DA">
              <w:rPr>
                <w:rFonts w:cs="Times New Roman"/>
                <w:sz w:val="17"/>
                <w:szCs w:val="17"/>
                <w:lang w:val="en-GB"/>
              </w:rPr>
              <w:t>—</w:t>
            </w:r>
          </w:p>
        </w:tc>
        <w:tc>
          <w:tcPr>
            <w:tcW w:w="649" w:type="pct"/>
            <w:vAlign w:val="bottom"/>
          </w:tcPr>
          <w:p w:rsidRPr="009C48DA" w:rsidR="008C06C3" w:rsidP="008C06C3" w:rsidRDefault="008C06C3" w14:paraId="51ADAE3E" w14:textId="4803C67D">
            <w:pPr>
              <w:pBdr>
                <w:bottom w:val="single" w:color="auto" w:sz="4" w:space="1"/>
              </w:pBdr>
              <w:jc w:val="right"/>
              <w:rPr>
                <w:sz w:val="17"/>
                <w:szCs w:val="17"/>
                <w:lang w:val="en-GB"/>
              </w:rPr>
            </w:pPr>
            <w:r w:rsidRPr="009C48DA">
              <w:rPr>
                <w:sz w:val="17"/>
                <w:szCs w:val="17"/>
                <w:lang w:val="en-GB"/>
              </w:rPr>
              <w:t>93,237</w:t>
            </w:r>
          </w:p>
        </w:tc>
        <w:tc>
          <w:tcPr>
            <w:tcW w:w="641" w:type="pct"/>
            <w:shd w:val="clear" w:color="auto" w:fill="auto"/>
            <w:vAlign w:val="bottom"/>
          </w:tcPr>
          <w:p w:rsidRPr="009C48DA" w:rsidR="008C06C3" w:rsidP="008C06C3" w:rsidRDefault="008C06C3" w14:paraId="0F026C59" w14:textId="53E28E30">
            <w:pPr>
              <w:pBdr>
                <w:bottom w:val="single" w:color="auto" w:sz="4" w:space="1"/>
              </w:pBdr>
              <w:jc w:val="right"/>
              <w:rPr>
                <w:rFonts w:cs="Times New Roman"/>
                <w:sz w:val="17"/>
                <w:szCs w:val="17"/>
                <w:lang w:val="en-GB"/>
              </w:rPr>
            </w:pPr>
            <w:r w:rsidRPr="009C48DA">
              <w:rPr>
                <w:rFonts w:cs="Times New Roman"/>
                <w:sz w:val="17"/>
                <w:szCs w:val="17"/>
                <w:lang w:val="en-GB"/>
              </w:rPr>
              <w:t>124,489</w:t>
            </w:r>
          </w:p>
        </w:tc>
      </w:tr>
      <w:tr w:rsidRPr="009C48DA" w:rsidR="008C06C3" w:rsidTr="008C06C3" w14:paraId="4B238F27" w14:textId="77777777">
        <w:tc>
          <w:tcPr>
            <w:tcW w:w="2420" w:type="pct"/>
            <w:shd w:val="clear" w:color="auto" w:fill="auto"/>
            <w:vAlign w:val="bottom"/>
          </w:tcPr>
          <w:p w:rsidRPr="009C48DA" w:rsidR="008C06C3" w:rsidP="008C06C3" w:rsidRDefault="008C06C3" w14:paraId="79CA6EA6" w14:textId="77777777">
            <w:pPr>
              <w:tabs>
                <w:tab w:val="right" w:leader="dot" w:pos="5518"/>
              </w:tabs>
              <w:rPr>
                <w:rFonts w:cs="Times New Roman"/>
                <w:b/>
                <w:sz w:val="17"/>
                <w:szCs w:val="17"/>
                <w:lang w:val="en-GB"/>
              </w:rPr>
            </w:pPr>
            <w:r w:rsidRPr="009C48DA">
              <w:rPr>
                <w:rFonts w:cs="Times New Roman"/>
                <w:b/>
                <w:sz w:val="17"/>
                <w:szCs w:val="17"/>
                <w:lang w:val="en-GB"/>
              </w:rPr>
              <w:t>Total current liabilities</w:t>
            </w:r>
            <w:r w:rsidRPr="009C48DA">
              <w:rPr>
                <w:sz w:val="17"/>
                <w:szCs w:val="17"/>
                <w:lang w:val="en-GB"/>
              </w:rPr>
              <w:tab/>
            </w:r>
          </w:p>
        </w:tc>
        <w:tc>
          <w:tcPr>
            <w:tcW w:w="645" w:type="pct"/>
            <w:vAlign w:val="bottom"/>
          </w:tcPr>
          <w:p w:rsidRPr="009C48DA" w:rsidR="008C06C3" w:rsidP="008C06C3" w:rsidRDefault="008C06C3" w14:paraId="6603D827" w14:textId="77777777">
            <w:pPr>
              <w:pBdr>
                <w:bottom w:val="single" w:color="auto" w:sz="4" w:space="1"/>
              </w:pBdr>
              <w:jc w:val="right"/>
              <w:rPr>
                <w:b/>
                <w:sz w:val="17"/>
                <w:szCs w:val="17"/>
                <w:lang w:val="en-GB"/>
              </w:rPr>
            </w:pPr>
            <w:r w:rsidRPr="009C48DA">
              <w:rPr>
                <w:b/>
                <w:sz w:val="17"/>
                <w:szCs w:val="17"/>
                <w:lang w:val="en-GB"/>
              </w:rPr>
              <w:t>77,571</w:t>
            </w:r>
          </w:p>
        </w:tc>
        <w:tc>
          <w:tcPr>
            <w:tcW w:w="645" w:type="pct"/>
            <w:vAlign w:val="bottom"/>
          </w:tcPr>
          <w:p w:rsidRPr="009C48DA" w:rsidR="008C06C3" w:rsidP="008C06C3" w:rsidRDefault="008C06C3" w14:paraId="3C884821" w14:textId="77777777">
            <w:pPr>
              <w:pBdr>
                <w:bottom w:val="single" w:color="auto" w:sz="4" w:space="1"/>
              </w:pBdr>
              <w:jc w:val="right"/>
              <w:rPr>
                <w:b/>
                <w:sz w:val="17"/>
                <w:szCs w:val="17"/>
                <w:lang w:val="en-GB"/>
              </w:rPr>
            </w:pPr>
            <w:r w:rsidRPr="009C48DA">
              <w:rPr>
                <w:b/>
                <w:sz w:val="17"/>
                <w:szCs w:val="17"/>
                <w:lang w:val="en-GB"/>
              </w:rPr>
              <w:t>72,142</w:t>
            </w:r>
          </w:p>
        </w:tc>
        <w:tc>
          <w:tcPr>
            <w:tcW w:w="649" w:type="pct"/>
            <w:vAlign w:val="bottom"/>
          </w:tcPr>
          <w:p w:rsidRPr="009C48DA" w:rsidR="008C06C3" w:rsidP="008C06C3" w:rsidRDefault="008C06C3" w14:paraId="5343EC69" w14:textId="3575AD0B">
            <w:pPr>
              <w:pBdr>
                <w:bottom w:val="single" w:color="auto" w:sz="4" w:space="1"/>
              </w:pBdr>
              <w:jc w:val="right"/>
              <w:rPr>
                <w:b/>
                <w:sz w:val="17"/>
                <w:szCs w:val="17"/>
                <w:lang w:val="en-GB"/>
              </w:rPr>
            </w:pPr>
            <w:r w:rsidRPr="009C48DA">
              <w:rPr>
                <w:b/>
                <w:sz w:val="17"/>
                <w:szCs w:val="17"/>
                <w:lang w:val="en-GB"/>
              </w:rPr>
              <w:t>307,022</w:t>
            </w:r>
          </w:p>
        </w:tc>
        <w:tc>
          <w:tcPr>
            <w:tcW w:w="641" w:type="pct"/>
            <w:shd w:val="clear" w:color="auto" w:fill="auto"/>
            <w:vAlign w:val="bottom"/>
          </w:tcPr>
          <w:p w:rsidRPr="009C48DA" w:rsidR="008C06C3" w:rsidP="008C06C3" w:rsidRDefault="008C06C3" w14:paraId="6FD14A7D" w14:textId="7F698973">
            <w:pPr>
              <w:pBdr>
                <w:bottom w:val="single" w:color="auto" w:sz="4" w:space="1"/>
              </w:pBdr>
              <w:jc w:val="right"/>
              <w:rPr>
                <w:b/>
                <w:sz w:val="17"/>
                <w:szCs w:val="17"/>
                <w:lang w:val="en-GB"/>
              </w:rPr>
            </w:pPr>
            <w:r w:rsidRPr="009C48DA">
              <w:rPr>
                <w:b/>
                <w:sz w:val="17"/>
                <w:szCs w:val="17"/>
                <w:lang w:val="en-GB"/>
              </w:rPr>
              <w:t>366,423</w:t>
            </w:r>
          </w:p>
        </w:tc>
      </w:tr>
      <w:tr w:rsidRPr="009C48DA" w:rsidR="008C06C3" w:rsidTr="008C06C3" w14:paraId="3715A495" w14:textId="77777777">
        <w:tc>
          <w:tcPr>
            <w:tcW w:w="2420" w:type="pct"/>
            <w:shd w:val="clear" w:color="auto" w:fill="auto"/>
            <w:vAlign w:val="bottom"/>
          </w:tcPr>
          <w:p w:rsidRPr="009C48DA" w:rsidR="008C06C3" w:rsidP="008C06C3" w:rsidRDefault="008C06C3" w14:paraId="2E379AD1" w14:textId="77777777">
            <w:pPr>
              <w:tabs>
                <w:tab w:val="right" w:leader="dot" w:pos="5518"/>
              </w:tabs>
              <w:rPr>
                <w:rFonts w:cs="Times New Roman"/>
                <w:b/>
                <w:sz w:val="17"/>
                <w:szCs w:val="17"/>
                <w:lang w:val="en-GB"/>
              </w:rPr>
            </w:pPr>
            <w:r w:rsidRPr="009C48DA">
              <w:rPr>
                <w:rFonts w:cs="Times New Roman"/>
                <w:b/>
                <w:sz w:val="17"/>
                <w:szCs w:val="17"/>
                <w:lang w:val="en-GB"/>
              </w:rPr>
              <w:t>Total liabilities</w:t>
            </w:r>
            <w:r w:rsidRPr="009C48DA">
              <w:rPr>
                <w:sz w:val="17"/>
                <w:szCs w:val="17"/>
                <w:lang w:val="en-GB"/>
              </w:rPr>
              <w:tab/>
            </w:r>
          </w:p>
        </w:tc>
        <w:tc>
          <w:tcPr>
            <w:tcW w:w="645" w:type="pct"/>
            <w:vAlign w:val="bottom"/>
          </w:tcPr>
          <w:p w:rsidRPr="009C48DA" w:rsidR="008C06C3" w:rsidP="008C06C3" w:rsidRDefault="008C06C3" w14:paraId="263B20FD" w14:textId="77777777">
            <w:pPr>
              <w:pBdr>
                <w:bottom w:val="single" w:color="auto" w:sz="4" w:space="1"/>
              </w:pBdr>
              <w:jc w:val="right"/>
              <w:rPr>
                <w:b/>
                <w:sz w:val="17"/>
                <w:szCs w:val="17"/>
                <w:lang w:val="en-GB"/>
              </w:rPr>
            </w:pPr>
            <w:r w:rsidRPr="009C48DA">
              <w:rPr>
                <w:b/>
                <w:sz w:val="17"/>
                <w:szCs w:val="17"/>
                <w:lang w:val="en-GB"/>
              </w:rPr>
              <w:t>211,503</w:t>
            </w:r>
          </w:p>
        </w:tc>
        <w:tc>
          <w:tcPr>
            <w:tcW w:w="645" w:type="pct"/>
            <w:vAlign w:val="bottom"/>
          </w:tcPr>
          <w:p w:rsidRPr="009C48DA" w:rsidR="008C06C3" w:rsidP="008C06C3" w:rsidRDefault="008C06C3" w14:paraId="456D5450" w14:textId="77777777">
            <w:pPr>
              <w:pBdr>
                <w:bottom w:val="single" w:color="auto" w:sz="4" w:space="1"/>
              </w:pBdr>
              <w:jc w:val="right"/>
              <w:rPr>
                <w:b/>
                <w:sz w:val="17"/>
                <w:szCs w:val="17"/>
                <w:lang w:val="en-GB"/>
              </w:rPr>
            </w:pPr>
            <w:r w:rsidRPr="009C48DA">
              <w:rPr>
                <w:b/>
                <w:sz w:val="17"/>
                <w:szCs w:val="17"/>
                <w:lang w:val="en-GB"/>
              </w:rPr>
              <w:t>150,885</w:t>
            </w:r>
          </w:p>
        </w:tc>
        <w:tc>
          <w:tcPr>
            <w:tcW w:w="649" w:type="pct"/>
            <w:vAlign w:val="bottom"/>
          </w:tcPr>
          <w:p w:rsidRPr="009C48DA" w:rsidR="008C06C3" w:rsidP="008C06C3" w:rsidRDefault="008C06C3" w14:paraId="0E486911" w14:textId="0ECB09F9">
            <w:pPr>
              <w:pBdr>
                <w:bottom w:val="single" w:color="auto" w:sz="4" w:space="1"/>
              </w:pBdr>
              <w:jc w:val="right"/>
              <w:rPr>
                <w:b/>
                <w:sz w:val="17"/>
                <w:szCs w:val="17"/>
                <w:lang w:val="en-GB"/>
              </w:rPr>
            </w:pPr>
            <w:r w:rsidRPr="009C48DA">
              <w:rPr>
                <w:b/>
                <w:sz w:val="17"/>
                <w:szCs w:val="17"/>
                <w:lang w:val="en-GB"/>
              </w:rPr>
              <w:t>651,418</w:t>
            </w:r>
          </w:p>
        </w:tc>
        <w:tc>
          <w:tcPr>
            <w:tcW w:w="641" w:type="pct"/>
            <w:shd w:val="clear" w:color="auto" w:fill="auto"/>
            <w:vAlign w:val="bottom"/>
          </w:tcPr>
          <w:p w:rsidRPr="009C48DA" w:rsidR="008C06C3" w:rsidP="008C06C3" w:rsidRDefault="008C06C3" w14:paraId="0AF36927" w14:textId="1E4A5F6A">
            <w:pPr>
              <w:pBdr>
                <w:bottom w:val="single" w:color="auto" w:sz="4" w:space="1"/>
              </w:pBdr>
              <w:jc w:val="right"/>
              <w:rPr>
                <w:b/>
                <w:sz w:val="17"/>
                <w:szCs w:val="17"/>
                <w:lang w:val="en-GB"/>
              </w:rPr>
            </w:pPr>
            <w:r w:rsidRPr="009C48DA">
              <w:rPr>
                <w:b/>
                <w:sz w:val="17"/>
                <w:szCs w:val="17"/>
                <w:lang w:val="en-GB"/>
              </w:rPr>
              <w:t>703,943</w:t>
            </w:r>
          </w:p>
        </w:tc>
      </w:tr>
      <w:tr w:rsidRPr="009C48DA" w:rsidR="008C06C3" w:rsidTr="008C06C3" w14:paraId="06237F7F" w14:textId="77777777">
        <w:tc>
          <w:tcPr>
            <w:tcW w:w="2420" w:type="pct"/>
            <w:shd w:val="clear" w:color="auto" w:fill="auto"/>
            <w:vAlign w:val="bottom"/>
          </w:tcPr>
          <w:p w:rsidRPr="009C48DA" w:rsidR="008C06C3" w:rsidP="008C06C3" w:rsidRDefault="008C06C3" w14:paraId="5457B06F" w14:textId="77777777">
            <w:pPr>
              <w:tabs>
                <w:tab w:val="right" w:leader="dot" w:pos="5518"/>
              </w:tabs>
              <w:rPr>
                <w:rFonts w:cs="Times New Roman"/>
                <w:b/>
                <w:sz w:val="17"/>
                <w:szCs w:val="17"/>
                <w:lang w:val="en-GB"/>
              </w:rPr>
            </w:pPr>
            <w:r w:rsidRPr="009C48DA">
              <w:rPr>
                <w:rFonts w:cs="Times New Roman"/>
                <w:b/>
                <w:sz w:val="17"/>
                <w:szCs w:val="17"/>
                <w:lang w:val="en-GB"/>
              </w:rPr>
              <w:t>Net assets</w:t>
            </w:r>
            <w:r w:rsidRPr="009C48DA">
              <w:rPr>
                <w:sz w:val="17"/>
                <w:szCs w:val="17"/>
                <w:lang w:val="en-GB"/>
              </w:rPr>
              <w:tab/>
            </w:r>
          </w:p>
        </w:tc>
        <w:tc>
          <w:tcPr>
            <w:tcW w:w="645" w:type="pct"/>
            <w:vAlign w:val="bottom"/>
          </w:tcPr>
          <w:p w:rsidRPr="009C48DA" w:rsidR="008C06C3" w:rsidP="008C06C3" w:rsidRDefault="008C06C3" w14:paraId="43187707" w14:textId="77777777">
            <w:pPr>
              <w:pBdr>
                <w:bottom w:val="double" w:color="auto" w:sz="4" w:space="1"/>
              </w:pBdr>
              <w:jc w:val="right"/>
              <w:rPr>
                <w:b/>
                <w:sz w:val="17"/>
                <w:szCs w:val="17"/>
                <w:lang w:val="en-GB"/>
              </w:rPr>
            </w:pPr>
            <w:r w:rsidRPr="009C48DA">
              <w:rPr>
                <w:b/>
                <w:sz w:val="17"/>
                <w:szCs w:val="17"/>
                <w:lang w:val="en-GB"/>
              </w:rPr>
              <w:t>320,235</w:t>
            </w:r>
          </w:p>
        </w:tc>
        <w:tc>
          <w:tcPr>
            <w:tcW w:w="645" w:type="pct"/>
            <w:vAlign w:val="bottom"/>
          </w:tcPr>
          <w:p w:rsidRPr="009C48DA" w:rsidR="008C06C3" w:rsidP="008C06C3" w:rsidRDefault="008C06C3" w14:paraId="1C9B262E" w14:textId="77777777">
            <w:pPr>
              <w:pBdr>
                <w:bottom w:val="double" w:color="auto" w:sz="4" w:space="1"/>
              </w:pBdr>
              <w:jc w:val="right"/>
              <w:rPr>
                <w:b/>
                <w:sz w:val="17"/>
                <w:szCs w:val="17"/>
                <w:lang w:val="en-GB"/>
              </w:rPr>
            </w:pPr>
            <w:r w:rsidRPr="009C48DA">
              <w:rPr>
                <w:b/>
                <w:sz w:val="17"/>
                <w:szCs w:val="17"/>
                <w:lang w:val="en-GB"/>
              </w:rPr>
              <w:t>356,339</w:t>
            </w:r>
          </w:p>
        </w:tc>
        <w:tc>
          <w:tcPr>
            <w:tcW w:w="649" w:type="pct"/>
            <w:vAlign w:val="bottom"/>
          </w:tcPr>
          <w:p w:rsidRPr="009C48DA" w:rsidR="008C06C3" w:rsidP="008C06C3" w:rsidRDefault="008C06C3" w14:paraId="07147600" w14:textId="77777777">
            <w:pPr>
              <w:pBdr>
                <w:bottom w:val="double" w:color="auto" w:sz="4" w:space="1"/>
              </w:pBdr>
              <w:jc w:val="right"/>
              <w:rPr>
                <w:b/>
                <w:sz w:val="17"/>
                <w:szCs w:val="17"/>
                <w:lang w:val="en-GB"/>
              </w:rPr>
            </w:pPr>
            <w:r w:rsidRPr="009C48DA">
              <w:rPr>
                <w:b/>
                <w:sz w:val="17"/>
                <w:szCs w:val="17"/>
                <w:lang w:val="en-GB"/>
              </w:rPr>
              <w:t>390,556</w:t>
            </w:r>
          </w:p>
        </w:tc>
        <w:tc>
          <w:tcPr>
            <w:tcW w:w="641" w:type="pct"/>
            <w:shd w:val="clear" w:color="auto" w:fill="auto"/>
            <w:vAlign w:val="bottom"/>
          </w:tcPr>
          <w:p w:rsidRPr="009C48DA" w:rsidR="008C06C3" w:rsidP="008C06C3" w:rsidRDefault="008C06C3" w14:paraId="36FF95D3" w14:textId="77777777">
            <w:pPr>
              <w:pBdr>
                <w:bottom w:val="double" w:color="auto" w:sz="4" w:space="1"/>
              </w:pBdr>
              <w:jc w:val="right"/>
              <w:rPr>
                <w:b/>
                <w:sz w:val="17"/>
                <w:szCs w:val="17"/>
                <w:lang w:val="en-GB"/>
              </w:rPr>
            </w:pPr>
            <w:r w:rsidRPr="009C48DA">
              <w:rPr>
                <w:b/>
                <w:sz w:val="17"/>
                <w:szCs w:val="17"/>
                <w:lang w:val="en-GB"/>
              </w:rPr>
              <w:t>414,385</w:t>
            </w:r>
          </w:p>
        </w:tc>
      </w:tr>
      <w:tr w:rsidRPr="009C48DA" w:rsidR="008C06C3" w:rsidTr="008C06C3" w14:paraId="719F59D7" w14:textId="77777777">
        <w:tc>
          <w:tcPr>
            <w:tcW w:w="2420" w:type="pct"/>
            <w:shd w:val="clear" w:color="auto" w:fill="auto"/>
            <w:vAlign w:val="bottom"/>
          </w:tcPr>
          <w:p w:rsidRPr="009C48DA" w:rsidR="008C06C3" w:rsidP="008C06C3" w:rsidRDefault="008C06C3" w14:paraId="1ADED553" w14:textId="77777777">
            <w:pPr>
              <w:tabs>
                <w:tab w:val="right" w:leader="dot" w:pos="5518"/>
              </w:tabs>
              <w:rPr>
                <w:rFonts w:cs="Times New Roman"/>
                <w:b/>
                <w:sz w:val="17"/>
                <w:szCs w:val="17"/>
                <w:lang w:val="en-GB"/>
              </w:rPr>
            </w:pPr>
          </w:p>
        </w:tc>
        <w:tc>
          <w:tcPr>
            <w:tcW w:w="645" w:type="pct"/>
            <w:vAlign w:val="bottom"/>
          </w:tcPr>
          <w:p w:rsidRPr="009C48DA" w:rsidR="008C06C3" w:rsidP="008C06C3" w:rsidRDefault="008C06C3" w14:paraId="71AA8EBE" w14:textId="77777777">
            <w:pPr>
              <w:jc w:val="right"/>
              <w:rPr>
                <w:b/>
                <w:sz w:val="17"/>
                <w:szCs w:val="17"/>
                <w:lang w:val="en-GB"/>
              </w:rPr>
            </w:pPr>
          </w:p>
        </w:tc>
        <w:tc>
          <w:tcPr>
            <w:tcW w:w="645" w:type="pct"/>
            <w:vAlign w:val="bottom"/>
          </w:tcPr>
          <w:p w:rsidRPr="009C48DA" w:rsidR="008C06C3" w:rsidP="008C06C3" w:rsidRDefault="008C06C3" w14:paraId="3732F4B4" w14:textId="77777777">
            <w:pPr>
              <w:jc w:val="right"/>
              <w:rPr>
                <w:b/>
                <w:sz w:val="17"/>
                <w:szCs w:val="17"/>
                <w:lang w:val="en-GB"/>
              </w:rPr>
            </w:pPr>
          </w:p>
        </w:tc>
        <w:tc>
          <w:tcPr>
            <w:tcW w:w="649" w:type="pct"/>
            <w:vAlign w:val="bottom"/>
          </w:tcPr>
          <w:p w:rsidRPr="009C48DA" w:rsidR="008C06C3" w:rsidP="008C06C3" w:rsidRDefault="008C06C3" w14:paraId="38E26399" w14:textId="77777777">
            <w:pPr>
              <w:jc w:val="right"/>
              <w:rPr>
                <w:b/>
                <w:sz w:val="17"/>
                <w:szCs w:val="17"/>
                <w:lang w:val="en-GB"/>
              </w:rPr>
            </w:pPr>
          </w:p>
        </w:tc>
        <w:tc>
          <w:tcPr>
            <w:tcW w:w="641" w:type="pct"/>
            <w:shd w:val="clear" w:color="auto" w:fill="auto"/>
            <w:vAlign w:val="bottom"/>
          </w:tcPr>
          <w:p w:rsidRPr="009C48DA" w:rsidR="008C06C3" w:rsidP="008C06C3" w:rsidRDefault="008C06C3" w14:paraId="6013C5FD" w14:textId="77777777">
            <w:pPr>
              <w:jc w:val="right"/>
              <w:rPr>
                <w:b/>
                <w:sz w:val="17"/>
                <w:szCs w:val="17"/>
                <w:lang w:val="en-GB"/>
              </w:rPr>
            </w:pPr>
          </w:p>
        </w:tc>
      </w:tr>
      <w:tr w:rsidRPr="009C48DA" w:rsidR="008C06C3" w:rsidTr="008C06C3" w14:paraId="5C4FDC04" w14:textId="77777777">
        <w:tc>
          <w:tcPr>
            <w:tcW w:w="2420" w:type="pct"/>
            <w:shd w:val="clear" w:color="auto" w:fill="auto"/>
            <w:vAlign w:val="bottom"/>
          </w:tcPr>
          <w:p w:rsidRPr="009C48DA" w:rsidR="008C06C3" w:rsidP="008C06C3" w:rsidRDefault="008C06C3" w14:paraId="094692A2" w14:textId="77777777">
            <w:pPr>
              <w:tabs>
                <w:tab w:val="right" w:leader="dot" w:pos="5518"/>
              </w:tabs>
              <w:rPr>
                <w:rFonts w:cs="Times New Roman"/>
                <w:b/>
                <w:sz w:val="17"/>
                <w:szCs w:val="17"/>
                <w:lang w:val="en-GB"/>
              </w:rPr>
            </w:pPr>
            <w:r w:rsidRPr="009C48DA">
              <w:rPr>
                <w:rFonts w:cs="Times New Roman"/>
                <w:b/>
                <w:sz w:val="17"/>
                <w:szCs w:val="17"/>
                <w:lang w:val="en-GB"/>
              </w:rPr>
              <w:t>Equity</w:t>
            </w:r>
          </w:p>
        </w:tc>
        <w:tc>
          <w:tcPr>
            <w:tcW w:w="645" w:type="pct"/>
            <w:vAlign w:val="bottom"/>
          </w:tcPr>
          <w:p w:rsidRPr="009C48DA" w:rsidR="008C06C3" w:rsidP="008C06C3" w:rsidRDefault="008C06C3" w14:paraId="7373F856" w14:textId="77777777">
            <w:pPr>
              <w:jc w:val="right"/>
              <w:rPr>
                <w:b/>
                <w:sz w:val="17"/>
                <w:szCs w:val="17"/>
                <w:lang w:val="en-GB"/>
              </w:rPr>
            </w:pPr>
          </w:p>
        </w:tc>
        <w:tc>
          <w:tcPr>
            <w:tcW w:w="645" w:type="pct"/>
            <w:vAlign w:val="bottom"/>
          </w:tcPr>
          <w:p w:rsidRPr="009C48DA" w:rsidR="008C06C3" w:rsidP="008C06C3" w:rsidRDefault="008C06C3" w14:paraId="430AF0E1" w14:textId="77777777">
            <w:pPr>
              <w:jc w:val="right"/>
              <w:rPr>
                <w:b/>
                <w:sz w:val="17"/>
                <w:szCs w:val="17"/>
                <w:lang w:val="en-GB"/>
              </w:rPr>
            </w:pPr>
          </w:p>
        </w:tc>
        <w:tc>
          <w:tcPr>
            <w:tcW w:w="649" w:type="pct"/>
            <w:vAlign w:val="bottom"/>
          </w:tcPr>
          <w:p w:rsidRPr="009C48DA" w:rsidR="008C06C3" w:rsidP="008C06C3" w:rsidRDefault="008C06C3" w14:paraId="15C7C879" w14:textId="77777777">
            <w:pPr>
              <w:jc w:val="right"/>
              <w:rPr>
                <w:b/>
                <w:sz w:val="17"/>
                <w:szCs w:val="17"/>
                <w:lang w:val="en-GB"/>
              </w:rPr>
            </w:pPr>
          </w:p>
        </w:tc>
        <w:tc>
          <w:tcPr>
            <w:tcW w:w="641" w:type="pct"/>
            <w:shd w:val="clear" w:color="auto" w:fill="auto"/>
            <w:vAlign w:val="bottom"/>
          </w:tcPr>
          <w:p w:rsidRPr="009C48DA" w:rsidR="008C06C3" w:rsidP="008C06C3" w:rsidRDefault="008C06C3" w14:paraId="2C62908A" w14:textId="77777777">
            <w:pPr>
              <w:jc w:val="right"/>
              <w:rPr>
                <w:b/>
                <w:sz w:val="17"/>
                <w:szCs w:val="17"/>
                <w:lang w:val="en-GB"/>
              </w:rPr>
            </w:pPr>
          </w:p>
        </w:tc>
      </w:tr>
      <w:tr w:rsidRPr="009C48DA" w:rsidR="008C06C3" w:rsidTr="008C06C3" w14:paraId="2923481B" w14:textId="77777777">
        <w:tc>
          <w:tcPr>
            <w:tcW w:w="2420" w:type="pct"/>
            <w:shd w:val="clear" w:color="auto" w:fill="auto"/>
            <w:vAlign w:val="bottom"/>
          </w:tcPr>
          <w:p w:rsidRPr="009C48DA" w:rsidR="008C06C3" w:rsidP="008C06C3" w:rsidRDefault="008C06C3" w14:paraId="7EB87624" w14:textId="77777777">
            <w:pPr>
              <w:tabs>
                <w:tab w:val="right" w:leader="dot" w:pos="5518"/>
              </w:tabs>
              <w:rPr>
                <w:rFonts w:cs="Times New Roman"/>
                <w:b/>
                <w:sz w:val="17"/>
                <w:szCs w:val="17"/>
                <w:lang w:val="en-GB"/>
              </w:rPr>
            </w:pPr>
            <w:r w:rsidRPr="009C48DA">
              <w:rPr>
                <w:rFonts w:cs="Times New Roman"/>
                <w:sz w:val="17"/>
                <w:szCs w:val="17"/>
                <w:lang w:val="en-GB"/>
              </w:rPr>
              <w:t>Share capital and premium</w:t>
            </w:r>
            <w:r w:rsidRPr="009C48DA">
              <w:rPr>
                <w:rFonts w:cs="Times New Roman"/>
                <w:sz w:val="17"/>
                <w:szCs w:val="17"/>
                <w:lang w:val="en-GB"/>
              </w:rPr>
              <w:tab/>
            </w:r>
          </w:p>
        </w:tc>
        <w:tc>
          <w:tcPr>
            <w:tcW w:w="645" w:type="pct"/>
            <w:vAlign w:val="bottom"/>
          </w:tcPr>
          <w:p w:rsidRPr="009C48DA" w:rsidR="008C06C3" w:rsidP="008C06C3" w:rsidRDefault="008C06C3" w14:paraId="05994A7A" w14:textId="77777777">
            <w:pPr>
              <w:jc w:val="right"/>
              <w:rPr>
                <w:sz w:val="17"/>
                <w:szCs w:val="17"/>
                <w:lang w:val="en-GB"/>
              </w:rPr>
            </w:pPr>
            <w:r w:rsidRPr="009C48DA">
              <w:rPr>
                <w:sz w:val="17"/>
                <w:szCs w:val="17"/>
                <w:lang w:val="en-GB"/>
              </w:rPr>
              <w:t>240,867</w:t>
            </w:r>
          </w:p>
        </w:tc>
        <w:tc>
          <w:tcPr>
            <w:tcW w:w="645" w:type="pct"/>
            <w:vAlign w:val="bottom"/>
          </w:tcPr>
          <w:p w:rsidRPr="009C48DA" w:rsidR="008C06C3" w:rsidP="008C06C3" w:rsidRDefault="008C06C3" w14:paraId="64CAE67C" w14:textId="77777777">
            <w:pPr>
              <w:jc w:val="right"/>
              <w:rPr>
                <w:sz w:val="17"/>
                <w:szCs w:val="17"/>
                <w:lang w:val="en-GB"/>
              </w:rPr>
            </w:pPr>
            <w:r w:rsidRPr="009C48DA">
              <w:rPr>
                <w:sz w:val="17"/>
                <w:szCs w:val="17"/>
                <w:lang w:val="en-GB"/>
              </w:rPr>
              <w:t>241,419</w:t>
            </w:r>
          </w:p>
        </w:tc>
        <w:tc>
          <w:tcPr>
            <w:tcW w:w="649" w:type="pct"/>
            <w:vAlign w:val="bottom"/>
          </w:tcPr>
          <w:p w:rsidRPr="009C48DA" w:rsidR="008C06C3" w:rsidP="008C06C3" w:rsidRDefault="008C06C3" w14:paraId="56F91DC7" w14:textId="77777777">
            <w:pPr>
              <w:jc w:val="right"/>
              <w:rPr>
                <w:sz w:val="17"/>
                <w:szCs w:val="17"/>
                <w:lang w:val="en-GB"/>
              </w:rPr>
            </w:pPr>
            <w:r w:rsidRPr="009C48DA">
              <w:rPr>
                <w:sz w:val="17"/>
                <w:szCs w:val="17"/>
                <w:lang w:val="en-GB"/>
              </w:rPr>
              <w:t>241,419</w:t>
            </w:r>
          </w:p>
        </w:tc>
        <w:tc>
          <w:tcPr>
            <w:tcW w:w="641" w:type="pct"/>
            <w:shd w:val="clear" w:color="auto" w:fill="auto"/>
            <w:vAlign w:val="bottom"/>
          </w:tcPr>
          <w:p w:rsidRPr="009C48DA" w:rsidR="008C06C3" w:rsidP="008C06C3" w:rsidRDefault="008C06C3" w14:paraId="2DF8495D" w14:textId="77777777">
            <w:pPr>
              <w:jc w:val="right"/>
              <w:rPr>
                <w:b/>
                <w:sz w:val="17"/>
                <w:szCs w:val="17"/>
                <w:lang w:val="en-GB"/>
              </w:rPr>
            </w:pPr>
            <w:r w:rsidRPr="009C48DA">
              <w:rPr>
                <w:sz w:val="17"/>
                <w:szCs w:val="17"/>
                <w:lang w:val="en-GB"/>
              </w:rPr>
              <w:t>241,419</w:t>
            </w:r>
            <w:r w:rsidRPr="009C48DA" w:rsidDel="00EF3443">
              <w:rPr>
                <w:sz w:val="17"/>
                <w:szCs w:val="17"/>
                <w:lang w:val="en-GB"/>
              </w:rPr>
              <w:t xml:space="preserve"> </w:t>
            </w:r>
          </w:p>
        </w:tc>
      </w:tr>
      <w:tr w:rsidRPr="009C48DA" w:rsidR="008C06C3" w:rsidTr="008C06C3" w14:paraId="68ACE0BA" w14:textId="77777777">
        <w:tc>
          <w:tcPr>
            <w:tcW w:w="2420" w:type="pct"/>
            <w:shd w:val="clear" w:color="auto" w:fill="auto"/>
            <w:vAlign w:val="bottom"/>
          </w:tcPr>
          <w:p w:rsidRPr="009C48DA" w:rsidR="008C06C3" w:rsidP="008C06C3" w:rsidRDefault="008C06C3" w14:paraId="49920D0C" w14:textId="77777777">
            <w:pPr>
              <w:tabs>
                <w:tab w:val="right" w:leader="dot" w:pos="5518"/>
              </w:tabs>
              <w:rPr>
                <w:rFonts w:cs="Times New Roman"/>
                <w:sz w:val="17"/>
                <w:szCs w:val="17"/>
                <w:lang w:val="en-GB"/>
              </w:rPr>
            </w:pPr>
            <w:r w:rsidRPr="009C48DA">
              <w:rPr>
                <w:rFonts w:cs="Times New Roman"/>
                <w:sz w:val="17"/>
                <w:szCs w:val="17"/>
                <w:lang w:val="en-GB"/>
              </w:rPr>
              <w:t>Capital redemption reserve</w:t>
            </w:r>
            <w:r w:rsidRPr="009C48DA">
              <w:rPr>
                <w:rFonts w:cs="Times New Roman"/>
                <w:sz w:val="17"/>
                <w:szCs w:val="17"/>
                <w:lang w:val="en-GB"/>
              </w:rPr>
              <w:tab/>
            </w:r>
          </w:p>
        </w:tc>
        <w:tc>
          <w:tcPr>
            <w:tcW w:w="645" w:type="pct"/>
            <w:vAlign w:val="bottom"/>
          </w:tcPr>
          <w:p w:rsidRPr="009C48DA" w:rsidR="008C06C3" w:rsidP="008C06C3" w:rsidRDefault="008C06C3" w14:paraId="030B6C04" w14:textId="77777777">
            <w:pPr>
              <w:jc w:val="right"/>
              <w:rPr>
                <w:sz w:val="17"/>
                <w:szCs w:val="17"/>
                <w:lang w:val="en-GB"/>
              </w:rPr>
            </w:pPr>
            <w:r w:rsidRPr="009C48DA">
              <w:rPr>
                <w:sz w:val="17"/>
                <w:szCs w:val="17"/>
                <w:lang w:val="en-GB"/>
              </w:rPr>
              <w:t>24,619</w:t>
            </w:r>
          </w:p>
        </w:tc>
        <w:tc>
          <w:tcPr>
            <w:tcW w:w="645" w:type="pct"/>
            <w:vAlign w:val="bottom"/>
          </w:tcPr>
          <w:p w:rsidRPr="009C48DA" w:rsidR="008C06C3" w:rsidP="008C06C3" w:rsidRDefault="008C06C3" w14:paraId="683B8315" w14:textId="77777777">
            <w:pPr>
              <w:jc w:val="right"/>
              <w:rPr>
                <w:sz w:val="17"/>
                <w:szCs w:val="17"/>
                <w:lang w:val="en-GB"/>
              </w:rPr>
            </w:pPr>
            <w:r w:rsidRPr="009C48DA">
              <w:rPr>
                <w:sz w:val="17"/>
                <w:szCs w:val="17"/>
                <w:lang w:val="en-GB"/>
              </w:rPr>
              <w:t>24,619</w:t>
            </w:r>
          </w:p>
        </w:tc>
        <w:tc>
          <w:tcPr>
            <w:tcW w:w="649" w:type="pct"/>
            <w:vAlign w:val="bottom"/>
          </w:tcPr>
          <w:p w:rsidRPr="009C48DA" w:rsidR="008C06C3" w:rsidP="008C06C3" w:rsidRDefault="008C06C3" w14:paraId="4E20AE39" w14:textId="77777777">
            <w:pPr>
              <w:jc w:val="right"/>
              <w:rPr>
                <w:sz w:val="17"/>
                <w:szCs w:val="17"/>
                <w:lang w:val="en-GB"/>
              </w:rPr>
            </w:pPr>
            <w:r w:rsidRPr="009C48DA">
              <w:rPr>
                <w:sz w:val="17"/>
                <w:szCs w:val="17"/>
                <w:lang w:val="en-GB"/>
              </w:rPr>
              <w:t>24,619</w:t>
            </w:r>
          </w:p>
        </w:tc>
        <w:tc>
          <w:tcPr>
            <w:tcW w:w="641" w:type="pct"/>
            <w:shd w:val="clear" w:color="auto" w:fill="auto"/>
            <w:vAlign w:val="bottom"/>
          </w:tcPr>
          <w:p w:rsidRPr="009C48DA" w:rsidR="008C06C3" w:rsidP="008C06C3" w:rsidRDefault="008C06C3" w14:paraId="56C89945" w14:textId="77777777">
            <w:pPr>
              <w:jc w:val="right"/>
              <w:rPr>
                <w:sz w:val="17"/>
                <w:szCs w:val="17"/>
                <w:lang w:val="en-GB"/>
              </w:rPr>
            </w:pPr>
            <w:r w:rsidRPr="009C48DA">
              <w:rPr>
                <w:sz w:val="17"/>
                <w:szCs w:val="17"/>
                <w:lang w:val="en-GB"/>
              </w:rPr>
              <w:t>24,619</w:t>
            </w:r>
          </w:p>
        </w:tc>
      </w:tr>
      <w:tr w:rsidRPr="009C48DA" w:rsidR="008C06C3" w:rsidTr="008C06C3" w14:paraId="729B46D9" w14:textId="77777777">
        <w:tc>
          <w:tcPr>
            <w:tcW w:w="2420" w:type="pct"/>
            <w:shd w:val="clear" w:color="auto" w:fill="auto"/>
            <w:vAlign w:val="bottom"/>
          </w:tcPr>
          <w:p w:rsidRPr="009C48DA" w:rsidR="008C06C3" w:rsidP="008C06C3" w:rsidRDefault="008C06C3" w14:paraId="4B3638A7" w14:textId="263B23B3">
            <w:pPr>
              <w:tabs>
                <w:tab w:val="right" w:leader="dot" w:pos="5518"/>
              </w:tabs>
              <w:rPr>
                <w:rFonts w:cs="Times New Roman"/>
                <w:sz w:val="17"/>
                <w:szCs w:val="17"/>
                <w:lang w:val="en-GB"/>
              </w:rPr>
            </w:pPr>
            <w:r w:rsidRPr="009C48DA">
              <w:rPr>
                <w:rFonts w:cs="Times New Roman"/>
                <w:sz w:val="17"/>
                <w:szCs w:val="17"/>
                <w:lang w:val="en-GB"/>
              </w:rPr>
              <w:t>Cash flow hedge reserves</w:t>
            </w:r>
            <w:r w:rsidRPr="009C48DA">
              <w:rPr>
                <w:rFonts w:cs="Times New Roman"/>
                <w:sz w:val="17"/>
                <w:szCs w:val="17"/>
                <w:lang w:val="en-GB"/>
              </w:rPr>
              <w:tab/>
            </w:r>
          </w:p>
        </w:tc>
        <w:tc>
          <w:tcPr>
            <w:tcW w:w="645" w:type="pct"/>
            <w:vAlign w:val="bottom"/>
          </w:tcPr>
          <w:p w:rsidRPr="009C48DA" w:rsidR="008C06C3" w:rsidP="008C06C3" w:rsidRDefault="008C06C3" w14:paraId="7A284CE2" w14:textId="77777777">
            <w:pPr>
              <w:jc w:val="right"/>
              <w:rPr>
                <w:sz w:val="17"/>
                <w:szCs w:val="17"/>
                <w:lang w:val="en-GB"/>
              </w:rPr>
            </w:pPr>
            <w:r w:rsidRPr="009C48DA">
              <w:rPr>
                <w:sz w:val="17"/>
                <w:szCs w:val="17"/>
                <w:lang w:val="en-GB"/>
              </w:rPr>
              <w:t>(3,408)</w:t>
            </w:r>
          </w:p>
        </w:tc>
        <w:tc>
          <w:tcPr>
            <w:tcW w:w="645" w:type="pct"/>
            <w:vAlign w:val="bottom"/>
          </w:tcPr>
          <w:p w:rsidRPr="009C48DA" w:rsidR="008C06C3" w:rsidP="008C06C3" w:rsidRDefault="008C06C3" w14:paraId="771A81B8" w14:textId="77777777">
            <w:pPr>
              <w:jc w:val="right"/>
              <w:rPr>
                <w:sz w:val="17"/>
                <w:szCs w:val="17"/>
                <w:lang w:val="en-GB"/>
              </w:rPr>
            </w:pPr>
            <w:r w:rsidRPr="009C48DA">
              <w:rPr>
                <w:sz w:val="17"/>
                <w:szCs w:val="17"/>
                <w:lang w:val="en-GB"/>
              </w:rPr>
              <w:t>2,610</w:t>
            </w:r>
          </w:p>
        </w:tc>
        <w:tc>
          <w:tcPr>
            <w:tcW w:w="649" w:type="pct"/>
            <w:vAlign w:val="bottom"/>
          </w:tcPr>
          <w:p w:rsidRPr="009C48DA" w:rsidR="008C06C3" w:rsidP="008C06C3" w:rsidRDefault="008C06C3" w14:paraId="4EEF675B" w14:textId="77777777">
            <w:pPr>
              <w:jc w:val="right"/>
              <w:rPr>
                <w:sz w:val="17"/>
                <w:szCs w:val="17"/>
                <w:lang w:val="en-GB"/>
              </w:rPr>
            </w:pPr>
            <w:r w:rsidRPr="009C48DA">
              <w:rPr>
                <w:sz w:val="17"/>
                <w:szCs w:val="17"/>
                <w:lang w:val="en-GB"/>
              </w:rPr>
              <w:t>(2,249)</w:t>
            </w:r>
          </w:p>
        </w:tc>
        <w:tc>
          <w:tcPr>
            <w:tcW w:w="641" w:type="pct"/>
            <w:shd w:val="clear" w:color="auto" w:fill="auto"/>
            <w:vAlign w:val="bottom"/>
          </w:tcPr>
          <w:p w:rsidRPr="009C48DA" w:rsidR="008C06C3" w:rsidP="008C06C3" w:rsidRDefault="008C06C3" w14:paraId="515CDD1B" w14:textId="77777777">
            <w:pPr>
              <w:jc w:val="right"/>
              <w:rPr>
                <w:sz w:val="17"/>
                <w:szCs w:val="17"/>
                <w:lang w:val="en-GB"/>
              </w:rPr>
            </w:pPr>
            <w:r w:rsidRPr="009C48DA">
              <w:rPr>
                <w:sz w:val="17"/>
                <w:szCs w:val="17"/>
                <w:lang w:val="en-GB"/>
              </w:rPr>
              <w:t>5,585</w:t>
            </w:r>
          </w:p>
        </w:tc>
      </w:tr>
      <w:tr w:rsidRPr="009C48DA" w:rsidR="008C06C3" w:rsidTr="008C06C3" w14:paraId="48EEBFB7" w14:textId="77777777">
        <w:tc>
          <w:tcPr>
            <w:tcW w:w="2420" w:type="pct"/>
            <w:shd w:val="clear" w:color="auto" w:fill="auto"/>
            <w:vAlign w:val="bottom"/>
          </w:tcPr>
          <w:p w:rsidRPr="009C48DA" w:rsidR="008C06C3" w:rsidDel="0012000A" w:rsidP="008C06C3" w:rsidRDefault="008C06C3" w14:paraId="49F9DE34" w14:textId="77777777">
            <w:pPr>
              <w:tabs>
                <w:tab w:val="right" w:leader="dot" w:pos="5518"/>
              </w:tabs>
              <w:rPr>
                <w:rFonts w:cs="Times New Roman"/>
                <w:sz w:val="17"/>
                <w:szCs w:val="17"/>
                <w:lang w:val="en-GB"/>
              </w:rPr>
            </w:pPr>
            <w:r w:rsidRPr="009C48DA">
              <w:rPr>
                <w:rFonts w:cs="Times New Roman"/>
                <w:sz w:val="17"/>
                <w:szCs w:val="17"/>
                <w:lang w:val="en-GB"/>
              </w:rPr>
              <w:t>Net exchange differences reserve</w:t>
            </w:r>
            <w:r w:rsidRPr="009C48DA">
              <w:rPr>
                <w:rFonts w:cs="Times New Roman"/>
                <w:sz w:val="17"/>
                <w:szCs w:val="17"/>
                <w:lang w:val="en-GB"/>
              </w:rPr>
              <w:tab/>
            </w:r>
          </w:p>
        </w:tc>
        <w:tc>
          <w:tcPr>
            <w:tcW w:w="645" w:type="pct"/>
            <w:vAlign w:val="bottom"/>
          </w:tcPr>
          <w:p w:rsidRPr="009C48DA" w:rsidR="008C06C3" w:rsidP="008C06C3" w:rsidRDefault="008C06C3" w14:paraId="11CE55F9" w14:textId="77777777">
            <w:pPr>
              <w:jc w:val="right"/>
              <w:rPr>
                <w:sz w:val="17"/>
                <w:szCs w:val="17"/>
                <w:lang w:val="en-GB"/>
              </w:rPr>
            </w:pPr>
            <w:r w:rsidRPr="009C48DA">
              <w:rPr>
                <w:sz w:val="17"/>
                <w:szCs w:val="17"/>
                <w:lang w:val="en-GB"/>
              </w:rPr>
              <w:t>5,046</w:t>
            </w:r>
          </w:p>
        </w:tc>
        <w:tc>
          <w:tcPr>
            <w:tcW w:w="645" w:type="pct"/>
            <w:vAlign w:val="bottom"/>
          </w:tcPr>
          <w:p w:rsidRPr="009C48DA" w:rsidR="008C06C3" w:rsidP="008C06C3" w:rsidRDefault="008C06C3" w14:paraId="33C4E635" w14:textId="77777777">
            <w:pPr>
              <w:jc w:val="right"/>
              <w:rPr>
                <w:sz w:val="17"/>
                <w:szCs w:val="17"/>
                <w:lang w:val="en-GB"/>
              </w:rPr>
            </w:pPr>
            <w:r w:rsidRPr="009C48DA">
              <w:rPr>
                <w:sz w:val="17"/>
                <w:szCs w:val="17"/>
                <w:lang w:val="en-GB"/>
              </w:rPr>
              <w:t>3,075</w:t>
            </w:r>
          </w:p>
        </w:tc>
        <w:tc>
          <w:tcPr>
            <w:tcW w:w="649" w:type="pct"/>
            <w:vAlign w:val="bottom"/>
          </w:tcPr>
          <w:p w:rsidRPr="009C48DA" w:rsidR="008C06C3" w:rsidP="008C06C3" w:rsidRDefault="008C06C3" w14:paraId="23C0544D" w14:textId="77777777">
            <w:pPr>
              <w:jc w:val="right"/>
              <w:rPr>
                <w:sz w:val="17"/>
                <w:szCs w:val="17"/>
                <w:lang w:val="en-GB"/>
              </w:rPr>
            </w:pPr>
            <w:r w:rsidRPr="009C48DA">
              <w:rPr>
                <w:sz w:val="17"/>
                <w:szCs w:val="17"/>
                <w:lang w:val="en-GB"/>
              </w:rPr>
              <w:t>5,344</w:t>
            </w:r>
          </w:p>
        </w:tc>
        <w:tc>
          <w:tcPr>
            <w:tcW w:w="641" w:type="pct"/>
            <w:shd w:val="clear" w:color="auto" w:fill="auto"/>
            <w:vAlign w:val="bottom"/>
          </w:tcPr>
          <w:p w:rsidRPr="009C48DA" w:rsidR="008C06C3" w:rsidP="008C06C3" w:rsidRDefault="008C06C3" w14:paraId="246EC7AB" w14:textId="77777777">
            <w:pPr>
              <w:jc w:val="right"/>
              <w:rPr>
                <w:sz w:val="17"/>
                <w:szCs w:val="17"/>
                <w:lang w:val="en-GB"/>
              </w:rPr>
            </w:pPr>
            <w:r w:rsidRPr="009C48DA">
              <w:rPr>
                <w:sz w:val="17"/>
                <w:szCs w:val="17"/>
                <w:lang w:val="en-GB"/>
              </w:rPr>
              <w:t>3,152</w:t>
            </w:r>
          </w:p>
        </w:tc>
      </w:tr>
      <w:tr w:rsidRPr="009C48DA" w:rsidR="008C06C3" w:rsidTr="008C06C3" w14:paraId="5BDA6D3D" w14:textId="77777777">
        <w:tc>
          <w:tcPr>
            <w:tcW w:w="2420" w:type="pct"/>
            <w:shd w:val="clear" w:color="auto" w:fill="auto"/>
            <w:vAlign w:val="bottom"/>
          </w:tcPr>
          <w:p w:rsidRPr="009C48DA" w:rsidR="008C06C3" w:rsidP="008C06C3" w:rsidRDefault="008C06C3" w14:paraId="0A3DAC18" w14:textId="77777777">
            <w:pPr>
              <w:tabs>
                <w:tab w:val="right" w:leader="dot" w:pos="5518"/>
              </w:tabs>
              <w:rPr>
                <w:rFonts w:cs="Times New Roman"/>
                <w:b/>
                <w:sz w:val="17"/>
                <w:szCs w:val="17"/>
                <w:lang w:val="en-GB"/>
              </w:rPr>
            </w:pPr>
            <w:r w:rsidRPr="009C48DA">
              <w:rPr>
                <w:rFonts w:cs="Times New Roman"/>
                <w:sz w:val="17"/>
                <w:szCs w:val="17"/>
                <w:lang w:val="en-GB"/>
              </w:rPr>
              <w:t>Retained earnings</w:t>
            </w:r>
            <w:r w:rsidRPr="009C48DA">
              <w:rPr>
                <w:sz w:val="17"/>
                <w:szCs w:val="17"/>
                <w:lang w:val="en-GB"/>
              </w:rPr>
              <w:tab/>
            </w:r>
          </w:p>
        </w:tc>
        <w:tc>
          <w:tcPr>
            <w:tcW w:w="645" w:type="pct"/>
            <w:vAlign w:val="bottom"/>
          </w:tcPr>
          <w:p w:rsidRPr="009C48DA" w:rsidR="008C06C3" w:rsidP="008C06C3" w:rsidRDefault="008C06C3" w14:paraId="7AFFDBAC" w14:textId="45D55ABA">
            <w:pPr>
              <w:pBdr>
                <w:bottom w:val="single" w:color="auto" w:sz="4" w:space="1"/>
              </w:pBdr>
              <w:jc w:val="right"/>
              <w:rPr>
                <w:sz w:val="17"/>
                <w:szCs w:val="17"/>
                <w:lang w:val="en-GB"/>
              </w:rPr>
            </w:pPr>
            <w:r w:rsidRPr="009C48DA">
              <w:rPr>
                <w:sz w:val="17"/>
                <w:szCs w:val="17"/>
                <w:lang w:val="en-GB"/>
              </w:rPr>
              <w:t>(27,456)</w:t>
            </w:r>
          </w:p>
        </w:tc>
        <w:tc>
          <w:tcPr>
            <w:tcW w:w="645" w:type="pct"/>
            <w:vAlign w:val="bottom"/>
          </w:tcPr>
          <w:p w:rsidRPr="009C48DA" w:rsidR="008C06C3" w:rsidP="008C06C3" w:rsidRDefault="008C06C3" w14:paraId="449B5636" w14:textId="25065D1A">
            <w:pPr>
              <w:pBdr>
                <w:bottom w:val="single" w:color="auto" w:sz="4" w:space="1"/>
              </w:pBdr>
              <w:jc w:val="right"/>
              <w:rPr>
                <w:sz w:val="17"/>
                <w:szCs w:val="17"/>
                <w:lang w:val="en-GB"/>
              </w:rPr>
            </w:pPr>
            <w:r w:rsidRPr="009C48DA">
              <w:rPr>
                <w:sz w:val="17"/>
                <w:szCs w:val="17"/>
                <w:lang w:val="en-GB"/>
              </w:rPr>
              <w:t>(6,242)</w:t>
            </w:r>
          </w:p>
        </w:tc>
        <w:tc>
          <w:tcPr>
            <w:tcW w:w="649" w:type="pct"/>
            <w:vAlign w:val="bottom"/>
          </w:tcPr>
          <w:p w:rsidRPr="009C48DA" w:rsidR="008C06C3" w:rsidP="008C06C3" w:rsidRDefault="008C06C3" w14:paraId="164731DB" w14:textId="002E6586">
            <w:pPr>
              <w:pBdr>
                <w:bottom w:val="single" w:color="auto" w:sz="4" w:space="1"/>
              </w:pBdr>
              <w:jc w:val="right"/>
              <w:rPr>
                <w:sz w:val="17"/>
                <w:szCs w:val="17"/>
                <w:lang w:val="en-GB"/>
              </w:rPr>
            </w:pPr>
            <w:r w:rsidRPr="009C48DA">
              <w:rPr>
                <w:sz w:val="17"/>
                <w:szCs w:val="17"/>
                <w:lang w:val="en-GB"/>
              </w:rPr>
              <w:t>39,709</w:t>
            </w:r>
          </w:p>
        </w:tc>
        <w:tc>
          <w:tcPr>
            <w:tcW w:w="641" w:type="pct"/>
            <w:shd w:val="clear" w:color="auto" w:fill="auto"/>
            <w:vAlign w:val="bottom"/>
          </w:tcPr>
          <w:p w:rsidRPr="009C48DA" w:rsidR="008C06C3" w:rsidP="008C06C3" w:rsidRDefault="008C06C3" w14:paraId="4450690A" w14:textId="0048C203">
            <w:pPr>
              <w:pBdr>
                <w:bottom w:val="single" w:color="auto" w:sz="4" w:space="1"/>
              </w:pBdr>
              <w:jc w:val="right"/>
              <w:rPr>
                <w:b/>
                <w:sz w:val="17"/>
                <w:szCs w:val="17"/>
                <w:lang w:val="en-GB"/>
              </w:rPr>
            </w:pPr>
            <w:r w:rsidRPr="009C48DA">
              <w:rPr>
                <w:sz w:val="17"/>
                <w:szCs w:val="17"/>
                <w:lang w:val="en-GB"/>
              </w:rPr>
              <w:t>5</w:t>
            </w:r>
            <w:r w:rsidRPr="009C48DA" w:rsidR="001B5BD2">
              <w:rPr>
                <w:sz w:val="17"/>
                <w:szCs w:val="17"/>
                <w:lang w:val="en-GB"/>
              </w:rPr>
              <w:t>2,526</w:t>
            </w:r>
          </w:p>
        </w:tc>
      </w:tr>
      <w:tr w:rsidRPr="009C48DA" w:rsidR="008C06C3" w:rsidTr="008C06C3" w14:paraId="37240E8A" w14:textId="77777777">
        <w:tc>
          <w:tcPr>
            <w:tcW w:w="2420" w:type="pct"/>
            <w:shd w:val="clear" w:color="auto" w:fill="auto"/>
            <w:vAlign w:val="bottom"/>
          </w:tcPr>
          <w:p w:rsidRPr="009C48DA" w:rsidR="008C06C3" w:rsidP="008C06C3" w:rsidRDefault="008C06C3" w14:paraId="659D975F" w14:textId="77777777">
            <w:pPr>
              <w:tabs>
                <w:tab w:val="right" w:leader="dot" w:pos="5518"/>
              </w:tabs>
              <w:rPr>
                <w:rFonts w:cs="Times New Roman"/>
                <w:b/>
                <w:sz w:val="17"/>
                <w:szCs w:val="17"/>
                <w:lang w:val="en-GB"/>
              </w:rPr>
            </w:pPr>
            <w:r w:rsidRPr="009C48DA">
              <w:rPr>
                <w:rFonts w:cs="Times New Roman"/>
                <w:b/>
                <w:sz w:val="17"/>
                <w:szCs w:val="17"/>
                <w:lang w:val="en-GB"/>
              </w:rPr>
              <w:t>Capital and reserves attributable to equity shareholders of the company</w:t>
            </w:r>
            <w:r w:rsidRPr="009C48DA">
              <w:rPr>
                <w:sz w:val="17"/>
                <w:szCs w:val="17"/>
                <w:lang w:val="en-GB"/>
              </w:rPr>
              <w:tab/>
            </w:r>
          </w:p>
        </w:tc>
        <w:tc>
          <w:tcPr>
            <w:tcW w:w="645" w:type="pct"/>
            <w:vAlign w:val="bottom"/>
          </w:tcPr>
          <w:p w:rsidRPr="009C48DA" w:rsidR="008C06C3" w:rsidP="008C06C3" w:rsidRDefault="008C06C3" w14:paraId="69C50C06" w14:textId="77777777">
            <w:pPr>
              <w:jc w:val="right"/>
              <w:rPr>
                <w:b/>
                <w:sz w:val="17"/>
                <w:szCs w:val="17"/>
                <w:lang w:val="en-GB"/>
              </w:rPr>
            </w:pPr>
            <w:r w:rsidRPr="009C48DA">
              <w:rPr>
                <w:b/>
                <w:sz w:val="17"/>
                <w:szCs w:val="17"/>
                <w:lang w:val="en-GB"/>
              </w:rPr>
              <w:t>239,664</w:t>
            </w:r>
          </w:p>
        </w:tc>
        <w:tc>
          <w:tcPr>
            <w:tcW w:w="645" w:type="pct"/>
            <w:vAlign w:val="bottom"/>
          </w:tcPr>
          <w:p w:rsidRPr="009C48DA" w:rsidR="008C06C3" w:rsidP="008C06C3" w:rsidRDefault="008C06C3" w14:paraId="476B2D54" w14:textId="77777777">
            <w:pPr>
              <w:jc w:val="right"/>
              <w:rPr>
                <w:b/>
                <w:sz w:val="17"/>
                <w:szCs w:val="17"/>
                <w:lang w:val="en-GB"/>
              </w:rPr>
            </w:pPr>
            <w:r w:rsidRPr="009C48DA">
              <w:rPr>
                <w:b/>
                <w:sz w:val="17"/>
                <w:szCs w:val="17"/>
                <w:lang w:val="en-GB"/>
              </w:rPr>
              <w:t>265,481</w:t>
            </w:r>
          </w:p>
        </w:tc>
        <w:tc>
          <w:tcPr>
            <w:tcW w:w="649" w:type="pct"/>
            <w:vAlign w:val="bottom"/>
          </w:tcPr>
          <w:p w:rsidRPr="009C48DA" w:rsidR="008C06C3" w:rsidP="008C06C3" w:rsidRDefault="008C06C3" w14:paraId="75B6BF9C" w14:textId="10D285ED">
            <w:pPr>
              <w:jc w:val="right"/>
              <w:rPr>
                <w:b/>
                <w:sz w:val="17"/>
                <w:szCs w:val="17"/>
                <w:lang w:val="en-GB"/>
              </w:rPr>
            </w:pPr>
            <w:r w:rsidRPr="009C48DA">
              <w:rPr>
                <w:b/>
                <w:sz w:val="17"/>
                <w:szCs w:val="17"/>
                <w:lang w:val="en-GB"/>
              </w:rPr>
              <w:t>308,842</w:t>
            </w:r>
          </w:p>
        </w:tc>
        <w:tc>
          <w:tcPr>
            <w:tcW w:w="641" w:type="pct"/>
            <w:shd w:val="clear" w:color="auto" w:fill="auto"/>
            <w:vAlign w:val="bottom"/>
          </w:tcPr>
          <w:p w:rsidRPr="009C48DA" w:rsidR="008C06C3" w:rsidP="008C06C3" w:rsidRDefault="001B5BD2" w14:paraId="7EE1CA8A" w14:textId="1CB4E21D">
            <w:pPr>
              <w:jc w:val="right"/>
              <w:rPr>
                <w:b/>
                <w:sz w:val="17"/>
                <w:szCs w:val="17"/>
                <w:lang w:val="en-GB"/>
              </w:rPr>
            </w:pPr>
            <w:r w:rsidRPr="009C48DA">
              <w:rPr>
                <w:b/>
                <w:sz w:val="17"/>
                <w:szCs w:val="17"/>
                <w:lang w:val="en-GB"/>
              </w:rPr>
              <w:t>327,301</w:t>
            </w:r>
          </w:p>
        </w:tc>
      </w:tr>
      <w:tr w:rsidRPr="009C48DA" w:rsidR="008C06C3" w:rsidTr="008C06C3" w14:paraId="25596040" w14:textId="77777777">
        <w:tc>
          <w:tcPr>
            <w:tcW w:w="2420" w:type="pct"/>
            <w:shd w:val="clear" w:color="auto" w:fill="auto"/>
            <w:vAlign w:val="bottom"/>
          </w:tcPr>
          <w:p w:rsidRPr="009C48DA" w:rsidR="008C06C3" w:rsidP="008C06C3" w:rsidRDefault="008C06C3" w14:paraId="7D4E8817" w14:textId="77777777">
            <w:pPr>
              <w:tabs>
                <w:tab w:val="right" w:leader="dot" w:pos="5518"/>
              </w:tabs>
              <w:rPr>
                <w:rFonts w:cs="Times New Roman"/>
                <w:sz w:val="17"/>
                <w:szCs w:val="17"/>
                <w:lang w:val="en-GB"/>
              </w:rPr>
            </w:pPr>
            <w:r w:rsidRPr="009C48DA">
              <w:rPr>
                <w:rFonts w:cs="Times New Roman"/>
                <w:sz w:val="17"/>
                <w:szCs w:val="17"/>
                <w:lang w:val="en-GB"/>
              </w:rPr>
              <w:t>Non-controlling interests</w:t>
            </w:r>
            <w:r w:rsidRPr="009C48DA">
              <w:rPr>
                <w:sz w:val="17"/>
                <w:szCs w:val="17"/>
                <w:lang w:val="en-GB"/>
              </w:rPr>
              <w:tab/>
            </w:r>
          </w:p>
        </w:tc>
        <w:tc>
          <w:tcPr>
            <w:tcW w:w="645" w:type="pct"/>
            <w:vAlign w:val="bottom"/>
          </w:tcPr>
          <w:p w:rsidRPr="009C48DA" w:rsidR="008C06C3" w:rsidP="008C06C3" w:rsidRDefault="008C06C3" w14:paraId="48C7D0E4" w14:textId="77777777">
            <w:pPr>
              <w:pBdr>
                <w:bottom w:val="single" w:color="auto" w:sz="4" w:space="1"/>
              </w:pBdr>
              <w:jc w:val="right"/>
              <w:rPr>
                <w:sz w:val="17"/>
                <w:szCs w:val="17"/>
                <w:lang w:val="en-GB"/>
              </w:rPr>
            </w:pPr>
            <w:r w:rsidRPr="009C48DA">
              <w:rPr>
                <w:sz w:val="17"/>
                <w:szCs w:val="17"/>
                <w:lang w:val="en-GB"/>
              </w:rPr>
              <w:t>80,567</w:t>
            </w:r>
          </w:p>
        </w:tc>
        <w:tc>
          <w:tcPr>
            <w:tcW w:w="645" w:type="pct"/>
            <w:vAlign w:val="bottom"/>
          </w:tcPr>
          <w:p w:rsidRPr="009C48DA" w:rsidR="008C06C3" w:rsidP="008C06C3" w:rsidRDefault="008C06C3" w14:paraId="34A5A274" w14:textId="77777777">
            <w:pPr>
              <w:pBdr>
                <w:bottom w:val="single" w:color="auto" w:sz="4" w:space="1"/>
              </w:pBdr>
              <w:jc w:val="right"/>
              <w:rPr>
                <w:sz w:val="17"/>
                <w:szCs w:val="17"/>
                <w:lang w:val="en-GB"/>
              </w:rPr>
            </w:pPr>
            <w:r w:rsidRPr="009C48DA">
              <w:rPr>
                <w:sz w:val="17"/>
                <w:szCs w:val="17"/>
                <w:lang w:val="en-GB"/>
              </w:rPr>
              <w:t>90,858</w:t>
            </w:r>
          </w:p>
        </w:tc>
        <w:tc>
          <w:tcPr>
            <w:tcW w:w="649" w:type="pct"/>
            <w:vAlign w:val="bottom"/>
          </w:tcPr>
          <w:p w:rsidRPr="009C48DA" w:rsidR="008C06C3" w:rsidP="008C06C3" w:rsidRDefault="008C06C3" w14:paraId="51561DFF" w14:textId="77689D4F">
            <w:pPr>
              <w:pBdr>
                <w:bottom w:val="single" w:color="auto" w:sz="4" w:space="1"/>
              </w:pBdr>
              <w:jc w:val="right"/>
              <w:rPr>
                <w:sz w:val="17"/>
                <w:szCs w:val="17"/>
                <w:lang w:val="en-GB"/>
              </w:rPr>
            </w:pPr>
            <w:r w:rsidRPr="009C48DA">
              <w:rPr>
                <w:sz w:val="17"/>
                <w:szCs w:val="17"/>
                <w:lang w:val="en-GB"/>
              </w:rPr>
              <w:t>81,714</w:t>
            </w:r>
          </w:p>
        </w:tc>
        <w:tc>
          <w:tcPr>
            <w:tcW w:w="641" w:type="pct"/>
            <w:shd w:val="clear" w:color="auto" w:fill="auto"/>
            <w:vAlign w:val="bottom"/>
          </w:tcPr>
          <w:p w:rsidRPr="009C48DA" w:rsidR="008C06C3" w:rsidP="008C06C3" w:rsidRDefault="001B5BD2" w14:paraId="6FC9A204" w14:textId="72DD3B66">
            <w:pPr>
              <w:pBdr>
                <w:bottom w:val="single" w:color="auto" w:sz="4" w:space="1"/>
              </w:pBdr>
              <w:jc w:val="right"/>
              <w:rPr>
                <w:sz w:val="17"/>
                <w:szCs w:val="17"/>
                <w:lang w:val="en-GB"/>
              </w:rPr>
            </w:pPr>
            <w:r w:rsidRPr="009C48DA">
              <w:rPr>
                <w:sz w:val="17"/>
                <w:szCs w:val="17"/>
                <w:lang w:val="en-GB"/>
              </w:rPr>
              <w:t>87,084</w:t>
            </w:r>
          </w:p>
        </w:tc>
      </w:tr>
      <w:tr w:rsidRPr="009C48DA" w:rsidR="008C06C3" w:rsidTr="008C06C3" w14:paraId="766A0C20" w14:textId="77777777">
        <w:tc>
          <w:tcPr>
            <w:tcW w:w="2420" w:type="pct"/>
            <w:shd w:val="clear" w:color="auto" w:fill="auto"/>
            <w:vAlign w:val="bottom"/>
          </w:tcPr>
          <w:p w:rsidRPr="009C48DA" w:rsidR="008C06C3" w:rsidP="008C06C3" w:rsidRDefault="008C06C3" w14:paraId="70CE4732" w14:textId="77777777">
            <w:pPr>
              <w:tabs>
                <w:tab w:val="right" w:leader="dot" w:pos="5518"/>
              </w:tabs>
              <w:rPr>
                <w:rFonts w:cs="Times New Roman"/>
                <w:b/>
                <w:sz w:val="17"/>
                <w:szCs w:val="17"/>
                <w:lang w:val="en-GB"/>
              </w:rPr>
            </w:pPr>
            <w:r w:rsidRPr="009C48DA">
              <w:rPr>
                <w:rFonts w:cs="Times New Roman"/>
                <w:b/>
                <w:sz w:val="17"/>
                <w:szCs w:val="17"/>
                <w:lang w:val="en-GB"/>
              </w:rPr>
              <w:t>Total equity</w:t>
            </w:r>
            <w:r w:rsidRPr="009C48DA">
              <w:rPr>
                <w:sz w:val="17"/>
                <w:szCs w:val="17"/>
                <w:lang w:val="en-GB"/>
              </w:rPr>
              <w:tab/>
            </w:r>
          </w:p>
        </w:tc>
        <w:tc>
          <w:tcPr>
            <w:tcW w:w="645" w:type="pct"/>
            <w:vAlign w:val="bottom"/>
          </w:tcPr>
          <w:p w:rsidRPr="009C48DA" w:rsidR="008C06C3" w:rsidP="008C06C3" w:rsidRDefault="008C06C3" w14:paraId="348E4219" w14:textId="77777777">
            <w:pPr>
              <w:pBdr>
                <w:bottom w:val="triple" w:color="auto" w:sz="4" w:space="1"/>
              </w:pBdr>
              <w:jc w:val="right"/>
              <w:rPr>
                <w:b/>
                <w:sz w:val="17"/>
                <w:szCs w:val="17"/>
                <w:lang w:val="en-GB"/>
              </w:rPr>
            </w:pPr>
            <w:r w:rsidRPr="009C48DA">
              <w:rPr>
                <w:b/>
                <w:sz w:val="17"/>
                <w:szCs w:val="17"/>
                <w:lang w:val="en-GB"/>
              </w:rPr>
              <w:t>320,235</w:t>
            </w:r>
          </w:p>
        </w:tc>
        <w:tc>
          <w:tcPr>
            <w:tcW w:w="645" w:type="pct"/>
            <w:vAlign w:val="bottom"/>
          </w:tcPr>
          <w:p w:rsidRPr="009C48DA" w:rsidR="008C06C3" w:rsidP="008C06C3" w:rsidRDefault="008C06C3" w14:paraId="508A9984" w14:textId="77777777">
            <w:pPr>
              <w:pBdr>
                <w:bottom w:val="triple" w:color="auto" w:sz="4" w:space="1"/>
              </w:pBdr>
              <w:jc w:val="right"/>
              <w:rPr>
                <w:b/>
                <w:sz w:val="17"/>
                <w:szCs w:val="17"/>
                <w:lang w:val="en-GB"/>
              </w:rPr>
            </w:pPr>
            <w:r w:rsidRPr="009C48DA">
              <w:rPr>
                <w:b/>
                <w:sz w:val="17"/>
                <w:szCs w:val="17"/>
                <w:lang w:val="en-GB"/>
              </w:rPr>
              <w:t>356,339</w:t>
            </w:r>
          </w:p>
        </w:tc>
        <w:tc>
          <w:tcPr>
            <w:tcW w:w="649" w:type="pct"/>
            <w:vAlign w:val="bottom"/>
          </w:tcPr>
          <w:p w:rsidRPr="009C48DA" w:rsidR="008C06C3" w:rsidP="008C06C3" w:rsidRDefault="008C06C3" w14:paraId="70302E06" w14:textId="77777777">
            <w:pPr>
              <w:pBdr>
                <w:bottom w:val="triple" w:color="auto" w:sz="4" w:space="1"/>
              </w:pBdr>
              <w:jc w:val="right"/>
              <w:rPr>
                <w:b/>
                <w:sz w:val="17"/>
                <w:szCs w:val="17"/>
                <w:lang w:val="en-GB"/>
              </w:rPr>
            </w:pPr>
            <w:r w:rsidRPr="009C48DA">
              <w:rPr>
                <w:b/>
                <w:sz w:val="17"/>
                <w:szCs w:val="17"/>
                <w:lang w:val="en-GB"/>
              </w:rPr>
              <w:t>390,556</w:t>
            </w:r>
          </w:p>
        </w:tc>
        <w:tc>
          <w:tcPr>
            <w:tcW w:w="641" w:type="pct"/>
            <w:shd w:val="clear" w:color="auto" w:fill="auto"/>
            <w:vAlign w:val="bottom"/>
          </w:tcPr>
          <w:p w:rsidRPr="009C48DA" w:rsidR="008C06C3" w:rsidP="008C06C3" w:rsidRDefault="008C06C3" w14:paraId="03628A8E" w14:textId="77777777">
            <w:pPr>
              <w:pBdr>
                <w:bottom w:val="triple" w:color="auto" w:sz="4" w:space="1"/>
              </w:pBdr>
              <w:jc w:val="right"/>
              <w:rPr>
                <w:b/>
                <w:sz w:val="17"/>
                <w:szCs w:val="17"/>
                <w:lang w:val="en-GB"/>
              </w:rPr>
            </w:pPr>
            <w:r w:rsidRPr="009C48DA">
              <w:rPr>
                <w:b/>
                <w:sz w:val="17"/>
                <w:szCs w:val="17"/>
                <w:lang w:val="en-GB"/>
              </w:rPr>
              <w:t>414,385</w:t>
            </w:r>
          </w:p>
        </w:tc>
      </w:tr>
    </w:tbl>
    <w:p w:rsidRPr="009C48DA" w:rsidR="0036034E" w:rsidP="0036034E" w:rsidRDefault="0036034E" w14:paraId="626A6D97" w14:textId="77777777">
      <w:pPr>
        <w:pBdr>
          <w:bottom w:val="single" w:color="auto" w:sz="4" w:space="1"/>
        </w:pBdr>
        <w:ind w:right="7200"/>
        <w:jc w:val="both"/>
        <w:rPr>
          <w:lang w:val="en-GB"/>
        </w:rPr>
      </w:pPr>
    </w:p>
    <w:p w:rsidRPr="009C48DA" w:rsidR="003D6EB0" w:rsidP="002365FE" w:rsidRDefault="0036034E" w14:paraId="36873E6C" w14:textId="74F9A5F1">
      <w:pPr>
        <w:pStyle w:val="BodyText"/>
        <w:spacing w:line="240" w:lineRule="auto"/>
        <w:ind w:firstLine="0"/>
        <w:jc w:val="both"/>
        <w:rPr>
          <w:lang w:val="en-GB"/>
        </w:rPr>
      </w:pPr>
      <w:r w:rsidRPr="009C48DA">
        <w:rPr>
          <w:color w:val="000000"/>
          <w:sz w:val="17"/>
          <w:szCs w:val="17"/>
          <w:lang w:val="en-GB"/>
        </w:rPr>
        <w:t>(1)</w:t>
      </w:r>
      <w:r w:rsidRPr="009C48DA">
        <w:rPr>
          <w:color w:val="000000"/>
          <w:sz w:val="17"/>
          <w:szCs w:val="17"/>
          <w:lang w:val="en-GB"/>
        </w:rPr>
        <w:tab/>
      </w:r>
      <w:r w:rsidRPr="009C48DA" w:rsidR="008C06C3">
        <w:rPr>
          <w:color w:val="000000"/>
          <w:sz w:val="17"/>
          <w:szCs w:val="17"/>
          <w:lang w:val="en-GB"/>
        </w:rPr>
        <w:t xml:space="preserve">The equity holders’ exposure to the CLOs was </w:t>
      </w:r>
      <w:r w:rsidRPr="009C48DA" w:rsidR="008C06C3">
        <w:rPr>
          <w:rFonts w:cs="Times New Roman"/>
          <w:sz w:val="18"/>
          <w:szCs w:val="18"/>
          <w:lang w:val="en-GB"/>
        </w:rPr>
        <w:t>£19.5 million as of 31 December 2020 and £21.0 million as of 31 March 2021.</w:t>
      </w:r>
    </w:p>
    <w:p w:rsidRPr="009C48DA" w:rsidR="0036034E" w:rsidP="0036034E" w:rsidRDefault="0036034E" w14:paraId="39063636" w14:textId="7F131870">
      <w:pPr>
        <w:pStyle w:val="TitleBAllCaps"/>
        <w:spacing w:before="240"/>
      </w:pPr>
      <w:r w:rsidRPr="009C48DA">
        <w:lastRenderedPageBreak/>
        <w:t>CONSOLIDATED STATEMENT OF CASH FLOWS</w:t>
      </w:r>
    </w:p>
    <w:tbl>
      <w:tblPr>
        <w:tblW w:w="5000" w:type="pct"/>
        <w:jc w:val="center"/>
        <w:tblLayout w:type="fixed"/>
        <w:tblLook w:val="04A0" w:firstRow="1" w:lastRow="0" w:firstColumn="1" w:lastColumn="0" w:noHBand="0" w:noVBand="1"/>
      </w:tblPr>
      <w:tblGrid>
        <w:gridCol w:w="2946"/>
        <w:gridCol w:w="1165"/>
        <w:gridCol w:w="1009"/>
        <w:gridCol w:w="1284"/>
        <w:gridCol w:w="1159"/>
        <w:gridCol w:w="987"/>
      </w:tblGrid>
      <w:tr w:rsidRPr="009C48DA" w:rsidR="008C06C3" w:rsidTr="008C06C3" w14:paraId="12C38F6B" w14:textId="77777777">
        <w:trPr>
          <w:trHeight w:val="74"/>
          <w:jc w:val="center"/>
        </w:trPr>
        <w:tc>
          <w:tcPr>
            <w:tcW w:w="1723" w:type="pct"/>
            <w:shd w:val="clear" w:color="auto" w:fill="auto"/>
            <w:vAlign w:val="bottom"/>
          </w:tcPr>
          <w:p w:rsidRPr="009C48DA" w:rsidR="008C06C3" w:rsidP="008C06C3" w:rsidRDefault="008C06C3" w14:paraId="2432514F" w14:textId="77777777">
            <w:pPr>
              <w:keepNext/>
              <w:rPr>
                <w:rFonts w:cs="Times New Roman"/>
                <w:b/>
                <w:sz w:val="17"/>
                <w:szCs w:val="17"/>
                <w:lang w:val="en-GB"/>
              </w:rPr>
            </w:pPr>
          </w:p>
        </w:tc>
        <w:tc>
          <w:tcPr>
            <w:tcW w:w="2022" w:type="pct"/>
            <w:gridSpan w:val="3"/>
            <w:vAlign w:val="bottom"/>
          </w:tcPr>
          <w:p w:rsidRPr="009C48DA" w:rsidR="008C06C3" w:rsidP="008C06C3" w:rsidRDefault="008C06C3" w14:paraId="39660257" w14:textId="77777777">
            <w:pPr>
              <w:keepNext/>
              <w:keepLines/>
              <w:pBdr>
                <w:bottom w:val="single" w:color="auto" w:sz="4" w:space="1"/>
              </w:pBdr>
              <w:jc w:val="center"/>
              <w:rPr>
                <w:rFonts w:cs="Times New Roman"/>
                <w:b/>
                <w:sz w:val="17"/>
                <w:szCs w:val="17"/>
                <w:lang w:val="en-GB"/>
              </w:rPr>
            </w:pPr>
            <w:r w:rsidRPr="009C48DA">
              <w:rPr>
                <w:rFonts w:cs="Times New Roman"/>
                <w:b/>
                <w:sz w:val="17"/>
                <w:szCs w:val="17"/>
                <w:lang w:val="en-GB"/>
              </w:rPr>
              <w:t xml:space="preserve">For the year </w:t>
            </w:r>
          </w:p>
          <w:p w:rsidRPr="009C48DA" w:rsidR="008C06C3" w:rsidP="008C06C3" w:rsidRDefault="008C06C3" w14:paraId="197497C1" w14:textId="77777777">
            <w:pPr>
              <w:keepNext/>
              <w:keepLines/>
              <w:pBdr>
                <w:bottom w:val="single" w:color="auto" w:sz="4" w:space="1"/>
              </w:pBdr>
              <w:jc w:val="center"/>
              <w:rPr>
                <w:rFonts w:cs="Times New Roman"/>
                <w:b/>
                <w:sz w:val="17"/>
                <w:szCs w:val="17"/>
                <w:lang w:val="en-GB"/>
              </w:rPr>
            </w:pPr>
            <w:r w:rsidRPr="009C48DA">
              <w:rPr>
                <w:rFonts w:cs="Times New Roman"/>
                <w:b/>
                <w:sz w:val="17"/>
                <w:szCs w:val="17"/>
                <w:lang w:val="en-GB"/>
              </w:rPr>
              <w:t>ended 31 December</w:t>
            </w:r>
          </w:p>
        </w:tc>
        <w:tc>
          <w:tcPr>
            <w:tcW w:w="1255" w:type="pct"/>
            <w:gridSpan w:val="2"/>
          </w:tcPr>
          <w:p w:rsidRPr="009C48DA" w:rsidR="008C06C3" w:rsidP="008C06C3" w:rsidRDefault="008C06C3" w14:paraId="28EE79EB" w14:textId="77777777">
            <w:pPr>
              <w:keepNext/>
              <w:keepLines/>
              <w:pBdr>
                <w:bottom w:val="single" w:color="auto" w:sz="4" w:space="1"/>
              </w:pBdr>
              <w:jc w:val="center"/>
              <w:rPr>
                <w:rFonts w:cs="Times New Roman"/>
                <w:b/>
                <w:sz w:val="17"/>
                <w:szCs w:val="17"/>
                <w:lang w:val="en-GB"/>
              </w:rPr>
            </w:pPr>
            <w:r w:rsidRPr="009C48DA">
              <w:rPr>
                <w:rFonts w:cs="Times New Roman"/>
                <w:b/>
                <w:sz w:val="17"/>
                <w:szCs w:val="17"/>
                <w:lang w:val="en-GB"/>
              </w:rPr>
              <w:t xml:space="preserve">For the three months </w:t>
            </w:r>
          </w:p>
          <w:p w:rsidRPr="009C48DA" w:rsidR="008C06C3" w:rsidP="008C06C3" w:rsidRDefault="008C06C3" w14:paraId="5FC7E5B1" w14:textId="77777777">
            <w:pPr>
              <w:keepNext/>
              <w:keepLines/>
              <w:pBdr>
                <w:bottom w:val="single" w:color="auto" w:sz="4" w:space="1"/>
              </w:pBdr>
              <w:jc w:val="center"/>
              <w:rPr>
                <w:rFonts w:cs="Times New Roman"/>
                <w:b/>
                <w:sz w:val="17"/>
                <w:szCs w:val="17"/>
                <w:lang w:val="en-GB"/>
              </w:rPr>
            </w:pPr>
            <w:r w:rsidRPr="009C48DA">
              <w:rPr>
                <w:rFonts w:cs="Times New Roman"/>
                <w:b/>
                <w:sz w:val="17"/>
                <w:szCs w:val="17"/>
                <w:lang w:val="en-GB"/>
              </w:rPr>
              <w:t>ended 31 March</w:t>
            </w:r>
          </w:p>
        </w:tc>
      </w:tr>
      <w:tr w:rsidRPr="009C48DA" w:rsidR="008C06C3" w:rsidTr="008C06C3" w14:paraId="2DE85480" w14:textId="77777777">
        <w:trPr>
          <w:trHeight w:val="74"/>
          <w:jc w:val="center"/>
        </w:trPr>
        <w:tc>
          <w:tcPr>
            <w:tcW w:w="1723" w:type="pct"/>
            <w:shd w:val="clear" w:color="auto" w:fill="auto"/>
            <w:vAlign w:val="bottom"/>
          </w:tcPr>
          <w:p w:rsidRPr="009C48DA" w:rsidR="008C06C3" w:rsidP="008C06C3" w:rsidRDefault="008C06C3" w14:paraId="7361C6B9" w14:textId="77777777">
            <w:pPr>
              <w:keepNext/>
              <w:rPr>
                <w:rFonts w:cs="Times New Roman"/>
                <w:b/>
                <w:sz w:val="17"/>
                <w:szCs w:val="17"/>
                <w:lang w:val="en-GB"/>
              </w:rPr>
            </w:pPr>
          </w:p>
        </w:tc>
        <w:tc>
          <w:tcPr>
            <w:tcW w:w="681" w:type="pct"/>
            <w:vAlign w:val="bottom"/>
          </w:tcPr>
          <w:p w:rsidRPr="009C48DA" w:rsidR="008C06C3" w:rsidP="008C06C3" w:rsidRDefault="008C06C3" w14:paraId="091192A8"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2018</w:t>
            </w:r>
          </w:p>
        </w:tc>
        <w:tc>
          <w:tcPr>
            <w:tcW w:w="590" w:type="pct"/>
            <w:vAlign w:val="bottom"/>
          </w:tcPr>
          <w:p w:rsidRPr="009C48DA" w:rsidR="008C06C3" w:rsidP="008C06C3" w:rsidRDefault="008C06C3" w14:paraId="0233FCCB"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2019</w:t>
            </w:r>
          </w:p>
        </w:tc>
        <w:tc>
          <w:tcPr>
            <w:tcW w:w="751" w:type="pct"/>
            <w:vAlign w:val="bottom"/>
          </w:tcPr>
          <w:p w:rsidRPr="009C48DA" w:rsidR="008C06C3" w:rsidP="008C06C3" w:rsidRDefault="008C06C3" w14:paraId="1F75AF58"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2020</w:t>
            </w:r>
          </w:p>
        </w:tc>
        <w:tc>
          <w:tcPr>
            <w:tcW w:w="678" w:type="pct"/>
          </w:tcPr>
          <w:p w:rsidRPr="009C48DA" w:rsidR="008C06C3" w:rsidP="008C06C3" w:rsidRDefault="008C06C3" w14:paraId="00D49446"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2020</w:t>
            </w:r>
          </w:p>
          <w:p w:rsidRPr="009C48DA" w:rsidR="008C06C3" w:rsidP="008C06C3" w:rsidRDefault="008C06C3" w14:paraId="7648E89D"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(unaudited)</w:t>
            </w:r>
          </w:p>
        </w:tc>
        <w:tc>
          <w:tcPr>
            <w:tcW w:w="577" w:type="pct"/>
            <w:vAlign w:val="bottom"/>
          </w:tcPr>
          <w:p w:rsidRPr="009C48DA" w:rsidR="008C06C3" w:rsidP="008C06C3" w:rsidRDefault="008C06C3" w14:paraId="6610CF29" w14:textId="77777777">
            <w:pPr>
              <w:keepNext/>
              <w:pBdr>
                <w:bottom w:val="single" w:color="auto" w:sz="4" w:space="1"/>
              </w:pBdr>
              <w:jc w:val="center"/>
              <w:rPr>
                <w:rFonts w:cs="Times New Roman"/>
                <w:b/>
                <w:sz w:val="17"/>
                <w:szCs w:val="17"/>
                <w:lang w:val="en-GB"/>
              </w:rPr>
            </w:pPr>
            <w:r w:rsidRPr="009C48DA">
              <w:rPr>
                <w:rFonts w:cs="Times New Roman"/>
                <w:b/>
                <w:sz w:val="17"/>
                <w:szCs w:val="17"/>
                <w:lang w:val="en-GB"/>
              </w:rPr>
              <w:t>2021</w:t>
            </w:r>
          </w:p>
        </w:tc>
      </w:tr>
      <w:tr w:rsidRPr="009C48DA" w:rsidR="008C06C3" w:rsidTr="008C06C3" w14:paraId="24F954B8" w14:textId="77777777">
        <w:trPr>
          <w:trHeight w:val="74"/>
          <w:jc w:val="center"/>
        </w:trPr>
        <w:tc>
          <w:tcPr>
            <w:tcW w:w="1723" w:type="pct"/>
            <w:shd w:val="clear" w:color="auto" w:fill="auto"/>
            <w:vAlign w:val="bottom"/>
          </w:tcPr>
          <w:p w:rsidRPr="009C48DA" w:rsidR="008C06C3" w:rsidP="008C06C3" w:rsidRDefault="008C06C3" w14:paraId="44FE8EF6" w14:textId="77777777">
            <w:pPr>
              <w:keepNext/>
              <w:tabs>
                <w:tab w:val="right" w:leader="dot" w:pos="4628"/>
              </w:tabs>
              <w:rPr>
                <w:rFonts w:cs="Times New Roman"/>
                <w:sz w:val="17"/>
                <w:szCs w:val="17"/>
                <w:lang w:val="en-GB"/>
              </w:rPr>
            </w:pPr>
          </w:p>
        </w:tc>
        <w:tc>
          <w:tcPr>
            <w:tcW w:w="2022" w:type="pct"/>
            <w:gridSpan w:val="3"/>
            <w:vAlign w:val="bottom"/>
          </w:tcPr>
          <w:p w:rsidRPr="009C48DA" w:rsidR="008C06C3" w:rsidP="008C06C3" w:rsidRDefault="008C06C3" w14:paraId="74BF52BF" w14:textId="77777777">
            <w:pPr>
              <w:keepNext/>
              <w:jc w:val="center"/>
              <w:rPr>
                <w:rFonts w:cs="Times New Roman"/>
                <w:sz w:val="17"/>
                <w:szCs w:val="17"/>
                <w:lang w:val="en-GB"/>
              </w:rPr>
            </w:pPr>
            <w:r w:rsidRPr="009C48DA">
              <w:rPr>
                <w:rFonts w:cs="Times New Roman"/>
                <w:sz w:val="17"/>
                <w:szCs w:val="17"/>
                <w:lang w:val="en-GB"/>
              </w:rPr>
              <w:t>(£ in thousands)</w:t>
            </w:r>
          </w:p>
        </w:tc>
        <w:tc>
          <w:tcPr>
            <w:tcW w:w="678" w:type="pct"/>
          </w:tcPr>
          <w:p w:rsidRPr="009C48DA" w:rsidR="008C06C3" w:rsidP="008C06C3" w:rsidRDefault="008C06C3" w14:paraId="6AD6725A" w14:textId="77777777">
            <w:pPr>
              <w:keepNext/>
              <w:jc w:val="center"/>
              <w:rPr>
                <w:rFonts w:cs="Times New Roman"/>
                <w:sz w:val="17"/>
                <w:szCs w:val="17"/>
                <w:lang w:val="en-GB"/>
              </w:rPr>
            </w:pPr>
          </w:p>
        </w:tc>
        <w:tc>
          <w:tcPr>
            <w:tcW w:w="577" w:type="pct"/>
          </w:tcPr>
          <w:p w:rsidRPr="009C48DA" w:rsidR="008C06C3" w:rsidP="008C06C3" w:rsidRDefault="008C06C3" w14:paraId="3FEDE866" w14:textId="77777777">
            <w:pPr>
              <w:keepNext/>
              <w:jc w:val="center"/>
              <w:rPr>
                <w:rFonts w:cs="Times New Roman"/>
                <w:sz w:val="17"/>
                <w:szCs w:val="17"/>
                <w:lang w:val="en-GB"/>
              </w:rPr>
            </w:pPr>
          </w:p>
        </w:tc>
      </w:tr>
      <w:tr w:rsidRPr="009C48DA" w:rsidR="008C06C3" w:rsidTr="008C06C3" w14:paraId="1E0915D8" w14:textId="77777777">
        <w:trPr>
          <w:jc w:val="center"/>
        </w:trPr>
        <w:tc>
          <w:tcPr>
            <w:tcW w:w="1723" w:type="pct"/>
            <w:shd w:val="clear" w:color="auto" w:fill="auto"/>
            <w:vAlign w:val="bottom"/>
          </w:tcPr>
          <w:p w:rsidRPr="009C48DA" w:rsidR="008C06C3" w:rsidP="008C06C3" w:rsidRDefault="008C06C3" w14:paraId="0C33CB26" w14:textId="77777777">
            <w:pPr>
              <w:keepNext/>
              <w:tabs>
                <w:tab w:val="right" w:leader="dot" w:pos="5515"/>
              </w:tabs>
              <w:rPr>
                <w:rFonts w:cs="Times New Roman"/>
                <w:b/>
                <w:sz w:val="17"/>
                <w:szCs w:val="17"/>
                <w:lang w:val="en-GB"/>
              </w:rPr>
            </w:pPr>
            <w:r w:rsidRPr="009C48DA">
              <w:rPr>
                <w:rFonts w:cs="Times New Roman"/>
                <w:b/>
                <w:sz w:val="17"/>
                <w:szCs w:val="17"/>
                <w:lang w:val="en-GB"/>
              </w:rPr>
              <w:t>Cash flows from operating activities</w:t>
            </w:r>
          </w:p>
        </w:tc>
        <w:tc>
          <w:tcPr>
            <w:tcW w:w="681" w:type="pct"/>
            <w:vAlign w:val="bottom"/>
          </w:tcPr>
          <w:p w:rsidRPr="009C48DA" w:rsidR="008C06C3" w:rsidP="008C06C3" w:rsidRDefault="008C06C3" w14:paraId="3A051C0A" w14:textId="77777777">
            <w:pPr>
              <w:jc w:val="right"/>
              <w:rPr>
                <w:sz w:val="17"/>
                <w:szCs w:val="17"/>
                <w:lang w:val="en-GB"/>
              </w:rPr>
            </w:pPr>
          </w:p>
        </w:tc>
        <w:tc>
          <w:tcPr>
            <w:tcW w:w="590" w:type="pct"/>
            <w:vAlign w:val="bottom"/>
          </w:tcPr>
          <w:p w:rsidRPr="009C48DA" w:rsidR="008C06C3" w:rsidP="008C06C3" w:rsidRDefault="008C06C3" w14:paraId="71117E0D" w14:textId="77777777">
            <w:pPr>
              <w:jc w:val="right"/>
              <w:rPr>
                <w:sz w:val="17"/>
                <w:szCs w:val="17"/>
                <w:lang w:val="en-GB"/>
              </w:rPr>
            </w:pPr>
          </w:p>
        </w:tc>
        <w:tc>
          <w:tcPr>
            <w:tcW w:w="751" w:type="pct"/>
            <w:vAlign w:val="bottom"/>
          </w:tcPr>
          <w:p w:rsidRPr="009C48DA" w:rsidR="008C06C3" w:rsidP="008C06C3" w:rsidRDefault="008C06C3" w14:paraId="471DB16F" w14:textId="77777777">
            <w:pPr>
              <w:jc w:val="right"/>
              <w:rPr>
                <w:sz w:val="17"/>
                <w:szCs w:val="17"/>
                <w:lang w:val="en-GB"/>
              </w:rPr>
            </w:pPr>
          </w:p>
        </w:tc>
        <w:tc>
          <w:tcPr>
            <w:tcW w:w="678" w:type="pct"/>
            <w:vAlign w:val="bottom"/>
          </w:tcPr>
          <w:p w:rsidRPr="009C48DA" w:rsidR="008C06C3" w:rsidP="008C06C3" w:rsidRDefault="008C06C3" w14:paraId="592CBAC7" w14:textId="77777777">
            <w:pPr>
              <w:jc w:val="right"/>
              <w:rPr>
                <w:sz w:val="17"/>
                <w:szCs w:val="17"/>
                <w:lang w:val="en-GB"/>
              </w:rPr>
            </w:pPr>
          </w:p>
        </w:tc>
        <w:tc>
          <w:tcPr>
            <w:tcW w:w="577" w:type="pct"/>
            <w:vAlign w:val="bottom"/>
          </w:tcPr>
          <w:p w:rsidRPr="009C48DA" w:rsidR="008C06C3" w:rsidP="008C06C3" w:rsidRDefault="008C06C3" w14:paraId="24063AC3" w14:textId="77777777">
            <w:pPr>
              <w:jc w:val="right"/>
              <w:rPr>
                <w:sz w:val="17"/>
                <w:szCs w:val="17"/>
                <w:lang w:val="en-GB"/>
              </w:rPr>
            </w:pPr>
          </w:p>
        </w:tc>
      </w:tr>
      <w:tr w:rsidRPr="009C48DA" w:rsidR="008C06C3" w:rsidTr="008C06C3" w14:paraId="49E222FB" w14:textId="77777777">
        <w:trPr>
          <w:jc w:val="center"/>
        </w:trPr>
        <w:tc>
          <w:tcPr>
            <w:tcW w:w="1723" w:type="pct"/>
            <w:shd w:val="clear" w:color="auto" w:fill="auto"/>
            <w:vAlign w:val="bottom"/>
          </w:tcPr>
          <w:p w:rsidRPr="009C48DA" w:rsidR="008C06C3" w:rsidP="008C06C3" w:rsidRDefault="008C06C3" w14:paraId="5D97D27D" w14:textId="77777777">
            <w:pPr>
              <w:keepNext/>
              <w:tabs>
                <w:tab w:val="right" w:leader="dot" w:pos="5515"/>
              </w:tabs>
              <w:rPr>
                <w:rFonts w:cs="Times New Roman"/>
                <w:sz w:val="17"/>
                <w:szCs w:val="17"/>
                <w:lang w:val="en-GB"/>
              </w:rPr>
            </w:pPr>
            <w:r w:rsidRPr="009C48DA">
              <w:rPr>
                <w:rFonts w:cs="Times New Roman"/>
                <w:sz w:val="17"/>
                <w:szCs w:val="17"/>
                <w:lang w:val="en-GB"/>
              </w:rPr>
              <w:t>Cash generated from operations</w:t>
            </w:r>
            <w:r w:rsidRPr="009C48DA">
              <w:rPr>
                <w:rFonts w:cs="Times New Roman"/>
                <w:sz w:val="17"/>
                <w:szCs w:val="17"/>
                <w:lang w:val="en-GB"/>
              </w:rPr>
              <w:tab/>
            </w:r>
          </w:p>
        </w:tc>
        <w:tc>
          <w:tcPr>
            <w:tcW w:w="681" w:type="pct"/>
            <w:vAlign w:val="bottom"/>
          </w:tcPr>
          <w:p w:rsidRPr="009C48DA" w:rsidR="008C06C3" w:rsidP="008C06C3" w:rsidRDefault="008C06C3" w14:paraId="2472E924" w14:textId="14B82825">
            <w:pPr>
              <w:jc w:val="right"/>
              <w:rPr>
                <w:sz w:val="17"/>
                <w:szCs w:val="17"/>
                <w:lang w:val="en-GB"/>
              </w:rPr>
            </w:pPr>
            <w:r w:rsidRPr="009C48DA">
              <w:rPr>
                <w:sz w:val="17"/>
                <w:szCs w:val="17"/>
                <w:lang w:val="en-GB"/>
              </w:rPr>
              <w:t>31,274</w:t>
            </w:r>
          </w:p>
        </w:tc>
        <w:tc>
          <w:tcPr>
            <w:tcW w:w="590" w:type="pct"/>
            <w:vAlign w:val="bottom"/>
          </w:tcPr>
          <w:p w:rsidRPr="009C48DA" w:rsidR="008C06C3" w:rsidP="008C06C3" w:rsidRDefault="008C06C3" w14:paraId="6766DAD9" w14:textId="77E8C710">
            <w:pPr>
              <w:jc w:val="right"/>
              <w:rPr>
                <w:sz w:val="17"/>
                <w:szCs w:val="17"/>
                <w:lang w:val="en-GB"/>
              </w:rPr>
            </w:pPr>
            <w:r w:rsidRPr="009C48DA">
              <w:rPr>
                <w:sz w:val="17"/>
                <w:szCs w:val="17"/>
                <w:lang w:val="en-GB"/>
              </w:rPr>
              <w:t>1,751</w:t>
            </w:r>
          </w:p>
        </w:tc>
        <w:tc>
          <w:tcPr>
            <w:tcW w:w="751" w:type="pct"/>
            <w:vAlign w:val="bottom"/>
          </w:tcPr>
          <w:p w:rsidRPr="009C48DA" w:rsidR="008C06C3" w:rsidP="008C06C3" w:rsidRDefault="008C06C3" w14:paraId="6FE6AFB0" w14:textId="3829B6C9">
            <w:pPr>
              <w:jc w:val="right"/>
              <w:rPr>
                <w:sz w:val="17"/>
                <w:szCs w:val="17"/>
                <w:lang w:val="en-GB"/>
              </w:rPr>
            </w:pPr>
            <w:r w:rsidRPr="009C48DA">
              <w:rPr>
                <w:sz w:val="17"/>
                <w:szCs w:val="17"/>
                <w:lang w:val="en-GB"/>
              </w:rPr>
              <w:t>32,391</w:t>
            </w:r>
          </w:p>
        </w:tc>
        <w:tc>
          <w:tcPr>
            <w:tcW w:w="678" w:type="pct"/>
            <w:vAlign w:val="bottom"/>
          </w:tcPr>
          <w:p w:rsidRPr="009C48DA" w:rsidR="008C06C3" w:rsidP="008C06C3" w:rsidRDefault="008C06C3" w14:paraId="7FEEF29D" w14:textId="33560E2B">
            <w:pPr>
              <w:jc w:val="right"/>
              <w:rPr>
                <w:sz w:val="17"/>
                <w:szCs w:val="17"/>
                <w:lang w:val="en-GB"/>
              </w:rPr>
            </w:pPr>
            <w:r w:rsidRPr="009C48DA">
              <w:rPr>
                <w:sz w:val="17"/>
                <w:szCs w:val="17"/>
                <w:lang w:val="en-GB"/>
              </w:rPr>
              <w:t>35,936</w:t>
            </w:r>
          </w:p>
        </w:tc>
        <w:tc>
          <w:tcPr>
            <w:tcW w:w="577" w:type="pct"/>
            <w:vAlign w:val="bottom"/>
          </w:tcPr>
          <w:p w:rsidRPr="009C48DA" w:rsidR="008C06C3" w:rsidP="008C06C3" w:rsidRDefault="008C06C3" w14:paraId="0CDE5EA9" w14:textId="076A5699">
            <w:pPr>
              <w:jc w:val="right"/>
              <w:rPr>
                <w:sz w:val="17"/>
                <w:szCs w:val="17"/>
                <w:lang w:val="en-GB"/>
              </w:rPr>
            </w:pPr>
            <w:r w:rsidRPr="009C48DA">
              <w:rPr>
                <w:sz w:val="17"/>
                <w:szCs w:val="17"/>
                <w:lang w:val="en-GB"/>
              </w:rPr>
              <w:t>31,864</w:t>
            </w:r>
          </w:p>
        </w:tc>
      </w:tr>
      <w:tr w:rsidRPr="009C48DA" w:rsidR="008C06C3" w:rsidTr="008C06C3" w14:paraId="27C74298" w14:textId="77777777">
        <w:trPr>
          <w:jc w:val="center"/>
        </w:trPr>
        <w:tc>
          <w:tcPr>
            <w:tcW w:w="1723" w:type="pct"/>
            <w:shd w:val="clear" w:color="auto" w:fill="auto"/>
            <w:vAlign w:val="bottom"/>
          </w:tcPr>
          <w:p w:rsidRPr="009C48DA" w:rsidR="008C06C3" w:rsidP="008C06C3" w:rsidRDefault="008C06C3" w14:paraId="0364C9C2" w14:textId="77777777">
            <w:pPr>
              <w:tabs>
                <w:tab w:val="right" w:leader="dot" w:pos="5518"/>
              </w:tabs>
              <w:jc w:val="right"/>
              <w:rPr>
                <w:rFonts w:cs="Times New Roman"/>
                <w:sz w:val="17"/>
                <w:szCs w:val="17"/>
                <w:lang w:val="en-GB"/>
              </w:rPr>
            </w:pPr>
            <w:r w:rsidRPr="009C48DA">
              <w:rPr>
                <w:rFonts w:cs="Times New Roman"/>
                <w:sz w:val="17"/>
                <w:szCs w:val="17"/>
                <w:lang w:val="en-GB"/>
              </w:rPr>
              <w:t>Income taxes paid</w:t>
            </w:r>
            <w:r w:rsidRPr="009C48DA">
              <w:rPr>
                <w:sz w:val="17"/>
                <w:szCs w:val="17"/>
                <w:lang w:val="en-GB"/>
              </w:rPr>
              <w:tab/>
            </w:r>
          </w:p>
        </w:tc>
        <w:tc>
          <w:tcPr>
            <w:tcW w:w="681" w:type="pct"/>
            <w:vAlign w:val="bottom"/>
          </w:tcPr>
          <w:p w:rsidRPr="009C48DA" w:rsidR="008C06C3" w:rsidP="008C06C3" w:rsidRDefault="008C06C3" w14:paraId="4C9CD165" w14:textId="77777777">
            <w:pPr>
              <w:pBdr>
                <w:bottom w:val="single" w:color="auto" w:sz="4" w:space="1"/>
              </w:pBdr>
              <w:jc w:val="right"/>
              <w:rPr>
                <w:sz w:val="17"/>
                <w:szCs w:val="17"/>
                <w:lang w:val="en-GB"/>
              </w:rPr>
            </w:pPr>
            <w:r w:rsidRPr="009C48DA">
              <w:rPr>
                <w:sz w:val="17"/>
                <w:szCs w:val="17"/>
                <w:lang w:val="en-GB"/>
              </w:rPr>
              <w:t>(903)</w:t>
            </w:r>
          </w:p>
        </w:tc>
        <w:tc>
          <w:tcPr>
            <w:tcW w:w="590" w:type="pct"/>
            <w:vAlign w:val="bottom"/>
          </w:tcPr>
          <w:p w:rsidRPr="009C48DA" w:rsidR="008C06C3" w:rsidP="008C06C3" w:rsidRDefault="008C06C3" w14:paraId="3719F931" w14:textId="77777777">
            <w:pPr>
              <w:pBdr>
                <w:bottom w:val="single" w:color="auto" w:sz="4" w:space="1"/>
              </w:pBdr>
              <w:jc w:val="right"/>
              <w:rPr>
                <w:sz w:val="17"/>
                <w:szCs w:val="17"/>
                <w:lang w:val="en-GB"/>
              </w:rPr>
            </w:pPr>
            <w:r w:rsidRPr="009C48DA">
              <w:rPr>
                <w:sz w:val="17"/>
                <w:szCs w:val="17"/>
                <w:lang w:val="en-GB"/>
              </w:rPr>
              <w:t>(2,272)</w:t>
            </w:r>
          </w:p>
        </w:tc>
        <w:tc>
          <w:tcPr>
            <w:tcW w:w="751" w:type="pct"/>
            <w:vAlign w:val="bottom"/>
          </w:tcPr>
          <w:p w:rsidRPr="009C48DA" w:rsidR="008C06C3" w:rsidP="008C06C3" w:rsidRDefault="008C06C3" w14:paraId="7A799D0C" w14:textId="1588F04B">
            <w:pPr>
              <w:pBdr>
                <w:bottom w:val="single" w:color="auto" w:sz="4" w:space="1"/>
              </w:pBdr>
              <w:jc w:val="right"/>
              <w:rPr>
                <w:sz w:val="17"/>
                <w:szCs w:val="17"/>
                <w:lang w:val="en-GB"/>
              </w:rPr>
            </w:pPr>
            <w:r w:rsidRPr="009C48DA">
              <w:rPr>
                <w:sz w:val="17"/>
                <w:szCs w:val="17"/>
                <w:lang w:val="en-GB"/>
              </w:rPr>
              <w:t>(4,032)</w:t>
            </w:r>
          </w:p>
        </w:tc>
        <w:tc>
          <w:tcPr>
            <w:tcW w:w="678" w:type="pct"/>
            <w:vAlign w:val="bottom"/>
          </w:tcPr>
          <w:p w:rsidRPr="009C48DA" w:rsidR="008C06C3" w:rsidP="008C06C3" w:rsidRDefault="008C06C3" w14:paraId="268AC3CE" w14:textId="77777777">
            <w:pPr>
              <w:pBdr>
                <w:bottom w:val="single" w:color="auto" w:sz="4" w:space="1"/>
              </w:pBdr>
              <w:jc w:val="right"/>
              <w:rPr>
                <w:sz w:val="17"/>
                <w:szCs w:val="17"/>
                <w:lang w:val="en-GB"/>
              </w:rPr>
            </w:pPr>
            <w:r w:rsidRPr="009C48DA">
              <w:rPr>
                <w:sz w:val="17"/>
                <w:szCs w:val="17"/>
                <w:lang w:val="en-GB"/>
              </w:rPr>
              <w:t>(248)</w:t>
            </w:r>
          </w:p>
        </w:tc>
        <w:tc>
          <w:tcPr>
            <w:tcW w:w="577" w:type="pct"/>
            <w:vAlign w:val="bottom"/>
          </w:tcPr>
          <w:p w:rsidRPr="009C48DA" w:rsidR="008C06C3" w:rsidP="008C06C3" w:rsidRDefault="008C06C3" w14:paraId="348685C9" w14:textId="77777777">
            <w:pPr>
              <w:pBdr>
                <w:bottom w:val="single" w:color="auto" w:sz="4" w:space="1"/>
              </w:pBdr>
              <w:jc w:val="right"/>
              <w:rPr>
                <w:sz w:val="17"/>
                <w:szCs w:val="17"/>
                <w:lang w:val="en-GB"/>
              </w:rPr>
            </w:pPr>
            <w:r w:rsidRPr="009C48DA">
              <w:rPr>
                <w:sz w:val="17"/>
                <w:szCs w:val="17"/>
                <w:lang w:val="en-GB"/>
              </w:rPr>
              <w:t>(430)</w:t>
            </w:r>
          </w:p>
        </w:tc>
      </w:tr>
      <w:tr w:rsidRPr="009C48DA" w:rsidR="008C06C3" w:rsidTr="008C06C3" w14:paraId="56239AE9" w14:textId="77777777">
        <w:trPr>
          <w:jc w:val="center"/>
        </w:trPr>
        <w:tc>
          <w:tcPr>
            <w:tcW w:w="1723" w:type="pct"/>
            <w:shd w:val="clear" w:color="auto" w:fill="auto"/>
            <w:vAlign w:val="bottom"/>
          </w:tcPr>
          <w:p w:rsidRPr="009C48DA" w:rsidR="008C06C3" w:rsidP="008C06C3" w:rsidRDefault="008C06C3" w14:paraId="22527B24" w14:textId="77777777">
            <w:pPr>
              <w:tabs>
                <w:tab w:val="right" w:leader="dot" w:pos="5518"/>
              </w:tabs>
              <w:rPr>
                <w:rFonts w:cs="Times New Roman"/>
                <w:b/>
                <w:sz w:val="17"/>
                <w:szCs w:val="17"/>
                <w:lang w:val="en-GB"/>
              </w:rPr>
            </w:pPr>
            <w:r w:rsidRPr="009C48DA">
              <w:rPr>
                <w:rFonts w:cs="Times New Roman"/>
                <w:b/>
                <w:sz w:val="17"/>
                <w:szCs w:val="17"/>
                <w:lang w:val="en-GB"/>
              </w:rPr>
              <w:t>Net cash flow from / (used in) operating activities</w:t>
            </w:r>
            <w:r w:rsidRPr="009C48DA">
              <w:rPr>
                <w:sz w:val="17"/>
                <w:szCs w:val="17"/>
                <w:lang w:val="en-GB"/>
              </w:rPr>
              <w:tab/>
            </w:r>
          </w:p>
        </w:tc>
        <w:tc>
          <w:tcPr>
            <w:tcW w:w="681" w:type="pct"/>
            <w:vAlign w:val="bottom"/>
          </w:tcPr>
          <w:p w:rsidRPr="009C48DA" w:rsidR="008C06C3" w:rsidP="008C06C3" w:rsidRDefault="008C06C3" w14:paraId="514AD737" w14:textId="41773660">
            <w:pPr>
              <w:pBdr>
                <w:bottom w:val="single" w:color="auto" w:sz="4" w:space="1"/>
              </w:pBdr>
              <w:jc w:val="right"/>
              <w:rPr>
                <w:b/>
                <w:sz w:val="17"/>
                <w:szCs w:val="17"/>
                <w:lang w:val="en-GB"/>
              </w:rPr>
            </w:pPr>
            <w:r w:rsidRPr="009C48DA">
              <w:rPr>
                <w:b/>
                <w:sz w:val="17"/>
                <w:szCs w:val="17"/>
                <w:lang w:val="en-GB"/>
              </w:rPr>
              <w:t>30,371</w:t>
            </w:r>
          </w:p>
        </w:tc>
        <w:tc>
          <w:tcPr>
            <w:tcW w:w="590" w:type="pct"/>
            <w:vAlign w:val="bottom"/>
          </w:tcPr>
          <w:p w:rsidRPr="009C48DA" w:rsidR="008C06C3" w:rsidP="008C06C3" w:rsidRDefault="008C06C3" w14:paraId="3F2F293B" w14:textId="156DE582">
            <w:pPr>
              <w:pBdr>
                <w:bottom w:val="single" w:color="auto" w:sz="4" w:space="1"/>
              </w:pBdr>
              <w:jc w:val="right"/>
              <w:rPr>
                <w:b/>
                <w:sz w:val="17"/>
                <w:szCs w:val="17"/>
                <w:lang w:val="en-GB"/>
              </w:rPr>
            </w:pPr>
            <w:r w:rsidRPr="009C48DA">
              <w:rPr>
                <w:b/>
                <w:sz w:val="17"/>
                <w:szCs w:val="17"/>
                <w:lang w:val="en-GB"/>
              </w:rPr>
              <w:t>521</w:t>
            </w:r>
          </w:p>
        </w:tc>
        <w:tc>
          <w:tcPr>
            <w:tcW w:w="751" w:type="pct"/>
            <w:vAlign w:val="bottom"/>
          </w:tcPr>
          <w:p w:rsidRPr="009C48DA" w:rsidR="008C06C3" w:rsidP="008C06C3" w:rsidRDefault="008C06C3" w14:paraId="0F4D8485" w14:textId="340A5D88">
            <w:pPr>
              <w:pBdr>
                <w:bottom w:val="single" w:color="auto" w:sz="4" w:space="1"/>
              </w:pBdr>
              <w:jc w:val="right"/>
              <w:rPr>
                <w:b/>
                <w:sz w:val="17"/>
                <w:szCs w:val="17"/>
                <w:lang w:val="en-GB"/>
              </w:rPr>
            </w:pPr>
            <w:r w:rsidRPr="009C48DA">
              <w:rPr>
                <w:b/>
                <w:sz w:val="17"/>
                <w:szCs w:val="17"/>
                <w:lang w:val="en-GB"/>
              </w:rPr>
              <w:t>28,359</w:t>
            </w:r>
          </w:p>
        </w:tc>
        <w:tc>
          <w:tcPr>
            <w:tcW w:w="678" w:type="pct"/>
            <w:vAlign w:val="bottom"/>
          </w:tcPr>
          <w:p w:rsidRPr="009C48DA" w:rsidR="008C06C3" w:rsidP="008C06C3" w:rsidRDefault="008C06C3" w14:paraId="2BE18BC1" w14:textId="0CB2F1D1">
            <w:pPr>
              <w:pBdr>
                <w:bottom w:val="single" w:color="auto" w:sz="4" w:space="1"/>
              </w:pBdr>
              <w:jc w:val="right"/>
              <w:rPr>
                <w:b/>
                <w:sz w:val="17"/>
                <w:szCs w:val="17"/>
                <w:lang w:val="en-GB"/>
              </w:rPr>
            </w:pPr>
            <w:r w:rsidRPr="009C48DA">
              <w:rPr>
                <w:b/>
                <w:sz w:val="17"/>
                <w:szCs w:val="17"/>
                <w:lang w:val="en-GB"/>
              </w:rPr>
              <w:t>35,688</w:t>
            </w:r>
          </w:p>
        </w:tc>
        <w:tc>
          <w:tcPr>
            <w:tcW w:w="577" w:type="pct"/>
            <w:vAlign w:val="bottom"/>
          </w:tcPr>
          <w:p w:rsidRPr="009C48DA" w:rsidR="008C06C3" w:rsidP="008C06C3" w:rsidRDefault="008C06C3" w14:paraId="06BB2FC0" w14:textId="47F3965F">
            <w:pPr>
              <w:pBdr>
                <w:bottom w:val="single" w:color="auto" w:sz="4" w:space="1"/>
              </w:pBdr>
              <w:jc w:val="right"/>
              <w:rPr>
                <w:b/>
                <w:sz w:val="17"/>
                <w:szCs w:val="17"/>
                <w:lang w:val="en-GB"/>
              </w:rPr>
            </w:pPr>
            <w:r w:rsidRPr="009C48DA">
              <w:rPr>
                <w:b/>
                <w:sz w:val="17"/>
                <w:szCs w:val="17"/>
                <w:lang w:val="en-GB"/>
              </w:rPr>
              <w:t>31,434</w:t>
            </w:r>
          </w:p>
        </w:tc>
      </w:tr>
      <w:tr w:rsidRPr="009C48DA" w:rsidR="008C06C3" w:rsidTr="008C06C3" w14:paraId="4220F918" w14:textId="77777777">
        <w:trPr>
          <w:jc w:val="center"/>
        </w:trPr>
        <w:tc>
          <w:tcPr>
            <w:tcW w:w="1723" w:type="pct"/>
            <w:shd w:val="clear" w:color="auto" w:fill="auto"/>
            <w:vAlign w:val="bottom"/>
          </w:tcPr>
          <w:p w:rsidRPr="009C48DA" w:rsidR="008C06C3" w:rsidP="008C06C3" w:rsidRDefault="008C06C3" w14:paraId="2EFAC565" w14:textId="77777777">
            <w:pPr>
              <w:tabs>
                <w:tab w:val="right" w:leader="dot" w:pos="5518"/>
              </w:tabs>
              <w:rPr>
                <w:rFonts w:cs="Times New Roman"/>
                <w:sz w:val="17"/>
                <w:szCs w:val="17"/>
                <w:lang w:val="en-GB"/>
              </w:rPr>
            </w:pPr>
          </w:p>
        </w:tc>
        <w:tc>
          <w:tcPr>
            <w:tcW w:w="681" w:type="pct"/>
            <w:vAlign w:val="bottom"/>
          </w:tcPr>
          <w:p w:rsidRPr="009C48DA" w:rsidR="008C06C3" w:rsidP="008C06C3" w:rsidRDefault="008C06C3" w14:paraId="65738AFB" w14:textId="77777777">
            <w:pPr>
              <w:jc w:val="right"/>
              <w:rPr>
                <w:sz w:val="17"/>
                <w:szCs w:val="17"/>
                <w:lang w:val="en-GB"/>
              </w:rPr>
            </w:pPr>
          </w:p>
        </w:tc>
        <w:tc>
          <w:tcPr>
            <w:tcW w:w="590" w:type="pct"/>
            <w:vAlign w:val="bottom"/>
          </w:tcPr>
          <w:p w:rsidRPr="009C48DA" w:rsidR="008C06C3" w:rsidP="008C06C3" w:rsidRDefault="008C06C3" w14:paraId="1CA7B07A" w14:textId="77777777">
            <w:pPr>
              <w:jc w:val="right"/>
              <w:rPr>
                <w:sz w:val="17"/>
                <w:szCs w:val="17"/>
                <w:lang w:val="en-GB"/>
              </w:rPr>
            </w:pPr>
          </w:p>
        </w:tc>
        <w:tc>
          <w:tcPr>
            <w:tcW w:w="751" w:type="pct"/>
            <w:vAlign w:val="bottom"/>
          </w:tcPr>
          <w:p w:rsidRPr="009C48DA" w:rsidR="008C06C3" w:rsidP="008C06C3" w:rsidRDefault="008C06C3" w14:paraId="682A045F" w14:textId="77777777">
            <w:pPr>
              <w:jc w:val="right"/>
              <w:rPr>
                <w:sz w:val="17"/>
                <w:szCs w:val="17"/>
                <w:lang w:val="en-GB"/>
              </w:rPr>
            </w:pPr>
          </w:p>
        </w:tc>
        <w:tc>
          <w:tcPr>
            <w:tcW w:w="678" w:type="pct"/>
            <w:vAlign w:val="bottom"/>
          </w:tcPr>
          <w:p w:rsidRPr="009C48DA" w:rsidR="008C06C3" w:rsidP="008C06C3" w:rsidRDefault="008C06C3" w14:paraId="2EF6985D" w14:textId="77777777">
            <w:pPr>
              <w:jc w:val="right"/>
              <w:rPr>
                <w:sz w:val="17"/>
                <w:szCs w:val="17"/>
                <w:lang w:val="en-GB"/>
              </w:rPr>
            </w:pPr>
          </w:p>
        </w:tc>
        <w:tc>
          <w:tcPr>
            <w:tcW w:w="577" w:type="pct"/>
            <w:vAlign w:val="bottom"/>
          </w:tcPr>
          <w:p w:rsidRPr="009C48DA" w:rsidR="008C06C3" w:rsidP="008C06C3" w:rsidRDefault="008C06C3" w14:paraId="453FF82F" w14:textId="77777777">
            <w:pPr>
              <w:jc w:val="right"/>
              <w:rPr>
                <w:sz w:val="17"/>
                <w:szCs w:val="17"/>
                <w:lang w:val="en-GB"/>
              </w:rPr>
            </w:pPr>
          </w:p>
        </w:tc>
      </w:tr>
      <w:tr w:rsidRPr="009C48DA" w:rsidR="008C06C3" w:rsidTr="008C06C3" w14:paraId="6F91AF85" w14:textId="77777777">
        <w:trPr>
          <w:jc w:val="center"/>
        </w:trPr>
        <w:tc>
          <w:tcPr>
            <w:tcW w:w="1723" w:type="pct"/>
            <w:shd w:val="clear" w:color="auto" w:fill="auto"/>
            <w:vAlign w:val="bottom"/>
          </w:tcPr>
          <w:p w:rsidRPr="009C48DA" w:rsidR="008C06C3" w:rsidP="008C06C3" w:rsidRDefault="008C06C3" w14:paraId="0600D547" w14:textId="77777777">
            <w:pPr>
              <w:tabs>
                <w:tab w:val="right" w:leader="dot" w:pos="5518"/>
              </w:tabs>
              <w:rPr>
                <w:rFonts w:cs="Times New Roman"/>
                <w:b/>
                <w:sz w:val="17"/>
                <w:szCs w:val="17"/>
                <w:lang w:val="en-GB"/>
              </w:rPr>
            </w:pPr>
            <w:r w:rsidRPr="009C48DA">
              <w:rPr>
                <w:rFonts w:cs="Times New Roman"/>
                <w:b/>
                <w:sz w:val="17"/>
                <w:szCs w:val="17"/>
                <w:lang w:val="en-GB"/>
              </w:rPr>
              <w:t>Cash flow from / (used in) investing activities</w:t>
            </w:r>
          </w:p>
        </w:tc>
        <w:tc>
          <w:tcPr>
            <w:tcW w:w="681" w:type="pct"/>
            <w:vAlign w:val="bottom"/>
          </w:tcPr>
          <w:p w:rsidRPr="009C48DA" w:rsidR="008C06C3" w:rsidP="008C06C3" w:rsidRDefault="008C06C3" w14:paraId="6902CA2D" w14:textId="77777777">
            <w:pPr>
              <w:jc w:val="right"/>
              <w:rPr>
                <w:sz w:val="17"/>
                <w:szCs w:val="17"/>
                <w:lang w:val="en-GB"/>
              </w:rPr>
            </w:pPr>
          </w:p>
        </w:tc>
        <w:tc>
          <w:tcPr>
            <w:tcW w:w="590" w:type="pct"/>
            <w:vAlign w:val="bottom"/>
          </w:tcPr>
          <w:p w:rsidRPr="009C48DA" w:rsidR="008C06C3" w:rsidP="008C06C3" w:rsidRDefault="008C06C3" w14:paraId="2B1301D5" w14:textId="77777777">
            <w:pPr>
              <w:jc w:val="right"/>
              <w:rPr>
                <w:sz w:val="17"/>
                <w:szCs w:val="17"/>
                <w:lang w:val="en-GB"/>
              </w:rPr>
            </w:pPr>
          </w:p>
        </w:tc>
        <w:tc>
          <w:tcPr>
            <w:tcW w:w="751" w:type="pct"/>
            <w:vAlign w:val="bottom"/>
          </w:tcPr>
          <w:p w:rsidRPr="009C48DA" w:rsidR="008C06C3" w:rsidP="008C06C3" w:rsidRDefault="008C06C3" w14:paraId="133A07EC" w14:textId="77777777">
            <w:pPr>
              <w:jc w:val="right"/>
              <w:rPr>
                <w:sz w:val="17"/>
                <w:szCs w:val="17"/>
                <w:lang w:val="en-GB"/>
              </w:rPr>
            </w:pPr>
          </w:p>
        </w:tc>
        <w:tc>
          <w:tcPr>
            <w:tcW w:w="678" w:type="pct"/>
            <w:vAlign w:val="bottom"/>
          </w:tcPr>
          <w:p w:rsidRPr="009C48DA" w:rsidR="008C06C3" w:rsidP="008C06C3" w:rsidRDefault="008C06C3" w14:paraId="344E9D69" w14:textId="77777777">
            <w:pPr>
              <w:jc w:val="right"/>
              <w:rPr>
                <w:sz w:val="17"/>
                <w:szCs w:val="17"/>
                <w:lang w:val="en-GB"/>
              </w:rPr>
            </w:pPr>
          </w:p>
        </w:tc>
        <w:tc>
          <w:tcPr>
            <w:tcW w:w="577" w:type="pct"/>
            <w:vAlign w:val="bottom"/>
          </w:tcPr>
          <w:p w:rsidRPr="009C48DA" w:rsidR="008C06C3" w:rsidP="008C06C3" w:rsidRDefault="008C06C3" w14:paraId="46F99338" w14:textId="77777777">
            <w:pPr>
              <w:jc w:val="right"/>
              <w:rPr>
                <w:sz w:val="17"/>
                <w:szCs w:val="17"/>
                <w:lang w:val="en-GB"/>
              </w:rPr>
            </w:pPr>
          </w:p>
        </w:tc>
      </w:tr>
      <w:tr w:rsidRPr="009C48DA" w:rsidR="008C06C3" w:rsidTr="008C06C3" w14:paraId="7615DC8A" w14:textId="77777777">
        <w:trPr>
          <w:jc w:val="center"/>
        </w:trPr>
        <w:tc>
          <w:tcPr>
            <w:tcW w:w="1723" w:type="pct"/>
            <w:shd w:val="clear" w:color="auto" w:fill="auto"/>
            <w:vAlign w:val="bottom"/>
          </w:tcPr>
          <w:p w:rsidRPr="009C48DA" w:rsidR="008C06C3" w:rsidP="008C06C3" w:rsidRDefault="008C06C3" w14:paraId="43077BE6" w14:textId="77777777">
            <w:pPr>
              <w:tabs>
                <w:tab w:val="right" w:leader="dot" w:pos="5518"/>
              </w:tabs>
              <w:rPr>
                <w:rFonts w:cs="Times New Roman"/>
                <w:sz w:val="17"/>
                <w:szCs w:val="17"/>
                <w:lang w:val="en-GB"/>
              </w:rPr>
            </w:pPr>
            <w:r w:rsidRPr="009C48DA">
              <w:rPr>
                <w:rFonts w:cs="Times New Roman"/>
                <w:sz w:val="17"/>
                <w:szCs w:val="17"/>
                <w:lang w:val="en-GB"/>
              </w:rPr>
              <w:t>Payment from acquisition of subsidiary, net of cash acquired</w:t>
            </w:r>
            <w:r w:rsidRPr="009C48DA">
              <w:rPr>
                <w:sz w:val="17"/>
                <w:szCs w:val="17"/>
                <w:lang w:val="en-GB"/>
              </w:rPr>
              <w:tab/>
            </w:r>
          </w:p>
        </w:tc>
        <w:tc>
          <w:tcPr>
            <w:tcW w:w="681" w:type="pct"/>
            <w:vAlign w:val="bottom"/>
          </w:tcPr>
          <w:p w:rsidRPr="009C48DA" w:rsidR="008C06C3" w:rsidP="008C06C3" w:rsidRDefault="008C06C3" w14:paraId="112906B1" w14:textId="77777777">
            <w:pPr>
              <w:jc w:val="right"/>
              <w:rPr>
                <w:sz w:val="17"/>
                <w:szCs w:val="17"/>
                <w:lang w:val="en-GB"/>
              </w:rPr>
            </w:pPr>
            <w:r w:rsidRPr="009C48DA">
              <w:rPr>
                <w:rFonts w:cs="Times New Roman"/>
                <w:sz w:val="17"/>
                <w:szCs w:val="17"/>
                <w:lang w:val="en-GB"/>
              </w:rPr>
              <w:t>—</w:t>
            </w:r>
          </w:p>
        </w:tc>
        <w:tc>
          <w:tcPr>
            <w:tcW w:w="590" w:type="pct"/>
            <w:vAlign w:val="bottom"/>
          </w:tcPr>
          <w:p w:rsidRPr="009C48DA" w:rsidR="008C06C3" w:rsidP="008C06C3" w:rsidRDefault="008C06C3" w14:paraId="6DF2697F" w14:textId="77777777">
            <w:pPr>
              <w:jc w:val="right"/>
              <w:rPr>
                <w:sz w:val="17"/>
                <w:szCs w:val="17"/>
                <w:lang w:val="en-GB"/>
              </w:rPr>
            </w:pPr>
            <w:r w:rsidRPr="009C48DA">
              <w:rPr>
                <w:rFonts w:cs="Times New Roman"/>
                <w:sz w:val="17"/>
                <w:szCs w:val="17"/>
                <w:lang w:val="en-GB"/>
              </w:rPr>
              <w:t>—</w:t>
            </w:r>
          </w:p>
        </w:tc>
        <w:tc>
          <w:tcPr>
            <w:tcW w:w="751" w:type="pct"/>
            <w:vAlign w:val="bottom"/>
          </w:tcPr>
          <w:p w:rsidRPr="009C48DA" w:rsidR="008C06C3" w:rsidP="008C06C3" w:rsidRDefault="008C06C3" w14:paraId="07C62BFE" w14:textId="66DCA43C">
            <w:pPr>
              <w:jc w:val="right"/>
              <w:rPr>
                <w:sz w:val="17"/>
                <w:szCs w:val="17"/>
                <w:lang w:val="en-GB"/>
              </w:rPr>
            </w:pPr>
            <w:r w:rsidRPr="009C48DA">
              <w:rPr>
                <w:sz w:val="17"/>
                <w:szCs w:val="17"/>
                <w:lang w:val="en-GB"/>
              </w:rPr>
              <w:t>(86,326)</w:t>
            </w:r>
          </w:p>
        </w:tc>
        <w:tc>
          <w:tcPr>
            <w:tcW w:w="678" w:type="pct"/>
            <w:vAlign w:val="bottom"/>
          </w:tcPr>
          <w:p w:rsidRPr="009C48DA" w:rsidR="008C06C3" w:rsidP="008C06C3" w:rsidRDefault="008C06C3" w14:paraId="589276AE" w14:textId="77777777">
            <w:pPr>
              <w:jc w:val="right"/>
              <w:rPr>
                <w:sz w:val="17"/>
                <w:szCs w:val="17"/>
                <w:lang w:val="en-GB"/>
              </w:rPr>
            </w:pPr>
            <w:r w:rsidRPr="009C48DA">
              <w:rPr>
                <w:rFonts w:cs="Times New Roman"/>
                <w:sz w:val="17"/>
                <w:szCs w:val="17"/>
                <w:lang w:val="en-GB"/>
              </w:rPr>
              <w:t>—</w:t>
            </w:r>
          </w:p>
        </w:tc>
        <w:tc>
          <w:tcPr>
            <w:tcW w:w="577" w:type="pct"/>
            <w:vAlign w:val="bottom"/>
          </w:tcPr>
          <w:p w:rsidRPr="009C48DA" w:rsidR="008C06C3" w:rsidP="008C06C3" w:rsidRDefault="008C06C3" w14:paraId="05DFCF06" w14:textId="77777777">
            <w:pPr>
              <w:jc w:val="right"/>
              <w:rPr>
                <w:sz w:val="17"/>
                <w:szCs w:val="17"/>
                <w:lang w:val="en-GB"/>
              </w:rPr>
            </w:pPr>
            <w:r w:rsidRPr="009C48DA">
              <w:rPr>
                <w:rFonts w:cs="Times New Roman"/>
                <w:sz w:val="17"/>
                <w:szCs w:val="17"/>
                <w:lang w:val="en-GB"/>
              </w:rPr>
              <w:t>—</w:t>
            </w:r>
          </w:p>
        </w:tc>
      </w:tr>
      <w:tr w:rsidRPr="009C48DA" w:rsidR="008C06C3" w:rsidTr="008C06C3" w14:paraId="2E889325" w14:textId="77777777">
        <w:trPr>
          <w:jc w:val="center"/>
        </w:trPr>
        <w:tc>
          <w:tcPr>
            <w:tcW w:w="1723" w:type="pct"/>
            <w:shd w:val="clear" w:color="auto" w:fill="auto"/>
            <w:vAlign w:val="bottom"/>
          </w:tcPr>
          <w:p w:rsidRPr="009C48DA" w:rsidR="008C06C3" w:rsidP="008C06C3" w:rsidRDefault="008C06C3" w14:paraId="3FBA7F49" w14:textId="77777777">
            <w:pPr>
              <w:tabs>
                <w:tab w:val="right" w:leader="dot" w:pos="5518"/>
              </w:tabs>
              <w:rPr>
                <w:rFonts w:cs="Times New Roman"/>
                <w:sz w:val="17"/>
                <w:szCs w:val="17"/>
                <w:lang w:val="en-GB"/>
              </w:rPr>
            </w:pPr>
            <w:r w:rsidRPr="009C48DA">
              <w:rPr>
                <w:rFonts w:cs="Times New Roman"/>
                <w:sz w:val="17"/>
                <w:szCs w:val="17"/>
                <w:lang w:val="en-GB"/>
              </w:rPr>
              <w:t>Payments for property, plant and equipment</w:t>
            </w:r>
            <w:r w:rsidRPr="009C48DA">
              <w:rPr>
                <w:sz w:val="17"/>
                <w:szCs w:val="17"/>
                <w:lang w:val="en-GB"/>
              </w:rPr>
              <w:tab/>
            </w:r>
          </w:p>
        </w:tc>
        <w:tc>
          <w:tcPr>
            <w:tcW w:w="681" w:type="pct"/>
            <w:vAlign w:val="bottom"/>
          </w:tcPr>
          <w:p w:rsidRPr="009C48DA" w:rsidR="008C06C3" w:rsidP="008C06C3" w:rsidRDefault="008C06C3" w14:paraId="70B1F5BF" w14:textId="77777777">
            <w:pPr>
              <w:jc w:val="right"/>
              <w:rPr>
                <w:sz w:val="17"/>
                <w:szCs w:val="17"/>
                <w:lang w:val="en-GB"/>
              </w:rPr>
            </w:pPr>
            <w:r w:rsidRPr="009C48DA">
              <w:rPr>
                <w:sz w:val="17"/>
                <w:szCs w:val="17"/>
                <w:lang w:val="en-GB"/>
              </w:rPr>
              <w:t>(3,234)</w:t>
            </w:r>
          </w:p>
        </w:tc>
        <w:tc>
          <w:tcPr>
            <w:tcW w:w="590" w:type="pct"/>
            <w:vAlign w:val="bottom"/>
          </w:tcPr>
          <w:p w:rsidRPr="009C48DA" w:rsidR="008C06C3" w:rsidP="008C06C3" w:rsidRDefault="008C06C3" w14:paraId="762DA59B" w14:textId="77777777">
            <w:pPr>
              <w:jc w:val="right"/>
              <w:rPr>
                <w:sz w:val="17"/>
                <w:szCs w:val="17"/>
                <w:lang w:val="en-GB"/>
              </w:rPr>
            </w:pPr>
            <w:r w:rsidRPr="009C48DA">
              <w:rPr>
                <w:sz w:val="17"/>
                <w:szCs w:val="17"/>
                <w:lang w:val="en-GB"/>
              </w:rPr>
              <w:t>(3,684)</w:t>
            </w:r>
          </w:p>
        </w:tc>
        <w:tc>
          <w:tcPr>
            <w:tcW w:w="751" w:type="pct"/>
            <w:vAlign w:val="bottom"/>
          </w:tcPr>
          <w:p w:rsidRPr="009C48DA" w:rsidR="008C06C3" w:rsidP="008C06C3" w:rsidRDefault="008C06C3" w14:paraId="50372A03" w14:textId="77777777">
            <w:pPr>
              <w:jc w:val="right"/>
              <w:rPr>
                <w:sz w:val="17"/>
                <w:szCs w:val="17"/>
                <w:lang w:val="en-GB"/>
              </w:rPr>
            </w:pPr>
            <w:r w:rsidRPr="009C48DA">
              <w:rPr>
                <w:sz w:val="17"/>
                <w:szCs w:val="17"/>
                <w:lang w:val="en-GB"/>
              </w:rPr>
              <w:t>(3,235)</w:t>
            </w:r>
          </w:p>
        </w:tc>
        <w:tc>
          <w:tcPr>
            <w:tcW w:w="678" w:type="pct"/>
            <w:vAlign w:val="bottom"/>
          </w:tcPr>
          <w:p w:rsidRPr="009C48DA" w:rsidR="008C06C3" w:rsidP="008C06C3" w:rsidRDefault="008C06C3" w14:paraId="6F5394EC" w14:textId="77777777">
            <w:pPr>
              <w:jc w:val="right"/>
              <w:rPr>
                <w:sz w:val="17"/>
                <w:szCs w:val="17"/>
                <w:lang w:val="en-GB"/>
              </w:rPr>
            </w:pPr>
            <w:r w:rsidRPr="009C48DA">
              <w:rPr>
                <w:sz w:val="17"/>
                <w:szCs w:val="17"/>
                <w:lang w:val="en-GB"/>
              </w:rPr>
              <w:t>189</w:t>
            </w:r>
          </w:p>
        </w:tc>
        <w:tc>
          <w:tcPr>
            <w:tcW w:w="577" w:type="pct"/>
            <w:vAlign w:val="bottom"/>
          </w:tcPr>
          <w:p w:rsidRPr="009C48DA" w:rsidR="008C06C3" w:rsidP="008C06C3" w:rsidRDefault="008C06C3" w14:paraId="748507C9" w14:textId="77777777">
            <w:pPr>
              <w:jc w:val="right"/>
              <w:rPr>
                <w:sz w:val="17"/>
                <w:szCs w:val="17"/>
                <w:lang w:val="en-GB"/>
              </w:rPr>
            </w:pPr>
            <w:r w:rsidRPr="009C48DA">
              <w:rPr>
                <w:rFonts w:cs="Times New Roman"/>
                <w:sz w:val="17"/>
                <w:szCs w:val="17"/>
                <w:lang w:val="en-GB"/>
              </w:rPr>
              <w:t>—</w:t>
            </w:r>
            <w:r w:rsidRPr="009C48DA" w:rsidDel="00AE0387">
              <w:rPr>
                <w:sz w:val="17"/>
                <w:szCs w:val="17"/>
                <w:lang w:val="en-GB"/>
              </w:rPr>
              <w:t xml:space="preserve"> </w:t>
            </w:r>
          </w:p>
        </w:tc>
      </w:tr>
      <w:tr w:rsidRPr="009C48DA" w:rsidR="008C06C3" w:rsidTr="008C06C3" w14:paraId="41666EEC" w14:textId="77777777">
        <w:trPr>
          <w:jc w:val="center"/>
        </w:trPr>
        <w:tc>
          <w:tcPr>
            <w:tcW w:w="1723" w:type="pct"/>
            <w:shd w:val="clear" w:color="auto" w:fill="auto"/>
            <w:vAlign w:val="bottom"/>
          </w:tcPr>
          <w:p w:rsidRPr="009C48DA" w:rsidR="008C06C3" w:rsidP="008C06C3" w:rsidRDefault="008C06C3" w14:paraId="4881C649" w14:textId="399576F3">
            <w:pPr>
              <w:tabs>
                <w:tab w:val="right" w:leader="dot" w:pos="5518"/>
              </w:tabs>
              <w:rPr>
                <w:rFonts w:cs="Times New Roman"/>
                <w:sz w:val="17"/>
                <w:szCs w:val="17"/>
                <w:lang w:val="en-GB"/>
              </w:rPr>
            </w:pPr>
            <w:r w:rsidRPr="009C48DA">
              <w:rPr>
                <w:rFonts w:cs="Times New Roman"/>
                <w:sz w:val="17"/>
                <w:szCs w:val="17"/>
                <w:lang w:val="en-GB"/>
              </w:rPr>
              <w:t>Receipts from investments (non CLO)</w:t>
            </w:r>
            <w:r w:rsidRPr="009C48DA">
              <w:rPr>
                <w:sz w:val="17"/>
                <w:szCs w:val="17"/>
                <w:lang w:val="en-GB"/>
              </w:rPr>
              <w:t xml:space="preserve"> </w:t>
            </w:r>
            <w:r w:rsidRPr="009C48DA">
              <w:rPr>
                <w:sz w:val="17"/>
                <w:szCs w:val="17"/>
                <w:lang w:val="en-GB"/>
              </w:rPr>
              <w:tab/>
            </w:r>
          </w:p>
        </w:tc>
        <w:tc>
          <w:tcPr>
            <w:tcW w:w="681" w:type="pct"/>
            <w:vAlign w:val="bottom"/>
          </w:tcPr>
          <w:p w:rsidRPr="009C48DA" w:rsidR="008C06C3" w:rsidP="008C06C3" w:rsidRDefault="008C06C3" w14:paraId="35A0C22D" w14:textId="36012A5C">
            <w:pPr>
              <w:jc w:val="right"/>
              <w:rPr>
                <w:sz w:val="17"/>
                <w:szCs w:val="17"/>
                <w:lang w:val="en-GB"/>
              </w:rPr>
            </w:pPr>
            <w:r w:rsidRPr="009C48DA">
              <w:rPr>
                <w:sz w:val="17"/>
                <w:szCs w:val="17"/>
                <w:lang w:val="en-GB"/>
              </w:rPr>
              <w:t>70,090</w:t>
            </w:r>
          </w:p>
        </w:tc>
        <w:tc>
          <w:tcPr>
            <w:tcW w:w="590" w:type="pct"/>
            <w:vAlign w:val="bottom"/>
          </w:tcPr>
          <w:p w:rsidRPr="009C48DA" w:rsidR="008C06C3" w:rsidP="008C06C3" w:rsidRDefault="008C06C3" w14:paraId="73460226" w14:textId="77777777">
            <w:pPr>
              <w:jc w:val="right"/>
              <w:rPr>
                <w:sz w:val="17"/>
                <w:szCs w:val="17"/>
                <w:lang w:val="en-GB"/>
              </w:rPr>
            </w:pPr>
            <w:r w:rsidRPr="009C48DA">
              <w:rPr>
                <w:sz w:val="17"/>
                <w:szCs w:val="17"/>
                <w:lang w:val="en-GB"/>
              </w:rPr>
              <w:t>207,189</w:t>
            </w:r>
          </w:p>
        </w:tc>
        <w:tc>
          <w:tcPr>
            <w:tcW w:w="751" w:type="pct"/>
            <w:vAlign w:val="bottom"/>
          </w:tcPr>
          <w:p w:rsidRPr="009C48DA" w:rsidR="008C06C3" w:rsidP="008C06C3" w:rsidRDefault="008C06C3" w14:paraId="5FCD68C9" w14:textId="65C2DC58">
            <w:pPr>
              <w:jc w:val="right"/>
              <w:rPr>
                <w:sz w:val="17"/>
                <w:szCs w:val="17"/>
                <w:lang w:val="en-GB"/>
              </w:rPr>
            </w:pPr>
            <w:r w:rsidRPr="009C48DA">
              <w:rPr>
                <w:sz w:val="17"/>
                <w:szCs w:val="17"/>
                <w:lang w:val="en-GB"/>
              </w:rPr>
              <w:t>57,413</w:t>
            </w:r>
          </w:p>
        </w:tc>
        <w:tc>
          <w:tcPr>
            <w:tcW w:w="678" w:type="pct"/>
            <w:vAlign w:val="bottom"/>
          </w:tcPr>
          <w:p w:rsidRPr="009C48DA" w:rsidR="008C06C3" w:rsidP="008C06C3" w:rsidRDefault="008C06C3" w14:paraId="6639BFF5" w14:textId="77777777">
            <w:pPr>
              <w:jc w:val="right"/>
              <w:rPr>
                <w:sz w:val="17"/>
                <w:szCs w:val="17"/>
                <w:lang w:val="en-GB"/>
              </w:rPr>
            </w:pPr>
            <w:r w:rsidRPr="009C48DA">
              <w:rPr>
                <w:sz w:val="17"/>
                <w:szCs w:val="17"/>
                <w:lang w:val="en-GB"/>
              </w:rPr>
              <w:t>7,312</w:t>
            </w:r>
          </w:p>
        </w:tc>
        <w:tc>
          <w:tcPr>
            <w:tcW w:w="577" w:type="pct"/>
            <w:vAlign w:val="bottom"/>
          </w:tcPr>
          <w:p w:rsidRPr="009C48DA" w:rsidR="008C06C3" w:rsidP="008C06C3" w:rsidRDefault="008C06C3" w14:paraId="50860B25" w14:textId="77777777">
            <w:pPr>
              <w:jc w:val="right"/>
              <w:rPr>
                <w:sz w:val="17"/>
                <w:szCs w:val="17"/>
                <w:lang w:val="en-GB"/>
              </w:rPr>
            </w:pPr>
            <w:r w:rsidRPr="009C48DA">
              <w:rPr>
                <w:sz w:val="17"/>
                <w:szCs w:val="17"/>
                <w:lang w:val="en-GB"/>
              </w:rPr>
              <w:t>20,830</w:t>
            </w:r>
          </w:p>
        </w:tc>
      </w:tr>
      <w:tr w:rsidRPr="009C48DA" w:rsidR="008C06C3" w:rsidTr="008C06C3" w14:paraId="0D40F449" w14:textId="77777777">
        <w:trPr>
          <w:jc w:val="center"/>
        </w:trPr>
        <w:tc>
          <w:tcPr>
            <w:tcW w:w="1723" w:type="pct"/>
            <w:shd w:val="clear" w:color="auto" w:fill="auto"/>
            <w:vAlign w:val="bottom"/>
          </w:tcPr>
          <w:p w:rsidRPr="009C48DA" w:rsidR="008C06C3" w:rsidDel="00724868" w:rsidP="008C06C3" w:rsidRDefault="008C06C3" w14:paraId="11BA1D78" w14:textId="77777777">
            <w:pPr>
              <w:tabs>
                <w:tab w:val="right" w:leader="dot" w:pos="5518"/>
              </w:tabs>
              <w:rPr>
                <w:rFonts w:cs="Times New Roman"/>
                <w:sz w:val="17"/>
                <w:szCs w:val="17"/>
                <w:lang w:val="en-GB"/>
              </w:rPr>
            </w:pPr>
            <w:r w:rsidRPr="009C48DA">
              <w:rPr>
                <w:rFonts w:cs="Times New Roman"/>
                <w:sz w:val="17"/>
                <w:szCs w:val="17"/>
                <w:lang w:val="en-GB"/>
              </w:rPr>
              <w:t>Purchase of investments (non CLO)</w:t>
            </w:r>
            <w:r w:rsidRPr="009C48DA">
              <w:rPr>
                <w:sz w:val="17"/>
                <w:szCs w:val="17"/>
                <w:lang w:val="en-GB"/>
              </w:rPr>
              <w:tab/>
            </w:r>
          </w:p>
        </w:tc>
        <w:tc>
          <w:tcPr>
            <w:tcW w:w="681" w:type="pct"/>
            <w:vAlign w:val="bottom"/>
          </w:tcPr>
          <w:p w:rsidRPr="009C48DA" w:rsidR="008C06C3" w:rsidP="008C06C3" w:rsidRDefault="008C06C3" w14:paraId="2C092DE1" w14:textId="7F8BFC66">
            <w:pPr>
              <w:jc w:val="right"/>
              <w:rPr>
                <w:sz w:val="17"/>
                <w:szCs w:val="17"/>
                <w:lang w:val="en-GB"/>
              </w:rPr>
            </w:pPr>
            <w:r w:rsidRPr="009C48DA">
              <w:rPr>
                <w:sz w:val="17"/>
                <w:szCs w:val="17"/>
                <w:lang w:val="en-GB"/>
              </w:rPr>
              <w:t>(107,983)</w:t>
            </w:r>
          </w:p>
        </w:tc>
        <w:tc>
          <w:tcPr>
            <w:tcW w:w="590" w:type="pct"/>
            <w:vAlign w:val="bottom"/>
          </w:tcPr>
          <w:p w:rsidRPr="009C48DA" w:rsidR="008C06C3" w:rsidP="008C06C3" w:rsidRDefault="008C06C3" w14:paraId="7731EDCC" w14:textId="77777777">
            <w:pPr>
              <w:jc w:val="right"/>
              <w:rPr>
                <w:sz w:val="17"/>
                <w:szCs w:val="17"/>
                <w:lang w:val="en-GB"/>
              </w:rPr>
            </w:pPr>
            <w:r w:rsidRPr="009C48DA">
              <w:rPr>
                <w:sz w:val="17"/>
                <w:szCs w:val="17"/>
                <w:lang w:val="en-GB"/>
              </w:rPr>
              <w:t>(176,059)</w:t>
            </w:r>
          </w:p>
        </w:tc>
        <w:tc>
          <w:tcPr>
            <w:tcW w:w="751" w:type="pct"/>
            <w:vAlign w:val="bottom"/>
          </w:tcPr>
          <w:p w:rsidRPr="009C48DA" w:rsidR="008C06C3" w:rsidP="008C06C3" w:rsidRDefault="008C06C3" w14:paraId="517C9BE0" w14:textId="385ECC7E">
            <w:pPr>
              <w:jc w:val="right"/>
              <w:rPr>
                <w:sz w:val="17"/>
                <w:szCs w:val="17"/>
                <w:lang w:val="en-GB"/>
              </w:rPr>
            </w:pPr>
            <w:r w:rsidRPr="009C48DA">
              <w:rPr>
                <w:sz w:val="17"/>
                <w:szCs w:val="17"/>
                <w:lang w:val="en-GB"/>
              </w:rPr>
              <w:t>(75,649)</w:t>
            </w:r>
          </w:p>
        </w:tc>
        <w:tc>
          <w:tcPr>
            <w:tcW w:w="678" w:type="pct"/>
            <w:vAlign w:val="bottom"/>
          </w:tcPr>
          <w:p w:rsidRPr="009C48DA" w:rsidR="008C06C3" w:rsidP="008C06C3" w:rsidRDefault="008C06C3" w14:paraId="3474C874" w14:textId="77777777">
            <w:pPr>
              <w:jc w:val="right"/>
              <w:rPr>
                <w:sz w:val="17"/>
                <w:szCs w:val="17"/>
                <w:lang w:val="en-GB"/>
              </w:rPr>
            </w:pPr>
            <w:r w:rsidRPr="009C48DA">
              <w:rPr>
                <w:sz w:val="17"/>
                <w:szCs w:val="17"/>
                <w:lang w:val="en-GB"/>
              </w:rPr>
              <w:t>(11,491)</w:t>
            </w:r>
          </w:p>
        </w:tc>
        <w:tc>
          <w:tcPr>
            <w:tcW w:w="577" w:type="pct"/>
            <w:vAlign w:val="bottom"/>
          </w:tcPr>
          <w:p w:rsidRPr="009C48DA" w:rsidR="008C06C3" w:rsidP="008C06C3" w:rsidRDefault="008C06C3" w14:paraId="7F3AC914" w14:textId="77777777">
            <w:pPr>
              <w:jc w:val="right"/>
              <w:rPr>
                <w:sz w:val="17"/>
                <w:szCs w:val="17"/>
                <w:lang w:val="en-GB"/>
              </w:rPr>
            </w:pPr>
            <w:r w:rsidRPr="009C48DA">
              <w:rPr>
                <w:sz w:val="17"/>
                <w:szCs w:val="17"/>
                <w:lang w:val="en-GB"/>
              </w:rPr>
              <w:t>(10,222)</w:t>
            </w:r>
          </w:p>
        </w:tc>
      </w:tr>
      <w:tr w:rsidRPr="009C48DA" w:rsidR="008C06C3" w:rsidTr="008C06C3" w14:paraId="1A816C04" w14:textId="77777777">
        <w:trPr>
          <w:jc w:val="center"/>
        </w:trPr>
        <w:tc>
          <w:tcPr>
            <w:tcW w:w="1723" w:type="pct"/>
            <w:shd w:val="clear" w:color="auto" w:fill="auto"/>
            <w:vAlign w:val="bottom"/>
          </w:tcPr>
          <w:p w:rsidRPr="009C48DA" w:rsidR="008C06C3" w:rsidP="008C06C3" w:rsidRDefault="008C06C3" w14:paraId="0FE85D47" w14:textId="27D7C5EE">
            <w:pPr>
              <w:tabs>
                <w:tab w:val="right" w:leader="dot" w:pos="5518"/>
              </w:tabs>
              <w:rPr>
                <w:rFonts w:cs="Times New Roman"/>
                <w:sz w:val="17"/>
                <w:szCs w:val="17"/>
                <w:lang w:val="en-GB"/>
              </w:rPr>
            </w:pPr>
            <w:r w:rsidRPr="009C48DA">
              <w:rPr>
                <w:rFonts w:cs="Times New Roman"/>
                <w:sz w:val="17"/>
                <w:szCs w:val="17"/>
                <w:lang w:val="en-GB"/>
              </w:rPr>
              <w:t>Receipts from investments (CLO)</w:t>
            </w:r>
            <w:r w:rsidRPr="009C48DA">
              <w:rPr>
                <w:sz w:val="17"/>
                <w:szCs w:val="17"/>
                <w:lang w:val="en-GB"/>
              </w:rPr>
              <w:tab/>
            </w:r>
          </w:p>
        </w:tc>
        <w:tc>
          <w:tcPr>
            <w:tcW w:w="681" w:type="pct"/>
            <w:vAlign w:val="bottom"/>
          </w:tcPr>
          <w:p w:rsidRPr="009C48DA" w:rsidR="008C06C3" w:rsidP="008C06C3" w:rsidRDefault="008C06C3" w14:paraId="604F2E94" w14:textId="77777777">
            <w:pPr>
              <w:jc w:val="right"/>
              <w:rPr>
                <w:sz w:val="17"/>
                <w:szCs w:val="17"/>
                <w:lang w:val="en-GB"/>
              </w:rPr>
            </w:pPr>
            <w:r w:rsidRPr="009C48DA">
              <w:rPr>
                <w:rFonts w:cs="Times New Roman"/>
                <w:sz w:val="17"/>
                <w:szCs w:val="17"/>
                <w:lang w:val="en-GB"/>
              </w:rPr>
              <w:t>—</w:t>
            </w:r>
          </w:p>
        </w:tc>
        <w:tc>
          <w:tcPr>
            <w:tcW w:w="590" w:type="pct"/>
            <w:vAlign w:val="bottom"/>
          </w:tcPr>
          <w:p w:rsidRPr="009C48DA" w:rsidR="008C06C3" w:rsidP="008C06C3" w:rsidRDefault="008C06C3" w14:paraId="58BAD009" w14:textId="77777777">
            <w:pPr>
              <w:jc w:val="right"/>
              <w:rPr>
                <w:sz w:val="17"/>
                <w:szCs w:val="17"/>
                <w:lang w:val="en-GB"/>
              </w:rPr>
            </w:pPr>
            <w:r w:rsidRPr="009C48DA">
              <w:rPr>
                <w:rFonts w:cs="Times New Roman"/>
                <w:sz w:val="17"/>
                <w:szCs w:val="17"/>
                <w:lang w:val="en-GB"/>
              </w:rPr>
              <w:t>—</w:t>
            </w:r>
          </w:p>
        </w:tc>
        <w:tc>
          <w:tcPr>
            <w:tcW w:w="751" w:type="pct"/>
            <w:vAlign w:val="bottom"/>
          </w:tcPr>
          <w:p w:rsidRPr="009C48DA" w:rsidR="008C06C3" w:rsidP="008C06C3" w:rsidRDefault="008C06C3" w14:paraId="11CBD52B" w14:textId="1BD1123B">
            <w:pPr>
              <w:jc w:val="right"/>
              <w:rPr>
                <w:sz w:val="17"/>
                <w:szCs w:val="17"/>
                <w:lang w:val="en-GB"/>
              </w:rPr>
            </w:pPr>
            <w:r w:rsidRPr="009C48DA">
              <w:rPr>
                <w:sz w:val="17"/>
                <w:szCs w:val="17"/>
                <w:lang w:val="en-GB"/>
              </w:rPr>
              <w:t>2,148</w:t>
            </w:r>
          </w:p>
        </w:tc>
        <w:tc>
          <w:tcPr>
            <w:tcW w:w="678" w:type="pct"/>
            <w:vAlign w:val="bottom"/>
          </w:tcPr>
          <w:p w:rsidRPr="009C48DA" w:rsidR="008C06C3" w:rsidP="008C06C3" w:rsidRDefault="008C06C3" w14:paraId="53BD9BAD" w14:textId="77777777">
            <w:pPr>
              <w:jc w:val="right"/>
              <w:rPr>
                <w:sz w:val="17"/>
                <w:szCs w:val="17"/>
                <w:lang w:val="en-GB"/>
              </w:rPr>
            </w:pPr>
            <w:r w:rsidRPr="009C48DA">
              <w:rPr>
                <w:rFonts w:cs="Times New Roman"/>
                <w:sz w:val="17"/>
                <w:szCs w:val="17"/>
                <w:lang w:val="en-GB"/>
              </w:rPr>
              <w:t>—</w:t>
            </w:r>
          </w:p>
        </w:tc>
        <w:tc>
          <w:tcPr>
            <w:tcW w:w="577" w:type="pct"/>
            <w:vAlign w:val="bottom"/>
          </w:tcPr>
          <w:p w:rsidRPr="009C48DA" w:rsidR="008C06C3" w:rsidP="008C06C3" w:rsidRDefault="008C06C3" w14:paraId="2C0A1982" w14:textId="3EB521F2">
            <w:pPr>
              <w:jc w:val="right"/>
              <w:rPr>
                <w:sz w:val="17"/>
                <w:szCs w:val="17"/>
                <w:lang w:val="en-GB"/>
              </w:rPr>
            </w:pPr>
            <w:r w:rsidRPr="009C48DA">
              <w:rPr>
                <w:sz w:val="17"/>
                <w:szCs w:val="17"/>
                <w:lang w:val="en-GB"/>
              </w:rPr>
              <w:t>28,073</w:t>
            </w:r>
          </w:p>
        </w:tc>
      </w:tr>
      <w:tr w:rsidRPr="009C48DA" w:rsidR="008C06C3" w:rsidTr="008C06C3" w14:paraId="6173FF77" w14:textId="77777777">
        <w:trPr>
          <w:jc w:val="center"/>
        </w:trPr>
        <w:tc>
          <w:tcPr>
            <w:tcW w:w="1723" w:type="pct"/>
            <w:shd w:val="clear" w:color="auto" w:fill="auto"/>
            <w:vAlign w:val="bottom"/>
          </w:tcPr>
          <w:p w:rsidRPr="009C48DA" w:rsidR="008C06C3" w:rsidP="008C06C3" w:rsidRDefault="008C06C3" w14:paraId="72199C7B" w14:textId="45E429D0">
            <w:pPr>
              <w:tabs>
                <w:tab w:val="right" w:leader="dot" w:pos="5518"/>
              </w:tabs>
              <w:rPr>
                <w:rFonts w:cs="Times New Roman"/>
                <w:sz w:val="17"/>
                <w:szCs w:val="17"/>
                <w:lang w:val="en-GB"/>
              </w:rPr>
            </w:pPr>
            <w:r w:rsidRPr="009C48DA">
              <w:rPr>
                <w:rFonts w:cs="Times New Roman"/>
                <w:sz w:val="17"/>
                <w:szCs w:val="17"/>
                <w:lang w:val="en-GB"/>
              </w:rPr>
              <w:t>Purchase of investments (CLO)</w:t>
            </w:r>
            <w:r w:rsidRPr="009C48DA">
              <w:rPr>
                <w:sz w:val="17"/>
                <w:szCs w:val="17"/>
                <w:lang w:val="en-GB"/>
              </w:rPr>
              <w:tab/>
            </w:r>
          </w:p>
        </w:tc>
        <w:tc>
          <w:tcPr>
            <w:tcW w:w="681" w:type="pct"/>
            <w:vAlign w:val="bottom"/>
          </w:tcPr>
          <w:p w:rsidRPr="009C48DA" w:rsidR="008C06C3" w:rsidP="008C06C3" w:rsidRDefault="008C06C3" w14:paraId="5B952261" w14:textId="77777777">
            <w:pPr>
              <w:jc w:val="right"/>
              <w:rPr>
                <w:sz w:val="17"/>
                <w:szCs w:val="17"/>
                <w:lang w:val="en-GB"/>
              </w:rPr>
            </w:pPr>
            <w:r w:rsidRPr="009C48DA">
              <w:rPr>
                <w:rFonts w:cs="Times New Roman"/>
                <w:sz w:val="17"/>
                <w:szCs w:val="17"/>
                <w:lang w:val="en-GB"/>
              </w:rPr>
              <w:t>—</w:t>
            </w:r>
          </w:p>
        </w:tc>
        <w:tc>
          <w:tcPr>
            <w:tcW w:w="590" w:type="pct"/>
            <w:vAlign w:val="bottom"/>
          </w:tcPr>
          <w:p w:rsidRPr="009C48DA" w:rsidR="008C06C3" w:rsidP="008C06C3" w:rsidRDefault="008C06C3" w14:paraId="0354BB48" w14:textId="77777777">
            <w:pPr>
              <w:jc w:val="right"/>
              <w:rPr>
                <w:sz w:val="17"/>
                <w:szCs w:val="17"/>
                <w:lang w:val="en-GB"/>
              </w:rPr>
            </w:pPr>
            <w:r w:rsidRPr="009C48DA">
              <w:rPr>
                <w:rFonts w:cs="Times New Roman"/>
                <w:sz w:val="17"/>
                <w:szCs w:val="17"/>
                <w:lang w:val="en-GB"/>
              </w:rPr>
              <w:t>—</w:t>
            </w:r>
          </w:p>
        </w:tc>
        <w:tc>
          <w:tcPr>
            <w:tcW w:w="751" w:type="pct"/>
            <w:vAlign w:val="bottom"/>
          </w:tcPr>
          <w:p w:rsidRPr="009C48DA" w:rsidR="008C06C3" w:rsidP="008C06C3" w:rsidRDefault="008C06C3" w14:paraId="64A17D0A" w14:textId="6DF62F6E">
            <w:pPr>
              <w:jc w:val="right"/>
              <w:rPr>
                <w:sz w:val="17"/>
                <w:szCs w:val="17"/>
                <w:lang w:val="en-GB"/>
              </w:rPr>
            </w:pPr>
            <w:r w:rsidRPr="009C48DA">
              <w:rPr>
                <w:rFonts w:cs="Times New Roman"/>
                <w:sz w:val="17"/>
                <w:szCs w:val="17"/>
                <w:lang w:val="en-GB"/>
              </w:rPr>
              <w:t>(6,165)</w:t>
            </w:r>
          </w:p>
        </w:tc>
        <w:tc>
          <w:tcPr>
            <w:tcW w:w="678" w:type="pct"/>
            <w:vAlign w:val="bottom"/>
          </w:tcPr>
          <w:p w:rsidRPr="009C48DA" w:rsidR="008C06C3" w:rsidP="008C06C3" w:rsidRDefault="008C06C3" w14:paraId="2246D835" w14:textId="77777777">
            <w:pPr>
              <w:jc w:val="right"/>
              <w:rPr>
                <w:sz w:val="17"/>
                <w:szCs w:val="17"/>
                <w:lang w:val="en-GB"/>
              </w:rPr>
            </w:pPr>
            <w:r w:rsidRPr="009C48DA">
              <w:rPr>
                <w:rFonts w:cs="Times New Roman"/>
                <w:sz w:val="17"/>
                <w:szCs w:val="17"/>
                <w:lang w:val="en-GB"/>
              </w:rPr>
              <w:t>—</w:t>
            </w:r>
          </w:p>
        </w:tc>
        <w:tc>
          <w:tcPr>
            <w:tcW w:w="577" w:type="pct"/>
            <w:vAlign w:val="bottom"/>
          </w:tcPr>
          <w:p w:rsidRPr="009C48DA" w:rsidR="008C06C3" w:rsidP="008C06C3" w:rsidRDefault="008C06C3" w14:paraId="12E11F21" w14:textId="18868221">
            <w:pPr>
              <w:jc w:val="right"/>
              <w:rPr>
                <w:sz w:val="17"/>
                <w:szCs w:val="17"/>
                <w:lang w:val="en-GB"/>
              </w:rPr>
            </w:pPr>
            <w:r w:rsidRPr="009C48DA">
              <w:rPr>
                <w:sz w:val="17"/>
                <w:szCs w:val="17"/>
                <w:lang w:val="en-GB"/>
              </w:rPr>
              <w:t>(110,778)</w:t>
            </w:r>
          </w:p>
        </w:tc>
      </w:tr>
      <w:tr w:rsidRPr="009C48DA" w:rsidR="008C06C3" w:rsidTr="008C06C3" w14:paraId="5D0E11A7" w14:textId="77777777">
        <w:trPr>
          <w:jc w:val="center"/>
        </w:trPr>
        <w:tc>
          <w:tcPr>
            <w:tcW w:w="1723" w:type="pct"/>
            <w:shd w:val="clear" w:color="auto" w:fill="auto"/>
            <w:vAlign w:val="bottom"/>
          </w:tcPr>
          <w:p w:rsidRPr="009C48DA" w:rsidR="008C06C3" w:rsidP="008C06C3" w:rsidRDefault="008C06C3" w14:paraId="3A1C6733" w14:textId="7B3AE681">
            <w:pPr>
              <w:tabs>
                <w:tab w:val="right" w:leader="dot" w:pos="5518"/>
              </w:tabs>
              <w:rPr>
                <w:rFonts w:cs="Times New Roman"/>
                <w:sz w:val="17"/>
                <w:szCs w:val="17"/>
                <w:lang w:val="en-GB"/>
              </w:rPr>
            </w:pPr>
            <w:r w:rsidRPr="009C48DA">
              <w:rPr>
                <w:rFonts w:cs="Times New Roman"/>
                <w:sz w:val="17"/>
                <w:szCs w:val="17"/>
                <w:lang w:val="en-GB"/>
              </w:rPr>
              <w:t>Cash acquired on acquisition of CLO</w:t>
            </w:r>
            <w:r w:rsidRPr="009C48DA">
              <w:rPr>
                <w:sz w:val="17"/>
                <w:szCs w:val="17"/>
                <w:lang w:val="en-GB"/>
              </w:rPr>
              <w:tab/>
            </w:r>
          </w:p>
        </w:tc>
        <w:tc>
          <w:tcPr>
            <w:tcW w:w="681" w:type="pct"/>
            <w:vAlign w:val="bottom"/>
          </w:tcPr>
          <w:p w:rsidRPr="009C48DA" w:rsidR="008C06C3" w:rsidP="008C06C3" w:rsidRDefault="008C06C3" w14:paraId="6EAFE9BD" w14:textId="77777777">
            <w:pPr>
              <w:pBdr>
                <w:bottom w:val="single" w:color="auto" w:sz="4" w:space="1"/>
              </w:pBdr>
              <w:jc w:val="right"/>
              <w:rPr>
                <w:sz w:val="17"/>
                <w:szCs w:val="17"/>
                <w:lang w:val="en-GB"/>
              </w:rPr>
            </w:pPr>
            <w:r w:rsidRPr="009C48DA">
              <w:rPr>
                <w:rFonts w:cs="Times New Roman"/>
                <w:sz w:val="17"/>
                <w:szCs w:val="17"/>
                <w:lang w:val="en-GB"/>
              </w:rPr>
              <w:t>—</w:t>
            </w:r>
          </w:p>
        </w:tc>
        <w:tc>
          <w:tcPr>
            <w:tcW w:w="590" w:type="pct"/>
            <w:vAlign w:val="bottom"/>
          </w:tcPr>
          <w:p w:rsidRPr="009C48DA" w:rsidR="008C06C3" w:rsidP="008C06C3" w:rsidRDefault="008C06C3" w14:paraId="6DA6EC2C" w14:textId="77777777">
            <w:pPr>
              <w:pBdr>
                <w:bottom w:val="single" w:color="auto" w:sz="4" w:space="1"/>
              </w:pBdr>
              <w:jc w:val="right"/>
              <w:rPr>
                <w:sz w:val="17"/>
                <w:szCs w:val="17"/>
                <w:lang w:val="en-GB"/>
              </w:rPr>
            </w:pPr>
            <w:r w:rsidRPr="009C48DA">
              <w:rPr>
                <w:rFonts w:cs="Times New Roman"/>
                <w:sz w:val="17"/>
                <w:szCs w:val="17"/>
                <w:lang w:val="en-GB"/>
              </w:rPr>
              <w:t>—</w:t>
            </w:r>
          </w:p>
        </w:tc>
        <w:tc>
          <w:tcPr>
            <w:tcW w:w="751" w:type="pct"/>
            <w:vAlign w:val="bottom"/>
          </w:tcPr>
          <w:p w:rsidRPr="009C48DA" w:rsidR="008C06C3" w:rsidP="008C06C3" w:rsidRDefault="008C06C3" w14:paraId="37BF3F35" w14:textId="77777777">
            <w:pPr>
              <w:pBdr>
                <w:bottom w:val="single" w:color="auto" w:sz="4" w:space="1"/>
              </w:pBdr>
              <w:jc w:val="right"/>
              <w:rPr>
                <w:sz w:val="17"/>
                <w:szCs w:val="17"/>
                <w:lang w:val="en-GB"/>
              </w:rPr>
            </w:pPr>
            <w:r w:rsidRPr="009C48DA">
              <w:rPr>
                <w:rFonts w:cs="Times New Roman"/>
                <w:sz w:val="17"/>
                <w:szCs w:val="17"/>
                <w:lang w:val="en-GB"/>
              </w:rPr>
              <w:t>1,919</w:t>
            </w:r>
          </w:p>
        </w:tc>
        <w:tc>
          <w:tcPr>
            <w:tcW w:w="678" w:type="pct"/>
            <w:vAlign w:val="bottom"/>
          </w:tcPr>
          <w:p w:rsidRPr="009C48DA" w:rsidR="008C06C3" w:rsidP="008C06C3" w:rsidRDefault="008C06C3" w14:paraId="3EE8AB65" w14:textId="77777777">
            <w:pPr>
              <w:pBdr>
                <w:bottom w:val="single" w:color="auto" w:sz="4" w:space="1"/>
              </w:pBdr>
              <w:jc w:val="right"/>
              <w:rPr>
                <w:sz w:val="17"/>
                <w:szCs w:val="17"/>
                <w:lang w:val="en-GB"/>
              </w:rPr>
            </w:pPr>
            <w:r w:rsidRPr="009C48DA">
              <w:rPr>
                <w:rFonts w:cs="Times New Roman"/>
                <w:sz w:val="17"/>
                <w:szCs w:val="17"/>
                <w:lang w:val="en-GB"/>
              </w:rPr>
              <w:t>—</w:t>
            </w:r>
          </w:p>
        </w:tc>
        <w:tc>
          <w:tcPr>
            <w:tcW w:w="577" w:type="pct"/>
            <w:vAlign w:val="bottom"/>
          </w:tcPr>
          <w:p w:rsidRPr="009C48DA" w:rsidR="008C06C3" w:rsidP="008C06C3" w:rsidRDefault="008C06C3" w14:paraId="7F04250B" w14:textId="77777777">
            <w:pPr>
              <w:pBdr>
                <w:bottom w:val="single" w:color="auto" w:sz="4" w:space="1"/>
              </w:pBdr>
              <w:jc w:val="right"/>
              <w:rPr>
                <w:sz w:val="17"/>
                <w:szCs w:val="17"/>
                <w:lang w:val="en-GB"/>
              </w:rPr>
            </w:pPr>
            <w:r w:rsidRPr="009C48DA">
              <w:rPr>
                <w:rFonts w:cs="Times New Roman"/>
                <w:sz w:val="17"/>
                <w:szCs w:val="17"/>
                <w:lang w:val="en-GB"/>
              </w:rPr>
              <w:t>—</w:t>
            </w:r>
          </w:p>
        </w:tc>
      </w:tr>
      <w:tr w:rsidRPr="009C48DA" w:rsidR="008C06C3" w:rsidTr="008C06C3" w14:paraId="624D956F" w14:textId="77777777">
        <w:trPr>
          <w:jc w:val="center"/>
        </w:trPr>
        <w:tc>
          <w:tcPr>
            <w:tcW w:w="1723" w:type="pct"/>
            <w:shd w:val="clear" w:color="auto" w:fill="auto"/>
            <w:vAlign w:val="bottom"/>
          </w:tcPr>
          <w:p w:rsidRPr="009C48DA" w:rsidR="008C06C3" w:rsidP="008C06C3" w:rsidRDefault="008C06C3" w14:paraId="7FC81AD7" w14:textId="04133C8C">
            <w:pPr>
              <w:tabs>
                <w:tab w:val="right" w:leader="dot" w:pos="5518"/>
              </w:tabs>
              <w:rPr>
                <w:rFonts w:cs="Times New Roman"/>
                <w:sz w:val="17"/>
                <w:szCs w:val="17"/>
                <w:lang w:val="en-GB"/>
              </w:rPr>
            </w:pPr>
            <w:r w:rsidRPr="009C48DA">
              <w:rPr>
                <w:rFonts w:cs="Times New Roman"/>
                <w:sz w:val="17"/>
                <w:szCs w:val="17"/>
                <w:lang w:val="en-GB"/>
              </w:rPr>
              <w:t>Interest received (non CLO)</w:t>
            </w:r>
            <w:r w:rsidRPr="009C48DA">
              <w:rPr>
                <w:sz w:val="17"/>
                <w:szCs w:val="17"/>
                <w:lang w:val="en-GB"/>
              </w:rPr>
              <w:tab/>
            </w:r>
          </w:p>
        </w:tc>
        <w:tc>
          <w:tcPr>
            <w:tcW w:w="681" w:type="pct"/>
            <w:vAlign w:val="bottom"/>
          </w:tcPr>
          <w:p w:rsidRPr="009C48DA" w:rsidR="008C06C3" w:rsidP="008C06C3" w:rsidRDefault="008C06C3" w14:paraId="3ABAAEE1" w14:textId="77777777">
            <w:pPr>
              <w:pBdr>
                <w:bottom w:val="single" w:color="auto" w:sz="4" w:space="1"/>
              </w:pBdr>
              <w:jc w:val="right"/>
              <w:rPr>
                <w:rFonts w:cs="Times New Roman"/>
                <w:sz w:val="17"/>
                <w:szCs w:val="17"/>
                <w:lang w:val="en-GB"/>
              </w:rPr>
            </w:pPr>
            <w:r w:rsidRPr="009C48DA">
              <w:rPr>
                <w:rFonts w:cs="Times New Roman"/>
                <w:sz w:val="17"/>
                <w:szCs w:val="17"/>
                <w:lang w:val="en-GB"/>
              </w:rPr>
              <w:t>4,128</w:t>
            </w:r>
          </w:p>
        </w:tc>
        <w:tc>
          <w:tcPr>
            <w:tcW w:w="590" w:type="pct"/>
            <w:vAlign w:val="bottom"/>
          </w:tcPr>
          <w:p w:rsidRPr="009C48DA" w:rsidR="008C06C3" w:rsidP="008C06C3" w:rsidRDefault="008C06C3" w14:paraId="26D3C27C" w14:textId="77777777">
            <w:pPr>
              <w:pBdr>
                <w:bottom w:val="single" w:color="auto" w:sz="4" w:space="1"/>
              </w:pBdr>
              <w:jc w:val="right"/>
              <w:rPr>
                <w:rFonts w:cs="Times New Roman"/>
                <w:sz w:val="17"/>
                <w:szCs w:val="17"/>
                <w:lang w:val="en-GB"/>
              </w:rPr>
            </w:pPr>
            <w:r w:rsidRPr="009C48DA">
              <w:rPr>
                <w:rFonts w:cs="Times New Roman"/>
                <w:sz w:val="17"/>
                <w:szCs w:val="17"/>
                <w:lang w:val="en-GB"/>
              </w:rPr>
              <w:t>3,009</w:t>
            </w:r>
          </w:p>
        </w:tc>
        <w:tc>
          <w:tcPr>
            <w:tcW w:w="751" w:type="pct"/>
            <w:vAlign w:val="bottom"/>
          </w:tcPr>
          <w:p w:rsidRPr="009C48DA" w:rsidR="008C06C3" w:rsidP="008C06C3" w:rsidRDefault="008C06C3" w14:paraId="24D8D33C" w14:textId="77777777">
            <w:pPr>
              <w:pBdr>
                <w:bottom w:val="single" w:color="auto" w:sz="4" w:space="1"/>
              </w:pBdr>
              <w:jc w:val="right"/>
              <w:rPr>
                <w:rFonts w:cs="Times New Roman"/>
                <w:sz w:val="17"/>
                <w:szCs w:val="17"/>
                <w:lang w:val="en-GB"/>
              </w:rPr>
            </w:pPr>
            <w:r w:rsidRPr="009C48DA">
              <w:rPr>
                <w:rFonts w:cs="Times New Roman"/>
                <w:sz w:val="17"/>
                <w:szCs w:val="17"/>
                <w:lang w:val="en-GB"/>
              </w:rPr>
              <w:t>—</w:t>
            </w:r>
          </w:p>
        </w:tc>
        <w:tc>
          <w:tcPr>
            <w:tcW w:w="678" w:type="pct"/>
            <w:vAlign w:val="bottom"/>
          </w:tcPr>
          <w:p w:rsidRPr="009C48DA" w:rsidR="008C06C3" w:rsidP="008C06C3" w:rsidRDefault="008C06C3" w14:paraId="2D2C6383" w14:textId="77777777">
            <w:pPr>
              <w:pBdr>
                <w:bottom w:val="single" w:color="auto" w:sz="4" w:space="1"/>
              </w:pBdr>
              <w:jc w:val="right"/>
              <w:rPr>
                <w:rFonts w:cs="Times New Roman"/>
                <w:sz w:val="17"/>
                <w:szCs w:val="17"/>
                <w:lang w:val="en-GB"/>
              </w:rPr>
            </w:pPr>
            <w:r w:rsidRPr="009C48DA">
              <w:rPr>
                <w:rFonts w:cs="Times New Roman"/>
                <w:sz w:val="17"/>
                <w:szCs w:val="17"/>
                <w:lang w:val="en-GB"/>
              </w:rPr>
              <w:t>—</w:t>
            </w:r>
          </w:p>
        </w:tc>
        <w:tc>
          <w:tcPr>
            <w:tcW w:w="577" w:type="pct"/>
            <w:vAlign w:val="bottom"/>
          </w:tcPr>
          <w:p w:rsidRPr="009C48DA" w:rsidR="008C06C3" w:rsidP="008C06C3" w:rsidRDefault="008C06C3" w14:paraId="1AF273B5" w14:textId="77777777">
            <w:pPr>
              <w:pBdr>
                <w:bottom w:val="single" w:color="auto" w:sz="4" w:space="1"/>
              </w:pBdr>
              <w:jc w:val="right"/>
              <w:rPr>
                <w:rFonts w:cs="Times New Roman"/>
                <w:sz w:val="17"/>
                <w:szCs w:val="17"/>
                <w:lang w:val="en-GB"/>
              </w:rPr>
            </w:pPr>
            <w:r w:rsidRPr="009C48DA">
              <w:rPr>
                <w:rFonts w:cs="Times New Roman"/>
                <w:sz w:val="17"/>
                <w:szCs w:val="17"/>
                <w:lang w:val="en-GB"/>
              </w:rPr>
              <w:t>—</w:t>
            </w:r>
          </w:p>
        </w:tc>
      </w:tr>
      <w:tr w:rsidRPr="009C48DA" w:rsidR="008C06C3" w:rsidTr="008C06C3" w14:paraId="17C1380F" w14:textId="77777777">
        <w:trPr>
          <w:jc w:val="center"/>
        </w:trPr>
        <w:tc>
          <w:tcPr>
            <w:tcW w:w="1723" w:type="pct"/>
            <w:shd w:val="clear" w:color="auto" w:fill="auto"/>
            <w:vAlign w:val="bottom"/>
          </w:tcPr>
          <w:p w:rsidRPr="009C48DA" w:rsidR="008C06C3" w:rsidP="008C06C3" w:rsidRDefault="008C06C3" w14:paraId="556AA362" w14:textId="77777777">
            <w:pPr>
              <w:tabs>
                <w:tab w:val="right" w:leader="dot" w:pos="5518"/>
              </w:tabs>
              <w:rPr>
                <w:rFonts w:cs="Times New Roman"/>
                <w:b/>
                <w:sz w:val="17"/>
                <w:szCs w:val="17"/>
                <w:lang w:val="en-GB"/>
              </w:rPr>
            </w:pPr>
            <w:r w:rsidRPr="009C48DA">
              <w:rPr>
                <w:rFonts w:cs="Times New Roman"/>
                <w:b/>
                <w:sz w:val="17"/>
                <w:szCs w:val="17"/>
                <w:lang w:val="en-GB"/>
              </w:rPr>
              <w:t>Net cash flows (used in) / from investing activities</w:t>
            </w:r>
            <w:r w:rsidRPr="009C48DA">
              <w:rPr>
                <w:sz w:val="17"/>
                <w:szCs w:val="17"/>
                <w:lang w:val="en-GB"/>
              </w:rPr>
              <w:tab/>
            </w:r>
          </w:p>
        </w:tc>
        <w:tc>
          <w:tcPr>
            <w:tcW w:w="681" w:type="pct"/>
            <w:vAlign w:val="bottom"/>
          </w:tcPr>
          <w:p w:rsidRPr="009C48DA" w:rsidR="008C06C3" w:rsidP="008C06C3" w:rsidRDefault="008C06C3" w14:paraId="770ABB31" w14:textId="1DA9DDC0">
            <w:pPr>
              <w:pBdr>
                <w:bottom w:val="single" w:color="auto" w:sz="4" w:space="1"/>
              </w:pBdr>
              <w:jc w:val="right"/>
              <w:rPr>
                <w:b/>
                <w:sz w:val="17"/>
                <w:szCs w:val="17"/>
                <w:lang w:val="en-GB"/>
              </w:rPr>
            </w:pPr>
            <w:r w:rsidRPr="009C48DA">
              <w:rPr>
                <w:b/>
                <w:sz w:val="17"/>
                <w:szCs w:val="17"/>
                <w:lang w:val="en-GB"/>
              </w:rPr>
              <w:t>(36,999)</w:t>
            </w:r>
          </w:p>
        </w:tc>
        <w:tc>
          <w:tcPr>
            <w:tcW w:w="590" w:type="pct"/>
            <w:vAlign w:val="bottom"/>
          </w:tcPr>
          <w:p w:rsidRPr="009C48DA" w:rsidR="008C06C3" w:rsidP="008C06C3" w:rsidRDefault="008C06C3" w14:paraId="71BC49C6" w14:textId="360303FC">
            <w:pPr>
              <w:pBdr>
                <w:bottom w:val="single" w:color="auto" w:sz="4" w:space="1"/>
              </w:pBdr>
              <w:jc w:val="right"/>
              <w:rPr>
                <w:b/>
                <w:sz w:val="17"/>
                <w:szCs w:val="17"/>
                <w:lang w:val="en-GB"/>
              </w:rPr>
            </w:pPr>
            <w:r w:rsidRPr="009C48DA">
              <w:rPr>
                <w:b/>
                <w:sz w:val="17"/>
                <w:szCs w:val="17"/>
                <w:lang w:val="en-GB"/>
              </w:rPr>
              <w:t>30,455</w:t>
            </w:r>
          </w:p>
        </w:tc>
        <w:tc>
          <w:tcPr>
            <w:tcW w:w="751" w:type="pct"/>
            <w:vAlign w:val="bottom"/>
          </w:tcPr>
          <w:p w:rsidRPr="009C48DA" w:rsidR="008C06C3" w:rsidP="008C06C3" w:rsidRDefault="008C06C3" w14:paraId="5F671E40" w14:textId="2CBCB48A">
            <w:pPr>
              <w:pBdr>
                <w:bottom w:val="single" w:color="auto" w:sz="4" w:space="1"/>
              </w:pBdr>
              <w:jc w:val="right"/>
              <w:rPr>
                <w:b/>
                <w:sz w:val="17"/>
                <w:szCs w:val="17"/>
                <w:lang w:val="en-GB"/>
              </w:rPr>
            </w:pPr>
            <w:r w:rsidRPr="009C48DA">
              <w:rPr>
                <w:b/>
                <w:sz w:val="17"/>
                <w:szCs w:val="17"/>
                <w:lang w:val="en-GB"/>
              </w:rPr>
              <w:t>(109,895)</w:t>
            </w:r>
          </w:p>
        </w:tc>
        <w:tc>
          <w:tcPr>
            <w:tcW w:w="678" w:type="pct"/>
            <w:vAlign w:val="bottom"/>
          </w:tcPr>
          <w:p w:rsidRPr="009C48DA" w:rsidR="008C06C3" w:rsidP="008C06C3" w:rsidRDefault="008C06C3" w14:paraId="120057B1" w14:textId="77777777">
            <w:pPr>
              <w:pBdr>
                <w:bottom w:val="single" w:color="auto" w:sz="4" w:space="1"/>
              </w:pBdr>
              <w:jc w:val="right"/>
              <w:rPr>
                <w:b/>
                <w:sz w:val="17"/>
                <w:szCs w:val="17"/>
                <w:lang w:val="en-GB"/>
              </w:rPr>
            </w:pPr>
            <w:r w:rsidRPr="009C48DA">
              <w:rPr>
                <w:b/>
                <w:sz w:val="17"/>
                <w:szCs w:val="17"/>
                <w:lang w:val="en-GB"/>
              </w:rPr>
              <w:t>(3,990)</w:t>
            </w:r>
          </w:p>
        </w:tc>
        <w:tc>
          <w:tcPr>
            <w:tcW w:w="577" w:type="pct"/>
            <w:vAlign w:val="bottom"/>
          </w:tcPr>
          <w:p w:rsidRPr="009C48DA" w:rsidR="008C06C3" w:rsidP="008C06C3" w:rsidRDefault="008C06C3" w14:paraId="3230DDFE" w14:textId="5E66CB60">
            <w:pPr>
              <w:pBdr>
                <w:bottom w:val="single" w:color="auto" w:sz="4" w:space="1"/>
              </w:pBdr>
              <w:jc w:val="right"/>
              <w:rPr>
                <w:b/>
                <w:sz w:val="17"/>
                <w:szCs w:val="17"/>
                <w:lang w:val="en-GB"/>
              </w:rPr>
            </w:pPr>
            <w:r w:rsidRPr="009C48DA">
              <w:rPr>
                <w:b/>
                <w:sz w:val="17"/>
                <w:szCs w:val="17"/>
                <w:lang w:val="en-GB"/>
              </w:rPr>
              <w:t>(72,097)</w:t>
            </w:r>
          </w:p>
        </w:tc>
      </w:tr>
      <w:tr w:rsidRPr="009C48DA" w:rsidR="008C06C3" w:rsidTr="008C06C3" w14:paraId="7919E6B5" w14:textId="77777777">
        <w:trPr>
          <w:jc w:val="center"/>
        </w:trPr>
        <w:tc>
          <w:tcPr>
            <w:tcW w:w="1723" w:type="pct"/>
            <w:shd w:val="clear" w:color="auto" w:fill="auto"/>
            <w:vAlign w:val="bottom"/>
          </w:tcPr>
          <w:p w:rsidRPr="009C48DA" w:rsidR="008C06C3" w:rsidP="008C06C3" w:rsidRDefault="008C06C3" w14:paraId="6A9068AB" w14:textId="77777777">
            <w:pPr>
              <w:tabs>
                <w:tab w:val="right" w:leader="dot" w:pos="5518"/>
              </w:tabs>
              <w:rPr>
                <w:rFonts w:cs="Times New Roman"/>
                <w:sz w:val="17"/>
                <w:szCs w:val="17"/>
                <w:lang w:val="en-GB"/>
              </w:rPr>
            </w:pPr>
          </w:p>
        </w:tc>
        <w:tc>
          <w:tcPr>
            <w:tcW w:w="681" w:type="pct"/>
            <w:vAlign w:val="bottom"/>
          </w:tcPr>
          <w:p w:rsidRPr="009C48DA" w:rsidR="008C06C3" w:rsidP="008C06C3" w:rsidRDefault="008C06C3" w14:paraId="410C646D" w14:textId="77777777">
            <w:pPr>
              <w:jc w:val="right"/>
              <w:rPr>
                <w:sz w:val="17"/>
                <w:szCs w:val="17"/>
                <w:lang w:val="en-GB"/>
              </w:rPr>
            </w:pPr>
          </w:p>
        </w:tc>
        <w:tc>
          <w:tcPr>
            <w:tcW w:w="590" w:type="pct"/>
            <w:vAlign w:val="bottom"/>
          </w:tcPr>
          <w:p w:rsidRPr="009C48DA" w:rsidR="008C06C3" w:rsidP="008C06C3" w:rsidRDefault="008C06C3" w14:paraId="1375908D" w14:textId="77777777">
            <w:pPr>
              <w:jc w:val="right"/>
              <w:rPr>
                <w:sz w:val="17"/>
                <w:szCs w:val="17"/>
                <w:lang w:val="en-GB"/>
              </w:rPr>
            </w:pPr>
          </w:p>
        </w:tc>
        <w:tc>
          <w:tcPr>
            <w:tcW w:w="751" w:type="pct"/>
            <w:vAlign w:val="bottom"/>
          </w:tcPr>
          <w:p w:rsidRPr="009C48DA" w:rsidR="008C06C3" w:rsidP="008C06C3" w:rsidRDefault="008C06C3" w14:paraId="20373ABB" w14:textId="77777777">
            <w:pPr>
              <w:jc w:val="right"/>
              <w:rPr>
                <w:sz w:val="17"/>
                <w:szCs w:val="17"/>
                <w:lang w:val="en-GB"/>
              </w:rPr>
            </w:pPr>
          </w:p>
        </w:tc>
        <w:tc>
          <w:tcPr>
            <w:tcW w:w="678" w:type="pct"/>
            <w:vAlign w:val="bottom"/>
          </w:tcPr>
          <w:p w:rsidRPr="009C48DA" w:rsidR="008C06C3" w:rsidP="008C06C3" w:rsidRDefault="008C06C3" w14:paraId="01D4D2AE" w14:textId="77777777">
            <w:pPr>
              <w:jc w:val="right"/>
              <w:rPr>
                <w:sz w:val="17"/>
                <w:szCs w:val="17"/>
                <w:lang w:val="en-GB"/>
              </w:rPr>
            </w:pPr>
          </w:p>
        </w:tc>
        <w:tc>
          <w:tcPr>
            <w:tcW w:w="577" w:type="pct"/>
            <w:vAlign w:val="bottom"/>
          </w:tcPr>
          <w:p w:rsidRPr="009C48DA" w:rsidR="008C06C3" w:rsidP="008C06C3" w:rsidRDefault="008C06C3" w14:paraId="5CA32045" w14:textId="77777777">
            <w:pPr>
              <w:jc w:val="right"/>
              <w:rPr>
                <w:sz w:val="17"/>
                <w:szCs w:val="17"/>
                <w:lang w:val="en-GB"/>
              </w:rPr>
            </w:pPr>
          </w:p>
        </w:tc>
      </w:tr>
      <w:tr w:rsidRPr="009C48DA" w:rsidR="008C06C3" w:rsidTr="008C06C3" w14:paraId="2C6793A2" w14:textId="77777777">
        <w:trPr>
          <w:jc w:val="center"/>
        </w:trPr>
        <w:tc>
          <w:tcPr>
            <w:tcW w:w="1723" w:type="pct"/>
            <w:shd w:val="clear" w:color="auto" w:fill="auto"/>
            <w:vAlign w:val="bottom"/>
          </w:tcPr>
          <w:p w:rsidRPr="009C48DA" w:rsidR="008C06C3" w:rsidP="008C06C3" w:rsidRDefault="008C06C3" w14:paraId="71B4B752" w14:textId="77777777">
            <w:pPr>
              <w:tabs>
                <w:tab w:val="right" w:leader="dot" w:pos="5518"/>
              </w:tabs>
              <w:rPr>
                <w:rFonts w:cs="Times New Roman"/>
                <w:b/>
                <w:sz w:val="17"/>
                <w:szCs w:val="17"/>
                <w:lang w:val="en-GB"/>
              </w:rPr>
            </w:pPr>
            <w:r w:rsidRPr="009C48DA">
              <w:rPr>
                <w:rFonts w:cs="Times New Roman"/>
                <w:b/>
                <w:sz w:val="17"/>
                <w:szCs w:val="17"/>
                <w:lang w:val="en-GB"/>
              </w:rPr>
              <w:t>Cash flow from financing activities</w:t>
            </w:r>
          </w:p>
        </w:tc>
        <w:tc>
          <w:tcPr>
            <w:tcW w:w="681" w:type="pct"/>
            <w:vAlign w:val="bottom"/>
          </w:tcPr>
          <w:p w:rsidRPr="009C48DA" w:rsidR="008C06C3" w:rsidP="008C06C3" w:rsidRDefault="008C06C3" w14:paraId="3CE9B183" w14:textId="77777777">
            <w:pPr>
              <w:jc w:val="right"/>
              <w:rPr>
                <w:sz w:val="17"/>
                <w:szCs w:val="17"/>
                <w:lang w:val="en-GB"/>
              </w:rPr>
            </w:pPr>
          </w:p>
        </w:tc>
        <w:tc>
          <w:tcPr>
            <w:tcW w:w="590" w:type="pct"/>
            <w:vAlign w:val="bottom"/>
          </w:tcPr>
          <w:p w:rsidRPr="009C48DA" w:rsidR="008C06C3" w:rsidP="008C06C3" w:rsidRDefault="008C06C3" w14:paraId="6C4BB7A4" w14:textId="77777777">
            <w:pPr>
              <w:jc w:val="right"/>
              <w:rPr>
                <w:sz w:val="17"/>
                <w:szCs w:val="17"/>
                <w:lang w:val="en-GB"/>
              </w:rPr>
            </w:pPr>
          </w:p>
        </w:tc>
        <w:tc>
          <w:tcPr>
            <w:tcW w:w="751" w:type="pct"/>
            <w:vAlign w:val="bottom"/>
          </w:tcPr>
          <w:p w:rsidRPr="009C48DA" w:rsidR="008C06C3" w:rsidP="008C06C3" w:rsidRDefault="008C06C3" w14:paraId="2FD1129A" w14:textId="77777777">
            <w:pPr>
              <w:jc w:val="right"/>
              <w:rPr>
                <w:sz w:val="17"/>
                <w:szCs w:val="17"/>
                <w:lang w:val="en-GB"/>
              </w:rPr>
            </w:pPr>
          </w:p>
        </w:tc>
        <w:tc>
          <w:tcPr>
            <w:tcW w:w="678" w:type="pct"/>
            <w:vAlign w:val="bottom"/>
          </w:tcPr>
          <w:p w:rsidRPr="009C48DA" w:rsidR="008C06C3" w:rsidP="008C06C3" w:rsidRDefault="008C06C3" w14:paraId="02C379E3" w14:textId="77777777">
            <w:pPr>
              <w:jc w:val="right"/>
              <w:rPr>
                <w:sz w:val="17"/>
                <w:szCs w:val="17"/>
                <w:lang w:val="en-GB"/>
              </w:rPr>
            </w:pPr>
          </w:p>
        </w:tc>
        <w:tc>
          <w:tcPr>
            <w:tcW w:w="577" w:type="pct"/>
            <w:vAlign w:val="bottom"/>
          </w:tcPr>
          <w:p w:rsidRPr="009C48DA" w:rsidR="008C06C3" w:rsidP="008C06C3" w:rsidRDefault="008C06C3" w14:paraId="2027A813" w14:textId="77777777">
            <w:pPr>
              <w:jc w:val="right"/>
              <w:rPr>
                <w:sz w:val="17"/>
                <w:szCs w:val="17"/>
                <w:lang w:val="en-GB"/>
              </w:rPr>
            </w:pPr>
          </w:p>
        </w:tc>
      </w:tr>
      <w:tr w:rsidRPr="009C48DA" w:rsidR="008C06C3" w:rsidTr="008C06C3" w14:paraId="5D4B46C0" w14:textId="77777777">
        <w:trPr>
          <w:jc w:val="center"/>
        </w:trPr>
        <w:tc>
          <w:tcPr>
            <w:tcW w:w="1723" w:type="pct"/>
            <w:shd w:val="clear" w:color="auto" w:fill="auto"/>
            <w:vAlign w:val="bottom"/>
          </w:tcPr>
          <w:p w:rsidRPr="009C48DA" w:rsidR="008C06C3" w:rsidP="008C06C3" w:rsidRDefault="008C06C3" w14:paraId="1C977735" w14:textId="77777777">
            <w:pPr>
              <w:tabs>
                <w:tab w:val="right" w:leader="dot" w:pos="5518"/>
              </w:tabs>
              <w:rPr>
                <w:rFonts w:cs="Times New Roman"/>
                <w:sz w:val="17"/>
                <w:szCs w:val="17"/>
                <w:lang w:val="en-GB"/>
              </w:rPr>
            </w:pPr>
            <w:r w:rsidRPr="009C48DA">
              <w:rPr>
                <w:rFonts w:cs="Times New Roman"/>
                <w:sz w:val="17"/>
                <w:szCs w:val="17"/>
                <w:lang w:val="en-GB"/>
              </w:rPr>
              <w:t>Receipt from non-controlling interest</w:t>
            </w:r>
            <w:r w:rsidRPr="009C48DA">
              <w:rPr>
                <w:sz w:val="17"/>
                <w:szCs w:val="17"/>
                <w:lang w:val="en-GB"/>
              </w:rPr>
              <w:tab/>
            </w:r>
          </w:p>
        </w:tc>
        <w:tc>
          <w:tcPr>
            <w:tcW w:w="681" w:type="pct"/>
            <w:vAlign w:val="bottom"/>
          </w:tcPr>
          <w:p w:rsidRPr="009C48DA" w:rsidR="008C06C3" w:rsidP="008C06C3" w:rsidRDefault="008C06C3" w14:paraId="79C4FF6C" w14:textId="77777777">
            <w:pPr>
              <w:jc w:val="right"/>
              <w:rPr>
                <w:sz w:val="17"/>
                <w:szCs w:val="17"/>
                <w:lang w:val="en-GB"/>
              </w:rPr>
            </w:pPr>
            <w:r w:rsidRPr="009C48DA">
              <w:rPr>
                <w:sz w:val="17"/>
                <w:szCs w:val="17"/>
                <w:lang w:val="en-GB"/>
              </w:rPr>
              <w:t>142,283</w:t>
            </w:r>
          </w:p>
        </w:tc>
        <w:tc>
          <w:tcPr>
            <w:tcW w:w="590" w:type="pct"/>
            <w:vAlign w:val="bottom"/>
          </w:tcPr>
          <w:p w:rsidRPr="009C48DA" w:rsidR="008C06C3" w:rsidP="008C06C3" w:rsidRDefault="008C06C3" w14:paraId="1587C3E7" w14:textId="77777777">
            <w:pPr>
              <w:jc w:val="right"/>
              <w:rPr>
                <w:sz w:val="17"/>
                <w:szCs w:val="17"/>
                <w:lang w:val="en-GB"/>
              </w:rPr>
            </w:pPr>
            <w:r w:rsidRPr="009C48DA">
              <w:rPr>
                <w:rFonts w:cs="Times New Roman"/>
                <w:sz w:val="17"/>
                <w:szCs w:val="17"/>
                <w:lang w:val="en-GB"/>
              </w:rPr>
              <w:t>—</w:t>
            </w:r>
          </w:p>
        </w:tc>
        <w:tc>
          <w:tcPr>
            <w:tcW w:w="751" w:type="pct"/>
            <w:vAlign w:val="bottom"/>
          </w:tcPr>
          <w:p w:rsidRPr="009C48DA" w:rsidR="008C06C3" w:rsidP="008C06C3" w:rsidRDefault="008C06C3" w14:paraId="14733D87" w14:textId="77777777">
            <w:pPr>
              <w:jc w:val="right"/>
              <w:rPr>
                <w:sz w:val="17"/>
                <w:szCs w:val="17"/>
                <w:lang w:val="en-GB"/>
              </w:rPr>
            </w:pPr>
            <w:r w:rsidRPr="009C48DA">
              <w:rPr>
                <w:sz w:val="17"/>
                <w:szCs w:val="17"/>
                <w:lang w:val="en-GB"/>
              </w:rPr>
              <w:t>71,400</w:t>
            </w:r>
          </w:p>
        </w:tc>
        <w:tc>
          <w:tcPr>
            <w:tcW w:w="678" w:type="pct"/>
            <w:vAlign w:val="bottom"/>
          </w:tcPr>
          <w:p w:rsidRPr="009C48DA" w:rsidR="008C06C3" w:rsidP="008C06C3" w:rsidRDefault="008C06C3" w14:paraId="240C17E5" w14:textId="77777777">
            <w:pPr>
              <w:jc w:val="right"/>
              <w:rPr>
                <w:sz w:val="17"/>
                <w:szCs w:val="17"/>
                <w:lang w:val="en-GB"/>
              </w:rPr>
            </w:pPr>
            <w:r w:rsidRPr="009C48DA">
              <w:rPr>
                <w:rFonts w:cs="Times New Roman"/>
                <w:sz w:val="17"/>
                <w:szCs w:val="17"/>
                <w:lang w:val="en-GB"/>
              </w:rPr>
              <w:t>—</w:t>
            </w:r>
          </w:p>
        </w:tc>
        <w:tc>
          <w:tcPr>
            <w:tcW w:w="577" w:type="pct"/>
            <w:vAlign w:val="bottom"/>
          </w:tcPr>
          <w:p w:rsidRPr="009C48DA" w:rsidR="008C06C3" w:rsidP="008C06C3" w:rsidRDefault="008C06C3" w14:paraId="7EFD7A57" w14:textId="77777777">
            <w:pPr>
              <w:jc w:val="right"/>
              <w:rPr>
                <w:sz w:val="17"/>
                <w:szCs w:val="17"/>
                <w:lang w:val="en-GB"/>
              </w:rPr>
            </w:pPr>
            <w:r w:rsidRPr="009C48DA">
              <w:rPr>
                <w:rFonts w:cs="Times New Roman"/>
                <w:sz w:val="17"/>
                <w:szCs w:val="17"/>
                <w:lang w:val="en-GB"/>
              </w:rPr>
              <w:t>—</w:t>
            </w:r>
          </w:p>
        </w:tc>
      </w:tr>
      <w:tr w:rsidRPr="009C48DA" w:rsidR="008C06C3" w:rsidTr="008C06C3" w14:paraId="62E8474D" w14:textId="77777777">
        <w:trPr>
          <w:jc w:val="center"/>
        </w:trPr>
        <w:tc>
          <w:tcPr>
            <w:tcW w:w="1723" w:type="pct"/>
            <w:shd w:val="clear" w:color="auto" w:fill="auto"/>
            <w:vAlign w:val="bottom"/>
          </w:tcPr>
          <w:p w:rsidRPr="009C48DA" w:rsidR="008C06C3" w:rsidP="008C06C3" w:rsidRDefault="008C06C3" w14:paraId="2BE62A5D" w14:textId="77777777">
            <w:pPr>
              <w:tabs>
                <w:tab w:val="right" w:leader="dot" w:pos="5518"/>
              </w:tabs>
              <w:rPr>
                <w:rFonts w:cs="Times New Roman"/>
                <w:sz w:val="17"/>
                <w:szCs w:val="17"/>
                <w:lang w:val="en-GB"/>
              </w:rPr>
            </w:pPr>
            <w:r w:rsidRPr="009C48DA">
              <w:rPr>
                <w:rFonts w:cs="Times New Roman"/>
                <w:sz w:val="17"/>
                <w:szCs w:val="17"/>
                <w:lang w:val="en-GB"/>
              </w:rPr>
              <w:t>Proceeds from issue of shares</w:t>
            </w:r>
            <w:r w:rsidRPr="009C48DA">
              <w:rPr>
                <w:sz w:val="17"/>
                <w:szCs w:val="17"/>
                <w:lang w:val="en-GB"/>
              </w:rPr>
              <w:tab/>
            </w:r>
          </w:p>
        </w:tc>
        <w:tc>
          <w:tcPr>
            <w:tcW w:w="681" w:type="pct"/>
            <w:vAlign w:val="bottom"/>
          </w:tcPr>
          <w:p w:rsidRPr="009C48DA" w:rsidR="008C06C3" w:rsidP="008C06C3" w:rsidRDefault="008C06C3" w14:paraId="37F3F9DE" w14:textId="77777777">
            <w:pPr>
              <w:jc w:val="right"/>
              <w:rPr>
                <w:sz w:val="17"/>
                <w:szCs w:val="17"/>
                <w:lang w:val="en-GB"/>
              </w:rPr>
            </w:pPr>
            <w:r w:rsidRPr="009C48DA">
              <w:rPr>
                <w:rFonts w:cs="Times New Roman"/>
                <w:sz w:val="17"/>
                <w:szCs w:val="17"/>
                <w:lang w:val="en-GB"/>
              </w:rPr>
              <w:t>—</w:t>
            </w:r>
          </w:p>
        </w:tc>
        <w:tc>
          <w:tcPr>
            <w:tcW w:w="590" w:type="pct"/>
            <w:vAlign w:val="bottom"/>
          </w:tcPr>
          <w:p w:rsidRPr="009C48DA" w:rsidR="008C06C3" w:rsidP="008C06C3" w:rsidRDefault="008C06C3" w14:paraId="25C58973" w14:textId="77777777">
            <w:pPr>
              <w:jc w:val="right"/>
              <w:rPr>
                <w:sz w:val="17"/>
                <w:szCs w:val="17"/>
                <w:lang w:val="en-GB"/>
              </w:rPr>
            </w:pPr>
            <w:r w:rsidRPr="009C48DA">
              <w:rPr>
                <w:sz w:val="17"/>
                <w:szCs w:val="17"/>
                <w:lang w:val="en-GB"/>
              </w:rPr>
              <w:t>552</w:t>
            </w:r>
          </w:p>
        </w:tc>
        <w:tc>
          <w:tcPr>
            <w:tcW w:w="751" w:type="pct"/>
            <w:vAlign w:val="bottom"/>
          </w:tcPr>
          <w:p w:rsidRPr="009C48DA" w:rsidR="008C06C3" w:rsidP="008C06C3" w:rsidRDefault="008C06C3" w14:paraId="2636C56A" w14:textId="77777777">
            <w:pPr>
              <w:jc w:val="right"/>
              <w:rPr>
                <w:sz w:val="17"/>
                <w:szCs w:val="17"/>
                <w:lang w:val="en-GB"/>
              </w:rPr>
            </w:pPr>
            <w:r w:rsidRPr="009C48DA">
              <w:rPr>
                <w:rFonts w:cs="Times New Roman"/>
                <w:sz w:val="17"/>
                <w:szCs w:val="17"/>
                <w:lang w:val="en-GB"/>
              </w:rPr>
              <w:t>—</w:t>
            </w:r>
          </w:p>
        </w:tc>
        <w:tc>
          <w:tcPr>
            <w:tcW w:w="678" w:type="pct"/>
            <w:vAlign w:val="bottom"/>
          </w:tcPr>
          <w:p w:rsidRPr="009C48DA" w:rsidR="008C06C3" w:rsidP="008C06C3" w:rsidRDefault="008C06C3" w14:paraId="1E4035AC" w14:textId="77777777">
            <w:pPr>
              <w:jc w:val="right"/>
              <w:rPr>
                <w:sz w:val="17"/>
                <w:szCs w:val="17"/>
                <w:lang w:val="en-GB"/>
              </w:rPr>
            </w:pPr>
            <w:r w:rsidRPr="009C48DA">
              <w:rPr>
                <w:rFonts w:cs="Times New Roman"/>
                <w:sz w:val="17"/>
                <w:szCs w:val="17"/>
                <w:lang w:val="en-GB"/>
              </w:rPr>
              <w:t>—</w:t>
            </w:r>
          </w:p>
        </w:tc>
        <w:tc>
          <w:tcPr>
            <w:tcW w:w="577" w:type="pct"/>
            <w:vAlign w:val="bottom"/>
          </w:tcPr>
          <w:p w:rsidRPr="009C48DA" w:rsidR="008C06C3" w:rsidP="008C06C3" w:rsidRDefault="008C06C3" w14:paraId="2057C9E0" w14:textId="77777777">
            <w:pPr>
              <w:jc w:val="right"/>
              <w:rPr>
                <w:sz w:val="17"/>
                <w:szCs w:val="17"/>
                <w:lang w:val="en-GB"/>
              </w:rPr>
            </w:pPr>
            <w:r w:rsidRPr="009C48DA">
              <w:rPr>
                <w:rFonts w:cs="Times New Roman"/>
                <w:sz w:val="17"/>
                <w:szCs w:val="17"/>
                <w:lang w:val="en-GB"/>
              </w:rPr>
              <w:t>—</w:t>
            </w:r>
          </w:p>
        </w:tc>
      </w:tr>
      <w:tr w:rsidRPr="009C48DA" w:rsidR="008C06C3" w:rsidTr="008C06C3" w14:paraId="04B38AFB" w14:textId="77777777">
        <w:trPr>
          <w:jc w:val="center"/>
        </w:trPr>
        <w:tc>
          <w:tcPr>
            <w:tcW w:w="1723" w:type="pct"/>
            <w:shd w:val="clear" w:color="auto" w:fill="auto"/>
            <w:vAlign w:val="bottom"/>
          </w:tcPr>
          <w:p w:rsidRPr="009C48DA" w:rsidR="008C06C3" w:rsidP="008C06C3" w:rsidRDefault="008C06C3" w14:paraId="04044645" w14:textId="77777777">
            <w:pPr>
              <w:tabs>
                <w:tab w:val="right" w:leader="dot" w:pos="5518"/>
              </w:tabs>
              <w:rPr>
                <w:rFonts w:cs="Times New Roman"/>
                <w:sz w:val="17"/>
                <w:szCs w:val="17"/>
                <w:lang w:val="en-GB"/>
              </w:rPr>
            </w:pPr>
            <w:r w:rsidRPr="009C48DA">
              <w:rPr>
                <w:rFonts w:cs="Times New Roman"/>
                <w:sz w:val="17"/>
                <w:szCs w:val="17"/>
                <w:lang w:val="en-GB"/>
              </w:rPr>
              <w:t>B share redemption/cancellation</w:t>
            </w:r>
            <w:r w:rsidRPr="009C48DA">
              <w:rPr>
                <w:sz w:val="17"/>
                <w:szCs w:val="17"/>
                <w:lang w:val="en-GB"/>
              </w:rPr>
              <w:tab/>
            </w:r>
          </w:p>
        </w:tc>
        <w:tc>
          <w:tcPr>
            <w:tcW w:w="681" w:type="pct"/>
            <w:vAlign w:val="bottom"/>
          </w:tcPr>
          <w:p w:rsidRPr="009C48DA" w:rsidR="008C06C3" w:rsidP="008C06C3" w:rsidRDefault="008C06C3" w14:paraId="33086AC2" w14:textId="77777777">
            <w:pPr>
              <w:jc w:val="right"/>
              <w:rPr>
                <w:sz w:val="17"/>
                <w:szCs w:val="17"/>
                <w:lang w:val="en-GB"/>
              </w:rPr>
            </w:pPr>
            <w:r w:rsidRPr="009C48DA">
              <w:rPr>
                <w:sz w:val="17"/>
                <w:szCs w:val="17"/>
                <w:lang w:val="en-GB"/>
              </w:rPr>
              <w:t>(161,530)</w:t>
            </w:r>
          </w:p>
        </w:tc>
        <w:tc>
          <w:tcPr>
            <w:tcW w:w="590" w:type="pct"/>
            <w:vAlign w:val="bottom"/>
          </w:tcPr>
          <w:p w:rsidRPr="009C48DA" w:rsidR="008C06C3" w:rsidP="008C06C3" w:rsidRDefault="008C06C3" w14:paraId="64F455F6" w14:textId="77777777">
            <w:pPr>
              <w:jc w:val="right"/>
              <w:rPr>
                <w:sz w:val="17"/>
                <w:szCs w:val="17"/>
                <w:lang w:val="en-GB"/>
              </w:rPr>
            </w:pPr>
            <w:r w:rsidRPr="009C48DA">
              <w:rPr>
                <w:rFonts w:cs="Times New Roman"/>
                <w:sz w:val="17"/>
                <w:szCs w:val="17"/>
                <w:lang w:val="en-GB"/>
              </w:rPr>
              <w:t>—</w:t>
            </w:r>
          </w:p>
        </w:tc>
        <w:tc>
          <w:tcPr>
            <w:tcW w:w="751" w:type="pct"/>
            <w:vAlign w:val="bottom"/>
          </w:tcPr>
          <w:p w:rsidRPr="009C48DA" w:rsidR="008C06C3" w:rsidP="008C06C3" w:rsidRDefault="008C06C3" w14:paraId="0C92B522" w14:textId="77777777">
            <w:pPr>
              <w:jc w:val="right"/>
              <w:rPr>
                <w:sz w:val="17"/>
                <w:szCs w:val="17"/>
                <w:lang w:val="en-GB"/>
              </w:rPr>
            </w:pPr>
            <w:r w:rsidRPr="009C48DA">
              <w:rPr>
                <w:rFonts w:cs="Times New Roman"/>
                <w:sz w:val="17"/>
                <w:szCs w:val="17"/>
                <w:lang w:val="en-GB"/>
              </w:rPr>
              <w:t>—</w:t>
            </w:r>
          </w:p>
        </w:tc>
        <w:tc>
          <w:tcPr>
            <w:tcW w:w="678" w:type="pct"/>
            <w:vAlign w:val="bottom"/>
          </w:tcPr>
          <w:p w:rsidRPr="009C48DA" w:rsidR="008C06C3" w:rsidP="008C06C3" w:rsidRDefault="008C06C3" w14:paraId="733B8901" w14:textId="77777777">
            <w:pPr>
              <w:jc w:val="right"/>
              <w:rPr>
                <w:sz w:val="17"/>
                <w:szCs w:val="17"/>
                <w:lang w:val="en-GB"/>
              </w:rPr>
            </w:pPr>
            <w:r w:rsidRPr="009C48DA">
              <w:rPr>
                <w:rFonts w:cs="Times New Roman"/>
                <w:sz w:val="17"/>
                <w:szCs w:val="17"/>
                <w:lang w:val="en-GB"/>
              </w:rPr>
              <w:t>—</w:t>
            </w:r>
          </w:p>
        </w:tc>
        <w:tc>
          <w:tcPr>
            <w:tcW w:w="577" w:type="pct"/>
            <w:vAlign w:val="bottom"/>
          </w:tcPr>
          <w:p w:rsidRPr="009C48DA" w:rsidR="008C06C3" w:rsidP="008C06C3" w:rsidRDefault="008C06C3" w14:paraId="4E03D948" w14:textId="77777777">
            <w:pPr>
              <w:jc w:val="right"/>
              <w:rPr>
                <w:sz w:val="17"/>
                <w:szCs w:val="17"/>
                <w:lang w:val="en-GB"/>
              </w:rPr>
            </w:pPr>
            <w:r w:rsidRPr="009C48DA">
              <w:rPr>
                <w:rFonts w:cs="Times New Roman"/>
                <w:sz w:val="17"/>
                <w:szCs w:val="17"/>
                <w:lang w:val="en-GB"/>
              </w:rPr>
              <w:t>—</w:t>
            </w:r>
          </w:p>
        </w:tc>
      </w:tr>
      <w:tr w:rsidRPr="009C48DA" w:rsidR="008C06C3" w:rsidTr="008C06C3" w14:paraId="5AD2C03C" w14:textId="77777777">
        <w:trPr>
          <w:jc w:val="center"/>
        </w:trPr>
        <w:tc>
          <w:tcPr>
            <w:tcW w:w="1723" w:type="pct"/>
            <w:shd w:val="clear" w:color="auto" w:fill="auto"/>
            <w:vAlign w:val="bottom"/>
          </w:tcPr>
          <w:p w:rsidRPr="009C48DA" w:rsidR="008C06C3" w:rsidDel="00724868" w:rsidP="008C06C3" w:rsidRDefault="008C06C3" w14:paraId="76E78144" w14:textId="77777777">
            <w:pPr>
              <w:tabs>
                <w:tab w:val="right" w:leader="dot" w:pos="5518"/>
              </w:tabs>
              <w:rPr>
                <w:rFonts w:cs="Times New Roman"/>
                <w:sz w:val="17"/>
                <w:szCs w:val="17"/>
                <w:lang w:val="en-GB"/>
              </w:rPr>
            </w:pPr>
            <w:r w:rsidRPr="009C48DA">
              <w:rPr>
                <w:rFonts w:cs="Times New Roman"/>
                <w:sz w:val="17"/>
                <w:szCs w:val="17"/>
                <w:lang w:val="en-GB"/>
              </w:rPr>
              <w:t>Dividends paid to shareholders of the Company</w:t>
            </w:r>
            <w:r w:rsidRPr="009C48DA">
              <w:rPr>
                <w:sz w:val="17"/>
                <w:szCs w:val="17"/>
                <w:lang w:val="en-GB"/>
              </w:rPr>
              <w:tab/>
            </w:r>
          </w:p>
        </w:tc>
        <w:tc>
          <w:tcPr>
            <w:tcW w:w="681" w:type="pct"/>
            <w:vAlign w:val="bottom"/>
          </w:tcPr>
          <w:p w:rsidRPr="009C48DA" w:rsidR="008C06C3" w:rsidP="008C06C3" w:rsidRDefault="008C06C3" w14:paraId="2A5715D9" w14:textId="77777777">
            <w:pPr>
              <w:jc w:val="right"/>
              <w:rPr>
                <w:sz w:val="17"/>
                <w:szCs w:val="17"/>
                <w:lang w:val="en-GB"/>
              </w:rPr>
            </w:pPr>
            <w:r w:rsidRPr="009C48DA">
              <w:rPr>
                <w:rFonts w:cs="Times New Roman"/>
                <w:sz w:val="17"/>
                <w:szCs w:val="17"/>
                <w:lang w:val="en-GB"/>
              </w:rPr>
              <w:t>—</w:t>
            </w:r>
          </w:p>
        </w:tc>
        <w:tc>
          <w:tcPr>
            <w:tcW w:w="590" w:type="pct"/>
            <w:vAlign w:val="bottom"/>
          </w:tcPr>
          <w:p w:rsidRPr="009C48DA" w:rsidR="008C06C3" w:rsidP="008C06C3" w:rsidRDefault="008C06C3" w14:paraId="69EE0151" w14:textId="77777777">
            <w:pPr>
              <w:jc w:val="right"/>
              <w:rPr>
                <w:rFonts w:cs="Times New Roman"/>
                <w:sz w:val="17"/>
                <w:szCs w:val="17"/>
                <w:lang w:val="en-GB"/>
              </w:rPr>
            </w:pPr>
            <w:r w:rsidRPr="009C48DA">
              <w:rPr>
                <w:sz w:val="17"/>
                <w:szCs w:val="17"/>
                <w:lang w:val="en-GB"/>
              </w:rPr>
              <w:t>(6,584)</w:t>
            </w:r>
          </w:p>
        </w:tc>
        <w:tc>
          <w:tcPr>
            <w:tcW w:w="751" w:type="pct"/>
            <w:vAlign w:val="bottom"/>
          </w:tcPr>
          <w:p w:rsidRPr="009C48DA" w:rsidR="008C06C3" w:rsidP="008C06C3" w:rsidRDefault="008C06C3" w14:paraId="6AB5784F" w14:textId="77777777">
            <w:pPr>
              <w:jc w:val="right"/>
              <w:rPr>
                <w:rFonts w:cs="Times New Roman"/>
                <w:sz w:val="17"/>
                <w:szCs w:val="17"/>
                <w:lang w:val="en-GB"/>
              </w:rPr>
            </w:pPr>
            <w:r w:rsidRPr="009C48DA">
              <w:rPr>
                <w:sz w:val="17"/>
                <w:szCs w:val="17"/>
                <w:lang w:val="en-GB"/>
              </w:rPr>
              <w:t>(6,522)</w:t>
            </w:r>
          </w:p>
        </w:tc>
        <w:tc>
          <w:tcPr>
            <w:tcW w:w="678" w:type="pct"/>
            <w:vAlign w:val="bottom"/>
          </w:tcPr>
          <w:p w:rsidRPr="009C48DA" w:rsidR="008C06C3" w:rsidP="008C06C3" w:rsidRDefault="008C06C3" w14:paraId="4ED56084" w14:textId="77777777">
            <w:pPr>
              <w:jc w:val="right"/>
              <w:rPr>
                <w:rFonts w:cs="Times New Roman"/>
                <w:sz w:val="17"/>
                <w:szCs w:val="17"/>
                <w:lang w:val="en-GB"/>
              </w:rPr>
            </w:pPr>
            <w:r w:rsidRPr="009C48DA">
              <w:rPr>
                <w:rFonts w:cs="Times New Roman"/>
                <w:sz w:val="17"/>
                <w:szCs w:val="17"/>
                <w:lang w:val="en-GB"/>
              </w:rPr>
              <w:t>—</w:t>
            </w:r>
          </w:p>
        </w:tc>
        <w:tc>
          <w:tcPr>
            <w:tcW w:w="577" w:type="pct"/>
            <w:vAlign w:val="bottom"/>
          </w:tcPr>
          <w:p w:rsidRPr="009C48DA" w:rsidR="008C06C3" w:rsidP="008C06C3" w:rsidRDefault="008C06C3" w14:paraId="6AE47E6B" w14:textId="77777777">
            <w:pPr>
              <w:jc w:val="right"/>
              <w:rPr>
                <w:rFonts w:cs="Times New Roman"/>
                <w:sz w:val="17"/>
                <w:szCs w:val="17"/>
                <w:lang w:val="en-GB"/>
              </w:rPr>
            </w:pPr>
            <w:r w:rsidRPr="009C48DA">
              <w:rPr>
                <w:rFonts w:cs="Times New Roman"/>
                <w:sz w:val="17"/>
                <w:szCs w:val="17"/>
                <w:lang w:val="en-GB"/>
              </w:rPr>
              <w:t>—</w:t>
            </w:r>
          </w:p>
        </w:tc>
      </w:tr>
      <w:tr w:rsidRPr="009C48DA" w:rsidR="008C06C3" w:rsidTr="008C06C3" w14:paraId="5C970858" w14:textId="77777777">
        <w:trPr>
          <w:jc w:val="center"/>
        </w:trPr>
        <w:tc>
          <w:tcPr>
            <w:tcW w:w="1723" w:type="pct"/>
            <w:shd w:val="clear" w:color="auto" w:fill="auto"/>
            <w:vAlign w:val="bottom"/>
          </w:tcPr>
          <w:p w:rsidRPr="009C48DA" w:rsidR="008C06C3" w:rsidP="008C06C3" w:rsidRDefault="008C06C3" w14:paraId="6225B741" w14:textId="77777777">
            <w:pPr>
              <w:tabs>
                <w:tab w:val="right" w:leader="dot" w:pos="5518"/>
              </w:tabs>
              <w:rPr>
                <w:rFonts w:cs="Times New Roman"/>
                <w:sz w:val="17"/>
                <w:szCs w:val="17"/>
                <w:lang w:val="en-GB"/>
              </w:rPr>
            </w:pPr>
            <w:r w:rsidRPr="009C48DA">
              <w:rPr>
                <w:rFonts w:cs="Times New Roman"/>
                <w:sz w:val="17"/>
                <w:szCs w:val="17"/>
                <w:lang w:val="en-GB"/>
              </w:rPr>
              <w:t>Dividends paid to non-controlling interests</w:t>
            </w:r>
            <w:r w:rsidRPr="009C48DA">
              <w:rPr>
                <w:sz w:val="17"/>
                <w:szCs w:val="17"/>
                <w:lang w:val="en-GB"/>
              </w:rPr>
              <w:tab/>
            </w:r>
          </w:p>
        </w:tc>
        <w:tc>
          <w:tcPr>
            <w:tcW w:w="681" w:type="pct"/>
            <w:vAlign w:val="bottom"/>
          </w:tcPr>
          <w:p w:rsidRPr="009C48DA" w:rsidR="008C06C3" w:rsidP="008C06C3" w:rsidRDefault="008C06C3" w14:paraId="5BF4234F" w14:textId="77777777">
            <w:pPr>
              <w:jc w:val="right"/>
              <w:rPr>
                <w:rFonts w:cs="Times New Roman"/>
                <w:sz w:val="17"/>
                <w:szCs w:val="17"/>
                <w:lang w:val="en-GB"/>
              </w:rPr>
            </w:pPr>
            <w:r w:rsidRPr="009C48DA">
              <w:rPr>
                <w:rFonts w:cs="Times New Roman"/>
                <w:sz w:val="17"/>
                <w:szCs w:val="17"/>
                <w:lang w:val="en-GB"/>
              </w:rPr>
              <w:t>—</w:t>
            </w:r>
          </w:p>
        </w:tc>
        <w:tc>
          <w:tcPr>
            <w:tcW w:w="590" w:type="pct"/>
            <w:vAlign w:val="bottom"/>
          </w:tcPr>
          <w:p w:rsidRPr="009C48DA" w:rsidR="008C06C3" w:rsidP="008C06C3" w:rsidRDefault="008C06C3" w14:paraId="3FFB80B7" w14:textId="77777777">
            <w:pPr>
              <w:jc w:val="right"/>
              <w:rPr>
                <w:sz w:val="17"/>
                <w:szCs w:val="17"/>
                <w:lang w:val="en-GB"/>
              </w:rPr>
            </w:pPr>
            <w:r w:rsidRPr="009C48DA">
              <w:rPr>
                <w:sz w:val="17"/>
                <w:szCs w:val="17"/>
                <w:lang w:val="en-GB"/>
              </w:rPr>
              <w:t>(2,844)</w:t>
            </w:r>
          </w:p>
        </w:tc>
        <w:tc>
          <w:tcPr>
            <w:tcW w:w="751" w:type="pct"/>
            <w:vAlign w:val="bottom"/>
          </w:tcPr>
          <w:p w:rsidRPr="009C48DA" w:rsidR="008C06C3" w:rsidP="008C06C3" w:rsidRDefault="008C06C3" w14:paraId="2E85BF5A" w14:textId="77777777">
            <w:pPr>
              <w:jc w:val="right"/>
              <w:rPr>
                <w:sz w:val="17"/>
                <w:szCs w:val="17"/>
                <w:lang w:val="en-GB"/>
              </w:rPr>
            </w:pPr>
            <w:r w:rsidRPr="009C48DA">
              <w:rPr>
                <w:sz w:val="17"/>
                <w:szCs w:val="17"/>
                <w:lang w:val="en-GB"/>
              </w:rPr>
              <w:t>(4,444)</w:t>
            </w:r>
          </w:p>
        </w:tc>
        <w:tc>
          <w:tcPr>
            <w:tcW w:w="678" w:type="pct"/>
            <w:vAlign w:val="bottom"/>
          </w:tcPr>
          <w:p w:rsidRPr="009C48DA" w:rsidR="008C06C3" w:rsidP="008C06C3" w:rsidRDefault="008C06C3" w14:paraId="5C0AB57D" w14:textId="77777777">
            <w:pPr>
              <w:jc w:val="right"/>
              <w:rPr>
                <w:rFonts w:cs="Times New Roman"/>
                <w:sz w:val="17"/>
                <w:szCs w:val="17"/>
                <w:lang w:val="en-GB"/>
              </w:rPr>
            </w:pPr>
            <w:r w:rsidRPr="009C48DA">
              <w:rPr>
                <w:rFonts w:cs="Times New Roman"/>
                <w:sz w:val="17"/>
                <w:szCs w:val="17"/>
                <w:lang w:val="en-GB"/>
              </w:rPr>
              <w:t>(4,444)</w:t>
            </w:r>
          </w:p>
        </w:tc>
        <w:tc>
          <w:tcPr>
            <w:tcW w:w="577" w:type="pct"/>
            <w:vAlign w:val="bottom"/>
          </w:tcPr>
          <w:p w:rsidRPr="009C48DA" w:rsidR="008C06C3" w:rsidP="008C06C3" w:rsidRDefault="008C06C3" w14:paraId="21E1556D" w14:textId="77777777">
            <w:pPr>
              <w:jc w:val="right"/>
              <w:rPr>
                <w:rFonts w:cs="Times New Roman"/>
                <w:sz w:val="17"/>
                <w:szCs w:val="17"/>
                <w:lang w:val="en-GB"/>
              </w:rPr>
            </w:pPr>
            <w:r w:rsidRPr="009C48DA">
              <w:rPr>
                <w:rFonts w:cs="Times New Roman"/>
                <w:sz w:val="17"/>
                <w:szCs w:val="17"/>
                <w:lang w:val="en-GB"/>
              </w:rPr>
              <w:t>—</w:t>
            </w:r>
          </w:p>
        </w:tc>
      </w:tr>
      <w:tr w:rsidRPr="009C48DA" w:rsidR="008C06C3" w:rsidTr="008C06C3" w14:paraId="0DCFE2A5" w14:textId="77777777">
        <w:trPr>
          <w:jc w:val="center"/>
        </w:trPr>
        <w:tc>
          <w:tcPr>
            <w:tcW w:w="1723" w:type="pct"/>
            <w:shd w:val="clear" w:color="auto" w:fill="auto"/>
            <w:vAlign w:val="bottom"/>
          </w:tcPr>
          <w:p w:rsidRPr="009C48DA" w:rsidR="008C06C3" w:rsidP="008C06C3" w:rsidRDefault="008C06C3" w14:paraId="2927F854" w14:textId="77777777">
            <w:pPr>
              <w:tabs>
                <w:tab w:val="right" w:leader="dot" w:pos="5518"/>
              </w:tabs>
              <w:rPr>
                <w:rFonts w:cs="Times New Roman"/>
                <w:sz w:val="17"/>
                <w:szCs w:val="17"/>
                <w:lang w:val="en-GB"/>
              </w:rPr>
            </w:pPr>
            <w:r w:rsidRPr="009C48DA">
              <w:rPr>
                <w:rFonts w:cs="Times New Roman"/>
                <w:sz w:val="17"/>
                <w:szCs w:val="17"/>
                <w:lang w:val="en-GB"/>
              </w:rPr>
              <w:t>Drawings on bank facilities</w:t>
            </w:r>
            <w:r w:rsidRPr="009C48DA">
              <w:rPr>
                <w:sz w:val="17"/>
                <w:szCs w:val="17"/>
                <w:lang w:val="en-GB"/>
              </w:rPr>
              <w:tab/>
            </w:r>
          </w:p>
        </w:tc>
        <w:tc>
          <w:tcPr>
            <w:tcW w:w="681" w:type="pct"/>
            <w:vAlign w:val="bottom"/>
          </w:tcPr>
          <w:p w:rsidRPr="009C48DA" w:rsidR="008C06C3" w:rsidP="008C06C3" w:rsidRDefault="008C06C3" w14:paraId="7D6E789E" w14:textId="28951963">
            <w:pPr>
              <w:jc w:val="right"/>
              <w:rPr>
                <w:sz w:val="17"/>
                <w:szCs w:val="17"/>
                <w:lang w:val="en-GB"/>
              </w:rPr>
            </w:pPr>
            <w:r w:rsidRPr="009C48DA">
              <w:rPr>
                <w:sz w:val="17"/>
                <w:szCs w:val="17"/>
                <w:lang w:val="en-GB"/>
              </w:rPr>
              <w:t>80,085</w:t>
            </w:r>
          </w:p>
        </w:tc>
        <w:tc>
          <w:tcPr>
            <w:tcW w:w="590" w:type="pct"/>
            <w:vAlign w:val="bottom"/>
          </w:tcPr>
          <w:p w:rsidRPr="009C48DA" w:rsidR="008C06C3" w:rsidP="008C06C3" w:rsidRDefault="008C06C3" w14:paraId="121637E4" w14:textId="77777777">
            <w:pPr>
              <w:jc w:val="right"/>
              <w:rPr>
                <w:sz w:val="17"/>
                <w:szCs w:val="17"/>
                <w:lang w:val="en-GB"/>
              </w:rPr>
            </w:pPr>
            <w:r w:rsidRPr="009C48DA">
              <w:rPr>
                <w:sz w:val="17"/>
                <w:szCs w:val="17"/>
                <w:lang w:val="en-GB"/>
              </w:rPr>
              <w:t>116,087</w:t>
            </w:r>
          </w:p>
        </w:tc>
        <w:tc>
          <w:tcPr>
            <w:tcW w:w="751" w:type="pct"/>
            <w:vAlign w:val="bottom"/>
          </w:tcPr>
          <w:p w:rsidRPr="009C48DA" w:rsidR="008C06C3" w:rsidP="008C06C3" w:rsidRDefault="008C06C3" w14:paraId="796AEE48" w14:textId="77777777">
            <w:pPr>
              <w:jc w:val="right"/>
              <w:rPr>
                <w:sz w:val="17"/>
                <w:szCs w:val="17"/>
                <w:lang w:val="en-GB"/>
              </w:rPr>
            </w:pPr>
            <w:r w:rsidRPr="009C48DA">
              <w:rPr>
                <w:sz w:val="17"/>
                <w:szCs w:val="17"/>
                <w:lang w:val="en-GB"/>
              </w:rPr>
              <w:t>130,302</w:t>
            </w:r>
          </w:p>
        </w:tc>
        <w:tc>
          <w:tcPr>
            <w:tcW w:w="678" w:type="pct"/>
            <w:vAlign w:val="bottom"/>
          </w:tcPr>
          <w:p w:rsidRPr="009C48DA" w:rsidR="008C06C3" w:rsidP="008C06C3" w:rsidRDefault="008C06C3" w14:paraId="164432CD" w14:textId="77777777">
            <w:pPr>
              <w:jc w:val="right"/>
              <w:rPr>
                <w:sz w:val="17"/>
                <w:szCs w:val="17"/>
                <w:lang w:val="en-GB"/>
              </w:rPr>
            </w:pPr>
            <w:r w:rsidRPr="009C48DA">
              <w:rPr>
                <w:sz w:val="17"/>
                <w:szCs w:val="17"/>
                <w:lang w:val="en-GB"/>
              </w:rPr>
              <w:t>25,000</w:t>
            </w:r>
          </w:p>
        </w:tc>
        <w:tc>
          <w:tcPr>
            <w:tcW w:w="577" w:type="pct"/>
            <w:vAlign w:val="bottom"/>
          </w:tcPr>
          <w:p w:rsidRPr="009C48DA" w:rsidR="008C06C3" w:rsidP="008C06C3" w:rsidRDefault="008C06C3" w14:paraId="515D92A7" w14:textId="77777777">
            <w:pPr>
              <w:jc w:val="right"/>
              <w:rPr>
                <w:sz w:val="17"/>
                <w:szCs w:val="17"/>
                <w:lang w:val="en-GB"/>
              </w:rPr>
            </w:pPr>
            <w:r w:rsidRPr="009C48DA">
              <w:rPr>
                <w:sz w:val="17"/>
                <w:szCs w:val="17"/>
                <w:lang w:val="en-GB"/>
              </w:rPr>
              <w:t>23,322</w:t>
            </w:r>
          </w:p>
        </w:tc>
      </w:tr>
      <w:tr w:rsidRPr="009C48DA" w:rsidR="008C06C3" w:rsidTr="008C06C3" w14:paraId="723AEB58" w14:textId="77777777">
        <w:trPr>
          <w:jc w:val="center"/>
        </w:trPr>
        <w:tc>
          <w:tcPr>
            <w:tcW w:w="1723" w:type="pct"/>
            <w:shd w:val="clear" w:color="auto" w:fill="auto"/>
            <w:vAlign w:val="bottom"/>
          </w:tcPr>
          <w:p w:rsidRPr="009C48DA" w:rsidR="008C06C3" w:rsidP="008C06C3" w:rsidRDefault="008C06C3" w14:paraId="7B367C79" w14:textId="77777777">
            <w:pPr>
              <w:tabs>
                <w:tab w:val="right" w:leader="dot" w:pos="5518"/>
              </w:tabs>
              <w:rPr>
                <w:rFonts w:cs="Times New Roman"/>
                <w:sz w:val="17"/>
                <w:szCs w:val="17"/>
                <w:lang w:val="en-GB"/>
              </w:rPr>
            </w:pPr>
            <w:r w:rsidRPr="009C48DA">
              <w:rPr>
                <w:rFonts w:cs="Times New Roman"/>
                <w:sz w:val="17"/>
                <w:szCs w:val="17"/>
                <w:lang w:val="en-GB"/>
              </w:rPr>
              <w:t>Repayment of bank facilities</w:t>
            </w:r>
            <w:r w:rsidRPr="009C48DA">
              <w:rPr>
                <w:sz w:val="17"/>
                <w:szCs w:val="17"/>
                <w:lang w:val="en-GB"/>
              </w:rPr>
              <w:tab/>
            </w:r>
          </w:p>
        </w:tc>
        <w:tc>
          <w:tcPr>
            <w:tcW w:w="681" w:type="pct"/>
            <w:vAlign w:val="bottom"/>
          </w:tcPr>
          <w:p w:rsidRPr="009C48DA" w:rsidR="008C06C3" w:rsidP="008C06C3" w:rsidRDefault="008C06C3" w14:paraId="7452386C" w14:textId="77777777">
            <w:pPr>
              <w:jc w:val="right"/>
              <w:rPr>
                <w:sz w:val="17"/>
                <w:szCs w:val="17"/>
                <w:lang w:val="en-GB"/>
              </w:rPr>
            </w:pPr>
            <w:r w:rsidRPr="009C48DA">
              <w:rPr>
                <w:sz w:val="17"/>
                <w:szCs w:val="17"/>
                <w:lang w:val="en-GB"/>
              </w:rPr>
              <w:t>(29,765)</w:t>
            </w:r>
          </w:p>
        </w:tc>
        <w:tc>
          <w:tcPr>
            <w:tcW w:w="590" w:type="pct"/>
            <w:vAlign w:val="bottom"/>
          </w:tcPr>
          <w:p w:rsidRPr="009C48DA" w:rsidR="008C06C3" w:rsidP="008C06C3" w:rsidRDefault="008C06C3" w14:paraId="114B7ADA" w14:textId="77777777">
            <w:pPr>
              <w:jc w:val="right"/>
              <w:rPr>
                <w:sz w:val="17"/>
                <w:szCs w:val="17"/>
                <w:lang w:val="en-GB"/>
              </w:rPr>
            </w:pPr>
            <w:r w:rsidRPr="009C48DA">
              <w:rPr>
                <w:sz w:val="17"/>
                <w:szCs w:val="17"/>
                <w:lang w:val="en-GB"/>
              </w:rPr>
              <w:t>(148,573)</w:t>
            </w:r>
          </w:p>
        </w:tc>
        <w:tc>
          <w:tcPr>
            <w:tcW w:w="751" w:type="pct"/>
            <w:vAlign w:val="bottom"/>
          </w:tcPr>
          <w:p w:rsidRPr="009C48DA" w:rsidR="008C06C3" w:rsidP="008C06C3" w:rsidRDefault="008C06C3" w14:paraId="17B4BB2A" w14:textId="77777777">
            <w:pPr>
              <w:jc w:val="right"/>
              <w:rPr>
                <w:sz w:val="17"/>
                <w:szCs w:val="17"/>
                <w:lang w:val="en-GB"/>
              </w:rPr>
            </w:pPr>
            <w:r w:rsidRPr="009C48DA">
              <w:rPr>
                <w:sz w:val="17"/>
                <w:szCs w:val="17"/>
                <w:lang w:val="en-GB"/>
              </w:rPr>
              <w:t>(73,492)</w:t>
            </w:r>
          </w:p>
        </w:tc>
        <w:tc>
          <w:tcPr>
            <w:tcW w:w="678" w:type="pct"/>
            <w:vAlign w:val="bottom"/>
          </w:tcPr>
          <w:p w:rsidRPr="009C48DA" w:rsidR="008C06C3" w:rsidP="008C06C3" w:rsidRDefault="008C06C3" w14:paraId="0B7CF60E" w14:textId="77777777">
            <w:pPr>
              <w:jc w:val="right"/>
              <w:rPr>
                <w:sz w:val="17"/>
                <w:szCs w:val="17"/>
                <w:lang w:val="en-GB"/>
              </w:rPr>
            </w:pPr>
            <w:r w:rsidRPr="009C48DA">
              <w:rPr>
                <w:sz w:val="17"/>
                <w:szCs w:val="17"/>
                <w:lang w:val="en-GB"/>
              </w:rPr>
              <w:t>(26,470)</w:t>
            </w:r>
          </w:p>
        </w:tc>
        <w:tc>
          <w:tcPr>
            <w:tcW w:w="577" w:type="pct"/>
            <w:vAlign w:val="bottom"/>
          </w:tcPr>
          <w:p w:rsidRPr="009C48DA" w:rsidR="008C06C3" w:rsidP="008C06C3" w:rsidRDefault="008C06C3" w14:paraId="53F8289D" w14:textId="77777777">
            <w:pPr>
              <w:jc w:val="right"/>
              <w:rPr>
                <w:sz w:val="17"/>
                <w:szCs w:val="17"/>
                <w:lang w:val="en-GB"/>
              </w:rPr>
            </w:pPr>
            <w:r w:rsidRPr="009C48DA">
              <w:rPr>
                <w:sz w:val="17"/>
                <w:szCs w:val="17"/>
                <w:lang w:val="en-GB"/>
              </w:rPr>
              <w:t>(32,573)</w:t>
            </w:r>
          </w:p>
        </w:tc>
      </w:tr>
      <w:tr w:rsidRPr="009C48DA" w:rsidR="008C06C3" w:rsidTr="008C06C3" w14:paraId="1A573EEA" w14:textId="77777777">
        <w:trPr>
          <w:jc w:val="center"/>
        </w:trPr>
        <w:tc>
          <w:tcPr>
            <w:tcW w:w="1723" w:type="pct"/>
            <w:shd w:val="clear" w:color="auto" w:fill="auto"/>
            <w:vAlign w:val="bottom"/>
          </w:tcPr>
          <w:p w:rsidRPr="009C48DA" w:rsidR="008C06C3" w:rsidP="008C06C3" w:rsidRDefault="008C06C3" w14:paraId="596386C7" w14:textId="7AFBB9F0">
            <w:pPr>
              <w:tabs>
                <w:tab w:val="right" w:leader="dot" w:pos="5518"/>
              </w:tabs>
              <w:rPr>
                <w:rFonts w:cs="Times New Roman"/>
                <w:sz w:val="17"/>
                <w:szCs w:val="17"/>
                <w:lang w:val="en-GB"/>
              </w:rPr>
            </w:pPr>
            <w:r w:rsidRPr="009C48DA">
              <w:rPr>
                <w:rFonts w:cs="Times New Roman"/>
                <w:sz w:val="17"/>
                <w:szCs w:val="17"/>
                <w:lang w:val="en-GB"/>
              </w:rPr>
              <w:t>Drawn funding (CLO)</w:t>
            </w:r>
            <w:r w:rsidRPr="009C48DA">
              <w:rPr>
                <w:sz w:val="17"/>
                <w:szCs w:val="17"/>
                <w:lang w:val="en-GB"/>
              </w:rPr>
              <w:tab/>
            </w:r>
          </w:p>
        </w:tc>
        <w:tc>
          <w:tcPr>
            <w:tcW w:w="681" w:type="pct"/>
            <w:vAlign w:val="bottom"/>
          </w:tcPr>
          <w:p w:rsidRPr="009C48DA" w:rsidR="008C06C3" w:rsidP="008C06C3" w:rsidRDefault="008C06C3" w14:paraId="5A366B37" w14:textId="77777777">
            <w:pPr>
              <w:jc w:val="right"/>
              <w:rPr>
                <w:sz w:val="17"/>
                <w:szCs w:val="17"/>
                <w:lang w:val="en-GB"/>
              </w:rPr>
            </w:pPr>
            <w:r w:rsidRPr="009C48DA">
              <w:rPr>
                <w:rFonts w:cs="Times New Roman"/>
                <w:sz w:val="17"/>
                <w:szCs w:val="17"/>
                <w:lang w:val="en-GB"/>
              </w:rPr>
              <w:t>—</w:t>
            </w:r>
          </w:p>
        </w:tc>
        <w:tc>
          <w:tcPr>
            <w:tcW w:w="590" w:type="pct"/>
            <w:vAlign w:val="bottom"/>
          </w:tcPr>
          <w:p w:rsidRPr="009C48DA" w:rsidR="008C06C3" w:rsidP="008C06C3" w:rsidRDefault="008C06C3" w14:paraId="74BBFE89" w14:textId="77777777">
            <w:pPr>
              <w:jc w:val="right"/>
              <w:rPr>
                <w:sz w:val="17"/>
                <w:szCs w:val="17"/>
                <w:lang w:val="en-GB"/>
              </w:rPr>
            </w:pPr>
            <w:r w:rsidRPr="009C48DA">
              <w:rPr>
                <w:rFonts w:cs="Times New Roman"/>
                <w:sz w:val="17"/>
                <w:szCs w:val="17"/>
                <w:lang w:val="en-GB"/>
              </w:rPr>
              <w:t>—</w:t>
            </w:r>
          </w:p>
        </w:tc>
        <w:tc>
          <w:tcPr>
            <w:tcW w:w="751" w:type="pct"/>
            <w:vAlign w:val="bottom"/>
          </w:tcPr>
          <w:p w:rsidRPr="009C48DA" w:rsidR="008C06C3" w:rsidP="008C06C3" w:rsidRDefault="008C06C3" w14:paraId="6B20BAA3" w14:textId="77777777">
            <w:pPr>
              <w:jc w:val="right"/>
              <w:rPr>
                <w:sz w:val="17"/>
                <w:szCs w:val="17"/>
                <w:lang w:val="en-GB"/>
              </w:rPr>
            </w:pPr>
            <w:r w:rsidRPr="009C48DA">
              <w:rPr>
                <w:sz w:val="17"/>
                <w:szCs w:val="17"/>
                <w:lang w:val="en-GB"/>
              </w:rPr>
              <w:t>6,165</w:t>
            </w:r>
          </w:p>
        </w:tc>
        <w:tc>
          <w:tcPr>
            <w:tcW w:w="678" w:type="pct"/>
            <w:vAlign w:val="bottom"/>
          </w:tcPr>
          <w:p w:rsidRPr="009C48DA" w:rsidR="008C06C3" w:rsidP="008C06C3" w:rsidRDefault="008C06C3" w14:paraId="61A4FC91" w14:textId="77777777">
            <w:pPr>
              <w:jc w:val="right"/>
              <w:rPr>
                <w:sz w:val="17"/>
                <w:szCs w:val="17"/>
                <w:lang w:val="en-GB"/>
              </w:rPr>
            </w:pPr>
            <w:r w:rsidRPr="009C48DA">
              <w:rPr>
                <w:rFonts w:cs="Times New Roman"/>
                <w:sz w:val="17"/>
                <w:szCs w:val="17"/>
                <w:lang w:val="en-GB"/>
              </w:rPr>
              <w:t>—</w:t>
            </w:r>
          </w:p>
        </w:tc>
        <w:tc>
          <w:tcPr>
            <w:tcW w:w="577" w:type="pct"/>
            <w:vAlign w:val="bottom"/>
          </w:tcPr>
          <w:p w:rsidRPr="009C48DA" w:rsidR="008C06C3" w:rsidP="008C06C3" w:rsidRDefault="008C06C3" w14:paraId="117A4289" w14:textId="77777777">
            <w:pPr>
              <w:jc w:val="right"/>
              <w:rPr>
                <w:sz w:val="17"/>
                <w:szCs w:val="17"/>
                <w:lang w:val="en-GB"/>
              </w:rPr>
            </w:pPr>
            <w:r w:rsidRPr="009C48DA">
              <w:rPr>
                <w:rFonts w:cs="Times New Roman"/>
                <w:sz w:val="17"/>
                <w:szCs w:val="17"/>
                <w:lang w:val="en-GB"/>
              </w:rPr>
              <w:t>32,209</w:t>
            </w:r>
          </w:p>
        </w:tc>
      </w:tr>
      <w:tr w:rsidRPr="009C48DA" w:rsidR="008C06C3" w:rsidTr="008C06C3" w14:paraId="677ED9BF" w14:textId="77777777">
        <w:trPr>
          <w:jc w:val="center"/>
        </w:trPr>
        <w:tc>
          <w:tcPr>
            <w:tcW w:w="1723" w:type="pct"/>
            <w:shd w:val="clear" w:color="auto" w:fill="auto"/>
            <w:vAlign w:val="bottom"/>
          </w:tcPr>
          <w:p w:rsidRPr="009C48DA" w:rsidR="008C06C3" w:rsidP="008C06C3" w:rsidRDefault="008C06C3" w14:paraId="201552E1" w14:textId="6E6C7617">
            <w:pPr>
              <w:tabs>
                <w:tab w:val="right" w:leader="dot" w:pos="5518"/>
              </w:tabs>
              <w:rPr>
                <w:rFonts w:cs="Times New Roman"/>
                <w:sz w:val="17"/>
                <w:szCs w:val="17"/>
                <w:lang w:val="en-GB"/>
              </w:rPr>
            </w:pPr>
            <w:r w:rsidRPr="009C48DA">
              <w:rPr>
                <w:rFonts w:cs="Times New Roman"/>
                <w:sz w:val="17"/>
                <w:szCs w:val="17"/>
                <w:lang w:val="en-GB"/>
              </w:rPr>
              <w:t>Repayment of CLO borrowings</w:t>
            </w:r>
            <w:r w:rsidRPr="009C48DA">
              <w:rPr>
                <w:sz w:val="17"/>
                <w:szCs w:val="17"/>
                <w:lang w:val="en-GB"/>
              </w:rPr>
              <w:tab/>
            </w:r>
          </w:p>
        </w:tc>
        <w:tc>
          <w:tcPr>
            <w:tcW w:w="681" w:type="pct"/>
            <w:vAlign w:val="bottom"/>
          </w:tcPr>
          <w:p w:rsidRPr="009C48DA" w:rsidR="008C06C3" w:rsidP="008C06C3" w:rsidRDefault="008C06C3" w14:paraId="6D193A3B" w14:textId="77777777">
            <w:pPr>
              <w:jc w:val="right"/>
              <w:rPr>
                <w:sz w:val="17"/>
                <w:szCs w:val="17"/>
                <w:lang w:val="en-GB"/>
              </w:rPr>
            </w:pPr>
            <w:r w:rsidRPr="009C48DA">
              <w:rPr>
                <w:rFonts w:cs="Times New Roman"/>
                <w:sz w:val="17"/>
                <w:szCs w:val="17"/>
                <w:lang w:val="en-GB"/>
              </w:rPr>
              <w:t>—</w:t>
            </w:r>
          </w:p>
        </w:tc>
        <w:tc>
          <w:tcPr>
            <w:tcW w:w="590" w:type="pct"/>
            <w:vAlign w:val="bottom"/>
          </w:tcPr>
          <w:p w:rsidRPr="009C48DA" w:rsidR="008C06C3" w:rsidP="008C06C3" w:rsidRDefault="008C06C3" w14:paraId="7BDBE7FC" w14:textId="77777777">
            <w:pPr>
              <w:jc w:val="right"/>
              <w:rPr>
                <w:sz w:val="17"/>
                <w:szCs w:val="17"/>
                <w:lang w:val="en-GB"/>
              </w:rPr>
            </w:pPr>
            <w:r w:rsidRPr="009C48DA">
              <w:rPr>
                <w:rFonts w:cs="Times New Roman"/>
                <w:sz w:val="17"/>
                <w:szCs w:val="17"/>
                <w:lang w:val="en-GB"/>
              </w:rPr>
              <w:t>—</w:t>
            </w:r>
          </w:p>
        </w:tc>
        <w:tc>
          <w:tcPr>
            <w:tcW w:w="751" w:type="pct"/>
            <w:vAlign w:val="bottom"/>
          </w:tcPr>
          <w:p w:rsidRPr="009C48DA" w:rsidR="008C06C3" w:rsidP="008C06C3" w:rsidRDefault="008C06C3" w14:paraId="3E5FA6CF" w14:textId="51FB4A43">
            <w:pPr>
              <w:jc w:val="right"/>
              <w:rPr>
                <w:sz w:val="17"/>
                <w:szCs w:val="17"/>
                <w:lang w:val="en-GB"/>
              </w:rPr>
            </w:pPr>
            <w:r w:rsidRPr="009C48DA">
              <w:rPr>
                <w:sz w:val="17"/>
                <w:szCs w:val="17"/>
                <w:lang w:val="en-GB"/>
              </w:rPr>
              <w:t>(124,147)</w:t>
            </w:r>
          </w:p>
        </w:tc>
        <w:tc>
          <w:tcPr>
            <w:tcW w:w="678" w:type="pct"/>
            <w:vAlign w:val="bottom"/>
          </w:tcPr>
          <w:p w:rsidRPr="009C48DA" w:rsidR="008C06C3" w:rsidP="008C06C3" w:rsidRDefault="008C06C3" w14:paraId="768F1B34" w14:textId="77777777">
            <w:pPr>
              <w:jc w:val="right"/>
              <w:rPr>
                <w:sz w:val="17"/>
                <w:szCs w:val="17"/>
                <w:lang w:val="en-GB"/>
              </w:rPr>
            </w:pPr>
            <w:r w:rsidRPr="009C48DA">
              <w:rPr>
                <w:rFonts w:cs="Times New Roman"/>
                <w:sz w:val="17"/>
                <w:szCs w:val="17"/>
                <w:lang w:val="en-GB"/>
              </w:rPr>
              <w:t>—</w:t>
            </w:r>
          </w:p>
        </w:tc>
        <w:tc>
          <w:tcPr>
            <w:tcW w:w="577" w:type="pct"/>
            <w:vAlign w:val="bottom"/>
          </w:tcPr>
          <w:p w:rsidRPr="009C48DA" w:rsidR="008C06C3" w:rsidP="008C06C3" w:rsidRDefault="008C06C3" w14:paraId="6B138915" w14:textId="77777777">
            <w:pPr>
              <w:jc w:val="right"/>
              <w:rPr>
                <w:sz w:val="17"/>
                <w:szCs w:val="17"/>
                <w:lang w:val="en-GB"/>
              </w:rPr>
            </w:pPr>
            <w:r w:rsidRPr="009C48DA">
              <w:rPr>
                <w:rFonts w:cs="Times New Roman"/>
                <w:sz w:val="17"/>
                <w:szCs w:val="17"/>
                <w:lang w:val="en-GB"/>
              </w:rPr>
              <w:t>—</w:t>
            </w:r>
          </w:p>
        </w:tc>
      </w:tr>
      <w:tr w:rsidRPr="009C48DA" w:rsidR="008C06C3" w:rsidTr="008C06C3" w14:paraId="2DBC39C5" w14:textId="77777777">
        <w:trPr>
          <w:jc w:val="center"/>
        </w:trPr>
        <w:tc>
          <w:tcPr>
            <w:tcW w:w="1723" w:type="pct"/>
            <w:shd w:val="clear" w:color="auto" w:fill="auto"/>
            <w:vAlign w:val="bottom"/>
          </w:tcPr>
          <w:p w:rsidRPr="009C48DA" w:rsidR="008C06C3" w:rsidP="008C06C3" w:rsidRDefault="008C06C3" w14:paraId="08745C9E" w14:textId="75398134">
            <w:pPr>
              <w:tabs>
                <w:tab w:val="right" w:leader="dot" w:pos="5518"/>
              </w:tabs>
              <w:rPr>
                <w:rFonts w:cs="Times New Roman"/>
                <w:sz w:val="17"/>
                <w:szCs w:val="17"/>
                <w:lang w:val="en-GB"/>
              </w:rPr>
            </w:pPr>
            <w:r w:rsidRPr="009C48DA">
              <w:rPr>
                <w:rFonts w:cs="Times New Roman"/>
                <w:sz w:val="17"/>
                <w:szCs w:val="17"/>
                <w:lang w:val="en-GB"/>
              </w:rPr>
              <w:t>Cash from CLO investors (CLO)</w:t>
            </w:r>
            <w:r w:rsidRPr="009C48DA">
              <w:rPr>
                <w:sz w:val="17"/>
                <w:szCs w:val="17"/>
                <w:lang w:val="en-GB"/>
              </w:rPr>
              <w:tab/>
            </w:r>
          </w:p>
        </w:tc>
        <w:tc>
          <w:tcPr>
            <w:tcW w:w="681" w:type="pct"/>
            <w:vAlign w:val="bottom"/>
          </w:tcPr>
          <w:p w:rsidRPr="009C48DA" w:rsidR="008C06C3" w:rsidP="008C06C3" w:rsidRDefault="008C06C3" w14:paraId="7311BFE9" w14:textId="77777777">
            <w:pPr>
              <w:jc w:val="right"/>
              <w:rPr>
                <w:sz w:val="17"/>
                <w:szCs w:val="17"/>
                <w:lang w:val="en-GB"/>
              </w:rPr>
            </w:pPr>
            <w:r w:rsidRPr="009C48DA">
              <w:rPr>
                <w:rFonts w:cs="Times New Roman"/>
                <w:sz w:val="17"/>
                <w:szCs w:val="17"/>
                <w:lang w:val="en-GB"/>
              </w:rPr>
              <w:t>—</w:t>
            </w:r>
          </w:p>
        </w:tc>
        <w:tc>
          <w:tcPr>
            <w:tcW w:w="590" w:type="pct"/>
            <w:vAlign w:val="bottom"/>
          </w:tcPr>
          <w:p w:rsidRPr="009C48DA" w:rsidR="008C06C3" w:rsidP="008C06C3" w:rsidRDefault="008C06C3" w14:paraId="0AFC356C" w14:textId="77777777">
            <w:pPr>
              <w:jc w:val="right"/>
              <w:rPr>
                <w:sz w:val="17"/>
                <w:szCs w:val="17"/>
                <w:lang w:val="en-GB"/>
              </w:rPr>
            </w:pPr>
            <w:r w:rsidRPr="009C48DA">
              <w:rPr>
                <w:rFonts w:cs="Times New Roman"/>
                <w:sz w:val="17"/>
                <w:szCs w:val="17"/>
                <w:lang w:val="en-GB"/>
              </w:rPr>
              <w:t>—</w:t>
            </w:r>
          </w:p>
        </w:tc>
        <w:tc>
          <w:tcPr>
            <w:tcW w:w="751" w:type="pct"/>
            <w:vAlign w:val="bottom"/>
          </w:tcPr>
          <w:p w:rsidRPr="009C48DA" w:rsidR="008C06C3" w:rsidP="008C06C3" w:rsidRDefault="008C06C3" w14:paraId="089A39BE" w14:textId="3A1E9F41">
            <w:pPr>
              <w:jc w:val="right"/>
              <w:rPr>
                <w:sz w:val="17"/>
                <w:szCs w:val="17"/>
                <w:lang w:val="en-GB"/>
              </w:rPr>
            </w:pPr>
            <w:r w:rsidRPr="009C48DA">
              <w:rPr>
                <w:sz w:val="17"/>
                <w:szCs w:val="17"/>
                <w:lang w:val="en-GB"/>
              </w:rPr>
              <w:t>235,124</w:t>
            </w:r>
          </w:p>
        </w:tc>
        <w:tc>
          <w:tcPr>
            <w:tcW w:w="678" w:type="pct"/>
            <w:vAlign w:val="bottom"/>
          </w:tcPr>
          <w:p w:rsidRPr="009C48DA" w:rsidR="008C06C3" w:rsidP="008C06C3" w:rsidRDefault="008C06C3" w14:paraId="1FA5E8C5" w14:textId="77777777">
            <w:pPr>
              <w:jc w:val="right"/>
              <w:rPr>
                <w:sz w:val="17"/>
                <w:szCs w:val="17"/>
                <w:lang w:val="en-GB"/>
              </w:rPr>
            </w:pPr>
            <w:r w:rsidRPr="009C48DA">
              <w:rPr>
                <w:rFonts w:cs="Times New Roman"/>
                <w:sz w:val="17"/>
                <w:szCs w:val="17"/>
                <w:lang w:val="en-GB"/>
              </w:rPr>
              <w:t>—</w:t>
            </w:r>
          </w:p>
        </w:tc>
        <w:tc>
          <w:tcPr>
            <w:tcW w:w="577" w:type="pct"/>
            <w:vAlign w:val="bottom"/>
          </w:tcPr>
          <w:p w:rsidRPr="009C48DA" w:rsidR="008C06C3" w:rsidP="008C06C3" w:rsidRDefault="008C06C3" w14:paraId="3ADF90A1" w14:textId="77777777">
            <w:pPr>
              <w:jc w:val="right"/>
              <w:rPr>
                <w:sz w:val="17"/>
                <w:szCs w:val="17"/>
                <w:lang w:val="en-GB"/>
              </w:rPr>
            </w:pPr>
            <w:r w:rsidRPr="009C48DA">
              <w:rPr>
                <w:rFonts w:cs="Times New Roman"/>
                <w:sz w:val="17"/>
                <w:szCs w:val="17"/>
                <w:lang w:val="en-GB"/>
              </w:rPr>
              <w:t>—</w:t>
            </w:r>
          </w:p>
        </w:tc>
      </w:tr>
      <w:tr w:rsidRPr="009C48DA" w:rsidR="008C06C3" w:rsidTr="008C06C3" w14:paraId="06C9EA4B" w14:textId="77777777">
        <w:trPr>
          <w:jc w:val="center"/>
        </w:trPr>
        <w:tc>
          <w:tcPr>
            <w:tcW w:w="1723" w:type="pct"/>
            <w:shd w:val="clear" w:color="auto" w:fill="auto"/>
            <w:vAlign w:val="bottom"/>
          </w:tcPr>
          <w:p w:rsidRPr="009C48DA" w:rsidR="008C06C3" w:rsidP="008C06C3" w:rsidRDefault="008C06C3" w14:paraId="290106C5" w14:textId="77777777">
            <w:pPr>
              <w:tabs>
                <w:tab w:val="right" w:leader="dot" w:pos="5518"/>
              </w:tabs>
              <w:rPr>
                <w:rFonts w:cs="Times New Roman"/>
                <w:sz w:val="17"/>
                <w:szCs w:val="17"/>
                <w:lang w:val="en-GB"/>
              </w:rPr>
            </w:pPr>
            <w:r w:rsidRPr="009C48DA">
              <w:rPr>
                <w:rFonts w:cs="Times New Roman"/>
                <w:sz w:val="17"/>
                <w:szCs w:val="17"/>
                <w:lang w:val="en-GB"/>
              </w:rPr>
              <w:t>Principal elements of lease payments</w:t>
            </w:r>
            <w:r w:rsidRPr="009C48DA">
              <w:rPr>
                <w:sz w:val="17"/>
                <w:szCs w:val="17"/>
                <w:lang w:val="en-GB"/>
              </w:rPr>
              <w:tab/>
            </w:r>
          </w:p>
        </w:tc>
        <w:tc>
          <w:tcPr>
            <w:tcW w:w="681" w:type="pct"/>
            <w:vAlign w:val="bottom"/>
          </w:tcPr>
          <w:p w:rsidRPr="009C48DA" w:rsidR="008C06C3" w:rsidP="008C06C3" w:rsidRDefault="008C06C3" w14:paraId="276D82FE" w14:textId="43D041BA">
            <w:pPr>
              <w:jc w:val="right"/>
              <w:rPr>
                <w:sz w:val="17"/>
                <w:szCs w:val="17"/>
                <w:lang w:val="en-GB"/>
              </w:rPr>
            </w:pPr>
            <w:r w:rsidRPr="009C48DA">
              <w:rPr>
                <w:sz w:val="17"/>
                <w:szCs w:val="17"/>
                <w:lang w:val="en-GB"/>
              </w:rPr>
              <w:t>(3,852)</w:t>
            </w:r>
          </w:p>
        </w:tc>
        <w:tc>
          <w:tcPr>
            <w:tcW w:w="590" w:type="pct"/>
            <w:vAlign w:val="bottom"/>
          </w:tcPr>
          <w:p w:rsidRPr="009C48DA" w:rsidR="008C06C3" w:rsidP="008C06C3" w:rsidRDefault="008C06C3" w14:paraId="2F47126E" w14:textId="2776507E">
            <w:pPr>
              <w:jc w:val="right"/>
              <w:rPr>
                <w:sz w:val="17"/>
                <w:szCs w:val="17"/>
                <w:lang w:val="en-GB"/>
              </w:rPr>
            </w:pPr>
            <w:r w:rsidRPr="009C48DA">
              <w:rPr>
                <w:sz w:val="17"/>
                <w:szCs w:val="17"/>
                <w:lang w:val="en-GB"/>
              </w:rPr>
              <w:t>(4,971)</w:t>
            </w:r>
          </w:p>
        </w:tc>
        <w:tc>
          <w:tcPr>
            <w:tcW w:w="751" w:type="pct"/>
            <w:vAlign w:val="bottom"/>
          </w:tcPr>
          <w:p w:rsidRPr="009C48DA" w:rsidR="008C06C3" w:rsidP="008C06C3" w:rsidRDefault="008C06C3" w14:paraId="549ADCBA" w14:textId="00FAB60A">
            <w:pPr>
              <w:jc w:val="right"/>
              <w:rPr>
                <w:sz w:val="17"/>
                <w:szCs w:val="17"/>
                <w:lang w:val="en-GB"/>
              </w:rPr>
            </w:pPr>
            <w:r w:rsidRPr="009C48DA">
              <w:rPr>
                <w:sz w:val="17"/>
                <w:szCs w:val="17"/>
                <w:lang w:val="en-GB"/>
              </w:rPr>
              <w:t>(5,900)</w:t>
            </w:r>
          </w:p>
        </w:tc>
        <w:tc>
          <w:tcPr>
            <w:tcW w:w="678" w:type="pct"/>
            <w:vAlign w:val="bottom"/>
          </w:tcPr>
          <w:p w:rsidRPr="009C48DA" w:rsidR="008C06C3" w:rsidP="008C06C3" w:rsidRDefault="008C06C3" w14:paraId="5412B272" w14:textId="77777777">
            <w:pPr>
              <w:jc w:val="right"/>
              <w:rPr>
                <w:sz w:val="17"/>
                <w:szCs w:val="17"/>
                <w:lang w:val="en-GB"/>
              </w:rPr>
            </w:pPr>
            <w:r w:rsidRPr="009C48DA">
              <w:rPr>
                <w:sz w:val="17"/>
                <w:szCs w:val="17"/>
                <w:lang w:val="en-GB"/>
              </w:rPr>
              <w:t>(948)</w:t>
            </w:r>
          </w:p>
        </w:tc>
        <w:tc>
          <w:tcPr>
            <w:tcW w:w="577" w:type="pct"/>
            <w:vAlign w:val="bottom"/>
          </w:tcPr>
          <w:p w:rsidRPr="009C48DA" w:rsidR="008C06C3" w:rsidP="008C06C3" w:rsidRDefault="008C06C3" w14:paraId="6C54A850" w14:textId="77777777">
            <w:pPr>
              <w:jc w:val="right"/>
              <w:rPr>
                <w:sz w:val="17"/>
                <w:szCs w:val="17"/>
                <w:lang w:val="en-GB"/>
              </w:rPr>
            </w:pPr>
            <w:r w:rsidRPr="009C48DA">
              <w:rPr>
                <w:sz w:val="17"/>
                <w:szCs w:val="17"/>
                <w:lang w:val="en-GB"/>
              </w:rPr>
              <w:t>(1,875)</w:t>
            </w:r>
          </w:p>
        </w:tc>
      </w:tr>
      <w:tr w:rsidRPr="009C48DA" w:rsidR="008C06C3" w:rsidTr="008C06C3" w14:paraId="36787C06" w14:textId="77777777">
        <w:trPr>
          <w:jc w:val="center"/>
        </w:trPr>
        <w:tc>
          <w:tcPr>
            <w:tcW w:w="1723" w:type="pct"/>
            <w:shd w:val="clear" w:color="auto" w:fill="auto"/>
            <w:vAlign w:val="bottom"/>
          </w:tcPr>
          <w:p w:rsidRPr="009C48DA" w:rsidR="008C06C3" w:rsidP="008C06C3" w:rsidRDefault="008C06C3" w14:paraId="0B2E0203" w14:textId="77777777">
            <w:pPr>
              <w:tabs>
                <w:tab w:val="right" w:leader="dot" w:pos="5518"/>
              </w:tabs>
              <w:rPr>
                <w:rFonts w:cs="Times New Roman"/>
                <w:sz w:val="17"/>
                <w:szCs w:val="17"/>
                <w:lang w:val="en-GB"/>
              </w:rPr>
            </w:pPr>
            <w:r w:rsidRPr="009C48DA">
              <w:rPr>
                <w:rFonts w:cs="Times New Roman"/>
                <w:sz w:val="17"/>
                <w:szCs w:val="17"/>
                <w:lang w:val="en-GB"/>
              </w:rPr>
              <w:t>Interest paid (non-CLO)</w:t>
            </w:r>
            <w:r w:rsidRPr="009C48DA">
              <w:rPr>
                <w:sz w:val="17"/>
                <w:szCs w:val="17"/>
                <w:lang w:val="en-GB"/>
              </w:rPr>
              <w:tab/>
            </w:r>
          </w:p>
        </w:tc>
        <w:tc>
          <w:tcPr>
            <w:tcW w:w="681" w:type="pct"/>
            <w:vAlign w:val="bottom"/>
          </w:tcPr>
          <w:p w:rsidRPr="009C48DA" w:rsidR="008C06C3" w:rsidP="008C06C3" w:rsidRDefault="008C06C3" w14:paraId="7F0FDA7E" w14:textId="2D263CF4">
            <w:pPr>
              <w:jc w:val="right"/>
              <w:rPr>
                <w:sz w:val="17"/>
                <w:szCs w:val="17"/>
                <w:lang w:val="en-GB"/>
              </w:rPr>
            </w:pPr>
            <w:r w:rsidRPr="009C48DA">
              <w:rPr>
                <w:sz w:val="17"/>
                <w:szCs w:val="17"/>
                <w:lang w:val="en-GB"/>
              </w:rPr>
              <w:t>(3,882)</w:t>
            </w:r>
          </w:p>
        </w:tc>
        <w:tc>
          <w:tcPr>
            <w:tcW w:w="590" w:type="pct"/>
            <w:vAlign w:val="bottom"/>
          </w:tcPr>
          <w:p w:rsidRPr="009C48DA" w:rsidR="008C06C3" w:rsidP="008C06C3" w:rsidRDefault="008C06C3" w14:paraId="1E3E16D3" w14:textId="77777777">
            <w:pPr>
              <w:jc w:val="right"/>
              <w:rPr>
                <w:sz w:val="17"/>
                <w:szCs w:val="17"/>
                <w:lang w:val="en-GB"/>
              </w:rPr>
            </w:pPr>
            <w:r w:rsidRPr="009C48DA">
              <w:rPr>
                <w:sz w:val="17"/>
                <w:szCs w:val="17"/>
                <w:lang w:val="en-GB"/>
              </w:rPr>
              <w:t>(4,814)</w:t>
            </w:r>
          </w:p>
        </w:tc>
        <w:tc>
          <w:tcPr>
            <w:tcW w:w="751" w:type="pct"/>
            <w:vAlign w:val="bottom"/>
          </w:tcPr>
          <w:p w:rsidRPr="009C48DA" w:rsidR="008C06C3" w:rsidP="008C06C3" w:rsidRDefault="008C06C3" w14:paraId="4EFE6AA7" w14:textId="77777777">
            <w:pPr>
              <w:jc w:val="right"/>
              <w:rPr>
                <w:sz w:val="17"/>
                <w:szCs w:val="17"/>
                <w:lang w:val="en-GB"/>
              </w:rPr>
            </w:pPr>
            <w:r w:rsidRPr="009C48DA">
              <w:rPr>
                <w:sz w:val="17"/>
                <w:szCs w:val="17"/>
                <w:lang w:val="en-GB"/>
              </w:rPr>
              <w:t>(4,904)</w:t>
            </w:r>
          </w:p>
        </w:tc>
        <w:tc>
          <w:tcPr>
            <w:tcW w:w="678" w:type="pct"/>
            <w:vAlign w:val="bottom"/>
          </w:tcPr>
          <w:p w:rsidRPr="009C48DA" w:rsidR="008C06C3" w:rsidP="008C06C3" w:rsidRDefault="008C06C3" w14:paraId="114E65E2" w14:textId="2EFD33A3">
            <w:pPr>
              <w:jc w:val="right"/>
              <w:rPr>
                <w:sz w:val="17"/>
                <w:szCs w:val="17"/>
                <w:lang w:val="en-GB"/>
              </w:rPr>
            </w:pPr>
            <w:r w:rsidRPr="009C48DA">
              <w:rPr>
                <w:sz w:val="17"/>
                <w:szCs w:val="17"/>
                <w:lang w:val="en-GB"/>
              </w:rPr>
              <w:t>(861)</w:t>
            </w:r>
          </w:p>
        </w:tc>
        <w:tc>
          <w:tcPr>
            <w:tcW w:w="577" w:type="pct"/>
            <w:vAlign w:val="bottom"/>
          </w:tcPr>
          <w:p w:rsidRPr="009C48DA" w:rsidR="008C06C3" w:rsidP="008C06C3" w:rsidRDefault="008C06C3" w14:paraId="07A74115" w14:textId="77777777">
            <w:pPr>
              <w:jc w:val="right"/>
              <w:rPr>
                <w:sz w:val="17"/>
                <w:szCs w:val="17"/>
                <w:lang w:val="en-GB"/>
              </w:rPr>
            </w:pPr>
            <w:r w:rsidRPr="009C48DA">
              <w:rPr>
                <w:sz w:val="17"/>
                <w:szCs w:val="17"/>
                <w:lang w:val="en-GB"/>
              </w:rPr>
              <w:t>(1,467)</w:t>
            </w:r>
          </w:p>
        </w:tc>
      </w:tr>
      <w:tr w:rsidRPr="009C48DA" w:rsidR="008C06C3" w:rsidTr="008C06C3" w14:paraId="089D6F6C" w14:textId="77777777">
        <w:trPr>
          <w:jc w:val="center"/>
        </w:trPr>
        <w:tc>
          <w:tcPr>
            <w:tcW w:w="1723" w:type="pct"/>
            <w:shd w:val="clear" w:color="auto" w:fill="auto"/>
            <w:vAlign w:val="bottom"/>
          </w:tcPr>
          <w:p w:rsidRPr="009C48DA" w:rsidR="008C06C3" w:rsidP="008C06C3" w:rsidRDefault="008C06C3" w14:paraId="473AD143" w14:textId="77777777">
            <w:pPr>
              <w:tabs>
                <w:tab w:val="right" w:leader="dot" w:pos="5518"/>
              </w:tabs>
              <w:rPr>
                <w:rFonts w:cs="Times New Roman"/>
                <w:sz w:val="17"/>
                <w:szCs w:val="17"/>
                <w:lang w:val="en-GB"/>
              </w:rPr>
            </w:pPr>
            <w:r w:rsidRPr="009C48DA">
              <w:rPr>
                <w:rFonts w:cs="Times New Roman"/>
                <w:sz w:val="17"/>
                <w:szCs w:val="17"/>
                <w:lang w:val="en-GB"/>
              </w:rPr>
              <w:t>Interest received (non-CLO)</w:t>
            </w:r>
            <w:r w:rsidRPr="009C48DA">
              <w:rPr>
                <w:sz w:val="17"/>
                <w:szCs w:val="17"/>
                <w:lang w:val="en-GB"/>
              </w:rPr>
              <w:tab/>
            </w:r>
          </w:p>
        </w:tc>
        <w:tc>
          <w:tcPr>
            <w:tcW w:w="681" w:type="pct"/>
            <w:vAlign w:val="bottom"/>
          </w:tcPr>
          <w:p w:rsidRPr="009C48DA" w:rsidR="008C06C3" w:rsidP="008C06C3" w:rsidRDefault="008C06C3" w14:paraId="367AE470" w14:textId="42B2AEC5">
            <w:pPr>
              <w:pBdr>
                <w:bottom w:val="single" w:color="auto" w:sz="4" w:space="1"/>
              </w:pBdr>
              <w:jc w:val="right"/>
              <w:rPr>
                <w:sz w:val="17"/>
                <w:szCs w:val="17"/>
                <w:lang w:val="en-GB"/>
              </w:rPr>
            </w:pPr>
            <w:r w:rsidRPr="009C48DA">
              <w:rPr>
                <w:rFonts w:cs="Times New Roman"/>
                <w:sz w:val="17"/>
                <w:szCs w:val="17"/>
                <w:lang w:val="en-GB"/>
              </w:rPr>
              <w:t>—</w:t>
            </w:r>
          </w:p>
        </w:tc>
        <w:tc>
          <w:tcPr>
            <w:tcW w:w="590" w:type="pct"/>
            <w:vAlign w:val="bottom"/>
          </w:tcPr>
          <w:p w:rsidRPr="009C48DA" w:rsidR="008C06C3" w:rsidP="008C06C3" w:rsidRDefault="008C06C3" w14:paraId="239A6226" w14:textId="5BE7A6C0">
            <w:pPr>
              <w:pBdr>
                <w:bottom w:val="single" w:color="auto" w:sz="4" w:space="1"/>
              </w:pBdr>
              <w:jc w:val="right"/>
              <w:rPr>
                <w:sz w:val="17"/>
                <w:szCs w:val="17"/>
                <w:lang w:val="en-GB"/>
              </w:rPr>
            </w:pPr>
            <w:r w:rsidRPr="009C48DA">
              <w:rPr>
                <w:rFonts w:cs="Times New Roman"/>
                <w:sz w:val="17"/>
                <w:szCs w:val="17"/>
                <w:lang w:val="en-GB"/>
              </w:rPr>
              <w:t>—</w:t>
            </w:r>
          </w:p>
        </w:tc>
        <w:tc>
          <w:tcPr>
            <w:tcW w:w="751" w:type="pct"/>
            <w:vAlign w:val="bottom"/>
          </w:tcPr>
          <w:p w:rsidRPr="009C48DA" w:rsidR="008C06C3" w:rsidP="008C06C3" w:rsidRDefault="008C06C3" w14:paraId="74B40DE3" w14:textId="60F4FA8D">
            <w:pPr>
              <w:pBdr>
                <w:bottom w:val="single" w:color="auto" w:sz="4" w:space="1"/>
              </w:pBdr>
              <w:jc w:val="right"/>
              <w:rPr>
                <w:sz w:val="17"/>
                <w:szCs w:val="17"/>
                <w:lang w:val="en-GB"/>
              </w:rPr>
            </w:pPr>
            <w:r w:rsidRPr="009C48DA">
              <w:rPr>
                <w:sz w:val="17"/>
                <w:szCs w:val="17"/>
                <w:lang w:val="en-GB"/>
              </w:rPr>
              <w:t>52</w:t>
            </w:r>
          </w:p>
        </w:tc>
        <w:tc>
          <w:tcPr>
            <w:tcW w:w="678" w:type="pct"/>
            <w:vAlign w:val="bottom"/>
          </w:tcPr>
          <w:p w:rsidRPr="009C48DA" w:rsidR="008C06C3" w:rsidP="008C06C3" w:rsidRDefault="008C06C3" w14:paraId="3A85C59C" w14:textId="77777777">
            <w:pPr>
              <w:pBdr>
                <w:bottom w:val="single" w:color="auto" w:sz="4" w:space="1"/>
              </w:pBdr>
              <w:jc w:val="right"/>
              <w:rPr>
                <w:sz w:val="17"/>
                <w:szCs w:val="17"/>
                <w:lang w:val="en-GB"/>
              </w:rPr>
            </w:pPr>
            <w:r w:rsidRPr="009C48DA">
              <w:rPr>
                <w:sz w:val="17"/>
                <w:szCs w:val="17"/>
                <w:lang w:val="en-GB"/>
              </w:rPr>
              <w:t>5</w:t>
            </w:r>
          </w:p>
        </w:tc>
        <w:tc>
          <w:tcPr>
            <w:tcW w:w="577" w:type="pct"/>
            <w:vAlign w:val="bottom"/>
          </w:tcPr>
          <w:p w:rsidRPr="009C48DA" w:rsidR="008C06C3" w:rsidP="008C06C3" w:rsidRDefault="008C06C3" w14:paraId="38FACD29" w14:textId="77777777">
            <w:pPr>
              <w:pBdr>
                <w:bottom w:val="single" w:color="auto" w:sz="4" w:space="1"/>
              </w:pBdr>
              <w:jc w:val="right"/>
              <w:rPr>
                <w:sz w:val="17"/>
                <w:szCs w:val="17"/>
                <w:lang w:val="en-GB"/>
              </w:rPr>
            </w:pPr>
            <w:r w:rsidRPr="009C48DA">
              <w:rPr>
                <w:sz w:val="17"/>
                <w:szCs w:val="17"/>
                <w:lang w:val="en-GB"/>
              </w:rPr>
              <w:t>9</w:t>
            </w:r>
          </w:p>
        </w:tc>
      </w:tr>
      <w:tr w:rsidRPr="009C48DA" w:rsidR="008C06C3" w:rsidTr="008C06C3" w14:paraId="1502095E" w14:textId="77777777">
        <w:trPr>
          <w:jc w:val="center"/>
        </w:trPr>
        <w:tc>
          <w:tcPr>
            <w:tcW w:w="1723" w:type="pct"/>
            <w:shd w:val="clear" w:color="auto" w:fill="auto"/>
            <w:vAlign w:val="bottom"/>
          </w:tcPr>
          <w:p w:rsidRPr="009C48DA" w:rsidR="008C06C3" w:rsidP="008C06C3" w:rsidRDefault="008C06C3" w14:paraId="1AC82754" w14:textId="77777777">
            <w:pPr>
              <w:tabs>
                <w:tab w:val="right" w:leader="dot" w:pos="5518"/>
              </w:tabs>
              <w:rPr>
                <w:rFonts w:cs="Times New Roman"/>
                <w:b/>
                <w:sz w:val="17"/>
                <w:szCs w:val="17"/>
                <w:lang w:val="en-GB"/>
              </w:rPr>
            </w:pPr>
            <w:r w:rsidRPr="009C48DA">
              <w:rPr>
                <w:rFonts w:cs="Times New Roman"/>
                <w:b/>
                <w:sz w:val="17"/>
                <w:szCs w:val="17"/>
                <w:lang w:val="en-GB"/>
              </w:rPr>
              <w:t>Net cash flows from / (used in) financing activities</w:t>
            </w:r>
            <w:r w:rsidRPr="009C48DA">
              <w:rPr>
                <w:sz w:val="17"/>
                <w:szCs w:val="17"/>
                <w:lang w:val="en-GB"/>
              </w:rPr>
              <w:tab/>
            </w:r>
          </w:p>
        </w:tc>
        <w:tc>
          <w:tcPr>
            <w:tcW w:w="681" w:type="pct"/>
            <w:vAlign w:val="bottom"/>
          </w:tcPr>
          <w:p w:rsidRPr="009C48DA" w:rsidR="008C06C3" w:rsidP="008C06C3" w:rsidRDefault="008C06C3" w14:paraId="0B9971A0" w14:textId="313CD528">
            <w:pPr>
              <w:pBdr>
                <w:bottom w:val="single" w:color="auto" w:sz="4" w:space="1"/>
              </w:pBdr>
              <w:jc w:val="right"/>
              <w:rPr>
                <w:b/>
                <w:sz w:val="17"/>
                <w:szCs w:val="17"/>
                <w:lang w:val="en-GB"/>
              </w:rPr>
            </w:pPr>
            <w:r w:rsidRPr="009C48DA">
              <w:rPr>
                <w:b/>
                <w:sz w:val="17"/>
                <w:szCs w:val="17"/>
                <w:lang w:val="en-GB"/>
              </w:rPr>
              <w:t>23,339</w:t>
            </w:r>
          </w:p>
        </w:tc>
        <w:tc>
          <w:tcPr>
            <w:tcW w:w="590" w:type="pct"/>
            <w:vAlign w:val="bottom"/>
          </w:tcPr>
          <w:p w:rsidRPr="009C48DA" w:rsidR="008C06C3" w:rsidP="008C06C3" w:rsidRDefault="008C06C3" w14:paraId="18A8ABC5" w14:textId="05CA2285">
            <w:pPr>
              <w:pBdr>
                <w:bottom w:val="single" w:color="auto" w:sz="4" w:space="1"/>
              </w:pBdr>
              <w:jc w:val="right"/>
              <w:rPr>
                <w:b/>
                <w:sz w:val="17"/>
                <w:szCs w:val="17"/>
                <w:lang w:val="en-GB"/>
              </w:rPr>
            </w:pPr>
            <w:r w:rsidRPr="009C48DA">
              <w:rPr>
                <w:b/>
                <w:sz w:val="17"/>
                <w:szCs w:val="17"/>
                <w:lang w:val="en-GB"/>
              </w:rPr>
              <w:t>(51,147)</w:t>
            </w:r>
          </w:p>
        </w:tc>
        <w:tc>
          <w:tcPr>
            <w:tcW w:w="751" w:type="pct"/>
            <w:vAlign w:val="bottom"/>
          </w:tcPr>
          <w:p w:rsidRPr="009C48DA" w:rsidR="008C06C3" w:rsidP="008C06C3" w:rsidRDefault="008C06C3" w14:paraId="19D2513A" w14:textId="369B0AA1">
            <w:pPr>
              <w:pBdr>
                <w:bottom w:val="single" w:color="auto" w:sz="4" w:space="1"/>
              </w:pBdr>
              <w:jc w:val="right"/>
              <w:rPr>
                <w:b/>
                <w:sz w:val="17"/>
                <w:szCs w:val="17"/>
                <w:lang w:val="en-GB"/>
              </w:rPr>
            </w:pPr>
            <w:r w:rsidRPr="009C48DA">
              <w:rPr>
                <w:b/>
                <w:sz w:val="17"/>
                <w:szCs w:val="17"/>
                <w:lang w:val="en-GB"/>
              </w:rPr>
              <w:t>223,634</w:t>
            </w:r>
          </w:p>
        </w:tc>
        <w:tc>
          <w:tcPr>
            <w:tcW w:w="678" w:type="pct"/>
            <w:vAlign w:val="bottom"/>
          </w:tcPr>
          <w:p w:rsidRPr="009C48DA" w:rsidR="008C06C3" w:rsidP="008C06C3" w:rsidRDefault="008C06C3" w14:paraId="3482DB70" w14:textId="74F392CF">
            <w:pPr>
              <w:pBdr>
                <w:bottom w:val="single" w:color="auto" w:sz="4" w:space="1"/>
              </w:pBdr>
              <w:jc w:val="right"/>
              <w:rPr>
                <w:b/>
                <w:sz w:val="17"/>
                <w:szCs w:val="17"/>
                <w:lang w:val="en-GB"/>
              </w:rPr>
            </w:pPr>
            <w:r w:rsidRPr="009C48DA">
              <w:rPr>
                <w:b/>
                <w:sz w:val="17"/>
                <w:szCs w:val="17"/>
                <w:lang w:val="en-GB"/>
              </w:rPr>
              <w:t>(7,718)</w:t>
            </w:r>
          </w:p>
        </w:tc>
        <w:tc>
          <w:tcPr>
            <w:tcW w:w="577" w:type="pct"/>
            <w:vAlign w:val="bottom"/>
          </w:tcPr>
          <w:p w:rsidRPr="009C48DA" w:rsidR="008C06C3" w:rsidP="008C06C3" w:rsidRDefault="008C06C3" w14:paraId="1B292876" w14:textId="77777777">
            <w:pPr>
              <w:pBdr>
                <w:bottom w:val="single" w:color="auto" w:sz="4" w:space="1"/>
              </w:pBdr>
              <w:jc w:val="right"/>
              <w:rPr>
                <w:b/>
                <w:sz w:val="17"/>
                <w:szCs w:val="17"/>
                <w:lang w:val="en-GB"/>
              </w:rPr>
            </w:pPr>
            <w:r w:rsidRPr="009C48DA">
              <w:rPr>
                <w:b/>
                <w:sz w:val="17"/>
                <w:szCs w:val="17"/>
                <w:lang w:val="en-GB"/>
              </w:rPr>
              <w:t>(19,625)</w:t>
            </w:r>
          </w:p>
        </w:tc>
      </w:tr>
      <w:tr w:rsidRPr="009C48DA" w:rsidR="008C06C3" w:rsidTr="008C06C3" w14:paraId="51C334DD" w14:textId="77777777">
        <w:trPr>
          <w:jc w:val="center"/>
        </w:trPr>
        <w:tc>
          <w:tcPr>
            <w:tcW w:w="1723" w:type="pct"/>
            <w:shd w:val="clear" w:color="auto" w:fill="auto"/>
            <w:vAlign w:val="bottom"/>
          </w:tcPr>
          <w:p w:rsidRPr="009C48DA" w:rsidR="008C06C3" w:rsidP="008C06C3" w:rsidRDefault="008C06C3" w14:paraId="0A2E0E1A" w14:textId="77777777">
            <w:pPr>
              <w:tabs>
                <w:tab w:val="right" w:leader="dot" w:pos="5518"/>
              </w:tabs>
              <w:rPr>
                <w:rFonts w:cs="Times New Roman"/>
                <w:sz w:val="17"/>
                <w:szCs w:val="17"/>
                <w:lang w:val="en-GB"/>
              </w:rPr>
            </w:pPr>
          </w:p>
        </w:tc>
        <w:tc>
          <w:tcPr>
            <w:tcW w:w="681" w:type="pct"/>
            <w:vAlign w:val="bottom"/>
          </w:tcPr>
          <w:p w:rsidRPr="009C48DA" w:rsidR="008C06C3" w:rsidP="008C06C3" w:rsidRDefault="008C06C3" w14:paraId="23DFC2B4" w14:textId="77777777">
            <w:pPr>
              <w:jc w:val="right"/>
              <w:rPr>
                <w:sz w:val="17"/>
                <w:szCs w:val="17"/>
                <w:lang w:val="en-GB"/>
              </w:rPr>
            </w:pPr>
          </w:p>
        </w:tc>
        <w:tc>
          <w:tcPr>
            <w:tcW w:w="590" w:type="pct"/>
            <w:vAlign w:val="bottom"/>
          </w:tcPr>
          <w:p w:rsidRPr="009C48DA" w:rsidR="008C06C3" w:rsidP="008C06C3" w:rsidRDefault="008C06C3" w14:paraId="5A3D4343" w14:textId="77777777">
            <w:pPr>
              <w:jc w:val="right"/>
              <w:rPr>
                <w:sz w:val="17"/>
                <w:szCs w:val="17"/>
                <w:lang w:val="en-GB"/>
              </w:rPr>
            </w:pPr>
          </w:p>
        </w:tc>
        <w:tc>
          <w:tcPr>
            <w:tcW w:w="751" w:type="pct"/>
            <w:vAlign w:val="bottom"/>
          </w:tcPr>
          <w:p w:rsidRPr="009C48DA" w:rsidR="008C06C3" w:rsidP="008C06C3" w:rsidRDefault="008C06C3" w14:paraId="7B4A534D" w14:textId="77777777">
            <w:pPr>
              <w:jc w:val="right"/>
              <w:rPr>
                <w:sz w:val="17"/>
                <w:szCs w:val="17"/>
                <w:lang w:val="en-GB"/>
              </w:rPr>
            </w:pPr>
          </w:p>
        </w:tc>
        <w:tc>
          <w:tcPr>
            <w:tcW w:w="678" w:type="pct"/>
            <w:vAlign w:val="bottom"/>
          </w:tcPr>
          <w:p w:rsidRPr="009C48DA" w:rsidR="008C06C3" w:rsidP="008C06C3" w:rsidRDefault="008C06C3" w14:paraId="6D6ABBBD" w14:textId="77777777">
            <w:pPr>
              <w:jc w:val="right"/>
              <w:rPr>
                <w:sz w:val="17"/>
                <w:szCs w:val="17"/>
                <w:lang w:val="en-GB"/>
              </w:rPr>
            </w:pPr>
          </w:p>
        </w:tc>
        <w:tc>
          <w:tcPr>
            <w:tcW w:w="577" w:type="pct"/>
            <w:vAlign w:val="bottom"/>
          </w:tcPr>
          <w:p w:rsidRPr="009C48DA" w:rsidR="008C06C3" w:rsidP="008C06C3" w:rsidRDefault="008C06C3" w14:paraId="32B12AC9" w14:textId="77777777">
            <w:pPr>
              <w:jc w:val="right"/>
              <w:rPr>
                <w:sz w:val="17"/>
                <w:szCs w:val="17"/>
                <w:lang w:val="en-GB"/>
              </w:rPr>
            </w:pPr>
          </w:p>
        </w:tc>
      </w:tr>
      <w:tr w:rsidRPr="009C48DA" w:rsidR="008C06C3" w:rsidTr="008C06C3" w14:paraId="0337DB9C" w14:textId="77777777">
        <w:trPr>
          <w:jc w:val="center"/>
        </w:trPr>
        <w:tc>
          <w:tcPr>
            <w:tcW w:w="1723" w:type="pct"/>
            <w:shd w:val="clear" w:color="auto" w:fill="auto"/>
            <w:vAlign w:val="bottom"/>
          </w:tcPr>
          <w:p w:rsidRPr="009C48DA" w:rsidR="008C06C3" w:rsidP="008C06C3" w:rsidRDefault="008C06C3" w14:paraId="48CFE5F1" w14:textId="77777777">
            <w:pPr>
              <w:tabs>
                <w:tab w:val="right" w:leader="dot" w:pos="5518"/>
              </w:tabs>
              <w:rPr>
                <w:rFonts w:cs="Times New Roman"/>
                <w:b/>
                <w:sz w:val="17"/>
                <w:szCs w:val="17"/>
                <w:lang w:val="en-GB"/>
              </w:rPr>
            </w:pPr>
            <w:r w:rsidRPr="009C48DA">
              <w:rPr>
                <w:rFonts w:cs="Times New Roman"/>
                <w:b/>
                <w:sz w:val="17"/>
                <w:szCs w:val="17"/>
                <w:lang w:val="en-GB"/>
              </w:rPr>
              <w:t>Net increase / (decrease) in cash and cash equivalents</w:t>
            </w:r>
            <w:r w:rsidRPr="009C48DA">
              <w:rPr>
                <w:sz w:val="17"/>
                <w:szCs w:val="17"/>
                <w:lang w:val="en-GB"/>
              </w:rPr>
              <w:tab/>
            </w:r>
          </w:p>
        </w:tc>
        <w:tc>
          <w:tcPr>
            <w:tcW w:w="681" w:type="pct"/>
            <w:vAlign w:val="bottom"/>
          </w:tcPr>
          <w:p w:rsidRPr="009C48DA" w:rsidR="008C06C3" w:rsidP="008C06C3" w:rsidRDefault="008C06C3" w14:paraId="6AB5185A" w14:textId="77777777">
            <w:pPr>
              <w:jc w:val="right"/>
              <w:rPr>
                <w:b/>
                <w:sz w:val="17"/>
                <w:szCs w:val="17"/>
                <w:lang w:val="en-GB"/>
              </w:rPr>
            </w:pPr>
            <w:r w:rsidRPr="009C48DA">
              <w:rPr>
                <w:b/>
                <w:sz w:val="17"/>
                <w:szCs w:val="17"/>
                <w:lang w:val="en-GB"/>
              </w:rPr>
              <w:t>16,711</w:t>
            </w:r>
          </w:p>
        </w:tc>
        <w:tc>
          <w:tcPr>
            <w:tcW w:w="590" w:type="pct"/>
            <w:vAlign w:val="bottom"/>
          </w:tcPr>
          <w:p w:rsidRPr="009C48DA" w:rsidR="008C06C3" w:rsidP="008C06C3" w:rsidRDefault="008C06C3" w14:paraId="407431AD" w14:textId="77777777">
            <w:pPr>
              <w:jc w:val="right"/>
              <w:rPr>
                <w:b/>
                <w:sz w:val="17"/>
                <w:szCs w:val="17"/>
                <w:lang w:val="en-GB"/>
              </w:rPr>
            </w:pPr>
            <w:r w:rsidRPr="009C48DA">
              <w:rPr>
                <w:b/>
                <w:sz w:val="17"/>
                <w:szCs w:val="17"/>
                <w:lang w:val="en-GB"/>
              </w:rPr>
              <w:t>(21,213)</w:t>
            </w:r>
          </w:p>
        </w:tc>
        <w:tc>
          <w:tcPr>
            <w:tcW w:w="751" w:type="pct"/>
            <w:vAlign w:val="bottom"/>
          </w:tcPr>
          <w:p w:rsidRPr="009C48DA" w:rsidR="008C06C3" w:rsidP="008C06C3" w:rsidRDefault="008C06C3" w14:paraId="44A292CA" w14:textId="3F54049D">
            <w:pPr>
              <w:jc w:val="right"/>
              <w:rPr>
                <w:b/>
                <w:sz w:val="17"/>
                <w:szCs w:val="17"/>
                <w:lang w:val="en-GB"/>
              </w:rPr>
            </w:pPr>
            <w:r w:rsidRPr="009C48DA">
              <w:rPr>
                <w:b/>
                <w:sz w:val="17"/>
                <w:szCs w:val="17"/>
                <w:lang w:val="en-GB"/>
              </w:rPr>
              <w:t>142,098</w:t>
            </w:r>
          </w:p>
        </w:tc>
        <w:tc>
          <w:tcPr>
            <w:tcW w:w="678" w:type="pct"/>
            <w:vAlign w:val="bottom"/>
          </w:tcPr>
          <w:p w:rsidRPr="009C48DA" w:rsidR="008C06C3" w:rsidP="008C06C3" w:rsidRDefault="008C06C3" w14:paraId="2BE61A2A" w14:textId="1773FF5D">
            <w:pPr>
              <w:jc w:val="right"/>
              <w:rPr>
                <w:b/>
                <w:sz w:val="17"/>
                <w:szCs w:val="17"/>
                <w:lang w:val="en-GB"/>
              </w:rPr>
            </w:pPr>
            <w:r w:rsidRPr="009C48DA">
              <w:rPr>
                <w:b/>
                <w:sz w:val="17"/>
                <w:szCs w:val="17"/>
                <w:lang w:val="en-GB"/>
              </w:rPr>
              <w:t>23,980</w:t>
            </w:r>
          </w:p>
        </w:tc>
        <w:tc>
          <w:tcPr>
            <w:tcW w:w="577" w:type="pct"/>
            <w:vAlign w:val="bottom"/>
          </w:tcPr>
          <w:p w:rsidRPr="009C48DA" w:rsidR="008C06C3" w:rsidP="008C06C3" w:rsidRDefault="008C06C3" w14:paraId="35867B60" w14:textId="375A7DDB">
            <w:pPr>
              <w:jc w:val="right"/>
              <w:rPr>
                <w:b/>
                <w:sz w:val="17"/>
                <w:szCs w:val="17"/>
                <w:lang w:val="en-GB"/>
              </w:rPr>
            </w:pPr>
            <w:r w:rsidRPr="009C48DA">
              <w:rPr>
                <w:b/>
                <w:sz w:val="17"/>
                <w:szCs w:val="17"/>
                <w:lang w:val="en-GB"/>
              </w:rPr>
              <w:t>(21,038)</w:t>
            </w:r>
          </w:p>
        </w:tc>
      </w:tr>
      <w:tr w:rsidRPr="009C48DA" w:rsidR="008C06C3" w:rsidTr="008C06C3" w14:paraId="727C083B" w14:textId="77777777">
        <w:trPr>
          <w:jc w:val="center"/>
        </w:trPr>
        <w:tc>
          <w:tcPr>
            <w:tcW w:w="1723" w:type="pct"/>
            <w:shd w:val="clear" w:color="auto" w:fill="auto"/>
            <w:vAlign w:val="bottom"/>
          </w:tcPr>
          <w:p w:rsidRPr="009C48DA" w:rsidR="008C06C3" w:rsidP="008C06C3" w:rsidRDefault="008C06C3" w14:paraId="10F098F6" w14:textId="77777777">
            <w:pPr>
              <w:tabs>
                <w:tab w:val="right" w:leader="dot" w:pos="5518"/>
              </w:tabs>
              <w:rPr>
                <w:rFonts w:cs="Times New Roman"/>
                <w:b/>
                <w:sz w:val="17"/>
                <w:szCs w:val="17"/>
                <w:lang w:val="en-GB"/>
              </w:rPr>
            </w:pPr>
            <w:r w:rsidRPr="009C48DA">
              <w:rPr>
                <w:rFonts w:cs="Times New Roman"/>
                <w:b/>
                <w:sz w:val="17"/>
                <w:szCs w:val="17"/>
                <w:lang w:val="en-GB"/>
              </w:rPr>
              <w:t>Cash and cash equivalents at the beginning of the period</w:t>
            </w:r>
            <w:r w:rsidRPr="009C48DA">
              <w:rPr>
                <w:sz w:val="17"/>
                <w:szCs w:val="17"/>
                <w:lang w:val="en-GB"/>
              </w:rPr>
              <w:tab/>
            </w:r>
          </w:p>
        </w:tc>
        <w:tc>
          <w:tcPr>
            <w:tcW w:w="681" w:type="pct"/>
            <w:vAlign w:val="bottom"/>
          </w:tcPr>
          <w:p w:rsidRPr="009C48DA" w:rsidR="008C06C3" w:rsidP="008C06C3" w:rsidRDefault="008C06C3" w14:paraId="7928CC10" w14:textId="77777777">
            <w:pPr>
              <w:jc w:val="right"/>
              <w:rPr>
                <w:b/>
                <w:sz w:val="17"/>
                <w:szCs w:val="17"/>
                <w:lang w:val="en-GB"/>
              </w:rPr>
            </w:pPr>
            <w:r w:rsidRPr="009C48DA">
              <w:rPr>
                <w:rFonts w:cs="Times New Roman"/>
                <w:b/>
                <w:sz w:val="17"/>
                <w:szCs w:val="17"/>
                <w:lang w:val="en-GB"/>
              </w:rPr>
              <w:t>19,065</w:t>
            </w:r>
          </w:p>
        </w:tc>
        <w:tc>
          <w:tcPr>
            <w:tcW w:w="590" w:type="pct"/>
            <w:vAlign w:val="bottom"/>
          </w:tcPr>
          <w:p w:rsidRPr="009C48DA" w:rsidR="008C06C3" w:rsidP="008C06C3" w:rsidRDefault="008C06C3" w14:paraId="2D298996" w14:textId="77777777">
            <w:pPr>
              <w:jc w:val="right"/>
              <w:rPr>
                <w:b/>
                <w:sz w:val="17"/>
                <w:szCs w:val="17"/>
                <w:lang w:val="en-GB"/>
              </w:rPr>
            </w:pPr>
            <w:r w:rsidRPr="009C48DA">
              <w:rPr>
                <w:b/>
                <w:sz w:val="17"/>
                <w:szCs w:val="17"/>
                <w:lang w:val="en-GB"/>
              </w:rPr>
              <w:t>37,075</w:t>
            </w:r>
          </w:p>
        </w:tc>
        <w:tc>
          <w:tcPr>
            <w:tcW w:w="751" w:type="pct"/>
            <w:vAlign w:val="bottom"/>
          </w:tcPr>
          <w:p w:rsidRPr="009C48DA" w:rsidR="008C06C3" w:rsidP="008C06C3" w:rsidRDefault="008C06C3" w14:paraId="2D8FF811" w14:textId="77777777">
            <w:pPr>
              <w:jc w:val="right"/>
              <w:rPr>
                <w:b/>
                <w:sz w:val="17"/>
                <w:szCs w:val="17"/>
                <w:lang w:val="en-GB"/>
              </w:rPr>
            </w:pPr>
            <w:r w:rsidRPr="009C48DA">
              <w:rPr>
                <w:b/>
                <w:sz w:val="17"/>
                <w:szCs w:val="17"/>
                <w:lang w:val="en-GB"/>
              </w:rPr>
              <w:t>12,083</w:t>
            </w:r>
          </w:p>
        </w:tc>
        <w:tc>
          <w:tcPr>
            <w:tcW w:w="678" w:type="pct"/>
            <w:vAlign w:val="bottom"/>
          </w:tcPr>
          <w:p w:rsidRPr="009C48DA" w:rsidR="008C06C3" w:rsidP="008C06C3" w:rsidRDefault="008C06C3" w14:paraId="072C5CFA" w14:textId="77777777">
            <w:pPr>
              <w:jc w:val="right"/>
              <w:rPr>
                <w:b/>
                <w:sz w:val="17"/>
                <w:szCs w:val="17"/>
                <w:lang w:val="en-GB"/>
              </w:rPr>
            </w:pPr>
            <w:r w:rsidRPr="009C48DA">
              <w:rPr>
                <w:b/>
                <w:sz w:val="17"/>
                <w:szCs w:val="17"/>
                <w:lang w:val="en-GB"/>
              </w:rPr>
              <w:t>12,083</w:t>
            </w:r>
          </w:p>
        </w:tc>
        <w:tc>
          <w:tcPr>
            <w:tcW w:w="577" w:type="pct"/>
            <w:vAlign w:val="bottom"/>
          </w:tcPr>
          <w:p w:rsidRPr="009C48DA" w:rsidR="008C06C3" w:rsidP="008C06C3" w:rsidRDefault="008C06C3" w14:paraId="4BF78A28" w14:textId="259B1034">
            <w:pPr>
              <w:jc w:val="right"/>
              <w:rPr>
                <w:b/>
                <w:sz w:val="17"/>
                <w:szCs w:val="17"/>
                <w:lang w:val="en-GB"/>
              </w:rPr>
            </w:pPr>
            <w:r w:rsidRPr="009C48DA">
              <w:rPr>
                <w:b/>
                <w:sz w:val="17"/>
                <w:szCs w:val="17"/>
                <w:lang w:val="en-GB"/>
              </w:rPr>
              <w:t>157,116</w:t>
            </w:r>
          </w:p>
        </w:tc>
      </w:tr>
      <w:tr w:rsidRPr="009C48DA" w:rsidR="008C06C3" w:rsidTr="008C06C3" w14:paraId="6D9941E0" w14:textId="77777777">
        <w:trPr>
          <w:jc w:val="center"/>
        </w:trPr>
        <w:tc>
          <w:tcPr>
            <w:tcW w:w="1723" w:type="pct"/>
            <w:shd w:val="clear" w:color="auto" w:fill="auto"/>
            <w:vAlign w:val="bottom"/>
          </w:tcPr>
          <w:p w:rsidRPr="009C48DA" w:rsidR="008C06C3" w:rsidP="008C06C3" w:rsidRDefault="008C06C3" w14:paraId="1B54A843" w14:textId="77777777">
            <w:pPr>
              <w:tabs>
                <w:tab w:val="right" w:leader="dot" w:pos="5518"/>
              </w:tabs>
              <w:rPr>
                <w:rFonts w:cs="Times New Roman"/>
                <w:sz w:val="17"/>
                <w:szCs w:val="17"/>
                <w:lang w:val="en-GB"/>
              </w:rPr>
            </w:pPr>
            <w:r w:rsidRPr="009C48DA">
              <w:rPr>
                <w:rFonts w:cs="Times New Roman"/>
                <w:sz w:val="17"/>
                <w:szCs w:val="17"/>
                <w:lang w:val="en-GB"/>
              </w:rPr>
              <w:t>Effect of exchange rate changes on cash and cash equivalents</w:t>
            </w:r>
            <w:r w:rsidRPr="009C48DA">
              <w:rPr>
                <w:sz w:val="17"/>
                <w:szCs w:val="17"/>
                <w:lang w:val="en-GB"/>
              </w:rPr>
              <w:tab/>
            </w:r>
          </w:p>
        </w:tc>
        <w:tc>
          <w:tcPr>
            <w:tcW w:w="681" w:type="pct"/>
            <w:vAlign w:val="bottom"/>
          </w:tcPr>
          <w:p w:rsidRPr="009C48DA" w:rsidR="008C06C3" w:rsidP="008C06C3" w:rsidRDefault="008C06C3" w14:paraId="19C7CA50" w14:textId="77777777">
            <w:pPr>
              <w:pBdr>
                <w:bottom w:val="single" w:color="auto" w:sz="4" w:space="1"/>
              </w:pBdr>
              <w:jc w:val="right"/>
              <w:rPr>
                <w:sz w:val="17"/>
                <w:szCs w:val="17"/>
                <w:lang w:val="en-GB"/>
              </w:rPr>
            </w:pPr>
            <w:r w:rsidRPr="009C48DA">
              <w:rPr>
                <w:sz w:val="17"/>
                <w:szCs w:val="17"/>
                <w:lang w:val="en-GB"/>
              </w:rPr>
              <w:t>1,299</w:t>
            </w:r>
          </w:p>
        </w:tc>
        <w:tc>
          <w:tcPr>
            <w:tcW w:w="590" w:type="pct"/>
            <w:vAlign w:val="bottom"/>
          </w:tcPr>
          <w:p w:rsidRPr="009C48DA" w:rsidR="008C06C3" w:rsidP="008C06C3" w:rsidRDefault="008C06C3" w14:paraId="20A92CD7" w14:textId="77777777">
            <w:pPr>
              <w:pBdr>
                <w:bottom w:val="single" w:color="auto" w:sz="4" w:space="1"/>
              </w:pBdr>
              <w:jc w:val="right"/>
              <w:rPr>
                <w:sz w:val="17"/>
                <w:szCs w:val="17"/>
                <w:lang w:val="en-GB"/>
              </w:rPr>
            </w:pPr>
            <w:r w:rsidRPr="009C48DA">
              <w:rPr>
                <w:sz w:val="17"/>
                <w:szCs w:val="17"/>
                <w:lang w:val="en-GB"/>
              </w:rPr>
              <w:t>(3,779)</w:t>
            </w:r>
          </w:p>
        </w:tc>
        <w:tc>
          <w:tcPr>
            <w:tcW w:w="751" w:type="pct"/>
            <w:vAlign w:val="bottom"/>
          </w:tcPr>
          <w:p w:rsidRPr="009C48DA" w:rsidR="008C06C3" w:rsidP="008C06C3" w:rsidRDefault="008C06C3" w14:paraId="1529FC6A" w14:textId="48C965F8">
            <w:pPr>
              <w:pBdr>
                <w:bottom w:val="single" w:color="auto" w:sz="4" w:space="1"/>
              </w:pBdr>
              <w:jc w:val="right"/>
              <w:rPr>
                <w:sz w:val="17"/>
                <w:szCs w:val="17"/>
                <w:lang w:val="en-GB"/>
              </w:rPr>
            </w:pPr>
            <w:r w:rsidRPr="009C48DA">
              <w:rPr>
                <w:sz w:val="17"/>
                <w:szCs w:val="17"/>
                <w:lang w:val="en-GB"/>
              </w:rPr>
              <w:t>2,935</w:t>
            </w:r>
          </w:p>
        </w:tc>
        <w:tc>
          <w:tcPr>
            <w:tcW w:w="678" w:type="pct"/>
            <w:vAlign w:val="bottom"/>
          </w:tcPr>
          <w:p w:rsidRPr="009C48DA" w:rsidR="008C06C3" w:rsidP="008C06C3" w:rsidRDefault="008C06C3" w14:paraId="06C52CDA" w14:textId="7159B514">
            <w:pPr>
              <w:pBdr>
                <w:bottom w:val="single" w:color="auto" w:sz="4" w:space="1"/>
              </w:pBdr>
              <w:jc w:val="right"/>
              <w:rPr>
                <w:sz w:val="17"/>
                <w:szCs w:val="17"/>
                <w:lang w:val="en-GB"/>
              </w:rPr>
            </w:pPr>
            <w:r w:rsidRPr="009C48DA">
              <w:rPr>
                <w:sz w:val="17"/>
                <w:szCs w:val="17"/>
                <w:lang w:val="en-GB"/>
              </w:rPr>
              <w:t>3,746</w:t>
            </w:r>
          </w:p>
        </w:tc>
        <w:tc>
          <w:tcPr>
            <w:tcW w:w="577" w:type="pct"/>
            <w:vAlign w:val="bottom"/>
          </w:tcPr>
          <w:p w:rsidRPr="009C48DA" w:rsidR="008C06C3" w:rsidP="008C06C3" w:rsidRDefault="008C06C3" w14:paraId="55565F77" w14:textId="1984C63D">
            <w:pPr>
              <w:pBdr>
                <w:bottom w:val="single" w:color="auto" w:sz="4" w:space="1"/>
              </w:pBdr>
              <w:jc w:val="right"/>
              <w:rPr>
                <w:sz w:val="17"/>
                <w:szCs w:val="17"/>
                <w:lang w:val="en-GB"/>
              </w:rPr>
            </w:pPr>
            <w:r w:rsidRPr="009C48DA">
              <w:rPr>
                <w:sz w:val="17"/>
                <w:szCs w:val="17"/>
                <w:lang w:val="en-GB"/>
              </w:rPr>
              <w:t>(8,340)</w:t>
            </w:r>
          </w:p>
        </w:tc>
      </w:tr>
      <w:tr w:rsidRPr="009C48DA" w:rsidR="008C06C3" w:rsidTr="008C06C3" w14:paraId="1D8D0A75" w14:textId="77777777">
        <w:trPr>
          <w:jc w:val="center"/>
        </w:trPr>
        <w:tc>
          <w:tcPr>
            <w:tcW w:w="1723" w:type="pct"/>
            <w:shd w:val="clear" w:color="auto" w:fill="auto"/>
            <w:vAlign w:val="bottom"/>
          </w:tcPr>
          <w:p w:rsidRPr="009C48DA" w:rsidR="008C06C3" w:rsidP="008C06C3" w:rsidRDefault="008C06C3" w14:paraId="2B8132ED" w14:textId="15B5E34F">
            <w:pPr>
              <w:tabs>
                <w:tab w:val="right" w:leader="dot" w:pos="5518"/>
              </w:tabs>
              <w:rPr>
                <w:rFonts w:cs="Times New Roman"/>
                <w:b/>
                <w:sz w:val="17"/>
                <w:szCs w:val="17"/>
                <w:lang w:val="en-GB"/>
              </w:rPr>
            </w:pPr>
            <w:r w:rsidRPr="009C48DA">
              <w:rPr>
                <w:rFonts w:cs="Times New Roman"/>
                <w:b/>
                <w:sz w:val="17"/>
                <w:szCs w:val="17"/>
                <w:lang w:val="en-GB"/>
              </w:rPr>
              <w:t>Cash and cash equivalents at the end of the period (for use by the Group)</w:t>
            </w:r>
            <w:r w:rsidRPr="009C48DA">
              <w:rPr>
                <w:rFonts w:cs="Times New Roman"/>
                <w:sz w:val="17"/>
                <w:szCs w:val="17"/>
                <w:vertAlign w:val="superscript"/>
                <w:lang w:val="en-GB"/>
              </w:rPr>
              <w:t>(1)</w:t>
            </w:r>
          </w:p>
        </w:tc>
        <w:tc>
          <w:tcPr>
            <w:tcW w:w="681" w:type="pct"/>
            <w:vAlign w:val="bottom"/>
          </w:tcPr>
          <w:p w:rsidRPr="009C48DA" w:rsidR="008C06C3" w:rsidP="008C06C3" w:rsidRDefault="008C06C3" w14:paraId="168B6E04" w14:textId="77777777">
            <w:pPr>
              <w:pBdr>
                <w:bottom w:val="double" w:color="auto" w:sz="4" w:space="1"/>
              </w:pBdr>
              <w:jc w:val="right"/>
              <w:rPr>
                <w:b/>
                <w:sz w:val="17"/>
                <w:szCs w:val="17"/>
                <w:lang w:val="en-GB"/>
              </w:rPr>
            </w:pPr>
            <w:r w:rsidRPr="009C48DA">
              <w:rPr>
                <w:b/>
                <w:sz w:val="17"/>
                <w:szCs w:val="17"/>
                <w:lang w:val="en-GB"/>
              </w:rPr>
              <w:t>37,075</w:t>
            </w:r>
          </w:p>
        </w:tc>
        <w:tc>
          <w:tcPr>
            <w:tcW w:w="590" w:type="pct"/>
            <w:vAlign w:val="bottom"/>
          </w:tcPr>
          <w:p w:rsidRPr="009C48DA" w:rsidR="008C06C3" w:rsidP="008C06C3" w:rsidRDefault="008C06C3" w14:paraId="7E08409A" w14:textId="77777777">
            <w:pPr>
              <w:pBdr>
                <w:bottom w:val="double" w:color="auto" w:sz="4" w:space="1"/>
              </w:pBdr>
              <w:jc w:val="right"/>
              <w:rPr>
                <w:b/>
                <w:sz w:val="17"/>
                <w:szCs w:val="17"/>
                <w:lang w:val="en-GB"/>
              </w:rPr>
            </w:pPr>
            <w:r w:rsidRPr="009C48DA">
              <w:rPr>
                <w:b/>
                <w:sz w:val="17"/>
                <w:szCs w:val="17"/>
                <w:lang w:val="en-GB"/>
              </w:rPr>
              <w:t>12,083</w:t>
            </w:r>
          </w:p>
        </w:tc>
        <w:tc>
          <w:tcPr>
            <w:tcW w:w="751" w:type="pct"/>
            <w:vAlign w:val="bottom"/>
          </w:tcPr>
          <w:p w:rsidRPr="009C48DA" w:rsidR="008C06C3" w:rsidP="008C06C3" w:rsidRDefault="008C06C3" w14:paraId="1DA35A25" w14:textId="7DDE1CAC">
            <w:pPr>
              <w:pBdr>
                <w:bottom w:val="double" w:color="auto" w:sz="4" w:space="1"/>
              </w:pBdr>
              <w:jc w:val="right"/>
              <w:rPr>
                <w:b/>
                <w:sz w:val="17"/>
                <w:szCs w:val="17"/>
                <w:lang w:val="en-GB"/>
              </w:rPr>
            </w:pPr>
            <w:r w:rsidRPr="009C48DA">
              <w:rPr>
                <w:b/>
                <w:sz w:val="17"/>
                <w:szCs w:val="17"/>
                <w:lang w:val="en-GB"/>
              </w:rPr>
              <w:t>157,116</w:t>
            </w:r>
          </w:p>
        </w:tc>
        <w:tc>
          <w:tcPr>
            <w:tcW w:w="678" w:type="pct"/>
            <w:vAlign w:val="bottom"/>
          </w:tcPr>
          <w:p w:rsidRPr="009C48DA" w:rsidR="008C06C3" w:rsidP="008C06C3" w:rsidRDefault="008C06C3" w14:paraId="1EC5FD35" w14:textId="77777777">
            <w:pPr>
              <w:pBdr>
                <w:bottom w:val="double" w:color="auto" w:sz="4" w:space="1"/>
              </w:pBdr>
              <w:jc w:val="right"/>
              <w:rPr>
                <w:b/>
                <w:sz w:val="17"/>
                <w:szCs w:val="17"/>
                <w:lang w:val="en-GB"/>
              </w:rPr>
            </w:pPr>
            <w:r w:rsidRPr="009C48DA">
              <w:rPr>
                <w:b/>
                <w:sz w:val="17"/>
                <w:szCs w:val="17"/>
                <w:lang w:val="en-GB"/>
              </w:rPr>
              <w:t>39,809</w:t>
            </w:r>
          </w:p>
        </w:tc>
        <w:tc>
          <w:tcPr>
            <w:tcW w:w="577" w:type="pct"/>
            <w:vAlign w:val="bottom"/>
          </w:tcPr>
          <w:p w:rsidRPr="009C48DA" w:rsidR="008C06C3" w:rsidP="008C06C3" w:rsidRDefault="008C06C3" w14:paraId="2C8FA3D6" w14:textId="4CFEDD8E">
            <w:pPr>
              <w:pBdr>
                <w:bottom w:val="double" w:color="auto" w:sz="4" w:space="1"/>
              </w:pBdr>
              <w:jc w:val="right"/>
              <w:rPr>
                <w:b/>
                <w:sz w:val="17"/>
                <w:szCs w:val="17"/>
                <w:lang w:val="en-GB"/>
              </w:rPr>
            </w:pPr>
            <w:r w:rsidRPr="009C48DA">
              <w:rPr>
                <w:b/>
                <w:sz w:val="17"/>
                <w:szCs w:val="17"/>
                <w:lang w:val="en-GB"/>
              </w:rPr>
              <w:t>127,738</w:t>
            </w:r>
          </w:p>
        </w:tc>
      </w:tr>
      <w:tr w:rsidRPr="009C48DA" w:rsidR="008C06C3" w:rsidTr="008C06C3" w14:paraId="11F87D64" w14:textId="77777777">
        <w:trPr>
          <w:jc w:val="center"/>
        </w:trPr>
        <w:tc>
          <w:tcPr>
            <w:tcW w:w="1723" w:type="pct"/>
            <w:shd w:val="clear" w:color="auto" w:fill="auto"/>
            <w:vAlign w:val="bottom"/>
          </w:tcPr>
          <w:p w:rsidRPr="009C48DA" w:rsidR="008C06C3" w:rsidP="008C06C3" w:rsidRDefault="008C06C3" w14:paraId="46D6E972" w14:textId="0AEF43C5">
            <w:pPr>
              <w:tabs>
                <w:tab w:val="right" w:leader="dot" w:pos="5518"/>
              </w:tabs>
              <w:rPr>
                <w:rFonts w:cs="Times New Roman"/>
                <w:sz w:val="17"/>
                <w:szCs w:val="17"/>
                <w:lang w:val="en-GB"/>
              </w:rPr>
            </w:pPr>
            <w:r w:rsidRPr="009C48DA">
              <w:rPr>
                <w:rFonts w:cs="Times New Roman"/>
                <w:sz w:val="17"/>
                <w:szCs w:val="17"/>
                <w:lang w:val="en-GB"/>
              </w:rPr>
              <w:t>CLO (restricted)</w:t>
            </w:r>
            <w:r w:rsidRPr="009C48DA">
              <w:rPr>
                <w:sz w:val="17"/>
                <w:szCs w:val="17"/>
                <w:lang w:val="en-GB"/>
              </w:rPr>
              <w:tab/>
            </w:r>
          </w:p>
        </w:tc>
        <w:tc>
          <w:tcPr>
            <w:tcW w:w="681" w:type="pct"/>
            <w:vAlign w:val="bottom"/>
          </w:tcPr>
          <w:p w:rsidRPr="009C48DA" w:rsidR="008C06C3" w:rsidP="008C06C3" w:rsidRDefault="008C06C3" w14:paraId="3DC68412" w14:textId="77777777">
            <w:pPr>
              <w:pBdr>
                <w:bottom w:val="single" w:color="auto" w:sz="4" w:space="1"/>
              </w:pBdr>
              <w:jc w:val="right"/>
              <w:rPr>
                <w:sz w:val="17"/>
                <w:szCs w:val="17"/>
                <w:lang w:val="en-GB"/>
              </w:rPr>
            </w:pPr>
            <w:r w:rsidRPr="009C48DA">
              <w:rPr>
                <w:rFonts w:cs="Times New Roman"/>
                <w:sz w:val="17"/>
                <w:szCs w:val="17"/>
                <w:lang w:val="en-GB"/>
              </w:rPr>
              <w:t>—</w:t>
            </w:r>
          </w:p>
        </w:tc>
        <w:tc>
          <w:tcPr>
            <w:tcW w:w="590" w:type="pct"/>
            <w:vAlign w:val="bottom"/>
          </w:tcPr>
          <w:p w:rsidRPr="009C48DA" w:rsidR="008C06C3" w:rsidP="008C06C3" w:rsidRDefault="008C06C3" w14:paraId="03C56F39" w14:textId="77777777">
            <w:pPr>
              <w:pBdr>
                <w:bottom w:val="single" w:color="auto" w:sz="4" w:space="1"/>
              </w:pBdr>
              <w:jc w:val="right"/>
              <w:rPr>
                <w:sz w:val="17"/>
                <w:szCs w:val="17"/>
                <w:lang w:val="en-GB"/>
              </w:rPr>
            </w:pPr>
            <w:r w:rsidRPr="009C48DA">
              <w:rPr>
                <w:rFonts w:cs="Times New Roman"/>
                <w:sz w:val="17"/>
                <w:szCs w:val="17"/>
                <w:lang w:val="en-GB"/>
              </w:rPr>
              <w:t>—</w:t>
            </w:r>
          </w:p>
        </w:tc>
        <w:tc>
          <w:tcPr>
            <w:tcW w:w="751" w:type="pct"/>
            <w:vAlign w:val="bottom"/>
          </w:tcPr>
          <w:p w:rsidRPr="009C48DA" w:rsidR="008C06C3" w:rsidP="008C06C3" w:rsidRDefault="008C06C3" w14:paraId="48489887" w14:textId="180789C0">
            <w:pPr>
              <w:pBdr>
                <w:bottom w:val="single" w:color="auto" w:sz="4" w:space="1"/>
              </w:pBdr>
              <w:jc w:val="right"/>
              <w:rPr>
                <w:sz w:val="17"/>
                <w:szCs w:val="17"/>
                <w:lang w:val="en-GB"/>
              </w:rPr>
            </w:pPr>
            <w:r w:rsidRPr="009C48DA">
              <w:rPr>
                <w:sz w:val="17"/>
                <w:szCs w:val="17"/>
                <w:lang w:val="en-GB"/>
              </w:rPr>
              <w:t>114,750</w:t>
            </w:r>
          </w:p>
        </w:tc>
        <w:tc>
          <w:tcPr>
            <w:tcW w:w="678" w:type="pct"/>
            <w:vAlign w:val="bottom"/>
          </w:tcPr>
          <w:p w:rsidRPr="009C48DA" w:rsidR="008C06C3" w:rsidP="008C06C3" w:rsidRDefault="008C06C3" w14:paraId="24103D13" w14:textId="77777777">
            <w:pPr>
              <w:pBdr>
                <w:bottom w:val="single" w:color="auto" w:sz="4" w:space="1"/>
              </w:pBdr>
              <w:jc w:val="right"/>
              <w:rPr>
                <w:sz w:val="17"/>
                <w:szCs w:val="17"/>
                <w:lang w:val="en-GB"/>
              </w:rPr>
            </w:pPr>
            <w:r w:rsidRPr="009C48DA">
              <w:rPr>
                <w:rFonts w:cs="Times New Roman"/>
                <w:sz w:val="17"/>
                <w:szCs w:val="17"/>
                <w:lang w:val="en-GB"/>
              </w:rPr>
              <w:t>—</w:t>
            </w:r>
          </w:p>
        </w:tc>
        <w:tc>
          <w:tcPr>
            <w:tcW w:w="577" w:type="pct"/>
            <w:vAlign w:val="bottom"/>
          </w:tcPr>
          <w:p w:rsidRPr="009C48DA" w:rsidR="008C06C3" w:rsidP="008C06C3" w:rsidRDefault="008C06C3" w14:paraId="1E03C710" w14:textId="743C5287">
            <w:pPr>
              <w:pBdr>
                <w:bottom w:val="single" w:color="auto" w:sz="4" w:space="1"/>
              </w:pBdr>
              <w:jc w:val="right"/>
              <w:rPr>
                <w:sz w:val="17"/>
                <w:szCs w:val="17"/>
                <w:lang w:val="en-GB"/>
              </w:rPr>
            </w:pPr>
            <w:r w:rsidRPr="009C48DA">
              <w:rPr>
                <w:sz w:val="17"/>
                <w:szCs w:val="17"/>
                <w:lang w:val="en-GB"/>
              </w:rPr>
              <w:t>59,976</w:t>
            </w:r>
          </w:p>
        </w:tc>
      </w:tr>
      <w:tr w:rsidRPr="009C48DA" w:rsidR="008C06C3" w:rsidTr="008C06C3" w14:paraId="32C686B8" w14:textId="77777777">
        <w:trPr>
          <w:jc w:val="center"/>
        </w:trPr>
        <w:tc>
          <w:tcPr>
            <w:tcW w:w="1723" w:type="pct"/>
            <w:shd w:val="clear" w:color="auto" w:fill="auto"/>
            <w:vAlign w:val="bottom"/>
          </w:tcPr>
          <w:p w:rsidRPr="009C48DA" w:rsidR="008C06C3" w:rsidP="008C06C3" w:rsidRDefault="008C06C3" w14:paraId="04EF313C" w14:textId="22F08FE3">
            <w:pPr>
              <w:tabs>
                <w:tab w:val="right" w:leader="dot" w:pos="5518"/>
              </w:tabs>
              <w:rPr>
                <w:rFonts w:cs="Times New Roman"/>
                <w:b/>
                <w:sz w:val="17"/>
                <w:szCs w:val="17"/>
                <w:lang w:val="en-GB"/>
              </w:rPr>
            </w:pPr>
            <w:r w:rsidRPr="009C48DA">
              <w:rPr>
                <w:rFonts w:cs="Times New Roman"/>
                <w:b/>
                <w:sz w:val="17"/>
                <w:szCs w:val="17"/>
                <w:lang w:val="en-GB"/>
              </w:rPr>
              <w:t>Total cash at the end of the period</w:t>
            </w:r>
            <w:r w:rsidRPr="009C48DA">
              <w:rPr>
                <w:rFonts w:cs="Times New Roman"/>
                <w:sz w:val="17"/>
                <w:szCs w:val="17"/>
                <w:vertAlign w:val="superscript"/>
                <w:lang w:val="en-GB"/>
              </w:rPr>
              <w:t>(1)</w:t>
            </w:r>
            <w:r w:rsidRPr="009C48DA" w:rsidR="00F16DF0">
              <w:rPr>
                <w:sz w:val="17"/>
                <w:szCs w:val="17"/>
                <w:lang w:val="en-GB"/>
              </w:rPr>
              <w:t xml:space="preserve"> </w:t>
            </w:r>
            <w:r w:rsidRPr="009C48DA" w:rsidR="00F16DF0">
              <w:rPr>
                <w:sz w:val="17"/>
                <w:szCs w:val="17"/>
                <w:lang w:val="en-GB"/>
              </w:rPr>
              <w:tab/>
            </w:r>
          </w:p>
        </w:tc>
        <w:tc>
          <w:tcPr>
            <w:tcW w:w="681" w:type="pct"/>
            <w:vAlign w:val="bottom"/>
          </w:tcPr>
          <w:p w:rsidRPr="009C48DA" w:rsidR="008C06C3" w:rsidP="008C06C3" w:rsidRDefault="008C06C3" w14:paraId="67407E58" w14:textId="77777777">
            <w:pPr>
              <w:pBdr>
                <w:bottom w:val="double" w:color="auto" w:sz="4" w:space="1"/>
              </w:pBdr>
              <w:jc w:val="right"/>
              <w:rPr>
                <w:b/>
                <w:sz w:val="17"/>
                <w:szCs w:val="17"/>
                <w:lang w:val="en-GB"/>
              </w:rPr>
            </w:pPr>
            <w:r w:rsidRPr="009C48DA">
              <w:rPr>
                <w:b/>
                <w:sz w:val="17"/>
                <w:szCs w:val="17"/>
                <w:lang w:val="en-GB"/>
              </w:rPr>
              <w:t>37,075</w:t>
            </w:r>
          </w:p>
        </w:tc>
        <w:tc>
          <w:tcPr>
            <w:tcW w:w="590" w:type="pct"/>
            <w:vAlign w:val="bottom"/>
          </w:tcPr>
          <w:p w:rsidRPr="009C48DA" w:rsidR="008C06C3" w:rsidP="008C06C3" w:rsidRDefault="008C06C3" w14:paraId="303BF4F9" w14:textId="77777777">
            <w:pPr>
              <w:pBdr>
                <w:bottom w:val="double" w:color="auto" w:sz="4" w:space="1"/>
              </w:pBdr>
              <w:jc w:val="right"/>
              <w:rPr>
                <w:b/>
                <w:sz w:val="17"/>
                <w:szCs w:val="17"/>
                <w:lang w:val="en-GB"/>
              </w:rPr>
            </w:pPr>
            <w:r w:rsidRPr="009C48DA">
              <w:rPr>
                <w:b/>
                <w:sz w:val="17"/>
                <w:szCs w:val="17"/>
                <w:lang w:val="en-GB"/>
              </w:rPr>
              <w:t>12,083</w:t>
            </w:r>
          </w:p>
        </w:tc>
        <w:tc>
          <w:tcPr>
            <w:tcW w:w="751" w:type="pct"/>
            <w:vAlign w:val="bottom"/>
          </w:tcPr>
          <w:p w:rsidRPr="009C48DA" w:rsidR="008C06C3" w:rsidP="008C06C3" w:rsidRDefault="008C06C3" w14:paraId="0731C9BB" w14:textId="5EE252DB">
            <w:pPr>
              <w:pBdr>
                <w:bottom w:val="double" w:color="auto" w:sz="4" w:space="1"/>
              </w:pBdr>
              <w:jc w:val="right"/>
              <w:rPr>
                <w:b/>
                <w:sz w:val="17"/>
                <w:szCs w:val="17"/>
                <w:lang w:val="en-GB"/>
              </w:rPr>
            </w:pPr>
            <w:r w:rsidRPr="009C48DA">
              <w:rPr>
                <w:b/>
                <w:sz w:val="17"/>
                <w:szCs w:val="17"/>
                <w:lang w:val="en-GB"/>
              </w:rPr>
              <w:t>157,116</w:t>
            </w:r>
          </w:p>
        </w:tc>
        <w:tc>
          <w:tcPr>
            <w:tcW w:w="678" w:type="pct"/>
            <w:vAlign w:val="bottom"/>
          </w:tcPr>
          <w:p w:rsidRPr="009C48DA" w:rsidR="008C06C3" w:rsidP="008C06C3" w:rsidRDefault="008C06C3" w14:paraId="1C14B32C" w14:textId="77777777">
            <w:pPr>
              <w:pBdr>
                <w:bottom w:val="double" w:color="auto" w:sz="4" w:space="1"/>
              </w:pBdr>
              <w:jc w:val="right"/>
              <w:rPr>
                <w:b/>
                <w:sz w:val="17"/>
                <w:szCs w:val="17"/>
                <w:lang w:val="en-GB"/>
              </w:rPr>
            </w:pPr>
            <w:r w:rsidRPr="009C48DA">
              <w:rPr>
                <w:b/>
                <w:sz w:val="17"/>
                <w:szCs w:val="17"/>
                <w:lang w:val="en-GB"/>
              </w:rPr>
              <w:t>39,809</w:t>
            </w:r>
          </w:p>
        </w:tc>
        <w:tc>
          <w:tcPr>
            <w:tcW w:w="577" w:type="pct"/>
            <w:vAlign w:val="bottom"/>
          </w:tcPr>
          <w:p w:rsidRPr="009C48DA" w:rsidR="008C06C3" w:rsidP="008C06C3" w:rsidRDefault="008C06C3" w14:paraId="612A6737" w14:textId="2B91898E">
            <w:pPr>
              <w:pBdr>
                <w:bottom w:val="double" w:color="auto" w:sz="4" w:space="1"/>
              </w:pBdr>
              <w:jc w:val="right"/>
              <w:rPr>
                <w:b/>
                <w:sz w:val="17"/>
                <w:szCs w:val="17"/>
                <w:lang w:val="en-GB"/>
              </w:rPr>
            </w:pPr>
            <w:r w:rsidRPr="009C48DA">
              <w:rPr>
                <w:b/>
                <w:sz w:val="17"/>
                <w:szCs w:val="17"/>
                <w:lang w:val="en-GB"/>
              </w:rPr>
              <w:t>127,738</w:t>
            </w:r>
          </w:p>
        </w:tc>
      </w:tr>
    </w:tbl>
    <w:p w:rsidRPr="009C48DA" w:rsidR="0036034E" w:rsidP="0036034E" w:rsidRDefault="0036034E" w14:paraId="472BDFAB" w14:textId="77777777">
      <w:pPr>
        <w:pBdr>
          <w:bottom w:val="single" w:color="auto" w:sz="4" w:space="1"/>
        </w:pBdr>
        <w:ind w:right="7200"/>
        <w:rPr>
          <w:lang w:val="en-GB"/>
        </w:rPr>
      </w:pPr>
    </w:p>
    <w:p w:rsidRPr="009C48DA" w:rsidR="006D6A27" w:rsidP="00961BEE" w:rsidRDefault="00F83E3A" w14:paraId="3592DF89" w14:textId="5E242D94">
      <w:pPr>
        <w:jc w:val="both"/>
        <w:rPr>
          <w:lang w:val="en-GB"/>
        </w:rPr>
      </w:pPr>
      <w:r w:rsidRPr="009C48DA">
        <w:rPr>
          <w:rFonts w:cs="Times New Roman"/>
          <w:sz w:val="17"/>
          <w:szCs w:val="17"/>
          <w:lang w:val="en-GB"/>
        </w:rPr>
        <w:t>(1</w:t>
      </w:r>
      <w:r w:rsidRPr="009C48DA" w:rsidR="0036034E">
        <w:rPr>
          <w:rFonts w:cs="Times New Roman"/>
          <w:sz w:val="17"/>
          <w:szCs w:val="17"/>
          <w:lang w:val="en-GB"/>
        </w:rPr>
        <w:t>)</w:t>
      </w:r>
      <w:r w:rsidRPr="009C48DA" w:rsidR="0036034E">
        <w:rPr>
          <w:rFonts w:cs="Times New Roman"/>
          <w:sz w:val="17"/>
          <w:szCs w:val="17"/>
          <w:lang w:val="en-GB"/>
        </w:rPr>
        <w:tab/>
      </w:r>
      <w:r w:rsidRPr="009C48DA" w:rsidR="0036034E">
        <w:rPr>
          <w:color w:val="000000"/>
          <w:sz w:val="17"/>
          <w:szCs w:val="17"/>
          <w:lang w:val="en-GB"/>
        </w:rPr>
        <w:t xml:space="preserve">Total cash and cash equivalents as of 31 March 2021 and 31 December 2020 includes cash and cash equivalents belonging to the </w:t>
      </w:r>
      <w:r w:rsidRPr="009C48DA" w:rsidR="00961BEE">
        <w:rPr>
          <w:color w:val="000000"/>
          <w:sz w:val="17"/>
          <w:szCs w:val="17"/>
          <w:lang w:val="en-GB"/>
        </w:rPr>
        <w:t xml:space="preserve">Bridgepoint </w:t>
      </w:r>
      <w:r w:rsidRPr="009C48DA" w:rsidR="0036034E">
        <w:rPr>
          <w:color w:val="000000"/>
          <w:sz w:val="17"/>
          <w:szCs w:val="17"/>
          <w:lang w:val="en-GB"/>
        </w:rPr>
        <w:t xml:space="preserve">CLO vehicles which are consolidated by the Group within the Historical Financial Information set out in </w:t>
      </w:r>
      <w:r w:rsidRPr="009C48DA" w:rsidR="0036034E">
        <w:rPr>
          <w:color w:val="000000"/>
          <w:sz w:val="17"/>
          <w:szCs w:val="17"/>
          <w:lang w:val="en-GB"/>
        </w:rPr>
        <w:fldChar w:fldCharType="begin"/>
      </w:r>
      <w:r w:rsidRPr="009C48DA" w:rsidR="0036034E">
        <w:rPr>
          <w:color w:val="000000"/>
          <w:sz w:val="17"/>
          <w:szCs w:val="17"/>
          <w:lang w:val="en-GB"/>
        </w:rPr>
        <w:instrText xml:space="preserve"> REF _Ref74473404 \n \h  \* MERGEFORMAT </w:instrText>
      </w:r>
      <w:r w:rsidRPr="009C48DA" w:rsidR="0036034E">
        <w:rPr>
          <w:color w:val="000000"/>
          <w:sz w:val="17"/>
          <w:szCs w:val="17"/>
          <w:lang w:val="en-GB"/>
        </w:rPr>
      </w:r>
      <w:r w:rsidRPr="009C48DA" w:rsidR="0036034E">
        <w:rPr>
          <w:color w:val="000000"/>
          <w:sz w:val="17"/>
          <w:szCs w:val="17"/>
          <w:lang w:val="en-GB"/>
        </w:rPr>
        <w:fldChar w:fldCharType="separate"/>
      </w:r>
      <w:r w:rsidR="007C3D19">
        <w:rPr>
          <w:color w:val="000000"/>
          <w:sz w:val="17"/>
          <w:szCs w:val="17"/>
          <w:lang w:val="en-GB"/>
        </w:rPr>
        <w:t>Part B</w:t>
      </w:r>
      <w:r w:rsidRPr="009C48DA" w:rsidR="0036034E">
        <w:rPr>
          <w:color w:val="000000"/>
          <w:sz w:val="17"/>
          <w:szCs w:val="17"/>
          <w:lang w:val="en-GB"/>
        </w:rPr>
        <w:fldChar w:fldCharType="end"/>
      </w:r>
      <w:r w:rsidRPr="009C48DA" w:rsidR="0036034E">
        <w:rPr>
          <w:color w:val="000000"/>
          <w:sz w:val="17"/>
          <w:szCs w:val="17"/>
          <w:lang w:val="en-GB"/>
        </w:rPr>
        <w:t xml:space="preserve"> of </w:t>
      </w:r>
      <w:r w:rsidRPr="009C48DA" w:rsidR="0036034E">
        <w:rPr>
          <w:color w:val="000000"/>
          <w:sz w:val="17"/>
          <w:szCs w:val="17"/>
          <w:lang w:val="en-GB"/>
        </w:rPr>
        <w:fldChar w:fldCharType="begin"/>
      </w:r>
      <w:r w:rsidRPr="009C48DA" w:rsidR="0036034E">
        <w:rPr>
          <w:color w:val="000000"/>
          <w:sz w:val="17"/>
          <w:szCs w:val="17"/>
          <w:lang w:val="en-GB"/>
        </w:rPr>
        <w:instrText xml:space="preserve"> REF _Ref74473398 \n \h  \* MERGEFORMAT </w:instrText>
      </w:r>
      <w:r w:rsidRPr="009C48DA" w:rsidR="0036034E">
        <w:rPr>
          <w:color w:val="000000"/>
          <w:sz w:val="17"/>
          <w:szCs w:val="17"/>
          <w:lang w:val="en-GB"/>
        </w:rPr>
      </w:r>
      <w:r w:rsidRPr="009C48DA" w:rsidR="0036034E">
        <w:rPr>
          <w:color w:val="000000"/>
          <w:sz w:val="17"/>
          <w:szCs w:val="17"/>
          <w:lang w:val="en-GB"/>
        </w:rPr>
        <w:fldChar w:fldCharType="separate"/>
      </w:r>
      <w:r w:rsidR="007C3D19">
        <w:rPr>
          <w:color w:val="000000"/>
          <w:sz w:val="17"/>
          <w:szCs w:val="17"/>
          <w:lang w:val="en-GB"/>
        </w:rPr>
        <w:t>Part X</w:t>
      </w:r>
      <w:r w:rsidRPr="009C48DA" w:rsidR="0036034E">
        <w:rPr>
          <w:color w:val="000000"/>
          <w:sz w:val="17"/>
          <w:szCs w:val="17"/>
          <w:lang w:val="en-GB"/>
        </w:rPr>
        <w:fldChar w:fldCharType="end"/>
      </w:r>
      <w:r w:rsidRPr="009C48DA" w:rsidR="0036034E">
        <w:rPr>
          <w:color w:val="000000"/>
          <w:sz w:val="17"/>
          <w:szCs w:val="17"/>
          <w:lang w:val="en-GB"/>
        </w:rPr>
        <w:t> (</w:t>
      </w:r>
      <w:r w:rsidRPr="009C48DA" w:rsidR="0036034E">
        <w:rPr>
          <w:i/>
          <w:color w:val="000000"/>
          <w:sz w:val="17"/>
          <w:szCs w:val="17"/>
          <w:lang w:val="en-GB"/>
        </w:rPr>
      </w:r>
      <w:r w:rsidRPr="007C3D19" w:rsidR="007C3D19">
        <w:rPr>
          <w:i/>
          <w:color w:val="000000"/>
          <w:sz w:val="17"/>
          <w:szCs w:val="17"/>
          <w:lang w:val="en-GB"/>
        </w:rPr>
        <w:t>Historical Financial Information</w:t>
      </w:r>
      <w:r w:rsidRPr="009C48DA" w:rsidR="0036034E">
        <w:rPr>
          <w:color w:val="000000"/>
          <w:sz w:val="17"/>
          <w:szCs w:val="17"/>
          <w:lang w:val="en-GB"/>
        </w:rPr>
        <w:t xml:space="preserve">). The cash and cash equivalents of the </w:t>
      </w:r>
      <w:r w:rsidRPr="009C48DA" w:rsidR="00961BEE">
        <w:rPr>
          <w:color w:val="000000"/>
          <w:sz w:val="17"/>
          <w:szCs w:val="17"/>
          <w:lang w:val="en-GB"/>
        </w:rPr>
        <w:t xml:space="preserve">Bridgepoint </w:t>
      </w:r>
      <w:r w:rsidRPr="009C48DA" w:rsidR="0036034E">
        <w:rPr>
          <w:color w:val="000000"/>
          <w:sz w:val="17"/>
          <w:szCs w:val="17"/>
          <w:lang w:val="en-GB"/>
        </w:rPr>
        <w:t>CLO vehicles are legally ring-fenced and not available to the Group. Accordingly, cash and cash equivalents available for use by the Group was £37.1 million as of 31 December 2018, £12.1 milli</w:t>
      </w:r>
      <w:r w:rsidRPr="009C48DA">
        <w:rPr>
          <w:color w:val="000000"/>
          <w:sz w:val="17"/>
          <w:szCs w:val="17"/>
          <w:lang w:val="en-GB"/>
        </w:rPr>
        <w:t>on as of 31 December 2019, £157.1</w:t>
      </w:r>
      <w:r w:rsidRPr="009C48DA" w:rsidR="0036034E">
        <w:rPr>
          <w:color w:val="000000"/>
          <w:sz w:val="17"/>
          <w:szCs w:val="17"/>
          <w:lang w:val="en-GB"/>
        </w:rPr>
        <w:t xml:space="preserve"> million as of 31 December 2020, £39.8 milli</w:t>
      </w:r>
      <w:r w:rsidRPr="009C48DA">
        <w:rPr>
          <w:color w:val="000000"/>
          <w:sz w:val="17"/>
          <w:szCs w:val="17"/>
          <w:lang w:val="en-GB"/>
        </w:rPr>
        <w:t>on as of 31 March 2020 and £127.7</w:t>
      </w:r>
      <w:r w:rsidRPr="009C48DA" w:rsidR="0036034E">
        <w:rPr>
          <w:color w:val="000000"/>
          <w:sz w:val="17"/>
          <w:szCs w:val="17"/>
          <w:lang w:val="en-GB"/>
        </w:rPr>
        <w:t xml:space="preserve"> million as of 31 March 2021.</w:t>
      </w:r>
      <w:r w:rsidRPr="009C48DA" w:rsidR="006D6A27">
        <w:rPr>
          <w:lang w:val="en-GB"/>
        </w:rPr>
        <w:br w:type="page"/>
      </w:r>
    </w:p>
    <w:p w:rsidRPr="009C48DA" w:rsidR="00B51E80" w:rsidP="00175C0A" w:rsidRDefault="00175C0A" w14:paraId="34494E35" w14:textId="401CDC33">
      <w:pPr>
        <w:pStyle w:val="Heading1"/>
        <w:rPr>
          <w:lang w:val="en-GB"/>
        </w:rPr>
      </w:pPr>
      <w:bookmarkStart w:name="_Ref74476394" w:id="627"/>
      <w:bookmarkStart w:name="_Ref74476534" w:id="628"/>
      <w:bookmarkStart w:name="_Ref74476641" w:id="629"/>
      <w:bookmarkStart w:name="_Ref74476668" w:id="630"/>
      <w:bookmarkStart w:name="_Ref75190755" w:id="631"/>
      <w:bookmarkStart w:name="_Ref75190876" w:id="632"/>
      <w:bookmarkStart w:name="_Ref75190889" w:id="633"/>
      <w:bookmarkStart w:name="_Ref75190900" w:id="634"/>
      <w:bookmarkStart w:name="_Ref75190980" w:id="635"/>
      <w:bookmarkStart w:name="_Ref75191145" w:id="636"/>
      <w:bookmarkStart w:name="_Toc67956036" w:id="637"/>
      <w:bookmarkStart w:name="_Toc67963000" w:id="638"/>
      <w:bookmarkStart w:name="_Toc67963381" w:id="639"/>
      <w:bookmarkStart w:name="_Ref70687215" w:id="640"/>
      <w:bookmarkStart w:name="_Ref71064753" w:id="641"/>
      <w:r w:rsidRPr="009C48DA">
        <w:rPr>
          <w:lang w:val="en-GB"/>
        </w:rPr>
        <w:lastRenderedPageBreak/>
        <w:br/>
      </w:r>
      <w:r w:rsidRPr="009C48DA">
        <w:rPr>
          <w:lang w:val="en-GB"/>
        </w:rPr>
        <w:br/>
      </w:r>
      <w:bookmarkStart w:name="_Ref75191226" w:id="642"/>
      <w:bookmarkStart w:name="_Toc4171256" w:id="643"/>
      <w:bookmarkStart w:name="_Ref71144174" w:id="644"/>
      <w:bookmarkStart w:name="_Ref71144245" w:id="645"/>
      <w:bookmarkStart w:name="_Ref71144318" w:id="646"/>
      <w:bookmarkStart w:name="_Ref71146077" w:id="647"/>
      <w:bookmarkStart w:name="_Toc71147110" w:id="648"/>
      <w:bookmarkStart w:name="_Toc71147150" w:id="649"/>
      <w:bookmarkStart w:name="_Toc71147164" w:id="650"/>
      <w:bookmarkStart w:name="_Toc71167150" w:id="651"/>
      <w:bookmarkStart w:name="_Toc71187619" w:id="652"/>
      <w:bookmarkStart w:name="_Toc71188681" w:id="653"/>
      <w:bookmarkStart w:name="_Toc75831927" w:id="654"/>
      <w:r w:rsidRPr="009C48DA" w:rsidR="00F172AB">
        <w:rPr>
          <w:lang w:val="en-GB"/>
        </w:rPr>
        <w:t>Operating and Financial Review</w:t>
      </w:r>
      <w:bookmarkEnd w:id="627"/>
      <w:bookmarkEnd w:id="628"/>
      <w:bookmarkEnd w:id="629"/>
      <w:bookmarkEnd w:id="630"/>
      <w:bookmarkEnd w:id="631"/>
      <w:bookmarkEnd w:id="632"/>
      <w:bookmarkEnd w:id="633"/>
      <w:bookmarkEnd w:id="634"/>
      <w:bookmarkEnd w:id="635"/>
      <w:bookmarkEnd w:id="636"/>
      <w:bookmarkEnd w:id="642"/>
      <w:bookmarkEnd w:id="643"/>
      <w:bookmarkEnd w:id="654"/>
    </w:p>
    <w:p w:rsidRPr="009C48DA" w:rsidR="00B51E80" w:rsidP="00175C0A" w:rsidRDefault="00B51E80" w14:paraId="7B4A0F1B" w14:textId="0C11E161">
      <w:pPr>
        <w:pStyle w:val="BodyText2SglJ"/>
        <w:rPr>
          <w:i/>
          <w:lang w:val="en-GB" w:eastAsia="en-GB"/>
        </w:rPr>
      </w:pPr>
      <w:r w:rsidRPr="009C48DA">
        <w:rPr>
          <w:i/>
          <w:lang w:val="en-GB" w:eastAsia="en-GB"/>
        </w:rPr>
        <w:t xml:space="preserve">This </w:t>
      </w:r>
      <w:r w:rsidRPr="009C48DA">
        <w:rPr>
          <w:i/>
          <w:lang w:val="en-GB" w:eastAsia="en-GB"/>
        </w:rPr>
        <w:fldChar w:fldCharType="begin"/>
      </w:r>
      <w:r w:rsidRPr="009C48DA">
        <w:rPr>
          <w:i/>
          <w:lang w:val="en-GB" w:eastAsia="en-GB"/>
        </w:rPr>
        <w:instrText xml:space="preserve"> REF _Ref71144174 \w \h  \* MERGEFORMAT </w:instrText>
      </w:r>
      <w:r w:rsidRPr="009C48DA">
        <w:rPr>
          <w:i/>
          <w:lang w:val="en-GB" w:eastAsia="en-GB"/>
        </w:rPr>
      </w:r>
      <w:r w:rsidRPr="009C48DA">
        <w:rPr>
          <w:i/>
          <w:lang w:val="en-GB" w:eastAsia="en-GB"/>
        </w:rPr>
        <w:fldChar w:fldCharType="separate"/>
      </w:r>
      <w:r w:rsidR="007C3D19">
        <w:rPr>
          <w:i/>
          <w:lang w:val="en-GB" w:eastAsia="en-GB"/>
        </w:rPr>
        <w:t>Part IX</w:t>
      </w:r>
      <w:r w:rsidRPr="009C48DA">
        <w:rPr>
          <w:i/>
          <w:lang w:val="en-GB" w:eastAsia="en-GB"/>
        </w:rPr>
        <w:fldChar w:fldCharType="end"/>
      </w:r>
      <w:r w:rsidRPr="009C48DA">
        <w:rPr>
          <w:i/>
          <w:lang w:val="en-GB" w:eastAsia="en-GB"/>
        </w:rPr>
        <w:t xml:space="preserve"> (</w:t>
      </w:r>
      <w:r w:rsidRPr="009C48DA" w:rsidR="00175C0A">
        <w:rPr>
          <w:i/>
          <w:lang w:val="en-GB"/>
        </w:rPr>
        <w:fldChar w:fldCharType="begin"/>
      </w:r>
      <w:r w:rsidRPr="009C48DA" w:rsidR="00175C0A">
        <w:rPr>
          <w:i/>
          <w:lang w:val="en-GB" w:eastAsia="en-GB"/>
        </w:rPr>
        <w:instrText xml:space="preserve"> REF _Ref75191226 \h </w:instrText>
      </w:r>
      <w:r w:rsidRPr="009C48DA" w:rsidR="00175C0A">
        <w:rPr>
          <w:i/>
          <w:lang w:val="en-GB"/>
        </w:rPr>
        <w:instrText xml:space="preserve"> \* MERGEFORMAT </w:instrText>
      </w:r>
      <w:r w:rsidRPr="009C48DA" w:rsidR="00175C0A">
        <w:rPr>
          <w:i/>
          <w:lang w:val="en-GB"/>
        </w:rPr>
      </w:r>
      <w:r w:rsidRPr="009C48DA" w:rsidR="00175C0A">
        <w:rPr>
          <w:i/>
          <w:lang w:val="en-GB"/>
        </w:rPr>
        <w:fldChar w:fldCharType="separate"/>
      </w:r>
      <w:r w:rsidRPr="007C3D19" w:rsidR="007C3D19">
        <w:rPr>
          <w:i/>
          <w:lang w:val="en-GB"/>
        </w:rPr>
        <w:t>Operating and Financial Review</w:t>
      </w:r>
      <w:r w:rsidRPr="009C48DA" w:rsidR="00175C0A">
        <w:rPr>
          <w:i/>
          <w:lang w:val="en-GB"/>
        </w:rPr>
        <w:fldChar w:fldCharType="end"/>
      </w:r>
      <w:r w:rsidRPr="009C48DA">
        <w:rPr>
          <w:i/>
          <w:lang w:val="en-GB" w:eastAsia="en-GB"/>
        </w:rPr>
        <w:t xml:space="preserve">) should be read in conjunction with </w:t>
      </w:r>
      <w:r w:rsidRPr="009C48DA">
        <w:rPr>
          <w:i/>
          <w:lang w:val="en-GB" w:eastAsia="en-GB"/>
        </w:rPr>
        <w:fldChar w:fldCharType="begin"/>
      </w:r>
      <w:r w:rsidRPr="009C48DA">
        <w:rPr>
          <w:i/>
          <w:lang w:val="en-GB" w:eastAsia="en-GB"/>
        </w:rPr>
        <w:instrText xml:space="preserve"> REF _Ref71140204 \w \h  \* MERGEFORMAT </w:instrText>
      </w:r>
      <w:r w:rsidRPr="009C48DA">
        <w:rPr>
          <w:i/>
          <w:lang w:val="en-GB" w:eastAsia="en-GB"/>
        </w:rPr>
      </w:r>
      <w:r w:rsidRPr="009C48DA">
        <w:rPr>
          <w:i/>
          <w:lang w:val="en-GB" w:eastAsia="en-GB"/>
        </w:rPr>
        <w:fldChar w:fldCharType="separate"/>
      </w:r>
      <w:r w:rsidR="007C3D19">
        <w:rPr>
          <w:i/>
          <w:lang w:val="en-GB" w:eastAsia="en-GB"/>
        </w:rPr>
        <w:t>Part II</w:t>
      </w:r>
      <w:r w:rsidRPr="009C48DA">
        <w:rPr>
          <w:i/>
          <w:lang w:val="en-GB" w:eastAsia="en-GB"/>
        </w:rPr>
        <w:fldChar w:fldCharType="end"/>
      </w:r>
      <w:r w:rsidRPr="009C48DA">
        <w:rPr>
          <w:i/>
          <w:lang w:val="en-GB" w:eastAsia="en-GB"/>
        </w:rPr>
        <w:t xml:space="preserve"> (</w:t>
      </w:r>
      <w:r w:rsidRPr="009C48DA">
        <w:rPr>
          <w:i/>
          <w:lang w:val="en-GB" w:eastAsia="en-GB"/>
        </w:rPr>
      </w:r>
      <w:r w:rsidRPr="007C3D19" w:rsidR="007C3D19">
        <w:rPr>
          <w:i/>
          <w:lang w:val="en-GB"/>
        </w:rPr>
        <w:t>Presentation Of Financial And Other Information</w:t>
      </w:r>
      <w:r w:rsidRPr="009C48DA">
        <w:rPr>
          <w:i/>
          <w:lang w:val="en-GB" w:eastAsia="en-GB"/>
        </w:rPr>
        <w:t xml:space="preserve">), </w:t>
      </w:r>
      <w:r w:rsidRPr="009C48DA">
        <w:rPr>
          <w:i/>
          <w:lang w:val="en-GB" w:eastAsia="en-GB"/>
        </w:rPr>
        <w:fldChar w:fldCharType="begin"/>
      </w:r>
      <w:r w:rsidRPr="009C48DA">
        <w:rPr>
          <w:i/>
          <w:lang w:val="en-GB" w:eastAsia="en-GB"/>
        </w:rPr>
        <w:instrText xml:space="preserve"> REF _Ref71144150 \w \h  \* MERGEFORMAT </w:instrText>
      </w:r>
      <w:r w:rsidRPr="009C48DA">
        <w:rPr>
          <w:i/>
          <w:lang w:val="en-GB" w:eastAsia="en-GB"/>
        </w:rPr>
      </w:r>
      <w:r w:rsidRPr="009C48DA">
        <w:rPr>
          <w:i/>
          <w:lang w:val="en-GB" w:eastAsia="en-GB"/>
        </w:rPr>
        <w:fldChar w:fldCharType="separate"/>
      </w:r>
      <w:r w:rsidR="007C3D19">
        <w:rPr>
          <w:i/>
          <w:lang w:val="en-GB" w:eastAsia="en-GB"/>
        </w:rPr>
        <w:t>Part IV</w:t>
      </w:r>
      <w:r w:rsidRPr="009C48DA">
        <w:rPr>
          <w:i/>
          <w:lang w:val="en-GB" w:eastAsia="en-GB"/>
        </w:rPr>
        <w:fldChar w:fldCharType="end"/>
      </w:r>
      <w:r w:rsidRPr="009C48DA">
        <w:rPr>
          <w:i/>
          <w:lang w:val="en-GB" w:eastAsia="en-GB"/>
        </w:rPr>
        <w:t xml:space="preserve"> (</w:t>
      </w:r>
      <w:r w:rsidRPr="009C48DA">
        <w:rPr>
          <w:i/>
          <w:lang w:val="en-GB" w:eastAsia="en-GB"/>
        </w:rPr>
      </w:r>
      <w:r w:rsidRPr="007C3D19" w:rsidR="007C3D19">
        <w:rPr>
          <w:i/>
          <w:lang w:val="en-GB"/>
        </w:rPr>
        <w:t>Market Overview</w:t>
      </w:r>
      <w:r w:rsidRPr="009C48DA">
        <w:rPr>
          <w:i/>
          <w:lang w:val="en-GB" w:eastAsia="en-GB"/>
        </w:rPr>
        <w:t xml:space="preserve">), </w:t>
      </w:r>
      <w:r w:rsidRPr="009C48DA">
        <w:rPr>
          <w:i/>
          <w:lang w:val="en-GB" w:eastAsia="en-GB"/>
        </w:rPr>
        <w:fldChar w:fldCharType="begin"/>
      </w:r>
      <w:r w:rsidRPr="009C48DA">
        <w:rPr>
          <w:i/>
          <w:lang w:val="en-GB" w:eastAsia="en-GB"/>
        </w:rPr>
        <w:instrText xml:space="preserve"> REF _Ref72799527 \w \h  \* MERGEFORMAT </w:instrText>
      </w:r>
      <w:r w:rsidRPr="009C48DA">
        <w:rPr>
          <w:i/>
          <w:lang w:val="en-GB" w:eastAsia="en-GB"/>
        </w:rPr>
      </w:r>
      <w:r w:rsidRPr="009C48DA">
        <w:rPr>
          <w:i/>
          <w:lang w:val="en-GB" w:eastAsia="en-GB"/>
        </w:rPr>
        <w:fldChar w:fldCharType="separate"/>
      </w:r>
      <w:r w:rsidR="007C3D19">
        <w:rPr>
          <w:i/>
          <w:lang w:val="en-GB" w:eastAsia="en-GB"/>
        </w:rPr>
        <w:t>Part V</w:t>
      </w:r>
      <w:r w:rsidRPr="009C48DA">
        <w:rPr>
          <w:i/>
          <w:lang w:val="en-GB" w:eastAsia="en-GB"/>
        </w:rPr>
        <w:fldChar w:fldCharType="end"/>
      </w:r>
      <w:r w:rsidRPr="009C48DA">
        <w:rPr>
          <w:i/>
          <w:lang w:val="en-GB" w:eastAsia="en-GB"/>
        </w:rPr>
        <w:t xml:space="preserve"> (</w:t>
      </w:r>
      <w:r w:rsidRPr="009C48DA" w:rsidR="00A32B42">
        <w:rPr>
          <w:i/>
          <w:lang w:val="en-GB"/>
        </w:rPr>
      </w:r>
      <w:r w:rsidRPr="007C3D19" w:rsidR="007C3D19">
        <w:rPr>
          <w:i/>
          <w:lang w:val="en-GB"/>
        </w:rPr>
        <w:t>The Business</w:t>
      </w:r>
      <w:r w:rsidRPr="009C48DA">
        <w:rPr>
          <w:i/>
          <w:lang w:val="en-GB" w:eastAsia="en-GB"/>
        </w:rPr>
        <w:t xml:space="preserve">), </w:t>
      </w:r>
      <w:r w:rsidRPr="009C48DA">
        <w:rPr>
          <w:i/>
          <w:lang w:val="en-GB" w:eastAsia="en-GB"/>
        </w:rPr>
        <w:fldChar w:fldCharType="begin"/>
      </w:r>
      <w:r w:rsidRPr="009C48DA">
        <w:rPr>
          <w:i/>
          <w:lang w:val="en-GB" w:eastAsia="en-GB"/>
        </w:rPr>
        <w:instrText xml:space="preserve"> REF _Ref71144292 \r \h  \* MERGEFORMAT </w:instrText>
      </w:r>
      <w:r w:rsidRPr="009C48DA">
        <w:rPr>
          <w:i/>
          <w:lang w:val="en-GB" w:eastAsia="en-GB"/>
        </w:rPr>
      </w:r>
      <w:r w:rsidRPr="009C48DA">
        <w:rPr>
          <w:i/>
          <w:lang w:val="en-GB" w:eastAsia="en-GB"/>
        </w:rPr>
        <w:fldChar w:fldCharType="separate"/>
      </w:r>
      <w:r w:rsidR="007C3D19">
        <w:rPr>
          <w:i/>
          <w:lang w:val="en-GB" w:eastAsia="en-GB"/>
        </w:rPr>
        <w:t>Part VIII</w:t>
      </w:r>
      <w:r w:rsidRPr="009C48DA">
        <w:rPr>
          <w:i/>
          <w:lang w:val="en-GB" w:eastAsia="en-GB"/>
        </w:rPr>
        <w:fldChar w:fldCharType="end"/>
      </w:r>
      <w:r w:rsidRPr="009C48DA">
        <w:rPr>
          <w:i/>
          <w:lang w:val="en-GB" w:eastAsia="en-GB"/>
        </w:rPr>
        <w:t xml:space="preserve"> (</w:t>
      </w:r>
      <w:r w:rsidRPr="009C48DA">
        <w:rPr>
          <w:i/>
          <w:lang w:val="en-GB" w:eastAsia="en-GB"/>
        </w:rPr>
      </w:r>
      <w:r w:rsidRPr="007C3D19" w:rsidR="007C3D19">
        <w:rPr>
          <w:i/>
          <w:lang w:val="en-GB"/>
        </w:rPr>
        <w:t>Selected Financial Information</w:t>
      </w:r>
      <w:r w:rsidRPr="009C48DA">
        <w:rPr>
          <w:i/>
          <w:lang w:val="en-GB" w:eastAsia="en-GB"/>
        </w:rPr>
        <w:t xml:space="preserve">) and </w:t>
      </w:r>
      <w:r w:rsidRPr="009C48DA">
        <w:rPr>
          <w:i/>
          <w:lang w:val="en-GB" w:eastAsia="en-GB"/>
        </w:rPr>
        <w:fldChar w:fldCharType="begin"/>
      </w:r>
      <w:r w:rsidRPr="009C48DA">
        <w:rPr>
          <w:i/>
          <w:lang w:val="en-GB" w:eastAsia="en-GB"/>
        </w:rPr>
        <w:instrText xml:space="preserve"> REF _Ref72799626 \w \h  \* MERGEFORMAT </w:instrText>
      </w:r>
      <w:r w:rsidRPr="009C48DA">
        <w:rPr>
          <w:i/>
          <w:lang w:val="en-GB" w:eastAsia="en-GB"/>
        </w:rPr>
      </w:r>
      <w:r w:rsidRPr="009C48DA">
        <w:rPr>
          <w:i/>
          <w:lang w:val="en-GB" w:eastAsia="en-GB"/>
        </w:rPr>
        <w:fldChar w:fldCharType="separate"/>
      </w:r>
      <w:r w:rsidR="007C3D19">
        <w:rPr>
          <w:i/>
          <w:lang w:val="en-GB" w:eastAsia="en-GB"/>
        </w:rPr>
        <w:t>Part X</w:t>
      </w:r>
      <w:r w:rsidRPr="009C48DA">
        <w:rPr>
          <w:i/>
          <w:lang w:val="en-GB" w:eastAsia="en-GB"/>
        </w:rPr>
        <w:fldChar w:fldCharType="end"/>
      </w:r>
      <w:r w:rsidRPr="009C48DA">
        <w:rPr>
          <w:i/>
          <w:lang w:val="en-GB" w:eastAsia="en-GB"/>
        </w:rPr>
        <w:t xml:space="preserve"> (</w:t>
      </w:r>
      <w:r w:rsidRPr="009C48DA">
        <w:rPr>
          <w:i/>
          <w:lang w:val="en-GB" w:eastAsia="en-GB"/>
        </w:rPr>
      </w:r>
      <w:r w:rsidRPr="007C3D19" w:rsidR="007C3D19">
        <w:rPr>
          <w:i/>
          <w:lang w:val="en-GB"/>
        </w:rPr>
        <w:t>Historical Financial Information</w:t>
      </w:r>
      <w:r w:rsidRPr="009C48DA" w:rsidR="00164EEC">
        <w:rPr>
          <w:i/>
          <w:lang w:val="en-GB" w:eastAsia="en-GB"/>
        </w:rPr>
        <w:t>)</w:t>
      </w:r>
      <w:r w:rsidRPr="009C48DA">
        <w:rPr>
          <w:i/>
          <w:lang w:val="en-GB" w:eastAsia="en-GB"/>
        </w:rPr>
        <w:t xml:space="preserve">. The financial information set out in this </w:t>
      </w:r>
      <w:r w:rsidRPr="009C48DA">
        <w:rPr>
          <w:i/>
          <w:lang w:val="en-GB" w:eastAsia="en-GB"/>
        </w:rPr>
        <w:fldChar w:fldCharType="begin"/>
      </w:r>
      <w:r w:rsidRPr="009C48DA">
        <w:rPr>
          <w:i/>
          <w:lang w:val="en-GB" w:eastAsia="en-GB"/>
        </w:rPr>
        <w:instrText xml:space="preserve"> REF _Ref71144174 \w \h  \* MERGEFORMAT </w:instrText>
      </w:r>
      <w:r w:rsidRPr="009C48DA">
        <w:rPr>
          <w:i/>
          <w:lang w:val="en-GB" w:eastAsia="en-GB"/>
        </w:rPr>
      </w:r>
      <w:r w:rsidRPr="009C48DA">
        <w:rPr>
          <w:i/>
          <w:lang w:val="en-GB" w:eastAsia="en-GB"/>
        </w:rPr>
        <w:fldChar w:fldCharType="separate"/>
      </w:r>
      <w:r w:rsidR="007C3D19">
        <w:rPr>
          <w:i/>
          <w:lang w:val="en-GB" w:eastAsia="en-GB"/>
        </w:rPr>
        <w:t>Part IX</w:t>
      </w:r>
      <w:r w:rsidRPr="009C48DA">
        <w:rPr>
          <w:i/>
          <w:lang w:val="en-GB" w:eastAsia="en-GB"/>
        </w:rPr>
        <w:fldChar w:fldCharType="end"/>
      </w:r>
      <w:r w:rsidRPr="009C48DA">
        <w:rPr>
          <w:i/>
          <w:lang w:val="en-GB" w:eastAsia="en-GB"/>
        </w:rPr>
        <w:t xml:space="preserve"> (</w:t>
      </w:r>
      <w:r w:rsidRPr="009C48DA" w:rsidR="00175C0A">
        <w:rPr>
          <w:i/>
          <w:lang w:val="en-GB"/>
        </w:rPr>
        <w:fldChar w:fldCharType="begin"/>
      </w:r>
      <w:r w:rsidRPr="009C48DA" w:rsidR="00175C0A">
        <w:rPr>
          <w:i/>
          <w:lang w:val="en-GB" w:eastAsia="en-GB"/>
        </w:rPr>
        <w:instrText xml:space="preserve"> REF _Ref75191226 \h </w:instrText>
      </w:r>
      <w:r w:rsidRPr="009C48DA" w:rsidR="00175C0A">
        <w:rPr>
          <w:i/>
          <w:lang w:val="en-GB"/>
        </w:rPr>
        <w:instrText xml:space="preserve"> \* MERGEFORMAT </w:instrText>
      </w:r>
      <w:r w:rsidRPr="009C48DA" w:rsidR="00175C0A">
        <w:rPr>
          <w:i/>
          <w:lang w:val="en-GB"/>
        </w:rPr>
      </w:r>
      <w:r w:rsidRPr="009C48DA" w:rsidR="00175C0A">
        <w:rPr>
          <w:i/>
          <w:lang w:val="en-GB"/>
        </w:rPr>
        <w:fldChar w:fldCharType="separate"/>
      </w:r>
      <w:r w:rsidRPr="007C3D19" w:rsidR="007C3D19">
        <w:rPr>
          <w:i/>
          <w:lang w:val="en-GB"/>
        </w:rPr>
        <w:t>Operating and Financial Review</w:t>
      </w:r>
      <w:r w:rsidRPr="009C48DA" w:rsidR="00175C0A">
        <w:rPr>
          <w:i/>
          <w:lang w:val="en-GB"/>
        </w:rPr>
        <w:fldChar w:fldCharType="end"/>
      </w:r>
      <w:r w:rsidRPr="009C48DA">
        <w:rPr>
          <w:i/>
          <w:lang w:val="en-GB" w:eastAsia="en-GB"/>
        </w:rPr>
        <w:t xml:space="preserve">) is extracted without material adjustment from the financial information set out in </w:t>
      </w:r>
      <w:r w:rsidRPr="009C48DA" w:rsidR="001923D4">
        <w:rPr>
          <w:i/>
          <w:lang w:val="en-GB" w:eastAsia="en-GB"/>
        </w:rPr>
        <w:fldChar w:fldCharType="begin"/>
      </w:r>
      <w:r w:rsidRPr="009C48DA" w:rsidR="001923D4">
        <w:rPr>
          <w:i/>
          <w:lang w:val="en-GB" w:eastAsia="en-GB"/>
        </w:rPr>
        <w:instrText xml:space="preserve"> REF _Ref74462779 \n \h </w:instrText>
      </w:r>
      <w:r w:rsidRPr="009C48DA" w:rsidR="001923D4">
        <w:rPr>
          <w:i/>
          <w:lang w:val="en-GB" w:eastAsia="en-GB"/>
        </w:rPr>
      </w:r>
      <w:r w:rsidRPr="009C48DA" w:rsidR="001923D4">
        <w:rPr>
          <w:i/>
          <w:lang w:val="en-GB" w:eastAsia="en-GB"/>
        </w:rPr>
        <w:fldChar w:fldCharType="separate"/>
      </w:r>
      <w:r w:rsidR="007C3D19">
        <w:rPr>
          <w:i/>
          <w:lang w:val="en-GB" w:eastAsia="en-GB"/>
        </w:rPr>
        <w:t>Part B</w:t>
      </w:r>
      <w:r w:rsidRPr="009C48DA" w:rsidR="001923D4">
        <w:rPr>
          <w:i/>
          <w:lang w:val="en-GB" w:eastAsia="en-GB"/>
        </w:rPr>
        <w:fldChar w:fldCharType="end"/>
      </w:r>
      <w:r w:rsidRPr="009C48DA" w:rsidR="001923D4">
        <w:rPr>
          <w:i/>
          <w:lang w:val="en-GB" w:eastAsia="en-GB"/>
        </w:rPr>
        <w:t xml:space="preserve"> of </w:t>
      </w:r>
      <w:r w:rsidRPr="009C48DA">
        <w:rPr>
          <w:i/>
          <w:lang w:val="en-GB" w:eastAsia="en-GB"/>
        </w:rPr>
        <w:fldChar w:fldCharType="begin"/>
      </w:r>
      <w:r w:rsidRPr="009C48DA">
        <w:rPr>
          <w:i/>
          <w:lang w:val="en-GB" w:eastAsia="en-GB"/>
        </w:rPr>
        <w:instrText xml:space="preserve"> REF _Ref72799626 \w \h  \* MERGEFORMAT </w:instrText>
      </w:r>
      <w:r w:rsidRPr="009C48DA">
        <w:rPr>
          <w:i/>
          <w:lang w:val="en-GB" w:eastAsia="en-GB"/>
        </w:rPr>
      </w:r>
      <w:r w:rsidRPr="009C48DA">
        <w:rPr>
          <w:i/>
          <w:lang w:val="en-GB" w:eastAsia="en-GB"/>
        </w:rPr>
        <w:fldChar w:fldCharType="separate"/>
      </w:r>
      <w:r w:rsidR="007C3D19">
        <w:rPr>
          <w:i/>
          <w:lang w:val="en-GB" w:eastAsia="en-GB"/>
        </w:rPr>
        <w:t>Part X</w:t>
      </w:r>
      <w:r w:rsidRPr="009C48DA">
        <w:rPr>
          <w:i/>
          <w:lang w:val="en-GB" w:eastAsia="en-GB"/>
        </w:rPr>
        <w:fldChar w:fldCharType="end"/>
      </w:r>
      <w:r w:rsidRPr="009C48DA">
        <w:rPr>
          <w:i/>
          <w:lang w:val="en-GB" w:eastAsia="en-GB"/>
        </w:rPr>
        <w:t xml:space="preserve"> (</w:t>
      </w:r>
      <w:r w:rsidRPr="009C48DA">
        <w:rPr>
          <w:i/>
          <w:lang w:val="en-GB" w:eastAsia="en-GB"/>
        </w:rPr>
      </w:r>
      <w:r w:rsidRPr="007C3D19" w:rsidR="007C3D19">
        <w:rPr>
          <w:i/>
          <w:lang w:val="en-GB"/>
        </w:rPr>
        <w:t>Historical Financial Information</w:t>
      </w:r>
      <w:r w:rsidRPr="009C48DA" w:rsidR="003473C7">
        <w:rPr>
          <w:i/>
          <w:lang w:val="en-GB" w:eastAsia="en-GB"/>
        </w:rPr>
        <w:t>)</w:t>
      </w:r>
      <w:r w:rsidRPr="009C48DA">
        <w:rPr>
          <w:i/>
          <w:lang w:val="en-GB" w:eastAsia="en-GB"/>
        </w:rPr>
        <w:t xml:space="preserve">. </w:t>
      </w:r>
    </w:p>
    <w:p w:rsidRPr="009C48DA" w:rsidR="00B51E80" w:rsidP="00175C0A" w:rsidRDefault="00B51E80" w14:paraId="6332866D" w14:textId="3DD98EC6">
      <w:pPr>
        <w:pStyle w:val="BodyText2SglJ"/>
        <w:rPr>
          <w:i/>
          <w:lang w:val="en-GB"/>
        </w:rPr>
      </w:pPr>
      <w:r w:rsidRPr="009C48DA">
        <w:rPr>
          <w:i/>
          <w:lang w:val="en-GB"/>
        </w:rPr>
        <w:t xml:space="preserve">Certain statements in this </w:t>
      </w:r>
      <w:r w:rsidRPr="009C48DA">
        <w:rPr>
          <w:i/>
          <w:lang w:val="en-GB" w:eastAsia="en-GB"/>
        </w:rPr>
        <w:fldChar w:fldCharType="begin"/>
      </w:r>
      <w:r w:rsidRPr="009C48DA">
        <w:rPr>
          <w:i/>
          <w:lang w:val="en-GB" w:eastAsia="en-GB"/>
        </w:rPr>
        <w:instrText xml:space="preserve"> REF _Ref71144174 \w \h  \* MERGEFORMAT </w:instrText>
      </w:r>
      <w:r w:rsidRPr="009C48DA">
        <w:rPr>
          <w:i/>
          <w:lang w:val="en-GB" w:eastAsia="en-GB"/>
        </w:rPr>
      </w:r>
      <w:r w:rsidRPr="009C48DA">
        <w:rPr>
          <w:i/>
          <w:lang w:val="en-GB" w:eastAsia="en-GB"/>
        </w:rPr>
        <w:fldChar w:fldCharType="separate"/>
      </w:r>
      <w:r w:rsidR="007C3D19">
        <w:rPr>
          <w:i/>
          <w:lang w:val="en-GB" w:eastAsia="en-GB"/>
        </w:rPr>
        <w:t>Part IX</w:t>
      </w:r>
      <w:r w:rsidRPr="009C48DA">
        <w:rPr>
          <w:i/>
          <w:lang w:val="en-GB" w:eastAsia="en-GB"/>
        </w:rPr>
        <w:fldChar w:fldCharType="end"/>
      </w:r>
      <w:r w:rsidRPr="009C48DA">
        <w:rPr>
          <w:i/>
          <w:lang w:val="en-GB" w:eastAsia="en-GB"/>
        </w:rPr>
        <w:t xml:space="preserve"> (</w:t>
      </w:r>
      <w:r w:rsidRPr="009C48DA" w:rsidR="00175C0A">
        <w:rPr>
          <w:i/>
          <w:lang w:val="en-GB"/>
        </w:rPr>
        <w:fldChar w:fldCharType="begin"/>
      </w:r>
      <w:r w:rsidRPr="009C48DA" w:rsidR="00175C0A">
        <w:rPr>
          <w:i/>
          <w:lang w:val="en-GB" w:eastAsia="en-GB"/>
        </w:rPr>
        <w:instrText xml:space="preserve"> REF _Ref75191226 \h </w:instrText>
      </w:r>
      <w:r w:rsidRPr="009C48DA" w:rsidR="00175C0A">
        <w:rPr>
          <w:i/>
          <w:lang w:val="en-GB"/>
        </w:rPr>
        <w:instrText xml:space="preserve"> \* MERGEFORMAT </w:instrText>
      </w:r>
      <w:r w:rsidRPr="009C48DA" w:rsidR="00175C0A">
        <w:rPr>
          <w:i/>
          <w:lang w:val="en-GB"/>
        </w:rPr>
      </w:r>
      <w:r w:rsidRPr="009C48DA" w:rsidR="00175C0A">
        <w:rPr>
          <w:i/>
          <w:lang w:val="en-GB"/>
        </w:rPr>
        <w:fldChar w:fldCharType="separate"/>
      </w:r>
      <w:r w:rsidRPr="007C3D19" w:rsidR="007C3D19">
        <w:rPr>
          <w:i/>
          <w:lang w:val="en-GB"/>
        </w:rPr>
        <w:t>Operating and Financial Review</w:t>
      </w:r>
      <w:r w:rsidRPr="009C48DA" w:rsidR="00175C0A">
        <w:rPr>
          <w:i/>
          <w:lang w:val="en-GB"/>
        </w:rPr>
        <w:fldChar w:fldCharType="end"/>
      </w:r>
      <w:r w:rsidRPr="009C48DA">
        <w:rPr>
          <w:i/>
          <w:lang w:val="en-GB" w:eastAsia="en-GB"/>
        </w:rPr>
        <w:t>)</w:t>
      </w:r>
      <w:r w:rsidRPr="009C48DA">
        <w:rPr>
          <w:i/>
          <w:lang w:val="en-GB"/>
        </w:rPr>
        <w:t xml:space="preserve">, including in particular the Group’s outlook described below, constitute forward-looking statements. These forward-looking statements are subject to a number of known and unknown risks and uncertainties, many of which are beyond the Group’s control and all of which are based on the Group’s current beliefs and expectations about future events. As a result, the Group’s actual results may vary from the outlook established herein, and those variations may be material. Some of the risks and uncertainties are described in </w:t>
      </w:r>
      <w:r w:rsidRPr="009C48DA">
        <w:rPr>
          <w:i/>
          <w:lang w:val="en-GB"/>
        </w:rPr>
        <w:fldChar w:fldCharType="begin"/>
      </w:r>
      <w:r w:rsidRPr="009C48DA">
        <w:rPr>
          <w:i/>
          <w:lang w:val="en-GB"/>
        </w:rPr>
        <w:instrText xml:space="preserve"> REF _Ref71136204 \w \h  \* MERGEFORMAT </w:instrText>
      </w:r>
      <w:r w:rsidRPr="009C48DA">
        <w:rPr>
          <w:i/>
          <w:lang w:val="en-GB"/>
        </w:rPr>
      </w:r>
      <w:r w:rsidRPr="009C48DA">
        <w:rPr>
          <w:i/>
          <w:lang w:val="en-GB"/>
        </w:rPr>
        <w:fldChar w:fldCharType="separate"/>
      </w:r>
      <w:r w:rsidR="007C3D19">
        <w:rPr>
          <w:i/>
          <w:lang w:val="en-GB"/>
        </w:rPr>
        <w:t>Part I</w:t>
      </w:r>
      <w:r w:rsidRPr="009C48DA">
        <w:rPr>
          <w:i/>
          <w:lang w:val="en-GB"/>
        </w:rPr>
        <w:fldChar w:fldCharType="end"/>
      </w:r>
      <w:r w:rsidRPr="009C48DA">
        <w:rPr>
          <w:i/>
          <w:lang w:val="en-GB"/>
        </w:rPr>
        <w:t xml:space="preserve"> (</w:t>
      </w:r>
      <w:r w:rsidRPr="009C48DA" w:rsidR="006E3BE7">
        <w:rPr>
          <w:i/>
          <w:lang w:val="en-GB"/>
        </w:rPr>
        <w:fldChar w:fldCharType="begin"/>
      </w:r>
      <w:r w:rsidRPr="009C48DA" w:rsidR="006E3BE7">
        <w:rPr>
          <w:i/>
          <w:lang w:val="en-GB"/>
        </w:rPr>
        <w:instrText xml:space="preserve"> REF _Ref75190583 \h  \* MERGEFORMAT </w:instrText>
      </w:r>
      <w:r w:rsidRPr="009C48DA" w:rsidR="006E3BE7">
        <w:rPr>
          <w:i/>
          <w:lang w:val="en-GB"/>
        </w:rPr>
      </w:r>
      <w:r w:rsidRPr="009C48DA" w:rsidR="006E3BE7">
        <w:rPr>
          <w:i/>
          <w:lang w:val="en-GB"/>
        </w:rPr>
        <w:fldChar w:fldCharType="separate"/>
      </w:r>
      <w:r w:rsidRPr="007C3D19" w:rsidR="007C3D19">
        <w:rPr>
          <w:i/>
          <w:lang w:val="en-GB"/>
        </w:rPr>
        <w:t>Risk Factors</w:t>
      </w:r>
      <w:r w:rsidRPr="009C48DA" w:rsidR="006E3BE7">
        <w:rPr>
          <w:i/>
          <w:lang w:val="en-GB"/>
        </w:rPr>
        <w:fldChar w:fldCharType="end"/>
      </w:r>
      <w:r w:rsidRPr="009C48DA" w:rsidR="00164EEC">
        <w:rPr>
          <w:i/>
          <w:lang w:val="en-GB"/>
        </w:rPr>
        <w:t>)</w:t>
      </w:r>
      <w:r w:rsidRPr="009C48DA">
        <w:rPr>
          <w:i/>
          <w:lang w:val="en-GB"/>
        </w:rPr>
        <w:t xml:space="preserve">. The forward-looking statements included in this </w:t>
      </w:r>
      <w:r w:rsidRPr="009C48DA">
        <w:rPr>
          <w:i/>
          <w:lang w:val="en-GB" w:eastAsia="en-GB"/>
        </w:rPr>
        <w:fldChar w:fldCharType="begin"/>
      </w:r>
      <w:r w:rsidRPr="009C48DA">
        <w:rPr>
          <w:i/>
          <w:lang w:val="en-GB" w:eastAsia="en-GB"/>
        </w:rPr>
        <w:instrText xml:space="preserve"> REF _Ref71144174 \w \h  \* MERGEFORMAT </w:instrText>
      </w:r>
      <w:r w:rsidRPr="009C48DA">
        <w:rPr>
          <w:i/>
          <w:lang w:val="en-GB" w:eastAsia="en-GB"/>
        </w:rPr>
      </w:r>
      <w:r w:rsidRPr="009C48DA">
        <w:rPr>
          <w:i/>
          <w:lang w:val="en-GB" w:eastAsia="en-GB"/>
        </w:rPr>
        <w:fldChar w:fldCharType="separate"/>
      </w:r>
      <w:r w:rsidR="007C3D19">
        <w:rPr>
          <w:i/>
          <w:lang w:val="en-GB" w:eastAsia="en-GB"/>
        </w:rPr>
        <w:t>Part IX</w:t>
      </w:r>
      <w:r w:rsidRPr="009C48DA">
        <w:rPr>
          <w:i/>
          <w:lang w:val="en-GB" w:eastAsia="en-GB"/>
        </w:rPr>
        <w:fldChar w:fldCharType="end"/>
      </w:r>
      <w:r w:rsidRPr="009C48DA">
        <w:rPr>
          <w:i/>
          <w:lang w:val="en-GB" w:eastAsia="en-GB"/>
        </w:rPr>
        <w:t xml:space="preserve"> (</w:t>
      </w:r>
      <w:r w:rsidRPr="009C48DA" w:rsidR="00175C0A">
        <w:rPr>
          <w:i/>
          <w:lang w:val="en-GB"/>
        </w:rPr>
        <w:fldChar w:fldCharType="begin"/>
      </w:r>
      <w:r w:rsidRPr="009C48DA" w:rsidR="00175C0A">
        <w:rPr>
          <w:i/>
          <w:lang w:val="en-GB" w:eastAsia="en-GB"/>
        </w:rPr>
        <w:instrText xml:space="preserve"> REF _Ref75191226 \h </w:instrText>
      </w:r>
      <w:r w:rsidRPr="009C48DA" w:rsidR="00175C0A">
        <w:rPr>
          <w:i/>
          <w:lang w:val="en-GB"/>
        </w:rPr>
        <w:instrText xml:space="preserve"> \* MERGEFORMAT </w:instrText>
      </w:r>
      <w:r w:rsidRPr="009C48DA" w:rsidR="00175C0A">
        <w:rPr>
          <w:i/>
          <w:lang w:val="en-GB"/>
        </w:rPr>
      </w:r>
      <w:r w:rsidRPr="009C48DA" w:rsidR="00175C0A">
        <w:rPr>
          <w:i/>
          <w:lang w:val="en-GB"/>
        </w:rPr>
        <w:fldChar w:fldCharType="separate"/>
      </w:r>
      <w:r w:rsidRPr="007C3D19" w:rsidR="007C3D19">
        <w:rPr>
          <w:i/>
          <w:lang w:val="en-GB"/>
        </w:rPr>
        <w:t>Operating and Financial Review</w:t>
      </w:r>
      <w:r w:rsidRPr="009C48DA" w:rsidR="00175C0A">
        <w:rPr>
          <w:i/>
          <w:lang w:val="en-GB"/>
        </w:rPr>
        <w:fldChar w:fldCharType="end"/>
      </w:r>
      <w:r w:rsidRPr="009C48DA">
        <w:rPr>
          <w:i/>
          <w:lang w:val="en-GB"/>
        </w:rPr>
        <w:t>) in particular are not guarantees of future financial performance.</w:t>
      </w:r>
    </w:p>
    <w:p w:rsidRPr="009C48DA" w:rsidR="00B51E80" w:rsidP="00475D91" w:rsidRDefault="00B51E80" w14:paraId="245BFB1C" w14:textId="07C890E2">
      <w:pPr>
        <w:pStyle w:val="BodyText2SglJ"/>
        <w:rPr>
          <w:i/>
          <w:color w:val="000000"/>
          <w:lang w:val="en-GB"/>
        </w:rPr>
      </w:pPr>
      <w:r w:rsidRPr="009C48DA">
        <w:rPr>
          <w:rFonts w:cs="Arial"/>
          <w:i/>
          <w:lang w:val="en-GB"/>
        </w:rPr>
        <w:t xml:space="preserve">It is strongly urged that undue reliance should not be placed on any of the statements set forth below. The Group can give no assurance that the outlook described below will materialise or prove to be correct. Because these statements are based on assumptions or estimates and are subject to risks and uncertainties, the actual results of operations could differ materially from those described below. The Group does not undertake to publish updates as to its progress towards achieving any of the objectives set out below, including as the Group may be impacted by events or circumstances existing or arising after the date of this Registration Document or may reflect the occurrence of unanticipated events or circumstances. See also </w:t>
      </w:r>
      <w:r w:rsidRPr="009C48DA">
        <w:rPr>
          <w:i/>
          <w:lang w:val="en-GB"/>
        </w:rPr>
        <w:fldChar w:fldCharType="begin"/>
      </w:r>
      <w:r w:rsidRPr="009C48DA">
        <w:rPr>
          <w:i/>
          <w:lang w:val="en-GB"/>
        </w:rPr>
        <w:instrText xml:space="preserve"> REF _Ref71136204 \w \h  \* MERGEFORMAT </w:instrText>
      </w:r>
      <w:r w:rsidRPr="009C48DA">
        <w:rPr>
          <w:i/>
          <w:lang w:val="en-GB"/>
        </w:rPr>
      </w:r>
      <w:r w:rsidRPr="009C48DA">
        <w:rPr>
          <w:i/>
          <w:lang w:val="en-GB"/>
        </w:rPr>
        <w:fldChar w:fldCharType="separate"/>
      </w:r>
      <w:r w:rsidR="007C3D19">
        <w:rPr>
          <w:i/>
          <w:lang w:val="en-GB"/>
        </w:rPr>
        <w:t>Part I</w:t>
      </w:r>
      <w:r w:rsidRPr="009C48DA">
        <w:rPr>
          <w:i/>
          <w:lang w:val="en-GB"/>
        </w:rPr>
        <w:fldChar w:fldCharType="end"/>
      </w:r>
      <w:r w:rsidRPr="009C48DA">
        <w:rPr>
          <w:i/>
          <w:lang w:val="en-GB"/>
        </w:rPr>
        <w:t xml:space="preserve"> (</w:t>
      </w:r>
      <w:r w:rsidRPr="009C48DA" w:rsidR="00475D91">
        <w:rPr>
          <w:i/>
          <w:lang w:val="en-GB"/>
        </w:rPr>
        <w:fldChar w:fldCharType="begin"/>
      </w:r>
      <w:r w:rsidRPr="009C48DA" w:rsidR="00475D91">
        <w:rPr>
          <w:i/>
          <w:lang w:val="en-GB"/>
        </w:rPr>
        <w:instrText xml:space="preserve"> REF _Ref75190583 \h  \* MERGEFORMAT </w:instrText>
      </w:r>
      <w:r w:rsidRPr="009C48DA" w:rsidR="00475D91">
        <w:rPr>
          <w:i/>
          <w:lang w:val="en-GB"/>
        </w:rPr>
      </w:r>
      <w:r w:rsidRPr="009C48DA" w:rsidR="00475D91">
        <w:rPr>
          <w:i/>
          <w:lang w:val="en-GB"/>
        </w:rPr>
        <w:fldChar w:fldCharType="separate"/>
      </w:r>
      <w:r w:rsidRPr="007C3D19" w:rsidR="007C3D19">
        <w:rPr>
          <w:i/>
          <w:lang w:val="en-GB"/>
        </w:rPr>
        <w:t>Risk Factors</w:t>
      </w:r>
      <w:r w:rsidRPr="009C48DA" w:rsidR="00475D91">
        <w:rPr>
          <w:i/>
          <w:lang w:val="en-GB"/>
        </w:rPr>
        <w:fldChar w:fldCharType="end"/>
      </w:r>
      <w:r w:rsidRPr="009C48DA">
        <w:rPr>
          <w:i/>
          <w:lang w:val="en-GB"/>
        </w:rPr>
        <w:t>)</w:t>
      </w:r>
      <w:r w:rsidRPr="009C48DA">
        <w:rPr>
          <w:rFonts w:cs="Arial"/>
          <w:i/>
          <w:lang w:val="en-GB"/>
        </w:rPr>
        <w:t xml:space="preserve"> for further information.</w:t>
      </w:r>
    </w:p>
    <w:p w:rsidRPr="009C48DA" w:rsidR="00B51E80" w:rsidP="000C376E" w:rsidRDefault="00B51E80" w14:paraId="77BD3025" w14:textId="77777777">
      <w:pPr>
        <w:pStyle w:val="TitleBAllCaps"/>
        <w:rPr>
          <w:color w:val="000000"/>
        </w:rPr>
      </w:pPr>
      <w:r w:rsidRPr="009C48DA">
        <w:t>OVERVIEW</w:t>
      </w:r>
    </w:p>
    <w:p w:rsidRPr="009C48DA" w:rsidR="00FA30C8" w:rsidP="00FA30C8" w:rsidRDefault="00961BEE" w14:paraId="20F567AA" w14:textId="1440C49C">
      <w:pPr>
        <w:pStyle w:val="BodyText2SglJ"/>
        <w:rPr>
          <w:lang w:val="en-GB"/>
        </w:rPr>
      </w:pPr>
      <w:r w:rsidRPr="009C48DA">
        <w:rPr>
          <w:lang w:val="en-GB"/>
        </w:rPr>
        <w:t xml:space="preserve">Bridgepoint </w:t>
      </w:r>
      <w:r w:rsidRPr="009C48DA" w:rsidR="00FA30C8">
        <w:rPr>
          <w:lang w:val="en-GB"/>
        </w:rPr>
        <w:t xml:space="preserve">is the global leader in middle market private assets </w:t>
      </w:r>
      <w:r w:rsidR="00BA3614">
        <w:rPr>
          <w:lang w:val="en-GB"/>
        </w:rPr>
        <w:t>investing. It had approximately </w:t>
      </w:r>
      <w:r w:rsidRPr="009C48DA" w:rsidR="00FA30C8">
        <w:rPr>
          <w:lang w:val="en-GB"/>
        </w:rPr>
        <w:t>€27.4 billion of total assets under management as of 31 March 2021, in six distinct investment strategies across private equity and private credit. Operating in a fast</w:t>
      </w:r>
      <w:r w:rsidRPr="009C48DA" w:rsidR="00FA30C8">
        <w:rPr>
          <w:lang w:val="en-GB"/>
        </w:rPr>
        <w:noBreakHyphen/>
        <w:t>growing market, the group has a 30-year track record of delivering compelling returns with an attractive risk profile to a blue</w:t>
      </w:r>
      <w:r w:rsidRPr="009C48DA" w:rsidR="00FA30C8">
        <w:rPr>
          <w:lang w:val="en-GB"/>
        </w:rPr>
        <w:noBreakHyphen/>
        <w:t xml:space="preserve">chip and loyal base of over 300 investors globally as of 31 March 2021. Led by a team of partners who have a long history of working together, with over 170 investment professionals as of 31 March 2021, </w:t>
      </w:r>
      <w:r w:rsidRPr="009C48DA">
        <w:rPr>
          <w:lang w:val="en-GB"/>
        </w:rPr>
        <w:t xml:space="preserve">Bridgepoint </w:t>
      </w:r>
      <w:r w:rsidRPr="009C48DA" w:rsidR="00FA30C8">
        <w:rPr>
          <w:lang w:val="en-GB"/>
        </w:rPr>
        <w:t>has a well</w:t>
      </w:r>
      <w:r w:rsidRPr="009C48DA" w:rsidR="00FA30C8">
        <w:rPr>
          <w:lang w:val="en-GB"/>
        </w:rPr>
        <w:noBreakHyphen/>
        <w:t xml:space="preserve">invested middle market platform across Europe, North America and Asia, providing a strong foundation for further strategic expansion. </w:t>
      </w:r>
    </w:p>
    <w:p w:rsidRPr="009C48DA" w:rsidR="00FA30C8" w:rsidP="00FA30C8" w:rsidRDefault="00FA30C8" w14:paraId="0196B862" w14:textId="20A489DE">
      <w:pPr>
        <w:pStyle w:val="BodyText2SglJ"/>
        <w:rPr>
          <w:lang w:val="en-GB"/>
        </w:rPr>
      </w:pPr>
      <w:r w:rsidRPr="009C48DA">
        <w:rPr>
          <w:lang w:val="en-GB"/>
        </w:rPr>
        <w:t xml:space="preserve">Key to the Group’s investment approach is a strong culture of unity, deep experience and industrial networks through an investment platform with a distinctive, highly developed corporate culture and a focus on responsible investing. Throughout </w:t>
      </w:r>
      <w:r w:rsidRPr="009C48DA" w:rsidR="006D5BFE">
        <w:rPr>
          <w:lang w:val="en-GB"/>
        </w:rPr>
        <w:t>Bridgepoint</w:t>
      </w:r>
      <w:r w:rsidRPr="009C48DA">
        <w:rPr>
          <w:lang w:val="en-GB"/>
        </w:rPr>
        <w:t xml:space="preserve">’s history, the </w:t>
      </w:r>
      <w:r w:rsidRPr="009C48DA" w:rsidR="00961BEE">
        <w:rPr>
          <w:lang w:val="en-GB"/>
        </w:rPr>
        <w:t xml:space="preserve">Bridgepoint </w:t>
      </w:r>
      <w:r w:rsidRPr="009C48DA">
        <w:rPr>
          <w:lang w:val="en-GB"/>
        </w:rPr>
        <w:t xml:space="preserve">private equity funds have made investments in over 400 businesses and the </w:t>
      </w:r>
      <w:r w:rsidRPr="009C48DA" w:rsidR="00961BEE">
        <w:rPr>
          <w:lang w:val="en-GB"/>
        </w:rPr>
        <w:t xml:space="preserve">Bridgepoint </w:t>
      </w:r>
      <w:r w:rsidRPr="009C48DA">
        <w:rPr>
          <w:lang w:val="en-GB"/>
        </w:rPr>
        <w:t xml:space="preserve">private credit funds </w:t>
      </w:r>
      <w:r w:rsidR="00BA3614">
        <w:rPr>
          <w:lang w:val="en-GB"/>
        </w:rPr>
        <w:t>have provided financing to over </w:t>
      </w:r>
      <w:r w:rsidRPr="009C48DA">
        <w:rPr>
          <w:lang w:val="en-GB"/>
        </w:rPr>
        <w:t>250 businesses.</w:t>
      </w:r>
    </w:p>
    <w:p w:rsidRPr="009C48DA" w:rsidR="00FA30C8" w:rsidP="00FA30C8" w:rsidRDefault="00FA30C8" w14:paraId="0E2C2FFE" w14:textId="25A04699">
      <w:pPr>
        <w:pStyle w:val="BodyText2SglJ"/>
        <w:rPr>
          <w:lang w:val="en-GB"/>
        </w:rPr>
      </w:pPr>
      <w:r w:rsidRPr="009C48DA">
        <w:rPr>
          <w:lang w:val="en-GB"/>
        </w:rPr>
        <w:t xml:space="preserve">Founded in 1984, </w:t>
      </w:r>
      <w:r w:rsidRPr="009C48DA" w:rsidR="00961BEE">
        <w:rPr>
          <w:lang w:val="en-GB"/>
        </w:rPr>
        <w:t xml:space="preserve">Bridgepoint </w:t>
      </w:r>
      <w:r w:rsidRPr="009C48DA">
        <w:rPr>
          <w:lang w:val="en-GB"/>
        </w:rPr>
        <w:t>has continuously evolved and invested in its investment platform. The Directors believe that the Group is strongly placed to capitalise on forecast double-digit market growth in the alternative asset management market from 2020</w:t>
      </w:r>
      <w:r w:rsidRPr="009C48DA">
        <w:rPr>
          <w:rFonts w:cs="Times New Roman"/>
          <w:lang w:val="en-GB"/>
        </w:rPr>
        <w:t xml:space="preserve"> to </w:t>
      </w:r>
      <w:r w:rsidRPr="009C48DA">
        <w:rPr>
          <w:lang w:val="en-GB"/>
        </w:rPr>
        <w:t>2025</w:t>
      </w:r>
      <w:r w:rsidRPr="009C48DA">
        <w:rPr>
          <w:vertAlign w:val="superscript"/>
          <w:lang w:val="en-GB"/>
        </w:rPr>
        <w:footnoteReference w:id="44"/>
      </w:r>
      <w:r w:rsidRPr="009C48DA">
        <w:rPr>
          <w:lang w:val="en-GB"/>
        </w:rPr>
        <w:t xml:space="preserve"> and to continue the Group’s strategic diversification. </w:t>
      </w:r>
      <w:r w:rsidRPr="009C48DA" w:rsidR="00961BEE">
        <w:rPr>
          <w:lang w:val="en-GB"/>
        </w:rPr>
        <w:t xml:space="preserve">Bridgepoint </w:t>
      </w:r>
      <w:r w:rsidRPr="009C48DA">
        <w:rPr>
          <w:lang w:val="en-GB"/>
        </w:rPr>
        <w:t xml:space="preserve">has a strong track record of delivering returns to investors in the </w:t>
      </w:r>
      <w:r w:rsidRPr="009C48DA" w:rsidR="00961BEE">
        <w:rPr>
          <w:lang w:val="en-GB"/>
        </w:rPr>
        <w:t xml:space="preserve">Bridgepoint </w:t>
      </w:r>
      <w:r w:rsidRPr="009C48DA">
        <w:rPr>
          <w:lang w:val="en-GB"/>
        </w:rPr>
        <w:t xml:space="preserve">Funds that spans over more than 35 years. This stability, bringing experience of investing over multiple economic cycles, and a well-established, excellent reputation in the industry, has been balanced with team development to create depth in leadership, ensuring consistent decision-making rigour across the Group. </w:t>
      </w:r>
    </w:p>
    <w:p w:rsidRPr="009C48DA" w:rsidR="00FA30C8" w:rsidP="00FA30C8" w:rsidRDefault="00FA30C8" w14:paraId="5039D314" w14:textId="1F450EC1">
      <w:pPr>
        <w:pStyle w:val="BodyText2SglJ"/>
        <w:rPr>
          <w:lang w:val="en-GB"/>
        </w:rPr>
      </w:pPr>
      <w:r w:rsidRPr="009C48DA">
        <w:rPr>
          <w:lang w:val="en-GB"/>
        </w:rPr>
        <w:t xml:space="preserve">The Group’s private equity track record is demonstrated by the 2.5 times Gross MOIC and 22.6 per cent </w:t>
      </w:r>
      <w:r w:rsidRPr="009C48DA" w:rsidR="00D61A58">
        <w:rPr>
          <w:lang w:val="en-GB"/>
        </w:rPr>
        <w:t xml:space="preserve">gross </w:t>
      </w:r>
      <w:r w:rsidRPr="009C48DA">
        <w:rPr>
          <w:lang w:val="en-GB"/>
        </w:rPr>
        <w:t>IRR</w:t>
      </w:r>
      <w:r w:rsidRPr="009C48DA" w:rsidR="00906792">
        <w:rPr>
          <w:lang w:val="en-GB"/>
        </w:rPr>
        <w:t xml:space="preserve">, in each case based on realised </w:t>
      </w:r>
      <w:r w:rsidRPr="009C48DA">
        <w:rPr>
          <w:lang w:val="en-GB"/>
        </w:rPr>
        <w:t>investments</w:t>
      </w:r>
      <w:r w:rsidRPr="009C48DA" w:rsidR="00906792">
        <w:rPr>
          <w:lang w:val="en-GB"/>
        </w:rPr>
        <w:t xml:space="preserve"> and</w:t>
      </w:r>
      <w:r w:rsidRPr="009C48DA">
        <w:rPr>
          <w:lang w:val="en-GB"/>
        </w:rPr>
        <w:t xml:space="preserve"> delivered on invested capital after the global financial crisis (in the period from the first quarter of 2009 through the fourth quarter of 2020) across the </w:t>
      </w:r>
      <w:r w:rsidRPr="009C48DA" w:rsidR="00961BEE">
        <w:rPr>
          <w:lang w:val="en-GB"/>
        </w:rPr>
        <w:t xml:space="preserve">Bridgepoint </w:t>
      </w:r>
      <w:r w:rsidRPr="009C48DA">
        <w:rPr>
          <w:lang w:val="en-GB"/>
        </w:rPr>
        <w:t xml:space="preserve">Europe funds IV to VI, </w:t>
      </w:r>
      <w:r w:rsidRPr="009C48DA" w:rsidR="00961BEE">
        <w:rPr>
          <w:lang w:val="en-GB"/>
        </w:rPr>
        <w:t xml:space="preserve">Bridgepoint </w:t>
      </w:r>
      <w:r w:rsidRPr="009C48DA">
        <w:rPr>
          <w:lang w:val="en-GB"/>
        </w:rPr>
        <w:t xml:space="preserve">Development Capital funds I to III and </w:t>
      </w:r>
      <w:r w:rsidRPr="009C48DA" w:rsidR="00961BEE">
        <w:rPr>
          <w:lang w:val="en-GB"/>
        </w:rPr>
        <w:t xml:space="preserve">Bridgepoint </w:t>
      </w:r>
      <w:r w:rsidRPr="009C48DA">
        <w:rPr>
          <w:lang w:val="en-GB"/>
        </w:rPr>
        <w:lastRenderedPageBreak/>
        <w:t>Growth. See “</w:t>
      </w:r>
      <w:r w:rsidRPr="009C48DA">
        <w:rPr>
          <w:i/>
          <w:lang w:val="en-GB"/>
        </w:rPr>
        <w:t xml:space="preserve">Financial Model—Selected Key Metrics of the </w:t>
      </w:r>
      <w:r w:rsidRPr="009C48DA" w:rsidR="00961BEE">
        <w:rPr>
          <w:i/>
          <w:lang w:val="en-GB"/>
        </w:rPr>
        <w:t xml:space="preserve">Bridgepoint </w:t>
      </w:r>
      <w:r w:rsidRPr="009C48DA">
        <w:rPr>
          <w:i/>
          <w:lang w:val="en-GB"/>
        </w:rPr>
        <w:t>Funds</w:t>
      </w:r>
      <w:r w:rsidRPr="009C48DA">
        <w:rPr>
          <w:lang w:val="en-GB"/>
        </w:rPr>
        <w:t xml:space="preserve">” for a detailed definition of Gross MOIC and IRR and how they are calculated. The Group has a similar track record in private credit, having committed approximately €11 billion of capital to over 250 companies from 2010 to 2020 across all </w:t>
      </w:r>
      <w:r w:rsidRPr="009C48DA" w:rsidR="00961BEE">
        <w:rPr>
          <w:lang w:val="en-GB"/>
        </w:rPr>
        <w:t xml:space="preserve">Bridgepoint </w:t>
      </w:r>
      <w:r w:rsidRPr="009C48DA">
        <w:rPr>
          <w:lang w:val="en-GB"/>
        </w:rPr>
        <w:t xml:space="preserve">private credit funds, with both </w:t>
      </w:r>
      <w:r w:rsidRPr="009C48DA" w:rsidR="00961BEE">
        <w:rPr>
          <w:lang w:val="en-GB"/>
        </w:rPr>
        <w:t xml:space="preserve">Bridgepoint </w:t>
      </w:r>
      <w:r w:rsidRPr="009C48DA">
        <w:rPr>
          <w:lang w:val="en-GB"/>
        </w:rPr>
        <w:t>Credit Opportunities I and II as top five per cent performers</w:t>
      </w:r>
      <w:r w:rsidRPr="009C48DA">
        <w:rPr>
          <w:rStyle w:val="FootnoteReference"/>
          <w:szCs w:val="20"/>
          <w:lang w:val="en-GB"/>
        </w:rPr>
        <w:footnoteReference w:id="45"/>
      </w:r>
      <w:r w:rsidRPr="009C48DA">
        <w:rPr>
          <w:lang w:val="en-GB"/>
        </w:rPr>
        <w:t xml:space="preserve"> and </w:t>
      </w:r>
      <w:r w:rsidRPr="009C48DA" w:rsidR="00961BEE">
        <w:rPr>
          <w:lang w:val="en-GB"/>
        </w:rPr>
        <w:t xml:space="preserve">Bridgepoint </w:t>
      </w:r>
      <w:r w:rsidRPr="009C48DA">
        <w:rPr>
          <w:lang w:val="en-GB"/>
        </w:rPr>
        <w:t>Direct Lending funds delivering target returns, in each case as of 30 September 2020.</w:t>
      </w:r>
    </w:p>
    <w:p w:rsidRPr="009C48DA" w:rsidR="00FA30C8" w:rsidP="00FA30C8" w:rsidRDefault="00FA30C8" w14:paraId="55638742" w14:textId="2CA6727D">
      <w:pPr>
        <w:pStyle w:val="BodyText2SglJ"/>
        <w:rPr>
          <w:lang w:val="en-GB"/>
        </w:rPr>
      </w:pPr>
      <w:r w:rsidRPr="009C48DA">
        <w:rPr>
          <w:lang w:val="en-GB"/>
        </w:rPr>
        <w:t xml:space="preserve">The strong and consistent returns delivered by the </w:t>
      </w:r>
      <w:r w:rsidRPr="009C48DA" w:rsidR="00961BEE">
        <w:rPr>
          <w:lang w:val="en-GB"/>
        </w:rPr>
        <w:t xml:space="preserve">Bridgepoint </w:t>
      </w:r>
      <w:r w:rsidRPr="009C48DA">
        <w:rPr>
          <w:lang w:val="en-GB"/>
        </w:rPr>
        <w:t>Funds have enabled the Group to grow Total AUM by approximately three times from 2011 to 31 March 2021 to approximately €27.4 billion as of 31 March 2021. As of 31 March 2021, the Group had approximately €17.8 billion of AUM. See “</w:t>
      </w:r>
      <w:r w:rsidRPr="009C48DA">
        <w:rPr>
          <w:i/>
          <w:lang w:val="en-GB"/>
        </w:rPr>
        <w:t>Alternative Performance Measures and Key Performance Indicators—AUM and Total AUM</w:t>
      </w:r>
      <w:r w:rsidRPr="009C48DA" w:rsidR="00B23F18">
        <w:rPr>
          <w:i/>
          <w:lang w:val="en-GB"/>
        </w:rPr>
        <w:t>.</w:t>
      </w:r>
      <w:r w:rsidRPr="009C48DA">
        <w:rPr>
          <w:lang w:val="en-GB"/>
        </w:rPr>
        <w:t xml:space="preserve">” for a detailed definition and description of Total AUM and AUM. </w:t>
      </w:r>
    </w:p>
    <w:p w:rsidRPr="009C48DA" w:rsidR="00FA30C8" w:rsidP="00FA30C8" w:rsidRDefault="00FA30C8" w14:paraId="6648E12A" w14:textId="4EC007F5">
      <w:pPr>
        <w:pStyle w:val="BodyText2SglJ"/>
        <w:rPr>
          <w:lang w:val="en-GB"/>
        </w:rPr>
      </w:pPr>
      <w:r w:rsidRPr="009C48DA">
        <w:rPr>
          <w:lang w:val="en-GB"/>
        </w:rPr>
        <w:t>During the year ended 31 December 2020 and the three months ended 31 March 2021, the Group generated total operating income of £</w:t>
      </w:r>
      <w:r w:rsidRPr="009C48DA" w:rsidR="00D61A58">
        <w:rPr>
          <w:lang w:val="en-GB"/>
        </w:rPr>
        <w:t>191</w:t>
      </w:r>
      <w:r w:rsidRPr="009C48DA">
        <w:rPr>
          <w:lang w:val="en-GB"/>
        </w:rPr>
        <w:t xml:space="preserve">.8 million and </w:t>
      </w:r>
      <w:r w:rsidRPr="009C48DA" w:rsidR="00D61A58">
        <w:rPr>
          <w:lang w:val="en-GB"/>
        </w:rPr>
        <w:t>£61</w:t>
      </w:r>
      <w:r w:rsidRPr="009C48DA">
        <w:rPr>
          <w:lang w:val="en-GB"/>
        </w:rPr>
        <w:t xml:space="preserve">.4 million </w:t>
      </w:r>
      <w:r w:rsidR="00BA3614">
        <w:rPr>
          <w:lang w:val="en-GB"/>
        </w:rPr>
        <w:t>as well as Underlying EBITDA of </w:t>
      </w:r>
      <w:r w:rsidRPr="009C48DA">
        <w:rPr>
          <w:lang w:val="en-GB"/>
        </w:rPr>
        <w:t>£</w:t>
      </w:r>
      <w:r w:rsidRPr="009C48DA" w:rsidR="0008291A">
        <w:rPr>
          <w:lang w:val="en-GB"/>
        </w:rPr>
        <w:t>66.1</w:t>
      </w:r>
      <w:r w:rsidRPr="009C48DA">
        <w:rPr>
          <w:lang w:val="en-GB"/>
        </w:rPr>
        <w:t xml:space="preserve"> million</w:t>
      </w:r>
      <w:r w:rsidRPr="009C48DA" w:rsidR="0008291A">
        <w:rPr>
          <w:lang w:val="en-GB"/>
        </w:rPr>
        <w:t xml:space="preserve"> and £27.7 </w:t>
      </w:r>
      <w:r w:rsidRPr="009C48DA">
        <w:rPr>
          <w:lang w:val="en-GB"/>
        </w:rPr>
        <w:t xml:space="preserve">million, respectively, equating to an Underlying EBITDA Margin of </w:t>
      </w:r>
      <w:r w:rsidRPr="009C48DA" w:rsidR="0016222C">
        <w:rPr>
          <w:lang w:val="en-GB"/>
        </w:rPr>
        <w:t>34.4 and 45.0</w:t>
      </w:r>
      <w:r w:rsidRPr="009C48DA">
        <w:rPr>
          <w:lang w:val="en-GB"/>
        </w:rPr>
        <w:t xml:space="preserve"> per cent, respectively. The quality of the return of the </w:t>
      </w:r>
      <w:r w:rsidRPr="009C48DA" w:rsidR="00961BEE">
        <w:rPr>
          <w:lang w:val="en-GB"/>
        </w:rPr>
        <w:t xml:space="preserve">Bridgepoint </w:t>
      </w:r>
      <w:r w:rsidRPr="009C48DA">
        <w:rPr>
          <w:lang w:val="en-GB"/>
        </w:rPr>
        <w:t xml:space="preserve">Funds is also greatly enhanced by careful portfolio construction, with diversity by sector, geography and vintage year of commitment in each </w:t>
      </w:r>
      <w:r w:rsidRPr="009C48DA" w:rsidR="00961BEE">
        <w:rPr>
          <w:lang w:val="en-GB"/>
        </w:rPr>
        <w:t xml:space="preserve">Bridgepoint </w:t>
      </w:r>
      <w:r w:rsidRPr="009C48DA">
        <w:rPr>
          <w:lang w:val="en-GB"/>
        </w:rPr>
        <w:t>Fund reducing the fund’s overall risk profile while maintaining strong absolute returns.</w:t>
      </w:r>
    </w:p>
    <w:p w:rsidRPr="009C48DA" w:rsidR="00FA30C8" w:rsidP="00FA30C8" w:rsidRDefault="00FA30C8" w14:paraId="14F30192" w14:textId="77777777">
      <w:pPr>
        <w:pStyle w:val="BodyText2SglJ"/>
        <w:keepNext/>
        <w:rPr>
          <w:lang w:val="en-GB"/>
        </w:rPr>
      </w:pPr>
      <w:r w:rsidRPr="009C48DA">
        <w:rPr>
          <w:lang w:val="en-GB"/>
        </w:rPr>
        <w:t>The Group operates six distinct investment strategies across two complementary asset classes:</w:t>
      </w:r>
    </w:p>
    <w:p w:rsidRPr="009C48DA" w:rsidR="00FA30C8" w:rsidP="00FA30C8" w:rsidRDefault="00FA30C8" w14:paraId="498FF470" w14:textId="6FA3CA1D">
      <w:pPr>
        <w:pStyle w:val="STBBullet3"/>
        <w:rPr>
          <w:lang w:val="en-GB"/>
        </w:rPr>
      </w:pPr>
      <w:r w:rsidRPr="009C48DA">
        <w:rPr>
          <w:b/>
          <w:lang w:val="en-GB"/>
        </w:rPr>
        <w:t>Private Equity</w:t>
      </w:r>
      <w:r w:rsidRPr="009C48DA">
        <w:rPr>
          <w:lang w:val="en-GB"/>
        </w:rPr>
        <w:t xml:space="preserve">: As of 31 March 2021, the Group managed €19.2 billion of Total AUM across three classes of highly synergistic private equity funds, with the Group’s flagship European middle market strategy </w:t>
      </w:r>
      <w:r w:rsidRPr="009C48DA" w:rsidR="00D61A58">
        <w:rPr>
          <w:lang w:val="en-GB"/>
        </w:rPr>
        <w:t>(</w:t>
      </w:r>
      <w:r w:rsidRPr="009C48DA" w:rsidR="00961BEE">
        <w:rPr>
          <w:lang w:val="en-GB"/>
        </w:rPr>
        <w:t xml:space="preserve">Bridgepoint </w:t>
      </w:r>
      <w:r w:rsidRPr="009C48DA">
        <w:rPr>
          <w:lang w:val="en-GB"/>
        </w:rPr>
        <w:t>Europe</w:t>
      </w:r>
      <w:r w:rsidRPr="009C48DA" w:rsidR="00D61A58">
        <w:rPr>
          <w:lang w:val="en-GB"/>
        </w:rPr>
        <w:t>)</w:t>
      </w:r>
      <w:r w:rsidRPr="009C48DA">
        <w:rPr>
          <w:lang w:val="en-GB"/>
        </w:rPr>
        <w:t>, a</w:t>
      </w:r>
      <w:r w:rsidRPr="009C48DA" w:rsidR="00D61A58">
        <w:rPr>
          <w:lang w:val="en-GB"/>
        </w:rPr>
        <w:t xml:space="preserve"> lower middle market strategy (</w:t>
      </w:r>
      <w:r w:rsidRPr="009C48DA" w:rsidR="00961BEE">
        <w:rPr>
          <w:lang w:val="en-GB"/>
        </w:rPr>
        <w:t xml:space="preserve">Bridgepoint </w:t>
      </w:r>
      <w:r w:rsidRPr="009C48DA">
        <w:rPr>
          <w:lang w:val="en-GB"/>
        </w:rPr>
        <w:t>Development Capital</w:t>
      </w:r>
      <w:r w:rsidRPr="009C48DA" w:rsidR="00D61A58">
        <w:rPr>
          <w:lang w:val="en-GB"/>
        </w:rPr>
        <w:t>) and an early stage strategy (</w:t>
      </w:r>
      <w:r w:rsidRPr="009C48DA" w:rsidR="00961BEE">
        <w:rPr>
          <w:lang w:val="en-GB"/>
        </w:rPr>
        <w:t xml:space="preserve">Bridgepoint </w:t>
      </w:r>
      <w:r w:rsidRPr="009C48DA">
        <w:rPr>
          <w:lang w:val="en-GB"/>
        </w:rPr>
        <w:t>Growth</w:t>
      </w:r>
      <w:r w:rsidRPr="009C48DA" w:rsidR="00D61A58">
        <w:rPr>
          <w:lang w:val="en-GB"/>
        </w:rPr>
        <w:t>)</w:t>
      </w:r>
      <w:r w:rsidRPr="009C48DA">
        <w:rPr>
          <w:lang w:val="en-GB"/>
        </w:rPr>
        <w:t xml:space="preserve">. </w:t>
      </w:r>
    </w:p>
    <w:p w:rsidRPr="009C48DA" w:rsidR="00B51E80" w:rsidP="00FA30C8" w:rsidRDefault="00FA30C8" w14:paraId="2FECE684" w14:textId="487E78CC">
      <w:pPr>
        <w:pStyle w:val="STBBullet3"/>
        <w:rPr>
          <w:lang w:val="en-GB"/>
        </w:rPr>
      </w:pPr>
      <w:r w:rsidRPr="009C48DA">
        <w:rPr>
          <w:b/>
          <w:lang w:val="en-GB"/>
        </w:rPr>
        <w:t>Private Credit</w:t>
      </w:r>
      <w:r w:rsidRPr="009C48DA">
        <w:rPr>
          <w:lang w:val="en-GB"/>
        </w:rPr>
        <w:t>:</w:t>
      </w:r>
      <w:r w:rsidRPr="009C48DA">
        <w:rPr>
          <w:b/>
          <w:lang w:val="en-GB"/>
        </w:rPr>
        <w:t xml:space="preserve"> </w:t>
      </w:r>
      <w:r w:rsidRPr="009C48DA">
        <w:rPr>
          <w:lang w:val="en-GB"/>
        </w:rPr>
        <w:t>In addition, the Group managed €7.4 bill</w:t>
      </w:r>
      <w:r w:rsidR="00BA3614">
        <w:rPr>
          <w:lang w:val="en-GB"/>
        </w:rPr>
        <w:t>ion of Total AUM as of 31 March </w:t>
      </w:r>
      <w:r w:rsidRPr="009C48DA">
        <w:rPr>
          <w:lang w:val="en-GB"/>
        </w:rPr>
        <w:t>2021 across three classes of private credit funds, with a strategy to act as lender to privately owned companies and private equity-backed portfolio companies (</w:t>
      </w:r>
      <w:r w:rsidRPr="009C48DA" w:rsidR="00961BEE">
        <w:rPr>
          <w:lang w:val="en-GB"/>
        </w:rPr>
        <w:t xml:space="preserve">Bridgepoint </w:t>
      </w:r>
      <w:r w:rsidRPr="009C48DA">
        <w:rPr>
          <w:lang w:val="en-GB"/>
        </w:rPr>
        <w:t>Direct Lending) a distress</w:t>
      </w:r>
      <w:r w:rsidRPr="009C48DA" w:rsidR="00D61A58">
        <w:rPr>
          <w:lang w:val="en-GB"/>
        </w:rPr>
        <w:t>ed credit investment strategy (</w:t>
      </w:r>
      <w:r w:rsidRPr="009C48DA" w:rsidR="00961BEE">
        <w:rPr>
          <w:lang w:val="en-GB"/>
        </w:rPr>
        <w:t xml:space="preserve">Bridgepoint </w:t>
      </w:r>
      <w:r w:rsidRPr="009C48DA">
        <w:rPr>
          <w:lang w:val="en-GB"/>
        </w:rPr>
        <w:t>Credit Opportunities) a</w:t>
      </w:r>
      <w:r w:rsidRPr="009C48DA" w:rsidR="00D61A58">
        <w:rPr>
          <w:lang w:val="en-GB"/>
        </w:rPr>
        <w:t>nd a syndicated debt strategy (</w:t>
      </w:r>
      <w:r w:rsidRPr="009C48DA" w:rsidR="00961BEE">
        <w:rPr>
          <w:lang w:val="en-GB"/>
        </w:rPr>
        <w:t xml:space="preserve">Bridgepoint </w:t>
      </w:r>
      <w:r w:rsidRPr="009C48DA">
        <w:rPr>
          <w:lang w:val="en-GB"/>
        </w:rPr>
        <w:t xml:space="preserve">Syndicated Debt). </w:t>
      </w:r>
    </w:p>
    <w:p w:rsidRPr="009C48DA" w:rsidR="00B51E80" w:rsidP="000C376E" w:rsidRDefault="00B51E80" w14:paraId="2E541F29" w14:textId="77777777">
      <w:pPr>
        <w:pStyle w:val="TitleBAllCaps"/>
      </w:pPr>
      <w:r w:rsidRPr="009C48DA">
        <w:t>RECENT DEVELOPMENTS AND OUTLOOK</w:t>
      </w:r>
    </w:p>
    <w:p w:rsidRPr="009C48DA" w:rsidR="00B51E80" w:rsidP="00B51E80" w:rsidRDefault="00B51E80" w14:paraId="6C3C2D20" w14:textId="48E4A334">
      <w:pPr>
        <w:pStyle w:val="BodyText2SglJ"/>
        <w:rPr>
          <w:lang w:val="en-GB"/>
        </w:rPr>
      </w:pPr>
      <w:r w:rsidRPr="009C48DA">
        <w:rPr>
          <w:lang w:val="en-GB"/>
        </w:rPr>
        <w:t xml:space="preserve">There </w:t>
      </w:r>
      <w:r w:rsidRPr="009C48DA" w:rsidR="00830D64">
        <w:rPr>
          <w:lang w:val="en-GB"/>
        </w:rPr>
        <w:t>have been</w:t>
      </w:r>
      <w:r w:rsidRPr="009C48DA">
        <w:rPr>
          <w:lang w:val="en-GB"/>
        </w:rPr>
        <w:t xml:space="preserve"> no significant changes in the financial performance of the Group </w:t>
      </w:r>
      <w:r w:rsidR="00BA3614">
        <w:rPr>
          <w:color w:val="000000"/>
          <w:lang w:val="en-GB"/>
        </w:rPr>
        <w:t>since 31 </w:t>
      </w:r>
      <w:r w:rsidRPr="009C48DA" w:rsidR="00120027">
        <w:rPr>
          <w:color w:val="000000"/>
          <w:lang w:val="en-GB"/>
        </w:rPr>
        <w:t>March </w:t>
      </w:r>
      <w:r w:rsidRPr="009C48DA" w:rsidR="005A0185">
        <w:rPr>
          <w:color w:val="000000"/>
          <w:lang w:val="en-GB"/>
        </w:rPr>
        <w:t xml:space="preserve">2021, </w:t>
      </w:r>
      <w:r w:rsidRPr="009C48DA" w:rsidR="006876CA">
        <w:rPr>
          <w:color w:val="000000"/>
          <w:lang w:val="en-GB"/>
        </w:rPr>
        <w:t>which is</w:t>
      </w:r>
      <w:r w:rsidRPr="009C48DA" w:rsidR="00546D9B">
        <w:rPr>
          <w:color w:val="000000"/>
          <w:lang w:val="en-GB"/>
        </w:rPr>
        <w:t xml:space="preserve"> </w:t>
      </w:r>
      <w:r w:rsidRPr="009C48DA" w:rsidR="005A0185">
        <w:rPr>
          <w:color w:val="000000"/>
          <w:lang w:val="en-GB"/>
        </w:rPr>
        <w:t xml:space="preserve">the end of the last financial period for which interim financial information has been published as set out in </w:t>
      </w:r>
      <w:r w:rsidRPr="009C48DA" w:rsidR="005A0185">
        <w:rPr>
          <w:color w:val="000000"/>
          <w:lang w:val="en-GB"/>
        </w:rPr>
        <w:fldChar w:fldCharType="begin"/>
      </w:r>
      <w:r w:rsidRPr="009C48DA" w:rsidR="005A0185">
        <w:rPr>
          <w:color w:val="000000"/>
          <w:lang w:val="en-GB"/>
        </w:rPr>
        <w:instrText xml:space="preserve"> REF _Ref71146177 \n \h  \* MERGEFORMAT </w:instrText>
      </w:r>
      <w:r w:rsidRPr="009C48DA" w:rsidR="005A0185">
        <w:rPr>
          <w:color w:val="000000"/>
          <w:lang w:val="en-GB"/>
        </w:rPr>
      </w:r>
      <w:r w:rsidRPr="009C48DA" w:rsidR="005A0185">
        <w:rPr>
          <w:color w:val="000000"/>
          <w:lang w:val="en-GB"/>
        </w:rPr>
        <w:fldChar w:fldCharType="separate"/>
      </w:r>
      <w:r w:rsidR="007C3D19">
        <w:rPr>
          <w:color w:val="000000"/>
          <w:lang w:val="en-GB"/>
        </w:rPr>
        <w:t>Part B</w:t>
      </w:r>
      <w:r w:rsidRPr="009C48DA" w:rsidR="005A0185">
        <w:rPr>
          <w:color w:val="000000"/>
          <w:lang w:val="en-GB"/>
        </w:rPr>
        <w:fldChar w:fldCharType="end"/>
      </w:r>
      <w:r w:rsidRPr="009C48DA" w:rsidR="005A0185">
        <w:rPr>
          <w:color w:val="000000"/>
          <w:lang w:val="en-GB"/>
        </w:rPr>
        <w:t xml:space="preserve"> of </w:t>
      </w:r>
      <w:r w:rsidRPr="009C48DA" w:rsidR="005A0185">
        <w:rPr>
          <w:color w:val="000000"/>
          <w:lang w:val="en-GB"/>
        </w:rPr>
        <w:fldChar w:fldCharType="begin"/>
      </w:r>
      <w:r w:rsidRPr="009C48DA" w:rsidR="005A0185">
        <w:rPr>
          <w:color w:val="000000"/>
          <w:lang w:val="en-GB"/>
        </w:rPr>
        <w:instrText xml:space="preserve"> REF _Ref71146182 \n \h  \* MERGEFORMAT </w:instrText>
      </w:r>
      <w:r w:rsidRPr="009C48DA" w:rsidR="005A0185">
        <w:rPr>
          <w:color w:val="000000"/>
          <w:lang w:val="en-GB"/>
        </w:rPr>
      </w:r>
      <w:r w:rsidRPr="009C48DA" w:rsidR="005A0185">
        <w:rPr>
          <w:color w:val="000000"/>
          <w:lang w:val="en-GB"/>
        </w:rPr>
        <w:fldChar w:fldCharType="separate"/>
      </w:r>
      <w:r w:rsidR="007C3D19">
        <w:rPr>
          <w:color w:val="000000"/>
          <w:lang w:val="en-GB"/>
        </w:rPr>
        <w:t>Part X</w:t>
      </w:r>
      <w:r w:rsidRPr="009C48DA" w:rsidR="005A0185">
        <w:rPr>
          <w:color w:val="000000"/>
          <w:lang w:val="en-GB"/>
        </w:rPr>
        <w:fldChar w:fldCharType="end"/>
      </w:r>
      <w:r w:rsidRPr="009C48DA" w:rsidR="005A0185">
        <w:rPr>
          <w:color w:val="000000"/>
          <w:lang w:val="en-GB"/>
        </w:rPr>
        <w:t xml:space="preserve"> (</w:t>
      </w:r>
      <w:r w:rsidRPr="009C48DA" w:rsidR="00EE4217">
        <w:rPr>
          <w:i/>
          <w:lang w:val="en-GB"/>
        </w:rPr>
      </w:r>
      <w:r w:rsidRPr="007C3D19" w:rsidR="007C3D19">
        <w:rPr>
          <w:i/>
          <w:lang w:val="en-GB"/>
        </w:rPr>
        <w:t>Historical Financial Information</w:t>
      </w:r>
      <w:r w:rsidRPr="009C48DA" w:rsidR="005A0185">
        <w:rPr>
          <w:color w:val="000000"/>
          <w:lang w:val="en-GB"/>
        </w:rPr>
        <w:t>)</w:t>
      </w:r>
      <w:r w:rsidRPr="009C48DA">
        <w:rPr>
          <w:lang w:val="en-GB"/>
        </w:rPr>
        <w:t>, and there are no known trends, uncertainties, demands, commitments or events that are reasonably likely to have a material effect on the Group’s prospects for at least the current financial year.</w:t>
      </w:r>
    </w:p>
    <w:p w:rsidRPr="009C48DA" w:rsidR="001923D4" w:rsidP="00B51E80" w:rsidRDefault="00B51E80" w14:paraId="7CDEF534" w14:textId="27388052">
      <w:pPr>
        <w:pStyle w:val="BodyText2SglJ"/>
        <w:rPr>
          <w:lang w:val="en-GB"/>
        </w:rPr>
      </w:pPr>
      <w:r w:rsidRPr="009C48DA">
        <w:rPr>
          <w:lang w:val="en-GB"/>
        </w:rPr>
        <w:t xml:space="preserve">The Group expects to receive deferred </w:t>
      </w:r>
      <w:r w:rsidRPr="009C48DA" w:rsidR="008A4F11">
        <w:rPr>
          <w:lang w:val="en-GB"/>
        </w:rPr>
        <w:t xml:space="preserve">cash consideration </w:t>
      </w:r>
      <w:r w:rsidRPr="009C48DA">
        <w:rPr>
          <w:lang w:val="en-GB"/>
        </w:rPr>
        <w:t>from Dy</w:t>
      </w:r>
      <w:r w:rsidRPr="009C48DA" w:rsidR="008A4F11">
        <w:rPr>
          <w:lang w:val="en-GB"/>
        </w:rPr>
        <w:t>al in December </w:t>
      </w:r>
      <w:r w:rsidRPr="009C48DA">
        <w:rPr>
          <w:lang w:val="en-GB"/>
        </w:rPr>
        <w:t>2021. See</w:t>
      </w:r>
      <w:r w:rsidRPr="009C48DA" w:rsidR="00120027">
        <w:rPr>
          <w:lang w:val="en-GB"/>
        </w:rPr>
        <w:br/>
      </w:r>
      <w:r w:rsidRPr="009C48DA">
        <w:rPr>
          <w:lang w:val="en-GB"/>
        </w:rPr>
        <w:t>“</w:t>
      </w:r>
      <w:r w:rsidRPr="009C48DA" w:rsidR="001923D4">
        <w:rPr>
          <w:lang w:val="en-GB"/>
        </w:rPr>
        <w:t>—</w:t>
      </w:r>
      <w:r w:rsidRPr="009C48DA">
        <w:rPr>
          <w:i/>
          <w:lang w:val="en-GB"/>
        </w:rPr>
        <w:t xml:space="preserve">Factors affecting comparability of results of operations—Investment by </w:t>
      </w:r>
      <w:r w:rsidRPr="009C48DA" w:rsidR="005A0658">
        <w:rPr>
          <w:i/>
          <w:lang w:val="en-GB"/>
        </w:rPr>
        <w:t>Dyal Equity Funds</w:t>
      </w:r>
      <w:r w:rsidRPr="009C48DA">
        <w:rPr>
          <w:lang w:val="en-GB"/>
        </w:rPr>
        <w:t>”</w:t>
      </w:r>
      <w:r w:rsidRPr="009C48DA" w:rsidR="008A4F11">
        <w:rPr>
          <w:lang w:val="en-GB"/>
        </w:rPr>
        <w:t xml:space="preserve"> and </w:t>
      </w:r>
      <w:r w:rsidRPr="009C48DA" w:rsidR="008A4F11">
        <w:rPr>
          <w:rFonts w:eastAsia="Calibri" w:cs="Arial"/>
          <w:lang w:val="en-GB"/>
        </w:rPr>
        <w:t>section</w:t>
      </w:r>
      <w:r w:rsidR="00122E59">
        <w:rPr>
          <w:rFonts w:eastAsia="Calibri" w:cs="Arial"/>
          <w:lang w:val="en-GB"/>
        </w:rPr>
        <w:t> </w:t>
      </w:r>
      <w:r w:rsidRPr="009C48DA" w:rsidR="008A4F11">
        <w:rPr>
          <w:rFonts w:eastAsia="Calibri" w:cs="Arial"/>
          <w:lang w:val="en-GB"/>
        </w:rPr>
        <w:fldChar w:fldCharType="begin"/>
      </w:r>
      <w:r w:rsidRPr="009C48DA" w:rsidR="008A4F11">
        <w:rPr>
          <w:rFonts w:eastAsia="Calibri" w:cs="Arial"/>
          <w:lang w:val="en-GB"/>
        </w:rPr>
        <w:instrText xml:space="preserve"> REF _Ref74461431 \n \h </w:instrText>
      </w:r>
      <w:r w:rsidRPr="009C48DA" w:rsidR="008A4F11">
        <w:rPr>
          <w:rFonts w:eastAsia="Calibri" w:cs="Arial"/>
          <w:lang w:val="en-GB"/>
        </w:rPr>
      </w:r>
      <w:r w:rsidRPr="009C48DA" w:rsidR="008A4F11">
        <w:rPr>
          <w:rFonts w:eastAsia="Calibri" w:cs="Arial"/>
          <w:lang w:val="en-GB"/>
        </w:rPr>
        <w:fldChar w:fldCharType="separate"/>
      </w:r>
      <w:r w:rsidR="007C3D19">
        <w:rPr>
          <w:rFonts w:eastAsia="Calibri" w:cs="Arial"/>
          <w:lang w:val="en-GB"/>
        </w:rPr>
        <w:t>14.1</w:t>
      </w:r>
      <w:r w:rsidRPr="009C48DA" w:rsidR="008A4F11">
        <w:rPr>
          <w:rFonts w:eastAsia="Calibri" w:cs="Arial"/>
          <w:lang w:val="en-GB"/>
        </w:rPr>
        <w:fldChar w:fldCharType="end"/>
      </w:r>
      <w:r w:rsidRPr="009C48DA" w:rsidR="008A4F11">
        <w:rPr>
          <w:rFonts w:eastAsia="Calibri" w:cs="Arial"/>
          <w:lang w:val="en-GB"/>
        </w:rPr>
        <w:t xml:space="preserve"> (</w:t>
      </w:r>
      <w:r w:rsidRPr="009C48DA" w:rsidR="008A4F11">
        <w:rPr>
          <w:rFonts w:eastAsia="Calibri" w:cs="Arial"/>
          <w:i/>
          <w:lang w:val="en-GB"/>
        </w:rPr>
        <w:t>Dyal Investment Agreement</w:t>
      </w:r>
      <w:r w:rsidRPr="009C48DA" w:rsidR="008A4F11">
        <w:rPr>
          <w:rFonts w:eastAsia="Calibri" w:cs="Arial"/>
          <w:lang w:val="en-GB"/>
        </w:rPr>
        <w:t xml:space="preserve">) of </w:t>
      </w:r>
      <w:r w:rsidRPr="009C48DA" w:rsidR="008A4F11">
        <w:rPr>
          <w:rFonts w:eastAsia="Calibri" w:cs="Arial"/>
          <w:lang w:val="en-GB"/>
        </w:rPr>
        <w:fldChar w:fldCharType="begin"/>
      </w:r>
      <w:r w:rsidRPr="009C48DA" w:rsidR="008A4F11">
        <w:rPr>
          <w:rFonts w:eastAsia="Calibri" w:cs="Arial"/>
          <w:lang w:val="en-GB"/>
        </w:rPr>
        <w:instrText xml:space="preserve"> REF _Ref71144215 \n \h </w:instrText>
      </w:r>
      <w:r w:rsidRPr="009C48DA" w:rsidR="008A4F11">
        <w:rPr>
          <w:rFonts w:eastAsia="Calibri" w:cs="Arial"/>
          <w:lang w:val="en-GB"/>
        </w:rPr>
      </w:r>
      <w:r w:rsidRPr="009C48DA" w:rsidR="008A4F11">
        <w:rPr>
          <w:rFonts w:eastAsia="Calibri" w:cs="Arial"/>
          <w:lang w:val="en-GB"/>
        </w:rPr>
        <w:fldChar w:fldCharType="separate"/>
      </w:r>
      <w:r w:rsidR="007C3D19">
        <w:rPr>
          <w:rFonts w:eastAsia="Calibri" w:cs="Arial"/>
          <w:lang w:val="en-GB"/>
        </w:rPr>
        <w:t>Part XI</w:t>
      </w:r>
      <w:r w:rsidRPr="009C48DA" w:rsidR="008A4F11">
        <w:rPr>
          <w:rFonts w:eastAsia="Calibri" w:cs="Arial"/>
          <w:lang w:val="en-GB"/>
        </w:rPr>
        <w:fldChar w:fldCharType="end"/>
      </w:r>
      <w:r w:rsidRPr="009C48DA" w:rsidR="008A4F11">
        <w:rPr>
          <w:rFonts w:eastAsia="Calibri" w:cs="Arial"/>
          <w:lang w:val="en-GB"/>
        </w:rPr>
        <w:t xml:space="preserve"> (</w:t>
      </w:r>
      <w:r w:rsidRPr="009C48DA" w:rsidR="008A4F11">
        <w:rPr>
          <w:i/>
          <w:color w:val="000000"/>
          <w:lang w:val="en-GB"/>
        </w:rPr>
      </w:r>
      <w:r w:rsidRPr="007C3D19" w:rsidR="007C3D19">
        <w:rPr>
          <w:i/>
          <w:lang w:val="en-GB"/>
        </w:rPr>
        <w:t>Additional Information</w:t>
      </w:r>
      <w:r w:rsidRPr="009C48DA" w:rsidR="008A4F11">
        <w:rPr>
          <w:rFonts w:eastAsia="Calibri" w:cs="Arial"/>
          <w:lang w:val="en-GB"/>
        </w:rPr>
        <w:t>) for additional details.</w:t>
      </w:r>
    </w:p>
    <w:p w:rsidRPr="009C48DA" w:rsidR="001923D4" w:rsidP="001923D4" w:rsidRDefault="001923D4" w14:paraId="110C4685" w14:textId="77777777">
      <w:pPr>
        <w:pStyle w:val="BodyText2SglJ"/>
        <w:rPr>
          <w:szCs w:val="20"/>
          <w:lang w:val="en-GB"/>
        </w:rPr>
      </w:pPr>
      <w:r w:rsidRPr="009C48DA">
        <w:rPr>
          <w:szCs w:val="20"/>
          <w:lang w:val="en-GB"/>
        </w:rPr>
        <w:t>On the basis of current target fundraises and prospects, the Group anticipates that the deferred consideration in relation to the acquisition of the EQT Credit business (as described below) will become payable in full. See “—</w:t>
      </w:r>
      <w:r w:rsidRPr="009C48DA">
        <w:rPr>
          <w:i/>
          <w:szCs w:val="20"/>
          <w:lang w:val="en-GB"/>
        </w:rPr>
        <w:t>Factors affecting comparability of results of operations—Acquisition of the EQT Credit business.</w:t>
      </w:r>
      <w:r w:rsidRPr="009C48DA">
        <w:rPr>
          <w:szCs w:val="20"/>
          <w:lang w:val="en-GB"/>
        </w:rPr>
        <w:t>”</w:t>
      </w:r>
    </w:p>
    <w:p w:rsidRPr="009C48DA" w:rsidR="00B51E80" w:rsidP="00B51E80" w:rsidRDefault="00B51E80" w14:paraId="5B9C1E88" w14:textId="062DB02A">
      <w:pPr>
        <w:pStyle w:val="BodyText2SglJ"/>
        <w:rPr>
          <w:lang w:val="en-GB"/>
        </w:rPr>
      </w:pPr>
      <w:r w:rsidRPr="009C48DA">
        <w:rPr>
          <w:lang w:val="en-GB"/>
        </w:rPr>
        <w:t xml:space="preserve">The Group expects to be net cash </w:t>
      </w:r>
      <w:r w:rsidRPr="009C48DA" w:rsidR="00480351">
        <w:rPr>
          <w:lang w:val="en-GB"/>
        </w:rPr>
        <w:t>before proceeds from the</w:t>
      </w:r>
      <w:r w:rsidRPr="009C48DA" w:rsidR="00EB0EF5">
        <w:rPr>
          <w:lang w:val="en-GB"/>
        </w:rPr>
        <w:t xml:space="preserve"> </w:t>
      </w:r>
      <w:r w:rsidRPr="009C48DA">
        <w:rPr>
          <w:lang w:val="en-GB"/>
        </w:rPr>
        <w:t>potential initial public offering by December 2021, but may take on additional leverage to support future fund initiatives or strategic actions.</w:t>
      </w:r>
    </w:p>
    <w:p w:rsidRPr="009C48DA" w:rsidR="00B51E80" w:rsidP="000C376E" w:rsidRDefault="00B51E80" w14:paraId="0F4C35A1" w14:textId="77777777">
      <w:pPr>
        <w:pStyle w:val="TitleBAllCaps"/>
      </w:pPr>
      <w:r w:rsidRPr="009C48DA">
        <w:lastRenderedPageBreak/>
        <w:t>FINANCIAL MODEL</w:t>
      </w:r>
    </w:p>
    <w:p w:rsidRPr="009C48DA" w:rsidR="00B51E80" w:rsidP="000C376E" w:rsidRDefault="00B51E80" w14:paraId="79B21C61" w14:textId="15B6918F">
      <w:pPr>
        <w:pStyle w:val="TitleB"/>
        <w:rPr>
          <w:lang w:val="en-GB"/>
        </w:rPr>
      </w:pPr>
      <w:r w:rsidRPr="009C48DA">
        <w:rPr>
          <w:lang w:val="en-GB"/>
        </w:rPr>
        <w:t>Introduction to the private investment funds financial model and fund life</w:t>
      </w:r>
      <w:r w:rsidRPr="009C48DA" w:rsidR="00FD0449">
        <w:rPr>
          <w:lang w:val="en-GB"/>
        </w:rPr>
        <w:t xml:space="preserve"> </w:t>
      </w:r>
      <w:r w:rsidRPr="009C48DA">
        <w:rPr>
          <w:lang w:val="en-GB"/>
        </w:rPr>
        <w:t xml:space="preserve">cycle and the financial model of the Group </w:t>
      </w:r>
    </w:p>
    <w:p w:rsidRPr="009C48DA" w:rsidR="00B51E80" w:rsidP="00B51E80" w:rsidRDefault="00B51E80" w14:paraId="40F7AC99" w14:textId="32D88A58">
      <w:pPr>
        <w:pStyle w:val="BodyText2SglJ"/>
        <w:rPr>
          <w:lang w:val="en-GB"/>
        </w:rPr>
      </w:pPr>
      <w:r w:rsidRPr="009C48DA">
        <w:rPr>
          <w:lang w:val="en-GB"/>
        </w:rPr>
        <w:t xml:space="preserve">The Group, with its more than 170 investment professionals and 43 investment partners as of 31 March 2021 supported by specialist and central functions within the Group, provides a broad range of management and advisory services to each </w:t>
      </w:r>
      <w:r w:rsidRPr="009C48DA" w:rsidR="00961BEE">
        <w:rPr>
          <w:lang w:val="en-GB"/>
        </w:rPr>
        <w:t xml:space="preserve">Bridgepoint </w:t>
      </w:r>
      <w:r w:rsidRPr="009C48DA">
        <w:rPr>
          <w:lang w:val="en-GB"/>
        </w:rPr>
        <w:t>Fund throughout its entire life</w:t>
      </w:r>
      <w:r w:rsidRPr="009C48DA" w:rsidR="00FD0449">
        <w:rPr>
          <w:lang w:val="en-GB"/>
        </w:rPr>
        <w:t xml:space="preserve"> </w:t>
      </w:r>
      <w:r w:rsidRPr="009C48DA">
        <w:rPr>
          <w:lang w:val="en-GB"/>
        </w:rPr>
        <w:t xml:space="preserve">cycle, from inception until termination. These services include, among others, assisting with the initial set-up of the fund and related legal structures, sourcing, locating, evaluating and negotiating investment and exit opportunities, ongoing monitoring, management and governance services, reporting to investors in the fund and other administrative services. In return, the Group operates an integrated fee-based revenue model for services provided with respect to the </w:t>
      </w:r>
      <w:r w:rsidRPr="009C48DA" w:rsidR="00961BEE">
        <w:rPr>
          <w:lang w:val="en-GB"/>
        </w:rPr>
        <w:t xml:space="preserve">Bridgepoint </w:t>
      </w:r>
      <w:r w:rsidRPr="009C48DA">
        <w:rPr>
          <w:lang w:val="en-GB"/>
        </w:rPr>
        <w:t xml:space="preserve">Funds, consisting of </w:t>
      </w:r>
      <w:r w:rsidRPr="009C48DA" w:rsidR="001923D4">
        <w:rPr>
          <w:lang w:val="en-GB"/>
        </w:rPr>
        <w:t xml:space="preserve">(i) </w:t>
      </w:r>
      <w:r w:rsidRPr="009C48DA">
        <w:rPr>
          <w:lang w:val="en-GB"/>
        </w:rPr>
        <w:t xml:space="preserve">management fees, </w:t>
      </w:r>
      <w:r w:rsidRPr="009C48DA" w:rsidR="001923D4">
        <w:rPr>
          <w:lang w:val="en-GB"/>
        </w:rPr>
        <w:t xml:space="preserve">(ii) a share of the profits from the fund’s investments referred to as </w:t>
      </w:r>
      <w:r w:rsidRPr="009C48DA">
        <w:rPr>
          <w:lang w:val="en-GB"/>
        </w:rPr>
        <w:t xml:space="preserve">“carried interest” </w:t>
      </w:r>
      <w:r w:rsidRPr="009C48DA" w:rsidR="001923D4">
        <w:rPr>
          <w:lang w:val="en-GB"/>
        </w:rPr>
        <w:t>(</w:t>
      </w:r>
      <w:r w:rsidRPr="009C48DA">
        <w:rPr>
          <w:lang w:val="en-GB"/>
        </w:rPr>
        <w:t>provided that relevant performance hurdles are met</w:t>
      </w:r>
      <w:r w:rsidRPr="009C48DA" w:rsidR="001923D4">
        <w:rPr>
          <w:lang w:val="en-GB"/>
        </w:rPr>
        <w:t>,</w:t>
      </w:r>
      <w:r w:rsidRPr="009C48DA">
        <w:rPr>
          <w:lang w:val="en-GB"/>
        </w:rPr>
        <w:t xml:space="preserve"> </w:t>
      </w:r>
      <w:r w:rsidRPr="009C48DA">
        <w:rPr>
          <w:i/>
          <w:lang w:val="en-GB"/>
        </w:rPr>
        <w:t>i.e.</w:t>
      </w:r>
      <w:r w:rsidRPr="009C48DA">
        <w:rPr>
          <w:lang w:val="en-GB"/>
        </w:rPr>
        <w:t xml:space="preserve"> a specified return for investors in the relevant </w:t>
      </w:r>
      <w:r w:rsidRPr="009C48DA" w:rsidR="00961BEE">
        <w:rPr>
          <w:lang w:val="en-GB"/>
        </w:rPr>
        <w:t xml:space="preserve">Bridgepoint </w:t>
      </w:r>
      <w:r w:rsidRPr="009C48DA">
        <w:rPr>
          <w:lang w:val="en-GB"/>
        </w:rPr>
        <w:t xml:space="preserve">Fund is achieved) and </w:t>
      </w:r>
      <w:r w:rsidRPr="009C48DA" w:rsidR="001923D4">
        <w:rPr>
          <w:lang w:val="en-GB"/>
        </w:rPr>
        <w:t xml:space="preserve">(iii) </w:t>
      </w:r>
      <w:r w:rsidRPr="009C48DA">
        <w:rPr>
          <w:lang w:val="en-GB"/>
        </w:rPr>
        <w:t xml:space="preserve">income arising from </w:t>
      </w:r>
      <w:r w:rsidRPr="009C48DA" w:rsidR="001923D4">
        <w:rPr>
          <w:lang w:val="en-GB"/>
        </w:rPr>
        <w:t xml:space="preserve">fair value remeasurement of </w:t>
      </w:r>
      <w:r w:rsidRPr="009C48DA">
        <w:rPr>
          <w:lang w:val="en-GB"/>
        </w:rPr>
        <w:t xml:space="preserve">the Group’s investment in the </w:t>
      </w:r>
      <w:r w:rsidRPr="009C48DA" w:rsidR="00961BEE">
        <w:rPr>
          <w:lang w:val="en-GB"/>
        </w:rPr>
        <w:t xml:space="preserve">Bridgepoint </w:t>
      </w:r>
      <w:r w:rsidRPr="009C48DA">
        <w:rPr>
          <w:lang w:val="en-GB"/>
        </w:rPr>
        <w:t>Funds.</w:t>
      </w:r>
    </w:p>
    <w:p w:rsidRPr="009C48DA" w:rsidR="00B51E80" w:rsidP="00B51E80" w:rsidRDefault="00B51E80" w14:paraId="78A5510E" w14:textId="549EC10C">
      <w:pPr>
        <w:pStyle w:val="BodyText2SglJ"/>
        <w:rPr>
          <w:lang w:val="en-GB"/>
        </w:rPr>
      </w:pPr>
      <w:r w:rsidRPr="009C48DA">
        <w:rPr>
          <w:lang w:val="en-GB"/>
        </w:rPr>
        <w:t xml:space="preserve">The </w:t>
      </w:r>
      <w:r w:rsidRPr="009C48DA" w:rsidR="00961BEE">
        <w:rPr>
          <w:lang w:val="en-GB"/>
        </w:rPr>
        <w:t xml:space="preserve">Bridgepoint </w:t>
      </w:r>
      <w:r w:rsidRPr="009C48DA">
        <w:rPr>
          <w:lang w:val="en-GB"/>
        </w:rPr>
        <w:t xml:space="preserve">Funds have historically typically been structured as a series of English limited partnerships. The investment capital of the </w:t>
      </w:r>
      <w:r w:rsidRPr="009C48DA" w:rsidR="00961BEE">
        <w:rPr>
          <w:lang w:val="en-GB"/>
        </w:rPr>
        <w:t xml:space="preserve">Bridgepoint </w:t>
      </w:r>
      <w:r w:rsidRPr="009C48DA">
        <w:rPr>
          <w:lang w:val="en-GB"/>
        </w:rPr>
        <w:t xml:space="preserve">Funds is primarily committed by external investors and is invested by the </w:t>
      </w:r>
      <w:r w:rsidRPr="009C48DA" w:rsidR="00961BEE">
        <w:rPr>
          <w:lang w:val="en-GB"/>
        </w:rPr>
        <w:t xml:space="preserve">Bridgepoint </w:t>
      </w:r>
      <w:r w:rsidRPr="009C48DA">
        <w:rPr>
          <w:lang w:val="en-GB"/>
        </w:rPr>
        <w:t xml:space="preserve">Funds according to pre-defined strategies, usually in private companies, securities and debt. Commitments from investors in the </w:t>
      </w:r>
      <w:r w:rsidRPr="009C48DA" w:rsidR="00961BEE">
        <w:rPr>
          <w:lang w:val="en-GB"/>
        </w:rPr>
        <w:t xml:space="preserve">Bridgepoint </w:t>
      </w:r>
      <w:r w:rsidRPr="009C48DA">
        <w:rPr>
          <w:lang w:val="en-GB"/>
        </w:rPr>
        <w:t xml:space="preserve">Funds constitute a financial obligation to provide an agreed amount of capital to the fund when called upon to do so in accordance with the relevant fund’s governing documents. The </w:t>
      </w:r>
      <w:r w:rsidRPr="009C48DA" w:rsidR="00961BEE">
        <w:rPr>
          <w:lang w:val="en-GB"/>
        </w:rPr>
        <w:t xml:space="preserve">Bridgepoint </w:t>
      </w:r>
      <w:r w:rsidRPr="009C48DA">
        <w:rPr>
          <w:lang w:val="en-GB"/>
        </w:rPr>
        <w:t>Funds are typically close</w:t>
      </w:r>
      <w:r w:rsidRPr="009C48DA" w:rsidR="00B4201B">
        <w:rPr>
          <w:lang w:val="en-GB"/>
        </w:rPr>
        <w:t>d</w:t>
      </w:r>
      <w:r w:rsidRPr="009C48DA">
        <w:rPr>
          <w:lang w:val="en-GB"/>
        </w:rPr>
        <w:t>-ended</w:t>
      </w:r>
      <w:r w:rsidRPr="009C48DA" w:rsidR="001923D4">
        <w:rPr>
          <w:lang w:val="en-GB"/>
        </w:rPr>
        <w:t xml:space="preserve"> funds</w:t>
      </w:r>
      <w:r w:rsidRPr="009C48DA">
        <w:rPr>
          <w:lang w:val="en-GB"/>
        </w:rPr>
        <w:t xml:space="preserve">, which means that there is a limited period of time during which capital commitments are raised from investors. After a fund’s final close, no further commitments are accepted. Historically, the typical fundraising period was around six to nine months for private equity strategies and around </w:t>
      </w:r>
      <w:r w:rsidRPr="009C48DA">
        <w:rPr>
          <w:rFonts w:cs="Times New Roman"/>
          <w:lang w:val="en-GB"/>
        </w:rPr>
        <w:t>12 to 18</w:t>
      </w:r>
      <w:r w:rsidRPr="009C48DA">
        <w:rPr>
          <w:lang w:val="en-GB"/>
        </w:rPr>
        <w:t xml:space="preserve"> months for private credit strategies, although variations may occur, depending on the maturity of the investment strategy, track record, market conditions and demand from investors.</w:t>
      </w:r>
    </w:p>
    <w:p w:rsidRPr="009C48DA" w:rsidR="00B51E80" w:rsidP="00B51E80" w:rsidRDefault="00B51E80" w14:paraId="7923805E" w14:textId="0077B9A9">
      <w:pPr>
        <w:pStyle w:val="BodyText2SglJ"/>
        <w:rPr>
          <w:lang w:val="en-GB"/>
        </w:rPr>
      </w:pPr>
      <w:r w:rsidRPr="009C48DA">
        <w:rPr>
          <w:lang w:val="en-GB"/>
        </w:rPr>
        <w:t xml:space="preserve">The lifespan of a typical </w:t>
      </w:r>
      <w:r w:rsidRPr="009C48DA" w:rsidR="00961BEE">
        <w:rPr>
          <w:lang w:val="en-GB"/>
        </w:rPr>
        <w:t xml:space="preserve">Bridgepoint </w:t>
      </w:r>
      <w:r w:rsidRPr="009C48DA">
        <w:rPr>
          <w:lang w:val="en-GB"/>
        </w:rPr>
        <w:t>Fund, which is approximately 10 years for funds with private equity strategies and approximately eight to 12 years for funds with private credit strategies, can be divided into two phases, the “commitment period” and the “post-commitment period.”</w:t>
      </w:r>
    </w:p>
    <w:p w:rsidRPr="009C48DA" w:rsidR="00B51E80" w:rsidP="00CA368F" w:rsidRDefault="00B51E80" w14:paraId="620080C5" w14:textId="53816377">
      <w:pPr>
        <w:pStyle w:val="TitleBI"/>
        <w:rPr>
          <w:lang w:val="en-GB"/>
        </w:rPr>
      </w:pPr>
      <w:r w:rsidRPr="009C48DA">
        <w:rPr>
          <w:lang w:val="en-GB"/>
        </w:rPr>
        <w:t>Commitment period</w:t>
      </w:r>
    </w:p>
    <w:p w:rsidRPr="009C48DA" w:rsidR="00B51E80" w:rsidP="00B51E80" w:rsidRDefault="00B51E80" w14:paraId="4858F1B0" w14:textId="059280FC">
      <w:pPr>
        <w:pStyle w:val="BodyText2SglJ"/>
        <w:rPr>
          <w:lang w:val="en-GB"/>
        </w:rPr>
      </w:pPr>
      <w:r w:rsidRPr="009C48DA">
        <w:rPr>
          <w:lang w:val="en-GB"/>
        </w:rPr>
        <w:t xml:space="preserve">The “commitment period” of a </w:t>
      </w:r>
      <w:r w:rsidRPr="009C48DA" w:rsidR="00961BEE">
        <w:rPr>
          <w:lang w:val="en-GB"/>
        </w:rPr>
        <w:t xml:space="preserve">Bridgepoint </w:t>
      </w:r>
      <w:r w:rsidRPr="009C48DA">
        <w:rPr>
          <w:lang w:val="en-GB"/>
        </w:rPr>
        <w:t>Fund</w:t>
      </w:r>
      <w:r w:rsidRPr="009C48DA" w:rsidR="00906792">
        <w:rPr>
          <w:lang w:val="en-GB"/>
        </w:rPr>
        <w:t>, which is sometimes also referred to as the “investment period,”</w:t>
      </w:r>
      <w:r w:rsidRPr="009C48DA">
        <w:rPr>
          <w:lang w:val="en-GB"/>
        </w:rPr>
        <w:t xml:space="preserve"> represents the period of time during which the relevant </w:t>
      </w:r>
      <w:r w:rsidRPr="009C48DA" w:rsidR="00961BEE">
        <w:rPr>
          <w:lang w:val="en-GB"/>
        </w:rPr>
        <w:t xml:space="preserve">Bridgepoint </w:t>
      </w:r>
      <w:r w:rsidRPr="009C48DA">
        <w:rPr>
          <w:lang w:val="en-GB"/>
        </w:rPr>
        <w:t xml:space="preserve">Fund sources investments and calls on capital contributions from the investors in the fund to acquire </w:t>
      </w:r>
      <w:r w:rsidRPr="009C48DA" w:rsidR="001923D4">
        <w:rPr>
          <w:lang w:val="en-GB"/>
        </w:rPr>
        <w:t xml:space="preserve">new </w:t>
      </w:r>
      <w:r w:rsidRPr="009C48DA">
        <w:rPr>
          <w:lang w:val="en-GB"/>
        </w:rPr>
        <w:t xml:space="preserve">investments. The commitment period commences on the initial closing of the </w:t>
      </w:r>
      <w:r w:rsidRPr="009C48DA" w:rsidR="00961BEE">
        <w:rPr>
          <w:lang w:val="en-GB"/>
        </w:rPr>
        <w:t xml:space="preserve">Bridgepoint </w:t>
      </w:r>
      <w:r w:rsidRPr="009C48DA">
        <w:rPr>
          <w:lang w:val="en-GB"/>
        </w:rPr>
        <w:t xml:space="preserve">Fund, from which point the </w:t>
      </w:r>
      <w:r w:rsidRPr="009C48DA" w:rsidR="00961BEE">
        <w:rPr>
          <w:lang w:val="en-GB"/>
        </w:rPr>
        <w:t xml:space="preserve">Bridgepoint </w:t>
      </w:r>
      <w:r w:rsidRPr="009C48DA">
        <w:rPr>
          <w:lang w:val="en-GB"/>
        </w:rPr>
        <w:t xml:space="preserve">Fund may begin to invest its commitments. Historical commitment periods have typically run for three through four years, but may vary depending on a range of factors, including the speed at which capital is deployed by the relevant </w:t>
      </w:r>
      <w:r w:rsidRPr="009C48DA" w:rsidR="00961BEE">
        <w:rPr>
          <w:lang w:val="en-GB"/>
        </w:rPr>
        <w:t xml:space="preserve">Bridgepoint </w:t>
      </w:r>
      <w:r w:rsidRPr="009C48DA">
        <w:rPr>
          <w:lang w:val="en-GB"/>
        </w:rPr>
        <w:t>Fund, the fund’s investment strategy, the availability of suitable investment opportunities and other considerations.</w:t>
      </w:r>
    </w:p>
    <w:p w:rsidRPr="009C48DA" w:rsidR="00B51E80" w:rsidP="00B51E80" w:rsidRDefault="00B51E80" w14:paraId="173CCAE7" w14:textId="39F53B83">
      <w:pPr>
        <w:pStyle w:val="BodyText2SglJ"/>
        <w:rPr>
          <w:lang w:val="en-GB"/>
        </w:rPr>
      </w:pPr>
      <w:r w:rsidRPr="009C48DA">
        <w:rPr>
          <w:lang w:val="en-GB"/>
        </w:rPr>
        <w:t xml:space="preserve">Under the terms of each </w:t>
      </w:r>
      <w:r w:rsidRPr="009C48DA" w:rsidR="00961BEE">
        <w:rPr>
          <w:lang w:val="en-GB"/>
        </w:rPr>
        <w:t xml:space="preserve">Bridgepoint </w:t>
      </w:r>
      <w:r w:rsidRPr="009C48DA">
        <w:rPr>
          <w:lang w:val="en-GB"/>
        </w:rPr>
        <w:t>Fund’s governing documents, an entity within the Group, (</w:t>
      </w:r>
      <w:r w:rsidRPr="009C48DA">
        <w:rPr>
          <w:i/>
          <w:lang w:val="en-GB"/>
        </w:rPr>
        <w:t>i.e.</w:t>
      </w:r>
      <w:r w:rsidRPr="009C48DA">
        <w:rPr>
          <w:lang w:val="en-GB"/>
        </w:rPr>
        <w:t xml:space="preserve"> the general partner), manages the fund and in turn is contractually entitled to a fixed management fee for managing the activities and affairs of the relevant </w:t>
      </w:r>
      <w:r w:rsidRPr="009C48DA" w:rsidR="00961BEE">
        <w:rPr>
          <w:lang w:val="en-GB"/>
        </w:rPr>
        <w:t xml:space="preserve">Bridgepoint </w:t>
      </w:r>
      <w:r w:rsidRPr="009C48DA">
        <w:rPr>
          <w:lang w:val="en-GB"/>
        </w:rPr>
        <w:t xml:space="preserve">Fund. This includes providing investment advice, research and due diligence, active ownership support, operational expertise and administrative services from </w:t>
      </w:r>
      <w:r w:rsidRPr="009C48DA" w:rsidR="00961BEE">
        <w:rPr>
          <w:lang w:val="en-GB"/>
        </w:rPr>
        <w:t xml:space="preserve">Bridgepoint </w:t>
      </w:r>
      <w:r w:rsidRPr="009C48DA">
        <w:rPr>
          <w:lang w:val="en-GB"/>
        </w:rPr>
        <w:t xml:space="preserve">investment professionals. Typically, the </w:t>
      </w:r>
      <w:r w:rsidRPr="009C48DA" w:rsidR="00961BEE">
        <w:rPr>
          <w:lang w:val="en-GB"/>
        </w:rPr>
        <w:t xml:space="preserve">Bridgepoint </w:t>
      </w:r>
      <w:r w:rsidRPr="009C48DA">
        <w:rPr>
          <w:lang w:val="en-GB"/>
        </w:rPr>
        <w:t xml:space="preserve">Fund, acting through its general partner, in turn appoints a management company within the Group to manage the fund in substitution for the general partner and such management company is paid a corresponding fee by the general partner for providing these services. During the commitment period, which begins after the initial closing of the </w:t>
      </w:r>
      <w:r w:rsidRPr="009C48DA" w:rsidR="00961BEE">
        <w:rPr>
          <w:lang w:val="en-GB"/>
        </w:rPr>
        <w:t xml:space="preserve">Bridgepoint </w:t>
      </w:r>
      <w:r w:rsidRPr="009C48DA">
        <w:rPr>
          <w:lang w:val="en-GB"/>
        </w:rPr>
        <w:t xml:space="preserve">Fund, the management fee is normally calculated as a percentage of total commitments to the </w:t>
      </w:r>
      <w:r w:rsidRPr="009C48DA" w:rsidR="00961BEE">
        <w:rPr>
          <w:lang w:val="en-GB"/>
        </w:rPr>
        <w:t xml:space="preserve">Bridgepoint </w:t>
      </w:r>
      <w:r w:rsidRPr="009C48DA">
        <w:rPr>
          <w:lang w:val="en-GB"/>
        </w:rPr>
        <w:t>Fund, which means that the amount of capital raised by the fund is often a key determining factor in management fee revenue during the commitment period. See “—</w:t>
      </w:r>
      <w:r w:rsidRPr="009C48DA">
        <w:rPr>
          <w:i/>
          <w:lang w:val="en-GB"/>
        </w:rPr>
        <w:t>Generation of management fees.</w:t>
      </w:r>
      <w:r w:rsidRPr="009C48DA">
        <w:rPr>
          <w:lang w:val="en-GB"/>
        </w:rPr>
        <w:t xml:space="preserve">” The exceptions to this are the </w:t>
      </w:r>
      <w:r w:rsidRPr="009C48DA" w:rsidR="00961BEE">
        <w:rPr>
          <w:lang w:val="en-GB"/>
        </w:rPr>
        <w:t xml:space="preserve">Bridgepoint </w:t>
      </w:r>
      <w:r w:rsidRPr="009C48DA">
        <w:rPr>
          <w:lang w:val="en-GB"/>
        </w:rPr>
        <w:t xml:space="preserve">Funds that follow private credit strategies, where funds typically charge management fees on the basis of total unrealised acquisition costs of investments during the commitment period (for example, this is the case for the </w:t>
      </w:r>
      <w:r w:rsidRPr="009C48DA" w:rsidR="00961BEE">
        <w:rPr>
          <w:lang w:val="en-GB"/>
        </w:rPr>
        <w:t xml:space="preserve">Bridgepoint </w:t>
      </w:r>
      <w:r w:rsidRPr="009C48DA">
        <w:rPr>
          <w:lang w:val="en-GB"/>
        </w:rPr>
        <w:t>Funds which operate direct lending and syndicated debt strategies).</w:t>
      </w:r>
    </w:p>
    <w:p w:rsidRPr="009C48DA" w:rsidR="00B51E80" w:rsidP="00CA368F" w:rsidRDefault="00B51E80" w14:paraId="1240AADB" w14:textId="77777777">
      <w:pPr>
        <w:pStyle w:val="TitleBI"/>
        <w:rPr>
          <w:lang w:val="en-GB"/>
        </w:rPr>
      </w:pPr>
      <w:r w:rsidRPr="009C48DA">
        <w:rPr>
          <w:lang w:val="en-GB"/>
        </w:rPr>
        <w:lastRenderedPageBreak/>
        <w:t>Post-commitment period</w:t>
      </w:r>
    </w:p>
    <w:p w:rsidRPr="009C48DA" w:rsidR="00B51E80" w:rsidP="00B51E80" w:rsidRDefault="00B51E80" w14:paraId="55E74A1B" w14:textId="4D9B7E46">
      <w:pPr>
        <w:pStyle w:val="BodyText2SglJ"/>
        <w:rPr>
          <w:lang w:val="en-GB"/>
        </w:rPr>
      </w:pPr>
      <w:r w:rsidRPr="009C48DA">
        <w:rPr>
          <w:lang w:val="en-GB"/>
        </w:rPr>
        <w:t xml:space="preserve">A </w:t>
      </w:r>
      <w:r w:rsidRPr="009C48DA" w:rsidR="00961BEE">
        <w:rPr>
          <w:lang w:val="en-GB"/>
        </w:rPr>
        <w:t xml:space="preserve">Bridgepoint </w:t>
      </w:r>
      <w:r w:rsidRPr="009C48DA">
        <w:rPr>
          <w:lang w:val="en-GB"/>
        </w:rPr>
        <w:t xml:space="preserve">Fund normally enters the “post-commitment period” at the end of a set period of time (for example, three to four years), or, if sooner, once the managing company of the fund deems the fund to be fully invested which is usually the case after approximately 85 to 90 per cent of total commitments are invested (with variations from fund to fund). At this point in time, typically a successor fund is launched. Once the post-commitment period has been entered, typically no new investments are made and remaining commitments are normally used for potential strategic initiatives such as “add-on” or “bolt-on” investments and other capital injections as well as for ongoing expenses, in particular management fees and expenses of the relevant </w:t>
      </w:r>
      <w:r w:rsidRPr="009C48DA" w:rsidR="00961BEE">
        <w:rPr>
          <w:lang w:val="en-GB"/>
        </w:rPr>
        <w:t xml:space="preserve">Bridgepoint </w:t>
      </w:r>
      <w:r w:rsidRPr="009C48DA">
        <w:rPr>
          <w:lang w:val="en-GB"/>
        </w:rPr>
        <w:t xml:space="preserve">Fund. During the post-commitment period, the manager of the relevant </w:t>
      </w:r>
      <w:r w:rsidRPr="009C48DA" w:rsidR="00961BEE">
        <w:rPr>
          <w:lang w:val="en-GB"/>
        </w:rPr>
        <w:t xml:space="preserve">Bridgepoint </w:t>
      </w:r>
      <w:r w:rsidRPr="009C48DA">
        <w:rPr>
          <w:lang w:val="en-GB"/>
        </w:rPr>
        <w:t>private equity fund, supported by the investment advisory companies within the Group, focuses on value creation opportunities within portfolio companies by building businesses of scale and the subsequent realisation of these investments, which enables the relevant</w:t>
      </w:r>
      <w:r w:rsidRPr="009C48DA" w:rsidR="00961BEE">
        <w:rPr>
          <w:lang w:val="en-GB"/>
        </w:rPr>
        <w:t xml:space="preserve"> Bridgepoint </w:t>
      </w:r>
      <w:r w:rsidRPr="009C48DA">
        <w:rPr>
          <w:lang w:val="en-GB"/>
        </w:rPr>
        <w:t xml:space="preserve">Fund to return capital and profits to the investors in the </w:t>
      </w:r>
      <w:r w:rsidRPr="009C48DA" w:rsidR="00961BEE">
        <w:rPr>
          <w:lang w:val="en-GB"/>
        </w:rPr>
        <w:t xml:space="preserve">Bridgepoint </w:t>
      </w:r>
      <w:r w:rsidRPr="009C48DA">
        <w:rPr>
          <w:lang w:val="en-GB"/>
        </w:rPr>
        <w:t>Fund.</w:t>
      </w:r>
    </w:p>
    <w:p w:rsidRPr="009C48DA" w:rsidR="00B51E80" w:rsidP="00B51E80" w:rsidRDefault="00B51E80" w14:paraId="2512D0A4" w14:textId="27411796">
      <w:pPr>
        <w:pStyle w:val="BodyText2SglJ"/>
        <w:rPr>
          <w:lang w:val="en-GB"/>
        </w:rPr>
      </w:pPr>
      <w:r w:rsidRPr="009C48DA">
        <w:rPr>
          <w:lang w:val="en-GB"/>
        </w:rPr>
        <w:t>During the post-commitment period, management fees are normally calculated based on the total acquisition cost of unrealised investments, with investments which have been permanently written-off being treated as having been realised, which means that the cost of such written-off investments do not count towards the calculation of the management fee (such calculation basis, the “</w:t>
      </w:r>
      <w:r w:rsidRPr="009C48DA">
        <w:rPr>
          <w:b/>
          <w:lang w:val="en-GB"/>
        </w:rPr>
        <w:t>Net Invested Capital</w:t>
      </w:r>
      <w:r w:rsidRPr="009C48DA">
        <w:rPr>
          <w:lang w:val="en-GB"/>
        </w:rPr>
        <w:t xml:space="preserve">”). “Add-on” or “bolt-on” investments could result in an increase in the management fees otherwise generated, as such management fees are, during the post-commitment period, based on Net Invested Capital. The Group is normally also entitled to: (i) a share of the profits from the fund’s investments referred to as “carried interest” (provided that a specified return for investors in the </w:t>
      </w:r>
      <w:r w:rsidRPr="009C48DA" w:rsidR="00961BEE">
        <w:rPr>
          <w:lang w:val="en-GB"/>
        </w:rPr>
        <w:t xml:space="preserve">Bridgepoint </w:t>
      </w:r>
      <w:r w:rsidRPr="009C48DA">
        <w:rPr>
          <w:lang w:val="en-GB"/>
        </w:rPr>
        <w:t xml:space="preserve">Fund is achieved) through a member of the Group; and (ii) income arising from its investment in the </w:t>
      </w:r>
      <w:r w:rsidRPr="009C48DA" w:rsidR="00961BEE">
        <w:rPr>
          <w:lang w:val="en-GB"/>
        </w:rPr>
        <w:t xml:space="preserve">Bridgepoint </w:t>
      </w:r>
      <w:r w:rsidRPr="009C48DA">
        <w:rPr>
          <w:lang w:val="en-GB"/>
        </w:rPr>
        <w:t xml:space="preserve">Fund according to the same principles as other investors in the </w:t>
      </w:r>
      <w:r w:rsidRPr="009C48DA" w:rsidR="00961BEE">
        <w:rPr>
          <w:lang w:val="en-GB"/>
        </w:rPr>
        <w:t xml:space="preserve">Bridgepoint </w:t>
      </w:r>
      <w:r w:rsidRPr="009C48DA">
        <w:rPr>
          <w:lang w:val="en-GB"/>
        </w:rPr>
        <w:t>Fund. The average holding period of portfolio companies in the Group’s private equity and private credit investment strategies has historically been approximately four to five years, but varies and is dependent on investment strategy, portfolio company performance and market conditions, among other factors. Historically, investments have on average been realised in years six to seven of private equity funds and, on average, approximately 50 per cent of Net Invested Capital remains after seven years of the start of the commitment period in private equity funds. However, the holding period for some investments may be significantly longer, with some investments remaining in the relevant fund until its termination. As the management fees during the post-commitment period are typically determined by reference to Net Invested Capital, they naturally decline in absolute terms over time since more and more of the fund’s investments are realised.</w:t>
      </w:r>
    </w:p>
    <w:p w:rsidRPr="009C48DA" w:rsidR="00B51E80" w:rsidP="000C376E" w:rsidRDefault="00B51E80" w14:paraId="5DDAED75" w14:textId="77777777">
      <w:pPr>
        <w:pStyle w:val="TitleB"/>
        <w:rPr>
          <w:lang w:val="en-GB"/>
        </w:rPr>
      </w:pPr>
      <w:r w:rsidRPr="009C48DA">
        <w:rPr>
          <w:lang w:val="en-GB"/>
        </w:rPr>
        <w:t>Generation of management fees</w:t>
      </w:r>
    </w:p>
    <w:p w:rsidRPr="009C48DA" w:rsidR="00B51E80" w:rsidP="00B51E80" w:rsidRDefault="00B51E80" w14:paraId="32D47F17" w14:textId="0B60D5BD">
      <w:pPr>
        <w:pStyle w:val="BodyText2SglJ"/>
        <w:rPr>
          <w:lang w:val="en-GB"/>
        </w:rPr>
      </w:pPr>
      <w:r w:rsidRPr="009C48DA">
        <w:rPr>
          <w:lang w:val="en-GB"/>
        </w:rPr>
        <w:t xml:space="preserve">For the management of the </w:t>
      </w:r>
      <w:r w:rsidRPr="009C48DA" w:rsidR="00961BEE">
        <w:rPr>
          <w:lang w:val="en-GB"/>
        </w:rPr>
        <w:t xml:space="preserve">Bridgepoint </w:t>
      </w:r>
      <w:r w:rsidRPr="009C48DA">
        <w:rPr>
          <w:lang w:val="en-GB"/>
        </w:rPr>
        <w:t xml:space="preserve">Funds and related investment advisory services, the Group is entitled to receive management fees. The management fees are contractually recurring, and normally paid semi-annually in advance and calculated at a fixed percentage rate over the initial term of the fund. The initial term of a </w:t>
      </w:r>
      <w:r w:rsidRPr="009C48DA" w:rsidR="00961BEE">
        <w:rPr>
          <w:lang w:val="en-GB"/>
        </w:rPr>
        <w:t xml:space="preserve">Bridgepoint </w:t>
      </w:r>
      <w:r w:rsidRPr="009C48DA">
        <w:rPr>
          <w:lang w:val="en-GB"/>
        </w:rPr>
        <w:t>Fund is its fixed initial term, which, depending on the strategy of the fund, is usually betw</w:t>
      </w:r>
      <w:r w:rsidRPr="009C48DA" w:rsidR="005C34BE">
        <w:rPr>
          <w:lang w:val="en-GB"/>
        </w:rPr>
        <w:t>een approximately eight and 12</w:t>
      </w:r>
      <w:r w:rsidRPr="009C48DA" w:rsidR="00D26D43">
        <w:rPr>
          <w:lang w:val="en-GB"/>
        </w:rPr>
        <w:t xml:space="preserve"> </w:t>
      </w:r>
      <w:r w:rsidRPr="009C48DA">
        <w:rPr>
          <w:lang w:val="en-GB"/>
        </w:rPr>
        <w:t xml:space="preserve">years and may in some funds be extended by one or more additional periods according to the relevant governing documents of the fund. In some cases, the Group also charges </w:t>
      </w:r>
      <w:r w:rsidRPr="009C48DA" w:rsidR="00AC5098">
        <w:rPr>
          <w:lang w:val="en-GB"/>
        </w:rPr>
        <w:t xml:space="preserve">cost recovery charges </w:t>
      </w:r>
      <w:r w:rsidRPr="009C48DA">
        <w:rPr>
          <w:lang w:val="en-GB"/>
        </w:rPr>
        <w:t xml:space="preserve">to certain co-investors in </w:t>
      </w:r>
      <w:r w:rsidRPr="009C48DA" w:rsidR="00961BEE">
        <w:rPr>
          <w:lang w:val="en-GB"/>
        </w:rPr>
        <w:t xml:space="preserve">Bridgepoint </w:t>
      </w:r>
      <w:r w:rsidRPr="009C48DA">
        <w:rPr>
          <w:lang w:val="en-GB"/>
        </w:rPr>
        <w:t>Funds, which are determined as a percentage of unrealised acquisition costs of investments.</w:t>
      </w:r>
    </w:p>
    <w:p w:rsidRPr="009C48DA" w:rsidR="00B51E80" w:rsidP="00B51E80" w:rsidRDefault="00AC5098" w14:paraId="1D1C6A2D" w14:textId="6487B0EC">
      <w:pPr>
        <w:pStyle w:val="BodyText2SglJ"/>
        <w:rPr>
          <w:rFonts w:eastAsia="Calibri" w:cs="Arial"/>
          <w:lang w:val="en-GB"/>
        </w:rPr>
      </w:pPr>
      <w:r w:rsidRPr="009C48DA">
        <w:rPr>
          <w:lang w:val="en-GB"/>
        </w:rPr>
        <w:t xml:space="preserve">In the case of all funds with private equity strategies and the </w:t>
      </w:r>
      <w:r w:rsidRPr="009C48DA" w:rsidR="00961BEE">
        <w:rPr>
          <w:lang w:val="en-GB"/>
        </w:rPr>
        <w:t xml:space="preserve">Bridgepoint </w:t>
      </w:r>
      <w:r w:rsidRPr="009C48DA">
        <w:rPr>
          <w:lang w:val="en-GB"/>
        </w:rPr>
        <w:t>Credit Opportunities funds I to III, m</w:t>
      </w:r>
      <w:r w:rsidRPr="009C48DA" w:rsidR="00B51E80">
        <w:rPr>
          <w:lang w:val="en-GB"/>
        </w:rPr>
        <w:t>anagement</w:t>
      </w:r>
      <w:r w:rsidRPr="009C48DA" w:rsidR="00B51E80">
        <w:rPr>
          <w:rFonts w:eastAsia="Calibri" w:cs="Arial"/>
          <w:lang w:val="en-GB"/>
        </w:rPr>
        <w:t xml:space="preserve"> fees from investors are calculated as a percentage of AUM of the fund</w:t>
      </w:r>
      <w:r w:rsidRPr="009C48DA">
        <w:rPr>
          <w:rFonts w:eastAsia="Calibri" w:cs="Arial"/>
          <w:lang w:val="en-GB"/>
        </w:rPr>
        <w:t>. D</w:t>
      </w:r>
      <w:r w:rsidRPr="009C48DA" w:rsidR="00B51E80">
        <w:rPr>
          <w:rFonts w:eastAsia="Calibri" w:cs="Arial"/>
          <w:lang w:val="en-GB"/>
        </w:rPr>
        <w:t>epending on the phase of the fund, the AUM is either based on total commitments (during the commitment period) or on Net Invested Capital (normally during the post-commitment period). As a fund enters the post-commitment period, the management fees that are generated usually decline or “step-down”, since they are based on Net Invested Capital</w:t>
      </w:r>
      <w:r w:rsidRPr="009C48DA" w:rsidR="00D704F0">
        <w:rPr>
          <w:rFonts w:eastAsia="Calibri" w:cs="Arial"/>
          <w:lang w:val="en-GB"/>
        </w:rPr>
        <w:t xml:space="preserve"> as opposed to total commitments. While the </w:t>
      </w:r>
      <w:r w:rsidRPr="009C48DA" w:rsidR="00EA6C1F">
        <w:rPr>
          <w:rFonts w:eastAsia="Calibri" w:cs="Arial"/>
          <w:lang w:val="en-GB"/>
        </w:rPr>
        <w:t xml:space="preserve">most recent </w:t>
      </w:r>
      <w:r w:rsidRPr="009C48DA" w:rsidR="00961BEE">
        <w:rPr>
          <w:lang w:val="en-GB"/>
        </w:rPr>
        <w:t>Bridgepoint</w:t>
      </w:r>
      <w:r w:rsidRPr="009C48DA" w:rsidR="00961BEE">
        <w:rPr>
          <w:rFonts w:eastAsia="Calibri" w:cs="Arial"/>
          <w:lang w:val="en-GB"/>
        </w:rPr>
        <w:t xml:space="preserve"> </w:t>
      </w:r>
      <w:r w:rsidRPr="009C48DA" w:rsidR="00D704F0">
        <w:rPr>
          <w:rFonts w:eastAsia="Calibri" w:cs="Arial"/>
          <w:lang w:val="en-GB"/>
        </w:rPr>
        <w:t xml:space="preserve">Development Capital </w:t>
      </w:r>
      <w:r w:rsidRPr="009C48DA" w:rsidR="00EA6C1F">
        <w:rPr>
          <w:rFonts w:eastAsia="Calibri" w:cs="Arial"/>
          <w:lang w:val="en-GB"/>
        </w:rPr>
        <w:t xml:space="preserve">and Bridgepoint Growth </w:t>
      </w:r>
      <w:r w:rsidRPr="009C48DA" w:rsidR="00D704F0">
        <w:rPr>
          <w:rFonts w:eastAsia="Calibri" w:cs="Arial"/>
          <w:lang w:val="en-GB"/>
        </w:rPr>
        <w:t xml:space="preserve">funds continue to charge the same percentage of management fees, the management fee percentage of the </w:t>
      </w:r>
      <w:r w:rsidRPr="009C48DA" w:rsidR="00961BEE">
        <w:rPr>
          <w:lang w:val="en-GB"/>
        </w:rPr>
        <w:t>Bridgepoint</w:t>
      </w:r>
      <w:r w:rsidRPr="009C48DA" w:rsidR="00961BEE">
        <w:rPr>
          <w:rFonts w:eastAsia="Calibri" w:cs="Arial"/>
          <w:lang w:val="en-GB"/>
        </w:rPr>
        <w:t xml:space="preserve"> </w:t>
      </w:r>
      <w:r w:rsidRPr="009C48DA" w:rsidR="00D704F0">
        <w:rPr>
          <w:rFonts w:eastAsia="Calibri" w:cs="Arial"/>
          <w:lang w:val="en-GB"/>
        </w:rPr>
        <w:t xml:space="preserve">Europe </w:t>
      </w:r>
      <w:r w:rsidRPr="009C48DA" w:rsidR="005E32A6">
        <w:rPr>
          <w:rFonts w:eastAsia="Calibri" w:cs="Arial"/>
          <w:lang w:val="en-GB"/>
        </w:rPr>
        <w:t xml:space="preserve">funds </w:t>
      </w:r>
      <w:r w:rsidRPr="009C48DA" w:rsidR="00D704F0">
        <w:rPr>
          <w:rFonts w:eastAsia="Calibri" w:cs="Arial"/>
          <w:lang w:val="en-GB"/>
        </w:rPr>
        <w:t>typically decreases when the fund enters the post-commitment period</w:t>
      </w:r>
      <w:r w:rsidRPr="009C48DA" w:rsidR="00B51E80">
        <w:rPr>
          <w:rFonts w:eastAsia="Calibri" w:cs="Arial"/>
          <w:lang w:val="en-GB"/>
        </w:rPr>
        <w:t xml:space="preserve">. In simplified terms, if, at the end of the commitment period the acquisition cost of unrealised investment amounts to 80 to 90 per cent of total commitments, the management fee generated </w:t>
      </w:r>
      <w:r w:rsidRPr="009C48DA" w:rsidR="00D704F0">
        <w:rPr>
          <w:rFonts w:eastAsia="Calibri" w:cs="Arial"/>
          <w:lang w:val="en-GB"/>
        </w:rPr>
        <w:t xml:space="preserve">by </w:t>
      </w:r>
      <w:r w:rsidRPr="009C48DA" w:rsidR="00961BEE">
        <w:rPr>
          <w:lang w:val="en-GB"/>
        </w:rPr>
        <w:t>Bridgepoint</w:t>
      </w:r>
      <w:r w:rsidRPr="009C48DA" w:rsidR="00961BEE">
        <w:rPr>
          <w:rFonts w:eastAsia="Calibri" w:cs="Arial"/>
          <w:lang w:val="en-GB"/>
        </w:rPr>
        <w:t xml:space="preserve"> </w:t>
      </w:r>
      <w:r w:rsidRPr="009C48DA" w:rsidR="00D704F0">
        <w:rPr>
          <w:rFonts w:eastAsia="Calibri" w:cs="Arial"/>
          <w:lang w:val="en-GB"/>
        </w:rPr>
        <w:t xml:space="preserve">Development Capital and </w:t>
      </w:r>
      <w:r w:rsidRPr="009C48DA" w:rsidR="00961BEE">
        <w:rPr>
          <w:lang w:val="en-GB"/>
        </w:rPr>
        <w:t>Bridgepoint</w:t>
      </w:r>
      <w:r w:rsidRPr="009C48DA" w:rsidR="00961BEE">
        <w:rPr>
          <w:rFonts w:eastAsia="Calibri" w:cs="Arial"/>
          <w:lang w:val="en-GB"/>
        </w:rPr>
        <w:t xml:space="preserve"> </w:t>
      </w:r>
      <w:r w:rsidRPr="009C48DA" w:rsidR="00D704F0">
        <w:rPr>
          <w:rFonts w:eastAsia="Calibri" w:cs="Arial"/>
          <w:lang w:val="en-GB"/>
        </w:rPr>
        <w:t xml:space="preserve">Growth funds would decline by approximately 10 to 20 per cent and the management fee generated by </w:t>
      </w:r>
      <w:r w:rsidRPr="009C48DA" w:rsidR="00961BEE">
        <w:rPr>
          <w:lang w:val="en-GB"/>
        </w:rPr>
        <w:t>Bridgepoint</w:t>
      </w:r>
      <w:r w:rsidRPr="009C48DA" w:rsidR="00961BEE">
        <w:rPr>
          <w:rFonts w:eastAsia="Calibri" w:cs="Arial"/>
          <w:lang w:val="en-GB"/>
        </w:rPr>
        <w:t xml:space="preserve"> </w:t>
      </w:r>
      <w:r w:rsidRPr="009C48DA" w:rsidR="00D704F0">
        <w:rPr>
          <w:rFonts w:eastAsia="Calibri" w:cs="Arial"/>
          <w:lang w:val="en-GB"/>
        </w:rPr>
        <w:t>Europe funds would decline by approximately 28 to 36 per cent (as the management fee percentage also declines)</w:t>
      </w:r>
      <w:r w:rsidRPr="009C48DA" w:rsidR="00B51E80">
        <w:rPr>
          <w:rFonts w:eastAsia="Calibri" w:cs="Arial"/>
          <w:lang w:val="en-GB"/>
        </w:rPr>
        <w:t>, but deviations between funds may occur due to the actual levels of Net Invested Capital at the time of the so-</w:t>
      </w:r>
      <w:r w:rsidRPr="009C48DA" w:rsidR="00B51E80">
        <w:rPr>
          <w:rFonts w:eastAsia="Calibri" w:cs="Arial"/>
          <w:lang w:val="en-GB"/>
        </w:rPr>
        <w:lastRenderedPageBreak/>
        <w:t xml:space="preserve">called “step-down” and the details of how the management fee is calculated. Historically, the “step-down” has occurred at the same time as management fees have begun to accrue on a successor fund (based on the total commitments raised for such successor fund). As such, the generation of management fees is positively influenced by increases in the size of successor funds as well as the roll-out of new business lines. </w:t>
      </w:r>
      <w:r w:rsidRPr="009C48DA" w:rsidR="00961BEE">
        <w:rPr>
          <w:lang w:val="en-GB"/>
        </w:rPr>
        <w:t>Bridgepoint</w:t>
      </w:r>
      <w:r w:rsidRPr="009C48DA" w:rsidR="00961BEE">
        <w:rPr>
          <w:rFonts w:eastAsia="Calibri" w:cs="Arial"/>
          <w:lang w:val="en-GB"/>
        </w:rPr>
        <w:t xml:space="preserve"> </w:t>
      </w:r>
      <w:r w:rsidRPr="009C48DA" w:rsidR="00B51E80">
        <w:rPr>
          <w:rFonts w:eastAsia="Calibri" w:cs="Arial"/>
          <w:lang w:val="en-GB"/>
        </w:rPr>
        <w:t xml:space="preserve">has over many years also provided liquidity options to investors when funds reach the end of their standard life by offering continuation </w:t>
      </w:r>
      <w:r w:rsidRPr="009C48DA">
        <w:rPr>
          <w:rFonts w:eastAsia="Calibri" w:cs="Arial"/>
          <w:lang w:val="en-GB"/>
        </w:rPr>
        <w:t xml:space="preserve">funds </w:t>
      </w:r>
      <w:r w:rsidRPr="009C48DA" w:rsidR="00B51E80">
        <w:rPr>
          <w:rFonts w:eastAsia="Calibri" w:cs="Arial"/>
          <w:lang w:val="en-GB"/>
        </w:rPr>
        <w:t xml:space="preserve">/ secondary funds which allow existing investors to continue or exit, while also enabling </w:t>
      </w:r>
      <w:r w:rsidRPr="009C48DA" w:rsidR="00961BEE">
        <w:rPr>
          <w:lang w:val="en-GB"/>
        </w:rPr>
        <w:t>Bridgepoint</w:t>
      </w:r>
      <w:r w:rsidRPr="009C48DA" w:rsidR="00961BEE">
        <w:rPr>
          <w:rFonts w:eastAsia="Calibri" w:cs="Arial"/>
          <w:lang w:val="en-GB"/>
        </w:rPr>
        <w:t xml:space="preserve"> </w:t>
      </w:r>
      <w:r w:rsidRPr="009C48DA" w:rsidR="00B51E80">
        <w:rPr>
          <w:rFonts w:eastAsia="Calibri" w:cs="Arial"/>
          <w:lang w:val="en-GB"/>
        </w:rPr>
        <w:t>to charge management fees and carried int</w:t>
      </w:r>
      <w:r w:rsidR="00B74D38">
        <w:rPr>
          <w:rFonts w:eastAsia="Calibri" w:cs="Arial"/>
          <w:lang w:val="en-GB"/>
        </w:rPr>
        <w:t>erest on a new pool of capital.</w:t>
      </w:r>
    </w:p>
    <w:p w:rsidRPr="009C48DA" w:rsidR="002B2DD1" w:rsidP="002B2DD1" w:rsidRDefault="001A3FD2" w14:paraId="23784C82" w14:textId="0D8414B9">
      <w:pPr>
        <w:pStyle w:val="BodyText2SglJ"/>
        <w:ind w:firstLine="0"/>
        <w:jc w:val="center"/>
        <w:rPr>
          <w:rFonts w:eastAsia="Calibri" w:cs="Arial"/>
          <w:lang w:val="en-GB"/>
        </w:rPr>
      </w:pPr>
      <w:r w:rsidRPr="00404711">
        <w:rPr>
          <w:rFonts w:eastAsia="Calibri" w:cs="Arial"/>
          <w:noProof/>
          <w:sz w:val="16"/>
          <w:szCs w:val="16"/>
        </w:rPr>
        <w:drawing>
          <wp:inline distT="0" distB="0" distL="0" distR="0" wp14:anchorId="1F1BAC0A" wp14:editId="6D60A8B4">
            <wp:extent cx="5285917" cy="2951936"/>
            <wp:effectExtent l="0" t="0" r="0" b="0"/>
            <wp:docPr id="34" name="Picture 3" descr="" title="">
              <a:extLst xmlns:a="http://schemas.openxmlformats.org/drawingml/2006/main">
                <a:ext uri="{FF2B5EF4-FFF2-40B4-BE49-F238E27FC236}">
                  <a16:creationId xmlns:a16="http://schemas.microsoft.com/office/drawing/2014/main" id="{6818EDDA-AAC5-44C6-982A-52D6025BE9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818EDDA-AAC5-44C6-982A-52D6025BE95D}"/>
                        </a:ext>
                      </a:extLst>
                    </pic:cNvPr>
                    <pic:cNvPicPr>
                      <a:picLocks noChangeAspect="1"/>
                    </pic:cNvPicPr>
                  </pic:nvPicPr>
                  <pic:blipFill>
                    <a:blip r:embed="rId52"/>
                    <a:stretch>
                      <a:fillRect/>
                    </a:stretch>
                  </pic:blipFill>
                  <pic:spPr>
                    <a:xfrm>
                      <a:off x="0" y="0"/>
                      <a:ext cx="5291023" cy="2954787"/>
                    </a:xfrm>
                    <a:prstGeom prst="rect">
                      <a:avLst/>
                    </a:prstGeom>
                  </pic:spPr>
                </pic:pic>
              </a:graphicData>
            </a:graphic>
          </wp:inline>
        </w:drawing>
      </w:r>
    </w:p>
    <w:p w:rsidRPr="009C48DA" w:rsidR="00B51E80" w:rsidP="002B2DD1" w:rsidRDefault="002B2DD1" w14:paraId="3A69FE72" w14:textId="2FB60563">
      <w:pPr>
        <w:pStyle w:val="BodyText2SglJ"/>
        <w:ind w:firstLine="0"/>
        <w:jc w:val="left"/>
        <w:rPr>
          <w:rFonts w:eastAsia="Calibri" w:cs="Arial"/>
          <w:sz w:val="16"/>
          <w:szCs w:val="16"/>
          <w:lang w:val="en-GB"/>
        </w:rPr>
      </w:pPr>
      <w:r w:rsidRPr="009C48DA">
        <w:rPr>
          <w:rFonts w:eastAsia="Calibri" w:cs="Arial"/>
          <w:sz w:val="16"/>
          <w:szCs w:val="16"/>
          <w:lang w:val="en-GB"/>
        </w:rPr>
        <w:t xml:space="preserve">Note: </w:t>
      </w:r>
      <w:r w:rsidRPr="009C48DA">
        <w:rPr>
          <w:rFonts w:eastAsia="Calibri" w:cs="Arial"/>
          <w:sz w:val="16"/>
          <w:szCs w:val="16"/>
          <w:vertAlign w:val="superscript"/>
          <w:lang w:val="en-GB"/>
        </w:rPr>
        <w:t>1</w:t>
      </w:r>
      <w:r w:rsidRPr="009C48DA">
        <w:rPr>
          <w:rFonts w:eastAsia="Calibri" w:cs="Arial"/>
          <w:sz w:val="16"/>
          <w:szCs w:val="16"/>
          <w:lang w:val="en-GB"/>
        </w:rPr>
        <w:t xml:space="preserve"> Step down of management fee percentage for Bridgepoint Europe funds.</w:t>
      </w:r>
    </w:p>
    <w:p w:rsidRPr="009C48DA" w:rsidR="00B51E80" w:rsidP="00B51E80" w:rsidRDefault="00B51E80" w14:paraId="0F5324EC" w14:textId="2A08DEBF">
      <w:pPr>
        <w:pStyle w:val="BodyText2SglJ"/>
        <w:rPr>
          <w:rFonts w:eastAsia="Calibri" w:cs="Arial"/>
          <w:lang w:val="en-GB"/>
        </w:rPr>
      </w:pPr>
      <w:r w:rsidRPr="009C48DA">
        <w:rPr>
          <w:rFonts w:eastAsia="Calibri" w:cs="Arial"/>
          <w:lang w:val="en-GB"/>
        </w:rPr>
        <w:t xml:space="preserve">For the </w:t>
      </w:r>
      <w:r w:rsidRPr="009C48DA" w:rsidR="00961BEE">
        <w:rPr>
          <w:lang w:val="en-GB"/>
        </w:rPr>
        <w:t>Bridgepoint</w:t>
      </w:r>
      <w:r w:rsidRPr="009C48DA" w:rsidR="00961BEE">
        <w:rPr>
          <w:rFonts w:eastAsia="Calibri" w:cs="Arial"/>
          <w:lang w:val="en-GB"/>
        </w:rPr>
        <w:t xml:space="preserve"> </w:t>
      </w:r>
      <w:r w:rsidRPr="009C48DA">
        <w:rPr>
          <w:rFonts w:eastAsia="Calibri" w:cs="Arial"/>
          <w:lang w:val="en-GB"/>
        </w:rPr>
        <w:t xml:space="preserve">Direct Lending funds as well as expected future </w:t>
      </w:r>
      <w:r w:rsidRPr="009C48DA" w:rsidR="00961BEE">
        <w:rPr>
          <w:lang w:val="en-GB"/>
        </w:rPr>
        <w:t>Bridgepoint</w:t>
      </w:r>
      <w:r w:rsidRPr="009C48DA" w:rsidR="00961BEE">
        <w:rPr>
          <w:rFonts w:eastAsia="Calibri" w:cs="Arial"/>
          <w:lang w:val="en-GB"/>
        </w:rPr>
        <w:t xml:space="preserve"> </w:t>
      </w:r>
      <w:r w:rsidRPr="009C48DA">
        <w:rPr>
          <w:rFonts w:eastAsia="Calibri" w:cs="Arial"/>
          <w:lang w:val="en-GB"/>
        </w:rPr>
        <w:t xml:space="preserve">Credit </w:t>
      </w:r>
      <w:r w:rsidRPr="009C48DA">
        <w:rPr>
          <w:lang w:val="en-GB"/>
        </w:rPr>
        <w:t>Opportunities</w:t>
      </w:r>
      <w:r w:rsidRPr="009C48DA" w:rsidR="00255546">
        <w:rPr>
          <w:lang w:val="en-GB"/>
        </w:rPr>
        <w:t xml:space="preserve"> funds</w:t>
      </w:r>
      <w:r w:rsidRPr="009C48DA">
        <w:rPr>
          <w:rFonts w:eastAsia="Calibri" w:cs="Arial"/>
          <w:lang w:val="en-GB"/>
        </w:rPr>
        <w:t>, management fees from investors are calculated as a percentage of AUM of the fund, with AUM being based on Net Invested Capital throughout the life of the fund. This means that the deployment of capital and realisations have a direct impact on management fee revenue from funds with such a fee model. A successor fund is typically launched when 85 to 90 per cent of the fund is invested and the same fee rate is still charged after the investment period ends. As the fund exits companies, the invested capital base is reduced, and after eight to 12 years, the fund is typically terminated.</w:t>
      </w:r>
    </w:p>
    <w:p w:rsidRPr="009C48DA" w:rsidR="00B51E80" w:rsidP="00B4201B" w:rsidRDefault="001A3FD2" w14:paraId="30C5A087" w14:textId="088BBB95">
      <w:pPr>
        <w:pStyle w:val="BodyText2SglJ"/>
        <w:ind w:firstLine="0"/>
        <w:jc w:val="center"/>
        <w:rPr>
          <w:rFonts w:eastAsia="Calibri" w:cs="Arial"/>
          <w:lang w:val="en-GB"/>
        </w:rPr>
      </w:pPr>
      <w:r w:rsidRPr="00404711">
        <w:rPr>
          <w:noProof/>
        </w:rPr>
        <w:drawing>
          <wp:inline distT="0" distB="0" distL="0" distR="0" wp14:anchorId="73A7FED8" wp14:editId="63AE1339">
            <wp:extent cx="5325035" cy="2969075"/>
            <wp:effectExtent l="0" t="0" r="0" b="0"/>
            <wp:docPr id="35" name="Picture 2" descr="" title="">
              <a:extLst xmlns:a="http://schemas.openxmlformats.org/drawingml/2006/main">
                <a:ext uri="{FF2B5EF4-FFF2-40B4-BE49-F238E27FC236}">
                  <a16:creationId xmlns:a16="http://schemas.microsoft.com/office/drawing/2014/main" id="{2EBF1DB4-3B9F-46D3-B5A9-F44ABF4472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EBF1DB4-3B9F-46D3-B5A9-F44ABF4472E3}"/>
                        </a:ext>
                      </a:extLst>
                    </pic:cNvPr>
                    <pic:cNvPicPr>
                      <a:picLocks noChangeAspect="1"/>
                    </pic:cNvPicPr>
                  </pic:nvPicPr>
                  <pic:blipFill>
                    <a:blip r:embed="rId53"/>
                    <a:stretch>
                      <a:fillRect/>
                    </a:stretch>
                  </pic:blipFill>
                  <pic:spPr>
                    <a:xfrm>
                      <a:off x="0" y="0"/>
                      <a:ext cx="5327014" cy="2970178"/>
                    </a:xfrm>
                    <a:prstGeom prst="rect">
                      <a:avLst/>
                    </a:prstGeom>
                  </pic:spPr>
                </pic:pic>
              </a:graphicData>
            </a:graphic>
          </wp:inline>
        </w:drawing>
      </w:r>
    </w:p>
    <w:p w:rsidRPr="009C48DA" w:rsidR="00B51E80" w:rsidP="00B51E80" w:rsidRDefault="00B51E80" w14:paraId="0B30BE20" w14:textId="100E5526">
      <w:pPr>
        <w:pStyle w:val="BodyText2SglJ"/>
        <w:rPr>
          <w:rFonts w:eastAsia="Calibri" w:cs="Arial"/>
          <w:lang w:val="en-GB"/>
        </w:rPr>
      </w:pPr>
      <w:r w:rsidRPr="009C48DA">
        <w:rPr>
          <w:rFonts w:eastAsia="Calibri" w:cs="Arial"/>
          <w:lang w:val="en-GB"/>
        </w:rPr>
        <w:lastRenderedPageBreak/>
        <w:t>As management fees are calculated based on</w:t>
      </w:r>
      <w:r w:rsidRPr="009C48DA" w:rsidR="00AC5098">
        <w:rPr>
          <w:rFonts w:eastAsia="Calibri" w:cs="Arial"/>
          <w:lang w:val="en-GB"/>
        </w:rPr>
        <w:t xml:space="preserve"> AUM (as described above)</w:t>
      </w:r>
      <w:r w:rsidRPr="009C48DA">
        <w:rPr>
          <w:rFonts w:eastAsia="Calibri" w:cs="Arial"/>
          <w:lang w:val="en-GB"/>
        </w:rPr>
        <w:t xml:space="preserve">, increases or decreases in AUM result in corresponding increases or decreases in management fees on an absolute basis assuming management fee rates remain stable over the lifetime of the fund. Management fee rates have historically remained stable as a percentage of AUM and it is expected that future revenue recognised by the Group from management fees would increase in absolute terms if management fee rates remain stable and AUM increases. An analysis of historical management fee rates (calculated as management fees divided by average AUM for the relevant period) is impacted by a range of factors, including the timing of an increase or decrease in AUM (as average AUM for the period is calculated on a quarterly basis, which means that average AUM does not reflect the exact period in time when management fees increase or decrease as a result of a change in AUM). As a result of these factors, the Group is assessing the Effective Management Fee Rate (fee margin), which is adjusted for these factors and represents the underlying management fee rates in the </w:t>
      </w:r>
      <w:r w:rsidRPr="009C48DA" w:rsidR="00961BEE">
        <w:rPr>
          <w:lang w:val="en-GB"/>
        </w:rPr>
        <w:t>Bridgepoint</w:t>
      </w:r>
      <w:r w:rsidRPr="009C48DA" w:rsidR="00961BEE">
        <w:rPr>
          <w:rFonts w:eastAsia="Calibri" w:cs="Arial"/>
          <w:lang w:val="en-GB"/>
        </w:rPr>
        <w:t xml:space="preserve"> </w:t>
      </w:r>
      <w:r w:rsidRPr="009C48DA">
        <w:rPr>
          <w:rFonts w:eastAsia="Calibri" w:cs="Arial"/>
          <w:lang w:val="en-GB"/>
        </w:rPr>
        <w:t>Funds, excluding co-investment vehicles. The “</w:t>
      </w:r>
      <w:r w:rsidRPr="009C48DA">
        <w:rPr>
          <w:rFonts w:eastAsia="Calibri" w:cs="Arial"/>
          <w:b/>
          <w:lang w:val="en-GB"/>
        </w:rPr>
        <w:t>Effective Management Fee Rate</w:t>
      </w:r>
      <w:r w:rsidRPr="009C48DA">
        <w:rPr>
          <w:rFonts w:eastAsia="Calibri" w:cs="Arial"/>
          <w:lang w:val="en-GB"/>
        </w:rPr>
        <w:t xml:space="preserve">” is the weighted average management fee rate, excluding structural and accounting impacts, for all </w:t>
      </w:r>
      <w:r w:rsidRPr="009C48DA" w:rsidR="00961BEE">
        <w:rPr>
          <w:lang w:val="en-GB"/>
        </w:rPr>
        <w:t>Bridgepoint</w:t>
      </w:r>
      <w:r w:rsidRPr="009C48DA" w:rsidR="00961BEE">
        <w:rPr>
          <w:rFonts w:eastAsia="Calibri" w:cs="Arial"/>
          <w:lang w:val="en-GB"/>
        </w:rPr>
        <w:t xml:space="preserve"> </w:t>
      </w:r>
      <w:r w:rsidRPr="009C48DA">
        <w:rPr>
          <w:rFonts w:eastAsia="Calibri" w:cs="Arial"/>
          <w:lang w:val="en-GB"/>
        </w:rPr>
        <w:t xml:space="preserve">Funds contributing to AUM in a specific period (excluding co-investment vehicles). The Effective Management Fee rate for the </w:t>
      </w:r>
      <w:r w:rsidRPr="009C48DA" w:rsidR="00961BEE">
        <w:rPr>
          <w:lang w:val="en-GB"/>
        </w:rPr>
        <w:t>Bridgepoint</w:t>
      </w:r>
      <w:r w:rsidRPr="009C48DA" w:rsidR="00961BEE">
        <w:rPr>
          <w:rFonts w:eastAsia="Calibri" w:cs="Arial"/>
          <w:lang w:val="en-GB"/>
        </w:rPr>
        <w:t xml:space="preserve"> </w:t>
      </w:r>
      <w:r w:rsidRPr="009C48DA">
        <w:rPr>
          <w:rFonts w:eastAsia="Calibri" w:cs="Arial"/>
          <w:lang w:val="en-GB"/>
        </w:rPr>
        <w:t xml:space="preserve">Funds has amounted to approximately </w:t>
      </w:r>
      <w:r w:rsidRPr="009C48DA" w:rsidR="00AC5098">
        <w:rPr>
          <w:rFonts w:eastAsia="Calibri" w:cs="Arial"/>
          <w:lang w:val="en-GB"/>
        </w:rPr>
        <w:t xml:space="preserve">1.23 per cent, </w:t>
      </w:r>
      <w:r w:rsidRPr="009C48DA">
        <w:rPr>
          <w:rFonts w:eastAsia="Calibri" w:cs="Arial"/>
          <w:lang w:val="en-GB"/>
        </w:rPr>
        <w:t>1.25 per cent</w:t>
      </w:r>
      <w:r w:rsidRPr="009C48DA" w:rsidR="00AC5098">
        <w:rPr>
          <w:rFonts w:eastAsia="Calibri" w:cs="Arial"/>
          <w:lang w:val="en-GB"/>
        </w:rPr>
        <w:t xml:space="preserve"> and </w:t>
      </w:r>
      <w:r w:rsidRPr="009C48DA">
        <w:rPr>
          <w:rFonts w:eastAsia="Calibri" w:cs="Arial"/>
          <w:lang w:val="en-GB"/>
        </w:rPr>
        <w:t>1.2</w:t>
      </w:r>
      <w:r w:rsidRPr="009C48DA" w:rsidR="00AC5098">
        <w:rPr>
          <w:rFonts w:eastAsia="Calibri" w:cs="Arial"/>
          <w:lang w:val="en-GB"/>
        </w:rPr>
        <w:t>6</w:t>
      </w:r>
      <w:r w:rsidRPr="009C48DA">
        <w:rPr>
          <w:rFonts w:eastAsia="Calibri" w:cs="Arial"/>
          <w:lang w:val="en-GB"/>
        </w:rPr>
        <w:t xml:space="preserve"> per cent for the </w:t>
      </w:r>
      <w:r w:rsidRPr="009C48DA" w:rsidR="00961BEE">
        <w:rPr>
          <w:lang w:val="en-GB"/>
        </w:rPr>
        <w:t>Bridgepoint</w:t>
      </w:r>
      <w:r w:rsidRPr="009C48DA" w:rsidR="00961BEE">
        <w:rPr>
          <w:rFonts w:eastAsia="Calibri" w:cs="Arial"/>
          <w:lang w:val="en-GB"/>
        </w:rPr>
        <w:t xml:space="preserve"> </w:t>
      </w:r>
      <w:r w:rsidRPr="009C48DA">
        <w:rPr>
          <w:rFonts w:eastAsia="Calibri" w:cs="Arial"/>
          <w:lang w:val="en-GB"/>
        </w:rPr>
        <w:t xml:space="preserve">Funds with private equity strategies and to </w:t>
      </w:r>
      <w:r w:rsidRPr="009C48DA" w:rsidR="008C06C3">
        <w:rPr>
          <w:rFonts w:eastAsia="Calibri" w:cs="Arial"/>
          <w:lang w:val="en-GB"/>
        </w:rPr>
        <w:t>approximately 1.15 per cent, 1.12</w:t>
      </w:r>
      <w:r w:rsidRPr="009C48DA">
        <w:rPr>
          <w:rFonts w:eastAsia="Calibri" w:cs="Arial"/>
          <w:lang w:val="en-GB"/>
        </w:rPr>
        <w:t xml:space="preserve"> per cent and 1.13 per cent for </w:t>
      </w:r>
      <w:r w:rsidRPr="009C48DA" w:rsidR="00AC5098">
        <w:rPr>
          <w:rFonts w:eastAsia="Calibri" w:cs="Arial"/>
          <w:lang w:val="en-GB"/>
        </w:rPr>
        <w:t xml:space="preserve">the </w:t>
      </w:r>
      <w:r w:rsidRPr="009C48DA" w:rsidR="00961BEE">
        <w:rPr>
          <w:lang w:val="en-GB"/>
        </w:rPr>
        <w:t>Bridgepoint</w:t>
      </w:r>
      <w:r w:rsidRPr="009C48DA" w:rsidR="00961BEE">
        <w:rPr>
          <w:rFonts w:eastAsia="Calibri" w:cs="Arial"/>
          <w:lang w:val="en-GB"/>
        </w:rPr>
        <w:t xml:space="preserve"> </w:t>
      </w:r>
      <w:r w:rsidRPr="009C48DA">
        <w:rPr>
          <w:rFonts w:eastAsia="Calibri" w:cs="Arial"/>
          <w:lang w:val="en-GB"/>
        </w:rPr>
        <w:t xml:space="preserve">Funds with private credit strategies, in each case in the years ended 31 December 2018, 2019 and 2020, respectively. </w:t>
      </w:r>
    </w:p>
    <w:p w:rsidRPr="009C48DA" w:rsidR="00B51E80" w:rsidP="000C376E" w:rsidRDefault="00B51E80" w14:paraId="67FA7B5C" w14:textId="00CDCFC6">
      <w:pPr>
        <w:pStyle w:val="TitleB"/>
        <w:rPr>
          <w:lang w:val="en-GB"/>
        </w:rPr>
      </w:pPr>
      <w:r w:rsidRPr="009C48DA">
        <w:rPr>
          <w:lang w:val="en-GB"/>
        </w:rPr>
        <w:t xml:space="preserve">Carried interest and </w:t>
      </w:r>
      <w:r w:rsidRPr="009C48DA" w:rsidR="00961BEE">
        <w:rPr>
          <w:lang w:val="en-GB"/>
        </w:rPr>
        <w:t xml:space="preserve">income from the </w:t>
      </w:r>
      <w:r w:rsidRPr="009C48DA" w:rsidR="00961BEE">
        <w:rPr>
          <w:rFonts w:eastAsia="Calibri" w:cs="Arial"/>
          <w:lang w:val="en-GB"/>
        </w:rPr>
        <w:t>fair value remeasurement of investments (</w:t>
      </w:r>
      <w:r w:rsidRPr="009C48DA" w:rsidR="00255546">
        <w:rPr>
          <w:lang w:val="en-GB"/>
        </w:rPr>
        <w:t xml:space="preserve">investment </w:t>
      </w:r>
      <w:r w:rsidRPr="009C48DA">
        <w:rPr>
          <w:lang w:val="en-GB"/>
        </w:rPr>
        <w:t>income</w:t>
      </w:r>
      <w:r w:rsidRPr="009C48DA" w:rsidR="00961BEE">
        <w:rPr>
          <w:lang w:val="en-GB"/>
        </w:rPr>
        <w:t>)</w:t>
      </w:r>
    </w:p>
    <w:p w:rsidRPr="009C48DA" w:rsidR="00B51E80" w:rsidP="00B51E80" w:rsidRDefault="00961BEE" w14:paraId="3E6F7A81" w14:textId="6E0BEF3D">
      <w:pPr>
        <w:pStyle w:val="BodyText2SglJ"/>
        <w:rPr>
          <w:rFonts w:eastAsia="Calibri" w:cs="Arial"/>
          <w:lang w:val="en-GB"/>
        </w:rPr>
      </w:pPr>
      <w:r w:rsidRPr="009C48DA">
        <w:rPr>
          <w:lang w:val="en-GB"/>
        </w:rPr>
        <w:t>Bridgepoint</w:t>
      </w:r>
      <w:r w:rsidRPr="009C48DA">
        <w:rPr>
          <w:rFonts w:eastAsia="Calibri" w:cs="Arial"/>
          <w:lang w:val="en-GB"/>
        </w:rPr>
        <w:t xml:space="preserve"> </w:t>
      </w:r>
      <w:r w:rsidRPr="009C48DA" w:rsidR="00B51E80">
        <w:rPr>
          <w:rFonts w:eastAsia="Calibri" w:cs="Arial"/>
          <w:lang w:val="en-GB"/>
        </w:rPr>
        <w:t xml:space="preserve">aims to align interests between the Group, the Group’s investment professionals and the investors in the </w:t>
      </w:r>
      <w:r w:rsidRPr="009C48DA">
        <w:rPr>
          <w:lang w:val="en-GB"/>
        </w:rPr>
        <w:t>Bridgepoint</w:t>
      </w:r>
      <w:r w:rsidRPr="009C48DA">
        <w:rPr>
          <w:rFonts w:eastAsia="Calibri" w:cs="Arial"/>
          <w:lang w:val="en-GB"/>
        </w:rPr>
        <w:t xml:space="preserve"> </w:t>
      </w:r>
      <w:r w:rsidRPr="009C48DA" w:rsidR="00B51E80">
        <w:rPr>
          <w:rFonts w:eastAsia="Calibri" w:cs="Arial"/>
          <w:lang w:val="en-GB"/>
        </w:rPr>
        <w:t>Funds. As such, the Group, through</w:t>
      </w:r>
      <w:r w:rsidRPr="009C48DA" w:rsidR="00AC5098">
        <w:rPr>
          <w:rFonts w:eastAsia="Calibri" w:cs="Arial"/>
          <w:lang w:val="en-GB"/>
        </w:rPr>
        <w:t xml:space="preserve"> an entity in the Group</w:t>
      </w:r>
      <w:r w:rsidRPr="009C48DA" w:rsidR="00B51E80">
        <w:rPr>
          <w:rFonts w:eastAsia="Calibri" w:cs="Arial"/>
          <w:lang w:val="en-GB"/>
        </w:rPr>
        <w:t xml:space="preserve">, together with, in certain circumstances, </w:t>
      </w:r>
      <w:r w:rsidRPr="009C48DA">
        <w:rPr>
          <w:lang w:val="en-GB"/>
        </w:rPr>
        <w:t>Bridgepoint</w:t>
      </w:r>
      <w:r w:rsidRPr="009C48DA">
        <w:rPr>
          <w:rFonts w:eastAsia="Calibri" w:cs="Arial"/>
          <w:lang w:val="en-GB"/>
        </w:rPr>
        <w:t xml:space="preserve"> </w:t>
      </w:r>
      <w:r w:rsidRPr="009C48DA" w:rsidR="00B51E80">
        <w:rPr>
          <w:rFonts w:eastAsia="Calibri" w:cs="Arial"/>
          <w:lang w:val="en-GB"/>
        </w:rPr>
        <w:t xml:space="preserve">investment professionals and other employees commit capital to the </w:t>
      </w:r>
      <w:r w:rsidRPr="009C48DA">
        <w:rPr>
          <w:rFonts w:eastAsia="Calibri" w:cs="Arial"/>
          <w:lang w:val="en-GB"/>
        </w:rPr>
        <w:t>Bridgepoint</w:t>
      </w:r>
      <w:r w:rsidRPr="009C48DA" w:rsidR="00B51E80">
        <w:rPr>
          <w:rFonts w:eastAsia="Calibri" w:cs="Arial"/>
          <w:lang w:val="en-GB"/>
        </w:rPr>
        <w:t xml:space="preserve"> Funds. </w:t>
      </w:r>
      <w:r w:rsidRPr="009C48DA" w:rsidR="00B51E80">
        <w:rPr>
          <w:lang w:val="en-GB"/>
        </w:rPr>
        <w:t>Under</w:t>
      </w:r>
      <w:r w:rsidRPr="009C48DA" w:rsidR="00B51E80">
        <w:rPr>
          <w:rFonts w:eastAsia="Calibri" w:cs="Arial"/>
          <w:lang w:val="en-GB"/>
        </w:rPr>
        <w:t xml:space="preserve"> the terms of the governing documents constituting any given </w:t>
      </w:r>
      <w:r w:rsidRPr="009C48DA">
        <w:rPr>
          <w:lang w:val="en-GB"/>
        </w:rPr>
        <w:t>Bridgepoint</w:t>
      </w:r>
      <w:r w:rsidRPr="009C48DA">
        <w:rPr>
          <w:rFonts w:eastAsia="Calibri" w:cs="Arial"/>
          <w:lang w:val="en-GB"/>
        </w:rPr>
        <w:t xml:space="preserve"> </w:t>
      </w:r>
      <w:r w:rsidRPr="009C48DA" w:rsidR="00B51E80">
        <w:rPr>
          <w:rFonts w:eastAsia="Calibri" w:cs="Arial"/>
          <w:lang w:val="en-GB"/>
        </w:rPr>
        <w:t xml:space="preserve">Fund, the Group receives </w:t>
      </w:r>
      <w:r w:rsidRPr="009C48DA" w:rsidR="0064349D">
        <w:rPr>
          <w:rFonts w:eastAsia="Calibri" w:cs="Arial"/>
          <w:lang w:val="en-GB"/>
        </w:rPr>
        <w:t xml:space="preserve">(i) </w:t>
      </w:r>
      <w:r w:rsidRPr="009C48DA" w:rsidR="00B51E80">
        <w:rPr>
          <w:rFonts w:eastAsia="Calibri" w:cs="Arial"/>
          <w:lang w:val="en-GB"/>
        </w:rPr>
        <w:t xml:space="preserve">a </w:t>
      </w:r>
      <w:r w:rsidRPr="009C48DA" w:rsidR="00B51E80">
        <w:rPr>
          <w:rFonts w:eastAsia="Calibri" w:cs="Arial"/>
          <w:i/>
          <w:lang w:val="en-GB"/>
        </w:rPr>
        <w:t>pro rata</w:t>
      </w:r>
      <w:r w:rsidRPr="009C48DA" w:rsidR="00B51E80">
        <w:rPr>
          <w:rFonts w:eastAsia="Calibri" w:cs="Arial"/>
          <w:lang w:val="en-GB"/>
        </w:rPr>
        <w:t xml:space="preserve"> share of income generated by a </w:t>
      </w:r>
      <w:r w:rsidRPr="009C48DA">
        <w:rPr>
          <w:rFonts w:eastAsia="Calibri" w:cs="Arial"/>
          <w:lang w:val="en-GB"/>
        </w:rPr>
        <w:t xml:space="preserve">Bridgepoint </w:t>
      </w:r>
      <w:r w:rsidRPr="009C48DA" w:rsidR="00B51E80">
        <w:rPr>
          <w:rFonts w:eastAsia="Calibri" w:cs="Arial"/>
          <w:lang w:val="en-GB"/>
        </w:rPr>
        <w:t xml:space="preserve">Fund based on its commitment to the relevant fund (similar to other investors in the fund) </w:t>
      </w:r>
      <w:r w:rsidRPr="009C48DA" w:rsidR="00B4201B">
        <w:rPr>
          <w:rFonts w:eastAsia="Calibri" w:cs="Arial"/>
          <w:lang w:val="en-GB"/>
        </w:rPr>
        <w:t xml:space="preserve">due to </w:t>
      </w:r>
      <w:r w:rsidRPr="009C48DA" w:rsidR="0064349D">
        <w:rPr>
          <w:rFonts w:eastAsia="Calibri" w:cs="Arial"/>
          <w:lang w:val="en-GB"/>
        </w:rPr>
        <w:t>a fair value remeasurement of investment</w:t>
      </w:r>
      <w:r w:rsidRPr="009C48DA" w:rsidR="00255546">
        <w:rPr>
          <w:rFonts w:eastAsia="Calibri" w:cs="Arial"/>
          <w:lang w:val="en-GB"/>
        </w:rPr>
        <w:t>s (“</w:t>
      </w:r>
      <w:r w:rsidRPr="009C48DA" w:rsidR="00255546">
        <w:rPr>
          <w:rFonts w:eastAsia="Calibri" w:cs="Arial"/>
          <w:b/>
          <w:lang w:val="en-GB"/>
        </w:rPr>
        <w:t>Investment Income</w:t>
      </w:r>
      <w:r w:rsidRPr="009C48DA" w:rsidR="00255546">
        <w:rPr>
          <w:rFonts w:eastAsia="Calibri" w:cs="Arial"/>
          <w:lang w:val="en-GB"/>
        </w:rPr>
        <w:t>”)</w:t>
      </w:r>
      <w:r w:rsidRPr="009C48DA" w:rsidR="0064349D">
        <w:rPr>
          <w:rFonts w:eastAsia="Calibri" w:cs="Arial"/>
          <w:lang w:val="en-GB"/>
        </w:rPr>
        <w:t xml:space="preserve"> </w:t>
      </w:r>
      <w:r w:rsidRPr="009C48DA" w:rsidR="00B51E80">
        <w:rPr>
          <w:rFonts w:eastAsia="Calibri" w:cs="Arial"/>
          <w:lang w:val="en-GB"/>
        </w:rPr>
        <w:t xml:space="preserve">and (ii) carried interest, provided that relevant performance hurdles under the fund documentation have been met. </w:t>
      </w:r>
    </w:p>
    <w:p w:rsidRPr="009C48DA" w:rsidR="00B51E80" w:rsidP="006E5132" w:rsidRDefault="00B51E80" w14:paraId="55BB6ABF" w14:textId="52179681">
      <w:pPr>
        <w:pStyle w:val="BodyText2SglJ"/>
        <w:rPr>
          <w:rFonts w:eastAsia="Calibri" w:cs="Arial"/>
          <w:lang w:val="en-GB"/>
        </w:rPr>
      </w:pPr>
      <w:r w:rsidRPr="009C48DA">
        <w:rPr>
          <w:lang w:val="en-GB"/>
        </w:rPr>
        <w:t>Returns</w:t>
      </w:r>
      <w:r w:rsidRPr="009C48DA">
        <w:rPr>
          <w:rFonts w:eastAsia="Calibri" w:cs="Arial"/>
          <w:lang w:val="en-GB"/>
        </w:rPr>
        <w:t xml:space="preserve"> received by a </w:t>
      </w:r>
      <w:r w:rsidRPr="009C48DA" w:rsidR="00961BEE">
        <w:rPr>
          <w:rFonts w:eastAsia="Calibri" w:cs="Arial"/>
          <w:lang w:val="en-GB"/>
        </w:rPr>
        <w:t xml:space="preserve">Bridgepoint </w:t>
      </w:r>
      <w:r w:rsidRPr="009C48DA">
        <w:rPr>
          <w:rFonts w:eastAsia="Calibri" w:cs="Arial"/>
          <w:lang w:val="en-GB"/>
        </w:rPr>
        <w:t xml:space="preserve">Fund from its investments are allocated amongst, and subsequently distributed to, the investors in such </w:t>
      </w:r>
      <w:r w:rsidRPr="009C48DA" w:rsidR="00961BEE">
        <w:rPr>
          <w:rFonts w:eastAsia="Calibri" w:cs="Arial"/>
          <w:lang w:val="en-GB"/>
        </w:rPr>
        <w:t xml:space="preserve">Bridgepoint </w:t>
      </w:r>
      <w:r w:rsidRPr="009C48DA">
        <w:rPr>
          <w:rFonts w:eastAsia="Calibri" w:cs="Arial"/>
          <w:lang w:val="en-GB"/>
        </w:rPr>
        <w:t xml:space="preserve">Fund according to such fund’s “distribution waterfall.” Depending on the specifics of the distribution waterfall of the relevant </w:t>
      </w:r>
      <w:r w:rsidRPr="009C48DA" w:rsidR="00961BEE">
        <w:rPr>
          <w:rFonts w:eastAsia="Calibri" w:cs="Arial"/>
          <w:lang w:val="en-GB"/>
        </w:rPr>
        <w:t xml:space="preserve">Bridgepoint </w:t>
      </w:r>
      <w:r w:rsidRPr="009C48DA">
        <w:rPr>
          <w:rFonts w:eastAsia="Calibri" w:cs="Arial"/>
          <w:lang w:val="en-GB"/>
        </w:rPr>
        <w:t xml:space="preserve">Fund, after payment of, and provision for, any fees, costs, expenses or other liabilities (including the management fee charged by members of the Group) of the relevant </w:t>
      </w:r>
      <w:r w:rsidRPr="009C48DA" w:rsidR="00961BEE">
        <w:rPr>
          <w:rFonts w:eastAsia="Calibri" w:cs="Arial"/>
          <w:lang w:val="en-GB"/>
        </w:rPr>
        <w:t xml:space="preserve">Bridgepoint </w:t>
      </w:r>
      <w:r w:rsidRPr="009C48DA">
        <w:rPr>
          <w:rFonts w:eastAsia="Calibri" w:cs="Arial"/>
          <w:lang w:val="en-GB"/>
        </w:rPr>
        <w:t xml:space="preserve">Fund, all of the proceeds of such </w:t>
      </w:r>
      <w:r w:rsidRPr="009C48DA" w:rsidR="00961BEE">
        <w:rPr>
          <w:rFonts w:eastAsia="Calibri" w:cs="Arial"/>
          <w:lang w:val="en-GB"/>
        </w:rPr>
        <w:t xml:space="preserve">Bridgepoint </w:t>
      </w:r>
      <w:r w:rsidRPr="009C48DA">
        <w:rPr>
          <w:rFonts w:eastAsia="Calibri" w:cs="Arial"/>
          <w:lang w:val="en-GB"/>
        </w:rPr>
        <w:t>Fund are typically distributed first to the investors in the fund, including to the relevant member of the Group in respect of its investment alongside the other investors, until such time as they have received back their invested amounts, together with a certain minimum return (for example,</w:t>
      </w:r>
      <w:r w:rsidRPr="009C48DA">
        <w:rPr>
          <w:rFonts w:eastAsia="Calibri" w:cs="Arial"/>
          <w:i/>
          <w:lang w:val="en-GB"/>
        </w:rPr>
        <w:t xml:space="preserve"> </w:t>
      </w:r>
      <w:r w:rsidRPr="009C48DA">
        <w:rPr>
          <w:rFonts w:eastAsia="Calibri" w:cs="Arial"/>
          <w:lang w:val="en-GB"/>
        </w:rPr>
        <w:t xml:space="preserve">an annually compounding return of typically eight per cent </w:t>
      </w:r>
      <w:r w:rsidRPr="009C48DA" w:rsidR="0064349D">
        <w:rPr>
          <w:rFonts w:eastAsia="Calibri" w:cs="Arial"/>
          <w:lang w:val="en-GB"/>
        </w:rPr>
        <w:t xml:space="preserve">for the </w:t>
      </w:r>
      <w:r w:rsidRPr="009C48DA" w:rsidR="00961BEE">
        <w:rPr>
          <w:rFonts w:eastAsia="Calibri" w:cs="Arial"/>
          <w:lang w:val="en-GB"/>
        </w:rPr>
        <w:t xml:space="preserve">Bridgepoint </w:t>
      </w:r>
      <w:r w:rsidRPr="009C48DA" w:rsidR="0064349D">
        <w:rPr>
          <w:rFonts w:eastAsia="Calibri" w:cs="Arial"/>
          <w:lang w:val="en-GB"/>
        </w:rPr>
        <w:t xml:space="preserve">private equity funds </w:t>
      </w:r>
      <w:r w:rsidRPr="009C48DA">
        <w:rPr>
          <w:rFonts w:eastAsia="Calibri" w:cs="Arial"/>
          <w:lang w:val="en-GB"/>
        </w:rPr>
        <w:t>on the investors’ invested capital, after fees and expenses, in excess of their distributions). Once such “minimum return hurdle” is met, the Carried Interest Participants</w:t>
      </w:r>
      <w:r w:rsidRPr="009C48DA" w:rsidR="0064349D">
        <w:rPr>
          <w:rFonts w:eastAsia="Calibri" w:cs="Arial"/>
          <w:lang w:val="en-GB"/>
        </w:rPr>
        <w:t xml:space="preserve">, including in some cases members of the Group, </w:t>
      </w:r>
      <w:r w:rsidRPr="009C48DA">
        <w:rPr>
          <w:rFonts w:eastAsia="Calibri" w:cs="Arial"/>
          <w:lang w:val="en-GB"/>
        </w:rPr>
        <w:t>may receive an accelerated pay-out of profits as a “catch-up” on amounts distributed to the investors in the fund in excess of their invested amounts until the overall contractual profit split is achieved (for example,</w:t>
      </w:r>
      <w:r w:rsidRPr="009C48DA">
        <w:rPr>
          <w:rFonts w:eastAsia="Calibri" w:cs="Arial"/>
          <w:i/>
          <w:lang w:val="en-GB"/>
        </w:rPr>
        <w:t xml:space="preserve"> </w:t>
      </w:r>
      <w:r w:rsidRPr="009C48DA">
        <w:rPr>
          <w:rFonts w:eastAsia="Calibri" w:cs="Arial"/>
          <w:lang w:val="en-GB"/>
        </w:rPr>
        <w:t>80 per cent to investors in the fund and 20 per cent to Carried Interest Participants). Subject to these minimum return hurdles, carried interest typically corresponds to a fixed percentage (for example,</w:t>
      </w:r>
      <w:r w:rsidRPr="009C48DA">
        <w:rPr>
          <w:rFonts w:eastAsia="Calibri" w:cs="Arial"/>
          <w:i/>
          <w:lang w:val="en-GB"/>
        </w:rPr>
        <w:t xml:space="preserve"> </w:t>
      </w:r>
      <w:r w:rsidRPr="009C48DA">
        <w:rPr>
          <w:rFonts w:eastAsia="Calibri" w:cs="Arial"/>
          <w:lang w:val="en-GB"/>
        </w:rPr>
        <w:t xml:space="preserve">20 per cent) of the fund’s overall profits after deduction of management fees and relevant expenses for the fund. Following the catch-up phase, any additional profits are </w:t>
      </w:r>
      <w:r w:rsidRPr="009C48DA">
        <w:rPr>
          <w:rFonts w:eastAsia="Calibri" w:cs="Arial"/>
          <w:i/>
          <w:lang w:val="en-GB"/>
        </w:rPr>
        <w:t>pro rata</w:t>
      </w:r>
      <w:r w:rsidRPr="009C48DA">
        <w:rPr>
          <w:rFonts w:eastAsia="Calibri" w:cs="Arial"/>
          <w:lang w:val="en-GB"/>
        </w:rPr>
        <w:t xml:space="preserve"> allocated based on the contractual profit split. In certain circumstances, Carried Interest Participants may be liable to repay carried interest that was previously distributed to them and which exceeds the amounts to which they are ultimately entitled (so called “clawback” obligations). See “</w:t>
      </w:r>
      <w:r w:rsidRPr="009C48DA">
        <w:rPr>
          <w:rFonts w:eastAsia="Calibri" w:cs="Arial"/>
          <w:i/>
          <w:lang w:val="en-GB"/>
        </w:rPr>
        <w:t xml:space="preserve">Risks related to the Group’s Business, Industry and Markets—The Group may be required to pay “clawback” obligations if and when they are triggered under the documents governing the </w:t>
      </w:r>
      <w:r w:rsidRPr="009C48DA" w:rsidR="00961BEE">
        <w:rPr>
          <w:rFonts w:eastAsia="Calibri" w:cs="Arial"/>
          <w:i/>
          <w:lang w:val="en-GB"/>
        </w:rPr>
        <w:t xml:space="preserve">Bridgepoint </w:t>
      </w:r>
      <w:r w:rsidRPr="009C48DA">
        <w:rPr>
          <w:rFonts w:eastAsia="Calibri" w:cs="Arial"/>
          <w:i/>
          <w:lang w:val="en-GB"/>
        </w:rPr>
        <w:t>Funds</w:t>
      </w:r>
      <w:r w:rsidRPr="009C48DA">
        <w:rPr>
          <w:rFonts w:eastAsia="Calibri" w:cs="Arial"/>
          <w:lang w:val="en-GB"/>
        </w:rPr>
        <w:t>”</w:t>
      </w:r>
      <w:r w:rsidRPr="009C48DA" w:rsidR="0064349D">
        <w:rPr>
          <w:rFonts w:eastAsia="Calibri" w:cs="Arial"/>
          <w:lang w:val="en-GB"/>
        </w:rPr>
        <w:t xml:space="preserve"> in </w:t>
      </w:r>
      <w:r w:rsidRPr="009C48DA" w:rsidR="0064349D">
        <w:rPr>
          <w:rFonts w:eastAsia="Calibri" w:cs="Arial"/>
          <w:lang w:val="en-GB"/>
        </w:rPr>
        <w:fldChar w:fldCharType="begin"/>
      </w:r>
      <w:r w:rsidRPr="009C48DA" w:rsidR="0064349D">
        <w:rPr>
          <w:rFonts w:eastAsia="Calibri" w:cs="Arial"/>
          <w:lang w:val="en-GB"/>
        </w:rPr>
        <w:instrText xml:space="preserve"> REF _Ref71136204 \n \h </w:instrText>
      </w:r>
      <w:r w:rsidRPr="009C48DA" w:rsidR="0064349D">
        <w:rPr>
          <w:rFonts w:eastAsia="Calibri" w:cs="Arial"/>
          <w:lang w:val="en-GB"/>
        </w:rPr>
      </w:r>
      <w:r w:rsidRPr="009C48DA" w:rsidR="0064349D">
        <w:rPr>
          <w:rFonts w:eastAsia="Calibri" w:cs="Arial"/>
          <w:lang w:val="en-GB"/>
        </w:rPr>
        <w:fldChar w:fldCharType="separate"/>
      </w:r>
      <w:r w:rsidR="007C3D19">
        <w:rPr>
          <w:rFonts w:eastAsia="Calibri" w:cs="Arial"/>
          <w:lang w:val="en-GB"/>
        </w:rPr>
        <w:t>Part I</w:t>
      </w:r>
      <w:r w:rsidRPr="009C48DA" w:rsidR="0064349D">
        <w:rPr>
          <w:rFonts w:eastAsia="Calibri" w:cs="Arial"/>
          <w:lang w:val="en-GB"/>
        </w:rPr>
        <w:fldChar w:fldCharType="end"/>
      </w:r>
      <w:r w:rsidRPr="009C48DA" w:rsidR="0064349D">
        <w:rPr>
          <w:rFonts w:eastAsia="Calibri" w:cs="Arial"/>
          <w:lang w:val="en-GB"/>
        </w:rPr>
        <w:t xml:space="preserve"> (</w:t>
      </w:r>
      <w:r w:rsidRPr="009C48DA" w:rsidR="006E5132">
        <w:rPr>
          <w:rFonts w:eastAsia="Calibri" w:cs="Arial"/>
          <w:i/>
          <w:lang w:val="en-GB"/>
        </w:rPr>
        <w:fldChar w:fldCharType="begin"/>
      </w:r>
      <w:r w:rsidRPr="009C48DA" w:rsidR="006E5132">
        <w:rPr>
          <w:rFonts w:eastAsia="Calibri" w:cs="Arial"/>
          <w:i/>
          <w:lang w:val="en-GB"/>
        </w:rPr>
        <w:instrText xml:space="preserve"> REF _Ref75190583 \h  \* MERGEFORMAT </w:instrText>
      </w:r>
      <w:r w:rsidRPr="009C48DA" w:rsidR="006E5132">
        <w:rPr>
          <w:rFonts w:eastAsia="Calibri" w:cs="Arial"/>
          <w:i/>
          <w:lang w:val="en-GB"/>
        </w:rPr>
      </w:r>
      <w:r w:rsidRPr="009C48DA" w:rsidR="006E5132">
        <w:rPr>
          <w:rFonts w:eastAsia="Calibri" w:cs="Arial"/>
          <w:i/>
          <w:lang w:val="en-GB"/>
        </w:rPr>
        <w:fldChar w:fldCharType="separate"/>
      </w:r>
      <w:r w:rsidRPr="007C3D19" w:rsidR="007C3D19">
        <w:rPr>
          <w:i/>
          <w:lang w:val="en-GB"/>
        </w:rPr>
        <w:t>Risk Factors</w:t>
      </w:r>
      <w:r w:rsidRPr="009C48DA" w:rsidR="006E5132">
        <w:rPr>
          <w:rFonts w:eastAsia="Calibri" w:cs="Arial"/>
          <w:i/>
          <w:lang w:val="en-GB"/>
        </w:rPr>
        <w:fldChar w:fldCharType="end"/>
      </w:r>
      <w:r w:rsidRPr="009C48DA" w:rsidR="00B4201B">
        <w:rPr>
          <w:rFonts w:eastAsia="Calibri" w:cs="Arial"/>
          <w:lang w:val="en-GB"/>
        </w:rPr>
        <w:t>).</w:t>
      </w:r>
    </w:p>
    <w:p w:rsidRPr="009C48DA" w:rsidR="00B51E80" w:rsidP="00B51E80" w:rsidRDefault="00B51E80" w14:paraId="11FB10F5" w14:textId="6FE6F271">
      <w:pPr>
        <w:pStyle w:val="BodyText2SglJ"/>
        <w:rPr>
          <w:lang w:val="en-GB"/>
        </w:rPr>
      </w:pPr>
      <w:r w:rsidRPr="009C48DA">
        <w:rPr>
          <w:lang w:val="en-GB"/>
        </w:rPr>
        <w:t xml:space="preserve">Investments </w:t>
      </w:r>
      <w:r w:rsidRPr="009C48DA" w:rsidR="0064349D">
        <w:rPr>
          <w:lang w:val="en-GB"/>
        </w:rPr>
        <w:t xml:space="preserve">by the Group into the </w:t>
      </w:r>
      <w:r w:rsidRPr="009C48DA" w:rsidR="00961BEE">
        <w:rPr>
          <w:rFonts w:eastAsia="Calibri" w:cs="Arial"/>
          <w:lang w:val="en-GB"/>
        </w:rPr>
        <w:t>Bridgepoint</w:t>
      </w:r>
      <w:r w:rsidRPr="009C48DA" w:rsidR="00961BEE">
        <w:rPr>
          <w:lang w:val="en-GB"/>
        </w:rPr>
        <w:t xml:space="preserve"> </w:t>
      </w:r>
      <w:r w:rsidRPr="009C48DA" w:rsidR="0064349D">
        <w:rPr>
          <w:lang w:val="en-GB"/>
        </w:rPr>
        <w:t xml:space="preserve">Funds are held on the Group’s balance sheet and result in </w:t>
      </w:r>
      <w:r w:rsidRPr="009C48DA" w:rsidR="00A67612">
        <w:rPr>
          <w:lang w:val="en-GB"/>
        </w:rPr>
        <w:t>I</w:t>
      </w:r>
      <w:r w:rsidRPr="009C48DA" w:rsidR="0064349D">
        <w:rPr>
          <w:lang w:val="en-GB"/>
        </w:rPr>
        <w:t>nvestment</w:t>
      </w:r>
      <w:r w:rsidRPr="009C48DA" w:rsidR="00A67612">
        <w:rPr>
          <w:lang w:val="en-GB"/>
        </w:rPr>
        <w:t xml:space="preserve"> Income</w:t>
      </w:r>
      <w:r w:rsidRPr="009C48DA" w:rsidR="0064349D">
        <w:rPr>
          <w:lang w:val="en-GB"/>
        </w:rPr>
        <w:t xml:space="preserve">. The investments </w:t>
      </w:r>
      <w:r w:rsidRPr="009C48DA">
        <w:rPr>
          <w:lang w:val="en-GB"/>
        </w:rPr>
        <w:t xml:space="preserve">by the Group into the </w:t>
      </w:r>
      <w:r w:rsidRPr="009C48DA" w:rsidR="00961BEE">
        <w:rPr>
          <w:rFonts w:eastAsia="Calibri" w:cs="Arial"/>
          <w:lang w:val="en-GB"/>
        </w:rPr>
        <w:t>Bridgepoint</w:t>
      </w:r>
      <w:r w:rsidRPr="009C48DA" w:rsidR="00961BEE">
        <w:rPr>
          <w:lang w:val="en-GB"/>
        </w:rPr>
        <w:t xml:space="preserve"> </w:t>
      </w:r>
      <w:r w:rsidRPr="009C48DA">
        <w:rPr>
          <w:lang w:val="en-GB"/>
        </w:rPr>
        <w:t>Funds have historically amounted to approximately two to three per cent of the total fund commitments</w:t>
      </w:r>
      <w:r w:rsidRPr="009C48DA" w:rsidR="0064349D">
        <w:rPr>
          <w:lang w:val="en-GB"/>
        </w:rPr>
        <w:t xml:space="preserve"> (</w:t>
      </w:r>
      <w:r w:rsidRPr="009C48DA" w:rsidR="00AD15E0">
        <w:rPr>
          <w:lang w:val="en-GB"/>
        </w:rPr>
        <w:t>for example</w:t>
      </w:r>
      <w:r w:rsidRPr="009C48DA" w:rsidR="0064349D">
        <w:rPr>
          <w:lang w:val="en-GB"/>
        </w:rPr>
        <w:t xml:space="preserve">, approximately two per cent in the case of </w:t>
      </w:r>
      <w:r w:rsidRPr="009C48DA" w:rsidR="00961BEE">
        <w:rPr>
          <w:rFonts w:eastAsia="Calibri" w:cs="Arial"/>
          <w:lang w:val="en-GB"/>
        </w:rPr>
        <w:t>Bridgepoint</w:t>
      </w:r>
      <w:r w:rsidRPr="009C48DA" w:rsidR="00961BEE">
        <w:rPr>
          <w:lang w:val="en-GB"/>
        </w:rPr>
        <w:t xml:space="preserve"> </w:t>
      </w:r>
      <w:r w:rsidRPr="009C48DA" w:rsidR="0064349D">
        <w:rPr>
          <w:lang w:val="en-GB"/>
        </w:rPr>
        <w:t>Europe VI)</w:t>
      </w:r>
      <w:r w:rsidRPr="009C48DA">
        <w:rPr>
          <w:lang w:val="en-GB"/>
        </w:rPr>
        <w:t xml:space="preserve">, with the opportunity for the Group and investment professionals and other employees (where applicable) to make additional commitments. For example, as of 31 December 2018, 2019 and 2020 and 31 March 2020 and 2021, the aggregate amount of the Group’s investments in the </w:t>
      </w:r>
      <w:r w:rsidRPr="009C48DA" w:rsidR="00961BEE">
        <w:rPr>
          <w:rFonts w:eastAsia="Calibri" w:cs="Arial"/>
          <w:lang w:val="en-GB"/>
        </w:rPr>
        <w:t>Bridgepoint</w:t>
      </w:r>
      <w:r w:rsidRPr="009C48DA" w:rsidR="00961BEE">
        <w:rPr>
          <w:lang w:val="en-GB"/>
        </w:rPr>
        <w:t xml:space="preserve"> </w:t>
      </w:r>
      <w:r w:rsidRPr="009C48DA">
        <w:rPr>
          <w:lang w:val="en-GB"/>
        </w:rPr>
        <w:t xml:space="preserve">Funds amounted to £212 million (consisting of £126 million of investments </w:t>
      </w:r>
      <w:r w:rsidRPr="009C48DA">
        <w:rPr>
          <w:lang w:val="en-GB"/>
        </w:rPr>
        <w:lastRenderedPageBreak/>
        <w:t>in private equity funds and £86 million of investments in private credit fund</w:t>
      </w:r>
      <w:r w:rsidR="00BA3614">
        <w:rPr>
          <w:lang w:val="en-GB"/>
        </w:rPr>
        <w:t>s), £206 million (consisting of </w:t>
      </w:r>
      <w:r w:rsidRPr="009C48DA">
        <w:rPr>
          <w:lang w:val="en-GB"/>
        </w:rPr>
        <w:t>£158 million of investments in private equity funds and £49 million of investments in private credit funds), £253 million (consisting of £189 million of investments in private equity funds and £64 million of investments in private credit funds), £</w:t>
      </w:r>
      <w:r w:rsidRPr="009C48DA">
        <w:rPr>
          <w:rFonts w:cs="Times New Roman"/>
          <w:lang w:val="en-GB"/>
        </w:rPr>
        <w:t xml:space="preserve">204 </w:t>
      </w:r>
      <w:r w:rsidRPr="009C48DA">
        <w:rPr>
          <w:lang w:val="en-GB"/>
        </w:rPr>
        <w:t>million (consisting of £</w:t>
      </w:r>
      <w:r w:rsidRPr="009C48DA">
        <w:rPr>
          <w:rFonts w:cs="Times New Roman"/>
          <w:lang w:val="en-GB"/>
        </w:rPr>
        <w:t xml:space="preserve">151 </w:t>
      </w:r>
      <w:r w:rsidRPr="009C48DA">
        <w:rPr>
          <w:lang w:val="en-GB"/>
        </w:rPr>
        <w:t>million of investments in private equity funds and £</w:t>
      </w:r>
      <w:r w:rsidRPr="009C48DA">
        <w:rPr>
          <w:rFonts w:cs="Times New Roman"/>
          <w:lang w:val="en-GB"/>
        </w:rPr>
        <w:t xml:space="preserve">53 </w:t>
      </w:r>
      <w:r w:rsidRPr="009C48DA">
        <w:rPr>
          <w:lang w:val="en-GB"/>
        </w:rPr>
        <w:t>million of investments in private credit funds) and £</w:t>
      </w:r>
      <w:r w:rsidRPr="009C48DA">
        <w:rPr>
          <w:rFonts w:cs="Times New Roman"/>
          <w:lang w:val="en-GB"/>
        </w:rPr>
        <w:t xml:space="preserve">254 </w:t>
      </w:r>
      <w:r w:rsidRPr="009C48DA">
        <w:rPr>
          <w:lang w:val="en-GB"/>
        </w:rPr>
        <w:t>million (consisting of £</w:t>
      </w:r>
      <w:r w:rsidRPr="009C48DA">
        <w:rPr>
          <w:rFonts w:cs="Times New Roman"/>
          <w:lang w:val="en-GB"/>
        </w:rPr>
        <w:t xml:space="preserve">187 </w:t>
      </w:r>
      <w:r w:rsidRPr="009C48DA">
        <w:rPr>
          <w:lang w:val="en-GB"/>
        </w:rPr>
        <w:t>million of investments in private equity funds and £</w:t>
      </w:r>
      <w:r w:rsidRPr="009C48DA">
        <w:rPr>
          <w:rFonts w:cs="Times New Roman"/>
          <w:lang w:val="en-GB"/>
        </w:rPr>
        <w:t xml:space="preserve">67 </w:t>
      </w:r>
      <w:r w:rsidRPr="009C48DA">
        <w:rPr>
          <w:lang w:val="en-GB"/>
        </w:rPr>
        <w:t xml:space="preserve">million of investments in private credit funds), respectively. Going forward, the Group’s goal is that its share of commitments and investments in the </w:t>
      </w:r>
      <w:r w:rsidRPr="009C48DA" w:rsidR="00961BEE">
        <w:rPr>
          <w:rFonts w:eastAsia="Calibri" w:cs="Arial"/>
          <w:lang w:val="en-GB"/>
        </w:rPr>
        <w:t>Bridgepoint</w:t>
      </w:r>
      <w:r w:rsidRPr="009C48DA" w:rsidR="00961BEE">
        <w:rPr>
          <w:lang w:val="en-GB"/>
        </w:rPr>
        <w:t xml:space="preserve"> </w:t>
      </w:r>
      <w:r w:rsidRPr="009C48DA">
        <w:rPr>
          <w:lang w:val="en-GB"/>
        </w:rPr>
        <w:t xml:space="preserve">Funds to generally account for two to three per cent of the total commitments to a </w:t>
      </w:r>
      <w:r w:rsidRPr="009C48DA" w:rsidR="00961BEE">
        <w:rPr>
          <w:rFonts w:eastAsia="Calibri" w:cs="Arial"/>
          <w:lang w:val="en-GB"/>
        </w:rPr>
        <w:t>Bridgepoint</w:t>
      </w:r>
      <w:r w:rsidRPr="009C48DA" w:rsidR="00961BEE">
        <w:rPr>
          <w:lang w:val="en-GB"/>
        </w:rPr>
        <w:t xml:space="preserve"> </w:t>
      </w:r>
      <w:r w:rsidRPr="009C48DA">
        <w:rPr>
          <w:lang w:val="en-GB"/>
        </w:rPr>
        <w:t xml:space="preserve">Fund, and the Group expects to generally continue re-investing any proceeds received from such commitments into future </w:t>
      </w:r>
      <w:r w:rsidRPr="009C48DA" w:rsidR="00961BEE">
        <w:rPr>
          <w:rFonts w:eastAsia="Calibri" w:cs="Arial"/>
          <w:lang w:val="en-GB"/>
        </w:rPr>
        <w:t>Bridgepoint</w:t>
      </w:r>
      <w:r w:rsidRPr="009C48DA" w:rsidR="00961BEE">
        <w:rPr>
          <w:lang w:val="en-GB"/>
        </w:rPr>
        <w:t xml:space="preserve"> </w:t>
      </w:r>
      <w:r w:rsidRPr="009C48DA">
        <w:rPr>
          <w:lang w:val="en-GB"/>
        </w:rPr>
        <w:t>Funds.</w:t>
      </w:r>
      <w:r w:rsidRPr="009C48DA" w:rsidR="0064349D">
        <w:rPr>
          <w:lang w:val="en-GB"/>
        </w:rPr>
        <w:t xml:space="preserve"> As of 31 March 2021, the share of Total AUM held on the Group’s balance sheet amounted to approximately one per cent.</w:t>
      </w:r>
    </w:p>
    <w:p w:rsidR="00B51E80" w:rsidP="00B51E80" w:rsidRDefault="00B51E80" w14:paraId="67C64C3C" w14:textId="21438B98">
      <w:pPr>
        <w:pStyle w:val="BodyText2SglJ"/>
        <w:rPr>
          <w:rFonts w:eastAsia="Calibri" w:cs="Arial"/>
          <w:lang w:val="en-GB"/>
        </w:rPr>
      </w:pPr>
      <w:r w:rsidRPr="009C48DA">
        <w:rPr>
          <w:rFonts w:eastAsia="Calibri" w:cs="Arial"/>
          <w:lang w:val="en-GB"/>
        </w:rPr>
        <w:t xml:space="preserve">The Group is also aiming to increase the Group’s share of the total carried interest </w:t>
      </w:r>
      <w:r w:rsidRPr="009C48DA">
        <w:rPr>
          <w:lang w:val="en-GB"/>
        </w:rPr>
        <w:t>entitlement</w:t>
      </w:r>
      <w:r w:rsidRPr="009C48DA">
        <w:rPr>
          <w:rFonts w:eastAsia="Calibri" w:cs="Arial"/>
          <w:lang w:val="en-GB"/>
        </w:rPr>
        <w:t xml:space="preserve"> of </w:t>
      </w:r>
      <w:r w:rsidRPr="009C48DA" w:rsidR="0064349D">
        <w:rPr>
          <w:rFonts w:eastAsia="Calibri" w:cs="Arial"/>
          <w:lang w:val="en-GB"/>
        </w:rPr>
        <w:t xml:space="preserve">all Carried Interest Participants in </w:t>
      </w:r>
      <w:r w:rsidRPr="009C48DA">
        <w:rPr>
          <w:rFonts w:eastAsia="Calibri" w:cs="Arial"/>
          <w:lang w:val="en-GB"/>
        </w:rPr>
        <w:t xml:space="preserve">a fund (so called “house carry”). For example, the carried interest entitlement of the Group for </w:t>
      </w:r>
      <w:r w:rsidRPr="009C48DA" w:rsidR="00961BEE">
        <w:rPr>
          <w:rFonts w:eastAsia="Calibri" w:cs="Arial"/>
          <w:lang w:val="en-GB"/>
        </w:rPr>
        <w:t xml:space="preserve">Bridgepoint </w:t>
      </w:r>
      <w:r w:rsidRPr="009C48DA">
        <w:rPr>
          <w:rFonts w:eastAsia="Calibri" w:cs="Arial"/>
          <w:lang w:val="en-GB"/>
        </w:rPr>
        <w:t xml:space="preserve">Europe VI is </w:t>
      </w:r>
      <w:r w:rsidRPr="009C48DA">
        <w:rPr>
          <w:rFonts w:eastAsia="Calibri" w:cs="Times New Roman"/>
          <w:lang w:val="en-GB"/>
        </w:rPr>
        <w:t>five</w:t>
      </w:r>
      <w:r w:rsidRPr="009C48DA">
        <w:rPr>
          <w:rFonts w:eastAsia="Calibri" w:cs="Arial"/>
          <w:lang w:val="en-GB"/>
        </w:rPr>
        <w:t xml:space="preserve"> per cent (with the remaining amount being attributable to the Group’s investment professionals and other employees</w:t>
      </w:r>
      <w:r w:rsidRPr="009C48DA" w:rsidR="0064349D">
        <w:rPr>
          <w:rFonts w:eastAsia="Calibri" w:cs="Arial"/>
          <w:lang w:val="en-GB"/>
        </w:rPr>
        <w:t xml:space="preserve"> as well as certain affiliates of </w:t>
      </w:r>
      <w:r w:rsidRPr="009C48DA" w:rsidR="005A0658">
        <w:rPr>
          <w:lang w:val="en-GB"/>
        </w:rPr>
        <w:t>Dyal Equity Funds</w:t>
      </w:r>
      <w:r w:rsidRPr="009C48DA">
        <w:rPr>
          <w:rFonts w:eastAsia="Calibri" w:cs="Arial"/>
          <w:lang w:val="en-GB"/>
        </w:rPr>
        <w:t xml:space="preserve">), while no such entitlement existed </w:t>
      </w:r>
      <w:r w:rsidRPr="009C48DA" w:rsidR="005E32A6">
        <w:rPr>
          <w:rFonts w:eastAsia="Calibri" w:cs="Arial"/>
          <w:lang w:val="en-GB"/>
        </w:rPr>
        <w:t xml:space="preserve">for the Group </w:t>
      </w:r>
      <w:r w:rsidRPr="009C48DA">
        <w:rPr>
          <w:rFonts w:eastAsia="Calibri" w:cs="Arial"/>
          <w:lang w:val="en-GB"/>
        </w:rPr>
        <w:t xml:space="preserve">for </w:t>
      </w:r>
      <w:r w:rsidRPr="009C48DA" w:rsidR="00961BEE">
        <w:rPr>
          <w:rFonts w:eastAsia="Calibri" w:cs="Arial"/>
          <w:lang w:val="en-GB"/>
        </w:rPr>
        <w:t xml:space="preserve">Bridgepoint </w:t>
      </w:r>
      <w:r w:rsidRPr="009C48DA">
        <w:rPr>
          <w:rFonts w:eastAsia="Calibri" w:cs="Arial"/>
          <w:lang w:val="en-GB"/>
        </w:rPr>
        <w:t>Europe V. Subject to certain exemptions, the Group is aiming to be entitled to 22.5 to 35 per cent of the total carried interest entitlement in all future funds</w:t>
      </w:r>
      <w:r w:rsidRPr="009C48DA" w:rsidR="0064349D">
        <w:rPr>
          <w:rFonts w:eastAsia="Calibri" w:cs="Arial"/>
          <w:lang w:val="en-GB"/>
        </w:rPr>
        <w:t xml:space="preserve"> (with the next flagship fund being expected to be closer to the lower end of this range)</w:t>
      </w:r>
      <w:r w:rsidRPr="009C48DA">
        <w:rPr>
          <w:rFonts w:eastAsia="Calibri" w:cs="Arial"/>
          <w:lang w:val="en-GB"/>
        </w:rPr>
        <w:t xml:space="preserve">, with the remaining amount of the </w:t>
      </w:r>
      <w:r w:rsidRPr="009C48DA" w:rsidR="0064349D">
        <w:rPr>
          <w:rFonts w:eastAsia="Calibri" w:cs="Arial"/>
          <w:lang w:val="en-GB"/>
        </w:rPr>
        <w:t xml:space="preserve">total </w:t>
      </w:r>
      <w:r w:rsidRPr="009C48DA">
        <w:rPr>
          <w:rFonts w:eastAsia="Calibri" w:cs="Arial"/>
          <w:lang w:val="en-GB"/>
        </w:rPr>
        <w:t xml:space="preserve">carried interest entitlement </w:t>
      </w:r>
      <w:r w:rsidRPr="009C48DA" w:rsidR="0064349D">
        <w:rPr>
          <w:rFonts w:eastAsia="Calibri" w:cs="Arial"/>
          <w:lang w:val="en-GB"/>
        </w:rPr>
        <w:t xml:space="preserve">of such future funds </w:t>
      </w:r>
      <w:r w:rsidRPr="009C48DA">
        <w:rPr>
          <w:rFonts w:eastAsia="Calibri" w:cs="Arial"/>
          <w:lang w:val="en-GB"/>
        </w:rPr>
        <w:t>being attributable to the Group’s investment professionals and other employees</w:t>
      </w:r>
      <w:r w:rsidRPr="009C48DA" w:rsidR="00C23DD4">
        <w:rPr>
          <w:rFonts w:eastAsia="Calibri" w:cs="Arial"/>
          <w:lang w:val="en-GB"/>
        </w:rPr>
        <w:t xml:space="preserve"> as well as certain affiliates of </w:t>
      </w:r>
      <w:r w:rsidRPr="009C48DA" w:rsidR="005A0658">
        <w:rPr>
          <w:lang w:val="en-GB"/>
        </w:rPr>
        <w:t>Dyal Equity Funds</w:t>
      </w:r>
      <w:r w:rsidRPr="009C48DA" w:rsidR="00C23DD4">
        <w:rPr>
          <w:rFonts w:eastAsia="Calibri" w:cs="Arial"/>
          <w:lang w:val="en-GB"/>
        </w:rPr>
        <w:t xml:space="preserve">. The affiliates of </w:t>
      </w:r>
      <w:r w:rsidRPr="009C48DA" w:rsidR="005A0658">
        <w:rPr>
          <w:lang w:val="en-GB"/>
        </w:rPr>
        <w:t xml:space="preserve">Dyal Equity Funds </w:t>
      </w:r>
      <w:r w:rsidRPr="009C48DA" w:rsidR="00C23DD4">
        <w:rPr>
          <w:rFonts w:eastAsia="Calibri" w:cs="Arial"/>
          <w:lang w:val="en-GB"/>
        </w:rPr>
        <w:t xml:space="preserve">are entitled to receive a certain percentage of the carried interest in respect of such funds pursuant to an investment agreement which is described in </w:t>
      </w:r>
      <w:r w:rsidRPr="009C48DA" w:rsidR="007E0FBF">
        <w:rPr>
          <w:rFonts w:eastAsia="Calibri" w:cs="Arial"/>
          <w:lang w:val="en-GB"/>
        </w:rPr>
        <w:t xml:space="preserve">section </w:t>
      </w:r>
      <w:r w:rsidRPr="009C48DA" w:rsidR="007E0FBF">
        <w:rPr>
          <w:rFonts w:eastAsia="Calibri" w:cs="Arial"/>
          <w:lang w:val="en-GB"/>
        </w:rPr>
        <w:fldChar w:fldCharType="begin"/>
      </w:r>
      <w:r w:rsidRPr="009C48DA" w:rsidR="007E0FBF">
        <w:rPr>
          <w:rFonts w:eastAsia="Calibri" w:cs="Arial"/>
          <w:lang w:val="en-GB"/>
        </w:rPr>
        <w:instrText xml:space="preserve"> REF _Ref74461431 \n \h </w:instrText>
      </w:r>
      <w:r w:rsidRPr="009C48DA" w:rsidR="007E0FBF">
        <w:rPr>
          <w:rFonts w:eastAsia="Calibri" w:cs="Arial"/>
          <w:lang w:val="en-GB"/>
        </w:rPr>
      </w:r>
      <w:r w:rsidRPr="009C48DA" w:rsidR="007E0FBF">
        <w:rPr>
          <w:rFonts w:eastAsia="Calibri" w:cs="Arial"/>
          <w:lang w:val="en-GB"/>
        </w:rPr>
        <w:fldChar w:fldCharType="separate"/>
      </w:r>
      <w:r w:rsidR="007C3D19">
        <w:rPr>
          <w:rFonts w:eastAsia="Calibri" w:cs="Arial"/>
          <w:lang w:val="en-GB"/>
        </w:rPr>
        <w:t>14.1</w:t>
      </w:r>
      <w:r w:rsidRPr="009C48DA" w:rsidR="007E0FBF">
        <w:rPr>
          <w:rFonts w:eastAsia="Calibri" w:cs="Arial"/>
          <w:lang w:val="en-GB"/>
        </w:rPr>
        <w:fldChar w:fldCharType="end"/>
      </w:r>
      <w:r w:rsidRPr="009C48DA" w:rsidR="007E0FBF">
        <w:rPr>
          <w:rFonts w:eastAsia="Calibri" w:cs="Arial"/>
          <w:lang w:val="en-GB"/>
        </w:rPr>
        <w:t xml:space="preserve"> (</w:t>
      </w:r>
      <w:r w:rsidRPr="009C48DA" w:rsidR="00C23DD4">
        <w:rPr>
          <w:rFonts w:eastAsia="Calibri" w:cs="Arial"/>
          <w:i/>
          <w:lang w:val="en-GB"/>
        </w:rPr>
        <w:t xml:space="preserve">Dyal </w:t>
      </w:r>
      <w:r w:rsidRPr="009C48DA" w:rsidR="00970636">
        <w:rPr>
          <w:rFonts w:eastAsia="Calibri" w:cs="Arial"/>
          <w:i/>
          <w:lang w:val="en-GB"/>
        </w:rPr>
        <w:t xml:space="preserve">Investment </w:t>
      </w:r>
      <w:r w:rsidRPr="009C48DA" w:rsidR="00C23DD4">
        <w:rPr>
          <w:rFonts w:eastAsia="Calibri" w:cs="Arial"/>
          <w:i/>
          <w:lang w:val="en-GB"/>
        </w:rPr>
        <w:t>Agreement</w:t>
      </w:r>
      <w:r w:rsidRPr="009C48DA" w:rsidR="007E0FBF">
        <w:rPr>
          <w:rFonts w:eastAsia="Calibri" w:cs="Arial"/>
          <w:lang w:val="en-GB"/>
        </w:rPr>
        <w:t>)</w:t>
      </w:r>
      <w:r w:rsidRPr="009C48DA" w:rsidR="00C23DD4">
        <w:rPr>
          <w:rFonts w:eastAsia="Calibri" w:cs="Arial"/>
          <w:lang w:val="en-GB"/>
        </w:rPr>
        <w:t xml:space="preserve"> of </w:t>
      </w:r>
      <w:r w:rsidRPr="009C48DA" w:rsidR="00C23DD4">
        <w:rPr>
          <w:rFonts w:eastAsia="Calibri" w:cs="Arial"/>
          <w:lang w:val="en-GB"/>
        </w:rPr>
        <w:fldChar w:fldCharType="begin"/>
      </w:r>
      <w:r w:rsidRPr="009C48DA" w:rsidR="00C23DD4">
        <w:rPr>
          <w:rFonts w:eastAsia="Calibri" w:cs="Arial"/>
          <w:lang w:val="en-GB"/>
        </w:rPr>
        <w:instrText xml:space="preserve"> REF _Ref71144215 \n \h </w:instrText>
      </w:r>
      <w:r w:rsidRPr="009C48DA" w:rsidR="00C23DD4">
        <w:rPr>
          <w:rFonts w:eastAsia="Calibri" w:cs="Arial"/>
          <w:lang w:val="en-GB"/>
        </w:rPr>
      </w:r>
      <w:r w:rsidRPr="009C48DA" w:rsidR="00C23DD4">
        <w:rPr>
          <w:rFonts w:eastAsia="Calibri" w:cs="Arial"/>
          <w:lang w:val="en-GB"/>
        </w:rPr>
        <w:fldChar w:fldCharType="separate"/>
      </w:r>
      <w:r w:rsidR="007C3D19">
        <w:rPr>
          <w:rFonts w:eastAsia="Calibri" w:cs="Arial"/>
          <w:lang w:val="en-GB"/>
        </w:rPr>
        <w:t>Part XI</w:t>
      </w:r>
      <w:r w:rsidRPr="009C48DA" w:rsidR="00C23DD4">
        <w:rPr>
          <w:rFonts w:eastAsia="Calibri" w:cs="Arial"/>
          <w:lang w:val="en-GB"/>
        </w:rPr>
        <w:fldChar w:fldCharType="end"/>
      </w:r>
      <w:r w:rsidRPr="009C48DA" w:rsidR="00C23DD4">
        <w:rPr>
          <w:rFonts w:eastAsia="Calibri" w:cs="Arial"/>
          <w:lang w:val="en-GB"/>
        </w:rPr>
        <w:t xml:space="preserve"> (</w:t>
      </w:r>
      <w:r w:rsidRPr="009C48DA" w:rsidR="001B45EC">
        <w:rPr>
          <w:i/>
          <w:color w:val="000000"/>
          <w:lang w:val="en-GB"/>
        </w:rPr>
      </w:r>
      <w:r w:rsidRPr="007C3D19" w:rsidR="007C3D19">
        <w:rPr>
          <w:i/>
          <w:lang w:val="en-GB"/>
        </w:rPr>
        <w:t>Additional Information</w:t>
      </w:r>
      <w:r w:rsidRPr="009C48DA" w:rsidR="00C23DD4">
        <w:rPr>
          <w:rFonts w:eastAsia="Calibri" w:cs="Arial"/>
          <w:lang w:val="en-GB"/>
        </w:rPr>
        <w:t>)</w:t>
      </w:r>
      <w:r w:rsidRPr="009C48DA">
        <w:rPr>
          <w:rFonts w:eastAsia="Calibri" w:cs="Arial"/>
          <w:lang w:val="en-GB"/>
        </w:rPr>
        <w:t>.</w:t>
      </w:r>
    </w:p>
    <w:p w:rsidRPr="009C48DA" w:rsidR="00B74D38" w:rsidP="00B51E80" w:rsidRDefault="00B74D38" w14:paraId="6902C7C6" w14:textId="77777777">
      <w:pPr>
        <w:pStyle w:val="BodyText2SglJ"/>
        <w:rPr>
          <w:rFonts w:eastAsia="Calibri" w:cs="Arial"/>
          <w:lang w:val="en-GB"/>
        </w:rPr>
      </w:pPr>
    </w:p>
    <w:p w:rsidRPr="009C48DA" w:rsidR="00B51E80" w:rsidP="00B4201B" w:rsidRDefault="001A3FD2" w14:paraId="1A1C7576" w14:textId="0EF58A6F">
      <w:pPr>
        <w:pStyle w:val="BodyText2SglJ"/>
        <w:ind w:firstLine="0"/>
        <w:jc w:val="center"/>
        <w:rPr>
          <w:rFonts w:eastAsia="Calibri" w:cs="Arial"/>
          <w:lang w:val="en-GB"/>
        </w:rPr>
      </w:pPr>
      <w:r w:rsidRPr="00404711">
        <w:rPr>
          <w:rFonts w:eastAsia="Calibri" w:cs="Arial"/>
          <w:noProof/>
        </w:rPr>
        <w:drawing>
          <wp:inline distT="0" distB="0" distL="0" distR="0" wp14:anchorId="7CCC8369" wp14:editId="622E3C7D">
            <wp:extent cx="5429250" cy="2856205"/>
            <wp:effectExtent l="0" t="0" r="0" b="0"/>
            <wp:docPr id="37" name="Picture 2" descr="" title="">
              <a:extLst xmlns:a="http://schemas.openxmlformats.org/drawingml/2006/main">
                <a:ext uri="{FF2B5EF4-FFF2-40B4-BE49-F238E27FC236}">
                  <a16:creationId xmlns:a16="http://schemas.microsoft.com/office/drawing/2014/main" id="{6936397D-1B42-4DB8-B801-6375606638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936397D-1B42-4DB8-B801-637560663898}"/>
                        </a:ext>
                      </a:extLst>
                    </pic:cNvPr>
                    <pic:cNvPicPr>
                      <a:picLocks noChangeAspect="1"/>
                    </pic:cNvPicPr>
                  </pic:nvPicPr>
                  <pic:blipFill>
                    <a:blip r:embed="rId54"/>
                    <a:stretch>
                      <a:fillRect/>
                    </a:stretch>
                  </pic:blipFill>
                  <pic:spPr>
                    <a:xfrm>
                      <a:off x="0" y="0"/>
                      <a:ext cx="5429250" cy="2856205"/>
                    </a:xfrm>
                    <a:prstGeom prst="rect">
                      <a:avLst/>
                    </a:prstGeom>
                  </pic:spPr>
                </pic:pic>
              </a:graphicData>
            </a:graphic>
          </wp:inline>
        </w:drawing>
      </w:r>
    </w:p>
    <w:p w:rsidRPr="009C48DA" w:rsidR="00C23DD4" w:rsidP="00B51E80" w:rsidRDefault="00B51E80" w14:paraId="58768745" w14:textId="480960CF">
      <w:pPr>
        <w:pStyle w:val="BodyText2SglJ"/>
        <w:rPr>
          <w:rFonts w:eastAsia="Calibri" w:cs="Arial"/>
          <w:lang w:val="en-GB"/>
        </w:rPr>
      </w:pPr>
      <w:r w:rsidRPr="009C48DA">
        <w:rPr>
          <w:lang w:val="en-GB"/>
        </w:rPr>
        <w:t>The</w:t>
      </w:r>
      <w:r w:rsidRPr="009C48DA">
        <w:rPr>
          <w:rFonts w:eastAsia="Calibri" w:cs="Arial"/>
          <w:lang w:val="en-GB"/>
        </w:rPr>
        <w:t xml:space="preserve"> Group’s recognition of </w:t>
      </w:r>
      <w:r w:rsidRPr="009C48DA" w:rsidR="00C23DD4">
        <w:rPr>
          <w:rFonts w:eastAsia="Calibri" w:cs="Arial"/>
          <w:lang w:val="en-GB"/>
        </w:rPr>
        <w:t xml:space="preserve">income from </w:t>
      </w:r>
      <w:r w:rsidRPr="009C48DA">
        <w:rPr>
          <w:rFonts w:eastAsia="Calibri" w:cs="Arial"/>
          <w:lang w:val="en-GB"/>
        </w:rPr>
        <w:t xml:space="preserve">carried interest </w:t>
      </w:r>
      <w:r w:rsidRPr="009C48DA" w:rsidR="00C23DD4">
        <w:rPr>
          <w:rFonts w:eastAsia="Calibri" w:cs="Arial"/>
          <w:lang w:val="en-GB"/>
        </w:rPr>
        <w:t xml:space="preserve">and </w:t>
      </w:r>
      <w:r w:rsidRPr="009C48DA" w:rsidR="00E83E6A">
        <w:rPr>
          <w:rFonts w:eastAsia="Calibri" w:cs="Arial"/>
          <w:lang w:val="en-GB"/>
        </w:rPr>
        <w:t>I</w:t>
      </w:r>
      <w:r w:rsidRPr="009C48DA" w:rsidR="00C23DD4">
        <w:rPr>
          <w:rFonts w:eastAsia="Calibri" w:cs="Arial"/>
          <w:lang w:val="en-GB"/>
        </w:rPr>
        <w:t>nvestment</w:t>
      </w:r>
      <w:r w:rsidRPr="009C48DA" w:rsidR="00E83E6A">
        <w:rPr>
          <w:rFonts w:eastAsia="Calibri" w:cs="Arial"/>
          <w:lang w:val="en-GB"/>
        </w:rPr>
        <w:t xml:space="preserve"> Income</w:t>
      </w:r>
      <w:r w:rsidRPr="009C48DA" w:rsidR="00C23DD4">
        <w:rPr>
          <w:rFonts w:eastAsia="Calibri" w:cs="Arial"/>
          <w:lang w:val="en-GB"/>
        </w:rPr>
        <w:t xml:space="preserve"> </w:t>
      </w:r>
      <w:r w:rsidRPr="009C48DA">
        <w:rPr>
          <w:rFonts w:eastAsia="Calibri" w:cs="Arial"/>
          <w:lang w:val="en-GB"/>
        </w:rPr>
        <w:t xml:space="preserve">for accounting purposes is dependent on the individual terms and performance of the </w:t>
      </w:r>
      <w:r w:rsidRPr="009C48DA" w:rsidR="00961BEE">
        <w:rPr>
          <w:rFonts w:eastAsia="Calibri" w:cs="Arial"/>
          <w:lang w:val="en-GB"/>
        </w:rPr>
        <w:t xml:space="preserve">Bridgepoint </w:t>
      </w:r>
      <w:r w:rsidRPr="009C48DA">
        <w:rPr>
          <w:rFonts w:eastAsia="Calibri" w:cs="Arial"/>
          <w:lang w:val="en-GB"/>
        </w:rPr>
        <w:t xml:space="preserve">Funds. The profits of a </w:t>
      </w:r>
      <w:r w:rsidRPr="009C48DA" w:rsidR="00961BEE">
        <w:rPr>
          <w:rFonts w:eastAsia="Calibri" w:cs="Arial"/>
          <w:lang w:val="en-GB"/>
        </w:rPr>
        <w:t xml:space="preserve">Bridgepoint </w:t>
      </w:r>
      <w:r w:rsidRPr="009C48DA">
        <w:rPr>
          <w:rFonts w:eastAsia="Calibri" w:cs="Arial"/>
          <w:lang w:val="en-GB"/>
        </w:rPr>
        <w:t>Fund depend on the performance of the fund, which is influenced by the underlying investments and the ability to execute, acquire, develop and divest those investments at attractive returns. See “—</w:t>
      </w:r>
      <w:r w:rsidRPr="009C48DA">
        <w:rPr>
          <w:rFonts w:eastAsia="Calibri" w:cs="Arial"/>
          <w:i/>
          <w:lang w:val="en-GB"/>
        </w:rPr>
        <w:t>Pri</w:t>
      </w:r>
      <w:r w:rsidRPr="009C48DA" w:rsidR="00C23DD4">
        <w:rPr>
          <w:rFonts w:eastAsia="Calibri" w:cs="Arial"/>
          <w:i/>
          <w:lang w:val="en-GB"/>
        </w:rPr>
        <w:t>ncipal F</w:t>
      </w:r>
      <w:r w:rsidRPr="009C48DA">
        <w:rPr>
          <w:rFonts w:eastAsia="Calibri" w:cs="Arial"/>
          <w:i/>
          <w:lang w:val="en-GB"/>
        </w:rPr>
        <w:t xml:space="preserve">actors affecting </w:t>
      </w:r>
      <w:r w:rsidRPr="009C48DA" w:rsidR="00C23DD4">
        <w:rPr>
          <w:rFonts w:eastAsia="Calibri" w:cs="Arial"/>
          <w:i/>
          <w:lang w:val="en-GB"/>
        </w:rPr>
        <w:t>R</w:t>
      </w:r>
      <w:r w:rsidRPr="009C48DA">
        <w:rPr>
          <w:rFonts w:eastAsia="Calibri" w:cs="Arial"/>
          <w:i/>
          <w:lang w:val="en-GB"/>
        </w:rPr>
        <w:t xml:space="preserve">esults of </w:t>
      </w:r>
      <w:r w:rsidRPr="009C48DA" w:rsidR="00C23DD4">
        <w:rPr>
          <w:rFonts w:eastAsia="Calibri" w:cs="Arial"/>
          <w:i/>
          <w:lang w:val="en-GB"/>
        </w:rPr>
        <w:t>O</w:t>
      </w:r>
      <w:r w:rsidRPr="009C48DA" w:rsidR="006E2EFC">
        <w:rPr>
          <w:rFonts w:eastAsia="Calibri" w:cs="Arial"/>
          <w:i/>
          <w:lang w:val="en-GB"/>
        </w:rPr>
        <w:t>perations</w:t>
      </w:r>
      <w:r w:rsidRPr="009C48DA" w:rsidR="00800B3F">
        <w:rPr>
          <w:rFonts w:eastAsia="Calibri" w:cs="Arial"/>
          <w:i/>
          <w:lang w:val="en-GB"/>
        </w:rPr>
        <w:t>—Ability</w:t>
      </w:r>
      <w:r w:rsidRPr="009C48DA" w:rsidR="00800B3F">
        <w:rPr>
          <w:rFonts w:eastAsia="Calibri" w:cs="Arial"/>
          <w:lang w:val="en-GB"/>
        </w:rPr>
        <w:t xml:space="preserve"> </w:t>
      </w:r>
      <w:r w:rsidRPr="009C48DA">
        <w:rPr>
          <w:rFonts w:eastAsia="Calibri" w:cs="Arial"/>
          <w:i/>
          <w:lang w:val="en-GB"/>
        </w:rPr>
        <w:t>to generate attractive returns and to successfully realise investments</w:t>
      </w:r>
      <w:r w:rsidRPr="009C48DA">
        <w:rPr>
          <w:rFonts w:eastAsia="Calibri" w:cs="Arial"/>
          <w:lang w:val="en-GB"/>
        </w:rPr>
        <w:t xml:space="preserve">” </w:t>
      </w:r>
      <w:r w:rsidRPr="009C48DA" w:rsidR="00C23DD4">
        <w:rPr>
          <w:rFonts w:eastAsia="Calibri" w:cs="Arial"/>
          <w:lang w:val="en-GB"/>
        </w:rPr>
        <w:t>and Note</w:t>
      </w:r>
      <w:r w:rsidRPr="009C48DA" w:rsidR="00906792">
        <w:rPr>
          <w:rFonts w:eastAsia="Calibri" w:cs="Arial"/>
          <w:lang w:val="en-GB"/>
        </w:rPr>
        <w:t xml:space="preserve"> 3</w:t>
      </w:r>
      <w:r w:rsidRPr="009C48DA" w:rsidR="00C23DD4">
        <w:rPr>
          <w:rFonts w:eastAsia="Calibri" w:cs="Arial"/>
          <w:lang w:val="en-GB"/>
        </w:rPr>
        <w:t xml:space="preserve"> in </w:t>
      </w:r>
      <w:r w:rsidRPr="009C48DA" w:rsidR="00C23DD4">
        <w:rPr>
          <w:rFonts w:eastAsia="Calibri" w:cs="Arial"/>
          <w:lang w:val="en-GB"/>
        </w:rPr>
        <w:fldChar w:fldCharType="begin"/>
      </w:r>
      <w:r w:rsidRPr="009C48DA" w:rsidR="00C23DD4">
        <w:rPr>
          <w:rFonts w:eastAsia="Calibri" w:cs="Arial"/>
          <w:lang w:val="en-GB"/>
        </w:rPr>
        <w:instrText xml:space="preserve"> REF _Ref74464496 \n \h </w:instrText>
      </w:r>
      <w:r w:rsidRPr="009C48DA" w:rsidR="00C23DD4">
        <w:rPr>
          <w:rFonts w:eastAsia="Calibri" w:cs="Arial"/>
          <w:lang w:val="en-GB"/>
        </w:rPr>
      </w:r>
      <w:r w:rsidRPr="009C48DA" w:rsidR="00C23DD4">
        <w:rPr>
          <w:rFonts w:eastAsia="Calibri" w:cs="Arial"/>
          <w:lang w:val="en-GB"/>
        </w:rPr>
        <w:fldChar w:fldCharType="separate"/>
      </w:r>
      <w:r w:rsidR="007C3D19">
        <w:rPr>
          <w:rFonts w:eastAsia="Calibri" w:cs="Arial"/>
          <w:lang w:val="en-GB"/>
        </w:rPr>
        <w:t>Part B</w:t>
      </w:r>
      <w:r w:rsidRPr="009C48DA" w:rsidR="00C23DD4">
        <w:rPr>
          <w:rFonts w:eastAsia="Calibri" w:cs="Arial"/>
          <w:lang w:val="en-GB"/>
        </w:rPr>
        <w:fldChar w:fldCharType="end"/>
      </w:r>
      <w:r w:rsidRPr="009C48DA" w:rsidR="00C23DD4">
        <w:rPr>
          <w:rFonts w:eastAsia="Calibri" w:cs="Arial"/>
          <w:lang w:val="en-GB"/>
        </w:rPr>
        <w:t xml:space="preserve"> of </w:t>
      </w:r>
      <w:r w:rsidRPr="009C48DA" w:rsidR="00C23DD4">
        <w:rPr>
          <w:rFonts w:eastAsia="Calibri" w:cs="Arial"/>
          <w:lang w:val="en-GB"/>
        </w:rPr>
        <w:fldChar w:fldCharType="begin"/>
      </w:r>
      <w:r w:rsidRPr="009C48DA" w:rsidR="00C23DD4">
        <w:rPr>
          <w:rFonts w:eastAsia="Calibri" w:cs="Arial"/>
          <w:lang w:val="en-GB"/>
        </w:rPr>
        <w:instrText xml:space="preserve"> REF _Ref74464503 \n \h </w:instrText>
      </w:r>
      <w:r w:rsidRPr="009C48DA" w:rsidR="00C23DD4">
        <w:rPr>
          <w:rFonts w:eastAsia="Calibri" w:cs="Arial"/>
          <w:lang w:val="en-GB"/>
        </w:rPr>
      </w:r>
      <w:r w:rsidRPr="009C48DA" w:rsidR="00C23DD4">
        <w:rPr>
          <w:rFonts w:eastAsia="Calibri" w:cs="Arial"/>
          <w:lang w:val="en-GB"/>
        </w:rPr>
        <w:fldChar w:fldCharType="separate"/>
      </w:r>
      <w:r w:rsidR="007C3D19">
        <w:rPr>
          <w:rFonts w:eastAsia="Calibri" w:cs="Arial"/>
          <w:lang w:val="en-GB"/>
        </w:rPr>
        <w:t>Part X</w:t>
      </w:r>
      <w:r w:rsidRPr="009C48DA" w:rsidR="00C23DD4">
        <w:rPr>
          <w:rFonts w:eastAsia="Calibri" w:cs="Arial"/>
          <w:lang w:val="en-GB"/>
        </w:rPr>
        <w:fldChar w:fldCharType="end"/>
      </w:r>
      <w:r w:rsidRPr="009C48DA" w:rsidR="00C23DD4">
        <w:rPr>
          <w:rFonts w:eastAsia="Calibri" w:cs="Arial"/>
          <w:lang w:val="en-GB"/>
        </w:rPr>
        <w:t xml:space="preserve"> (</w:t>
      </w:r>
      <w:r w:rsidRPr="009C48DA" w:rsidR="00EE4217">
        <w:rPr>
          <w:i/>
          <w:lang w:val="en-GB"/>
        </w:rPr>
      </w:r>
      <w:r w:rsidRPr="007C3D19" w:rsidR="007C3D19">
        <w:rPr>
          <w:i/>
          <w:lang w:val="en-GB"/>
        </w:rPr>
        <w:t>Historical Financial Information</w:t>
      </w:r>
      <w:r w:rsidRPr="009C48DA" w:rsidR="00C23DD4">
        <w:rPr>
          <w:rFonts w:eastAsia="Calibri" w:cs="Arial"/>
          <w:lang w:val="en-GB"/>
        </w:rPr>
        <w:t xml:space="preserve">) </w:t>
      </w:r>
      <w:r w:rsidRPr="009C48DA">
        <w:rPr>
          <w:rFonts w:eastAsia="Calibri" w:cs="Arial"/>
          <w:lang w:val="en-GB"/>
        </w:rPr>
        <w:t xml:space="preserve">for a further discussion of this topic. </w:t>
      </w:r>
    </w:p>
    <w:p w:rsidRPr="009C48DA" w:rsidR="00C23DD4" w:rsidP="00C23DD4" w:rsidRDefault="00B51E80" w14:paraId="1AAA0272" w14:textId="57AA3DA3">
      <w:pPr>
        <w:pStyle w:val="STBBullet3"/>
        <w:rPr>
          <w:szCs w:val="20"/>
          <w:lang w:val="en-GB"/>
        </w:rPr>
      </w:pPr>
      <w:r w:rsidRPr="009C48DA">
        <w:rPr>
          <w:szCs w:val="20"/>
          <w:lang w:val="en-GB"/>
        </w:rPr>
        <w:t xml:space="preserve">Carried interest is recognised according to </w:t>
      </w:r>
      <w:r w:rsidRPr="009C48DA" w:rsidR="0060782E">
        <w:rPr>
          <w:szCs w:val="20"/>
          <w:lang w:val="en-GB"/>
        </w:rPr>
        <w:t>International Financial Reporting Standard 15 “Revenue from Contracts with Customers” (“</w:t>
      </w:r>
      <w:r w:rsidRPr="009C48DA" w:rsidR="0060782E">
        <w:rPr>
          <w:b/>
          <w:szCs w:val="20"/>
          <w:lang w:val="en-GB"/>
        </w:rPr>
        <w:t>IFRS 15</w:t>
      </w:r>
      <w:r w:rsidRPr="009C48DA" w:rsidR="0060782E">
        <w:rPr>
          <w:szCs w:val="20"/>
          <w:lang w:val="en-GB"/>
        </w:rPr>
        <w:t>”)</w:t>
      </w:r>
      <w:r w:rsidRPr="009C48DA">
        <w:rPr>
          <w:szCs w:val="20"/>
          <w:lang w:val="en-GB"/>
        </w:rPr>
        <w:t xml:space="preserve"> and only to the extent it is highly probable that there would not be a significant reversal of accumulated revenue recognised on the completion of the fund (with unrealised investment valuations for </w:t>
      </w:r>
      <w:r w:rsidRPr="009C48DA" w:rsidR="00961BEE">
        <w:rPr>
          <w:rFonts w:eastAsia="Calibri" w:cs="Arial"/>
          <w:lang w:val="en-GB"/>
        </w:rPr>
        <w:t>Bridgepoint</w:t>
      </w:r>
      <w:r w:rsidRPr="009C48DA" w:rsidR="00961BEE">
        <w:rPr>
          <w:szCs w:val="20"/>
          <w:lang w:val="en-GB"/>
        </w:rPr>
        <w:t xml:space="preserve"> </w:t>
      </w:r>
      <w:r w:rsidRPr="009C48DA">
        <w:rPr>
          <w:szCs w:val="20"/>
          <w:lang w:val="en-GB"/>
        </w:rPr>
        <w:t xml:space="preserve">private equity funds being treated with a valuation discount of 30 to 50 per cent), depending on the </w:t>
      </w:r>
      <w:r w:rsidRPr="009C48DA">
        <w:rPr>
          <w:szCs w:val="20"/>
          <w:lang w:val="en-GB"/>
        </w:rPr>
        <w:lastRenderedPageBreak/>
        <w:t xml:space="preserve">investment strategy and the expected remaining holding period. If adjustments to the carried interest receivable recognised in previous periods are required, they are adjusted through revenue. </w:t>
      </w:r>
      <w:r w:rsidRPr="009C48DA" w:rsidR="00C23DD4">
        <w:rPr>
          <w:szCs w:val="20"/>
          <w:lang w:val="en-GB"/>
        </w:rPr>
        <w:t xml:space="preserve">The carried interest receivable represents a contract asset under IFRS 15 and amounts are typically presented as non-current assets unless they are expected to be received within the next 12 months. The </w:t>
      </w:r>
      <w:r w:rsidRPr="009C48DA">
        <w:rPr>
          <w:szCs w:val="20"/>
          <w:lang w:val="en-GB"/>
        </w:rPr>
        <w:t xml:space="preserve">accounting recognition of carried interest revenue is primarily dependent on the time required to deploy commitments, changes to the underlying value of portfolio companies and realised values of portfolio companies through successful refinancings and exits. Although varying from fund to fund, depending on these factors, recognition of carried interest typically starts around </w:t>
      </w:r>
      <w:r w:rsidRPr="009C48DA" w:rsidR="00C23DD4">
        <w:rPr>
          <w:szCs w:val="20"/>
          <w:lang w:val="en-GB"/>
        </w:rPr>
        <w:t xml:space="preserve">five to </w:t>
      </w:r>
      <w:r w:rsidRPr="009C48DA">
        <w:rPr>
          <w:szCs w:val="20"/>
          <w:lang w:val="en-GB"/>
        </w:rPr>
        <w:t>six years after a fund is launched once th</w:t>
      </w:r>
      <w:r w:rsidRPr="009C48DA" w:rsidR="00D8221B">
        <w:rPr>
          <w:szCs w:val="20"/>
          <w:lang w:val="en-GB"/>
        </w:rPr>
        <w:t>e relevant fund has achieved a G</w:t>
      </w:r>
      <w:r w:rsidRPr="009C48DA">
        <w:rPr>
          <w:szCs w:val="20"/>
          <w:lang w:val="en-GB"/>
        </w:rPr>
        <w:t xml:space="preserve">ross MOIC of approximately 1.7 to 1.8 times through realisation of a number of its investments. Recognition of carried interest usually occurs before the Group receives the corresponding cash flow, with delays of approximately </w:t>
      </w:r>
      <w:r w:rsidRPr="009C48DA" w:rsidR="00C23DD4">
        <w:rPr>
          <w:szCs w:val="20"/>
          <w:lang w:val="en-GB"/>
        </w:rPr>
        <w:t xml:space="preserve">18 months to </w:t>
      </w:r>
      <w:r w:rsidRPr="009C48DA">
        <w:rPr>
          <w:szCs w:val="20"/>
          <w:lang w:val="en-GB"/>
        </w:rPr>
        <w:t xml:space="preserve">two years being typical. </w:t>
      </w:r>
    </w:p>
    <w:p w:rsidR="00B74D38" w:rsidP="00512544" w:rsidRDefault="00B51E80" w14:paraId="0EDC7D2D" w14:textId="78D73AC8">
      <w:pPr>
        <w:pStyle w:val="STBBullet3"/>
        <w:rPr>
          <w:szCs w:val="20"/>
          <w:lang w:val="en-GB"/>
        </w:rPr>
      </w:pPr>
      <w:r w:rsidRPr="00B74D38">
        <w:rPr>
          <w:szCs w:val="20"/>
          <w:lang w:val="en-GB"/>
        </w:rPr>
        <w:t xml:space="preserve">Investments </w:t>
      </w:r>
      <w:r w:rsidRPr="00B74D38" w:rsidR="00C23DD4">
        <w:rPr>
          <w:szCs w:val="20"/>
          <w:lang w:val="en-GB"/>
        </w:rPr>
        <w:t xml:space="preserve">of the Group </w:t>
      </w:r>
      <w:r w:rsidRPr="00B74D38">
        <w:rPr>
          <w:szCs w:val="20"/>
          <w:lang w:val="en-GB"/>
        </w:rPr>
        <w:t xml:space="preserve">in the </w:t>
      </w:r>
      <w:r w:rsidRPr="00B74D38" w:rsidR="00961BEE">
        <w:rPr>
          <w:rFonts w:eastAsia="Calibri" w:cs="Arial"/>
          <w:lang w:val="en-GB"/>
        </w:rPr>
        <w:t>Bridgepoint</w:t>
      </w:r>
      <w:r w:rsidRPr="00B74D38" w:rsidR="00961BEE">
        <w:rPr>
          <w:szCs w:val="20"/>
          <w:lang w:val="en-GB"/>
        </w:rPr>
        <w:t xml:space="preserve"> </w:t>
      </w:r>
      <w:r w:rsidRPr="00B74D38">
        <w:rPr>
          <w:szCs w:val="20"/>
          <w:lang w:val="en-GB"/>
        </w:rPr>
        <w:t xml:space="preserve">Funds are accounted as financial assets and are measured </w:t>
      </w:r>
      <w:r w:rsidRPr="00B74D38" w:rsidR="00C23DD4">
        <w:rPr>
          <w:szCs w:val="20"/>
          <w:lang w:val="en-GB"/>
        </w:rPr>
        <w:t xml:space="preserve">for the calculation of </w:t>
      </w:r>
      <w:r w:rsidRPr="00B74D38" w:rsidR="005F07E7">
        <w:rPr>
          <w:szCs w:val="20"/>
          <w:lang w:val="en-GB"/>
        </w:rPr>
        <w:t>I</w:t>
      </w:r>
      <w:r w:rsidRPr="00B74D38" w:rsidR="00C23DD4">
        <w:rPr>
          <w:szCs w:val="20"/>
          <w:lang w:val="en-GB"/>
        </w:rPr>
        <w:t xml:space="preserve">nvestment </w:t>
      </w:r>
      <w:r w:rsidRPr="00B74D38" w:rsidR="005F07E7">
        <w:rPr>
          <w:szCs w:val="20"/>
          <w:lang w:val="en-GB"/>
        </w:rPr>
        <w:t>I</w:t>
      </w:r>
      <w:r w:rsidRPr="00B74D38" w:rsidR="00C23DD4">
        <w:rPr>
          <w:szCs w:val="20"/>
          <w:lang w:val="en-GB"/>
        </w:rPr>
        <w:t>ncome</w:t>
      </w:r>
      <w:r w:rsidRPr="00B74D38" w:rsidR="005F07E7">
        <w:rPr>
          <w:szCs w:val="20"/>
          <w:lang w:val="en-GB"/>
        </w:rPr>
        <w:t xml:space="preserve"> at fair value</w:t>
      </w:r>
      <w:r w:rsidRPr="00B74D38" w:rsidR="00C23DD4">
        <w:rPr>
          <w:szCs w:val="20"/>
          <w:lang w:val="en-GB"/>
        </w:rPr>
        <w:t xml:space="preserve"> </w:t>
      </w:r>
      <w:r w:rsidRPr="00B74D38">
        <w:rPr>
          <w:szCs w:val="20"/>
          <w:lang w:val="en-GB"/>
        </w:rPr>
        <w:t xml:space="preserve">(mark-to-market), consistent with the requirements of </w:t>
      </w:r>
      <w:r w:rsidRPr="00B74D38" w:rsidR="0060782E">
        <w:rPr>
          <w:szCs w:val="20"/>
          <w:lang w:val="en-GB"/>
        </w:rPr>
        <w:t>International Financial Reporting Standard </w:t>
      </w:r>
      <w:r w:rsidRPr="00B74D38">
        <w:rPr>
          <w:szCs w:val="20"/>
          <w:lang w:val="en-GB"/>
        </w:rPr>
        <w:t>9 (</w:t>
      </w:r>
      <w:r w:rsidRPr="00B74D38" w:rsidR="0060782E">
        <w:rPr>
          <w:szCs w:val="20"/>
          <w:lang w:val="en-GB"/>
        </w:rPr>
        <w:t>“</w:t>
      </w:r>
      <w:r w:rsidRPr="00B74D38">
        <w:rPr>
          <w:szCs w:val="20"/>
          <w:lang w:val="en-GB"/>
        </w:rPr>
        <w:t>F</w:t>
      </w:r>
      <w:r w:rsidRPr="00B74D38" w:rsidR="0060782E">
        <w:rPr>
          <w:szCs w:val="20"/>
          <w:lang w:val="en-GB"/>
        </w:rPr>
        <w:t>inancial I</w:t>
      </w:r>
      <w:r w:rsidRPr="00B74D38">
        <w:rPr>
          <w:szCs w:val="20"/>
          <w:lang w:val="en-GB"/>
        </w:rPr>
        <w:t>nstruments</w:t>
      </w:r>
      <w:r w:rsidRPr="00B74D38" w:rsidR="0060782E">
        <w:rPr>
          <w:szCs w:val="20"/>
          <w:lang w:val="en-GB"/>
        </w:rPr>
        <w:t>”</w:t>
      </w:r>
      <w:r w:rsidRPr="00B74D38">
        <w:rPr>
          <w:szCs w:val="20"/>
          <w:lang w:val="en-GB"/>
        </w:rPr>
        <w:t>)</w:t>
      </w:r>
      <w:r w:rsidRPr="00B74D38" w:rsidR="0060782E">
        <w:rPr>
          <w:szCs w:val="20"/>
          <w:lang w:val="en-GB"/>
        </w:rPr>
        <w:t xml:space="preserve"> (“</w:t>
      </w:r>
      <w:r w:rsidRPr="00B74D38" w:rsidR="0060782E">
        <w:rPr>
          <w:b/>
          <w:szCs w:val="20"/>
          <w:lang w:val="en-GB"/>
        </w:rPr>
        <w:t>IFRS 9</w:t>
      </w:r>
      <w:r w:rsidRPr="00B74D38" w:rsidR="0060782E">
        <w:rPr>
          <w:szCs w:val="20"/>
          <w:lang w:val="en-GB"/>
        </w:rPr>
        <w:t>”)</w:t>
      </w:r>
      <w:r w:rsidRPr="00B74D38">
        <w:rPr>
          <w:szCs w:val="20"/>
          <w:lang w:val="en-GB"/>
        </w:rPr>
        <w:t xml:space="preserve">. </w:t>
      </w:r>
      <w:r w:rsidRPr="00B74D38" w:rsidR="005F07E7">
        <w:rPr>
          <w:szCs w:val="20"/>
          <w:lang w:val="en-GB"/>
        </w:rPr>
        <w:t>I</w:t>
      </w:r>
      <w:r w:rsidRPr="00B74D38" w:rsidR="00C23DD4">
        <w:rPr>
          <w:szCs w:val="20"/>
          <w:lang w:val="en-GB"/>
        </w:rPr>
        <w:t>nvestment</w:t>
      </w:r>
      <w:r w:rsidRPr="00B74D38" w:rsidR="005F07E7">
        <w:rPr>
          <w:szCs w:val="20"/>
          <w:lang w:val="en-GB"/>
        </w:rPr>
        <w:t xml:space="preserve"> Income</w:t>
      </w:r>
      <w:r w:rsidRPr="00B74D38" w:rsidR="00C23DD4">
        <w:rPr>
          <w:szCs w:val="20"/>
          <w:lang w:val="en-GB"/>
        </w:rPr>
        <w:t xml:space="preserve"> consists primarily of changes in fair value of the Group’s investments in the </w:t>
      </w:r>
      <w:r w:rsidRPr="00B74D38" w:rsidR="00961BEE">
        <w:rPr>
          <w:rFonts w:eastAsia="Calibri" w:cs="Arial"/>
          <w:lang w:val="en-GB"/>
        </w:rPr>
        <w:t>Bridgepoint</w:t>
      </w:r>
      <w:r w:rsidRPr="00B74D38" w:rsidR="00961BEE">
        <w:rPr>
          <w:szCs w:val="20"/>
          <w:lang w:val="en-GB"/>
        </w:rPr>
        <w:t xml:space="preserve"> </w:t>
      </w:r>
      <w:r w:rsidRPr="00B74D38" w:rsidR="00C23DD4">
        <w:rPr>
          <w:szCs w:val="20"/>
          <w:lang w:val="en-GB"/>
        </w:rPr>
        <w:t xml:space="preserve">Funds and is recognised according to IFRS 9 (mark-to-market). Cash flows from </w:t>
      </w:r>
      <w:r w:rsidRPr="00B74D38" w:rsidR="005F07E7">
        <w:rPr>
          <w:szCs w:val="20"/>
          <w:lang w:val="en-GB"/>
        </w:rPr>
        <w:t>I</w:t>
      </w:r>
      <w:r w:rsidRPr="00B74D38">
        <w:rPr>
          <w:szCs w:val="20"/>
          <w:lang w:val="en-GB"/>
        </w:rPr>
        <w:t>nvestment</w:t>
      </w:r>
      <w:r w:rsidRPr="00B74D38" w:rsidR="005F07E7">
        <w:rPr>
          <w:szCs w:val="20"/>
          <w:lang w:val="en-GB"/>
        </w:rPr>
        <w:t xml:space="preserve"> Income</w:t>
      </w:r>
      <w:r w:rsidRPr="00B74D38">
        <w:rPr>
          <w:szCs w:val="20"/>
          <w:lang w:val="en-GB"/>
        </w:rPr>
        <w:t xml:space="preserve"> depend on the investment and realisation timing, but the Directors consider </w:t>
      </w:r>
      <w:r w:rsidRPr="00B74D38" w:rsidR="00C23DD4">
        <w:rPr>
          <w:szCs w:val="20"/>
          <w:lang w:val="en-GB"/>
        </w:rPr>
        <w:t xml:space="preserve">such </w:t>
      </w:r>
      <w:r w:rsidRPr="00B74D38">
        <w:rPr>
          <w:szCs w:val="20"/>
          <w:lang w:val="en-GB"/>
        </w:rPr>
        <w:t>income to be generally highl</w:t>
      </w:r>
      <w:r w:rsidRPr="00B74D38" w:rsidR="00D26D43">
        <w:rPr>
          <w:szCs w:val="20"/>
          <w:lang w:val="en-GB"/>
        </w:rPr>
        <w:t>y cash generative over the long-</w:t>
      </w:r>
      <w:r w:rsidRPr="00B74D38">
        <w:rPr>
          <w:szCs w:val="20"/>
          <w:lang w:val="en-GB"/>
        </w:rPr>
        <w:t>term</w:t>
      </w:r>
      <w:r w:rsidRPr="00B74D38" w:rsidR="00C23DD4">
        <w:rPr>
          <w:szCs w:val="20"/>
          <w:lang w:val="en-GB"/>
        </w:rPr>
        <w:t xml:space="preserve">, with the expected returns being in line with the target returns of the underlying </w:t>
      </w:r>
      <w:r w:rsidRPr="00B74D38" w:rsidR="00961BEE">
        <w:rPr>
          <w:rFonts w:eastAsia="Calibri" w:cs="Arial"/>
          <w:lang w:val="en-GB"/>
        </w:rPr>
        <w:t>Bridgepoint</w:t>
      </w:r>
      <w:r w:rsidRPr="00B74D38" w:rsidR="00961BEE">
        <w:rPr>
          <w:szCs w:val="20"/>
          <w:lang w:val="en-GB"/>
        </w:rPr>
        <w:t xml:space="preserve"> </w:t>
      </w:r>
      <w:r w:rsidRPr="00B74D38" w:rsidR="00C23DD4">
        <w:rPr>
          <w:szCs w:val="20"/>
          <w:lang w:val="en-GB"/>
        </w:rPr>
        <w:t>Funds.</w:t>
      </w:r>
    </w:p>
    <w:p w:rsidRPr="00B74D38" w:rsidR="00B74D38" w:rsidP="00B72FA9" w:rsidRDefault="00B74D38" w14:paraId="73F6FB1F" w14:textId="77777777">
      <w:pPr>
        <w:pStyle w:val="STBBullet3"/>
        <w:numPr>
          <w:ilvl w:val="0"/>
          <w:numId w:val="0"/>
        </w:numPr>
        <w:ind w:left="1080"/>
        <w:rPr>
          <w:szCs w:val="20"/>
          <w:lang w:val="en-GB"/>
        </w:rPr>
      </w:pPr>
    </w:p>
    <w:p w:rsidRPr="009C48DA" w:rsidR="00B51E80" w:rsidP="00B4201B" w:rsidRDefault="001A3FD2" w14:paraId="026AE104" w14:textId="2A4E67D4">
      <w:pPr>
        <w:pStyle w:val="BodyText2SglJ"/>
        <w:ind w:firstLine="0"/>
        <w:jc w:val="center"/>
        <w:rPr>
          <w:rFonts w:eastAsia="Calibri" w:cs="Arial"/>
          <w:lang w:val="en-GB"/>
        </w:rPr>
      </w:pPr>
      <w:r w:rsidRPr="00404711">
        <w:rPr>
          <w:rFonts w:eastAsia="Calibri" w:cs="Arial"/>
          <w:noProof/>
        </w:rPr>
        <w:drawing>
          <wp:inline distT="0" distB="0" distL="0" distR="0" wp14:anchorId="1CF20B22" wp14:editId="05505A2A">
            <wp:extent cx="5429250" cy="2792614"/>
            <wp:effectExtent l="0" t="0" r="0" b="0"/>
            <wp:docPr id="38" name="Picture 3" descr="" title="">
              <a:extLst xmlns:a="http://schemas.openxmlformats.org/drawingml/2006/main">
                <a:ext uri="{FF2B5EF4-FFF2-40B4-BE49-F238E27FC236}">
                  <a16:creationId xmlns:a16="http://schemas.microsoft.com/office/drawing/2014/main" id="{C766CEF3-F30D-4AF9-8010-54866EA4D8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766CEF3-F30D-4AF9-8010-54866EA4D823}"/>
                        </a:ext>
                      </a:extLst>
                    </pic:cNvPr>
                    <pic:cNvPicPr>
                      <a:picLocks noChangeAspect="1"/>
                    </pic:cNvPicPr>
                  </pic:nvPicPr>
                  <pic:blipFill>
                    <a:blip r:embed="rId55"/>
                    <a:stretch>
                      <a:fillRect/>
                    </a:stretch>
                  </pic:blipFill>
                  <pic:spPr>
                    <a:xfrm>
                      <a:off x="0" y="0"/>
                      <a:ext cx="5429250" cy="2792614"/>
                    </a:xfrm>
                    <a:prstGeom prst="rect">
                      <a:avLst/>
                    </a:prstGeom>
                  </pic:spPr>
                </pic:pic>
              </a:graphicData>
            </a:graphic>
          </wp:inline>
        </w:drawing>
      </w:r>
    </w:p>
    <w:p w:rsidRPr="009C48DA" w:rsidR="0036034E" w:rsidP="00B4201B" w:rsidRDefault="0036034E" w14:paraId="7FE57788" w14:textId="77777777">
      <w:pPr>
        <w:pStyle w:val="BodyText2SglJ"/>
        <w:ind w:firstLine="0"/>
        <w:jc w:val="center"/>
        <w:rPr>
          <w:rFonts w:eastAsia="Calibri" w:cs="Arial"/>
          <w:lang w:val="en-GB"/>
        </w:rPr>
      </w:pPr>
    </w:p>
    <w:p w:rsidRPr="009C48DA" w:rsidR="00B51E80" w:rsidP="0036034E" w:rsidRDefault="00B51E80" w14:paraId="5BC0CDF0" w14:textId="3E7D789E">
      <w:pPr>
        <w:pStyle w:val="BodyText2SglJ"/>
        <w:keepNext/>
        <w:rPr>
          <w:rFonts w:eastAsia="Calibri" w:cs="Arial"/>
          <w:lang w:val="en-GB"/>
        </w:rPr>
      </w:pPr>
      <w:r w:rsidRPr="009C48DA">
        <w:rPr>
          <w:lang w:val="en-GB"/>
        </w:rPr>
        <w:t>Recently</w:t>
      </w:r>
      <w:r w:rsidRPr="009C48DA">
        <w:rPr>
          <w:rFonts w:eastAsia="Calibri" w:cs="Arial"/>
          <w:lang w:val="en-GB"/>
        </w:rPr>
        <w:t xml:space="preserve"> raised </w:t>
      </w:r>
      <w:r w:rsidRPr="009C48DA" w:rsidR="00961BEE">
        <w:rPr>
          <w:rFonts w:eastAsia="Calibri" w:cs="Arial"/>
          <w:lang w:val="en-GB"/>
        </w:rPr>
        <w:t xml:space="preserve">Bridgepoint </w:t>
      </w:r>
      <w:r w:rsidRPr="009C48DA">
        <w:rPr>
          <w:rFonts w:eastAsia="Calibri" w:cs="Arial"/>
          <w:lang w:val="en-GB"/>
        </w:rPr>
        <w:t xml:space="preserve">Funds have increased in size in terms of the total commitments raised. For example, </w:t>
      </w:r>
      <w:r w:rsidRPr="009C48DA" w:rsidR="00961BEE">
        <w:rPr>
          <w:rFonts w:eastAsia="Calibri" w:cs="Arial"/>
          <w:lang w:val="en-GB"/>
        </w:rPr>
        <w:t xml:space="preserve">Bridgepoint </w:t>
      </w:r>
      <w:r w:rsidRPr="009C48DA">
        <w:rPr>
          <w:rFonts w:eastAsia="Calibri" w:cs="Arial"/>
          <w:lang w:val="en-GB"/>
        </w:rPr>
        <w:t xml:space="preserve">Europe VI has increased its fund commitments compared to </w:t>
      </w:r>
      <w:r w:rsidRPr="009C48DA" w:rsidR="00961BEE">
        <w:rPr>
          <w:rFonts w:eastAsia="Calibri" w:cs="Arial"/>
          <w:lang w:val="en-GB"/>
        </w:rPr>
        <w:t xml:space="preserve">Bridgepoint </w:t>
      </w:r>
      <w:r w:rsidRPr="009C48DA">
        <w:rPr>
          <w:rFonts w:eastAsia="Calibri" w:cs="Arial"/>
          <w:lang w:val="en-GB"/>
        </w:rPr>
        <w:t xml:space="preserve">Europe V by more than 40 per cent and </w:t>
      </w:r>
      <w:r w:rsidRPr="009C48DA" w:rsidR="00961BEE">
        <w:rPr>
          <w:rFonts w:eastAsia="Calibri" w:cs="Arial"/>
          <w:lang w:val="en-GB"/>
        </w:rPr>
        <w:t xml:space="preserve">Bridgepoint </w:t>
      </w:r>
      <w:r w:rsidRPr="009C48DA">
        <w:rPr>
          <w:rFonts w:eastAsia="Calibri" w:cs="Arial"/>
          <w:lang w:val="en-GB"/>
        </w:rPr>
        <w:t xml:space="preserve">Development Capital IV has increased its fund commitments compared to </w:t>
      </w:r>
      <w:r w:rsidRPr="009C48DA" w:rsidR="00961BEE">
        <w:rPr>
          <w:rFonts w:eastAsia="Calibri" w:cs="Arial"/>
          <w:lang w:val="en-GB"/>
        </w:rPr>
        <w:t xml:space="preserve">Bridgepoint </w:t>
      </w:r>
      <w:r w:rsidRPr="009C48DA">
        <w:rPr>
          <w:rFonts w:eastAsia="Calibri" w:cs="Arial"/>
          <w:lang w:val="en-GB"/>
        </w:rPr>
        <w:t>Development Capital III by more th</w:t>
      </w:r>
      <w:r w:rsidR="00BA3614">
        <w:rPr>
          <w:rFonts w:eastAsia="Calibri" w:cs="Arial"/>
          <w:lang w:val="en-GB"/>
        </w:rPr>
        <w:t>an 150 per cent. As of 31 March </w:t>
      </w:r>
      <w:r w:rsidRPr="009C48DA">
        <w:rPr>
          <w:rFonts w:eastAsia="Calibri" w:cs="Arial"/>
          <w:lang w:val="en-GB"/>
        </w:rPr>
        <w:t xml:space="preserve">2021, </w:t>
      </w:r>
      <w:r w:rsidRPr="009C48DA" w:rsidR="00C23DD4">
        <w:rPr>
          <w:rFonts w:eastAsia="Calibri" w:cs="Arial"/>
          <w:lang w:val="en-GB"/>
        </w:rPr>
        <w:t xml:space="preserve">recently raised funds represented the majority of AUM and </w:t>
      </w:r>
      <w:r w:rsidRPr="009C48DA">
        <w:rPr>
          <w:rFonts w:eastAsia="Calibri" w:cs="Arial"/>
          <w:lang w:val="en-GB"/>
        </w:rPr>
        <w:t xml:space="preserve">more than </w:t>
      </w:r>
      <w:r w:rsidRPr="009C48DA" w:rsidR="005F07E7">
        <w:rPr>
          <w:rFonts w:eastAsia="Calibri" w:cs="Arial"/>
          <w:lang w:val="en-GB"/>
        </w:rPr>
        <w:t>85</w:t>
      </w:r>
      <w:r w:rsidRPr="009C48DA">
        <w:rPr>
          <w:rFonts w:eastAsia="Calibri" w:cs="Arial"/>
          <w:lang w:val="en-GB"/>
        </w:rPr>
        <w:t xml:space="preserve"> per cent of the Group’s AUM ha</w:t>
      </w:r>
      <w:r w:rsidRPr="009C48DA" w:rsidR="00C23DD4">
        <w:rPr>
          <w:rFonts w:eastAsia="Calibri" w:cs="Arial"/>
          <w:lang w:val="en-GB"/>
        </w:rPr>
        <w:t>d</w:t>
      </w:r>
      <w:r w:rsidRPr="009C48DA">
        <w:rPr>
          <w:rFonts w:eastAsia="Calibri" w:cs="Arial"/>
          <w:lang w:val="en-GB"/>
        </w:rPr>
        <w:t xml:space="preserve"> yet to recognise carried interest. The Group’s entitlement to carried interest </w:t>
      </w:r>
      <w:r w:rsidRPr="009C48DA" w:rsidR="00C23DD4">
        <w:rPr>
          <w:rFonts w:eastAsia="Calibri" w:cs="Arial"/>
          <w:lang w:val="en-GB"/>
        </w:rPr>
        <w:t xml:space="preserve">as a percentage of the total carried interest entitlement of all Carried Interest Participants in a fund </w:t>
      </w:r>
      <w:r w:rsidRPr="009C48DA">
        <w:rPr>
          <w:rFonts w:eastAsia="Calibri" w:cs="Arial"/>
          <w:lang w:val="en-GB"/>
        </w:rPr>
        <w:t>is generally higher in the more recent funds than funds from earlier generations.</w:t>
      </w:r>
      <w:r w:rsidRPr="009C48DA">
        <w:rPr>
          <w:lang w:val="en-GB"/>
        </w:rPr>
        <w:t xml:space="preserve"> </w:t>
      </w:r>
      <w:r w:rsidRPr="009C48DA">
        <w:rPr>
          <w:rFonts w:eastAsia="Calibri" w:cs="Arial"/>
          <w:lang w:val="en-GB"/>
        </w:rPr>
        <w:t xml:space="preserve">The expected </w:t>
      </w:r>
      <w:r w:rsidRPr="009C48DA" w:rsidR="005F07E7">
        <w:rPr>
          <w:rFonts w:eastAsia="Calibri" w:cs="Arial"/>
          <w:lang w:val="en-GB"/>
        </w:rPr>
        <w:t xml:space="preserve">timeline for the </w:t>
      </w:r>
      <w:r w:rsidRPr="009C48DA">
        <w:rPr>
          <w:rFonts w:eastAsia="Calibri" w:cs="Arial"/>
          <w:lang w:val="en-GB"/>
        </w:rPr>
        <w:lastRenderedPageBreak/>
        <w:t xml:space="preserve">contribution of carried interest from some of the existing </w:t>
      </w:r>
      <w:r w:rsidRPr="009C48DA" w:rsidR="00961BEE">
        <w:rPr>
          <w:rFonts w:eastAsia="Calibri" w:cs="Arial"/>
          <w:lang w:val="en-GB"/>
        </w:rPr>
        <w:t xml:space="preserve">Bridgepoint </w:t>
      </w:r>
      <w:r w:rsidRPr="009C48DA">
        <w:rPr>
          <w:rFonts w:eastAsia="Calibri" w:cs="Arial"/>
          <w:lang w:val="en-GB"/>
        </w:rPr>
        <w:t>Funds over time is shown in the graphic below.</w:t>
      </w:r>
    </w:p>
    <w:p w:rsidRPr="009C48DA" w:rsidR="00B51E80" w:rsidP="00B4201B" w:rsidRDefault="001A3FD2" w14:paraId="585FE35C" w14:textId="10804F01">
      <w:pPr>
        <w:pStyle w:val="BodyText2SglJ"/>
        <w:ind w:firstLine="0"/>
        <w:jc w:val="center"/>
        <w:rPr>
          <w:rFonts w:eastAsia="Calibri" w:cs="Arial"/>
          <w:lang w:val="en-GB"/>
        </w:rPr>
      </w:pPr>
      <w:r w:rsidRPr="00404711">
        <w:rPr>
          <w:rFonts w:eastAsia="Calibri" w:cs="Arial"/>
          <w:noProof/>
        </w:rPr>
        <w:drawing>
          <wp:inline distT="0" distB="0" distL="0" distR="0" wp14:anchorId="2563893F" wp14:editId="247F4963">
            <wp:extent cx="5429250" cy="2624038"/>
            <wp:effectExtent l="0" t="0" r="0" b="0"/>
            <wp:docPr id="39" name="Picture 3" descr="" title="">
              <a:extLst xmlns:a="http://schemas.openxmlformats.org/drawingml/2006/main">
                <a:ext uri="{FF2B5EF4-FFF2-40B4-BE49-F238E27FC236}">
                  <a16:creationId xmlns:a16="http://schemas.microsoft.com/office/drawing/2014/main" id="{A95CB533-57D9-4958-8653-05456A4A06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95CB533-57D9-4958-8653-05456A4A06AA}"/>
                        </a:ext>
                      </a:extLst>
                    </pic:cNvPr>
                    <pic:cNvPicPr>
                      <a:picLocks noChangeAspect="1"/>
                    </pic:cNvPicPr>
                  </pic:nvPicPr>
                  <pic:blipFill>
                    <a:blip r:embed="rId56"/>
                    <a:stretch>
                      <a:fillRect/>
                    </a:stretch>
                  </pic:blipFill>
                  <pic:spPr>
                    <a:xfrm>
                      <a:off x="0" y="0"/>
                      <a:ext cx="5429250" cy="2624038"/>
                    </a:xfrm>
                    <a:prstGeom prst="rect">
                      <a:avLst/>
                    </a:prstGeom>
                  </pic:spPr>
                </pic:pic>
              </a:graphicData>
            </a:graphic>
          </wp:inline>
        </w:drawing>
      </w:r>
    </w:p>
    <w:p w:rsidRPr="009C48DA" w:rsidR="002F507D" w:rsidP="00B00240" w:rsidRDefault="002F507D" w14:paraId="7F75E7BD" w14:textId="188289B5">
      <w:pPr>
        <w:pStyle w:val="BodyText2SglJ"/>
        <w:ind w:firstLine="0"/>
        <w:rPr>
          <w:sz w:val="16"/>
          <w:szCs w:val="16"/>
          <w:lang w:val="en-GB"/>
        </w:rPr>
      </w:pPr>
      <w:r w:rsidRPr="009C48DA">
        <w:rPr>
          <w:sz w:val="16"/>
          <w:szCs w:val="16"/>
          <w:lang w:val="en-GB"/>
        </w:rPr>
        <w:t xml:space="preserve">Note: </w:t>
      </w:r>
      <w:r w:rsidRPr="009C48DA">
        <w:rPr>
          <w:sz w:val="16"/>
          <w:szCs w:val="16"/>
          <w:vertAlign w:val="superscript"/>
          <w:lang w:val="en-GB"/>
        </w:rPr>
        <w:t>1</w:t>
      </w:r>
      <w:r w:rsidRPr="009C48DA">
        <w:rPr>
          <w:sz w:val="16"/>
          <w:szCs w:val="16"/>
          <w:lang w:val="en-GB"/>
        </w:rPr>
        <w:t xml:space="preserve"> No “house carry” from </w:t>
      </w:r>
      <w:r w:rsidRPr="009C48DA" w:rsidR="00961BEE">
        <w:rPr>
          <w:rFonts w:eastAsia="Calibri" w:cs="Arial"/>
          <w:sz w:val="16"/>
          <w:szCs w:val="16"/>
          <w:lang w:val="en-GB"/>
        </w:rPr>
        <w:t>Bridgepoint</w:t>
      </w:r>
      <w:r w:rsidRPr="009C48DA" w:rsidR="00961BEE">
        <w:rPr>
          <w:sz w:val="16"/>
          <w:szCs w:val="16"/>
          <w:lang w:val="en-GB"/>
        </w:rPr>
        <w:t xml:space="preserve"> </w:t>
      </w:r>
      <w:r w:rsidRPr="009C48DA">
        <w:rPr>
          <w:sz w:val="16"/>
          <w:szCs w:val="16"/>
          <w:lang w:val="en-GB"/>
        </w:rPr>
        <w:t>Europe V.</w:t>
      </w:r>
    </w:p>
    <w:p w:rsidRPr="009C48DA" w:rsidR="00B51E80" w:rsidP="00B51E80" w:rsidRDefault="00B51E80" w14:paraId="48F82FD4" w14:textId="6BA5AA35">
      <w:pPr>
        <w:pStyle w:val="BodyText2SglJ"/>
        <w:rPr>
          <w:rFonts w:eastAsia="Calibri" w:cs="Arial"/>
          <w:lang w:val="en-GB"/>
        </w:rPr>
      </w:pPr>
      <w:r w:rsidRPr="009C48DA">
        <w:rPr>
          <w:rFonts w:eastAsia="Calibri" w:cs="Arial"/>
          <w:lang w:val="en-GB"/>
        </w:rPr>
        <w:t xml:space="preserve">As a result of the above factors, the share of revenue from carried interest and </w:t>
      </w:r>
      <w:r w:rsidRPr="009C48DA" w:rsidR="005F07E7">
        <w:rPr>
          <w:rFonts w:eastAsia="Calibri" w:cs="Arial"/>
          <w:lang w:val="en-GB"/>
        </w:rPr>
        <w:t>I</w:t>
      </w:r>
      <w:r w:rsidRPr="009C48DA" w:rsidR="002F507D">
        <w:rPr>
          <w:rFonts w:eastAsia="Calibri" w:cs="Arial"/>
          <w:lang w:val="en-GB"/>
        </w:rPr>
        <w:t>nvestment</w:t>
      </w:r>
      <w:r w:rsidRPr="009C48DA" w:rsidR="005F07E7">
        <w:rPr>
          <w:rFonts w:eastAsia="Calibri" w:cs="Arial"/>
          <w:lang w:val="en-GB"/>
        </w:rPr>
        <w:t xml:space="preserve"> Income</w:t>
      </w:r>
      <w:r w:rsidRPr="009C48DA" w:rsidR="002F507D">
        <w:rPr>
          <w:rFonts w:eastAsia="Calibri" w:cs="Arial"/>
          <w:lang w:val="en-GB"/>
        </w:rPr>
        <w:t xml:space="preserve"> </w:t>
      </w:r>
      <w:r w:rsidRPr="009C48DA">
        <w:rPr>
          <w:rFonts w:eastAsia="Calibri" w:cs="Arial"/>
          <w:lang w:val="en-GB"/>
        </w:rPr>
        <w:t xml:space="preserve">as a percentage of the Group’s total operating income is expected to represent approximately 20 to 25 per cent </w:t>
      </w:r>
      <w:r w:rsidRPr="009C48DA" w:rsidR="00B6295E">
        <w:rPr>
          <w:rFonts w:eastAsia="Calibri" w:cs="Arial"/>
          <w:lang w:val="en-GB"/>
        </w:rPr>
        <w:t>for</w:t>
      </w:r>
      <w:r w:rsidRPr="009C48DA" w:rsidR="00481119">
        <w:rPr>
          <w:rFonts w:eastAsia="Calibri" w:cs="Arial"/>
          <w:lang w:val="en-GB"/>
        </w:rPr>
        <w:t xml:space="preserve"> the medium-</w:t>
      </w:r>
      <w:r w:rsidRPr="009C48DA">
        <w:rPr>
          <w:rFonts w:eastAsia="Calibri" w:cs="Arial"/>
          <w:lang w:val="en-GB"/>
        </w:rPr>
        <w:t>term.</w:t>
      </w:r>
    </w:p>
    <w:p w:rsidRPr="009C48DA" w:rsidR="00B51E80" w:rsidP="000C376E" w:rsidRDefault="00B51E80" w14:paraId="744FBF0A" w14:textId="77777777">
      <w:pPr>
        <w:pStyle w:val="TitleB"/>
        <w:rPr>
          <w:lang w:val="en-GB"/>
        </w:rPr>
      </w:pPr>
      <w:r w:rsidRPr="009C48DA">
        <w:rPr>
          <w:lang w:val="en-GB"/>
        </w:rPr>
        <w:t>Operating and other expenses</w:t>
      </w:r>
    </w:p>
    <w:p w:rsidRPr="009C48DA" w:rsidR="00B51E80" w:rsidP="00B4201B" w:rsidRDefault="002549C2" w14:paraId="31BF908C" w14:textId="01E66A4C">
      <w:pPr>
        <w:pStyle w:val="BodyText2SglJ"/>
        <w:rPr>
          <w:rFonts w:eastAsia="Calibri" w:cs="Arial"/>
          <w:lang w:val="en-GB"/>
        </w:rPr>
      </w:pPr>
      <w:r w:rsidRPr="009C48DA">
        <w:rPr>
          <w:rFonts w:eastAsia="Calibri" w:cs="Arial"/>
          <w:lang w:val="en-GB"/>
        </w:rPr>
        <w:t xml:space="preserve">The Group’s business model </w:t>
      </w:r>
      <w:r w:rsidRPr="009C48DA" w:rsidR="002F507D">
        <w:rPr>
          <w:rFonts w:eastAsia="Calibri" w:cs="Arial"/>
          <w:lang w:val="en-GB"/>
        </w:rPr>
        <w:t xml:space="preserve">is </w:t>
      </w:r>
      <w:r w:rsidRPr="009C48DA" w:rsidR="00B51E80">
        <w:rPr>
          <w:rFonts w:eastAsia="Calibri" w:cs="Arial"/>
          <w:lang w:val="en-GB"/>
        </w:rPr>
        <w:t xml:space="preserve">asset light and its operating expenses consist mostly of personnel related expenses and costs related to external services such as consultants and travel and are therefore considered relatively predictable from year to year. The Group’s average number of FTEs has increased from </w:t>
      </w:r>
      <w:r w:rsidRPr="009C48DA" w:rsidR="00B51E80">
        <w:rPr>
          <w:rFonts w:eastAsia="Calibri" w:cs="Times New Roman"/>
          <w:lang w:val="en-GB"/>
        </w:rPr>
        <w:t>223</w:t>
      </w:r>
      <w:r w:rsidRPr="009C48DA" w:rsidR="00B51E80">
        <w:rPr>
          <w:rFonts w:eastAsia="Calibri" w:cs="Arial"/>
          <w:lang w:val="en-GB"/>
        </w:rPr>
        <w:t xml:space="preserve"> as of 31 December 2018 to 320 as of 31 March 2021. This increase has mainly been driven by an overall expansion of the Group’s operations and the acquisition of the EQT Credit business in October 2020.</w:t>
      </w:r>
    </w:p>
    <w:p w:rsidRPr="009C48DA" w:rsidR="00B51E80" w:rsidP="00B51E80" w:rsidRDefault="00B51E80" w14:paraId="7542DC14" w14:textId="7170A738">
      <w:pPr>
        <w:pStyle w:val="BodyText2SglJ"/>
        <w:rPr>
          <w:rFonts w:eastAsia="Calibri" w:cs="Arial"/>
          <w:lang w:val="en-GB"/>
        </w:rPr>
      </w:pPr>
      <w:r w:rsidRPr="009C48DA">
        <w:rPr>
          <w:rFonts w:eastAsia="Calibri" w:cs="Arial"/>
          <w:lang w:val="en-GB"/>
        </w:rPr>
        <w:t>The Group has generally limited capital expenditures, which are mainly related to IT and the Group’s offices, with certain one-off costs due to the move of the Group’s</w:t>
      </w:r>
      <w:r w:rsidR="00BA3614">
        <w:rPr>
          <w:rFonts w:eastAsia="Calibri" w:cs="Arial"/>
          <w:lang w:val="en-GB"/>
        </w:rPr>
        <w:t xml:space="preserve"> London head office in 2021 and </w:t>
      </w:r>
      <w:r w:rsidRPr="009C48DA">
        <w:rPr>
          <w:rFonts w:eastAsia="Calibri" w:cs="Arial"/>
          <w:lang w:val="en-GB"/>
        </w:rPr>
        <w:t>2022. Working capital changes year-on-year are usually limited. For a discussion of other operating expenses see “</w:t>
      </w:r>
      <w:r w:rsidRPr="009C48DA" w:rsidR="002F507D">
        <w:rPr>
          <w:rFonts w:eastAsia="Calibri" w:cs="Arial"/>
          <w:i/>
          <w:lang w:val="en-GB"/>
        </w:rPr>
        <w:t xml:space="preserve">—Principal Factors affecting Results of </w:t>
      </w:r>
      <w:r w:rsidRPr="009C48DA">
        <w:rPr>
          <w:rFonts w:eastAsia="Calibri" w:cs="Arial"/>
          <w:i/>
          <w:lang w:val="en-GB"/>
        </w:rPr>
        <w:t>Operati</w:t>
      </w:r>
      <w:r w:rsidRPr="009C48DA" w:rsidR="002F507D">
        <w:rPr>
          <w:rFonts w:eastAsia="Calibri" w:cs="Arial"/>
          <w:i/>
          <w:lang w:val="en-GB"/>
        </w:rPr>
        <w:t>o</w:t>
      </w:r>
      <w:r w:rsidRPr="009C48DA">
        <w:rPr>
          <w:rFonts w:eastAsia="Calibri" w:cs="Arial"/>
          <w:i/>
          <w:lang w:val="en-GB"/>
        </w:rPr>
        <w:t>n</w:t>
      </w:r>
      <w:r w:rsidRPr="009C48DA" w:rsidR="002F507D">
        <w:rPr>
          <w:rFonts w:eastAsia="Calibri" w:cs="Arial"/>
          <w:i/>
          <w:lang w:val="en-GB"/>
        </w:rPr>
        <w:t>s</w:t>
      </w:r>
      <w:r w:rsidRPr="009C48DA">
        <w:rPr>
          <w:rFonts w:eastAsia="Calibri" w:cs="Arial"/>
          <w:i/>
          <w:lang w:val="en-GB"/>
        </w:rPr>
        <w:t>—Operating expenses.</w:t>
      </w:r>
      <w:r w:rsidRPr="009C48DA">
        <w:rPr>
          <w:rFonts w:eastAsia="Calibri" w:cs="Arial"/>
          <w:lang w:val="en-GB"/>
        </w:rPr>
        <w:t>”</w:t>
      </w:r>
    </w:p>
    <w:p w:rsidRPr="009C48DA" w:rsidR="00B51E80" w:rsidP="000C376E" w:rsidRDefault="00B51E80" w14:paraId="2101DF42" w14:textId="0731710C">
      <w:pPr>
        <w:pStyle w:val="TitleB"/>
        <w:rPr>
          <w:lang w:val="en-GB"/>
        </w:rPr>
      </w:pPr>
      <w:r w:rsidRPr="009C48DA">
        <w:rPr>
          <w:lang w:val="en-GB"/>
        </w:rPr>
        <w:lastRenderedPageBreak/>
        <w:t xml:space="preserve">Selected Key Metrics of the </w:t>
      </w:r>
      <w:r w:rsidRPr="009C48DA" w:rsidR="00961BEE">
        <w:rPr>
          <w:rFonts w:eastAsia="Calibri" w:cs="Arial"/>
          <w:lang w:val="en-GB"/>
        </w:rPr>
        <w:t>Bridgepoint</w:t>
      </w:r>
      <w:r w:rsidRPr="009C48DA" w:rsidR="00961BEE">
        <w:rPr>
          <w:lang w:val="en-GB"/>
        </w:rPr>
        <w:t xml:space="preserve"> </w:t>
      </w:r>
      <w:r w:rsidRPr="009C48DA">
        <w:rPr>
          <w:lang w:val="en-GB"/>
        </w:rPr>
        <w:t>Funds</w:t>
      </w:r>
    </w:p>
    <w:p w:rsidRPr="009C48DA" w:rsidR="00B51E80" w:rsidP="00906792" w:rsidRDefault="00B51E80" w14:paraId="5FDEA158" w14:textId="48D5BB84">
      <w:pPr>
        <w:pStyle w:val="BodyText2SglJ"/>
        <w:keepNext/>
        <w:rPr>
          <w:rFonts w:eastAsia="Calibri" w:cs="Arial"/>
          <w:lang w:val="en-GB"/>
        </w:rPr>
      </w:pPr>
      <w:r w:rsidRPr="009C48DA">
        <w:rPr>
          <w:lang w:val="en-GB"/>
        </w:rPr>
        <w:t>The</w:t>
      </w:r>
      <w:r w:rsidRPr="009C48DA">
        <w:rPr>
          <w:rFonts w:eastAsia="Calibri" w:cs="Arial"/>
          <w:lang w:val="en-GB"/>
        </w:rPr>
        <w:t xml:space="preserve"> table below shows selected key terms of the </w:t>
      </w:r>
      <w:r w:rsidRPr="009C48DA" w:rsidR="00961BEE">
        <w:rPr>
          <w:rFonts w:eastAsia="Calibri" w:cs="Arial"/>
          <w:lang w:val="en-GB"/>
        </w:rPr>
        <w:t xml:space="preserve">Bridgepoint </w:t>
      </w:r>
      <w:r w:rsidRPr="009C48DA">
        <w:rPr>
          <w:rFonts w:eastAsia="Calibri" w:cs="Arial"/>
          <w:lang w:val="en-GB"/>
        </w:rPr>
        <w:t xml:space="preserve">Funds in the private equity segment as of </w:t>
      </w:r>
      <w:r w:rsidRPr="009C48DA" w:rsidR="006E2EFC">
        <w:rPr>
          <w:rFonts w:eastAsia="Calibri" w:cs="Arial"/>
          <w:lang w:val="en-GB"/>
        </w:rPr>
        <w:t>31 March 2021.</w:t>
      </w:r>
    </w:p>
    <w:tbl>
      <w:tblPr>
        <w:tblW w:w="8692" w:type="dxa"/>
        <w:tblLayout w:type="fixed"/>
        <w:tblLook w:val="04A0" w:firstRow="1" w:lastRow="0" w:firstColumn="1" w:lastColumn="0" w:noHBand="0" w:noVBand="1"/>
      </w:tblPr>
      <w:tblGrid>
        <w:gridCol w:w="1610"/>
        <w:gridCol w:w="992"/>
        <w:gridCol w:w="850"/>
        <w:gridCol w:w="851"/>
        <w:gridCol w:w="709"/>
        <w:gridCol w:w="708"/>
        <w:gridCol w:w="714"/>
        <w:gridCol w:w="695"/>
        <w:gridCol w:w="658"/>
        <w:gridCol w:w="905"/>
      </w:tblGrid>
      <w:tr w:rsidRPr="009C48DA" w:rsidR="006E2EFC" w:rsidTr="00961BEE" w14:paraId="26B64DC6" w14:textId="77777777">
        <w:trPr>
          <w:trHeight w:val="74"/>
        </w:trPr>
        <w:tc>
          <w:tcPr>
            <w:tcW w:w="1610" w:type="dxa"/>
            <w:shd w:val="clear" w:color="auto" w:fill="auto"/>
            <w:vAlign w:val="bottom"/>
          </w:tcPr>
          <w:p w:rsidRPr="009C48DA" w:rsidR="006E2EFC" w:rsidP="00143D62" w:rsidRDefault="00961BEE" w14:paraId="3D856A38" w14:textId="2F732F34">
            <w:pPr>
              <w:keepNext/>
              <w:pBdr>
                <w:bottom w:val="single" w:color="auto" w:sz="4" w:space="1"/>
              </w:pBdr>
              <w:jc w:val="center"/>
              <w:rPr>
                <w:rFonts w:cs="Times New Roman"/>
                <w:b/>
                <w:sz w:val="13"/>
                <w:szCs w:val="13"/>
                <w:lang w:val="en-GB"/>
              </w:rPr>
            </w:pPr>
            <w:r w:rsidRPr="009C48DA">
              <w:rPr>
                <w:rFonts w:cs="Times New Roman"/>
                <w:b/>
                <w:sz w:val="13"/>
                <w:szCs w:val="13"/>
                <w:lang w:val="en-GB"/>
              </w:rPr>
              <w:t xml:space="preserve">Bridgepoint </w:t>
            </w:r>
            <w:r w:rsidRPr="009C48DA" w:rsidR="006E2EFC">
              <w:rPr>
                <w:rFonts w:cs="Times New Roman"/>
                <w:b/>
                <w:sz w:val="13"/>
                <w:szCs w:val="13"/>
                <w:lang w:val="en-GB"/>
              </w:rPr>
              <w:t>Fund</w:t>
            </w:r>
            <w:r w:rsidRPr="009C48DA" w:rsidR="006E2EFC">
              <w:rPr>
                <w:rFonts w:cs="Times New Roman"/>
                <w:b/>
                <w:sz w:val="13"/>
                <w:szCs w:val="13"/>
                <w:vertAlign w:val="superscript"/>
                <w:lang w:val="en-GB"/>
              </w:rPr>
              <w:t>(1)</w:t>
            </w:r>
          </w:p>
        </w:tc>
        <w:tc>
          <w:tcPr>
            <w:tcW w:w="992" w:type="dxa"/>
            <w:vAlign w:val="bottom"/>
          </w:tcPr>
          <w:p w:rsidRPr="009C48DA" w:rsidR="006E2EFC" w:rsidP="00143D62" w:rsidRDefault="006E2EFC" w14:paraId="4248BDDC"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Fund Size based on commitments</w:t>
            </w:r>
            <w:r w:rsidRPr="009C48DA">
              <w:rPr>
                <w:rFonts w:cs="Times New Roman"/>
                <w:b/>
                <w:sz w:val="13"/>
                <w:szCs w:val="13"/>
                <w:lang w:val="en-GB"/>
              </w:rPr>
              <w:br/>
              <w:t>(in € / £ million)</w:t>
            </w:r>
          </w:p>
        </w:tc>
        <w:tc>
          <w:tcPr>
            <w:tcW w:w="850" w:type="dxa"/>
            <w:vAlign w:val="bottom"/>
          </w:tcPr>
          <w:p w:rsidRPr="009C48DA" w:rsidR="006E2EFC" w:rsidP="00143D62" w:rsidRDefault="006E2EFC" w14:paraId="7BA880C0"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Total AUM</w:t>
            </w:r>
          </w:p>
          <w:p w:rsidRPr="009C48DA" w:rsidR="006E2EFC" w:rsidP="00143D62" w:rsidRDefault="006E2EFC" w14:paraId="0A60522B"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(in € million)</w:t>
            </w:r>
            <w:r w:rsidRPr="009C48DA">
              <w:rPr>
                <w:rFonts w:cs="Times New Roman"/>
                <w:b/>
                <w:sz w:val="13"/>
                <w:szCs w:val="13"/>
                <w:vertAlign w:val="superscript"/>
                <w:lang w:val="en-GB"/>
              </w:rPr>
              <w:t>(2)</w:t>
            </w:r>
          </w:p>
        </w:tc>
        <w:tc>
          <w:tcPr>
            <w:tcW w:w="851" w:type="dxa"/>
            <w:vAlign w:val="bottom"/>
          </w:tcPr>
          <w:p w:rsidRPr="009C48DA" w:rsidR="006E2EFC" w:rsidP="00143D62" w:rsidRDefault="006E2EFC" w14:paraId="2C3CFE62" w14:textId="210BA247">
            <w:pPr>
              <w:keepNext/>
              <w:pBdr>
                <w:bottom w:val="single" w:color="auto" w:sz="4" w:space="1"/>
              </w:pBdr>
              <w:jc w:val="center"/>
              <w:rPr>
                <w:rFonts w:cs="Times New Roman"/>
                <w:b/>
                <w:sz w:val="13"/>
                <w:szCs w:val="13"/>
                <w:lang w:val="en-GB"/>
              </w:rPr>
            </w:pPr>
            <w:r w:rsidRPr="009C48DA">
              <w:rPr>
                <w:rFonts w:cs="Times New Roman"/>
                <w:b/>
                <w:sz w:val="13"/>
                <w:szCs w:val="13"/>
                <w:lang w:val="en-GB"/>
              </w:rPr>
              <w:t>AUM (in € million)</w:t>
            </w:r>
            <w:r w:rsidRPr="009C48DA">
              <w:rPr>
                <w:rFonts w:cs="Times New Roman"/>
                <w:b/>
                <w:sz w:val="13"/>
                <w:szCs w:val="13"/>
                <w:vertAlign w:val="superscript"/>
                <w:lang w:val="en-GB"/>
              </w:rPr>
              <w:t>(2)</w:t>
            </w:r>
          </w:p>
        </w:tc>
        <w:tc>
          <w:tcPr>
            <w:tcW w:w="709" w:type="dxa"/>
            <w:vAlign w:val="bottom"/>
          </w:tcPr>
          <w:p w:rsidRPr="009C48DA" w:rsidR="006E2EFC" w:rsidP="00143D62" w:rsidRDefault="006E2EFC" w14:paraId="3AF7C95F"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Vintage</w:t>
            </w:r>
          </w:p>
        </w:tc>
        <w:tc>
          <w:tcPr>
            <w:tcW w:w="708" w:type="dxa"/>
            <w:vAlign w:val="bottom"/>
          </w:tcPr>
          <w:p w:rsidRPr="009C48DA" w:rsidR="006E2EFC" w:rsidP="00143D62" w:rsidRDefault="006E2EFC" w14:paraId="4EF51E33"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Invested capital (in per cent)</w:t>
            </w:r>
          </w:p>
        </w:tc>
        <w:tc>
          <w:tcPr>
            <w:tcW w:w="714" w:type="dxa"/>
            <w:shd w:val="clear" w:color="auto" w:fill="auto"/>
            <w:vAlign w:val="bottom"/>
          </w:tcPr>
          <w:p w:rsidRPr="009C48DA" w:rsidR="006E2EFC" w:rsidP="00143D62" w:rsidRDefault="006E2EFC" w14:paraId="2C945874" w14:textId="0A1EAE17">
            <w:pPr>
              <w:keepNext/>
              <w:pBdr>
                <w:bottom w:val="single" w:color="auto" w:sz="4" w:space="1"/>
              </w:pBdr>
              <w:jc w:val="center"/>
              <w:rPr>
                <w:rFonts w:cs="Times New Roman"/>
                <w:b/>
                <w:sz w:val="13"/>
                <w:szCs w:val="13"/>
                <w:lang w:val="en-GB"/>
              </w:rPr>
            </w:pPr>
            <w:r w:rsidRPr="009C48DA">
              <w:rPr>
                <w:rFonts w:cs="Times New Roman"/>
                <w:b/>
                <w:sz w:val="13"/>
                <w:szCs w:val="13"/>
                <w:lang w:val="en-GB"/>
              </w:rPr>
              <w:t>Hurdle rate (in per cent</w:t>
            </w:r>
            <w:r w:rsidRPr="009C48DA" w:rsidR="000737A5">
              <w:rPr>
                <w:rFonts w:cs="Times New Roman"/>
                <w:b/>
                <w:sz w:val="13"/>
                <w:szCs w:val="13"/>
                <w:lang w:val="en-GB"/>
              </w:rPr>
              <w:t>)</w:t>
            </w:r>
          </w:p>
        </w:tc>
        <w:tc>
          <w:tcPr>
            <w:tcW w:w="695" w:type="dxa"/>
            <w:shd w:val="clear" w:color="auto" w:fill="auto"/>
            <w:vAlign w:val="bottom"/>
          </w:tcPr>
          <w:p w:rsidRPr="009C48DA" w:rsidR="006E2EFC" w:rsidP="00143D62" w:rsidRDefault="006E2EFC" w14:paraId="52123062"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Total carried interest (in per cent)</w:t>
            </w:r>
          </w:p>
        </w:tc>
        <w:tc>
          <w:tcPr>
            <w:tcW w:w="658" w:type="dxa"/>
            <w:vAlign w:val="bottom"/>
          </w:tcPr>
          <w:p w:rsidRPr="009C48DA" w:rsidR="006E2EFC" w:rsidP="00143D62" w:rsidRDefault="006E2EFC" w14:paraId="1ED6FC11"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Catch-up rate (in per cent)</w:t>
            </w:r>
          </w:p>
        </w:tc>
        <w:tc>
          <w:tcPr>
            <w:tcW w:w="905" w:type="dxa"/>
          </w:tcPr>
          <w:p w:rsidRPr="009C48DA" w:rsidR="006E2EFC" w:rsidP="00143D62" w:rsidRDefault="006E2EFC" w14:paraId="3890D132"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Group’s share of total carried interest entitlement of all Carried Interest Participants</w:t>
            </w:r>
          </w:p>
        </w:tc>
      </w:tr>
      <w:tr w:rsidRPr="009C48DA" w:rsidR="006E2EFC" w:rsidTr="00961BEE" w14:paraId="0FE389D2" w14:textId="77777777">
        <w:trPr>
          <w:trHeight w:val="74"/>
        </w:trPr>
        <w:tc>
          <w:tcPr>
            <w:tcW w:w="1610" w:type="dxa"/>
            <w:shd w:val="clear" w:color="auto" w:fill="auto"/>
            <w:vAlign w:val="bottom"/>
          </w:tcPr>
          <w:p w:rsidRPr="009C48DA" w:rsidR="006E2EFC" w:rsidP="00143D62" w:rsidRDefault="00961BEE" w14:paraId="3AD259E8" w14:textId="3F2306C7">
            <w:pPr>
              <w:keepNext/>
              <w:rPr>
                <w:rFonts w:cs="Times New Roman"/>
                <w:sz w:val="13"/>
                <w:szCs w:val="13"/>
                <w:lang w:val="en-GB"/>
              </w:rPr>
            </w:pPr>
            <w:r w:rsidRPr="009C48DA">
              <w:rPr>
                <w:rFonts w:cs="Times New Roman"/>
                <w:sz w:val="13"/>
                <w:szCs w:val="13"/>
                <w:lang w:val="en-GB"/>
              </w:rPr>
              <w:t xml:space="preserve">Bridgepoint </w:t>
            </w:r>
            <w:r w:rsidRPr="009C48DA" w:rsidR="006E2EFC">
              <w:rPr>
                <w:rFonts w:cs="Times New Roman"/>
                <w:sz w:val="13"/>
                <w:szCs w:val="13"/>
                <w:lang w:val="en-GB"/>
              </w:rPr>
              <w:t>Europe IV</w:t>
            </w:r>
          </w:p>
        </w:tc>
        <w:tc>
          <w:tcPr>
            <w:tcW w:w="992" w:type="dxa"/>
            <w:vAlign w:val="center"/>
          </w:tcPr>
          <w:p w:rsidRPr="009C48DA" w:rsidR="006E2EFC" w:rsidP="00143D62" w:rsidRDefault="006E2EFC" w14:paraId="32CFDCDE" w14:textId="77777777">
            <w:pPr>
              <w:keepNext/>
              <w:jc w:val="right"/>
              <w:rPr>
                <w:rFonts w:cs="Times New Roman"/>
                <w:sz w:val="13"/>
                <w:szCs w:val="13"/>
                <w:lang w:val="en-GB"/>
              </w:rPr>
            </w:pPr>
            <w:r w:rsidRPr="009C48DA">
              <w:rPr>
                <w:rFonts w:cs="Times New Roman"/>
                <w:sz w:val="13"/>
                <w:szCs w:val="13"/>
                <w:lang w:val="en-GB"/>
              </w:rPr>
              <w:t>€4,835</w:t>
            </w:r>
          </w:p>
        </w:tc>
        <w:tc>
          <w:tcPr>
            <w:tcW w:w="850" w:type="dxa"/>
            <w:vAlign w:val="bottom"/>
          </w:tcPr>
          <w:p w:rsidRPr="009C48DA" w:rsidR="006E2EFC" w:rsidP="00143D62" w:rsidRDefault="006E2EFC" w14:paraId="6B590457" w14:textId="77777777">
            <w:pPr>
              <w:jc w:val="right"/>
              <w:rPr>
                <w:rFonts w:cs="Times New Roman"/>
                <w:sz w:val="13"/>
                <w:szCs w:val="13"/>
                <w:lang w:val="en-GB"/>
              </w:rPr>
            </w:pPr>
            <w:r w:rsidRPr="009C48DA">
              <w:rPr>
                <w:rFonts w:cs="Times New Roman"/>
                <w:sz w:val="13"/>
                <w:szCs w:val="13"/>
                <w:lang w:val="en-GB"/>
              </w:rPr>
              <w:t>1,621</w:t>
            </w:r>
          </w:p>
        </w:tc>
        <w:tc>
          <w:tcPr>
            <w:tcW w:w="851" w:type="dxa"/>
            <w:vAlign w:val="center"/>
          </w:tcPr>
          <w:p w:rsidRPr="009C48DA" w:rsidR="006E2EFC" w:rsidP="00143D62" w:rsidRDefault="006E2EFC" w14:paraId="510879B0" w14:textId="77777777">
            <w:pPr>
              <w:jc w:val="right"/>
              <w:rPr>
                <w:rFonts w:cs="Times New Roman"/>
                <w:sz w:val="13"/>
                <w:szCs w:val="13"/>
                <w:lang w:val="en-GB"/>
              </w:rPr>
            </w:pPr>
            <w:r w:rsidRPr="009C48DA">
              <w:rPr>
                <w:rFonts w:cs="Times New Roman"/>
                <w:sz w:val="13"/>
                <w:szCs w:val="13"/>
                <w:lang w:val="en-GB"/>
              </w:rPr>
              <w:t>1,197</w:t>
            </w:r>
          </w:p>
        </w:tc>
        <w:tc>
          <w:tcPr>
            <w:tcW w:w="709" w:type="dxa"/>
            <w:vAlign w:val="center"/>
          </w:tcPr>
          <w:p w:rsidRPr="009C48DA" w:rsidR="006E2EFC" w:rsidP="00143D62" w:rsidRDefault="006E2EFC" w14:paraId="4D3126FC" w14:textId="77777777">
            <w:pPr>
              <w:jc w:val="right"/>
              <w:rPr>
                <w:rFonts w:cs="Times New Roman"/>
                <w:sz w:val="13"/>
                <w:szCs w:val="13"/>
                <w:lang w:val="en-GB"/>
              </w:rPr>
            </w:pPr>
            <w:r w:rsidRPr="009C48DA">
              <w:rPr>
                <w:rFonts w:cs="Times New Roman"/>
                <w:sz w:val="13"/>
                <w:szCs w:val="13"/>
                <w:lang w:val="en-GB"/>
              </w:rPr>
              <w:t>2008</w:t>
            </w:r>
          </w:p>
        </w:tc>
        <w:tc>
          <w:tcPr>
            <w:tcW w:w="708" w:type="dxa"/>
            <w:vAlign w:val="center"/>
          </w:tcPr>
          <w:p w:rsidRPr="009C48DA" w:rsidR="006E2EFC" w:rsidP="00143D62" w:rsidRDefault="006E2EFC" w14:paraId="71B16769" w14:textId="77777777">
            <w:pPr>
              <w:jc w:val="right"/>
              <w:rPr>
                <w:rFonts w:cs="Times New Roman"/>
                <w:sz w:val="13"/>
                <w:szCs w:val="13"/>
                <w:lang w:val="en-GB"/>
              </w:rPr>
            </w:pPr>
            <w:r w:rsidRPr="009C48DA">
              <w:rPr>
                <w:rFonts w:cs="Times New Roman"/>
                <w:sz w:val="13"/>
                <w:szCs w:val="13"/>
                <w:lang w:val="en-GB"/>
              </w:rPr>
              <w:t>96%</w:t>
            </w:r>
          </w:p>
        </w:tc>
        <w:tc>
          <w:tcPr>
            <w:tcW w:w="714" w:type="dxa"/>
            <w:shd w:val="clear" w:color="auto" w:fill="auto"/>
            <w:vAlign w:val="center"/>
          </w:tcPr>
          <w:p w:rsidRPr="009C48DA" w:rsidR="006E2EFC" w:rsidP="00143D62" w:rsidRDefault="006E2EFC" w14:paraId="3DD92D7E" w14:textId="77777777">
            <w:pPr>
              <w:jc w:val="right"/>
              <w:rPr>
                <w:rFonts w:cs="Times New Roman"/>
                <w:sz w:val="13"/>
                <w:szCs w:val="13"/>
                <w:lang w:val="en-GB"/>
              </w:rPr>
            </w:pPr>
            <w:r w:rsidRPr="009C48DA">
              <w:rPr>
                <w:rFonts w:cs="Times New Roman"/>
                <w:sz w:val="13"/>
                <w:szCs w:val="13"/>
                <w:lang w:val="en-GB"/>
              </w:rPr>
              <w:t>8%</w:t>
            </w:r>
          </w:p>
        </w:tc>
        <w:tc>
          <w:tcPr>
            <w:tcW w:w="695" w:type="dxa"/>
            <w:shd w:val="clear" w:color="auto" w:fill="auto"/>
            <w:vAlign w:val="center"/>
          </w:tcPr>
          <w:p w:rsidRPr="009C48DA" w:rsidR="006E2EFC" w:rsidP="00143D62" w:rsidRDefault="006E2EFC" w14:paraId="4FB30879" w14:textId="77777777">
            <w:pPr>
              <w:jc w:val="right"/>
              <w:rPr>
                <w:rFonts w:cs="Times New Roman"/>
                <w:sz w:val="13"/>
                <w:szCs w:val="13"/>
                <w:lang w:val="en-GB"/>
              </w:rPr>
            </w:pPr>
            <w:r w:rsidRPr="009C48DA">
              <w:rPr>
                <w:rFonts w:cs="Times New Roman"/>
                <w:sz w:val="13"/>
                <w:szCs w:val="13"/>
                <w:lang w:val="en-GB"/>
              </w:rPr>
              <w:t>20%</w:t>
            </w:r>
          </w:p>
        </w:tc>
        <w:tc>
          <w:tcPr>
            <w:tcW w:w="658" w:type="dxa"/>
            <w:vAlign w:val="center"/>
          </w:tcPr>
          <w:p w:rsidRPr="009C48DA" w:rsidR="006E2EFC" w:rsidP="00143D62" w:rsidRDefault="006E2EFC" w14:paraId="2258F1A9" w14:textId="77777777">
            <w:pPr>
              <w:jc w:val="right"/>
              <w:rPr>
                <w:rFonts w:cs="Times New Roman"/>
                <w:sz w:val="13"/>
                <w:szCs w:val="13"/>
                <w:lang w:val="en-GB"/>
              </w:rPr>
            </w:pPr>
            <w:r w:rsidRPr="009C48DA">
              <w:rPr>
                <w:rFonts w:cs="Times New Roman"/>
                <w:sz w:val="13"/>
                <w:szCs w:val="13"/>
                <w:lang w:val="en-GB"/>
              </w:rPr>
              <w:t>100%</w:t>
            </w:r>
          </w:p>
        </w:tc>
        <w:tc>
          <w:tcPr>
            <w:tcW w:w="905" w:type="dxa"/>
            <w:vAlign w:val="center"/>
          </w:tcPr>
          <w:p w:rsidRPr="009C48DA" w:rsidR="006E2EFC" w:rsidP="00143D62" w:rsidRDefault="006E2EFC" w14:paraId="493BA2DB" w14:textId="77777777">
            <w:pPr>
              <w:keepNext/>
              <w:jc w:val="right"/>
              <w:rPr>
                <w:rFonts w:cs="Times New Roman"/>
                <w:sz w:val="13"/>
                <w:szCs w:val="13"/>
                <w:lang w:val="en-GB"/>
              </w:rPr>
            </w:pPr>
            <w:r w:rsidRPr="009C48DA">
              <w:rPr>
                <w:rFonts w:cs="Times New Roman"/>
                <w:sz w:val="13"/>
                <w:szCs w:val="13"/>
                <w:lang w:val="en-GB"/>
              </w:rPr>
              <w:t>9%</w:t>
            </w:r>
          </w:p>
        </w:tc>
      </w:tr>
      <w:tr w:rsidRPr="009C48DA" w:rsidR="006E2EFC" w:rsidTr="00961BEE" w14:paraId="41E9CAD0" w14:textId="77777777">
        <w:trPr>
          <w:trHeight w:val="74"/>
        </w:trPr>
        <w:tc>
          <w:tcPr>
            <w:tcW w:w="1610" w:type="dxa"/>
            <w:shd w:val="clear" w:color="auto" w:fill="auto"/>
            <w:vAlign w:val="bottom"/>
          </w:tcPr>
          <w:p w:rsidRPr="009C48DA" w:rsidR="006E2EFC" w:rsidP="00143D62" w:rsidRDefault="00961BEE" w14:paraId="272B0419" w14:textId="1ABDA8BB">
            <w:pPr>
              <w:keepNext/>
              <w:rPr>
                <w:rFonts w:cs="Times New Roman"/>
                <w:sz w:val="13"/>
                <w:szCs w:val="13"/>
                <w:lang w:val="en-GB"/>
              </w:rPr>
            </w:pPr>
            <w:r w:rsidRPr="009C48DA">
              <w:rPr>
                <w:rFonts w:cs="Times New Roman"/>
                <w:sz w:val="13"/>
                <w:szCs w:val="13"/>
                <w:lang w:val="en-GB"/>
              </w:rPr>
              <w:t xml:space="preserve">Bridgepoint </w:t>
            </w:r>
            <w:r w:rsidRPr="009C48DA" w:rsidR="006E2EFC">
              <w:rPr>
                <w:rFonts w:cs="Times New Roman"/>
                <w:sz w:val="13"/>
                <w:szCs w:val="13"/>
                <w:lang w:val="en-GB"/>
              </w:rPr>
              <w:t>Europe V</w:t>
            </w:r>
          </w:p>
        </w:tc>
        <w:tc>
          <w:tcPr>
            <w:tcW w:w="992" w:type="dxa"/>
            <w:vAlign w:val="bottom"/>
          </w:tcPr>
          <w:p w:rsidRPr="009C48DA" w:rsidR="006E2EFC" w:rsidP="00143D62" w:rsidRDefault="006E2EFC" w14:paraId="3848FF82" w14:textId="77777777">
            <w:pPr>
              <w:jc w:val="right"/>
              <w:rPr>
                <w:rFonts w:cs="Times New Roman"/>
                <w:sz w:val="13"/>
                <w:szCs w:val="13"/>
                <w:lang w:val="en-GB"/>
              </w:rPr>
            </w:pPr>
            <w:r w:rsidRPr="009C48DA">
              <w:rPr>
                <w:rFonts w:cs="Times New Roman"/>
                <w:sz w:val="13"/>
                <w:szCs w:val="13"/>
                <w:lang w:val="en-GB"/>
              </w:rPr>
              <w:t>€4,000</w:t>
            </w:r>
          </w:p>
        </w:tc>
        <w:tc>
          <w:tcPr>
            <w:tcW w:w="850" w:type="dxa"/>
            <w:vAlign w:val="bottom"/>
          </w:tcPr>
          <w:p w:rsidRPr="009C48DA" w:rsidR="006E2EFC" w:rsidP="00143D62" w:rsidRDefault="006E2EFC" w14:paraId="637F028E" w14:textId="77777777">
            <w:pPr>
              <w:jc w:val="right"/>
              <w:rPr>
                <w:rFonts w:cs="Times New Roman"/>
                <w:sz w:val="13"/>
                <w:szCs w:val="13"/>
                <w:lang w:val="en-GB"/>
              </w:rPr>
            </w:pPr>
            <w:r w:rsidRPr="009C48DA">
              <w:rPr>
                <w:rFonts w:cs="Times New Roman"/>
                <w:sz w:val="13"/>
                <w:szCs w:val="13"/>
                <w:lang w:val="en-GB"/>
              </w:rPr>
              <w:t>4,817</w:t>
            </w:r>
          </w:p>
        </w:tc>
        <w:tc>
          <w:tcPr>
            <w:tcW w:w="851" w:type="dxa"/>
            <w:vAlign w:val="bottom"/>
          </w:tcPr>
          <w:p w:rsidRPr="009C48DA" w:rsidR="006E2EFC" w:rsidP="00143D62" w:rsidRDefault="006E2EFC" w14:paraId="1A91E3BF" w14:textId="77777777">
            <w:pPr>
              <w:jc w:val="right"/>
              <w:rPr>
                <w:rFonts w:cs="Times New Roman"/>
                <w:sz w:val="13"/>
                <w:szCs w:val="13"/>
                <w:lang w:val="en-GB"/>
              </w:rPr>
            </w:pPr>
            <w:r w:rsidRPr="009C48DA">
              <w:rPr>
                <w:rFonts w:cs="Times New Roman"/>
                <w:sz w:val="13"/>
                <w:szCs w:val="13"/>
                <w:lang w:val="en-GB"/>
              </w:rPr>
              <w:t>3,145</w:t>
            </w:r>
          </w:p>
        </w:tc>
        <w:tc>
          <w:tcPr>
            <w:tcW w:w="709" w:type="dxa"/>
            <w:vAlign w:val="bottom"/>
          </w:tcPr>
          <w:p w:rsidRPr="009C48DA" w:rsidR="006E2EFC" w:rsidP="00143D62" w:rsidRDefault="006E2EFC" w14:paraId="69DAC7E9" w14:textId="77777777">
            <w:pPr>
              <w:jc w:val="right"/>
              <w:rPr>
                <w:rFonts w:cs="Times New Roman"/>
                <w:sz w:val="13"/>
                <w:szCs w:val="13"/>
                <w:lang w:val="en-GB"/>
              </w:rPr>
            </w:pPr>
            <w:r w:rsidRPr="009C48DA">
              <w:rPr>
                <w:rFonts w:cs="Times New Roman"/>
                <w:sz w:val="13"/>
                <w:szCs w:val="13"/>
                <w:lang w:val="en-GB"/>
              </w:rPr>
              <w:t>2015</w:t>
            </w:r>
          </w:p>
        </w:tc>
        <w:tc>
          <w:tcPr>
            <w:tcW w:w="708" w:type="dxa"/>
            <w:vAlign w:val="bottom"/>
          </w:tcPr>
          <w:p w:rsidRPr="009C48DA" w:rsidR="006E2EFC" w:rsidP="00143D62" w:rsidRDefault="006E2EFC" w14:paraId="09343853" w14:textId="77777777">
            <w:pPr>
              <w:jc w:val="right"/>
              <w:rPr>
                <w:rFonts w:cs="Times New Roman"/>
                <w:sz w:val="13"/>
                <w:szCs w:val="13"/>
                <w:lang w:val="en-GB"/>
              </w:rPr>
            </w:pPr>
            <w:r w:rsidRPr="009C48DA">
              <w:rPr>
                <w:rFonts w:cs="Times New Roman"/>
                <w:sz w:val="13"/>
                <w:szCs w:val="13"/>
                <w:lang w:val="en-GB"/>
              </w:rPr>
              <w:t>94%</w:t>
            </w:r>
          </w:p>
        </w:tc>
        <w:tc>
          <w:tcPr>
            <w:tcW w:w="714" w:type="dxa"/>
            <w:shd w:val="clear" w:color="auto" w:fill="auto"/>
            <w:vAlign w:val="bottom"/>
          </w:tcPr>
          <w:p w:rsidRPr="009C48DA" w:rsidR="006E2EFC" w:rsidP="00143D62" w:rsidRDefault="006E2EFC" w14:paraId="3361733D" w14:textId="77777777">
            <w:pPr>
              <w:jc w:val="right"/>
              <w:rPr>
                <w:rFonts w:cs="Times New Roman"/>
                <w:sz w:val="13"/>
                <w:szCs w:val="13"/>
                <w:lang w:val="en-GB"/>
              </w:rPr>
            </w:pPr>
            <w:r w:rsidRPr="009C48DA">
              <w:rPr>
                <w:rFonts w:cs="Times New Roman"/>
                <w:sz w:val="13"/>
                <w:szCs w:val="13"/>
                <w:lang w:val="en-GB"/>
              </w:rPr>
              <w:t>8%</w:t>
            </w:r>
          </w:p>
        </w:tc>
        <w:tc>
          <w:tcPr>
            <w:tcW w:w="695" w:type="dxa"/>
            <w:shd w:val="clear" w:color="auto" w:fill="auto"/>
            <w:vAlign w:val="bottom"/>
          </w:tcPr>
          <w:p w:rsidRPr="009C48DA" w:rsidR="006E2EFC" w:rsidP="00143D62" w:rsidRDefault="006E2EFC" w14:paraId="3C8EAFA5" w14:textId="77777777">
            <w:pPr>
              <w:jc w:val="right"/>
              <w:rPr>
                <w:rFonts w:cs="Times New Roman"/>
                <w:sz w:val="13"/>
                <w:szCs w:val="13"/>
                <w:lang w:val="en-GB"/>
              </w:rPr>
            </w:pPr>
            <w:r w:rsidRPr="009C48DA">
              <w:rPr>
                <w:rFonts w:cs="Times New Roman"/>
                <w:sz w:val="13"/>
                <w:szCs w:val="13"/>
                <w:lang w:val="en-GB"/>
              </w:rPr>
              <w:t>20%</w:t>
            </w:r>
          </w:p>
        </w:tc>
        <w:tc>
          <w:tcPr>
            <w:tcW w:w="658" w:type="dxa"/>
            <w:vAlign w:val="bottom"/>
          </w:tcPr>
          <w:p w:rsidRPr="009C48DA" w:rsidR="006E2EFC" w:rsidP="00143D62" w:rsidRDefault="006E2EFC" w14:paraId="48F52788" w14:textId="77777777">
            <w:pPr>
              <w:jc w:val="right"/>
              <w:rPr>
                <w:rFonts w:cs="Times New Roman"/>
                <w:sz w:val="13"/>
                <w:szCs w:val="13"/>
                <w:lang w:val="en-GB"/>
              </w:rPr>
            </w:pPr>
            <w:r w:rsidRPr="009C48DA">
              <w:rPr>
                <w:rFonts w:cs="Times New Roman"/>
                <w:sz w:val="13"/>
                <w:szCs w:val="13"/>
                <w:lang w:val="en-GB"/>
              </w:rPr>
              <w:t>100%</w:t>
            </w:r>
          </w:p>
        </w:tc>
        <w:tc>
          <w:tcPr>
            <w:tcW w:w="905" w:type="dxa"/>
            <w:vAlign w:val="bottom"/>
          </w:tcPr>
          <w:p w:rsidRPr="009C48DA" w:rsidR="006E2EFC" w:rsidP="00143D62" w:rsidRDefault="006E2EFC" w14:paraId="7FFA5708" w14:textId="77777777">
            <w:pPr>
              <w:jc w:val="right"/>
              <w:rPr>
                <w:rFonts w:cs="Times New Roman"/>
                <w:sz w:val="13"/>
                <w:szCs w:val="13"/>
                <w:lang w:val="en-GB"/>
              </w:rPr>
            </w:pPr>
            <w:r w:rsidRPr="009C48DA">
              <w:rPr>
                <w:rFonts w:cs="Times New Roman"/>
                <w:sz w:val="13"/>
                <w:szCs w:val="13"/>
                <w:lang w:val="en-GB"/>
              </w:rPr>
              <w:t>0%</w:t>
            </w:r>
          </w:p>
        </w:tc>
      </w:tr>
      <w:tr w:rsidRPr="009C48DA" w:rsidR="006E2EFC" w:rsidTr="00961BEE" w14:paraId="6C465071" w14:textId="77777777">
        <w:trPr>
          <w:trHeight w:val="74"/>
        </w:trPr>
        <w:tc>
          <w:tcPr>
            <w:tcW w:w="1610" w:type="dxa"/>
            <w:shd w:val="clear" w:color="auto" w:fill="auto"/>
            <w:vAlign w:val="bottom"/>
          </w:tcPr>
          <w:p w:rsidRPr="009C48DA" w:rsidR="006E2EFC" w:rsidP="00143D62" w:rsidRDefault="00961BEE" w14:paraId="41165F9C" w14:textId="2BB42D50">
            <w:pPr>
              <w:keepNext/>
              <w:rPr>
                <w:rFonts w:cs="Times New Roman"/>
                <w:sz w:val="13"/>
                <w:szCs w:val="13"/>
                <w:lang w:val="en-GB"/>
              </w:rPr>
            </w:pPr>
            <w:r w:rsidRPr="009C48DA">
              <w:rPr>
                <w:rFonts w:cs="Times New Roman"/>
                <w:sz w:val="13"/>
                <w:szCs w:val="13"/>
                <w:lang w:val="en-GB"/>
              </w:rPr>
              <w:t xml:space="preserve">Bridgepoint </w:t>
            </w:r>
            <w:r w:rsidRPr="009C48DA" w:rsidR="006E2EFC">
              <w:rPr>
                <w:rFonts w:cs="Times New Roman"/>
                <w:sz w:val="13"/>
                <w:szCs w:val="13"/>
                <w:lang w:val="en-GB"/>
              </w:rPr>
              <w:t>Europe VI</w:t>
            </w:r>
          </w:p>
        </w:tc>
        <w:tc>
          <w:tcPr>
            <w:tcW w:w="992" w:type="dxa"/>
            <w:vAlign w:val="bottom"/>
          </w:tcPr>
          <w:p w:rsidRPr="009C48DA" w:rsidR="006E2EFC" w:rsidP="00143D62" w:rsidRDefault="006E2EFC" w14:paraId="125EB98B" w14:textId="77777777">
            <w:pPr>
              <w:jc w:val="right"/>
              <w:rPr>
                <w:rFonts w:cs="Times New Roman"/>
                <w:sz w:val="13"/>
                <w:szCs w:val="13"/>
                <w:lang w:val="en-GB"/>
              </w:rPr>
            </w:pPr>
            <w:r w:rsidRPr="009C48DA">
              <w:rPr>
                <w:rFonts w:cs="Times New Roman"/>
                <w:sz w:val="13"/>
                <w:szCs w:val="13"/>
                <w:lang w:val="en-GB"/>
              </w:rPr>
              <w:t>€5,766</w:t>
            </w:r>
          </w:p>
        </w:tc>
        <w:tc>
          <w:tcPr>
            <w:tcW w:w="850" w:type="dxa"/>
            <w:vAlign w:val="bottom"/>
          </w:tcPr>
          <w:p w:rsidRPr="009C48DA" w:rsidR="006E2EFC" w:rsidP="00143D62" w:rsidRDefault="006E2EFC" w14:paraId="5700C31D" w14:textId="77777777">
            <w:pPr>
              <w:jc w:val="right"/>
              <w:rPr>
                <w:rFonts w:cs="Times New Roman"/>
                <w:sz w:val="13"/>
                <w:szCs w:val="13"/>
                <w:lang w:val="en-GB"/>
              </w:rPr>
            </w:pPr>
            <w:r w:rsidRPr="009C48DA">
              <w:rPr>
                <w:rFonts w:cs="Times New Roman"/>
                <w:sz w:val="13"/>
                <w:szCs w:val="13"/>
                <w:lang w:val="en-GB"/>
              </w:rPr>
              <w:t>6,381</w:t>
            </w:r>
          </w:p>
        </w:tc>
        <w:tc>
          <w:tcPr>
            <w:tcW w:w="851" w:type="dxa"/>
            <w:vAlign w:val="bottom"/>
          </w:tcPr>
          <w:p w:rsidRPr="009C48DA" w:rsidR="006E2EFC" w:rsidP="00143D62" w:rsidRDefault="006E2EFC" w14:paraId="534A2386" w14:textId="77777777">
            <w:pPr>
              <w:jc w:val="right"/>
              <w:rPr>
                <w:rFonts w:cs="Times New Roman"/>
                <w:sz w:val="13"/>
                <w:szCs w:val="13"/>
                <w:lang w:val="en-GB"/>
              </w:rPr>
            </w:pPr>
            <w:r w:rsidRPr="009C48DA">
              <w:rPr>
                <w:rFonts w:cs="Times New Roman"/>
                <w:sz w:val="13"/>
                <w:szCs w:val="13"/>
                <w:lang w:val="en-GB"/>
              </w:rPr>
              <w:t>5,735</w:t>
            </w:r>
          </w:p>
        </w:tc>
        <w:tc>
          <w:tcPr>
            <w:tcW w:w="709" w:type="dxa"/>
            <w:vAlign w:val="bottom"/>
          </w:tcPr>
          <w:p w:rsidRPr="009C48DA" w:rsidR="006E2EFC" w:rsidP="00143D62" w:rsidRDefault="006E2EFC" w14:paraId="5E41AC69" w14:textId="77777777">
            <w:pPr>
              <w:jc w:val="right"/>
              <w:rPr>
                <w:rFonts w:cs="Times New Roman"/>
                <w:sz w:val="13"/>
                <w:szCs w:val="13"/>
                <w:lang w:val="en-GB"/>
              </w:rPr>
            </w:pPr>
            <w:r w:rsidRPr="009C48DA">
              <w:rPr>
                <w:rFonts w:cs="Times New Roman"/>
                <w:sz w:val="13"/>
                <w:szCs w:val="13"/>
                <w:lang w:val="en-GB"/>
              </w:rPr>
              <w:t>2019</w:t>
            </w:r>
          </w:p>
        </w:tc>
        <w:tc>
          <w:tcPr>
            <w:tcW w:w="708" w:type="dxa"/>
            <w:vAlign w:val="bottom"/>
          </w:tcPr>
          <w:p w:rsidRPr="009C48DA" w:rsidR="006E2EFC" w:rsidP="00143D62" w:rsidRDefault="006E2EFC" w14:paraId="18802518" w14:textId="77777777">
            <w:pPr>
              <w:jc w:val="right"/>
              <w:rPr>
                <w:rFonts w:cs="Times New Roman"/>
                <w:sz w:val="13"/>
                <w:szCs w:val="13"/>
                <w:lang w:val="en-GB"/>
              </w:rPr>
            </w:pPr>
            <w:r w:rsidRPr="009C48DA">
              <w:rPr>
                <w:rFonts w:cs="Times New Roman"/>
                <w:sz w:val="13"/>
                <w:szCs w:val="13"/>
                <w:lang w:val="en-GB"/>
              </w:rPr>
              <w:t>64%</w:t>
            </w:r>
          </w:p>
        </w:tc>
        <w:tc>
          <w:tcPr>
            <w:tcW w:w="714" w:type="dxa"/>
            <w:shd w:val="clear" w:color="auto" w:fill="auto"/>
            <w:vAlign w:val="bottom"/>
          </w:tcPr>
          <w:p w:rsidRPr="009C48DA" w:rsidR="006E2EFC" w:rsidP="00143D62" w:rsidRDefault="006E2EFC" w14:paraId="071BC13F" w14:textId="77777777">
            <w:pPr>
              <w:jc w:val="right"/>
              <w:rPr>
                <w:rFonts w:cs="Times New Roman"/>
                <w:sz w:val="13"/>
                <w:szCs w:val="13"/>
                <w:lang w:val="en-GB"/>
              </w:rPr>
            </w:pPr>
            <w:r w:rsidRPr="009C48DA">
              <w:rPr>
                <w:rFonts w:cs="Times New Roman"/>
                <w:sz w:val="13"/>
                <w:szCs w:val="13"/>
                <w:lang w:val="en-GB"/>
              </w:rPr>
              <w:t>8%</w:t>
            </w:r>
          </w:p>
        </w:tc>
        <w:tc>
          <w:tcPr>
            <w:tcW w:w="695" w:type="dxa"/>
            <w:shd w:val="clear" w:color="auto" w:fill="auto"/>
            <w:vAlign w:val="bottom"/>
          </w:tcPr>
          <w:p w:rsidRPr="009C48DA" w:rsidR="006E2EFC" w:rsidP="00143D62" w:rsidRDefault="006E2EFC" w14:paraId="4ED131DA" w14:textId="77777777">
            <w:pPr>
              <w:jc w:val="right"/>
              <w:rPr>
                <w:rFonts w:cs="Times New Roman"/>
                <w:sz w:val="13"/>
                <w:szCs w:val="13"/>
                <w:lang w:val="en-GB"/>
              </w:rPr>
            </w:pPr>
            <w:r w:rsidRPr="009C48DA">
              <w:rPr>
                <w:rFonts w:cs="Times New Roman"/>
                <w:sz w:val="13"/>
                <w:szCs w:val="13"/>
                <w:lang w:val="en-GB"/>
              </w:rPr>
              <w:t>20%</w:t>
            </w:r>
          </w:p>
        </w:tc>
        <w:tc>
          <w:tcPr>
            <w:tcW w:w="658" w:type="dxa"/>
            <w:vAlign w:val="bottom"/>
          </w:tcPr>
          <w:p w:rsidRPr="009C48DA" w:rsidR="006E2EFC" w:rsidP="00143D62" w:rsidRDefault="006E2EFC" w14:paraId="4A72593A" w14:textId="77777777">
            <w:pPr>
              <w:jc w:val="right"/>
              <w:rPr>
                <w:rFonts w:cs="Times New Roman"/>
                <w:sz w:val="13"/>
                <w:szCs w:val="13"/>
                <w:lang w:val="en-GB"/>
              </w:rPr>
            </w:pPr>
            <w:r w:rsidRPr="009C48DA">
              <w:rPr>
                <w:rFonts w:cs="Times New Roman"/>
                <w:sz w:val="13"/>
                <w:szCs w:val="13"/>
                <w:lang w:val="en-GB"/>
              </w:rPr>
              <w:t>100%</w:t>
            </w:r>
          </w:p>
        </w:tc>
        <w:tc>
          <w:tcPr>
            <w:tcW w:w="905" w:type="dxa"/>
            <w:vAlign w:val="bottom"/>
          </w:tcPr>
          <w:p w:rsidRPr="009C48DA" w:rsidR="006E2EFC" w:rsidP="00143D62" w:rsidRDefault="006E2EFC" w14:paraId="1FD5E887" w14:textId="77777777">
            <w:pPr>
              <w:jc w:val="right"/>
              <w:rPr>
                <w:rFonts w:cs="Times New Roman"/>
                <w:sz w:val="13"/>
                <w:szCs w:val="13"/>
                <w:lang w:val="en-GB"/>
              </w:rPr>
            </w:pPr>
            <w:r w:rsidRPr="009C48DA">
              <w:rPr>
                <w:rFonts w:cs="Times New Roman"/>
                <w:sz w:val="13"/>
                <w:szCs w:val="13"/>
                <w:lang w:val="en-GB"/>
              </w:rPr>
              <w:t>5%</w:t>
            </w:r>
          </w:p>
        </w:tc>
      </w:tr>
      <w:tr w:rsidRPr="009C48DA" w:rsidR="006E2EFC" w:rsidTr="00961BEE" w14:paraId="6B11537D" w14:textId="77777777">
        <w:trPr>
          <w:trHeight w:val="74"/>
        </w:trPr>
        <w:tc>
          <w:tcPr>
            <w:tcW w:w="1610" w:type="dxa"/>
            <w:shd w:val="clear" w:color="auto" w:fill="auto"/>
            <w:vAlign w:val="bottom"/>
          </w:tcPr>
          <w:p w:rsidRPr="009C48DA" w:rsidR="006E2EFC" w:rsidP="00143D62" w:rsidRDefault="00961BEE" w14:paraId="6088F13D" w14:textId="15351B5F">
            <w:pPr>
              <w:keepNext/>
              <w:rPr>
                <w:rFonts w:cs="Times New Roman"/>
                <w:sz w:val="13"/>
                <w:szCs w:val="13"/>
                <w:lang w:val="en-GB"/>
              </w:rPr>
            </w:pPr>
            <w:r w:rsidRPr="009C48DA">
              <w:rPr>
                <w:rFonts w:cs="Times New Roman"/>
                <w:sz w:val="13"/>
                <w:szCs w:val="13"/>
                <w:lang w:val="en-GB"/>
              </w:rPr>
              <w:t xml:space="preserve">Bridgepoint </w:t>
            </w:r>
            <w:r w:rsidRPr="009C48DA" w:rsidR="006E2EFC">
              <w:rPr>
                <w:rFonts w:cs="Times New Roman"/>
                <w:sz w:val="13"/>
                <w:szCs w:val="13"/>
                <w:lang w:val="en-GB"/>
              </w:rPr>
              <w:t>Development Capital II</w:t>
            </w:r>
          </w:p>
        </w:tc>
        <w:tc>
          <w:tcPr>
            <w:tcW w:w="992" w:type="dxa"/>
            <w:vAlign w:val="bottom"/>
          </w:tcPr>
          <w:p w:rsidRPr="009C48DA" w:rsidR="006E2EFC" w:rsidP="00143D62" w:rsidRDefault="006E2EFC" w14:paraId="009BAA79" w14:textId="77777777">
            <w:pPr>
              <w:jc w:val="right"/>
              <w:rPr>
                <w:rFonts w:cs="Times New Roman"/>
                <w:sz w:val="13"/>
                <w:szCs w:val="13"/>
                <w:lang w:val="en-GB"/>
              </w:rPr>
            </w:pPr>
            <w:r w:rsidRPr="009C48DA">
              <w:rPr>
                <w:rFonts w:cs="Times New Roman"/>
                <w:sz w:val="13"/>
                <w:szCs w:val="13"/>
                <w:lang w:val="en-GB"/>
              </w:rPr>
              <w:t>€353</w:t>
            </w:r>
          </w:p>
        </w:tc>
        <w:tc>
          <w:tcPr>
            <w:tcW w:w="850" w:type="dxa"/>
            <w:vAlign w:val="bottom"/>
          </w:tcPr>
          <w:p w:rsidRPr="009C48DA" w:rsidR="006E2EFC" w:rsidP="00143D62" w:rsidRDefault="006E2EFC" w14:paraId="6EE79A5A" w14:textId="77777777">
            <w:pPr>
              <w:jc w:val="right"/>
              <w:rPr>
                <w:rFonts w:cs="Times New Roman"/>
                <w:sz w:val="13"/>
                <w:szCs w:val="13"/>
                <w:lang w:val="en-GB"/>
              </w:rPr>
            </w:pPr>
            <w:r w:rsidRPr="009C48DA">
              <w:rPr>
                <w:rFonts w:cs="Times New Roman"/>
                <w:sz w:val="13"/>
                <w:szCs w:val="13"/>
                <w:lang w:val="en-GB"/>
              </w:rPr>
              <w:t>166</w:t>
            </w:r>
          </w:p>
        </w:tc>
        <w:tc>
          <w:tcPr>
            <w:tcW w:w="851" w:type="dxa"/>
            <w:vAlign w:val="bottom"/>
          </w:tcPr>
          <w:p w:rsidRPr="009C48DA" w:rsidR="006E2EFC" w:rsidP="00143D62" w:rsidRDefault="006E2EFC" w14:paraId="461969F4" w14:textId="77777777">
            <w:pPr>
              <w:jc w:val="right"/>
              <w:rPr>
                <w:rFonts w:cs="Times New Roman"/>
                <w:sz w:val="13"/>
                <w:szCs w:val="13"/>
                <w:lang w:val="en-GB"/>
              </w:rPr>
            </w:pPr>
            <w:r w:rsidRPr="009C48DA">
              <w:rPr>
                <w:rFonts w:cs="Times New Roman"/>
                <w:sz w:val="13"/>
                <w:szCs w:val="13"/>
                <w:lang w:val="en-GB"/>
              </w:rPr>
              <w:t>140</w:t>
            </w:r>
          </w:p>
        </w:tc>
        <w:tc>
          <w:tcPr>
            <w:tcW w:w="709" w:type="dxa"/>
            <w:vAlign w:val="bottom"/>
          </w:tcPr>
          <w:p w:rsidRPr="009C48DA" w:rsidR="006E2EFC" w:rsidP="00143D62" w:rsidRDefault="006E2EFC" w14:paraId="58029360" w14:textId="77777777">
            <w:pPr>
              <w:jc w:val="right"/>
              <w:rPr>
                <w:rFonts w:cs="Times New Roman"/>
                <w:sz w:val="13"/>
                <w:szCs w:val="13"/>
                <w:lang w:val="en-GB"/>
              </w:rPr>
            </w:pPr>
            <w:r w:rsidRPr="009C48DA">
              <w:rPr>
                <w:rFonts w:cs="Times New Roman"/>
                <w:sz w:val="13"/>
                <w:szCs w:val="13"/>
                <w:lang w:val="en-GB"/>
              </w:rPr>
              <w:t>2012</w:t>
            </w:r>
          </w:p>
        </w:tc>
        <w:tc>
          <w:tcPr>
            <w:tcW w:w="708" w:type="dxa"/>
            <w:vAlign w:val="bottom"/>
          </w:tcPr>
          <w:p w:rsidRPr="009C48DA" w:rsidR="006E2EFC" w:rsidP="00143D62" w:rsidRDefault="006E2EFC" w14:paraId="75DCACA1" w14:textId="77777777">
            <w:pPr>
              <w:jc w:val="right"/>
              <w:rPr>
                <w:rFonts w:cs="Times New Roman"/>
                <w:sz w:val="13"/>
                <w:szCs w:val="13"/>
                <w:lang w:val="en-GB"/>
              </w:rPr>
            </w:pPr>
            <w:r w:rsidRPr="009C48DA">
              <w:rPr>
                <w:rFonts w:cs="Times New Roman"/>
                <w:sz w:val="13"/>
                <w:szCs w:val="13"/>
                <w:lang w:val="en-GB"/>
              </w:rPr>
              <w:t>96%</w:t>
            </w:r>
          </w:p>
        </w:tc>
        <w:tc>
          <w:tcPr>
            <w:tcW w:w="714" w:type="dxa"/>
            <w:shd w:val="clear" w:color="auto" w:fill="auto"/>
            <w:vAlign w:val="bottom"/>
          </w:tcPr>
          <w:p w:rsidRPr="009C48DA" w:rsidR="006E2EFC" w:rsidP="00143D62" w:rsidRDefault="006E2EFC" w14:paraId="2DD785C4" w14:textId="77777777">
            <w:pPr>
              <w:jc w:val="right"/>
              <w:rPr>
                <w:rFonts w:cs="Times New Roman"/>
                <w:sz w:val="13"/>
                <w:szCs w:val="13"/>
                <w:lang w:val="en-GB"/>
              </w:rPr>
            </w:pPr>
            <w:r w:rsidRPr="009C48DA">
              <w:rPr>
                <w:rFonts w:cs="Times New Roman"/>
                <w:sz w:val="13"/>
                <w:szCs w:val="13"/>
                <w:lang w:val="en-GB"/>
              </w:rPr>
              <w:t>8%</w:t>
            </w:r>
          </w:p>
        </w:tc>
        <w:tc>
          <w:tcPr>
            <w:tcW w:w="695" w:type="dxa"/>
            <w:shd w:val="clear" w:color="auto" w:fill="auto"/>
            <w:vAlign w:val="bottom"/>
          </w:tcPr>
          <w:p w:rsidRPr="009C48DA" w:rsidR="006E2EFC" w:rsidP="00143D62" w:rsidRDefault="006E2EFC" w14:paraId="40336B9F" w14:textId="77777777">
            <w:pPr>
              <w:jc w:val="right"/>
              <w:rPr>
                <w:rFonts w:cs="Times New Roman"/>
                <w:sz w:val="13"/>
                <w:szCs w:val="13"/>
                <w:lang w:val="en-GB"/>
              </w:rPr>
            </w:pPr>
            <w:r w:rsidRPr="009C48DA">
              <w:rPr>
                <w:rFonts w:cs="Times New Roman"/>
                <w:sz w:val="13"/>
                <w:szCs w:val="13"/>
                <w:lang w:val="en-GB"/>
              </w:rPr>
              <w:t>20%</w:t>
            </w:r>
          </w:p>
        </w:tc>
        <w:tc>
          <w:tcPr>
            <w:tcW w:w="658" w:type="dxa"/>
            <w:vAlign w:val="bottom"/>
          </w:tcPr>
          <w:p w:rsidRPr="009C48DA" w:rsidR="006E2EFC" w:rsidP="00143D62" w:rsidRDefault="006E2EFC" w14:paraId="0FB48E2D" w14:textId="77777777">
            <w:pPr>
              <w:jc w:val="right"/>
              <w:rPr>
                <w:rFonts w:cs="Times New Roman"/>
                <w:sz w:val="13"/>
                <w:szCs w:val="13"/>
                <w:lang w:val="en-GB"/>
              </w:rPr>
            </w:pPr>
            <w:r w:rsidRPr="009C48DA">
              <w:rPr>
                <w:rFonts w:cs="Times New Roman"/>
                <w:sz w:val="13"/>
                <w:szCs w:val="13"/>
                <w:lang w:val="en-GB"/>
              </w:rPr>
              <w:t>100%</w:t>
            </w:r>
          </w:p>
        </w:tc>
        <w:tc>
          <w:tcPr>
            <w:tcW w:w="905" w:type="dxa"/>
            <w:vAlign w:val="bottom"/>
          </w:tcPr>
          <w:p w:rsidRPr="009C48DA" w:rsidR="006E2EFC" w:rsidP="00143D62" w:rsidRDefault="006E2EFC" w14:paraId="1CBF1EE7" w14:textId="77777777">
            <w:pPr>
              <w:jc w:val="right"/>
              <w:rPr>
                <w:rFonts w:cs="Times New Roman"/>
                <w:sz w:val="13"/>
                <w:szCs w:val="13"/>
                <w:lang w:val="en-GB"/>
              </w:rPr>
            </w:pPr>
            <w:r w:rsidRPr="009C48DA">
              <w:rPr>
                <w:rFonts w:cs="Times New Roman"/>
                <w:sz w:val="13"/>
                <w:szCs w:val="13"/>
                <w:lang w:val="en-GB"/>
              </w:rPr>
              <w:t>3%</w:t>
            </w:r>
          </w:p>
        </w:tc>
      </w:tr>
      <w:tr w:rsidRPr="009C48DA" w:rsidR="006E2EFC" w:rsidTr="00961BEE" w14:paraId="21E765A4" w14:textId="77777777">
        <w:trPr>
          <w:trHeight w:val="74"/>
        </w:trPr>
        <w:tc>
          <w:tcPr>
            <w:tcW w:w="1610" w:type="dxa"/>
            <w:shd w:val="clear" w:color="auto" w:fill="auto"/>
            <w:vAlign w:val="bottom"/>
          </w:tcPr>
          <w:p w:rsidRPr="009C48DA" w:rsidR="006E2EFC" w:rsidP="00143D62" w:rsidRDefault="00961BEE" w14:paraId="12BCDEDF" w14:textId="292FD49E">
            <w:pPr>
              <w:keepNext/>
              <w:rPr>
                <w:rFonts w:cs="Times New Roman"/>
                <w:sz w:val="13"/>
                <w:szCs w:val="13"/>
                <w:lang w:val="en-GB"/>
              </w:rPr>
            </w:pPr>
            <w:r w:rsidRPr="009C48DA">
              <w:rPr>
                <w:rFonts w:cs="Times New Roman"/>
                <w:sz w:val="13"/>
                <w:szCs w:val="13"/>
                <w:lang w:val="en-GB"/>
              </w:rPr>
              <w:t xml:space="preserve">Bridgepoint </w:t>
            </w:r>
            <w:r w:rsidRPr="009C48DA" w:rsidR="006E2EFC">
              <w:rPr>
                <w:rFonts w:cs="Times New Roman"/>
                <w:sz w:val="13"/>
                <w:szCs w:val="13"/>
                <w:lang w:val="en-GB"/>
              </w:rPr>
              <w:t>Development Capital III</w:t>
            </w:r>
          </w:p>
        </w:tc>
        <w:tc>
          <w:tcPr>
            <w:tcW w:w="992" w:type="dxa"/>
            <w:vAlign w:val="bottom"/>
          </w:tcPr>
          <w:p w:rsidRPr="009C48DA" w:rsidR="006E2EFC" w:rsidP="00143D62" w:rsidRDefault="006E2EFC" w14:paraId="72BEB93F" w14:textId="77777777">
            <w:pPr>
              <w:jc w:val="right"/>
              <w:rPr>
                <w:rFonts w:cs="Times New Roman"/>
                <w:sz w:val="13"/>
                <w:szCs w:val="13"/>
                <w:lang w:val="en-GB"/>
              </w:rPr>
            </w:pPr>
            <w:r w:rsidRPr="009C48DA">
              <w:rPr>
                <w:rFonts w:cs="Times New Roman"/>
                <w:sz w:val="13"/>
                <w:szCs w:val="13"/>
                <w:lang w:val="en-GB"/>
              </w:rPr>
              <w:t>£605</w:t>
            </w:r>
          </w:p>
        </w:tc>
        <w:tc>
          <w:tcPr>
            <w:tcW w:w="850" w:type="dxa"/>
            <w:vAlign w:val="bottom"/>
          </w:tcPr>
          <w:p w:rsidRPr="009C48DA" w:rsidR="006E2EFC" w:rsidP="00143D62" w:rsidRDefault="006E2EFC" w14:paraId="19D5947C" w14:textId="77777777">
            <w:pPr>
              <w:jc w:val="right"/>
              <w:rPr>
                <w:rFonts w:cs="Times New Roman"/>
                <w:sz w:val="13"/>
                <w:szCs w:val="13"/>
                <w:lang w:val="en-GB"/>
              </w:rPr>
            </w:pPr>
            <w:r w:rsidRPr="009C48DA">
              <w:rPr>
                <w:rFonts w:cs="Times New Roman"/>
                <w:sz w:val="13"/>
                <w:szCs w:val="13"/>
                <w:lang w:val="en-GB"/>
              </w:rPr>
              <w:t>972</w:t>
            </w:r>
          </w:p>
        </w:tc>
        <w:tc>
          <w:tcPr>
            <w:tcW w:w="851" w:type="dxa"/>
            <w:vAlign w:val="bottom"/>
          </w:tcPr>
          <w:p w:rsidRPr="009C48DA" w:rsidR="006E2EFC" w:rsidP="00143D62" w:rsidRDefault="006E2EFC" w14:paraId="31AE106C" w14:textId="77777777">
            <w:pPr>
              <w:jc w:val="right"/>
              <w:rPr>
                <w:rFonts w:cs="Times New Roman"/>
                <w:sz w:val="13"/>
                <w:szCs w:val="13"/>
                <w:lang w:val="en-GB"/>
              </w:rPr>
            </w:pPr>
            <w:r w:rsidRPr="009C48DA">
              <w:rPr>
                <w:rFonts w:cs="Times New Roman"/>
                <w:sz w:val="13"/>
                <w:szCs w:val="13"/>
                <w:lang w:val="en-GB"/>
              </w:rPr>
              <w:t>538</w:t>
            </w:r>
          </w:p>
        </w:tc>
        <w:tc>
          <w:tcPr>
            <w:tcW w:w="709" w:type="dxa"/>
            <w:vAlign w:val="bottom"/>
          </w:tcPr>
          <w:p w:rsidRPr="009C48DA" w:rsidR="006E2EFC" w:rsidP="00143D62" w:rsidRDefault="006E2EFC" w14:paraId="7DB8BBA0" w14:textId="77777777">
            <w:pPr>
              <w:jc w:val="right"/>
              <w:rPr>
                <w:rFonts w:cs="Times New Roman"/>
                <w:sz w:val="13"/>
                <w:szCs w:val="13"/>
                <w:lang w:val="en-GB"/>
              </w:rPr>
            </w:pPr>
            <w:r w:rsidRPr="009C48DA">
              <w:rPr>
                <w:rFonts w:cs="Times New Roman"/>
                <w:sz w:val="13"/>
                <w:szCs w:val="13"/>
                <w:lang w:val="en-GB"/>
              </w:rPr>
              <w:t>2016</w:t>
            </w:r>
          </w:p>
        </w:tc>
        <w:tc>
          <w:tcPr>
            <w:tcW w:w="708" w:type="dxa"/>
            <w:vAlign w:val="bottom"/>
          </w:tcPr>
          <w:p w:rsidRPr="009C48DA" w:rsidR="006E2EFC" w:rsidP="00143D62" w:rsidRDefault="006E2EFC" w14:paraId="3302D266" w14:textId="77777777">
            <w:pPr>
              <w:jc w:val="right"/>
              <w:rPr>
                <w:rFonts w:cs="Times New Roman"/>
                <w:sz w:val="13"/>
                <w:szCs w:val="13"/>
                <w:lang w:val="en-GB"/>
              </w:rPr>
            </w:pPr>
            <w:r w:rsidRPr="009C48DA">
              <w:rPr>
                <w:rFonts w:cs="Times New Roman"/>
                <w:sz w:val="13"/>
                <w:szCs w:val="13"/>
                <w:lang w:val="en-GB"/>
              </w:rPr>
              <w:t>91%</w:t>
            </w:r>
          </w:p>
        </w:tc>
        <w:tc>
          <w:tcPr>
            <w:tcW w:w="714" w:type="dxa"/>
            <w:shd w:val="clear" w:color="auto" w:fill="auto"/>
            <w:vAlign w:val="bottom"/>
          </w:tcPr>
          <w:p w:rsidRPr="009C48DA" w:rsidR="006E2EFC" w:rsidP="00143D62" w:rsidRDefault="006E2EFC" w14:paraId="0E4E74D7" w14:textId="77777777">
            <w:pPr>
              <w:jc w:val="right"/>
              <w:rPr>
                <w:rFonts w:cs="Times New Roman"/>
                <w:sz w:val="13"/>
                <w:szCs w:val="13"/>
                <w:lang w:val="en-GB"/>
              </w:rPr>
            </w:pPr>
            <w:r w:rsidRPr="009C48DA">
              <w:rPr>
                <w:rFonts w:cs="Times New Roman"/>
                <w:sz w:val="13"/>
                <w:szCs w:val="13"/>
                <w:lang w:val="en-GB"/>
              </w:rPr>
              <w:t>8%</w:t>
            </w:r>
          </w:p>
        </w:tc>
        <w:tc>
          <w:tcPr>
            <w:tcW w:w="695" w:type="dxa"/>
            <w:shd w:val="clear" w:color="auto" w:fill="auto"/>
            <w:vAlign w:val="bottom"/>
          </w:tcPr>
          <w:p w:rsidRPr="009C48DA" w:rsidR="006E2EFC" w:rsidP="00143D62" w:rsidRDefault="006E2EFC" w14:paraId="72E51127" w14:textId="77777777">
            <w:pPr>
              <w:jc w:val="right"/>
              <w:rPr>
                <w:rFonts w:cs="Times New Roman"/>
                <w:sz w:val="13"/>
                <w:szCs w:val="13"/>
                <w:lang w:val="en-GB"/>
              </w:rPr>
            </w:pPr>
            <w:r w:rsidRPr="009C48DA">
              <w:rPr>
                <w:rFonts w:cs="Times New Roman"/>
                <w:sz w:val="13"/>
                <w:szCs w:val="13"/>
                <w:lang w:val="en-GB"/>
              </w:rPr>
              <w:t>20%</w:t>
            </w:r>
          </w:p>
        </w:tc>
        <w:tc>
          <w:tcPr>
            <w:tcW w:w="658" w:type="dxa"/>
            <w:vAlign w:val="bottom"/>
          </w:tcPr>
          <w:p w:rsidRPr="009C48DA" w:rsidR="006E2EFC" w:rsidP="00143D62" w:rsidRDefault="006E2EFC" w14:paraId="58CFF615" w14:textId="77777777">
            <w:pPr>
              <w:jc w:val="right"/>
              <w:rPr>
                <w:rFonts w:cs="Times New Roman"/>
                <w:sz w:val="13"/>
                <w:szCs w:val="13"/>
                <w:lang w:val="en-GB"/>
              </w:rPr>
            </w:pPr>
            <w:r w:rsidRPr="009C48DA">
              <w:rPr>
                <w:rFonts w:cs="Times New Roman"/>
                <w:sz w:val="13"/>
                <w:szCs w:val="13"/>
                <w:lang w:val="en-GB"/>
              </w:rPr>
              <w:t>100%</w:t>
            </w:r>
          </w:p>
        </w:tc>
        <w:tc>
          <w:tcPr>
            <w:tcW w:w="905" w:type="dxa"/>
            <w:vAlign w:val="bottom"/>
          </w:tcPr>
          <w:p w:rsidRPr="009C48DA" w:rsidR="006E2EFC" w:rsidP="00143D62" w:rsidRDefault="006E2EFC" w14:paraId="3D2079A4" w14:textId="77777777">
            <w:pPr>
              <w:jc w:val="right"/>
              <w:rPr>
                <w:rFonts w:cs="Times New Roman"/>
                <w:sz w:val="13"/>
                <w:szCs w:val="13"/>
                <w:lang w:val="en-GB"/>
              </w:rPr>
            </w:pPr>
            <w:r w:rsidRPr="009C48DA">
              <w:rPr>
                <w:rFonts w:cs="Times New Roman"/>
                <w:sz w:val="13"/>
                <w:szCs w:val="13"/>
                <w:lang w:val="en-GB"/>
              </w:rPr>
              <w:t>25%</w:t>
            </w:r>
          </w:p>
        </w:tc>
      </w:tr>
      <w:tr w:rsidRPr="009C48DA" w:rsidR="006E2EFC" w:rsidTr="00961BEE" w14:paraId="3BDA36C4" w14:textId="77777777">
        <w:trPr>
          <w:trHeight w:val="74"/>
        </w:trPr>
        <w:tc>
          <w:tcPr>
            <w:tcW w:w="1610" w:type="dxa"/>
            <w:shd w:val="clear" w:color="auto" w:fill="auto"/>
            <w:vAlign w:val="bottom"/>
          </w:tcPr>
          <w:p w:rsidRPr="009C48DA" w:rsidR="006E2EFC" w:rsidP="00143D62" w:rsidRDefault="00961BEE" w14:paraId="45330EFB" w14:textId="122D358B">
            <w:pPr>
              <w:keepNext/>
              <w:rPr>
                <w:rFonts w:cs="Times New Roman"/>
                <w:sz w:val="13"/>
                <w:szCs w:val="13"/>
                <w:lang w:val="en-GB"/>
              </w:rPr>
            </w:pPr>
            <w:r w:rsidRPr="009C48DA">
              <w:rPr>
                <w:rFonts w:cs="Times New Roman"/>
                <w:sz w:val="13"/>
                <w:szCs w:val="13"/>
                <w:lang w:val="en-GB"/>
              </w:rPr>
              <w:t xml:space="preserve">Bridgepoint </w:t>
            </w:r>
            <w:r w:rsidRPr="009C48DA" w:rsidR="006E2EFC">
              <w:rPr>
                <w:rFonts w:cs="Times New Roman"/>
                <w:sz w:val="13"/>
                <w:szCs w:val="13"/>
                <w:lang w:val="en-GB"/>
              </w:rPr>
              <w:t>Development Capital IV</w:t>
            </w:r>
          </w:p>
        </w:tc>
        <w:tc>
          <w:tcPr>
            <w:tcW w:w="992" w:type="dxa"/>
            <w:vAlign w:val="bottom"/>
          </w:tcPr>
          <w:p w:rsidRPr="009C48DA" w:rsidR="006E2EFC" w:rsidP="00143D62" w:rsidRDefault="006E2EFC" w14:paraId="52D29B2F" w14:textId="77777777">
            <w:pPr>
              <w:jc w:val="right"/>
              <w:rPr>
                <w:rFonts w:cs="Times New Roman"/>
                <w:sz w:val="13"/>
                <w:szCs w:val="13"/>
                <w:lang w:val="en-GB"/>
              </w:rPr>
            </w:pPr>
            <w:r w:rsidRPr="009C48DA">
              <w:rPr>
                <w:rFonts w:cs="Times New Roman"/>
                <w:sz w:val="13"/>
                <w:szCs w:val="13"/>
                <w:lang w:val="en-GB"/>
              </w:rPr>
              <w:t>£1,559</w:t>
            </w:r>
          </w:p>
        </w:tc>
        <w:tc>
          <w:tcPr>
            <w:tcW w:w="850" w:type="dxa"/>
            <w:vAlign w:val="bottom"/>
          </w:tcPr>
          <w:p w:rsidRPr="009C48DA" w:rsidR="006E2EFC" w:rsidP="00143D62" w:rsidRDefault="006E2EFC" w14:paraId="74983868" w14:textId="77777777">
            <w:pPr>
              <w:jc w:val="right"/>
              <w:rPr>
                <w:rFonts w:cs="Times New Roman"/>
                <w:sz w:val="13"/>
                <w:szCs w:val="13"/>
                <w:lang w:val="en-GB"/>
              </w:rPr>
            </w:pPr>
            <w:r w:rsidRPr="009C48DA">
              <w:rPr>
                <w:rFonts w:cs="Times New Roman"/>
                <w:sz w:val="13"/>
                <w:szCs w:val="13"/>
                <w:lang w:val="en-GB"/>
              </w:rPr>
              <w:t>1,811</w:t>
            </w:r>
          </w:p>
        </w:tc>
        <w:tc>
          <w:tcPr>
            <w:tcW w:w="851" w:type="dxa"/>
            <w:vAlign w:val="bottom"/>
          </w:tcPr>
          <w:p w:rsidRPr="009C48DA" w:rsidR="006E2EFC" w:rsidP="00143D62" w:rsidRDefault="006E2EFC" w14:paraId="0EB8E1EC" w14:textId="77777777">
            <w:pPr>
              <w:jc w:val="right"/>
              <w:rPr>
                <w:rFonts w:cs="Times New Roman"/>
                <w:sz w:val="13"/>
                <w:szCs w:val="13"/>
                <w:lang w:val="en-GB"/>
              </w:rPr>
            </w:pPr>
            <w:r w:rsidRPr="009C48DA">
              <w:rPr>
                <w:rFonts w:cs="Times New Roman"/>
                <w:sz w:val="13"/>
                <w:szCs w:val="13"/>
                <w:lang w:val="en-GB"/>
              </w:rPr>
              <w:t>1,823</w:t>
            </w:r>
          </w:p>
        </w:tc>
        <w:tc>
          <w:tcPr>
            <w:tcW w:w="709" w:type="dxa"/>
            <w:vAlign w:val="bottom"/>
          </w:tcPr>
          <w:p w:rsidRPr="009C48DA" w:rsidR="006E2EFC" w:rsidP="00143D62" w:rsidRDefault="006E2EFC" w14:paraId="65BFE330" w14:textId="77777777">
            <w:pPr>
              <w:jc w:val="right"/>
              <w:rPr>
                <w:rFonts w:cs="Times New Roman"/>
                <w:sz w:val="13"/>
                <w:szCs w:val="13"/>
                <w:lang w:val="en-GB"/>
              </w:rPr>
            </w:pPr>
            <w:r w:rsidRPr="009C48DA">
              <w:rPr>
                <w:rFonts w:cs="Times New Roman"/>
                <w:sz w:val="13"/>
                <w:szCs w:val="13"/>
                <w:lang w:val="en-GB"/>
              </w:rPr>
              <w:t>2021</w:t>
            </w:r>
          </w:p>
        </w:tc>
        <w:tc>
          <w:tcPr>
            <w:tcW w:w="708" w:type="dxa"/>
            <w:vAlign w:val="bottom"/>
          </w:tcPr>
          <w:p w:rsidRPr="009C48DA" w:rsidR="006E2EFC" w:rsidP="00143D62" w:rsidRDefault="006E2EFC" w14:paraId="0D7B9B15" w14:textId="77777777">
            <w:pPr>
              <w:jc w:val="right"/>
              <w:rPr>
                <w:rFonts w:cs="Times New Roman"/>
                <w:sz w:val="13"/>
                <w:szCs w:val="13"/>
                <w:lang w:val="en-GB"/>
              </w:rPr>
            </w:pPr>
            <w:r w:rsidRPr="009C48DA">
              <w:rPr>
                <w:rFonts w:cs="Times New Roman"/>
                <w:sz w:val="13"/>
                <w:szCs w:val="13"/>
                <w:lang w:val="en-GB"/>
              </w:rPr>
              <w:t>3%</w:t>
            </w:r>
          </w:p>
        </w:tc>
        <w:tc>
          <w:tcPr>
            <w:tcW w:w="714" w:type="dxa"/>
            <w:shd w:val="clear" w:color="auto" w:fill="auto"/>
            <w:vAlign w:val="bottom"/>
          </w:tcPr>
          <w:p w:rsidRPr="009C48DA" w:rsidR="006E2EFC" w:rsidP="00143D62" w:rsidRDefault="006E2EFC" w14:paraId="59F924A8" w14:textId="77777777">
            <w:pPr>
              <w:jc w:val="right"/>
              <w:rPr>
                <w:rFonts w:cs="Times New Roman"/>
                <w:sz w:val="13"/>
                <w:szCs w:val="13"/>
                <w:lang w:val="en-GB"/>
              </w:rPr>
            </w:pPr>
            <w:r w:rsidRPr="009C48DA">
              <w:rPr>
                <w:rFonts w:cs="Times New Roman"/>
                <w:sz w:val="13"/>
                <w:szCs w:val="13"/>
                <w:lang w:val="en-GB"/>
              </w:rPr>
              <w:t>8%</w:t>
            </w:r>
          </w:p>
        </w:tc>
        <w:tc>
          <w:tcPr>
            <w:tcW w:w="695" w:type="dxa"/>
            <w:shd w:val="clear" w:color="auto" w:fill="auto"/>
            <w:vAlign w:val="bottom"/>
          </w:tcPr>
          <w:p w:rsidRPr="009C48DA" w:rsidR="006E2EFC" w:rsidP="00143D62" w:rsidRDefault="006E2EFC" w14:paraId="46002B6E" w14:textId="77777777">
            <w:pPr>
              <w:jc w:val="right"/>
              <w:rPr>
                <w:rFonts w:cs="Times New Roman"/>
                <w:sz w:val="13"/>
                <w:szCs w:val="13"/>
                <w:lang w:val="en-GB"/>
              </w:rPr>
            </w:pPr>
            <w:r w:rsidRPr="009C48DA">
              <w:rPr>
                <w:rFonts w:cs="Times New Roman"/>
                <w:sz w:val="13"/>
                <w:szCs w:val="13"/>
                <w:lang w:val="en-GB"/>
              </w:rPr>
              <w:t>20%</w:t>
            </w:r>
          </w:p>
        </w:tc>
        <w:tc>
          <w:tcPr>
            <w:tcW w:w="658" w:type="dxa"/>
            <w:vAlign w:val="bottom"/>
          </w:tcPr>
          <w:p w:rsidRPr="009C48DA" w:rsidR="006E2EFC" w:rsidP="00143D62" w:rsidRDefault="006E2EFC" w14:paraId="0F8EF21B" w14:textId="77777777">
            <w:pPr>
              <w:jc w:val="right"/>
              <w:rPr>
                <w:rFonts w:cs="Times New Roman"/>
                <w:sz w:val="13"/>
                <w:szCs w:val="13"/>
                <w:lang w:val="en-GB"/>
              </w:rPr>
            </w:pPr>
            <w:r w:rsidRPr="009C48DA">
              <w:rPr>
                <w:rFonts w:cs="Times New Roman"/>
                <w:sz w:val="13"/>
                <w:szCs w:val="13"/>
                <w:lang w:val="en-GB"/>
              </w:rPr>
              <w:t>100%</w:t>
            </w:r>
          </w:p>
        </w:tc>
        <w:tc>
          <w:tcPr>
            <w:tcW w:w="905" w:type="dxa"/>
            <w:vAlign w:val="bottom"/>
          </w:tcPr>
          <w:p w:rsidRPr="009C48DA" w:rsidR="006E2EFC" w:rsidP="00143D62" w:rsidRDefault="006E2EFC" w14:paraId="79EAB2CC" w14:textId="77777777">
            <w:pPr>
              <w:jc w:val="right"/>
              <w:rPr>
                <w:rFonts w:cs="Times New Roman"/>
                <w:sz w:val="13"/>
                <w:szCs w:val="13"/>
                <w:lang w:val="en-GB"/>
              </w:rPr>
            </w:pPr>
            <w:r w:rsidRPr="009C48DA">
              <w:rPr>
                <w:rFonts w:cs="Times New Roman"/>
                <w:sz w:val="13"/>
                <w:szCs w:val="13"/>
                <w:lang w:val="en-GB"/>
              </w:rPr>
              <w:t>35%</w:t>
            </w:r>
          </w:p>
        </w:tc>
      </w:tr>
      <w:tr w:rsidRPr="009C48DA" w:rsidR="006E2EFC" w:rsidTr="00961BEE" w14:paraId="56ED017D" w14:textId="77777777">
        <w:trPr>
          <w:trHeight w:val="74"/>
        </w:trPr>
        <w:tc>
          <w:tcPr>
            <w:tcW w:w="1610" w:type="dxa"/>
            <w:shd w:val="clear" w:color="auto" w:fill="auto"/>
            <w:vAlign w:val="bottom"/>
          </w:tcPr>
          <w:p w:rsidRPr="009C48DA" w:rsidR="006E2EFC" w:rsidP="00143D62" w:rsidRDefault="00961BEE" w14:paraId="3D73E461" w14:textId="36181B40">
            <w:pPr>
              <w:keepNext/>
              <w:rPr>
                <w:rFonts w:cs="Times New Roman"/>
                <w:sz w:val="13"/>
                <w:szCs w:val="13"/>
                <w:lang w:val="en-GB"/>
              </w:rPr>
            </w:pPr>
            <w:r w:rsidRPr="009C48DA">
              <w:rPr>
                <w:rFonts w:cs="Times New Roman"/>
                <w:sz w:val="13"/>
                <w:szCs w:val="13"/>
                <w:lang w:val="en-GB"/>
              </w:rPr>
              <w:t xml:space="preserve">Bridgepoint </w:t>
            </w:r>
            <w:r w:rsidRPr="009C48DA" w:rsidR="006E2EFC">
              <w:rPr>
                <w:rFonts w:cs="Times New Roman"/>
                <w:sz w:val="13"/>
                <w:szCs w:val="13"/>
                <w:lang w:val="en-GB"/>
              </w:rPr>
              <w:t>Growth I</w:t>
            </w:r>
          </w:p>
        </w:tc>
        <w:tc>
          <w:tcPr>
            <w:tcW w:w="992" w:type="dxa"/>
            <w:vAlign w:val="bottom"/>
          </w:tcPr>
          <w:p w:rsidRPr="009C48DA" w:rsidR="006E2EFC" w:rsidP="00143D62" w:rsidRDefault="006E2EFC" w14:paraId="220D3BA6" w14:textId="77777777">
            <w:pPr>
              <w:jc w:val="right"/>
              <w:rPr>
                <w:rFonts w:cs="Times New Roman"/>
                <w:sz w:val="13"/>
                <w:szCs w:val="13"/>
                <w:lang w:val="en-GB"/>
              </w:rPr>
            </w:pPr>
            <w:r w:rsidRPr="009C48DA">
              <w:rPr>
                <w:rFonts w:cs="Times New Roman"/>
                <w:sz w:val="13"/>
                <w:szCs w:val="13"/>
                <w:lang w:val="en-GB"/>
              </w:rPr>
              <w:t>£105</w:t>
            </w:r>
          </w:p>
        </w:tc>
        <w:tc>
          <w:tcPr>
            <w:tcW w:w="850" w:type="dxa"/>
            <w:vAlign w:val="bottom"/>
          </w:tcPr>
          <w:p w:rsidRPr="009C48DA" w:rsidR="006E2EFC" w:rsidP="00143D62" w:rsidRDefault="006E2EFC" w14:paraId="70B6240C" w14:textId="77777777">
            <w:pPr>
              <w:jc w:val="right"/>
              <w:rPr>
                <w:rFonts w:cs="Times New Roman"/>
                <w:sz w:val="13"/>
                <w:szCs w:val="13"/>
                <w:lang w:val="en-GB"/>
              </w:rPr>
            </w:pPr>
            <w:r w:rsidRPr="009C48DA">
              <w:rPr>
                <w:rFonts w:cs="Times New Roman"/>
                <w:sz w:val="13"/>
                <w:szCs w:val="13"/>
                <w:lang w:val="en-GB"/>
              </w:rPr>
              <w:t>110</w:t>
            </w:r>
          </w:p>
        </w:tc>
        <w:tc>
          <w:tcPr>
            <w:tcW w:w="851" w:type="dxa"/>
            <w:vAlign w:val="bottom"/>
          </w:tcPr>
          <w:p w:rsidRPr="009C48DA" w:rsidR="006E2EFC" w:rsidP="00143D62" w:rsidRDefault="006E2EFC" w14:paraId="1691CAE9" w14:textId="77777777">
            <w:pPr>
              <w:jc w:val="right"/>
              <w:rPr>
                <w:rFonts w:cs="Times New Roman"/>
                <w:sz w:val="13"/>
                <w:szCs w:val="13"/>
                <w:lang w:val="en-GB"/>
              </w:rPr>
            </w:pPr>
            <w:r w:rsidRPr="009C48DA">
              <w:rPr>
                <w:rFonts w:cs="Times New Roman"/>
                <w:sz w:val="13"/>
                <w:szCs w:val="13"/>
                <w:lang w:val="en-GB"/>
              </w:rPr>
              <w:t>123</w:t>
            </w:r>
          </w:p>
        </w:tc>
        <w:tc>
          <w:tcPr>
            <w:tcW w:w="709" w:type="dxa"/>
            <w:vAlign w:val="bottom"/>
          </w:tcPr>
          <w:p w:rsidRPr="009C48DA" w:rsidR="006E2EFC" w:rsidP="00143D62" w:rsidRDefault="006E2EFC" w14:paraId="72220B82" w14:textId="77777777">
            <w:pPr>
              <w:jc w:val="right"/>
              <w:rPr>
                <w:rFonts w:cs="Times New Roman"/>
                <w:sz w:val="13"/>
                <w:szCs w:val="13"/>
                <w:lang w:val="en-GB"/>
              </w:rPr>
            </w:pPr>
            <w:r w:rsidRPr="009C48DA">
              <w:rPr>
                <w:rFonts w:cs="Times New Roman"/>
                <w:sz w:val="13"/>
                <w:szCs w:val="13"/>
                <w:lang w:val="en-GB"/>
              </w:rPr>
              <w:t>2017</w:t>
            </w:r>
          </w:p>
        </w:tc>
        <w:tc>
          <w:tcPr>
            <w:tcW w:w="708" w:type="dxa"/>
            <w:vAlign w:val="bottom"/>
          </w:tcPr>
          <w:p w:rsidRPr="009C48DA" w:rsidR="006E2EFC" w:rsidP="00143D62" w:rsidRDefault="006E2EFC" w14:paraId="1F206347" w14:textId="77777777">
            <w:pPr>
              <w:jc w:val="right"/>
              <w:rPr>
                <w:rFonts w:cs="Times New Roman"/>
                <w:sz w:val="13"/>
                <w:szCs w:val="13"/>
                <w:lang w:val="en-GB"/>
              </w:rPr>
            </w:pPr>
            <w:r w:rsidRPr="009C48DA">
              <w:rPr>
                <w:rFonts w:cs="Times New Roman"/>
                <w:sz w:val="13"/>
                <w:szCs w:val="13"/>
                <w:lang w:val="en-GB"/>
              </w:rPr>
              <w:t>67%</w:t>
            </w:r>
          </w:p>
        </w:tc>
        <w:tc>
          <w:tcPr>
            <w:tcW w:w="714" w:type="dxa"/>
            <w:shd w:val="clear" w:color="auto" w:fill="auto"/>
            <w:vAlign w:val="bottom"/>
          </w:tcPr>
          <w:p w:rsidRPr="009C48DA" w:rsidR="006E2EFC" w:rsidP="00143D62" w:rsidRDefault="006E2EFC" w14:paraId="388D67BF" w14:textId="77777777">
            <w:pPr>
              <w:jc w:val="right"/>
              <w:rPr>
                <w:rFonts w:cs="Times New Roman"/>
                <w:sz w:val="13"/>
                <w:szCs w:val="13"/>
                <w:lang w:val="en-GB"/>
              </w:rPr>
            </w:pPr>
            <w:r w:rsidRPr="009C48DA">
              <w:rPr>
                <w:rFonts w:cs="Times New Roman"/>
                <w:sz w:val="13"/>
                <w:szCs w:val="13"/>
                <w:lang w:val="en-GB"/>
              </w:rPr>
              <w:t>8%</w:t>
            </w:r>
          </w:p>
        </w:tc>
        <w:tc>
          <w:tcPr>
            <w:tcW w:w="695" w:type="dxa"/>
            <w:shd w:val="clear" w:color="auto" w:fill="auto"/>
            <w:vAlign w:val="bottom"/>
          </w:tcPr>
          <w:p w:rsidRPr="009C48DA" w:rsidR="006E2EFC" w:rsidP="00143D62" w:rsidRDefault="006E2EFC" w14:paraId="23D1D2C5" w14:textId="77777777">
            <w:pPr>
              <w:jc w:val="right"/>
              <w:rPr>
                <w:rFonts w:cs="Times New Roman"/>
                <w:sz w:val="13"/>
                <w:szCs w:val="13"/>
                <w:lang w:val="en-GB"/>
              </w:rPr>
            </w:pPr>
            <w:r w:rsidRPr="009C48DA">
              <w:rPr>
                <w:rFonts w:cs="Times New Roman"/>
                <w:sz w:val="13"/>
                <w:szCs w:val="13"/>
                <w:lang w:val="en-GB"/>
              </w:rPr>
              <w:t>20%</w:t>
            </w:r>
          </w:p>
        </w:tc>
        <w:tc>
          <w:tcPr>
            <w:tcW w:w="658" w:type="dxa"/>
            <w:vAlign w:val="bottom"/>
          </w:tcPr>
          <w:p w:rsidRPr="009C48DA" w:rsidR="006E2EFC" w:rsidP="00143D62" w:rsidRDefault="006E2EFC" w14:paraId="438F94E0" w14:textId="77777777">
            <w:pPr>
              <w:jc w:val="right"/>
              <w:rPr>
                <w:rFonts w:cs="Times New Roman"/>
                <w:sz w:val="13"/>
                <w:szCs w:val="13"/>
                <w:lang w:val="en-GB"/>
              </w:rPr>
            </w:pPr>
            <w:r w:rsidRPr="009C48DA">
              <w:rPr>
                <w:rFonts w:cs="Times New Roman"/>
                <w:sz w:val="13"/>
                <w:szCs w:val="13"/>
                <w:lang w:val="en-GB"/>
              </w:rPr>
              <w:t>100%</w:t>
            </w:r>
          </w:p>
        </w:tc>
        <w:tc>
          <w:tcPr>
            <w:tcW w:w="905" w:type="dxa"/>
            <w:vAlign w:val="bottom"/>
          </w:tcPr>
          <w:p w:rsidRPr="009C48DA" w:rsidR="006E2EFC" w:rsidP="00143D62" w:rsidRDefault="006E2EFC" w14:paraId="764F2FE3" w14:textId="77777777">
            <w:pPr>
              <w:jc w:val="right"/>
              <w:rPr>
                <w:rFonts w:cs="Times New Roman"/>
                <w:sz w:val="13"/>
                <w:szCs w:val="13"/>
                <w:lang w:val="en-GB"/>
              </w:rPr>
            </w:pPr>
            <w:r w:rsidRPr="009C48DA">
              <w:rPr>
                <w:rFonts w:cs="Times New Roman"/>
                <w:sz w:val="13"/>
                <w:szCs w:val="13"/>
                <w:lang w:val="en-GB"/>
              </w:rPr>
              <w:t>35%</w:t>
            </w:r>
          </w:p>
        </w:tc>
      </w:tr>
      <w:tr w:rsidRPr="009C48DA" w:rsidR="006E2EFC" w:rsidTr="00961BEE" w14:paraId="34EF9329" w14:textId="77777777">
        <w:trPr>
          <w:trHeight w:val="74"/>
        </w:trPr>
        <w:tc>
          <w:tcPr>
            <w:tcW w:w="1610" w:type="dxa"/>
            <w:shd w:val="clear" w:color="auto" w:fill="auto"/>
            <w:vAlign w:val="bottom"/>
          </w:tcPr>
          <w:p w:rsidRPr="009C48DA" w:rsidR="006E2EFC" w:rsidP="00143D62" w:rsidRDefault="00961BEE" w14:paraId="5D5EF326" w14:textId="1FBA38A0">
            <w:pPr>
              <w:keepNext/>
              <w:rPr>
                <w:rFonts w:cs="Times New Roman"/>
                <w:sz w:val="13"/>
                <w:szCs w:val="13"/>
                <w:lang w:val="en-GB"/>
              </w:rPr>
            </w:pPr>
            <w:r w:rsidRPr="009C48DA">
              <w:rPr>
                <w:rFonts w:cs="Times New Roman"/>
                <w:sz w:val="13"/>
                <w:szCs w:val="13"/>
                <w:lang w:val="en-GB"/>
              </w:rPr>
              <w:t xml:space="preserve">Bridgepoint </w:t>
            </w:r>
            <w:r w:rsidRPr="009C48DA" w:rsidR="006E2EFC">
              <w:rPr>
                <w:rFonts w:cs="Times New Roman"/>
                <w:sz w:val="13"/>
                <w:szCs w:val="13"/>
                <w:lang w:val="en-GB"/>
              </w:rPr>
              <w:t>Europe Portfolio IV (Secondary)</w:t>
            </w:r>
            <w:r w:rsidRPr="009C48DA" w:rsidR="006E2EFC">
              <w:rPr>
                <w:rFonts w:cs="Times New Roman"/>
                <w:sz w:val="13"/>
                <w:szCs w:val="13"/>
                <w:vertAlign w:val="superscript"/>
                <w:lang w:val="en-GB"/>
              </w:rPr>
              <w:t>(4)</w:t>
            </w:r>
          </w:p>
        </w:tc>
        <w:tc>
          <w:tcPr>
            <w:tcW w:w="992" w:type="dxa"/>
            <w:vAlign w:val="bottom"/>
          </w:tcPr>
          <w:p w:rsidRPr="009C48DA" w:rsidR="006E2EFC" w:rsidP="00143D62" w:rsidRDefault="006E2EFC" w14:paraId="1EA2D15F" w14:textId="77777777">
            <w:pPr>
              <w:jc w:val="right"/>
              <w:rPr>
                <w:rFonts w:cs="Times New Roman"/>
                <w:sz w:val="13"/>
                <w:szCs w:val="13"/>
                <w:lang w:val="en-GB"/>
              </w:rPr>
            </w:pPr>
            <w:r w:rsidRPr="009C48DA">
              <w:rPr>
                <w:rFonts w:cs="Times New Roman"/>
                <w:sz w:val="13"/>
                <w:szCs w:val="13"/>
                <w:lang w:val="en-GB"/>
              </w:rPr>
              <w:t>€728</w:t>
            </w:r>
          </w:p>
        </w:tc>
        <w:tc>
          <w:tcPr>
            <w:tcW w:w="850" w:type="dxa"/>
            <w:vAlign w:val="bottom"/>
          </w:tcPr>
          <w:p w:rsidRPr="009C48DA" w:rsidR="006E2EFC" w:rsidP="00143D62" w:rsidRDefault="006E2EFC" w14:paraId="6746F7CF" w14:textId="77777777">
            <w:pPr>
              <w:jc w:val="right"/>
              <w:rPr>
                <w:rFonts w:cs="Times New Roman"/>
                <w:sz w:val="13"/>
                <w:szCs w:val="13"/>
                <w:lang w:val="en-GB"/>
              </w:rPr>
            </w:pPr>
            <w:r w:rsidRPr="009C48DA">
              <w:rPr>
                <w:rFonts w:cs="Times New Roman"/>
                <w:sz w:val="13"/>
                <w:szCs w:val="13"/>
                <w:lang w:val="en-GB"/>
              </w:rPr>
              <w:t>872</w:t>
            </w:r>
          </w:p>
        </w:tc>
        <w:tc>
          <w:tcPr>
            <w:tcW w:w="851" w:type="dxa"/>
            <w:vAlign w:val="bottom"/>
          </w:tcPr>
          <w:p w:rsidRPr="009C48DA" w:rsidR="006E2EFC" w:rsidP="00143D62" w:rsidRDefault="006E2EFC" w14:paraId="289DB949" w14:textId="77777777">
            <w:pPr>
              <w:jc w:val="right"/>
              <w:rPr>
                <w:rFonts w:cs="Times New Roman"/>
                <w:sz w:val="13"/>
                <w:szCs w:val="13"/>
                <w:lang w:val="en-GB"/>
              </w:rPr>
            </w:pPr>
            <w:r w:rsidRPr="009C48DA">
              <w:rPr>
                <w:rFonts w:cs="Times New Roman"/>
                <w:sz w:val="13"/>
                <w:szCs w:val="13"/>
                <w:lang w:val="en-GB"/>
              </w:rPr>
              <w:t>849</w:t>
            </w:r>
          </w:p>
        </w:tc>
        <w:tc>
          <w:tcPr>
            <w:tcW w:w="709" w:type="dxa"/>
            <w:vAlign w:val="bottom"/>
          </w:tcPr>
          <w:p w:rsidRPr="009C48DA" w:rsidR="006E2EFC" w:rsidP="00143D62" w:rsidRDefault="006E2EFC" w14:paraId="45D9ED60" w14:textId="77777777">
            <w:pPr>
              <w:jc w:val="right"/>
              <w:rPr>
                <w:rFonts w:cs="Times New Roman"/>
                <w:sz w:val="13"/>
                <w:szCs w:val="13"/>
                <w:lang w:val="en-GB"/>
              </w:rPr>
            </w:pPr>
            <w:r w:rsidRPr="009C48DA">
              <w:rPr>
                <w:rFonts w:cs="Times New Roman"/>
                <w:sz w:val="13"/>
                <w:szCs w:val="13"/>
                <w:lang w:val="en-GB"/>
              </w:rPr>
              <w:t>2019</w:t>
            </w:r>
          </w:p>
        </w:tc>
        <w:tc>
          <w:tcPr>
            <w:tcW w:w="708" w:type="dxa"/>
            <w:vAlign w:val="bottom"/>
          </w:tcPr>
          <w:p w:rsidRPr="009C48DA" w:rsidR="006E2EFC" w:rsidP="00143D62" w:rsidRDefault="006E2EFC" w14:paraId="54745D22" w14:textId="77777777">
            <w:pPr>
              <w:jc w:val="right"/>
              <w:rPr>
                <w:rFonts w:cs="Times New Roman"/>
                <w:sz w:val="13"/>
                <w:szCs w:val="13"/>
                <w:lang w:val="en-GB"/>
              </w:rPr>
            </w:pPr>
            <w:r w:rsidRPr="009C48DA">
              <w:rPr>
                <w:rFonts w:cs="Times New Roman"/>
                <w:sz w:val="13"/>
                <w:szCs w:val="13"/>
                <w:lang w:val="en-GB"/>
              </w:rPr>
              <w:t>95%</w:t>
            </w:r>
          </w:p>
        </w:tc>
        <w:tc>
          <w:tcPr>
            <w:tcW w:w="714" w:type="dxa"/>
            <w:shd w:val="clear" w:color="auto" w:fill="auto"/>
            <w:vAlign w:val="bottom"/>
          </w:tcPr>
          <w:p w:rsidRPr="009C48DA" w:rsidR="006E2EFC" w:rsidP="00143D62" w:rsidRDefault="006E2EFC" w14:paraId="0F25B25A" w14:textId="77777777">
            <w:pPr>
              <w:jc w:val="right"/>
              <w:rPr>
                <w:rFonts w:cs="Times New Roman"/>
                <w:sz w:val="13"/>
                <w:szCs w:val="13"/>
                <w:lang w:val="en-GB"/>
              </w:rPr>
            </w:pPr>
            <w:r w:rsidRPr="009C48DA">
              <w:rPr>
                <w:rFonts w:cs="Times New Roman"/>
                <w:sz w:val="13"/>
                <w:szCs w:val="13"/>
                <w:lang w:val="en-GB"/>
              </w:rPr>
              <w:t>10%</w:t>
            </w:r>
          </w:p>
        </w:tc>
        <w:tc>
          <w:tcPr>
            <w:tcW w:w="695" w:type="dxa"/>
            <w:shd w:val="clear" w:color="auto" w:fill="auto"/>
            <w:vAlign w:val="bottom"/>
          </w:tcPr>
          <w:p w:rsidRPr="009C48DA" w:rsidR="006E2EFC" w:rsidP="00143D62" w:rsidRDefault="006E2EFC" w14:paraId="3437E7BC" w14:textId="77777777">
            <w:pPr>
              <w:jc w:val="right"/>
              <w:rPr>
                <w:rFonts w:cs="Times New Roman"/>
                <w:sz w:val="13"/>
                <w:szCs w:val="13"/>
                <w:lang w:val="en-GB"/>
              </w:rPr>
            </w:pPr>
            <w:r w:rsidRPr="009C48DA">
              <w:rPr>
                <w:rFonts w:cs="Times New Roman"/>
                <w:sz w:val="13"/>
                <w:szCs w:val="13"/>
                <w:lang w:val="en-GB"/>
              </w:rPr>
              <w:t>10%</w:t>
            </w:r>
          </w:p>
        </w:tc>
        <w:tc>
          <w:tcPr>
            <w:tcW w:w="658" w:type="dxa"/>
            <w:vAlign w:val="bottom"/>
          </w:tcPr>
          <w:p w:rsidRPr="009C48DA" w:rsidR="006E2EFC" w:rsidP="00143D62" w:rsidRDefault="006E2EFC" w14:paraId="5FC1E43F" w14:textId="77777777">
            <w:pPr>
              <w:jc w:val="right"/>
              <w:rPr>
                <w:rFonts w:cs="Times New Roman"/>
                <w:sz w:val="13"/>
                <w:szCs w:val="13"/>
                <w:lang w:val="en-GB"/>
              </w:rPr>
            </w:pPr>
            <w:r w:rsidRPr="009C48DA">
              <w:rPr>
                <w:rFonts w:cs="Times New Roman"/>
                <w:sz w:val="13"/>
                <w:szCs w:val="13"/>
                <w:lang w:val="en-GB"/>
              </w:rPr>
              <w:t>100%</w:t>
            </w:r>
          </w:p>
        </w:tc>
        <w:tc>
          <w:tcPr>
            <w:tcW w:w="905" w:type="dxa"/>
            <w:vAlign w:val="bottom"/>
          </w:tcPr>
          <w:p w:rsidRPr="009C48DA" w:rsidR="006E2EFC" w:rsidP="00143D62" w:rsidRDefault="006E2EFC" w14:paraId="2C5E33A2" w14:textId="77777777">
            <w:pPr>
              <w:jc w:val="right"/>
              <w:rPr>
                <w:rFonts w:cs="Times New Roman"/>
                <w:sz w:val="13"/>
                <w:szCs w:val="13"/>
                <w:lang w:val="en-GB"/>
              </w:rPr>
            </w:pPr>
            <w:r w:rsidRPr="009C48DA">
              <w:rPr>
                <w:rFonts w:cs="Times New Roman"/>
                <w:sz w:val="13"/>
                <w:szCs w:val="13"/>
                <w:lang w:val="en-GB"/>
              </w:rPr>
              <w:t>25%</w:t>
            </w:r>
          </w:p>
        </w:tc>
      </w:tr>
      <w:tr w:rsidRPr="009C48DA" w:rsidR="006E2EFC" w:rsidTr="00961BEE" w14:paraId="37537698" w14:textId="77777777">
        <w:trPr>
          <w:trHeight w:val="74"/>
        </w:trPr>
        <w:tc>
          <w:tcPr>
            <w:tcW w:w="1610" w:type="dxa"/>
            <w:shd w:val="clear" w:color="auto" w:fill="auto"/>
            <w:vAlign w:val="bottom"/>
          </w:tcPr>
          <w:p w:rsidRPr="009C48DA" w:rsidR="006E2EFC" w:rsidP="00143D62" w:rsidRDefault="00961BEE" w14:paraId="65ED6668" w14:textId="294864B6">
            <w:pPr>
              <w:keepNext/>
              <w:rPr>
                <w:rFonts w:cs="Times New Roman"/>
                <w:sz w:val="13"/>
                <w:szCs w:val="13"/>
                <w:lang w:val="en-GB"/>
              </w:rPr>
            </w:pPr>
            <w:r w:rsidRPr="009C48DA">
              <w:rPr>
                <w:rFonts w:cs="Times New Roman"/>
                <w:sz w:val="13"/>
                <w:szCs w:val="13"/>
                <w:lang w:val="en-GB"/>
              </w:rPr>
              <w:t xml:space="preserve">Bridgepoint </w:t>
            </w:r>
            <w:r w:rsidRPr="009C48DA" w:rsidR="006E2EFC">
              <w:rPr>
                <w:rFonts w:cs="Times New Roman"/>
                <w:sz w:val="13"/>
                <w:szCs w:val="13"/>
                <w:lang w:val="en-GB"/>
              </w:rPr>
              <w:t>Development Capital Portfolio II (Secondary)</w:t>
            </w:r>
            <w:r w:rsidRPr="009C48DA" w:rsidR="006E2EFC">
              <w:rPr>
                <w:rFonts w:cs="Times New Roman"/>
                <w:sz w:val="13"/>
                <w:szCs w:val="13"/>
                <w:vertAlign w:val="superscript"/>
                <w:lang w:val="en-GB"/>
              </w:rPr>
              <w:t>(5)</w:t>
            </w:r>
          </w:p>
        </w:tc>
        <w:tc>
          <w:tcPr>
            <w:tcW w:w="992" w:type="dxa"/>
            <w:vAlign w:val="bottom"/>
          </w:tcPr>
          <w:p w:rsidRPr="009C48DA" w:rsidR="006E2EFC" w:rsidP="00143D62" w:rsidRDefault="006E2EFC" w14:paraId="5F7E8DCE" w14:textId="77777777">
            <w:pPr>
              <w:jc w:val="right"/>
              <w:rPr>
                <w:rFonts w:cs="Times New Roman"/>
                <w:sz w:val="13"/>
                <w:szCs w:val="13"/>
                <w:lang w:val="en-GB"/>
              </w:rPr>
            </w:pPr>
            <w:r w:rsidRPr="009C48DA">
              <w:rPr>
                <w:rFonts w:cs="Times New Roman"/>
                <w:sz w:val="13"/>
                <w:szCs w:val="13"/>
                <w:lang w:val="en-GB"/>
              </w:rPr>
              <w:t>€222</w:t>
            </w:r>
          </w:p>
        </w:tc>
        <w:tc>
          <w:tcPr>
            <w:tcW w:w="850" w:type="dxa"/>
            <w:vAlign w:val="bottom"/>
          </w:tcPr>
          <w:p w:rsidRPr="009C48DA" w:rsidR="006E2EFC" w:rsidP="00143D62" w:rsidRDefault="006E2EFC" w14:paraId="1512F281" w14:textId="77777777">
            <w:pPr>
              <w:jc w:val="right"/>
              <w:rPr>
                <w:rFonts w:cs="Times New Roman"/>
                <w:sz w:val="13"/>
                <w:szCs w:val="13"/>
                <w:lang w:val="en-GB"/>
              </w:rPr>
            </w:pPr>
            <w:r w:rsidRPr="009C48DA">
              <w:rPr>
                <w:rFonts w:cs="Times New Roman"/>
                <w:sz w:val="13"/>
                <w:szCs w:val="13"/>
                <w:lang w:val="en-GB"/>
              </w:rPr>
              <w:t>220</w:t>
            </w:r>
          </w:p>
        </w:tc>
        <w:tc>
          <w:tcPr>
            <w:tcW w:w="851" w:type="dxa"/>
            <w:vAlign w:val="bottom"/>
          </w:tcPr>
          <w:p w:rsidRPr="009C48DA" w:rsidR="006E2EFC" w:rsidP="00143D62" w:rsidRDefault="006E2EFC" w14:paraId="12EDEA1A" w14:textId="77777777">
            <w:pPr>
              <w:jc w:val="right"/>
              <w:rPr>
                <w:rFonts w:cs="Times New Roman"/>
                <w:sz w:val="13"/>
                <w:szCs w:val="13"/>
                <w:lang w:val="en-GB"/>
              </w:rPr>
            </w:pPr>
            <w:r w:rsidRPr="009C48DA">
              <w:rPr>
                <w:rFonts w:cs="Times New Roman"/>
                <w:sz w:val="13"/>
                <w:szCs w:val="13"/>
                <w:lang w:val="en-GB"/>
              </w:rPr>
              <w:t>182</w:t>
            </w:r>
          </w:p>
        </w:tc>
        <w:tc>
          <w:tcPr>
            <w:tcW w:w="709" w:type="dxa"/>
            <w:vAlign w:val="bottom"/>
          </w:tcPr>
          <w:p w:rsidRPr="009C48DA" w:rsidR="006E2EFC" w:rsidP="00143D62" w:rsidRDefault="006E2EFC" w14:paraId="4C3A9381" w14:textId="77777777">
            <w:pPr>
              <w:jc w:val="right"/>
              <w:rPr>
                <w:rFonts w:cs="Times New Roman"/>
                <w:sz w:val="13"/>
                <w:szCs w:val="13"/>
                <w:lang w:val="en-GB"/>
              </w:rPr>
            </w:pPr>
            <w:r w:rsidRPr="009C48DA">
              <w:rPr>
                <w:rFonts w:cs="Times New Roman"/>
                <w:sz w:val="13"/>
                <w:szCs w:val="13"/>
                <w:lang w:val="en-GB"/>
              </w:rPr>
              <w:t>2021</w:t>
            </w:r>
          </w:p>
        </w:tc>
        <w:tc>
          <w:tcPr>
            <w:tcW w:w="708" w:type="dxa"/>
            <w:vAlign w:val="bottom"/>
          </w:tcPr>
          <w:p w:rsidRPr="009C48DA" w:rsidR="006E2EFC" w:rsidP="00143D62" w:rsidRDefault="006E2EFC" w14:paraId="7E398E35" w14:textId="77777777">
            <w:pPr>
              <w:jc w:val="right"/>
              <w:rPr>
                <w:rFonts w:cs="Times New Roman"/>
                <w:sz w:val="13"/>
                <w:szCs w:val="13"/>
                <w:lang w:val="en-GB"/>
              </w:rPr>
            </w:pPr>
            <w:r w:rsidRPr="009C48DA">
              <w:rPr>
                <w:rFonts w:cs="Times New Roman"/>
                <w:sz w:val="13"/>
                <w:szCs w:val="13"/>
                <w:lang w:val="en-GB"/>
              </w:rPr>
              <w:t>83%</w:t>
            </w:r>
          </w:p>
        </w:tc>
        <w:tc>
          <w:tcPr>
            <w:tcW w:w="714" w:type="dxa"/>
            <w:shd w:val="clear" w:color="auto" w:fill="auto"/>
            <w:vAlign w:val="bottom"/>
          </w:tcPr>
          <w:p w:rsidRPr="009C48DA" w:rsidR="006E2EFC" w:rsidP="00143D62" w:rsidRDefault="006E2EFC" w14:paraId="01117900" w14:textId="77777777">
            <w:pPr>
              <w:jc w:val="right"/>
              <w:rPr>
                <w:rFonts w:cs="Times New Roman"/>
                <w:sz w:val="13"/>
                <w:szCs w:val="13"/>
                <w:lang w:val="en-GB"/>
              </w:rPr>
            </w:pPr>
            <w:r w:rsidRPr="009C48DA">
              <w:rPr>
                <w:rFonts w:cs="Times New Roman"/>
                <w:sz w:val="13"/>
                <w:szCs w:val="13"/>
                <w:lang w:val="en-GB"/>
              </w:rPr>
              <w:t>Various</w:t>
            </w:r>
          </w:p>
        </w:tc>
        <w:tc>
          <w:tcPr>
            <w:tcW w:w="695" w:type="dxa"/>
            <w:shd w:val="clear" w:color="auto" w:fill="auto"/>
            <w:vAlign w:val="bottom"/>
          </w:tcPr>
          <w:p w:rsidRPr="009C48DA" w:rsidR="006E2EFC" w:rsidP="00143D62" w:rsidRDefault="006E2EFC" w14:paraId="165B9E4A" w14:textId="77777777">
            <w:pPr>
              <w:jc w:val="right"/>
              <w:rPr>
                <w:rFonts w:cs="Times New Roman"/>
                <w:sz w:val="13"/>
                <w:szCs w:val="13"/>
                <w:lang w:val="en-GB"/>
              </w:rPr>
            </w:pPr>
            <w:r w:rsidRPr="009C48DA">
              <w:rPr>
                <w:rFonts w:cs="Times New Roman"/>
                <w:sz w:val="13"/>
                <w:szCs w:val="13"/>
                <w:lang w:val="en-GB"/>
              </w:rPr>
              <w:t>Various</w:t>
            </w:r>
          </w:p>
        </w:tc>
        <w:tc>
          <w:tcPr>
            <w:tcW w:w="658" w:type="dxa"/>
            <w:vAlign w:val="bottom"/>
          </w:tcPr>
          <w:p w:rsidRPr="009C48DA" w:rsidR="006E2EFC" w:rsidP="00143D62" w:rsidRDefault="006E2EFC" w14:paraId="53D43395" w14:textId="77777777">
            <w:pPr>
              <w:jc w:val="right"/>
              <w:rPr>
                <w:rFonts w:cs="Times New Roman"/>
                <w:sz w:val="13"/>
                <w:szCs w:val="13"/>
                <w:lang w:val="en-GB"/>
              </w:rPr>
            </w:pPr>
            <w:r w:rsidRPr="009C48DA">
              <w:rPr>
                <w:rFonts w:cs="Times New Roman"/>
                <w:sz w:val="13"/>
                <w:szCs w:val="13"/>
                <w:lang w:val="en-GB"/>
              </w:rPr>
              <w:t>100%</w:t>
            </w:r>
          </w:p>
        </w:tc>
        <w:tc>
          <w:tcPr>
            <w:tcW w:w="905" w:type="dxa"/>
            <w:vAlign w:val="bottom"/>
          </w:tcPr>
          <w:p w:rsidRPr="009C48DA" w:rsidR="006E2EFC" w:rsidP="00143D62" w:rsidRDefault="006E2EFC" w14:paraId="0ECBB10A" w14:textId="77777777">
            <w:pPr>
              <w:jc w:val="right"/>
              <w:rPr>
                <w:rFonts w:cs="Times New Roman"/>
                <w:sz w:val="13"/>
                <w:szCs w:val="13"/>
                <w:lang w:val="en-GB"/>
              </w:rPr>
            </w:pPr>
            <w:r w:rsidRPr="009C48DA">
              <w:rPr>
                <w:rFonts w:cs="Times New Roman"/>
                <w:sz w:val="13"/>
                <w:szCs w:val="13"/>
                <w:lang w:val="en-GB"/>
              </w:rPr>
              <w:t>20%</w:t>
            </w:r>
          </w:p>
        </w:tc>
      </w:tr>
      <w:tr w:rsidRPr="009C48DA" w:rsidR="006E2EFC" w:rsidTr="00961BEE" w14:paraId="2299941B" w14:textId="77777777">
        <w:trPr>
          <w:trHeight w:val="74"/>
        </w:trPr>
        <w:tc>
          <w:tcPr>
            <w:tcW w:w="1610" w:type="dxa"/>
            <w:shd w:val="clear" w:color="auto" w:fill="auto"/>
            <w:vAlign w:val="bottom"/>
          </w:tcPr>
          <w:p w:rsidRPr="009C48DA" w:rsidR="006E2EFC" w:rsidP="00143D62" w:rsidRDefault="006E2EFC" w14:paraId="17F97445" w14:textId="77777777">
            <w:pPr>
              <w:keepNext/>
              <w:rPr>
                <w:rFonts w:cs="Times New Roman"/>
                <w:sz w:val="13"/>
                <w:szCs w:val="13"/>
                <w:lang w:val="en-GB"/>
              </w:rPr>
            </w:pPr>
          </w:p>
        </w:tc>
        <w:tc>
          <w:tcPr>
            <w:tcW w:w="992" w:type="dxa"/>
          </w:tcPr>
          <w:p w:rsidRPr="009C48DA" w:rsidR="006E2EFC" w:rsidP="00143D62" w:rsidRDefault="006E2EFC" w14:paraId="57EE46BE" w14:textId="77777777">
            <w:pPr>
              <w:jc w:val="right"/>
              <w:rPr>
                <w:rFonts w:cs="Times New Roman"/>
                <w:sz w:val="13"/>
                <w:szCs w:val="13"/>
                <w:lang w:val="en-GB"/>
              </w:rPr>
            </w:pPr>
          </w:p>
        </w:tc>
        <w:tc>
          <w:tcPr>
            <w:tcW w:w="850" w:type="dxa"/>
            <w:vAlign w:val="bottom"/>
          </w:tcPr>
          <w:p w:rsidRPr="009C48DA" w:rsidR="006E2EFC" w:rsidP="00143D62" w:rsidRDefault="006E2EFC" w14:paraId="6B1CD265" w14:textId="77777777">
            <w:pPr>
              <w:jc w:val="right"/>
              <w:rPr>
                <w:rFonts w:cs="Times New Roman"/>
                <w:sz w:val="13"/>
                <w:szCs w:val="13"/>
                <w:lang w:val="en-GB"/>
              </w:rPr>
            </w:pPr>
          </w:p>
        </w:tc>
        <w:tc>
          <w:tcPr>
            <w:tcW w:w="851" w:type="dxa"/>
          </w:tcPr>
          <w:p w:rsidRPr="009C48DA" w:rsidR="006E2EFC" w:rsidP="00143D62" w:rsidRDefault="006E2EFC" w14:paraId="4BC051B2" w14:textId="77777777">
            <w:pPr>
              <w:jc w:val="right"/>
              <w:rPr>
                <w:rFonts w:cs="Times New Roman"/>
                <w:sz w:val="13"/>
                <w:szCs w:val="13"/>
                <w:lang w:val="en-GB"/>
              </w:rPr>
            </w:pPr>
          </w:p>
        </w:tc>
        <w:tc>
          <w:tcPr>
            <w:tcW w:w="709" w:type="dxa"/>
          </w:tcPr>
          <w:p w:rsidRPr="009C48DA" w:rsidR="006E2EFC" w:rsidP="00143D62" w:rsidRDefault="006E2EFC" w14:paraId="2C0AEDCF" w14:textId="77777777">
            <w:pPr>
              <w:jc w:val="right"/>
              <w:rPr>
                <w:rFonts w:cs="Times New Roman"/>
                <w:sz w:val="13"/>
                <w:szCs w:val="13"/>
                <w:lang w:val="en-GB"/>
              </w:rPr>
            </w:pPr>
          </w:p>
        </w:tc>
        <w:tc>
          <w:tcPr>
            <w:tcW w:w="708" w:type="dxa"/>
          </w:tcPr>
          <w:p w:rsidRPr="009C48DA" w:rsidR="006E2EFC" w:rsidP="00143D62" w:rsidRDefault="006E2EFC" w14:paraId="3A51F75D" w14:textId="77777777">
            <w:pPr>
              <w:jc w:val="right"/>
              <w:rPr>
                <w:rFonts w:cs="Times New Roman"/>
                <w:sz w:val="13"/>
                <w:szCs w:val="13"/>
                <w:lang w:val="en-GB"/>
              </w:rPr>
            </w:pPr>
          </w:p>
        </w:tc>
        <w:tc>
          <w:tcPr>
            <w:tcW w:w="714" w:type="dxa"/>
            <w:shd w:val="clear" w:color="auto" w:fill="auto"/>
          </w:tcPr>
          <w:p w:rsidRPr="009C48DA" w:rsidR="006E2EFC" w:rsidP="00143D62" w:rsidRDefault="006E2EFC" w14:paraId="758B8A77" w14:textId="77777777">
            <w:pPr>
              <w:jc w:val="right"/>
              <w:rPr>
                <w:rFonts w:cs="Times New Roman"/>
                <w:sz w:val="13"/>
                <w:szCs w:val="13"/>
                <w:lang w:val="en-GB"/>
              </w:rPr>
            </w:pPr>
          </w:p>
        </w:tc>
        <w:tc>
          <w:tcPr>
            <w:tcW w:w="695" w:type="dxa"/>
            <w:shd w:val="clear" w:color="auto" w:fill="auto"/>
          </w:tcPr>
          <w:p w:rsidRPr="009C48DA" w:rsidR="006E2EFC" w:rsidP="00143D62" w:rsidRDefault="006E2EFC" w14:paraId="054BF5B7" w14:textId="77777777">
            <w:pPr>
              <w:jc w:val="right"/>
              <w:rPr>
                <w:rFonts w:cs="Times New Roman"/>
                <w:sz w:val="13"/>
                <w:szCs w:val="13"/>
                <w:lang w:val="en-GB"/>
              </w:rPr>
            </w:pPr>
          </w:p>
        </w:tc>
        <w:tc>
          <w:tcPr>
            <w:tcW w:w="658" w:type="dxa"/>
          </w:tcPr>
          <w:p w:rsidRPr="009C48DA" w:rsidR="006E2EFC" w:rsidP="00143D62" w:rsidRDefault="006E2EFC" w14:paraId="4E1E11F8" w14:textId="77777777">
            <w:pPr>
              <w:rPr>
                <w:rFonts w:cs="Times New Roman"/>
                <w:sz w:val="13"/>
                <w:szCs w:val="13"/>
                <w:lang w:val="en-GB"/>
              </w:rPr>
            </w:pPr>
          </w:p>
        </w:tc>
        <w:tc>
          <w:tcPr>
            <w:tcW w:w="905" w:type="dxa"/>
          </w:tcPr>
          <w:p w:rsidRPr="009C48DA" w:rsidR="006E2EFC" w:rsidP="00143D62" w:rsidRDefault="006E2EFC" w14:paraId="72A4428A" w14:textId="77777777">
            <w:pPr>
              <w:jc w:val="right"/>
              <w:rPr>
                <w:rFonts w:cs="Times New Roman"/>
                <w:sz w:val="13"/>
                <w:szCs w:val="13"/>
                <w:lang w:val="en-GB"/>
              </w:rPr>
            </w:pPr>
          </w:p>
        </w:tc>
      </w:tr>
    </w:tbl>
    <w:p w:rsidRPr="009C48DA" w:rsidR="006E2EFC" w:rsidP="006E2EFC" w:rsidRDefault="006E2EFC" w14:paraId="410E1666" w14:textId="3B0B5324">
      <w:pPr>
        <w:pBdr>
          <w:bottom w:val="single" w:color="auto" w:sz="4" w:space="1"/>
        </w:pBdr>
        <w:ind w:right="7200"/>
        <w:rPr>
          <w:sz w:val="20"/>
          <w:szCs w:val="20"/>
          <w:lang w:val="en-GB"/>
        </w:rPr>
      </w:pPr>
    </w:p>
    <w:p w:rsidRPr="009C48DA" w:rsidR="00B51E80" w:rsidP="006E2EFC" w:rsidRDefault="006E2EFC" w14:paraId="4FCB20BF" w14:textId="24C0BB8B">
      <w:pPr>
        <w:spacing w:after="240"/>
        <w:ind w:left="360" w:right="-40" w:hanging="360"/>
        <w:contextualSpacing/>
        <w:jc w:val="both"/>
        <w:rPr>
          <w:color w:val="000000"/>
          <w:sz w:val="17"/>
          <w:szCs w:val="17"/>
          <w:lang w:val="en-GB"/>
        </w:rPr>
      </w:pPr>
      <w:r w:rsidRPr="009C48DA">
        <w:rPr>
          <w:color w:val="000000"/>
          <w:sz w:val="17"/>
          <w:szCs w:val="17"/>
          <w:lang w:val="en-GB"/>
        </w:rPr>
        <w:t>(1)</w:t>
      </w:r>
      <w:r w:rsidRPr="009C48DA">
        <w:rPr>
          <w:color w:val="000000"/>
          <w:sz w:val="17"/>
          <w:szCs w:val="17"/>
          <w:lang w:val="en-GB"/>
        </w:rPr>
        <w:tab/>
        <w:t xml:space="preserve">The table shows all currently active private equity funds in the </w:t>
      </w:r>
      <w:r w:rsidRPr="009C48DA" w:rsidR="00961BEE">
        <w:rPr>
          <w:color w:val="000000"/>
          <w:sz w:val="17"/>
          <w:szCs w:val="17"/>
          <w:lang w:val="en-GB"/>
        </w:rPr>
        <w:t xml:space="preserve">Bridgepoint </w:t>
      </w:r>
      <w:r w:rsidRPr="009C48DA">
        <w:rPr>
          <w:color w:val="000000"/>
          <w:sz w:val="17"/>
          <w:szCs w:val="17"/>
          <w:lang w:val="en-GB"/>
        </w:rPr>
        <w:t xml:space="preserve">Europe, </w:t>
      </w:r>
      <w:r w:rsidRPr="009C48DA" w:rsidR="00961BEE">
        <w:rPr>
          <w:color w:val="000000"/>
          <w:sz w:val="17"/>
          <w:szCs w:val="17"/>
          <w:lang w:val="en-GB"/>
        </w:rPr>
        <w:t xml:space="preserve">Bridgepoint </w:t>
      </w:r>
      <w:r w:rsidRPr="009C48DA">
        <w:rPr>
          <w:color w:val="000000"/>
          <w:sz w:val="17"/>
          <w:szCs w:val="17"/>
          <w:lang w:val="en-GB"/>
        </w:rPr>
        <w:t xml:space="preserve">Development Capital and </w:t>
      </w:r>
      <w:r w:rsidRPr="009C48DA" w:rsidR="00961BEE">
        <w:rPr>
          <w:color w:val="000000"/>
          <w:sz w:val="17"/>
          <w:szCs w:val="17"/>
          <w:lang w:val="en-GB"/>
        </w:rPr>
        <w:t xml:space="preserve">Bridgepoint </w:t>
      </w:r>
      <w:r w:rsidRPr="009C48DA">
        <w:rPr>
          <w:color w:val="000000"/>
          <w:sz w:val="17"/>
          <w:szCs w:val="17"/>
          <w:lang w:val="en-GB"/>
        </w:rPr>
        <w:t xml:space="preserve">Growth </w:t>
      </w:r>
      <w:r w:rsidRPr="009C48DA" w:rsidR="00B51E80">
        <w:rPr>
          <w:color w:val="000000"/>
          <w:sz w:val="17"/>
          <w:szCs w:val="17"/>
          <w:lang w:val="en-GB"/>
        </w:rPr>
        <w:t>strategies</w:t>
      </w:r>
      <w:r w:rsidRPr="009C48DA" w:rsidR="002F507D">
        <w:rPr>
          <w:color w:val="000000"/>
          <w:sz w:val="17"/>
          <w:szCs w:val="17"/>
          <w:lang w:val="en-GB"/>
        </w:rPr>
        <w:t xml:space="preserve"> and the Group’s secondary private equity funds</w:t>
      </w:r>
      <w:r w:rsidRPr="009C48DA" w:rsidR="00B51E80">
        <w:rPr>
          <w:color w:val="000000"/>
          <w:sz w:val="17"/>
          <w:szCs w:val="17"/>
          <w:lang w:val="en-GB"/>
        </w:rPr>
        <w:t xml:space="preserve">. See </w:t>
      </w:r>
      <w:r w:rsidRPr="009C48DA" w:rsidR="002F507D">
        <w:rPr>
          <w:color w:val="000000"/>
          <w:sz w:val="17"/>
          <w:szCs w:val="17"/>
          <w:lang w:val="en-GB"/>
        </w:rPr>
        <w:t xml:space="preserve">“Deep dive by investment strategy” in </w:t>
      </w:r>
      <w:r w:rsidRPr="009C48DA" w:rsidR="00475977">
        <w:rPr>
          <w:color w:val="000000"/>
          <w:sz w:val="17"/>
          <w:szCs w:val="17"/>
          <w:lang w:val="en-GB"/>
        </w:rPr>
        <w:fldChar w:fldCharType="begin"/>
      </w:r>
      <w:r w:rsidRPr="009C48DA" w:rsidR="00475977">
        <w:rPr>
          <w:color w:val="000000"/>
          <w:sz w:val="17"/>
          <w:szCs w:val="17"/>
          <w:lang w:val="en-GB"/>
        </w:rPr>
        <w:instrText xml:space="preserve"> REF _Ref74466404 \n \h </w:instrText>
      </w:r>
      <w:r w:rsidRPr="009C48DA">
        <w:rPr>
          <w:color w:val="000000"/>
          <w:sz w:val="17"/>
          <w:szCs w:val="17"/>
          <w:lang w:val="en-GB"/>
        </w:rPr>
        <w:instrText xml:space="preserve"> \* MERGEFORMAT </w:instrText>
      </w:r>
      <w:r w:rsidRPr="009C48DA" w:rsidR="00475977">
        <w:rPr>
          <w:color w:val="000000"/>
          <w:sz w:val="17"/>
          <w:szCs w:val="17"/>
          <w:lang w:val="en-GB"/>
        </w:rPr>
      </w:r>
      <w:r w:rsidRPr="009C48DA" w:rsidR="00475977">
        <w:rPr>
          <w:color w:val="000000"/>
          <w:sz w:val="17"/>
          <w:szCs w:val="17"/>
          <w:lang w:val="en-GB"/>
        </w:rPr>
        <w:fldChar w:fldCharType="separate"/>
      </w:r>
      <w:r w:rsidR="007C3D19">
        <w:rPr>
          <w:color w:val="000000"/>
          <w:sz w:val="17"/>
          <w:szCs w:val="17"/>
          <w:lang w:val="en-GB"/>
        </w:rPr>
        <w:t>Part V</w:t>
      </w:r>
      <w:r w:rsidRPr="009C48DA" w:rsidR="00475977">
        <w:rPr>
          <w:color w:val="000000"/>
          <w:sz w:val="17"/>
          <w:szCs w:val="17"/>
          <w:lang w:val="en-GB"/>
        </w:rPr>
        <w:fldChar w:fldCharType="end"/>
      </w:r>
      <w:r w:rsidRPr="009C48DA" w:rsidR="00B51E80">
        <w:rPr>
          <w:color w:val="000000"/>
          <w:sz w:val="17"/>
          <w:szCs w:val="17"/>
          <w:lang w:val="en-GB"/>
        </w:rPr>
        <w:t xml:space="preserve"> </w:t>
      </w:r>
      <w:r w:rsidRPr="009C48DA" w:rsidR="00B51E80">
        <w:rPr>
          <w:i/>
          <w:color w:val="000000"/>
          <w:sz w:val="17"/>
          <w:szCs w:val="17"/>
          <w:lang w:val="en-GB"/>
        </w:rPr>
        <w:t>(</w:t>
      </w:r>
      <w:r w:rsidRPr="009C48DA" w:rsidR="00A32B42">
        <w:rPr>
          <w:i/>
          <w:color w:val="000000"/>
          <w:sz w:val="17"/>
          <w:szCs w:val="17"/>
          <w:lang w:val="en-GB"/>
        </w:rPr>
      </w:r>
      <w:r w:rsidRPr="007C3D19" w:rsidR="007C3D19">
        <w:rPr>
          <w:i/>
          <w:color w:val="000000"/>
          <w:sz w:val="17"/>
          <w:szCs w:val="17"/>
          <w:lang w:val="en-GB"/>
        </w:rPr>
        <w:t>The Business</w:t>
      </w:r>
      <w:r w:rsidRPr="009C48DA" w:rsidR="00B51E80">
        <w:rPr>
          <w:i/>
          <w:color w:val="000000"/>
          <w:sz w:val="17"/>
          <w:szCs w:val="17"/>
          <w:lang w:val="en-GB"/>
        </w:rPr>
        <w:t>)</w:t>
      </w:r>
      <w:r w:rsidRPr="009C48DA" w:rsidR="00B51E80">
        <w:rPr>
          <w:color w:val="000000"/>
          <w:sz w:val="17"/>
          <w:szCs w:val="17"/>
          <w:lang w:val="en-GB"/>
        </w:rPr>
        <w:t xml:space="preserve"> for a discussion of the investment strategy </w:t>
      </w:r>
      <w:r w:rsidRPr="009C48DA" w:rsidR="00DA11D1">
        <w:rPr>
          <w:color w:val="000000"/>
          <w:sz w:val="17"/>
          <w:szCs w:val="17"/>
          <w:lang w:val="en-GB"/>
        </w:rPr>
        <w:t xml:space="preserve">of, </w:t>
      </w:r>
      <w:r w:rsidRPr="009C48DA" w:rsidR="00B51E80">
        <w:rPr>
          <w:color w:val="000000"/>
          <w:sz w:val="17"/>
          <w:szCs w:val="17"/>
          <w:lang w:val="en-GB"/>
        </w:rPr>
        <w:t>and the key sectors covered by</w:t>
      </w:r>
      <w:r w:rsidRPr="009C48DA" w:rsidR="00DA11D1">
        <w:rPr>
          <w:color w:val="000000"/>
          <w:sz w:val="17"/>
          <w:szCs w:val="17"/>
          <w:lang w:val="en-GB"/>
        </w:rPr>
        <w:t>,</w:t>
      </w:r>
      <w:r w:rsidRPr="009C48DA" w:rsidR="00B51E80">
        <w:rPr>
          <w:color w:val="000000"/>
          <w:sz w:val="17"/>
          <w:szCs w:val="17"/>
          <w:lang w:val="en-GB"/>
        </w:rPr>
        <w:t xml:space="preserve"> each of the </w:t>
      </w:r>
      <w:r w:rsidRPr="009C48DA" w:rsidR="00961BEE">
        <w:rPr>
          <w:color w:val="000000"/>
          <w:sz w:val="17"/>
          <w:szCs w:val="17"/>
          <w:lang w:val="en-GB"/>
        </w:rPr>
        <w:t xml:space="preserve">Bridgepoint </w:t>
      </w:r>
      <w:r w:rsidRPr="009C48DA" w:rsidR="00B51E80">
        <w:rPr>
          <w:color w:val="000000"/>
          <w:sz w:val="17"/>
          <w:szCs w:val="17"/>
          <w:lang w:val="en-GB"/>
        </w:rPr>
        <w:t>Funds.</w:t>
      </w:r>
    </w:p>
    <w:p w:rsidRPr="009C48DA" w:rsidR="00DA11D1" w:rsidP="00DA11D1" w:rsidRDefault="00DA11D1" w14:paraId="1DE25A78" w14:textId="565D3F6E">
      <w:pPr>
        <w:spacing w:after="240"/>
        <w:ind w:left="360" w:right="-40" w:hanging="360"/>
        <w:contextualSpacing/>
        <w:jc w:val="both"/>
        <w:rPr>
          <w:color w:val="000000"/>
          <w:sz w:val="17"/>
          <w:szCs w:val="17"/>
          <w:lang w:val="en-GB"/>
        </w:rPr>
      </w:pPr>
      <w:r w:rsidRPr="009C48DA">
        <w:rPr>
          <w:color w:val="000000"/>
          <w:sz w:val="17"/>
          <w:szCs w:val="17"/>
          <w:lang w:val="en-GB"/>
        </w:rPr>
        <w:t>(2)</w:t>
      </w:r>
      <w:r w:rsidRPr="009C48DA">
        <w:rPr>
          <w:color w:val="000000"/>
          <w:sz w:val="17"/>
          <w:szCs w:val="17"/>
          <w:lang w:val="en-GB"/>
        </w:rPr>
        <w:tab/>
        <w:t>See “</w:t>
      </w:r>
      <w:r w:rsidRPr="009C48DA">
        <w:rPr>
          <w:i/>
          <w:color w:val="000000"/>
          <w:sz w:val="17"/>
          <w:szCs w:val="17"/>
          <w:lang w:val="en-GB"/>
        </w:rPr>
        <w:t>—Alternative Performance Measures and Key Performance Indicators—AUM and Total AUM</w:t>
      </w:r>
      <w:r w:rsidRPr="009C48DA">
        <w:rPr>
          <w:color w:val="000000"/>
          <w:sz w:val="17"/>
          <w:szCs w:val="17"/>
          <w:lang w:val="en-GB"/>
        </w:rPr>
        <w:t>” for a definition of these metrics.</w:t>
      </w:r>
    </w:p>
    <w:p w:rsidRPr="009C48DA" w:rsidR="00DA11D1" w:rsidP="006E2EFC" w:rsidRDefault="006E2EFC" w14:paraId="0FB57DC5" w14:textId="4C824BBE">
      <w:pPr>
        <w:spacing w:after="240"/>
        <w:ind w:left="360" w:right="-40" w:hanging="360"/>
        <w:contextualSpacing/>
        <w:jc w:val="both"/>
        <w:rPr>
          <w:color w:val="000000"/>
          <w:sz w:val="17"/>
          <w:szCs w:val="17"/>
          <w:lang w:val="en-GB"/>
        </w:rPr>
      </w:pPr>
      <w:r w:rsidRPr="009C48DA">
        <w:rPr>
          <w:color w:val="000000"/>
          <w:sz w:val="17"/>
          <w:szCs w:val="17"/>
          <w:lang w:val="en-GB"/>
        </w:rPr>
        <w:t xml:space="preserve">(3) </w:t>
      </w:r>
      <w:r w:rsidRPr="009C48DA">
        <w:rPr>
          <w:color w:val="000000"/>
          <w:sz w:val="17"/>
          <w:szCs w:val="17"/>
          <w:lang w:val="en-GB"/>
        </w:rPr>
        <w:tab/>
      </w:r>
      <w:r w:rsidRPr="009C48DA" w:rsidR="00DA11D1">
        <w:rPr>
          <w:color w:val="000000"/>
          <w:sz w:val="17"/>
          <w:szCs w:val="17"/>
          <w:lang w:val="en-GB"/>
        </w:rPr>
        <w:t>See note (4) below.</w:t>
      </w:r>
    </w:p>
    <w:p w:rsidRPr="009C48DA" w:rsidR="006E2EFC" w:rsidP="006E2EFC" w:rsidRDefault="006E2EFC" w14:paraId="605557DD" w14:textId="4B8DC2B9">
      <w:pPr>
        <w:spacing w:after="240"/>
        <w:ind w:left="360" w:right="-40" w:hanging="360"/>
        <w:contextualSpacing/>
        <w:jc w:val="both"/>
        <w:rPr>
          <w:color w:val="000000"/>
          <w:sz w:val="17"/>
          <w:szCs w:val="17"/>
          <w:lang w:val="en-GB"/>
        </w:rPr>
      </w:pPr>
      <w:r w:rsidRPr="009C48DA">
        <w:rPr>
          <w:color w:val="000000"/>
          <w:sz w:val="17"/>
          <w:szCs w:val="17"/>
          <w:lang w:val="en-GB"/>
        </w:rPr>
        <w:t>(4)</w:t>
      </w:r>
      <w:r w:rsidRPr="009C48DA">
        <w:rPr>
          <w:color w:val="000000"/>
          <w:sz w:val="17"/>
          <w:szCs w:val="17"/>
          <w:lang w:val="en-GB"/>
        </w:rPr>
        <w:tab/>
        <w:t>In 2019</w:t>
      </w:r>
      <w:r w:rsidRPr="009C48DA" w:rsidR="000B2EF1">
        <w:rPr>
          <w:color w:val="000000"/>
          <w:sz w:val="17"/>
          <w:szCs w:val="17"/>
          <w:lang w:val="en-GB"/>
        </w:rPr>
        <w:t>,</w:t>
      </w:r>
      <w:r w:rsidRPr="009C48DA">
        <w:rPr>
          <w:color w:val="000000"/>
          <w:sz w:val="17"/>
          <w:szCs w:val="17"/>
          <w:lang w:val="en-GB"/>
        </w:rPr>
        <w:t xml:space="preserve"> the </w:t>
      </w:r>
      <w:r w:rsidRPr="009C48DA" w:rsidR="00961BEE">
        <w:rPr>
          <w:color w:val="000000"/>
          <w:sz w:val="17"/>
          <w:szCs w:val="17"/>
          <w:lang w:val="en-GB"/>
        </w:rPr>
        <w:t xml:space="preserve">Bridgepoint </w:t>
      </w:r>
      <w:r w:rsidRPr="009C48DA">
        <w:rPr>
          <w:color w:val="000000"/>
          <w:sz w:val="17"/>
          <w:szCs w:val="17"/>
          <w:lang w:val="en-GB"/>
        </w:rPr>
        <w:t xml:space="preserve">Europe IV fund sold certain assets and/or rights in respect of such assets in a secondary portfolio transaction to a secondary fund called </w:t>
      </w:r>
      <w:r w:rsidRPr="009C48DA" w:rsidR="00961BEE">
        <w:rPr>
          <w:color w:val="000000"/>
          <w:sz w:val="17"/>
          <w:szCs w:val="17"/>
          <w:lang w:val="en-GB"/>
        </w:rPr>
        <w:t xml:space="preserve">Bridgepoint </w:t>
      </w:r>
      <w:r w:rsidRPr="009C48DA">
        <w:rPr>
          <w:color w:val="000000"/>
          <w:sz w:val="17"/>
          <w:szCs w:val="17"/>
          <w:lang w:val="en-GB"/>
        </w:rPr>
        <w:t xml:space="preserve">Europe Portfolio IV. </w:t>
      </w:r>
    </w:p>
    <w:p w:rsidRPr="009C48DA" w:rsidR="006E2EFC" w:rsidP="006E2EFC" w:rsidRDefault="006E2EFC" w14:paraId="4518B178" w14:textId="18CA0703">
      <w:pPr>
        <w:spacing w:after="240"/>
        <w:ind w:left="360" w:right="-40" w:hanging="360"/>
        <w:contextualSpacing/>
        <w:jc w:val="both"/>
        <w:rPr>
          <w:color w:val="000000"/>
          <w:sz w:val="17"/>
          <w:szCs w:val="17"/>
          <w:lang w:val="en-GB"/>
        </w:rPr>
      </w:pPr>
      <w:r w:rsidRPr="009C48DA">
        <w:rPr>
          <w:color w:val="000000"/>
          <w:sz w:val="17"/>
          <w:szCs w:val="17"/>
          <w:lang w:val="en-GB"/>
        </w:rPr>
        <w:t>(5)</w:t>
      </w:r>
      <w:r w:rsidRPr="009C48DA">
        <w:rPr>
          <w:color w:val="000000"/>
          <w:sz w:val="17"/>
          <w:szCs w:val="17"/>
          <w:lang w:val="en-GB"/>
        </w:rPr>
        <w:tab/>
        <w:t xml:space="preserve">In 2021, the </w:t>
      </w:r>
      <w:r w:rsidRPr="009C48DA" w:rsidR="00961BEE">
        <w:rPr>
          <w:color w:val="000000"/>
          <w:sz w:val="17"/>
          <w:szCs w:val="17"/>
          <w:lang w:val="en-GB"/>
        </w:rPr>
        <w:t xml:space="preserve">Bridgepoint </w:t>
      </w:r>
      <w:r w:rsidRPr="009C48DA">
        <w:rPr>
          <w:color w:val="000000"/>
          <w:sz w:val="17"/>
          <w:szCs w:val="17"/>
          <w:lang w:val="en-GB"/>
        </w:rPr>
        <w:t xml:space="preserve">Development Capital II fund and one </w:t>
      </w:r>
      <w:r w:rsidRPr="009C48DA" w:rsidR="00961BEE">
        <w:rPr>
          <w:color w:val="000000"/>
          <w:sz w:val="17"/>
          <w:szCs w:val="17"/>
          <w:lang w:val="en-GB"/>
        </w:rPr>
        <w:t xml:space="preserve">Bridgepoint </w:t>
      </w:r>
      <w:r w:rsidRPr="009C48DA">
        <w:rPr>
          <w:color w:val="000000"/>
          <w:sz w:val="17"/>
          <w:szCs w:val="17"/>
          <w:lang w:val="en-GB"/>
        </w:rPr>
        <w:t xml:space="preserve">Development Capital legacy fund sold certain assets and/or rights in respect of such assets in a secondary portfolio transaction to the </w:t>
      </w:r>
      <w:r w:rsidRPr="009C48DA" w:rsidR="00961BEE">
        <w:rPr>
          <w:color w:val="000000"/>
          <w:sz w:val="17"/>
          <w:szCs w:val="17"/>
          <w:lang w:val="en-GB"/>
        </w:rPr>
        <w:t xml:space="preserve">Bridgepoint </w:t>
      </w:r>
      <w:r w:rsidRPr="009C48DA">
        <w:rPr>
          <w:color w:val="000000"/>
          <w:sz w:val="17"/>
          <w:szCs w:val="17"/>
          <w:lang w:val="en-GB"/>
        </w:rPr>
        <w:t xml:space="preserve">Development Capital Portfolio II fund. </w:t>
      </w:r>
    </w:p>
    <w:p w:rsidRPr="009C48DA" w:rsidR="006E2EFC" w:rsidP="00B51E80" w:rsidRDefault="00B51E80" w14:paraId="792F90D7" w14:textId="59815732">
      <w:pPr>
        <w:pStyle w:val="BodyText2SglJ"/>
        <w:rPr>
          <w:rFonts w:eastAsia="Calibri" w:cs="Arial"/>
          <w:lang w:val="en-GB"/>
        </w:rPr>
      </w:pPr>
      <w:r w:rsidRPr="009C48DA">
        <w:rPr>
          <w:rFonts w:eastAsia="Calibri" w:cs="Arial"/>
          <w:lang w:val="en-GB"/>
        </w:rPr>
        <w:t xml:space="preserve">The table below shows selected key terms of the </w:t>
      </w:r>
      <w:r w:rsidRPr="009C48DA" w:rsidR="00961BEE">
        <w:rPr>
          <w:rFonts w:eastAsia="Calibri" w:cs="Arial"/>
          <w:lang w:val="en-GB"/>
        </w:rPr>
        <w:t xml:space="preserve">Bridgepoint </w:t>
      </w:r>
      <w:r w:rsidRPr="009C48DA">
        <w:rPr>
          <w:rFonts w:eastAsia="Calibri" w:cs="Arial"/>
          <w:lang w:val="en-GB"/>
        </w:rPr>
        <w:t xml:space="preserve">Funds in the private credit </w:t>
      </w:r>
      <w:r w:rsidRPr="009C48DA">
        <w:rPr>
          <w:lang w:val="en-GB"/>
        </w:rPr>
        <w:t>segment</w:t>
      </w:r>
      <w:r w:rsidRPr="009C48DA">
        <w:rPr>
          <w:rFonts w:eastAsia="Calibri" w:cs="Arial"/>
          <w:lang w:val="en-GB"/>
        </w:rPr>
        <w:t xml:space="preserve"> as of 31 </w:t>
      </w:r>
      <w:r w:rsidRPr="009C48DA" w:rsidR="006E2EFC">
        <w:rPr>
          <w:rFonts w:eastAsia="Calibri" w:cs="Arial"/>
          <w:lang w:val="en-GB"/>
        </w:rPr>
        <w:t>March 2021.</w:t>
      </w:r>
    </w:p>
    <w:tbl>
      <w:tblPr>
        <w:tblW w:w="8720" w:type="dxa"/>
        <w:tblLayout w:type="fixed"/>
        <w:tblLook w:val="04A0" w:firstRow="1" w:lastRow="0" w:firstColumn="1" w:lastColumn="0" w:noHBand="0" w:noVBand="1"/>
      </w:tblPr>
      <w:tblGrid>
        <w:gridCol w:w="1418"/>
        <w:gridCol w:w="976"/>
        <w:gridCol w:w="812"/>
        <w:gridCol w:w="752"/>
        <w:gridCol w:w="662"/>
        <w:gridCol w:w="686"/>
        <w:gridCol w:w="992"/>
        <w:gridCol w:w="827"/>
        <w:gridCol w:w="676"/>
        <w:gridCol w:w="919"/>
      </w:tblGrid>
      <w:tr w:rsidRPr="009C48DA" w:rsidR="006E2EFC" w:rsidTr="0032371F" w14:paraId="0DF528B9" w14:textId="77777777">
        <w:trPr>
          <w:trHeight w:val="74"/>
        </w:trPr>
        <w:tc>
          <w:tcPr>
            <w:tcW w:w="1418" w:type="dxa"/>
            <w:shd w:val="clear" w:color="auto" w:fill="auto"/>
            <w:vAlign w:val="bottom"/>
          </w:tcPr>
          <w:p w:rsidRPr="009C48DA" w:rsidR="006E2EFC" w:rsidP="00143D62" w:rsidRDefault="00961BEE" w14:paraId="30D481F1" w14:textId="51D8DFDA">
            <w:pPr>
              <w:keepNext/>
              <w:pBdr>
                <w:bottom w:val="single" w:color="auto" w:sz="4" w:space="1"/>
              </w:pBdr>
              <w:jc w:val="center"/>
              <w:rPr>
                <w:rFonts w:cs="Times New Roman"/>
                <w:b/>
                <w:sz w:val="13"/>
                <w:szCs w:val="13"/>
                <w:lang w:val="en-GB"/>
              </w:rPr>
            </w:pPr>
            <w:r w:rsidRPr="009C48DA">
              <w:rPr>
                <w:rFonts w:cs="Times New Roman"/>
                <w:b/>
                <w:sz w:val="13"/>
                <w:szCs w:val="13"/>
                <w:lang w:val="en-GB"/>
              </w:rPr>
              <w:t xml:space="preserve">Bridgepoint </w:t>
            </w:r>
            <w:r w:rsidRPr="009C48DA" w:rsidR="006E2EFC">
              <w:rPr>
                <w:rFonts w:cs="Times New Roman"/>
                <w:b/>
                <w:sz w:val="13"/>
                <w:szCs w:val="13"/>
                <w:lang w:val="en-GB"/>
              </w:rPr>
              <w:t>Fund</w:t>
            </w:r>
            <w:r w:rsidRPr="009C48DA" w:rsidR="006E2EFC">
              <w:rPr>
                <w:rFonts w:cs="Times New Roman"/>
                <w:b/>
                <w:sz w:val="13"/>
                <w:szCs w:val="13"/>
                <w:vertAlign w:val="superscript"/>
                <w:lang w:val="en-GB"/>
              </w:rPr>
              <w:t>(1)</w:t>
            </w:r>
          </w:p>
        </w:tc>
        <w:tc>
          <w:tcPr>
            <w:tcW w:w="976" w:type="dxa"/>
            <w:vAlign w:val="bottom"/>
          </w:tcPr>
          <w:p w:rsidRPr="009C48DA" w:rsidR="006E2EFC" w:rsidP="00143D62" w:rsidRDefault="006E2EFC" w14:paraId="6389BB83"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Fund Size based on commitments (in € million)</w:t>
            </w:r>
          </w:p>
        </w:tc>
        <w:tc>
          <w:tcPr>
            <w:tcW w:w="812" w:type="dxa"/>
            <w:vAlign w:val="bottom"/>
          </w:tcPr>
          <w:p w:rsidRPr="009C48DA" w:rsidR="006E2EFC" w:rsidP="00143D62" w:rsidRDefault="006E2EFC" w14:paraId="35EB7CF0"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Total AUM (in € million)</w:t>
            </w:r>
            <w:r w:rsidRPr="009C48DA">
              <w:rPr>
                <w:rFonts w:cs="Times New Roman"/>
                <w:b/>
                <w:sz w:val="13"/>
                <w:szCs w:val="13"/>
                <w:vertAlign w:val="superscript"/>
                <w:lang w:val="en-GB"/>
              </w:rPr>
              <w:t>(2)</w:t>
            </w:r>
          </w:p>
        </w:tc>
        <w:tc>
          <w:tcPr>
            <w:tcW w:w="752" w:type="dxa"/>
            <w:vAlign w:val="bottom"/>
          </w:tcPr>
          <w:p w:rsidRPr="009C48DA" w:rsidR="006E2EFC" w:rsidP="00143D62" w:rsidRDefault="006E2EFC" w14:paraId="2624CFB1" w14:textId="52573D4B">
            <w:pPr>
              <w:keepNext/>
              <w:pBdr>
                <w:bottom w:val="single" w:color="auto" w:sz="4" w:space="1"/>
              </w:pBdr>
              <w:jc w:val="center"/>
              <w:rPr>
                <w:rFonts w:cs="Times New Roman"/>
                <w:b/>
                <w:sz w:val="13"/>
                <w:szCs w:val="13"/>
                <w:lang w:val="en-GB"/>
              </w:rPr>
            </w:pPr>
            <w:r w:rsidRPr="009C48DA">
              <w:rPr>
                <w:rFonts w:cs="Times New Roman"/>
                <w:b/>
                <w:sz w:val="13"/>
                <w:szCs w:val="13"/>
                <w:lang w:val="en-GB"/>
              </w:rPr>
              <w:t>AUM</w:t>
            </w:r>
          </w:p>
          <w:p w:rsidRPr="009C48DA" w:rsidR="006E2EFC" w:rsidP="00143D62" w:rsidRDefault="006E2EFC" w14:paraId="6D407E3B"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(in € million)</w:t>
            </w:r>
            <w:r w:rsidRPr="009C48DA">
              <w:rPr>
                <w:rFonts w:cs="Times New Roman"/>
                <w:b/>
                <w:sz w:val="13"/>
                <w:szCs w:val="13"/>
                <w:vertAlign w:val="superscript"/>
                <w:lang w:val="en-GB"/>
              </w:rPr>
              <w:t>(2)</w:t>
            </w:r>
          </w:p>
        </w:tc>
        <w:tc>
          <w:tcPr>
            <w:tcW w:w="662" w:type="dxa"/>
            <w:vAlign w:val="bottom"/>
          </w:tcPr>
          <w:p w:rsidRPr="009C48DA" w:rsidR="006E2EFC" w:rsidP="00143D62" w:rsidRDefault="006E2EFC" w14:paraId="5E37A1D5"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Vintage</w:t>
            </w:r>
          </w:p>
        </w:tc>
        <w:tc>
          <w:tcPr>
            <w:tcW w:w="686" w:type="dxa"/>
            <w:vAlign w:val="bottom"/>
          </w:tcPr>
          <w:p w:rsidRPr="009C48DA" w:rsidR="006E2EFC" w:rsidP="00143D62" w:rsidRDefault="006E2EFC" w14:paraId="174840B9"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Invested capital (in per cent)</w:t>
            </w:r>
          </w:p>
        </w:tc>
        <w:tc>
          <w:tcPr>
            <w:tcW w:w="992" w:type="dxa"/>
            <w:shd w:val="clear" w:color="auto" w:fill="auto"/>
            <w:vAlign w:val="bottom"/>
          </w:tcPr>
          <w:p w:rsidRPr="009C48DA" w:rsidR="006E2EFC" w:rsidP="00143D62" w:rsidRDefault="006E2EFC" w14:paraId="49E7B29A" w14:textId="163BD5FE">
            <w:pPr>
              <w:keepNext/>
              <w:pBdr>
                <w:bottom w:val="single" w:color="auto" w:sz="4" w:space="1"/>
              </w:pBdr>
              <w:jc w:val="center"/>
              <w:rPr>
                <w:rFonts w:cs="Times New Roman"/>
                <w:b/>
                <w:sz w:val="13"/>
                <w:szCs w:val="13"/>
                <w:lang w:val="en-GB"/>
              </w:rPr>
            </w:pPr>
            <w:r w:rsidRPr="009C48DA">
              <w:rPr>
                <w:rFonts w:cs="Times New Roman"/>
                <w:b/>
                <w:sz w:val="13"/>
                <w:szCs w:val="13"/>
                <w:lang w:val="en-GB"/>
              </w:rPr>
              <w:t>Hurdle rate (in per cent) (unlevered</w:t>
            </w:r>
            <w:r w:rsidRPr="009C48DA" w:rsidR="000947C9">
              <w:rPr>
                <w:rFonts w:cs="Times New Roman"/>
                <w:b/>
                <w:sz w:val="13"/>
                <w:szCs w:val="13"/>
                <w:lang w:val="en-GB"/>
              </w:rPr>
              <w:t xml:space="preserve"> </w:t>
            </w:r>
            <w:r w:rsidRPr="009C48DA">
              <w:rPr>
                <w:rFonts w:cs="Times New Roman"/>
                <w:b/>
                <w:sz w:val="13"/>
                <w:szCs w:val="13"/>
                <w:lang w:val="en-GB"/>
              </w:rPr>
              <w:t>/ levered)</w:t>
            </w:r>
            <w:r w:rsidRPr="009C48DA">
              <w:rPr>
                <w:rFonts w:cs="Times New Roman"/>
                <w:b/>
                <w:sz w:val="13"/>
                <w:szCs w:val="13"/>
                <w:vertAlign w:val="superscript"/>
                <w:lang w:val="en-GB"/>
              </w:rPr>
              <w:t>(3)</w:t>
            </w:r>
          </w:p>
        </w:tc>
        <w:tc>
          <w:tcPr>
            <w:tcW w:w="827" w:type="dxa"/>
            <w:shd w:val="clear" w:color="auto" w:fill="auto"/>
            <w:vAlign w:val="bottom"/>
          </w:tcPr>
          <w:p w:rsidRPr="009C48DA" w:rsidR="006E2EFC" w:rsidP="00143D62" w:rsidRDefault="006E2EFC" w14:paraId="58BB9D07"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Total carried interest (in per cent) (unlevered/ levered)</w:t>
            </w:r>
            <w:r w:rsidRPr="009C48DA">
              <w:rPr>
                <w:rFonts w:cs="Times New Roman"/>
                <w:b/>
                <w:sz w:val="13"/>
                <w:szCs w:val="13"/>
                <w:vertAlign w:val="superscript"/>
                <w:lang w:val="en-GB"/>
              </w:rPr>
              <w:t>(3)</w:t>
            </w:r>
          </w:p>
        </w:tc>
        <w:tc>
          <w:tcPr>
            <w:tcW w:w="676" w:type="dxa"/>
            <w:vAlign w:val="bottom"/>
          </w:tcPr>
          <w:p w:rsidRPr="009C48DA" w:rsidR="006E2EFC" w:rsidP="00143D62" w:rsidRDefault="006E2EFC" w14:paraId="308402A4"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Catch-up rate (in per cent)</w:t>
            </w:r>
            <w:r w:rsidRPr="009C48DA">
              <w:rPr>
                <w:sz w:val="13"/>
                <w:szCs w:val="13"/>
                <w:vertAlign w:val="superscript"/>
                <w:lang w:val="en-GB"/>
              </w:rPr>
              <w:t>(3)</w:t>
            </w:r>
          </w:p>
        </w:tc>
        <w:tc>
          <w:tcPr>
            <w:tcW w:w="919" w:type="dxa"/>
            <w:vAlign w:val="bottom"/>
          </w:tcPr>
          <w:p w:rsidRPr="009C48DA" w:rsidR="006E2EFC" w:rsidP="00143D62" w:rsidRDefault="006E2EFC" w14:paraId="53661309"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Group’s share of total carried interest entitlement of all Carried Interest Participants</w:t>
            </w:r>
          </w:p>
        </w:tc>
      </w:tr>
      <w:tr w:rsidRPr="009C48DA" w:rsidR="006E2EFC" w:rsidTr="0032371F" w14:paraId="659D1E92" w14:textId="77777777">
        <w:trPr>
          <w:trHeight w:val="74"/>
        </w:trPr>
        <w:tc>
          <w:tcPr>
            <w:tcW w:w="1418" w:type="dxa"/>
            <w:shd w:val="clear" w:color="auto" w:fill="auto"/>
            <w:vAlign w:val="bottom"/>
          </w:tcPr>
          <w:p w:rsidRPr="009C48DA" w:rsidR="006E2EFC" w:rsidP="00143D62" w:rsidRDefault="00961BEE" w14:paraId="1127FCA1" w14:textId="790E4CD9">
            <w:pPr>
              <w:keepNext/>
              <w:rPr>
                <w:rFonts w:cs="Times New Roman"/>
                <w:sz w:val="13"/>
                <w:szCs w:val="13"/>
                <w:lang w:val="en-GB"/>
              </w:rPr>
            </w:pPr>
            <w:r w:rsidRPr="009C48DA">
              <w:rPr>
                <w:rFonts w:cs="Times New Roman"/>
                <w:sz w:val="13"/>
                <w:szCs w:val="13"/>
                <w:lang w:val="en-GB"/>
              </w:rPr>
              <w:t xml:space="preserve">Bridgepoint </w:t>
            </w:r>
            <w:r w:rsidRPr="009C48DA" w:rsidR="006E2EFC">
              <w:rPr>
                <w:rFonts w:cs="Times New Roman"/>
                <w:sz w:val="13"/>
                <w:szCs w:val="13"/>
                <w:lang w:val="en-GB"/>
              </w:rPr>
              <w:t>Credit Opportunities II</w:t>
            </w:r>
          </w:p>
        </w:tc>
        <w:tc>
          <w:tcPr>
            <w:tcW w:w="976" w:type="dxa"/>
            <w:vAlign w:val="bottom"/>
          </w:tcPr>
          <w:p w:rsidRPr="009C48DA" w:rsidR="006E2EFC" w:rsidP="00143D62" w:rsidRDefault="006E2EFC" w14:paraId="4613618A" w14:textId="77777777">
            <w:pPr>
              <w:jc w:val="right"/>
              <w:rPr>
                <w:rFonts w:cs="Times New Roman"/>
                <w:sz w:val="13"/>
                <w:szCs w:val="13"/>
                <w:lang w:val="en-GB"/>
              </w:rPr>
            </w:pPr>
            <w:r w:rsidRPr="009C48DA">
              <w:rPr>
                <w:rFonts w:cs="Times New Roman"/>
                <w:sz w:val="13"/>
                <w:szCs w:val="13"/>
                <w:lang w:val="en-GB"/>
              </w:rPr>
              <w:t>845</w:t>
            </w:r>
          </w:p>
        </w:tc>
        <w:tc>
          <w:tcPr>
            <w:tcW w:w="812" w:type="dxa"/>
            <w:vAlign w:val="bottom"/>
          </w:tcPr>
          <w:p w:rsidRPr="009C48DA" w:rsidR="006E2EFC" w:rsidP="00143D62" w:rsidRDefault="006E2EFC" w14:paraId="7091B5AF" w14:textId="77777777">
            <w:pPr>
              <w:jc w:val="right"/>
              <w:rPr>
                <w:rFonts w:cs="Times New Roman"/>
                <w:sz w:val="13"/>
                <w:szCs w:val="13"/>
                <w:lang w:val="en-GB"/>
              </w:rPr>
            </w:pPr>
            <w:r w:rsidRPr="009C48DA">
              <w:rPr>
                <w:rFonts w:cs="Times New Roman"/>
                <w:sz w:val="13"/>
                <w:szCs w:val="13"/>
                <w:lang w:val="en-GB"/>
              </w:rPr>
              <w:t>440</w:t>
            </w:r>
          </w:p>
        </w:tc>
        <w:tc>
          <w:tcPr>
            <w:tcW w:w="752" w:type="dxa"/>
            <w:vAlign w:val="bottom"/>
          </w:tcPr>
          <w:p w:rsidRPr="009C48DA" w:rsidR="006E2EFC" w:rsidP="00143D62" w:rsidRDefault="006E2EFC" w14:paraId="20F3F083" w14:textId="77777777">
            <w:pPr>
              <w:jc w:val="right"/>
              <w:rPr>
                <w:rFonts w:cs="Times New Roman"/>
                <w:sz w:val="13"/>
                <w:szCs w:val="13"/>
                <w:lang w:val="en-GB"/>
              </w:rPr>
            </w:pPr>
            <w:r w:rsidRPr="009C48DA">
              <w:rPr>
                <w:rFonts w:cs="Times New Roman"/>
                <w:sz w:val="13"/>
                <w:szCs w:val="13"/>
                <w:lang w:val="en-GB"/>
              </w:rPr>
              <w:t>110</w:t>
            </w:r>
          </w:p>
        </w:tc>
        <w:tc>
          <w:tcPr>
            <w:tcW w:w="662" w:type="dxa"/>
            <w:vAlign w:val="bottom"/>
          </w:tcPr>
          <w:p w:rsidRPr="009C48DA" w:rsidR="006E2EFC" w:rsidP="00143D62" w:rsidRDefault="006E2EFC" w14:paraId="495EA7D5" w14:textId="77777777">
            <w:pPr>
              <w:jc w:val="right"/>
              <w:rPr>
                <w:rFonts w:cs="Times New Roman"/>
                <w:sz w:val="13"/>
                <w:szCs w:val="13"/>
                <w:lang w:val="en-GB"/>
              </w:rPr>
            </w:pPr>
            <w:r w:rsidRPr="009C48DA">
              <w:rPr>
                <w:rFonts w:cs="Times New Roman"/>
                <w:sz w:val="13"/>
                <w:szCs w:val="13"/>
                <w:lang w:val="en-GB"/>
              </w:rPr>
              <w:t>2012</w:t>
            </w:r>
          </w:p>
        </w:tc>
        <w:tc>
          <w:tcPr>
            <w:tcW w:w="686" w:type="dxa"/>
            <w:vAlign w:val="bottom"/>
          </w:tcPr>
          <w:p w:rsidRPr="009C48DA" w:rsidR="006E2EFC" w:rsidP="00143D62" w:rsidRDefault="006E2EFC" w14:paraId="4F5972D7" w14:textId="77777777">
            <w:pPr>
              <w:jc w:val="right"/>
              <w:rPr>
                <w:rFonts w:cs="Times New Roman"/>
                <w:sz w:val="13"/>
                <w:szCs w:val="13"/>
                <w:lang w:val="en-GB"/>
              </w:rPr>
            </w:pPr>
            <w:r w:rsidRPr="009C48DA">
              <w:rPr>
                <w:rFonts w:cs="Times New Roman"/>
                <w:sz w:val="13"/>
                <w:szCs w:val="13"/>
                <w:lang w:val="en-GB"/>
              </w:rPr>
              <w:t>13%</w:t>
            </w:r>
          </w:p>
        </w:tc>
        <w:tc>
          <w:tcPr>
            <w:tcW w:w="992" w:type="dxa"/>
            <w:shd w:val="clear" w:color="auto" w:fill="auto"/>
            <w:vAlign w:val="bottom"/>
          </w:tcPr>
          <w:p w:rsidRPr="009C48DA" w:rsidR="006E2EFC" w:rsidP="00143D62" w:rsidRDefault="006E2EFC" w14:paraId="3597817D" w14:textId="77777777">
            <w:pPr>
              <w:jc w:val="right"/>
              <w:rPr>
                <w:rFonts w:cs="Times New Roman"/>
                <w:sz w:val="13"/>
                <w:szCs w:val="13"/>
                <w:lang w:val="en-GB"/>
              </w:rPr>
            </w:pPr>
            <w:r w:rsidRPr="009C48DA">
              <w:rPr>
                <w:rFonts w:cs="Times New Roman"/>
                <w:sz w:val="13"/>
                <w:szCs w:val="13"/>
                <w:lang w:val="en-GB"/>
              </w:rPr>
              <w:t>8%</w:t>
            </w:r>
          </w:p>
        </w:tc>
        <w:tc>
          <w:tcPr>
            <w:tcW w:w="827" w:type="dxa"/>
            <w:shd w:val="clear" w:color="auto" w:fill="auto"/>
            <w:vAlign w:val="bottom"/>
          </w:tcPr>
          <w:p w:rsidRPr="009C48DA" w:rsidR="006E2EFC" w:rsidP="00143D62" w:rsidRDefault="006E2EFC" w14:paraId="104F7B05" w14:textId="77777777">
            <w:pPr>
              <w:jc w:val="right"/>
              <w:rPr>
                <w:rFonts w:cs="Times New Roman"/>
                <w:sz w:val="13"/>
                <w:szCs w:val="13"/>
                <w:lang w:val="en-GB"/>
              </w:rPr>
            </w:pPr>
            <w:r w:rsidRPr="009C48DA">
              <w:rPr>
                <w:rFonts w:cs="Times New Roman"/>
                <w:sz w:val="13"/>
                <w:szCs w:val="13"/>
                <w:lang w:val="en-GB"/>
              </w:rPr>
              <w:t>20%</w:t>
            </w:r>
          </w:p>
        </w:tc>
        <w:tc>
          <w:tcPr>
            <w:tcW w:w="676" w:type="dxa"/>
            <w:vAlign w:val="bottom"/>
          </w:tcPr>
          <w:p w:rsidRPr="009C48DA" w:rsidR="006E2EFC" w:rsidP="00143D62" w:rsidRDefault="006E2EFC" w14:paraId="542F23CA" w14:textId="77777777">
            <w:pPr>
              <w:jc w:val="right"/>
              <w:rPr>
                <w:rFonts w:cs="Times New Roman"/>
                <w:sz w:val="13"/>
                <w:szCs w:val="13"/>
                <w:lang w:val="en-GB"/>
              </w:rPr>
            </w:pPr>
            <w:r w:rsidRPr="009C48DA">
              <w:rPr>
                <w:rFonts w:cs="Times New Roman"/>
                <w:sz w:val="13"/>
                <w:szCs w:val="13"/>
                <w:lang w:val="en-GB"/>
              </w:rPr>
              <w:t>100%</w:t>
            </w:r>
          </w:p>
        </w:tc>
        <w:tc>
          <w:tcPr>
            <w:tcW w:w="919" w:type="dxa"/>
            <w:vAlign w:val="bottom"/>
          </w:tcPr>
          <w:p w:rsidRPr="009C48DA" w:rsidR="006E2EFC" w:rsidP="00143D62" w:rsidRDefault="006E2EFC" w14:paraId="2F7CE655" w14:textId="77777777">
            <w:pPr>
              <w:keepNext/>
              <w:jc w:val="right"/>
              <w:rPr>
                <w:rFonts w:cs="Times New Roman"/>
                <w:sz w:val="13"/>
                <w:szCs w:val="13"/>
                <w:lang w:val="en-GB"/>
              </w:rPr>
            </w:pPr>
            <w:r w:rsidRPr="009C48DA">
              <w:rPr>
                <w:rFonts w:cs="Times New Roman"/>
                <w:sz w:val="13"/>
                <w:szCs w:val="13"/>
                <w:lang w:val="en-GB"/>
              </w:rPr>
              <w:t>9%</w:t>
            </w:r>
          </w:p>
        </w:tc>
      </w:tr>
      <w:tr w:rsidRPr="009C48DA" w:rsidR="006E2EFC" w:rsidTr="0032371F" w14:paraId="1AAB7E16" w14:textId="77777777">
        <w:trPr>
          <w:trHeight w:val="74"/>
        </w:trPr>
        <w:tc>
          <w:tcPr>
            <w:tcW w:w="1418" w:type="dxa"/>
            <w:shd w:val="clear" w:color="auto" w:fill="auto"/>
            <w:vAlign w:val="bottom"/>
          </w:tcPr>
          <w:p w:rsidRPr="009C48DA" w:rsidR="006E2EFC" w:rsidP="00143D62" w:rsidRDefault="00961BEE" w14:paraId="57AAC31F" w14:textId="11F7F3B1">
            <w:pPr>
              <w:keepNext/>
              <w:rPr>
                <w:rFonts w:cs="Times New Roman"/>
                <w:sz w:val="13"/>
                <w:szCs w:val="13"/>
                <w:lang w:val="en-GB"/>
              </w:rPr>
            </w:pPr>
            <w:r w:rsidRPr="009C48DA">
              <w:rPr>
                <w:rFonts w:cs="Times New Roman"/>
                <w:sz w:val="13"/>
                <w:szCs w:val="13"/>
                <w:lang w:val="en-GB"/>
              </w:rPr>
              <w:t xml:space="preserve">Bridgepoint </w:t>
            </w:r>
            <w:r w:rsidRPr="009C48DA" w:rsidR="006E2EFC">
              <w:rPr>
                <w:rFonts w:cs="Times New Roman"/>
                <w:sz w:val="13"/>
                <w:szCs w:val="13"/>
                <w:lang w:val="en-GB"/>
              </w:rPr>
              <w:t>Credit Opportunities III</w:t>
            </w:r>
          </w:p>
        </w:tc>
        <w:tc>
          <w:tcPr>
            <w:tcW w:w="976" w:type="dxa"/>
            <w:vAlign w:val="bottom"/>
          </w:tcPr>
          <w:p w:rsidRPr="009C48DA" w:rsidR="006E2EFC" w:rsidP="00143D62" w:rsidRDefault="006E2EFC" w14:paraId="4D0C4E4F" w14:textId="77777777">
            <w:pPr>
              <w:jc w:val="right"/>
              <w:rPr>
                <w:rFonts w:cs="Times New Roman"/>
                <w:sz w:val="13"/>
                <w:szCs w:val="13"/>
                <w:lang w:val="en-GB"/>
              </w:rPr>
            </w:pPr>
            <w:r w:rsidRPr="009C48DA">
              <w:rPr>
                <w:rFonts w:cs="Times New Roman"/>
                <w:sz w:val="13"/>
                <w:szCs w:val="13"/>
                <w:lang w:val="en-GB"/>
              </w:rPr>
              <w:t>1,272</w:t>
            </w:r>
          </w:p>
        </w:tc>
        <w:tc>
          <w:tcPr>
            <w:tcW w:w="812" w:type="dxa"/>
            <w:vAlign w:val="bottom"/>
          </w:tcPr>
          <w:p w:rsidRPr="009C48DA" w:rsidR="006E2EFC" w:rsidP="00143D62" w:rsidRDefault="006E2EFC" w14:paraId="6C250291" w14:textId="77777777">
            <w:pPr>
              <w:jc w:val="right"/>
              <w:rPr>
                <w:rFonts w:cs="Times New Roman"/>
                <w:sz w:val="13"/>
                <w:szCs w:val="13"/>
                <w:lang w:val="en-GB"/>
              </w:rPr>
            </w:pPr>
            <w:r w:rsidRPr="009C48DA">
              <w:rPr>
                <w:rFonts w:cs="Times New Roman"/>
                <w:sz w:val="13"/>
                <w:szCs w:val="13"/>
                <w:lang w:val="en-GB"/>
              </w:rPr>
              <w:t>1,241</w:t>
            </w:r>
          </w:p>
        </w:tc>
        <w:tc>
          <w:tcPr>
            <w:tcW w:w="752" w:type="dxa"/>
            <w:vAlign w:val="bottom"/>
          </w:tcPr>
          <w:p w:rsidRPr="009C48DA" w:rsidR="006E2EFC" w:rsidP="00143D62" w:rsidRDefault="006E2EFC" w14:paraId="62E054A8" w14:textId="77777777">
            <w:pPr>
              <w:jc w:val="right"/>
              <w:rPr>
                <w:rFonts w:cs="Times New Roman"/>
                <w:sz w:val="13"/>
                <w:szCs w:val="13"/>
                <w:lang w:val="en-GB"/>
              </w:rPr>
            </w:pPr>
            <w:r w:rsidRPr="009C48DA">
              <w:rPr>
                <w:rFonts w:cs="Times New Roman"/>
                <w:sz w:val="13"/>
                <w:szCs w:val="13"/>
                <w:lang w:val="en-GB"/>
              </w:rPr>
              <w:t>962</w:t>
            </w:r>
          </w:p>
        </w:tc>
        <w:tc>
          <w:tcPr>
            <w:tcW w:w="662" w:type="dxa"/>
            <w:vAlign w:val="bottom"/>
          </w:tcPr>
          <w:p w:rsidRPr="009C48DA" w:rsidR="006E2EFC" w:rsidP="00143D62" w:rsidRDefault="006E2EFC" w14:paraId="531CA518" w14:textId="77777777">
            <w:pPr>
              <w:jc w:val="right"/>
              <w:rPr>
                <w:rFonts w:cs="Times New Roman"/>
                <w:sz w:val="13"/>
                <w:szCs w:val="13"/>
                <w:lang w:val="en-GB"/>
              </w:rPr>
            </w:pPr>
            <w:r w:rsidRPr="009C48DA">
              <w:rPr>
                <w:rFonts w:cs="Times New Roman"/>
                <w:sz w:val="13"/>
                <w:szCs w:val="13"/>
                <w:lang w:val="en-GB"/>
              </w:rPr>
              <w:t>2016</w:t>
            </w:r>
          </w:p>
        </w:tc>
        <w:tc>
          <w:tcPr>
            <w:tcW w:w="686" w:type="dxa"/>
            <w:vAlign w:val="bottom"/>
          </w:tcPr>
          <w:p w:rsidRPr="009C48DA" w:rsidR="006E2EFC" w:rsidP="00143D62" w:rsidRDefault="006E2EFC" w14:paraId="0CF6716C" w14:textId="77777777">
            <w:pPr>
              <w:jc w:val="right"/>
              <w:rPr>
                <w:rFonts w:cs="Times New Roman"/>
                <w:sz w:val="13"/>
                <w:szCs w:val="13"/>
                <w:lang w:val="en-GB"/>
              </w:rPr>
            </w:pPr>
            <w:r w:rsidRPr="009C48DA">
              <w:rPr>
                <w:rFonts w:cs="Times New Roman"/>
                <w:sz w:val="13"/>
                <w:szCs w:val="13"/>
                <w:lang w:val="en-GB"/>
              </w:rPr>
              <w:t>79%</w:t>
            </w:r>
          </w:p>
        </w:tc>
        <w:tc>
          <w:tcPr>
            <w:tcW w:w="992" w:type="dxa"/>
            <w:shd w:val="clear" w:color="auto" w:fill="auto"/>
            <w:vAlign w:val="bottom"/>
          </w:tcPr>
          <w:p w:rsidRPr="009C48DA" w:rsidR="006E2EFC" w:rsidP="00143D62" w:rsidRDefault="006E2EFC" w14:paraId="6569FEB2" w14:textId="77777777">
            <w:pPr>
              <w:jc w:val="right"/>
              <w:rPr>
                <w:rFonts w:cs="Times New Roman"/>
                <w:sz w:val="13"/>
                <w:szCs w:val="13"/>
                <w:lang w:val="en-GB"/>
              </w:rPr>
            </w:pPr>
            <w:r w:rsidRPr="009C48DA">
              <w:rPr>
                <w:rFonts w:cs="Times New Roman"/>
                <w:sz w:val="13"/>
                <w:szCs w:val="13"/>
                <w:lang w:val="en-GB"/>
              </w:rPr>
              <w:t>8%</w:t>
            </w:r>
          </w:p>
        </w:tc>
        <w:tc>
          <w:tcPr>
            <w:tcW w:w="827" w:type="dxa"/>
            <w:shd w:val="clear" w:color="auto" w:fill="auto"/>
            <w:vAlign w:val="bottom"/>
          </w:tcPr>
          <w:p w:rsidRPr="009C48DA" w:rsidR="006E2EFC" w:rsidP="00143D62" w:rsidRDefault="006E2EFC" w14:paraId="2E5CD0ED" w14:textId="77777777">
            <w:pPr>
              <w:jc w:val="right"/>
              <w:rPr>
                <w:rFonts w:cs="Times New Roman"/>
                <w:sz w:val="13"/>
                <w:szCs w:val="13"/>
                <w:lang w:val="en-GB"/>
              </w:rPr>
            </w:pPr>
            <w:r w:rsidRPr="009C48DA">
              <w:rPr>
                <w:rFonts w:cs="Times New Roman"/>
                <w:sz w:val="13"/>
                <w:szCs w:val="13"/>
                <w:lang w:val="en-GB"/>
              </w:rPr>
              <w:t>20%</w:t>
            </w:r>
          </w:p>
        </w:tc>
        <w:tc>
          <w:tcPr>
            <w:tcW w:w="676" w:type="dxa"/>
            <w:vAlign w:val="bottom"/>
          </w:tcPr>
          <w:p w:rsidRPr="009C48DA" w:rsidR="006E2EFC" w:rsidP="00143D62" w:rsidRDefault="006E2EFC" w14:paraId="39C7DAE8" w14:textId="77777777">
            <w:pPr>
              <w:jc w:val="right"/>
              <w:rPr>
                <w:rFonts w:cs="Times New Roman"/>
                <w:sz w:val="13"/>
                <w:szCs w:val="13"/>
                <w:lang w:val="en-GB"/>
              </w:rPr>
            </w:pPr>
            <w:r w:rsidRPr="009C48DA">
              <w:rPr>
                <w:rFonts w:cs="Times New Roman"/>
                <w:sz w:val="13"/>
                <w:szCs w:val="13"/>
                <w:lang w:val="en-GB"/>
              </w:rPr>
              <w:t>100%</w:t>
            </w:r>
          </w:p>
        </w:tc>
        <w:tc>
          <w:tcPr>
            <w:tcW w:w="919" w:type="dxa"/>
            <w:vAlign w:val="bottom"/>
          </w:tcPr>
          <w:p w:rsidRPr="009C48DA" w:rsidR="006E2EFC" w:rsidP="00143D62" w:rsidRDefault="006E2EFC" w14:paraId="4325C2B5" w14:textId="77777777">
            <w:pPr>
              <w:keepNext/>
              <w:jc w:val="right"/>
              <w:rPr>
                <w:rFonts w:cs="Times New Roman"/>
                <w:sz w:val="13"/>
                <w:szCs w:val="13"/>
                <w:lang w:val="en-GB"/>
              </w:rPr>
            </w:pPr>
            <w:r w:rsidRPr="009C48DA">
              <w:rPr>
                <w:rFonts w:cs="Times New Roman"/>
                <w:sz w:val="13"/>
                <w:szCs w:val="13"/>
                <w:lang w:val="en-GB"/>
              </w:rPr>
              <w:t>19%</w:t>
            </w:r>
          </w:p>
        </w:tc>
      </w:tr>
      <w:tr w:rsidRPr="009C48DA" w:rsidR="006E2EFC" w:rsidTr="0032371F" w14:paraId="0C3B80BD" w14:textId="77777777">
        <w:trPr>
          <w:trHeight w:val="74"/>
        </w:trPr>
        <w:tc>
          <w:tcPr>
            <w:tcW w:w="1418" w:type="dxa"/>
            <w:shd w:val="clear" w:color="auto" w:fill="auto"/>
            <w:vAlign w:val="bottom"/>
          </w:tcPr>
          <w:p w:rsidRPr="009C48DA" w:rsidR="006E2EFC" w:rsidP="00143D62" w:rsidRDefault="00961BEE" w14:paraId="4010CDC9" w14:textId="14F4A7C3">
            <w:pPr>
              <w:keepNext/>
              <w:rPr>
                <w:rFonts w:cs="Times New Roman"/>
                <w:sz w:val="13"/>
                <w:szCs w:val="13"/>
                <w:lang w:val="en-GB"/>
              </w:rPr>
            </w:pPr>
            <w:r w:rsidRPr="009C48DA">
              <w:rPr>
                <w:rFonts w:cs="Times New Roman"/>
                <w:sz w:val="13"/>
                <w:szCs w:val="13"/>
                <w:lang w:val="en-GB"/>
              </w:rPr>
              <w:t xml:space="preserve">Bridgepoint </w:t>
            </w:r>
            <w:r w:rsidRPr="009C48DA" w:rsidR="006E2EFC">
              <w:rPr>
                <w:rFonts w:cs="Times New Roman"/>
                <w:sz w:val="13"/>
                <w:szCs w:val="13"/>
                <w:lang w:val="en-GB"/>
              </w:rPr>
              <w:t>Credit I</w:t>
            </w:r>
            <w:r w:rsidRPr="009C48DA" w:rsidR="006E2EFC">
              <w:rPr>
                <w:rFonts w:cs="Times New Roman"/>
                <w:sz w:val="13"/>
                <w:szCs w:val="13"/>
                <w:vertAlign w:val="superscript"/>
                <w:lang w:val="en-GB"/>
              </w:rPr>
              <w:t>(4)</w:t>
            </w:r>
          </w:p>
        </w:tc>
        <w:tc>
          <w:tcPr>
            <w:tcW w:w="976" w:type="dxa"/>
            <w:vAlign w:val="bottom"/>
          </w:tcPr>
          <w:p w:rsidRPr="009C48DA" w:rsidR="006E2EFC" w:rsidP="00143D62" w:rsidRDefault="006E2EFC" w14:paraId="5FB36FE9" w14:textId="77777777">
            <w:pPr>
              <w:jc w:val="right"/>
              <w:rPr>
                <w:rFonts w:cs="Times New Roman"/>
                <w:sz w:val="13"/>
                <w:szCs w:val="13"/>
                <w:lang w:val="en-GB"/>
              </w:rPr>
            </w:pPr>
            <w:r w:rsidRPr="009C48DA">
              <w:rPr>
                <w:rFonts w:cs="Times New Roman"/>
                <w:sz w:val="13"/>
                <w:szCs w:val="13"/>
                <w:lang w:val="en-GB"/>
              </w:rPr>
              <w:t>182</w:t>
            </w:r>
          </w:p>
        </w:tc>
        <w:tc>
          <w:tcPr>
            <w:tcW w:w="812" w:type="dxa"/>
            <w:vAlign w:val="bottom"/>
          </w:tcPr>
          <w:p w:rsidRPr="009C48DA" w:rsidR="006E2EFC" w:rsidP="00143D62" w:rsidRDefault="006E2EFC" w14:paraId="01D919F6" w14:textId="77777777">
            <w:pPr>
              <w:jc w:val="right"/>
              <w:rPr>
                <w:rFonts w:cs="Times New Roman"/>
                <w:sz w:val="13"/>
                <w:szCs w:val="13"/>
                <w:lang w:val="en-GB"/>
              </w:rPr>
            </w:pPr>
            <w:r w:rsidRPr="009C48DA">
              <w:rPr>
                <w:rFonts w:cs="Times New Roman"/>
                <w:sz w:val="13"/>
                <w:szCs w:val="13"/>
                <w:lang w:val="en-GB"/>
              </w:rPr>
              <w:t>170</w:t>
            </w:r>
          </w:p>
        </w:tc>
        <w:tc>
          <w:tcPr>
            <w:tcW w:w="752" w:type="dxa"/>
            <w:vAlign w:val="bottom"/>
          </w:tcPr>
          <w:p w:rsidRPr="009C48DA" w:rsidR="006E2EFC" w:rsidP="00143D62" w:rsidRDefault="006E2EFC" w14:paraId="00C59D75" w14:textId="77777777">
            <w:pPr>
              <w:jc w:val="right"/>
              <w:rPr>
                <w:rFonts w:cs="Times New Roman"/>
                <w:sz w:val="13"/>
                <w:szCs w:val="13"/>
                <w:lang w:val="en-GB"/>
              </w:rPr>
            </w:pPr>
            <w:r w:rsidRPr="009C48DA">
              <w:rPr>
                <w:rFonts w:cs="Times New Roman"/>
                <w:sz w:val="13"/>
                <w:szCs w:val="13"/>
                <w:lang w:val="en-GB"/>
              </w:rPr>
              <w:t>161</w:t>
            </w:r>
          </w:p>
        </w:tc>
        <w:tc>
          <w:tcPr>
            <w:tcW w:w="662" w:type="dxa"/>
            <w:vAlign w:val="bottom"/>
          </w:tcPr>
          <w:p w:rsidRPr="009C48DA" w:rsidR="006E2EFC" w:rsidP="00143D62" w:rsidRDefault="006E2EFC" w14:paraId="38362FA1" w14:textId="77777777">
            <w:pPr>
              <w:jc w:val="right"/>
              <w:rPr>
                <w:rFonts w:cs="Times New Roman"/>
                <w:sz w:val="13"/>
                <w:szCs w:val="13"/>
                <w:lang w:val="en-GB"/>
              </w:rPr>
            </w:pPr>
            <w:r w:rsidRPr="009C48DA">
              <w:rPr>
                <w:rFonts w:cs="Times New Roman"/>
                <w:sz w:val="13"/>
                <w:szCs w:val="13"/>
                <w:lang w:val="en-GB"/>
              </w:rPr>
              <w:t>2019</w:t>
            </w:r>
          </w:p>
        </w:tc>
        <w:tc>
          <w:tcPr>
            <w:tcW w:w="686" w:type="dxa"/>
            <w:vAlign w:val="bottom"/>
          </w:tcPr>
          <w:p w:rsidRPr="009C48DA" w:rsidR="006E2EFC" w:rsidP="00143D62" w:rsidRDefault="006E2EFC" w14:paraId="11CDFEB7" w14:textId="77777777">
            <w:pPr>
              <w:jc w:val="right"/>
              <w:rPr>
                <w:rFonts w:cs="Times New Roman"/>
                <w:sz w:val="13"/>
                <w:szCs w:val="13"/>
                <w:lang w:val="en-GB"/>
              </w:rPr>
            </w:pPr>
            <w:r w:rsidRPr="009C48DA">
              <w:rPr>
                <w:rFonts w:cs="Times New Roman"/>
                <w:sz w:val="13"/>
                <w:szCs w:val="13"/>
                <w:lang w:val="en-GB"/>
              </w:rPr>
              <w:t>90%</w:t>
            </w:r>
          </w:p>
        </w:tc>
        <w:tc>
          <w:tcPr>
            <w:tcW w:w="992" w:type="dxa"/>
            <w:shd w:val="clear" w:color="auto" w:fill="auto"/>
            <w:vAlign w:val="bottom"/>
          </w:tcPr>
          <w:p w:rsidRPr="009C48DA" w:rsidR="006E2EFC" w:rsidP="00143D62" w:rsidRDefault="006E2EFC" w14:paraId="26B160F0" w14:textId="77777777">
            <w:pPr>
              <w:jc w:val="right"/>
              <w:rPr>
                <w:rFonts w:cs="Times New Roman"/>
                <w:sz w:val="13"/>
                <w:szCs w:val="13"/>
                <w:lang w:val="en-GB"/>
              </w:rPr>
            </w:pPr>
            <w:r w:rsidRPr="009C48DA">
              <w:rPr>
                <w:rFonts w:cs="Times New Roman"/>
                <w:sz w:val="13"/>
                <w:szCs w:val="13"/>
                <w:lang w:val="en-GB"/>
              </w:rPr>
              <w:t>5%</w:t>
            </w:r>
          </w:p>
        </w:tc>
        <w:tc>
          <w:tcPr>
            <w:tcW w:w="827" w:type="dxa"/>
            <w:shd w:val="clear" w:color="auto" w:fill="auto"/>
            <w:vAlign w:val="bottom"/>
          </w:tcPr>
          <w:p w:rsidRPr="009C48DA" w:rsidR="006E2EFC" w:rsidP="00143D62" w:rsidRDefault="006E2EFC" w14:paraId="7DE0A256" w14:textId="77777777">
            <w:pPr>
              <w:jc w:val="right"/>
              <w:rPr>
                <w:rFonts w:cs="Times New Roman"/>
                <w:sz w:val="13"/>
                <w:szCs w:val="13"/>
                <w:lang w:val="en-GB"/>
              </w:rPr>
            </w:pPr>
            <w:r w:rsidRPr="009C48DA">
              <w:rPr>
                <w:rFonts w:cs="Times New Roman"/>
                <w:sz w:val="13"/>
                <w:szCs w:val="13"/>
                <w:lang w:val="en-GB"/>
              </w:rPr>
              <w:t>12.50%</w:t>
            </w:r>
          </w:p>
        </w:tc>
        <w:tc>
          <w:tcPr>
            <w:tcW w:w="676" w:type="dxa"/>
            <w:vAlign w:val="bottom"/>
          </w:tcPr>
          <w:p w:rsidRPr="009C48DA" w:rsidR="006E2EFC" w:rsidP="00143D62" w:rsidRDefault="006E2EFC" w14:paraId="2DC0C490" w14:textId="77777777">
            <w:pPr>
              <w:jc w:val="right"/>
              <w:rPr>
                <w:rFonts w:cs="Times New Roman"/>
                <w:sz w:val="13"/>
                <w:szCs w:val="13"/>
                <w:lang w:val="en-GB"/>
              </w:rPr>
            </w:pPr>
            <w:r w:rsidRPr="009C48DA">
              <w:rPr>
                <w:rFonts w:cs="Times New Roman"/>
                <w:sz w:val="13"/>
                <w:szCs w:val="13"/>
                <w:lang w:val="en-GB"/>
              </w:rPr>
              <w:t>100%</w:t>
            </w:r>
          </w:p>
        </w:tc>
        <w:tc>
          <w:tcPr>
            <w:tcW w:w="919" w:type="dxa"/>
            <w:vAlign w:val="bottom"/>
          </w:tcPr>
          <w:p w:rsidRPr="009C48DA" w:rsidR="006E2EFC" w:rsidP="00143D62" w:rsidRDefault="006E2EFC" w14:paraId="5741A3F3" w14:textId="77777777">
            <w:pPr>
              <w:keepNext/>
              <w:jc w:val="right"/>
              <w:rPr>
                <w:rFonts w:cs="Times New Roman"/>
                <w:sz w:val="13"/>
                <w:szCs w:val="13"/>
                <w:lang w:val="en-GB"/>
              </w:rPr>
            </w:pPr>
            <w:r w:rsidRPr="009C48DA">
              <w:rPr>
                <w:rFonts w:cs="Times New Roman"/>
                <w:sz w:val="13"/>
                <w:szCs w:val="13"/>
                <w:lang w:val="en-GB"/>
              </w:rPr>
              <w:t>22%</w:t>
            </w:r>
          </w:p>
        </w:tc>
      </w:tr>
      <w:tr w:rsidRPr="009C48DA" w:rsidR="006E2EFC" w:rsidTr="0032371F" w14:paraId="3A4A8B7C" w14:textId="77777777">
        <w:trPr>
          <w:trHeight w:val="74"/>
        </w:trPr>
        <w:tc>
          <w:tcPr>
            <w:tcW w:w="1418" w:type="dxa"/>
            <w:shd w:val="clear" w:color="auto" w:fill="auto"/>
            <w:vAlign w:val="bottom"/>
          </w:tcPr>
          <w:p w:rsidRPr="009C48DA" w:rsidR="006E2EFC" w:rsidP="00143D62" w:rsidRDefault="00961BEE" w14:paraId="61C695DE" w14:textId="4482CB48">
            <w:pPr>
              <w:keepNext/>
              <w:rPr>
                <w:rFonts w:cs="Times New Roman"/>
                <w:sz w:val="13"/>
                <w:szCs w:val="13"/>
                <w:lang w:val="en-GB"/>
              </w:rPr>
            </w:pPr>
            <w:r w:rsidRPr="009C48DA">
              <w:rPr>
                <w:rFonts w:cs="Times New Roman"/>
                <w:sz w:val="13"/>
                <w:szCs w:val="13"/>
                <w:lang w:val="en-GB"/>
              </w:rPr>
              <w:t xml:space="preserve">Bridgepoint </w:t>
            </w:r>
            <w:r w:rsidRPr="009C48DA" w:rsidR="006E2EFC">
              <w:rPr>
                <w:rFonts w:cs="Times New Roman"/>
                <w:sz w:val="13"/>
                <w:szCs w:val="13"/>
                <w:lang w:val="en-GB"/>
              </w:rPr>
              <w:t>Credit II</w:t>
            </w:r>
            <w:r w:rsidRPr="009C48DA" w:rsidR="006E2EFC">
              <w:rPr>
                <w:rFonts w:cs="Times New Roman"/>
                <w:sz w:val="13"/>
                <w:szCs w:val="13"/>
                <w:vertAlign w:val="superscript"/>
                <w:lang w:val="en-GB"/>
              </w:rPr>
              <w:t>(4)</w:t>
            </w:r>
          </w:p>
        </w:tc>
        <w:tc>
          <w:tcPr>
            <w:tcW w:w="976" w:type="dxa"/>
            <w:vAlign w:val="bottom"/>
          </w:tcPr>
          <w:p w:rsidRPr="009C48DA" w:rsidR="006E2EFC" w:rsidP="00143D62" w:rsidRDefault="006E2EFC" w14:paraId="1A70633B" w14:textId="77777777">
            <w:pPr>
              <w:jc w:val="right"/>
              <w:rPr>
                <w:rFonts w:cs="Times New Roman"/>
                <w:sz w:val="13"/>
                <w:szCs w:val="13"/>
                <w:lang w:val="en-GB"/>
              </w:rPr>
            </w:pPr>
            <w:r w:rsidRPr="009C48DA">
              <w:rPr>
                <w:rFonts w:cs="Times New Roman"/>
                <w:sz w:val="13"/>
                <w:szCs w:val="13"/>
                <w:lang w:val="en-GB"/>
              </w:rPr>
              <w:t>681</w:t>
            </w:r>
          </w:p>
        </w:tc>
        <w:tc>
          <w:tcPr>
            <w:tcW w:w="812" w:type="dxa"/>
            <w:vAlign w:val="bottom"/>
          </w:tcPr>
          <w:p w:rsidRPr="009C48DA" w:rsidR="006E2EFC" w:rsidP="00143D62" w:rsidRDefault="006E2EFC" w14:paraId="649B9264" w14:textId="77777777">
            <w:pPr>
              <w:jc w:val="right"/>
              <w:rPr>
                <w:rFonts w:cs="Times New Roman"/>
                <w:sz w:val="13"/>
                <w:szCs w:val="13"/>
                <w:lang w:val="en-GB"/>
              </w:rPr>
            </w:pPr>
            <w:r w:rsidRPr="009C48DA">
              <w:rPr>
                <w:rFonts w:cs="Times New Roman"/>
                <w:sz w:val="13"/>
                <w:szCs w:val="13"/>
                <w:lang w:val="en-GB"/>
              </w:rPr>
              <w:t>703</w:t>
            </w:r>
          </w:p>
        </w:tc>
        <w:tc>
          <w:tcPr>
            <w:tcW w:w="752" w:type="dxa"/>
            <w:vAlign w:val="bottom"/>
          </w:tcPr>
          <w:p w:rsidRPr="009C48DA" w:rsidR="006E2EFC" w:rsidP="00143D62" w:rsidRDefault="006E2EFC" w14:paraId="3F4BFCDD" w14:textId="77777777">
            <w:pPr>
              <w:jc w:val="right"/>
              <w:rPr>
                <w:rFonts w:cs="Times New Roman"/>
                <w:sz w:val="13"/>
                <w:szCs w:val="13"/>
                <w:lang w:val="en-GB"/>
              </w:rPr>
            </w:pPr>
            <w:r w:rsidRPr="009C48DA">
              <w:rPr>
                <w:rFonts w:cs="Times New Roman"/>
                <w:sz w:val="13"/>
                <w:szCs w:val="13"/>
                <w:lang w:val="en-GB"/>
              </w:rPr>
              <w:t>345</w:t>
            </w:r>
          </w:p>
        </w:tc>
        <w:tc>
          <w:tcPr>
            <w:tcW w:w="662" w:type="dxa"/>
            <w:vAlign w:val="bottom"/>
          </w:tcPr>
          <w:p w:rsidRPr="009C48DA" w:rsidR="006E2EFC" w:rsidP="00143D62" w:rsidRDefault="006E2EFC" w14:paraId="613091C2" w14:textId="77777777">
            <w:pPr>
              <w:jc w:val="right"/>
              <w:rPr>
                <w:rFonts w:cs="Times New Roman"/>
                <w:sz w:val="13"/>
                <w:szCs w:val="13"/>
                <w:lang w:val="en-GB"/>
              </w:rPr>
            </w:pPr>
            <w:r w:rsidRPr="009C48DA">
              <w:rPr>
                <w:rFonts w:cs="Times New Roman"/>
                <w:sz w:val="13"/>
                <w:szCs w:val="13"/>
                <w:lang w:val="en-GB"/>
              </w:rPr>
              <w:t>2020</w:t>
            </w:r>
          </w:p>
        </w:tc>
        <w:tc>
          <w:tcPr>
            <w:tcW w:w="686" w:type="dxa"/>
            <w:vAlign w:val="bottom"/>
          </w:tcPr>
          <w:p w:rsidRPr="009C48DA" w:rsidR="006E2EFC" w:rsidP="00143D62" w:rsidRDefault="006E2EFC" w14:paraId="1F54B9C3" w14:textId="77777777">
            <w:pPr>
              <w:jc w:val="right"/>
              <w:rPr>
                <w:rFonts w:cs="Times New Roman"/>
                <w:sz w:val="13"/>
                <w:szCs w:val="13"/>
                <w:lang w:val="en-GB"/>
              </w:rPr>
            </w:pPr>
            <w:r w:rsidRPr="009C48DA">
              <w:rPr>
                <w:rFonts w:cs="Times New Roman"/>
                <w:sz w:val="13"/>
                <w:szCs w:val="13"/>
                <w:lang w:val="en-GB"/>
              </w:rPr>
              <w:t>57%</w:t>
            </w:r>
          </w:p>
        </w:tc>
        <w:tc>
          <w:tcPr>
            <w:tcW w:w="992" w:type="dxa"/>
            <w:shd w:val="clear" w:color="auto" w:fill="auto"/>
            <w:vAlign w:val="bottom"/>
          </w:tcPr>
          <w:p w:rsidRPr="009C48DA" w:rsidR="006E2EFC" w:rsidP="00143D62" w:rsidRDefault="006E2EFC" w14:paraId="1067321A" w14:textId="77777777">
            <w:pPr>
              <w:jc w:val="right"/>
              <w:rPr>
                <w:rFonts w:cs="Times New Roman"/>
                <w:sz w:val="13"/>
                <w:szCs w:val="13"/>
                <w:lang w:val="en-GB"/>
              </w:rPr>
            </w:pPr>
            <w:r w:rsidRPr="009C48DA">
              <w:rPr>
                <w:rFonts w:cs="Times New Roman"/>
                <w:sz w:val="13"/>
                <w:szCs w:val="13"/>
                <w:lang w:val="en-GB"/>
              </w:rPr>
              <w:t>5%</w:t>
            </w:r>
          </w:p>
        </w:tc>
        <w:tc>
          <w:tcPr>
            <w:tcW w:w="827" w:type="dxa"/>
            <w:shd w:val="clear" w:color="auto" w:fill="auto"/>
            <w:vAlign w:val="bottom"/>
          </w:tcPr>
          <w:p w:rsidRPr="009C48DA" w:rsidR="006E2EFC" w:rsidP="00143D62" w:rsidRDefault="006E2EFC" w14:paraId="61F9D520" w14:textId="77777777">
            <w:pPr>
              <w:jc w:val="right"/>
              <w:rPr>
                <w:rFonts w:cs="Times New Roman"/>
                <w:sz w:val="13"/>
                <w:szCs w:val="13"/>
                <w:lang w:val="en-GB"/>
              </w:rPr>
            </w:pPr>
            <w:r w:rsidRPr="009C48DA">
              <w:rPr>
                <w:rFonts w:cs="Times New Roman"/>
                <w:sz w:val="13"/>
                <w:szCs w:val="13"/>
                <w:lang w:val="en-GB"/>
              </w:rPr>
              <w:t>12.50%</w:t>
            </w:r>
          </w:p>
        </w:tc>
        <w:tc>
          <w:tcPr>
            <w:tcW w:w="676" w:type="dxa"/>
            <w:vAlign w:val="bottom"/>
          </w:tcPr>
          <w:p w:rsidRPr="009C48DA" w:rsidR="006E2EFC" w:rsidP="00143D62" w:rsidRDefault="006E2EFC" w14:paraId="487229FB" w14:textId="77777777">
            <w:pPr>
              <w:jc w:val="right"/>
              <w:rPr>
                <w:rFonts w:cs="Times New Roman"/>
                <w:sz w:val="13"/>
                <w:szCs w:val="13"/>
                <w:lang w:val="en-GB"/>
              </w:rPr>
            </w:pPr>
            <w:r w:rsidRPr="009C48DA">
              <w:rPr>
                <w:rFonts w:cs="Times New Roman"/>
                <w:sz w:val="13"/>
                <w:szCs w:val="13"/>
                <w:lang w:val="en-GB"/>
              </w:rPr>
              <w:t>100%</w:t>
            </w:r>
          </w:p>
        </w:tc>
        <w:tc>
          <w:tcPr>
            <w:tcW w:w="919" w:type="dxa"/>
            <w:vAlign w:val="bottom"/>
          </w:tcPr>
          <w:p w:rsidRPr="009C48DA" w:rsidR="006E2EFC" w:rsidP="00143D62" w:rsidRDefault="006E2EFC" w14:paraId="5EC1579A" w14:textId="77777777">
            <w:pPr>
              <w:keepNext/>
              <w:jc w:val="right"/>
              <w:rPr>
                <w:rFonts w:cs="Times New Roman"/>
                <w:sz w:val="13"/>
                <w:szCs w:val="13"/>
                <w:lang w:val="en-GB"/>
              </w:rPr>
            </w:pPr>
            <w:r w:rsidRPr="009C48DA">
              <w:rPr>
                <w:rFonts w:cs="Times New Roman"/>
                <w:sz w:val="13"/>
                <w:szCs w:val="13"/>
                <w:lang w:val="en-GB"/>
              </w:rPr>
              <w:t>25%</w:t>
            </w:r>
          </w:p>
        </w:tc>
      </w:tr>
      <w:tr w:rsidRPr="009C48DA" w:rsidR="006E2EFC" w:rsidTr="0032371F" w14:paraId="242A890B" w14:textId="77777777">
        <w:trPr>
          <w:trHeight w:val="74"/>
        </w:trPr>
        <w:tc>
          <w:tcPr>
            <w:tcW w:w="1418" w:type="dxa"/>
            <w:shd w:val="clear" w:color="auto" w:fill="auto"/>
            <w:vAlign w:val="bottom"/>
          </w:tcPr>
          <w:p w:rsidRPr="009C48DA" w:rsidR="006E2EFC" w:rsidP="00143D62" w:rsidRDefault="00961BEE" w14:paraId="58D5D409" w14:textId="56F89EDD">
            <w:pPr>
              <w:keepNext/>
              <w:rPr>
                <w:rFonts w:cs="Times New Roman"/>
                <w:sz w:val="13"/>
                <w:szCs w:val="13"/>
                <w:lang w:val="en-GB"/>
              </w:rPr>
            </w:pPr>
            <w:r w:rsidRPr="009C48DA">
              <w:rPr>
                <w:rFonts w:cs="Times New Roman"/>
                <w:sz w:val="13"/>
                <w:szCs w:val="13"/>
                <w:lang w:val="en-GB"/>
              </w:rPr>
              <w:t xml:space="preserve">Bridgepoint </w:t>
            </w:r>
            <w:r w:rsidRPr="009C48DA" w:rsidR="006E2EFC">
              <w:rPr>
                <w:rFonts w:cs="Times New Roman"/>
                <w:sz w:val="13"/>
                <w:szCs w:val="13"/>
                <w:lang w:val="en-GB"/>
              </w:rPr>
              <w:t>Direct Lending I</w:t>
            </w:r>
          </w:p>
        </w:tc>
        <w:tc>
          <w:tcPr>
            <w:tcW w:w="976" w:type="dxa"/>
            <w:vAlign w:val="bottom"/>
          </w:tcPr>
          <w:p w:rsidRPr="009C48DA" w:rsidR="006E2EFC" w:rsidP="00143D62" w:rsidRDefault="006E2EFC" w14:paraId="1E343BC2" w14:textId="77777777">
            <w:pPr>
              <w:jc w:val="right"/>
              <w:rPr>
                <w:rFonts w:cs="Times New Roman"/>
                <w:sz w:val="13"/>
                <w:szCs w:val="13"/>
                <w:lang w:val="en-GB"/>
              </w:rPr>
            </w:pPr>
            <w:r w:rsidRPr="009C48DA">
              <w:rPr>
                <w:rFonts w:cs="Times New Roman"/>
                <w:sz w:val="13"/>
                <w:szCs w:val="13"/>
                <w:lang w:val="en-GB"/>
              </w:rPr>
              <w:t>530</w:t>
            </w:r>
          </w:p>
        </w:tc>
        <w:tc>
          <w:tcPr>
            <w:tcW w:w="812" w:type="dxa"/>
            <w:vAlign w:val="bottom"/>
          </w:tcPr>
          <w:p w:rsidRPr="009C48DA" w:rsidR="006E2EFC" w:rsidP="00143D62" w:rsidRDefault="006E2EFC" w14:paraId="54E536D3" w14:textId="77777777">
            <w:pPr>
              <w:jc w:val="right"/>
              <w:rPr>
                <w:rFonts w:cs="Times New Roman"/>
                <w:sz w:val="13"/>
                <w:szCs w:val="13"/>
                <w:lang w:val="en-GB"/>
              </w:rPr>
            </w:pPr>
            <w:r w:rsidRPr="009C48DA">
              <w:rPr>
                <w:rFonts w:cs="Times New Roman"/>
                <w:sz w:val="13"/>
                <w:szCs w:val="13"/>
                <w:lang w:val="en-GB"/>
              </w:rPr>
              <w:t>439</w:t>
            </w:r>
          </w:p>
        </w:tc>
        <w:tc>
          <w:tcPr>
            <w:tcW w:w="752" w:type="dxa"/>
            <w:vAlign w:val="bottom"/>
          </w:tcPr>
          <w:p w:rsidRPr="009C48DA" w:rsidR="006E2EFC" w:rsidP="00143D62" w:rsidRDefault="006E2EFC" w14:paraId="78752314" w14:textId="77777777">
            <w:pPr>
              <w:jc w:val="right"/>
              <w:rPr>
                <w:rFonts w:cs="Times New Roman"/>
                <w:sz w:val="13"/>
                <w:szCs w:val="13"/>
                <w:lang w:val="en-GB"/>
              </w:rPr>
            </w:pPr>
            <w:r w:rsidRPr="009C48DA">
              <w:rPr>
                <w:rFonts w:cs="Times New Roman"/>
                <w:sz w:val="13"/>
                <w:szCs w:val="13"/>
                <w:lang w:val="en-GB"/>
              </w:rPr>
              <w:t>333</w:t>
            </w:r>
          </w:p>
        </w:tc>
        <w:tc>
          <w:tcPr>
            <w:tcW w:w="662" w:type="dxa"/>
            <w:vAlign w:val="bottom"/>
          </w:tcPr>
          <w:p w:rsidRPr="009C48DA" w:rsidR="006E2EFC" w:rsidP="00143D62" w:rsidRDefault="006E2EFC" w14:paraId="40CF9BB8" w14:textId="77777777">
            <w:pPr>
              <w:jc w:val="right"/>
              <w:rPr>
                <w:rFonts w:cs="Times New Roman"/>
                <w:sz w:val="13"/>
                <w:szCs w:val="13"/>
                <w:lang w:val="en-GB"/>
              </w:rPr>
            </w:pPr>
            <w:r w:rsidRPr="009C48DA">
              <w:rPr>
                <w:rFonts w:cs="Times New Roman"/>
                <w:sz w:val="13"/>
                <w:szCs w:val="13"/>
                <w:lang w:val="en-GB"/>
              </w:rPr>
              <w:t>2015</w:t>
            </w:r>
          </w:p>
        </w:tc>
        <w:tc>
          <w:tcPr>
            <w:tcW w:w="686" w:type="dxa"/>
            <w:vAlign w:val="bottom"/>
          </w:tcPr>
          <w:p w:rsidRPr="009C48DA" w:rsidR="006E2EFC" w:rsidP="00143D62" w:rsidRDefault="006E2EFC" w14:paraId="7795B995" w14:textId="77777777">
            <w:pPr>
              <w:jc w:val="right"/>
              <w:rPr>
                <w:rFonts w:cs="Times New Roman"/>
                <w:sz w:val="13"/>
                <w:szCs w:val="13"/>
                <w:lang w:val="en-GB"/>
              </w:rPr>
            </w:pPr>
            <w:r w:rsidRPr="009C48DA">
              <w:rPr>
                <w:rFonts w:cs="Times New Roman"/>
                <w:sz w:val="13"/>
                <w:szCs w:val="13"/>
                <w:lang w:val="en-GB"/>
              </w:rPr>
              <w:t>68%</w:t>
            </w:r>
          </w:p>
        </w:tc>
        <w:tc>
          <w:tcPr>
            <w:tcW w:w="992" w:type="dxa"/>
            <w:shd w:val="clear" w:color="auto" w:fill="auto"/>
            <w:vAlign w:val="bottom"/>
          </w:tcPr>
          <w:p w:rsidRPr="009C48DA" w:rsidR="006E2EFC" w:rsidP="00143D62" w:rsidRDefault="006E2EFC" w14:paraId="45FD7DDE" w14:textId="77777777">
            <w:pPr>
              <w:jc w:val="right"/>
              <w:rPr>
                <w:rFonts w:cs="Times New Roman"/>
                <w:sz w:val="13"/>
                <w:szCs w:val="13"/>
                <w:lang w:val="en-GB"/>
              </w:rPr>
            </w:pPr>
            <w:r w:rsidRPr="009C48DA">
              <w:rPr>
                <w:rFonts w:cs="Times New Roman"/>
                <w:sz w:val="13"/>
                <w:szCs w:val="13"/>
                <w:lang w:val="en-GB"/>
              </w:rPr>
              <w:t>5% / 5%</w:t>
            </w:r>
          </w:p>
        </w:tc>
        <w:tc>
          <w:tcPr>
            <w:tcW w:w="827" w:type="dxa"/>
            <w:shd w:val="clear" w:color="auto" w:fill="auto"/>
            <w:vAlign w:val="bottom"/>
          </w:tcPr>
          <w:p w:rsidRPr="009C48DA" w:rsidR="006E2EFC" w:rsidP="00143D62" w:rsidRDefault="006E2EFC" w14:paraId="28D2877D" w14:textId="77777777">
            <w:pPr>
              <w:jc w:val="right"/>
              <w:rPr>
                <w:rFonts w:cs="Times New Roman"/>
                <w:sz w:val="13"/>
                <w:szCs w:val="13"/>
                <w:lang w:val="en-GB"/>
              </w:rPr>
            </w:pPr>
            <w:r w:rsidRPr="009C48DA">
              <w:rPr>
                <w:rFonts w:cs="Times New Roman"/>
                <w:sz w:val="13"/>
                <w:szCs w:val="13"/>
                <w:lang w:val="en-GB"/>
              </w:rPr>
              <w:t>10% / 20%</w:t>
            </w:r>
          </w:p>
        </w:tc>
        <w:tc>
          <w:tcPr>
            <w:tcW w:w="676" w:type="dxa"/>
            <w:vAlign w:val="bottom"/>
          </w:tcPr>
          <w:p w:rsidRPr="009C48DA" w:rsidR="006E2EFC" w:rsidP="00143D62" w:rsidRDefault="006E2EFC" w14:paraId="2FA49815" w14:textId="77777777">
            <w:pPr>
              <w:jc w:val="right"/>
              <w:rPr>
                <w:rFonts w:cs="Times New Roman"/>
                <w:sz w:val="13"/>
                <w:szCs w:val="13"/>
                <w:lang w:val="en-GB"/>
              </w:rPr>
            </w:pPr>
            <w:r w:rsidRPr="009C48DA">
              <w:rPr>
                <w:rFonts w:cs="Times New Roman"/>
                <w:sz w:val="13"/>
                <w:szCs w:val="13"/>
                <w:lang w:val="en-GB"/>
              </w:rPr>
              <w:t>100% / 0%</w:t>
            </w:r>
          </w:p>
        </w:tc>
        <w:tc>
          <w:tcPr>
            <w:tcW w:w="919" w:type="dxa"/>
            <w:vAlign w:val="bottom"/>
          </w:tcPr>
          <w:p w:rsidRPr="009C48DA" w:rsidR="006E2EFC" w:rsidP="00143D62" w:rsidRDefault="006E2EFC" w14:paraId="586B3704" w14:textId="77777777">
            <w:pPr>
              <w:keepNext/>
              <w:jc w:val="right"/>
              <w:rPr>
                <w:rFonts w:cs="Times New Roman"/>
                <w:sz w:val="13"/>
                <w:szCs w:val="13"/>
                <w:lang w:val="en-GB"/>
              </w:rPr>
            </w:pPr>
            <w:r w:rsidRPr="009C48DA">
              <w:rPr>
                <w:rFonts w:cs="Times New Roman"/>
                <w:sz w:val="13"/>
                <w:szCs w:val="13"/>
                <w:lang w:val="en-GB"/>
              </w:rPr>
              <w:t>26%</w:t>
            </w:r>
          </w:p>
        </w:tc>
      </w:tr>
      <w:tr w:rsidRPr="009C48DA" w:rsidR="006E2EFC" w:rsidTr="0032371F" w14:paraId="1B1065BC" w14:textId="77777777">
        <w:trPr>
          <w:trHeight w:val="74"/>
        </w:trPr>
        <w:tc>
          <w:tcPr>
            <w:tcW w:w="1418" w:type="dxa"/>
            <w:shd w:val="clear" w:color="auto" w:fill="auto"/>
            <w:vAlign w:val="bottom"/>
          </w:tcPr>
          <w:p w:rsidRPr="009C48DA" w:rsidR="006E2EFC" w:rsidP="00143D62" w:rsidRDefault="00961BEE" w14:paraId="0ED836C0" w14:textId="091E798F">
            <w:pPr>
              <w:keepNext/>
              <w:rPr>
                <w:rFonts w:cs="Times New Roman"/>
                <w:sz w:val="13"/>
                <w:szCs w:val="13"/>
                <w:lang w:val="en-GB"/>
              </w:rPr>
            </w:pPr>
            <w:r w:rsidRPr="009C48DA">
              <w:rPr>
                <w:rFonts w:cs="Times New Roman"/>
                <w:sz w:val="13"/>
                <w:szCs w:val="13"/>
                <w:lang w:val="en-GB"/>
              </w:rPr>
              <w:t xml:space="preserve">Bridgepoint </w:t>
            </w:r>
            <w:r w:rsidRPr="009C48DA" w:rsidR="006E2EFC">
              <w:rPr>
                <w:rFonts w:cs="Times New Roman"/>
                <w:sz w:val="13"/>
                <w:szCs w:val="13"/>
                <w:lang w:val="en-GB"/>
              </w:rPr>
              <w:t>Direct Lending II</w:t>
            </w:r>
          </w:p>
        </w:tc>
        <w:tc>
          <w:tcPr>
            <w:tcW w:w="976" w:type="dxa"/>
            <w:vAlign w:val="bottom"/>
          </w:tcPr>
          <w:p w:rsidRPr="009C48DA" w:rsidR="006E2EFC" w:rsidP="00143D62" w:rsidRDefault="006E2EFC" w14:paraId="17B92FBB" w14:textId="77777777">
            <w:pPr>
              <w:jc w:val="right"/>
              <w:rPr>
                <w:rFonts w:cs="Times New Roman"/>
                <w:sz w:val="13"/>
                <w:szCs w:val="13"/>
                <w:lang w:val="en-GB"/>
              </w:rPr>
            </w:pPr>
            <w:r w:rsidRPr="009C48DA">
              <w:rPr>
                <w:rFonts w:cs="Times New Roman"/>
                <w:sz w:val="13"/>
                <w:szCs w:val="13"/>
                <w:lang w:val="en-GB"/>
              </w:rPr>
              <w:t>2,256</w:t>
            </w:r>
          </w:p>
        </w:tc>
        <w:tc>
          <w:tcPr>
            <w:tcW w:w="812" w:type="dxa"/>
            <w:vAlign w:val="bottom"/>
          </w:tcPr>
          <w:p w:rsidRPr="009C48DA" w:rsidR="006E2EFC" w:rsidP="00143D62" w:rsidRDefault="006E2EFC" w14:paraId="3668D374" w14:textId="77777777">
            <w:pPr>
              <w:jc w:val="right"/>
              <w:rPr>
                <w:rFonts w:cs="Times New Roman"/>
                <w:sz w:val="13"/>
                <w:szCs w:val="13"/>
                <w:lang w:val="en-GB"/>
              </w:rPr>
            </w:pPr>
            <w:r w:rsidRPr="009C48DA">
              <w:rPr>
                <w:rFonts w:cs="Times New Roman"/>
                <w:sz w:val="13"/>
                <w:szCs w:val="13"/>
                <w:lang w:val="en-GB"/>
              </w:rPr>
              <w:t>2,301</w:t>
            </w:r>
          </w:p>
        </w:tc>
        <w:tc>
          <w:tcPr>
            <w:tcW w:w="752" w:type="dxa"/>
            <w:vAlign w:val="bottom"/>
          </w:tcPr>
          <w:p w:rsidRPr="009C48DA" w:rsidR="006E2EFC" w:rsidP="00143D62" w:rsidRDefault="006E2EFC" w14:paraId="6E84DDA8" w14:textId="77777777">
            <w:pPr>
              <w:jc w:val="right"/>
              <w:rPr>
                <w:rFonts w:cs="Times New Roman"/>
                <w:sz w:val="13"/>
                <w:szCs w:val="13"/>
                <w:lang w:val="en-GB"/>
              </w:rPr>
            </w:pPr>
            <w:r w:rsidRPr="009C48DA">
              <w:rPr>
                <w:rFonts w:cs="Times New Roman"/>
                <w:sz w:val="13"/>
                <w:szCs w:val="13"/>
                <w:lang w:val="en-GB"/>
              </w:rPr>
              <w:t>1,399</w:t>
            </w:r>
          </w:p>
        </w:tc>
        <w:tc>
          <w:tcPr>
            <w:tcW w:w="662" w:type="dxa"/>
            <w:vAlign w:val="bottom"/>
          </w:tcPr>
          <w:p w:rsidRPr="009C48DA" w:rsidR="006E2EFC" w:rsidP="00143D62" w:rsidRDefault="006E2EFC" w14:paraId="7A387209" w14:textId="77777777">
            <w:pPr>
              <w:jc w:val="right"/>
              <w:rPr>
                <w:rFonts w:cs="Times New Roman"/>
                <w:sz w:val="13"/>
                <w:szCs w:val="13"/>
                <w:lang w:val="en-GB"/>
              </w:rPr>
            </w:pPr>
            <w:r w:rsidRPr="009C48DA">
              <w:rPr>
                <w:rFonts w:cs="Times New Roman"/>
                <w:sz w:val="13"/>
                <w:szCs w:val="13"/>
                <w:lang w:val="en-GB"/>
              </w:rPr>
              <w:t>2017</w:t>
            </w:r>
          </w:p>
        </w:tc>
        <w:tc>
          <w:tcPr>
            <w:tcW w:w="686" w:type="dxa"/>
            <w:vAlign w:val="bottom"/>
          </w:tcPr>
          <w:p w:rsidRPr="009C48DA" w:rsidR="006E2EFC" w:rsidP="00143D62" w:rsidRDefault="006E2EFC" w14:paraId="627BB4C9" w14:textId="77777777">
            <w:pPr>
              <w:jc w:val="right"/>
              <w:rPr>
                <w:rFonts w:cs="Times New Roman"/>
                <w:sz w:val="13"/>
                <w:szCs w:val="13"/>
                <w:lang w:val="en-GB"/>
              </w:rPr>
            </w:pPr>
            <w:r w:rsidRPr="009C48DA">
              <w:rPr>
                <w:rFonts w:cs="Times New Roman"/>
                <w:sz w:val="13"/>
                <w:szCs w:val="13"/>
                <w:lang w:val="en-GB"/>
              </w:rPr>
              <w:t>88%</w:t>
            </w:r>
          </w:p>
        </w:tc>
        <w:tc>
          <w:tcPr>
            <w:tcW w:w="992" w:type="dxa"/>
            <w:shd w:val="clear" w:color="auto" w:fill="auto"/>
            <w:vAlign w:val="bottom"/>
          </w:tcPr>
          <w:p w:rsidRPr="009C48DA" w:rsidR="006E2EFC" w:rsidP="00143D62" w:rsidRDefault="006E2EFC" w14:paraId="3ED3640D" w14:textId="77777777">
            <w:pPr>
              <w:jc w:val="right"/>
              <w:rPr>
                <w:rFonts w:cs="Times New Roman"/>
                <w:sz w:val="13"/>
                <w:szCs w:val="13"/>
                <w:lang w:val="en-GB"/>
              </w:rPr>
            </w:pPr>
            <w:r w:rsidRPr="009C48DA">
              <w:rPr>
                <w:rFonts w:cs="Times New Roman"/>
                <w:sz w:val="13"/>
                <w:szCs w:val="13"/>
                <w:lang w:val="en-GB"/>
              </w:rPr>
              <w:t>5% / 6%</w:t>
            </w:r>
          </w:p>
        </w:tc>
        <w:tc>
          <w:tcPr>
            <w:tcW w:w="827" w:type="dxa"/>
            <w:shd w:val="clear" w:color="auto" w:fill="auto"/>
            <w:vAlign w:val="bottom"/>
          </w:tcPr>
          <w:p w:rsidRPr="009C48DA" w:rsidR="006E2EFC" w:rsidP="00143D62" w:rsidRDefault="006E2EFC" w14:paraId="4EB2292E" w14:textId="77777777">
            <w:pPr>
              <w:jc w:val="right"/>
              <w:rPr>
                <w:rFonts w:cs="Times New Roman"/>
                <w:sz w:val="13"/>
                <w:szCs w:val="13"/>
                <w:lang w:val="en-GB"/>
              </w:rPr>
            </w:pPr>
            <w:r w:rsidRPr="009C48DA">
              <w:rPr>
                <w:rFonts w:cs="Times New Roman"/>
                <w:sz w:val="13"/>
                <w:szCs w:val="13"/>
                <w:lang w:val="en-GB"/>
              </w:rPr>
              <w:t>10% / 15%</w:t>
            </w:r>
          </w:p>
        </w:tc>
        <w:tc>
          <w:tcPr>
            <w:tcW w:w="676" w:type="dxa"/>
            <w:vAlign w:val="bottom"/>
          </w:tcPr>
          <w:p w:rsidRPr="009C48DA" w:rsidR="006E2EFC" w:rsidP="00143D62" w:rsidRDefault="006E2EFC" w14:paraId="23E2971D" w14:textId="77777777">
            <w:pPr>
              <w:jc w:val="right"/>
              <w:rPr>
                <w:rFonts w:cs="Times New Roman"/>
                <w:sz w:val="13"/>
                <w:szCs w:val="13"/>
                <w:lang w:val="en-GB"/>
              </w:rPr>
            </w:pPr>
            <w:r w:rsidRPr="009C48DA">
              <w:rPr>
                <w:rFonts w:cs="Times New Roman"/>
                <w:sz w:val="13"/>
                <w:szCs w:val="13"/>
                <w:lang w:val="en-GB"/>
              </w:rPr>
              <w:t>50% / 50%</w:t>
            </w:r>
          </w:p>
        </w:tc>
        <w:tc>
          <w:tcPr>
            <w:tcW w:w="919" w:type="dxa"/>
            <w:vAlign w:val="bottom"/>
          </w:tcPr>
          <w:p w:rsidRPr="009C48DA" w:rsidR="006E2EFC" w:rsidP="00143D62" w:rsidRDefault="006E2EFC" w14:paraId="46CBFF5D" w14:textId="77777777">
            <w:pPr>
              <w:keepNext/>
              <w:jc w:val="right"/>
              <w:rPr>
                <w:rFonts w:cs="Times New Roman"/>
                <w:sz w:val="13"/>
                <w:szCs w:val="13"/>
                <w:lang w:val="en-GB"/>
              </w:rPr>
            </w:pPr>
            <w:r w:rsidRPr="009C48DA">
              <w:rPr>
                <w:rFonts w:cs="Times New Roman"/>
                <w:sz w:val="13"/>
                <w:szCs w:val="13"/>
                <w:lang w:val="en-GB"/>
              </w:rPr>
              <w:t>18%</w:t>
            </w:r>
          </w:p>
        </w:tc>
      </w:tr>
    </w:tbl>
    <w:p w:rsidRPr="009C48DA" w:rsidR="006E2EFC" w:rsidP="006E2EFC" w:rsidRDefault="006E2EFC" w14:paraId="0742BDF4" w14:textId="77777777">
      <w:pPr>
        <w:pBdr>
          <w:bottom w:val="single" w:color="auto" w:sz="4" w:space="1"/>
        </w:pBdr>
        <w:ind w:right="7200"/>
        <w:rPr>
          <w:lang w:val="en-GB"/>
        </w:rPr>
      </w:pPr>
    </w:p>
    <w:p w:rsidRPr="009C48DA" w:rsidR="004460D9" w:rsidP="006E2EFC" w:rsidRDefault="006E2EFC" w14:paraId="6FD87F55" w14:textId="53A3B32F">
      <w:pPr>
        <w:spacing w:after="240"/>
        <w:ind w:left="360" w:right="-40" w:hanging="360"/>
        <w:contextualSpacing/>
        <w:jc w:val="both"/>
        <w:rPr>
          <w:color w:val="000000"/>
          <w:sz w:val="17"/>
          <w:szCs w:val="17"/>
          <w:lang w:val="en-GB"/>
        </w:rPr>
      </w:pPr>
      <w:r w:rsidRPr="009C48DA">
        <w:rPr>
          <w:color w:val="000000"/>
          <w:sz w:val="17"/>
          <w:szCs w:val="17"/>
          <w:lang w:val="en-GB"/>
        </w:rPr>
        <w:t>(1)</w:t>
      </w:r>
      <w:r w:rsidRPr="009C48DA">
        <w:rPr>
          <w:color w:val="000000"/>
          <w:sz w:val="17"/>
          <w:szCs w:val="17"/>
          <w:lang w:val="en-GB"/>
        </w:rPr>
        <w:tab/>
      </w:r>
      <w:r w:rsidRPr="009C48DA" w:rsidR="009B4AE3">
        <w:rPr>
          <w:color w:val="000000"/>
          <w:sz w:val="17"/>
          <w:szCs w:val="17"/>
          <w:lang w:val="en-GB"/>
        </w:rPr>
        <w:t xml:space="preserve">The table shows all currently active private credit funds in the </w:t>
      </w:r>
      <w:r w:rsidRPr="009C48DA" w:rsidR="00961BEE">
        <w:rPr>
          <w:color w:val="000000"/>
          <w:sz w:val="17"/>
          <w:szCs w:val="17"/>
          <w:lang w:val="en-GB"/>
        </w:rPr>
        <w:t xml:space="preserve">Bridgepoint </w:t>
      </w:r>
      <w:r w:rsidRPr="009C48DA" w:rsidR="009B4AE3">
        <w:rPr>
          <w:color w:val="000000"/>
          <w:sz w:val="17"/>
          <w:szCs w:val="17"/>
          <w:lang w:val="en-GB"/>
        </w:rPr>
        <w:t xml:space="preserve">Credit Opportunities and </w:t>
      </w:r>
      <w:r w:rsidRPr="009C48DA" w:rsidR="00961BEE">
        <w:rPr>
          <w:color w:val="000000"/>
          <w:sz w:val="17"/>
          <w:szCs w:val="17"/>
          <w:lang w:val="en-GB"/>
        </w:rPr>
        <w:t xml:space="preserve">Bridgepoint </w:t>
      </w:r>
      <w:r w:rsidRPr="009C48DA" w:rsidR="009B4AE3">
        <w:rPr>
          <w:color w:val="000000"/>
          <w:sz w:val="17"/>
          <w:szCs w:val="17"/>
          <w:lang w:val="en-GB"/>
        </w:rPr>
        <w:t xml:space="preserve">Direct Lending strategies. The table does not include the </w:t>
      </w:r>
      <w:r w:rsidRPr="009C48DA" w:rsidR="00961BEE">
        <w:rPr>
          <w:color w:val="000000"/>
          <w:sz w:val="17"/>
          <w:szCs w:val="17"/>
          <w:lang w:val="en-GB"/>
        </w:rPr>
        <w:t xml:space="preserve">Bridgepoint </w:t>
      </w:r>
      <w:r w:rsidRPr="009C48DA" w:rsidR="009B4AE3">
        <w:rPr>
          <w:color w:val="000000"/>
          <w:sz w:val="17"/>
          <w:szCs w:val="17"/>
          <w:lang w:val="en-GB"/>
        </w:rPr>
        <w:t xml:space="preserve">Syndicated Debt funds, the </w:t>
      </w:r>
      <w:r w:rsidRPr="009C48DA" w:rsidR="00961BEE">
        <w:rPr>
          <w:color w:val="000000"/>
          <w:sz w:val="17"/>
          <w:szCs w:val="17"/>
          <w:lang w:val="en-GB"/>
        </w:rPr>
        <w:t xml:space="preserve">Bridgepoint </w:t>
      </w:r>
      <w:r w:rsidRPr="009C48DA" w:rsidR="009B4AE3">
        <w:rPr>
          <w:color w:val="000000"/>
          <w:sz w:val="17"/>
          <w:szCs w:val="17"/>
          <w:lang w:val="en-GB"/>
        </w:rPr>
        <w:t>CLOs and certain separately managed accounts. See “</w:t>
      </w:r>
      <w:r w:rsidRPr="009C48DA" w:rsidR="009B4AE3">
        <w:rPr>
          <w:i/>
          <w:color w:val="000000"/>
          <w:sz w:val="17"/>
          <w:szCs w:val="17"/>
          <w:lang w:val="en-GB"/>
        </w:rPr>
        <w:t>Deep dive by investment strategy</w:t>
      </w:r>
      <w:r w:rsidRPr="009C48DA" w:rsidR="004460D9">
        <w:rPr>
          <w:color w:val="000000"/>
          <w:sz w:val="17"/>
          <w:szCs w:val="17"/>
          <w:lang w:val="en-GB"/>
        </w:rPr>
        <w:t xml:space="preserve">” in </w:t>
      </w:r>
      <w:r w:rsidRPr="009C48DA" w:rsidR="00D71938">
        <w:rPr>
          <w:color w:val="000000"/>
          <w:sz w:val="17"/>
          <w:szCs w:val="17"/>
          <w:lang w:val="en-GB"/>
        </w:rPr>
        <w:fldChar w:fldCharType="begin"/>
      </w:r>
      <w:r w:rsidRPr="009C48DA" w:rsidR="00D71938">
        <w:rPr>
          <w:color w:val="000000"/>
          <w:sz w:val="17"/>
          <w:szCs w:val="17"/>
          <w:lang w:val="en-GB"/>
        </w:rPr>
        <w:instrText xml:space="preserve"> REF _Ref74466404 \n \h </w:instrText>
      </w:r>
      <w:r w:rsidRPr="009C48DA">
        <w:rPr>
          <w:color w:val="000000"/>
          <w:sz w:val="17"/>
          <w:szCs w:val="17"/>
          <w:lang w:val="en-GB"/>
        </w:rPr>
        <w:instrText xml:space="preserve"> \* MERGEFORMAT </w:instrText>
      </w:r>
      <w:r w:rsidRPr="009C48DA" w:rsidR="00D71938">
        <w:rPr>
          <w:color w:val="000000"/>
          <w:sz w:val="17"/>
          <w:szCs w:val="17"/>
          <w:lang w:val="en-GB"/>
        </w:rPr>
      </w:r>
      <w:r w:rsidRPr="009C48DA" w:rsidR="00D71938">
        <w:rPr>
          <w:color w:val="000000"/>
          <w:sz w:val="17"/>
          <w:szCs w:val="17"/>
          <w:lang w:val="en-GB"/>
        </w:rPr>
        <w:fldChar w:fldCharType="separate"/>
      </w:r>
      <w:r w:rsidR="007C3D19">
        <w:rPr>
          <w:color w:val="000000"/>
          <w:sz w:val="17"/>
          <w:szCs w:val="17"/>
          <w:lang w:val="en-GB"/>
        </w:rPr>
        <w:t>Part V</w:t>
      </w:r>
      <w:r w:rsidRPr="009C48DA" w:rsidR="00D71938">
        <w:rPr>
          <w:color w:val="000000"/>
          <w:sz w:val="17"/>
          <w:szCs w:val="17"/>
          <w:lang w:val="en-GB"/>
        </w:rPr>
        <w:fldChar w:fldCharType="end"/>
      </w:r>
      <w:r w:rsidRPr="009C48DA" w:rsidR="00D71938">
        <w:rPr>
          <w:color w:val="000000"/>
          <w:sz w:val="17"/>
          <w:szCs w:val="17"/>
          <w:lang w:val="en-GB"/>
        </w:rPr>
        <w:t xml:space="preserve"> (</w:t>
      </w:r>
      <w:r w:rsidRPr="009C48DA" w:rsidR="00D71938">
        <w:rPr>
          <w:i/>
          <w:color w:val="000000"/>
          <w:sz w:val="17"/>
          <w:szCs w:val="17"/>
          <w:lang w:val="en-GB"/>
        </w:rPr>
      </w:r>
      <w:r w:rsidRPr="007C3D19" w:rsidR="007C3D19">
        <w:rPr>
          <w:i/>
          <w:color w:val="000000"/>
          <w:sz w:val="17"/>
          <w:szCs w:val="17"/>
          <w:lang w:val="en-GB"/>
        </w:rPr>
        <w:t>The Business</w:t>
      </w:r>
      <w:r w:rsidRPr="009C48DA" w:rsidR="00D71938">
        <w:rPr>
          <w:color w:val="000000"/>
          <w:sz w:val="17"/>
          <w:szCs w:val="17"/>
          <w:lang w:val="en-GB"/>
        </w:rPr>
        <w:t xml:space="preserve">) </w:t>
      </w:r>
      <w:r w:rsidRPr="009C48DA" w:rsidR="004460D9">
        <w:rPr>
          <w:color w:val="000000"/>
          <w:sz w:val="17"/>
          <w:szCs w:val="17"/>
          <w:lang w:val="en-GB"/>
        </w:rPr>
        <w:t xml:space="preserve">for a discussion of the investment strategy and the key sectors covered by each of the strategies of the </w:t>
      </w:r>
      <w:r w:rsidRPr="009C48DA" w:rsidR="00961BEE">
        <w:rPr>
          <w:color w:val="000000"/>
          <w:sz w:val="17"/>
          <w:szCs w:val="17"/>
          <w:lang w:val="en-GB"/>
        </w:rPr>
        <w:t xml:space="preserve">Bridgepoint </w:t>
      </w:r>
      <w:r w:rsidRPr="009C48DA" w:rsidR="004460D9">
        <w:rPr>
          <w:color w:val="000000"/>
          <w:sz w:val="17"/>
          <w:szCs w:val="17"/>
          <w:lang w:val="en-GB"/>
        </w:rPr>
        <w:t>Funds.</w:t>
      </w:r>
    </w:p>
    <w:p w:rsidRPr="009C48DA" w:rsidR="004460D9" w:rsidP="004460D9" w:rsidRDefault="004460D9" w14:paraId="5F99C063" w14:textId="77D75A62">
      <w:pPr>
        <w:spacing w:after="240"/>
        <w:ind w:left="360" w:right="-40" w:hanging="360"/>
        <w:contextualSpacing/>
        <w:jc w:val="both"/>
        <w:rPr>
          <w:color w:val="000000"/>
          <w:sz w:val="17"/>
          <w:szCs w:val="17"/>
          <w:lang w:val="en-GB"/>
        </w:rPr>
      </w:pPr>
      <w:r w:rsidRPr="009C48DA">
        <w:rPr>
          <w:color w:val="000000"/>
          <w:sz w:val="17"/>
          <w:szCs w:val="17"/>
          <w:lang w:val="en-GB"/>
        </w:rPr>
        <w:t>(2)</w:t>
      </w:r>
      <w:r w:rsidRPr="009C48DA">
        <w:rPr>
          <w:color w:val="000000"/>
          <w:sz w:val="17"/>
          <w:szCs w:val="17"/>
          <w:lang w:val="en-GB"/>
        </w:rPr>
        <w:tab/>
        <w:t>See “—Alternative Performance</w:t>
      </w:r>
      <w:r w:rsidRPr="009C48DA">
        <w:rPr>
          <w:i/>
          <w:color w:val="000000"/>
          <w:sz w:val="17"/>
          <w:szCs w:val="17"/>
          <w:lang w:val="en-GB"/>
        </w:rPr>
        <w:t xml:space="preserve"> Measures and Key Performance Indicators—AUM and Total AUM</w:t>
      </w:r>
      <w:r w:rsidRPr="009C48DA">
        <w:rPr>
          <w:color w:val="000000"/>
          <w:sz w:val="17"/>
          <w:szCs w:val="17"/>
          <w:lang w:val="en-GB"/>
        </w:rPr>
        <w:t>” for a definition of these metrics.</w:t>
      </w:r>
    </w:p>
    <w:p w:rsidRPr="009C48DA" w:rsidR="009B4AE3" w:rsidP="009B4AE3" w:rsidRDefault="004460D9" w14:paraId="29C5A1B6" w14:textId="51FF2F23">
      <w:pPr>
        <w:spacing w:after="240"/>
        <w:ind w:left="360" w:right="-40" w:hanging="360"/>
        <w:contextualSpacing/>
        <w:jc w:val="both"/>
        <w:rPr>
          <w:color w:val="000000"/>
          <w:sz w:val="17"/>
          <w:szCs w:val="17"/>
          <w:lang w:val="en-GB"/>
        </w:rPr>
      </w:pPr>
      <w:r w:rsidRPr="009C48DA">
        <w:rPr>
          <w:color w:val="000000"/>
          <w:sz w:val="17"/>
          <w:szCs w:val="17"/>
          <w:lang w:val="en-GB"/>
        </w:rPr>
        <w:t>(3)</w:t>
      </w:r>
      <w:r w:rsidRPr="009C48DA">
        <w:rPr>
          <w:color w:val="000000"/>
          <w:sz w:val="17"/>
          <w:szCs w:val="17"/>
          <w:lang w:val="en-GB"/>
        </w:rPr>
        <w:tab/>
        <w:t xml:space="preserve">Some of </w:t>
      </w:r>
      <w:r w:rsidRPr="009C48DA" w:rsidR="006D5BFE">
        <w:rPr>
          <w:color w:val="000000"/>
          <w:sz w:val="17"/>
          <w:szCs w:val="17"/>
          <w:lang w:val="en-GB"/>
        </w:rPr>
        <w:t>Bridgepoint</w:t>
      </w:r>
      <w:r w:rsidRPr="009C48DA">
        <w:rPr>
          <w:color w:val="000000"/>
          <w:sz w:val="17"/>
          <w:szCs w:val="17"/>
          <w:lang w:val="en-GB"/>
        </w:rPr>
        <w:t xml:space="preserve">’s private credit fund have a levered and unlevered sleeve. The levered sleeve of </w:t>
      </w:r>
      <w:r w:rsidRPr="009C48DA" w:rsidR="006D5BFE">
        <w:rPr>
          <w:color w:val="000000"/>
          <w:sz w:val="17"/>
          <w:szCs w:val="17"/>
          <w:lang w:val="en-GB"/>
        </w:rPr>
        <w:t>Bridgepoint</w:t>
      </w:r>
      <w:r w:rsidRPr="009C48DA">
        <w:rPr>
          <w:color w:val="000000"/>
          <w:sz w:val="17"/>
          <w:szCs w:val="17"/>
          <w:lang w:val="en-GB"/>
        </w:rPr>
        <w:t xml:space="preserve">’s private credit fund entails the leveraging of that sleeve of the fund with debt, while this is not the case for the unlevered sleeve. The hurdle </w:t>
      </w:r>
      <w:r w:rsidRPr="009C48DA" w:rsidR="009B4AE3">
        <w:rPr>
          <w:color w:val="000000"/>
          <w:sz w:val="17"/>
          <w:szCs w:val="17"/>
          <w:lang w:val="en-GB"/>
        </w:rPr>
        <w:t>rate and total carried interest and catch-up rate</w:t>
      </w:r>
      <w:r w:rsidRPr="009C48DA">
        <w:rPr>
          <w:color w:val="000000"/>
          <w:sz w:val="17"/>
          <w:szCs w:val="17"/>
          <w:lang w:val="en-GB"/>
        </w:rPr>
        <w:t xml:space="preserve"> of some of </w:t>
      </w:r>
      <w:r w:rsidRPr="009C48DA" w:rsidR="006D5BFE">
        <w:rPr>
          <w:color w:val="000000"/>
          <w:sz w:val="17"/>
          <w:szCs w:val="17"/>
          <w:lang w:val="en-GB"/>
        </w:rPr>
        <w:t>Bridgepoint</w:t>
      </w:r>
      <w:r w:rsidRPr="009C48DA">
        <w:rPr>
          <w:color w:val="000000"/>
          <w:sz w:val="17"/>
          <w:szCs w:val="17"/>
          <w:lang w:val="en-GB"/>
        </w:rPr>
        <w:t>’s private credit funds are different in the levered and unlevered sleeve.</w:t>
      </w:r>
    </w:p>
    <w:p w:rsidRPr="009C48DA" w:rsidR="009B4AE3" w:rsidP="009B4AE3" w:rsidRDefault="009B4AE3" w14:paraId="6CB162F6" w14:textId="67B53A96">
      <w:pPr>
        <w:spacing w:after="240"/>
        <w:ind w:left="360" w:right="-40" w:hanging="360"/>
        <w:contextualSpacing/>
        <w:jc w:val="both"/>
        <w:rPr>
          <w:color w:val="000000"/>
          <w:sz w:val="17"/>
          <w:szCs w:val="17"/>
          <w:lang w:val="en-GB"/>
        </w:rPr>
      </w:pPr>
      <w:r w:rsidRPr="009C48DA">
        <w:rPr>
          <w:color w:val="000000"/>
          <w:sz w:val="17"/>
          <w:szCs w:val="17"/>
          <w:lang w:val="en-GB"/>
        </w:rPr>
        <w:lastRenderedPageBreak/>
        <w:t>(4)</w:t>
      </w:r>
      <w:r w:rsidRPr="009C48DA">
        <w:rPr>
          <w:color w:val="000000"/>
          <w:sz w:val="17"/>
          <w:szCs w:val="17"/>
          <w:lang w:val="en-GB"/>
        </w:rPr>
        <w:tab/>
        <w:t xml:space="preserve">The </w:t>
      </w:r>
      <w:r w:rsidRPr="009C48DA" w:rsidR="00961BEE">
        <w:rPr>
          <w:color w:val="000000"/>
          <w:sz w:val="17"/>
          <w:szCs w:val="17"/>
          <w:lang w:val="en-GB"/>
        </w:rPr>
        <w:t xml:space="preserve">Bridgepoint </w:t>
      </w:r>
      <w:r w:rsidRPr="009C48DA">
        <w:rPr>
          <w:color w:val="000000"/>
          <w:sz w:val="17"/>
          <w:szCs w:val="17"/>
          <w:lang w:val="en-GB"/>
        </w:rPr>
        <w:t xml:space="preserve">Credit I fund and the </w:t>
      </w:r>
      <w:r w:rsidRPr="009C48DA" w:rsidR="00961BEE">
        <w:rPr>
          <w:color w:val="000000"/>
          <w:sz w:val="17"/>
          <w:szCs w:val="17"/>
          <w:lang w:val="en-GB"/>
        </w:rPr>
        <w:t xml:space="preserve">Bridgepoint </w:t>
      </w:r>
      <w:r w:rsidRPr="009C48DA">
        <w:rPr>
          <w:color w:val="000000"/>
          <w:sz w:val="17"/>
          <w:szCs w:val="17"/>
          <w:lang w:val="en-GB"/>
        </w:rPr>
        <w:t xml:space="preserve">Credit II fund are part of the </w:t>
      </w:r>
      <w:r w:rsidRPr="009C48DA" w:rsidR="00961BEE">
        <w:rPr>
          <w:color w:val="000000"/>
          <w:sz w:val="17"/>
          <w:szCs w:val="17"/>
          <w:lang w:val="en-GB"/>
        </w:rPr>
        <w:t xml:space="preserve">Bridgepoint </w:t>
      </w:r>
      <w:r w:rsidRPr="009C48DA">
        <w:rPr>
          <w:color w:val="000000"/>
          <w:sz w:val="17"/>
          <w:szCs w:val="17"/>
          <w:lang w:val="en-GB"/>
        </w:rPr>
        <w:t>Direct Lending investment strategy.</w:t>
      </w:r>
    </w:p>
    <w:p w:rsidRPr="009C48DA" w:rsidR="009B4AE3" w:rsidP="009B4AE3" w:rsidRDefault="009B4AE3" w14:paraId="65CF16DC" w14:textId="77777777">
      <w:pPr>
        <w:spacing w:after="240"/>
        <w:ind w:right="-40"/>
        <w:contextualSpacing/>
        <w:jc w:val="both"/>
        <w:rPr>
          <w:color w:val="000000"/>
          <w:sz w:val="17"/>
          <w:szCs w:val="17"/>
          <w:lang w:val="en-GB"/>
        </w:rPr>
      </w:pPr>
    </w:p>
    <w:p w:rsidRPr="009C48DA" w:rsidR="00B51E80" w:rsidP="00B51E80" w:rsidRDefault="00B51E80" w14:paraId="5E4B0400" w14:textId="460112A5">
      <w:pPr>
        <w:pStyle w:val="BodyText2SglJ"/>
        <w:keepNext/>
        <w:rPr>
          <w:rFonts w:eastAsia="Calibri" w:cs="Arial"/>
          <w:lang w:val="en-GB"/>
        </w:rPr>
      </w:pPr>
      <w:r w:rsidRPr="009C48DA">
        <w:rPr>
          <w:rFonts w:eastAsia="Calibri" w:cs="Arial"/>
          <w:lang w:val="en-GB"/>
        </w:rPr>
        <w:t xml:space="preserve">The following table shows selected key metrics of the </w:t>
      </w:r>
      <w:r w:rsidRPr="009C48DA" w:rsidR="00961BEE">
        <w:rPr>
          <w:rFonts w:eastAsia="Calibri" w:cs="Arial"/>
          <w:lang w:val="en-GB"/>
        </w:rPr>
        <w:t xml:space="preserve">Bridgepoint </w:t>
      </w:r>
      <w:r w:rsidRPr="009C48DA" w:rsidR="00B4201B">
        <w:rPr>
          <w:rFonts w:eastAsia="Calibri" w:cs="Arial"/>
          <w:lang w:val="en-GB"/>
        </w:rPr>
        <w:t>F</w:t>
      </w:r>
      <w:r w:rsidRPr="009C48DA">
        <w:rPr>
          <w:rFonts w:eastAsia="Calibri" w:cs="Arial"/>
          <w:lang w:val="en-GB"/>
        </w:rPr>
        <w:t xml:space="preserve">unds </w:t>
      </w:r>
      <w:r w:rsidRPr="009C48DA" w:rsidR="004460D9">
        <w:rPr>
          <w:rFonts w:eastAsia="Calibri" w:cs="Arial"/>
          <w:lang w:val="en-GB"/>
        </w:rPr>
        <w:t xml:space="preserve">in the private equity segment </w:t>
      </w:r>
      <w:r w:rsidRPr="009C48DA">
        <w:rPr>
          <w:rFonts w:eastAsia="Calibri" w:cs="Arial"/>
          <w:lang w:val="en-GB"/>
        </w:rPr>
        <w:t>as of 31 March 2021.</w:t>
      </w:r>
    </w:p>
    <w:tbl>
      <w:tblPr>
        <w:tblW w:w="8539" w:type="dxa"/>
        <w:tblLayout w:type="fixed"/>
        <w:tblLook w:val="04A0" w:firstRow="1" w:lastRow="0" w:firstColumn="1" w:lastColumn="0" w:noHBand="0" w:noVBand="1"/>
      </w:tblPr>
      <w:tblGrid>
        <w:gridCol w:w="2268"/>
        <w:gridCol w:w="1050"/>
        <w:gridCol w:w="994"/>
        <w:gridCol w:w="951"/>
        <w:gridCol w:w="1008"/>
        <w:gridCol w:w="1134"/>
        <w:gridCol w:w="1134"/>
      </w:tblGrid>
      <w:tr w:rsidRPr="009C48DA" w:rsidR="00F02DD3" w:rsidTr="0036034E" w14:paraId="0A9A9CD2" w14:textId="77777777">
        <w:trPr>
          <w:trHeight w:val="74"/>
        </w:trPr>
        <w:tc>
          <w:tcPr>
            <w:tcW w:w="2268" w:type="dxa"/>
            <w:shd w:val="clear" w:color="auto" w:fill="auto"/>
            <w:vAlign w:val="bottom"/>
          </w:tcPr>
          <w:p w:rsidRPr="009C48DA" w:rsidR="00F02DD3" w:rsidP="00143D62" w:rsidRDefault="00961BEE" w14:paraId="51DEF51E" w14:textId="11018988">
            <w:pPr>
              <w:keepNext/>
              <w:pBdr>
                <w:bottom w:val="single" w:color="auto" w:sz="4" w:space="1"/>
              </w:pBdr>
              <w:jc w:val="center"/>
              <w:rPr>
                <w:rFonts w:cs="Times New Roman"/>
                <w:b/>
                <w:sz w:val="13"/>
                <w:szCs w:val="13"/>
                <w:lang w:val="en-GB"/>
              </w:rPr>
            </w:pPr>
            <w:r w:rsidRPr="009C48DA">
              <w:rPr>
                <w:rFonts w:cs="Times New Roman"/>
                <w:b/>
                <w:sz w:val="13"/>
                <w:szCs w:val="13"/>
                <w:lang w:val="en-GB"/>
              </w:rPr>
              <w:t xml:space="preserve">Bridgepoint </w:t>
            </w:r>
            <w:r w:rsidRPr="009C48DA" w:rsidR="00F02DD3">
              <w:rPr>
                <w:rFonts w:cs="Times New Roman"/>
                <w:b/>
                <w:sz w:val="13"/>
                <w:szCs w:val="13"/>
                <w:lang w:val="en-GB"/>
              </w:rPr>
              <w:t>Fund</w:t>
            </w:r>
            <w:r w:rsidRPr="009C48DA" w:rsidR="00F02DD3">
              <w:rPr>
                <w:rFonts w:cs="Times New Roman"/>
                <w:b/>
                <w:sz w:val="13"/>
                <w:szCs w:val="13"/>
                <w:vertAlign w:val="superscript"/>
                <w:lang w:val="en-GB"/>
              </w:rPr>
              <w:t>(1)</w:t>
            </w:r>
          </w:p>
        </w:tc>
        <w:tc>
          <w:tcPr>
            <w:tcW w:w="1050" w:type="dxa"/>
            <w:vAlign w:val="bottom"/>
          </w:tcPr>
          <w:p w:rsidRPr="009C48DA" w:rsidR="00F02DD3" w:rsidP="00143D62" w:rsidRDefault="00F02DD3" w14:paraId="716E638D"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Fund Size (in € / £ million)</w:t>
            </w:r>
          </w:p>
        </w:tc>
        <w:tc>
          <w:tcPr>
            <w:tcW w:w="994" w:type="dxa"/>
            <w:vAlign w:val="bottom"/>
          </w:tcPr>
          <w:p w:rsidRPr="009C48DA" w:rsidR="00F02DD3" w:rsidP="0036034E" w:rsidRDefault="00F02DD3" w14:paraId="32EE0864" w14:textId="25151673">
            <w:pPr>
              <w:keepNext/>
              <w:pBdr>
                <w:bottom w:val="single" w:color="auto" w:sz="4" w:space="1"/>
              </w:pBdr>
              <w:jc w:val="center"/>
              <w:rPr>
                <w:rFonts w:cs="Times New Roman"/>
                <w:b/>
                <w:sz w:val="13"/>
                <w:szCs w:val="13"/>
                <w:lang w:val="en-GB"/>
              </w:rPr>
            </w:pPr>
            <w:r w:rsidRPr="009C48DA">
              <w:rPr>
                <w:rFonts w:cs="Times New Roman"/>
                <w:b/>
                <w:sz w:val="13"/>
                <w:szCs w:val="13"/>
                <w:lang w:val="en-GB"/>
              </w:rPr>
              <w:t>Gross MOIC</w:t>
            </w:r>
            <w:r w:rsidRPr="009C48DA">
              <w:rPr>
                <w:rFonts w:cs="Times New Roman"/>
                <w:b/>
                <w:sz w:val="13"/>
                <w:szCs w:val="13"/>
                <w:vertAlign w:val="superscript"/>
                <w:lang w:val="en-GB"/>
              </w:rPr>
              <w:t>(2)</w:t>
            </w:r>
          </w:p>
        </w:tc>
        <w:tc>
          <w:tcPr>
            <w:tcW w:w="951" w:type="dxa"/>
            <w:vAlign w:val="bottom"/>
          </w:tcPr>
          <w:p w:rsidRPr="009C48DA" w:rsidR="00F02DD3" w:rsidP="00143D62" w:rsidRDefault="00F02DD3" w14:paraId="46478EB9"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Gross IRR</w:t>
            </w:r>
            <w:r w:rsidRPr="009C48DA">
              <w:rPr>
                <w:rFonts w:cs="Times New Roman"/>
                <w:b/>
                <w:sz w:val="13"/>
                <w:szCs w:val="13"/>
                <w:vertAlign w:val="superscript"/>
                <w:lang w:val="en-GB"/>
              </w:rPr>
              <w:t>(3)</w:t>
            </w:r>
            <w:r w:rsidRPr="009C48DA">
              <w:rPr>
                <w:rFonts w:cs="Times New Roman"/>
                <w:b/>
                <w:sz w:val="13"/>
                <w:szCs w:val="13"/>
                <w:lang w:val="en-GB"/>
              </w:rPr>
              <w:t xml:space="preserve"> (in per cent)</w:t>
            </w:r>
          </w:p>
        </w:tc>
        <w:tc>
          <w:tcPr>
            <w:tcW w:w="1008" w:type="dxa"/>
            <w:vAlign w:val="bottom"/>
          </w:tcPr>
          <w:p w:rsidRPr="009C48DA" w:rsidR="00F02DD3" w:rsidP="00143D62" w:rsidRDefault="00F02DD3" w14:paraId="423B3C3A"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Net IRR</w:t>
            </w:r>
            <w:r w:rsidRPr="009C48DA">
              <w:rPr>
                <w:rFonts w:cs="Times New Roman"/>
                <w:b/>
                <w:sz w:val="13"/>
                <w:szCs w:val="13"/>
                <w:vertAlign w:val="superscript"/>
                <w:lang w:val="en-GB"/>
              </w:rPr>
              <w:t>(3)</w:t>
            </w:r>
            <w:r w:rsidRPr="009C48DA">
              <w:rPr>
                <w:rFonts w:cs="Times New Roman"/>
                <w:b/>
                <w:sz w:val="13"/>
                <w:szCs w:val="13"/>
                <w:lang w:val="en-GB"/>
              </w:rPr>
              <w:t xml:space="preserve"> (in per cent)</w:t>
            </w:r>
          </w:p>
        </w:tc>
        <w:tc>
          <w:tcPr>
            <w:tcW w:w="1134" w:type="dxa"/>
            <w:vAlign w:val="bottom"/>
          </w:tcPr>
          <w:p w:rsidRPr="009C48DA" w:rsidR="00F02DD3" w:rsidP="00143D62" w:rsidRDefault="00F02DD3" w14:paraId="758261EC" w14:textId="77777777">
            <w:pPr>
              <w:keepNext/>
              <w:pBdr>
                <w:bottom w:val="single" w:color="auto" w:sz="4" w:space="1"/>
              </w:pBdr>
              <w:jc w:val="center"/>
              <w:rPr>
                <w:rFonts w:cs="Times New Roman"/>
                <w:sz w:val="13"/>
                <w:szCs w:val="13"/>
                <w:lang w:val="en-GB"/>
              </w:rPr>
            </w:pPr>
            <w:r w:rsidRPr="009C48DA">
              <w:rPr>
                <w:rFonts w:cs="Times New Roman"/>
                <w:b/>
                <w:sz w:val="13"/>
                <w:szCs w:val="13"/>
                <w:lang w:val="en-GB"/>
              </w:rPr>
              <w:t>Remaining investment period in years</w:t>
            </w:r>
            <w:r w:rsidRPr="009C48DA">
              <w:rPr>
                <w:rFonts w:cs="Times New Roman"/>
                <w:b/>
                <w:sz w:val="13"/>
                <w:szCs w:val="13"/>
                <w:vertAlign w:val="superscript"/>
                <w:lang w:val="en-GB"/>
              </w:rPr>
              <w:t>(4)</w:t>
            </w:r>
          </w:p>
        </w:tc>
        <w:tc>
          <w:tcPr>
            <w:tcW w:w="1134" w:type="dxa"/>
            <w:vAlign w:val="bottom"/>
          </w:tcPr>
          <w:p w:rsidRPr="009C48DA" w:rsidR="00F02DD3" w:rsidP="00143D62" w:rsidRDefault="00F02DD3" w14:paraId="25F3874F"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Remaining fund life in years</w:t>
            </w:r>
            <w:r w:rsidRPr="009C48DA">
              <w:rPr>
                <w:rFonts w:cs="Times New Roman"/>
                <w:b/>
                <w:sz w:val="13"/>
                <w:szCs w:val="13"/>
                <w:vertAlign w:val="superscript"/>
                <w:lang w:val="en-GB"/>
              </w:rPr>
              <w:t>(5)</w:t>
            </w:r>
          </w:p>
        </w:tc>
      </w:tr>
      <w:tr w:rsidRPr="009C48DA" w:rsidR="00F02DD3" w:rsidTr="0036034E" w14:paraId="3D6E5C24" w14:textId="77777777">
        <w:trPr>
          <w:trHeight w:val="74"/>
        </w:trPr>
        <w:tc>
          <w:tcPr>
            <w:tcW w:w="2268" w:type="dxa"/>
            <w:shd w:val="clear" w:color="auto" w:fill="auto"/>
            <w:vAlign w:val="bottom"/>
          </w:tcPr>
          <w:p w:rsidRPr="009C48DA" w:rsidR="00F02DD3" w:rsidP="00143D62" w:rsidRDefault="00961BEE" w14:paraId="687EE3D3" w14:textId="3A121AE7">
            <w:pPr>
              <w:keepNext/>
              <w:rPr>
                <w:rFonts w:cs="Times New Roman"/>
                <w:sz w:val="13"/>
                <w:szCs w:val="13"/>
                <w:lang w:val="en-GB"/>
              </w:rPr>
            </w:pPr>
            <w:r w:rsidRPr="009C48DA">
              <w:rPr>
                <w:rFonts w:cs="Times New Roman"/>
                <w:sz w:val="13"/>
                <w:szCs w:val="13"/>
                <w:lang w:val="en-GB"/>
              </w:rPr>
              <w:t xml:space="preserve">Bridgepoint </w:t>
            </w:r>
            <w:r w:rsidRPr="009C48DA" w:rsidR="00F02DD3">
              <w:rPr>
                <w:rFonts w:cs="Times New Roman"/>
                <w:sz w:val="13"/>
                <w:szCs w:val="13"/>
                <w:lang w:val="en-GB"/>
              </w:rPr>
              <w:t>Europe IV</w:t>
            </w:r>
          </w:p>
        </w:tc>
        <w:tc>
          <w:tcPr>
            <w:tcW w:w="1050" w:type="dxa"/>
            <w:vAlign w:val="center"/>
          </w:tcPr>
          <w:p w:rsidRPr="009C48DA" w:rsidR="00F02DD3" w:rsidP="00143D62" w:rsidRDefault="00F02DD3" w14:paraId="66F7170D" w14:textId="77777777">
            <w:pPr>
              <w:keepNext/>
              <w:jc w:val="right"/>
              <w:rPr>
                <w:rFonts w:cs="Times New Roman"/>
                <w:sz w:val="13"/>
                <w:szCs w:val="13"/>
                <w:lang w:val="en-GB"/>
              </w:rPr>
            </w:pPr>
            <w:r w:rsidRPr="009C48DA">
              <w:rPr>
                <w:rFonts w:cs="Times New Roman"/>
                <w:sz w:val="13"/>
                <w:szCs w:val="13"/>
                <w:lang w:val="en-GB"/>
              </w:rPr>
              <w:t xml:space="preserve">€4,835 </w:t>
            </w:r>
          </w:p>
        </w:tc>
        <w:tc>
          <w:tcPr>
            <w:tcW w:w="994" w:type="dxa"/>
            <w:vAlign w:val="bottom"/>
          </w:tcPr>
          <w:p w:rsidRPr="009C48DA" w:rsidR="00F02DD3" w:rsidP="00143D62" w:rsidRDefault="00F02DD3" w14:paraId="303C422A" w14:textId="77777777">
            <w:pPr>
              <w:jc w:val="right"/>
              <w:rPr>
                <w:rFonts w:cs="Times New Roman"/>
                <w:sz w:val="13"/>
                <w:szCs w:val="13"/>
                <w:lang w:val="en-GB"/>
              </w:rPr>
            </w:pPr>
            <w:r w:rsidRPr="009C48DA">
              <w:rPr>
                <w:rFonts w:cs="Times New Roman"/>
                <w:color w:val="000000"/>
                <w:sz w:val="13"/>
                <w:szCs w:val="13"/>
                <w:lang w:val="en-GB"/>
              </w:rPr>
              <w:t>2.11x</w:t>
            </w:r>
          </w:p>
        </w:tc>
        <w:tc>
          <w:tcPr>
            <w:tcW w:w="951" w:type="dxa"/>
            <w:vAlign w:val="bottom"/>
          </w:tcPr>
          <w:p w:rsidRPr="009C48DA" w:rsidR="00F02DD3" w:rsidP="00143D62" w:rsidRDefault="00F02DD3" w14:paraId="5E59C41F" w14:textId="77777777">
            <w:pPr>
              <w:jc w:val="right"/>
              <w:rPr>
                <w:rFonts w:cs="Times New Roman"/>
                <w:sz w:val="13"/>
                <w:szCs w:val="13"/>
                <w:lang w:val="en-GB"/>
              </w:rPr>
            </w:pPr>
            <w:r w:rsidRPr="009C48DA">
              <w:rPr>
                <w:rFonts w:cs="Times New Roman"/>
                <w:color w:val="000000"/>
                <w:sz w:val="13"/>
                <w:szCs w:val="13"/>
                <w:lang w:val="en-GB"/>
              </w:rPr>
              <w:t>16%</w:t>
            </w:r>
          </w:p>
        </w:tc>
        <w:tc>
          <w:tcPr>
            <w:tcW w:w="1008" w:type="dxa"/>
            <w:vAlign w:val="bottom"/>
          </w:tcPr>
          <w:p w:rsidRPr="009C48DA" w:rsidR="00F02DD3" w:rsidP="00143D62" w:rsidRDefault="00F02DD3" w14:paraId="34C5B965" w14:textId="77777777">
            <w:pPr>
              <w:jc w:val="right"/>
              <w:rPr>
                <w:rFonts w:cs="Times New Roman"/>
                <w:sz w:val="13"/>
                <w:szCs w:val="13"/>
                <w:lang w:val="en-GB"/>
              </w:rPr>
            </w:pPr>
            <w:r w:rsidRPr="009C48DA">
              <w:rPr>
                <w:rFonts w:cs="Times New Roman"/>
                <w:color w:val="000000"/>
                <w:sz w:val="13"/>
                <w:szCs w:val="13"/>
                <w:lang w:val="en-GB"/>
              </w:rPr>
              <w:t>13%</w:t>
            </w:r>
          </w:p>
        </w:tc>
        <w:tc>
          <w:tcPr>
            <w:tcW w:w="1134" w:type="dxa"/>
            <w:vAlign w:val="bottom"/>
          </w:tcPr>
          <w:p w:rsidRPr="009C48DA" w:rsidR="00F02DD3" w:rsidP="00143D62" w:rsidRDefault="00F02DD3" w14:paraId="20663342" w14:textId="77777777">
            <w:pPr>
              <w:jc w:val="right"/>
              <w:rPr>
                <w:rFonts w:cs="Times New Roman"/>
                <w:color w:val="000000"/>
                <w:sz w:val="13"/>
                <w:szCs w:val="13"/>
                <w:lang w:val="en-GB"/>
              </w:rPr>
            </w:pPr>
            <w:r w:rsidRPr="009C48DA">
              <w:rPr>
                <w:rFonts w:cs="Times New Roman"/>
                <w:color w:val="000000"/>
                <w:sz w:val="13"/>
                <w:szCs w:val="13"/>
                <w:lang w:val="en-GB"/>
              </w:rPr>
              <w:t>n/a</w:t>
            </w:r>
          </w:p>
        </w:tc>
        <w:tc>
          <w:tcPr>
            <w:tcW w:w="1134" w:type="dxa"/>
            <w:vAlign w:val="bottom"/>
          </w:tcPr>
          <w:p w:rsidRPr="009C48DA" w:rsidR="00F02DD3" w:rsidP="00143D62" w:rsidRDefault="00F02DD3" w14:paraId="0BC91D1B" w14:textId="77777777">
            <w:pPr>
              <w:jc w:val="right"/>
              <w:rPr>
                <w:rFonts w:cs="Times New Roman"/>
                <w:color w:val="000000"/>
                <w:sz w:val="13"/>
                <w:szCs w:val="13"/>
                <w:lang w:val="en-GB"/>
              </w:rPr>
            </w:pPr>
            <w:r w:rsidRPr="009C48DA">
              <w:rPr>
                <w:rFonts w:cs="Times New Roman"/>
                <w:color w:val="000000"/>
                <w:sz w:val="13"/>
                <w:szCs w:val="13"/>
                <w:lang w:val="en-GB"/>
              </w:rPr>
              <w:t>n/a</w:t>
            </w:r>
          </w:p>
        </w:tc>
      </w:tr>
      <w:tr w:rsidRPr="009C48DA" w:rsidR="00F02DD3" w:rsidTr="0036034E" w14:paraId="21B2E54A" w14:textId="77777777">
        <w:trPr>
          <w:trHeight w:val="74"/>
        </w:trPr>
        <w:tc>
          <w:tcPr>
            <w:tcW w:w="2268" w:type="dxa"/>
            <w:shd w:val="clear" w:color="auto" w:fill="auto"/>
            <w:vAlign w:val="bottom"/>
          </w:tcPr>
          <w:p w:rsidRPr="009C48DA" w:rsidR="00F02DD3" w:rsidP="00143D62" w:rsidRDefault="00961BEE" w14:paraId="4DD1A7EB" w14:textId="0ACB268D">
            <w:pPr>
              <w:keepNext/>
              <w:rPr>
                <w:rFonts w:cs="Times New Roman"/>
                <w:sz w:val="13"/>
                <w:szCs w:val="13"/>
                <w:lang w:val="en-GB"/>
              </w:rPr>
            </w:pPr>
            <w:r w:rsidRPr="009C48DA">
              <w:rPr>
                <w:rFonts w:cs="Times New Roman"/>
                <w:sz w:val="13"/>
                <w:szCs w:val="13"/>
                <w:lang w:val="en-GB"/>
              </w:rPr>
              <w:t xml:space="preserve">Bridgepoint </w:t>
            </w:r>
            <w:r w:rsidRPr="009C48DA" w:rsidR="00F02DD3">
              <w:rPr>
                <w:rFonts w:cs="Times New Roman"/>
                <w:sz w:val="13"/>
                <w:szCs w:val="13"/>
                <w:lang w:val="en-GB"/>
              </w:rPr>
              <w:t>Europe V</w:t>
            </w:r>
          </w:p>
        </w:tc>
        <w:tc>
          <w:tcPr>
            <w:tcW w:w="1050" w:type="dxa"/>
            <w:vAlign w:val="bottom"/>
          </w:tcPr>
          <w:p w:rsidRPr="009C48DA" w:rsidR="00F02DD3" w:rsidP="00143D62" w:rsidRDefault="00F02DD3" w14:paraId="7F23D036" w14:textId="77777777">
            <w:pPr>
              <w:jc w:val="right"/>
              <w:rPr>
                <w:rFonts w:cs="Times New Roman"/>
                <w:sz w:val="13"/>
                <w:szCs w:val="13"/>
                <w:lang w:val="en-GB"/>
              </w:rPr>
            </w:pPr>
            <w:r w:rsidRPr="009C48DA">
              <w:rPr>
                <w:rFonts w:cs="Times New Roman"/>
                <w:sz w:val="13"/>
                <w:szCs w:val="13"/>
                <w:lang w:val="en-GB"/>
              </w:rPr>
              <w:t>€4,000</w:t>
            </w:r>
          </w:p>
        </w:tc>
        <w:tc>
          <w:tcPr>
            <w:tcW w:w="994" w:type="dxa"/>
            <w:vAlign w:val="bottom"/>
          </w:tcPr>
          <w:p w:rsidRPr="009C48DA" w:rsidR="00F02DD3" w:rsidP="00143D62" w:rsidRDefault="00F02DD3" w14:paraId="1BF7B2C3" w14:textId="77777777">
            <w:pPr>
              <w:jc w:val="right"/>
              <w:rPr>
                <w:rFonts w:cs="Times New Roman"/>
                <w:sz w:val="13"/>
                <w:szCs w:val="13"/>
                <w:lang w:val="en-GB"/>
              </w:rPr>
            </w:pPr>
            <w:r w:rsidRPr="009C48DA">
              <w:rPr>
                <w:rFonts w:cs="Times New Roman"/>
                <w:color w:val="000000"/>
                <w:sz w:val="13"/>
                <w:szCs w:val="13"/>
                <w:lang w:val="en-GB"/>
              </w:rPr>
              <w:t>1.97x</w:t>
            </w:r>
          </w:p>
        </w:tc>
        <w:tc>
          <w:tcPr>
            <w:tcW w:w="951" w:type="dxa"/>
            <w:vAlign w:val="bottom"/>
          </w:tcPr>
          <w:p w:rsidRPr="009C48DA" w:rsidR="00F02DD3" w:rsidP="00143D62" w:rsidRDefault="00F02DD3" w14:paraId="56069EAA" w14:textId="77777777">
            <w:pPr>
              <w:jc w:val="right"/>
              <w:rPr>
                <w:rFonts w:cs="Times New Roman"/>
                <w:sz w:val="13"/>
                <w:szCs w:val="13"/>
                <w:lang w:val="en-GB"/>
              </w:rPr>
            </w:pPr>
            <w:r w:rsidRPr="009C48DA">
              <w:rPr>
                <w:rFonts w:cs="Times New Roman"/>
                <w:color w:val="000000"/>
                <w:sz w:val="13"/>
                <w:szCs w:val="13"/>
                <w:lang w:val="en-GB"/>
              </w:rPr>
              <w:t>21%</w:t>
            </w:r>
          </w:p>
        </w:tc>
        <w:tc>
          <w:tcPr>
            <w:tcW w:w="1008" w:type="dxa"/>
            <w:vAlign w:val="bottom"/>
          </w:tcPr>
          <w:p w:rsidRPr="009C48DA" w:rsidR="00F02DD3" w:rsidP="00143D62" w:rsidRDefault="00F02DD3" w14:paraId="5701BA32" w14:textId="77777777">
            <w:pPr>
              <w:jc w:val="right"/>
              <w:rPr>
                <w:rFonts w:cs="Times New Roman"/>
                <w:sz w:val="13"/>
                <w:szCs w:val="13"/>
                <w:lang w:val="en-GB"/>
              </w:rPr>
            </w:pPr>
            <w:r w:rsidRPr="009C48DA">
              <w:rPr>
                <w:rFonts w:cs="Times New Roman"/>
                <w:color w:val="000000"/>
                <w:sz w:val="13"/>
                <w:szCs w:val="13"/>
                <w:lang w:val="en-GB"/>
              </w:rPr>
              <w:t>18%</w:t>
            </w:r>
          </w:p>
        </w:tc>
        <w:tc>
          <w:tcPr>
            <w:tcW w:w="1134" w:type="dxa"/>
            <w:vAlign w:val="bottom"/>
          </w:tcPr>
          <w:p w:rsidRPr="009C48DA" w:rsidR="00F02DD3" w:rsidP="00143D62" w:rsidRDefault="00F02DD3" w14:paraId="7850F337" w14:textId="77777777">
            <w:pPr>
              <w:jc w:val="right"/>
              <w:rPr>
                <w:rFonts w:cs="Times New Roman"/>
                <w:color w:val="000000"/>
                <w:sz w:val="13"/>
                <w:szCs w:val="13"/>
                <w:lang w:val="en-GB"/>
              </w:rPr>
            </w:pPr>
            <w:r w:rsidRPr="009C48DA">
              <w:rPr>
                <w:rFonts w:cs="Times New Roman"/>
                <w:color w:val="000000"/>
                <w:sz w:val="13"/>
                <w:szCs w:val="13"/>
                <w:lang w:val="en-GB"/>
              </w:rPr>
              <w:t>n/a</w:t>
            </w:r>
          </w:p>
        </w:tc>
        <w:tc>
          <w:tcPr>
            <w:tcW w:w="1134" w:type="dxa"/>
            <w:vAlign w:val="bottom"/>
          </w:tcPr>
          <w:p w:rsidRPr="009C48DA" w:rsidR="00F02DD3" w:rsidP="00143D62" w:rsidRDefault="00F02DD3" w14:paraId="548F8A21" w14:textId="77777777">
            <w:pPr>
              <w:jc w:val="right"/>
              <w:rPr>
                <w:rFonts w:cs="Times New Roman"/>
                <w:color w:val="000000"/>
                <w:sz w:val="13"/>
                <w:szCs w:val="13"/>
                <w:lang w:val="en-GB"/>
              </w:rPr>
            </w:pPr>
            <w:r w:rsidRPr="009C48DA">
              <w:rPr>
                <w:rFonts w:cs="Times New Roman"/>
                <w:color w:val="000000"/>
                <w:sz w:val="13"/>
                <w:szCs w:val="13"/>
                <w:lang w:val="en-GB"/>
              </w:rPr>
              <w:t>4 years</w:t>
            </w:r>
          </w:p>
        </w:tc>
      </w:tr>
      <w:tr w:rsidRPr="009C48DA" w:rsidR="00F02DD3" w:rsidTr="0036034E" w14:paraId="32ED46FF" w14:textId="77777777">
        <w:trPr>
          <w:trHeight w:val="74"/>
        </w:trPr>
        <w:tc>
          <w:tcPr>
            <w:tcW w:w="2268" w:type="dxa"/>
            <w:shd w:val="clear" w:color="auto" w:fill="auto"/>
            <w:vAlign w:val="bottom"/>
          </w:tcPr>
          <w:p w:rsidRPr="009C48DA" w:rsidR="00F02DD3" w:rsidP="00143D62" w:rsidRDefault="00961BEE" w14:paraId="6712FE6E" w14:textId="6992518D">
            <w:pPr>
              <w:keepNext/>
              <w:rPr>
                <w:rFonts w:cs="Times New Roman"/>
                <w:sz w:val="13"/>
                <w:szCs w:val="13"/>
                <w:lang w:val="en-GB"/>
              </w:rPr>
            </w:pPr>
            <w:r w:rsidRPr="009C48DA">
              <w:rPr>
                <w:rFonts w:cs="Times New Roman"/>
                <w:sz w:val="13"/>
                <w:szCs w:val="13"/>
                <w:lang w:val="en-GB"/>
              </w:rPr>
              <w:t xml:space="preserve">Bridgepoint </w:t>
            </w:r>
            <w:r w:rsidRPr="009C48DA" w:rsidR="00F02DD3">
              <w:rPr>
                <w:rFonts w:cs="Times New Roman"/>
                <w:sz w:val="13"/>
                <w:szCs w:val="13"/>
                <w:lang w:val="en-GB"/>
              </w:rPr>
              <w:t>Europe VI</w:t>
            </w:r>
          </w:p>
        </w:tc>
        <w:tc>
          <w:tcPr>
            <w:tcW w:w="1050" w:type="dxa"/>
            <w:vAlign w:val="bottom"/>
          </w:tcPr>
          <w:p w:rsidRPr="009C48DA" w:rsidR="00F02DD3" w:rsidP="00143D62" w:rsidRDefault="00F02DD3" w14:paraId="5EB7A4CA" w14:textId="77777777">
            <w:pPr>
              <w:jc w:val="right"/>
              <w:rPr>
                <w:rFonts w:cs="Times New Roman"/>
                <w:sz w:val="13"/>
                <w:szCs w:val="13"/>
                <w:lang w:val="en-GB"/>
              </w:rPr>
            </w:pPr>
            <w:r w:rsidRPr="009C48DA">
              <w:rPr>
                <w:rFonts w:cs="Times New Roman"/>
                <w:sz w:val="13"/>
                <w:szCs w:val="13"/>
                <w:lang w:val="en-GB"/>
              </w:rPr>
              <w:t>€5,766</w:t>
            </w:r>
          </w:p>
        </w:tc>
        <w:tc>
          <w:tcPr>
            <w:tcW w:w="994" w:type="dxa"/>
            <w:vAlign w:val="bottom"/>
          </w:tcPr>
          <w:p w:rsidRPr="009C48DA" w:rsidR="00F02DD3" w:rsidP="00143D62" w:rsidRDefault="00F02DD3" w14:paraId="4639C9A0" w14:textId="77777777">
            <w:pPr>
              <w:jc w:val="right"/>
              <w:rPr>
                <w:rFonts w:cs="Times New Roman"/>
                <w:sz w:val="13"/>
                <w:szCs w:val="13"/>
                <w:lang w:val="en-GB"/>
              </w:rPr>
            </w:pPr>
            <w:r w:rsidRPr="009C48DA">
              <w:rPr>
                <w:rFonts w:cs="Times New Roman"/>
                <w:color w:val="000000"/>
                <w:sz w:val="13"/>
                <w:szCs w:val="13"/>
                <w:lang w:val="en-GB"/>
              </w:rPr>
              <w:t>1.20x</w:t>
            </w:r>
          </w:p>
        </w:tc>
        <w:tc>
          <w:tcPr>
            <w:tcW w:w="951" w:type="dxa"/>
            <w:vAlign w:val="bottom"/>
          </w:tcPr>
          <w:p w:rsidRPr="009C48DA" w:rsidR="00F02DD3" w:rsidP="00143D62" w:rsidRDefault="00F02DD3" w14:paraId="333806F0" w14:textId="77777777">
            <w:pPr>
              <w:jc w:val="right"/>
              <w:rPr>
                <w:rFonts w:cs="Times New Roman"/>
                <w:sz w:val="13"/>
                <w:szCs w:val="13"/>
                <w:lang w:val="en-GB"/>
              </w:rPr>
            </w:pPr>
            <w:r w:rsidRPr="009C48DA">
              <w:rPr>
                <w:rFonts w:cs="Times New Roman"/>
                <w:color w:val="000000"/>
                <w:sz w:val="13"/>
                <w:szCs w:val="13"/>
                <w:lang w:val="en-GB"/>
              </w:rPr>
              <w:t>16%</w:t>
            </w:r>
          </w:p>
        </w:tc>
        <w:tc>
          <w:tcPr>
            <w:tcW w:w="1008" w:type="dxa"/>
            <w:vAlign w:val="bottom"/>
          </w:tcPr>
          <w:p w:rsidRPr="009C48DA" w:rsidR="00F02DD3" w:rsidP="00143D62" w:rsidRDefault="00F02DD3" w14:paraId="076EF058" w14:textId="77777777">
            <w:pPr>
              <w:jc w:val="right"/>
              <w:rPr>
                <w:rFonts w:cs="Times New Roman"/>
                <w:sz w:val="13"/>
                <w:szCs w:val="13"/>
                <w:lang w:val="en-GB"/>
              </w:rPr>
            </w:pPr>
            <w:r w:rsidRPr="009C48DA">
              <w:rPr>
                <w:rFonts w:cs="Times New Roman"/>
                <w:color w:val="000000"/>
                <w:sz w:val="13"/>
                <w:szCs w:val="13"/>
                <w:lang w:val="en-GB"/>
              </w:rPr>
              <w:t>12%</w:t>
            </w:r>
          </w:p>
        </w:tc>
        <w:tc>
          <w:tcPr>
            <w:tcW w:w="1134" w:type="dxa"/>
            <w:vAlign w:val="bottom"/>
          </w:tcPr>
          <w:p w:rsidRPr="009C48DA" w:rsidR="00F02DD3" w:rsidP="00143D62" w:rsidRDefault="00F02DD3" w14:paraId="46071A90" w14:textId="77777777">
            <w:pPr>
              <w:jc w:val="right"/>
              <w:rPr>
                <w:rFonts w:cs="Times New Roman"/>
                <w:color w:val="000000"/>
                <w:sz w:val="13"/>
                <w:szCs w:val="13"/>
                <w:lang w:val="en-GB"/>
              </w:rPr>
            </w:pPr>
            <w:r w:rsidRPr="009C48DA">
              <w:rPr>
                <w:rFonts w:cs="Times New Roman"/>
                <w:color w:val="000000"/>
                <w:sz w:val="13"/>
                <w:szCs w:val="13"/>
                <w:lang w:val="en-GB"/>
              </w:rPr>
              <w:t>approx. 2.3 years</w:t>
            </w:r>
          </w:p>
        </w:tc>
        <w:tc>
          <w:tcPr>
            <w:tcW w:w="1134" w:type="dxa"/>
            <w:vAlign w:val="bottom"/>
          </w:tcPr>
          <w:p w:rsidRPr="009C48DA" w:rsidR="00F02DD3" w:rsidP="00143D62" w:rsidRDefault="00F02DD3" w14:paraId="1992E1CD" w14:textId="77777777">
            <w:pPr>
              <w:jc w:val="right"/>
              <w:rPr>
                <w:rFonts w:cs="Times New Roman"/>
                <w:color w:val="000000"/>
                <w:sz w:val="13"/>
                <w:szCs w:val="13"/>
                <w:lang w:val="en-GB"/>
              </w:rPr>
            </w:pPr>
            <w:r w:rsidRPr="009C48DA">
              <w:rPr>
                <w:rFonts w:cs="Times New Roman"/>
                <w:color w:val="000000"/>
                <w:sz w:val="13"/>
                <w:szCs w:val="13"/>
                <w:lang w:val="en-GB"/>
              </w:rPr>
              <w:t>7 years</w:t>
            </w:r>
          </w:p>
        </w:tc>
      </w:tr>
      <w:tr w:rsidRPr="009C48DA" w:rsidR="00F02DD3" w:rsidTr="0036034E" w14:paraId="6A41E01D" w14:textId="77777777">
        <w:trPr>
          <w:trHeight w:val="74"/>
        </w:trPr>
        <w:tc>
          <w:tcPr>
            <w:tcW w:w="2268" w:type="dxa"/>
            <w:shd w:val="clear" w:color="auto" w:fill="auto"/>
            <w:vAlign w:val="bottom"/>
          </w:tcPr>
          <w:p w:rsidRPr="009C48DA" w:rsidR="00F02DD3" w:rsidP="00143D62" w:rsidRDefault="00961BEE" w14:paraId="53C97017" w14:textId="5DAA3F0E">
            <w:pPr>
              <w:keepNext/>
              <w:rPr>
                <w:rFonts w:cs="Times New Roman"/>
                <w:sz w:val="13"/>
                <w:szCs w:val="13"/>
                <w:lang w:val="en-GB"/>
              </w:rPr>
            </w:pPr>
            <w:r w:rsidRPr="009C48DA">
              <w:rPr>
                <w:rFonts w:cs="Times New Roman"/>
                <w:sz w:val="13"/>
                <w:szCs w:val="13"/>
                <w:lang w:val="en-GB"/>
              </w:rPr>
              <w:t xml:space="preserve">Bridgepoint </w:t>
            </w:r>
            <w:r w:rsidRPr="009C48DA" w:rsidR="00F02DD3">
              <w:rPr>
                <w:rFonts w:cs="Times New Roman"/>
                <w:sz w:val="13"/>
                <w:szCs w:val="13"/>
                <w:lang w:val="en-GB"/>
              </w:rPr>
              <w:t>Development Capital II</w:t>
            </w:r>
          </w:p>
        </w:tc>
        <w:tc>
          <w:tcPr>
            <w:tcW w:w="1050" w:type="dxa"/>
            <w:vAlign w:val="bottom"/>
          </w:tcPr>
          <w:p w:rsidRPr="009C48DA" w:rsidR="00F02DD3" w:rsidP="00143D62" w:rsidRDefault="00F02DD3" w14:paraId="71DDF8D2" w14:textId="77777777">
            <w:pPr>
              <w:jc w:val="right"/>
              <w:rPr>
                <w:rFonts w:cs="Times New Roman"/>
                <w:sz w:val="13"/>
                <w:szCs w:val="13"/>
                <w:lang w:val="en-GB"/>
              </w:rPr>
            </w:pPr>
            <w:r w:rsidRPr="009C48DA">
              <w:rPr>
                <w:rFonts w:cs="Times New Roman"/>
                <w:sz w:val="13"/>
                <w:szCs w:val="13"/>
                <w:lang w:val="en-GB"/>
              </w:rPr>
              <w:t>€353</w:t>
            </w:r>
          </w:p>
        </w:tc>
        <w:tc>
          <w:tcPr>
            <w:tcW w:w="994" w:type="dxa"/>
            <w:vAlign w:val="bottom"/>
          </w:tcPr>
          <w:p w:rsidRPr="009C48DA" w:rsidR="00F02DD3" w:rsidP="00143D62" w:rsidRDefault="00F02DD3" w14:paraId="6B9F81A7" w14:textId="77777777">
            <w:pPr>
              <w:jc w:val="right"/>
              <w:rPr>
                <w:rFonts w:cs="Times New Roman"/>
                <w:sz w:val="13"/>
                <w:szCs w:val="13"/>
                <w:lang w:val="en-GB"/>
              </w:rPr>
            </w:pPr>
            <w:r w:rsidRPr="009C48DA">
              <w:rPr>
                <w:rFonts w:cs="Times New Roman"/>
                <w:color w:val="000000"/>
                <w:sz w:val="13"/>
                <w:szCs w:val="13"/>
                <w:lang w:val="en-GB"/>
              </w:rPr>
              <w:t>2.50x</w:t>
            </w:r>
          </w:p>
        </w:tc>
        <w:tc>
          <w:tcPr>
            <w:tcW w:w="951" w:type="dxa"/>
            <w:vAlign w:val="bottom"/>
          </w:tcPr>
          <w:p w:rsidRPr="009C48DA" w:rsidR="00F02DD3" w:rsidP="00143D62" w:rsidRDefault="00F02DD3" w14:paraId="1D58FF66" w14:textId="77777777">
            <w:pPr>
              <w:jc w:val="right"/>
              <w:rPr>
                <w:rFonts w:cs="Times New Roman"/>
                <w:color w:val="000000"/>
                <w:sz w:val="13"/>
                <w:szCs w:val="13"/>
                <w:lang w:val="en-GB"/>
              </w:rPr>
            </w:pPr>
            <w:r w:rsidRPr="009C48DA">
              <w:rPr>
                <w:rFonts w:cs="Times New Roman"/>
                <w:color w:val="000000"/>
                <w:sz w:val="13"/>
                <w:szCs w:val="13"/>
                <w:lang w:val="en-GB"/>
              </w:rPr>
              <w:t>34%</w:t>
            </w:r>
          </w:p>
        </w:tc>
        <w:tc>
          <w:tcPr>
            <w:tcW w:w="1008" w:type="dxa"/>
            <w:vAlign w:val="bottom"/>
          </w:tcPr>
          <w:p w:rsidRPr="009C48DA" w:rsidR="00F02DD3" w:rsidP="00143D62" w:rsidRDefault="00F02DD3" w14:paraId="7A4ABFAC" w14:textId="77777777">
            <w:pPr>
              <w:jc w:val="right"/>
              <w:rPr>
                <w:rFonts w:cs="Times New Roman"/>
                <w:sz w:val="13"/>
                <w:szCs w:val="13"/>
                <w:lang w:val="en-GB"/>
              </w:rPr>
            </w:pPr>
            <w:r w:rsidRPr="009C48DA">
              <w:rPr>
                <w:rFonts w:cs="Times New Roman"/>
                <w:color w:val="000000"/>
                <w:sz w:val="13"/>
                <w:szCs w:val="13"/>
                <w:lang w:val="en-GB"/>
              </w:rPr>
              <w:t>28%</w:t>
            </w:r>
          </w:p>
        </w:tc>
        <w:tc>
          <w:tcPr>
            <w:tcW w:w="1134" w:type="dxa"/>
            <w:vAlign w:val="bottom"/>
          </w:tcPr>
          <w:p w:rsidRPr="009C48DA" w:rsidR="00F02DD3" w:rsidP="00143D62" w:rsidRDefault="00F02DD3" w14:paraId="20A81E99" w14:textId="77777777">
            <w:pPr>
              <w:jc w:val="right"/>
              <w:rPr>
                <w:rFonts w:cs="Times New Roman"/>
                <w:color w:val="000000"/>
                <w:sz w:val="13"/>
                <w:szCs w:val="13"/>
                <w:lang w:val="en-GB"/>
              </w:rPr>
            </w:pPr>
            <w:r w:rsidRPr="009C48DA">
              <w:rPr>
                <w:rFonts w:cs="Times New Roman"/>
                <w:color w:val="000000"/>
                <w:sz w:val="13"/>
                <w:szCs w:val="13"/>
                <w:lang w:val="en-GB"/>
              </w:rPr>
              <w:t>n/a</w:t>
            </w:r>
          </w:p>
        </w:tc>
        <w:tc>
          <w:tcPr>
            <w:tcW w:w="1134" w:type="dxa"/>
            <w:vAlign w:val="bottom"/>
          </w:tcPr>
          <w:p w:rsidRPr="009C48DA" w:rsidR="00F02DD3" w:rsidP="00143D62" w:rsidRDefault="00F02DD3" w14:paraId="6CAAA9D2" w14:textId="77777777">
            <w:pPr>
              <w:jc w:val="right"/>
              <w:rPr>
                <w:rFonts w:cs="Times New Roman"/>
                <w:color w:val="000000"/>
                <w:sz w:val="13"/>
                <w:szCs w:val="13"/>
                <w:lang w:val="en-GB"/>
              </w:rPr>
            </w:pPr>
            <w:r w:rsidRPr="009C48DA">
              <w:rPr>
                <w:rFonts w:cs="Times New Roman"/>
                <w:color w:val="000000"/>
                <w:sz w:val="13"/>
                <w:szCs w:val="13"/>
                <w:lang w:val="en-GB"/>
              </w:rPr>
              <w:t>n/a</w:t>
            </w:r>
          </w:p>
        </w:tc>
      </w:tr>
      <w:tr w:rsidRPr="009C48DA" w:rsidR="00F02DD3" w:rsidTr="0036034E" w14:paraId="6AA76B9D" w14:textId="77777777">
        <w:trPr>
          <w:trHeight w:val="74"/>
        </w:trPr>
        <w:tc>
          <w:tcPr>
            <w:tcW w:w="2268" w:type="dxa"/>
            <w:shd w:val="clear" w:color="auto" w:fill="auto"/>
            <w:vAlign w:val="bottom"/>
          </w:tcPr>
          <w:p w:rsidRPr="009C48DA" w:rsidR="00F02DD3" w:rsidP="00143D62" w:rsidRDefault="00961BEE" w14:paraId="7C3F9811" w14:textId="44CAE2F4">
            <w:pPr>
              <w:keepNext/>
              <w:rPr>
                <w:rFonts w:cs="Times New Roman"/>
                <w:sz w:val="13"/>
                <w:szCs w:val="13"/>
                <w:lang w:val="en-GB"/>
              </w:rPr>
            </w:pPr>
            <w:r w:rsidRPr="009C48DA">
              <w:rPr>
                <w:rFonts w:cs="Times New Roman"/>
                <w:sz w:val="13"/>
                <w:szCs w:val="13"/>
                <w:lang w:val="en-GB"/>
              </w:rPr>
              <w:t xml:space="preserve">Bridgepoint </w:t>
            </w:r>
            <w:r w:rsidRPr="009C48DA" w:rsidR="00F02DD3">
              <w:rPr>
                <w:rFonts w:cs="Times New Roman"/>
                <w:sz w:val="13"/>
                <w:szCs w:val="13"/>
                <w:lang w:val="en-GB"/>
              </w:rPr>
              <w:t>Development Capital III</w:t>
            </w:r>
          </w:p>
        </w:tc>
        <w:tc>
          <w:tcPr>
            <w:tcW w:w="1050" w:type="dxa"/>
            <w:vAlign w:val="bottom"/>
          </w:tcPr>
          <w:p w:rsidRPr="009C48DA" w:rsidR="00F02DD3" w:rsidP="00143D62" w:rsidRDefault="00F02DD3" w14:paraId="2EB9B4B8" w14:textId="77777777">
            <w:pPr>
              <w:jc w:val="right"/>
              <w:rPr>
                <w:rFonts w:cs="Times New Roman"/>
                <w:sz w:val="13"/>
                <w:szCs w:val="13"/>
                <w:lang w:val="en-GB"/>
              </w:rPr>
            </w:pPr>
            <w:r w:rsidRPr="009C48DA">
              <w:rPr>
                <w:rFonts w:cs="Times New Roman"/>
                <w:sz w:val="13"/>
                <w:szCs w:val="13"/>
                <w:lang w:val="en-GB"/>
              </w:rPr>
              <w:t>£605</w:t>
            </w:r>
          </w:p>
        </w:tc>
        <w:tc>
          <w:tcPr>
            <w:tcW w:w="994" w:type="dxa"/>
            <w:vAlign w:val="bottom"/>
          </w:tcPr>
          <w:p w:rsidRPr="009C48DA" w:rsidR="00F02DD3" w:rsidP="00143D62" w:rsidRDefault="00F02DD3" w14:paraId="2556CA17" w14:textId="77777777">
            <w:pPr>
              <w:jc w:val="right"/>
              <w:rPr>
                <w:rFonts w:cs="Times New Roman"/>
                <w:sz w:val="13"/>
                <w:szCs w:val="13"/>
                <w:lang w:val="en-GB"/>
              </w:rPr>
            </w:pPr>
            <w:r w:rsidRPr="009C48DA">
              <w:rPr>
                <w:rFonts w:cs="Times New Roman"/>
                <w:color w:val="000000"/>
                <w:sz w:val="13"/>
                <w:szCs w:val="13"/>
                <w:lang w:val="en-GB"/>
              </w:rPr>
              <w:t>1.99x</w:t>
            </w:r>
          </w:p>
        </w:tc>
        <w:tc>
          <w:tcPr>
            <w:tcW w:w="951" w:type="dxa"/>
            <w:vAlign w:val="bottom"/>
          </w:tcPr>
          <w:p w:rsidRPr="009C48DA" w:rsidR="00F02DD3" w:rsidP="00143D62" w:rsidRDefault="00F02DD3" w14:paraId="746C32E5" w14:textId="77777777">
            <w:pPr>
              <w:jc w:val="right"/>
              <w:rPr>
                <w:rFonts w:cs="Times New Roman"/>
                <w:color w:val="000000"/>
                <w:sz w:val="13"/>
                <w:szCs w:val="13"/>
                <w:lang w:val="en-GB"/>
              </w:rPr>
            </w:pPr>
            <w:r w:rsidRPr="009C48DA">
              <w:rPr>
                <w:rFonts w:cs="Times New Roman"/>
                <w:color w:val="000000"/>
                <w:sz w:val="13"/>
                <w:szCs w:val="13"/>
                <w:lang w:val="en-GB"/>
              </w:rPr>
              <w:t>40%</w:t>
            </w:r>
          </w:p>
        </w:tc>
        <w:tc>
          <w:tcPr>
            <w:tcW w:w="1008" w:type="dxa"/>
            <w:vAlign w:val="bottom"/>
          </w:tcPr>
          <w:p w:rsidRPr="009C48DA" w:rsidR="00F02DD3" w:rsidP="00143D62" w:rsidRDefault="00F02DD3" w14:paraId="75E9752C" w14:textId="77777777">
            <w:pPr>
              <w:jc w:val="right"/>
              <w:rPr>
                <w:rFonts w:cs="Times New Roman"/>
                <w:sz w:val="13"/>
                <w:szCs w:val="13"/>
                <w:lang w:val="en-GB"/>
              </w:rPr>
            </w:pPr>
            <w:r w:rsidRPr="009C48DA">
              <w:rPr>
                <w:rFonts w:cs="Times New Roman"/>
                <w:color w:val="000000"/>
                <w:sz w:val="13"/>
                <w:szCs w:val="13"/>
                <w:lang w:val="en-GB"/>
              </w:rPr>
              <w:t>37%</w:t>
            </w:r>
          </w:p>
        </w:tc>
        <w:tc>
          <w:tcPr>
            <w:tcW w:w="1134" w:type="dxa"/>
            <w:vAlign w:val="bottom"/>
          </w:tcPr>
          <w:p w:rsidRPr="009C48DA" w:rsidR="00F02DD3" w:rsidP="00143D62" w:rsidRDefault="00F02DD3" w14:paraId="18410E1A" w14:textId="77777777">
            <w:pPr>
              <w:jc w:val="right"/>
              <w:rPr>
                <w:rFonts w:cs="Times New Roman"/>
                <w:color w:val="000000"/>
                <w:sz w:val="13"/>
                <w:szCs w:val="13"/>
                <w:lang w:val="en-GB"/>
              </w:rPr>
            </w:pPr>
            <w:r w:rsidRPr="009C48DA">
              <w:rPr>
                <w:rFonts w:cs="Times New Roman"/>
                <w:color w:val="000000"/>
                <w:sz w:val="13"/>
                <w:szCs w:val="13"/>
                <w:lang w:val="en-GB"/>
              </w:rPr>
              <w:t>n/a</w:t>
            </w:r>
          </w:p>
        </w:tc>
        <w:tc>
          <w:tcPr>
            <w:tcW w:w="1134" w:type="dxa"/>
            <w:vAlign w:val="bottom"/>
          </w:tcPr>
          <w:p w:rsidRPr="009C48DA" w:rsidR="00F02DD3" w:rsidP="00143D62" w:rsidRDefault="00F02DD3" w14:paraId="12C6AB54" w14:textId="77777777">
            <w:pPr>
              <w:jc w:val="right"/>
              <w:rPr>
                <w:rFonts w:cs="Times New Roman"/>
                <w:color w:val="000000"/>
                <w:sz w:val="13"/>
                <w:szCs w:val="13"/>
                <w:lang w:val="en-GB"/>
              </w:rPr>
            </w:pPr>
            <w:r w:rsidRPr="009C48DA">
              <w:rPr>
                <w:rFonts w:cs="Times New Roman"/>
                <w:color w:val="000000"/>
                <w:sz w:val="13"/>
                <w:szCs w:val="13"/>
                <w:lang w:val="en-GB"/>
              </w:rPr>
              <w:t>5 years</w:t>
            </w:r>
          </w:p>
        </w:tc>
      </w:tr>
      <w:tr w:rsidRPr="009C48DA" w:rsidR="00F02DD3" w:rsidTr="0036034E" w14:paraId="5EAA5D56" w14:textId="77777777">
        <w:trPr>
          <w:trHeight w:val="74"/>
        </w:trPr>
        <w:tc>
          <w:tcPr>
            <w:tcW w:w="2268" w:type="dxa"/>
            <w:shd w:val="clear" w:color="auto" w:fill="auto"/>
            <w:vAlign w:val="bottom"/>
          </w:tcPr>
          <w:p w:rsidRPr="009C48DA" w:rsidR="00F02DD3" w:rsidP="00143D62" w:rsidRDefault="00961BEE" w14:paraId="33D8456C" w14:textId="793301D8">
            <w:pPr>
              <w:keepNext/>
              <w:rPr>
                <w:rFonts w:cs="Times New Roman"/>
                <w:sz w:val="13"/>
                <w:szCs w:val="13"/>
                <w:lang w:val="en-GB"/>
              </w:rPr>
            </w:pPr>
            <w:r w:rsidRPr="009C48DA">
              <w:rPr>
                <w:rFonts w:cs="Times New Roman"/>
                <w:sz w:val="13"/>
                <w:szCs w:val="13"/>
                <w:lang w:val="en-GB"/>
              </w:rPr>
              <w:t xml:space="preserve">Bridgepoint </w:t>
            </w:r>
            <w:r w:rsidRPr="009C48DA" w:rsidR="00F02DD3">
              <w:rPr>
                <w:rFonts w:cs="Times New Roman"/>
                <w:sz w:val="13"/>
                <w:szCs w:val="13"/>
                <w:lang w:val="en-GB"/>
              </w:rPr>
              <w:t>Development Capital IV</w:t>
            </w:r>
          </w:p>
        </w:tc>
        <w:tc>
          <w:tcPr>
            <w:tcW w:w="1050" w:type="dxa"/>
            <w:vAlign w:val="bottom"/>
          </w:tcPr>
          <w:p w:rsidRPr="009C48DA" w:rsidR="00F02DD3" w:rsidP="00143D62" w:rsidRDefault="00F02DD3" w14:paraId="0AEBFC7B" w14:textId="77777777">
            <w:pPr>
              <w:jc w:val="right"/>
              <w:rPr>
                <w:rFonts w:cs="Times New Roman"/>
                <w:sz w:val="13"/>
                <w:szCs w:val="13"/>
                <w:lang w:val="en-GB"/>
              </w:rPr>
            </w:pPr>
            <w:r w:rsidRPr="009C48DA">
              <w:rPr>
                <w:rFonts w:cs="Times New Roman"/>
                <w:sz w:val="13"/>
                <w:szCs w:val="13"/>
                <w:lang w:val="en-GB"/>
              </w:rPr>
              <w:t>£1,559</w:t>
            </w:r>
          </w:p>
        </w:tc>
        <w:tc>
          <w:tcPr>
            <w:tcW w:w="994" w:type="dxa"/>
            <w:vAlign w:val="bottom"/>
          </w:tcPr>
          <w:p w:rsidRPr="009C48DA" w:rsidR="00F02DD3" w:rsidP="00143D62" w:rsidRDefault="00F02DD3" w14:paraId="1A41AFA9" w14:textId="77777777">
            <w:pPr>
              <w:jc w:val="right"/>
              <w:rPr>
                <w:rFonts w:cs="Times New Roman"/>
                <w:sz w:val="13"/>
                <w:szCs w:val="13"/>
                <w:lang w:val="en-GB"/>
              </w:rPr>
            </w:pPr>
            <w:r w:rsidRPr="009C48DA">
              <w:rPr>
                <w:rFonts w:cs="Times New Roman"/>
                <w:color w:val="000000"/>
                <w:sz w:val="13"/>
                <w:szCs w:val="13"/>
                <w:lang w:val="en-GB"/>
              </w:rPr>
              <w:t>1.00x</w:t>
            </w:r>
          </w:p>
        </w:tc>
        <w:tc>
          <w:tcPr>
            <w:tcW w:w="951" w:type="dxa"/>
            <w:vAlign w:val="bottom"/>
          </w:tcPr>
          <w:p w:rsidRPr="009C48DA" w:rsidR="00F02DD3" w:rsidP="00143D62" w:rsidRDefault="00F02DD3" w14:paraId="4C11D5E1" w14:textId="77777777">
            <w:pPr>
              <w:jc w:val="right"/>
              <w:rPr>
                <w:rFonts w:cs="Times New Roman"/>
                <w:color w:val="000000"/>
                <w:sz w:val="13"/>
                <w:szCs w:val="13"/>
                <w:lang w:val="en-GB"/>
              </w:rPr>
            </w:pPr>
            <w:r w:rsidRPr="009C48DA">
              <w:rPr>
                <w:rFonts w:cs="Times New Roman"/>
                <w:color w:val="000000"/>
                <w:sz w:val="13"/>
                <w:szCs w:val="13"/>
                <w:lang w:val="en-GB"/>
              </w:rPr>
              <w:t>n/m</w:t>
            </w:r>
          </w:p>
        </w:tc>
        <w:tc>
          <w:tcPr>
            <w:tcW w:w="1008" w:type="dxa"/>
            <w:vAlign w:val="bottom"/>
          </w:tcPr>
          <w:p w:rsidRPr="009C48DA" w:rsidR="00F02DD3" w:rsidP="00143D62" w:rsidRDefault="00F02DD3" w14:paraId="6346EE74" w14:textId="77777777">
            <w:pPr>
              <w:jc w:val="right"/>
              <w:rPr>
                <w:rFonts w:cs="Times New Roman"/>
                <w:sz w:val="13"/>
                <w:szCs w:val="13"/>
                <w:lang w:val="en-GB"/>
              </w:rPr>
            </w:pPr>
            <w:r w:rsidRPr="009C48DA">
              <w:rPr>
                <w:rFonts w:cs="Times New Roman"/>
                <w:color w:val="000000"/>
                <w:sz w:val="13"/>
                <w:szCs w:val="13"/>
                <w:lang w:val="en-GB"/>
              </w:rPr>
              <w:t>n/m</w:t>
            </w:r>
          </w:p>
        </w:tc>
        <w:tc>
          <w:tcPr>
            <w:tcW w:w="1134" w:type="dxa"/>
            <w:vAlign w:val="bottom"/>
          </w:tcPr>
          <w:p w:rsidRPr="009C48DA" w:rsidR="00F02DD3" w:rsidP="00143D62" w:rsidRDefault="00F02DD3" w14:paraId="3336D08D" w14:textId="77777777">
            <w:pPr>
              <w:jc w:val="right"/>
              <w:rPr>
                <w:rFonts w:cs="Times New Roman"/>
                <w:color w:val="000000"/>
                <w:sz w:val="13"/>
                <w:szCs w:val="13"/>
                <w:lang w:val="en-GB"/>
              </w:rPr>
            </w:pPr>
            <w:r w:rsidRPr="009C48DA">
              <w:rPr>
                <w:rFonts w:cs="Times New Roman"/>
                <w:color w:val="000000"/>
                <w:sz w:val="13"/>
                <w:szCs w:val="13"/>
                <w:lang w:val="en-GB"/>
              </w:rPr>
              <w:t>approx. 4.6 years</w:t>
            </w:r>
          </w:p>
        </w:tc>
        <w:tc>
          <w:tcPr>
            <w:tcW w:w="1134" w:type="dxa"/>
            <w:vAlign w:val="bottom"/>
          </w:tcPr>
          <w:p w:rsidRPr="009C48DA" w:rsidR="00F02DD3" w:rsidP="00143D62" w:rsidRDefault="00F02DD3" w14:paraId="58EB8717" w14:textId="77777777">
            <w:pPr>
              <w:jc w:val="right"/>
              <w:rPr>
                <w:rFonts w:cs="Times New Roman"/>
                <w:color w:val="000000"/>
                <w:sz w:val="13"/>
                <w:szCs w:val="13"/>
                <w:lang w:val="en-GB"/>
              </w:rPr>
            </w:pPr>
            <w:r w:rsidRPr="009C48DA">
              <w:rPr>
                <w:rFonts w:cs="Times New Roman"/>
                <w:color w:val="000000"/>
                <w:sz w:val="13"/>
                <w:szCs w:val="13"/>
                <w:lang w:val="en-GB"/>
              </w:rPr>
              <w:t>10 years</w:t>
            </w:r>
          </w:p>
        </w:tc>
      </w:tr>
      <w:tr w:rsidRPr="009C48DA" w:rsidR="00F02DD3" w:rsidTr="0036034E" w14:paraId="4E1E1713" w14:textId="77777777">
        <w:trPr>
          <w:trHeight w:val="74"/>
        </w:trPr>
        <w:tc>
          <w:tcPr>
            <w:tcW w:w="2268" w:type="dxa"/>
            <w:shd w:val="clear" w:color="auto" w:fill="auto"/>
            <w:vAlign w:val="bottom"/>
          </w:tcPr>
          <w:p w:rsidRPr="009C48DA" w:rsidR="00F02DD3" w:rsidP="00143D62" w:rsidRDefault="00961BEE" w14:paraId="48CBA03B" w14:textId="4EF11C14">
            <w:pPr>
              <w:keepNext/>
              <w:rPr>
                <w:rFonts w:cs="Times New Roman"/>
                <w:sz w:val="13"/>
                <w:szCs w:val="13"/>
                <w:lang w:val="en-GB"/>
              </w:rPr>
            </w:pPr>
            <w:r w:rsidRPr="009C48DA">
              <w:rPr>
                <w:rFonts w:cs="Times New Roman"/>
                <w:sz w:val="13"/>
                <w:szCs w:val="13"/>
                <w:lang w:val="en-GB"/>
              </w:rPr>
              <w:t xml:space="preserve">Bridgepoint </w:t>
            </w:r>
            <w:r w:rsidRPr="009C48DA" w:rsidR="00F02DD3">
              <w:rPr>
                <w:rFonts w:cs="Times New Roman"/>
                <w:sz w:val="13"/>
                <w:szCs w:val="13"/>
                <w:lang w:val="en-GB"/>
              </w:rPr>
              <w:t>Growth I</w:t>
            </w:r>
          </w:p>
        </w:tc>
        <w:tc>
          <w:tcPr>
            <w:tcW w:w="1050" w:type="dxa"/>
            <w:vAlign w:val="bottom"/>
          </w:tcPr>
          <w:p w:rsidRPr="009C48DA" w:rsidR="00F02DD3" w:rsidP="00143D62" w:rsidRDefault="00F02DD3" w14:paraId="46CED82A" w14:textId="77777777">
            <w:pPr>
              <w:jc w:val="right"/>
              <w:rPr>
                <w:rFonts w:cs="Times New Roman"/>
                <w:sz w:val="13"/>
                <w:szCs w:val="13"/>
                <w:lang w:val="en-GB"/>
              </w:rPr>
            </w:pPr>
            <w:r w:rsidRPr="009C48DA">
              <w:rPr>
                <w:rFonts w:cs="Times New Roman"/>
                <w:sz w:val="13"/>
                <w:szCs w:val="13"/>
                <w:lang w:val="en-GB"/>
              </w:rPr>
              <w:t>£105</w:t>
            </w:r>
          </w:p>
        </w:tc>
        <w:tc>
          <w:tcPr>
            <w:tcW w:w="994" w:type="dxa"/>
            <w:vAlign w:val="bottom"/>
          </w:tcPr>
          <w:p w:rsidRPr="009C48DA" w:rsidR="00F02DD3" w:rsidP="00143D62" w:rsidRDefault="00F02DD3" w14:paraId="0847B035" w14:textId="77777777">
            <w:pPr>
              <w:jc w:val="right"/>
              <w:rPr>
                <w:rFonts w:cs="Times New Roman"/>
                <w:sz w:val="13"/>
                <w:szCs w:val="13"/>
                <w:lang w:val="en-GB"/>
              </w:rPr>
            </w:pPr>
            <w:r w:rsidRPr="009C48DA">
              <w:rPr>
                <w:rFonts w:cs="Times New Roman"/>
                <w:color w:val="000000"/>
                <w:sz w:val="13"/>
                <w:szCs w:val="13"/>
                <w:lang w:val="en-GB"/>
              </w:rPr>
              <w:t>1.36x</w:t>
            </w:r>
          </w:p>
        </w:tc>
        <w:tc>
          <w:tcPr>
            <w:tcW w:w="951" w:type="dxa"/>
            <w:vAlign w:val="bottom"/>
          </w:tcPr>
          <w:p w:rsidRPr="009C48DA" w:rsidR="00F02DD3" w:rsidP="00143D62" w:rsidRDefault="00F02DD3" w14:paraId="3FD4D49F" w14:textId="77777777">
            <w:pPr>
              <w:jc w:val="right"/>
              <w:rPr>
                <w:rFonts w:cs="Times New Roman"/>
                <w:sz w:val="13"/>
                <w:szCs w:val="13"/>
                <w:lang w:val="en-GB"/>
              </w:rPr>
            </w:pPr>
            <w:r w:rsidRPr="009C48DA">
              <w:rPr>
                <w:rFonts w:cs="Times New Roman"/>
                <w:color w:val="000000"/>
                <w:sz w:val="13"/>
                <w:szCs w:val="13"/>
                <w:lang w:val="en-GB"/>
              </w:rPr>
              <w:t>16%</w:t>
            </w:r>
          </w:p>
        </w:tc>
        <w:tc>
          <w:tcPr>
            <w:tcW w:w="1008" w:type="dxa"/>
            <w:vAlign w:val="bottom"/>
          </w:tcPr>
          <w:p w:rsidRPr="009C48DA" w:rsidR="00F02DD3" w:rsidP="00143D62" w:rsidRDefault="00F02DD3" w14:paraId="62EDB8CB" w14:textId="77777777">
            <w:pPr>
              <w:jc w:val="right"/>
              <w:rPr>
                <w:rFonts w:cs="Times New Roman"/>
                <w:sz w:val="13"/>
                <w:szCs w:val="13"/>
                <w:lang w:val="en-GB"/>
              </w:rPr>
            </w:pPr>
            <w:r w:rsidRPr="009C48DA">
              <w:rPr>
                <w:rFonts w:cs="Times New Roman"/>
                <w:color w:val="000000"/>
                <w:sz w:val="13"/>
                <w:szCs w:val="13"/>
                <w:lang w:val="en-GB"/>
              </w:rPr>
              <w:t>9%</w:t>
            </w:r>
          </w:p>
        </w:tc>
        <w:tc>
          <w:tcPr>
            <w:tcW w:w="1134" w:type="dxa"/>
            <w:vAlign w:val="bottom"/>
          </w:tcPr>
          <w:p w:rsidRPr="009C48DA" w:rsidR="00F02DD3" w:rsidP="00143D62" w:rsidRDefault="00F02DD3" w14:paraId="54D72633" w14:textId="77777777">
            <w:pPr>
              <w:jc w:val="right"/>
              <w:rPr>
                <w:rFonts w:cs="Times New Roman"/>
                <w:color w:val="000000"/>
                <w:sz w:val="13"/>
                <w:szCs w:val="13"/>
                <w:lang w:val="en-GB"/>
              </w:rPr>
            </w:pPr>
            <w:r w:rsidRPr="009C48DA">
              <w:rPr>
                <w:rFonts w:cs="Times New Roman"/>
                <w:color w:val="000000"/>
                <w:sz w:val="13"/>
                <w:szCs w:val="13"/>
                <w:lang w:val="en-GB"/>
              </w:rPr>
              <w:t>approx. 1.4 years</w:t>
            </w:r>
          </w:p>
        </w:tc>
        <w:tc>
          <w:tcPr>
            <w:tcW w:w="1134" w:type="dxa"/>
            <w:vAlign w:val="bottom"/>
          </w:tcPr>
          <w:p w:rsidRPr="009C48DA" w:rsidR="00F02DD3" w:rsidP="00143D62" w:rsidRDefault="00F02DD3" w14:paraId="5CE1664A" w14:textId="77777777">
            <w:pPr>
              <w:jc w:val="right"/>
              <w:rPr>
                <w:rFonts w:cs="Times New Roman"/>
                <w:color w:val="000000"/>
                <w:sz w:val="13"/>
                <w:szCs w:val="13"/>
                <w:lang w:val="en-GB"/>
              </w:rPr>
            </w:pPr>
            <w:r w:rsidRPr="009C48DA">
              <w:rPr>
                <w:rFonts w:cs="Times New Roman"/>
                <w:color w:val="000000"/>
                <w:sz w:val="13"/>
                <w:szCs w:val="13"/>
                <w:lang w:val="en-GB"/>
              </w:rPr>
              <w:t>6 years</w:t>
            </w:r>
          </w:p>
        </w:tc>
      </w:tr>
      <w:tr w:rsidRPr="009C48DA" w:rsidR="00F02DD3" w:rsidTr="0036034E" w14:paraId="1AE78724" w14:textId="77777777">
        <w:trPr>
          <w:trHeight w:val="74"/>
        </w:trPr>
        <w:tc>
          <w:tcPr>
            <w:tcW w:w="2268" w:type="dxa"/>
            <w:shd w:val="clear" w:color="auto" w:fill="auto"/>
            <w:vAlign w:val="bottom"/>
          </w:tcPr>
          <w:p w:rsidRPr="009C48DA" w:rsidR="00F02DD3" w:rsidP="00143D62" w:rsidRDefault="00961BEE" w14:paraId="736806D8" w14:textId="0103B50C">
            <w:pPr>
              <w:keepNext/>
              <w:rPr>
                <w:rFonts w:cs="Times New Roman"/>
                <w:sz w:val="13"/>
                <w:szCs w:val="13"/>
                <w:lang w:val="en-GB"/>
              </w:rPr>
            </w:pPr>
            <w:r w:rsidRPr="009C48DA">
              <w:rPr>
                <w:rFonts w:cs="Times New Roman"/>
                <w:sz w:val="13"/>
                <w:szCs w:val="13"/>
                <w:lang w:val="en-GB"/>
              </w:rPr>
              <w:t xml:space="preserve">Bridgepoint </w:t>
            </w:r>
            <w:r w:rsidRPr="009C48DA" w:rsidR="00F02DD3">
              <w:rPr>
                <w:rFonts w:cs="Times New Roman"/>
                <w:sz w:val="13"/>
                <w:szCs w:val="13"/>
                <w:lang w:val="en-GB"/>
              </w:rPr>
              <w:t>Europe Portfolio IV (Secondary)</w:t>
            </w:r>
            <w:r w:rsidRPr="009C48DA" w:rsidR="00F02DD3">
              <w:rPr>
                <w:rFonts w:cs="Times New Roman"/>
                <w:sz w:val="13"/>
                <w:szCs w:val="13"/>
                <w:vertAlign w:val="superscript"/>
                <w:lang w:val="en-GB"/>
              </w:rPr>
              <w:t>(6)</w:t>
            </w:r>
          </w:p>
        </w:tc>
        <w:tc>
          <w:tcPr>
            <w:tcW w:w="1050" w:type="dxa"/>
            <w:vAlign w:val="bottom"/>
          </w:tcPr>
          <w:p w:rsidRPr="009C48DA" w:rsidR="00F02DD3" w:rsidP="00143D62" w:rsidRDefault="00F02DD3" w14:paraId="78DB8F97" w14:textId="77777777">
            <w:pPr>
              <w:jc w:val="right"/>
              <w:rPr>
                <w:rFonts w:cs="Times New Roman"/>
                <w:sz w:val="13"/>
                <w:szCs w:val="13"/>
                <w:lang w:val="en-GB"/>
              </w:rPr>
            </w:pPr>
            <w:r w:rsidRPr="009C48DA">
              <w:rPr>
                <w:rFonts w:cs="Times New Roman"/>
                <w:sz w:val="13"/>
                <w:szCs w:val="13"/>
                <w:lang w:val="en-GB"/>
              </w:rPr>
              <w:t>€728</w:t>
            </w:r>
          </w:p>
        </w:tc>
        <w:tc>
          <w:tcPr>
            <w:tcW w:w="994" w:type="dxa"/>
            <w:vAlign w:val="bottom"/>
          </w:tcPr>
          <w:p w:rsidRPr="009C48DA" w:rsidR="00F02DD3" w:rsidP="00143D62" w:rsidRDefault="00F02DD3" w14:paraId="1A208F44" w14:textId="77777777">
            <w:pPr>
              <w:jc w:val="right"/>
              <w:rPr>
                <w:rFonts w:cs="Times New Roman"/>
                <w:sz w:val="13"/>
                <w:szCs w:val="13"/>
                <w:lang w:val="en-GB"/>
              </w:rPr>
            </w:pPr>
            <w:r w:rsidRPr="009C48DA">
              <w:rPr>
                <w:rFonts w:cs="Times New Roman"/>
                <w:color w:val="000000"/>
                <w:sz w:val="13"/>
                <w:szCs w:val="13"/>
                <w:lang w:val="en-GB"/>
              </w:rPr>
              <w:t>1.24x</w:t>
            </w:r>
          </w:p>
        </w:tc>
        <w:tc>
          <w:tcPr>
            <w:tcW w:w="951" w:type="dxa"/>
            <w:vAlign w:val="bottom"/>
          </w:tcPr>
          <w:p w:rsidRPr="009C48DA" w:rsidR="00F02DD3" w:rsidP="00143D62" w:rsidRDefault="00F02DD3" w14:paraId="17514686" w14:textId="77777777">
            <w:pPr>
              <w:jc w:val="right"/>
              <w:rPr>
                <w:rFonts w:cs="Times New Roman"/>
                <w:sz w:val="13"/>
                <w:szCs w:val="13"/>
                <w:lang w:val="en-GB"/>
              </w:rPr>
            </w:pPr>
            <w:r w:rsidRPr="009C48DA">
              <w:rPr>
                <w:rFonts w:cs="Times New Roman"/>
                <w:color w:val="000000"/>
                <w:sz w:val="13"/>
                <w:szCs w:val="13"/>
                <w:lang w:val="en-GB"/>
              </w:rPr>
              <w:t>19%</w:t>
            </w:r>
          </w:p>
        </w:tc>
        <w:tc>
          <w:tcPr>
            <w:tcW w:w="1008" w:type="dxa"/>
            <w:vAlign w:val="bottom"/>
          </w:tcPr>
          <w:p w:rsidRPr="009C48DA" w:rsidR="00F02DD3" w:rsidP="00143D62" w:rsidRDefault="00F02DD3" w14:paraId="240B34F5" w14:textId="77777777">
            <w:pPr>
              <w:jc w:val="right"/>
              <w:rPr>
                <w:rFonts w:cs="Times New Roman"/>
                <w:sz w:val="13"/>
                <w:szCs w:val="13"/>
                <w:lang w:val="en-GB"/>
              </w:rPr>
            </w:pPr>
            <w:r w:rsidRPr="009C48DA">
              <w:rPr>
                <w:rFonts w:cs="Times New Roman"/>
                <w:color w:val="000000"/>
                <w:sz w:val="13"/>
                <w:szCs w:val="13"/>
                <w:lang w:val="en-GB"/>
              </w:rPr>
              <w:t>19%</w:t>
            </w:r>
          </w:p>
        </w:tc>
        <w:tc>
          <w:tcPr>
            <w:tcW w:w="1134" w:type="dxa"/>
            <w:vAlign w:val="bottom"/>
          </w:tcPr>
          <w:p w:rsidRPr="009C48DA" w:rsidR="00F02DD3" w:rsidP="00143D62" w:rsidRDefault="00F02DD3" w14:paraId="5CFB7045" w14:textId="77777777">
            <w:pPr>
              <w:jc w:val="right"/>
              <w:rPr>
                <w:rFonts w:cs="Times New Roman"/>
                <w:color w:val="000000"/>
                <w:sz w:val="13"/>
                <w:szCs w:val="13"/>
                <w:lang w:val="en-GB"/>
              </w:rPr>
            </w:pPr>
            <w:r w:rsidRPr="009C48DA">
              <w:rPr>
                <w:rFonts w:cs="Times New Roman"/>
                <w:color w:val="000000"/>
                <w:sz w:val="13"/>
                <w:szCs w:val="13"/>
                <w:lang w:val="en-GB"/>
              </w:rPr>
              <w:t>n/a</w:t>
            </w:r>
          </w:p>
        </w:tc>
        <w:tc>
          <w:tcPr>
            <w:tcW w:w="1134" w:type="dxa"/>
            <w:vAlign w:val="bottom"/>
          </w:tcPr>
          <w:p w:rsidRPr="009C48DA" w:rsidR="00F02DD3" w:rsidP="00143D62" w:rsidRDefault="00F02DD3" w14:paraId="350EFC08" w14:textId="77777777">
            <w:pPr>
              <w:jc w:val="right"/>
              <w:rPr>
                <w:rFonts w:cs="Times New Roman"/>
                <w:color w:val="000000"/>
                <w:sz w:val="13"/>
                <w:szCs w:val="13"/>
                <w:lang w:val="en-GB"/>
              </w:rPr>
            </w:pPr>
            <w:r w:rsidRPr="009C48DA">
              <w:rPr>
                <w:rFonts w:cs="Times New Roman"/>
                <w:color w:val="000000"/>
                <w:sz w:val="13"/>
                <w:szCs w:val="13"/>
                <w:lang w:val="en-GB"/>
              </w:rPr>
              <w:t>3 years</w:t>
            </w:r>
          </w:p>
        </w:tc>
      </w:tr>
      <w:tr w:rsidRPr="009C48DA" w:rsidR="00F02DD3" w:rsidTr="0036034E" w14:paraId="0F959E38" w14:textId="77777777">
        <w:trPr>
          <w:trHeight w:val="74"/>
        </w:trPr>
        <w:tc>
          <w:tcPr>
            <w:tcW w:w="2268" w:type="dxa"/>
            <w:shd w:val="clear" w:color="auto" w:fill="auto"/>
            <w:vAlign w:val="bottom"/>
          </w:tcPr>
          <w:p w:rsidRPr="009C48DA" w:rsidR="00F02DD3" w:rsidP="00143D62" w:rsidRDefault="00961BEE" w14:paraId="3F382773" w14:textId="53607556">
            <w:pPr>
              <w:keepNext/>
              <w:rPr>
                <w:rFonts w:cs="Times New Roman"/>
                <w:sz w:val="13"/>
                <w:szCs w:val="13"/>
                <w:lang w:val="en-GB"/>
              </w:rPr>
            </w:pPr>
            <w:r w:rsidRPr="009C48DA">
              <w:rPr>
                <w:rFonts w:cs="Times New Roman"/>
                <w:sz w:val="13"/>
                <w:szCs w:val="13"/>
                <w:lang w:val="en-GB"/>
              </w:rPr>
              <w:t xml:space="preserve">Bridgepoint </w:t>
            </w:r>
            <w:r w:rsidRPr="009C48DA" w:rsidR="00F02DD3">
              <w:rPr>
                <w:rFonts w:cs="Times New Roman"/>
                <w:sz w:val="13"/>
                <w:szCs w:val="13"/>
                <w:lang w:val="en-GB"/>
              </w:rPr>
              <w:t>Development Capital Portfolio II (Secondary)</w:t>
            </w:r>
            <w:r w:rsidRPr="009C48DA" w:rsidR="00F02DD3">
              <w:rPr>
                <w:rFonts w:cs="Times New Roman"/>
                <w:sz w:val="13"/>
                <w:szCs w:val="13"/>
                <w:vertAlign w:val="superscript"/>
                <w:lang w:val="en-GB"/>
              </w:rPr>
              <w:t>(7)</w:t>
            </w:r>
          </w:p>
        </w:tc>
        <w:tc>
          <w:tcPr>
            <w:tcW w:w="1050" w:type="dxa"/>
            <w:vAlign w:val="bottom"/>
          </w:tcPr>
          <w:p w:rsidRPr="009C48DA" w:rsidR="00F02DD3" w:rsidP="00143D62" w:rsidRDefault="00F02DD3" w14:paraId="684E4988" w14:textId="77777777">
            <w:pPr>
              <w:jc w:val="right"/>
              <w:rPr>
                <w:rFonts w:cs="Times New Roman"/>
                <w:sz w:val="13"/>
                <w:szCs w:val="13"/>
                <w:lang w:val="en-GB"/>
              </w:rPr>
            </w:pPr>
            <w:r w:rsidRPr="009C48DA">
              <w:rPr>
                <w:rFonts w:cs="Times New Roman"/>
                <w:sz w:val="13"/>
                <w:szCs w:val="13"/>
                <w:lang w:val="en-GB"/>
              </w:rPr>
              <w:t>€222</w:t>
            </w:r>
          </w:p>
        </w:tc>
        <w:tc>
          <w:tcPr>
            <w:tcW w:w="994" w:type="dxa"/>
            <w:vAlign w:val="bottom"/>
          </w:tcPr>
          <w:p w:rsidRPr="009C48DA" w:rsidR="00F02DD3" w:rsidP="00143D62" w:rsidRDefault="00F02DD3" w14:paraId="1E67CFAF" w14:textId="77777777">
            <w:pPr>
              <w:jc w:val="right"/>
              <w:rPr>
                <w:rFonts w:cs="Times New Roman"/>
                <w:sz w:val="13"/>
                <w:szCs w:val="13"/>
                <w:lang w:val="en-GB"/>
              </w:rPr>
            </w:pPr>
            <w:r w:rsidRPr="009C48DA">
              <w:rPr>
                <w:rFonts w:cs="Times New Roman"/>
                <w:color w:val="000000"/>
                <w:sz w:val="13"/>
                <w:szCs w:val="13"/>
                <w:lang w:val="en-GB"/>
              </w:rPr>
              <w:t>1.00x</w:t>
            </w:r>
          </w:p>
        </w:tc>
        <w:tc>
          <w:tcPr>
            <w:tcW w:w="951" w:type="dxa"/>
            <w:vAlign w:val="bottom"/>
          </w:tcPr>
          <w:p w:rsidRPr="009C48DA" w:rsidR="00F02DD3" w:rsidP="00143D62" w:rsidRDefault="00F02DD3" w14:paraId="34E336D1" w14:textId="77777777">
            <w:pPr>
              <w:jc w:val="right"/>
              <w:rPr>
                <w:rFonts w:cs="Times New Roman"/>
                <w:sz w:val="13"/>
                <w:szCs w:val="13"/>
                <w:lang w:val="en-GB"/>
              </w:rPr>
            </w:pPr>
            <w:r w:rsidRPr="009C48DA">
              <w:rPr>
                <w:rFonts w:cs="Times New Roman"/>
                <w:color w:val="000000"/>
                <w:sz w:val="13"/>
                <w:szCs w:val="13"/>
                <w:lang w:val="en-GB"/>
              </w:rPr>
              <w:t>n/m</w:t>
            </w:r>
          </w:p>
        </w:tc>
        <w:tc>
          <w:tcPr>
            <w:tcW w:w="1008" w:type="dxa"/>
            <w:vAlign w:val="bottom"/>
          </w:tcPr>
          <w:p w:rsidRPr="009C48DA" w:rsidR="00F02DD3" w:rsidP="00143D62" w:rsidRDefault="00F02DD3" w14:paraId="0BBABE9B" w14:textId="77777777">
            <w:pPr>
              <w:jc w:val="right"/>
              <w:rPr>
                <w:rFonts w:cs="Times New Roman"/>
                <w:sz w:val="13"/>
                <w:szCs w:val="13"/>
                <w:lang w:val="en-GB"/>
              </w:rPr>
            </w:pPr>
            <w:r w:rsidRPr="009C48DA">
              <w:rPr>
                <w:rFonts w:cs="Times New Roman"/>
                <w:color w:val="000000"/>
                <w:sz w:val="13"/>
                <w:szCs w:val="13"/>
                <w:lang w:val="en-GB"/>
              </w:rPr>
              <w:t>n/m</w:t>
            </w:r>
          </w:p>
        </w:tc>
        <w:tc>
          <w:tcPr>
            <w:tcW w:w="1134" w:type="dxa"/>
            <w:vAlign w:val="bottom"/>
          </w:tcPr>
          <w:p w:rsidRPr="009C48DA" w:rsidR="00F02DD3" w:rsidP="00143D62" w:rsidRDefault="00F02DD3" w14:paraId="162EE926" w14:textId="77777777">
            <w:pPr>
              <w:jc w:val="right"/>
              <w:rPr>
                <w:rFonts w:cs="Times New Roman"/>
                <w:color w:val="000000"/>
                <w:sz w:val="13"/>
                <w:szCs w:val="13"/>
                <w:lang w:val="en-GB"/>
              </w:rPr>
            </w:pPr>
            <w:r w:rsidRPr="009C48DA">
              <w:rPr>
                <w:rFonts w:cs="Times New Roman"/>
                <w:color w:val="000000"/>
                <w:sz w:val="13"/>
                <w:szCs w:val="13"/>
                <w:lang w:val="en-GB"/>
              </w:rPr>
              <w:t>n/a</w:t>
            </w:r>
          </w:p>
        </w:tc>
        <w:tc>
          <w:tcPr>
            <w:tcW w:w="1134" w:type="dxa"/>
            <w:vAlign w:val="bottom"/>
          </w:tcPr>
          <w:p w:rsidRPr="009C48DA" w:rsidR="00F02DD3" w:rsidP="00143D62" w:rsidRDefault="00F02DD3" w14:paraId="20B30A0F" w14:textId="77777777">
            <w:pPr>
              <w:jc w:val="right"/>
              <w:rPr>
                <w:rFonts w:cs="Times New Roman"/>
                <w:color w:val="000000"/>
                <w:sz w:val="13"/>
                <w:szCs w:val="13"/>
                <w:lang w:val="en-GB"/>
              </w:rPr>
            </w:pPr>
            <w:r w:rsidRPr="009C48DA">
              <w:rPr>
                <w:rFonts w:cs="Times New Roman"/>
                <w:color w:val="000000"/>
                <w:sz w:val="13"/>
                <w:szCs w:val="13"/>
                <w:lang w:val="en-GB"/>
              </w:rPr>
              <w:t>5 years</w:t>
            </w:r>
          </w:p>
        </w:tc>
      </w:tr>
    </w:tbl>
    <w:p w:rsidRPr="009C48DA" w:rsidR="00B51E80" w:rsidP="00B51E80" w:rsidRDefault="00B51E80" w14:paraId="230FB5D6" w14:textId="77777777">
      <w:pPr>
        <w:pBdr>
          <w:bottom w:val="single" w:color="auto" w:sz="4" w:space="1"/>
        </w:pBdr>
        <w:ind w:right="7200"/>
        <w:rPr>
          <w:rFonts w:eastAsia="Calibri" w:cs="Arial"/>
          <w:lang w:val="en-GB"/>
        </w:rPr>
      </w:pPr>
    </w:p>
    <w:p w:rsidRPr="009C48DA" w:rsidR="004460D9" w:rsidP="004460D9" w:rsidRDefault="004460D9" w14:paraId="4ECC421F" w14:textId="1AB04216">
      <w:pPr>
        <w:spacing w:after="240"/>
        <w:ind w:left="360" w:right="-40" w:hanging="360"/>
        <w:contextualSpacing/>
        <w:jc w:val="both"/>
        <w:rPr>
          <w:color w:val="000000"/>
          <w:sz w:val="17"/>
          <w:szCs w:val="17"/>
          <w:lang w:val="en-GB"/>
        </w:rPr>
      </w:pPr>
      <w:r w:rsidRPr="009C48DA">
        <w:rPr>
          <w:color w:val="000000"/>
          <w:sz w:val="17"/>
          <w:szCs w:val="17"/>
          <w:lang w:val="en-GB"/>
        </w:rPr>
        <w:t>(1)</w:t>
      </w:r>
      <w:r w:rsidRPr="009C48DA">
        <w:rPr>
          <w:color w:val="000000"/>
          <w:sz w:val="17"/>
          <w:szCs w:val="17"/>
          <w:lang w:val="en-GB"/>
        </w:rPr>
        <w:tab/>
        <w:t xml:space="preserve">The table shows all currently active </w:t>
      </w:r>
      <w:r w:rsidRPr="009C48DA" w:rsidR="009B4AE3">
        <w:rPr>
          <w:color w:val="000000"/>
          <w:sz w:val="17"/>
          <w:szCs w:val="17"/>
          <w:lang w:val="en-GB"/>
        </w:rPr>
        <w:t xml:space="preserve">private equity </w:t>
      </w:r>
      <w:r w:rsidRPr="009C48DA">
        <w:rPr>
          <w:color w:val="000000"/>
          <w:sz w:val="17"/>
          <w:szCs w:val="17"/>
          <w:lang w:val="en-GB"/>
        </w:rPr>
        <w:t xml:space="preserve">funds in the </w:t>
      </w:r>
      <w:r w:rsidRPr="009C48DA" w:rsidR="00961BEE">
        <w:rPr>
          <w:color w:val="000000"/>
          <w:sz w:val="17"/>
          <w:szCs w:val="17"/>
          <w:lang w:val="en-GB"/>
        </w:rPr>
        <w:t xml:space="preserve">Bridgepoint </w:t>
      </w:r>
      <w:r w:rsidRPr="009C48DA">
        <w:rPr>
          <w:color w:val="000000"/>
          <w:sz w:val="17"/>
          <w:szCs w:val="17"/>
          <w:lang w:val="en-GB"/>
        </w:rPr>
        <w:t xml:space="preserve">Europe, </w:t>
      </w:r>
      <w:r w:rsidRPr="009C48DA" w:rsidR="00961BEE">
        <w:rPr>
          <w:color w:val="000000"/>
          <w:sz w:val="17"/>
          <w:szCs w:val="17"/>
          <w:lang w:val="en-GB"/>
        </w:rPr>
        <w:t xml:space="preserve">Bridgepoint </w:t>
      </w:r>
      <w:r w:rsidRPr="009C48DA">
        <w:rPr>
          <w:color w:val="000000"/>
          <w:sz w:val="17"/>
          <w:szCs w:val="17"/>
          <w:lang w:val="en-GB"/>
        </w:rPr>
        <w:t xml:space="preserve">Development Capital and </w:t>
      </w:r>
      <w:r w:rsidRPr="009C48DA" w:rsidR="00961BEE">
        <w:rPr>
          <w:color w:val="000000"/>
          <w:sz w:val="17"/>
          <w:szCs w:val="17"/>
          <w:lang w:val="en-GB"/>
        </w:rPr>
        <w:t xml:space="preserve">Bridgepoint </w:t>
      </w:r>
      <w:r w:rsidRPr="009C48DA">
        <w:rPr>
          <w:color w:val="000000"/>
          <w:sz w:val="17"/>
          <w:szCs w:val="17"/>
          <w:lang w:val="en-GB"/>
        </w:rPr>
        <w:t>Growth strategies. See “</w:t>
      </w:r>
      <w:r w:rsidRPr="009C48DA">
        <w:rPr>
          <w:i/>
          <w:color w:val="000000"/>
          <w:sz w:val="17"/>
          <w:szCs w:val="17"/>
          <w:lang w:val="en-GB"/>
        </w:rPr>
        <w:t>Deep dive by investment strategy</w:t>
      </w:r>
      <w:r w:rsidRPr="009C48DA">
        <w:rPr>
          <w:color w:val="000000"/>
          <w:sz w:val="17"/>
          <w:szCs w:val="17"/>
          <w:lang w:val="en-GB"/>
        </w:rPr>
        <w:t xml:space="preserve">” in </w:t>
      </w:r>
      <w:r w:rsidRPr="009C48DA">
        <w:rPr>
          <w:color w:val="000000"/>
          <w:sz w:val="17"/>
          <w:szCs w:val="17"/>
          <w:lang w:val="en-GB"/>
        </w:rPr>
        <w:fldChar w:fldCharType="begin"/>
      </w:r>
      <w:r w:rsidRPr="009C48DA">
        <w:rPr>
          <w:color w:val="000000"/>
          <w:sz w:val="17"/>
          <w:szCs w:val="17"/>
          <w:lang w:val="en-GB"/>
        </w:rPr>
        <w:instrText xml:space="preserve"> REF _Ref74466766 \n \h </w:instrText>
      </w:r>
      <w:r w:rsidRPr="009C48DA">
        <w:rPr>
          <w:color w:val="000000"/>
          <w:sz w:val="17"/>
          <w:szCs w:val="17"/>
          <w:lang w:val="en-GB"/>
        </w:rPr>
      </w:r>
      <w:r w:rsidRPr="009C48DA">
        <w:rPr>
          <w:color w:val="000000"/>
          <w:sz w:val="17"/>
          <w:szCs w:val="17"/>
          <w:lang w:val="en-GB"/>
        </w:rPr>
        <w:fldChar w:fldCharType="separate"/>
      </w:r>
      <w:r w:rsidR="007C3D19">
        <w:rPr>
          <w:color w:val="000000"/>
          <w:sz w:val="17"/>
          <w:szCs w:val="17"/>
          <w:lang w:val="en-GB"/>
        </w:rPr>
        <w:t>Part V</w:t>
      </w:r>
      <w:r w:rsidRPr="009C48DA">
        <w:rPr>
          <w:color w:val="000000"/>
          <w:sz w:val="17"/>
          <w:szCs w:val="17"/>
          <w:lang w:val="en-GB"/>
        </w:rPr>
        <w:fldChar w:fldCharType="end"/>
      </w:r>
      <w:r w:rsidRPr="009C48DA">
        <w:rPr>
          <w:i/>
          <w:color w:val="000000"/>
          <w:sz w:val="17"/>
          <w:szCs w:val="17"/>
          <w:lang w:val="en-GB"/>
        </w:rPr>
        <w:t xml:space="preserve"> </w:t>
      </w:r>
      <w:r w:rsidRPr="009C48DA" w:rsidR="003E24E1">
        <w:rPr>
          <w:i/>
          <w:color w:val="000000"/>
          <w:sz w:val="17"/>
          <w:szCs w:val="17"/>
          <w:lang w:val="en-GB"/>
        </w:rPr>
        <w:t>(</w:t>
      </w:r>
      <w:r w:rsidRPr="009C48DA" w:rsidR="003E24E1">
        <w:rPr>
          <w:i/>
          <w:color w:val="000000"/>
          <w:sz w:val="17"/>
          <w:szCs w:val="17"/>
          <w:lang w:val="en-GB"/>
        </w:rPr>
      </w:r>
      <w:r w:rsidRPr="007C3D19" w:rsidR="007C3D19">
        <w:rPr>
          <w:i/>
          <w:color w:val="000000"/>
          <w:sz w:val="17"/>
          <w:szCs w:val="17"/>
          <w:lang w:val="en-GB"/>
        </w:rPr>
        <w:t>The Business</w:t>
      </w:r>
      <w:r w:rsidRPr="009C48DA" w:rsidR="003E24E1">
        <w:rPr>
          <w:i/>
          <w:color w:val="000000"/>
          <w:sz w:val="17"/>
          <w:szCs w:val="17"/>
          <w:lang w:val="en-GB"/>
        </w:rPr>
        <w:t>)</w:t>
      </w:r>
      <w:r w:rsidRPr="009C48DA" w:rsidR="003E24E1">
        <w:rPr>
          <w:color w:val="000000"/>
          <w:sz w:val="17"/>
          <w:szCs w:val="17"/>
          <w:lang w:val="en-GB"/>
        </w:rPr>
        <w:t xml:space="preserve"> </w:t>
      </w:r>
      <w:r w:rsidRPr="009C48DA">
        <w:rPr>
          <w:color w:val="000000"/>
          <w:sz w:val="17"/>
          <w:szCs w:val="17"/>
          <w:lang w:val="en-GB"/>
        </w:rPr>
        <w:t xml:space="preserve">for a discussion of the investment strategy of, and the key sectors covered by, each of the </w:t>
      </w:r>
      <w:r w:rsidRPr="009C48DA" w:rsidR="00961BEE">
        <w:rPr>
          <w:color w:val="000000"/>
          <w:sz w:val="17"/>
          <w:szCs w:val="17"/>
          <w:lang w:val="en-GB"/>
        </w:rPr>
        <w:t xml:space="preserve">Bridgepoint </w:t>
      </w:r>
      <w:r w:rsidRPr="009C48DA">
        <w:rPr>
          <w:color w:val="000000"/>
          <w:sz w:val="17"/>
          <w:szCs w:val="17"/>
          <w:lang w:val="en-GB"/>
        </w:rPr>
        <w:t>Funds.</w:t>
      </w:r>
    </w:p>
    <w:p w:rsidRPr="009C48DA" w:rsidR="004460D9" w:rsidP="004460D9" w:rsidRDefault="004460D9" w14:paraId="0D118B9D" w14:textId="30541CF9">
      <w:pPr>
        <w:spacing w:after="240"/>
        <w:ind w:left="360" w:right="-40" w:hanging="360"/>
        <w:contextualSpacing/>
        <w:jc w:val="both"/>
        <w:rPr>
          <w:color w:val="000000"/>
          <w:sz w:val="17"/>
          <w:szCs w:val="17"/>
          <w:lang w:val="en-GB"/>
        </w:rPr>
      </w:pPr>
      <w:r w:rsidRPr="009C48DA">
        <w:rPr>
          <w:color w:val="000000"/>
          <w:sz w:val="17"/>
          <w:szCs w:val="17"/>
          <w:lang w:val="en-GB"/>
        </w:rPr>
        <w:t>(2)</w:t>
      </w:r>
      <w:r w:rsidRPr="009C48DA">
        <w:rPr>
          <w:color w:val="000000"/>
          <w:sz w:val="17"/>
          <w:szCs w:val="17"/>
          <w:lang w:val="en-GB"/>
        </w:rPr>
        <w:tab/>
        <w:t xml:space="preserve">Gross MOIC represents the multiple on invested capital. It is calculated by dividing the </w:t>
      </w:r>
      <w:r w:rsidRPr="009C48DA" w:rsidR="00751792">
        <w:rPr>
          <w:color w:val="000000"/>
          <w:sz w:val="17"/>
          <w:szCs w:val="17"/>
          <w:lang w:val="en-GB"/>
        </w:rPr>
        <w:t xml:space="preserve">proceeds received and remaining unrealised </w:t>
      </w:r>
      <w:r w:rsidRPr="009C48DA">
        <w:rPr>
          <w:color w:val="000000"/>
          <w:sz w:val="17"/>
          <w:szCs w:val="17"/>
          <w:lang w:val="en-GB"/>
        </w:rPr>
        <w:t>fair value of an investment by the initial amount invested, prior to fees and expenses</w:t>
      </w:r>
      <w:r w:rsidRPr="009C48DA" w:rsidR="00B4201B">
        <w:rPr>
          <w:color w:val="000000"/>
          <w:sz w:val="17"/>
          <w:szCs w:val="17"/>
          <w:lang w:val="en-GB"/>
        </w:rPr>
        <w:t>.</w:t>
      </w:r>
      <w:r w:rsidRPr="009C48DA" w:rsidR="00906792">
        <w:rPr>
          <w:color w:val="000000"/>
          <w:sz w:val="17"/>
          <w:szCs w:val="17"/>
          <w:lang w:val="en-GB"/>
        </w:rPr>
        <w:t xml:space="preserve"> The targeted Gross MOIC over the lifetime of the fund is for </w:t>
      </w:r>
      <w:r w:rsidRPr="009C48DA" w:rsidR="00961BEE">
        <w:rPr>
          <w:color w:val="000000"/>
          <w:sz w:val="17"/>
          <w:szCs w:val="17"/>
          <w:lang w:val="en-GB"/>
        </w:rPr>
        <w:t xml:space="preserve">Bridgepoint </w:t>
      </w:r>
      <w:r w:rsidRPr="009C48DA" w:rsidR="00906792">
        <w:rPr>
          <w:color w:val="000000"/>
          <w:sz w:val="17"/>
          <w:szCs w:val="17"/>
          <w:lang w:val="en-GB"/>
        </w:rPr>
        <w:t xml:space="preserve">Europe IV 2.2-2.4x, for </w:t>
      </w:r>
      <w:r w:rsidRPr="009C48DA" w:rsidR="00961BEE">
        <w:rPr>
          <w:color w:val="000000"/>
          <w:sz w:val="17"/>
          <w:szCs w:val="17"/>
          <w:lang w:val="en-GB"/>
        </w:rPr>
        <w:t xml:space="preserve">Bridgepoint </w:t>
      </w:r>
      <w:r w:rsidRPr="009C48DA" w:rsidR="00906792">
        <w:rPr>
          <w:color w:val="000000"/>
          <w:sz w:val="17"/>
          <w:szCs w:val="17"/>
          <w:lang w:val="en-GB"/>
        </w:rPr>
        <w:t xml:space="preserve">Europe V 2.3-3.0x, for </w:t>
      </w:r>
      <w:r w:rsidRPr="009C48DA" w:rsidR="007E6165">
        <w:rPr>
          <w:color w:val="000000"/>
          <w:sz w:val="17"/>
          <w:szCs w:val="17"/>
          <w:lang w:val="en-GB"/>
        </w:rPr>
        <w:t xml:space="preserve">Bridgepoint </w:t>
      </w:r>
      <w:r w:rsidRPr="009C48DA" w:rsidR="00906792">
        <w:rPr>
          <w:color w:val="000000"/>
          <w:sz w:val="17"/>
          <w:szCs w:val="17"/>
          <w:lang w:val="en-GB"/>
        </w:rPr>
        <w:t xml:space="preserve">Europe VI 2.3-3.0x, for </w:t>
      </w:r>
      <w:r w:rsidRPr="009C48DA" w:rsidR="007E6165">
        <w:rPr>
          <w:color w:val="000000"/>
          <w:sz w:val="17"/>
          <w:szCs w:val="17"/>
          <w:lang w:val="en-GB"/>
        </w:rPr>
        <w:t xml:space="preserve">Bridgepoint </w:t>
      </w:r>
      <w:r w:rsidRPr="009C48DA" w:rsidR="00906792">
        <w:rPr>
          <w:color w:val="000000"/>
          <w:sz w:val="17"/>
          <w:szCs w:val="17"/>
          <w:lang w:val="en-GB"/>
        </w:rPr>
        <w:t xml:space="preserve">Development Capital II 2.50x, for </w:t>
      </w:r>
      <w:r w:rsidRPr="009C48DA" w:rsidR="007E6165">
        <w:rPr>
          <w:color w:val="000000"/>
          <w:sz w:val="17"/>
          <w:szCs w:val="17"/>
          <w:lang w:val="en-GB"/>
        </w:rPr>
        <w:t xml:space="preserve">Bridgepoint </w:t>
      </w:r>
      <w:r w:rsidRPr="009C48DA" w:rsidR="00906792">
        <w:rPr>
          <w:color w:val="000000"/>
          <w:sz w:val="17"/>
          <w:szCs w:val="17"/>
          <w:lang w:val="en-GB"/>
        </w:rPr>
        <w:t xml:space="preserve">Development Capital III more than 2.50x, for </w:t>
      </w:r>
      <w:r w:rsidRPr="009C48DA" w:rsidR="007E6165">
        <w:rPr>
          <w:color w:val="000000"/>
          <w:sz w:val="17"/>
          <w:szCs w:val="17"/>
          <w:lang w:val="en-GB"/>
        </w:rPr>
        <w:t xml:space="preserve">Bridgepoint </w:t>
      </w:r>
      <w:r w:rsidRPr="009C48DA" w:rsidR="00906792">
        <w:rPr>
          <w:color w:val="000000"/>
          <w:sz w:val="17"/>
          <w:szCs w:val="17"/>
          <w:lang w:val="en-GB"/>
        </w:rPr>
        <w:t xml:space="preserve">Development Capital IV more than 2.5x and for </w:t>
      </w:r>
      <w:r w:rsidRPr="009C48DA" w:rsidR="007E6165">
        <w:rPr>
          <w:color w:val="000000"/>
          <w:sz w:val="17"/>
          <w:szCs w:val="17"/>
          <w:lang w:val="en-GB"/>
        </w:rPr>
        <w:t xml:space="preserve">Bridgepoint </w:t>
      </w:r>
      <w:r w:rsidRPr="009C48DA" w:rsidR="00906792">
        <w:rPr>
          <w:color w:val="000000"/>
          <w:sz w:val="17"/>
          <w:szCs w:val="17"/>
          <w:lang w:val="en-GB"/>
        </w:rPr>
        <w:t>Growth I more than 2.5x.</w:t>
      </w:r>
    </w:p>
    <w:p w:rsidRPr="009C48DA" w:rsidR="004460D9" w:rsidP="004460D9" w:rsidRDefault="004460D9" w14:paraId="7525AC2C" w14:textId="112A0884">
      <w:pPr>
        <w:spacing w:after="240"/>
        <w:ind w:left="360" w:right="-40" w:hanging="360"/>
        <w:contextualSpacing/>
        <w:jc w:val="both"/>
        <w:rPr>
          <w:color w:val="000000"/>
          <w:sz w:val="17"/>
          <w:szCs w:val="17"/>
          <w:lang w:val="en-GB"/>
        </w:rPr>
      </w:pPr>
      <w:r w:rsidRPr="009C48DA">
        <w:rPr>
          <w:color w:val="000000"/>
          <w:sz w:val="17"/>
          <w:szCs w:val="17"/>
          <w:lang w:val="en-GB"/>
        </w:rPr>
        <w:t>(3)</w:t>
      </w:r>
      <w:r w:rsidRPr="009C48DA">
        <w:rPr>
          <w:color w:val="000000"/>
          <w:sz w:val="17"/>
          <w:szCs w:val="17"/>
          <w:lang w:val="en-GB"/>
        </w:rPr>
        <w:tab/>
        <w:t>IRR is the discount rate that makes the net present value of all cash flows from an investme</w:t>
      </w:r>
      <w:r w:rsidRPr="009C48DA" w:rsidR="009B4AE3">
        <w:rPr>
          <w:color w:val="000000"/>
          <w:sz w:val="17"/>
          <w:szCs w:val="17"/>
          <w:lang w:val="en-GB"/>
        </w:rPr>
        <w:t xml:space="preserve">nt equal to zero. Gross IRR is </w:t>
      </w:r>
      <w:r w:rsidRPr="009C48DA">
        <w:rPr>
          <w:color w:val="000000"/>
          <w:sz w:val="17"/>
          <w:szCs w:val="17"/>
          <w:lang w:val="en-GB"/>
        </w:rPr>
        <w:t>before fees, expenses after carried interest</w:t>
      </w:r>
      <w:r w:rsidRPr="009C48DA" w:rsidR="009B4AE3">
        <w:rPr>
          <w:color w:val="000000"/>
          <w:sz w:val="17"/>
          <w:szCs w:val="17"/>
          <w:lang w:val="en-GB"/>
        </w:rPr>
        <w:t xml:space="preserve">. Net IRR is </w:t>
      </w:r>
      <w:r w:rsidRPr="009C48DA">
        <w:rPr>
          <w:color w:val="000000"/>
          <w:sz w:val="17"/>
          <w:szCs w:val="17"/>
          <w:lang w:val="en-GB"/>
        </w:rPr>
        <w:t>net of fees and expenses and after carried interest</w:t>
      </w:r>
      <w:r w:rsidRPr="009C48DA" w:rsidR="00751792">
        <w:rPr>
          <w:color w:val="000000"/>
          <w:sz w:val="17"/>
          <w:szCs w:val="17"/>
          <w:lang w:val="en-GB"/>
        </w:rPr>
        <w:t>. “n/m” means not meaningful, as the funds are relatively new and no meaningful IRR figures can be provided.</w:t>
      </w:r>
    </w:p>
    <w:p w:rsidRPr="009C48DA" w:rsidR="004460D9" w:rsidP="006E5132" w:rsidRDefault="004460D9" w14:paraId="414AFF48" w14:textId="0572E6CE">
      <w:pPr>
        <w:spacing w:after="240"/>
        <w:ind w:left="360" w:right="-40" w:hanging="360"/>
        <w:contextualSpacing/>
        <w:jc w:val="both"/>
        <w:rPr>
          <w:color w:val="000000"/>
          <w:sz w:val="17"/>
          <w:szCs w:val="17"/>
          <w:lang w:val="en-GB"/>
        </w:rPr>
      </w:pPr>
      <w:r w:rsidRPr="009C48DA">
        <w:rPr>
          <w:color w:val="000000"/>
          <w:sz w:val="17"/>
          <w:szCs w:val="17"/>
          <w:lang w:val="en-GB"/>
        </w:rPr>
        <w:t>(4)</w:t>
      </w:r>
      <w:r w:rsidRPr="009C48DA">
        <w:rPr>
          <w:color w:val="000000"/>
          <w:sz w:val="17"/>
          <w:szCs w:val="17"/>
          <w:lang w:val="en-GB"/>
        </w:rPr>
        <w:tab/>
        <w:t xml:space="preserve">The remaining </w:t>
      </w:r>
      <w:r w:rsidRPr="009C48DA" w:rsidR="009B4AE3">
        <w:rPr>
          <w:color w:val="000000"/>
          <w:sz w:val="17"/>
          <w:szCs w:val="17"/>
          <w:lang w:val="en-GB"/>
        </w:rPr>
        <w:t>investment period is based on the maximum period under a fund’s governing documents</w:t>
      </w:r>
      <w:r w:rsidRPr="009C48DA">
        <w:rPr>
          <w:color w:val="000000"/>
          <w:sz w:val="17"/>
          <w:szCs w:val="17"/>
          <w:lang w:val="en-GB"/>
        </w:rPr>
        <w:t>, but may be shorter depending on the fund</w:t>
      </w:r>
      <w:r w:rsidRPr="009C48DA" w:rsidR="000737A5">
        <w:rPr>
          <w:color w:val="000000"/>
          <w:sz w:val="17"/>
          <w:szCs w:val="17"/>
          <w:lang w:val="en-GB"/>
        </w:rPr>
        <w:t>’</w:t>
      </w:r>
      <w:r w:rsidRPr="009C48DA">
        <w:rPr>
          <w:color w:val="000000"/>
          <w:sz w:val="17"/>
          <w:szCs w:val="17"/>
          <w:lang w:val="en-GB"/>
        </w:rPr>
        <w:t xml:space="preserve">s investment pace. </w:t>
      </w:r>
      <w:r w:rsidRPr="009C48DA" w:rsidR="007E6165">
        <w:rPr>
          <w:color w:val="000000"/>
          <w:sz w:val="17"/>
          <w:szCs w:val="17"/>
          <w:lang w:val="en-GB"/>
        </w:rPr>
        <w:t xml:space="preserve">Bridgepoint </w:t>
      </w:r>
      <w:r w:rsidRPr="009C48DA">
        <w:rPr>
          <w:color w:val="000000"/>
          <w:sz w:val="17"/>
          <w:szCs w:val="17"/>
          <w:lang w:val="en-GB"/>
        </w:rPr>
        <w:t>Funds marked “n/a” have completed their investment period. During the investment period, un</w:t>
      </w:r>
      <w:r w:rsidRPr="009C48DA" w:rsidR="00751792">
        <w:rPr>
          <w:color w:val="000000"/>
          <w:sz w:val="17"/>
          <w:szCs w:val="17"/>
          <w:lang w:val="en-GB"/>
        </w:rPr>
        <w:t>drawn</w:t>
      </w:r>
      <w:r w:rsidRPr="009C48DA">
        <w:rPr>
          <w:color w:val="000000"/>
          <w:sz w:val="17"/>
          <w:szCs w:val="17"/>
          <w:lang w:val="en-GB"/>
        </w:rPr>
        <w:t xml:space="preserve"> capital commitments of the Group may become due. See “</w:t>
      </w:r>
      <w:r w:rsidRPr="009C48DA">
        <w:rPr>
          <w:i/>
          <w:color w:val="000000"/>
          <w:sz w:val="17"/>
          <w:szCs w:val="17"/>
          <w:lang w:val="en-GB"/>
        </w:rPr>
        <w:t>Financial Risks—The Group has significant liquidity requirements and adverse market and economic conditions may adversely affect its sources of liquidity, which could adversely affect its business operations in the future</w:t>
      </w:r>
      <w:r w:rsidRPr="009C48DA">
        <w:rPr>
          <w:color w:val="000000"/>
          <w:sz w:val="17"/>
          <w:szCs w:val="17"/>
          <w:lang w:val="en-GB"/>
        </w:rPr>
        <w:t xml:space="preserve">” in </w:t>
      </w:r>
      <w:r w:rsidRPr="009C48DA">
        <w:rPr>
          <w:color w:val="000000"/>
          <w:sz w:val="17"/>
          <w:szCs w:val="17"/>
          <w:lang w:val="en-GB"/>
        </w:rPr>
        <w:fldChar w:fldCharType="begin"/>
      </w:r>
      <w:r w:rsidRPr="009C48DA">
        <w:rPr>
          <w:color w:val="000000"/>
          <w:sz w:val="17"/>
          <w:szCs w:val="17"/>
          <w:lang w:val="en-GB"/>
        </w:rPr>
        <w:instrText xml:space="preserve"> REF _Ref71136204 \n \h </w:instrText>
      </w:r>
      <w:r w:rsidRPr="009C48DA">
        <w:rPr>
          <w:color w:val="000000"/>
          <w:sz w:val="17"/>
          <w:szCs w:val="17"/>
          <w:lang w:val="en-GB"/>
        </w:rPr>
      </w:r>
      <w:r w:rsidRPr="009C48DA">
        <w:rPr>
          <w:color w:val="000000"/>
          <w:sz w:val="17"/>
          <w:szCs w:val="17"/>
          <w:lang w:val="en-GB"/>
        </w:rPr>
        <w:fldChar w:fldCharType="separate"/>
      </w:r>
      <w:r w:rsidR="007C3D19">
        <w:rPr>
          <w:color w:val="000000"/>
          <w:sz w:val="17"/>
          <w:szCs w:val="17"/>
          <w:lang w:val="en-GB"/>
        </w:rPr>
        <w:t>Part I</w:t>
      </w:r>
      <w:r w:rsidRPr="009C48DA">
        <w:rPr>
          <w:color w:val="000000"/>
          <w:sz w:val="17"/>
          <w:szCs w:val="17"/>
          <w:lang w:val="en-GB"/>
        </w:rPr>
        <w:fldChar w:fldCharType="end"/>
      </w:r>
      <w:r w:rsidRPr="009C48DA">
        <w:rPr>
          <w:i/>
          <w:color w:val="000000"/>
          <w:sz w:val="17"/>
          <w:szCs w:val="17"/>
          <w:lang w:val="en-GB"/>
        </w:rPr>
        <w:t> </w:t>
      </w:r>
      <w:r w:rsidRPr="009C48DA" w:rsidR="00187806">
        <w:rPr>
          <w:color w:val="000000"/>
          <w:sz w:val="17"/>
          <w:szCs w:val="17"/>
          <w:lang w:val="en-GB"/>
        </w:rPr>
        <w:t>(</w:t>
      </w:r>
      <w:r w:rsidRPr="009C48DA" w:rsidR="006E5132">
        <w:rPr>
          <w:i/>
          <w:color w:val="000000"/>
          <w:sz w:val="17"/>
          <w:szCs w:val="17"/>
          <w:lang w:val="en-GB"/>
        </w:rPr>
        <w:fldChar w:fldCharType="begin"/>
      </w:r>
      <w:r w:rsidRPr="009C48DA" w:rsidR="006E5132">
        <w:rPr>
          <w:i/>
          <w:color w:val="000000"/>
          <w:sz w:val="17"/>
          <w:szCs w:val="17"/>
          <w:lang w:val="en-GB"/>
        </w:rPr>
        <w:instrText xml:space="preserve"> REF _Ref75190583 \h  \* MERGEFORMAT </w:instrText>
      </w:r>
      <w:r w:rsidRPr="009C48DA" w:rsidR="006E5132">
        <w:rPr>
          <w:i/>
          <w:color w:val="000000"/>
          <w:sz w:val="17"/>
          <w:szCs w:val="17"/>
          <w:lang w:val="en-GB"/>
        </w:rPr>
      </w:r>
      <w:r w:rsidRPr="009C48DA" w:rsidR="006E5132">
        <w:rPr>
          <w:i/>
          <w:color w:val="000000"/>
          <w:sz w:val="17"/>
          <w:szCs w:val="17"/>
          <w:lang w:val="en-GB"/>
        </w:rPr>
        <w:fldChar w:fldCharType="separate"/>
      </w:r>
      <w:r w:rsidRPr="007C3D19" w:rsidR="007C3D19">
        <w:rPr>
          <w:i/>
          <w:sz w:val="17"/>
          <w:szCs w:val="17"/>
          <w:lang w:val="en-GB"/>
        </w:rPr>
        <w:t>Risk Factors</w:t>
      </w:r>
      <w:r w:rsidRPr="009C48DA" w:rsidR="006E5132">
        <w:rPr>
          <w:i/>
          <w:color w:val="000000"/>
          <w:sz w:val="17"/>
          <w:szCs w:val="17"/>
          <w:lang w:val="en-GB"/>
        </w:rPr>
        <w:fldChar w:fldCharType="end"/>
      </w:r>
      <w:r w:rsidRPr="009C48DA" w:rsidR="0080145B">
        <w:rPr>
          <w:color w:val="000000"/>
          <w:sz w:val="17"/>
          <w:szCs w:val="17"/>
          <w:lang w:val="en-GB"/>
        </w:rPr>
        <w:t>)</w:t>
      </w:r>
      <w:r w:rsidRPr="009C48DA">
        <w:rPr>
          <w:i/>
          <w:color w:val="000000"/>
          <w:sz w:val="17"/>
          <w:szCs w:val="17"/>
          <w:lang w:val="en-GB"/>
        </w:rPr>
        <w:t>.</w:t>
      </w:r>
    </w:p>
    <w:p w:rsidRPr="009C48DA" w:rsidR="004460D9" w:rsidP="004460D9" w:rsidRDefault="004460D9" w14:paraId="75304B30" w14:textId="566CA204">
      <w:pPr>
        <w:spacing w:after="240"/>
        <w:ind w:left="360" w:right="-40" w:hanging="360"/>
        <w:contextualSpacing/>
        <w:jc w:val="both"/>
        <w:rPr>
          <w:color w:val="000000"/>
          <w:sz w:val="17"/>
          <w:szCs w:val="17"/>
          <w:lang w:val="en-GB"/>
        </w:rPr>
      </w:pPr>
      <w:r w:rsidRPr="009C48DA">
        <w:rPr>
          <w:color w:val="000000"/>
          <w:sz w:val="17"/>
          <w:szCs w:val="17"/>
          <w:lang w:val="en-GB"/>
        </w:rPr>
        <w:t>(</w:t>
      </w:r>
      <w:r w:rsidRPr="009C48DA" w:rsidR="009B4AE3">
        <w:rPr>
          <w:color w:val="000000"/>
          <w:sz w:val="17"/>
          <w:szCs w:val="17"/>
          <w:lang w:val="en-GB"/>
        </w:rPr>
        <w:t>5</w:t>
      </w:r>
      <w:r w:rsidRPr="009C48DA">
        <w:rPr>
          <w:color w:val="000000"/>
          <w:sz w:val="17"/>
          <w:szCs w:val="17"/>
          <w:lang w:val="en-GB"/>
        </w:rPr>
        <w:t>)</w:t>
      </w:r>
      <w:r w:rsidRPr="009C48DA">
        <w:rPr>
          <w:color w:val="000000"/>
          <w:sz w:val="17"/>
          <w:szCs w:val="17"/>
          <w:lang w:val="en-GB"/>
        </w:rPr>
        <w:tab/>
        <w:t>This represents the time to the end of the traditional fund life. However the funds are able to continue operating after this end date through either extensions or if the manager decides to move into the “liquidation phase</w:t>
      </w:r>
      <w:r w:rsidRPr="009C48DA" w:rsidR="009B4AE3">
        <w:rPr>
          <w:color w:val="000000"/>
          <w:sz w:val="17"/>
          <w:szCs w:val="17"/>
          <w:lang w:val="en-GB"/>
        </w:rPr>
        <w:t>,”</w:t>
      </w:r>
      <w:r w:rsidRPr="009C48DA" w:rsidR="00F7236D">
        <w:rPr>
          <w:color w:val="000000"/>
          <w:sz w:val="17"/>
          <w:szCs w:val="17"/>
          <w:lang w:val="en-GB"/>
        </w:rPr>
        <w:t xml:space="preserve"> which is a phase where no further business is conducted except for such actions as are necessary for the winding up of the affairs of the fund. </w:t>
      </w:r>
      <w:r w:rsidRPr="009C48DA" w:rsidR="007E6165">
        <w:rPr>
          <w:color w:val="000000"/>
          <w:sz w:val="17"/>
          <w:szCs w:val="17"/>
          <w:lang w:val="en-GB"/>
        </w:rPr>
        <w:t xml:space="preserve">Bridgepoint </w:t>
      </w:r>
      <w:r w:rsidRPr="009C48DA" w:rsidR="00F7236D">
        <w:rPr>
          <w:color w:val="000000"/>
          <w:sz w:val="17"/>
          <w:szCs w:val="17"/>
          <w:lang w:val="en-GB"/>
        </w:rPr>
        <w:t xml:space="preserve">Europe IV </w:t>
      </w:r>
      <w:r w:rsidRPr="009C48DA" w:rsidR="00051C27">
        <w:rPr>
          <w:color w:val="000000"/>
          <w:sz w:val="17"/>
          <w:szCs w:val="17"/>
          <w:lang w:val="en-GB"/>
        </w:rPr>
        <w:t xml:space="preserve">is </w:t>
      </w:r>
      <w:r w:rsidRPr="009C48DA" w:rsidR="00F7236D">
        <w:rPr>
          <w:color w:val="000000"/>
          <w:sz w:val="17"/>
          <w:szCs w:val="17"/>
          <w:lang w:val="en-GB"/>
        </w:rPr>
        <w:t xml:space="preserve">indicated with n/a as </w:t>
      </w:r>
      <w:r w:rsidRPr="009C48DA" w:rsidR="00051C27">
        <w:rPr>
          <w:color w:val="000000"/>
          <w:sz w:val="17"/>
          <w:szCs w:val="17"/>
          <w:lang w:val="en-GB"/>
        </w:rPr>
        <w:t>it is cur</w:t>
      </w:r>
      <w:r w:rsidRPr="009C48DA" w:rsidR="006876CA">
        <w:rPr>
          <w:color w:val="000000"/>
          <w:sz w:val="17"/>
          <w:szCs w:val="17"/>
          <w:lang w:val="en-GB"/>
        </w:rPr>
        <w:t>rently in its liquidation phase.</w:t>
      </w:r>
      <w:r w:rsidRPr="009C48DA" w:rsidR="00051C27">
        <w:rPr>
          <w:color w:val="000000"/>
          <w:sz w:val="17"/>
          <w:szCs w:val="17"/>
          <w:lang w:val="en-GB"/>
        </w:rPr>
        <w:t xml:space="preserve"> </w:t>
      </w:r>
      <w:r w:rsidRPr="009C48DA" w:rsidR="007E6165">
        <w:rPr>
          <w:color w:val="000000"/>
          <w:sz w:val="17"/>
          <w:szCs w:val="17"/>
          <w:lang w:val="en-GB"/>
        </w:rPr>
        <w:t xml:space="preserve">Bridgepoint </w:t>
      </w:r>
      <w:r w:rsidRPr="009C48DA" w:rsidR="00051C27">
        <w:rPr>
          <w:color w:val="000000"/>
          <w:sz w:val="17"/>
          <w:szCs w:val="17"/>
          <w:lang w:val="en-GB"/>
        </w:rPr>
        <w:t xml:space="preserve">Development Capital II </w:t>
      </w:r>
      <w:r w:rsidRPr="009C48DA" w:rsidR="006876CA">
        <w:rPr>
          <w:color w:val="000000"/>
          <w:sz w:val="17"/>
          <w:szCs w:val="17"/>
          <w:lang w:val="en-GB"/>
        </w:rPr>
        <w:t xml:space="preserve">has not yet moved into the liquidation phase, but it </w:t>
      </w:r>
      <w:r w:rsidRPr="009C48DA" w:rsidR="00051C27">
        <w:rPr>
          <w:color w:val="000000"/>
          <w:sz w:val="17"/>
          <w:szCs w:val="17"/>
          <w:lang w:val="en-GB"/>
        </w:rPr>
        <w:t xml:space="preserve">is indicated as n/a as it has sold all of its final investments </w:t>
      </w:r>
      <w:r w:rsidRPr="009C48DA" w:rsidR="006876CA">
        <w:rPr>
          <w:color w:val="000000"/>
          <w:sz w:val="17"/>
          <w:szCs w:val="17"/>
          <w:lang w:val="en-GB"/>
        </w:rPr>
        <w:t xml:space="preserve">and is only </w:t>
      </w:r>
      <w:r w:rsidRPr="009C48DA" w:rsidR="00051C27">
        <w:rPr>
          <w:color w:val="000000"/>
          <w:sz w:val="17"/>
          <w:szCs w:val="17"/>
          <w:lang w:val="en-GB"/>
        </w:rPr>
        <w:t xml:space="preserve">expecting deferred proceeds on </w:t>
      </w:r>
      <w:r w:rsidRPr="009C48DA" w:rsidR="002A6BEB">
        <w:rPr>
          <w:color w:val="000000"/>
          <w:sz w:val="17"/>
          <w:szCs w:val="17"/>
          <w:lang w:val="en-GB"/>
        </w:rPr>
        <w:t xml:space="preserve">certain </w:t>
      </w:r>
      <w:r w:rsidRPr="009C48DA" w:rsidR="00051C27">
        <w:rPr>
          <w:color w:val="000000"/>
          <w:sz w:val="17"/>
          <w:szCs w:val="17"/>
          <w:lang w:val="en-GB"/>
        </w:rPr>
        <w:t>investments</w:t>
      </w:r>
      <w:r w:rsidRPr="009C48DA" w:rsidR="002A6BEB">
        <w:rPr>
          <w:color w:val="000000"/>
          <w:sz w:val="17"/>
          <w:szCs w:val="17"/>
          <w:lang w:val="en-GB"/>
        </w:rPr>
        <w:t>.</w:t>
      </w:r>
      <w:r w:rsidRPr="009C48DA" w:rsidR="00F7236D">
        <w:rPr>
          <w:color w:val="000000"/>
          <w:sz w:val="17"/>
          <w:szCs w:val="17"/>
          <w:lang w:val="en-GB"/>
        </w:rPr>
        <w:t xml:space="preserve"> Please see also note</w:t>
      </w:r>
      <w:r w:rsidRPr="009C48DA" w:rsidR="00B4201B">
        <w:rPr>
          <w:color w:val="000000"/>
          <w:sz w:val="17"/>
          <w:szCs w:val="17"/>
          <w:lang w:val="en-GB"/>
        </w:rPr>
        <w:t>s (6) and (7</w:t>
      </w:r>
      <w:r w:rsidRPr="009C48DA" w:rsidR="00F7236D">
        <w:rPr>
          <w:color w:val="000000"/>
          <w:sz w:val="17"/>
          <w:szCs w:val="17"/>
          <w:lang w:val="en-GB"/>
        </w:rPr>
        <w:t xml:space="preserve">) below for a description of continuation fund transactions which have been conducted by </w:t>
      </w:r>
      <w:r w:rsidRPr="009C48DA" w:rsidR="007E6165">
        <w:rPr>
          <w:color w:val="000000"/>
          <w:sz w:val="17"/>
          <w:szCs w:val="17"/>
          <w:lang w:val="en-GB"/>
        </w:rPr>
        <w:t xml:space="preserve">Bridgepoint </w:t>
      </w:r>
      <w:r w:rsidRPr="009C48DA" w:rsidR="00F7236D">
        <w:rPr>
          <w:color w:val="000000"/>
          <w:sz w:val="17"/>
          <w:szCs w:val="17"/>
          <w:lang w:val="en-GB"/>
        </w:rPr>
        <w:t>Europe IV a</w:t>
      </w:r>
      <w:r w:rsidRPr="009C48DA" w:rsidR="006876CA">
        <w:rPr>
          <w:color w:val="000000"/>
          <w:sz w:val="17"/>
          <w:szCs w:val="17"/>
          <w:lang w:val="en-GB"/>
        </w:rPr>
        <w:t xml:space="preserve">nd </w:t>
      </w:r>
      <w:r w:rsidRPr="009C48DA" w:rsidR="007E6165">
        <w:rPr>
          <w:color w:val="000000"/>
          <w:sz w:val="17"/>
          <w:szCs w:val="17"/>
          <w:lang w:val="en-GB"/>
        </w:rPr>
        <w:t xml:space="preserve">Bridgepoint </w:t>
      </w:r>
      <w:r w:rsidRPr="009C48DA" w:rsidR="006876CA">
        <w:rPr>
          <w:color w:val="000000"/>
          <w:sz w:val="17"/>
          <w:szCs w:val="17"/>
          <w:lang w:val="en-GB"/>
        </w:rPr>
        <w:t>Development Capital </w:t>
      </w:r>
      <w:r w:rsidRPr="009C48DA" w:rsidR="00F7236D">
        <w:rPr>
          <w:color w:val="000000"/>
          <w:sz w:val="17"/>
          <w:szCs w:val="17"/>
          <w:lang w:val="en-GB"/>
        </w:rPr>
        <w:t>II, respectively.</w:t>
      </w:r>
    </w:p>
    <w:p w:rsidRPr="009C48DA" w:rsidR="009B4AE3" w:rsidP="00945C37" w:rsidRDefault="009B4AE3" w14:paraId="008D6A79" w14:textId="5E624B82">
      <w:pPr>
        <w:spacing w:after="240"/>
        <w:ind w:left="360" w:right="-40" w:hanging="360"/>
        <w:contextualSpacing/>
        <w:jc w:val="both"/>
        <w:rPr>
          <w:color w:val="000000"/>
          <w:sz w:val="17"/>
          <w:szCs w:val="17"/>
          <w:lang w:val="en-GB"/>
        </w:rPr>
      </w:pPr>
      <w:r w:rsidRPr="009C48DA">
        <w:rPr>
          <w:color w:val="000000"/>
          <w:sz w:val="17"/>
          <w:szCs w:val="17"/>
          <w:lang w:val="en-GB"/>
        </w:rPr>
        <w:t>(6)</w:t>
      </w:r>
      <w:r w:rsidRPr="009C48DA">
        <w:rPr>
          <w:color w:val="000000"/>
          <w:sz w:val="17"/>
          <w:szCs w:val="17"/>
          <w:lang w:val="en-GB"/>
        </w:rPr>
        <w:tab/>
        <w:t xml:space="preserve">In 2019, the </w:t>
      </w:r>
      <w:r w:rsidRPr="009C48DA" w:rsidR="007E6165">
        <w:rPr>
          <w:color w:val="000000"/>
          <w:sz w:val="17"/>
          <w:szCs w:val="17"/>
          <w:lang w:val="en-GB"/>
        </w:rPr>
        <w:t xml:space="preserve">Bridgepoint </w:t>
      </w:r>
      <w:r w:rsidRPr="009C48DA">
        <w:rPr>
          <w:color w:val="000000"/>
          <w:sz w:val="17"/>
          <w:szCs w:val="17"/>
          <w:lang w:val="en-GB"/>
        </w:rPr>
        <w:t xml:space="preserve">Europe IV fund sold certain assets and/or rights in respect of such assets in a secondary portfolio transaction to </w:t>
      </w:r>
      <w:r w:rsidRPr="009C48DA" w:rsidR="007E6165">
        <w:rPr>
          <w:color w:val="000000"/>
          <w:sz w:val="17"/>
          <w:szCs w:val="17"/>
          <w:lang w:val="en-GB"/>
        </w:rPr>
        <w:t xml:space="preserve">Bridgepoint </w:t>
      </w:r>
      <w:r w:rsidRPr="009C48DA">
        <w:rPr>
          <w:color w:val="000000"/>
          <w:sz w:val="17"/>
          <w:szCs w:val="17"/>
          <w:lang w:val="en-GB"/>
        </w:rPr>
        <w:t xml:space="preserve">Europe Portfolio IV. </w:t>
      </w:r>
    </w:p>
    <w:p w:rsidRPr="009C48DA" w:rsidR="00120027" w:rsidP="00945C37" w:rsidRDefault="009B4AE3" w14:paraId="6520CCE2" w14:textId="77777777">
      <w:pPr>
        <w:spacing w:after="240"/>
        <w:ind w:left="360" w:right="-40" w:hanging="360"/>
        <w:contextualSpacing/>
        <w:jc w:val="both"/>
        <w:rPr>
          <w:color w:val="000000"/>
          <w:sz w:val="17"/>
          <w:szCs w:val="17"/>
          <w:lang w:val="en-GB"/>
        </w:rPr>
      </w:pPr>
      <w:r w:rsidRPr="009C48DA">
        <w:rPr>
          <w:color w:val="000000"/>
          <w:sz w:val="17"/>
          <w:szCs w:val="17"/>
          <w:lang w:val="en-GB"/>
        </w:rPr>
        <w:t>(7)</w:t>
      </w:r>
      <w:r w:rsidRPr="009C48DA">
        <w:rPr>
          <w:color w:val="000000"/>
          <w:sz w:val="17"/>
          <w:szCs w:val="17"/>
          <w:lang w:val="en-GB"/>
        </w:rPr>
        <w:tab/>
        <w:t xml:space="preserve">In 2021, the </w:t>
      </w:r>
      <w:r w:rsidRPr="009C48DA" w:rsidR="007E6165">
        <w:rPr>
          <w:color w:val="000000"/>
          <w:sz w:val="17"/>
          <w:szCs w:val="17"/>
          <w:lang w:val="en-GB"/>
        </w:rPr>
        <w:t xml:space="preserve">Bridgepoint </w:t>
      </w:r>
      <w:r w:rsidRPr="009C48DA">
        <w:rPr>
          <w:color w:val="000000"/>
          <w:sz w:val="17"/>
          <w:szCs w:val="17"/>
          <w:lang w:val="en-GB"/>
        </w:rPr>
        <w:t xml:space="preserve">Development Capital II fund sold certain assets and/or rights in respect of such assets in a secondary portfolio transaction to the </w:t>
      </w:r>
      <w:r w:rsidRPr="009C48DA" w:rsidR="007E6165">
        <w:rPr>
          <w:color w:val="000000"/>
          <w:sz w:val="17"/>
          <w:szCs w:val="17"/>
          <w:lang w:val="en-GB"/>
        </w:rPr>
        <w:t xml:space="preserve">Bridgepoint </w:t>
      </w:r>
      <w:r w:rsidRPr="009C48DA">
        <w:rPr>
          <w:color w:val="000000"/>
          <w:sz w:val="17"/>
          <w:szCs w:val="17"/>
          <w:lang w:val="en-GB"/>
        </w:rPr>
        <w:t>Development Capital Portfolio II fund.</w:t>
      </w:r>
    </w:p>
    <w:p w:rsidRPr="009C48DA" w:rsidR="009B4AE3" w:rsidP="00945C37" w:rsidRDefault="009B4AE3" w14:paraId="4C3A4753" w14:textId="12CFD0F6">
      <w:pPr>
        <w:spacing w:after="240"/>
        <w:ind w:left="360" w:right="-40" w:hanging="360"/>
        <w:contextualSpacing/>
        <w:jc w:val="both"/>
        <w:rPr>
          <w:color w:val="000000"/>
          <w:sz w:val="17"/>
          <w:szCs w:val="17"/>
          <w:lang w:val="en-GB"/>
        </w:rPr>
      </w:pPr>
    </w:p>
    <w:p w:rsidRPr="009C48DA" w:rsidR="00B4201B" w:rsidP="00B4201B" w:rsidRDefault="00B4201B" w14:paraId="2BAD3A87" w14:textId="718016AB">
      <w:pPr>
        <w:pStyle w:val="BodyText2SglJ"/>
        <w:keepNext/>
        <w:rPr>
          <w:lang w:val="en-GB"/>
        </w:rPr>
      </w:pPr>
      <w:r w:rsidRPr="009C48DA">
        <w:rPr>
          <w:lang w:val="en-GB"/>
        </w:rPr>
        <w:t xml:space="preserve">The following table shows selected key metrics of the </w:t>
      </w:r>
      <w:r w:rsidRPr="009C48DA" w:rsidR="007E6165">
        <w:rPr>
          <w:lang w:val="en-GB"/>
        </w:rPr>
        <w:t xml:space="preserve">Bridgepoint </w:t>
      </w:r>
      <w:r w:rsidRPr="009C48DA">
        <w:rPr>
          <w:lang w:val="en-GB"/>
        </w:rPr>
        <w:t>Funds in the private credit segment as of 31 March 2021.</w:t>
      </w:r>
    </w:p>
    <w:tbl>
      <w:tblPr>
        <w:tblW w:w="8539" w:type="dxa"/>
        <w:tblLayout w:type="fixed"/>
        <w:tblLook w:val="04A0" w:firstRow="1" w:lastRow="0" w:firstColumn="1" w:lastColumn="0" w:noHBand="0" w:noVBand="1"/>
      </w:tblPr>
      <w:tblGrid>
        <w:gridCol w:w="2268"/>
        <w:gridCol w:w="1050"/>
        <w:gridCol w:w="994"/>
        <w:gridCol w:w="1002"/>
        <w:gridCol w:w="957"/>
        <w:gridCol w:w="1134"/>
        <w:gridCol w:w="1134"/>
      </w:tblGrid>
      <w:tr w:rsidRPr="009C48DA" w:rsidR="00F02DD3" w:rsidTr="0036034E" w14:paraId="2BD339ED" w14:textId="77777777">
        <w:trPr>
          <w:trHeight w:val="74"/>
        </w:trPr>
        <w:tc>
          <w:tcPr>
            <w:tcW w:w="2268" w:type="dxa"/>
            <w:shd w:val="clear" w:color="auto" w:fill="auto"/>
            <w:vAlign w:val="bottom"/>
          </w:tcPr>
          <w:p w:rsidRPr="009C48DA" w:rsidR="00F02DD3" w:rsidP="00143D62" w:rsidRDefault="007E6165" w14:paraId="1B7A2FD0" w14:textId="1EFB3981">
            <w:pPr>
              <w:keepNext/>
              <w:pBdr>
                <w:bottom w:val="single" w:color="auto" w:sz="4" w:space="1"/>
              </w:pBdr>
              <w:jc w:val="center"/>
              <w:rPr>
                <w:rFonts w:cs="Times New Roman"/>
                <w:b/>
                <w:sz w:val="13"/>
                <w:szCs w:val="13"/>
                <w:lang w:val="en-GB"/>
              </w:rPr>
            </w:pPr>
            <w:r w:rsidRPr="009C48DA">
              <w:rPr>
                <w:rFonts w:cs="Times New Roman"/>
                <w:b/>
                <w:sz w:val="13"/>
                <w:szCs w:val="13"/>
                <w:lang w:val="en-GB"/>
              </w:rPr>
              <w:t xml:space="preserve">Bridgepoint </w:t>
            </w:r>
            <w:r w:rsidRPr="009C48DA" w:rsidR="00F02DD3">
              <w:rPr>
                <w:rFonts w:cs="Times New Roman"/>
                <w:b/>
                <w:sz w:val="13"/>
                <w:szCs w:val="13"/>
                <w:lang w:val="en-GB"/>
              </w:rPr>
              <w:t>Fund</w:t>
            </w:r>
            <w:r w:rsidRPr="009C48DA" w:rsidR="00F02DD3">
              <w:rPr>
                <w:rFonts w:cs="Times New Roman"/>
                <w:b/>
                <w:sz w:val="13"/>
                <w:szCs w:val="13"/>
                <w:vertAlign w:val="superscript"/>
                <w:lang w:val="en-GB"/>
              </w:rPr>
              <w:t>(1)</w:t>
            </w:r>
          </w:p>
        </w:tc>
        <w:tc>
          <w:tcPr>
            <w:tcW w:w="1050" w:type="dxa"/>
            <w:vAlign w:val="bottom"/>
          </w:tcPr>
          <w:p w:rsidRPr="009C48DA" w:rsidR="00F02DD3" w:rsidP="00143D62" w:rsidRDefault="00F02DD3" w14:paraId="398906CB"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Fund Size (in € / £ million)</w:t>
            </w:r>
          </w:p>
        </w:tc>
        <w:tc>
          <w:tcPr>
            <w:tcW w:w="994" w:type="dxa"/>
            <w:vAlign w:val="bottom"/>
          </w:tcPr>
          <w:p w:rsidRPr="009C48DA" w:rsidR="00F02DD3" w:rsidP="000947C9" w:rsidRDefault="00F02DD3" w14:paraId="58D6777B" w14:textId="64AB690F">
            <w:pPr>
              <w:keepNext/>
              <w:pBdr>
                <w:bottom w:val="single" w:color="auto" w:sz="4" w:space="1"/>
              </w:pBdr>
              <w:jc w:val="center"/>
              <w:rPr>
                <w:rFonts w:cs="Times New Roman"/>
                <w:b/>
                <w:sz w:val="13"/>
                <w:szCs w:val="13"/>
                <w:lang w:val="en-GB"/>
              </w:rPr>
            </w:pPr>
            <w:r w:rsidRPr="009C48DA">
              <w:rPr>
                <w:rFonts w:cs="Times New Roman"/>
                <w:b/>
                <w:sz w:val="13"/>
                <w:szCs w:val="13"/>
                <w:lang w:val="en-GB"/>
              </w:rPr>
              <w:t xml:space="preserve">Gross MOIC unlevered </w:t>
            </w:r>
            <w:r w:rsidRPr="009C48DA" w:rsidR="000947C9">
              <w:rPr>
                <w:rFonts w:cs="Times New Roman"/>
                <w:b/>
                <w:sz w:val="13"/>
                <w:szCs w:val="13"/>
                <w:lang w:val="en-GB"/>
              </w:rPr>
              <w:t xml:space="preserve">/ levered </w:t>
            </w:r>
            <w:r w:rsidRPr="009C48DA">
              <w:rPr>
                <w:rFonts w:cs="Times New Roman"/>
                <w:b/>
                <w:sz w:val="13"/>
                <w:szCs w:val="13"/>
                <w:vertAlign w:val="superscript"/>
                <w:lang w:val="en-GB"/>
              </w:rPr>
              <w:t>(2)(3)</w:t>
            </w:r>
          </w:p>
        </w:tc>
        <w:tc>
          <w:tcPr>
            <w:tcW w:w="1002" w:type="dxa"/>
            <w:vAlign w:val="bottom"/>
          </w:tcPr>
          <w:p w:rsidRPr="009C48DA" w:rsidR="00F02DD3" w:rsidP="000947C9" w:rsidRDefault="00F02DD3" w14:paraId="7AC28DF5" w14:textId="72EE3501">
            <w:pPr>
              <w:keepNext/>
              <w:pBdr>
                <w:bottom w:val="single" w:color="auto" w:sz="4" w:space="1"/>
              </w:pBdr>
              <w:jc w:val="center"/>
              <w:rPr>
                <w:rFonts w:cs="Times New Roman"/>
                <w:b/>
                <w:sz w:val="13"/>
                <w:szCs w:val="13"/>
                <w:lang w:val="en-GB"/>
              </w:rPr>
            </w:pPr>
            <w:r w:rsidRPr="009C48DA">
              <w:rPr>
                <w:rFonts w:cs="Times New Roman"/>
                <w:b/>
                <w:sz w:val="13"/>
                <w:szCs w:val="13"/>
                <w:lang w:val="en-GB"/>
              </w:rPr>
              <w:t>Gross IRR unlevered</w:t>
            </w:r>
            <w:r w:rsidRPr="009C48DA" w:rsidR="000947C9">
              <w:rPr>
                <w:rFonts w:cs="Times New Roman"/>
                <w:b/>
                <w:sz w:val="13"/>
                <w:szCs w:val="13"/>
                <w:lang w:val="en-GB"/>
              </w:rPr>
              <w:t xml:space="preserve"> / levered</w:t>
            </w:r>
            <w:r w:rsidRPr="009C48DA">
              <w:rPr>
                <w:rFonts w:cs="Times New Roman"/>
                <w:b/>
                <w:sz w:val="13"/>
                <w:szCs w:val="13"/>
                <w:vertAlign w:val="superscript"/>
                <w:lang w:val="en-GB"/>
              </w:rPr>
              <w:t>(3)(4)</w:t>
            </w:r>
            <w:r w:rsidRPr="009C48DA">
              <w:rPr>
                <w:rFonts w:cs="Times New Roman"/>
                <w:b/>
                <w:sz w:val="13"/>
                <w:szCs w:val="13"/>
                <w:lang w:val="en-GB"/>
              </w:rPr>
              <w:t xml:space="preserve"> (in per cent)</w:t>
            </w:r>
          </w:p>
        </w:tc>
        <w:tc>
          <w:tcPr>
            <w:tcW w:w="957" w:type="dxa"/>
            <w:vAlign w:val="bottom"/>
          </w:tcPr>
          <w:p w:rsidRPr="009C48DA" w:rsidR="00F02DD3" w:rsidP="000947C9" w:rsidRDefault="00F02DD3" w14:paraId="14CCF814" w14:textId="3E41E868">
            <w:pPr>
              <w:keepNext/>
              <w:pBdr>
                <w:bottom w:val="single" w:color="auto" w:sz="4" w:space="1"/>
              </w:pBdr>
              <w:jc w:val="center"/>
              <w:rPr>
                <w:rFonts w:cs="Times New Roman"/>
                <w:b/>
                <w:sz w:val="13"/>
                <w:szCs w:val="13"/>
                <w:lang w:val="en-GB"/>
              </w:rPr>
            </w:pPr>
            <w:r w:rsidRPr="009C48DA">
              <w:rPr>
                <w:rFonts w:cs="Times New Roman"/>
                <w:b/>
                <w:sz w:val="13"/>
                <w:szCs w:val="13"/>
                <w:lang w:val="en-GB"/>
              </w:rPr>
              <w:t>Net IRR unlevered</w:t>
            </w:r>
            <w:r w:rsidRPr="009C48DA" w:rsidR="000947C9">
              <w:rPr>
                <w:rFonts w:cs="Times New Roman"/>
                <w:b/>
                <w:sz w:val="13"/>
                <w:szCs w:val="13"/>
                <w:lang w:val="en-GB"/>
              </w:rPr>
              <w:t xml:space="preserve"> / levered</w:t>
            </w:r>
            <w:r w:rsidRPr="009C48DA">
              <w:rPr>
                <w:rFonts w:cs="Times New Roman"/>
                <w:b/>
                <w:sz w:val="13"/>
                <w:szCs w:val="13"/>
                <w:vertAlign w:val="superscript"/>
                <w:lang w:val="en-GB"/>
              </w:rPr>
              <w:t>(3)(4)</w:t>
            </w:r>
            <w:r w:rsidRPr="009C48DA">
              <w:rPr>
                <w:rFonts w:cs="Times New Roman"/>
                <w:b/>
                <w:sz w:val="13"/>
                <w:szCs w:val="13"/>
                <w:lang w:val="en-GB"/>
              </w:rPr>
              <w:t xml:space="preserve"> (in per cent)</w:t>
            </w:r>
          </w:p>
        </w:tc>
        <w:tc>
          <w:tcPr>
            <w:tcW w:w="1134" w:type="dxa"/>
            <w:vAlign w:val="bottom"/>
          </w:tcPr>
          <w:p w:rsidRPr="009C48DA" w:rsidR="00F02DD3" w:rsidP="00143D62" w:rsidRDefault="00F02DD3" w14:paraId="1655C559" w14:textId="77777777">
            <w:pPr>
              <w:keepNext/>
              <w:pBdr>
                <w:bottom w:val="single" w:color="auto" w:sz="4" w:space="1"/>
              </w:pBdr>
              <w:jc w:val="center"/>
              <w:rPr>
                <w:rFonts w:cs="Times New Roman"/>
                <w:sz w:val="13"/>
                <w:szCs w:val="13"/>
                <w:lang w:val="en-GB"/>
              </w:rPr>
            </w:pPr>
            <w:r w:rsidRPr="009C48DA">
              <w:rPr>
                <w:rFonts w:cs="Times New Roman"/>
                <w:b/>
                <w:sz w:val="13"/>
                <w:szCs w:val="13"/>
                <w:lang w:val="en-GB"/>
              </w:rPr>
              <w:t>Remaining investment period</w:t>
            </w:r>
            <w:r w:rsidRPr="009C48DA">
              <w:rPr>
                <w:rFonts w:cs="Times New Roman"/>
                <w:b/>
                <w:sz w:val="13"/>
                <w:szCs w:val="13"/>
                <w:vertAlign w:val="superscript"/>
                <w:lang w:val="en-GB"/>
              </w:rPr>
              <w:t>(5)</w:t>
            </w:r>
          </w:p>
        </w:tc>
        <w:tc>
          <w:tcPr>
            <w:tcW w:w="1134" w:type="dxa"/>
            <w:vAlign w:val="bottom"/>
          </w:tcPr>
          <w:p w:rsidRPr="009C48DA" w:rsidR="00F02DD3" w:rsidP="00143D62" w:rsidRDefault="00F02DD3" w14:paraId="7380B601" w14:textId="77777777">
            <w:pPr>
              <w:keepNext/>
              <w:pBdr>
                <w:bottom w:val="single" w:color="auto" w:sz="4" w:space="1"/>
              </w:pBdr>
              <w:jc w:val="center"/>
              <w:rPr>
                <w:rFonts w:cs="Times New Roman"/>
                <w:b/>
                <w:sz w:val="13"/>
                <w:szCs w:val="13"/>
                <w:lang w:val="en-GB"/>
              </w:rPr>
            </w:pPr>
            <w:r w:rsidRPr="009C48DA">
              <w:rPr>
                <w:rFonts w:cs="Times New Roman"/>
                <w:b/>
                <w:sz w:val="13"/>
                <w:szCs w:val="13"/>
                <w:lang w:val="en-GB"/>
              </w:rPr>
              <w:t>Remaining fund life in years</w:t>
            </w:r>
            <w:r w:rsidRPr="009C48DA">
              <w:rPr>
                <w:rFonts w:cs="Times New Roman"/>
                <w:b/>
                <w:sz w:val="13"/>
                <w:szCs w:val="13"/>
                <w:vertAlign w:val="superscript"/>
                <w:lang w:val="en-GB"/>
              </w:rPr>
              <w:t>(6)</w:t>
            </w:r>
          </w:p>
        </w:tc>
      </w:tr>
      <w:tr w:rsidRPr="009C48DA" w:rsidR="00F02DD3" w:rsidTr="0036034E" w14:paraId="616961EA" w14:textId="77777777">
        <w:trPr>
          <w:trHeight w:val="74"/>
        </w:trPr>
        <w:tc>
          <w:tcPr>
            <w:tcW w:w="2268" w:type="dxa"/>
            <w:shd w:val="clear" w:color="auto" w:fill="auto"/>
            <w:vAlign w:val="bottom"/>
          </w:tcPr>
          <w:p w:rsidRPr="009C48DA" w:rsidR="00F02DD3" w:rsidP="00143D62" w:rsidRDefault="007E6165" w14:paraId="616212C9" w14:textId="7BBC2F9D">
            <w:pPr>
              <w:keepNext/>
              <w:rPr>
                <w:rFonts w:cs="Times New Roman"/>
                <w:sz w:val="13"/>
                <w:szCs w:val="13"/>
                <w:lang w:val="en-GB"/>
              </w:rPr>
            </w:pPr>
            <w:r w:rsidRPr="009C48DA">
              <w:rPr>
                <w:rFonts w:cs="Times New Roman"/>
                <w:sz w:val="13"/>
                <w:szCs w:val="13"/>
                <w:lang w:val="en-GB"/>
              </w:rPr>
              <w:t xml:space="preserve">Bridgepoint </w:t>
            </w:r>
            <w:r w:rsidRPr="009C48DA" w:rsidR="00F02DD3">
              <w:rPr>
                <w:rFonts w:cs="Times New Roman"/>
                <w:sz w:val="13"/>
                <w:szCs w:val="13"/>
                <w:lang w:val="en-GB"/>
              </w:rPr>
              <w:t>Credit Opportunities II</w:t>
            </w:r>
          </w:p>
        </w:tc>
        <w:tc>
          <w:tcPr>
            <w:tcW w:w="1050" w:type="dxa"/>
            <w:vAlign w:val="bottom"/>
          </w:tcPr>
          <w:p w:rsidRPr="009C48DA" w:rsidR="00F02DD3" w:rsidP="00143D62" w:rsidRDefault="00F02DD3" w14:paraId="0A77931F" w14:textId="77777777">
            <w:pPr>
              <w:jc w:val="right"/>
              <w:rPr>
                <w:rFonts w:cs="Times New Roman"/>
                <w:sz w:val="13"/>
                <w:szCs w:val="13"/>
                <w:lang w:val="en-GB"/>
              </w:rPr>
            </w:pPr>
            <w:r w:rsidRPr="009C48DA">
              <w:rPr>
                <w:rFonts w:cs="Times New Roman"/>
                <w:sz w:val="13"/>
                <w:szCs w:val="13"/>
                <w:lang w:val="en-GB"/>
              </w:rPr>
              <w:t>€845</w:t>
            </w:r>
          </w:p>
        </w:tc>
        <w:tc>
          <w:tcPr>
            <w:tcW w:w="994" w:type="dxa"/>
            <w:vAlign w:val="bottom"/>
          </w:tcPr>
          <w:p w:rsidRPr="009C48DA" w:rsidR="00F02DD3" w:rsidP="00143D62" w:rsidRDefault="002D32B3" w14:paraId="2853C788" w14:textId="2B56F1B0">
            <w:pPr>
              <w:jc w:val="right"/>
              <w:rPr>
                <w:rFonts w:cs="Times New Roman"/>
                <w:sz w:val="13"/>
                <w:szCs w:val="13"/>
                <w:lang w:val="en-GB"/>
              </w:rPr>
            </w:pPr>
            <w:r w:rsidRPr="009C48DA">
              <w:rPr>
                <w:rFonts w:cs="Times New Roman"/>
                <w:color w:val="000000"/>
                <w:sz w:val="13"/>
                <w:szCs w:val="13"/>
                <w:lang w:val="en-GB"/>
              </w:rPr>
              <w:t>1.65</w:t>
            </w:r>
            <w:r w:rsidRPr="009C48DA" w:rsidR="00F02DD3">
              <w:rPr>
                <w:rFonts w:cs="Times New Roman"/>
                <w:color w:val="000000"/>
                <w:sz w:val="13"/>
                <w:szCs w:val="13"/>
                <w:lang w:val="en-GB"/>
              </w:rPr>
              <w:t>x</w:t>
            </w:r>
          </w:p>
        </w:tc>
        <w:tc>
          <w:tcPr>
            <w:tcW w:w="1002" w:type="dxa"/>
            <w:vAlign w:val="bottom"/>
          </w:tcPr>
          <w:p w:rsidRPr="009C48DA" w:rsidR="00F02DD3" w:rsidP="00143D62" w:rsidRDefault="00F02DD3" w14:paraId="5FC2A5E5" w14:textId="77777777">
            <w:pPr>
              <w:jc w:val="right"/>
              <w:rPr>
                <w:rFonts w:cs="Times New Roman"/>
                <w:sz w:val="13"/>
                <w:szCs w:val="13"/>
                <w:lang w:val="en-GB"/>
              </w:rPr>
            </w:pPr>
            <w:r w:rsidRPr="009C48DA">
              <w:rPr>
                <w:rFonts w:cs="Times New Roman"/>
                <w:color w:val="000000"/>
                <w:sz w:val="13"/>
                <w:szCs w:val="13"/>
                <w:lang w:val="en-GB"/>
              </w:rPr>
              <w:t>20%</w:t>
            </w:r>
          </w:p>
        </w:tc>
        <w:tc>
          <w:tcPr>
            <w:tcW w:w="957" w:type="dxa"/>
            <w:vAlign w:val="bottom"/>
          </w:tcPr>
          <w:p w:rsidRPr="009C48DA" w:rsidR="00F02DD3" w:rsidP="00143D62" w:rsidRDefault="00F02DD3" w14:paraId="49633761" w14:textId="77777777">
            <w:pPr>
              <w:jc w:val="right"/>
              <w:rPr>
                <w:rFonts w:cs="Times New Roman"/>
                <w:b/>
                <w:sz w:val="13"/>
                <w:szCs w:val="13"/>
                <w:lang w:val="en-GB"/>
              </w:rPr>
            </w:pPr>
            <w:r w:rsidRPr="009C48DA">
              <w:rPr>
                <w:rFonts w:cs="Times New Roman"/>
                <w:color w:val="000000"/>
                <w:sz w:val="13"/>
                <w:szCs w:val="13"/>
                <w:lang w:val="en-GB"/>
              </w:rPr>
              <w:t>13%</w:t>
            </w:r>
          </w:p>
        </w:tc>
        <w:tc>
          <w:tcPr>
            <w:tcW w:w="1134" w:type="dxa"/>
            <w:vAlign w:val="bottom"/>
          </w:tcPr>
          <w:p w:rsidRPr="009C48DA" w:rsidR="00F02DD3" w:rsidP="00143D62" w:rsidRDefault="00F02DD3" w14:paraId="7E50615F" w14:textId="77777777">
            <w:pPr>
              <w:jc w:val="right"/>
              <w:rPr>
                <w:rFonts w:cs="Times New Roman"/>
                <w:color w:val="000000"/>
                <w:sz w:val="13"/>
                <w:szCs w:val="13"/>
                <w:lang w:val="en-GB"/>
              </w:rPr>
            </w:pPr>
            <w:r w:rsidRPr="009C48DA">
              <w:rPr>
                <w:sz w:val="13"/>
                <w:szCs w:val="13"/>
                <w:lang w:val="en-GB"/>
              </w:rPr>
              <w:t>n/a</w:t>
            </w:r>
          </w:p>
        </w:tc>
        <w:tc>
          <w:tcPr>
            <w:tcW w:w="1134" w:type="dxa"/>
            <w:vAlign w:val="bottom"/>
          </w:tcPr>
          <w:p w:rsidRPr="009C48DA" w:rsidR="00F02DD3" w:rsidP="00143D62" w:rsidRDefault="00F02DD3" w14:paraId="6CB4713F" w14:textId="77777777">
            <w:pPr>
              <w:jc w:val="right"/>
              <w:rPr>
                <w:rFonts w:cs="Times New Roman"/>
                <w:color w:val="000000"/>
                <w:sz w:val="13"/>
                <w:szCs w:val="13"/>
                <w:lang w:val="en-GB"/>
              </w:rPr>
            </w:pPr>
            <w:r w:rsidRPr="009C48DA">
              <w:rPr>
                <w:sz w:val="13"/>
                <w:szCs w:val="13"/>
                <w:lang w:val="en-GB"/>
              </w:rPr>
              <w:t>less than 1 year</w:t>
            </w:r>
          </w:p>
        </w:tc>
      </w:tr>
      <w:tr w:rsidRPr="009C48DA" w:rsidR="00F02DD3" w:rsidTr="0036034E" w14:paraId="6A4420F3" w14:textId="77777777">
        <w:trPr>
          <w:trHeight w:val="74"/>
        </w:trPr>
        <w:tc>
          <w:tcPr>
            <w:tcW w:w="2268" w:type="dxa"/>
            <w:shd w:val="clear" w:color="auto" w:fill="auto"/>
            <w:vAlign w:val="bottom"/>
          </w:tcPr>
          <w:p w:rsidRPr="009C48DA" w:rsidR="00F02DD3" w:rsidP="00143D62" w:rsidRDefault="007E6165" w14:paraId="22DE3ABB" w14:textId="131F9127">
            <w:pPr>
              <w:keepNext/>
              <w:rPr>
                <w:rFonts w:cs="Times New Roman"/>
                <w:sz w:val="13"/>
                <w:szCs w:val="13"/>
                <w:lang w:val="en-GB"/>
              </w:rPr>
            </w:pPr>
            <w:r w:rsidRPr="009C48DA">
              <w:rPr>
                <w:rFonts w:cs="Times New Roman"/>
                <w:sz w:val="13"/>
                <w:szCs w:val="13"/>
                <w:lang w:val="en-GB"/>
              </w:rPr>
              <w:t xml:space="preserve">Bridgepoint </w:t>
            </w:r>
            <w:r w:rsidRPr="009C48DA" w:rsidR="00F02DD3">
              <w:rPr>
                <w:rFonts w:cs="Times New Roman"/>
                <w:sz w:val="13"/>
                <w:szCs w:val="13"/>
                <w:lang w:val="en-GB"/>
              </w:rPr>
              <w:t>Credit Opportunities III</w:t>
            </w:r>
          </w:p>
        </w:tc>
        <w:tc>
          <w:tcPr>
            <w:tcW w:w="1050" w:type="dxa"/>
            <w:vAlign w:val="bottom"/>
          </w:tcPr>
          <w:p w:rsidRPr="009C48DA" w:rsidR="00F02DD3" w:rsidP="00143D62" w:rsidRDefault="00F02DD3" w14:paraId="427FE0EA" w14:textId="77777777">
            <w:pPr>
              <w:jc w:val="right"/>
              <w:rPr>
                <w:rFonts w:cs="Times New Roman"/>
                <w:sz w:val="13"/>
                <w:szCs w:val="13"/>
                <w:lang w:val="en-GB"/>
              </w:rPr>
            </w:pPr>
            <w:r w:rsidRPr="009C48DA">
              <w:rPr>
                <w:rFonts w:cs="Times New Roman"/>
                <w:sz w:val="13"/>
                <w:szCs w:val="13"/>
                <w:lang w:val="en-GB"/>
              </w:rPr>
              <w:t>€1,272</w:t>
            </w:r>
          </w:p>
        </w:tc>
        <w:tc>
          <w:tcPr>
            <w:tcW w:w="994" w:type="dxa"/>
            <w:vAlign w:val="bottom"/>
          </w:tcPr>
          <w:p w:rsidRPr="009C48DA" w:rsidR="00F02DD3" w:rsidP="00143D62" w:rsidRDefault="002D32B3" w14:paraId="3EE447B3" w14:textId="7544997A">
            <w:pPr>
              <w:jc w:val="right"/>
              <w:rPr>
                <w:rFonts w:cs="Times New Roman"/>
                <w:sz w:val="13"/>
                <w:szCs w:val="13"/>
                <w:lang w:val="en-GB"/>
              </w:rPr>
            </w:pPr>
            <w:r w:rsidRPr="009C48DA">
              <w:rPr>
                <w:rFonts w:cs="Times New Roman"/>
                <w:color w:val="000000"/>
                <w:sz w:val="13"/>
                <w:szCs w:val="13"/>
                <w:lang w:val="en-GB"/>
              </w:rPr>
              <w:t>1.30</w:t>
            </w:r>
            <w:r w:rsidRPr="009C48DA" w:rsidR="00F02DD3">
              <w:rPr>
                <w:rFonts w:cs="Times New Roman"/>
                <w:color w:val="000000"/>
                <w:sz w:val="13"/>
                <w:szCs w:val="13"/>
                <w:lang w:val="en-GB"/>
              </w:rPr>
              <w:t>x</w:t>
            </w:r>
          </w:p>
        </w:tc>
        <w:tc>
          <w:tcPr>
            <w:tcW w:w="1002" w:type="dxa"/>
            <w:vAlign w:val="bottom"/>
          </w:tcPr>
          <w:p w:rsidRPr="009C48DA" w:rsidR="00F02DD3" w:rsidP="00143D62" w:rsidRDefault="00F02DD3" w14:paraId="3FAF26D8" w14:textId="77777777">
            <w:pPr>
              <w:jc w:val="right"/>
              <w:rPr>
                <w:rFonts w:cs="Times New Roman"/>
                <w:sz w:val="13"/>
                <w:szCs w:val="13"/>
                <w:lang w:val="en-GB"/>
              </w:rPr>
            </w:pPr>
            <w:r w:rsidRPr="009C48DA">
              <w:rPr>
                <w:rFonts w:cs="Times New Roman"/>
                <w:color w:val="000000"/>
                <w:sz w:val="13"/>
                <w:szCs w:val="13"/>
                <w:lang w:val="en-GB"/>
              </w:rPr>
              <w:t>13%</w:t>
            </w:r>
          </w:p>
        </w:tc>
        <w:tc>
          <w:tcPr>
            <w:tcW w:w="957" w:type="dxa"/>
            <w:vAlign w:val="bottom"/>
          </w:tcPr>
          <w:p w:rsidRPr="009C48DA" w:rsidR="00F02DD3" w:rsidP="00143D62" w:rsidRDefault="002D32B3" w14:paraId="3D721153" w14:textId="0B1583AF">
            <w:pPr>
              <w:jc w:val="right"/>
              <w:rPr>
                <w:rFonts w:cs="Times New Roman"/>
                <w:b/>
                <w:sz w:val="13"/>
                <w:szCs w:val="13"/>
                <w:lang w:val="en-GB"/>
              </w:rPr>
            </w:pPr>
            <w:r w:rsidRPr="009C48DA">
              <w:rPr>
                <w:rFonts w:cs="Times New Roman"/>
                <w:color w:val="000000"/>
                <w:sz w:val="13"/>
                <w:szCs w:val="13"/>
                <w:lang w:val="en-GB"/>
              </w:rPr>
              <w:t>8</w:t>
            </w:r>
            <w:r w:rsidRPr="009C48DA" w:rsidR="00F02DD3">
              <w:rPr>
                <w:rFonts w:cs="Times New Roman"/>
                <w:color w:val="000000"/>
                <w:sz w:val="13"/>
                <w:szCs w:val="13"/>
                <w:lang w:val="en-GB"/>
              </w:rPr>
              <w:t>%</w:t>
            </w:r>
          </w:p>
        </w:tc>
        <w:tc>
          <w:tcPr>
            <w:tcW w:w="1134" w:type="dxa"/>
            <w:vAlign w:val="bottom"/>
          </w:tcPr>
          <w:p w:rsidRPr="009C48DA" w:rsidR="00F02DD3" w:rsidP="00143D62" w:rsidRDefault="00F02DD3" w14:paraId="5C0F635C" w14:textId="77777777">
            <w:pPr>
              <w:jc w:val="right"/>
              <w:rPr>
                <w:rFonts w:cs="Times New Roman"/>
                <w:color w:val="000000"/>
                <w:sz w:val="13"/>
                <w:szCs w:val="13"/>
                <w:lang w:val="en-GB"/>
              </w:rPr>
            </w:pPr>
            <w:r w:rsidRPr="009C48DA">
              <w:rPr>
                <w:sz w:val="13"/>
                <w:szCs w:val="13"/>
                <w:lang w:val="en-GB"/>
              </w:rPr>
              <w:t>n/a</w:t>
            </w:r>
          </w:p>
        </w:tc>
        <w:tc>
          <w:tcPr>
            <w:tcW w:w="1134" w:type="dxa"/>
            <w:vAlign w:val="bottom"/>
          </w:tcPr>
          <w:p w:rsidRPr="009C48DA" w:rsidR="00F02DD3" w:rsidP="00143D62" w:rsidRDefault="00F02DD3" w14:paraId="5563A1D4" w14:textId="77777777">
            <w:pPr>
              <w:jc w:val="right"/>
              <w:rPr>
                <w:rFonts w:cs="Times New Roman"/>
                <w:color w:val="000000"/>
                <w:sz w:val="13"/>
                <w:szCs w:val="13"/>
                <w:lang w:val="en-GB"/>
              </w:rPr>
            </w:pPr>
            <w:r w:rsidRPr="009C48DA">
              <w:rPr>
                <w:sz w:val="13"/>
                <w:szCs w:val="13"/>
                <w:lang w:val="en-GB"/>
              </w:rPr>
              <w:t>4 years</w:t>
            </w:r>
          </w:p>
        </w:tc>
      </w:tr>
      <w:tr w:rsidRPr="009C48DA" w:rsidR="00F02DD3" w:rsidTr="0036034E" w14:paraId="688DE757" w14:textId="77777777">
        <w:trPr>
          <w:trHeight w:val="74"/>
        </w:trPr>
        <w:tc>
          <w:tcPr>
            <w:tcW w:w="2268" w:type="dxa"/>
            <w:shd w:val="clear" w:color="auto" w:fill="auto"/>
            <w:vAlign w:val="bottom"/>
          </w:tcPr>
          <w:p w:rsidRPr="009C48DA" w:rsidR="00F02DD3" w:rsidP="00143D62" w:rsidRDefault="007E6165" w14:paraId="52B0E96F" w14:textId="0DFF69E0">
            <w:pPr>
              <w:keepNext/>
              <w:rPr>
                <w:rFonts w:cs="Times New Roman"/>
                <w:sz w:val="13"/>
                <w:szCs w:val="13"/>
                <w:lang w:val="en-GB"/>
              </w:rPr>
            </w:pPr>
            <w:r w:rsidRPr="009C48DA">
              <w:rPr>
                <w:rFonts w:cs="Times New Roman"/>
                <w:sz w:val="13"/>
                <w:szCs w:val="13"/>
                <w:lang w:val="en-GB"/>
              </w:rPr>
              <w:t xml:space="preserve">Bridgepoint </w:t>
            </w:r>
            <w:r w:rsidRPr="009C48DA" w:rsidR="00F02DD3">
              <w:rPr>
                <w:rFonts w:cs="Times New Roman"/>
                <w:sz w:val="13"/>
                <w:szCs w:val="13"/>
                <w:lang w:val="en-GB"/>
              </w:rPr>
              <w:t>Credit I</w:t>
            </w:r>
            <w:r w:rsidRPr="009C48DA" w:rsidR="00F02DD3">
              <w:rPr>
                <w:rFonts w:cs="Times New Roman"/>
                <w:sz w:val="13"/>
                <w:szCs w:val="13"/>
                <w:vertAlign w:val="superscript"/>
                <w:lang w:val="en-GB"/>
              </w:rPr>
              <w:t>(7)</w:t>
            </w:r>
          </w:p>
        </w:tc>
        <w:tc>
          <w:tcPr>
            <w:tcW w:w="1050" w:type="dxa"/>
            <w:vAlign w:val="bottom"/>
          </w:tcPr>
          <w:p w:rsidRPr="009C48DA" w:rsidR="00F02DD3" w:rsidP="00143D62" w:rsidRDefault="00F02DD3" w14:paraId="67F83B63" w14:textId="77777777">
            <w:pPr>
              <w:jc w:val="right"/>
              <w:rPr>
                <w:rFonts w:cs="Times New Roman"/>
                <w:sz w:val="13"/>
                <w:szCs w:val="13"/>
                <w:lang w:val="en-GB"/>
              </w:rPr>
            </w:pPr>
            <w:r w:rsidRPr="009C48DA">
              <w:rPr>
                <w:rFonts w:cs="Times New Roman"/>
                <w:sz w:val="13"/>
                <w:szCs w:val="13"/>
                <w:lang w:val="en-GB"/>
              </w:rPr>
              <w:t>€182</w:t>
            </w:r>
          </w:p>
        </w:tc>
        <w:tc>
          <w:tcPr>
            <w:tcW w:w="994" w:type="dxa"/>
            <w:vAlign w:val="bottom"/>
          </w:tcPr>
          <w:p w:rsidRPr="009C48DA" w:rsidR="00F02DD3" w:rsidP="000947C9" w:rsidRDefault="00F02DD3" w14:paraId="390B2CAB" w14:textId="5C8662FC">
            <w:pPr>
              <w:jc w:val="right"/>
              <w:rPr>
                <w:rFonts w:cs="Times New Roman"/>
                <w:sz w:val="13"/>
                <w:szCs w:val="13"/>
                <w:lang w:val="en-GB"/>
              </w:rPr>
            </w:pPr>
            <w:r w:rsidRPr="009C48DA">
              <w:rPr>
                <w:rFonts w:cs="Times New Roman"/>
                <w:color w:val="000000"/>
                <w:sz w:val="13"/>
                <w:szCs w:val="13"/>
                <w:lang w:val="en-GB"/>
              </w:rPr>
              <w:t>1.09x</w:t>
            </w:r>
            <w:r w:rsidRPr="009C48DA" w:rsidR="000947C9">
              <w:rPr>
                <w:rFonts w:cs="Times New Roman"/>
                <w:color w:val="000000"/>
                <w:sz w:val="13"/>
                <w:szCs w:val="13"/>
                <w:lang w:val="en-GB"/>
              </w:rPr>
              <w:t xml:space="preserve"> / 1.09x </w:t>
            </w:r>
          </w:p>
        </w:tc>
        <w:tc>
          <w:tcPr>
            <w:tcW w:w="1002" w:type="dxa"/>
            <w:vAlign w:val="bottom"/>
          </w:tcPr>
          <w:p w:rsidRPr="009C48DA" w:rsidR="00F02DD3" w:rsidP="00143D62" w:rsidRDefault="002D32B3" w14:paraId="07E25864" w14:textId="1DE7E4E2">
            <w:pPr>
              <w:jc w:val="right"/>
              <w:rPr>
                <w:rFonts w:cs="Times New Roman"/>
                <w:sz w:val="13"/>
                <w:szCs w:val="13"/>
                <w:lang w:val="en-GB"/>
              </w:rPr>
            </w:pPr>
            <w:r w:rsidRPr="009C48DA">
              <w:rPr>
                <w:rFonts w:cs="Times New Roman"/>
                <w:color w:val="000000"/>
                <w:sz w:val="13"/>
                <w:szCs w:val="13"/>
                <w:lang w:val="en-GB"/>
              </w:rPr>
              <w:t>6% / 6</w:t>
            </w:r>
            <w:r w:rsidRPr="009C48DA" w:rsidR="00F02DD3">
              <w:rPr>
                <w:rFonts w:cs="Times New Roman"/>
                <w:color w:val="000000"/>
                <w:sz w:val="13"/>
                <w:szCs w:val="13"/>
                <w:lang w:val="en-GB"/>
              </w:rPr>
              <w:t>%</w:t>
            </w:r>
          </w:p>
        </w:tc>
        <w:tc>
          <w:tcPr>
            <w:tcW w:w="957" w:type="dxa"/>
            <w:vAlign w:val="bottom"/>
          </w:tcPr>
          <w:p w:rsidRPr="009C48DA" w:rsidR="00F02DD3" w:rsidP="000947C9" w:rsidRDefault="002D32B3" w14:paraId="1165BB4A" w14:textId="05A0C406">
            <w:pPr>
              <w:jc w:val="right"/>
              <w:rPr>
                <w:rFonts w:cs="Times New Roman"/>
                <w:b/>
                <w:sz w:val="13"/>
                <w:szCs w:val="13"/>
                <w:lang w:val="en-GB"/>
              </w:rPr>
            </w:pPr>
            <w:r w:rsidRPr="009C48DA">
              <w:rPr>
                <w:rFonts w:cs="Times New Roman"/>
                <w:color w:val="000000"/>
                <w:sz w:val="13"/>
                <w:szCs w:val="13"/>
                <w:lang w:val="en-GB"/>
              </w:rPr>
              <w:t>4</w:t>
            </w:r>
            <w:r w:rsidRPr="009C48DA" w:rsidR="00F02DD3">
              <w:rPr>
                <w:rFonts w:cs="Times New Roman"/>
                <w:color w:val="000000"/>
                <w:sz w:val="13"/>
                <w:szCs w:val="13"/>
                <w:lang w:val="en-GB"/>
              </w:rPr>
              <w:t>%</w:t>
            </w:r>
            <w:r w:rsidRPr="009C48DA" w:rsidR="000947C9">
              <w:rPr>
                <w:rFonts w:cs="Times New Roman"/>
                <w:color w:val="000000"/>
                <w:sz w:val="13"/>
                <w:szCs w:val="13"/>
                <w:lang w:val="en-GB"/>
              </w:rPr>
              <w:t xml:space="preserve"> / 10% </w:t>
            </w:r>
          </w:p>
        </w:tc>
        <w:tc>
          <w:tcPr>
            <w:tcW w:w="1134" w:type="dxa"/>
            <w:vAlign w:val="bottom"/>
          </w:tcPr>
          <w:p w:rsidRPr="009C48DA" w:rsidR="00F02DD3" w:rsidP="00143D62" w:rsidRDefault="00F02DD3" w14:paraId="06CEB9E3" w14:textId="77777777">
            <w:pPr>
              <w:jc w:val="right"/>
              <w:rPr>
                <w:rFonts w:cs="Times New Roman"/>
                <w:color w:val="000000"/>
                <w:sz w:val="13"/>
                <w:szCs w:val="13"/>
                <w:lang w:val="en-GB"/>
              </w:rPr>
            </w:pPr>
            <w:r w:rsidRPr="009C48DA">
              <w:rPr>
                <w:sz w:val="13"/>
                <w:szCs w:val="13"/>
                <w:lang w:val="en-GB"/>
              </w:rPr>
              <w:t>n/a</w:t>
            </w:r>
          </w:p>
        </w:tc>
        <w:tc>
          <w:tcPr>
            <w:tcW w:w="1134" w:type="dxa"/>
            <w:vAlign w:val="bottom"/>
          </w:tcPr>
          <w:p w:rsidRPr="009C48DA" w:rsidR="00F02DD3" w:rsidP="00143D62" w:rsidRDefault="00F02DD3" w14:paraId="43BDEF30" w14:textId="77777777">
            <w:pPr>
              <w:jc w:val="right"/>
              <w:rPr>
                <w:rFonts w:cs="Times New Roman"/>
                <w:color w:val="000000"/>
                <w:sz w:val="13"/>
                <w:szCs w:val="13"/>
                <w:lang w:val="en-GB"/>
              </w:rPr>
            </w:pPr>
            <w:r w:rsidRPr="009C48DA">
              <w:rPr>
                <w:sz w:val="13"/>
                <w:szCs w:val="13"/>
                <w:lang w:val="en-GB"/>
              </w:rPr>
              <w:t>5 years</w:t>
            </w:r>
          </w:p>
        </w:tc>
      </w:tr>
      <w:tr w:rsidRPr="009C48DA" w:rsidR="00F02DD3" w:rsidTr="0036034E" w14:paraId="7B8EAADD" w14:textId="77777777">
        <w:trPr>
          <w:trHeight w:val="74"/>
        </w:trPr>
        <w:tc>
          <w:tcPr>
            <w:tcW w:w="2268" w:type="dxa"/>
            <w:shd w:val="clear" w:color="auto" w:fill="auto"/>
            <w:vAlign w:val="bottom"/>
          </w:tcPr>
          <w:p w:rsidRPr="009C48DA" w:rsidR="00F02DD3" w:rsidP="00143D62" w:rsidRDefault="007E6165" w14:paraId="26F0EBD1" w14:textId="0D536E13">
            <w:pPr>
              <w:keepNext/>
              <w:rPr>
                <w:rFonts w:cs="Times New Roman"/>
                <w:sz w:val="13"/>
                <w:szCs w:val="13"/>
                <w:lang w:val="en-GB"/>
              </w:rPr>
            </w:pPr>
            <w:r w:rsidRPr="009C48DA">
              <w:rPr>
                <w:rFonts w:cs="Times New Roman"/>
                <w:sz w:val="13"/>
                <w:szCs w:val="13"/>
                <w:lang w:val="en-GB"/>
              </w:rPr>
              <w:t xml:space="preserve">Bridgepoint </w:t>
            </w:r>
            <w:r w:rsidRPr="009C48DA" w:rsidR="00F02DD3">
              <w:rPr>
                <w:rFonts w:cs="Times New Roman"/>
                <w:sz w:val="13"/>
                <w:szCs w:val="13"/>
                <w:lang w:val="en-GB"/>
              </w:rPr>
              <w:t>Credit II</w:t>
            </w:r>
            <w:r w:rsidRPr="009C48DA" w:rsidR="00F02DD3">
              <w:rPr>
                <w:rFonts w:cs="Times New Roman"/>
                <w:sz w:val="13"/>
                <w:szCs w:val="13"/>
                <w:vertAlign w:val="superscript"/>
                <w:lang w:val="en-GB"/>
              </w:rPr>
              <w:t>(7)</w:t>
            </w:r>
          </w:p>
        </w:tc>
        <w:tc>
          <w:tcPr>
            <w:tcW w:w="1050" w:type="dxa"/>
            <w:vAlign w:val="bottom"/>
          </w:tcPr>
          <w:p w:rsidRPr="009C48DA" w:rsidR="00F02DD3" w:rsidP="00143D62" w:rsidRDefault="00F02DD3" w14:paraId="03938A65" w14:textId="77777777">
            <w:pPr>
              <w:jc w:val="right"/>
              <w:rPr>
                <w:rFonts w:cs="Times New Roman"/>
                <w:sz w:val="13"/>
                <w:szCs w:val="13"/>
                <w:lang w:val="en-GB"/>
              </w:rPr>
            </w:pPr>
            <w:r w:rsidRPr="009C48DA">
              <w:rPr>
                <w:rFonts w:cs="Times New Roman"/>
                <w:sz w:val="13"/>
                <w:szCs w:val="13"/>
                <w:lang w:val="en-GB"/>
              </w:rPr>
              <w:t>€681</w:t>
            </w:r>
          </w:p>
        </w:tc>
        <w:tc>
          <w:tcPr>
            <w:tcW w:w="994" w:type="dxa"/>
            <w:vAlign w:val="bottom"/>
          </w:tcPr>
          <w:p w:rsidRPr="009C48DA" w:rsidR="00F02DD3" w:rsidP="000947C9" w:rsidRDefault="00F02DD3" w14:paraId="4E30F385" w14:textId="7FB7CC74">
            <w:pPr>
              <w:jc w:val="right"/>
              <w:rPr>
                <w:rFonts w:cs="Times New Roman"/>
                <w:sz w:val="13"/>
                <w:szCs w:val="13"/>
                <w:lang w:val="en-GB"/>
              </w:rPr>
            </w:pPr>
            <w:r w:rsidRPr="009C48DA">
              <w:rPr>
                <w:rFonts w:cs="Times New Roman"/>
                <w:color w:val="000000"/>
                <w:sz w:val="13"/>
                <w:szCs w:val="13"/>
                <w:lang w:val="en-GB"/>
              </w:rPr>
              <w:t>1.05x</w:t>
            </w:r>
            <w:r w:rsidRPr="009C48DA" w:rsidR="000947C9">
              <w:rPr>
                <w:rFonts w:cs="Times New Roman"/>
                <w:color w:val="000000"/>
                <w:sz w:val="13"/>
                <w:szCs w:val="13"/>
                <w:lang w:val="en-GB"/>
              </w:rPr>
              <w:t xml:space="preserve"> / 1.08x </w:t>
            </w:r>
          </w:p>
        </w:tc>
        <w:tc>
          <w:tcPr>
            <w:tcW w:w="1002" w:type="dxa"/>
            <w:vAlign w:val="bottom"/>
          </w:tcPr>
          <w:p w:rsidRPr="009C48DA" w:rsidR="00F02DD3" w:rsidP="00143D62" w:rsidRDefault="002D32B3" w14:paraId="2B86806A" w14:textId="15F834E2">
            <w:pPr>
              <w:jc w:val="right"/>
              <w:rPr>
                <w:rFonts w:cs="Times New Roman"/>
                <w:sz w:val="13"/>
                <w:szCs w:val="13"/>
                <w:lang w:val="en-GB"/>
              </w:rPr>
            </w:pPr>
            <w:r w:rsidRPr="009C48DA">
              <w:rPr>
                <w:rFonts w:cs="Times New Roman"/>
                <w:color w:val="000000"/>
                <w:sz w:val="13"/>
                <w:szCs w:val="13"/>
                <w:lang w:val="en-GB"/>
              </w:rPr>
              <w:t>9% / 9</w:t>
            </w:r>
            <w:r w:rsidRPr="009C48DA" w:rsidR="00F02DD3">
              <w:rPr>
                <w:rFonts w:cs="Times New Roman"/>
                <w:color w:val="000000"/>
                <w:sz w:val="13"/>
                <w:szCs w:val="13"/>
                <w:lang w:val="en-GB"/>
              </w:rPr>
              <w:t>%</w:t>
            </w:r>
          </w:p>
        </w:tc>
        <w:tc>
          <w:tcPr>
            <w:tcW w:w="957" w:type="dxa"/>
            <w:vAlign w:val="bottom"/>
          </w:tcPr>
          <w:p w:rsidRPr="009C48DA" w:rsidR="00F02DD3" w:rsidP="000947C9" w:rsidRDefault="002D32B3" w14:paraId="61F93FDE" w14:textId="725C74B7">
            <w:pPr>
              <w:jc w:val="right"/>
              <w:rPr>
                <w:rFonts w:cs="Times New Roman"/>
                <w:b/>
                <w:sz w:val="13"/>
                <w:szCs w:val="13"/>
                <w:lang w:val="en-GB"/>
              </w:rPr>
            </w:pPr>
            <w:r w:rsidRPr="009C48DA">
              <w:rPr>
                <w:rFonts w:cs="Times New Roman"/>
                <w:color w:val="000000"/>
                <w:sz w:val="13"/>
                <w:szCs w:val="13"/>
                <w:lang w:val="en-GB"/>
              </w:rPr>
              <w:t>5</w:t>
            </w:r>
            <w:r w:rsidRPr="009C48DA" w:rsidR="00F02DD3">
              <w:rPr>
                <w:rFonts w:cs="Times New Roman"/>
                <w:color w:val="000000"/>
                <w:sz w:val="13"/>
                <w:szCs w:val="13"/>
                <w:lang w:val="en-GB"/>
              </w:rPr>
              <w:t>%</w:t>
            </w:r>
            <w:r w:rsidRPr="009C48DA" w:rsidR="000947C9">
              <w:rPr>
                <w:rFonts w:cs="Times New Roman"/>
                <w:color w:val="000000"/>
                <w:sz w:val="13"/>
                <w:szCs w:val="13"/>
                <w:lang w:val="en-GB"/>
              </w:rPr>
              <w:t xml:space="preserve"> / 11% </w:t>
            </w:r>
          </w:p>
        </w:tc>
        <w:tc>
          <w:tcPr>
            <w:tcW w:w="1134" w:type="dxa"/>
            <w:vAlign w:val="bottom"/>
          </w:tcPr>
          <w:p w:rsidRPr="009C48DA" w:rsidR="00F02DD3" w:rsidP="00143D62" w:rsidRDefault="00F02DD3" w14:paraId="32140DED" w14:textId="77777777">
            <w:pPr>
              <w:jc w:val="right"/>
              <w:rPr>
                <w:rFonts w:cs="Times New Roman"/>
                <w:color w:val="000000"/>
                <w:sz w:val="13"/>
                <w:szCs w:val="13"/>
                <w:lang w:val="en-GB"/>
              </w:rPr>
            </w:pPr>
            <w:r w:rsidRPr="009C48DA">
              <w:rPr>
                <w:sz w:val="13"/>
                <w:szCs w:val="13"/>
                <w:lang w:val="en-GB"/>
              </w:rPr>
              <w:t>approx. 2.7 years</w:t>
            </w:r>
          </w:p>
        </w:tc>
        <w:tc>
          <w:tcPr>
            <w:tcW w:w="1134" w:type="dxa"/>
            <w:vAlign w:val="bottom"/>
          </w:tcPr>
          <w:p w:rsidRPr="009C48DA" w:rsidR="00F02DD3" w:rsidP="00143D62" w:rsidRDefault="00F02DD3" w14:paraId="4667149D" w14:textId="77777777">
            <w:pPr>
              <w:jc w:val="right"/>
              <w:rPr>
                <w:rFonts w:cs="Times New Roman"/>
                <w:color w:val="000000"/>
                <w:sz w:val="13"/>
                <w:szCs w:val="13"/>
                <w:lang w:val="en-GB"/>
              </w:rPr>
            </w:pPr>
            <w:r w:rsidRPr="009C48DA">
              <w:rPr>
                <w:sz w:val="13"/>
                <w:szCs w:val="13"/>
                <w:lang w:val="en-GB"/>
              </w:rPr>
              <w:t>6 years</w:t>
            </w:r>
          </w:p>
        </w:tc>
      </w:tr>
      <w:tr w:rsidRPr="009C48DA" w:rsidR="00F02DD3" w:rsidTr="0036034E" w14:paraId="0FFB5C37" w14:textId="77777777">
        <w:trPr>
          <w:trHeight w:val="74"/>
        </w:trPr>
        <w:tc>
          <w:tcPr>
            <w:tcW w:w="2268" w:type="dxa"/>
            <w:shd w:val="clear" w:color="auto" w:fill="auto"/>
            <w:vAlign w:val="bottom"/>
          </w:tcPr>
          <w:p w:rsidRPr="009C48DA" w:rsidR="00F02DD3" w:rsidP="00143D62" w:rsidRDefault="007E6165" w14:paraId="2B3DECB4" w14:textId="7BC982AD">
            <w:pPr>
              <w:keepNext/>
              <w:rPr>
                <w:rFonts w:cs="Times New Roman"/>
                <w:sz w:val="13"/>
                <w:szCs w:val="13"/>
                <w:lang w:val="en-GB"/>
              </w:rPr>
            </w:pPr>
            <w:r w:rsidRPr="009C48DA">
              <w:rPr>
                <w:rFonts w:cs="Times New Roman"/>
                <w:sz w:val="13"/>
                <w:szCs w:val="13"/>
                <w:lang w:val="en-GB"/>
              </w:rPr>
              <w:t xml:space="preserve">Bridgepoint </w:t>
            </w:r>
            <w:r w:rsidRPr="009C48DA" w:rsidR="00F02DD3">
              <w:rPr>
                <w:rFonts w:cs="Times New Roman"/>
                <w:sz w:val="13"/>
                <w:szCs w:val="13"/>
                <w:lang w:val="en-GB"/>
              </w:rPr>
              <w:t xml:space="preserve">Direct Lending I </w:t>
            </w:r>
          </w:p>
        </w:tc>
        <w:tc>
          <w:tcPr>
            <w:tcW w:w="1050" w:type="dxa"/>
            <w:vAlign w:val="bottom"/>
          </w:tcPr>
          <w:p w:rsidRPr="009C48DA" w:rsidR="00F02DD3" w:rsidP="00143D62" w:rsidRDefault="00F02DD3" w14:paraId="01AE7828" w14:textId="77777777">
            <w:pPr>
              <w:jc w:val="right"/>
              <w:rPr>
                <w:rFonts w:cs="Times New Roman"/>
                <w:sz w:val="13"/>
                <w:szCs w:val="13"/>
                <w:lang w:val="en-GB"/>
              </w:rPr>
            </w:pPr>
            <w:r w:rsidRPr="009C48DA">
              <w:rPr>
                <w:rFonts w:cs="Times New Roman"/>
                <w:sz w:val="13"/>
                <w:szCs w:val="13"/>
                <w:lang w:val="en-GB"/>
              </w:rPr>
              <w:t>€530</w:t>
            </w:r>
          </w:p>
        </w:tc>
        <w:tc>
          <w:tcPr>
            <w:tcW w:w="994" w:type="dxa"/>
            <w:vAlign w:val="bottom"/>
          </w:tcPr>
          <w:p w:rsidRPr="009C48DA" w:rsidR="00F02DD3" w:rsidP="00143D62" w:rsidRDefault="002D32B3" w14:paraId="1D4443F1" w14:textId="425137F8">
            <w:pPr>
              <w:jc w:val="right"/>
              <w:rPr>
                <w:rFonts w:cs="Times New Roman"/>
                <w:sz w:val="13"/>
                <w:szCs w:val="13"/>
                <w:lang w:val="en-GB"/>
              </w:rPr>
            </w:pPr>
            <w:r w:rsidRPr="009C48DA">
              <w:rPr>
                <w:rFonts w:cs="Times New Roman"/>
                <w:color w:val="000000"/>
                <w:sz w:val="13"/>
                <w:szCs w:val="13"/>
                <w:lang w:val="en-GB"/>
              </w:rPr>
              <w:t>1.49</w:t>
            </w:r>
            <w:r w:rsidRPr="009C48DA" w:rsidR="00F02DD3">
              <w:rPr>
                <w:rFonts w:cs="Times New Roman"/>
                <w:color w:val="000000"/>
                <w:sz w:val="13"/>
                <w:szCs w:val="13"/>
                <w:lang w:val="en-GB"/>
              </w:rPr>
              <w:t>x</w:t>
            </w:r>
          </w:p>
        </w:tc>
        <w:tc>
          <w:tcPr>
            <w:tcW w:w="1002" w:type="dxa"/>
            <w:vAlign w:val="bottom"/>
          </w:tcPr>
          <w:p w:rsidRPr="009C48DA" w:rsidR="00F02DD3" w:rsidP="00143D62" w:rsidRDefault="00F02DD3" w14:paraId="184CB84E" w14:textId="77777777">
            <w:pPr>
              <w:jc w:val="right"/>
              <w:rPr>
                <w:rFonts w:cs="Times New Roman"/>
                <w:sz w:val="13"/>
                <w:szCs w:val="13"/>
                <w:lang w:val="en-GB"/>
              </w:rPr>
            </w:pPr>
            <w:r w:rsidRPr="009C48DA">
              <w:rPr>
                <w:rFonts w:cs="Times New Roman"/>
                <w:color w:val="000000"/>
                <w:sz w:val="13"/>
                <w:szCs w:val="13"/>
                <w:lang w:val="en-GB"/>
              </w:rPr>
              <w:t>10%</w:t>
            </w:r>
          </w:p>
        </w:tc>
        <w:tc>
          <w:tcPr>
            <w:tcW w:w="957" w:type="dxa"/>
            <w:vAlign w:val="bottom"/>
          </w:tcPr>
          <w:p w:rsidRPr="009C48DA" w:rsidR="00F02DD3" w:rsidP="00143D62" w:rsidRDefault="00F02DD3" w14:paraId="52475583" w14:textId="77777777">
            <w:pPr>
              <w:jc w:val="right"/>
              <w:rPr>
                <w:rFonts w:cs="Times New Roman"/>
                <w:b/>
                <w:sz w:val="13"/>
                <w:szCs w:val="13"/>
                <w:lang w:val="en-GB"/>
              </w:rPr>
            </w:pPr>
            <w:r w:rsidRPr="009C48DA">
              <w:rPr>
                <w:rFonts w:cs="Times New Roman"/>
                <w:color w:val="000000"/>
                <w:sz w:val="13"/>
                <w:szCs w:val="13"/>
                <w:lang w:val="en-GB"/>
              </w:rPr>
              <w:t>7%</w:t>
            </w:r>
          </w:p>
        </w:tc>
        <w:tc>
          <w:tcPr>
            <w:tcW w:w="1134" w:type="dxa"/>
            <w:vAlign w:val="bottom"/>
          </w:tcPr>
          <w:p w:rsidRPr="009C48DA" w:rsidR="00F02DD3" w:rsidP="00143D62" w:rsidRDefault="00F02DD3" w14:paraId="15A85FE1" w14:textId="77777777">
            <w:pPr>
              <w:jc w:val="right"/>
              <w:rPr>
                <w:rFonts w:cs="Times New Roman"/>
                <w:color w:val="000000"/>
                <w:sz w:val="13"/>
                <w:szCs w:val="13"/>
                <w:lang w:val="en-GB"/>
              </w:rPr>
            </w:pPr>
            <w:r w:rsidRPr="009C48DA">
              <w:rPr>
                <w:sz w:val="13"/>
                <w:szCs w:val="13"/>
                <w:lang w:val="en-GB"/>
              </w:rPr>
              <w:t>n/a</w:t>
            </w:r>
          </w:p>
        </w:tc>
        <w:tc>
          <w:tcPr>
            <w:tcW w:w="1134" w:type="dxa"/>
            <w:vAlign w:val="bottom"/>
          </w:tcPr>
          <w:p w:rsidRPr="009C48DA" w:rsidR="00F02DD3" w:rsidP="00143D62" w:rsidRDefault="00F02DD3" w14:paraId="7772F3AE" w14:textId="77777777">
            <w:pPr>
              <w:jc w:val="right"/>
              <w:rPr>
                <w:rFonts w:cs="Times New Roman"/>
                <w:color w:val="000000"/>
                <w:sz w:val="13"/>
                <w:szCs w:val="13"/>
                <w:lang w:val="en-GB"/>
              </w:rPr>
            </w:pPr>
            <w:r w:rsidRPr="009C48DA">
              <w:rPr>
                <w:sz w:val="13"/>
                <w:szCs w:val="13"/>
                <w:lang w:val="en-GB"/>
              </w:rPr>
              <w:t>2 years</w:t>
            </w:r>
          </w:p>
        </w:tc>
      </w:tr>
      <w:tr w:rsidRPr="009C48DA" w:rsidR="00F02DD3" w:rsidTr="0036034E" w14:paraId="571B4F92" w14:textId="77777777">
        <w:trPr>
          <w:trHeight w:val="74"/>
        </w:trPr>
        <w:tc>
          <w:tcPr>
            <w:tcW w:w="2268" w:type="dxa"/>
            <w:shd w:val="clear" w:color="auto" w:fill="auto"/>
            <w:vAlign w:val="bottom"/>
          </w:tcPr>
          <w:p w:rsidRPr="009C48DA" w:rsidR="00F02DD3" w:rsidP="00143D62" w:rsidRDefault="007E6165" w14:paraId="390D6327" w14:textId="1ACF0D83">
            <w:pPr>
              <w:keepNext/>
              <w:rPr>
                <w:rFonts w:cs="Times New Roman"/>
                <w:sz w:val="13"/>
                <w:szCs w:val="13"/>
                <w:lang w:val="en-GB"/>
              </w:rPr>
            </w:pPr>
            <w:r w:rsidRPr="009C48DA">
              <w:rPr>
                <w:rFonts w:cs="Times New Roman"/>
                <w:sz w:val="13"/>
                <w:szCs w:val="13"/>
                <w:lang w:val="en-GB"/>
              </w:rPr>
              <w:t xml:space="preserve">Bridgepoint </w:t>
            </w:r>
            <w:r w:rsidRPr="009C48DA" w:rsidR="00F02DD3">
              <w:rPr>
                <w:rFonts w:cs="Times New Roman"/>
                <w:sz w:val="13"/>
                <w:szCs w:val="13"/>
                <w:lang w:val="en-GB"/>
              </w:rPr>
              <w:t xml:space="preserve">Direct Lending II </w:t>
            </w:r>
          </w:p>
        </w:tc>
        <w:tc>
          <w:tcPr>
            <w:tcW w:w="1050" w:type="dxa"/>
            <w:vAlign w:val="bottom"/>
          </w:tcPr>
          <w:p w:rsidRPr="009C48DA" w:rsidR="00F02DD3" w:rsidP="00143D62" w:rsidRDefault="00F02DD3" w14:paraId="51A19959" w14:textId="77777777">
            <w:pPr>
              <w:jc w:val="right"/>
              <w:rPr>
                <w:rFonts w:cs="Times New Roman"/>
                <w:sz w:val="13"/>
                <w:szCs w:val="13"/>
                <w:lang w:val="en-GB"/>
              </w:rPr>
            </w:pPr>
            <w:r w:rsidRPr="009C48DA">
              <w:rPr>
                <w:rFonts w:cs="Times New Roman"/>
                <w:sz w:val="13"/>
                <w:szCs w:val="13"/>
                <w:lang w:val="en-GB"/>
              </w:rPr>
              <w:t>€2,256</w:t>
            </w:r>
          </w:p>
        </w:tc>
        <w:tc>
          <w:tcPr>
            <w:tcW w:w="994" w:type="dxa"/>
            <w:vAlign w:val="bottom"/>
          </w:tcPr>
          <w:p w:rsidRPr="009C48DA" w:rsidR="00F02DD3" w:rsidP="000947C9" w:rsidRDefault="002D32B3" w14:paraId="3F84BE6E" w14:textId="78B746C2">
            <w:pPr>
              <w:jc w:val="right"/>
              <w:rPr>
                <w:rFonts w:cs="Times New Roman"/>
                <w:sz w:val="13"/>
                <w:szCs w:val="13"/>
                <w:lang w:val="en-GB"/>
              </w:rPr>
            </w:pPr>
            <w:r w:rsidRPr="009C48DA">
              <w:rPr>
                <w:rFonts w:cs="Times New Roman"/>
                <w:color w:val="000000"/>
                <w:sz w:val="13"/>
                <w:szCs w:val="13"/>
                <w:lang w:val="en-GB"/>
              </w:rPr>
              <w:t>1.22</w:t>
            </w:r>
            <w:r w:rsidRPr="009C48DA" w:rsidR="00F02DD3">
              <w:rPr>
                <w:rFonts w:cs="Times New Roman"/>
                <w:color w:val="000000"/>
                <w:sz w:val="13"/>
                <w:szCs w:val="13"/>
                <w:lang w:val="en-GB"/>
              </w:rPr>
              <w:t>x</w:t>
            </w:r>
            <w:r w:rsidRPr="009C48DA" w:rsidR="000947C9">
              <w:rPr>
                <w:rFonts w:cs="Times New Roman"/>
                <w:color w:val="000000"/>
                <w:sz w:val="13"/>
                <w:szCs w:val="13"/>
                <w:lang w:val="en-GB"/>
              </w:rPr>
              <w:t xml:space="preserve"> / 1.18x </w:t>
            </w:r>
          </w:p>
        </w:tc>
        <w:tc>
          <w:tcPr>
            <w:tcW w:w="1002" w:type="dxa"/>
            <w:vAlign w:val="bottom"/>
          </w:tcPr>
          <w:p w:rsidRPr="009C48DA" w:rsidR="00F02DD3" w:rsidP="000947C9" w:rsidRDefault="00F02DD3" w14:paraId="6DB79E42" w14:textId="62E59F96">
            <w:pPr>
              <w:jc w:val="right"/>
              <w:rPr>
                <w:rFonts w:cs="Times New Roman"/>
                <w:sz w:val="13"/>
                <w:szCs w:val="13"/>
                <w:lang w:val="en-GB"/>
              </w:rPr>
            </w:pPr>
            <w:r w:rsidRPr="009C48DA">
              <w:rPr>
                <w:rFonts w:cs="Times New Roman"/>
                <w:color w:val="000000"/>
                <w:sz w:val="13"/>
                <w:szCs w:val="13"/>
                <w:lang w:val="en-GB"/>
              </w:rPr>
              <w:t>10%</w:t>
            </w:r>
            <w:r w:rsidRPr="009C48DA" w:rsidR="000947C9">
              <w:rPr>
                <w:rFonts w:cs="Times New Roman"/>
                <w:color w:val="000000"/>
                <w:sz w:val="13"/>
                <w:szCs w:val="13"/>
                <w:lang w:val="en-GB"/>
              </w:rPr>
              <w:t xml:space="preserve"> / 11% </w:t>
            </w:r>
          </w:p>
        </w:tc>
        <w:tc>
          <w:tcPr>
            <w:tcW w:w="957" w:type="dxa"/>
            <w:vAlign w:val="bottom"/>
          </w:tcPr>
          <w:p w:rsidRPr="009C48DA" w:rsidR="00F02DD3" w:rsidP="000947C9" w:rsidRDefault="00F02DD3" w14:paraId="383F4336" w14:textId="386EDD1D">
            <w:pPr>
              <w:jc w:val="right"/>
              <w:rPr>
                <w:rFonts w:cs="Times New Roman"/>
                <w:b/>
                <w:sz w:val="13"/>
                <w:szCs w:val="13"/>
                <w:lang w:val="en-GB"/>
              </w:rPr>
            </w:pPr>
            <w:r w:rsidRPr="009C48DA">
              <w:rPr>
                <w:rFonts w:cs="Times New Roman"/>
                <w:color w:val="000000"/>
                <w:sz w:val="13"/>
                <w:szCs w:val="13"/>
                <w:lang w:val="en-GB"/>
              </w:rPr>
              <w:t>10%</w:t>
            </w:r>
            <w:r w:rsidRPr="009C48DA" w:rsidR="000947C9">
              <w:rPr>
                <w:rFonts w:cs="Times New Roman"/>
                <w:color w:val="000000"/>
                <w:sz w:val="13"/>
                <w:szCs w:val="13"/>
                <w:lang w:val="en-GB"/>
              </w:rPr>
              <w:t xml:space="preserve"> / 12% </w:t>
            </w:r>
          </w:p>
        </w:tc>
        <w:tc>
          <w:tcPr>
            <w:tcW w:w="1134" w:type="dxa"/>
            <w:vAlign w:val="bottom"/>
          </w:tcPr>
          <w:p w:rsidRPr="009C48DA" w:rsidR="00F02DD3" w:rsidP="00143D62" w:rsidRDefault="00F02DD3" w14:paraId="6E02448F" w14:textId="77777777">
            <w:pPr>
              <w:jc w:val="right"/>
              <w:rPr>
                <w:rFonts w:cs="Times New Roman"/>
                <w:color w:val="000000"/>
                <w:sz w:val="13"/>
                <w:szCs w:val="13"/>
                <w:lang w:val="en-GB"/>
              </w:rPr>
            </w:pPr>
            <w:r w:rsidRPr="009C48DA">
              <w:rPr>
                <w:sz w:val="13"/>
                <w:szCs w:val="13"/>
                <w:lang w:val="en-GB"/>
              </w:rPr>
              <w:t>approx. 1.6 years</w:t>
            </w:r>
          </w:p>
        </w:tc>
        <w:tc>
          <w:tcPr>
            <w:tcW w:w="1134" w:type="dxa"/>
            <w:vAlign w:val="bottom"/>
          </w:tcPr>
          <w:p w:rsidRPr="009C48DA" w:rsidR="00F02DD3" w:rsidP="00143D62" w:rsidRDefault="00F02DD3" w14:paraId="680D08E6" w14:textId="77777777">
            <w:pPr>
              <w:jc w:val="right"/>
              <w:rPr>
                <w:rFonts w:cs="Times New Roman"/>
                <w:color w:val="000000"/>
                <w:sz w:val="13"/>
                <w:szCs w:val="13"/>
                <w:lang w:val="en-GB"/>
              </w:rPr>
            </w:pPr>
            <w:r w:rsidRPr="009C48DA">
              <w:rPr>
                <w:sz w:val="13"/>
                <w:szCs w:val="13"/>
                <w:lang w:val="en-GB"/>
              </w:rPr>
              <w:t>5 years</w:t>
            </w:r>
          </w:p>
        </w:tc>
      </w:tr>
    </w:tbl>
    <w:p w:rsidRPr="009C48DA" w:rsidR="009B4AE3" w:rsidP="009B4AE3" w:rsidRDefault="009B4AE3" w14:paraId="4EB9EC10" w14:textId="5C9C38E7">
      <w:pPr>
        <w:pStyle w:val="TableNotesLine"/>
        <w:ind w:left="0"/>
        <w:rPr>
          <w:lang w:val="en-GB"/>
        </w:rPr>
      </w:pPr>
    </w:p>
    <w:p w:rsidRPr="009C48DA" w:rsidR="009B4AE3" w:rsidP="00945C37" w:rsidRDefault="009B4AE3" w14:paraId="4DA1EF4A" w14:textId="45C832D0">
      <w:pPr>
        <w:pStyle w:val="TableNotes"/>
        <w:ind w:left="360"/>
        <w:jc w:val="both"/>
        <w:rPr>
          <w:lang w:val="en-GB"/>
        </w:rPr>
      </w:pPr>
      <w:r w:rsidRPr="009C48DA">
        <w:rPr>
          <w:lang w:val="en-GB"/>
        </w:rPr>
        <w:t>(1)</w:t>
      </w:r>
      <w:r w:rsidRPr="009C48DA">
        <w:rPr>
          <w:lang w:val="en-GB"/>
        </w:rPr>
        <w:tab/>
        <w:t xml:space="preserve">The table shows all currently active private credit funds in the </w:t>
      </w:r>
      <w:r w:rsidRPr="009C48DA" w:rsidR="007E6165">
        <w:rPr>
          <w:lang w:val="en-GB"/>
        </w:rPr>
        <w:t xml:space="preserve">Bridgepoint </w:t>
      </w:r>
      <w:r w:rsidRPr="009C48DA">
        <w:rPr>
          <w:lang w:val="en-GB"/>
        </w:rPr>
        <w:t xml:space="preserve">Credit Opportunities and </w:t>
      </w:r>
      <w:r w:rsidRPr="009C48DA" w:rsidR="007E6165">
        <w:rPr>
          <w:lang w:val="en-GB"/>
        </w:rPr>
        <w:t xml:space="preserve">Bridgepoint </w:t>
      </w:r>
      <w:r w:rsidRPr="009C48DA">
        <w:rPr>
          <w:lang w:val="en-GB"/>
        </w:rPr>
        <w:t xml:space="preserve">Direct Lending strategies. The table does not include the </w:t>
      </w:r>
      <w:r w:rsidRPr="009C48DA" w:rsidR="007E6165">
        <w:rPr>
          <w:lang w:val="en-GB"/>
        </w:rPr>
        <w:t xml:space="preserve">Bridgepoint </w:t>
      </w:r>
      <w:r w:rsidRPr="009C48DA">
        <w:rPr>
          <w:lang w:val="en-GB"/>
        </w:rPr>
        <w:t xml:space="preserve">Syndicated Debt funds, the </w:t>
      </w:r>
      <w:r w:rsidRPr="009C48DA" w:rsidR="007E6165">
        <w:rPr>
          <w:lang w:val="en-GB"/>
        </w:rPr>
        <w:t xml:space="preserve">Bridgepoint </w:t>
      </w:r>
      <w:r w:rsidRPr="009C48DA">
        <w:rPr>
          <w:lang w:val="en-GB"/>
        </w:rPr>
        <w:t>CLOs and certain separately managed accounts. See “</w:t>
      </w:r>
      <w:r w:rsidRPr="009C48DA">
        <w:rPr>
          <w:i/>
          <w:lang w:val="en-GB"/>
        </w:rPr>
        <w:t>Deep dive by investment strategy</w:t>
      </w:r>
      <w:r w:rsidRPr="009C48DA">
        <w:rPr>
          <w:lang w:val="en-GB"/>
        </w:rPr>
        <w:t xml:space="preserve">” in </w:t>
      </w:r>
      <w:r w:rsidRPr="009C48DA">
        <w:rPr>
          <w:lang w:val="en-GB"/>
        </w:rPr>
        <w:fldChar w:fldCharType="begin"/>
      </w:r>
      <w:r w:rsidRPr="009C48DA">
        <w:rPr>
          <w:lang w:val="en-GB"/>
        </w:rPr>
        <w:instrText xml:space="preserve"> REF _Ref74466404 \r \h </w:instrText>
      </w:r>
      <w:r w:rsidRPr="009C48DA" w:rsidR="00945C37">
        <w:rPr>
          <w:lang w:val="en-GB"/>
        </w:rPr>
        <w:instrText xml:space="preserve"> \* MERGEFORMAT </w:instrText>
      </w:r>
      <w:r w:rsidRPr="009C48DA">
        <w:rPr>
          <w:lang w:val="en-GB"/>
        </w:rPr>
      </w:r>
      <w:r w:rsidRPr="009C48DA">
        <w:rPr>
          <w:lang w:val="en-GB"/>
        </w:rPr>
        <w:fldChar w:fldCharType="separate"/>
      </w:r>
      <w:r w:rsidR="007C3D19">
        <w:rPr>
          <w:lang w:val="en-GB"/>
        </w:rPr>
        <w:t>Part V</w:t>
      </w:r>
      <w:r w:rsidRPr="009C48DA">
        <w:rPr>
          <w:lang w:val="en-GB"/>
        </w:rPr>
        <w:fldChar w:fldCharType="end"/>
      </w:r>
      <w:r w:rsidRPr="009C48DA">
        <w:rPr>
          <w:i/>
          <w:lang w:val="en-GB"/>
        </w:rPr>
        <w:t xml:space="preserve"> </w:t>
      </w:r>
      <w:r w:rsidRPr="009C48DA" w:rsidR="003E24E1">
        <w:rPr>
          <w:i/>
          <w:lang w:val="en-GB"/>
        </w:rPr>
        <w:t>(</w:t>
      </w:r>
      <w:r w:rsidRPr="009C48DA" w:rsidR="003E24E1">
        <w:rPr>
          <w:i/>
          <w:lang w:val="en-GB"/>
        </w:rPr>
      </w:r>
      <w:r w:rsidRPr="007C3D19" w:rsidR="007C3D19">
        <w:rPr>
          <w:i/>
          <w:lang w:val="en-GB"/>
        </w:rPr>
        <w:t>The Business</w:t>
      </w:r>
      <w:r w:rsidRPr="009C48DA" w:rsidR="003E24E1">
        <w:rPr>
          <w:i/>
          <w:lang w:val="en-GB"/>
        </w:rPr>
        <w:t>)</w:t>
      </w:r>
      <w:r w:rsidRPr="009C48DA" w:rsidR="003E24E1">
        <w:rPr>
          <w:lang w:val="en-GB"/>
        </w:rPr>
        <w:t xml:space="preserve"> </w:t>
      </w:r>
      <w:r w:rsidRPr="009C48DA">
        <w:rPr>
          <w:lang w:val="en-GB"/>
        </w:rPr>
        <w:t xml:space="preserve">for a discussion of the investment strategy of, and the key sectors covered by, each of the </w:t>
      </w:r>
      <w:r w:rsidRPr="009C48DA" w:rsidR="007E6165">
        <w:rPr>
          <w:lang w:val="en-GB"/>
        </w:rPr>
        <w:t xml:space="preserve">Bridgepoint </w:t>
      </w:r>
      <w:r w:rsidRPr="009C48DA">
        <w:rPr>
          <w:lang w:val="en-GB"/>
        </w:rPr>
        <w:t>Funds.</w:t>
      </w:r>
    </w:p>
    <w:p w:rsidRPr="009C48DA" w:rsidR="009B4AE3" w:rsidP="00945C37" w:rsidRDefault="009B4AE3" w14:paraId="5865BCAD" w14:textId="0999AE00">
      <w:pPr>
        <w:pStyle w:val="TableNotes"/>
        <w:ind w:left="360"/>
        <w:jc w:val="both"/>
        <w:rPr>
          <w:lang w:val="en-GB"/>
        </w:rPr>
      </w:pPr>
      <w:r w:rsidRPr="009C48DA">
        <w:rPr>
          <w:lang w:val="en-GB"/>
        </w:rPr>
        <w:t>(2)</w:t>
      </w:r>
      <w:r w:rsidRPr="009C48DA">
        <w:rPr>
          <w:lang w:val="en-GB"/>
        </w:rPr>
        <w:tab/>
        <w:t>Gross MOIC represents the multiple on invested capital. It is calculated by dividing the proceeds received and remaining unrealised fair value of an investment by the initial amount invested, prior to fees and expenses. Gross MOIC is used to evaluate the return on an investment in relation to the initial amount invested.</w:t>
      </w:r>
    </w:p>
    <w:p w:rsidRPr="009C48DA" w:rsidR="009B4AE3" w:rsidP="00945C37" w:rsidRDefault="009B4AE3" w14:paraId="52042E09" w14:textId="2BDCBADC">
      <w:pPr>
        <w:pStyle w:val="TableNotes"/>
        <w:ind w:left="360"/>
        <w:jc w:val="both"/>
        <w:rPr>
          <w:lang w:val="en-GB"/>
        </w:rPr>
      </w:pPr>
      <w:r w:rsidRPr="009C48DA">
        <w:rPr>
          <w:lang w:val="en-GB"/>
        </w:rPr>
        <w:lastRenderedPageBreak/>
        <w:t>(</w:t>
      </w:r>
      <w:r w:rsidRPr="009C48DA" w:rsidR="000737A5">
        <w:rPr>
          <w:lang w:val="en-GB"/>
        </w:rPr>
        <w:t>3</w:t>
      </w:r>
      <w:r w:rsidRPr="009C48DA">
        <w:rPr>
          <w:lang w:val="en-GB"/>
        </w:rPr>
        <w:t>)</w:t>
      </w:r>
      <w:r w:rsidRPr="009C48DA">
        <w:rPr>
          <w:lang w:val="en-GB"/>
        </w:rPr>
        <w:tab/>
        <w:t xml:space="preserve">Some of </w:t>
      </w:r>
      <w:r w:rsidRPr="009C48DA" w:rsidR="006D5BFE">
        <w:rPr>
          <w:lang w:val="en-GB"/>
        </w:rPr>
        <w:t>Bridgepoint</w:t>
      </w:r>
      <w:r w:rsidRPr="009C48DA">
        <w:rPr>
          <w:lang w:val="en-GB"/>
        </w:rPr>
        <w:t xml:space="preserve">’s private credit fund have a levered and unlevered sleeve. The levered sleeve of </w:t>
      </w:r>
      <w:r w:rsidRPr="009C48DA" w:rsidR="006D5BFE">
        <w:rPr>
          <w:lang w:val="en-GB"/>
        </w:rPr>
        <w:t>Bridgepoint</w:t>
      </w:r>
      <w:r w:rsidRPr="009C48DA">
        <w:rPr>
          <w:lang w:val="en-GB"/>
        </w:rPr>
        <w:t>’s private credit fund entails the leveraging of that sleeve of the fund with debt, while this is not the case for the unlevered sleeve.</w:t>
      </w:r>
      <w:r w:rsidRPr="009C48DA" w:rsidR="000947C9">
        <w:rPr>
          <w:lang w:val="en-GB"/>
        </w:rPr>
        <w:t xml:space="preserve"> If only one amount is shown, it is on an unlevered basis.</w:t>
      </w:r>
    </w:p>
    <w:p w:rsidRPr="009C48DA" w:rsidR="009B4AE3" w:rsidP="00945C37" w:rsidRDefault="009B4AE3" w14:paraId="0566EC69" w14:textId="77777777">
      <w:pPr>
        <w:pStyle w:val="TableNotes"/>
        <w:ind w:left="360"/>
        <w:jc w:val="both"/>
        <w:rPr>
          <w:lang w:val="en-GB"/>
        </w:rPr>
      </w:pPr>
      <w:r w:rsidRPr="009C48DA">
        <w:rPr>
          <w:lang w:val="en-GB"/>
        </w:rPr>
        <w:t>(4)</w:t>
      </w:r>
      <w:r w:rsidRPr="009C48DA">
        <w:rPr>
          <w:lang w:val="en-GB"/>
        </w:rPr>
        <w:tab/>
        <w:t>IRR is the discount rate that makes the net present value of all cash flows from an investment equal to zero. Gross IRR is before fees, expenses after carried interest. Net IRR is net of fees and expenses and after carried interest. IRR is used to evaluate the annual return on an investment that fund investors receive.</w:t>
      </w:r>
    </w:p>
    <w:p w:rsidRPr="009C48DA" w:rsidR="009B4AE3" w:rsidP="004273B5" w:rsidRDefault="009B4AE3" w14:paraId="58882327" w14:textId="525460D3">
      <w:pPr>
        <w:pStyle w:val="TableNotes"/>
        <w:ind w:left="360"/>
        <w:jc w:val="both"/>
        <w:rPr>
          <w:lang w:val="en-GB"/>
        </w:rPr>
      </w:pPr>
      <w:r w:rsidRPr="009C48DA">
        <w:rPr>
          <w:lang w:val="en-GB"/>
        </w:rPr>
        <w:t>(5)</w:t>
      </w:r>
      <w:r w:rsidRPr="009C48DA">
        <w:rPr>
          <w:lang w:val="en-GB"/>
        </w:rPr>
        <w:tab/>
        <w:t>The remaining investment period is based on the maximum period under a fund’s governing documents, but may be shorter depending on the fund</w:t>
      </w:r>
      <w:r w:rsidRPr="009C48DA" w:rsidR="000737A5">
        <w:rPr>
          <w:lang w:val="en-GB"/>
        </w:rPr>
        <w:t>’</w:t>
      </w:r>
      <w:r w:rsidRPr="009C48DA">
        <w:rPr>
          <w:lang w:val="en-GB"/>
        </w:rPr>
        <w:t xml:space="preserve">s investment pace. </w:t>
      </w:r>
      <w:r w:rsidRPr="009C48DA" w:rsidR="007E6165">
        <w:rPr>
          <w:lang w:val="en-GB"/>
        </w:rPr>
        <w:t xml:space="preserve">Bridgepoint </w:t>
      </w:r>
      <w:r w:rsidRPr="009C48DA">
        <w:rPr>
          <w:lang w:val="en-GB"/>
        </w:rPr>
        <w:t>Funds marked “n/a” have completed their investment period. During the investment period, undrawn capital commitments of the Group may become due. See “</w:t>
      </w:r>
      <w:r w:rsidRPr="009C48DA">
        <w:rPr>
          <w:i/>
          <w:lang w:val="en-GB"/>
        </w:rPr>
        <w:t>Financial Risks—The Group has significant liquidity requirements and adverse market and economic conditions may adversely affect its sources of liquidity, which could adversely affect its business operations in the future</w:t>
      </w:r>
      <w:r w:rsidRPr="009C48DA">
        <w:rPr>
          <w:lang w:val="en-GB"/>
        </w:rPr>
        <w:t>” in</w:t>
      </w:r>
      <w:r w:rsidRPr="009C48DA">
        <w:rPr>
          <w:i/>
          <w:lang w:val="en-GB"/>
        </w:rPr>
        <w:t> </w:t>
      </w:r>
      <w:r w:rsidRPr="009C48DA" w:rsidR="002A042A">
        <w:rPr>
          <w:rFonts w:eastAsia="Calibri" w:cs="Times New Roman"/>
          <w:lang w:val="en-GB"/>
        </w:rPr>
      </w:r>
      <w:r w:rsidR="007C3D19">
        <w:rPr>
          <w:rFonts w:eastAsia="Calibri" w:cs="Times New Roman"/>
          <w:lang w:val="en-GB"/>
        </w:rPr>
        <w:t>Part I</w:t>
      </w:r>
      <w:r w:rsidRPr="009C48DA" w:rsidR="002A042A">
        <w:rPr>
          <w:rFonts w:eastAsia="Calibri" w:cs="Times New Roman"/>
          <w:i/>
          <w:lang w:val="en-GB"/>
        </w:rPr>
        <w:t xml:space="preserve"> (</w:t>
      </w:r>
      <w:r w:rsidRPr="009C48DA" w:rsidR="004273B5">
        <w:rPr>
          <w:rFonts w:eastAsia="Calibri" w:cs="Arial"/>
          <w:i/>
          <w:lang w:val="en-GB"/>
        </w:rPr>
        <w:fldChar w:fldCharType="begin"/>
      </w:r>
      <w:r w:rsidRPr="009C48DA" w:rsidR="004273B5">
        <w:rPr>
          <w:rFonts w:eastAsia="Calibri" w:cs="Times New Roman"/>
          <w:i/>
          <w:lang w:val="en-GB"/>
        </w:rPr>
        <w:instrText xml:space="preserve"> REF _Ref75190583 \h </w:instrText>
      </w:r>
      <w:r w:rsidRPr="009C48DA" w:rsidR="004273B5">
        <w:rPr>
          <w:rFonts w:eastAsia="Calibri" w:cs="Arial"/>
          <w:i/>
          <w:lang w:val="en-GB"/>
        </w:rPr>
        <w:instrText xml:space="preserve"> \* MERGEFORMAT </w:instrText>
      </w:r>
      <w:r w:rsidRPr="009C48DA" w:rsidR="004273B5">
        <w:rPr>
          <w:rFonts w:eastAsia="Calibri" w:cs="Arial"/>
          <w:i/>
          <w:lang w:val="en-GB"/>
        </w:rPr>
      </w:r>
      <w:r w:rsidRPr="009C48DA" w:rsidR="004273B5">
        <w:rPr>
          <w:rFonts w:eastAsia="Calibri" w:cs="Arial"/>
          <w:i/>
          <w:lang w:val="en-GB"/>
        </w:rPr>
        <w:fldChar w:fldCharType="separate"/>
      </w:r>
      <w:r w:rsidRPr="007C3D19" w:rsidR="007C3D19">
        <w:rPr>
          <w:i/>
          <w:lang w:val="en-GB"/>
        </w:rPr>
        <w:t>Risk Factors</w:t>
      </w:r>
      <w:r w:rsidRPr="009C48DA" w:rsidR="004273B5">
        <w:rPr>
          <w:rFonts w:eastAsia="Calibri" w:cs="Arial"/>
          <w:i/>
          <w:lang w:val="en-GB"/>
        </w:rPr>
        <w:fldChar w:fldCharType="end"/>
      </w:r>
      <w:r w:rsidRPr="009C48DA" w:rsidR="002A042A">
        <w:rPr>
          <w:rFonts w:eastAsia="Calibri" w:cs="Times New Roman"/>
          <w:i/>
          <w:lang w:val="en-GB"/>
        </w:rPr>
        <w:t>).</w:t>
      </w:r>
    </w:p>
    <w:p w:rsidRPr="009C48DA" w:rsidR="009B4AE3" w:rsidP="00945C37" w:rsidRDefault="009B4AE3" w14:paraId="79B9730B" w14:textId="77777777">
      <w:pPr>
        <w:pStyle w:val="TableNotes"/>
        <w:ind w:left="360"/>
        <w:jc w:val="both"/>
        <w:rPr>
          <w:lang w:val="en-GB"/>
        </w:rPr>
      </w:pPr>
      <w:r w:rsidRPr="009C48DA">
        <w:rPr>
          <w:lang w:val="en-GB"/>
        </w:rPr>
        <w:t>(6)</w:t>
      </w:r>
      <w:r w:rsidRPr="009C48DA">
        <w:rPr>
          <w:lang w:val="en-GB"/>
        </w:rPr>
        <w:tab/>
        <w:t>This represents the time to the end of the traditional fund life. However the funds are able to continue operating after this end date through either extensions or if the manager decides to move into the “liquidation phase,” which is a phase where no further business is conducted except for such actions as are necessary for the winding up of the affairs of the fund.</w:t>
      </w:r>
    </w:p>
    <w:p w:rsidRPr="009C48DA" w:rsidR="009B4AE3" w:rsidP="00945C37" w:rsidRDefault="009B4AE3" w14:paraId="5A7F7211" w14:textId="5C7B2A4C">
      <w:pPr>
        <w:pStyle w:val="TableNotes"/>
        <w:ind w:left="360"/>
        <w:jc w:val="both"/>
        <w:rPr>
          <w:lang w:val="en-GB"/>
        </w:rPr>
      </w:pPr>
      <w:r w:rsidRPr="009C48DA">
        <w:rPr>
          <w:lang w:val="en-GB"/>
        </w:rPr>
        <w:t>(7)</w:t>
      </w:r>
      <w:r w:rsidRPr="009C48DA">
        <w:rPr>
          <w:lang w:val="en-GB"/>
        </w:rPr>
        <w:tab/>
        <w:t xml:space="preserve">The </w:t>
      </w:r>
      <w:r w:rsidRPr="009C48DA" w:rsidR="007E6165">
        <w:rPr>
          <w:lang w:val="en-GB"/>
        </w:rPr>
        <w:t xml:space="preserve">Bridgepoint </w:t>
      </w:r>
      <w:r w:rsidRPr="009C48DA">
        <w:rPr>
          <w:lang w:val="en-GB"/>
        </w:rPr>
        <w:t xml:space="preserve">Credit I fund and the </w:t>
      </w:r>
      <w:r w:rsidRPr="009C48DA" w:rsidR="007E6165">
        <w:rPr>
          <w:lang w:val="en-GB"/>
        </w:rPr>
        <w:t xml:space="preserve">Bridgepoint </w:t>
      </w:r>
      <w:r w:rsidRPr="009C48DA">
        <w:rPr>
          <w:lang w:val="en-GB"/>
        </w:rPr>
        <w:t xml:space="preserve">Credit II fund are part of the </w:t>
      </w:r>
      <w:r w:rsidRPr="009C48DA" w:rsidR="007E6165">
        <w:rPr>
          <w:lang w:val="en-GB"/>
        </w:rPr>
        <w:t xml:space="preserve">Bridgepoint </w:t>
      </w:r>
      <w:r w:rsidRPr="009C48DA">
        <w:rPr>
          <w:lang w:val="en-GB"/>
        </w:rPr>
        <w:t>Direct Lending investment strategy.</w:t>
      </w:r>
    </w:p>
    <w:p w:rsidRPr="009C48DA" w:rsidR="00120027" w:rsidP="00945C37" w:rsidRDefault="00120027" w14:paraId="7C128D62" w14:textId="77777777">
      <w:pPr>
        <w:pStyle w:val="TableNotes"/>
        <w:ind w:left="360"/>
        <w:jc w:val="both"/>
        <w:rPr>
          <w:lang w:val="en-GB"/>
        </w:rPr>
      </w:pPr>
    </w:p>
    <w:p w:rsidRPr="009C48DA" w:rsidR="00B51E80" w:rsidP="004273B5" w:rsidRDefault="004460D9" w14:paraId="6A02A7AB" w14:textId="42546F2F">
      <w:pPr>
        <w:pStyle w:val="BodyText2SglJ"/>
        <w:rPr>
          <w:rFonts w:eastAsia="Calibri" w:cs="Arial"/>
          <w:color w:val="000000"/>
          <w:szCs w:val="20"/>
          <w:lang w:val="en-GB"/>
        </w:rPr>
      </w:pPr>
      <w:r w:rsidRPr="009C48DA">
        <w:rPr>
          <w:rFonts w:eastAsia="Calibri" w:cs="Arial"/>
          <w:szCs w:val="20"/>
          <w:lang w:val="en-GB"/>
        </w:rPr>
        <w:t xml:space="preserve">Any </w:t>
      </w:r>
      <w:r w:rsidRPr="009C48DA" w:rsidR="00B51E80">
        <w:rPr>
          <w:rFonts w:eastAsia="Calibri" w:cs="Arial"/>
          <w:szCs w:val="20"/>
          <w:lang w:val="en-GB"/>
        </w:rPr>
        <w:t xml:space="preserve">targets set out </w:t>
      </w:r>
      <w:r w:rsidRPr="009C48DA">
        <w:rPr>
          <w:rFonts w:eastAsia="Calibri" w:cs="Arial"/>
          <w:szCs w:val="20"/>
          <w:lang w:val="en-GB"/>
        </w:rPr>
        <w:t xml:space="preserve">in the tables </w:t>
      </w:r>
      <w:r w:rsidRPr="009C48DA" w:rsidR="00B51E80">
        <w:rPr>
          <w:rFonts w:eastAsia="Calibri" w:cs="Arial"/>
          <w:szCs w:val="20"/>
          <w:lang w:val="en-GB"/>
        </w:rPr>
        <w:t xml:space="preserve">above represent the Group’s expectations as of the date of this Registration Document on the basis of the information that is available as of 31 March 2021. Certain of these estimates and targets constitute forward-looking statements (see </w:t>
      </w:r>
      <w:r w:rsidRPr="009C48DA" w:rsidR="00B8246C">
        <w:rPr>
          <w:rFonts w:eastAsia="Calibri" w:cs="Arial"/>
          <w:szCs w:val="20"/>
          <w:lang w:val="en-GB"/>
        </w:rPr>
        <w:t>“</w:t>
      </w:r>
      <w:r w:rsidRPr="009C48DA" w:rsidR="00B8246C">
        <w:rPr>
          <w:i/>
          <w:szCs w:val="20"/>
          <w:lang w:val="en-GB"/>
        </w:rPr>
        <w:t xml:space="preserve">Forward-looking Statements” </w:t>
      </w:r>
      <w:r w:rsidRPr="009C48DA" w:rsidR="00B8246C">
        <w:rPr>
          <w:szCs w:val="20"/>
          <w:lang w:val="en-GB"/>
        </w:rPr>
        <w:t xml:space="preserve">in </w:t>
      </w:r>
      <w:r w:rsidRPr="009C48DA" w:rsidR="00B51E80">
        <w:rPr>
          <w:i/>
          <w:szCs w:val="20"/>
          <w:lang w:val="en-GB"/>
        </w:rPr>
        <w:fldChar w:fldCharType="begin"/>
      </w:r>
      <w:r w:rsidRPr="009C48DA" w:rsidR="00B51E80">
        <w:rPr>
          <w:i/>
          <w:szCs w:val="20"/>
          <w:lang w:val="en-GB"/>
        </w:rPr>
        <w:instrText xml:space="preserve"> REF _Ref71142523 \n \h  \* MERGEFORMAT </w:instrText>
      </w:r>
      <w:r w:rsidRPr="009C48DA" w:rsidR="00B51E80">
        <w:rPr>
          <w:i/>
          <w:szCs w:val="20"/>
          <w:lang w:val="en-GB"/>
        </w:rPr>
      </w:r>
      <w:r w:rsidRPr="009C48DA" w:rsidR="00B51E80">
        <w:rPr>
          <w:i/>
          <w:szCs w:val="20"/>
          <w:lang w:val="en-GB"/>
        </w:rPr>
        <w:fldChar w:fldCharType="separate"/>
      </w:r>
      <w:r w:rsidR="007C3D19">
        <w:rPr>
          <w:i/>
          <w:szCs w:val="20"/>
          <w:lang w:val="en-GB"/>
        </w:rPr>
        <w:t>Part II</w:t>
      </w:r>
      <w:r w:rsidRPr="009C48DA" w:rsidR="00B51E80">
        <w:rPr>
          <w:i/>
          <w:szCs w:val="20"/>
          <w:lang w:val="en-GB"/>
        </w:rPr>
        <w:fldChar w:fldCharType="end"/>
      </w:r>
      <w:r w:rsidRPr="009C48DA" w:rsidR="00B51E80">
        <w:rPr>
          <w:i/>
          <w:szCs w:val="20"/>
          <w:lang w:val="en-GB"/>
        </w:rPr>
        <w:t xml:space="preserve"> (</w:t>
      </w:r>
      <w:r w:rsidRPr="009C48DA" w:rsidR="00A32B42">
        <w:rPr>
          <w:i/>
          <w:szCs w:val="20"/>
          <w:lang w:val="en-GB"/>
        </w:rPr>
      </w:r>
      <w:r w:rsidRPr="007C3D19" w:rsidR="007C3D19">
        <w:rPr>
          <w:i/>
          <w:lang w:val="en-GB"/>
        </w:rPr>
        <w:t>Presentation Of Financial And Other Information</w:t>
      </w:r>
      <w:r w:rsidRPr="009C48DA" w:rsidR="00B51E80">
        <w:rPr>
          <w:i/>
          <w:szCs w:val="20"/>
          <w:lang w:val="en-GB"/>
        </w:rPr>
        <w:t>)</w:t>
      </w:r>
      <w:r w:rsidRPr="009C48DA" w:rsidR="00B8246C">
        <w:rPr>
          <w:i/>
          <w:szCs w:val="20"/>
          <w:lang w:val="en-GB"/>
        </w:rPr>
        <w:t>)</w:t>
      </w:r>
      <w:r w:rsidRPr="009C48DA" w:rsidR="00B51E80">
        <w:rPr>
          <w:rFonts w:eastAsia="Calibri" w:cs="Arial"/>
          <w:szCs w:val="20"/>
          <w:lang w:val="en-GB"/>
        </w:rPr>
        <w:t xml:space="preserve"> and are subject to change, including as a result of the factors described in the section “</w:t>
      </w:r>
      <w:r w:rsidRPr="009C48DA" w:rsidR="004273B5">
        <w:rPr>
          <w:i/>
          <w:lang w:val="en-GB"/>
        </w:rPr>
        <w:fldChar w:fldCharType="begin"/>
      </w:r>
      <w:r w:rsidRPr="009C48DA" w:rsidR="004273B5">
        <w:rPr>
          <w:rFonts w:eastAsia="Calibri" w:cs="Arial"/>
          <w:i/>
          <w:szCs w:val="20"/>
          <w:lang w:val="en-GB"/>
        </w:rPr>
        <w:instrText xml:space="preserve"> REF _Ref75190583 \h </w:instrText>
      </w:r>
      <w:r w:rsidRPr="009C48DA" w:rsidR="004273B5">
        <w:rPr>
          <w:i/>
          <w:lang w:val="en-GB"/>
        </w:rPr>
        <w:instrText xml:space="preserve"> \* MERGEFORMAT </w:instrText>
      </w:r>
      <w:r w:rsidRPr="009C48DA" w:rsidR="004273B5">
        <w:rPr>
          <w:i/>
          <w:lang w:val="en-GB"/>
        </w:rPr>
      </w:r>
      <w:r w:rsidRPr="009C48DA" w:rsidR="004273B5">
        <w:rPr>
          <w:i/>
          <w:lang w:val="en-GB"/>
        </w:rPr>
        <w:fldChar w:fldCharType="separate"/>
      </w:r>
      <w:r w:rsidRPr="007C3D19" w:rsidR="007C3D19">
        <w:rPr>
          <w:i/>
          <w:lang w:val="en-GB"/>
        </w:rPr>
        <w:t>Risk Factors</w:t>
      </w:r>
      <w:r w:rsidRPr="009C48DA" w:rsidR="004273B5">
        <w:rPr>
          <w:i/>
          <w:lang w:val="en-GB"/>
        </w:rPr>
        <w:fldChar w:fldCharType="end"/>
      </w:r>
      <w:r w:rsidRPr="009C48DA" w:rsidR="00B51E80">
        <w:rPr>
          <w:rFonts w:eastAsia="Calibri" w:cs="Arial"/>
          <w:i/>
          <w:szCs w:val="20"/>
          <w:lang w:val="en-GB"/>
        </w:rPr>
        <w:t>.</w:t>
      </w:r>
      <w:r w:rsidRPr="009C48DA" w:rsidR="00B51E80">
        <w:rPr>
          <w:rFonts w:eastAsia="Calibri" w:cs="Arial"/>
          <w:szCs w:val="20"/>
          <w:lang w:val="en-GB"/>
        </w:rPr>
        <w:t>”</w:t>
      </w:r>
    </w:p>
    <w:p w:rsidRPr="009C48DA" w:rsidR="00B51E80" w:rsidP="000C376E" w:rsidRDefault="00B51E80" w14:paraId="0C021DA5" w14:textId="77777777">
      <w:pPr>
        <w:pStyle w:val="TitleBAllCaps"/>
      </w:pPr>
      <w:r w:rsidRPr="009C48DA">
        <w:t>FACTORS AFFECTING COMPARABILITY OF RESULTS OF OPERATIONS</w:t>
      </w:r>
    </w:p>
    <w:p w:rsidRPr="009C48DA" w:rsidR="00B51E80" w:rsidP="00B51E80" w:rsidRDefault="00B51E80" w14:paraId="4837E748" w14:textId="20612329">
      <w:pPr>
        <w:pStyle w:val="TitleB"/>
        <w:rPr>
          <w:szCs w:val="20"/>
          <w:lang w:val="en-GB"/>
        </w:rPr>
      </w:pPr>
      <w:r w:rsidRPr="009C48DA">
        <w:rPr>
          <w:szCs w:val="20"/>
          <w:lang w:val="en-GB"/>
        </w:rPr>
        <w:t xml:space="preserve">Investment by </w:t>
      </w:r>
      <w:r w:rsidRPr="009C48DA" w:rsidR="005A0658">
        <w:rPr>
          <w:lang w:val="en-GB"/>
        </w:rPr>
        <w:t>Dyal Equity Funds</w:t>
      </w:r>
    </w:p>
    <w:p w:rsidRPr="009C48DA" w:rsidR="00B51E80" w:rsidP="004273B5" w:rsidRDefault="00B51E80" w14:paraId="23B092AB" w14:textId="554AF4EB">
      <w:pPr>
        <w:pStyle w:val="BodyText2SglJ"/>
        <w:rPr>
          <w:rFonts w:eastAsia="Calibri" w:cs="Arial"/>
          <w:szCs w:val="20"/>
          <w:lang w:val="en-GB"/>
        </w:rPr>
      </w:pPr>
      <w:r w:rsidRPr="009C48DA">
        <w:rPr>
          <w:rFonts w:eastAsia="Calibri" w:cs="Arial"/>
          <w:szCs w:val="20"/>
          <w:lang w:val="en-GB"/>
        </w:rPr>
        <w:t xml:space="preserve">In 2018, </w:t>
      </w:r>
      <w:r w:rsidRPr="009C48DA" w:rsidR="005A0658">
        <w:rPr>
          <w:lang w:val="en-GB"/>
        </w:rPr>
        <w:t>Dyal Equity Funds</w:t>
      </w:r>
      <w:r w:rsidRPr="009C48DA">
        <w:rPr>
          <w:rFonts w:eastAsia="Calibri" w:cs="Arial"/>
          <w:szCs w:val="20"/>
          <w:lang w:val="en-GB"/>
        </w:rPr>
        <w:t xml:space="preserve">, a leading fund specialising in acquiring minority stakes in alternative asset management firms, acquired a passive minority shareholding in </w:t>
      </w:r>
      <w:r w:rsidRPr="009C48DA" w:rsidR="00CD2359">
        <w:rPr>
          <w:rFonts w:eastAsia="Calibri" w:cs="Arial"/>
          <w:szCs w:val="20"/>
          <w:lang w:val="en-GB"/>
        </w:rPr>
        <w:t xml:space="preserve">Bridgepoint Group </w:t>
      </w:r>
      <w:r w:rsidR="00CD2359">
        <w:rPr>
          <w:rFonts w:eastAsia="Calibri" w:cs="Arial"/>
          <w:szCs w:val="20"/>
          <w:lang w:val="en-GB"/>
        </w:rPr>
        <w:t xml:space="preserve">Holdings </w:t>
      </w:r>
      <w:r w:rsidRPr="009C48DA" w:rsidR="00CD2359">
        <w:rPr>
          <w:rFonts w:eastAsia="Calibri" w:cs="Arial"/>
          <w:szCs w:val="20"/>
          <w:lang w:val="en-GB"/>
        </w:rPr>
        <w:t>Limited</w:t>
      </w:r>
      <w:r w:rsidRPr="009C48DA" w:rsidR="00F357F3">
        <w:rPr>
          <w:rFonts w:eastAsia="Calibri" w:cs="Arial"/>
          <w:szCs w:val="20"/>
          <w:lang w:val="en-GB"/>
        </w:rPr>
        <w:t xml:space="preserve"> </w:t>
      </w:r>
      <w:r w:rsidRPr="009C48DA">
        <w:rPr>
          <w:rFonts w:eastAsia="Calibri" w:cs="Arial"/>
          <w:szCs w:val="20"/>
          <w:lang w:val="en-GB"/>
        </w:rPr>
        <w:t>(the “</w:t>
      </w:r>
      <w:r w:rsidRPr="009C48DA">
        <w:rPr>
          <w:rFonts w:eastAsia="Calibri" w:cs="Arial"/>
          <w:b/>
          <w:szCs w:val="20"/>
          <w:lang w:val="en-GB"/>
        </w:rPr>
        <w:t>Dyal Investment</w:t>
      </w:r>
      <w:r w:rsidRPr="009C48DA">
        <w:rPr>
          <w:rFonts w:eastAsia="Calibri" w:cs="Arial"/>
          <w:szCs w:val="20"/>
          <w:lang w:val="en-GB"/>
        </w:rPr>
        <w:t xml:space="preserve">”). See </w:t>
      </w:r>
      <w:r w:rsidRPr="009C48DA" w:rsidR="00933174">
        <w:rPr>
          <w:rFonts w:eastAsia="Calibri" w:cs="Arial"/>
          <w:szCs w:val="20"/>
          <w:lang w:val="en-GB"/>
        </w:rPr>
        <w:t xml:space="preserve">Paragraph </w:t>
      </w:r>
      <w:r w:rsidRPr="009C48DA" w:rsidR="00933174">
        <w:rPr>
          <w:rFonts w:eastAsia="Calibri" w:cs="Arial"/>
          <w:szCs w:val="20"/>
          <w:lang w:val="en-GB"/>
        </w:rPr>
        <w:fldChar w:fldCharType="begin"/>
      </w:r>
      <w:r w:rsidRPr="009C48DA" w:rsidR="00933174">
        <w:rPr>
          <w:rFonts w:eastAsia="Calibri" w:cs="Arial"/>
          <w:szCs w:val="20"/>
          <w:lang w:val="en-GB"/>
        </w:rPr>
        <w:instrText xml:space="preserve"> REF _Ref74461431 \n \h </w:instrText>
      </w:r>
      <w:r w:rsidRPr="009C48DA" w:rsidR="00933174">
        <w:rPr>
          <w:rFonts w:eastAsia="Calibri" w:cs="Arial"/>
          <w:szCs w:val="20"/>
          <w:lang w:val="en-GB"/>
        </w:rPr>
      </w:r>
      <w:r w:rsidRPr="009C48DA" w:rsidR="00933174">
        <w:rPr>
          <w:rFonts w:eastAsia="Calibri" w:cs="Arial"/>
          <w:szCs w:val="20"/>
          <w:lang w:val="en-GB"/>
        </w:rPr>
        <w:fldChar w:fldCharType="separate"/>
      </w:r>
      <w:r w:rsidR="007C3D19">
        <w:rPr>
          <w:rFonts w:eastAsia="Calibri" w:cs="Arial"/>
          <w:szCs w:val="20"/>
          <w:lang w:val="en-GB"/>
        </w:rPr>
        <w:t>14.1</w:t>
      </w:r>
      <w:r w:rsidRPr="009C48DA" w:rsidR="00933174">
        <w:rPr>
          <w:rFonts w:eastAsia="Calibri" w:cs="Arial"/>
          <w:szCs w:val="20"/>
          <w:lang w:val="en-GB"/>
        </w:rPr>
        <w:fldChar w:fldCharType="end"/>
      </w:r>
      <w:r w:rsidRPr="009C48DA" w:rsidR="00933174">
        <w:rPr>
          <w:rFonts w:eastAsia="Calibri" w:cs="Arial"/>
          <w:szCs w:val="20"/>
          <w:lang w:val="en-GB"/>
        </w:rPr>
        <w:t xml:space="preserve"> (</w:t>
      </w:r>
      <w:r w:rsidRPr="009C48DA" w:rsidR="004273B5">
        <w:rPr>
          <w:rFonts w:eastAsia="Calibri" w:cs="Arial"/>
          <w:i/>
          <w:szCs w:val="20"/>
          <w:lang w:val="en-GB"/>
        </w:rPr>
        <w:fldChar w:fldCharType="begin"/>
      </w:r>
      <w:r w:rsidRPr="009C48DA" w:rsidR="004273B5">
        <w:rPr>
          <w:rFonts w:eastAsia="Calibri" w:cs="Arial"/>
          <w:szCs w:val="20"/>
          <w:lang w:val="en-GB"/>
        </w:rPr>
        <w:instrText xml:space="preserve"> REF _Ref74461431 \h </w:instrText>
      </w:r>
      <w:r w:rsidRPr="009C48DA" w:rsidR="004273B5">
        <w:rPr>
          <w:rFonts w:eastAsia="Calibri" w:cs="Arial"/>
          <w:i/>
          <w:szCs w:val="20"/>
          <w:lang w:val="en-GB"/>
        </w:rPr>
        <w:instrText xml:space="preserve"> \* MERGEFORMAT </w:instrText>
      </w:r>
      <w:r w:rsidRPr="009C48DA" w:rsidR="004273B5">
        <w:rPr>
          <w:rFonts w:eastAsia="Calibri" w:cs="Arial"/>
          <w:i/>
          <w:szCs w:val="20"/>
          <w:lang w:val="en-GB"/>
        </w:rPr>
      </w:r>
      <w:r w:rsidRPr="009C48DA" w:rsidR="004273B5">
        <w:rPr>
          <w:rFonts w:eastAsia="Calibri" w:cs="Arial"/>
          <w:i/>
          <w:szCs w:val="20"/>
          <w:lang w:val="en-GB"/>
        </w:rPr>
        <w:fldChar w:fldCharType="separate"/>
      </w:r>
      <w:r w:rsidRPr="007C3D19" w:rsidR="007C3D19">
        <w:rPr>
          <w:rFonts w:cs="Times New Roman"/>
          <w:i/>
          <w:lang w:val="en-GB"/>
        </w:rPr>
        <w:t>Dyal Investment Agreement</w:t>
      </w:r>
      <w:r w:rsidRPr="009C48DA" w:rsidR="004273B5">
        <w:rPr>
          <w:rFonts w:eastAsia="Calibri" w:cs="Arial"/>
          <w:i/>
          <w:szCs w:val="20"/>
          <w:lang w:val="en-GB"/>
        </w:rPr>
        <w:fldChar w:fldCharType="end"/>
      </w:r>
      <w:r w:rsidRPr="009C48DA" w:rsidR="00933174">
        <w:rPr>
          <w:rFonts w:eastAsia="Calibri" w:cs="Arial"/>
          <w:szCs w:val="20"/>
          <w:lang w:val="en-GB"/>
        </w:rPr>
        <w:t>)</w:t>
      </w:r>
      <w:r w:rsidRPr="009C48DA" w:rsidR="00B8246C">
        <w:rPr>
          <w:rFonts w:eastAsia="Calibri" w:cs="Arial"/>
          <w:szCs w:val="20"/>
          <w:lang w:val="en-GB"/>
        </w:rPr>
        <w:t xml:space="preserve"> </w:t>
      </w:r>
      <w:r w:rsidRPr="009C48DA">
        <w:rPr>
          <w:rFonts w:eastAsia="Calibri" w:cs="Arial"/>
          <w:szCs w:val="20"/>
          <w:lang w:val="en-GB"/>
        </w:rPr>
        <w:t>of</w:t>
      </w:r>
      <w:r w:rsidRPr="009C48DA">
        <w:rPr>
          <w:rFonts w:eastAsia="Calibri" w:cs="Arial"/>
          <w:i/>
          <w:szCs w:val="20"/>
          <w:lang w:val="en-GB"/>
        </w:rPr>
        <w:t xml:space="preserve"> </w:t>
      </w:r>
      <w:r w:rsidRPr="009C48DA" w:rsidR="006B202F">
        <w:rPr>
          <w:rFonts w:eastAsia="Calibri" w:cs="Arial"/>
          <w:i/>
          <w:szCs w:val="20"/>
          <w:lang w:val="en-GB"/>
        </w:rPr>
        <w:fldChar w:fldCharType="begin"/>
      </w:r>
      <w:r w:rsidRPr="009C48DA" w:rsidR="006B202F">
        <w:rPr>
          <w:rFonts w:eastAsia="Calibri" w:cs="Arial"/>
          <w:i/>
          <w:szCs w:val="20"/>
          <w:lang w:val="en-GB"/>
        </w:rPr>
        <w:instrText xml:space="preserve"> REF _Ref71144215 \n \h </w:instrText>
      </w:r>
      <w:r w:rsidRPr="009C48DA" w:rsidR="006B202F">
        <w:rPr>
          <w:rFonts w:eastAsia="Calibri" w:cs="Arial"/>
          <w:i/>
          <w:szCs w:val="20"/>
          <w:lang w:val="en-GB"/>
        </w:rPr>
      </w:r>
      <w:r w:rsidRPr="009C48DA" w:rsidR="006B202F">
        <w:rPr>
          <w:rFonts w:eastAsia="Calibri" w:cs="Arial"/>
          <w:i/>
          <w:szCs w:val="20"/>
          <w:lang w:val="en-GB"/>
        </w:rPr>
        <w:fldChar w:fldCharType="separate"/>
      </w:r>
      <w:r w:rsidR="007C3D19">
        <w:rPr>
          <w:rFonts w:eastAsia="Calibri" w:cs="Arial"/>
          <w:i/>
          <w:szCs w:val="20"/>
          <w:lang w:val="en-GB"/>
        </w:rPr>
        <w:t>Part XI</w:t>
      </w:r>
      <w:r w:rsidRPr="009C48DA" w:rsidR="006B202F">
        <w:rPr>
          <w:rFonts w:eastAsia="Calibri" w:cs="Arial"/>
          <w:i/>
          <w:szCs w:val="20"/>
          <w:lang w:val="en-GB"/>
        </w:rPr>
        <w:fldChar w:fldCharType="end"/>
      </w:r>
      <w:r w:rsidRPr="009C48DA">
        <w:rPr>
          <w:rFonts w:eastAsia="Calibri" w:cs="Arial"/>
          <w:i/>
          <w:szCs w:val="20"/>
          <w:lang w:val="en-GB"/>
        </w:rPr>
        <w:t xml:space="preserve"> (</w:t>
      </w:r>
      <w:r w:rsidRPr="009C48DA" w:rsidR="001B45EC">
        <w:rPr>
          <w:i/>
          <w:color w:val="000000"/>
          <w:lang w:val="en-GB"/>
        </w:rPr>
      </w:r>
      <w:r w:rsidRPr="007C3D19" w:rsidR="007C3D19">
        <w:rPr>
          <w:i/>
          <w:lang w:val="en-GB"/>
        </w:rPr>
        <w:t>Additional Information</w:t>
      </w:r>
      <w:r w:rsidRPr="009C48DA" w:rsidR="00B8246C">
        <w:rPr>
          <w:rFonts w:eastAsia="Calibri" w:cs="Arial"/>
          <w:i/>
          <w:szCs w:val="20"/>
          <w:lang w:val="en-GB"/>
        </w:rPr>
        <w:t>)</w:t>
      </w:r>
      <w:r w:rsidRPr="009C48DA">
        <w:rPr>
          <w:rFonts w:eastAsia="Calibri" w:cs="Arial"/>
          <w:i/>
          <w:szCs w:val="20"/>
          <w:lang w:val="en-GB"/>
        </w:rPr>
        <w:t>.</w:t>
      </w:r>
    </w:p>
    <w:p w:rsidRPr="009C48DA" w:rsidR="00B51E80" w:rsidP="00B51E80" w:rsidRDefault="00B51E80" w14:paraId="47F777F9" w14:textId="5FE5337F">
      <w:pPr>
        <w:pStyle w:val="BodyText2SglJ"/>
        <w:rPr>
          <w:rFonts w:eastAsia="Calibri" w:cs="Arial"/>
          <w:szCs w:val="20"/>
          <w:lang w:val="en-GB"/>
        </w:rPr>
      </w:pPr>
      <w:r w:rsidRPr="009C48DA">
        <w:rPr>
          <w:szCs w:val="20"/>
          <w:lang w:val="en-GB"/>
        </w:rPr>
        <w:t>The</w:t>
      </w:r>
      <w:r w:rsidRPr="009C48DA">
        <w:rPr>
          <w:rFonts w:eastAsia="Calibri" w:cs="Arial"/>
          <w:szCs w:val="20"/>
          <w:lang w:val="en-GB"/>
        </w:rPr>
        <w:t xml:space="preserve"> Dyal Investment resulted in exceptional </w:t>
      </w:r>
      <w:r w:rsidRPr="009C48DA" w:rsidR="00B8246C">
        <w:rPr>
          <w:rFonts w:eastAsia="Calibri" w:cs="Arial"/>
          <w:szCs w:val="20"/>
          <w:lang w:val="en-GB"/>
        </w:rPr>
        <w:t>expense</w:t>
      </w:r>
      <w:r w:rsidRPr="009C48DA" w:rsidR="007F3CAA">
        <w:rPr>
          <w:rFonts w:eastAsia="Calibri" w:cs="Arial"/>
          <w:szCs w:val="20"/>
          <w:lang w:val="en-GB"/>
        </w:rPr>
        <w:t>s</w:t>
      </w:r>
      <w:r w:rsidRPr="009C48DA" w:rsidR="00B8246C">
        <w:rPr>
          <w:rFonts w:eastAsia="Calibri" w:cs="Arial"/>
          <w:szCs w:val="20"/>
          <w:lang w:val="en-GB"/>
        </w:rPr>
        <w:t xml:space="preserve"> </w:t>
      </w:r>
      <w:r w:rsidRPr="009C48DA">
        <w:rPr>
          <w:rFonts w:eastAsia="Calibri" w:cs="Arial"/>
          <w:szCs w:val="20"/>
          <w:lang w:val="en-GB"/>
        </w:rPr>
        <w:t xml:space="preserve">of </w:t>
      </w:r>
      <w:r w:rsidRPr="009C48DA">
        <w:rPr>
          <w:rFonts w:eastAsia="Calibri" w:cs="Times New Roman"/>
          <w:szCs w:val="20"/>
          <w:lang w:val="en-GB"/>
        </w:rPr>
        <w:t>£</w:t>
      </w:r>
      <w:r w:rsidRPr="009C48DA">
        <w:rPr>
          <w:rFonts w:eastAsia="Calibri" w:cs="Arial"/>
          <w:szCs w:val="20"/>
          <w:lang w:val="en-GB"/>
        </w:rPr>
        <w:t>24.1 million for the year ended 31</w:t>
      </w:r>
      <w:r w:rsidRPr="009C48DA" w:rsidR="00061E5D">
        <w:rPr>
          <w:rFonts w:eastAsia="Calibri" w:cs="Arial"/>
          <w:szCs w:val="20"/>
          <w:lang w:val="en-GB"/>
        </w:rPr>
        <w:t> </w:t>
      </w:r>
      <w:r w:rsidRPr="009C48DA">
        <w:rPr>
          <w:rFonts w:eastAsia="Calibri" w:cs="Arial"/>
          <w:szCs w:val="20"/>
          <w:lang w:val="en-GB"/>
        </w:rPr>
        <w:t xml:space="preserve">December 2018, which are included in the Group’s Historical Financial Information. These exceptional </w:t>
      </w:r>
      <w:r w:rsidRPr="009C48DA" w:rsidR="00B8246C">
        <w:rPr>
          <w:rFonts w:eastAsia="Calibri" w:cs="Arial"/>
          <w:szCs w:val="20"/>
          <w:lang w:val="en-GB"/>
        </w:rPr>
        <w:t xml:space="preserve">expenses </w:t>
      </w:r>
      <w:r w:rsidRPr="009C48DA">
        <w:rPr>
          <w:rFonts w:eastAsia="Calibri" w:cs="Arial"/>
          <w:szCs w:val="20"/>
          <w:lang w:val="en-GB"/>
        </w:rPr>
        <w:t xml:space="preserve">included transactional costs, including legal fees and other advisers, as well as certain one-off bonuses for employees. The impact of the Dyal Investment and the related </w:t>
      </w:r>
      <w:r w:rsidRPr="009C48DA" w:rsidR="00B8246C">
        <w:rPr>
          <w:rFonts w:eastAsia="Calibri" w:cs="Arial"/>
          <w:szCs w:val="20"/>
          <w:lang w:val="en-GB"/>
        </w:rPr>
        <w:t>exceptional expenses</w:t>
      </w:r>
      <w:r w:rsidRPr="009C48DA">
        <w:rPr>
          <w:rFonts w:eastAsia="Calibri" w:cs="Arial"/>
          <w:szCs w:val="20"/>
          <w:lang w:val="en-GB"/>
        </w:rPr>
        <w:t>, which are one-off in nature, should be taken into account when comparing the Historical Financial Information across the periods under review.</w:t>
      </w:r>
    </w:p>
    <w:p w:rsidRPr="009C48DA" w:rsidR="00B51E80" w:rsidP="00B51E80" w:rsidRDefault="00B51E80" w14:paraId="7BC25ABA" w14:textId="77777777">
      <w:pPr>
        <w:pStyle w:val="TitleB"/>
        <w:rPr>
          <w:szCs w:val="20"/>
          <w:lang w:val="en-GB"/>
        </w:rPr>
      </w:pPr>
      <w:r w:rsidRPr="009C48DA">
        <w:rPr>
          <w:szCs w:val="20"/>
          <w:lang w:val="en-GB"/>
        </w:rPr>
        <w:t>Acquisition of the EQT Credit business</w:t>
      </w:r>
    </w:p>
    <w:p w:rsidRPr="009C48DA" w:rsidR="00B51E80" w:rsidP="00B51E80" w:rsidRDefault="00B51E80" w14:paraId="6A1F9884" w14:textId="34CB0537">
      <w:pPr>
        <w:pStyle w:val="BodyText2SglJ"/>
        <w:rPr>
          <w:rFonts w:eastAsia="Calibri" w:cs="Arial"/>
          <w:szCs w:val="20"/>
          <w:lang w:val="en-GB"/>
        </w:rPr>
      </w:pPr>
      <w:r w:rsidRPr="009C48DA">
        <w:rPr>
          <w:rFonts w:eastAsia="Calibri" w:cs="Arial"/>
          <w:szCs w:val="20"/>
          <w:lang w:val="en-GB"/>
        </w:rPr>
        <w:t xml:space="preserve">On 23 October 2020, the Group acquired 100 </w:t>
      </w:r>
      <w:r w:rsidRPr="009C48DA">
        <w:rPr>
          <w:szCs w:val="20"/>
          <w:lang w:val="en-GB"/>
        </w:rPr>
        <w:t>per cent</w:t>
      </w:r>
      <w:r w:rsidRPr="009C48DA">
        <w:rPr>
          <w:rFonts w:eastAsia="Calibri" w:cs="Arial"/>
          <w:szCs w:val="20"/>
          <w:lang w:val="en-GB"/>
        </w:rPr>
        <w:t xml:space="preserve"> of the equity instruments in entities </w:t>
      </w:r>
      <w:r w:rsidRPr="009C48DA">
        <w:rPr>
          <w:szCs w:val="20"/>
          <w:lang w:val="en-GB"/>
        </w:rPr>
        <w:t>representing</w:t>
      </w:r>
      <w:r w:rsidRPr="009C48DA">
        <w:rPr>
          <w:rFonts w:eastAsia="Calibri" w:cs="Arial"/>
          <w:szCs w:val="20"/>
          <w:lang w:val="en-GB"/>
        </w:rPr>
        <w:t xml:space="preserve"> EQT’s credit fund business and interests in certain funds and carried interest managed by EQT’s credit fund business (“</w:t>
      </w:r>
      <w:r w:rsidRPr="009C48DA">
        <w:rPr>
          <w:rFonts w:eastAsia="Calibri" w:cs="Arial"/>
          <w:b/>
          <w:szCs w:val="20"/>
          <w:lang w:val="en-GB"/>
        </w:rPr>
        <w:t>EQT Credit</w:t>
      </w:r>
      <w:r w:rsidRPr="009C48DA">
        <w:rPr>
          <w:rFonts w:eastAsia="Calibri" w:cs="Arial"/>
          <w:szCs w:val="20"/>
          <w:lang w:val="en-GB"/>
        </w:rPr>
        <w:t>”). The total purchase price amounted to £107.5 million (including liabilities incurred) in initial cash consideration and a deferred element of up to €50 million (£44.6 million), which is payable to EQT AB based on the outcome of fundraising for certain funds, which is expected to complete in 2022. From 23 October 2020, the assets and operations acquired in such transaction are included in the Group’s Historical Financial Information.</w:t>
      </w:r>
      <w:r w:rsidR="00BA3614">
        <w:rPr>
          <w:rFonts w:eastAsia="Calibri" w:cs="Arial"/>
          <w:szCs w:val="20"/>
          <w:lang w:val="en-GB"/>
        </w:rPr>
        <w:t xml:space="preserve"> For the year ended 31 December </w:t>
      </w:r>
      <w:r w:rsidRPr="009C48DA">
        <w:rPr>
          <w:rFonts w:eastAsia="Calibri" w:cs="Arial"/>
          <w:szCs w:val="20"/>
          <w:lang w:val="en-GB"/>
        </w:rPr>
        <w:t>2020, the acquired business contributed £7 million to the Gro</w:t>
      </w:r>
      <w:r w:rsidR="00BA3614">
        <w:rPr>
          <w:rFonts w:eastAsia="Calibri" w:cs="Arial"/>
          <w:szCs w:val="20"/>
          <w:lang w:val="en-GB"/>
        </w:rPr>
        <w:t>up’s total operating income and </w:t>
      </w:r>
      <w:r w:rsidRPr="009C48DA">
        <w:rPr>
          <w:rFonts w:eastAsia="Calibri" w:cs="Arial"/>
          <w:szCs w:val="20"/>
          <w:lang w:val="en-GB"/>
        </w:rPr>
        <w:t>£5 million to the Group’s total costs. The impact of this acquisition should be taken into account when comparing the Historical Financial Information across the periods under review.</w:t>
      </w:r>
    </w:p>
    <w:p w:rsidRPr="009C48DA" w:rsidR="00B51E80" w:rsidP="00B51E80" w:rsidRDefault="00AC66DE" w14:paraId="5CBB495D" w14:textId="49BAFFEF">
      <w:pPr>
        <w:pStyle w:val="BodyText2SglJ"/>
        <w:rPr>
          <w:rFonts w:eastAsia="Calibri" w:cs="Arial"/>
          <w:szCs w:val="20"/>
          <w:lang w:val="en-GB"/>
        </w:rPr>
      </w:pPr>
      <w:r w:rsidRPr="009C48DA">
        <w:rPr>
          <w:rFonts w:eastAsia="Calibri" w:cs="Arial"/>
          <w:lang w:val="en-GB"/>
        </w:rPr>
        <w:t>See “</w:t>
      </w:r>
      <w:r w:rsidRPr="009C48DA">
        <w:rPr>
          <w:rFonts w:eastAsia="Calibri" w:cs="Arial"/>
          <w:i/>
          <w:lang w:val="en-GB"/>
        </w:rPr>
        <w:t>Alternative Performance Measures and Key Performance Indicators—</w:t>
      </w:r>
      <w:r w:rsidRPr="009C48DA" w:rsidR="00043C31">
        <w:rPr>
          <w:rFonts w:eastAsia="Calibri" w:cs="Arial"/>
          <w:i/>
          <w:lang w:val="en-GB"/>
        </w:rPr>
        <w:t xml:space="preserve">EBITDA, </w:t>
      </w:r>
      <w:r w:rsidRPr="009C48DA">
        <w:rPr>
          <w:rFonts w:eastAsia="Calibri" w:cs="Arial"/>
          <w:i/>
          <w:lang w:val="en-GB"/>
        </w:rPr>
        <w:t>Underlying EBITDA and Underlying EBITDA Margin</w:t>
      </w:r>
      <w:r w:rsidRPr="009C48DA">
        <w:rPr>
          <w:rFonts w:eastAsia="Calibri" w:cs="Arial"/>
          <w:lang w:val="en-GB"/>
        </w:rPr>
        <w:t>” for a description of the alternative performance measures which are shown in this Prospectus as a result of the Dyal Investment and the acquisition of the EQT Credit business.</w:t>
      </w:r>
    </w:p>
    <w:p w:rsidRPr="009C48DA" w:rsidR="00B51E80" w:rsidP="000C376E" w:rsidRDefault="00B51E80" w14:paraId="23072B25" w14:textId="77777777">
      <w:pPr>
        <w:pStyle w:val="TitleBAllCaps"/>
        <w:rPr>
          <w:color w:val="000000"/>
        </w:rPr>
      </w:pPr>
      <w:r w:rsidRPr="009C48DA">
        <w:lastRenderedPageBreak/>
        <w:t>PRINCIPAL FACTORS AFFECTING RESULTS OF OPERATIONS</w:t>
      </w:r>
    </w:p>
    <w:p w:rsidRPr="009C48DA" w:rsidR="00B51E80" w:rsidP="0032371F" w:rsidRDefault="00B51E80" w14:paraId="650EF571" w14:textId="77777777">
      <w:pPr>
        <w:pStyle w:val="BodyText2SglJ"/>
        <w:keepNext/>
        <w:rPr>
          <w:rFonts w:eastAsia="Calibri" w:cs="Arial"/>
          <w:szCs w:val="20"/>
          <w:lang w:val="en-GB"/>
        </w:rPr>
      </w:pPr>
      <w:r w:rsidRPr="009C48DA">
        <w:rPr>
          <w:szCs w:val="20"/>
          <w:lang w:val="en-GB"/>
        </w:rPr>
        <w:t>The Directors believe that the factors described below significantly affected the</w:t>
      </w:r>
      <w:r w:rsidRPr="009C48DA">
        <w:rPr>
          <w:rFonts w:eastAsia="Calibri" w:cs="Arial"/>
          <w:szCs w:val="20"/>
          <w:lang w:val="en-GB"/>
        </w:rPr>
        <w:t xml:space="preserve"> Group’s results of operations and financial condition in the periods under review and/or will have a significant impact on its results of operations and financial condition in the future.</w:t>
      </w:r>
    </w:p>
    <w:p w:rsidRPr="009C48DA" w:rsidR="00B51E80" w:rsidP="000C376E" w:rsidRDefault="00B51E80" w14:paraId="140A2B0F" w14:textId="77777777">
      <w:pPr>
        <w:pStyle w:val="TitleB"/>
        <w:rPr>
          <w:lang w:val="en-GB"/>
        </w:rPr>
      </w:pPr>
      <w:r w:rsidRPr="009C48DA">
        <w:rPr>
          <w:lang w:val="en-GB"/>
        </w:rPr>
        <w:t>Economic and market conditions</w:t>
      </w:r>
    </w:p>
    <w:p w:rsidRPr="009C48DA" w:rsidR="00B51E80" w:rsidP="00B51E80" w:rsidRDefault="00B51E80" w14:paraId="652288DB" w14:textId="3C1AFFBF">
      <w:pPr>
        <w:pStyle w:val="BodyText2SglJ"/>
        <w:rPr>
          <w:rFonts w:eastAsia="Calibri" w:cs="Arial"/>
          <w:szCs w:val="20"/>
          <w:lang w:val="en-GB"/>
        </w:rPr>
      </w:pPr>
      <w:r w:rsidRPr="009C48DA">
        <w:rPr>
          <w:rFonts w:eastAsia="Calibri" w:cs="Arial"/>
          <w:szCs w:val="20"/>
          <w:lang w:val="en-GB"/>
        </w:rPr>
        <w:t xml:space="preserve">As a </w:t>
      </w:r>
      <w:r w:rsidRPr="009C48DA">
        <w:rPr>
          <w:szCs w:val="20"/>
          <w:lang w:val="en-GB"/>
        </w:rPr>
        <w:t>pan</w:t>
      </w:r>
      <w:r w:rsidRPr="009C48DA">
        <w:rPr>
          <w:rFonts w:eastAsia="Calibri" w:cs="Arial"/>
          <w:szCs w:val="20"/>
          <w:lang w:val="en-GB"/>
        </w:rPr>
        <w:t xml:space="preserve">-European alternative asset manager, the Group is affected by a number of economic and market factors, including conditions in the global and financial markets and the economic and political environment in the geographic areas in which the Group is active, particularly Europe, the United States and, to some extent, other areas of the world. The Group is directly and indirectly affected by factors such as general economic conditions, financial market performance and volatility, interest rates, credit spreads, the availability and cost of leverage and other factors outside of the Group’s control. Any of these factors may potentially adversely affect the </w:t>
      </w:r>
      <w:r w:rsidRPr="009C48DA" w:rsidR="007E6165">
        <w:rPr>
          <w:rFonts w:eastAsia="Calibri" w:cs="Arial"/>
          <w:szCs w:val="20"/>
          <w:lang w:val="en-GB"/>
        </w:rPr>
        <w:t xml:space="preserve">Bridgepoint </w:t>
      </w:r>
      <w:r w:rsidRPr="009C48DA">
        <w:rPr>
          <w:rFonts w:eastAsia="Calibri" w:cs="Arial"/>
          <w:szCs w:val="20"/>
          <w:lang w:val="en-GB"/>
        </w:rPr>
        <w:t>Funds’ performance, the Group’s business and the Group’s ability to raise new capital in the future. Generally, economic and market conditions characterised by low inflation, low or declining interest rates and strong equity markets provide a positive climate for the Group to generate attractive returns on existing investments. The Group also benefits, however, from periods of market volatility and disruption which allow it to use its capital base and experience with troubled companies and distressed securities to make investments at attractive prices and terms.</w:t>
      </w:r>
    </w:p>
    <w:p w:rsidRPr="009C48DA" w:rsidR="00B51E80" w:rsidP="00B51E80" w:rsidRDefault="00B51E80" w14:paraId="78E9326A" w14:textId="7FC6ADDF">
      <w:pPr>
        <w:pStyle w:val="BodyText2SglJ"/>
        <w:rPr>
          <w:rFonts w:eastAsia="Calibri" w:cs="Arial"/>
          <w:szCs w:val="20"/>
          <w:lang w:val="en-GB"/>
        </w:rPr>
      </w:pPr>
      <w:r w:rsidRPr="009C48DA">
        <w:rPr>
          <w:rFonts w:eastAsia="Calibri" w:cs="Arial"/>
          <w:szCs w:val="20"/>
          <w:lang w:val="en-GB"/>
        </w:rPr>
        <w:t xml:space="preserve">Deteriorating economic conditions may also have an adverse effect on the performance of portfolio companies that are part of </w:t>
      </w:r>
      <w:r w:rsidRPr="009C48DA" w:rsidR="007E6165">
        <w:rPr>
          <w:rFonts w:eastAsia="Calibri" w:cs="Arial"/>
          <w:szCs w:val="20"/>
          <w:lang w:val="en-GB"/>
        </w:rPr>
        <w:t xml:space="preserve">Bridgepoint </w:t>
      </w:r>
      <w:r w:rsidRPr="009C48DA">
        <w:rPr>
          <w:rFonts w:eastAsia="Calibri" w:cs="Arial"/>
          <w:szCs w:val="20"/>
          <w:lang w:val="en-GB"/>
        </w:rPr>
        <w:t xml:space="preserve">Funds. Poor performance by such portfolio companies could result in a decrease or loss of carried interest and income </w:t>
      </w:r>
      <w:r w:rsidRPr="009C48DA" w:rsidR="00B8246C">
        <w:rPr>
          <w:rFonts w:eastAsia="Calibri" w:cs="Arial"/>
          <w:szCs w:val="20"/>
          <w:lang w:val="en-GB"/>
        </w:rPr>
        <w:t xml:space="preserve">from the fair value remeasurement of investments </w:t>
      </w:r>
      <w:r w:rsidRPr="009C48DA">
        <w:rPr>
          <w:rFonts w:eastAsia="Calibri" w:cs="Arial"/>
          <w:szCs w:val="20"/>
          <w:lang w:val="en-GB"/>
        </w:rPr>
        <w:t xml:space="preserve">for the Group, or a delay in recognition of such income, as well as more generally negatively impacting a </w:t>
      </w:r>
      <w:r w:rsidRPr="009C48DA" w:rsidR="007E6165">
        <w:rPr>
          <w:rFonts w:eastAsia="Calibri" w:cs="Arial"/>
          <w:szCs w:val="20"/>
          <w:lang w:val="en-GB"/>
        </w:rPr>
        <w:t xml:space="preserve">Bridgepoint </w:t>
      </w:r>
      <w:r w:rsidRPr="009C48DA">
        <w:rPr>
          <w:rFonts w:eastAsia="Calibri" w:cs="Arial"/>
          <w:szCs w:val="20"/>
          <w:lang w:val="en-GB"/>
        </w:rPr>
        <w:t xml:space="preserve">Fund’s returns and therefore adversely affecting the Group’s ability to raise new capital. Relatedly, the strength and liquidity of relevant equity and debt markets, including relevant interest rates, also affect the Group’s ability to increase the value of the investments in the </w:t>
      </w:r>
      <w:r w:rsidRPr="009C48DA" w:rsidR="007E6165">
        <w:rPr>
          <w:rFonts w:eastAsia="Calibri" w:cs="Arial"/>
          <w:szCs w:val="20"/>
          <w:lang w:val="en-GB"/>
        </w:rPr>
        <w:t xml:space="preserve">Bridgepoint </w:t>
      </w:r>
      <w:r w:rsidRPr="009C48DA">
        <w:rPr>
          <w:rFonts w:eastAsia="Calibri" w:cs="Arial"/>
          <w:szCs w:val="20"/>
          <w:lang w:val="en-GB"/>
        </w:rPr>
        <w:t>Funds and thereby have an impact on the Group’s carried interest and income</w:t>
      </w:r>
      <w:r w:rsidRPr="009C48DA" w:rsidR="002D69DB">
        <w:rPr>
          <w:rFonts w:eastAsia="Calibri" w:cs="Arial"/>
          <w:szCs w:val="20"/>
          <w:lang w:val="en-GB"/>
        </w:rPr>
        <w:t xml:space="preserve"> from the fair value remeasurement of investments</w:t>
      </w:r>
      <w:r w:rsidRPr="009C48DA">
        <w:rPr>
          <w:rFonts w:eastAsia="Calibri" w:cs="Arial"/>
          <w:szCs w:val="20"/>
          <w:lang w:val="en-GB"/>
        </w:rPr>
        <w:t>. In addition, local and geopolitical events and decisions (for example,</w:t>
      </w:r>
      <w:r w:rsidRPr="009C48DA">
        <w:rPr>
          <w:rFonts w:eastAsia="Calibri" w:cs="Arial"/>
          <w:i/>
          <w:szCs w:val="20"/>
          <w:lang w:val="en-GB"/>
        </w:rPr>
        <w:t xml:space="preserve"> </w:t>
      </w:r>
      <w:r w:rsidRPr="009C48DA">
        <w:rPr>
          <w:rFonts w:eastAsia="Calibri" w:cs="Arial"/>
          <w:szCs w:val="20"/>
          <w:lang w:val="en-GB"/>
        </w:rPr>
        <w:t xml:space="preserve">embargoes, trade disputes, changes in tax laws and regulations, bans, tariffs, changes in subsidies) may also adversely impact one or several investments made by </w:t>
      </w:r>
      <w:r w:rsidRPr="009C48DA" w:rsidR="007E6165">
        <w:rPr>
          <w:rFonts w:eastAsia="Calibri" w:cs="Arial"/>
          <w:szCs w:val="20"/>
          <w:lang w:val="en-GB"/>
        </w:rPr>
        <w:t xml:space="preserve">Bridgepoint </w:t>
      </w:r>
      <w:r w:rsidRPr="009C48DA">
        <w:rPr>
          <w:rFonts w:eastAsia="Calibri" w:cs="Arial"/>
          <w:szCs w:val="20"/>
          <w:lang w:val="en-GB"/>
        </w:rPr>
        <w:t xml:space="preserve">Funds and the Group as a whole. </w:t>
      </w:r>
    </w:p>
    <w:p w:rsidRPr="009C48DA" w:rsidR="00B51E80" w:rsidP="000F211B" w:rsidRDefault="00B51E80" w14:paraId="25400C30" w14:textId="5900C1E6">
      <w:pPr>
        <w:pStyle w:val="BodyText2SglJ"/>
        <w:rPr>
          <w:rFonts w:eastAsia="Calibri" w:cs="Arial"/>
          <w:szCs w:val="20"/>
          <w:lang w:val="en-GB"/>
        </w:rPr>
      </w:pPr>
      <w:r w:rsidRPr="009C48DA">
        <w:rPr>
          <w:rFonts w:eastAsia="Calibri" w:cs="Arial"/>
          <w:szCs w:val="20"/>
          <w:lang w:val="en-GB"/>
        </w:rPr>
        <w:t xml:space="preserve">For example, the COVID-19 pandemic has had, and continues to have, an impact on the </w:t>
      </w:r>
      <w:r w:rsidRPr="009C48DA" w:rsidR="007E6165">
        <w:rPr>
          <w:rFonts w:eastAsia="Calibri" w:cs="Arial"/>
          <w:szCs w:val="20"/>
          <w:lang w:val="en-GB"/>
        </w:rPr>
        <w:t xml:space="preserve">Bridgepoint </w:t>
      </w:r>
      <w:r w:rsidRPr="009C48DA">
        <w:rPr>
          <w:rFonts w:eastAsia="Calibri" w:cs="Arial"/>
          <w:szCs w:val="20"/>
          <w:lang w:val="en-GB"/>
        </w:rPr>
        <w:t>Funds and the Group. The Group reacted to the COVID-19 pandemic rapidly and identified potential challenges for portfolio companies, developed action plans with management teams with a particular focus on drawing down available facilities at portfolio companies and continued implementing opportunistic acquisitions across the Group’s different fund strategies. As a result, the Group was able to increase the gross money multiple for the Group’s flagship funds even during the COVID-19 pandemic. See “</w:t>
      </w:r>
      <w:r w:rsidRPr="009C48DA">
        <w:rPr>
          <w:rFonts w:eastAsia="Calibri" w:cs="Arial"/>
          <w:i/>
          <w:szCs w:val="20"/>
          <w:lang w:val="en-GB"/>
        </w:rPr>
        <w:t>Risks related to the Group’s Business, Industry and Markets—The Group faces risks with respect to the continuing effects of the COVID-19 pandemic</w:t>
      </w:r>
      <w:r w:rsidRPr="009C48DA">
        <w:rPr>
          <w:rFonts w:eastAsia="Calibri" w:cs="Arial"/>
          <w:szCs w:val="20"/>
          <w:lang w:val="en-GB"/>
        </w:rPr>
        <w:t xml:space="preserve">” </w:t>
      </w:r>
      <w:r w:rsidRPr="009C48DA" w:rsidR="002D69DB">
        <w:rPr>
          <w:rFonts w:eastAsia="Calibri" w:cs="Arial"/>
          <w:szCs w:val="20"/>
          <w:lang w:val="en-GB"/>
        </w:rPr>
        <w:t xml:space="preserve">in </w:t>
      </w:r>
      <w:r w:rsidRPr="009C48DA" w:rsidR="002D69DB">
        <w:rPr>
          <w:rFonts w:eastAsia="Calibri" w:cs="Arial"/>
          <w:szCs w:val="20"/>
          <w:lang w:val="en-GB"/>
        </w:rPr>
        <w:fldChar w:fldCharType="begin"/>
      </w:r>
      <w:r w:rsidRPr="009C48DA" w:rsidR="002D69DB">
        <w:rPr>
          <w:rFonts w:eastAsia="Calibri" w:cs="Arial"/>
          <w:szCs w:val="20"/>
          <w:lang w:val="en-GB"/>
        </w:rPr>
        <w:instrText xml:space="preserve"> REF _Ref71136204 \n \h </w:instrText>
      </w:r>
      <w:r w:rsidRPr="009C48DA" w:rsidR="002D69DB">
        <w:rPr>
          <w:rFonts w:eastAsia="Calibri" w:cs="Arial"/>
          <w:szCs w:val="20"/>
          <w:lang w:val="en-GB"/>
        </w:rPr>
      </w:r>
      <w:r w:rsidRPr="009C48DA" w:rsidR="002D69DB">
        <w:rPr>
          <w:rFonts w:eastAsia="Calibri" w:cs="Arial"/>
          <w:szCs w:val="20"/>
          <w:lang w:val="en-GB"/>
        </w:rPr>
        <w:fldChar w:fldCharType="separate"/>
      </w:r>
      <w:r w:rsidR="007C3D19">
        <w:rPr>
          <w:rFonts w:eastAsia="Calibri" w:cs="Arial"/>
          <w:szCs w:val="20"/>
          <w:lang w:val="en-GB"/>
        </w:rPr>
        <w:t>Part I</w:t>
      </w:r>
      <w:r w:rsidRPr="009C48DA" w:rsidR="002D69DB">
        <w:rPr>
          <w:rFonts w:eastAsia="Calibri" w:cs="Arial"/>
          <w:szCs w:val="20"/>
          <w:lang w:val="en-GB"/>
        </w:rPr>
        <w:fldChar w:fldCharType="end"/>
      </w:r>
      <w:r w:rsidRPr="009C48DA" w:rsidR="002D69DB">
        <w:rPr>
          <w:rFonts w:eastAsia="Calibri" w:cs="Arial"/>
          <w:szCs w:val="20"/>
          <w:lang w:val="en-GB"/>
        </w:rPr>
        <w:t xml:space="preserve"> (</w:t>
      </w:r>
      <w:r w:rsidRPr="009C48DA" w:rsidR="000F211B">
        <w:rPr>
          <w:rFonts w:eastAsia="Calibri" w:cs="Arial"/>
          <w:i/>
          <w:szCs w:val="20"/>
          <w:lang w:val="en-GB"/>
        </w:rPr>
        <w:fldChar w:fldCharType="begin"/>
      </w:r>
      <w:r w:rsidRPr="009C48DA" w:rsidR="000F211B">
        <w:rPr>
          <w:rFonts w:eastAsia="Calibri" w:cs="Arial"/>
          <w:i/>
          <w:szCs w:val="20"/>
          <w:lang w:val="en-GB"/>
        </w:rPr>
        <w:instrText xml:space="preserve"> REF _Ref75190583 \h  \* MERGEFORMAT </w:instrText>
      </w:r>
      <w:r w:rsidRPr="009C48DA" w:rsidR="000F211B">
        <w:rPr>
          <w:rFonts w:eastAsia="Calibri" w:cs="Arial"/>
          <w:i/>
          <w:szCs w:val="20"/>
          <w:lang w:val="en-GB"/>
        </w:rPr>
      </w:r>
      <w:r w:rsidRPr="009C48DA" w:rsidR="000F211B">
        <w:rPr>
          <w:rFonts w:eastAsia="Calibri" w:cs="Arial"/>
          <w:i/>
          <w:szCs w:val="20"/>
          <w:lang w:val="en-GB"/>
        </w:rPr>
        <w:fldChar w:fldCharType="separate"/>
      </w:r>
      <w:r w:rsidRPr="007C3D19" w:rsidR="007C3D19">
        <w:rPr>
          <w:i/>
          <w:lang w:val="en-GB"/>
        </w:rPr>
        <w:t>Risk Factors</w:t>
      </w:r>
      <w:r w:rsidRPr="009C48DA" w:rsidR="000F211B">
        <w:rPr>
          <w:rFonts w:eastAsia="Calibri" w:cs="Arial"/>
          <w:i/>
          <w:szCs w:val="20"/>
          <w:lang w:val="en-GB"/>
        </w:rPr>
        <w:fldChar w:fldCharType="end"/>
      </w:r>
      <w:r w:rsidRPr="009C48DA" w:rsidR="002D69DB">
        <w:rPr>
          <w:rFonts w:eastAsia="Calibri" w:cs="Arial"/>
          <w:szCs w:val="20"/>
          <w:lang w:val="en-GB"/>
        </w:rPr>
        <w:t xml:space="preserve">) </w:t>
      </w:r>
      <w:r w:rsidRPr="009C48DA">
        <w:rPr>
          <w:rFonts w:eastAsia="Calibri" w:cs="Arial"/>
          <w:szCs w:val="20"/>
          <w:lang w:val="en-GB"/>
        </w:rPr>
        <w:t>for a further discussion of the risks associated with the COVID-19 pandemic and similar events.</w:t>
      </w:r>
    </w:p>
    <w:p w:rsidRPr="009C48DA" w:rsidR="00B51E80" w:rsidP="000F211B" w:rsidRDefault="00B51E80" w14:paraId="252054B2" w14:textId="417BA0FC">
      <w:pPr>
        <w:pStyle w:val="BodyText2SglJ"/>
        <w:rPr>
          <w:rFonts w:eastAsia="Calibri" w:cs="Arial"/>
          <w:szCs w:val="20"/>
          <w:lang w:val="en-GB"/>
        </w:rPr>
      </w:pPr>
      <w:r w:rsidRPr="009C48DA">
        <w:rPr>
          <w:rFonts w:eastAsia="Calibri" w:cs="Arial"/>
          <w:szCs w:val="20"/>
          <w:lang w:val="en-GB"/>
        </w:rPr>
        <w:t>For a more detailed description of how economic and global financial market conditions can materially affect the Group’s business, results of operations, financial condition and prospects, see “</w:t>
      </w:r>
      <w:r w:rsidRPr="009C48DA">
        <w:rPr>
          <w:rFonts w:eastAsia="Calibri" w:cs="Arial"/>
          <w:i/>
          <w:szCs w:val="20"/>
          <w:lang w:val="en-GB"/>
        </w:rPr>
        <w:t>Risks related to the Group’s Business, Industry and Markets</w:t>
      </w:r>
      <w:r w:rsidRPr="009C48DA">
        <w:rPr>
          <w:rFonts w:eastAsia="Calibri" w:cs="Arial"/>
          <w:szCs w:val="20"/>
          <w:lang w:val="en-GB"/>
        </w:rPr>
        <w:t>”</w:t>
      </w:r>
      <w:r w:rsidRPr="009C48DA" w:rsidR="002D69DB">
        <w:rPr>
          <w:rFonts w:eastAsia="Calibri" w:cs="Arial"/>
          <w:szCs w:val="20"/>
          <w:lang w:val="en-GB"/>
        </w:rPr>
        <w:t xml:space="preserve"> in </w:t>
      </w:r>
      <w:r w:rsidRPr="009C48DA" w:rsidR="002D69DB">
        <w:rPr>
          <w:rFonts w:eastAsia="Calibri" w:cs="Arial"/>
          <w:szCs w:val="20"/>
          <w:lang w:val="en-GB"/>
        </w:rPr>
        <w:fldChar w:fldCharType="begin"/>
      </w:r>
      <w:r w:rsidRPr="009C48DA" w:rsidR="002D69DB">
        <w:rPr>
          <w:rFonts w:eastAsia="Calibri" w:cs="Arial"/>
          <w:szCs w:val="20"/>
          <w:lang w:val="en-GB"/>
        </w:rPr>
        <w:instrText xml:space="preserve"> REF _Ref71136204 \n \h </w:instrText>
      </w:r>
      <w:r w:rsidRPr="009C48DA" w:rsidR="002D69DB">
        <w:rPr>
          <w:rFonts w:eastAsia="Calibri" w:cs="Arial"/>
          <w:szCs w:val="20"/>
          <w:lang w:val="en-GB"/>
        </w:rPr>
      </w:r>
      <w:r w:rsidRPr="009C48DA" w:rsidR="002D69DB">
        <w:rPr>
          <w:rFonts w:eastAsia="Calibri" w:cs="Arial"/>
          <w:szCs w:val="20"/>
          <w:lang w:val="en-GB"/>
        </w:rPr>
        <w:fldChar w:fldCharType="separate"/>
      </w:r>
      <w:r w:rsidR="007C3D19">
        <w:rPr>
          <w:rFonts w:eastAsia="Calibri" w:cs="Arial"/>
          <w:szCs w:val="20"/>
          <w:lang w:val="en-GB"/>
        </w:rPr>
        <w:t>Part I</w:t>
      </w:r>
      <w:r w:rsidRPr="009C48DA" w:rsidR="002D69DB">
        <w:rPr>
          <w:rFonts w:eastAsia="Calibri" w:cs="Arial"/>
          <w:szCs w:val="20"/>
          <w:lang w:val="en-GB"/>
        </w:rPr>
        <w:fldChar w:fldCharType="end"/>
      </w:r>
      <w:r w:rsidRPr="009C48DA" w:rsidR="002D69DB">
        <w:rPr>
          <w:rFonts w:eastAsia="Calibri" w:cs="Arial"/>
          <w:szCs w:val="20"/>
          <w:lang w:val="en-GB"/>
        </w:rPr>
        <w:t xml:space="preserve"> (</w:t>
      </w:r>
      <w:r w:rsidRPr="009C48DA" w:rsidR="000F211B">
        <w:rPr>
          <w:rFonts w:eastAsia="Calibri" w:cs="Arial"/>
          <w:i/>
          <w:szCs w:val="20"/>
          <w:lang w:val="en-GB"/>
        </w:rPr>
        <w:fldChar w:fldCharType="begin"/>
      </w:r>
      <w:r w:rsidRPr="009C48DA" w:rsidR="000F211B">
        <w:rPr>
          <w:rFonts w:eastAsia="Calibri" w:cs="Arial"/>
          <w:i/>
          <w:szCs w:val="20"/>
          <w:lang w:val="en-GB"/>
        </w:rPr>
        <w:instrText xml:space="preserve"> REF _Ref75190583 \h  \* MERGEFORMAT </w:instrText>
      </w:r>
      <w:r w:rsidRPr="009C48DA" w:rsidR="000F211B">
        <w:rPr>
          <w:rFonts w:eastAsia="Calibri" w:cs="Arial"/>
          <w:i/>
          <w:szCs w:val="20"/>
          <w:lang w:val="en-GB"/>
        </w:rPr>
      </w:r>
      <w:r w:rsidRPr="009C48DA" w:rsidR="000F211B">
        <w:rPr>
          <w:rFonts w:eastAsia="Calibri" w:cs="Arial"/>
          <w:i/>
          <w:szCs w:val="20"/>
          <w:lang w:val="en-GB"/>
        </w:rPr>
        <w:fldChar w:fldCharType="separate"/>
      </w:r>
      <w:r w:rsidRPr="007C3D19" w:rsidR="007C3D19">
        <w:rPr>
          <w:i/>
          <w:lang w:val="en-GB"/>
        </w:rPr>
        <w:t>Risk Factors</w:t>
      </w:r>
      <w:r w:rsidRPr="009C48DA" w:rsidR="000F211B">
        <w:rPr>
          <w:rFonts w:eastAsia="Calibri" w:cs="Arial"/>
          <w:i/>
          <w:szCs w:val="20"/>
          <w:lang w:val="en-GB"/>
        </w:rPr>
        <w:fldChar w:fldCharType="end"/>
      </w:r>
      <w:r w:rsidRPr="009C48DA" w:rsidR="002D69DB">
        <w:rPr>
          <w:rFonts w:eastAsia="Calibri" w:cs="Arial"/>
          <w:szCs w:val="20"/>
          <w:lang w:val="en-GB"/>
        </w:rPr>
        <w:t>).</w:t>
      </w:r>
    </w:p>
    <w:p w:rsidRPr="009C48DA" w:rsidR="00B51E80" w:rsidP="000C376E" w:rsidRDefault="00B51E80" w14:paraId="645E0089" w14:textId="77777777">
      <w:pPr>
        <w:pStyle w:val="TitleB"/>
        <w:rPr>
          <w:lang w:val="en-GB"/>
        </w:rPr>
      </w:pPr>
      <w:r w:rsidRPr="009C48DA">
        <w:rPr>
          <w:lang w:val="en-GB"/>
        </w:rPr>
        <w:t>Ability to generate attractive returns and to successfully realise investments</w:t>
      </w:r>
    </w:p>
    <w:p w:rsidRPr="009C48DA" w:rsidR="00B51E80" w:rsidP="00B51E80" w:rsidRDefault="00E57AE9" w14:paraId="054779BD" w14:textId="273A3897">
      <w:pPr>
        <w:pStyle w:val="BodyText2SglJ"/>
        <w:rPr>
          <w:rFonts w:eastAsia="Calibri" w:cs="Arial"/>
          <w:szCs w:val="20"/>
          <w:lang w:val="en-GB"/>
        </w:rPr>
      </w:pPr>
      <w:r w:rsidRPr="009C48DA">
        <w:rPr>
          <w:rFonts w:eastAsia="Calibri" w:cs="Arial"/>
          <w:szCs w:val="20"/>
          <w:lang w:val="en-GB"/>
        </w:rPr>
        <w:t xml:space="preserve">Throughout </w:t>
      </w:r>
      <w:r w:rsidRPr="009C48DA" w:rsidR="006D5BFE">
        <w:rPr>
          <w:lang w:val="en-GB"/>
        </w:rPr>
        <w:t>Bridgepoint</w:t>
      </w:r>
      <w:r w:rsidRPr="009C48DA">
        <w:rPr>
          <w:rFonts w:eastAsia="Calibri" w:cs="Arial"/>
          <w:szCs w:val="20"/>
          <w:lang w:val="en-GB"/>
        </w:rPr>
        <w:t xml:space="preserve">’s history, the </w:t>
      </w:r>
      <w:r w:rsidRPr="009C48DA" w:rsidR="007E6165">
        <w:rPr>
          <w:rFonts w:eastAsia="Calibri" w:cs="Arial"/>
          <w:szCs w:val="20"/>
          <w:lang w:val="en-GB"/>
        </w:rPr>
        <w:t xml:space="preserve">Bridgepoint </w:t>
      </w:r>
      <w:r w:rsidRPr="009C48DA">
        <w:rPr>
          <w:rFonts w:eastAsia="Calibri" w:cs="Arial"/>
          <w:szCs w:val="20"/>
          <w:lang w:val="en-GB"/>
        </w:rPr>
        <w:t xml:space="preserve">private equity funds have made investments in over 400 businesses and the </w:t>
      </w:r>
      <w:r w:rsidRPr="009C48DA" w:rsidR="007E6165">
        <w:rPr>
          <w:rFonts w:eastAsia="Calibri" w:cs="Arial"/>
          <w:szCs w:val="20"/>
          <w:lang w:val="en-GB"/>
        </w:rPr>
        <w:t xml:space="preserve">Bridgepoint </w:t>
      </w:r>
      <w:r w:rsidRPr="009C48DA">
        <w:rPr>
          <w:rFonts w:eastAsia="Calibri" w:cs="Arial"/>
          <w:szCs w:val="20"/>
          <w:lang w:val="en-GB"/>
        </w:rPr>
        <w:t xml:space="preserve">private credit funds have provided private credit to over 250 businesses. </w:t>
      </w:r>
      <w:r w:rsidRPr="009C48DA">
        <w:rPr>
          <w:rFonts w:eastAsia="Calibri" w:cs="Arial"/>
          <w:lang w:val="en-GB"/>
        </w:rPr>
        <w:t xml:space="preserve">The Group’s track record is demonstrated by the 2.5 times Gross MOIC </w:t>
      </w:r>
      <w:r w:rsidRPr="009C48DA">
        <w:rPr>
          <w:rFonts w:eastAsia="Calibri" w:cs="Arial"/>
          <w:szCs w:val="20"/>
          <w:lang w:val="en-GB"/>
        </w:rPr>
        <w:t>and 22.6 per cent realised gross IRR</w:t>
      </w:r>
      <w:r w:rsidRPr="009C48DA" w:rsidR="00906792">
        <w:rPr>
          <w:rFonts w:eastAsia="Calibri" w:cs="Arial"/>
          <w:szCs w:val="20"/>
          <w:lang w:val="en-GB"/>
        </w:rPr>
        <w:t xml:space="preserve">, in each case based on realised investments and </w:t>
      </w:r>
      <w:r w:rsidRPr="009C48DA">
        <w:rPr>
          <w:rFonts w:eastAsia="Calibri" w:cs="Arial"/>
          <w:szCs w:val="20"/>
          <w:lang w:val="en-GB"/>
        </w:rPr>
        <w:t xml:space="preserve">delivered on invested capital after the global financial crisis (in the period from the first quarter of 2009 through the fourth quarter of 2020) across the </w:t>
      </w:r>
      <w:r w:rsidRPr="009C48DA" w:rsidR="007E6165">
        <w:rPr>
          <w:rFonts w:eastAsia="Calibri" w:cs="Arial"/>
          <w:szCs w:val="20"/>
          <w:lang w:val="en-GB"/>
        </w:rPr>
        <w:t xml:space="preserve">Bridgepoint </w:t>
      </w:r>
      <w:r w:rsidRPr="009C48DA">
        <w:rPr>
          <w:rFonts w:eastAsia="Calibri" w:cs="Arial"/>
          <w:szCs w:val="20"/>
          <w:lang w:val="en-GB"/>
        </w:rPr>
        <w:t xml:space="preserve">Europe </w:t>
      </w:r>
      <w:r w:rsidRPr="009C48DA" w:rsidR="00EE3C99">
        <w:rPr>
          <w:rFonts w:eastAsia="Calibri" w:cs="Arial"/>
          <w:szCs w:val="20"/>
          <w:lang w:val="en-GB"/>
        </w:rPr>
        <w:t>f</w:t>
      </w:r>
      <w:r w:rsidRPr="009C48DA">
        <w:rPr>
          <w:rFonts w:eastAsia="Calibri" w:cs="Arial"/>
          <w:szCs w:val="20"/>
          <w:lang w:val="en-GB"/>
        </w:rPr>
        <w:t xml:space="preserve">unds IV to VI, </w:t>
      </w:r>
      <w:r w:rsidRPr="009C48DA" w:rsidR="007E6165">
        <w:rPr>
          <w:rFonts w:eastAsia="Calibri" w:cs="Arial"/>
          <w:szCs w:val="20"/>
          <w:lang w:val="en-GB"/>
        </w:rPr>
        <w:t xml:space="preserve">Bridgepoint </w:t>
      </w:r>
      <w:r w:rsidRPr="009C48DA">
        <w:rPr>
          <w:rFonts w:eastAsia="Calibri" w:cs="Arial"/>
          <w:szCs w:val="20"/>
          <w:lang w:val="en-GB"/>
        </w:rPr>
        <w:t xml:space="preserve">Development Capital Funds I to III and </w:t>
      </w:r>
      <w:r w:rsidRPr="009C48DA" w:rsidR="007E6165">
        <w:rPr>
          <w:rFonts w:eastAsia="Calibri" w:cs="Arial"/>
          <w:szCs w:val="20"/>
          <w:lang w:val="en-GB"/>
        </w:rPr>
        <w:t xml:space="preserve">Bridgepoint </w:t>
      </w:r>
      <w:r w:rsidRPr="009C48DA">
        <w:rPr>
          <w:rFonts w:eastAsia="Calibri" w:cs="Arial"/>
          <w:szCs w:val="20"/>
          <w:lang w:val="en-GB"/>
        </w:rPr>
        <w:t>Growth</w:t>
      </w:r>
      <w:r w:rsidRPr="009C48DA">
        <w:rPr>
          <w:rFonts w:eastAsia="Calibri" w:cs="Arial"/>
          <w:lang w:val="en-GB"/>
        </w:rPr>
        <w:t xml:space="preserve">. </w:t>
      </w:r>
      <w:r w:rsidRPr="009C48DA">
        <w:rPr>
          <w:rFonts w:eastAsia="Calibri" w:cs="Arial"/>
          <w:szCs w:val="20"/>
          <w:lang w:val="en-GB"/>
        </w:rPr>
        <w:t>See “—</w:t>
      </w:r>
      <w:r w:rsidRPr="009C48DA">
        <w:rPr>
          <w:rFonts w:eastAsia="Calibri" w:cs="Arial"/>
          <w:i/>
          <w:szCs w:val="20"/>
          <w:lang w:val="en-GB"/>
        </w:rPr>
        <w:t xml:space="preserve">Financial Model—Selected Key Metrics of the </w:t>
      </w:r>
      <w:r w:rsidRPr="009C48DA" w:rsidR="007E6165">
        <w:rPr>
          <w:rFonts w:eastAsia="Calibri" w:cs="Arial"/>
          <w:i/>
          <w:szCs w:val="20"/>
          <w:lang w:val="en-GB"/>
        </w:rPr>
        <w:t xml:space="preserve">Bridgepoint </w:t>
      </w:r>
      <w:r w:rsidRPr="009C48DA">
        <w:rPr>
          <w:rFonts w:eastAsia="Calibri" w:cs="Arial"/>
          <w:i/>
          <w:szCs w:val="20"/>
          <w:lang w:val="en-GB"/>
        </w:rPr>
        <w:t>Funds</w:t>
      </w:r>
      <w:r w:rsidRPr="009C48DA">
        <w:rPr>
          <w:rFonts w:eastAsia="Calibri" w:cs="Arial"/>
          <w:szCs w:val="20"/>
          <w:lang w:val="en-GB"/>
        </w:rPr>
        <w:t xml:space="preserve">” for a detailed definition of Gross MOIC and IRR and how they are calculated. </w:t>
      </w:r>
      <w:r w:rsidRPr="009C48DA">
        <w:rPr>
          <w:rFonts w:eastAsia="Calibri" w:cs="Arial"/>
          <w:lang w:val="en-GB"/>
        </w:rPr>
        <w:t xml:space="preserve">As of 31 March 2021, the Group’s current flagship </w:t>
      </w:r>
      <w:r w:rsidRPr="009C48DA">
        <w:rPr>
          <w:rFonts w:eastAsia="Calibri" w:cs="Arial"/>
          <w:lang w:val="en-GB"/>
        </w:rPr>
        <w:lastRenderedPageBreak/>
        <w:t xml:space="preserve">fund in the private equity segment, </w:t>
      </w:r>
      <w:r w:rsidRPr="009C48DA" w:rsidR="007E6165">
        <w:rPr>
          <w:rFonts w:eastAsia="Calibri" w:cs="Arial"/>
          <w:szCs w:val="20"/>
          <w:lang w:val="en-GB"/>
        </w:rPr>
        <w:t xml:space="preserve">Bridgepoint </w:t>
      </w:r>
      <w:r w:rsidRPr="009C48DA">
        <w:rPr>
          <w:rFonts w:eastAsia="Calibri" w:cs="Arial"/>
          <w:lang w:val="en-GB"/>
        </w:rPr>
        <w:t xml:space="preserve">Europe VI, would </w:t>
      </w:r>
      <w:r w:rsidRPr="009C48DA" w:rsidR="00BA00CD">
        <w:rPr>
          <w:rFonts w:eastAsia="Calibri" w:cs="Arial"/>
          <w:lang w:val="en-GB"/>
        </w:rPr>
        <w:t xml:space="preserve">have </w:t>
      </w:r>
      <w:r w:rsidRPr="009C48DA">
        <w:rPr>
          <w:rFonts w:eastAsia="Calibri" w:cs="Arial"/>
          <w:lang w:val="en-GB"/>
        </w:rPr>
        <w:t>rank</w:t>
      </w:r>
      <w:r w:rsidRPr="009C48DA" w:rsidR="00BA00CD">
        <w:rPr>
          <w:rFonts w:eastAsia="Calibri" w:cs="Arial"/>
          <w:lang w:val="en-GB"/>
        </w:rPr>
        <w:t>ed</w:t>
      </w:r>
      <w:r w:rsidRPr="009C48DA">
        <w:rPr>
          <w:rFonts w:eastAsia="Calibri" w:cs="Arial"/>
          <w:lang w:val="en-GB"/>
        </w:rPr>
        <w:t xml:space="preserve"> in t</w:t>
      </w:r>
      <w:r w:rsidRPr="009C48DA" w:rsidR="00BA00CD">
        <w:rPr>
          <w:rFonts w:eastAsia="Calibri" w:cs="Arial"/>
          <w:lang w:val="en-GB"/>
        </w:rPr>
        <w:t>he top 50 companies in the FTSE </w:t>
      </w:r>
      <w:r w:rsidRPr="009C48DA">
        <w:rPr>
          <w:rFonts w:eastAsia="Calibri" w:cs="Arial"/>
          <w:lang w:val="en-GB"/>
        </w:rPr>
        <w:t xml:space="preserve">100 on an enterprise value </w:t>
      </w:r>
      <w:r w:rsidRPr="009C48DA" w:rsidR="00B51E80">
        <w:rPr>
          <w:rFonts w:eastAsia="Calibri" w:cs="Arial"/>
          <w:szCs w:val="20"/>
          <w:lang w:val="en-GB"/>
        </w:rPr>
        <w:t>basis</w:t>
      </w:r>
      <w:r w:rsidRPr="009C48DA" w:rsidR="00190876">
        <w:rPr>
          <w:rFonts w:eastAsia="Calibri" w:cs="Arial"/>
          <w:szCs w:val="20"/>
          <w:lang w:val="en-GB"/>
        </w:rPr>
        <w:t>.</w:t>
      </w:r>
      <w:r w:rsidRPr="009C48DA" w:rsidR="00B51E80">
        <w:rPr>
          <w:rStyle w:val="FootnoteReference"/>
          <w:rFonts w:eastAsia="Calibri" w:cs="Arial"/>
          <w:szCs w:val="20"/>
          <w:lang w:val="en-GB"/>
        </w:rPr>
        <w:footnoteReference w:id="46"/>
      </w:r>
    </w:p>
    <w:p w:rsidRPr="009C48DA" w:rsidR="00B51E80" w:rsidP="00B51E80" w:rsidRDefault="00B51E80" w14:paraId="221605B4" w14:textId="55A2C9A6">
      <w:pPr>
        <w:pStyle w:val="BodyText2SglJ"/>
        <w:rPr>
          <w:rFonts w:eastAsia="Calibri" w:cs="Arial"/>
          <w:szCs w:val="20"/>
          <w:lang w:val="en-GB"/>
        </w:rPr>
      </w:pPr>
      <w:r w:rsidRPr="009C48DA">
        <w:rPr>
          <w:szCs w:val="20"/>
          <w:lang w:val="en-GB"/>
        </w:rPr>
        <w:t>The</w:t>
      </w:r>
      <w:r w:rsidRPr="009C48DA">
        <w:rPr>
          <w:rFonts w:eastAsia="Calibri" w:cs="Arial"/>
          <w:szCs w:val="20"/>
          <w:lang w:val="en-GB"/>
        </w:rPr>
        <w:t xml:space="preserve"> </w:t>
      </w:r>
      <w:r w:rsidRPr="009C48DA" w:rsidR="007E6165">
        <w:rPr>
          <w:rFonts w:eastAsia="Calibri" w:cs="Arial"/>
          <w:szCs w:val="20"/>
          <w:lang w:val="en-GB"/>
        </w:rPr>
        <w:t xml:space="preserve">Bridgepoint </w:t>
      </w:r>
      <w:r w:rsidRPr="009C48DA">
        <w:rPr>
          <w:rFonts w:eastAsia="Calibri" w:cs="Arial"/>
          <w:szCs w:val="20"/>
          <w:lang w:val="en-GB"/>
        </w:rPr>
        <w:t>Funds’ ability to generate attractive absolute and relative returns for investors and successfully realise investments has a direct impact on the Group’s ability to raise capital for new funds and on its revenue from management fees, carried interest and income</w:t>
      </w:r>
      <w:r w:rsidRPr="009C48DA" w:rsidR="002D69DB">
        <w:rPr>
          <w:rFonts w:eastAsia="Calibri" w:cs="Arial"/>
          <w:szCs w:val="20"/>
          <w:lang w:val="en-GB"/>
        </w:rPr>
        <w:t xml:space="preserve"> from the fair value remeasurement of investments</w:t>
      </w:r>
      <w:r w:rsidRPr="009C48DA">
        <w:rPr>
          <w:rFonts w:eastAsia="Calibri" w:cs="Arial"/>
          <w:szCs w:val="20"/>
          <w:lang w:val="en-GB"/>
        </w:rPr>
        <w:t xml:space="preserve">. While the timing and level of returns may deviate over a business cycle, the anticipated relative performance of the </w:t>
      </w:r>
      <w:r w:rsidRPr="009C48DA" w:rsidR="007E6165">
        <w:rPr>
          <w:rFonts w:eastAsia="Calibri" w:cs="Arial"/>
          <w:szCs w:val="20"/>
          <w:lang w:val="en-GB"/>
        </w:rPr>
        <w:t xml:space="preserve">Bridgepoint </w:t>
      </w:r>
      <w:r w:rsidRPr="009C48DA">
        <w:rPr>
          <w:rFonts w:eastAsia="Calibri" w:cs="Arial"/>
          <w:szCs w:val="20"/>
          <w:lang w:val="en-GB"/>
        </w:rPr>
        <w:t>Funds and their underlying investments compared to a potential investor’s range of alternative investment opportunities needs to be sufficiently attractive.</w:t>
      </w:r>
    </w:p>
    <w:p w:rsidRPr="009C48DA" w:rsidR="00B51E80" w:rsidP="00B51E80" w:rsidRDefault="00B51E80" w14:paraId="41E58D27" w14:textId="77777777">
      <w:pPr>
        <w:pStyle w:val="BodyText2SglJ"/>
        <w:rPr>
          <w:rFonts w:eastAsia="Calibri" w:cs="Arial"/>
          <w:szCs w:val="20"/>
          <w:lang w:val="en-GB"/>
        </w:rPr>
      </w:pPr>
      <w:r w:rsidRPr="009C48DA">
        <w:rPr>
          <w:rFonts w:eastAsia="Calibri" w:cs="Arial"/>
          <w:szCs w:val="20"/>
          <w:lang w:val="en-GB"/>
        </w:rPr>
        <w:t>The Group believes that the following factors have driven, and are expected to continue to drive, the Group’s future fund performance and ability to realise investments:</w:t>
      </w:r>
    </w:p>
    <w:p w:rsidRPr="009C48DA" w:rsidR="00B51E80" w:rsidP="00B51E80" w:rsidRDefault="00B51E80" w14:paraId="1E64E4F1" w14:textId="77777777">
      <w:pPr>
        <w:pStyle w:val="STBBullet3"/>
        <w:rPr>
          <w:szCs w:val="20"/>
          <w:lang w:val="en-GB"/>
        </w:rPr>
      </w:pPr>
      <w:r w:rsidRPr="009C48DA">
        <w:rPr>
          <w:szCs w:val="20"/>
          <w:lang w:val="en-GB"/>
        </w:rPr>
        <w:t>the ability to drive returns utilising a defined framework with a proven method of value creation and a thematic investment strategy with a clear focus on the middle market segment;</w:t>
      </w:r>
    </w:p>
    <w:p w:rsidRPr="009C48DA" w:rsidR="00B51E80" w:rsidP="00B51E80" w:rsidRDefault="00B51E80" w14:paraId="1FAFA7E0" w14:textId="77777777">
      <w:pPr>
        <w:pStyle w:val="STBBullet3"/>
        <w:rPr>
          <w:szCs w:val="20"/>
          <w:lang w:val="en-GB"/>
        </w:rPr>
      </w:pPr>
      <w:r w:rsidRPr="009C48DA">
        <w:rPr>
          <w:szCs w:val="20"/>
          <w:lang w:val="en-GB"/>
        </w:rPr>
        <w:t>a long-term investment horizon aimed towards organisational and operational development, revenue enhancement through product innovation and sales excellence, operational and cost optimisation and efficient capital management in a diversified investment portfolio;</w:t>
      </w:r>
    </w:p>
    <w:p w:rsidRPr="009C48DA" w:rsidR="00B51E80" w:rsidP="00B51E80" w:rsidRDefault="00B51E80" w14:paraId="30C80A4D" w14:textId="00BDC9D9">
      <w:pPr>
        <w:pStyle w:val="STBBullet3"/>
        <w:rPr>
          <w:szCs w:val="20"/>
          <w:lang w:val="en-GB"/>
        </w:rPr>
      </w:pPr>
      <w:r w:rsidRPr="009C48DA">
        <w:rPr>
          <w:szCs w:val="20"/>
          <w:lang w:val="en-GB"/>
        </w:rPr>
        <w:t xml:space="preserve">successful recruitment and/or development of management teams and boards in the </w:t>
      </w:r>
      <w:r w:rsidRPr="009C48DA" w:rsidR="007E6165">
        <w:rPr>
          <w:rFonts w:eastAsia="Calibri" w:cs="Arial"/>
          <w:szCs w:val="20"/>
          <w:lang w:val="en-GB"/>
        </w:rPr>
        <w:t xml:space="preserve">Bridgepoint </w:t>
      </w:r>
      <w:r w:rsidRPr="009C48DA">
        <w:rPr>
          <w:szCs w:val="20"/>
          <w:lang w:val="en-GB"/>
        </w:rPr>
        <w:t>Funds’ investments to professionalise the portfolio companies and their corporate governance and deliver on the potential of strategy and value creation;</w:t>
      </w:r>
    </w:p>
    <w:p w:rsidRPr="009C48DA" w:rsidR="00B51E80" w:rsidP="00B51E80" w:rsidRDefault="00B51E80" w14:paraId="05400238" w14:textId="1A034FD9">
      <w:pPr>
        <w:pStyle w:val="STBBullet3"/>
        <w:rPr>
          <w:szCs w:val="20"/>
          <w:lang w:val="en-GB"/>
        </w:rPr>
      </w:pPr>
      <w:r w:rsidRPr="009C48DA">
        <w:rPr>
          <w:szCs w:val="20"/>
          <w:lang w:val="en-GB"/>
        </w:rPr>
        <w:t xml:space="preserve">effective use of the existing deep network of </w:t>
      </w:r>
      <w:r w:rsidRPr="009C48DA" w:rsidR="007E6165">
        <w:rPr>
          <w:rFonts w:eastAsia="Calibri" w:cs="Arial"/>
          <w:szCs w:val="20"/>
          <w:lang w:val="en-GB"/>
        </w:rPr>
        <w:t xml:space="preserve">Bridgepoint </w:t>
      </w:r>
      <w:r w:rsidRPr="009C48DA">
        <w:rPr>
          <w:szCs w:val="20"/>
          <w:lang w:val="en-GB"/>
        </w:rPr>
        <w:t xml:space="preserve">investment professionals with extensive industry knowledge and the Group’s professional support specialists teams (including investor services, finance, capital markets, procurement, fund administration and accounting, legal, regulatory and compliance, human resources, digital and external affairs teams), who support the portfolio companies of the </w:t>
      </w:r>
      <w:r w:rsidRPr="009C48DA" w:rsidR="007E6165">
        <w:rPr>
          <w:rFonts w:eastAsia="Calibri" w:cs="Arial"/>
          <w:szCs w:val="20"/>
          <w:lang w:val="en-GB"/>
        </w:rPr>
        <w:t xml:space="preserve">Bridgepoint </w:t>
      </w:r>
      <w:r w:rsidRPr="009C48DA">
        <w:rPr>
          <w:szCs w:val="20"/>
          <w:lang w:val="en-GB"/>
        </w:rPr>
        <w:t>Funds across the investment cycle;</w:t>
      </w:r>
    </w:p>
    <w:p w:rsidRPr="009C48DA" w:rsidR="00B51E80" w:rsidP="00B51E80" w:rsidRDefault="00B51E80" w14:paraId="03A1D472" w14:textId="2D2E9CC2">
      <w:pPr>
        <w:pStyle w:val="STBBullet3"/>
        <w:rPr>
          <w:szCs w:val="20"/>
          <w:lang w:val="en-GB"/>
        </w:rPr>
      </w:pPr>
      <w:r w:rsidRPr="009C48DA">
        <w:rPr>
          <w:szCs w:val="20"/>
          <w:lang w:val="en-GB"/>
        </w:rPr>
        <w:t xml:space="preserve">the continued ability to offer a collaborative governance structure between the Group’s fund management, professional support and specialist teams and the </w:t>
      </w:r>
      <w:r w:rsidRPr="009C48DA" w:rsidR="007E6165">
        <w:rPr>
          <w:rFonts w:eastAsia="Calibri" w:cs="Arial"/>
          <w:szCs w:val="20"/>
          <w:lang w:val="en-GB"/>
        </w:rPr>
        <w:t xml:space="preserve">Bridgepoint </w:t>
      </w:r>
      <w:r w:rsidRPr="009C48DA">
        <w:rPr>
          <w:szCs w:val="20"/>
          <w:lang w:val="en-GB"/>
        </w:rPr>
        <w:t xml:space="preserve">Funds’ portfolio companies to leverage the entire </w:t>
      </w:r>
      <w:r w:rsidRPr="009C48DA" w:rsidR="007E6165">
        <w:rPr>
          <w:rFonts w:eastAsia="Calibri" w:cs="Arial"/>
          <w:szCs w:val="20"/>
          <w:lang w:val="en-GB"/>
        </w:rPr>
        <w:t xml:space="preserve">Bridgepoint </w:t>
      </w:r>
      <w:r w:rsidRPr="009C48DA">
        <w:rPr>
          <w:szCs w:val="20"/>
          <w:lang w:val="en-GB"/>
        </w:rPr>
        <w:t>platform in terms of experience, knowledge and development capacity;</w:t>
      </w:r>
    </w:p>
    <w:p w:rsidRPr="009C48DA" w:rsidR="00B51E80" w:rsidP="00B51E80" w:rsidRDefault="00B51E80" w14:paraId="725FD26F" w14:textId="77777777">
      <w:pPr>
        <w:pStyle w:val="STBBullet3"/>
        <w:rPr>
          <w:szCs w:val="20"/>
          <w:lang w:val="en-GB"/>
        </w:rPr>
      </w:pPr>
      <w:r w:rsidRPr="009C48DA">
        <w:rPr>
          <w:szCs w:val="20"/>
          <w:lang w:val="en-GB"/>
        </w:rPr>
        <w:t>the Group’s ability to promote and support transformational change with an ambition of supporting the development of future-proofed companies through organic- and acquisition-driven initiatives in the Group’s focus areas for investments;</w:t>
      </w:r>
    </w:p>
    <w:p w:rsidRPr="009C48DA" w:rsidR="00B51E80" w:rsidP="00B51E80" w:rsidRDefault="00B51E80" w14:paraId="6118CEEE" w14:textId="7EE04C52">
      <w:pPr>
        <w:pStyle w:val="STBBullet3"/>
        <w:rPr>
          <w:szCs w:val="20"/>
          <w:lang w:val="en-GB"/>
        </w:rPr>
      </w:pPr>
      <w:r w:rsidRPr="009C48DA">
        <w:rPr>
          <w:szCs w:val="20"/>
          <w:lang w:val="en-GB"/>
        </w:rPr>
        <w:t>the maintenance of the Group’s approach and mind-set of creating hands-on value for its funds’ investments and assisting them with the implementation of operational improvements and through the execution of add-on transactions and, where relevant, their international expansion;</w:t>
      </w:r>
    </w:p>
    <w:p w:rsidRPr="009C48DA" w:rsidR="00B51E80" w:rsidP="00B51E80" w:rsidRDefault="00B51E80" w14:paraId="0FC75BCD" w14:textId="77AFE759">
      <w:pPr>
        <w:pStyle w:val="STBBullet3"/>
        <w:rPr>
          <w:szCs w:val="20"/>
          <w:lang w:val="en-GB"/>
        </w:rPr>
      </w:pPr>
      <w:r w:rsidRPr="009C48DA">
        <w:rPr>
          <w:szCs w:val="20"/>
          <w:lang w:val="en-GB"/>
        </w:rPr>
        <w:t xml:space="preserve">the availability of financial leverage at competitive cost when financing the acquisition of, and investments in, portfolio companies of the </w:t>
      </w:r>
      <w:r w:rsidRPr="009C48DA" w:rsidR="007E6165">
        <w:rPr>
          <w:rFonts w:eastAsia="Calibri" w:cs="Arial"/>
          <w:szCs w:val="20"/>
          <w:lang w:val="en-GB"/>
        </w:rPr>
        <w:t xml:space="preserve">Bridgepoint </w:t>
      </w:r>
      <w:r w:rsidRPr="009C48DA">
        <w:rPr>
          <w:szCs w:val="20"/>
          <w:lang w:val="en-GB"/>
        </w:rPr>
        <w:t xml:space="preserve">Funds; </w:t>
      </w:r>
    </w:p>
    <w:p w:rsidRPr="009C48DA" w:rsidR="00B51E80" w:rsidP="00B51E80" w:rsidRDefault="00B51E80" w14:paraId="6E198B0E" w14:textId="23C8A232">
      <w:pPr>
        <w:pStyle w:val="STBBullet3"/>
        <w:rPr>
          <w:szCs w:val="20"/>
          <w:lang w:val="en-GB"/>
        </w:rPr>
      </w:pPr>
      <w:r w:rsidRPr="009C48DA">
        <w:rPr>
          <w:szCs w:val="20"/>
          <w:lang w:val="en-GB"/>
        </w:rPr>
        <w:t xml:space="preserve">volatility within the debt and equity markets as it increases both the opportunities and risks in the areas the Group operates in and directly affects the performance of the </w:t>
      </w:r>
      <w:r w:rsidRPr="009C48DA" w:rsidR="007F7AA9">
        <w:rPr>
          <w:rFonts w:eastAsia="Calibri" w:cs="Arial"/>
          <w:szCs w:val="20"/>
          <w:lang w:val="en-GB"/>
        </w:rPr>
        <w:t xml:space="preserve">Bridgepoint </w:t>
      </w:r>
      <w:r w:rsidRPr="009C48DA">
        <w:rPr>
          <w:szCs w:val="20"/>
          <w:lang w:val="en-GB"/>
        </w:rPr>
        <w:t>Funds; and</w:t>
      </w:r>
    </w:p>
    <w:p w:rsidRPr="009C48DA" w:rsidR="00B51E80" w:rsidP="00B51E80" w:rsidRDefault="00B51E80" w14:paraId="64F89224" w14:textId="77777777">
      <w:pPr>
        <w:pStyle w:val="STBBullet3"/>
        <w:rPr>
          <w:szCs w:val="20"/>
          <w:lang w:val="en-GB"/>
        </w:rPr>
      </w:pPr>
      <w:r w:rsidRPr="009C48DA">
        <w:rPr>
          <w:szCs w:val="20"/>
          <w:lang w:val="en-GB"/>
        </w:rPr>
        <w:t>the Group’s access to a range of international capital markets and its relationships with other financial market participants, enabling the realisation of investments across a series of avenues, including initial public offerings and M&amp;A transactions.</w:t>
      </w:r>
    </w:p>
    <w:p w:rsidRPr="009C48DA" w:rsidR="00B51E80" w:rsidP="00B51E80" w:rsidRDefault="00B51E80" w14:paraId="2F0B6B3C" w14:textId="0F8A071F">
      <w:pPr>
        <w:pStyle w:val="BodyText2SglJ"/>
        <w:rPr>
          <w:rFonts w:eastAsia="Calibri" w:cs="Arial"/>
          <w:szCs w:val="20"/>
          <w:lang w:val="en-GB"/>
        </w:rPr>
      </w:pPr>
      <w:r w:rsidRPr="009C48DA">
        <w:rPr>
          <w:rFonts w:eastAsia="Calibri" w:cs="Arial"/>
          <w:szCs w:val="20"/>
          <w:lang w:val="en-GB"/>
        </w:rPr>
        <w:lastRenderedPageBreak/>
        <w:t xml:space="preserve">With </w:t>
      </w:r>
      <w:r w:rsidRPr="009C48DA">
        <w:rPr>
          <w:szCs w:val="20"/>
          <w:lang w:val="en-GB"/>
        </w:rPr>
        <w:t>an</w:t>
      </w:r>
      <w:r w:rsidRPr="009C48DA">
        <w:rPr>
          <w:rFonts w:eastAsia="Calibri" w:cs="Arial"/>
          <w:szCs w:val="20"/>
          <w:lang w:val="en-GB"/>
        </w:rPr>
        <w:t xml:space="preserve"> established method for value creation and a thematic investment approach with a demonstrated track record and a clear focus on the middle market segment of the private investment funds market, the Group considers itself to be a highly cash generative business and expects the </w:t>
      </w:r>
      <w:r w:rsidRPr="009C48DA" w:rsidR="007F7AA9">
        <w:rPr>
          <w:rFonts w:eastAsia="Calibri" w:cs="Arial"/>
          <w:szCs w:val="20"/>
          <w:lang w:val="en-GB"/>
        </w:rPr>
        <w:t xml:space="preserve">Bridgepoint </w:t>
      </w:r>
      <w:r w:rsidRPr="009C48DA">
        <w:rPr>
          <w:rFonts w:eastAsia="Calibri" w:cs="Arial"/>
          <w:szCs w:val="20"/>
          <w:lang w:val="en-GB"/>
        </w:rPr>
        <w:t>Funds to be able to continue to deliver strong investment performance with portfolio companies that are attractive to both public and private owners.</w:t>
      </w:r>
    </w:p>
    <w:p w:rsidRPr="009C48DA" w:rsidR="00B51E80" w:rsidP="000C376E" w:rsidRDefault="00B51E80" w14:paraId="641DB5CF" w14:textId="77777777">
      <w:pPr>
        <w:pStyle w:val="TitleB"/>
        <w:rPr>
          <w:lang w:val="en-GB"/>
        </w:rPr>
      </w:pPr>
      <w:r w:rsidRPr="009C48DA">
        <w:rPr>
          <w:lang w:val="en-GB"/>
        </w:rPr>
        <w:t xml:space="preserve">Ability to deploy capital and source investments </w:t>
      </w:r>
    </w:p>
    <w:p w:rsidRPr="009C48DA" w:rsidR="00B51E80" w:rsidP="00B51E80" w:rsidRDefault="00B51E80" w14:paraId="62D4BE4F" w14:textId="67537DDD">
      <w:pPr>
        <w:pStyle w:val="BodyText2SglJ"/>
        <w:rPr>
          <w:rFonts w:eastAsia="Calibri" w:cs="Arial"/>
          <w:szCs w:val="20"/>
          <w:lang w:val="en-GB"/>
        </w:rPr>
      </w:pPr>
      <w:r w:rsidRPr="009C48DA">
        <w:rPr>
          <w:szCs w:val="20"/>
          <w:lang w:val="en-GB"/>
        </w:rPr>
        <w:t>The</w:t>
      </w:r>
      <w:r w:rsidRPr="009C48DA">
        <w:rPr>
          <w:rFonts w:eastAsia="Calibri" w:cs="Arial"/>
          <w:szCs w:val="20"/>
          <w:lang w:val="en-GB"/>
        </w:rPr>
        <w:t xml:space="preserve"> Group’s ability to raise new capital and generate revenue through management fees, carried interest and income </w:t>
      </w:r>
      <w:r w:rsidRPr="009C48DA" w:rsidR="002D69DB">
        <w:rPr>
          <w:rFonts w:eastAsia="Calibri" w:cs="Arial"/>
          <w:szCs w:val="20"/>
          <w:lang w:val="en-GB"/>
        </w:rPr>
        <w:t xml:space="preserve">from the fair value remeasurement of investments </w:t>
      </w:r>
      <w:r w:rsidRPr="009C48DA">
        <w:rPr>
          <w:rFonts w:eastAsia="Calibri" w:cs="Arial"/>
          <w:szCs w:val="20"/>
          <w:lang w:val="en-GB"/>
        </w:rPr>
        <w:t>depends on the Group’s ability to deploy capital and source attractive investment opportunities.</w:t>
      </w:r>
    </w:p>
    <w:p w:rsidRPr="009C48DA" w:rsidR="007F3CAA" w:rsidP="007F3CAA" w:rsidRDefault="007F3CAA" w14:paraId="4402DA0F" w14:textId="0CEB5D76">
      <w:pPr>
        <w:pStyle w:val="BodyText2SglJ"/>
        <w:rPr>
          <w:lang w:val="en-GB"/>
        </w:rPr>
      </w:pPr>
      <w:r w:rsidRPr="009C48DA">
        <w:rPr>
          <w:lang w:val="en-GB"/>
        </w:rPr>
        <w:t>As of 31 March</w:t>
      </w:r>
      <w:r w:rsidRPr="009C48DA">
        <w:rPr>
          <w:rFonts w:cs="Times New Roman"/>
          <w:lang w:val="en-GB"/>
        </w:rPr>
        <w:t xml:space="preserve"> 2021</w:t>
      </w:r>
      <w:r w:rsidRPr="009C48DA">
        <w:rPr>
          <w:lang w:val="en-GB"/>
        </w:rPr>
        <w:t xml:space="preserve">, the most recent funds in each of the Group’s fund strategies, </w:t>
      </w:r>
      <w:r w:rsidRPr="009C48DA" w:rsidR="007F7AA9">
        <w:rPr>
          <w:rFonts w:eastAsia="Calibri" w:cs="Arial"/>
          <w:szCs w:val="20"/>
          <w:lang w:val="en-GB"/>
        </w:rPr>
        <w:t xml:space="preserve">Bridgepoint </w:t>
      </w:r>
      <w:r w:rsidRPr="009C48DA">
        <w:rPr>
          <w:lang w:val="en-GB"/>
        </w:rPr>
        <w:t xml:space="preserve">Europe VI (initial closing in </w:t>
      </w:r>
      <w:r w:rsidRPr="009C48DA">
        <w:rPr>
          <w:rFonts w:cs="Times New Roman"/>
          <w:lang w:val="en-GB"/>
        </w:rPr>
        <w:t xml:space="preserve">2017 </w:t>
      </w:r>
      <w:r w:rsidRPr="009C48DA">
        <w:rPr>
          <w:lang w:val="en-GB"/>
        </w:rPr>
        <w:t xml:space="preserve">with commitments of </w:t>
      </w:r>
      <w:r w:rsidRPr="009C48DA">
        <w:rPr>
          <w:rFonts w:cs="Times New Roman"/>
          <w:lang w:val="en-GB"/>
        </w:rPr>
        <w:t xml:space="preserve">€5.8 </w:t>
      </w:r>
      <w:r w:rsidRPr="009C48DA">
        <w:rPr>
          <w:lang w:val="en-GB"/>
        </w:rPr>
        <w:t xml:space="preserve">billion), </w:t>
      </w:r>
      <w:r w:rsidRPr="009C48DA" w:rsidR="007F7AA9">
        <w:rPr>
          <w:rFonts w:eastAsia="Calibri" w:cs="Arial"/>
          <w:szCs w:val="20"/>
          <w:lang w:val="en-GB"/>
        </w:rPr>
        <w:t xml:space="preserve">Bridgepoint </w:t>
      </w:r>
      <w:r w:rsidRPr="009C48DA">
        <w:rPr>
          <w:lang w:val="en-GB"/>
        </w:rPr>
        <w:t xml:space="preserve">Development Capital IV (initial closing in </w:t>
      </w:r>
      <w:r w:rsidRPr="009C48DA">
        <w:rPr>
          <w:rFonts w:cs="Times New Roman"/>
          <w:lang w:val="en-GB"/>
        </w:rPr>
        <w:t xml:space="preserve">2020 </w:t>
      </w:r>
      <w:r w:rsidRPr="009C48DA">
        <w:rPr>
          <w:lang w:val="en-GB"/>
        </w:rPr>
        <w:t xml:space="preserve">with commitments of </w:t>
      </w:r>
      <w:r w:rsidRPr="009C48DA">
        <w:rPr>
          <w:rFonts w:cs="Times New Roman"/>
          <w:lang w:val="en-GB"/>
        </w:rPr>
        <w:t xml:space="preserve">£1.6 </w:t>
      </w:r>
      <w:r w:rsidRPr="009C48DA">
        <w:rPr>
          <w:lang w:val="en-GB"/>
        </w:rPr>
        <w:t xml:space="preserve">billion), </w:t>
      </w:r>
      <w:r w:rsidRPr="009C48DA" w:rsidR="007F7AA9">
        <w:rPr>
          <w:rFonts w:eastAsia="Calibri" w:cs="Arial"/>
          <w:szCs w:val="20"/>
          <w:lang w:val="en-GB"/>
        </w:rPr>
        <w:t xml:space="preserve">Bridgepoint </w:t>
      </w:r>
      <w:r w:rsidRPr="009C48DA">
        <w:rPr>
          <w:lang w:val="en-GB"/>
        </w:rPr>
        <w:t xml:space="preserve">Growth I (initial closing in </w:t>
      </w:r>
      <w:r w:rsidRPr="009C48DA">
        <w:rPr>
          <w:rFonts w:cs="Times New Roman"/>
          <w:lang w:val="en-GB"/>
        </w:rPr>
        <w:t xml:space="preserve">2016 </w:t>
      </w:r>
      <w:r w:rsidRPr="009C48DA">
        <w:rPr>
          <w:lang w:val="en-GB"/>
        </w:rPr>
        <w:t xml:space="preserve">with commitments of </w:t>
      </w:r>
      <w:r w:rsidRPr="009C48DA">
        <w:rPr>
          <w:rFonts w:cs="Times New Roman"/>
          <w:lang w:val="en-GB"/>
        </w:rPr>
        <w:t>£105 million</w:t>
      </w:r>
      <w:r w:rsidRPr="009C48DA">
        <w:rPr>
          <w:lang w:val="en-GB"/>
        </w:rPr>
        <w:t xml:space="preserve">) </w:t>
      </w:r>
      <w:r w:rsidRPr="009C48DA" w:rsidR="007F7AA9">
        <w:rPr>
          <w:rFonts w:eastAsia="Calibri" w:cs="Arial"/>
          <w:szCs w:val="20"/>
          <w:lang w:val="en-GB"/>
        </w:rPr>
        <w:t xml:space="preserve">Bridgepoint </w:t>
      </w:r>
      <w:r w:rsidRPr="009C48DA">
        <w:rPr>
          <w:lang w:val="en-GB"/>
        </w:rPr>
        <w:t xml:space="preserve">Credit Opportunities III (initial closing in </w:t>
      </w:r>
      <w:r w:rsidRPr="009C48DA">
        <w:rPr>
          <w:rFonts w:cs="Times New Roman"/>
          <w:lang w:val="en-GB"/>
        </w:rPr>
        <w:t xml:space="preserve">2016 </w:t>
      </w:r>
      <w:r w:rsidRPr="009C48DA">
        <w:rPr>
          <w:lang w:val="en-GB"/>
        </w:rPr>
        <w:t xml:space="preserve">with commitments of </w:t>
      </w:r>
      <w:r w:rsidRPr="009C48DA">
        <w:rPr>
          <w:rFonts w:cs="Times New Roman"/>
          <w:lang w:val="en-GB"/>
        </w:rPr>
        <w:t>€1.3</w:t>
      </w:r>
      <w:r w:rsidRPr="009C48DA">
        <w:rPr>
          <w:lang w:val="en-GB"/>
        </w:rPr>
        <w:t xml:space="preserve"> billion), </w:t>
      </w:r>
      <w:r w:rsidRPr="009C48DA" w:rsidR="007F7AA9">
        <w:rPr>
          <w:rFonts w:eastAsia="Calibri" w:cs="Arial"/>
          <w:szCs w:val="20"/>
          <w:lang w:val="en-GB"/>
        </w:rPr>
        <w:t xml:space="preserve">Bridgepoint </w:t>
      </w:r>
      <w:r w:rsidRPr="009C48DA">
        <w:rPr>
          <w:lang w:val="en-GB"/>
        </w:rPr>
        <w:t xml:space="preserve">Direct Lending II (initial closing in </w:t>
      </w:r>
      <w:r w:rsidRPr="009C48DA">
        <w:rPr>
          <w:rFonts w:cs="Times New Roman"/>
          <w:lang w:val="en-GB"/>
        </w:rPr>
        <w:t xml:space="preserve">2017 </w:t>
      </w:r>
      <w:r w:rsidRPr="009C48DA">
        <w:rPr>
          <w:lang w:val="en-GB"/>
        </w:rPr>
        <w:t>with commitments o</w:t>
      </w:r>
      <w:r w:rsidR="00BA3614">
        <w:rPr>
          <w:lang w:val="en-GB"/>
        </w:rPr>
        <w:t>f </w:t>
      </w:r>
      <w:r w:rsidRPr="009C48DA">
        <w:rPr>
          <w:rFonts w:cs="Times New Roman"/>
          <w:lang w:val="en-GB"/>
        </w:rPr>
        <w:t>€2.3</w:t>
      </w:r>
      <w:r w:rsidRPr="009C48DA">
        <w:rPr>
          <w:lang w:val="en-GB"/>
        </w:rPr>
        <w:t xml:space="preserve"> billion) and </w:t>
      </w:r>
      <w:r w:rsidRPr="009C48DA" w:rsidR="007F7AA9">
        <w:rPr>
          <w:rFonts w:eastAsia="Calibri" w:cs="Arial"/>
          <w:szCs w:val="20"/>
          <w:lang w:val="en-GB"/>
        </w:rPr>
        <w:t xml:space="preserve">Bridgepoint </w:t>
      </w:r>
      <w:r w:rsidRPr="009C48DA">
        <w:rPr>
          <w:lang w:val="en-GB"/>
        </w:rPr>
        <w:t xml:space="preserve">CLO I (issued in 2020 with commitments of </w:t>
      </w:r>
      <w:r w:rsidRPr="009C48DA">
        <w:rPr>
          <w:rFonts w:cs="Times New Roman"/>
          <w:lang w:val="en-GB"/>
        </w:rPr>
        <w:t>€302 million</w:t>
      </w:r>
      <w:r w:rsidRPr="009C48DA">
        <w:rPr>
          <w:lang w:val="en-GB"/>
        </w:rPr>
        <w:t xml:space="preserve">), had respectively deployed </w:t>
      </w:r>
      <w:r w:rsidRPr="009C48DA">
        <w:rPr>
          <w:rFonts w:cs="Times New Roman"/>
          <w:lang w:val="en-GB"/>
        </w:rPr>
        <w:t xml:space="preserve">78 per cent, 3 per cent, 67 per cent, 79 per cent, 88 </w:t>
      </w:r>
      <w:r w:rsidRPr="009C48DA">
        <w:rPr>
          <w:lang w:val="en-GB"/>
        </w:rPr>
        <w:t>per cent and 100</w:t>
      </w:r>
      <w:r w:rsidRPr="009C48DA">
        <w:rPr>
          <w:rFonts w:cs="Times New Roman"/>
          <w:lang w:val="en-GB"/>
        </w:rPr>
        <w:t xml:space="preserve"> per cent </w:t>
      </w:r>
      <w:r w:rsidRPr="009C48DA">
        <w:rPr>
          <w:lang w:val="en-GB"/>
        </w:rPr>
        <w:t xml:space="preserve">of their total primary capital commitments. </w:t>
      </w:r>
      <w:r w:rsidRPr="009C48DA" w:rsidR="003F6AB3">
        <w:rPr>
          <w:lang w:val="en-GB"/>
        </w:rPr>
        <w:t>From</w:t>
      </w:r>
      <w:r w:rsidRPr="009C48DA">
        <w:rPr>
          <w:lang w:val="en-GB"/>
        </w:rPr>
        <w:t xml:space="preserve"> March 2016 </w:t>
      </w:r>
      <w:r w:rsidRPr="009C48DA" w:rsidR="003F6AB3">
        <w:rPr>
          <w:lang w:val="en-GB"/>
        </w:rPr>
        <w:t>to</w:t>
      </w:r>
      <w:r w:rsidRPr="009C48DA">
        <w:rPr>
          <w:lang w:val="en-GB"/>
        </w:rPr>
        <w:t xml:space="preserve"> March 2021, the </w:t>
      </w:r>
      <w:r w:rsidRPr="009C48DA" w:rsidR="007F7AA9">
        <w:rPr>
          <w:rFonts w:eastAsia="Calibri" w:cs="Arial"/>
          <w:szCs w:val="20"/>
          <w:lang w:val="en-GB"/>
        </w:rPr>
        <w:t xml:space="preserve">Bridgepoint </w:t>
      </w:r>
      <w:r w:rsidRPr="009C48DA">
        <w:rPr>
          <w:lang w:val="en-GB"/>
        </w:rPr>
        <w:t>Funds have managed to invest approximately €6.4 billion in capital in new portfolio companies or via add-on acquisitions to existing portfolio companies.</w:t>
      </w:r>
    </w:p>
    <w:p w:rsidRPr="009C48DA" w:rsidR="00B51E80" w:rsidP="00B51E80" w:rsidRDefault="00B51E80" w14:paraId="0982B28F" w14:textId="77777777">
      <w:pPr>
        <w:pStyle w:val="BodyText2SglJ"/>
        <w:rPr>
          <w:rFonts w:eastAsia="Calibri" w:cs="Arial"/>
          <w:szCs w:val="20"/>
          <w:lang w:val="en-GB"/>
        </w:rPr>
      </w:pPr>
      <w:r w:rsidRPr="009C48DA">
        <w:rPr>
          <w:szCs w:val="20"/>
          <w:lang w:val="en-GB"/>
        </w:rPr>
        <w:t>The</w:t>
      </w:r>
      <w:r w:rsidRPr="009C48DA">
        <w:rPr>
          <w:rFonts w:eastAsia="Calibri" w:cs="Arial"/>
          <w:szCs w:val="20"/>
          <w:lang w:val="en-GB"/>
        </w:rPr>
        <w:t xml:space="preserve"> Group’s ability to identify attractive investment opportunities and to execute on those investments is contingent on several factors, including:</w:t>
      </w:r>
    </w:p>
    <w:p w:rsidRPr="009C48DA" w:rsidR="00B51E80" w:rsidP="00B51E80" w:rsidRDefault="00B51E80" w14:paraId="7608BDB6" w14:textId="07AC02BB">
      <w:pPr>
        <w:pStyle w:val="STBBullet3"/>
        <w:rPr>
          <w:szCs w:val="20"/>
          <w:lang w:val="en-GB"/>
        </w:rPr>
      </w:pPr>
      <w:r w:rsidRPr="009C48DA">
        <w:rPr>
          <w:szCs w:val="20"/>
          <w:lang w:val="en-GB"/>
        </w:rPr>
        <w:t xml:space="preserve">the ability to apply a theme-and-sector based approach to identify companies in attractive sub-sectors with strong growth potential that fulfil </w:t>
      </w:r>
      <w:r w:rsidRPr="009C48DA" w:rsidR="006D5BFE">
        <w:rPr>
          <w:lang w:val="en-GB"/>
        </w:rPr>
        <w:t>Bridgepoint</w:t>
      </w:r>
      <w:r w:rsidRPr="009C48DA">
        <w:rPr>
          <w:szCs w:val="20"/>
          <w:lang w:val="en-GB"/>
        </w:rPr>
        <w:t>’s investment criteria and focus on sustainability and other ESG criteria, which is driven by the Group’s focus on middle market opportunities and the network of the Group’s experienced investment professionals;</w:t>
      </w:r>
    </w:p>
    <w:p w:rsidRPr="009C48DA" w:rsidR="00B51E80" w:rsidP="00B51E80" w:rsidRDefault="00B51E80" w14:paraId="4862DDF0" w14:textId="27804007">
      <w:pPr>
        <w:pStyle w:val="STBBullet3"/>
        <w:rPr>
          <w:szCs w:val="20"/>
          <w:lang w:val="en-GB"/>
        </w:rPr>
      </w:pPr>
      <w:r w:rsidRPr="009C48DA">
        <w:rPr>
          <w:szCs w:val="20"/>
          <w:lang w:val="en-GB"/>
        </w:rPr>
        <w:t xml:space="preserve">the presence of suitable investment opportunities and the ability to evaluate and act on these opportunities in an efficient manner in the geographic and investment markets in which the </w:t>
      </w:r>
      <w:r w:rsidRPr="009C48DA" w:rsidR="007F7AA9">
        <w:rPr>
          <w:rFonts w:eastAsia="Calibri" w:cs="Arial"/>
          <w:szCs w:val="20"/>
          <w:lang w:val="en-GB"/>
        </w:rPr>
        <w:t xml:space="preserve">Bridgepoint </w:t>
      </w:r>
      <w:r w:rsidRPr="009C48DA">
        <w:rPr>
          <w:szCs w:val="20"/>
          <w:lang w:val="en-GB"/>
        </w:rPr>
        <w:t>Funds invest;</w:t>
      </w:r>
    </w:p>
    <w:p w:rsidRPr="009C48DA" w:rsidR="00B51E80" w:rsidP="00B51E80" w:rsidRDefault="00B51E80" w14:paraId="13E90C8B" w14:textId="77777777">
      <w:pPr>
        <w:pStyle w:val="STBBullet3"/>
        <w:rPr>
          <w:szCs w:val="20"/>
          <w:lang w:val="en-GB"/>
        </w:rPr>
      </w:pPr>
      <w:r w:rsidRPr="009C48DA">
        <w:rPr>
          <w:szCs w:val="20"/>
          <w:lang w:val="en-GB"/>
        </w:rPr>
        <w:t>the Group’s ability to leverage databases and analytical capabilities to source off-market investment opportunities;</w:t>
      </w:r>
    </w:p>
    <w:p w:rsidRPr="009C48DA" w:rsidR="00B51E80" w:rsidP="00B51E80" w:rsidRDefault="00B51E80" w14:paraId="6E92E77E" w14:textId="77777777">
      <w:pPr>
        <w:pStyle w:val="STBBullet3"/>
        <w:rPr>
          <w:szCs w:val="20"/>
          <w:lang w:val="en-GB"/>
        </w:rPr>
      </w:pPr>
      <w:r w:rsidRPr="009C48DA">
        <w:rPr>
          <w:szCs w:val="20"/>
          <w:lang w:val="en-GB"/>
        </w:rPr>
        <w:t>the Group’s ability to build and maintain relationships with the management teams and owners of companies that have been identified as targets for potential investments;</w:t>
      </w:r>
    </w:p>
    <w:p w:rsidRPr="009C48DA" w:rsidR="00B51E80" w:rsidP="00B51E80" w:rsidRDefault="00B51E80" w14:paraId="14C7B30E" w14:textId="6355C85D">
      <w:pPr>
        <w:pStyle w:val="STBBullet3"/>
        <w:rPr>
          <w:szCs w:val="20"/>
          <w:lang w:val="en-GB"/>
        </w:rPr>
      </w:pPr>
      <w:r w:rsidRPr="009C48DA">
        <w:rPr>
          <w:szCs w:val="20"/>
          <w:lang w:val="en-GB"/>
        </w:rPr>
        <w:t xml:space="preserve">the Group’s reputation as a credible investment organisation with a clear investment approach and a strong focus on middle market investment targets, allowing for the </w:t>
      </w:r>
      <w:r w:rsidRPr="009C48DA" w:rsidR="007F7AA9">
        <w:rPr>
          <w:rFonts w:eastAsia="Calibri" w:cs="Arial"/>
          <w:szCs w:val="20"/>
          <w:lang w:val="en-GB"/>
        </w:rPr>
        <w:t xml:space="preserve">Bridgepoint </w:t>
      </w:r>
      <w:r w:rsidRPr="009C48DA">
        <w:rPr>
          <w:szCs w:val="20"/>
          <w:lang w:val="en-GB"/>
        </w:rPr>
        <w:t>Funds to be considered as preferred investors and enabling access to bilateral processes and/or structured processes (</w:t>
      </w:r>
      <w:r w:rsidRPr="009C48DA">
        <w:rPr>
          <w:rFonts w:eastAsia="Calibri" w:cs="Arial"/>
          <w:szCs w:val="20"/>
          <w:lang w:val="en-GB"/>
        </w:rPr>
        <w:t>for example,</w:t>
      </w:r>
      <w:r w:rsidRPr="009C48DA">
        <w:rPr>
          <w:rFonts w:eastAsia="Calibri" w:cs="Arial"/>
          <w:i/>
          <w:szCs w:val="20"/>
          <w:lang w:val="en-GB"/>
        </w:rPr>
        <w:t xml:space="preserve"> </w:t>
      </w:r>
      <w:r w:rsidRPr="009C48DA">
        <w:rPr>
          <w:szCs w:val="20"/>
          <w:lang w:val="en-GB"/>
        </w:rPr>
        <w:t>limited auctions) with exclusivity;</w:t>
      </w:r>
    </w:p>
    <w:p w:rsidRPr="009C48DA" w:rsidR="00B51E80" w:rsidP="00B51E80" w:rsidRDefault="00B51E80" w14:paraId="4C2CD150" w14:textId="77777777">
      <w:pPr>
        <w:pStyle w:val="STBBullet3"/>
        <w:rPr>
          <w:szCs w:val="20"/>
          <w:lang w:val="en-GB"/>
        </w:rPr>
      </w:pPr>
      <w:r w:rsidRPr="009C48DA">
        <w:rPr>
          <w:szCs w:val="20"/>
          <w:lang w:val="en-GB"/>
        </w:rPr>
        <w:t>the Group’s relationship with selected regional and international investment banks in an effort to be seen as a natural participant in structured sales processes, as well as the ability to access attractive debt financing, thereby increasing the Group’s relative competitiveness in respect of investment terms; and</w:t>
      </w:r>
    </w:p>
    <w:p w:rsidRPr="009C48DA" w:rsidR="00B51E80" w:rsidP="00B51E80" w:rsidRDefault="00B51E80" w14:paraId="6E66D0DD" w14:textId="4350AA98">
      <w:pPr>
        <w:pStyle w:val="STBBullet3"/>
        <w:rPr>
          <w:szCs w:val="20"/>
          <w:lang w:val="en-GB"/>
        </w:rPr>
      </w:pPr>
      <w:r w:rsidRPr="009C48DA">
        <w:rPr>
          <w:szCs w:val="20"/>
          <w:lang w:val="en-GB"/>
        </w:rPr>
        <w:t xml:space="preserve">the Group’s ability to maintain an adequate approach to valuation, transaction size and expected holding period of the </w:t>
      </w:r>
      <w:r w:rsidRPr="009C48DA" w:rsidR="007F7AA9">
        <w:rPr>
          <w:rFonts w:eastAsia="Calibri" w:cs="Arial"/>
          <w:szCs w:val="20"/>
          <w:lang w:val="en-GB"/>
        </w:rPr>
        <w:t xml:space="preserve">Bridgepoint </w:t>
      </w:r>
      <w:r w:rsidRPr="009C48DA">
        <w:rPr>
          <w:szCs w:val="20"/>
          <w:lang w:val="en-GB"/>
        </w:rPr>
        <w:t>Funds’ investments.</w:t>
      </w:r>
    </w:p>
    <w:p w:rsidRPr="009C48DA" w:rsidR="00B51E80" w:rsidP="00B51E80" w:rsidRDefault="00B51E80" w14:paraId="79679037" w14:textId="6C41E4AB">
      <w:pPr>
        <w:pStyle w:val="BodyText2SglJ"/>
        <w:rPr>
          <w:szCs w:val="20"/>
          <w:lang w:val="en-GB"/>
        </w:rPr>
      </w:pPr>
      <w:r w:rsidRPr="009C48DA">
        <w:rPr>
          <w:szCs w:val="20"/>
          <w:lang w:val="en-GB"/>
        </w:rPr>
        <w:t xml:space="preserve">The above-mentioned factors may result in variations of the ability to invest capital in different periods. The investment pace of the </w:t>
      </w:r>
      <w:r w:rsidRPr="009C48DA" w:rsidR="007F7AA9">
        <w:rPr>
          <w:rFonts w:eastAsia="Calibri" w:cs="Arial"/>
          <w:szCs w:val="20"/>
          <w:lang w:val="en-GB"/>
        </w:rPr>
        <w:t xml:space="preserve">Bridgepoint </w:t>
      </w:r>
      <w:r w:rsidRPr="009C48DA">
        <w:rPr>
          <w:szCs w:val="20"/>
          <w:lang w:val="en-GB"/>
        </w:rPr>
        <w:t xml:space="preserve">Funds has historically declined during economic downturns, driven by the overall decrease in M&amp;A volumes, among other factors. During the COVID-19 pandemic up until the date of this Registration Document, however, the Group has experienced an increase of investment opportunities and has continued with the roll-out of its investment strategy. </w:t>
      </w:r>
    </w:p>
    <w:p w:rsidRPr="009C48DA" w:rsidR="00B51E80" w:rsidP="00B51E80" w:rsidRDefault="00B51E80" w14:paraId="15147768" w14:textId="37C52D2F">
      <w:pPr>
        <w:pStyle w:val="BodyText2SglJ"/>
        <w:rPr>
          <w:rFonts w:eastAsia="Calibri" w:cs="Arial"/>
          <w:szCs w:val="20"/>
          <w:lang w:val="en-GB"/>
        </w:rPr>
      </w:pPr>
      <w:r w:rsidRPr="009C48DA">
        <w:rPr>
          <w:rFonts w:eastAsia="Calibri" w:cs="Arial"/>
          <w:szCs w:val="20"/>
          <w:lang w:val="en-GB"/>
        </w:rPr>
        <w:lastRenderedPageBreak/>
        <w:t xml:space="preserve">A potential decrease in M&amp;A volumes in the future would likely impact the </w:t>
      </w:r>
      <w:r w:rsidRPr="009C48DA" w:rsidR="007F7AA9">
        <w:rPr>
          <w:rFonts w:eastAsia="Calibri" w:cs="Arial"/>
          <w:szCs w:val="20"/>
          <w:lang w:val="en-GB"/>
        </w:rPr>
        <w:t xml:space="preserve">Bridgepoint </w:t>
      </w:r>
      <w:r w:rsidRPr="009C48DA">
        <w:rPr>
          <w:rFonts w:eastAsia="Calibri" w:cs="Arial"/>
          <w:szCs w:val="20"/>
          <w:lang w:val="en-GB"/>
        </w:rPr>
        <w:t xml:space="preserve">Funds’ ability to exit existing investments and as such extend the length of the post-commitment period and potentially the period in which </w:t>
      </w:r>
      <w:r w:rsidRPr="009C48DA" w:rsidR="007F7AA9">
        <w:rPr>
          <w:rFonts w:eastAsia="Calibri" w:cs="Arial"/>
          <w:szCs w:val="20"/>
          <w:lang w:val="en-GB"/>
        </w:rPr>
        <w:t xml:space="preserve">Bridgepoint </w:t>
      </w:r>
      <w:r w:rsidRPr="009C48DA">
        <w:rPr>
          <w:rFonts w:eastAsia="Calibri" w:cs="Arial"/>
          <w:szCs w:val="20"/>
          <w:lang w:val="en-GB"/>
        </w:rPr>
        <w:t>Funds recognise revenue from management fees, as well as carried interest and income</w:t>
      </w:r>
      <w:r w:rsidRPr="009C48DA" w:rsidR="002D69DB">
        <w:rPr>
          <w:rFonts w:eastAsia="Calibri" w:cs="Arial"/>
          <w:szCs w:val="20"/>
          <w:lang w:val="en-GB"/>
        </w:rPr>
        <w:t xml:space="preserve"> from the fair value remeasurement of investments</w:t>
      </w:r>
      <w:r w:rsidRPr="009C48DA">
        <w:rPr>
          <w:rFonts w:eastAsia="Calibri" w:cs="Arial"/>
          <w:szCs w:val="20"/>
          <w:lang w:val="en-GB"/>
        </w:rPr>
        <w:t>. It is expected that variations in investment pace may also be seen in future periods, depending on, among other factors, the prevailing market environment and the available investment opportunities.</w:t>
      </w:r>
    </w:p>
    <w:p w:rsidRPr="009C48DA" w:rsidR="00B51E80" w:rsidP="000C376E" w:rsidRDefault="00B51E80" w14:paraId="4D359A23" w14:textId="1BB35046">
      <w:pPr>
        <w:pStyle w:val="TitleB"/>
        <w:rPr>
          <w:lang w:val="en-GB"/>
        </w:rPr>
      </w:pPr>
      <w:r w:rsidRPr="009C48DA">
        <w:rPr>
          <w:lang w:val="en-GB"/>
        </w:rPr>
        <w:t>Ability to raise new capital and increases of AUM</w:t>
      </w:r>
    </w:p>
    <w:p w:rsidRPr="009C48DA" w:rsidR="00B51E80" w:rsidP="00B51E80" w:rsidRDefault="00B51E80" w14:paraId="370CE6C5" w14:textId="3E967574">
      <w:pPr>
        <w:pStyle w:val="BodyText2SglJ"/>
        <w:rPr>
          <w:rFonts w:eastAsia="Calibri" w:cs="Arial"/>
          <w:szCs w:val="20"/>
          <w:lang w:val="en-GB"/>
        </w:rPr>
      </w:pPr>
      <w:r w:rsidRPr="009C48DA">
        <w:rPr>
          <w:szCs w:val="20"/>
          <w:lang w:val="en-GB"/>
        </w:rPr>
        <w:t>The</w:t>
      </w:r>
      <w:r w:rsidRPr="009C48DA">
        <w:rPr>
          <w:rFonts w:eastAsia="Calibri" w:cs="Arial"/>
          <w:szCs w:val="20"/>
          <w:lang w:val="en-GB"/>
        </w:rPr>
        <w:t xml:space="preserve"> amount of capital that the Group attracts and the investment returns of the </w:t>
      </w:r>
      <w:r w:rsidRPr="009C48DA" w:rsidR="007F7AA9">
        <w:rPr>
          <w:rFonts w:eastAsia="Calibri" w:cs="Arial"/>
          <w:szCs w:val="20"/>
          <w:lang w:val="en-GB"/>
        </w:rPr>
        <w:t xml:space="preserve">Bridgepoint </w:t>
      </w:r>
      <w:r w:rsidRPr="009C48DA">
        <w:rPr>
          <w:rFonts w:eastAsia="Calibri" w:cs="Arial"/>
          <w:szCs w:val="20"/>
          <w:lang w:val="en-GB"/>
        </w:rPr>
        <w:t xml:space="preserve">Funds directly affect the level of the Group’s AUM, which in turn impacts the management fees, carried interest, income </w:t>
      </w:r>
      <w:r w:rsidRPr="009C48DA" w:rsidR="002D69DB">
        <w:rPr>
          <w:rFonts w:eastAsia="Calibri" w:cs="Arial"/>
          <w:szCs w:val="20"/>
          <w:lang w:val="en-GB"/>
        </w:rPr>
        <w:t xml:space="preserve">from the fair value of remeasurement of investments </w:t>
      </w:r>
      <w:r w:rsidRPr="009C48DA">
        <w:rPr>
          <w:rFonts w:eastAsia="Calibri" w:cs="Arial"/>
          <w:szCs w:val="20"/>
          <w:lang w:val="en-GB"/>
        </w:rPr>
        <w:t xml:space="preserve">and other amounts that the Group is able to earn. AUM is therefore an important metric for the Group’s business as it has a direct impact on the entitlement to management fees. In particular, as management fees are calculated based on AUM, increases or decreases in AUM result in corresponding increases or decreases in management fees on an absolute basis. </w:t>
      </w:r>
      <w:r w:rsidRPr="009C48DA" w:rsidR="00687E51">
        <w:rPr>
          <w:rFonts w:eastAsia="Calibri" w:cs="Arial"/>
          <w:szCs w:val="20"/>
          <w:lang w:val="en-GB"/>
        </w:rPr>
        <w:t>See “</w:t>
      </w:r>
      <w:r w:rsidRPr="009C48DA" w:rsidR="00687E51">
        <w:rPr>
          <w:rFonts w:eastAsia="Calibri" w:cs="Arial"/>
          <w:i/>
          <w:szCs w:val="20"/>
          <w:lang w:val="en-GB"/>
        </w:rPr>
        <w:t>—Financial Model—Generation of management fees</w:t>
      </w:r>
      <w:r w:rsidRPr="009C48DA" w:rsidR="00687E51">
        <w:rPr>
          <w:rFonts w:eastAsia="Calibri" w:cs="Arial"/>
          <w:szCs w:val="20"/>
          <w:lang w:val="en-GB"/>
        </w:rPr>
        <w:t>.”</w:t>
      </w:r>
      <w:r w:rsidRPr="009C48DA" w:rsidR="00687E51">
        <w:rPr>
          <w:rFonts w:eastAsia="Calibri" w:cs="Arial"/>
          <w:i/>
          <w:szCs w:val="20"/>
          <w:lang w:val="en-GB"/>
        </w:rPr>
        <w:t xml:space="preserve"> </w:t>
      </w:r>
      <w:r w:rsidRPr="009C48DA">
        <w:rPr>
          <w:rFonts w:eastAsia="Calibri" w:cs="Arial"/>
          <w:szCs w:val="20"/>
          <w:lang w:val="en-GB"/>
        </w:rPr>
        <w:t xml:space="preserve">In addition, AUM indirectly affects the </w:t>
      </w:r>
      <w:r w:rsidRPr="009C48DA" w:rsidR="00AF0B9A">
        <w:rPr>
          <w:lang w:val="en-GB"/>
        </w:rPr>
        <w:t>Bridgepoint</w:t>
      </w:r>
      <w:r w:rsidRPr="009C48DA">
        <w:rPr>
          <w:rFonts w:eastAsia="Calibri" w:cs="Arial"/>
          <w:szCs w:val="20"/>
          <w:lang w:val="en-GB"/>
        </w:rPr>
        <w:t>’s ability to generate carried interest and income</w:t>
      </w:r>
      <w:r w:rsidRPr="009C48DA" w:rsidR="002D69DB">
        <w:rPr>
          <w:rFonts w:eastAsia="Calibri" w:cs="Arial"/>
          <w:szCs w:val="20"/>
          <w:lang w:val="en-GB"/>
        </w:rPr>
        <w:t xml:space="preserve"> from the fair value remeasurement of investments</w:t>
      </w:r>
      <w:r w:rsidRPr="009C48DA">
        <w:rPr>
          <w:rFonts w:eastAsia="Calibri" w:cs="Arial"/>
          <w:szCs w:val="20"/>
          <w:lang w:val="en-GB"/>
        </w:rPr>
        <w:t>.</w:t>
      </w:r>
      <w:r w:rsidRPr="009C48DA" w:rsidR="002D69DB">
        <w:rPr>
          <w:rFonts w:eastAsia="Calibri" w:cs="Arial"/>
          <w:szCs w:val="20"/>
          <w:lang w:val="en-GB"/>
        </w:rPr>
        <w:t xml:space="preserve"> </w:t>
      </w:r>
      <w:r w:rsidRPr="009C48DA">
        <w:rPr>
          <w:szCs w:val="20"/>
          <w:lang w:val="en-GB"/>
        </w:rPr>
        <w:t>The</w:t>
      </w:r>
      <w:r w:rsidRPr="009C48DA">
        <w:rPr>
          <w:rFonts w:eastAsia="Calibri" w:cs="Arial"/>
          <w:szCs w:val="20"/>
          <w:lang w:val="en-GB"/>
        </w:rPr>
        <w:t xml:space="preserve"> Group has experienced a significant increase in </w:t>
      </w:r>
      <w:r w:rsidRPr="009C48DA" w:rsidR="002D69DB">
        <w:rPr>
          <w:rFonts w:eastAsia="Calibri" w:cs="Arial"/>
          <w:szCs w:val="20"/>
          <w:lang w:val="en-GB"/>
        </w:rPr>
        <w:t xml:space="preserve">AUM from €12.7 billion as </w:t>
      </w:r>
      <w:r w:rsidRPr="009C48DA">
        <w:rPr>
          <w:rFonts w:eastAsia="Calibri" w:cs="Arial"/>
          <w:szCs w:val="20"/>
          <w:lang w:val="en-GB"/>
        </w:rPr>
        <w:t xml:space="preserve">of 31 December 2018 to </w:t>
      </w:r>
      <w:r w:rsidRPr="009C48DA" w:rsidR="002D69DB">
        <w:rPr>
          <w:rFonts w:eastAsia="Calibri" w:cs="Arial"/>
          <w:szCs w:val="20"/>
          <w:lang w:val="en-GB"/>
        </w:rPr>
        <w:t xml:space="preserve">approximately </w:t>
      </w:r>
      <w:r w:rsidRPr="009C48DA">
        <w:rPr>
          <w:rFonts w:eastAsia="Calibri" w:cs="Arial"/>
          <w:szCs w:val="20"/>
          <w:lang w:val="en-GB"/>
        </w:rPr>
        <w:t>€</w:t>
      </w:r>
      <w:r w:rsidRPr="009C48DA" w:rsidR="002D69DB">
        <w:rPr>
          <w:rFonts w:eastAsia="Calibri" w:cs="Arial"/>
          <w:szCs w:val="20"/>
          <w:lang w:val="en-GB"/>
        </w:rPr>
        <w:t>1</w:t>
      </w:r>
      <w:r w:rsidRPr="009C48DA">
        <w:rPr>
          <w:rFonts w:eastAsia="Calibri" w:cs="Arial"/>
          <w:szCs w:val="20"/>
          <w:lang w:val="en-GB"/>
        </w:rPr>
        <w:t>6.</w:t>
      </w:r>
      <w:r w:rsidRPr="009C48DA" w:rsidR="002D69DB">
        <w:rPr>
          <w:rFonts w:eastAsia="Calibri" w:cs="Arial"/>
          <w:szCs w:val="20"/>
          <w:lang w:val="en-GB"/>
        </w:rPr>
        <w:t>1</w:t>
      </w:r>
      <w:r w:rsidRPr="009C48DA">
        <w:rPr>
          <w:rFonts w:eastAsia="Calibri" w:cs="Arial"/>
          <w:szCs w:val="20"/>
          <w:lang w:val="en-GB"/>
        </w:rPr>
        <w:t xml:space="preserve"> billion as of 31 December 2020</w:t>
      </w:r>
      <w:r w:rsidRPr="009C48DA" w:rsidR="002D69DB">
        <w:rPr>
          <w:rFonts w:eastAsia="Calibri" w:cs="Arial"/>
          <w:szCs w:val="20"/>
          <w:lang w:val="en-GB"/>
        </w:rPr>
        <w:t>. The main drivers of this increase in AUM</w:t>
      </w:r>
      <w:r w:rsidRPr="009C48DA">
        <w:rPr>
          <w:rFonts w:eastAsia="Calibri" w:cs="Arial"/>
          <w:szCs w:val="20"/>
          <w:lang w:val="en-GB"/>
        </w:rPr>
        <w:t xml:space="preserve"> were fundraising, the acquisition of EQT Credit and </w:t>
      </w:r>
      <w:r w:rsidRPr="009C48DA" w:rsidR="002D69DB">
        <w:rPr>
          <w:rFonts w:eastAsia="Calibri" w:cs="Arial"/>
          <w:szCs w:val="20"/>
          <w:lang w:val="en-GB"/>
        </w:rPr>
        <w:t>revaluations (less divestments)</w:t>
      </w:r>
      <w:r w:rsidRPr="009C48DA">
        <w:rPr>
          <w:rFonts w:eastAsia="Calibri" w:cs="Arial"/>
          <w:szCs w:val="20"/>
          <w:lang w:val="en-GB"/>
        </w:rPr>
        <w:t>.</w:t>
      </w:r>
    </w:p>
    <w:p w:rsidRPr="009C48DA" w:rsidR="002D69DB" w:rsidP="002D69DB" w:rsidRDefault="002D69DB" w14:paraId="1C63D294" w14:textId="2D24B736">
      <w:pPr>
        <w:pStyle w:val="BodyText2SglJ"/>
        <w:rPr>
          <w:rFonts w:cs="Times New Roman"/>
          <w:szCs w:val="20"/>
          <w:lang w:val="en-GB"/>
        </w:rPr>
      </w:pPr>
      <w:r w:rsidRPr="009C48DA">
        <w:rPr>
          <w:szCs w:val="20"/>
          <w:lang w:val="en-GB"/>
        </w:rPr>
        <w:t>Depending on the ability to launch new funds, the Group is aiming to grow its AUM significantly. Individual years, however, may fluctuate depending on the life</w:t>
      </w:r>
      <w:r w:rsidRPr="009C48DA" w:rsidR="00FD0449">
        <w:rPr>
          <w:szCs w:val="20"/>
          <w:lang w:val="en-GB"/>
        </w:rPr>
        <w:t xml:space="preserve"> </w:t>
      </w:r>
      <w:r w:rsidRPr="009C48DA">
        <w:rPr>
          <w:szCs w:val="20"/>
          <w:lang w:val="en-GB"/>
        </w:rPr>
        <w:t xml:space="preserve">cycle of a fund. This could, for example, occur if commitments raised in new funds would be low and the exit activity in funds in the post-commitment phase is high (thereby reducing the Net Invested Capital on which management fees in the post-commitment period are based). A downturn in economic conditions may prolong the fundraising activities for a </w:t>
      </w:r>
      <w:r w:rsidRPr="009C48DA" w:rsidR="007F7AA9">
        <w:rPr>
          <w:rFonts w:eastAsia="Calibri" w:cs="Arial"/>
          <w:szCs w:val="20"/>
          <w:lang w:val="en-GB"/>
        </w:rPr>
        <w:t xml:space="preserve">Bridgepoint </w:t>
      </w:r>
      <w:r w:rsidRPr="009C48DA">
        <w:rPr>
          <w:szCs w:val="20"/>
          <w:lang w:val="en-GB"/>
        </w:rPr>
        <w:t xml:space="preserve">Fund and/or result in lower commitments raised. For example, as a result of </w:t>
      </w:r>
      <w:r w:rsidRPr="009C48DA">
        <w:rPr>
          <w:rFonts w:cs="Times New Roman"/>
          <w:szCs w:val="20"/>
          <w:lang w:val="en-GB"/>
        </w:rPr>
        <w:t xml:space="preserve">the impacts of the 2008 global financial crisis, commitments for </w:t>
      </w:r>
      <w:r w:rsidRPr="009C48DA" w:rsidR="007F7AA9">
        <w:rPr>
          <w:rFonts w:eastAsia="Calibri" w:cs="Arial"/>
          <w:szCs w:val="20"/>
          <w:lang w:val="en-GB"/>
        </w:rPr>
        <w:t xml:space="preserve">Bridgepoint </w:t>
      </w:r>
      <w:r w:rsidRPr="009C48DA">
        <w:rPr>
          <w:rFonts w:cs="Times New Roman"/>
          <w:szCs w:val="20"/>
          <w:lang w:val="en-GB"/>
        </w:rPr>
        <w:t>Europe V decreased by 17</w:t>
      </w:r>
      <w:r w:rsidRPr="009C48DA">
        <w:rPr>
          <w:szCs w:val="20"/>
          <w:lang w:val="en-GB"/>
        </w:rPr>
        <w:t xml:space="preserve"> </w:t>
      </w:r>
      <w:r w:rsidRPr="009C48DA">
        <w:rPr>
          <w:rFonts w:cs="Times New Roman"/>
          <w:szCs w:val="20"/>
          <w:lang w:val="en-GB"/>
        </w:rPr>
        <w:t xml:space="preserve">per cent compared to the commitments for </w:t>
      </w:r>
      <w:r w:rsidRPr="009C48DA" w:rsidR="007F7AA9">
        <w:rPr>
          <w:rFonts w:eastAsia="Calibri" w:cs="Arial"/>
          <w:szCs w:val="20"/>
          <w:lang w:val="en-GB"/>
        </w:rPr>
        <w:t xml:space="preserve">Bridgepoint </w:t>
      </w:r>
      <w:r w:rsidRPr="009C48DA">
        <w:rPr>
          <w:rFonts w:cs="Times New Roman"/>
          <w:szCs w:val="20"/>
          <w:lang w:val="en-GB"/>
        </w:rPr>
        <w:t xml:space="preserve">Europe IV. This impact was followed by a more than 40 per cent increase of commitments for </w:t>
      </w:r>
      <w:r w:rsidRPr="009C48DA" w:rsidR="007F7AA9">
        <w:rPr>
          <w:rFonts w:eastAsia="Calibri" w:cs="Arial"/>
          <w:szCs w:val="20"/>
          <w:lang w:val="en-GB"/>
        </w:rPr>
        <w:t xml:space="preserve">Bridgepoint </w:t>
      </w:r>
      <w:r w:rsidRPr="009C48DA">
        <w:rPr>
          <w:rFonts w:cs="Times New Roman"/>
          <w:szCs w:val="20"/>
          <w:lang w:val="en-GB"/>
        </w:rPr>
        <w:t xml:space="preserve">Europe VI compared to the commitments for </w:t>
      </w:r>
      <w:r w:rsidRPr="009C48DA" w:rsidR="007F7AA9">
        <w:rPr>
          <w:rFonts w:eastAsia="Calibri" w:cs="Arial"/>
          <w:szCs w:val="20"/>
          <w:lang w:val="en-GB"/>
        </w:rPr>
        <w:t xml:space="preserve">Bridgepoint </w:t>
      </w:r>
      <w:r w:rsidRPr="009C48DA">
        <w:rPr>
          <w:rFonts w:cs="Times New Roman"/>
          <w:szCs w:val="20"/>
          <w:lang w:val="en-GB"/>
        </w:rPr>
        <w:t>Europe V.</w:t>
      </w:r>
    </w:p>
    <w:p w:rsidRPr="009C48DA" w:rsidR="00B51E80" w:rsidP="00B51E80" w:rsidRDefault="00B51E80" w14:paraId="04FDDC1A" w14:textId="77777777">
      <w:pPr>
        <w:pStyle w:val="BodyText2SglJ"/>
        <w:rPr>
          <w:rFonts w:eastAsia="Calibri" w:cs="Arial"/>
          <w:szCs w:val="20"/>
          <w:lang w:val="en-GB"/>
        </w:rPr>
      </w:pPr>
      <w:r w:rsidRPr="009C48DA">
        <w:rPr>
          <w:szCs w:val="20"/>
          <w:lang w:val="en-GB"/>
        </w:rPr>
        <w:t>The</w:t>
      </w:r>
      <w:r w:rsidRPr="009C48DA">
        <w:rPr>
          <w:rFonts w:eastAsia="Calibri" w:cs="Arial"/>
          <w:szCs w:val="20"/>
          <w:lang w:val="en-GB"/>
        </w:rPr>
        <w:t xml:space="preserve"> Group’s historical fundraising activities have been impacted by both internal and external factors:</w:t>
      </w:r>
    </w:p>
    <w:p w:rsidRPr="009C48DA" w:rsidR="00B51E80" w:rsidP="00B51E80" w:rsidRDefault="00B51E80" w14:paraId="19F17E54" w14:textId="2AF55D6C">
      <w:pPr>
        <w:pStyle w:val="STBBullet3"/>
        <w:rPr>
          <w:szCs w:val="20"/>
          <w:lang w:val="en-GB"/>
        </w:rPr>
      </w:pPr>
      <w:r w:rsidRPr="009C48DA">
        <w:rPr>
          <w:szCs w:val="20"/>
          <w:lang w:val="en-GB"/>
        </w:rPr>
        <w:t>The Group has been positively impacted by the general growth of global capital commitments to alternative investment markets. Among other factors, historical growth has been supported by (i) consistent growth in global savings, (ii) the low</w:t>
      </w:r>
      <w:r w:rsidRPr="009C48DA" w:rsidR="00203760">
        <w:rPr>
          <w:szCs w:val="20"/>
          <w:lang w:val="en-GB"/>
        </w:rPr>
        <w:t>-</w:t>
      </w:r>
      <w:r w:rsidRPr="009C48DA">
        <w:rPr>
          <w:szCs w:val="20"/>
          <w:lang w:val="en-GB"/>
        </w:rPr>
        <w:t xml:space="preserve">yield environment driving the search for attractive returns, (iii) out-performance of alternative investment markets compared to public markets, (iv) increases of investor allocations to alternative investment markets from relatively low levels compared to other asset classes, and (v) increased attractiveness of specialised investment firms such as </w:t>
      </w:r>
      <w:r w:rsidRPr="009C48DA" w:rsidR="007F7AA9">
        <w:rPr>
          <w:rFonts w:eastAsia="Calibri" w:cs="Arial"/>
          <w:szCs w:val="20"/>
          <w:lang w:val="en-GB"/>
        </w:rPr>
        <w:t xml:space="preserve">Bridgepoint </w:t>
      </w:r>
      <w:r w:rsidRPr="009C48DA">
        <w:rPr>
          <w:szCs w:val="20"/>
          <w:lang w:val="en-GB"/>
        </w:rPr>
        <w:t xml:space="preserve">that have a clear focus on selected markets and offer attractive opportunities for investors. The allocation of capital to the private investment funds industry markets in the future will depend in part on the performance of the underlying assets relative to other asset classes. For a further discussion of the alternative investment market, see </w:t>
      </w:r>
      <w:r w:rsidRPr="009C48DA">
        <w:rPr>
          <w:szCs w:val="20"/>
          <w:lang w:val="en-GB"/>
        </w:rPr>
        <w:fldChar w:fldCharType="begin"/>
      </w:r>
      <w:r w:rsidRPr="009C48DA">
        <w:rPr>
          <w:szCs w:val="20"/>
          <w:lang w:val="en-GB"/>
        </w:rPr>
        <w:instrText xml:space="preserve"> REF _Ref71144150 \w \h  \* MERGEFORMAT </w:instrText>
      </w:r>
      <w:r w:rsidRPr="009C48DA">
        <w:rPr>
          <w:szCs w:val="20"/>
          <w:lang w:val="en-GB"/>
        </w:rPr>
      </w:r>
      <w:r w:rsidRPr="009C48DA">
        <w:rPr>
          <w:szCs w:val="20"/>
          <w:lang w:val="en-GB"/>
        </w:rPr>
        <w:fldChar w:fldCharType="separate"/>
      </w:r>
      <w:r w:rsidR="007C3D19">
        <w:rPr>
          <w:szCs w:val="20"/>
          <w:lang w:val="en-GB"/>
        </w:rPr>
        <w:t>Part IV</w:t>
      </w:r>
      <w:r w:rsidRPr="009C48DA">
        <w:rPr>
          <w:szCs w:val="20"/>
          <w:lang w:val="en-GB"/>
        </w:rPr>
        <w:fldChar w:fldCharType="end"/>
      </w:r>
      <w:r w:rsidRPr="009C48DA">
        <w:rPr>
          <w:szCs w:val="20"/>
          <w:lang w:val="en-GB" w:eastAsia="en-GB"/>
        </w:rPr>
        <w:t xml:space="preserve"> (</w:t>
      </w:r>
      <w:r w:rsidRPr="009C48DA" w:rsidR="00FA0364">
        <w:rPr>
          <w:i/>
          <w:szCs w:val="20"/>
          <w:lang w:val="en-GB" w:eastAsia="en-GB"/>
        </w:rPr>
      </w:r>
      <w:r w:rsidRPr="007C3D19" w:rsidR="007C3D19">
        <w:rPr>
          <w:i/>
          <w:szCs w:val="20"/>
          <w:lang w:val="en-GB"/>
        </w:rPr>
        <w:t>Market Overview</w:t>
      </w:r>
      <w:r w:rsidRPr="009C48DA">
        <w:rPr>
          <w:szCs w:val="20"/>
          <w:lang w:val="en-GB" w:eastAsia="en-GB"/>
        </w:rPr>
        <w:t>)</w:t>
      </w:r>
      <w:r w:rsidRPr="009C48DA">
        <w:rPr>
          <w:szCs w:val="20"/>
          <w:lang w:val="en-GB"/>
        </w:rPr>
        <w:t>.</w:t>
      </w:r>
    </w:p>
    <w:p w:rsidRPr="009C48DA" w:rsidR="00B51E80" w:rsidP="00B51E80" w:rsidRDefault="00B51E80" w14:paraId="60882EC9" w14:textId="7F28D81D">
      <w:pPr>
        <w:pStyle w:val="STBBullet3"/>
        <w:rPr>
          <w:szCs w:val="20"/>
          <w:lang w:val="en-GB"/>
        </w:rPr>
      </w:pPr>
      <w:r w:rsidRPr="009C48DA">
        <w:rPr>
          <w:szCs w:val="20"/>
          <w:lang w:val="en-GB"/>
        </w:rPr>
        <w:t xml:space="preserve">The Group’s ability to raise new capital is also dependent on the historical and expected performance of the </w:t>
      </w:r>
      <w:r w:rsidRPr="009C48DA" w:rsidR="007F7AA9">
        <w:rPr>
          <w:rFonts w:eastAsia="Calibri" w:cs="Arial"/>
          <w:szCs w:val="20"/>
          <w:lang w:val="en-GB"/>
        </w:rPr>
        <w:t xml:space="preserve">Bridgepoint </w:t>
      </w:r>
      <w:r w:rsidRPr="009C48DA">
        <w:rPr>
          <w:szCs w:val="20"/>
          <w:lang w:val="en-GB"/>
        </w:rPr>
        <w:t xml:space="preserve">Funds, including the Group’s ability to distribute returns to investors in </w:t>
      </w:r>
      <w:r w:rsidRPr="009C48DA" w:rsidR="007F7AA9">
        <w:rPr>
          <w:rFonts w:eastAsia="Calibri" w:cs="Arial"/>
          <w:szCs w:val="20"/>
          <w:lang w:val="en-GB"/>
        </w:rPr>
        <w:t xml:space="preserve">Bridgepoint </w:t>
      </w:r>
      <w:r w:rsidRPr="009C48DA">
        <w:rPr>
          <w:szCs w:val="20"/>
          <w:lang w:val="en-GB"/>
        </w:rPr>
        <w:t xml:space="preserve">Funds and the ability of the Group’s investor services and capital raising advisory teams to support the fund management team in maintaining strong relationships with investors and attracting capital from current and new investors if and when required. In particular, the Group’s ability to attract capital for fundraisings of the </w:t>
      </w:r>
      <w:r w:rsidRPr="009C48DA" w:rsidR="007F7AA9">
        <w:rPr>
          <w:rFonts w:eastAsia="Calibri" w:cs="Arial"/>
          <w:szCs w:val="20"/>
          <w:lang w:val="en-GB"/>
        </w:rPr>
        <w:t xml:space="preserve">Bridgepoint </w:t>
      </w:r>
      <w:r w:rsidRPr="009C48DA">
        <w:rPr>
          <w:szCs w:val="20"/>
          <w:lang w:val="en-GB"/>
        </w:rPr>
        <w:t>Funds is influenced by the competitive dynamics of the alternative investment management industry and the strength of the Group’s performance relative to the performance of its competitors.</w:t>
      </w:r>
    </w:p>
    <w:p w:rsidRPr="009C48DA" w:rsidR="00B51E80" w:rsidP="00B51E80" w:rsidRDefault="00B51E80" w14:paraId="0405A25F" w14:textId="741A34BD">
      <w:pPr>
        <w:pStyle w:val="BodyText2SglJ"/>
        <w:rPr>
          <w:szCs w:val="20"/>
          <w:lang w:val="en-GB"/>
        </w:rPr>
      </w:pPr>
      <w:r w:rsidRPr="009C48DA">
        <w:rPr>
          <w:szCs w:val="20"/>
          <w:lang w:val="en-GB"/>
        </w:rPr>
        <w:t>It is expected that the Group’s ongoing and future capital raising efforts will continue to be supported by growth of allocations to the alternative investment markets asset class and that the forecasted market growth provides favourable conditions for future growth in AUM, see “</w:t>
      </w:r>
      <w:r w:rsidRPr="009C48DA">
        <w:rPr>
          <w:i/>
          <w:szCs w:val="20"/>
          <w:lang w:val="en-GB"/>
        </w:rPr>
        <w:t>Growth in private markets</w:t>
      </w:r>
      <w:r w:rsidRPr="009C48DA">
        <w:rPr>
          <w:szCs w:val="20"/>
          <w:lang w:val="en-GB"/>
        </w:rPr>
        <w:t>”</w:t>
      </w:r>
      <w:r w:rsidRPr="009C48DA" w:rsidR="002D69DB">
        <w:rPr>
          <w:szCs w:val="20"/>
          <w:lang w:val="en-GB"/>
        </w:rPr>
        <w:t xml:space="preserve"> </w:t>
      </w:r>
      <w:r w:rsidRPr="009C48DA" w:rsidR="002D69DB">
        <w:rPr>
          <w:szCs w:val="20"/>
          <w:lang w:val="en-GB"/>
        </w:rPr>
        <w:lastRenderedPageBreak/>
        <w:t xml:space="preserve">in </w:t>
      </w:r>
      <w:r w:rsidRPr="009C48DA" w:rsidR="002D69DB">
        <w:rPr>
          <w:szCs w:val="20"/>
          <w:lang w:val="en-GB"/>
        </w:rPr>
        <w:fldChar w:fldCharType="begin"/>
      </w:r>
      <w:r w:rsidRPr="009C48DA" w:rsidR="002D69DB">
        <w:rPr>
          <w:szCs w:val="20"/>
          <w:lang w:val="en-GB"/>
        </w:rPr>
        <w:instrText xml:space="preserve"> REF _Ref71144150 \n \h </w:instrText>
      </w:r>
      <w:r w:rsidRPr="009C48DA" w:rsidR="002D69DB">
        <w:rPr>
          <w:szCs w:val="20"/>
          <w:lang w:val="en-GB"/>
        </w:rPr>
      </w:r>
      <w:r w:rsidRPr="009C48DA" w:rsidR="002D69DB">
        <w:rPr>
          <w:szCs w:val="20"/>
          <w:lang w:val="en-GB"/>
        </w:rPr>
        <w:fldChar w:fldCharType="separate"/>
      </w:r>
      <w:r w:rsidR="007C3D19">
        <w:rPr>
          <w:szCs w:val="20"/>
          <w:lang w:val="en-GB"/>
        </w:rPr>
        <w:t>Part IV</w:t>
      </w:r>
      <w:r w:rsidRPr="009C48DA" w:rsidR="002D69DB">
        <w:rPr>
          <w:szCs w:val="20"/>
          <w:lang w:val="en-GB"/>
        </w:rPr>
        <w:fldChar w:fldCharType="end"/>
      </w:r>
      <w:r w:rsidRPr="009C48DA">
        <w:rPr>
          <w:szCs w:val="20"/>
          <w:lang w:val="en-GB"/>
        </w:rPr>
        <w:t xml:space="preserve"> </w:t>
      </w:r>
      <w:r w:rsidRPr="009C48DA" w:rsidR="002D69DB">
        <w:rPr>
          <w:szCs w:val="20"/>
          <w:lang w:val="en-GB"/>
        </w:rPr>
        <w:t>(</w:t>
      </w:r>
      <w:r w:rsidRPr="009C48DA" w:rsidR="00FA0364">
        <w:rPr>
          <w:i/>
          <w:szCs w:val="20"/>
          <w:lang w:val="en-GB" w:eastAsia="en-GB"/>
        </w:rPr>
      </w:r>
      <w:r w:rsidRPr="007C3D19" w:rsidR="007C3D19">
        <w:rPr>
          <w:i/>
          <w:szCs w:val="20"/>
          <w:lang w:val="en-GB"/>
        </w:rPr>
        <w:t>Market Overview</w:t>
      </w:r>
      <w:r w:rsidRPr="009C48DA" w:rsidR="002D69DB">
        <w:rPr>
          <w:szCs w:val="20"/>
          <w:lang w:val="en-GB"/>
        </w:rPr>
        <w:t xml:space="preserve">). </w:t>
      </w:r>
      <w:r w:rsidRPr="009C48DA">
        <w:rPr>
          <w:szCs w:val="20"/>
          <w:lang w:val="en-GB"/>
        </w:rPr>
        <w:t xml:space="preserve">The Group also believes that its well-developed approach to capital raising and the continued performance of the </w:t>
      </w:r>
      <w:r w:rsidRPr="009C48DA" w:rsidR="007F7AA9">
        <w:rPr>
          <w:rFonts w:eastAsia="Calibri" w:cs="Arial"/>
          <w:szCs w:val="20"/>
          <w:lang w:val="en-GB"/>
        </w:rPr>
        <w:t xml:space="preserve">Bridgepoint </w:t>
      </w:r>
      <w:r w:rsidRPr="009C48DA">
        <w:rPr>
          <w:szCs w:val="20"/>
          <w:lang w:val="en-GB"/>
        </w:rPr>
        <w:t>Funds with attractive relative returns for investors will help it in benefitting from these market dynamics. In addition, it is expected that the targeted strategic broadening of the Group’s offering of investment opportunities and the expansion of its activities in certain geographic areas will support the targeted increase of AUM. See “</w:t>
      </w:r>
      <w:r w:rsidRPr="009C48DA">
        <w:rPr>
          <w:i/>
          <w:szCs w:val="20"/>
          <w:lang w:val="en-GB"/>
        </w:rPr>
        <w:t>Strategy of the Group</w:t>
      </w:r>
      <w:r w:rsidRPr="009C48DA">
        <w:rPr>
          <w:rFonts w:cs="Times New Roman"/>
          <w:szCs w:val="20"/>
          <w:lang w:val="en-GB"/>
        </w:rPr>
        <w:t>”</w:t>
      </w:r>
      <w:r w:rsidRPr="009C48DA" w:rsidR="002D69DB">
        <w:rPr>
          <w:rFonts w:cs="Times New Roman"/>
          <w:szCs w:val="20"/>
          <w:lang w:val="en-GB"/>
        </w:rPr>
        <w:t xml:space="preserve"> in </w:t>
      </w:r>
      <w:r w:rsidRPr="009C48DA" w:rsidR="002D69DB">
        <w:rPr>
          <w:rFonts w:cs="Times New Roman"/>
          <w:szCs w:val="20"/>
          <w:lang w:val="en-GB"/>
        </w:rPr>
        <w:fldChar w:fldCharType="begin"/>
      </w:r>
      <w:r w:rsidRPr="009C48DA" w:rsidR="002D69DB">
        <w:rPr>
          <w:rFonts w:cs="Times New Roman"/>
          <w:szCs w:val="20"/>
          <w:lang w:val="en-GB"/>
        </w:rPr>
        <w:instrText xml:space="preserve"> REF _Ref74468091 \n \h </w:instrText>
      </w:r>
      <w:r w:rsidRPr="009C48DA" w:rsidR="002D69DB">
        <w:rPr>
          <w:rFonts w:cs="Times New Roman"/>
          <w:szCs w:val="20"/>
          <w:lang w:val="en-GB"/>
        </w:rPr>
      </w:r>
      <w:r w:rsidRPr="009C48DA" w:rsidR="002D69DB">
        <w:rPr>
          <w:rFonts w:cs="Times New Roman"/>
          <w:szCs w:val="20"/>
          <w:lang w:val="en-GB"/>
        </w:rPr>
        <w:fldChar w:fldCharType="separate"/>
      </w:r>
      <w:r w:rsidR="007C3D19">
        <w:rPr>
          <w:rFonts w:cs="Times New Roman"/>
          <w:szCs w:val="20"/>
          <w:lang w:val="en-GB"/>
        </w:rPr>
        <w:t>Part V</w:t>
      </w:r>
      <w:r w:rsidRPr="009C48DA" w:rsidR="002D69DB">
        <w:rPr>
          <w:rFonts w:cs="Times New Roman"/>
          <w:szCs w:val="20"/>
          <w:lang w:val="en-GB"/>
        </w:rPr>
        <w:fldChar w:fldCharType="end"/>
      </w:r>
      <w:r w:rsidRPr="009C48DA" w:rsidR="002D69DB">
        <w:rPr>
          <w:rFonts w:cs="Times New Roman"/>
          <w:szCs w:val="20"/>
          <w:lang w:val="en-GB"/>
        </w:rPr>
        <w:t xml:space="preserve"> (</w:t>
      </w:r>
      <w:r w:rsidRPr="009C48DA" w:rsidR="00FA0364">
        <w:rPr>
          <w:rFonts w:cs="Times New Roman"/>
          <w:i/>
          <w:szCs w:val="20"/>
          <w:lang w:val="en-GB"/>
        </w:rPr>
      </w:r>
      <w:r w:rsidRPr="007C3D19" w:rsidR="007C3D19">
        <w:rPr>
          <w:i/>
          <w:lang w:val="en-GB"/>
        </w:rPr>
        <w:t>The Business</w:t>
      </w:r>
      <w:r w:rsidRPr="009C48DA" w:rsidR="002D69DB">
        <w:rPr>
          <w:rFonts w:cs="Times New Roman"/>
          <w:szCs w:val="20"/>
          <w:lang w:val="en-GB"/>
        </w:rPr>
        <w:t>).</w:t>
      </w:r>
    </w:p>
    <w:p w:rsidRPr="009C48DA" w:rsidR="00B51E80" w:rsidP="000C376E" w:rsidRDefault="00B51E80" w14:paraId="6732BEE5" w14:textId="77777777">
      <w:pPr>
        <w:pStyle w:val="TitleB"/>
        <w:rPr>
          <w:lang w:val="en-GB"/>
        </w:rPr>
      </w:pPr>
      <w:r w:rsidRPr="009C48DA">
        <w:rPr>
          <w:lang w:val="en-GB"/>
        </w:rPr>
        <w:t>Ability to negotiate management fee rates and other fund terms</w:t>
      </w:r>
    </w:p>
    <w:p w:rsidRPr="009C48DA" w:rsidR="00B51E80" w:rsidP="00B51E80" w:rsidRDefault="00B51E80" w14:paraId="20D253B9" w14:textId="7475E4E3">
      <w:pPr>
        <w:pStyle w:val="BodyText2SglJ"/>
        <w:rPr>
          <w:szCs w:val="20"/>
          <w:lang w:val="en-GB"/>
        </w:rPr>
      </w:pPr>
      <w:r w:rsidRPr="009C48DA">
        <w:rPr>
          <w:szCs w:val="20"/>
          <w:lang w:val="en-GB"/>
        </w:rPr>
        <w:t>Besides the Group’s AUM, the level of management fee rates impacts the Group’s ability to generate revenue through management fees. The main current factors impacting the Group’s Effective Management Fee Rate include:</w:t>
      </w:r>
    </w:p>
    <w:p w:rsidRPr="009C48DA" w:rsidR="00B51E80" w:rsidP="00B51E80" w:rsidRDefault="00B51E80" w14:paraId="3FE2B5B3" w14:textId="77777777">
      <w:pPr>
        <w:pStyle w:val="STBBullet3"/>
        <w:rPr>
          <w:szCs w:val="20"/>
          <w:lang w:val="en-GB"/>
        </w:rPr>
      </w:pPr>
      <w:r w:rsidRPr="009C48DA">
        <w:rPr>
          <w:szCs w:val="20"/>
          <w:lang w:val="en-GB"/>
        </w:rPr>
        <w:t>historical fee levels, terms and conditions as set by the preceding funds raised;</w:t>
      </w:r>
    </w:p>
    <w:p w:rsidRPr="009C48DA" w:rsidR="00B51E80" w:rsidP="00B51E80" w:rsidRDefault="00B51E80" w14:paraId="77617787" w14:textId="77777777">
      <w:pPr>
        <w:pStyle w:val="STBBullet3"/>
        <w:rPr>
          <w:szCs w:val="20"/>
          <w:lang w:val="en-GB"/>
        </w:rPr>
      </w:pPr>
      <w:r w:rsidRPr="009C48DA">
        <w:rPr>
          <w:szCs w:val="20"/>
          <w:lang w:val="en-GB"/>
        </w:rPr>
        <w:t>demand across investment strategies and the desire of investors to increase commitments to alternative investment markets;</w:t>
      </w:r>
    </w:p>
    <w:p w:rsidRPr="009C48DA" w:rsidR="00B51E80" w:rsidP="00B51E80" w:rsidRDefault="00B51E80" w14:paraId="71337EA2" w14:textId="5FFB7717">
      <w:pPr>
        <w:pStyle w:val="STBBullet3"/>
        <w:rPr>
          <w:szCs w:val="20"/>
          <w:lang w:val="en-GB"/>
        </w:rPr>
      </w:pPr>
      <w:r w:rsidRPr="009C48DA">
        <w:rPr>
          <w:szCs w:val="20"/>
          <w:lang w:val="en-GB"/>
        </w:rPr>
        <w:t xml:space="preserve">historical and expected performance of the </w:t>
      </w:r>
      <w:r w:rsidRPr="009C48DA" w:rsidR="007F7AA9">
        <w:rPr>
          <w:rFonts w:eastAsia="Calibri" w:cs="Arial"/>
          <w:szCs w:val="20"/>
          <w:lang w:val="en-GB"/>
        </w:rPr>
        <w:t xml:space="preserve">Bridgepoint </w:t>
      </w:r>
      <w:r w:rsidRPr="009C48DA">
        <w:rPr>
          <w:szCs w:val="20"/>
          <w:lang w:val="en-GB"/>
        </w:rPr>
        <w:t>Funds;</w:t>
      </w:r>
    </w:p>
    <w:p w:rsidRPr="009C48DA" w:rsidR="00B51E80" w:rsidP="00B51E80" w:rsidRDefault="00B51E80" w14:paraId="5F8E1226" w14:textId="23480510">
      <w:pPr>
        <w:pStyle w:val="STBBullet3"/>
        <w:rPr>
          <w:szCs w:val="20"/>
          <w:lang w:val="en-GB"/>
        </w:rPr>
      </w:pPr>
      <w:r w:rsidRPr="009C48DA">
        <w:rPr>
          <w:szCs w:val="20"/>
          <w:lang w:val="en-GB"/>
        </w:rPr>
        <w:t xml:space="preserve">quality and variety of the </w:t>
      </w:r>
      <w:r w:rsidRPr="009C48DA" w:rsidR="007F7AA9">
        <w:rPr>
          <w:rFonts w:eastAsia="Calibri" w:cs="Arial"/>
          <w:szCs w:val="20"/>
          <w:lang w:val="en-GB"/>
        </w:rPr>
        <w:t xml:space="preserve">Bridgepoint </w:t>
      </w:r>
      <w:r w:rsidRPr="009C48DA">
        <w:rPr>
          <w:szCs w:val="20"/>
          <w:lang w:val="en-GB"/>
        </w:rPr>
        <w:t>Fund offering across multiple strategies;</w:t>
      </w:r>
    </w:p>
    <w:p w:rsidRPr="009C48DA" w:rsidR="00B51E80" w:rsidP="00B51E80" w:rsidRDefault="00B51E80" w14:paraId="685B1B09" w14:textId="61151F7F">
      <w:pPr>
        <w:pStyle w:val="STBBullet3"/>
        <w:rPr>
          <w:szCs w:val="20"/>
          <w:lang w:val="en-GB"/>
        </w:rPr>
      </w:pPr>
      <w:r w:rsidRPr="009C48DA">
        <w:rPr>
          <w:szCs w:val="20"/>
          <w:lang w:val="en-GB"/>
        </w:rPr>
        <w:t xml:space="preserve">bargaining power towards investors, requirements for co-investment commitments through the Group </w:t>
      </w:r>
      <w:r w:rsidRPr="009C48DA" w:rsidR="0068630A">
        <w:rPr>
          <w:szCs w:val="20"/>
          <w:lang w:val="en-GB"/>
        </w:rPr>
        <w:t xml:space="preserve">and </w:t>
      </w:r>
      <w:r w:rsidRPr="009C48DA">
        <w:rPr>
          <w:szCs w:val="20"/>
          <w:lang w:val="en-GB"/>
        </w:rPr>
        <w:t xml:space="preserve">the level of any discounts for early and large commitments in the </w:t>
      </w:r>
      <w:r w:rsidRPr="009C48DA" w:rsidR="007F7AA9">
        <w:rPr>
          <w:rFonts w:eastAsia="Calibri" w:cs="Arial"/>
          <w:szCs w:val="20"/>
          <w:lang w:val="en-GB"/>
        </w:rPr>
        <w:t xml:space="preserve">Bridgepoint </w:t>
      </w:r>
      <w:r w:rsidRPr="009C48DA" w:rsidR="002D69DB">
        <w:rPr>
          <w:szCs w:val="20"/>
          <w:lang w:val="en-GB"/>
        </w:rPr>
        <w:t xml:space="preserve">private </w:t>
      </w:r>
      <w:r w:rsidRPr="009C48DA">
        <w:rPr>
          <w:szCs w:val="20"/>
          <w:lang w:val="en-GB"/>
        </w:rPr>
        <w:t xml:space="preserve">credit funds, which are influenced by the investor base concentration, competition from other investment organisations that raise capital and which offer more generous terms on management fees and/or carried interest and </w:t>
      </w:r>
      <w:r w:rsidRPr="009C48DA" w:rsidR="00F56F91">
        <w:rPr>
          <w:szCs w:val="20"/>
          <w:lang w:val="en-GB"/>
        </w:rPr>
        <w:t>co-</w:t>
      </w:r>
      <w:r w:rsidRPr="009C48DA">
        <w:rPr>
          <w:szCs w:val="20"/>
          <w:lang w:val="en-GB"/>
        </w:rPr>
        <w:t>investment</w:t>
      </w:r>
      <w:r w:rsidRPr="009C48DA" w:rsidR="00F56F91">
        <w:rPr>
          <w:szCs w:val="20"/>
          <w:lang w:val="en-GB"/>
        </w:rPr>
        <w:t>s as well as the amount of separately managed accounts, which tend to have lower management fees</w:t>
      </w:r>
      <w:r w:rsidRPr="009C48DA">
        <w:rPr>
          <w:szCs w:val="20"/>
          <w:lang w:val="en-GB"/>
        </w:rPr>
        <w:t>; and</w:t>
      </w:r>
    </w:p>
    <w:p w:rsidRPr="009C48DA" w:rsidR="00B51E80" w:rsidP="00B51E80" w:rsidRDefault="00B51E80" w14:paraId="0A29234E" w14:textId="77777777">
      <w:pPr>
        <w:pStyle w:val="STBBullet3"/>
        <w:rPr>
          <w:szCs w:val="20"/>
          <w:lang w:val="en-GB"/>
        </w:rPr>
      </w:pPr>
      <w:r w:rsidRPr="009C48DA">
        <w:rPr>
          <w:szCs w:val="20"/>
          <w:lang w:val="en-GB"/>
        </w:rPr>
        <w:t>industry standard fee levels, terms and conditions for funds with similar investment criteria and investment performance.</w:t>
      </w:r>
    </w:p>
    <w:p w:rsidRPr="009C48DA" w:rsidR="00B51E80" w:rsidP="00B51E80" w:rsidRDefault="00B51E80" w14:paraId="673C248D" w14:textId="51BC6AF5">
      <w:pPr>
        <w:pStyle w:val="BodyText2SglJ"/>
        <w:rPr>
          <w:szCs w:val="20"/>
          <w:lang w:val="en-GB"/>
        </w:rPr>
      </w:pPr>
      <w:r w:rsidRPr="009C48DA">
        <w:rPr>
          <w:szCs w:val="20"/>
          <w:lang w:val="en-GB"/>
        </w:rPr>
        <w:t xml:space="preserve">The Effective Management Fee rate for the </w:t>
      </w:r>
      <w:r w:rsidRPr="009C48DA" w:rsidR="007F7AA9">
        <w:rPr>
          <w:rFonts w:eastAsia="Calibri" w:cs="Arial"/>
          <w:szCs w:val="20"/>
          <w:lang w:val="en-GB"/>
        </w:rPr>
        <w:t xml:space="preserve">Bridgepoint </w:t>
      </w:r>
      <w:r w:rsidRPr="009C48DA">
        <w:rPr>
          <w:szCs w:val="20"/>
          <w:lang w:val="en-GB"/>
        </w:rPr>
        <w:t>Funds has historically amounted to approximately 1.3 per cent for funds with private equity strategies and approximately 1.1 per cent for funds with private credit strategies. While the Effective Management Fee Rate could vary between segments and individual funds</w:t>
      </w:r>
      <w:r w:rsidRPr="009C48DA" w:rsidR="00F56F91">
        <w:rPr>
          <w:szCs w:val="20"/>
          <w:lang w:val="en-GB"/>
        </w:rPr>
        <w:t xml:space="preserve"> and could be influenced by discounts to investors (with no such discounts being granted to investors in the </w:t>
      </w:r>
      <w:r w:rsidRPr="009C48DA" w:rsidR="007F7AA9">
        <w:rPr>
          <w:rFonts w:eastAsia="Calibri" w:cs="Arial"/>
          <w:szCs w:val="20"/>
          <w:lang w:val="en-GB"/>
        </w:rPr>
        <w:t xml:space="preserve">Bridgepoint </w:t>
      </w:r>
      <w:r w:rsidRPr="009C48DA" w:rsidR="00F56F91">
        <w:rPr>
          <w:szCs w:val="20"/>
          <w:lang w:val="en-GB"/>
        </w:rPr>
        <w:t>private equity funds as of 31 March 2021)</w:t>
      </w:r>
      <w:r w:rsidRPr="009C48DA">
        <w:rPr>
          <w:szCs w:val="20"/>
          <w:lang w:val="en-GB"/>
        </w:rPr>
        <w:t>, the Group believes that the Group</w:t>
      </w:r>
      <w:r w:rsidRPr="009C48DA" w:rsidR="003F7A07">
        <w:rPr>
          <w:szCs w:val="20"/>
          <w:lang w:val="en-GB"/>
        </w:rPr>
        <w:t>’</w:t>
      </w:r>
      <w:r w:rsidRPr="009C48DA">
        <w:rPr>
          <w:szCs w:val="20"/>
          <w:lang w:val="en-GB"/>
        </w:rPr>
        <w:t xml:space="preserve">s management fee rates are supported by the allocations to alternative investment market investments, the ability of the </w:t>
      </w:r>
      <w:r w:rsidRPr="009C48DA" w:rsidR="007F7AA9">
        <w:rPr>
          <w:rFonts w:eastAsia="Calibri" w:cs="Arial"/>
          <w:szCs w:val="20"/>
          <w:lang w:val="en-GB"/>
        </w:rPr>
        <w:t xml:space="preserve">Bridgepoint </w:t>
      </w:r>
      <w:r w:rsidRPr="009C48DA">
        <w:rPr>
          <w:szCs w:val="20"/>
          <w:lang w:val="en-GB"/>
        </w:rPr>
        <w:t xml:space="preserve">Funds to deliver attractive absolute and relative returns and the Group’s strategy and ongoing efforts to diversify the investor base of the </w:t>
      </w:r>
      <w:r w:rsidRPr="009C48DA" w:rsidR="007F7AA9">
        <w:rPr>
          <w:rFonts w:eastAsia="Calibri" w:cs="Arial"/>
          <w:szCs w:val="20"/>
          <w:lang w:val="en-GB"/>
        </w:rPr>
        <w:t xml:space="preserve">Bridgepoint </w:t>
      </w:r>
      <w:r w:rsidRPr="009C48DA">
        <w:rPr>
          <w:szCs w:val="20"/>
          <w:lang w:val="en-GB"/>
        </w:rPr>
        <w:t xml:space="preserve">Funds. Similarly, revenue from carried interest and income </w:t>
      </w:r>
      <w:r w:rsidRPr="009C48DA" w:rsidR="00F56F91">
        <w:rPr>
          <w:szCs w:val="20"/>
          <w:lang w:val="en-GB"/>
        </w:rPr>
        <w:t xml:space="preserve">from the fair value remeasurement of investments </w:t>
      </w:r>
      <w:r w:rsidRPr="009C48DA">
        <w:rPr>
          <w:szCs w:val="20"/>
          <w:lang w:val="en-GB"/>
        </w:rPr>
        <w:t xml:space="preserve">are dependent on the terms of the governing documents of the </w:t>
      </w:r>
      <w:r w:rsidRPr="009C48DA" w:rsidR="007F7AA9">
        <w:rPr>
          <w:rFonts w:eastAsia="Calibri" w:cs="Arial"/>
          <w:szCs w:val="20"/>
          <w:lang w:val="en-GB"/>
        </w:rPr>
        <w:t xml:space="preserve">Bridgepoint </w:t>
      </w:r>
      <w:r w:rsidRPr="009C48DA">
        <w:rPr>
          <w:szCs w:val="20"/>
          <w:lang w:val="en-GB"/>
        </w:rPr>
        <w:t>Funds. Based on the Group’s current competitive position and performance, with total operating income increasing at a CAGR of 1</w:t>
      </w:r>
      <w:r w:rsidRPr="009C48DA" w:rsidR="003144B4">
        <w:rPr>
          <w:szCs w:val="20"/>
          <w:lang w:val="en-GB"/>
        </w:rPr>
        <w:t>9</w:t>
      </w:r>
      <w:r w:rsidRPr="009C48DA">
        <w:rPr>
          <w:szCs w:val="20"/>
          <w:lang w:val="en-GB"/>
        </w:rPr>
        <w:t xml:space="preserve"> per cent from the year ended 31</w:t>
      </w:r>
      <w:r w:rsidRPr="009C48DA" w:rsidR="00061E5D">
        <w:rPr>
          <w:szCs w:val="20"/>
          <w:lang w:val="en-GB"/>
        </w:rPr>
        <w:t> </w:t>
      </w:r>
      <w:r w:rsidRPr="009C48DA">
        <w:rPr>
          <w:szCs w:val="20"/>
          <w:lang w:val="en-GB"/>
        </w:rPr>
        <w:t xml:space="preserve">December 2018 to the three months ended 31 March 2021 (on an annualised basis), the Group does not expect a material change in management fee </w:t>
      </w:r>
      <w:r w:rsidRPr="009C48DA" w:rsidR="00F56F91">
        <w:rPr>
          <w:szCs w:val="20"/>
          <w:lang w:val="en-GB"/>
        </w:rPr>
        <w:t xml:space="preserve">rates </w:t>
      </w:r>
      <w:r w:rsidRPr="009C48DA">
        <w:rPr>
          <w:szCs w:val="20"/>
          <w:lang w:val="en-GB"/>
        </w:rPr>
        <w:t>and the Group’s Effective Management Fee Rate as well as other fund terms with a material impact on the Group’s overall total operating income. The Directors expect that management fees will deliver approximately 80 per cent of the Group’s total operating income in the medium</w:t>
      </w:r>
      <w:r w:rsidRPr="009C48DA" w:rsidR="00A24F78">
        <w:rPr>
          <w:szCs w:val="20"/>
          <w:lang w:val="en-GB"/>
        </w:rPr>
        <w:t>-</w:t>
      </w:r>
      <w:r w:rsidRPr="009C48DA">
        <w:rPr>
          <w:szCs w:val="20"/>
          <w:lang w:val="en-GB"/>
        </w:rPr>
        <w:t xml:space="preserve">term and that the Group’s Underlying FRE Margin will reach </w:t>
      </w:r>
      <w:r w:rsidRPr="009C48DA" w:rsidR="00D26D43">
        <w:rPr>
          <w:szCs w:val="20"/>
          <w:lang w:val="en-GB"/>
        </w:rPr>
        <w:t>45 to 50 per cent over the long-</w:t>
      </w:r>
      <w:r w:rsidRPr="009C48DA">
        <w:rPr>
          <w:szCs w:val="20"/>
          <w:lang w:val="en-GB"/>
        </w:rPr>
        <w:t>term.</w:t>
      </w:r>
    </w:p>
    <w:p w:rsidRPr="009C48DA" w:rsidR="00B51E80" w:rsidP="000C376E" w:rsidRDefault="00B51E80" w14:paraId="09531E6D" w14:textId="77777777">
      <w:pPr>
        <w:pStyle w:val="TitleB"/>
        <w:rPr>
          <w:lang w:val="en-GB"/>
        </w:rPr>
      </w:pPr>
      <w:r w:rsidRPr="009C48DA">
        <w:rPr>
          <w:lang w:val="en-GB"/>
        </w:rPr>
        <w:t>Operating expenses</w:t>
      </w:r>
    </w:p>
    <w:p w:rsidRPr="009C48DA" w:rsidR="00B51E80" w:rsidP="00B51E80" w:rsidRDefault="00E105DB" w14:paraId="54C2EFF9" w14:textId="5041C267">
      <w:pPr>
        <w:pStyle w:val="BodyText2SglJ"/>
        <w:rPr>
          <w:szCs w:val="20"/>
          <w:lang w:val="en-GB"/>
        </w:rPr>
      </w:pPr>
      <w:r w:rsidRPr="009C48DA">
        <w:rPr>
          <w:rFonts w:eastAsia="Calibri" w:cs="Arial"/>
          <w:lang w:val="en-GB"/>
        </w:rPr>
        <w:t xml:space="preserve">Personnel </w:t>
      </w:r>
      <w:r w:rsidRPr="009C48DA" w:rsidR="002D38B3">
        <w:rPr>
          <w:rFonts w:eastAsia="Calibri" w:cs="Arial"/>
          <w:lang w:val="en-GB"/>
        </w:rPr>
        <w:t>expenses</w:t>
      </w:r>
      <w:r w:rsidRPr="009C48DA">
        <w:rPr>
          <w:rFonts w:eastAsia="Calibri" w:cs="Arial"/>
          <w:lang w:val="en-GB"/>
        </w:rPr>
        <w:t xml:space="preserve"> are the Group’s larg</w:t>
      </w:r>
      <w:r w:rsidRPr="009C48DA" w:rsidR="00120BEF">
        <w:rPr>
          <w:rFonts w:eastAsia="Calibri" w:cs="Arial"/>
          <w:lang w:val="en-GB"/>
        </w:rPr>
        <w:t>est cost item and represented 72</w:t>
      </w:r>
      <w:r w:rsidRPr="009C48DA">
        <w:rPr>
          <w:rFonts w:eastAsia="Calibri" w:cs="Arial"/>
          <w:lang w:val="en-GB"/>
        </w:rPr>
        <w:t xml:space="preserve"> per cent of total operating expenses for the year ended 31 December</w:t>
      </w:r>
      <w:r w:rsidRPr="009C48DA">
        <w:rPr>
          <w:rFonts w:eastAsia="Calibri" w:cs="Times New Roman"/>
          <w:lang w:val="en-GB"/>
        </w:rPr>
        <w:t xml:space="preserve"> 2020 (77 per cent excluding exceptional </w:t>
      </w:r>
      <w:r w:rsidRPr="009C48DA" w:rsidR="00E86866">
        <w:rPr>
          <w:rFonts w:eastAsia="Calibri" w:cs="Times New Roman"/>
          <w:lang w:val="en-GB"/>
        </w:rPr>
        <w:t>other expenses</w:t>
      </w:r>
      <w:r w:rsidRPr="009C48DA">
        <w:rPr>
          <w:rFonts w:eastAsia="Calibri" w:cs="Times New Roman"/>
          <w:lang w:val="en-GB"/>
        </w:rPr>
        <w:t xml:space="preserve"> in the period)</w:t>
      </w:r>
      <w:r w:rsidRPr="009C48DA">
        <w:rPr>
          <w:rFonts w:eastAsia="Calibri" w:cs="Arial"/>
          <w:lang w:val="en-GB"/>
        </w:rPr>
        <w:t>. Other o</w:t>
      </w:r>
      <w:r w:rsidRPr="009C48DA" w:rsidR="00120BEF">
        <w:rPr>
          <w:rFonts w:eastAsia="Calibri" w:cs="Arial"/>
          <w:lang w:val="en-GB"/>
        </w:rPr>
        <w:t>perating expenses represented 28</w:t>
      </w:r>
      <w:r w:rsidRPr="009C48DA">
        <w:rPr>
          <w:rFonts w:eastAsia="Calibri" w:cs="Times New Roman"/>
          <w:lang w:val="en-GB"/>
        </w:rPr>
        <w:t xml:space="preserve"> </w:t>
      </w:r>
      <w:r w:rsidRPr="009C48DA">
        <w:rPr>
          <w:rFonts w:eastAsia="Calibri" w:cs="Arial"/>
          <w:lang w:val="en-GB"/>
        </w:rPr>
        <w:t>per cent of total operating expenses for the year ended 31</w:t>
      </w:r>
      <w:r w:rsidRPr="009C48DA" w:rsidR="00061E5D">
        <w:rPr>
          <w:rFonts w:eastAsia="Calibri" w:cs="Arial"/>
          <w:lang w:val="en-GB"/>
        </w:rPr>
        <w:t> </w:t>
      </w:r>
      <w:r w:rsidRPr="009C48DA">
        <w:rPr>
          <w:rFonts w:eastAsia="Calibri" w:cs="Arial"/>
          <w:lang w:val="en-GB"/>
        </w:rPr>
        <w:t>December</w:t>
      </w:r>
      <w:r w:rsidRPr="009C48DA">
        <w:rPr>
          <w:rFonts w:eastAsia="Calibri" w:cs="Times New Roman"/>
          <w:lang w:val="en-GB"/>
        </w:rPr>
        <w:t xml:space="preserve"> 2020 (23 per cent excluding exceptional </w:t>
      </w:r>
      <w:r w:rsidRPr="009C48DA" w:rsidR="00E86866">
        <w:rPr>
          <w:rFonts w:eastAsia="Calibri" w:cs="Times New Roman"/>
          <w:lang w:val="en-GB"/>
        </w:rPr>
        <w:t xml:space="preserve">other expenses </w:t>
      </w:r>
      <w:r w:rsidRPr="009C48DA">
        <w:rPr>
          <w:rFonts w:eastAsia="Calibri" w:cs="Times New Roman"/>
          <w:lang w:val="en-GB"/>
        </w:rPr>
        <w:t>in the period)</w:t>
      </w:r>
      <w:r w:rsidRPr="009C48DA">
        <w:rPr>
          <w:rFonts w:eastAsia="Calibri" w:cs="Arial"/>
          <w:lang w:val="en-GB"/>
        </w:rPr>
        <w:t>. See “</w:t>
      </w:r>
      <w:r w:rsidRPr="009C48DA">
        <w:rPr>
          <w:rFonts w:eastAsia="Calibri" w:cs="Arial"/>
          <w:i/>
          <w:lang w:val="en-GB"/>
        </w:rPr>
        <w:t>Results of Operations—Year ended 31 December 2020 compared with year ended 31 December 2019</w:t>
      </w:r>
      <w:r w:rsidRPr="009C48DA">
        <w:rPr>
          <w:rFonts w:eastAsia="Calibri" w:cs="Arial"/>
          <w:lang w:val="en-GB"/>
        </w:rPr>
        <w:t>” for more details</w:t>
      </w:r>
      <w:r w:rsidRPr="009C48DA" w:rsidR="00B51E80">
        <w:rPr>
          <w:szCs w:val="20"/>
          <w:lang w:val="en-GB"/>
        </w:rPr>
        <w:t>.</w:t>
      </w:r>
    </w:p>
    <w:p w:rsidRPr="009C48DA" w:rsidR="00B51E80" w:rsidP="00190876" w:rsidRDefault="00B51E80" w14:paraId="557CFC05" w14:textId="3CCB072A">
      <w:pPr>
        <w:pStyle w:val="BodyText2SglJ"/>
        <w:rPr>
          <w:szCs w:val="20"/>
          <w:lang w:val="en-GB"/>
        </w:rPr>
      </w:pPr>
      <w:r w:rsidRPr="009C48DA">
        <w:rPr>
          <w:szCs w:val="20"/>
          <w:lang w:val="en-GB"/>
        </w:rPr>
        <w:lastRenderedPageBreak/>
        <w:t>In general, the Group’s operating expenses are directly or indirectly driven by the number of FTEs, in turn driven by the growth of operations including new strategic and geographical initiatives. Mainly due to an increase of FTEs from 223 as of 31 December 2018 to 320 as of 31 March 2021</w:t>
      </w:r>
      <w:r w:rsidRPr="009C48DA" w:rsidR="00EA7EC0">
        <w:rPr>
          <w:szCs w:val="20"/>
          <w:lang w:val="en-GB"/>
        </w:rPr>
        <w:t>,</w:t>
      </w:r>
      <w:r w:rsidRPr="009C48DA">
        <w:rPr>
          <w:szCs w:val="20"/>
          <w:lang w:val="en-GB"/>
        </w:rPr>
        <w:t xml:space="preserve"> because of the Group’s investments in its operating platform and the acquisition of EQT Credit, personnel </w:t>
      </w:r>
      <w:r w:rsidRPr="009C48DA" w:rsidR="002D38B3">
        <w:rPr>
          <w:szCs w:val="20"/>
          <w:lang w:val="en-GB"/>
        </w:rPr>
        <w:t>expenses</w:t>
      </w:r>
      <w:r w:rsidRPr="009C48DA">
        <w:rPr>
          <w:szCs w:val="20"/>
          <w:lang w:val="en-GB"/>
        </w:rPr>
        <w:t xml:space="preserve"> increased at a CAGR of </w:t>
      </w:r>
      <w:r w:rsidRPr="009C48DA" w:rsidR="003144B4">
        <w:rPr>
          <w:szCs w:val="20"/>
          <w:lang w:val="en-GB"/>
        </w:rPr>
        <w:t>seven</w:t>
      </w:r>
      <w:r w:rsidRPr="009C48DA">
        <w:rPr>
          <w:szCs w:val="20"/>
          <w:lang w:val="en-GB"/>
        </w:rPr>
        <w:t xml:space="preserve"> per cent from the year ended 31 December 2018 to the three months ended 31 March 2021 (on an annualised basis). </w:t>
      </w:r>
      <w:r w:rsidRPr="009C48DA" w:rsidR="007A1A68">
        <w:rPr>
          <w:szCs w:val="20"/>
          <w:lang w:val="en-GB"/>
        </w:rPr>
        <w:t xml:space="preserve">The Directors expect that there will be a step up in operating expenses in 2021 compared to 2020, with an expected increase of personnel expenses by approximately </w:t>
      </w:r>
      <w:r w:rsidRPr="009C48DA" w:rsidR="007A1A68">
        <w:rPr>
          <w:rFonts w:eastAsia="Calibri" w:cs="Arial"/>
          <w:szCs w:val="20"/>
          <w:lang w:val="en-GB"/>
        </w:rPr>
        <w:t>£20 million and an expected increase of other</w:t>
      </w:r>
      <w:r w:rsidRPr="009C48DA" w:rsidR="00954400">
        <w:rPr>
          <w:rFonts w:eastAsia="Calibri" w:cs="Arial"/>
          <w:szCs w:val="20"/>
          <w:lang w:val="en-GB"/>
        </w:rPr>
        <w:t xml:space="preserve"> expenses by approximately £5 million</w:t>
      </w:r>
      <w:r w:rsidRPr="009C48DA" w:rsidR="007A1A68">
        <w:rPr>
          <w:szCs w:val="20"/>
          <w:lang w:val="en-GB"/>
        </w:rPr>
        <w:t xml:space="preserve">, primarily as a result of the acquisition of the EQT Credit business. </w:t>
      </w:r>
      <w:r w:rsidRPr="009C48DA">
        <w:rPr>
          <w:szCs w:val="20"/>
          <w:lang w:val="en-GB"/>
        </w:rPr>
        <w:t xml:space="preserve">The Group expects more modest growth in headcount and personnel </w:t>
      </w:r>
      <w:r w:rsidRPr="009C48DA" w:rsidR="002D38B3">
        <w:rPr>
          <w:szCs w:val="20"/>
          <w:lang w:val="en-GB"/>
        </w:rPr>
        <w:t xml:space="preserve">expenses </w:t>
      </w:r>
      <w:r w:rsidRPr="009C48DA" w:rsidR="007A1A68">
        <w:rPr>
          <w:szCs w:val="20"/>
          <w:lang w:val="en-GB"/>
        </w:rPr>
        <w:t xml:space="preserve">(relative to expected growth of fees) </w:t>
      </w:r>
      <w:r w:rsidRPr="009C48DA">
        <w:rPr>
          <w:szCs w:val="20"/>
          <w:lang w:val="en-GB"/>
        </w:rPr>
        <w:t xml:space="preserve">in the </w:t>
      </w:r>
      <w:r w:rsidRPr="009C48DA" w:rsidR="007A1A68">
        <w:rPr>
          <w:szCs w:val="20"/>
          <w:lang w:val="en-GB"/>
        </w:rPr>
        <w:t>medium-</w:t>
      </w:r>
      <w:r w:rsidRPr="009C48DA">
        <w:rPr>
          <w:szCs w:val="20"/>
          <w:lang w:val="en-GB"/>
        </w:rPr>
        <w:t xml:space="preserve">term as the investments which </w:t>
      </w:r>
      <w:r w:rsidRPr="009C48DA" w:rsidR="007F7AA9">
        <w:rPr>
          <w:rFonts w:eastAsia="Calibri" w:cs="Arial"/>
          <w:szCs w:val="20"/>
          <w:lang w:val="en-GB"/>
        </w:rPr>
        <w:t xml:space="preserve">Bridgepoint </w:t>
      </w:r>
      <w:r w:rsidRPr="009C48DA">
        <w:rPr>
          <w:szCs w:val="20"/>
          <w:lang w:val="en-GB"/>
        </w:rPr>
        <w:t xml:space="preserve">has already made are expected to support the anticipated expansion of the operating platform. The number of FTEs has historically increased as a result of the growth in </w:t>
      </w:r>
      <w:r w:rsidRPr="009C48DA" w:rsidR="00F56F91">
        <w:rPr>
          <w:szCs w:val="20"/>
          <w:lang w:val="en-GB"/>
        </w:rPr>
        <w:t xml:space="preserve">Total </w:t>
      </w:r>
      <w:r w:rsidRPr="009C48DA">
        <w:rPr>
          <w:szCs w:val="20"/>
          <w:lang w:val="en-GB"/>
        </w:rPr>
        <w:t xml:space="preserve">AUM, but </w:t>
      </w:r>
      <w:r w:rsidRPr="009C48DA" w:rsidR="00F56F91">
        <w:rPr>
          <w:szCs w:val="20"/>
          <w:lang w:val="en-GB"/>
        </w:rPr>
        <w:t xml:space="preserve">Total </w:t>
      </w:r>
      <w:r w:rsidRPr="009C48DA">
        <w:rPr>
          <w:szCs w:val="20"/>
          <w:lang w:val="en-GB"/>
        </w:rPr>
        <w:t xml:space="preserve">AUM per FTE has also increased. This operational leverage is higher for already scaled strategies, such as the Group’s existing private equity and private credit strategies, as there is an existing platform supporting further growth. Items reported in other expenses, such as </w:t>
      </w:r>
      <w:r w:rsidRPr="009C48DA" w:rsidR="00F56F91">
        <w:rPr>
          <w:szCs w:val="20"/>
          <w:lang w:val="en-GB"/>
        </w:rPr>
        <w:t xml:space="preserve">administrative and other </w:t>
      </w:r>
      <w:r w:rsidRPr="009C48DA">
        <w:rPr>
          <w:szCs w:val="20"/>
          <w:lang w:val="en-GB"/>
        </w:rPr>
        <w:t>expenses</w:t>
      </w:r>
      <w:r w:rsidRPr="009C48DA" w:rsidR="00F56F91">
        <w:rPr>
          <w:szCs w:val="20"/>
          <w:lang w:val="en-GB"/>
        </w:rPr>
        <w:t xml:space="preserve">, expenses for </w:t>
      </w:r>
      <w:r w:rsidRPr="009C48DA">
        <w:rPr>
          <w:szCs w:val="20"/>
          <w:lang w:val="en-GB"/>
        </w:rPr>
        <w:t xml:space="preserve">external </w:t>
      </w:r>
      <w:r w:rsidRPr="009C48DA" w:rsidR="00F56F91">
        <w:rPr>
          <w:szCs w:val="20"/>
          <w:lang w:val="en-GB"/>
        </w:rPr>
        <w:t xml:space="preserve">services and </w:t>
      </w:r>
      <w:r w:rsidRPr="009C48DA">
        <w:rPr>
          <w:szCs w:val="20"/>
          <w:lang w:val="en-GB"/>
        </w:rPr>
        <w:t>consultants</w:t>
      </w:r>
      <w:r w:rsidRPr="009C48DA" w:rsidR="00F56F91">
        <w:rPr>
          <w:szCs w:val="20"/>
          <w:lang w:val="en-GB"/>
        </w:rPr>
        <w:t xml:space="preserve"> as well as IT hardware, software and licenses</w:t>
      </w:r>
      <w:r w:rsidRPr="009C48DA">
        <w:rPr>
          <w:szCs w:val="20"/>
          <w:lang w:val="en-GB"/>
        </w:rPr>
        <w:t>, are expected to continue to grow in absolute terms in line with the anticipated growth of the Group’s operations, but they are not expected to become a larger proportion of the total cost base.</w:t>
      </w:r>
      <w:r w:rsidRPr="009C48DA" w:rsidR="00F56F91">
        <w:rPr>
          <w:szCs w:val="20"/>
          <w:lang w:val="en-GB"/>
        </w:rPr>
        <w:t xml:space="preserve"> While the increase in central costs is not measured as a firm target, it is the Group’s ambition to grow central operating costs, reflected in both personnel and other operating expenses, at approximately half of the pace of the </w:t>
      </w:r>
      <w:r w:rsidRPr="009C48DA" w:rsidR="00E105DB">
        <w:rPr>
          <w:szCs w:val="20"/>
          <w:lang w:val="en-GB"/>
        </w:rPr>
        <w:t xml:space="preserve">expected </w:t>
      </w:r>
      <w:r w:rsidRPr="009C48DA" w:rsidR="00F56F91">
        <w:rPr>
          <w:szCs w:val="20"/>
          <w:lang w:val="en-GB"/>
        </w:rPr>
        <w:t>increase in Total AUM over time.</w:t>
      </w:r>
      <w:r w:rsidRPr="009C48DA" w:rsidR="0085023D">
        <w:rPr>
          <w:szCs w:val="20"/>
          <w:lang w:val="en-GB"/>
        </w:rPr>
        <w:t xml:space="preserve"> </w:t>
      </w:r>
      <w:r w:rsidRPr="009C48DA" w:rsidR="0085023D">
        <w:rPr>
          <w:rFonts w:eastAsia="Calibri" w:cs="Arial"/>
          <w:szCs w:val="22"/>
          <w:lang w:val="en-GB"/>
        </w:rPr>
        <w:t xml:space="preserve">Operating expenses in the three months ended 31 March 2021 were </w:t>
      </w:r>
      <w:r w:rsidRPr="009C48DA" w:rsidR="00BA00CD">
        <w:rPr>
          <w:rFonts w:eastAsia="Calibri" w:cs="Arial"/>
          <w:szCs w:val="22"/>
          <w:lang w:val="en-GB"/>
        </w:rPr>
        <w:t xml:space="preserve">comparatively </w:t>
      </w:r>
      <w:r w:rsidRPr="009C48DA" w:rsidR="0085023D">
        <w:rPr>
          <w:rFonts w:eastAsia="Calibri" w:cs="Arial"/>
          <w:szCs w:val="22"/>
          <w:lang w:val="en-GB"/>
        </w:rPr>
        <w:t>lower than the expected operating expenses for the rest of the year, mainly as there were reduced expenses for travel and training in the first quarter of 2021 due to the COVID-19 pandemic, yearly pay reviews of salaries becoming effective as of 1 April, planned hires through</w:t>
      </w:r>
      <w:r w:rsidRPr="009C48DA" w:rsidR="00BA00CD">
        <w:rPr>
          <w:rFonts w:eastAsia="Calibri" w:cs="Arial"/>
          <w:szCs w:val="22"/>
          <w:lang w:val="en-GB"/>
        </w:rPr>
        <w:t>out</w:t>
      </w:r>
      <w:r w:rsidRPr="009C48DA" w:rsidR="0085023D">
        <w:rPr>
          <w:rFonts w:eastAsia="Calibri" w:cs="Arial"/>
          <w:szCs w:val="22"/>
          <w:lang w:val="en-GB"/>
        </w:rPr>
        <w:t xml:space="preserve"> the year, including for the Bridgepoint private credit and Bridgepoint Development Capital teams, and additional costs for property from June 2021.</w:t>
      </w:r>
    </w:p>
    <w:p w:rsidRPr="009C48DA" w:rsidR="00B51E80" w:rsidP="000C376E" w:rsidRDefault="00B51E80" w14:paraId="60FF8167" w14:textId="77777777">
      <w:pPr>
        <w:pStyle w:val="TitleB"/>
        <w:rPr>
          <w:lang w:val="en-GB"/>
        </w:rPr>
      </w:pPr>
      <w:r w:rsidRPr="009C48DA">
        <w:rPr>
          <w:lang w:val="en-GB"/>
        </w:rPr>
        <w:t>Foreign exchange rates</w:t>
      </w:r>
    </w:p>
    <w:p w:rsidRPr="009C48DA" w:rsidR="00B51E80" w:rsidP="00B51E80" w:rsidRDefault="00B51E80" w14:paraId="45143AA3" w14:textId="77777777">
      <w:pPr>
        <w:pStyle w:val="BodyText2SglJ"/>
        <w:rPr>
          <w:rFonts w:eastAsia="Calibri" w:cs="Arial"/>
          <w:szCs w:val="20"/>
          <w:lang w:val="en-GB"/>
        </w:rPr>
      </w:pPr>
      <w:r w:rsidRPr="009C48DA">
        <w:rPr>
          <w:rFonts w:eastAsia="Calibri" w:cs="Arial"/>
          <w:szCs w:val="20"/>
          <w:lang w:val="en-GB"/>
        </w:rPr>
        <w:t xml:space="preserve">The Group is affected by potential changes in foreign exchange rates with an impact on the Group’s income statement and/or the value of its assets and liabilities. The Group’s income is primarily denominated in euro and pound sterling and its expenses are primarily denominated in pound sterling and euro, but also in United States dollars, Swedish kronor and Chinese yuan. </w:t>
      </w:r>
    </w:p>
    <w:p w:rsidRPr="009C48DA" w:rsidR="00B51E80" w:rsidP="00B51E80" w:rsidRDefault="00B51E80" w14:paraId="341A6079" w14:textId="39E06865">
      <w:pPr>
        <w:pStyle w:val="BodyText2SglJ"/>
        <w:rPr>
          <w:rFonts w:eastAsia="Calibri" w:cs="Arial"/>
          <w:szCs w:val="20"/>
          <w:lang w:val="en-GB"/>
        </w:rPr>
      </w:pPr>
      <w:r w:rsidRPr="009C48DA">
        <w:rPr>
          <w:rFonts w:eastAsia="Calibri" w:cs="Arial"/>
          <w:szCs w:val="20"/>
          <w:lang w:val="en-GB"/>
        </w:rPr>
        <w:t xml:space="preserve">The Group’s presentation currency is pound sterling. Income and expenses denominated in pound sterling are therefore not directly affected by changes in exchange rates. However, when income and expenses arise in entities with a functional currency other than pound sterling, the Group’s revenue and expenses will be affected by changes in exchange rates in the period between initial recognition of revenue or expense and actual settlement. </w:t>
      </w:r>
      <w:r w:rsidRPr="009C48DA">
        <w:rPr>
          <w:szCs w:val="20"/>
          <w:lang w:val="en-GB"/>
        </w:rPr>
        <w:t>The Group undertakes a programme of hedging foreign exchange exposure between income in euro and operating expenses in pound sterling where there is a mismatch</w:t>
      </w:r>
      <w:r w:rsidRPr="009C48DA" w:rsidR="008C06C3">
        <w:rPr>
          <w:szCs w:val="20"/>
          <w:lang w:val="en-GB"/>
        </w:rPr>
        <w:t>.</w:t>
      </w:r>
      <w:r w:rsidRPr="009C48DA">
        <w:rPr>
          <w:szCs w:val="20"/>
          <w:lang w:val="en-GB"/>
        </w:rPr>
        <w:t xml:space="preserve"> The Group uses forward and swap contracts for typically up to three years in the future with an aim to hedge up to its forecast pound sterling operating cost base.</w:t>
      </w:r>
    </w:p>
    <w:p w:rsidRPr="009C48DA" w:rsidR="00B51E80" w:rsidP="00B51E80" w:rsidRDefault="00B51E80" w14:paraId="72F3D2F4" w14:textId="77777777">
      <w:pPr>
        <w:pStyle w:val="BodyText2SglJ"/>
        <w:rPr>
          <w:rFonts w:eastAsia="Calibri" w:cs="Arial"/>
          <w:szCs w:val="20"/>
          <w:lang w:val="en-GB"/>
        </w:rPr>
      </w:pPr>
      <w:r w:rsidRPr="009C48DA">
        <w:rPr>
          <w:rFonts w:eastAsia="Calibri" w:cs="Arial"/>
          <w:szCs w:val="20"/>
          <w:lang w:val="en-GB"/>
        </w:rPr>
        <w:t>Currency effects also occur when translating the balance sheets and income statements of the subsidiaries with a functional currency other than pound sterling into pound sterling. The balance sheets are translated using the exchange rate at the balance sheet date and the income statements are translated using the average exchange rate for the period. Generally, the risk associated with exposure to foreign currency translation of the balance sheet is not hedged, as it is considered a timing issue which does not necessarily result in any cash impact.</w:t>
      </w:r>
    </w:p>
    <w:p w:rsidRPr="009C48DA" w:rsidR="00B51E80" w:rsidP="000C376E" w:rsidRDefault="00B51E80" w14:paraId="0EF0C20C" w14:textId="77777777">
      <w:pPr>
        <w:pStyle w:val="TitleB"/>
        <w:rPr>
          <w:lang w:val="en-GB"/>
        </w:rPr>
      </w:pPr>
      <w:r w:rsidRPr="009C48DA">
        <w:rPr>
          <w:lang w:val="en-GB"/>
        </w:rPr>
        <w:t>Tax</w:t>
      </w:r>
    </w:p>
    <w:p w:rsidRPr="009C48DA" w:rsidR="00B51E80" w:rsidP="00B51E80" w:rsidRDefault="00B51E80" w14:paraId="4550ECF3" w14:textId="77777777">
      <w:pPr>
        <w:pStyle w:val="BodyText2SglJ"/>
        <w:rPr>
          <w:rFonts w:eastAsia="Calibri" w:cs="Arial"/>
          <w:szCs w:val="20"/>
          <w:lang w:val="en-GB"/>
        </w:rPr>
      </w:pPr>
      <w:r w:rsidRPr="009C48DA">
        <w:rPr>
          <w:rFonts w:eastAsia="Calibri" w:cs="Arial"/>
          <w:szCs w:val="20"/>
          <w:lang w:val="en-GB"/>
        </w:rPr>
        <w:t>The Group conducts its business, including transactions within the Group, in accordance with its interpretation and understanding of applicable tax laws and treaties or other regulations, and the requirements of the tax authorities in relevant jurisdictions. There can be no assurance that the Group’s interpretation and application of the applicable laws, regulations, case law and the tax authorities’ administrative practices have been, or will continue to be, correct, or that such laws, regulations, case law or practices will not be amended, possibly with retroactive effect.</w:t>
      </w:r>
    </w:p>
    <w:p w:rsidRPr="009C48DA" w:rsidR="00B51E80" w:rsidP="00B51E80" w:rsidRDefault="00B51E80" w14:paraId="4C9EEEA8" w14:textId="68DCC006">
      <w:pPr>
        <w:pStyle w:val="BodyText2SglJ"/>
        <w:rPr>
          <w:rFonts w:eastAsia="Calibri" w:cs="Arial"/>
          <w:szCs w:val="20"/>
          <w:lang w:val="en-GB"/>
        </w:rPr>
      </w:pPr>
      <w:r w:rsidRPr="009C48DA">
        <w:rPr>
          <w:szCs w:val="20"/>
          <w:lang w:val="en-GB"/>
        </w:rPr>
        <w:t>The Company is tax resident in the UK and the Group’s profit before tax is subject to corporation tax on the profits earned in all major geographies of operation.</w:t>
      </w:r>
      <w:r w:rsidRPr="009C48DA" w:rsidR="00471ACC">
        <w:rPr>
          <w:szCs w:val="20"/>
          <w:lang w:val="en-GB"/>
        </w:rPr>
        <w:t xml:space="preserve"> The Group has </w:t>
      </w:r>
      <w:r w:rsidRPr="009C48DA">
        <w:rPr>
          <w:szCs w:val="20"/>
          <w:lang w:val="en-GB"/>
        </w:rPr>
        <w:t>significant tax loss carry-</w:t>
      </w:r>
      <w:r w:rsidRPr="009C48DA">
        <w:rPr>
          <w:szCs w:val="20"/>
          <w:lang w:val="en-GB"/>
        </w:rPr>
        <w:lastRenderedPageBreak/>
        <w:t>forwards</w:t>
      </w:r>
      <w:r w:rsidRPr="009C48DA" w:rsidR="00F56F91">
        <w:rPr>
          <w:szCs w:val="20"/>
          <w:lang w:val="en-GB"/>
        </w:rPr>
        <w:t xml:space="preserve"> in the UK</w:t>
      </w:r>
      <w:r w:rsidRPr="009C48DA">
        <w:rPr>
          <w:szCs w:val="20"/>
          <w:lang w:val="en-GB"/>
        </w:rPr>
        <w:t xml:space="preserve">, which are expected to reduce the Group’s effective tax rate to </w:t>
      </w:r>
      <w:r w:rsidRPr="009C48DA" w:rsidR="00954400">
        <w:rPr>
          <w:szCs w:val="20"/>
          <w:lang w:val="en-GB"/>
        </w:rPr>
        <w:t>be in the region of 7.5 per cent in the short- to medium-term (subject to any potential changes in the UK tax laws and regulations)</w:t>
      </w:r>
      <w:r w:rsidRPr="009C48DA">
        <w:rPr>
          <w:szCs w:val="20"/>
          <w:lang w:val="en-GB"/>
        </w:rPr>
        <w:t>.</w:t>
      </w:r>
    </w:p>
    <w:p w:rsidRPr="009C48DA" w:rsidR="00B51E80" w:rsidP="003B623F" w:rsidRDefault="00B51E80" w14:paraId="08368EB5" w14:textId="354BD16B">
      <w:pPr>
        <w:pStyle w:val="BodyText2SglJ"/>
        <w:rPr>
          <w:rFonts w:eastAsia="Calibri" w:cs="Arial"/>
          <w:szCs w:val="20"/>
          <w:lang w:val="en-GB"/>
        </w:rPr>
      </w:pPr>
      <w:r w:rsidRPr="009C48DA">
        <w:rPr>
          <w:rFonts w:eastAsia="Calibri" w:cs="Arial"/>
          <w:szCs w:val="20"/>
          <w:lang w:val="en-GB"/>
        </w:rPr>
        <w:t xml:space="preserve">Potential amendments of applicable tax laws and treaties or other regulations, and the requirements of the relevant tax authorities in relevant jurisdictions might impact the Group’s business, results of operations, profits and cash flows. For example, in the Spring Budget 2021, the UK government announced that from 1 April 2023 the corporation tax rate will increase to 25 per cent. In addition, as a result of the recent presidential and congressional elections in the United States, there could be significant changes in tax law and regulations in the United States. While the likelihood and nature of any such legislation or regulations is uncertain, the new United States administration may pursue tax policies seeking to increase the corporate tax rate and further limit the deductibility of interest, among other things. Such changes could materially increase the amount of taxes the Group or its portfolio companies in the United States are required to pay (albeit the U.S. operations of the Group do not represent a large percentage of the total Group income or profits). In addition, the Organization for Economic Cooperation and Development and other government agencies in jurisdictions in which the Group and the </w:t>
      </w:r>
      <w:r w:rsidRPr="009C48DA" w:rsidR="007F7AA9">
        <w:rPr>
          <w:rFonts w:eastAsia="Calibri" w:cs="Arial"/>
          <w:szCs w:val="20"/>
          <w:lang w:val="en-GB"/>
        </w:rPr>
        <w:t xml:space="preserve">Bridgepoint </w:t>
      </w:r>
      <w:r w:rsidRPr="009C48DA">
        <w:rPr>
          <w:rFonts w:eastAsia="Calibri" w:cs="Arial"/>
          <w:szCs w:val="20"/>
          <w:lang w:val="en-GB"/>
        </w:rPr>
        <w:t xml:space="preserve">Funds invest or do business have maintained a focus on issues related to the taxation of multinational companies and groups, such as the Group. See </w:t>
      </w:r>
      <w:r w:rsidRPr="009C48DA" w:rsidR="00F56F91">
        <w:rPr>
          <w:rFonts w:eastAsia="Calibri" w:cs="Arial"/>
          <w:szCs w:val="20"/>
          <w:lang w:val="en-GB"/>
        </w:rPr>
        <w:t xml:space="preserve">also </w:t>
      </w:r>
      <w:r w:rsidRPr="009C48DA">
        <w:rPr>
          <w:rFonts w:eastAsia="Calibri" w:cs="Arial"/>
          <w:szCs w:val="20"/>
          <w:lang w:val="en-GB"/>
        </w:rPr>
        <w:t>“</w:t>
      </w:r>
      <w:r w:rsidRPr="009C48DA">
        <w:rPr>
          <w:rFonts w:eastAsia="Calibri" w:cs="Arial"/>
          <w:i/>
          <w:szCs w:val="20"/>
          <w:lang w:val="en-GB"/>
        </w:rPr>
        <w:t>Tax Risks</w:t>
      </w:r>
      <w:r w:rsidRPr="009C48DA">
        <w:rPr>
          <w:rFonts w:eastAsia="Calibri" w:cs="Arial"/>
          <w:szCs w:val="20"/>
          <w:lang w:val="en-GB"/>
        </w:rPr>
        <w:t>”</w:t>
      </w:r>
      <w:r w:rsidRPr="009C48DA" w:rsidR="00F56F91">
        <w:rPr>
          <w:rFonts w:eastAsia="Calibri" w:cs="Arial"/>
          <w:szCs w:val="20"/>
          <w:lang w:val="en-GB"/>
        </w:rPr>
        <w:t xml:space="preserve"> in </w:t>
      </w:r>
      <w:r w:rsidRPr="009C48DA" w:rsidR="00F56F91">
        <w:rPr>
          <w:rFonts w:eastAsia="Calibri" w:cs="Arial"/>
          <w:szCs w:val="20"/>
          <w:lang w:val="en-GB"/>
        </w:rPr>
        <w:fldChar w:fldCharType="begin"/>
      </w:r>
      <w:r w:rsidRPr="009C48DA" w:rsidR="00F56F91">
        <w:rPr>
          <w:rFonts w:eastAsia="Calibri" w:cs="Arial"/>
          <w:szCs w:val="20"/>
          <w:lang w:val="en-GB"/>
        </w:rPr>
        <w:instrText xml:space="preserve"> REF _Ref71136204 \n \h </w:instrText>
      </w:r>
      <w:r w:rsidRPr="009C48DA" w:rsidR="00F56F91">
        <w:rPr>
          <w:rFonts w:eastAsia="Calibri" w:cs="Arial"/>
          <w:szCs w:val="20"/>
          <w:lang w:val="en-GB"/>
        </w:rPr>
      </w:r>
      <w:r w:rsidRPr="009C48DA" w:rsidR="00F56F91">
        <w:rPr>
          <w:rFonts w:eastAsia="Calibri" w:cs="Arial"/>
          <w:szCs w:val="20"/>
          <w:lang w:val="en-GB"/>
        </w:rPr>
        <w:fldChar w:fldCharType="separate"/>
      </w:r>
      <w:r w:rsidR="007C3D19">
        <w:rPr>
          <w:rFonts w:eastAsia="Calibri" w:cs="Arial"/>
          <w:szCs w:val="20"/>
          <w:lang w:val="en-GB"/>
        </w:rPr>
        <w:t>Part I</w:t>
      </w:r>
      <w:r w:rsidRPr="009C48DA" w:rsidR="00F56F91">
        <w:rPr>
          <w:rFonts w:eastAsia="Calibri" w:cs="Arial"/>
          <w:szCs w:val="20"/>
          <w:lang w:val="en-GB"/>
        </w:rPr>
        <w:fldChar w:fldCharType="end"/>
      </w:r>
      <w:r w:rsidRPr="009C48DA" w:rsidR="00F56F91">
        <w:rPr>
          <w:rFonts w:eastAsia="Calibri" w:cs="Arial"/>
          <w:szCs w:val="20"/>
          <w:lang w:val="en-GB"/>
        </w:rPr>
        <w:t xml:space="preserve"> (</w:t>
      </w:r>
      <w:r w:rsidRPr="009C48DA" w:rsidR="003B623F">
        <w:rPr>
          <w:rFonts w:eastAsia="Calibri" w:cs="Arial"/>
          <w:i/>
          <w:szCs w:val="20"/>
          <w:lang w:val="en-GB"/>
        </w:rPr>
        <w:fldChar w:fldCharType="begin"/>
      </w:r>
      <w:r w:rsidRPr="009C48DA" w:rsidR="003B623F">
        <w:rPr>
          <w:rFonts w:eastAsia="Calibri" w:cs="Arial"/>
          <w:i/>
          <w:szCs w:val="20"/>
          <w:lang w:val="en-GB"/>
        </w:rPr>
        <w:instrText xml:space="preserve"> REF _Ref75190583 \h  \* MERGEFORMAT </w:instrText>
      </w:r>
      <w:r w:rsidRPr="009C48DA" w:rsidR="003B623F">
        <w:rPr>
          <w:rFonts w:eastAsia="Calibri" w:cs="Arial"/>
          <w:i/>
          <w:szCs w:val="20"/>
          <w:lang w:val="en-GB"/>
        </w:rPr>
      </w:r>
      <w:r w:rsidRPr="009C48DA" w:rsidR="003B623F">
        <w:rPr>
          <w:rFonts w:eastAsia="Calibri" w:cs="Arial"/>
          <w:i/>
          <w:szCs w:val="20"/>
          <w:lang w:val="en-GB"/>
        </w:rPr>
        <w:fldChar w:fldCharType="separate"/>
      </w:r>
      <w:r w:rsidRPr="007C3D19" w:rsidR="007C3D19">
        <w:rPr>
          <w:i/>
          <w:lang w:val="en-GB"/>
        </w:rPr>
        <w:t>Risk Factors</w:t>
      </w:r>
      <w:r w:rsidRPr="009C48DA" w:rsidR="003B623F">
        <w:rPr>
          <w:rFonts w:eastAsia="Calibri" w:cs="Arial"/>
          <w:i/>
          <w:szCs w:val="20"/>
          <w:lang w:val="en-GB"/>
        </w:rPr>
        <w:fldChar w:fldCharType="end"/>
      </w:r>
      <w:r w:rsidRPr="009C48DA" w:rsidR="00F56F91">
        <w:rPr>
          <w:rFonts w:eastAsia="Calibri" w:cs="Arial"/>
          <w:szCs w:val="20"/>
          <w:lang w:val="en-GB"/>
        </w:rPr>
        <w:t>)</w:t>
      </w:r>
      <w:r w:rsidRPr="009C48DA">
        <w:rPr>
          <w:rFonts w:eastAsia="Calibri" w:cs="Arial"/>
          <w:szCs w:val="20"/>
          <w:lang w:val="en-GB"/>
        </w:rPr>
        <w:t>.</w:t>
      </w:r>
    </w:p>
    <w:p w:rsidRPr="009C48DA" w:rsidR="00F56F91" w:rsidP="000C376E" w:rsidRDefault="00F56F91" w14:paraId="3195C6DA" w14:textId="56983ADA">
      <w:pPr>
        <w:pStyle w:val="TitleBAllCaps"/>
      </w:pPr>
      <w:r w:rsidRPr="009C48DA">
        <w:t>ALTERNATIVE PERFORMANCE MEASURES AND KEY PERFORMANCE INDICATORS</w:t>
      </w:r>
    </w:p>
    <w:p w:rsidRPr="009C48DA" w:rsidR="00F56F91" w:rsidP="00F56F91" w:rsidRDefault="00F56F91" w14:paraId="59FA6B64" w14:textId="2DD2CB08">
      <w:pPr>
        <w:pStyle w:val="BodyText2SglJ"/>
        <w:rPr>
          <w:szCs w:val="20"/>
          <w:lang w:val="en-GB"/>
        </w:rPr>
      </w:pPr>
      <w:r w:rsidRPr="009C48DA">
        <w:rPr>
          <w:szCs w:val="20"/>
          <w:lang w:val="en-GB"/>
        </w:rPr>
        <w:t>The following alternative performance measures (“</w:t>
      </w:r>
      <w:r w:rsidRPr="009C48DA">
        <w:rPr>
          <w:b/>
          <w:szCs w:val="20"/>
          <w:lang w:val="en-GB"/>
        </w:rPr>
        <w:t>APMs</w:t>
      </w:r>
      <w:r w:rsidRPr="009C48DA">
        <w:rPr>
          <w:szCs w:val="20"/>
          <w:lang w:val="en-GB"/>
        </w:rPr>
        <w:t>”) and key performance indicators (“</w:t>
      </w:r>
      <w:r w:rsidRPr="009C48DA">
        <w:rPr>
          <w:b/>
          <w:szCs w:val="20"/>
          <w:lang w:val="en-GB"/>
        </w:rPr>
        <w:t>KPIs</w:t>
      </w:r>
      <w:r w:rsidRPr="009C48DA">
        <w:rPr>
          <w:szCs w:val="20"/>
          <w:lang w:val="en-GB"/>
        </w:rPr>
        <w:t>”) are used by the Group’s management to monitor and manage financial and operational performance of the Group’s business. These measures are derived from the Group’s internal financial and analytics systems. These APMs and KPIs are not defined or recognised unde</w:t>
      </w:r>
      <w:r w:rsidRPr="009C48DA" w:rsidR="0060782E">
        <w:rPr>
          <w:szCs w:val="20"/>
          <w:lang w:val="en-GB"/>
        </w:rPr>
        <w:t xml:space="preserve">r IFRS, </w:t>
      </w:r>
      <w:r w:rsidRPr="009C48DA">
        <w:rPr>
          <w:szCs w:val="20"/>
          <w:lang w:val="en-GB"/>
        </w:rPr>
        <w:t xml:space="preserve">UK GAAP </w:t>
      </w:r>
      <w:r w:rsidRPr="009C48DA" w:rsidR="0060782E">
        <w:rPr>
          <w:szCs w:val="20"/>
          <w:lang w:val="en-GB"/>
        </w:rPr>
        <w:t xml:space="preserve">or any generally accepted accounting standards </w:t>
      </w:r>
      <w:r w:rsidRPr="009C48DA">
        <w:rPr>
          <w:szCs w:val="20"/>
          <w:lang w:val="en-GB"/>
        </w:rPr>
        <w:t>and have not been audited or reviewed. These APMs and KPIs are used by the Directors and management to analyse the Group’s business and financial performance, track the Group’s progress and help develop long-term strategic plans. The Directors present these APMs and KPIs to provide additional information to investors and enhance their understanding of the Group’s results of operations. Furthermore, the Directors believe that these APMs and KPIs are widely used by certain investors, securities analysts and other interested parties as supplemental measures of performance and liquidity. However, as these measures are not det</w:t>
      </w:r>
      <w:r w:rsidRPr="009C48DA" w:rsidR="0060782E">
        <w:rPr>
          <w:szCs w:val="20"/>
          <w:lang w:val="en-GB"/>
        </w:rPr>
        <w:t xml:space="preserve">ermined in accordance with IFRS, </w:t>
      </w:r>
      <w:r w:rsidRPr="009C48DA">
        <w:rPr>
          <w:szCs w:val="20"/>
          <w:lang w:val="en-GB"/>
        </w:rPr>
        <w:t>UK GAAP</w:t>
      </w:r>
      <w:r w:rsidRPr="009C48DA" w:rsidR="0060782E">
        <w:rPr>
          <w:szCs w:val="20"/>
          <w:lang w:val="en-GB"/>
        </w:rPr>
        <w:t xml:space="preserve"> or any generally accepted accounting standards</w:t>
      </w:r>
      <w:r w:rsidRPr="009C48DA">
        <w:rPr>
          <w:szCs w:val="20"/>
          <w:lang w:val="en-GB"/>
        </w:rPr>
        <w:t>, and are thus susceptible to varying calculations, they may not be comparable to other similarly titled measures used by other companies and have limitations as analytical tools. For more information regarding the APMs and KPIs, see “</w:t>
      </w:r>
      <w:r w:rsidRPr="009C48DA">
        <w:rPr>
          <w:i/>
          <w:szCs w:val="20"/>
          <w:lang w:val="en-GB"/>
        </w:rPr>
        <w:t>Alternative Performance Measures and Key Performance Indicators</w:t>
      </w:r>
      <w:r w:rsidRPr="009C48DA">
        <w:rPr>
          <w:szCs w:val="20"/>
          <w:lang w:val="en-GB"/>
        </w:rPr>
        <w:t xml:space="preserve">” in </w:t>
      </w:r>
      <w:r w:rsidRPr="009C48DA">
        <w:rPr>
          <w:szCs w:val="20"/>
          <w:lang w:val="en-GB"/>
        </w:rPr>
        <w:fldChar w:fldCharType="begin"/>
      </w:r>
      <w:r w:rsidRPr="009C48DA">
        <w:rPr>
          <w:szCs w:val="20"/>
          <w:lang w:val="en-GB"/>
        </w:rPr>
        <w:instrText xml:space="preserve"> REF _Ref71140204 \n \h </w:instrText>
      </w:r>
      <w:r w:rsidRPr="009C48DA">
        <w:rPr>
          <w:szCs w:val="20"/>
          <w:lang w:val="en-GB"/>
        </w:rPr>
      </w:r>
      <w:r w:rsidRPr="009C48DA">
        <w:rPr>
          <w:szCs w:val="20"/>
          <w:lang w:val="en-GB"/>
        </w:rPr>
        <w:fldChar w:fldCharType="separate"/>
      </w:r>
      <w:r w:rsidR="007C3D19">
        <w:rPr>
          <w:szCs w:val="20"/>
          <w:lang w:val="en-GB"/>
        </w:rPr>
        <w:t>Part II</w:t>
      </w:r>
      <w:r w:rsidRPr="009C48DA">
        <w:rPr>
          <w:szCs w:val="20"/>
          <w:lang w:val="en-GB"/>
        </w:rPr>
        <w:fldChar w:fldCharType="end"/>
      </w:r>
      <w:r w:rsidRPr="009C48DA">
        <w:rPr>
          <w:szCs w:val="20"/>
          <w:lang w:val="en-GB"/>
        </w:rPr>
        <w:t xml:space="preserve"> (</w:t>
      </w:r>
      <w:r w:rsidRPr="009C48DA" w:rsidR="00FA0364">
        <w:rPr>
          <w:i/>
          <w:szCs w:val="20"/>
          <w:lang w:val="en-GB"/>
        </w:rPr>
      </w:r>
      <w:r w:rsidRPr="007C3D19" w:rsidR="007C3D19">
        <w:rPr>
          <w:i/>
          <w:lang w:val="en-GB"/>
        </w:rPr>
        <w:t>Presentation Of Financial And Other Information</w:t>
      </w:r>
      <w:r w:rsidRPr="009C48DA">
        <w:rPr>
          <w:szCs w:val="20"/>
          <w:lang w:val="en-GB"/>
        </w:rPr>
        <w:t>).</w:t>
      </w:r>
    </w:p>
    <w:p w:rsidRPr="009C48DA" w:rsidR="00677126" w:rsidP="00F56F91" w:rsidRDefault="000D6A7E" w14:paraId="3668878A" w14:textId="46D4E290">
      <w:pPr>
        <w:pStyle w:val="TitleB"/>
        <w:rPr>
          <w:szCs w:val="20"/>
          <w:lang w:val="en-GB"/>
        </w:rPr>
      </w:pPr>
      <w:r w:rsidRPr="009C48DA">
        <w:rPr>
          <w:szCs w:val="20"/>
          <w:lang w:val="en-GB"/>
        </w:rPr>
        <w:t xml:space="preserve">EBITDA, </w:t>
      </w:r>
      <w:r w:rsidRPr="009C48DA" w:rsidR="00677126">
        <w:rPr>
          <w:szCs w:val="20"/>
          <w:lang w:val="en-GB"/>
        </w:rPr>
        <w:t>Underlying EBITDA and Underlying EBITDA Margin</w:t>
      </w:r>
    </w:p>
    <w:p w:rsidRPr="009C48DA" w:rsidR="00416190" w:rsidP="00E50A27" w:rsidRDefault="000D6A7E" w14:paraId="34E5CF95" w14:textId="32D6AE6D">
      <w:pPr>
        <w:spacing w:after="240"/>
        <w:ind w:firstLine="720"/>
        <w:jc w:val="both"/>
        <w:rPr>
          <w:rFonts w:eastAsia="Calibri" w:cs="Arial"/>
          <w:sz w:val="20"/>
          <w:lang w:val="en-GB"/>
        </w:rPr>
      </w:pPr>
      <w:r w:rsidRPr="009C48DA">
        <w:rPr>
          <w:rFonts w:eastAsia="Calibri" w:cs="Arial"/>
          <w:sz w:val="20"/>
          <w:lang w:val="en-GB"/>
        </w:rPr>
        <w:t xml:space="preserve">EBITDA, </w:t>
      </w:r>
      <w:r w:rsidRPr="009C48DA" w:rsidR="00416190">
        <w:rPr>
          <w:rFonts w:eastAsia="Calibri" w:cs="Arial"/>
          <w:sz w:val="20"/>
          <w:lang w:val="en-GB"/>
        </w:rPr>
        <w:t xml:space="preserve">Underlying EBITDA and Underlying EBITDA Margin are APMs regarding the Group’s profitability. </w:t>
      </w:r>
      <w:r w:rsidRPr="009C48DA">
        <w:rPr>
          <w:rFonts w:eastAsia="Calibri" w:cs="Arial"/>
          <w:sz w:val="20"/>
          <w:lang w:val="en-GB"/>
        </w:rPr>
        <w:t xml:space="preserve">EBITDA, </w:t>
      </w:r>
      <w:r w:rsidRPr="009C48DA" w:rsidR="00416190">
        <w:rPr>
          <w:rFonts w:eastAsia="Calibri" w:cs="Arial"/>
          <w:sz w:val="20"/>
          <w:lang w:val="en-GB"/>
        </w:rPr>
        <w:t>Underlying EBITDA and Underlying EBITDA Margin are representations of the Group’s operating profitability</w:t>
      </w:r>
      <w:r w:rsidRPr="009C48DA" w:rsidR="00E50A27">
        <w:rPr>
          <w:rFonts w:eastAsia="Calibri" w:cs="Arial"/>
          <w:sz w:val="20"/>
          <w:lang w:val="en-GB"/>
        </w:rPr>
        <w:t>,</w:t>
      </w:r>
      <w:r w:rsidRPr="009C48DA" w:rsidR="00416190">
        <w:rPr>
          <w:rFonts w:eastAsia="Calibri" w:cs="Arial"/>
          <w:sz w:val="20"/>
          <w:lang w:val="en-GB"/>
        </w:rPr>
        <w:t xml:space="preserve"> </w:t>
      </w:r>
      <w:r w:rsidRPr="009C48DA" w:rsidR="00E50A27">
        <w:rPr>
          <w:rFonts w:eastAsia="Calibri" w:cs="Arial"/>
          <w:sz w:val="20"/>
          <w:lang w:val="en-GB"/>
        </w:rPr>
        <w:t xml:space="preserve">with </w:t>
      </w:r>
      <w:r w:rsidRPr="009C48DA">
        <w:rPr>
          <w:rFonts w:eastAsia="Calibri" w:cs="Arial"/>
          <w:sz w:val="20"/>
          <w:lang w:val="en-GB"/>
        </w:rPr>
        <w:t xml:space="preserve">Underlying EBITDA and Underlying EBITDA Margin </w:t>
      </w:r>
      <w:r w:rsidRPr="009C48DA" w:rsidR="00416190">
        <w:rPr>
          <w:rFonts w:eastAsia="Calibri" w:cs="Arial"/>
          <w:sz w:val="20"/>
          <w:lang w:val="en-GB"/>
        </w:rPr>
        <w:t>disregard</w:t>
      </w:r>
      <w:r w:rsidRPr="009C48DA" w:rsidR="00E50A27">
        <w:rPr>
          <w:rFonts w:eastAsia="Calibri" w:cs="Arial"/>
          <w:sz w:val="20"/>
          <w:lang w:val="en-GB"/>
        </w:rPr>
        <w:t>ing</w:t>
      </w:r>
      <w:r w:rsidRPr="009C48DA" w:rsidR="00416190">
        <w:rPr>
          <w:rFonts w:eastAsia="Calibri" w:cs="Arial"/>
          <w:sz w:val="20"/>
          <w:lang w:val="en-GB"/>
        </w:rPr>
        <w:t xml:space="preserve"> the exceptional </w:t>
      </w:r>
      <w:r w:rsidRPr="009C48DA" w:rsidR="00416190">
        <w:rPr>
          <w:rFonts w:eastAsia="Calibri" w:cs="Arial"/>
          <w:sz w:val="20"/>
          <w:szCs w:val="22"/>
          <w:lang w:val="en-GB"/>
        </w:rPr>
        <w:t>expenses</w:t>
      </w:r>
      <w:r w:rsidRPr="009C48DA" w:rsidR="00416190">
        <w:rPr>
          <w:rFonts w:eastAsia="Calibri" w:cs="Arial"/>
          <w:sz w:val="20"/>
          <w:lang w:val="en-GB"/>
        </w:rPr>
        <w:t xml:space="preserve"> resulting from the Dyal Investment and the acquisition of the EQT Credit </w:t>
      </w:r>
      <w:r w:rsidRPr="009C48DA" w:rsidR="00125E05">
        <w:rPr>
          <w:rFonts w:eastAsia="Calibri" w:cs="Arial"/>
          <w:sz w:val="20"/>
          <w:lang w:val="en-GB"/>
        </w:rPr>
        <w:t>b</w:t>
      </w:r>
      <w:r w:rsidRPr="009C48DA" w:rsidR="00416190">
        <w:rPr>
          <w:rFonts w:eastAsia="Calibri" w:cs="Arial"/>
          <w:sz w:val="20"/>
          <w:lang w:val="en-GB"/>
        </w:rPr>
        <w:t>usiness, respectively. See “—</w:t>
      </w:r>
      <w:r w:rsidRPr="009C48DA" w:rsidR="00416190">
        <w:rPr>
          <w:rFonts w:eastAsia="Calibri" w:cs="Arial"/>
          <w:i/>
          <w:sz w:val="20"/>
          <w:lang w:val="en-GB"/>
        </w:rPr>
        <w:t>Factors Affecting Comparability of Results of Operations.</w:t>
      </w:r>
      <w:r w:rsidRPr="009C48DA" w:rsidR="00416190">
        <w:rPr>
          <w:rFonts w:eastAsia="Calibri" w:cs="Arial"/>
          <w:sz w:val="20"/>
          <w:lang w:val="en-GB"/>
        </w:rPr>
        <w:t xml:space="preserve">” </w:t>
      </w:r>
      <w:r w:rsidRPr="009C48DA" w:rsidR="00E50A27">
        <w:rPr>
          <w:rFonts w:eastAsia="Calibri" w:cs="Arial"/>
          <w:sz w:val="20"/>
          <w:lang w:val="en-GB"/>
        </w:rPr>
        <w:t xml:space="preserve">In the opinion of the Directors, EBITDA allows the Group to supplement the evaluation of its trading results by </w:t>
      </w:r>
      <w:r w:rsidRPr="009C48DA" w:rsidR="00043C31">
        <w:rPr>
          <w:rFonts w:eastAsia="Calibri" w:cs="Arial"/>
          <w:sz w:val="20"/>
          <w:lang w:val="en-GB"/>
        </w:rPr>
        <w:t xml:space="preserve">excluding material non-cash items such as depreciation and amortisation expense, and </w:t>
      </w:r>
      <w:r w:rsidRPr="009C48DA" w:rsidR="00416190">
        <w:rPr>
          <w:rFonts w:eastAsia="Calibri" w:cs="Arial"/>
          <w:sz w:val="20"/>
          <w:lang w:val="en-GB"/>
        </w:rPr>
        <w:t>Underlying EBITDA and Underlying EBITDA Margin allow the Group to present the operating profitability of the Group’s business without exceptional expenses.</w:t>
      </w:r>
      <w:r w:rsidRPr="009C48DA" w:rsidR="00E50A27">
        <w:rPr>
          <w:rFonts w:eastAsia="Calibri" w:cs="Arial"/>
          <w:sz w:val="20"/>
          <w:lang w:val="en-GB"/>
        </w:rPr>
        <w:t xml:space="preserve"> Exceptional items are items of income expense that are material by size and/or nature, are not considered to be incurred in the normal course of business and are not expected to reoccur. Exceptional items are classified as “exceptional” within the Group’s consolidated income statement and disclosed separately to give a clearer presentation of the Group’s results.</w:t>
      </w:r>
    </w:p>
    <w:p w:rsidRPr="009C48DA" w:rsidR="00E50A27" w:rsidP="00E50A27" w:rsidRDefault="00E50A27" w14:paraId="2DFE63B1" w14:textId="2D3C52DE">
      <w:pPr>
        <w:pStyle w:val="BodyText2SglJ"/>
        <w:rPr>
          <w:szCs w:val="20"/>
          <w:lang w:val="en-GB"/>
        </w:rPr>
      </w:pPr>
      <w:r w:rsidRPr="009C48DA">
        <w:rPr>
          <w:szCs w:val="20"/>
          <w:lang w:val="en-GB"/>
        </w:rPr>
        <w:t>“</w:t>
      </w:r>
      <w:r w:rsidRPr="009C48DA">
        <w:rPr>
          <w:b/>
          <w:szCs w:val="20"/>
          <w:lang w:val="en-GB"/>
        </w:rPr>
        <w:t>EBITDA</w:t>
      </w:r>
      <w:r w:rsidRPr="009C48DA">
        <w:rPr>
          <w:szCs w:val="20"/>
          <w:lang w:val="en-GB"/>
        </w:rPr>
        <w:t>” means earnings before interest, taxes, depreciation and amortisation and is calculated by reference to total operating income and deducting from it, or adding to it, as applicable, personnel expenses and other expenses as well as foreign exchange gains / (losses).</w:t>
      </w:r>
    </w:p>
    <w:p w:rsidRPr="009C48DA" w:rsidR="00416190" w:rsidP="00416190" w:rsidRDefault="00416190" w14:paraId="6F5953C7" w14:textId="0BD646E5">
      <w:pPr>
        <w:spacing w:after="240"/>
        <w:ind w:firstLine="720"/>
        <w:jc w:val="both"/>
        <w:rPr>
          <w:rFonts w:eastAsia="Calibri" w:cs="Arial"/>
          <w:sz w:val="20"/>
          <w:lang w:val="en-GB"/>
        </w:rPr>
      </w:pPr>
      <w:r w:rsidRPr="009C48DA">
        <w:rPr>
          <w:rFonts w:eastAsia="Calibri" w:cs="Arial"/>
          <w:sz w:val="20"/>
          <w:lang w:val="en-GB"/>
        </w:rPr>
        <w:t>“</w:t>
      </w:r>
      <w:r w:rsidRPr="009C48DA">
        <w:rPr>
          <w:rFonts w:eastAsia="Calibri" w:cs="Arial"/>
          <w:b/>
          <w:sz w:val="20"/>
          <w:lang w:val="en-GB"/>
        </w:rPr>
        <w:t>Underlying EBITDA</w:t>
      </w:r>
      <w:r w:rsidRPr="009C48DA">
        <w:rPr>
          <w:rFonts w:eastAsia="Calibri" w:cs="Arial"/>
          <w:sz w:val="20"/>
          <w:lang w:val="en-GB"/>
        </w:rPr>
        <w:t>” is calculated by excluding exceptional items within EBITDA from EBITDA. The amount of these exceptional items within EBITDA</w:t>
      </w:r>
      <w:r w:rsidR="00BA3614">
        <w:rPr>
          <w:rFonts w:eastAsia="Calibri" w:cs="Arial"/>
          <w:sz w:val="20"/>
          <w:lang w:val="en-GB"/>
        </w:rPr>
        <w:t xml:space="preserve"> corresponded in the year ended </w:t>
      </w:r>
      <w:r w:rsidRPr="009C48DA">
        <w:rPr>
          <w:rFonts w:eastAsia="Calibri" w:cs="Arial"/>
          <w:sz w:val="20"/>
          <w:lang w:val="en-GB"/>
        </w:rPr>
        <w:t xml:space="preserve">31 December 2018 to exceptional </w:t>
      </w:r>
      <w:r w:rsidRPr="009C48DA">
        <w:rPr>
          <w:rFonts w:eastAsia="Calibri" w:cs="Arial"/>
          <w:sz w:val="20"/>
          <w:szCs w:val="22"/>
          <w:lang w:val="en-GB"/>
        </w:rPr>
        <w:t>expenses</w:t>
      </w:r>
      <w:r w:rsidRPr="009C48DA">
        <w:rPr>
          <w:rFonts w:eastAsia="Calibri" w:cs="Arial"/>
          <w:sz w:val="20"/>
          <w:lang w:val="en-GB"/>
        </w:rPr>
        <w:t xml:space="preserve"> resulting from the Dyal Investment and in the year ended 31 December 2020 to exceptional expenses resulting from the acquisition of the EQT Credit </w:t>
      </w:r>
      <w:r w:rsidRPr="009C48DA" w:rsidR="00125E05">
        <w:rPr>
          <w:rFonts w:eastAsia="Calibri" w:cs="Arial"/>
          <w:sz w:val="20"/>
          <w:lang w:val="en-GB"/>
        </w:rPr>
        <w:t>b</w:t>
      </w:r>
      <w:r w:rsidRPr="009C48DA">
        <w:rPr>
          <w:rFonts w:eastAsia="Calibri" w:cs="Arial"/>
          <w:sz w:val="20"/>
          <w:lang w:val="en-GB"/>
        </w:rPr>
        <w:t xml:space="preserve">usiness. The Group’s Underlying EBITDA was </w:t>
      </w:r>
      <w:r w:rsidRPr="009C48DA">
        <w:rPr>
          <w:rFonts w:eastAsia="Calibri" w:cs="Times New Roman"/>
          <w:sz w:val="20"/>
          <w:szCs w:val="20"/>
          <w:lang w:val="en-GB"/>
        </w:rPr>
        <w:t>£43</w:t>
      </w:r>
      <w:r w:rsidRPr="009C48DA" w:rsidR="0008291A">
        <w:rPr>
          <w:rFonts w:eastAsia="Calibri" w:cs="Times New Roman"/>
          <w:sz w:val="20"/>
          <w:szCs w:val="20"/>
          <w:lang w:val="en-GB"/>
        </w:rPr>
        <w:t>.3 million, £53.1 million, £66.1 million, £(0.5) million and £27.7</w:t>
      </w:r>
      <w:r w:rsidRPr="009C48DA">
        <w:rPr>
          <w:rFonts w:eastAsia="Calibri" w:cs="Times New Roman"/>
          <w:sz w:val="20"/>
          <w:szCs w:val="20"/>
          <w:lang w:val="en-GB"/>
        </w:rPr>
        <w:t xml:space="preserve"> </w:t>
      </w:r>
      <w:r w:rsidRPr="009C48DA">
        <w:rPr>
          <w:rFonts w:eastAsia="Calibri" w:cs="Times New Roman"/>
          <w:sz w:val="20"/>
          <w:szCs w:val="20"/>
          <w:lang w:val="en-GB"/>
        </w:rPr>
        <w:lastRenderedPageBreak/>
        <w:t xml:space="preserve">million </w:t>
      </w:r>
      <w:r w:rsidRPr="009C48DA">
        <w:rPr>
          <w:rFonts w:eastAsia="Calibri" w:cs="Arial"/>
          <w:sz w:val="20"/>
          <w:lang w:val="en-GB"/>
        </w:rPr>
        <w:t>for the years ended 31 December 2018, 2019 and 2020 and the three months ended 31 March 2020 and 2021, respectively.</w:t>
      </w:r>
    </w:p>
    <w:p w:rsidRPr="009C48DA" w:rsidR="00677126" w:rsidP="00416190" w:rsidRDefault="00416190" w14:paraId="177C23F2" w14:textId="1B45DD75">
      <w:pPr>
        <w:pStyle w:val="BodyText2SglJ"/>
        <w:rPr>
          <w:lang w:val="en-GB"/>
        </w:rPr>
      </w:pPr>
      <w:r w:rsidRPr="009C48DA">
        <w:rPr>
          <w:rFonts w:eastAsia="Calibri" w:cs="Arial"/>
          <w:lang w:val="en-GB"/>
        </w:rPr>
        <w:t>“</w:t>
      </w:r>
      <w:r w:rsidRPr="009C48DA">
        <w:rPr>
          <w:rFonts w:eastAsia="Calibri" w:cs="Arial"/>
          <w:b/>
          <w:lang w:val="en-GB"/>
        </w:rPr>
        <w:t>Underlying EBITDA Margin</w:t>
      </w:r>
      <w:r w:rsidRPr="009C48DA">
        <w:rPr>
          <w:rFonts w:eastAsia="Calibri" w:cs="Arial"/>
          <w:lang w:val="en-GB"/>
        </w:rPr>
        <w:t>” is Underlying EBITDA as a percentage of total operating income. The Group’s Underlying EBITD</w:t>
      </w:r>
      <w:r w:rsidRPr="009C48DA" w:rsidR="0008291A">
        <w:rPr>
          <w:rFonts w:eastAsia="Calibri" w:cs="Arial"/>
          <w:lang w:val="en-GB"/>
        </w:rPr>
        <w:t>A Margin was 29.9 per cent, 31.3 per cent, 34.4</w:t>
      </w:r>
      <w:r w:rsidRPr="009C48DA">
        <w:rPr>
          <w:rFonts w:eastAsia="Calibri" w:cs="Arial"/>
          <w:lang w:val="en-GB"/>
        </w:rPr>
        <w:t xml:space="preserve"> per cent, (1.7) </w:t>
      </w:r>
      <w:r w:rsidRPr="009C48DA">
        <w:rPr>
          <w:rFonts w:eastAsia="Calibri" w:cs="Times New Roman"/>
          <w:lang w:val="en-GB"/>
        </w:rPr>
        <w:t xml:space="preserve">per cent </w:t>
      </w:r>
      <w:r w:rsidRPr="009C48DA" w:rsidR="0008291A">
        <w:rPr>
          <w:rFonts w:eastAsia="Calibri" w:cs="Arial"/>
          <w:lang w:val="en-GB"/>
        </w:rPr>
        <w:t>and 45.0</w:t>
      </w:r>
      <w:r w:rsidRPr="009C48DA">
        <w:rPr>
          <w:rFonts w:eastAsia="Calibri" w:cs="Arial"/>
          <w:lang w:val="en-GB"/>
        </w:rPr>
        <w:t xml:space="preserve"> per cent for the years ended 31 December 2018, 2019 and 2020 and the three months ended 31 March 2020 and 2021, respectively.</w:t>
      </w:r>
    </w:p>
    <w:p w:rsidRPr="009C48DA" w:rsidR="00F56F91" w:rsidP="00F56F91" w:rsidRDefault="00F56F91" w14:paraId="76F6BF21" w14:textId="38307796">
      <w:pPr>
        <w:pStyle w:val="TitleB"/>
        <w:rPr>
          <w:szCs w:val="20"/>
          <w:lang w:val="en-GB"/>
        </w:rPr>
      </w:pPr>
      <w:r w:rsidRPr="009C48DA">
        <w:rPr>
          <w:szCs w:val="20"/>
          <w:lang w:val="en-GB"/>
        </w:rPr>
        <w:t>Underlying FRE and Underlying FRE Margin</w:t>
      </w:r>
    </w:p>
    <w:p w:rsidRPr="009C48DA" w:rsidR="00F56F91" w:rsidP="00F56F91" w:rsidRDefault="00F56F91" w14:paraId="730F5317" w14:textId="1A9E5D1E">
      <w:pPr>
        <w:pStyle w:val="BodyText2SglJ"/>
        <w:rPr>
          <w:szCs w:val="20"/>
          <w:lang w:val="en-GB"/>
        </w:rPr>
      </w:pPr>
      <w:r w:rsidRPr="009C48DA">
        <w:rPr>
          <w:szCs w:val="20"/>
          <w:lang w:val="en-GB"/>
        </w:rPr>
        <w:t xml:space="preserve">Underlying FRE and Underlying FRE Margin are APMs regarding the profitability of the Group’s fee-related earnings. Underlying FRE and Underlying FRE </w:t>
      </w:r>
      <w:r w:rsidRPr="009C48DA" w:rsidR="00015D71">
        <w:rPr>
          <w:szCs w:val="20"/>
          <w:lang w:val="en-GB"/>
        </w:rPr>
        <w:t xml:space="preserve">Margin </w:t>
      </w:r>
      <w:r w:rsidRPr="009C48DA">
        <w:rPr>
          <w:szCs w:val="20"/>
          <w:lang w:val="en-GB"/>
        </w:rPr>
        <w:t xml:space="preserve">disregard the exceptional expenses resulting from the Dyal Investment and the acquisition of the EQT Credit </w:t>
      </w:r>
      <w:r w:rsidRPr="009C48DA" w:rsidR="00125E05">
        <w:rPr>
          <w:szCs w:val="20"/>
          <w:lang w:val="en-GB"/>
        </w:rPr>
        <w:t>b</w:t>
      </w:r>
      <w:r w:rsidRPr="009C48DA">
        <w:rPr>
          <w:szCs w:val="20"/>
          <w:lang w:val="en-GB"/>
        </w:rPr>
        <w:t>usiness, respectively. See “—</w:t>
      </w:r>
      <w:r w:rsidRPr="009C48DA">
        <w:rPr>
          <w:i/>
          <w:szCs w:val="20"/>
          <w:lang w:val="en-GB"/>
        </w:rPr>
        <w:t>Factors Affecting Comparability of Results of Operations.</w:t>
      </w:r>
      <w:r w:rsidRPr="009C48DA">
        <w:rPr>
          <w:szCs w:val="20"/>
          <w:lang w:val="en-GB"/>
        </w:rPr>
        <w:t xml:space="preserve">” In the opinion of the Directors, Underlying FRE and Underlying FRE </w:t>
      </w:r>
      <w:r w:rsidRPr="009C48DA" w:rsidR="00416190">
        <w:rPr>
          <w:szCs w:val="20"/>
          <w:lang w:val="en-GB"/>
        </w:rPr>
        <w:t xml:space="preserve">Margin </w:t>
      </w:r>
      <w:r w:rsidRPr="009C48DA">
        <w:rPr>
          <w:szCs w:val="20"/>
          <w:lang w:val="en-GB"/>
        </w:rPr>
        <w:t>allow the Group to present the profitability of the Group’s business based on management fee revenue, excluding exceptional expenses.</w:t>
      </w:r>
    </w:p>
    <w:p w:rsidRPr="009C48DA" w:rsidR="00416190" w:rsidP="00416190" w:rsidRDefault="00416190" w14:paraId="2321FC71" w14:textId="37BEB3C6">
      <w:pPr>
        <w:spacing w:after="240"/>
        <w:ind w:firstLine="720"/>
        <w:jc w:val="both"/>
        <w:rPr>
          <w:rFonts w:eastAsia="Calibri" w:cs="Arial"/>
          <w:sz w:val="20"/>
          <w:lang w:val="en-GB"/>
        </w:rPr>
      </w:pPr>
      <w:r w:rsidRPr="009C48DA">
        <w:rPr>
          <w:rFonts w:eastAsia="Calibri" w:cs="Arial"/>
          <w:sz w:val="20"/>
          <w:lang w:val="en-GB"/>
        </w:rPr>
        <w:t>The Group defines “</w:t>
      </w:r>
      <w:r w:rsidRPr="009C48DA">
        <w:rPr>
          <w:rFonts w:eastAsia="Calibri" w:cs="Arial"/>
          <w:b/>
          <w:sz w:val="20"/>
          <w:lang w:val="en-GB"/>
        </w:rPr>
        <w:t>Underlying FRE</w:t>
      </w:r>
      <w:r w:rsidRPr="009C48DA">
        <w:rPr>
          <w:rFonts w:eastAsia="Calibri" w:cs="Arial"/>
          <w:sz w:val="20"/>
          <w:lang w:val="en-GB"/>
        </w:rPr>
        <w:t>” as</w:t>
      </w:r>
      <w:r w:rsidRPr="009C48DA">
        <w:rPr>
          <w:rFonts w:eastAsia="Calibri" w:cs="Times New Roman"/>
          <w:sz w:val="20"/>
          <w:szCs w:val="20"/>
          <w:lang w:val="en-GB"/>
        </w:rPr>
        <w:t xml:space="preserve"> Underlying EBITDA, less carried interest and income from the fair value remeasurement of investments. </w:t>
      </w:r>
      <w:r w:rsidRPr="009C48DA">
        <w:rPr>
          <w:rFonts w:eastAsia="Calibri" w:cs="Arial"/>
          <w:sz w:val="20"/>
          <w:lang w:val="en-GB"/>
        </w:rPr>
        <w:t xml:space="preserve">The Group’s Underlying FRE was </w:t>
      </w:r>
      <w:r w:rsidRPr="009C48DA" w:rsidR="0008291A">
        <w:rPr>
          <w:rFonts w:eastAsia="Calibri" w:cs="Times New Roman"/>
          <w:sz w:val="20"/>
          <w:szCs w:val="20"/>
          <w:lang w:val="en-GB"/>
        </w:rPr>
        <w:t>£17.7 million, £29.1</w:t>
      </w:r>
      <w:r w:rsidRPr="009C48DA">
        <w:rPr>
          <w:rFonts w:eastAsia="Calibri" w:cs="Times New Roman"/>
          <w:sz w:val="20"/>
          <w:szCs w:val="20"/>
          <w:lang w:val="en-GB"/>
        </w:rPr>
        <w:t xml:space="preserve"> million, £23.8 million</w:t>
      </w:r>
      <w:r w:rsidRPr="009C48DA" w:rsidR="00F2747F">
        <w:rPr>
          <w:rFonts w:eastAsia="Calibri" w:cs="Times New Roman"/>
          <w:sz w:val="20"/>
          <w:szCs w:val="20"/>
          <w:lang w:val="en-GB"/>
        </w:rPr>
        <w:t>, £</w:t>
      </w:r>
      <w:r w:rsidRPr="009C48DA" w:rsidR="0008291A">
        <w:rPr>
          <w:rFonts w:eastAsia="Calibri" w:cs="Times New Roman"/>
          <w:sz w:val="20"/>
          <w:szCs w:val="20"/>
          <w:lang w:val="en-GB"/>
        </w:rPr>
        <w:t>6.8 million and £14.7</w:t>
      </w:r>
      <w:r w:rsidRPr="009C48DA">
        <w:rPr>
          <w:rFonts w:eastAsia="Calibri" w:cs="Times New Roman"/>
          <w:sz w:val="20"/>
          <w:szCs w:val="20"/>
          <w:lang w:val="en-GB"/>
        </w:rPr>
        <w:t xml:space="preserve"> million </w:t>
      </w:r>
      <w:r w:rsidRPr="009C48DA">
        <w:rPr>
          <w:rFonts w:eastAsia="Calibri" w:cs="Arial"/>
          <w:sz w:val="20"/>
          <w:lang w:val="en-GB"/>
        </w:rPr>
        <w:t>for the years ended 31 December 2018, 2019 and 2020 and the three months ended 31 March 2020 and 2021, respectively.</w:t>
      </w:r>
    </w:p>
    <w:p w:rsidRPr="009C48DA" w:rsidR="00F56F91" w:rsidP="00416190" w:rsidRDefault="00416190" w14:paraId="49BABE9D" w14:textId="7226CDE0">
      <w:pPr>
        <w:pStyle w:val="BodyText2SglJ"/>
        <w:rPr>
          <w:szCs w:val="20"/>
          <w:lang w:val="en-GB"/>
        </w:rPr>
      </w:pPr>
      <w:r w:rsidRPr="009C48DA">
        <w:rPr>
          <w:rFonts w:eastAsia="Calibri" w:cs="Arial"/>
          <w:lang w:val="en-GB"/>
        </w:rPr>
        <w:t>“</w:t>
      </w:r>
      <w:r w:rsidRPr="009C48DA">
        <w:rPr>
          <w:rFonts w:eastAsia="Calibri" w:cs="Arial"/>
          <w:b/>
          <w:lang w:val="en-GB"/>
        </w:rPr>
        <w:t>Underlying FRE Margin</w:t>
      </w:r>
      <w:r w:rsidRPr="009C48DA">
        <w:rPr>
          <w:rFonts w:eastAsia="Calibri" w:cs="Arial"/>
          <w:lang w:val="en-GB"/>
        </w:rPr>
        <w:t xml:space="preserve">” is Underlying FRE as a percentage of </w:t>
      </w:r>
      <w:r w:rsidRPr="009C48DA">
        <w:rPr>
          <w:rFonts w:eastAsia="Calibri" w:cs="Times New Roman"/>
          <w:szCs w:val="20"/>
          <w:lang w:val="en-GB"/>
        </w:rPr>
        <w:t>total operating income, excluding carried interest and income from the fair value remeasurement of investments</w:t>
      </w:r>
      <w:r w:rsidRPr="009C48DA">
        <w:rPr>
          <w:rFonts w:eastAsia="Calibri" w:cs="Arial"/>
          <w:lang w:val="en-GB"/>
        </w:rPr>
        <w:t>. The Grou</w:t>
      </w:r>
      <w:r w:rsidRPr="009C48DA" w:rsidR="0008291A">
        <w:rPr>
          <w:rFonts w:eastAsia="Calibri" w:cs="Arial"/>
          <w:lang w:val="en-GB"/>
        </w:rPr>
        <w:t>p’s Underlying FR</w:t>
      </w:r>
      <w:r w:rsidRPr="009C48DA" w:rsidR="00872DBF">
        <w:rPr>
          <w:rFonts w:eastAsia="Calibri" w:cs="Arial"/>
          <w:lang w:val="en-GB"/>
        </w:rPr>
        <w:t>E Margin was 14.8 per cent, 20.1</w:t>
      </w:r>
      <w:r w:rsidRPr="009C48DA">
        <w:rPr>
          <w:rFonts w:eastAsia="Calibri" w:cs="Arial"/>
          <w:lang w:val="en-GB"/>
        </w:rPr>
        <w:t xml:space="preserve"> per cen</w:t>
      </w:r>
      <w:r w:rsidRPr="009C48DA" w:rsidR="0016222C">
        <w:rPr>
          <w:rFonts w:eastAsia="Calibri" w:cs="Arial"/>
          <w:lang w:val="en-GB"/>
        </w:rPr>
        <w:t>t, 15.9</w:t>
      </w:r>
      <w:r w:rsidRPr="009C48DA">
        <w:rPr>
          <w:rFonts w:eastAsia="Calibri" w:cs="Arial"/>
          <w:lang w:val="en-GB"/>
        </w:rPr>
        <w:t xml:space="preserve"> per cent, 19</w:t>
      </w:r>
      <w:r w:rsidRPr="009C48DA" w:rsidR="0016222C">
        <w:rPr>
          <w:rFonts w:eastAsia="Calibri" w:cs="Arial"/>
          <w:lang w:val="en-GB"/>
        </w:rPr>
        <w:t>.1 per cent and 30.4</w:t>
      </w:r>
      <w:r w:rsidRPr="009C48DA">
        <w:rPr>
          <w:rFonts w:eastAsia="Calibri" w:cs="Arial"/>
          <w:lang w:val="en-GB"/>
        </w:rPr>
        <w:t xml:space="preserve"> per cent for the years ended 31 December 2018, 2019 and 2020 and the three months ended 31 March 2020 and 2021, respectively.</w:t>
      </w:r>
    </w:p>
    <w:p w:rsidRPr="009C48DA" w:rsidR="00F56F91" w:rsidP="00F56F91" w:rsidRDefault="00F56F91" w14:paraId="1C2F654E" w14:textId="69DACD33">
      <w:pPr>
        <w:pStyle w:val="TitleB"/>
        <w:rPr>
          <w:szCs w:val="20"/>
          <w:lang w:val="en-GB"/>
        </w:rPr>
      </w:pPr>
      <w:r w:rsidRPr="009C48DA">
        <w:rPr>
          <w:szCs w:val="20"/>
          <w:lang w:val="en-GB"/>
        </w:rPr>
        <w:t>AUM and Total AUM</w:t>
      </w:r>
    </w:p>
    <w:p w:rsidRPr="009C48DA" w:rsidR="00F56F91" w:rsidP="00F56F91" w:rsidRDefault="00F56F91" w14:paraId="614E13C3" w14:textId="1B24609C">
      <w:pPr>
        <w:pStyle w:val="BodyText2SglJ"/>
        <w:rPr>
          <w:szCs w:val="20"/>
          <w:lang w:val="en-GB"/>
        </w:rPr>
      </w:pPr>
      <w:r w:rsidRPr="009C48DA">
        <w:rPr>
          <w:szCs w:val="20"/>
          <w:lang w:val="en-GB"/>
        </w:rPr>
        <w:t>The Group monitors AUM and Total AUM as KPIs to track the financial and operating performance of its business. AUM is a useful measure for evaluating the basis for the generation of management fees.</w:t>
      </w:r>
    </w:p>
    <w:p w:rsidRPr="009C48DA" w:rsidR="00023A5D" w:rsidP="007F7AA9" w:rsidRDefault="00023A5D" w14:paraId="4845968E" w14:textId="2879CF21">
      <w:pPr>
        <w:pStyle w:val="BodyText2SglJ"/>
        <w:rPr>
          <w:szCs w:val="20"/>
          <w:lang w:val="en-GB"/>
        </w:rPr>
      </w:pPr>
      <w:r w:rsidRPr="009C48DA">
        <w:rPr>
          <w:szCs w:val="20"/>
          <w:lang w:val="en-GB"/>
        </w:rPr>
        <w:t>The Group defines “</w:t>
      </w:r>
      <w:r w:rsidRPr="009C48DA">
        <w:rPr>
          <w:b/>
          <w:szCs w:val="20"/>
          <w:lang w:val="en-GB"/>
        </w:rPr>
        <w:t>AUM</w:t>
      </w:r>
      <w:r w:rsidRPr="009C48DA">
        <w:rPr>
          <w:szCs w:val="20"/>
          <w:lang w:val="en-GB"/>
        </w:rPr>
        <w:t>” as assets under management</w:t>
      </w:r>
      <w:r w:rsidRPr="009C48DA" w:rsidR="00DE73A4">
        <w:rPr>
          <w:szCs w:val="20"/>
          <w:lang w:val="en-GB"/>
        </w:rPr>
        <w:t>, excluding CLOs,</w:t>
      </w:r>
      <w:r w:rsidRPr="009C48DA">
        <w:rPr>
          <w:szCs w:val="20"/>
          <w:lang w:val="en-GB"/>
        </w:rPr>
        <w:t xml:space="preserve"> upon which management fees are charged by the Group. For all funds with private equity strategies and the </w:t>
      </w:r>
      <w:r w:rsidRPr="009C48DA" w:rsidR="007F7AA9">
        <w:rPr>
          <w:szCs w:val="20"/>
          <w:lang w:val="en-GB"/>
        </w:rPr>
        <w:t xml:space="preserve">Bridgepoint </w:t>
      </w:r>
      <w:r w:rsidRPr="009C48DA">
        <w:rPr>
          <w:szCs w:val="20"/>
          <w:lang w:val="en-GB"/>
        </w:rPr>
        <w:t xml:space="preserve">Credit Opportunities funds I to III, AUM is either based on total commitments (during the commitment period) or on Net Invested Capital (normally during the post-commitment period). For the </w:t>
      </w:r>
      <w:r w:rsidRPr="009C48DA" w:rsidR="007F7AA9">
        <w:rPr>
          <w:rFonts w:eastAsia="Calibri" w:cs="Arial"/>
          <w:szCs w:val="20"/>
          <w:lang w:val="en-GB"/>
        </w:rPr>
        <w:t xml:space="preserve">Bridgepoint </w:t>
      </w:r>
      <w:r w:rsidRPr="009C48DA">
        <w:rPr>
          <w:szCs w:val="20"/>
          <w:lang w:val="en-GB"/>
        </w:rPr>
        <w:t xml:space="preserve">Direct Lending funds and </w:t>
      </w:r>
      <w:r w:rsidRPr="009C48DA" w:rsidR="007F7AA9">
        <w:rPr>
          <w:rFonts w:eastAsia="Calibri" w:cs="Arial"/>
          <w:szCs w:val="20"/>
          <w:lang w:val="en-GB"/>
        </w:rPr>
        <w:t xml:space="preserve">Bridgepoint </w:t>
      </w:r>
      <w:r w:rsidRPr="009C48DA" w:rsidR="00725970">
        <w:rPr>
          <w:szCs w:val="20"/>
          <w:lang w:val="en-GB"/>
        </w:rPr>
        <w:t>S</w:t>
      </w:r>
      <w:r w:rsidRPr="009C48DA">
        <w:rPr>
          <w:szCs w:val="20"/>
          <w:lang w:val="en-GB"/>
        </w:rPr>
        <w:t xml:space="preserve">yndicated </w:t>
      </w:r>
      <w:r w:rsidRPr="009C48DA" w:rsidR="00725970">
        <w:rPr>
          <w:szCs w:val="20"/>
          <w:lang w:val="en-GB"/>
        </w:rPr>
        <w:t>D</w:t>
      </w:r>
      <w:r w:rsidRPr="009C48DA">
        <w:rPr>
          <w:szCs w:val="20"/>
          <w:lang w:val="en-GB"/>
        </w:rPr>
        <w:t xml:space="preserve">ebt funds as well as expected future </w:t>
      </w:r>
      <w:r w:rsidRPr="009C48DA" w:rsidR="007F7AA9">
        <w:rPr>
          <w:rFonts w:eastAsia="Calibri" w:cs="Arial"/>
          <w:szCs w:val="20"/>
          <w:lang w:val="en-GB"/>
        </w:rPr>
        <w:t xml:space="preserve">Bridgepoint </w:t>
      </w:r>
      <w:r w:rsidRPr="009C48DA">
        <w:rPr>
          <w:szCs w:val="20"/>
          <w:lang w:val="en-GB"/>
        </w:rPr>
        <w:t>Credit Opportunities funds, AUM is based on Net Invested Capital throughout the life of the fund. The Group’s AUM as of 31 December 2018, 2019 and 2020 and as of 31 March 2020 and 2021 was approximately €12.7 billion, €12.7 billion, €16.1 billion, €12.9 billion and €17.8 billion, respectively.</w:t>
      </w:r>
    </w:p>
    <w:p w:rsidRPr="009C48DA" w:rsidR="00023A5D" w:rsidP="007F7AA9" w:rsidRDefault="00023A5D" w14:paraId="30AD9157" w14:textId="29047ABD">
      <w:pPr>
        <w:pStyle w:val="BodyText2SglJ"/>
        <w:rPr>
          <w:szCs w:val="20"/>
          <w:lang w:val="en-GB"/>
        </w:rPr>
      </w:pPr>
      <w:r w:rsidRPr="009C48DA">
        <w:rPr>
          <w:szCs w:val="20"/>
          <w:lang w:val="en-GB"/>
        </w:rPr>
        <w:t>The Group defines “</w:t>
      </w:r>
      <w:r w:rsidRPr="009C48DA">
        <w:rPr>
          <w:b/>
          <w:szCs w:val="20"/>
          <w:lang w:val="en-GB"/>
        </w:rPr>
        <w:t>Total AUM</w:t>
      </w:r>
      <w:r w:rsidRPr="009C48DA">
        <w:rPr>
          <w:szCs w:val="20"/>
          <w:lang w:val="en-GB"/>
        </w:rPr>
        <w:t xml:space="preserve">” as the total value of unrealised assets as of the relevant date (as determined pursuant to the latest quarterly or semi-annual valuation for each </w:t>
      </w:r>
      <w:r w:rsidRPr="009C48DA" w:rsidR="007F7AA9">
        <w:rPr>
          <w:rFonts w:eastAsia="Calibri" w:cs="Arial"/>
          <w:szCs w:val="20"/>
          <w:lang w:val="en-GB"/>
        </w:rPr>
        <w:t xml:space="preserve">Bridgepoint </w:t>
      </w:r>
      <w:r w:rsidRPr="009C48DA">
        <w:rPr>
          <w:szCs w:val="20"/>
          <w:lang w:val="en-GB"/>
        </w:rPr>
        <w:t xml:space="preserve">Fund conducted by the Group) plus undrawn commitments managed by the Group. The valuations for Total AUM come from the Group’s valuations of the investments of the </w:t>
      </w:r>
      <w:r w:rsidRPr="009C48DA" w:rsidR="007F7AA9">
        <w:rPr>
          <w:rFonts w:eastAsia="Calibri" w:cs="Arial"/>
          <w:szCs w:val="20"/>
          <w:lang w:val="en-GB"/>
        </w:rPr>
        <w:t xml:space="preserve">Bridgepoint </w:t>
      </w:r>
      <w:r w:rsidRPr="009C48DA">
        <w:rPr>
          <w:szCs w:val="20"/>
          <w:lang w:val="en-GB"/>
        </w:rPr>
        <w:t xml:space="preserve">Funds. The Group values all investments of the </w:t>
      </w:r>
      <w:r w:rsidRPr="009C48DA" w:rsidR="007F7AA9">
        <w:rPr>
          <w:rFonts w:eastAsia="Calibri" w:cs="Arial"/>
          <w:szCs w:val="20"/>
          <w:lang w:val="en-GB"/>
        </w:rPr>
        <w:t xml:space="preserve">Bridgepoint </w:t>
      </w:r>
      <w:r w:rsidRPr="009C48DA">
        <w:rPr>
          <w:szCs w:val="20"/>
          <w:lang w:val="en-GB"/>
        </w:rPr>
        <w:t xml:space="preserve">Funds at least twice a year, but in most cases four times a year. Each investment undergoes the same detailed valuation process, in accordance with the Group’s valuation policies and in line with fund requirements. Completed valuations are presented and discussed at the relevant </w:t>
      </w:r>
      <w:r w:rsidRPr="009C48DA" w:rsidR="007F7AA9">
        <w:rPr>
          <w:rFonts w:eastAsia="Calibri" w:cs="Arial"/>
          <w:szCs w:val="20"/>
          <w:lang w:val="en-GB"/>
        </w:rPr>
        <w:t xml:space="preserve">Bridgepoint </w:t>
      </w:r>
      <w:r w:rsidRPr="009C48DA">
        <w:rPr>
          <w:szCs w:val="20"/>
          <w:lang w:val="en-GB"/>
        </w:rPr>
        <w:t>valuation committee and are audited at year end by the Group’s audit</w:t>
      </w:r>
      <w:r w:rsidR="00BA3614">
        <w:rPr>
          <w:szCs w:val="20"/>
          <w:lang w:val="en-GB"/>
        </w:rPr>
        <w:t>or. The Group’s Total AUM as of </w:t>
      </w:r>
      <w:r w:rsidRPr="009C48DA">
        <w:rPr>
          <w:szCs w:val="20"/>
          <w:lang w:val="en-GB"/>
        </w:rPr>
        <w:t>31 December 2018, 2019 and 2020 and as of 31 March 2020 and 2021 was approximately €19.7 billion, €19.3 billion, €26.6 billion, €18.2 billion and €27.4 billion, respectively.</w:t>
      </w:r>
    </w:p>
    <w:p w:rsidRPr="009C48DA" w:rsidR="00F56F91" w:rsidP="00023A5D" w:rsidRDefault="00023A5D" w14:paraId="7639C0D2" w14:textId="368A52BF">
      <w:pPr>
        <w:pStyle w:val="BodyText2SglJ"/>
        <w:rPr>
          <w:szCs w:val="20"/>
          <w:lang w:val="en-GB"/>
        </w:rPr>
      </w:pPr>
      <w:r w:rsidRPr="009C48DA">
        <w:rPr>
          <w:rFonts w:eastAsia="Calibri" w:cs="Arial"/>
          <w:lang w:val="en-GB"/>
        </w:rPr>
        <w:t>See “</w:t>
      </w:r>
      <w:r w:rsidRPr="009C48DA">
        <w:rPr>
          <w:rFonts w:eastAsia="Calibri" w:cs="Arial"/>
          <w:i/>
          <w:lang w:val="en-GB"/>
        </w:rPr>
        <w:t xml:space="preserve">—Financial Model—Selected Key Metrics of the </w:t>
      </w:r>
      <w:r w:rsidRPr="009C48DA" w:rsidR="007F7AA9">
        <w:rPr>
          <w:rFonts w:eastAsia="Calibri" w:cs="Arial"/>
          <w:i/>
          <w:lang w:val="en-GB"/>
        </w:rPr>
        <w:t xml:space="preserve">Bridgepoint </w:t>
      </w:r>
      <w:r w:rsidRPr="009C48DA">
        <w:rPr>
          <w:rFonts w:eastAsia="Calibri" w:cs="Arial"/>
          <w:i/>
          <w:lang w:val="en-GB"/>
        </w:rPr>
        <w:t>Funds</w:t>
      </w:r>
      <w:r w:rsidRPr="009C48DA" w:rsidR="000A3ACA">
        <w:rPr>
          <w:rFonts w:eastAsia="Calibri" w:cs="Arial"/>
          <w:lang w:val="en-GB"/>
        </w:rPr>
        <w:t xml:space="preserve">” for a breakdown of </w:t>
      </w:r>
      <w:r w:rsidRPr="009C48DA">
        <w:rPr>
          <w:rFonts w:eastAsia="Calibri" w:cs="Arial"/>
          <w:lang w:val="en-GB"/>
        </w:rPr>
        <w:t xml:space="preserve">AUM and Total AUM per </w:t>
      </w:r>
      <w:r w:rsidRPr="009C48DA" w:rsidR="007F7AA9">
        <w:rPr>
          <w:rFonts w:eastAsia="Calibri" w:cs="Arial"/>
          <w:szCs w:val="20"/>
          <w:lang w:val="en-GB"/>
        </w:rPr>
        <w:t xml:space="preserve">Bridgepoint </w:t>
      </w:r>
      <w:r w:rsidRPr="009C48DA">
        <w:rPr>
          <w:rFonts w:eastAsia="Calibri" w:cs="Arial"/>
          <w:lang w:val="en-GB"/>
        </w:rPr>
        <w:t>Fund.</w:t>
      </w:r>
    </w:p>
    <w:p w:rsidRPr="009C48DA" w:rsidR="00B51E80" w:rsidP="000C376E" w:rsidRDefault="00B51E80" w14:paraId="300D69E8" w14:textId="77777777">
      <w:pPr>
        <w:pStyle w:val="TitleBAllCaps"/>
      </w:pPr>
      <w:r w:rsidRPr="009C48DA">
        <w:lastRenderedPageBreak/>
        <w:t>EXPLANATION OF KEY CONSOLIDATED INCOME STATEMENT LINE ITEMS</w:t>
      </w:r>
    </w:p>
    <w:p w:rsidRPr="009C48DA" w:rsidR="00B51E80" w:rsidP="006876CA" w:rsidRDefault="00B51E80" w14:paraId="0DA4ACF2" w14:textId="77777777">
      <w:pPr>
        <w:pStyle w:val="BodyText2SglJ"/>
        <w:keepNext/>
        <w:rPr>
          <w:rFonts w:eastAsia="Calibri" w:cs="Arial"/>
          <w:color w:val="000000"/>
          <w:szCs w:val="20"/>
          <w:lang w:val="en-GB"/>
        </w:rPr>
      </w:pPr>
      <w:r w:rsidRPr="009C48DA">
        <w:rPr>
          <w:rFonts w:eastAsia="Calibri" w:cs="Arial"/>
          <w:szCs w:val="20"/>
          <w:lang w:val="en-GB"/>
        </w:rPr>
        <w:t>Set forth below are the key line items in the Group’s historical consolidated income statements.</w:t>
      </w:r>
    </w:p>
    <w:p w:rsidRPr="009C48DA" w:rsidR="00B51E80" w:rsidP="00B51E80" w:rsidRDefault="00B51E80" w14:paraId="018B7438" w14:textId="77777777">
      <w:pPr>
        <w:pStyle w:val="TitleB"/>
        <w:rPr>
          <w:szCs w:val="20"/>
          <w:lang w:val="en-GB"/>
        </w:rPr>
      </w:pPr>
      <w:r w:rsidRPr="009C48DA">
        <w:rPr>
          <w:szCs w:val="20"/>
          <w:lang w:val="en-GB"/>
        </w:rPr>
        <w:t>Total operating income</w:t>
      </w:r>
    </w:p>
    <w:p w:rsidRPr="009C48DA" w:rsidR="00B51E80" w:rsidP="00B51E80" w:rsidRDefault="00B51E80" w14:paraId="5DF63393" w14:textId="4AC13297">
      <w:pPr>
        <w:pStyle w:val="BodyText2SglJ"/>
        <w:rPr>
          <w:rFonts w:eastAsia="Calibri" w:cs="Arial"/>
          <w:szCs w:val="20"/>
          <w:lang w:val="en-GB"/>
        </w:rPr>
      </w:pPr>
      <w:r w:rsidRPr="009C48DA">
        <w:rPr>
          <w:rFonts w:eastAsia="Calibri" w:cs="Arial"/>
          <w:szCs w:val="20"/>
          <w:lang w:val="en-GB"/>
        </w:rPr>
        <w:t xml:space="preserve">The Group has </w:t>
      </w:r>
      <w:r w:rsidRPr="009C48DA" w:rsidR="00F56F91">
        <w:rPr>
          <w:rFonts w:eastAsia="Calibri" w:cs="Arial"/>
          <w:szCs w:val="20"/>
          <w:lang w:val="en-GB"/>
        </w:rPr>
        <w:t xml:space="preserve">four </w:t>
      </w:r>
      <w:r w:rsidRPr="009C48DA">
        <w:rPr>
          <w:rFonts w:eastAsia="Calibri" w:cs="Arial"/>
          <w:szCs w:val="20"/>
          <w:lang w:val="en-GB"/>
        </w:rPr>
        <w:t xml:space="preserve">primary revenue streams: (i) management fees, (ii) carried interest; (iii) </w:t>
      </w:r>
      <w:r w:rsidRPr="009C48DA" w:rsidR="00F56F91">
        <w:rPr>
          <w:rFonts w:eastAsia="Calibri" w:cs="Arial"/>
          <w:szCs w:val="20"/>
          <w:lang w:val="en-GB"/>
        </w:rPr>
        <w:t xml:space="preserve">income from the fair value </w:t>
      </w:r>
      <w:r w:rsidRPr="009C48DA" w:rsidR="00CE3323">
        <w:rPr>
          <w:rFonts w:eastAsia="Calibri" w:cs="Arial"/>
          <w:szCs w:val="20"/>
          <w:lang w:val="en-GB"/>
        </w:rPr>
        <w:t xml:space="preserve">remeasurement of investments; and (iv) </w:t>
      </w:r>
      <w:r w:rsidRPr="009C48DA">
        <w:rPr>
          <w:rFonts w:eastAsia="Calibri" w:cs="Arial"/>
          <w:szCs w:val="20"/>
          <w:lang w:val="en-GB"/>
        </w:rPr>
        <w:t>other operating income. The revenue streams described below are part of an integrated model, in which revenue is generated by the management of funds and depending on fund performance with a different timing of the recognition of revenue.</w:t>
      </w:r>
    </w:p>
    <w:p w:rsidRPr="009C48DA" w:rsidR="00B51E80" w:rsidP="00CA368F" w:rsidRDefault="00B51E80" w14:paraId="49258730" w14:textId="77777777">
      <w:pPr>
        <w:pStyle w:val="TitleBI"/>
        <w:rPr>
          <w:lang w:val="en-GB"/>
        </w:rPr>
      </w:pPr>
      <w:r w:rsidRPr="009C48DA">
        <w:rPr>
          <w:lang w:val="en-GB"/>
        </w:rPr>
        <w:t>Management fees</w:t>
      </w:r>
    </w:p>
    <w:p w:rsidRPr="009C48DA" w:rsidR="00B51E80" w:rsidP="00B51E80" w:rsidRDefault="00B51E80" w14:paraId="3FC01A40" w14:textId="38E09B12">
      <w:pPr>
        <w:pStyle w:val="BodyText2SglJ"/>
        <w:rPr>
          <w:rFonts w:eastAsia="Calibri" w:cs="Arial"/>
          <w:szCs w:val="20"/>
          <w:lang w:val="en-GB"/>
        </w:rPr>
      </w:pPr>
      <w:r w:rsidRPr="009C48DA">
        <w:rPr>
          <w:rFonts w:eastAsia="Calibri" w:cs="Arial"/>
          <w:szCs w:val="20"/>
          <w:lang w:val="en-GB"/>
        </w:rPr>
        <w:t xml:space="preserve">Management fees consist of fees earned from the Group’s provision of investment management services to funds. Management fees are recognised over the life of each fund, which typically have a term of approximately 10 years for funds with private equity strategies and approximately 8 to 12 years for funds with private credit strategies, occasionally subject to an extension, if agreed with the investors of that fund. The management fee is calculated as a percentage of either </w:t>
      </w:r>
      <w:r w:rsidRPr="009C48DA" w:rsidR="00CE3323">
        <w:rPr>
          <w:rFonts w:eastAsia="Calibri" w:cs="Arial"/>
          <w:szCs w:val="20"/>
          <w:lang w:val="en-GB"/>
        </w:rPr>
        <w:t xml:space="preserve">total </w:t>
      </w:r>
      <w:r w:rsidRPr="009C48DA">
        <w:rPr>
          <w:rFonts w:eastAsia="Calibri" w:cs="Arial"/>
          <w:szCs w:val="20"/>
          <w:lang w:val="en-GB"/>
        </w:rPr>
        <w:t>commit</w:t>
      </w:r>
      <w:r w:rsidRPr="009C48DA" w:rsidR="00CE3323">
        <w:rPr>
          <w:rFonts w:eastAsia="Calibri" w:cs="Arial"/>
          <w:szCs w:val="20"/>
          <w:lang w:val="en-GB"/>
        </w:rPr>
        <w:t>ments</w:t>
      </w:r>
      <w:r w:rsidRPr="009C48DA">
        <w:rPr>
          <w:rFonts w:eastAsia="Calibri" w:cs="Arial"/>
          <w:szCs w:val="20"/>
          <w:lang w:val="en-GB"/>
        </w:rPr>
        <w:t xml:space="preserve"> </w:t>
      </w:r>
      <w:r w:rsidRPr="009C48DA" w:rsidR="00CE3323">
        <w:rPr>
          <w:rFonts w:eastAsia="Calibri" w:cs="Arial"/>
          <w:szCs w:val="20"/>
          <w:lang w:val="en-GB"/>
        </w:rPr>
        <w:t>(during the commitment period) or on Net</w:t>
      </w:r>
      <w:r w:rsidRPr="009C48DA">
        <w:rPr>
          <w:rFonts w:eastAsia="Calibri" w:cs="Arial"/>
          <w:szCs w:val="20"/>
          <w:lang w:val="en-GB"/>
        </w:rPr>
        <w:t xml:space="preserve"> </w:t>
      </w:r>
      <w:r w:rsidRPr="009C48DA" w:rsidR="00CE3323">
        <w:rPr>
          <w:rFonts w:eastAsia="Calibri" w:cs="Arial"/>
          <w:szCs w:val="20"/>
          <w:lang w:val="en-GB"/>
        </w:rPr>
        <w:t>I</w:t>
      </w:r>
      <w:r w:rsidRPr="009C48DA">
        <w:rPr>
          <w:rFonts w:eastAsia="Calibri" w:cs="Arial"/>
          <w:szCs w:val="20"/>
          <w:lang w:val="en-GB"/>
        </w:rPr>
        <w:t xml:space="preserve">nvested </w:t>
      </w:r>
      <w:r w:rsidRPr="009C48DA" w:rsidR="00CE3323">
        <w:rPr>
          <w:rFonts w:eastAsia="Calibri" w:cs="Arial"/>
          <w:szCs w:val="20"/>
          <w:lang w:val="en-GB"/>
        </w:rPr>
        <w:t>Capital</w:t>
      </w:r>
      <w:r w:rsidRPr="009C48DA">
        <w:rPr>
          <w:rFonts w:eastAsia="Calibri" w:cs="Arial"/>
          <w:szCs w:val="20"/>
          <w:lang w:val="en-GB"/>
        </w:rPr>
        <w:t xml:space="preserve"> </w:t>
      </w:r>
      <w:r w:rsidRPr="009C48DA" w:rsidR="00CE3323">
        <w:rPr>
          <w:rFonts w:eastAsia="Calibri" w:cs="Arial"/>
          <w:szCs w:val="20"/>
          <w:lang w:val="en-GB"/>
        </w:rPr>
        <w:t xml:space="preserve">(normally during the post-commitment period) </w:t>
      </w:r>
      <w:r w:rsidRPr="009C48DA">
        <w:rPr>
          <w:rFonts w:eastAsia="Calibri" w:cs="Arial"/>
          <w:szCs w:val="20"/>
          <w:lang w:val="en-GB"/>
        </w:rPr>
        <w:t>depending on the fund and its life stage. In accordance with the relevant limited partnership agreement, management fees are billed either semi-annually in advance for private equity funds or quarterly in arrears for some private credit funds. See “</w:t>
      </w:r>
      <w:r w:rsidRPr="009C48DA" w:rsidR="00CE3323">
        <w:rPr>
          <w:rFonts w:eastAsia="Calibri" w:cs="Arial"/>
          <w:i/>
          <w:szCs w:val="20"/>
          <w:lang w:val="en-GB"/>
        </w:rPr>
        <w:t>—</w:t>
      </w:r>
      <w:r w:rsidRPr="009C48DA">
        <w:rPr>
          <w:rFonts w:eastAsia="Calibri" w:cs="Arial"/>
          <w:i/>
          <w:szCs w:val="20"/>
          <w:lang w:val="en-GB"/>
        </w:rPr>
        <w:t>Financial Model—Generation of management fees</w:t>
      </w:r>
      <w:r w:rsidRPr="009C48DA">
        <w:rPr>
          <w:rFonts w:eastAsia="Calibri" w:cs="Arial"/>
          <w:szCs w:val="20"/>
          <w:lang w:val="en-GB"/>
        </w:rPr>
        <w:t>”</w:t>
      </w:r>
      <w:r w:rsidRPr="009C48DA">
        <w:rPr>
          <w:rFonts w:eastAsia="Calibri" w:cs="Arial"/>
          <w:i/>
          <w:szCs w:val="20"/>
          <w:lang w:val="en-GB"/>
        </w:rPr>
        <w:t xml:space="preserve"> </w:t>
      </w:r>
      <w:r w:rsidRPr="009C48DA">
        <w:rPr>
          <w:rFonts w:eastAsia="Calibri" w:cs="Arial"/>
          <w:szCs w:val="20"/>
          <w:lang w:val="en-GB"/>
        </w:rPr>
        <w:t>for a further discussion of management fees.</w:t>
      </w:r>
    </w:p>
    <w:p w:rsidRPr="009C48DA" w:rsidR="00B51E80" w:rsidP="00CA368F" w:rsidRDefault="00CE3323" w14:paraId="47BBCC9C" w14:textId="2784A5D3">
      <w:pPr>
        <w:pStyle w:val="TitleBI"/>
        <w:rPr>
          <w:lang w:val="en-GB"/>
        </w:rPr>
      </w:pPr>
      <w:r w:rsidRPr="009C48DA">
        <w:rPr>
          <w:lang w:val="en-GB"/>
        </w:rPr>
        <w:t>C</w:t>
      </w:r>
      <w:r w:rsidRPr="009C48DA" w:rsidR="00B51E80">
        <w:rPr>
          <w:lang w:val="en-GB"/>
        </w:rPr>
        <w:t xml:space="preserve">arried interest </w:t>
      </w:r>
    </w:p>
    <w:p w:rsidRPr="009C48DA" w:rsidR="00B51E80" w:rsidP="00B51E80" w:rsidRDefault="00B51E80" w14:paraId="0AA561D4" w14:textId="6BC06647">
      <w:pPr>
        <w:pStyle w:val="BodyText2SglJ"/>
        <w:rPr>
          <w:rFonts w:eastAsia="Calibri" w:cs="Arial"/>
          <w:szCs w:val="20"/>
          <w:lang w:val="en-GB"/>
        </w:rPr>
      </w:pPr>
      <w:r w:rsidRPr="009C48DA">
        <w:rPr>
          <w:rFonts w:eastAsia="Calibri" w:cs="Arial"/>
          <w:szCs w:val="20"/>
          <w:lang w:val="en-GB"/>
        </w:rPr>
        <w:t xml:space="preserve">Carried interest is a share of profits that Carried Interest Participants </w:t>
      </w:r>
      <w:r w:rsidRPr="009C48DA" w:rsidR="00CE3323">
        <w:rPr>
          <w:rFonts w:eastAsia="Calibri" w:cs="Arial"/>
          <w:szCs w:val="20"/>
          <w:lang w:val="en-GB"/>
        </w:rPr>
        <w:t xml:space="preserve">(including in some cases members of the Group) receive </w:t>
      </w:r>
      <w:r w:rsidRPr="009C48DA">
        <w:rPr>
          <w:rFonts w:eastAsia="Calibri" w:cs="Arial"/>
          <w:szCs w:val="20"/>
          <w:lang w:val="en-GB"/>
        </w:rPr>
        <w:t xml:space="preserve">as variable consideration dependent on the performance of the relevant </w:t>
      </w:r>
      <w:r w:rsidRPr="009C48DA" w:rsidR="007F7AA9">
        <w:rPr>
          <w:rFonts w:eastAsia="Calibri" w:cs="Arial"/>
          <w:szCs w:val="20"/>
          <w:lang w:val="en-GB"/>
        </w:rPr>
        <w:t xml:space="preserve">Bridgepoint </w:t>
      </w:r>
      <w:r w:rsidRPr="009C48DA">
        <w:rPr>
          <w:rFonts w:eastAsia="Calibri" w:cs="Arial"/>
          <w:szCs w:val="20"/>
          <w:lang w:val="en-GB"/>
        </w:rPr>
        <w:t>Fund and its underlying investments</w:t>
      </w:r>
      <w:r w:rsidRPr="009C48DA" w:rsidR="00CE3323">
        <w:rPr>
          <w:rFonts w:eastAsia="Calibri" w:cs="Arial"/>
          <w:szCs w:val="20"/>
          <w:lang w:val="en-GB"/>
        </w:rPr>
        <w:t xml:space="preserve"> through their holdings in vehicles in the fund structure of the </w:t>
      </w:r>
      <w:r w:rsidRPr="009C48DA" w:rsidR="007F7AA9">
        <w:rPr>
          <w:rFonts w:eastAsia="Calibri" w:cs="Arial"/>
          <w:szCs w:val="20"/>
          <w:lang w:val="en-GB"/>
        </w:rPr>
        <w:t xml:space="preserve">Bridgepoint </w:t>
      </w:r>
      <w:r w:rsidRPr="009C48DA" w:rsidR="00CE3323">
        <w:rPr>
          <w:rFonts w:eastAsia="Calibri" w:cs="Arial"/>
          <w:szCs w:val="20"/>
          <w:lang w:val="en-GB"/>
        </w:rPr>
        <w:t xml:space="preserve">Funds which are entitled to receive carried interest under the governing documents of the </w:t>
      </w:r>
      <w:r w:rsidRPr="009C48DA" w:rsidR="007F7AA9">
        <w:rPr>
          <w:rFonts w:eastAsia="Calibri" w:cs="Arial"/>
          <w:szCs w:val="20"/>
          <w:lang w:val="en-GB"/>
        </w:rPr>
        <w:t xml:space="preserve">Bridgepoint </w:t>
      </w:r>
      <w:r w:rsidRPr="009C48DA" w:rsidR="00CE3323">
        <w:rPr>
          <w:rFonts w:eastAsia="Calibri" w:cs="Arial"/>
          <w:szCs w:val="20"/>
          <w:lang w:val="en-GB"/>
        </w:rPr>
        <w:t>Funds</w:t>
      </w:r>
      <w:r w:rsidRPr="009C48DA">
        <w:rPr>
          <w:rFonts w:eastAsia="Calibri" w:cs="Arial"/>
          <w:szCs w:val="20"/>
          <w:lang w:val="en-GB"/>
        </w:rPr>
        <w:t xml:space="preserve">. Generally, carried interest equals </w:t>
      </w:r>
      <w:r w:rsidRPr="009C48DA" w:rsidR="00CE3323">
        <w:rPr>
          <w:rFonts w:eastAsia="Calibri" w:cs="Arial"/>
          <w:szCs w:val="20"/>
          <w:lang w:val="en-GB"/>
        </w:rPr>
        <w:t>a fixed percentage (</w:t>
      </w:r>
      <w:r w:rsidRPr="009C48DA" w:rsidR="00AD15E0">
        <w:rPr>
          <w:rFonts w:eastAsia="Calibri" w:cs="Arial"/>
          <w:szCs w:val="20"/>
          <w:lang w:val="en-GB"/>
        </w:rPr>
        <w:t>for example</w:t>
      </w:r>
      <w:r w:rsidRPr="009C48DA" w:rsidR="00CE3323">
        <w:rPr>
          <w:rFonts w:eastAsia="Calibri" w:cs="Arial"/>
          <w:szCs w:val="20"/>
          <w:lang w:val="en-GB"/>
        </w:rPr>
        <w:t xml:space="preserve">, </w:t>
      </w:r>
      <w:r w:rsidRPr="009C48DA">
        <w:rPr>
          <w:rFonts w:eastAsia="Calibri" w:cs="Arial"/>
          <w:szCs w:val="20"/>
          <w:lang w:val="en-GB"/>
        </w:rPr>
        <w:t>20 per cent</w:t>
      </w:r>
      <w:r w:rsidRPr="009C48DA" w:rsidR="00CE3323">
        <w:rPr>
          <w:rFonts w:eastAsia="Calibri" w:cs="Arial"/>
          <w:szCs w:val="20"/>
          <w:lang w:val="en-GB"/>
        </w:rPr>
        <w:t>)</w:t>
      </w:r>
      <w:r w:rsidRPr="009C48DA">
        <w:rPr>
          <w:rFonts w:eastAsia="Calibri" w:cs="Arial"/>
          <w:szCs w:val="20"/>
          <w:lang w:val="en-GB"/>
        </w:rPr>
        <w:t xml:space="preserve"> of the relevant </w:t>
      </w:r>
      <w:r w:rsidRPr="009C48DA" w:rsidR="007F7AA9">
        <w:rPr>
          <w:rFonts w:eastAsia="Calibri" w:cs="Arial"/>
          <w:szCs w:val="20"/>
          <w:lang w:val="en-GB"/>
        </w:rPr>
        <w:t xml:space="preserve">Bridgepoint </w:t>
      </w:r>
      <w:r w:rsidRPr="009C48DA">
        <w:rPr>
          <w:rFonts w:eastAsia="Calibri" w:cs="Arial"/>
          <w:szCs w:val="20"/>
          <w:lang w:val="en-GB"/>
        </w:rPr>
        <w:t xml:space="preserve">Fund’s </w:t>
      </w:r>
      <w:r w:rsidRPr="009C48DA" w:rsidR="00CE3323">
        <w:rPr>
          <w:rFonts w:eastAsia="Calibri" w:cs="Arial"/>
          <w:szCs w:val="20"/>
          <w:lang w:val="en-GB"/>
        </w:rPr>
        <w:t xml:space="preserve">overall </w:t>
      </w:r>
      <w:r w:rsidRPr="009C48DA">
        <w:rPr>
          <w:rFonts w:eastAsia="Calibri" w:cs="Arial"/>
          <w:szCs w:val="20"/>
          <w:lang w:val="en-GB"/>
        </w:rPr>
        <w:t>profits</w:t>
      </w:r>
      <w:r w:rsidRPr="009C48DA" w:rsidR="00CE3323">
        <w:rPr>
          <w:rFonts w:eastAsia="Calibri" w:cs="Arial"/>
          <w:szCs w:val="20"/>
          <w:lang w:val="en-GB"/>
        </w:rPr>
        <w:t xml:space="preserve"> after deduction of management fees and relevant expenses for the fund</w:t>
      </w:r>
      <w:r w:rsidRPr="009C48DA">
        <w:rPr>
          <w:rFonts w:eastAsia="Calibri" w:cs="Arial"/>
          <w:szCs w:val="20"/>
          <w:lang w:val="en-GB"/>
        </w:rPr>
        <w:t>, over the lifetime of the fund, subject to an agreed hurdle rate (for example,</w:t>
      </w:r>
      <w:r w:rsidRPr="009C48DA">
        <w:rPr>
          <w:rFonts w:eastAsia="Calibri" w:cs="Arial"/>
          <w:i/>
          <w:szCs w:val="20"/>
          <w:lang w:val="en-GB"/>
        </w:rPr>
        <w:t xml:space="preserve"> </w:t>
      </w:r>
      <w:r w:rsidRPr="009C48DA">
        <w:rPr>
          <w:rFonts w:eastAsia="Calibri" w:cs="Arial"/>
          <w:szCs w:val="20"/>
          <w:lang w:val="en-GB"/>
        </w:rPr>
        <w:t xml:space="preserve">an annually compounding return of typically eight per cent </w:t>
      </w:r>
      <w:r w:rsidRPr="009C48DA" w:rsidR="00CE3323">
        <w:rPr>
          <w:rFonts w:eastAsia="Calibri" w:cs="Arial"/>
          <w:szCs w:val="20"/>
          <w:lang w:val="en-GB"/>
        </w:rPr>
        <w:t xml:space="preserve">for the </w:t>
      </w:r>
      <w:r w:rsidRPr="009C48DA" w:rsidR="007F7AA9">
        <w:rPr>
          <w:rFonts w:eastAsia="Calibri" w:cs="Arial"/>
          <w:szCs w:val="20"/>
          <w:lang w:val="en-GB"/>
        </w:rPr>
        <w:t xml:space="preserve">Bridgepoint </w:t>
      </w:r>
      <w:r w:rsidRPr="009C48DA" w:rsidR="00CE3323">
        <w:rPr>
          <w:rFonts w:eastAsia="Calibri" w:cs="Arial"/>
          <w:szCs w:val="20"/>
          <w:lang w:val="en-GB"/>
        </w:rPr>
        <w:t xml:space="preserve">private equity funds </w:t>
      </w:r>
      <w:r w:rsidRPr="009C48DA">
        <w:rPr>
          <w:rFonts w:eastAsia="Calibri" w:cs="Arial"/>
          <w:szCs w:val="20"/>
          <w:lang w:val="en-GB"/>
        </w:rPr>
        <w:t xml:space="preserve">on the investors’ invested capital, after fees and expenses, in excess of their distributions) compounded preferred return to fund investors before any share of return is distributed in the form of carried interest. </w:t>
      </w:r>
      <w:r w:rsidRPr="009C48DA" w:rsidR="00CE3323">
        <w:rPr>
          <w:rFonts w:eastAsia="Calibri" w:cs="Arial"/>
          <w:szCs w:val="20"/>
          <w:lang w:val="en-GB"/>
        </w:rPr>
        <w:t>The Group is entitled to a certain percentage of the aggregate carried interest entitlement of all Carried Interest Participants as described in “</w:t>
      </w:r>
      <w:r w:rsidRPr="009C48DA" w:rsidR="00CE3323">
        <w:rPr>
          <w:rFonts w:eastAsia="Calibri" w:cs="Arial"/>
          <w:i/>
          <w:szCs w:val="20"/>
          <w:lang w:val="en-GB"/>
        </w:rPr>
        <w:t>—Financial Model—Carried interest and income from the fair value remeasurement of investments</w:t>
      </w:r>
      <w:r w:rsidRPr="009C48DA" w:rsidR="00CE3323">
        <w:rPr>
          <w:rFonts w:eastAsia="Calibri" w:cs="Arial"/>
          <w:szCs w:val="20"/>
          <w:lang w:val="en-GB"/>
        </w:rPr>
        <w:t>” and “</w:t>
      </w:r>
      <w:r w:rsidRPr="009C48DA" w:rsidR="00CE3323">
        <w:rPr>
          <w:rFonts w:eastAsia="Calibri" w:cs="Arial"/>
          <w:i/>
          <w:szCs w:val="20"/>
          <w:lang w:val="en-GB"/>
        </w:rPr>
        <w:t xml:space="preserve">—Financial Model—Selected Key Metrics of the </w:t>
      </w:r>
      <w:r w:rsidRPr="009C48DA" w:rsidR="007F7AA9">
        <w:rPr>
          <w:rFonts w:eastAsia="Calibri" w:cs="Arial"/>
          <w:i/>
          <w:szCs w:val="20"/>
          <w:lang w:val="en-GB"/>
        </w:rPr>
        <w:t xml:space="preserve">Bridgepoint </w:t>
      </w:r>
      <w:r w:rsidRPr="009C48DA" w:rsidR="00CE3323">
        <w:rPr>
          <w:rFonts w:eastAsia="Calibri" w:cs="Arial"/>
          <w:i/>
          <w:szCs w:val="20"/>
          <w:lang w:val="en-GB"/>
        </w:rPr>
        <w:t>Funds</w:t>
      </w:r>
      <w:r w:rsidRPr="009C48DA" w:rsidR="00CE3323">
        <w:rPr>
          <w:rFonts w:eastAsia="Calibri" w:cs="Arial"/>
          <w:szCs w:val="20"/>
          <w:lang w:val="en-GB"/>
        </w:rPr>
        <w:t>.”</w:t>
      </w:r>
    </w:p>
    <w:p w:rsidRPr="009C48DA" w:rsidR="00B51E80" w:rsidP="00AC63DD" w:rsidRDefault="00B51E80" w14:paraId="1AFA92C7" w14:textId="1AE0431A">
      <w:pPr>
        <w:pStyle w:val="BodyText2SglJ"/>
        <w:rPr>
          <w:rFonts w:eastAsia="Calibri" w:cs="Arial"/>
          <w:szCs w:val="20"/>
          <w:lang w:val="en-GB"/>
        </w:rPr>
      </w:pPr>
      <w:r w:rsidRPr="009C48DA">
        <w:rPr>
          <w:rFonts w:eastAsia="Calibri" w:cs="Arial"/>
          <w:szCs w:val="20"/>
          <w:lang w:val="en-GB"/>
        </w:rPr>
        <w:t xml:space="preserve">Carried interest is recognised according to IFRS 15 </w:t>
      </w:r>
      <w:r w:rsidRPr="009C48DA" w:rsidR="00CE3323">
        <w:rPr>
          <w:rFonts w:eastAsia="Calibri" w:cs="Arial"/>
          <w:szCs w:val="20"/>
          <w:lang w:val="en-GB"/>
        </w:rPr>
        <w:t xml:space="preserve">(Revenue from contracts with customers) </w:t>
      </w:r>
      <w:r w:rsidRPr="009C48DA">
        <w:rPr>
          <w:rFonts w:eastAsia="Calibri" w:cs="Arial"/>
          <w:szCs w:val="20"/>
          <w:lang w:val="en-GB"/>
        </w:rPr>
        <w:t xml:space="preserve">and only to the extent it is highly probable that there would not be a significant reversal of any accumulated revenue recognised on the completion of a fund. The reversal risk is managed through the application of discounts. The discount applied for each fund depends on the specific circumstances of each fund, taking into account diversity of assets, whether there has been a recent market correction (and whether this has been already factored into the valuation of the fund) and the expected average remaining holding period. The level of discounts applied are reassessed annually. For the Group’s private equity funds, the discount applied typically ranges from 30 to 50 per cent of the fair values of unrealised investments, depending on the maturity and risk profile of such investments is applied to each </w:t>
      </w:r>
      <w:r w:rsidRPr="009C48DA" w:rsidR="007F7AA9">
        <w:rPr>
          <w:rFonts w:eastAsia="Calibri" w:cs="Arial"/>
          <w:szCs w:val="20"/>
          <w:lang w:val="en-GB"/>
        </w:rPr>
        <w:t xml:space="preserve">Bridgepoint </w:t>
      </w:r>
      <w:r w:rsidRPr="009C48DA">
        <w:rPr>
          <w:rFonts w:eastAsia="Calibri" w:cs="Arial"/>
          <w:szCs w:val="20"/>
          <w:lang w:val="en-GB"/>
        </w:rPr>
        <w:t xml:space="preserve">Fund. For the Group’s credit funds, which are more sensitive to the performance of individual investments within their portfolios, only funds that have either already reached their hurdle or are expected to imminently </w:t>
      </w:r>
      <w:r w:rsidRPr="009C48DA" w:rsidR="00CE3323">
        <w:rPr>
          <w:rFonts w:eastAsia="Calibri" w:cs="Arial"/>
          <w:szCs w:val="20"/>
          <w:lang w:val="en-GB"/>
        </w:rPr>
        <w:t>be</w:t>
      </w:r>
      <w:r w:rsidRPr="009C48DA">
        <w:rPr>
          <w:rFonts w:eastAsia="Calibri" w:cs="Arial"/>
          <w:szCs w:val="20"/>
          <w:lang w:val="en-GB"/>
        </w:rPr>
        <w:t xml:space="preserve"> modelled on the same basis</w:t>
      </w:r>
      <w:r w:rsidRPr="009C48DA" w:rsidR="00B31A6A">
        <w:rPr>
          <w:rFonts w:eastAsia="Calibri" w:cs="Arial"/>
          <w:szCs w:val="20"/>
          <w:lang w:val="en-GB"/>
        </w:rPr>
        <w:t xml:space="preserve"> as the private equity funds</w:t>
      </w:r>
      <w:r w:rsidRPr="009C48DA">
        <w:rPr>
          <w:rFonts w:eastAsia="Calibri" w:cs="Arial"/>
          <w:szCs w:val="20"/>
          <w:lang w:val="en-GB"/>
        </w:rPr>
        <w:t xml:space="preserve">. </w:t>
      </w:r>
    </w:p>
    <w:p w:rsidRPr="009C48DA" w:rsidR="00CE3323" w:rsidP="00CE3323" w:rsidRDefault="00CE3323" w14:paraId="0BF6E6BB" w14:textId="77777777">
      <w:pPr>
        <w:pStyle w:val="BodyText2SglJ"/>
        <w:rPr>
          <w:szCs w:val="20"/>
          <w:lang w:val="en-GB"/>
        </w:rPr>
      </w:pPr>
      <w:r w:rsidRPr="009C48DA">
        <w:rPr>
          <w:szCs w:val="20"/>
          <w:lang w:val="en-GB"/>
        </w:rPr>
        <w:t>See “</w:t>
      </w:r>
      <w:r w:rsidRPr="009C48DA">
        <w:rPr>
          <w:i/>
          <w:szCs w:val="20"/>
          <w:lang w:val="en-GB"/>
        </w:rPr>
        <w:t>—Financial Model—Carried interest and income from the fair value remeasurement of investments</w:t>
      </w:r>
      <w:r w:rsidRPr="009C48DA">
        <w:rPr>
          <w:szCs w:val="20"/>
          <w:lang w:val="en-GB"/>
        </w:rPr>
        <w:t>”</w:t>
      </w:r>
      <w:r w:rsidRPr="009C48DA">
        <w:rPr>
          <w:i/>
          <w:szCs w:val="20"/>
          <w:lang w:val="en-GB"/>
        </w:rPr>
        <w:t xml:space="preserve"> </w:t>
      </w:r>
      <w:r w:rsidRPr="009C48DA">
        <w:rPr>
          <w:szCs w:val="20"/>
          <w:lang w:val="en-GB"/>
        </w:rPr>
        <w:t>for a further discussion of carried interest.</w:t>
      </w:r>
    </w:p>
    <w:p w:rsidRPr="009C48DA" w:rsidR="00CE3323" w:rsidP="00CE3323" w:rsidRDefault="00CE3323" w14:paraId="19FE4444" w14:textId="08C08100">
      <w:pPr>
        <w:pStyle w:val="TitleBI"/>
        <w:rPr>
          <w:szCs w:val="20"/>
          <w:lang w:val="en-GB"/>
        </w:rPr>
      </w:pPr>
      <w:r w:rsidRPr="009C48DA">
        <w:rPr>
          <w:szCs w:val="20"/>
          <w:lang w:val="en-GB"/>
        </w:rPr>
        <w:t>Fair value remeasurement of investments</w:t>
      </w:r>
      <w:r w:rsidRPr="009C48DA" w:rsidR="00B31A6A">
        <w:rPr>
          <w:szCs w:val="20"/>
          <w:lang w:val="en-GB"/>
        </w:rPr>
        <w:t xml:space="preserve"> (Investment Income)</w:t>
      </w:r>
    </w:p>
    <w:p w:rsidRPr="009C48DA" w:rsidR="00CE3323" w:rsidP="00CE3323" w:rsidRDefault="00B31A6A" w14:paraId="4A8D9E3F" w14:textId="52BFCE55">
      <w:pPr>
        <w:pStyle w:val="BodyText2SglJ"/>
        <w:rPr>
          <w:szCs w:val="20"/>
          <w:lang w:val="en-GB"/>
        </w:rPr>
      </w:pPr>
      <w:r w:rsidRPr="009C48DA">
        <w:rPr>
          <w:szCs w:val="20"/>
          <w:lang w:val="en-GB"/>
        </w:rPr>
        <w:t>The Group’s i</w:t>
      </w:r>
      <w:r w:rsidRPr="009C48DA" w:rsidR="00CE3323">
        <w:rPr>
          <w:szCs w:val="20"/>
          <w:lang w:val="en-GB"/>
        </w:rPr>
        <w:t xml:space="preserve">nvestments in the </w:t>
      </w:r>
      <w:r w:rsidRPr="009C48DA" w:rsidR="007F7AA9">
        <w:rPr>
          <w:rFonts w:eastAsia="Calibri" w:cs="Arial"/>
          <w:szCs w:val="20"/>
          <w:lang w:val="en-GB"/>
        </w:rPr>
        <w:t xml:space="preserve">Bridgepoint </w:t>
      </w:r>
      <w:r w:rsidRPr="009C48DA" w:rsidR="00CE3323">
        <w:rPr>
          <w:szCs w:val="20"/>
          <w:lang w:val="en-GB"/>
        </w:rPr>
        <w:t>Funds are accounted as financial assets and are measured at fair value</w:t>
      </w:r>
      <w:r w:rsidRPr="009C48DA">
        <w:rPr>
          <w:szCs w:val="20"/>
          <w:lang w:val="en-GB"/>
        </w:rPr>
        <w:t xml:space="preserve"> </w:t>
      </w:r>
      <w:r w:rsidRPr="009C48DA" w:rsidR="00CE3323">
        <w:rPr>
          <w:szCs w:val="20"/>
          <w:lang w:val="en-GB"/>
        </w:rPr>
        <w:t>(mark-to-market), consistent with the requirements of IFRS 9 (Financial instruments). Income from the remeasurement of the fair-value of investments</w:t>
      </w:r>
      <w:r w:rsidRPr="009C48DA">
        <w:rPr>
          <w:szCs w:val="20"/>
          <w:lang w:val="en-GB"/>
        </w:rPr>
        <w:t xml:space="preserve">, which is also referred to as </w:t>
      </w:r>
      <w:r w:rsidRPr="009C48DA">
        <w:rPr>
          <w:szCs w:val="20"/>
          <w:lang w:val="en-GB"/>
        </w:rPr>
        <w:lastRenderedPageBreak/>
        <w:t>Investment Income,</w:t>
      </w:r>
      <w:r w:rsidRPr="009C48DA" w:rsidR="00CE3323">
        <w:rPr>
          <w:szCs w:val="20"/>
          <w:lang w:val="en-GB"/>
        </w:rPr>
        <w:t xml:space="preserve"> consists primarily of changes in fair value of the Group’s investments in the </w:t>
      </w:r>
      <w:r w:rsidRPr="009C48DA" w:rsidR="007F7AA9">
        <w:rPr>
          <w:rFonts w:eastAsia="Calibri" w:cs="Arial"/>
          <w:szCs w:val="20"/>
          <w:lang w:val="en-GB"/>
        </w:rPr>
        <w:t xml:space="preserve">Bridgepoint </w:t>
      </w:r>
      <w:r w:rsidRPr="009C48DA" w:rsidR="00CE3323">
        <w:rPr>
          <w:szCs w:val="20"/>
          <w:lang w:val="en-GB"/>
        </w:rPr>
        <w:t xml:space="preserve">Funds and is recognised according to IFRS 9 (mark-to-market). The commitment by the Group in </w:t>
      </w:r>
      <w:r w:rsidRPr="009C48DA" w:rsidR="007F7AA9">
        <w:rPr>
          <w:rFonts w:eastAsia="Calibri" w:cs="Arial"/>
          <w:szCs w:val="20"/>
          <w:lang w:val="en-GB"/>
        </w:rPr>
        <w:t xml:space="preserve">Bridgepoint </w:t>
      </w:r>
      <w:r w:rsidRPr="009C48DA" w:rsidR="00CE3323">
        <w:rPr>
          <w:szCs w:val="20"/>
          <w:lang w:val="en-GB"/>
        </w:rPr>
        <w:t>Funds has the same mechanics and timing of expected returns as the commitments of other fund investors. See “</w:t>
      </w:r>
      <w:r w:rsidRPr="009C48DA" w:rsidR="00CE3323">
        <w:rPr>
          <w:i/>
          <w:szCs w:val="20"/>
          <w:lang w:val="en-GB"/>
        </w:rPr>
        <w:t>—Financial Model—Carried interest and income from the fair value remeasurement of investments</w:t>
      </w:r>
      <w:r w:rsidRPr="009C48DA" w:rsidR="00CE3323">
        <w:rPr>
          <w:szCs w:val="20"/>
          <w:lang w:val="en-GB"/>
        </w:rPr>
        <w:t>”</w:t>
      </w:r>
      <w:r w:rsidRPr="009C48DA" w:rsidR="00CE3323">
        <w:rPr>
          <w:i/>
          <w:szCs w:val="20"/>
          <w:lang w:val="en-GB"/>
        </w:rPr>
        <w:t xml:space="preserve"> </w:t>
      </w:r>
      <w:r w:rsidRPr="009C48DA" w:rsidR="00CE3323">
        <w:rPr>
          <w:szCs w:val="20"/>
          <w:lang w:val="en-GB"/>
        </w:rPr>
        <w:t>for a further discussion of carried interest.</w:t>
      </w:r>
    </w:p>
    <w:p w:rsidRPr="009C48DA" w:rsidR="00B51E80" w:rsidP="00CA368F" w:rsidRDefault="006B5DCF" w14:paraId="7B8F425C" w14:textId="54F470E0">
      <w:pPr>
        <w:pStyle w:val="TitleBI"/>
        <w:rPr>
          <w:lang w:val="en-GB"/>
        </w:rPr>
      </w:pPr>
      <w:r w:rsidRPr="009C48DA">
        <w:rPr>
          <w:lang w:val="en-GB"/>
        </w:rPr>
        <w:t>O</w:t>
      </w:r>
      <w:r w:rsidRPr="009C48DA" w:rsidR="00B51E80">
        <w:rPr>
          <w:lang w:val="en-GB"/>
        </w:rPr>
        <w:t>ther operating income</w:t>
      </w:r>
    </w:p>
    <w:p w:rsidRPr="009C48DA" w:rsidR="00B51E80" w:rsidP="00B51E80" w:rsidRDefault="006B5DCF" w14:paraId="41F1B28A" w14:textId="7221FB4B">
      <w:pPr>
        <w:pStyle w:val="BodyText2SglJ"/>
        <w:rPr>
          <w:rFonts w:eastAsia="Calibri" w:cs="Arial"/>
          <w:szCs w:val="20"/>
          <w:lang w:val="en-GB"/>
        </w:rPr>
      </w:pPr>
      <w:r w:rsidRPr="009C48DA">
        <w:rPr>
          <w:rFonts w:eastAsia="Calibri" w:cs="Arial"/>
          <w:szCs w:val="20"/>
          <w:lang w:val="en-GB"/>
        </w:rPr>
        <w:t>O</w:t>
      </w:r>
      <w:r w:rsidRPr="009C48DA" w:rsidR="00B51E80">
        <w:rPr>
          <w:rFonts w:eastAsia="Calibri" w:cs="Arial"/>
          <w:szCs w:val="20"/>
          <w:lang w:val="en-GB"/>
        </w:rPr>
        <w:t xml:space="preserve">ther operating income includes fees and commissions receivable by the Group’s procurement consulting business, PEPCO Services LLP. </w:t>
      </w:r>
    </w:p>
    <w:p w:rsidRPr="009C48DA" w:rsidR="00B51E80" w:rsidP="00B51E80" w:rsidRDefault="00B51E80" w14:paraId="705B405B" w14:textId="77777777">
      <w:pPr>
        <w:pStyle w:val="TitleB"/>
        <w:rPr>
          <w:szCs w:val="20"/>
          <w:lang w:val="en-GB"/>
        </w:rPr>
      </w:pPr>
      <w:r w:rsidRPr="009C48DA">
        <w:rPr>
          <w:szCs w:val="20"/>
          <w:lang w:val="en-GB"/>
        </w:rPr>
        <w:t xml:space="preserve">Personnel expenses </w:t>
      </w:r>
    </w:p>
    <w:p w:rsidRPr="009C48DA" w:rsidR="00B51E80" w:rsidP="00B51E80" w:rsidRDefault="00B51E80" w14:paraId="77C0D64C" w14:textId="77777777">
      <w:pPr>
        <w:pStyle w:val="BodyText2SglJ"/>
        <w:rPr>
          <w:rFonts w:eastAsia="Calibri" w:cs="Arial"/>
          <w:szCs w:val="20"/>
          <w:lang w:val="en-GB"/>
        </w:rPr>
      </w:pPr>
      <w:r w:rsidRPr="009C48DA">
        <w:rPr>
          <w:rFonts w:eastAsia="Calibri" w:cs="Arial"/>
          <w:szCs w:val="20"/>
          <w:lang w:val="en-GB"/>
        </w:rPr>
        <w:t>Personnel expenses include wages and salaries, bonuses, social security costs, pensions and other post-employment benefit costs and other personnel expenses.</w:t>
      </w:r>
    </w:p>
    <w:p w:rsidRPr="009C48DA" w:rsidR="00B51E80" w:rsidP="00B51E80" w:rsidRDefault="00B51E80" w14:paraId="3BEA0989" w14:textId="77777777">
      <w:pPr>
        <w:pStyle w:val="TitleB"/>
        <w:rPr>
          <w:szCs w:val="20"/>
          <w:lang w:val="en-GB"/>
        </w:rPr>
      </w:pPr>
      <w:r w:rsidRPr="009C48DA">
        <w:rPr>
          <w:szCs w:val="20"/>
          <w:lang w:val="en-GB"/>
        </w:rPr>
        <w:t>Other expenses</w:t>
      </w:r>
    </w:p>
    <w:p w:rsidRPr="009C48DA" w:rsidR="00B51E80" w:rsidP="00B51E80" w:rsidRDefault="00B51E80" w14:paraId="1C7CA437" w14:textId="77777777">
      <w:pPr>
        <w:pStyle w:val="BodyText2SglJ"/>
        <w:rPr>
          <w:rFonts w:eastAsia="Calibri" w:cs="Arial"/>
          <w:szCs w:val="20"/>
          <w:lang w:val="en-GB"/>
        </w:rPr>
      </w:pPr>
      <w:r w:rsidRPr="009C48DA">
        <w:rPr>
          <w:rFonts w:eastAsia="Calibri" w:cs="Arial"/>
          <w:szCs w:val="20"/>
          <w:lang w:val="en-GB"/>
        </w:rPr>
        <w:t>Other expenses include administrative expenses, IT and other external supplier costs.</w:t>
      </w:r>
    </w:p>
    <w:p w:rsidRPr="009C48DA" w:rsidR="00B51E80" w:rsidP="00B51E80" w:rsidRDefault="00B51E80" w14:paraId="74B4847B" w14:textId="1CA4C8E4">
      <w:pPr>
        <w:pStyle w:val="TitleB"/>
        <w:rPr>
          <w:szCs w:val="20"/>
          <w:lang w:val="en-GB"/>
        </w:rPr>
      </w:pPr>
      <w:r w:rsidRPr="009C48DA">
        <w:rPr>
          <w:szCs w:val="20"/>
          <w:lang w:val="en-GB"/>
        </w:rPr>
        <w:t>Foreign exchange gains</w:t>
      </w:r>
      <w:r w:rsidRPr="009C48DA" w:rsidR="007F0DBD">
        <w:rPr>
          <w:szCs w:val="20"/>
          <w:lang w:val="en-GB"/>
        </w:rPr>
        <w:t xml:space="preserve"> </w:t>
      </w:r>
      <w:r w:rsidRPr="009C48DA">
        <w:rPr>
          <w:szCs w:val="20"/>
          <w:lang w:val="en-GB"/>
        </w:rPr>
        <w:t>/</w:t>
      </w:r>
      <w:r w:rsidRPr="009C48DA" w:rsidR="007F0DBD">
        <w:rPr>
          <w:szCs w:val="20"/>
          <w:lang w:val="en-GB"/>
        </w:rPr>
        <w:t xml:space="preserve"> </w:t>
      </w:r>
      <w:r w:rsidRPr="009C48DA">
        <w:rPr>
          <w:szCs w:val="20"/>
          <w:lang w:val="en-GB"/>
        </w:rPr>
        <w:t>(losses)</w:t>
      </w:r>
    </w:p>
    <w:p w:rsidRPr="009C48DA" w:rsidR="006B5DCF" w:rsidP="00B51E80" w:rsidRDefault="00B51E80" w14:paraId="2D4E2F4B" w14:textId="00AD1324">
      <w:pPr>
        <w:pStyle w:val="BodyText2SglJ"/>
        <w:rPr>
          <w:rFonts w:eastAsia="Calibri" w:cs="Arial"/>
          <w:szCs w:val="20"/>
          <w:lang w:val="en-GB"/>
        </w:rPr>
      </w:pPr>
      <w:r w:rsidRPr="009C48DA">
        <w:rPr>
          <w:rFonts w:eastAsia="Calibri" w:cs="Arial"/>
          <w:szCs w:val="20"/>
          <w:lang w:val="en-GB"/>
        </w:rPr>
        <w:t>Foreign exchange gains</w:t>
      </w:r>
      <w:r w:rsidRPr="009C48DA" w:rsidR="007F0DBD">
        <w:rPr>
          <w:rFonts w:eastAsia="Calibri" w:cs="Arial"/>
          <w:szCs w:val="20"/>
          <w:lang w:val="en-GB"/>
        </w:rPr>
        <w:t xml:space="preserve"> </w:t>
      </w:r>
      <w:r w:rsidRPr="009C48DA">
        <w:rPr>
          <w:rFonts w:eastAsia="Calibri" w:cs="Arial"/>
          <w:szCs w:val="20"/>
          <w:lang w:val="en-GB"/>
        </w:rPr>
        <w:t>/</w:t>
      </w:r>
      <w:r w:rsidRPr="009C48DA" w:rsidR="007F0DBD">
        <w:rPr>
          <w:rFonts w:eastAsia="Calibri" w:cs="Arial"/>
          <w:szCs w:val="20"/>
          <w:lang w:val="en-GB"/>
        </w:rPr>
        <w:t xml:space="preserve"> </w:t>
      </w:r>
      <w:r w:rsidRPr="009C48DA">
        <w:rPr>
          <w:rFonts w:eastAsia="Calibri" w:cs="Arial"/>
          <w:szCs w:val="20"/>
          <w:lang w:val="en-GB"/>
        </w:rPr>
        <w:t>(losses) comprises foreign translation gains and losses, arising from the process of expressing amounts denominated or measured in one currency in terms of another currency by use of the exchange rate between the two currencies. Foreign currency transactions are translated into the functional currency using the spot exchange rates at the dates of the transactions. Monetary assets and liabilities denominated in foreign currencies are translated to pound sterling at rates current at the year-end. All differences are taken to the consolidated income statement. Non-monetary assets and liabilities denominated in foreign currencies that are measured at fair value are translated at the rate prevailing at the date the fair value was determined. Non-monetary items that are measured at historical cost are translated using rates prevailing at the date of the transaction. The</w:t>
      </w:r>
      <w:r w:rsidRPr="009C48DA" w:rsidR="006B5DCF">
        <w:rPr>
          <w:lang w:val="en-GB"/>
        </w:rPr>
        <w:t xml:space="preserve"> </w:t>
      </w:r>
      <w:r w:rsidRPr="009C48DA" w:rsidR="006B5DCF">
        <w:rPr>
          <w:rFonts w:eastAsia="Calibri" w:cs="Arial"/>
          <w:szCs w:val="20"/>
          <w:lang w:val="en-GB"/>
        </w:rPr>
        <w:t>pound sterling is the functional currency of the Group. The Group is therefore exposed to currency risk on total operating income, costs and borrowings that are denominated in a currency other than the pound sterling, in particular euro as it is the currency in which the Group’s total operating income and profit is primarily denominated. The Group’s existing bank borrowings under the Group’s revolving credit facilities are denominated in pound sterling and euro. See also “</w:t>
      </w:r>
      <w:r w:rsidRPr="009C48DA" w:rsidR="006B5DCF">
        <w:rPr>
          <w:rFonts w:eastAsia="Calibri" w:cs="Arial"/>
          <w:i/>
          <w:szCs w:val="20"/>
          <w:lang w:val="en-GB"/>
        </w:rPr>
        <w:t>Principal Factors affecting Results of Operations—Foreign exchange rates</w:t>
      </w:r>
      <w:r w:rsidRPr="009C48DA" w:rsidR="006B5DCF">
        <w:rPr>
          <w:rFonts w:eastAsia="Calibri" w:cs="Arial"/>
          <w:szCs w:val="20"/>
          <w:lang w:val="en-GB"/>
        </w:rPr>
        <w:t>” and “</w:t>
      </w:r>
      <w:r w:rsidRPr="009C48DA" w:rsidR="006B5DCF">
        <w:rPr>
          <w:rFonts w:eastAsia="Calibri" w:cs="Arial"/>
          <w:i/>
          <w:szCs w:val="20"/>
          <w:lang w:val="en-GB"/>
        </w:rPr>
        <w:t>—Qualitative and Quantitative Disclosures about Market Risk, Credit Risk and Liquidity Risk—Market Risk—Currency Risk.</w:t>
      </w:r>
      <w:r w:rsidRPr="009C48DA" w:rsidR="006B5DCF">
        <w:rPr>
          <w:rFonts w:eastAsia="Calibri" w:cs="Arial"/>
          <w:szCs w:val="20"/>
          <w:lang w:val="en-GB"/>
        </w:rPr>
        <w:t>”</w:t>
      </w:r>
    </w:p>
    <w:p w:rsidRPr="009C48DA" w:rsidR="00906792" w:rsidP="00906792" w:rsidRDefault="00906792" w14:paraId="081E0F6D" w14:textId="77777777">
      <w:pPr>
        <w:pStyle w:val="TitleB"/>
        <w:rPr>
          <w:szCs w:val="20"/>
          <w:lang w:val="en-GB"/>
        </w:rPr>
      </w:pPr>
      <w:r w:rsidRPr="009C48DA">
        <w:rPr>
          <w:szCs w:val="20"/>
          <w:lang w:val="en-GB"/>
        </w:rPr>
        <w:t>EBITDA</w:t>
      </w:r>
    </w:p>
    <w:p w:rsidRPr="009C48DA" w:rsidR="00906792" w:rsidP="00906792" w:rsidRDefault="00906792" w14:paraId="0AC3F990" w14:textId="395FB30A">
      <w:pPr>
        <w:pStyle w:val="BodyText2SglJ"/>
        <w:rPr>
          <w:rFonts w:eastAsia="Calibri" w:cs="Arial"/>
          <w:szCs w:val="20"/>
          <w:lang w:val="en-GB"/>
        </w:rPr>
      </w:pPr>
      <w:r w:rsidRPr="009C48DA">
        <w:rPr>
          <w:lang w:val="en-GB"/>
        </w:rPr>
        <w:t xml:space="preserve">See </w:t>
      </w:r>
      <w:r w:rsidRPr="009C48DA">
        <w:rPr>
          <w:color w:val="000000"/>
          <w:szCs w:val="20"/>
          <w:lang w:val="en-GB"/>
        </w:rPr>
        <w:t>“—</w:t>
      </w:r>
      <w:r w:rsidRPr="009C48DA">
        <w:rPr>
          <w:i/>
          <w:color w:val="000000"/>
          <w:szCs w:val="20"/>
          <w:lang w:val="en-GB"/>
        </w:rPr>
        <w:t>Alternative Performance Measures and Key Performance Indicators—</w:t>
      </w:r>
      <w:r w:rsidRPr="009C48DA">
        <w:rPr>
          <w:rFonts w:eastAsia="Calibri" w:cs="Arial"/>
          <w:i/>
          <w:szCs w:val="20"/>
          <w:lang w:val="en-GB"/>
        </w:rPr>
        <w:t xml:space="preserve">EBITDA, </w:t>
      </w:r>
      <w:r w:rsidRPr="009C48DA">
        <w:rPr>
          <w:i/>
          <w:color w:val="000000"/>
          <w:szCs w:val="20"/>
          <w:lang w:val="en-GB"/>
        </w:rPr>
        <w:t>Underlying EBITDA and Underlying EBITDA Margin</w:t>
      </w:r>
      <w:r w:rsidRPr="009C48DA">
        <w:rPr>
          <w:color w:val="000000"/>
          <w:szCs w:val="20"/>
          <w:lang w:val="en-GB"/>
        </w:rPr>
        <w:t>” for details.</w:t>
      </w:r>
    </w:p>
    <w:p w:rsidRPr="009C48DA" w:rsidR="00B51E80" w:rsidP="00B51E80" w:rsidRDefault="00B51E80" w14:paraId="02A2D051" w14:textId="77777777">
      <w:pPr>
        <w:pStyle w:val="TitleB"/>
        <w:rPr>
          <w:szCs w:val="20"/>
          <w:lang w:val="en-GB"/>
        </w:rPr>
      </w:pPr>
      <w:r w:rsidRPr="009C48DA">
        <w:rPr>
          <w:szCs w:val="20"/>
          <w:lang w:val="en-GB"/>
        </w:rPr>
        <w:t>Depreciation and amortisation expense</w:t>
      </w:r>
    </w:p>
    <w:p w:rsidRPr="009C48DA" w:rsidR="00B51E80" w:rsidP="00B51E80" w:rsidRDefault="00B51E80" w14:paraId="3B1E58D1" w14:textId="5CF48366">
      <w:pPr>
        <w:pStyle w:val="BodyText2SglJ"/>
        <w:rPr>
          <w:rFonts w:eastAsia="Calibri" w:cs="Arial"/>
          <w:szCs w:val="20"/>
          <w:lang w:val="en-GB"/>
        </w:rPr>
      </w:pPr>
      <w:r w:rsidRPr="009C48DA">
        <w:rPr>
          <w:szCs w:val="20"/>
          <w:lang w:val="en-GB"/>
        </w:rPr>
        <w:t xml:space="preserve">Depreciation and amortisation mainly relate to right to use leased premises, lease improvements and computers, furniture and other capitalised assets. The capitalised assets are depreciated over the asset’s estimated useful life using the straight-line method or, in the case of leased assets, depreciated on a straight-line basis over the shorter of the lease term or the leased asset’s estimated useful life. </w:t>
      </w:r>
      <w:r w:rsidRPr="009C48DA">
        <w:rPr>
          <w:rFonts w:eastAsia="Calibri" w:cs="Arial"/>
          <w:szCs w:val="20"/>
          <w:lang w:val="en-GB"/>
        </w:rPr>
        <w:t xml:space="preserve">See </w:t>
      </w:r>
      <w:r w:rsidRPr="009C48DA">
        <w:rPr>
          <w:rFonts w:eastAsia="Calibri" w:cs="Arial"/>
          <w:szCs w:val="20"/>
          <w:lang w:val="en-GB"/>
        </w:rPr>
        <w:fldChar w:fldCharType="begin"/>
      </w:r>
      <w:r w:rsidRPr="009C48DA">
        <w:rPr>
          <w:rFonts w:eastAsia="Calibri" w:cs="Arial"/>
          <w:szCs w:val="20"/>
          <w:lang w:val="en-GB"/>
        </w:rPr>
        <w:instrText xml:space="preserve"> REF _Ref72799957 \n \h  \* MERGEFORMAT </w:instrText>
      </w:r>
      <w:r w:rsidRPr="009C48DA">
        <w:rPr>
          <w:rFonts w:eastAsia="Calibri" w:cs="Arial"/>
          <w:szCs w:val="20"/>
          <w:lang w:val="en-GB"/>
        </w:rPr>
      </w:r>
      <w:r w:rsidRPr="009C48DA">
        <w:rPr>
          <w:rFonts w:eastAsia="Calibri" w:cs="Arial"/>
          <w:szCs w:val="20"/>
          <w:lang w:val="en-GB"/>
        </w:rPr>
        <w:fldChar w:fldCharType="separate"/>
      </w:r>
      <w:r w:rsidR="007C3D19">
        <w:rPr>
          <w:rFonts w:eastAsia="Calibri" w:cs="Arial"/>
          <w:szCs w:val="20"/>
          <w:lang w:val="en-GB"/>
        </w:rPr>
        <w:t>Part B</w:t>
      </w:r>
      <w:r w:rsidRPr="009C48DA">
        <w:rPr>
          <w:rFonts w:eastAsia="Calibri" w:cs="Arial"/>
          <w:szCs w:val="20"/>
          <w:lang w:val="en-GB"/>
        </w:rPr>
        <w:fldChar w:fldCharType="end"/>
      </w:r>
      <w:r w:rsidRPr="009C48DA">
        <w:rPr>
          <w:rFonts w:eastAsia="Calibri" w:cs="Arial"/>
          <w:szCs w:val="20"/>
          <w:lang w:val="en-GB"/>
        </w:rPr>
        <w:t xml:space="preserve"> of </w:t>
      </w:r>
      <w:r w:rsidRPr="009C48DA">
        <w:rPr>
          <w:rFonts w:eastAsia="Calibri" w:cs="Arial"/>
          <w:szCs w:val="20"/>
          <w:lang w:val="en-GB"/>
        </w:rPr>
        <w:fldChar w:fldCharType="begin"/>
      </w:r>
      <w:r w:rsidRPr="009C48DA">
        <w:rPr>
          <w:rFonts w:eastAsia="Calibri" w:cs="Arial"/>
          <w:szCs w:val="20"/>
          <w:lang w:val="en-GB"/>
        </w:rPr>
        <w:instrText xml:space="preserve"> REF _Ref72799941 \w \h  \* MERGEFORMAT </w:instrText>
      </w:r>
      <w:r w:rsidRPr="009C48DA">
        <w:rPr>
          <w:rFonts w:eastAsia="Calibri" w:cs="Arial"/>
          <w:szCs w:val="20"/>
          <w:lang w:val="en-GB"/>
        </w:rPr>
      </w:r>
      <w:r w:rsidRPr="009C48DA">
        <w:rPr>
          <w:rFonts w:eastAsia="Calibri" w:cs="Arial"/>
          <w:szCs w:val="20"/>
          <w:lang w:val="en-GB"/>
        </w:rPr>
        <w:fldChar w:fldCharType="separate"/>
      </w:r>
      <w:r w:rsidR="007C3D19">
        <w:rPr>
          <w:rFonts w:eastAsia="Calibri" w:cs="Arial"/>
          <w:szCs w:val="20"/>
          <w:lang w:val="en-GB"/>
        </w:rPr>
        <w:t>Part X</w:t>
      </w:r>
      <w:r w:rsidRPr="009C48DA">
        <w:rPr>
          <w:rFonts w:eastAsia="Calibri" w:cs="Arial"/>
          <w:szCs w:val="20"/>
          <w:lang w:val="en-GB"/>
        </w:rPr>
        <w:fldChar w:fldCharType="end"/>
      </w:r>
      <w:r w:rsidRPr="009C48DA">
        <w:rPr>
          <w:rFonts w:eastAsia="Calibri" w:cs="Arial"/>
          <w:szCs w:val="20"/>
          <w:lang w:val="en-GB"/>
        </w:rPr>
        <w:t xml:space="preserve"> </w:t>
      </w:r>
      <w:r w:rsidRPr="009C48DA" w:rsidR="002A042A">
        <w:rPr>
          <w:rFonts w:eastAsia="Times New Roman" w:cs="Times New Roman"/>
          <w:color w:val="000000"/>
          <w:szCs w:val="22"/>
          <w:lang w:val="en-GB"/>
        </w:rPr>
        <w:t>(</w:t>
      </w:r>
      <w:r w:rsidRPr="009C48DA" w:rsidR="002A042A">
        <w:rPr>
          <w:rFonts w:eastAsia="Times New Roman" w:cs="Times New Roman"/>
          <w:i/>
          <w:color w:val="000000"/>
          <w:szCs w:val="22"/>
          <w:lang w:val="en-GB"/>
        </w:rPr>
      </w:r>
      <w:r w:rsidRPr="007C3D19" w:rsidR="007C3D19">
        <w:rPr>
          <w:i/>
          <w:lang w:val="en-GB"/>
        </w:rPr>
        <w:t>Historical Financial Information</w:t>
      </w:r>
      <w:r w:rsidRPr="009C48DA" w:rsidR="002A042A">
        <w:rPr>
          <w:rFonts w:eastAsia="Times New Roman" w:cs="Times New Roman"/>
          <w:color w:val="000000"/>
          <w:szCs w:val="22"/>
          <w:lang w:val="en-GB"/>
        </w:rPr>
        <w:t>)</w:t>
      </w:r>
      <w:r w:rsidR="00500C4A">
        <w:rPr>
          <w:rFonts w:eastAsia="Times New Roman" w:cs="Times New Roman"/>
          <w:color w:val="000000"/>
          <w:szCs w:val="22"/>
          <w:lang w:val="en-GB"/>
        </w:rPr>
        <w:t xml:space="preserve"> </w:t>
      </w:r>
      <w:r w:rsidRPr="009C48DA">
        <w:rPr>
          <w:rFonts w:eastAsia="Calibri" w:cs="Arial"/>
          <w:szCs w:val="20"/>
          <w:lang w:val="en-GB"/>
        </w:rPr>
        <w:t xml:space="preserve">for a further discussion on depreciation and amortisation principles. </w:t>
      </w:r>
    </w:p>
    <w:p w:rsidRPr="009C48DA" w:rsidR="00B51E80" w:rsidP="00B51E80" w:rsidRDefault="00B51E80" w14:paraId="164215E9" w14:textId="77777777">
      <w:pPr>
        <w:pStyle w:val="TitleB"/>
        <w:rPr>
          <w:szCs w:val="20"/>
          <w:lang w:val="en-GB"/>
        </w:rPr>
      </w:pPr>
      <w:r w:rsidRPr="009C48DA">
        <w:rPr>
          <w:szCs w:val="20"/>
          <w:lang w:val="en-GB"/>
        </w:rPr>
        <w:t>Finance income and finance expense</w:t>
      </w:r>
    </w:p>
    <w:p w:rsidRPr="009C48DA" w:rsidR="00B51E80" w:rsidP="00B51E80" w:rsidRDefault="00B51E80" w14:paraId="78401559" w14:textId="694C3A74">
      <w:pPr>
        <w:pStyle w:val="BodyText2SglJ"/>
        <w:rPr>
          <w:rFonts w:eastAsia="Calibri" w:cs="Arial"/>
          <w:szCs w:val="20"/>
          <w:lang w:val="en-GB"/>
        </w:rPr>
      </w:pPr>
      <w:r w:rsidRPr="009C48DA">
        <w:rPr>
          <w:rFonts w:eastAsia="Calibri" w:cs="Arial"/>
          <w:szCs w:val="20"/>
          <w:lang w:val="en-GB"/>
        </w:rPr>
        <w:t>Finance income comprises interest earned on cash deposited with banks, as well as interest income on held-to-maturity investments and other finance income. The calculation includes all fees and points received between parties to the contract that are an integral part of the effective interest rate, transaction costs and all other premiums and discounts.</w:t>
      </w:r>
      <w:r w:rsidRPr="009C48DA" w:rsidR="00B83C37">
        <w:rPr>
          <w:rFonts w:eastAsia="Calibri" w:cs="Arial"/>
          <w:szCs w:val="20"/>
          <w:lang w:val="en-GB"/>
        </w:rPr>
        <w:t xml:space="preserve"> </w:t>
      </w:r>
      <w:r w:rsidRPr="009C48DA">
        <w:rPr>
          <w:rFonts w:eastAsia="Calibri" w:cs="Arial"/>
          <w:szCs w:val="20"/>
          <w:lang w:val="en-GB"/>
        </w:rPr>
        <w:t xml:space="preserve">Finance expense comprises interest on interest-bearing liabilities (including bank borrowings) and finance lease liabilities, as well as other finance costs. Recurring fees and charges levied on committed bank facilities are charged to the consolidated income statement as accrued. Credit facility arrangement fees are capitalised and amortised to the consolidated income statement </w:t>
      </w:r>
      <w:r w:rsidRPr="009C48DA">
        <w:rPr>
          <w:rFonts w:eastAsia="Calibri" w:cs="Arial"/>
          <w:szCs w:val="20"/>
          <w:lang w:val="en-GB"/>
        </w:rPr>
        <w:lastRenderedPageBreak/>
        <w:t>over the term of the facility. The calculation includes all fees and points paid that are an integral part of the effective interest rate, transaction costs and all other premiums and discounts.</w:t>
      </w:r>
      <w:r w:rsidRPr="009C48DA" w:rsidR="00B83C37">
        <w:rPr>
          <w:rFonts w:eastAsia="Calibri" w:cs="Arial"/>
          <w:szCs w:val="20"/>
          <w:lang w:val="en-GB"/>
        </w:rPr>
        <w:t xml:space="preserve"> </w:t>
      </w:r>
      <w:r w:rsidRPr="009C48DA">
        <w:rPr>
          <w:rFonts w:eastAsia="Calibri" w:cs="Arial"/>
          <w:szCs w:val="20"/>
          <w:lang w:val="en-GB"/>
        </w:rPr>
        <w:t>Net finance income is total finance income less total finance costs.</w:t>
      </w:r>
    </w:p>
    <w:p w:rsidRPr="009C48DA" w:rsidR="00B51E80" w:rsidP="00B51E80" w:rsidRDefault="00B51E80" w14:paraId="4D7FF716" w14:textId="2805568D">
      <w:pPr>
        <w:pStyle w:val="TitleB"/>
        <w:rPr>
          <w:szCs w:val="20"/>
          <w:lang w:val="en-GB"/>
        </w:rPr>
      </w:pPr>
      <w:r w:rsidRPr="009C48DA">
        <w:rPr>
          <w:szCs w:val="20"/>
          <w:lang w:val="en-GB"/>
        </w:rPr>
        <w:t>Income tax charge</w:t>
      </w:r>
    </w:p>
    <w:p w:rsidRPr="009C48DA" w:rsidR="00B51E80" w:rsidP="00B51E80" w:rsidRDefault="00B51E80" w14:paraId="1F77A1F4" w14:textId="1885C810">
      <w:pPr>
        <w:pStyle w:val="BodyText2SglJ"/>
        <w:rPr>
          <w:rFonts w:eastAsia="Calibri" w:cs="Arial"/>
          <w:szCs w:val="20"/>
          <w:lang w:val="en-GB"/>
        </w:rPr>
      </w:pPr>
      <w:r w:rsidRPr="009C48DA">
        <w:rPr>
          <w:rFonts w:eastAsia="Calibri" w:cs="Arial"/>
          <w:szCs w:val="20"/>
          <w:lang w:val="en-GB"/>
        </w:rPr>
        <w:t>Income tax charge comprises current tax and deferred tax recognised in the reporting period. Tax is recognised in the consolidated income statement, except to the extent that it relates to items recognised in other comprehensive income or directly in equity, in which case tax is also recognised in other comprehensive income or directly in equity, as applicable.</w:t>
      </w:r>
      <w:r w:rsidRPr="009C48DA" w:rsidR="00B83C37">
        <w:rPr>
          <w:rFonts w:eastAsia="Calibri" w:cs="Arial"/>
          <w:szCs w:val="20"/>
          <w:lang w:val="en-GB"/>
        </w:rPr>
        <w:t xml:space="preserve"> </w:t>
      </w:r>
      <w:r w:rsidRPr="009C48DA">
        <w:rPr>
          <w:rFonts w:eastAsia="Calibri" w:cs="Arial"/>
          <w:szCs w:val="20"/>
          <w:lang w:val="en-GB"/>
        </w:rPr>
        <w:t>Current tax is the amount of corporation tax payable in respect of the taxable profit for the year (as well as adjustments in relation to the prior year). Deferred tax arises from timing differences between taxable profits and total comprehensive income as stated in the financial statements. These timing differences arise from the inclusion of income and expenses in tax assessments in periods different from those in which they are recognised in financial statements. Deferred tax is recognised on all timing differences at the reporting date except for certain exceptions. Unrelieved tax losses or other deferred tax assets are only recognised when it is probable that they will be recovered against the reversal of deferred tax liabilities or other future taxable profits. Deferred tax is measured using tax rates and laws that have been enacted or substantively enacted by the period end and are expected to apply to the reversal of the timing difference.</w:t>
      </w:r>
    </w:p>
    <w:p w:rsidRPr="009C48DA" w:rsidR="00B51E80" w:rsidP="000C376E" w:rsidRDefault="00B51E80" w14:paraId="5EBD9175" w14:textId="0E2443CF">
      <w:pPr>
        <w:pStyle w:val="TitleBAllCaps"/>
      </w:pPr>
      <w:r w:rsidRPr="009C48DA">
        <w:t>RESULTS OF OPERATIONS</w:t>
      </w:r>
    </w:p>
    <w:p w:rsidRPr="009C48DA" w:rsidR="00B51E80" w:rsidP="00B51E80" w:rsidRDefault="00B51E80" w14:paraId="298216D6" w14:textId="79CA37CC">
      <w:pPr>
        <w:pStyle w:val="TitleB"/>
        <w:rPr>
          <w:szCs w:val="20"/>
          <w:lang w:val="en-GB"/>
        </w:rPr>
      </w:pPr>
      <w:r w:rsidRPr="009C48DA">
        <w:rPr>
          <w:szCs w:val="20"/>
          <w:lang w:val="en-GB"/>
        </w:rPr>
        <w:t xml:space="preserve">Three months ended 31 March 2021 compared with </w:t>
      </w:r>
      <w:r w:rsidRPr="009C48DA" w:rsidR="006B5DCF">
        <w:rPr>
          <w:szCs w:val="20"/>
          <w:lang w:val="en-GB"/>
        </w:rPr>
        <w:t xml:space="preserve">(unaudited) </w:t>
      </w:r>
      <w:r w:rsidRPr="009C48DA">
        <w:rPr>
          <w:szCs w:val="20"/>
          <w:lang w:val="en-GB"/>
        </w:rPr>
        <w:t>three months ended 31 March 2020</w:t>
      </w:r>
    </w:p>
    <w:p w:rsidRPr="009C48DA" w:rsidR="00B51E80" w:rsidP="00B51E80" w:rsidRDefault="00B51E80" w14:paraId="7EB2E7B4" w14:textId="29EEADB1">
      <w:pPr>
        <w:pStyle w:val="BodyText2SglJ"/>
        <w:rPr>
          <w:rFonts w:eastAsia="Calibri" w:cs="Arial"/>
          <w:szCs w:val="20"/>
          <w:lang w:val="en-GB"/>
        </w:rPr>
      </w:pPr>
      <w:r w:rsidRPr="009C48DA">
        <w:rPr>
          <w:rFonts w:eastAsia="Calibri" w:cs="Arial"/>
          <w:szCs w:val="20"/>
          <w:lang w:val="en-GB"/>
        </w:rPr>
        <w:t xml:space="preserve">The following table sets out the Group’s consolidated income statement, extracted from the Historical Financial Information set out in </w:t>
      </w:r>
      <w:r w:rsidRPr="009C48DA">
        <w:rPr>
          <w:rFonts w:eastAsia="Calibri" w:cs="Arial"/>
          <w:szCs w:val="20"/>
          <w:lang w:val="en-GB"/>
        </w:rPr>
        <w:fldChar w:fldCharType="begin"/>
      </w:r>
      <w:r w:rsidRPr="009C48DA">
        <w:rPr>
          <w:rFonts w:eastAsia="Calibri" w:cs="Arial"/>
          <w:szCs w:val="20"/>
          <w:lang w:val="en-GB"/>
        </w:rPr>
        <w:instrText xml:space="preserve"> REF _Ref72799957 \n \h  \* MERGEFORMAT </w:instrText>
      </w:r>
      <w:r w:rsidRPr="009C48DA">
        <w:rPr>
          <w:rFonts w:eastAsia="Calibri" w:cs="Arial"/>
          <w:szCs w:val="20"/>
          <w:lang w:val="en-GB"/>
        </w:rPr>
      </w:r>
      <w:r w:rsidRPr="009C48DA">
        <w:rPr>
          <w:rFonts w:eastAsia="Calibri" w:cs="Arial"/>
          <w:szCs w:val="20"/>
          <w:lang w:val="en-GB"/>
        </w:rPr>
        <w:fldChar w:fldCharType="separate"/>
      </w:r>
      <w:r w:rsidR="007C3D19">
        <w:rPr>
          <w:rFonts w:eastAsia="Calibri" w:cs="Arial"/>
          <w:szCs w:val="20"/>
          <w:lang w:val="en-GB"/>
        </w:rPr>
        <w:t>Part B</w:t>
      </w:r>
      <w:r w:rsidRPr="009C48DA">
        <w:rPr>
          <w:rFonts w:eastAsia="Calibri" w:cs="Arial"/>
          <w:szCs w:val="20"/>
          <w:lang w:val="en-GB"/>
        </w:rPr>
        <w:fldChar w:fldCharType="end"/>
      </w:r>
      <w:r w:rsidRPr="009C48DA">
        <w:rPr>
          <w:rFonts w:eastAsia="Calibri" w:cs="Arial"/>
          <w:szCs w:val="20"/>
          <w:lang w:val="en-GB"/>
        </w:rPr>
        <w:t xml:space="preserve"> of </w:t>
      </w:r>
      <w:r w:rsidRPr="009C48DA">
        <w:rPr>
          <w:rFonts w:eastAsia="Calibri" w:cs="Arial"/>
          <w:szCs w:val="20"/>
          <w:lang w:val="en-GB"/>
        </w:rPr>
        <w:fldChar w:fldCharType="begin"/>
      </w:r>
      <w:r w:rsidRPr="009C48DA">
        <w:rPr>
          <w:rFonts w:eastAsia="Calibri" w:cs="Arial"/>
          <w:szCs w:val="20"/>
          <w:lang w:val="en-GB"/>
        </w:rPr>
        <w:instrText xml:space="preserve"> REF _Ref72799941 \w \h  \* MERGEFORMAT </w:instrText>
      </w:r>
      <w:r w:rsidRPr="009C48DA">
        <w:rPr>
          <w:rFonts w:eastAsia="Calibri" w:cs="Arial"/>
          <w:szCs w:val="20"/>
          <w:lang w:val="en-GB"/>
        </w:rPr>
      </w:r>
      <w:r w:rsidRPr="009C48DA">
        <w:rPr>
          <w:rFonts w:eastAsia="Calibri" w:cs="Arial"/>
          <w:szCs w:val="20"/>
          <w:lang w:val="en-GB"/>
        </w:rPr>
        <w:fldChar w:fldCharType="separate"/>
      </w:r>
      <w:r w:rsidR="007C3D19">
        <w:rPr>
          <w:rFonts w:eastAsia="Calibri" w:cs="Arial"/>
          <w:szCs w:val="20"/>
          <w:lang w:val="en-GB"/>
        </w:rPr>
        <w:t>Part X</w:t>
      </w:r>
      <w:r w:rsidRPr="009C48DA">
        <w:rPr>
          <w:rFonts w:eastAsia="Calibri" w:cs="Arial"/>
          <w:szCs w:val="20"/>
          <w:lang w:val="en-GB"/>
        </w:rPr>
        <w:fldChar w:fldCharType="end"/>
      </w:r>
      <w:r w:rsidRPr="009C48DA">
        <w:rPr>
          <w:rFonts w:eastAsia="Calibri" w:cs="Arial"/>
          <w:szCs w:val="20"/>
          <w:lang w:val="en-GB"/>
        </w:rPr>
        <w:t xml:space="preserve"> (</w:t>
      </w:r>
      <w:r w:rsidRPr="009C48DA">
        <w:rPr>
          <w:rFonts w:eastAsia="Calibri" w:cs="Arial"/>
          <w:i/>
          <w:szCs w:val="20"/>
          <w:lang w:val="en-GB"/>
        </w:rPr>
      </w:r>
      <w:r w:rsidRPr="007C3D19" w:rsidR="007C3D19">
        <w:rPr>
          <w:i/>
          <w:szCs w:val="20"/>
          <w:lang w:val="en-GB"/>
        </w:rPr>
        <w:t>Historical Financial Information</w:t>
      </w:r>
      <w:r w:rsidRPr="009C48DA" w:rsidR="001B0C5A">
        <w:rPr>
          <w:rFonts w:eastAsia="Calibri" w:cs="Arial"/>
          <w:szCs w:val="20"/>
          <w:lang w:val="en-GB"/>
        </w:rPr>
        <w:t>)</w:t>
      </w:r>
      <w:r w:rsidRPr="009C48DA">
        <w:rPr>
          <w:rFonts w:eastAsia="Calibri" w:cs="Arial"/>
          <w:szCs w:val="20"/>
          <w:lang w:val="en-GB"/>
        </w:rPr>
        <w:t>, for the three months ended 31 March 2021 and 2020:</w:t>
      </w:r>
    </w:p>
    <w:tbl>
      <w:tblPr>
        <w:tblW w:w="8642" w:type="dxa"/>
        <w:tblLayout w:type="fixed"/>
        <w:tblLook w:val="04A0" w:firstRow="1" w:lastRow="0" w:firstColumn="1" w:lastColumn="0" w:noHBand="0" w:noVBand="1"/>
      </w:tblPr>
      <w:tblGrid>
        <w:gridCol w:w="5529"/>
        <w:gridCol w:w="1554"/>
        <w:gridCol w:w="1559"/>
      </w:tblGrid>
      <w:tr w:rsidRPr="009C48DA" w:rsidR="00906792" w:rsidTr="00906792" w14:paraId="28D099DC" w14:textId="77777777">
        <w:trPr>
          <w:trHeight w:val="74"/>
        </w:trPr>
        <w:tc>
          <w:tcPr>
            <w:tcW w:w="5529" w:type="dxa"/>
            <w:shd w:val="clear" w:color="auto" w:fill="auto"/>
            <w:vAlign w:val="bottom"/>
          </w:tcPr>
          <w:p w:rsidRPr="009C48DA" w:rsidR="00906792" w:rsidP="00906792" w:rsidRDefault="00906792" w14:paraId="2532CC13" w14:textId="77777777">
            <w:pPr>
              <w:keepNext/>
              <w:rPr>
                <w:rFonts w:eastAsia="Calibri" w:cs="Times New Roman"/>
                <w:b/>
                <w:sz w:val="20"/>
                <w:szCs w:val="20"/>
                <w:lang w:val="en-GB"/>
              </w:rPr>
            </w:pPr>
          </w:p>
        </w:tc>
        <w:tc>
          <w:tcPr>
            <w:tcW w:w="3113" w:type="dxa"/>
            <w:gridSpan w:val="2"/>
            <w:shd w:val="clear" w:color="auto" w:fill="auto"/>
          </w:tcPr>
          <w:p w:rsidRPr="009C48DA" w:rsidR="00906792" w:rsidP="00906792" w:rsidRDefault="00906792" w14:paraId="28CBADA0" w14:textId="77777777">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For the three months ended 31 March</w:t>
            </w:r>
          </w:p>
        </w:tc>
      </w:tr>
      <w:tr w:rsidRPr="009C48DA" w:rsidR="00906792" w:rsidTr="00906792" w14:paraId="39AA9EDF" w14:textId="77777777">
        <w:trPr>
          <w:trHeight w:val="74"/>
        </w:trPr>
        <w:tc>
          <w:tcPr>
            <w:tcW w:w="5529" w:type="dxa"/>
            <w:shd w:val="clear" w:color="auto" w:fill="auto"/>
            <w:vAlign w:val="bottom"/>
          </w:tcPr>
          <w:p w:rsidRPr="009C48DA" w:rsidR="00906792" w:rsidP="00906792" w:rsidRDefault="00906792" w14:paraId="65AB5261" w14:textId="77777777">
            <w:pPr>
              <w:keepNext/>
              <w:rPr>
                <w:rFonts w:eastAsia="Calibri" w:cs="Times New Roman"/>
                <w:b/>
                <w:sz w:val="20"/>
                <w:szCs w:val="20"/>
                <w:lang w:val="en-GB"/>
              </w:rPr>
            </w:pPr>
          </w:p>
        </w:tc>
        <w:tc>
          <w:tcPr>
            <w:tcW w:w="1554" w:type="dxa"/>
            <w:shd w:val="clear" w:color="auto" w:fill="auto"/>
          </w:tcPr>
          <w:p w:rsidRPr="009C48DA" w:rsidR="00906792" w:rsidP="00906792" w:rsidRDefault="00906792" w14:paraId="78843BAF" w14:textId="77777777">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2020</w:t>
            </w:r>
          </w:p>
          <w:p w:rsidRPr="009C48DA" w:rsidR="00906792" w:rsidP="00906792" w:rsidRDefault="00906792" w14:paraId="03F2B0B9" w14:textId="77777777">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(unaudited)</w:t>
            </w:r>
          </w:p>
        </w:tc>
        <w:tc>
          <w:tcPr>
            <w:tcW w:w="1559" w:type="dxa"/>
            <w:shd w:val="clear" w:color="auto" w:fill="auto"/>
          </w:tcPr>
          <w:p w:rsidRPr="009C48DA" w:rsidR="00906792" w:rsidP="00906792" w:rsidRDefault="00906792" w14:paraId="10725E56" w14:textId="77777777">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2021</w:t>
            </w:r>
          </w:p>
          <w:p w:rsidRPr="009C48DA" w:rsidR="00906792" w:rsidP="00906792" w:rsidRDefault="00906792" w14:paraId="0E99B467" w14:textId="77777777">
            <w:pPr>
              <w:keepNext/>
              <w:pBdr>
                <w:bottom w:val="single" w:color="auto" w:sz="4" w:space="1"/>
              </w:pBdr>
              <w:jc w:val="center"/>
              <w:rPr>
                <w:rFonts w:eastAsia="Calibri" w:cs="Times New Roman"/>
                <w:b/>
                <w:sz w:val="20"/>
                <w:szCs w:val="20"/>
                <w:lang w:val="en-GB"/>
              </w:rPr>
            </w:pPr>
          </w:p>
        </w:tc>
      </w:tr>
      <w:tr w:rsidRPr="009C48DA" w:rsidR="00906792" w:rsidTr="00906792" w14:paraId="3A0806F5" w14:textId="77777777">
        <w:trPr>
          <w:trHeight w:val="74"/>
        </w:trPr>
        <w:tc>
          <w:tcPr>
            <w:tcW w:w="5529" w:type="dxa"/>
            <w:shd w:val="clear" w:color="auto" w:fill="auto"/>
            <w:vAlign w:val="bottom"/>
          </w:tcPr>
          <w:p w:rsidRPr="009C48DA" w:rsidR="00906792" w:rsidP="00906792" w:rsidRDefault="00906792" w14:paraId="619DA77A" w14:textId="77777777">
            <w:pPr>
              <w:keepNext/>
              <w:tabs>
                <w:tab w:val="right" w:leader="dot" w:pos="4628"/>
              </w:tabs>
              <w:rPr>
                <w:rFonts w:eastAsia="Calibri" w:cs="Times New Roman"/>
                <w:sz w:val="20"/>
                <w:szCs w:val="20"/>
                <w:lang w:val="en-GB"/>
              </w:rPr>
            </w:pPr>
          </w:p>
        </w:tc>
        <w:tc>
          <w:tcPr>
            <w:tcW w:w="3113" w:type="dxa"/>
            <w:gridSpan w:val="2"/>
            <w:shd w:val="clear" w:color="auto" w:fill="auto"/>
            <w:vAlign w:val="bottom"/>
          </w:tcPr>
          <w:p w:rsidRPr="009C48DA" w:rsidR="00906792" w:rsidP="00906792" w:rsidRDefault="00906792" w14:paraId="782EE4AF" w14:textId="77777777">
            <w:pPr>
              <w:keepNext/>
              <w:jc w:val="center"/>
              <w:rPr>
                <w:rFonts w:eastAsia="Calibri" w:cs="Times New Roman"/>
                <w:sz w:val="20"/>
                <w:szCs w:val="20"/>
                <w:lang w:val="en-GB"/>
              </w:rPr>
            </w:pPr>
            <w:r w:rsidRPr="009C48DA">
              <w:rPr>
                <w:rFonts w:eastAsia="Calibri" w:cs="Times New Roman"/>
                <w:sz w:val="20"/>
                <w:szCs w:val="20"/>
                <w:lang w:val="en-GB"/>
              </w:rPr>
              <w:t>(£ in millions)</w:t>
            </w:r>
          </w:p>
        </w:tc>
      </w:tr>
      <w:tr w:rsidRPr="009C48DA" w:rsidR="00906792" w:rsidTr="00906792" w14:paraId="27A61096" w14:textId="77777777">
        <w:tc>
          <w:tcPr>
            <w:tcW w:w="5529" w:type="dxa"/>
            <w:shd w:val="clear" w:color="auto" w:fill="auto"/>
            <w:vAlign w:val="bottom"/>
          </w:tcPr>
          <w:p w:rsidRPr="009C48DA" w:rsidR="00906792" w:rsidP="00906792" w:rsidRDefault="00906792" w14:paraId="60FFC8BB" w14:textId="77777777">
            <w:pPr>
              <w:keepNext/>
              <w:tabs>
                <w:tab w:val="left" w:leader="dot" w:pos="5305"/>
              </w:tabs>
              <w:rPr>
                <w:rFonts w:eastAsia="Calibri" w:cs="Times New Roman"/>
                <w:sz w:val="20"/>
                <w:szCs w:val="20"/>
                <w:lang w:val="en-GB"/>
              </w:rPr>
            </w:pPr>
            <w:r w:rsidRPr="009C48DA">
              <w:rPr>
                <w:rFonts w:eastAsia="Calibri" w:cs="Times New Roman"/>
                <w:sz w:val="20"/>
                <w:szCs w:val="20"/>
                <w:lang w:val="en-GB"/>
              </w:rPr>
              <w:t>Management fees</w:t>
            </w:r>
            <w:r w:rsidRPr="009C48DA">
              <w:rPr>
                <w:rFonts w:eastAsia="Calibri" w:cs="Times New Roman"/>
                <w:sz w:val="20"/>
                <w:szCs w:val="20"/>
                <w:lang w:val="en-GB"/>
              </w:rPr>
              <w:tab/>
            </w:r>
          </w:p>
        </w:tc>
        <w:tc>
          <w:tcPr>
            <w:tcW w:w="1554" w:type="dxa"/>
            <w:shd w:val="clear" w:color="auto" w:fill="auto"/>
            <w:vAlign w:val="bottom"/>
          </w:tcPr>
          <w:p w:rsidRPr="009C48DA" w:rsidR="00906792" w:rsidP="00906792" w:rsidRDefault="00906792" w14:paraId="4FC4A512" w14:textId="77777777">
            <w:pPr>
              <w:jc w:val="right"/>
              <w:rPr>
                <w:rFonts w:eastAsia="Calibri" w:cs="Arial"/>
                <w:sz w:val="20"/>
                <w:szCs w:val="20"/>
                <w:lang w:val="en-GB"/>
              </w:rPr>
            </w:pPr>
            <w:r w:rsidRPr="009C48DA">
              <w:rPr>
                <w:rFonts w:eastAsia="Calibri" w:cs="Arial"/>
                <w:sz w:val="20"/>
                <w:szCs w:val="20"/>
                <w:lang w:val="en-GB"/>
              </w:rPr>
              <w:t>35.4</w:t>
            </w:r>
          </w:p>
        </w:tc>
        <w:tc>
          <w:tcPr>
            <w:tcW w:w="1559" w:type="dxa"/>
            <w:shd w:val="clear" w:color="auto" w:fill="auto"/>
            <w:vAlign w:val="bottom"/>
          </w:tcPr>
          <w:p w:rsidRPr="009C48DA" w:rsidR="00906792" w:rsidP="00906792" w:rsidRDefault="00906792" w14:paraId="45FD7609" w14:textId="77777777">
            <w:pPr>
              <w:jc w:val="right"/>
              <w:rPr>
                <w:rFonts w:eastAsia="Calibri" w:cs="Arial"/>
                <w:sz w:val="20"/>
                <w:szCs w:val="20"/>
                <w:lang w:val="en-GB"/>
              </w:rPr>
            </w:pPr>
            <w:r w:rsidRPr="009C48DA">
              <w:rPr>
                <w:rFonts w:eastAsia="Calibri" w:cs="Arial"/>
                <w:sz w:val="20"/>
                <w:szCs w:val="20"/>
                <w:lang w:val="en-GB"/>
              </w:rPr>
              <w:t>48.1</w:t>
            </w:r>
          </w:p>
        </w:tc>
      </w:tr>
      <w:tr w:rsidRPr="009C48DA" w:rsidR="00906792" w:rsidTr="00906792" w14:paraId="72E4A6F9" w14:textId="77777777">
        <w:tc>
          <w:tcPr>
            <w:tcW w:w="5529" w:type="dxa"/>
            <w:shd w:val="clear" w:color="auto" w:fill="auto"/>
            <w:vAlign w:val="bottom"/>
          </w:tcPr>
          <w:p w:rsidRPr="009C48DA" w:rsidR="00906792" w:rsidP="00906792" w:rsidRDefault="00906792" w14:paraId="28D711C0" w14:textId="77777777">
            <w:pPr>
              <w:keepNext/>
              <w:tabs>
                <w:tab w:val="left" w:leader="dot" w:pos="5305"/>
              </w:tabs>
              <w:rPr>
                <w:rFonts w:eastAsia="Calibri" w:cs="Times New Roman"/>
                <w:sz w:val="20"/>
                <w:szCs w:val="20"/>
                <w:lang w:val="en-GB"/>
              </w:rPr>
            </w:pPr>
            <w:r w:rsidRPr="009C48DA">
              <w:rPr>
                <w:rFonts w:eastAsia="Calibri" w:cs="Times New Roman"/>
                <w:sz w:val="20"/>
                <w:szCs w:val="20"/>
                <w:lang w:val="en-GB"/>
              </w:rPr>
              <w:t>Carried interest</w:t>
            </w:r>
          </w:p>
        </w:tc>
        <w:tc>
          <w:tcPr>
            <w:tcW w:w="1554" w:type="dxa"/>
            <w:shd w:val="clear" w:color="auto" w:fill="auto"/>
            <w:vAlign w:val="bottom"/>
          </w:tcPr>
          <w:p w:rsidRPr="009C48DA" w:rsidR="00906792" w:rsidP="00906792" w:rsidRDefault="00906792" w14:paraId="5DD0C29F" w14:textId="77777777">
            <w:pPr>
              <w:jc w:val="right"/>
              <w:rPr>
                <w:rFonts w:eastAsia="Calibri" w:cs="Arial"/>
                <w:sz w:val="20"/>
                <w:szCs w:val="20"/>
                <w:lang w:val="en-GB"/>
              </w:rPr>
            </w:pPr>
            <w:r w:rsidRPr="009C48DA">
              <w:rPr>
                <w:rFonts w:eastAsia="Calibri" w:cs="Arial"/>
                <w:sz w:val="20"/>
                <w:szCs w:val="20"/>
                <w:lang w:val="en-GB"/>
              </w:rPr>
              <w:t>0.6</w:t>
            </w:r>
          </w:p>
        </w:tc>
        <w:tc>
          <w:tcPr>
            <w:tcW w:w="1559" w:type="dxa"/>
            <w:shd w:val="clear" w:color="auto" w:fill="auto"/>
            <w:vAlign w:val="bottom"/>
          </w:tcPr>
          <w:p w:rsidRPr="009C48DA" w:rsidR="00906792" w:rsidP="00906792" w:rsidRDefault="00906792" w14:paraId="2CC73FBB" w14:textId="77777777">
            <w:pPr>
              <w:jc w:val="right"/>
              <w:rPr>
                <w:rFonts w:eastAsia="Calibri" w:cs="Arial"/>
                <w:sz w:val="20"/>
                <w:szCs w:val="20"/>
                <w:lang w:val="en-GB"/>
              </w:rPr>
            </w:pPr>
            <w:r w:rsidRPr="009C48DA">
              <w:rPr>
                <w:rFonts w:eastAsia="Calibri" w:cs="Arial"/>
                <w:sz w:val="20"/>
                <w:szCs w:val="20"/>
                <w:lang w:val="en-GB"/>
              </w:rPr>
              <w:t>(0.7)</w:t>
            </w:r>
          </w:p>
        </w:tc>
      </w:tr>
      <w:tr w:rsidRPr="009C48DA" w:rsidR="00906792" w:rsidTr="00906792" w14:paraId="16634858" w14:textId="77777777">
        <w:tc>
          <w:tcPr>
            <w:tcW w:w="5529" w:type="dxa"/>
            <w:shd w:val="clear" w:color="auto" w:fill="auto"/>
            <w:vAlign w:val="bottom"/>
          </w:tcPr>
          <w:p w:rsidRPr="009C48DA" w:rsidR="00906792" w:rsidP="00906792" w:rsidRDefault="00906792" w14:paraId="48E68795" w14:textId="77777777">
            <w:pPr>
              <w:keepNext/>
              <w:tabs>
                <w:tab w:val="left" w:leader="dot" w:pos="5305"/>
              </w:tabs>
              <w:rPr>
                <w:rFonts w:eastAsia="Calibri" w:cs="Times New Roman"/>
                <w:sz w:val="20"/>
                <w:szCs w:val="20"/>
                <w:lang w:val="en-GB"/>
              </w:rPr>
            </w:pPr>
            <w:r w:rsidRPr="009C48DA">
              <w:rPr>
                <w:rFonts w:eastAsia="Calibri" w:cs="Times New Roman"/>
                <w:sz w:val="20"/>
                <w:szCs w:val="20"/>
                <w:lang w:val="en-GB"/>
              </w:rPr>
              <w:t>Fair value remeasurement of investments</w:t>
            </w:r>
            <w:r w:rsidRPr="009C48DA">
              <w:rPr>
                <w:rFonts w:eastAsia="Calibri" w:cs="Arial"/>
                <w:sz w:val="20"/>
                <w:szCs w:val="20"/>
                <w:lang w:val="en-GB"/>
              </w:rPr>
              <w:tab/>
            </w:r>
          </w:p>
        </w:tc>
        <w:tc>
          <w:tcPr>
            <w:tcW w:w="1554" w:type="dxa"/>
            <w:shd w:val="clear" w:color="auto" w:fill="auto"/>
            <w:vAlign w:val="bottom"/>
          </w:tcPr>
          <w:p w:rsidRPr="009C48DA" w:rsidR="00906792" w:rsidP="00906792" w:rsidRDefault="00906792" w14:paraId="4EEC32F9" w14:textId="77777777">
            <w:pPr>
              <w:jc w:val="right"/>
              <w:rPr>
                <w:rFonts w:eastAsia="Calibri" w:cs="Arial"/>
                <w:sz w:val="20"/>
                <w:szCs w:val="20"/>
                <w:lang w:val="en-GB"/>
              </w:rPr>
            </w:pPr>
            <w:r w:rsidRPr="009C48DA">
              <w:rPr>
                <w:rFonts w:eastAsia="Calibri" w:cs="Arial"/>
                <w:sz w:val="20"/>
                <w:szCs w:val="20"/>
                <w:lang w:val="en-GB"/>
              </w:rPr>
              <w:t>(7.9)</w:t>
            </w:r>
          </w:p>
        </w:tc>
        <w:tc>
          <w:tcPr>
            <w:tcW w:w="1559" w:type="dxa"/>
            <w:shd w:val="clear" w:color="auto" w:fill="auto"/>
            <w:vAlign w:val="bottom"/>
          </w:tcPr>
          <w:p w:rsidRPr="009C48DA" w:rsidR="00906792" w:rsidP="00906792" w:rsidRDefault="00906792" w14:paraId="566C5E1C" w14:textId="77777777">
            <w:pPr>
              <w:jc w:val="right"/>
              <w:rPr>
                <w:rFonts w:eastAsia="Calibri" w:cs="Arial"/>
                <w:sz w:val="20"/>
                <w:szCs w:val="20"/>
                <w:lang w:val="en-GB"/>
              </w:rPr>
            </w:pPr>
            <w:r w:rsidRPr="009C48DA">
              <w:rPr>
                <w:rFonts w:eastAsia="Calibri" w:cs="Arial"/>
                <w:sz w:val="20"/>
                <w:szCs w:val="20"/>
                <w:lang w:val="en-GB"/>
              </w:rPr>
              <w:t>13.6</w:t>
            </w:r>
          </w:p>
        </w:tc>
      </w:tr>
      <w:tr w:rsidRPr="009C48DA" w:rsidR="00906792" w:rsidTr="00906792" w14:paraId="118CEBFB" w14:textId="77777777">
        <w:tc>
          <w:tcPr>
            <w:tcW w:w="5529" w:type="dxa"/>
            <w:shd w:val="clear" w:color="auto" w:fill="auto"/>
            <w:vAlign w:val="bottom"/>
          </w:tcPr>
          <w:p w:rsidRPr="009C48DA" w:rsidR="00906792" w:rsidP="00906792" w:rsidRDefault="00906792" w14:paraId="79DB0838" w14:textId="77777777">
            <w:pPr>
              <w:tabs>
                <w:tab w:val="left" w:leader="dot" w:pos="5305"/>
              </w:tabs>
              <w:rPr>
                <w:rFonts w:eastAsia="Calibri" w:cs="Times New Roman"/>
                <w:sz w:val="20"/>
                <w:szCs w:val="20"/>
                <w:lang w:val="en-GB"/>
              </w:rPr>
            </w:pPr>
            <w:r w:rsidRPr="009C48DA">
              <w:rPr>
                <w:rFonts w:eastAsia="Calibri" w:cs="Times New Roman"/>
                <w:sz w:val="20"/>
                <w:szCs w:val="20"/>
                <w:lang w:val="en-GB"/>
              </w:rPr>
              <w:t>Other operating income</w:t>
            </w:r>
            <w:r w:rsidRPr="009C48DA">
              <w:rPr>
                <w:rFonts w:eastAsia="Calibri" w:cs="Arial"/>
                <w:sz w:val="20"/>
                <w:szCs w:val="20"/>
                <w:lang w:val="en-GB"/>
              </w:rPr>
              <w:tab/>
            </w:r>
          </w:p>
        </w:tc>
        <w:tc>
          <w:tcPr>
            <w:tcW w:w="1554" w:type="dxa"/>
            <w:shd w:val="clear" w:color="auto" w:fill="auto"/>
            <w:vAlign w:val="bottom"/>
          </w:tcPr>
          <w:p w:rsidRPr="009C48DA" w:rsidR="00906792" w:rsidP="00906792" w:rsidRDefault="00906792" w14:paraId="62D74BA5"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0.4</w:t>
            </w:r>
          </w:p>
        </w:tc>
        <w:tc>
          <w:tcPr>
            <w:tcW w:w="1559" w:type="dxa"/>
            <w:shd w:val="clear" w:color="auto" w:fill="auto"/>
            <w:vAlign w:val="bottom"/>
          </w:tcPr>
          <w:p w:rsidRPr="009C48DA" w:rsidR="00906792" w:rsidP="00906792" w:rsidRDefault="00906792" w14:paraId="787DEA28"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0.4</w:t>
            </w:r>
          </w:p>
        </w:tc>
      </w:tr>
      <w:tr w:rsidRPr="009C48DA" w:rsidR="00906792" w:rsidTr="00906792" w14:paraId="1FCD2361" w14:textId="77777777">
        <w:tc>
          <w:tcPr>
            <w:tcW w:w="5529" w:type="dxa"/>
            <w:shd w:val="clear" w:color="auto" w:fill="auto"/>
            <w:vAlign w:val="bottom"/>
          </w:tcPr>
          <w:p w:rsidRPr="009C48DA" w:rsidR="00906792" w:rsidP="00906792" w:rsidRDefault="00906792" w14:paraId="6645C1F1" w14:textId="77777777">
            <w:pPr>
              <w:tabs>
                <w:tab w:val="left" w:leader="dot" w:pos="5305"/>
              </w:tabs>
              <w:rPr>
                <w:rFonts w:eastAsia="Calibri" w:cs="Times New Roman"/>
                <w:b/>
                <w:sz w:val="20"/>
                <w:szCs w:val="20"/>
                <w:lang w:val="en-GB"/>
              </w:rPr>
            </w:pPr>
            <w:r w:rsidRPr="009C48DA">
              <w:rPr>
                <w:rFonts w:eastAsia="Calibri" w:cs="Times New Roman"/>
                <w:b/>
                <w:sz w:val="20"/>
                <w:szCs w:val="20"/>
                <w:lang w:val="en-GB"/>
              </w:rPr>
              <w:t>Total operating income</w:t>
            </w:r>
            <w:r w:rsidRPr="009C48DA">
              <w:rPr>
                <w:rFonts w:eastAsia="Calibri" w:cs="Times New Roman"/>
                <w:sz w:val="20"/>
                <w:szCs w:val="20"/>
                <w:lang w:val="en-GB"/>
              </w:rPr>
              <w:tab/>
            </w:r>
          </w:p>
        </w:tc>
        <w:tc>
          <w:tcPr>
            <w:tcW w:w="1554" w:type="dxa"/>
            <w:shd w:val="clear" w:color="auto" w:fill="auto"/>
            <w:vAlign w:val="bottom"/>
          </w:tcPr>
          <w:p w:rsidRPr="009C48DA" w:rsidR="00906792" w:rsidP="00906792" w:rsidRDefault="00906792" w14:paraId="1D2E1883" w14:textId="77777777">
            <w:pPr>
              <w:jc w:val="right"/>
              <w:rPr>
                <w:rFonts w:eastAsia="Calibri" w:cs="Arial"/>
                <w:b/>
                <w:sz w:val="20"/>
                <w:szCs w:val="20"/>
                <w:lang w:val="en-GB"/>
              </w:rPr>
            </w:pPr>
            <w:r w:rsidRPr="009C48DA">
              <w:rPr>
                <w:rFonts w:eastAsia="Calibri" w:cs="Arial"/>
                <w:b/>
                <w:sz w:val="20"/>
                <w:szCs w:val="20"/>
                <w:lang w:val="en-GB"/>
              </w:rPr>
              <w:t>28.4</w:t>
            </w:r>
          </w:p>
        </w:tc>
        <w:tc>
          <w:tcPr>
            <w:tcW w:w="1559" w:type="dxa"/>
            <w:shd w:val="clear" w:color="auto" w:fill="auto"/>
            <w:vAlign w:val="bottom"/>
          </w:tcPr>
          <w:p w:rsidRPr="009C48DA" w:rsidR="00906792" w:rsidP="00906792" w:rsidRDefault="00906792" w14:paraId="0C6F2AE4" w14:textId="77777777">
            <w:pPr>
              <w:jc w:val="right"/>
              <w:rPr>
                <w:rFonts w:eastAsia="Calibri" w:cs="Arial"/>
                <w:b/>
                <w:sz w:val="20"/>
                <w:szCs w:val="20"/>
                <w:lang w:val="en-GB"/>
              </w:rPr>
            </w:pPr>
            <w:r w:rsidRPr="009C48DA">
              <w:rPr>
                <w:rFonts w:eastAsia="Calibri" w:cs="Arial"/>
                <w:b/>
                <w:sz w:val="20"/>
                <w:szCs w:val="20"/>
                <w:lang w:val="en-GB"/>
              </w:rPr>
              <w:t>61.4</w:t>
            </w:r>
          </w:p>
        </w:tc>
      </w:tr>
      <w:tr w:rsidRPr="009C48DA" w:rsidR="00906792" w:rsidTr="00906792" w14:paraId="2F4D8E82" w14:textId="77777777">
        <w:tc>
          <w:tcPr>
            <w:tcW w:w="5529" w:type="dxa"/>
            <w:shd w:val="clear" w:color="auto" w:fill="auto"/>
            <w:vAlign w:val="bottom"/>
          </w:tcPr>
          <w:p w:rsidRPr="009C48DA" w:rsidR="00906792" w:rsidP="00906792" w:rsidRDefault="00906792" w14:paraId="1BD2FCB5" w14:textId="77777777">
            <w:pPr>
              <w:tabs>
                <w:tab w:val="left" w:leader="dot" w:pos="5305"/>
              </w:tabs>
              <w:rPr>
                <w:rFonts w:eastAsia="Calibri" w:cs="Times New Roman"/>
                <w:sz w:val="20"/>
                <w:szCs w:val="20"/>
                <w:lang w:val="en-GB"/>
              </w:rPr>
            </w:pPr>
            <w:r w:rsidRPr="009C48DA">
              <w:rPr>
                <w:rFonts w:eastAsia="Calibri" w:cs="Times New Roman"/>
                <w:sz w:val="20"/>
                <w:szCs w:val="20"/>
                <w:lang w:val="en-GB"/>
              </w:rPr>
              <w:t>Personnel expenses</w:t>
            </w:r>
            <w:r w:rsidRPr="009C48DA">
              <w:rPr>
                <w:rFonts w:eastAsia="Calibri" w:cs="Times New Roman"/>
                <w:sz w:val="20"/>
                <w:szCs w:val="20"/>
                <w:lang w:val="en-GB"/>
              </w:rPr>
              <w:tab/>
            </w:r>
          </w:p>
        </w:tc>
        <w:tc>
          <w:tcPr>
            <w:tcW w:w="1554" w:type="dxa"/>
            <w:shd w:val="clear" w:color="auto" w:fill="auto"/>
            <w:vAlign w:val="bottom"/>
          </w:tcPr>
          <w:p w:rsidRPr="009C48DA" w:rsidR="00906792" w:rsidP="00906792" w:rsidRDefault="00906792" w14:paraId="083575A3" w14:textId="77777777">
            <w:pPr>
              <w:jc w:val="right"/>
              <w:rPr>
                <w:rFonts w:eastAsia="Calibri" w:cs="Arial"/>
                <w:sz w:val="20"/>
                <w:szCs w:val="20"/>
                <w:lang w:val="en-GB"/>
              </w:rPr>
            </w:pPr>
            <w:r w:rsidRPr="009C48DA">
              <w:rPr>
                <w:rFonts w:eastAsia="Calibri" w:cs="Arial"/>
                <w:sz w:val="20"/>
                <w:szCs w:val="20"/>
                <w:lang w:val="en-GB"/>
              </w:rPr>
              <w:t>(20.5)</w:t>
            </w:r>
          </w:p>
        </w:tc>
        <w:tc>
          <w:tcPr>
            <w:tcW w:w="1559" w:type="dxa"/>
            <w:shd w:val="clear" w:color="auto" w:fill="auto"/>
            <w:vAlign w:val="bottom"/>
          </w:tcPr>
          <w:p w:rsidRPr="009C48DA" w:rsidR="00906792" w:rsidP="00906792" w:rsidRDefault="00906792" w14:paraId="05EEA571" w14:textId="77777777">
            <w:pPr>
              <w:jc w:val="right"/>
              <w:rPr>
                <w:rFonts w:eastAsia="Calibri" w:cs="Arial"/>
                <w:sz w:val="20"/>
                <w:szCs w:val="20"/>
                <w:lang w:val="en-GB"/>
              </w:rPr>
            </w:pPr>
            <w:r w:rsidRPr="009C48DA">
              <w:rPr>
                <w:rFonts w:eastAsia="Calibri" w:cs="Arial"/>
                <w:sz w:val="20"/>
                <w:szCs w:val="20"/>
                <w:lang w:val="en-GB"/>
              </w:rPr>
              <w:t>(27.8)</w:t>
            </w:r>
          </w:p>
        </w:tc>
      </w:tr>
      <w:tr w:rsidRPr="009C48DA" w:rsidR="00906792" w:rsidTr="00906792" w14:paraId="154CB331" w14:textId="77777777">
        <w:tc>
          <w:tcPr>
            <w:tcW w:w="5529" w:type="dxa"/>
            <w:shd w:val="clear" w:color="auto" w:fill="auto"/>
            <w:vAlign w:val="bottom"/>
          </w:tcPr>
          <w:p w:rsidRPr="009C48DA" w:rsidR="00906792" w:rsidP="00906792" w:rsidRDefault="00906792" w14:paraId="4D60DC61" w14:textId="77777777">
            <w:pPr>
              <w:tabs>
                <w:tab w:val="left" w:leader="dot" w:pos="5305"/>
              </w:tabs>
              <w:rPr>
                <w:rFonts w:eastAsia="Calibri" w:cs="Times New Roman"/>
                <w:sz w:val="20"/>
                <w:szCs w:val="20"/>
                <w:lang w:val="en-GB"/>
              </w:rPr>
            </w:pPr>
            <w:r w:rsidRPr="009C48DA">
              <w:rPr>
                <w:rFonts w:eastAsia="Calibri" w:cs="Times New Roman"/>
                <w:sz w:val="20"/>
                <w:szCs w:val="20"/>
                <w:lang w:val="en-GB"/>
              </w:rPr>
              <w:t>Other expenses</w:t>
            </w:r>
            <w:r w:rsidRPr="009C48DA">
              <w:rPr>
                <w:rFonts w:eastAsia="Calibri" w:cs="Arial"/>
                <w:sz w:val="20"/>
                <w:szCs w:val="20"/>
                <w:lang w:val="en-GB"/>
              </w:rPr>
              <w:tab/>
            </w:r>
          </w:p>
        </w:tc>
        <w:tc>
          <w:tcPr>
            <w:tcW w:w="1554" w:type="dxa"/>
            <w:shd w:val="clear" w:color="auto" w:fill="auto"/>
            <w:vAlign w:val="bottom"/>
          </w:tcPr>
          <w:p w:rsidRPr="009C48DA" w:rsidR="00906792" w:rsidP="00906792" w:rsidRDefault="00906792" w14:paraId="17F35633" w14:textId="77777777">
            <w:pPr>
              <w:jc w:val="right"/>
              <w:rPr>
                <w:rFonts w:eastAsia="Calibri" w:cs="Arial"/>
                <w:sz w:val="20"/>
                <w:szCs w:val="20"/>
                <w:lang w:val="en-GB"/>
              </w:rPr>
            </w:pPr>
            <w:r w:rsidRPr="009C48DA">
              <w:rPr>
                <w:rFonts w:eastAsia="Calibri" w:cs="Arial"/>
                <w:sz w:val="20"/>
                <w:szCs w:val="20"/>
                <w:lang w:val="en-GB"/>
              </w:rPr>
              <w:t>(7.1)</w:t>
            </w:r>
          </w:p>
        </w:tc>
        <w:tc>
          <w:tcPr>
            <w:tcW w:w="1559" w:type="dxa"/>
            <w:shd w:val="clear" w:color="auto" w:fill="auto"/>
            <w:vAlign w:val="bottom"/>
          </w:tcPr>
          <w:p w:rsidRPr="009C48DA" w:rsidR="00906792" w:rsidP="00906792" w:rsidRDefault="00906792" w14:paraId="6D3E97A6" w14:textId="77777777">
            <w:pPr>
              <w:jc w:val="right"/>
              <w:rPr>
                <w:rFonts w:eastAsia="Calibri" w:cs="Arial"/>
                <w:sz w:val="20"/>
                <w:szCs w:val="20"/>
                <w:lang w:val="en-GB"/>
              </w:rPr>
            </w:pPr>
            <w:r w:rsidRPr="009C48DA">
              <w:rPr>
                <w:rFonts w:eastAsia="Calibri" w:cs="Arial"/>
                <w:sz w:val="20"/>
                <w:szCs w:val="20"/>
                <w:lang w:val="en-GB"/>
              </w:rPr>
              <w:t>(7.2)</w:t>
            </w:r>
          </w:p>
        </w:tc>
      </w:tr>
      <w:tr w:rsidRPr="009C48DA" w:rsidR="00906792" w:rsidTr="00906792" w14:paraId="64ED4FDF" w14:textId="77777777">
        <w:tc>
          <w:tcPr>
            <w:tcW w:w="5529" w:type="dxa"/>
            <w:shd w:val="clear" w:color="auto" w:fill="auto"/>
            <w:vAlign w:val="bottom"/>
          </w:tcPr>
          <w:p w:rsidRPr="009C48DA" w:rsidR="00906792" w:rsidP="00906792" w:rsidRDefault="00906792" w14:paraId="3A832A41" w14:textId="77777777">
            <w:pPr>
              <w:tabs>
                <w:tab w:val="left" w:leader="dot" w:pos="5305"/>
              </w:tabs>
              <w:rPr>
                <w:rFonts w:eastAsia="Calibri" w:cs="Times New Roman"/>
                <w:sz w:val="20"/>
                <w:szCs w:val="20"/>
                <w:lang w:val="en-GB"/>
              </w:rPr>
            </w:pPr>
            <w:r w:rsidRPr="009C48DA">
              <w:rPr>
                <w:rFonts w:eastAsia="Calibri" w:cs="Times New Roman"/>
                <w:sz w:val="20"/>
                <w:szCs w:val="20"/>
                <w:lang w:val="en-GB"/>
              </w:rPr>
              <w:t>Foreign exchange (losses) / gains</w:t>
            </w:r>
            <w:r w:rsidRPr="009C48DA">
              <w:rPr>
                <w:rFonts w:eastAsia="Calibri" w:cs="Arial"/>
                <w:sz w:val="20"/>
                <w:szCs w:val="20"/>
                <w:lang w:val="en-GB"/>
              </w:rPr>
              <w:tab/>
            </w:r>
          </w:p>
        </w:tc>
        <w:tc>
          <w:tcPr>
            <w:tcW w:w="1554" w:type="dxa"/>
            <w:shd w:val="clear" w:color="auto" w:fill="auto"/>
            <w:vAlign w:val="bottom"/>
          </w:tcPr>
          <w:p w:rsidRPr="009C48DA" w:rsidR="00906792" w:rsidP="00906792" w:rsidRDefault="00906792" w14:paraId="54F8D614" w14:textId="77777777">
            <w:pPr>
              <w:jc w:val="right"/>
              <w:rPr>
                <w:rFonts w:eastAsia="Calibri" w:cs="Arial"/>
                <w:sz w:val="20"/>
                <w:szCs w:val="20"/>
                <w:lang w:val="en-GB"/>
              </w:rPr>
            </w:pPr>
            <w:r w:rsidRPr="009C48DA">
              <w:rPr>
                <w:rFonts w:eastAsia="Calibri" w:cs="Arial"/>
                <w:sz w:val="20"/>
                <w:szCs w:val="20"/>
                <w:lang w:val="en-GB"/>
              </w:rPr>
              <w:t>(1.3)</w:t>
            </w:r>
          </w:p>
        </w:tc>
        <w:tc>
          <w:tcPr>
            <w:tcW w:w="1559" w:type="dxa"/>
            <w:shd w:val="clear" w:color="auto" w:fill="auto"/>
            <w:vAlign w:val="bottom"/>
          </w:tcPr>
          <w:p w:rsidRPr="009C48DA" w:rsidR="00906792" w:rsidP="00906792" w:rsidRDefault="00906792" w14:paraId="6939AEA1" w14:textId="77777777">
            <w:pPr>
              <w:jc w:val="right"/>
              <w:rPr>
                <w:rFonts w:eastAsia="Calibri" w:cs="Arial"/>
                <w:sz w:val="20"/>
                <w:szCs w:val="20"/>
                <w:lang w:val="en-GB"/>
              </w:rPr>
            </w:pPr>
            <w:r w:rsidRPr="009C48DA">
              <w:rPr>
                <w:rFonts w:eastAsia="Calibri" w:cs="Arial"/>
                <w:sz w:val="20"/>
                <w:szCs w:val="20"/>
                <w:lang w:val="en-GB"/>
              </w:rPr>
              <w:t>1.2</w:t>
            </w:r>
          </w:p>
        </w:tc>
      </w:tr>
      <w:tr w:rsidRPr="009C48DA" w:rsidR="00906792" w:rsidTr="00906792" w14:paraId="6F727D5D" w14:textId="77777777">
        <w:tc>
          <w:tcPr>
            <w:tcW w:w="5529" w:type="dxa"/>
            <w:shd w:val="clear" w:color="auto" w:fill="auto"/>
            <w:vAlign w:val="bottom"/>
          </w:tcPr>
          <w:p w:rsidRPr="009C48DA" w:rsidR="00906792" w:rsidDel="008E0499" w:rsidP="00906792" w:rsidRDefault="00906792" w14:paraId="7F1E01BD" w14:textId="77777777">
            <w:pPr>
              <w:tabs>
                <w:tab w:val="left" w:leader="dot" w:pos="5305"/>
              </w:tabs>
              <w:rPr>
                <w:rFonts w:eastAsia="Calibri" w:cs="Times New Roman"/>
                <w:b/>
                <w:sz w:val="20"/>
                <w:szCs w:val="20"/>
                <w:lang w:val="en-GB"/>
              </w:rPr>
            </w:pPr>
            <w:r w:rsidRPr="009C48DA">
              <w:rPr>
                <w:rFonts w:eastAsia="Calibri" w:cs="Times New Roman"/>
                <w:b/>
                <w:sz w:val="20"/>
                <w:szCs w:val="20"/>
                <w:lang w:val="en-GB"/>
              </w:rPr>
              <w:t>EBITDA</w:t>
            </w:r>
            <w:r w:rsidRPr="009C48DA">
              <w:rPr>
                <w:rFonts w:eastAsia="Calibri" w:cs="Arial"/>
                <w:sz w:val="20"/>
                <w:szCs w:val="20"/>
                <w:lang w:val="en-GB"/>
              </w:rPr>
              <w:tab/>
            </w:r>
          </w:p>
        </w:tc>
        <w:tc>
          <w:tcPr>
            <w:tcW w:w="1554" w:type="dxa"/>
            <w:shd w:val="clear" w:color="auto" w:fill="auto"/>
            <w:vAlign w:val="bottom"/>
          </w:tcPr>
          <w:p w:rsidRPr="009C48DA" w:rsidR="00906792" w:rsidP="00906792" w:rsidRDefault="00906792" w14:paraId="3D35A6CC" w14:textId="77777777">
            <w:pPr>
              <w:pBdr>
                <w:top w:val="single" w:color="auto" w:sz="4" w:space="1"/>
              </w:pBdr>
              <w:jc w:val="right"/>
              <w:rPr>
                <w:rFonts w:eastAsia="Calibri" w:cs="Arial"/>
                <w:b/>
                <w:sz w:val="20"/>
                <w:szCs w:val="20"/>
                <w:lang w:val="en-GB"/>
              </w:rPr>
            </w:pPr>
            <w:r w:rsidRPr="009C48DA">
              <w:rPr>
                <w:rFonts w:eastAsia="Calibri" w:cs="Arial"/>
                <w:b/>
                <w:sz w:val="20"/>
                <w:szCs w:val="20"/>
                <w:lang w:val="en-GB"/>
              </w:rPr>
              <w:t>(0.5)</w:t>
            </w:r>
          </w:p>
        </w:tc>
        <w:tc>
          <w:tcPr>
            <w:tcW w:w="1559" w:type="dxa"/>
            <w:shd w:val="clear" w:color="auto" w:fill="auto"/>
            <w:vAlign w:val="bottom"/>
          </w:tcPr>
          <w:p w:rsidRPr="009C48DA" w:rsidR="00906792" w:rsidP="00906792" w:rsidRDefault="00906792" w14:paraId="4E4CB2C1" w14:textId="77777777">
            <w:pPr>
              <w:pBdr>
                <w:top w:val="single" w:color="auto" w:sz="4" w:space="1"/>
              </w:pBdr>
              <w:jc w:val="right"/>
              <w:rPr>
                <w:rFonts w:eastAsia="Calibri" w:cs="Arial"/>
                <w:b/>
                <w:sz w:val="20"/>
                <w:szCs w:val="20"/>
                <w:lang w:val="en-GB"/>
              </w:rPr>
            </w:pPr>
            <w:r w:rsidRPr="009C48DA">
              <w:rPr>
                <w:rFonts w:eastAsia="Calibri" w:cs="Arial"/>
                <w:b/>
                <w:sz w:val="20"/>
                <w:szCs w:val="20"/>
                <w:lang w:val="en-GB"/>
              </w:rPr>
              <w:t>27.7</w:t>
            </w:r>
          </w:p>
        </w:tc>
      </w:tr>
      <w:tr w:rsidRPr="009C48DA" w:rsidR="00906792" w:rsidTr="00906792" w14:paraId="1109E1D8" w14:textId="77777777">
        <w:tc>
          <w:tcPr>
            <w:tcW w:w="5529" w:type="dxa"/>
            <w:shd w:val="clear" w:color="auto" w:fill="auto"/>
            <w:vAlign w:val="bottom"/>
          </w:tcPr>
          <w:p w:rsidRPr="009C48DA" w:rsidR="00906792" w:rsidP="00906792" w:rsidRDefault="00906792" w14:paraId="16403E2A" w14:textId="77777777">
            <w:pPr>
              <w:tabs>
                <w:tab w:val="left" w:leader="dot" w:pos="5305"/>
              </w:tabs>
              <w:ind w:left="176"/>
              <w:rPr>
                <w:rFonts w:eastAsia="Calibri" w:cs="Times New Roman"/>
                <w:i/>
                <w:sz w:val="20"/>
                <w:szCs w:val="20"/>
                <w:lang w:val="en-GB"/>
              </w:rPr>
            </w:pPr>
            <w:r w:rsidRPr="009C48DA">
              <w:rPr>
                <w:rFonts w:eastAsia="Calibri" w:cs="Times New Roman"/>
                <w:i/>
                <w:sz w:val="20"/>
                <w:szCs w:val="20"/>
                <w:lang w:val="en-GB"/>
              </w:rPr>
              <w:t>of which: Underlying EBITDA</w:t>
            </w:r>
            <w:r w:rsidRPr="009C48DA">
              <w:rPr>
                <w:rFonts w:eastAsia="Calibri" w:cs="Times New Roman"/>
                <w:i/>
                <w:sz w:val="20"/>
                <w:szCs w:val="20"/>
                <w:lang w:val="en-GB"/>
              </w:rPr>
              <w:tab/>
            </w:r>
          </w:p>
        </w:tc>
        <w:tc>
          <w:tcPr>
            <w:tcW w:w="1554" w:type="dxa"/>
            <w:shd w:val="clear" w:color="auto" w:fill="auto"/>
            <w:vAlign w:val="bottom"/>
          </w:tcPr>
          <w:p w:rsidRPr="009C48DA" w:rsidR="00906792" w:rsidP="00906792" w:rsidRDefault="00906792" w14:paraId="399DA1F5" w14:textId="77777777">
            <w:pPr>
              <w:jc w:val="right"/>
              <w:rPr>
                <w:rFonts w:eastAsia="Calibri" w:cs="Arial"/>
                <w:i/>
                <w:sz w:val="20"/>
                <w:szCs w:val="20"/>
                <w:lang w:val="en-GB"/>
              </w:rPr>
            </w:pPr>
            <w:r w:rsidRPr="009C48DA">
              <w:rPr>
                <w:rFonts w:eastAsia="Calibri" w:cs="Arial"/>
                <w:i/>
                <w:sz w:val="20"/>
                <w:szCs w:val="20"/>
                <w:lang w:val="en-GB"/>
              </w:rPr>
              <w:t>(0.5)</w:t>
            </w:r>
          </w:p>
        </w:tc>
        <w:tc>
          <w:tcPr>
            <w:tcW w:w="1559" w:type="dxa"/>
            <w:shd w:val="clear" w:color="auto" w:fill="auto"/>
            <w:vAlign w:val="bottom"/>
          </w:tcPr>
          <w:p w:rsidRPr="009C48DA" w:rsidR="00906792" w:rsidP="00906792" w:rsidRDefault="00906792" w14:paraId="6F5AFF87" w14:textId="77777777">
            <w:pPr>
              <w:jc w:val="right"/>
              <w:rPr>
                <w:rFonts w:eastAsia="Calibri" w:cs="Arial"/>
                <w:i/>
                <w:sz w:val="20"/>
                <w:szCs w:val="20"/>
                <w:lang w:val="en-GB"/>
              </w:rPr>
            </w:pPr>
            <w:r w:rsidRPr="009C48DA">
              <w:rPr>
                <w:rFonts w:eastAsia="Calibri" w:cs="Arial"/>
                <w:i/>
                <w:sz w:val="20"/>
                <w:szCs w:val="20"/>
                <w:lang w:val="en-GB"/>
              </w:rPr>
              <w:t>27.7</w:t>
            </w:r>
          </w:p>
        </w:tc>
      </w:tr>
      <w:tr w:rsidRPr="009C48DA" w:rsidR="00906792" w:rsidTr="00906792" w14:paraId="12A2CB0D" w14:textId="77777777">
        <w:tc>
          <w:tcPr>
            <w:tcW w:w="5529" w:type="dxa"/>
            <w:shd w:val="clear" w:color="auto" w:fill="auto"/>
            <w:vAlign w:val="bottom"/>
          </w:tcPr>
          <w:p w:rsidRPr="009C48DA" w:rsidR="00906792" w:rsidP="00906792" w:rsidRDefault="00906792" w14:paraId="4329E26D" w14:textId="77777777">
            <w:pPr>
              <w:tabs>
                <w:tab w:val="left" w:leader="dot" w:pos="5305"/>
              </w:tabs>
              <w:rPr>
                <w:rFonts w:eastAsia="Calibri" w:cs="Times New Roman"/>
                <w:sz w:val="20"/>
                <w:szCs w:val="20"/>
                <w:lang w:val="en-GB"/>
              </w:rPr>
            </w:pPr>
            <w:r w:rsidRPr="009C48DA">
              <w:rPr>
                <w:rFonts w:eastAsia="Calibri" w:cs="Times New Roman"/>
                <w:sz w:val="20"/>
                <w:szCs w:val="20"/>
                <w:lang w:val="en-GB"/>
              </w:rPr>
              <w:t>Depreciation and amortisation expense</w:t>
            </w:r>
            <w:r w:rsidRPr="009C48DA">
              <w:rPr>
                <w:rFonts w:eastAsia="Calibri" w:cs="Arial"/>
                <w:sz w:val="20"/>
                <w:szCs w:val="20"/>
                <w:lang w:val="en-GB"/>
              </w:rPr>
              <w:tab/>
            </w:r>
          </w:p>
        </w:tc>
        <w:tc>
          <w:tcPr>
            <w:tcW w:w="1554" w:type="dxa"/>
            <w:shd w:val="clear" w:color="auto" w:fill="auto"/>
            <w:vAlign w:val="bottom"/>
          </w:tcPr>
          <w:p w:rsidRPr="009C48DA" w:rsidR="00906792" w:rsidP="00906792" w:rsidRDefault="00906792" w14:paraId="38E049F6"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(2.0)</w:t>
            </w:r>
          </w:p>
        </w:tc>
        <w:tc>
          <w:tcPr>
            <w:tcW w:w="1559" w:type="dxa"/>
            <w:shd w:val="clear" w:color="auto" w:fill="auto"/>
            <w:vAlign w:val="bottom"/>
          </w:tcPr>
          <w:p w:rsidRPr="009C48DA" w:rsidR="00906792" w:rsidP="00906792" w:rsidRDefault="00906792" w14:paraId="0F823E75"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(3.2)</w:t>
            </w:r>
          </w:p>
        </w:tc>
      </w:tr>
      <w:tr w:rsidRPr="009C48DA" w:rsidR="00906792" w:rsidTr="00906792" w14:paraId="3A267544" w14:textId="77777777">
        <w:tc>
          <w:tcPr>
            <w:tcW w:w="5529" w:type="dxa"/>
            <w:shd w:val="clear" w:color="auto" w:fill="auto"/>
            <w:vAlign w:val="bottom"/>
          </w:tcPr>
          <w:p w:rsidRPr="009C48DA" w:rsidR="00906792" w:rsidP="00906792" w:rsidRDefault="00906792" w14:paraId="0A545C36" w14:textId="77777777">
            <w:pPr>
              <w:tabs>
                <w:tab w:val="left" w:leader="dot" w:pos="5305"/>
              </w:tabs>
              <w:rPr>
                <w:rFonts w:eastAsia="Calibri" w:cs="Times New Roman"/>
                <w:b/>
                <w:sz w:val="20"/>
                <w:szCs w:val="20"/>
                <w:lang w:val="en-GB"/>
              </w:rPr>
            </w:pPr>
            <w:r w:rsidRPr="009C48DA">
              <w:rPr>
                <w:rFonts w:eastAsia="Calibri" w:cs="Times New Roman"/>
                <w:b/>
                <w:sz w:val="20"/>
                <w:szCs w:val="20"/>
                <w:lang w:val="en-GB"/>
              </w:rPr>
              <w:t>Total operating (loss) / profit</w:t>
            </w:r>
            <w:r w:rsidRPr="009C48DA">
              <w:rPr>
                <w:rFonts w:eastAsia="Calibri" w:cs="Arial"/>
                <w:sz w:val="20"/>
                <w:szCs w:val="20"/>
                <w:lang w:val="en-GB"/>
              </w:rPr>
              <w:tab/>
            </w:r>
          </w:p>
        </w:tc>
        <w:tc>
          <w:tcPr>
            <w:tcW w:w="1554" w:type="dxa"/>
            <w:shd w:val="clear" w:color="auto" w:fill="auto"/>
            <w:vAlign w:val="bottom"/>
          </w:tcPr>
          <w:p w:rsidRPr="009C48DA" w:rsidR="00906792" w:rsidP="00906792" w:rsidRDefault="00906792" w14:paraId="616236B7" w14:textId="77777777">
            <w:pPr>
              <w:jc w:val="right"/>
              <w:rPr>
                <w:rFonts w:eastAsia="Calibri" w:cs="Arial"/>
                <w:b/>
                <w:sz w:val="20"/>
                <w:szCs w:val="20"/>
                <w:lang w:val="en-GB"/>
              </w:rPr>
            </w:pPr>
            <w:r w:rsidRPr="009C48DA">
              <w:rPr>
                <w:rFonts w:eastAsia="Calibri" w:cs="Arial"/>
                <w:b/>
                <w:sz w:val="20"/>
                <w:szCs w:val="20"/>
                <w:lang w:val="en-GB"/>
              </w:rPr>
              <w:t>(2.5)</w:t>
            </w:r>
          </w:p>
        </w:tc>
        <w:tc>
          <w:tcPr>
            <w:tcW w:w="1559" w:type="dxa"/>
            <w:shd w:val="clear" w:color="auto" w:fill="auto"/>
            <w:vAlign w:val="bottom"/>
          </w:tcPr>
          <w:p w:rsidRPr="009C48DA" w:rsidR="00906792" w:rsidP="00906792" w:rsidRDefault="00906792" w14:paraId="0FDA060A" w14:textId="77777777">
            <w:pPr>
              <w:jc w:val="right"/>
              <w:rPr>
                <w:rFonts w:eastAsia="Calibri" w:cs="Arial"/>
                <w:b/>
                <w:sz w:val="20"/>
                <w:szCs w:val="20"/>
                <w:lang w:val="en-GB"/>
              </w:rPr>
            </w:pPr>
            <w:r w:rsidRPr="009C48DA">
              <w:rPr>
                <w:rFonts w:eastAsia="Calibri" w:cs="Arial"/>
                <w:b/>
                <w:sz w:val="20"/>
                <w:szCs w:val="20"/>
                <w:lang w:val="en-GB"/>
              </w:rPr>
              <w:t>24.5</w:t>
            </w:r>
          </w:p>
        </w:tc>
      </w:tr>
      <w:tr w:rsidRPr="009C48DA" w:rsidR="00906792" w:rsidTr="00906792" w14:paraId="5343E88F" w14:textId="77777777">
        <w:tc>
          <w:tcPr>
            <w:tcW w:w="5529" w:type="dxa"/>
            <w:shd w:val="clear" w:color="auto" w:fill="auto"/>
            <w:vAlign w:val="bottom"/>
          </w:tcPr>
          <w:p w:rsidRPr="009C48DA" w:rsidR="00906792" w:rsidP="00906792" w:rsidRDefault="00906792" w14:paraId="706D7E0D" w14:textId="77777777">
            <w:pPr>
              <w:tabs>
                <w:tab w:val="left" w:leader="dot" w:pos="5305"/>
              </w:tabs>
              <w:rPr>
                <w:rFonts w:eastAsia="Calibri" w:cs="Times New Roman"/>
                <w:sz w:val="20"/>
                <w:szCs w:val="20"/>
                <w:lang w:val="en-GB"/>
              </w:rPr>
            </w:pPr>
            <w:r w:rsidRPr="009C48DA">
              <w:rPr>
                <w:rFonts w:eastAsia="Calibri" w:cs="Times New Roman"/>
                <w:sz w:val="20"/>
                <w:szCs w:val="20"/>
                <w:lang w:val="en-GB"/>
              </w:rPr>
              <w:t>Finance income</w:t>
            </w:r>
            <w:r w:rsidRPr="009C48DA">
              <w:rPr>
                <w:rFonts w:eastAsia="Calibri" w:cs="Arial"/>
                <w:sz w:val="20"/>
                <w:szCs w:val="20"/>
                <w:lang w:val="en-GB"/>
              </w:rPr>
              <w:tab/>
            </w:r>
          </w:p>
        </w:tc>
        <w:tc>
          <w:tcPr>
            <w:tcW w:w="1554" w:type="dxa"/>
            <w:shd w:val="clear" w:color="auto" w:fill="auto"/>
            <w:vAlign w:val="bottom"/>
          </w:tcPr>
          <w:p w:rsidRPr="009C48DA" w:rsidR="00906792" w:rsidP="00906792" w:rsidRDefault="00906792" w14:paraId="3389BC73" w14:textId="77777777">
            <w:pPr>
              <w:jc w:val="right"/>
              <w:rPr>
                <w:rFonts w:eastAsia="Calibri" w:cs="Arial"/>
                <w:sz w:val="20"/>
                <w:szCs w:val="20"/>
                <w:lang w:val="en-GB"/>
              </w:rPr>
            </w:pPr>
            <w:r w:rsidRPr="009C48DA">
              <w:rPr>
                <w:rFonts w:eastAsia="Calibri" w:cs="Arial"/>
                <w:sz w:val="20"/>
                <w:szCs w:val="20"/>
                <w:lang w:val="en-GB"/>
              </w:rPr>
              <w:t>2.0</w:t>
            </w:r>
          </w:p>
        </w:tc>
        <w:tc>
          <w:tcPr>
            <w:tcW w:w="1559" w:type="dxa"/>
            <w:shd w:val="clear" w:color="auto" w:fill="auto"/>
            <w:vAlign w:val="bottom"/>
          </w:tcPr>
          <w:p w:rsidRPr="009C48DA" w:rsidR="00906792" w:rsidP="00906792" w:rsidRDefault="00906792" w14:paraId="460F47D7" w14:textId="77777777">
            <w:pPr>
              <w:jc w:val="right"/>
              <w:rPr>
                <w:rFonts w:eastAsia="Calibri" w:cs="Arial"/>
                <w:sz w:val="20"/>
                <w:szCs w:val="20"/>
                <w:lang w:val="en-GB"/>
              </w:rPr>
            </w:pPr>
            <w:r w:rsidRPr="009C48DA">
              <w:rPr>
                <w:rFonts w:eastAsia="Calibri" w:cs="Arial"/>
                <w:sz w:val="20"/>
                <w:szCs w:val="20"/>
                <w:lang w:val="en-GB"/>
              </w:rPr>
              <w:t>0.8</w:t>
            </w:r>
          </w:p>
        </w:tc>
      </w:tr>
      <w:tr w:rsidRPr="009C48DA" w:rsidR="00906792" w:rsidTr="00906792" w14:paraId="33437477" w14:textId="77777777">
        <w:tc>
          <w:tcPr>
            <w:tcW w:w="5529" w:type="dxa"/>
            <w:shd w:val="clear" w:color="auto" w:fill="auto"/>
            <w:vAlign w:val="bottom"/>
          </w:tcPr>
          <w:p w:rsidRPr="009C48DA" w:rsidR="00906792" w:rsidP="00906792" w:rsidRDefault="00906792" w14:paraId="6F3D8D8A" w14:textId="77777777">
            <w:pPr>
              <w:tabs>
                <w:tab w:val="left" w:leader="dot" w:pos="5305"/>
              </w:tabs>
              <w:rPr>
                <w:rFonts w:eastAsia="Calibri" w:cs="Times New Roman"/>
                <w:sz w:val="20"/>
                <w:szCs w:val="20"/>
                <w:lang w:val="en-GB"/>
              </w:rPr>
            </w:pPr>
            <w:r w:rsidRPr="009C48DA">
              <w:rPr>
                <w:rFonts w:eastAsia="Calibri" w:cs="Times New Roman"/>
                <w:sz w:val="20"/>
                <w:szCs w:val="20"/>
                <w:lang w:val="en-GB"/>
              </w:rPr>
              <w:t>Finance expense</w:t>
            </w:r>
            <w:r w:rsidRPr="009C48DA">
              <w:rPr>
                <w:rFonts w:eastAsia="Calibri" w:cs="Arial"/>
                <w:sz w:val="20"/>
                <w:szCs w:val="20"/>
                <w:lang w:val="en-GB"/>
              </w:rPr>
              <w:tab/>
            </w:r>
          </w:p>
        </w:tc>
        <w:tc>
          <w:tcPr>
            <w:tcW w:w="1554" w:type="dxa"/>
            <w:shd w:val="clear" w:color="auto" w:fill="auto"/>
            <w:vAlign w:val="bottom"/>
          </w:tcPr>
          <w:p w:rsidRPr="009C48DA" w:rsidR="00906792" w:rsidP="00906792" w:rsidRDefault="00906792" w14:paraId="276BCDF0"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(0.8)</w:t>
            </w:r>
          </w:p>
        </w:tc>
        <w:tc>
          <w:tcPr>
            <w:tcW w:w="1559" w:type="dxa"/>
            <w:shd w:val="clear" w:color="auto" w:fill="auto"/>
            <w:vAlign w:val="bottom"/>
          </w:tcPr>
          <w:p w:rsidRPr="009C48DA" w:rsidR="00906792" w:rsidP="00906792" w:rsidRDefault="00906792" w14:paraId="6DC82BC1"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(3.9)</w:t>
            </w:r>
          </w:p>
        </w:tc>
      </w:tr>
      <w:tr w:rsidRPr="009C48DA" w:rsidR="00906792" w:rsidTr="00906792" w14:paraId="731EABB0" w14:textId="77777777">
        <w:tc>
          <w:tcPr>
            <w:tcW w:w="5529" w:type="dxa"/>
            <w:shd w:val="clear" w:color="auto" w:fill="auto"/>
            <w:vAlign w:val="bottom"/>
          </w:tcPr>
          <w:p w:rsidRPr="009C48DA" w:rsidR="00906792" w:rsidP="00906792" w:rsidRDefault="00906792" w14:paraId="3DD7BBB1" w14:textId="77777777">
            <w:pPr>
              <w:tabs>
                <w:tab w:val="left" w:leader="dot" w:pos="5305"/>
              </w:tabs>
              <w:rPr>
                <w:rFonts w:eastAsia="Calibri" w:cs="Times New Roman"/>
                <w:b/>
                <w:sz w:val="20"/>
                <w:szCs w:val="20"/>
                <w:lang w:val="en-GB"/>
              </w:rPr>
            </w:pPr>
            <w:r w:rsidRPr="009C48DA">
              <w:rPr>
                <w:rFonts w:eastAsia="Calibri" w:cs="Times New Roman"/>
                <w:b/>
                <w:sz w:val="20"/>
                <w:szCs w:val="20"/>
                <w:lang w:val="en-GB"/>
              </w:rPr>
              <w:t>(Loss) / profit before income tax</w:t>
            </w:r>
            <w:r w:rsidRPr="009C48DA">
              <w:rPr>
                <w:rFonts w:eastAsia="Calibri" w:cs="Arial"/>
                <w:sz w:val="20"/>
                <w:szCs w:val="20"/>
                <w:lang w:val="en-GB"/>
              </w:rPr>
              <w:tab/>
            </w:r>
          </w:p>
        </w:tc>
        <w:tc>
          <w:tcPr>
            <w:tcW w:w="1554" w:type="dxa"/>
            <w:shd w:val="clear" w:color="auto" w:fill="auto"/>
            <w:vAlign w:val="bottom"/>
          </w:tcPr>
          <w:p w:rsidRPr="009C48DA" w:rsidR="00906792" w:rsidP="00906792" w:rsidRDefault="00906792" w14:paraId="18485390" w14:textId="77777777">
            <w:pPr>
              <w:jc w:val="right"/>
              <w:rPr>
                <w:rFonts w:eastAsia="Calibri" w:cs="Arial"/>
                <w:b/>
                <w:sz w:val="20"/>
                <w:szCs w:val="20"/>
                <w:lang w:val="en-GB"/>
              </w:rPr>
            </w:pPr>
            <w:r w:rsidRPr="009C48DA">
              <w:rPr>
                <w:rFonts w:eastAsia="Calibri" w:cs="Arial"/>
                <w:b/>
                <w:sz w:val="20"/>
                <w:szCs w:val="20"/>
                <w:lang w:val="en-GB"/>
              </w:rPr>
              <w:t>(1.2)</w:t>
            </w:r>
          </w:p>
        </w:tc>
        <w:tc>
          <w:tcPr>
            <w:tcW w:w="1559" w:type="dxa"/>
            <w:shd w:val="clear" w:color="auto" w:fill="auto"/>
            <w:vAlign w:val="bottom"/>
          </w:tcPr>
          <w:p w:rsidRPr="009C48DA" w:rsidR="00906792" w:rsidP="00906792" w:rsidRDefault="00906792" w14:paraId="29BA821F" w14:textId="77777777">
            <w:pPr>
              <w:jc w:val="right"/>
              <w:rPr>
                <w:rFonts w:eastAsia="Calibri" w:cs="Arial"/>
                <w:b/>
                <w:sz w:val="20"/>
                <w:szCs w:val="20"/>
                <w:lang w:val="en-GB"/>
              </w:rPr>
            </w:pPr>
            <w:r w:rsidRPr="009C48DA">
              <w:rPr>
                <w:rFonts w:eastAsia="Calibri" w:cs="Arial"/>
                <w:b/>
                <w:sz w:val="20"/>
                <w:szCs w:val="20"/>
                <w:lang w:val="en-GB"/>
              </w:rPr>
              <w:t>21.3</w:t>
            </w:r>
          </w:p>
        </w:tc>
      </w:tr>
      <w:tr w:rsidRPr="009C48DA" w:rsidR="00906792" w:rsidTr="00906792" w14:paraId="64F595A2" w14:textId="77777777">
        <w:tc>
          <w:tcPr>
            <w:tcW w:w="5529" w:type="dxa"/>
            <w:shd w:val="clear" w:color="auto" w:fill="auto"/>
            <w:vAlign w:val="bottom"/>
          </w:tcPr>
          <w:p w:rsidRPr="009C48DA" w:rsidR="00906792" w:rsidP="00906792" w:rsidRDefault="00906792" w14:paraId="7AAD6343" w14:textId="77777777">
            <w:pPr>
              <w:tabs>
                <w:tab w:val="left" w:leader="dot" w:pos="5305"/>
              </w:tabs>
              <w:rPr>
                <w:rFonts w:eastAsia="Calibri" w:cs="Times New Roman"/>
                <w:sz w:val="20"/>
                <w:szCs w:val="20"/>
                <w:lang w:val="en-GB"/>
              </w:rPr>
            </w:pPr>
            <w:r w:rsidRPr="009C48DA">
              <w:rPr>
                <w:rFonts w:eastAsia="Calibri" w:cs="Times New Roman"/>
                <w:sz w:val="20"/>
                <w:szCs w:val="20"/>
                <w:lang w:val="en-GB"/>
              </w:rPr>
              <w:t>Income tax charge</w:t>
            </w:r>
            <w:r w:rsidRPr="009C48DA">
              <w:rPr>
                <w:rFonts w:eastAsia="Calibri" w:cs="Times New Roman"/>
                <w:sz w:val="20"/>
                <w:szCs w:val="20"/>
                <w:lang w:val="en-GB"/>
              </w:rPr>
              <w:tab/>
            </w:r>
          </w:p>
        </w:tc>
        <w:tc>
          <w:tcPr>
            <w:tcW w:w="1554" w:type="dxa"/>
            <w:shd w:val="clear" w:color="auto" w:fill="auto"/>
            <w:vAlign w:val="bottom"/>
          </w:tcPr>
          <w:p w:rsidRPr="009C48DA" w:rsidR="00906792" w:rsidP="00906792" w:rsidRDefault="00906792" w14:paraId="68C609EF" w14:textId="77777777">
            <w:pPr>
              <w:jc w:val="right"/>
              <w:rPr>
                <w:rFonts w:eastAsia="Calibri" w:cs="Arial"/>
                <w:sz w:val="20"/>
                <w:szCs w:val="20"/>
                <w:lang w:val="en-GB"/>
              </w:rPr>
            </w:pPr>
            <w:r w:rsidRPr="009C48DA">
              <w:rPr>
                <w:rFonts w:eastAsia="Calibri" w:cs="Arial"/>
                <w:sz w:val="20"/>
                <w:szCs w:val="20"/>
                <w:lang w:val="en-GB"/>
              </w:rPr>
              <w:t>(0.3)</w:t>
            </w:r>
          </w:p>
        </w:tc>
        <w:tc>
          <w:tcPr>
            <w:tcW w:w="1559" w:type="dxa"/>
            <w:shd w:val="clear" w:color="auto" w:fill="auto"/>
            <w:vAlign w:val="bottom"/>
          </w:tcPr>
          <w:p w:rsidRPr="009C48DA" w:rsidR="00906792" w:rsidP="00906792" w:rsidRDefault="00906792" w14:paraId="1077F4C3" w14:textId="77777777">
            <w:pPr>
              <w:jc w:val="right"/>
              <w:rPr>
                <w:rFonts w:eastAsia="Calibri" w:cs="Arial"/>
                <w:sz w:val="20"/>
                <w:szCs w:val="20"/>
                <w:lang w:val="en-GB"/>
              </w:rPr>
            </w:pPr>
            <w:r w:rsidRPr="009C48DA">
              <w:rPr>
                <w:rFonts w:eastAsia="Calibri" w:cs="Arial"/>
                <w:sz w:val="20"/>
                <w:szCs w:val="20"/>
                <w:lang w:val="en-GB"/>
              </w:rPr>
              <w:t>(2.7)</w:t>
            </w:r>
          </w:p>
        </w:tc>
      </w:tr>
      <w:tr w:rsidRPr="009C48DA" w:rsidR="00906792" w:rsidTr="00906792" w14:paraId="7B1B7306" w14:textId="77777777">
        <w:tc>
          <w:tcPr>
            <w:tcW w:w="5529" w:type="dxa"/>
            <w:shd w:val="clear" w:color="auto" w:fill="auto"/>
            <w:vAlign w:val="bottom"/>
          </w:tcPr>
          <w:p w:rsidRPr="009C48DA" w:rsidR="00906792" w:rsidP="00906792" w:rsidRDefault="00906792" w14:paraId="3C7A5BEB" w14:textId="77777777">
            <w:pPr>
              <w:tabs>
                <w:tab w:val="left" w:leader="dot" w:pos="5305"/>
              </w:tabs>
              <w:rPr>
                <w:rFonts w:eastAsia="Calibri" w:cs="Times New Roman"/>
                <w:b/>
                <w:sz w:val="20"/>
                <w:szCs w:val="20"/>
                <w:lang w:val="en-GB"/>
              </w:rPr>
            </w:pPr>
            <w:r w:rsidRPr="009C48DA">
              <w:rPr>
                <w:rFonts w:eastAsia="Calibri" w:cs="Times New Roman"/>
                <w:b/>
                <w:sz w:val="20"/>
                <w:szCs w:val="20"/>
                <w:lang w:val="en-GB"/>
              </w:rPr>
              <w:t>(Loss) / profit after income tax</w:t>
            </w:r>
            <w:r w:rsidRPr="009C48DA">
              <w:rPr>
                <w:rFonts w:eastAsia="Calibri" w:cs="Times New Roman"/>
                <w:b/>
                <w:sz w:val="20"/>
                <w:szCs w:val="20"/>
                <w:lang w:val="en-GB"/>
              </w:rPr>
              <w:tab/>
            </w:r>
          </w:p>
        </w:tc>
        <w:tc>
          <w:tcPr>
            <w:tcW w:w="1554" w:type="dxa"/>
            <w:shd w:val="clear" w:color="auto" w:fill="auto"/>
            <w:vAlign w:val="bottom"/>
          </w:tcPr>
          <w:p w:rsidRPr="009C48DA" w:rsidR="00906792" w:rsidP="00906792" w:rsidRDefault="00906792" w14:paraId="3D2507B6" w14:textId="77777777">
            <w:pPr>
              <w:pBdr>
                <w:bottom w:val="double" w:color="auto" w:sz="4" w:space="1"/>
              </w:pBdr>
              <w:jc w:val="right"/>
              <w:rPr>
                <w:rFonts w:eastAsia="Calibri" w:cs="Arial"/>
                <w:b/>
                <w:sz w:val="20"/>
                <w:szCs w:val="20"/>
                <w:lang w:val="en-GB"/>
              </w:rPr>
            </w:pPr>
            <w:r w:rsidRPr="009C48DA">
              <w:rPr>
                <w:rFonts w:eastAsia="Calibri" w:cs="Arial"/>
                <w:b/>
                <w:sz w:val="20"/>
                <w:szCs w:val="20"/>
                <w:lang w:val="en-GB"/>
              </w:rPr>
              <w:t>(1.5)</w:t>
            </w:r>
          </w:p>
        </w:tc>
        <w:tc>
          <w:tcPr>
            <w:tcW w:w="1559" w:type="dxa"/>
            <w:shd w:val="clear" w:color="auto" w:fill="auto"/>
            <w:vAlign w:val="bottom"/>
          </w:tcPr>
          <w:p w:rsidRPr="009C48DA" w:rsidR="00906792" w:rsidP="00906792" w:rsidRDefault="00906792" w14:paraId="50A59394" w14:textId="77777777">
            <w:pPr>
              <w:pBdr>
                <w:bottom w:val="double" w:color="auto" w:sz="4" w:space="1"/>
              </w:pBdr>
              <w:jc w:val="right"/>
              <w:rPr>
                <w:rFonts w:eastAsia="Calibri" w:cs="Arial"/>
                <w:b/>
                <w:sz w:val="20"/>
                <w:szCs w:val="20"/>
                <w:lang w:val="en-GB"/>
              </w:rPr>
            </w:pPr>
            <w:r w:rsidRPr="009C48DA">
              <w:rPr>
                <w:rFonts w:eastAsia="Calibri" w:cs="Arial"/>
                <w:b/>
                <w:sz w:val="20"/>
                <w:szCs w:val="20"/>
                <w:lang w:val="en-GB"/>
              </w:rPr>
              <w:t>18.7</w:t>
            </w:r>
          </w:p>
        </w:tc>
      </w:tr>
    </w:tbl>
    <w:p w:rsidRPr="009C48DA" w:rsidR="00447D95" w:rsidP="006815FE" w:rsidRDefault="00447D95" w14:paraId="35E4A1CE" w14:textId="77777777">
      <w:pPr>
        <w:pStyle w:val="TitleBI"/>
        <w:rPr>
          <w:lang w:val="en-GB"/>
        </w:rPr>
      </w:pPr>
    </w:p>
    <w:p w:rsidRPr="009C48DA" w:rsidR="00B51E80" w:rsidP="006815FE" w:rsidRDefault="00B51E80" w14:paraId="0B467C2E" w14:textId="055C02D0">
      <w:pPr>
        <w:pStyle w:val="TitleBI"/>
        <w:rPr>
          <w:lang w:val="en-GB"/>
        </w:rPr>
      </w:pPr>
      <w:r w:rsidRPr="009C48DA">
        <w:rPr>
          <w:lang w:val="en-GB"/>
        </w:rPr>
        <w:t>Total operating income</w:t>
      </w:r>
    </w:p>
    <w:p w:rsidRPr="009C48DA" w:rsidR="009657BB" w:rsidP="009657BB" w:rsidRDefault="009657BB" w14:paraId="3B17A6BE" w14:textId="18E63FC9">
      <w:pPr>
        <w:pStyle w:val="BodyText2SglJ"/>
        <w:rPr>
          <w:rFonts w:eastAsia="Calibri" w:cs="Arial"/>
          <w:lang w:val="en-GB"/>
        </w:rPr>
      </w:pPr>
      <w:r w:rsidRPr="009C48DA">
        <w:rPr>
          <w:rFonts w:eastAsia="Calibri" w:cs="Arial"/>
          <w:lang w:val="en-GB"/>
        </w:rPr>
        <w:t>Total operating income increased by £32.9 million, or 1</w:t>
      </w:r>
      <w:r w:rsidRPr="009C48DA" w:rsidR="00F2747F">
        <w:rPr>
          <w:rFonts w:eastAsia="Calibri" w:cs="Arial"/>
          <w:lang w:val="en-GB"/>
        </w:rPr>
        <w:t>15.8</w:t>
      </w:r>
      <w:r w:rsidRPr="009C48DA">
        <w:rPr>
          <w:rFonts w:eastAsia="Calibri" w:cs="Arial"/>
          <w:lang w:val="en-GB"/>
        </w:rPr>
        <w:t xml:space="preserve"> per cent, from £28.4 million for the three months ended 31 March 2020 to £61.4 million for the three months ended 31 March 2021, reflecting a combination of higher management fees, lower carried interest and higher income from the fair value remeasurement of investments.</w:t>
      </w:r>
    </w:p>
    <w:p w:rsidRPr="009C48DA" w:rsidR="009657BB" w:rsidP="009657BB" w:rsidRDefault="009657BB" w14:paraId="15648FDB" w14:textId="1CBF101F">
      <w:pPr>
        <w:pStyle w:val="BodyText2SglJ"/>
        <w:rPr>
          <w:rFonts w:eastAsia="Calibri" w:cs="Arial"/>
          <w:szCs w:val="20"/>
          <w:lang w:val="en-GB"/>
        </w:rPr>
      </w:pPr>
      <w:r w:rsidRPr="009C48DA">
        <w:rPr>
          <w:rFonts w:eastAsia="Calibri" w:cs="Arial"/>
          <w:lang w:val="en-GB"/>
        </w:rPr>
        <w:lastRenderedPageBreak/>
        <w:t xml:space="preserve">Management fees increased by £12.7 million, or 35.9 per cent, from £35.4 million for the three months ended 31 March 2020 to £48.1 million for the three months ended 31 March 2021. This increase was primarily due to the inclusion of the acquired EQT Credit business and the </w:t>
      </w:r>
      <w:r w:rsidRPr="009C48DA" w:rsidR="007F7AA9">
        <w:rPr>
          <w:rFonts w:eastAsia="Calibri" w:cs="Arial"/>
          <w:szCs w:val="20"/>
          <w:lang w:val="en-GB"/>
        </w:rPr>
        <w:t xml:space="preserve">Bridgepoint </w:t>
      </w:r>
      <w:r w:rsidRPr="009C48DA">
        <w:rPr>
          <w:rFonts w:eastAsia="Calibri" w:cs="Arial"/>
          <w:lang w:val="en-GB"/>
        </w:rPr>
        <w:t>Development Capital IV fund, which started charging management fees on 1 January 2021. These two elements contributed £7.7 million and £6.7 million respectively to the increase in management fees in the first quarter of 2021, which was slightly offset by realisations in the older funds reducing their AUM in line with</w:t>
      </w:r>
      <w:r w:rsidRPr="009C48DA">
        <w:rPr>
          <w:rFonts w:eastAsia="Calibri" w:cs="Arial"/>
          <w:szCs w:val="20"/>
          <w:lang w:val="en-GB"/>
        </w:rPr>
        <w:t xml:space="preserve"> normal fund profiles post investment period.</w:t>
      </w:r>
    </w:p>
    <w:p w:rsidRPr="009C48DA" w:rsidR="009657BB" w:rsidP="009657BB" w:rsidRDefault="009657BB" w14:paraId="4DEF8D50" w14:textId="77777777">
      <w:pPr>
        <w:spacing w:after="240"/>
        <w:ind w:firstLine="720"/>
        <w:jc w:val="both"/>
        <w:rPr>
          <w:rFonts w:eastAsia="Calibri" w:cs="Arial"/>
          <w:sz w:val="20"/>
          <w:lang w:val="en-GB"/>
        </w:rPr>
      </w:pPr>
      <w:r w:rsidRPr="009C48DA">
        <w:rPr>
          <w:rFonts w:eastAsia="Calibri" w:cs="Arial"/>
          <w:sz w:val="20"/>
          <w:lang w:val="en-GB"/>
        </w:rPr>
        <w:t>Carried interest decreased by £1.3 million, or 216.7 per cent, from income of £0.6 million for the three months ended 31 March 2020 to a loss of £0.7 million for the three months ended 31 March 2021. This decrease was due to the foreign exchange remeasurement of the carried interest receivable.</w:t>
      </w:r>
    </w:p>
    <w:p w:rsidRPr="009C48DA" w:rsidR="009657BB" w:rsidP="009657BB" w:rsidRDefault="009657BB" w14:paraId="7A0D1E36" w14:textId="4086D9BD">
      <w:pPr>
        <w:pStyle w:val="BodyText2SglJ"/>
        <w:rPr>
          <w:rFonts w:eastAsia="Calibri" w:cs="Arial"/>
          <w:lang w:val="en-GB"/>
        </w:rPr>
      </w:pPr>
      <w:r w:rsidRPr="009C48DA">
        <w:rPr>
          <w:rFonts w:eastAsia="Calibri" w:cs="Arial"/>
          <w:lang w:val="en-GB"/>
        </w:rPr>
        <w:t xml:space="preserve">Fair value remeasurement of investments increased by £21.5 million, or 272.2 per cent, from a loss of £7.9 million for the three months ended 31 March 2020 to a gain of £13.6 million for the three months ended 31 March 2021. This increase was primarily due to the impact of the COVID-19 pandemic in 2020, which resulted in a reduction in investment fair values. Most </w:t>
      </w:r>
      <w:r w:rsidRPr="009C48DA" w:rsidR="007F7AA9">
        <w:rPr>
          <w:rFonts w:eastAsia="Calibri" w:cs="Arial"/>
          <w:szCs w:val="20"/>
          <w:lang w:val="en-GB"/>
        </w:rPr>
        <w:t xml:space="preserve">Bridgepoint </w:t>
      </w:r>
      <w:r w:rsidRPr="009C48DA">
        <w:rPr>
          <w:rFonts w:eastAsia="Calibri" w:cs="Arial"/>
          <w:lang w:val="en-GB"/>
        </w:rPr>
        <w:t xml:space="preserve">Funds were impacted by less than 10 per cent and in aggregate recovered their value by the end of 2020. The first quarter of 2021 benefitted from the impact of further valuation increases across the </w:t>
      </w:r>
      <w:r w:rsidRPr="009C48DA" w:rsidR="007F7AA9">
        <w:rPr>
          <w:rFonts w:eastAsia="Calibri" w:cs="Arial"/>
          <w:szCs w:val="20"/>
          <w:lang w:val="en-GB"/>
        </w:rPr>
        <w:t xml:space="preserve">Bridgepoint </w:t>
      </w:r>
      <w:r w:rsidRPr="009C48DA">
        <w:rPr>
          <w:rFonts w:eastAsia="Calibri" w:cs="Arial"/>
          <w:lang w:val="en-GB"/>
        </w:rPr>
        <w:t xml:space="preserve">Funds, in particular in respect of </w:t>
      </w:r>
      <w:r w:rsidRPr="009C48DA" w:rsidR="007F7AA9">
        <w:rPr>
          <w:rFonts w:eastAsia="Calibri" w:cs="Arial"/>
          <w:szCs w:val="20"/>
          <w:lang w:val="en-GB"/>
        </w:rPr>
        <w:t xml:space="preserve">Bridgepoint </w:t>
      </w:r>
      <w:r w:rsidRPr="009C48DA">
        <w:rPr>
          <w:rFonts w:eastAsia="Calibri" w:cs="Arial"/>
          <w:lang w:val="en-GB"/>
        </w:rPr>
        <w:t>Europe V.</w:t>
      </w:r>
    </w:p>
    <w:p w:rsidRPr="009C48DA" w:rsidR="00B51E80" w:rsidP="009657BB" w:rsidRDefault="009657BB" w14:paraId="708BB14F" w14:textId="644CE9E3">
      <w:pPr>
        <w:pStyle w:val="BodyText2SglJ"/>
        <w:rPr>
          <w:lang w:val="en-GB"/>
        </w:rPr>
      </w:pPr>
      <w:r w:rsidRPr="009C48DA">
        <w:rPr>
          <w:lang w:val="en-GB"/>
        </w:rPr>
        <w:t>Other operating income remained stable at £0.4 million during the three months ended 31 March 2020 and 2021.</w:t>
      </w:r>
    </w:p>
    <w:p w:rsidRPr="009C48DA" w:rsidR="00B51E80" w:rsidP="006815FE" w:rsidRDefault="00B51E80" w14:paraId="3A1E1B10" w14:textId="77777777">
      <w:pPr>
        <w:pStyle w:val="TitleBI"/>
        <w:rPr>
          <w:lang w:val="en-GB"/>
        </w:rPr>
      </w:pPr>
      <w:r w:rsidRPr="009C48DA">
        <w:rPr>
          <w:lang w:val="en-GB"/>
        </w:rPr>
        <w:t>Personnel expenses</w:t>
      </w:r>
    </w:p>
    <w:p w:rsidRPr="009C48DA" w:rsidR="009657BB" w:rsidP="009657BB" w:rsidRDefault="009657BB" w14:paraId="6D507E19" w14:textId="77777777">
      <w:pPr>
        <w:pStyle w:val="BodyText2SglJ"/>
        <w:rPr>
          <w:rFonts w:eastAsia="Calibri" w:cs="Arial"/>
          <w:szCs w:val="22"/>
          <w:lang w:val="en-GB"/>
        </w:rPr>
      </w:pPr>
      <w:r w:rsidRPr="009C48DA">
        <w:rPr>
          <w:rFonts w:eastAsia="Calibri" w:cs="Arial"/>
          <w:szCs w:val="22"/>
          <w:lang w:val="en-GB"/>
        </w:rPr>
        <w:t xml:space="preserve">Personnel expenses increased by </w:t>
      </w:r>
      <w:r w:rsidRPr="009C48DA">
        <w:rPr>
          <w:rFonts w:eastAsia="Calibri" w:cs="Times New Roman"/>
          <w:szCs w:val="22"/>
          <w:lang w:val="en-GB"/>
        </w:rPr>
        <w:t>£</w:t>
      </w:r>
      <w:r w:rsidRPr="009C48DA">
        <w:rPr>
          <w:rFonts w:eastAsia="Calibri" w:cs="Arial"/>
          <w:szCs w:val="22"/>
          <w:lang w:val="en-GB"/>
        </w:rPr>
        <w:t xml:space="preserve">7.3 million, or 35.6 per cent, from </w:t>
      </w:r>
      <w:r w:rsidRPr="009C48DA">
        <w:rPr>
          <w:rFonts w:eastAsia="Calibri" w:cs="Times New Roman"/>
          <w:szCs w:val="22"/>
          <w:lang w:val="en-GB"/>
        </w:rPr>
        <w:t>£</w:t>
      </w:r>
      <w:r w:rsidRPr="009C48DA">
        <w:rPr>
          <w:rFonts w:eastAsia="Calibri" w:cs="Arial"/>
          <w:szCs w:val="22"/>
          <w:lang w:val="en-GB"/>
        </w:rPr>
        <w:t xml:space="preserve">20.5 million for the three months ended 31 March 2020 to </w:t>
      </w:r>
      <w:r w:rsidRPr="009C48DA">
        <w:rPr>
          <w:rFonts w:eastAsia="Calibri" w:cs="Times New Roman"/>
          <w:szCs w:val="22"/>
          <w:lang w:val="en-GB"/>
        </w:rPr>
        <w:t>£</w:t>
      </w:r>
      <w:r w:rsidRPr="009C48DA">
        <w:rPr>
          <w:rFonts w:eastAsia="Calibri" w:cs="Arial"/>
          <w:szCs w:val="22"/>
          <w:lang w:val="en-GB"/>
        </w:rPr>
        <w:t>27.8 million for the three months ended 31 March 2021. This increase was primarily due to the increase of the number of employees following the acquisition of EQT Credit as well as due to continuing investment in the Group’s operating platform.</w:t>
      </w:r>
    </w:p>
    <w:p w:rsidRPr="009C48DA" w:rsidR="00B51E80" w:rsidP="009657BB" w:rsidRDefault="009657BB" w14:paraId="2FE75905" w14:textId="7E7DF77D">
      <w:pPr>
        <w:pStyle w:val="BodyText2SglJ"/>
        <w:rPr>
          <w:rFonts w:eastAsia="Calibri" w:cs="Arial"/>
          <w:szCs w:val="22"/>
          <w:lang w:val="en-GB"/>
        </w:rPr>
      </w:pPr>
      <w:r w:rsidRPr="009C48DA">
        <w:rPr>
          <w:rFonts w:eastAsia="Calibri" w:cs="Arial"/>
          <w:lang w:val="en-GB"/>
        </w:rPr>
        <w:t>Personnel</w:t>
      </w:r>
      <w:r w:rsidRPr="009C48DA">
        <w:rPr>
          <w:rFonts w:eastAsia="Calibri" w:cs="Arial"/>
          <w:szCs w:val="22"/>
          <w:lang w:val="en-GB"/>
        </w:rPr>
        <w:t xml:space="preserve"> expenses as a percentage of total operating income was 45.3 </w:t>
      </w:r>
      <w:r w:rsidRPr="009C48DA">
        <w:rPr>
          <w:lang w:val="en-GB"/>
        </w:rPr>
        <w:t>per cent</w:t>
      </w:r>
      <w:r w:rsidRPr="009C48DA" w:rsidDel="00071E33">
        <w:rPr>
          <w:rFonts w:eastAsia="Calibri" w:cs="Arial"/>
          <w:szCs w:val="22"/>
          <w:lang w:val="en-GB"/>
        </w:rPr>
        <w:t xml:space="preserve"> </w:t>
      </w:r>
      <w:r w:rsidRPr="009C48DA">
        <w:rPr>
          <w:rFonts w:eastAsia="Calibri" w:cs="Arial"/>
          <w:szCs w:val="22"/>
          <w:lang w:val="en-GB"/>
        </w:rPr>
        <w:t>for the three months ended 31 March 2021, compared to 71.9 per cent for the three months ended 31 March 2020. The decrease in personnel expenses as a percentage of total operating income was primarily due to higher total operating income in the three months ended 31 March 2021 compared to the prior year period. The growth in total operating income was larger than the increase in employee costs, reflecting some of the investment in the team that had already taken place ahead of fundraises and the increased total operating income in 2021.</w:t>
      </w:r>
      <w:r w:rsidRPr="009C48DA" w:rsidR="0085023D">
        <w:rPr>
          <w:rFonts w:eastAsia="Calibri" w:cs="Arial"/>
          <w:szCs w:val="22"/>
          <w:lang w:val="en-GB"/>
        </w:rPr>
        <w:t xml:space="preserve"> </w:t>
      </w:r>
    </w:p>
    <w:p w:rsidRPr="009C48DA" w:rsidR="00B51E80" w:rsidP="006815FE" w:rsidRDefault="00672B9A" w14:paraId="594ED913" w14:textId="6BEBFD3D">
      <w:pPr>
        <w:pStyle w:val="TitleBI"/>
        <w:rPr>
          <w:lang w:val="en-GB"/>
        </w:rPr>
      </w:pPr>
      <w:r w:rsidRPr="009C48DA">
        <w:rPr>
          <w:lang w:val="en-GB"/>
        </w:rPr>
        <w:t>Other expenses</w:t>
      </w:r>
    </w:p>
    <w:p w:rsidRPr="009C48DA" w:rsidR="009657BB" w:rsidP="009657BB" w:rsidRDefault="009657BB" w14:paraId="2459AA4F" w14:textId="77777777">
      <w:pPr>
        <w:pStyle w:val="BodyText2SglJ"/>
        <w:rPr>
          <w:rFonts w:eastAsia="Calibri" w:cs="Arial"/>
          <w:szCs w:val="22"/>
          <w:lang w:val="en-GB"/>
        </w:rPr>
      </w:pPr>
      <w:r w:rsidRPr="009C48DA">
        <w:rPr>
          <w:rFonts w:eastAsia="Calibri" w:cs="Arial"/>
          <w:szCs w:val="22"/>
          <w:lang w:val="en-GB"/>
        </w:rPr>
        <w:t xml:space="preserve">Other expenses increased by </w:t>
      </w:r>
      <w:r w:rsidRPr="009C48DA">
        <w:rPr>
          <w:rFonts w:eastAsia="Calibri" w:cs="Times New Roman"/>
          <w:szCs w:val="22"/>
          <w:lang w:val="en-GB"/>
        </w:rPr>
        <w:t>£</w:t>
      </w:r>
      <w:r w:rsidRPr="009C48DA">
        <w:rPr>
          <w:rFonts w:eastAsia="Calibri" w:cs="Arial"/>
          <w:szCs w:val="22"/>
          <w:lang w:val="en-GB"/>
        </w:rPr>
        <w:t xml:space="preserve">0.1 million, or 1.4 per cent, from </w:t>
      </w:r>
      <w:r w:rsidRPr="009C48DA">
        <w:rPr>
          <w:rFonts w:eastAsia="Calibri" w:cs="Times New Roman"/>
          <w:szCs w:val="22"/>
          <w:lang w:val="en-GB"/>
        </w:rPr>
        <w:t>£</w:t>
      </w:r>
      <w:r w:rsidRPr="009C48DA">
        <w:rPr>
          <w:rFonts w:eastAsia="Calibri" w:cs="Arial"/>
          <w:szCs w:val="22"/>
          <w:lang w:val="en-GB"/>
        </w:rPr>
        <w:t xml:space="preserve">7.1 million for the three months ended 31 March 2020 to </w:t>
      </w:r>
      <w:r w:rsidRPr="009C48DA">
        <w:rPr>
          <w:rFonts w:eastAsia="Calibri" w:cs="Times New Roman"/>
          <w:szCs w:val="22"/>
          <w:lang w:val="en-GB"/>
        </w:rPr>
        <w:t>£</w:t>
      </w:r>
      <w:r w:rsidRPr="009C48DA">
        <w:rPr>
          <w:rFonts w:eastAsia="Calibri" w:cs="Arial"/>
          <w:szCs w:val="22"/>
          <w:lang w:val="en-GB"/>
        </w:rPr>
        <w:t>7.2 million for the three months ended 31 March 2021. This in</w:t>
      </w:r>
      <w:r w:rsidRPr="009C48DA">
        <w:rPr>
          <w:rFonts w:eastAsia="Calibri" w:cs="Arial"/>
          <w:lang w:val="en-GB"/>
        </w:rPr>
        <w:t>crease</w:t>
      </w:r>
      <w:r w:rsidRPr="009C48DA">
        <w:rPr>
          <w:rFonts w:eastAsia="Calibri" w:cs="Arial"/>
          <w:szCs w:val="22"/>
          <w:lang w:val="en-GB"/>
        </w:rPr>
        <w:t xml:space="preserve"> was primarily due to the acquisition of the EQT Credit business, partially offset by the impact of the COVID-19 pandemic, which materially reduced travel expenses in the first quarter of 2021 compared to the prior year period.</w:t>
      </w:r>
    </w:p>
    <w:p w:rsidRPr="009C48DA" w:rsidR="007C3C90" w:rsidP="009657BB" w:rsidRDefault="009657BB" w14:paraId="3B761015" w14:textId="1EE75252">
      <w:pPr>
        <w:pStyle w:val="BodyText2SglJ"/>
        <w:rPr>
          <w:rFonts w:eastAsia="Calibri" w:cs="Arial"/>
          <w:szCs w:val="22"/>
          <w:lang w:val="en-GB"/>
        </w:rPr>
      </w:pPr>
      <w:r w:rsidRPr="009C48DA">
        <w:rPr>
          <w:rFonts w:eastAsia="Calibri" w:cs="Arial"/>
          <w:szCs w:val="22"/>
          <w:lang w:val="en-GB"/>
        </w:rPr>
        <w:t>Other expenses as a percentage of total operating income was 11.7 per cent for the three months ended 31 March 2021, compared to 24.9 per cent for the three months ended 31 March 2020.</w:t>
      </w:r>
    </w:p>
    <w:p w:rsidRPr="009C48DA" w:rsidR="00B51E80" w:rsidP="006815FE" w:rsidRDefault="00B51E80" w14:paraId="0320D646" w14:textId="2355DC94">
      <w:pPr>
        <w:pStyle w:val="TitleBI"/>
        <w:rPr>
          <w:lang w:val="en-GB"/>
        </w:rPr>
      </w:pPr>
      <w:r w:rsidRPr="009C48DA">
        <w:rPr>
          <w:lang w:val="en-GB"/>
        </w:rPr>
        <w:t xml:space="preserve">Foreign exchange </w:t>
      </w:r>
      <w:r w:rsidRPr="009C48DA" w:rsidR="00CF47B6">
        <w:rPr>
          <w:lang w:val="en-GB"/>
        </w:rPr>
        <w:t>(</w:t>
      </w:r>
      <w:r w:rsidRPr="009C48DA">
        <w:rPr>
          <w:lang w:val="en-GB"/>
        </w:rPr>
        <w:t>losses</w:t>
      </w:r>
      <w:r w:rsidRPr="009C48DA" w:rsidR="00CF47B6">
        <w:rPr>
          <w:lang w:val="en-GB"/>
        </w:rPr>
        <w:t>)</w:t>
      </w:r>
      <w:r w:rsidRPr="009C48DA" w:rsidR="00864C99">
        <w:rPr>
          <w:lang w:val="en-GB"/>
        </w:rPr>
        <w:t xml:space="preserve"> / gains</w:t>
      </w:r>
    </w:p>
    <w:p w:rsidRPr="009C48DA" w:rsidR="00B51E80" w:rsidP="00B51E80" w:rsidRDefault="00B51E80" w14:paraId="1DC8EA7D" w14:textId="0BC11D93">
      <w:pPr>
        <w:pStyle w:val="BodyText2SglJ"/>
        <w:rPr>
          <w:rFonts w:eastAsia="Calibri" w:cs="Arial"/>
          <w:szCs w:val="22"/>
          <w:lang w:val="en-GB"/>
        </w:rPr>
      </w:pPr>
      <w:r w:rsidRPr="009C48DA">
        <w:rPr>
          <w:rFonts w:eastAsia="Calibri" w:cs="Arial"/>
          <w:lang w:val="en-GB"/>
        </w:rPr>
        <w:t>Foreign</w:t>
      </w:r>
      <w:r w:rsidRPr="009C48DA">
        <w:rPr>
          <w:rFonts w:eastAsia="Calibri" w:cs="Arial"/>
          <w:szCs w:val="22"/>
          <w:lang w:val="en-GB"/>
        </w:rPr>
        <w:t xml:space="preserve"> exchange </w:t>
      </w:r>
      <w:r w:rsidRPr="009C48DA" w:rsidR="00CF47B6">
        <w:rPr>
          <w:rFonts w:eastAsia="Calibri" w:cs="Arial"/>
          <w:szCs w:val="22"/>
          <w:lang w:val="en-GB"/>
        </w:rPr>
        <w:t>(</w:t>
      </w:r>
      <w:r w:rsidRPr="009C48DA">
        <w:rPr>
          <w:rFonts w:eastAsia="Calibri" w:cs="Arial"/>
          <w:szCs w:val="22"/>
          <w:lang w:val="en-GB"/>
        </w:rPr>
        <w:t>losses</w:t>
      </w:r>
      <w:r w:rsidRPr="009C48DA" w:rsidR="00CF47B6">
        <w:rPr>
          <w:rFonts w:eastAsia="Calibri" w:cs="Arial"/>
          <w:szCs w:val="22"/>
          <w:lang w:val="en-GB"/>
        </w:rPr>
        <w:t>)</w:t>
      </w:r>
      <w:r w:rsidRPr="009C48DA">
        <w:rPr>
          <w:rFonts w:eastAsia="Calibri" w:cs="Arial"/>
          <w:szCs w:val="22"/>
          <w:lang w:val="en-GB"/>
        </w:rPr>
        <w:t xml:space="preserve"> </w:t>
      </w:r>
      <w:r w:rsidRPr="009C48DA" w:rsidR="00864C99">
        <w:rPr>
          <w:rFonts w:eastAsia="Calibri" w:cs="Arial"/>
          <w:szCs w:val="22"/>
          <w:lang w:val="en-GB"/>
        </w:rPr>
        <w:t xml:space="preserve">/ gains </w:t>
      </w:r>
      <w:r w:rsidRPr="009C48DA" w:rsidR="00CF47B6">
        <w:rPr>
          <w:rFonts w:eastAsia="Calibri" w:cs="Arial"/>
          <w:szCs w:val="22"/>
          <w:lang w:val="en-GB"/>
        </w:rPr>
        <w:t xml:space="preserve">changed </w:t>
      </w:r>
      <w:r w:rsidRPr="009C48DA">
        <w:rPr>
          <w:rFonts w:eastAsia="Calibri" w:cs="Arial"/>
          <w:szCs w:val="22"/>
          <w:lang w:val="en-GB"/>
        </w:rPr>
        <w:t xml:space="preserve">by </w:t>
      </w:r>
      <w:r w:rsidRPr="009C48DA">
        <w:rPr>
          <w:rFonts w:eastAsia="Calibri" w:cs="Times New Roman"/>
          <w:szCs w:val="22"/>
          <w:lang w:val="en-GB"/>
        </w:rPr>
        <w:t>£</w:t>
      </w:r>
      <w:r w:rsidRPr="009C48DA" w:rsidR="00CF47B6">
        <w:rPr>
          <w:rFonts w:eastAsia="Calibri" w:cs="Times New Roman"/>
          <w:szCs w:val="22"/>
          <w:lang w:val="en-GB"/>
        </w:rPr>
        <w:t>2</w:t>
      </w:r>
      <w:r w:rsidRPr="009C48DA">
        <w:rPr>
          <w:rFonts w:eastAsia="Calibri" w:cs="Arial"/>
          <w:szCs w:val="22"/>
          <w:lang w:val="en-GB"/>
        </w:rPr>
        <w:t>.</w:t>
      </w:r>
      <w:r w:rsidRPr="009C48DA" w:rsidR="00CF47B6">
        <w:rPr>
          <w:rFonts w:eastAsia="Calibri" w:cs="Arial"/>
          <w:szCs w:val="22"/>
          <w:lang w:val="en-GB"/>
        </w:rPr>
        <w:t>5</w:t>
      </w:r>
      <w:r w:rsidRPr="009C48DA">
        <w:rPr>
          <w:rFonts w:eastAsia="Calibri" w:cs="Arial"/>
          <w:szCs w:val="22"/>
          <w:lang w:val="en-GB"/>
        </w:rPr>
        <w:t xml:space="preserve"> million from a loss of </w:t>
      </w:r>
      <w:r w:rsidRPr="009C48DA">
        <w:rPr>
          <w:rFonts w:eastAsia="Calibri" w:cs="Times New Roman"/>
          <w:szCs w:val="22"/>
          <w:lang w:val="en-GB"/>
        </w:rPr>
        <w:t>£</w:t>
      </w:r>
      <w:r w:rsidRPr="009C48DA">
        <w:rPr>
          <w:rFonts w:eastAsia="Calibri" w:cs="Arial"/>
          <w:szCs w:val="22"/>
          <w:lang w:val="en-GB"/>
        </w:rPr>
        <w:t xml:space="preserve">1.3 million for the three months ended 31 March 2020 to a gain of </w:t>
      </w:r>
      <w:r w:rsidRPr="009C48DA">
        <w:rPr>
          <w:rFonts w:eastAsia="Calibri" w:cs="Times New Roman"/>
          <w:szCs w:val="22"/>
          <w:lang w:val="en-GB"/>
        </w:rPr>
        <w:t>£</w:t>
      </w:r>
      <w:r w:rsidRPr="009C48DA" w:rsidR="00CF47B6">
        <w:rPr>
          <w:rFonts w:eastAsia="Calibri" w:cs="Times New Roman"/>
          <w:szCs w:val="22"/>
          <w:lang w:val="en-GB"/>
        </w:rPr>
        <w:t>1</w:t>
      </w:r>
      <w:r w:rsidRPr="009C48DA">
        <w:rPr>
          <w:rFonts w:eastAsia="Calibri" w:cs="Arial"/>
          <w:szCs w:val="22"/>
          <w:lang w:val="en-GB"/>
        </w:rPr>
        <w:t>.</w:t>
      </w:r>
      <w:r w:rsidRPr="009C48DA" w:rsidR="00CF47B6">
        <w:rPr>
          <w:rFonts w:eastAsia="Calibri" w:cs="Arial"/>
          <w:szCs w:val="22"/>
          <w:lang w:val="en-GB"/>
        </w:rPr>
        <w:t>2</w:t>
      </w:r>
      <w:r w:rsidRPr="009C48DA">
        <w:rPr>
          <w:rFonts w:eastAsia="Calibri" w:cs="Arial"/>
          <w:szCs w:val="22"/>
          <w:lang w:val="en-GB"/>
        </w:rPr>
        <w:t xml:space="preserve"> million for the three months ended 31 March 2021. This </w:t>
      </w:r>
      <w:r w:rsidRPr="009C48DA" w:rsidR="00CF47B6">
        <w:rPr>
          <w:rFonts w:eastAsia="Calibri" w:cs="Arial"/>
          <w:szCs w:val="22"/>
          <w:lang w:val="en-GB"/>
        </w:rPr>
        <w:t xml:space="preserve">change </w:t>
      </w:r>
      <w:r w:rsidRPr="009C48DA">
        <w:rPr>
          <w:rFonts w:eastAsia="Calibri" w:cs="Arial"/>
          <w:szCs w:val="22"/>
          <w:lang w:val="en-GB"/>
        </w:rPr>
        <w:t>was primarily due to</w:t>
      </w:r>
      <w:r w:rsidRPr="009C48DA" w:rsidR="00CF47B6">
        <w:rPr>
          <w:rFonts w:eastAsia="Calibri" w:cs="Arial"/>
          <w:szCs w:val="22"/>
          <w:lang w:val="en-GB"/>
        </w:rPr>
        <w:t xml:space="preserve"> </w:t>
      </w:r>
      <w:r w:rsidRPr="009C48DA" w:rsidR="007C3C90">
        <w:rPr>
          <w:rFonts w:eastAsia="Calibri" w:cs="Arial"/>
          <w:szCs w:val="22"/>
          <w:lang w:val="en-GB"/>
        </w:rPr>
        <w:t>the strengthening of the pound sterling versus the euro, and the corresponding remeasurement of the Group’s euro borrowings</w:t>
      </w:r>
      <w:r w:rsidRPr="009C48DA">
        <w:rPr>
          <w:rFonts w:eastAsia="Calibri" w:cs="Arial"/>
          <w:szCs w:val="22"/>
          <w:lang w:val="en-GB"/>
        </w:rPr>
        <w:t>.</w:t>
      </w:r>
    </w:p>
    <w:p w:rsidRPr="009C48DA" w:rsidR="00B51E80" w:rsidP="006815FE" w:rsidRDefault="00B51E80" w14:paraId="3FD87396" w14:textId="77777777">
      <w:pPr>
        <w:pStyle w:val="TitleBI"/>
        <w:rPr>
          <w:lang w:val="en-GB"/>
        </w:rPr>
      </w:pPr>
      <w:r w:rsidRPr="009C48DA">
        <w:rPr>
          <w:lang w:val="en-GB"/>
        </w:rPr>
        <w:t>EBITDA</w:t>
      </w:r>
    </w:p>
    <w:p w:rsidRPr="009C48DA" w:rsidR="00B51E80" w:rsidP="007F7AA9" w:rsidRDefault="00B51E80" w14:paraId="6DD7187B" w14:textId="6AB95C60">
      <w:pPr>
        <w:pStyle w:val="BodyText2SglJ"/>
        <w:rPr>
          <w:szCs w:val="22"/>
          <w:lang w:val="en-GB"/>
        </w:rPr>
      </w:pPr>
      <w:r w:rsidRPr="009C48DA">
        <w:rPr>
          <w:szCs w:val="22"/>
          <w:lang w:val="en-GB"/>
        </w:rPr>
        <w:t>EBITDA increased by £</w:t>
      </w:r>
      <w:r w:rsidRPr="009C48DA" w:rsidR="00A152A7">
        <w:rPr>
          <w:szCs w:val="22"/>
          <w:lang w:val="en-GB"/>
        </w:rPr>
        <w:t>28.2</w:t>
      </w:r>
      <w:r w:rsidRPr="009C48DA">
        <w:rPr>
          <w:szCs w:val="22"/>
          <w:lang w:val="en-GB"/>
        </w:rPr>
        <w:t xml:space="preserve"> million</w:t>
      </w:r>
      <w:r w:rsidRPr="009C48DA" w:rsidR="007C3C90">
        <w:rPr>
          <w:szCs w:val="22"/>
          <w:lang w:val="en-GB"/>
        </w:rPr>
        <w:t xml:space="preserve"> </w:t>
      </w:r>
      <w:r w:rsidRPr="009C48DA">
        <w:rPr>
          <w:szCs w:val="22"/>
          <w:lang w:val="en-GB"/>
        </w:rPr>
        <w:t>from £(</w:t>
      </w:r>
      <w:r w:rsidRPr="009C48DA" w:rsidR="00CF47B6">
        <w:rPr>
          <w:szCs w:val="22"/>
          <w:lang w:val="en-GB"/>
        </w:rPr>
        <w:t>0</w:t>
      </w:r>
      <w:r w:rsidRPr="009C48DA">
        <w:rPr>
          <w:szCs w:val="22"/>
          <w:lang w:val="en-GB"/>
        </w:rPr>
        <w:t>.</w:t>
      </w:r>
      <w:r w:rsidRPr="009C48DA" w:rsidR="00CF47B6">
        <w:rPr>
          <w:szCs w:val="22"/>
          <w:lang w:val="en-GB"/>
        </w:rPr>
        <w:t>5</w:t>
      </w:r>
      <w:r w:rsidRPr="009C48DA">
        <w:rPr>
          <w:szCs w:val="22"/>
          <w:lang w:val="en-GB"/>
        </w:rPr>
        <w:t>) million for the three months ended 31 March 2020 to £2</w:t>
      </w:r>
      <w:r w:rsidRPr="009C48DA" w:rsidR="00A152A7">
        <w:rPr>
          <w:szCs w:val="22"/>
          <w:lang w:val="en-GB"/>
        </w:rPr>
        <w:t>7.7</w:t>
      </w:r>
      <w:r w:rsidRPr="009C48DA">
        <w:rPr>
          <w:szCs w:val="22"/>
          <w:lang w:val="en-GB"/>
        </w:rPr>
        <w:t xml:space="preserve"> million for the three months ended 31 March 2021. This increase was primarily due to increased total operating income, which outpaced the growth in operating expenses, primarily due to the contribution of the acquired EQT Credit business, management fees from the </w:t>
      </w:r>
      <w:r w:rsidRPr="009C48DA" w:rsidR="007F7AA9">
        <w:rPr>
          <w:rFonts w:eastAsia="Calibri" w:cs="Arial"/>
          <w:szCs w:val="20"/>
          <w:lang w:val="en-GB"/>
        </w:rPr>
        <w:t xml:space="preserve">Bridgepoint </w:t>
      </w:r>
      <w:r w:rsidRPr="009C48DA">
        <w:rPr>
          <w:szCs w:val="22"/>
          <w:lang w:val="en-GB"/>
        </w:rPr>
        <w:t xml:space="preserve">Development Capital IV fund, </w:t>
      </w:r>
      <w:r w:rsidRPr="009C48DA">
        <w:rPr>
          <w:szCs w:val="22"/>
          <w:lang w:val="en-GB"/>
        </w:rPr>
        <w:lastRenderedPageBreak/>
        <w:t>which started charging management fees on 1 January 2021, and substantial increases of net carried interest and investment income in the first quarter of 2021 compared to the prior year period.</w:t>
      </w:r>
    </w:p>
    <w:p w:rsidRPr="009C48DA" w:rsidR="00B51E80" w:rsidP="006815FE" w:rsidRDefault="00B51E80" w14:paraId="6FD32276" w14:textId="77777777">
      <w:pPr>
        <w:pStyle w:val="TitleBI"/>
        <w:rPr>
          <w:lang w:val="en-GB"/>
        </w:rPr>
      </w:pPr>
      <w:r w:rsidRPr="009C48DA">
        <w:rPr>
          <w:lang w:val="en-GB"/>
        </w:rPr>
        <w:t>Depreciation and amortisation expense</w:t>
      </w:r>
    </w:p>
    <w:p w:rsidRPr="009C48DA" w:rsidR="00B51E80" w:rsidP="00B51E80" w:rsidRDefault="00B51E80" w14:paraId="11DE0BC5" w14:textId="56663CD6">
      <w:pPr>
        <w:pStyle w:val="BodyText2SglJ"/>
        <w:rPr>
          <w:rFonts w:eastAsia="Calibri" w:cs="Arial"/>
          <w:szCs w:val="22"/>
          <w:lang w:val="en-GB"/>
        </w:rPr>
      </w:pPr>
      <w:r w:rsidRPr="009C48DA">
        <w:rPr>
          <w:lang w:val="en-GB"/>
        </w:rPr>
        <w:t>Depreciation</w:t>
      </w:r>
      <w:r w:rsidRPr="009C48DA">
        <w:rPr>
          <w:szCs w:val="22"/>
          <w:lang w:val="en-GB"/>
        </w:rPr>
        <w:t xml:space="preserve"> and amortisation expense increased by </w:t>
      </w:r>
      <w:r w:rsidRPr="009C48DA">
        <w:rPr>
          <w:rFonts w:cs="Times New Roman"/>
          <w:szCs w:val="22"/>
          <w:lang w:val="en-GB"/>
        </w:rPr>
        <w:t>£</w:t>
      </w:r>
      <w:r w:rsidRPr="009C48DA">
        <w:rPr>
          <w:szCs w:val="22"/>
          <w:lang w:val="en-GB"/>
        </w:rPr>
        <w:t>1.</w:t>
      </w:r>
      <w:r w:rsidRPr="009C48DA" w:rsidR="00CF47B6">
        <w:rPr>
          <w:szCs w:val="22"/>
          <w:lang w:val="en-GB"/>
        </w:rPr>
        <w:t>2</w:t>
      </w:r>
      <w:r w:rsidRPr="009C48DA">
        <w:rPr>
          <w:szCs w:val="22"/>
          <w:lang w:val="en-GB"/>
        </w:rPr>
        <w:t xml:space="preserve"> million, or </w:t>
      </w:r>
      <w:r w:rsidRPr="009C48DA" w:rsidR="002D5746">
        <w:rPr>
          <w:szCs w:val="22"/>
          <w:lang w:val="en-GB"/>
        </w:rPr>
        <w:t>60.0</w:t>
      </w:r>
      <w:r w:rsidRPr="009C48DA">
        <w:rPr>
          <w:szCs w:val="22"/>
          <w:lang w:val="en-GB"/>
        </w:rPr>
        <w:t xml:space="preserve"> </w:t>
      </w:r>
      <w:r w:rsidRPr="009C48DA">
        <w:rPr>
          <w:lang w:val="en-GB"/>
        </w:rPr>
        <w:t>per cent</w:t>
      </w:r>
      <w:r w:rsidRPr="009C48DA">
        <w:rPr>
          <w:szCs w:val="22"/>
          <w:lang w:val="en-GB"/>
        </w:rPr>
        <w:t xml:space="preserve">, from £2.0 million for the three months ended 31 March 2020 to </w:t>
      </w:r>
      <w:r w:rsidRPr="009C48DA">
        <w:rPr>
          <w:rFonts w:cs="Times New Roman"/>
          <w:szCs w:val="22"/>
          <w:lang w:val="en-GB"/>
        </w:rPr>
        <w:t>£</w:t>
      </w:r>
      <w:r w:rsidRPr="009C48DA">
        <w:rPr>
          <w:szCs w:val="22"/>
          <w:lang w:val="en-GB"/>
        </w:rPr>
        <w:t>3.</w:t>
      </w:r>
      <w:r w:rsidRPr="009C48DA" w:rsidR="00CF47B6">
        <w:rPr>
          <w:szCs w:val="22"/>
          <w:lang w:val="en-GB"/>
        </w:rPr>
        <w:t>2</w:t>
      </w:r>
      <w:r w:rsidRPr="009C48DA">
        <w:rPr>
          <w:szCs w:val="22"/>
          <w:lang w:val="en-GB"/>
        </w:rPr>
        <w:t xml:space="preserve"> million for the three months ended 31 March 2021. This increase was primarily due to inclusion of three months of amortisation relating to the intangible assets acquired with the EQT Credit business of £0.8 million</w:t>
      </w:r>
      <w:r w:rsidRPr="009C48DA" w:rsidR="002D5746">
        <w:rPr>
          <w:szCs w:val="22"/>
          <w:lang w:val="en-GB"/>
        </w:rPr>
        <w:t xml:space="preserve"> (fund customer relationships)</w:t>
      </w:r>
      <w:r w:rsidRPr="009C48DA">
        <w:rPr>
          <w:szCs w:val="22"/>
          <w:lang w:val="en-GB"/>
        </w:rPr>
        <w:t xml:space="preserve"> together with greater depreciation on other assets (property and IT related). </w:t>
      </w:r>
      <w:r w:rsidRPr="009C48DA" w:rsidR="0015173D">
        <w:rPr>
          <w:szCs w:val="22"/>
          <w:lang w:val="en-GB"/>
        </w:rPr>
        <w:t xml:space="preserve">The </w:t>
      </w:r>
      <w:r w:rsidRPr="009C48DA" w:rsidR="002D5746">
        <w:rPr>
          <w:szCs w:val="22"/>
          <w:lang w:val="en-GB"/>
        </w:rPr>
        <w:t>goodwill arising from</w:t>
      </w:r>
      <w:r w:rsidRPr="009C48DA" w:rsidR="0015173D">
        <w:rPr>
          <w:szCs w:val="22"/>
          <w:lang w:val="en-GB"/>
        </w:rPr>
        <w:t xml:space="preserve"> the EQT Credit business is not amortised, although amortisation of approximately £3 million per year </w:t>
      </w:r>
      <w:r w:rsidRPr="009C48DA" w:rsidR="002D5746">
        <w:rPr>
          <w:szCs w:val="22"/>
          <w:lang w:val="en-GB"/>
        </w:rPr>
        <w:t>is</w:t>
      </w:r>
      <w:r w:rsidRPr="009C48DA" w:rsidR="0015173D">
        <w:rPr>
          <w:szCs w:val="22"/>
          <w:lang w:val="en-GB"/>
        </w:rPr>
        <w:t xml:space="preserve"> required</w:t>
      </w:r>
      <w:r w:rsidRPr="009C48DA" w:rsidR="002D5746">
        <w:rPr>
          <w:szCs w:val="22"/>
          <w:lang w:val="en-GB"/>
        </w:rPr>
        <w:t xml:space="preserve"> on the acquired intangible assets</w:t>
      </w:r>
      <w:r w:rsidRPr="009C48DA" w:rsidR="0015173D">
        <w:rPr>
          <w:szCs w:val="22"/>
          <w:lang w:val="en-GB"/>
        </w:rPr>
        <w:t>. The remainder of the amortisation expense relates primarily to property leases and is not expected to increase materially. As a result, depreciation and amortisation expense as a percentage of EBITDA is expected to continue to reduce.</w:t>
      </w:r>
    </w:p>
    <w:p w:rsidRPr="009C48DA" w:rsidR="00B51E80" w:rsidP="006815FE" w:rsidRDefault="00B51E80" w14:paraId="0E7644A2" w14:textId="7FBFC81F">
      <w:pPr>
        <w:pStyle w:val="TitleBI"/>
        <w:rPr>
          <w:lang w:val="en-GB"/>
        </w:rPr>
      </w:pPr>
      <w:r w:rsidRPr="009C48DA">
        <w:rPr>
          <w:lang w:val="en-GB"/>
        </w:rPr>
        <w:t>Total operating (loss)</w:t>
      </w:r>
      <w:r w:rsidRPr="009C48DA" w:rsidR="00864C99">
        <w:rPr>
          <w:lang w:val="en-GB"/>
        </w:rPr>
        <w:t xml:space="preserve"> / profit</w:t>
      </w:r>
    </w:p>
    <w:p w:rsidRPr="009C48DA" w:rsidR="00672B9A" w:rsidP="00672B9A" w:rsidRDefault="00672B9A" w14:paraId="60B8FCBF" w14:textId="4A0340D6">
      <w:pPr>
        <w:pStyle w:val="BodyText2SglJ"/>
        <w:rPr>
          <w:szCs w:val="22"/>
          <w:lang w:val="en-GB"/>
        </w:rPr>
      </w:pPr>
      <w:r w:rsidRPr="009C48DA">
        <w:rPr>
          <w:lang w:val="en-GB"/>
        </w:rPr>
        <w:t>Total</w:t>
      </w:r>
      <w:r w:rsidRPr="009C48DA">
        <w:rPr>
          <w:szCs w:val="22"/>
          <w:lang w:val="en-GB"/>
        </w:rPr>
        <w:t xml:space="preserve"> </w:t>
      </w:r>
      <w:r w:rsidRPr="009C48DA">
        <w:rPr>
          <w:lang w:val="en-GB"/>
        </w:rPr>
        <w:t>operating</w:t>
      </w:r>
      <w:r w:rsidRPr="009C48DA">
        <w:rPr>
          <w:szCs w:val="22"/>
          <w:lang w:val="en-GB"/>
        </w:rPr>
        <w:t xml:space="preserve"> (loss) / profit increased by </w:t>
      </w:r>
      <w:r w:rsidRPr="009C48DA">
        <w:rPr>
          <w:rFonts w:cs="Times New Roman"/>
          <w:szCs w:val="22"/>
          <w:lang w:val="en-GB"/>
        </w:rPr>
        <w:t>£</w:t>
      </w:r>
      <w:r w:rsidRPr="009C48DA">
        <w:rPr>
          <w:szCs w:val="22"/>
          <w:lang w:val="en-GB"/>
        </w:rPr>
        <w:t>2</w:t>
      </w:r>
      <w:r w:rsidRPr="009C48DA" w:rsidR="00A152A7">
        <w:rPr>
          <w:szCs w:val="22"/>
          <w:lang w:val="en-GB"/>
        </w:rPr>
        <w:t>7.0</w:t>
      </w:r>
      <w:r w:rsidRPr="009C48DA">
        <w:rPr>
          <w:szCs w:val="22"/>
          <w:lang w:val="en-GB"/>
        </w:rPr>
        <w:t xml:space="preserve"> million from a loss of </w:t>
      </w:r>
      <w:r w:rsidRPr="009C48DA">
        <w:rPr>
          <w:rFonts w:cs="Times New Roman"/>
          <w:szCs w:val="22"/>
          <w:lang w:val="en-GB"/>
        </w:rPr>
        <w:t>£</w:t>
      </w:r>
      <w:r w:rsidRPr="009C48DA">
        <w:rPr>
          <w:szCs w:val="22"/>
          <w:lang w:val="en-GB"/>
        </w:rPr>
        <w:t xml:space="preserve">2.5 million for the three months ended 31 March 2020 to a profit of </w:t>
      </w:r>
      <w:r w:rsidRPr="009C48DA">
        <w:rPr>
          <w:rFonts w:cs="Times New Roman"/>
          <w:szCs w:val="22"/>
          <w:lang w:val="en-GB"/>
        </w:rPr>
        <w:t>£2</w:t>
      </w:r>
      <w:r w:rsidRPr="009C48DA" w:rsidR="00A152A7">
        <w:rPr>
          <w:rFonts w:cs="Times New Roman"/>
          <w:szCs w:val="22"/>
          <w:lang w:val="en-GB"/>
        </w:rPr>
        <w:t>4.5</w:t>
      </w:r>
      <w:r w:rsidRPr="009C48DA">
        <w:rPr>
          <w:szCs w:val="22"/>
          <w:lang w:val="en-GB"/>
        </w:rPr>
        <w:t xml:space="preserve"> million for the three months ended 31 March 2021.</w:t>
      </w:r>
    </w:p>
    <w:p w:rsidRPr="009C48DA" w:rsidR="00B51E80" w:rsidP="00672B9A" w:rsidRDefault="00672B9A" w14:paraId="5D712A24" w14:textId="2E2FF8B8">
      <w:pPr>
        <w:pStyle w:val="BodyText2SglJ"/>
        <w:rPr>
          <w:szCs w:val="22"/>
          <w:lang w:val="en-GB"/>
        </w:rPr>
      </w:pPr>
      <w:r w:rsidRPr="009C48DA">
        <w:rPr>
          <w:szCs w:val="22"/>
          <w:lang w:val="en-GB"/>
        </w:rPr>
        <w:t>The operating margin increased from (8.</w:t>
      </w:r>
      <w:r w:rsidRPr="009C48DA" w:rsidR="00A152A7">
        <w:rPr>
          <w:szCs w:val="22"/>
          <w:lang w:val="en-GB"/>
        </w:rPr>
        <w:t>8</w:t>
      </w:r>
      <w:r w:rsidRPr="009C48DA">
        <w:rPr>
          <w:szCs w:val="22"/>
          <w:lang w:val="en-GB"/>
        </w:rPr>
        <w:t xml:space="preserve">) </w:t>
      </w:r>
      <w:r w:rsidRPr="009C48DA">
        <w:rPr>
          <w:lang w:val="en-GB"/>
        </w:rPr>
        <w:t>per cent</w:t>
      </w:r>
      <w:r w:rsidRPr="009C48DA">
        <w:rPr>
          <w:szCs w:val="22"/>
          <w:lang w:val="en-GB"/>
        </w:rPr>
        <w:t xml:space="preserve"> for the three months ended 31 March 2020 to 39.</w:t>
      </w:r>
      <w:r w:rsidRPr="009C48DA" w:rsidR="00A152A7">
        <w:rPr>
          <w:szCs w:val="22"/>
          <w:lang w:val="en-GB"/>
        </w:rPr>
        <w:t>9</w:t>
      </w:r>
      <w:r w:rsidRPr="009C48DA">
        <w:rPr>
          <w:lang w:val="en-GB"/>
        </w:rPr>
        <w:t xml:space="preserve"> per cent</w:t>
      </w:r>
      <w:r w:rsidRPr="009C48DA">
        <w:rPr>
          <w:szCs w:val="22"/>
          <w:lang w:val="en-GB"/>
        </w:rPr>
        <w:t xml:space="preserve"> for the three months ended 31 March 2021.</w:t>
      </w:r>
    </w:p>
    <w:p w:rsidRPr="009C48DA" w:rsidR="00B51E80" w:rsidP="00B51E80" w:rsidRDefault="00B51E80" w14:paraId="596A8DE1" w14:textId="5AF37080">
      <w:pPr>
        <w:pStyle w:val="BodyText2SglJ"/>
        <w:rPr>
          <w:rFonts w:eastAsia="Calibri" w:cs="Arial"/>
          <w:szCs w:val="22"/>
          <w:lang w:val="en-GB"/>
        </w:rPr>
      </w:pPr>
      <w:r w:rsidRPr="009C48DA">
        <w:rPr>
          <w:szCs w:val="22"/>
          <w:lang w:val="en-GB"/>
        </w:rPr>
        <w:t xml:space="preserve">The increase in </w:t>
      </w:r>
      <w:r w:rsidRPr="009C48DA" w:rsidR="00864C99">
        <w:rPr>
          <w:szCs w:val="22"/>
          <w:lang w:val="en-GB"/>
        </w:rPr>
        <w:t xml:space="preserve">total </w:t>
      </w:r>
      <w:r w:rsidRPr="009C48DA">
        <w:rPr>
          <w:szCs w:val="22"/>
          <w:lang w:val="en-GB"/>
        </w:rPr>
        <w:t>operating profit</w:t>
      </w:r>
      <w:r w:rsidRPr="009C48DA" w:rsidR="007F0DBD">
        <w:rPr>
          <w:szCs w:val="22"/>
          <w:lang w:val="en-GB"/>
        </w:rPr>
        <w:t xml:space="preserve"> </w:t>
      </w:r>
      <w:r w:rsidRPr="009C48DA">
        <w:rPr>
          <w:szCs w:val="22"/>
          <w:lang w:val="en-GB"/>
        </w:rPr>
        <w:t>/</w:t>
      </w:r>
      <w:r w:rsidRPr="009C48DA" w:rsidR="007F0DBD">
        <w:rPr>
          <w:szCs w:val="22"/>
          <w:lang w:val="en-GB"/>
        </w:rPr>
        <w:t xml:space="preserve"> </w:t>
      </w:r>
      <w:r w:rsidRPr="009C48DA">
        <w:rPr>
          <w:szCs w:val="22"/>
          <w:lang w:val="en-GB"/>
        </w:rPr>
        <w:t>(loss) was primarily due to increased total operating income, which outpaced the growth in operating expenses, primarily due to</w:t>
      </w:r>
      <w:r w:rsidRPr="009C48DA">
        <w:rPr>
          <w:lang w:val="en-GB"/>
        </w:rPr>
        <w:t xml:space="preserve"> the contribution of the acquired EQT Credit business, management fees from the </w:t>
      </w:r>
      <w:r w:rsidRPr="009C48DA" w:rsidR="007F7AA9">
        <w:rPr>
          <w:rFonts w:eastAsia="Calibri" w:cs="Arial"/>
          <w:szCs w:val="20"/>
          <w:lang w:val="en-GB"/>
        </w:rPr>
        <w:t xml:space="preserve">Bridgepoint </w:t>
      </w:r>
      <w:r w:rsidRPr="009C48DA">
        <w:rPr>
          <w:lang w:val="en-GB"/>
        </w:rPr>
        <w:t xml:space="preserve">Development Capital IV fund, which started charging management fees on 1 January 2021, and </w:t>
      </w:r>
      <w:r w:rsidRPr="009C48DA">
        <w:rPr>
          <w:szCs w:val="22"/>
          <w:lang w:val="en-GB"/>
        </w:rPr>
        <w:t xml:space="preserve">substantial increases of net </w:t>
      </w:r>
      <w:r w:rsidRPr="009C48DA">
        <w:rPr>
          <w:lang w:val="en-GB"/>
        </w:rPr>
        <w:t>carried interest and investment income in the first quarter of 2021 compared to the prior year period</w:t>
      </w:r>
      <w:r w:rsidRPr="009C48DA">
        <w:rPr>
          <w:szCs w:val="22"/>
          <w:lang w:val="en-GB"/>
        </w:rPr>
        <w:t>.</w:t>
      </w:r>
    </w:p>
    <w:p w:rsidRPr="009C48DA" w:rsidR="00B51E80" w:rsidP="006815FE" w:rsidRDefault="00B51E80" w14:paraId="67D1D2AB" w14:textId="77777777">
      <w:pPr>
        <w:pStyle w:val="TitleBI"/>
        <w:rPr>
          <w:lang w:val="en-GB"/>
        </w:rPr>
      </w:pPr>
      <w:r w:rsidRPr="009C48DA">
        <w:rPr>
          <w:lang w:val="en-GB"/>
        </w:rPr>
        <w:t xml:space="preserve">Finance income and expenses </w:t>
      </w:r>
    </w:p>
    <w:p w:rsidRPr="009C48DA" w:rsidR="00447D95" w:rsidP="00B51E80" w:rsidRDefault="00BA203F" w14:paraId="2AA79DF9" w14:textId="69FFDBBE">
      <w:pPr>
        <w:pStyle w:val="BodyText2SglJ"/>
        <w:rPr>
          <w:rFonts w:eastAsia="Calibri" w:cs="Arial"/>
          <w:lang w:val="en-GB"/>
        </w:rPr>
      </w:pPr>
      <w:r w:rsidRPr="009C48DA">
        <w:rPr>
          <w:rFonts w:eastAsia="Calibri" w:cs="Arial"/>
          <w:szCs w:val="22"/>
          <w:lang w:val="en-GB"/>
        </w:rPr>
        <w:t xml:space="preserve">Net finance income reduced by </w:t>
      </w:r>
      <w:r w:rsidRPr="009C48DA">
        <w:rPr>
          <w:rFonts w:eastAsia="Calibri" w:cs="Times New Roman"/>
          <w:szCs w:val="22"/>
          <w:lang w:val="en-GB"/>
        </w:rPr>
        <w:t>£</w:t>
      </w:r>
      <w:r w:rsidRPr="009C48DA">
        <w:rPr>
          <w:rFonts w:eastAsia="Calibri" w:cs="Arial"/>
          <w:szCs w:val="22"/>
          <w:lang w:val="en-GB"/>
        </w:rPr>
        <w:t>4.</w:t>
      </w:r>
      <w:r w:rsidRPr="009C48DA" w:rsidR="002F35CA">
        <w:rPr>
          <w:rFonts w:eastAsia="Calibri" w:cs="Arial"/>
          <w:szCs w:val="22"/>
          <w:lang w:val="en-GB"/>
        </w:rPr>
        <w:t xml:space="preserve">3 million, </w:t>
      </w:r>
      <w:r w:rsidRPr="009C48DA">
        <w:rPr>
          <w:rFonts w:eastAsia="Calibri" w:cs="Arial"/>
          <w:szCs w:val="22"/>
          <w:lang w:val="en-GB"/>
        </w:rPr>
        <w:t xml:space="preserve">from net finance income of </w:t>
      </w:r>
      <w:r w:rsidRPr="009C48DA">
        <w:rPr>
          <w:rFonts w:eastAsia="Calibri" w:cs="Times New Roman"/>
          <w:szCs w:val="22"/>
          <w:lang w:val="en-GB"/>
        </w:rPr>
        <w:t>£1.2</w:t>
      </w:r>
      <w:r w:rsidRPr="009C48DA">
        <w:rPr>
          <w:rFonts w:eastAsia="Calibri" w:cs="Arial"/>
          <w:szCs w:val="22"/>
          <w:lang w:val="en-GB"/>
        </w:rPr>
        <w:t xml:space="preserve"> million for the three months ended 31 March 2020 to net finance expense of </w:t>
      </w:r>
      <w:r w:rsidRPr="009C48DA">
        <w:rPr>
          <w:rFonts w:eastAsia="Calibri" w:cs="Times New Roman"/>
          <w:szCs w:val="22"/>
          <w:lang w:val="en-GB"/>
        </w:rPr>
        <w:t>£</w:t>
      </w:r>
      <w:r w:rsidRPr="009C48DA">
        <w:rPr>
          <w:rFonts w:eastAsia="Calibri" w:cs="Arial"/>
          <w:szCs w:val="22"/>
          <w:lang w:val="en-GB"/>
        </w:rPr>
        <w:t xml:space="preserve">3.1 million for the three months ended 31 March 2021. This movement was primarily due to an increase in amounts payable to </w:t>
      </w:r>
      <w:r w:rsidRPr="009C48DA" w:rsidR="00EF20D3">
        <w:rPr>
          <w:rFonts w:eastAsia="Calibri" w:cs="Arial"/>
          <w:szCs w:val="22"/>
          <w:lang w:val="en-GB"/>
        </w:rPr>
        <w:t xml:space="preserve">related party investors </w:t>
      </w:r>
      <w:r w:rsidRPr="009C48DA">
        <w:rPr>
          <w:rFonts w:eastAsia="Calibri" w:cs="Arial"/>
          <w:szCs w:val="22"/>
          <w:lang w:val="en-GB"/>
        </w:rPr>
        <w:t xml:space="preserve">in Opal Investments LP, who have a 15 </w:t>
      </w:r>
      <w:r w:rsidRPr="009C48DA">
        <w:rPr>
          <w:rFonts w:eastAsia="Calibri" w:cs="Arial"/>
          <w:lang w:val="en-GB"/>
        </w:rPr>
        <w:t>per cent</w:t>
      </w:r>
      <w:r w:rsidRPr="009C48DA">
        <w:rPr>
          <w:rFonts w:eastAsia="Calibri" w:cs="Arial"/>
          <w:szCs w:val="22"/>
          <w:lang w:val="en-GB"/>
        </w:rPr>
        <w:t xml:space="preserve"> interest in the profits of the vehicle, and increased interest expense from </w:t>
      </w:r>
      <w:r w:rsidRPr="009C48DA" w:rsidR="00887260">
        <w:rPr>
          <w:rFonts w:eastAsia="Calibri" w:cs="Arial"/>
          <w:szCs w:val="22"/>
          <w:lang w:val="en-GB"/>
        </w:rPr>
        <w:t xml:space="preserve">borrowings under </w:t>
      </w:r>
      <w:r w:rsidRPr="009C48DA">
        <w:rPr>
          <w:rFonts w:eastAsia="Calibri" w:cs="Arial"/>
          <w:szCs w:val="22"/>
          <w:lang w:val="en-GB"/>
        </w:rPr>
        <w:t xml:space="preserve">the BAH </w:t>
      </w:r>
      <w:r w:rsidRPr="009C48DA">
        <w:rPr>
          <w:rFonts w:eastAsia="Calibri" w:cs="Arial"/>
          <w:lang w:val="en-GB"/>
        </w:rPr>
        <w:t>Revolving Credit Facility used, in part, for financing the acquisition of the EQT Credit business.</w:t>
      </w:r>
    </w:p>
    <w:p w:rsidRPr="009C48DA" w:rsidR="00B51E80" w:rsidP="00B51E80" w:rsidRDefault="00BA203F" w14:paraId="778BD378" w14:textId="3197E136">
      <w:pPr>
        <w:pStyle w:val="BodyText2SglJ"/>
        <w:rPr>
          <w:rFonts w:eastAsia="Calibri" w:cs="Arial"/>
          <w:szCs w:val="22"/>
          <w:lang w:val="en-GB"/>
        </w:rPr>
      </w:pPr>
      <w:r w:rsidRPr="009C48DA">
        <w:rPr>
          <w:rFonts w:eastAsia="Calibri" w:cs="Arial"/>
          <w:lang w:val="en-GB"/>
        </w:rPr>
        <w:t xml:space="preserve">The Group’s borrowings in the three months ended 31 March 2021 were high relative to typical levels due to the acquisition of the EQT Credit business. </w:t>
      </w:r>
      <w:r w:rsidRPr="009C48DA" w:rsidR="00672B9A">
        <w:rPr>
          <w:rFonts w:eastAsia="Calibri" w:cs="Arial"/>
          <w:lang w:val="en-GB"/>
        </w:rPr>
        <w:t xml:space="preserve">The Group expects that </w:t>
      </w:r>
      <w:r w:rsidRPr="009C48DA" w:rsidR="00672B9A">
        <w:rPr>
          <w:rFonts w:eastAsia="Calibri" w:cs="Arial"/>
          <w:szCs w:val="22"/>
          <w:lang w:val="en-GB"/>
        </w:rPr>
        <w:t xml:space="preserve">finance expense will normalise at approximately £4 million per annum, principally relating to property leases, as the outstanding amounts under the BAH Revolving Credit Facility are expected to be repaid with the proceeds </w:t>
      </w:r>
      <w:r w:rsidRPr="009C48DA" w:rsidR="00480351">
        <w:rPr>
          <w:rFonts w:eastAsia="Calibri" w:cs="Arial"/>
          <w:szCs w:val="22"/>
          <w:lang w:val="en-GB"/>
        </w:rPr>
        <w:t>of the</w:t>
      </w:r>
      <w:r w:rsidRPr="009C48DA" w:rsidR="00672B9A">
        <w:rPr>
          <w:rFonts w:eastAsia="Calibri" w:cs="Arial"/>
          <w:szCs w:val="22"/>
          <w:lang w:val="en-GB"/>
        </w:rPr>
        <w:t xml:space="preserve"> potential initial public offering.</w:t>
      </w:r>
    </w:p>
    <w:p w:rsidRPr="009C48DA" w:rsidR="00B51E80" w:rsidP="006815FE" w:rsidRDefault="00B51E80" w14:paraId="4A3C8B45" w14:textId="1C366A5B">
      <w:pPr>
        <w:pStyle w:val="TitleBI"/>
        <w:rPr>
          <w:lang w:val="en-GB"/>
        </w:rPr>
      </w:pPr>
      <w:r w:rsidRPr="009C48DA">
        <w:rPr>
          <w:lang w:val="en-GB"/>
        </w:rPr>
        <w:t>Income tax charge</w:t>
      </w:r>
    </w:p>
    <w:p w:rsidRPr="009C48DA" w:rsidR="00B51E80" w:rsidP="00B51E80" w:rsidRDefault="00B51E80" w14:paraId="0FB7A678" w14:textId="7A7C90D0">
      <w:pPr>
        <w:pStyle w:val="BodyText2SglJ"/>
        <w:rPr>
          <w:rFonts w:eastAsia="Calibri" w:cs="Arial"/>
          <w:szCs w:val="22"/>
          <w:lang w:val="en-GB"/>
        </w:rPr>
      </w:pPr>
      <w:r w:rsidRPr="009C48DA">
        <w:rPr>
          <w:rFonts w:eastAsia="Calibri" w:cs="Arial"/>
          <w:szCs w:val="22"/>
          <w:lang w:val="en-GB"/>
        </w:rPr>
        <w:t xml:space="preserve">Income tax charge </w:t>
      </w:r>
      <w:r w:rsidRPr="009C48DA" w:rsidR="00887260">
        <w:rPr>
          <w:rFonts w:eastAsia="Calibri" w:cs="Arial"/>
          <w:szCs w:val="22"/>
          <w:lang w:val="en-GB"/>
        </w:rPr>
        <w:t>increased</w:t>
      </w:r>
      <w:r w:rsidRPr="009C48DA">
        <w:rPr>
          <w:rFonts w:eastAsia="Calibri" w:cs="Arial"/>
          <w:szCs w:val="22"/>
          <w:lang w:val="en-GB"/>
        </w:rPr>
        <w:t xml:space="preserve"> by </w:t>
      </w:r>
      <w:r w:rsidRPr="009C48DA">
        <w:rPr>
          <w:rFonts w:eastAsia="Calibri" w:cs="Times New Roman"/>
          <w:szCs w:val="22"/>
          <w:lang w:val="en-GB"/>
        </w:rPr>
        <w:t>£</w:t>
      </w:r>
      <w:r w:rsidRPr="009C48DA" w:rsidR="00BA203F">
        <w:rPr>
          <w:rFonts w:eastAsia="Calibri" w:cs="Times New Roman"/>
          <w:szCs w:val="22"/>
          <w:lang w:val="en-GB"/>
        </w:rPr>
        <w:t>2.4</w:t>
      </w:r>
      <w:r w:rsidRPr="009C48DA">
        <w:rPr>
          <w:rFonts w:eastAsia="Calibri" w:cs="Arial"/>
          <w:szCs w:val="22"/>
          <w:lang w:val="en-GB"/>
        </w:rPr>
        <w:t xml:space="preserve"> million from a </w:t>
      </w:r>
      <w:r w:rsidRPr="009C48DA" w:rsidR="0015173D">
        <w:rPr>
          <w:rFonts w:eastAsia="Calibri" w:cs="Arial"/>
          <w:szCs w:val="22"/>
          <w:lang w:val="en-GB"/>
        </w:rPr>
        <w:t xml:space="preserve">charge </w:t>
      </w:r>
      <w:r w:rsidRPr="009C48DA">
        <w:rPr>
          <w:rFonts w:eastAsia="Calibri" w:cs="Arial"/>
          <w:szCs w:val="22"/>
          <w:lang w:val="en-GB"/>
        </w:rPr>
        <w:t xml:space="preserve">of </w:t>
      </w:r>
      <w:r w:rsidRPr="009C48DA">
        <w:rPr>
          <w:rFonts w:eastAsia="Calibri" w:cs="Times New Roman"/>
          <w:szCs w:val="22"/>
          <w:lang w:val="en-GB"/>
        </w:rPr>
        <w:t>£</w:t>
      </w:r>
      <w:r w:rsidRPr="009C48DA" w:rsidR="00BA203F">
        <w:rPr>
          <w:rFonts w:eastAsia="Calibri" w:cs="Times New Roman"/>
          <w:szCs w:val="22"/>
          <w:lang w:val="en-GB"/>
        </w:rPr>
        <w:t>0.3</w:t>
      </w:r>
      <w:r w:rsidRPr="009C48DA">
        <w:rPr>
          <w:rFonts w:eastAsia="Calibri" w:cs="Arial"/>
          <w:szCs w:val="22"/>
          <w:lang w:val="en-GB"/>
        </w:rPr>
        <w:t xml:space="preserve"> million for the three </w:t>
      </w:r>
      <w:r w:rsidRPr="009C48DA">
        <w:rPr>
          <w:rFonts w:eastAsia="Calibri" w:cs="Arial"/>
          <w:lang w:val="en-GB"/>
        </w:rPr>
        <w:t>months</w:t>
      </w:r>
      <w:r w:rsidRPr="009C48DA">
        <w:rPr>
          <w:rFonts w:eastAsia="Calibri" w:cs="Arial"/>
          <w:szCs w:val="22"/>
          <w:lang w:val="en-GB"/>
        </w:rPr>
        <w:t xml:space="preserve"> ended 31 March 2020 to a </w:t>
      </w:r>
      <w:r w:rsidRPr="009C48DA" w:rsidR="0015173D">
        <w:rPr>
          <w:rFonts w:eastAsia="Calibri" w:cs="Arial"/>
          <w:szCs w:val="22"/>
          <w:lang w:val="en-GB"/>
        </w:rPr>
        <w:t xml:space="preserve">charge </w:t>
      </w:r>
      <w:r w:rsidRPr="009C48DA">
        <w:rPr>
          <w:rFonts w:eastAsia="Calibri" w:cs="Arial"/>
          <w:szCs w:val="22"/>
          <w:lang w:val="en-GB"/>
        </w:rPr>
        <w:t xml:space="preserve">of </w:t>
      </w:r>
      <w:r w:rsidRPr="009C48DA">
        <w:rPr>
          <w:rFonts w:eastAsia="Calibri" w:cs="Times New Roman"/>
          <w:szCs w:val="22"/>
          <w:lang w:val="en-GB"/>
        </w:rPr>
        <w:t>£</w:t>
      </w:r>
      <w:r w:rsidRPr="009C48DA" w:rsidR="00BA203F">
        <w:rPr>
          <w:rFonts w:eastAsia="Calibri" w:cs="Times New Roman"/>
          <w:szCs w:val="22"/>
          <w:lang w:val="en-GB"/>
        </w:rPr>
        <w:t>2.7</w:t>
      </w:r>
      <w:r w:rsidRPr="009C48DA">
        <w:rPr>
          <w:rFonts w:eastAsia="Calibri" w:cs="Arial"/>
          <w:szCs w:val="22"/>
          <w:lang w:val="en-GB"/>
        </w:rPr>
        <w:t xml:space="preserve"> million for the three months ended 31 March 2021. This was primarily due to movements in the deferred tax liabilities.</w:t>
      </w:r>
    </w:p>
    <w:p w:rsidRPr="009C48DA" w:rsidR="00B51E80" w:rsidP="00B51E80" w:rsidRDefault="00B51E80" w14:paraId="1FED511B" w14:textId="77777777">
      <w:pPr>
        <w:pStyle w:val="TitleB"/>
        <w:rPr>
          <w:lang w:val="en-GB"/>
        </w:rPr>
      </w:pPr>
      <w:r w:rsidRPr="009C48DA">
        <w:rPr>
          <w:lang w:val="en-GB"/>
        </w:rPr>
        <w:lastRenderedPageBreak/>
        <w:t>Year ended 31 December 2020 compared with year ended 31 December 2019</w:t>
      </w:r>
    </w:p>
    <w:p w:rsidRPr="009C48DA" w:rsidR="00B51E80" w:rsidP="00672B9A" w:rsidRDefault="00B51E80" w14:paraId="6E4D314D" w14:textId="33D1748C">
      <w:pPr>
        <w:pStyle w:val="BodyText2SglJ"/>
        <w:keepNext/>
        <w:rPr>
          <w:rFonts w:eastAsia="Calibri" w:cs="Arial"/>
          <w:lang w:val="en-GB"/>
        </w:rPr>
      </w:pPr>
      <w:r w:rsidRPr="009C48DA">
        <w:rPr>
          <w:rFonts w:eastAsia="Calibri" w:cs="Arial"/>
          <w:lang w:val="en-GB"/>
        </w:rPr>
        <w:t xml:space="preserve">The following table sets out the Group’s consolidated income statement, extracted from the Historical Financial Information set out in </w:t>
      </w:r>
      <w:r w:rsidRPr="009C48DA">
        <w:rPr>
          <w:rFonts w:eastAsia="Calibri" w:cs="Arial"/>
          <w:lang w:val="en-GB"/>
        </w:rPr>
        <w:fldChar w:fldCharType="begin"/>
      </w:r>
      <w:r w:rsidRPr="009C48DA">
        <w:rPr>
          <w:rFonts w:eastAsia="Calibri" w:cs="Arial"/>
          <w:lang w:val="en-GB"/>
        </w:rPr>
        <w:instrText xml:space="preserve"> REF _Ref72800070 \n \h  \* MERGEFORMAT </w:instrText>
      </w:r>
      <w:r w:rsidRPr="009C48DA">
        <w:rPr>
          <w:rFonts w:eastAsia="Calibri" w:cs="Arial"/>
          <w:lang w:val="en-GB"/>
        </w:rPr>
      </w:r>
      <w:r w:rsidRPr="009C48DA">
        <w:rPr>
          <w:rFonts w:eastAsia="Calibri" w:cs="Arial"/>
          <w:lang w:val="en-GB"/>
        </w:rPr>
        <w:fldChar w:fldCharType="separate"/>
      </w:r>
      <w:r w:rsidR="007C3D19">
        <w:rPr>
          <w:rFonts w:eastAsia="Calibri" w:cs="Arial"/>
          <w:lang w:val="en-GB"/>
        </w:rPr>
        <w:t>Part B</w:t>
      </w:r>
      <w:r w:rsidRPr="009C48DA">
        <w:rPr>
          <w:rFonts w:eastAsia="Calibri" w:cs="Arial"/>
          <w:lang w:val="en-GB"/>
        </w:rPr>
        <w:fldChar w:fldCharType="end"/>
      </w:r>
      <w:r w:rsidRPr="009C48DA">
        <w:rPr>
          <w:rFonts w:eastAsia="Calibri" w:cs="Arial"/>
          <w:lang w:val="en-GB"/>
        </w:rPr>
        <w:t xml:space="preserve"> of </w:t>
      </w:r>
      <w:r w:rsidRPr="009C48DA">
        <w:rPr>
          <w:rFonts w:eastAsia="Calibri" w:cs="Arial"/>
          <w:lang w:val="en-GB"/>
        </w:rPr>
        <w:fldChar w:fldCharType="begin"/>
      </w:r>
      <w:r w:rsidRPr="009C48DA">
        <w:rPr>
          <w:rFonts w:eastAsia="Calibri" w:cs="Arial"/>
          <w:lang w:val="en-GB"/>
        </w:rPr>
        <w:instrText xml:space="preserve"> REF _Ref72800077 \n \h  \* MERGEFORMAT </w:instrText>
      </w:r>
      <w:r w:rsidRPr="009C48DA">
        <w:rPr>
          <w:rFonts w:eastAsia="Calibri" w:cs="Arial"/>
          <w:lang w:val="en-GB"/>
        </w:rPr>
      </w:r>
      <w:r w:rsidRPr="009C48DA">
        <w:rPr>
          <w:rFonts w:eastAsia="Calibri" w:cs="Arial"/>
          <w:lang w:val="en-GB"/>
        </w:rPr>
        <w:fldChar w:fldCharType="separate"/>
      </w:r>
      <w:r w:rsidR="007C3D19">
        <w:rPr>
          <w:rFonts w:eastAsia="Calibri" w:cs="Arial"/>
          <w:lang w:val="en-GB"/>
        </w:rPr>
        <w:t>Part X</w:t>
      </w:r>
      <w:r w:rsidRPr="009C48DA">
        <w:rPr>
          <w:rFonts w:eastAsia="Calibri" w:cs="Arial"/>
          <w:lang w:val="en-GB"/>
        </w:rPr>
        <w:fldChar w:fldCharType="end"/>
      </w:r>
      <w:r w:rsidRPr="009C48DA">
        <w:rPr>
          <w:rFonts w:eastAsia="Calibri" w:cs="Arial"/>
          <w:lang w:val="en-GB"/>
        </w:rPr>
        <w:t> </w:t>
      </w:r>
      <w:r w:rsidRPr="009C48DA" w:rsidR="002A042A">
        <w:rPr>
          <w:rFonts w:eastAsia="Times New Roman" w:cs="Times New Roman"/>
          <w:color w:val="000000"/>
          <w:szCs w:val="22"/>
          <w:lang w:val="en-GB"/>
        </w:rPr>
        <w:t>(</w:t>
      </w:r>
      <w:r w:rsidRPr="009C48DA" w:rsidR="002A042A">
        <w:rPr>
          <w:rFonts w:eastAsia="Times New Roman" w:cs="Times New Roman"/>
          <w:i/>
          <w:color w:val="000000"/>
          <w:szCs w:val="22"/>
          <w:lang w:val="en-GB"/>
        </w:rPr>
      </w:r>
      <w:r w:rsidRPr="007C3D19" w:rsidR="007C3D19">
        <w:rPr>
          <w:i/>
          <w:lang w:val="en-GB"/>
        </w:rPr>
        <w:t>Historical Financial Information</w:t>
      </w:r>
      <w:r w:rsidRPr="009C48DA" w:rsidR="002A042A">
        <w:rPr>
          <w:rFonts w:eastAsia="Times New Roman" w:cs="Times New Roman"/>
          <w:color w:val="000000"/>
          <w:szCs w:val="22"/>
          <w:lang w:val="en-GB"/>
        </w:rPr>
        <w:t>)</w:t>
      </w:r>
      <w:r w:rsidRPr="009C48DA">
        <w:rPr>
          <w:rFonts w:eastAsia="Calibri" w:cs="Arial"/>
          <w:lang w:val="en-GB"/>
        </w:rPr>
        <w:t>, for the years ended 31 December 2020 and 2019:</w:t>
      </w:r>
    </w:p>
    <w:tbl>
      <w:tblPr>
        <w:tblW w:w="8642" w:type="dxa"/>
        <w:tblLayout w:type="fixed"/>
        <w:tblLook w:val="04A0" w:firstRow="1" w:lastRow="0" w:firstColumn="1" w:lastColumn="0" w:noHBand="0" w:noVBand="1"/>
      </w:tblPr>
      <w:tblGrid>
        <w:gridCol w:w="5670"/>
        <w:gridCol w:w="1413"/>
        <w:gridCol w:w="1559"/>
      </w:tblGrid>
      <w:tr w:rsidRPr="009C48DA" w:rsidR="00672B9A" w:rsidTr="0036034E" w14:paraId="62A88F04" w14:textId="77777777">
        <w:trPr>
          <w:trHeight w:val="74"/>
        </w:trPr>
        <w:tc>
          <w:tcPr>
            <w:tcW w:w="5670" w:type="dxa"/>
            <w:shd w:val="clear" w:color="auto" w:fill="auto"/>
            <w:vAlign w:val="bottom"/>
          </w:tcPr>
          <w:p w:rsidRPr="009C48DA" w:rsidR="00672B9A" w:rsidP="0036034E" w:rsidRDefault="00672B9A" w14:paraId="770D7D7E" w14:textId="77777777">
            <w:pPr>
              <w:keepNext/>
              <w:tabs>
                <w:tab w:val="left" w:pos="5557"/>
              </w:tabs>
              <w:rPr>
                <w:rFonts w:eastAsia="Calibri" w:cs="Times New Roman"/>
                <w:b/>
                <w:sz w:val="20"/>
                <w:szCs w:val="20"/>
                <w:lang w:val="en-GB"/>
              </w:rPr>
            </w:pPr>
          </w:p>
        </w:tc>
        <w:tc>
          <w:tcPr>
            <w:tcW w:w="2972" w:type="dxa"/>
            <w:gridSpan w:val="2"/>
            <w:shd w:val="clear" w:color="auto" w:fill="auto"/>
          </w:tcPr>
          <w:p w:rsidRPr="009C48DA" w:rsidR="00672B9A" w:rsidP="0036034E" w:rsidRDefault="00672B9A" w14:paraId="5B94485A" w14:textId="77777777">
            <w:pPr>
              <w:keepNext/>
              <w:pBdr>
                <w:bottom w:val="single" w:color="auto" w:sz="4" w:space="1"/>
              </w:pBdr>
              <w:tabs>
                <w:tab w:val="left" w:pos="5557"/>
              </w:tabs>
              <w:jc w:val="center"/>
              <w:rPr>
                <w:rFonts w:eastAsia="Calibri" w:cs="Times New Roman"/>
                <w:b/>
                <w:sz w:val="20"/>
                <w:szCs w:val="20"/>
                <w:lang w:val="en-GB"/>
              </w:rPr>
            </w:pPr>
            <w:r w:rsidRPr="009C48DA">
              <w:rPr>
                <w:rFonts w:eastAsia="Calibri" w:cs="Times New Roman"/>
                <w:b/>
                <w:sz w:val="20"/>
                <w:szCs w:val="20"/>
                <w:lang w:val="en-GB"/>
              </w:rPr>
              <w:t>For the year ended 31 December</w:t>
            </w:r>
          </w:p>
        </w:tc>
      </w:tr>
      <w:tr w:rsidRPr="009C48DA" w:rsidR="00672B9A" w:rsidTr="0036034E" w14:paraId="16A8B099" w14:textId="77777777">
        <w:trPr>
          <w:trHeight w:val="74"/>
        </w:trPr>
        <w:tc>
          <w:tcPr>
            <w:tcW w:w="5670" w:type="dxa"/>
            <w:shd w:val="clear" w:color="auto" w:fill="auto"/>
            <w:vAlign w:val="bottom"/>
          </w:tcPr>
          <w:p w:rsidRPr="009C48DA" w:rsidR="00672B9A" w:rsidP="0036034E" w:rsidRDefault="00672B9A" w14:paraId="778382FD" w14:textId="77777777">
            <w:pPr>
              <w:keepNext/>
              <w:tabs>
                <w:tab w:val="left" w:pos="5557"/>
              </w:tabs>
              <w:rPr>
                <w:rFonts w:eastAsia="Calibri" w:cs="Times New Roman"/>
                <w:b/>
                <w:sz w:val="20"/>
                <w:szCs w:val="20"/>
                <w:lang w:val="en-GB"/>
              </w:rPr>
            </w:pPr>
          </w:p>
        </w:tc>
        <w:tc>
          <w:tcPr>
            <w:tcW w:w="1413" w:type="dxa"/>
            <w:shd w:val="clear" w:color="auto" w:fill="auto"/>
          </w:tcPr>
          <w:p w:rsidRPr="009C48DA" w:rsidR="00672B9A" w:rsidP="0036034E" w:rsidRDefault="00672B9A" w14:paraId="0B450B64" w14:textId="77777777">
            <w:pPr>
              <w:keepNext/>
              <w:pBdr>
                <w:bottom w:val="single" w:color="auto" w:sz="4" w:space="1"/>
              </w:pBdr>
              <w:tabs>
                <w:tab w:val="left" w:pos="5557"/>
              </w:tabs>
              <w:jc w:val="center"/>
              <w:rPr>
                <w:rFonts w:eastAsia="Calibri" w:cs="Times New Roman"/>
                <w:b/>
                <w:sz w:val="20"/>
                <w:szCs w:val="20"/>
                <w:lang w:val="en-GB"/>
              </w:rPr>
            </w:pPr>
            <w:r w:rsidRPr="009C48DA">
              <w:rPr>
                <w:rFonts w:eastAsia="Calibri" w:cs="Times New Roman"/>
                <w:b/>
                <w:sz w:val="20"/>
                <w:szCs w:val="20"/>
                <w:lang w:val="en-GB"/>
              </w:rPr>
              <w:t>2019</w:t>
            </w:r>
          </w:p>
        </w:tc>
        <w:tc>
          <w:tcPr>
            <w:tcW w:w="1559" w:type="dxa"/>
            <w:shd w:val="clear" w:color="auto" w:fill="auto"/>
          </w:tcPr>
          <w:p w:rsidRPr="009C48DA" w:rsidR="00672B9A" w:rsidP="0036034E" w:rsidRDefault="00672B9A" w14:paraId="72D2A8F5" w14:textId="77777777">
            <w:pPr>
              <w:keepNext/>
              <w:pBdr>
                <w:bottom w:val="single" w:color="auto" w:sz="4" w:space="1"/>
              </w:pBdr>
              <w:tabs>
                <w:tab w:val="left" w:pos="5557"/>
              </w:tabs>
              <w:jc w:val="center"/>
              <w:rPr>
                <w:rFonts w:eastAsia="Calibri" w:cs="Times New Roman"/>
                <w:b/>
                <w:sz w:val="20"/>
                <w:szCs w:val="20"/>
                <w:lang w:val="en-GB"/>
              </w:rPr>
            </w:pPr>
            <w:r w:rsidRPr="009C48DA">
              <w:rPr>
                <w:rFonts w:eastAsia="Calibri" w:cs="Times New Roman"/>
                <w:b/>
                <w:sz w:val="20"/>
                <w:szCs w:val="20"/>
                <w:lang w:val="en-GB"/>
              </w:rPr>
              <w:t>2020</w:t>
            </w:r>
          </w:p>
        </w:tc>
      </w:tr>
      <w:tr w:rsidRPr="009C48DA" w:rsidR="00672B9A" w:rsidTr="0036034E" w14:paraId="2E684819" w14:textId="77777777">
        <w:trPr>
          <w:trHeight w:val="74"/>
        </w:trPr>
        <w:tc>
          <w:tcPr>
            <w:tcW w:w="5670" w:type="dxa"/>
            <w:shd w:val="clear" w:color="auto" w:fill="auto"/>
            <w:vAlign w:val="bottom"/>
          </w:tcPr>
          <w:p w:rsidRPr="009C48DA" w:rsidR="00672B9A" w:rsidP="0036034E" w:rsidRDefault="00672B9A" w14:paraId="608B9F25" w14:textId="77777777">
            <w:pPr>
              <w:keepNext/>
              <w:tabs>
                <w:tab w:val="right" w:leader="dot" w:pos="4628"/>
                <w:tab w:val="left" w:pos="5557"/>
              </w:tabs>
              <w:rPr>
                <w:rFonts w:eastAsia="Calibri" w:cs="Times New Roman"/>
                <w:sz w:val="20"/>
                <w:szCs w:val="20"/>
                <w:lang w:val="en-GB"/>
              </w:rPr>
            </w:pPr>
          </w:p>
        </w:tc>
        <w:tc>
          <w:tcPr>
            <w:tcW w:w="2972" w:type="dxa"/>
            <w:gridSpan w:val="2"/>
            <w:shd w:val="clear" w:color="auto" w:fill="auto"/>
            <w:vAlign w:val="bottom"/>
          </w:tcPr>
          <w:p w:rsidRPr="009C48DA" w:rsidR="00672B9A" w:rsidP="0036034E" w:rsidRDefault="00672B9A" w14:paraId="676525CE" w14:textId="77777777">
            <w:pPr>
              <w:keepNext/>
              <w:tabs>
                <w:tab w:val="left" w:pos="5557"/>
              </w:tabs>
              <w:jc w:val="center"/>
              <w:rPr>
                <w:rFonts w:eastAsia="Calibri" w:cs="Times New Roman"/>
                <w:sz w:val="20"/>
                <w:szCs w:val="20"/>
                <w:lang w:val="en-GB"/>
              </w:rPr>
            </w:pPr>
            <w:r w:rsidRPr="009C48DA">
              <w:rPr>
                <w:rFonts w:eastAsia="Calibri" w:cs="Times New Roman"/>
                <w:sz w:val="20"/>
                <w:szCs w:val="20"/>
                <w:lang w:val="en-GB"/>
              </w:rPr>
              <w:t>(£ in millions)</w:t>
            </w:r>
          </w:p>
        </w:tc>
      </w:tr>
      <w:tr w:rsidRPr="009C48DA" w:rsidR="00672B9A" w:rsidTr="0036034E" w14:paraId="335B5F9F" w14:textId="77777777">
        <w:tc>
          <w:tcPr>
            <w:tcW w:w="5670" w:type="dxa"/>
            <w:shd w:val="clear" w:color="auto" w:fill="auto"/>
            <w:vAlign w:val="bottom"/>
          </w:tcPr>
          <w:p w:rsidRPr="009C48DA" w:rsidR="00672B9A" w:rsidP="0036034E" w:rsidRDefault="00672B9A" w14:paraId="71A2AF03" w14:textId="77777777">
            <w:pPr>
              <w:keepNext/>
              <w:tabs>
                <w:tab w:val="right" w:leader="dot" w:pos="5515"/>
                <w:tab w:val="left" w:pos="5557"/>
              </w:tabs>
              <w:rPr>
                <w:rFonts w:eastAsia="Calibri" w:cs="Times New Roman"/>
                <w:sz w:val="20"/>
                <w:szCs w:val="20"/>
                <w:lang w:val="en-GB"/>
              </w:rPr>
            </w:pPr>
            <w:r w:rsidRPr="009C48DA">
              <w:rPr>
                <w:rFonts w:eastAsia="Calibri" w:cs="Times New Roman"/>
                <w:sz w:val="20"/>
                <w:szCs w:val="20"/>
                <w:lang w:val="en-GB"/>
              </w:rPr>
              <w:t>Management fees</w:t>
            </w:r>
            <w:r w:rsidRPr="009C48DA">
              <w:rPr>
                <w:rFonts w:eastAsia="Calibri" w:cs="Times New Roman"/>
                <w:sz w:val="20"/>
                <w:szCs w:val="20"/>
                <w:lang w:val="en-GB"/>
              </w:rPr>
              <w:tab/>
            </w:r>
          </w:p>
        </w:tc>
        <w:tc>
          <w:tcPr>
            <w:tcW w:w="1413" w:type="dxa"/>
            <w:shd w:val="clear" w:color="auto" w:fill="auto"/>
            <w:vAlign w:val="bottom"/>
          </w:tcPr>
          <w:p w:rsidRPr="009C48DA" w:rsidR="00672B9A" w:rsidP="0036034E" w:rsidRDefault="00672B9A" w14:paraId="0920EE52" w14:textId="77777777">
            <w:pPr>
              <w:tabs>
                <w:tab w:val="left" w:pos="5557"/>
              </w:tabs>
              <w:jc w:val="right"/>
              <w:rPr>
                <w:rFonts w:eastAsia="Calibri" w:cs="Arial"/>
                <w:sz w:val="20"/>
                <w:szCs w:val="20"/>
                <w:lang w:val="en-GB"/>
              </w:rPr>
            </w:pPr>
            <w:r w:rsidRPr="009C48DA">
              <w:rPr>
                <w:rFonts w:eastAsia="Calibri" w:cs="Arial"/>
                <w:sz w:val="20"/>
                <w:szCs w:val="20"/>
                <w:lang w:val="en-GB"/>
              </w:rPr>
              <w:t>143.9</w:t>
            </w:r>
          </w:p>
        </w:tc>
        <w:tc>
          <w:tcPr>
            <w:tcW w:w="1559" w:type="dxa"/>
            <w:shd w:val="clear" w:color="auto" w:fill="auto"/>
            <w:vAlign w:val="bottom"/>
          </w:tcPr>
          <w:p w:rsidRPr="009C48DA" w:rsidR="00672B9A" w:rsidP="0036034E" w:rsidRDefault="00672B9A" w14:paraId="4F636660" w14:textId="77777777">
            <w:pPr>
              <w:tabs>
                <w:tab w:val="left" w:pos="5557"/>
              </w:tabs>
              <w:jc w:val="right"/>
              <w:rPr>
                <w:rFonts w:eastAsia="Calibri" w:cs="Arial"/>
                <w:sz w:val="20"/>
                <w:szCs w:val="20"/>
                <w:lang w:val="en-GB"/>
              </w:rPr>
            </w:pPr>
            <w:r w:rsidRPr="009C48DA">
              <w:rPr>
                <w:rFonts w:eastAsia="Calibri" w:cs="Arial"/>
                <w:sz w:val="20"/>
                <w:szCs w:val="20"/>
                <w:lang w:val="en-GB"/>
              </w:rPr>
              <w:t>148.6</w:t>
            </w:r>
          </w:p>
        </w:tc>
      </w:tr>
      <w:tr w:rsidRPr="009C48DA" w:rsidR="00672B9A" w:rsidTr="0036034E" w14:paraId="5C96A70C" w14:textId="77777777">
        <w:tc>
          <w:tcPr>
            <w:tcW w:w="5670" w:type="dxa"/>
            <w:shd w:val="clear" w:color="auto" w:fill="auto"/>
            <w:vAlign w:val="bottom"/>
          </w:tcPr>
          <w:p w:rsidRPr="009C48DA" w:rsidR="00672B9A" w:rsidP="0036034E" w:rsidRDefault="00672B9A" w14:paraId="53701C12" w14:textId="77777777">
            <w:pPr>
              <w:keepNext/>
              <w:tabs>
                <w:tab w:val="right" w:leader="dot" w:pos="5518"/>
                <w:tab w:val="left" w:pos="5557"/>
              </w:tabs>
              <w:rPr>
                <w:rFonts w:eastAsia="Calibri" w:cs="Times New Roman"/>
                <w:sz w:val="20"/>
                <w:szCs w:val="20"/>
                <w:lang w:val="en-GB"/>
              </w:rPr>
            </w:pPr>
            <w:r w:rsidRPr="009C48DA">
              <w:rPr>
                <w:rFonts w:eastAsia="Calibri" w:cs="Times New Roman"/>
                <w:sz w:val="20"/>
                <w:szCs w:val="20"/>
                <w:lang w:val="en-GB"/>
              </w:rPr>
              <w:t>Carried interest</w:t>
            </w:r>
            <w:r w:rsidRPr="009C48DA">
              <w:rPr>
                <w:rFonts w:eastAsia="Calibri" w:cs="Arial"/>
                <w:sz w:val="20"/>
                <w:szCs w:val="20"/>
                <w:lang w:val="en-GB"/>
              </w:rPr>
              <w:tab/>
            </w:r>
          </w:p>
        </w:tc>
        <w:tc>
          <w:tcPr>
            <w:tcW w:w="1413" w:type="dxa"/>
            <w:shd w:val="clear" w:color="auto" w:fill="auto"/>
            <w:vAlign w:val="bottom"/>
          </w:tcPr>
          <w:p w:rsidRPr="009C48DA" w:rsidR="00672B9A" w:rsidP="0036034E" w:rsidRDefault="00672B9A" w14:paraId="0EF1B90E" w14:textId="77777777">
            <w:pPr>
              <w:tabs>
                <w:tab w:val="left" w:pos="5557"/>
              </w:tabs>
              <w:jc w:val="right"/>
              <w:rPr>
                <w:rFonts w:eastAsia="Calibri" w:cs="Arial"/>
                <w:sz w:val="20"/>
                <w:szCs w:val="20"/>
                <w:lang w:val="en-GB"/>
              </w:rPr>
            </w:pPr>
            <w:r w:rsidRPr="009C48DA">
              <w:rPr>
                <w:rFonts w:eastAsia="Calibri" w:cs="Arial"/>
                <w:sz w:val="20"/>
                <w:szCs w:val="20"/>
                <w:lang w:val="en-GB"/>
              </w:rPr>
              <w:t>9.6</w:t>
            </w:r>
          </w:p>
        </w:tc>
        <w:tc>
          <w:tcPr>
            <w:tcW w:w="1559" w:type="dxa"/>
            <w:shd w:val="clear" w:color="auto" w:fill="auto"/>
            <w:vAlign w:val="bottom"/>
          </w:tcPr>
          <w:p w:rsidRPr="009C48DA" w:rsidR="00672B9A" w:rsidP="0036034E" w:rsidRDefault="00672B9A" w14:paraId="6A5511BE" w14:textId="77777777">
            <w:pPr>
              <w:tabs>
                <w:tab w:val="left" w:pos="5557"/>
              </w:tabs>
              <w:jc w:val="right"/>
              <w:rPr>
                <w:rFonts w:eastAsia="Calibri" w:cs="Arial"/>
                <w:sz w:val="20"/>
                <w:szCs w:val="20"/>
                <w:lang w:val="en-GB"/>
              </w:rPr>
            </w:pPr>
            <w:r w:rsidRPr="009C48DA">
              <w:rPr>
                <w:rFonts w:eastAsia="Calibri" w:cs="Arial"/>
                <w:sz w:val="20"/>
                <w:szCs w:val="20"/>
                <w:lang w:val="en-GB"/>
              </w:rPr>
              <w:t>12.9</w:t>
            </w:r>
          </w:p>
        </w:tc>
      </w:tr>
      <w:tr w:rsidRPr="009C48DA" w:rsidR="00672B9A" w:rsidTr="0036034E" w14:paraId="715C9B1B" w14:textId="77777777">
        <w:tc>
          <w:tcPr>
            <w:tcW w:w="5670" w:type="dxa"/>
            <w:shd w:val="clear" w:color="auto" w:fill="auto"/>
            <w:vAlign w:val="bottom"/>
          </w:tcPr>
          <w:p w:rsidRPr="009C48DA" w:rsidR="00672B9A" w:rsidP="0036034E" w:rsidRDefault="00672B9A" w14:paraId="1A936F52" w14:textId="77777777">
            <w:pPr>
              <w:tabs>
                <w:tab w:val="right" w:leader="dot" w:pos="5518"/>
                <w:tab w:val="left" w:pos="5557"/>
              </w:tabs>
              <w:rPr>
                <w:rFonts w:eastAsia="Calibri" w:cs="Times New Roman"/>
                <w:sz w:val="20"/>
                <w:szCs w:val="20"/>
                <w:lang w:val="en-GB"/>
              </w:rPr>
            </w:pPr>
            <w:r w:rsidRPr="009C48DA">
              <w:rPr>
                <w:rFonts w:eastAsia="Calibri" w:cs="Times New Roman"/>
                <w:sz w:val="20"/>
                <w:szCs w:val="20"/>
                <w:lang w:val="en-GB"/>
              </w:rPr>
              <w:t>Fair value remeasurement of investments</w:t>
            </w:r>
          </w:p>
        </w:tc>
        <w:tc>
          <w:tcPr>
            <w:tcW w:w="1413" w:type="dxa"/>
            <w:shd w:val="clear" w:color="auto" w:fill="auto"/>
            <w:vAlign w:val="bottom"/>
          </w:tcPr>
          <w:p w:rsidRPr="009C48DA" w:rsidR="00672B9A" w:rsidP="0036034E" w:rsidRDefault="00672B9A" w14:paraId="25226F36" w14:textId="77777777">
            <w:pPr>
              <w:tabs>
                <w:tab w:val="left" w:pos="5557"/>
              </w:tabs>
              <w:jc w:val="right"/>
              <w:rPr>
                <w:rFonts w:eastAsia="Calibri" w:cs="Arial"/>
                <w:sz w:val="20"/>
                <w:szCs w:val="20"/>
                <w:lang w:val="en-GB"/>
              </w:rPr>
            </w:pPr>
            <w:r w:rsidRPr="009C48DA">
              <w:rPr>
                <w:rFonts w:eastAsia="Calibri" w:cs="Arial"/>
                <w:sz w:val="20"/>
                <w:szCs w:val="20"/>
                <w:lang w:val="en-GB"/>
              </w:rPr>
              <w:t>14.5</w:t>
            </w:r>
          </w:p>
        </w:tc>
        <w:tc>
          <w:tcPr>
            <w:tcW w:w="1559" w:type="dxa"/>
            <w:shd w:val="clear" w:color="auto" w:fill="auto"/>
            <w:vAlign w:val="bottom"/>
          </w:tcPr>
          <w:p w:rsidRPr="009C48DA" w:rsidR="00672B9A" w:rsidP="0036034E" w:rsidRDefault="00672B9A" w14:paraId="35113CF7" w14:textId="77777777">
            <w:pPr>
              <w:tabs>
                <w:tab w:val="left" w:pos="5557"/>
              </w:tabs>
              <w:jc w:val="right"/>
              <w:rPr>
                <w:rFonts w:eastAsia="Calibri" w:cs="Arial"/>
                <w:sz w:val="20"/>
                <w:szCs w:val="20"/>
                <w:lang w:val="en-GB"/>
              </w:rPr>
            </w:pPr>
            <w:r w:rsidRPr="009C48DA">
              <w:rPr>
                <w:rFonts w:eastAsia="Calibri" w:cs="Arial"/>
                <w:sz w:val="20"/>
                <w:szCs w:val="20"/>
                <w:lang w:val="en-GB"/>
              </w:rPr>
              <w:t>29.4</w:t>
            </w:r>
          </w:p>
        </w:tc>
      </w:tr>
      <w:tr w:rsidRPr="009C48DA" w:rsidR="00672B9A" w:rsidTr="0036034E" w14:paraId="0F788892" w14:textId="77777777">
        <w:tc>
          <w:tcPr>
            <w:tcW w:w="5670" w:type="dxa"/>
            <w:shd w:val="clear" w:color="auto" w:fill="auto"/>
            <w:vAlign w:val="bottom"/>
          </w:tcPr>
          <w:p w:rsidRPr="009C48DA" w:rsidR="00672B9A" w:rsidP="0036034E" w:rsidRDefault="00672B9A" w14:paraId="08B750AD" w14:textId="77777777">
            <w:pPr>
              <w:tabs>
                <w:tab w:val="right" w:leader="dot" w:pos="5518"/>
                <w:tab w:val="left" w:pos="5557"/>
              </w:tabs>
              <w:rPr>
                <w:rFonts w:eastAsia="Calibri" w:cs="Times New Roman"/>
                <w:sz w:val="20"/>
                <w:szCs w:val="20"/>
                <w:lang w:val="en-GB"/>
              </w:rPr>
            </w:pPr>
            <w:r w:rsidRPr="009C48DA">
              <w:rPr>
                <w:rFonts w:eastAsia="Calibri" w:cs="Times New Roman"/>
                <w:sz w:val="20"/>
                <w:szCs w:val="20"/>
                <w:lang w:val="en-GB"/>
              </w:rPr>
              <w:t>Other operating income</w:t>
            </w:r>
            <w:r w:rsidRPr="009C48DA">
              <w:rPr>
                <w:rFonts w:eastAsia="Calibri" w:cs="Arial"/>
                <w:sz w:val="20"/>
                <w:szCs w:val="20"/>
                <w:lang w:val="en-GB"/>
              </w:rPr>
              <w:tab/>
            </w:r>
          </w:p>
        </w:tc>
        <w:tc>
          <w:tcPr>
            <w:tcW w:w="1413" w:type="dxa"/>
            <w:shd w:val="clear" w:color="auto" w:fill="auto"/>
            <w:vAlign w:val="bottom"/>
          </w:tcPr>
          <w:p w:rsidRPr="009C48DA" w:rsidR="00672B9A" w:rsidP="0036034E" w:rsidRDefault="00672B9A" w14:paraId="7B9EA5AE" w14:textId="77777777">
            <w:pPr>
              <w:pBdr>
                <w:bottom w:val="single" w:color="auto" w:sz="4" w:space="1"/>
              </w:pBdr>
              <w:tabs>
                <w:tab w:val="left" w:pos="5557"/>
              </w:tabs>
              <w:jc w:val="right"/>
              <w:rPr>
                <w:rFonts w:eastAsia="Calibri" w:cs="Arial"/>
                <w:sz w:val="20"/>
                <w:szCs w:val="20"/>
                <w:lang w:val="en-GB"/>
              </w:rPr>
            </w:pPr>
            <w:r w:rsidRPr="009C48DA">
              <w:rPr>
                <w:rFonts w:eastAsia="Calibri" w:cs="Arial"/>
                <w:sz w:val="20"/>
                <w:szCs w:val="20"/>
                <w:lang w:val="en-GB"/>
              </w:rPr>
              <w:t>1.9</w:t>
            </w:r>
          </w:p>
        </w:tc>
        <w:tc>
          <w:tcPr>
            <w:tcW w:w="1559" w:type="dxa"/>
            <w:shd w:val="clear" w:color="auto" w:fill="auto"/>
            <w:vAlign w:val="bottom"/>
          </w:tcPr>
          <w:p w:rsidRPr="009C48DA" w:rsidR="00672B9A" w:rsidP="0036034E" w:rsidRDefault="00672B9A" w14:paraId="10470431" w14:textId="77777777">
            <w:pPr>
              <w:pBdr>
                <w:bottom w:val="single" w:color="auto" w:sz="4" w:space="1"/>
              </w:pBdr>
              <w:tabs>
                <w:tab w:val="left" w:pos="5557"/>
              </w:tabs>
              <w:jc w:val="right"/>
              <w:rPr>
                <w:rFonts w:eastAsia="Calibri" w:cs="Arial"/>
                <w:sz w:val="20"/>
                <w:szCs w:val="20"/>
                <w:lang w:val="en-GB"/>
              </w:rPr>
            </w:pPr>
            <w:r w:rsidRPr="009C48DA">
              <w:rPr>
                <w:rFonts w:eastAsia="Calibri" w:cs="Arial"/>
                <w:sz w:val="20"/>
                <w:szCs w:val="20"/>
                <w:lang w:val="en-GB"/>
              </w:rPr>
              <w:t>0.9</w:t>
            </w:r>
          </w:p>
        </w:tc>
      </w:tr>
      <w:tr w:rsidRPr="009C48DA" w:rsidR="00672B9A" w:rsidTr="0036034E" w14:paraId="27321A6C" w14:textId="77777777">
        <w:tc>
          <w:tcPr>
            <w:tcW w:w="5670" w:type="dxa"/>
            <w:shd w:val="clear" w:color="auto" w:fill="auto"/>
            <w:vAlign w:val="bottom"/>
          </w:tcPr>
          <w:p w:rsidRPr="009C48DA" w:rsidR="00672B9A" w:rsidP="0036034E" w:rsidRDefault="00672B9A" w14:paraId="1E1C086E" w14:textId="77777777">
            <w:pPr>
              <w:tabs>
                <w:tab w:val="right" w:leader="dot" w:pos="5518"/>
                <w:tab w:val="left" w:pos="5557"/>
              </w:tabs>
              <w:rPr>
                <w:rFonts w:eastAsia="Calibri" w:cs="Times New Roman"/>
                <w:b/>
                <w:sz w:val="20"/>
                <w:szCs w:val="20"/>
                <w:lang w:val="en-GB"/>
              </w:rPr>
            </w:pPr>
            <w:r w:rsidRPr="009C48DA">
              <w:rPr>
                <w:rFonts w:eastAsia="Calibri" w:cs="Times New Roman"/>
                <w:b/>
                <w:sz w:val="20"/>
                <w:szCs w:val="20"/>
                <w:lang w:val="en-GB"/>
              </w:rPr>
              <w:t>Total operating income</w:t>
            </w:r>
            <w:r w:rsidRPr="009C48DA">
              <w:rPr>
                <w:rFonts w:eastAsia="Calibri" w:cs="Times New Roman"/>
                <w:sz w:val="20"/>
                <w:szCs w:val="20"/>
                <w:lang w:val="en-GB"/>
              </w:rPr>
              <w:tab/>
            </w:r>
          </w:p>
        </w:tc>
        <w:tc>
          <w:tcPr>
            <w:tcW w:w="1413" w:type="dxa"/>
            <w:shd w:val="clear" w:color="auto" w:fill="auto"/>
            <w:vAlign w:val="bottom"/>
          </w:tcPr>
          <w:p w:rsidRPr="009C48DA" w:rsidR="00672B9A" w:rsidP="0036034E" w:rsidRDefault="00672B9A" w14:paraId="347C3110" w14:textId="77777777">
            <w:pPr>
              <w:tabs>
                <w:tab w:val="left" w:pos="5557"/>
              </w:tabs>
              <w:jc w:val="right"/>
              <w:rPr>
                <w:rFonts w:eastAsia="Calibri" w:cs="Arial"/>
                <w:b/>
                <w:sz w:val="20"/>
                <w:szCs w:val="20"/>
                <w:lang w:val="en-GB"/>
              </w:rPr>
            </w:pPr>
            <w:r w:rsidRPr="009C48DA">
              <w:rPr>
                <w:rFonts w:eastAsia="Calibri" w:cs="Arial"/>
                <w:b/>
                <w:sz w:val="20"/>
                <w:szCs w:val="20"/>
                <w:lang w:val="en-GB"/>
              </w:rPr>
              <w:t>169.8</w:t>
            </w:r>
          </w:p>
        </w:tc>
        <w:tc>
          <w:tcPr>
            <w:tcW w:w="1559" w:type="dxa"/>
            <w:shd w:val="clear" w:color="auto" w:fill="auto"/>
            <w:vAlign w:val="bottom"/>
          </w:tcPr>
          <w:p w:rsidRPr="009C48DA" w:rsidR="00672B9A" w:rsidP="0036034E" w:rsidRDefault="00672B9A" w14:paraId="1B730922" w14:textId="77777777">
            <w:pPr>
              <w:tabs>
                <w:tab w:val="left" w:pos="5557"/>
              </w:tabs>
              <w:jc w:val="right"/>
              <w:rPr>
                <w:rFonts w:eastAsia="Calibri" w:cs="Arial"/>
                <w:b/>
                <w:sz w:val="20"/>
                <w:szCs w:val="20"/>
                <w:lang w:val="en-GB"/>
              </w:rPr>
            </w:pPr>
            <w:r w:rsidRPr="009C48DA">
              <w:rPr>
                <w:rFonts w:eastAsia="Calibri" w:cs="Arial"/>
                <w:b/>
                <w:sz w:val="20"/>
                <w:szCs w:val="20"/>
                <w:lang w:val="en-GB"/>
              </w:rPr>
              <w:t>191.8</w:t>
            </w:r>
          </w:p>
        </w:tc>
      </w:tr>
      <w:tr w:rsidRPr="009C48DA" w:rsidR="00672B9A" w:rsidTr="0036034E" w14:paraId="79E50701" w14:textId="77777777">
        <w:tc>
          <w:tcPr>
            <w:tcW w:w="5670" w:type="dxa"/>
            <w:shd w:val="clear" w:color="auto" w:fill="auto"/>
            <w:vAlign w:val="bottom"/>
          </w:tcPr>
          <w:p w:rsidRPr="009C48DA" w:rsidR="00672B9A" w:rsidP="0036034E" w:rsidRDefault="00672B9A" w14:paraId="482C5622" w14:textId="77777777">
            <w:pPr>
              <w:tabs>
                <w:tab w:val="right" w:leader="dot" w:pos="5518"/>
                <w:tab w:val="left" w:pos="5557"/>
              </w:tabs>
              <w:rPr>
                <w:rFonts w:eastAsia="Calibri" w:cs="Times New Roman"/>
                <w:sz w:val="20"/>
                <w:szCs w:val="20"/>
                <w:lang w:val="en-GB"/>
              </w:rPr>
            </w:pPr>
            <w:r w:rsidRPr="009C48DA">
              <w:rPr>
                <w:rFonts w:eastAsia="Calibri" w:cs="Times New Roman"/>
                <w:sz w:val="20"/>
                <w:szCs w:val="20"/>
                <w:lang w:val="en-GB"/>
              </w:rPr>
              <w:t>Personnel expenses</w:t>
            </w:r>
            <w:r w:rsidRPr="009C48DA">
              <w:rPr>
                <w:rFonts w:eastAsia="Calibri" w:cs="Times New Roman"/>
                <w:sz w:val="20"/>
                <w:szCs w:val="20"/>
                <w:lang w:val="en-GB"/>
              </w:rPr>
              <w:tab/>
            </w:r>
          </w:p>
        </w:tc>
        <w:tc>
          <w:tcPr>
            <w:tcW w:w="1413" w:type="dxa"/>
            <w:shd w:val="clear" w:color="auto" w:fill="auto"/>
            <w:vAlign w:val="bottom"/>
          </w:tcPr>
          <w:p w:rsidRPr="009C48DA" w:rsidR="00672B9A" w:rsidP="0036034E" w:rsidRDefault="00672B9A" w14:paraId="67F13954" w14:textId="77777777">
            <w:pPr>
              <w:tabs>
                <w:tab w:val="left" w:pos="5557"/>
              </w:tabs>
              <w:jc w:val="right"/>
              <w:rPr>
                <w:rFonts w:eastAsia="Calibri" w:cs="Arial"/>
                <w:sz w:val="20"/>
                <w:szCs w:val="20"/>
                <w:lang w:val="en-GB"/>
              </w:rPr>
            </w:pPr>
            <w:r w:rsidRPr="009C48DA">
              <w:rPr>
                <w:rFonts w:eastAsia="Calibri" w:cs="Arial"/>
                <w:sz w:val="20"/>
                <w:szCs w:val="20"/>
                <w:lang w:val="en-GB"/>
              </w:rPr>
              <w:t>(88.9)</w:t>
            </w:r>
          </w:p>
        </w:tc>
        <w:tc>
          <w:tcPr>
            <w:tcW w:w="1559" w:type="dxa"/>
            <w:shd w:val="clear" w:color="auto" w:fill="auto"/>
            <w:vAlign w:val="bottom"/>
          </w:tcPr>
          <w:p w:rsidRPr="009C48DA" w:rsidR="00672B9A" w:rsidP="0036034E" w:rsidRDefault="00672B9A" w14:paraId="2C3149B2" w14:textId="77777777">
            <w:pPr>
              <w:tabs>
                <w:tab w:val="left" w:pos="5557"/>
              </w:tabs>
              <w:jc w:val="right"/>
              <w:rPr>
                <w:rFonts w:eastAsia="Calibri" w:cs="Arial"/>
                <w:sz w:val="20"/>
                <w:szCs w:val="20"/>
                <w:lang w:val="en-GB"/>
              </w:rPr>
            </w:pPr>
            <w:r w:rsidRPr="009C48DA">
              <w:rPr>
                <w:rFonts w:eastAsia="Calibri" w:cs="Arial"/>
                <w:sz w:val="20"/>
                <w:szCs w:val="20"/>
                <w:lang w:val="en-GB"/>
              </w:rPr>
              <w:t>(96.3)</w:t>
            </w:r>
            <w:r w:rsidRPr="009C48DA" w:rsidDel="00EF3443">
              <w:rPr>
                <w:rFonts w:eastAsia="Calibri" w:cs="Arial"/>
                <w:sz w:val="20"/>
                <w:szCs w:val="20"/>
                <w:lang w:val="en-GB"/>
              </w:rPr>
              <w:t xml:space="preserve"> </w:t>
            </w:r>
          </w:p>
        </w:tc>
      </w:tr>
      <w:tr w:rsidRPr="009C48DA" w:rsidR="00672B9A" w:rsidTr="0036034E" w14:paraId="636DF3A7" w14:textId="77777777">
        <w:tc>
          <w:tcPr>
            <w:tcW w:w="5670" w:type="dxa"/>
            <w:shd w:val="clear" w:color="auto" w:fill="auto"/>
            <w:vAlign w:val="bottom"/>
          </w:tcPr>
          <w:p w:rsidRPr="009C48DA" w:rsidR="00672B9A" w:rsidP="0036034E" w:rsidRDefault="00672B9A" w14:paraId="624AAD4B" w14:textId="77777777">
            <w:pPr>
              <w:tabs>
                <w:tab w:val="right" w:leader="dot" w:pos="5518"/>
                <w:tab w:val="left" w:pos="5557"/>
              </w:tabs>
              <w:rPr>
                <w:rFonts w:eastAsia="Calibri" w:cs="Times New Roman"/>
                <w:sz w:val="20"/>
                <w:szCs w:val="20"/>
                <w:lang w:val="en-GB"/>
              </w:rPr>
            </w:pPr>
            <w:r w:rsidRPr="009C48DA">
              <w:rPr>
                <w:rFonts w:eastAsia="Calibri" w:cs="Times New Roman"/>
                <w:sz w:val="20"/>
                <w:szCs w:val="20"/>
                <w:lang w:val="en-GB"/>
              </w:rPr>
              <w:t>Other expenses</w:t>
            </w:r>
            <w:r w:rsidRPr="009C48DA">
              <w:rPr>
                <w:rFonts w:eastAsia="Calibri" w:cs="Arial"/>
                <w:sz w:val="20"/>
                <w:szCs w:val="20"/>
                <w:lang w:val="en-GB"/>
              </w:rPr>
              <w:tab/>
            </w:r>
          </w:p>
        </w:tc>
        <w:tc>
          <w:tcPr>
            <w:tcW w:w="1413" w:type="dxa"/>
            <w:shd w:val="clear" w:color="auto" w:fill="auto"/>
            <w:vAlign w:val="bottom"/>
          </w:tcPr>
          <w:p w:rsidRPr="009C48DA" w:rsidR="00672B9A" w:rsidP="0036034E" w:rsidRDefault="00672B9A" w14:paraId="65E700DE" w14:textId="77777777">
            <w:pPr>
              <w:tabs>
                <w:tab w:val="left" w:pos="5557"/>
              </w:tabs>
              <w:jc w:val="right"/>
              <w:rPr>
                <w:rFonts w:eastAsia="Calibri" w:cs="Arial"/>
                <w:sz w:val="20"/>
                <w:szCs w:val="20"/>
                <w:lang w:val="en-GB"/>
              </w:rPr>
            </w:pPr>
            <w:r w:rsidRPr="009C48DA">
              <w:rPr>
                <w:rFonts w:eastAsia="Calibri" w:cs="Arial"/>
                <w:sz w:val="20"/>
                <w:szCs w:val="20"/>
                <w:lang w:val="en-GB"/>
              </w:rPr>
              <w:t>(27.8)</w:t>
            </w:r>
            <w:r w:rsidRPr="009C48DA" w:rsidDel="00EF3443">
              <w:rPr>
                <w:rFonts w:eastAsia="Calibri" w:cs="Arial"/>
                <w:sz w:val="20"/>
                <w:szCs w:val="20"/>
                <w:lang w:val="en-GB"/>
              </w:rPr>
              <w:t xml:space="preserve"> </w:t>
            </w:r>
          </w:p>
        </w:tc>
        <w:tc>
          <w:tcPr>
            <w:tcW w:w="1559" w:type="dxa"/>
            <w:shd w:val="clear" w:color="auto" w:fill="auto"/>
            <w:vAlign w:val="bottom"/>
          </w:tcPr>
          <w:p w:rsidRPr="009C48DA" w:rsidR="00672B9A" w:rsidP="0036034E" w:rsidRDefault="00672B9A" w14:paraId="6A1930B1" w14:textId="77777777">
            <w:pPr>
              <w:tabs>
                <w:tab w:val="left" w:pos="5557"/>
              </w:tabs>
              <w:jc w:val="right"/>
              <w:rPr>
                <w:rFonts w:eastAsia="Calibri" w:cs="Arial"/>
                <w:sz w:val="20"/>
                <w:szCs w:val="20"/>
                <w:lang w:val="en-GB"/>
              </w:rPr>
            </w:pPr>
            <w:r w:rsidRPr="009C48DA">
              <w:rPr>
                <w:rFonts w:eastAsia="Calibri" w:cs="Arial"/>
                <w:sz w:val="20"/>
                <w:szCs w:val="20"/>
                <w:lang w:val="en-GB"/>
              </w:rPr>
              <w:t>(36.6)</w:t>
            </w:r>
            <w:r w:rsidRPr="009C48DA" w:rsidDel="00EF3443">
              <w:rPr>
                <w:rFonts w:eastAsia="Calibri" w:cs="Arial"/>
                <w:sz w:val="20"/>
                <w:szCs w:val="20"/>
                <w:lang w:val="en-GB"/>
              </w:rPr>
              <w:t xml:space="preserve"> </w:t>
            </w:r>
          </w:p>
        </w:tc>
      </w:tr>
      <w:tr w:rsidRPr="009C48DA" w:rsidR="00672B9A" w:rsidTr="0036034E" w14:paraId="38087CFE" w14:textId="77777777">
        <w:tc>
          <w:tcPr>
            <w:tcW w:w="5670" w:type="dxa"/>
            <w:shd w:val="clear" w:color="auto" w:fill="auto"/>
            <w:vAlign w:val="bottom"/>
          </w:tcPr>
          <w:p w:rsidRPr="009C48DA" w:rsidR="00672B9A" w:rsidP="0036034E" w:rsidRDefault="00672B9A" w14:paraId="0C294974" w14:textId="77777777">
            <w:pPr>
              <w:tabs>
                <w:tab w:val="right" w:leader="dot" w:pos="5518"/>
                <w:tab w:val="left" w:pos="5557"/>
              </w:tabs>
              <w:rPr>
                <w:rFonts w:eastAsia="Calibri" w:cs="Times New Roman"/>
                <w:sz w:val="20"/>
                <w:szCs w:val="20"/>
                <w:lang w:val="en-GB"/>
              </w:rPr>
            </w:pPr>
            <w:r w:rsidRPr="009C48DA">
              <w:rPr>
                <w:rFonts w:eastAsia="Calibri" w:cs="Times New Roman"/>
                <w:sz w:val="20"/>
                <w:szCs w:val="20"/>
                <w:lang w:val="en-GB"/>
              </w:rPr>
              <w:t>Foreign exchange gains / (losses)</w:t>
            </w:r>
            <w:r w:rsidRPr="009C48DA">
              <w:rPr>
                <w:rFonts w:eastAsia="Calibri" w:cs="Arial"/>
                <w:sz w:val="20"/>
                <w:szCs w:val="20"/>
                <w:lang w:val="en-GB"/>
              </w:rPr>
              <w:tab/>
            </w:r>
          </w:p>
        </w:tc>
        <w:tc>
          <w:tcPr>
            <w:tcW w:w="1413" w:type="dxa"/>
            <w:shd w:val="clear" w:color="auto" w:fill="auto"/>
            <w:vAlign w:val="bottom"/>
          </w:tcPr>
          <w:p w:rsidRPr="009C48DA" w:rsidR="00672B9A" w:rsidP="0036034E" w:rsidRDefault="00471DC2" w14:paraId="26F39D51" w14:textId="5A783862">
            <w:pPr>
              <w:tabs>
                <w:tab w:val="left" w:pos="5557"/>
              </w:tabs>
              <w:jc w:val="right"/>
              <w:rPr>
                <w:rFonts w:eastAsia="Calibri" w:cs="Arial"/>
                <w:sz w:val="20"/>
                <w:szCs w:val="20"/>
                <w:lang w:val="en-GB"/>
              </w:rPr>
            </w:pPr>
            <w:r w:rsidRPr="009C48DA">
              <w:rPr>
                <w:rFonts w:eastAsia="Calibri" w:cs="Arial"/>
                <w:sz w:val="20"/>
                <w:szCs w:val="20"/>
                <w:lang w:val="en-GB"/>
              </w:rPr>
              <w:t>(</w:t>
            </w:r>
            <w:r w:rsidRPr="009C48DA" w:rsidR="00A152A7">
              <w:rPr>
                <w:rFonts w:eastAsia="Calibri" w:cs="Arial"/>
                <w:sz w:val="20"/>
                <w:szCs w:val="20"/>
                <w:lang w:val="en-GB"/>
              </w:rPr>
              <w:t>0.1</w:t>
            </w:r>
            <w:r w:rsidRPr="009C48DA">
              <w:rPr>
                <w:rFonts w:eastAsia="Calibri" w:cs="Arial"/>
                <w:sz w:val="20"/>
                <w:szCs w:val="20"/>
                <w:lang w:val="en-GB"/>
              </w:rPr>
              <w:t>)</w:t>
            </w:r>
          </w:p>
        </w:tc>
        <w:tc>
          <w:tcPr>
            <w:tcW w:w="1559" w:type="dxa"/>
            <w:shd w:val="clear" w:color="auto" w:fill="auto"/>
            <w:vAlign w:val="bottom"/>
          </w:tcPr>
          <w:p w:rsidRPr="009C48DA" w:rsidR="00672B9A" w:rsidP="0036034E" w:rsidRDefault="00672B9A" w14:paraId="6AE6EC6A" w14:textId="77777777">
            <w:pPr>
              <w:tabs>
                <w:tab w:val="left" w:pos="5557"/>
              </w:tabs>
              <w:jc w:val="right"/>
              <w:rPr>
                <w:rFonts w:eastAsia="Calibri" w:cs="Arial"/>
                <w:sz w:val="20"/>
                <w:szCs w:val="20"/>
                <w:lang w:val="en-GB"/>
              </w:rPr>
            </w:pPr>
            <w:r w:rsidRPr="009C48DA">
              <w:rPr>
                <w:rFonts w:eastAsia="Calibri" w:cs="Arial"/>
                <w:sz w:val="20"/>
                <w:szCs w:val="20"/>
                <w:lang w:val="en-GB"/>
              </w:rPr>
              <w:t>(0.2)</w:t>
            </w:r>
          </w:p>
        </w:tc>
      </w:tr>
      <w:tr w:rsidRPr="009C48DA" w:rsidR="00672B9A" w:rsidTr="0036034E" w14:paraId="758AD76F" w14:textId="77777777">
        <w:tc>
          <w:tcPr>
            <w:tcW w:w="5670" w:type="dxa"/>
            <w:shd w:val="clear" w:color="auto" w:fill="auto"/>
            <w:vAlign w:val="bottom"/>
          </w:tcPr>
          <w:p w:rsidRPr="009C48DA" w:rsidR="00672B9A" w:rsidDel="008E0499" w:rsidP="0036034E" w:rsidRDefault="00672B9A" w14:paraId="38AFF810" w14:textId="77777777">
            <w:pPr>
              <w:tabs>
                <w:tab w:val="right" w:leader="dot" w:pos="5518"/>
                <w:tab w:val="left" w:pos="5557"/>
              </w:tabs>
              <w:rPr>
                <w:rFonts w:eastAsia="Calibri" w:cs="Times New Roman"/>
                <w:b/>
                <w:sz w:val="20"/>
                <w:szCs w:val="20"/>
                <w:lang w:val="en-GB"/>
              </w:rPr>
            </w:pPr>
            <w:r w:rsidRPr="009C48DA">
              <w:rPr>
                <w:rFonts w:eastAsia="Calibri" w:cs="Times New Roman"/>
                <w:b/>
                <w:sz w:val="20"/>
                <w:szCs w:val="20"/>
                <w:lang w:val="en-GB"/>
              </w:rPr>
              <w:t>EBITDA</w:t>
            </w:r>
            <w:r w:rsidRPr="009C48DA">
              <w:rPr>
                <w:rFonts w:eastAsia="Calibri" w:cs="Arial"/>
                <w:sz w:val="20"/>
                <w:szCs w:val="20"/>
                <w:lang w:val="en-GB"/>
              </w:rPr>
              <w:tab/>
            </w:r>
          </w:p>
        </w:tc>
        <w:tc>
          <w:tcPr>
            <w:tcW w:w="1413" w:type="dxa"/>
            <w:shd w:val="clear" w:color="auto" w:fill="auto"/>
            <w:vAlign w:val="bottom"/>
          </w:tcPr>
          <w:p w:rsidRPr="009C48DA" w:rsidR="00672B9A" w:rsidP="0036034E" w:rsidRDefault="00672B9A" w14:paraId="51CC44D8" w14:textId="77777777">
            <w:pPr>
              <w:pBdr>
                <w:top w:val="single" w:color="auto" w:sz="4" w:space="1"/>
              </w:pBdr>
              <w:tabs>
                <w:tab w:val="left" w:pos="5557"/>
              </w:tabs>
              <w:jc w:val="right"/>
              <w:rPr>
                <w:rFonts w:eastAsia="Calibri" w:cs="Arial"/>
                <w:b/>
                <w:sz w:val="20"/>
                <w:szCs w:val="20"/>
                <w:lang w:val="en-GB"/>
              </w:rPr>
            </w:pPr>
            <w:r w:rsidRPr="009C48DA">
              <w:rPr>
                <w:rFonts w:eastAsia="Calibri" w:cs="Arial"/>
                <w:b/>
                <w:sz w:val="20"/>
                <w:szCs w:val="20"/>
                <w:lang w:val="en-GB"/>
              </w:rPr>
              <w:t>53.1</w:t>
            </w:r>
          </w:p>
        </w:tc>
        <w:tc>
          <w:tcPr>
            <w:tcW w:w="1559" w:type="dxa"/>
            <w:shd w:val="clear" w:color="auto" w:fill="auto"/>
            <w:vAlign w:val="bottom"/>
          </w:tcPr>
          <w:p w:rsidRPr="009C48DA" w:rsidR="00672B9A" w:rsidP="0036034E" w:rsidRDefault="00672B9A" w14:paraId="2479F3CD" w14:textId="77777777">
            <w:pPr>
              <w:pBdr>
                <w:top w:val="single" w:color="auto" w:sz="4" w:space="1"/>
              </w:pBdr>
              <w:tabs>
                <w:tab w:val="left" w:pos="5557"/>
              </w:tabs>
              <w:jc w:val="right"/>
              <w:rPr>
                <w:rFonts w:eastAsia="Calibri" w:cs="Arial"/>
                <w:b/>
                <w:sz w:val="20"/>
                <w:szCs w:val="20"/>
                <w:lang w:val="en-GB"/>
              </w:rPr>
            </w:pPr>
            <w:r w:rsidRPr="009C48DA">
              <w:rPr>
                <w:rFonts w:eastAsia="Calibri" w:cs="Arial"/>
                <w:b/>
                <w:sz w:val="20"/>
                <w:szCs w:val="20"/>
                <w:lang w:val="en-GB"/>
              </w:rPr>
              <w:t>58.7</w:t>
            </w:r>
          </w:p>
        </w:tc>
      </w:tr>
      <w:tr w:rsidRPr="009C48DA" w:rsidR="00672B9A" w:rsidTr="0036034E" w14:paraId="0EB04AAE" w14:textId="77777777">
        <w:tc>
          <w:tcPr>
            <w:tcW w:w="5670" w:type="dxa"/>
            <w:shd w:val="clear" w:color="auto" w:fill="auto"/>
            <w:vAlign w:val="bottom"/>
          </w:tcPr>
          <w:p w:rsidRPr="009C48DA" w:rsidR="00672B9A" w:rsidP="0036034E" w:rsidRDefault="00672B9A" w14:paraId="6A77C6F7" w14:textId="77777777">
            <w:pPr>
              <w:tabs>
                <w:tab w:val="left" w:leader="dot" w:pos="5433"/>
                <w:tab w:val="left" w:pos="5557"/>
              </w:tabs>
              <w:ind w:left="176"/>
              <w:rPr>
                <w:rFonts w:eastAsia="Calibri" w:cs="Times New Roman"/>
                <w:i/>
                <w:sz w:val="20"/>
                <w:szCs w:val="20"/>
                <w:lang w:val="en-GB"/>
              </w:rPr>
            </w:pPr>
            <w:r w:rsidRPr="009C48DA">
              <w:rPr>
                <w:rFonts w:eastAsia="Calibri" w:cs="Times New Roman"/>
                <w:i/>
                <w:sz w:val="20"/>
                <w:szCs w:val="20"/>
                <w:lang w:val="en-GB"/>
              </w:rPr>
              <w:t>of which: Underlying EBITDA</w:t>
            </w:r>
            <w:r w:rsidRPr="009C48DA">
              <w:rPr>
                <w:rFonts w:eastAsia="Calibri" w:cs="Times New Roman"/>
                <w:i/>
                <w:sz w:val="20"/>
                <w:szCs w:val="20"/>
                <w:lang w:val="en-GB"/>
              </w:rPr>
              <w:tab/>
            </w:r>
          </w:p>
        </w:tc>
        <w:tc>
          <w:tcPr>
            <w:tcW w:w="1413" w:type="dxa"/>
            <w:shd w:val="clear" w:color="auto" w:fill="auto"/>
            <w:vAlign w:val="bottom"/>
          </w:tcPr>
          <w:p w:rsidRPr="009C48DA" w:rsidR="00672B9A" w:rsidP="0036034E" w:rsidRDefault="00672B9A" w14:paraId="1018E57F" w14:textId="77777777">
            <w:pPr>
              <w:tabs>
                <w:tab w:val="left" w:pos="5557"/>
              </w:tabs>
              <w:jc w:val="right"/>
              <w:rPr>
                <w:rFonts w:eastAsia="Calibri" w:cs="Arial"/>
                <w:i/>
                <w:sz w:val="20"/>
                <w:szCs w:val="20"/>
                <w:lang w:val="en-GB"/>
              </w:rPr>
            </w:pPr>
            <w:r w:rsidRPr="009C48DA">
              <w:rPr>
                <w:rFonts w:eastAsia="Calibri" w:cs="Arial"/>
                <w:i/>
                <w:sz w:val="20"/>
                <w:szCs w:val="20"/>
                <w:lang w:val="en-GB"/>
              </w:rPr>
              <w:t>53.1</w:t>
            </w:r>
          </w:p>
        </w:tc>
        <w:tc>
          <w:tcPr>
            <w:tcW w:w="1559" w:type="dxa"/>
            <w:shd w:val="clear" w:color="auto" w:fill="auto"/>
            <w:vAlign w:val="bottom"/>
          </w:tcPr>
          <w:p w:rsidRPr="009C48DA" w:rsidR="00672B9A" w:rsidP="0036034E" w:rsidRDefault="00672B9A" w14:paraId="262904F7" w14:textId="77777777">
            <w:pPr>
              <w:tabs>
                <w:tab w:val="left" w:pos="5557"/>
              </w:tabs>
              <w:jc w:val="right"/>
              <w:rPr>
                <w:rFonts w:eastAsia="Calibri" w:cs="Arial"/>
                <w:i/>
                <w:sz w:val="20"/>
                <w:szCs w:val="20"/>
                <w:lang w:val="en-GB"/>
              </w:rPr>
            </w:pPr>
            <w:r w:rsidRPr="009C48DA">
              <w:rPr>
                <w:rFonts w:eastAsia="Calibri" w:cs="Arial"/>
                <w:i/>
                <w:sz w:val="20"/>
                <w:szCs w:val="20"/>
                <w:lang w:val="en-GB"/>
              </w:rPr>
              <w:t>66.1</w:t>
            </w:r>
          </w:p>
        </w:tc>
      </w:tr>
      <w:tr w:rsidRPr="009C48DA" w:rsidR="00672B9A" w:rsidTr="0036034E" w14:paraId="588B3EF2" w14:textId="77777777">
        <w:tc>
          <w:tcPr>
            <w:tcW w:w="5670" w:type="dxa"/>
            <w:shd w:val="clear" w:color="auto" w:fill="auto"/>
            <w:vAlign w:val="bottom"/>
          </w:tcPr>
          <w:p w:rsidRPr="009C48DA" w:rsidR="00672B9A" w:rsidP="0036034E" w:rsidRDefault="00672B9A" w14:paraId="1C2DAB9D" w14:textId="77777777">
            <w:pPr>
              <w:tabs>
                <w:tab w:val="left" w:pos="5557"/>
              </w:tabs>
              <w:ind w:left="173"/>
              <w:rPr>
                <w:rFonts w:eastAsia="Calibri" w:cs="Times New Roman"/>
                <w:i/>
                <w:sz w:val="20"/>
                <w:szCs w:val="20"/>
                <w:lang w:val="en-GB"/>
              </w:rPr>
            </w:pPr>
            <w:r w:rsidRPr="009C48DA">
              <w:rPr>
                <w:rFonts w:eastAsia="Calibri" w:cs="Times New Roman"/>
                <w:i/>
                <w:sz w:val="20"/>
                <w:szCs w:val="20"/>
                <w:lang w:val="en-GB"/>
              </w:rPr>
              <w:t>of which: Exceptional items within EBITDA</w:t>
            </w:r>
          </w:p>
        </w:tc>
        <w:tc>
          <w:tcPr>
            <w:tcW w:w="1413" w:type="dxa"/>
            <w:shd w:val="clear" w:color="auto" w:fill="auto"/>
            <w:vAlign w:val="bottom"/>
          </w:tcPr>
          <w:p w:rsidRPr="009C48DA" w:rsidR="00672B9A" w:rsidP="0036034E" w:rsidRDefault="00672B9A" w14:paraId="1F1D5491" w14:textId="77777777">
            <w:pPr>
              <w:tabs>
                <w:tab w:val="left" w:pos="5557"/>
              </w:tabs>
              <w:jc w:val="right"/>
              <w:rPr>
                <w:rFonts w:eastAsia="Calibri" w:cs="Arial"/>
                <w:b/>
                <w:i/>
                <w:sz w:val="20"/>
                <w:szCs w:val="20"/>
                <w:lang w:val="en-GB"/>
              </w:rPr>
            </w:pPr>
            <w:r w:rsidRPr="009C48DA">
              <w:rPr>
                <w:rFonts w:eastAsia="Calibri" w:cs="Arial"/>
                <w:b/>
                <w:i/>
                <w:sz w:val="20"/>
                <w:szCs w:val="20"/>
                <w:lang w:val="en-GB"/>
              </w:rPr>
              <w:t>—</w:t>
            </w:r>
          </w:p>
        </w:tc>
        <w:tc>
          <w:tcPr>
            <w:tcW w:w="1559" w:type="dxa"/>
            <w:shd w:val="clear" w:color="auto" w:fill="auto"/>
            <w:vAlign w:val="bottom"/>
          </w:tcPr>
          <w:p w:rsidRPr="009C48DA" w:rsidR="00672B9A" w:rsidP="0036034E" w:rsidRDefault="00672B9A" w14:paraId="434210CC" w14:textId="77777777">
            <w:pPr>
              <w:tabs>
                <w:tab w:val="left" w:pos="5557"/>
              </w:tabs>
              <w:jc w:val="right"/>
              <w:rPr>
                <w:rFonts w:eastAsia="Calibri" w:cs="Arial"/>
                <w:i/>
                <w:sz w:val="20"/>
                <w:szCs w:val="20"/>
                <w:lang w:val="en-GB"/>
              </w:rPr>
            </w:pPr>
            <w:r w:rsidRPr="009C48DA">
              <w:rPr>
                <w:rFonts w:eastAsia="Calibri" w:cs="Arial"/>
                <w:i/>
                <w:sz w:val="20"/>
                <w:szCs w:val="20"/>
                <w:lang w:val="en-GB"/>
              </w:rPr>
              <w:t>(7.4)</w:t>
            </w:r>
          </w:p>
        </w:tc>
      </w:tr>
      <w:tr w:rsidRPr="009C48DA" w:rsidR="00672B9A" w:rsidTr="0036034E" w14:paraId="38238BB7" w14:textId="77777777">
        <w:tc>
          <w:tcPr>
            <w:tcW w:w="5670" w:type="dxa"/>
            <w:shd w:val="clear" w:color="auto" w:fill="auto"/>
            <w:vAlign w:val="bottom"/>
          </w:tcPr>
          <w:p w:rsidRPr="009C48DA" w:rsidR="00672B9A" w:rsidP="0036034E" w:rsidRDefault="00672B9A" w14:paraId="70FAA5C6" w14:textId="77777777">
            <w:pPr>
              <w:tabs>
                <w:tab w:val="right" w:leader="dot" w:pos="5518"/>
                <w:tab w:val="left" w:pos="5557"/>
              </w:tabs>
              <w:rPr>
                <w:rFonts w:eastAsia="Calibri" w:cs="Times New Roman"/>
                <w:sz w:val="20"/>
                <w:szCs w:val="20"/>
                <w:highlight w:val="yellow"/>
                <w:lang w:val="en-GB"/>
              </w:rPr>
            </w:pPr>
            <w:r w:rsidRPr="009C48DA">
              <w:rPr>
                <w:rFonts w:eastAsia="Calibri" w:cs="Times New Roman"/>
                <w:sz w:val="20"/>
                <w:szCs w:val="20"/>
                <w:lang w:val="en-GB"/>
              </w:rPr>
              <w:t>Depreciation and amortisation expense</w:t>
            </w:r>
            <w:r w:rsidRPr="009C48DA">
              <w:rPr>
                <w:rFonts w:eastAsia="Calibri" w:cs="Arial"/>
                <w:sz w:val="20"/>
                <w:szCs w:val="20"/>
                <w:lang w:val="en-GB"/>
              </w:rPr>
              <w:tab/>
            </w:r>
          </w:p>
        </w:tc>
        <w:tc>
          <w:tcPr>
            <w:tcW w:w="1413" w:type="dxa"/>
            <w:shd w:val="clear" w:color="auto" w:fill="auto"/>
            <w:vAlign w:val="bottom"/>
          </w:tcPr>
          <w:p w:rsidRPr="009C48DA" w:rsidR="00672B9A" w:rsidP="0036034E" w:rsidRDefault="00672B9A" w14:paraId="5AB6914B" w14:textId="77777777">
            <w:pPr>
              <w:pBdr>
                <w:bottom w:val="single" w:color="auto" w:sz="4" w:space="1"/>
              </w:pBdr>
              <w:tabs>
                <w:tab w:val="left" w:pos="5557"/>
              </w:tabs>
              <w:jc w:val="right"/>
              <w:rPr>
                <w:rFonts w:eastAsia="Calibri" w:cs="Arial"/>
                <w:sz w:val="20"/>
                <w:szCs w:val="20"/>
                <w:lang w:val="en-GB"/>
              </w:rPr>
            </w:pPr>
            <w:r w:rsidRPr="009C48DA">
              <w:rPr>
                <w:rFonts w:eastAsia="Calibri" w:cs="Arial"/>
                <w:sz w:val="20"/>
                <w:szCs w:val="20"/>
                <w:lang w:val="en-GB"/>
              </w:rPr>
              <w:t>(7.8)</w:t>
            </w:r>
          </w:p>
        </w:tc>
        <w:tc>
          <w:tcPr>
            <w:tcW w:w="1559" w:type="dxa"/>
            <w:shd w:val="clear" w:color="auto" w:fill="auto"/>
            <w:vAlign w:val="bottom"/>
          </w:tcPr>
          <w:p w:rsidRPr="009C48DA" w:rsidR="00672B9A" w:rsidP="0036034E" w:rsidRDefault="00672B9A" w14:paraId="28F0C789" w14:textId="77777777">
            <w:pPr>
              <w:pBdr>
                <w:bottom w:val="single" w:color="auto" w:sz="4" w:space="1"/>
              </w:pBdr>
              <w:tabs>
                <w:tab w:val="left" w:pos="5557"/>
              </w:tabs>
              <w:jc w:val="right"/>
              <w:rPr>
                <w:rFonts w:eastAsia="Calibri" w:cs="Arial"/>
                <w:sz w:val="20"/>
                <w:szCs w:val="20"/>
                <w:lang w:val="en-GB"/>
              </w:rPr>
            </w:pPr>
            <w:r w:rsidRPr="009C48DA">
              <w:rPr>
                <w:rFonts w:eastAsia="Calibri" w:cs="Arial"/>
                <w:sz w:val="20"/>
                <w:szCs w:val="20"/>
                <w:lang w:val="en-GB"/>
              </w:rPr>
              <w:t>(8.8)</w:t>
            </w:r>
          </w:p>
        </w:tc>
      </w:tr>
      <w:tr w:rsidRPr="009C48DA" w:rsidR="00672B9A" w:rsidTr="0036034E" w14:paraId="7395AB24" w14:textId="77777777">
        <w:tc>
          <w:tcPr>
            <w:tcW w:w="5670" w:type="dxa"/>
            <w:shd w:val="clear" w:color="auto" w:fill="auto"/>
            <w:vAlign w:val="bottom"/>
          </w:tcPr>
          <w:p w:rsidRPr="009C48DA" w:rsidR="00672B9A" w:rsidP="0036034E" w:rsidRDefault="00672B9A" w14:paraId="46B3C71E" w14:textId="77777777">
            <w:pPr>
              <w:tabs>
                <w:tab w:val="right" w:leader="dot" w:pos="5518"/>
                <w:tab w:val="left" w:pos="5557"/>
              </w:tabs>
              <w:rPr>
                <w:rFonts w:eastAsia="Calibri" w:cs="Times New Roman"/>
                <w:b/>
                <w:sz w:val="20"/>
                <w:szCs w:val="20"/>
                <w:lang w:val="en-GB"/>
              </w:rPr>
            </w:pPr>
            <w:r w:rsidRPr="009C48DA">
              <w:rPr>
                <w:rFonts w:eastAsia="Calibri" w:cs="Times New Roman"/>
                <w:b/>
                <w:sz w:val="20"/>
                <w:szCs w:val="20"/>
                <w:lang w:val="en-GB"/>
              </w:rPr>
              <w:t>Total operating profit</w:t>
            </w:r>
            <w:r w:rsidRPr="009C48DA">
              <w:rPr>
                <w:rFonts w:eastAsia="Calibri" w:cs="Arial"/>
                <w:sz w:val="20"/>
                <w:szCs w:val="20"/>
                <w:lang w:val="en-GB"/>
              </w:rPr>
              <w:tab/>
            </w:r>
          </w:p>
        </w:tc>
        <w:tc>
          <w:tcPr>
            <w:tcW w:w="1413" w:type="dxa"/>
            <w:shd w:val="clear" w:color="auto" w:fill="auto"/>
            <w:vAlign w:val="bottom"/>
          </w:tcPr>
          <w:p w:rsidRPr="009C48DA" w:rsidR="00672B9A" w:rsidP="0036034E" w:rsidRDefault="00672B9A" w14:paraId="79EAA95B" w14:textId="77777777">
            <w:pPr>
              <w:tabs>
                <w:tab w:val="left" w:pos="5557"/>
              </w:tabs>
              <w:jc w:val="right"/>
              <w:rPr>
                <w:rFonts w:eastAsia="Calibri" w:cs="Arial"/>
                <w:b/>
                <w:sz w:val="20"/>
                <w:szCs w:val="20"/>
                <w:lang w:val="en-GB"/>
              </w:rPr>
            </w:pPr>
            <w:r w:rsidRPr="009C48DA">
              <w:rPr>
                <w:rFonts w:eastAsia="Calibri" w:cs="Arial"/>
                <w:b/>
                <w:sz w:val="20"/>
                <w:szCs w:val="20"/>
                <w:lang w:val="en-GB"/>
              </w:rPr>
              <w:t>45.4</w:t>
            </w:r>
          </w:p>
        </w:tc>
        <w:tc>
          <w:tcPr>
            <w:tcW w:w="1559" w:type="dxa"/>
            <w:shd w:val="clear" w:color="auto" w:fill="auto"/>
            <w:vAlign w:val="bottom"/>
          </w:tcPr>
          <w:p w:rsidRPr="009C48DA" w:rsidR="00672B9A" w:rsidP="0036034E" w:rsidRDefault="00672B9A" w14:paraId="3A6FF1A2" w14:textId="77777777">
            <w:pPr>
              <w:tabs>
                <w:tab w:val="left" w:pos="5557"/>
              </w:tabs>
              <w:jc w:val="right"/>
              <w:rPr>
                <w:rFonts w:eastAsia="Calibri" w:cs="Arial"/>
                <w:b/>
                <w:sz w:val="20"/>
                <w:szCs w:val="20"/>
                <w:lang w:val="en-GB"/>
              </w:rPr>
            </w:pPr>
            <w:r w:rsidRPr="009C48DA">
              <w:rPr>
                <w:rFonts w:eastAsia="Calibri" w:cs="Arial"/>
                <w:b/>
                <w:sz w:val="20"/>
                <w:szCs w:val="20"/>
                <w:lang w:val="en-GB"/>
              </w:rPr>
              <w:t>49.9</w:t>
            </w:r>
          </w:p>
        </w:tc>
      </w:tr>
      <w:tr w:rsidRPr="009C48DA" w:rsidR="00672B9A" w:rsidTr="0036034E" w14:paraId="7BACB8CD" w14:textId="77777777">
        <w:tc>
          <w:tcPr>
            <w:tcW w:w="5670" w:type="dxa"/>
            <w:shd w:val="clear" w:color="auto" w:fill="auto"/>
            <w:vAlign w:val="bottom"/>
          </w:tcPr>
          <w:p w:rsidRPr="009C48DA" w:rsidR="00672B9A" w:rsidP="0036034E" w:rsidRDefault="00672B9A" w14:paraId="4FD3755E" w14:textId="77777777">
            <w:pPr>
              <w:tabs>
                <w:tab w:val="right" w:leader="dot" w:pos="5518"/>
                <w:tab w:val="left" w:pos="5557"/>
              </w:tabs>
              <w:rPr>
                <w:rFonts w:eastAsia="Calibri" w:cs="Times New Roman"/>
                <w:sz w:val="20"/>
                <w:szCs w:val="20"/>
                <w:lang w:val="en-GB"/>
              </w:rPr>
            </w:pPr>
            <w:r w:rsidRPr="009C48DA">
              <w:rPr>
                <w:rFonts w:eastAsia="Calibri" w:cs="Times New Roman"/>
                <w:sz w:val="20"/>
                <w:szCs w:val="20"/>
                <w:lang w:val="en-GB"/>
              </w:rPr>
              <w:t>Finance income</w:t>
            </w:r>
            <w:r w:rsidRPr="009C48DA">
              <w:rPr>
                <w:rFonts w:eastAsia="Calibri" w:cs="Arial"/>
                <w:sz w:val="20"/>
                <w:szCs w:val="20"/>
                <w:lang w:val="en-GB"/>
              </w:rPr>
              <w:tab/>
            </w:r>
          </w:p>
        </w:tc>
        <w:tc>
          <w:tcPr>
            <w:tcW w:w="1413" w:type="dxa"/>
            <w:shd w:val="clear" w:color="auto" w:fill="auto"/>
            <w:vAlign w:val="bottom"/>
          </w:tcPr>
          <w:p w:rsidRPr="009C48DA" w:rsidR="00672B9A" w:rsidP="0036034E" w:rsidRDefault="00672B9A" w14:paraId="7E4A898F" w14:textId="77777777">
            <w:pPr>
              <w:tabs>
                <w:tab w:val="left" w:pos="5557"/>
              </w:tabs>
              <w:jc w:val="right"/>
              <w:rPr>
                <w:rFonts w:eastAsia="Calibri" w:cs="Arial"/>
                <w:sz w:val="20"/>
                <w:szCs w:val="20"/>
                <w:lang w:val="en-GB"/>
              </w:rPr>
            </w:pPr>
            <w:r w:rsidRPr="009C48DA">
              <w:rPr>
                <w:rFonts w:eastAsia="Calibri" w:cs="Arial"/>
                <w:sz w:val="20"/>
                <w:szCs w:val="20"/>
                <w:lang w:val="en-GB"/>
              </w:rPr>
              <w:t>7.7</w:t>
            </w:r>
          </w:p>
        </w:tc>
        <w:tc>
          <w:tcPr>
            <w:tcW w:w="1559" w:type="dxa"/>
            <w:shd w:val="clear" w:color="auto" w:fill="auto"/>
            <w:vAlign w:val="bottom"/>
          </w:tcPr>
          <w:p w:rsidRPr="009C48DA" w:rsidR="00672B9A" w:rsidP="0036034E" w:rsidRDefault="00672B9A" w14:paraId="0C8C412B" w14:textId="77777777">
            <w:pPr>
              <w:tabs>
                <w:tab w:val="left" w:pos="5557"/>
              </w:tabs>
              <w:jc w:val="right"/>
              <w:rPr>
                <w:rFonts w:eastAsia="Calibri" w:cs="Arial"/>
                <w:sz w:val="20"/>
                <w:szCs w:val="20"/>
                <w:lang w:val="en-GB"/>
              </w:rPr>
            </w:pPr>
            <w:r w:rsidRPr="009C48DA">
              <w:rPr>
                <w:rFonts w:eastAsia="Calibri" w:cs="Arial"/>
                <w:sz w:val="20"/>
                <w:szCs w:val="20"/>
                <w:lang w:val="en-GB"/>
              </w:rPr>
              <w:t>4.7</w:t>
            </w:r>
          </w:p>
        </w:tc>
      </w:tr>
      <w:tr w:rsidRPr="009C48DA" w:rsidR="00672B9A" w:rsidTr="0036034E" w14:paraId="68BB5622" w14:textId="77777777">
        <w:tc>
          <w:tcPr>
            <w:tcW w:w="5670" w:type="dxa"/>
            <w:shd w:val="clear" w:color="auto" w:fill="auto"/>
            <w:vAlign w:val="bottom"/>
          </w:tcPr>
          <w:p w:rsidRPr="009C48DA" w:rsidR="00672B9A" w:rsidP="0036034E" w:rsidRDefault="00672B9A" w14:paraId="2C3A9ACB" w14:textId="77777777">
            <w:pPr>
              <w:tabs>
                <w:tab w:val="right" w:leader="dot" w:pos="5518"/>
                <w:tab w:val="left" w:leader="dot" w:pos="5557"/>
              </w:tabs>
              <w:rPr>
                <w:rFonts w:eastAsia="Calibri" w:cs="Times New Roman"/>
                <w:sz w:val="20"/>
                <w:szCs w:val="20"/>
                <w:lang w:val="en-GB"/>
              </w:rPr>
            </w:pPr>
            <w:r w:rsidRPr="009C48DA">
              <w:rPr>
                <w:rFonts w:eastAsia="Calibri" w:cs="Times New Roman"/>
                <w:sz w:val="20"/>
                <w:szCs w:val="20"/>
                <w:lang w:val="en-GB"/>
              </w:rPr>
              <w:t>Finance expense</w:t>
            </w:r>
            <w:r w:rsidRPr="009C48DA">
              <w:rPr>
                <w:rFonts w:eastAsia="Calibri" w:cs="Times New Roman"/>
                <w:sz w:val="20"/>
                <w:szCs w:val="20"/>
                <w:lang w:val="en-GB"/>
              </w:rPr>
              <w:tab/>
            </w:r>
          </w:p>
        </w:tc>
        <w:tc>
          <w:tcPr>
            <w:tcW w:w="1413" w:type="dxa"/>
            <w:shd w:val="clear" w:color="auto" w:fill="auto"/>
            <w:vAlign w:val="bottom"/>
          </w:tcPr>
          <w:p w:rsidRPr="009C48DA" w:rsidR="00672B9A" w:rsidP="0036034E" w:rsidRDefault="00672B9A" w14:paraId="5F511D35" w14:textId="77777777">
            <w:pPr>
              <w:pBdr>
                <w:bottom w:val="single" w:color="auto" w:sz="4" w:space="1"/>
              </w:pBdr>
              <w:tabs>
                <w:tab w:val="left" w:pos="5557"/>
              </w:tabs>
              <w:jc w:val="right"/>
              <w:rPr>
                <w:rFonts w:eastAsia="Calibri" w:cs="Arial"/>
                <w:sz w:val="20"/>
                <w:szCs w:val="20"/>
                <w:lang w:val="en-GB"/>
              </w:rPr>
            </w:pPr>
            <w:r w:rsidRPr="009C48DA">
              <w:rPr>
                <w:rFonts w:eastAsia="Calibri" w:cs="Arial"/>
                <w:sz w:val="20"/>
                <w:szCs w:val="20"/>
                <w:lang w:val="en-GB"/>
              </w:rPr>
              <w:t>(5.6)</w:t>
            </w:r>
          </w:p>
        </w:tc>
        <w:tc>
          <w:tcPr>
            <w:tcW w:w="1559" w:type="dxa"/>
            <w:shd w:val="clear" w:color="auto" w:fill="auto"/>
            <w:vAlign w:val="bottom"/>
          </w:tcPr>
          <w:p w:rsidRPr="009C48DA" w:rsidR="00672B9A" w:rsidP="0036034E" w:rsidRDefault="00672B9A" w14:paraId="45DA74B0" w14:textId="77777777">
            <w:pPr>
              <w:pBdr>
                <w:bottom w:val="single" w:color="auto" w:sz="4" w:space="1"/>
              </w:pBdr>
              <w:tabs>
                <w:tab w:val="left" w:pos="5557"/>
              </w:tabs>
              <w:jc w:val="right"/>
              <w:rPr>
                <w:rFonts w:eastAsia="Calibri" w:cs="Arial"/>
                <w:sz w:val="20"/>
                <w:szCs w:val="20"/>
                <w:lang w:val="en-GB"/>
              </w:rPr>
            </w:pPr>
            <w:r w:rsidRPr="009C48DA">
              <w:rPr>
                <w:rFonts w:eastAsia="Calibri" w:cs="Arial"/>
                <w:sz w:val="20"/>
                <w:szCs w:val="20"/>
                <w:lang w:val="en-GB"/>
              </w:rPr>
              <w:t>(6.1)</w:t>
            </w:r>
          </w:p>
        </w:tc>
      </w:tr>
      <w:tr w:rsidRPr="009C48DA" w:rsidR="00672B9A" w:rsidTr="0036034E" w14:paraId="2453FF66" w14:textId="77777777">
        <w:tc>
          <w:tcPr>
            <w:tcW w:w="5670" w:type="dxa"/>
            <w:shd w:val="clear" w:color="auto" w:fill="auto"/>
            <w:vAlign w:val="bottom"/>
          </w:tcPr>
          <w:p w:rsidRPr="009C48DA" w:rsidR="00672B9A" w:rsidP="0036034E" w:rsidRDefault="00672B9A" w14:paraId="75E43A27" w14:textId="77777777">
            <w:pPr>
              <w:tabs>
                <w:tab w:val="right" w:leader="dot" w:pos="5518"/>
                <w:tab w:val="left" w:pos="5557"/>
              </w:tabs>
              <w:rPr>
                <w:rFonts w:eastAsia="Calibri" w:cs="Times New Roman"/>
                <w:b/>
                <w:sz w:val="20"/>
                <w:szCs w:val="20"/>
                <w:lang w:val="en-GB"/>
              </w:rPr>
            </w:pPr>
            <w:r w:rsidRPr="009C48DA">
              <w:rPr>
                <w:rFonts w:eastAsia="Calibri" w:cs="Times New Roman"/>
                <w:b/>
                <w:sz w:val="20"/>
                <w:szCs w:val="20"/>
                <w:lang w:val="en-GB"/>
              </w:rPr>
              <w:t>Profit before income tax</w:t>
            </w:r>
            <w:r w:rsidRPr="009C48DA">
              <w:rPr>
                <w:rFonts w:eastAsia="Calibri" w:cs="Arial"/>
                <w:sz w:val="20"/>
                <w:szCs w:val="20"/>
                <w:lang w:val="en-GB"/>
              </w:rPr>
              <w:tab/>
            </w:r>
          </w:p>
        </w:tc>
        <w:tc>
          <w:tcPr>
            <w:tcW w:w="1413" w:type="dxa"/>
            <w:shd w:val="clear" w:color="auto" w:fill="auto"/>
            <w:vAlign w:val="bottom"/>
          </w:tcPr>
          <w:p w:rsidRPr="009C48DA" w:rsidR="00672B9A" w:rsidP="0036034E" w:rsidRDefault="00672B9A" w14:paraId="4F97E846" w14:textId="77777777">
            <w:pPr>
              <w:tabs>
                <w:tab w:val="left" w:pos="5557"/>
              </w:tabs>
              <w:jc w:val="right"/>
              <w:rPr>
                <w:rFonts w:eastAsia="Calibri" w:cs="Arial"/>
                <w:b/>
                <w:sz w:val="20"/>
                <w:szCs w:val="20"/>
                <w:lang w:val="en-GB"/>
              </w:rPr>
            </w:pPr>
            <w:r w:rsidRPr="009C48DA">
              <w:rPr>
                <w:rFonts w:eastAsia="Calibri" w:cs="Arial"/>
                <w:b/>
                <w:sz w:val="20"/>
                <w:szCs w:val="20"/>
                <w:lang w:val="en-GB"/>
              </w:rPr>
              <w:t>47.5</w:t>
            </w:r>
          </w:p>
        </w:tc>
        <w:tc>
          <w:tcPr>
            <w:tcW w:w="1559" w:type="dxa"/>
            <w:shd w:val="clear" w:color="auto" w:fill="auto"/>
            <w:vAlign w:val="bottom"/>
          </w:tcPr>
          <w:p w:rsidRPr="009C48DA" w:rsidR="00672B9A" w:rsidP="0036034E" w:rsidRDefault="00672B9A" w14:paraId="11B693E2" w14:textId="77777777">
            <w:pPr>
              <w:tabs>
                <w:tab w:val="left" w:pos="5557"/>
              </w:tabs>
              <w:jc w:val="right"/>
              <w:rPr>
                <w:rFonts w:eastAsia="Calibri" w:cs="Arial"/>
                <w:b/>
                <w:sz w:val="20"/>
                <w:szCs w:val="20"/>
                <w:lang w:val="en-GB"/>
              </w:rPr>
            </w:pPr>
            <w:r w:rsidRPr="009C48DA">
              <w:rPr>
                <w:rFonts w:eastAsia="Calibri" w:cs="Arial"/>
                <w:b/>
                <w:sz w:val="20"/>
                <w:szCs w:val="20"/>
                <w:lang w:val="en-GB"/>
              </w:rPr>
              <w:t>48.5</w:t>
            </w:r>
          </w:p>
        </w:tc>
      </w:tr>
      <w:tr w:rsidRPr="009C48DA" w:rsidR="00672B9A" w:rsidTr="0036034E" w14:paraId="29925A1B" w14:textId="77777777">
        <w:tc>
          <w:tcPr>
            <w:tcW w:w="5670" w:type="dxa"/>
            <w:shd w:val="clear" w:color="auto" w:fill="auto"/>
            <w:vAlign w:val="bottom"/>
          </w:tcPr>
          <w:p w:rsidRPr="009C48DA" w:rsidR="00672B9A" w:rsidP="0036034E" w:rsidRDefault="00672B9A" w14:paraId="4579ABAB" w14:textId="77777777">
            <w:pPr>
              <w:tabs>
                <w:tab w:val="left" w:leader="dot" w:pos="5449"/>
              </w:tabs>
              <w:rPr>
                <w:rFonts w:eastAsia="Calibri" w:cs="Times New Roman"/>
                <w:sz w:val="20"/>
                <w:szCs w:val="20"/>
                <w:lang w:val="en-GB"/>
              </w:rPr>
            </w:pPr>
            <w:r w:rsidRPr="009C48DA">
              <w:rPr>
                <w:rFonts w:eastAsia="Calibri" w:cs="Times New Roman"/>
                <w:sz w:val="20"/>
                <w:szCs w:val="20"/>
                <w:lang w:val="en-GB"/>
              </w:rPr>
              <w:t>Income tax charge</w:t>
            </w:r>
            <w:r w:rsidRPr="009C48DA">
              <w:rPr>
                <w:rFonts w:eastAsia="Calibri" w:cs="Times New Roman"/>
                <w:sz w:val="20"/>
                <w:szCs w:val="20"/>
                <w:lang w:val="en-GB"/>
              </w:rPr>
              <w:tab/>
            </w:r>
          </w:p>
        </w:tc>
        <w:tc>
          <w:tcPr>
            <w:tcW w:w="1413" w:type="dxa"/>
            <w:shd w:val="clear" w:color="auto" w:fill="auto"/>
            <w:vAlign w:val="bottom"/>
          </w:tcPr>
          <w:p w:rsidRPr="009C48DA" w:rsidR="00672B9A" w:rsidP="0036034E" w:rsidRDefault="00672B9A" w14:paraId="67BBA120" w14:textId="77777777">
            <w:pPr>
              <w:tabs>
                <w:tab w:val="left" w:pos="5557"/>
              </w:tabs>
              <w:jc w:val="right"/>
              <w:rPr>
                <w:rFonts w:eastAsia="Calibri" w:cs="Arial"/>
                <w:sz w:val="20"/>
                <w:szCs w:val="20"/>
                <w:lang w:val="en-GB"/>
              </w:rPr>
            </w:pPr>
            <w:r w:rsidRPr="009C48DA">
              <w:rPr>
                <w:rFonts w:eastAsia="Calibri" w:cs="Arial"/>
                <w:sz w:val="20"/>
                <w:szCs w:val="20"/>
                <w:lang w:val="en-GB"/>
              </w:rPr>
              <w:t>(5.5)</w:t>
            </w:r>
          </w:p>
        </w:tc>
        <w:tc>
          <w:tcPr>
            <w:tcW w:w="1559" w:type="dxa"/>
            <w:shd w:val="clear" w:color="auto" w:fill="auto"/>
            <w:vAlign w:val="bottom"/>
          </w:tcPr>
          <w:p w:rsidRPr="009C48DA" w:rsidR="00672B9A" w:rsidP="0036034E" w:rsidRDefault="00672B9A" w14:paraId="242138F2" w14:textId="77777777">
            <w:pPr>
              <w:tabs>
                <w:tab w:val="left" w:pos="5557"/>
              </w:tabs>
              <w:jc w:val="right"/>
              <w:rPr>
                <w:rFonts w:eastAsia="Calibri" w:cs="Arial"/>
                <w:sz w:val="20"/>
                <w:szCs w:val="20"/>
                <w:lang w:val="en-GB"/>
              </w:rPr>
            </w:pPr>
            <w:r w:rsidRPr="009C48DA">
              <w:rPr>
                <w:rFonts w:eastAsia="Calibri" w:cs="Arial"/>
                <w:sz w:val="20"/>
                <w:szCs w:val="20"/>
                <w:lang w:val="en-GB"/>
              </w:rPr>
              <w:t>(0.8)</w:t>
            </w:r>
          </w:p>
        </w:tc>
      </w:tr>
      <w:tr w:rsidRPr="009C48DA" w:rsidR="00672B9A" w:rsidTr="0036034E" w14:paraId="2110A91B" w14:textId="77777777">
        <w:tc>
          <w:tcPr>
            <w:tcW w:w="5670" w:type="dxa"/>
            <w:shd w:val="clear" w:color="auto" w:fill="auto"/>
            <w:vAlign w:val="bottom"/>
          </w:tcPr>
          <w:p w:rsidRPr="009C48DA" w:rsidR="00672B9A" w:rsidP="0036034E" w:rsidRDefault="00672B9A" w14:paraId="6E978E81" w14:textId="77777777">
            <w:pPr>
              <w:tabs>
                <w:tab w:val="right" w:leader="dot" w:pos="5518"/>
                <w:tab w:val="left" w:leader="dot" w:pos="5557"/>
              </w:tabs>
              <w:rPr>
                <w:rFonts w:eastAsia="Calibri" w:cs="Times New Roman"/>
                <w:b/>
                <w:sz w:val="20"/>
                <w:szCs w:val="20"/>
                <w:lang w:val="en-GB"/>
              </w:rPr>
            </w:pPr>
            <w:r w:rsidRPr="009C48DA">
              <w:rPr>
                <w:rFonts w:eastAsia="Calibri" w:cs="Times New Roman"/>
                <w:b/>
                <w:sz w:val="20"/>
                <w:szCs w:val="20"/>
                <w:lang w:val="en-GB"/>
              </w:rPr>
              <w:t>Profit after income tax</w:t>
            </w:r>
            <w:r w:rsidRPr="009C48DA">
              <w:rPr>
                <w:rFonts w:eastAsia="Calibri" w:cs="Times New Roman"/>
                <w:b/>
                <w:sz w:val="20"/>
                <w:szCs w:val="20"/>
                <w:lang w:val="en-GB"/>
              </w:rPr>
              <w:tab/>
            </w:r>
          </w:p>
        </w:tc>
        <w:tc>
          <w:tcPr>
            <w:tcW w:w="1413" w:type="dxa"/>
            <w:shd w:val="clear" w:color="auto" w:fill="auto"/>
            <w:vAlign w:val="bottom"/>
          </w:tcPr>
          <w:p w:rsidRPr="009C48DA" w:rsidR="00672B9A" w:rsidP="0036034E" w:rsidRDefault="00672B9A" w14:paraId="4742DCC1" w14:textId="77777777">
            <w:pPr>
              <w:pBdr>
                <w:bottom w:val="double" w:color="auto" w:sz="4" w:space="1"/>
              </w:pBdr>
              <w:tabs>
                <w:tab w:val="left" w:pos="5557"/>
              </w:tabs>
              <w:jc w:val="right"/>
              <w:rPr>
                <w:rFonts w:eastAsia="Calibri" w:cs="Arial"/>
                <w:b/>
                <w:sz w:val="20"/>
                <w:szCs w:val="20"/>
                <w:lang w:val="en-GB"/>
              </w:rPr>
            </w:pPr>
            <w:r w:rsidRPr="009C48DA">
              <w:rPr>
                <w:rFonts w:eastAsia="Calibri" w:cs="Arial"/>
                <w:b/>
                <w:sz w:val="20"/>
                <w:szCs w:val="20"/>
                <w:lang w:val="en-GB"/>
              </w:rPr>
              <w:t>41.9</w:t>
            </w:r>
          </w:p>
        </w:tc>
        <w:tc>
          <w:tcPr>
            <w:tcW w:w="1559" w:type="dxa"/>
            <w:shd w:val="clear" w:color="auto" w:fill="auto"/>
            <w:vAlign w:val="bottom"/>
          </w:tcPr>
          <w:p w:rsidRPr="009C48DA" w:rsidR="00672B9A" w:rsidP="0036034E" w:rsidRDefault="00672B9A" w14:paraId="6B1BB58C" w14:textId="77777777">
            <w:pPr>
              <w:pBdr>
                <w:bottom w:val="double" w:color="auto" w:sz="4" w:space="1"/>
              </w:pBdr>
              <w:tabs>
                <w:tab w:val="left" w:pos="5557"/>
              </w:tabs>
              <w:jc w:val="right"/>
              <w:rPr>
                <w:rFonts w:eastAsia="Calibri" w:cs="Arial"/>
                <w:b/>
                <w:sz w:val="20"/>
                <w:szCs w:val="20"/>
                <w:lang w:val="en-GB"/>
              </w:rPr>
            </w:pPr>
            <w:r w:rsidRPr="009C48DA">
              <w:rPr>
                <w:rFonts w:eastAsia="Calibri" w:cs="Arial"/>
                <w:b/>
                <w:sz w:val="20"/>
                <w:szCs w:val="20"/>
                <w:lang w:val="en-GB"/>
              </w:rPr>
              <w:t>47.7</w:t>
            </w:r>
          </w:p>
        </w:tc>
      </w:tr>
    </w:tbl>
    <w:p w:rsidRPr="009C48DA" w:rsidR="00B51E80" w:rsidP="00B51E80" w:rsidRDefault="00B51E80" w14:paraId="242856C5" w14:textId="77777777">
      <w:pPr>
        <w:rPr>
          <w:lang w:val="en-GB"/>
        </w:rPr>
      </w:pPr>
    </w:p>
    <w:p w:rsidRPr="009C48DA" w:rsidR="00B51E80" w:rsidP="00B51E80" w:rsidRDefault="00B51E80" w14:paraId="78EFE3C3" w14:textId="21BE7F5A">
      <w:pPr>
        <w:pStyle w:val="TitleBI"/>
        <w:rPr>
          <w:lang w:val="en-GB"/>
        </w:rPr>
      </w:pPr>
      <w:r w:rsidRPr="009C48DA">
        <w:rPr>
          <w:lang w:val="en-GB"/>
        </w:rPr>
        <w:t>Total operating income</w:t>
      </w:r>
    </w:p>
    <w:p w:rsidRPr="009C48DA" w:rsidR="00672B9A" w:rsidP="00672B9A" w:rsidRDefault="00672B9A" w14:paraId="74604EDD" w14:textId="7EB8C445">
      <w:pPr>
        <w:pStyle w:val="BodyText2SglJ"/>
        <w:rPr>
          <w:rFonts w:eastAsia="Calibri" w:cs="Arial"/>
          <w:lang w:val="en-GB"/>
        </w:rPr>
      </w:pPr>
      <w:r w:rsidRPr="009C48DA">
        <w:rPr>
          <w:rFonts w:eastAsia="Calibri" w:cs="Arial"/>
          <w:lang w:val="en-GB"/>
        </w:rPr>
        <w:t>Total operating income increased by £2</w:t>
      </w:r>
      <w:r w:rsidRPr="009C48DA" w:rsidR="007848A5">
        <w:rPr>
          <w:rFonts w:eastAsia="Calibri" w:cs="Arial"/>
          <w:lang w:val="en-GB"/>
        </w:rPr>
        <w:t>2.0</w:t>
      </w:r>
      <w:r w:rsidRPr="009C48DA">
        <w:rPr>
          <w:rFonts w:eastAsia="Calibri" w:cs="Arial"/>
          <w:lang w:val="en-GB"/>
        </w:rPr>
        <w:t xml:space="preserve"> million, or </w:t>
      </w:r>
      <w:r w:rsidRPr="009C48DA" w:rsidR="00471DC2">
        <w:rPr>
          <w:rFonts w:eastAsia="Calibri" w:cs="Arial"/>
          <w:lang w:val="en-GB"/>
        </w:rPr>
        <w:t>13.0</w:t>
      </w:r>
      <w:r w:rsidRPr="009C48DA">
        <w:rPr>
          <w:rFonts w:eastAsia="Calibri" w:cs="Arial"/>
          <w:lang w:val="en-GB"/>
        </w:rPr>
        <w:t xml:space="preserve"> per cent, from £16</w:t>
      </w:r>
      <w:r w:rsidRPr="009C48DA" w:rsidR="007848A5">
        <w:rPr>
          <w:rFonts w:eastAsia="Calibri" w:cs="Arial"/>
          <w:lang w:val="en-GB"/>
        </w:rPr>
        <w:t>9.8</w:t>
      </w:r>
      <w:r w:rsidRPr="009C48DA">
        <w:rPr>
          <w:rFonts w:eastAsia="Calibri" w:cs="Arial"/>
          <w:lang w:val="en-GB"/>
        </w:rPr>
        <w:t xml:space="preserve"> million for the year ended 31 December 2019 to £191.8 million for the year ended 31 December 2020, reflecting an increase in management fees, carried interest and income from the fair value remeasurement of investments.</w:t>
      </w:r>
    </w:p>
    <w:p w:rsidRPr="009C48DA" w:rsidR="00672B9A" w:rsidP="00672B9A" w:rsidRDefault="00672B9A" w14:paraId="2DBE7CA8" w14:textId="68DA3E51">
      <w:pPr>
        <w:pStyle w:val="BodyText2SglJ"/>
        <w:rPr>
          <w:rFonts w:eastAsia="Calibri" w:cs="Arial"/>
          <w:lang w:val="en-GB"/>
        </w:rPr>
      </w:pPr>
      <w:r w:rsidRPr="009C48DA">
        <w:rPr>
          <w:rFonts w:eastAsia="Calibri" w:cs="Arial"/>
          <w:lang w:val="en-GB"/>
        </w:rPr>
        <w:t xml:space="preserve">Management fees increased by £4.7 million, or 3.3 per cent, from £143.9 million for the year ended 31 December 2019 to £148.6 million for the year ended 31 December 2020. This increase was primarily due to the inclusion of two months of total operating income from EQT Credit’s credit business following its acquisition in the fourth quarter of 2020. The growth of AUM during the period is expected to drive also a material increase in management fee income in 2021 when a full year of income is recognised on both the private credit funds acquired from EQT and the </w:t>
      </w:r>
      <w:r w:rsidRPr="009C48DA" w:rsidR="007F7AA9">
        <w:rPr>
          <w:rFonts w:eastAsia="Calibri" w:cs="Arial"/>
          <w:szCs w:val="20"/>
          <w:lang w:val="en-GB"/>
        </w:rPr>
        <w:t xml:space="preserve">Bridgepoint </w:t>
      </w:r>
      <w:r w:rsidRPr="009C48DA">
        <w:rPr>
          <w:rFonts w:eastAsia="Calibri" w:cs="Arial"/>
          <w:lang w:val="en-GB"/>
        </w:rPr>
        <w:t>Development Capital IV fund, which was raised in 2020 and started to pay management fees from 1 January 2021.</w:t>
      </w:r>
      <w:r w:rsidRPr="009C48DA" w:rsidDel="0003286F">
        <w:rPr>
          <w:rFonts w:eastAsia="Calibri" w:cs="Arial"/>
          <w:lang w:val="en-GB"/>
        </w:rPr>
        <w:t xml:space="preserve"> </w:t>
      </w:r>
    </w:p>
    <w:p w:rsidRPr="009C48DA" w:rsidR="00672B9A" w:rsidP="00672B9A" w:rsidRDefault="00672B9A" w14:paraId="7FC102FB" w14:textId="74E89905">
      <w:pPr>
        <w:pStyle w:val="BodyText2SglJ"/>
        <w:rPr>
          <w:rFonts w:eastAsia="Calibri" w:cs="Arial"/>
          <w:lang w:val="en-GB"/>
        </w:rPr>
      </w:pPr>
      <w:r w:rsidRPr="009C48DA">
        <w:rPr>
          <w:rFonts w:eastAsia="Calibri" w:cs="Arial"/>
          <w:lang w:val="en-GB"/>
        </w:rPr>
        <w:t xml:space="preserve">Carried interest increased by £3.3 million, or </w:t>
      </w:r>
      <w:r w:rsidRPr="009C48DA" w:rsidR="007848A5">
        <w:rPr>
          <w:rFonts w:eastAsia="Calibri" w:cs="Arial"/>
          <w:lang w:val="en-GB"/>
        </w:rPr>
        <w:t>34</w:t>
      </w:r>
      <w:r w:rsidRPr="009C48DA">
        <w:rPr>
          <w:rFonts w:eastAsia="Calibri" w:cs="Arial"/>
          <w:lang w:val="en-GB"/>
        </w:rPr>
        <w:t>.</w:t>
      </w:r>
      <w:r w:rsidRPr="009C48DA" w:rsidR="007848A5">
        <w:rPr>
          <w:rFonts w:eastAsia="Calibri" w:cs="Arial"/>
          <w:lang w:val="en-GB"/>
        </w:rPr>
        <w:t>3</w:t>
      </w:r>
      <w:r w:rsidRPr="009C48DA">
        <w:rPr>
          <w:rFonts w:eastAsia="Calibri" w:cs="Arial"/>
          <w:lang w:val="en-GB"/>
        </w:rPr>
        <w:t xml:space="preserve"> per cent, from £9.6 million for the year ended 31 December 2019 to £12.9 million for the year ended 31 December 2020. This increase was primarily due to the recognition of carried interest income from </w:t>
      </w:r>
      <w:r w:rsidRPr="009C48DA" w:rsidR="007F7AA9">
        <w:rPr>
          <w:rFonts w:eastAsia="Calibri" w:cs="Arial"/>
          <w:szCs w:val="20"/>
          <w:lang w:val="en-GB"/>
        </w:rPr>
        <w:t xml:space="preserve">Bridgepoint </w:t>
      </w:r>
      <w:r w:rsidRPr="009C48DA">
        <w:rPr>
          <w:rFonts w:eastAsia="Calibri" w:cs="Arial"/>
          <w:lang w:val="en-GB"/>
        </w:rPr>
        <w:t xml:space="preserve">Development Capital III, reflecting increased fund valuations, and the partial sale of Vitamin Well. </w:t>
      </w:r>
    </w:p>
    <w:p w:rsidRPr="009C48DA" w:rsidR="00F07C79" w:rsidP="00672B9A" w:rsidRDefault="00672B9A" w14:paraId="3191C9DA" w14:textId="10FE5452">
      <w:pPr>
        <w:pStyle w:val="BodyText2SglJ"/>
        <w:rPr>
          <w:rFonts w:eastAsia="Calibri" w:cs="Arial"/>
          <w:lang w:val="en-GB"/>
        </w:rPr>
      </w:pPr>
      <w:r w:rsidRPr="009C48DA">
        <w:rPr>
          <w:rFonts w:eastAsia="Calibri" w:cs="Arial"/>
          <w:lang w:val="en-GB"/>
        </w:rPr>
        <w:t>Fair value remeasurement of investments increased by £14</w:t>
      </w:r>
      <w:r w:rsidRPr="009C48DA" w:rsidR="007848A5">
        <w:rPr>
          <w:rFonts w:eastAsia="Calibri" w:cs="Arial"/>
          <w:lang w:val="en-GB"/>
        </w:rPr>
        <w:t>.9</w:t>
      </w:r>
      <w:r w:rsidRPr="009C48DA">
        <w:rPr>
          <w:rFonts w:eastAsia="Calibri" w:cs="Arial"/>
          <w:lang w:val="en-GB"/>
        </w:rPr>
        <w:t xml:space="preserve"> million, or 102.8 per cent, from £14.5 million for the year ended 31 December 2019 to £29.4 million for the year ended 31 December 2020. This increase was primarily due to uplifts in the fair value of the Group’s investments in the </w:t>
      </w:r>
      <w:r w:rsidRPr="009C48DA" w:rsidR="007F7AA9">
        <w:rPr>
          <w:rFonts w:eastAsia="Calibri" w:cs="Arial"/>
          <w:szCs w:val="20"/>
          <w:lang w:val="en-GB"/>
        </w:rPr>
        <w:t xml:space="preserve">Bridgepoint </w:t>
      </w:r>
      <w:r w:rsidRPr="009C48DA">
        <w:rPr>
          <w:rFonts w:eastAsia="Calibri" w:cs="Arial"/>
          <w:lang w:val="en-GB"/>
        </w:rPr>
        <w:t xml:space="preserve">Funds, most notably </w:t>
      </w:r>
      <w:r w:rsidRPr="009C48DA" w:rsidR="007F7AA9">
        <w:rPr>
          <w:rFonts w:eastAsia="Calibri" w:cs="Arial"/>
          <w:szCs w:val="20"/>
          <w:lang w:val="en-GB"/>
        </w:rPr>
        <w:t xml:space="preserve">Bridgepoint </w:t>
      </w:r>
      <w:r w:rsidRPr="009C48DA">
        <w:rPr>
          <w:rFonts w:eastAsia="Calibri" w:cs="Arial"/>
          <w:lang w:val="en-GB"/>
        </w:rPr>
        <w:t>Europe V.</w:t>
      </w:r>
    </w:p>
    <w:p w:rsidRPr="009C48DA" w:rsidR="00B51E80" w:rsidP="00B51E80" w:rsidRDefault="00F07C79" w14:paraId="2C43ADF9" w14:textId="1EB49890">
      <w:pPr>
        <w:pStyle w:val="BodyText2SglJ"/>
        <w:rPr>
          <w:rFonts w:eastAsia="Calibri" w:cs="Arial"/>
          <w:lang w:val="en-GB"/>
        </w:rPr>
      </w:pPr>
      <w:r w:rsidRPr="009C48DA">
        <w:rPr>
          <w:rFonts w:eastAsia="Calibri" w:cs="Arial"/>
          <w:lang w:val="en-GB"/>
        </w:rPr>
        <w:t>O</w:t>
      </w:r>
      <w:r w:rsidRPr="009C48DA" w:rsidR="00B51E80">
        <w:rPr>
          <w:rFonts w:eastAsia="Calibri" w:cs="Arial"/>
          <w:lang w:val="en-GB"/>
        </w:rPr>
        <w:t>ther operating income decreased by £1.0 million, or 5</w:t>
      </w:r>
      <w:r w:rsidRPr="009C48DA" w:rsidR="00326505">
        <w:rPr>
          <w:rFonts w:eastAsia="Calibri" w:cs="Arial"/>
          <w:lang w:val="en-GB"/>
        </w:rPr>
        <w:t>2.6</w:t>
      </w:r>
      <w:r w:rsidRPr="009C48DA" w:rsidR="00B51E80">
        <w:rPr>
          <w:rFonts w:eastAsia="Calibri" w:cs="Arial"/>
          <w:lang w:val="en-GB"/>
        </w:rPr>
        <w:t xml:space="preserve"> per cent, from £1.9 million for the year ended 31 December 2019 to £0.9 million for the year ended 31 December 2020. This decrease was primarily due to lower income </w:t>
      </w:r>
      <w:r w:rsidRPr="009C48DA">
        <w:rPr>
          <w:rFonts w:eastAsia="Calibri" w:cs="Arial"/>
          <w:lang w:val="en-GB"/>
        </w:rPr>
        <w:t xml:space="preserve">from by the Group’s procurement consulting business, PEPCO Services LLP, </w:t>
      </w:r>
      <w:r w:rsidRPr="009C48DA" w:rsidR="00B51E80">
        <w:rPr>
          <w:rFonts w:eastAsia="Calibri" w:cs="Arial"/>
          <w:lang w:val="en-GB"/>
        </w:rPr>
        <w:t>reflecting reduced activity during the COVID-19 pandemic.</w:t>
      </w:r>
      <w:r w:rsidRPr="009C48DA" w:rsidDel="0003286F" w:rsidR="00B51E80">
        <w:rPr>
          <w:rFonts w:eastAsia="Calibri" w:cs="Arial"/>
          <w:lang w:val="en-GB"/>
        </w:rPr>
        <w:t xml:space="preserve"> </w:t>
      </w:r>
    </w:p>
    <w:p w:rsidRPr="009C48DA" w:rsidR="00B51E80" w:rsidP="00B51E80" w:rsidRDefault="00B51E80" w14:paraId="3B75FB48" w14:textId="77777777">
      <w:pPr>
        <w:pStyle w:val="TitleBI"/>
        <w:rPr>
          <w:lang w:val="en-GB"/>
        </w:rPr>
      </w:pPr>
      <w:r w:rsidRPr="009C48DA">
        <w:rPr>
          <w:szCs w:val="22"/>
          <w:lang w:val="en-GB"/>
        </w:rPr>
        <w:lastRenderedPageBreak/>
        <w:t>Personnel</w:t>
      </w:r>
      <w:r w:rsidRPr="009C48DA">
        <w:rPr>
          <w:lang w:val="en-GB"/>
        </w:rPr>
        <w:t xml:space="preserve"> expenses</w:t>
      </w:r>
    </w:p>
    <w:p w:rsidRPr="009C48DA" w:rsidR="00672B9A" w:rsidP="00672B9A" w:rsidRDefault="00672B9A" w14:paraId="66595D5D" w14:textId="77777777">
      <w:pPr>
        <w:pStyle w:val="BodyText2SglJ"/>
        <w:rPr>
          <w:rFonts w:eastAsia="Calibri" w:cs="Arial"/>
          <w:szCs w:val="22"/>
          <w:lang w:val="en-GB"/>
        </w:rPr>
      </w:pPr>
      <w:r w:rsidRPr="009C48DA">
        <w:rPr>
          <w:rFonts w:eastAsia="Calibri" w:cs="Arial"/>
          <w:szCs w:val="22"/>
          <w:lang w:val="en-GB"/>
        </w:rPr>
        <w:t xml:space="preserve">Personnel expenses increased by </w:t>
      </w:r>
      <w:r w:rsidRPr="009C48DA">
        <w:rPr>
          <w:rFonts w:eastAsia="Calibri" w:cs="Times New Roman"/>
          <w:szCs w:val="22"/>
          <w:lang w:val="en-GB"/>
        </w:rPr>
        <w:t>£</w:t>
      </w:r>
      <w:r w:rsidRPr="009C48DA">
        <w:rPr>
          <w:rFonts w:eastAsia="Calibri" w:cs="Arial"/>
          <w:szCs w:val="22"/>
          <w:lang w:val="en-GB"/>
        </w:rPr>
        <w:t xml:space="preserve">7.4 million, or 8.3 per cent, from </w:t>
      </w:r>
      <w:r w:rsidRPr="009C48DA">
        <w:rPr>
          <w:rFonts w:eastAsia="Calibri" w:cs="Times New Roman"/>
          <w:szCs w:val="22"/>
          <w:lang w:val="en-GB"/>
        </w:rPr>
        <w:t>£</w:t>
      </w:r>
      <w:r w:rsidRPr="009C48DA">
        <w:rPr>
          <w:rFonts w:eastAsia="Calibri" w:cs="Arial"/>
          <w:szCs w:val="22"/>
          <w:lang w:val="en-GB"/>
        </w:rPr>
        <w:t xml:space="preserve">88.9 million for the year ended 31 December 2019 to </w:t>
      </w:r>
      <w:r w:rsidRPr="009C48DA">
        <w:rPr>
          <w:rFonts w:eastAsia="Calibri" w:cs="Times New Roman"/>
          <w:szCs w:val="22"/>
          <w:lang w:val="en-GB"/>
        </w:rPr>
        <w:t>£</w:t>
      </w:r>
      <w:r w:rsidRPr="009C48DA">
        <w:rPr>
          <w:rFonts w:eastAsia="Calibri" w:cs="Arial"/>
          <w:szCs w:val="22"/>
          <w:lang w:val="en-GB"/>
        </w:rPr>
        <w:t xml:space="preserve">96.3 million for the year ended 31 December 2020. This increase </w:t>
      </w:r>
      <w:r w:rsidRPr="009C48DA">
        <w:rPr>
          <w:rFonts w:eastAsia="Calibri" w:cs="Arial"/>
          <w:lang w:val="en-GB"/>
        </w:rPr>
        <w:t>was</w:t>
      </w:r>
      <w:r w:rsidRPr="009C48DA">
        <w:rPr>
          <w:rFonts w:eastAsia="Calibri" w:cs="Arial"/>
          <w:szCs w:val="22"/>
          <w:lang w:val="en-GB"/>
        </w:rPr>
        <w:t xml:space="preserve"> primarily due to a combination of two months of costs in relation to the acquisition of EQT Credit as well as ongoing investment in the continuing Group’s operational platform to support its growth.</w:t>
      </w:r>
    </w:p>
    <w:p w:rsidRPr="009C48DA" w:rsidR="00B51E80" w:rsidP="00672B9A" w:rsidRDefault="00672B9A" w14:paraId="0031FD40" w14:textId="425ECDED">
      <w:pPr>
        <w:pStyle w:val="BodyText2SglJ"/>
        <w:rPr>
          <w:rFonts w:eastAsia="Calibri" w:cs="Arial"/>
          <w:szCs w:val="22"/>
          <w:lang w:val="en-GB"/>
        </w:rPr>
      </w:pPr>
      <w:r w:rsidRPr="009C48DA">
        <w:rPr>
          <w:rFonts w:eastAsia="Calibri" w:cs="Arial"/>
          <w:szCs w:val="22"/>
          <w:lang w:val="en-GB"/>
        </w:rPr>
        <w:t xml:space="preserve">Personnel expenses as a percentage of total operating income were 50.2 per cent for the year ended 31 </w:t>
      </w:r>
      <w:r w:rsidRPr="009C48DA">
        <w:rPr>
          <w:rFonts w:eastAsia="Calibri" w:cs="Arial"/>
          <w:lang w:val="en-GB"/>
        </w:rPr>
        <w:t>December</w:t>
      </w:r>
      <w:r w:rsidRPr="009C48DA">
        <w:rPr>
          <w:rFonts w:eastAsia="Calibri" w:cs="Arial"/>
          <w:szCs w:val="22"/>
          <w:lang w:val="en-GB"/>
        </w:rPr>
        <w:t xml:space="preserve"> 2020, compared to 52.3 per cent for the year ended 31 December 2019. The decrease of personnel expenses as a percentage of total operating income was primarily due to continued investment in the team ahead of expected material income uplifts in 2021 (with the start of the </w:t>
      </w:r>
      <w:r w:rsidRPr="009C48DA" w:rsidR="007F7AA9">
        <w:rPr>
          <w:rFonts w:eastAsia="Calibri" w:cs="Arial"/>
          <w:szCs w:val="20"/>
          <w:lang w:val="en-GB"/>
        </w:rPr>
        <w:t xml:space="preserve">Bridgepoint </w:t>
      </w:r>
      <w:r w:rsidRPr="009C48DA">
        <w:rPr>
          <w:rFonts w:eastAsia="Calibri" w:cs="Arial"/>
          <w:lang w:val="en-GB"/>
        </w:rPr>
        <w:t>Development Capital</w:t>
      </w:r>
      <w:r w:rsidRPr="009C48DA">
        <w:rPr>
          <w:rFonts w:eastAsia="Calibri" w:cs="Arial"/>
          <w:szCs w:val="22"/>
          <w:lang w:val="en-GB"/>
        </w:rPr>
        <w:t xml:space="preserve"> IV fund and new credit funds) and 2022 (with the start of </w:t>
      </w:r>
      <w:r w:rsidRPr="009C48DA" w:rsidR="007F7AA9">
        <w:rPr>
          <w:rFonts w:eastAsia="Calibri" w:cs="Arial"/>
          <w:szCs w:val="20"/>
          <w:lang w:val="en-GB"/>
        </w:rPr>
        <w:t xml:space="preserve">Bridgepoint </w:t>
      </w:r>
      <w:r w:rsidRPr="009C48DA">
        <w:rPr>
          <w:rFonts w:eastAsia="Calibri" w:cs="Arial"/>
          <w:szCs w:val="22"/>
          <w:lang w:val="en-GB"/>
        </w:rPr>
        <w:t>Europe VII), offset by higher total operating income in the year.</w:t>
      </w:r>
    </w:p>
    <w:p w:rsidRPr="009C48DA" w:rsidR="00B51E80" w:rsidP="0060161D" w:rsidRDefault="00B51E80" w14:paraId="18CD2664" w14:textId="77777777">
      <w:pPr>
        <w:pStyle w:val="TitleBI"/>
        <w:rPr>
          <w:lang w:val="en-GB"/>
        </w:rPr>
      </w:pPr>
      <w:r w:rsidRPr="009C48DA">
        <w:rPr>
          <w:lang w:val="en-GB"/>
        </w:rPr>
        <w:t xml:space="preserve">Other expenses </w:t>
      </w:r>
    </w:p>
    <w:p w:rsidRPr="009C48DA" w:rsidR="00041E7E" w:rsidP="00041E7E" w:rsidRDefault="00672B9A" w14:paraId="1A604A89" w14:textId="5645C424">
      <w:pPr>
        <w:spacing w:after="240"/>
        <w:ind w:firstLine="720"/>
        <w:jc w:val="both"/>
        <w:rPr>
          <w:rFonts w:eastAsia="Calibri" w:cs="Arial"/>
          <w:sz w:val="20"/>
          <w:szCs w:val="22"/>
          <w:lang w:val="en-GB"/>
        </w:rPr>
      </w:pPr>
      <w:r w:rsidRPr="009C48DA">
        <w:rPr>
          <w:rFonts w:eastAsia="Calibri" w:cs="Arial"/>
          <w:sz w:val="20"/>
          <w:szCs w:val="22"/>
          <w:lang w:val="en-GB"/>
        </w:rPr>
        <w:t xml:space="preserve">Other expenses increased by </w:t>
      </w:r>
      <w:r w:rsidRPr="009C48DA">
        <w:rPr>
          <w:rFonts w:eastAsia="Calibri" w:cs="Times New Roman"/>
          <w:sz w:val="20"/>
          <w:szCs w:val="22"/>
          <w:lang w:val="en-GB"/>
        </w:rPr>
        <w:t>£</w:t>
      </w:r>
      <w:r w:rsidRPr="009C48DA">
        <w:rPr>
          <w:rFonts w:eastAsia="Calibri" w:cs="Arial"/>
          <w:sz w:val="20"/>
          <w:szCs w:val="22"/>
          <w:lang w:val="en-GB"/>
        </w:rPr>
        <w:t>8.8 million, or 3</w:t>
      </w:r>
      <w:r w:rsidRPr="009C48DA" w:rsidR="007848A5">
        <w:rPr>
          <w:rFonts w:eastAsia="Calibri" w:cs="Arial"/>
          <w:sz w:val="20"/>
          <w:szCs w:val="22"/>
          <w:lang w:val="en-GB"/>
        </w:rPr>
        <w:t>1.7</w:t>
      </w:r>
      <w:r w:rsidRPr="009C48DA">
        <w:rPr>
          <w:rFonts w:eastAsia="Calibri" w:cs="Arial"/>
          <w:sz w:val="20"/>
          <w:szCs w:val="22"/>
          <w:lang w:val="en-GB"/>
        </w:rPr>
        <w:t xml:space="preserve"> per cent, from </w:t>
      </w:r>
      <w:r w:rsidRPr="009C48DA">
        <w:rPr>
          <w:rFonts w:eastAsia="Calibri" w:cs="Times New Roman"/>
          <w:sz w:val="20"/>
          <w:szCs w:val="22"/>
          <w:lang w:val="en-GB"/>
        </w:rPr>
        <w:t>£</w:t>
      </w:r>
      <w:r w:rsidRPr="009C48DA">
        <w:rPr>
          <w:rFonts w:eastAsia="Calibri" w:cs="Arial"/>
          <w:sz w:val="20"/>
          <w:szCs w:val="22"/>
          <w:lang w:val="en-GB"/>
        </w:rPr>
        <w:t>27.8 million for the year ended 31 </w:t>
      </w:r>
      <w:r w:rsidRPr="009C48DA">
        <w:rPr>
          <w:rFonts w:eastAsia="Calibri" w:cs="Arial"/>
          <w:sz w:val="20"/>
          <w:lang w:val="en-GB"/>
        </w:rPr>
        <w:t>December</w:t>
      </w:r>
      <w:r w:rsidRPr="009C48DA">
        <w:rPr>
          <w:rFonts w:eastAsia="Calibri" w:cs="Arial"/>
          <w:sz w:val="20"/>
          <w:szCs w:val="22"/>
          <w:lang w:val="en-GB"/>
        </w:rPr>
        <w:t xml:space="preserve"> </w:t>
      </w:r>
      <w:r w:rsidRPr="009C48DA">
        <w:rPr>
          <w:rFonts w:eastAsia="Calibri" w:cs="Arial"/>
          <w:sz w:val="20"/>
          <w:lang w:val="en-GB"/>
        </w:rPr>
        <w:t>2019</w:t>
      </w:r>
      <w:r w:rsidRPr="009C48DA">
        <w:rPr>
          <w:rFonts w:eastAsia="Calibri" w:cs="Arial"/>
          <w:sz w:val="20"/>
          <w:szCs w:val="22"/>
          <w:lang w:val="en-GB"/>
        </w:rPr>
        <w:t xml:space="preserve"> to </w:t>
      </w:r>
      <w:r w:rsidRPr="009C48DA">
        <w:rPr>
          <w:rFonts w:eastAsia="Calibri" w:cs="Times New Roman"/>
          <w:sz w:val="20"/>
          <w:szCs w:val="22"/>
          <w:lang w:val="en-GB"/>
        </w:rPr>
        <w:t>£</w:t>
      </w:r>
      <w:r w:rsidRPr="009C48DA">
        <w:rPr>
          <w:rFonts w:eastAsia="Calibri" w:cs="Arial"/>
          <w:sz w:val="20"/>
          <w:szCs w:val="22"/>
          <w:lang w:val="en-GB"/>
        </w:rPr>
        <w:t xml:space="preserve">36.6 million for the year ended 31 December 2020. This was due to exceptional other expenses of </w:t>
      </w:r>
      <w:r w:rsidRPr="009C48DA">
        <w:rPr>
          <w:rFonts w:eastAsia="Calibri" w:cs="Times New Roman"/>
          <w:sz w:val="20"/>
          <w:szCs w:val="22"/>
          <w:lang w:val="en-GB"/>
        </w:rPr>
        <w:t>£</w:t>
      </w:r>
      <w:r w:rsidRPr="009C48DA">
        <w:rPr>
          <w:rFonts w:eastAsia="Calibri" w:cs="Arial"/>
          <w:sz w:val="20"/>
          <w:szCs w:val="22"/>
          <w:lang w:val="en-GB"/>
        </w:rPr>
        <w:t xml:space="preserve">7.4 million during the year ended 31 December 2020 because of the acquisition of the EQT Credit business and an increase of other expenses, excluding exceptional expenses, from </w:t>
      </w:r>
      <w:r w:rsidRPr="009C48DA">
        <w:rPr>
          <w:rFonts w:eastAsia="Calibri" w:cs="Times New Roman"/>
          <w:sz w:val="20"/>
          <w:szCs w:val="22"/>
          <w:lang w:val="en-GB"/>
        </w:rPr>
        <w:t>£</w:t>
      </w:r>
      <w:r w:rsidRPr="009C48DA">
        <w:rPr>
          <w:rFonts w:eastAsia="Calibri" w:cs="Arial"/>
          <w:sz w:val="20"/>
          <w:szCs w:val="22"/>
          <w:lang w:val="en-GB"/>
        </w:rPr>
        <w:t xml:space="preserve">27.8 million to </w:t>
      </w:r>
      <w:r w:rsidRPr="009C48DA">
        <w:rPr>
          <w:rFonts w:eastAsia="Calibri" w:cs="Times New Roman"/>
          <w:sz w:val="20"/>
          <w:szCs w:val="22"/>
          <w:lang w:val="en-GB"/>
        </w:rPr>
        <w:t>£</w:t>
      </w:r>
      <w:r w:rsidRPr="009C48DA">
        <w:rPr>
          <w:rFonts w:eastAsia="Calibri" w:cs="Arial"/>
          <w:sz w:val="20"/>
          <w:szCs w:val="22"/>
          <w:lang w:val="en-GB"/>
        </w:rPr>
        <w:t>29.3 million due to the inclusion of two months of other expenses following the acquisition of the EQT Credit business. The table below shows the exceptional other expenses and other expenses, excluding exceptional expenses, in both periods.</w:t>
      </w:r>
    </w:p>
    <w:tbl>
      <w:tblPr>
        <w:tblW w:w="8505" w:type="dxa"/>
        <w:tblLayout w:type="fixed"/>
        <w:tblLook w:val="04A0" w:firstRow="1" w:lastRow="0" w:firstColumn="1" w:lastColumn="0" w:noHBand="0" w:noVBand="1"/>
      </w:tblPr>
      <w:tblGrid>
        <w:gridCol w:w="5807"/>
        <w:gridCol w:w="1423"/>
        <w:gridCol w:w="1275"/>
      </w:tblGrid>
      <w:tr w:rsidRPr="009C48DA" w:rsidR="00041E7E" w:rsidTr="00945C37" w14:paraId="6F53D561" w14:textId="77777777">
        <w:trPr>
          <w:trHeight w:val="74"/>
        </w:trPr>
        <w:tc>
          <w:tcPr>
            <w:tcW w:w="5807" w:type="dxa"/>
            <w:shd w:val="clear" w:color="auto" w:fill="auto"/>
            <w:vAlign w:val="bottom"/>
          </w:tcPr>
          <w:p w:rsidRPr="009C48DA" w:rsidR="00041E7E" w:rsidP="00041E7E" w:rsidRDefault="00041E7E" w14:paraId="7B183691" w14:textId="77777777">
            <w:pPr>
              <w:keepNext/>
              <w:rPr>
                <w:rFonts w:eastAsia="Calibri" w:cs="Times New Roman"/>
                <w:b/>
                <w:sz w:val="20"/>
                <w:szCs w:val="20"/>
                <w:lang w:val="en-GB"/>
              </w:rPr>
            </w:pPr>
          </w:p>
        </w:tc>
        <w:tc>
          <w:tcPr>
            <w:tcW w:w="2698" w:type="dxa"/>
            <w:gridSpan w:val="2"/>
            <w:shd w:val="clear" w:color="auto" w:fill="auto"/>
          </w:tcPr>
          <w:p w:rsidRPr="009C48DA" w:rsidR="00041E7E" w:rsidP="00041E7E" w:rsidRDefault="00041E7E" w14:paraId="6AF25FD8" w14:textId="77777777">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For the year ended 31 December</w:t>
            </w:r>
          </w:p>
        </w:tc>
      </w:tr>
      <w:tr w:rsidRPr="009C48DA" w:rsidR="00041E7E" w:rsidTr="00945C37" w14:paraId="21A76192" w14:textId="77777777">
        <w:trPr>
          <w:trHeight w:val="74"/>
        </w:trPr>
        <w:tc>
          <w:tcPr>
            <w:tcW w:w="5807" w:type="dxa"/>
            <w:shd w:val="clear" w:color="auto" w:fill="auto"/>
            <w:vAlign w:val="bottom"/>
          </w:tcPr>
          <w:p w:rsidRPr="009C48DA" w:rsidR="00041E7E" w:rsidP="00041E7E" w:rsidRDefault="00041E7E" w14:paraId="7E2DEA70" w14:textId="77777777">
            <w:pPr>
              <w:keepNext/>
              <w:rPr>
                <w:rFonts w:eastAsia="Calibri" w:cs="Times New Roman"/>
                <w:b/>
                <w:sz w:val="20"/>
                <w:szCs w:val="20"/>
                <w:lang w:val="en-GB"/>
              </w:rPr>
            </w:pPr>
          </w:p>
        </w:tc>
        <w:tc>
          <w:tcPr>
            <w:tcW w:w="1423" w:type="dxa"/>
            <w:shd w:val="clear" w:color="auto" w:fill="auto"/>
          </w:tcPr>
          <w:p w:rsidRPr="009C48DA" w:rsidR="00041E7E" w:rsidP="00041E7E" w:rsidRDefault="00041E7E" w14:paraId="4287C2CC" w14:textId="77777777">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2019</w:t>
            </w:r>
          </w:p>
        </w:tc>
        <w:tc>
          <w:tcPr>
            <w:tcW w:w="1275" w:type="dxa"/>
            <w:shd w:val="clear" w:color="auto" w:fill="auto"/>
            <w:vAlign w:val="bottom"/>
          </w:tcPr>
          <w:p w:rsidRPr="009C48DA" w:rsidR="00041E7E" w:rsidP="00041E7E" w:rsidRDefault="00041E7E" w14:paraId="6D48EC8A" w14:textId="77777777">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2020</w:t>
            </w:r>
          </w:p>
        </w:tc>
      </w:tr>
      <w:tr w:rsidRPr="009C48DA" w:rsidR="00041E7E" w:rsidTr="00945C37" w14:paraId="5113AB56" w14:textId="77777777">
        <w:trPr>
          <w:trHeight w:val="74"/>
        </w:trPr>
        <w:tc>
          <w:tcPr>
            <w:tcW w:w="5807" w:type="dxa"/>
            <w:shd w:val="clear" w:color="auto" w:fill="auto"/>
            <w:vAlign w:val="bottom"/>
          </w:tcPr>
          <w:p w:rsidRPr="009C48DA" w:rsidR="00041E7E" w:rsidP="00041E7E" w:rsidRDefault="00041E7E" w14:paraId="2D56E632" w14:textId="77777777">
            <w:pPr>
              <w:keepNext/>
              <w:tabs>
                <w:tab w:val="right" w:leader="dot" w:pos="4628"/>
              </w:tabs>
              <w:rPr>
                <w:rFonts w:eastAsia="Calibri" w:cs="Times New Roman"/>
                <w:sz w:val="20"/>
                <w:szCs w:val="20"/>
                <w:lang w:val="en-GB"/>
              </w:rPr>
            </w:pPr>
          </w:p>
        </w:tc>
        <w:tc>
          <w:tcPr>
            <w:tcW w:w="2698" w:type="dxa"/>
            <w:gridSpan w:val="2"/>
            <w:shd w:val="clear" w:color="auto" w:fill="auto"/>
            <w:vAlign w:val="bottom"/>
          </w:tcPr>
          <w:p w:rsidRPr="009C48DA" w:rsidR="00041E7E" w:rsidP="00041E7E" w:rsidRDefault="00041E7E" w14:paraId="79C9E2EE" w14:textId="77777777">
            <w:pPr>
              <w:keepNext/>
              <w:jc w:val="center"/>
              <w:rPr>
                <w:rFonts w:eastAsia="Calibri" w:cs="Times New Roman"/>
                <w:sz w:val="20"/>
                <w:szCs w:val="20"/>
                <w:lang w:val="en-GB"/>
              </w:rPr>
            </w:pPr>
            <w:r w:rsidRPr="009C48DA">
              <w:rPr>
                <w:rFonts w:eastAsia="Calibri" w:cs="Times New Roman"/>
                <w:sz w:val="20"/>
                <w:szCs w:val="20"/>
                <w:lang w:val="en-GB"/>
              </w:rPr>
              <w:t>(£ in millions)</w:t>
            </w:r>
          </w:p>
        </w:tc>
      </w:tr>
      <w:tr w:rsidRPr="009C48DA" w:rsidR="00041E7E" w:rsidTr="00945C37" w14:paraId="62C838F8" w14:textId="77777777">
        <w:tc>
          <w:tcPr>
            <w:tcW w:w="5807" w:type="dxa"/>
            <w:shd w:val="clear" w:color="auto" w:fill="auto"/>
            <w:vAlign w:val="bottom"/>
          </w:tcPr>
          <w:p w:rsidRPr="009C48DA" w:rsidR="00041E7E" w:rsidP="00041E7E" w:rsidRDefault="00041E7E" w14:paraId="7AA0EB37" w14:textId="77777777">
            <w:pPr>
              <w:tabs>
                <w:tab w:val="left" w:leader="dot" w:pos="5305"/>
              </w:tabs>
              <w:rPr>
                <w:rFonts w:eastAsia="Calibri" w:cs="Times New Roman"/>
                <w:sz w:val="20"/>
                <w:szCs w:val="20"/>
                <w:lang w:val="en-GB"/>
              </w:rPr>
            </w:pPr>
            <w:r w:rsidRPr="009C48DA">
              <w:rPr>
                <w:rFonts w:eastAsia="Calibri" w:cs="Times New Roman"/>
                <w:sz w:val="20"/>
                <w:szCs w:val="20"/>
                <w:lang w:val="en-GB"/>
              </w:rPr>
              <w:t>Other expenses, excluding exceptional other expenses</w:t>
            </w:r>
            <w:r w:rsidRPr="009C48DA">
              <w:rPr>
                <w:rFonts w:eastAsia="Calibri" w:cs="Times New Roman"/>
                <w:sz w:val="20"/>
                <w:szCs w:val="20"/>
                <w:lang w:val="en-GB"/>
              </w:rPr>
              <w:tab/>
            </w:r>
          </w:p>
        </w:tc>
        <w:tc>
          <w:tcPr>
            <w:tcW w:w="1423" w:type="dxa"/>
            <w:shd w:val="clear" w:color="auto" w:fill="auto"/>
            <w:vAlign w:val="bottom"/>
          </w:tcPr>
          <w:p w:rsidRPr="009C48DA" w:rsidR="00041E7E" w:rsidP="00041E7E" w:rsidRDefault="00041E7E" w14:paraId="0A6C892E" w14:textId="77777777">
            <w:pPr>
              <w:jc w:val="right"/>
              <w:rPr>
                <w:rFonts w:eastAsia="Calibri" w:cs="Arial"/>
                <w:sz w:val="20"/>
                <w:szCs w:val="20"/>
                <w:lang w:val="en-GB"/>
              </w:rPr>
            </w:pPr>
            <w:r w:rsidRPr="009C48DA">
              <w:rPr>
                <w:rFonts w:eastAsia="Calibri" w:cs="Arial"/>
                <w:sz w:val="20"/>
                <w:szCs w:val="20"/>
                <w:lang w:val="en-GB"/>
              </w:rPr>
              <w:t>(27.8)</w:t>
            </w:r>
          </w:p>
        </w:tc>
        <w:tc>
          <w:tcPr>
            <w:tcW w:w="1275" w:type="dxa"/>
            <w:shd w:val="clear" w:color="auto" w:fill="auto"/>
            <w:vAlign w:val="bottom"/>
          </w:tcPr>
          <w:p w:rsidRPr="009C48DA" w:rsidR="00041E7E" w:rsidP="00041E7E" w:rsidRDefault="00041E7E" w14:paraId="00D76848" w14:textId="77777777">
            <w:pPr>
              <w:jc w:val="right"/>
              <w:rPr>
                <w:rFonts w:eastAsia="Calibri" w:cs="Arial"/>
                <w:sz w:val="20"/>
                <w:szCs w:val="20"/>
                <w:lang w:val="en-GB"/>
              </w:rPr>
            </w:pPr>
            <w:r w:rsidRPr="009C48DA">
              <w:rPr>
                <w:rFonts w:eastAsia="Calibri" w:cs="Arial"/>
                <w:sz w:val="20"/>
                <w:szCs w:val="20"/>
                <w:lang w:val="en-GB"/>
              </w:rPr>
              <w:t>(29.3)</w:t>
            </w:r>
          </w:p>
        </w:tc>
      </w:tr>
      <w:tr w:rsidRPr="009C48DA" w:rsidR="00041E7E" w:rsidTr="00945C37" w14:paraId="170071DF" w14:textId="77777777">
        <w:tc>
          <w:tcPr>
            <w:tcW w:w="5807" w:type="dxa"/>
            <w:shd w:val="clear" w:color="auto" w:fill="auto"/>
            <w:vAlign w:val="bottom"/>
          </w:tcPr>
          <w:p w:rsidRPr="009C48DA" w:rsidR="00041E7E" w:rsidP="00041E7E" w:rsidRDefault="00041E7E" w14:paraId="363E5F62" w14:textId="77777777">
            <w:pPr>
              <w:tabs>
                <w:tab w:val="left" w:leader="dot" w:pos="5305"/>
              </w:tabs>
              <w:rPr>
                <w:rFonts w:eastAsia="Calibri" w:cs="Times New Roman"/>
                <w:sz w:val="20"/>
                <w:szCs w:val="20"/>
                <w:lang w:val="en-GB"/>
              </w:rPr>
            </w:pPr>
            <w:r w:rsidRPr="009C48DA">
              <w:rPr>
                <w:rFonts w:eastAsia="Calibri" w:cs="Times New Roman"/>
                <w:sz w:val="20"/>
                <w:szCs w:val="20"/>
                <w:lang w:val="en-GB"/>
              </w:rPr>
              <w:t>Exceptional other expenses</w:t>
            </w:r>
            <w:r w:rsidRPr="009C48DA">
              <w:rPr>
                <w:rFonts w:eastAsia="Calibri" w:cs="Arial"/>
                <w:sz w:val="20"/>
                <w:szCs w:val="20"/>
                <w:lang w:val="en-GB"/>
              </w:rPr>
              <w:tab/>
            </w:r>
          </w:p>
        </w:tc>
        <w:tc>
          <w:tcPr>
            <w:tcW w:w="1423" w:type="dxa"/>
            <w:shd w:val="clear" w:color="auto" w:fill="auto"/>
            <w:vAlign w:val="bottom"/>
          </w:tcPr>
          <w:p w:rsidRPr="009C48DA" w:rsidR="00041E7E" w:rsidP="00041E7E" w:rsidRDefault="00041E7E" w14:paraId="11DDF704"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w:t>
            </w:r>
          </w:p>
        </w:tc>
        <w:tc>
          <w:tcPr>
            <w:tcW w:w="1275" w:type="dxa"/>
            <w:shd w:val="clear" w:color="auto" w:fill="auto"/>
            <w:vAlign w:val="bottom"/>
          </w:tcPr>
          <w:p w:rsidRPr="009C48DA" w:rsidR="00041E7E" w:rsidP="00041E7E" w:rsidRDefault="00672B9A" w14:paraId="0B5A01B7" w14:textId="20A36928">
            <w:pPr>
              <w:pBdr>
                <w:bottom w:val="single" w:color="auto" w:sz="4" w:space="1"/>
              </w:pBdr>
              <w:jc w:val="right"/>
              <w:rPr>
                <w:rFonts w:eastAsia="Calibri" w:cs="Arial"/>
                <w:sz w:val="20"/>
                <w:szCs w:val="20"/>
                <w:lang w:val="en-GB"/>
              </w:rPr>
            </w:pPr>
            <w:r w:rsidRPr="009C48DA">
              <w:rPr>
                <w:rFonts w:eastAsia="Calibri" w:cs="Arial"/>
                <w:sz w:val="20"/>
                <w:szCs w:val="20"/>
                <w:lang w:val="en-GB"/>
              </w:rPr>
              <w:t>(7.4</w:t>
            </w:r>
            <w:r w:rsidRPr="009C48DA" w:rsidR="00041E7E">
              <w:rPr>
                <w:rFonts w:eastAsia="Calibri" w:cs="Arial"/>
                <w:sz w:val="20"/>
                <w:szCs w:val="20"/>
                <w:lang w:val="en-GB"/>
              </w:rPr>
              <w:t>)</w:t>
            </w:r>
          </w:p>
        </w:tc>
      </w:tr>
      <w:tr w:rsidRPr="009C48DA" w:rsidR="00041E7E" w:rsidTr="00945C37" w14:paraId="5624631B" w14:textId="77777777">
        <w:tc>
          <w:tcPr>
            <w:tcW w:w="5807" w:type="dxa"/>
            <w:shd w:val="clear" w:color="auto" w:fill="auto"/>
            <w:vAlign w:val="bottom"/>
          </w:tcPr>
          <w:p w:rsidRPr="009C48DA" w:rsidR="00041E7E" w:rsidP="00041E7E" w:rsidRDefault="00041E7E" w14:paraId="071D27D2" w14:textId="77777777">
            <w:pPr>
              <w:tabs>
                <w:tab w:val="left" w:leader="dot" w:pos="5305"/>
              </w:tabs>
              <w:rPr>
                <w:rFonts w:eastAsia="Calibri" w:cs="Times New Roman"/>
                <w:b/>
                <w:bCs/>
                <w:sz w:val="20"/>
                <w:szCs w:val="20"/>
                <w:lang w:val="en-GB"/>
              </w:rPr>
            </w:pPr>
            <w:r w:rsidRPr="009C48DA">
              <w:rPr>
                <w:rFonts w:eastAsia="Calibri" w:cs="Times New Roman"/>
                <w:b/>
                <w:bCs/>
                <w:sz w:val="20"/>
                <w:szCs w:val="20"/>
                <w:lang w:val="en-GB"/>
              </w:rPr>
              <w:t>Other expenses</w:t>
            </w:r>
            <w:r w:rsidRPr="009C48DA">
              <w:rPr>
                <w:rFonts w:eastAsia="Calibri" w:cs="Arial"/>
                <w:b/>
                <w:bCs/>
                <w:sz w:val="20"/>
                <w:szCs w:val="20"/>
                <w:lang w:val="en-GB"/>
              </w:rPr>
              <w:tab/>
            </w:r>
          </w:p>
        </w:tc>
        <w:tc>
          <w:tcPr>
            <w:tcW w:w="1423" w:type="dxa"/>
            <w:shd w:val="clear" w:color="auto" w:fill="auto"/>
            <w:vAlign w:val="bottom"/>
          </w:tcPr>
          <w:p w:rsidRPr="009C48DA" w:rsidR="00041E7E" w:rsidP="00041E7E" w:rsidRDefault="00041E7E" w14:paraId="048D526C" w14:textId="77777777">
            <w:pPr>
              <w:pBdr>
                <w:bottom w:val="double" w:color="auto" w:sz="4" w:space="0"/>
              </w:pBdr>
              <w:jc w:val="right"/>
              <w:rPr>
                <w:rFonts w:eastAsia="Calibri" w:cs="Arial"/>
                <w:b/>
                <w:bCs/>
                <w:sz w:val="20"/>
                <w:szCs w:val="20"/>
                <w:lang w:val="en-GB"/>
              </w:rPr>
            </w:pPr>
            <w:r w:rsidRPr="009C48DA">
              <w:rPr>
                <w:rFonts w:eastAsia="Calibri" w:cs="Arial"/>
                <w:b/>
                <w:bCs/>
                <w:sz w:val="20"/>
                <w:szCs w:val="20"/>
                <w:lang w:val="en-GB"/>
              </w:rPr>
              <w:t>(27.8)</w:t>
            </w:r>
          </w:p>
        </w:tc>
        <w:tc>
          <w:tcPr>
            <w:tcW w:w="1275" w:type="dxa"/>
            <w:shd w:val="clear" w:color="auto" w:fill="auto"/>
            <w:vAlign w:val="bottom"/>
          </w:tcPr>
          <w:p w:rsidRPr="009C48DA" w:rsidR="00041E7E" w:rsidP="00041E7E" w:rsidRDefault="00672B9A" w14:paraId="3C9FB660" w14:textId="1448F1DB">
            <w:pPr>
              <w:pBdr>
                <w:bottom w:val="double" w:color="auto" w:sz="4" w:space="0"/>
              </w:pBdr>
              <w:jc w:val="right"/>
              <w:rPr>
                <w:rFonts w:eastAsia="Calibri" w:cs="Arial"/>
                <w:b/>
                <w:bCs/>
                <w:sz w:val="20"/>
                <w:szCs w:val="20"/>
                <w:lang w:val="en-GB"/>
              </w:rPr>
            </w:pPr>
            <w:r w:rsidRPr="009C48DA">
              <w:rPr>
                <w:rFonts w:eastAsia="Calibri" w:cs="Arial"/>
                <w:b/>
                <w:bCs/>
                <w:sz w:val="20"/>
                <w:szCs w:val="20"/>
                <w:lang w:val="en-GB"/>
              </w:rPr>
              <w:t>(36.6</w:t>
            </w:r>
            <w:r w:rsidRPr="009C48DA" w:rsidR="00041E7E">
              <w:rPr>
                <w:rFonts w:eastAsia="Calibri" w:cs="Arial"/>
                <w:b/>
                <w:bCs/>
                <w:sz w:val="20"/>
                <w:szCs w:val="20"/>
                <w:lang w:val="en-GB"/>
              </w:rPr>
              <w:t>)</w:t>
            </w:r>
          </w:p>
        </w:tc>
      </w:tr>
    </w:tbl>
    <w:p w:rsidRPr="009C48DA" w:rsidR="00041E7E" w:rsidP="00041E7E" w:rsidRDefault="00041E7E" w14:paraId="4CFAE1AB" w14:textId="77777777">
      <w:pPr>
        <w:spacing w:after="240"/>
        <w:ind w:firstLine="720"/>
        <w:jc w:val="both"/>
        <w:rPr>
          <w:rFonts w:eastAsia="Calibri" w:cs="Arial"/>
          <w:sz w:val="20"/>
          <w:szCs w:val="22"/>
          <w:lang w:val="en-GB"/>
        </w:rPr>
      </w:pPr>
    </w:p>
    <w:p w:rsidRPr="009C48DA" w:rsidR="00041E7E" w:rsidP="00041E7E" w:rsidRDefault="00672B9A" w14:paraId="4FB03550" w14:textId="29056971">
      <w:pPr>
        <w:spacing w:after="240"/>
        <w:ind w:firstLine="720"/>
        <w:jc w:val="both"/>
        <w:rPr>
          <w:rFonts w:eastAsia="Calibri" w:cs="Arial"/>
          <w:sz w:val="20"/>
          <w:szCs w:val="22"/>
          <w:lang w:val="en-GB"/>
        </w:rPr>
      </w:pPr>
      <w:r w:rsidRPr="009C48DA">
        <w:rPr>
          <w:rFonts w:eastAsia="Calibri" w:cs="Arial"/>
          <w:sz w:val="20"/>
          <w:szCs w:val="22"/>
          <w:lang w:val="en-GB"/>
        </w:rPr>
        <w:t>Other expenses as a percentage of total operating income was 19.1 per cent for the year ended 31 December 2020, compared to 16.</w:t>
      </w:r>
      <w:r w:rsidRPr="009C48DA" w:rsidR="007848A5">
        <w:rPr>
          <w:rFonts w:eastAsia="Calibri" w:cs="Arial"/>
          <w:sz w:val="20"/>
          <w:szCs w:val="22"/>
          <w:lang w:val="en-GB"/>
        </w:rPr>
        <w:t>4</w:t>
      </w:r>
      <w:r w:rsidRPr="009C48DA">
        <w:rPr>
          <w:rFonts w:eastAsia="Calibri" w:cs="Arial"/>
          <w:sz w:val="20"/>
          <w:szCs w:val="22"/>
          <w:lang w:val="en-GB"/>
        </w:rPr>
        <w:t xml:space="preserve"> per cent for the year ended 31 December 2019.</w:t>
      </w:r>
    </w:p>
    <w:p w:rsidRPr="009C48DA" w:rsidR="00672B9A" w:rsidP="00672B9A" w:rsidRDefault="00672B9A" w14:paraId="3C4F3BD2" w14:textId="77777777">
      <w:pPr>
        <w:pStyle w:val="TitleBI"/>
        <w:rPr>
          <w:lang w:val="en-GB"/>
        </w:rPr>
      </w:pPr>
      <w:r w:rsidRPr="009C48DA">
        <w:rPr>
          <w:lang w:val="en-GB"/>
        </w:rPr>
        <w:t>Foreign exchange losses</w:t>
      </w:r>
    </w:p>
    <w:p w:rsidRPr="009C48DA" w:rsidR="00672B9A" w:rsidP="00672B9A" w:rsidRDefault="00672B9A" w14:paraId="46B6ABEC" w14:textId="77777777">
      <w:pPr>
        <w:pStyle w:val="BodyText2SglJ"/>
        <w:rPr>
          <w:rFonts w:eastAsia="Calibri" w:cs="Arial"/>
          <w:szCs w:val="22"/>
          <w:lang w:val="en-GB"/>
        </w:rPr>
      </w:pPr>
      <w:r w:rsidRPr="009C48DA">
        <w:rPr>
          <w:rFonts w:eastAsia="Calibri" w:cs="Arial"/>
          <w:lang w:val="en-GB"/>
        </w:rPr>
        <w:t>Foreign</w:t>
      </w:r>
      <w:r w:rsidRPr="009C48DA">
        <w:rPr>
          <w:rFonts w:eastAsia="Calibri" w:cs="Arial"/>
          <w:szCs w:val="22"/>
          <w:lang w:val="en-GB"/>
        </w:rPr>
        <w:t xml:space="preserve"> exchange gains / (losses) negatively changed by </w:t>
      </w:r>
      <w:r w:rsidRPr="009C48DA">
        <w:rPr>
          <w:rFonts w:eastAsia="Calibri" w:cs="Times New Roman"/>
          <w:szCs w:val="22"/>
          <w:lang w:val="en-GB"/>
        </w:rPr>
        <w:t>£</w:t>
      </w:r>
      <w:r w:rsidRPr="009C48DA">
        <w:rPr>
          <w:rFonts w:eastAsia="Calibri" w:cs="Arial"/>
          <w:szCs w:val="22"/>
          <w:lang w:val="en-GB"/>
        </w:rPr>
        <w:t xml:space="preserve">0.1 million from a loss of </w:t>
      </w:r>
      <w:r w:rsidRPr="009C48DA">
        <w:rPr>
          <w:rFonts w:eastAsia="Calibri" w:cs="Times New Roman"/>
          <w:szCs w:val="22"/>
          <w:lang w:val="en-GB"/>
        </w:rPr>
        <w:t>£</w:t>
      </w:r>
      <w:r w:rsidRPr="009C48DA">
        <w:rPr>
          <w:rFonts w:eastAsia="Calibri" w:cs="Arial"/>
          <w:szCs w:val="22"/>
          <w:lang w:val="en-GB"/>
        </w:rPr>
        <w:t xml:space="preserve">0.1 million for the year ended 31 December 2019 to a loss of </w:t>
      </w:r>
      <w:r w:rsidRPr="009C48DA">
        <w:rPr>
          <w:rFonts w:eastAsia="Calibri" w:cs="Times New Roman"/>
          <w:szCs w:val="22"/>
          <w:lang w:val="en-GB"/>
        </w:rPr>
        <w:t>£</w:t>
      </w:r>
      <w:r w:rsidRPr="009C48DA">
        <w:rPr>
          <w:rFonts w:eastAsia="Calibri" w:cs="Arial"/>
          <w:szCs w:val="22"/>
          <w:lang w:val="en-GB"/>
        </w:rPr>
        <w:t>0.2 million for the year ended 31 December 2020. This was primarily due to the strengthening of the pound sterling versus the euro.</w:t>
      </w:r>
    </w:p>
    <w:p w:rsidRPr="009C48DA" w:rsidR="00672B9A" w:rsidP="00672B9A" w:rsidRDefault="00672B9A" w14:paraId="68EE6542" w14:textId="77777777">
      <w:pPr>
        <w:pStyle w:val="TitleBI"/>
        <w:rPr>
          <w:lang w:val="en-GB"/>
        </w:rPr>
      </w:pPr>
      <w:r w:rsidRPr="009C48DA">
        <w:rPr>
          <w:lang w:val="en-GB"/>
        </w:rPr>
        <w:t>EBITDA</w:t>
      </w:r>
    </w:p>
    <w:p w:rsidRPr="009C48DA" w:rsidR="00672B9A" w:rsidP="00672B9A" w:rsidRDefault="00672B9A" w14:paraId="1CAF7DBB" w14:textId="77777777">
      <w:pPr>
        <w:pStyle w:val="BodyText2SglJ"/>
        <w:rPr>
          <w:lang w:val="en-GB"/>
        </w:rPr>
      </w:pPr>
      <w:r w:rsidRPr="009C48DA">
        <w:rPr>
          <w:lang w:val="en-GB"/>
        </w:rPr>
        <w:t>EBITDA increased by £5.6 million, or 10.5 per cent, from £53.1 million for the year ended 31 December 2019 to £58.7 million for the year ended 31 December 2020. This increase was due to an increase of total operating income, which outpaced the growth in operating expenses by, in part due to the acquisition of the EQT Credit business but also due to the increase of the Group’s overall business activities.</w:t>
      </w:r>
    </w:p>
    <w:p w:rsidRPr="009C48DA" w:rsidR="00B51E80" w:rsidP="00672B9A" w:rsidRDefault="00672B9A" w14:paraId="27A38565" w14:textId="5479E190">
      <w:pPr>
        <w:pStyle w:val="BodyText2SglJ"/>
        <w:rPr>
          <w:rFonts w:eastAsia="Calibri" w:cs="Arial"/>
          <w:szCs w:val="22"/>
          <w:lang w:val="en-GB"/>
        </w:rPr>
      </w:pPr>
      <w:r w:rsidRPr="009C48DA">
        <w:rPr>
          <w:rFonts w:eastAsia="Calibri" w:cs="Arial"/>
          <w:szCs w:val="22"/>
          <w:lang w:val="en-GB"/>
        </w:rPr>
        <w:t>Underlying EBITDA increased by £1</w:t>
      </w:r>
      <w:r w:rsidRPr="009C48DA" w:rsidR="007848A5">
        <w:rPr>
          <w:rFonts w:eastAsia="Calibri" w:cs="Arial"/>
          <w:szCs w:val="22"/>
          <w:lang w:val="en-GB"/>
        </w:rPr>
        <w:t>3.0</w:t>
      </w:r>
      <w:r w:rsidRPr="009C48DA">
        <w:rPr>
          <w:rFonts w:eastAsia="Calibri" w:cs="Arial"/>
          <w:szCs w:val="22"/>
          <w:lang w:val="en-GB"/>
        </w:rPr>
        <w:t xml:space="preserve"> million, or </w:t>
      </w:r>
      <w:r w:rsidRPr="009C48DA" w:rsidR="007848A5">
        <w:rPr>
          <w:rFonts w:eastAsia="Calibri" w:cs="Arial"/>
          <w:szCs w:val="22"/>
          <w:lang w:val="en-GB"/>
        </w:rPr>
        <w:t>24.5</w:t>
      </w:r>
      <w:r w:rsidRPr="009C48DA">
        <w:rPr>
          <w:rFonts w:eastAsia="Calibri" w:cs="Arial"/>
          <w:szCs w:val="22"/>
          <w:lang w:val="en-GB"/>
        </w:rPr>
        <w:t xml:space="preserve"> per cent, from £53.1 million for the year ended 31 December 2019 to £66.1 million for the year ended 31 December 2020. This increase was due to an increase of total operating income, which outpaced the growth in operating expenses, in part due to the acquisition of the EQT Credit business but also due to the increase of the Group’s overall business. Exceptional items within EBITDA of </w:t>
      </w:r>
      <w:r w:rsidRPr="009C48DA">
        <w:rPr>
          <w:rFonts w:eastAsia="Calibri" w:cs="Times New Roman"/>
          <w:szCs w:val="22"/>
          <w:lang w:val="en-GB"/>
        </w:rPr>
        <w:t>£</w:t>
      </w:r>
      <w:r w:rsidRPr="009C48DA">
        <w:rPr>
          <w:rFonts w:eastAsia="Calibri" w:cs="Arial"/>
          <w:szCs w:val="22"/>
          <w:lang w:val="en-GB"/>
        </w:rPr>
        <w:t>7.4 million for the year ended 31 December 2020 consisted primarily of costs associated with the acquisition of EQT Credit, which were one-off in nature.</w:t>
      </w:r>
    </w:p>
    <w:p w:rsidRPr="009C48DA" w:rsidR="00B51E80" w:rsidP="00B51E80" w:rsidRDefault="00B51E80" w14:paraId="474146B6" w14:textId="77777777">
      <w:pPr>
        <w:pStyle w:val="TitleBI"/>
        <w:rPr>
          <w:lang w:val="en-GB"/>
        </w:rPr>
      </w:pPr>
      <w:r w:rsidRPr="009C48DA">
        <w:rPr>
          <w:lang w:val="en-GB"/>
        </w:rPr>
        <w:t>Depreciation and amortisation expense</w:t>
      </w:r>
    </w:p>
    <w:p w:rsidRPr="009C48DA" w:rsidR="00B51E80" w:rsidP="00B51E80" w:rsidRDefault="00672B9A" w14:paraId="2E4297D9" w14:textId="6A71EA44">
      <w:pPr>
        <w:pStyle w:val="BodyText2SglJ"/>
        <w:rPr>
          <w:rFonts w:eastAsia="Calibri" w:cs="Arial"/>
          <w:szCs w:val="22"/>
          <w:lang w:val="en-GB"/>
        </w:rPr>
      </w:pPr>
      <w:r w:rsidRPr="009C48DA">
        <w:rPr>
          <w:rFonts w:eastAsia="Calibri" w:cs="Arial"/>
          <w:szCs w:val="22"/>
          <w:lang w:val="en-GB"/>
        </w:rPr>
        <w:t xml:space="preserve">Depreciation and amortisation expense increased by </w:t>
      </w:r>
      <w:r w:rsidRPr="009C48DA">
        <w:rPr>
          <w:rFonts w:eastAsia="Calibri" w:cs="Times New Roman"/>
          <w:szCs w:val="22"/>
          <w:lang w:val="en-GB"/>
        </w:rPr>
        <w:t>£</w:t>
      </w:r>
      <w:r w:rsidRPr="009C48DA">
        <w:rPr>
          <w:rFonts w:eastAsia="Calibri" w:cs="Arial"/>
          <w:szCs w:val="22"/>
          <w:lang w:val="en-GB"/>
        </w:rPr>
        <w:t>1.0 million, or 1</w:t>
      </w:r>
      <w:r w:rsidRPr="009C48DA" w:rsidR="007848A5">
        <w:rPr>
          <w:rFonts w:eastAsia="Calibri" w:cs="Arial"/>
          <w:szCs w:val="22"/>
          <w:lang w:val="en-GB"/>
        </w:rPr>
        <w:t>2.8</w:t>
      </w:r>
      <w:r w:rsidRPr="009C48DA">
        <w:rPr>
          <w:rFonts w:eastAsia="Calibri" w:cs="Arial"/>
          <w:szCs w:val="22"/>
          <w:lang w:val="en-GB"/>
        </w:rPr>
        <w:t xml:space="preserve"> per cent, from £7.8 million </w:t>
      </w:r>
      <w:r w:rsidRPr="009C48DA">
        <w:rPr>
          <w:rFonts w:eastAsia="Calibri" w:cs="Arial"/>
          <w:lang w:val="en-GB"/>
        </w:rPr>
        <w:t>for</w:t>
      </w:r>
      <w:r w:rsidRPr="009C48DA">
        <w:rPr>
          <w:rFonts w:eastAsia="Calibri" w:cs="Arial"/>
          <w:szCs w:val="22"/>
          <w:lang w:val="en-GB"/>
        </w:rPr>
        <w:t xml:space="preserve"> the year ended 31 December 2019 to </w:t>
      </w:r>
      <w:r w:rsidRPr="009C48DA">
        <w:rPr>
          <w:rFonts w:eastAsia="Calibri" w:cs="Times New Roman"/>
          <w:szCs w:val="22"/>
          <w:lang w:val="en-GB"/>
        </w:rPr>
        <w:t>£</w:t>
      </w:r>
      <w:r w:rsidRPr="009C48DA">
        <w:rPr>
          <w:rFonts w:eastAsia="Calibri" w:cs="Arial"/>
          <w:szCs w:val="22"/>
          <w:lang w:val="en-GB"/>
        </w:rPr>
        <w:t xml:space="preserve">8.8 million for the year ended 31 December 2020. This </w:t>
      </w:r>
      <w:r w:rsidRPr="009C48DA">
        <w:rPr>
          <w:rFonts w:eastAsia="Calibri" w:cs="Arial"/>
          <w:szCs w:val="22"/>
          <w:lang w:val="en-GB"/>
        </w:rPr>
        <w:lastRenderedPageBreak/>
        <w:t>increase was primarily due to the inclusion of two months of amortisation relating to the intangible assets acquired with the EQT Credit business of £0.6 million together with greater depreciation on other assets (property and IT related).</w:t>
      </w:r>
    </w:p>
    <w:p w:rsidRPr="009C48DA" w:rsidR="00B51E80" w:rsidP="00B51E80" w:rsidRDefault="00B51E80" w14:paraId="4BC8309B" w14:textId="77777777">
      <w:pPr>
        <w:pStyle w:val="TitleBI"/>
        <w:rPr>
          <w:lang w:val="en-GB"/>
        </w:rPr>
      </w:pPr>
      <w:r w:rsidRPr="009C48DA">
        <w:rPr>
          <w:lang w:val="en-GB"/>
        </w:rPr>
        <w:t>Total operating profit</w:t>
      </w:r>
    </w:p>
    <w:p w:rsidRPr="009C48DA" w:rsidR="00905898" w:rsidP="00905898" w:rsidRDefault="00905898" w14:paraId="6800330A" w14:textId="535D4AA6">
      <w:pPr>
        <w:spacing w:after="240"/>
        <w:ind w:firstLine="720"/>
        <w:jc w:val="both"/>
        <w:rPr>
          <w:rFonts w:eastAsia="Calibri" w:cs="Arial"/>
          <w:sz w:val="20"/>
          <w:szCs w:val="22"/>
          <w:lang w:val="en-GB"/>
        </w:rPr>
      </w:pPr>
      <w:r w:rsidRPr="009C48DA">
        <w:rPr>
          <w:rFonts w:eastAsia="Calibri" w:cs="Arial"/>
          <w:sz w:val="20"/>
          <w:szCs w:val="22"/>
          <w:lang w:val="en-GB"/>
        </w:rPr>
        <w:t xml:space="preserve">Total operating profit increased by </w:t>
      </w:r>
      <w:r w:rsidRPr="009C48DA">
        <w:rPr>
          <w:rFonts w:eastAsia="Calibri" w:cs="Times New Roman"/>
          <w:sz w:val="20"/>
          <w:szCs w:val="22"/>
          <w:lang w:val="en-GB"/>
        </w:rPr>
        <w:t>£</w:t>
      </w:r>
      <w:r w:rsidRPr="009C48DA">
        <w:rPr>
          <w:rFonts w:eastAsia="Calibri" w:cs="Arial"/>
          <w:sz w:val="20"/>
          <w:szCs w:val="22"/>
          <w:lang w:val="en-GB"/>
        </w:rPr>
        <w:t xml:space="preserve">4.5 million, or </w:t>
      </w:r>
      <w:r w:rsidRPr="009C48DA" w:rsidR="007848A5">
        <w:rPr>
          <w:rFonts w:eastAsia="Calibri" w:cs="Arial"/>
          <w:sz w:val="20"/>
          <w:szCs w:val="22"/>
          <w:lang w:val="en-GB"/>
        </w:rPr>
        <w:t>9.9</w:t>
      </w:r>
      <w:r w:rsidRPr="009C48DA">
        <w:rPr>
          <w:rFonts w:eastAsia="Calibri" w:cs="Arial"/>
          <w:sz w:val="20"/>
          <w:szCs w:val="22"/>
          <w:lang w:val="en-GB"/>
        </w:rPr>
        <w:t xml:space="preserve"> per cent, from </w:t>
      </w:r>
      <w:r w:rsidRPr="009C48DA">
        <w:rPr>
          <w:rFonts w:eastAsia="Calibri" w:cs="Times New Roman"/>
          <w:sz w:val="20"/>
          <w:szCs w:val="22"/>
          <w:lang w:val="en-GB"/>
        </w:rPr>
        <w:t>£</w:t>
      </w:r>
      <w:r w:rsidRPr="009C48DA">
        <w:rPr>
          <w:rFonts w:eastAsia="Calibri" w:cs="Arial"/>
          <w:sz w:val="20"/>
          <w:szCs w:val="22"/>
          <w:lang w:val="en-GB"/>
        </w:rPr>
        <w:t xml:space="preserve">45.4 million for the year ended 31 December 2019 to </w:t>
      </w:r>
      <w:r w:rsidRPr="009C48DA">
        <w:rPr>
          <w:rFonts w:eastAsia="Calibri" w:cs="Times New Roman"/>
          <w:sz w:val="20"/>
          <w:szCs w:val="22"/>
          <w:lang w:val="en-GB"/>
        </w:rPr>
        <w:t>£</w:t>
      </w:r>
      <w:r w:rsidRPr="009C48DA">
        <w:rPr>
          <w:rFonts w:eastAsia="Calibri" w:cs="Arial"/>
          <w:sz w:val="20"/>
          <w:szCs w:val="22"/>
          <w:lang w:val="en-GB"/>
        </w:rPr>
        <w:t xml:space="preserve">49.9 million for the year ended 31 December 2020. The operating margin decreased from 26.7 </w:t>
      </w:r>
      <w:r w:rsidRPr="009C48DA">
        <w:rPr>
          <w:rFonts w:eastAsia="Calibri" w:cs="Arial"/>
          <w:sz w:val="20"/>
          <w:lang w:val="en-GB"/>
        </w:rPr>
        <w:t>per cent</w:t>
      </w:r>
      <w:r w:rsidRPr="009C48DA">
        <w:rPr>
          <w:rFonts w:eastAsia="Calibri" w:cs="Arial"/>
          <w:sz w:val="20"/>
          <w:szCs w:val="22"/>
          <w:lang w:val="en-GB"/>
        </w:rPr>
        <w:t xml:space="preserve"> for the year ended 31 December 2019 to 26.0 </w:t>
      </w:r>
      <w:r w:rsidRPr="009C48DA">
        <w:rPr>
          <w:rFonts w:eastAsia="Calibri" w:cs="Arial"/>
          <w:sz w:val="20"/>
          <w:lang w:val="en-GB"/>
        </w:rPr>
        <w:t>per cent</w:t>
      </w:r>
      <w:r w:rsidRPr="009C48DA">
        <w:rPr>
          <w:rFonts w:eastAsia="Calibri" w:cs="Arial"/>
          <w:sz w:val="20"/>
          <w:szCs w:val="22"/>
          <w:lang w:val="en-GB"/>
        </w:rPr>
        <w:t xml:space="preserve"> for the year ended 31 December 2020.</w:t>
      </w:r>
    </w:p>
    <w:p w:rsidRPr="009C48DA" w:rsidR="00041E7E" w:rsidP="00905898" w:rsidRDefault="00905898" w14:paraId="6CCECD17" w14:textId="6AB2EEDB">
      <w:pPr>
        <w:pStyle w:val="BodyText2SglJ"/>
        <w:rPr>
          <w:rFonts w:eastAsia="Calibri" w:cs="Arial"/>
          <w:szCs w:val="22"/>
          <w:lang w:val="en-GB"/>
        </w:rPr>
      </w:pPr>
      <w:r w:rsidRPr="009C48DA">
        <w:rPr>
          <w:rFonts w:eastAsia="Calibri" w:cs="Arial"/>
          <w:szCs w:val="22"/>
          <w:lang w:val="en-GB"/>
        </w:rPr>
        <w:t xml:space="preserve">The increase in total operating profit was primarily the result of the growth in Underlying EBITDA, which increased by </w:t>
      </w:r>
      <w:r w:rsidRPr="009C48DA">
        <w:rPr>
          <w:rFonts w:eastAsia="Calibri" w:cs="Times New Roman"/>
          <w:szCs w:val="22"/>
          <w:lang w:val="en-GB"/>
        </w:rPr>
        <w:t>£</w:t>
      </w:r>
      <w:r w:rsidRPr="009C48DA">
        <w:rPr>
          <w:rFonts w:eastAsia="Calibri" w:cs="Arial"/>
          <w:szCs w:val="22"/>
          <w:lang w:val="en-GB"/>
        </w:rPr>
        <w:t xml:space="preserve">13.0 million over the period, which more than offset the exceptional costs of </w:t>
      </w:r>
      <w:r w:rsidRPr="009C48DA">
        <w:rPr>
          <w:rFonts w:eastAsia="Calibri" w:cs="Times New Roman"/>
          <w:szCs w:val="22"/>
          <w:lang w:val="en-GB"/>
        </w:rPr>
        <w:t>£</w:t>
      </w:r>
      <w:r w:rsidRPr="009C48DA">
        <w:rPr>
          <w:rFonts w:eastAsia="Calibri" w:cs="Arial"/>
          <w:szCs w:val="22"/>
          <w:lang w:val="en-GB"/>
        </w:rPr>
        <w:t xml:space="preserve">7.4 million relating to the acquisition of EQT Credit in 2020 and the increase of the depreciation and amortisation expense by </w:t>
      </w:r>
      <w:r w:rsidRPr="009C48DA">
        <w:rPr>
          <w:rFonts w:eastAsia="Calibri" w:cs="Times New Roman"/>
          <w:szCs w:val="22"/>
          <w:lang w:val="en-GB"/>
        </w:rPr>
        <w:t>£</w:t>
      </w:r>
      <w:r w:rsidRPr="009C48DA">
        <w:rPr>
          <w:rFonts w:eastAsia="Calibri" w:cs="Arial"/>
          <w:szCs w:val="22"/>
          <w:lang w:val="en-GB"/>
        </w:rPr>
        <w:t>1.0 million year-on-year.</w:t>
      </w:r>
    </w:p>
    <w:p w:rsidRPr="009C48DA" w:rsidR="00B51E80" w:rsidP="00B51E80" w:rsidRDefault="00B51E80" w14:paraId="47D6D36D" w14:textId="77777777">
      <w:pPr>
        <w:pStyle w:val="TitleBI"/>
        <w:rPr>
          <w:lang w:val="en-GB"/>
        </w:rPr>
      </w:pPr>
      <w:r w:rsidRPr="009C48DA">
        <w:rPr>
          <w:lang w:val="en-GB"/>
        </w:rPr>
        <w:t>Finance income and expense</w:t>
      </w:r>
    </w:p>
    <w:p w:rsidRPr="009C48DA" w:rsidR="00B51E80" w:rsidP="00B51E80" w:rsidRDefault="00B51E80" w14:paraId="1779CC8D" w14:textId="115B4FD7">
      <w:pPr>
        <w:pStyle w:val="BodyText2SglJ"/>
        <w:rPr>
          <w:rFonts w:eastAsia="Calibri" w:cs="Arial"/>
          <w:szCs w:val="22"/>
          <w:lang w:val="en-GB"/>
        </w:rPr>
      </w:pPr>
      <w:r w:rsidRPr="009C48DA">
        <w:rPr>
          <w:szCs w:val="22"/>
          <w:lang w:val="en-GB"/>
        </w:rPr>
        <w:t>Net finance income/</w:t>
      </w:r>
      <w:r w:rsidRPr="009C48DA" w:rsidR="00A95DF5">
        <w:rPr>
          <w:szCs w:val="22"/>
          <w:lang w:val="en-GB"/>
        </w:rPr>
        <w:t xml:space="preserve"> </w:t>
      </w:r>
      <w:r w:rsidRPr="009C48DA">
        <w:rPr>
          <w:szCs w:val="22"/>
          <w:lang w:val="en-GB"/>
        </w:rPr>
        <w:t>(expense) changed negatively from net finance income of £2.1 million for the year ended 31 December 2019 by £3.5</w:t>
      </w:r>
      <w:r w:rsidRPr="009C48DA" w:rsidR="00041E7E">
        <w:rPr>
          <w:szCs w:val="22"/>
          <w:lang w:val="en-GB"/>
        </w:rPr>
        <w:t xml:space="preserve"> million</w:t>
      </w:r>
      <w:r w:rsidRPr="009C48DA" w:rsidR="00BC1A3E">
        <w:rPr>
          <w:szCs w:val="22"/>
          <w:lang w:val="en-GB"/>
        </w:rPr>
        <w:t xml:space="preserve"> to a net finance expense of £1.4</w:t>
      </w:r>
      <w:r w:rsidRPr="009C48DA">
        <w:rPr>
          <w:szCs w:val="22"/>
          <w:lang w:val="en-GB"/>
        </w:rPr>
        <w:t xml:space="preserve"> million for the year ended 31 December 2020. </w:t>
      </w:r>
      <w:r w:rsidRPr="009C48DA">
        <w:rPr>
          <w:rFonts w:eastAsia="Calibri" w:cs="Arial"/>
          <w:szCs w:val="22"/>
          <w:lang w:val="en-GB"/>
        </w:rPr>
        <w:t xml:space="preserve">This </w:t>
      </w:r>
      <w:r w:rsidRPr="009C48DA">
        <w:rPr>
          <w:rFonts w:eastAsia="Calibri" w:cs="Arial"/>
          <w:lang w:val="en-GB"/>
        </w:rPr>
        <w:t>was</w:t>
      </w:r>
      <w:r w:rsidRPr="009C48DA">
        <w:rPr>
          <w:rFonts w:eastAsia="Calibri" w:cs="Arial"/>
          <w:szCs w:val="22"/>
          <w:lang w:val="en-GB"/>
        </w:rPr>
        <w:t xml:space="preserve"> primarily due to a combination of lower yield from seed credit investments held on the Group’s balance sheet before an external fund was raised in the year ended 31 December 2019, following which the Group’s investments in these credit investments are no longer recognised as interest income but rather as management fee revenue. In addition, finance expenses increased due to higher costs in relation to the increased BAH </w:t>
      </w:r>
      <w:r w:rsidRPr="009C48DA">
        <w:rPr>
          <w:rFonts w:eastAsia="Calibri" w:cs="Arial"/>
          <w:lang w:val="en-GB"/>
        </w:rPr>
        <w:t>Revolving Credit Facility that was used, in part, for financing the acquisition of the EQT Credit business</w:t>
      </w:r>
      <w:r w:rsidRPr="009C48DA">
        <w:rPr>
          <w:rFonts w:eastAsia="Calibri" w:cs="Arial"/>
          <w:szCs w:val="22"/>
          <w:lang w:val="en-GB"/>
        </w:rPr>
        <w:t xml:space="preserve">. </w:t>
      </w:r>
    </w:p>
    <w:p w:rsidRPr="009C48DA" w:rsidR="00B51E80" w:rsidP="00B51E80" w:rsidRDefault="00B51E80" w14:paraId="36A8E96E" w14:textId="19B24210">
      <w:pPr>
        <w:pStyle w:val="TitleBI"/>
        <w:rPr>
          <w:lang w:val="en-GB"/>
        </w:rPr>
      </w:pPr>
      <w:r w:rsidRPr="009C48DA">
        <w:rPr>
          <w:lang w:val="en-GB"/>
        </w:rPr>
        <w:t>Income tax charge</w:t>
      </w:r>
    </w:p>
    <w:p w:rsidRPr="009C48DA" w:rsidR="00B51E80" w:rsidP="00B51E80" w:rsidRDefault="00B51E80" w14:paraId="0910013F" w14:textId="1D151FFA">
      <w:pPr>
        <w:pStyle w:val="BodyText2SglJ"/>
        <w:rPr>
          <w:szCs w:val="22"/>
          <w:lang w:val="en-GB"/>
        </w:rPr>
      </w:pPr>
      <w:r w:rsidRPr="009C48DA">
        <w:rPr>
          <w:szCs w:val="22"/>
          <w:lang w:val="en-GB"/>
        </w:rPr>
        <w:t xml:space="preserve">Income tax charge changed from a </w:t>
      </w:r>
      <w:r w:rsidRPr="009C48DA">
        <w:rPr>
          <w:rFonts w:cs="Times New Roman"/>
          <w:szCs w:val="22"/>
          <w:lang w:val="en-GB"/>
        </w:rPr>
        <w:t>£</w:t>
      </w:r>
      <w:r w:rsidRPr="009C48DA" w:rsidR="00F07C79">
        <w:rPr>
          <w:rFonts w:cs="Times New Roman"/>
          <w:szCs w:val="22"/>
          <w:lang w:val="en-GB"/>
        </w:rPr>
        <w:t>5</w:t>
      </w:r>
      <w:r w:rsidRPr="009C48DA">
        <w:rPr>
          <w:szCs w:val="22"/>
          <w:lang w:val="en-GB"/>
        </w:rPr>
        <w:t>.</w:t>
      </w:r>
      <w:r w:rsidRPr="009C48DA" w:rsidR="00F07C79">
        <w:rPr>
          <w:szCs w:val="22"/>
          <w:lang w:val="en-GB"/>
        </w:rPr>
        <w:t>5</w:t>
      </w:r>
      <w:r w:rsidRPr="009C48DA">
        <w:rPr>
          <w:szCs w:val="22"/>
          <w:lang w:val="en-GB"/>
        </w:rPr>
        <w:t xml:space="preserve"> million charge for the year ended 31 December </w:t>
      </w:r>
      <w:r w:rsidRPr="009C48DA" w:rsidR="00EA4E11">
        <w:rPr>
          <w:szCs w:val="22"/>
          <w:lang w:val="en-GB"/>
        </w:rPr>
        <w:t xml:space="preserve">2019 </w:t>
      </w:r>
      <w:r w:rsidRPr="009C48DA">
        <w:rPr>
          <w:szCs w:val="22"/>
          <w:lang w:val="en-GB"/>
        </w:rPr>
        <w:t>to a £</w:t>
      </w:r>
      <w:r w:rsidRPr="009C48DA" w:rsidR="00F07C79">
        <w:rPr>
          <w:szCs w:val="22"/>
          <w:lang w:val="en-GB"/>
        </w:rPr>
        <w:t>0</w:t>
      </w:r>
      <w:r w:rsidRPr="009C48DA">
        <w:rPr>
          <w:szCs w:val="22"/>
          <w:lang w:val="en-GB"/>
        </w:rPr>
        <w:t>.</w:t>
      </w:r>
      <w:r w:rsidRPr="009C48DA" w:rsidR="00F07C79">
        <w:rPr>
          <w:szCs w:val="22"/>
          <w:lang w:val="en-GB"/>
        </w:rPr>
        <w:t>8</w:t>
      </w:r>
      <w:r w:rsidRPr="009C48DA">
        <w:rPr>
          <w:szCs w:val="22"/>
          <w:lang w:val="en-GB"/>
        </w:rPr>
        <w:t xml:space="preserve"> million </w:t>
      </w:r>
      <w:r w:rsidRPr="009C48DA" w:rsidR="00F07C79">
        <w:rPr>
          <w:szCs w:val="22"/>
          <w:lang w:val="en-GB"/>
        </w:rPr>
        <w:t xml:space="preserve">charge </w:t>
      </w:r>
      <w:r w:rsidRPr="009C48DA">
        <w:rPr>
          <w:szCs w:val="22"/>
          <w:lang w:val="en-GB"/>
        </w:rPr>
        <w:t xml:space="preserve">for the year ended 31 December 2020. This was primarily due to movements in the deferred tax liabilities and </w:t>
      </w:r>
      <w:r w:rsidRPr="009C48DA">
        <w:rPr>
          <w:rFonts w:eastAsia="Calibri" w:cs="Arial"/>
          <w:szCs w:val="22"/>
          <w:lang w:val="en-GB"/>
        </w:rPr>
        <w:t xml:space="preserve">use of </w:t>
      </w:r>
      <w:r w:rsidRPr="009C48DA">
        <w:rPr>
          <w:lang w:val="en-GB"/>
        </w:rPr>
        <w:t>tax loss carry-forwards</w:t>
      </w:r>
      <w:r w:rsidRPr="009C48DA">
        <w:rPr>
          <w:szCs w:val="22"/>
          <w:lang w:val="en-GB"/>
        </w:rPr>
        <w:t>.</w:t>
      </w:r>
    </w:p>
    <w:p w:rsidRPr="009C48DA" w:rsidR="00B51E80" w:rsidP="00B51E80" w:rsidRDefault="00B51E80" w14:paraId="6B24636D" w14:textId="77777777">
      <w:pPr>
        <w:pStyle w:val="TitleB"/>
        <w:rPr>
          <w:lang w:val="en-GB"/>
        </w:rPr>
      </w:pPr>
      <w:r w:rsidRPr="009C48DA">
        <w:rPr>
          <w:lang w:val="en-GB"/>
        </w:rPr>
        <w:t>Year ended 31 December 2019 compared with year ended 31 December 2018</w:t>
      </w:r>
    </w:p>
    <w:p w:rsidRPr="009C48DA" w:rsidR="00B51E80" w:rsidP="0032371F" w:rsidRDefault="00B51E80" w14:paraId="6E073B0A" w14:textId="56AA2439">
      <w:pPr>
        <w:pStyle w:val="BodyText2SglJ"/>
        <w:spacing w:after="80"/>
        <w:rPr>
          <w:rFonts w:eastAsia="Calibri" w:cs="Arial"/>
          <w:lang w:val="en-GB"/>
        </w:rPr>
      </w:pPr>
      <w:r w:rsidRPr="009C48DA">
        <w:rPr>
          <w:rFonts w:eastAsia="Calibri" w:cs="Arial"/>
          <w:lang w:val="en-GB"/>
        </w:rPr>
        <w:t xml:space="preserve">The following table sets out the Group’s consolidated income statement, extracted from the Historical Financial Information set out in </w:t>
      </w:r>
      <w:r w:rsidRPr="009C48DA">
        <w:rPr>
          <w:rFonts w:eastAsia="Calibri" w:cs="Arial"/>
          <w:lang w:val="en-GB"/>
        </w:rPr>
        <w:fldChar w:fldCharType="begin"/>
      </w:r>
      <w:r w:rsidRPr="009C48DA">
        <w:rPr>
          <w:rFonts w:eastAsia="Calibri" w:cs="Arial"/>
          <w:lang w:val="en-GB"/>
        </w:rPr>
        <w:instrText xml:space="preserve"> REF _Ref72800070 \n \h  \* MERGEFORMAT </w:instrText>
      </w:r>
      <w:r w:rsidRPr="009C48DA">
        <w:rPr>
          <w:rFonts w:eastAsia="Calibri" w:cs="Arial"/>
          <w:lang w:val="en-GB"/>
        </w:rPr>
      </w:r>
      <w:r w:rsidRPr="009C48DA">
        <w:rPr>
          <w:rFonts w:eastAsia="Calibri" w:cs="Arial"/>
          <w:lang w:val="en-GB"/>
        </w:rPr>
        <w:fldChar w:fldCharType="separate"/>
      </w:r>
      <w:r w:rsidR="007C3D19">
        <w:rPr>
          <w:rFonts w:eastAsia="Calibri" w:cs="Arial"/>
          <w:lang w:val="en-GB"/>
        </w:rPr>
        <w:t>Part B</w:t>
      </w:r>
      <w:r w:rsidRPr="009C48DA">
        <w:rPr>
          <w:rFonts w:eastAsia="Calibri" w:cs="Arial"/>
          <w:lang w:val="en-GB"/>
        </w:rPr>
        <w:fldChar w:fldCharType="end"/>
      </w:r>
      <w:r w:rsidRPr="009C48DA">
        <w:rPr>
          <w:rFonts w:eastAsia="Calibri" w:cs="Arial"/>
          <w:lang w:val="en-GB"/>
        </w:rPr>
        <w:t xml:space="preserve"> of </w:t>
      </w:r>
      <w:r w:rsidRPr="009C48DA">
        <w:rPr>
          <w:rFonts w:eastAsia="Calibri" w:cs="Arial"/>
          <w:lang w:val="en-GB"/>
        </w:rPr>
        <w:fldChar w:fldCharType="begin"/>
      </w:r>
      <w:r w:rsidRPr="009C48DA">
        <w:rPr>
          <w:rFonts w:eastAsia="Calibri" w:cs="Arial"/>
          <w:lang w:val="en-GB"/>
        </w:rPr>
        <w:instrText xml:space="preserve"> REF _Ref72800077 \n \h  \* MERGEFORMAT </w:instrText>
      </w:r>
      <w:r w:rsidRPr="009C48DA">
        <w:rPr>
          <w:rFonts w:eastAsia="Calibri" w:cs="Arial"/>
          <w:lang w:val="en-GB"/>
        </w:rPr>
      </w:r>
      <w:r w:rsidRPr="009C48DA">
        <w:rPr>
          <w:rFonts w:eastAsia="Calibri" w:cs="Arial"/>
          <w:lang w:val="en-GB"/>
        </w:rPr>
        <w:fldChar w:fldCharType="separate"/>
      </w:r>
      <w:r w:rsidR="007C3D19">
        <w:rPr>
          <w:rFonts w:eastAsia="Calibri" w:cs="Arial"/>
          <w:lang w:val="en-GB"/>
        </w:rPr>
        <w:t>Part X</w:t>
      </w:r>
      <w:r w:rsidRPr="009C48DA">
        <w:rPr>
          <w:rFonts w:eastAsia="Calibri" w:cs="Arial"/>
          <w:lang w:val="en-GB"/>
        </w:rPr>
        <w:fldChar w:fldCharType="end"/>
      </w:r>
      <w:r w:rsidRPr="009C48DA">
        <w:rPr>
          <w:rFonts w:eastAsia="Calibri" w:cs="Arial"/>
          <w:lang w:val="en-GB"/>
        </w:rPr>
        <w:t> </w:t>
      </w:r>
      <w:r w:rsidRPr="009C48DA" w:rsidR="0034549F">
        <w:rPr>
          <w:rFonts w:eastAsia="Times New Roman" w:cs="Times New Roman"/>
          <w:color w:val="000000"/>
          <w:szCs w:val="22"/>
          <w:lang w:val="en-GB"/>
        </w:rPr>
        <w:t>(</w:t>
      </w:r>
      <w:r w:rsidRPr="009C48DA" w:rsidR="0034549F">
        <w:rPr>
          <w:rFonts w:eastAsia="Times New Roman" w:cs="Times New Roman"/>
          <w:i/>
          <w:color w:val="000000"/>
          <w:szCs w:val="22"/>
          <w:lang w:val="en-GB"/>
        </w:rPr>
      </w:r>
      <w:r w:rsidRPr="007C3D19" w:rsidR="007C3D19">
        <w:rPr>
          <w:i/>
          <w:lang w:val="en-GB"/>
        </w:rPr>
        <w:t>Historical Financial Information</w:t>
      </w:r>
      <w:r w:rsidRPr="009C48DA" w:rsidR="0034549F">
        <w:rPr>
          <w:rFonts w:eastAsia="Times New Roman" w:cs="Times New Roman"/>
          <w:color w:val="000000"/>
          <w:szCs w:val="22"/>
          <w:lang w:val="en-GB"/>
        </w:rPr>
        <w:t>)</w:t>
      </w:r>
      <w:r w:rsidRPr="009C48DA">
        <w:rPr>
          <w:rFonts w:eastAsia="Calibri" w:cs="Arial"/>
          <w:lang w:val="en-GB"/>
        </w:rPr>
        <w:t>, for the years ended 31 December 2019 and 2018:</w:t>
      </w:r>
    </w:p>
    <w:tbl>
      <w:tblPr>
        <w:tblW w:w="8647" w:type="dxa"/>
        <w:tblLayout w:type="fixed"/>
        <w:tblLook w:val="04A0" w:firstRow="1" w:lastRow="0" w:firstColumn="1" w:lastColumn="0" w:noHBand="0" w:noVBand="1"/>
      </w:tblPr>
      <w:tblGrid>
        <w:gridCol w:w="5529"/>
        <w:gridCol w:w="1559"/>
        <w:gridCol w:w="1559"/>
      </w:tblGrid>
      <w:tr w:rsidRPr="009C48DA" w:rsidR="00905898" w:rsidTr="0032371F" w14:paraId="25EEF813" w14:textId="77777777">
        <w:trPr>
          <w:trHeight w:val="74"/>
        </w:trPr>
        <w:tc>
          <w:tcPr>
            <w:tcW w:w="5529" w:type="dxa"/>
            <w:shd w:val="clear" w:color="auto" w:fill="auto"/>
            <w:vAlign w:val="bottom"/>
          </w:tcPr>
          <w:p w:rsidRPr="009C48DA" w:rsidR="00905898" w:rsidP="0036034E" w:rsidRDefault="00905898" w14:paraId="436210B5" w14:textId="77777777">
            <w:pPr>
              <w:keepNext/>
              <w:rPr>
                <w:rFonts w:eastAsia="Calibri" w:cs="Times New Roman"/>
                <w:b/>
                <w:sz w:val="20"/>
                <w:szCs w:val="20"/>
                <w:lang w:val="en-GB"/>
              </w:rPr>
            </w:pPr>
          </w:p>
        </w:tc>
        <w:tc>
          <w:tcPr>
            <w:tcW w:w="3118" w:type="dxa"/>
            <w:gridSpan w:val="2"/>
            <w:shd w:val="clear" w:color="auto" w:fill="auto"/>
          </w:tcPr>
          <w:p w:rsidRPr="009C48DA" w:rsidR="00905898" w:rsidP="0036034E" w:rsidRDefault="0032371F" w14:paraId="2427CCF7" w14:textId="3BD6F64D">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For the year ended 31 </w:t>
            </w:r>
            <w:r w:rsidRPr="009C48DA" w:rsidR="00905898">
              <w:rPr>
                <w:rFonts w:eastAsia="Calibri" w:cs="Times New Roman"/>
                <w:b/>
                <w:sz w:val="20"/>
                <w:szCs w:val="20"/>
                <w:lang w:val="en-GB"/>
              </w:rPr>
              <w:t>December</w:t>
            </w:r>
          </w:p>
        </w:tc>
      </w:tr>
      <w:tr w:rsidRPr="009C48DA" w:rsidR="00905898" w:rsidTr="0032371F" w14:paraId="6586F983" w14:textId="77777777">
        <w:trPr>
          <w:trHeight w:val="74"/>
        </w:trPr>
        <w:tc>
          <w:tcPr>
            <w:tcW w:w="5529" w:type="dxa"/>
            <w:shd w:val="clear" w:color="auto" w:fill="auto"/>
            <w:vAlign w:val="bottom"/>
          </w:tcPr>
          <w:p w:rsidRPr="009C48DA" w:rsidR="00905898" w:rsidP="0036034E" w:rsidRDefault="00905898" w14:paraId="5BAFAA4C" w14:textId="77777777">
            <w:pPr>
              <w:keepNext/>
              <w:rPr>
                <w:rFonts w:eastAsia="Calibri" w:cs="Times New Roman"/>
                <w:b/>
                <w:sz w:val="20"/>
                <w:szCs w:val="20"/>
                <w:lang w:val="en-GB"/>
              </w:rPr>
            </w:pPr>
          </w:p>
        </w:tc>
        <w:tc>
          <w:tcPr>
            <w:tcW w:w="1559" w:type="dxa"/>
            <w:shd w:val="clear" w:color="auto" w:fill="auto"/>
          </w:tcPr>
          <w:p w:rsidRPr="009C48DA" w:rsidR="00905898" w:rsidP="0036034E" w:rsidRDefault="00905898" w14:paraId="7D2504B1" w14:textId="77777777">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2018</w:t>
            </w:r>
          </w:p>
        </w:tc>
        <w:tc>
          <w:tcPr>
            <w:tcW w:w="1559" w:type="dxa"/>
            <w:shd w:val="clear" w:color="auto" w:fill="auto"/>
          </w:tcPr>
          <w:p w:rsidRPr="009C48DA" w:rsidR="00905898" w:rsidP="0036034E" w:rsidRDefault="00905898" w14:paraId="1031E766" w14:textId="77777777">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2019</w:t>
            </w:r>
          </w:p>
        </w:tc>
      </w:tr>
      <w:tr w:rsidRPr="009C48DA" w:rsidR="00905898" w:rsidTr="0032371F" w14:paraId="035531ED" w14:textId="77777777">
        <w:trPr>
          <w:trHeight w:val="74"/>
        </w:trPr>
        <w:tc>
          <w:tcPr>
            <w:tcW w:w="5529" w:type="dxa"/>
            <w:shd w:val="clear" w:color="auto" w:fill="auto"/>
            <w:vAlign w:val="bottom"/>
          </w:tcPr>
          <w:p w:rsidRPr="009C48DA" w:rsidR="00905898" w:rsidP="0036034E" w:rsidRDefault="00905898" w14:paraId="061EFF0B" w14:textId="77777777">
            <w:pPr>
              <w:keepNext/>
              <w:tabs>
                <w:tab w:val="right" w:leader="dot" w:pos="4628"/>
              </w:tabs>
              <w:rPr>
                <w:rFonts w:eastAsia="Calibri" w:cs="Times New Roman"/>
                <w:sz w:val="20"/>
                <w:szCs w:val="20"/>
                <w:lang w:val="en-GB"/>
              </w:rPr>
            </w:pPr>
          </w:p>
        </w:tc>
        <w:tc>
          <w:tcPr>
            <w:tcW w:w="3118" w:type="dxa"/>
            <w:gridSpan w:val="2"/>
            <w:shd w:val="clear" w:color="auto" w:fill="auto"/>
            <w:vAlign w:val="bottom"/>
          </w:tcPr>
          <w:p w:rsidRPr="009C48DA" w:rsidR="00905898" w:rsidP="0036034E" w:rsidRDefault="00905898" w14:paraId="6E2B0469" w14:textId="77777777">
            <w:pPr>
              <w:keepNext/>
              <w:jc w:val="center"/>
              <w:rPr>
                <w:rFonts w:eastAsia="Calibri" w:cs="Times New Roman"/>
                <w:sz w:val="20"/>
                <w:szCs w:val="20"/>
                <w:lang w:val="en-GB"/>
              </w:rPr>
            </w:pPr>
            <w:r w:rsidRPr="009C48DA">
              <w:rPr>
                <w:rFonts w:eastAsia="Calibri" w:cs="Times New Roman"/>
                <w:sz w:val="20"/>
                <w:szCs w:val="20"/>
                <w:lang w:val="en-GB"/>
              </w:rPr>
              <w:t>(£ in millions)</w:t>
            </w:r>
          </w:p>
        </w:tc>
      </w:tr>
      <w:tr w:rsidRPr="009C48DA" w:rsidR="00905898" w:rsidTr="0032371F" w14:paraId="3D9B9946" w14:textId="77777777">
        <w:tc>
          <w:tcPr>
            <w:tcW w:w="5529" w:type="dxa"/>
            <w:shd w:val="clear" w:color="auto" w:fill="auto"/>
            <w:vAlign w:val="bottom"/>
          </w:tcPr>
          <w:p w:rsidRPr="009C48DA" w:rsidR="00905898" w:rsidP="0036034E" w:rsidRDefault="00905898" w14:paraId="7668F549" w14:textId="77777777">
            <w:pPr>
              <w:keepNext/>
              <w:tabs>
                <w:tab w:val="right" w:leader="dot" w:pos="5515"/>
                <w:tab w:val="left" w:pos="5559"/>
              </w:tabs>
              <w:rPr>
                <w:rFonts w:eastAsia="Calibri" w:cs="Times New Roman"/>
                <w:sz w:val="20"/>
                <w:szCs w:val="20"/>
                <w:lang w:val="en-GB"/>
              </w:rPr>
            </w:pPr>
            <w:r w:rsidRPr="009C48DA">
              <w:rPr>
                <w:rFonts w:eastAsia="Calibri" w:cs="Times New Roman"/>
                <w:sz w:val="20"/>
                <w:szCs w:val="20"/>
                <w:lang w:val="en-GB"/>
              </w:rPr>
              <w:t>Management fees</w:t>
            </w:r>
            <w:r w:rsidRPr="009C48DA">
              <w:rPr>
                <w:rFonts w:eastAsia="Calibri" w:cs="Times New Roman"/>
                <w:sz w:val="20"/>
                <w:szCs w:val="20"/>
                <w:lang w:val="en-GB"/>
              </w:rPr>
              <w:tab/>
            </w:r>
          </w:p>
        </w:tc>
        <w:tc>
          <w:tcPr>
            <w:tcW w:w="1559" w:type="dxa"/>
            <w:shd w:val="clear" w:color="auto" w:fill="auto"/>
            <w:vAlign w:val="bottom"/>
          </w:tcPr>
          <w:p w:rsidRPr="009C48DA" w:rsidR="00905898" w:rsidP="0036034E" w:rsidRDefault="00905898" w14:paraId="3396E776" w14:textId="77777777">
            <w:pPr>
              <w:jc w:val="right"/>
              <w:rPr>
                <w:rFonts w:eastAsia="Calibri" w:cs="Arial"/>
                <w:sz w:val="20"/>
                <w:szCs w:val="20"/>
                <w:lang w:val="en-GB"/>
              </w:rPr>
            </w:pPr>
            <w:r w:rsidRPr="009C48DA">
              <w:rPr>
                <w:rFonts w:eastAsia="Calibri" w:cs="Arial"/>
                <w:sz w:val="20"/>
                <w:szCs w:val="20"/>
                <w:lang w:val="en-GB"/>
              </w:rPr>
              <w:t>117.4</w:t>
            </w:r>
          </w:p>
        </w:tc>
        <w:tc>
          <w:tcPr>
            <w:tcW w:w="1559" w:type="dxa"/>
            <w:shd w:val="clear" w:color="auto" w:fill="auto"/>
            <w:vAlign w:val="bottom"/>
          </w:tcPr>
          <w:p w:rsidRPr="009C48DA" w:rsidR="00905898" w:rsidP="0036034E" w:rsidRDefault="00905898" w14:paraId="3F3A60AD" w14:textId="77777777">
            <w:pPr>
              <w:jc w:val="right"/>
              <w:rPr>
                <w:rFonts w:eastAsia="Calibri" w:cs="Arial"/>
                <w:sz w:val="20"/>
                <w:szCs w:val="20"/>
                <w:lang w:val="en-GB"/>
              </w:rPr>
            </w:pPr>
            <w:r w:rsidRPr="009C48DA">
              <w:rPr>
                <w:rFonts w:eastAsia="Calibri" w:cs="Arial"/>
                <w:sz w:val="20"/>
                <w:szCs w:val="20"/>
                <w:lang w:val="en-GB"/>
              </w:rPr>
              <w:t>143.9</w:t>
            </w:r>
          </w:p>
        </w:tc>
      </w:tr>
      <w:tr w:rsidRPr="009C48DA" w:rsidR="00905898" w:rsidTr="0032371F" w14:paraId="18019D56" w14:textId="77777777">
        <w:tc>
          <w:tcPr>
            <w:tcW w:w="5529" w:type="dxa"/>
            <w:shd w:val="clear" w:color="auto" w:fill="auto"/>
            <w:vAlign w:val="bottom"/>
          </w:tcPr>
          <w:p w:rsidRPr="009C48DA" w:rsidR="00905898" w:rsidP="0036034E" w:rsidRDefault="00905898" w14:paraId="1553F6C3" w14:textId="77777777">
            <w:pPr>
              <w:keepNext/>
              <w:tabs>
                <w:tab w:val="right" w:leader="dot" w:pos="5518"/>
                <w:tab w:val="left" w:pos="5559"/>
              </w:tabs>
              <w:rPr>
                <w:rFonts w:eastAsia="Calibri" w:cs="Times New Roman"/>
                <w:sz w:val="20"/>
                <w:szCs w:val="20"/>
                <w:lang w:val="en-GB"/>
              </w:rPr>
            </w:pPr>
            <w:r w:rsidRPr="009C48DA">
              <w:rPr>
                <w:rFonts w:eastAsia="Calibri" w:cs="Times New Roman"/>
                <w:sz w:val="20"/>
                <w:szCs w:val="20"/>
                <w:lang w:val="en-GB"/>
              </w:rPr>
              <w:t>Carried interest</w:t>
            </w:r>
            <w:r w:rsidRPr="009C48DA">
              <w:rPr>
                <w:rFonts w:eastAsia="Calibri" w:cs="Arial"/>
                <w:sz w:val="20"/>
                <w:szCs w:val="20"/>
                <w:lang w:val="en-GB"/>
              </w:rPr>
              <w:tab/>
            </w:r>
          </w:p>
        </w:tc>
        <w:tc>
          <w:tcPr>
            <w:tcW w:w="1559" w:type="dxa"/>
            <w:shd w:val="clear" w:color="auto" w:fill="auto"/>
            <w:vAlign w:val="bottom"/>
          </w:tcPr>
          <w:p w:rsidRPr="009C48DA" w:rsidR="00905898" w:rsidP="0036034E" w:rsidRDefault="00905898" w14:paraId="512E52A2" w14:textId="77777777">
            <w:pPr>
              <w:jc w:val="right"/>
              <w:rPr>
                <w:rFonts w:eastAsia="Calibri" w:cs="Arial"/>
                <w:sz w:val="20"/>
                <w:szCs w:val="20"/>
                <w:lang w:val="en-GB"/>
              </w:rPr>
            </w:pPr>
            <w:r w:rsidRPr="009C48DA">
              <w:rPr>
                <w:rFonts w:eastAsia="Calibri" w:cs="Arial"/>
                <w:sz w:val="20"/>
                <w:szCs w:val="20"/>
                <w:lang w:val="en-GB"/>
              </w:rPr>
              <w:t>4.8</w:t>
            </w:r>
          </w:p>
        </w:tc>
        <w:tc>
          <w:tcPr>
            <w:tcW w:w="1559" w:type="dxa"/>
            <w:shd w:val="clear" w:color="auto" w:fill="auto"/>
            <w:vAlign w:val="bottom"/>
          </w:tcPr>
          <w:p w:rsidRPr="009C48DA" w:rsidR="00905898" w:rsidP="0036034E" w:rsidRDefault="00905898" w14:paraId="7924E8BD" w14:textId="77777777">
            <w:pPr>
              <w:jc w:val="right"/>
              <w:rPr>
                <w:rFonts w:eastAsia="Calibri" w:cs="Arial"/>
                <w:sz w:val="20"/>
                <w:szCs w:val="20"/>
                <w:lang w:val="en-GB"/>
              </w:rPr>
            </w:pPr>
            <w:r w:rsidRPr="009C48DA">
              <w:rPr>
                <w:rFonts w:eastAsia="Calibri" w:cs="Arial"/>
                <w:sz w:val="20"/>
                <w:szCs w:val="20"/>
                <w:lang w:val="en-GB"/>
              </w:rPr>
              <w:t>9.6</w:t>
            </w:r>
          </w:p>
        </w:tc>
      </w:tr>
      <w:tr w:rsidRPr="009C48DA" w:rsidR="00905898" w:rsidTr="0032371F" w14:paraId="3BCE6B60" w14:textId="77777777">
        <w:tc>
          <w:tcPr>
            <w:tcW w:w="5529" w:type="dxa"/>
            <w:shd w:val="clear" w:color="auto" w:fill="auto"/>
            <w:vAlign w:val="bottom"/>
          </w:tcPr>
          <w:p w:rsidRPr="009C48DA" w:rsidR="00905898" w:rsidP="0036034E" w:rsidRDefault="00905898" w14:paraId="10FDBDB1" w14:textId="77777777">
            <w:pPr>
              <w:keepNext/>
              <w:tabs>
                <w:tab w:val="right" w:leader="dot" w:pos="5518"/>
                <w:tab w:val="left" w:pos="5559"/>
              </w:tabs>
              <w:rPr>
                <w:rFonts w:eastAsia="Calibri" w:cs="Times New Roman"/>
                <w:sz w:val="20"/>
                <w:szCs w:val="20"/>
                <w:lang w:val="en-GB"/>
              </w:rPr>
            </w:pPr>
            <w:r w:rsidRPr="009C48DA">
              <w:rPr>
                <w:rFonts w:eastAsia="Calibri" w:cs="Times New Roman"/>
                <w:sz w:val="20"/>
                <w:szCs w:val="20"/>
                <w:lang w:val="en-GB"/>
              </w:rPr>
              <w:t>Fair value remeasurement of investments</w:t>
            </w:r>
            <w:r w:rsidRPr="009C48DA">
              <w:rPr>
                <w:rFonts w:eastAsia="Calibri" w:cs="Times New Roman"/>
                <w:sz w:val="20"/>
                <w:szCs w:val="20"/>
                <w:lang w:val="en-GB"/>
              </w:rPr>
              <w:tab/>
            </w:r>
          </w:p>
        </w:tc>
        <w:tc>
          <w:tcPr>
            <w:tcW w:w="1559" w:type="dxa"/>
            <w:shd w:val="clear" w:color="auto" w:fill="auto"/>
            <w:vAlign w:val="bottom"/>
          </w:tcPr>
          <w:p w:rsidRPr="009C48DA" w:rsidR="00905898" w:rsidP="007848A5" w:rsidRDefault="00905898" w14:paraId="7162F3C8" w14:textId="77777777">
            <w:pPr>
              <w:jc w:val="right"/>
              <w:rPr>
                <w:rFonts w:eastAsia="Calibri" w:cs="Arial"/>
                <w:sz w:val="20"/>
                <w:szCs w:val="20"/>
                <w:lang w:val="en-GB"/>
              </w:rPr>
            </w:pPr>
            <w:r w:rsidRPr="009C48DA">
              <w:rPr>
                <w:rFonts w:eastAsia="Calibri" w:cs="Arial"/>
                <w:sz w:val="20"/>
                <w:szCs w:val="20"/>
                <w:lang w:val="en-GB"/>
              </w:rPr>
              <w:t>20.8</w:t>
            </w:r>
          </w:p>
        </w:tc>
        <w:tc>
          <w:tcPr>
            <w:tcW w:w="1559" w:type="dxa"/>
            <w:shd w:val="clear" w:color="auto" w:fill="auto"/>
            <w:vAlign w:val="bottom"/>
          </w:tcPr>
          <w:p w:rsidRPr="009C48DA" w:rsidR="00905898" w:rsidP="007848A5" w:rsidRDefault="00905898" w14:paraId="7C2F409B" w14:textId="77777777">
            <w:pPr>
              <w:jc w:val="right"/>
              <w:rPr>
                <w:rFonts w:eastAsia="Calibri" w:cs="Arial"/>
                <w:sz w:val="20"/>
                <w:szCs w:val="20"/>
                <w:lang w:val="en-GB"/>
              </w:rPr>
            </w:pPr>
            <w:r w:rsidRPr="009C48DA">
              <w:rPr>
                <w:rFonts w:eastAsia="Calibri" w:cs="Arial"/>
                <w:sz w:val="20"/>
                <w:szCs w:val="20"/>
                <w:lang w:val="en-GB"/>
              </w:rPr>
              <w:t>14.5</w:t>
            </w:r>
          </w:p>
        </w:tc>
      </w:tr>
      <w:tr w:rsidRPr="009C48DA" w:rsidR="00905898" w:rsidTr="0032371F" w14:paraId="29736850" w14:textId="77777777">
        <w:tc>
          <w:tcPr>
            <w:tcW w:w="5529" w:type="dxa"/>
            <w:shd w:val="clear" w:color="auto" w:fill="auto"/>
            <w:vAlign w:val="bottom"/>
          </w:tcPr>
          <w:p w:rsidRPr="009C48DA" w:rsidR="00905898" w:rsidP="0036034E" w:rsidRDefault="00905898" w14:paraId="78FA1F75" w14:textId="77777777">
            <w:pPr>
              <w:tabs>
                <w:tab w:val="right" w:leader="dot" w:pos="5518"/>
                <w:tab w:val="left" w:pos="5559"/>
              </w:tabs>
              <w:rPr>
                <w:rFonts w:eastAsia="Calibri" w:cs="Times New Roman"/>
                <w:sz w:val="20"/>
                <w:szCs w:val="20"/>
                <w:lang w:val="en-GB"/>
              </w:rPr>
            </w:pPr>
            <w:r w:rsidRPr="009C48DA">
              <w:rPr>
                <w:rFonts w:eastAsia="Calibri" w:cs="Times New Roman"/>
                <w:sz w:val="20"/>
                <w:szCs w:val="20"/>
                <w:lang w:val="en-GB"/>
              </w:rPr>
              <w:t>Other operating income</w:t>
            </w:r>
            <w:r w:rsidRPr="009C48DA">
              <w:rPr>
                <w:rFonts w:eastAsia="Calibri" w:cs="Arial"/>
                <w:sz w:val="20"/>
                <w:szCs w:val="20"/>
                <w:lang w:val="en-GB"/>
              </w:rPr>
              <w:tab/>
            </w:r>
          </w:p>
        </w:tc>
        <w:tc>
          <w:tcPr>
            <w:tcW w:w="1559" w:type="dxa"/>
            <w:shd w:val="clear" w:color="auto" w:fill="auto"/>
            <w:vAlign w:val="bottom"/>
          </w:tcPr>
          <w:p w:rsidRPr="009C48DA" w:rsidR="00905898" w:rsidP="0036034E" w:rsidRDefault="00905898" w14:paraId="2E95C6B0" w14:textId="1CF4119A">
            <w:pPr>
              <w:pBdr>
                <w:bottom w:val="single" w:color="auto" w:sz="4" w:space="1"/>
              </w:pBdr>
              <w:jc w:val="right"/>
              <w:rPr>
                <w:rFonts w:eastAsia="Calibri" w:cs="Arial"/>
                <w:sz w:val="20"/>
                <w:szCs w:val="20"/>
                <w:lang w:val="en-GB"/>
              </w:rPr>
            </w:pPr>
            <w:r w:rsidRPr="009C48DA">
              <w:rPr>
                <w:rFonts w:eastAsia="Calibri" w:cs="Arial"/>
                <w:sz w:val="20"/>
                <w:szCs w:val="20"/>
                <w:lang w:val="en-GB"/>
              </w:rPr>
              <w:t>1.</w:t>
            </w:r>
            <w:r w:rsidRPr="009C48DA" w:rsidR="00616F99">
              <w:rPr>
                <w:rFonts w:eastAsia="Calibri" w:cs="Arial"/>
                <w:sz w:val="20"/>
                <w:szCs w:val="20"/>
                <w:lang w:val="en-GB"/>
              </w:rPr>
              <w:t>9</w:t>
            </w:r>
          </w:p>
        </w:tc>
        <w:tc>
          <w:tcPr>
            <w:tcW w:w="1559" w:type="dxa"/>
            <w:shd w:val="clear" w:color="auto" w:fill="auto"/>
            <w:vAlign w:val="bottom"/>
          </w:tcPr>
          <w:p w:rsidRPr="009C48DA" w:rsidR="00905898" w:rsidP="0036034E" w:rsidRDefault="00905898" w14:paraId="42F41917"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1.9</w:t>
            </w:r>
          </w:p>
        </w:tc>
      </w:tr>
      <w:tr w:rsidRPr="009C48DA" w:rsidR="00905898" w:rsidTr="0032371F" w14:paraId="4891B2A6" w14:textId="77777777">
        <w:tc>
          <w:tcPr>
            <w:tcW w:w="5529" w:type="dxa"/>
            <w:shd w:val="clear" w:color="auto" w:fill="auto"/>
            <w:vAlign w:val="bottom"/>
          </w:tcPr>
          <w:p w:rsidRPr="009C48DA" w:rsidR="00905898" w:rsidP="0036034E" w:rsidRDefault="00905898" w14:paraId="4B75A08D" w14:textId="77777777">
            <w:pPr>
              <w:tabs>
                <w:tab w:val="right" w:leader="dot" w:pos="5518"/>
                <w:tab w:val="left" w:pos="5559"/>
              </w:tabs>
              <w:rPr>
                <w:rFonts w:eastAsia="Calibri" w:cs="Times New Roman"/>
                <w:b/>
                <w:sz w:val="20"/>
                <w:szCs w:val="20"/>
                <w:lang w:val="en-GB"/>
              </w:rPr>
            </w:pPr>
            <w:r w:rsidRPr="009C48DA">
              <w:rPr>
                <w:rFonts w:eastAsia="Calibri" w:cs="Times New Roman"/>
                <w:b/>
                <w:sz w:val="20"/>
                <w:szCs w:val="20"/>
                <w:lang w:val="en-GB"/>
              </w:rPr>
              <w:t>Total operating income</w:t>
            </w:r>
            <w:r w:rsidRPr="009C48DA">
              <w:rPr>
                <w:rFonts w:eastAsia="Calibri" w:cs="Times New Roman"/>
                <w:sz w:val="20"/>
                <w:szCs w:val="20"/>
                <w:lang w:val="en-GB"/>
              </w:rPr>
              <w:tab/>
            </w:r>
          </w:p>
        </w:tc>
        <w:tc>
          <w:tcPr>
            <w:tcW w:w="1559" w:type="dxa"/>
            <w:shd w:val="clear" w:color="auto" w:fill="auto"/>
            <w:vAlign w:val="bottom"/>
          </w:tcPr>
          <w:p w:rsidRPr="009C48DA" w:rsidR="00905898" w:rsidP="0036034E" w:rsidRDefault="00905898" w14:paraId="7A9D12BE" w14:textId="77777777">
            <w:pPr>
              <w:jc w:val="right"/>
              <w:rPr>
                <w:rFonts w:eastAsia="Calibri" w:cs="Arial"/>
                <w:b/>
                <w:sz w:val="20"/>
                <w:szCs w:val="20"/>
                <w:lang w:val="en-GB"/>
              </w:rPr>
            </w:pPr>
            <w:r w:rsidRPr="009C48DA">
              <w:rPr>
                <w:rFonts w:eastAsia="Calibri" w:cs="Arial"/>
                <w:b/>
                <w:sz w:val="20"/>
                <w:szCs w:val="20"/>
                <w:lang w:val="en-GB"/>
              </w:rPr>
              <w:t>144.8</w:t>
            </w:r>
          </w:p>
        </w:tc>
        <w:tc>
          <w:tcPr>
            <w:tcW w:w="1559" w:type="dxa"/>
            <w:shd w:val="clear" w:color="auto" w:fill="auto"/>
            <w:vAlign w:val="bottom"/>
          </w:tcPr>
          <w:p w:rsidRPr="009C48DA" w:rsidR="00905898" w:rsidP="0036034E" w:rsidRDefault="00905898" w14:paraId="76E4F4D6" w14:textId="77777777">
            <w:pPr>
              <w:jc w:val="right"/>
              <w:rPr>
                <w:rFonts w:eastAsia="Calibri" w:cs="Arial"/>
                <w:b/>
                <w:sz w:val="20"/>
                <w:szCs w:val="20"/>
                <w:lang w:val="en-GB"/>
              </w:rPr>
            </w:pPr>
            <w:r w:rsidRPr="009C48DA">
              <w:rPr>
                <w:rFonts w:eastAsia="Calibri" w:cs="Arial"/>
                <w:b/>
                <w:sz w:val="20"/>
                <w:szCs w:val="20"/>
                <w:lang w:val="en-GB"/>
              </w:rPr>
              <w:t>169.8</w:t>
            </w:r>
          </w:p>
        </w:tc>
      </w:tr>
      <w:tr w:rsidRPr="009C48DA" w:rsidR="00905898" w:rsidTr="0032371F" w14:paraId="4665833C" w14:textId="77777777">
        <w:tc>
          <w:tcPr>
            <w:tcW w:w="5529" w:type="dxa"/>
            <w:shd w:val="clear" w:color="auto" w:fill="auto"/>
            <w:vAlign w:val="bottom"/>
          </w:tcPr>
          <w:p w:rsidRPr="009C48DA" w:rsidR="00905898" w:rsidP="0036034E" w:rsidRDefault="00905898" w14:paraId="187F5C5B" w14:textId="77777777">
            <w:pPr>
              <w:tabs>
                <w:tab w:val="right" w:leader="dot" w:pos="5518"/>
                <w:tab w:val="left" w:pos="5559"/>
              </w:tabs>
              <w:rPr>
                <w:rFonts w:eastAsia="Calibri" w:cs="Times New Roman"/>
                <w:sz w:val="20"/>
                <w:szCs w:val="20"/>
                <w:lang w:val="en-GB"/>
              </w:rPr>
            </w:pPr>
            <w:r w:rsidRPr="009C48DA">
              <w:rPr>
                <w:rFonts w:eastAsia="Calibri" w:cs="Times New Roman"/>
                <w:sz w:val="20"/>
                <w:szCs w:val="20"/>
                <w:lang w:val="en-GB"/>
              </w:rPr>
              <w:t>Personnel expenses</w:t>
            </w:r>
            <w:r w:rsidRPr="009C48DA">
              <w:rPr>
                <w:rFonts w:eastAsia="Calibri" w:cs="Times New Roman"/>
                <w:sz w:val="20"/>
                <w:szCs w:val="20"/>
                <w:lang w:val="en-GB"/>
              </w:rPr>
              <w:tab/>
            </w:r>
          </w:p>
        </w:tc>
        <w:tc>
          <w:tcPr>
            <w:tcW w:w="1559" w:type="dxa"/>
            <w:shd w:val="clear" w:color="auto" w:fill="auto"/>
            <w:vAlign w:val="bottom"/>
          </w:tcPr>
          <w:p w:rsidRPr="009C48DA" w:rsidR="00905898" w:rsidP="0036034E" w:rsidRDefault="00905898" w14:paraId="6906BE90" w14:textId="77777777">
            <w:pPr>
              <w:jc w:val="right"/>
              <w:rPr>
                <w:rFonts w:eastAsia="Calibri" w:cs="Arial"/>
                <w:sz w:val="20"/>
                <w:szCs w:val="20"/>
                <w:lang w:val="en-GB"/>
              </w:rPr>
            </w:pPr>
            <w:r w:rsidRPr="009C48DA">
              <w:rPr>
                <w:rFonts w:eastAsia="Calibri" w:cs="Arial"/>
                <w:sz w:val="20"/>
                <w:szCs w:val="20"/>
                <w:lang w:val="en-GB"/>
              </w:rPr>
              <w:t>(91.4)</w:t>
            </w:r>
            <w:r w:rsidRPr="009C48DA" w:rsidDel="00EF3443">
              <w:rPr>
                <w:rFonts w:eastAsia="Calibri" w:cs="Arial"/>
                <w:sz w:val="20"/>
                <w:szCs w:val="20"/>
                <w:lang w:val="en-GB"/>
              </w:rPr>
              <w:t xml:space="preserve"> </w:t>
            </w:r>
          </w:p>
        </w:tc>
        <w:tc>
          <w:tcPr>
            <w:tcW w:w="1559" w:type="dxa"/>
            <w:shd w:val="clear" w:color="auto" w:fill="auto"/>
            <w:vAlign w:val="bottom"/>
          </w:tcPr>
          <w:p w:rsidRPr="009C48DA" w:rsidR="00905898" w:rsidP="0036034E" w:rsidRDefault="00905898" w14:paraId="42C97A4C" w14:textId="77777777">
            <w:pPr>
              <w:jc w:val="right"/>
              <w:rPr>
                <w:rFonts w:eastAsia="Calibri" w:cs="Arial"/>
                <w:sz w:val="20"/>
                <w:szCs w:val="20"/>
                <w:lang w:val="en-GB"/>
              </w:rPr>
            </w:pPr>
            <w:r w:rsidRPr="009C48DA">
              <w:rPr>
                <w:rFonts w:eastAsia="Calibri" w:cs="Arial"/>
                <w:sz w:val="20"/>
                <w:szCs w:val="20"/>
                <w:lang w:val="en-GB"/>
              </w:rPr>
              <w:t>(88.9)</w:t>
            </w:r>
            <w:r w:rsidRPr="009C48DA" w:rsidDel="00EF3443">
              <w:rPr>
                <w:rFonts w:eastAsia="Calibri" w:cs="Arial"/>
                <w:sz w:val="20"/>
                <w:szCs w:val="20"/>
                <w:lang w:val="en-GB"/>
              </w:rPr>
              <w:t xml:space="preserve"> </w:t>
            </w:r>
          </w:p>
        </w:tc>
      </w:tr>
      <w:tr w:rsidRPr="009C48DA" w:rsidR="00905898" w:rsidTr="0032371F" w14:paraId="2D6C8F71" w14:textId="77777777">
        <w:tc>
          <w:tcPr>
            <w:tcW w:w="5529" w:type="dxa"/>
            <w:shd w:val="clear" w:color="auto" w:fill="auto"/>
            <w:vAlign w:val="bottom"/>
          </w:tcPr>
          <w:p w:rsidRPr="009C48DA" w:rsidR="00905898" w:rsidP="0036034E" w:rsidRDefault="00905898" w14:paraId="3F687588" w14:textId="77777777">
            <w:pPr>
              <w:tabs>
                <w:tab w:val="right" w:leader="dot" w:pos="5518"/>
                <w:tab w:val="left" w:pos="5559"/>
              </w:tabs>
              <w:rPr>
                <w:rFonts w:eastAsia="Calibri" w:cs="Times New Roman"/>
                <w:sz w:val="20"/>
                <w:szCs w:val="20"/>
                <w:lang w:val="en-GB"/>
              </w:rPr>
            </w:pPr>
            <w:r w:rsidRPr="009C48DA">
              <w:rPr>
                <w:rFonts w:eastAsia="Calibri" w:cs="Times New Roman"/>
                <w:sz w:val="20"/>
                <w:szCs w:val="20"/>
                <w:lang w:val="en-GB"/>
              </w:rPr>
              <w:t>Other expenses</w:t>
            </w:r>
            <w:r w:rsidRPr="009C48DA">
              <w:rPr>
                <w:rFonts w:eastAsia="Calibri" w:cs="Arial"/>
                <w:sz w:val="20"/>
                <w:szCs w:val="20"/>
                <w:lang w:val="en-GB"/>
              </w:rPr>
              <w:tab/>
            </w:r>
          </w:p>
        </w:tc>
        <w:tc>
          <w:tcPr>
            <w:tcW w:w="1559" w:type="dxa"/>
            <w:shd w:val="clear" w:color="auto" w:fill="auto"/>
            <w:vAlign w:val="bottom"/>
          </w:tcPr>
          <w:p w:rsidRPr="009C48DA" w:rsidR="00905898" w:rsidP="0036034E" w:rsidRDefault="00905898" w14:paraId="2571A8FE" w14:textId="77777777">
            <w:pPr>
              <w:jc w:val="right"/>
              <w:rPr>
                <w:rFonts w:eastAsia="Calibri" w:cs="Arial"/>
                <w:sz w:val="20"/>
                <w:szCs w:val="20"/>
                <w:lang w:val="en-GB"/>
              </w:rPr>
            </w:pPr>
            <w:r w:rsidRPr="009C48DA">
              <w:rPr>
                <w:rFonts w:eastAsia="Calibri" w:cs="Arial"/>
                <w:sz w:val="20"/>
                <w:szCs w:val="20"/>
                <w:lang w:val="en-GB"/>
              </w:rPr>
              <w:t>(35.7)</w:t>
            </w:r>
            <w:r w:rsidRPr="009C48DA" w:rsidDel="00EF3443">
              <w:rPr>
                <w:rFonts w:eastAsia="Calibri" w:cs="Arial"/>
                <w:sz w:val="20"/>
                <w:szCs w:val="20"/>
                <w:lang w:val="en-GB"/>
              </w:rPr>
              <w:t xml:space="preserve"> </w:t>
            </w:r>
          </w:p>
        </w:tc>
        <w:tc>
          <w:tcPr>
            <w:tcW w:w="1559" w:type="dxa"/>
            <w:shd w:val="clear" w:color="auto" w:fill="auto"/>
            <w:vAlign w:val="bottom"/>
          </w:tcPr>
          <w:p w:rsidRPr="009C48DA" w:rsidR="00905898" w:rsidP="0036034E" w:rsidRDefault="00905898" w14:paraId="146CCFCC" w14:textId="77777777">
            <w:pPr>
              <w:jc w:val="right"/>
              <w:rPr>
                <w:rFonts w:eastAsia="Calibri" w:cs="Arial"/>
                <w:sz w:val="20"/>
                <w:szCs w:val="20"/>
                <w:lang w:val="en-GB"/>
              </w:rPr>
            </w:pPr>
            <w:r w:rsidRPr="009C48DA">
              <w:rPr>
                <w:rFonts w:eastAsia="Calibri" w:cs="Arial"/>
                <w:sz w:val="20"/>
                <w:szCs w:val="20"/>
                <w:lang w:val="en-GB"/>
              </w:rPr>
              <w:t>(27.8)</w:t>
            </w:r>
            <w:r w:rsidRPr="009C48DA" w:rsidDel="00EF3443">
              <w:rPr>
                <w:rFonts w:eastAsia="Calibri" w:cs="Arial"/>
                <w:sz w:val="20"/>
                <w:szCs w:val="20"/>
                <w:lang w:val="en-GB"/>
              </w:rPr>
              <w:t xml:space="preserve"> </w:t>
            </w:r>
          </w:p>
        </w:tc>
      </w:tr>
      <w:tr w:rsidRPr="009C48DA" w:rsidR="00905898" w:rsidTr="0032371F" w14:paraId="2DC7B2B4" w14:textId="77777777">
        <w:tc>
          <w:tcPr>
            <w:tcW w:w="5529" w:type="dxa"/>
            <w:shd w:val="clear" w:color="auto" w:fill="auto"/>
            <w:vAlign w:val="bottom"/>
          </w:tcPr>
          <w:p w:rsidRPr="009C48DA" w:rsidR="00905898" w:rsidP="0036034E" w:rsidRDefault="00905898" w14:paraId="38C79CB8" w14:textId="77777777">
            <w:pPr>
              <w:tabs>
                <w:tab w:val="right" w:leader="dot" w:pos="5518"/>
                <w:tab w:val="left" w:pos="5559"/>
              </w:tabs>
              <w:rPr>
                <w:rFonts w:eastAsia="Calibri" w:cs="Times New Roman"/>
                <w:sz w:val="20"/>
                <w:szCs w:val="20"/>
                <w:lang w:val="en-GB"/>
              </w:rPr>
            </w:pPr>
            <w:r w:rsidRPr="009C48DA">
              <w:rPr>
                <w:rFonts w:eastAsia="Calibri" w:cs="Times New Roman"/>
                <w:sz w:val="20"/>
                <w:szCs w:val="20"/>
                <w:lang w:val="en-GB"/>
              </w:rPr>
              <w:t>Foreign exchange gains</w:t>
            </w:r>
            <w:r w:rsidRPr="009C48DA">
              <w:rPr>
                <w:rFonts w:eastAsia="Calibri" w:cs="Arial"/>
                <w:sz w:val="20"/>
                <w:szCs w:val="20"/>
                <w:lang w:val="en-GB"/>
              </w:rPr>
              <w:tab/>
            </w:r>
          </w:p>
        </w:tc>
        <w:tc>
          <w:tcPr>
            <w:tcW w:w="1559" w:type="dxa"/>
            <w:shd w:val="clear" w:color="auto" w:fill="auto"/>
            <w:vAlign w:val="bottom"/>
          </w:tcPr>
          <w:p w:rsidRPr="009C48DA" w:rsidR="00905898" w:rsidP="0036034E" w:rsidRDefault="00905898" w14:paraId="5CD4214C" w14:textId="77777777">
            <w:pPr>
              <w:jc w:val="right"/>
              <w:rPr>
                <w:rFonts w:eastAsia="Calibri" w:cs="Arial"/>
                <w:sz w:val="20"/>
                <w:szCs w:val="20"/>
                <w:lang w:val="en-GB"/>
              </w:rPr>
            </w:pPr>
            <w:r w:rsidRPr="009C48DA">
              <w:rPr>
                <w:rFonts w:eastAsia="Calibri" w:cs="Arial"/>
                <w:sz w:val="20"/>
                <w:szCs w:val="20"/>
                <w:lang w:val="en-GB"/>
              </w:rPr>
              <w:t>1.5</w:t>
            </w:r>
          </w:p>
        </w:tc>
        <w:tc>
          <w:tcPr>
            <w:tcW w:w="1559" w:type="dxa"/>
            <w:shd w:val="clear" w:color="auto" w:fill="auto"/>
            <w:vAlign w:val="bottom"/>
          </w:tcPr>
          <w:p w:rsidRPr="009C48DA" w:rsidR="00905898" w:rsidP="0036034E" w:rsidRDefault="002D7116" w14:paraId="510E545F" w14:textId="697AC40F">
            <w:pPr>
              <w:jc w:val="right"/>
              <w:rPr>
                <w:rFonts w:eastAsia="Calibri" w:cs="Arial"/>
                <w:sz w:val="20"/>
                <w:szCs w:val="20"/>
                <w:lang w:val="en-GB"/>
              </w:rPr>
            </w:pPr>
            <w:r w:rsidRPr="009C48DA">
              <w:rPr>
                <w:rFonts w:eastAsia="Calibri" w:cs="Arial"/>
                <w:sz w:val="20"/>
                <w:szCs w:val="20"/>
                <w:lang w:val="en-GB"/>
              </w:rPr>
              <w:t>(</w:t>
            </w:r>
            <w:r w:rsidRPr="009C48DA" w:rsidR="00905898">
              <w:rPr>
                <w:rFonts w:eastAsia="Calibri" w:cs="Arial"/>
                <w:sz w:val="20"/>
                <w:szCs w:val="20"/>
                <w:lang w:val="en-GB"/>
              </w:rPr>
              <w:t>0.1</w:t>
            </w:r>
            <w:r w:rsidRPr="009C48DA">
              <w:rPr>
                <w:rFonts w:eastAsia="Calibri" w:cs="Arial"/>
                <w:sz w:val="20"/>
                <w:szCs w:val="20"/>
                <w:lang w:val="en-GB"/>
              </w:rPr>
              <w:t>)</w:t>
            </w:r>
          </w:p>
        </w:tc>
      </w:tr>
      <w:tr w:rsidRPr="009C48DA" w:rsidR="00905898" w:rsidTr="0032371F" w14:paraId="21D4F31A" w14:textId="77777777">
        <w:tc>
          <w:tcPr>
            <w:tcW w:w="5529" w:type="dxa"/>
            <w:shd w:val="clear" w:color="auto" w:fill="auto"/>
            <w:vAlign w:val="bottom"/>
          </w:tcPr>
          <w:p w:rsidRPr="009C48DA" w:rsidR="00905898" w:rsidDel="008E0499" w:rsidP="0036034E" w:rsidRDefault="00905898" w14:paraId="611F7656" w14:textId="77777777">
            <w:pPr>
              <w:tabs>
                <w:tab w:val="right" w:leader="dot" w:pos="5518"/>
                <w:tab w:val="left" w:pos="5559"/>
              </w:tabs>
              <w:rPr>
                <w:rFonts w:eastAsia="Calibri" w:cs="Times New Roman"/>
                <w:b/>
                <w:sz w:val="20"/>
                <w:szCs w:val="20"/>
                <w:lang w:val="en-GB"/>
              </w:rPr>
            </w:pPr>
            <w:r w:rsidRPr="009C48DA">
              <w:rPr>
                <w:rFonts w:eastAsia="Calibri" w:cs="Times New Roman"/>
                <w:b/>
                <w:sz w:val="20"/>
                <w:szCs w:val="20"/>
                <w:lang w:val="en-GB"/>
              </w:rPr>
              <w:t>EBITDA</w:t>
            </w:r>
            <w:r w:rsidRPr="009C48DA">
              <w:rPr>
                <w:rFonts w:eastAsia="Calibri" w:cs="Arial"/>
                <w:sz w:val="20"/>
                <w:szCs w:val="20"/>
                <w:lang w:val="en-GB"/>
              </w:rPr>
              <w:tab/>
            </w:r>
          </w:p>
        </w:tc>
        <w:tc>
          <w:tcPr>
            <w:tcW w:w="1559" w:type="dxa"/>
            <w:shd w:val="clear" w:color="auto" w:fill="auto"/>
            <w:vAlign w:val="bottom"/>
          </w:tcPr>
          <w:p w:rsidRPr="009C48DA" w:rsidR="00905898" w:rsidP="0036034E" w:rsidRDefault="00905898" w14:paraId="0F0B9E02" w14:textId="77777777">
            <w:pPr>
              <w:pBdr>
                <w:top w:val="single" w:color="auto" w:sz="4" w:space="1"/>
              </w:pBdr>
              <w:jc w:val="right"/>
              <w:rPr>
                <w:rFonts w:eastAsia="Calibri" w:cs="Arial"/>
                <w:b/>
                <w:sz w:val="20"/>
                <w:szCs w:val="20"/>
                <w:lang w:val="en-GB"/>
              </w:rPr>
            </w:pPr>
            <w:r w:rsidRPr="009C48DA">
              <w:rPr>
                <w:rFonts w:eastAsia="Calibri" w:cs="Arial"/>
                <w:b/>
                <w:sz w:val="20"/>
                <w:szCs w:val="20"/>
                <w:lang w:val="en-GB"/>
              </w:rPr>
              <w:t>19.2</w:t>
            </w:r>
          </w:p>
        </w:tc>
        <w:tc>
          <w:tcPr>
            <w:tcW w:w="1559" w:type="dxa"/>
            <w:shd w:val="clear" w:color="auto" w:fill="auto"/>
            <w:vAlign w:val="bottom"/>
          </w:tcPr>
          <w:p w:rsidRPr="009C48DA" w:rsidR="00905898" w:rsidP="0036034E" w:rsidRDefault="00905898" w14:paraId="4BB96142" w14:textId="77777777">
            <w:pPr>
              <w:pBdr>
                <w:top w:val="single" w:color="auto" w:sz="4" w:space="1"/>
              </w:pBdr>
              <w:jc w:val="right"/>
              <w:rPr>
                <w:rFonts w:eastAsia="Calibri" w:cs="Arial"/>
                <w:b/>
                <w:sz w:val="20"/>
                <w:szCs w:val="20"/>
                <w:lang w:val="en-GB"/>
              </w:rPr>
            </w:pPr>
            <w:r w:rsidRPr="009C48DA">
              <w:rPr>
                <w:rFonts w:eastAsia="Calibri" w:cs="Arial"/>
                <w:b/>
                <w:sz w:val="20"/>
                <w:szCs w:val="20"/>
                <w:lang w:val="en-GB"/>
              </w:rPr>
              <w:t>53.1</w:t>
            </w:r>
          </w:p>
        </w:tc>
      </w:tr>
      <w:tr w:rsidRPr="009C48DA" w:rsidR="00905898" w:rsidTr="0032371F" w14:paraId="20088EF0" w14:textId="77777777">
        <w:tc>
          <w:tcPr>
            <w:tcW w:w="5529" w:type="dxa"/>
            <w:shd w:val="clear" w:color="auto" w:fill="auto"/>
            <w:vAlign w:val="bottom"/>
          </w:tcPr>
          <w:p w:rsidRPr="009C48DA" w:rsidR="00905898" w:rsidP="0032371F" w:rsidRDefault="00905898" w14:paraId="017EE2EC" w14:textId="77777777">
            <w:pPr>
              <w:tabs>
                <w:tab w:val="left" w:leader="dot" w:pos="5311"/>
                <w:tab w:val="left" w:pos="5559"/>
              </w:tabs>
              <w:ind w:left="176"/>
              <w:rPr>
                <w:rFonts w:eastAsia="Calibri" w:cs="Times New Roman"/>
                <w:i/>
                <w:sz w:val="20"/>
                <w:szCs w:val="20"/>
                <w:lang w:val="en-GB"/>
              </w:rPr>
            </w:pPr>
            <w:r w:rsidRPr="009C48DA">
              <w:rPr>
                <w:rFonts w:eastAsia="Calibri" w:cs="Times New Roman"/>
                <w:i/>
                <w:sz w:val="20"/>
                <w:szCs w:val="20"/>
                <w:lang w:val="en-GB"/>
              </w:rPr>
              <w:t>of which: Underlying EBITDA</w:t>
            </w:r>
            <w:r w:rsidRPr="009C48DA">
              <w:rPr>
                <w:rFonts w:eastAsia="Calibri" w:cs="Arial"/>
                <w:sz w:val="20"/>
                <w:szCs w:val="20"/>
                <w:lang w:val="en-GB"/>
              </w:rPr>
              <w:tab/>
            </w:r>
          </w:p>
        </w:tc>
        <w:tc>
          <w:tcPr>
            <w:tcW w:w="1559" w:type="dxa"/>
            <w:shd w:val="clear" w:color="auto" w:fill="auto"/>
            <w:vAlign w:val="bottom"/>
          </w:tcPr>
          <w:p w:rsidRPr="009C48DA" w:rsidR="00905898" w:rsidP="0036034E" w:rsidRDefault="00905898" w14:paraId="7BD42D3B" w14:textId="77777777">
            <w:pPr>
              <w:jc w:val="right"/>
              <w:rPr>
                <w:rFonts w:eastAsia="Calibri" w:cs="Arial"/>
                <w:i/>
                <w:sz w:val="20"/>
                <w:szCs w:val="20"/>
                <w:lang w:val="en-GB"/>
              </w:rPr>
            </w:pPr>
            <w:r w:rsidRPr="009C48DA">
              <w:rPr>
                <w:rFonts w:eastAsia="Calibri" w:cs="Arial"/>
                <w:i/>
                <w:sz w:val="20"/>
                <w:szCs w:val="20"/>
                <w:lang w:val="en-GB"/>
              </w:rPr>
              <w:t>43.3</w:t>
            </w:r>
          </w:p>
        </w:tc>
        <w:tc>
          <w:tcPr>
            <w:tcW w:w="1559" w:type="dxa"/>
            <w:shd w:val="clear" w:color="auto" w:fill="auto"/>
            <w:vAlign w:val="bottom"/>
          </w:tcPr>
          <w:p w:rsidRPr="009C48DA" w:rsidR="00905898" w:rsidP="0036034E" w:rsidRDefault="00905898" w14:paraId="15D824CD" w14:textId="77777777">
            <w:pPr>
              <w:jc w:val="right"/>
              <w:rPr>
                <w:rFonts w:eastAsia="Calibri" w:cs="Arial"/>
                <w:i/>
                <w:sz w:val="20"/>
                <w:szCs w:val="20"/>
                <w:lang w:val="en-GB"/>
              </w:rPr>
            </w:pPr>
            <w:r w:rsidRPr="009C48DA">
              <w:rPr>
                <w:rFonts w:eastAsia="Calibri" w:cs="Arial"/>
                <w:i/>
                <w:sz w:val="20"/>
                <w:szCs w:val="20"/>
                <w:lang w:val="en-GB"/>
              </w:rPr>
              <w:t>53.1</w:t>
            </w:r>
          </w:p>
        </w:tc>
      </w:tr>
      <w:tr w:rsidRPr="009C48DA" w:rsidR="00905898" w:rsidTr="0032371F" w14:paraId="2047CAE3" w14:textId="77777777">
        <w:tc>
          <w:tcPr>
            <w:tcW w:w="5529" w:type="dxa"/>
            <w:shd w:val="clear" w:color="auto" w:fill="auto"/>
            <w:vAlign w:val="bottom"/>
          </w:tcPr>
          <w:p w:rsidRPr="009C48DA" w:rsidR="00905898" w:rsidP="0032371F" w:rsidRDefault="00905898" w14:paraId="03604517" w14:textId="77777777">
            <w:pPr>
              <w:tabs>
                <w:tab w:val="left" w:leader="dot" w:pos="5311"/>
                <w:tab w:val="left" w:pos="5559"/>
              </w:tabs>
              <w:ind w:left="176"/>
              <w:rPr>
                <w:rFonts w:eastAsia="Calibri" w:cs="Times New Roman"/>
                <w:i/>
                <w:sz w:val="20"/>
                <w:szCs w:val="20"/>
                <w:lang w:val="en-GB"/>
              </w:rPr>
            </w:pPr>
            <w:r w:rsidRPr="009C48DA">
              <w:rPr>
                <w:rFonts w:eastAsia="Calibri" w:cs="Times New Roman"/>
                <w:i/>
                <w:sz w:val="20"/>
                <w:szCs w:val="20"/>
                <w:lang w:val="en-GB"/>
              </w:rPr>
              <w:t>of which: Exceptional items within EBITDA</w:t>
            </w:r>
            <w:r w:rsidRPr="009C48DA">
              <w:rPr>
                <w:rFonts w:eastAsia="Calibri" w:cs="Arial"/>
                <w:sz w:val="20"/>
                <w:szCs w:val="20"/>
                <w:lang w:val="en-GB"/>
              </w:rPr>
              <w:tab/>
            </w:r>
          </w:p>
        </w:tc>
        <w:tc>
          <w:tcPr>
            <w:tcW w:w="1559" w:type="dxa"/>
            <w:shd w:val="clear" w:color="auto" w:fill="auto"/>
            <w:vAlign w:val="bottom"/>
          </w:tcPr>
          <w:p w:rsidRPr="009C48DA" w:rsidR="00905898" w:rsidP="0036034E" w:rsidRDefault="00905898" w14:paraId="1F4723CD" w14:textId="77777777">
            <w:pPr>
              <w:jc w:val="right"/>
              <w:rPr>
                <w:rFonts w:eastAsia="Calibri" w:cs="Arial"/>
                <w:i/>
                <w:sz w:val="20"/>
                <w:szCs w:val="20"/>
                <w:lang w:val="en-GB"/>
              </w:rPr>
            </w:pPr>
            <w:r w:rsidRPr="009C48DA">
              <w:rPr>
                <w:rFonts w:eastAsia="Calibri" w:cs="Arial"/>
                <w:i/>
                <w:sz w:val="20"/>
                <w:szCs w:val="20"/>
                <w:lang w:val="en-GB"/>
              </w:rPr>
              <w:t>(24.1)</w:t>
            </w:r>
          </w:p>
        </w:tc>
        <w:tc>
          <w:tcPr>
            <w:tcW w:w="1559" w:type="dxa"/>
            <w:shd w:val="clear" w:color="auto" w:fill="auto"/>
            <w:vAlign w:val="bottom"/>
          </w:tcPr>
          <w:p w:rsidRPr="009C48DA" w:rsidR="00905898" w:rsidP="0036034E" w:rsidRDefault="00905898" w14:paraId="07353BE7" w14:textId="77777777">
            <w:pPr>
              <w:jc w:val="right"/>
              <w:rPr>
                <w:rFonts w:eastAsia="Calibri" w:cs="Arial"/>
                <w:b/>
                <w:i/>
                <w:sz w:val="20"/>
                <w:szCs w:val="20"/>
                <w:lang w:val="en-GB"/>
              </w:rPr>
            </w:pPr>
            <w:r w:rsidRPr="009C48DA">
              <w:rPr>
                <w:rFonts w:eastAsia="Calibri" w:cs="Arial"/>
                <w:b/>
                <w:i/>
                <w:sz w:val="20"/>
                <w:szCs w:val="20"/>
                <w:lang w:val="en-GB"/>
              </w:rPr>
              <w:t>—</w:t>
            </w:r>
          </w:p>
        </w:tc>
      </w:tr>
      <w:tr w:rsidRPr="009C48DA" w:rsidR="00905898" w:rsidTr="0032371F" w14:paraId="3069ABC3" w14:textId="77777777">
        <w:tc>
          <w:tcPr>
            <w:tcW w:w="5529" w:type="dxa"/>
            <w:shd w:val="clear" w:color="auto" w:fill="auto"/>
            <w:vAlign w:val="bottom"/>
          </w:tcPr>
          <w:p w:rsidRPr="009C48DA" w:rsidR="00905898" w:rsidP="0036034E" w:rsidRDefault="00905898" w14:paraId="7D3F2241" w14:textId="77777777">
            <w:pPr>
              <w:tabs>
                <w:tab w:val="right" w:leader="dot" w:pos="5518"/>
                <w:tab w:val="left" w:pos="5559"/>
              </w:tabs>
              <w:rPr>
                <w:rFonts w:eastAsia="Calibri" w:cs="Times New Roman"/>
                <w:sz w:val="20"/>
                <w:szCs w:val="20"/>
                <w:highlight w:val="yellow"/>
                <w:lang w:val="en-GB"/>
              </w:rPr>
            </w:pPr>
            <w:r w:rsidRPr="009C48DA">
              <w:rPr>
                <w:rFonts w:eastAsia="Calibri" w:cs="Times New Roman"/>
                <w:sz w:val="20"/>
                <w:szCs w:val="20"/>
                <w:lang w:val="en-GB"/>
              </w:rPr>
              <w:t>Depreciation and amortisation expense</w:t>
            </w:r>
            <w:r w:rsidRPr="009C48DA">
              <w:rPr>
                <w:rFonts w:eastAsia="Calibri" w:cs="Arial"/>
                <w:sz w:val="20"/>
                <w:szCs w:val="20"/>
                <w:lang w:val="en-GB"/>
              </w:rPr>
              <w:tab/>
            </w:r>
          </w:p>
        </w:tc>
        <w:tc>
          <w:tcPr>
            <w:tcW w:w="1559" w:type="dxa"/>
            <w:shd w:val="clear" w:color="auto" w:fill="auto"/>
            <w:vAlign w:val="bottom"/>
          </w:tcPr>
          <w:p w:rsidRPr="009C48DA" w:rsidR="00905898" w:rsidP="0036034E" w:rsidRDefault="00905898" w14:paraId="7A1215DD"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(6.8)</w:t>
            </w:r>
          </w:p>
        </w:tc>
        <w:tc>
          <w:tcPr>
            <w:tcW w:w="1559" w:type="dxa"/>
            <w:shd w:val="clear" w:color="auto" w:fill="auto"/>
            <w:vAlign w:val="bottom"/>
          </w:tcPr>
          <w:p w:rsidRPr="009C48DA" w:rsidR="00905898" w:rsidP="0036034E" w:rsidRDefault="00905898" w14:paraId="22DDC20A"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(7.8)</w:t>
            </w:r>
          </w:p>
        </w:tc>
      </w:tr>
      <w:tr w:rsidRPr="009C48DA" w:rsidR="00905898" w:rsidTr="0032371F" w14:paraId="0571C1EB" w14:textId="77777777">
        <w:tc>
          <w:tcPr>
            <w:tcW w:w="5529" w:type="dxa"/>
            <w:shd w:val="clear" w:color="auto" w:fill="auto"/>
            <w:vAlign w:val="bottom"/>
          </w:tcPr>
          <w:p w:rsidRPr="009C48DA" w:rsidR="00905898" w:rsidP="0036034E" w:rsidRDefault="00905898" w14:paraId="60EF1F2B" w14:textId="77777777">
            <w:pPr>
              <w:tabs>
                <w:tab w:val="right" w:leader="dot" w:pos="5518"/>
                <w:tab w:val="left" w:pos="5559"/>
              </w:tabs>
              <w:rPr>
                <w:rFonts w:eastAsia="Calibri" w:cs="Times New Roman"/>
                <w:b/>
                <w:sz w:val="20"/>
                <w:szCs w:val="20"/>
                <w:lang w:val="en-GB"/>
              </w:rPr>
            </w:pPr>
            <w:r w:rsidRPr="009C48DA">
              <w:rPr>
                <w:rFonts w:eastAsia="Calibri" w:cs="Times New Roman"/>
                <w:b/>
                <w:sz w:val="20"/>
                <w:szCs w:val="20"/>
                <w:lang w:val="en-GB"/>
              </w:rPr>
              <w:t>Total operating profit</w:t>
            </w:r>
            <w:r w:rsidRPr="009C48DA">
              <w:rPr>
                <w:rFonts w:eastAsia="Calibri" w:cs="Arial"/>
                <w:sz w:val="20"/>
                <w:szCs w:val="20"/>
                <w:lang w:val="en-GB"/>
              </w:rPr>
              <w:tab/>
            </w:r>
          </w:p>
        </w:tc>
        <w:tc>
          <w:tcPr>
            <w:tcW w:w="1559" w:type="dxa"/>
            <w:shd w:val="clear" w:color="auto" w:fill="auto"/>
            <w:vAlign w:val="bottom"/>
          </w:tcPr>
          <w:p w:rsidRPr="009C48DA" w:rsidR="00905898" w:rsidP="0036034E" w:rsidRDefault="00905898" w14:paraId="508BB1D3" w14:textId="77777777">
            <w:pPr>
              <w:jc w:val="right"/>
              <w:rPr>
                <w:rFonts w:eastAsia="Calibri" w:cs="Arial"/>
                <w:b/>
                <w:sz w:val="20"/>
                <w:szCs w:val="20"/>
                <w:lang w:val="en-GB"/>
              </w:rPr>
            </w:pPr>
            <w:r w:rsidRPr="009C48DA">
              <w:rPr>
                <w:rFonts w:eastAsia="Calibri" w:cs="Arial"/>
                <w:b/>
                <w:sz w:val="20"/>
                <w:szCs w:val="20"/>
                <w:lang w:val="en-GB"/>
              </w:rPr>
              <w:t>12.4</w:t>
            </w:r>
          </w:p>
        </w:tc>
        <w:tc>
          <w:tcPr>
            <w:tcW w:w="1559" w:type="dxa"/>
            <w:shd w:val="clear" w:color="auto" w:fill="auto"/>
            <w:vAlign w:val="bottom"/>
          </w:tcPr>
          <w:p w:rsidRPr="009C48DA" w:rsidR="00905898" w:rsidP="0036034E" w:rsidRDefault="00905898" w14:paraId="1A31D980" w14:textId="77777777">
            <w:pPr>
              <w:jc w:val="right"/>
              <w:rPr>
                <w:rFonts w:eastAsia="Calibri" w:cs="Arial"/>
                <w:b/>
                <w:sz w:val="20"/>
                <w:szCs w:val="20"/>
                <w:lang w:val="en-GB"/>
              </w:rPr>
            </w:pPr>
            <w:r w:rsidRPr="009C48DA">
              <w:rPr>
                <w:rFonts w:eastAsia="Calibri" w:cs="Arial"/>
                <w:b/>
                <w:sz w:val="20"/>
                <w:szCs w:val="20"/>
                <w:lang w:val="en-GB"/>
              </w:rPr>
              <w:t>45.4</w:t>
            </w:r>
          </w:p>
        </w:tc>
      </w:tr>
      <w:tr w:rsidRPr="009C48DA" w:rsidR="00905898" w:rsidTr="0032371F" w14:paraId="66C6FA8B" w14:textId="77777777">
        <w:tc>
          <w:tcPr>
            <w:tcW w:w="5529" w:type="dxa"/>
            <w:shd w:val="clear" w:color="auto" w:fill="auto"/>
            <w:vAlign w:val="bottom"/>
          </w:tcPr>
          <w:p w:rsidRPr="009C48DA" w:rsidR="00905898" w:rsidP="0036034E" w:rsidRDefault="00905898" w14:paraId="7829139C" w14:textId="77777777">
            <w:pPr>
              <w:tabs>
                <w:tab w:val="right" w:leader="dot" w:pos="5518"/>
                <w:tab w:val="left" w:pos="5559"/>
              </w:tabs>
              <w:rPr>
                <w:rFonts w:eastAsia="Calibri" w:cs="Times New Roman"/>
                <w:sz w:val="20"/>
                <w:szCs w:val="20"/>
                <w:lang w:val="en-GB"/>
              </w:rPr>
            </w:pPr>
            <w:r w:rsidRPr="009C48DA">
              <w:rPr>
                <w:rFonts w:eastAsia="Calibri" w:cs="Times New Roman"/>
                <w:sz w:val="20"/>
                <w:szCs w:val="20"/>
                <w:lang w:val="en-GB"/>
              </w:rPr>
              <w:t>Finance income</w:t>
            </w:r>
            <w:r w:rsidRPr="009C48DA">
              <w:rPr>
                <w:rFonts w:eastAsia="Calibri" w:cs="Arial"/>
                <w:sz w:val="20"/>
                <w:szCs w:val="20"/>
                <w:lang w:val="en-GB"/>
              </w:rPr>
              <w:tab/>
            </w:r>
          </w:p>
        </w:tc>
        <w:tc>
          <w:tcPr>
            <w:tcW w:w="1559" w:type="dxa"/>
            <w:shd w:val="clear" w:color="auto" w:fill="auto"/>
            <w:vAlign w:val="bottom"/>
          </w:tcPr>
          <w:p w:rsidRPr="009C48DA" w:rsidR="00905898" w:rsidP="0036034E" w:rsidRDefault="00905898" w14:paraId="5AE22D33" w14:textId="77777777">
            <w:pPr>
              <w:jc w:val="right"/>
              <w:rPr>
                <w:rFonts w:eastAsia="Calibri" w:cs="Arial"/>
                <w:sz w:val="20"/>
                <w:szCs w:val="20"/>
                <w:lang w:val="en-GB"/>
              </w:rPr>
            </w:pPr>
            <w:r w:rsidRPr="009C48DA">
              <w:rPr>
                <w:rFonts w:eastAsia="Calibri" w:cs="Arial"/>
                <w:sz w:val="20"/>
                <w:szCs w:val="20"/>
                <w:lang w:val="en-GB"/>
              </w:rPr>
              <w:t>5.5</w:t>
            </w:r>
          </w:p>
        </w:tc>
        <w:tc>
          <w:tcPr>
            <w:tcW w:w="1559" w:type="dxa"/>
            <w:shd w:val="clear" w:color="auto" w:fill="auto"/>
            <w:vAlign w:val="bottom"/>
          </w:tcPr>
          <w:p w:rsidRPr="009C48DA" w:rsidR="00905898" w:rsidP="0036034E" w:rsidRDefault="00905898" w14:paraId="31ECDC2A" w14:textId="77777777">
            <w:pPr>
              <w:jc w:val="right"/>
              <w:rPr>
                <w:rFonts w:eastAsia="Calibri" w:cs="Arial"/>
                <w:sz w:val="20"/>
                <w:szCs w:val="20"/>
                <w:lang w:val="en-GB"/>
              </w:rPr>
            </w:pPr>
            <w:r w:rsidRPr="009C48DA">
              <w:rPr>
                <w:rFonts w:eastAsia="Calibri" w:cs="Arial"/>
                <w:sz w:val="20"/>
                <w:szCs w:val="20"/>
                <w:lang w:val="en-GB"/>
              </w:rPr>
              <w:t>7.7</w:t>
            </w:r>
          </w:p>
        </w:tc>
      </w:tr>
      <w:tr w:rsidRPr="009C48DA" w:rsidR="00905898" w:rsidTr="0032371F" w14:paraId="5D3D190A" w14:textId="77777777">
        <w:tc>
          <w:tcPr>
            <w:tcW w:w="5529" w:type="dxa"/>
            <w:shd w:val="clear" w:color="auto" w:fill="auto"/>
            <w:vAlign w:val="bottom"/>
          </w:tcPr>
          <w:p w:rsidRPr="009C48DA" w:rsidR="00905898" w:rsidP="0036034E" w:rsidRDefault="00905898" w14:paraId="7A8684AD" w14:textId="77777777">
            <w:pPr>
              <w:tabs>
                <w:tab w:val="right" w:leader="dot" w:pos="5518"/>
                <w:tab w:val="left" w:pos="5559"/>
              </w:tabs>
              <w:rPr>
                <w:rFonts w:eastAsia="Calibri" w:cs="Times New Roman"/>
                <w:sz w:val="20"/>
                <w:szCs w:val="20"/>
                <w:lang w:val="en-GB"/>
              </w:rPr>
            </w:pPr>
            <w:r w:rsidRPr="009C48DA">
              <w:rPr>
                <w:rFonts w:eastAsia="Calibri" w:cs="Times New Roman"/>
                <w:sz w:val="20"/>
                <w:szCs w:val="20"/>
                <w:lang w:val="en-GB"/>
              </w:rPr>
              <w:t>Finance expense</w:t>
            </w:r>
            <w:r w:rsidRPr="009C48DA">
              <w:rPr>
                <w:rFonts w:eastAsia="Calibri" w:cs="Times New Roman"/>
                <w:i/>
                <w:sz w:val="20"/>
                <w:szCs w:val="20"/>
                <w:lang w:val="en-GB"/>
              </w:rPr>
              <w:tab/>
            </w:r>
          </w:p>
        </w:tc>
        <w:tc>
          <w:tcPr>
            <w:tcW w:w="1559" w:type="dxa"/>
            <w:shd w:val="clear" w:color="auto" w:fill="auto"/>
            <w:vAlign w:val="bottom"/>
          </w:tcPr>
          <w:p w:rsidRPr="009C48DA" w:rsidR="00905898" w:rsidP="0036034E" w:rsidRDefault="00905898" w14:paraId="159CED6B"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(5.4)</w:t>
            </w:r>
          </w:p>
        </w:tc>
        <w:tc>
          <w:tcPr>
            <w:tcW w:w="1559" w:type="dxa"/>
            <w:shd w:val="clear" w:color="auto" w:fill="auto"/>
            <w:vAlign w:val="bottom"/>
          </w:tcPr>
          <w:p w:rsidRPr="009C48DA" w:rsidR="00905898" w:rsidP="0036034E" w:rsidRDefault="00905898" w14:paraId="404CCC0E"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(5.6)</w:t>
            </w:r>
          </w:p>
        </w:tc>
      </w:tr>
      <w:tr w:rsidRPr="009C48DA" w:rsidR="00905898" w:rsidTr="0032371F" w14:paraId="5B206C00" w14:textId="77777777">
        <w:tc>
          <w:tcPr>
            <w:tcW w:w="5529" w:type="dxa"/>
            <w:shd w:val="clear" w:color="auto" w:fill="auto"/>
            <w:vAlign w:val="bottom"/>
          </w:tcPr>
          <w:p w:rsidRPr="009C48DA" w:rsidR="00905898" w:rsidP="0036034E" w:rsidRDefault="00905898" w14:paraId="0BF67A50" w14:textId="77777777">
            <w:pPr>
              <w:tabs>
                <w:tab w:val="right" w:leader="dot" w:pos="5518"/>
                <w:tab w:val="left" w:pos="5559"/>
              </w:tabs>
              <w:rPr>
                <w:rFonts w:eastAsia="Calibri" w:cs="Times New Roman"/>
                <w:b/>
                <w:sz w:val="20"/>
                <w:szCs w:val="20"/>
                <w:lang w:val="en-GB"/>
              </w:rPr>
            </w:pPr>
            <w:r w:rsidRPr="009C48DA">
              <w:rPr>
                <w:rFonts w:eastAsia="Calibri" w:cs="Times New Roman"/>
                <w:b/>
                <w:sz w:val="20"/>
                <w:szCs w:val="20"/>
                <w:lang w:val="en-GB"/>
              </w:rPr>
              <w:t>Profit before income tax</w:t>
            </w:r>
            <w:r w:rsidRPr="009C48DA">
              <w:rPr>
                <w:rFonts w:eastAsia="Calibri" w:cs="Arial"/>
                <w:sz w:val="20"/>
                <w:szCs w:val="20"/>
                <w:lang w:val="en-GB"/>
              </w:rPr>
              <w:tab/>
            </w:r>
          </w:p>
        </w:tc>
        <w:tc>
          <w:tcPr>
            <w:tcW w:w="1559" w:type="dxa"/>
            <w:shd w:val="clear" w:color="auto" w:fill="auto"/>
            <w:vAlign w:val="bottom"/>
          </w:tcPr>
          <w:p w:rsidRPr="009C48DA" w:rsidR="00905898" w:rsidP="0036034E" w:rsidRDefault="00905898" w14:paraId="09BF1533" w14:textId="77777777">
            <w:pPr>
              <w:jc w:val="right"/>
              <w:rPr>
                <w:rFonts w:eastAsia="Calibri" w:cs="Arial"/>
                <w:b/>
                <w:sz w:val="20"/>
                <w:szCs w:val="20"/>
                <w:lang w:val="en-GB"/>
              </w:rPr>
            </w:pPr>
            <w:r w:rsidRPr="009C48DA">
              <w:rPr>
                <w:rFonts w:eastAsia="Calibri" w:cs="Arial"/>
                <w:b/>
                <w:sz w:val="20"/>
                <w:szCs w:val="20"/>
                <w:lang w:val="en-GB"/>
              </w:rPr>
              <w:t>12.5</w:t>
            </w:r>
          </w:p>
        </w:tc>
        <w:tc>
          <w:tcPr>
            <w:tcW w:w="1559" w:type="dxa"/>
            <w:shd w:val="clear" w:color="auto" w:fill="auto"/>
            <w:vAlign w:val="bottom"/>
          </w:tcPr>
          <w:p w:rsidRPr="009C48DA" w:rsidR="00905898" w:rsidP="0036034E" w:rsidRDefault="00905898" w14:paraId="029CF99B" w14:textId="77777777">
            <w:pPr>
              <w:jc w:val="right"/>
              <w:rPr>
                <w:rFonts w:eastAsia="Calibri" w:cs="Arial"/>
                <w:b/>
                <w:sz w:val="20"/>
                <w:szCs w:val="20"/>
                <w:lang w:val="en-GB"/>
              </w:rPr>
            </w:pPr>
            <w:r w:rsidRPr="009C48DA">
              <w:rPr>
                <w:rFonts w:eastAsia="Calibri" w:cs="Arial"/>
                <w:b/>
                <w:sz w:val="20"/>
                <w:szCs w:val="20"/>
                <w:lang w:val="en-GB"/>
              </w:rPr>
              <w:t>47.5</w:t>
            </w:r>
          </w:p>
        </w:tc>
      </w:tr>
      <w:tr w:rsidRPr="009C48DA" w:rsidR="00905898" w:rsidTr="0032371F" w14:paraId="10DC4A9E" w14:textId="77777777">
        <w:tc>
          <w:tcPr>
            <w:tcW w:w="5529" w:type="dxa"/>
            <w:shd w:val="clear" w:color="auto" w:fill="auto"/>
            <w:vAlign w:val="bottom"/>
          </w:tcPr>
          <w:p w:rsidRPr="009C48DA" w:rsidR="00905898" w:rsidP="0036034E" w:rsidRDefault="00905898" w14:paraId="05DC1ACA" w14:textId="77777777">
            <w:pPr>
              <w:tabs>
                <w:tab w:val="right" w:leader="dot" w:pos="5518"/>
                <w:tab w:val="left" w:pos="5559"/>
              </w:tabs>
              <w:rPr>
                <w:rFonts w:eastAsia="Calibri" w:cs="Times New Roman"/>
                <w:sz w:val="20"/>
                <w:szCs w:val="20"/>
                <w:lang w:val="en-GB"/>
              </w:rPr>
            </w:pPr>
            <w:r w:rsidRPr="009C48DA">
              <w:rPr>
                <w:rFonts w:eastAsia="Calibri" w:cs="Times New Roman"/>
                <w:sz w:val="20"/>
                <w:szCs w:val="20"/>
                <w:lang w:val="en-GB"/>
              </w:rPr>
              <w:t>Income tax charge</w:t>
            </w:r>
            <w:r w:rsidRPr="009C48DA">
              <w:rPr>
                <w:rFonts w:eastAsia="Calibri" w:cs="Arial"/>
                <w:sz w:val="20"/>
                <w:szCs w:val="20"/>
                <w:lang w:val="en-GB"/>
              </w:rPr>
              <w:tab/>
            </w:r>
          </w:p>
        </w:tc>
        <w:tc>
          <w:tcPr>
            <w:tcW w:w="1559" w:type="dxa"/>
            <w:shd w:val="clear" w:color="auto" w:fill="auto"/>
            <w:vAlign w:val="bottom"/>
          </w:tcPr>
          <w:p w:rsidRPr="009C48DA" w:rsidR="00905898" w:rsidP="0036034E" w:rsidRDefault="00905898" w14:paraId="67FC793E"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(9.5)</w:t>
            </w:r>
          </w:p>
        </w:tc>
        <w:tc>
          <w:tcPr>
            <w:tcW w:w="1559" w:type="dxa"/>
            <w:shd w:val="clear" w:color="auto" w:fill="auto"/>
            <w:vAlign w:val="bottom"/>
          </w:tcPr>
          <w:p w:rsidRPr="009C48DA" w:rsidR="00905898" w:rsidP="0036034E" w:rsidRDefault="00905898" w14:paraId="5BC432C3"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(5.5)</w:t>
            </w:r>
          </w:p>
        </w:tc>
      </w:tr>
      <w:tr w:rsidRPr="009C48DA" w:rsidR="00905898" w:rsidTr="0032371F" w14:paraId="0E2B3556" w14:textId="77777777">
        <w:tc>
          <w:tcPr>
            <w:tcW w:w="5529" w:type="dxa"/>
            <w:shd w:val="clear" w:color="auto" w:fill="auto"/>
            <w:vAlign w:val="bottom"/>
          </w:tcPr>
          <w:p w:rsidRPr="009C48DA" w:rsidR="00905898" w:rsidP="0036034E" w:rsidRDefault="00905898" w14:paraId="6E2758D3" w14:textId="77777777">
            <w:pPr>
              <w:tabs>
                <w:tab w:val="right" w:leader="dot" w:pos="5518"/>
                <w:tab w:val="left" w:pos="5559"/>
              </w:tabs>
              <w:rPr>
                <w:rFonts w:eastAsia="Calibri" w:cs="Times New Roman"/>
                <w:b/>
                <w:sz w:val="20"/>
                <w:szCs w:val="20"/>
                <w:lang w:val="en-GB"/>
              </w:rPr>
            </w:pPr>
            <w:r w:rsidRPr="009C48DA">
              <w:rPr>
                <w:rFonts w:eastAsia="Calibri" w:cs="Times New Roman"/>
                <w:b/>
                <w:sz w:val="20"/>
                <w:szCs w:val="20"/>
                <w:lang w:val="en-GB"/>
              </w:rPr>
              <w:t>Profit after income tax</w:t>
            </w:r>
            <w:r w:rsidRPr="009C48DA">
              <w:rPr>
                <w:rFonts w:eastAsia="Calibri" w:cs="Times New Roman"/>
                <w:i/>
                <w:sz w:val="20"/>
                <w:szCs w:val="20"/>
                <w:lang w:val="en-GB"/>
              </w:rPr>
              <w:tab/>
            </w:r>
          </w:p>
        </w:tc>
        <w:tc>
          <w:tcPr>
            <w:tcW w:w="1559" w:type="dxa"/>
            <w:shd w:val="clear" w:color="auto" w:fill="auto"/>
            <w:vAlign w:val="bottom"/>
          </w:tcPr>
          <w:p w:rsidRPr="009C48DA" w:rsidR="00905898" w:rsidP="0036034E" w:rsidRDefault="00905898" w14:paraId="76879727" w14:textId="77777777">
            <w:pPr>
              <w:pBdr>
                <w:bottom w:val="double" w:color="auto" w:sz="4" w:space="1"/>
              </w:pBdr>
              <w:jc w:val="right"/>
              <w:rPr>
                <w:rFonts w:eastAsia="Calibri" w:cs="Arial"/>
                <w:b/>
                <w:sz w:val="20"/>
                <w:szCs w:val="20"/>
                <w:lang w:val="en-GB"/>
              </w:rPr>
            </w:pPr>
            <w:r w:rsidRPr="009C48DA">
              <w:rPr>
                <w:rFonts w:eastAsia="Calibri" w:cs="Arial"/>
                <w:b/>
                <w:sz w:val="20"/>
                <w:szCs w:val="20"/>
                <w:lang w:val="en-GB"/>
              </w:rPr>
              <w:t>3.1</w:t>
            </w:r>
          </w:p>
        </w:tc>
        <w:tc>
          <w:tcPr>
            <w:tcW w:w="1559" w:type="dxa"/>
            <w:shd w:val="clear" w:color="auto" w:fill="auto"/>
            <w:vAlign w:val="bottom"/>
          </w:tcPr>
          <w:p w:rsidRPr="009C48DA" w:rsidR="00905898" w:rsidP="0036034E" w:rsidRDefault="00905898" w14:paraId="4ABEA0CA" w14:textId="77777777">
            <w:pPr>
              <w:pBdr>
                <w:bottom w:val="double" w:color="auto" w:sz="4" w:space="1"/>
              </w:pBdr>
              <w:jc w:val="right"/>
              <w:rPr>
                <w:rFonts w:eastAsia="Calibri" w:cs="Arial"/>
                <w:b/>
                <w:sz w:val="20"/>
                <w:szCs w:val="20"/>
                <w:lang w:val="en-GB"/>
              </w:rPr>
            </w:pPr>
            <w:r w:rsidRPr="009C48DA">
              <w:rPr>
                <w:rFonts w:eastAsia="Calibri" w:cs="Arial"/>
                <w:b/>
                <w:sz w:val="20"/>
                <w:szCs w:val="20"/>
                <w:lang w:val="en-GB"/>
              </w:rPr>
              <w:t>41.9</w:t>
            </w:r>
          </w:p>
        </w:tc>
      </w:tr>
    </w:tbl>
    <w:p w:rsidRPr="009C48DA" w:rsidR="00B51E80" w:rsidP="00B51E80" w:rsidRDefault="00B51E80" w14:paraId="100C5A44" w14:textId="77777777">
      <w:pPr>
        <w:pStyle w:val="TitleBI"/>
        <w:rPr>
          <w:lang w:val="en-GB"/>
        </w:rPr>
      </w:pPr>
      <w:r w:rsidRPr="009C48DA">
        <w:rPr>
          <w:lang w:val="en-GB"/>
        </w:rPr>
        <w:lastRenderedPageBreak/>
        <w:t>Total operating income</w:t>
      </w:r>
    </w:p>
    <w:p w:rsidRPr="009C48DA" w:rsidR="00905898" w:rsidP="00905898" w:rsidRDefault="00905898" w14:paraId="2F85B990" w14:textId="32FC8D58">
      <w:pPr>
        <w:pStyle w:val="BodyText2SglJ"/>
        <w:rPr>
          <w:rFonts w:eastAsia="Calibri" w:cs="Arial"/>
          <w:lang w:val="en-GB"/>
        </w:rPr>
      </w:pPr>
      <w:r w:rsidRPr="009C48DA">
        <w:rPr>
          <w:rFonts w:eastAsia="Calibri" w:cs="Arial"/>
          <w:lang w:val="en-GB"/>
        </w:rPr>
        <w:t>Total operating income increased by £</w:t>
      </w:r>
      <w:r w:rsidRPr="009C48DA" w:rsidR="007C62A8">
        <w:rPr>
          <w:rFonts w:eastAsia="Calibri" w:cs="Arial"/>
          <w:lang w:val="en-GB"/>
        </w:rPr>
        <w:t>25.0</w:t>
      </w:r>
      <w:r w:rsidRPr="009C48DA">
        <w:rPr>
          <w:rFonts w:eastAsia="Calibri" w:cs="Arial"/>
          <w:lang w:val="en-GB"/>
        </w:rPr>
        <w:t xml:space="preserve"> million, or 17.3 per cent, from £144.8 million for the year</w:t>
      </w:r>
      <w:r w:rsidRPr="009C48DA" w:rsidR="007C62A8">
        <w:rPr>
          <w:rFonts w:eastAsia="Calibri" w:cs="Arial"/>
          <w:lang w:val="en-GB"/>
        </w:rPr>
        <w:t xml:space="preserve"> ended 31 December 2018 to £169.8</w:t>
      </w:r>
      <w:r w:rsidRPr="009C48DA">
        <w:rPr>
          <w:rFonts w:eastAsia="Calibri" w:cs="Arial"/>
          <w:lang w:val="en-GB"/>
        </w:rPr>
        <w:t xml:space="preserve"> million for the year ended 31 December 2019, primarily reflecting increases in management fees and carried interest, offset by the fair value remeasurement of investments.</w:t>
      </w:r>
    </w:p>
    <w:p w:rsidRPr="009C48DA" w:rsidR="00B51E80" w:rsidP="00905898" w:rsidRDefault="00905898" w14:paraId="3724AB97" w14:textId="7DCACDC0">
      <w:pPr>
        <w:pStyle w:val="BodyText2SglJ"/>
        <w:rPr>
          <w:rFonts w:eastAsia="Calibri" w:cs="Arial"/>
          <w:szCs w:val="20"/>
          <w:lang w:val="en-GB"/>
        </w:rPr>
      </w:pPr>
      <w:r w:rsidRPr="009C48DA">
        <w:rPr>
          <w:rFonts w:eastAsia="Calibri" w:cs="Arial"/>
          <w:lang w:val="en-GB"/>
        </w:rPr>
        <w:t xml:space="preserve">Management fees increased by £26.5 million, or 22.6 per cent, from £117.4 million for the year ended 31 December 2018 to £143.9 million for the year ended 31 December 2019. This increase was primarily due to inclusion of a full year of </w:t>
      </w:r>
      <w:r w:rsidRPr="009C48DA" w:rsidR="007F7AA9">
        <w:rPr>
          <w:rFonts w:eastAsia="Calibri" w:cs="Arial"/>
          <w:szCs w:val="20"/>
          <w:lang w:val="en-GB"/>
        </w:rPr>
        <w:t xml:space="preserve">Bridgepoint </w:t>
      </w:r>
      <w:r w:rsidRPr="009C48DA">
        <w:rPr>
          <w:rFonts w:eastAsia="Calibri" w:cs="Arial"/>
          <w:lang w:val="en-GB"/>
        </w:rPr>
        <w:t xml:space="preserve">Europe VI management fees (impact of £38.8 million), offset in part by a reduction in fee income from older funds as they naturally reduced over time with the </w:t>
      </w:r>
      <w:r w:rsidRPr="009C48DA">
        <w:rPr>
          <w:rFonts w:eastAsia="Calibri" w:cs="Arial"/>
          <w:szCs w:val="20"/>
          <w:lang w:val="en-GB"/>
        </w:rPr>
        <w:t>sale of portfolio assets</w:t>
      </w:r>
      <w:r w:rsidRPr="009C48DA" w:rsidDel="00073CE3">
        <w:rPr>
          <w:rFonts w:eastAsia="Calibri" w:cs="Arial"/>
          <w:szCs w:val="20"/>
          <w:lang w:val="en-GB"/>
        </w:rPr>
        <w:t xml:space="preserve"> </w:t>
      </w:r>
      <w:r w:rsidRPr="009C48DA">
        <w:rPr>
          <w:rFonts w:eastAsia="Calibri" w:cs="Arial"/>
          <w:szCs w:val="20"/>
          <w:lang w:val="en-GB"/>
        </w:rPr>
        <w:t>during the year ended 31 December 2019.</w:t>
      </w:r>
    </w:p>
    <w:p w:rsidRPr="009C48DA" w:rsidR="0001616A" w:rsidP="0001616A" w:rsidRDefault="0001616A" w14:paraId="36A0264A" w14:textId="17F8A017">
      <w:pPr>
        <w:pStyle w:val="BodyText2SglJ"/>
        <w:rPr>
          <w:szCs w:val="20"/>
          <w:lang w:val="en-GB"/>
        </w:rPr>
      </w:pPr>
      <w:r w:rsidRPr="009C48DA">
        <w:rPr>
          <w:szCs w:val="20"/>
          <w:lang w:val="en-GB"/>
        </w:rPr>
        <w:t xml:space="preserve">Carried interest increased by £4.8 million, or 100.0 per cent, from £4.8 million for the year ended 31 December 2018 to £9.6 million for the year ended 31 December 2019. This increase was primarily due to </w:t>
      </w:r>
      <w:r w:rsidRPr="009C48DA" w:rsidR="009C6DF1">
        <w:rPr>
          <w:szCs w:val="20"/>
          <w:lang w:val="en-GB"/>
        </w:rPr>
        <w:t xml:space="preserve">increased income from carried interest recognised in relation to </w:t>
      </w:r>
      <w:r w:rsidRPr="009C48DA" w:rsidR="007F7AA9">
        <w:rPr>
          <w:rFonts w:eastAsia="Calibri" w:cs="Arial"/>
          <w:szCs w:val="20"/>
          <w:lang w:val="en-GB"/>
        </w:rPr>
        <w:t xml:space="preserve">Bridgepoint </w:t>
      </w:r>
      <w:r w:rsidRPr="009C48DA" w:rsidR="009C6DF1">
        <w:rPr>
          <w:szCs w:val="20"/>
          <w:lang w:val="en-GB"/>
        </w:rPr>
        <w:t>Europe IV, following realisations and value uplifts in the fund.</w:t>
      </w:r>
    </w:p>
    <w:p w:rsidRPr="009C48DA" w:rsidR="00B51E80" w:rsidP="00B51E80" w:rsidRDefault="0001616A" w14:paraId="14D78D8F" w14:textId="1CE20218">
      <w:pPr>
        <w:pStyle w:val="BodyText2SglJ"/>
        <w:rPr>
          <w:rFonts w:eastAsia="Calibri" w:cs="Arial"/>
          <w:szCs w:val="20"/>
          <w:lang w:val="en-GB"/>
        </w:rPr>
      </w:pPr>
      <w:r w:rsidRPr="009C48DA">
        <w:rPr>
          <w:rFonts w:eastAsia="Calibri" w:cs="Arial"/>
          <w:lang w:val="en-GB"/>
        </w:rPr>
        <w:t xml:space="preserve">Fair value remeasurement of </w:t>
      </w:r>
      <w:r w:rsidRPr="009C48DA" w:rsidR="00B51E80">
        <w:rPr>
          <w:rFonts w:eastAsia="Calibri" w:cs="Arial"/>
          <w:lang w:val="en-GB"/>
        </w:rPr>
        <w:t>investment</w:t>
      </w:r>
      <w:r w:rsidRPr="009C48DA">
        <w:rPr>
          <w:rFonts w:eastAsia="Calibri" w:cs="Arial"/>
          <w:lang w:val="en-GB"/>
        </w:rPr>
        <w:t>s</w:t>
      </w:r>
      <w:r w:rsidRPr="009C48DA" w:rsidR="00B51E80">
        <w:rPr>
          <w:rFonts w:eastAsia="Calibri" w:cs="Arial"/>
          <w:lang w:val="en-GB"/>
        </w:rPr>
        <w:t xml:space="preserve"> decreased by £</w:t>
      </w:r>
      <w:r w:rsidRPr="009C48DA">
        <w:rPr>
          <w:rFonts w:eastAsia="Calibri" w:cs="Arial"/>
          <w:lang w:val="en-GB"/>
        </w:rPr>
        <w:t>6</w:t>
      </w:r>
      <w:r w:rsidRPr="009C48DA" w:rsidR="00B51E80">
        <w:rPr>
          <w:rFonts w:eastAsia="Calibri" w:cs="Arial"/>
          <w:lang w:val="en-GB"/>
        </w:rPr>
        <w:t>.</w:t>
      </w:r>
      <w:r w:rsidRPr="009C48DA">
        <w:rPr>
          <w:rFonts w:eastAsia="Calibri" w:cs="Arial"/>
          <w:lang w:val="en-GB"/>
        </w:rPr>
        <w:t>3</w:t>
      </w:r>
      <w:r w:rsidRPr="009C48DA" w:rsidR="00B51E80">
        <w:rPr>
          <w:rFonts w:eastAsia="Calibri" w:cs="Arial"/>
          <w:lang w:val="en-GB"/>
        </w:rPr>
        <w:t xml:space="preserve"> million, or </w:t>
      </w:r>
      <w:r w:rsidRPr="009C48DA">
        <w:rPr>
          <w:rFonts w:eastAsia="Calibri" w:cs="Arial"/>
          <w:lang w:val="en-GB"/>
        </w:rPr>
        <w:t>30</w:t>
      </w:r>
      <w:r w:rsidRPr="009C48DA" w:rsidR="00B51E80">
        <w:rPr>
          <w:rFonts w:eastAsia="Calibri" w:cs="Arial"/>
          <w:lang w:val="en-GB"/>
        </w:rPr>
        <w:t>.</w:t>
      </w:r>
      <w:r w:rsidRPr="009C48DA">
        <w:rPr>
          <w:rFonts w:eastAsia="Calibri" w:cs="Arial"/>
          <w:lang w:val="en-GB"/>
        </w:rPr>
        <w:t>3</w:t>
      </w:r>
      <w:r w:rsidRPr="009C48DA" w:rsidR="00B51E80">
        <w:rPr>
          <w:rFonts w:eastAsia="Calibri" w:cs="Arial"/>
          <w:lang w:val="en-GB"/>
        </w:rPr>
        <w:t xml:space="preserve"> per cent, from £2</w:t>
      </w:r>
      <w:r w:rsidRPr="009C48DA">
        <w:rPr>
          <w:rFonts w:eastAsia="Calibri" w:cs="Arial"/>
          <w:lang w:val="en-GB"/>
        </w:rPr>
        <w:t>0</w:t>
      </w:r>
      <w:r w:rsidRPr="009C48DA" w:rsidR="00B51E80">
        <w:rPr>
          <w:rFonts w:eastAsia="Calibri" w:cs="Arial"/>
          <w:lang w:val="en-GB"/>
        </w:rPr>
        <w:t>.</w:t>
      </w:r>
      <w:r w:rsidRPr="009C48DA">
        <w:rPr>
          <w:rFonts w:eastAsia="Calibri" w:cs="Arial"/>
          <w:lang w:val="en-GB"/>
        </w:rPr>
        <w:t>8</w:t>
      </w:r>
      <w:r w:rsidRPr="009C48DA" w:rsidR="00B51E80">
        <w:rPr>
          <w:rFonts w:eastAsia="Calibri" w:cs="Arial"/>
          <w:lang w:val="en-GB"/>
        </w:rPr>
        <w:t xml:space="preserve"> million for the year ended 31 December 2018 to £</w:t>
      </w:r>
      <w:r w:rsidRPr="009C48DA">
        <w:rPr>
          <w:rFonts w:eastAsia="Calibri" w:cs="Arial"/>
          <w:lang w:val="en-GB"/>
        </w:rPr>
        <w:t>14</w:t>
      </w:r>
      <w:r w:rsidRPr="009C48DA" w:rsidR="00B51E80">
        <w:rPr>
          <w:rFonts w:eastAsia="Calibri" w:cs="Arial"/>
          <w:lang w:val="en-GB"/>
        </w:rPr>
        <w:t>.</w:t>
      </w:r>
      <w:r w:rsidRPr="009C48DA">
        <w:rPr>
          <w:rFonts w:eastAsia="Calibri" w:cs="Arial"/>
          <w:lang w:val="en-GB"/>
        </w:rPr>
        <w:t>5</w:t>
      </w:r>
      <w:r w:rsidRPr="009C48DA" w:rsidR="00B51E80">
        <w:rPr>
          <w:rFonts w:eastAsia="Calibri" w:cs="Arial"/>
          <w:lang w:val="en-GB"/>
        </w:rPr>
        <w:t xml:space="preserve"> million for the year ended 31 December 2019. This decrease was primarily due to higher gains from the valuation of </w:t>
      </w:r>
      <w:r w:rsidRPr="009C48DA">
        <w:rPr>
          <w:rFonts w:eastAsia="Calibri" w:cs="Arial"/>
          <w:lang w:val="en-GB"/>
        </w:rPr>
        <w:t xml:space="preserve">the Group’s </w:t>
      </w:r>
      <w:r w:rsidRPr="009C48DA" w:rsidR="00B51E80">
        <w:rPr>
          <w:rFonts w:eastAsia="Calibri" w:cs="Arial"/>
          <w:lang w:val="en-GB"/>
        </w:rPr>
        <w:t xml:space="preserve">investments </w:t>
      </w:r>
      <w:r w:rsidRPr="009C48DA">
        <w:rPr>
          <w:rFonts w:eastAsia="Calibri" w:cs="Arial"/>
          <w:lang w:val="en-GB"/>
        </w:rPr>
        <w:t xml:space="preserve">in the </w:t>
      </w:r>
      <w:r w:rsidRPr="009C48DA" w:rsidR="007F7AA9">
        <w:rPr>
          <w:rFonts w:eastAsia="Calibri" w:cs="Arial"/>
          <w:szCs w:val="20"/>
          <w:lang w:val="en-GB"/>
        </w:rPr>
        <w:t xml:space="preserve">Bridgepoint </w:t>
      </w:r>
      <w:r w:rsidRPr="009C48DA">
        <w:rPr>
          <w:rFonts w:eastAsia="Calibri" w:cs="Arial"/>
          <w:lang w:val="en-GB"/>
        </w:rPr>
        <w:t xml:space="preserve">Funds </w:t>
      </w:r>
      <w:r w:rsidRPr="009C48DA" w:rsidR="00B51E80">
        <w:rPr>
          <w:rFonts w:eastAsia="Calibri" w:cs="Arial"/>
          <w:lang w:val="en-GB"/>
        </w:rPr>
        <w:t>in 2018.</w:t>
      </w:r>
    </w:p>
    <w:p w:rsidRPr="009C48DA" w:rsidR="0001616A" w:rsidP="0001616A" w:rsidRDefault="0001616A" w14:paraId="2324AA04" w14:textId="285E79DF">
      <w:pPr>
        <w:pStyle w:val="BodyText2SglJ"/>
        <w:rPr>
          <w:szCs w:val="20"/>
          <w:lang w:val="en-GB"/>
        </w:rPr>
      </w:pPr>
      <w:r w:rsidRPr="009C48DA">
        <w:rPr>
          <w:szCs w:val="20"/>
          <w:lang w:val="en-GB"/>
        </w:rPr>
        <w:t xml:space="preserve">Other operating income </w:t>
      </w:r>
      <w:r w:rsidRPr="009C48DA" w:rsidR="00616F99">
        <w:rPr>
          <w:szCs w:val="20"/>
          <w:lang w:val="en-GB"/>
        </w:rPr>
        <w:t>remained stable at £1.9</w:t>
      </w:r>
      <w:r w:rsidRPr="009C48DA">
        <w:rPr>
          <w:szCs w:val="20"/>
          <w:lang w:val="en-GB"/>
        </w:rPr>
        <w:t xml:space="preserve"> million for the year</w:t>
      </w:r>
      <w:r w:rsidRPr="009C48DA" w:rsidR="00616F99">
        <w:rPr>
          <w:szCs w:val="20"/>
          <w:lang w:val="en-GB"/>
        </w:rPr>
        <w:t>s</w:t>
      </w:r>
      <w:r w:rsidRPr="009C48DA">
        <w:rPr>
          <w:szCs w:val="20"/>
          <w:lang w:val="en-GB"/>
        </w:rPr>
        <w:t xml:space="preserve"> ended 31 December 2018 </w:t>
      </w:r>
      <w:r w:rsidRPr="009C48DA" w:rsidR="00616F99">
        <w:rPr>
          <w:szCs w:val="20"/>
          <w:lang w:val="en-GB"/>
        </w:rPr>
        <w:t xml:space="preserve">and 31 December </w:t>
      </w:r>
      <w:r w:rsidRPr="009C48DA" w:rsidR="00A95DF5">
        <w:rPr>
          <w:szCs w:val="20"/>
          <w:lang w:val="en-GB"/>
        </w:rPr>
        <w:t>2019</w:t>
      </w:r>
      <w:r w:rsidRPr="009C48DA">
        <w:rPr>
          <w:szCs w:val="20"/>
          <w:lang w:val="en-GB"/>
        </w:rPr>
        <w:t>.</w:t>
      </w:r>
    </w:p>
    <w:p w:rsidRPr="009C48DA" w:rsidR="00B51E80" w:rsidP="00B51E80" w:rsidRDefault="00B51E80" w14:paraId="2C5E684A" w14:textId="77777777">
      <w:pPr>
        <w:pStyle w:val="TitleBI"/>
        <w:rPr>
          <w:lang w:val="en-GB"/>
        </w:rPr>
      </w:pPr>
      <w:r w:rsidRPr="009C48DA">
        <w:rPr>
          <w:lang w:val="en-GB"/>
        </w:rPr>
        <w:t>Personnel expenses</w:t>
      </w:r>
    </w:p>
    <w:p w:rsidRPr="009C48DA" w:rsidR="00E14DF1" w:rsidP="007F7AA9" w:rsidRDefault="00E14DF1" w14:paraId="17EBE979" w14:textId="11055B92">
      <w:pPr>
        <w:pStyle w:val="BodyText2SglJ"/>
        <w:rPr>
          <w:rFonts w:eastAsia="Calibri" w:cs="Arial"/>
          <w:szCs w:val="22"/>
          <w:lang w:val="en-GB"/>
        </w:rPr>
      </w:pPr>
      <w:r w:rsidRPr="009C48DA">
        <w:rPr>
          <w:rFonts w:eastAsia="Calibri" w:cs="Arial"/>
          <w:szCs w:val="22"/>
          <w:lang w:val="en-GB"/>
        </w:rPr>
        <w:t xml:space="preserve">Personnel expenses decreased by £2.5 million, or 2.7 per cent, from £91.4 million for the year ended 31 December 2018 to £88.9 million for the year ended 31 December 2019. This was primarily due to exceptional personnel expenses in the year ended 31 December 2018 of £11.8 million relating to the Dyal Investment, which offset the increase of personnel expenses, excluding exceptional personnel expenses, by £9.2 million, or 11.5 per cent, from £79.7 million for the year ended 31 December 2018 to £88.9 million for the year ended 31 December 2019, which was primarily due to the raise of the </w:t>
      </w:r>
      <w:r w:rsidRPr="009C48DA" w:rsidR="007F7AA9">
        <w:rPr>
          <w:rFonts w:eastAsia="Calibri" w:cs="Arial"/>
          <w:szCs w:val="22"/>
          <w:lang w:val="en-GB"/>
        </w:rPr>
        <w:t xml:space="preserve">Bridgepoint </w:t>
      </w:r>
      <w:r w:rsidRPr="009C48DA">
        <w:rPr>
          <w:rFonts w:eastAsia="Calibri" w:cs="Arial"/>
          <w:szCs w:val="22"/>
          <w:lang w:val="en-GB"/>
        </w:rPr>
        <w:t>Europe VI and investment into the professional support teams.</w:t>
      </w:r>
    </w:p>
    <w:p w:rsidRPr="009C48DA" w:rsidR="00E14DF1" w:rsidP="00E14DF1" w:rsidRDefault="00E14DF1" w14:paraId="50688BF7" w14:textId="77777777">
      <w:pPr>
        <w:spacing w:after="240"/>
        <w:ind w:firstLine="720"/>
        <w:jc w:val="both"/>
        <w:rPr>
          <w:rFonts w:eastAsia="Calibri" w:cs="Arial"/>
          <w:sz w:val="20"/>
          <w:szCs w:val="22"/>
          <w:lang w:val="en-GB"/>
        </w:rPr>
      </w:pPr>
      <w:r w:rsidRPr="009C48DA">
        <w:rPr>
          <w:rFonts w:eastAsia="Calibri" w:cs="Arial"/>
          <w:sz w:val="20"/>
          <w:szCs w:val="22"/>
          <w:lang w:val="en-GB"/>
        </w:rPr>
        <w:t>The table below shows the exceptional personnel expenses and other personnel expenses, excluding exceptional personnel expenses, in both periods.</w:t>
      </w:r>
    </w:p>
    <w:tbl>
      <w:tblPr>
        <w:tblW w:w="8505" w:type="dxa"/>
        <w:tblLayout w:type="fixed"/>
        <w:tblLook w:val="04A0" w:firstRow="1" w:lastRow="0" w:firstColumn="1" w:lastColumn="0" w:noHBand="0" w:noVBand="1"/>
      </w:tblPr>
      <w:tblGrid>
        <w:gridCol w:w="5807"/>
        <w:gridCol w:w="1423"/>
        <w:gridCol w:w="1275"/>
      </w:tblGrid>
      <w:tr w:rsidRPr="009C48DA" w:rsidR="00E14DF1" w:rsidTr="00945C37" w14:paraId="291CA738" w14:textId="77777777">
        <w:trPr>
          <w:trHeight w:val="74"/>
        </w:trPr>
        <w:tc>
          <w:tcPr>
            <w:tcW w:w="5807" w:type="dxa"/>
            <w:shd w:val="clear" w:color="auto" w:fill="auto"/>
            <w:vAlign w:val="bottom"/>
          </w:tcPr>
          <w:p w:rsidRPr="009C48DA" w:rsidR="00E14DF1" w:rsidP="00E14DF1" w:rsidRDefault="00E14DF1" w14:paraId="55CE67BC" w14:textId="77777777">
            <w:pPr>
              <w:keepNext/>
              <w:rPr>
                <w:rFonts w:eastAsia="Calibri" w:cs="Times New Roman"/>
                <w:b/>
                <w:sz w:val="20"/>
                <w:szCs w:val="20"/>
                <w:lang w:val="en-GB"/>
              </w:rPr>
            </w:pPr>
            <w:bookmarkStart w:name="_Hlk74484708" w:id="655"/>
          </w:p>
        </w:tc>
        <w:tc>
          <w:tcPr>
            <w:tcW w:w="2698" w:type="dxa"/>
            <w:gridSpan w:val="2"/>
            <w:shd w:val="clear" w:color="auto" w:fill="auto"/>
          </w:tcPr>
          <w:p w:rsidRPr="009C48DA" w:rsidR="00E14DF1" w:rsidP="00E14DF1" w:rsidRDefault="00E14DF1" w14:paraId="6A6E6B70" w14:textId="77777777">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For the year ended 31 December</w:t>
            </w:r>
          </w:p>
        </w:tc>
      </w:tr>
      <w:tr w:rsidRPr="009C48DA" w:rsidR="00E14DF1" w:rsidTr="00945C37" w14:paraId="4B1E8984" w14:textId="77777777">
        <w:trPr>
          <w:trHeight w:val="74"/>
        </w:trPr>
        <w:tc>
          <w:tcPr>
            <w:tcW w:w="5807" w:type="dxa"/>
            <w:shd w:val="clear" w:color="auto" w:fill="auto"/>
            <w:vAlign w:val="bottom"/>
          </w:tcPr>
          <w:p w:rsidRPr="009C48DA" w:rsidR="00E14DF1" w:rsidP="00E14DF1" w:rsidRDefault="00E14DF1" w14:paraId="4B47C8AA" w14:textId="77777777">
            <w:pPr>
              <w:keepNext/>
              <w:rPr>
                <w:rFonts w:eastAsia="Calibri" w:cs="Times New Roman"/>
                <w:b/>
                <w:sz w:val="20"/>
                <w:szCs w:val="20"/>
                <w:lang w:val="en-GB"/>
              </w:rPr>
            </w:pPr>
          </w:p>
        </w:tc>
        <w:tc>
          <w:tcPr>
            <w:tcW w:w="1423" w:type="dxa"/>
            <w:shd w:val="clear" w:color="auto" w:fill="auto"/>
          </w:tcPr>
          <w:p w:rsidRPr="009C48DA" w:rsidR="00E14DF1" w:rsidP="00E14DF1" w:rsidRDefault="00E14DF1" w14:paraId="1BE9F9E0" w14:textId="77777777">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2018</w:t>
            </w:r>
          </w:p>
        </w:tc>
        <w:tc>
          <w:tcPr>
            <w:tcW w:w="1275" w:type="dxa"/>
            <w:shd w:val="clear" w:color="auto" w:fill="auto"/>
            <w:vAlign w:val="bottom"/>
          </w:tcPr>
          <w:p w:rsidRPr="009C48DA" w:rsidR="00E14DF1" w:rsidP="00E14DF1" w:rsidRDefault="00E14DF1" w14:paraId="7A23D13A" w14:textId="77777777">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2019</w:t>
            </w:r>
          </w:p>
        </w:tc>
      </w:tr>
      <w:tr w:rsidRPr="009C48DA" w:rsidR="00E14DF1" w:rsidTr="00945C37" w14:paraId="40190EBC" w14:textId="77777777">
        <w:trPr>
          <w:trHeight w:val="74"/>
        </w:trPr>
        <w:tc>
          <w:tcPr>
            <w:tcW w:w="5807" w:type="dxa"/>
            <w:shd w:val="clear" w:color="auto" w:fill="auto"/>
            <w:vAlign w:val="bottom"/>
          </w:tcPr>
          <w:p w:rsidRPr="009C48DA" w:rsidR="00E14DF1" w:rsidP="00E14DF1" w:rsidRDefault="00E14DF1" w14:paraId="6D8E7912" w14:textId="77777777">
            <w:pPr>
              <w:keepNext/>
              <w:tabs>
                <w:tab w:val="right" w:leader="dot" w:pos="4628"/>
              </w:tabs>
              <w:rPr>
                <w:rFonts w:eastAsia="Calibri" w:cs="Times New Roman"/>
                <w:sz w:val="20"/>
                <w:szCs w:val="20"/>
                <w:lang w:val="en-GB"/>
              </w:rPr>
            </w:pPr>
          </w:p>
        </w:tc>
        <w:tc>
          <w:tcPr>
            <w:tcW w:w="2698" w:type="dxa"/>
            <w:gridSpan w:val="2"/>
            <w:shd w:val="clear" w:color="auto" w:fill="auto"/>
            <w:vAlign w:val="bottom"/>
          </w:tcPr>
          <w:p w:rsidRPr="009C48DA" w:rsidR="00E14DF1" w:rsidP="00E14DF1" w:rsidRDefault="00E14DF1" w14:paraId="0DC7ABDE" w14:textId="77777777">
            <w:pPr>
              <w:keepNext/>
              <w:jc w:val="center"/>
              <w:rPr>
                <w:rFonts w:eastAsia="Calibri" w:cs="Times New Roman"/>
                <w:sz w:val="20"/>
                <w:szCs w:val="20"/>
                <w:lang w:val="en-GB"/>
              </w:rPr>
            </w:pPr>
            <w:r w:rsidRPr="009C48DA">
              <w:rPr>
                <w:rFonts w:eastAsia="Calibri" w:cs="Times New Roman"/>
                <w:sz w:val="20"/>
                <w:szCs w:val="20"/>
                <w:lang w:val="en-GB"/>
              </w:rPr>
              <w:t>(£ in millions)</w:t>
            </w:r>
          </w:p>
        </w:tc>
      </w:tr>
      <w:tr w:rsidRPr="009C48DA" w:rsidR="00E14DF1" w:rsidTr="00945C37" w14:paraId="1ABFD67F" w14:textId="77777777">
        <w:tc>
          <w:tcPr>
            <w:tcW w:w="5807" w:type="dxa"/>
            <w:shd w:val="clear" w:color="auto" w:fill="auto"/>
            <w:vAlign w:val="bottom"/>
          </w:tcPr>
          <w:p w:rsidRPr="009C48DA" w:rsidR="00E14DF1" w:rsidP="00E14DF1" w:rsidRDefault="00E14DF1" w14:paraId="1C5706C9" w14:textId="77777777">
            <w:pPr>
              <w:tabs>
                <w:tab w:val="left" w:leader="dot" w:pos="5305"/>
              </w:tabs>
              <w:rPr>
                <w:rFonts w:eastAsia="Calibri" w:cs="Times New Roman"/>
                <w:sz w:val="20"/>
                <w:szCs w:val="20"/>
                <w:lang w:val="en-GB"/>
              </w:rPr>
            </w:pPr>
            <w:r w:rsidRPr="009C48DA">
              <w:rPr>
                <w:rFonts w:eastAsia="Calibri" w:cs="Times New Roman"/>
                <w:sz w:val="20"/>
                <w:szCs w:val="20"/>
                <w:lang w:val="en-GB"/>
              </w:rPr>
              <w:t>Personnel expenses, excluding exceptional personnel expenses</w:t>
            </w:r>
            <w:r w:rsidRPr="009C48DA">
              <w:rPr>
                <w:rFonts w:eastAsia="Calibri" w:cs="Times New Roman"/>
                <w:sz w:val="20"/>
                <w:szCs w:val="20"/>
                <w:lang w:val="en-GB"/>
              </w:rPr>
              <w:tab/>
            </w:r>
          </w:p>
        </w:tc>
        <w:tc>
          <w:tcPr>
            <w:tcW w:w="1423" w:type="dxa"/>
            <w:shd w:val="clear" w:color="auto" w:fill="auto"/>
            <w:vAlign w:val="bottom"/>
          </w:tcPr>
          <w:p w:rsidRPr="009C48DA" w:rsidR="00E14DF1" w:rsidP="00E14DF1" w:rsidRDefault="00E14DF1" w14:paraId="51AC013E" w14:textId="77777777">
            <w:pPr>
              <w:jc w:val="right"/>
              <w:rPr>
                <w:rFonts w:eastAsia="Calibri" w:cs="Arial"/>
                <w:sz w:val="20"/>
                <w:szCs w:val="20"/>
                <w:lang w:val="en-GB"/>
              </w:rPr>
            </w:pPr>
            <w:r w:rsidRPr="009C48DA">
              <w:rPr>
                <w:rFonts w:eastAsia="Calibri" w:cs="Arial"/>
                <w:sz w:val="20"/>
                <w:szCs w:val="20"/>
                <w:lang w:val="en-GB"/>
              </w:rPr>
              <w:t>(79.7)</w:t>
            </w:r>
          </w:p>
        </w:tc>
        <w:tc>
          <w:tcPr>
            <w:tcW w:w="1275" w:type="dxa"/>
            <w:shd w:val="clear" w:color="auto" w:fill="auto"/>
            <w:vAlign w:val="bottom"/>
          </w:tcPr>
          <w:p w:rsidRPr="009C48DA" w:rsidR="00E14DF1" w:rsidP="00E14DF1" w:rsidRDefault="00E14DF1" w14:paraId="4EB89884" w14:textId="77777777">
            <w:pPr>
              <w:jc w:val="right"/>
              <w:rPr>
                <w:rFonts w:eastAsia="Calibri" w:cs="Arial"/>
                <w:sz w:val="20"/>
                <w:szCs w:val="20"/>
                <w:lang w:val="en-GB"/>
              </w:rPr>
            </w:pPr>
            <w:r w:rsidRPr="009C48DA">
              <w:rPr>
                <w:rFonts w:eastAsia="Calibri" w:cs="Arial"/>
                <w:sz w:val="20"/>
                <w:szCs w:val="20"/>
                <w:lang w:val="en-GB"/>
              </w:rPr>
              <w:t>(88.9)</w:t>
            </w:r>
          </w:p>
        </w:tc>
      </w:tr>
      <w:tr w:rsidRPr="009C48DA" w:rsidR="00E14DF1" w:rsidTr="00945C37" w14:paraId="2AD0C632" w14:textId="77777777">
        <w:tc>
          <w:tcPr>
            <w:tcW w:w="5807" w:type="dxa"/>
            <w:shd w:val="clear" w:color="auto" w:fill="auto"/>
            <w:vAlign w:val="bottom"/>
          </w:tcPr>
          <w:p w:rsidRPr="009C48DA" w:rsidR="00E14DF1" w:rsidP="00E14DF1" w:rsidRDefault="00E14DF1" w14:paraId="4C94981C" w14:textId="77777777">
            <w:pPr>
              <w:tabs>
                <w:tab w:val="left" w:leader="dot" w:pos="5305"/>
              </w:tabs>
              <w:rPr>
                <w:rFonts w:eastAsia="Calibri" w:cs="Times New Roman"/>
                <w:sz w:val="20"/>
                <w:szCs w:val="20"/>
                <w:lang w:val="en-GB"/>
              </w:rPr>
            </w:pPr>
            <w:r w:rsidRPr="009C48DA">
              <w:rPr>
                <w:rFonts w:eastAsia="Calibri" w:cs="Times New Roman"/>
                <w:sz w:val="20"/>
                <w:szCs w:val="20"/>
                <w:lang w:val="en-GB"/>
              </w:rPr>
              <w:t>Exceptional personnel expenses</w:t>
            </w:r>
            <w:r w:rsidRPr="009C48DA">
              <w:rPr>
                <w:rFonts w:eastAsia="Calibri" w:cs="Arial"/>
                <w:sz w:val="20"/>
                <w:szCs w:val="20"/>
                <w:lang w:val="en-GB"/>
              </w:rPr>
              <w:tab/>
            </w:r>
          </w:p>
        </w:tc>
        <w:tc>
          <w:tcPr>
            <w:tcW w:w="1423" w:type="dxa"/>
            <w:shd w:val="clear" w:color="auto" w:fill="auto"/>
            <w:vAlign w:val="bottom"/>
          </w:tcPr>
          <w:p w:rsidRPr="009C48DA" w:rsidR="00E14DF1" w:rsidP="00E14DF1" w:rsidRDefault="00E14DF1" w14:paraId="7B9C3911"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(11.8)</w:t>
            </w:r>
          </w:p>
        </w:tc>
        <w:tc>
          <w:tcPr>
            <w:tcW w:w="1275" w:type="dxa"/>
            <w:shd w:val="clear" w:color="auto" w:fill="auto"/>
            <w:vAlign w:val="bottom"/>
          </w:tcPr>
          <w:p w:rsidRPr="009C48DA" w:rsidR="00E14DF1" w:rsidP="00E14DF1" w:rsidRDefault="00E14DF1" w14:paraId="33464BA5"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w:t>
            </w:r>
          </w:p>
        </w:tc>
      </w:tr>
      <w:tr w:rsidRPr="009C48DA" w:rsidR="00E14DF1" w:rsidTr="00945C37" w14:paraId="3D1185FD" w14:textId="77777777">
        <w:tc>
          <w:tcPr>
            <w:tcW w:w="5807" w:type="dxa"/>
            <w:shd w:val="clear" w:color="auto" w:fill="auto"/>
            <w:vAlign w:val="bottom"/>
          </w:tcPr>
          <w:p w:rsidRPr="009C48DA" w:rsidR="00E14DF1" w:rsidP="00E14DF1" w:rsidRDefault="00E14DF1" w14:paraId="26502A0F" w14:textId="77777777">
            <w:pPr>
              <w:tabs>
                <w:tab w:val="left" w:leader="dot" w:pos="5305"/>
              </w:tabs>
              <w:rPr>
                <w:rFonts w:eastAsia="Calibri" w:cs="Times New Roman"/>
                <w:b/>
                <w:bCs/>
                <w:sz w:val="20"/>
                <w:szCs w:val="20"/>
                <w:lang w:val="en-GB"/>
              </w:rPr>
            </w:pPr>
            <w:r w:rsidRPr="009C48DA">
              <w:rPr>
                <w:rFonts w:eastAsia="Calibri" w:cs="Times New Roman"/>
                <w:b/>
                <w:bCs/>
                <w:sz w:val="20"/>
                <w:szCs w:val="20"/>
                <w:lang w:val="en-GB"/>
              </w:rPr>
              <w:t>Personnel expenses</w:t>
            </w:r>
            <w:r w:rsidRPr="009C48DA">
              <w:rPr>
                <w:rFonts w:eastAsia="Calibri" w:cs="Arial"/>
                <w:b/>
                <w:bCs/>
                <w:sz w:val="20"/>
                <w:szCs w:val="20"/>
                <w:lang w:val="en-GB"/>
              </w:rPr>
              <w:tab/>
            </w:r>
          </w:p>
        </w:tc>
        <w:tc>
          <w:tcPr>
            <w:tcW w:w="1423" w:type="dxa"/>
            <w:shd w:val="clear" w:color="auto" w:fill="auto"/>
            <w:vAlign w:val="bottom"/>
          </w:tcPr>
          <w:p w:rsidRPr="009C48DA" w:rsidR="00E14DF1" w:rsidP="00E14DF1" w:rsidRDefault="00E14DF1" w14:paraId="6C6A3645" w14:textId="77777777">
            <w:pPr>
              <w:pBdr>
                <w:bottom w:val="double" w:color="auto" w:sz="4" w:space="0"/>
              </w:pBdr>
              <w:jc w:val="right"/>
              <w:rPr>
                <w:rFonts w:eastAsia="Calibri" w:cs="Arial"/>
                <w:b/>
                <w:bCs/>
                <w:sz w:val="20"/>
                <w:szCs w:val="20"/>
                <w:lang w:val="en-GB"/>
              </w:rPr>
            </w:pPr>
            <w:r w:rsidRPr="009C48DA">
              <w:rPr>
                <w:rFonts w:eastAsia="Calibri" w:cs="Arial"/>
                <w:b/>
                <w:bCs/>
                <w:sz w:val="20"/>
                <w:szCs w:val="20"/>
                <w:lang w:val="en-GB"/>
              </w:rPr>
              <w:t>(91.4)</w:t>
            </w:r>
          </w:p>
        </w:tc>
        <w:tc>
          <w:tcPr>
            <w:tcW w:w="1275" w:type="dxa"/>
            <w:shd w:val="clear" w:color="auto" w:fill="auto"/>
            <w:vAlign w:val="bottom"/>
          </w:tcPr>
          <w:p w:rsidRPr="009C48DA" w:rsidR="00E14DF1" w:rsidP="00E14DF1" w:rsidRDefault="00E14DF1" w14:paraId="41B0F771" w14:textId="77777777">
            <w:pPr>
              <w:pBdr>
                <w:bottom w:val="double" w:color="auto" w:sz="4" w:space="0"/>
              </w:pBdr>
              <w:jc w:val="right"/>
              <w:rPr>
                <w:rFonts w:eastAsia="Calibri" w:cs="Arial"/>
                <w:b/>
                <w:bCs/>
                <w:sz w:val="20"/>
                <w:szCs w:val="20"/>
                <w:lang w:val="en-GB"/>
              </w:rPr>
            </w:pPr>
            <w:r w:rsidRPr="009C48DA">
              <w:rPr>
                <w:rFonts w:eastAsia="Calibri" w:cs="Arial"/>
                <w:b/>
                <w:bCs/>
                <w:sz w:val="20"/>
                <w:szCs w:val="20"/>
                <w:lang w:val="en-GB"/>
              </w:rPr>
              <w:t>(88.9)</w:t>
            </w:r>
          </w:p>
        </w:tc>
      </w:tr>
      <w:bookmarkEnd w:id="655"/>
    </w:tbl>
    <w:p w:rsidRPr="009C48DA" w:rsidR="00945C37" w:rsidP="00EE3365" w:rsidRDefault="00945C37" w14:paraId="1378E4F8" w14:textId="77777777">
      <w:pPr>
        <w:spacing w:after="240"/>
        <w:ind w:firstLine="720"/>
        <w:jc w:val="both"/>
        <w:rPr>
          <w:rFonts w:eastAsia="Calibri" w:cs="Arial"/>
          <w:sz w:val="20"/>
          <w:szCs w:val="22"/>
          <w:lang w:val="en-GB"/>
        </w:rPr>
      </w:pPr>
    </w:p>
    <w:p w:rsidRPr="009C48DA" w:rsidR="00B51E80" w:rsidP="007F7AA9" w:rsidRDefault="00B51E80" w14:paraId="1DE18B3B" w14:textId="24C5090D">
      <w:pPr>
        <w:pStyle w:val="BodyText2SglJ"/>
        <w:rPr>
          <w:rFonts w:eastAsia="Calibri" w:cs="Arial"/>
          <w:szCs w:val="22"/>
          <w:lang w:val="en-GB"/>
        </w:rPr>
      </w:pPr>
      <w:r w:rsidRPr="009C48DA">
        <w:rPr>
          <w:rFonts w:eastAsia="Calibri" w:cs="Arial"/>
          <w:szCs w:val="22"/>
          <w:lang w:val="en-GB"/>
        </w:rPr>
        <w:t>Personnel expenses as a percentage of</w:t>
      </w:r>
      <w:r w:rsidRPr="009C48DA" w:rsidR="00905898">
        <w:rPr>
          <w:rFonts w:eastAsia="Calibri" w:cs="Arial"/>
          <w:szCs w:val="22"/>
          <w:lang w:val="en-GB"/>
        </w:rPr>
        <w:t xml:space="preserve"> total operating income was 52.3</w:t>
      </w:r>
      <w:r w:rsidRPr="009C48DA">
        <w:rPr>
          <w:rFonts w:eastAsia="Calibri" w:cs="Arial"/>
          <w:szCs w:val="22"/>
          <w:lang w:val="en-GB"/>
        </w:rPr>
        <w:t xml:space="preserve"> per cent for the year ended 31 December 2019, compared to </w:t>
      </w:r>
      <w:r w:rsidRPr="009C48DA" w:rsidR="0001616A">
        <w:rPr>
          <w:rFonts w:eastAsia="Calibri" w:cs="Arial"/>
          <w:szCs w:val="22"/>
          <w:lang w:val="en-GB"/>
        </w:rPr>
        <w:t>63</w:t>
      </w:r>
      <w:r w:rsidRPr="009C48DA">
        <w:rPr>
          <w:rFonts w:eastAsia="Calibri" w:cs="Arial"/>
          <w:szCs w:val="22"/>
          <w:lang w:val="en-GB"/>
        </w:rPr>
        <w:t>.</w:t>
      </w:r>
      <w:r w:rsidRPr="009C48DA" w:rsidR="0001616A">
        <w:rPr>
          <w:rFonts w:eastAsia="Calibri" w:cs="Arial"/>
          <w:szCs w:val="22"/>
          <w:lang w:val="en-GB"/>
        </w:rPr>
        <w:t>1</w:t>
      </w:r>
      <w:r w:rsidRPr="009C48DA">
        <w:rPr>
          <w:rFonts w:eastAsia="Calibri" w:cs="Arial"/>
          <w:szCs w:val="22"/>
          <w:lang w:val="en-GB"/>
        </w:rPr>
        <w:t xml:space="preserve"> per cent for the year ended 31 December 2018</w:t>
      </w:r>
      <w:r w:rsidRPr="009C48DA" w:rsidR="00E14DF1">
        <w:rPr>
          <w:rFonts w:eastAsia="Calibri" w:cs="Arial"/>
          <w:szCs w:val="22"/>
          <w:lang w:val="en-GB"/>
        </w:rPr>
        <w:t xml:space="preserve"> (55</w:t>
      </w:r>
      <w:r w:rsidR="004C2810">
        <w:rPr>
          <w:rFonts w:eastAsia="Calibri" w:cs="Arial"/>
          <w:szCs w:val="22"/>
          <w:lang w:val="en-GB"/>
        </w:rPr>
        <w:t>.0</w:t>
      </w:r>
      <w:r w:rsidRPr="009C48DA" w:rsidR="00E14DF1">
        <w:rPr>
          <w:rFonts w:eastAsia="Calibri" w:cs="Arial"/>
          <w:szCs w:val="22"/>
          <w:lang w:val="en-GB"/>
        </w:rPr>
        <w:t xml:space="preserve"> per cent excluding exceptional personnel expenses)</w:t>
      </w:r>
      <w:r w:rsidRPr="009C48DA">
        <w:rPr>
          <w:rFonts w:eastAsia="Calibri" w:cs="Arial"/>
          <w:szCs w:val="22"/>
          <w:lang w:val="en-GB"/>
        </w:rPr>
        <w:t xml:space="preserve">. The decrease in personnel expenses as a percentage of total operating income was due to </w:t>
      </w:r>
      <w:r w:rsidRPr="009C48DA" w:rsidR="00E14DF1">
        <w:rPr>
          <w:rFonts w:eastAsia="Calibri" w:cs="Arial"/>
          <w:szCs w:val="22"/>
          <w:lang w:val="en-GB"/>
        </w:rPr>
        <w:t>the one-off exception</w:t>
      </w:r>
      <w:r w:rsidRPr="009C48DA" w:rsidR="00EE3365">
        <w:rPr>
          <w:rFonts w:eastAsia="Calibri" w:cs="Arial"/>
          <w:szCs w:val="22"/>
          <w:lang w:val="en-GB"/>
        </w:rPr>
        <w:t>al</w:t>
      </w:r>
      <w:r w:rsidRPr="009C48DA" w:rsidR="00E14DF1">
        <w:rPr>
          <w:rFonts w:eastAsia="Calibri" w:cs="Arial"/>
          <w:szCs w:val="22"/>
          <w:lang w:val="en-GB"/>
        </w:rPr>
        <w:t xml:space="preserve"> expenses relating to the Dyal Investment in the year ended 31 December 2018 and </w:t>
      </w:r>
      <w:r w:rsidRPr="009C48DA">
        <w:rPr>
          <w:rFonts w:eastAsia="Calibri" w:cs="Arial"/>
          <w:szCs w:val="22"/>
          <w:lang w:val="en-GB"/>
        </w:rPr>
        <w:t xml:space="preserve">greater growth in total operating income (primarily management fees, due to the </w:t>
      </w:r>
      <w:r w:rsidRPr="009C48DA" w:rsidR="007F7AA9">
        <w:rPr>
          <w:rFonts w:eastAsia="Calibri" w:cs="Arial"/>
          <w:szCs w:val="20"/>
          <w:lang w:val="en-GB"/>
        </w:rPr>
        <w:t xml:space="preserve">Bridgepoint </w:t>
      </w:r>
      <w:r w:rsidRPr="009C48DA">
        <w:rPr>
          <w:rFonts w:eastAsia="Calibri" w:cs="Arial"/>
          <w:szCs w:val="22"/>
          <w:lang w:val="en-GB"/>
        </w:rPr>
        <w:t xml:space="preserve">Europe VI management fees referred to above) </w:t>
      </w:r>
      <w:r w:rsidRPr="009C48DA" w:rsidR="0001616A">
        <w:rPr>
          <w:rFonts w:eastAsia="Calibri" w:cs="Arial"/>
          <w:szCs w:val="22"/>
          <w:lang w:val="en-GB"/>
        </w:rPr>
        <w:t xml:space="preserve">compared to </w:t>
      </w:r>
      <w:r w:rsidRPr="009C48DA">
        <w:rPr>
          <w:rFonts w:eastAsia="Calibri" w:cs="Arial"/>
          <w:szCs w:val="22"/>
          <w:lang w:val="en-GB"/>
        </w:rPr>
        <w:t>the underlying growth in the cost base of the business, reflecting the operational leverage impact of larger fund raises and management fees resulting from these funds.</w:t>
      </w:r>
    </w:p>
    <w:p w:rsidRPr="009C48DA" w:rsidR="00B51E80" w:rsidP="00B51E80" w:rsidRDefault="00B51E80" w14:paraId="70A71D3D" w14:textId="77777777">
      <w:pPr>
        <w:pStyle w:val="TitleBI"/>
        <w:rPr>
          <w:lang w:val="en-GB"/>
        </w:rPr>
      </w:pPr>
      <w:r w:rsidRPr="009C48DA">
        <w:rPr>
          <w:lang w:val="en-GB"/>
        </w:rPr>
        <w:t xml:space="preserve">Other expenses </w:t>
      </w:r>
    </w:p>
    <w:p w:rsidRPr="009C48DA" w:rsidR="00E14DF1" w:rsidP="00E14DF1" w:rsidRDefault="00905898" w14:paraId="4E4443E7" w14:textId="4A9337FA">
      <w:pPr>
        <w:spacing w:after="240"/>
        <w:ind w:firstLine="720"/>
        <w:jc w:val="both"/>
        <w:rPr>
          <w:rFonts w:eastAsia="Calibri" w:cs="Arial"/>
          <w:sz w:val="20"/>
          <w:szCs w:val="22"/>
          <w:lang w:val="en-GB"/>
        </w:rPr>
      </w:pPr>
      <w:r w:rsidRPr="009C48DA">
        <w:rPr>
          <w:rFonts w:eastAsia="Calibri" w:cs="Arial"/>
          <w:sz w:val="20"/>
          <w:szCs w:val="22"/>
          <w:lang w:val="en-GB"/>
        </w:rPr>
        <w:t xml:space="preserve">Other expenses decreased by </w:t>
      </w:r>
      <w:r w:rsidRPr="009C48DA">
        <w:rPr>
          <w:rFonts w:eastAsia="Calibri" w:cs="Times New Roman"/>
          <w:sz w:val="20"/>
          <w:szCs w:val="22"/>
          <w:lang w:val="en-GB"/>
        </w:rPr>
        <w:t>£</w:t>
      </w:r>
      <w:r w:rsidRPr="009C48DA">
        <w:rPr>
          <w:rFonts w:eastAsia="Calibri" w:cs="Arial"/>
          <w:sz w:val="20"/>
          <w:szCs w:val="22"/>
          <w:lang w:val="en-GB"/>
        </w:rPr>
        <w:t>7.9 million, or 22.</w:t>
      </w:r>
      <w:r w:rsidRPr="009C48DA" w:rsidR="007C62A8">
        <w:rPr>
          <w:rFonts w:eastAsia="Calibri" w:cs="Arial"/>
          <w:sz w:val="20"/>
          <w:szCs w:val="22"/>
          <w:lang w:val="en-GB"/>
        </w:rPr>
        <w:t>1</w:t>
      </w:r>
      <w:r w:rsidRPr="009C48DA">
        <w:rPr>
          <w:rFonts w:eastAsia="Calibri" w:cs="Arial"/>
          <w:sz w:val="20"/>
          <w:szCs w:val="22"/>
          <w:lang w:val="en-GB"/>
        </w:rPr>
        <w:t xml:space="preserve"> </w:t>
      </w:r>
      <w:r w:rsidRPr="009C48DA">
        <w:rPr>
          <w:rFonts w:eastAsia="Calibri" w:cs="Arial"/>
          <w:sz w:val="20"/>
          <w:lang w:val="en-GB"/>
        </w:rPr>
        <w:t>per cent</w:t>
      </w:r>
      <w:r w:rsidRPr="009C48DA">
        <w:rPr>
          <w:rFonts w:eastAsia="Calibri" w:cs="Arial"/>
          <w:sz w:val="20"/>
          <w:szCs w:val="22"/>
          <w:lang w:val="en-GB"/>
        </w:rPr>
        <w:t xml:space="preserve">, from </w:t>
      </w:r>
      <w:r w:rsidRPr="009C48DA">
        <w:rPr>
          <w:rFonts w:eastAsia="Calibri" w:cs="Times New Roman"/>
          <w:sz w:val="20"/>
          <w:szCs w:val="22"/>
          <w:lang w:val="en-GB"/>
        </w:rPr>
        <w:t>£</w:t>
      </w:r>
      <w:r w:rsidRPr="009C48DA">
        <w:rPr>
          <w:rFonts w:eastAsia="Calibri" w:cs="Arial"/>
          <w:sz w:val="20"/>
          <w:szCs w:val="22"/>
          <w:lang w:val="en-GB"/>
        </w:rPr>
        <w:t xml:space="preserve">35.7 million for the year ended 31 December 2018 to </w:t>
      </w:r>
      <w:r w:rsidRPr="009C48DA">
        <w:rPr>
          <w:rFonts w:eastAsia="Calibri" w:cs="Times New Roman"/>
          <w:sz w:val="20"/>
          <w:szCs w:val="22"/>
          <w:lang w:val="en-GB"/>
        </w:rPr>
        <w:t>£</w:t>
      </w:r>
      <w:r w:rsidRPr="009C48DA">
        <w:rPr>
          <w:rFonts w:eastAsia="Calibri" w:cs="Arial"/>
          <w:sz w:val="20"/>
          <w:szCs w:val="22"/>
          <w:lang w:val="en-GB"/>
        </w:rPr>
        <w:t xml:space="preserve">27.8 million for the year ended 31 December 2019. This was due to exceptional </w:t>
      </w:r>
      <w:r w:rsidRPr="009C48DA">
        <w:rPr>
          <w:rFonts w:eastAsia="Calibri" w:cs="Arial"/>
          <w:sz w:val="20"/>
          <w:szCs w:val="22"/>
          <w:lang w:val="en-GB"/>
        </w:rPr>
        <w:lastRenderedPageBreak/>
        <w:t>other expenses in the year ended 31 December 2018, relating to the one-off exceptional costs of legal and other advice in relation to the Dyal Investment, which offset the increase of other expenses, excluding exceptional expenses, by £4.4 million from £23.4 million for the year ended 31 December 2018 to £27.8 million for the year ended 31 December 2019 due to continued investment in the support platform in 2019, with incremental headcount leading to related other expense increases in areas such as IT.</w:t>
      </w:r>
    </w:p>
    <w:tbl>
      <w:tblPr>
        <w:tblW w:w="8505" w:type="dxa"/>
        <w:tblLayout w:type="fixed"/>
        <w:tblLook w:val="04A0" w:firstRow="1" w:lastRow="0" w:firstColumn="1" w:lastColumn="0" w:noHBand="0" w:noVBand="1"/>
      </w:tblPr>
      <w:tblGrid>
        <w:gridCol w:w="5807"/>
        <w:gridCol w:w="1423"/>
        <w:gridCol w:w="1275"/>
      </w:tblGrid>
      <w:tr w:rsidRPr="009C48DA" w:rsidR="00E14DF1" w:rsidTr="00945C37" w14:paraId="3ABC59B2" w14:textId="77777777">
        <w:trPr>
          <w:trHeight w:val="74"/>
        </w:trPr>
        <w:tc>
          <w:tcPr>
            <w:tcW w:w="5807" w:type="dxa"/>
            <w:shd w:val="clear" w:color="auto" w:fill="auto"/>
            <w:vAlign w:val="bottom"/>
          </w:tcPr>
          <w:p w:rsidRPr="009C48DA" w:rsidR="00E14DF1" w:rsidP="00DE02CD" w:rsidRDefault="00E14DF1" w14:paraId="2BEDD128" w14:textId="77777777">
            <w:pPr>
              <w:keepNext/>
              <w:rPr>
                <w:rFonts w:eastAsia="Calibri" w:cs="Times New Roman"/>
                <w:b/>
                <w:sz w:val="20"/>
                <w:szCs w:val="20"/>
                <w:lang w:val="en-GB"/>
              </w:rPr>
            </w:pPr>
          </w:p>
        </w:tc>
        <w:tc>
          <w:tcPr>
            <w:tcW w:w="2698" w:type="dxa"/>
            <w:gridSpan w:val="2"/>
            <w:shd w:val="clear" w:color="auto" w:fill="auto"/>
          </w:tcPr>
          <w:p w:rsidRPr="009C48DA" w:rsidR="00E14DF1" w:rsidP="00DE02CD" w:rsidRDefault="00E14DF1" w14:paraId="5D7DB602" w14:textId="77777777">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For the year ended 31 December</w:t>
            </w:r>
          </w:p>
        </w:tc>
      </w:tr>
      <w:tr w:rsidRPr="009C48DA" w:rsidR="00E14DF1" w:rsidTr="00945C37" w14:paraId="136BDE23" w14:textId="77777777">
        <w:trPr>
          <w:trHeight w:val="74"/>
        </w:trPr>
        <w:tc>
          <w:tcPr>
            <w:tcW w:w="5807" w:type="dxa"/>
            <w:shd w:val="clear" w:color="auto" w:fill="auto"/>
            <w:vAlign w:val="bottom"/>
          </w:tcPr>
          <w:p w:rsidRPr="009C48DA" w:rsidR="00E14DF1" w:rsidP="00DE02CD" w:rsidRDefault="00E14DF1" w14:paraId="66C9DBE0" w14:textId="77777777">
            <w:pPr>
              <w:keepNext/>
              <w:rPr>
                <w:rFonts w:eastAsia="Calibri" w:cs="Times New Roman"/>
                <w:b/>
                <w:sz w:val="20"/>
                <w:szCs w:val="20"/>
                <w:lang w:val="en-GB"/>
              </w:rPr>
            </w:pPr>
          </w:p>
        </w:tc>
        <w:tc>
          <w:tcPr>
            <w:tcW w:w="1423" w:type="dxa"/>
            <w:shd w:val="clear" w:color="auto" w:fill="auto"/>
          </w:tcPr>
          <w:p w:rsidRPr="009C48DA" w:rsidR="00E14DF1" w:rsidP="00DE02CD" w:rsidRDefault="00E14DF1" w14:paraId="690514E3" w14:textId="77777777">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2018</w:t>
            </w:r>
          </w:p>
        </w:tc>
        <w:tc>
          <w:tcPr>
            <w:tcW w:w="1275" w:type="dxa"/>
            <w:shd w:val="clear" w:color="auto" w:fill="auto"/>
            <w:vAlign w:val="bottom"/>
          </w:tcPr>
          <w:p w:rsidRPr="009C48DA" w:rsidR="00E14DF1" w:rsidP="00E14DF1" w:rsidRDefault="00E14DF1" w14:paraId="02FF339E" w14:textId="77777777">
            <w:pPr>
              <w:keepNext/>
              <w:pBdr>
                <w:bottom w:val="single" w:color="auto" w:sz="4" w:space="1"/>
              </w:pBdr>
              <w:jc w:val="center"/>
              <w:rPr>
                <w:rFonts w:eastAsia="Calibri" w:cs="Times New Roman"/>
                <w:b/>
                <w:sz w:val="20"/>
                <w:szCs w:val="20"/>
                <w:lang w:val="en-GB"/>
              </w:rPr>
            </w:pPr>
            <w:r w:rsidRPr="009C48DA">
              <w:rPr>
                <w:rFonts w:eastAsia="Calibri" w:cs="Times New Roman"/>
                <w:b/>
                <w:sz w:val="20"/>
                <w:szCs w:val="20"/>
                <w:lang w:val="en-GB"/>
              </w:rPr>
              <w:t>2019</w:t>
            </w:r>
          </w:p>
        </w:tc>
      </w:tr>
      <w:tr w:rsidRPr="009C48DA" w:rsidR="00E14DF1" w:rsidTr="00945C37" w14:paraId="78C180E9" w14:textId="77777777">
        <w:trPr>
          <w:trHeight w:val="74"/>
        </w:trPr>
        <w:tc>
          <w:tcPr>
            <w:tcW w:w="5807" w:type="dxa"/>
            <w:shd w:val="clear" w:color="auto" w:fill="auto"/>
            <w:vAlign w:val="bottom"/>
          </w:tcPr>
          <w:p w:rsidRPr="009C48DA" w:rsidR="00E14DF1" w:rsidP="00DE02CD" w:rsidRDefault="00E14DF1" w14:paraId="2C359EDD" w14:textId="77777777">
            <w:pPr>
              <w:keepNext/>
              <w:tabs>
                <w:tab w:val="right" w:leader="dot" w:pos="4628"/>
              </w:tabs>
              <w:rPr>
                <w:rFonts w:eastAsia="Calibri" w:cs="Times New Roman"/>
                <w:sz w:val="20"/>
                <w:szCs w:val="20"/>
                <w:lang w:val="en-GB"/>
              </w:rPr>
            </w:pPr>
          </w:p>
        </w:tc>
        <w:tc>
          <w:tcPr>
            <w:tcW w:w="2698" w:type="dxa"/>
            <w:gridSpan w:val="2"/>
            <w:shd w:val="clear" w:color="auto" w:fill="auto"/>
            <w:vAlign w:val="bottom"/>
          </w:tcPr>
          <w:p w:rsidRPr="009C48DA" w:rsidR="00E14DF1" w:rsidP="00DE02CD" w:rsidRDefault="00E14DF1" w14:paraId="201C4CF8" w14:textId="77777777">
            <w:pPr>
              <w:keepNext/>
              <w:jc w:val="center"/>
              <w:rPr>
                <w:rFonts w:eastAsia="Calibri" w:cs="Times New Roman"/>
                <w:sz w:val="20"/>
                <w:szCs w:val="20"/>
                <w:lang w:val="en-GB"/>
              </w:rPr>
            </w:pPr>
            <w:r w:rsidRPr="009C48DA">
              <w:rPr>
                <w:rFonts w:eastAsia="Calibri" w:cs="Times New Roman"/>
                <w:sz w:val="20"/>
                <w:szCs w:val="20"/>
                <w:lang w:val="en-GB"/>
              </w:rPr>
              <w:t>(£ in millions)</w:t>
            </w:r>
          </w:p>
        </w:tc>
      </w:tr>
      <w:tr w:rsidRPr="009C48DA" w:rsidR="00E14DF1" w:rsidTr="00945C37" w14:paraId="4304BF0E" w14:textId="77777777">
        <w:tc>
          <w:tcPr>
            <w:tcW w:w="5807" w:type="dxa"/>
            <w:shd w:val="clear" w:color="auto" w:fill="auto"/>
            <w:vAlign w:val="bottom"/>
          </w:tcPr>
          <w:p w:rsidRPr="009C48DA" w:rsidR="00E14DF1" w:rsidP="00DE02CD" w:rsidRDefault="00E14DF1" w14:paraId="327B5B0A" w14:textId="77777777">
            <w:pPr>
              <w:keepNext/>
              <w:tabs>
                <w:tab w:val="left" w:leader="dot" w:pos="5305"/>
              </w:tabs>
              <w:rPr>
                <w:rFonts w:eastAsia="Calibri" w:cs="Times New Roman"/>
                <w:sz w:val="20"/>
                <w:szCs w:val="20"/>
                <w:lang w:val="en-GB"/>
              </w:rPr>
            </w:pPr>
            <w:r w:rsidRPr="009C48DA">
              <w:rPr>
                <w:rFonts w:eastAsia="Calibri" w:cs="Times New Roman"/>
                <w:sz w:val="20"/>
                <w:szCs w:val="20"/>
                <w:lang w:val="en-GB"/>
              </w:rPr>
              <w:t>Other expenses, excluding exceptional other expenses</w:t>
            </w:r>
            <w:r w:rsidRPr="009C48DA">
              <w:rPr>
                <w:rFonts w:eastAsia="Calibri" w:cs="Times New Roman"/>
                <w:sz w:val="20"/>
                <w:szCs w:val="20"/>
                <w:lang w:val="en-GB"/>
              </w:rPr>
              <w:tab/>
            </w:r>
          </w:p>
        </w:tc>
        <w:tc>
          <w:tcPr>
            <w:tcW w:w="1423" w:type="dxa"/>
            <w:shd w:val="clear" w:color="auto" w:fill="auto"/>
            <w:vAlign w:val="bottom"/>
          </w:tcPr>
          <w:p w:rsidRPr="009C48DA" w:rsidR="00E14DF1" w:rsidP="00DE02CD" w:rsidRDefault="00E14DF1" w14:paraId="416053CB" w14:textId="77777777">
            <w:pPr>
              <w:keepNext/>
              <w:jc w:val="right"/>
              <w:rPr>
                <w:rFonts w:eastAsia="Calibri" w:cs="Arial"/>
                <w:sz w:val="20"/>
                <w:szCs w:val="20"/>
                <w:lang w:val="en-GB"/>
              </w:rPr>
            </w:pPr>
            <w:r w:rsidRPr="009C48DA">
              <w:rPr>
                <w:rFonts w:eastAsia="Calibri" w:cs="Arial"/>
                <w:sz w:val="20"/>
                <w:szCs w:val="20"/>
                <w:lang w:val="en-GB"/>
              </w:rPr>
              <w:t>(23.4)</w:t>
            </w:r>
          </w:p>
        </w:tc>
        <w:tc>
          <w:tcPr>
            <w:tcW w:w="1275" w:type="dxa"/>
            <w:shd w:val="clear" w:color="auto" w:fill="auto"/>
            <w:vAlign w:val="bottom"/>
          </w:tcPr>
          <w:p w:rsidRPr="009C48DA" w:rsidR="00E14DF1" w:rsidP="00E14DF1" w:rsidRDefault="00E14DF1" w14:paraId="277B5F53" w14:textId="77777777">
            <w:pPr>
              <w:jc w:val="right"/>
              <w:rPr>
                <w:rFonts w:eastAsia="Calibri" w:cs="Arial"/>
                <w:sz w:val="20"/>
                <w:szCs w:val="20"/>
                <w:lang w:val="en-GB"/>
              </w:rPr>
            </w:pPr>
            <w:r w:rsidRPr="009C48DA">
              <w:rPr>
                <w:rFonts w:eastAsia="Calibri" w:cs="Arial"/>
                <w:sz w:val="20"/>
                <w:szCs w:val="20"/>
                <w:lang w:val="en-GB"/>
              </w:rPr>
              <w:t>(27.8)</w:t>
            </w:r>
          </w:p>
        </w:tc>
      </w:tr>
      <w:tr w:rsidRPr="009C48DA" w:rsidR="00E14DF1" w:rsidTr="00945C37" w14:paraId="639D616E" w14:textId="77777777">
        <w:tc>
          <w:tcPr>
            <w:tcW w:w="5807" w:type="dxa"/>
            <w:shd w:val="clear" w:color="auto" w:fill="auto"/>
            <w:vAlign w:val="bottom"/>
          </w:tcPr>
          <w:p w:rsidRPr="009C48DA" w:rsidR="00E14DF1" w:rsidP="00DE02CD" w:rsidRDefault="00E14DF1" w14:paraId="28225600" w14:textId="77777777">
            <w:pPr>
              <w:keepNext/>
              <w:tabs>
                <w:tab w:val="left" w:leader="dot" w:pos="5305"/>
              </w:tabs>
              <w:rPr>
                <w:rFonts w:eastAsia="Calibri" w:cs="Times New Roman"/>
                <w:sz w:val="20"/>
                <w:szCs w:val="20"/>
                <w:lang w:val="en-GB"/>
              </w:rPr>
            </w:pPr>
            <w:r w:rsidRPr="009C48DA">
              <w:rPr>
                <w:rFonts w:eastAsia="Calibri" w:cs="Times New Roman"/>
                <w:sz w:val="20"/>
                <w:szCs w:val="20"/>
                <w:lang w:val="en-GB"/>
              </w:rPr>
              <w:t>Exceptional other expenses</w:t>
            </w:r>
            <w:r w:rsidRPr="009C48DA">
              <w:rPr>
                <w:rFonts w:eastAsia="Calibri" w:cs="Arial"/>
                <w:sz w:val="20"/>
                <w:szCs w:val="20"/>
                <w:lang w:val="en-GB"/>
              </w:rPr>
              <w:tab/>
            </w:r>
          </w:p>
        </w:tc>
        <w:tc>
          <w:tcPr>
            <w:tcW w:w="1423" w:type="dxa"/>
            <w:shd w:val="clear" w:color="auto" w:fill="auto"/>
            <w:vAlign w:val="bottom"/>
          </w:tcPr>
          <w:p w:rsidRPr="009C48DA" w:rsidR="00E14DF1" w:rsidP="00DE02CD" w:rsidRDefault="00E14DF1" w14:paraId="484A16A4" w14:textId="77777777">
            <w:pPr>
              <w:keepNext/>
              <w:pBdr>
                <w:bottom w:val="single" w:color="auto" w:sz="4" w:space="1"/>
              </w:pBdr>
              <w:jc w:val="right"/>
              <w:rPr>
                <w:rFonts w:eastAsia="Calibri" w:cs="Arial"/>
                <w:sz w:val="20"/>
                <w:szCs w:val="20"/>
                <w:lang w:val="en-GB"/>
              </w:rPr>
            </w:pPr>
            <w:r w:rsidRPr="009C48DA">
              <w:rPr>
                <w:rFonts w:eastAsia="Calibri" w:cs="Arial"/>
                <w:sz w:val="20"/>
                <w:szCs w:val="20"/>
                <w:lang w:val="en-GB"/>
              </w:rPr>
              <w:t>(12.3)</w:t>
            </w:r>
          </w:p>
        </w:tc>
        <w:tc>
          <w:tcPr>
            <w:tcW w:w="1275" w:type="dxa"/>
            <w:shd w:val="clear" w:color="auto" w:fill="auto"/>
            <w:vAlign w:val="bottom"/>
          </w:tcPr>
          <w:p w:rsidRPr="009C48DA" w:rsidR="00E14DF1" w:rsidP="00E14DF1" w:rsidRDefault="00E14DF1" w14:paraId="5D5366D8" w14:textId="77777777">
            <w:pPr>
              <w:pBdr>
                <w:bottom w:val="single" w:color="auto" w:sz="4" w:space="1"/>
              </w:pBdr>
              <w:jc w:val="right"/>
              <w:rPr>
                <w:rFonts w:eastAsia="Calibri" w:cs="Arial"/>
                <w:sz w:val="20"/>
                <w:szCs w:val="20"/>
                <w:lang w:val="en-GB"/>
              </w:rPr>
            </w:pPr>
            <w:r w:rsidRPr="009C48DA">
              <w:rPr>
                <w:rFonts w:eastAsia="Calibri" w:cs="Arial"/>
                <w:sz w:val="20"/>
                <w:szCs w:val="20"/>
                <w:lang w:val="en-GB"/>
              </w:rPr>
              <w:t>—</w:t>
            </w:r>
          </w:p>
        </w:tc>
      </w:tr>
      <w:tr w:rsidRPr="009C48DA" w:rsidR="00E14DF1" w:rsidTr="00945C37" w14:paraId="73D509C4" w14:textId="77777777">
        <w:tc>
          <w:tcPr>
            <w:tcW w:w="5807" w:type="dxa"/>
            <w:shd w:val="clear" w:color="auto" w:fill="auto"/>
            <w:vAlign w:val="bottom"/>
          </w:tcPr>
          <w:p w:rsidRPr="009C48DA" w:rsidR="00E14DF1" w:rsidP="00E14DF1" w:rsidRDefault="00E14DF1" w14:paraId="27AFA78F" w14:textId="77777777">
            <w:pPr>
              <w:tabs>
                <w:tab w:val="left" w:leader="dot" w:pos="5305"/>
              </w:tabs>
              <w:rPr>
                <w:rFonts w:eastAsia="Calibri" w:cs="Times New Roman"/>
                <w:b/>
                <w:bCs/>
                <w:sz w:val="20"/>
                <w:szCs w:val="20"/>
                <w:lang w:val="en-GB"/>
              </w:rPr>
            </w:pPr>
            <w:r w:rsidRPr="009C48DA">
              <w:rPr>
                <w:rFonts w:eastAsia="Calibri" w:cs="Times New Roman"/>
                <w:b/>
                <w:bCs/>
                <w:sz w:val="20"/>
                <w:szCs w:val="20"/>
                <w:lang w:val="en-GB"/>
              </w:rPr>
              <w:t>Other expenses</w:t>
            </w:r>
            <w:r w:rsidRPr="009C48DA">
              <w:rPr>
                <w:rFonts w:eastAsia="Calibri" w:cs="Arial"/>
                <w:b/>
                <w:bCs/>
                <w:sz w:val="20"/>
                <w:szCs w:val="20"/>
                <w:lang w:val="en-GB"/>
              </w:rPr>
              <w:tab/>
            </w:r>
          </w:p>
        </w:tc>
        <w:tc>
          <w:tcPr>
            <w:tcW w:w="1423" w:type="dxa"/>
            <w:shd w:val="clear" w:color="auto" w:fill="auto"/>
            <w:vAlign w:val="bottom"/>
          </w:tcPr>
          <w:p w:rsidRPr="009C48DA" w:rsidR="00E14DF1" w:rsidP="00E14DF1" w:rsidRDefault="00E14DF1" w14:paraId="18BBD053" w14:textId="77777777">
            <w:pPr>
              <w:pBdr>
                <w:bottom w:val="double" w:color="auto" w:sz="4" w:space="0"/>
              </w:pBdr>
              <w:jc w:val="right"/>
              <w:rPr>
                <w:rFonts w:eastAsia="Calibri" w:cs="Arial"/>
                <w:b/>
                <w:bCs/>
                <w:sz w:val="20"/>
                <w:szCs w:val="20"/>
                <w:lang w:val="en-GB"/>
              </w:rPr>
            </w:pPr>
            <w:r w:rsidRPr="009C48DA">
              <w:rPr>
                <w:rFonts w:eastAsia="Calibri" w:cs="Arial"/>
                <w:b/>
                <w:bCs/>
                <w:sz w:val="20"/>
                <w:szCs w:val="20"/>
                <w:lang w:val="en-GB"/>
              </w:rPr>
              <w:t>(35.7)</w:t>
            </w:r>
          </w:p>
        </w:tc>
        <w:tc>
          <w:tcPr>
            <w:tcW w:w="1275" w:type="dxa"/>
            <w:shd w:val="clear" w:color="auto" w:fill="auto"/>
            <w:vAlign w:val="bottom"/>
          </w:tcPr>
          <w:p w:rsidRPr="009C48DA" w:rsidR="00E14DF1" w:rsidP="00E14DF1" w:rsidRDefault="00E14DF1" w14:paraId="7833BC8B" w14:textId="77777777">
            <w:pPr>
              <w:pBdr>
                <w:bottom w:val="double" w:color="auto" w:sz="4" w:space="0"/>
              </w:pBdr>
              <w:jc w:val="right"/>
              <w:rPr>
                <w:rFonts w:eastAsia="Calibri" w:cs="Arial"/>
                <w:b/>
                <w:bCs/>
                <w:sz w:val="20"/>
                <w:szCs w:val="20"/>
                <w:lang w:val="en-GB"/>
              </w:rPr>
            </w:pPr>
            <w:r w:rsidRPr="009C48DA">
              <w:rPr>
                <w:rFonts w:eastAsia="Calibri" w:cs="Arial"/>
                <w:b/>
                <w:bCs/>
                <w:sz w:val="20"/>
                <w:szCs w:val="20"/>
                <w:lang w:val="en-GB"/>
              </w:rPr>
              <w:t>(27.8)</w:t>
            </w:r>
          </w:p>
        </w:tc>
      </w:tr>
    </w:tbl>
    <w:p w:rsidRPr="009C48DA" w:rsidR="00E14DF1" w:rsidP="00E14DF1" w:rsidRDefault="00E14DF1" w14:paraId="4EE4AC59" w14:textId="77777777">
      <w:pPr>
        <w:spacing w:after="240"/>
        <w:ind w:firstLine="720"/>
        <w:jc w:val="both"/>
        <w:rPr>
          <w:rFonts w:eastAsia="Calibri" w:cs="Arial"/>
          <w:sz w:val="20"/>
          <w:szCs w:val="22"/>
          <w:lang w:val="en-GB"/>
        </w:rPr>
      </w:pPr>
    </w:p>
    <w:p w:rsidRPr="009C48DA" w:rsidR="00E14DF1" w:rsidP="00E14DF1" w:rsidRDefault="00E14DF1" w14:paraId="67B38FBB" w14:textId="188A26CE">
      <w:pPr>
        <w:pStyle w:val="BodyText2SglJ"/>
        <w:rPr>
          <w:rFonts w:eastAsia="Calibri" w:cs="Arial"/>
          <w:szCs w:val="22"/>
          <w:lang w:val="en-GB"/>
        </w:rPr>
      </w:pPr>
      <w:r w:rsidRPr="009C48DA">
        <w:rPr>
          <w:rFonts w:eastAsia="Calibri" w:cs="Arial"/>
          <w:szCs w:val="22"/>
          <w:lang w:val="en-GB"/>
        </w:rPr>
        <w:t>Other expenses as a percentage of</w:t>
      </w:r>
      <w:r w:rsidRPr="009C48DA" w:rsidR="007C62A8">
        <w:rPr>
          <w:rFonts w:eastAsia="Calibri" w:cs="Arial"/>
          <w:szCs w:val="22"/>
          <w:lang w:val="en-GB"/>
        </w:rPr>
        <w:t xml:space="preserve"> total operating income was 16.4</w:t>
      </w:r>
      <w:r w:rsidRPr="009C48DA">
        <w:rPr>
          <w:rFonts w:eastAsia="Calibri" w:cs="Arial"/>
          <w:szCs w:val="22"/>
          <w:lang w:val="en-GB"/>
        </w:rPr>
        <w:t xml:space="preserve"> per cent for the year ended 31 December 2019, compared to 24.7 per cent for the year ended 31 December 2018.</w:t>
      </w:r>
    </w:p>
    <w:p w:rsidRPr="009C48DA" w:rsidR="00905898" w:rsidP="00905898" w:rsidRDefault="00905898" w14:paraId="2042C5FD" w14:textId="77777777">
      <w:pPr>
        <w:pStyle w:val="TitleBI"/>
        <w:rPr>
          <w:lang w:val="en-GB"/>
        </w:rPr>
      </w:pPr>
      <w:r w:rsidRPr="009C48DA">
        <w:rPr>
          <w:lang w:val="en-GB"/>
        </w:rPr>
        <w:t>Foreign exchange (losses) / gains</w:t>
      </w:r>
    </w:p>
    <w:p w:rsidRPr="009C48DA" w:rsidR="00905898" w:rsidP="00905898" w:rsidRDefault="00905898" w14:paraId="3CB24D8C" w14:textId="77777777">
      <w:pPr>
        <w:pStyle w:val="BodyText2SglJ"/>
        <w:rPr>
          <w:rFonts w:eastAsia="Calibri" w:cs="Arial"/>
          <w:szCs w:val="22"/>
          <w:lang w:val="en-GB"/>
        </w:rPr>
      </w:pPr>
      <w:r w:rsidRPr="009C48DA">
        <w:rPr>
          <w:rFonts w:eastAsia="Calibri" w:cs="Arial"/>
          <w:lang w:val="en-GB"/>
        </w:rPr>
        <w:t>Foreign</w:t>
      </w:r>
      <w:r w:rsidRPr="009C48DA">
        <w:rPr>
          <w:rFonts w:eastAsia="Calibri" w:cs="Arial"/>
          <w:szCs w:val="22"/>
          <w:lang w:val="en-GB"/>
        </w:rPr>
        <w:t xml:space="preserve"> exchange gains decreased by </w:t>
      </w:r>
      <w:r w:rsidRPr="009C48DA">
        <w:rPr>
          <w:rFonts w:eastAsia="Calibri" w:cs="Times New Roman"/>
          <w:szCs w:val="22"/>
          <w:lang w:val="en-GB"/>
        </w:rPr>
        <w:t>£</w:t>
      </w:r>
      <w:r w:rsidRPr="009C48DA">
        <w:rPr>
          <w:rFonts w:eastAsia="Calibri" w:cs="Arial"/>
          <w:szCs w:val="22"/>
          <w:lang w:val="en-GB"/>
        </w:rPr>
        <w:t xml:space="preserve">1.6 million from gains of </w:t>
      </w:r>
      <w:r w:rsidRPr="009C48DA">
        <w:rPr>
          <w:rFonts w:eastAsia="Calibri" w:cs="Times New Roman"/>
          <w:szCs w:val="22"/>
          <w:lang w:val="en-GB"/>
        </w:rPr>
        <w:t>£</w:t>
      </w:r>
      <w:r w:rsidRPr="009C48DA">
        <w:rPr>
          <w:rFonts w:eastAsia="Calibri" w:cs="Arial"/>
          <w:szCs w:val="22"/>
          <w:lang w:val="en-GB"/>
        </w:rPr>
        <w:t xml:space="preserve">1.5 million for the year ended 31 December 2018 to a loss of </w:t>
      </w:r>
      <w:r w:rsidRPr="009C48DA">
        <w:rPr>
          <w:rFonts w:eastAsia="Calibri" w:cs="Times New Roman"/>
          <w:szCs w:val="22"/>
          <w:lang w:val="en-GB"/>
        </w:rPr>
        <w:t>£</w:t>
      </w:r>
      <w:r w:rsidRPr="009C48DA">
        <w:rPr>
          <w:rFonts w:eastAsia="Calibri" w:cs="Arial"/>
          <w:szCs w:val="22"/>
          <w:lang w:val="en-GB"/>
        </w:rPr>
        <w:t>0.1 million for the year ended 31 December 2019. This decrease was primarily due to different levels of translation gains on conversion of euro versus pound sterling during the year.</w:t>
      </w:r>
    </w:p>
    <w:p w:rsidRPr="009C48DA" w:rsidR="00905898" w:rsidP="00905898" w:rsidRDefault="00905898" w14:paraId="1F55CBDD" w14:textId="77777777">
      <w:pPr>
        <w:pStyle w:val="TitleBI"/>
        <w:rPr>
          <w:lang w:val="en-GB"/>
        </w:rPr>
      </w:pPr>
      <w:r w:rsidRPr="009C48DA">
        <w:rPr>
          <w:lang w:val="en-GB"/>
        </w:rPr>
        <w:t>EBITDA</w:t>
      </w:r>
    </w:p>
    <w:p w:rsidRPr="009C48DA" w:rsidR="00905898" w:rsidP="00905898" w:rsidRDefault="00905898" w14:paraId="397AB0E8" w14:textId="3A2D7797">
      <w:pPr>
        <w:pStyle w:val="BodyText2SglJ"/>
        <w:rPr>
          <w:rFonts w:eastAsia="Calibri" w:cs="Arial"/>
          <w:szCs w:val="22"/>
          <w:lang w:val="en-GB"/>
        </w:rPr>
      </w:pPr>
      <w:r w:rsidRPr="009C48DA">
        <w:rPr>
          <w:rFonts w:eastAsia="Calibri" w:cs="Arial"/>
          <w:szCs w:val="22"/>
          <w:lang w:val="en-GB"/>
        </w:rPr>
        <w:t>EBITDA increased by £</w:t>
      </w:r>
      <w:r w:rsidRPr="009C48DA" w:rsidR="007C62A8">
        <w:rPr>
          <w:rFonts w:eastAsia="Calibri" w:cs="Arial"/>
          <w:szCs w:val="22"/>
          <w:lang w:val="en-GB"/>
        </w:rPr>
        <w:t>33.9</w:t>
      </w:r>
      <w:r w:rsidRPr="009C48DA">
        <w:rPr>
          <w:rFonts w:eastAsia="Calibri" w:cs="Arial"/>
          <w:szCs w:val="22"/>
          <w:lang w:val="en-GB"/>
        </w:rPr>
        <w:t xml:space="preserve"> million, or 176.</w:t>
      </w:r>
      <w:r w:rsidRPr="009C48DA" w:rsidR="007C62A8">
        <w:rPr>
          <w:rFonts w:eastAsia="Calibri" w:cs="Arial"/>
          <w:szCs w:val="22"/>
          <w:lang w:val="en-GB"/>
        </w:rPr>
        <w:t>6</w:t>
      </w:r>
      <w:r w:rsidRPr="009C48DA">
        <w:rPr>
          <w:rFonts w:eastAsia="Calibri" w:cs="Arial"/>
          <w:szCs w:val="22"/>
          <w:lang w:val="en-GB"/>
        </w:rPr>
        <w:t xml:space="preserve"> </w:t>
      </w:r>
      <w:r w:rsidRPr="009C48DA">
        <w:rPr>
          <w:rFonts w:eastAsia="Calibri" w:cs="Arial"/>
          <w:lang w:val="en-GB"/>
        </w:rPr>
        <w:t>per cent</w:t>
      </w:r>
      <w:r w:rsidRPr="009C48DA">
        <w:rPr>
          <w:rFonts w:eastAsia="Calibri" w:cs="Arial"/>
          <w:szCs w:val="22"/>
          <w:lang w:val="en-GB"/>
        </w:rPr>
        <w:t>, from £19.2 million for the year ended 31 December 2018 to £53.</w:t>
      </w:r>
      <w:r w:rsidRPr="009C48DA" w:rsidR="007C62A8">
        <w:rPr>
          <w:rFonts w:eastAsia="Calibri" w:cs="Arial"/>
          <w:szCs w:val="22"/>
          <w:lang w:val="en-GB"/>
        </w:rPr>
        <w:t>1</w:t>
      </w:r>
      <w:r w:rsidRPr="009C48DA">
        <w:rPr>
          <w:rFonts w:eastAsia="Calibri" w:cs="Arial"/>
          <w:szCs w:val="22"/>
          <w:lang w:val="en-GB"/>
        </w:rPr>
        <w:t xml:space="preserve"> million for the year ended 31 December 2019. This increase was due to an </w:t>
      </w:r>
      <w:r w:rsidRPr="009C48DA">
        <w:rPr>
          <w:rFonts w:eastAsia="Calibri" w:cs="Arial"/>
          <w:lang w:val="en-GB"/>
        </w:rPr>
        <w:t>increase</w:t>
      </w:r>
      <w:r w:rsidRPr="009C48DA">
        <w:rPr>
          <w:rFonts w:eastAsia="Calibri" w:cs="Arial"/>
          <w:szCs w:val="22"/>
          <w:lang w:val="en-GB"/>
        </w:rPr>
        <w:t xml:space="preserve"> of total operating income, which continued to outpace the growth in operating expenses, reflecting the operational leverage impact of a full year of management fees from the larger </w:t>
      </w:r>
      <w:r w:rsidRPr="009C48DA" w:rsidR="007F7AA9">
        <w:rPr>
          <w:rFonts w:eastAsia="Calibri" w:cs="Arial"/>
          <w:szCs w:val="20"/>
          <w:lang w:val="en-GB"/>
        </w:rPr>
        <w:t xml:space="preserve">Bridgepoint </w:t>
      </w:r>
      <w:r w:rsidRPr="009C48DA">
        <w:rPr>
          <w:rFonts w:eastAsia="Calibri" w:cs="Arial"/>
          <w:szCs w:val="22"/>
          <w:lang w:val="en-GB"/>
        </w:rPr>
        <w:t>Europe VI fund.</w:t>
      </w:r>
    </w:p>
    <w:p w:rsidRPr="009C48DA" w:rsidR="00B51E80" w:rsidP="00905898" w:rsidRDefault="00905898" w14:paraId="4129D7B8" w14:textId="74BF71C4">
      <w:pPr>
        <w:pStyle w:val="BodyText2SglJ"/>
        <w:rPr>
          <w:rFonts w:eastAsia="Calibri" w:cs="Arial"/>
          <w:szCs w:val="22"/>
          <w:lang w:val="en-GB"/>
        </w:rPr>
      </w:pPr>
      <w:r w:rsidRPr="009C48DA">
        <w:rPr>
          <w:rFonts w:eastAsia="Calibri" w:cs="Arial"/>
          <w:szCs w:val="22"/>
          <w:lang w:val="en-GB"/>
        </w:rPr>
        <w:t xml:space="preserve">Underlying EBITDA increased by £9.8 million, or 22.6 </w:t>
      </w:r>
      <w:r w:rsidRPr="009C48DA">
        <w:rPr>
          <w:rFonts w:eastAsia="Calibri" w:cs="Arial"/>
          <w:lang w:val="en-GB"/>
        </w:rPr>
        <w:t>per cent</w:t>
      </w:r>
      <w:r w:rsidRPr="009C48DA">
        <w:rPr>
          <w:rFonts w:eastAsia="Calibri" w:cs="Arial"/>
          <w:szCs w:val="22"/>
          <w:lang w:val="en-GB"/>
        </w:rPr>
        <w:t>, from £43.3 million for the year ended 31 December 2018 to £53.</w:t>
      </w:r>
      <w:r w:rsidRPr="009C48DA" w:rsidR="007C62A8">
        <w:rPr>
          <w:rFonts w:eastAsia="Calibri" w:cs="Arial"/>
          <w:szCs w:val="22"/>
          <w:lang w:val="en-GB"/>
        </w:rPr>
        <w:t>1</w:t>
      </w:r>
      <w:r w:rsidRPr="009C48DA">
        <w:rPr>
          <w:rFonts w:eastAsia="Calibri" w:cs="Arial"/>
          <w:szCs w:val="22"/>
          <w:lang w:val="en-GB"/>
        </w:rPr>
        <w:t xml:space="preserve"> million for the year ended 31 December 2019. This increase was due to an increase of total operating income, which continued to outpace the growth in </w:t>
      </w:r>
      <w:r w:rsidRPr="009C48DA">
        <w:rPr>
          <w:rFonts w:eastAsia="Calibri" w:cs="Arial"/>
          <w:lang w:val="en-GB"/>
        </w:rPr>
        <w:t>operating</w:t>
      </w:r>
      <w:r w:rsidRPr="009C48DA">
        <w:rPr>
          <w:rFonts w:eastAsia="Calibri" w:cs="Arial"/>
          <w:szCs w:val="22"/>
          <w:lang w:val="en-GB"/>
        </w:rPr>
        <w:t xml:space="preserve"> expenses, reflecting the operational leverage impact of a full year of management fees from the larger </w:t>
      </w:r>
      <w:r w:rsidRPr="009C48DA" w:rsidR="007F7AA9">
        <w:rPr>
          <w:rFonts w:eastAsia="Calibri" w:cs="Arial"/>
          <w:szCs w:val="20"/>
          <w:lang w:val="en-GB"/>
        </w:rPr>
        <w:t xml:space="preserve">Bridgepoint </w:t>
      </w:r>
      <w:r w:rsidRPr="009C48DA">
        <w:rPr>
          <w:rFonts w:eastAsia="Calibri" w:cs="Arial"/>
          <w:szCs w:val="22"/>
          <w:lang w:val="en-GB"/>
        </w:rPr>
        <w:t xml:space="preserve">Europe VI fund. Exceptional items within EBITDA of </w:t>
      </w:r>
      <w:r w:rsidRPr="009C48DA">
        <w:rPr>
          <w:rFonts w:eastAsia="Calibri" w:cs="Times New Roman"/>
          <w:szCs w:val="22"/>
          <w:lang w:val="en-GB"/>
        </w:rPr>
        <w:t>£</w:t>
      </w:r>
      <w:r w:rsidRPr="009C48DA">
        <w:rPr>
          <w:rFonts w:eastAsia="Calibri" w:cs="Arial"/>
          <w:szCs w:val="22"/>
          <w:lang w:val="en-GB"/>
        </w:rPr>
        <w:t>24.1 million for the year ended 31 December 2018 consisted primarily of costs relating to the Dyal Investment. These included transactional costs, including legal fees and other advisers, as well as certain one-off bonuses for employees.</w:t>
      </w:r>
    </w:p>
    <w:p w:rsidRPr="009C48DA" w:rsidR="00B51E80" w:rsidP="00B51E80" w:rsidRDefault="00B51E80" w14:paraId="7D459491" w14:textId="77777777">
      <w:pPr>
        <w:pStyle w:val="TitleBI"/>
        <w:rPr>
          <w:lang w:val="en-GB"/>
        </w:rPr>
      </w:pPr>
      <w:r w:rsidRPr="009C48DA">
        <w:rPr>
          <w:lang w:val="en-GB"/>
        </w:rPr>
        <w:t>Depreciation and amortisation expense</w:t>
      </w:r>
    </w:p>
    <w:p w:rsidRPr="009C48DA" w:rsidR="00B51E80" w:rsidP="00B51E80" w:rsidRDefault="00B51E80" w14:paraId="71618000" w14:textId="77777777">
      <w:pPr>
        <w:pStyle w:val="BodyText2SglJ"/>
        <w:rPr>
          <w:rFonts w:eastAsia="Calibri" w:cs="Arial"/>
          <w:szCs w:val="22"/>
          <w:lang w:val="en-GB"/>
        </w:rPr>
      </w:pPr>
      <w:r w:rsidRPr="009C48DA">
        <w:rPr>
          <w:rFonts w:eastAsia="Calibri" w:cs="Arial"/>
          <w:lang w:val="en-GB"/>
        </w:rPr>
        <w:t>Depreciation</w:t>
      </w:r>
      <w:r w:rsidRPr="009C48DA">
        <w:rPr>
          <w:rFonts w:eastAsia="Calibri" w:cs="Arial"/>
          <w:szCs w:val="22"/>
          <w:lang w:val="en-GB"/>
        </w:rPr>
        <w:t xml:space="preserve"> and amortisation expense increased by </w:t>
      </w:r>
      <w:r w:rsidRPr="009C48DA">
        <w:rPr>
          <w:rFonts w:eastAsia="Calibri" w:cs="Times New Roman"/>
          <w:szCs w:val="22"/>
          <w:lang w:val="en-GB"/>
        </w:rPr>
        <w:t>£</w:t>
      </w:r>
      <w:r w:rsidRPr="009C48DA">
        <w:rPr>
          <w:rFonts w:eastAsia="Calibri" w:cs="Arial"/>
          <w:szCs w:val="22"/>
          <w:lang w:val="en-GB"/>
        </w:rPr>
        <w:t xml:space="preserve">1.0 million, or 14.7 </w:t>
      </w:r>
      <w:r w:rsidRPr="009C48DA">
        <w:rPr>
          <w:rFonts w:eastAsia="Calibri" w:cs="Arial"/>
          <w:lang w:val="en-GB"/>
        </w:rPr>
        <w:t>per cent</w:t>
      </w:r>
      <w:r w:rsidRPr="009C48DA">
        <w:rPr>
          <w:rFonts w:eastAsia="Calibri" w:cs="Arial"/>
          <w:szCs w:val="22"/>
          <w:lang w:val="en-GB"/>
        </w:rPr>
        <w:t xml:space="preserve">, from £6.8 million for the year ended 31 December 2018 to </w:t>
      </w:r>
      <w:r w:rsidRPr="009C48DA">
        <w:rPr>
          <w:rFonts w:eastAsia="Calibri" w:cs="Times New Roman"/>
          <w:szCs w:val="22"/>
          <w:lang w:val="en-GB"/>
        </w:rPr>
        <w:t>£</w:t>
      </w:r>
      <w:r w:rsidRPr="009C48DA">
        <w:rPr>
          <w:rFonts w:eastAsia="Calibri" w:cs="Arial"/>
          <w:szCs w:val="22"/>
          <w:lang w:val="en-GB"/>
        </w:rPr>
        <w:t>7.8 million for the year ended 31 December 2019. This increase was primarily due to increased premises lease and IT related depreciation.</w:t>
      </w:r>
    </w:p>
    <w:p w:rsidRPr="009C48DA" w:rsidR="00B51E80" w:rsidP="00B51E80" w:rsidRDefault="00B51E80" w14:paraId="44786D9F" w14:textId="77777777">
      <w:pPr>
        <w:pStyle w:val="TitleBI"/>
        <w:rPr>
          <w:lang w:val="en-GB"/>
        </w:rPr>
      </w:pPr>
      <w:r w:rsidRPr="009C48DA">
        <w:rPr>
          <w:lang w:val="en-GB"/>
        </w:rPr>
        <w:t>Total operating profit</w:t>
      </w:r>
    </w:p>
    <w:p w:rsidRPr="009C48DA" w:rsidR="00B51E80" w:rsidP="00EE3365" w:rsidRDefault="00B51E80" w14:paraId="65AFE4B0" w14:textId="63E2D916">
      <w:pPr>
        <w:pStyle w:val="BodyText2SglJ"/>
        <w:rPr>
          <w:rFonts w:eastAsia="Calibri" w:cs="Arial"/>
          <w:szCs w:val="22"/>
          <w:lang w:val="en-GB"/>
        </w:rPr>
      </w:pPr>
      <w:r w:rsidRPr="009C48DA">
        <w:rPr>
          <w:rFonts w:eastAsia="Calibri" w:cs="Arial"/>
          <w:szCs w:val="22"/>
          <w:lang w:val="en-GB"/>
        </w:rPr>
        <w:t xml:space="preserve">Total operating profit increased by </w:t>
      </w:r>
      <w:r w:rsidRPr="009C48DA">
        <w:rPr>
          <w:rFonts w:eastAsia="Calibri" w:cs="Times New Roman"/>
          <w:szCs w:val="22"/>
          <w:lang w:val="en-GB"/>
        </w:rPr>
        <w:t>£</w:t>
      </w:r>
      <w:r w:rsidRPr="009C48DA">
        <w:rPr>
          <w:rFonts w:eastAsia="Calibri" w:cs="Arial"/>
          <w:szCs w:val="22"/>
          <w:lang w:val="en-GB"/>
        </w:rPr>
        <w:t>3</w:t>
      </w:r>
      <w:r w:rsidRPr="009C48DA" w:rsidR="001E33E1">
        <w:rPr>
          <w:rFonts w:eastAsia="Calibri" w:cs="Arial"/>
          <w:szCs w:val="22"/>
          <w:lang w:val="en-GB"/>
        </w:rPr>
        <w:t>3</w:t>
      </w:r>
      <w:r w:rsidRPr="009C48DA">
        <w:rPr>
          <w:rFonts w:eastAsia="Calibri" w:cs="Arial"/>
          <w:szCs w:val="22"/>
          <w:lang w:val="en-GB"/>
        </w:rPr>
        <w:t>.</w:t>
      </w:r>
      <w:r w:rsidRPr="009C48DA" w:rsidR="001E33E1">
        <w:rPr>
          <w:rFonts w:eastAsia="Calibri" w:cs="Arial"/>
          <w:szCs w:val="22"/>
          <w:lang w:val="en-GB"/>
        </w:rPr>
        <w:t>0</w:t>
      </w:r>
      <w:r w:rsidRPr="009C48DA">
        <w:rPr>
          <w:rFonts w:eastAsia="Calibri" w:cs="Arial"/>
          <w:szCs w:val="22"/>
          <w:lang w:val="en-GB"/>
        </w:rPr>
        <w:t xml:space="preserve"> million, or </w:t>
      </w:r>
      <w:r w:rsidRPr="009C48DA" w:rsidR="007C62A8">
        <w:rPr>
          <w:rFonts w:eastAsia="Calibri" w:cs="Arial"/>
          <w:szCs w:val="22"/>
          <w:lang w:val="en-GB"/>
        </w:rPr>
        <w:t>266.1</w:t>
      </w:r>
      <w:r w:rsidRPr="009C48DA">
        <w:rPr>
          <w:rFonts w:eastAsia="Calibri" w:cs="Arial"/>
          <w:szCs w:val="22"/>
          <w:lang w:val="en-GB"/>
        </w:rPr>
        <w:t xml:space="preserve"> </w:t>
      </w:r>
      <w:r w:rsidRPr="009C48DA">
        <w:rPr>
          <w:rFonts w:eastAsia="Calibri" w:cs="Arial"/>
          <w:lang w:val="en-GB"/>
        </w:rPr>
        <w:t>per cent</w:t>
      </w:r>
      <w:r w:rsidRPr="009C48DA">
        <w:rPr>
          <w:rFonts w:eastAsia="Calibri" w:cs="Arial"/>
          <w:szCs w:val="22"/>
          <w:lang w:val="en-GB"/>
        </w:rPr>
        <w:t xml:space="preserve">, from </w:t>
      </w:r>
      <w:r w:rsidRPr="009C48DA">
        <w:rPr>
          <w:rFonts w:eastAsia="Calibri" w:cs="Times New Roman"/>
          <w:szCs w:val="22"/>
          <w:lang w:val="en-GB"/>
        </w:rPr>
        <w:t>£</w:t>
      </w:r>
      <w:r w:rsidRPr="009C48DA">
        <w:rPr>
          <w:rFonts w:eastAsia="Calibri" w:cs="Arial"/>
          <w:szCs w:val="22"/>
          <w:lang w:val="en-GB"/>
        </w:rPr>
        <w:t>1</w:t>
      </w:r>
      <w:r w:rsidRPr="009C48DA" w:rsidR="001E33E1">
        <w:rPr>
          <w:rFonts w:eastAsia="Calibri" w:cs="Arial"/>
          <w:szCs w:val="22"/>
          <w:lang w:val="en-GB"/>
        </w:rPr>
        <w:t>2</w:t>
      </w:r>
      <w:r w:rsidRPr="009C48DA">
        <w:rPr>
          <w:rFonts w:eastAsia="Calibri" w:cs="Arial"/>
          <w:szCs w:val="22"/>
          <w:lang w:val="en-GB"/>
        </w:rPr>
        <w:t>.</w:t>
      </w:r>
      <w:r w:rsidRPr="009C48DA" w:rsidR="001E33E1">
        <w:rPr>
          <w:rFonts w:eastAsia="Calibri" w:cs="Arial"/>
          <w:szCs w:val="22"/>
          <w:lang w:val="en-GB"/>
        </w:rPr>
        <w:t>4</w:t>
      </w:r>
      <w:r w:rsidRPr="009C48DA">
        <w:rPr>
          <w:rFonts w:eastAsia="Calibri" w:cs="Arial"/>
          <w:szCs w:val="22"/>
          <w:lang w:val="en-GB"/>
        </w:rPr>
        <w:t xml:space="preserve"> million for the year ended 31 December 2018 to </w:t>
      </w:r>
      <w:r w:rsidRPr="009C48DA">
        <w:rPr>
          <w:rFonts w:eastAsia="Calibri" w:cs="Times New Roman"/>
          <w:szCs w:val="22"/>
          <w:lang w:val="en-GB"/>
        </w:rPr>
        <w:t>£</w:t>
      </w:r>
      <w:r w:rsidRPr="009C48DA">
        <w:rPr>
          <w:rFonts w:eastAsia="Calibri" w:cs="Arial"/>
          <w:szCs w:val="22"/>
          <w:lang w:val="en-GB"/>
        </w:rPr>
        <w:t>4</w:t>
      </w:r>
      <w:r w:rsidRPr="009C48DA" w:rsidR="001E33E1">
        <w:rPr>
          <w:rFonts w:eastAsia="Calibri" w:cs="Arial"/>
          <w:szCs w:val="22"/>
          <w:lang w:val="en-GB"/>
        </w:rPr>
        <w:t>5</w:t>
      </w:r>
      <w:r w:rsidRPr="009C48DA">
        <w:rPr>
          <w:rFonts w:eastAsia="Calibri" w:cs="Arial"/>
          <w:szCs w:val="22"/>
          <w:lang w:val="en-GB"/>
        </w:rPr>
        <w:t xml:space="preserve">.4 million for the year ended 31 December 2019. </w:t>
      </w:r>
      <w:r w:rsidRPr="009C48DA" w:rsidR="001E33E1">
        <w:rPr>
          <w:rFonts w:eastAsia="Calibri" w:cs="Arial"/>
          <w:szCs w:val="22"/>
          <w:lang w:val="en-GB"/>
        </w:rPr>
        <w:t>The o</w:t>
      </w:r>
      <w:r w:rsidRPr="009C48DA">
        <w:rPr>
          <w:rFonts w:eastAsia="Calibri" w:cs="Arial"/>
          <w:szCs w:val="22"/>
          <w:lang w:val="en-GB"/>
        </w:rPr>
        <w:t xml:space="preserve">perating margin increased </w:t>
      </w:r>
      <w:r w:rsidRPr="009C48DA" w:rsidR="001E33E1">
        <w:rPr>
          <w:rFonts w:eastAsia="Calibri" w:cs="Arial"/>
          <w:szCs w:val="22"/>
          <w:lang w:val="en-GB"/>
        </w:rPr>
        <w:t xml:space="preserve">from </w:t>
      </w:r>
      <w:r w:rsidRPr="009C48DA" w:rsidR="00070A8B">
        <w:rPr>
          <w:rFonts w:eastAsia="Calibri" w:cs="Arial"/>
          <w:szCs w:val="22"/>
          <w:lang w:val="en-GB"/>
        </w:rPr>
        <w:t xml:space="preserve">8.6 per cent for the year ended 31 December 2018 to </w:t>
      </w:r>
      <w:r w:rsidRPr="009C48DA">
        <w:rPr>
          <w:rFonts w:eastAsia="Calibri" w:cs="Arial"/>
          <w:szCs w:val="22"/>
          <w:lang w:val="en-GB"/>
        </w:rPr>
        <w:t>26.</w:t>
      </w:r>
      <w:r w:rsidRPr="009C48DA" w:rsidR="00F40C0C">
        <w:rPr>
          <w:rFonts w:eastAsia="Calibri" w:cs="Arial"/>
          <w:szCs w:val="22"/>
          <w:lang w:val="en-GB"/>
        </w:rPr>
        <w:t>7</w:t>
      </w:r>
      <w:r w:rsidRPr="009C48DA">
        <w:rPr>
          <w:rFonts w:eastAsia="Calibri" w:cs="Arial"/>
          <w:szCs w:val="22"/>
          <w:lang w:val="en-GB"/>
        </w:rPr>
        <w:t xml:space="preserve"> </w:t>
      </w:r>
      <w:r w:rsidRPr="009C48DA">
        <w:rPr>
          <w:rFonts w:eastAsia="Calibri" w:cs="Arial"/>
          <w:lang w:val="en-GB"/>
        </w:rPr>
        <w:t>per cent</w:t>
      </w:r>
      <w:r w:rsidRPr="009C48DA">
        <w:rPr>
          <w:rFonts w:eastAsia="Calibri" w:cs="Arial"/>
          <w:szCs w:val="22"/>
          <w:lang w:val="en-GB"/>
        </w:rPr>
        <w:t xml:space="preserve"> for the year ended 31 December 2019.</w:t>
      </w:r>
    </w:p>
    <w:p w:rsidRPr="009C48DA" w:rsidR="00B51E80" w:rsidP="00B51E80" w:rsidRDefault="00070A8B" w14:paraId="27E51439" w14:textId="3977B47B">
      <w:pPr>
        <w:pStyle w:val="BodyText2SglJ"/>
        <w:rPr>
          <w:rFonts w:eastAsia="Calibri" w:cs="Arial"/>
          <w:szCs w:val="22"/>
          <w:lang w:val="en-GB"/>
        </w:rPr>
      </w:pPr>
      <w:r w:rsidRPr="009C48DA">
        <w:rPr>
          <w:rFonts w:eastAsia="Calibri" w:cs="Arial"/>
          <w:szCs w:val="22"/>
          <w:lang w:val="en-GB"/>
        </w:rPr>
        <w:t xml:space="preserve">The increase in </w:t>
      </w:r>
      <w:r w:rsidRPr="009C48DA" w:rsidR="00A95DF5">
        <w:rPr>
          <w:rFonts w:eastAsia="Calibri" w:cs="Arial"/>
          <w:szCs w:val="22"/>
          <w:lang w:val="en-GB"/>
        </w:rPr>
        <w:t xml:space="preserve">total </w:t>
      </w:r>
      <w:r w:rsidRPr="009C48DA">
        <w:rPr>
          <w:rFonts w:eastAsia="Calibri" w:cs="Arial"/>
          <w:szCs w:val="22"/>
          <w:lang w:val="en-GB"/>
        </w:rPr>
        <w:t>operating profit</w:t>
      </w:r>
      <w:r w:rsidRPr="009C48DA" w:rsidR="00A95DF5">
        <w:rPr>
          <w:rFonts w:eastAsia="Calibri" w:cs="Arial"/>
          <w:szCs w:val="22"/>
          <w:lang w:val="en-GB"/>
        </w:rPr>
        <w:t xml:space="preserve"> </w:t>
      </w:r>
      <w:r w:rsidRPr="009C48DA">
        <w:rPr>
          <w:rFonts w:eastAsia="Calibri" w:cs="Arial"/>
          <w:szCs w:val="22"/>
          <w:lang w:val="en-GB"/>
        </w:rPr>
        <w:t xml:space="preserve">was primarily due to exceptional costs of </w:t>
      </w:r>
      <w:r w:rsidRPr="009C48DA">
        <w:rPr>
          <w:rFonts w:eastAsia="Calibri" w:cs="Times New Roman"/>
          <w:szCs w:val="22"/>
          <w:lang w:val="en-GB"/>
        </w:rPr>
        <w:t>£</w:t>
      </w:r>
      <w:r w:rsidRPr="009C48DA">
        <w:rPr>
          <w:rFonts w:eastAsia="Calibri" w:cs="Arial"/>
          <w:szCs w:val="22"/>
          <w:lang w:val="en-GB"/>
        </w:rPr>
        <w:t xml:space="preserve">24.1 million incurred in the year ended 31 December 2018 and an increase of Underlying EBITDA by £9.8 million, or 22.6 </w:t>
      </w:r>
      <w:r w:rsidRPr="009C48DA">
        <w:rPr>
          <w:rFonts w:eastAsia="Calibri" w:cs="Arial"/>
          <w:lang w:val="en-GB"/>
        </w:rPr>
        <w:t>per cent</w:t>
      </w:r>
      <w:r w:rsidRPr="009C48DA">
        <w:rPr>
          <w:rFonts w:eastAsia="Calibri" w:cs="Arial"/>
          <w:szCs w:val="22"/>
          <w:lang w:val="en-GB"/>
        </w:rPr>
        <w:t>, from £43.3 million for the year ended 31 December 2018 to £53.1 million for the year ended 31 December 2019, which was driven by increased management fees, slightly offset by higher depreciation and amortisation expense.</w:t>
      </w:r>
    </w:p>
    <w:p w:rsidRPr="009C48DA" w:rsidR="00B51E80" w:rsidP="00B51E80" w:rsidRDefault="00B51E80" w14:paraId="1A4591D8" w14:textId="77777777">
      <w:pPr>
        <w:pStyle w:val="TitleBI"/>
        <w:rPr>
          <w:lang w:val="en-GB"/>
        </w:rPr>
      </w:pPr>
      <w:r w:rsidRPr="009C48DA">
        <w:rPr>
          <w:lang w:val="en-GB"/>
        </w:rPr>
        <w:lastRenderedPageBreak/>
        <w:t>Finance income and expenses</w:t>
      </w:r>
    </w:p>
    <w:p w:rsidRPr="009C48DA" w:rsidR="00B51E80" w:rsidP="00B51E80" w:rsidRDefault="00B51E80" w14:paraId="79F8DBB7" w14:textId="7BA72424">
      <w:pPr>
        <w:pStyle w:val="BodyText2SglJ"/>
        <w:rPr>
          <w:rFonts w:eastAsia="Calibri" w:cs="Arial"/>
          <w:szCs w:val="22"/>
          <w:lang w:val="en-GB"/>
        </w:rPr>
      </w:pPr>
      <w:r w:rsidRPr="009C48DA">
        <w:rPr>
          <w:rFonts w:eastAsia="Calibri" w:cs="Arial"/>
          <w:szCs w:val="22"/>
          <w:lang w:val="en-GB"/>
        </w:rPr>
        <w:t xml:space="preserve">Net finance income increased by </w:t>
      </w:r>
      <w:r w:rsidRPr="009C48DA">
        <w:rPr>
          <w:rFonts w:eastAsia="Calibri" w:cs="Times New Roman"/>
          <w:szCs w:val="22"/>
          <w:lang w:val="en-GB"/>
        </w:rPr>
        <w:t>£2.0</w:t>
      </w:r>
      <w:r w:rsidRPr="009C48DA">
        <w:rPr>
          <w:rFonts w:eastAsia="Calibri" w:cs="Arial"/>
          <w:szCs w:val="22"/>
          <w:lang w:val="en-GB"/>
        </w:rPr>
        <w:t xml:space="preserve"> million from </w:t>
      </w:r>
      <w:r w:rsidRPr="009C48DA">
        <w:rPr>
          <w:rFonts w:eastAsia="Calibri" w:cs="Times New Roman"/>
          <w:szCs w:val="22"/>
          <w:lang w:val="en-GB"/>
        </w:rPr>
        <w:t>£</w:t>
      </w:r>
      <w:r w:rsidRPr="009C48DA">
        <w:rPr>
          <w:rFonts w:eastAsia="Calibri" w:cs="Arial"/>
          <w:szCs w:val="22"/>
          <w:lang w:val="en-GB"/>
        </w:rPr>
        <w:t>0.1 million for the year ended 31 </w:t>
      </w:r>
      <w:r w:rsidRPr="009C48DA">
        <w:rPr>
          <w:rFonts w:eastAsia="Calibri" w:cs="Arial"/>
          <w:lang w:val="en-GB"/>
        </w:rPr>
        <w:t>December</w:t>
      </w:r>
      <w:r w:rsidRPr="009C48DA">
        <w:rPr>
          <w:rFonts w:eastAsia="Calibri" w:cs="Arial"/>
          <w:szCs w:val="22"/>
          <w:lang w:val="en-GB"/>
        </w:rPr>
        <w:t xml:space="preserve"> 2018 to </w:t>
      </w:r>
      <w:r w:rsidRPr="009C48DA">
        <w:rPr>
          <w:rFonts w:eastAsia="Calibri" w:cs="Times New Roman"/>
          <w:szCs w:val="22"/>
          <w:lang w:val="en-GB"/>
        </w:rPr>
        <w:t>£</w:t>
      </w:r>
      <w:r w:rsidRPr="009C48DA">
        <w:rPr>
          <w:rFonts w:eastAsia="Calibri" w:cs="Arial"/>
          <w:szCs w:val="22"/>
          <w:lang w:val="en-GB"/>
        </w:rPr>
        <w:t>2.1 million for the year ended 31 December 2019. This increase was primarily due to the inclusion of in 2019 of investment returns from seed credit investments held on the Group’s balance sheet before an external fund was raised in the year ended 31 December 2019.</w:t>
      </w:r>
    </w:p>
    <w:p w:rsidRPr="009C48DA" w:rsidR="00B51E80" w:rsidP="00B51E80" w:rsidRDefault="00B51E80" w14:paraId="5B11E9EC" w14:textId="77777777">
      <w:pPr>
        <w:pStyle w:val="TitleBI"/>
        <w:rPr>
          <w:lang w:val="en-GB"/>
        </w:rPr>
      </w:pPr>
      <w:r w:rsidRPr="009C48DA">
        <w:rPr>
          <w:lang w:val="en-GB"/>
        </w:rPr>
        <w:t>Income tax charge</w:t>
      </w:r>
    </w:p>
    <w:p w:rsidRPr="009C48DA" w:rsidR="00B51E80" w:rsidP="00B51E80" w:rsidRDefault="00B51E80" w14:paraId="5947F90C" w14:textId="5390EA6D">
      <w:pPr>
        <w:pStyle w:val="BodyText2SglJ"/>
        <w:rPr>
          <w:rFonts w:eastAsia="Calibri" w:cs="Arial"/>
          <w:szCs w:val="22"/>
          <w:lang w:val="en-GB"/>
        </w:rPr>
      </w:pPr>
      <w:r w:rsidRPr="009C48DA">
        <w:rPr>
          <w:rFonts w:eastAsia="Calibri" w:cs="Arial"/>
          <w:szCs w:val="22"/>
          <w:lang w:val="en-GB"/>
        </w:rPr>
        <w:t xml:space="preserve">Income tax charge </w:t>
      </w:r>
      <w:r w:rsidRPr="009C48DA" w:rsidR="001E33E1">
        <w:rPr>
          <w:rFonts w:eastAsia="Calibri" w:cs="Arial"/>
          <w:szCs w:val="22"/>
          <w:lang w:val="en-GB"/>
        </w:rPr>
        <w:t xml:space="preserve">changed </w:t>
      </w:r>
      <w:r w:rsidRPr="009C48DA">
        <w:rPr>
          <w:rFonts w:eastAsia="Calibri" w:cs="Arial"/>
          <w:szCs w:val="22"/>
          <w:lang w:val="en-GB"/>
        </w:rPr>
        <w:t xml:space="preserve">by </w:t>
      </w:r>
      <w:r w:rsidRPr="009C48DA">
        <w:rPr>
          <w:rFonts w:eastAsia="Calibri" w:cs="Times New Roman"/>
          <w:szCs w:val="22"/>
          <w:lang w:val="en-GB"/>
        </w:rPr>
        <w:t>£</w:t>
      </w:r>
      <w:r w:rsidRPr="009C48DA" w:rsidR="001E33E1">
        <w:rPr>
          <w:rFonts w:eastAsia="Calibri" w:cs="Times New Roman"/>
          <w:szCs w:val="22"/>
          <w:lang w:val="en-GB"/>
        </w:rPr>
        <w:t>4</w:t>
      </w:r>
      <w:r w:rsidRPr="009C48DA">
        <w:rPr>
          <w:rFonts w:eastAsia="Calibri" w:cs="Arial"/>
          <w:szCs w:val="22"/>
          <w:lang w:val="en-GB"/>
        </w:rPr>
        <w:t>.</w:t>
      </w:r>
      <w:r w:rsidRPr="009C48DA" w:rsidR="001E33E1">
        <w:rPr>
          <w:rFonts w:eastAsia="Calibri" w:cs="Arial"/>
          <w:szCs w:val="22"/>
          <w:lang w:val="en-GB"/>
        </w:rPr>
        <w:t>0</w:t>
      </w:r>
      <w:r w:rsidRPr="009C48DA">
        <w:rPr>
          <w:rFonts w:eastAsia="Calibri" w:cs="Arial"/>
          <w:szCs w:val="22"/>
          <w:lang w:val="en-GB"/>
        </w:rPr>
        <w:t xml:space="preserve"> million from a charge of </w:t>
      </w:r>
      <w:r w:rsidRPr="009C48DA">
        <w:rPr>
          <w:rFonts w:eastAsia="Calibri" w:cs="Times New Roman"/>
          <w:szCs w:val="22"/>
          <w:lang w:val="en-GB"/>
        </w:rPr>
        <w:t>£</w:t>
      </w:r>
      <w:r w:rsidRPr="009C48DA" w:rsidR="001E33E1">
        <w:rPr>
          <w:rFonts w:eastAsia="Calibri" w:cs="Times New Roman"/>
          <w:szCs w:val="22"/>
          <w:lang w:val="en-GB"/>
        </w:rPr>
        <w:t>9</w:t>
      </w:r>
      <w:r w:rsidRPr="009C48DA">
        <w:rPr>
          <w:rFonts w:eastAsia="Calibri" w:cs="Arial"/>
          <w:szCs w:val="22"/>
          <w:lang w:val="en-GB"/>
        </w:rPr>
        <w:t xml:space="preserve">.5 million for the </w:t>
      </w:r>
      <w:r w:rsidRPr="009C48DA">
        <w:rPr>
          <w:rFonts w:eastAsia="Calibri" w:cs="Arial"/>
          <w:lang w:val="en-GB"/>
        </w:rPr>
        <w:t>year</w:t>
      </w:r>
      <w:r w:rsidRPr="009C48DA">
        <w:rPr>
          <w:rFonts w:eastAsia="Calibri" w:cs="Arial"/>
          <w:szCs w:val="22"/>
          <w:lang w:val="en-GB"/>
        </w:rPr>
        <w:t xml:space="preserve"> ended 31 December 2018 to a charge of </w:t>
      </w:r>
      <w:r w:rsidRPr="009C48DA">
        <w:rPr>
          <w:rFonts w:eastAsia="Calibri" w:cs="Times New Roman"/>
          <w:szCs w:val="22"/>
          <w:lang w:val="en-GB"/>
        </w:rPr>
        <w:t>£</w:t>
      </w:r>
      <w:r w:rsidRPr="009C48DA" w:rsidR="001E33E1">
        <w:rPr>
          <w:rFonts w:eastAsia="Calibri" w:cs="Times New Roman"/>
          <w:szCs w:val="22"/>
          <w:lang w:val="en-GB"/>
        </w:rPr>
        <w:t>5</w:t>
      </w:r>
      <w:r w:rsidRPr="009C48DA">
        <w:rPr>
          <w:rFonts w:eastAsia="Calibri" w:cs="Arial"/>
          <w:szCs w:val="22"/>
          <w:lang w:val="en-GB"/>
        </w:rPr>
        <w:t>.</w:t>
      </w:r>
      <w:r w:rsidRPr="009C48DA" w:rsidR="001E33E1">
        <w:rPr>
          <w:rFonts w:eastAsia="Calibri" w:cs="Arial"/>
          <w:szCs w:val="22"/>
          <w:lang w:val="en-GB"/>
        </w:rPr>
        <w:t>5</w:t>
      </w:r>
      <w:r w:rsidRPr="009C48DA">
        <w:rPr>
          <w:rFonts w:eastAsia="Calibri" w:cs="Arial"/>
          <w:szCs w:val="22"/>
          <w:lang w:val="en-GB"/>
        </w:rPr>
        <w:t xml:space="preserve"> million for the year ended 31 December 2019. This was primarily due to </w:t>
      </w:r>
      <w:r w:rsidRPr="009C48DA" w:rsidR="00070A8B">
        <w:rPr>
          <w:rFonts w:eastAsia="Calibri" w:cs="Arial"/>
          <w:szCs w:val="22"/>
          <w:lang w:val="en-GB"/>
        </w:rPr>
        <w:t>reductions</w:t>
      </w:r>
      <w:r w:rsidRPr="009C48DA">
        <w:rPr>
          <w:rFonts w:eastAsia="Calibri" w:cs="Arial"/>
          <w:szCs w:val="22"/>
          <w:lang w:val="en-GB"/>
        </w:rPr>
        <w:t xml:space="preserve"> in the deferred tax liabilities.</w:t>
      </w:r>
    </w:p>
    <w:p w:rsidRPr="009C48DA" w:rsidR="00B51E80" w:rsidP="000C376E" w:rsidRDefault="00B51E80" w14:paraId="5C2DAA86" w14:textId="7C116712">
      <w:pPr>
        <w:pStyle w:val="TitleBAllCaps"/>
      </w:pPr>
      <w:r w:rsidRPr="009C48DA">
        <w:t>LIQUIDITY AND CAPITAL RESOURCES</w:t>
      </w:r>
    </w:p>
    <w:p w:rsidRPr="009C48DA" w:rsidR="00B51E80" w:rsidP="00B51E80" w:rsidRDefault="00B51E80" w14:paraId="5EF3CB7E" w14:textId="77777777">
      <w:pPr>
        <w:pStyle w:val="TitleB"/>
        <w:rPr>
          <w:lang w:val="en-GB"/>
        </w:rPr>
      </w:pPr>
      <w:r w:rsidRPr="009C48DA">
        <w:rPr>
          <w:lang w:val="en-GB"/>
        </w:rPr>
        <w:t>Liquidity</w:t>
      </w:r>
    </w:p>
    <w:p w:rsidRPr="009C48DA" w:rsidR="00B51E80" w:rsidP="00B51E80" w:rsidRDefault="00B51E80" w14:paraId="49D2816E" w14:textId="7BD635EF">
      <w:pPr>
        <w:pStyle w:val="BodyText2SglJ"/>
        <w:rPr>
          <w:rFonts w:eastAsia="Calibri" w:cs="Arial"/>
          <w:szCs w:val="22"/>
          <w:lang w:val="en-GB"/>
        </w:rPr>
      </w:pPr>
      <w:r w:rsidRPr="009C48DA">
        <w:rPr>
          <w:rFonts w:eastAsia="Calibri" w:cs="Arial"/>
          <w:szCs w:val="22"/>
          <w:lang w:val="en-GB" w:eastAsia="en-GB"/>
        </w:rPr>
        <w:t xml:space="preserve">The </w:t>
      </w:r>
      <w:r w:rsidRPr="009C48DA">
        <w:rPr>
          <w:rFonts w:eastAsia="Calibri" w:cs="Arial"/>
          <w:szCs w:val="22"/>
          <w:lang w:val="en-GB"/>
        </w:rPr>
        <w:t>Group</w:t>
      </w:r>
      <w:r w:rsidRPr="009C48DA">
        <w:rPr>
          <w:rFonts w:eastAsia="Calibri" w:cs="Arial"/>
          <w:szCs w:val="22"/>
          <w:lang w:val="en-GB" w:eastAsia="en-GB"/>
        </w:rPr>
        <w:t>’s</w:t>
      </w:r>
      <w:r w:rsidRPr="009C48DA">
        <w:rPr>
          <w:rFonts w:eastAsia="Calibri" w:cs="Arial"/>
          <w:szCs w:val="22"/>
          <w:lang w:val="en-GB"/>
        </w:rPr>
        <w:t xml:space="preserve"> liquidity requirements arise primarily in relation to the funding of operations and </w:t>
      </w:r>
      <w:r w:rsidRPr="009C48DA" w:rsidR="001E33E1">
        <w:rPr>
          <w:rFonts w:eastAsia="Calibri" w:cs="Arial"/>
          <w:szCs w:val="22"/>
          <w:lang w:val="en-GB"/>
        </w:rPr>
        <w:t xml:space="preserve">the Group’s plans in connection with its </w:t>
      </w:r>
      <w:r w:rsidRPr="009C48DA">
        <w:rPr>
          <w:rFonts w:eastAsia="Calibri" w:cs="Arial"/>
          <w:szCs w:val="22"/>
          <w:lang w:val="en-GB"/>
        </w:rPr>
        <w:t>expansion</w:t>
      </w:r>
      <w:r w:rsidRPr="009C48DA" w:rsidR="001E33E1">
        <w:rPr>
          <w:rFonts w:eastAsia="Calibri" w:cs="Arial"/>
          <w:szCs w:val="22"/>
          <w:lang w:val="en-GB"/>
        </w:rPr>
        <w:t xml:space="preserve"> and diversification strategy</w:t>
      </w:r>
      <w:r w:rsidRPr="009C48DA">
        <w:rPr>
          <w:rFonts w:eastAsia="Calibri" w:cs="Arial"/>
          <w:szCs w:val="22"/>
          <w:lang w:val="en-GB"/>
        </w:rPr>
        <w:t xml:space="preserve">. The Group has historically funded its business primarily using cash from its operations (retained profits) and third-party debt. Going forward, the Group expects to </w:t>
      </w:r>
      <w:r w:rsidRPr="009C48DA">
        <w:rPr>
          <w:rFonts w:eastAsia="Calibri" w:cs="Arial"/>
          <w:lang w:val="en-GB"/>
        </w:rPr>
        <w:t>fund</w:t>
      </w:r>
      <w:r w:rsidRPr="009C48DA">
        <w:rPr>
          <w:rFonts w:eastAsia="Calibri" w:cs="Arial"/>
          <w:szCs w:val="22"/>
          <w:lang w:val="en-GB"/>
        </w:rPr>
        <w:t xml:space="preserve"> its business primarily using cash from operations, proceeds from financing transactions, </w:t>
      </w:r>
      <w:r w:rsidRPr="009C48DA" w:rsidR="002D7116">
        <w:rPr>
          <w:szCs w:val="20"/>
          <w:lang w:val="en-GB"/>
        </w:rPr>
        <w:t>including borrowings under the BAH Revolving Credit Facility</w:t>
      </w:r>
      <w:r w:rsidRPr="009C48DA" w:rsidR="00480351">
        <w:rPr>
          <w:rFonts w:eastAsia="Calibri" w:cs="Arial"/>
          <w:szCs w:val="22"/>
          <w:lang w:val="en-GB"/>
        </w:rPr>
        <w:t>, and the proceeds of the</w:t>
      </w:r>
      <w:r w:rsidRPr="009C48DA">
        <w:rPr>
          <w:rFonts w:eastAsia="Calibri" w:cs="Arial"/>
          <w:szCs w:val="22"/>
          <w:lang w:val="en-GB"/>
        </w:rPr>
        <w:t xml:space="preserve"> potential initial public offering.</w:t>
      </w:r>
    </w:p>
    <w:p w:rsidRPr="009C48DA" w:rsidR="00B51E80" w:rsidP="00CA368F" w:rsidRDefault="00B51E80" w14:paraId="2BBC3EF1" w14:textId="5F48ED3B">
      <w:pPr>
        <w:pStyle w:val="TitleB"/>
        <w:rPr>
          <w:lang w:val="en-GB"/>
        </w:rPr>
      </w:pPr>
      <w:r w:rsidRPr="009C48DA">
        <w:rPr>
          <w:lang w:val="en-GB"/>
        </w:rPr>
        <w:t>Total financial debt</w:t>
      </w:r>
    </w:p>
    <w:p w:rsidRPr="009C48DA" w:rsidR="00B51E80" w:rsidP="00B51E80" w:rsidRDefault="00EE3365" w14:paraId="6FC75F31" w14:textId="16197EDE">
      <w:pPr>
        <w:pStyle w:val="BodyText2SglJ"/>
        <w:rPr>
          <w:szCs w:val="22"/>
          <w:lang w:val="en-GB"/>
        </w:rPr>
      </w:pPr>
      <w:r w:rsidRPr="009C48DA">
        <w:rPr>
          <w:szCs w:val="22"/>
          <w:lang w:val="en-GB"/>
        </w:rPr>
        <w:t xml:space="preserve">The Group’s </w:t>
      </w:r>
      <w:r w:rsidRPr="009C48DA" w:rsidR="003B0996">
        <w:rPr>
          <w:szCs w:val="22"/>
          <w:lang w:val="en-GB"/>
        </w:rPr>
        <w:t xml:space="preserve">financial </w:t>
      </w:r>
      <w:r w:rsidRPr="009C48DA">
        <w:rPr>
          <w:szCs w:val="22"/>
          <w:lang w:val="en-GB"/>
        </w:rPr>
        <w:t>debt</w:t>
      </w:r>
      <w:r w:rsidRPr="009C48DA" w:rsidR="003B0996">
        <w:rPr>
          <w:szCs w:val="22"/>
          <w:lang w:val="en-GB"/>
        </w:rPr>
        <w:t xml:space="preserve"> </w:t>
      </w:r>
      <w:r w:rsidRPr="009C48DA">
        <w:rPr>
          <w:szCs w:val="22"/>
          <w:lang w:val="en-GB"/>
        </w:rPr>
        <w:t xml:space="preserve">as of 31 March 2021 consisted </w:t>
      </w:r>
      <w:r w:rsidRPr="009C48DA" w:rsidR="003B0996">
        <w:rPr>
          <w:szCs w:val="22"/>
          <w:lang w:val="en-GB"/>
        </w:rPr>
        <w:t xml:space="preserve">mainly </w:t>
      </w:r>
      <w:r w:rsidRPr="009C48DA">
        <w:rPr>
          <w:szCs w:val="22"/>
          <w:lang w:val="en-GB"/>
        </w:rPr>
        <w:t>of £</w:t>
      </w:r>
      <w:r w:rsidRPr="009C48DA" w:rsidR="003B0996">
        <w:rPr>
          <w:szCs w:val="22"/>
          <w:lang w:val="en-GB"/>
        </w:rPr>
        <w:t>87.5</w:t>
      </w:r>
      <w:r w:rsidRPr="009C48DA">
        <w:rPr>
          <w:szCs w:val="22"/>
          <w:lang w:val="en-GB"/>
        </w:rPr>
        <w:t xml:space="preserve"> million of bank borrowings (</w:t>
      </w:r>
      <w:r w:rsidRPr="009C48DA" w:rsidR="00DE02CD">
        <w:rPr>
          <w:szCs w:val="22"/>
          <w:lang w:val="en-GB"/>
        </w:rPr>
        <w:t>net of</w:t>
      </w:r>
      <w:r w:rsidRPr="009C48DA">
        <w:rPr>
          <w:szCs w:val="22"/>
          <w:lang w:val="en-GB"/>
        </w:rPr>
        <w:t xml:space="preserve"> </w:t>
      </w:r>
      <w:r w:rsidRPr="009C48DA" w:rsidR="003B0996">
        <w:rPr>
          <w:szCs w:val="22"/>
          <w:lang w:val="en-GB"/>
        </w:rPr>
        <w:t>loan arrangement</w:t>
      </w:r>
      <w:r w:rsidRPr="009C48DA">
        <w:rPr>
          <w:szCs w:val="22"/>
          <w:lang w:val="en-GB"/>
        </w:rPr>
        <w:t xml:space="preserve"> fees that are capitalised as part of the liability and charged to the income statement over the life of the facility</w:t>
      </w:r>
      <w:r w:rsidRPr="009C48DA" w:rsidR="003B0996">
        <w:rPr>
          <w:szCs w:val="22"/>
          <w:lang w:val="en-GB"/>
        </w:rPr>
        <w:t xml:space="preserve"> and </w:t>
      </w:r>
      <w:r w:rsidRPr="009C48DA" w:rsidR="00DE02CD">
        <w:rPr>
          <w:szCs w:val="22"/>
          <w:lang w:val="en-GB"/>
        </w:rPr>
        <w:t xml:space="preserve">excluding </w:t>
      </w:r>
      <w:r w:rsidRPr="009C48DA" w:rsidR="006826D5">
        <w:rPr>
          <w:szCs w:val="22"/>
          <w:lang w:val="en-GB"/>
        </w:rPr>
        <w:t>accrued interest</w:t>
      </w:r>
      <w:r w:rsidRPr="009C48DA">
        <w:rPr>
          <w:szCs w:val="22"/>
          <w:lang w:val="en-GB"/>
        </w:rPr>
        <w:t xml:space="preserve">). Set forth below is a table showing the Group’s </w:t>
      </w:r>
      <w:r w:rsidRPr="009C48DA" w:rsidR="00B83C37">
        <w:rPr>
          <w:szCs w:val="22"/>
          <w:lang w:val="en-GB"/>
        </w:rPr>
        <w:t xml:space="preserve">bank borrowings, cash and cash equivalents and net debt </w:t>
      </w:r>
      <w:r w:rsidRPr="009C48DA">
        <w:rPr>
          <w:szCs w:val="22"/>
          <w:lang w:val="en-GB"/>
        </w:rPr>
        <w:t>as of 31 March 2021.</w:t>
      </w:r>
    </w:p>
    <w:tbl>
      <w:tblPr>
        <w:tblW w:w="8505" w:type="dxa"/>
        <w:tblLayout w:type="fixed"/>
        <w:tblLook w:val="04A0" w:firstRow="1" w:lastRow="0" w:firstColumn="1" w:lastColumn="0" w:noHBand="0" w:noVBand="1"/>
      </w:tblPr>
      <w:tblGrid>
        <w:gridCol w:w="6096"/>
        <w:gridCol w:w="2409"/>
      </w:tblGrid>
      <w:tr w:rsidRPr="009C48DA" w:rsidR="00EE3365" w:rsidTr="00945C37" w14:paraId="32A78F01" w14:textId="77777777">
        <w:trPr>
          <w:trHeight w:val="81"/>
        </w:trPr>
        <w:tc>
          <w:tcPr>
            <w:tcW w:w="6096" w:type="dxa"/>
            <w:shd w:val="clear" w:color="auto" w:fill="auto"/>
            <w:vAlign w:val="bottom"/>
          </w:tcPr>
          <w:p w:rsidRPr="009C48DA" w:rsidR="00EE3365" w:rsidP="00D57626" w:rsidRDefault="00EE3365" w14:paraId="4FBF0463" w14:textId="77777777">
            <w:pPr>
              <w:rPr>
                <w:b/>
                <w:sz w:val="20"/>
                <w:szCs w:val="20"/>
                <w:lang w:val="en-GB"/>
              </w:rPr>
            </w:pPr>
          </w:p>
        </w:tc>
        <w:tc>
          <w:tcPr>
            <w:tcW w:w="2409" w:type="dxa"/>
            <w:shd w:val="clear" w:color="auto" w:fill="auto"/>
            <w:vAlign w:val="bottom"/>
          </w:tcPr>
          <w:p w:rsidRPr="009C48DA" w:rsidR="00EE3365" w:rsidP="00D57626" w:rsidRDefault="00EE3365" w14:paraId="6E183B4B" w14:textId="77777777">
            <w:pPr>
              <w:pBdr>
                <w:bottom w:val="single" w:color="auto" w:sz="4" w:space="1"/>
              </w:pBdr>
              <w:jc w:val="center"/>
              <w:rPr>
                <w:rFonts w:cs="Times New Roman"/>
                <w:b/>
                <w:sz w:val="20"/>
                <w:szCs w:val="20"/>
                <w:lang w:val="en-GB"/>
              </w:rPr>
            </w:pPr>
            <w:r w:rsidRPr="009C48DA">
              <w:rPr>
                <w:rFonts w:cs="Times New Roman"/>
                <w:b/>
                <w:sz w:val="20"/>
                <w:szCs w:val="20"/>
                <w:lang w:val="en-GB"/>
              </w:rPr>
              <w:t>As of 31 March 2021</w:t>
            </w:r>
          </w:p>
        </w:tc>
      </w:tr>
      <w:tr w:rsidRPr="009C48DA" w:rsidR="00EE3365" w:rsidTr="00945C37" w14:paraId="255C25F1" w14:textId="77777777">
        <w:trPr>
          <w:trHeight w:val="81"/>
        </w:trPr>
        <w:tc>
          <w:tcPr>
            <w:tcW w:w="6096" w:type="dxa"/>
            <w:shd w:val="clear" w:color="auto" w:fill="auto"/>
            <w:vAlign w:val="bottom"/>
          </w:tcPr>
          <w:p w:rsidRPr="009C48DA" w:rsidR="00EE3365" w:rsidP="00D57626" w:rsidRDefault="00EE3365" w14:paraId="6125DC6C" w14:textId="77777777">
            <w:pPr>
              <w:tabs>
                <w:tab w:val="right" w:leader="dot" w:pos="4628"/>
              </w:tabs>
              <w:rPr>
                <w:rFonts w:cs="Times New Roman"/>
                <w:b/>
                <w:sz w:val="20"/>
                <w:szCs w:val="20"/>
                <w:lang w:val="en-GB"/>
              </w:rPr>
            </w:pPr>
          </w:p>
        </w:tc>
        <w:tc>
          <w:tcPr>
            <w:tcW w:w="2409" w:type="dxa"/>
            <w:shd w:val="clear" w:color="auto" w:fill="auto"/>
            <w:vAlign w:val="bottom"/>
          </w:tcPr>
          <w:p w:rsidRPr="009C48DA" w:rsidR="00EE3365" w:rsidP="00D57626" w:rsidRDefault="00EE3365" w14:paraId="04860AE2" w14:textId="77777777">
            <w:pPr>
              <w:jc w:val="center"/>
              <w:rPr>
                <w:sz w:val="20"/>
                <w:szCs w:val="20"/>
                <w:lang w:val="en-GB"/>
              </w:rPr>
            </w:pPr>
            <w:r w:rsidRPr="009C48DA">
              <w:rPr>
                <w:sz w:val="20"/>
                <w:szCs w:val="20"/>
                <w:lang w:val="en-GB"/>
              </w:rPr>
              <w:t>(£ in millions)</w:t>
            </w:r>
          </w:p>
        </w:tc>
      </w:tr>
      <w:tr w:rsidRPr="009C48DA" w:rsidR="00EE3365" w:rsidTr="00945C37" w14:paraId="3400D897" w14:textId="77777777">
        <w:trPr>
          <w:trHeight w:val="81"/>
        </w:trPr>
        <w:tc>
          <w:tcPr>
            <w:tcW w:w="6096" w:type="dxa"/>
            <w:shd w:val="clear" w:color="auto" w:fill="auto"/>
            <w:vAlign w:val="bottom"/>
          </w:tcPr>
          <w:p w:rsidRPr="009C48DA" w:rsidR="00EE3365" w:rsidP="00D57626" w:rsidRDefault="00EE3365" w14:paraId="5B285DF9" w14:textId="3EC0165B">
            <w:pPr>
              <w:tabs>
                <w:tab w:val="right" w:leader="dot" w:pos="4628"/>
              </w:tabs>
              <w:rPr>
                <w:rFonts w:cs="Times New Roman"/>
                <w:sz w:val="20"/>
                <w:szCs w:val="20"/>
                <w:lang w:val="en-GB"/>
              </w:rPr>
            </w:pPr>
            <w:r w:rsidRPr="009C48DA">
              <w:rPr>
                <w:rFonts w:cs="Times New Roman"/>
                <w:sz w:val="20"/>
                <w:szCs w:val="20"/>
                <w:lang w:val="en-GB"/>
              </w:rPr>
              <w:t>Bank borrowings</w:t>
            </w:r>
            <w:r w:rsidRPr="009C48DA">
              <w:rPr>
                <w:rFonts w:cs="Times New Roman"/>
                <w:sz w:val="20"/>
                <w:szCs w:val="20"/>
                <w:vertAlign w:val="superscript"/>
                <w:lang w:val="en-GB"/>
              </w:rPr>
              <w:t>(1)(2)</w:t>
            </w:r>
            <w:r w:rsidRPr="009C48DA" w:rsidR="007338ED">
              <w:rPr>
                <w:rFonts w:cs="Times New Roman"/>
                <w:sz w:val="20"/>
                <w:szCs w:val="20"/>
                <w:vertAlign w:val="superscript"/>
                <w:lang w:val="en-GB"/>
              </w:rPr>
              <w:t>(3)</w:t>
            </w:r>
            <w:r w:rsidRPr="009C48DA">
              <w:rPr>
                <w:rFonts w:cs="Times New Roman"/>
                <w:sz w:val="20"/>
                <w:szCs w:val="20"/>
                <w:lang w:val="en-GB"/>
              </w:rPr>
              <w:tab/>
            </w:r>
          </w:p>
        </w:tc>
        <w:tc>
          <w:tcPr>
            <w:tcW w:w="2409" w:type="dxa"/>
            <w:shd w:val="clear" w:color="auto" w:fill="auto"/>
            <w:vAlign w:val="bottom"/>
          </w:tcPr>
          <w:p w:rsidRPr="009C48DA" w:rsidR="00EE3365" w:rsidP="00D57626" w:rsidRDefault="007338ED" w14:paraId="36AA07FA" w14:textId="267EE163">
            <w:pPr>
              <w:jc w:val="center"/>
              <w:rPr>
                <w:rFonts w:cs="Times New Roman"/>
                <w:sz w:val="20"/>
                <w:szCs w:val="20"/>
                <w:lang w:val="en-GB"/>
              </w:rPr>
            </w:pPr>
            <w:r w:rsidRPr="009C48DA">
              <w:rPr>
                <w:sz w:val="20"/>
                <w:szCs w:val="20"/>
                <w:lang w:val="en-GB"/>
              </w:rPr>
              <w:t>87.5</w:t>
            </w:r>
          </w:p>
        </w:tc>
      </w:tr>
      <w:tr w:rsidRPr="009C48DA" w:rsidR="00EE3365" w:rsidTr="00945C37" w14:paraId="76DFB596" w14:textId="77777777">
        <w:trPr>
          <w:trHeight w:val="81"/>
        </w:trPr>
        <w:tc>
          <w:tcPr>
            <w:tcW w:w="6096" w:type="dxa"/>
            <w:shd w:val="clear" w:color="auto" w:fill="auto"/>
            <w:vAlign w:val="bottom"/>
          </w:tcPr>
          <w:p w:rsidRPr="009C48DA" w:rsidR="00EE3365" w:rsidP="00D57626" w:rsidRDefault="00EE3365" w14:paraId="1F81D95F" w14:textId="77777777">
            <w:pPr>
              <w:tabs>
                <w:tab w:val="right" w:leader="dot" w:pos="4628"/>
              </w:tabs>
              <w:rPr>
                <w:rFonts w:cs="Times New Roman"/>
                <w:sz w:val="20"/>
                <w:szCs w:val="20"/>
                <w:lang w:val="en-GB"/>
              </w:rPr>
            </w:pPr>
            <w:r w:rsidRPr="009C48DA">
              <w:rPr>
                <w:rFonts w:cs="Times New Roman"/>
                <w:sz w:val="20"/>
                <w:szCs w:val="20"/>
                <w:lang w:val="en-GB"/>
              </w:rPr>
              <w:t>Cash and cash equivalents</w:t>
            </w:r>
            <w:r w:rsidRPr="009C48DA">
              <w:rPr>
                <w:rFonts w:cs="Times New Roman"/>
                <w:sz w:val="20"/>
                <w:szCs w:val="20"/>
                <w:lang w:val="en-GB"/>
              </w:rPr>
              <w:tab/>
            </w:r>
          </w:p>
        </w:tc>
        <w:tc>
          <w:tcPr>
            <w:tcW w:w="2409" w:type="dxa"/>
            <w:shd w:val="clear" w:color="auto" w:fill="auto"/>
            <w:vAlign w:val="bottom"/>
          </w:tcPr>
          <w:p w:rsidRPr="009C48DA" w:rsidR="00EE3365" w:rsidP="00D57626" w:rsidRDefault="00EE3365" w14:paraId="537CD40C" w14:textId="77777777">
            <w:pPr>
              <w:pBdr>
                <w:bottom w:val="single" w:color="auto" w:sz="4" w:space="1"/>
              </w:pBdr>
              <w:jc w:val="center"/>
              <w:rPr>
                <w:sz w:val="20"/>
                <w:szCs w:val="20"/>
                <w:lang w:val="en-GB"/>
              </w:rPr>
            </w:pPr>
            <w:r w:rsidRPr="009C48DA">
              <w:rPr>
                <w:sz w:val="20"/>
                <w:szCs w:val="20"/>
                <w:lang w:val="en-GB"/>
              </w:rPr>
              <w:t>67.8</w:t>
            </w:r>
          </w:p>
        </w:tc>
      </w:tr>
      <w:tr w:rsidRPr="009C48DA" w:rsidR="00EE3365" w:rsidTr="00945C37" w14:paraId="06E1C53D" w14:textId="77777777">
        <w:trPr>
          <w:trHeight w:val="81"/>
        </w:trPr>
        <w:tc>
          <w:tcPr>
            <w:tcW w:w="6096" w:type="dxa"/>
            <w:shd w:val="clear" w:color="auto" w:fill="auto"/>
            <w:vAlign w:val="bottom"/>
          </w:tcPr>
          <w:p w:rsidRPr="009C48DA" w:rsidR="00EE3365" w:rsidP="00D57626" w:rsidRDefault="00EE3365" w14:paraId="7F46248A" w14:textId="3694D054">
            <w:pPr>
              <w:tabs>
                <w:tab w:val="right" w:leader="dot" w:pos="4628"/>
              </w:tabs>
              <w:rPr>
                <w:rFonts w:cs="Times New Roman"/>
                <w:b/>
                <w:sz w:val="20"/>
                <w:szCs w:val="20"/>
                <w:lang w:val="en-GB"/>
              </w:rPr>
            </w:pPr>
            <w:r w:rsidRPr="009C48DA">
              <w:rPr>
                <w:rFonts w:cs="Times New Roman"/>
                <w:b/>
                <w:sz w:val="20"/>
                <w:szCs w:val="20"/>
                <w:lang w:val="en-GB"/>
              </w:rPr>
              <w:t>Net debt</w:t>
            </w:r>
            <w:r w:rsidRPr="009C48DA" w:rsidR="007338ED">
              <w:rPr>
                <w:rFonts w:cs="Times New Roman"/>
                <w:b/>
                <w:sz w:val="20"/>
                <w:szCs w:val="20"/>
                <w:vertAlign w:val="superscript"/>
                <w:lang w:val="en-GB"/>
              </w:rPr>
              <w:t>(2)(3)</w:t>
            </w:r>
            <w:r w:rsidRPr="009C48DA">
              <w:rPr>
                <w:rFonts w:cs="Times New Roman"/>
                <w:b/>
                <w:sz w:val="20"/>
                <w:szCs w:val="20"/>
                <w:lang w:val="en-GB"/>
              </w:rPr>
              <w:tab/>
            </w:r>
          </w:p>
        </w:tc>
        <w:tc>
          <w:tcPr>
            <w:tcW w:w="2409" w:type="dxa"/>
            <w:shd w:val="clear" w:color="auto" w:fill="auto"/>
            <w:vAlign w:val="bottom"/>
          </w:tcPr>
          <w:p w:rsidRPr="009C48DA" w:rsidR="00EE3365" w:rsidP="00D57626" w:rsidRDefault="007338ED" w14:paraId="40F4B573" w14:textId="6C30FF05">
            <w:pPr>
              <w:pBdr>
                <w:bottom w:val="double" w:color="auto" w:sz="4" w:space="1"/>
              </w:pBdr>
              <w:jc w:val="center"/>
              <w:rPr>
                <w:sz w:val="20"/>
                <w:szCs w:val="20"/>
                <w:lang w:val="en-GB"/>
              </w:rPr>
            </w:pPr>
            <w:r w:rsidRPr="009C48DA">
              <w:rPr>
                <w:sz w:val="20"/>
                <w:szCs w:val="20"/>
                <w:lang w:val="en-GB"/>
              </w:rPr>
              <w:t>19.7</w:t>
            </w:r>
          </w:p>
        </w:tc>
      </w:tr>
    </w:tbl>
    <w:p w:rsidRPr="009C48DA" w:rsidR="00797302" w:rsidP="00797302" w:rsidRDefault="00797302" w14:paraId="2E94503A" w14:textId="1274B336">
      <w:pPr>
        <w:pBdr>
          <w:bottom w:val="single" w:color="auto" w:sz="4" w:space="1"/>
        </w:pBdr>
        <w:ind w:right="7200"/>
        <w:rPr>
          <w:rFonts w:eastAsia="Calibri" w:cs="Arial"/>
          <w:sz w:val="20"/>
          <w:szCs w:val="20"/>
          <w:lang w:val="en-GB"/>
        </w:rPr>
      </w:pPr>
    </w:p>
    <w:p w:rsidRPr="009C48DA" w:rsidR="007338ED" w:rsidP="00797302" w:rsidRDefault="007338ED" w14:paraId="220BE859" w14:textId="77777777">
      <w:pPr>
        <w:pBdr>
          <w:bottom w:val="single" w:color="auto" w:sz="4" w:space="1"/>
        </w:pBdr>
        <w:ind w:right="7200"/>
        <w:rPr>
          <w:rFonts w:eastAsia="Calibri" w:cs="Arial"/>
          <w:sz w:val="20"/>
          <w:szCs w:val="20"/>
          <w:lang w:val="en-GB"/>
        </w:rPr>
      </w:pPr>
    </w:p>
    <w:p w:rsidRPr="009C48DA" w:rsidR="00EE3365" w:rsidP="00EE3365" w:rsidRDefault="00EE3365" w14:paraId="5683BE88" w14:textId="68A1C166">
      <w:pPr>
        <w:pStyle w:val="BodyText"/>
        <w:spacing w:line="240" w:lineRule="auto"/>
        <w:ind w:left="426" w:hanging="426"/>
        <w:rPr>
          <w:color w:val="000000"/>
          <w:sz w:val="17"/>
          <w:szCs w:val="17"/>
          <w:lang w:val="en-GB"/>
        </w:rPr>
      </w:pPr>
      <w:r w:rsidRPr="009C48DA">
        <w:rPr>
          <w:color w:val="000000"/>
          <w:sz w:val="17"/>
          <w:szCs w:val="17"/>
          <w:lang w:val="en-GB"/>
        </w:rPr>
        <w:t>(1)</w:t>
      </w:r>
      <w:r w:rsidRPr="009C48DA">
        <w:rPr>
          <w:color w:val="000000"/>
          <w:sz w:val="17"/>
          <w:szCs w:val="17"/>
          <w:lang w:val="en-GB"/>
        </w:rPr>
        <w:tab/>
      </w:r>
      <w:r w:rsidRPr="009C48DA" w:rsidR="003B0996">
        <w:rPr>
          <w:color w:val="000000"/>
          <w:sz w:val="17"/>
          <w:szCs w:val="17"/>
          <w:lang w:val="en-GB"/>
        </w:rPr>
        <w:t>Bank b</w:t>
      </w:r>
      <w:r w:rsidRPr="009C48DA">
        <w:rPr>
          <w:color w:val="000000"/>
          <w:sz w:val="17"/>
          <w:szCs w:val="17"/>
          <w:lang w:val="en-GB"/>
        </w:rPr>
        <w:t xml:space="preserve">orrowings </w:t>
      </w:r>
      <w:r w:rsidRPr="009C48DA" w:rsidR="00DE02CD">
        <w:rPr>
          <w:color w:val="000000"/>
          <w:sz w:val="17"/>
          <w:szCs w:val="17"/>
          <w:lang w:val="en-GB"/>
        </w:rPr>
        <w:t>are net of</w:t>
      </w:r>
      <w:r w:rsidRPr="009C48DA">
        <w:rPr>
          <w:color w:val="000000"/>
          <w:sz w:val="17"/>
          <w:szCs w:val="17"/>
          <w:lang w:val="en-GB"/>
        </w:rPr>
        <w:t xml:space="preserve"> </w:t>
      </w:r>
      <w:r w:rsidRPr="009C48DA" w:rsidR="007338ED">
        <w:rPr>
          <w:color w:val="000000"/>
          <w:sz w:val="17"/>
          <w:szCs w:val="17"/>
          <w:lang w:val="en-GB"/>
        </w:rPr>
        <w:t xml:space="preserve">loan arrangement fees </w:t>
      </w:r>
      <w:r w:rsidRPr="009C48DA">
        <w:rPr>
          <w:color w:val="000000"/>
          <w:sz w:val="17"/>
          <w:szCs w:val="17"/>
          <w:lang w:val="en-GB"/>
        </w:rPr>
        <w:t>that are capitalised as part of the liability and charged to the income statement over the life of the facility</w:t>
      </w:r>
      <w:r w:rsidRPr="009C48DA" w:rsidR="007338ED">
        <w:rPr>
          <w:color w:val="000000"/>
          <w:sz w:val="17"/>
          <w:szCs w:val="17"/>
          <w:lang w:val="en-GB"/>
        </w:rPr>
        <w:t xml:space="preserve"> and </w:t>
      </w:r>
      <w:r w:rsidRPr="009C48DA" w:rsidR="00DE02CD">
        <w:rPr>
          <w:color w:val="000000"/>
          <w:sz w:val="17"/>
          <w:szCs w:val="17"/>
          <w:lang w:val="en-GB"/>
        </w:rPr>
        <w:t xml:space="preserve">exclude </w:t>
      </w:r>
      <w:r w:rsidRPr="009C48DA" w:rsidR="006826D5">
        <w:rPr>
          <w:color w:val="000000"/>
          <w:sz w:val="17"/>
          <w:szCs w:val="17"/>
          <w:lang w:val="en-GB"/>
        </w:rPr>
        <w:t>accrued interest</w:t>
      </w:r>
      <w:r w:rsidRPr="009C48DA">
        <w:rPr>
          <w:color w:val="000000"/>
          <w:sz w:val="17"/>
          <w:szCs w:val="17"/>
          <w:lang w:val="en-GB"/>
        </w:rPr>
        <w:t>.</w:t>
      </w:r>
    </w:p>
    <w:p w:rsidRPr="009C48DA" w:rsidR="00797302" w:rsidP="00EE3365" w:rsidRDefault="00EE3365" w14:paraId="716F8B91" w14:textId="6D4E6143">
      <w:pPr>
        <w:pStyle w:val="BodyText"/>
        <w:spacing w:line="240" w:lineRule="auto"/>
        <w:ind w:left="426" w:hanging="426"/>
        <w:rPr>
          <w:color w:val="000000"/>
          <w:sz w:val="17"/>
          <w:szCs w:val="17"/>
          <w:lang w:val="en-GB"/>
        </w:rPr>
      </w:pPr>
      <w:r w:rsidRPr="009C48DA">
        <w:rPr>
          <w:color w:val="000000"/>
          <w:sz w:val="17"/>
          <w:szCs w:val="17"/>
          <w:lang w:val="en-GB"/>
        </w:rPr>
        <w:t>(2</w:t>
      </w:r>
      <w:r w:rsidRPr="009C48DA" w:rsidR="00797302">
        <w:rPr>
          <w:color w:val="000000"/>
          <w:sz w:val="17"/>
          <w:szCs w:val="17"/>
          <w:lang w:val="en-GB"/>
        </w:rPr>
        <w:t>)</w:t>
      </w:r>
      <w:r w:rsidRPr="009C48DA" w:rsidR="00797302">
        <w:rPr>
          <w:color w:val="000000"/>
          <w:sz w:val="17"/>
          <w:szCs w:val="17"/>
          <w:lang w:val="en-GB"/>
        </w:rPr>
        <w:tab/>
        <w:t xml:space="preserve">The financial liabilities, including bank borrowings, of the </w:t>
      </w:r>
      <w:r w:rsidRPr="009C48DA" w:rsidR="007F7AA9">
        <w:rPr>
          <w:color w:val="000000"/>
          <w:sz w:val="17"/>
          <w:szCs w:val="17"/>
          <w:lang w:val="en-GB"/>
        </w:rPr>
        <w:t xml:space="preserve">Bridgepoint </w:t>
      </w:r>
      <w:r w:rsidRPr="009C48DA" w:rsidR="00797302">
        <w:rPr>
          <w:color w:val="000000"/>
          <w:sz w:val="17"/>
          <w:szCs w:val="17"/>
          <w:lang w:val="en-GB"/>
        </w:rPr>
        <w:t>CLO fund vehicles are consolidated within the Historical Financial Information set out in</w:t>
      </w:r>
      <w:r w:rsidRPr="009C48DA" w:rsidR="0034549F">
        <w:rPr>
          <w:color w:val="000000"/>
          <w:sz w:val="17"/>
          <w:szCs w:val="17"/>
          <w:lang w:val="en-GB"/>
        </w:rPr>
        <w:t xml:space="preserve"> </w:t>
      </w:r>
      <w:r w:rsidRPr="009C48DA" w:rsidR="0034549F">
        <w:rPr>
          <w:color w:val="000000"/>
          <w:sz w:val="17"/>
          <w:szCs w:val="17"/>
          <w:lang w:val="en-GB"/>
        </w:rPr>
        <w:fldChar w:fldCharType="begin"/>
      </w:r>
      <w:r w:rsidRPr="009C48DA" w:rsidR="0034549F">
        <w:rPr>
          <w:color w:val="000000"/>
          <w:sz w:val="17"/>
          <w:szCs w:val="17"/>
          <w:lang w:val="en-GB"/>
        </w:rPr>
        <w:instrText xml:space="preserve"> REF _Ref72800070 \n \h  \* MERGEFORMAT </w:instrText>
      </w:r>
      <w:r w:rsidRPr="009C48DA" w:rsidR="0034549F">
        <w:rPr>
          <w:color w:val="000000"/>
          <w:sz w:val="17"/>
          <w:szCs w:val="17"/>
          <w:lang w:val="en-GB"/>
        </w:rPr>
      </w:r>
      <w:r w:rsidRPr="009C48DA" w:rsidR="0034549F">
        <w:rPr>
          <w:color w:val="000000"/>
          <w:sz w:val="17"/>
          <w:szCs w:val="17"/>
          <w:lang w:val="en-GB"/>
        </w:rPr>
        <w:fldChar w:fldCharType="separate"/>
      </w:r>
      <w:r w:rsidR="007C3D19">
        <w:rPr>
          <w:color w:val="000000"/>
          <w:sz w:val="17"/>
          <w:szCs w:val="17"/>
          <w:lang w:val="en-GB"/>
        </w:rPr>
        <w:t>Part B</w:t>
      </w:r>
      <w:r w:rsidRPr="009C48DA" w:rsidR="0034549F">
        <w:rPr>
          <w:color w:val="000000"/>
          <w:sz w:val="17"/>
          <w:szCs w:val="17"/>
          <w:lang w:val="en-GB"/>
        </w:rPr>
        <w:fldChar w:fldCharType="end"/>
      </w:r>
      <w:r w:rsidRPr="009C48DA" w:rsidR="00190876">
        <w:rPr>
          <w:color w:val="000000"/>
          <w:sz w:val="17"/>
          <w:szCs w:val="17"/>
          <w:lang w:val="en-GB"/>
        </w:rPr>
        <w:t xml:space="preserve"> of </w:t>
      </w:r>
      <w:r w:rsidRPr="009C48DA" w:rsidR="00797302">
        <w:rPr>
          <w:color w:val="000000"/>
          <w:sz w:val="17"/>
          <w:szCs w:val="17"/>
          <w:lang w:val="en-GB"/>
        </w:rPr>
        <w:fldChar w:fldCharType="begin"/>
      </w:r>
      <w:r w:rsidRPr="009C48DA" w:rsidR="00797302">
        <w:rPr>
          <w:color w:val="000000"/>
          <w:sz w:val="17"/>
          <w:szCs w:val="17"/>
          <w:lang w:val="en-GB"/>
        </w:rPr>
        <w:instrText xml:space="preserve"> REF _Ref74473101 \n \h </w:instrText>
      </w:r>
      <w:r w:rsidRPr="009C48DA" w:rsidR="0034549F">
        <w:rPr>
          <w:color w:val="000000"/>
          <w:sz w:val="17"/>
          <w:szCs w:val="17"/>
          <w:lang w:val="en-GB"/>
        </w:rPr>
        <w:instrText xml:space="preserve"> \* MERGEFORMAT </w:instrText>
      </w:r>
      <w:r w:rsidRPr="009C48DA" w:rsidR="00797302">
        <w:rPr>
          <w:color w:val="000000"/>
          <w:sz w:val="17"/>
          <w:szCs w:val="17"/>
          <w:lang w:val="en-GB"/>
        </w:rPr>
      </w:r>
      <w:r w:rsidRPr="009C48DA" w:rsidR="00797302">
        <w:rPr>
          <w:color w:val="000000"/>
          <w:sz w:val="17"/>
          <w:szCs w:val="17"/>
          <w:lang w:val="en-GB"/>
        </w:rPr>
        <w:fldChar w:fldCharType="separate"/>
      </w:r>
      <w:r w:rsidR="007C3D19">
        <w:rPr>
          <w:color w:val="000000"/>
          <w:sz w:val="17"/>
          <w:szCs w:val="17"/>
          <w:lang w:val="en-GB"/>
        </w:rPr>
        <w:t>Part X</w:t>
      </w:r>
      <w:r w:rsidRPr="009C48DA" w:rsidR="00797302">
        <w:rPr>
          <w:color w:val="000000"/>
          <w:sz w:val="17"/>
          <w:szCs w:val="17"/>
          <w:lang w:val="en-GB"/>
        </w:rPr>
        <w:fldChar w:fldCharType="end"/>
      </w:r>
      <w:r w:rsidRPr="009C48DA" w:rsidR="0034549F">
        <w:rPr>
          <w:color w:val="000000"/>
          <w:sz w:val="17"/>
          <w:szCs w:val="17"/>
          <w:lang w:val="en-GB"/>
        </w:rPr>
        <w:t xml:space="preserve"> </w:t>
      </w:r>
      <w:r w:rsidRPr="009C48DA" w:rsidR="0034549F">
        <w:rPr>
          <w:rFonts w:eastAsia="Times New Roman" w:cs="Times New Roman"/>
          <w:color w:val="000000"/>
          <w:sz w:val="17"/>
          <w:szCs w:val="17"/>
          <w:lang w:val="en-GB"/>
        </w:rPr>
        <w:t>(</w:t>
      </w:r>
      <w:r w:rsidRPr="009C48DA" w:rsidR="0034549F">
        <w:rPr>
          <w:rFonts w:eastAsia="Times New Roman" w:cs="Times New Roman"/>
          <w:i/>
          <w:color w:val="000000"/>
          <w:sz w:val="17"/>
          <w:szCs w:val="17"/>
          <w:lang w:val="en-GB"/>
        </w:rPr>
      </w:r>
      <w:r w:rsidRPr="007C3D19" w:rsidR="007C3D19">
        <w:rPr>
          <w:i/>
          <w:sz w:val="17"/>
          <w:szCs w:val="17"/>
          <w:lang w:val="en-GB"/>
        </w:rPr>
        <w:t>Historical Financial Information</w:t>
      </w:r>
      <w:r w:rsidRPr="009C48DA" w:rsidR="0034549F">
        <w:rPr>
          <w:rFonts w:eastAsia="Times New Roman" w:cs="Times New Roman"/>
          <w:color w:val="000000"/>
          <w:sz w:val="17"/>
          <w:szCs w:val="17"/>
          <w:lang w:val="en-GB"/>
        </w:rPr>
        <w:t>)</w:t>
      </w:r>
      <w:r w:rsidRPr="009C48DA" w:rsidR="00797302">
        <w:rPr>
          <w:color w:val="000000"/>
          <w:sz w:val="17"/>
          <w:szCs w:val="17"/>
          <w:lang w:val="en-GB"/>
        </w:rPr>
        <w:t> , but are not included in the table as the relevant amounts are not available to the Group and there is no recourse to the Group in respect of such financial liabilities.</w:t>
      </w:r>
      <w:r w:rsidRPr="009C48DA" w:rsidR="002B6DD9">
        <w:rPr>
          <w:color w:val="000000"/>
          <w:sz w:val="17"/>
          <w:szCs w:val="17"/>
          <w:lang w:val="en-GB"/>
        </w:rPr>
        <w:t xml:space="preserve"> The financial liabilities of the </w:t>
      </w:r>
      <w:r w:rsidRPr="009C48DA" w:rsidR="007F7AA9">
        <w:rPr>
          <w:color w:val="000000"/>
          <w:sz w:val="17"/>
          <w:szCs w:val="17"/>
          <w:lang w:val="en-GB"/>
        </w:rPr>
        <w:t xml:space="preserve">Bridgepoint </w:t>
      </w:r>
      <w:r w:rsidRPr="009C48DA" w:rsidR="002B6DD9">
        <w:rPr>
          <w:color w:val="000000"/>
          <w:sz w:val="17"/>
          <w:szCs w:val="17"/>
          <w:lang w:val="en-GB"/>
        </w:rPr>
        <w:t xml:space="preserve">CLO fund vehicles that are consolidated within the Historical Financial Information includes notes in fully launched </w:t>
      </w:r>
      <w:r w:rsidRPr="009C48DA" w:rsidR="007F7AA9">
        <w:rPr>
          <w:color w:val="000000"/>
          <w:sz w:val="17"/>
          <w:szCs w:val="17"/>
          <w:lang w:val="en-GB"/>
        </w:rPr>
        <w:t xml:space="preserve">Bridgepoint </w:t>
      </w:r>
      <w:r w:rsidRPr="009C48DA" w:rsidR="002B6DD9">
        <w:rPr>
          <w:color w:val="000000"/>
          <w:sz w:val="17"/>
          <w:szCs w:val="17"/>
          <w:lang w:val="en-GB"/>
        </w:rPr>
        <w:t xml:space="preserve">CLO fund vehicles and credit facilities for warehoused </w:t>
      </w:r>
      <w:r w:rsidRPr="009C48DA" w:rsidR="007F7AA9">
        <w:rPr>
          <w:color w:val="000000"/>
          <w:sz w:val="17"/>
          <w:szCs w:val="17"/>
          <w:lang w:val="en-GB"/>
        </w:rPr>
        <w:t xml:space="preserve">Bridgepoint </w:t>
      </w:r>
      <w:r w:rsidRPr="009C48DA" w:rsidR="002B6DD9">
        <w:rPr>
          <w:color w:val="000000"/>
          <w:sz w:val="17"/>
          <w:szCs w:val="17"/>
          <w:lang w:val="en-GB"/>
        </w:rPr>
        <w:t>CLO vehicles prior to the launch of the CLO.</w:t>
      </w:r>
    </w:p>
    <w:p w:rsidRPr="009C48DA" w:rsidR="007338ED" w:rsidP="00EE3365" w:rsidRDefault="007338ED" w14:paraId="2CC55F39" w14:textId="75511E49">
      <w:pPr>
        <w:pStyle w:val="BodyText"/>
        <w:spacing w:line="240" w:lineRule="auto"/>
        <w:ind w:left="426" w:hanging="426"/>
        <w:rPr>
          <w:color w:val="000000"/>
          <w:sz w:val="17"/>
          <w:szCs w:val="17"/>
          <w:lang w:val="en-GB"/>
        </w:rPr>
      </w:pPr>
      <w:r w:rsidRPr="009C48DA">
        <w:rPr>
          <w:color w:val="000000"/>
          <w:sz w:val="17"/>
          <w:szCs w:val="17"/>
          <w:lang w:val="en-GB"/>
        </w:rPr>
        <w:t>(3)</w:t>
      </w:r>
      <w:r w:rsidRPr="009C48DA">
        <w:rPr>
          <w:color w:val="000000"/>
          <w:sz w:val="17"/>
          <w:szCs w:val="17"/>
          <w:lang w:val="en-GB"/>
        </w:rPr>
        <w:tab/>
        <w:t>Lease liabilities and other financial liabilities are not included in this table.</w:t>
      </w:r>
    </w:p>
    <w:p w:rsidRPr="009C48DA" w:rsidR="00B83C37" w:rsidP="0060161D" w:rsidRDefault="00B83C37" w14:paraId="6788AFB2" w14:textId="3F5420F9">
      <w:pPr>
        <w:rPr>
          <w:lang w:val="en-GB"/>
        </w:rPr>
      </w:pPr>
    </w:p>
    <w:p w:rsidRPr="009C48DA" w:rsidR="00447D95" w:rsidP="0060161D" w:rsidRDefault="00447D95" w14:paraId="1981BF6F" w14:textId="77777777">
      <w:pPr>
        <w:rPr>
          <w:lang w:val="en-GB"/>
        </w:rPr>
      </w:pPr>
    </w:p>
    <w:p w:rsidRPr="009C48DA" w:rsidR="00B51E80" w:rsidP="007338ED" w:rsidRDefault="00B51E80" w14:paraId="5F6B3330" w14:textId="2CFA31C6">
      <w:pPr>
        <w:pStyle w:val="BodyText2SglJ"/>
        <w:keepNext/>
        <w:rPr>
          <w:rFonts w:eastAsia="Calibri" w:cs="Arial"/>
          <w:lang w:val="en-GB"/>
        </w:rPr>
      </w:pPr>
      <w:r w:rsidRPr="009C48DA">
        <w:rPr>
          <w:rFonts w:eastAsia="Calibri" w:cs="Arial"/>
          <w:szCs w:val="20"/>
          <w:lang w:val="en-GB"/>
        </w:rPr>
        <w:t xml:space="preserve">Set forth below is a table summarising the </w:t>
      </w:r>
      <w:r w:rsidRPr="009C48DA" w:rsidR="007338ED">
        <w:rPr>
          <w:rFonts w:eastAsia="Calibri" w:cs="Arial"/>
          <w:szCs w:val="20"/>
          <w:lang w:val="en-GB"/>
        </w:rPr>
        <w:t>drawn</w:t>
      </w:r>
      <w:r w:rsidRPr="009C48DA" w:rsidR="00797302">
        <w:rPr>
          <w:rFonts w:eastAsia="Calibri" w:cs="Arial"/>
          <w:szCs w:val="20"/>
          <w:lang w:val="en-GB"/>
        </w:rPr>
        <w:t xml:space="preserve"> amounts under the Group’s r</w:t>
      </w:r>
      <w:r w:rsidRPr="009C48DA">
        <w:rPr>
          <w:rFonts w:eastAsia="Calibri" w:cs="Arial"/>
          <w:szCs w:val="20"/>
          <w:lang w:val="en-GB"/>
        </w:rPr>
        <w:t xml:space="preserve">evolving </w:t>
      </w:r>
      <w:r w:rsidRPr="009C48DA" w:rsidR="00797302">
        <w:rPr>
          <w:rFonts w:eastAsia="Calibri" w:cs="Arial"/>
          <w:szCs w:val="20"/>
          <w:lang w:val="en-GB"/>
        </w:rPr>
        <w:t>c</w:t>
      </w:r>
      <w:r w:rsidRPr="009C48DA">
        <w:rPr>
          <w:rFonts w:eastAsia="Calibri" w:cs="Arial"/>
          <w:szCs w:val="20"/>
          <w:lang w:val="en-GB"/>
        </w:rPr>
        <w:t xml:space="preserve">redit </w:t>
      </w:r>
      <w:r w:rsidRPr="009C48DA" w:rsidR="00797302">
        <w:rPr>
          <w:rFonts w:eastAsia="Calibri" w:cs="Arial"/>
          <w:szCs w:val="20"/>
          <w:lang w:val="en-GB"/>
        </w:rPr>
        <w:t>f</w:t>
      </w:r>
      <w:r w:rsidRPr="009C48DA">
        <w:rPr>
          <w:rFonts w:eastAsia="Calibri" w:cs="Arial"/>
          <w:szCs w:val="20"/>
          <w:lang w:val="en-GB"/>
        </w:rPr>
        <w:t>acilities as of 31 March 2021 as provided under the revolving credit facility agreements entered into by members of the Group (the “</w:t>
      </w:r>
      <w:r w:rsidRPr="009C48DA">
        <w:rPr>
          <w:rFonts w:eastAsia="Calibri" w:cs="Arial"/>
          <w:b/>
          <w:szCs w:val="20"/>
          <w:lang w:val="en-GB"/>
        </w:rPr>
        <w:t xml:space="preserve">Revolving </w:t>
      </w:r>
      <w:r w:rsidRPr="009C48DA" w:rsidR="00797302">
        <w:rPr>
          <w:rFonts w:eastAsia="Calibri" w:cs="Arial"/>
          <w:b/>
          <w:szCs w:val="20"/>
          <w:lang w:val="en-GB"/>
        </w:rPr>
        <w:t xml:space="preserve">Credit </w:t>
      </w:r>
      <w:r w:rsidRPr="009C48DA">
        <w:rPr>
          <w:rFonts w:eastAsia="Calibri" w:cs="Arial"/>
          <w:b/>
          <w:szCs w:val="20"/>
          <w:lang w:val="en-GB"/>
        </w:rPr>
        <w:t>Facilities</w:t>
      </w:r>
      <w:r w:rsidRPr="009C48DA" w:rsidR="00EE3365">
        <w:rPr>
          <w:rFonts w:eastAsia="Calibri" w:cs="Arial"/>
          <w:szCs w:val="20"/>
          <w:lang w:val="en-GB"/>
        </w:rPr>
        <w:t>,” and each a “</w:t>
      </w:r>
      <w:r w:rsidRPr="009C48DA" w:rsidR="00EE3365">
        <w:rPr>
          <w:rFonts w:eastAsia="Calibri" w:cs="Arial"/>
          <w:b/>
          <w:szCs w:val="20"/>
          <w:lang w:val="en-GB"/>
        </w:rPr>
        <w:t>Revolving Credit Facility</w:t>
      </w:r>
      <w:r w:rsidRPr="009C48DA" w:rsidR="00EE3365">
        <w:rPr>
          <w:rFonts w:eastAsia="Calibri" w:cs="Arial"/>
          <w:szCs w:val="20"/>
          <w:lang w:val="en-GB"/>
        </w:rPr>
        <w:t>”</w:t>
      </w:r>
      <w:r w:rsidRPr="009C48DA">
        <w:rPr>
          <w:rFonts w:eastAsia="Calibri" w:cs="Arial"/>
          <w:szCs w:val="20"/>
          <w:lang w:val="en-GB"/>
        </w:rPr>
        <w:t>). The Revolving Credit Facilities have an avera</w:t>
      </w:r>
      <w:r w:rsidRPr="009C48DA" w:rsidR="00EE3365">
        <w:rPr>
          <w:rFonts w:eastAsia="Calibri" w:cs="Arial"/>
          <w:szCs w:val="20"/>
          <w:lang w:val="en-GB"/>
        </w:rPr>
        <w:t xml:space="preserve">ge weighted interest rate of 3.6 per cent. </w:t>
      </w:r>
      <w:r w:rsidRPr="009C48DA">
        <w:rPr>
          <w:rFonts w:eastAsia="Calibri" w:cs="Arial"/>
          <w:szCs w:val="20"/>
          <w:lang w:val="en-GB"/>
        </w:rPr>
        <w:t xml:space="preserve">Any drawings </w:t>
      </w:r>
      <w:r w:rsidRPr="009C48DA" w:rsidR="00797302">
        <w:rPr>
          <w:rFonts w:eastAsia="Calibri" w:cs="Arial"/>
          <w:szCs w:val="20"/>
          <w:lang w:val="en-GB"/>
        </w:rPr>
        <w:t xml:space="preserve">under the Revolving Credit Facilities </w:t>
      </w:r>
      <w:r w:rsidRPr="009C48DA">
        <w:rPr>
          <w:rFonts w:eastAsia="Calibri" w:cs="Arial"/>
          <w:szCs w:val="20"/>
          <w:lang w:val="en-GB"/>
        </w:rPr>
        <w:t>are secured by, among others, share pledges over the shares of the respective borrowing entities and their immediate subsidiaries and holding comp</w:t>
      </w:r>
      <w:r w:rsidRPr="009C48DA" w:rsidR="00EE3365">
        <w:rPr>
          <w:rFonts w:eastAsia="Calibri" w:cs="Arial"/>
          <w:szCs w:val="20"/>
          <w:lang w:val="en-GB"/>
        </w:rPr>
        <w:t xml:space="preserve">anies and bank account pledges. For details on the </w:t>
      </w:r>
      <w:r w:rsidRPr="009C48DA" w:rsidR="00887260">
        <w:rPr>
          <w:rFonts w:eastAsia="Calibri" w:cs="Arial"/>
          <w:szCs w:val="20"/>
          <w:lang w:val="en-GB"/>
        </w:rPr>
        <w:t xml:space="preserve">BAH </w:t>
      </w:r>
      <w:r w:rsidRPr="009C48DA" w:rsidR="00EE3365">
        <w:rPr>
          <w:rFonts w:eastAsia="Calibri" w:cs="Arial"/>
          <w:szCs w:val="20"/>
          <w:lang w:val="en-GB"/>
        </w:rPr>
        <w:t>R</w:t>
      </w:r>
      <w:r w:rsidRPr="009C48DA">
        <w:rPr>
          <w:rFonts w:eastAsia="Calibri" w:cs="Arial"/>
          <w:szCs w:val="20"/>
          <w:lang w:val="en-GB"/>
        </w:rPr>
        <w:t xml:space="preserve">evolving </w:t>
      </w:r>
      <w:r w:rsidRPr="009C48DA" w:rsidR="007F3CAA">
        <w:rPr>
          <w:rFonts w:eastAsia="Calibri" w:cs="Arial"/>
          <w:szCs w:val="20"/>
          <w:lang w:val="en-GB"/>
        </w:rPr>
        <w:t xml:space="preserve">Credit </w:t>
      </w:r>
      <w:r w:rsidRPr="009C48DA" w:rsidR="00EE3365">
        <w:rPr>
          <w:rFonts w:eastAsia="Calibri" w:cs="Arial"/>
          <w:szCs w:val="20"/>
          <w:lang w:val="en-GB"/>
        </w:rPr>
        <w:t>Facility</w:t>
      </w:r>
      <w:r w:rsidRPr="009C48DA" w:rsidR="009C3A85">
        <w:rPr>
          <w:rFonts w:eastAsia="Calibri" w:cs="Arial"/>
          <w:szCs w:val="20"/>
          <w:lang w:val="en-GB"/>
        </w:rPr>
        <w:t xml:space="preserve">, see section </w:t>
      </w:r>
      <w:r w:rsidRPr="009C48DA" w:rsidR="009C3A85">
        <w:rPr>
          <w:rFonts w:eastAsia="Calibri" w:cs="Arial"/>
          <w:szCs w:val="20"/>
          <w:lang w:val="en-GB"/>
        </w:rPr>
        <w:fldChar w:fldCharType="begin"/>
      </w:r>
      <w:r w:rsidRPr="009C48DA" w:rsidR="009C3A85">
        <w:rPr>
          <w:rFonts w:eastAsia="Calibri" w:cs="Arial"/>
          <w:szCs w:val="20"/>
          <w:lang w:val="en-GB"/>
        </w:rPr>
        <w:instrText xml:space="preserve"> REF _Ref74672707 \n \h </w:instrText>
      </w:r>
      <w:r w:rsidRPr="009C48DA" w:rsidR="009C3A85">
        <w:rPr>
          <w:rFonts w:eastAsia="Calibri" w:cs="Arial"/>
          <w:szCs w:val="20"/>
          <w:lang w:val="en-GB"/>
        </w:rPr>
      </w:r>
      <w:r w:rsidRPr="009C48DA" w:rsidR="009C3A85">
        <w:rPr>
          <w:rFonts w:eastAsia="Calibri" w:cs="Arial"/>
          <w:szCs w:val="20"/>
          <w:lang w:val="en-GB"/>
        </w:rPr>
        <w:fldChar w:fldCharType="separate"/>
      </w:r>
      <w:r w:rsidR="007C3D19">
        <w:rPr>
          <w:rFonts w:eastAsia="Calibri" w:cs="Arial"/>
          <w:szCs w:val="20"/>
          <w:lang w:val="en-GB"/>
        </w:rPr>
        <w:t>14.3</w:t>
      </w:r>
      <w:r w:rsidRPr="009C48DA" w:rsidR="009C3A85">
        <w:rPr>
          <w:rFonts w:eastAsia="Calibri" w:cs="Arial"/>
          <w:szCs w:val="20"/>
          <w:lang w:val="en-GB"/>
        </w:rPr>
        <w:fldChar w:fldCharType="end"/>
      </w:r>
      <w:r w:rsidRPr="009C48DA" w:rsidR="009C3A85">
        <w:rPr>
          <w:rFonts w:eastAsia="Calibri" w:cs="Arial"/>
          <w:szCs w:val="20"/>
          <w:lang w:val="en-GB"/>
        </w:rPr>
        <w:t xml:space="preserve"> </w:t>
      </w:r>
      <w:r w:rsidRPr="009C48DA" w:rsidR="000F0321">
        <w:rPr>
          <w:rFonts w:eastAsia="Calibri" w:cs="Arial"/>
          <w:i/>
          <w:szCs w:val="20"/>
          <w:lang w:val="en-GB"/>
        </w:rPr>
        <w:t>(BAH Revolving Facility Agreement)</w:t>
      </w:r>
      <w:r w:rsidRPr="009C48DA" w:rsidR="000F0321">
        <w:rPr>
          <w:rFonts w:eastAsia="Calibri" w:cs="Arial"/>
          <w:szCs w:val="20"/>
          <w:lang w:val="en-GB"/>
        </w:rPr>
        <w:t xml:space="preserve"> </w:t>
      </w:r>
      <w:r w:rsidRPr="009C48DA">
        <w:rPr>
          <w:rFonts w:eastAsia="Calibri" w:cs="Arial"/>
          <w:szCs w:val="20"/>
          <w:lang w:val="en-GB"/>
        </w:rPr>
        <w:t xml:space="preserve">of </w:t>
      </w:r>
      <w:r w:rsidRPr="009C48DA">
        <w:rPr>
          <w:rFonts w:eastAsia="Calibri" w:cs="Arial"/>
          <w:szCs w:val="20"/>
          <w:lang w:val="en-GB"/>
        </w:rPr>
        <w:fldChar w:fldCharType="begin"/>
      </w:r>
      <w:r w:rsidRPr="009C48DA">
        <w:rPr>
          <w:rFonts w:eastAsia="Calibri" w:cs="Arial"/>
          <w:szCs w:val="20"/>
          <w:lang w:val="en-GB"/>
        </w:rPr>
        <w:instrText xml:space="preserve"> REF _Ref71144215 \n \h  \* MERGEFORMAT </w:instrText>
      </w:r>
      <w:r w:rsidRPr="009C48DA">
        <w:rPr>
          <w:rFonts w:eastAsia="Calibri" w:cs="Arial"/>
          <w:szCs w:val="20"/>
          <w:lang w:val="en-GB"/>
        </w:rPr>
      </w:r>
      <w:r w:rsidRPr="009C48DA">
        <w:rPr>
          <w:rFonts w:eastAsia="Calibri" w:cs="Arial"/>
          <w:szCs w:val="20"/>
          <w:lang w:val="en-GB"/>
        </w:rPr>
        <w:fldChar w:fldCharType="separate"/>
      </w:r>
      <w:r w:rsidR="007C3D19">
        <w:rPr>
          <w:rFonts w:eastAsia="Calibri" w:cs="Arial"/>
          <w:szCs w:val="20"/>
          <w:lang w:val="en-GB"/>
        </w:rPr>
        <w:t xml:space="preserve">Part </w:t>
      </w:r>
      <w:r w:rsidR="007C3D19">
        <w:rPr>
          <w:rFonts w:eastAsia="Calibri" w:cs="Arial"/>
          <w:szCs w:val="20"/>
          <w:lang w:val="en-GB"/>
        </w:rPr>
        <w:lastRenderedPageBreak/>
        <w:t>XI</w:t>
      </w:r>
      <w:r w:rsidRPr="009C48DA">
        <w:rPr>
          <w:rFonts w:eastAsia="Calibri" w:cs="Arial"/>
          <w:szCs w:val="20"/>
          <w:lang w:val="en-GB"/>
        </w:rPr>
        <w:fldChar w:fldCharType="end"/>
      </w:r>
      <w:r w:rsidRPr="009C48DA">
        <w:rPr>
          <w:rFonts w:eastAsia="Calibri" w:cs="Arial"/>
          <w:szCs w:val="20"/>
          <w:lang w:val="en-GB"/>
        </w:rPr>
        <w:t xml:space="preserve"> (</w:t>
      </w:r>
      <w:r w:rsidRPr="009C48DA">
        <w:rPr>
          <w:rFonts w:eastAsia="Calibri" w:cs="Arial"/>
          <w:i/>
          <w:szCs w:val="20"/>
          <w:lang w:val="en-GB"/>
        </w:rPr>
      </w:r>
      <w:r w:rsidRPr="007C3D19" w:rsidR="007C3D19">
        <w:rPr>
          <w:i/>
          <w:szCs w:val="20"/>
          <w:lang w:val="en-GB"/>
        </w:rPr>
        <w:t>Additional Information</w:t>
      </w:r>
      <w:r w:rsidRPr="009C48DA" w:rsidR="001B0C5A">
        <w:rPr>
          <w:rFonts w:eastAsia="Calibri" w:cs="Arial"/>
          <w:szCs w:val="20"/>
          <w:lang w:val="en-GB"/>
        </w:rPr>
        <w:t>)</w:t>
      </w:r>
      <w:r w:rsidRPr="009C48DA">
        <w:rPr>
          <w:rFonts w:eastAsia="Calibri" w:cs="Arial"/>
          <w:szCs w:val="20"/>
          <w:lang w:val="en-GB"/>
        </w:rPr>
        <w:t>.</w:t>
      </w:r>
      <w:r w:rsidRPr="009C48DA" w:rsidR="00EE3365">
        <w:rPr>
          <w:rFonts w:eastAsia="Calibri" w:cs="Arial"/>
          <w:szCs w:val="20"/>
          <w:lang w:val="en-GB"/>
        </w:rPr>
        <w:t xml:space="preserve"> The Revolving</w:t>
      </w:r>
      <w:r w:rsidRPr="009C48DA" w:rsidR="00EE3365">
        <w:rPr>
          <w:rFonts w:eastAsia="Calibri" w:cs="Arial"/>
          <w:lang w:val="en-GB"/>
        </w:rPr>
        <w:t xml:space="preserve"> Credit Facility of Opal Investments LP was repaid</w:t>
      </w:r>
      <w:r w:rsidRPr="009C48DA" w:rsidR="00653B94">
        <w:rPr>
          <w:rFonts w:eastAsia="Calibri" w:cs="Arial"/>
          <w:lang w:val="en-GB"/>
        </w:rPr>
        <w:t xml:space="preserve"> in June 2021</w:t>
      </w:r>
      <w:r w:rsidRPr="009C48DA" w:rsidR="00EE3365">
        <w:rPr>
          <w:rFonts w:eastAsia="Calibri" w:cs="Arial"/>
          <w:lang w:val="en-GB"/>
        </w:rPr>
        <w:t>.</w:t>
      </w:r>
    </w:p>
    <w:tbl>
      <w:tblPr>
        <w:tblW w:w="5000" w:type="pct"/>
        <w:tblLook w:val="04A0" w:firstRow="1" w:lastRow="0" w:firstColumn="1" w:lastColumn="0" w:noHBand="0" w:noVBand="1"/>
      </w:tblPr>
      <w:tblGrid>
        <w:gridCol w:w="4171"/>
        <w:gridCol w:w="2076"/>
        <w:gridCol w:w="2303"/>
      </w:tblGrid>
      <w:tr w:rsidRPr="009C48DA" w:rsidR="00EE3365" w:rsidTr="007338ED" w14:paraId="77A4F30D" w14:textId="77777777">
        <w:trPr>
          <w:trHeight w:val="297"/>
        </w:trPr>
        <w:tc>
          <w:tcPr>
            <w:tcW w:w="2439" w:type="pct"/>
            <w:shd w:val="clear" w:color="auto" w:fill="auto"/>
            <w:vAlign w:val="bottom"/>
          </w:tcPr>
          <w:p w:rsidRPr="009C48DA" w:rsidR="00EE3365" w:rsidP="007338ED" w:rsidRDefault="00EE3365" w14:paraId="01AF740F" w14:textId="77777777">
            <w:pPr>
              <w:keepNext/>
              <w:rPr>
                <w:b/>
                <w:sz w:val="20"/>
                <w:szCs w:val="20"/>
                <w:lang w:val="en-GB"/>
              </w:rPr>
            </w:pPr>
          </w:p>
        </w:tc>
        <w:tc>
          <w:tcPr>
            <w:tcW w:w="1214" w:type="pct"/>
            <w:shd w:val="clear" w:color="auto" w:fill="auto"/>
            <w:vAlign w:val="bottom"/>
          </w:tcPr>
          <w:p w:rsidRPr="009C48DA" w:rsidR="00EE3365" w:rsidP="007338ED" w:rsidRDefault="00EE3365" w14:paraId="43041AF9" w14:textId="77777777">
            <w:pPr>
              <w:keepNext/>
              <w:pBdr>
                <w:bottom w:val="single" w:color="auto" w:sz="4" w:space="1"/>
              </w:pBdr>
              <w:jc w:val="center"/>
              <w:rPr>
                <w:b/>
                <w:sz w:val="20"/>
                <w:szCs w:val="20"/>
                <w:lang w:val="en-GB"/>
              </w:rPr>
            </w:pPr>
            <w:r w:rsidRPr="009C48DA">
              <w:rPr>
                <w:b/>
                <w:sz w:val="20"/>
                <w:szCs w:val="20"/>
                <w:lang w:val="en-GB"/>
              </w:rPr>
              <w:t>Amount of drawn capital as of 31 March 2021</w:t>
            </w:r>
          </w:p>
        </w:tc>
        <w:tc>
          <w:tcPr>
            <w:tcW w:w="1347" w:type="pct"/>
            <w:shd w:val="clear" w:color="auto" w:fill="auto"/>
            <w:vAlign w:val="bottom"/>
          </w:tcPr>
          <w:p w:rsidRPr="009C48DA" w:rsidR="00EE3365" w:rsidP="007338ED" w:rsidRDefault="00EE3365" w14:paraId="0F8B8CCB" w14:textId="77777777">
            <w:pPr>
              <w:keepNext/>
              <w:pBdr>
                <w:bottom w:val="single" w:color="auto" w:sz="4" w:space="1"/>
              </w:pBdr>
              <w:jc w:val="center"/>
              <w:rPr>
                <w:b/>
                <w:sz w:val="20"/>
                <w:szCs w:val="20"/>
                <w:lang w:val="en-GB"/>
              </w:rPr>
            </w:pPr>
            <w:r w:rsidRPr="009C48DA">
              <w:rPr>
                <w:b/>
                <w:sz w:val="20"/>
                <w:szCs w:val="20"/>
                <w:lang w:val="en-GB"/>
              </w:rPr>
              <w:t>Undrawn availability as of 31 March 2021</w:t>
            </w:r>
          </w:p>
        </w:tc>
      </w:tr>
      <w:tr w:rsidRPr="009C48DA" w:rsidR="00EE3365" w:rsidTr="007338ED" w14:paraId="652A657B" w14:textId="77777777">
        <w:tc>
          <w:tcPr>
            <w:tcW w:w="2439" w:type="pct"/>
            <w:shd w:val="clear" w:color="auto" w:fill="auto"/>
            <w:vAlign w:val="bottom"/>
          </w:tcPr>
          <w:p w:rsidRPr="009C48DA" w:rsidR="00EE3365" w:rsidP="007338ED" w:rsidRDefault="00EE3365" w14:paraId="0E0D397B" w14:textId="499894F1">
            <w:pPr>
              <w:keepNext/>
              <w:tabs>
                <w:tab w:val="right" w:leader="dot" w:pos="3816"/>
              </w:tabs>
              <w:rPr>
                <w:b/>
                <w:sz w:val="20"/>
                <w:szCs w:val="20"/>
                <w:lang w:val="en-GB"/>
              </w:rPr>
            </w:pPr>
            <w:r w:rsidRPr="009C48DA">
              <w:rPr>
                <w:b/>
                <w:sz w:val="20"/>
                <w:szCs w:val="20"/>
                <w:lang w:val="en-GB"/>
              </w:rPr>
              <w:t>Revolving Credit Facilities</w:t>
            </w:r>
          </w:p>
        </w:tc>
        <w:tc>
          <w:tcPr>
            <w:tcW w:w="2561" w:type="pct"/>
            <w:gridSpan w:val="2"/>
            <w:shd w:val="clear" w:color="auto" w:fill="auto"/>
            <w:vAlign w:val="bottom"/>
          </w:tcPr>
          <w:p w:rsidRPr="009C48DA" w:rsidR="00EE3365" w:rsidP="007338ED" w:rsidRDefault="00EE3365" w14:paraId="2C62CB9F" w14:textId="77777777">
            <w:pPr>
              <w:keepNext/>
              <w:jc w:val="center"/>
              <w:rPr>
                <w:sz w:val="20"/>
                <w:szCs w:val="20"/>
                <w:lang w:val="en-GB"/>
              </w:rPr>
            </w:pPr>
            <w:r w:rsidRPr="009C48DA">
              <w:rPr>
                <w:sz w:val="20"/>
                <w:szCs w:val="20"/>
                <w:lang w:val="en-GB"/>
              </w:rPr>
              <w:t>(£ in millions)</w:t>
            </w:r>
          </w:p>
        </w:tc>
      </w:tr>
      <w:tr w:rsidRPr="009C48DA" w:rsidR="00EE3365" w:rsidTr="007338ED" w14:paraId="2439025F" w14:textId="77777777">
        <w:tc>
          <w:tcPr>
            <w:tcW w:w="2439" w:type="pct"/>
            <w:shd w:val="clear" w:color="auto" w:fill="auto"/>
            <w:vAlign w:val="bottom"/>
          </w:tcPr>
          <w:p w:rsidRPr="009C48DA" w:rsidR="00EE3365" w:rsidP="007338ED" w:rsidRDefault="0054099D" w14:paraId="26840DE8" w14:textId="297F1012">
            <w:pPr>
              <w:keepNext/>
              <w:tabs>
                <w:tab w:val="right" w:leader="dot" w:pos="4562"/>
              </w:tabs>
              <w:rPr>
                <w:sz w:val="20"/>
                <w:szCs w:val="20"/>
                <w:lang w:val="en-GB"/>
              </w:rPr>
            </w:pPr>
            <w:r w:rsidRPr="009C48DA">
              <w:rPr>
                <w:sz w:val="20"/>
                <w:szCs w:val="20"/>
                <w:lang w:val="en-GB"/>
              </w:rPr>
              <w:t>BAH Revolving Credit Facility</w:t>
            </w:r>
            <w:r w:rsidRPr="009C48DA" w:rsidR="00DE02CD">
              <w:rPr>
                <w:sz w:val="20"/>
                <w:szCs w:val="20"/>
                <w:vertAlign w:val="superscript"/>
                <w:lang w:val="en-GB"/>
              </w:rPr>
              <w:t>(1)</w:t>
            </w:r>
            <w:r w:rsidRPr="009C48DA" w:rsidR="00EE3365">
              <w:rPr>
                <w:sz w:val="20"/>
                <w:szCs w:val="20"/>
                <w:lang w:val="en-GB"/>
              </w:rPr>
              <w:tab/>
            </w:r>
          </w:p>
        </w:tc>
        <w:tc>
          <w:tcPr>
            <w:tcW w:w="1214" w:type="pct"/>
            <w:shd w:val="clear" w:color="auto" w:fill="auto"/>
            <w:vAlign w:val="bottom"/>
          </w:tcPr>
          <w:p w:rsidRPr="009C48DA" w:rsidR="00EE3365" w:rsidP="007338ED" w:rsidRDefault="002A629D" w14:paraId="3316382D" w14:textId="2DA53FAE">
            <w:pPr>
              <w:keepNext/>
              <w:jc w:val="right"/>
              <w:rPr>
                <w:sz w:val="20"/>
                <w:szCs w:val="20"/>
                <w:lang w:val="en-GB"/>
              </w:rPr>
            </w:pPr>
            <w:r w:rsidRPr="009C48DA">
              <w:rPr>
                <w:sz w:val="20"/>
                <w:szCs w:val="20"/>
                <w:lang w:val="en-GB"/>
              </w:rPr>
              <w:t>78</w:t>
            </w:r>
            <w:r w:rsidRPr="009C48DA" w:rsidR="00EE3365">
              <w:rPr>
                <w:sz w:val="20"/>
                <w:szCs w:val="20"/>
                <w:lang w:val="en-GB"/>
              </w:rPr>
              <w:t>.9</w:t>
            </w:r>
          </w:p>
        </w:tc>
        <w:tc>
          <w:tcPr>
            <w:tcW w:w="1347" w:type="pct"/>
            <w:shd w:val="clear" w:color="auto" w:fill="auto"/>
            <w:vAlign w:val="bottom"/>
          </w:tcPr>
          <w:p w:rsidRPr="009C48DA" w:rsidR="00EE3365" w:rsidP="007338ED" w:rsidRDefault="002A629D" w14:paraId="7675E758" w14:textId="76B723FC">
            <w:pPr>
              <w:keepNext/>
              <w:jc w:val="right"/>
              <w:rPr>
                <w:sz w:val="20"/>
                <w:szCs w:val="20"/>
                <w:lang w:val="en-GB"/>
              </w:rPr>
            </w:pPr>
            <w:r w:rsidRPr="009C48DA">
              <w:rPr>
                <w:sz w:val="20"/>
                <w:szCs w:val="20"/>
                <w:lang w:val="en-GB"/>
              </w:rPr>
              <w:t>46</w:t>
            </w:r>
            <w:r w:rsidRPr="009C48DA" w:rsidR="00EE3365">
              <w:rPr>
                <w:sz w:val="20"/>
                <w:szCs w:val="20"/>
                <w:lang w:val="en-GB"/>
              </w:rPr>
              <w:t>.1</w:t>
            </w:r>
          </w:p>
        </w:tc>
      </w:tr>
      <w:tr w:rsidRPr="009C48DA" w:rsidR="00EE3365" w:rsidTr="007338ED" w14:paraId="366BBA8F" w14:textId="77777777">
        <w:tc>
          <w:tcPr>
            <w:tcW w:w="2439" w:type="pct"/>
            <w:shd w:val="clear" w:color="auto" w:fill="auto"/>
            <w:vAlign w:val="bottom"/>
          </w:tcPr>
          <w:p w:rsidRPr="009C48DA" w:rsidR="00EE3365" w:rsidP="00D57626" w:rsidRDefault="00EE3365" w14:paraId="3A1CC377" w14:textId="77777777">
            <w:pPr>
              <w:tabs>
                <w:tab w:val="right" w:leader="dot" w:pos="4562"/>
              </w:tabs>
              <w:rPr>
                <w:sz w:val="20"/>
                <w:szCs w:val="20"/>
                <w:lang w:val="en-GB"/>
              </w:rPr>
            </w:pPr>
            <w:r w:rsidRPr="009C48DA">
              <w:rPr>
                <w:sz w:val="20"/>
                <w:szCs w:val="20"/>
                <w:lang w:val="en-GB"/>
              </w:rPr>
              <w:t>Opal Investments LP</w:t>
            </w:r>
            <w:r w:rsidRPr="009C48DA">
              <w:rPr>
                <w:sz w:val="20"/>
                <w:szCs w:val="20"/>
                <w:lang w:val="en-GB"/>
              </w:rPr>
              <w:tab/>
            </w:r>
          </w:p>
        </w:tc>
        <w:tc>
          <w:tcPr>
            <w:tcW w:w="1214" w:type="pct"/>
            <w:shd w:val="clear" w:color="auto" w:fill="auto"/>
            <w:vAlign w:val="bottom"/>
          </w:tcPr>
          <w:p w:rsidRPr="009C48DA" w:rsidR="00EE3365" w:rsidP="00D57626" w:rsidRDefault="00A95DF5" w14:paraId="7C83749C" w14:textId="54FB7BA4">
            <w:pPr>
              <w:pBdr>
                <w:bottom w:val="single" w:color="auto" w:sz="4" w:space="1"/>
              </w:pBdr>
              <w:jc w:val="right"/>
              <w:rPr>
                <w:sz w:val="20"/>
                <w:szCs w:val="20"/>
                <w:lang w:val="en-GB"/>
              </w:rPr>
            </w:pPr>
            <w:r w:rsidRPr="009C48DA">
              <w:rPr>
                <w:sz w:val="20"/>
                <w:szCs w:val="20"/>
                <w:lang w:val="en-GB"/>
              </w:rPr>
              <w:t>9.7</w:t>
            </w:r>
          </w:p>
        </w:tc>
        <w:tc>
          <w:tcPr>
            <w:tcW w:w="1347" w:type="pct"/>
            <w:shd w:val="clear" w:color="auto" w:fill="auto"/>
            <w:vAlign w:val="bottom"/>
          </w:tcPr>
          <w:p w:rsidRPr="009C48DA" w:rsidR="00EE3365" w:rsidP="006826D5" w:rsidRDefault="006826D5" w14:paraId="5A1D7058" w14:textId="7848C452">
            <w:pPr>
              <w:pBdr>
                <w:bottom w:val="single" w:color="auto" w:sz="4" w:space="1"/>
              </w:pBdr>
              <w:jc w:val="right"/>
              <w:rPr>
                <w:sz w:val="20"/>
                <w:szCs w:val="20"/>
                <w:lang w:val="en-GB"/>
              </w:rPr>
            </w:pPr>
            <w:r w:rsidRPr="009C48DA">
              <w:rPr>
                <w:sz w:val="20"/>
                <w:szCs w:val="20"/>
                <w:lang w:val="en-GB"/>
              </w:rPr>
              <w:t>3.1</w:t>
            </w:r>
          </w:p>
        </w:tc>
      </w:tr>
      <w:tr w:rsidRPr="009C48DA" w:rsidR="00EE3365" w:rsidTr="007338ED" w14:paraId="31B1B363" w14:textId="77777777">
        <w:trPr>
          <w:trHeight w:val="80"/>
        </w:trPr>
        <w:tc>
          <w:tcPr>
            <w:tcW w:w="2439" w:type="pct"/>
            <w:shd w:val="clear" w:color="auto" w:fill="auto"/>
            <w:vAlign w:val="bottom"/>
          </w:tcPr>
          <w:p w:rsidRPr="009C48DA" w:rsidR="00EE3365" w:rsidP="00D57626" w:rsidRDefault="00EE3365" w14:paraId="5DE0CA94" w14:textId="50A79E63">
            <w:pPr>
              <w:tabs>
                <w:tab w:val="right" w:leader="dot" w:pos="4562"/>
              </w:tabs>
              <w:rPr>
                <w:b/>
                <w:sz w:val="20"/>
                <w:szCs w:val="20"/>
                <w:lang w:val="en-GB"/>
              </w:rPr>
            </w:pPr>
            <w:r w:rsidRPr="009C48DA">
              <w:rPr>
                <w:b/>
                <w:sz w:val="20"/>
                <w:szCs w:val="20"/>
                <w:lang w:val="en-GB"/>
              </w:rPr>
              <w:t>Total</w:t>
            </w:r>
            <w:r w:rsidRPr="009C48DA" w:rsidR="00DE02CD">
              <w:rPr>
                <w:b/>
                <w:sz w:val="20"/>
                <w:szCs w:val="20"/>
                <w:vertAlign w:val="superscript"/>
                <w:lang w:val="en-GB"/>
              </w:rPr>
              <w:t>(2</w:t>
            </w:r>
            <w:r w:rsidRPr="009C48DA">
              <w:rPr>
                <w:b/>
                <w:sz w:val="20"/>
                <w:szCs w:val="20"/>
                <w:vertAlign w:val="superscript"/>
                <w:lang w:val="en-GB"/>
              </w:rPr>
              <w:t>)</w:t>
            </w:r>
            <w:r w:rsidRPr="009C48DA">
              <w:rPr>
                <w:sz w:val="20"/>
                <w:szCs w:val="20"/>
                <w:lang w:val="en-GB"/>
              </w:rPr>
              <w:tab/>
            </w:r>
          </w:p>
        </w:tc>
        <w:tc>
          <w:tcPr>
            <w:tcW w:w="1214" w:type="pct"/>
            <w:shd w:val="clear" w:color="auto" w:fill="auto"/>
            <w:vAlign w:val="bottom"/>
          </w:tcPr>
          <w:p w:rsidRPr="009C48DA" w:rsidR="00EE3365" w:rsidP="002B6DD9" w:rsidRDefault="002A629D" w14:paraId="13C86650" w14:textId="78AF7698">
            <w:pPr>
              <w:pBdr>
                <w:bottom w:val="double" w:color="auto" w:sz="4" w:space="1"/>
              </w:pBdr>
              <w:spacing w:after="20"/>
              <w:jc w:val="right"/>
              <w:rPr>
                <w:b/>
                <w:sz w:val="20"/>
                <w:szCs w:val="20"/>
                <w:lang w:val="en-GB"/>
              </w:rPr>
            </w:pPr>
            <w:r w:rsidRPr="009C48DA">
              <w:rPr>
                <w:b/>
                <w:sz w:val="20"/>
                <w:szCs w:val="20"/>
                <w:lang w:val="en-GB"/>
              </w:rPr>
              <w:t>88</w:t>
            </w:r>
            <w:r w:rsidRPr="009C48DA" w:rsidR="00A95DF5">
              <w:rPr>
                <w:b/>
                <w:sz w:val="20"/>
                <w:szCs w:val="20"/>
                <w:lang w:val="en-GB"/>
              </w:rPr>
              <w:t>.6</w:t>
            </w:r>
          </w:p>
        </w:tc>
        <w:tc>
          <w:tcPr>
            <w:tcW w:w="1347" w:type="pct"/>
            <w:shd w:val="clear" w:color="auto" w:fill="auto"/>
            <w:vAlign w:val="bottom"/>
          </w:tcPr>
          <w:p w:rsidRPr="009C48DA" w:rsidR="00EE3365" w:rsidP="00D57626" w:rsidRDefault="002A629D" w14:paraId="0A09B6AD" w14:textId="493EFFAF">
            <w:pPr>
              <w:pBdr>
                <w:bottom w:val="double" w:color="auto" w:sz="4" w:space="1"/>
              </w:pBdr>
              <w:spacing w:after="20"/>
              <w:jc w:val="right"/>
              <w:rPr>
                <w:b/>
                <w:sz w:val="20"/>
                <w:szCs w:val="20"/>
                <w:lang w:val="en-GB"/>
              </w:rPr>
            </w:pPr>
            <w:r w:rsidRPr="009C48DA">
              <w:rPr>
                <w:b/>
                <w:sz w:val="20"/>
                <w:szCs w:val="20"/>
                <w:lang w:val="en-GB"/>
              </w:rPr>
              <w:t>49</w:t>
            </w:r>
            <w:r w:rsidRPr="009C48DA" w:rsidR="006826D5">
              <w:rPr>
                <w:b/>
                <w:sz w:val="20"/>
                <w:szCs w:val="20"/>
                <w:lang w:val="en-GB"/>
              </w:rPr>
              <w:t>.2</w:t>
            </w:r>
          </w:p>
        </w:tc>
      </w:tr>
    </w:tbl>
    <w:p w:rsidRPr="009C48DA" w:rsidR="00EE3365" w:rsidP="00EE3365" w:rsidRDefault="00EE3365" w14:paraId="458C03CD" w14:textId="77777777">
      <w:pPr>
        <w:keepNext/>
        <w:pBdr>
          <w:bottom w:val="single" w:color="auto" w:sz="4" w:space="1"/>
        </w:pBdr>
        <w:ind w:right="7201"/>
        <w:rPr>
          <w:lang w:val="en-GB"/>
        </w:rPr>
      </w:pPr>
    </w:p>
    <w:p w:rsidRPr="009C48DA" w:rsidR="00DE02CD" w:rsidP="00653B94" w:rsidRDefault="00DE02CD" w14:paraId="083FFF98" w14:textId="44B166CB">
      <w:pPr>
        <w:pStyle w:val="TableNotes"/>
        <w:ind w:left="360"/>
        <w:jc w:val="both"/>
        <w:rPr>
          <w:lang w:val="en-GB"/>
        </w:rPr>
      </w:pPr>
      <w:r w:rsidRPr="009C48DA">
        <w:rPr>
          <w:lang w:val="en-GB"/>
        </w:rPr>
        <w:t>(1)</w:t>
      </w:r>
      <w:r w:rsidRPr="009C48DA">
        <w:rPr>
          <w:lang w:val="en-GB"/>
        </w:rPr>
        <w:tab/>
      </w:r>
      <w:r w:rsidRPr="009C48DA" w:rsidR="006826D5">
        <w:rPr>
          <w:lang w:val="en-GB"/>
        </w:rPr>
        <w:t>Actual drawn amount (excluding accrued interest)</w:t>
      </w:r>
      <w:r w:rsidRPr="009C48DA">
        <w:rPr>
          <w:lang w:val="en-GB"/>
        </w:rPr>
        <w:t>, not taking into account loan arrangement fees that are capitalised as part of the liability and charged to the income statement over the life of the facility.</w:t>
      </w:r>
    </w:p>
    <w:p w:rsidRPr="009C48DA" w:rsidR="00190876" w:rsidP="00653B94" w:rsidRDefault="00DE02CD" w14:paraId="063DB34F" w14:textId="5058414D">
      <w:pPr>
        <w:pStyle w:val="TableNotes"/>
        <w:ind w:left="360"/>
        <w:jc w:val="both"/>
        <w:rPr>
          <w:lang w:val="en-GB"/>
        </w:rPr>
      </w:pPr>
      <w:r w:rsidRPr="009C48DA">
        <w:rPr>
          <w:lang w:val="en-GB"/>
        </w:rPr>
        <w:t>(2</w:t>
      </w:r>
      <w:r w:rsidRPr="009C48DA" w:rsidR="00190876">
        <w:rPr>
          <w:lang w:val="en-GB"/>
        </w:rPr>
        <w:t>)</w:t>
      </w:r>
      <w:r w:rsidRPr="009C48DA" w:rsidR="00190876">
        <w:rPr>
          <w:lang w:val="en-GB"/>
        </w:rPr>
        <w:tab/>
        <w:t xml:space="preserve">The financial liabilities, including bank borrowings, of the </w:t>
      </w:r>
      <w:r w:rsidRPr="009C48DA" w:rsidR="007F7AA9">
        <w:rPr>
          <w:lang w:val="en-GB"/>
        </w:rPr>
        <w:t xml:space="preserve">Bridgepoint </w:t>
      </w:r>
      <w:r w:rsidRPr="009C48DA" w:rsidR="00190876">
        <w:rPr>
          <w:lang w:val="en-GB"/>
        </w:rPr>
        <w:t xml:space="preserve">CLO fund vehicles are consolidated within the Historical Financial Information set out in </w:t>
      </w:r>
      <w:r w:rsidRPr="009C48DA" w:rsidR="00190876">
        <w:rPr>
          <w:szCs w:val="20"/>
          <w:lang w:val="en-GB"/>
        </w:rPr>
        <w:fldChar w:fldCharType="begin"/>
      </w:r>
      <w:r w:rsidRPr="009C48DA" w:rsidR="00190876">
        <w:rPr>
          <w:szCs w:val="20"/>
          <w:lang w:val="en-GB"/>
        </w:rPr>
        <w:instrText xml:space="preserve"> REF _Ref74473404 \n \h </w:instrText>
      </w:r>
      <w:r w:rsidRPr="009C48DA" w:rsidR="00653B94">
        <w:rPr>
          <w:szCs w:val="20"/>
          <w:lang w:val="en-GB"/>
        </w:rPr>
        <w:instrText xml:space="preserve"> \* MERGEFORMAT </w:instrText>
      </w:r>
      <w:r w:rsidRPr="009C48DA" w:rsidR="00190876">
        <w:rPr>
          <w:szCs w:val="20"/>
          <w:lang w:val="en-GB"/>
        </w:rPr>
      </w:r>
      <w:r w:rsidRPr="009C48DA" w:rsidR="00190876">
        <w:rPr>
          <w:szCs w:val="20"/>
          <w:lang w:val="en-GB"/>
        </w:rPr>
        <w:fldChar w:fldCharType="separate"/>
      </w:r>
      <w:r w:rsidR="007C3D19">
        <w:rPr>
          <w:szCs w:val="20"/>
          <w:lang w:val="en-GB"/>
        </w:rPr>
        <w:t>Part B</w:t>
      </w:r>
      <w:r w:rsidRPr="009C48DA" w:rsidR="00190876">
        <w:rPr>
          <w:szCs w:val="20"/>
          <w:lang w:val="en-GB"/>
        </w:rPr>
        <w:fldChar w:fldCharType="end"/>
      </w:r>
      <w:r w:rsidRPr="009C48DA" w:rsidR="00190876">
        <w:rPr>
          <w:szCs w:val="20"/>
          <w:lang w:val="en-GB"/>
        </w:rPr>
        <w:t xml:space="preserve"> </w:t>
      </w:r>
      <w:r w:rsidRPr="009C48DA" w:rsidR="00190876">
        <w:rPr>
          <w:lang w:val="en-GB"/>
        </w:rPr>
        <w:t xml:space="preserve">of </w:t>
      </w:r>
      <w:r w:rsidRPr="009C48DA" w:rsidR="00190876">
        <w:rPr>
          <w:szCs w:val="20"/>
          <w:lang w:val="en-GB"/>
        </w:rPr>
        <w:fldChar w:fldCharType="begin"/>
      </w:r>
      <w:r w:rsidRPr="009C48DA" w:rsidR="00190876">
        <w:rPr>
          <w:szCs w:val="20"/>
          <w:lang w:val="en-GB"/>
        </w:rPr>
        <w:instrText xml:space="preserve"> REF _Ref74473398 \n \h </w:instrText>
      </w:r>
      <w:r w:rsidRPr="009C48DA" w:rsidR="00653B94">
        <w:rPr>
          <w:szCs w:val="20"/>
          <w:lang w:val="en-GB"/>
        </w:rPr>
        <w:instrText xml:space="preserve"> \* MERGEFORMAT </w:instrText>
      </w:r>
      <w:r w:rsidRPr="009C48DA" w:rsidR="00190876">
        <w:rPr>
          <w:szCs w:val="20"/>
          <w:lang w:val="en-GB"/>
        </w:rPr>
      </w:r>
      <w:r w:rsidRPr="009C48DA" w:rsidR="00190876">
        <w:rPr>
          <w:szCs w:val="20"/>
          <w:lang w:val="en-GB"/>
        </w:rPr>
        <w:fldChar w:fldCharType="separate"/>
      </w:r>
      <w:r w:rsidR="007C3D19">
        <w:rPr>
          <w:szCs w:val="20"/>
          <w:lang w:val="en-GB"/>
        </w:rPr>
        <w:t>Part X</w:t>
      </w:r>
      <w:r w:rsidRPr="009C48DA" w:rsidR="00190876">
        <w:rPr>
          <w:szCs w:val="20"/>
          <w:lang w:val="en-GB"/>
        </w:rPr>
        <w:fldChar w:fldCharType="end"/>
      </w:r>
      <w:r w:rsidRPr="009C48DA" w:rsidR="00190876">
        <w:rPr>
          <w:lang w:val="en-GB"/>
        </w:rPr>
        <w:t> </w:t>
      </w:r>
      <w:r w:rsidRPr="009C48DA" w:rsidR="00E20B5D">
        <w:rPr>
          <w:szCs w:val="20"/>
          <w:lang w:val="en-GB"/>
        </w:rPr>
        <w:t>(</w:t>
      </w:r>
      <w:r w:rsidRPr="009C48DA" w:rsidR="00E20B5D">
        <w:rPr>
          <w:i/>
          <w:szCs w:val="20"/>
          <w:lang w:val="en-GB"/>
        </w:rPr>
      </w:r>
      <w:r w:rsidRPr="007C3D19" w:rsidR="007C3D19">
        <w:rPr>
          <w:i/>
          <w:lang w:val="en-GB"/>
        </w:rPr>
        <w:t>Historical Financial Information</w:t>
      </w:r>
      <w:r w:rsidRPr="009C48DA" w:rsidR="00190876">
        <w:rPr>
          <w:lang w:val="en-GB"/>
        </w:rPr>
        <w:t>, but are not included in the table as the relevant amounts are not available to the Group and there is no recourse to the Group in respect of such financial liabilities.</w:t>
      </w:r>
      <w:r w:rsidRPr="009C48DA" w:rsidR="002B6DD9">
        <w:rPr>
          <w:lang w:val="en-GB"/>
        </w:rPr>
        <w:t xml:space="preserve"> The financial liabilities of the </w:t>
      </w:r>
      <w:r w:rsidRPr="009C48DA" w:rsidR="007F7AA9">
        <w:rPr>
          <w:lang w:val="en-GB"/>
        </w:rPr>
        <w:t xml:space="preserve">Bridgepoint </w:t>
      </w:r>
      <w:r w:rsidRPr="009C48DA" w:rsidR="002B6DD9">
        <w:rPr>
          <w:lang w:val="en-GB"/>
        </w:rPr>
        <w:t xml:space="preserve">CLO fund vehicles that are consolidated within the Historical Financial Information includes notes in fully launched </w:t>
      </w:r>
      <w:r w:rsidRPr="009C48DA" w:rsidR="007F7AA9">
        <w:rPr>
          <w:lang w:val="en-GB"/>
        </w:rPr>
        <w:t xml:space="preserve">Bridgepoint </w:t>
      </w:r>
      <w:r w:rsidRPr="009C48DA" w:rsidR="002B6DD9">
        <w:rPr>
          <w:lang w:val="en-GB"/>
        </w:rPr>
        <w:t xml:space="preserve">CLO fund vehicles and credit facilities for warehoused </w:t>
      </w:r>
      <w:r w:rsidRPr="009C48DA" w:rsidR="007F7AA9">
        <w:rPr>
          <w:lang w:val="en-GB"/>
        </w:rPr>
        <w:t xml:space="preserve">Bridgepoint </w:t>
      </w:r>
      <w:r w:rsidRPr="009C48DA" w:rsidR="002B6DD9">
        <w:rPr>
          <w:lang w:val="en-GB"/>
        </w:rPr>
        <w:t>CLO vehicles prior to the launch of the CLO.</w:t>
      </w:r>
    </w:p>
    <w:p w:rsidRPr="009C48DA" w:rsidR="00797302" w:rsidP="00797302" w:rsidRDefault="00CD3B44" w14:paraId="6C530178" w14:textId="696609F5">
      <w:pPr>
        <w:pStyle w:val="BodyText2SglJ"/>
        <w:rPr>
          <w:color w:val="000000"/>
          <w:szCs w:val="20"/>
          <w:lang w:val="en-GB"/>
        </w:rPr>
      </w:pPr>
      <w:r w:rsidRPr="009C48DA">
        <w:rPr>
          <w:szCs w:val="20"/>
          <w:lang w:val="en-GB"/>
        </w:rPr>
        <w:t>Refer to Note 18</w:t>
      </w:r>
      <w:r w:rsidRPr="009C48DA" w:rsidR="00797302">
        <w:rPr>
          <w:szCs w:val="20"/>
          <w:lang w:val="en-GB"/>
        </w:rPr>
        <w:t xml:space="preserve"> in </w:t>
      </w:r>
      <w:r w:rsidRPr="009C48DA" w:rsidR="00797302">
        <w:rPr>
          <w:szCs w:val="20"/>
          <w:lang w:val="en-GB"/>
        </w:rPr>
        <w:fldChar w:fldCharType="begin"/>
      </w:r>
      <w:r w:rsidRPr="009C48DA" w:rsidR="00797302">
        <w:rPr>
          <w:szCs w:val="20"/>
          <w:lang w:val="en-GB"/>
        </w:rPr>
        <w:instrText xml:space="preserve"> REF _Ref74473404 \n \h </w:instrText>
      </w:r>
      <w:r w:rsidRPr="009C48DA" w:rsidR="00797302">
        <w:rPr>
          <w:szCs w:val="20"/>
          <w:lang w:val="en-GB"/>
        </w:rPr>
      </w:r>
      <w:r w:rsidRPr="009C48DA" w:rsidR="00797302">
        <w:rPr>
          <w:szCs w:val="20"/>
          <w:lang w:val="en-GB"/>
        </w:rPr>
        <w:fldChar w:fldCharType="separate"/>
      </w:r>
      <w:r w:rsidR="007C3D19">
        <w:rPr>
          <w:szCs w:val="20"/>
          <w:lang w:val="en-GB"/>
        </w:rPr>
        <w:t>Part B</w:t>
      </w:r>
      <w:r w:rsidRPr="009C48DA" w:rsidR="00797302">
        <w:rPr>
          <w:szCs w:val="20"/>
          <w:lang w:val="en-GB"/>
        </w:rPr>
        <w:fldChar w:fldCharType="end"/>
      </w:r>
      <w:r w:rsidRPr="009C48DA" w:rsidR="00797302">
        <w:rPr>
          <w:szCs w:val="20"/>
          <w:lang w:val="en-GB"/>
        </w:rPr>
        <w:t xml:space="preserve"> of </w:t>
      </w:r>
      <w:r w:rsidRPr="009C48DA" w:rsidR="00797302">
        <w:rPr>
          <w:szCs w:val="20"/>
          <w:lang w:val="en-GB"/>
        </w:rPr>
        <w:fldChar w:fldCharType="begin"/>
      </w:r>
      <w:r w:rsidRPr="009C48DA" w:rsidR="00797302">
        <w:rPr>
          <w:szCs w:val="20"/>
          <w:lang w:val="en-GB"/>
        </w:rPr>
        <w:instrText xml:space="preserve"> REF _Ref74473398 \n \h </w:instrText>
      </w:r>
      <w:r w:rsidRPr="009C48DA" w:rsidR="00797302">
        <w:rPr>
          <w:szCs w:val="20"/>
          <w:lang w:val="en-GB"/>
        </w:rPr>
      </w:r>
      <w:r w:rsidRPr="009C48DA" w:rsidR="00797302">
        <w:rPr>
          <w:szCs w:val="20"/>
          <w:lang w:val="en-GB"/>
        </w:rPr>
        <w:fldChar w:fldCharType="separate"/>
      </w:r>
      <w:r w:rsidR="007C3D19">
        <w:rPr>
          <w:szCs w:val="20"/>
          <w:lang w:val="en-GB"/>
        </w:rPr>
        <w:t>Part X</w:t>
      </w:r>
      <w:r w:rsidRPr="009C48DA" w:rsidR="00797302">
        <w:rPr>
          <w:szCs w:val="20"/>
          <w:lang w:val="en-GB"/>
        </w:rPr>
        <w:fldChar w:fldCharType="end"/>
      </w:r>
      <w:r w:rsidRPr="009C48DA" w:rsidR="00797302">
        <w:rPr>
          <w:szCs w:val="20"/>
          <w:lang w:val="en-GB"/>
        </w:rPr>
        <w:t xml:space="preserve"> (</w:t>
      </w:r>
      <w:r w:rsidRPr="009C48DA" w:rsidR="006320D1">
        <w:rPr>
          <w:i/>
          <w:szCs w:val="20"/>
          <w:lang w:val="en-GB"/>
        </w:rPr>
      </w:r>
      <w:r w:rsidRPr="007C3D19" w:rsidR="007C3D19">
        <w:rPr>
          <w:i/>
          <w:lang w:val="en-GB"/>
        </w:rPr>
        <w:t>Historical Financial Information</w:t>
      </w:r>
      <w:r w:rsidRPr="009C48DA" w:rsidR="00797302">
        <w:rPr>
          <w:szCs w:val="20"/>
          <w:lang w:val="en-GB"/>
        </w:rPr>
        <w:t xml:space="preserve">) for further details. </w:t>
      </w:r>
    </w:p>
    <w:p w:rsidRPr="009C48DA" w:rsidR="00797302" w:rsidP="00797302" w:rsidRDefault="00797302" w14:paraId="476C4E15" w14:textId="77777777">
      <w:pPr>
        <w:pStyle w:val="TitleB"/>
        <w:rPr>
          <w:szCs w:val="20"/>
          <w:lang w:val="en-GB"/>
        </w:rPr>
      </w:pPr>
      <w:r w:rsidRPr="009C48DA">
        <w:rPr>
          <w:szCs w:val="20"/>
          <w:lang w:val="en-GB"/>
        </w:rPr>
        <w:t>Contractual obligations</w:t>
      </w:r>
    </w:p>
    <w:p w:rsidRPr="009C48DA" w:rsidR="00797302" w:rsidP="00797302" w:rsidRDefault="00797302" w14:paraId="20FC4E47" w14:textId="616C9307">
      <w:pPr>
        <w:pStyle w:val="BodyText2SglJ"/>
        <w:rPr>
          <w:szCs w:val="20"/>
          <w:lang w:val="en-GB"/>
        </w:rPr>
      </w:pPr>
      <w:r w:rsidRPr="009C48DA">
        <w:rPr>
          <w:szCs w:val="20"/>
          <w:lang w:val="en-GB"/>
        </w:rPr>
        <w:t>The table below summarises the remaining contractual maturities of t</w:t>
      </w:r>
      <w:r w:rsidRPr="009C48DA" w:rsidR="00B83C37">
        <w:rPr>
          <w:szCs w:val="20"/>
          <w:lang w:val="en-GB"/>
        </w:rPr>
        <w:t xml:space="preserve">he Group’s </w:t>
      </w:r>
      <w:r w:rsidR="00DE6D10">
        <w:rPr>
          <w:szCs w:val="20"/>
          <w:lang w:val="en-GB"/>
        </w:rPr>
        <w:t xml:space="preserve">financial </w:t>
      </w:r>
      <w:r w:rsidRPr="009C48DA" w:rsidR="00B83C37">
        <w:rPr>
          <w:szCs w:val="20"/>
          <w:lang w:val="en-GB"/>
        </w:rPr>
        <w:t>liabilities as of 31 </w:t>
      </w:r>
      <w:r w:rsidRPr="009C48DA">
        <w:rPr>
          <w:szCs w:val="20"/>
          <w:lang w:val="en-GB"/>
        </w:rPr>
        <w:t xml:space="preserve">March 2021, </w:t>
      </w:r>
      <w:r w:rsidR="00DE6D10">
        <w:rPr>
          <w:szCs w:val="20"/>
          <w:lang w:val="en-GB"/>
        </w:rPr>
        <w:t xml:space="preserve">undiscounted and </w:t>
      </w:r>
      <w:r w:rsidRPr="009C48DA">
        <w:rPr>
          <w:szCs w:val="20"/>
          <w:lang w:val="en-GB"/>
        </w:rPr>
        <w:t>including estimated interest payments.</w:t>
      </w:r>
    </w:p>
    <w:tbl>
      <w:tblPr>
        <w:tblW w:w="8647" w:type="dxa"/>
        <w:jc w:val="center"/>
        <w:tblLayout w:type="fixed"/>
        <w:tblLook w:val="04A0" w:firstRow="1" w:lastRow="0" w:firstColumn="1" w:lastColumn="0" w:noHBand="0" w:noVBand="1"/>
      </w:tblPr>
      <w:tblGrid>
        <w:gridCol w:w="2388"/>
        <w:gridCol w:w="1355"/>
        <w:gridCol w:w="1355"/>
        <w:gridCol w:w="1356"/>
        <w:gridCol w:w="1355"/>
        <w:gridCol w:w="838"/>
      </w:tblGrid>
      <w:tr w:rsidRPr="009C48DA" w:rsidR="00CD3B44" w:rsidTr="00653B94" w14:paraId="3DF05135" w14:textId="77777777">
        <w:trPr>
          <w:trHeight w:val="514"/>
          <w:jc w:val="center"/>
        </w:trPr>
        <w:tc>
          <w:tcPr>
            <w:tcW w:w="2388" w:type="dxa"/>
            <w:shd w:val="clear" w:color="auto" w:fill="auto"/>
            <w:vAlign w:val="bottom"/>
          </w:tcPr>
          <w:p w:rsidRPr="009C48DA" w:rsidR="00CD3B44" w:rsidP="00CD3B44" w:rsidRDefault="00CD3B44" w14:paraId="187958BF" w14:textId="77777777">
            <w:pPr>
              <w:rPr>
                <w:rFonts w:cs="Times New Roman"/>
                <w:b/>
                <w:sz w:val="20"/>
                <w:szCs w:val="20"/>
                <w:lang w:val="en-GB"/>
              </w:rPr>
            </w:pPr>
          </w:p>
        </w:tc>
        <w:tc>
          <w:tcPr>
            <w:tcW w:w="1355" w:type="dxa"/>
            <w:vAlign w:val="bottom"/>
          </w:tcPr>
          <w:p w:rsidRPr="009C48DA" w:rsidR="00CD3B44" w:rsidP="00CD3B44" w:rsidRDefault="00CD3B44" w14:paraId="024E5D26" w14:textId="77777777">
            <w:pPr>
              <w:pBdr>
                <w:bottom w:val="single" w:color="auto" w:sz="4" w:space="1"/>
              </w:pBdr>
              <w:jc w:val="center"/>
              <w:rPr>
                <w:rFonts w:cs="Times New Roman"/>
                <w:b/>
                <w:sz w:val="20"/>
                <w:szCs w:val="20"/>
                <w:lang w:val="en-GB"/>
              </w:rPr>
            </w:pPr>
            <w:r w:rsidRPr="009C48DA">
              <w:rPr>
                <w:rFonts w:cs="Times New Roman"/>
                <w:b/>
                <w:sz w:val="20"/>
                <w:szCs w:val="20"/>
                <w:lang w:val="en-GB"/>
              </w:rPr>
              <w:t>Less than</w:t>
            </w:r>
            <w:r w:rsidRPr="009C48DA">
              <w:rPr>
                <w:rFonts w:cs="Times New Roman"/>
                <w:b/>
                <w:sz w:val="20"/>
                <w:szCs w:val="20"/>
                <w:lang w:val="en-GB"/>
              </w:rPr>
              <w:br/>
              <w:t>one year</w:t>
            </w:r>
          </w:p>
        </w:tc>
        <w:tc>
          <w:tcPr>
            <w:tcW w:w="1355" w:type="dxa"/>
            <w:shd w:val="clear" w:color="auto" w:fill="auto"/>
            <w:vAlign w:val="bottom"/>
          </w:tcPr>
          <w:p w:rsidRPr="009C48DA" w:rsidR="00CD3B44" w:rsidP="00CD3B44" w:rsidRDefault="00CD3B44" w14:paraId="13583268" w14:textId="77777777">
            <w:pPr>
              <w:pBdr>
                <w:bottom w:val="single" w:color="auto" w:sz="4" w:space="1"/>
              </w:pBdr>
              <w:jc w:val="center"/>
              <w:rPr>
                <w:rFonts w:cs="Times New Roman"/>
                <w:b/>
                <w:sz w:val="20"/>
                <w:szCs w:val="20"/>
                <w:lang w:val="en-GB"/>
              </w:rPr>
            </w:pPr>
            <w:r w:rsidRPr="009C48DA">
              <w:rPr>
                <w:rFonts w:cs="Times New Roman"/>
                <w:b/>
                <w:sz w:val="20"/>
                <w:szCs w:val="20"/>
                <w:lang w:val="en-GB"/>
              </w:rPr>
              <w:t>Between one and two years</w:t>
            </w:r>
          </w:p>
        </w:tc>
        <w:tc>
          <w:tcPr>
            <w:tcW w:w="1356" w:type="dxa"/>
            <w:shd w:val="clear" w:color="auto" w:fill="auto"/>
            <w:vAlign w:val="bottom"/>
          </w:tcPr>
          <w:p w:rsidRPr="009C48DA" w:rsidR="00CD3B44" w:rsidP="00CD3B44" w:rsidRDefault="00CD3B44" w14:paraId="39926AB8" w14:textId="77777777">
            <w:pPr>
              <w:pBdr>
                <w:bottom w:val="single" w:color="auto" w:sz="4" w:space="1"/>
              </w:pBdr>
              <w:jc w:val="center"/>
              <w:rPr>
                <w:rFonts w:cs="Times New Roman"/>
                <w:b/>
                <w:sz w:val="20"/>
                <w:szCs w:val="20"/>
                <w:lang w:val="en-GB"/>
              </w:rPr>
            </w:pPr>
            <w:r w:rsidRPr="009C48DA">
              <w:rPr>
                <w:rFonts w:cs="Times New Roman"/>
                <w:b/>
                <w:sz w:val="20"/>
                <w:szCs w:val="20"/>
                <w:lang w:val="en-GB"/>
              </w:rPr>
              <w:t>Between two and five years</w:t>
            </w:r>
          </w:p>
        </w:tc>
        <w:tc>
          <w:tcPr>
            <w:tcW w:w="1355" w:type="dxa"/>
            <w:shd w:val="clear" w:color="auto" w:fill="auto"/>
            <w:vAlign w:val="bottom"/>
          </w:tcPr>
          <w:p w:rsidRPr="009C48DA" w:rsidR="00CD3B44" w:rsidP="00CD3B44" w:rsidRDefault="00CD3B44" w14:paraId="4114E265" w14:textId="77777777">
            <w:pPr>
              <w:pBdr>
                <w:bottom w:val="single" w:color="auto" w:sz="4" w:space="1"/>
              </w:pBdr>
              <w:jc w:val="center"/>
              <w:rPr>
                <w:rFonts w:cs="Times New Roman"/>
                <w:b/>
                <w:sz w:val="20"/>
                <w:szCs w:val="20"/>
                <w:lang w:val="en-GB"/>
              </w:rPr>
            </w:pPr>
            <w:r w:rsidRPr="009C48DA">
              <w:rPr>
                <w:rFonts w:cs="Times New Roman"/>
                <w:b/>
                <w:sz w:val="20"/>
                <w:szCs w:val="20"/>
                <w:lang w:val="en-GB"/>
              </w:rPr>
              <w:t>Over five years</w:t>
            </w:r>
          </w:p>
        </w:tc>
        <w:tc>
          <w:tcPr>
            <w:tcW w:w="838" w:type="dxa"/>
            <w:shd w:val="clear" w:color="auto" w:fill="auto"/>
            <w:vAlign w:val="bottom"/>
          </w:tcPr>
          <w:p w:rsidRPr="009C48DA" w:rsidR="00CD3B44" w:rsidP="00CD3B44" w:rsidRDefault="00CD3B44" w14:paraId="593E1674" w14:textId="3CFB2821">
            <w:pPr>
              <w:pBdr>
                <w:bottom w:val="single" w:color="auto" w:sz="4" w:space="1"/>
              </w:pBdr>
              <w:jc w:val="center"/>
              <w:rPr>
                <w:rFonts w:cs="Times New Roman"/>
                <w:b/>
                <w:sz w:val="20"/>
                <w:szCs w:val="20"/>
                <w:lang w:val="en-GB"/>
              </w:rPr>
            </w:pPr>
            <w:r w:rsidRPr="009C48DA">
              <w:rPr>
                <w:rFonts w:cs="Times New Roman"/>
                <w:b/>
                <w:sz w:val="20"/>
                <w:szCs w:val="20"/>
                <w:lang w:val="en-GB"/>
              </w:rPr>
              <w:t>Total</w:t>
            </w:r>
          </w:p>
        </w:tc>
      </w:tr>
      <w:tr w:rsidRPr="009C48DA" w:rsidR="00CD3B44" w:rsidTr="00653B94" w14:paraId="4574945C" w14:textId="77777777">
        <w:trPr>
          <w:trHeight w:val="514"/>
          <w:jc w:val="center"/>
        </w:trPr>
        <w:tc>
          <w:tcPr>
            <w:tcW w:w="2388" w:type="dxa"/>
            <w:shd w:val="clear" w:color="auto" w:fill="auto"/>
            <w:vAlign w:val="bottom"/>
          </w:tcPr>
          <w:p w:rsidRPr="009C48DA" w:rsidR="00CD3B44" w:rsidP="00CD3B44" w:rsidRDefault="00CD3B44" w14:paraId="47683BC4" w14:textId="77777777">
            <w:pPr>
              <w:tabs>
                <w:tab w:val="right" w:leader="dot" w:pos="3816"/>
              </w:tabs>
              <w:rPr>
                <w:rFonts w:cs="Times New Roman"/>
                <w:b/>
                <w:sz w:val="20"/>
                <w:szCs w:val="20"/>
                <w:lang w:val="en-GB"/>
              </w:rPr>
            </w:pPr>
          </w:p>
        </w:tc>
        <w:tc>
          <w:tcPr>
            <w:tcW w:w="6259" w:type="dxa"/>
            <w:gridSpan w:val="5"/>
          </w:tcPr>
          <w:p w:rsidRPr="009C48DA" w:rsidR="00CD3B44" w:rsidP="00CD3B44" w:rsidRDefault="00CD3B44" w14:paraId="04C99C0F" w14:textId="77777777">
            <w:pPr>
              <w:jc w:val="center"/>
              <w:rPr>
                <w:rFonts w:cs="Times New Roman"/>
                <w:sz w:val="20"/>
                <w:szCs w:val="20"/>
                <w:lang w:val="en-GB"/>
              </w:rPr>
            </w:pPr>
            <w:r w:rsidRPr="009C48DA">
              <w:rPr>
                <w:rFonts w:cs="Times New Roman"/>
                <w:sz w:val="20"/>
                <w:szCs w:val="20"/>
                <w:lang w:val="en-GB"/>
              </w:rPr>
              <w:t>(£ in millions)</w:t>
            </w:r>
          </w:p>
        </w:tc>
      </w:tr>
      <w:tr w:rsidRPr="009C48DA" w:rsidR="00CD3B44" w:rsidTr="00653B94" w14:paraId="20B66BE5" w14:textId="77777777">
        <w:trPr>
          <w:trHeight w:val="74"/>
          <w:jc w:val="center"/>
        </w:trPr>
        <w:tc>
          <w:tcPr>
            <w:tcW w:w="2388" w:type="dxa"/>
            <w:shd w:val="clear" w:color="auto" w:fill="auto"/>
            <w:vAlign w:val="bottom"/>
          </w:tcPr>
          <w:p w:rsidRPr="009C48DA" w:rsidR="00CD3B44" w:rsidP="00CD3B44" w:rsidRDefault="00CD3B44" w14:paraId="246C6E02" w14:textId="77777777">
            <w:pPr>
              <w:tabs>
                <w:tab w:val="right" w:leader="dot" w:pos="4133"/>
              </w:tabs>
              <w:rPr>
                <w:rFonts w:cs="Times New Roman"/>
                <w:sz w:val="20"/>
                <w:szCs w:val="20"/>
                <w:lang w:val="en-GB"/>
              </w:rPr>
            </w:pPr>
            <w:r w:rsidRPr="009C48DA">
              <w:rPr>
                <w:rFonts w:cs="Times New Roman"/>
                <w:sz w:val="20"/>
                <w:szCs w:val="20"/>
                <w:lang w:val="en-GB"/>
              </w:rPr>
              <w:t>Borrowings</w:t>
            </w:r>
            <w:r w:rsidRPr="009C48DA">
              <w:rPr>
                <w:rFonts w:cs="Times New Roman"/>
                <w:sz w:val="20"/>
                <w:szCs w:val="20"/>
                <w:lang w:val="en-GB"/>
              </w:rPr>
              <w:tab/>
            </w:r>
          </w:p>
        </w:tc>
        <w:tc>
          <w:tcPr>
            <w:tcW w:w="1355" w:type="dxa"/>
            <w:vAlign w:val="bottom"/>
          </w:tcPr>
          <w:p w:rsidRPr="009C48DA" w:rsidR="00CD3B44" w:rsidP="00CD3B44" w:rsidRDefault="00CD3B44" w14:paraId="6EC4FB5F" w14:textId="77777777">
            <w:pPr>
              <w:jc w:val="right"/>
              <w:rPr>
                <w:rFonts w:cs="Times New Roman"/>
                <w:sz w:val="20"/>
                <w:szCs w:val="20"/>
                <w:lang w:val="en-GB"/>
              </w:rPr>
            </w:pPr>
            <w:r w:rsidRPr="009C48DA">
              <w:rPr>
                <w:rFonts w:cs="Times New Roman"/>
                <w:sz w:val="20"/>
                <w:szCs w:val="20"/>
                <w:lang w:val="en-GB"/>
              </w:rPr>
              <w:t>87.5</w:t>
            </w:r>
          </w:p>
        </w:tc>
        <w:tc>
          <w:tcPr>
            <w:tcW w:w="1355" w:type="dxa"/>
            <w:shd w:val="clear" w:color="auto" w:fill="auto"/>
            <w:vAlign w:val="bottom"/>
          </w:tcPr>
          <w:p w:rsidRPr="009C48DA" w:rsidR="00CD3B44" w:rsidP="00CD3B44" w:rsidRDefault="00CD3B44" w14:paraId="15EC51A4" w14:textId="77777777">
            <w:pPr>
              <w:jc w:val="right"/>
              <w:rPr>
                <w:rFonts w:cs="Times New Roman"/>
                <w:sz w:val="20"/>
                <w:szCs w:val="20"/>
                <w:lang w:val="en-GB"/>
              </w:rPr>
            </w:pPr>
            <w:r w:rsidRPr="009C48DA">
              <w:rPr>
                <w:rFonts w:cs="Times New Roman"/>
                <w:sz w:val="20"/>
                <w:szCs w:val="20"/>
                <w:lang w:val="en-GB"/>
              </w:rPr>
              <w:t>—</w:t>
            </w:r>
          </w:p>
        </w:tc>
        <w:tc>
          <w:tcPr>
            <w:tcW w:w="1356" w:type="dxa"/>
            <w:shd w:val="clear" w:color="auto" w:fill="auto"/>
            <w:vAlign w:val="bottom"/>
          </w:tcPr>
          <w:p w:rsidRPr="009C48DA" w:rsidR="00CD3B44" w:rsidP="00CD3B44" w:rsidRDefault="00CD3B44" w14:paraId="2604CA3C" w14:textId="77777777">
            <w:pPr>
              <w:jc w:val="right"/>
              <w:rPr>
                <w:rFonts w:cs="Times New Roman"/>
                <w:sz w:val="20"/>
                <w:szCs w:val="20"/>
                <w:lang w:val="en-GB"/>
              </w:rPr>
            </w:pPr>
            <w:r w:rsidRPr="009C48DA">
              <w:rPr>
                <w:rFonts w:cs="Times New Roman"/>
                <w:sz w:val="20"/>
                <w:szCs w:val="20"/>
                <w:lang w:val="en-GB"/>
              </w:rPr>
              <w:t>—</w:t>
            </w:r>
          </w:p>
        </w:tc>
        <w:tc>
          <w:tcPr>
            <w:tcW w:w="1355" w:type="dxa"/>
            <w:shd w:val="clear" w:color="auto" w:fill="auto"/>
            <w:vAlign w:val="bottom"/>
          </w:tcPr>
          <w:p w:rsidRPr="009C48DA" w:rsidR="00CD3B44" w:rsidP="00CD3B44" w:rsidRDefault="00CD3B44" w14:paraId="20CF287B" w14:textId="77777777">
            <w:pPr>
              <w:jc w:val="right"/>
              <w:rPr>
                <w:rFonts w:cs="Times New Roman"/>
                <w:sz w:val="20"/>
                <w:szCs w:val="20"/>
                <w:lang w:val="en-GB"/>
              </w:rPr>
            </w:pPr>
            <w:r w:rsidRPr="009C48DA">
              <w:rPr>
                <w:rFonts w:cs="Times New Roman"/>
                <w:sz w:val="20"/>
                <w:szCs w:val="20"/>
                <w:lang w:val="en-GB"/>
              </w:rPr>
              <w:t>—</w:t>
            </w:r>
          </w:p>
        </w:tc>
        <w:tc>
          <w:tcPr>
            <w:tcW w:w="838" w:type="dxa"/>
            <w:shd w:val="clear" w:color="auto" w:fill="auto"/>
            <w:vAlign w:val="bottom"/>
          </w:tcPr>
          <w:p w:rsidRPr="009C48DA" w:rsidR="00CD3B44" w:rsidP="00CD3B44" w:rsidRDefault="00CD3B44" w14:paraId="4650B181" w14:textId="77777777">
            <w:pPr>
              <w:jc w:val="right"/>
              <w:rPr>
                <w:rFonts w:cs="Times New Roman"/>
                <w:sz w:val="20"/>
                <w:szCs w:val="20"/>
                <w:lang w:val="en-GB"/>
              </w:rPr>
            </w:pPr>
            <w:r w:rsidRPr="009C48DA">
              <w:rPr>
                <w:rFonts w:cs="Times New Roman"/>
                <w:sz w:val="20"/>
                <w:szCs w:val="20"/>
                <w:lang w:val="en-GB"/>
              </w:rPr>
              <w:t>87.5</w:t>
            </w:r>
          </w:p>
        </w:tc>
      </w:tr>
      <w:tr w:rsidRPr="009C48DA" w:rsidR="00CD3B44" w:rsidTr="00653B94" w14:paraId="292C3845" w14:textId="77777777">
        <w:trPr>
          <w:trHeight w:val="74"/>
          <w:jc w:val="center"/>
        </w:trPr>
        <w:tc>
          <w:tcPr>
            <w:tcW w:w="2388" w:type="dxa"/>
            <w:shd w:val="clear" w:color="auto" w:fill="auto"/>
            <w:vAlign w:val="bottom"/>
          </w:tcPr>
          <w:p w:rsidRPr="009C48DA" w:rsidR="00CD3B44" w:rsidP="00CD3B44" w:rsidRDefault="00CD3B44" w14:paraId="1155F55A" w14:textId="77777777">
            <w:pPr>
              <w:tabs>
                <w:tab w:val="right" w:leader="dot" w:pos="4133"/>
              </w:tabs>
              <w:rPr>
                <w:rFonts w:cs="Times New Roman"/>
                <w:sz w:val="20"/>
                <w:szCs w:val="20"/>
                <w:lang w:val="en-GB"/>
              </w:rPr>
            </w:pPr>
            <w:r w:rsidRPr="009C48DA">
              <w:rPr>
                <w:rFonts w:cs="Times New Roman"/>
                <w:sz w:val="20"/>
                <w:szCs w:val="20"/>
                <w:lang w:val="en-GB"/>
              </w:rPr>
              <w:t>Other financial liabilities</w:t>
            </w:r>
            <w:r w:rsidRPr="009C48DA">
              <w:rPr>
                <w:rFonts w:cs="Times New Roman"/>
                <w:sz w:val="20"/>
                <w:szCs w:val="20"/>
                <w:lang w:val="en-GB"/>
              </w:rPr>
              <w:tab/>
            </w:r>
          </w:p>
        </w:tc>
        <w:tc>
          <w:tcPr>
            <w:tcW w:w="1355" w:type="dxa"/>
            <w:vAlign w:val="bottom"/>
          </w:tcPr>
          <w:p w:rsidRPr="009C48DA" w:rsidR="00CD3B44" w:rsidP="00CD3B44" w:rsidRDefault="00CD3B44" w14:paraId="29B24A46" w14:textId="0A3F449F">
            <w:pPr>
              <w:jc w:val="right"/>
              <w:rPr>
                <w:rFonts w:cs="Times New Roman"/>
                <w:sz w:val="20"/>
                <w:szCs w:val="20"/>
                <w:lang w:val="en-GB"/>
              </w:rPr>
            </w:pPr>
            <w:r w:rsidRPr="009C48DA">
              <w:rPr>
                <w:rFonts w:cs="Times New Roman"/>
                <w:sz w:val="20"/>
                <w:szCs w:val="20"/>
                <w:lang w:val="en-GB"/>
              </w:rPr>
              <w:t>5.8</w:t>
            </w:r>
          </w:p>
        </w:tc>
        <w:tc>
          <w:tcPr>
            <w:tcW w:w="1355" w:type="dxa"/>
            <w:shd w:val="clear" w:color="auto" w:fill="auto"/>
            <w:vAlign w:val="bottom"/>
          </w:tcPr>
          <w:p w:rsidRPr="009C48DA" w:rsidR="00CD3B44" w:rsidP="00CD3B44" w:rsidRDefault="00CD3B44" w14:paraId="37D82B55" w14:textId="383837F1">
            <w:pPr>
              <w:jc w:val="right"/>
              <w:rPr>
                <w:rFonts w:cs="Times New Roman"/>
                <w:sz w:val="20"/>
                <w:szCs w:val="20"/>
                <w:lang w:val="en-GB"/>
              </w:rPr>
            </w:pPr>
            <w:r w:rsidRPr="009C48DA">
              <w:rPr>
                <w:rFonts w:cs="Times New Roman"/>
                <w:sz w:val="20"/>
                <w:szCs w:val="20"/>
                <w:lang w:val="en-GB"/>
              </w:rPr>
              <w:t>—</w:t>
            </w:r>
          </w:p>
        </w:tc>
        <w:tc>
          <w:tcPr>
            <w:tcW w:w="1356" w:type="dxa"/>
            <w:shd w:val="clear" w:color="auto" w:fill="auto"/>
            <w:vAlign w:val="bottom"/>
          </w:tcPr>
          <w:p w:rsidRPr="009C48DA" w:rsidR="00CD3B44" w:rsidP="00CD3B44" w:rsidRDefault="00CD3B44" w14:paraId="7B0335CA" w14:textId="77777777">
            <w:pPr>
              <w:jc w:val="right"/>
              <w:rPr>
                <w:rFonts w:cs="Times New Roman"/>
                <w:sz w:val="20"/>
                <w:szCs w:val="20"/>
                <w:lang w:val="en-GB"/>
              </w:rPr>
            </w:pPr>
            <w:r w:rsidRPr="009C48DA">
              <w:rPr>
                <w:rFonts w:cs="Times New Roman"/>
                <w:sz w:val="20"/>
                <w:szCs w:val="20"/>
                <w:lang w:val="en-GB"/>
              </w:rPr>
              <w:t>—</w:t>
            </w:r>
          </w:p>
        </w:tc>
        <w:tc>
          <w:tcPr>
            <w:tcW w:w="1355" w:type="dxa"/>
            <w:shd w:val="clear" w:color="auto" w:fill="auto"/>
            <w:vAlign w:val="bottom"/>
          </w:tcPr>
          <w:p w:rsidRPr="009C48DA" w:rsidR="00CD3B44" w:rsidP="00CD3B44" w:rsidRDefault="00CD3B44" w14:paraId="45338563" w14:textId="77777777">
            <w:pPr>
              <w:jc w:val="right"/>
              <w:rPr>
                <w:rFonts w:cs="Times New Roman"/>
                <w:sz w:val="20"/>
                <w:szCs w:val="20"/>
                <w:lang w:val="en-GB"/>
              </w:rPr>
            </w:pPr>
            <w:r w:rsidRPr="009C48DA">
              <w:rPr>
                <w:rFonts w:cs="Times New Roman"/>
                <w:sz w:val="20"/>
                <w:szCs w:val="20"/>
                <w:lang w:val="en-GB"/>
              </w:rPr>
              <w:t>—</w:t>
            </w:r>
          </w:p>
        </w:tc>
        <w:tc>
          <w:tcPr>
            <w:tcW w:w="838" w:type="dxa"/>
            <w:shd w:val="clear" w:color="auto" w:fill="auto"/>
            <w:vAlign w:val="bottom"/>
          </w:tcPr>
          <w:p w:rsidRPr="009C48DA" w:rsidR="00CD3B44" w:rsidP="00CD3B44" w:rsidRDefault="00CD3B44" w14:paraId="6490FC4E" w14:textId="77777777">
            <w:pPr>
              <w:jc w:val="right"/>
              <w:rPr>
                <w:rFonts w:cs="Times New Roman"/>
                <w:sz w:val="20"/>
                <w:szCs w:val="20"/>
                <w:lang w:val="en-GB"/>
              </w:rPr>
            </w:pPr>
            <w:r w:rsidRPr="009C48DA">
              <w:rPr>
                <w:rFonts w:cs="Times New Roman"/>
                <w:sz w:val="20"/>
                <w:szCs w:val="20"/>
                <w:lang w:val="en-GB"/>
              </w:rPr>
              <w:t>5.8</w:t>
            </w:r>
          </w:p>
        </w:tc>
      </w:tr>
      <w:tr w:rsidRPr="009C48DA" w:rsidR="00CD3B44" w:rsidTr="00653B94" w14:paraId="09C23A1D" w14:textId="77777777">
        <w:trPr>
          <w:trHeight w:val="74"/>
          <w:jc w:val="center"/>
        </w:trPr>
        <w:tc>
          <w:tcPr>
            <w:tcW w:w="2388" w:type="dxa"/>
            <w:shd w:val="clear" w:color="auto" w:fill="auto"/>
            <w:vAlign w:val="bottom"/>
          </w:tcPr>
          <w:p w:rsidRPr="009C48DA" w:rsidR="00CD3B44" w:rsidP="00CD3B44" w:rsidRDefault="00CD3B44" w14:paraId="2077732E" w14:textId="77777777">
            <w:pPr>
              <w:tabs>
                <w:tab w:val="right" w:leader="dot" w:pos="4133"/>
              </w:tabs>
              <w:rPr>
                <w:rFonts w:cs="Times New Roman"/>
                <w:sz w:val="20"/>
                <w:szCs w:val="20"/>
                <w:lang w:val="en-GB"/>
              </w:rPr>
            </w:pPr>
            <w:r w:rsidRPr="009C48DA">
              <w:rPr>
                <w:rFonts w:cs="Times New Roman"/>
                <w:sz w:val="20"/>
                <w:szCs w:val="20"/>
                <w:lang w:val="en-GB"/>
              </w:rPr>
              <w:t>Derivative financial instruments</w:t>
            </w:r>
            <w:r w:rsidRPr="009C48DA">
              <w:rPr>
                <w:rFonts w:cs="Times New Roman"/>
                <w:sz w:val="20"/>
                <w:szCs w:val="20"/>
                <w:lang w:val="en-GB"/>
              </w:rPr>
              <w:tab/>
            </w:r>
          </w:p>
        </w:tc>
        <w:tc>
          <w:tcPr>
            <w:tcW w:w="1355" w:type="dxa"/>
            <w:vAlign w:val="bottom"/>
          </w:tcPr>
          <w:p w:rsidRPr="009C48DA" w:rsidR="00CD3B44" w:rsidP="00CD3B44" w:rsidRDefault="00CD3B44" w14:paraId="218A6376" w14:textId="77777777">
            <w:pPr>
              <w:jc w:val="right"/>
              <w:rPr>
                <w:rFonts w:cs="Times New Roman"/>
                <w:sz w:val="20"/>
                <w:szCs w:val="20"/>
                <w:lang w:val="en-GB"/>
              </w:rPr>
            </w:pPr>
            <w:r w:rsidRPr="009C48DA">
              <w:rPr>
                <w:rFonts w:cs="Times New Roman"/>
                <w:sz w:val="20"/>
                <w:szCs w:val="20"/>
                <w:lang w:val="en-GB"/>
              </w:rPr>
              <w:t>—</w:t>
            </w:r>
          </w:p>
        </w:tc>
        <w:tc>
          <w:tcPr>
            <w:tcW w:w="1355" w:type="dxa"/>
            <w:shd w:val="clear" w:color="auto" w:fill="auto"/>
            <w:vAlign w:val="bottom"/>
          </w:tcPr>
          <w:p w:rsidRPr="009C48DA" w:rsidR="00CD3B44" w:rsidP="00CD3B44" w:rsidRDefault="00CD3B44" w14:paraId="55165EBD" w14:textId="77777777">
            <w:pPr>
              <w:jc w:val="right"/>
              <w:rPr>
                <w:rFonts w:cs="Times New Roman"/>
                <w:sz w:val="20"/>
                <w:szCs w:val="20"/>
                <w:lang w:val="en-GB"/>
              </w:rPr>
            </w:pPr>
            <w:r w:rsidRPr="009C48DA">
              <w:rPr>
                <w:rFonts w:cs="Times New Roman"/>
                <w:sz w:val="20"/>
                <w:szCs w:val="20"/>
                <w:lang w:val="en-GB"/>
              </w:rPr>
              <w:t>0.0</w:t>
            </w:r>
          </w:p>
        </w:tc>
        <w:tc>
          <w:tcPr>
            <w:tcW w:w="1356" w:type="dxa"/>
            <w:shd w:val="clear" w:color="auto" w:fill="auto"/>
            <w:vAlign w:val="bottom"/>
          </w:tcPr>
          <w:p w:rsidRPr="009C48DA" w:rsidR="00CD3B44" w:rsidP="00CD3B44" w:rsidRDefault="00CD3B44" w14:paraId="563D4D54" w14:textId="77777777">
            <w:pPr>
              <w:jc w:val="right"/>
              <w:rPr>
                <w:rFonts w:cs="Times New Roman"/>
                <w:sz w:val="20"/>
                <w:szCs w:val="20"/>
                <w:lang w:val="en-GB"/>
              </w:rPr>
            </w:pPr>
            <w:r w:rsidRPr="009C48DA">
              <w:rPr>
                <w:rFonts w:cs="Times New Roman"/>
                <w:sz w:val="20"/>
                <w:szCs w:val="20"/>
                <w:lang w:val="en-GB"/>
              </w:rPr>
              <w:t>—</w:t>
            </w:r>
          </w:p>
        </w:tc>
        <w:tc>
          <w:tcPr>
            <w:tcW w:w="1355" w:type="dxa"/>
            <w:shd w:val="clear" w:color="auto" w:fill="auto"/>
            <w:vAlign w:val="bottom"/>
          </w:tcPr>
          <w:p w:rsidRPr="009C48DA" w:rsidR="00CD3B44" w:rsidP="00CD3B44" w:rsidRDefault="00CD3B44" w14:paraId="08CC7319" w14:textId="77777777">
            <w:pPr>
              <w:jc w:val="right"/>
              <w:rPr>
                <w:rFonts w:cs="Times New Roman"/>
                <w:sz w:val="20"/>
                <w:szCs w:val="20"/>
                <w:lang w:val="en-GB"/>
              </w:rPr>
            </w:pPr>
            <w:r w:rsidRPr="009C48DA">
              <w:rPr>
                <w:rFonts w:cs="Times New Roman"/>
                <w:sz w:val="20"/>
                <w:szCs w:val="20"/>
                <w:lang w:val="en-GB"/>
              </w:rPr>
              <w:t>—</w:t>
            </w:r>
          </w:p>
        </w:tc>
        <w:tc>
          <w:tcPr>
            <w:tcW w:w="838" w:type="dxa"/>
            <w:shd w:val="clear" w:color="auto" w:fill="auto"/>
            <w:vAlign w:val="bottom"/>
          </w:tcPr>
          <w:p w:rsidRPr="009C48DA" w:rsidR="00CD3B44" w:rsidP="00CD3B44" w:rsidRDefault="00CD3B44" w14:paraId="266848EC" w14:textId="77777777">
            <w:pPr>
              <w:jc w:val="right"/>
              <w:rPr>
                <w:rFonts w:cs="Times New Roman"/>
                <w:sz w:val="20"/>
                <w:szCs w:val="20"/>
                <w:lang w:val="en-GB"/>
              </w:rPr>
            </w:pPr>
            <w:r w:rsidRPr="009C48DA">
              <w:rPr>
                <w:rFonts w:cs="Times New Roman"/>
                <w:sz w:val="20"/>
                <w:szCs w:val="20"/>
                <w:lang w:val="en-GB"/>
              </w:rPr>
              <w:t>0.0</w:t>
            </w:r>
          </w:p>
        </w:tc>
      </w:tr>
      <w:tr w:rsidRPr="009C48DA" w:rsidR="00CD3B44" w:rsidTr="00653B94" w14:paraId="62E37B6E" w14:textId="77777777">
        <w:trPr>
          <w:trHeight w:val="74"/>
          <w:jc w:val="center"/>
        </w:trPr>
        <w:tc>
          <w:tcPr>
            <w:tcW w:w="2388" w:type="dxa"/>
            <w:shd w:val="clear" w:color="auto" w:fill="auto"/>
            <w:vAlign w:val="bottom"/>
          </w:tcPr>
          <w:p w:rsidRPr="009C48DA" w:rsidR="00CD3B44" w:rsidP="00CD3B44" w:rsidRDefault="00CD3B44" w14:paraId="7B3C1CBC" w14:textId="77777777">
            <w:pPr>
              <w:tabs>
                <w:tab w:val="right" w:leader="dot" w:pos="4133"/>
              </w:tabs>
              <w:rPr>
                <w:rFonts w:cs="Times New Roman"/>
                <w:sz w:val="20"/>
                <w:szCs w:val="20"/>
                <w:lang w:val="en-GB"/>
              </w:rPr>
            </w:pPr>
            <w:r w:rsidRPr="009C48DA">
              <w:rPr>
                <w:rFonts w:cs="Times New Roman"/>
                <w:sz w:val="20"/>
                <w:szCs w:val="20"/>
                <w:lang w:val="en-GB"/>
              </w:rPr>
              <w:t>Trade and other payables</w:t>
            </w:r>
            <w:r w:rsidRPr="009C48DA">
              <w:rPr>
                <w:rFonts w:cs="Times New Roman"/>
                <w:sz w:val="20"/>
                <w:szCs w:val="20"/>
                <w:lang w:val="en-GB"/>
              </w:rPr>
              <w:tab/>
            </w:r>
          </w:p>
        </w:tc>
        <w:tc>
          <w:tcPr>
            <w:tcW w:w="1355" w:type="dxa"/>
            <w:vAlign w:val="bottom"/>
          </w:tcPr>
          <w:p w:rsidRPr="009C48DA" w:rsidR="00CD3B44" w:rsidP="00CD3B44" w:rsidRDefault="00DE6D10" w14:paraId="4C274CF6" w14:textId="5A7D1A2C">
            <w:pPr>
              <w:jc w:val="right"/>
              <w:rPr>
                <w:rFonts w:cs="Times New Roman"/>
                <w:sz w:val="20"/>
                <w:szCs w:val="20"/>
                <w:lang w:val="en-GB"/>
              </w:rPr>
            </w:pPr>
            <w:r>
              <w:rPr>
                <w:rFonts w:cs="Times New Roman"/>
                <w:sz w:val="20"/>
                <w:szCs w:val="20"/>
                <w:lang w:val="en-GB"/>
              </w:rPr>
              <w:t>41.9</w:t>
            </w:r>
          </w:p>
        </w:tc>
        <w:tc>
          <w:tcPr>
            <w:tcW w:w="1355" w:type="dxa"/>
            <w:shd w:val="clear" w:color="auto" w:fill="auto"/>
            <w:vAlign w:val="bottom"/>
          </w:tcPr>
          <w:p w:rsidRPr="009C48DA" w:rsidR="00CD3B44" w:rsidP="00CD3B44" w:rsidRDefault="00CD3B44" w14:paraId="1AC04C2A" w14:textId="77777777">
            <w:pPr>
              <w:jc w:val="right"/>
              <w:rPr>
                <w:rFonts w:cs="Times New Roman"/>
                <w:sz w:val="20"/>
                <w:szCs w:val="20"/>
                <w:lang w:val="en-GB"/>
              </w:rPr>
            </w:pPr>
            <w:r w:rsidRPr="009C48DA">
              <w:rPr>
                <w:rFonts w:cs="Times New Roman"/>
                <w:sz w:val="20"/>
                <w:szCs w:val="20"/>
                <w:lang w:val="en-GB"/>
              </w:rPr>
              <w:t>0.6</w:t>
            </w:r>
          </w:p>
        </w:tc>
        <w:tc>
          <w:tcPr>
            <w:tcW w:w="1356" w:type="dxa"/>
            <w:shd w:val="clear" w:color="auto" w:fill="auto"/>
            <w:vAlign w:val="bottom"/>
          </w:tcPr>
          <w:p w:rsidRPr="009C48DA" w:rsidR="00CD3B44" w:rsidP="00CD3B44" w:rsidRDefault="00CD3B44" w14:paraId="5E36B615" w14:textId="77777777">
            <w:pPr>
              <w:jc w:val="right"/>
              <w:rPr>
                <w:rFonts w:cs="Times New Roman"/>
                <w:sz w:val="20"/>
                <w:szCs w:val="20"/>
                <w:lang w:val="en-GB"/>
              </w:rPr>
            </w:pPr>
            <w:r w:rsidRPr="009C48DA">
              <w:rPr>
                <w:rFonts w:cs="Times New Roman"/>
                <w:sz w:val="20"/>
                <w:szCs w:val="20"/>
                <w:lang w:val="en-GB"/>
              </w:rPr>
              <w:t>—</w:t>
            </w:r>
          </w:p>
        </w:tc>
        <w:tc>
          <w:tcPr>
            <w:tcW w:w="1355" w:type="dxa"/>
            <w:shd w:val="clear" w:color="auto" w:fill="auto"/>
            <w:vAlign w:val="bottom"/>
          </w:tcPr>
          <w:p w:rsidRPr="009C48DA" w:rsidR="00CD3B44" w:rsidP="00CD3B44" w:rsidRDefault="00CD3B44" w14:paraId="73F420C3" w14:textId="77777777">
            <w:pPr>
              <w:jc w:val="right"/>
              <w:rPr>
                <w:rFonts w:cs="Times New Roman"/>
                <w:sz w:val="20"/>
                <w:szCs w:val="20"/>
                <w:lang w:val="en-GB"/>
              </w:rPr>
            </w:pPr>
            <w:r w:rsidRPr="009C48DA">
              <w:rPr>
                <w:rFonts w:cs="Times New Roman"/>
                <w:sz w:val="20"/>
                <w:szCs w:val="20"/>
                <w:lang w:val="en-GB"/>
              </w:rPr>
              <w:t>—</w:t>
            </w:r>
          </w:p>
        </w:tc>
        <w:tc>
          <w:tcPr>
            <w:tcW w:w="838" w:type="dxa"/>
            <w:shd w:val="clear" w:color="auto" w:fill="auto"/>
            <w:vAlign w:val="bottom"/>
          </w:tcPr>
          <w:p w:rsidRPr="009C48DA" w:rsidR="00CD3B44" w:rsidP="00CD3B44" w:rsidRDefault="00CD3B44" w14:paraId="7799D092" w14:textId="6D1FE594">
            <w:pPr>
              <w:jc w:val="right"/>
              <w:rPr>
                <w:rFonts w:cs="Times New Roman"/>
                <w:sz w:val="20"/>
                <w:szCs w:val="20"/>
                <w:lang w:val="en-GB"/>
              </w:rPr>
            </w:pPr>
            <w:r w:rsidRPr="009C48DA">
              <w:rPr>
                <w:rFonts w:cs="Times New Roman"/>
                <w:sz w:val="20"/>
                <w:szCs w:val="20"/>
                <w:lang w:val="en-GB"/>
              </w:rPr>
              <w:t>42.4</w:t>
            </w:r>
          </w:p>
        </w:tc>
      </w:tr>
      <w:tr w:rsidRPr="009C48DA" w:rsidR="00CD3B44" w:rsidTr="00653B94" w14:paraId="0EF61710" w14:textId="77777777">
        <w:trPr>
          <w:trHeight w:val="74"/>
          <w:jc w:val="center"/>
        </w:trPr>
        <w:tc>
          <w:tcPr>
            <w:tcW w:w="2388" w:type="dxa"/>
            <w:shd w:val="clear" w:color="auto" w:fill="auto"/>
            <w:vAlign w:val="bottom"/>
          </w:tcPr>
          <w:p w:rsidRPr="009C48DA" w:rsidR="00CD3B44" w:rsidP="00CD3B44" w:rsidRDefault="00CD3B44" w14:paraId="4C0317AE" w14:textId="77777777">
            <w:pPr>
              <w:tabs>
                <w:tab w:val="right" w:leader="dot" w:pos="4133"/>
              </w:tabs>
              <w:rPr>
                <w:rFonts w:cs="Times New Roman"/>
                <w:sz w:val="20"/>
                <w:szCs w:val="20"/>
                <w:lang w:val="en-GB"/>
              </w:rPr>
            </w:pPr>
            <w:r w:rsidRPr="009C48DA">
              <w:rPr>
                <w:rFonts w:cs="Times New Roman"/>
                <w:sz w:val="20"/>
                <w:szCs w:val="20"/>
                <w:lang w:val="en-GB"/>
              </w:rPr>
              <w:t>Deferred contingent consideration</w:t>
            </w:r>
            <w:r w:rsidRPr="009C48DA">
              <w:rPr>
                <w:rFonts w:cs="Times New Roman"/>
                <w:sz w:val="20"/>
                <w:szCs w:val="20"/>
                <w:lang w:val="en-GB"/>
              </w:rPr>
              <w:tab/>
            </w:r>
          </w:p>
        </w:tc>
        <w:tc>
          <w:tcPr>
            <w:tcW w:w="1355" w:type="dxa"/>
            <w:vAlign w:val="bottom"/>
          </w:tcPr>
          <w:p w:rsidRPr="009C48DA" w:rsidR="00CD3B44" w:rsidP="00CD3B44" w:rsidRDefault="00CD3B44" w14:paraId="2DB05D8E" w14:textId="77777777">
            <w:pPr>
              <w:jc w:val="right"/>
              <w:rPr>
                <w:rFonts w:cs="Times New Roman"/>
                <w:sz w:val="20"/>
                <w:szCs w:val="20"/>
                <w:lang w:val="en-GB"/>
              </w:rPr>
            </w:pPr>
            <w:r w:rsidRPr="009C48DA">
              <w:rPr>
                <w:rFonts w:cs="Times New Roman"/>
                <w:sz w:val="20"/>
                <w:szCs w:val="20"/>
                <w:lang w:val="en-GB"/>
              </w:rPr>
              <w:t>—</w:t>
            </w:r>
          </w:p>
        </w:tc>
        <w:tc>
          <w:tcPr>
            <w:tcW w:w="1355" w:type="dxa"/>
            <w:shd w:val="clear" w:color="auto" w:fill="auto"/>
            <w:vAlign w:val="bottom"/>
          </w:tcPr>
          <w:p w:rsidRPr="009C48DA" w:rsidR="00CD3B44" w:rsidP="00CD3B44" w:rsidRDefault="00CD3B44" w14:paraId="6201E747" w14:textId="77777777">
            <w:pPr>
              <w:jc w:val="right"/>
              <w:rPr>
                <w:rFonts w:cs="Times New Roman"/>
                <w:sz w:val="20"/>
                <w:szCs w:val="20"/>
                <w:lang w:val="en-GB"/>
              </w:rPr>
            </w:pPr>
            <w:r w:rsidRPr="009C48DA">
              <w:rPr>
                <w:rFonts w:cs="Times New Roman"/>
                <w:sz w:val="20"/>
                <w:szCs w:val="20"/>
                <w:lang w:val="en-GB"/>
              </w:rPr>
              <w:t>31.7</w:t>
            </w:r>
          </w:p>
        </w:tc>
        <w:tc>
          <w:tcPr>
            <w:tcW w:w="1356" w:type="dxa"/>
            <w:shd w:val="clear" w:color="auto" w:fill="auto"/>
            <w:vAlign w:val="bottom"/>
          </w:tcPr>
          <w:p w:rsidRPr="009C48DA" w:rsidR="00CD3B44" w:rsidP="00CD3B44" w:rsidRDefault="00CD3B44" w14:paraId="7E126EB3" w14:textId="77777777">
            <w:pPr>
              <w:jc w:val="right"/>
              <w:rPr>
                <w:rFonts w:cs="Times New Roman"/>
                <w:sz w:val="20"/>
                <w:szCs w:val="20"/>
                <w:lang w:val="en-GB"/>
              </w:rPr>
            </w:pPr>
            <w:r w:rsidRPr="009C48DA">
              <w:rPr>
                <w:rFonts w:cs="Times New Roman"/>
                <w:sz w:val="20"/>
                <w:szCs w:val="20"/>
                <w:lang w:val="en-GB"/>
              </w:rPr>
              <w:t>—</w:t>
            </w:r>
          </w:p>
        </w:tc>
        <w:tc>
          <w:tcPr>
            <w:tcW w:w="1355" w:type="dxa"/>
            <w:shd w:val="clear" w:color="auto" w:fill="auto"/>
            <w:vAlign w:val="bottom"/>
          </w:tcPr>
          <w:p w:rsidRPr="009C48DA" w:rsidR="00CD3B44" w:rsidP="00CD3B44" w:rsidRDefault="00CD3B44" w14:paraId="242DB60D" w14:textId="77777777">
            <w:pPr>
              <w:jc w:val="right"/>
              <w:rPr>
                <w:rFonts w:cs="Times New Roman"/>
                <w:sz w:val="20"/>
                <w:szCs w:val="20"/>
                <w:lang w:val="en-GB"/>
              </w:rPr>
            </w:pPr>
            <w:r w:rsidRPr="009C48DA">
              <w:rPr>
                <w:rFonts w:cs="Times New Roman"/>
                <w:sz w:val="20"/>
                <w:szCs w:val="20"/>
                <w:lang w:val="en-GB"/>
              </w:rPr>
              <w:t>—</w:t>
            </w:r>
          </w:p>
        </w:tc>
        <w:tc>
          <w:tcPr>
            <w:tcW w:w="838" w:type="dxa"/>
            <w:shd w:val="clear" w:color="auto" w:fill="auto"/>
            <w:vAlign w:val="bottom"/>
          </w:tcPr>
          <w:p w:rsidRPr="009C48DA" w:rsidR="00CD3B44" w:rsidP="00CD3B44" w:rsidRDefault="00CD3B44" w14:paraId="08ADCF4B" w14:textId="77777777">
            <w:pPr>
              <w:jc w:val="right"/>
              <w:rPr>
                <w:rFonts w:cs="Times New Roman"/>
                <w:sz w:val="20"/>
                <w:szCs w:val="20"/>
                <w:lang w:val="en-GB"/>
              </w:rPr>
            </w:pPr>
            <w:r w:rsidRPr="009C48DA">
              <w:rPr>
                <w:rFonts w:cs="Times New Roman"/>
                <w:sz w:val="20"/>
                <w:szCs w:val="20"/>
                <w:lang w:val="en-GB"/>
              </w:rPr>
              <w:t>31.7</w:t>
            </w:r>
          </w:p>
        </w:tc>
      </w:tr>
      <w:tr w:rsidRPr="009C48DA" w:rsidR="00CD3B44" w:rsidTr="00653B94" w14:paraId="794E0A93" w14:textId="77777777">
        <w:trPr>
          <w:trHeight w:val="74"/>
          <w:jc w:val="center"/>
        </w:trPr>
        <w:tc>
          <w:tcPr>
            <w:tcW w:w="2388" w:type="dxa"/>
            <w:shd w:val="clear" w:color="auto" w:fill="auto"/>
            <w:vAlign w:val="bottom"/>
          </w:tcPr>
          <w:p w:rsidRPr="009C48DA" w:rsidR="00CD3B44" w:rsidP="00CD3B44" w:rsidRDefault="00CD3B44" w14:paraId="11DF77BD" w14:textId="77777777">
            <w:pPr>
              <w:tabs>
                <w:tab w:val="right" w:leader="dot" w:pos="4133"/>
              </w:tabs>
              <w:rPr>
                <w:rFonts w:cs="Times New Roman"/>
                <w:sz w:val="20"/>
                <w:szCs w:val="20"/>
                <w:lang w:val="en-GB"/>
              </w:rPr>
            </w:pPr>
            <w:r w:rsidRPr="009C48DA">
              <w:rPr>
                <w:rFonts w:cs="Times New Roman"/>
                <w:sz w:val="20"/>
                <w:szCs w:val="20"/>
                <w:lang w:val="en-GB"/>
              </w:rPr>
              <w:t>Lease liabilities</w:t>
            </w:r>
            <w:r w:rsidRPr="009C48DA">
              <w:rPr>
                <w:rFonts w:cs="Times New Roman"/>
                <w:sz w:val="20"/>
                <w:szCs w:val="20"/>
                <w:lang w:val="en-GB"/>
              </w:rPr>
              <w:tab/>
            </w:r>
          </w:p>
        </w:tc>
        <w:tc>
          <w:tcPr>
            <w:tcW w:w="1355" w:type="dxa"/>
            <w:vAlign w:val="bottom"/>
          </w:tcPr>
          <w:p w:rsidRPr="009C48DA" w:rsidR="00CD3B44" w:rsidP="00CD3B44" w:rsidRDefault="00CD3B44" w14:paraId="4501469B" w14:textId="77777777">
            <w:pPr>
              <w:jc w:val="right"/>
              <w:rPr>
                <w:rFonts w:cs="Times New Roman"/>
                <w:sz w:val="20"/>
                <w:szCs w:val="20"/>
                <w:lang w:val="en-GB"/>
              </w:rPr>
            </w:pPr>
            <w:r w:rsidRPr="009C48DA">
              <w:rPr>
                <w:rFonts w:cs="Times New Roman"/>
                <w:sz w:val="20"/>
                <w:szCs w:val="20"/>
                <w:lang w:val="en-GB"/>
              </w:rPr>
              <w:t>8.3</w:t>
            </w:r>
          </w:p>
        </w:tc>
        <w:tc>
          <w:tcPr>
            <w:tcW w:w="1355" w:type="dxa"/>
            <w:shd w:val="clear" w:color="auto" w:fill="auto"/>
            <w:vAlign w:val="bottom"/>
          </w:tcPr>
          <w:p w:rsidRPr="009C48DA" w:rsidR="00CD3B44" w:rsidP="00CD3B44" w:rsidRDefault="00CD3B44" w14:paraId="5CFE83F2" w14:textId="77777777">
            <w:pPr>
              <w:jc w:val="right"/>
              <w:rPr>
                <w:rFonts w:cs="Times New Roman"/>
                <w:sz w:val="20"/>
                <w:szCs w:val="20"/>
                <w:lang w:val="en-GB"/>
              </w:rPr>
            </w:pPr>
            <w:r w:rsidRPr="009C48DA">
              <w:rPr>
                <w:rFonts w:cs="Times New Roman"/>
                <w:sz w:val="20"/>
                <w:szCs w:val="20"/>
                <w:lang w:val="en-GB"/>
              </w:rPr>
              <w:t>7.6</w:t>
            </w:r>
          </w:p>
        </w:tc>
        <w:tc>
          <w:tcPr>
            <w:tcW w:w="1356" w:type="dxa"/>
            <w:shd w:val="clear" w:color="auto" w:fill="auto"/>
            <w:vAlign w:val="bottom"/>
          </w:tcPr>
          <w:p w:rsidRPr="009C48DA" w:rsidR="00CD3B44" w:rsidP="00CD3B44" w:rsidRDefault="00CD3B44" w14:paraId="2B18BA60" w14:textId="77777777">
            <w:pPr>
              <w:jc w:val="right"/>
              <w:rPr>
                <w:rFonts w:cs="Times New Roman"/>
                <w:sz w:val="20"/>
                <w:szCs w:val="20"/>
                <w:lang w:val="en-GB"/>
              </w:rPr>
            </w:pPr>
            <w:r w:rsidRPr="009C48DA">
              <w:rPr>
                <w:rFonts w:cs="Times New Roman"/>
                <w:sz w:val="20"/>
                <w:szCs w:val="20"/>
                <w:lang w:val="en-GB"/>
              </w:rPr>
              <w:t>19.9</w:t>
            </w:r>
          </w:p>
        </w:tc>
        <w:tc>
          <w:tcPr>
            <w:tcW w:w="1355" w:type="dxa"/>
            <w:shd w:val="clear" w:color="auto" w:fill="auto"/>
            <w:vAlign w:val="bottom"/>
          </w:tcPr>
          <w:p w:rsidRPr="009C48DA" w:rsidR="00CD3B44" w:rsidP="00CD3B44" w:rsidRDefault="00CD3B44" w14:paraId="6EB2B815" w14:textId="77777777">
            <w:pPr>
              <w:jc w:val="right"/>
              <w:rPr>
                <w:rFonts w:cs="Times New Roman"/>
                <w:sz w:val="20"/>
                <w:szCs w:val="20"/>
                <w:lang w:val="en-GB"/>
              </w:rPr>
            </w:pPr>
            <w:r w:rsidRPr="009C48DA">
              <w:rPr>
                <w:rFonts w:cs="Times New Roman"/>
                <w:sz w:val="20"/>
                <w:szCs w:val="20"/>
                <w:lang w:val="en-GB"/>
              </w:rPr>
              <w:t>11.9</w:t>
            </w:r>
          </w:p>
        </w:tc>
        <w:tc>
          <w:tcPr>
            <w:tcW w:w="838" w:type="dxa"/>
            <w:shd w:val="clear" w:color="auto" w:fill="auto"/>
            <w:vAlign w:val="bottom"/>
          </w:tcPr>
          <w:p w:rsidRPr="009C48DA" w:rsidR="00CD3B44" w:rsidP="00CD3B44" w:rsidRDefault="00CD3B44" w14:paraId="594CFB35" w14:textId="77777777">
            <w:pPr>
              <w:jc w:val="right"/>
              <w:rPr>
                <w:rFonts w:cs="Times New Roman"/>
                <w:sz w:val="20"/>
                <w:szCs w:val="20"/>
                <w:lang w:val="en-GB"/>
              </w:rPr>
            </w:pPr>
            <w:r w:rsidRPr="009C48DA">
              <w:rPr>
                <w:rFonts w:cs="Times New Roman"/>
                <w:sz w:val="20"/>
                <w:szCs w:val="20"/>
                <w:lang w:val="en-GB"/>
              </w:rPr>
              <w:t>47.7</w:t>
            </w:r>
          </w:p>
        </w:tc>
      </w:tr>
      <w:tr w:rsidRPr="009C48DA" w:rsidR="00CD3B44" w:rsidTr="00653B94" w14:paraId="5A60DAAD" w14:textId="77777777">
        <w:trPr>
          <w:trHeight w:val="74"/>
          <w:jc w:val="center"/>
        </w:trPr>
        <w:tc>
          <w:tcPr>
            <w:tcW w:w="2388" w:type="dxa"/>
            <w:shd w:val="clear" w:color="auto" w:fill="auto"/>
            <w:vAlign w:val="bottom"/>
          </w:tcPr>
          <w:p w:rsidRPr="009C48DA" w:rsidR="00CD3B44" w:rsidP="00CD3B44" w:rsidRDefault="00CD3B44" w14:paraId="41F89FF0" w14:textId="77777777">
            <w:pPr>
              <w:tabs>
                <w:tab w:val="right" w:leader="dot" w:pos="4133"/>
              </w:tabs>
              <w:rPr>
                <w:rFonts w:cs="Times New Roman"/>
                <w:sz w:val="20"/>
                <w:szCs w:val="20"/>
                <w:lang w:val="en-GB"/>
              </w:rPr>
            </w:pPr>
            <w:r w:rsidRPr="009C48DA">
              <w:rPr>
                <w:rFonts w:cs="Times New Roman"/>
                <w:sz w:val="20"/>
                <w:szCs w:val="20"/>
                <w:lang w:val="en-GB"/>
              </w:rPr>
              <w:t>CLO liabilities</w:t>
            </w:r>
            <w:r w:rsidRPr="009C48DA">
              <w:rPr>
                <w:rFonts w:cs="Times New Roman"/>
                <w:sz w:val="20"/>
                <w:szCs w:val="20"/>
                <w:lang w:val="en-GB"/>
              </w:rPr>
              <w:tab/>
            </w:r>
          </w:p>
        </w:tc>
        <w:tc>
          <w:tcPr>
            <w:tcW w:w="1355" w:type="dxa"/>
            <w:vAlign w:val="bottom"/>
          </w:tcPr>
          <w:p w:rsidRPr="009C48DA" w:rsidR="00CD3B44" w:rsidP="00CD3B44" w:rsidRDefault="00CD3B44" w14:paraId="7A1CA1CF" w14:textId="77777777">
            <w:pPr>
              <w:jc w:val="right"/>
              <w:rPr>
                <w:rFonts w:cs="Times New Roman"/>
                <w:sz w:val="20"/>
                <w:szCs w:val="20"/>
                <w:lang w:val="en-GB"/>
              </w:rPr>
            </w:pPr>
            <w:r w:rsidRPr="009C48DA">
              <w:rPr>
                <w:rFonts w:cs="Times New Roman"/>
                <w:sz w:val="20"/>
                <w:szCs w:val="20"/>
                <w:lang w:val="en-GB"/>
              </w:rPr>
              <w:t>49.3</w:t>
            </w:r>
          </w:p>
        </w:tc>
        <w:tc>
          <w:tcPr>
            <w:tcW w:w="1355" w:type="dxa"/>
            <w:shd w:val="clear" w:color="auto" w:fill="auto"/>
            <w:vAlign w:val="bottom"/>
          </w:tcPr>
          <w:p w:rsidRPr="009C48DA" w:rsidR="00CD3B44" w:rsidP="00CD3B44" w:rsidRDefault="00CD3B44" w14:paraId="37788A6B" w14:textId="77777777">
            <w:pPr>
              <w:jc w:val="right"/>
              <w:rPr>
                <w:rFonts w:cs="Times New Roman"/>
                <w:sz w:val="20"/>
                <w:szCs w:val="20"/>
                <w:lang w:val="en-GB"/>
              </w:rPr>
            </w:pPr>
            <w:r w:rsidRPr="009C48DA">
              <w:rPr>
                <w:rFonts w:cs="Times New Roman"/>
                <w:sz w:val="20"/>
                <w:szCs w:val="20"/>
                <w:lang w:val="en-GB"/>
              </w:rPr>
              <w:t>—</w:t>
            </w:r>
          </w:p>
        </w:tc>
        <w:tc>
          <w:tcPr>
            <w:tcW w:w="1356" w:type="dxa"/>
            <w:shd w:val="clear" w:color="auto" w:fill="auto"/>
            <w:vAlign w:val="bottom"/>
          </w:tcPr>
          <w:p w:rsidRPr="009C48DA" w:rsidR="00CD3B44" w:rsidP="00CD3B44" w:rsidRDefault="00CD3B44" w14:paraId="26630D67" w14:textId="77777777">
            <w:pPr>
              <w:jc w:val="right"/>
              <w:rPr>
                <w:rFonts w:cs="Times New Roman"/>
                <w:sz w:val="20"/>
                <w:szCs w:val="20"/>
                <w:lang w:val="en-GB"/>
              </w:rPr>
            </w:pPr>
            <w:r w:rsidRPr="009C48DA">
              <w:rPr>
                <w:rFonts w:cs="Times New Roman"/>
                <w:sz w:val="20"/>
                <w:szCs w:val="20"/>
                <w:lang w:val="en-GB"/>
              </w:rPr>
              <w:t>—</w:t>
            </w:r>
          </w:p>
        </w:tc>
        <w:tc>
          <w:tcPr>
            <w:tcW w:w="1355" w:type="dxa"/>
            <w:shd w:val="clear" w:color="auto" w:fill="auto"/>
            <w:vAlign w:val="bottom"/>
          </w:tcPr>
          <w:p w:rsidRPr="009C48DA" w:rsidR="00CD3B44" w:rsidP="00CD3B44" w:rsidRDefault="00CD3B44" w14:paraId="4105FCCA" w14:textId="77777777">
            <w:pPr>
              <w:jc w:val="right"/>
              <w:rPr>
                <w:rFonts w:cs="Times New Roman"/>
                <w:sz w:val="20"/>
                <w:szCs w:val="20"/>
                <w:lang w:val="en-GB"/>
              </w:rPr>
            </w:pPr>
            <w:r w:rsidRPr="009C48DA">
              <w:rPr>
                <w:rFonts w:cs="Times New Roman"/>
                <w:sz w:val="20"/>
                <w:szCs w:val="20"/>
                <w:lang w:val="en-GB"/>
              </w:rPr>
              <w:t>245.7</w:t>
            </w:r>
          </w:p>
        </w:tc>
        <w:tc>
          <w:tcPr>
            <w:tcW w:w="838" w:type="dxa"/>
            <w:shd w:val="clear" w:color="auto" w:fill="auto"/>
            <w:vAlign w:val="bottom"/>
          </w:tcPr>
          <w:p w:rsidRPr="009C48DA" w:rsidR="00CD3B44" w:rsidP="00CD3B44" w:rsidRDefault="00DE6D10" w14:paraId="1DBF9917" w14:textId="4AE1D2F2">
            <w:pPr>
              <w:jc w:val="right"/>
              <w:rPr>
                <w:rFonts w:cs="Times New Roman"/>
                <w:sz w:val="20"/>
                <w:szCs w:val="20"/>
                <w:lang w:val="en-GB"/>
              </w:rPr>
            </w:pPr>
            <w:r>
              <w:rPr>
                <w:rFonts w:cs="Times New Roman"/>
                <w:sz w:val="20"/>
                <w:szCs w:val="20"/>
                <w:lang w:val="en-GB"/>
              </w:rPr>
              <w:t>295.1</w:t>
            </w:r>
          </w:p>
        </w:tc>
      </w:tr>
      <w:tr w:rsidRPr="009C48DA" w:rsidR="00CD3B44" w:rsidTr="00653B94" w14:paraId="420D5033" w14:textId="77777777">
        <w:trPr>
          <w:trHeight w:val="74"/>
          <w:jc w:val="center"/>
        </w:trPr>
        <w:tc>
          <w:tcPr>
            <w:tcW w:w="2388" w:type="dxa"/>
            <w:shd w:val="clear" w:color="auto" w:fill="auto"/>
            <w:vAlign w:val="bottom"/>
          </w:tcPr>
          <w:p w:rsidRPr="009C48DA" w:rsidR="00CD3B44" w:rsidP="00CD3B44" w:rsidRDefault="00CD3B44" w14:paraId="50B1F816" w14:textId="7BB742DE">
            <w:pPr>
              <w:tabs>
                <w:tab w:val="right" w:leader="dot" w:pos="4133"/>
              </w:tabs>
              <w:rPr>
                <w:rFonts w:cs="Times New Roman"/>
                <w:sz w:val="20"/>
                <w:szCs w:val="20"/>
                <w:lang w:val="en-GB"/>
              </w:rPr>
            </w:pPr>
            <w:r w:rsidRPr="009C48DA">
              <w:rPr>
                <w:rFonts w:cs="Times New Roman"/>
                <w:sz w:val="20"/>
                <w:szCs w:val="20"/>
                <w:lang w:val="en-GB"/>
              </w:rPr>
              <w:t>CLO purchases awaiting settlement</w:t>
            </w:r>
            <w:r w:rsidRPr="009C48DA">
              <w:rPr>
                <w:rFonts w:cs="Times New Roman"/>
                <w:sz w:val="20"/>
                <w:szCs w:val="20"/>
                <w:lang w:val="en-GB"/>
              </w:rPr>
              <w:tab/>
            </w:r>
          </w:p>
        </w:tc>
        <w:tc>
          <w:tcPr>
            <w:tcW w:w="1355" w:type="dxa"/>
            <w:vAlign w:val="bottom"/>
          </w:tcPr>
          <w:p w:rsidRPr="009C48DA" w:rsidR="00CD3B44" w:rsidP="00CD3B44" w:rsidRDefault="00CD3B44" w14:paraId="56874AA5" w14:textId="408D3243">
            <w:pPr>
              <w:pBdr>
                <w:bottom w:val="single" w:color="auto" w:sz="4" w:space="1"/>
              </w:pBdr>
              <w:jc w:val="right"/>
              <w:rPr>
                <w:rFonts w:cs="Times New Roman"/>
                <w:sz w:val="20"/>
                <w:szCs w:val="20"/>
                <w:lang w:val="en-GB"/>
              </w:rPr>
            </w:pPr>
            <w:r w:rsidRPr="009C48DA">
              <w:rPr>
                <w:rFonts w:cs="Times New Roman"/>
                <w:sz w:val="20"/>
                <w:szCs w:val="20"/>
                <w:lang w:val="en-GB"/>
              </w:rPr>
              <w:t>124.5</w:t>
            </w:r>
          </w:p>
        </w:tc>
        <w:tc>
          <w:tcPr>
            <w:tcW w:w="1355" w:type="dxa"/>
            <w:shd w:val="clear" w:color="auto" w:fill="auto"/>
            <w:vAlign w:val="bottom"/>
          </w:tcPr>
          <w:p w:rsidRPr="009C48DA" w:rsidR="00CD3B44" w:rsidP="00CD3B44" w:rsidRDefault="00CD3B44" w14:paraId="1F476FF0" w14:textId="03CE18AC">
            <w:pPr>
              <w:pBdr>
                <w:bottom w:val="single" w:color="auto" w:sz="4" w:space="1"/>
              </w:pBdr>
              <w:jc w:val="right"/>
              <w:rPr>
                <w:rFonts w:cs="Times New Roman"/>
                <w:sz w:val="20"/>
                <w:szCs w:val="20"/>
                <w:lang w:val="en-GB"/>
              </w:rPr>
            </w:pPr>
            <w:r w:rsidRPr="009C48DA">
              <w:rPr>
                <w:rFonts w:cs="Times New Roman"/>
                <w:sz w:val="20"/>
                <w:szCs w:val="20"/>
                <w:lang w:val="en-GB"/>
              </w:rPr>
              <w:t>—</w:t>
            </w:r>
          </w:p>
        </w:tc>
        <w:tc>
          <w:tcPr>
            <w:tcW w:w="1356" w:type="dxa"/>
            <w:shd w:val="clear" w:color="auto" w:fill="auto"/>
            <w:vAlign w:val="bottom"/>
          </w:tcPr>
          <w:p w:rsidRPr="009C48DA" w:rsidR="00CD3B44" w:rsidP="00CD3B44" w:rsidRDefault="00CD3B44" w14:paraId="129E156B" w14:textId="3BE98DAF">
            <w:pPr>
              <w:pBdr>
                <w:bottom w:val="single" w:color="auto" w:sz="4" w:space="1"/>
              </w:pBdr>
              <w:jc w:val="right"/>
              <w:rPr>
                <w:rFonts w:cs="Times New Roman"/>
                <w:sz w:val="20"/>
                <w:szCs w:val="20"/>
                <w:lang w:val="en-GB"/>
              </w:rPr>
            </w:pPr>
            <w:r w:rsidRPr="009C48DA">
              <w:rPr>
                <w:rFonts w:cs="Times New Roman"/>
                <w:sz w:val="20"/>
                <w:szCs w:val="20"/>
                <w:lang w:val="en-GB"/>
              </w:rPr>
              <w:t>—</w:t>
            </w:r>
          </w:p>
        </w:tc>
        <w:tc>
          <w:tcPr>
            <w:tcW w:w="1355" w:type="dxa"/>
            <w:shd w:val="clear" w:color="auto" w:fill="auto"/>
            <w:vAlign w:val="bottom"/>
          </w:tcPr>
          <w:p w:rsidRPr="009C48DA" w:rsidR="00CD3B44" w:rsidP="00CD3B44" w:rsidRDefault="00CD3B44" w14:paraId="55A86B6F" w14:textId="6FF82BE9">
            <w:pPr>
              <w:pBdr>
                <w:bottom w:val="single" w:color="auto" w:sz="4" w:space="1"/>
              </w:pBdr>
              <w:jc w:val="right"/>
              <w:rPr>
                <w:rFonts w:cs="Times New Roman"/>
                <w:sz w:val="20"/>
                <w:szCs w:val="20"/>
                <w:lang w:val="en-GB"/>
              </w:rPr>
            </w:pPr>
            <w:r w:rsidRPr="009C48DA">
              <w:rPr>
                <w:rFonts w:cs="Times New Roman"/>
                <w:sz w:val="20"/>
                <w:szCs w:val="20"/>
                <w:lang w:val="en-GB"/>
              </w:rPr>
              <w:t>—</w:t>
            </w:r>
          </w:p>
        </w:tc>
        <w:tc>
          <w:tcPr>
            <w:tcW w:w="838" w:type="dxa"/>
            <w:shd w:val="clear" w:color="auto" w:fill="auto"/>
            <w:vAlign w:val="bottom"/>
          </w:tcPr>
          <w:p w:rsidRPr="009C48DA" w:rsidR="00CD3B44" w:rsidP="00CD3B44" w:rsidRDefault="00CD3B44" w14:paraId="392E58B1" w14:textId="5DF0FED4">
            <w:pPr>
              <w:pBdr>
                <w:bottom w:val="single" w:color="auto" w:sz="4" w:space="1"/>
              </w:pBdr>
              <w:jc w:val="right"/>
              <w:rPr>
                <w:rFonts w:cs="Times New Roman"/>
                <w:sz w:val="20"/>
                <w:szCs w:val="20"/>
                <w:lang w:val="en-GB"/>
              </w:rPr>
            </w:pPr>
            <w:r w:rsidRPr="009C48DA">
              <w:rPr>
                <w:rFonts w:cs="Times New Roman"/>
                <w:sz w:val="20"/>
                <w:szCs w:val="20"/>
                <w:lang w:val="en-GB"/>
              </w:rPr>
              <w:t>124.5</w:t>
            </w:r>
          </w:p>
        </w:tc>
      </w:tr>
      <w:tr w:rsidRPr="009C48DA" w:rsidR="00CD3B44" w:rsidTr="00653B94" w14:paraId="24BDEA83" w14:textId="77777777">
        <w:trPr>
          <w:trHeight w:val="74"/>
          <w:jc w:val="center"/>
        </w:trPr>
        <w:tc>
          <w:tcPr>
            <w:tcW w:w="2388" w:type="dxa"/>
            <w:shd w:val="clear" w:color="auto" w:fill="auto"/>
            <w:vAlign w:val="bottom"/>
          </w:tcPr>
          <w:p w:rsidRPr="009C48DA" w:rsidR="00CD3B44" w:rsidP="00CD3B44" w:rsidRDefault="00CD3B44" w14:paraId="13CA7C76" w14:textId="77777777">
            <w:pPr>
              <w:tabs>
                <w:tab w:val="right" w:leader="dot" w:pos="4133"/>
              </w:tabs>
              <w:rPr>
                <w:rFonts w:cs="Times New Roman"/>
                <w:b/>
                <w:sz w:val="20"/>
                <w:szCs w:val="20"/>
                <w:lang w:val="en-GB"/>
              </w:rPr>
            </w:pPr>
            <w:r w:rsidRPr="009C48DA">
              <w:rPr>
                <w:rFonts w:cs="Times New Roman"/>
                <w:b/>
                <w:sz w:val="20"/>
                <w:szCs w:val="20"/>
                <w:lang w:val="en-GB"/>
              </w:rPr>
              <w:t>Total</w:t>
            </w:r>
            <w:r w:rsidRPr="009C48DA">
              <w:rPr>
                <w:rFonts w:cs="Times New Roman"/>
                <w:sz w:val="20"/>
                <w:szCs w:val="20"/>
                <w:lang w:val="en-GB"/>
              </w:rPr>
              <w:tab/>
            </w:r>
          </w:p>
        </w:tc>
        <w:tc>
          <w:tcPr>
            <w:tcW w:w="1355" w:type="dxa"/>
            <w:vAlign w:val="bottom"/>
          </w:tcPr>
          <w:p w:rsidRPr="009C48DA" w:rsidR="00CD3B44" w:rsidP="00CD3B44" w:rsidRDefault="00CD3B44" w14:paraId="5A157CBA" w14:textId="0E03A596">
            <w:pPr>
              <w:pBdr>
                <w:bottom w:val="double" w:color="auto" w:sz="4" w:space="1"/>
              </w:pBdr>
              <w:jc w:val="right"/>
              <w:rPr>
                <w:rFonts w:cs="Times New Roman"/>
                <w:b/>
                <w:sz w:val="20"/>
                <w:szCs w:val="20"/>
                <w:lang w:val="en-GB"/>
              </w:rPr>
            </w:pPr>
            <w:r w:rsidRPr="009C48DA">
              <w:rPr>
                <w:rFonts w:cs="Times New Roman"/>
                <w:b/>
                <w:sz w:val="20"/>
                <w:szCs w:val="20"/>
                <w:lang w:val="en-GB"/>
              </w:rPr>
              <w:t>3</w:t>
            </w:r>
            <w:r w:rsidR="00DE6D10">
              <w:rPr>
                <w:rFonts w:cs="Times New Roman"/>
                <w:b/>
                <w:sz w:val="20"/>
                <w:szCs w:val="20"/>
                <w:lang w:val="en-GB"/>
              </w:rPr>
              <w:t>17.3</w:t>
            </w:r>
          </w:p>
        </w:tc>
        <w:tc>
          <w:tcPr>
            <w:tcW w:w="1355" w:type="dxa"/>
            <w:shd w:val="clear" w:color="auto" w:fill="auto"/>
            <w:vAlign w:val="bottom"/>
          </w:tcPr>
          <w:p w:rsidRPr="009C48DA" w:rsidR="00CD3B44" w:rsidP="00CD3B44" w:rsidRDefault="00CD3B44" w14:paraId="055EDED0" w14:textId="25BEFB65">
            <w:pPr>
              <w:pBdr>
                <w:bottom w:val="double" w:color="auto" w:sz="4" w:space="1"/>
              </w:pBdr>
              <w:jc w:val="right"/>
              <w:rPr>
                <w:rFonts w:cs="Times New Roman"/>
                <w:b/>
                <w:sz w:val="20"/>
                <w:szCs w:val="20"/>
                <w:lang w:val="en-GB"/>
              </w:rPr>
            </w:pPr>
            <w:r w:rsidRPr="009C48DA">
              <w:rPr>
                <w:rFonts w:cs="Times New Roman"/>
                <w:b/>
                <w:sz w:val="20"/>
                <w:szCs w:val="20"/>
                <w:lang w:val="en-GB"/>
              </w:rPr>
              <w:t>39.9</w:t>
            </w:r>
          </w:p>
        </w:tc>
        <w:tc>
          <w:tcPr>
            <w:tcW w:w="1356" w:type="dxa"/>
            <w:shd w:val="clear" w:color="auto" w:fill="auto"/>
            <w:vAlign w:val="bottom"/>
          </w:tcPr>
          <w:p w:rsidRPr="009C48DA" w:rsidR="00CD3B44" w:rsidP="00CD3B44" w:rsidRDefault="00CD3B44" w14:paraId="239692FA" w14:textId="027757C6">
            <w:pPr>
              <w:pBdr>
                <w:bottom w:val="double" w:color="auto" w:sz="4" w:space="1"/>
              </w:pBdr>
              <w:jc w:val="right"/>
              <w:rPr>
                <w:rFonts w:cs="Times New Roman"/>
                <w:b/>
                <w:sz w:val="20"/>
                <w:szCs w:val="20"/>
                <w:lang w:val="en-GB"/>
              </w:rPr>
            </w:pPr>
            <w:r w:rsidRPr="009C48DA">
              <w:rPr>
                <w:rFonts w:cs="Times New Roman"/>
                <w:b/>
                <w:sz w:val="20"/>
                <w:szCs w:val="20"/>
                <w:lang w:val="en-GB"/>
              </w:rPr>
              <w:t>19.9</w:t>
            </w:r>
          </w:p>
        </w:tc>
        <w:tc>
          <w:tcPr>
            <w:tcW w:w="1355" w:type="dxa"/>
            <w:shd w:val="clear" w:color="auto" w:fill="auto"/>
            <w:vAlign w:val="bottom"/>
          </w:tcPr>
          <w:p w:rsidRPr="009C48DA" w:rsidR="00CD3B44" w:rsidP="00CD3B44" w:rsidRDefault="00CD3B44" w14:paraId="62914A40" w14:textId="35E58C57">
            <w:pPr>
              <w:pBdr>
                <w:bottom w:val="double" w:color="auto" w:sz="4" w:space="1"/>
              </w:pBdr>
              <w:jc w:val="right"/>
              <w:rPr>
                <w:rFonts w:cs="Times New Roman"/>
                <w:b/>
                <w:sz w:val="20"/>
                <w:szCs w:val="20"/>
                <w:lang w:val="en-GB"/>
              </w:rPr>
            </w:pPr>
            <w:r w:rsidRPr="009C48DA">
              <w:rPr>
                <w:rFonts w:cs="Times New Roman"/>
                <w:b/>
                <w:sz w:val="20"/>
                <w:szCs w:val="20"/>
                <w:lang w:val="en-GB"/>
              </w:rPr>
              <w:t>257.6</w:t>
            </w:r>
          </w:p>
        </w:tc>
        <w:tc>
          <w:tcPr>
            <w:tcW w:w="838" w:type="dxa"/>
            <w:shd w:val="clear" w:color="auto" w:fill="auto"/>
            <w:vAlign w:val="bottom"/>
          </w:tcPr>
          <w:p w:rsidRPr="009C48DA" w:rsidR="00CD3B44" w:rsidP="00CD3B44" w:rsidRDefault="00DE6D10" w14:paraId="7ADA5363" w14:textId="7E37ACDA">
            <w:pPr>
              <w:pBdr>
                <w:bottom w:val="double" w:color="auto" w:sz="4" w:space="1"/>
              </w:pBdr>
              <w:jc w:val="right"/>
              <w:rPr>
                <w:rFonts w:cs="Times New Roman"/>
                <w:b/>
                <w:sz w:val="20"/>
                <w:szCs w:val="20"/>
                <w:lang w:val="en-GB"/>
              </w:rPr>
            </w:pPr>
            <w:r>
              <w:rPr>
                <w:rFonts w:cs="Times New Roman"/>
                <w:b/>
                <w:sz w:val="20"/>
                <w:szCs w:val="20"/>
                <w:lang w:val="en-GB"/>
              </w:rPr>
              <w:t>634.7</w:t>
            </w:r>
          </w:p>
        </w:tc>
      </w:tr>
    </w:tbl>
    <w:p w:rsidRPr="009C48DA" w:rsidR="00980A70" w:rsidP="00980A70" w:rsidRDefault="00980A70" w14:paraId="1251E127" w14:textId="77777777">
      <w:pPr>
        <w:pStyle w:val="BodyText"/>
        <w:spacing w:line="240" w:lineRule="auto"/>
        <w:ind w:left="284" w:hanging="284"/>
        <w:rPr>
          <w:lang w:val="en-GB"/>
        </w:rPr>
      </w:pPr>
    </w:p>
    <w:p w:rsidRPr="009C48DA" w:rsidR="00796EAD" w:rsidP="00796EAD" w:rsidRDefault="00796EAD" w14:paraId="4BF7174C" w14:textId="2094E9C6">
      <w:pPr>
        <w:pStyle w:val="BodyText2SglJ"/>
        <w:rPr>
          <w:lang w:val="en-GB"/>
        </w:rPr>
      </w:pPr>
      <w:r w:rsidRPr="009C48DA">
        <w:rPr>
          <w:szCs w:val="20"/>
          <w:lang w:val="en-GB"/>
        </w:rPr>
        <w:t>In addition to the foregoing amounts, as of 31 March 2021, the Group had approximately £</w:t>
      </w:r>
      <w:r w:rsidRPr="009C48DA" w:rsidR="00653B94">
        <w:rPr>
          <w:rFonts w:cs="Times New Roman"/>
          <w:szCs w:val="20"/>
          <w:lang w:val="en-GB"/>
        </w:rPr>
        <w:t>132.6</w:t>
      </w:r>
      <w:r w:rsidRPr="009C48DA">
        <w:rPr>
          <w:szCs w:val="20"/>
          <w:lang w:val="en-GB"/>
        </w:rPr>
        <w:t xml:space="preserve"> million and £26.2 million of remaining undrawn capital commitments to the </w:t>
      </w:r>
      <w:r w:rsidRPr="009C48DA" w:rsidR="007F7AA9">
        <w:rPr>
          <w:lang w:val="en-GB"/>
        </w:rPr>
        <w:t xml:space="preserve">Bridgepoint </w:t>
      </w:r>
      <w:r w:rsidRPr="009C48DA">
        <w:rPr>
          <w:szCs w:val="20"/>
          <w:lang w:val="en-GB"/>
        </w:rPr>
        <w:t xml:space="preserve">Funds in each of the private equity and private credit segments, respectively. Capital commitments will also arise under the governing documents for future funds that the Group expects to raise. Capital commitments are called by the </w:t>
      </w:r>
      <w:r w:rsidRPr="009C48DA" w:rsidR="007F7AA9">
        <w:rPr>
          <w:lang w:val="en-GB"/>
        </w:rPr>
        <w:t xml:space="preserve">Bridgepoint </w:t>
      </w:r>
      <w:r w:rsidRPr="009C48DA">
        <w:rPr>
          <w:szCs w:val="20"/>
          <w:lang w:val="en-GB"/>
        </w:rPr>
        <w:t xml:space="preserve">Funds over time, typically </w:t>
      </w:r>
      <w:r w:rsidRPr="009C48DA" w:rsidR="00537620">
        <w:rPr>
          <w:szCs w:val="20"/>
          <w:lang w:val="en-GB"/>
        </w:rPr>
        <w:t>f</w:t>
      </w:r>
      <w:r w:rsidRPr="009C48DA" w:rsidR="00A65391">
        <w:rPr>
          <w:szCs w:val="20"/>
          <w:lang w:val="en-GB"/>
        </w:rPr>
        <w:t>rom</w:t>
      </w:r>
      <w:r w:rsidRPr="009C48DA">
        <w:rPr>
          <w:szCs w:val="20"/>
          <w:lang w:val="en-GB"/>
        </w:rPr>
        <w:t xml:space="preserve"> one to five years following the subscription of the commitment. For example, the </w:t>
      </w:r>
      <w:r w:rsidRPr="009C48DA" w:rsidR="007F7AA9">
        <w:rPr>
          <w:lang w:val="en-GB"/>
        </w:rPr>
        <w:t xml:space="preserve">Bridgepoint </w:t>
      </w:r>
      <w:r w:rsidRPr="009C48DA">
        <w:rPr>
          <w:szCs w:val="20"/>
          <w:lang w:val="en-GB"/>
        </w:rPr>
        <w:t xml:space="preserve">Funds in the private equity segment are typically funded over a period of four to five years. Capital commitments are a financial liability, but the Group does not have an obligation to pay cash until the capital is called by the relevant </w:t>
      </w:r>
      <w:r w:rsidRPr="009C48DA" w:rsidR="007F7AA9">
        <w:rPr>
          <w:lang w:val="en-GB"/>
        </w:rPr>
        <w:t xml:space="preserve">Bridgepoint </w:t>
      </w:r>
      <w:r w:rsidRPr="009C48DA">
        <w:rPr>
          <w:szCs w:val="20"/>
          <w:lang w:val="en-GB"/>
        </w:rPr>
        <w:t xml:space="preserve">Fund. Commitments may increase where distributions made by a </w:t>
      </w:r>
      <w:r w:rsidRPr="009C48DA" w:rsidR="007F7AA9">
        <w:rPr>
          <w:lang w:val="en-GB"/>
        </w:rPr>
        <w:t xml:space="preserve">Bridgepoint </w:t>
      </w:r>
      <w:r w:rsidRPr="009C48DA">
        <w:rPr>
          <w:szCs w:val="20"/>
          <w:lang w:val="en-GB"/>
        </w:rPr>
        <w:t>Fund are recallable.</w:t>
      </w:r>
      <w:r w:rsidRPr="009C48DA" w:rsidR="00614040">
        <w:rPr>
          <w:szCs w:val="20"/>
          <w:lang w:val="en-GB"/>
        </w:rPr>
        <w:t xml:space="preserve"> The Group expects to fund its business, including in particular the undrawn capital commitments to the </w:t>
      </w:r>
      <w:r w:rsidRPr="009C48DA" w:rsidR="007F7AA9">
        <w:rPr>
          <w:lang w:val="en-GB"/>
        </w:rPr>
        <w:t xml:space="preserve">Bridgepoint </w:t>
      </w:r>
      <w:r w:rsidRPr="009C48DA" w:rsidR="00614040">
        <w:rPr>
          <w:szCs w:val="20"/>
          <w:lang w:val="en-GB"/>
        </w:rPr>
        <w:t xml:space="preserve">Funds which it expects to </w:t>
      </w:r>
      <w:r w:rsidRPr="009C48DA" w:rsidR="00B209E0">
        <w:rPr>
          <w:szCs w:val="20"/>
          <w:lang w:val="en-GB"/>
        </w:rPr>
        <w:t xml:space="preserve">fund when due, primarily using </w:t>
      </w:r>
      <w:r w:rsidRPr="009C48DA" w:rsidR="00614040">
        <w:rPr>
          <w:szCs w:val="20"/>
          <w:lang w:val="en-GB"/>
        </w:rPr>
        <w:t>cash from operations, proceeds from financing transactions, including borrowings under the BAH Revolving Credit Facility.</w:t>
      </w:r>
    </w:p>
    <w:p w:rsidRPr="009C48DA" w:rsidR="00797302" w:rsidP="00797302" w:rsidRDefault="00CD3B44" w14:paraId="618E9B8F" w14:textId="40BD6E44">
      <w:pPr>
        <w:pStyle w:val="BodyText2SglJ"/>
        <w:rPr>
          <w:szCs w:val="20"/>
          <w:lang w:val="en-GB"/>
        </w:rPr>
      </w:pPr>
      <w:r w:rsidRPr="009C48DA">
        <w:rPr>
          <w:szCs w:val="20"/>
          <w:lang w:val="en-GB"/>
        </w:rPr>
        <w:t>Refer to Note 20</w:t>
      </w:r>
      <w:r w:rsidRPr="009C48DA" w:rsidR="00797302">
        <w:rPr>
          <w:szCs w:val="20"/>
          <w:lang w:val="en-GB"/>
        </w:rPr>
        <w:t xml:space="preserve"> in </w:t>
      </w:r>
      <w:r w:rsidRPr="009C48DA" w:rsidR="00797302">
        <w:rPr>
          <w:szCs w:val="20"/>
          <w:lang w:val="en-GB"/>
        </w:rPr>
        <w:fldChar w:fldCharType="begin"/>
      </w:r>
      <w:r w:rsidRPr="009C48DA" w:rsidR="00797302">
        <w:rPr>
          <w:szCs w:val="20"/>
          <w:lang w:val="en-GB"/>
        </w:rPr>
        <w:instrText xml:space="preserve"> REF _Ref74473316 \n \h </w:instrText>
      </w:r>
      <w:r w:rsidRPr="009C48DA" w:rsidR="00797302">
        <w:rPr>
          <w:szCs w:val="20"/>
          <w:lang w:val="en-GB"/>
        </w:rPr>
      </w:r>
      <w:r w:rsidRPr="009C48DA" w:rsidR="00797302">
        <w:rPr>
          <w:szCs w:val="20"/>
          <w:lang w:val="en-GB"/>
        </w:rPr>
        <w:fldChar w:fldCharType="separate"/>
      </w:r>
      <w:r w:rsidR="007C3D19">
        <w:rPr>
          <w:szCs w:val="20"/>
          <w:lang w:val="en-GB"/>
        </w:rPr>
        <w:t>Part B</w:t>
      </w:r>
      <w:r w:rsidRPr="009C48DA" w:rsidR="00797302">
        <w:rPr>
          <w:szCs w:val="20"/>
          <w:lang w:val="en-GB"/>
        </w:rPr>
        <w:fldChar w:fldCharType="end"/>
      </w:r>
      <w:r w:rsidRPr="009C48DA" w:rsidR="00797302">
        <w:rPr>
          <w:szCs w:val="20"/>
          <w:lang w:val="en-GB"/>
        </w:rPr>
        <w:t xml:space="preserve"> of </w:t>
      </w:r>
      <w:r w:rsidRPr="009C48DA" w:rsidR="00797302">
        <w:rPr>
          <w:szCs w:val="20"/>
          <w:lang w:val="en-GB"/>
        </w:rPr>
        <w:fldChar w:fldCharType="begin"/>
      </w:r>
      <w:r w:rsidRPr="009C48DA" w:rsidR="00797302">
        <w:rPr>
          <w:szCs w:val="20"/>
          <w:lang w:val="en-GB"/>
        </w:rPr>
        <w:instrText xml:space="preserve"> REF _Ref74473309 \n \h </w:instrText>
      </w:r>
      <w:r w:rsidRPr="009C48DA" w:rsidR="00797302">
        <w:rPr>
          <w:szCs w:val="20"/>
          <w:lang w:val="en-GB"/>
        </w:rPr>
      </w:r>
      <w:r w:rsidRPr="009C48DA" w:rsidR="00797302">
        <w:rPr>
          <w:szCs w:val="20"/>
          <w:lang w:val="en-GB"/>
        </w:rPr>
        <w:fldChar w:fldCharType="separate"/>
      </w:r>
      <w:r w:rsidR="007C3D19">
        <w:rPr>
          <w:szCs w:val="20"/>
          <w:lang w:val="en-GB"/>
        </w:rPr>
        <w:t>Part X</w:t>
      </w:r>
      <w:r w:rsidRPr="009C48DA" w:rsidR="00797302">
        <w:rPr>
          <w:szCs w:val="20"/>
          <w:lang w:val="en-GB"/>
        </w:rPr>
        <w:fldChar w:fldCharType="end"/>
      </w:r>
      <w:r w:rsidRPr="009C48DA" w:rsidR="00797302">
        <w:rPr>
          <w:szCs w:val="20"/>
          <w:lang w:val="en-GB"/>
        </w:rPr>
        <w:t xml:space="preserve"> (</w:t>
      </w:r>
      <w:r w:rsidRPr="009C48DA" w:rsidR="006320D1">
        <w:rPr>
          <w:i/>
          <w:szCs w:val="20"/>
          <w:lang w:val="en-GB"/>
        </w:rPr>
      </w:r>
      <w:r w:rsidRPr="007C3D19" w:rsidR="007C3D19">
        <w:rPr>
          <w:i/>
          <w:lang w:val="en-GB"/>
        </w:rPr>
        <w:t>Historical Financial Information</w:t>
      </w:r>
      <w:r w:rsidRPr="009C48DA" w:rsidR="00797302">
        <w:rPr>
          <w:szCs w:val="20"/>
          <w:lang w:val="en-GB"/>
        </w:rPr>
        <w:t>) for further details regarding the remaining contractual maturities of the Group’s liabilities.</w:t>
      </w:r>
    </w:p>
    <w:p w:rsidRPr="009C48DA" w:rsidR="002B6DD9" w:rsidP="002B6DD9" w:rsidRDefault="002B6DD9" w14:paraId="31E5DCB9" w14:textId="77777777">
      <w:pPr>
        <w:pStyle w:val="TitleBAllCaps"/>
      </w:pPr>
      <w:r w:rsidRPr="009C48DA">
        <w:lastRenderedPageBreak/>
        <w:t>CASH FLOWS</w:t>
      </w:r>
    </w:p>
    <w:p w:rsidRPr="009C48DA" w:rsidR="002B6DD9" w:rsidP="002B6DD9" w:rsidRDefault="002B6DD9" w14:paraId="5A516D10" w14:textId="77777777">
      <w:pPr>
        <w:pStyle w:val="BodyText2SglJ"/>
        <w:keepNext/>
        <w:rPr>
          <w:rFonts w:eastAsia="Calibri" w:cs="Arial"/>
          <w:lang w:val="en-GB"/>
        </w:rPr>
      </w:pPr>
      <w:r w:rsidRPr="009C48DA">
        <w:rPr>
          <w:rFonts w:eastAsia="Calibri" w:cs="Arial"/>
          <w:lang w:val="en-GB"/>
        </w:rPr>
        <w:t>The table below sets out the Group’s condensed consolidated statement of cash flows for the years ended 31 December 2018, 2019 and 2020 and for the three months ended 31 March 2020 and 2021.</w:t>
      </w:r>
    </w:p>
    <w:tbl>
      <w:tblPr>
        <w:tblW w:w="5043" w:type="pct"/>
        <w:tblLayout w:type="fixed"/>
        <w:tblCellMar>
          <w:left w:w="72" w:type="dxa"/>
          <w:right w:w="72" w:type="dxa"/>
        </w:tblCellMar>
        <w:tblLook w:val="04A0" w:firstRow="1" w:lastRow="0" w:firstColumn="1" w:lastColumn="0" w:noHBand="0" w:noVBand="1"/>
      </w:tblPr>
      <w:tblGrid>
        <w:gridCol w:w="3629"/>
        <w:gridCol w:w="995"/>
        <w:gridCol w:w="966"/>
        <w:gridCol w:w="971"/>
        <w:gridCol w:w="1154"/>
        <w:gridCol w:w="909"/>
      </w:tblGrid>
      <w:tr w:rsidRPr="009C48DA" w:rsidR="00CD3B44" w:rsidTr="00CD3B44" w14:paraId="4AD44E88" w14:textId="77777777">
        <w:trPr>
          <w:trHeight w:val="74"/>
        </w:trPr>
        <w:tc>
          <w:tcPr>
            <w:tcW w:w="2104" w:type="pct"/>
            <w:shd w:val="clear" w:color="auto" w:fill="auto"/>
            <w:vAlign w:val="bottom"/>
          </w:tcPr>
          <w:p w:rsidRPr="009C48DA" w:rsidR="00CD3B44" w:rsidP="00CD3B44" w:rsidRDefault="00CD3B44" w14:paraId="13A27DA7" w14:textId="77777777">
            <w:pPr>
              <w:keepNext/>
              <w:rPr>
                <w:b/>
                <w:sz w:val="20"/>
                <w:szCs w:val="20"/>
                <w:lang w:val="en-GB"/>
              </w:rPr>
            </w:pPr>
          </w:p>
        </w:tc>
        <w:tc>
          <w:tcPr>
            <w:tcW w:w="1700" w:type="pct"/>
            <w:gridSpan w:val="3"/>
            <w:shd w:val="clear" w:color="auto" w:fill="auto"/>
            <w:vAlign w:val="bottom"/>
          </w:tcPr>
          <w:p w:rsidRPr="009C48DA" w:rsidR="00CD3B44" w:rsidP="00CD3B44" w:rsidRDefault="00CD3B44" w14:paraId="5BBB3905" w14:textId="77777777">
            <w:pPr>
              <w:keepNext/>
              <w:pBdr>
                <w:bottom w:val="single" w:color="auto" w:sz="4" w:space="1"/>
              </w:pBdr>
              <w:jc w:val="center"/>
              <w:rPr>
                <w:b/>
                <w:sz w:val="20"/>
                <w:szCs w:val="20"/>
                <w:lang w:val="en-GB"/>
              </w:rPr>
            </w:pPr>
          </w:p>
          <w:p w:rsidRPr="009C48DA" w:rsidR="00CD3B44" w:rsidP="00CD3B44" w:rsidRDefault="00CD3B44" w14:paraId="38876E5A" w14:textId="77777777">
            <w:pPr>
              <w:keepNext/>
              <w:pBdr>
                <w:bottom w:val="single" w:color="auto" w:sz="4" w:space="1"/>
              </w:pBdr>
              <w:jc w:val="center"/>
              <w:rPr>
                <w:b/>
                <w:sz w:val="20"/>
                <w:szCs w:val="20"/>
                <w:lang w:val="en-GB"/>
              </w:rPr>
            </w:pPr>
            <w:r w:rsidRPr="009C48DA">
              <w:rPr>
                <w:b/>
                <w:sz w:val="20"/>
                <w:szCs w:val="20"/>
                <w:lang w:val="en-GB"/>
              </w:rPr>
              <w:t>For the year ended 31 December</w:t>
            </w:r>
          </w:p>
        </w:tc>
        <w:tc>
          <w:tcPr>
            <w:tcW w:w="1197" w:type="pct"/>
            <w:gridSpan w:val="2"/>
            <w:vAlign w:val="bottom"/>
          </w:tcPr>
          <w:p w:rsidRPr="009C48DA" w:rsidR="00CD3B44" w:rsidP="00CD3B44" w:rsidRDefault="00CD3B44" w14:paraId="3EA13E00" w14:textId="77777777">
            <w:pPr>
              <w:keepNext/>
              <w:pBdr>
                <w:bottom w:val="single" w:color="auto" w:sz="4" w:space="1"/>
              </w:pBdr>
              <w:jc w:val="center"/>
              <w:rPr>
                <w:b/>
                <w:sz w:val="20"/>
                <w:szCs w:val="20"/>
                <w:lang w:val="en-GB"/>
              </w:rPr>
            </w:pPr>
            <w:r w:rsidRPr="009C48DA">
              <w:rPr>
                <w:b/>
                <w:sz w:val="20"/>
                <w:szCs w:val="20"/>
                <w:lang w:val="en-GB"/>
              </w:rPr>
              <w:t>For the three months ended 31 March</w:t>
            </w:r>
          </w:p>
        </w:tc>
      </w:tr>
      <w:tr w:rsidRPr="009C48DA" w:rsidR="00CD3B44" w:rsidTr="00CD3B44" w14:paraId="0D6422D8" w14:textId="77777777">
        <w:trPr>
          <w:trHeight w:val="74"/>
        </w:trPr>
        <w:tc>
          <w:tcPr>
            <w:tcW w:w="2104" w:type="pct"/>
            <w:shd w:val="clear" w:color="auto" w:fill="auto"/>
            <w:vAlign w:val="bottom"/>
          </w:tcPr>
          <w:p w:rsidRPr="009C48DA" w:rsidR="00CD3B44" w:rsidP="00CD3B44" w:rsidRDefault="00CD3B44" w14:paraId="4DD58AA7" w14:textId="77777777">
            <w:pPr>
              <w:keepNext/>
              <w:rPr>
                <w:b/>
                <w:sz w:val="20"/>
                <w:szCs w:val="20"/>
                <w:lang w:val="en-GB"/>
              </w:rPr>
            </w:pPr>
          </w:p>
        </w:tc>
        <w:tc>
          <w:tcPr>
            <w:tcW w:w="577" w:type="pct"/>
            <w:shd w:val="clear" w:color="auto" w:fill="auto"/>
            <w:vAlign w:val="bottom"/>
          </w:tcPr>
          <w:p w:rsidRPr="009C48DA" w:rsidR="00CD3B44" w:rsidP="00CD3B44" w:rsidRDefault="00CD3B44" w14:paraId="1434FAF1" w14:textId="77777777">
            <w:pPr>
              <w:keepNext/>
              <w:pBdr>
                <w:bottom w:val="single" w:color="auto" w:sz="4" w:space="1"/>
              </w:pBdr>
              <w:jc w:val="center"/>
              <w:rPr>
                <w:b/>
                <w:sz w:val="20"/>
                <w:szCs w:val="20"/>
                <w:lang w:val="en-GB"/>
              </w:rPr>
            </w:pPr>
            <w:r w:rsidRPr="009C48DA">
              <w:rPr>
                <w:b/>
                <w:sz w:val="20"/>
                <w:szCs w:val="20"/>
                <w:lang w:val="en-GB"/>
              </w:rPr>
              <w:t>2018</w:t>
            </w:r>
          </w:p>
        </w:tc>
        <w:tc>
          <w:tcPr>
            <w:tcW w:w="560" w:type="pct"/>
            <w:shd w:val="clear" w:color="auto" w:fill="auto"/>
            <w:vAlign w:val="bottom"/>
          </w:tcPr>
          <w:p w:rsidRPr="009C48DA" w:rsidR="00CD3B44" w:rsidP="00CD3B44" w:rsidRDefault="00CD3B44" w14:paraId="4F8BB3F6" w14:textId="77777777">
            <w:pPr>
              <w:keepNext/>
              <w:pBdr>
                <w:bottom w:val="single" w:color="auto" w:sz="4" w:space="1"/>
              </w:pBdr>
              <w:jc w:val="center"/>
              <w:rPr>
                <w:b/>
                <w:sz w:val="20"/>
                <w:szCs w:val="20"/>
                <w:lang w:val="en-GB"/>
              </w:rPr>
            </w:pPr>
            <w:r w:rsidRPr="009C48DA">
              <w:rPr>
                <w:b/>
                <w:sz w:val="20"/>
                <w:szCs w:val="20"/>
                <w:lang w:val="en-GB"/>
              </w:rPr>
              <w:t>2019</w:t>
            </w:r>
          </w:p>
        </w:tc>
        <w:tc>
          <w:tcPr>
            <w:tcW w:w="562" w:type="pct"/>
            <w:shd w:val="clear" w:color="auto" w:fill="auto"/>
            <w:vAlign w:val="bottom"/>
          </w:tcPr>
          <w:p w:rsidRPr="009C48DA" w:rsidR="00CD3B44" w:rsidP="00CD3B44" w:rsidRDefault="00CD3B44" w14:paraId="3D83B7FD" w14:textId="77777777">
            <w:pPr>
              <w:keepNext/>
              <w:pBdr>
                <w:bottom w:val="single" w:color="auto" w:sz="4" w:space="1"/>
              </w:pBdr>
              <w:jc w:val="center"/>
              <w:rPr>
                <w:b/>
                <w:sz w:val="20"/>
                <w:szCs w:val="20"/>
                <w:lang w:val="en-GB"/>
              </w:rPr>
            </w:pPr>
            <w:r w:rsidRPr="009C48DA">
              <w:rPr>
                <w:b/>
                <w:sz w:val="20"/>
                <w:szCs w:val="20"/>
                <w:lang w:val="en-GB"/>
              </w:rPr>
              <w:t>2020</w:t>
            </w:r>
          </w:p>
        </w:tc>
        <w:tc>
          <w:tcPr>
            <w:tcW w:w="669" w:type="pct"/>
            <w:vAlign w:val="bottom"/>
          </w:tcPr>
          <w:p w:rsidRPr="009C48DA" w:rsidR="00CD3B44" w:rsidP="00CD3B44" w:rsidRDefault="00CD3B44" w14:paraId="013633AA" w14:textId="77777777">
            <w:pPr>
              <w:keepNext/>
              <w:pBdr>
                <w:bottom w:val="single" w:color="auto" w:sz="4" w:space="1"/>
              </w:pBdr>
              <w:jc w:val="center"/>
              <w:rPr>
                <w:b/>
                <w:sz w:val="20"/>
                <w:szCs w:val="20"/>
                <w:lang w:val="en-GB"/>
              </w:rPr>
            </w:pPr>
            <w:r w:rsidRPr="009C48DA">
              <w:rPr>
                <w:b/>
                <w:sz w:val="20"/>
                <w:szCs w:val="20"/>
                <w:lang w:val="en-GB"/>
              </w:rPr>
              <w:t>2020</w:t>
            </w:r>
          </w:p>
          <w:p w:rsidRPr="009C48DA" w:rsidR="00CD3B44" w:rsidP="00CD3B44" w:rsidRDefault="00CD3B44" w14:paraId="1768B091" w14:textId="77777777">
            <w:pPr>
              <w:keepNext/>
              <w:pBdr>
                <w:bottom w:val="single" w:color="auto" w:sz="4" w:space="1"/>
              </w:pBdr>
              <w:jc w:val="center"/>
              <w:rPr>
                <w:b/>
                <w:sz w:val="20"/>
                <w:szCs w:val="20"/>
                <w:lang w:val="en-GB"/>
              </w:rPr>
            </w:pPr>
            <w:r w:rsidRPr="009C48DA">
              <w:rPr>
                <w:b/>
                <w:sz w:val="20"/>
                <w:szCs w:val="20"/>
                <w:lang w:val="en-GB"/>
              </w:rPr>
              <w:t>(unaudited)</w:t>
            </w:r>
          </w:p>
        </w:tc>
        <w:tc>
          <w:tcPr>
            <w:tcW w:w="528" w:type="pct"/>
            <w:vAlign w:val="bottom"/>
          </w:tcPr>
          <w:p w:rsidRPr="009C48DA" w:rsidR="00CD3B44" w:rsidP="00CD3B44" w:rsidRDefault="00CD3B44" w14:paraId="264A59CF" w14:textId="77777777">
            <w:pPr>
              <w:keepNext/>
              <w:pBdr>
                <w:bottom w:val="single" w:color="auto" w:sz="4" w:space="1"/>
              </w:pBdr>
              <w:jc w:val="center"/>
              <w:rPr>
                <w:b/>
                <w:sz w:val="20"/>
                <w:szCs w:val="20"/>
                <w:lang w:val="en-GB"/>
              </w:rPr>
            </w:pPr>
            <w:r w:rsidRPr="009C48DA">
              <w:rPr>
                <w:b/>
                <w:sz w:val="20"/>
                <w:szCs w:val="20"/>
                <w:lang w:val="en-GB"/>
              </w:rPr>
              <w:t>2021</w:t>
            </w:r>
          </w:p>
        </w:tc>
      </w:tr>
      <w:tr w:rsidRPr="009C48DA" w:rsidR="00CD3B44" w:rsidTr="00CD3B44" w14:paraId="091E293A" w14:textId="77777777">
        <w:trPr>
          <w:trHeight w:val="97"/>
        </w:trPr>
        <w:tc>
          <w:tcPr>
            <w:tcW w:w="2104" w:type="pct"/>
            <w:shd w:val="clear" w:color="auto" w:fill="auto"/>
            <w:vAlign w:val="bottom"/>
          </w:tcPr>
          <w:p w:rsidRPr="009C48DA" w:rsidR="00CD3B44" w:rsidP="00CD3B44" w:rsidRDefault="00CD3B44" w14:paraId="559982FC" w14:textId="77777777">
            <w:pPr>
              <w:keepNext/>
              <w:rPr>
                <w:b/>
                <w:sz w:val="20"/>
                <w:szCs w:val="20"/>
                <w:lang w:val="en-GB"/>
              </w:rPr>
            </w:pPr>
          </w:p>
        </w:tc>
        <w:tc>
          <w:tcPr>
            <w:tcW w:w="2896" w:type="pct"/>
            <w:gridSpan w:val="5"/>
            <w:shd w:val="clear" w:color="auto" w:fill="auto"/>
            <w:vAlign w:val="bottom"/>
          </w:tcPr>
          <w:p w:rsidRPr="009C48DA" w:rsidR="00CD3B44" w:rsidP="00CD3B44" w:rsidRDefault="00CD3B44" w14:paraId="7D42DCD1" w14:textId="77777777">
            <w:pPr>
              <w:keepNext/>
              <w:jc w:val="center"/>
              <w:rPr>
                <w:sz w:val="20"/>
                <w:szCs w:val="20"/>
                <w:lang w:val="en-GB"/>
              </w:rPr>
            </w:pPr>
            <w:r w:rsidRPr="009C48DA">
              <w:rPr>
                <w:sz w:val="20"/>
                <w:szCs w:val="20"/>
                <w:lang w:val="en-GB"/>
              </w:rPr>
              <w:t>(£ in millions)</w:t>
            </w:r>
          </w:p>
        </w:tc>
      </w:tr>
      <w:tr w:rsidRPr="009C48DA" w:rsidR="00CD3B44" w:rsidTr="00CD3B44" w14:paraId="7A04DF6F" w14:textId="77777777">
        <w:trPr>
          <w:trHeight w:val="213"/>
        </w:trPr>
        <w:tc>
          <w:tcPr>
            <w:tcW w:w="2104" w:type="pct"/>
            <w:shd w:val="clear" w:color="auto" w:fill="auto"/>
            <w:vAlign w:val="bottom"/>
          </w:tcPr>
          <w:p w:rsidRPr="009C48DA" w:rsidR="00CD3B44" w:rsidP="00CD3B44" w:rsidRDefault="00CD3B44" w14:paraId="65204DBD" w14:textId="77777777">
            <w:pPr>
              <w:tabs>
                <w:tab w:val="right" w:leader="dot" w:pos="5035"/>
              </w:tabs>
              <w:ind w:left="144" w:hanging="144"/>
              <w:rPr>
                <w:sz w:val="20"/>
                <w:szCs w:val="20"/>
                <w:lang w:val="en-GB"/>
              </w:rPr>
            </w:pPr>
            <w:r w:rsidRPr="009C48DA">
              <w:rPr>
                <w:sz w:val="20"/>
                <w:szCs w:val="20"/>
                <w:lang w:val="en-GB"/>
              </w:rPr>
              <w:t>Net cash flows from / (used in) operating activities</w:t>
            </w:r>
            <w:r w:rsidRPr="009C48DA">
              <w:rPr>
                <w:rFonts w:cs="Times New Roman"/>
                <w:sz w:val="20"/>
                <w:szCs w:val="20"/>
                <w:lang w:val="en-GB"/>
              </w:rPr>
              <w:tab/>
            </w:r>
          </w:p>
        </w:tc>
        <w:tc>
          <w:tcPr>
            <w:tcW w:w="577" w:type="pct"/>
            <w:shd w:val="clear" w:color="auto" w:fill="auto"/>
            <w:vAlign w:val="bottom"/>
          </w:tcPr>
          <w:p w:rsidRPr="009C48DA" w:rsidR="00CD3B44" w:rsidP="00CD3B44" w:rsidRDefault="00CD3B44" w14:paraId="23534A4B" w14:textId="3C684BBF">
            <w:pPr>
              <w:tabs>
                <w:tab w:val="decimal" w:pos="749"/>
              </w:tabs>
              <w:rPr>
                <w:sz w:val="20"/>
                <w:szCs w:val="20"/>
                <w:lang w:val="en-GB"/>
              </w:rPr>
            </w:pPr>
            <w:r w:rsidRPr="009C48DA">
              <w:rPr>
                <w:sz w:val="20"/>
                <w:szCs w:val="20"/>
                <w:lang w:val="en-GB"/>
              </w:rPr>
              <w:t>30.4</w:t>
            </w:r>
          </w:p>
        </w:tc>
        <w:tc>
          <w:tcPr>
            <w:tcW w:w="560" w:type="pct"/>
            <w:shd w:val="clear" w:color="auto" w:fill="auto"/>
            <w:vAlign w:val="bottom"/>
          </w:tcPr>
          <w:p w:rsidRPr="009C48DA" w:rsidR="00CD3B44" w:rsidP="00CD3B44" w:rsidRDefault="00CD3B44" w14:paraId="4D55D1AC" w14:textId="082EAC77">
            <w:pPr>
              <w:tabs>
                <w:tab w:val="decimal" w:pos="749"/>
              </w:tabs>
              <w:rPr>
                <w:sz w:val="20"/>
                <w:szCs w:val="20"/>
                <w:lang w:val="en-GB"/>
              </w:rPr>
            </w:pPr>
            <w:r w:rsidRPr="009C48DA">
              <w:rPr>
                <w:sz w:val="20"/>
                <w:szCs w:val="20"/>
                <w:lang w:val="en-GB"/>
              </w:rPr>
              <w:t>(0.5)</w:t>
            </w:r>
          </w:p>
        </w:tc>
        <w:tc>
          <w:tcPr>
            <w:tcW w:w="562" w:type="pct"/>
            <w:shd w:val="clear" w:color="auto" w:fill="auto"/>
            <w:vAlign w:val="bottom"/>
          </w:tcPr>
          <w:p w:rsidRPr="009C48DA" w:rsidR="00CD3B44" w:rsidP="00CD3B44" w:rsidRDefault="00CD3B44" w14:paraId="705996B0" w14:textId="019B0F0D">
            <w:pPr>
              <w:tabs>
                <w:tab w:val="decimal" w:pos="749"/>
              </w:tabs>
              <w:rPr>
                <w:sz w:val="20"/>
                <w:szCs w:val="20"/>
                <w:lang w:val="en-GB"/>
              </w:rPr>
            </w:pPr>
            <w:r w:rsidRPr="009C48DA">
              <w:rPr>
                <w:sz w:val="20"/>
                <w:szCs w:val="20"/>
                <w:lang w:val="en-GB"/>
              </w:rPr>
              <w:t>28.4</w:t>
            </w:r>
          </w:p>
        </w:tc>
        <w:tc>
          <w:tcPr>
            <w:tcW w:w="669" w:type="pct"/>
            <w:vAlign w:val="bottom"/>
          </w:tcPr>
          <w:p w:rsidRPr="009C48DA" w:rsidR="00CD3B44" w:rsidP="00CD3B44" w:rsidRDefault="00CD3B44" w14:paraId="37F6CAA9" w14:textId="349D1394">
            <w:pPr>
              <w:tabs>
                <w:tab w:val="decimal" w:pos="749"/>
              </w:tabs>
              <w:jc w:val="center"/>
              <w:rPr>
                <w:sz w:val="20"/>
                <w:szCs w:val="20"/>
                <w:lang w:val="en-GB"/>
              </w:rPr>
            </w:pPr>
            <w:r w:rsidRPr="009C48DA">
              <w:rPr>
                <w:rFonts w:cs="Times New Roman"/>
                <w:sz w:val="20"/>
                <w:szCs w:val="20"/>
                <w:lang w:val="en-GB"/>
              </w:rPr>
              <w:t>35.7</w:t>
            </w:r>
          </w:p>
        </w:tc>
        <w:tc>
          <w:tcPr>
            <w:tcW w:w="528" w:type="pct"/>
            <w:vAlign w:val="bottom"/>
          </w:tcPr>
          <w:p w:rsidRPr="009C48DA" w:rsidR="00CD3B44" w:rsidP="00CD3B44" w:rsidRDefault="00CD3B44" w14:paraId="11C97E74" w14:textId="77777777">
            <w:pPr>
              <w:tabs>
                <w:tab w:val="decimal" w:pos="749"/>
              </w:tabs>
              <w:jc w:val="center"/>
              <w:rPr>
                <w:sz w:val="20"/>
                <w:szCs w:val="20"/>
                <w:lang w:val="en-GB"/>
              </w:rPr>
            </w:pPr>
            <w:r w:rsidRPr="009C48DA">
              <w:rPr>
                <w:rFonts w:cs="Times New Roman"/>
                <w:sz w:val="20"/>
                <w:szCs w:val="20"/>
                <w:lang w:val="en-GB"/>
              </w:rPr>
              <w:t>31.4</w:t>
            </w:r>
          </w:p>
        </w:tc>
      </w:tr>
      <w:tr w:rsidRPr="009C48DA" w:rsidR="00CD3B44" w:rsidTr="00CD3B44" w14:paraId="35A1A95A" w14:textId="77777777">
        <w:trPr>
          <w:trHeight w:val="213"/>
        </w:trPr>
        <w:tc>
          <w:tcPr>
            <w:tcW w:w="2104" w:type="pct"/>
            <w:shd w:val="clear" w:color="auto" w:fill="auto"/>
            <w:vAlign w:val="bottom"/>
          </w:tcPr>
          <w:p w:rsidRPr="009C48DA" w:rsidR="00CD3B44" w:rsidP="00CD3B44" w:rsidRDefault="00CD3B44" w14:paraId="27FCA77A" w14:textId="77777777">
            <w:pPr>
              <w:tabs>
                <w:tab w:val="right" w:leader="dot" w:pos="5035"/>
              </w:tabs>
              <w:ind w:left="144" w:hanging="144"/>
              <w:rPr>
                <w:sz w:val="20"/>
                <w:szCs w:val="20"/>
                <w:lang w:val="en-GB"/>
              </w:rPr>
            </w:pPr>
            <w:r w:rsidRPr="009C48DA">
              <w:rPr>
                <w:sz w:val="20"/>
                <w:szCs w:val="20"/>
                <w:lang w:val="en-GB"/>
              </w:rPr>
              <w:t>Net cash flows (used in) / from investing activities</w:t>
            </w:r>
            <w:r w:rsidRPr="009C48DA">
              <w:rPr>
                <w:rFonts w:cs="Times New Roman"/>
                <w:sz w:val="20"/>
                <w:szCs w:val="20"/>
                <w:lang w:val="en-GB"/>
              </w:rPr>
              <w:tab/>
            </w:r>
          </w:p>
        </w:tc>
        <w:tc>
          <w:tcPr>
            <w:tcW w:w="577" w:type="pct"/>
            <w:shd w:val="clear" w:color="auto" w:fill="auto"/>
            <w:vAlign w:val="bottom"/>
          </w:tcPr>
          <w:p w:rsidRPr="009C48DA" w:rsidR="00CD3B44" w:rsidP="00CD3B44" w:rsidRDefault="00CD3B44" w14:paraId="22B1BA6E" w14:textId="0904F4E7">
            <w:pPr>
              <w:tabs>
                <w:tab w:val="decimal" w:pos="749"/>
              </w:tabs>
              <w:rPr>
                <w:sz w:val="20"/>
                <w:szCs w:val="20"/>
                <w:lang w:val="en-GB"/>
              </w:rPr>
            </w:pPr>
            <w:r w:rsidRPr="009C48DA">
              <w:rPr>
                <w:sz w:val="20"/>
                <w:szCs w:val="20"/>
                <w:lang w:val="en-GB"/>
              </w:rPr>
              <w:t>(37.0)</w:t>
            </w:r>
          </w:p>
        </w:tc>
        <w:tc>
          <w:tcPr>
            <w:tcW w:w="560" w:type="pct"/>
            <w:shd w:val="clear" w:color="auto" w:fill="auto"/>
            <w:vAlign w:val="bottom"/>
          </w:tcPr>
          <w:p w:rsidRPr="009C48DA" w:rsidR="00CD3B44" w:rsidP="00CD3B44" w:rsidRDefault="00CD3B44" w14:paraId="1749CFE7" w14:textId="64C0C0FC">
            <w:pPr>
              <w:tabs>
                <w:tab w:val="decimal" w:pos="749"/>
              </w:tabs>
              <w:rPr>
                <w:sz w:val="20"/>
                <w:szCs w:val="20"/>
                <w:lang w:val="en-GB"/>
              </w:rPr>
            </w:pPr>
            <w:r w:rsidRPr="009C48DA">
              <w:rPr>
                <w:sz w:val="20"/>
                <w:szCs w:val="20"/>
                <w:lang w:val="en-GB"/>
              </w:rPr>
              <w:t>30.</w:t>
            </w:r>
            <w:r w:rsidRPr="009C48DA" w:rsidR="00653B94">
              <w:rPr>
                <w:sz w:val="20"/>
                <w:szCs w:val="20"/>
                <w:lang w:val="en-GB"/>
              </w:rPr>
              <w:t>5</w:t>
            </w:r>
          </w:p>
        </w:tc>
        <w:tc>
          <w:tcPr>
            <w:tcW w:w="562" w:type="pct"/>
            <w:shd w:val="clear" w:color="auto" w:fill="auto"/>
            <w:vAlign w:val="bottom"/>
          </w:tcPr>
          <w:p w:rsidRPr="009C48DA" w:rsidR="00CD3B44" w:rsidP="00CD3B44" w:rsidRDefault="00CD3B44" w14:paraId="05B97E67" w14:textId="7FB2CBE0">
            <w:pPr>
              <w:tabs>
                <w:tab w:val="decimal" w:pos="749"/>
              </w:tabs>
              <w:rPr>
                <w:sz w:val="20"/>
                <w:szCs w:val="20"/>
                <w:lang w:val="en-GB"/>
              </w:rPr>
            </w:pPr>
            <w:r w:rsidRPr="009C48DA">
              <w:rPr>
                <w:sz w:val="20"/>
                <w:szCs w:val="20"/>
                <w:lang w:val="en-GB"/>
              </w:rPr>
              <w:t>(109.9)</w:t>
            </w:r>
          </w:p>
        </w:tc>
        <w:tc>
          <w:tcPr>
            <w:tcW w:w="669" w:type="pct"/>
            <w:vAlign w:val="bottom"/>
          </w:tcPr>
          <w:p w:rsidRPr="009C48DA" w:rsidR="00CD3B44" w:rsidP="00CD3B44" w:rsidRDefault="00CD3B44" w14:paraId="3832F2B6" w14:textId="77777777">
            <w:pPr>
              <w:tabs>
                <w:tab w:val="decimal" w:pos="749"/>
              </w:tabs>
              <w:jc w:val="center"/>
              <w:rPr>
                <w:sz w:val="20"/>
                <w:szCs w:val="20"/>
                <w:lang w:val="en-GB"/>
              </w:rPr>
            </w:pPr>
            <w:r w:rsidRPr="009C48DA">
              <w:rPr>
                <w:rFonts w:cs="Times New Roman"/>
                <w:sz w:val="20"/>
                <w:szCs w:val="20"/>
                <w:lang w:val="en-GB"/>
              </w:rPr>
              <w:t>(4.0)</w:t>
            </w:r>
          </w:p>
        </w:tc>
        <w:tc>
          <w:tcPr>
            <w:tcW w:w="528" w:type="pct"/>
            <w:vAlign w:val="bottom"/>
          </w:tcPr>
          <w:p w:rsidRPr="009C48DA" w:rsidR="00CD3B44" w:rsidP="00CD3B44" w:rsidRDefault="00CD3B44" w14:paraId="1595F9ED" w14:textId="09443A54">
            <w:pPr>
              <w:tabs>
                <w:tab w:val="decimal" w:pos="749"/>
              </w:tabs>
              <w:jc w:val="center"/>
              <w:rPr>
                <w:sz w:val="20"/>
                <w:szCs w:val="20"/>
                <w:lang w:val="en-GB"/>
              </w:rPr>
            </w:pPr>
            <w:r w:rsidRPr="009C48DA">
              <w:rPr>
                <w:rFonts w:cs="Times New Roman"/>
                <w:sz w:val="20"/>
                <w:szCs w:val="20"/>
                <w:lang w:val="en-GB"/>
              </w:rPr>
              <w:t>(72.1)</w:t>
            </w:r>
          </w:p>
        </w:tc>
      </w:tr>
      <w:tr w:rsidRPr="009C48DA" w:rsidR="00CD3B44" w:rsidTr="00CD3B44" w14:paraId="5D5586A4" w14:textId="77777777">
        <w:trPr>
          <w:trHeight w:val="213"/>
        </w:trPr>
        <w:tc>
          <w:tcPr>
            <w:tcW w:w="2104" w:type="pct"/>
            <w:shd w:val="clear" w:color="auto" w:fill="auto"/>
            <w:vAlign w:val="bottom"/>
          </w:tcPr>
          <w:p w:rsidRPr="009C48DA" w:rsidR="00CD3B44" w:rsidP="00CD3B44" w:rsidRDefault="00CD3B44" w14:paraId="15EABAA3" w14:textId="77777777">
            <w:pPr>
              <w:tabs>
                <w:tab w:val="right" w:leader="dot" w:pos="5035"/>
              </w:tabs>
              <w:ind w:left="144" w:hanging="144"/>
              <w:rPr>
                <w:sz w:val="20"/>
                <w:szCs w:val="20"/>
                <w:lang w:val="en-GB"/>
              </w:rPr>
            </w:pPr>
            <w:r w:rsidRPr="009C48DA">
              <w:rPr>
                <w:sz w:val="20"/>
                <w:szCs w:val="20"/>
                <w:lang w:val="en-GB"/>
              </w:rPr>
              <w:t>Net cash flows from / (used in) financing activities</w:t>
            </w:r>
            <w:r w:rsidRPr="009C48DA">
              <w:rPr>
                <w:rFonts w:cs="Times New Roman"/>
                <w:sz w:val="20"/>
                <w:szCs w:val="20"/>
                <w:lang w:val="en-GB"/>
              </w:rPr>
              <w:tab/>
            </w:r>
          </w:p>
        </w:tc>
        <w:tc>
          <w:tcPr>
            <w:tcW w:w="577" w:type="pct"/>
            <w:shd w:val="clear" w:color="auto" w:fill="auto"/>
            <w:vAlign w:val="bottom"/>
          </w:tcPr>
          <w:p w:rsidRPr="009C48DA" w:rsidR="00CD3B44" w:rsidP="00CD3B44" w:rsidRDefault="00CD3B44" w14:paraId="6906C9FE" w14:textId="197E5600">
            <w:pPr>
              <w:pBdr>
                <w:bottom w:val="single" w:color="auto" w:sz="4" w:space="1"/>
              </w:pBdr>
              <w:tabs>
                <w:tab w:val="decimal" w:pos="749"/>
              </w:tabs>
              <w:rPr>
                <w:sz w:val="20"/>
                <w:szCs w:val="20"/>
                <w:lang w:val="en-GB"/>
              </w:rPr>
            </w:pPr>
            <w:r w:rsidRPr="009C48DA">
              <w:rPr>
                <w:sz w:val="20"/>
                <w:szCs w:val="20"/>
                <w:lang w:val="en-GB"/>
              </w:rPr>
              <w:t>23.3</w:t>
            </w:r>
          </w:p>
        </w:tc>
        <w:tc>
          <w:tcPr>
            <w:tcW w:w="560" w:type="pct"/>
            <w:shd w:val="clear" w:color="auto" w:fill="auto"/>
            <w:vAlign w:val="bottom"/>
          </w:tcPr>
          <w:p w:rsidRPr="009C48DA" w:rsidR="00CD3B44" w:rsidP="00CD3B44" w:rsidRDefault="00CD3B44" w14:paraId="447FF9C1" w14:textId="4676360D">
            <w:pPr>
              <w:pBdr>
                <w:bottom w:val="single" w:color="auto" w:sz="4" w:space="1"/>
              </w:pBdr>
              <w:tabs>
                <w:tab w:val="decimal" w:pos="749"/>
              </w:tabs>
              <w:rPr>
                <w:sz w:val="20"/>
                <w:szCs w:val="20"/>
                <w:lang w:val="en-GB"/>
              </w:rPr>
            </w:pPr>
            <w:r w:rsidRPr="009C48DA">
              <w:rPr>
                <w:sz w:val="20"/>
                <w:szCs w:val="20"/>
                <w:lang w:val="en-GB"/>
              </w:rPr>
              <w:t>(51.1)</w:t>
            </w:r>
          </w:p>
        </w:tc>
        <w:tc>
          <w:tcPr>
            <w:tcW w:w="562" w:type="pct"/>
            <w:shd w:val="clear" w:color="auto" w:fill="auto"/>
            <w:vAlign w:val="bottom"/>
          </w:tcPr>
          <w:p w:rsidRPr="009C48DA" w:rsidR="00CD3B44" w:rsidP="00CD3B44" w:rsidRDefault="00CD3B44" w14:paraId="7C9D2AD7" w14:textId="6EF7576E">
            <w:pPr>
              <w:pBdr>
                <w:bottom w:val="single" w:color="auto" w:sz="4" w:space="1"/>
              </w:pBdr>
              <w:tabs>
                <w:tab w:val="decimal" w:pos="749"/>
              </w:tabs>
              <w:rPr>
                <w:sz w:val="20"/>
                <w:szCs w:val="20"/>
                <w:lang w:val="en-GB"/>
              </w:rPr>
            </w:pPr>
            <w:r w:rsidRPr="009C48DA">
              <w:rPr>
                <w:sz w:val="20"/>
                <w:szCs w:val="20"/>
                <w:lang w:val="en-GB"/>
              </w:rPr>
              <w:t>223.</w:t>
            </w:r>
            <w:r w:rsidRPr="009C48DA" w:rsidR="002B2C7F">
              <w:rPr>
                <w:sz w:val="20"/>
                <w:szCs w:val="20"/>
                <w:lang w:val="en-GB"/>
              </w:rPr>
              <w:t>6</w:t>
            </w:r>
          </w:p>
        </w:tc>
        <w:tc>
          <w:tcPr>
            <w:tcW w:w="669" w:type="pct"/>
            <w:vAlign w:val="bottom"/>
          </w:tcPr>
          <w:p w:rsidRPr="009C48DA" w:rsidR="00CD3B44" w:rsidP="00CD3B44" w:rsidRDefault="00CD3B44" w14:paraId="3481701E" w14:textId="03FD4D8D">
            <w:pPr>
              <w:pBdr>
                <w:bottom w:val="single" w:color="auto" w:sz="4" w:space="1"/>
              </w:pBdr>
              <w:tabs>
                <w:tab w:val="decimal" w:pos="749"/>
              </w:tabs>
              <w:jc w:val="center"/>
              <w:rPr>
                <w:sz w:val="20"/>
                <w:szCs w:val="20"/>
                <w:lang w:val="en-GB"/>
              </w:rPr>
            </w:pPr>
            <w:r w:rsidRPr="009C48DA">
              <w:rPr>
                <w:rFonts w:cs="Times New Roman"/>
                <w:sz w:val="20"/>
                <w:szCs w:val="20"/>
                <w:lang w:val="en-GB"/>
              </w:rPr>
              <w:t>(7.7)</w:t>
            </w:r>
          </w:p>
        </w:tc>
        <w:tc>
          <w:tcPr>
            <w:tcW w:w="528" w:type="pct"/>
            <w:vAlign w:val="bottom"/>
          </w:tcPr>
          <w:p w:rsidRPr="009C48DA" w:rsidR="00CD3B44" w:rsidP="00CD3B44" w:rsidRDefault="00CD3B44" w14:paraId="64B70C08" w14:textId="77777777">
            <w:pPr>
              <w:pBdr>
                <w:bottom w:val="single" w:color="auto" w:sz="4" w:space="1"/>
              </w:pBdr>
              <w:tabs>
                <w:tab w:val="decimal" w:pos="749"/>
              </w:tabs>
              <w:jc w:val="center"/>
              <w:rPr>
                <w:sz w:val="20"/>
                <w:szCs w:val="20"/>
                <w:lang w:val="en-GB"/>
              </w:rPr>
            </w:pPr>
            <w:r w:rsidRPr="009C48DA">
              <w:rPr>
                <w:rFonts w:cs="Times New Roman"/>
                <w:sz w:val="20"/>
                <w:szCs w:val="20"/>
                <w:lang w:val="en-GB"/>
              </w:rPr>
              <w:t>19.6</w:t>
            </w:r>
          </w:p>
        </w:tc>
      </w:tr>
      <w:tr w:rsidRPr="009C48DA" w:rsidR="00CD3B44" w:rsidTr="00CD3B44" w14:paraId="547F8A98" w14:textId="77777777">
        <w:trPr>
          <w:trHeight w:val="229"/>
        </w:trPr>
        <w:tc>
          <w:tcPr>
            <w:tcW w:w="2104" w:type="pct"/>
            <w:shd w:val="clear" w:color="auto" w:fill="auto"/>
            <w:vAlign w:val="bottom"/>
          </w:tcPr>
          <w:p w:rsidRPr="009C48DA" w:rsidR="00CD3B44" w:rsidP="00CD3B44" w:rsidRDefault="00CD3B44" w14:paraId="351B2575" w14:textId="77777777">
            <w:pPr>
              <w:tabs>
                <w:tab w:val="right" w:leader="dot" w:pos="5035"/>
              </w:tabs>
              <w:ind w:left="144" w:hanging="144"/>
              <w:rPr>
                <w:b/>
                <w:sz w:val="20"/>
                <w:szCs w:val="20"/>
                <w:lang w:val="en-GB"/>
              </w:rPr>
            </w:pPr>
            <w:r w:rsidRPr="009C48DA">
              <w:rPr>
                <w:b/>
                <w:sz w:val="20"/>
                <w:szCs w:val="20"/>
                <w:lang w:val="en-GB"/>
              </w:rPr>
              <w:t>Net increase/ (decrease) in cash and cash equivalents</w:t>
            </w:r>
            <w:r w:rsidRPr="009C48DA">
              <w:rPr>
                <w:rFonts w:cs="Times New Roman"/>
                <w:b/>
                <w:sz w:val="20"/>
                <w:szCs w:val="20"/>
                <w:lang w:val="en-GB"/>
              </w:rPr>
              <w:tab/>
            </w:r>
          </w:p>
        </w:tc>
        <w:tc>
          <w:tcPr>
            <w:tcW w:w="577" w:type="pct"/>
            <w:shd w:val="clear" w:color="auto" w:fill="auto"/>
            <w:vAlign w:val="bottom"/>
          </w:tcPr>
          <w:p w:rsidRPr="009C48DA" w:rsidR="00CD3B44" w:rsidP="00CD3B44" w:rsidRDefault="00CD3B44" w14:paraId="6D78D836" w14:textId="77777777">
            <w:pPr>
              <w:tabs>
                <w:tab w:val="decimal" w:pos="749"/>
              </w:tabs>
              <w:rPr>
                <w:rFonts w:cs="Times New Roman"/>
                <w:b/>
                <w:sz w:val="20"/>
                <w:szCs w:val="20"/>
                <w:lang w:val="en-GB"/>
              </w:rPr>
            </w:pPr>
            <w:r w:rsidRPr="009C48DA">
              <w:rPr>
                <w:rFonts w:cs="Times New Roman"/>
                <w:b/>
                <w:sz w:val="20"/>
                <w:szCs w:val="20"/>
                <w:lang w:val="en-GB"/>
              </w:rPr>
              <w:t>16.7</w:t>
            </w:r>
          </w:p>
        </w:tc>
        <w:tc>
          <w:tcPr>
            <w:tcW w:w="560" w:type="pct"/>
            <w:shd w:val="clear" w:color="auto" w:fill="auto"/>
            <w:vAlign w:val="bottom"/>
          </w:tcPr>
          <w:p w:rsidRPr="009C48DA" w:rsidR="00CD3B44" w:rsidP="00CD3B44" w:rsidRDefault="00CD3B44" w14:paraId="500B803C" w14:textId="77777777">
            <w:pPr>
              <w:tabs>
                <w:tab w:val="decimal" w:pos="749"/>
              </w:tabs>
              <w:rPr>
                <w:rFonts w:cs="Times New Roman"/>
                <w:b/>
                <w:sz w:val="20"/>
                <w:szCs w:val="20"/>
                <w:lang w:val="en-GB"/>
              </w:rPr>
            </w:pPr>
            <w:r w:rsidRPr="009C48DA">
              <w:rPr>
                <w:rFonts w:cs="Times New Roman"/>
                <w:b/>
                <w:sz w:val="20"/>
                <w:szCs w:val="20"/>
                <w:lang w:val="en-GB"/>
              </w:rPr>
              <w:t>(21.2)</w:t>
            </w:r>
          </w:p>
        </w:tc>
        <w:tc>
          <w:tcPr>
            <w:tcW w:w="562" w:type="pct"/>
            <w:shd w:val="clear" w:color="auto" w:fill="auto"/>
            <w:vAlign w:val="bottom"/>
          </w:tcPr>
          <w:p w:rsidRPr="009C48DA" w:rsidR="00CD3B44" w:rsidP="00CD3B44" w:rsidRDefault="00CD3B44" w14:paraId="644357EF" w14:textId="77777777">
            <w:pPr>
              <w:tabs>
                <w:tab w:val="decimal" w:pos="749"/>
              </w:tabs>
              <w:rPr>
                <w:rFonts w:cs="Times New Roman"/>
                <w:b/>
                <w:sz w:val="20"/>
                <w:szCs w:val="20"/>
                <w:lang w:val="en-GB"/>
              </w:rPr>
            </w:pPr>
            <w:r w:rsidRPr="009C48DA">
              <w:rPr>
                <w:rFonts w:cs="Times New Roman"/>
                <w:b/>
                <w:sz w:val="20"/>
                <w:szCs w:val="20"/>
                <w:lang w:val="en-GB"/>
              </w:rPr>
              <w:t>142.1</w:t>
            </w:r>
          </w:p>
        </w:tc>
        <w:tc>
          <w:tcPr>
            <w:tcW w:w="669" w:type="pct"/>
            <w:vAlign w:val="bottom"/>
          </w:tcPr>
          <w:p w:rsidRPr="009C48DA" w:rsidR="00CD3B44" w:rsidP="00CD3B44" w:rsidRDefault="00CD3B44" w14:paraId="06915960" w14:textId="77777777">
            <w:pPr>
              <w:tabs>
                <w:tab w:val="decimal" w:pos="749"/>
              </w:tabs>
              <w:jc w:val="center"/>
              <w:rPr>
                <w:rFonts w:cs="Times New Roman"/>
                <w:b/>
                <w:sz w:val="20"/>
                <w:szCs w:val="20"/>
                <w:lang w:val="en-GB"/>
              </w:rPr>
            </w:pPr>
            <w:r w:rsidRPr="009C48DA">
              <w:rPr>
                <w:rFonts w:cs="Times New Roman"/>
                <w:b/>
                <w:sz w:val="20"/>
                <w:szCs w:val="20"/>
                <w:lang w:val="en-GB"/>
              </w:rPr>
              <w:t>24.0</w:t>
            </w:r>
          </w:p>
        </w:tc>
        <w:tc>
          <w:tcPr>
            <w:tcW w:w="528" w:type="pct"/>
            <w:vAlign w:val="bottom"/>
          </w:tcPr>
          <w:p w:rsidRPr="009C48DA" w:rsidR="00CD3B44" w:rsidP="00CD3B44" w:rsidRDefault="00CD3B44" w14:paraId="111E5A6C" w14:textId="2794BEA4">
            <w:pPr>
              <w:tabs>
                <w:tab w:val="decimal" w:pos="749"/>
              </w:tabs>
              <w:jc w:val="center"/>
              <w:rPr>
                <w:rFonts w:cs="Times New Roman"/>
                <w:b/>
                <w:sz w:val="20"/>
                <w:szCs w:val="20"/>
                <w:lang w:val="en-GB"/>
              </w:rPr>
            </w:pPr>
            <w:r w:rsidRPr="009C48DA">
              <w:rPr>
                <w:rFonts w:cs="Times New Roman"/>
                <w:b/>
                <w:sz w:val="20"/>
                <w:szCs w:val="20"/>
                <w:lang w:val="en-GB"/>
              </w:rPr>
              <w:t>(21.0)</w:t>
            </w:r>
          </w:p>
        </w:tc>
      </w:tr>
      <w:tr w:rsidRPr="009C48DA" w:rsidR="00CD3B44" w:rsidTr="00CD3B44" w14:paraId="130A3997" w14:textId="77777777">
        <w:trPr>
          <w:trHeight w:val="213"/>
        </w:trPr>
        <w:tc>
          <w:tcPr>
            <w:tcW w:w="2104" w:type="pct"/>
            <w:shd w:val="clear" w:color="auto" w:fill="auto"/>
            <w:vAlign w:val="bottom"/>
          </w:tcPr>
          <w:p w:rsidRPr="009C48DA" w:rsidR="00CD3B44" w:rsidP="00CD3B44" w:rsidRDefault="00CD3B44" w14:paraId="3BF4CD40" w14:textId="77777777">
            <w:pPr>
              <w:tabs>
                <w:tab w:val="right" w:leader="dot" w:pos="5035"/>
              </w:tabs>
              <w:ind w:left="144" w:hanging="144"/>
              <w:rPr>
                <w:sz w:val="20"/>
                <w:szCs w:val="20"/>
                <w:lang w:val="en-GB"/>
              </w:rPr>
            </w:pPr>
            <w:r w:rsidRPr="009C48DA">
              <w:rPr>
                <w:sz w:val="20"/>
                <w:szCs w:val="20"/>
                <w:lang w:val="en-GB"/>
              </w:rPr>
              <w:t>Cash and cash equivalents at beginning of the period</w:t>
            </w:r>
            <w:r w:rsidRPr="009C48DA">
              <w:rPr>
                <w:rFonts w:cs="Times New Roman"/>
                <w:sz w:val="20"/>
                <w:szCs w:val="20"/>
                <w:lang w:val="en-GB"/>
              </w:rPr>
              <w:tab/>
            </w:r>
          </w:p>
        </w:tc>
        <w:tc>
          <w:tcPr>
            <w:tcW w:w="577" w:type="pct"/>
            <w:shd w:val="clear" w:color="auto" w:fill="auto"/>
            <w:vAlign w:val="bottom"/>
          </w:tcPr>
          <w:p w:rsidRPr="009C48DA" w:rsidR="00CD3B44" w:rsidP="00CD3B44" w:rsidRDefault="00CD3B44" w14:paraId="3972D689" w14:textId="77777777">
            <w:pPr>
              <w:tabs>
                <w:tab w:val="decimal" w:pos="749"/>
              </w:tabs>
              <w:rPr>
                <w:sz w:val="20"/>
                <w:szCs w:val="20"/>
                <w:lang w:val="en-GB"/>
              </w:rPr>
            </w:pPr>
            <w:r w:rsidRPr="009C48DA">
              <w:rPr>
                <w:sz w:val="20"/>
                <w:szCs w:val="20"/>
                <w:lang w:val="en-GB"/>
              </w:rPr>
              <w:t>19.1</w:t>
            </w:r>
          </w:p>
        </w:tc>
        <w:tc>
          <w:tcPr>
            <w:tcW w:w="560" w:type="pct"/>
            <w:shd w:val="clear" w:color="auto" w:fill="auto"/>
            <w:vAlign w:val="bottom"/>
          </w:tcPr>
          <w:p w:rsidRPr="009C48DA" w:rsidR="00CD3B44" w:rsidP="00CD3B44" w:rsidRDefault="00CD3B44" w14:paraId="059D07C9" w14:textId="77777777">
            <w:pPr>
              <w:tabs>
                <w:tab w:val="decimal" w:pos="749"/>
              </w:tabs>
              <w:rPr>
                <w:sz w:val="20"/>
                <w:szCs w:val="20"/>
                <w:lang w:val="en-GB"/>
              </w:rPr>
            </w:pPr>
            <w:r w:rsidRPr="009C48DA">
              <w:rPr>
                <w:sz w:val="20"/>
                <w:szCs w:val="20"/>
                <w:lang w:val="en-GB"/>
              </w:rPr>
              <w:t>37.1</w:t>
            </w:r>
          </w:p>
        </w:tc>
        <w:tc>
          <w:tcPr>
            <w:tcW w:w="562" w:type="pct"/>
            <w:shd w:val="clear" w:color="auto" w:fill="auto"/>
            <w:vAlign w:val="bottom"/>
          </w:tcPr>
          <w:p w:rsidRPr="009C48DA" w:rsidR="00CD3B44" w:rsidP="00CD3B44" w:rsidRDefault="00CD3B44" w14:paraId="74405E77" w14:textId="77777777">
            <w:pPr>
              <w:tabs>
                <w:tab w:val="decimal" w:pos="749"/>
              </w:tabs>
              <w:rPr>
                <w:sz w:val="20"/>
                <w:szCs w:val="20"/>
                <w:lang w:val="en-GB"/>
              </w:rPr>
            </w:pPr>
            <w:r w:rsidRPr="009C48DA">
              <w:rPr>
                <w:sz w:val="20"/>
                <w:szCs w:val="20"/>
                <w:lang w:val="en-GB"/>
              </w:rPr>
              <w:t>12.1</w:t>
            </w:r>
          </w:p>
        </w:tc>
        <w:tc>
          <w:tcPr>
            <w:tcW w:w="669" w:type="pct"/>
            <w:vAlign w:val="bottom"/>
          </w:tcPr>
          <w:p w:rsidRPr="009C48DA" w:rsidR="00CD3B44" w:rsidP="00CD3B44" w:rsidRDefault="00CD3B44" w14:paraId="64750120" w14:textId="77777777">
            <w:pPr>
              <w:tabs>
                <w:tab w:val="decimal" w:pos="749"/>
              </w:tabs>
              <w:jc w:val="center"/>
              <w:rPr>
                <w:sz w:val="20"/>
                <w:szCs w:val="20"/>
                <w:lang w:val="en-GB"/>
              </w:rPr>
            </w:pPr>
            <w:r w:rsidRPr="009C48DA">
              <w:rPr>
                <w:rFonts w:cs="Times New Roman"/>
                <w:sz w:val="20"/>
                <w:szCs w:val="20"/>
                <w:lang w:val="en-GB"/>
              </w:rPr>
              <w:t>12.1</w:t>
            </w:r>
          </w:p>
        </w:tc>
        <w:tc>
          <w:tcPr>
            <w:tcW w:w="528" w:type="pct"/>
            <w:vAlign w:val="bottom"/>
          </w:tcPr>
          <w:p w:rsidRPr="009C48DA" w:rsidR="00CD3B44" w:rsidP="00CD3B44" w:rsidRDefault="00CD3B44" w14:paraId="77B9193D" w14:textId="68C07901">
            <w:pPr>
              <w:tabs>
                <w:tab w:val="decimal" w:pos="749"/>
              </w:tabs>
              <w:jc w:val="center"/>
              <w:rPr>
                <w:sz w:val="20"/>
                <w:szCs w:val="20"/>
                <w:lang w:val="en-GB"/>
              </w:rPr>
            </w:pPr>
            <w:r w:rsidRPr="009C48DA">
              <w:rPr>
                <w:rFonts w:cs="Times New Roman"/>
                <w:sz w:val="20"/>
                <w:szCs w:val="20"/>
                <w:lang w:val="en-GB"/>
              </w:rPr>
              <w:t>157.</w:t>
            </w:r>
            <w:r w:rsidRPr="009C48DA" w:rsidR="002B2C7F">
              <w:rPr>
                <w:rFonts w:cs="Times New Roman"/>
                <w:sz w:val="20"/>
                <w:szCs w:val="20"/>
                <w:lang w:val="en-GB"/>
              </w:rPr>
              <w:t>1</w:t>
            </w:r>
          </w:p>
        </w:tc>
      </w:tr>
      <w:tr w:rsidRPr="009C48DA" w:rsidR="00CD3B44" w:rsidTr="00CD3B44" w14:paraId="7C55FBFB" w14:textId="77777777">
        <w:trPr>
          <w:trHeight w:val="213"/>
        </w:trPr>
        <w:tc>
          <w:tcPr>
            <w:tcW w:w="2104" w:type="pct"/>
            <w:shd w:val="clear" w:color="auto" w:fill="auto"/>
            <w:vAlign w:val="bottom"/>
          </w:tcPr>
          <w:p w:rsidRPr="009C48DA" w:rsidR="00CD3B44" w:rsidP="00CD3B44" w:rsidRDefault="00CD3B44" w14:paraId="0A501639" w14:textId="77777777">
            <w:pPr>
              <w:tabs>
                <w:tab w:val="right" w:leader="dot" w:pos="5035"/>
              </w:tabs>
              <w:ind w:left="144" w:hanging="144"/>
              <w:rPr>
                <w:sz w:val="20"/>
                <w:szCs w:val="20"/>
                <w:lang w:val="en-GB"/>
              </w:rPr>
            </w:pPr>
            <w:r w:rsidRPr="009C48DA">
              <w:rPr>
                <w:sz w:val="20"/>
                <w:szCs w:val="20"/>
                <w:lang w:val="en-GB"/>
              </w:rPr>
              <w:t>Effect of exchange rate changes on cash and cash equivalents</w:t>
            </w:r>
            <w:r w:rsidRPr="009C48DA">
              <w:rPr>
                <w:rFonts w:cs="Times New Roman"/>
                <w:sz w:val="20"/>
                <w:szCs w:val="20"/>
                <w:lang w:val="en-GB"/>
              </w:rPr>
              <w:tab/>
            </w:r>
          </w:p>
        </w:tc>
        <w:tc>
          <w:tcPr>
            <w:tcW w:w="577" w:type="pct"/>
            <w:shd w:val="clear" w:color="auto" w:fill="auto"/>
            <w:vAlign w:val="bottom"/>
          </w:tcPr>
          <w:p w:rsidRPr="009C48DA" w:rsidR="00CD3B44" w:rsidP="00CD3B44" w:rsidRDefault="00CD3B44" w14:paraId="3D713D4F" w14:textId="77777777">
            <w:pPr>
              <w:pBdr>
                <w:bottom w:val="single" w:color="auto" w:sz="4" w:space="1"/>
              </w:pBdr>
              <w:tabs>
                <w:tab w:val="decimal" w:pos="749"/>
              </w:tabs>
              <w:rPr>
                <w:rFonts w:cs="Times New Roman"/>
                <w:sz w:val="20"/>
                <w:szCs w:val="20"/>
                <w:lang w:val="en-GB"/>
              </w:rPr>
            </w:pPr>
            <w:r w:rsidRPr="009C48DA">
              <w:rPr>
                <w:rFonts w:cs="Times New Roman"/>
                <w:sz w:val="20"/>
                <w:szCs w:val="20"/>
                <w:lang w:val="en-GB"/>
              </w:rPr>
              <w:t>1.3</w:t>
            </w:r>
          </w:p>
        </w:tc>
        <w:tc>
          <w:tcPr>
            <w:tcW w:w="560" w:type="pct"/>
            <w:shd w:val="clear" w:color="auto" w:fill="auto"/>
            <w:vAlign w:val="bottom"/>
          </w:tcPr>
          <w:p w:rsidRPr="009C48DA" w:rsidR="00CD3B44" w:rsidP="00CD3B44" w:rsidRDefault="00CD3B44" w14:paraId="3C49C6CF" w14:textId="77777777">
            <w:pPr>
              <w:pBdr>
                <w:bottom w:val="single" w:color="auto" w:sz="4" w:space="1"/>
              </w:pBdr>
              <w:tabs>
                <w:tab w:val="decimal" w:pos="749"/>
              </w:tabs>
              <w:rPr>
                <w:sz w:val="20"/>
                <w:szCs w:val="20"/>
                <w:lang w:val="en-GB"/>
              </w:rPr>
            </w:pPr>
            <w:r w:rsidRPr="009C48DA">
              <w:rPr>
                <w:sz w:val="20"/>
                <w:szCs w:val="20"/>
                <w:lang w:val="en-GB"/>
              </w:rPr>
              <w:t>(3.8)</w:t>
            </w:r>
          </w:p>
        </w:tc>
        <w:tc>
          <w:tcPr>
            <w:tcW w:w="562" w:type="pct"/>
            <w:shd w:val="clear" w:color="auto" w:fill="auto"/>
            <w:vAlign w:val="bottom"/>
          </w:tcPr>
          <w:p w:rsidRPr="009C48DA" w:rsidR="00CD3B44" w:rsidP="00CD3B44" w:rsidRDefault="00CD3B44" w14:paraId="755CB522" w14:textId="77777777">
            <w:pPr>
              <w:pBdr>
                <w:bottom w:val="single" w:color="auto" w:sz="4" w:space="1"/>
              </w:pBdr>
              <w:tabs>
                <w:tab w:val="decimal" w:pos="749"/>
              </w:tabs>
              <w:rPr>
                <w:sz w:val="20"/>
                <w:szCs w:val="20"/>
                <w:lang w:val="en-GB"/>
              </w:rPr>
            </w:pPr>
            <w:r w:rsidRPr="009C48DA">
              <w:rPr>
                <w:sz w:val="20"/>
                <w:szCs w:val="20"/>
                <w:lang w:val="en-GB"/>
              </w:rPr>
              <w:t>2.9</w:t>
            </w:r>
          </w:p>
        </w:tc>
        <w:tc>
          <w:tcPr>
            <w:tcW w:w="669" w:type="pct"/>
            <w:vAlign w:val="bottom"/>
          </w:tcPr>
          <w:p w:rsidRPr="009C48DA" w:rsidR="00CD3B44" w:rsidP="00CD3B44" w:rsidRDefault="00CD3B44" w14:paraId="009DD390" w14:textId="77777777">
            <w:pPr>
              <w:pBdr>
                <w:bottom w:val="single" w:color="auto" w:sz="4" w:space="1"/>
              </w:pBdr>
              <w:tabs>
                <w:tab w:val="decimal" w:pos="749"/>
              </w:tabs>
              <w:jc w:val="center"/>
              <w:rPr>
                <w:rFonts w:cs="Times New Roman"/>
                <w:sz w:val="20"/>
                <w:szCs w:val="20"/>
                <w:lang w:val="en-GB"/>
              </w:rPr>
            </w:pPr>
            <w:r w:rsidRPr="009C48DA">
              <w:rPr>
                <w:rFonts w:cs="Times New Roman"/>
                <w:sz w:val="20"/>
                <w:szCs w:val="20"/>
                <w:lang w:val="en-GB"/>
              </w:rPr>
              <w:t>3.7</w:t>
            </w:r>
          </w:p>
        </w:tc>
        <w:tc>
          <w:tcPr>
            <w:tcW w:w="528" w:type="pct"/>
            <w:vAlign w:val="bottom"/>
          </w:tcPr>
          <w:p w:rsidRPr="009C48DA" w:rsidR="00CD3B44" w:rsidP="00CD3B44" w:rsidRDefault="00CD3B44" w14:paraId="41C9F8AE" w14:textId="77777777">
            <w:pPr>
              <w:pBdr>
                <w:bottom w:val="single" w:color="auto" w:sz="4" w:space="1"/>
              </w:pBdr>
              <w:tabs>
                <w:tab w:val="decimal" w:pos="749"/>
              </w:tabs>
              <w:jc w:val="center"/>
              <w:rPr>
                <w:rFonts w:cs="Times New Roman"/>
                <w:sz w:val="20"/>
                <w:szCs w:val="20"/>
                <w:lang w:val="en-GB"/>
              </w:rPr>
            </w:pPr>
            <w:r w:rsidRPr="009C48DA">
              <w:rPr>
                <w:rFonts w:cs="Times New Roman"/>
                <w:sz w:val="20"/>
                <w:szCs w:val="20"/>
                <w:lang w:val="en-GB"/>
              </w:rPr>
              <w:t>(8.3)</w:t>
            </w:r>
          </w:p>
        </w:tc>
      </w:tr>
      <w:tr w:rsidRPr="009C48DA" w:rsidR="002B2C7F" w:rsidTr="00CD3B44" w14:paraId="768B03FC" w14:textId="77777777">
        <w:trPr>
          <w:trHeight w:val="213"/>
        </w:trPr>
        <w:tc>
          <w:tcPr>
            <w:tcW w:w="2104" w:type="pct"/>
            <w:shd w:val="clear" w:color="auto" w:fill="auto"/>
            <w:vAlign w:val="bottom"/>
          </w:tcPr>
          <w:p w:rsidRPr="009C48DA" w:rsidR="002B2C7F" w:rsidP="00CD3B44" w:rsidRDefault="002B2C7F" w14:paraId="44973FBC" w14:textId="790C1E19">
            <w:pPr>
              <w:tabs>
                <w:tab w:val="right" w:leader="dot" w:pos="5035"/>
              </w:tabs>
              <w:ind w:left="144" w:hanging="144"/>
              <w:rPr>
                <w:sz w:val="20"/>
                <w:szCs w:val="20"/>
                <w:lang w:val="en-GB"/>
              </w:rPr>
            </w:pPr>
            <w:r w:rsidRPr="009C48DA">
              <w:rPr>
                <w:b/>
                <w:sz w:val="20"/>
                <w:szCs w:val="20"/>
                <w:lang w:val="en-GB"/>
              </w:rPr>
              <w:t>Cash and cash equivalents at the end of the period</w:t>
            </w:r>
            <w:r w:rsidRPr="009C48DA">
              <w:rPr>
                <w:rFonts w:cs="Times New Roman"/>
                <w:sz w:val="20"/>
                <w:szCs w:val="20"/>
                <w:lang w:val="en-GB"/>
              </w:rPr>
              <w:tab/>
            </w:r>
          </w:p>
        </w:tc>
        <w:tc>
          <w:tcPr>
            <w:tcW w:w="577" w:type="pct"/>
            <w:shd w:val="clear" w:color="auto" w:fill="auto"/>
            <w:vAlign w:val="bottom"/>
          </w:tcPr>
          <w:p w:rsidRPr="009C48DA" w:rsidR="002B2C7F" w:rsidP="002B2C7F" w:rsidRDefault="002B2C7F" w14:paraId="7974EFE0" w14:textId="32F4A8A3">
            <w:pPr>
              <w:tabs>
                <w:tab w:val="decimal" w:pos="749"/>
              </w:tabs>
              <w:rPr>
                <w:rFonts w:cs="Times New Roman"/>
                <w:b/>
                <w:sz w:val="20"/>
                <w:szCs w:val="20"/>
                <w:lang w:val="en-GB"/>
              </w:rPr>
            </w:pPr>
            <w:r w:rsidRPr="009C48DA">
              <w:rPr>
                <w:rFonts w:cs="Times New Roman"/>
                <w:b/>
                <w:sz w:val="20"/>
                <w:szCs w:val="20"/>
                <w:lang w:val="en-GB"/>
              </w:rPr>
              <w:t>37.1</w:t>
            </w:r>
          </w:p>
        </w:tc>
        <w:tc>
          <w:tcPr>
            <w:tcW w:w="560" w:type="pct"/>
            <w:shd w:val="clear" w:color="auto" w:fill="auto"/>
            <w:vAlign w:val="bottom"/>
          </w:tcPr>
          <w:p w:rsidRPr="009C48DA" w:rsidR="002B2C7F" w:rsidP="002B2C7F" w:rsidRDefault="002B2C7F" w14:paraId="162369C0" w14:textId="517F0D1F">
            <w:pPr>
              <w:tabs>
                <w:tab w:val="decimal" w:pos="749"/>
              </w:tabs>
              <w:rPr>
                <w:b/>
                <w:sz w:val="20"/>
                <w:szCs w:val="20"/>
                <w:lang w:val="en-GB"/>
              </w:rPr>
            </w:pPr>
            <w:r w:rsidRPr="009C48DA">
              <w:rPr>
                <w:b/>
                <w:sz w:val="20"/>
                <w:szCs w:val="20"/>
                <w:lang w:val="en-GB"/>
              </w:rPr>
              <w:t>12.1</w:t>
            </w:r>
          </w:p>
        </w:tc>
        <w:tc>
          <w:tcPr>
            <w:tcW w:w="562" w:type="pct"/>
            <w:shd w:val="clear" w:color="auto" w:fill="auto"/>
            <w:vAlign w:val="bottom"/>
          </w:tcPr>
          <w:p w:rsidRPr="009C48DA" w:rsidR="002B2C7F" w:rsidP="002B2C7F" w:rsidRDefault="002B2C7F" w14:paraId="679CAA83" w14:textId="4FDBA042">
            <w:pPr>
              <w:tabs>
                <w:tab w:val="decimal" w:pos="749"/>
              </w:tabs>
              <w:rPr>
                <w:b/>
                <w:sz w:val="20"/>
                <w:szCs w:val="20"/>
                <w:lang w:val="en-GB"/>
              </w:rPr>
            </w:pPr>
            <w:r w:rsidRPr="009C48DA">
              <w:rPr>
                <w:b/>
                <w:sz w:val="20"/>
                <w:szCs w:val="20"/>
                <w:lang w:val="en-GB"/>
              </w:rPr>
              <w:t>157.1</w:t>
            </w:r>
          </w:p>
        </w:tc>
        <w:tc>
          <w:tcPr>
            <w:tcW w:w="669" w:type="pct"/>
            <w:vAlign w:val="bottom"/>
          </w:tcPr>
          <w:p w:rsidRPr="009C48DA" w:rsidR="002B2C7F" w:rsidP="002B2C7F" w:rsidRDefault="002B2C7F" w14:paraId="00465389" w14:textId="1302B70B">
            <w:pPr>
              <w:tabs>
                <w:tab w:val="decimal" w:pos="749"/>
              </w:tabs>
              <w:jc w:val="center"/>
              <w:rPr>
                <w:rFonts w:cs="Times New Roman"/>
                <w:b/>
                <w:sz w:val="20"/>
                <w:szCs w:val="20"/>
                <w:lang w:val="en-GB"/>
              </w:rPr>
            </w:pPr>
            <w:r w:rsidRPr="009C48DA">
              <w:rPr>
                <w:rFonts w:cs="Times New Roman"/>
                <w:b/>
                <w:sz w:val="20"/>
                <w:szCs w:val="20"/>
                <w:lang w:val="en-GB"/>
              </w:rPr>
              <w:t>39.8</w:t>
            </w:r>
          </w:p>
        </w:tc>
        <w:tc>
          <w:tcPr>
            <w:tcW w:w="528" w:type="pct"/>
            <w:vAlign w:val="bottom"/>
          </w:tcPr>
          <w:p w:rsidRPr="009C48DA" w:rsidR="002B2C7F" w:rsidP="002B2C7F" w:rsidRDefault="002B2C7F" w14:paraId="24FF707C" w14:textId="3C41E67A">
            <w:pPr>
              <w:tabs>
                <w:tab w:val="decimal" w:pos="749"/>
              </w:tabs>
              <w:jc w:val="center"/>
              <w:rPr>
                <w:rFonts w:cs="Times New Roman"/>
                <w:b/>
                <w:sz w:val="20"/>
                <w:szCs w:val="20"/>
                <w:lang w:val="en-GB"/>
              </w:rPr>
            </w:pPr>
            <w:r w:rsidRPr="009C48DA">
              <w:rPr>
                <w:rFonts w:cs="Times New Roman"/>
                <w:b/>
                <w:sz w:val="20"/>
                <w:szCs w:val="20"/>
                <w:lang w:val="en-GB"/>
              </w:rPr>
              <w:t>127.7</w:t>
            </w:r>
          </w:p>
        </w:tc>
      </w:tr>
      <w:tr w:rsidRPr="009C48DA" w:rsidR="00CD3B44" w:rsidTr="00CD3B44" w14:paraId="59D83C38" w14:textId="77777777">
        <w:trPr>
          <w:trHeight w:val="213"/>
        </w:trPr>
        <w:tc>
          <w:tcPr>
            <w:tcW w:w="2104" w:type="pct"/>
            <w:shd w:val="clear" w:color="auto" w:fill="auto"/>
            <w:vAlign w:val="bottom"/>
          </w:tcPr>
          <w:p w:rsidRPr="009C48DA" w:rsidR="00CD3B44" w:rsidP="002B2C7F" w:rsidRDefault="002B2C7F" w14:paraId="09B0D083" w14:textId="4BC75297">
            <w:pPr>
              <w:tabs>
                <w:tab w:val="right" w:leader="dot" w:pos="5035"/>
              </w:tabs>
              <w:ind w:left="356" w:hanging="144"/>
              <w:rPr>
                <w:i/>
                <w:sz w:val="20"/>
                <w:szCs w:val="20"/>
                <w:lang w:val="en-GB"/>
              </w:rPr>
            </w:pPr>
            <w:r w:rsidRPr="009C48DA">
              <w:rPr>
                <w:i/>
                <w:sz w:val="20"/>
                <w:szCs w:val="20"/>
                <w:lang w:val="en-GB"/>
              </w:rPr>
              <w:tab/>
              <w:t xml:space="preserve">of which: </w:t>
            </w:r>
            <w:r w:rsidRPr="009C48DA" w:rsidR="00CD3B44">
              <w:rPr>
                <w:i/>
                <w:sz w:val="20"/>
                <w:szCs w:val="20"/>
                <w:lang w:val="en-GB"/>
              </w:rPr>
              <w:t xml:space="preserve">Cash and cash equivalents at the end of the period (for use </w:t>
            </w:r>
            <w:r w:rsidRPr="009C48DA">
              <w:rPr>
                <w:i/>
                <w:sz w:val="20"/>
                <w:szCs w:val="20"/>
                <w:lang w:val="en-GB"/>
              </w:rPr>
              <w:t>within</w:t>
            </w:r>
            <w:r w:rsidRPr="009C48DA" w:rsidR="00CD3B44">
              <w:rPr>
                <w:i/>
                <w:sz w:val="20"/>
                <w:szCs w:val="20"/>
                <w:lang w:val="en-GB"/>
              </w:rPr>
              <w:t xml:space="preserve"> the Group)</w:t>
            </w:r>
            <w:r w:rsidRPr="009C48DA" w:rsidR="00CD3B44">
              <w:rPr>
                <w:i/>
                <w:sz w:val="20"/>
                <w:szCs w:val="20"/>
                <w:vertAlign w:val="superscript"/>
                <w:lang w:val="en-GB"/>
              </w:rPr>
              <w:t>(1)</w:t>
            </w:r>
            <w:r w:rsidRPr="009C48DA" w:rsidR="00CD3B44">
              <w:rPr>
                <w:rFonts w:cs="Times New Roman"/>
                <w:i/>
                <w:sz w:val="20"/>
                <w:szCs w:val="20"/>
                <w:lang w:val="en-GB"/>
              </w:rPr>
              <w:tab/>
            </w:r>
          </w:p>
        </w:tc>
        <w:tc>
          <w:tcPr>
            <w:tcW w:w="577" w:type="pct"/>
            <w:shd w:val="clear" w:color="auto" w:fill="auto"/>
            <w:vAlign w:val="bottom"/>
          </w:tcPr>
          <w:p w:rsidRPr="009C48DA" w:rsidR="00CD3B44" w:rsidP="00CD3B44" w:rsidRDefault="00CD3B44" w14:paraId="5F3BDCAC" w14:textId="77777777">
            <w:pPr>
              <w:tabs>
                <w:tab w:val="decimal" w:pos="749"/>
              </w:tabs>
              <w:spacing w:after="20"/>
              <w:rPr>
                <w:i/>
                <w:sz w:val="20"/>
                <w:szCs w:val="20"/>
                <w:lang w:val="en-GB"/>
              </w:rPr>
            </w:pPr>
            <w:r w:rsidRPr="009C48DA">
              <w:rPr>
                <w:i/>
                <w:sz w:val="20"/>
                <w:szCs w:val="20"/>
                <w:lang w:val="en-GB"/>
              </w:rPr>
              <w:t>37.1</w:t>
            </w:r>
          </w:p>
        </w:tc>
        <w:tc>
          <w:tcPr>
            <w:tcW w:w="560" w:type="pct"/>
            <w:shd w:val="clear" w:color="auto" w:fill="auto"/>
            <w:vAlign w:val="bottom"/>
          </w:tcPr>
          <w:p w:rsidRPr="009C48DA" w:rsidR="00CD3B44" w:rsidP="00CD3B44" w:rsidRDefault="00CD3B44" w14:paraId="168D9D56" w14:textId="77777777">
            <w:pPr>
              <w:tabs>
                <w:tab w:val="decimal" w:pos="749"/>
              </w:tabs>
              <w:spacing w:after="20"/>
              <w:rPr>
                <w:i/>
                <w:sz w:val="20"/>
                <w:szCs w:val="20"/>
                <w:lang w:val="en-GB"/>
              </w:rPr>
            </w:pPr>
            <w:r w:rsidRPr="009C48DA">
              <w:rPr>
                <w:i/>
                <w:sz w:val="20"/>
                <w:szCs w:val="20"/>
                <w:lang w:val="en-GB"/>
              </w:rPr>
              <w:t>12.1</w:t>
            </w:r>
          </w:p>
        </w:tc>
        <w:tc>
          <w:tcPr>
            <w:tcW w:w="562" w:type="pct"/>
            <w:shd w:val="clear" w:color="auto" w:fill="auto"/>
            <w:vAlign w:val="bottom"/>
          </w:tcPr>
          <w:p w:rsidRPr="009C48DA" w:rsidR="00CD3B44" w:rsidP="00CD3B44" w:rsidRDefault="002B2C7F" w14:paraId="51D9A077" w14:textId="1B172EEA">
            <w:pPr>
              <w:tabs>
                <w:tab w:val="decimal" w:pos="749"/>
              </w:tabs>
              <w:spacing w:after="20"/>
              <w:rPr>
                <w:i/>
                <w:sz w:val="20"/>
                <w:szCs w:val="20"/>
                <w:lang w:val="en-GB"/>
              </w:rPr>
            </w:pPr>
            <w:r w:rsidRPr="009C48DA">
              <w:rPr>
                <w:i/>
                <w:sz w:val="20"/>
                <w:szCs w:val="20"/>
                <w:lang w:val="en-GB"/>
              </w:rPr>
              <w:t>42.4</w:t>
            </w:r>
          </w:p>
        </w:tc>
        <w:tc>
          <w:tcPr>
            <w:tcW w:w="669" w:type="pct"/>
            <w:vAlign w:val="bottom"/>
          </w:tcPr>
          <w:p w:rsidRPr="009C48DA" w:rsidR="00CD3B44" w:rsidP="00CD3B44" w:rsidRDefault="00CD3B44" w14:paraId="24EDE639" w14:textId="77777777">
            <w:pPr>
              <w:tabs>
                <w:tab w:val="decimal" w:pos="749"/>
              </w:tabs>
              <w:spacing w:after="20"/>
              <w:jc w:val="center"/>
              <w:rPr>
                <w:i/>
                <w:sz w:val="20"/>
                <w:szCs w:val="20"/>
                <w:lang w:val="en-GB"/>
              </w:rPr>
            </w:pPr>
            <w:r w:rsidRPr="009C48DA">
              <w:rPr>
                <w:rFonts w:cs="Times New Roman"/>
                <w:i/>
                <w:sz w:val="20"/>
                <w:szCs w:val="20"/>
                <w:lang w:val="en-GB"/>
              </w:rPr>
              <w:t>39.8</w:t>
            </w:r>
          </w:p>
        </w:tc>
        <w:tc>
          <w:tcPr>
            <w:tcW w:w="528" w:type="pct"/>
            <w:vAlign w:val="bottom"/>
          </w:tcPr>
          <w:p w:rsidRPr="009C48DA" w:rsidR="00CD3B44" w:rsidP="00CD3B44" w:rsidRDefault="00CD3B44" w14:paraId="55A5EF40" w14:textId="77777777">
            <w:pPr>
              <w:tabs>
                <w:tab w:val="decimal" w:pos="749"/>
              </w:tabs>
              <w:spacing w:after="20"/>
              <w:jc w:val="center"/>
              <w:rPr>
                <w:i/>
                <w:sz w:val="20"/>
                <w:szCs w:val="20"/>
                <w:lang w:val="en-GB"/>
              </w:rPr>
            </w:pPr>
            <w:r w:rsidRPr="009C48DA">
              <w:rPr>
                <w:rFonts w:cs="Times New Roman"/>
                <w:i/>
                <w:sz w:val="20"/>
                <w:szCs w:val="20"/>
                <w:lang w:val="en-GB"/>
              </w:rPr>
              <w:t>67.8</w:t>
            </w:r>
          </w:p>
        </w:tc>
      </w:tr>
      <w:tr w:rsidRPr="009C48DA" w:rsidR="00CD3B44" w:rsidTr="00CD3B44" w14:paraId="66C5CF3C" w14:textId="77777777">
        <w:trPr>
          <w:trHeight w:val="213"/>
        </w:trPr>
        <w:tc>
          <w:tcPr>
            <w:tcW w:w="2104" w:type="pct"/>
            <w:shd w:val="clear" w:color="auto" w:fill="auto"/>
            <w:vAlign w:val="bottom"/>
          </w:tcPr>
          <w:p w:rsidRPr="009C48DA" w:rsidR="00CD3B44" w:rsidP="002B2C7F" w:rsidRDefault="002B2C7F" w14:paraId="578B259B" w14:textId="0F86BFDA">
            <w:pPr>
              <w:tabs>
                <w:tab w:val="right" w:leader="dot" w:pos="5035"/>
              </w:tabs>
              <w:ind w:left="356" w:hanging="144"/>
              <w:rPr>
                <w:i/>
                <w:sz w:val="20"/>
                <w:szCs w:val="20"/>
                <w:lang w:val="en-GB"/>
              </w:rPr>
            </w:pPr>
            <w:r w:rsidRPr="009C48DA">
              <w:rPr>
                <w:i/>
                <w:sz w:val="20"/>
                <w:szCs w:val="20"/>
                <w:lang w:val="en-GB"/>
              </w:rPr>
              <w:tab/>
              <w:t xml:space="preserve">of which: </w:t>
            </w:r>
            <w:r w:rsidRPr="009C48DA" w:rsidR="00CD3B44">
              <w:rPr>
                <w:i/>
                <w:sz w:val="20"/>
                <w:szCs w:val="20"/>
                <w:lang w:val="en-GB"/>
              </w:rPr>
              <w:t xml:space="preserve">CLO </w:t>
            </w:r>
            <w:r w:rsidRPr="009C48DA">
              <w:rPr>
                <w:i/>
                <w:sz w:val="20"/>
                <w:szCs w:val="20"/>
                <w:lang w:val="en-GB"/>
              </w:rPr>
              <w:t xml:space="preserve">cash </w:t>
            </w:r>
            <w:r w:rsidRPr="009C48DA" w:rsidR="00CD3B44">
              <w:rPr>
                <w:i/>
                <w:sz w:val="20"/>
                <w:szCs w:val="20"/>
                <w:lang w:val="en-GB"/>
              </w:rPr>
              <w:t>(restricted)</w:t>
            </w:r>
            <w:r w:rsidRPr="009C48DA" w:rsidR="00CD3B44">
              <w:rPr>
                <w:rFonts w:cs="Times New Roman"/>
                <w:i/>
                <w:sz w:val="20"/>
                <w:szCs w:val="20"/>
                <w:vertAlign w:val="superscript"/>
                <w:lang w:val="en-GB"/>
              </w:rPr>
              <w:t>(1)</w:t>
            </w:r>
            <w:r w:rsidRPr="009C48DA" w:rsidR="00CD3B44">
              <w:rPr>
                <w:rFonts w:cs="Times New Roman"/>
                <w:i/>
                <w:sz w:val="20"/>
                <w:szCs w:val="20"/>
                <w:lang w:val="en-GB"/>
              </w:rPr>
              <w:tab/>
            </w:r>
          </w:p>
        </w:tc>
        <w:tc>
          <w:tcPr>
            <w:tcW w:w="577" w:type="pct"/>
            <w:shd w:val="clear" w:color="auto" w:fill="auto"/>
            <w:vAlign w:val="bottom"/>
          </w:tcPr>
          <w:p w:rsidRPr="009C48DA" w:rsidR="00CD3B44" w:rsidP="00CD3B44" w:rsidRDefault="00CD3B44" w14:paraId="102E8F6B" w14:textId="77777777">
            <w:pPr>
              <w:pBdr>
                <w:bottom w:val="single" w:color="auto" w:sz="4" w:space="1"/>
              </w:pBdr>
              <w:tabs>
                <w:tab w:val="decimal" w:pos="749"/>
              </w:tabs>
              <w:spacing w:after="20"/>
              <w:rPr>
                <w:i/>
                <w:sz w:val="20"/>
                <w:szCs w:val="20"/>
                <w:lang w:val="en-GB"/>
              </w:rPr>
            </w:pPr>
            <w:r w:rsidRPr="009C48DA">
              <w:rPr>
                <w:i/>
                <w:sz w:val="20"/>
                <w:szCs w:val="20"/>
                <w:lang w:val="en-GB"/>
              </w:rPr>
              <w:t>—</w:t>
            </w:r>
          </w:p>
        </w:tc>
        <w:tc>
          <w:tcPr>
            <w:tcW w:w="560" w:type="pct"/>
            <w:shd w:val="clear" w:color="auto" w:fill="auto"/>
            <w:vAlign w:val="bottom"/>
          </w:tcPr>
          <w:p w:rsidRPr="009C48DA" w:rsidR="00CD3B44" w:rsidP="00CD3B44" w:rsidRDefault="00CD3B44" w14:paraId="6540A2C2" w14:textId="77777777">
            <w:pPr>
              <w:pBdr>
                <w:bottom w:val="single" w:color="auto" w:sz="4" w:space="1"/>
              </w:pBdr>
              <w:tabs>
                <w:tab w:val="decimal" w:pos="749"/>
              </w:tabs>
              <w:spacing w:after="20"/>
              <w:rPr>
                <w:i/>
                <w:sz w:val="20"/>
                <w:szCs w:val="20"/>
                <w:lang w:val="en-GB"/>
              </w:rPr>
            </w:pPr>
            <w:r w:rsidRPr="009C48DA">
              <w:rPr>
                <w:i/>
                <w:sz w:val="20"/>
                <w:szCs w:val="20"/>
                <w:lang w:val="en-GB"/>
              </w:rPr>
              <w:t>—</w:t>
            </w:r>
          </w:p>
        </w:tc>
        <w:tc>
          <w:tcPr>
            <w:tcW w:w="562" w:type="pct"/>
            <w:shd w:val="clear" w:color="auto" w:fill="auto"/>
            <w:vAlign w:val="bottom"/>
          </w:tcPr>
          <w:p w:rsidRPr="009C48DA" w:rsidR="00CD3B44" w:rsidP="00CD3B44" w:rsidRDefault="00CD3B44" w14:paraId="7BB0D0BA" w14:textId="77777777">
            <w:pPr>
              <w:pBdr>
                <w:bottom w:val="single" w:color="auto" w:sz="4" w:space="1"/>
              </w:pBdr>
              <w:tabs>
                <w:tab w:val="decimal" w:pos="749"/>
              </w:tabs>
              <w:spacing w:after="20"/>
              <w:rPr>
                <w:i/>
                <w:sz w:val="20"/>
                <w:szCs w:val="20"/>
                <w:lang w:val="en-GB"/>
              </w:rPr>
            </w:pPr>
            <w:r w:rsidRPr="009C48DA">
              <w:rPr>
                <w:i/>
                <w:sz w:val="20"/>
                <w:szCs w:val="20"/>
                <w:lang w:val="en-GB"/>
              </w:rPr>
              <w:t>114.8</w:t>
            </w:r>
          </w:p>
        </w:tc>
        <w:tc>
          <w:tcPr>
            <w:tcW w:w="669" w:type="pct"/>
            <w:vAlign w:val="bottom"/>
          </w:tcPr>
          <w:p w:rsidRPr="009C48DA" w:rsidR="00CD3B44" w:rsidP="00CD3B44" w:rsidRDefault="00CD3B44" w14:paraId="4944711F" w14:textId="77777777">
            <w:pPr>
              <w:pBdr>
                <w:bottom w:val="single" w:color="auto" w:sz="4" w:space="1"/>
              </w:pBdr>
              <w:tabs>
                <w:tab w:val="decimal" w:pos="749"/>
              </w:tabs>
              <w:spacing w:after="20"/>
              <w:jc w:val="center"/>
              <w:rPr>
                <w:rFonts w:cs="Times New Roman"/>
                <w:i/>
                <w:sz w:val="20"/>
                <w:szCs w:val="20"/>
                <w:lang w:val="en-GB"/>
              </w:rPr>
            </w:pPr>
            <w:r w:rsidRPr="009C48DA">
              <w:rPr>
                <w:rFonts w:cs="Times New Roman"/>
                <w:i/>
                <w:sz w:val="20"/>
                <w:szCs w:val="20"/>
                <w:lang w:val="en-GB"/>
              </w:rPr>
              <w:t>—</w:t>
            </w:r>
          </w:p>
        </w:tc>
        <w:tc>
          <w:tcPr>
            <w:tcW w:w="528" w:type="pct"/>
            <w:vAlign w:val="bottom"/>
          </w:tcPr>
          <w:p w:rsidRPr="009C48DA" w:rsidR="00CD3B44" w:rsidP="00CD3B44" w:rsidRDefault="002B2C7F" w14:paraId="61B48E59" w14:textId="29231F6C">
            <w:pPr>
              <w:pBdr>
                <w:bottom w:val="single" w:color="auto" w:sz="4" w:space="1"/>
              </w:pBdr>
              <w:tabs>
                <w:tab w:val="decimal" w:pos="749"/>
              </w:tabs>
              <w:spacing w:after="20"/>
              <w:jc w:val="center"/>
              <w:rPr>
                <w:rFonts w:cs="Times New Roman"/>
                <w:i/>
                <w:sz w:val="20"/>
                <w:szCs w:val="20"/>
                <w:lang w:val="en-GB"/>
              </w:rPr>
            </w:pPr>
            <w:r w:rsidRPr="009C48DA">
              <w:rPr>
                <w:rFonts w:cs="Times New Roman"/>
                <w:i/>
                <w:sz w:val="20"/>
                <w:szCs w:val="20"/>
                <w:lang w:val="en-GB"/>
              </w:rPr>
              <w:t>60.0</w:t>
            </w:r>
          </w:p>
        </w:tc>
      </w:tr>
      <w:tr w:rsidRPr="009C48DA" w:rsidR="00CD3B44" w:rsidTr="00CD3B44" w14:paraId="6CB9BEB5" w14:textId="77777777">
        <w:trPr>
          <w:trHeight w:val="213"/>
        </w:trPr>
        <w:tc>
          <w:tcPr>
            <w:tcW w:w="2104" w:type="pct"/>
            <w:shd w:val="clear" w:color="auto" w:fill="auto"/>
            <w:vAlign w:val="bottom"/>
          </w:tcPr>
          <w:p w:rsidRPr="009C48DA" w:rsidR="00CD3B44" w:rsidP="002B2C7F" w:rsidRDefault="00CD3B44" w14:paraId="4DAC2802" w14:textId="14E7FFA9">
            <w:pPr>
              <w:tabs>
                <w:tab w:val="right" w:leader="dot" w:pos="5035"/>
              </w:tabs>
              <w:ind w:left="144" w:hanging="144"/>
              <w:rPr>
                <w:b/>
                <w:sz w:val="20"/>
                <w:szCs w:val="20"/>
                <w:lang w:val="en-GB"/>
              </w:rPr>
            </w:pPr>
            <w:r w:rsidRPr="009C48DA">
              <w:rPr>
                <w:b/>
                <w:sz w:val="20"/>
                <w:szCs w:val="20"/>
                <w:lang w:val="en-GB"/>
              </w:rPr>
              <w:t>Total cash at the end of the period</w:t>
            </w:r>
            <w:r w:rsidRPr="009C48DA">
              <w:rPr>
                <w:b/>
                <w:sz w:val="20"/>
                <w:szCs w:val="20"/>
                <w:vertAlign w:val="superscript"/>
                <w:lang w:val="en-GB"/>
              </w:rPr>
              <w:t>(1)</w:t>
            </w:r>
            <w:r w:rsidRPr="009C48DA">
              <w:rPr>
                <w:rFonts w:cs="Times New Roman"/>
                <w:sz w:val="20"/>
                <w:szCs w:val="20"/>
                <w:lang w:val="en-GB"/>
              </w:rPr>
              <w:tab/>
            </w:r>
          </w:p>
        </w:tc>
        <w:tc>
          <w:tcPr>
            <w:tcW w:w="577" w:type="pct"/>
            <w:shd w:val="clear" w:color="auto" w:fill="auto"/>
            <w:vAlign w:val="bottom"/>
          </w:tcPr>
          <w:p w:rsidRPr="009C48DA" w:rsidR="00CD3B44" w:rsidP="00CD3B44" w:rsidRDefault="00CD3B44" w14:paraId="6087AE30" w14:textId="77777777">
            <w:pPr>
              <w:pBdr>
                <w:bottom w:val="double" w:color="auto" w:sz="4" w:space="1"/>
              </w:pBdr>
              <w:tabs>
                <w:tab w:val="decimal" w:pos="749"/>
              </w:tabs>
              <w:spacing w:after="20"/>
              <w:rPr>
                <w:b/>
                <w:sz w:val="20"/>
                <w:szCs w:val="20"/>
                <w:lang w:val="en-GB"/>
              </w:rPr>
            </w:pPr>
            <w:r w:rsidRPr="009C48DA">
              <w:rPr>
                <w:b/>
                <w:sz w:val="20"/>
                <w:szCs w:val="20"/>
                <w:lang w:val="en-GB"/>
              </w:rPr>
              <w:t>37.1</w:t>
            </w:r>
          </w:p>
        </w:tc>
        <w:tc>
          <w:tcPr>
            <w:tcW w:w="560" w:type="pct"/>
            <w:shd w:val="clear" w:color="auto" w:fill="auto"/>
            <w:vAlign w:val="bottom"/>
          </w:tcPr>
          <w:p w:rsidRPr="009C48DA" w:rsidR="00CD3B44" w:rsidP="00CD3B44" w:rsidRDefault="00CD3B44" w14:paraId="503262FE" w14:textId="77777777">
            <w:pPr>
              <w:pBdr>
                <w:bottom w:val="double" w:color="auto" w:sz="4" w:space="1"/>
              </w:pBdr>
              <w:tabs>
                <w:tab w:val="decimal" w:pos="749"/>
              </w:tabs>
              <w:spacing w:after="20"/>
              <w:rPr>
                <w:b/>
                <w:sz w:val="20"/>
                <w:szCs w:val="20"/>
                <w:lang w:val="en-GB"/>
              </w:rPr>
            </w:pPr>
            <w:r w:rsidRPr="009C48DA">
              <w:rPr>
                <w:b/>
                <w:sz w:val="20"/>
                <w:szCs w:val="20"/>
                <w:lang w:val="en-GB"/>
              </w:rPr>
              <w:t>12.1</w:t>
            </w:r>
          </w:p>
        </w:tc>
        <w:tc>
          <w:tcPr>
            <w:tcW w:w="562" w:type="pct"/>
            <w:shd w:val="clear" w:color="auto" w:fill="auto"/>
            <w:vAlign w:val="bottom"/>
          </w:tcPr>
          <w:p w:rsidRPr="009C48DA" w:rsidR="00CD3B44" w:rsidP="00CD3B44" w:rsidRDefault="00CD3B44" w14:paraId="380C9845" w14:textId="77777777">
            <w:pPr>
              <w:pBdr>
                <w:bottom w:val="double" w:color="auto" w:sz="4" w:space="1"/>
              </w:pBdr>
              <w:tabs>
                <w:tab w:val="decimal" w:pos="749"/>
              </w:tabs>
              <w:spacing w:after="20"/>
              <w:rPr>
                <w:b/>
                <w:sz w:val="20"/>
                <w:szCs w:val="20"/>
                <w:lang w:val="en-GB"/>
              </w:rPr>
            </w:pPr>
            <w:r w:rsidRPr="009C48DA">
              <w:rPr>
                <w:b/>
                <w:sz w:val="20"/>
                <w:szCs w:val="20"/>
                <w:lang w:val="en-GB"/>
              </w:rPr>
              <w:t>157.1</w:t>
            </w:r>
          </w:p>
        </w:tc>
        <w:tc>
          <w:tcPr>
            <w:tcW w:w="669" w:type="pct"/>
            <w:vAlign w:val="bottom"/>
          </w:tcPr>
          <w:p w:rsidRPr="009C48DA" w:rsidR="00CD3B44" w:rsidP="00CD3B44" w:rsidRDefault="00CD3B44" w14:paraId="563A5B6B" w14:textId="77777777">
            <w:pPr>
              <w:pBdr>
                <w:bottom w:val="double" w:color="auto" w:sz="4" w:space="1"/>
              </w:pBdr>
              <w:tabs>
                <w:tab w:val="decimal" w:pos="749"/>
              </w:tabs>
              <w:spacing w:after="20"/>
              <w:jc w:val="center"/>
              <w:rPr>
                <w:rFonts w:cs="Times New Roman"/>
                <w:b/>
                <w:sz w:val="20"/>
                <w:szCs w:val="20"/>
                <w:lang w:val="en-GB"/>
              </w:rPr>
            </w:pPr>
            <w:r w:rsidRPr="009C48DA">
              <w:rPr>
                <w:rFonts w:cs="Times New Roman"/>
                <w:b/>
                <w:sz w:val="20"/>
                <w:szCs w:val="20"/>
                <w:lang w:val="en-GB"/>
              </w:rPr>
              <w:t>39.8</w:t>
            </w:r>
          </w:p>
        </w:tc>
        <w:tc>
          <w:tcPr>
            <w:tcW w:w="528" w:type="pct"/>
            <w:vAlign w:val="bottom"/>
          </w:tcPr>
          <w:p w:rsidRPr="009C48DA" w:rsidR="00CD3B44" w:rsidP="00CD3B44" w:rsidRDefault="00CD3B44" w14:paraId="17D1F53C" w14:textId="338D4F87">
            <w:pPr>
              <w:pBdr>
                <w:bottom w:val="double" w:color="auto" w:sz="4" w:space="1"/>
              </w:pBdr>
              <w:tabs>
                <w:tab w:val="decimal" w:pos="749"/>
              </w:tabs>
              <w:spacing w:after="20"/>
              <w:jc w:val="center"/>
              <w:rPr>
                <w:rFonts w:cs="Times New Roman"/>
                <w:b/>
                <w:sz w:val="20"/>
                <w:szCs w:val="20"/>
                <w:lang w:val="en-GB"/>
              </w:rPr>
            </w:pPr>
            <w:r w:rsidRPr="009C48DA">
              <w:rPr>
                <w:rFonts w:cs="Times New Roman"/>
                <w:b/>
                <w:sz w:val="20"/>
                <w:szCs w:val="20"/>
                <w:lang w:val="en-GB"/>
              </w:rPr>
              <w:t>127.7</w:t>
            </w:r>
          </w:p>
        </w:tc>
      </w:tr>
    </w:tbl>
    <w:p w:rsidRPr="009C48DA" w:rsidR="002B6DD9" w:rsidP="002B6DD9" w:rsidRDefault="002B6DD9" w14:paraId="6627AA37" w14:textId="77777777">
      <w:pPr>
        <w:pBdr>
          <w:bottom w:val="single" w:color="auto" w:sz="4" w:space="1"/>
        </w:pBdr>
        <w:ind w:right="7200"/>
        <w:rPr>
          <w:lang w:val="en-GB"/>
        </w:rPr>
      </w:pPr>
    </w:p>
    <w:p w:rsidRPr="009C48DA" w:rsidR="002B6DD9" w:rsidP="002B6DD9" w:rsidRDefault="002B6DD9" w14:paraId="1AB9DC25" w14:textId="01E15F30">
      <w:pPr>
        <w:pStyle w:val="BodyText"/>
        <w:spacing w:line="240" w:lineRule="auto"/>
        <w:ind w:left="284" w:hanging="284"/>
        <w:jc w:val="both"/>
        <w:rPr>
          <w:color w:val="000000"/>
          <w:sz w:val="17"/>
          <w:szCs w:val="17"/>
          <w:lang w:val="en-GB"/>
        </w:rPr>
      </w:pPr>
      <w:r w:rsidRPr="009C48DA">
        <w:rPr>
          <w:color w:val="000000"/>
          <w:sz w:val="17"/>
          <w:szCs w:val="17"/>
          <w:lang w:val="en-GB"/>
        </w:rPr>
        <w:t>(1)</w:t>
      </w:r>
      <w:r w:rsidRPr="009C48DA">
        <w:rPr>
          <w:color w:val="000000"/>
          <w:sz w:val="17"/>
          <w:szCs w:val="17"/>
          <w:lang w:val="en-GB"/>
        </w:rPr>
        <w:tab/>
        <w:t xml:space="preserve">Total cash and cash equivalents as of 31 March 2021 and 31 December 2020 includes cash and cash equivalents belonging to the </w:t>
      </w:r>
      <w:r w:rsidRPr="009C48DA" w:rsidR="007F7AA9">
        <w:rPr>
          <w:color w:val="000000"/>
          <w:sz w:val="17"/>
          <w:szCs w:val="17"/>
          <w:lang w:val="en-GB"/>
        </w:rPr>
        <w:t xml:space="preserve">Bridgepoint </w:t>
      </w:r>
      <w:r w:rsidRPr="009C48DA">
        <w:rPr>
          <w:color w:val="000000"/>
          <w:sz w:val="17"/>
          <w:szCs w:val="17"/>
          <w:lang w:val="en-GB"/>
        </w:rPr>
        <w:t xml:space="preserve">CLO vehicles which are consolidated by the Group within the Historical Financial Information set out in </w:t>
      </w:r>
      <w:r w:rsidRPr="009C48DA">
        <w:rPr>
          <w:color w:val="000000"/>
          <w:sz w:val="17"/>
          <w:szCs w:val="17"/>
          <w:lang w:val="en-GB"/>
        </w:rPr>
        <w:fldChar w:fldCharType="begin"/>
      </w:r>
      <w:r w:rsidRPr="009C48DA">
        <w:rPr>
          <w:color w:val="000000"/>
          <w:sz w:val="17"/>
          <w:szCs w:val="17"/>
          <w:lang w:val="en-GB"/>
        </w:rPr>
        <w:instrText xml:space="preserve"> REF _Ref74473404 \n \h  \* MERGEFORMAT </w:instrText>
      </w:r>
      <w:r w:rsidRPr="009C48DA">
        <w:rPr>
          <w:color w:val="000000"/>
          <w:sz w:val="17"/>
          <w:szCs w:val="17"/>
          <w:lang w:val="en-GB"/>
        </w:rPr>
      </w:r>
      <w:r w:rsidRPr="009C48DA">
        <w:rPr>
          <w:color w:val="000000"/>
          <w:sz w:val="17"/>
          <w:szCs w:val="17"/>
          <w:lang w:val="en-GB"/>
        </w:rPr>
        <w:fldChar w:fldCharType="separate"/>
      </w:r>
      <w:r w:rsidR="007C3D19">
        <w:rPr>
          <w:color w:val="000000"/>
          <w:sz w:val="17"/>
          <w:szCs w:val="17"/>
          <w:lang w:val="en-GB"/>
        </w:rPr>
        <w:t>Part B</w:t>
      </w:r>
      <w:r w:rsidRPr="009C48DA">
        <w:rPr>
          <w:color w:val="000000"/>
          <w:sz w:val="17"/>
          <w:szCs w:val="17"/>
          <w:lang w:val="en-GB"/>
        </w:rPr>
        <w:fldChar w:fldCharType="end"/>
      </w:r>
      <w:r w:rsidRPr="009C48DA">
        <w:rPr>
          <w:color w:val="000000"/>
          <w:sz w:val="17"/>
          <w:szCs w:val="17"/>
          <w:lang w:val="en-GB"/>
        </w:rPr>
        <w:t xml:space="preserve"> of </w:t>
      </w:r>
      <w:r w:rsidRPr="009C48DA">
        <w:rPr>
          <w:color w:val="000000"/>
          <w:sz w:val="17"/>
          <w:szCs w:val="17"/>
          <w:lang w:val="en-GB"/>
        </w:rPr>
        <w:fldChar w:fldCharType="begin"/>
      </w:r>
      <w:r w:rsidRPr="009C48DA">
        <w:rPr>
          <w:color w:val="000000"/>
          <w:sz w:val="17"/>
          <w:szCs w:val="17"/>
          <w:lang w:val="en-GB"/>
        </w:rPr>
        <w:instrText xml:space="preserve"> REF _Ref74473398 \n \h  \* MERGEFORMAT </w:instrText>
      </w:r>
      <w:r w:rsidRPr="009C48DA">
        <w:rPr>
          <w:color w:val="000000"/>
          <w:sz w:val="17"/>
          <w:szCs w:val="17"/>
          <w:lang w:val="en-GB"/>
        </w:rPr>
      </w:r>
      <w:r w:rsidRPr="009C48DA">
        <w:rPr>
          <w:color w:val="000000"/>
          <w:sz w:val="17"/>
          <w:szCs w:val="17"/>
          <w:lang w:val="en-GB"/>
        </w:rPr>
        <w:fldChar w:fldCharType="separate"/>
      </w:r>
      <w:r w:rsidR="007C3D19">
        <w:rPr>
          <w:color w:val="000000"/>
          <w:sz w:val="17"/>
          <w:szCs w:val="17"/>
          <w:lang w:val="en-GB"/>
        </w:rPr>
        <w:t>Part X</w:t>
      </w:r>
      <w:r w:rsidRPr="009C48DA">
        <w:rPr>
          <w:color w:val="000000"/>
          <w:sz w:val="17"/>
          <w:szCs w:val="17"/>
          <w:lang w:val="en-GB"/>
        </w:rPr>
        <w:fldChar w:fldCharType="end"/>
      </w:r>
      <w:r w:rsidRPr="009C48DA">
        <w:rPr>
          <w:color w:val="000000"/>
          <w:sz w:val="17"/>
          <w:szCs w:val="17"/>
          <w:lang w:val="en-GB"/>
        </w:rPr>
        <w:t> (</w:t>
      </w:r>
      <w:r w:rsidRPr="009C48DA">
        <w:rPr>
          <w:i/>
          <w:color w:val="000000"/>
          <w:sz w:val="17"/>
          <w:szCs w:val="17"/>
          <w:lang w:val="en-GB"/>
        </w:rPr>
      </w:r>
      <w:r w:rsidRPr="007C3D19" w:rsidR="007C3D19">
        <w:rPr>
          <w:i/>
          <w:color w:val="000000"/>
          <w:sz w:val="17"/>
          <w:szCs w:val="17"/>
          <w:lang w:val="en-GB"/>
        </w:rPr>
        <w:t>Historical Financial Information</w:t>
      </w:r>
      <w:r w:rsidRPr="009C48DA">
        <w:rPr>
          <w:color w:val="000000"/>
          <w:sz w:val="17"/>
          <w:szCs w:val="17"/>
          <w:lang w:val="en-GB"/>
        </w:rPr>
        <w:t xml:space="preserve">). The cash and cash equivalents of the </w:t>
      </w:r>
      <w:r w:rsidRPr="009C48DA" w:rsidR="007F7AA9">
        <w:rPr>
          <w:color w:val="000000"/>
          <w:sz w:val="17"/>
          <w:szCs w:val="17"/>
          <w:lang w:val="en-GB"/>
        </w:rPr>
        <w:t xml:space="preserve">Bridgepoint </w:t>
      </w:r>
      <w:r w:rsidRPr="009C48DA">
        <w:rPr>
          <w:color w:val="000000"/>
          <w:sz w:val="17"/>
          <w:szCs w:val="17"/>
          <w:lang w:val="en-GB"/>
        </w:rPr>
        <w:t>CLO vehicles are legally ring-fenced and not available to the Group. Accordingly, cash and cash equivalents available for use by the Group was £37.1 million as of 31 December 2018, £12.1 million as of 31 December 2019, £42.4 million as of 31 December 2020, £39.8 million as of 31 March 2020 and £67.8 million as of 31 March 2021.</w:t>
      </w:r>
    </w:p>
    <w:p w:rsidRPr="009C48DA" w:rsidR="002B6DD9" w:rsidP="002B6DD9" w:rsidRDefault="002B6DD9" w14:paraId="673F3AF3" w14:textId="77777777">
      <w:pPr>
        <w:rPr>
          <w:rFonts w:eastAsia="Calibri" w:cs="Arial"/>
          <w:lang w:val="en-GB"/>
        </w:rPr>
      </w:pPr>
    </w:p>
    <w:p w:rsidRPr="009C48DA" w:rsidR="002B6DD9" w:rsidP="002B6DD9" w:rsidRDefault="002B6DD9" w14:paraId="7FC56F5D" w14:textId="77777777">
      <w:pPr>
        <w:pStyle w:val="TitleB"/>
        <w:rPr>
          <w:lang w:val="en-GB"/>
        </w:rPr>
      </w:pPr>
      <w:r w:rsidRPr="009C48DA">
        <w:rPr>
          <w:lang w:val="en-GB"/>
        </w:rPr>
        <w:t>Cash flows from operating activities</w:t>
      </w:r>
    </w:p>
    <w:p w:rsidRPr="009C48DA" w:rsidR="002B6DD9" w:rsidP="002B6DD9" w:rsidRDefault="002B6DD9" w14:paraId="544E42FD" w14:textId="77777777">
      <w:pPr>
        <w:pStyle w:val="BodyText2SglJ"/>
        <w:rPr>
          <w:lang w:val="en-GB"/>
        </w:rPr>
      </w:pPr>
      <w:r w:rsidRPr="009C48DA">
        <w:rPr>
          <w:lang w:val="en-GB"/>
        </w:rPr>
        <w:t>Cash flows from operating activities is driven by EBITDA but timing differences occur from year-to-year. In the long term, cash flows from operating activities is expected to be typically close to 100% of EBITDA, with anticipated annual fluctuations as the recognition of carried interest and investment income usually occurs before the Group receives the corresponding cash flow. Bonus payments to employees in March of each year typically result in some intra-year variability of cash flows from operating activities.</w:t>
      </w:r>
    </w:p>
    <w:p w:rsidRPr="009C48DA" w:rsidR="002B6DD9" w:rsidP="002B6DD9" w:rsidRDefault="002B6DD9" w14:paraId="596CB5A8" w14:textId="65DE61A9">
      <w:pPr>
        <w:pStyle w:val="BodyText2SglJ"/>
        <w:rPr>
          <w:lang w:val="en-GB"/>
        </w:rPr>
      </w:pPr>
      <w:r w:rsidRPr="009C48DA">
        <w:rPr>
          <w:lang w:val="en-GB"/>
        </w:rPr>
        <w:t>Cash flows from operating activities was £31.4 million for the three months ended 31 March 2021. The decrease of £</w:t>
      </w:r>
      <w:r w:rsidRPr="009C48DA" w:rsidR="00C02148">
        <w:rPr>
          <w:lang w:val="en-GB"/>
        </w:rPr>
        <w:t>4.3</w:t>
      </w:r>
      <w:r w:rsidRPr="009C48DA">
        <w:rPr>
          <w:lang w:val="en-GB"/>
        </w:rPr>
        <w:t xml:space="preserve"> million in the cash flows from operating activities compared to the three months ended 31 March 2020 was primarily due to working capital movements on balances with funds and fees earned from the acquired EQT Credit business being received in arrears.</w:t>
      </w:r>
    </w:p>
    <w:p w:rsidRPr="009C48DA" w:rsidR="002B6DD9" w:rsidP="002B6DD9" w:rsidRDefault="002B6DD9" w14:paraId="3A81CE64" w14:textId="1612DBF6">
      <w:pPr>
        <w:pStyle w:val="BodyText2SglJ"/>
        <w:rPr>
          <w:lang w:val="en-GB"/>
        </w:rPr>
      </w:pPr>
      <w:r w:rsidRPr="009C48DA">
        <w:rPr>
          <w:lang w:val="en-GB"/>
        </w:rPr>
        <w:t>Cash flows from / (used in) operating activities was £</w:t>
      </w:r>
      <w:r w:rsidRPr="009C48DA" w:rsidR="00C02148">
        <w:rPr>
          <w:lang w:val="en-GB"/>
        </w:rPr>
        <w:t>30.4</w:t>
      </w:r>
      <w:r w:rsidRPr="009C48DA">
        <w:rPr>
          <w:lang w:val="en-GB"/>
        </w:rPr>
        <w:t xml:space="preserve"> million, £</w:t>
      </w:r>
      <w:r w:rsidRPr="009C48DA" w:rsidR="00C02148">
        <w:rPr>
          <w:lang w:val="en-GB"/>
        </w:rPr>
        <w:t>(0.5)</w:t>
      </w:r>
      <w:r w:rsidRPr="009C48DA">
        <w:rPr>
          <w:lang w:val="en-GB"/>
        </w:rPr>
        <w:t xml:space="preserve"> million and £</w:t>
      </w:r>
      <w:r w:rsidRPr="009C48DA" w:rsidR="00C02148">
        <w:rPr>
          <w:lang w:val="en-GB"/>
        </w:rPr>
        <w:t>28.4</w:t>
      </w:r>
      <w:r w:rsidRPr="009C48DA">
        <w:rPr>
          <w:lang w:val="en-GB"/>
        </w:rPr>
        <w:t xml:space="preserve"> million for the year ended 31 December 2018, 2019, and 2020 respectively. The cash flows from operating activities in the year ended 31 December 2019 was driven by delayed transaction cash flows relating to the Dyal Investment. Movements in operating cash flow in the years ended 31 December 2018 and 31 December 2020 mainly related to the Group’s working capital.</w:t>
      </w:r>
    </w:p>
    <w:p w:rsidRPr="009C48DA" w:rsidR="002B6DD9" w:rsidP="002B6DD9" w:rsidRDefault="002B6DD9" w14:paraId="20D79C6F" w14:textId="77777777">
      <w:pPr>
        <w:pStyle w:val="TitleB"/>
        <w:rPr>
          <w:lang w:val="en-GB"/>
        </w:rPr>
      </w:pPr>
      <w:r w:rsidRPr="009C48DA">
        <w:rPr>
          <w:lang w:val="en-GB"/>
        </w:rPr>
        <w:lastRenderedPageBreak/>
        <w:t>Cash flows from investing activities</w:t>
      </w:r>
    </w:p>
    <w:p w:rsidRPr="009C48DA" w:rsidR="002B6DD9" w:rsidP="002B6DD9" w:rsidRDefault="002B6DD9" w14:paraId="0A991A74" w14:textId="5DC5C6E7">
      <w:pPr>
        <w:pStyle w:val="BodyText2SglJ"/>
        <w:rPr>
          <w:lang w:val="en-GB"/>
        </w:rPr>
      </w:pPr>
      <w:r w:rsidRPr="009C48DA">
        <w:rPr>
          <w:lang w:val="en-GB"/>
        </w:rPr>
        <w:t xml:space="preserve">Cash flows from investing activities primarily relates to investments in the </w:t>
      </w:r>
      <w:r w:rsidRPr="009C48DA" w:rsidR="007F7AA9">
        <w:rPr>
          <w:lang w:val="en-GB"/>
        </w:rPr>
        <w:t xml:space="preserve">Bridgepoint </w:t>
      </w:r>
      <w:r w:rsidRPr="009C48DA">
        <w:rPr>
          <w:lang w:val="en-GB"/>
        </w:rPr>
        <w:t xml:space="preserve">Funds. The timing of investments and divestments in </w:t>
      </w:r>
      <w:r w:rsidRPr="009C48DA" w:rsidR="007F7AA9">
        <w:rPr>
          <w:lang w:val="en-GB"/>
        </w:rPr>
        <w:t xml:space="preserve">Bridgepoint </w:t>
      </w:r>
      <w:r w:rsidRPr="009C48DA">
        <w:rPr>
          <w:lang w:val="en-GB"/>
        </w:rPr>
        <w:t xml:space="preserve">Funds, which impacts carried interest and investment income, depends on the investment activity of the </w:t>
      </w:r>
      <w:r w:rsidRPr="009C48DA" w:rsidR="007F7AA9">
        <w:rPr>
          <w:lang w:val="en-GB"/>
        </w:rPr>
        <w:t xml:space="preserve">Bridgepoint </w:t>
      </w:r>
      <w:r w:rsidRPr="009C48DA">
        <w:rPr>
          <w:lang w:val="en-GB"/>
        </w:rPr>
        <w:t>Funds.</w:t>
      </w:r>
    </w:p>
    <w:p w:rsidRPr="009C48DA" w:rsidR="002B6DD9" w:rsidP="002B6DD9" w:rsidRDefault="002B6DD9" w14:paraId="2E989C99" w14:textId="4092B1C2">
      <w:pPr>
        <w:pStyle w:val="BodyText2SglJ"/>
        <w:rPr>
          <w:lang w:val="en-GB"/>
        </w:rPr>
      </w:pPr>
      <w:r w:rsidRPr="009C48DA">
        <w:rPr>
          <w:lang w:val="en-GB"/>
        </w:rPr>
        <w:t>Cash flows from investing activities was £</w:t>
      </w:r>
      <w:r w:rsidRPr="009C48DA" w:rsidR="00C02148">
        <w:rPr>
          <w:lang w:val="en-GB"/>
        </w:rPr>
        <w:t>(72.1</w:t>
      </w:r>
      <w:r w:rsidRPr="009C48DA">
        <w:rPr>
          <w:lang w:val="en-GB"/>
        </w:rPr>
        <w:t xml:space="preserve">) million for the three months ended 31 March 2021, primarily as a result of investments by the consolidated </w:t>
      </w:r>
      <w:r w:rsidRPr="009C48DA" w:rsidR="007F7AA9">
        <w:rPr>
          <w:lang w:val="en-GB"/>
        </w:rPr>
        <w:t xml:space="preserve">Bridgepoint </w:t>
      </w:r>
      <w:r w:rsidRPr="009C48DA">
        <w:rPr>
          <w:lang w:val="en-GB"/>
        </w:rPr>
        <w:t>CLO vehicles with £</w:t>
      </w:r>
      <w:r w:rsidRPr="009C48DA" w:rsidR="00C02148">
        <w:rPr>
          <w:lang w:val="en-GB"/>
        </w:rPr>
        <w:t>82.7</w:t>
      </w:r>
      <w:r w:rsidRPr="009C48DA">
        <w:rPr>
          <w:lang w:val="en-GB"/>
        </w:rPr>
        <w:t xml:space="preserve"> million of cash outflows, partially offset by £10.6 million of cash inflows from the Group’s investments in the </w:t>
      </w:r>
      <w:r w:rsidRPr="009C48DA" w:rsidR="007F7AA9">
        <w:rPr>
          <w:lang w:val="en-GB"/>
        </w:rPr>
        <w:t xml:space="preserve">Bridgepoint </w:t>
      </w:r>
      <w:r w:rsidRPr="009C48DA">
        <w:rPr>
          <w:lang w:val="en-GB"/>
        </w:rPr>
        <w:t xml:space="preserve">Funds, which were in particular impacted by the receipt of proceeds from the disposal of Calypso Technology, Inc. by </w:t>
      </w:r>
      <w:r w:rsidRPr="009C48DA" w:rsidR="007F7AA9">
        <w:rPr>
          <w:lang w:val="en-GB"/>
        </w:rPr>
        <w:t xml:space="preserve">Bridgepoint </w:t>
      </w:r>
      <w:r w:rsidRPr="009C48DA">
        <w:rPr>
          <w:lang w:val="en-GB"/>
        </w:rPr>
        <w:t xml:space="preserve">Europe V. </w:t>
      </w:r>
    </w:p>
    <w:p w:rsidRPr="009C48DA" w:rsidR="002B6DD9" w:rsidP="002B6DD9" w:rsidRDefault="002B6DD9" w14:paraId="2FBC65DC" w14:textId="7F215B40">
      <w:pPr>
        <w:pStyle w:val="BodyText2SglJ"/>
        <w:rPr>
          <w:lang w:val="en-GB"/>
        </w:rPr>
      </w:pPr>
      <w:r w:rsidRPr="009C48DA">
        <w:rPr>
          <w:lang w:val="en-GB"/>
        </w:rPr>
        <w:t xml:space="preserve">Cash flows from / (used in) </w:t>
      </w:r>
      <w:r w:rsidRPr="009C48DA" w:rsidR="00872DBF">
        <w:rPr>
          <w:lang w:val="en-GB"/>
        </w:rPr>
        <w:t>investing activities was £(37.0</w:t>
      </w:r>
      <w:r w:rsidRPr="009C48DA">
        <w:rPr>
          <w:lang w:val="en-GB"/>
        </w:rPr>
        <w:t>) million, £</w:t>
      </w:r>
      <w:r w:rsidRPr="009C48DA" w:rsidR="002D7116">
        <w:rPr>
          <w:lang w:val="en-GB"/>
        </w:rPr>
        <w:t>30.5</w:t>
      </w:r>
      <w:r w:rsidRPr="009C48DA">
        <w:rPr>
          <w:lang w:val="en-GB"/>
        </w:rPr>
        <w:t xml:space="preserve"> million and £(1</w:t>
      </w:r>
      <w:r w:rsidRPr="009C48DA" w:rsidR="00C02148">
        <w:rPr>
          <w:lang w:val="en-GB"/>
        </w:rPr>
        <w:t>09.9</w:t>
      </w:r>
      <w:r w:rsidRPr="009C48DA">
        <w:rPr>
          <w:lang w:val="en-GB"/>
        </w:rPr>
        <w:t xml:space="preserve">) million for the years ended 31 December 2018, 2019 and 2020, respectively. The cash outflow in 2018 related primarily to an investment of the Group in </w:t>
      </w:r>
      <w:r w:rsidRPr="009C48DA" w:rsidR="007F7AA9">
        <w:rPr>
          <w:lang w:val="en-GB"/>
        </w:rPr>
        <w:t xml:space="preserve">Bridgepoint </w:t>
      </w:r>
      <w:r w:rsidRPr="009C48DA">
        <w:rPr>
          <w:lang w:val="en-GB"/>
        </w:rPr>
        <w:t xml:space="preserve">Europe V. The cash flows from investing activities in 2019 included carried interest from </w:t>
      </w:r>
      <w:r w:rsidRPr="009C48DA" w:rsidR="007F7AA9">
        <w:rPr>
          <w:lang w:val="en-GB"/>
        </w:rPr>
        <w:t xml:space="preserve">Bridgepoint </w:t>
      </w:r>
      <w:r w:rsidRPr="009C48DA">
        <w:rPr>
          <w:lang w:val="en-GB"/>
        </w:rPr>
        <w:t>Europe IV and in 2020 payments for the acquisition of EQT Credit, net of cash acquired.</w:t>
      </w:r>
    </w:p>
    <w:p w:rsidRPr="009C48DA" w:rsidR="002B6DD9" w:rsidP="002B6DD9" w:rsidRDefault="002B6DD9" w14:paraId="699C7F50" w14:textId="77777777">
      <w:pPr>
        <w:pStyle w:val="TitleB"/>
        <w:rPr>
          <w:lang w:val="en-GB"/>
        </w:rPr>
      </w:pPr>
      <w:r w:rsidRPr="009C48DA">
        <w:rPr>
          <w:lang w:val="en-GB"/>
        </w:rPr>
        <w:t>Cash flows from financing activities</w:t>
      </w:r>
    </w:p>
    <w:p w:rsidRPr="009C48DA" w:rsidR="00B51E80" w:rsidP="002B6DD9" w:rsidRDefault="002B6DD9" w14:paraId="231AB48A" w14:textId="0935DE27">
      <w:pPr>
        <w:pStyle w:val="BodyText2SglJ"/>
        <w:rPr>
          <w:szCs w:val="20"/>
          <w:lang w:val="en-GB"/>
        </w:rPr>
      </w:pPr>
      <w:r w:rsidRPr="009C48DA">
        <w:rPr>
          <w:szCs w:val="20"/>
          <w:lang w:val="en-GB"/>
        </w:rPr>
        <w:t xml:space="preserve">Financing activities through the three-year period and three-month periods represent amounts drawn on the BAH Revolving Credit Facility for working capital purposes and were used partially to finance the acquisition of EQT Credit in October 2020. They also include drawings and repayments on the revolving credit facility granted to Opal Investments LP, which was used to support the Group’s €95 million investment into </w:t>
      </w:r>
      <w:r w:rsidRPr="009C48DA" w:rsidR="007F7AA9">
        <w:rPr>
          <w:lang w:val="en-GB"/>
        </w:rPr>
        <w:t xml:space="preserve">Bridgepoint </w:t>
      </w:r>
      <w:r w:rsidRPr="009C48DA">
        <w:rPr>
          <w:szCs w:val="20"/>
          <w:lang w:val="en-GB"/>
        </w:rPr>
        <w:t xml:space="preserve">Europe V in 2018. By the end of the financial year ended 31 December 2020, the majority of the Opal Investments LP bank facility had been repaid from returns received from </w:t>
      </w:r>
      <w:r w:rsidRPr="009C48DA" w:rsidR="007F7AA9">
        <w:rPr>
          <w:lang w:val="en-GB"/>
        </w:rPr>
        <w:t xml:space="preserve">Bridgepoint </w:t>
      </w:r>
      <w:r w:rsidRPr="009C48DA">
        <w:rPr>
          <w:szCs w:val="20"/>
          <w:lang w:val="en-GB"/>
        </w:rPr>
        <w:t>Europe V. The facilit</w:t>
      </w:r>
      <w:r w:rsidRPr="009C48DA" w:rsidR="00B83C37">
        <w:rPr>
          <w:szCs w:val="20"/>
          <w:lang w:val="en-GB"/>
        </w:rPr>
        <w:t>y had a remaining balance of £</w:t>
      </w:r>
      <w:r w:rsidRPr="009C48DA" w:rsidR="008E796E">
        <w:rPr>
          <w:szCs w:val="20"/>
          <w:lang w:val="en-GB"/>
        </w:rPr>
        <w:t>9.7</w:t>
      </w:r>
      <w:r w:rsidRPr="009C48DA">
        <w:rPr>
          <w:szCs w:val="20"/>
          <w:lang w:val="en-GB"/>
        </w:rPr>
        <w:t xml:space="preserve"> million as of 31 March 2021 and was repaid prior to the date of this Registration Document. </w:t>
      </w:r>
      <w:r w:rsidRPr="009C48DA" w:rsidR="008E796E">
        <w:rPr>
          <w:szCs w:val="20"/>
          <w:lang w:val="en-GB"/>
        </w:rPr>
        <w:t>Any</w:t>
      </w:r>
      <w:r w:rsidRPr="009C48DA">
        <w:rPr>
          <w:szCs w:val="20"/>
          <w:lang w:val="en-GB"/>
        </w:rPr>
        <w:t xml:space="preserve"> outstanding amounts under the BAH Revolving Credit Facility </w:t>
      </w:r>
      <w:r w:rsidRPr="009C48DA" w:rsidR="008E796E">
        <w:rPr>
          <w:szCs w:val="20"/>
          <w:lang w:val="en-GB"/>
        </w:rPr>
        <w:t xml:space="preserve">at the time of the potential initial public offering </w:t>
      </w:r>
      <w:r w:rsidRPr="009C48DA">
        <w:rPr>
          <w:szCs w:val="20"/>
          <w:lang w:val="en-GB"/>
        </w:rPr>
        <w:t>are expected to be repaid with the proceeds from the potential initial public offering.</w:t>
      </w:r>
    </w:p>
    <w:p w:rsidRPr="009C48DA" w:rsidR="00797AFA" w:rsidP="000C376E" w:rsidRDefault="00797AFA" w14:paraId="50D7EC9F" w14:textId="77777777">
      <w:pPr>
        <w:pStyle w:val="TitleBAllCaps"/>
      </w:pPr>
      <w:r w:rsidRPr="009C48DA">
        <w:t>OFF-BALANCE SHEET ARRANGEMENTS</w:t>
      </w:r>
    </w:p>
    <w:p w:rsidRPr="009C48DA" w:rsidR="00797AFA" w:rsidP="00797AFA" w:rsidRDefault="00797AFA" w14:paraId="069D7225" w14:textId="330B8966">
      <w:pPr>
        <w:pStyle w:val="BodyText2SglJ"/>
        <w:rPr>
          <w:szCs w:val="20"/>
          <w:lang w:val="en-GB"/>
        </w:rPr>
      </w:pPr>
      <w:r w:rsidRPr="009C48DA">
        <w:rPr>
          <w:szCs w:val="20"/>
          <w:lang w:val="en-GB"/>
        </w:rPr>
        <w:t xml:space="preserve">As of 31 December 2020 and 31 March 2021, the Group did not have any off-balance sheet arrangements in </w:t>
      </w:r>
      <w:r w:rsidRPr="009C48DA" w:rsidR="009C4F8B">
        <w:rPr>
          <w:szCs w:val="20"/>
          <w:lang w:val="en-GB"/>
        </w:rPr>
        <w:t xml:space="preserve">accordance with IFRS in </w:t>
      </w:r>
      <w:r w:rsidRPr="009C48DA">
        <w:rPr>
          <w:szCs w:val="20"/>
          <w:lang w:val="en-GB"/>
        </w:rPr>
        <w:t>place.</w:t>
      </w:r>
    </w:p>
    <w:p w:rsidRPr="009C48DA" w:rsidR="00797AFA" w:rsidP="000C376E" w:rsidRDefault="00797AFA" w14:paraId="6130BBDF" w14:textId="791F38DC">
      <w:pPr>
        <w:pStyle w:val="TitleBAllCaps"/>
      </w:pPr>
      <w:r w:rsidRPr="009C48DA">
        <w:t>QUALITATIVE AND QUANTITATIVE DISCLOSURES ABOUT MARKET RISK, CREDIT RISK</w:t>
      </w:r>
      <w:r w:rsidRPr="009C48DA" w:rsidR="009C4F8B">
        <w:t>, PRICE/VALUATION RISK</w:t>
      </w:r>
      <w:r w:rsidRPr="009C48DA">
        <w:t xml:space="preserve"> AND LIQUIDITY RISK</w:t>
      </w:r>
    </w:p>
    <w:p w:rsidRPr="009C48DA" w:rsidR="00797AFA" w:rsidP="00797AFA" w:rsidRDefault="00797AFA" w14:paraId="25A45053" w14:textId="21014AF4">
      <w:pPr>
        <w:pStyle w:val="BodyText2SglJ"/>
        <w:rPr>
          <w:szCs w:val="20"/>
          <w:lang w:val="en-GB"/>
        </w:rPr>
      </w:pPr>
      <w:r w:rsidRPr="009C48DA">
        <w:rPr>
          <w:szCs w:val="20"/>
          <w:lang w:val="en-GB"/>
        </w:rPr>
        <w:t xml:space="preserve">In its activities, the Group is exposed to various financial risks: </w:t>
      </w:r>
      <w:r w:rsidRPr="009C48DA" w:rsidR="00F55DF1">
        <w:rPr>
          <w:szCs w:val="20"/>
          <w:lang w:val="en-GB"/>
        </w:rPr>
        <w:t xml:space="preserve">price/valuation risk, </w:t>
      </w:r>
      <w:r w:rsidRPr="009C48DA">
        <w:rPr>
          <w:szCs w:val="20"/>
          <w:lang w:val="en-GB"/>
        </w:rPr>
        <w:t xml:space="preserve">market risk (including </w:t>
      </w:r>
      <w:r w:rsidRPr="009C48DA" w:rsidR="00F55DF1">
        <w:rPr>
          <w:szCs w:val="20"/>
          <w:lang w:val="en-GB"/>
        </w:rPr>
        <w:t xml:space="preserve">exposure to </w:t>
      </w:r>
      <w:r w:rsidRPr="009C48DA">
        <w:rPr>
          <w:szCs w:val="20"/>
          <w:lang w:val="en-GB"/>
        </w:rPr>
        <w:t>interest rate</w:t>
      </w:r>
      <w:r w:rsidRPr="009C48DA" w:rsidR="00F55DF1">
        <w:rPr>
          <w:szCs w:val="20"/>
          <w:lang w:val="en-GB"/>
        </w:rPr>
        <w:t>s</w:t>
      </w:r>
      <w:r w:rsidRPr="009C48DA">
        <w:rPr>
          <w:szCs w:val="20"/>
          <w:lang w:val="en-GB"/>
        </w:rPr>
        <w:t xml:space="preserve"> </w:t>
      </w:r>
      <w:r w:rsidRPr="009C48DA" w:rsidR="00F55DF1">
        <w:rPr>
          <w:szCs w:val="20"/>
          <w:lang w:val="en-GB"/>
        </w:rPr>
        <w:t>and foreign currencies</w:t>
      </w:r>
      <w:r w:rsidRPr="009C48DA">
        <w:rPr>
          <w:szCs w:val="20"/>
          <w:lang w:val="en-GB"/>
        </w:rPr>
        <w:t>), liquidity risk</w:t>
      </w:r>
      <w:r w:rsidRPr="009C48DA" w:rsidR="00F55DF1">
        <w:rPr>
          <w:szCs w:val="20"/>
          <w:lang w:val="en-GB"/>
        </w:rPr>
        <w:t xml:space="preserve"> and credit risk</w:t>
      </w:r>
      <w:r w:rsidRPr="009C48DA">
        <w:rPr>
          <w:szCs w:val="20"/>
          <w:lang w:val="en-GB"/>
        </w:rPr>
        <w:t xml:space="preserve">. The Group’s senior management is responsible for the creation and control of an overall risk </w:t>
      </w:r>
      <w:r w:rsidRPr="009C48DA" w:rsidR="00F55DF1">
        <w:rPr>
          <w:szCs w:val="20"/>
          <w:lang w:val="en-GB"/>
        </w:rPr>
        <w:t>management policy in the Group.</w:t>
      </w:r>
    </w:p>
    <w:p w:rsidRPr="009C48DA" w:rsidR="00797AFA" w:rsidP="00797AFA" w:rsidRDefault="00797AFA" w14:paraId="2BAA52BA" w14:textId="77777777">
      <w:pPr>
        <w:pStyle w:val="BodyText2SglJ"/>
        <w:rPr>
          <w:rFonts w:eastAsia="Calibri" w:cs="Arial"/>
          <w:szCs w:val="20"/>
          <w:lang w:val="en-GB"/>
        </w:rPr>
      </w:pPr>
      <w:r w:rsidRPr="009C48DA">
        <w:rPr>
          <w:rFonts w:eastAsia="Calibri" w:cs="Arial"/>
          <w:szCs w:val="20"/>
          <w:lang w:val="en-GB"/>
        </w:rPr>
        <w:t xml:space="preserve">Risk management policies are established to identify and analyse the risks faced by the </w:t>
      </w:r>
      <w:r w:rsidRPr="009C48DA">
        <w:rPr>
          <w:szCs w:val="20"/>
          <w:lang w:val="en-GB"/>
        </w:rPr>
        <w:t>Group</w:t>
      </w:r>
      <w:r w:rsidRPr="009C48DA">
        <w:rPr>
          <w:rFonts w:eastAsia="Calibri" w:cs="Arial"/>
          <w:szCs w:val="20"/>
          <w:lang w:val="en-GB"/>
        </w:rPr>
        <w:t xml:space="preserve"> and to set appropriate risk limits and controls. Risk management policies and systems are reviewed on a regular basis to reflect changes in the market conditions and the Group’s activities. The Group, through its training and management standards and procedures, aims to develop a disciplined and constructive control environment in which all employees understand their roles and obligations. From time to time, the Group may use derivative financial instruments in order to hedge against certain risks.</w:t>
      </w:r>
    </w:p>
    <w:p w:rsidRPr="009C48DA" w:rsidR="00F55DF1" w:rsidP="00F55DF1" w:rsidRDefault="00F55DF1" w14:paraId="3CD3F56C" w14:textId="77777777">
      <w:pPr>
        <w:pStyle w:val="TitleB"/>
        <w:rPr>
          <w:szCs w:val="20"/>
          <w:lang w:val="en-GB"/>
        </w:rPr>
      </w:pPr>
      <w:r w:rsidRPr="009C48DA">
        <w:rPr>
          <w:szCs w:val="20"/>
          <w:lang w:val="en-GB"/>
        </w:rPr>
        <w:t>Price/valuation risk</w:t>
      </w:r>
    </w:p>
    <w:p w:rsidRPr="009C48DA" w:rsidR="00F55DF1" w:rsidP="00F55DF1" w:rsidRDefault="00F55DF1" w14:paraId="2A7AF851" w14:textId="77777777">
      <w:pPr>
        <w:pStyle w:val="BodyText2SglJ"/>
        <w:rPr>
          <w:lang w:val="en-GB"/>
        </w:rPr>
      </w:pPr>
      <w:r w:rsidRPr="009C48DA">
        <w:rPr>
          <w:lang w:val="en-GB"/>
        </w:rPr>
        <w:t>Price/valuation risk is the uncertainty about the difference between the reported value and the price that could be obtained on exit. This relates to investments in funds, which hold portfolios of private equity and debt investments, and the investments held by consolidated CLOs.</w:t>
      </w:r>
    </w:p>
    <w:p w:rsidRPr="009C48DA" w:rsidR="00F55DF1" w:rsidP="00F55DF1" w:rsidRDefault="00F55DF1" w14:paraId="4A950B39" w14:textId="77777777">
      <w:pPr>
        <w:pStyle w:val="BodyText2SglJ"/>
        <w:rPr>
          <w:lang w:val="en-GB"/>
        </w:rPr>
      </w:pPr>
      <w:r w:rsidRPr="009C48DA">
        <w:rPr>
          <w:lang w:val="en-GB"/>
        </w:rPr>
        <w:t xml:space="preserve">This uncertainty arises due to the use of unobservable inputs, such as EBITDA, in the calculation of fair value, the performance and financial health of portfolio companies, and ultimately – as it relates to investments in private equity – what a third party may be willing to pay for the business. There is less </w:t>
      </w:r>
      <w:r w:rsidRPr="009C48DA">
        <w:rPr>
          <w:lang w:val="en-GB"/>
        </w:rPr>
        <w:lastRenderedPageBreak/>
        <w:t>uncertainty for investments in debt as the upside is capped to the maximum of the principal and interest receipts, whereas private equity investments have greater potential for larger changes in their valuation as the upside is not capped.</w:t>
      </w:r>
    </w:p>
    <w:p w:rsidRPr="009C48DA" w:rsidR="00F55DF1" w:rsidP="00F55DF1" w:rsidRDefault="00F55DF1" w14:paraId="52DC74B4" w14:textId="77777777">
      <w:pPr>
        <w:pStyle w:val="BodyText2SglJ"/>
        <w:rPr>
          <w:lang w:val="en-GB"/>
        </w:rPr>
      </w:pPr>
      <w:r w:rsidRPr="009C48DA">
        <w:rPr>
          <w:lang w:val="en-GB"/>
        </w:rPr>
        <w:t>The Group monitors the performance of each investment closely. Portfolio monitoring is embedded and maintains focus throughout the investment life of each company. All investments are formally reviewed through dedicated portfolio monitoring committees. The review process involves a rigorous assessment of the company financial performance, financial health – including covenant coverage – and exit prospects.</w:t>
      </w:r>
    </w:p>
    <w:p w:rsidRPr="009C48DA" w:rsidR="00F55DF1" w:rsidP="00F55DF1" w:rsidRDefault="00F55DF1" w14:paraId="6E7605EA" w14:textId="77777777">
      <w:pPr>
        <w:pStyle w:val="BodyText2SglJ"/>
        <w:rPr>
          <w:lang w:val="en-GB"/>
        </w:rPr>
      </w:pPr>
      <w:r w:rsidRPr="009C48DA">
        <w:rPr>
          <w:lang w:val="en-GB"/>
        </w:rPr>
        <w:t xml:space="preserve">The Group values all investments of the Bridgepoint Funds in line with the International Private Equity and Venture Capital Valuation Guidelines at least twice a year, and in most cases quarterly. Each investment undergoes the same detailed valuation process, in accordance with the Group’s valuation policies. Completed valuations are presented and discussed at the relevant Bridgepoint valuation committee for approval. </w:t>
      </w:r>
    </w:p>
    <w:p w:rsidRPr="009C48DA" w:rsidR="00F55DF1" w:rsidP="00F55DF1" w:rsidRDefault="00F55DF1" w14:paraId="40CDCAC2" w14:textId="7588F2E6">
      <w:pPr>
        <w:pStyle w:val="BodyText2SglJ"/>
        <w:rPr>
          <w:rFonts w:eastAsia="Calibri" w:cs="Arial"/>
          <w:szCs w:val="20"/>
          <w:lang w:val="en-GB"/>
        </w:rPr>
      </w:pPr>
      <w:r w:rsidRPr="009C48DA">
        <w:rPr>
          <w:rFonts w:eastAsia="Calibri" w:cs="Arial"/>
          <w:szCs w:val="20"/>
          <w:lang w:val="en-GB"/>
        </w:rPr>
        <w:t xml:space="preserve">For </w:t>
      </w:r>
      <w:r w:rsidRPr="009C48DA">
        <w:rPr>
          <w:szCs w:val="20"/>
          <w:lang w:val="en-GB"/>
        </w:rPr>
        <w:t>information</w:t>
      </w:r>
      <w:r w:rsidRPr="009C48DA">
        <w:rPr>
          <w:rFonts w:eastAsia="Calibri" w:cs="Arial"/>
          <w:szCs w:val="20"/>
          <w:lang w:val="en-GB"/>
        </w:rPr>
        <w:t xml:space="preserve"> on qualitative and quantitative disclosures about revaluation risk, refer to Note 20 in </w:t>
      </w:r>
      <w:r w:rsidRPr="009C48DA">
        <w:rPr>
          <w:rFonts w:eastAsia="Calibri" w:cs="Arial"/>
          <w:lang w:val="en-GB"/>
        </w:rPr>
        <w:fldChar w:fldCharType="begin"/>
      </w:r>
      <w:r w:rsidRPr="009C48DA">
        <w:rPr>
          <w:rFonts w:eastAsia="Calibri" w:cs="Arial"/>
          <w:lang w:val="en-GB"/>
        </w:rPr>
        <w:instrText xml:space="preserve"> REF _Ref72800070 \n \h  \* MERGEFORMAT </w:instrText>
      </w:r>
      <w:r w:rsidRPr="009C48DA">
        <w:rPr>
          <w:rFonts w:eastAsia="Calibri" w:cs="Arial"/>
          <w:lang w:val="en-GB"/>
        </w:rPr>
      </w:r>
      <w:r w:rsidRPr="009C48DA">
        <w:rPr>
          <w:rFonts w:eastAsia="Calibri" w:cs="Arial"/>
          <w:lang w:val="en-GB"/>
        </w:rPr>
        <w:fldChar w:fldCharType="separate"/>
      </w:r>
      <w:r w:rsidR="007C3D19">
        <w:rPr>
          <w:rFonts w:eastAsia="Calibri" w:cs="Arial"/>
          <w:lang w:val="en-GB"/>
        </w:rPr>
        <w:t>Part B</w:t>
      </w:r>
      <w:r w:rsidRPr="009C48DA">
        <w:rPr>
          <w:rFonts w:eastAsia="Calibri" w:cs="Arial"/>
          <w:lang w:val="en-GB"/>
        </w:rPr>
        <w:fldChar w:fldCharType="end"/>
      </w:r>
      <w:r w:rsidRPr="009C48DA">
        <w:rPr>
          <w:rFonts w:eastAsia="Calibri" w:cs="Arial"/>
          <w:lang w:val="en-GB"/>
        </w:rPr>
        <w:t xml:space="preserve"> of </w:t>
      </w:r>
      <w:r w:rsidRPr="009C48DA">
        <w:rPr>
          <w:rFonts w:eastAsia="Calibri" w:cs="Arial"/>
          <w:lang w:val="en-GB"/>
        </w:rPr>
        <w:fldChar w:fldCharType="begin"/>
      </w:r>
      <w:r w:rsidRPr="009C48DA">
        <w:rPr>
          <w:rFonts w:eastAsia="Calibri" w:cs="Arial"/>
          <w:lang w:val="en-GB"/>
        </w:rPr>
        <w:instrText xml:space="preserve"> REF _Ref72800077 \n \h  \* MERGEFORMAT </w:instrText>
      </w:r>
      <w:r w:rsidRPr="009C48DA">
        <w:rPr>
          <w:rFonts w:eastAsia="Calibri" w:cs="Arial"/>
          <w:lang w:val="en-GB"/>
        </w:rPr>
      </w:r>
      <w:r w:rsidRPr="009C48DA">
        <w:rPr>
          <w:rFonts w:eastAsia="Calibri" w:cs="Arial"/>
          <w:lang w:val="en-GB"/>
        </w:rPr>
        <w:fldChar w:fldCharType="separate"/>
      </w:r>
      <w:r w:rsidR="007C3D19">
        <w:rPr>
          <w:rFonts w:eastAsia="Calibri" w:cs="Arial"/>
          <w:lang w:val="en-GB"/>
        </w:rPr>
        <w:t>Part X</w:t>
      </w:r>
      <w:r w:rsidRPr="009C48DA">
        <w:rPr>
          <w:rFonts w:eastAsia="Calibri" w:cs="Arial"/>
          <w:lang w:val="en-GB"/>
        </w:rPr>
        <w:fldChar w:fldCharType="end"/>
      </w:r>
      <w:r w:rsidRPr="009C48DA">
        <w:rPr>
          <w:rFonts w:eastAsia="Calibri" w:cs="Arial"/>
          <w:lang w:val="en-GB"/>
        </w:rPr>
        <w:t> </w:t>
      </w:r>
      <w:r w:rsidRPr="009C48DA">
        <w:rPr>
          <w:szCs w:val="20"/>
          <w:lang w:val="en-GB"/>
        </w:rPr>
        <w:t>(</w:t>
      </w:r>
      <w:r w:rsidRPr="009C48DA">
        <w:rPr>
          <w:i/>
          <w:szCs w:val="20"/>
          <w:lang w:val="en-GB"/>
        </w:rPr>
      </w:r>
      <w:r w:rsidRPr="007C3D19" w:rsidR="007C3D19">
        <w:rPr>
          <w:i/>
          <w:lang w:val="en-GB"/>
        </w:rPr>
        <w:t>Historical Financial Information</w:t>
      </w:r>
      <w:r w:rsidRPr="009C48DA">
        <w:rPr>
          <w:szCs w:val="20"/>
          <w:lang w:val="en-GB"/>
        </w:rPr>
        <w:t>)</w:t>
      </w:r>
      <w:r w:rsidRPr="009C48DA">
        <w:rPr>
          <w:rFonts w:eastAsia="Calibri" w:cs="Arial"/>
          <w:szCs w:val="20"/>
          <w:lang w:val="en-GB"/>
        </w:rPr>
        <w:t>.</w:t>
      </w:r>
    </w:p>
    <w:p w:rsidRPr="009C48DA" w:rsidR="00797AFA" w:rsidP="00797AFA" w:rsidRDefault="00797AFA" w14:paraId="4034637D" w14:textId="21297041">
      <w:pPr>
        <w:pStyle w:val="TitleB"/>
        <w:rPr>
          <w:szCs w:val="20"/>
          <w:lang w:val="en-GB"/>
        </w:rPr>
      </w:pPr>
      <w:r w:rsidRPr="009C48DA">
        <w:rPr>
          <w:szCs w:val="20"/>
          <w:lang w:val="en-GB"/>
        </w:rPr>
        <w:t>Market risk</w:t>
      </w:r>
    </w:p>
    <w:p w:rsidRPr="009C48DA" w:rsidR="00797AFA" w:rsidP="00797AFA" w:rsidRDefault="00797AFA" w14:paraId="34D99BE9" w14:textId="6D3E5B38">
      <w:pPr>
        <w:pStyle w:val="BodyText2SglJ"/>
        <w:rPr>
          <w:rFonts w:eastAsia="Calibri" w:cs="Arial"/>
          <w:szCs w:val="20"/>
          <w:lang w:val="en-GB"/>
        </w:rPr>
      </w:pPr>
      <w:r w:rsidRPr="009C48DA">
        <w:rPr>
          <w:rFonts w:eastAsia="Calibri" w:cs="Arial"/>
          <w:szCs w:val="20"/>
          <w:lang w:val="en-GB"/>
        </w:rPr>
        <w:t xml:space="preserve">Market risk is the risk that changes in market prices such as foreign exchange rates and interest rates will affect the Group’s income or the value of its holdings of financial </w:t>
      </w:r>
      <w:r w:rsidRPr="009C48DA">
        <w:rPr>
          <w:szCs w:val="20"/>
          <w:lang w:val="en-GB"/>
        </w:rPr>
        <w:t>instruments</w:t>
      </w:r>
      <w:r w:rsidRPr="009C48DA">
        <w:rPr>
          <w:rFonts w:eastAsia="Calibri" w:cs="Arial"/>
          <w:szCs w:val="20"/>
          <w:lang w:val="en-GB"/>
        </w:rPr>
        <w:t>. The objective of market risk management is to manage and control market risk exposure within acceptable paramet</w:t>
      </w:r>
      <w:r w:rsidRPr="009C48DA" w:rsidR="00796EAD">
        <w:rPr>
          <w:rFonts w:eastAsia="Calibri" w:cs="Arial"/>
          <w:szCs w:val="20"/>
          <w:lang w:val="en-GB"/>
        </w:rPr>
        <w:t>ers, while optimising returns.</w:t>
      </w:r>
      <w:r w:rsidRPr="009C48DA" w:rsidR="00326108">
        <w:rPr>
          <w:rFonts w:eastAsia="Calibri" w:cs="Arial"/>
          <w:szCs w:val="20"/>
          <w:lang w:val="en-GB"/>
        </w:rPr>
        <w:t xml:space="preserve"> </w:t>
      </w:r>
      <w:r w:rsidRPr="009C48DA">
        <w:rPr>
          <w:rFonts w:eastAsia="Calibri" w:cs="Arial"/>
          <w:szCs w:val="20"/>
          <w:lang w:val="en-GB"/>
        </w:rPr>
        <w:t>For information on qualitative and quantitative disclosures ab</w:t>
      </w:r>
      <w:r w:rsidRPr="009C48DA" w:rsidR="00796EAD">
        <w:rPr>
          <w:rFonts w:eastAsia="Calibri" w:cs="Arial"/>
          <w:szCs w:val="20"/>
          <w:lang w:val="en-GB"/>
        </w:rPr>
        <w:t>o</w:t>
      </w:r>
      <w:r w:rsidRPr="009C48DA" w:rsidR="00CD3B44">
        <w:rPr>
          <w:rFonts w:eastAsia="Calibri" w:cs="Arial"/>
          <w:szCs w:val="20"/>
          <w:lang w:val="en-GB"/>
        </w:rPr>
        <w:t>ut market risk, refer to Note 20</w:t>
      </w:r>
      <w:r w:rsidRPr="009C48DA" w:rsidR="00822468">
        <w:rPr>
          <w:rFonts w:eastAsia="Calibri" w:cs="Arial"/>
          <w:szCs w:val="20"/>
          <w:lang w:val="en-GB"/>
        </w:rPr>
        <w:t xml:space="preserve"> in </w:t>
      </w:r>
      <w:r w:rsidRPr="009C48DA" w:rsidR="00822468">
        <w:rPr>
          <w:rFonts w:eastAsia="Calibri" w:cs="Arial"/>
          <w:lang w:val="en-GB"/>
        </w:rPr>
        <w:fldChar w:fldCharType="begin"/>
      </w:r>
      <w:r w:rsidRPr="009C48DA" w:rsidR="00822468">
        <w:rPr>
          <w:rFonts w:eastAsia="Calibri" w:cs="Arial"/>
          <w:lang w:val="en-GB"/>
        </w:rPr>
        <w:instrText xml:space="preserve"> REF _Ref72800070 \n \h  \* MERGEFORMAT </w:instrText>
      </w:r>
      <w:r w:rsidRPr="009C48DA" w:rsidR="00822468">
        <w:rPr>
          <w:rFonts w:eastAsia="Calibri" w:cs="Arial"/>
          <w:lang w:val="en-GB"/>
        </w:rPr>
      </w:r>
      <w:r w:rsidRPr="009C48DA" w:rsidR="00822468">
        <w:rPr>
          <w:rFonts w:eastAsia="Calibri" w:cs="Arial"/>
          <w:lang w:val="en-GB"/>
        </w:rPr>
        <w:fldChar w:fldCharType="separate"/>
      </w:r>
      <w:r w:rsidR="007C3D19">
        <w:rPr>
          <w:rFonts w:eastAsia="Calibri" w:cs="Arial"/>
          <w:lang w:val="en-GB"/>
        </w:rPr>
        <w:t>Part B</w:t>
      </w:r>
      <w:r w:rsidRPr="009C48DA" w:rsidR="00822468">
        <w:rPr>
          <w:rFonts w:eastAsia="Calibri" w:cs="Arial"/>
          <w:lang w:val="en-GB"/>
        </w:rPr>
        <w:fldChar w:fldCharType="end"/>
      </w:r>
      <w:r w:rsidRPr="009C48DA" w:rsidR="00822468">
        <w:rPr>
          <w:rFonts w:eastAsia="Calibri" w:cs="Arial"/>
          <w:lang w:val="en-GB"/>
        </w:rPr>
        <w:t xml:space="preserve"> of </w:t>
      </w:r>
      <w:r w:rsidRPr="009C48DA" w:rsidR="00822468">
        <w:rPr>
          <w:rFonts w:eastAsia="Calibri" w:cs="Arial"/>
          <w:lang w:val="en-GB"/>
        </w:rPr>
        <w:fldChar w:fldCharType="begin"/>
      </w:r>
      <w:r w:rsidRPr="009C48DA" w:rsidR="00822468">
        <w:rPr>
          <w:rFonts w:eastAsia="Calibri" w:cs="Arial"/>
          <w:lang w:val="en-GB"/>
        </w:rPr>
        <w:instrText xml:space="preserve"> REF _Ref72800077 \n \h  \* MERGEFORMAT </w:instrText>
      </w:r>
      <w:r w:rsidRPr="009C48DA" w:rsidR="00822468">
        <w:rPr>
          <w:rFonts w:eastAsia="Calibri" w:cs="Arial"/>
          <w:lang w:val="en-GB"/>
        </w:rPr>
      </w:r>
      <w:r w:rsidRPr="009C48DA" w:rsidR="00822468">
        <w:rPr>
          <w:rFonts w:eastAsia="Calibri" w:cs="Arial"/>
          <w:lang w:val="en-GB"/>
        </w:rPr>
        <w:fldChar w:fldCharType="separate"/>
      </w:r>
      <w:r w:rsidR="007C3D19">
        <w:rPr>
          <w:rFonts w:eastAsia="Calibri" w:cs="Arial"/>
          <w:lang w:val="en-GB"/>
        </w:rPr>
        <w:t>Part X</w:t>
      </w:r>
      <w:r w:rsidRPr="009C48DA" w:rsidR="00822468">
        <w:rPr>
          <w:rFonts w:eastAsia="Calibri" w:cs="Arial"/>
          <w:lang w:val="en-GB"/>
        </w:rPr>
        <w:fldChar w:fldCharType="end"/>
      </w:r>
      <w:r w:rsidRPr="009C48DA" w:rsidR="00822468">
        <w:rPr>
          <w:rFonts w:eastAsia="Calibri" w:cs="Arial"/>
          <w:lang w:val="en-GB"/>
        </w:rPr>
        <w:t> </w:t>
      </w:r>
      <w:r w:rsidRPr="009C48DA" w:rsidR="0034549F">
        <w:rPr>
          <w:rFonts w:eastAsia="Calibri" w:cs="Arial"/>
          <w:lang w:val="en-GB"/>
        </w:rPr>
        <w:t>(</w:t>
      </w:r>
      <w:r w:rsidRPr="009C48DA" w:rsidR="0034549F">
        <w:rPr>
          <w:rFonts w:eastAsia="Calibri" w:cs="Arial"/>
          <w:i/>
          <w:lang w:val="en-GB"/>
        </w:rPr>
      </w:r>
      <w:r w:rsidRPr="007C3D19" w:rsidR="007C3D19">
        <w:rPr>
          <w:rFonts w:eastAsia="Calibri" w:cs="Arial"/>
          <w:i/>
          <w:lang w:val="en-GB"/>
        </w:rPr>
        <w:t>Historical Financial Information</w:t>
      </w:r>
      <w:r w:rsidRPr="009C48DA" w:rsidR="0034549F">
        <w:rPr>
          <w:rFonts w:eastAsia="Calibri" w:cs="Arial"/>
          <w:lang w:val="en-GB"/>
        </w:rPr>
        <w:t>)</w:t>
      </w:r>
      <w:r w:rsidRPr="009C48DA">
        <w:rPr>
          <w:rFonts w:eastAsia="Calibri" w:cs="Arial"/>
          <w:szCs w:val="20"/>
          <w:lang w:val="en-GB"/>
        </w:rPr>
        <w:t>.</w:t>
      </w:r>
    </w:p>
    <w:p w:rsidRPr="009C48DA" w:rsidR="00797AFA" w:rsidP="00CA368F" w:rsidRDefault="00797AFA" w14:paraId="1B3F09E5" w14:textId="77777777">
      <w:pPr>
        <w:pStyle w:val="TitleBI"/>
        <w:rPr>
          <w:lang w:val="en-GB"/>
        </w:rPr>
      </w:pPr>
      <w:r w:rsidRPr="009C48DA">
        <w:rPr>
          <w:lang w:val="en-GB"/>
        </w:rPr>
        <w:t>Interest rate risk</w:t>
      </w:r>
    </w:p>
    <w:p w:rsidRPr="009C48DA" w:rsidR="00797AFA" w:rsidP="003B623F" w:rsidRDefault="00797AFA" w14:paraId="5C6B5E45" w14:textId="689E7DBB">
      <w:pPr>
        <w:pStyle w:val="BodyText2SglJ"/>
        <w:rPr>
          <w:rFonts w:eastAsia="Calibri" w:cs="Arial"/>
          <w:szCs w:val="20"/>
          <w:lang w:val="en-GB"/>
        </w:rPr>
      </w:pPr>
      <w:r w:rsidRPr="009C48DA">
        <w:rPr>
          <w:rFonts w:eastAsia="Calibri" w:cs="Arial"/>
          <w:szCs w:val="20"/>
          <w:lang w:val="en-GB"/>
        </w:rPr>
        <w:t xml:space="preserve">The Group’s income and cash flow </w:t>
      </w:r>
      <w:r w:rsidRPr="009C48DA" w:rsidR="009C4F8B">
        <w:rPr>
          <w:rFonts w:eastAsia="Calibri" w:cs="Arial"/>
          <w:szCs w:val="20"/>
          <w:lang w:val="en-GB"/>
        </w:rPr>
        <w:t xml:space="preserve">from operating activities </w:t>
      </w:r>
      <w:r w:rsidRPr="009C48DA">
        <w:rPr>
          <w:rFonts w:eastAsia="Calibri" w:cs="Arial"/>
          <w:szCs w:val="20"/>
          <w:lang w:val="en-GB"/>
        </w:rPr>
        <w:t xml:space="preserve">are substantially independent of changes in market interest rates. The amounts drawn under the </w:t>
      </w:r>
      <w:r w:rsidRPr="009C48DA" w:rsidR="007338ED">
        <w:rPr>
          <w:rFonts w:eastAsia="Calibri" w:cs="Arial"/>
          <w:szCs w:val="20"/>
          <w:lang w:val="en-GB"/>
        </w:rPr>
        <w:t xml:space="preserve">BAH </w:t>
      </w:r>
      <w:r w:rsidRPr="009C48DA">
        <w:rPr>
          <w:rFonts w:eastAsia="Calibri" w:cs="Arial"/>
          <w:szCs w:val="20"/>
          <w:lang w:val="en-GB"/>
        </w:rPr>
        <w:t xml:space="preserve">Revolving Credit Facility, however, </w:t>
      </w:r>
      <w:r w:rsidRPr="009C48DA">
        <w:rPr>
          <w:szCs w:val="20"/>
          <w:lang w:val="en-GB"/>
        </w:rPr>
        <w:t>bear</w:t>
      </w:r>
      <w:r w:rsidRPr="009C48DA">
        <w:rPr>
          <w:rFonts w:eastAsia="Calibri" w:cs="Arial"/>
          <w:szCs w:val="20"/>
          <w:lang w:val="en-GB"/>
        </w:rPr>
        <w:t xml:space="preserve"> interest at a floating rate that could rise significantly, increasing the Group’s interest cost and debt. In addition, the discontinuation of LIBOR or EURIBOR could have a material adverse effect on the Group. See “</w:t>
      </w:r>
      <w:r w:rsidRPr="009C48DA">
        <w:rPr>
          <w:rFonts w:eastAsia="Calibri" w:cs="Arial"/>
          <w:i/>
          <w:szCs w:val="20"/>
          <w:lang w:val="en-GB"/>
        </w:rPr>
        <w:t>Financial Risks—</w:t>
      </w:r>
      <w:r w:rsidRPr="009C48DA" w:rsidR="009C4F8B">
        <w:rPr>
          <w:rFonts w:eastAsia="Calibri" w:cs="Arial"/>
          <w:i/>
          <w:szCs w:val="20"/>
          <w:lang w:val="en-GB"/>
        </w:rPr>
        <w:t>T</w:t>
      </w:r>
      <w:r w:rsidRPr="009C48DA">
        <w:rPr>
          <w:rFonts w:eastAsia="Calibri" w:cs="Arial"/>
          <w:i/>
          <w:szCs w:val="20"/>
          <w:lang w:val="en-GB"/>
        </w:rPr>
        <w:t xml:space="preserve">he amounts drawn under the </w:t>
      </w:r>
      <w:r w:rsidRPr="009C48DA" w:rsidR="009C4F8B">
        <w:rPr>
          <w:rFonts w:eastAsia="Calibri" w:cs="Arial"/>
          <w:i/>
          <w:szCs w:val="20"/>
          <w:lang w:val="en-GB"/>
        </w:rPr>
        <w:t xml:space="preserve">BAH </w:t>
      </w:r>
      <w:r w:rsidRPr="009C48DA">
        <w:rPr>
          <w:rFonts w:eastAsia="Calibri" w:cs="Arial"/>
          <w:i/>
          <w:szCs w:val="20"/>
          <w:lang w:val="en-GB"/>
        </w:rPr>
        <w:t>Revolving Credit Facility bear interest at a floating rate that could rise significantly, increasing the Group’s interest cost and debt. In addition, the discontinuation of LIBOR or EURIBOR could have a material adverse effect on the Group</w:t>
      </w:r>
      <w:r w:rsidRPr="009C48DA">
        <w:rPr>
          <w:rFonts w:eastAsia="Calibri" w:cs="Arial"/>
          <w:szCs w:val="20"/>
          <w:lang w:val="en-GB"/>
        </w:rPr>
        <w:t>”</w:t>
      </w:r>
      <w:r w:rsidRPr="009C48DA" w:rsidR="009C4F8B">
        <w:rPr>
          <w:rFonts w:eastAsia="Calibri" w:cs="Arial"/>
          <w:szCs w:val="20"/>
          <w:lang w:val="en-GB"/>
        </w:rPr>
        <w:t xml:space="preserve"> in </w:t>
      </w:r>
      <w:r w:rsidRPr="009C48DA" w:rsidR="009C4F8B">
        <w:rPr>
          <w:rFonts w:eastAsia="Calibri" w:cs="Arial"/>
          <w:szCs w:val="20"/>
          <w:lang w:val="en-GB"/>
        </w:rPr>
        <w:fldChar w:fldCharType="begin"/>
      </w:r>
      <w:r w:rsidRPr="009C48DA" w:rsidR="009C4F8B">
        <w:rPr>
          <w:rFonts w:eastAsia="Calibri" w:cs="Arial"/>
          <w:szCs w:val="20"/>
          <w:lang w:val="en-GB"/>
        </w:rPr>
        <w:instrText xml:space="preserve"> REF _Ref71136204 \n \h </w:instrText>
      </w:r>
      <w:r w:rsidRPr="009C48DA" w:rsidR="009C4F8B">
        <w:rPr>
          <w:rFonts w:eastAsia="Calibri" w:cs="Arial"/>
          <w:szCs w:val="20"/>
          <w:lang w:val="en-GB"/>
        </w:rPr>
      </w:r>
      <w:r w:rsidRPr="009C48DA" w:rsidR="009C4F8B">
        <w:rPr>
          <w:rFonts w:eastAsia="Calibri" w:cs="Arial"/>
          <w:szCs w:val="20"/>
          <w:lang w:val="en-GB"/>
        </w:rPr>
        <w:fldChar w:fldCharType="separate"/>
      </w:r>
      <w:r w:rsidR="007C3D19">
        <w:rPr>
          <w:rFonts w:eastAsia="Calibri" w:cs="Arial"/>
          <w:szCs w:val="20"/>
          <w:lang w:val="en-GB"/>
        </w:rPr>
        <w:t>Part I</w:t>
      </w:r>
      <w:r w:rsidRPr="009C48DA" w:rsidR="009C4F8B">
        <w:rPr>
          <w:rFonts w:eastAsia="Calibri" w:cs="Arial"/>
          <w:szCs w:val="20"/>
          <w:lang w:val="en-GB"/>
        </w:rPr>
        <w:fldChar w:fldCharType="end"/>
      </w:r>
      <w:r w:rsidRPr="009C48DA" w:rsidR="009C4F8B">
        <w:rPr>
          <w:rFonts w:eastAsia="Calibri" w:cs="Arial"/>
          <w:szCs w:val="20"/>
          <w:lang w:val="en-GB"/>
        </w:rPr>
        <w:t xml:space="preserve"> (</w:t>
      </w:r>
      <w:r w:rsidRPr="009C48DA" w:rsidR="003B623F">
        <w:rPr>
          <w:rFonts w:eastAsia="Calibri" w:cs="Arial"/>
          <w:i/>
          <w:szCs w:val="20"/>
          <w:lang w:val="en-GB"/>
        </w:rPr>
        <w:fldChar w:fldCharType="begin"/>
      </w:r>
      <w:r w:rsidRPr="009C48DA" w:rsidR="003B623F">
        <w:rPr>
          <w:rFonts w:eastAsia="Calibri" w:cs="Arial"/>
          <w:i/>
          <w:szCs w:val="20"/>
          <w:lang w:val="en-GB"/>
        </w:rPr>
        <w:instrText xml:space="preserve"> REF _Ref75190583 \h  \* MERGEFORMAT </w:instrText>
      </w:r>
      <w:r w:rsidRPr="009C48DA" w:rsidR="003B623F">
        <w:rPr>
          <w:rFonts w:eastAsia="Calibri" w:cs="Arial"/>
          <w:i/>
          <w:szCs w:val="20"/>
          <w:lang w:val="en-GB"/>
        </w:rPr>
      </w:r>
      <w:r w:rsidRPr="009C48DA" w:rsidR="003B623F">
        <w:rPr>
          <w:rFonts w:eastAsia="Calibri" w:cs="Arial"/>
          <w:i/>
          <w:szCs w:val="20"/>
          <w:lang w:val="en-GB"/>
        </w:rPr>
        <w:fldChar w:fldCharType="separate"/>
      </w:r>
      <w:r w:rsidRPr="007C3D19" w:rsidR="007C3D19">
        <w:rPr>
          <w:i/>
          <w:lang w:val="en-GB"/>
        </w:rPr>
        <w:t>Risk Factors</w:t>
      </w:r>
      <w:r w:rsidRPr="009C48DA" w:rsidR="003B623F">
        <w:rPr>
          <w:rFonts w:eastAsia="Calibri" w:cs="Arial"/>
          <w:i/>
          <w:szCs w:val="20"/>
          <w:lang w:val="en-GB"/>
        </w:rPr>
        <w:fldChar w:fldCharType="end"/>
      </w:r>
      <w:r w:rsidRPr="009C48DA" w:rsidR="009C4F8B">
        <w:rPr>
          <w:rFonts w:eastAsia="Calibri" w:cs="Arial"/>
          <w:szCs w:val="20"/>
          <w:lang w:val="en-GB"/>
        </w:rPr>
        <w:t>).</w:t>
      </w:r>
    </w:p>
    <w:p w:rsidRPr="009C48DA" w:rsidR="00797AFA" w:rsidP="00CD3B44" w:rsidRDefault="00797AFA" w14:paraId="1E0C733B" w14:textId="660260A9">
      <w:pPr>
        <w:pStyle w:val="BodyText2SglJ"/>
        <w:rPr>
          <w:rFonts w:eastAsia="Calibri" w:cs="Times New Roman"/>
          <w:szCs w:val="20"/>
          <w:lang w:val="en-GB"/>
        </w:rPr>
      </w:pPr>
      <w:r w:rsidRPr="009C48DA">
        <w:rPr>
          <w:rFonts w:eastAsia="Calibri" w:cs="Arial"/>
          <w:szCs w:val="20"/>
          <w:lang w:val="en-GB"/>
        </w:rPr>
        <w:t xml:space="preserve">For information on qualitative and quantitative disclosures about interest rate risk, refer to </w:t>
      </w:r>
      <w:r w:rsidRPr="009C48DA">
        <w:rPr>
          <w:szCs w:val="20"/>
          <w:lang w:val="en-GB"/>
        </w:rPr>
        <w:t>Note</w:t>
      </w:r>
      <w:r w:rsidRPr="009C48DA" w:rsidR="002B6DD9">
        <w:rPr>
          <w:rFonts w:eastAsia="Calibri" w:cs="Arial"/>
          <w:szCs w:val="20"/>
          <w:lang w:val="en-GB"/>
        </w:rPr>
        <w:t> </w:t>
      </w:r>
      <w:r w:rsidRPr="009C48DA" w:rsidR="00CD3B44">
        <w:rPr>
          <w:rFonts w:eastAsia="Calibri" w:cs="Arial"/>
          <w:szCs w:val="20"/>
          <w:lang w:val="en-GB"/>
        </w:rPr>
        <w:t>20</w:t>
      </w:r>
      <w:r w:rsidRPr="009C48DA">
        <w:rPr>
          <w:rFonts w:eastAsia="Calibri" w:cs="Arial"/>
          <w:szCs w:val="20"/>
          <w:lang w:val="en-GB"/>
        </w:rPr>
        <w:t xml:space="preserve"> in </w:t>
      </w:r>
      <w:r w:rsidRPr="009C48DA" w:rsidR="00641458">
        <w:rPr>
          <w:rFonts w:eastAsia="Calibri" w:cs="Arial"/>
          <w:lang w:val="en-GB"/>
        </w:rPr>
        <w:fldChar w:fldCharType="begin"/>
      </w:r>
      <w:r w:rsidRPr="009C48DA" w:rsidR="00641458">
        <w:rPr>
          <w:rFonts w:eastAsia="Calibri" w:cs="Arial"/>
          <w:lang w:val="en-GB"/>
        </w:rPr>
        <w:instrText xml:space="preserve"> REF _Ref72800070 \n \h  \* MERGEFORMAT </w:instrText>
      </w:r>
      <w:r w:rsidRPr="009C48DA" w:rsidR="00641458">
        <w:rPr>
          <w:rFonts w:eastAsia="Calibri" w:cs="Arial"/>
          <w:lang w:val="en-GB"/>
        </w:rPr>
      </w:r>
      <w:r w:rsidRPr="009C48DA" w:rsidR="00641458">
        <w:rPr>
          <w:rFonts w:eastAsia="Calibri" w:cs="Arial"/>
          <w:lang w:val="en-GB"/>
        </w:rPr>
        <w:fldChar w:fldCharType="separate"/>
      </w:r>
      <w:r w:rsidR="007C3D19">
        <w:rPr>
          <w:rFonts w:eastAsia="Calibri" w:cs="Arial"/>
          <w:lang w:val="en-GB"/>
        </w:rPr>
        <w:t>Part B</w:t>
      </w:r>
      <w:r w:rsidRPr="009C48DA" w:rsidR="00641458">
        <w:rPr>
          <w:rFonts w:eastAsia="Calibri" w:cs="Arial"/>
          <w:lang w:val="en-GB"/>
        </w:rPr>
        <w:fldChar w:fldCharType="end"/>
      </w:r>
      <w:r w:rsidRPr="009C48DA" w:rsidR="00641458">
        <w:rPr>
          <w:rFonts w:eastAsia="Calibri" w:cs="Arial"/>
          <w:lang w:val="en-GB"/>
        </w:rPr>
        <w:t xml:space="preserve"> of </w:t>
      </w:r>
      <w:r w:rsidRPr="009C48DA" w:rsidR="00641458">
        <w:rPr>
          <w:rFonts w:eastAsia="Calibri" w:cs="Arial"/>
          <w:lang w:val="en-GB"/>
        </w:rPr>
        <w:fldChar w:fldCharType="begin"/>
      </w:r>
      <w:r w:rsidRPr="009C48DA" w:rsidR="00641458">
        <w:rPr>
          <w:rFonts w:eastAsia="Calibri" w:cs="Arial"/>
          <w:lang w:val="en-GB"/>
        </w:rPr>
        <w:instrText xml:space="preserve"> REF _Ref72800077 \n \h  \* MERGEFORMAT </w:instrText>
      </w:r>
      <w:r w:rsidRPr="009C48DA" w:rsidR="00641458">
        <w:rPr>
          <w:rFonts w:eastAsia="Calibri" w:cs="Arial"/>
          <w:lang w:val="en-GB"/>
        </w:rPr>
      </w:r>
      <w:r w:rsidRPr="009C48DA" w:rsidR="00641458">
        <w:rPr>
          <w:rFonts w:eastAsia="Calibri" w:cs="Arial"/>
          <w:lang w:val="en-GB"/>
        </w:rPr>
        <w:fldChar w:fldCharType="separate"/>
      </w:r>
      <w:r w:rsidR="007C3D19">
        <w:rPr>
          <w:rFonts w:eastAsia="Calibri" w:cs="Arial"/>
          <w:lang w:val="en-GB"/>
        </w:rPr>
        <w:t>Part X</w:t>
      </w:r>
      <w:r w:rsidRPr="009C48DA" w:rsidR="00641458">
        <w:rPr>
          <w:rFonts w:eastAsia="Calibri" w:cs="Arial"/>
          <w:lang w:val="en-GB"/>
        </w:rPr>
        <w:fldChar w:fldCharType="end"/>
      </w:r>
      <w:r w:rsidRPr="009C48DA" w:rsidR="00641458">
        <w:rPr>
          <w:rFonts w:eastAsia="Calibri" w:cs="Arial"/>
          <w:lang w:val="en-GB"/>
        </w:rPr>
        <w:t> </w:t>
      </w:r>
      <w:r w:rsidRPr="009C48DA">
        <w:rPr>
          <w:rFonts w:eastAsia="Calibri" w:cs="Arial"/>
          <w:szCs w:val="20"/>
          <w:lang w:val="en-GB"/>
        </w:rPr>
        <w:t>(</w:t>
      </w:r>
      <w:r w:rsidRPr="009C48DA" w:rsidR="006320D1">
        <w:rPr>
          <w:i/>
          <w:szCs w:val="20"/>
          <w:lang w:val="en-GB"/>
        </w:rPr>
      </w:r>
      <w:r w:rsidRPr="007C3D19" w:rsidR="007C3D19">
        <w:rPr>
          <w:i/>
          <w:lang w:val="en-GB"/>
        </w:rPr>
        <w:t>Historical Financial Information</w:t>
      </w:r>
      <w:r w:rsidRPr="009C48DA" w:rsidR="001B0C5A">
        <w:rPr>
          <w:rFonts w:eastAsia="Calibri" w:cs="Arial"/>
          <w:szCs w:val="20"/>
          <w:lang w:val="en-GB"/>
        </w:rPr>
        <w:t>)</w:t>
      </w:r>
      <w:r w:rsidRPr="009C48DA">
        <w:rPr>
          <w:rFonts w:eastAsia="Calibri" w:cs="Arial"/>
          <w:szCs w:val="20"/>
          <w:lang w:val="en-GB"/>
        </w:rPr>
        <w:t>.</w:t>
      </w:r>
    </w:p>
    <w:p w:rsidRPr="009C48DA" w:rsidR="00797AFA" w:rsidP="00CA368F" w:rsidRDefault="00797AFA" w14:paraId="0F493E48" w14:textId="77777777">
      <w:pPr>
        <w:pStyle w:val="TitleBI"/>
        <w:rPr>
          <w:lang w:val="en-GB"/>
        </w:rPr>
      </w:pPr>
      <w:r w:rsidRPr="009C48DA">
        <w:rPr>
          <w:lang w:val="en-GB"/>
        </w:rPr>
        <w:t>Currency risk</w:t>
      </w:r>
    </w:p>
    <w:p w:rsidRPr="009C48DA" w:rsidR="009001AD" w:rsidP="00797AFA" w:rsidRDefault="009001AD" w14:paraId="7AF40FE9" w14:textId="23EAFB96">
      <w:pPr>
        <w:pStyle w:val="BodyText2SglJ"/>
        <w:rPr>
          <w:rFonts w:eastAsia="Calibri" w:cs="Arial"/>
          <w:szCs w:val="20"/>
          <w:lang w:val="en-GB"/>
        </w:rPr>
      </w:pPr>
      <w:r w:rsidRPr="009C48DA">
        <w:rPr>
          <w:rFonts w:eastAsia="Calibri" w:cs="Arial"/>
          <w:szCs w:val="20"/>
          <w:lang w:val="en-GB"/>
        </w:rPr>
        <w:t>Currency risk, or foreign currency risk, is the risk of losses or other adverse effects resulting from a change in a foreign exchange rate, or from other unfavourable changes in relation to a foreign currency. The Group is primarily exposed to two types of currency risk:</w:t>
      </w:r>
    </w:p>
    <w:p w:rsidRPr="009C48DA" w:rsidR="009001AD" w:rsidP="00EA6C1F" w:rsidRDefault="009001AD" w14:paraId="0EAB9DA0" w14:textId="77777777">
      <w:pPr>
        <w:pStyle w:val="STBBullet3"/>
        <w:rPr>
          <w:rFonts w:eastAsia="Calibri" w:cs="Arial"/>
          <w:szCs w:val="20"/>
          <w:lang w:val="en-GB"/>
        </w:rPr>
      </w:pPr>
      <w:r w:rsidRPr="009C48DA">
        <w:rPr>
          <w:rFonts w:eastAsia="Calibri" w:cs="Arial"/>
          <w:szCs w:val="20"/>
          <w:lang w:val="en-GB"/>
        </w:rPr>
        <w:t xml:space="preserve">Transaction </w:t>
      </w:r>
      <w:r w:rsidRPr="009C48DA">
        <w:rPr>
          <w:szCs w:val="20"/>
          <w:lang w:val="en-GB"/>
        </w:rPr>
        <w:t>risk</w:t>
      </w:r>
      <w:r w:rsidRPr="009C48DA">
        <w:rPr>
          <w:rFonts w:eastAsia="Calibri" w:cs="Arial"/>
          <w:szCs w:val="20"/>
          <w:lang w:val="en-GB"/>
        </w:rPr>
        <w:t xml:space="preserve">: The </w:t>
      </w:r>
      <w:r w:rsidRPr="009C48DA">
        <w:rPr>
          <w:szCs w:val="20"/>
          <w:lang w:val="en-GB"/>
        </w:rPr>
        <w:t>adverse</w:t>
      </w:r>
      <w:r w:rsidRPr="009C48DA">
        <w:rPr>
          <w:rFonts w:eastAsia="Calibri" w:cs="Arial"/>
          <w:szCs w:val="20"/>
          <w:lang w:val="en-GB"/>
        </w:rPr>
        <w:t xml:space="preserve"> effect that foreign exchange rate fluctuations can have on a completed transaction prior to settlement. It is the exchange rate, or currency risk associated specifically with the time delay between entering into a trade or contract and then settling it. As the majority of the Group’s income is denominated in euro, this means that its income when recognised in GBP is subject to exposure to foreign exchange rate movements over time.</w:t>
      </w:r>
    </w:p>
    <w:p w:rsidRPr="009C48DA" w:rsidR="009001AD" w:rsidP="00EA6C1F" w:rsidRDefault="009001AD" w14:paraId="06EF6ED9" w14:textId="67A3144F">
      <w:pPr>
        <w:pStyle w:val="STBBullet3"/>
        <w:rPr>
          <w:rFonts w:eastAsia="Calibri" w:cs="Arial"/>
          <w:szCs w:val="20"/>
          <w:lang w:val="en-GB"/>
        </w:rPr>
      </w:pPr>
      <w:r w:rsidRPr="009C48DA">
        <w:rPr>
          <w:rFonts w:eastAsia="Calibri" w:cs="Arial"/>
          <w:szCs w:val="20"/>
          <w:lang w:val="en-GB"/>
        </w:rPr>
        <w:t>Translation risk: Is the risk that changes in the rates at which assets, liabilities, income or costs in foreign currencies are translated into the reporting currency. The Group holds assets denominated in currencies other than pounds, the measurement currency of the Group. Consequently, the Group is exposed to currency risk since the value of investments denominated in other currencies will fluctuate due to change in exchange rate.</w:t>
      </w:r>
    </w:p>
    <w:p w:rsidRPr="009C48DA" w:rsidR="009001AD" w:rsidP="00797AFA" w:rsidRDefault="009001AD" w14:paraId="4870DEE2" w14:textId="53EAD0A0">
      <w:pPr>
        <w:pStyle w:val="BodyText2SglJ"/>
        <w:rPr>
          <w:rFonts w:eastAsia="Calibri" w:cs="Arial"/>
          <w:szCs w:val="20"/>
          <w:lang w:val="en-GB"/>
        </w:rPr>
      </w:pPr>
      <w:r w:rsidRPr="009C48DA">
        <w:rPr>
          <w:rFonts w:eastAsia="Calibri" w:cs="Arial"/>
          <w:szCs w:val="20"/>
          <w:lang w:val="en-GB"/>
        </w:rPr>
        <w:lastRenderedPageBreak/>
        <w:t>In order to hedge EUR denominated income, the Group has entered into a series of forward trades and swap agreements to sell EUR and buy GBP at various dates in the future to reduce the currency exposure of EUR denominated income to future spot rate volatility.</w:t>
      </w:r>
    </w:p>
    <w:p w:rsidRPr="009C48DA" w:rsidR="00797AFA" w:rsidP="00797AFA" w:rsidRDefault="00797AFA" w14:paraId="07E71099" w14:textId="0BFEC8FA">
      <w:pPr>
        <w:pStyle w:val="BodyText2SglJ"/>
        <w:rPr>
          <w:rFonts w:eastAsia="Calibri" w:cs="Arial"/>
          <w:szCs w:val="20"/>
          <w:lang w:val="en-GB"/>
        </w:rPr>
      </w:pPr>
      <w:r w:rsidRPr="009C48DA">
        <w:rPr>
          <w:rFonts w:eastAsia="Calibri" w:cs="Arial"/>
          <w:szCs w:val="20"/>
          <w:lang w:val="en-GB"/>
        </w:rPr>
        <w:t>The pound sterling is the functional currency of the Group. The Group is therefore exposed to currency risk on total operating income, costs and borrowings that are denominated in a currency other than the pound sterling, in particular euro as it is the currency in which the Group’s total operating income and profit is primarily denominated. See “</w:t>
      </w:r>
      <w:r w:rsidRPr="009C48DA" w:rsidR="009C4F8B">
        <w:rPr>
          <w:rFonts w:eastAsia="Calibri" w:cs="Arial"/>
          <w:i/>
          <w:szCs w:val="20"/>
          <w:lang w:val="en-GB"/>
        </w:rPr>
        <w:t>—</w:t>
      </w:r>
      <w:r w:rsidRPr="009C48DA">
        <w:rPr>
          <w:rFonts w:eastAsia="Calibri" w:cs="Arial"/>
          <w:i/>
          <w:szCs w:val="20"/>
          <w:lang w:val="en-GB"/>
        </w:rPr>
        <w:t>Principal factors affecting results of operations—Foreign exchange rates.</w:t>
      </w:r>
      <w:r w:rsidRPr="009C48DA">
        <w:rPr>
          <w:rFonts w:eastAsia="Calibri" w:cs="Arial"/>
          <w:szCs w:val="20"/>
          <w:lang w:val="en-GB"/>
        </w:rPr>
        <w:t>” In the year ended 31 December 2020, the Group had</w:t>
      </w:r>
      <w:r w:rsidRPr="009C48DA" w:rsidR="00796EAD">
        <w:rPr>
          <w:rFonts w:eastAsia="Calibri" w:cs="Arial"/>
          <w:szCs w:val="20"/>
          <w:lang w:val="en-GB"/>
        </w:rPr>
        <w:t xml:space="preserve"> approximately 87 per cent </w:t>
      </w:r>
      <w:r w:rsidRPr="009C48DA">
        <w:rPr>
          <w:rFonts w:eastAsia="Calibri" w:cs="Arial"/>
          <w:szCs w:val="20"/>
          <w:lang w:val="en-GB"/>
        </w:rPr>
        <w:t xml:space="preserve">of total operating income denominated in euro. </w:t>
      </w:r>
    </w:p>
    <w:p w:rsidRPr="009C48DA" w:rsidR="00797AFA" w:rsidP="00797AFA" w:rsidRDefault="00797AFA" w14:paraId="46747926" w14:textId="1A3F6C30">
      <w:pPr>
        <w:pStyle w:val="BodyText2SglJ"/>
        <w:rPr>
          <w:rFonts w:eastAsia="Calibri" w:cs="Arial"/>
          <w:szCs w:val="20"/>
          <w:lang w:val="en-GB"/>
        </w:rPr>
      </w:pPr>
      <w:r w:rsidRPr="009C48DA">
        <w:rPr>
          <w:rFonts w:eastAsia="Calibri" w:cs="Arial"/>
          <w:szCs w:val="20"/>
          <w:lang w:val="en-GB"/>
        </w:rPr>
        <w:t>For information on qualitative and quantitative disclosures abou</w:t>
      </w:r>
      <w:r w:rsidRPr="009C48DA" w:rsidR="002B6DD9">
        <w:rPr>
          <w:rFonts w:eastAsia="Calibri" w:cs="Arial"/>
          <w:szCs w:val="20"/>
          <w:lang w:val="en-GB"/>
        </w:rPr>
        <w:t>t currency risk, refer to Note </w:t>
      </w:r>
      <w:r w:rsidRPr="009C48DA" w:rsidR="00CD3B44">
        <w:rPr>
          <w:rFonts w:eastAsia="Calibri" w:cs="Arial"/>
          <w:szCs w:val="20"/>
          <w:lang w:val="en-GB"/>
        </w:rPr>
        <w:t>20</w:t>
      </w:r>
      <w:r w:rsidRPr="009C48DA" w:rsidR="002B6DD9">
        <w:rPr>
          <w:rFonts w:eastAsia="Calibri" w:cs="Arial"/>
          <w:szCs w:val="20"/>
          <w:lang w:val="en-GB"/>
        </w:rPr>
        <w:t xml:space="preserve"> </w:t>
      </w:r>
      <w:r w:rsidRPr="009C48DA">
        <w:rPr>
          <w:rFonts w:eastAsia="Calibri" w:cs="Arial"/>
          <w:szCs w:val="20"/>
          <w:lang w:val="en-GB"/>
        </w:rPr>
        <w:t xml:space="preserve">in </w:t>
      </w:r>
      <w:r w:rsidRPr="009C48DA" w:rsidR="00641458">
        <w:rPr>
          <w:rFonts w:eastAsia="Calibri" w:cs="Arial"/>
          <w:lang w:val="en-GB"/>
        </w:rPr>
        <w:fldChar w:fldCharType="begin"/>
      </w:r>
      <w:r w:rsidRPr="009C48DA" w:rsidR="00641458">
        <w:rPr>
          <w:rFonts w:eastAsia="Calibri" w:cs="Arial"/>
          <w:lang w:val="en-GB"/>
        </w:rPr>
        <w:instrText xml:space="preserve"> REF _Ref72800070 \n \h  \* MERGEFORMAT </w:instrText>
      </w:r>
      <w:r w:rsidRPr="009C48DA" w:rsidR="00641458">
        <w:rPr>
          <w:rFonts w:eastAsia="Calibri" w:cs="Arial"/>
          <w:lang w:val="en-GB"/>
        </w:rPr>
      </w:r>
      <w:r w:rsidRPr="009C48DA" w:rsidR="00641458">
        <w:rPr>
          <w:rFonts w:eastAsia="Calibri" w:cs="Arial"/>
          <w:lang w:val="en-GB"/>
        </w:rPr>
        <w:fldChar w:fldCharType="separate"/>
      </w:r>
      <w:r w:rsidR="007C3D19">
        <w:rPr>
          <w:rFonts w:eastAsia="Calibri" w:cs="Arial"/>
          <w:lang w:val="en-GB"/>
        </w:rPr>
        <w:t>Part B</w:t>
      </w:r>
      <w:r w:rsidRPr="009C48DA" w:rsidR="00641458">
        <w:rPr>
          <w:rFonts w:eastAsia="Calibri" w:cs="Arial"/>
          <w:lang w:val="en-GB"/>
        </w:rPr>
        <w:fldChar w:fldCharType="end"/>
      </w:r>
      <w:r w:rsidRPr="009C48DA" w:rsidR="00641458">
        <w:rPr>
          <w:rFonts w:eastAsia="Calibri" w:cs="Arial"/>
          <w:lang w:val="en-GB"/>
        </w:rPr>
        <w:t xml:space="preserve"> of </w:t>
      </w:r>
      <w:r w:rsidRPr="009C48DA" w:rsidR="00641458">
        <w:rPr>
          <w:rFonts w:eastAsia="Calibri" w:cs="Arial"/>
          <w:lang w:val="en-GB"/>
        </w:rPr>
        <w:fldChar w:fldCharType="begin"/>
      </w:r>
      <w:r w:rsidRPr="009C48DA" w:rsidR="00641458">
        <w:rPr>
          <w:rFonts w:eastAsia="Calibri" w:cs="Arial"/>
          <w:lang w:val="en-GB"/>
        </w:rPr>
        <w:instrText xml:space="preserve"> REF _Ref72800077 \n \h  \* MERGEFORMAT </w:instrText>
      </w:r>
      <w:r w:rsidRPr="009C48DA" w:rsidR="00641458">
        <w:rPr>
          <w:rFonts w:eastAsia="Calibri" w:cs="Arial"/>
          <w:lang w:val="en-GB"/>
        </w:rPr>
      </w:r>
      <w:r w:rsidRPr="009C48DA" w:rsidR="00641458">
        <w:rPr>
          <w:rFonts w:eastAsia="Calibri" w:cs="Arial"/>
          <w:lang w:val="en-GB"/>
        </w:rPr>
        <w:fldChar w:fldCharType="separate"/>
      </w:r>
      <w:r w:rsidR="007C3D19">
        <w:rPr>
          <w:rFonts w:eastAsia="Calibri" w:cs="Arial"/>
          <w:lang w:val="en-GB"/>
        </w:rPr>
        <w:t>Part X</w:t>
      </w:r>
      <w:r w:rsidRPr="009C48DA" w:rsidR="00641458">
        <w:rPr>
          <w:rFonts w:eastAsia="Calibri" w:cs="Arial"/>
          <w:lang w:val="en-GB"/>
        </w:rPr>
        <w:fldChar w:fldCharType="end"/>
      </w:r>
      <w:r w:rsidRPr="009C48DA" w:rsidR="00641458">
        <w:rPr>
          <w:rFonts w:eastAsia="Calibri" w:cs="Arial"/>
          <w:lang w:val="en-GB"/>
        </w:rPr>
        <w:t> </w:t>
      </w:r>
      <w:r w:rsidRPr="009C48DA">
        <w:rPr>
          <w:rFonts w:eastAsia="Calibri" w:cs="Arial"/>
          <w:szCs w:val="20"/>
          <w:lang w:val="en-GB"/>
        </w:rPr>
        <w:t>(</w:t>
      </w:r>
      <w:r w:rsidRPr="009C48DA" w:rsidR="006320D1">
        <w:rPr>
          <w:i/>
          <w:szCs w:val="20"/>
          <w:lang w:val="en-GB"/>
        </w:rPr>
      </w:r>
      <w:r w:rsidRPr="007C3D19" w:rsidR="007C3D19">
        <w:rPr>
          <w:i/>
          <w:lang w:val="en-GB"/>
        </w:rPr>
        <w:t>Historical Financial Information</w:t>
      </w:r>
      <w:r w:rsidRPr="009C48DA" w:rsidR="00164EEC">
        <w:rPr>
          <w:rFonts w:eastAsia="Calibri" w:cs="Arial"/>
          <w:szCs w:val="20"/>
          <w:lang w:val="en-GB"/>
        </w:rPr>
        <w:t>)</w:t>
      </w:r>
      <w:r w:rsidRPr="009C48DA">
        <w:rPr>
          <w:rFonts w:eastAsia="Calibri" w:cs="Arial"/>
          <w:szCs w:val="20"/>
          <w:lang w:val="en-GB"/>
        </w:rPr>
        <w:t>.</w:t>
      </w:r>
    </w:p>
    <w:p w:rsidRPr="009C48DA" w:rsidR="00797AFA" w:rsidP="00797AFA" w:rsidRDefault="00797AFA" w14:paraId="7D589027" w14:textId="77777777">
      <w:pPr>
        <w:pStyle w:val="TitleB"/>
        <w:rPr>
          <w:szCs w:val="20"/>
          <w:lang w:val="en-GB"/>
        </w:rPr>
      </w:pPr>
      <w:r w:rsidRPr="009C48DA">
        <w:rPr>
          <w:szCs w:val="20"/>
          <w:lang w:val="en-GB"/>
        </w:rPr>
        <w:t>Credit risk</w:t>
      </w:r>
    </w:p>
    <w:p w:rsidRPr="009C48DA" w:rsidR="00796EAD" w:rsidP="00796EAD" w:rsidRDefault="00796EAD" w14:paraId="5237C543" w14:textId="77777777">
      <w:pPr>
        <w:pStyle w:val="BodyText2SglJ"/>
        <w:rPr>
          <w:lang w:val="en-GB"/>
        </w:rPr>
      </w:pPr>
      <w:r w:rsidRPr="009C48DA">
        <w:rPr>
          <w:lang w:val="en-GB"/>
        </w:rPr>
        <w:t>Credit risk is the risk that a counterparty is unable to meet their contractual obligations in full when due. Potential areas of credit risk consist of cash and cash equivalents, including deposits with banks and financial institutions, short-term receivables and derivative financial instruments. The Group has not experienced any significant defaults in prior periods.</w:t>
      </w:r>
    </w:p>
    <w:p w:rsidRPr="009C48DA" w:rsidR="00796EAD" w:rsidP="009001AD" w:rsidRDefault="00796EAD" w14:paraId="4097752E" w14:textId="6CA8E152">
      <w:pPr>
        <w:pStyle w:val="BodyText2SglJ"/>
        <w:rPr>
          <w:lang w:val="en-GB"/>
        </w:rPr>
      </w:pPr>
      <w:r w:rsidRPr="009C48DA">
        <w:rPr>
          <w:lang w:val="en-GB"/>
        </w:rPr>
        <w:t xml:space="preserve">The Group’s exposure to credit risk is influenced mainly by the individual characteristics of each counterparty. </w:t>
      </w:r>
      <w:r w:rsidRPr="009C48DA" w:rsidR="009001AD">
        <w:rPr>
          <w:lang w:val="en-GB"/>
        </w:rPr>
        <w:t>Expected credit losses are calculated on all of the Group’s financial assets that are measured at amortised cost. Factors considered in determining whether a default has taken place include how many days past the due date a payment is, deterioration in the credit quality of a counterparty, and knowledge of specific events that could influence a counterparty’s ability to pay.</w:t>
      </w:r>
    </w:p>
    <w:p w:rsidRPr="009C48DA" w:rsidR="009001AD" w:rsidP="009001AD" w:rsidRDefault="009001AD" w14:paraId="25D8F41D" w14:textId="04CA69CF">
      <w:pPr>
        <w:pStyle w:val="BodyText2SglJ"/>
        <w:rPr>
          <w:lang w:val="en-GB"/>
        </w:rPr>
      </w:pPr>
      <w:r w:rsidRPr="009C48DA">
        <w:rPr>
          <w:lang w:val="en-GB"/>
        </w:rPr>
        <w:t>The Group limits its exposure in relation to cash balances and derivative financial instruments by only dealing with well-established financial institutions of high-quality credit standing.</w:t>
      </w:r>
    </w:p>
    <w:p w:rsidRPr="009C48DA" w:rsidR="00796EAD" w:rsidP="00796EAD" w:rsidRDefault="00796EAD" w14:paraId="0D773763" w14:textId="17B26C24">
      <w:pPr>
        <w:pStyle w:val="BodyText2SglJ"/>
        <w:rPr>
          <w:lang w:val="en-GB"/>
        </w:rPr>
      </w:pPr>
      <w:r w:rsidRPr="009C48DA">
        <w:rPr>
          <w:lang w:val="en-GB"/>
        </w:rPr>
        <w:t xml:space="preserve">The Group fully consolidates </w:t>
      </w:r>
      <w:r w:rsidRPr="009C48DA" w:rsidR="007F7AA9">
        <w:rPr>
          <w:lang w:val="en-GB"/>
        </w:rPr>
        <w:t xml:space="preserve">Bridgepoint </w:t>
      </w:r>
      <w:r w:rsidRPr="009C48DA">
        <w:rPr>
          <w:lang w:val="en-GB"/>
        </w:rPr>
        <w:t xml:space="preserve">CLO I DAC 1, which was launched in November 2020, and </w:t>
      </w:r>
      <w:r w:rsidRPr="009C48DA" w:rsidR="007F7AA9">
        <w:rPr>
          <w:lang w:val="en-GB"/>
        </w:rPr>
        <w:t xml:space="preserve">Bridgepoint </w:t>
      </w:r>
      <w:r w:rsidRPr="009C48DA">
        <w:rPr>
          <w:lang w:val="en-GB"/>
        </w:rPr>
        <w:t xml:space="preserve">CLO II DAC 2, which was launched in June 2021. The Group’s interest in </w:t>
      </w:r>
      <w:r w:rsidRPr="009C48DA" w:rsidR="007F7AA9">
        <w:rPr>
          <w:lang w:val="en-GB"/>
        </w:rPr>
        <w:t>the Bridgepoint CLO </w:t>
      </w:r>
      <w:r w:rsidRPr="009C48DA">
        <w:rPr>
          <w:lang w:val="en-GB"/>
        </w:rPr>
        <w:t xml:space="preserve">I comprises an interest in subordinated notes which incur the first loss if there is any default within the portfolio of assets by an individual borrower. The Group’s interest in </w:t>
      </w:r>
      <w:r w:rsidRPr="009C48DA" w:rsidR="007F7AA9">
        <w:rPr>
          <w:lang w:val="en-GB"/>
        </w:rPr>
        <w:t xml:space="preserve">the Bridgepoint </w:t>
      </w:r>
      <w:r w:rsidRPr="009C48DA">
        <w:rPr>
          <w:lang w:val="en-GB"/>
        </w:rPr>
        <w:t xml:space="preserve">CLO II as of </w:t>
      </w:r>
      <w:r w:rsidRPr="009C48DA" w:rsidR="007F7AA9">
        <w:rPr>
          <w:lang w:val="en-GB"/>
        </w:rPr>
        <w:t>31 </w:t>
      </w:r>
      <w:r w:rsidRPr="009C48DA">
        <w:rPr>
          <w:lang w:val="en-GB"/>
        </w:rPr>
        <w:t xml:space="preserve">December 2020 and 31 March 2021 related to exposure in warehoused assets, which had been part funded by a banking facility with no recourse to the Group, pending the </w:t>
      </w:r>
      <w:r w:rsidRPr="009C48DA" w:rsidR="0054099D">
        <w:rPr>
          <w:lang w:val="en-GB"/>
        </w:rPr>
        <w:t xml:space="preserve">Group’s </w:t>
      </w:r>
      <w:r w:rsidRPr="009C48DA">
        <w:rPr>
          <w:lang w:val="en-GB"/>
        </w:rPr>
        <w:t xml:space="preserve">formal launch of the CLO. The Group holds investments in the subordinated notes of the </w:t>
      </w:r>
      <w:r w:rsidRPr="009C48DA" w:rsidR="007F7AA9">
        <w:rPr>
          <w:lang w:val="en-GB"/>
        </w:rPr>
        <w:t xml:space="preserve">Bridgepoint </w:t>
      </w:r>
      <w:r w:rsidRPr="009C48DA">
        <w:rPr>
          <w:lang w:val="en-GB"/>
        </w:rPr>
        <w:t>CLO fund vehicles which it manages (</w:t>
      </w:r>
      <w:r w:rsidRPr="009C48DA" w:rsidR="007F7AA9">
        <w:rPr>
          <w:lang w:val="en-GB"/>
        </w:rPr>
        <w:t xml:space="preserve">Bridgepoint </w:t>
      </w:r>
      <w:r w:rsidRPr="009C48DA">
        <w:rPr>
          <w:lang w:val="en-GB"/>
        </w:rPr>
        <w:t xml:space="preserve">CLO I DAC and </w:t>
      </w:r>
      <w:r w:rsidRPr="009C48DA" w:rsidR="007F7AA9">
        <w:rPr>
          <w:lang w:val="en-GB"/>
        </w:rPr>
        <w:t xml:space="preserve">Bridgepoint </w:t>
      </w:r>
      <w:r w:rsidRPr="009C48DA">
        <w:rPr>
          <w:lang w:val="en-GB"/>
        </w:rPr>
        <w:t xml:space="preserve">CLO II DAC). The Group is required to hold a 5% interest in such vehicles after they are launched under risk retention rules. Each CLO portfolio typically invests in 70-100 individual loans issued by private equity borrowers. The portfolios are highly diversified by geography, industry and sponsor. The Group’s maximum exposure to loss associated with its interest in the </w:t>
      </w:r>
      <w:r w:rsidRPr="009C48DA" w:rsidR="007F7AA9">
        <w:rPr>
          <w:lang w:val="en-GB"/>
        </w:rPr>
        <w:t xml:space="preserve">Bridgepoint </w:t>
      </w:r>
      <w:r w:rsidRPr="009C48DA">
        <w:rPr>
          <w:lang w:val="en-GB"/>
        </w:rPr>
        <w:t xml:space="preserve">CLOs is therefore limited to its investment in the relevant CLOs, which as of </w:t>
      </w:r>
      <w:r w:rsidRPr="009C48DA" w:rsidR="00F55DF1">
        <w:rPr>
          <w:lang w:val="en-GB"/>
        </w:rPr>
        <w:t>31 March 2021 was £21.0</w:t>
      </w:r>
      <w:r w:rsidRPr="009C48DA">
        <w:rPr>
          <w:lang w:val="en-GB"/>
        </w:rPr>
        <w:t xml:space="preserve"> million and as of </w:t>
      </w:r>
      <w:r w:rsidRPr="009C48DA" w:rsidR="00F55DF1">
        <w:rPr>
          <w:lang w:val="en-GB"/>
        </w:rPr>
        <w:t>31 December 2020 was £19.5</w:t>
      </w:r>
      <w:r w:rsidRPr="009C48DA">
        <w:rPr>
          <w:lang w:val="en-GB"/>
        </w:rPr>
        <w:t xml:space="preserve"> million.</w:t>
      </w:r>
    </w:p>
    <w:p w:rsidRPr="009C48DA" w:rsidR="00797AFA" w:rsidP="00797AFA" w:rsidRDefault="00797AFA" w14:paraId="49E6A398" w14:textId="1CBC0276">
      <w:pPr>
        <w:pStyle w:val="BodyText2SglJ"/>
        <w:rPr>
          <w:rFonts w:eastAsia="Calibri" w:cs="Arial"/>
          <w:szCs w:val="20"/>
          <w:lang w:val="en-GB"/>
        </w:rPr>
      </w:pPr>
      <w:r w:rsidRPr="009C48DA">
        <w:rPr>
          <w:rFonts w:eastAsia="Calibri" w:cs="Arial"/>
          <w:szCs w:val="20"/>
          <w:lang w:val="en-GB"/>
        </w:rPr>
        <w:t>For information on qualitative and quantitative disclosures ab</w:t>
      </w:r>
      <w:r w:rsidRPr="009C48DA" w:rsidR="002B6DD9">
        <w:rPr>
          <w:rFonts w:eastAsia="Calibri" w:cs="Arial"/>
          <w:szCs w:val="20"/>
          <w:lang w:val="en-GB"/>
        </w:rPr>
        <w:t>out credit risk, refer to Note </w:t>
      </w:r>
      <w:r w:rsidRPr="009C48DA" w:rsidR="00CD3B44">
        <w:rPr>
          <w:rFonts w:eastAsia="Calibri" w:cs="Arial"/>
          <w:szCs w:val="20"/>
          <w:lang w:val="en-GB"/>
        </w:rPr>
        <w:t>20</w:t>
      </w:r>
      <w:r w:rsidRPr="009C48DA">
        <w:rPr>
          <w:rFonts w:eastAsia="Calibri" w:cs="Arial"/>
          <w:szCs w:val="20"/>
          <w:lang w:val="en-GB"/>
        </w:rPr>
        <w:t xml:space="preserve"> in </w:t>
      </w:r>
      <w:r w:rsidRPr="009C48DA" w:rsidR="00641458">
        <w:rPr>
          <w:rFonts w:eastAsia="Calibri" w:cs="Arial"/>
          <w:lang w:val="en-GB"/>
        </w:rPr>
        <w:fldChar w:fldCharType="begin"/>
      </w:r>
      <w:r w:rsidRPr="009C48DA" w:rsidR="00641458">
        <w:rPr>
          <w:rFonts w:eastAsia="Calibri" w:cs="Arial"/>
          <w:lang w:val="en-GB"/>
        </w:rPr>
        <w:instrText xml:space="preserve"> REF _Ref72800070 \n \h  \* MERGEFORMAT </w:instrText>
      </w:r>
      <w:r w:rsidRPr="009C48DA" w:rsidR="00641458">
        <w:rPr>
          <w:rFonts w:eastAsia="Calibri" w:cs="Arial"/>
          <w:lang w:val="en-GB"/>
        </w:rPr>
      </w:r>
      <w:r w:rsidRPr="009C48DA" w:rsidR="00641458">
        <w:rPr>
          <w:rFonts w:eastAsia="Calibri" w:cs="Arial"/>
          <w:lang w:val="en-GB"/>
        </w:rPr>
        <w:fldChar w:fldCharType="separate"/>
      </w:r>
      <w:r w:rsidR="007C3D19">
        <w:rPr>
          <w:rFonts w:eastAsia="Calibri" w:cs="Arial"/>
          <w:lang w:val="en-GB"/>
        </w:rPr>
        <w:t>Part B</w:t>
      </w:r>
      <w:r w:rsidRPr="009C48DA" w:rsidR="00641458">
        <w:rPr>
          <w:rFonts w:eastAsia="Calibri" w:cs="Arial"/>
          <w:lang w:val="en-GB"/>
        </w:rPr>
        <w:fldChar w:fldCharType="end"/>
      </w:r>
      <w:r w:rsidRPr="009C48DA" w:rsidR="00641458">
        <w:rPr>
          <w:rFonts w:eastAsia="Calibri" w:cs="Arial"/>
          <w:lang w:val="en-GB"/>
        </w:rPr>
        <w:t xml:space="preserve"> of </w:t>
      </w:r>
      <w:r w:rsidRPr="009C48DA" w:rsidR="00641458">
        <w:rPr>
          <w:rFonts w:eastAsia="Calibri" w:cs="Arial"/>
          <w:lang w:val="en-GB"/>
        </w:rPr>
        <w:fldChar w:fldCharType="begin"/>
      </w:r>
      <w:r w:rsidRPr="009C48DA" w:rsidR="00641458">
        <w:rPr>
          <w:rFonts w:eastAsia="Calibri" w:cs="Arial"/>
          <w:lang w:val="en-GB"/>
        </w:rPr>
        <w:instrText xml:space="preserve"> REF _Ref72800077 \n \h  \* MERGEFORMAT </w:instrText>
      </w:r>
      <w:r w:rsidRPr="009C48DA" w:rsidR="00641458">
        <w:rPr>
          <w:rFonts w:eastAsia="Calibri" w:cs="Arial"/>
          <w:lang w:val="en-GB"/>
        </w:rPr>
      </w:r>
      <w:r w:rsidRPr="009C48DA" w:rsidR="00641458">
        <w:rPr>
          <w:rFonts w:eastAsia="Calibri" w:cs="Arial"/>
          <w:lang w:val="en-GB"/>
        </w:rPr>
        <w:fldChar w:fldCharType="separate"/>
      </w:r>
      <w:r w:rsidR="007C3D19">
        <w:rPr>
          <w:rFonts w:eastAsia="Calibri" w:cs="Arial"/>
          <w:lang w:val="en-GB"/>
        </w:rPr>
        <w:t>Part X</w:t>
      </w:r>
      <w:r w:rsidRPr="009C48DA" w:rsidR="00641458">
        <w:rPr>
          <w:rFonts w:eastAsia="Calibri" w:cs="Arial"/>
          <w:lang w:val="en-GB"/>
        </w:rPr>
        <w:fldChar w:fldCharType="end"/>
      </w:r>
      <w:r w:rsidRPr="009C48DA" w:rsidR="00641458">
        <w:rPr>
          <w:rFonts w:eastAsia="Calibri" w:cs="Arial"/>
          <w:lang w:val="en-GB"/>
        </w:rPr>
        <w:t> </w:t>
      </w:r>
      <w:r w:rsidRPr="009C48DA">
        <w:rPr>
          <w:rFonts w:eastAsia="Calibri" w:cs="Arial"/>
          <w:szCs w:val="20"/>
          <w:lang w:val="en-GB"/>
        </w:rPr>
        <w:t>(</w:t>
      </w:r>
      <w:r w:rsidRPr="009C48DA" w:rsidR="006320D1">
        <w:rPr>
          <w:i/>
          <w:szCs w:val="20"/>
          <w:lang w:val="en-GB"/>
        </w:rPr>
      </w:r>
      <w:r w:rsidRPr="007C3D19" w:rsidR="007C3D19">
        <w:rPr>
          <w:i/>
          <w:lang w:val="en-GB"/>
        </w:rPr>
        <w:t>Historical Financial Information</w:t>
      </w:r>
      <w:r w:rsidRPr="009C48DA" w:rsidR="00164EEC">
        <w:rPr>
          <w:rFonts w:eastAsia="Calibri" w:cs="Arial"/>
          <w:szCs w:val="20"/>
          <w:lang w:val="en-GB"/>
        </w:rPr>
        <w:t>)</w:t>
      </w:r>
      <w:r w:rsidRPr="009C48DA">
        <w:rPr>
          <w:rFonts w:eastAsia="Calibri" w:cs="Arial"/>
          <w:szCs w:val="20"/>
          <w:lang w:val="en-GB"/>
        </w:rPr>
        <w:t>.</w:t>
      </w:r>
    </w:p>
    <w:p w:rsidRPr="009C48DA" w:rsidR="00797AFA" w:rsidP="00797AFA" w:rsidRDefault="00797AFA" w14:paraId="67E68B94" w14:textId="77777777">
      <w:pPr>
        <w:pStyle w:val="TitleB"/>
        <w:rPr>
          <w:szCs w:val="20"/>
          <w:lang w:val="en-GB"/>
        </w:rPr>
      </w:pPr>
      <w:r w:rsidRPr="009C48DA">
        <w:rPr>
          <w:szCs w:val="20"/>
          <w:lang w:val="en-GB"/>
        </w:rPr>
        <w:t>Liquidity risk</w:t>
      </w:r>
    </w:p>
    <w:p w:rsidRPr="009C48DA" w:rsidR="00797AFA" w:rsidP="00797AFA" w:rsidRDefault="00797AFA" w14:paraId="1285A76D" w14:textId="77777777">
      <w:pPr>
        <w:pStyle w:val="BodyText2SglJ"/>
        <w:rPr>
          <w:rFonts w:eastAsia="Calibri" w:cs="Arial"/>
          <w:szCs w:val="20"/>
          <w:lang w:val="en-GB"/>
        </w:rPr>
      </w:pPr>
      <w:r w:rsidRPr="009C48DA">
        <w:rPr>
          <w:rFonts w:eastAsia="Calibri" w:cs="Arial"/>
          <w:szCs w:val="20"/>
          <w:lang w:val="en-GB"/>
        </w:rPr>
        <w:t xml:space="preserve">Liquidity risk is the risk that the Group will encounter difficulty in meeting the obligations associated with its financial liabilities that are settled by delivering cash or another financial asset. The Group’s approach to managing liquidity is to ensure, as far as possible, that it will </w:t>
      </w:r>
      <w:r w:rsidRPr="009C48DA">
        <w:rPr>
          <w:szCs w:val="20"/>
          <w:lang w:val="en-GB"/>
        </w:rPr>
        <w:t>always</w:t>
      </w:r>
      <w:r w:rsidRPr="009C48DA">
        <w:rPr>
          <w:rFonts w:eastAsia="Calibri" w:cs="Arial"/>
          <w:szCs w:val="20"/>
          <w:lang w:val="en-GB"/>
        </w:rPr>
        <w:t xml:space="preserve"> have sufficient liquidity to meet its liabilities when due, under both normal and stressed conditions, without incurring unacceptable losses or risking damage to the Group’s reputation.</w:t>
      </w:r>
    </w:p>
    <w:p w:rsidRPr="009C48DA" w:rsidR="009C4F8B" w:rsidP="009C4F8B" w:rsidRDefault="009C4F8B" w14:paraId="07F13A35" w14:textId="62AD4858">
      <w:pPr>
        <w:pStyle w:val="BodyText2SglJ"/>
        <w:rPr>
          <w:szCs w:val="20"/>
          <w:lang w:val="en-GB"/>
        </w:rPr>
      </w:pPr>
      <w:r w:rsidRPr="009C48DA">
        <w:rPr>
          <w:szCs w:val="20"/>
          <w:lang w:val="en-GB"/>
        </w:rPr>
        <w:t>The Group</w:t>
      </w:r>
      <w:r w:rsidRPr="009C48DA" w:rsidR="006876CA">
        <w:rPr>
          <w:szCs w:val="20"/>
          <w:lang w:val="en-GB"/>
        </w:rPr>
        <w:t>’</w:t>
      </w:r>
      <w:r w:rsidRPr="009C48DA">
        <w:rPr>
          <w:szCs w:val="20"/>
          <w:lang w:val="en-GB"/>
        </w:rPr>
        <w:t>s l</w:t>
      </w:r>
      <w:r w:rsidRPr="009C48DA" w:rsidR="00797AFA">
        <w:rPr>
          <w:szCs w:val="20"/>
          <w:lang w:val="en-GB"/>
        </w:rPr>
        <w:t xml:space="preserve">iquidity outlook is monitored at least monthly by management and regularly reviewed by the Board of Directors. </w:t>
      </w:r>
    </w:p>
    <w:p w:rsidRPr="009C48DA" w:rsidR="009C4F8B" w:rsidP="009C4F8B" w:rsidRDefault="009C4F8B" w14:paraId="4CA407A6" w14:textId="2D0D8479">
      <w:pPr>
        <w:pStyle w:val="BodyText2SglJ"/>
        <w:rPr>
          <w:szCs w:val="20"/>
          <w:lang w:val="en-GB"/>
        </w:rPr>
      </w:pPr>
      <w:r w:rsidRPr="009C48DA">
        <w:rPr>
          <w:szCs w:val="20"/>
          <w:lang w:val="en-GB"/>
        </w:rPr>
        <w:t xml:space="preserve">The timing of the Group’s management fee receipts and operating expenditure are predictable. The timing, amount and profits from the Group’s investments into and divestments from the </w:t>
      </w:r>
      <w:r w:rsidRPr="009C48DA" w:rsidR="007F7AA9">
        <w:rPr>
          <w:lang w:val="en-GB"/>
        </w:rPr>
        <w:t xml:space="preserve">Bridgepoint </w:t>
      </w:r>
      <w:r w:rsidRPr="009C48DA">
        <w:rPr>
          <w:szCs w:val="20"/>
          <w:lang w:val="en-GB"/>
        </w:rPr>
        <w:t xml:space="preserve">Funds </w:t>
      </w:r>
      <w:r w:rsidRPr="009C48DA">
        <w:rPr>
          <w:szCs w:val="20"/>
          <w:lang w:val="en-GB"/>
        </w:rPr>
        <w:lastRenderedPageBreak/>
        <w:t>are inherently less predictable, however a reasonable period of notice is given to all investors, including the Group, ahead of drawing of funds.</w:t>
      </w:r>
    </w:p>
    <w:p w:rsidRPr="009C48DA" w:rsidR="009C4F8B" w:rsidP="009C4F8B" w:rsidRDefault="00797AFA" w14:paraId="561AFFB9" w14:textId="77777777">
      <w:pPr>
        <w:pStyle w:val="BodyText2SglJ"/>
        <w:rPr>
          <w:szCs w:val="20"/>
          <w:lang w:val="en-GB"/>
        </w:rPr>
      </w:pPr>
      <w:r w:rsidRPr="009C48DA">
        <w:rPr>
          <w:rFonts w:eastAsia="Calibri" w:cs="Arial"/>
          <w:szCs w:val="20"/>
          <w:lang w:val="en-GB"/>
        </w:rPr>
        <w:t xml:space="preserve">The Group’s policy is to maintain sufficient amounts of cash and cash equivalents to meet its </w:t>
      </w:r>
      <w:r w:rsidRPr="009C48DA">
        <w:rPr>
          <w:szCs w:val="20"/>
          <w:lang w:val="en-GB"/>
        </w:rPr>
        <w:t>commitments</w:t>
      </w:r>
      <w:r w:rsidRPr="009C48DA">
        <w:rPr>
          <w:rFonts w:eastAsia="Calibri" w:cs="Arial"/>
          <w:szCs w:val="20"/>
          <w:lang w:val="en-GB"/>
        </w:rPr>
        <w:t xml:space="preserve"> at a given date. The Group has the </w:t>
      </w:r>
      <w:r w:rsidRPr="009C48DA">
        <w:rPr>
          <w:szCs w:val="20"/>
          <w:lang w:val="en-GB"/>
        </w:rPr>
        <w:t xml:space="preserve">BAH Revolving Credit Facility in place </w:t>
      </w:r>
      <w:r w:rsidRPr="009C48DA">
        <w:rPr>
          <w:rFonts w:eastAsia="Calibri" w:cs="Arial"/>
          <w:szCs w:val="20"/>
          <w:lang w:val="en-GB"/>
        </w:rPr>
        <w:t>to assist in managing its liquidity requirements.</w:t>
      </w:r>
      <w:r w:rsidRPr="009C48DA" w:rsidR="009C4F8B">
        <w:rPr>
          <w:rFonts w:eastAsia="Calibri" w:cs="Arial"/>
          <w:szCs w:val="20"/>
          <w:lang w:val="en-GB"/>
        </w:rPr>
        <w:t xml:space="preserve"> </w:t>
      </w:r>
      <w:r w:rsidRPr="009C48DA" w:rsidR="009C4F8B">
        <w:rPr>
          <w:szCs w:val="20"/>
          <w:lang w:val="en-GB"/>
        </w:rPr>
        <w:t>Due to the long-term nature of the Group’s assets, the Group seeks to ensure that the maturity of its debt instruments is matched to cash generated from its business.</w:t>
      </w:r>
    </w:p>
    <w:p w:rsidRPr="009C48DA" w:rsidR="00797AFA" w:rsidP="00797AFA" w:rsidRDefault="00797AFA" w14:paraId="5E442D70" w14:textId="06074A5F">
      <w:pPr>
        <w:pStyle w:val="BodyText2SglJ"/>
        <w:rPr>
          <w:rFonts w:eastAsia="Calibri" w:cs="Arial"/>
          <w:szCs w:val="20"/>
          <w:lang w:val="en-GB"/>
        </w:rPr>
      </w:pPr>
      <w:r w:rsidRPr="009C48DA">
        <w:rPr>
          <w:rFonts w:eastAsia="Calibri" w:cs="Arial"/>
          <w:szCs w:val="20"/>
          <w:lang w:val="en-GB"/>
        </w:rPr>
        <w:t>For information on qualitative and quantitative disclosures about</w:t>
      </w:r>
      <w:r w:rsidRPr="009C48DA" w:rsidR="002B6DD9">
        <w:rPr>
          <w:rFonts w:eastAsia="Calibri" w:cs="Arial"/>
          <w:szCs w:val="20"/>
          <w:lang w:val="en-GB"/>
        </w:rPr>
        <w:t xml:space="preserve"> </w:t>
      </w:r>
      <w:r w:rsidRPr="009C48DA" w:rsidR="00CD3B44">
        <w:rPr>
          <w:rFonts w:eastAsia="Calibri" w:cs="Arial"/>
          <w:szCs w:val="20"/>
          <w:lang w:val="en-GB"/>
        </w:rPr>
        <w:t>liquidity risk, refer to Note 20</w:t>
      </w:r>
      <w:r w:rsidRPr="009C48DA">
        <w:rPr>
          <w:rFonts w:eastAsia="Calibri" w:cs="Arial"/>
          <w:szCs w:val="20"/>
          <w:lang w:val="en-GB"/>
        </w:rPr>
        <w:t xml:space="preserve"> in </w:t>
      </w:r>
      <w:r w:rsidRPr="009C48DA" w:rsidR="001B0C5A">
        <w:rPr>
          <w:rFonts w:eastAsia="Calibri" w:cs="Arial"/>
          <w:lang w:val="en-GB"/>
        </w:rPr>
        <w:fldChar w:fldCharType="begin"/>
      </w:r>
      <w:r w:rsidRPr="009C48DA" w:rsidR="001B0C5A">
        <w:rPr>
          <w:rFonts w:eastAsia="Calibri" w:cs="Arial"/>
          <w:lang w:val="en-GB"/>
        </w:rPr>
        <w:instrText xml:space="preserve"> REF _Ref72800070 \n \h  \* MERGEFORMAT </w:instrText>
      </w:r>
      <w:r w:rsidRPr="009C48DA" w:rsidR="001B0C5A">
        <w:rPr>
          <w:rFonts w:eastAsia="Calibri" w:cs="Arial"/>
          <w:lang w:val="en-GB"/>
        </w:rPr>
      </w:r>
      <w:r w:rsidRPr="009C48DA" w:rsidR="001B0C5A">
        <w:rPr>
          <w:rFonts w:eastAsia="Calibri" w:cs="Arial"/>
          <w:lang w:val="en-GB"/>
        </w:rPr>
        <w:fldChar w:fldCharType="separate"/>
      </w:r>
      <w:r w:rsidR="007C3D19">
        <w:rPr>
          <w:rFonts w:eastAsia="Calibri" w:cs="Arial"/>
          <w:lang w:val="en-GB"/>
        </w:rPr>
        <w:t>Part B</w:t>
      </w:r>
      <w:r w:rsidRPr="009C48DA" w:rsidR="001B0C5A">
        <w:rPr>
          <w:rFonts w:eastAsia="Calibri" w:cs="Arial"/>
          <w:lang w:val="en-GB"/>
        </w:rPr>
        <w:fldChar w:fldCharType="end"/>
      </w:r>
      <w:r w:rsidRPr="009C48DA" w:rsidR="001B0C5A">
        <w:rPr>
          <w:rFonts w:eastAsia="Calibri" w:cs="Arial"/>
          <w:lang w:val="en-GB"/>
        </w:rPr>
        <w:t xml:space="preserve"> of </w:t>
      </w:r>
      <w:r w:rsidRPr="009C48DA" w:rsidR="001B0C5A">
        <w:rPr>
          <w:rFonts w:eastAsia="Calibri" w:cs="Arial"/>
          <w:lang w:val="en-GB"/>
        </w:rPr>
        <w:fldChar w:fldCharType="begin"/>
      </w:r>
      <w:r w:rsidRPr="009C48DA" w:rsidR="001B0C5A">
        <w:rPr>
          <w:rFonts w:eastAsia="Calibri" w:cs="Arial"/>
          <w:lang w:val="en-GB"/>
        </w:rPr>
        <w:instrText xml:space="preserve"> REF _Ref72800077 \n \h  \* MERGEFORMAT </w:instrText>
      </w:r>
      <w:r w:rsidRPr="009C48DA" w:rsidR="001B0C5A">
        <w:rPr>
          <w:rFonts w:eastAsia="Calibri" w:cs="Arial"/>
          <w:lang w:val="en-GB"/>
        </w:rPr>
      </w:r>
      <w:r w:rsidRPr="009C48DA" w:rsidR="001B0C5A">
        <w:rPr>
          <w:rFonts w:eastAsia="Calibri" w:cs="Arial"/>
          <w:lang w:val="en-GB"/>
        </w:rPr>
        <w:fldChar w:fldCharType="separate"/>
      </w:r>
      <w:r w:rsidR="007C3D19">
        <w:rPr>
          <w:rFonts w:eastAsia="Calibri" w:cs="Arial"/>
          <w:lang w:val="en-GB"/>
        </w:rPr>
        <w:t>Part X</w:t>
      </w:r>
      <w:r w:rsidRPr="009C48DA" w:rsidR="001B0C5A">
        <w:rPr>
          <w:rFonts w:eastAsia="Calibri" w:cs="Arial"/>
          <w:lang w:val="en-GB"/>
        </w:rPr>
        <w:fldChar w:fldCharType="end"/>
      </w:r>
      <w:r w:rsidRPr="009C48DA" w:rsidR="001B0C5A">
        <w:rPr>
          <w:rFonts w:eastAsia="Calibri" w:cs="Arial"/>
          <w:lang w:val="en-GB"/>
        </w:rPr>
        <w:t> </w:t>
      </w:r>
      <w:r w:rsidRPr="009C48DA" w:rsidR="0034549F">
        <w:rPr>
          <w:rFonts w:eastAsia="Calibri" w:cs="Arial"/>
          <w:lang w:val="en-GB"/>
        </w:rPr>
        <w:t>(</w:t>
      </w:r>
      <w:r w:rsidRPr="009C48DA" w:rsidR="0034549F">
        <w:rPr>
          <w:rFonts w:eastAsia="Calibri" w:cs="Arial"/>
          <w:i/>
          <w:lang w:val="en-GB"/>
        </w:rPr>
      </w:r>
      <w:r w:rsidRPr="007C3D19" w:rsidR="007C3D19">
        <w:rPr>
          <w:rFonts w:eastAsia="Calibri" w:cs="Arial"/>
          <w:i/>
          <w:lang w:val="en-GB"/>
        </w:rPr>
        <w:t>Historical Financial Information</w:t>
      </w:r>
      <w:r w:rsidRPr="009C48DA" w:rsidR="0034549F">
        <w:rPr>
          <w:rFonts w:eastAsia="Calibri" w:cs="Arial"/>
          <w:lang w:val="en-GB"/>
        </w:rPr>
        <w:t>)</w:t>
      </w:r>
      <w:r w:rsidRPr="009C48DA">
        <w:rPr>
          <w:rFonts w:eastAsia="Calibri" w:cs="Arial"/>
          <w:szCs w:val="20"/>
          <w:lang w:val="en-GB"/>
        </w:rPr>
        <w:t>.</w:t>
      </w:r>
    </w:p>
    <w:p w:rsidRPr="009C48DA" w:rsidR="00797AFA" w:rsidP="00797AFA" w:rsidRDefault="00797AFA" w14:paraId="78900BDC" w14:textId="77777777">
      <w:pPr>
        <w:pStyle w:val="TitleB"/>
        <w:rPr>
          <w:szCs w:val="20"/>
          <w:lang w:val="en-GB"/>
        </w:rPr>
      </w:pPr>
      <w:r w:rsidRPr="009C48DA">
        <w:rPr>
          <w:szCs w:val="20"/>
          <w:lang w:val="en-GB"/>
        </w:rPr>
        <w:t>SIGNIFICANT ACCOUNTING POLICIES AND CRITICAL ESTIMATES AND ASSUMPTIONS</w:t>
      </w:r>
    </w:p>
    <w:p w:rsidRPr="009C48DA" w:rsidR="00797AFA" w:rsidP="009C4F8B" w:rsidRDefault="00797AFA" w14:paraId="467DA680" w14:textId="31B38C6B">
      <w:pPr>
        <w:pStyle w:val="BodyText2SglJ"/>
        <w:rPr>
          <w:lang w:val="en-GB"/>
        </w:rPr>
      </w:pPr>
      <w:r w:rsidRPr="009C48DA">
        <w:rPr>
          <w:rFonts w:eastAsia="Calibri" w:cs="Arial"/>
          <w:color w:val="000000"/>
          <w:szCs w:val="20"/>
          <w:lang w:val="en-GB"/>
        </w:rPr>
        <w:t xml:space="preserve">Preparation of the Historical Financial Information requires management to make significant </w:t>
      </w:r>
      <w:r w:rsidRPr="009C48DA">
        <w:rPr>
          <w:szCs w:val="20"/>
          <w:lang w:val="en-GB"/>
        </w:rPr>
        <w:t>judgements</w:t>
      </w:r>
      <w:r w:rsidRPr="009C48DA">
        <w:rPr>
          <w:rFonts w:eastAsia="Calibri" w:cs="Arial"/>
          <w:color w:val="000000"/>
          <w:szCs w:val="20"/>
          <w:lang w:val="en-GB"/>
        </w:rPr>
        <w:t xml:space="preserve"> and estimates. For information on certain critical accounting judgements in applying the </w:t>
      </w:r>
      <w:r w:rsidRPr="009C48DA">
        <w:rPr>
          <w:rFonts w:eastAsia="Calibri" w:cs="Arial"/>
          <w:szCs w:val="20"/>
          <w:lang w:val="en-GB"/>
        </w:rPr>
        <w:t>Group</w:t>
      </w:r>
      <w:r w:rsidRPr="009C48DA">
        <w:rPr>
          <w:rFonts w:eastAsia="Calibri" w:cs="Arial"/>
          <w:color w:val="000000"/>
          <w:szCs w:val="20"/>
          <w:lang w:val="en-GB"/>
        </w:rPr>
        <w:t xml:space="preserve">’s accounting policies, see Notes 2 and 3 of </w:t>
      </w:r>
      <w:r w:rsidRPr="009C48DA" w:rsidR="001B0C5A">
        <w:rPr>
          <w:rFonts w:eastAsia="Calibri" w:cs="Arial"/>
          <w:lang w:val="en-GB"/>
        </w:rPr>
        <w:fldChar w:fldCharType="begin"/>
      </w:r>
      <w:r w:rsidRPr="009C48DA" w:rsidR="001B0C5A">
        <w:rPr>
          <w:rFonts w:eastAsia="Calibri" w:cs="Arial"/>
          <w:lang w:val="en-GB"/>
        </w:rPr>
        <w:instrText xml:space="preserve"> REF _Ref72800070 \n \h  \* MERGEFORMAT </w:instrText>
      </w:r>
      <w:r w:rsidRPr="009C48DA" w:rsidR="001B0C5A">
        <w:rPr>
          <w:rFonts w:eastAsia="Calibri" w:cs="Arial"/>
          <w:lang w:val="en-GB"/>
        </w:rPr>
      </w:r>
      <w:r w:rsidRPr="009C48DA" w:rsidR="001B0C5A">
        <w:rPr>
          <w:rFonts w:eastAsia="Calibri" w:cs="Arial"/>
          <w:lang w:val="en-GB"/>
        </w:rPr>
        <w:fldChar w:fldCharType="separate"/>
      </w:r>
      <w:r w:rsidR="007C3D19">
        <w:rPr>
          <w:rFonts w:eastAsia="Calibri" w:cs="Arial"/>
          <w:lang w:val="en-GB"/>
        </w:rPr>
        <w:t>Part B</w:t>
      </w:r>
      <w:r w:rsidRPr="009C48DA" w:rsidR="001B0C5A">
        <w:rPr>
          <w:rFonts w:eastAsia="Calibri" w:cs="Arial"/>
          <w:lang w:val="en-GB"/>
        </w:rPr>
        <w:fldChar w:fldCharType="end"/>
      </w:r>
      <w:r w:rsidRPr="009C48DA" w:rsidR="001B0C5A">
        <w:rPr>
          <w:rFonts w:eastAsia="Calibri" w:cs="Arial"/>
          <w:lang w:val="en-GB"/>
        </w:rPr>
        <w:t xml:space="preserve"> of </w:t>
      </w:r>
      <w:r w:rsidRPr="009C48DA" w:rsidR="001B0C5A">
        <w:rPr>
          <w:rFonts w:eastAsia="Calibri" w:cs="Arial"/>
          <w:lang w:val="en-GB"/>
        </w:rPr>
        <w:fldChar w:fldCharType="begin"/>
      </w:r>
      <w:r w:rsidRPr="009C48DA" w:rsidR="001B0C5A">
        <w:rPr>
          <w:rFonts w:eastAsia="Calibri" w:cs="Arial"/>
          <w:lang w:val="en-GB"/>
        </w:rPr>
        <w:instrText xml:space="preserve"> REF _Ref72800077 \n \h  \* MERGEFORMAT </w:instrText>
      </w:r>
      <w:r w:rsidRPr="009C48DA" w:rsidR="001B0C5A">
        <w:rPr>
          <w:rFonts w:eastAsia="Calibri" w:cs="Arial"/>
          <w:lang w:val="en-GB"/>
        </w:rPr>
      </w:r>
      <w:r w:rsidRPr="009C48DA" w:rsidR="001B0C5A">
        <w:rPr>
          <w:rFonts w:eastAsia="Calibri" w:cs="Arial"/>
          <w:lang w:val="en-GB"/>
        </w:rPr>
        <w:fldChar w:fldCharType="separate"/>
      </w:r>
      <w:r w:rsidR="007C3D19">
        <w:rPr>
          <w:rFonts w:eastAsia="Calibri" w:cs="Arial"/>
          <w:lang w:val="en-GB"/>
        </w:rPr>
        <w:t>Part X</w:t>
      </w:r>
      <w:r w:rsidRPr="009C48DA" w:rsidR="001B0C5A">
        <w:rPr>
          <w:rFonts w:eastAsia="Calibri" w:cs="Arial"/>
          <w:lang w:val="en-GB"/>
        </w:rPr>
        <w:fldChar w:fldCharType="end"/>
      </w:r>
      <w:r w:rsidRPr="009C48DA" w:rsidR="001B0C5A">
        <w:rPr>
          <w:rFonts w:eastAsia="Calibri" w:cs="Arial"/>
          <w:lang w:val="en-GB"/>
        </w:rPr>
        <w:t> </w:t>
      </w:r>
      <w:r w:rsidRPr="009C48DA" w:rsidR="0034549F">
        <w:rPr>
          <w:rFonts w:eastAsia="Calibri" w:cs="Arial"/>
          <w:lang w:val="en-GB"/>
        </w:rPr>
        <w:t>(</w:t>
      </w:r>
      <w:r w:rsidRPr="009C48DA" w:rsidR="0034549F">
        <w:rPr>
          <w:rFonts w:eastAsia="Calibri" w:cs="Arial"/>
          <w:i/>
          <w:lang w:val="en-GB"/>
        </w:rPr>
      </w:r>
      <w:r w:rsidRPr="007C3D19" w:rsidR="007C3D19">
        <w:rPr>
          <w:rFonts w:eastAsia="Calibri" w:cs="Arial"/>
          <w:i/>
          <w:lang w:val="en-GB"/>
        </w:rPr>
        <w:t>Historical Financial Information</w:t>
      </w:r>
      <w:r w:rsidRPr="009C48DA" w:rsidR="0034549F">
        <w:rPr>
          <w:rFonts w:eastAsia="Calibri" w:cs="Arial"/>
          <w:lang w:val="en-GB"/>
        </w:rPr>
        <w:t>)</w:t>
      </w:r>
      <w:r w:rsidRPr="009C48DA">
        <w:rPr>
          <w:rFonts w:eastAsia="Calibri" w:cs="Arial"/>
          <w:color w:val="000000"/>
          <w:szCs w:val="20"/>
          <w:lang w:val="en-GB"/>
        </w:rPr>
        <w:t>.</w:t>
      </w:r>
      <w:r w:rsidRPr="009C48DA">
        <w:rPr>
          <w:lang w:val="en-GB"/>
        </w:rPr>
        <w:br w:type="page"/>
      </w:r>
    </w:p>
    <w:bookmarkEnd w:id="637"/>
    <w:bookmarkEnd w:id="638"/>
    <w:bookmarkEnd w:id="639"/>
    <w:bookmarkEnd w:id="640"/>
    <w:bookmarkEnd w:id="641"/>
    <w:bookmarkEnd w:id="644"/>
    <w:bookmarkEnd w:id="645"/>
    <w:bookmarkEnd w:id="646"/>
    <w:bookmarkEnd w:id="647"/>
    <w:bookmarkEnd w:id="648"/>
    <w:bookmarkEnd w:id="649"/>
    <w:bookmarkEnd w:id="650"/>
    <w:bookmarkEnd w:id="651"/>
    <w:bookmarkEnd w:id="652"/>
    <w:bookmarkEnd w:id="653"/>
    <w:p w:rsidRPr="009C48DA" w:rsidR="00DA7B9D" w:rsidP="00F172AB" w:rsidRDefault="00F02DE2" w14:paraId="55C1BEA7" w14:textId="3B2B2BE2">
      <w:pPr>
        <w:pStyle w:val="Heading1"/>
        <w:rPr>
          <w:lang w:val="en-GB"/>
        </w:rPr>
      </w:pPr>
      <w:r w:rsidRPr="009C48DA">
        <w:rPr>
          <w:lang w:val="en-GB"/>
        </w:rPr>
        <w:lastRenderedPageBreak/>
        <w:br/>
      </w:r>
      <w:r w:rsidRPr="009C48DA">
        <w:rPr>
          <w:lang w:val="en-GB"/>
        </w:rPr>
        <w:br/>
      </w:r>
      <w:bookmarkStart w:name="_Toc67956037" w:id="656"/>
      <w:bookmarkStart w:name="_Toc67963001" w:id="657"/>
      <w:bookmarkStart w:name="_Toc67963382" w:id="658"/>
      <w:bookmarkStart w:name="_Ref69831818" w:id="659"/>
      <w:bookmarkStart w:name="_Ref71140325" w:id="660"/>
      <w:bookmarkStart w:name="_Ref71141977" w:id="661"/>
      <w:bookmarkStart w:name="_Ref71144227" w:id="662"/>
      <w:bookmarkStart w:name="_Ref71144309" w:id="663"/>
      <w:bookmarkStart w:name="_Ref71144330" w:id="664"/>
      <w:bookmarkStart w:name="_Ref71146161" w:id="665"/>
      <w:bookmarkStart w:name="_Ref71146182" w:id="666"/>
      <w:bookmarkStart w:name="_Ref71146201" w:id="667"/>
      <w:bookmarkStart w:name="_Ref71146218" w:id="668"/>
      <w:bookmarkStart w:name="_Ref71146392" w:id="669"/>
      <w:bookmarkStart w:name="_Toc71147111" w:id="670"/>
      <w:bookmarkStart w:name="_Toc71147151" w:id="671"/>
      <w:bookmarkStart w:name="_Toc71147165" w:id="672"/>
      <w:bookmarkStart w:name="_Ref71166403" w:id="673"/>
      <w:bookmarkStart w:name="_Ref71166421" w:id="674"/>
      <w:bookmarkStart w:name="_Ref71166450" w:id="675"/>
      <w:bookmarkStart w:name="_Toc71167151" w:id="676"/>
      <w:bookmarkStart w:name="_Toc71187620" w:id="677"/>
      <w:bookmarkStart w:name="_Toc71188682" w:id="678"/>
      <w:bookmarkStart w:name="_Ref72799626" w:id="679"/>
      <w:bookmarkStart w:name="_Ref72799641" w:id="680"/>
      <w:bookmarkStart w:name="_Ref72799941" w:id="681"/>
      <w:bookmarkStart w:name="_Ref72800077" w:id="682"/>
      <w:bookmarkStart w:name="_Ref73467788" w:id="683"/>
      <w:bookmarkStart w:name="_Ref74459914" w:id="684"/>
      <w:bookmarkStart w:name="_Ref74460124" w:id="685"/>
      <w:bookmarkStart w:name="_Ref74464503" w:id="686"/>
      <w:bookmarkStart w:name="_Ref74473101" w:id="687"/>
      <w:bookmarkStart w:name="_Ref74473309" w:id="688"/>
      <w:bookmarkStart w:name="_Ref74473398" w:id="689"/>
      <w:bookmarkStart w:name="_Ref74555856" w:id="690"/>
      <w:bookmarkStart w:name="_Ref74556713" w:id="691"/>
      <w:bookmarkStart w:name="_Ref74557049" w:id="692"/>
      <w:bookmarkStart w:name="_Ref74557081" w:id="693"/>
      <w:bookmarkStart w:name="_Ref74557399" w:id="694"/>
      <w:bookmarkStart w:name="_Ref74691889" w:id="695"/>
      <w:bookmarkStart w:name="_Ref75190796" w:id="696"/>
      <w:bookmarkStart w:name="_Toc4171257" w:id="697"/>
      <w:bookmarkStart w:name="_Toc75831928" w:id="698"/>
      <w:r w:rsidRPr="009C48DA" w:rsidR="00F172AB">
        <w:rPr>
          <w:lang w:val="en-GB"/>
        </w:rPr>
        <w:t>Historical Financial Information</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rsidRPr="009C48DA" w:rsidR="00DA7B9D" w:rsidP="00EF6784" w:rsidRDefault="00EF6784" w14:paraId="04BBEF21" w14:textId="2623367E">
      <w:pPr>
        <w:pStyle w:val="Heading2"/>
        <w:jc w:val="center"/>
        <w:rPr>
          <w:sz w:val="20"/>
          <w:lang w:val="en-GB"/>
        </w:rPr>
      </w:pPr>
      <w:bookmarkStart w:name="_Toc67956038" w:id="699"/>
      <w:bookmarkStart w:name="_Ref71146023" w:id="700"/>
      <w:bookmarkStart w:name="_Ref71146193" w:id="701"/>
      <w:bookmarkStart w:name="_Ref71146211" w:id="702"/>
      <w:r w:rsidRPr="009C48DA">
        <w:rPr>
          <w:sz w:val="20"/>
          <w:lang w:val="en-GB"/>
        </w:rPr>
        <w:br/>
      </w:r>
      <w:r w:rsidRPr="009C48DA">
        <w:rPr>
          <w:sz w:val="20"/>
          <w:lang w:val="en-GB"/>
        </w:rPr>
        <w:br/>
      </w:r>
      <w:bookmarkStart w:name="_Toc71147112" w:id="703"/>
      <w:bookmarkStart w:name="_Toc71147152" w:id="704"/>
      <w:r w:rsidRPr="009C48DA" w:rsidR="00427CB5">
        <w:rPr>
          <w:sz w:val="20"/>
          <w:lang w:val="en-GB"/>
        </w:rPr>
        <w:t>ACCOUNTANT’S REPORT ON THE HISTORICAL FINANCIAL INFORMATION</w:t>
      </w:r>
      <w:bookmarkEnd w:id="699"/>
      <w:bookmarkEnd w:id="700"/>
      <w:bookmarkEnd w:id="701"/>
      <w:bookmarkEnd w:id="702"/>
      <w:bookmarkEnd w:id="703"/>
      <w:bookmarkEnd w:id="704"/>
    </w:p>
    <w:p w:rsidRPr="009C48DA" w:rsidR="0018546A" w:rsidRDefault="00427CB5" w14:paraId="27CEE970" w14:textId="77777777">
      <w:pPr>
        <w:rPr>
          <w:rFonts w:cs="Arial"/>
          <w:szCs w:val="22"/>
          <w:lang w:val="en-GB"/>
        </w:rPr>
        <w:sectPr w:rsidRPr="009C48DA" w:rsidR="0018546A" w:rsidSect="003B4093">
          <w:pgSz w:w="11910" w:h="16840"/>
          <w:pgMar w:top="1580" w:right="1680" w:bottom="280" w:left="1680" w:header="720" w:footer="720" w:gutter="0"/>
          <w:cols w:space="720"/>
        </w:sectPr>
      </w:pPr>
      <w:r w:rsidRPr="009C48DA">
        <w:rPr>
          <w:rFonts w:cs="Arial"/>
          <w:szCs w:val="22"/>
          <w:lang w:val="en-GB"/>
        </w:rPr>
        <w:br w:type="page"/>
      </w:r>
    </w:p>
    <w:p w:rsidRPr="009C48DA" w:rsidR="0018546A" w:rsidP="0018546A" w:rsidRDefault="0018546A" w14:paraId="485769CC" w14:textId="77777777">
      <w:pPr>
        <w:rPr>
          <w:rFonts w:ascii="Georgia" w:hAnsi="Georgia" w:eastAsia="Arial"/>
          <w:sz w:val="20"/>
          <w:szCs w:val="20"/>
          <w:lang w:val="en-GB" w:eastAsia="en-GB"/>
        </w:rPr>
      </w:pPr>
      <w:r w:rsidRPr="009C48DA">
        <w:rPr>
          <w:rFonts w:ascii="Georgia" w:hAnsi="Georgia" w:eastAsia="Arial"/>
          <w:sz w:val="20"/>
          <w:szCs w:val="20"/>
          <w:lang w:val="en-GB" w:eastAsia="en-GB"/>
        </w:rPr>
        <w:lastRenderedPageBreak/>
        <w:t>The directors (the “</w:t>
      </w:r>
      <w:r w:rsidRPr="009C48DA">
        <w:rPr>
          <w:rFonts w:ascii="Georgia" w:hAnsi="Georgia" w:eastAsia="Arial"/>
          <w:b/>
          <w:bCs/>
          <w:sz w:val="20"/>
          <w:szCs w:val="20"/>
          <w:lang w:val="en-GB" w:eastAsia="en-GB"/>
        </w:rPr>
        <w:t>Directors</w:t>
      </w:r>
      <w:r w:rsidRPr="009C48DA">
        <w:rPr>
          <w:rFonts w:ascii="Georgia" w:hAnsi="Georgia" w:eastAsia="Arial"/>
          <w:sz w:val="20"/>
          <w:szCs w:val="20"/>
          <w:lang w:val="en-GB" w:eastAsia="en-GB"/>
        </w:rPr>
        <w:t>”)</w:t>
      </w:r>
    </w:p>
    <w:p w:rsidRPr="009C48DA" w:rsidR="0018546A" w:rsidP="0018546A" w:rsidRDefault="00794BFF" w14:paraId="5C829D03" w14:textId="7730603A">
      <w:pPr>
        <w:rPr>
          <w:rFonts w:ascii="Georgia" w:hAnsi="Georgia" w:eastAsia="Georgia" w:cs="Georgia"/>
          <w:sz w:val="20"/>
          <w:szCs w:val="20"/>
          <w:lang w:val="en-GB" w:eastAsia="en-GB"/>
        </w:rPr>
      </w:pPr>
      <w:r w:rsidRPr="009C48DA">
        <w:rPr>
          <w:rFonts w:ascii="Georgia" w:hAnsi="Georgia" w:eastAsia="Georgia" w:cs="Georgia"/>
          <w:sz w:val="20"/>
          <w:szCs w:val="20"/>
          <w:lang w:val="en-GB" w:eastAsia="en-GB"/>
        </w:rPr>
        <w:t>Atlantic Investments Holdings Limited</w:t>
      </w:r>
    </w:p>
    <w:p w:rsidRPr="009C48DA" w:rsidR="0018546A" w:rsidP="0018546A" w:rsidRDefault="0018546A" w14:paraId="19CE5721" w14:textId="77777777">
      <w:pPr>
        <w:rPr>
          <w:rFonts w:ascii="Georgia" w:hAnsi="Georgia" w:eastAsia="Georgia" w:cs="Georgia"/>
          <w:sz w:val="20"/>
          <w:szCs w:val="20"/>
          <w:lang w:val="en-GB" w:eastAsia="en-GB"/>
        </w:rPr>
      </w:pPr>
      <w:r w:rsidRPr="009C48DA">
        <w:rPr>
          <w:rFonts w:ascii="Georgia" w:hAnsi="Georgia" w:eastAsia="Georgia" w:cs="Georgia"/>
          <w:sz w:val="20"/>
          <w:szCs w:val="20"/>
          <w:lang w:val="en-GB" w:eastAsia="en-GB"/>
        </w:rPr>
        <w:t xml:space="preserve">95 Wigmore Street </w:t>
      </w:r>
    </w:p>
    <w:p w:rsidRPr="009C48DA" w:rsidR="00550398" w:rsidP="0018546A" w:rsidRDefault="0018546A" w14:paraId="09BE5FEF" w14:textId="77777777">
      <w:pPr>
        <w:rPr>
          <w:rFonts w:ascii="Georgia" w:hAnsi="Georgia" w:eastAsia="Georgia" w:cs="Georgia"/>
          <w:sz w:val="20"/>
          <w:szCs w:val="20"/>
          <w:lang w:val="en-GB" w:eastAsia="en-GB"/>
        </w:rPr>
      </w:pPr>
      <w:r w:rsidRPr="009C48DA">
        <w:rPr>
          <w:rFonts w:ascii="Georgia" w:hAnsi="Georgia" w:eastAsia="Georgia" w:cs="Georgia"/>
          <w:sz w:val="20"/>
          <w:szCs w:val="20"/>
          <w:lang w:val="en-GB" w:eastAsia="en-GB"/>
        </w:rPr>
        <w:t>London</w:t>
      </w:r>
    </w:p>
    <w:p w:rsidRPr="009C48DA" w:rsidR="0018546A" w:rsidP="0018546A" w:rsidRDefault="0018546A" w14:paraId="153F58FF" w14:textId="398A4D25">
      <w:pPr>
        <w:rPr>
          <w:rFonts w:ascii="Georgia" w:hAnsi="Georgia" w:eastAsia="Georgia" w:cs="Georgia"/>
          <w:sz w:val="20"/>
          <w:szCs w:val="20"/>
          <w:lang w:val="en-GB" w:eastAsia="en-GB"/>
        </w:rPr>
      </w:pPr>
      <w:r w:rsidRPr="009C48DA">
        <w:rPr>
          <w:rFonts w:ascii="Georgia" w:hAnsi="Georgia" w:eastAsia="Georgia" w:cs="Georgia"/>
          <w:sz w:val="20"/>
          <w:szCs w:val="20"/>
          <w:lang w:val="en-GB" w:eastAsia="en-GB"/>
        </w:rPr>
        <w:t>W1U 1FB</w:t>
      </w:r>
    </w:p>
    <w:p w:rsidRPr="009C48DA" w:rsidR="00DA7B9D" w:rsidRDefault="00DA7B9D" w14:paraId="4A5C5375" w14:textId="5E160D7E">
      <w:pPr>
        <w:rPr>
          <w:rFonts w:ascii="Georgia" w:hAnsi="Georgia" w:cs="Arial"/>
          <w:sz w:val="20"/>
          <w:szCs w:val="20"/>
          <w:lang w:val="en-GB"/>
        </w:rPr>
      </w:pPr>
    </w:p>
    <w:p w:rsidRPr="009C48DA" w:rsidR="0018546A" w:rsidP="0018546A" w:rsidRDefault="006826D5" w14:paraId="4D796E07" w14:textId="7E803207">
      <w:pPr>
        <w:rPr>
          <w:rFonts w:ascii="Georgia" w:hAnsi="Georgia" w:eastAsia="Arial" w:cs="Arial"/>
          <w:sz w:val="20"/>
          <w:szCs w:val="20"/>
          <w:lang w:val="en-GB" w:eastAsia="en-GB"/>
        </w:rPr>
      </w:pPr>
      <w:r w:rsidRPr="009C48DA">
        <w:rPr>
          <w:rFonts w:ascii="Georgia" w:hAnsi="Georgia" w:eastAsia="Arial" w:cs="Arial"/>
          <w:sz w:val="20"/>
          <w:szCs w:val="20"/>
          <w:lang w:val="en-GB" w:eastAsia="en-GB"/>
        </w:rPr>
        <w:t>29 June</w:t>
      </w:r>
      <w:r w:rsidRPr="009C48DA" w:rsidR="00FA30C8">
        <w:rPr>
          <w:rFonts w:ascii="Georgia" w:hAnsi="Georgia" w:eastAsia="Arial" w:cs="Arial"/>
          <w:sz w:val="20"/>
          <w:szCs w:val="20"/>
          <w:lang w:val="en-GB" w:eastAsia="en-GB"/>
        </w:rPr>
        <w:t xml:space="preserve"> </w:t>
      </w:r>
      <w:r w:rsidRPr="009C48DA" w:rsidR="0018546A">
        <w:rPr>
          <w:rFonts w:ascii="Georgia" w:hAnsi="Georgia" w:eastAsia="Arial" w:cs="Arial"/>
          <w:sz w:val="20"/>
          <w:szCs w:val="20"/>
          <w:lang w:val="en-GB" w:eastAsia="en-GB"/>
        </w:rPr>
        <w:t>2021</w:t>
      </w:r>
    </w:p>
    <w:p w:rsidRPr="009C48DA" w:rsidR="0018546A" w:rsidP="0018546A" w:rsidRDefault="0018546A" w14:paraId="467EF21C" w14:textId="77777777">
      <w:pPr>
        <w:rPr>
          <w:rFonts w:ascii="Georgia" w:hAnsi="Georgia" w:eastAsia="Calibri" w:cs="Times New Roman"/>
          <w:sz w:val="20"/>
          <w:szCs w:val="20"/>
          <w:lang w:val="en-GB"/>
        </w:rPr>
      </w:pPr>
    </w:p>
    <w:p w:rsidRPr="009C48DA" w:rsidR="0018546A" w:rsidP="00550398" w:rsidRDefault="0018546A" w14:paraId="1B05E41D" w14:textId="77777777">
      <w:pPr>
        <w:spacing w:after="120"/>
        <w:rPr>
          <w:rFonts w:ascii="Georgia" w:hAnsi="Georgia" w:eastAsia="Arial" w:cs="Arial"/>
          <w:sz w:val="20"/>
          <w:szCs w:val="20"/>
          <w:lang w:val="en-GB" w:eastAsia="en-GB"/>
        </w:rPr>
      </w:pPr>
      <w:r w:rsidRPr="009C48DA">
        <w:rPr>
          <w:rFonts w:ascii="Georgia" w:hAnsi="Georgia" w:eastAsia="Arial" w:cs="Arial"/>
          <w:sz w:val="20"/>
          <w:szCs w:val="20"/>
          <w:lang w:val="en-GB" w:eastAsia="en-GB"/>
        </w:rPr>
        <w:t>Dear Ladies and Gentlemen</w:t>
      </w:r>
    </w:p>
    <w:p w:rsidRPr="009C48DA" w:rsidR="0018546A" w:rsidP="00550398" w:rsidRDefault="00794BFF" w14:paraId="4C0CF451" w14:textId="3833CB6A">
      <w:pPr>
        <w:spacing w:after="120" w:line="240" w:lineRule="atLeast"/>
        <w:rPr>
          <w:rFonts w:ascii="Georgia" w:hAnsi="Georgia" w:eastAsia="Calibri" w:cs="Arial"/>
          <w:b/>
          <w:bCs/>
          <w:sz w:val="20"/>
          <w:szCs w:val="20"/>
          <w:lang w:val="en-GB"/>
        </w:rPr>
      </w:pPr>
      <w:r w:rsidRPr="009C48DA">
        <w:rPr>
          <w:rFonts w:ascii="Georgia" w:hAnsi="Georgia" w:eastAsia="Georgia" w:cs="Georgia"/>
          <w:b/>
          <w:bCs/>
          <w:sz w:val="20"/>
          <w:szCs w:val="20"/>
          <w:lang w:val="en-GB" w:eastAsia="en-GB"/>
        </w:rPr>
        <w:t>Atlantic Investments Holdings Limited</w:t>
      </w:r>
      <w:r w:rsidRPr="009C48DA" w:rsidR="0018546A">
        <w:rPr>
          <w:rFonts w:ascii="Georgia" w:hAnsi="Georgia" w:eastAsia="Georgia" w:cs="Georgia"/>
          <w:b/>
          <w:bCs/>
          <w:sz w:val="20"/>
          <w:szCs w:val="20"/>
          <w:lang w:val="en-GB" w:eastAsia="en-GB"/>
        </w:rPr>
        <w:t xml:space="preserve"> </w:t>
      </w:r>
      <w:r w:rsidRPr="009C48DA" w:rsidR="0018546A">
        <w:rPr>
          <w:rFonts w:ascii="Georgia" w:hAnsi="Georgia" w:eastAsia="Calibri" w:cs="Arial"/>
          <w:b/>
          <w:bCs/>
          <w:sz w:val="20"/>
          <w:szCs w:val="20"/>
          <w:lang w:val="en-GB"/>
        </w:rPr>
        <w:t>(the “Company” and, together with its subsidiaries, the “Group”)</w:t>
      </w:r>
    </w:p>
    <w:p w:rsidRPr="009C48DA" w:rsidR="0018546A" w:rsidP="0018546A" w:rsidRDefault="0018546A" w14:paraId="7B19BE99" w14:textId="42E64902">
      <w:pPr>
        <w:rPr>
          <w:rFonts w:ascii="Georgia" w:hAnsi="Georgia" w:eastAsia="Calibri" w:cs="Times New Roman"/>
          <w:sz w:val="20"/>
          <w:szCs w:val="20"/>
          <w:lang w:val="en-GB"/>
        </w:rPr>
      </w:pPr>
      <w:r w:rsidRPr="009C48DA">
        <w:rPr>
          <w:rFonts w:ascii="Georgia" w:hAnsi="Georgia" w:eastAsia="Calibri" w:cs="Times New Roman"/>
          <w:sz w:val="20"/>
          <w:szCs w:val="20"/>
          <w:lang w:val="en-GB"/>
        </w:rPr>
        <w:t xml:space="preserve">We report on the financial information of </w:t>
      </w:r>
      <w:r w:rsidRPr="009C48DA">
        <w:rPr>
          <w:rFonts w:ascii="Georgia" w:hAnsi="Georgia" w:eastAsia="Calibri" w:cs="Times New Roman"/>
          <w:bCs/>
          <w:sz w:val="20"/>
          <w:szCs w:val="20"/>
          <w:lang w:val="en-GB"/>
        </w:rPr>
        <w:t>the Group for the</w:t>
      </w:r>
      <w:r w:rsidRPr="009C48DA">
        <w:rPr>
          <w:rFonts w:ascii="Georgia" w:hAnsi="Georgia" w:eastAsia="Calibri" w:cs="Times New Roman"/>
          <w:sz w:val="20"/>
          <w:szCs w:val="20"/>
          <w:lang w:val="en-GB"/>
        </w:rPr>
        <w:t xml:space="preserve"> </w:t>
      </w:r>
      <w:bookmarkStart w:name="_Hlk54909179" w:id="705"/>
      <w:r w:rsidRPr="009C48DA">
        <w:rPr>
          <w:rFonts w:ascii="Georgia" w:hAnsi="Georgia" w:eastAsia="Calibri" w:cs="Times New Roman"/>
          <w:sz w:val="20"/>
          <w:szCs w:val="20"/>
          <w:lang w:val="en-GB"/>
        </w:rPr>
        <w:t>y</w:t>
      </w:r>
      <w:r w:rsidRPr="009C48DA" w:rsidR="00550398">
        <w:rPr>
          <w:rFonts w:ascii="Georgia" w:hAnsi="Georgia" w:eastAsia="Calibri" w:cs="Times New Roman"/>
          <w:sz w:val="20"/>
          <w:szCs w:val="20"/>
          <w:lang w:val="en-GB"/>
        </w:rPr>
        <w:t>ears ended 31 December 2018, 31 </w:t>
      </w:r>
      <w:r w:rsidRPr="009C48DA">
        <w:rPr>
          <w:rFonts w:ascii="Georgia" w:hAnsi="Georgia" w:eastAsia="Calibri" w:cs="Times New Roman"/>
          <w:sz w:val="20"/>
          <w:szCs w:val="20"/>
          <w:lang w:val="en-GB"/>
        </w:rPr>
        <w:t>December 2019 and 31 December 2020 and for the three months ended 31 March 2021</w:t>
      </w:r>
      <w:bookmarkEnd w:id="705"/>
      <w:r w:rsidRPr="009C48DA">
        <w:rPr>
          <w:rFonts w:ascii="Georgia" w:hAnsi="Georgia" w:eastAsia="Calibri" w:cs="Times New Roman"/>
          <w:sz w:val="20"/>
          <w:szCs w:val="20"/>
          <w:lang w:val="en-GB"/>
        </w:rPr>
        <w:t xml:space="preserve"> set out in </w:t>
      </w:r>
      <w:r w:rsidRPr="009C48DA" w:rsidR="00E56006">
        <w:rPr>
          <w:rFonts w:ascii="Georgia" w:hAnsi="Georgia" w:eastAsia="Calibri" w:cs="Times New Roman"/>
          <w:sz w:val="20"/>
          <w:szCs w:val="20"/>
          <w:lang w:val="en-GB"/>
        </w:rPr>
        <w:t>Part</w:t>
      </w:r>
      <w:r w:rsidRPr="009C48DA">
        <w:rPr>
          <w:rFonts w:ascii="Georgia" w:hAnsi="Georgia" w:eastAsia="Calibri" w:cs="Times New Roman"/>
          <w:sz w:val="20"/>
          <w:szCs w:val="20"/>
          <w:lang w:val="en-GB"/>
        </w:rPr>
        <w:t xml:space="preserve"> B of Part X of the regis</w:t>
      </w:r>
      <w:r w:rsidRPr="009C48DA" w:rsidR="00FA30C8">
        <w:rPr>
          <w:rFonts w:ascii="Georgia" w:hAnsi="Georgia" w:eastAsia="Calibri" w:cs="Times New Roman"/>
          <w:sz w:val="20"/>
          <w:szCs w:val="20"/>
          <w:lang w:val="en-GB"/>
        </w:rPr>
        <w:t xml:space="preserve">tration document dated </w:t>
      </w:r>
      <w:r w:rsidR="00B56A37">
        <w:rPr>
          <w:rFonts w:ascii="Georgia" w:hAnsi="Georgia" w:eastAsia="Arial" w:cs="Arial"/>
          <w:sz w:val="20"/>
          <w:szCs w:val="20"/>
          <w:lang w:val="en-GB" w:eastAsia="en-GB"/>
        </w:rPr>
        <w:t>29 June</w:t>
      </w:r>
      <w:r w:rsidRPr="009C48DA" w:rsidR="00FA30C8">
        <w:rPr>
          <w:rFonts w:ascii="Georgia" w:hAnsi="Georgia" w:eastAsia="Calibri" w:cs="Times New Roman"/>
          <w:sz w:val="20"/>
          <w:szCs w:val="20"/>
          <w:lang w:val="en-GB"/>
        </w:rPr>
        <w:t xml:space="preserve"> </w:t>
      </w:r>
      <w:r w:rsidRPr="009C48DA">
        <w:rPr>
          <w:rFonts w:ascii="Georgia" w:hAnsi="Georgia" w:eastAsia="Calibri" w:cs="Times New Roman"/>
          <w:sz w:val="20"/>
          <w:szCs w:val="20"/>
          <w:lang w:val="en-GB"/>
        </w:rPr>
        <w:t>2021 (the “</w:t>
      </w:r>
      <w:r w:rsidRPr="009C48DA">
        <w:rPr>
          <w:rFonts w:ascii="Georgia" w:hAnsi="Georgia" w:eastAsia="Calibri" w:cs="Times New Roman"/>
          <w:b/>
          <w:bCs/>
          <w:sz w:val="20"/>
          <w:szCs w:val="20"/>
          <w:lang w:val="en-GB"/>
        </w:rPr>
        <w:t>Registration Document</w:t>
      </w:r>
      <w:r w:rsidRPr="009C48DA">
        <w:rPr>
          <w:rFonts w:ascii="Georgia" w:hAnsi="Georgia" w:eastAsia="Calibri" w:cs="Times New Roman"/>
          <w:sz w:val="20"/>
          <w:szCs w:val="20"/>
          <w:lang w:val="en-GB"/>
        </w:rPr>
        <w:t>”) of the Company (the “</w:t>
      </w:r>
      <w:r w:rsidRPr="009C48DA">
        <w:rPr>
          <w:rFonts w:ascii="Georgia" w:hAnsi="Georgia" w:eastAsia="Calibri" w:cs="Times New Roman"/>
          <w:b/>
          <w:bCs/>
          <w:sz w:val="20"/>
          <w:szCs w:val="20"/>
          <w:lang w:val="en-GB"/>
        </w:rPr>
        <w:t xml:space="preserve">Group </w:t>
      </w:r>
      <w:r w:rsidRPr="009C48DA">
        <w:rPr>
          <w:rFonts w:ascii="Georgia" w:hAnsi="Georgia" w:eastAsia="Calibri" w:cs="Times New Roman"/>
          <w:b/>
          <w:sz w:val="20"/>
          <w:szCs w:val="20"/>
          <w:lang w:val="en-GB"/>
        </w:rPr>
        <w:t>Financial Information Table</w:t>
      </w:r>
      <w:r w:rsidRPr="009C48DA">
        <w:rPr>
          <w:rFonts w:ascii="Georgia" w:hAnsi="Georgia" w:eastAsia="Calibri" w:cs="Times New Roman"/>
          <w:sz w:val="20"/>
          <w:szCs w:val="20"/>
          <w:lang w:val="en-GB"/>
        </w:rPr>
        <w:t xml:space="preserve">”). </w:t>
      </w:r>
    </w:p>
    <w:p w:rsidRPr="009C48DA" w:rsidR="0018546A" w:rsidP="0018546A" w:rsidRDefault="0018546A" w14:paraId="25B1DA9C" w14:textId="77777777">
      <w:pPr>
        <w:rPr>
          <w:rFonts w:ascii="Georgia" w:hAnsi="Georgia" w:eastAsia="Calibri" w:cs="Times New Roman"/>
          <w:sz w:val="20"/>
          <w:szCs w:val="20"/>
          <w:lang w:val="en-GB"/>
        </w:rPr>
      </w:pPr>
    </w:p>
    <w:p w:rsidRPr="009C48DA" w:rsidR="0018546A" w:rsidP="0018546A" w:rsidRDefault="0018546A" w14:paraId="331C6339" w14:textId="10900308">
      <w:pPr>
        <w:rPr>
          <w:rFonts w:ascii="Georgia" w:hAnsi="Georgia" w:eastAsia="Calibri" w:cs="Times New Roman"/>
          <w:sz w:val="20"/>
          <w:szCs w:val="20"/>
          <w:lang w:val="en-GB"/>
        </w:rPr>
      </w:pPr>
      <w:bookmarkStart w:name="_Hlk52470754" w:id="706"/>
      <w:r w:rsidRPr="009C48DA">
        <w:rPr>
          <w:rFonts w:ascii="Georgia" w:hAnsi="Georgia" w:eastAsia="Calibri" w:cs="Times New Roman"/>
          <w:sz w:val="20"/>
          <w:szCs w:val="20"/>
          <w:lang w:val="en-GB"/>
        </w:rPr>
        <w:t xml:space="preserve">This report is required by item 18.3.1 of Annex 1 to the PR Regulation and is given for the purpose of complying with that </w:t>
      </w:r>
      <w:r w:rsidRPr="009C48DA" w:rsidR="00634BA1">
        <w:rPr>
          <w:rFonts w:ascii="Georgia" w:hAnsi="Georgia" w:eastAsia="Calibri" w:cs="Times New Roman"/>
          <w:sz w:val="20"/>
          <w:szCs w:val="20"/>
          <w:lang w:val="en-GB"/>
        </w:rPr>
        <w:t xml:space="preserve">item and for no other purpose. </w:t>
      </w:r>
    </w:p>
    <w:bookmarkEnd w:id="706"/>
    <w:p w:rsidRPr="009C48DA" w:rsidR="0018546A" w:rsidP="0018546A" w:rsidRDefault="0018546A" w14:paraId="63173F4C" w14:textId="77777777">
      <w:pPr>
        <w:rPr>
          <w:rFonts w:ascii="Georgia" w:hAnsi="Georgia" w:eastAsia="Calibri" w:cs="Times New Roman"/>
          <w:sz w:val="20"/>
          <w:szCs w:val="20"/>
          <w:lang w:val="en-GB"/>
        </w:rPr>
      </w:pPr>
    </w:p>
    <w:p w:rsidRPr="009C48DA" w:rsidR="0018546A" w:rsidP="0018546A" w:rsidRDefault="0018546A" w14:paraId="0DE42C4A" w14:textId="77777777">
      <w:pPr>
        <w:rPr>
          <w:rFonts w:ascii="Georgia" w:hAnsi="Georgia" w:eastAsia="Calibri" w:cs="Times New Roman"/>
          <w:sz w:val="20"/>
          <w:szCs w:val="20"/>
          <w:lang w:val="en-GB"/>
        </w:rPr>
      </w:pPr>
      <w:r w:rsidRPr="009C48DA">
        <w:rPr>
          <w:rFonts w:ascii="Georgia" w:hAnsi="Georgia" w:eastAsia="Calibri" w:cs="Times New Roman"/>
          <w:sz w:val="20"/>
          <w:szCs w:val="20"/>
          <w:lang w:val="en-GB"/>
        </w:rPr>
        <w:t>We have not audited or reviewed the financial information for the three months ended 31 March 2020 which has been included for comparative purposes only, and accordingly do not express an opinion thereon.</w:t>
      </w:r>
    </w:p>
    <w:p w:rsidRPr="009C48DA" w:rsidR="0018546A" w:rsidP="0018546A" w:rsidRDefault="0018546A" w14:paraId="0583D905" w14:textId="77777777">
      <w:pPr>
        <w:rPr>
          <w:rFonts w:ascii="Georgia" w:hAnsi="Georgia" w:eastAsia="Calibri" w:cs="Times New Roman"/>
          <w:sz w:val="20"/>
          <w:szCs w:val="20"/>
          <w:lang w:val="en-GB"/>
        </w:rPr>
      </w:pPr>
    </w:p>
    <w:p w:rsidRPr="009C48DA" w:rsidR="0018546A" w:rsidP="00550398" w:rsidRDefault="0018546A" w14:paraId="2E2948E5" w14:textId="77777777">
      <w:pPr>
        <w:spacing w:after="120" w:line="240" w:lineRule="atLeast"/>
        <w:rPr>
          <w:rFonts w:ascii="Georgia" w:hAnsi="Georgia" w:eastAsia="Calibri" w:cs="Times New Roman"/>
          <w:b/>
          <w:bCs/>
          <w:sz w:val="20"/>
          <w:szCs w:val="20"/>
          <w:lang w:val="en-GB"/>
        </w:rPr>
      </w:pPr>
      <w:r w:rsidRPr="009C48DA">
        <w:rPr>
          <w:rFonts w:ascii="Georgia" w:hAnsi="Georgia" w:eastAsia="Calibri" w:cs="Times New Roman"/>
          <w:b/>
          <w:bCs/>
          <w:sz w:val="20"/>
          <w:szCs w:val="20"/>
          <w:lang w:val="en-GB"/>
        </w:rPr>
        <w:t xml:space="preserve">Opinion on financial information </w:t>
      </w:r>
    </w:p>
    <w:p w:rsidRPr="009C48DA" w:rsidR="0018546A" w:rsidP="0018546A" w:rsidRDefault="0018546A" w14:paraId="67C5FDE2" w14:textId="772D61D4">
      <w:pPr>
        <w:spacing w:line="240" w:lineRule="atLeast"/>
        <w:rPr>
          <w:rFonts w:ascii="Georgia" w:hAnsi="Georgia" w:eastAsia="Arial" w:cs="Arial"/>
          <w:sz w:val="20"/>
          <w:szCs w:val="20"/>
          <w:lang w:val="en-GB" w:eastAsia="en-GB"/>
        </w:rPr>
      </w:pPr>
      <w:r w:rsidRPr="009C48DA">
        <w:rPr>
          <w:rFonts w:ascii="Georgia" w:hAnsi="Georgia" w:eastAsia="Arial" w:cs="Arial"/>
          <w:sz w:val="20"/>
          <w:szCs w:val="20"/>
          <w:lang w:val="en-GB" w:eastAsia="en-GB"/>
        </w:rPr>
        <w:t xml:space="preserve">In our opinion, the Group Financial Information Table gives, for the purposes of </w:t>
      </w:r>
      <w:bookmarkStart w:name="_Hlk66176830" w:id="707"/>
      <w:r w:rsidRPr="009C48DA">
        <w:rPr>
          <w:rFonts w:ascii="Georgia" w:hAnsi="Georgia" w:eastAsia="Arial" w:cs="Arial"/>
          <w:sz w:val="20"/>
          <w:szCs w:val="20"/>
          <w:lang w:val="en-GB" w:eastAsia="en-GB"/>
        </w:rPr>
        <w:t xml:space="preserve">the </w:t>
      </w:r>
      <w:bookmarkEnd w:id="707"/>
      <w:r w:rsidRPr="009C48DA">
        <w:rPr>
          <w:rFonts w:ascii="Georgia" w:hAnsi="Georgia" w:eastAsia="Arial" w:cs="Arial"/>
          <w:sz w:val="20"/>
          <w:szCs w:val="20"/>
          <w:lang w:val="en-GB" w:eastAsia="en-GB"/>
        </w:rPr>
        <w:t xml:space="preserve">Registration Document, a true and fair view of the state of affairs of </w:t>
      </w:r>
      <w:r w:rsidRPr="009C48DA">
        <w:rPr>
          <w:rFonts w:ascii="Georgia" w:hAnsi="Georgia" w:eastAsia="Arial" w:cs="Arial"/>
          <w:bCs/>
          <w:sz w:val="20"/>
          <w:szCs w:val="20"/>
          <w:lang w:val="en-GB" w:eastAsia="en-GB"/>
        </w:rPr>
        <w:t>the Group</w:t>
      </w:r>
      <w:r w:rsidRPr="009C48DA">
        <w:rPr>
          <w:rFonts w:ascii="Georgia" w:hAnsi="Georgia" w:eastAsia="Arial" w:cs="Arial"/>
          <w:sz w:val="20"/>
          <w:szCs w:val="20"/>
          <w:lang w:val="en-GB" w:eastAsia="en-GB"/>
        </w:rPr>
        <w:t xml:space="preserve"> as at the dates stated and of its profits, cash flows and statement of changes in equity for the y</w:t>
      </w:r>
      <w:r w:rsidRPr="009C48DA" w:rsidR="00550398">
        <w:rPr>
          <w:rFonts w:ascii="Georgia" w:hAnsi="Georgia" w:eastAsia="Arial" w:cs="Arial"/>
          <w:sz w:val="20"/>
          <w:szCs w:val="20"/>
          <w:lang w:val="en-GB" w:eastAsia="en-GB"/>
        </w:rPr>
        <w:t>ears ended 31 December 2018, 31 </w:t>
      </w:r>
      <w:r w:rsidRPr="009C48DA">
        <w:rPr>
          <w:rFonts w:ascii="Georgia" w:hAnsi="Georgia" w:eastAsia="Arial" w:cs="Arial"/>
          <w:sz w:val="20"/>
          <w:szCs w:val="20"/>
          <w:lang w:val="en-GB" w:eastAsia="en-GB"/>
        </w:rPr>
        <w:t>December 2019 and 31 December 2020 and for the three months ended 31 March 2021 in accordance with international accounting standards in conformity with the requirements of the Companies Act 2006.</w:t>
      </w:r>
    </w:p>
    <w:p w:rsidRPr="009C48DA" w:rsidR="0018546A" w:rsidP="0018546A" w:rsidRDefault="0018546A" w14:paraId="31A9BEB1" w14:textId="79AAE9D4">
      <w:pPr>
        <w:spacing w:line="240" w:lineRule="atLeast"/>
        <w:rPr>
          <w:rFonts w:ascii="Georgia" w:hAnsi="Georgia" w:eastAsia="Arial" w:cs="Arial"/>
          <w:sz w:val="20"/>
          <w:szCs w:val="20"/>
          <w:lang w:val="en-GB" w:eastAsia="en-GB"/>
        </w:rPr>
      </w:pPr>
    </w:p>
    <w:p w:rsidRPr="009C48DA" w:rsidR="0018546A" w:rsidP="00550398" w:rsidRDefault="0018546A" w14:paraId="25A889CA" w14:textId="77777777">
      <w:pPr>
        <w:spacing w:after="120" w:line="240" w:lineRule="atLeast"/>
        <w:rPr>
          <w:rFonts w:ascii="Georgia" w:hAnsi="Georgia" w:eastAsia="Calibri" w:cs="Times New Roman"/>
          <w:b/>
          <w:bCs/>
          <w:sz w:val="20"/>
          <w:szCs w:val="20"/>
          <w:vertAlign w:val="superscript"/>
          <w:lang w:val="en-GB"/>
        </w:rPr>
      </w:pPr>
      <w:r w:rsidRPr="009C48DA">
        <w:rPr>
          <w:rFonts w:ascii="Georgia" w:hAnsi="Georgia" w:eastAsia="Calibri" w:cs="Times New Roman"/>
          <w:b/>
          <w:bCs/>
          <w:sz w:val="20"/>
          <w:szCs w:val="20"/>
          <w:lang w:val="en-GB"/>
        </w:rPr>
        <w:t>Conclusions Relating to Going Concern</w:t>
      </w:r>
    </w:p>
    <w:p w:rsidRPr="009C48DA" w:rsidR="0018546A" w:rsidP="0018546A" w:rsidRDefault="0018546A" w14:paraId="4DBAC247" w14:textId="77777777">
      <w:pPr>
        <w:rPr>
          <w:rFonts w:ascii="Georgia" w:hAnsi="Georgia" w:eastAsia="Calibri" w:cs="Times New Roman"/>
          <w:sz w:val="20"/>
          <w:szCs w:val="20"/>
          <w:lang w:val="en-GB"/>
        </w:rPr>
      </w:pPr>
      <w:r w:rsidRPr="009C48DA">
        <w:rPr>
          <w:rFonts w:ascii="Georgia" w:hAnsi="Georgia" w:eastAsia="Calibri" w:cs="Times New Roman"/>
          <w:sz w:val="20"/>
          <w:szCs w:val="20"/>
          <w:lang w:val="en-GB"/>
        </w:rPr>
        <w:t>We are required to report if we have anything material to add or draw attention to in respect of the Directors’ statement in the Group Financial Information Table about whether the Directors considered it appropriate to adopt the going concern basis of accounting in preparing the Group Financial Information Table and the Directors’ identification of any material uncertainties to the Group’s ability to continue as a going concern over a period of at least twelve months from the date of this Registration Document.</w:t>
      </w:r>
    </w:p>
    <w:p w:rsidRPr="009C48DA" w:rsidR="0018546A" w:rsidP="0018546A" w:rsidRDefault="0018546A" w14:paraId="10BC0AF7" w14:textId="77777777">
      <w:pPr>
        <w:rPr>
          <w:rFonts w:ascii="Georgia" w:hAnsi="Georgia" w:eastAsia="Calibri" w:cs="Times New Roman"/>
          <w:sz w:val="20"/>
          <w:szCs w:val="20"/>
          <w:lang w:val="en-GB"/>
        </w:rPr>
      </w:pPr>
    </w:p>
    <w:p w:rsidRPr="009C48DA" w:rsidR="0018546A" w:rsidP="0018546A" w:rsidRDefault="0018546A" w14:paraId="18FD7229" w14:textId="5C9F63D9">
      <w:pPr>
        <w:rPr>
          <w:rFonts w:ascii="Georgia" w:hAnsi="Georgia" w:eastAsia="Calibri" w:cs="Times New Roman"/>
          <w:b/>
          <w:bCs/>
          <w:sz w:val="20"/>
          <w:szCs w:val="20"/>
          <w:lang w:val="en-GB"/>
        </w:rPr>
      </w:pPr>
      <w:r w:rsidRPr="009C48DA">
        <w:rPr>
          <w:rFonts w:ascii="Georgia" w:hAnsi="Georgia" w:eastAsia="Calibri" w:cs="Times New Roman"/>
          <w:sz w:val="20"/>
          <w:szCs w:val="20"/>
          <w:lang w:val="en-GB"/>
        </w:rPr>
        <w:t xml:space="preserve">We have nothing material to add or to draw attention to. </w:t>
      </w:r>
    </w:p>
    <w:p w:rsidRPr="009C48DA" w:rsidR="0018546A" w:rsidP="0018546A" w:rsidRDefault="0018546A" w14:paraId="4E114CDC" w14:textId="2801FC04">
      <w:pPr>
        <w:rPr>
          <w:rFonts w:ascii="Georgia" w:hAnsi="Georgia" w:eastAsia="Calibri" w:cs="Times New Roman"/>
          <w:sz w:val="20"/>
          <w:szCs w:val="20"/>
          <w:lang w:val="en-GB"/>
        </w:rPr>
      </w:pPr>
    </w:p>
    <w:p w:rsidRPr="009C48DA" w:rsidR="0018546A" w:rsidP="00550398" w:rsidRDefault="0018546A" w14:paraId="0DC4B529" w14:textId="5A1FF133">
      <w:pPr>
        <w:spacing w:after="120" w:line="240" w:lineRule="atLeast"/>
        <w:rPr>
          <w:rFonts w:ascii="Georgia" w:hAnsi="Georgia" w:eastAsia="Calibri" w:cs="Times New Roman"/>
          <w:sz w:val="20"/>
          <w:szCs w:val="20"/>
          <w:lang w:val="en-GB"/>
        </w:rPr>
      </w:pPr>
      <w:r w:rsidRPr="009C48DA">
        <w:rPr>
          <w:rFonts w:ascii="Georgia" w:hAnsi="Georgia" w:eastAsia="Calibri" w:cs="Times New Roman"/>
          <w:b/>
          <w:bCs/>
          <w:sz w:val="20"/>
          <w:szCs w:val="20"/>
          <w:lang w:val="en-GB"/>
        </w:rPr>
        <w:t>Responsibilities</w:t>
      </w:r>
    </w:p>
    <w:p w:rsidRPr="009C48DA" w:rsidR="0018546A" w:rsidP="0018546A" w:rsidRDefault="0018546A" w14:paraId="4E669BD8" w14:textId="0E270111">
      <w:pPr>
        <w:spacing w:line="240" w:lineRule="atLeast"/>
        <w:rPr>
          <w:rFonts w:ascii="Georgia" w:hAnsi="Georgia" w:eastAsia="Arial" w:cs="Arial"/>
          <w:sz w:val="20"/>
          <w:szCs w:val="20"/>
          <w:lang w:val="en-GB" w:eastAsia="en-GB"/>
        </w:rPr>
      </w:pPr>
      <w:r w:rsidRPr="009C48DA">
        <w:rPr>
          <w:rFonts w:ascii="Georgia" w:hAnsi="Georgia" w:eastAsia="Arial" w:cs="Arial"/>
          <w:sz w:val="20"/>
          <w:szCs w:val="20"/>
          <w:lang w:val="en-GB" w:eastAsia="en-GB"/>
        </w:rPr>
        <w:t>The Directors of the Company are responsible for preparing the Group</w:t>
      </w:r>
      <w:r w:rsidRPr="009C48DA" w:rsidR="005611CA">
        <w:rPr>
          <w:rFonts w:ascii="Georgia" w:hAnsi="Georgia" w:eastAsia="Arial" w:cs="Arial"/>
          <w:sz w:val="20"/>
          <w:szCs w:val="20"/>
          <w:lang w:val="en-GB" w:eastAsia="en-GB"/>
        </w:rPr>
        <w:t xml:space="preserve"> Financial Information Table </w:t>
      </w:r>
      <w:r w:rsidRPr="009C48DA">
        <w:rPr>
          <w:rFonts w:ascii="Georgia" w:hAnsi="Georgia" w:eastAsia="Arial" w:cs="Arial"/>
          <w:sz w:val="20"/>
          <w:szCs w:val="20"/>
          <w:lang w:val="en-GB" w:eastAsia="en-GB"/>
        </w:rPr>
        <w:t>in accordance with international accounting standards in conformity with the requirem</w:t>
      </w:r>
      <w:r w:rsidRPr="009C48DA" w:rsidR="00550398">
        <w:rPr>
          <w:rFonts w:ascii="Georgia" w:hAnsi="Georgia" w:eastAsia="Arial" w:cs="Arial"/>
          <w:sz w:val="20"/>
          <w:szCs w:val="20"/>
          <w:lang w:val="en-GB" w:eastAsia="en-GB"/>
        </w:rPr>
        <w:t>ents of the Companies Act 2006.</w:t>
      </w:r>
    </w:p>
    <w:p w:rsidRPr="009C48DA" w:rsidR="00550398" w:rsidP="0018546A" w:rsidRDefault="00550398" w14:paraId="0960AD5D" w14:textId="77777777">
      <w:pPr>
        <w:spacing w:line="240" w:lineRule="atLeast"/>
        <w:rPr>
          <w:rFonts w:ascii="Georgia" w:hAnsi="Georgia" w:eastAsia="Arial" w:cs="Arial"/>
          <w:sz w:val="20"/>
          <w:szCs w:val="20"/>
          <w:lang w:val="en-GB" w:eastAsia="en-GB"/>
        </w:rPr>
      </w:pPr>
    </w:p>
    <w:p w:rsidRPr="009C48DA" w:rsidR="0018546A" w:rsidP="0018546A" w:rsidRDefault="0018546A" w14:paraId="2392C1DC" w14:textId="6E01CD34">
      <w:pPr>
        <w:rPr>
          <w:rFonts w:ascii="Georgia" w:hAnsi="Georgia" w:eastAsia="Calibri" w:cs="Times New Roman"/>
          <w:sz w:val="20"/>
          <w:szCs w:val="20"/>
          <w:lang w:val="en-GB"/>
        </w:rPr>
      </w:pPr>
      <w:r w:rsidRPr="009C48DA">
        <w:rPr>
          <w:rFonts w:ascii="Georgia" w:hAnsi="Georgia" w:eastAsia="Calibri" w:cs="Times New Roman"/>
          <w:sz w:val="20"/>
          <w:szCs w:val="20"/>
          <w:lang w:val="en-GB"/>
        </w:rPr>
        <w:t xml:space="preserve">It is our responsibility to form an opinion on the Group Financial Information Table and to report our opinion to you. </w:t>
      </w:r>
    </w:p>
    <w:p w:rsidRPr="009C48DA" w:rsidR="0018546A" w:rsidP="0018546A" w:rsidRDefault="0018546A" w14:paraId="07E88170" w14:textId="5D0C339F">
      <w:pPr>
        <w:rPr>
          <w:rFonts w:ascii="Georgia" w:hAnsi="Georgia" w:eastAsia="Calibri" w:cs="Times New Roman"/>
          <w:b/>
          <w:bCs/>
          <w:sz w:val="20"/>
          <w:szCs w:val="20"/>
          <w:lang w:val="en-GB"/>
        </w:rPr>
      </w:pPr>
      <w:r w:rsidRPr="009C48DA">
        <w:rPr>
          <w:rFonts w:ascii="Georgia" w:hAnsi="Georgia" w:eastAsia="Calibri" w:cs="Times New Roman"/>
          <w:sz w:val="20"/>
          <w:szCs w:val="20"/>
          <w:lang w:val="en-GB"/>
        </w:rPr>
        <w:lastRenderedPageBreak/>
        <w:t xml:space="preserve">Save for any responsibility which we may have to those persons to whom this report is expressly addressed and for any responsibility arising under item </w:t>
      </w:r>
      <w:r w:rsidRPr="009C48DA" w:rsidR="00E56006">
        <w:rPr>
          <w:rFonts w:ascii="Georgia" w:hAnsi="Georgia" w:eastAsia="Calibri" w:cs="Times New Roman"/>
          <w:sz w:val="20"/>
          <w:szCs w:val="20"/>
          <w:lang w:val="en-GB"/>
        </w:rPr>
        <w:t>1.2 of Annex 1 to the PR Regulation</w:t>
      </w:r>
      <w:r w:rsidRPr="009C48DA">
        <w:rPr>
          <w:rFonts w:ascii="Georgia" w:hAnsi="Georgia" w:eastAsia="Calibri" w:cs="Times New Roman"/>
          <w:sz w:val="20"/>
          <w:szCs w:val="20"/>
          <w:lang w:val="en-GB"/>
        </w:rPr>
        <w:t xml:space="preserve"> to any person as and to the extent there provided, to the fullest extent permitted by law we do not assume any responsibility and will not accept any liability to any other person for any loss suffered by any such other person as a result of, arising out of, or in connection with this report or our statement, required by and given solely for the purposes of complying with item 1.3 of Annex 1</w:t>
      </w:r>
      <w:r w:rsidRPr="009C48DA" w:rsidR="00E56006">
        <w:rPr>
          <w:rFonts w:ascii="Georgia" w:hAnsi="Georgia" w:eastAsia="Calibri" w:cs="Times New Roman"/>
          <w:sz w:val="20"/>
          <w:szCs w:val="20"/>
          <w:lang w:val="en-GB"/>
        </w:rPr>
        <w:t xml:space="preserve"> to the PR Regulation</w:t>
      </w:r>
      <w:r w:rsidRPr="009C48DA">
        <w:rPr>
          <w:rFonts w:ascii="Georgia" w:hAnsi="Georgia" w:eastAsia="Calibri" w:cs="Times New Roman"/>
          <w:sz w:val="20"/>
          <w:szCs w:val="20"/>
          <w:lang w:val="en-GB"/>
        </w:rPr>
        <w:t>, consenting to its inclusion in the Registration Document.</w:t>
      </w:r>
    </w:p>
    <w:p w:rsidRPr="009C48DA" w:rsidR="0018546A" w:rsidP="0018546A" w:rsidRDefault="0018546A" w14:paraId="7DBA55DD" w14:textId="77777777">
      <w:pPr>
        <w:rPr>
          <w:rFonts w:ascii="Georgia" w:hAnsi="Georgia" w:eastAsia="Calibri" w:cs="Times New Roman"/>
          <w:b/>
          <w:bCs/>
          <w:sz w:val="20"/>
          <w:szCs w:val="20"/>
          <w:lang w:val="en-GB"/>
        </w:rPr>
      </w:pPr>
    </w:p>
    <w:p w:rsidRPr="009C48DA" w:rsidR="0018546A" w:rsidP="00550398" w:rsidRDefault="00550398" w14:paraId="707CF79E" w14:textId="45495FD1">
      <w:pPr>
        <w:spacing w:after="120" w:line="240" w:lineRule="atLeast"/>
        <w:rPr>
          <w:rFonts w:ascii="Georgia" w:hAnsi="Georgia" w:eastAsia="Calibri" w:cs="Times New Roman"/>
          <w:b/>
          <w:bCs/>
          <w:sz w:val="20"/>
          <w:szCs w:val="20"/>
          <w:lang w:val="en-GB"/>
        </w:rPr>
      </w:pPr>
      <w:r w:rsidRPr="009C48DA">
        <w:rPr>
          <w:rFonts w:ascii="Georgia" w:hAnsi="Georgia" w:eastAsia="Calibri" w:cs="Times New Roman"/>
          <w:b/>
          <w:bCs/>
          <w:sz w:val="20"/>
          <w:szCs w:val="20"/>
          <w:lang w:val="en-GB"/>
        </w:rPr>
        <w:t xml:space="preserve">Basis of </w:t>
      </w:r>
      <w:r w:rsidRPr="009C48DA">
        <w:rPr>
          <w:rFonts w:ascii="Georgia" w:hAnsi="Georgia" w:eastAsia="Calibri" w:cs="Arial"/>
          <w:b/>
          <w:bCs/>
          <w:sz w:val="20"/>
          <w:szCs w:val="20"/>
          <w:lang w:val="en-GB"/>
        </w:rPr>
        <w:t>Preparation</w:t>
      </w:r>
    </w:p>
    <w:p w:rsidRPr="009C48DA" w:rsidR="0018546A" w:rsidP="0018546A" w:rsidRDefault="0018546A" w14:paraId="44FFC051" w14:textId="77777777">
      <w:pPr>
        <w:rPr>
          <w:rFonts w:ascii="Georgia" w:hAnsi="Georgia" w:eastAsia="Calibri" w:cs="Times New Roman"/>
          <w:sz w:val="20"/>
          <w:szCs w:val="20"/>
          <w:lang w:val="en-GB"/>
        </w:rPr>
      </w:pPr>
      <w:r w:rsidRPr="009C48DA">
        <w:rPr>
          <w:rFonts w:ascii="Georgia" w:hAnsi="Georgia" w:eastAsia="Calibri" w:cs="Times New Roman"/>
          <w:sz w:val="20"/>
          <w:szCs w:val="20"/>
          <w:lang w:val="en-GB"/>
        </w:rPr>
        <w:t xml:space="preserve">The Group Financial Information Table has been prepared for inclusion in </w:t>
      </w:r>
      <w:bookmarkStart w:name="_Hlk62550522" w:id="708"/>
      <w:r w:rsidRPr="009C48DA">
        <w:rPr>
          <w:rFonts w:ascii="Georgia" w:hAnsi="Georgia" w:eastAsia="Calibri" w:cs="Times New Roman"/>
          <w:sz w:val="20"/>
          <w:szCs w:val="20"/>
          <w:lang w:val="en-GB"/>
        </w:rPr>
        <w:t xml:space="preserve">the </w:t>
      </w:r>
      <w:bookmarkEnd w:id="708"/>
      <w:r w:rsidRPr="009C48DA">
        <w:rPr>
          <w:rFonts w:ascii="Georgia" w:hAnsi="Georgia" w:eastAsia="Calibri" w:cs="Times New Roman"/>
          <w:bCs/>
          <w:sz w:val="20"/>
          <w:szCs w:val="20"/>
          <w:lang w:val="en-GB"/>
        </w:rPr>
        <w:t xml:space="preserve">Registration Document </w:t>
      </w:r>
      <w:r w:rsidRPr="009C48DA">
        <w:rPr>
          <w:rFonts w:ascii="Georgia" w:hAnsi="Georgia" w:eastAsia="Calibri" w:cs="Times New Roman"/>
          <w:sz w:val="20"/>
          <w:szCs w:val="20"/>
          <w:lang w:val="en-GB"/>
        </w:rPr>
        <w:t>of the Company on the basis of the accounting policies set out in note 1 to the Group Financial Information Table.</w:t>
      </w:r>
    </w:p>
    <w:p w:rsidRPr="009C48DA" w:rsidR="0018546A" w:rsidP="0018546A" w:rsidRDefault="0018546A" w14:paraId="2281AF68" w14:textId="77777777">
      <w:pPr>
        <w:rPr>
          <w:rFonts w:ascii="Georgia" w:hAnsi="Georgia" w:eastAsia="Calibri" w:cs="Times New Roman"/>
          <w:sz w:val="20"/>
          <w:szCs w:val="20"/>
          <w:lang w:val="en-GB"/>
        </w:rPr>
      </w:pPr>
    </w:p>
    <w:p w:rsidRPr="009C48DA" w:rsidR="0018546A" w:rsidP="00550398" w:rsidRDefault="00550398" w14:paraId="6432E34C" w14:textId="333A1D13">
      <w:pPr>
        <w:spacing w:after="120" w:line="240" w:lineRule="atLeast"/>
        <w:rPr>
          <w:rFonts w:ascii="Georgia" w:hAnsi="Georgia" w:eastAsia="Calibri" w:cs="Times New Roman"/>
          <w:b/>
          <w:bCs/>
          <w:sz w:val="20"/>
          <w:szCs w:val="20"/>
          <w:lang w:val="en-GB"/>
        </w:rPr>
      </w:pPr>
      <w:r w:rsidRPr="009C48DA">
        <w:rPr>
          <w:rFonts w:ascii="Georgia" w:hAnsi="Georgia" w:eastAsia="Calibri" w:cs="Times New Roman"/>
          <w:b/>
          <w:bCs/>
          <w:sz w:val="20"/>
          <w:szCs w:val="20"/>
          <w:lang w:val="en-GB"/>
        </w:rPr>
        <w:t xml:space="preserve">Basis of </w:t>
      </w:r>
      <w:r w:rsidRPr="009C48DA">
        <w:rPr>
          <w:rFonts w:ascii="Georgia" w:hAnsi="Georgia" w:eastAsia="Calibri" w:cs="Arial"/>
          <w:b/>
          <w:bCs/>
          <w:sz w:val="20"/>
          <w:szCs w:val="20"/>
          <w:lang w:val="en-GB"/>
        </w:rPr>
        <w:t>opinion</w:t>
      </w:r>
    </w:p>
    <w:p w:rsidRPr="009C48DA" w:rsidR="0018546A" w:rsidP="0018546A" w:rsidRDefault="0018546A" w14:paraId="2B79186B" w14:textId="77777777">
      <w:pPr>
        <w:rPr>
          <w:rFonts w:ascii="Georgia" w:hAnsi="Georgia" w:eastAsia="Calibri" w:cs="Times New Roman"/>
          <w:sz w:val="20"/>
          <w:szCs w:val="20"/>
          <w:lang w:val="en-GB"/>
        </w:rPr>
      </w:pPr>
      <w:r w:rsidRPr="009C48DA">
        <w:rPr>
          <w:rFonts w:ascii="Georgia" w:hAnsi="Georgia" w:eastAsia="Calibri" w:cs="Times New Roman"/>
          <w:sz w:val="20"/>
          <w:szCs w:val="20"/>
          <w:lang w:val="en-GB"/>
        </w:rPr>
        <w:t>We conducted our work in accordance with Standards for Investment Reporting issued by the Financial Reporting Council (“FRC”) in the United Kingdom. We are independent in accordance with the FRC’s Ethical Standard as applied to Investment Circular Reporting Engagements and we have fulfilled our other ethical responsibilities in accordance with these requirements.</w:t>
      </w:r>
    </w:p>
    <w:p w:rsidRPr="009C48DA" w:rsidR="0018546A" w:rsidP="0018546A" w:rsidRDefault="0018546A" w14:paraId="5FAA8BF3" w14:textId="77777777">
      <w:pPr>
        <w:rPr>
          <w:rFonts w:ascii="Georgia" w:hAnsi="Georgia" w:eastAsia="Calibri" w:cs="Times New Roman"/>
          <w:sz w:val="20"/>
          <w:szCs w:val="20"/>
          <w:lang w:val="en-GB"/>
        </w:rPr>
      </w:pPr>
    </w:p>
    <w:p w:rsidRPr="009C48DA" w:rsidR="0018546A" w:rsidP="0018546A" w:rsidRDefault="0018546A" w14:paraId="2CC7C345" w14:textId="77777777">
      <w:pPr>
        <w:rPr>
          <w:rFonts w:ascii="Georgia" w:hAnsi="Georgia" w:eastAsia="Calibri" w:cs="Times New Roman"/>
          <w:sz w:val="20"/>
          <w:szCs w:val="20"/>
          <w:lang w:val="en-GB"/>
        </w:rPr>
      </w:pPr>
      <w:r w:rsidRPr="009C48DA">
        <w:rPr>
          <w:rFonts w:ascii="Georgia" w:hAnsi="Georgia" w:eastAsia="Calibri" w:cs="Times New Roman"/>
          <w:sz w:val="20"/>
          <w:szCs w:val="20"/>
          <w:lang w:val="en-GB"/>
        </w:rPr>
        <w:t xml:space="preserve">Our work included an assessment of evidence relevant to the amounts and disclosures in the Group Financial Information Table. It also included an assessment of significant estimates and judgments made by those responsible for the preparation of the financial information and whether the accounting policies are appropriate to the entity’s circumstances, consistently applied and adequately disclosed. </w:t>
      </w:r>
    </w:p>
    <w:p w:rsidRPr="009C48DA" w:rsidR="0018546A" w:rsidP="0018546A" w:rsidRDefault="0018546A" w14:paraId="069AE751" w14:textId="77777777">
      <w:pPr>
        <w:rPr>
          <w:rFonts w:ascii="Georgia" w:hAnsi="Georgia" w:eastAsia="Calibri" w:cs="Times New Roman"/>
          <w:sz w:val="20"/>
          <w:szCs w:val="20"/>
          <w:lang w:val="en-GB"/>
        </w:rPr>
      </w:pPr>
    </w:p>
    <w:p w:rsidRPr="009C48DA" w:rsidR="0018546A" w:rsidP="0018546A" w:rsidRDefault="0018546A" w14:paraId="06D61B98" w14:textId="77777777">
      <w:pPr>
        <w:rPr>
          <w:rFonts w:ascii="Georgia" w:hAnsi="Georgia" w:eastAsia="Calibri" w:cs="Times New Roman"/>
          <w:sz w:val="20"/>
          <w:szCs w:val="20"/>
          <w:lang w:val="en-GB"/>
        </w:rPr>
      </w:pPr>
      <w:r w:rsidRPr="009C48DA">
        <w:rPr>
          <w:rFonts w:ascii="Georgia" w:hAnsi="Georgia" w:eastAsia="Calibri" w:cs="Times New Roman"/>
          <w:sz w:val="20"/>
          <w:szCs w:val="20"/>
          <w:lang w:val="en-GB"/>
        </w:rPr>
        <w:t xml:space="preserve">We planned and performed our work so as to obtain all the information and explanations which we considered necessary in order to provide us with sufficient evidence to give reasonable assurance that the financial information is free from material misstatement whether caused by fraud or other irregularity or error. </w:t>
      </w:r>
    </w:p>
    <w:p w:rsidRPr="009C48DA" w:rsidR="0018546A" w:rsidP="0018546A" w:rsidRDefault="0018546A" w14:paraId="5EED5B14" w14:textId="77777777">
      <w:pPr>
        <w:spacing w:line="240" w:lineRule="atLeast"/>
        <w:rPr>
          <w:rFonts w:ascii="Georgia" w:hAnsi="Georgia" w:eastAsia="Arial" w:cs="Arial"/>
          <w:sz w:val="20"/>
          <w:szCs w:val="20"/>
          <w:lang w:val="en-GB" w:eastAsia="en-GB"/>
        </w:rPr>
      </w:pPr>
    </w:p>
    <w:p w:rsidRPr="009C48DA" w:rsidR="0018546A" w:rsidP="0018546A" w:rsidRDefault="0018546A" w14:paraId="52CBE555" w14:textId="26616712">
      <w:pPr>
        <w:spacing w:line="240" w:lineRule="atLeast"/>
        <w:rPr>
          <w:rFonts w:ascii="Georgia" w:hAnsi="Georgia" w:eastAsia="Arial" w:cs="Arial"/>
          <w:sz w:val="20"/>
          <w:szCs w:val="20"/>
          <w:lang w:val="en-GB" w:eastAsia="en-GB"/>
        </w:rPr>
      </w:pPr>
      <w:r w:rsidRPr="009C48DA">
        <w:rPr>
          <w:rFonts w:ascii="Georgia" w:hAnsi="Georgia" w:eastAsia="Arial" w:cs="Arial"/>
          <w:sz w:val="20"/>
          <w:szCs w:val="20"/>
          <w:lang w:val="en-GB" w:eastAsia="en-GB"/>
        </w:rPr>
        <w:t>Our work has not been carried out in accordance with auditing or other standards and practices generally accepted in the United States of America and other jurisdictions and accordingly should not be relied upon as if it had been carried out in accordance with those standards and practices.</w:t>
      </w:r>
    </w:p>
    <w:p w:rsidRPr="009C48DA" w:rsidR="00E56006" w:rsidP="0018546A" w:rsidRDefault="00E56006" w14:paraId="01BBD225" w14:textId="71B851DF">
      <w:pPr>
        <w:spacing w:line="240" w:lineRule="atLeast"/>
        <w:rPr>
          <w:rFonts w:ascii="Georgia" w:hAnsi="Georgia" w:eastAsia="Arial" w:cs="Arial"/>
          <w:sz w:val="20"/>
          <w:szCs w:val="20"/>
          <w:lang w:val="en-GB" w:eastAsia="en-GB"/>
        </w:rPr>
      </w:pPr>
    </w:p>
    <w:p w:rsidRPr="009C48DA" w:rsidR="00E56006" w:rsidP="00550398" w:rsidRDefault="00E56006" w14:paraId="68429CE9" w14:textId="77777777">
      <w:pPr>
        <w:spacing w:after="120" w:line="240" w:lineRule="atLeast"/>
        <w:rPr>
          <w:rFonts w:ascii="Georgia" w:hAnsi="Georgia" w:eastAsia="Calibri" w:cs="Times New Roman"/>
          <w:b/>
          <w:bCs/>
          <w:sz w:val="20"/>
          <w:szCs w:val="20"/>
          <w:lang w:val="en-GB"/>
        </w:rPr>
      </w:pPr>
      <w:r w:rsidRPr="009C48DA">
        <w:rPr>
          <w:rFonts w:ascii="Georgia" w:hAnsi="Georgia" w:eastAsia="Calibri" w:cs="Arial"/>
          <w:b/>
          <w:bCs/>
          <w:sz w:val="20"/>
          <w:szCs w:val="20"/>
          <w:lang w:val="en-GB"/>
        </w:rPr>
        <w:t>Declaration</w:t>
      </w:r>
    </w:p>
    <w:p w:rsidRPr="009C48DA" w:rsidR="00E56006" w:rsidP="00E56006" w:rsidRDefault="00E56006" w14:paraId="63FF2B0E" w14:textId="007471F0">
      <w:pPr>
        <w:spacing w:line="240" w:lineRule="atLeast"/>
        <w:rPr>
          <w:rFonts w:ascii="Georgia" w:hAnsi="Georgia" w:eastAsia="Arial" w:cs="Arial"/>
          <w:sz w:val="20"/>
          <w:szCs w:val="20"/>
          <w:lang w:val="en-GB" w:eastAsia="en-GB"/>
        </w:rPr>
      </w:pPr>
      <w:r w:rsidRPr="009C48DA">
        <w:rPr>
          <w:rFonts w:ascii="Georgia" w:hAnsi="Georgia" w:eastAsia="Arial" w:cs="Arial"/>
          <w:sz w:val="20"/>
          <w:szCs w:val="20"/>
          <w:lang w:val="en-GB" w:eastAsia="en-GB"/>
        </w:rPr>
        <w:t>For the purposes of item 1.2 of Annex 1 to the PR Regulation we are responsible for this report as part of the Registration Document and declare that, to the best of our knowledge, the information contained in this report is in accordance with the facts and that the report make no omission likely to affect its import. This declaration is included in the Registration Document in compliance with item 1.2 of Annex 1 to the PR Regulation.</w:t>
      </w:r>
    </w:p>
    <w:p w:rsidRPr="009C48DA" w:rsidR="0018546A" w:rsidP="0018546A" w:rsidRDefault="0018546A" w14:paraId="7329CA43" w14:textId="2B2A3116">
      <w:pPr>
        <w:rPr>
          <w:rFonts w:ascii="Georgia" w:hAnsi="Georgia" w:eastAsia="Calibri" w:cs="Times New Roman"/>
          <w:sz w:val="20"/>
          <w:szCs w:val="20"/>
          <w:lang w:val="en-GB"/>
        </w:rPr>
      </w:pPr>
    </w:p>
    <w:p w:rsidRPr="009C48DA" w:rsidR="00550398" w:rsidP="0018546A" w:rsidRDefault="00550398" w14:paraId="0CA9EDD1" w14:textId="77777777">
      <w:pPr>
        <w:rPr>
          <w:rFonts w:ascii="Georgia" w:hAnsi="Georgia" w:eastAsia="Calibri" w:cs="Times New Roman"/>
          <w:sz w:val="20"/>
          <w:szCs w:val="20"/>
          <w:lang w:val="en-GB"/>
        </w:rPr>
      </w:pPr>
    </w:p>
    <w:p w:rsidRPr="009C48DA" w:rsidR="00550398" w:rsidP="0018546A" w:rsidRDefault="0018546A" w14:paraId="779F1D23" w14:textId="77777777">
      <w:pPr>
        <w:rPr>
          <w:rFonts w:ascii="Georgia" w:hAnsi="Georgia" w:eastAsia="Calibri" w:cs="Times New Roman"/>
          <w:sz w:val="20"/>
          <w:szCs w:val="20"/>
          <w:lang w:val="en-GB"/>
        </w:rPr>
      </w:pPr>
      <w:r w:rsidRPr="009C48DA">
        <w:rPr>
          <w:rFonts w:ascii="Georgia" w:hAnsi="Georgia" w:eastAsia="Calibri" w:cs="Times New Roman"/>
          <w:sz w:val="20"/>
          <w:szCs w:val="20"/>
          <w:lang w:val="en-GB"/>
        </w:rPr>
        <w:t>Yours faithfully</w:t>
      </w:r>
    </w:p>
    <w:p w:rsidRPr="009C48DA" w:rsidR="0018546A" w:rsidP="0018546A" w:rsidRDefault="0018546A" w14:paraId="25416B1F" w14:textId="14B107EA">
      <w:pPr>
        <w:rPr>
          <w:rFonts w:ascii="Georgia" w:hAnsi="Georgia" w:eastAsia="Calibri" w:cs="Times New Roman"/>
          <w:sz w:val="20"/>
          <w:szCs w:val="20"/>
          <w:lang w:val="en-GB"/>
        </w:rPr>
      </w:pPr>
    </w:p>
    <w:p w:rsidRPr="009C48DA" w:rsidR="0018546A" w:rsidP="0018546A" w:rsidRDefault="0018546A" w14:paraId="3E59DD2B" w14:textId="77777777">
      <w:pPr>
        <w:spacing w:line="240" w:lineRule="atLeast"/>
        <w:rPr>
          <w:rFonts w:ascii="Georgia" w:hAnsi="Georgia" w:eastAsia="Arial" w:cs="Arial"/>
          <w:sz w:val="20"/>
          <w:szCs w:val="20"/>
          <w:lang w:val="en-GB" w:eastAsia="en-GB"/>
        </w:rPr>
      </w:pPr>
      <w:r w:rsidRPr="009C48DA">
        <w:rPr>
          <w:rFonts w:ascii="Georgia" w:hAnsi="Georgia" w:eastAsia="Arial" w:cs="Arial"/>
          <w:sz w:val="20"/>
          <w:szCs w:val="20"/>
          <w:lang w:val="en-GB" w:eastAsia="en-GB"/>
        </w:rPr>
        <w:t>PricewaterhouseCoopers LLP</w:t>
      </w:r>
    </w:p>
    <w:p w:rsidRPr="009C48DA" w:rsidR="0018546A" w:rsidP="0018546A" w:rsidRDefault="0018546A" w14:paraId="7D144EE2" w14:textId="351D2534">
      <w:pPr>
        <w:rPr>
          <w:rFonts w:ascii="Georgia" w:hAnsi="Georgia" w:eastAsia="Calibri" w:cs="Times New Roman"/>
          <w:sz w:val="20"/>
          <w:szCs w:val="20"/>
          <w:lang w:val="en-GB"/>
        </w:rPr>
      </w:pPr>
      <w:r w:rsidRPr="009C48DA">
        <w:rPr>
          <w:rFonts w:ascii="Georgia" w:hAnsi="Georgia" w:eastAsia="Calibri" w:cs="Times New Roman"/>
          <w:sz w:val="20"/>
          <w:szCs w:val="20"/>
          <w:lang w:val="en-GB"/>
        </w:rPr>
        <w:t>Chartered Accountants</w:t>
      </w:r>
      <w:r w:rsidRPr="009C48DA" w:rsidR="00BB3340">
        <w:rPr>
          <w:rFonts w:ascii="Georgia" w:hAnsi="Georgia" w:eastAsia="Calibri" w:cs="Times New Roman"/>
          <w:sz w:val="20"/>
          <w:szCs w:val="20"/>
          <w:lang w:val="en-GB"/>
        </w:rPr>
        <w:t xml:space="preserve"> </w:t>
      </w:r>
    </w:p>
    <w:p w:rsidRPr="009C48DA" w:rsidR="0018546A" w:rsidRDefault="0018546A" w14:paraId="39D1660B" w14:textId="77777777">
      <w:pPr>
        <w:rPr>
          <w:rFonts w:cs="Arial"/>
          <w:szCs w:val="22"/>
          <w:lang w:val="en-GB"/>
        </w:rPr>
        <w:sectPr w:rsidRPr="009C48DA" w:rsidR="0018546A" w:rsidSect="00794BFF">
          <w:headerReference w:type="default" r:id="rId57"/>
          <w:footerReference w:type="default" r:id="rId58"/>
          <w:headerReference w:type="first" r:id="rId59"/>
          <w:footerReference w:type="first" r:id="rId60"/>
          <w:pgSz w:w="11910" w:h="16840"/>
          <w:pgMar w:top="2410" w:right="1680" w:bottom="2694" w:left="1680" w:header="720" w:footer="720" w:gutter="0"/>
          <w:cols w:space="720"/>
          <w:titlePg/>
          <w:docGrid w:linePitch="299"/>
        </w:sectPr>
      </w:pPr>
    </w:p>
    <w:p w:rsidRPr="009C48DA" w:rsidR="00DA7B9D" w:rsidP="00EF6784" w:rsidRDefault="00EF6784" w14:paraId="52FA8C44" w14:textId="4C7AE2D2">
      <w:pPr>
        <w:pStyle w:val="Heading2"/>
        <w:jc w:val="center"/>
        <w:rPr>
          <w:sz w:val="20"/>
          <w:lang w:val="en-GB"/>
        </w:rPr>
      </w:pPr>
      <w:bookmarkStart w:name="_Toc67956039" w:id="711"/>
      <w:bookmarkStart w:name="_Ref69831771" w:id="712"/>
      <w:bookmarkStart w:name="_Ref69831790" w:id="713"/>
      <w:bookmarkStart w:name="_Ref71145999" w:id="714"/>
      <w:bookmarkStart w:name="_Ref71146010" w:id="715"/>
      <w:bookmarkStart w:name="_Ref71146116" w:id="716"/>
      <w:bookmarkStart w:name="_Ref71146123" w:id="717"/>
      <w:bookmarkStart w:name="_Ref71146151" w:id="718"/>
      <w:bookmarkStart w:name="_Ref71146177" w:id="719"/>
      <w:r w:rsidRPr="009C48DA">
        <w:rPr>
          <w:sz w:val="20"/>
          <w:lang w:val="en-GB"/>
        </w:rPr>
        <w:lastRenderedPageBreak/>
        <w:br/>
      </w:r>
      <w:r w:rsidRPr="009C48DA">
        <w:rPr>
          <w:sz w:val="20"/>
          <w:lang w:val="en-GB"/>
        </w:rPr>
        <w:br/>
      </w:r>
      <w:bookmarkStart w:name="_Toc71147113" w:id="720"/>
      <w:bookmarkStart w:name="_Toc71147153" w:id="721"/>
      <w:bookmarkStart w:name="_Ref71166456" w:id="722"/>
      <w:bookmarkStart w:name="_Ref72799957" w:id="723"/>
      <w:bookmarkStart w:name="_Ref72800005" w:id="724"/>
      <w:bookmarkStart w:name="_Ref72800070" w:id="725"/>
      <w:bookmarkStart w:name="_Ref74459908" w:id="726"/>
      <w:bookmarkStart w:name="_Ref74460116" w:id="727"/>
      <w:bookmarkStart w:name="_Ref74462779" w:id="728"/>
      <w:bookmarkStart w:name="_Ref74464496" w:id="729"/>
      <w:bookmarkStart w:name="_Ref74473316" w:id="730"/>
      <w:bookmarkStart w:name="_Ref74473404" w:id="731"/>
      <w:bookmarkStart w:name="_Ref74545554" w:id="732"/>
      <w:r w:rsidRPr="009C48DA" w:rsidR="00427CB5">
        <w:rPr>
          <w:sz w:val="20"/>
          <w:lang w:val="en-GB"/>
        </w:rPr>
        <w:t>HISTORICAL FINANCIAL INFORMATION</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rsidRPr="009C48DA" w:rsidR="00727421" w:rsidP="00727421" w:rsidRDefault="00143D62" w14:paraId="669E2036" w14:textId="77777777">
      <w:pPr>
        <w:spacing w:before="1680" w:after="240"/>
        <w:jc w:val="center"/>
        <w:textAlignment w:val="baseline"/>
        <w:rPr>
          <w:rFonts w:eastAsia="SimSun" w:cs="Times New Roman"/>
          <w:b/>
          <w:bCs/>
          <w:lang w:val="en-GB"/>
        </w:rPr>
      </w:pPr>
      <w:r w:rsidRPr="009C48DA">
        <w:rPr>
          <w:rFonts w:eastAsia="SimSun" w:cs="Times New Roman"/>
          <w:b/>
          <w:bCs/>
          <w:lang w:val="en-GB"/>
        </w:rPr>
        <w:br w:type="page"/>
      </w:r>
    </w:p>
    <w:p w:rsidRPr="009C48DA" w:rsidR="00661519" w:rsidP="00661519" w:rsidRDefault="00661519" w14:paraId="392DDF1D" w14:textId="77777777">
      <w:pPr>
        <w:spacing w:before="1680" w:after="240"/>
        <w:jc w:val="center"/>
        <w:textAlignment w:val="baseline"/>
        <w:rPr>
          <w:rFonts w:eastAsia="Times New Roman" w:cs="Times New Roman"/>
          <w:color w:val="000000"/>
          <w:sz w:val="24"/>
          <w:szCs w:val="22"/>
          <w:lang w:val="en-GB"/>
        </w:rPr>
      </w:pPr>
    </w:p>
    <w:p w:rsidRPr="009C48DA" w:rsidR="00661519" w:rsidP="00661519" w:rsidRDefault="00661519" w14:paraId="531376FA" w14:textId="55B5C405">
      <w:pPr>
        <w:spacing w:before="1680" w:after="240"/>
        <w:jc w:val="center"/>
        <w:textAlignment w:val="baseline"/>
        <w:rPr>
          <w:rFonts w:eastAsia="Times New Roman" w:cs="Times New Roman"/>
          <w:color w:val="000000"/>
          <w:sz w:val="24"/>
          <w:szCs w:val="22"/>
          <w:lang w:val="en-GB"/>
        </w:rPr>
      </w:pPr>
      <w:r w:rsidRPr="009C48DA">
        <w:rPr>
          <w:rFonts w:eastAsia="Times New Roman" w:cs="Times New Roman"/>
          <w:color w:val="000000"/>
          <w:sz w:val="24"/>
          <w:szCs w:val="22"/>
          <w:lang w:val="en-GB"/>
        </w:rPr>
        <w:t>Atlantic Investments Holdings Limited</w:t>
      </w:r>
    </w:p>
    <w:p w:rsidRPr="009C48DA" w:rsidR="00661519" w:rsidP="00661519" w:rsidRDefault="00661519" w14:paraId="2CC84105" w14:textId="77777777">
      <w:pPr>
        <w:spacing w:after="240"/>
        <w:jc w:val="center"/>
        <w:textAlignment w:val="baseline"/>
        <w:rPr>
          <w:rFonts w:eastAsia="Times New Roman" w:cs="Times New Roman"/>
          <w:color w:val="000000"/>
          <w:sz w:val="24"/>
          <w:szCs w:val="22"/>
          <w:lang w:val="en-GB"/>
        </w:rPr>
      </w:pPr>
      <w:r w:rsidRPr="009C48DA">
        <w:rPr>
          <w:rFonts w:eastAsia="Times New Roman" w:cs="Times New Roman"/>
          <w:color w:val="000000"/>
          <w:sz w:val="24"/>
          <w:szCs w:val="22"/>
          <w:lang w:val="en-GB"/>
        </w:rPr>
        <w:t xml:space="preserve">HISTORICAL FINANCIAL INFORMATION </w:t>
      </w:r>
    </w:p>
    <w:p w:rsidRPr="009C48DA" w:rsidR="00661519" w:rsidP="00661519" w:rsidRDefault="00661519" w14:paraId="19731B62" w14:textId="77777777">
      <w:pPr>
        <w:spacing w:after="240"/>
        <w:jc w:val="center"/>
        <w:textAlignment w:val="baseline"/>
        <w:rPr>
          <w:rFonts w:eastAsia="Times New Roman" w:cs="Times New Roman"/>
          <w:color w:val="000000"/>
          <w:sz w:val="24"/>
          <w:szCs w:val="22"/>
          <w:lang w:val="en-GB"/>
        </w:rPr>
      </w:pPr>
      <w:r w:rsidRPr="009C48DA">
        <w:rPr>
          <w:rFonts w:eastAsia="Times New Roman" w:cs="Times New Roman"/>
          <w:color w:val="000000"/>
          <w:sz w:val="24"/>
          <w:szCs w:val="22"/>
          <w:lang w:val="en-GB"/>
        </w:rPr>
        <w:t xml:space="preserve">FOR THE THREE YEARS ENDED 31 DECEMBER 2020 </w:t>
      </w:r>
    </w:p>
    <w:p w:rsidRPr="009C48DA" w:rsidR="00661519" w:rsidP="00661519" w:rsidRDefault="00661519" w14:paraId="6FEE4BC6" w14:textId="77777777">
      <w:pPr>
        <w:spacing w:after="240"/>
        <w:jc w:val="center"/>
        <w:textAlignment w:val="baseline"/>
        <w:rPr>
          <w:rFonts w:eastAsia="Times New Roman" w:cs="Times New Roman"/>
          <w:color w:val="000000"/>
          <w:sz w:val="24"/>
          <w:szCs w:val="22"/>
          <w:lang w:val="en-GB"/>
        </w:rPr>
      </w:pPr>
      <w:r w:rsidRPr="009C48DA">
        <w:rPr>
          <w:rFonts w:eastAsia="Times New Roman" w:cs="Times New Roman"/>
          <w:color w:val="000000"/>
          <w:sz w:val="24"/>
          <w:szCs w:val="22"/>
          <w:lang w:val="en-GB"/>
        </w:rPr>
        <w:t>AND THREE MONTHS ENDED 31 MARCH 2020 AND 2021</w:t>
      </w:r>
    </w:p>
    <w:p w:rsidRPr="009C48DA" w:rsidR="00661519" w:rsidP="00661519" w:rsidRDefault="00661519" w14:paraId="23DDEE95" w14:textId="77777777">
      <w:pPr>
        <w:spacing w:after="240"/>
        <w:jc w:val="center"/>
        <w:textAlignment w:val="baseline"/>
        <w:rPr>
          <w:rFonts w:eastAsia="Times New Roman" w:cs="Times New Roman"/>
          <w:color w:val="000000"/>
          <w:sz w:val="24"/>
          <w:szCs w:val="22"/>
          <w:lang w:val="en-GB"/>
        </w:rPr>
      </w:pPr>
    </w:p>
    <w:p w:rsidRPr="009C48DA" w:rsidR="00661519" w:rsidP="00661519" w:rsidRDefault="00661519" w14:paraId="14168327" w14:textId="77777777">
      <w:pPr>
        <w:rPr>
          <w:rFonts w:eastAsia="PMingLiU" w:cs="Times New Roman"/>
          <w:szCs w:val="22"/>
          <w:lang w:val="en-GB"/>
        </w:rPr>
        <w:sectPr w:rsidRPr="009C48DA" w:rsidR="00661519" w:rsidSect="00661519">
          <w:headerReference w:type="even" r:id="rId61"/>
          <w:headerReference w:type="default" r:id="rId62"/>
          <w:footerReference w:type="even" r:id="rId63"/>
          <w:footerReference w:type="default" r:id="rId64"/>
          <w:headerReference w:type="first" r:id="rId65"/>
          <w:footerReference w:type="first" r:id="rId66"/>
          <w:pgSz w:w="11909" w:h="16838"/>
          <w:pgMar w:top="1440" w:right="1440" w:bottom="1440" w:left="1440" w:header="720" w:footer="720" w:gutter="0"/>
          <w:cols w:space="720"/>
          <w:docGrid w:linePitch="299"/>
        </w:sectPr>
      </w:pPr>
    </w:p>
    <w:p w:rsidRPr="009C48DA" w:rsidR="00661519" w:rsidP="00661519" w:rsidRDefault="00661519" w14:paraId="3EB22B69" w14:textId="77777777">
      <w:pPr>
        <w:spacing w:after="240"/>
        <w:jc w:val="center"/>
        <w:textAlignment w:val="baseline"/>
        <w:rPr>
          <w:rFonts w:eastAsia="Times New Roman" w:cs="Times New Roman"/>
          <w:b/>
          <w:color w:val="000000"/>
          <w:sz w:val="24"/>
          <w:szCs w:val="22"/>
          <w:lang w:val="en-GB"/>
        </w:rPr>
      </w:pPr>
    </w:p>
    <w:tbl>
      <w:tblPr>
        <w:tblW w:w="9060" w:type="dxa"/>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left w:w="0" w:type="dxa"/>
          <w:right w:w="0" w:type="dxa"/>
        </w:tblCellMar>
        <w:tblLook w:val="04A0" w:firstRow="1" w:lastRow="0" w:firstColumn="1" w:lastColumn="0" w:noHBand="0" w:noVBand="1"/>
      </w:tblPr>
      <w:tblGrid>
        <w:gridCol w:w="2812"/>
        <w:gridCol w:w="793"/>
        <w:gridCol w:w="1090"/>
        <w:gridCol w:w="1090"/>
        <w:gridCol w:w="1024"/>
        <w:gridCol w:w="1156"/>
        <w:gridCol w:w="1095"/>
      </w:tblGrid>
      <w:tr w:rsidRPr="009C48DA" w:rsidR="00661519" w:rsidTr="00661519" w14:paraId="43934C6E" w14:textId="77777777">
        <w:tc>
          <w:tcPr>
            <w:tcW w:w="2812" w:type="dxa"/>
            <w:vMerge w:val="restart"/>
            <w:tcBorders>
              <w:top w:val="nil"/>
              <w:left w:val="nil"/>
              <w:bottom w:val="nil"/>
              <w:right w:val="nil"/>
            </w:tcBorders>
            <w:vAlign w:val="bottom"/>
          </w:tcPr>
          <w:p w:rsidRPr="009C48DA" w:rsidR="00661519" w:rsidP="00661519" w:rsidRDefault="00661519" w14:paraId="5438367B"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793" w:type="dxa"/>
            <w:vMerge w:val="restart"/>
            <w:tcBorders>
              <w:top w:val="nil"/>
              <w:left w:val="nil"/>
              <w:bottom w:val="nil"/>
              <w:right w:val="nil"/>
            </w:tcBorders>
            <w:vAlign w:val="bottom"/>
          </w:tcPr>
          <w:p w:rsidRPr="009C48DA" w:rsidR="00661519" w:rsidP="00661519" w:rsidRDefault="00661519" w14:paraId="0B8EF6A3" w14:textId="77777777">
            <w:pPr>
              <w:spacing w:before="60"/>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Note</w:t>
            </w:r>
          </w:p>
        </w:tc>
        <w:tc>
          <w:tcPr>
            <w:tcW w:w="3204" w:type="dxa"/>
            <w:gridSpan w:val="3"/>
            <w:tcBorders>
              <w:top w:val="nil"/>
              <w:left w:val="nil"/>
              <w:bottom w:val="nil"/>
              <w:right w:val="nil"/>
            </w:tcBorders>
            <w:vAlign w:val="bottom"/>
          </w:tcPr>
          <w:p w:rsidRPr="009C48DA" w:rsidR="00661519" w:rsidP="00661519" w:rsidRDefault="00661519" w14:paraId="0698788D" w14:textId="77777777">
            <w:pPr>
              <w:pBdr>
                <w:bottom w:val="single" w:color="auto" w:sz="18" w:space="0"/>
              </w:pBdr>
              <w:spacing w:before="60"/>
              <w:ind w:right="146"/>
              <w:jc w:val="cente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Year ended 31 December</w:t>
            </w:r>
          </w:p>
        </w:tc>
        <w:tc>
          <w:tcPr>
            <w:tcW w:w="2251" w:type="dxa"/>
            <w:gridSpan w:val="2"/>
            <w:tcBorders>
              <w:top w:val="nil"/>
              <w:left w:val="nil"/>
              <w:bottom w:val="nil"/>
              <w:right w:val="nil"/>
            </w:tcBorders>
            <w:vAlign w:val="bottom"/>
          </w:tcPr>
          <w:p w:rsidRPr="009C48DA" w:rsidR="00661519" w:rsidP="00661519" w:rsidRDefault="00661519" w14:paraId="22556894" w14:textId="77777777">
            <w:pPr>
              <w:pBdr>
                <w:bottom w:val="single" w:color="auto" w:sz="18" w:space="0"/>
              </w:pBdr>
              <w:spacing w:before="60"/>
              <w:ind w:left="137"/>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Three month period ended</w:t>
            </w:r>
          </w:p>
          <w:p w:rsidRPr="009C48DA" w:rsidR="00661519" w:rsidP="00661519" w:rsidRDefault="00661519" w14:paraId="4199C7D0" w14:textId="77777777">
            <w:pPr>
              <w:pBdr>
                <w:bottom w:val="single" w:color="auto" w:sz="18" w:space="0"/>
              </w:pBdr>
              <w:spacing w:before="60"/>
              <w:ind w:left="137"/>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31 March</w:t>
            </w:r>
          </w:p>
        </w:tc>
      </w:tr>
      <w:tr w:rsidRPr="009C48DA" w:rsidR="00661519" w:rsidTr="00661519" w14:paraId="2D4211C8" w14:textId="77777777">
        <w:tc>
          <w:tcPr>
            <w:tcW w:w="2812" w:type="dxa"/>
            <w:vMerge/>
            <w:tcBorders>
              <w:top w:val="nil"/>
              <w:left w:val="nil"/>
              <w:bottom w:val="nil"/>
              <w:right w:val="nil"/>
            </w:tcBorders>
            <w:vAlign w:val="bottom"/>
          </w:tcPr>
          <w:p w:rsidRPr="009C48DA" w:rsidR="00661519" w:rsidP="00661519" w:rsidRDefault="00661519" w14:paraId="04E7F7F3" w14:textId="77777777">
            <w:pPr>
              <w:spacing w:before="60"/>
              <w:rPr>
                <w:rFonts w:eastAsia="PMingLiU" w:cs="Times New Roman"/>
                <w:sz w:val="16"/>
                <w:szCs w:val="16"/>
                <w:lang w:val="en-GB"/>
              </w:rPr>
            </w:pPr>
          </w:p>
        </w:tc>
        <w:tc>
          <w:tcPr>
            <w:tcW w:w="793" w:type="dxa"/>
            <w:vMerge/>
            <w:tcBorders>
              <w:top w:val="nil"/>
              <w:left w:val="nil"/>
              <w:bottom w:val="nil"/>
              <w:right w:val="nil"/>
            </w:tcBorders>
            <w:vAlign w:val="bottom"/>
          </w:tcPr>
          <w:p w:rsidRPr="009C48DA" w:rsidR="00661519" w:rsidP="00661519" w:rsidRDefault="00661519" w14:paraId="521FCC8A" w14:textId="77777777">
            <w:pPr>
              <w:spacing w:before="60"/>
              <w:jc w:val="center"/>
              <w:rPr>
                <w:rFonts w:eastAsia="PMingLiU" w:cs="Times New Roman"/>
                <w:sz w:val="16"/>
                <w:szCs w:val="16"/>
                <w:lang w:val="en-GB"/>
              </w:rPr>
            </w:pPr>
          </w:p>
        </w:tc>
        <w:tc>
          <w:tcPr>
            <w:tcW w:w="1090" w:type="dxa"/>
            <w:tcBorders>
              <w:top w:val="nil"/>
              <w:left w:val="nil"/>
              <w:bottom w:val="nil"/>
              <w:right w:val="nil"/>
            </w:tcBorders>
            <w:vAlign w:val="bottom"/>
          </w:tcPr>
          <w:p w:rsidRPr="009C48DA" w:rsidR="00661519" w:rsidP="00661519" w:rsidRDefault="00661519" w14:paraId="28F6AADE" w14:textId="77777777">
            <w:pPr>
              <w:spacing w:before="60"/>
              <w:ind w:right="109"/>
              <w:contextualSpacing/>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2018</w:t>
            </w:r>
          </w:p>
          <w:p w:rsidRPr="009C48DA" w:rsidR="00661519" w:rsidP="00661519" w:rsidRDefault="00661519" w14:paraId="1A05CD3C" w14:textId="77777777">
            <w:pPr>
              <w:spacing w:before="60"/>
              <w:ind w:right="109"/>
              <w:contextualSpacing/>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090" w:type="dxa"/>
            <w:tcBorders>
              <w:top w:val="nil"/>
              <w:left w:val="nil"/>
              <w:bottom w:val="nil"/>
              <w:right w:val="nil"/>
            </w:tcBorders>
            <w:vAlign w:val="bottom"/>
          </w:tcPr>
          <w:p w:rsidRPr="009C48DA" w:rsidR="00661519" w:rsidP="00661519" w:rsidRDefault="00661519" w14:paraId="6B9F2E51" w14:textId="77777777">
            <w:pPr>
              <w:spacing w:before="60"/>
              <w:ind w:right="170"/>
              <w:contextualSpacing/>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2019</w:t>
            </w:r>
          </w:p>
          <w:p w:rsidRPr="009C48DA" w:rsidR="00661519" w:rsidP="00661519" w:rsidRDefault="00661519" w14:paraId="54C0CA1E" w14:textId="77777777">
            <w:pPr>
              <w:spacing w:before="60"/>
              <w:ind w:right="170"/>
              <w:contextualSpacing/>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024" w:type="dxa"/>
            <w:tcBorders>
              <w:top w:val="nil"/>
              <w:left w:val="nil"/>
              <w:bottom w:val="nil"/>
              <w:right w:val="nil"/>
            </w:tcBorders>
            <w:vAlign w:val="bottom"/>
          </w:tcPr>
          <w:p w:rsidRPr="009C48DA" w:rsidR="00661519" w:rsidP="00661519" w:rsidRDefault="00661519" w14:paraId="0316C1EF" w14:textId="77777777">
            <w:pPr>
              <w:spacing w:before="60"/>
              <w:ind w:right="133"/>
              <w:contextualSpacing/>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2020</w:t>
            </w:r>
          </w:p>
          <w:p w:rsidRPr="009C48DA" w:rsidR="00661519" w:rsidP="00661519" w:rsidRDefault="00661519" w14:paraId="1B1AA9EB" w14:textId="77777777">
            <w:pPr>
              <w:spacing w:before="60"/>
              <w:ind w:right="133"/>
              <w:contextualSpacing/>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156" w:type="dxa"/>
            <w:tcBorders>
              <w:top w:val="nil"/>
              <w:left w:val="nil"/>
              <w:bottom w:val="nil"/>
              <w:right w:val="nil"/>
            </w:tcBorders>
            <w:vAlign w:val="bottom"/>
          </w:tcPr>
          <w:p w:rsidRPr="009C48DA" w:rsidR="00661519" w:rsidP="00661519" w:rsidRDefault="00661519" w14:paraId="68F569C6" w14:textId="77777777">
            <w:pPr>
              <w:spacing w:before="60"/>
              <w:ind w:right="117"/>
              <w:contextualSpacing/>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Unaudited 2020</w:t>
            </w:r>
          </w:p>
          <w:p w:rsidRPr="009C48DA" w:rsidR="00661519" w:rsidP="00661519" w:rsidRDefault="00661519" w14:paraId="29E7B3C3" w14:textId="77777777">
            <w:pPr>
              <w:spacing w:before="60"/>
              <w:ind w:right="117"/>
              <w:contextualSpacing/>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095" w:type="dxa"/>
            <w:tcBorders>
              <w:top w:val="nil"/>
              <w:left w:val="nil"/>
              <w:bottom w:val="nil"/>
              <w:right w:val="nil"/>
            </w:tcBorders>
            <w:vAlign w:val="bottom"/>
          </w:tcPr>
          <w:p w:rsidRPr="009C48DA" w:rsidR="00661519" w:rsidP="00661519" w:rsidRDefault="00661519" w14:paraId="38E809B8" w14:textId="77777777">
            <w:pPr>
              <w:spacing w:before="60"/>
              <w:ind w:right="120"/>
              <w:contextualSpacing/>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2021</w:t>
            </w:r>
          </w:p>
          <w:p w:rsidRPr="009C48DA" w:rsidR="00661519" w:rsidP="00661519" w:rsidRDefault="00661519" w14:paraId="38C9B56E" w14:textId="77777777">
            <w:pPr>
              <w:spacing w:before="60"/>
              <w:ind w:right="120"/>
              <w:contextualSpacing/>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07CCEEE6" w14:textId="77777777">
        <w:tc>
          <w:tcPr>
            <w:tcW w:w="2812" w:type="dxa"/>
            <w:tcBorders>
              <w:top w:val="nil"/>
              <w:left w:val="nil"/>
              <w:bottom w:val="nil"/>
              <w:right w:val="nil"/>
            </w:tcBorders>
            <w:vAlign w:val="bottom"/>
          </w:tcPr>
          <w:p w:rsidRPr="009C48DA" w:rsidR="00661519" w:rsidP="00661519" w:rsidRDefault="00661519" w14:paraId="5AB0F0CF"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Management fees</w:t>
            </w:r>
          </w:p>
        </w:tc>
        <w:tc>
          <w:tcPr>
            <w:tcW w:w="793" w:type="dxa"/>
            <w:tcBorders>
              <w:top w:val="nil"/>
              <w:left w:val="nil"/>
              <w:bottom w:val="nil"/>
              <w:right w:val="nil"/>
            </w:tcBorders>
            <w:vAlign w:val="bottom"/>
          </w:tcPr>
          <w:p w:rsidRPr="009C48DA" w:rsidR="00661519" w:rsidP="00661519" w:rsidRDefault="00661519" w14:paraId="51131628"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w:t>
            </w:r>
          </w:p>
        </w:tc>
        <w:tc>
          <w:tcPr>
            <w:tcW w:w="1090" w:type="dxa"/>
            <w:tcBorders>
              <w:top w:val="nil"/>
              <w:left w:val="nil"/>
              <w:bottom w:val="nil"/>
              <w:right w:val="nil"/>
            </w:tcBorders>
            <w:vAlign w:val="bottom"/>
          </w:tcPr>
          <w:p w:rsidRPr="009C48DA" w:rsidR="00661519" w:rsidP="00661519" w:rsidRDefault="00661519" w14:paraId="6445D80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117,367</w:t>
            </w:r>
          </w:p>
        </w:tc>
        <w:tc>
          <w:tcPr>
            <w:tcW w:w="1090" w:type="dxa"/>
            <w:tcBorders>
              <w:top w:val="nil"/>
              <w:left w:val="nil"/>
              <w:bottom w:val="nil"/>
              <w:right w:val="nil"/>
            </w:tcBorders>
            <w:vAlign w:val="bottom"/>
          </w:tcPr>
          <w:p w:rsidRPr="009C48DA" w:rsidR="00661519" w:rsidP="00661519" w:rsidRDefault="00661519" w14:paraId="667D0956" w14:textId="77777777">
            <w:pPr>
              <w:spacing w:before="6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143,893</w:t>
            </w:r>
          </w:p>
        </w:tc>
        <w:tc>
          <w:tcPr>
            <w:tcW w:w="1024" w:type="dxa"/>
            <w:tcBorders>
              <w:top w:val="nil"/>
              <w:left w:val="nil"/>
              <w:bottom w:val="nil"/>
              <w:right w:val="nil"/>
            </w:tcBorders>
            <w:vAlign w:val="bottom"/>
          </w:tcPr>
          <w:p w:rsidRPr="009C48DA" w:rsidR="00661519" w:rsidP="00661519" w:rsidRDefault="00661519" w14:paraId="65DC1A0E" w14:textId="77777777">
            <w:pPr>
              <w:spacing w:before="60"/>
              <w:ind w:right="13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148,624</w:t>
            </w:r>
          </w:p>
        </w:tc>
        <w:tc>
          <w:tcPr>
            <w:tcW w:w="1156" w:type="dxa"/>
            <w:tcBorders>
              <w:top w:val="nil"/>
              <w:left w:val="nil"/>
              <w:bottom w:val="nil"/>
              <w:right w:val="nil"/>
            </w:tcBorders>
            <w:vAlign w:val="bottom"/>
          </w:tcPr>
          <w:p w:rsidRPr="009C48DA" w:rsidR="00661519" w:rsidP="00661519" w:rsidRDefault="00661519" w14:paraId="47E087EB" w14:textId="77777777">
            <w:pPr>
              <w:spacing w:before="60"/>
              <w:ind w:right="11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35,385</w:t>
            </w:r>
          </w:p>
        </w:tc>
        <w:tc>
          <w:tcPr>
            <w:tcW w:w="1095" w:type="dxa"/>
            <w:tcBorders>
              <w:top w:val="nil"/>
              <w:left w:val="nil"/>
              <w:bottom w:val="nil"/>
              <w:right w:val="nil"/>
            </w:tcBorders>
            <w:vAlign w:val="bottom"/>
          </w:tcPr>
          <w:p w:rsidRPr="009C48DA" w:rsidR="00661519" w:rsidP="00661519" w:rsidRDefault="00661519" w14:paraId="0BCB0D61" w14:textId="77777777">
            <w:pPr>
              <w:spacing w:before="60"/>
              <w:ind w:right="12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48,057</w:t>
            </w:r>
          </w:p>
        </w:tc>
      </w:tr>
      <w:tr w:rsidRPr="009C48DA" w:rsidR="00661519" w:rsidTr="00661519" w14:paraId="387DDC48" w14:textId="77777777">
        <w:tc>
          <w:tcPr>
            <w:tcW w:w="2812" w:type="dxa"/>
            <w:tcBorders>
              <w:top w:val="nil"/>
              <w:left w:val="nil"/>
              <w:bottom w:val="nil"/>
              <w:right w:val="nil"/>
            </w:tcBorders>
            <w:vAlign w:val="bottom"/>
          </w:tcPr>
          <w:p w:rsidRPr="009C48DA" w:rsidR="00661519" w:rsidP="00661519" w:rsidRDefault="00661519" w14:paraId="5BF5AAEB"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Carried interest </w:t>
            </w:r>
          </w:p>
        </w:tc>
        <w:tc>
          <w:tcPr>
            <w:tcW w:w="793" w:type="dxa"/>
            <w:tcBorders>
              <w:top w:val="nil"/>
              <w:left w:val="nil"/>
              <w:bottom w:val="nil"/>
              <w:right w:val="nil"/>
            </w:tcBorders>
            <w:vAlign w:val="bottom"/>
          </w:tcPr>
          <w:p w:rsidRPr="009C48DA" w:rsidR="00661519" w:rsidP="00661519" w:rsidRDefault="00661519" w14:paraId="7AAAF081"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w:t>
            </w:r>
          </w:p>
        </w:tc>
        <w:tc>
          <w:tcPr>
            <w:tcW w:w="1090" w:type="dxa"/>
            <w:tcBorders>
              <w:top w:val="nil"/>
              <w:left w:val="nil"/>
              <w:bottom w:val="nil"/>
              <w:right w:val="nil"/>
            </w:tcBorders>
            <w:vAlign w:val="bottom"/>
          </w:tcPr>
          <w:p w:rsidRPr="009C48DA" w:rsidR="00661519" w:rsidP="00661519" w:rsidRDefault="00661519" w14:paraId="0AD97DB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4,768</w:t>
            </w:r>
          </w:p>
        </w:tc>
        <w:tc>
          <w:tcPr>
            <w:tcW w:w="1090" w:type="dxa"/>
            <w:tcBorders>
              <w:top w:val="nil"/>
              <w:left w:val="nil"/>
              <w:bottom w:val="nil"/>
              <w:right w:val="nil"/>
            </w:tcBorders>
            <w:vAlign w:val="bottom"/>
          </w:tcPr>
          <w:p w:rsidRPr="009C48DA" w:rsidR="00661519" w:rsidP="00661519" w:rsidRDefault="00661519" w14:paraId="54B8FB98" w14:textId="77777777">
            <w:pPr>
              <w:spacing w:before="6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9,582</w:t>
            </w:r>
          </w:p>
        </w:tc>
        <w:tc>
          <w:tcPr>
            <w:tcW w:w="1024" w:type="dxa"/>
            <w:tcBorders>
              <w:top w:val="nil"/>
              <w:left w:val="nil"/>
              <w:bottom w:val="nil"/>
              <w:right w:val="nil"/>
            </w:tcBorders>
            <w:vAlign w:val="bottom"/>
          </w:tcPr>
          <w:p w:rsidRPr="009C48DA" w:rsidR="00661519" w:rsidP="00661519" w:rsidRDefault="00661519" w14:paraId="5798EACE" w14:textId="77777777">
            <w:pPr>
              <w:spacing w:before="60"/>
              <w:ind w:right="13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12,917</w:t>
            </w:r>
          </w:p>
        </w:tc>
        <w:tc>
          <w:tcPr>
            <w:tcW w:w="1156" w:type="dxa"/>
            <w:tcBorders>
              <w:top w:val="nil"/>
              <w:left w:val="nil"/>
              <w:bottom w:val="nil"/>
              <w:right w:val="nil"/>
            </w:tcBorders>
            <w:vAlign w:val="bottom"/>
          </w:tcPr>
          <w:p w:rsidRPr="009C48DA" w:rsidR="00661519" w:rsidP="00661519" w:rsidRDefault="00661519" w14:paraId="2074D2F4" w14:textId="77777777">
            <w:pPr>
              <w:spacing w:before="60"/>
              <w:ind w:right="11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614</w:t>
            </w:r>
          </w:p>
        </w:tc>
        <w:tc>
          <w:tcPr>
            <w:tcW w:w="1095" w:type="dxa"/>
            <w:tcBorders>
              <w:top w:val="nil"/>
              <w:left w:val="nil"/>
              <w:bottom w:val="nil"/>
              <w:right w:val="nil"/>
            </w:tcBorders>
            <w:vAlign w:val="bottom"/>
          </w:tcPr>
          <w:p w:rsidRPr="009C48DA" w:rsidR="00661519" w:rsidP="00661519" w:rsidRDefault="00661519" w14:paraId="3CCDA69E" w14:textId="77777777">
            <w:pPr>
              <w:spacing w:before="60"/>
              <w:ind w:right="12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(681)</w:t>
            </w:r>
          </w:p>
        </w:tc>
      </w:tr>
      <w:tr w:rsidRPr="009C48DA" w:rsidR="00661519" w:rsidTr="00661519" w14:paraId="186AB8C9" w14:textId="77777777">
        <w:tc>
          <w:tcPr>
            <w:tcW w:w="2812" w:type="dxa"/>
            <w:tcBorders>
              <w:top w:val="nil"/>
              <w:left w:val="nil"/>
              <w:bottom w:val="nil"/>
              <w:right w:val="nil"/>
            </w:tcBorders>
            <w:vAlign w:val="bottom"/>
          </w:tcPr>
          <w:p w:rsidRPr="009C48DA" w:rsidR="00661519" w:rsidP="00661519" w:rsidRDefault="00661519" w14:paraId="4F788AAD"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Fair value remeasurement of investments</w:t>
            </w:r>
          </w:p>
        </w:tc>
        <w:tc>
          <w:tcPr>
            <w:tcW w:w="793" w:type="dxa"/>
            <w:tcBorders>
              <w:top w:val="nil"/>
              <w:left w:val="nil"/>
              <w:bottom w:val="nil"/>
              <w:right w:val="nil"/>
            </w:tcBorders>
            <w:vAlign w:val="bottom"/>
          </w:tcPr>
          <w:p w:rsidRPr="009C48DA" w:rsidR="00661519" w:rsidP="00661519" w:rsidRDefault="00661519" w14:paraId="5E6CE47D"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w:t>
            </w:r>
          </w:p>
        </w:tc>
        <w:tc>
          <w:tcPr>
            <w:tcW w:w="1090" w:type="dxa"/>
            <w:tcBorders>
              <w:top w:val="nil"/>
              <w:left w:val="nil"/>
              <w:bottom w:val="nil"/>
              <w:right w:val="nil"/>
            </w:tcBorders>
            <w:vAlign w:val="bottom"/>
          </w:tcPr>
          <w:p w:rsidRPr="009C48DA" w:rsidR="00661519" w:rsidP="00661519" w:rsidRDefault="00661519" w14:paraId="128680D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olor w:val="000000"/>
                <w:sz w:val="16"/>
                <w:lang w:val="en-GB"/>
              </w:rPr>
              <w:t>20,815</w:t>
            </w:r>
          </w:p>
        </w:tc>
        <w:tc>
          <w:tcPr>
            <w:tcW w:w="1090" w:type="dxa"/>
            <w:tcBorders>
              <w:top w:val="nil"/>
              <w:left w:val="nil"/>
              <w:bottom w:val="nil"/>
              <w:right w:val="nil"/>
            </w:tcBorders>
            <w:vAlign w:val="bottom"/>
          </w:tcPr>
          <w:p w:rsidRPr="009C48DA" w:rsidR="00661519" w:rsidP="00661519" w:rsidRDefault="00661519" w14:paraId="4D0A052F" w14:textId="77777777">
            <w:pPr>
              <w:spacing w:before="6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14,467</w:t>
            </w:r>
          </w:p>
        </w:tc>
        <w:tc>
          <w:tcPr>
            <w:tcW w:w="1024" w:type="dxa"/>
            <w:tcBorders>
              <w:top w:val="nil"/>
              <w:left w:val="nil"/>
              <w:bottom w:val="nil"/>
              <w:right w:val="nil"/>
            </w:tcBorders>
            <w:vAlign w:val="bottom"/>
          </w:tcPr>
          <w:p w:rsidRPr="009C48DA" w:rsidR="00661519" w:rsidP="00661519" w:rsidRDefault="00661519" w14:paraId="1475BBB0" w14:textId="77777777">
            <w:pPr>
              <w:spacing w:before="60"/>
              <w:ind w:right="13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29,397</w:t>
            </w:r>
          </w:p>
        </w:tc>
        <w:tc>
          <w:tcPr>
            <w:tcW w:w="1156" w:type="dxa"/>
            <w:tcBorders>
              <w:top w:val="nil"/>
              <w:left w:val="nil"/>
              <w:bottom w:val="nil"/>
              <w:right w:val="nil"/>
            </w:tcBorders>
            <w:vAlign w:val="bottom"/>
          </w:tcPr>
          <w:p w:rsidRPr="009C48DA" w:rsidR="00661519" w:rsidP="00661519" w:rsidRDefault="00661519" w14:paraId="03ADF9BA" w14:textId="77777777">
            <w:pPr>
              <w:spacing w:before="60"/>
              <w:ind w:right="11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(7,934)</w:t>
            </w:r>
          </w:p>
        </w:tc>
        <w:tc>
          <w:tcPr>
            <w:tcW w:w="1095" w:type="dxa"/>
            <w:tcBorders>
              <w:top w:val="nil"/>
              <w:left w:val="nil"/>
              <w:bottom w:val="nil"/>
              <w:right w:val="nil"/>
            </w:tcBorders>
            <w:vAlign w:val="bottom"/>
          </w:tcPr>
          <w:p w:rsidRPr="009C48DA" w:rsidR="00661519" w:rsidP="00661519" w:rsidRDefault="00661519" w14:paraId="4451FD2E" w14:textId="77777777">
            <w:pPr>
              <w:spacing w:before="60"/>
              <w:ind w:right="12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13,611</w:t>
            </w:r>
          </w:p>
        </w:tc>
      </w:tr>
      <w:tr w:rsidRPr="009C48DA" w:rsidR="00661519" w:rsidTr="00661519" w14:paraId="7CF89199" w14:textId="77777777">
        <w:tc>
          <w:tcPr>
            <w:tcW w:w="2812" w:type="dxa"/>
            <w:tcBorders>
              <w:top w:val="nil"/>
              <w:left w:val="nil"/>
              <w:bottom w:val="nil"/>
              <w:right w:val="nil"/>
            </w:tcBorders>
            <w:vAlign w:val="bottom"/>
          </w:tcPr>
          <w:p w:rsidRPr="009C48DA" w:rsidR="00661519" w:rsidP="00661519" w:rsidRDefault="00661519" w14:paraId="513FC026"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Other operating income </w:t>
            </w:r>
          </w:p>
        </w:tc>
        <w:tc>
          <w:tcPr>
            <w:tcW w:w="793" w:type="dxa"/>
            <w:tcBorders>
              <w:top w:val="nil"/>
              <w:left w:val="nil"/>
              <w:bottom w:val="nil"/>
              <w:right w:val="nil"/>
            </w:tcBorders>
            <w:vAlign w:val="bottom"/>
          </w:tcPr>
          <w:p w:rsidRPr="009C48DA" w:rsidR="00661519" w:rsidP="00661519" w:rsidRDefault="00661519" w14:paraId="15BB5670"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w:t>
            </w:r>
          </w:p>
        </w:tc>
        <w:tc>
          <w:tcPr>
            <w:tcW w:w="1090" w:type="dxa"/>
            <w:tcBorders>
              <w:top w:val="nil"/>
              <w:left w:val="nil"/>
              <w:bottom w:val="nil"/>
              <w:right w:val="nil"/>
            </w:tcBorders>
            <w:vAlign w:val="bottom"/>
          </w:tcPr>
          <w:p w:rsidRPr="009C48DA" w:rsidR="00661519" w:rsidP="00661519" w:rsidRDefault="00661519" w14:paraId="4EEFB7FD"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1,861</w:t>
            </w:r>
          </w:p>
        </w:tc>
        <w:tc>
          <w:tcPr>
            <w:tcW w:w="1090" w:type="dxa"/>
            <w:tcBorders>
              <w:top w:val="nil"/>
              <w:left w:val="nil"/>
              <w:bottom w:val="nil"/>
              <w:right w:val="nil"/>
            </w:tcBorders>
            <w:vAlign w:val="bottom"/>
          </w:tcPr>
          <w:p w:rsidRPr="009C48DA" w:rsidR="00661519" w:rsidP="00661519" w:rsidRDefault="00661519" w14:paraId="5D7252AE" w14:textId="77777777">
            <w:pPr>
              <w:pBdr>
                <w:bottom w:val="single" w:color="auto" w:sz="8" w:space="1"/>
              </w:pBdr>
              <w:spacing w:before="6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1,895</w:t>
            </w:r>
          </w:p>
        </w:tc>
        <w:tc>
          <w:tcPr>
            <w:tcW w:w="1024" w:type="dxa"/>
            <w:tcBorders>
              <w:top w:val="nil"/>
              <w:left w:val="nil"/>
              <w:bottom w:val="nil"/>
              <w:right w:val="nil"/>
            </w:tcBorders>
            <w:vAlign w:val="bottom"/>
          </w:tcPr>
          <w:p w:rsidRPr="009C48DA" w:rsidR="00661519" w:rsidP="00661519" w:rsidRDefault="00661519" w14:paraId="05DABB06" w14:textId="77777777">
            <w:pPr>
              <w:pBdr>
                <w:bottom w:val="single" w:color="auto" w:sz="8" w:space="1"/>
              </w:pBdr>
              <w:spacing w:before="60"/>
              <w:ind w:right="13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873</w:t>
            </w:r>
          </w:p>
        </w:tc>
        <w:tc>
          <w:tcPr>
            <w:tcW w:w="1156" w:type="dxa"/>
            <w:tcBorders>
              <w:top w:val="nil"/>
              <w:left w:val="nil"/>
              <w:bottom w:val="nil"/>
              <w:right w:val="nil"/>
            </w:tcBorders>
            <w:vAlign w:val="bottom"/>
          </w:tcPr>
          <w:p w:rsidRPr="009C48DA" w:rsidR="00661519" w:rsidP="00661519" w:rsidRDefault="00661519" w14:paraId="3345988B" w14:textId="77777777">
            <w:pPr>
              <w:pBdr>
                <w:bottom w:val="single" w:color="auto" w:sz="8" w:space="1"/>
              </w:pBdr>
              <w:spacing w:before="60"/>
              <w:ind w:right="11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380</w:t>
            </w:r>
          </w:p>
        </w:tc>
        <w:tc>
          <w:tcPr>
            <w:tcW w:w="1095" w:type="dxa"/>
            <w:tcBorders>
              <w:top w:val="nil"/>
              <w:left w:val="nil"/>
              <w:bottom w:val="nil"/>
              <w:right w:val="nil"/>
            </w:tcBorders>
            <w:vAlign w:val="bottom"/>
          </w:tcPr>
          <w:p w:rsidRPr="009C48DA" w:rsidR="00661519" w:rsidP="00661519" w:rsidRDefault="00661519" w14:paraId="0FF9CB4A" w14:textId="77777777">
            <w:pPr>
              <w:pBdr>
                <w:bottom w:val="single" w:color="auto" w:sz="8" w:space="1"/>
              </w:pBdr>
              <w:spacing w:before="60"/>
              <w:ind w:right="12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383</w:t>
            </w:r>
          </w:p>
        </w:tc>
      </w:tr>
      <w:tr w:rsidRPr="009C48DA" w:rsidR="00661519" w:rsidTr="00661519" w14:paraId="1725850C" w14:textId="77777777">
        <w:tc>
          <w:tcPr>
            <w:tcW w:w="2812" w:type="dxa"/>
            <w:tcBorders>
              <w:top w:val="nil"/>
              <w:left w:val="nil"/>
              <w:bottom w:val="nil"/>
              <w:right w:val="nil"/>
            </w:tcBorders>
            <w:vAlign w:val="bottom"/>
          </w:tcPr>
          <w:p w:rsidRPr="009C48DA" w:rsidR="00661519" w:rsidP="00661519" w:rsidRDefault="00661519" w14:paraId="66F691DE" w14:textId="77777777">
            <w:pPr>
              <w:spacing w:before="12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operating income</w:t>
            </w:r>
          </w:p>
        </w:tc>
        <w:tc>
          <w:tcPr>
            <w:tcW w:w="793" w:type="dxa"/>
            <w:tcBorders>
              <w:top w:val="nil"/>
              <w:left w:val="nil"/>
              <w:bottom w:val="nil"/>
              <w:right w:val="nil"/>
            </w:tcBorders>
            <w:vAlign w:val="bottom"/>
          </w:tcPr>
          <w:p w:rsidRPr="009C48DA" w:rsidR="00661519" w:rsidP="00661519" w:rsidRDefault="00661519" w14:paraId="1C46D215" w14:textId="77777777">
            <w:pPr>
              <w:spacing w:before="12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w:t>
            </w:r>
          </w:p>
        </w:tc>
        <w:tc>
          <w:tcPr>
            <w:tcW w:w="1090" w:type="dxa"/>
            <w:tcBorders>
              <w:top w:val="nil"/>
              <w:left w:val="nil"/>
              <w:bottom w:val="nil"/>
              <w:right w:val="nil"/>
            </w:tcBorders>
            <w:vAlign w:val="bottom"/>
          </w:tcPr>
          <w:p w:rsidRPr="009C48DA" w:rsidR="00661519" w:rsidP="00661519" w:rsidRDefault="00661519" w14:paraId="63F640B3" w14:textId="77777777">
            <w:pPr>
              <w:spacing w:before="12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144,811</w:t>
            </w:r>
          </w:p>
        </w:tc>
        <w:tc>
          <w:tcPr>
            <w:tcW w:w="1090" w:type="dxa"/>
            <w:tcBorders>
              <w:top w:val="nil"/>
              <w:left w:val="nil"/>
              <w:bottom w:val="nil"/>
              <w:right w:val="nil"/>
            </w:tcBorders>
            <w:vAlign w:val="bottom"/>
          </w:tcPr>
          <w:p w:rsidRPr="009C48DA" w:rsidR="00661519" w:rsidP="00661519" w:rsidRDefault="00661519" w14:paraId="791D0165" w14:textId="77777777">
            <w:pPr>
              <w:spacing w:before="12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169,837</w:t>
            </w:r>
          </w:p>
        </w:tc>
        <w:tc>
          <w:tcPr>
            <w:tcW w:w="1024" w:type="dxa"/>
            <w:tcBorders>
              <w:top w:val="nil"/>
              <w:left w:val="nil"/>
              <w:bottom w:val="nil"/>
              <w:right w:val="nil"/>
            </w:tcBorders>
            <w:vAlign w:val="bottom"/>
          </w:tcPr>
          <w:p w:rsidRPr="009C48DA" w:rsidR="00661519" w:rsidP="00661519" w:rsidRDefault="00661519" w14:paraId="68CB6EE2" w14:textId="77777777">
            <w:pPr>
              <w:spacing w:before="120"/>
              <w:ind w:right="133"/>
              <w:jc w:val="right"/>
              <w:textAlignment w:val="baseline"/>
              <w:rPr>
                <w:rFonts w:eastAsia="Times New Roman" w:cs="Times New Roman"/>
                <w:color w:val="000000"/>
                <w:sz w:val="16"/>
                <w:szCs w:val="16"/>
                <w:lang w:val="en-GB"/>
              </w:rPr>
            </w:pPr>
            <w:r w:rsidRPr="009C48DA">
              <w:rPr>
                <w:rFonts w:eastAsia="Times New Roman"/>
                <w:color w:val="000000"/>
                <w:sz w:val="16"/>
                <w:lang w:val="en-GB"/>
              </w:rPr>
              <w:t>191,811</w:t>
            </w:r>
          </w:p>
        </w:tc>
        <w:tc>
          <w:tcPr>
            <w:tcW w:w="1156" w:type="dxa"/>
            <w:tcBorders>
              <w:top w:val="nil"/>
              <w:left w:val="nil"/>
              <w:bottom w:val="nil"/>
              <w:right w:val="nil"/>
            </w:tcBorders>
            <w:vAlign w:val="bottom"/>
          </w:tcPr>
          <w:p w:rsidRPr="009C48DA" w:rsidR="00661519" w:rsidP="00661519" w:rsidRDefault="00661519" w14:paraId="5F69C338" w14:textId="77777777">
            <w:pPr>
              <w:spacing w:before="120"/>
              <w:ind w:right="117"/>
              <w:jc w:val="right"/>
              <w:textAlignment w:val="baseline"/>
              <w:rPr>
                <w:rFonts w:eastAsia="Times New Roman" w:cs="Times New Roman"/>
                <w:color w:val="000000"/>
                <w:sz w:val="16"/>
                <w:szCs w:val="16"/>
                <w:lang w:val="en-GB"/>
              </w:rPr>
            </w:pPr>
            <w:r w:rsidRPr="009C48DA">
              <w:rPr>
                <w:rFonts w:eastAsia="Times New Roman"/>
                <w:color w:val="000000"/>
                <w:sz w:val="16"/>
                <w:lang w:val="en-GB"/>
              </w:rPr>
              <w:t>28,445</w:t>
            </w:r>
          </w:p>
        </w:tc>
        <w:tc>
          <w:tcPr>
            <w:tcW w:w="1095" w:type="dxa"/>
            <w:tcBorders>
              <w:top w:val="nil"/>
              <w:left w:val="nil"/>
              <w:bottom w:val="nil"/>
              <w:right w:val="nil"/>
            </w:tcBorders>
            <w:vAlign w:val="bottom"/>
          </w:tcPr>
          <w:p w:rsidRPr="009C48DA" w:rsidR="00661519" w:rsidP="00661519" w:rsidRDefault="00661519" w14:paraId="7773237E" w14:textId="77777777">
            <w:pPr>
              <w:spacing w:before="120"/>
              <w:ind w:right="120"/>
              <w:jc w:val="right"/>
              <w:textAlignment w:val="baseline"/>
              <w:rPr>
                <w:rFonts w:eastAsia="Times New Roman" w:cs="Times New Roman"/>
                <w:color w:val="000000"/>
                <w:sz w:val="16"/>
                <w:szCs w:val="16"/>
                <w:lang w:val="en-GB"/>
              </w:rPr>
            </w:pPr>
            <w:r w:rsidRPr="009C48DA">
              <w:rPr>
                <w:rFonts w:eastAsia="Times New Roman"/>
                <w:color w:val="000000"/>
                <w:sz w:val="16"/>
                <w:lang w:val="en-GB"/>
              </w:rPr>
              <w:t>61,370</w:t>
            </w:r>
          </w:p>
        </w:tc>
      </w:tr>
      <w:tr w:rsidRPr="009C48DA" w:rsidR="00661519" w:rsidTr="00661519" w14:paraId="2BCE70C2" w14:textId="77777777">
        <w:tc>
          <w:tcPr>
            <w:tcW w:w="2812" w:type="dxa"/>
            <w:tcBorders>
              <w:top w:val="nil"/>
              <w:left w:val="nil"/>
              <w:bottom w:val="nil"/>
              <w:right w:val="nil"/>
            </w:tcBorders>
            <w:vAlign w:val="bottom"/>
          </w:tcPr>
          <w:p w:rsidRPr="009C48DA" w:rsidR="00661519" w:rsidP="00661519" w:rsidRDefault="00661519" w14:paraId="156DE2F8"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Personnel expenses</w:t>
            </w:r>
          </w:p>
        </w:tc>
        <w:tc>
          <w:tcPr>
            <w:tcW w:w="793" w:type="dxa"/>
            <w:tcBorders>
              <w:top w:val="nil"/>
              <w:left w:val="nil"/>
              <w:bottom w:val="nil"/>
              <w:right w:val="nil"/>
            </w:tcBorders>
            <w:vAlign w:val="bottom"/>
          </w:tcPr>
          <w:p w:rsidRPr="009C48DA" w:rsidR="00661519" w:rsidP="00661519" w:rsidRDefault="00661519" w14:paraId="33A9141E"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w:t>
            </w:r>
          </w:p>
        </w:tc>
        <w:tc>
          <w:tcPr>
            <w:tcW w:w="1090" w:type="dxa"/>
            <w:tcBorders>
              <w:top w:val="nil"/>
              <w:left w:val="nil"/>
              <w:bottom w:val="nil"/>
              <w:right w:val="nil"/>
            </w:tcBorders>
            <w:vAlign w:val="bottom"/>
          </w:tcPr>
          <w:p w:rsidRPr="009C48DA" w:rsidR="00661519" w:rsidP="00661519" w:rsidRDefault="00661519" w14:paraId="78759C6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olor w:val="000000"/>
                <w:sz w:val="16"/>
                <w:lang w:val="en-GB"/>
              </w:rPr>
              <w:t>(91,447)</w:t>
            </w:r>
          </w:p>
        </w:tc>
        <w:tc>
          <w:tcPr>
            <w:tcW w:w="1090" w:type="dxa"/>
            <w:tcBorders>
              <w:top w:val="nil"/>
              <w:left w:val="nil"/>
              <w:bottom w:val="nil"/>
              <w:right w:val="nil"/>
            </w:tcBorders>
            <w:vAlign w:val="bottom"/>
          </w:tcPr>
          <w:p w:rsidRPr="009C48DA" w:rsidR="00661519" w:rsidP="00661519" w:rsidRDefault="00661519" w14:paraId="52FF50D9" w14:textId="77777777">
            <w:pPr>
              <w:spacing w:before="60"/>
              <w:ind w:right="170"/>
              <w:jc w:val="right"/>
              <w:textAlignment w:val="baseline"/>
              <w:rPr>
                <w:rFonts w:eastAsia="Times New Roman" w:cs="Times New Roman"/>
                <w:color w:val="000000"/>
                <w:sz w:val="16"/>
                <w:szCs w:val="16"/>
                <w:lang w:val="en-GB"/>
              </w:rPr>
            </w:pPr>
            <w:r w:rsidRPr="009C48DA">
              <w:rPr>
                <w:rFonts w:eastAsia="Times New Roman"/>
                <w:color w:val="000000"/>
                <w:sz w:val="16"/>
                <w:lang w:val="en-GB"/>
              </w:rPr>
              <w:t>(88,882)</w:t>
            </w:r>
          </w:p>
        </w:tc>
        <w:tc>
          <w:tcPr>
            <w:tcW w:w="1024" w:type="dxa"/>
            <w:tcBorders>
              <w:top w:val="nil"/>
              <w:left w:val="nil"/>
              <w:bottom w:val="nil"/>
              <w:right w:val="nil"/>
            </w:tcBorders>
            <w:vAlign w:val="bottom"/>
          </w:tcPr>
          <w:p w:rsidRPr="009C48DA" w:rsidR="00661519" w:rsidP="00661519" w:rsidRDefault="00661519" w14:paraId="27CD7EDB" w14:textId="77777777">
            <w:pPr>
              <w:spacing w:before="60"/>
              <w:ind w:right="133"/>
              <w:jc w:val="right"/>
              <w:textAlignment w:val="baseline"/>
              <w:rPr>
                <w:rFonts w:eastAsia="Times New Roman" w:cs="Times New Roman"/>
                <w:color w:val="000000"/>
                <w:sz w:val="16"/>
                <w:szCs w:val="16"/>
                <w:lang w:val="en-GB"/>
              </w:rPr>
            </w:pPr>
            <w:r w:rsidRPr="009C48DA">
              <w:rPr>
                <w:rFonts w:eastAsia="Times New Roman"/>
                <w:color w:val="000000"/>
                <w:sz w:val="16"/>
                <w:lang w:val="en-GB"/>
              </w:rPr>
              <w:t>(96,260)</w:t>
            </w:r>
          </w:p>
        </w:tc>
        <w:tc>
          <w:tcPr>
            <w:tcW w:w="1156" w:type="dxa"/>
            <w:tcBorders>
              <w:top w:val="nil"/>
              <w:left w:val="nil"/>
              <w:bottom w:val="nil"/>
              <w:right w:val="nil"/>
            </w:tcBorders>
            <w:vAlign w:val="bottom"/>
          </w:tcPr>
          <w:p w:rsidRPr="009C48DA" w:rsidR="00661519" w:rsidP="00661519" w:rsidRDefault="00661519" w14:paraId="1188723A" w14:textId="77777777">
            <w:pPr>
              <w:spacing w:before="60"/>
              <w:ind w:right="117"/>
              <w:jc w:val="right"/>
              <w:textAlignment w:val="baseline"/>
              <w:rPr>
                <w:rFonts w:eastAsia="Times New Roman" w:cs="Times New Roman"/>
                <w:color w:val="000000"/>
                <w:sz w:val="16"/>
                <w:szCs w:val="16"/>
                <w:lang w:val="en-GB"/>
              </w:rPr>
            </w:pPr>
            <w:r w:rsidRPr="009C48DA">
              <w:rPr>
                <w:rFonts w:eastAsia="Times New Roman"/>
                <w:color w:val="000000"/>
                <w:sz w:val="16"/>
                <w:lang w:val="en-GB"/>
              </w:rPr>
              <w:t>(20,516)</w:t>
            </w:r>
          </w:p>
        </w:tc>
        <w:tc>
          <w:tcPr>
            <w:tcW w:w="1095" w:type="dxa"/>
            <w:tcBorders>
              <w:top w:val="nil"/>
              <w:left w:val="nil"/>
              <w:bottom w:val="nil"/>
              <w:right w:val="nil"/>
            </w:tcBorders>
            <w:vAlign w:val="bottom"/>
          </w:tcPr>
          <w:p w:rsidRPr="009C48DA" w:rsidR="00661519" w:rsidP="00661519" w:rsidRDefault="00661519" w14:paraId="3A92C64E" w14:textId="77777777">
            <w:pPr>
              <w:spacing w:before="60"/>
              <w:ind w:right="120"/>
              <w:jc w:val="right"/>
              <w:textAlignment w:val="baseline"/>
              <w:rPr>
                <w:rFonts w:eastAsia="Times New Roman" w:cs="Times New Roman"/>
                <w:color w:val="000000"/>
                <w:sz w:val="16"/>
                <w:szCs w:val="16"/>
                <w:lang w:val="en-GB"/>
              </w:rPr>
            </w:pPr>
            <w:r w:rsidRPr="009C48DA">
              <w:rPr>
                <w:rFonts w:eastAsia="Times New Roman"/>
                <w:color w:val="000000"/>
                <w:sz w:val="16"/>
                <w:lang w:val="en-GB"/>
              </w:rPr>
              <w:t>(27,751)</w:t>
            </w:r>
          </w:p>
        </w:tc>
      </w:tr>
      <w:tr w:rsidRPr="009C48DA" w:rsidR="00661519" w:rsidTr="00661519" w14:paraId="7F0272BD" w14:textId="77777777">
        <w:tc>
          <w:tcPr>
            <w:tcW w:w="2812" w:type="dxa"/>
            <w:tcBorders>
              <w:top w:val="nil"/>
              <w:left w:val="nil"/>
              <w:bottom w:val="nil"/>
              <w:right w:val="nil"/>
            </w:tcBorders>
            <w:vAlign w:val="bottom"/>
          </w:tcPr>
          <w:p w:rsidRPr="009C48DA" w:rsidR="00661519" w:rsidP="00661519" w:rsidRDefault="00661519" w14:paraId="29C894D3"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Other expenses</w:t>
            </w:r>
          </w:p>
        </w:tc>
        <w:tc>
          <w:tcPr>
            <w:tcW w:w="793" w:type="dxa"/>
            <w:tcBorders>
              <w:top w:val="nil"/>
              <w:left w:val="nil"/>
              <w:bottom w:val="nil"/>
              <w:right w:val="nil"/>
            </w:tcBorders>
            <w:vAlign w:val="bottom"/>
          </w:tcPr>
          <w:p w:rsidRPr="009C48DA" w:rsidR="00661519" w:rsidP="00661519" w:rsidRDefault="00661519" w14:paraId="0F022E09" w14:textId="77777777">
            <w:pPr>
              <w:spacing w:before="60"/>
              <w:jc w:val="center"/>
              <w:textAlignment w:val="baseline"/>
              <w:rPr>
                <w:rFonts w:eastAsia="Times New Roman" w:cs="Times New Roman"/>
                <w:color w:val="000000"/>
                <w:sz w:val="16"/>
                <w:szCs w:val="16"/>
                <w:lang w:val="en-GB"/>
              </w:rPr>
            </w:pPr>
          </w:p>
        </w:tc>
        <w:tc>
          <w:tcPr>
            <w:tcW w:w="1090" w:type="dxa"/>
            <w:tcBorders>
              <w:top w:val="nil"/>
              <w:left w:val="nil"/>
              <w:bottom w:val="nil"/>
              <w:right w:val="nil"/>
            </w:tcBorders>
            <w:vAlign w:val="bottom"/>
          </w:tcPr>
          <w:p w:rsidRPr="009C48DA" w:rsidR="00661519" w:rsidP="00661519" w:rsidRDefault="00661519" w14:paraId="61ACB86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olor w:val="000000"/>
                <w:sz w:val="16"/>
                <w:lang w:val="en-GB"/>
              </w:rPr>
              <w:t>(35,705)</w:t>
            </w:r>
          </w:p>
        </w:tc>
        <w:tc>
          <w:tcPr>
            <w:tcW w:w="1090" w:type="dxa"/>
            <w:tcBorders>
              <w:top w:val="nil"/>
              <w:left w:val="nil"/>
              <w:bottom w:val="nil"/>
              <w:right w:val="nil"/>
            </w:tcBorders>
            <w:vAlign w:val="bottom"/>
          </w:tcPr>
          <w:p w:rsidRPr="009C48DA" w:rsidR="00661519" w:rsidP="00661519" w:rsidRDefault="00661519" w14:paraId="3A2B3CE8" w14:textId="77777777">
            <w:pPr>
              <w:spacing w:before="60"/>
              <w:ind w:right="170"/>
              <w:jc w:val="right"/>
              <w:textAlignment w:val="baseline"/>
              <w:rPr>
                <w:rFonts w:eastAsia="Times New Roman" w:cs="Times New Roman"/>
                <w:color w:val="000000"/>
                <w:sz w:val="16"/>
                <w:szCs w:val="16"/>
                <w:lang w:val="en-GB"/>
              </w:rPr>
            </w:pPr>
            <w:r w:rsidRPr="009C48DA">
              <w:rPr>
                <w:rFonts w:eastAsia="Times New Roman"/>
                <w:color w:val="000000"/>
                <w:sz w:val="16"/>
                <w:lang w:val="en-GB"/>
              </w:rPr>
              <w:t>(27,772)</w:t>
            </w:r>
          </w:p>
        </w:tc>
        <w:tc>
          <w:tcPr>
            <w:tcW w:w="1024" w:type="dxa"/>
            <w:tcBorders>
              <w:top w:val="nil"/>
              <w:left w:val="nil"/>
              <w:bottom w:val="nil"/>
              <w:right w:val="nil"/>
            </w:tcBorders>
            <w:vAlign w:val="bottom"/>
          </w:tcPr>
          <w:p w:rsidRPr="009C48DA" w:rsidR="00661519" w:rsidP="00661519" w:rsidRDefault="00661519" w14:paraId="27CC62EE" w14:textId="77777777">
            <w:pPr>
              <w:spacing w:before="60"/>
              <w:ind w:right="133"/>
              <w:jc w:val="right"/>
              <w:textAlignment w:val="baseline"/>
              <w:rPr>
                <w:rFonts w:eastAsia="Times New Roman" w:cs="Times New Roman"/>
                <w:color w:val="000000"/>
                <w:sz w:val="16"/>
                <w:szCs w:val="16"/>
                <w:lang w:val="en-GB"/>
              </w:rPr>
            </w:pPr>
            <w:r w:rsidRPr="009C48DA">
              <w:rPr>
                <w:rFonts w:eastAsia="Times New Roman"/>
                <w:color w:val="000000"/>
                <w:sz w:val="16"/>
                <w:lang w:val="en-GB"/>
              </w:rPr>
              <w:t>(36,624)</w:t>
            </w:r>
          </w:p>
        </w:tc>
        <w:tc>
          <w:tcPr>
            <w:tcW w:w="1156" w:type="dxa"/>
            <w:tcBorders>
              <w:top w:val="nil"/>
              <w:left w:val="nil"/>
              <w:bottom w:val="nil"/>
              <w:right w:val="nil"/>
            </w:tcBorders>
            <w:vAlign w:val="bottom"/>
          </w:tcPr>
          <w:p w:rsidRPr="009C48DA" w:rsidR="00661519" w:rsidP="00661519" w:rsidRDefault="00661519" w14:paraId="66FC0559" w14:textId="77777777">
            <w:pPr>
              <w:spacing w:before="60"/>
              <w:ind w:right="117"/>
              <w:jc w:val="right"/>
              <w:textAlignment w:val="baseline"/>
              <w:rPr>
                <w:rFonts w:eastAsia="Times New Roman" w:cs="Times New Roman"/>
                <w:color w:val="000000"/>
                <w:sz w:val="16"/>
                <w:szCs w:val="16"/>
                <w:lang w:val="en-GB"/>
              </w:rPr>
            </w:pPr>
            <w:r w:rsidRPr="009C48DA">
              <w:rPr>
                <w:rFonts w:eastAsia="Times New Roman"/>
                <w:color w:val="000000"/>
                <w:sz w:val="16"/>
                <w:lang w:val="en-GB"/>
              </w:rPr>
              <w:t>(7,088)</w:t>
            </w:r>
          </w:p>
        </w:tc>
        <w:tc>
          <w:tcPr>
            <w:tcW w:w="1095" w:type="dxa"/>
            <w:tcBorders>
              <w:top w:val="nil"/>
              <w:left w:val="nil"/>
              <w:bottom w:val="nil"/>
              <w:right w:val="nil"/>
            </w:tcBorders>
            <w:vAlign w:val="bottom"/>
          </w:tcPr>
          <w:p w:rsidRPr="009C48DA" w:rsidR="00661519" w:rsidP="00661519" w:rsidRDefault="00661519" w14:paraId="6D660CB5" w14:textId="77777777">
            <w:pPr>
              <w:spacing w:before="60"/>
              <w:ind w:right="120"/>
              <w:jc w:val="right"/>
              <w:textAlignment w:val="baseline"/>
              <w:rPr>
                <w:rFonts w:eastAsia="Times New Roman" w:cs="Times New Roman"/>
                <w:color w:val="000000"/>
                <w:sz w:val="16"/>
                <w:szCs w:val="16"/>
                <w:lang w:val="en-GB"/>
              </w:rPr>
            </w:pPr>
            <w:r w:rsidRPr="009C48DA">
              <w:rPr>
                <w:rFonts w:eastAsia="Times New Roman"/>
                <w:color w:val="000000"/>
                <w:sz w:val="16"/>
                <w:lang w:val="en-GB"/>
              </w:rPr>
              <w:t>(7,164)</w:t>
            </w:r>
          </w:p>
        </w:tc>
      </w:tr>
      <w:tr w:rsidRPr="009C48DA" w:rsidR="00661519" w:rsidTr="00661519" w14:paraId="728E547B" w14:textId="77777777">
        <w:tc>
          <w:tcPr>
            <w:tcW w:w="2812" w:type="dxa"/>
            <w:tcBorders>
              <w:top w:val="nil"/>
              <w:left w:val="nil"/>
              <w:bottom w:val="nil"/>
              <w:right w:val="nil"/>
            </w:tcBorders>
            <w:vAlign w:val="bottom"/>
          </w:tcPr>
          <w:p w:rsidRPr="009C48DA" w:rsidR="00661519" w:rsidP="00661519" w:rsidRDefault="00661519" w14:paraId="1BF8A796"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Foreign exchange gains/(losses)</w:t>
            </w:r>
          </w:p>
        </w:tc>
        <w:tc>
          <w:tcPr>
            <w:tcW w:w="793" w:type="dxa"/>
            <w:tcBorders>
              <w:top w:val="nil"/>
              <w:left w:val="nil"/>
              <w:bottom w:val="nil"/>
              <w:right w:val="nil"/>
            </w:tcBorders>
            <w:vAlign w:val="bottom"/>
          </w:tcPr>
          <w:p w:rsidRPr="009C48DA" w:rsidR="00661519" w:rsidP="00661519" w:rsidRDefault="00661519" w14:paraId="2D41E0C3" w14:textId="77777777">
            <w:pPr>
              <w:spacing w:before="60"/>
              <w:jc w:val="center"/>
              <w:textAlignment w:val="baseline"/>
              <w:rPr>
                <w:rFonts w:eastAsia="Times New Roman" w:cs="Times New Roman"/>
                <w:color w:val="000000"/>
                <w:sz w:val="16"/>
                <w:szCs w:val="16"/>
                <w:lang w:val="en-GB"/>
              </w:rPr>
            </w:pPr>
          </w:p>
        </w:tc>
        <w:tc>
          <w:tcPr>
            <w:tcW w:w="1090" w:type="dxa"/>
            <w:tcBorders>
              <w:top w:val="nil"/>
              <w:left w:val="nil"/>
              <w:bottom w:val="nil"/>
              <w:right w:val="nil"/>
            </w:tcBorders>
            <w:vAlign w:val="bottom"/>
          </w:tcPr>
          <w:p w:rsidRPr="009C48DA" w:rsidR="00661519" w:rsidP="00661519" w:rsidRDefault="00661519" w14:paraId="53586651"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1,524</w:t>
            </w:r>
          </w:p>
        </w:tc>
        <w:tc>
          <w:tcPr>
            <w:tcW w:w="1090" w:type="dxa"/>
            <w:tcBorders>
              <w:top w:val="nil"/>
              <w:left w:val="nil"/>
              <w:bottom w:val="nil"/>
              <w:right w:val="nil"/>
            </w:tcBorders>
            <w:vAlign w:val="bottom"/>
          </w:tcPr>
          <w:p w:rsidRPr="009C48DA" w:rsidR="00661519" w:rsidP="00661519" w:rsidRDefault="00661519" w14:paraId="015A043A" w14:textId="77777777">
            <w:pPr>
              <w:pBdr>
                <w:bottom w:val="single" w:color="auto" w:sz="12" w:space="1"/>
              </w:pBdr>
              <w:spacing w:before="6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(58)</w:t>
            </w:r>
          </w:p>
        </w:tc>
        <w:tc>
          <w:tcPr>
            <w:tcW w:w="1024" w:type="dxa"/>
            <w:tcBorders>
              <w:top w:val="nil"/>
              <w:left w:val="nil"/>
              <w:bottom w:val="nil"/>
              <w:right w:val="nil"/>
            </w:tcBorders>
            <w:vAlign w:val="bottom"/>
          </w:tcPr>
          <w:p w:rsidRPr="009C48DA" w:rsidR="00661519" w:rsidP="00661519" w:rsidRDefault="00661519" w14:paraId="7560CD87" w14:textId="77777777">
            <w:pPr>
              <w:pBdr>
                <w:bottom w:val="single" w:color="auto" w:sz="12" w:space="1"/>
              </w:pBdr>
              <w:spacing w:before="60"/>
              <w:ind w:right="13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(229)</w:t>
            </w:r>
          </w:p>
        </w:tc>
        <w:tc>
          <w:tcPr>
            <w:tcW w:w="1156" w:type="dxa"/>
            <w:tcBorders>
              <w:top w:val="nil"/>
              <w:left w:val="nil"/>
              <w:bottom w:val="nil"/>
              <w:right w:val="nil"/>
            </w:tcBorders>
            <w:vAlign w:val="bottom"/>
          </w:tcPr>
          <w:p w:rsidRPr="009C48DA" w:rsidR="00661519" w:rsidP="00661519" w:rsidRDefault="00661519" w14:paraId="1DB9B78C" w14:textId="77777777">
            <w:pPr>
              <w:pBdr>
                <w:bottom w:val="single" w:color="auto" w:sz="12" w:space="1"/>
              </w:pBdr>
              <w:spacing w:before="60"/>
              <w:ind w:right="11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(1,323)</w:t>
            </w:r>
          </w:p>
        </w:tc>
        <w:tc>
          <w:tcPr>
            <w:tcW w:w="1095" w:type="dxa"/>
            <w:tcBorders>
              <w:top w:val="nil"/>
              <w:left w:val="nil"/>
              <w:bottom w:val="nil"/>
              <w:right w:val="nil"/>
            </w:tcBorders>
            <w:vAlign w:val="bottom"/>
          </w:tcPr>
          <w:p w:rsidRPr="009C48DA" w:rsidR="00661519" w:rsidP="00661519" w:rsidRDefault="00661519" w14:paraId="78C32C7B" w14:textId="77777777">
            <w:pPr>
              <w:pBdr>
                <w:bottom w:val="single" w:color="auto" w:sz="12" w:space="1"/>
              </w:pBdr>
              <w:spacing w:before="60"/>
              <w:ind w:right="12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1,199</w:t>
            </w:r>
          </w:p>
        </w:tc>
      </w:tr>
      <w:tr w:rsidRPr="009C48DA" w:rsidR="00661519" w:rsidTr="00661519" w14:paraId="504ADFCA" w14:textId="77777777">
        <w:trPr>
          <w:trHeight w:val="252"/>
        </w:trPr>
        <w:tc>
          <w:tcPr>
            <w:tcW w:w="2812" w:type="dxa"/>
            <w:tcBorders>
              <w:top w:val="nil"/>
              <w:left w:val="nil"/>
              <w:bottom w:val="nil"/>
              <w:right w:val="nil"/>
            </w:tcBorders>
            <w:vAlign w:val="bottom"/>
          </w:tcPr>
          <w:p w:rsidRPr="009C48DA" w:rsidR="00661519" w:rsidP="00661519" w:rsidRDefault="00661519" w14:paraId="594BDECE" w14:textId="77777777">
            <w:pPr>
              <w:spacing w:before="12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EBITDA</w:t>
            </w:r>
          </w:p>
        </w:tc>
        <w:tc>
          <w:tcPr>
            <w:tcW w:w="793" w:type="dxa"/>
            <w:tcBorders>
              <w:top w:val="nil"/>
              <w:left w:val="nil"/>
              <w:bottom w:val="nil"/>
              <w:right w:val="nil"/>
            </w:tcBorders>
            <w:vAlign w:val="bottom"/>
          </w:tcPr>
          <w:p w:rsidRPr="009C48DA" w:rsidR="00661519" w:rsidP="00661519" w:rsidRDefault="00661519" w14:paraId="4EAF62DF" w14:textId="77777777">
            <w:pPr>
              <w:spacing w:before="120"/>
              <w:jc w:val="center"/>
              <w:textAlignment w:val="baseline"/>
              <w:rPr>
                <w:rFonts w:eastAsia="Times New Roman" w:cs="Times New Roman"/>
                <w:color w:val="000000"/>
                <w:sz w:val="16"/>
                <w:szCs w:val="16"/>
                <w:lang w:val="en-GB"/>
              </w:rPr>
            </w:pPr>
          </w:p>
        </w:tc>
        <w:tc>
          <w:tcPr>
            <w:tcW w:w="1090" w:type="dxa"/>
            <w:tcBorders>
              <w:top w:val="nil"/>
              <w:left w:val="nil"/>
              <w:bottom w:val="nil"/>
              <w:right w:val="nil"/>
            </w:tcBorders>
            <w:vAlign w:val="bottom"/>
          </w:tcPr>
          <w:p w:rsidRPr="009C48DA" w:rsidR="00661519" w:rsidP="00661519" w:rsidRDefault="00661519" w14:paraId="3970DD47" w14:textId="77777777">
            <w:pPr>
              <w:pBdr>
                <w:bottom w:val="single" w:color="auto" w:sz="12" w:space="1"/>
              </w:pBdr>
              <w:spacing w:before="12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19,183</w:t>
            </w:r>
          </w:p>
        </w:tc>
        <w:tc>
          <w:tcPr>
            <w:tcW w:w="1090" w:type="dxa"/>
            <w:tcBorders>
              <w:top w:val="nil"/>
              <w:left w:val="nil"/>
              <w:bottom w:val="nil"/>
              <w:right w:val="nil"/>
            </w:tcBorders>
            <w:vAlign w:val="bottom"/>
          </w:tcPr>
          <w:p w:rsidRPr="009C48DA" w:rsidR="00661519" w:rsidP="00661519" w:rsidRDefault="00661519" w14:paraId="39E5C595" w14:textId="77777777">
            <w:pPr>
              <w:pBdr>
                <w:bottom w:val="single" w:color="auto" w:sz="12" w:space="1"/>
              </w:pBdr>
              <w:spacing w:before="12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53,125</w:t>
            </w:r>
          </w:p>
        </w:tc>
        <w:tc>
          <w:tcPr>
            <w:tcW w:w="1024" w:type="dxa"/>
            <w:tcBorders>
              <w:top w:val="nil"/>
              <w:left w:val="nil"/>
              <w:bottom w:val="nil"/>
              <w:right w:val="nil"/>
            </w:tcBorders>
            <w:vAlign w:val="bottom"/>
          </w:tcPr>
          <w:p w:rsidRPr="009C48DA" w:rsidR="00661519" w:rsidP="00661519" w:rsidRDefault="00661519" w14:paraId="3ED9C856" w14:textId="77777777">
            <w:pPr>
              <w:pBdr>
                <w:bottom w:val="single" w:color="auto" w:sz="12" w:space="1"/>
              </w:pBdr>
              <w:spacing w:before="120"/>
              <w:ind w:right="13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58,698</w:t>
            </w:r>
          </w:p>
        </w:tc>
        <w:tc>
          <w:tcPr>
            <w:tcW w:w="1156" w:type="dxa"/>
            <w:tcBorders>
              <w:top w:val="nil"/>
              <w:left w:val="nil"/>
              <w:bottom w:val="nil"/>
              <w:right w:val="nil"/>
            </w:tcBorders>
            <w:vAlign w:val="bottom"/>
          </w:tcPr>
          <w:p w:rsidRPr="009C48DA" w:rsidR="00661519" w:rsidP="00661519" w:rsidRDefault="00661519" w14:paraId="43E7519A" w14:textId="77777777">
            <w:pPr>
              <w:pBdr>
                <w:bottom w:val="single" w:color="auto" w:sz="12" w:space="1"/>
              </w:pBdr>
              <w:spacing w:before="120"/>
              <w:ind w:right="11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(482)</w:t>
            </w:r>
          </w:p>
        </w:tc>
        <w:tc>
          <w:tcPr>
            <w:tcW w:w="1095" w:type="dxa"/>
            <w:tcBorders>
              <w:top w:val="nil"/>
              <w:left w:val="nil"/>
              <w:bottom w:val="nil"/>
              <w:right w:val="nil"/>
            </w:tcBorders>
            <w:vAlign w:val="bottom"/>
          </w:tcPr>
          <w:p w:rsidRPr="009C48DA" w:rsidR="00661519" w:rsidP="00661519" w:rsidRDefault="00661519" w14:paraId="1C3249EE" w14:textId="77777777">
            <w:pPr>
              <w:pBdr>
                <w:bottom w:val="single" w:color="auto" w:sz="12" w:space="1"/>
              </w:pBdr>
              <w:spacing w:before="120"/>
              <w:ind w:right="12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27,654</w:t>
            </w:r>
          </w:p>
        </w:tc>
      </w:tr>
      <w:tr w:rsidRPr="009C48DA" w:rsidR="00661519" w:rsidTr="00661519" w14:paraId="12D329BA" w14:textId="77777777">
        <w:tc>
          <w:tcPr>
            <w:tcW w:w="2812" w:type="dxa"/>
            <w:tcBorders>
              <w:top w:val="nil"/>
              <w:left w:val="nil"/>
              <w:bottom w:val="nil"/>
              <w:right w:val="nil"/>
            </w:tcBorders>
            <w:vAlign w:val="bottom"/>
          </w:tcPr>
          <w:p w:rsidRPr="009C48DA" w:rsidR="00661519" w:rsidP="00661519" w:rsidRDefault="00661519" w14:paraId="6378284A" w14:textId="77777777">
            <w:pPr>
              <w:spacing w:before="120"/>
              <w:textAlignment w:val="baseline"/>
              <w:rPr>
                <w:rFonts w:eastAsia="Times New Roman" w:cs="Times New Roman"/>
                <w:b/>
                <w:i/>
                <w:color w:val="000000"/>
                <w:sz w:val="16"/>
                <w:szCs w:val="16"/>
                <w:lang w:val="en-GB"/>
              </w:rPr>
            </w:pPr>
            <w:r w:rsidRPr="009C48DA">
              <w:rPr>
                <w:rFonts w:eastAsia="Times New Roman" w:cs="Times New Roman"/>
                <w:b/>
                <w:i/>
                <w:color w:val="000000"/>
                <w:sz w:val="16"/>
                <w:szCs w:val="16"/>
                <w:lang w:val="en-GB"/>
              </w:rPr>
              <w:t>Comprising:</w:t>
            </w:r>
          </w:p>
        </w:tc>
        <w:tc>
          <w:tcPr>
            <w:tcW w:w="793" w:type="dxa"/>
            <w:tcBorders>
              <w:top w:val="nil"/>
              <w:left w:val="nil"/>
              <w:bottom w:val="nil"/>
              <w:right w:val="nil"/>
            </w:tcBorders>
            <w:vAlign w:val="bottom"/>
          </w:tcPr>
          <w:p w:rsidRPr="009C48DA" w:rsidR="00661519" w:rsidP="00661519" w:rsidRDefault="00661519" w14:paraId="13AE8BE8" w14:textId="77777777">
            <w:pPr>
              <w:spacing w:before="120"/>
              <w:jc w:val="center"/>
              <w:textAlignment w:val="baseline"/>
              <w:rPr>
                <w:rFonts w:eastAsia="Times New Roman" w:cs="Times New Roman"/>
                <w:color w:val="000000"/>
                <w:sz w:val="16"/>
                <w:szCs w:val="16"/>
                <w:lang w:val="en-GB"/>
              </w:rPr>
            </w:pPr>
          </w:p>
        </w:tc>
        <w:tc>
          <w:tcPr>
            <w:tcW w:w="1090" w:type="dxa"/>
            <w:tcBorders>
              <w:top w:val="nil"/>
              <w:left w:val="nil"/>
              <w:bottom w:val="nil"/>
              <w:right w:val="nil"/>
            </w:tcBorders>
            <w:vAlign w:val="bottom"/>
          </w:tcPr>
          <w:p w:rsidRPr="009C48DA" w:rsidR="00661519" w:rsidP="00661519" w:rsidRDefault="00661519" w14:paraId="2A3A01C6" w14:textId="77777777">
            <w:pPr>
              <w:spacing w:before="12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090" w:type="dxa"/>
            <w:tcBorders>
              <w:top w:val="nil"/>
              <w:left w:val="nil"/>
              <w:bottom w:val="nil"/>
              <w:right w:val="nil"/>
            </w:tcBorders>
            <w:vAlign w:val="bottom"/>
          </w:tcPr>
          <w:p w:rsidRPr="009C48DA" w:rsidR="00661519" w:rsidP="00661519" w:rsidRDefault="00661519" w14:paraId="0E62CF24" w14:textId="77777777">
            <w:pPr>
              <w:spacing w:before="12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024" w:type="dxa"/>
            <w:tcBorders>
              <w:top w:val="nil"/>
              <w:left w:val="nil"/>
              <w:bottom w:val="nil"/>
              <w:right w:val="nil"/>
            </w:tcBorders>
            <w:vAlign w:val="bottom"/>
          </w:tcPr>
          <w:p w:rsidRPr="009C48DA" w:rsidR="00661519" w:rsidP="00661519" w:rsidRDefault="00661519" w14:paraId="7FB1531E" w14:textId="77777777">
            <w:pPr>
              <w:spacing w:before="120"/>
              <w:ind w:right="13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156" w:type="dxa"/>
            <w:tcBorders>
              <w:top w:val="nil"/>
              <w:left w:val="nil"/>
              <w:bottom w:val="nil"/>
              <w:right w:val="nil"/>
            </w:tcBorders>
            <w:vAlign w:val="bottom"/>
          </w:tcPr>
          <w:p w:rsidRPr="009C48DA" w:rsidR="00661519" w:rsidP="00661519" w:rsidRDefault="00661519" w14:paraId="50CEAB32" w14:textId="77777777">
            <w:pPr>
              <w:spacing w:before="120"/>
              <w:ind w:right="11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095" w:type="dxa"/>
            <w:tcBorders>
              <w:top w:val="nil"/>
              <w:left w:val="nil"/>
              <w:bottom w:val="nil"/>
              <w:right w:val="nil"/>
            </w:tcBorders>
            <w:vAlign w:val="bottom"/>
          </w:tcPr>
          <w:p w:rsidRPr="009C48DA" w:rsidR="00661519" w:rsidP="00661519" w:rsidRDefault="00661519" w14:paraId="238A7C66" w14:textId="77777777">
            <w:pPr>
              <w:spacing w:before="120"/>
              <w:ind w:right="12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5A45F448" w14:textId="77777777">
        <w:tc>
          <w:tcPr>
            <w:tcW w:w="2812" w:type="dxa"/>
            <w:tcBorders>
              <w:top w:val="nil"/>
              <w:left w:val="nil"/>
              <w:bottom w:val="nil"/>
              <w:right w:val="nil"/>
            </w:tcBorders>
            <w:vAlign w:val="bottom"/>
          </w:tcPr>
          <w:p w:rsidRPr="009C48DA" w:rsidR="00661519" w:rsidP="00661519" w:rsidRDefault="00661519" w14:paraId="49F481C9" w14:textId="77777777">
            <w:pPr>
              <w:spacing w:before="60"/>
              <w:ind w:left="288"/>
              <w:textAlignment w:val="baseline"/>
              <w:rPr>
                <w:rFonts w:eastAsia="Times New Roman" w:cs="Times New Roman"/>
                <w:i/>
                <w:color w:val="000000"/>
                <w:sz w:val="16"/>
                <w:szCs w:val="16"/>
                <w:lang w:val="en-GB"/>
              </w:rPr>
            </w:pPr>
            <w:r w:rsidRPr="009C48DA">
              <w:rPr>
                <w:rFonts w:eastAsia="Times New Roman" w:cs="Times New Roman"/>
                <w:i/>
                <w:color w:val="000000"/>
                <w:sz w:val="16"/>
                <w:szCs w:val="16"/>
                <w:lang w:val="en-GB"/>
              </w:rPr>
              <w:t>Underlying EBITDA</w:t>
            </w:r>
          </w:p>
        </w:tc>
        <w:tc>
          <w:tcPr>
            <w:tcW w:w="793" w:type="dxa"/>
            <w:tcBorders>
              <w:top w:val="nil"/>
              <w:left w:val="nil"/>
              <w:bottom w:val="nil"/>
              <w:right w:val="nil"/>
            </w:tcBorders>
            <w:vAlign w:val="bottom"/>
          </w:tcPr>
          <w:p w:rsidRPr="009C48DA" w:rsidR="00661519" w:rsidP="00661519" w:rsidRDefault="00661519" w14:paraId="4423E538" w14:textId="77777777">
            <w:pPr>
              <w:spacing w:before="60"/>
              <w:jc w:val="center"/>
              <w:textAlignment w:val="baseline"/>
              <w:rPr>
                <w:rFonts w:eastAsia="Times New Roman" w:cs="Times New Roman"/>
                <w:color w:val="000000"/>
                <w:sz w:val="16"/>
                <w:szCs w:val="16"/>
                <w:lang w:val="en-GB"/>
              </w:rPr>
            </w:pPr>
          </w:p>
        </w:tc>
        <w:tc>
          <w:tcPr>
            <w:tcW w:w="1090" w:type="dxa"/>
            <w:tcBorders>
              <w:top w:val="nil"/>
              <w:left w:val="nil"/>
              <w:bottom w:val="nil"/>
              <w:right w:val="nil"/>
            </w:tcBorders>
            <w:vAlign w:val="bottom"/>
          </w:tcPr>
          <w:p w:rsidRPr="009C48DA" w:rsidR="00661519" w:rsidP="00661519" w:rsidRDefault="00661519" w14:paraId="301D701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olor w:val="000000"/>
                <w:sz w:val="16"/>
                <w:lang w:val="en-GB"/>
              </w:rPr>
              <w:t>43,266</w:t>
            </w:r>
          </w:p>
        </w:tc>
        <w:tc>
          <w:tcPr>
            <w:tcW w:w="1090" w:type="dxa"/>
            <w:tcBorders>
              <w:top w:val="nil"/>
              <w:left w:val="nil"/>
              <w:bottom w:val="nil"/>
              <w:right w:val="nil"/>
            </w:tcBorders>
            <w:vAlign w:val="bottom"/>
          </w:tcPr>
          <w:p w:rsidRPr="009C48DA" w:rsidR="00661519" w:rsidP="00661519" w:rsidRDefault="00661519" w14:paraId="7461AE31" w14:textId="77777777">
            <w:pPr>
              <w:spacing w:before="60"/>
              <w:ind w:right="170"/>
              <w:jc w:val="right"/>
              <w:textAlignment w:val="baseline"/>
              <w:rPr>
                <w:rFonts w:eastAsia="Times New Roman" w:cs="Times New Roman"/>
                <w:color w:val="000000"/>
                <w:sz w:val="16"/>
                <w:szCs w:val="16"/>
                <w:lang w:val="en-GB"/>
              </w:rPr>
            </w:pPr>
            <w:r w:rsidRPr="009C48DA">
              <w:rPr>
                <w:rFonts w:eastAsia="Times New Roman"/>
                <w:color w:val="000000"/>
                <w:sz w:val="16"/>
                <w:lang w:val="en-GB"/>
              </w:rPr>
              <w:t>53,125</w:t>
            </w:r>
          </w:p>
        </w:tc>
        <w:tc>
          <w:tcPr>
            <w:tcW w:w="1024" w:type="dxa"/>
            <w:tcBorders>
              <w:top w:val="nil"/>
              <w:left w:val="nil"/>
              <w:bottom w:val="nil"/>
              <w:right w:val="nil"/>
            </w:tcBorders>
            <w:vAlign w:val="bottom"/>
          </w:tcPr>
          <w:p w:rsidRPr="009C48DA" w:rsidR="00661519" w:rsidP="00661519" w:rsidRDefault="00661519" w14:paraId="62648276" w14:textId="77777777">
            <w:pPr>
              <w:spacing w:before="60"/>
              <w:ind w:right="133"/>
              <w:jc w:val="right"/>
              <w:textAlignment w:val="baseline"/>
              <w:rPr>
                <w:rFonts w:eastAsia="Times New Roman" w:cs="Times New Roman"/>
                <w:color w:val="000000"/>
                <w:sz w:val="16"/>
                <w:szCs w:val="16"/>
                <w:lang w:val="en-GB"/>
              </w:rPr>
            </w:pPr>
            <w:r w:rsidRPr="009C48DA">
              <w:rPr>
                <w:rFonts w:eastAsia="Times New Roman"/>
                <w:color w:val="000000"/>
                <w:sz w:val="16"/>
                <w:lang w:val="en-GB"/>
              </w:rPr>
              <w:t>66,075</w:t>
            </w:r>
          </w:p>
        </w:tc>
        <w:tc>
          <w:tcPr>
            <w:tcW w:w="1156" w:type="dxa"/>
            <w:tcBorders>
              <w:top w:val="nil"/>
              <w:left w:val="nil"/>
              <w:bottom w:val="nil"/>
              <w:right w:val="nil"/>
            </w:tcBorders>
            <w:vAlign w:val="bottom"/>
          </w:tcPr>
          <w:p w:rsidRPr="009C48DA" w:rsidR="00661519" w:rsidP="00661519" w:rsidRDefault="00661519" w14:paraId="44EDE207" w14:textId="77777777">
            <w:pPr>
              <w:spacing w:before="60"/>
              <w:ind w:right="117"/>
              <w:jc w:val="right"/>
              <w:textAlignment w:val="baseline"/>
              <w:rPr>
                <w:rFonts w:eastAsia="Times New Roman" w:cs="Times New Roman"/>
                <w:color w:val="000000"/>
                <w:sz w:val="16"/>
                <w:szCs w:val="16"/>
                <w:lang w:val="en-GB"/>
              </w:rPr>
            </w:pPr>
            <w:r w:rsidRPr="009C48DA">
              <w:rPr>
                <w:rFonts w:eastAsia="Times New Roman"/>
                <w:color w:val="000000"/>
                <w:sz w:val="16"/>
                <w:lang w:val="en-GB"/>
              </w:rPr>
              <w:t>(482)</w:t>
            </w:r>
          </w:p>
        </w:tc>
        <w:tc>
          <w:tcPr>
            <w:tcW w:w="1095" w:type="dxa"/>
            <w:tcBorders>
              <w:top w:val="nil"/>
              <w:left w:val="nil"/>
              <w:bottom w:val="nil"/>
              <w:right w:val="nil"/>
            </w:tcBorders>
            <w:vAlign w:val="bottom"/>
          </w:tcPr>
          <w:p w:rsidRPr="009C48DA" w:rsidR="00661519" w:rsidP="00661519" w:rsidRDefault="00661519" w14:paraId="7504F55D" w14:textId="77777777">
            <w:pPr>
              <w:spacing w:before="60"/>
              <w:ind w:right="120"/>
              <w:jc w:val="right"/>
              <w:textAlignment w:val="baseline"/>
              <w:rPr>
                <w:rFonts w:eastAsia="Times New Roman" w:cs="Times New Roman"/>
                <w:color w:val="000000"/>
                <w:sz w:val="16"/>
                <w:szCs w:val="16"/>
                <w:lang w:val="en-GB"/>
              </w:rPr>
            </w:pPr>
            <w:r w:rsidRPr="009C48DA">
              <w:rPr>
                <w:rFonts w:eastAsia="Times New Roman"/>
                <w:color w:val="000000"/>
                <w:sz w:val="16"/>
                <w:lang w:val="en-GB"/>
              </w:rPr>
              <w:t>27,654</w:t>
            </w:r>
          </w:p>
        </w:tc>
      </w:tr>
      <w:tr w:rsidRPr="009C48DA" w:rsidR="00661519" w:rsidTr="00661519" w14:paraId="0B9F6176" w14:textId="77777777">
        <w:tc>
          <w:tcPr>
            <w:tcW w:w="2812" w:type="dxa"/>
            <w:tcBorders>
              <w:top w:val="nil"/>
              <w:left w:val="nil"/>
              <w:bottom w:val="nil"/>
              <w:right w:val="nil"/>
            </w:tcBorders>
            <w:vAlign w:val="bottom"/>
          </w:tcPr>
          <w:p w:rsidRPr="009C48DA" w:rsidR="00661519" w:rsidP="00661519" w:rsidRDefault="00661519" w14:paraId="48B965F7" w14:textId="77777777">
            <w:pPr>
              <w:spacing w:before="60"/>
              <w:ind w:left="288"/>
              <w:textAlignment w:val="baseline"/>
              <w:rPr>
                <w:rFonts w:eastAsia="Times New Roman" w:cs="Times New Roman"/>
                <w:i/>
                <w:color w:val="000000"/>
                <w:sz w:val="16"/>
                <w:szCs w:val="16"/>
                <w:lang w:val="en-GB"/>
              </w:rPr>
            </w:pPr>
            <w:r w:rsidRPr="009C48DA">
              <w:rPr>
                <w:rFonts w:eastAsia="Times New Roman" w:cs="Times New Roman"/>
                <w:i/>
                <w:color w:val="000000"/>
                <w:sz w:val="16"/>
                <w:szCs w:val="16"/>
                <w:lang w:val="en-GB"/>
              </w:rPr>
              <w:t>Exceptional items within EBITDA</w:t>
            </w:r>
          </w:p>
        </w:tc>
        <w:tc>
          <w:tcPr>
            <w:tcW w:w="793" w:type="dxa"/>
            <w:tcBorders>
              <w:top w:val="nil"/>
              <w:left w:val="nil"/>
              <w:bottom w:val="nil"/>
              <w:right w:val="nil"/>
            </w:tcBorders>
            <w:vAlign w:val="bottom"/>
          </w:tcPr>
          <w:p w:rsidRPr="009C48DA" w:rsidR="00661519" w:rsidP="00661519" w:rsidRDefault="00661519" w14:paraId="0B899F95"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w:t>
            </w:r>
          </w:p>
        </w:tc>
        <w:tc>
          <w:tcPr>
            <w:tcW w:w="1090" w:type="dxa"/>
            <w:tcBorders>
              <w:top w:val="nil"/>
              <w:left w:val="nil"/>
              <w:bottom w:val="nil"/>
              <w:right w:val="nil"/>
            </w:tcBorders>
            <w:vAlign w:val="bottom"/>
          </w:tcPr>
          <w:p w:rsidRPr="009C48DA" w:rsidR="00661519" w:rsidP="00661519" w:rsidRDefault="00661519" w14:paraId="39BBCB5B"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(24,083)</w:t>
            </w:r>
          </w:p>
        </w:tc>
        <w:tc>
          <w:tcPr>
            <w:tcW w:w="1090" w:type="dxa"/>
            <w:tcBorders>
              <w:top w:val="nil"/>
              <w:left w:val="nil"/>
              <w:bottom w:val="nil"/>
              <w:right w:val="nil"/>
            </w:tcBorders>
            <w:vAlign w:val="bottom"/>
          </w:tcPr>
          <w:p w:rsidRPr="009C48DA" w:rsidR="00661519" w:rsidP="00661519" w:rsidRDefault="00661519" w14:paraId="74752CAF" w14:textId="77777777">
            <w:pPr>
              <w:pBdr>
                <w:bottom w:val="single" w:color="auto" w:sz="12" w:space="1"/>
              </w:pBdr>
              <w:spacing w:before="6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24" w:type="dxa"/>
            <w:tcBorders>
              <w:top w:val="nil"/>
              <w:left w:val="nil"/>
              <w:bottom w:val="nil"/>
              <w:right w:val="nil"/>
            </w:tcBorders>
            <w:vAlign w:val="bottom"/>
          </w:tcPr>
          <w:p w:rsidRPr="009C48DA" w:rsidR="00661519" w:rsidP="00661519" w:rsidRDefault="00661519" w14:paraId="4E40327B" w14:textId="77777777">
            <w:pPr>
              <w:pBdr>
                <w:bottom w:val="single" w:color="auto" w:sz="12" w:space="1"/>
              </w:pBdr>
              <w:spacing w:before="60"/>
              <w:ind w:right="13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(7,377)</w:t>
            </w:r>
          </w:p>
        </w:tc>
        <w:tc>
          <w:tcPr>
            <w:tcW w:w="1156" w:type="dxa"/>
            <w:tcBorders>
              <w:top w:val="nil"/>
              <w:left w:val="nil"/>
              <w:bottom w:val="nil"/>
              <w:right w:val="nil"/>
            </w:tcBorders>
            <w:vAlign w:val="bottom"/>
          </w:tcPr>
          <w:p w:rsidRPr="009C48DA" w:rsidR="00661519" w:rsidP="00661519" w:rsidRDefault="00661519" w14:paraId="0FDD6ABC" w14:textId="77777777">
            <w:pPr>
              <w:pBdr>
                <w:bottom w:val="single" w:color="auto" w:sz="12" w:space="1"/>
              </w:pBdr>
              <w:spacing w:before="60"/>
              <w:ind w:right="11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95" w:type="dxa"/>
            <w:tcBorders>
              <w:top w:val="nil"/>
              <w:left w:val="nil"/>
              <w:bottom w:val="nil"/>
              <w:right w:val="nil"/>
            </w:tcBorders>
            <w:vAlign w:val="bottom"/>
          </w:tcPr>
          <w:p w:rsidRPr="009C48DA" w:rsidR="00661519" w:rsidP="00661519" w:rsidRDefault="00661519" w14:paraId="3C545DCD" w14:textId="77777777">
            <w:pPr>
              <w:pBdr>
                <w:bottom w:val="single" w:color="auto" w:sz="12" w:space="1"/>
              </w:pBdr>
              <w:spacing w:before="60"/>
              <w:ind w:right="12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258CF9F5" w14:textId="77777777">
        <w:tc>
          <w:tcPr>
            <w:tcW w:w="2812" w:type="dxa"/>
            <w:tcBorders>
              <w:top w:val="nil"/>
              <w:left w:val="nil"/>
              <w:bottom w:val="nil"/>
              <w:right w:val="nil"/>
            </w:tcBorders>
            <w:vAlign w:val="bottom"/>
          </w:tcPr>
          <w:p w:rsidRPr="009C48DA" w:rsidR="00661519" w:rsidP="00661519" w:rsidRDefault="00661519" w14:paraId="7C6A9320"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793" w:type="dxa"/>
            <w:tcBorders>
              <w:top w:val="nil"/>
              <w:left w:val="nil"/>
              <w:bottom w:val="nil"/>
              <w:right w:val="nil"/>
            </w:tcBorders>
            <w:vAlign w:val="bottom"/>
          </w:tcPr>
          <w:p w:rsidRPr="009C48DA" w:rsidR="00661519" w:rsidP="00661519" w:rsidRDefault="00661519" w14:paraId="1F9B39B9" w14:textId="77777777">
            <w:pPr>
              <w:spacing w:before="60"/>
              <w:jc w:val="center"/>
              <w:textAlignment w:val="baseline"/>
              <w:rPr>
                <w:rFonts w:eastAsia="Times New Roman" w:cs="Times New Roman"/>
                <w:color w:val="000000"/>
                <w:sz w:val="16"/>
                <w:szCs w:val="16"/>
                <w:lang w:val="en-GB"/>
              </w:rPr>
            </w:pPr>
          </w:p>
        </w:tc>
        <w:tc>
          <w:tcPr>
            <w:tcW w:w="1090" w:type="dxa"/>
            <w:tcBorders>
              <w:top w:val="nil"/>
              <w:left w:val="nil"/>
              <w:bottom w:val="nil"/>
              <w:right w:val="nil"/>
            </w:tcBorders>
            <w:vAlign w:val="bottom"/>
          </w:tcPr>
          <w:p w:rsidRPr="009C48DA" w:rsidR="00661519" w:rsidP="00661519" w:rsidRDefault="00661519" w14:paraId="210234DE" w14:textId="77777777">
            <w:pPr>
              <w:pBdr>
                <w:bottom w:val="double" w:color="auto" w:sz="4"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19,183</w:t>
            </w:r>
          </w:p>
        </w:tc>
        <w:tc>
          <w:tcPr>
            <w:tcW w:w="1090" w:type="dxa"/>
            <w:tcBorders>
              <w:top w:val="nil"/>
              <w:left w:val="nil"/>
              <w:bottom w:val="nil"/>
              <w:right w:val="nil"/>
            </w:tcBorders>
            <w:vAlign w:val="bottom"/>
          </w:tcPr>
          <w:p w:rsidRPr="009C48DA" w:rsidR="00661519" w:rsidP="00661519" w:rsidRDefault="00661519" w14:paraId="6CB2E723" w14:textId="77777777">
            <w:pPr>
              <w:pBdr>
                <w:bottom w:val="double" w:color="auto" w:sz="4" w:space="1"/>
              </w:pBdr>
              <w:spacing w:before="60"/>
              <w:ind w:right="170"/>
              <w:jc w:val="right"/>
              <w:textAlignment w:val="baseline"/>
              <w:rPr>
                <w:rFonts w:eastAsia="Times New Roman" w:cs="Times New Roman"/>
                <w:color w:val="000000"/>
                <w:sz w:val="16"/>
                <w:szCs w:val="16"/>
                <w:lang w:val="en-GB"/>
              </w:rPr>
            </w:pPr>
            <w:r w:rsidRPr="009C48DA">
              <w:rPr>
                <w:rFonts w:eastAsia="Times New Roman"/>
                <w:color w:val="000000"/>
                <w:sz w:val="16"/>
                <w:lang w:val="en-GB"/>
              </w:rPr>
              <w:t>53,125</w:t>
            </w:r>
          </w:p>
        </w:tc>
        <w:tc>
          <w:tcPr>
            <w:tcW w:w="1024" w:type="dxa"/>
            <w:tcBorders>
              <w:top w:val="nil"/>
              <w:left w:val="nil"/>
              <w:bottom w:val="nil"/>
              <w:right w:val="nil"/>
            </w:tcBorders>
            <w:vAlign w:val="bottom"/>
          </w:tcPr>
          <w:p w:rsidRPr="009C48DA" w:rsidR="00661519" w:rsidP="00661519" w:rsidRDefault="00661519" w14:paraId="265A164A" w14:textId="77777777">
            <w:pPr>
              <w:pBdr>
                <w:bottom w:val="double" w:color="auto" w:sz="4" w:space="1"/>
              </w:pBdr>
              <w:spacing w:before="60"/>
              <w:ind w:right="133"/>
              <w:jc w:val="right"/>
              <w:textAlignment w:val="baseline"/>
              <w:rPr>
                <w:rFonts w:eastAsia="Times New Roman" w:cs="Times New Roman"/>
                <w:color w:val="000000"/>
                <w:sz w:val="16"/>
                <w:szCs w:val="16"/>
                <w:lang w:val="en-GB"/>
              </w:rPr>
            </w:pPr>
            <w:r w:rsidRPr="009C48DA">
              <w:rPr>
                <w:rFonts w:eastAsia="Times New Roman"/>
                <w:color w:val="000000"/>
                <w:sz w:val="16"/>
                <w:lang w:val="en-GB"/>
              </w:rPr>
              <w:t>58,698</w:t>
            </w:r>
          </w:p>
        </w:tc>
        <w:tc>
          <w:tcPr>
            <w:tcW w:w="1156" w:type="dxa"/>
            <w:tcBorders>
              <w:top w:val="nil"/>
              <w:left w:val="nil"/>
              <w:bottom w:val="nil"/>
              <w:right w:val="nil"/>
            </w:tcBorders>
            <w:vAlign w:val="bottom"/>
          </w:tcPr>
          <w:p w:rsidRPr="009C48DA" w:rsidR="00661519" w:rsidP="00661519" w:rsidRDefault="00661519" w14:paraId="6915D000" w14:textId="77777777">
            <w:pPr>
              <w:pBdr>
                <w:bottom w:val="double" w:color="auto" w:sz="4" w:space="1"/>
              </w:pBdr>
              <w:spacing w:before="60"/>
              <w:ind w:right="117"/>
              <w:jc w:val="right"/>
              <w:textAlignment w:val="baseline"/>
              <w:rPr>
                <w:rFonts w:eastAsia="Times New Roman" w:cs="Times New Roman"/>
                <w:color w:val="000000"/>
                <w:sz w:val="16"/>
                <w:szCs w:val="16"/>
                <w:lang w:val="en-GB"/>
              </w:rPr>
            </w:pPr>
            <w:r w:rsidRPr="009C48DA">
              <w:rPr>
                <w:rFonts w:eastAsia="Times New Roman"/>
                <w:color w:val="000000"/>
                <w:sz w:val="16"/>
                <w:lang w:val="en-GB"/>
              </w:rPr>
              <w:t>(482)</w:t>
            </w:r>
          </w:p>
        </w:tc>
        <w:tc>
          <w:tcPr>
            <w:tcW w:w="1095" w:type="dxa"/>
            <w:tcBorders>
              <w:top w:val="nil"/>
              <w:left w:val="nil"/>
              <w:bottom w:val="nil"/>
              <w:right w:val="nil"/>
            </w:tcBorders>
            <w:vAlign w:val="bottom"/>
          </w:tcPr>
          <w:p w:rsidRPr="009C48DA" w:rsidR="00661519" w:rsidP="00661519" w:rsidRDefault="00661519" w14:paraId="04D975E8" w14:textId="77777777">
            <w:pPr>
              <w:pBdr>
                <w:bottom w:val="double" w:color="auto" w:sz="4" w:space="1"/>
              </w:pBdr>
              <w:spacing w:before="60"/>
              <w:ind w:right="120"/>
              <w:jc w:val="right"/>
              <w:textAlignment w:val="baseline"/>
              <w:rPr>
                <w:rFonts w:eastAsia="Times New Roman" w:cs="Times New Roman"/>
                <w:color w:val="000000"/>
                <w:sz w:val="16"/>
                <w:szCs w:val="16"/>
                <w:lang w:val="en-GB"/>
              </w:rPr>
            </w:pPr>
            <w:r w:rsidRPr="009C48DA">
              <w:rPr>
                <w:rFonts w:eastAsia="Times New Roman"/>
                <w:color w:val="000000"/>
                <w:sz w:val="16"/>
                <w:lang w:val="en-GB"/>
              </w:rPr>
              <w:t>27,654</w:t>
            </w:r>
          </w:p>
        </w:tc>
      </w:tr>
      <w:tr w:rsidRPr="009C48DA" w:rsidR="00661519" w:rsidTr="00661519" w14:paraId="7CD74332" w14:textId="77777777">
        <w:tc>
          <w:tcPr>
            <w:tcW w:w="2812" w:type="dxa"/>
            <w:tcBorders>
              <w:top w:val="nil"/>
              <w:left w:val="nil"/>
              <w:bottom w:val="nil"/>
              <w:right w:val="nil"/>
            </w:tcBorders>
            <w:vAlign w:val="bottom"/>
          </w:tcPr>
          <w:p w:rsidRPr="009C48DA" w:rsidR="00661519" w:rsidP="00661519" w:rsidRDefault="00661519" w14:paraId="2C5DFA15"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Depreciation and amortisation expense</w:t>
            </w:r>
          </w:p>
        </w:tc>
        <w:tc>
          <w:tcPr>
            <w:tcW w:w="793" w:type="dxa"/>
            <w:tcBorders>
              <w:top w:val="nil"/>
              <w:left w:val="nil"/>
              <w:bottom w:val="nil"/>
              <w:right w:val="nil"/>
            </w:tcBorders>
            <w:vAlign w:val="bottom"/>
          </w:tcPr>
          <w:p w:rsidRPr="009C48DA" w:rsidR="00661519" w:rsidP="00661519" w:rsidRDefault="00661519" w14:paraId="2C4FB572" w14:textId="77777777">
            <w:pPr>
              <w:spacing w:before="60"/>
              <w:jc w:val="center"/>
              <w:textAlignment w:val="baseline"/>
              <w:rPr>
                <w:rFonts w:eastAsia="Times New Roman" w:cs="Times New Roman"/>
                <w:color w:val="000000"/>
                <w:sz w:val="16"/>
                <w:szCs w:val="16"/>
                <w:lang w:val="en-GB"/>
              </w:rPr>
            </w:pPr>
          </w:p>
        </w:tc>
        <w:tc>
          <w:tcPr>
            <w:tcW w:w="1090" w:type="dxa"/>
            <w:tcBorders>
              <w:top w:val="nil"/>
              <w:left w:val="nil"/>
              <w:bottom w:val="nil"/>
              <w:right w:val="nil"/>
            </w:tcBorders>
            <w:vAlign w:val="bottom"/>
          </w:tcPr>
          <w:p w:rsidRPr="009C48DA" w:rsidR="00661519" w:rsidP="00661519" w:rsidRDefault="00661519" w14:paraId="08F0AAA3" w14:textId="77777777">
            <w:pPr>
              <w:pBdr>
                <w:bottom w:val="single" w:color="auto" w:sz="12" w:space="1"/>
              </w:pBdr>
              <w:spacing w:before="6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(6,765)</w:t>
            </w:r>
          </w:p>
        </w:tc>
        <w:tc>
          <w:tcPr>
            <w:tcW w:w="1090" w:type="dxa"/>
            <w:tcBorders>
              <w:top w:val="nil"/>
              <w:left w:val="nil"/>
              <w:bottom w:val="nil"/>
              <w:right w:val="nil"/>
            </w:tcBorders>
            <w:vAlign w:val="bottom"/>
          </w:tcPr>
          <w:p w:rsidRPr="009C48DA" w:rsidR="00661519" w:rsidP="00661519" w:rsidRDefault="00661519" w14:paraId="13CEE8FD" w14:textId="77777777">
            <w:pPr>
              <w:pBdr>
                <w:bottom w:val="single" w:color="auto" w:sz="12" w:space="1"/>
              </w:pBdr>
              <w:spacing w:before="6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(7,757)</w:t>
            </w:r>
          </w:p>
        </w:tc>
        <w:tc>
          <w:tcPr>
            <w:tcW w:w="1024" w:type="dxa"/>
            <w:tcBorders>
              <w:top w:val="nil"/>
              <w:left w:val="nil"/>
              <w:bottom w:val="nil"/>
              <w:right w:val="nil"/>
            </w:tcBorders>
            <w:vAlign w:val="bottom"/>
          </w:tcPr>
          <w:p w:rsidRPr="009C48DA" w:rsidR="00661519" w:rsidP="00661519" w:rsidRDefault="00661519" w14:paraId="03CCE71D" w14:textId="77777777">
            <w:pPr>
              <w:pBdr>
                <w:bottom w:val="single" w:color="auto" w:sz="12" w:space="1"/>
              </w:pBdr>
              <w:spacing w:before="60"/>
              <w:ind w:right="13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(8,809)</w:t>
            </w:r>
          </w:p>
        </w:tc>
        <w:tc>
          <w:tcPr>
            <w:tcW w:w="1156" w:type="dxa"/>
            <w:tcBorders>
              <w:top w:val="nil"/>
              <w:left w:val="nil"/>
              <w:bottom w:val="nil"/>
              <w:right w:val="nil"/>
            </w:tcBorders>
            <w:vAlign w:val="bottom"/>
          </w:tcPr>
          <w:p w:rsidRPr="009C48DA" w:rsidR="00661519" w:rsidP="00661519" w:rsidRDefault="00661519" w14:paraId="66CAF5A9" w14:textId="77777777">
            <w:pPr>
              <w:pBdr>
                <w:bottom w:val="single" w:color="auto" w:sz="12" w:space="1"/>
              </w:pBdr>
              <w:spacing w:before="60"/>
              <w:ind w:right="11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(2,006)</w:t>
            </w:r>
          </w:p>
        </w:tc>
        <w:tc>
          <w:tcPr>
            <w:tcW w:w="1095" w:type="dxa"/>
            <w:tcBorders>
              <w:top w:val="nil"/>
              <w:left w:val="nil"/>
              <w:bottom w:val="nil"/>
              <w:right w:val="nil"/>
            </w:tcBorders>
            <w:vAlign w:val="bottom"/>
          </w:tcPr>
          <w:p w:rsidRPr="009C48DA" w:rsidR="00661519" w:rsidP="00661519" w:rsidRDefault="00661519" w14:paraId="133F4218" w14:textId="77777777">
            <w:pPr>
              <w:pBdr>
                <w:bottom w:val="single" w:color="auto" w:sz="12" w:space="1"/>
              </w:pBdr>
              <w:spacing w:before="60"/>
              <w:ind w:right="12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(3,181)</w:t>
            </w:r>
          </w:p>
        </w:tc>
      </w:tr>
      <w:tr w:rsidRPr="009C48DA" w:rsidR="00661519" w:rsidTr="00661519" w14:paraId="31AFB244" w14:textId="77777777">
        <w:tc>
          <w:tcPr>
            <w:tcW w:w="2812" w:type="dxa"/>
            <w:tcBorders>
              <w:top w:val="nil"/>
              <w:left w:val="nil"/>
              <w:bottom w:val="nil"/>
              <w:right w:val="nil"/>
            </w:tcBorders>
            <w:vAlign w:val="bottom"/>
          </w:tcPr>
          <w:p w:rsidRPr="009C48DA" w:rsidR="00661519" w:rsidP="00661519" w:rsidRDefault="00661519" w14:paraId="6939C302" w14:textId="77777777">
            <w:pPr>
              <w:spacing w:before="120"/>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Total operating profit/(loss)</w:t>
            </w:r>
          </w:p>
        </w:tc>
        <w:tc>
          <w:tcPr>
            <w:tcW w:w="793" w:type="dxa"/>
            <w:tcBorders>
              <w:top w:val="nil"/>
              <w:left w:val="nil"/>
              <w:bottom w:val="nil"/>
              <w:right w:val="nil"/>
            </w:tcBorders>
            <w:vAlign w:val="bottom"/>
          </w:tcPr>
          <w:p w:rsidRPr="009C48DA" w:rsidR="00661519" w:rsidP="00661519" w:rsidRDefault="00661519" w14:paraId="67FB08A7" w14:textId="77777777">
            <w:pPr>
              <w:spacing w:before="120"/>
              <w:jc w:val="center"/>
              <w:textAlignment w:val="baseline"/>
              <w:rPr>
                <w:rFonts w:eastAsia="Times New Roman" w:cs="Times New Roman"/>
                <w:color w:val="000000"/>
                <w:sz w:val="16"/>
                <w:szCs w:val="16"/>
                <w:lang w:val="en-GB"/>
              </w:rPr>
            </w:pPr>
          </w:p>
        </w:tc>
        <w:tc>
          <w:tcPr>
            <w:tcW w:w="1090" w:type="dxa"/>
            <w:tcBorders>
              <w:top w:val="nil"/>
              <w:left w:val="nil"/>
              <w:bottom w:val="nil"/>
              <w:right w:val="nil"/>
            </w:tcBorders>
            <w:vAlign w:val="bottom"/>
          </w:tcPr>
          <w:p w:rsidRPr="009C48DA" w:rsidR="00661519" w:rsidP="00661519" w:rsidRDefault="00661519" w14:paraId="2487E236" w14:textId="77777777">
            <w:pPr>
              <w:spacing w:before="12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12,418</w:t>
            </w:r>
          </w:p>
        </w:tc>
        <w:tc>
          <w:tcPr>
            <w:tcW w:w="1090" w:type="dxa"/>
            <w:tcBorders>
              <w:top w:val="nil"/>
              <w:left w:val="nil"/>
              <w:bottom w:val="nil"/>
              <w:right w:val="nil"/>
            </w:tcBorders>
            <w:vAlign w:val="bottom"/>
          </w:tcPr>
          <w:p w:rsidRPr="009C48DA" w:rsidR="00661519" w:rsidP="00661519" w:rsidRDefault="00661519" w14:paraId="0BFDE88B" w14:textId="77777777">
            <w:pPr>
              <w:spacing w:before="120"/>
              <w:ind w:right="170"/>
              <w:jc w:val="right"/>
              <w:textAlignment w:val="baseline"/>
              <w:rPr>
                <w:rFonts w:eastAsia="Times New Roman" w:cs="Times New Roman"/>
                <w:color w:val="000000"/>
                <w:sz w:val="16"/>
                <w:szCs w:val="16"/>
                <w:lang w:val="en-GB"/>
              </w:rPr>
            </w:pPr>
            <w:r w:rsidRPr="009C48DA">
              <w:rPr>
                <w:rFonts w:eastAsia="Times New Roman"/>
                <w:color w:val="000000"/>
                <w:sz w:val="16"/>
                <w:lang w:val="en-GB"/>
              </w:rPr>
              <w:t>45,368</w:t>
            </w:r>
          </w:p>
        </w:tc>
        <w:tc>
          <w:tcPr>
            <w:tcW w:w="1024" w:type="dxa"/>
            <w:tcBorders>
              <w:top w:val="nil"/>
              <w:left w:val="nil"/>
              <w:bottom w:val="nil"/>
              <w:right w:val="nil"/>
            </w:tcBorders>
            <w:vAlign w:val="bottom"/>
          </w:tcPr>
          <w:p w:rsidRPr="009C48DA" w:rsidR="00661519" w:rsidP="00661519" w:rsidRDefault="00661519" w14:paraId="26CED572" w14:textId="77777777">
            <w:pPr>
              <w:spacing w:before="120"/>
              <w:ind w:right="133"/>
              <w:jc w:val="right"/>
              <w:textAlignment w:val="baseline"/>
              <w:rPr>
                <w:rFonts w:eastAsia="Times New Roman" w:cs="Times New Roman"/>
                <w:color w:val="000000"/>
                <w:sz w:val="16"/>
                <w:szCs w:val="16"/>
                <w:lang w:val="en-GB"/>
              </w:rPr>
            </w:pPr>
            <w:r w:rsidRPr="009C48DA">
              <w:rPr>
                <w:rFonts w:eastAsia="Times New Roman"/>
                <w:color w:val="000000"/>
                <w:sz w:val="16"/>
                <w:lang w:val="en-GB"/>
              </w:rPr>
              <w:t>49,889</w:t>
            </w:r>
          </w:p>
        </w:tc>
        <w:tc>
          <w:tcPr>
            <w:tcW w:w="1156" w:type="dxa"/>
            <w:tcBorders>
              <w:top w:val="nil"/>
              <w:left w:val="nil"/>
              <w:bottom w:val="nil"/>
              <w:right w:val="nil"/>
            </w:tcBorders>
            <w:vAlign w:val="bottom"/>
          </w:tcPr>
          <w:p w:rsidRPr="009C48DA" w:rsidR="00661519" w:rsidP="00661519" w:rsidRDefault="00661519" w14:paraId="67DF2BB0" w14:textId="77777777">
            <w:pPr>
              <w:spacing w:before="120"/>
              <w:ind w:right="117"/>
              <w:jc w:val="right"/>
              <w:textAlignment w:val="baseline"/>
              <w:rPr>
                <w:rFonts w:eastAsia="Times New Roman" w:cs="Times New Roman"/>
                <w:color w:val="000000"/>
                <w:sz w:val="16"/>
                <w:szCs w:val="16"/>
                <w:lang w:val="en-GB"/>
              </w:rPr>
            </w:pPr>
            <w:r w:rsidRPr="009C48DA">
              <w:rPr>
                <w:rFonts w:eastAsia="Times New Roman"/>
                <w:color w:val="000000"/>
                <w:sz w:val="16"/>
                <w:lang w:val="en-GB"/>
              </w:rPr>
              <w:t>(2,488)</w:t>
            </w:r>
          </w:p>
        </w:tc>
        <w:tc>
          <w:tcPr>
            <w:tcW w:w="1095" w:type="dxa"/>
            <w:tcBorders>
              <w:top w:val="nil"/>
              <w:left w:val="nil"/>
              <w:bottom w:val="nil"/>
              <w:right w:val="nil"/>
            </w:tcBorders>
            <w:vAlign w:val="bottom"/>
          </w:tcPr>
          <w:p w:rsidRPr="009C48DA" w:rsidR="00661519" w:rsidP="00661519" w:rsidRDefault="00661519" w14:paraId="779BDE65" w14:textId="77777777">
            <w:pPr>
              <w:spacing w:before="120"/>
              <w:ind w:right="120"/>
              <w:jc w:val="right"/>
              <w:textAlignment w:val="baseline"/>
              <w:rPr>
                <w:rFonts w:eastAsia="Times New Roman" w:cs="Times New Roman"/>
                <w:color w:val="000000"/>
                <w:sz w:val="16"/>
                <w:szCs w:val="16"/>
                <w:lang w:val="en-GB"/>
              </w:rPr>
            </w:pPr>
            <w:r w:rsidRPr="009C48DA">
              <w:rPr>
                <w:rFonts w:eastAsia="Times New Roman"/>
                <w:color w:val="000000"/>
                <w:sz w:val="16"/>
                <w:lang w:val="en-GB"/>
              </w:rPr>
              <w:t>24,473</w:t>
            </w:r>
          </w:p>
        </w:tc>
      </w:tr>
      <w:tr w:rsidRPr="009C48DA" w:rsidR="00661519" w:rsidTr="00661519" w14:paraId="25C78AD5" w14:textId="77777777">
        <w:tc>
          <w:tcPr>
            <w:tcW w:w="2812" w:type="dxa"/>
            <w:tcBorders>
              <w:top w:val="nil"/>
              <w:left w:val="nil"/>
              <w:bottom w:val="nil"/>
              <w:right w:val="nil"/>
            </w:tcBorders>
            <w:vAlign w:val="bottom"/>
          </w:tcPr>
          <w:p w:rsidRPr="009C48DA" w:rsidR="00661519" w:rsidP="00661519" w:rsidRDefault="00661519" w14:paraId="3C56B1FF"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Finance income</w:t>
            </w:r>
          </w:p>
        </w:tc>
        <w:tc>
          <w:tcPr>
            <w:tcW w:w="793" w:type="dxa"/>
            <w:tcBorders>
              <w:top w:val="nil"/>
              <w:left w:val="nil"/>
              <w:bottom w:val="nil"/>
              <w:right w:val="nil"/>
            </w:tcBorders>
            <w:vAlign w:val="bottom"/>
          </w:tcPr>
          <w:p w:rsidRPr="009C48DA" w:rsidR="00661519" w:rsidP="00661519" w:rsidRDefault="00661519" w14:paraId="64F74E90"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w:t>
            </w:r>
          </w:p>
        </w:tc>
        <w:tc>
          <w:tcPr>
            <w:tcW w:w="1090" w:type="dxa"/>
            <w:tcBorders>
              <w:top w:val="nil"/>
              <w:left w:val="nil"/>
              <w:bottom w:val="nil"/>
              <w:right w:val="nil"/>
            </w:tcBorders>
            <w:vAlign w:val="bottom"/>
          </w:tcPr>
          <w:p w:rsidRPr="009C48DA" w:rsidR="00661519" w:rsidP="00661519" w:rsidRDefault="00661519" w14:paraId="7E8DDCB9" w14:textId="77777777">
            <w:pPr>
              <w:spacing w:before="60"/>
              <w:ind w:right="109"/>
              <w:jc w:val="right"/>
              <w:textAlignment w:val="baseline"/>
              <w:rPr>
                <w:rFonts w:eastAsia="Times New Roman"/>
                <w:color w:val="000000"/>
                <w:sz w:val="16"/>
                <w:lang w:val="en-GB"/>
              </w:rPr>
            </w:pPr>
            <w:r w:rsidRPr="009C48DA">
              <w:rPr>
                <w:rFonts w:eastAsia="Times New Roman"/>
                <w:color w:val="000000"/>
                <w:sz w:val="16"/>
                <w:lang w:val="en-GB"/>
              </w:rPr>
              <w:t>5,481</w:t>
            </w:r>
          </w:p>
        </w:tc>
        <w:tc>
          <w:tcPr>
            <w:tcW w:w="1090" w:type="dxa"/>
            <w:tcBorders>
              <w:top w:val="nil"/>
              <w:left w:val="nil"/>
              <w:bottom w:val="nil"/>
              <w:right w:val="nil"/>
            </w:tcBorders>
            <w:vAlign w:val="bottom"/>
          </w:tcPr>
          <w:p w:rsidRPr="009C48DA" w:rsidR="00661519" w:rsidP="00661519" w:rsidRDefault="00661519" w14:paraId="2359B36C" w14:textId="77777777">
            <w:pPr>
              <w:spacing w:before="60"/>
              <w:ind w:right="170"/>
              <w:jc w:val="right"/>
              <w:textAlignment w:val="baseline"/>
              <w:rPr>
                <w:rFonts w:eastAsia="Times New Roman"/>
                <w:color w:val="000000"/>
                <w:sz w:val="16"/>
                <w:lang w:val="en-GB"/>
              </w:rPr>
            </w:pPr>
            <w:r w:rsidRPr="009C48DA">
              <w:rPr>
                <w:rFonts w:eastAsia="Times New Roman"/>
                <w:color w:val="000000"/>
                <w:sz w:val="16"/>
                <w:lang w:val="en-GB"/>
              </w:rPr>
              <w:t>7,665</w:t>
            </w:r>
          </w:p>
        </w:tc>
        <w:tc>
          <w:tcPr>
            <w:tcW w:w="1024" w:type="dxa"/>
            <w:tcBorders>
              <w:top w:val="nil"/>
              <w:left w:val="nil"/>
              <w:bottom w:val="nil"/>
              <w:right w:val="nil"/>
            </w:tcBorders>
            <w:vAlign w:val="bottom"/>
          </w:tcPr>
          <w:p w:rsidRPr="009C48DA" w:rsidR="00661519" w:rsidP="00661519" w:rsidRDefault="00661519" w14:paraId="434506C8" w14:textId="77777777">
            <w:pPr>
              <w:spacing w:before="60"/>
              <w:ind w:right="133"/>
              <w:jc w:val="right"/>
              <w:textAlignment w:val="baseline"/>
              <w:rPr>
                <w:rFonts w:eastAsia="Times New Roman"/>
                <w:color w:val="000000"/>
                <w:sz w:val="16"/>
                <w:lang w:val="en-GB"/>
              </w:rPr>
            </w:pPr>
            <w:r w:rsidRPr="009C48DA">
              <w:rPr>
                <w:rFonts w:eastAsia="Times New Roman"/>
                <w:color w:val="000000"/>
                <w:sz w:val="16"/>
                <w:lang w:val="en-GB"/>
              </w:rPr>
              <w:t>4,736</w:t>
            </w:r>
          </w:p>
        </w:tc>
        <w:tc>
          <w:tcPr>
            <w:tcW w:w="1156" w:type="dxa"/>
            <w:tcBorders>
              <w:top w:val="nil"/>
              <w:left w:val="nil"/>
              <w:bottom w:val="nil"/>
              <w:right w:val="nil"/>
            </w:tcBorders>
            <w:vAlign w:val="bottom"/>
          </w:tcPr>
          <w:p w:rsidRPr="009C48DA" w:rsidR="00661519" w:rsidP="00661519" w:rsidRDefault="00661519" w14:paraId="4A220A9C" w14:textId="77777777">
            <w:pPr>
              <w:spacing w:before="60"/>
              <w:ind w:right="117"/>
              <w:jc w:val="right"/>
              <w:textAlignment w:val="baseline"/>
              <w:rPr>
                <w:rFonts w:eastAsia="Times New Roman"/>
                <w:color w:val="000000"/>
                <w:sz w:val="16"/>
                <w:lang w:val="en-GB"/>
              </w:rPr>
            </w:pPr>
            <w:r w:rsidRPr="009C48DA">
              <w:rPr>
                <w:rFonts w:eastAsia="Times New Roman"/>
                <w:color w:val="000000"/>
                <w:sz w:val="16"/>
                <w:lang w:val="en-GB"/>
              </w:rPr>
              <w:t>2,036</w:t>
            </w:r>
          </w:p>
        </w:tc>
        <w:tc>
          <w:tcPr>
            <w:tcW w:w="1095" w:type="dxa"/>
            <w:tcBorders>
              <w:top w:val="nil"/>
              <w:left w:val="nil"/>
              <w:bottom w:val="nil"/>
              <w:right w:val="nil"/>
            </w:tcBorders>
            <w:vAlign w:val="bottom"/>
          </w:tcPr>
          <w:p w:rsidRPr="009C48DA" w:rsidR="00661519" w:rsidP="00661519" w:rsidRDefault="00661519" w14:paraId="16FDE85A" w14:textId="77777777">
            <w:pPr>
              <w:spacing w:before="60"/>
              <w:ind w:right="120"/>
              <w:jc w:val="right"/>
              <w:textAlignment w:val="baseline"/>
              <w:rPr>
                <w:rFonts w:eastAsia="Times New Roman"/>
                <w:color w:val="000000"/>
                <w:sz w:val="16"/>
                <w:lang w:val="en-GB"/>
              </w:rPr>
            </w:pPr>
            <w:r w:rsidRPr="009C48DA">
              <w:rPr>
                <w:rFonts w:eastAsia="Times New Roman"/>
                <w:color w:val="000000"/>
                <w:sz w:val="16"/>
                <w:lang w:val="en-GB"/>
              </w:rPr>
              <w:t>754</w:t>
            </w:r>
          </w:p>
        </w:tc>
      </w:tr>
      <w:tr w:rsidRPr="009C48DA" w:rsidR="00661519" w:rsidTr="00661519" w14:paraId="5C568191" w14:textId="77777777">
        <w:tc>
          <w:tcPr>
            <w:tcW w:w="2812" w:type="dxa"/>
            <w:tcBorders>
              <w:top w:val="nil"/>
              <w:left w:val="nil"/>
              <w:bottom w:val="nil"/>
              <w:right w:val="nil"/>
            </w:tcBorders>
            <w:vAlign w:val="bottom"/>
          </w:tcPr>
          <w:p w:rsidRPr="009C48DA" w:rsidR="00661519" w:rsidP="00661519" w:rsidRDefault="00661519" w14:paraId="7325C174"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Finance expense</w:t>
            </w:r>
          </w:p>
        </w:tc>
        <w:tc>
          <w:tcPr>
            <w:tcW w:w="793" w:type="dxa"/>
            <w:tcBorders>
              <w:top w:val="nil"/>
              <w:left w:val="nil"/>
              <w:bottom w:val="nil"/>
              <w:right w:val="nil"/>
            </w:tcBorders>
            <w:vAlign w:val="bottom"/>
          </w:tcPr>
          <w:p w:rsidRPr="009C48DA" w:rsidR="00661519" w:rsidP="00661519" w:rsidRDefault="00661519" w14:paraId="0A7B6233"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w:t>
            </w:r>
          </w:p>
        </w:tc>
        <w:tc>
          <w:tcPr>
            <w:tcW w:w="1090" w:type="dxa"/>
            <w:tcBorders>
              <w:top w:val="nil"/>
              <w:left w:val="nil"/>
              <w:bottom w:val="nil"/>
              <w:right w:val="nil"/>
            </w:tcBorders>
            <w:vAlign w:val="bottom"/>
          </w:tcPr>
          <w:p w:rsidRPr="009C48DA" w:rsidR="00661519" w:rsidP="00661519" w:rsidRDefault="00661519" w14:paraId="3A72F719"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(5,358)</w:t>
            </w:r>
          </w:p>
        </w:tc>
        <w:tc>
          <w:tcPr>
            <w:tcW w:w="1090" w:type="dxa"/>
            <w:tcBorders>
              <w:top w:val="nil"/>
              <w:left w:val="nil"/>
              <w:bottom w:val="nil"/>
              <w:right w:val="nil"/>
            </w:tcBorders>
            <w:vAlign w:val="bottom"/>
          </w:tcPr>
          <w:p w:rsidRPr="009C48DA" w:rsidR="00661519" w:rsidP="00661519" w:rsidRDefault="00661519" w14:paraId="677E593D" w14:textId="77777777">
            <w:pPr>
              <w:pBdr>
                <w:bottom w:val="single" w:color="auto" w:sz="8" w:space="1"/>
              </w:pBdr>
              <w:spacing w:before="6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(5,556)</w:t>
            </w:r>
          </w:p>
        </w:tc>
        <w:tc>
          <w:tcPr>
            <w:tcW w:w="1024" w:type="dxa"/>
            <w:tcBorders>
              <w:top w:val="nil"/>
              <w:left w:val="nil"/>
              <w:bottom w:val="nil"/>
              <w:right w:val="nil"/>
            </w:tcBorders>
            <w:vAlign w:val="bottom"/>
          </w:tcPr>
          <w:p w:rsidRPr="009C48DA" w:rsidR="00661519" w:rsidP="00661519" w:rsidRDefault="00661519" w14:paraId="75326D39" w14:textId="77777777">
            <w:pPr>
              <w:pBdr>
                <w:bottom w:val="single" w:color="auto" w:sz="8" w:space="1"/>
              </w:pBdr>
              <w:spacing w:before="60"/>
              <w:ind w:right="13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(6,149)</w:t>
            </w:r>
          </w:p>
        </w:tc>
        <w:tc>
          <w:tcPr>
            <w:tcW w:w="1156" w:type="dxa"/>
            <w:tcBorders>
              <w:top w:val="nil"/>
              <w:left w:val="nil"/>
              <w:bottom w:val="nil"/>
              <w:right w:val="nil"/>
            </w:tcBorders>
            <w:vAlign w:val="bottom"/>
          </w:tcPr>
          <w:p w:rsidRPr="009C48DA" w:rsidR="00661519" w:rsidP="00661519" w:rsidRDefault="00661519" w14:paraId="2A950B69" w14:textId="77777777">
            <w:pPr>
              <w:pBdr>
                <w:bottom w:val="single" w:color="auto" w:sz="8" w:space="1"/>
              </w:pBdr>
              <w:spacing w:before="60"/>
              <w:ind w:right="11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(776)</w:t>
            </w:r>
          </w:p>
        </w:tc>
        <w:tc>
          <w:tcPr>
            <w:tcW w:w="1095" w:type="dxa"/>
            <w:tcBorders>
              <w:top w:val="nil"/>
              <w:left w:val="nil"/>
              <w:bottom w:val="nil"/>
              <w:right w:val="nil"/>
            </w:tcBorders>
            <w:vAlign w:val="bottom"/>
          </w:tcPr>
          <w:p w:rsidRPr="009C48DA" w:rsidR="00661519" w:rsidP="00661519" w:rsidRDefault="00661519" w14:paraId="32E37D9B" w14:textId="77777777">
            <w:pPr>
              <w:pBdr>
                <w:bottom w:val="single" w:color="auto" w:sz="8" w:space="1"/>
              </w:pBdr>
              <w:spacing w:before="60"/>
              <w:ind w:right="12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(3,887)</w:t>
            </w:r>
          </w:p>
        </w:tc>
      </w:tr>
      <w:tr w:rsidRPr="009C48DA" w:rsidR="00661519" w:rsidTr="00661519" w14:paraId="33A67F65" w14:textId="77777777">
        <w:tc>
          <w:tcPr>
            <w:tcW w:w="2812" w:type="dxa"/>
            <w:tcBorders>
              <w:top w:val="nil"/>
              <w:left w:val="nil"/>
              <w:bottom w:val="nil"/>
              <w:right w:val="nil"/>
            </w:tcBorders>
            <w:vAlign w:val="bottom"/>
          </w:tcPr>
          <w:p w:rsidRPr="009C48DA" w:rsidR="00661519" w:rsidP="00661519" w:rsidRDefault="00661519" w14:paraId="7DB584D8" w14:textId="77777777">
            <w:pPr>
              <w:spacing w:before="12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Profit/(loss) before income tax</w:t>
            </w:r>
          </w:p>
        </w:tc>
        <w:tc>
          <w:tcPr>
            <w:tcW w:w="793" w:type="dxa"/>
            <w:tcBorders>
              <w:top w:val="nil"/>
              <w:left w:val="nil"/>
              <w:bottom w:val="nil"/>
              <w:right w:val="nil"/>
            </w:tcBorders>
            <w:vAlign w:val="bottom"/>
          </w:tcPr>
          <w:p w:rsidRPr="009C48DA" w:rsidR="00661519" w:rsidP="00661519" w:rsidRDefault="00661519" w14:paraId="37B64542" w14:textId="77777777">
            <w:pPr>
              <w:spacing w:before="120"/>
              <w:jc w:val="center"/>
              <w:textAlignment w:val="baseline"/>
              <w:rPr>
                <w:rFonts w:eastAsia="Times New Roman" w:cs="Times New Roman"/>
                <w:color w:val="000000"/>
                <w:sz w:val="16"/>
                <w:szCs w:val="16"/>
                <w:lang w:val="en-GB"/>
              </w:rPr>
            </w:pPr>
          </w:p>
        </w:tc>
        <w:tc>
          <w:tcPr>
            <w:tcW w:w="1090" w:type="dxa"/>
            <w:tcBorders>
              <w:top w:val="nil"/>
              <w:left w:val="nil"/>
              <w:bottom w:val="nil"/>
              <w:right w:val="nil"/>
            </w:tcBorders>
            <w:vAlign w:val="bottom"/>
          </w:tcPr>
          <w:p w:rsidRPr="009C48DA" w:rsidR="00661519" w:rsidP="00661519" w:rsidRDefault="00661519" w14:paraId="668BD94E" w14:textId="77777777">
            <w:pPr>
              <w:spacing w:before="12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12,541</w:t>
            </w:r>
          </w:p>
        </w:tc>
        <w:tc>
          <w:tcPr>
            <w:tcW w:w="1090" w:type="dxa"/>
            <w:tcBorders>
              <w:top w:val="nil"/>
              <w:left w:val="nil"/>
              <w:bottom w:val="nil"/>
              <w:right w:val="nil"/>
            </w:tcBorders>
            <w:vAlign w:val="bottom"/>
          </w:tcPr>
          <w:p w:rsidRPr="009C48DA" w:rsidR="00661519" w:rsidP="00661519" w:rsidRDefault="00661519" w14:paraId="1E1C677F" w14:textId="77777777">
            <w:pPr>
              <w:spacing w:before="120"/>
              <w:ind w:right="170"/>
              <w:jc w:val="right"/>
              <w:textAlignment w:val="baseline"/>
              <w:rPr>
                <w:rFonts w:eastAsia="Times New Roman" w:cs="Times New Roman"/>
                <w:color w:val="000000"/>
                <w:sz w:val="16"/>
                <w:szCs w:val="16"/>
                <w:lang w:val="en-GB"/>
              </w:rPr>
            </w:pPr>
            <w:r w:rsidRPr="009C48DA">
              <w:rPr>
                <w:rFonts w:eastAsia="Times New Roman"/>
                <w:color w:val="000000"/>
                <w:sz w:val="16"/>
                <w:lang w:val="en-GB"/>
              </w:rPr>
              <w:t>47,477</w:t>
            </w:r>
          </w:p>
        </w:tc>
        <w:tc>
          <w:tcPr>
            <w:tcW w:w="1024" w:type="dxa"/>
            <w:tcBorders>
              <w:top w:val="nil"/>
              <w:left w:val="nil"/>
              <w:bottom w:val="nil"/>
              <w:right w:val="nil"/>
            </w:tcBorders>
            <w:vAlign w:val="bottom"/>
          </w:tcPr>
          <w:p w:rsidRPr="009C48DA" w:rsidR="00661519" w:rsidP="00661519" w:rsidRDefault="00661519" w14:paraId="42BB24AA" w14:textId="77777777">
            <w:pPr>
              <w:spacing w:before="120"/>
              <w:ind w:right="133"/>
              <w:jc w:val="right"/>
              <w:textAlignment w:val="baseline"/>
              <w:rPr>
                <w:rFonts w:eastAsia="Times New Roman" w:cs="Times New Roman"/>
                <w:color w:val="000000"/>
                <w:sz w:val="16"/>
                <w:szCs w:val="16"/>
                <w:lang w:val="en-GB"/>
              </w:rPr>
            </w:pPr>
            <w:r w:rsidRPr="009C48DA">
              <w:rPr>
                <w:rFonts w:eastAsia="Times New Roman"/>
                <w:color w:val="000000"/>
                <w:sz w:val="16"/>
                <w:lang w:val="en-GB"/>
              </w:rPr>
              <w:t>48,476</w:t>
            </w:r>
          </w:p>
        </w:tc>
        <w:tc>
          <w:tcPr>
            <w:tcW w:w="1156" w:type="dxa"/>
            <w:tcBorders>
              <w:top w:val="nil"/>
              <w:left w:val="nil"/>
              <w:bottom w:val="nil"/>
              <w:right w:val="nil"/>
            </w:tcBorders>
            <w:vAlign w:val="bottom"/>
          </w:tcPr>
          <w:p w:rsidRPr="009C48DA" w:rsidR="00661519" w:rsidP="00661519" w:rsidRDefault="00661519" w14:paraId="207A6A12" w14:textId="77777777">
            <w:pPr>
              <w:spacing w:before="120"/>
              <w:ind w:right="117"/>
              <w:jc w:val="right"/>
              <w:textAlignment w:val="baseline"/>
              <w:rPr>
                <w:rFonts w:eastAsia="Times New Roman" w:cs="Times New Roman"/>
                <w:color w:val="000000"/>
                <w:sz w:val="16"/>
                <w:szCs w:val="16"/>
                <w:lang w:val="en-GB"/>
              </w:rPr>
            </w:pPr>
            <w:r w:rsidRPr="009C48DA">
              <w:rPr>
                <w:rFonts w:eastAsia="Times New Roman"/>
                <w:color w:val="000000"/>
                <w:sz w:val="16"/>
                <w:lang w:val="en-GB"/>
              </w:rPr>
              <w:t>(1,228)</w:t>
            </w:r>
          </w:p>
        </w:tc>
        <w:tc>
          <w:tcPr>
            <w:tcW w:w="1095" w:type="dxa"/>
            <w:tcBorders>
              <w:top w:val="nil"/>
              <w:left w:val="nil"/>
              <w:bottom w:val="nil"/>
              <w:right w:val="nil"/>
            </w:tcBorders>
            <w:vAlign w:val="bottom"/>
          </w:tcPr>
          <w:p w:rsidRPr="009C48DA" w:rsidR="00661519" w:rsidP="00661519" w:rsidRDefault="00661519" w14:paraId="134405FD" w14:textId="77777777">
            <w:pPr>
              <w:spacing w:before="120"/>
              <w:ind w:right="120"/>
              <w:jc w:val="right"/>
              <w:textAlignment w:val="baseline"/>
              <w:rPr>
                <w:rFonts w:eastAsia="Times New Roman" w:cs="Times New Roman"/>
                <w:color w:val="000000"/>
                <w:sz w:val="16"/>
                <w:szCs w:val="16"/>
                <w:lang w:val="en-GB"/>
              </w:rPr>
            </w:pPr>
            <w:r w:rsidRPr="009C48DA">
              <w:rPr>
                <w:rFonts w:eastAsia="Times New Roman"/>
                <w:color w:val="000000"/>
                <w:sz w:val="16"/>
                <w:lang w:val="en-GB"/>
              </w:rPr>
              <w:t>21,340</w:t>
            </w:r>
          </w:p>
        </w:tc>
      </w:tr>
      <w:tr w:rsidRPr="009C48DA" w:rsidR="00661519" w:rsidTr="00661519" w14:paraId="553D1D33" w14:textId="77777777">
        <w:tc>
          <w:tcPr>
            <w:tcW w:w="2812" w:type="dxa"/>
            <w:tcBorders>
              <w:top w:val="nil"/>
              <w:left w:val="nil"/>
              <w:bottom w:val="nil"/>
              <w:right w:val="nil"/>
            </w:tcBorders>
            <w:vAlign w:val="bottom"/>
          </w:tcPr>
          <w:p w:rsidRPr="009C48DA" w:rsidR="00661519" w:rsidP="00661519" w:rsidRDefault="00661519" w14:paraId="15722048"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Income tax charge</w:t>
            </w:r>
          </w:p>
        </w:tc>
        <w:tc>
          <w:tcPr>
            <w:tcW w:w="793" w:type="dxa"/>
            <w:tcBorders>
              <w:top w:val="nil"/>
              <w:left w:val="nil"/>
              <w:bottom w:val="nil"/>
              <w:right w:val="nil"/>
            </w:tcBorders>
            <w:vAlign w:val="bottom"/>
          </w:tcPr>
          <w:p w:rsidRPr="009C48DA" w:rsidR="00661519" w:rsidP="00661519" w:rsidRDefault="00661519" w14:paraId="564D34C9"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w:t>
            </w:r>
          </w:p>
        </w:tc>
        <w:tc>
          <w:tcPr>
            <w:tcW w:w="1090" w:type="dxa"/>
            <w:tcBorders>
              <w:top w:val="nil"/>
              <w:left w:val="nil"/>
              <w:bottom w:val="nil"/>
              <w:right w:val="nil"/>
            </w:tcBorders>
            <w:vAlign w:val="bottom"/>
          </w:tcPr>
          <w:p w:rsidRPr="009C48DA" w:rsidR="00661519" w:rsidP="00661519" w:rsidRDefault="00661519" w14:paraId="6AEED98F"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(9,476)</w:t>
            </w:r>
          </w:p>
        </w:tc>
        <w:tc>
          <w:tcPr>
            <w:tcW w:w="1090" w:type="dxa"/>
            <w:tcBorders>
              <w:top w:val="nil"/>
              <w:left w:val="nil"/>
              <w:bottom w:val="nil"/>
              <w:right w:val="nil"/>
            </w:tcBorders>
            <w:vAlign w:val="bottom"/>
          </w:tcPr>
          <w:p w:rsidRPr="009C48DA" w:rsidR="00661519" w:rsidP="00661519" w:rsidRDefault="00661519" w14:paraId="681D3B48" w14:textId="77777777">
            <w:pPr>
              <w:pBdr>
                <w:bottom w:val="single" w:color="auto" w:sz="12" w:space="1"/>
              </w:pBdr>
              <w:spacing w:before="6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(5,547)</w:t>
            </w:r>
          </w:p>
        </w:tc>
        <w:tc>
          <w:tcPr>
            <w:tcW w:w="1024" w:type="dxa"/>
            <w:tcBorders>
              <w:top w:val="nil"/>
              <w:left w:val="nil"/>
              <w:bottom w:val="nil"/>
              <w:right w:val="nil"/>
            </w:tcBorders>
            <w:vAlign w:val="bottom"/>
          </w:tcPr>
          <w:p w:rsidRPr="009C48DA" w:rsidR="00661519" w:rsidP="00661519" w:rsidRDefault="00661519" w14:paraId="44782E92" w14:textId="77777777">
            <w:pPr>
              <w:pBdr>
                <w:bottom w:val="single" w:color="auto" w:sz="12" w:space="1"/>
              </w:pBdr>
              <w:spacing w:before="60"/>
              <w:ind w:right="13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(805)</w:t>
            </w:r>
          </w:p>
        </w:tc>
        <w:tc>
          <w:tcPr>
            <w:tcW w:w="1156" w:type="dxa"/>
            <w:tcBorders>
              <w:top w:val="nil"/>
              <w:left w:val="nil"/>
              <w:bottom w:val="nil"/>
              <w:right w:val="nil"/>
            </w:tcBorders>
            <w:vAlign w:val="bottom"/>
          </w:tcPr>
          <w:p w:rsidRPr="009C48DA" w:rsidR="00661519" w:rsidP="00661519" w:rsidRDefault="00661519" w14:paraId="519F62B7" w14:textId="77777777">
            <w:pPr>
              <w:pBdr>
                <w:bottom w:val="single" w:color="auto" w:sz="12" w:space="1"/>
              </w:pBdr>
              <w:spacing w:before="60"/>
              <w:ind w:right="11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(253)</w:t>
            </w:r>
          </w:p>
        </w:tc>
        <w:tc>
          <w:tcPr>
            <w:tcW w:w="1095" w:type="dxa"/>
            <w:tcBorders>
              <w:top w:val="nil"/>
              <w:left w:val="nil"/>
              <w:bottom w:val="nil"/>
              <w:right w:val="nil"/>
            </w:tcBorders>
            <w:vAlign w:val="bottom"/>
          </w:tcPr>
          <w:p w:rsidRPr="009C48DA" w:rsidR="00661519" w:rsidP="00661519" w:rsidRDefault="00661519" w14:paraId="6A9AF1DA" w14:textId="77777777">
            <w:pPr>
              <w:pBdr>
                <w:bottom w:val="single" w:color="auto" w:sz="12" w:space="1"/>
              </w:pBdr>
              <w:spacing w:before="60"/>
              <w:ind w:right="12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(2,668)</w:t>
            </w:r>
          </w:p>
        </w:tc>
      </w:tr>
      <w:tr w:rsidRPr="009C48DA" w:rsidR="00661519" w:rsidTr="00661519" w14:paraId="1ADD73F7" w14:textId="77777777">
        <w:tc>
          <w:tcPr>
            <w:tcW w:w="2812" w:type="dxa"/>
            <w:tcBorders>
              <w:top w:val="nil"/>
              <w:left w:val="nil"/>
              <w:bottom w:val="nil"/>
              <w:right w:val="nil"/>
            </w:tcBorders>
            <w:vAlign w:val="bottom"/>
          </w:tcPr>
          <w:p w:rsidRPr="009C48DA" w:rsidR="00661519" w:rsidP="00661519" w:rsidRDefault="00661519" w14:paraId="249601AC" w14:textId="77777777">
            <w:pPr>
              <w:spacing w:before="12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Profit/(loss) after income tax</w:t>
            </w:r>
          </w:p>
        </w:tc>
        <w:tc>
          <w:tcPr>
            <w:tcW w:w="793" w:type="dxa"/>
            <w:tcBorders>
              <w:top w:val="nil"/>
              <w:left w:val="nil"/>
              <w:bottom w:val="nil"/>
              <w:right w:val="nil"/>
            </w:tcBorders>
            <w:vAlign w:val="bottom"/>
          </w:tcPr>
          <w:p w:rsidRPr="009C48DA" w:rsidR="00661519" w:rsidP="00661519" w:rsidRDefault="00661519" w14:paraId="29CAFCA7" w14:textId="77777777">
            <w:pPr>
              <w:spacing w:before="120"/>
              <w:jc w:val="center"/>
              <w:textAlignment w:val="baseline"/>
              <w:rPr>
                <w:rFonts w:eastAsia="Times New Roman" w:cs="Times New Roman"/>
                <w:color w:val="000000"/>
                <w:sz w:val="16"/>
                <w:szCs w:val="16"/>
                <w:lang w:val="en-GB"/>
              </w:rPr>
            </w:pPr>
          </w:p>
        </w:tc>
        <w:tc>
          <w:tcPr>
            <w:tcW w:w="1090" w:type="dxa"/>
            <w:tcBorders>
              <w:top w:val="nil"/>
              <w:left w:val="nil"/>
              <w:bottom w:val="nil"/>
              <w:right w:val="nil"/>
            </w:tcBorders>
            <w:vAlign w:val="bottom"/>
          </w:tcPr>
          <w:p w:rsidRPr="009C48DA" w:rsidR="00661519" w:rsidP="00661519" w:rsidRDefault="00661519" w14:paraId="6B4B4BFC" w14:textId="77777777">
            <w:pPr>
              <w:pBdr>
                <w:bottom w:val="double" w:color="auto" w:sz="6" w:space="1"/>
              </w:pBdr>
              <w:spacing w:before="12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3,065</w:t>
            </w:r>
          </w:p>
        </w:tc>
        <w:tc>
          <w:tcPr>
            <w:tcW w:w="1090" w:type="dxa"/>
            <w:tcBorders>
              <w:top w:val="nil"/>
              <w:left w:val="nil"/>
              <w:bottom w:val="nil"/>
              <w:right w:val="nil"/>
            </w:tcBorders>
            <w:vAlign w:val="bottom"/>
          </w:tcPr>
          <w:p w:rsidRPr="009C48DA" w:rsidR="00661519" w:rsidP="00661519" w:rsidRDefault="00661519" w14:paraId="42AF0107" w14:textId="77777777">
            <w:pPr>
              <w:pBdr>
                <w:bottom w:val="double" w:color="auto" w:sz="6" w:space="1"/>
              </w:pBdr>
              <w:spacing w:before="12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41,930</w:t>
            </w:r>
          </w:p>
        </w:tc>
        <w:tc>
          <w:tcPr>
            <w:tcW w:w="1024" w:type="dxa"/>
            <w:tcBorders>
              <w:top w:val="nil"/>
              <w:left w:val="nil"/>
              <w:bottom w:val="nil"/>
              <w:right w:val="nil"/>
            </w:tcBorders>
            <w:vAlign w:val="bottom"/>
          </w:tcPr>
          <w:p w:rsidRPr="009C48DA" w:rsidR="00661519" w:rsidP="00661519" w:rsidRDefault="00661519" w14:paraId="4EC73465" w14:textId="77777777">
            <w:pPr>
              <w:pBdr>
                <w:bottom w:val="double" w:color="auto" w:sz="6" w:space="1"/>
              </w:pBdr>
              <w:spacing w:before="120"/>
              <w:ind w:right="13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47,671</w:t>
            </w:r>
          </w:p>
        </w:tc>
        <w:tc>
          <w:tcPr>
            <w:tcW w:w="1156" w:type="dxa"/>
            <w:tcBorders>
              <w:top w:val="nil"/>
              <w:left w:val="nil"/>
              <w:bottom w:val="nil"/>
              <w:right w:val="nil"/>
            </w:tcBorders>
            <w:vAlign w:val="bottom"/>
          </w:tcPr>
          <w:p w:rsidRPr="009C48DA" w:rsidR="00661519" w:rsidP="00661519" w:rsidRDefault="00661519" w14:paraId="4B31F223" w14:textId="77777777">
            <w:pPr>
              <w:pBdr>
                <w:bottom w:val="double" w:color="auto" w:sz="6" w:space="1"/>
              </w:pBdr>
              <w:spacing w:before="120"/>
              <w:ind w:right="11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(1,481)</w:t>
            </w:r>
          </w:p>
        </w:tc>
        <w:tc>
          <w:tcPr>
            <w:tcW w:w="1095" w:type="dxa"/>
            <w:tcBorders>
              <w:top w:val="nil"/>
              <w:left w:val="nil"/>
              <w:bottom w:val="nil"/>
              <w:right w:val="nil"/>
            </w:tcBorders>
            <w:vAlign w:val="bottom"/>
          </w:tcPr>
          <w:p w:rsidRPr="009C48DA" w:rsidR="00661519" w:rsidP="00661519" w:rsidRDefault="00661519" w14:paraId="562314AF" w14:textId="77777777">
            <w:pPr>
              <w:pBdr>
                <w:bottom w:val="double" w:color="auto" w:sz="6" w:space="1"/>
              </w:pBdr>
              <w:spacing w:before="120"/>
              <w:ind w:right="12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18,672</w:t>
            </w:r>
          </w:p>
        </w:tc>
      </w:tr>
      <w:tr w:rsidRPr="009C48DA" w:rsidR="00661519" w:rsidTr="00661519" w14:paraId="111C2F10" w14:textId="77777777">
        <w:tc>
          <w:tcPr>
            <w:tcW w:w="2812" w:type="dxa"/>
            <w:tcBorders>
              <w:top w:val="nil"/>
              <w:left w:val="nil"/>
              <w:bottom w:val="nil"/>
              <w:right w:val="nil"/>
            </w:tcBorders>
            <w:vAlign w:val="bottom"/>
          </w:tcPr>
          <w:p w:rsidRPr="009C48DA" w:rsidR="00661519" w:rsidP="00661519" w:rsidRDefault="00661519" w14:paraId="3CB67DE8" w14:textId="77777777">
            <w:pPr>
              <w:spacing w:before="60"/>
              <w:textAlignment w:val="baseline"/>
              <w:rPr>
                <w:rFonts w:eastAsia="Times New Roman" w:cs="Times New Roman"/>
                <w:b/>
                <w:i/>
                <w:color w:val="000000"/>
                <w:sz w:val="16"/>
                <w:szCs w:val="16"/>
                <w:lang w:val="en-GB"/>
              </w:rPr>
            </w:pPr>
          </w:p>
        </w:tc>
        <w:tc>
          <w:tcPr>
            <w:tcW w:w="793" w:type="dxa"/>
            <w:tcBorders>
              <w:top w:val="nil"/>
              <w:left w:val="nil"/>
              <w:bottom w:val="nil"/>
              <w:right w:val="nil"/>
            </w:tcBorders>
            <w:vAlign w:val="bottom"/>
          </w:tcPr>
          <w:p w:rsidRPr="009C48DA" w:rsidR="00661519" w:rsidP="00661519" w:rsidRDefault="00661519" w14:paraId="40090972" w14:textId="77777777">
            <w:pPr>
              <w:spacing w:before="60"/>
              <w:jc w:val="center"/>
              <w:textAlignment w:val="baseline"/>
              <w:rPr>
                <w:rFonts w:eastAsia="Times New Roman" w:cs="Times New Roman"/>
                <w:color w:val="000000"/>
                <w:sz w:val="16"/>
                <w:szCs w:val="16"/>
                <w:lang w:val="en-GB"/>
              </w:rPr>
            </w:pPr>
          </w:p>
        </w:tc>
        <w:tc>
          <w:tcPr>
            <w:tcW w:w="1090" w:type="dxa"/>
            <w:tcBorders>
              <w:top w:val="nil"/>
              <w:left w:val="nil"/>
              <w:bottom w:val="nil"/>
              <w:right w:val="nil"/>
            </w:tcBorders>
            <w:vAlign w:val="bottom"/>
          </w:tcPr>
          <w:p w:rsidRPr="009C48DA" w:rsidR="00661519" w:rsidP="00661519" w:rsidRDefault="00661519" w14:paraId="35BC1DE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090" w:type="dxa"/>
            <w:tcBorders>
              <w:top w:val="nil"/>
              <w:left w:val="nil"/>
              <w:bottom w:val="nil"/>
              <w:right w:val="nil"/>
            </w:tcBorders>
            <w:vAlign w:val="bottom"/>
          </w:tcPr>
          <w:p w:rsidRPr="009C48DA" w:rsidR="00661519" w:rsidP="00661519" w:rsidRDefault="00661519" w14:paraId="0CD4D9D4" w14:textId="77777777">
            <w:pPr>
              <w:spacing w:before="6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024" w:type="dxa"/>
            <w:tcBorders>
              <w:top w:val="nil"/>
              <w:left w:val="nil"/>
              <w:bottom w:val="nil"/>
              <w:right w:val="nil"/>
            </w:tcBorders>
            <w:vAlign w:val="bottom"/>
          </w:tcPr>
          <w:p w:rsidRPr="009C48DA" w:rsidR="00661519" w:rsidP="00661519" w:rsidRDefault="00661519" w14:paraId="5CB54D7D" w14:textId="77777777">
            <w:pPr>
              <w:spacing w:before="60"/>
              <w:ind w:right="13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156" w:type="dxa"/>
            <w:tcBorders>
              <w:top w:val="nil"/>
              <w:left w:val="nil"/>
              <w:bottom w:val="nil"/>
              <w:right w:val="nil"/>
            </w:tcBorders>
            <w:vAlign w:val="bottom"/>
          </w:tcPr>
          <w:p w:rsidRPr="009C48DA" w:rsidR="00661519" w:rsidP="00661519" w:rsidRDefault="00661519" w14:paraId="326AAC72" w14:textId="77777777">
            <w:pPr>
              <w:spacing w:before="60"/>
              <w:ind w:right="11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095" w:type="dxa"/>
            <w:tcBorders>
              <w:top w:val="nil"/>
              <w:left w:val="nil"/>
              <w:bottom w:val="nil"/>
              <w:right w:val="nil"/>
            </w:tcBorders>
            <w:vAlign w:val="bottom"/>
          </w:tcPr>
          <w:p w:rsidRPr="009C48DA" w:rsidR="00661519" w:rsidP="00661519" w:rsidRDefault="00661519" w14:paraId="41666ACE" w14:textId="77777777">
            <w:pPr>
              <w:spacing w:before="60"/>
              <w:ind w:right="12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1E95E6C2" w14:textId="77777777">
        <w:tc>
          <w:tcPr>
            <w:tcW w:w="2812" w:type="dxa"/>
            <w:tcBorders>
              <w:top w:val="nil"/>
              <w:left w:val="nil"/>
              <w:bottom w:val="nil"/>
              <w:right w:val="nil"/>
            </w:tcBorders>
            <w:vAlign w:val="bottom"/>
          </w:tcPr>
          <w:p w:rsidRPr="009C48DA" w:rsidR="00661519" w:rsidP="00661519" w:rsidRDefault="00661519" w14:paraId="01464492"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Attributable to:</w:t>
            </w:r>
          </w:p>
        </w:tc>
        <w:tc>
          <w:tcPr>
            <w:tcW w:w="793" w:type="dxa"/>
            <w:tcBorders>
              <w:top w:val="nil"/>
              <w:left w:val="nil"/>
              <w:bottom w:val="nil"/>
              <w:right w:val="nil"/>
            </w:tcBorders>
            <w:vAlign w:val="bottom"/>
          </w:tcPr>
          <w:p w:rsidRPr="009C48DA" w:rsidR="00661519" w:rsidP="00661519" w:rsidRDefault="00661519" w14:paraId="7FC13AA6" w14:textId="77777777">
            <w:pPr>
              <w:spacing w:before="60"/>
              <w:jc w:val="center"/>
              <w:textAlignment w:val="baseline"/>
              <w:rPr>
                <w:rFonts w:eastAsia="Times New Roman" w:cs="Times New Roman"/>
                <w:color w:val="000000"/>
                <w:sz w:val="16"/>
                <w:szCs w:val="16"/>
                <w:lang w:val="en-GB"/>
              </w:rPr>
            </w:pPr>
          </w:p>
        </w:tc>
        <w:tc>
          <w:tcPr>
            <w:tcW w:w="1090" w:type="dxa"/>
            <w:tcBorders>
              <w:top w:val="nil"/>
              <w:left w:val="nil"/>
              <w:bottom w:val="nil"/>
              <w:right w:val="nil"/>
            </w:tcBorders>
            <w:vAlign w:val="bottom"/>
          </w:tcPr>
          <w:p w:rsidRPr="009C48DA" w:rsidR="00661519" w:rsidP="00661519" w:rsidRDefault="00661519" w14:paraId="32F3F98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090" w:type="dxa"/>
            <w:tcBorders>
              <w:top w:val="nil"/>
              <w:left w:val="nil"/>
              <w:bottom w:val="nil"/>
              <w:right w:val="nil"/>
            </w:tcBorders>
            <w:vAlign w:val="bottom"/>
          </w:tcPr>
          <w:p w:rsidRPr="009C48DA" w:rsidR="00661519" w:rsidP="00661519" w:rsidRDefault="00661519" w14:paraId="54B9765B" w14:textId="77777777">
            <w:pPr>
              <w:spacing w:before="60"/>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024" w:type="dxa"/>
            <w:tcBorders>
              <w:top w:val="nil"/>
              <w:left w:val="nil"/>
              <w:bottom w:val="nil"/>
              <w:right w:val="nil"/>
            </w:tcBorders>
            <w:vAlign w:val="bottom"/>
          </w:tcPr>
          <w:p w:rsidRPr="009C48DA" w:rsidR="00661519" w:rsidP="00661519" w:rsidRDefault="00661519" w14:paraId="69FE5C9E" w14:textId="77777777">
            <w:pPr>
              <w:spacing w:before="60"/>
              <w:ind w:right="13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156" w:type="dxa"/>
            <w:tcBorders>
              <w:top w:val="nil"/>
              <w:left w:val="nil"/>
              <w:bottom w:val="nil"/>
              <w:right w:val="nil"/>
            </w:tcBorders>
            <w:vAlign w:val="bottom"/>
          </w:tcPr>
          <w:p w:rsidRPr="009C48DA" w:rsidR="00661519" w:rsidP="00661519" w:rsidRDefault="00661519" w14:paraId="5E341840" w14:textId="77777777">
            <w:pPr>
              <w:spacing w:before="60"/>
              <w:ind w:right="11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095" w:type="dxa"/>
            <w:tcBorders>
              <w:top w:val="nil"/>
              <w:left w:val="nil"/>
              <w:bottom w:val="nil"/>
              <w:right w:val="nil"/>
            </w:tcBorders>
            <w:vAlign w:val="bottom"/>
          </w:tcPr>
          <w:p w:rsidRPr="009C48DA" w:rsidR="00661519" w:rsidP="00661519" w:rsidRDefault="00661519" w14:paraId="0F933CF3" w14:textId="77777777">
            <w:pPr>
              <w:spacing w:before="60"/>
              <w:ind w:right="12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4B29D12A" w14:textId="77777777">
        <w:tc>
          <w:tcPr>
            <w:tcW w:w="2812" w:type="dxa"/>
            <w:tcBorders>
              <w:top w:val="nil"/>
              <w:left w:val="nil"/>
              <w:bottom w:val="nil"/>
              <w:right w:val="nil"/>
            </w:tcBorders>
            <w:vAlign w:val="bottom"/>
          </w:tcPr>
          <w:p w:rsidRPr="009C48DA" w:rsidR="00661519" w:rsidP="00661519" w:rsidRDefault="00661519" w14:paraId="77C267F4"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Equity holders of the parent</w:t>
            </w:r>
          </w:p>
        </w:tc>
        <w:tc>
          <w:tcPr>
            <w:tcW w:w="793" w:type="dxa"/>
            <w:tcBorders>
              <w:top w:val="nil"/>
              <w:left w:val="nil"/>
              <w:bottom w:val="nil"/>
              <w:right w:val="nil"/>
            </w:tcBorders>
            <w:vAlign w:val="bottom"/>
          </w:tcPr>
          <w:p w:rsidRPr="009C48DA" w:rsidR="00661519" w:rsidP="00661519" w:rsidRDefault="00661519" w14:paraId="781B06C8" w14:textId="77777777">
            <w:pPr>
              <w:spacing w:before="60"/>
              <w:jc w:val="center"/>
              <w:textAlignment w:val="baseline"/>
              <w:rPr>
                <w:rFonts w:eastAsia="Times New Roman" w:cs="Times New Roman"/>
                <w:color w:val="000000"/>
                <w:sz w:val="16"/>
                <w:szCs w:val="16"/>
                <w:lang w:val="en-GB"/>
              </w:rPr>
            </w:pPr>
          </w:p>
        </w:tc>
        <w:tc>
          <w:tcPr>
            <w:tcW w:w="1090" w:type="dxa"/>
            <w:tcBorders>
              <w:top w:val="nil"/>
              <w:left w:val="nil"/>
              <w:bottom w:val="nil"/>
              <w:right w:val="nil"/>
            </w:tcBorders>
            <w:vAlign w:val="bottom"/>
          </w:tcPr>
          <w:p w:rsidRPr="009C48DA" w:rsidR="00661519" w:rsidP="00661519" w:rsidRDefault="00661519" w14:paraId="3FE00C5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olor w:val="000000"/>
                <w:sz w:val="16"/>
                <w:lang w:val="en-GB"/>
              </w:rPr>
              <w:t>(4,659)</w:t>
            </w:r>
          </w:p>
        </w:tc>
        <w:tc>
          <w:tcPr>
            <w:tcW w:w="1090" w:type="dxa"/>
            <w:tcBorders>
              <w:top w:val="nil"/>
              <w:left w:val="nil"/>
              <w:bottom w:val="nil"/>
              <w:right w:val="nil"/>
            </w:tcBorders>
            <w:vAlign w:val="bottom"/>
          </w:tcPr>
          <w:p w:rsidRPr="009C48DA" w:rsidR="00661519" w:rsidP="00661519" w:rsidRDefault="00661519" w14:paraId="11460574" w14:textId="77777777">
            <w:pPr>
              <w:spacing w:before="60"/>
              <w:ind w:right="170"/>
              <w:jc w:val="right"/>
              <w:textAlignment w:val="baseline"/>
              <w:rPr>
                <w:rFonts w:eastAsia="Times New Roman" w:cs="Times New Roman"/>
                <w:color w:val="000000"/>
                <w:sz w:val="16"/>
                <w:szCs w:val="16"/>
                <w:lang w:val="en-GB"/>
              </w:rPr>
            </w:pPr>
            <w:r w:rsidRPr="009C48DA">
              <w:rPr>
                <w:rFonts w:eastAsia="Times New Roman"/>
                <w:color w:val="000000"/>
                <w:sz w:val="16"/>
                <w:lang w:val="en-GB"/>
              </w:rPr>
              <w:t>28,901</w:t>
            </w:r>
          </w:p>
        </w:tc>
        <w:tc>
          <w:tcPr>
            <w:tcW w:w="1024" w:type="dxa"/>
            <w:tcBorders>
              <w:top w:val="nil"/>
              <w:left w:val="nil"/>
              <w:bottom w:val="nil"/>
              <w:right w:val="nil"/>
            </w:tcBorders>
            <w:vAlign w:val="bottom"/>
          </w:tcPr>
          <w:p w:rsidRPr="009C48DA" w:rsidR="00661519" w:rsidP="00661519" w:rsidRDefault="00661519" w14:paraId="464BEE2F" w14:textId="77777777">
            <w:pPr>
              <w:spacing w:before="60"/>
              <w:ind w:right="133"/>
              <w:jc w:val="right"/>
              <w:textAlignment w:val="baseline"/>
              <w:rPr>
                <w:rFonts w:eastAsia="Times New Roman" w:cs="Times New Roman"/>
                <w:color w:val="000000"/>
                <w:sz w:val="16"/>
                <w:szCs w:val="16"/>
                <w:lang w:val="en-GB"/>
              </w:rPr>
            </w:pPr>
            <w:r w:rsidRPr="009C48DA">
              <w:rPr>
                <w:rFonts w:eastAsia="Times New Roman"/>
                <w:color w:val="000000"/>
                <w:sz w:val="16"/>
                <w:lang w:val="en-GB"/>
              </w:rPr>
              <w:t>36,481</w:t>
            </w:r>
          </w:p>
        </w:tc>
        <w:tc>
          <w:tcPr>
            <w:tcW w:w="1156" w:type="dxa"/>
            <w:tcBorders>
              <w:top w:val="nil"/>
              <w:left w:val="nil"/>
              <w:bottom w:val="nil"/>
              <w:right w:val="nil"/>
            </w:tcBorders>
            <w:vAlign w:val="bottom"/>
          </w:tcPr>
          <w:p w:rsidRPr="009C48DA" w:rsidR="00661519" w:rsidP="00661519" w:rsidRDefault="00661519" w14:paraId="69FD6002" w14:textId="77777777">
            <w:pPr>
              <w:spacing w:before="60"/>
              <w:ind w:right="117"/>
              <w:jc w:val="right"/>
              <w:textAlignment w:val="baseline"/>
              <w:rPr>
                <w:rFonts w:eastAsia="Times New Roman" w:cs="Times New Roman"/>
                <w:color w:val="000000"/>
                <w:sz w:val="16"/>
                <w:szCs w:val="16"/>
                <w:lang w:val="en-GB"/>
              </w:rPr>
            </w:pPr>
            <w:r w:rsidRPr="009C48DA">
              <w:rPr>
                <w:rFonts w:eastAsia="Times New Roman"/>
                <w:color w:val="000000"/>
                <w:sz w:val="16"/>
                <w:lang w:val="en-GB"/>
              </w:rPr>
              <w:t>2,647</w:t>
            </w:r>
          </w:p>
        </w:tc>
        <w:tc>
          <w:tcPr>
            <w:tcW w:w="1095" w:type="dxa"/>
            <w:tcBorders>
              <w:top w:val="nil"/>
              <w:left w:val="nil"/>
              <w:bottom w:val="nil"/>
              <w:right w:val="nil"/>
            </w:tcBorders>
            <w:vAlign w:val="bottom"/>
          </w:tcPr>
          <w:p w:rsidRPr="009C48DA" w:rsidR="00661519" w:rsidP="00661519" w:rsidRDefault="00661519" w14:paraId="38590BE3" w14:textId="77777777">
            <w:pPr>
              <w:spacing w:before="60"/>
              <w:ind w:right="120"/>
              <w:jc w:val="right"/>
              <w:textAlignment w:val="baseline"/>
              <w:rPr>
                <w:rFonts w:eastAsia="Times New Roman" w:cs="Times New Roman"/>
                <w:color w:val="000000"/>
                <w:sz w:val="16"/>
                <w:szCs w:val="16"/>
                <w:lang w:val="en-GB"/>
              </w:rPr>
            </w:pPr>
            <w:r w:rsidRPr="009C48DA">
              <w:rPr>
                <w:rFonts w:eastAsia="Times New Roman"/>
                <w:color w:val="000000"/>
                <w:sz w:val="16"/>
                <w:lang w:val="en-GB"/>
              </w:rPr>
              <w:t>14,448</w:t>
            </w:r>
          </w:p>
        </w:tc>
      </w:tr>
      <w:tr w:rsidRPr="009C48DA" w:rsidR="00661519" w:rsidTr="00661519" w14:paraId="00B9A770" w14:textId="77777777">
        <w:tc>
          <w:tcPr>
            <w:tcW w:w="2812" w:type="dxa"/>
            <w:tcBorders>
              <w:top w:val="nil"/>
              <w:left w:val="nil"/>
              <w:bottom w:val="nil"/>
              <w:right w:val="nil"/>
            </w:tcBorders>
            <w:vAlign w:val="bottom"/>
          </w:tcPr>
          <w:p w:rsidRPr="009C48DA" w:rsidR="00661519" w:rsidP="00661519" w:rsidRDefault="00661519" w14:paraId="1E4A1FF6"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Non-controlling interest</w:t>
            </w:r>
          </w:p>
        </w:tc>
        <w:tc>
          <w:tcPr>
            <w:tcW w:w="793" w:type="dxa"/>
            <w:tcBorders>
              <w:top w:val="nil"/>
              <w:left w:val="nil"/>
              <w:bottom w:val="nil"/>
              <w:right w:val="nil"/>
            </w:tcBorders>
            <w:vAlign w:val="bottom"/>
          </w:tcPr>
          <w:p w:rsidRPr="009C48DA" w:rsidR="00661519" w:rsidP="00661519" w:rsidRDefault="00661519" w14:paraId="1CB8E2D5" w14:textId="77777777">
            <w:pPr>
              <w:spacing w:before="60"/>
              <w:jc w:val="center"/>
              <w:textAlignment w:val="baseline"/>
              <w:rPr>
                <w:rFonts w:eastAsia="Times New Roman" w:cs="Times New Roman"/>
                <w:color w:val="000000"/>
                <w:sz w:val="16"/>
                <w:szCs w:val="16"/>
                <w:lang w:val="en-GB"/>
              </w:rPr>
            </w:pPr>
          </w:p>
        </w:tc>
        <w:tc>
          <w:tcPr>
            <w:tcW w:w="1090" w:type="dxa"/>
            <w:tcBorders>
              <w:top w:val="nil"/>
              <w:left w:val="nil"/>
              <w:bottom w:val="nil"/>
              <w:right w:val="nil"/>
            </w:tcBorders>
            <w:vAlign w:val="bottom"/>
          </w:tcPr>
          <w:p w:rsidRPr="009C48DA" w:rsidR="00661519" w:rsidP="00661519" w:rsidRDefault="00661519" w14:paraId="7BE2BD46"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olor w:val="000000"/>
                <w:sz w:val="16"/>
                <w:lang w:val="en-GB"/>
              </w:rPr>
              <w:t>7,724</w:t>
            </w:r>
          </w:p>
        </w:tc>
        <w:tc>
          <w:tcPr>
            <w:tcW w:w="1090" w:type="dxa"/>
            <w:tcBorders>
              <w:top w:val="nil"/>
              <w:left w:val="nil"/>
              <w:bottom w:val="nil"/>
              <w:right w:val="nil"/>
            </w:tcBorders>
            <w:vAlign w:val="bottom"/>
          </w:tcPr>
          <w:p w:rsidRPr="009C48DA" w:rsidR="00661519" w:rsidP="00661519" w:rsidRDefault="00661519" w14:paraId="4484139A" w14:textId="77777777">
            <w:pPr>
              <w:pBdr>
                <w:bottom w:val="single" w:color="auto" w:sz="12" w:space="1"/>
              </w:pBdr>
              <w:spacing w:before="60"/>
              <w:ind w:right="170"/>
              <w:jc w:val="right"/>
              <w:textAlignment w:val="baseline"/>
              <w:rPr>
                <w:rFonts w:eastAsia="Times New Roman" w:cs="Times New Roman"/>
                <w:color w:val="000000"/>
                <w:sz w:val="16"/>
                <w:szCs w:val="16"/>
                <w:lang w:val="en-GB"/>
              </w:rPr>
            </w:pPr>
            <w:r w:rsidRPr="009C48DA">
              <w:rPr>
                <w:rFonts w:eastAsia="Times New Roman"/>
                <w:color w:val="000000"/>
                <w:sz w:val="16"/>
                <w:lang w:val="en-GB"/>
              </w:rPr>
              <w:t>13,029</w:t>
            </w:r>
          </w:p>
        </w:tc>
        <w:tc>
          <w:tcPr>
            <w:tcW w:w="1024" w:type="dxa"/>
            <w:tcBorders>
              <w:top w:val="nil"/>
              <w:left w:val="nil"/>
              <w:bottom w:val="nil"/>
              <w:right w:val="nil"/>
            </w:tcBorders>
            <w:vAlign w:val="bottom"/>
          </w:tcPr>
          <w:p w:rsidRPr="009C48DA" w:rsidR="00661519" w:rsidP="00661519" w:rsidRDefault="00661519" w14:paraId="19F0C773" w14:textId="77777777">
            <w:pPr>
              <w:pBdr>
                <w:bottom w:val="single" w:color="auto" w:sz="12" w:space="1"/>
              </w:pBdr>
              <w:spacing w:before="60"/>
              <w:ind w:right="133"/>
              <w:jc w:val="right"/>
              <w:textAlignment w:val="baseline"/>
              <w:rPr>
                <w:rFonts w:eastAsia="Times New Roman" w:cs="Times New Roman"/>
                <w:color w:val="000000"/>
                <w:sz w:val="16"/>
                <w:szCs w:val="16"/>
                <w:lang w:val="en-GB"/>
              </w:rPr>
            </w:pPr>
            <w:r w:rsidRPr="009C48DA">
              <w:rPr>
                <w:rFonts w:eastAsia="Times New Roman"/>
                <w:color w:val="000000"/>
                <w:sz w:val="16"/>
                <w:lang w:val="en-GB"/>
              </w:rPr>
              <w:t>11,190</w:t>
            </w:r>
          </w:p>
        </w:tc>
        <w:tc>
          <w:tcPr>
            <w:tcW w:w="1156" w:type="dxa"/>
            <w:tcBorders>
              <w:top w:val="nil"/>
              <w:left w:val="nil"/>
              <w:bottom w:val="nil"/>
              <w:right w:val="nil"/>
            </w:tcBorders>
            <w:vAlign w:val="bottom"/>
          </w:tcPr>
          <w:p w:rsidRPr="009C48DA" w:rsidR="00661519" w:rsidP="00661519" w:rsidRDefault="00661519" w14:paraId="45204BB6" w14:textId="77777777">
            <w:pPr>
              <w:pBdr>
                <w:bottom w:val="single" w:color="auto" w:sz="12" w:space="1"/>
              </w:pBdr>
              <w:spacing w:before="60"/>
              <w:ind w:right="117"/>
              <w:jc w:val="right"/>
              <w:textAlignment w:val="baseline"/>
              <w:rPr>
                <w:rFonts w:eastAsia="Times New Roman" w:cs="Times New Roman"/>
                <w:color w:val="000000"/>
                <w:sz w:val="16"/>
                <w:szCs w:val="16"/>
                <w:lang w:val="en-GB"/>
              </w:rPr>
            </w:pPr>
            <w:r w:rsidRPr="009C48DA">
              <w:rPr>
                <w:rFonts w:eastAsia="Times New Roman"/>
                <w:color w:val="000000"/>
                <w:sz w:val="16"/>
                <w:lang w:val="en-GB"/>
              </w:rPr>
              <w:t>(4,128)</w:t>
            </w:r>
          </w:p>
        </w:tc>
        <w:tc>
          <w:tcPr>
            <w:tcW w:w="1095" w:type="dxa"/>
            <w:tcBorders>
              <w:top w:val="nil"/>
              <w:left w:val="nil"/>
              <w:bottom w:val="nil"/>
              <w:right w:val="nil"/>
            </w:tcBorders>
            <w:vAlign w:val="bottom"/>
          </w:tcPr>
          <w:p w:rsidRPr="009C48DA" w:rsidR="00661519" w:rsidP="00661519" w:rsidRDefault="00661519" w14:paraId="03056328" w14:textId="77777777">
            <w:pPr>
              <w:pBdr>
                <w:bottom w:val="single" w:color="auto" w:sz="12" w:space="1"/>
              </w:pBdr>
              <w:spacing w:before="60"/>
              <w:ind w:right="120"/>
              <w:jc w:val="right"/>
              <w:textAlignment w:val="baseline"/>
              <w:rPr>
                <w:rFonts w:eastAsia="Times New Roman" w:cs="Times New Roman"/>
                <w:color w:val="000000"/>
                <w:sz w:val="16"/>
                <w:szCs w:val="16"/>
                <w:lang w:val="en-GB"/>
              </w:rPr>
            </w:pPr>
            <w:r w:rsidRPr="009C48DA">
              <w:rPr>
                <w:rFonts w:eastAsia="Times New Roman"/>
                <w:color w:val="000000"/>
                <w:sz w:val="16"/>
                <w:lang w:val="en-GB"/>
              </w:rPr>
              <w:t>4,224</w:t>
            </w:r>
          </w:p>
        </w:tc>
      </w:tr>
      <w:tr w:rsidRPr="009C48DA" w:rsidR="00661519" w:rsidTr="00661519" w14:paraId="38FADF2F" w14:textId="77777777">
        <w:tc>
          <w:tcPr>
            <w:tcW w:w="2812" w:type="dxa"/>
            <w:tcBorders>
              <w:top w:val="nil"/>
              <w:left w:val="nil"/>
              <w:bottom w:val="nil"/>
              <w:right w:val="nil"/>
            </w:tcBorders>
            <w:vAlign w:val="bottom"/>
          </w:tcPr>
          <w:p w:rsidRPr="009C48DA" w:rsidR="00661519" w:rsidP="00661519" w:rsidRDefault="00661519" w14:paraId="6D59261D"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793" w:type="dxa"/>
            <w:tcBorders>
              <w:top w:val="nil"/>
              <w:left w:val="nil"/>
              <w:bottom w:val="nil"/>
              <w:right w:val="nil"/>
            </w:tcBorders>
            <w:vAlign w:val="bottom"/>
          </w:tcPr>
          <w:p w:rsidRPr="009C48DA" w:rsidR="00661519" w:rsidP="00661519" w:rsidRDefault="00661519" w14:paraId="101820BE" w14:textId="77777777">
            <w:pPr>
              <w:spacing w:before="60"/>
              <w:jc w:val="center"/>
              <w:textAlignment w:val="baseline"/>
              <w:rPr>
                <w:rFonts w:eastAsia="Times New Roman" w:cs="Times New Roman"/>
                <w:color w:val="000000"/>
                <w:sz w:val="16"/>
                <w:szCs w:val="16"/>
                <w:lang w:val="en-GB"/>
              </w:rPr>
            </w:pPr>
          </w:p>
        </w:tc>
        <w:tc>
          <w:tcPr>
            <w:tcW w:w="1090" w:type="dxa"/>
            <w:tcBorders>
              <w:top w:val="nil"/>
              <w:left w:val="nil"/>
              <w:bottom w:val="nil"/>
              <w:right w:val="nil"/>
            </w:tcBorders>
            <w:vAlign w:val="bottom"/>
          </w:tcPr>
          <w:p w:rsidRPr="009C48DA" w:rsidR="00661519" w:rsidP="00661519" w:rsidRDefault="00661519" w14:paraId="08ACC336" w14:textId="77777777">
            <w:pPr>
              <w:pBdr>
                <w:bottom w:val="double" w:color="auto" w:sz="4" w:space="1"/>
              </w:pBdr>
              <w:spacing w:before="60"/>
              <w:ind w:right="109"/>
              <w:jc w:val="right"/>
              <w:textAlignment w:val="baseline"/>
              <w:rPr>
                <w:rFonts w:eastAsia="Times New Roman" w:cs="Times New Roman"/>
                <w:color w:val="000000"/>
                <w:sz w:val="16"/>
                <w:szCs w:val="16"/>
                <w:lang w:val="en-GB"/>
              </w:rPr>
            </w:pPr>
            <w:r w:rsidRPr="009C48DA">
              <w:rPr>
                <w:rFonts w:eastAsia="Times New Roman"/>
                <w:color w:val="000000"/>
                <w:sz w:val="16"/>
                <w:lang w:val="en-GB"/>
              </w:rPr>
              <w:t>3,065</w:t>
            </w:r>
          </w:p>
        </w:tc>
        <w:tc>
          <w:tcPr>
            <w:tcW w:w="1090" w:type="dxa"/>
            <w:tcBorders>
              <w:top w:val="nil"/>
              <w:left w:val="nil"/>
              <w:bottom w:val="nil"/>
              <w:right w:val="nil"/>
            </w:tcBorders>
            <w:vAlign w:val="bottom"/>
          </w:tcPr>
          <w:p w:rsidRPr="009C48DA" w:rsidR="00661519" w:rsidP="00661519" w:rsidRDefault="00661519" w14:paraId="66C9AC35" w14:textId="77777777">
            <w:pPr>
              <w:pBdr>
                <w:bottom w:val="double" w:color="auto" w:sz="4" w:space="1"/>
              </w:pBdr>
              <w:spacing w:before="60"/>
              <w:ind w:right="170"/>
              <w:jc w:val="right"/>
              <w:textAlignment w:val="baseline"/>
              <w:rPr>
                <w:rFonts w:eastAsia="Times New Roman" w:cs="Times New Roman"/>
                <w:color w:val="000000"/>
                <w:sz w:val="16"/>
                <w:szCs w:val="16"/>
                <w:lang w:val="en-GB"/>
              </w:rPr>
            </w:pPr>
            <w:r w:rsidRPr="009C48DA">
              <w:rPr>
                <w:rFonts w:eastAsia="Times New Roman"/>
                <w:color w:val="000000"/>
                <w:sz w:val="16"/>
                <w:lang w:val="en-GB"/>
              </w:rPr>
              <w:t>41,930</w:t>
            </w:r>
          </w:p>
        </w:tc>
        <w:tc>
          <w:tcPr>
            <w:tcW w:w="1024" w:type="dxa"/>
            <w:tcBorders>
              <w:top w:val="nil"/>
              <w:left w:val="nil"/>
              <w:bottom w:val="nil"/>
              <w:right w:val="nil"/>
            </w:tcBorders>
            <w:vAlign w:val="bottom"/>
          </w:tcPr>
          <w:p w:rsidRPr="009C48DA" w:rsidR="00661519" w:rsidP="00661519" w:rsidRDefault="00661519" w14:paraId="61E052EE" w14:textId="77777777">
            <w:pPr>
              <w:pBdr>
                <w:bottom w:val="double" w:color="auto" w:sz="4" w:space="1"/>
              </w:pBdr>
              <w:spacing w:before="60"/>
              <w:ind w:right="133"/>
              <w:jc w:val="right"/>
              <w:textAlignment w:val="baseline"/>
              <w:rPr>
                <w:rFonts w:eastAsia="Times New Roman" w:cs="Times New Roman"/>
                <w:color w:val="000000"/>
                <w:sz w:val="16"/>
                <w:szCs w:val="16"/>
                <w:lang w:val="en-GB"/>
              </w:rPr>
            </w:pPr>
            <w:r w:rsidRPr="009C48DA">
              <w:rPr>
                <w:rFonts w:eastAsia="Times New Roman"/>
                <w:color w:val="000000"/>
                <w:sz w:val="16"/>
                <w:lang w:val="en-GB"/>
              </w:rPr>
              <w:t>47,671</w:t>
            </w:r>
          </w:p>
        </w:tc>
        <w:tc>
          <w:tcPr>
            <w:tcW w:w="1156" w:type="dxa"/>
            <w:tcBorders>
              <w:top w:val="nil"/>
              <w:left w:val="nil"/>
              <w:bottom w:val="nil"/>
              <w:right w:val="nil"/>
            </w:tcBorders>
            <w:vAlign w:val="bottom"/>
          </w:tcPr>
          <w:p w:rsidRPr="009C48DA" w:rsidR="00661519" w:rsidP="00661519" w:rsidRDefault="00661519" w14:paraId="75DA60F4" w14:textId="77777777">
            <w:pPr>
              <w:pBdr>
                <w:bottom w:val="double" w:color="auto" w:sz="4" w:space="1"/>
              </w:pBdr>
              <w:spacing w:before="60"/>
              <w:ind w:right="117"/>
              <w:jc w:val="right"/>
              <w:textAlignment w:val="baseline"/>
              <w:rPr>
                <w:rFonts w:eastAsia="Times New Roman" w:cs="Times New Roman"/>
                <w:color w:val="000000"/>
                <w:sz w:val="16"/>
                <w:szCs w:val="16"/>
                <w:lang w:val="en-GB"/>
              </w:rPr>
            </w:pPr>
            <w:r w:rsidRPr="009C48DA">
              <w:rPr>
                <w:rFonts w:eastAsia="Times New Roman"/>
                <w:color w:val="000000"/>
                <w:sz w:val="16"/>
                <w:lang w:val="en-GB"/>
              </w:rPr>
              <w:t>(1,481)</w:t>
            </w:r>
          </w:p>
        </w:tc>
        <w:tc>
          <w:tcPr>
            <w:tcW w:w="1095" w:type="dxa"/>
            <w:tcBorders>
              <w:top w:val="nil"/>
              <w:left w:val="nil"/>
              <w:bottom w:val="nil"/>
              <w:right w:val="nil"/>
            </w:tcBorders>
            <w:vAlign w:val="bottom"/>
          </w:tcPr>
          <w:p w:rsidRPr="009C48DA" w:rsidR="00661519" w:rsidP="00661519" w:rsidRDefault="00661519" w14:paraId="55C67171" w14:textId="77777777">
            <w:pPr>
              <w:pBdr>
                <w:bottom w:val="double" w:color="auto" w:sz="4" w:space="1"/>
              </w:pBdr>
              <w:spacing w:before="60"/>
              <w:ind w:right="120"/>
              <w:jc w:val="right"/>
              <w:textAlignment w:val="baseline"/>
              <w:rPr>
                <w:rFonts w:eastAsia="Times New Roman" w:cs="Times New Roman"/>
                <w:color w:val="000000"/>
                <w:sz w:val="16"/>
                <w:szCs w:val="16"/>
                <w:lang w:val="en-GB"/>
              </w:rPr>
            </w:pPr>
            <w:r w:rsidRPr="009C48DA">
              <w:rPr>
                <w:rFonts w:eastAsia="Times New Roman"/>
                <w:color w:val="000000"/>
                <w:sz w:val="16"/>
                <w:lang w:val="en-GB"/>
              </w:rPr>
              <w:t>18,672</w:t>
            </w:r>
          </w:p>
        </w:tc>
      </w:tr>
      <w:tr w:rsidRPr="009C48DA" w:rsidR="00661519" w:rsidTr="00661519" w14:paraId="30D34806" w14:textId="77777777">
        <w:tc>
          <w:tcPr>
            <w:tcW w:w="2812" w:type="dxa"/>
            <w:tcBorders>
              <w:top w:val="nil"/>
              <w:left w:val="nil"/>
              <w:bottom w:val="nil"/>
              <w:right w:val="nil"/>
            </w:tcBorders>
            <w:vAlign w:val="bottom"/>
          </w:tcPr>
          <w:p w:rsidRPr="009C48DA" w:rsidR="00661519" w:rsidP="00661519" w:rsidRDefault="00661519" w14:paraId="0B50CD78"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Basic and diluted earnings per share (including exceptionals)</w:t>
            </w:r>
          </w:p>
        </w:tc>
        <w:tc>
          <w:tcPr>
            <w:tcW w:w="793" w:type="dxa"/>
            <w:tcBorders>
              <w:top w:val="nil"/>
              <w:left w:val="nil"/>
              <w:bottom w:val="nil"/>
              <w:right w:val="nil"/>
            </w:tcBorders>
            <w:vAlign w:val="bottom"/>
          </w:tcPr>
          <w:p w:rsidRPr="009C48DA" w:rsidR="00661519" w:rsidP="00661519" w:rsidRDefault="00661519" w14:paraId="35E71B55" w14:textId="77777777">
            <w:pPr>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w:t>
            </w:r>
          </w:p>
        </w:tc>
        <w:tc>
          <w:tcPr>
            <w:tcW w:w="1090" w:type="dxa"/>
            <w:tcBorders>
              <w:top w:val="nil"/>
              <w:left w:val="nil"/>
              <w:bottom w:val="nil"/>
              <w:right w:val="nil"/>
            </w:tcBorders>
            <w:vAlign w:val="bottom"/>
          </w:tcPr>
          <w:p w:rsidRPr="009C48DA" w:rsidR="00661519" w:rsidP="00661519" w:rsidRDefault="00661519" w14:paraId="7E106231" w14:textId="77777777">
            <w:pPr>
              <w:pBdr>
                <w:bottom w:val="double" w:color="auto" w:sz="4" w:space="1"/>
              </w:pBdr>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(3.91)</w:t>
            </w:r>
          </w:p>
        </w:tc>
        <w:tc>
          <w:tcPr>
            <w:tcW w:w="1090" w:type="dxa"/>
            <w:tcBorders>
              <w:top w:val="nil"/>
              <w:left w:val="nil"/>
              <w:bottom w:val="nil"/>
              <w:right w:val="nil"/>
            </w:tcBorders>
            <w:vAlign w:val="bottom"/>
          </w:tcPr>
          <w:p w:rsidRPr="009C48DA" w:rsidR="00661519" w:rsidP="00661519" w:rsidRDefault="00661519" w14:paraId="5593FB98" w14:textId="77777777">
            <w:pPr>
              <w:pBdr>
                <w:bottom w:val="double" w:color="auto" w:sz="4" w:space="1"/>
              </w:pBdr>
              <w:ind w:right="17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9.15</w:t>
            </w:r>
          </w:p>
        </w:tc>
        <w:tc>
          <w:tcPr>
            <w:tcW w:w="1024" w:type="dxa"/>
            <w:tcBorders>
              <w:top w:val="nil"/>
              <w:left w:val="nil"/>
              <w:bottom w:val="nil"/>
              <w:right w:val="nil"/>
            </w:tcBorders>
            <w:vAlign w:val="bottom"/>
          </w:tcPr>
          <w:p w:rsidRPr="009C48DA" w:rsidR="00661519" w:rsidP="00661519" w:rsidRDefault="00661519" w14:paraId="2927D18F" w14:textId="77777777">
            <w:pPr>
              <w:pBdr>
                <w:bottom w:val="double" w:color="auto" w:sz="4" w:space="1"/>
              </w:pBdr>
              <w:ind w:right="13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11.59</w:t>
            </w:r>
          </w:p>
        </w:tc>
        <w:tc>
          <w:tcPr>
            <w:tcW w:w="1156" w:type="dxa"/>
            <w:tcBorders>
              <w:top w:val="nil"/>
              <w:left w:val="nil"/>
              <w:bottom w:val="nil"/>
              <w:right w:val="nil"/>
            </w:tcBorders>
            <w:vAlign w:val="bottom"/>
          </w:tcPr>
          <w:p w:rsidRPr="009C48DA" w:rsidR="00661519" w:rsidP="00661519" w:rsidRDefault="00661519" w14:paraId="779F1E88" w14:textId="77777777">
            <w:pPr>
              <w:pBdr>
                <w:bottom w:val="double" w:color="auto" w:sz="4" w:space="1"/>
              </w:pBdr>
              <w:ind w:right="11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0.83</w:t>
            </w:r>
          </w:p>
        </w:tc>
        <w:tc>
          <w:tcPr>
            <w:tcW w:w="1095" w:type="dxa"/>
            <w:tcBorders>
              <w:top w:val="nil"/>
              <w:left w:val="nil"/>
              <w:bottom w:val="nil"/>
              <w:right w:val="nil"/>
            </w:tcBorders>
            <w:vAlign w:val="bottom"/>
          </w:tcPr>
          <w:p w:rsidRPr="009C48DA" w:rsidR="00661519" w:rsidP="00661519" w:rsidRDefault="00661519" w14:paraId="2E634177" w14:textId="77777777">
            <w:pPr>
              <w:pBdr>
                <w:bottom w:val="double" w:color="auto" w:sz="4" w:space="1"/>
              </w:pBdr>
              <w:ind w:right="12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4.59</w:t>
            </w:r>
          </w:p>
        </w:tc>
      </w:tr>
    </w:tbl>
    <w:p w:rsidRPr="009C48DA" w:rsidR="00661519" w:rsidP="00661519" w:rsidRDefault="00661519" w14:paraId="347EE732" w14:textId="77777777">
      <w:pPr>
        <w:spacing w:after="240"/>
        <w:jc w:val="center"/>
        <w:textAlignment w:val="baseline"/>
        <w:rPr>
          <w:rFonts w:eastAsia="PMingLiU" w:cs="Times New Roman"/>
          <w:szCs w:val="22"/>
          <w:lang w:val="en-GB"/>
        </w:rPr>
        <w:sectPr w:rsidRPr="009C48DA" w:rsidR="00661519" w:rsidSect="000D6C1F">
          <w:headerReference w:type="default" r:id="rId67"/>
          <w:footerReference w:type="default" r:id="rId68"/>
          <w:pgSz w:w="11909" w:h="16838"/>
          <w:pgMar w:top="1440" w:right="1440" w:bottom="1440" w:left="1440" w:header="720" w:footer="720" w:gutter="0"/>
          <w:cols w:space="720"/>
          <w:docGrid w:linePitch="299"/>
        </w:sectPr>
      </w:pPr>
    </w:p>
    <w:tbl>
      <w:tblPr>
        <w:tblW w:w="9077" w:type="dxa"/>
        <w:tblLayout w:type="fixed"/>
        <w:tblCellMar>
          <w:left w:w="0" w:type="dxa"/>
          <w:right w:w="0" w:type="dxa"/>
        </w:tblCellMar>
        <w:tblLook w:val="04A0" w:firstRow="1" w:lastRow="0" w:firstColumn="1" w:lastColumn="0" w:noHBand="0" w:noVBand="1"/>
      </w:tblPr>
      <w:tblGrid>
        <w:gridCol w:w="2840"/>
        <w:gridCol w:w="279"/>
        <w:gridCol w:w="572"/>
        <w:gridCol w:w="1077"/>
        <w:gridCol w:w="1077"/>
        <w:gridCol w:w="1106"/>
        <w:gridCol w:w="1048"/>
        <w:gridCol w:w="1078"/>
      </w:tblGrid>
      <w:tr w:rsidRPr="009C48DA" w:rsidR="00661519" w:rsidTr="00661519" w14:paraId="25707F09" w14:textId="77777777">
        <w:tc>
          <w:tcPr>
            <w:tcW w:w="2840" w:type="dxa"/>
            <w:vAlign w:val="bottom"/>
          </w:tcPr>
          <w:p w:rsidRPr="009C48DA" w:rsidR="00661519" w:rsidP="00661519" w:rsidRDefault="00661519" w14:paraId="03783AEA" w14:textId="77777777">
            <w:pPr>
              <w:textAlignment w:val="baseline"/>
              <w:rPr>
                <w:rFonts w:eastAsia="Times New Roman" w:cs="Times New Roman"/>
                <w:color w:val="000000"/>
                <w:sz w:val="16"/>
                <w:szCs w:val="16"/>
                <w:lang w:val="en-GB"/>
              </w:rPr>
            </w:pPr>
          </w:p>
        </w:tc>
        <w:tc>
          <w:tcPr>
            <w:tcW w:w="851" w:type="dxa"/>
            <w:gridSpan w:val="2"/>
          </w:tcPr>
          <w:p w:rsidRPr="009C48DA" w:rsidR="00661519" w:rsidP="00661519" w:rsidRDefault="00661519" w14:paraId="3678DD01" w14:textId="77777777">
            <w:pPr>
              <w:ind w:right="230"/>
              <w:jc w:val="right"/>
              <w:textAlignment w:val="baseline"/>
              <w:rPr>
                <w:rFonts w:eastAsia="Times New Roman" w:cs="Times New Roman"/>
                <w:b/>
                <w:color w:val="000000"/>
                <w:sz w:val="16"/>
                <w:szCs w:val="16"/>
                <w:lang w:val="en-GB"/>
              </w:rPr>
            </w:pPr>
          </w:p>
        </w:tc>
        <w:tc>
          <w:tcPr>
            <w:tcW w:w="3260" w:type="dxa"/>
            <w:gridSpan w:val="3"/>
            <w:vAlign w:val="bottom"/>
          </w:tcPr>
          <w:p w:rsidRPr="009C48DA" w:rsidR="00661519" w:rsidP="00661519" w:rsidRDefault="00661519" w14:paraId="55C33977" w14:textId="77777777">
            <w:pPr>
              <w:pBdr>
                <w:bottom w:val="single" w:color="auto" w:sz="18" w:space="1"/>
              </w:pBdr>
              <w:ind w:right="147"/>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Year ended 31 December</w:t>
            </w:r>
          </w:p>
        </w:tc>
        <w:tc>
          <w:tcPr>
            <w:tcW w:w="2126" w:type="dxa"/>
            <w:gridSpan w:val="2"/>
            <w:vAlign w:val="bottom"/>
          </w:tcPr>
          <w:p w:rsidRPr="009C48DA" w:rsidR="00661519" w:rsidP="00661519" w:rsidRDefault="00661519" w14:paraId="3D807CB9" w14:textId="77777777">
            <w:pPr>
              <w:pBdr>
                <w:bottom w:val="single" w:color="auto" w:sz="18" w:space="1"/>
              </w:pBdr>
              <w:ind w:left="-5"/>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Three month period ended</w:t>
            </w:r>
          </w:p>
          <w:p w:rsidRPr="009C48DA" w:rsidR="00661519" w:rsidP="00661519" w:rsidRDefault="00661519" w14:paraId="053D8DAB" w14:textId="77777777">
            <w:pPr>
              <w:pBdr>
                <w:bottom w:val="single" w:color="auto" w:sz="18" w:space="1"/>
              </w:pBdr>
              <w:ind w:left="-5"/>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31 March</w:t>
            </w:r>
          </w:p>
        </w:tc>
      </w:tr>
      <w:tr w:rsidRPr="009C48DA" w:rsidR="00661519" w:rsidTr="00661519" w14:paraId="62F9C0E0" w14:textId="77777777">
        <w:tc>
          <w:tcPr>
            <w:tcW w:w="2840" w:type="dxa"/>
            <w:vAlign w:val="bottom"/>
          </w:tcPr>
          <w:p w:rsidRPr="009C48DA" w:rsidR="00661519" w:rsidP="00661519" w:rsidRDefault="00661519" w14:paraId="67C652A9" w14:textId="77777777">
            <w:pPr>
              <w:rPr>
                <w:rFonts w:eastAsia="PMingLiU" w:cs="Times New Roman"/>
                <w:sz w:val="16"/>
                <w:szCs w:val="16"/>
                <w:lang w:val="en-GB"/>
              </w:rPr>
            </w:pPr>
          </w:p>
        </w:tc>
        <w:tc>
          <w:tcPr>
            <w:tcW w:w="851" w:type="dxa"/>
            <w:gridSpan w:val="2"/>
            <w:vAlign w:val="bottom"/>
          </w:tcPr>
          <w:p w:rsidRPr="009C48DA" w:rsidR="00661519" w:rsidP="00661519" w:rsidRDefault="00661519" w14:paraId="3E5E07CB" w14:textId="77777777">
            <w:pPr>
              <w:jc w:val="center"/>
              <w:textAlignment w:val="baseline"/>
              <w:rPr>
                <w:rFonts w:eastAsia="Times New Roman" w:cs="Times New Roman"/>
                <w:b/>
                <w:color w:val="000000"/>
                <w:sz w:val="16"/>
                <w:szCs w:val="16"/>
                <w:lang w:val="en-GB"/>
              </w:rPr>
            </w:pPr>
          </w:p>
        </w:tc>
        <w:tc>
          <w:tcPr>
            <w:tcW w:w="1077" w:type="dxa"/>
            <w:vAlign w:val="bottom"/>
          </w:tcPr>
          <w:p w:rsidRPr="009C48DA" w:rsidR="00661519" w:rsidP="00661519" w:rsidRDefault="00661519" w14:paraId="385DCDE3" w14:textId="77777777">
            <w:pPr>
              <w:ind w:right="140"/>
              <w:jc w:val="right"/>
              <w:textAlignment w:val="baseline"/>
              <w:rPr>
                <w:rFonts w:eastAsia="Times New Roman" w:cs="Times New Roman"/>
                <w:b/>
                <w:color w:val="000000"/>
                <w:sz w:val="16"/>
                <w:szCs w:val="16"/>
                <w:lang w:val="en-GB"/>
              </w:rPr>
            </w:pPr>
          </w:p>
        </w:tc>
        <w:tc>
          <w:tcPr>
            <w:tcW w:w="1077" w:type="dxa"/>
            <w:vAlign w:val="bottom"/>
          </w:tcPr>
          <w:p w:rsidRPr="009C48DA" w:rsidR="00661519" w:rsidP="00661519" w:rsidRDefault="00661519" w14:paraId="01B060D3" w14:textId="77777777">
            <w:pPr>
              <w:ind w:right="140"/>
              <w:jc w:val="right"/>
              <w:textAlignment w:val="baseline"/>
              <w:rPr>
                <w:rFonts w:eastAsia="Times New Roman" w:cs="Times New Roman"/>
                <w:b/>
                <w:color w:val="000000"/>
                <w:sz w:val="16"/>
                <w:szCs w:val="16"/>
                <w:lang w:val="en-GB"/>
              </w:rPr>
            </w:pPr>
          </w:p>
        </w:tc>
        <w:tc>
          <w:tcPr>
            <w:tcW w:w="1106" w:type="dxa"/>
            <w:vAlign w:val="bottom"/>
          </w:tcPr>
          <w:p w:rsidRPr="009C48DA" w:rsidR="00661519" w:rsidP="00661519" w:rsidRDefault="00661519" w14:paraId="667F2C95" w14:textId="77777777">
            <w:pPr>
              <w:ind w:right="140"/>
              <w:jc w:val="right"/>
              <w:textAlignment w:val="baseline"/>
              <w:rPr>
                <w:rFonts w:eastAsia="Times New Roman" w:cs="Times New Roman"/>
                <w:b/>
                <w:color w:val="000000"/>
                <w:sz w:val="16"/>
                <w:szCs w:val="16"/>
                <w:lang w:val="en-GB"/>
              </w:rPr>
            </w:pPr>
          </w:p>
        </w:tc>
        <w:tc>
          <w:tcPr>
            <w:tcW w:w="2126" w:type="dxa"/>
            <w:gridSpan w:val="2"/>
            <w:vAlign w:val="bottom"/>
          </w:tcPr>
          <w:p w:rsidRPr="009C48DA" w:rsidR="00661519" w:rsidP="00661519" w:rsidRDefault="00661519" w14:paraId="37DE373C" w14:textId="77777777">
            <w:pPr>
              <w:tabs>
                <w:tab w:val="left" w:pos="936"/>
              </w:tabs>
              <w:ind w:right="14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      Unaudited</w:t>
            </w:r>
          </w:p>
        </w:tc>
      </w:tr>
      <w:tr w:rsidRPr="009C48DA" w:rsidR="00661519" w:rsidTr="00661519" w14:paraId="0F529A13" w14:textId="77777777">
        <w:tc>
          <w:tcPr>
            <w:tcW w:w="2840" w:type="dxa"/>
            <w:vAlign w:val="bottom"/>
          </w:tcPr>
          <w:p w:rsidRPr="009C48DA" w:rsidR="00661519" w:rsidP="00661519" w:rsidRDefault="00661519" w14:paraId="2269478A" w14:textId="77777777">
            <w:pPr>
              <w:rPr>
                <w:rFonts w:eastAsia="PMingLiU" w:cs="Times New Roman"/>
                <w:sz w:val="16"/>
                <w:szCs w:val="16"/>
                <w:lang w:val="en-GB"/>
              </w:rPr>
            </w:pPr>
          </w:p>
        </w:tc>
        <w:tc>
          <w:tcPr>
            <w:tcW w:w="851" w:type="dxa"/>
            <w:gridSpan w:val="2"/>
            <w:vAlign w:val="bottom"/>
          </w:tcPr>
          <w:p w:rsidRPr="009C48DA" w:rsidR="00661519" w:rsidP="00661519" w:rsidRDefault="00661519" w14:paraId="3BEA3DC5" w14:textId="77777777">
            <w:pPr>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Note</w:t>
            </w:r>
          </w:p>
        </w:tc>
        <w:tc>
          <w:tcPr>
            <w:tcW w:w="1077" w:type="dxa"/>
            <w:vAlign w:val="bottom"/>
          </w:tcPr>
          <w:p w:rsidRPr="009C48DA" w:rsidR="00661519" w:rsidP="00661519" w:rsidRDefault="00661519" w14:paraId="245070BB" w14:textId="77777777">
            <w:pPr>
              <w:ind w:right="140"/>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2018</w:t>
            </w:r>
          </w:p>
          <w:p w:rsidRPr="009C48DA" w:rsidR="00661519" w:rsidP="00661519" w:rsidRDefault="00661519" w14:paraId="3D017852" w14:textId="77777777">
            <w:pPr>
              <w:ind w:right="140"/>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077" w:type="dxa"/>
            <w:vAlign w:val="bottom"/>
          </w:tcPr>
          <w:p w:rsidRPr="009C48DA" w:rsidR="00661519" w:rsidP="00661519" w:rsidRDefault="00661519" w14:paraId="7C71B914" w14:textId="77777777">
            <w:pPr>
              <w:ind w:right="140"/>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2019</w:t>
            </w:r>
          </w:p>
          <w:p w:rsidRPr="009C48DA" w:rsidR="00661519" w:rsidP="00661519" w:rsidRDefault="00661519" w14:paraId="31D6258F" w14:textId="77777777">
            <w:pPr>
              <w:ind w:right="140"/>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106" w:type="dxa"/>
            <w:vAlign w:val="bottom"/>
          </w:tcPr>
          <w:p w:rsidRPr="009C48DA" w:rsidR="00661519" w:rsidP="00661519" w:rsidRDefault="00661519" w14:paraId="7F6BAAFF" w14:textId="77777777">
            <w:pPr>
              <w:ind w:right="140"/>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2020</w:t>
            </w:r>
          </w:p>
          <w:p w:rsidRPr="009C48DA" w:rsidR="00661519" w:rsidP="00661519" w:rsidRDefault="00661519" w14:paraId="608C06D9" w14:textId="77777777">
            <w:pPr>
              <w:ind w:right="140"/>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048" w:type="dxa"/>
            <w:vAlign w:val="bottom"/>
          </w:tcPr>
          <w:p w:rsidRPr="009C48DA" w:rsidR="00661519" w:rsidP="00661519" w:rsidRDefault="00661519" w14:paraId="76EFA9BD" w14:textId="77777777">
            <w:pPr>
              <w:ind w:right="140"/>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2020</w:t>
            </w:r>
          </w:p>
          <w:p w:rsidRPr="009C48DA" w:rsidR="00661519" w:rsidP="00661519" w:rsidRDefault="00661519" w14:paraId="634FC1FA" w14:textId="77777777">
            <w:pPr>
              <w:ind w:right="140"/>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078" w:type="dxa"/>
            <w:vAlign w:val="bottom"/>
          </w:tcPr>
          <w:p w:rsidRPr="009C48DA" w:rsidR="00661519" w:rsidP="00661519" w:rsidRDefault="00661519" w14:paraId="05D179A7" w14:textId="77777777">
            <w:pPr>
              <w:tabs>
                <w:tab w:val="left" w:pos="936"/>
              </w:tabs>
              <w:ind w:right="140"/>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2021</w:t>
            </w:r>
          </w:p>
          <w:p w:rsidRPr="009C48DA" w:rsidR="00661519" w:rsidP="00661519" w:rsidRDefault="00661519" w14:paraId="5034A960" w14:textId="77777777">
            <w:pPr>
              <w:tabs>
                <w:tab w:val="left" w:pos="936"/>
              </w:tabs>
              <w:ind w:right="140"/>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2CBCFDEF" w14:textId="77777777">
        <w:tc>
          <w:tcPr>
            <w:tcW w:w="2840" w:type="dxa"/>
            <w:vAlign w:val="bottom"/>
          </w:tcPr>
          <w:p w:rsidRPr="009C48DA" w:rsidR="00661519" w:rsidP="00661519" w:rsidRDefault="00661519" w14:paraId="6EED8857" w14:textId="77777777">
            <w:pPr>
              <w:spacing w:before="12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Profit/(loss) after tax</w:t>
            </w:r>
          </w:p>
        </w:tc>
        <w:tc>
          <w:tcPr>
            <w:tcW w:w="851" w:type="dxa"/>
            <w:gridSpan w:val="2"/>
          </w:tcPr>
          <w:p w:rsidRPr="009C48DA" w:rsidR="00661519" w:rsidP="00661519" w:rsidRDefault="00661519" w14:paraId="29946FB6" w14:textId="77777777">
            <w:pPr>
              <w:spacing w:before="120"/>
              <w:ind w:right="321"/>
              <w:jc w:val="right"/>
              <w:textAlignment w:val="baseline"/>
              <w:rPr>
                <w:rFonts w:eastAsia="Times New Roman" w:cs="Times New Roman"/>
                <w:color w:val="000000"/>
                <w:sz w:val="16"/>
                <w:szCs w:val="16"/>
                <w:lang w:val="en-GB"/>
              </w:rPr>
            </w:pPr>
          </w:p>
        </w:tc>
        <w:tc>
          <w:tcPr>
            <w:tcW w:w="1077" w:type="dxa"/>
            <w:vAlign w:val="bottom"/>
          </w:tcPr>
          <w:p w:rsidRPr="009C48DA" w:rsidR="00661519" w:rsidP="00661519" w:rsidRDefault="00661519" w14:paraId="3E8E6791"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3,065</w:t>
            </w:r>
          </w:p>
        </w:tc>
        <w:tc>
          <w:tcPr>
            <w:tcW w:w="1077" w:type="dxa"/>
            <w:vAlign w:val="bottom"/>
          </w:tcPr>
          <w:p w:rsidRPr="009C48DA" w:rsidR="00661519" w:rsidP="00661519" w:rsidRDefault="00661519" w14:paraId="78280655"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41,930</w:t>
            </w:r>
          </w:p>
        </w:tc>
        <w:tc>
          <w:tcPr>
            <w:tcW w:w="1106" w:type="dxa"/>
            <w:vAlign w:val="bottom"/>
          </w:tcPr>
          <w:p w:rsidRPr="009C48DA" w:rsidR="00661519" w:rsidP="00661519" w:rsidRDefault="00661519" w14:paraId="3287D0DC"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47,671</w:t>
            </w:r>
          </w:p>
        </w:tc>
        <w:tc>
          <w:tcPr>
            <w:tcW w:w="1048" w:type="dxa"/>
            <w:vAlign w:val="bottom"/>
          </w:tcPr>
          <w:p w:rsidRPr="009C48DA" w:rsidR="00661519" w:rsidP="00661519" w:rsidRDefault="00661519" w14:paraId="1F6443A4"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(1,481)</w:t>
            </w:r>
          </w:p>
        </w:tc>
        <w:tc>
          <w:tcPr>
            <w:tcW w:w="1078" w:type="dxa"/>
            <w:vAlign w:val="bottom"/>
          </w:tcPr>
          <w:p w:rsidRPr="009C48DA" w:rsidR="00661519" w:rsidP="00661519" w:rsidRDefault="00661519" w14:paraId="6483BB80" w14:textId="77777777">
            <w:pPr>
              <w:pBdr>
                <w:bottom w:val="single" w:color="auto" w:sz="12" w:space="1"/>
              </w:pBdr>
              <w:tabs>
                <w:tab w:val="left" w:pos="936"/>
              </w:tabs>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18,672</w:t>
            </w:r>
          </w:p>
        </w:tc>
      </w:tr>
      <w:tr w:rsidRPr="009C48DA" w:rsidR="00661519" w:rsidTr="00661519" w14:paraId="67C1B859" w14:textId="77777777">
        <w:tc>
          <w:tcPr>
            <w:tcW w:w="2840" w:type="dxa"/>
            <w:vAlign w:val="bottom"/>
          </w:tcPr>
          <w:p w:rsidRPr="009C48DA" w:rsidR="00661519" w:rsidP="00661519" w:rsidRDefault="00661519" w14:paraId="69668AE5" w14:textId="77777777">
            <w:pPr>
              <w:spacing w:before="120"/>
              <w:ind w:right="72"/>
              <w:jc w:val="both"/>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Items that may be reclassified to income statement in subsequent periods:</w:t>
            </w:r>
          </w:p>
        </w:tc>
        <w:tc>
          <w:tcPr>
            <w:tcW w:w="851" w:type="dxa"/>
            <w:gridSpan w:val="2"/>
          </w:tcPr>
          <w:p w:rsidRPr="009C48DA" w:rsidR="00661519" w:rsidP="00661519" w:rsidRDefault="00661519" w14:paraId="1DEB6190" w14:textId="77777777">
            <w:pPr>
              <w:spacing w:before="120"/>
              <w:textAlignment w:val="baseline"/>
              <w:rPr>
                <w:rFonts w:eastAsia="Times New Roman" w:cs="Times New Roman"/>
                <w:color w:val="000000"/>
                <w:sz w:val="16"/>
                <w:szCs w:val="16"/>
                <w:lang w:val="en-GB"/>
              </w:rPr>
            </w:pPr>
          </w:p>
        </w:tc>
        <w:tc>
          <w:tcPr>
            <w:tcW w:w="1077" w:type="dxa"/>
            <w:vAlign w:val="bottom"/>
          </w:tcPr>
          <w:p w:rsidRPr="009C48DA" w:rsidR="00661519" w:rsidP="00661519" w:rsidRDefault="00661519" w14:paraId="6A0A9A2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077" w:type="dxa"/>
            <w:vAlign w:val="bottom"/>
          </w:tcPr>
          <w:p w:rsidRPr="009C48DA" w:rsidR="00661519" w:rsidP="00661519" w:rsidRDefault="00661519" w14:paraId="33C8463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106" w:type="dxa"/>
            <w:vAlign w:val="bottom"/>
          </w:tcPr>
          <w:p w:rsidRPr="009C48DA" w:rsidR="00661519" w:rsidP="00661519" w:rsidRDefault="00661519" w14:paraId="2539D45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048" w:type="dxa"/>
            <w:vAlign w:val="bottom"/>
          </w:tcPr>
          <w:p w:rsidRPr="009C48DA" w:rsidR="00661519" w:rsidP="00661519" w:rsidRDefault="00661519" w14:paraId="3692ED5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078" w:type="dxa"/>
            <w:vAlign w:val="bottom"/>
          </w:tcPr>
          <w:p w:rsidRPr="009C48DA" w:rsidR="00661519" w:rsidP="00661519" w:rsidRDefault="00661519" w14:paraId="3DA7C1C7" w14:textId="77777777">
            <w:pPr>
              <w:tabs>
                <w:tab w:val="left" w:pos="936"/>
              </w:tabs>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6A27E017" w14:textId="77777777">
        <w:tc>
          <w:tcPr>
            <w:tcW w:w="2840" w:type="dxa"/>
            <w:vAlign w:val="bottom"/>
          </w:tcPr>
          <w:p w:rsidRPr="009C48DA" w:rsidR="00661519" w:rsidP="00661519" w:rsidRDefault="00661519" w14:paraId="0DCA0BFF" w14:textId="77777777">
            <w:pPr>
              <w:spacing w:before="60"/>
              <w:ind w:right="324"/>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Exchange differences on translation of foreign operations</w:t>
            </w:r>
          </w:p>
        </w:tc>
        <w:tc>
          <w:tcPr>
            <w:tcW w:w="851" w:type="dxa"/>
            <w:gridSpan w:val="2"/>
          </w:tcPr>
          <w:p w:rsidRPr="009C48DA" w:rsidR="00661519" w:rsidP="00661519" w:rsidRDefault="00661519" w14:paraId="1B3AEB10" w14:textId="77777777">
            <w:pPr>
              <w:spacing w:before="60"/>
              <w:ind w:right="321"/>
              <w:jc w:val="right"/>
              <w:textAlignment w:val="baseline"/>
              <w:rPr>
                <w:rFonts w:eastAsia="Times New Roman" w:cs="Times New Roman"/>
                <w:color w:val="000000"/>
                <w:sz w:val="16"/>
                <w:szCs w:val="16"/>
                <w:lang w:val="en-GB"/>
              </w:rPr>
            </w:pPr>
          </w:p>
        </w:tc>
        <w:tc>
          <w:tcPr>
            <w:tcW w:w="1077" w:type="dxa"/>
            <w:vAlign w:val="bottom"/>
          </w:tcPr>
          <w:p w:rsidRPr="009C48DA" w:rsidR="00661519" w:rsidP="00661519" w:rsidRDefault="00661519" w14:paraId="3E588BD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354</w:t>
            </w:r>
          </w:p>
        </w:tc>
        <w:tc>
          <w:tcPr>
            <w:tcW w:w="1077" w:type="dxa"/>
            <w:vAlign w:val="bottom"/>
          </w:tcPr>
          <w:p w:rsidRPr="009C48DA" w:rsidR="00661519" w:rsidP="00661519" w:rsidRDefault="00661519" w14:paraId="65F9BEC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(3,270)</w:t>
            </w:r>
          </w:p>
        </w:tc>
        <w:tc>
          <w:tcPr>
            <w:tcW w:w="1106" w:type="dxa"/>
            <w:vAlign w:val="bottom"/>
          </w:tcPr>
          <w:p w:rsidRPr="009C48DA" w:rsidR="00661519" w:rsidP="00661519" w:rsidRDefault="00661519" w14:paraId="3919967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2,917</w:t>
            </w:r>
          </w:p>
        </w:tc>
        <w:tc>
          <w:tcPr>
            <w:tcW w:w="1048" w:type="dxa"/>
            <w:vAlign w:val="bottom"/>
          </w:tcPr>
          <w:p w:rsidRPr="009C48DA" w:rsidR="00661519" w:rsidP="00661519" w:rsidRDefault="00661519" w14:paraId="25AD29F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2,734</w:t>
            </w:r>
          </w:p>
        </w:tc>
        <w:tc>
          <w:tcPr>
            <w:tcW w:w="1078" w:type="dxa"/>
            <w:vAlign w:val="bottom"/>
          </w:tcPr>
          <w:p w:rsidRPr="009C48DA" w:rsidR="00661519" w:rsidP="00661519" w:rsidRDefault="00661519" w14:paraId="7F2FDC6B" w14:textId="77777777">
            <w:pPr>
              <w:tabs>
                <w:tab w:val="left" w:pos="936"/>
              </w:tabs>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(2,817)</w:t>
            </w:r>
          </w:p>
        </w:tc>
      </w:tr>
      <w:tr w:rsidRPr="009C48DA" w:rsidR="00661519" w:rsidTr="00661519" w14:paraId="0E0342E8" w14:textId="77777777">
        <w:tc>
          <w:tcPr>
            <w:tcW w:w="2840" w:type="dxa"/>
            <w:vAlign w:val="bottom"/>
          </w:tcPr>
          <w:p w:rsidRPr="009C48DA" w:rsidR="00661519" w:rsidP="00661519" w:rsidRDefault="00661519" w14:paraId="16CCCFDD" w14:textId="77777777">
            <w:pPr>
              <w:spacing w:before="60"/>
              <w:ind w:right="54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Change in the fair value of hedging instrument</w:t>
            </w:r>
          </w:p>
        </w:tc>
        <w:tc>
          <w:tcPr>
            <w:tcW w:w="851" w:type="dxa"/>
            <w:gridSpan w:val="2"/>
          </w:tcPr>
          <w:p w:rsidRPr="009C48DA" w:rsidR="00661519" w:rsidP="00661519" w:rsidRDefault="00661519" w14:paraId="4A4F0E47" w14:textId="77777777">
            <w:pPr>
              <w:spacing w:before="60"/>
              <w:ind w:right="321"/>
              <w:jc w:val="right"/>
              <w:textAlignment w:val="baseline"/>
              <w:rPr>
                <w:rFonts w:eastAsia="Times New Roman" w:cs="Times New Roman"/>
                <w:color w:val="000000"/>
                <w:sz w:val="16"/>
                <w:szCs w:val="16"/>
                <w:lang w:val="en-GB"/>
              </w:rPr>
            </w:pPr>
          </w:p>
        </w:tc>
        <w:tc>
          <w:tcPr>
            <w:tcW w:w="1077" w:type="dxa"/>
            <w:vAlign w:val="bottom"/>
          </w:tcPr>
          <w:p w:rsidRPr="009C48DA" w:rsidR="00661519" w:rsidP="00661519" w:rsidRDefault="00661519" w14:paraId="55E38E1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(225)</w:t>
            </w:r>
          </w:p>
        </w:tc>
        <w:tc>
          <w:tcPr>
            <w:tcW w:w="1077" w:type="dxa"/>
            <w:vAlign w:val="bottom"/>
          </w:tcPr>
          <w:p w:rsidRPr="009C48DA" w:rsidR="00661519" w:rsidP="00661519" w:rsidRDefault="00661519" w14:paraId="15CEC91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4,025</w:t>
            </w:r>
          </w:p>
        </w:tc>
        <w:tc>
          <w:tcPr>
            <w:tcW w:w="1106" w:type="dxa"/>
            <w:vAlign w:val="bottom"/>
          </w:tcPr>
          <w:p w:rsidRPr="009C48DA" w:rsidR="00661519" w:rsidP="00661519" w:rsidRDefault="00661519" w14:paraId="3905752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(4,859)</w:t>
            </w:r>
          </w:p>
        </w:tc>
        <w:tc>
          <w:tcPr>
            <w:tcW w:w="1048" w:type="dxa"/>
            <w:vAlign w:val="bottom"/>
          </w:tcPr>
          <w:p w:rsidRPr="009C48DA" w:rsidR="00661519" w:rsidP="00661519" w:rsidRDefault="00661519" w14:paraId="216C7EC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(5,514)</w:t>
            </w:r>
          </w:p>
        </w:tc>
        <w:tc>
          <w:tcPr>
            <w:tcW w:w="1078" w:type="dxa"/>
            <w:vAlign w:val="bottom"/>
          </w:tcPr>
          <w:p w:rsidRPr="009C48DA" w:rsidR="00661519" w:rsidP="00661519" w:rsidRDefault="00661519" w14:paraId="5A47C2A6" w14:textId="77777777">
            <w:pPr>
              <w:tabs>
                <w:tab w:val="left" w:pos="936"/>
              </w:tabs>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8,961</w:t>
            </w:r>
          </w:p>
        </w:tc>
      </w:tr>
      <w:tr w:rsidRPr="009C48DA" w:rsidR="00661519" w:rsidTr="00661519" w14:paraId="4D679DF1" w14:textId="77777777">
        <w:tc>
          <w:tcPr>
            <w:tcW w:w="2840" w:type="dxa"/>
            <w:vAlign w:val="bottom"/>
          </w:tcPr>
          <w:p w:rsidRPr="009C48DA" w:rsidR="00661519" w:rsidP="00661519" w:rsidRDefault="00661519" w14:paraId="2E2A87A3"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Reclassifications to income statement</w:t>
            </w:r>
          </w:p>
        </w:tc>
        <w:tc>
          <w:tcPr>
            <w:tcW w:w="851" w:type="dxa"/>
            <w:gridSpan w:val="2"/>
          </w:tcPr>
          <w:p w:rsidRPr="009C48DA" w:rsidR="00661519" w:rsidP="00661519" w:rsidRDefault="00661519" w14:paraId="30A24B63" w14:textId="77777777">
            <w:pPr>
              <w:spacing w:before="60"/>
              <w:ind w:right="321"/>
              <w:jc w:val="right"/>
              <w:textAlignment w:val="baseline"/>
              <w:rPr>
                <w:rFonts w:eastAsia="Times New Roman" w:cs="Times New Roman"/>
                <w:color w:val="000000"/>
                <w:sz w:val="16"/>
                <w:szCs w:val="16"/>
                <w:lang w:val="en-GB"/>
              </w:rPr>
            </w:pPr>
          </w:p>
        </w:tc>
        <w:tc>
          <w:tcPr>
            <w:tcW w:w="1077" w:type="dxa"/>
            <w:vAlign w:val="bottom"/>
          </w:tcPr>
          <w:p w:rsidRPr="009C48DA" w:rsidR="00661519" w:rsidP="00661519" w:rsidRDefault="00661519" w14:paraId="5D32E04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3,001</w:t>
            </w:r>
          </w:p>
        </w:tc>
        <w:tc>
          <w:tcPr>
            <w:tcW w:w="1077" w:type="dxa"/>
            <w:vAlign w:val="bottom"/>
          </w:tcPr>
          <w:p w:rsidRPr="009C48DA" w:rsidR="00661519" w:rsidP="00661519" w:rsidRDefault="00661519" w14:paraId="03D27F9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3,712</w:t>
            </w:r>
          </w:p>
        </w:tc>
        <w:tc>
          <w:tcPr>
            <w:tcW w:w="1106" w:type="dxa"/>
            <w:vAlign w:val="bottom"/>
          </w:tcPr>
          <w:p w:rsidRPr="009C48DA" w:rsidR="00661519" w:rsidP="00661519" w:rsidRDefault="00661519" w14:paraId="3D75E3D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(1,379)</w:t>
            </w:r>
          </w:p>
        </w:tc>
        <w:tc>
          <w:tcPr>
            <w:tcW w:w="1048" w:type="dxa"/>
            <w:vAlign w:val="bottom"/>
          </w:tcPr>
          <w:p w:rsidRPr="009C48DA" w:rsidR="00661519" w:rsidP="00661519" w:rsidRDefault="00661519" w14:paraId="6EB20E4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(897)</w:t>
            </w:r>
          </w:p>
        </w:tc>
        <w:tc>
          <w:tcPr>
            <w:tcW w:w="1078" w:type="dxa"/>
            <w:vAlign w:val="bottom"/>
          </w:tcPr>
          <w:p w:rsidRPr="009C48DA" w:rsidR="00661519" w:rsidP="00661519" w:rsidRDefault="00661519" w14:paraId="3FDAF14B" w14:textId="77777777">
            <w:pPr>
              <w:tabs>
                <w:tab w:val="left" w:pos="936"/>
              </w:tabs>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1,110</w:t>
            </w:r>
          </w:p>
        </w:tc>
      </w:tr>
      <w:tr w:rsidRPr="009C48DA" w:rsidR="00661519" w:rsidTr="00661519" w14:paraId="7A026322" w14:textId="77777777">
        <w:tc>
          <w:tcPr>
            <w:tcW w:w="2840" w:type="dxa"/>
            <w:vAlign w:val="bottom"/>
          </w:tcPr>
          <w:p w:rsidRPr="009C48DA" w:rsidR="00661519" w:rsidP="00661519" w:rsidRDefault="00661519" w14:paraId="1B22FC45"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Total tax on components of other comprehensive income/(expense)</w:t>
            </w:r>
          </w:p>
        </w:tc>
        <w:tc>
          <w:tcPr>
            <w:tcW w:w="851" w:type="dxa"/>
            <w:gridSpan w:val="2"/>
            <w:vAlign w:val="bottom"/>
          </w:tcPr>
          <w:p w:rsidRPr="009C48DA" w:rsidR="00661519" w:rsidP="00661519" w:rsidRDefault="00661519" w14:paraId="2834B51D" w14:textId="77777777">
            <w:pPr>
              <w:spacing w:before="60"/>
              <w:ind w:right="32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 (c)</w:t>
            </w:r>
          </w:p>
        </w:tc>
        <w:tc>
          <w:tcPr>
            <w:tcW w:w="1077" w:type="dxa"/>
            <w:vAlign w:val="bottom"/>
          </w:tcPr>
          <w:p w:rsidRPr="009C48DA" w:rsidR="00661519" w:rsidP="00661519" w:rsidRDefault="00661519" w14:paraId="0914EF68"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(527)</w:t>
            </w:r>
          </w:p>
        </w:tc>
        <w:tc>
          <w:tcPr>
            <w:tcW w:w="1077" w:type="dxa"/>
            <w:vAlign w:val="bottom"/>
          </w:tcPr>
          <w:p w:rsidRPr="009C48DA" w:rsidR="00661519" w:rsidP="00661519" w:rsidRDefault="00661519" w14:paraId="03312268"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(1,417)</w:t>
            </w:r>
          </w:p>
        </w:tc>
        <w:tc>
          <w:tcPr>
            <w:tcW w:w="1106" w:type="dxa"/>
            <w:vAlign w:val="bottom"/>
          </w:tcPr>
          <w:p w:rsidRPr="009C48DA" w:rsidR="00661519" w:rsidP="00661519" w:rsidRDefault="00661519" w14:paraId="0F01970C"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915</w:t>
            </w:r>
          </w:p>
        </w:tc>
        <w:tc>
          <w:tcPr>
            <w:tcW w:w="1048" w:type="dxa"/>
            <w:vAlign w:val="bottom"/>
          </w:tcPr>
          <w:p w:rsidRPr="009C48DA" w:rsidR="00661519" w:rsidP="00661519" w:rsidRDefault="00661519" w14:paraId="4B0C61BB"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1,320</w:t>
            </w:r>
          </w:p>
        </w:tc>
        <w:tc>
          <w:tcPr>
            <w:tcW w:w="1078" w:type="dxa"/>
            <w:vAlign w:val="bottom"/>
          </w:tcPr>
          <w:p w:rsidRPr="009C48DA" w:rsidR="00661519" w:rsidP="00661519" w:rsidRDefault="00661519" w14:paraId="350E2085" w14:textId="77777777">
            <w:pPr>
              <w:pBdr>
                <w:bottom w:val="single" w:color="auto" w:sz="12" w:space="1"/>
              </w:pBdr>
              <w:tabs>
                <w:tab w:val="left" w:pos="936"/>
              </w:tabs>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(2,097)</w:t>
            </w:r>
          </w:p>
        </w:tc>
      </w:tr>
      <w:tr w:rsidRPr="009C48DA" w:rsidR="00661519" w:rsidTr="00661519" w14:paraId="5D68F17B" w14:textId="77777777">
        <w:tc>
          <w:tcPr>
            <w:tcW w:w="2840" w:type="dxa"/>
            <w:vAlign w:val="bottom"/>
          </w:tcPr>
          <w:p w:rsidRPr="009C48DA" w:rsidR="00661519" w:rsidP="00661519" w:rsidRDefault="00661519" w14:paraId="48A200DE"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851" w:type="dxa"/>
            <w:gridSpan w:val="2"/>
          </w:tcPr>
          <w:p w:rsidRPr="009C48DA" w:rsidR="00661519" w:rsidP="00661519" w:rsidRDefault="00661519" w14:paraId="0A0825AF" w14:textId="77777777">
            <w:pPr>
              <w:spacing w:before="60"/>
              <w:ind w:right="321"/>
              <w:jc w:val="right"/>
              <w:textAlignment w:val="baseline"/>
              <w:rPr>
                <w:rFonts w:eastAsia="Times New Roman" w:cs="Times New Roman"/>
                <w:color w:val="000000"/>
                <w:sz w:val="16"/>
                <w:szCs w:val="16"/>
                <w:lang w:val="en-GB"/>
              </w:rPr>
            </w:pPr>
          </w:p>
        </w:tc>
        <w:tc>
          <w:tcPr>
            <w:tcW w:w="1077" w:type="dxa"/>
            <w:vAlign w:val="bottom"/>
          </w:tcPr>
          <w:p w:rsidRPr="009C48DA" w:rsidR="00661519" w:rsidP="00661519" w:rsidRDefault="00661519" w14:paraId="759A66AA"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2,603</w:t>
            </w:r>
          </w:p>
        </w:tc>
        <w:tc>
          <w:tcPr>
            <w:tcW w:w="1077" w:type="dxa"/>
            <w:vAlign w:val="bottom"/>
          </w:tcPr>
          <w:p w:rsidRPr="009C48DA" w:rsidR="00661519" w:rsidP="00661519" w:rsidRDefault="00661519" w14:paraId="3F617B86"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3,050</w:t>
            </w:r>
          </w:p>
        </w:tc>
        <w:tc>
          <w:tcPr>
            <w:tcW w:w="1106" w:type="dxa"/>
            <w:vAlign w:val="bottom"/>
          </w:tcPr>
          <w:p w:rsidRPr="009C48DA" w:rsidR="00661519" w:rsidP="00661519" w:rsidRDefault="00661519" w14:paraId="19CC8F96"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(2,406)</w:t>
            </w:r>
          </w:p>
        </w:tc>
        <w:tc>
          <w:tcPr>
            <w:tcW w:w="1048" w:type="dxa"/>
            <w:vAlign w:val="bottom"/>
          </w:tcPr>
          <w:p w:rsidRPr="009C48DA" w:rsidR="00661519" w:rsidP="00661519" w:rsidRDefault="00661519" w14:paraId="57AD210B"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(2,357)</w:t>
            </w:r>
          </w:p>
        </w:tc>
        <w:tc>
          <w:tcPr>
            <w:tcW w:w="1078" w:type="dxa"/>
            <w:vAlign w:val="bottom"/>
          </w:tcPr>
          <w:p w:rsidRPr="009C48DA" w:rsidR="00661519" w:rsidP="00661519" w:rsidRDefault="00661519" w14:paraId="27D97BA3" w14:textId="77777777">
            <w:pPr>
              <w:pBdr>
                <w:bottom w:val="single" w:color="auto" w:sz="12" w:space="1"/>
              </w:pBdr>
              <w:tabs>
                <w:tab w:val="left" w:pos="936"/>
              </w:tabs>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5,157</w:t>
            </w:r>
          </w:p>
        </w:tc>
      </w:tr>
      <w:tr w:rsidRPr="009C48DA" w:rsidR="00661519" w:rsidTr="00661519" w14:paraId="2B649190" w14:textId="77777777">
        <w:tc>
          <w:tcPr>
            <w:tcW w:w="3119" w:type="dxa"/>
            <w:gridSpan w:val="2"/>
            <w:vAlign w:val="bottom"/>
          </w:tcPr>
          <w:p w:rsidRPr="009C48DA" w:rsidR="00661519" w:rsidP="00661519" w:rsidRDefault="00661519" w14:paraId="1E04F0A6" w14:textId="77777777">
            <w:pPr>
              <w:spacing w:before="120"/>
              <w:ind w:right="3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comprehensive income/(expense) for the year, net of tax</w:t>
            </w:r>
          </w:p>
        </w:tc>
        <w:tc>
          <w:tcPr>
            <w:tcW w:w="572" w:type="dxa"/>
          </w:tcPr>
          <w:p w:rsidRPr="009C48DA" w:rsidR="00661519" w:rsidP="00661519" w:rsidRDefault="00661519" w14:paraId="3E90D889" w14:textId="77777777">
            <w:pPr>
              <w:spacing w:before="120"/>
              <w:ind w:right="321"/>
              <w:jc w:val="right"/>
              <w:textAlignment w:val="baseline"/>
              <w:rPr>
                <w:rFonts w:eastAsia="Times New Roman" w:cs="Times New Roman"/>
                <w:color w:val="000000"/>
                <w:sz w:val="16"/>
                <w:szCs w:val="16"/>
                <w:lang w:val="en-GB"/>
              </w:rPr>
            </w:pPr>
          </w:p>
        </w:tc>
        <w:tc>
          <w:tcPr>
            <w:tcW w:w="1077" w:type="dxa"/>
            <w:vAlign w:val="bottom"/>
          </w:tcPr>
          <w:p w:rsidRPr="009C48DA" w:rsidR="00661519" w:rsidP="00661519" w:rsidRDefault="00661519" w14:paraId="55CFDD81"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5,668</w:t>
            </w:r>
          </w:p>
        </w:tc>
        <w:tc>
          <w:tcPr>
            <w:tcW w:w="1077" w:type="dxa"/>
            <w:vAlign w:val="bottom"/>
          </w:tcPr>
          <w:p w:rsidRPr="009C48DA" w:rsidR="00661519" w:rsidP="00661519" w:rsidRDefault="00661519" w14:paraId="2271809F"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44,980</w:t>
            </w:r>
          </w:p>
        </w:tc>
        <w:tc>
          <w:tcPr>
            <w:tcW w:w="1106" w:type="dxa"/>
            <w:vAlign w:val="bottom"/>
          </w:tcPr>
          <w:p w:rsidRPr="009C48DA" w:rsidR="00661519" w:rsidP="00661519" w:rsidRDefault="00661519" w14:paraId="776016AB"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45,265</w:t>
            </w:r>
          </w:p>
        </w:tc>
        <w:tc>
          <w:tcPr>
            <w:tcW w:w="1048" w:type="dxa"/>
            <w:vAlign w:val="bottom"/>
          </w:tcPr>
          <w:p w:rsidRPr="009C48DA" w:rsidR="00661519" w:rsidP="00661519" w:rsidRDefault="00661519" w14:paraId="3C52A631"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(3,838)</w:t>
            </w:r>
          </w:p>
        </w:tc>
        <w:tc>
          <w:tcPr>
            <w:tcW w:w="1078" w:type="dxa"/>
            <w:vAlign w:val="bottom"/>
          </w:tcPr>
          <w:p w:rsidRPr="009C48DA" w:rsidR="00661519" w:rsidP="00661519" w:rsidRDefault="00661519" w14:paraId="49BE7A3F" w14:textId="77777777">
            <w:pPr>
              <w:pBdr>
                <w:bottom w:val="double" w:color="auto" w:sz="12" w:space="1"/>
              </w:pBdr>
              <w:tabs>
                <w:tab w:val="left" w:pos="936"/>
              </w:tabs>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23,829</w:t>
            </w:r>
          </w:p>
        </w:tc>
      </w:tr>
      <w:tr w:rsidRPr="009C48DA" w:rsidR="00661519" w:rsidTr="00661519" w14:paraId="71268586" w14:textId="77777777">
        <w:tc>
          <w:tcPr>
            <w:tcW w:w="2840" w:type="dxa"/>
            <w:vAlign w:val="bottom"/>
          </w:tcPr>
          <w:p w:rsidRPr="009C48DA" w:rsidR="00661519" w:rsidP="00661519" w:rsidRDefault="00661519" w14:paraId="4C311083" w14:textId="77777777">
            <w:pPr>
              <w:spacing w:before="12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Total comprehensive income/(expense) </w:t>
            </w:r>
            <w:r w:rsidRPr="009C48DA">
              <w:rPr>
                <w:rFonts w:eastAsia="Times New Roman" w:cs="Times New Roman"/>
                <w:b/>
                <w:color w:val="000000"/>
                <w:sz w:val="16"/>
                <w:szCs w:val="16"/>
                <w:lang w:val="en-GB"/>
              </w:rPr>
              <w:br/>
              <w:t>attributable to:</w:t>
            </w:r>
          </w:p>
        </w:tc>
        <w:tc>
          <w:tcPr>
            <w:tcW w:w="851" w:type="dxa"/>
            <w:gridSpan w:val="2"/>
          </w:tcPr>
          <w:p w:rsidRPr="009C48DA" w:rsidR="00661519" w:rsidP="00661519" w:rsidRDefault="00661519" w14:paraId="11534B35" w14:textId="77777777">
            <w:pPr>
              <w:spacing w:before="120"/>
              <w:textAlignment w:val="baseline"/>
              <w:rPr>
                <w:rFonts w:eastAsia="Times New Roman" w:cs="Times New Roman"/>
                <w:color w:val="000000"/>
                <w:sz w:val="16"/>
                <w:szCs w:val="16"/>
                <w:lang w:val="en-GB"/>
              </w:rPr>
            </w:pPr>
          </w:p>
        </w:tc>
        <w:tc>
          <w:tcPr>
            <w:tcW w:w="1077" w:type="dxa"/>
            <w:vAlign w:val="bottom"/>
          </w:tcPr>
          <w:p w:rsidRPr="009C48DA" w:rsidR="00661519" w:rsidP="00661519" w:rsidRDefault="00661519" w14:paraId="4378ED0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077" w:type="dxa"/>
            <w:vAlign w:val="bottom"/>
          </w:tcPr>
          <w:p w:rsidRPr="009C48DA" w:rsidR="00661519" w:rsidP="00661519" w:rsidRDefault="00661519" w14:paraId="1129BE9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106" w:type="dxa"/>
            <w:vAlign w:val="bottom"/>
          </w:tcPr>
          <w:p w:rsidRPr="009C48DA" w:rsidR="00661519" w:rsidP="00661519" w:rsidRDefault="00661519" w14:paraId="0980B42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048" w:type="dxa"/>
            <w:vAlign w:val="bottom"/>
          </w:tcPr>
          <w:p w:rsidRPr="009C48DA" w:rsidR="00661519" w:rsidP="00661519" w:rsidRDefault="00661519" w14:paraId="298B9F6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078" w:type="dxa"/>
            <w:vAlign w:val="bottom"/>
          </w:tcPr>
          <w:p w:rsidRPr="009C48DA" w:rsidR="00661519" w:rsidP="00661519" w:rsidRDefault="00661519" w14:paraId="6C6EC91E" w14:textId="77777777">
            <w:pPr>
              <w:tabs>
                <w:tab w:val="left" w:pos="936"/>
              </w:tabs>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40899DBC" w14:textId="77777777">
        <w:tc>
          <w:tcPr>
            <w:tcW w:w="2840" w:type="dxa"/>
            <w:vAlign w:val="bottom"/>
          </w:tcPr>
          <w:p w:rsidRPr="009C48DA" w:rsidR="00661519" w:rsidP="00661519" w:rsidRDefault="00661519" w14:paraId="6DDD48CF"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Equity shareholders of the Company</w:t>
            </w:r>
          </w:p>
        </w:tc>
        <w:tc>
          <w:tcPr>
            <w:tcW w:w="851" w:type="dxa"/>
            <w:gridSpan w:val="2"/>
          </w:tcPr>
          <w:p w:rsidRPr="009C48DA" w:rsidR="00661519" w:rsidP="00661519" w:rsidRDefault="00661519" w14:paraId="5D3F1306" w14:textId="77777777">
            <w:pPr>
              <w:spacing w:before="60"/>
              <w:ind w:right="321"/>
              <w:jc w:val="right"/>
              <w:textAlignment w:val="baseline"/>
              <w:rPr>
                <w:rFonts w:eastAsia="Times New Roman" w:cs="Times New Roman"/>
                <w:color w:val="000000"/>
                <w:sz w:val="16"/>
                <w:szCs w:val="16"/>
                <w:lang w:val="en-GB"/>
              </w:rPr>
            </w:pPr>
          </w:p>
        </w:tc>
        <w:tc>
          <w:tcPr>
            <w:tcW w:w="1077" w:type="dxa"/>
            <w:vAlign w:val="bottom"/>
          </w:tcPr>
          <w:p w:rsidRPr="009C48DA" w:rsidR="00661519" w:rsidP="00661519" w:rsidRDefault="00661519" w14:paraId="57C9C7B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(2,634)</w:t>
            </w:r>
          </w:p>
        </w:tc>
        <w:tc>
          <w:tcPr>
            <w:tcW w:w="1077" w:type="dxa"/>
            <w:vAlign w:val="bottom"/>
          </w:tcPr>
          <w:p w:rsidRPr="009C48DA" w:rsidR="00661519" w:rsidP="00661519" w:rsidRDefault="00661519" w14:paraId="72FE841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31,845</w:t>
            </w:r>
          </w:p>
        </w:tc>
        <w:tc>
          <w:tcPr>
            <w:tcW w:w="1106" w:type="dxa"/>
            <w:vAlign w:val="bottom"/>
          </w:tcPr>
          <w:p w:rsidRPr="009C48DA" w:rsidR="00661519" w:rsidP="00661519" w:rsidRDefault="00661519" w14:paraId="291EB92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34,609</w:t>
            </w:r>
          </w:p>
        </w:tc>
        <w:tc>
          <w:tcPr>
            <w:tcW w:w="1048" w:type="dxa"/>
            <w:vAlign w:val="bottom"/>
          </w:tcPr>
          <w:p w:rsidRPr="009C48DA" w:rsidR="00661519" w:rsidP="00661519" w:rsidRDefault="00661519" w14:paraId="1AB0FF2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813</w:t>
            </w:r>
          </w:p>
        </w:tc>
        <w:tc>
          <w:tcPr>
            <w:tcW w:w="1078" w:type="dxa"/>
            <w:vAlign w:val="bottom"/>
          </w:tcPr>
          <w:p w:rsidRPr="009C48DA" w:rsidR="00661519" w:rsidP="00661519" w:rsidRDefault="00661519" w14:paraId="133A5989" w14:textId="77777777">
            <w:pPr>
              <w:tabs>
                <w:tab w:val="left" w:pos="936"/>
              </w:tabs>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18,460</w:t>
            </w:r>
          </w:p>
        </w:tc>
      </w:tr>
      <w:tr w:rsidRPr="009C48DA" w:rsidR="00661519" w:rsidTr="00661519" w14:paraId="4D8368EF" w14:textId="77777777">
        <w:tc>
          <w:tcPr>
            <w:tcW w:w="2840" w:type="dxa"/>
            <w:vAlign w:val="bottom"/>
          </w:tcPr>
          <w:p w:rsidRPr="009C48DA" w:rsidR="00661519" w:rsidP="00661519" w:rsidRDefault="00661519" w14:paraId="7A74FB47"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Non-controlling interests</w:t>
            </w:r>
          </w:p>
        </w:tc>
        <w:tc>
          <w:tcPr>
            <w:tcW w:w="851" w:type="dxa"/>
            <w:gridSpan w:val="2"/>
          </w:tcPr>
          <w:p w:rsidRPr="009C48DA" w:rsidR="00661519" w:rsidP="00661519" w:rsidRDefault="00661519" w14:paraId="74D8C5A8" w14:textId="77777777">
            <w:pPr>
              <w:spacing w:before="60"/>
              <w:ind w:right="32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 (f)</w:t>
            </w:r>
          </w:p>
        </w:tc>
        <w:tc>
          <w:tcPr>
            <w:tcW w:w="1077" w:type="dxa"/>
            <w:vAlign w:val="bottom"/>
          </w:tcPr>
          <w:p w:rsidRPr="009C48DA" w:rsidR="00661519" w:rsidP="00661519" w:rsidRDefault="00661519" w14:paraId="3B23A967"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8,302</w:t>
            </w:r>
          </w:p>
        </w:tc>
        <w:tc>
          <w:tcPr>
            <w:tcW w:w="1077" w:type="dxa"/>
            <w:vAlign w:val="bottom"/>
          </w:tcPr>
          <w:p w:rsidRPr="009C48DA" w:rsidR="00661519" w:rsidP="00661519" w:rsidRDefault="00661519" w14:paraId="6226B97F"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13,135</w:t>
            </w:r>
          </w:p>
        </w:tc>
        <w:tc>
          <w:tcPr>
            <w:tcW w:w="1106" w:type="dxa"/>
            <w:vAlign w:val="bottom"/>
          </w:tcPr>
          <w:p w:rsidRPr="009C48DA" w:rsidR="00661519" w:rsidP="00661519" w:rsidRDefault="00661519" w14:paraId="02A71841"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10,656</w:t>
            </w:r>
          </w:p>
        </w:tc>
        <w:tc>
          <w:tcPr>
            <w:tcW w:w="1048" w:type="dxa"/>
            <w:vAlign w:val="bottom"/>
          </w:tcPr>
          <w:p w:rsidRPr="009C48DA" w:rsidR="00661519" w:rsidP="00661519" w:rsidRDefault="00661519" w14:paraId="5F5A244B"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(4,651)</w:t>
            </w:r>
          </w:p>
        </w:tc>
        <w:tc>
          <w:tcPr>
            <w:tcW w:w="1078" w:type="dxa"/>
            <w:vAlign w:val="bottom"/>
          </w:tcPr>
          <w:p w:rsidRPr="009C48DA" w:rsidR="00661519" w:rsidP="00661519" w:rsidRDefault="00661519" w14:paraId="202F314F" w14:textId="77777777">
            <w:pPr>
              <w:pBdr>
                <w:bottom w:val="single" w:color="auto" w:sz="12" w:space="1"/>
              </w:pBdr>
              <w:tabs>
                <w:tab w:val="left" w:pos="936"/>
              </w:tabs>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5,369</w:t>
            </w:r>
          </w:p>
        </w:tc>
      </w:tr>
      <w:tr w:rsidRPr="009C48DA" w:rsidR="00661519" w:rsidTr="00661519" w14:paraId="4ED84DCF" w14:textId="77777777">
        <w:tc>
          <w:tcPr>
            <w:tcW w:w="2840" w:type="dxa"/>
            <w:vAlign w:val="bottom"/>
          </w:tcPr>
          <w:p w:rsidRPr="009C48DA" w:rsidR="00661519" w:rsidP="00661519" w:rsidRDefault="00661519" w14:paraId="455D6C5F"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851" w:type="dxa"/>
            <w:gridSpan w:val="2"/>
          </w:tcPr>
          <w:p w:rsidRPr="009C48DA" w:rsidR="00661519" w:rsidP="00661519" w:rsidRDefault="00661519" w14:paraId="2C13404B" w14:textId="77777777">
            <w:pPr>
              <w:spacing w:before="60"/>
              <w:ind w:right="321"/>
              <w:jc w:val="right"/>
              <w:textAlignment w:val="baseline"/>
              <w:rPr>
                <w:rFonts w:eastAsia="Times New Roman" w:cs="Times New Roman"/>
                <w:color w:val="000000"/>
                <w:sz w:val="16"/>
                <w:szCs w:val="16"/>
                <w:lang w:val="en-GB"/>
              </w:rPr>
            </w:pPr>
          </w:p>
        </w:tc>
        <w:tc>
          <w:tcPr>
            <w:tcW w:w="1077" w:type="dxa"/>
            <w:vAlign w:val="bottom"/>
          </w:tcPr>
          <w:p w:rsidRPr="009C48DA" w:rsidR="00661519" w:rsidP="00661519" w:rsidRDefault="00661519" w14:paraId="79965788" w14:textId="77777777">
            <w:pPr>
              <w:pBdr>
                <w:bottom w:val="double" w:color="auto" w:sz="12" w:space="1"/>
                <w:bar w:val="double" w:color="auto" w:sz="12"/>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5,668</w:t>
            </w:r>
          </w:p>
        </w:tc>
        <w:tc>
          <w:tcPr>
            <w:tcW w:w="1077" w:type="dxa"/>
            <w:vAlign w:val="bottom"/>
          </w:tcPr>
          <w:p w:rsidRPr="009C48DA" w:rsidR="00661519" w:rsidP="00661519" w:rsidRDefault="00661519" w14:paraId="17A8F7E4" w14:textId="77777777">
            <w:pPr>
              <w:pBdr>
                <w:bottom w:val="double" w:color="auto" w:sz="12" w:space="1"/>
                <w:bar w:val="double" w:color="auto" w:sz="12"/>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44,980</w:t>
            </w:r>
          </w:p>
        </w:tc>
        <w:tc>
          <w:tcPr>
            <w:tcW w:w="1106" w:type="dxa"/>
            <w:vAlign w:val="bottom"/>
          </w:tcPr>
          <w:p w:rsidRPr="009C48DA" w:rsidR="00661519" w:rsidP="00661519" w:rsidRDefault="00661519" w14:paraId="483AA67E" w14:textId="77777777">
            <w:pPr>
              <w:pBdr>
                <w:bottom w:val="double" w:color="auto" w:sz="12" w:space="1"/>
                <w:bar w:val="double" w:color="auto" w:sz="12"/>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45,265</w:t>
            </w:r>
          </w:p>
        </w:tc>
        <w:tc>
          <w:tcPr>
            <w:tcW w:w="1048" w:type="dxa"/>
            <w:vAlign w:val="bottom"/>
          </w:tcPr>
          <w:p w:rsidRPr="009C48DA" w:rsidR="00661519" w:rsidP="00661519" w:rsidRDefault="00661519" w14:paraId="0D120040" w14:textId="77777777">
            <w:pPr>
              <w:pBdr>
                <w:bottom w:val="double" w:color="auto" w:sz="12" w:space="1"/>
                <w:bar w:val="double" w:color="auto" w:sz="12"/>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(3,838)</w:t>
            </w:r>
          </w:p>
        </w:tc>
        <w:tc>
          <w:tcPr>
            <w:tcW w:w="1078" w:type="dxa"/>
            <w:vAlign w:val="bottom"/>
          </w:tcPr>
          <w:p w:rsidRPr="009C48DA" w:rsidR="00661519" w:rsidP="00661519" w:rsidRDefault="00661519" w14:paraId="06A04DE0" w14:textId="77777777">
            <w:pPr>
              <w:pBdr>
                <w:bottom w:val="double" w:color="auto" w:sz="12" w:space="1"/>
                <w:bar w:val="double" w:color="auto" w:sz="12"/>
              </w:pBdr>
              <w:tabs>
                <w:tab w:val="left" w:pos="936"/>
              </w:tabs>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23,829</w:t>
            </w:r>
          </w:p>
        </w:tc>
      </w:tr>
    </w:tbl>
    <w:p w:rsidRPr="009C48DA" w:rsidR="00661519" w:rsidP="00661519" w:rsidRDefault="00661519" w14:paraId="5B2DEA52" w14:textId="77777777">
      <w:pPr>
        <w:rPr>
          <w:rFonts w:eastAsia="Times New Roman" w:cs="Times New Roman"/>
          <w:b/>
          <w:color w:val="000000"/>
          <w:sz w:val="24"/>
          <w:szCs w:val="22"/>
          <w:lang w:val="en-GB"/>
        </w:rPr>
        <w:sectPr w:rsidRPr="009C48DA" w:rsidR="00661519" w:rsidSect="00661519">
          <w:headerReference w:type="default" r:id="rId69"/>
          <w:pgSz w:w="11909" w:h="16838"/>
          <w:pgMar w:top="1440" w:right="1440" w:bottom="1440" w:left="1440" w:header="720" w:footer="720" w:gutter="0"/>
          <w:cols w:space="720"/>
          <w:docGrid w:linePitch="299"/>
        </w:sectPr>
      </w:pPr>
    </w:p>
    <w:tbl>
      <w:tblPr>
        <w:tblW w:w="9060" w:type="dxa"/>
        <w:tblLayout w:type="fixed"/>
        <w:tblCellMar>
          <w:left w:w="0" w:type="dxa"/>
          <w:right w:w="0" w:type="dxa"/>
        </w:tblCellMar>
        <w:tblLook w:val="04A0" w:firstRow="1" w:lastRow="0" w:firstColumn="1" w:lastColumn="0" w:noHBand="0" w:noVBand="1"/>
      </w:tblPr>
      <w:tblGrid>
        <w:gridCol w:w="3027"/>
        <w:gridCol w:w="922"/>
        <w:gridCol w:w="1277"/>
        <w:gridCol w:w="1278"/>
        <w:gridCol w:w="1278"/>
        <w:gridCol w:w="1278"/>
      </w:tblGrid>
      <w:tr w:rsidRPr="009C48DA" w:rsidR="00661519" w:rsidTr="00661519" w14:paraId="53B8136F" w14:textId="77777777">
        <w:trPr>
          <w:tblHeader/>
        </w:trPr>
        <w:tc>
          <w:tcPr>
            <w:tcW w:w="3027" w:type="dxa"/>
            <w:vMerge w:val="restart"/>
            <w:tcMar>
              <w:left w:w="108" w:type="dxa"/>
              <w:right w:w="108" w:type="dxa"/>
            </w:tcMar>
            <w:vAlign w:val="bottom"/>
          </w:tcPr>
          <w:p w:rsidRPr="009C48DA" w:rsidR="00661519" w:rsidP="00661519" w:rsidRDefault="00661519" w14:paraId="0B8329C1" w14:textId="77777777">
            <w:pPr>
              <w:textAlignment w:val="baseline"/>
              <w:rPr>
                <w:rFonts w:eastAsia="Times New Roman" w:cs="Times New Roman"/>
                <w:b/>
                <w:color w:val="000000"/>
                <w:sz w:val="16"/>
                <w:szCs w:val="16"/>
                <w:lang w:val="en-GB"/>
              </w:rPr>
            </w:pPr>
          </w:p>
        </w:tc>
        <w:tc>
          <w:tcPr>
            <w:tcW w:w="922" w:type="dxa"/>
            <w:tcMar>
              <w:left w:w="108" w:type="dxa"/>
              <w:right w:w="108" w:type="dxa"/>
            </w:tcMar>
            <w:vAlign w:val="bottom"/>
          </w:tcPr>
          <w:p w:rsidRPr="009C48DA" w:rsidR="00661519" w:rsidP="00661519" w:rsidRDefault="00661519" w14:paraId="41E57C0C" w14:textId="77777777">
            <w:pPr>
              <w:jc w:val="center"/>
              <w:textAlignment w:val="baseline"/>
              <w:rPr>
                <w:rFonts w:eastAsia="Times New Roman" w:cs="Times New Roman"/>
                <w:color w:val="000000"/>
                <w:sz w:val="16"/>
                <w:szCs w:val="16"/>
                <w:lang w:val="en-GB"/>
              </w:rPr>
            </w:pPr>
          </w:p>
        </w:tc>
        <w:tc>
          <w:tcPr>
            <w:tcW w:w="3833" w:type="dxa"/>
            <w:gridSpan w:val="3"/>
            <w:tcMar>
              <w:left w:w="108" w:type="dxa"/>
              <w:right w:w="108" w:type="dxa"/>
            </w:tcMar>
            <w:vAlign w:val="bottom"/>
          </w:tcPr>
          <w:p w:rsidRPr="009C48DA" w:rsidR="00661519" w:rsidP="00661519" w:rsidRDefault="00661519" w14:paraId="1BD4B546" w14:textId="77777777">
            <w:pPr>
              <w:pBdr>
                <w:bottom w:val="single" w:color="auto" w:sz="18" w:space="1"/>
              </w:pBdr>
              <w:jc w:val="cente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31 December</w:t>
            </w:r>
          </w:p>
        </w:tc>
        <w:tc>
          <w:tcPr>
            <w:tcW w:w="1278" w:type="dxa"/>
            <w:tcMar>
              <w:left w:w="108" w:type="dxa"/>
              <w:right w:w="108" w:type="dxa"/>
            </w:tcMar>
            <w:vAlign w:val="bottom"/>
          </w:tcPr>
          <w:p w:rsidRPr="009C48DA" w:rsidR="00661519" w:rsidP="00661519" w:rsidRDefault="00661519" w14:paraId="4A3AFAE6" w14:textId="77777777">
            <w:pPr>
              <w:pBdr>
                <w:bottom w:val="single" w:color="auto" w:sz="18" w:space="1"/>
              </w:pBdr>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31 March</w:t>
            </w:r>
          </w:p>
        </w:tc>
      </w:tr>
      <w:tr w:rsidRPr="009C48DA" w:rsidR="00661519" w:rsidTr="00661519" w14:paraId="50D807E2" w14:textId="77777777">
        <w:trPr>
          <w:tblHeader/>
        </w:trPr>
        <w:tc>
          <w:tcPr>
            <w:tcW w:w="3027" w:type="dxa"/>
            <w:vMerge/>
            <w:tcMar>
              <w:left w:w="108" w:type="dxa"/>
              <w:right w:w="108" w:type="dxa"/>
            </w:tcMar>
            <w:vAlign w:val="bottom"/>
          </w:tcPr>
          <w:p w:rsidRPr="009C48DA" w:rsidR="00661519" w:rsidP="00661519" w:rsidRDefault="00661519" w14:paraId="57CE66E9" w14:textId="77777777">
            <w:pPr>
              <w:rPr>
                <w:rFonts w:eastAsia="PMingLiU" w:cs="Times New Roman"/>
                <w:sz w:val="16"/>
                <w:szCs w:val="16"/>
                <w:lang w:val="en-GB"/>
              </w:rPr>
            </w:pPr>
          </w:p>
        </w:tc>
        <w:tc>
          <w:tcPr>
            <w:tcW w:w="922" w:type="dxa"/>
            <w:tcMar>
              <w:left w:w="108" w:type="dxa"/>
              <w:right w:w="108" w:type="dxa"/>
            </w:tcMar>
            <w:vAlign w:val="bottom"/>
          </w:tcPr>
          <w:p w:rsidRPr="009C48DA" w:rsidR="00661519" w:rsidP="00661519" w:rsidRDefault="00661519" w14:paraId="244ECD77" w14:textId="77777777">
            <w:pPr>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Note</w:t>
            </w:r>
          </w:p>
        </w:tc>
        <w:tc>
          <w:tcPr>
            <w:tcW w:w="1277" w:type="dxa"/>
            <w:tcMar>
              <w:left w:w="108" w:type="dxa"/>
              <w:right w:w="108" w:type="dxa"/>
            </w:tcMar>
            <w:vAlign w:val="bottom"/>
          </w:tcPr>
          <w:p w:rsidRPr="009C48DA" w:rsidR="00661519" w:rsidP="00661519" w:rsidRDefault="00661519" w14:paraId="7E2D1961" w14:textId="77777777">
            <w:pPr>
              <w:ind w:right="111"/>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2018</w:t>
            </w:r>
          </w:p>
          <w:p w:rsidRPr="009C48DA" w:rsidR="00661519" w:rsidP="00661519" w:rsidRDefault="00661519" w14:paraId="2333A590" w14:textId="77777777">
            <w:pPr>
              <w:ind w:right="111"/>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78" w:type="dxa"/>
            <w:tcMar>
              <w:left w:w="108" w:type="dxa"/>
              <w:right w:w="108" w:type="dxa"/>
            </w:tcMar>
            <w:vAlign w:val="bottom"/>
          </w:tcPr>
          <w:p w:rsidRPr="009C48DA" w:rsidR="00661519" w:rsidP="00661519" w:rsidRDefault="00661519" w14:paraId="0F633A97" w14:textId="77777777">
            <w:pPr>
              <w:ind w:right="11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2019</w:t>
            </w:r>
          </w:p>
          <w:p w:rsidRPr="009C48DA" w:rsidR="00661519" w:rsidP="00661519" w:rsidRDefault="00661519" w14:paraId="6CCB6BF3" w14:textId="77777777">
            <w:pPr>
              <w:ind w:right="11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78" w:type="dxa"/>
            <w:tcMar>
              <w:left w:w="108" w:type="dxa"/>
              <w:right w:w="108" w:type="dxa"/>
            </w:tcMar>
            <w:vAlign w:val="bottom"/>
          </w:tcPr>
          <w:p w:rsidRPr="009C48DA" w:rsidR="00661519" w:rsidP="00661519" w:rsidRDefault="00661519" w14:paraId="52F932DA" w14:textId="77777777">
            <w:pPr>
              <w:ind w:right="11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2020</w:t>
            </w:r>
          </w:p>
          <w:p w:rsidRPr="009C48DA" w:rsidR="00661519" w:rsidP="00661519" w:rsidRDefault="00661519" w14:paraId="3D20AC7D" w14:textId="77777777">
            <w:pPr>
              <w:ind w:right="11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78" w:type="dxa"/>
            <w:tcMar>
              <w:left w:w="108" w:type="dxa"/>
              <w:right w:w="108" w:type="dxa"/>
            </w:tcMar>
            <w:vAlign w:val="bottom"/>
          </w:tcPr>
          <w:p w:rsidRPr="009C48DA" w:rsidR="00661519" w:rsidP="00661519" w:rsidRDefault="00661519" w14:paraId="29860257" w14:textId="77777777">
            <w:pPr>
              <w:ind w:right="120"/>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2021</w:t>
            </w:r>
          </w:p>
          <w:p w:rsidRPr="009C48DA" w:rsidR="00661519" w:rsidP="00661519" w:rsidRDefault="00661519" w14:paraId="15148FA9" w14:textId="77777777">
            <w:pPr>
              <w:ind w:right="120"/>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794681F8" w14:textId="77777777">
        <w:tc>
          <w:tcPr>
            <w:tcW w:w="3027" w:type="dxa"/>
            <w:tcMar>
              <w:left w:w="108" w:type="dxa"/>
              <w:right w:w="108" w:type="dxa"/>
            </w:tcMar>
            <w:vAlign w:val="bottom"/>
          </w:tcPr>
          <w:p w:rsidRPr="009C48DA" w:rsidR="00661519" w:rsidP="00661519" w:rsidRDefault="00661519" w14:paraId="0AB33981" w14:textId="77777777">
            <w:pPr>
              <w:spacing w:before="60"/>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Assets</w:t>
            </w:r>
          </w:p>
        </w:tc>
        <w:tc>
          <w:tcPr>
            <w:tcW w:w="922" w:type="dxa"/>
            <w:tcMar>
              <w:left w:w="108" w:type="dxa"/>
              <w:right w:w="108" w:type="dxa"/>
            </w:tcMar>
            <w:vAlign w:val="bottom"/>
          </w:tcPr>
          <w:p w:rsidRPr="009C48DA" w:rsidR="00661519" w:rsidP="00661519" w:rsidRDefault="00661519" w14:paraId="18B1B985"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7526EADF" w14:textId="77777777">
            <w:pPr>
              <w:spacing w:before="60"/>
              <w:ind w:right="109"/>
              <w:jc w:val="right"/>
              <w:textAlignment w:val="baseline"/>
              <w:rPr>
                <w:rFonts w:eastAsia="Times New Roman" w:cs="Times New Roman"/>
                <w:color w:val="000000"/>
                <w:sz w:val="16"/>
                <w:szCs w:val="16"/>
                <w:lang w:val="en-GB"/>
              </w:rPr>
            </w:pPr>
          </w:p>
        </w:tc>
        <w:tc>
          <w:tcPr>
            <w:tcW w:w="1278" w:type="dxa"/>
            <w:tcMar>
              <w:left w:w="108" w:type="dxa"/>
              <w:right w:w="108" w:type="dxa"/>
            </w:tcMar>
            <w:vAlign w:val="bottom"/>
          </w:tcPr>
          <w:p w:rsidRPr="009C48DA" w:rsidR="00661519" w:rsidP="00661519" w:rsidRDefault="00661519" w14:paraId="710D58C2" w14:textId="77777777">
            <w:pPr>
              <w:spacing w:before="60"/>
              <w:ind w:right="109"/>
              <w:jc w:val="right"/>
              <w:textAlignment w:val="baseline"/>
              <w:rPr>
                <w:rFonts w:eastAsia="Times New Roman" w:cs="Times New Roman"/>
                <w:color w:val="000000"/>
                <w:sz w:val="16"/>
                <w:szCs w:val="16"/>
                <w:lang w:val="en-GB"/>
              </w:rPr>
            </w:pPr>
          </w:p>
        </w:tc>
        <w:tc>
          <w:tcPr>
            <w:tcW w:w="1278" w:type="dxa"/>
            <w:tcMar>
              <w:left w:w="108" w:type="dxa"/>
              <w:right w:w="108" w:type="dxa"/>
            </w:tcMar>
            <w:vAlign w:val="bottom"/>
          </w:tcPr>
          <w:p w:rsidRPr="009C48DA" w:rsidR="00661519" w:rsidP="00661519" w:rsidRDefault="00661519" w14:paraId="2812EC1C" w14:textId="77777777">
            <w:pPr>
              <w:spacing w:before="60"/>
              <w:ind w:right="109"/>
              <w:jc w:val="right"/>
              <w:textAlignment w:val="baseline"/>
              <w:rPr>
                <w:rFonts w:eastAsia="Times New Roman" w:cs="Times New Roman"/>
                <w:color w:val="000000"/>
                <w:sz w:val="16"/>
                <w:szCs w:val="16"/>
                <w:lang w:val="en-GB"/>
              </w:rPr>
            </w:pPr>
          </w:p>
        </w:tc>
        <w:tc>
          <w:tcPr>
            <w:tcW w:w="1278" w:type="dxa"/>
            <w:tcMar>
              <w:left w:w="108" w:type="dxa"/>
              <w:right w:w="108" w:type="dxa"/>
            </w:tcMar>
            <w:vAlign w:val="bottom"/>
          </w:tcPr>
          <w:p w:rsidRPr="009C48DA" w:rsidR="00661519" w:rsidP="00661519" w:rsidRDefault="00661519" w14:paraId="78F8BBB8" w14:textId="77777777">
            <w:pPr>
              <w:spacing w:before="60"/>
              <w:ind w:right="109"/>
              <w:jc w:val="right"/>
              <w:textAlignment w:val="baseline"/>
              <w:rPr>
                <w:rFonts w:eastAsia="Times New Roman" w:cs="Times New Roman"/>
                <w:color w:val="000000"/>
                <w:sz w:val="16"/>
                <w:szCs w:val="16"/>
                <w:lang w:val="en-GB"/>
              </w:rPr>
            </w:pPr>
          </w:p>
        </w:tc>
      </w:tr>
      <w:tr w:rsidRPr="009C48DA" w:rsidR="00661519" w:rsidTr="00661519" w14:paraId="7AF34316" w14:textId="77777777">
        <w:tc>
          <w:tcPr>
            <w:tcW w:w="3027" w:type="dxa"/>
            <w:tcMar>
              <w:left w:w="108" w:type="dxa"/>
              <w:right w:w="108" w:type="dxa"/>
            </w:tcMar>
            <w:vAlign w:val="bottom"/>
          </w:tcPr>
          <w:p w:rsidRPr="009C48DA" w:rsidR="00661519" w:rsidP="00661519" w:rsidRDefault="00661519" w14:paraId="20F4F850" w14:textId="77777777">
            <w:pPr>
              <w:spacing w:before="60"/>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Non-current assets</w:t>
            </w:r>
          </w:p>
        </w:tc>
        <w:tc>
          <w:tcPr>
            <w:tcW w:w="922" w:type="dxa"/>
            <w:tcMar>
              <w:left w:w="108" w:type="dxa"/>
              <w:right w:w="108" w:type="dxa"/>
            </w:tcMar>
            <w:vAlign w:val="bottom"/>
          </w:tcPr>
          <w:p w:rsidRPr="009C48DA" w:rsidR="00661519" w:rsidP="00661519" w:rsidRDefault="00661519" w14:paraId="70E6DA38"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634E8948" w14:textId="77777777">
            <w:pPr>
              <w:spacing w:before="60"/>
              <w:ind w:right="109"/>
              <w:jc w:val="right"/>
              <w:textAlignment w:val="baseline"/>
              <w:rPr>
                <w:rFonts w:eastAsia="Times New Roman" w:cs="Times New Roman"/>
                <w:color w:val="000000"/>
                <w:sz w:val="16"/>
                <w:szCs w:val="16"/>
                <w:lang w:val="en-GB"/>
              </w:rPr>
            </w:pPr>
          </w:p>
        </w:tc>
        <w:tc>
          <w:tcPr>
            <w:tcW w:w="1278" w:type="dxa"/>
            <w:tcMar>
              <w:left w:w="108" w:type="dxa"/>
              <w:right w:w="108" w:type="dxa"/>
            </w:tcMar>
            <w:vAlign w:val="bottom"/>
          </w:tcPr>
          <w:p w:rsidRPr="009C48DA" w:rsidR="00661519" w:rsidP="00661519" w:rsidRDefault="00661519" w14:paraId="56F58192" w14:textId="77777777">
            <w:pPr>
              <w:spacing w:before="60"/>
              <w:ind w:right="109"/>
              <w:jc w:val="right"/>
              <w:textAlignment w:val="baseline"/>
              <w:rPr>
                <w:rFonts w:eastAsia="Times New Roman" w:cs="Times New Roman"/>
                <w:color w:val="000000"/>
                <w:sz w:val="16"/>
                <w:szCs w:val="16"/>
                <w:lang w:val="en-GB"/>
              </w:rPr>
            </w:pPr>
          </w:p>
        </w:tc>
        <w:tc>
          <w:tcPr>
            <w:tcW w:w="1278" w:type="dxa"/>
            <w:tcMar>
              <w:left w:w="108" w:type="dxa"/>
              <w:right w:w="108" w:type="dxa"/>
            </w:tcMar>
            <w:vAlign w:val="bottom"/>
          </w:tcPr>
          <w:p w:rsidRPr="009C48DA" w:rsidR="00661519" w:rsidP="00661519" w:rsidRDefault="00661519" w14:paraId="2378A5E4" w14:textId="77777777">
            <w:pPr>
              <w:spacing w:before="60"/>
              <w:ind w:right="109"/>
              <w:jc w:val="right"/>
              <w:textAlignment w:val="baseline"/>
              <w:rPr>
                <w:rFonts w:eastAsia="Times New Roman" w:cs="Times New Roman"/>
                <w:color w:val="000000"/>
                <w:sz w:val="16"/>
                <w:szCs w:val="16"/>
                <w:lang w:val="en-GB"/>
              </w:rPr>
            </w:pPr>
          </w:p>
        </w:tc>
        <w:tc>
          <w:tcPr>
            <w:tcW w:w="1278" w:type="dxa"/>
            <w:tcMar>
              <w:left w:w="108" w:type="dxa"/>
              <w:right w:w="108" w:type="dxa"/>
            </w:tcMar>
            <w:vAlign w:val="bottom"/>
          </w:tcPr>
          <w:p w:rsidRPr="009C48DA" w:rsidR="00661519" w:rsidP="00661519" w:rsidRDefault="00661519" w14:paraId="6680EC39" w14:textId="77777777">
            <w:pPr>
              <w:spacing w:before="60"/>
              <w:ind w:right="109"/>
              <w:jc w:val="right"/>
              <w:textAlignment w:val="baseline"/>
              <w:rPr>
                <w:rFonts w:eastAsia="Times New Roman" w:cs="Times New Roman"/>
                <w:color w:val="000000"/>
                <w:sz w:val="16"/>
                <w:szCs w:val="16"/>
                <w:lang w:val="en-GB"/>
              </w:rPr>
            </w:pPr>
          </w:p>
        </w:tc>
      </w:tr>
      <w:tr w:rsidRPr="009C48DA" w:rsidR="00661519" w:rsidTr="00661519" w14:paraId="2698CE0D" w14:textId="77777777">
        <w:tc>
          <w:tcPr>
            <w:tcW w:w="3027" w:type="dxa"/>
            <w:tcMar>
              <w:left w:w="108" w:type="dxa"/>
              <w:right w:w="108" w:type="dxa"/>
            </w:tcMar>
            <w:vAlign w:val="bottom"/>
          </w:tcPr>
          <w:p w:rsidRPr="009C48DA" w:rsidR="00661519" w:rsidP="00661519" w:rsidRDefault="00661519" w14:paraId="616190E9"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Property, plant and equipment</w:t>
            </w:r>
          </w:p>
        </w:tc>
        <w:tc>
          <w:tcPr>
            <w:tcW w:w="922" w:type="dxa"/>
            <w:tcMar>
              <w:left w:w="108" w:type="dxa"/>
              <w:right w:w="108" w:type="dxa"/>
            </w:tcMar>
            <w:vAlign w:val="bottom"/>
          </w:tcPr>
          <w:p w:rsidRPr="009C48DA" w:rsidR="00661519" w:rsidP="00661519" w:rsidRDefault="00661519" w14:paraId="77012677"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w:t>
            </w:r>
          </w:p>
        </w:tc>
        <w:tc>
          <w:tcPr>
            <w:tcW w:w="1277" w:type="dxa"/>
            <w:tcMar>
              <w:left w:w="108" w:type="dxa"/>
              <w:right w:w="108" w:type="dxa"/>
            </w:tcMar>
            <w:vAlign w:val="bottom"/>
          </w:tcPr>
          <w:p w:rsidRPr="009C48DA" w:rsidR="00661519" w:rsidP="00661519" w:rsidRDefault="00661519" w14:paraId="022D8BA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46,659</w:t>
            </w:r>
          </w:p>
        </w:tc>
        <w:tc>
          <w:tcPr>
            <w:tcW w:w="1278" w:type="dxa"/>
            <w:tcMar>
              <w:left w:w="108" w:type="dxa"/>
              <w:right w:w="108" w:type="dxa"/>
            </w:tcMar>
            <w:vAlign w:val="bottom"/>
          </w:tcPr>
          <w:p w:rsidRPr="009C48DA" w:rsidR="00661519" w:rsidP="00661519" w:rsidRDefault="00661519" w14:paraId="2854742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46,760</w:t>
            </w:r>
          </w:p>
        </w:tc>
        <w:tc>
          <w:tcPr>
            <w:tcW w:w="1278" w:type="dxa"/>
            <w:tcMar>
              <w:left w:w="108" w:type="dxa"/>
              <w:right w:w="108" w:type="dxa"/>
            </w:tcMar>
            <w:vAlign w:val="bottom"/>
          </w:tcPr>
          <w:p w:rsidRPr="009C48DA" w:rsidR="00661519" w:rsidP="00661519" w:rsidRDefault="00661519" w14:paraId="4AF8726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41,591</w:t>
            </w:r>
          </w:p>
        </w:tc>
        <w:tc>
          <w:tcPr>
            <w:tcW w:w="1278" w:type="dxa"/>
            <w:tcMar>
              <w:left w:w="108" w:type="dxa"/>
              <w:right w:w="108" w:type="dxa"/>
            </w:tcMar>
            <w:vAlign w:val="bottom"/>
          </w:tcPr>
          <w:p w:rsidRPr="009C48DA" w:rsidR="00661519" w:rsidP="00661519" w:rsidRDefault="00661519" w14:paraId="384ABF4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41,392</w:t>
            </w:r>
          </w:p>
        </w:tc>
      </w:tr>
      <w:tr w:rsidRPr="009C48DA" w:rsidR="00661519" w:rsidTr="00661519" w14:paraId="3D9D13C4" w14:textId="77777777">
        <w:tc>
          <w:tcPr>
            <w:tcW w:w="3027" w:type="dxa"/>
            <w:tcMar>
              <w:left w:w="108" w:type="dxa"/>
              <w:right w:w="108" w:type="dxa"/>
            </w:tcMar>
            <w:vAlign w:val="bottom"/>
          </w:tcPr>
          <w:p w:rsidRPr="009C48DA" w:rsidR="00661519" w:rsidP="00661519" w:rsidRDefault="00661519" w14:paraId="4F259898"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Goodwill and intangible assets</w:t>
            </w:r>
          </w:p>
        </w:tc>
        <w:tc>
          <w:tcPr>
            <w:tcW w:w="922" w:type="dxa"/>
            <w:tcMar>
              <w:left w:w="108" w:type="dxa"/>
              <w:right w:w="108" w:type="dxa"/>
            </w:tcMar>
            <w:vAlign w:val="bottom"/>
          </w:tcPr>
          <w:p w:rsidRPr="009C48DA" w:rsidR="00661519" w:rsidP="00661519" w:rsidRDefault="00661519" w14:paraId="705BF12F"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w:t>
            </w:r>
          </w:p>
        </w:tc>
        <w:tc>
          <w:tcPr>
            <w:tcW w:w="1277" w:type="dxa"/>
            <w:tcMar>
              <w:left w:w="108" w:type="dxa"/>
              <w:right w:w="108" w:type="dxa"/>
            </w:tcMar>
            <w:vAlign w:val="bottom"/>
          </w:tcPr>
          <w:p w:rsidRPr="009C48DA" w:rsidR="00661519" w:rsidP="00661519" w:rsidRDefault="00661519" w14:paraId="12407C7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4EF43D7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0AE6123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125,722</w:t>
            </w:r>
          </w:p>
        </w:tc>
        <w:tc>
          <w:tcPr>
            <w:tcW w:w="1278" w:type="dxa"/>
            <w:tcMar>
              <w:left w:w="108" w:type="dxa"/>
              <w:right w:w="108" w:type="dxa"/>
            </w:tcMar>
            <w:vAlign w:val="bottom"/>
          </w:tcPr>
          <w:p w:rsidRPr="009C48DA" w:rsidR="00661519" w:rsidP="00661519" w:rsidRDefault="00661519" w14:paraId="375471C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124,964</w:t>
            </w:r>
          </w:p>
        </w:tc>
      </w:tr>
      <w:tr w:rsidRPr="009C48DA" w:rsidR="00661519" w:rsidTr="00661519" w14:paraId="7E508A33" w14:textId="77777777">
        <w:tc>
          <w:tcPr>
            <w:tcW w:w="3027" w:type="dxa"/>
            <w:tcMar>
              <w:left w:w="108" w:type="dxa"/>
              <w:right w:w="108" w:type="dxa"/>
            </w:tcMar>
            <w:vAlign w:val="bottom"/>
          </w:tcPr>
          <w:p w:rsidRPr="009C48DA" w:rsidR="00661519" w:rsidP="00661519" w:rsidRDefault="00661519" w14:paraId="4E0C1C72"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Carried interest receivable</w:t>
            </w:r>
          </w:p>
        </w:tc>
        <w:tc>
          <w:tcPr>
            <w:tcW w:w="922" w:type="dxa"/>
            <w:tcMar>
              <w:left w:w="108" w:type="dxa"/>
              <w:right w:w="108" w:type="dxa"/>
            </w:tcMar>
            <w:vAlign w:val="bottom"/>
          </w:tcPr>
          <w:p w:rsidRPr="009C48DA" w:rsidR="00661519" w:rsidP="00661519" w:rsidRDefault="00661519" w14:paraId="41AC1DE0"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16</w:t>
            </w:r>
          </w:p>
        </w:tc>
        <w:tc>
          <w:tcPr>
            <w:tcW w:w="1277" w:type="dxa"/>
            <w:tcMar>
              <w:left w:w="108" w:type="dxa"/>
              <w:right w:w="108" w:type="dxa"/>
            </w:tcMar>
            <w:vAlign w:val="bottom"/>
          </w:tcPr>
          <w:p w:rsidRPr="009C48DA" w:rsidR="00661519" w:rsidP="00661519" w:rsidRDefault="00661519" w14:paraId="0302F9C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17,757</w:t>
            </w:r>
          </w:p>
        </w:tc>
        <w:tc>
          <w:tcPr>
            <w:tcW w:w="1278" w:type="dxa"/>
            <w:tcMar>
              <w:left w:w="108" w:type="dxa"/>
              <w:right w:w="108" w:type="dxa"/>
            </w:tcMar>
            <w:vAlign w:val="bottom"/>
          </w:tcPr>
          <w:p w:rsidRPr="009C48DA" w:rsidR="00661519" w:rsidP="00661519" w:rsidRDefault="00661519" w14:paraId="24346A1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13,002</w:t>
            </w:r>
          </w:p>
        </w:tc>
        <w:tc>
          <w:tcPr>
            <w:tcW w:w="1278" w:type="dxa"/>
            <w:tcMar>
              <w:left w:w="108" w:type="dxa"/>
              <w:right w:w="108" w:type="dxa"/>
            </w:tcMar>
            <w:vAlign w:val="bottom"/>
          </w:tcPr>
          <w:p w:rsidRPr="009C48DA" w:rsidR="00661519" w:rsidP="00661519" w:rsidRDefault="00661519" w14:paraId="09D682F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27,915</w:t>
            </w:r>
          </w:p>
        </w:tc>
        <w:tc>
          <w:tcPr>
            <w:tcW w:w="1278" w:type="dxa"/>
            <w:tcMar>
              <w:left w:w="108" w:type="dxa"/>
              <w:right w:w="108" w:type="dxa"/>
            </w:tcMar>
            <w:vAlign w:val="bottom"/>
          </w:tcPr>
          <w:p w:rsidRPr="009C48DA" w:rsidR="00661519" w:rsidP="00661519" w:rsidRDefault="00661519" w14:paraId="056B3EB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27,084</w:t>
            </w:r>
          </w:p>
        </w:tc>
      </w:tr>
      <w:tr w:rsidRPr="009C48DA" w:rsidR="00661519" w:rsidTr="00661519" w14:paraId="0E7D73FD" w14:textId="77777777">
        <w:tc>
          <w:tcPr>
            <w:tcW w:w="3027" w:type="dxa"/>
            <w:tcMar>
              <w:left w:w="108" w:type="dxa"/>
              <w:right w:w="108" w:type="dxa"/>
            </w:tcMar>
            <w:vAlign w:val="bottom"/>
          </w:tcPr>
          <w:p w:rsidRPr="009C48DA" w:rsidR="00661519" w:rsidP="00661519" w:rsidRDefault="00661519" w14:paraId="72D2C36E" w14:textId="77777777">
            <w:pPr>
              <w:spacing w:before="60"/>
              <w:ind w:right="216"/>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Fair value of fund investments</w:t>
            </w:r>
          </w:p>
        </w:tc>
        <w:tc>
          <w:tcPr>
            <w:tcW w:w="922" w:type="dxa"/>
            <w:tcMar>
              <w:left w:w="108" w:type="dxa"/>
              <w:right w:w="108" w:type="dxa"/>
            </w:tcMar>
            <w:vAlign w:val="bottom"/>
          </w:tcPr>
          <w:p w:rsidRPr="009C48DA" w:rsidR="00661519" w:rsidP="00661519" w:rsidRDefault="00661519" w14:paraId="1AA04B60"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w:t>
            </w:r>
          </w:p>
        </w:tc>
        <w:tc>
          <w:tcPr>
            <w:tcW w:w="1277" w:type="dxa"/>
            <w:tcMar>
              <w:left w:w="108" w:type="dxa"/>
              <w:right w:w="108" w:type="dxa"/>
            </w:tcMar>
            <w:vAlign w:val="bottom"/>
          </w:tcPr>
          <w:p w:rsidRPr="009C48DA" w:rsidR="00661519" w:rsidP="00661519" w:rsidRDefault="00661519" w14:paraId="1278517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125,497</w:t>
            </w:r>
          </w:p>
        </w:tc>
        <w:tc>
          <w:tcPr>
            <w:tcW w:w="1278" w:type="dxa"/>
            <w:tcMar>
              <w:left w:w="108" w:type="dxa"/>
              <w:right w:w="108" w:type="dxa"/>
            </w:tcMar>
            <w:vAlign w:val="bottom"/>
          </w:tcPr>
          <w:p w:rsidRPr="009C48DA" w:rsidR="00661519" w:rsidP="00661519" w:rsidRDefault="00661519" w14:paraId="2CD9B61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206,079</w:t>
            </w:r>
          </w:p>
        </w:tc>
        <w:tc>
          <w:tcPr>
            <w:tcW w:w="1278" w:type="dxa"/>
            <w:tcMar>
              <w:left w:w="108" w:type="dxa"/>
              <w:right w:w="108" w:type="dxa"/>
            </w:tcMar>
            <w:vAlign w:val="bottom"/>
          </w:tcPr>
          <w:p w:rsidRPr="009C48DA" w:rsidR="00661519" w:rsidP="00661519" w:rsidRDefault="00661519" w14:paraId="372B803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233,469</w:t>
            </w:r>
          </w:p>
        </w:tc>
        <w:tc>
          <w:tcPr>
            <w:tcW w:w="1278" w:type="dxa"/>
            <w:tcMar>
              <w:left w:w="108" w:type="dxa"/>
              <w:right w:w="108" w:type="dxa"/>
            </w:tcMar>
            <w:vAlign w:val="bottom"/>
          </w:tcPr>
          <w:p w:rsidRPr="009C48DA" w:rsidR="00661519" w:rsidP="00661519" w:rsidRDefault="00661519" w14:paraId="1AE2EBD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232,933</w:t>
            </w:r>
          </w:p>
        </w:tc>
      </w:tr>
      <w:tr w:rsidRPr="009C48DA" w:rsidR="00661519" w:rsidTr="00661519" w14:paraId="72128A3A" w14:textId="77777777">
        <w:tc>
          <w:tcPr>
            <w:tcW w:w="3027" w:type="dxa"/>
            <w:tcMar>
              <w:left w:w="108" w:type="dxa"/>
              <w:right w:w="108" w:type="dxa"/>
            </w:tcMar>
            <w:vAlign w:val="bottom"/>
          </w:tcPr>
          <w:p w:rsidRPr="009C48DA" w:rsidR="00661519" w:rsidP="00661519" w:rsidRDefault="00661519" w14:paraId="7DD77A30"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Investments at amortised cost</w:t>
            </w:r>
          </w:p>
        </w:tc>
        <w:tc>
          <w:tcPr>
            <w:tcW w:w="922" w:type="dxa"/>
            <w:tcMar>
              <w:left w:w="108" w:type="dxa"/>
              <w:right w:w="108" w:type="dxa"/>
            </w:tcMar>
            <w:vAlign w:val="bottom"/>
          </w:tcPr>
          <w:p w:rsidRPr="009C48DA" w:rsidR="00661519" w:rsidP="00661519" w:rsidRDefault="00661519" w14:paraId="4E777601"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w:t>
            </w:r>
          </w:p>
        </w:tc>
        <w:tc>
          <w:tcPr>
            <w:tcW w:w="1277" w:type="dxa"/>
            <w:tcMar>
              <w:left w:w="108" w:type="dxa"/>
              <w:right w:w="108" w:type="dxa"/>
            </w:tcMar>
            <w:vAlign w:val="bottom"/>
          </w:tcPr>
          <w:p w:rsidRPr="009C48DA" w:rsidR="00661519" w:rsidP="00661519" w:rsidRDefault="00661519" w14:paraId="57F6D3D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86,363</w:t>
            </w:r>
          </w:p>
        </w:tc>
        <w:tc>
          <w:tcPr>
            <w:tcW w:w="1278" w:type="dxa"/>
            <w:tcMar>
              <w:left w:w="108" w:type="dxa"/>
              <w:right w:w="108" w:type="dxa"/>
            </w:tcMar>
            <w:vAlign w:val="bottom"/>
          </w:tcPr>
          <w:p w:rsidRPr="009C48DA" w:rsidR="00661519" w:rsidP="00661519" w:rsidRDefault="00661519" w14:paraId="332A946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038C52C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3950F6A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437B3715" w14:textId="77777777">
        <w:tc>
          <w:tcPr>
            <w:tcW w:w="3027" w:type="dxa"/>
            <w:tcMar>
              <w:left w:w="108" w:type="dxa"/>
              <w:right w:w="108" w:type="dxa"/>
            </w:tcMar>
            <w:vAlign w:val="bottom"/>
          </w:tcPr>
          <w:p w:rsidRPr="009C48DA" w:rsidR="00661519" w:rsidP="00661519" w:rsidRDefault="00661519" w14:paraId="4C4DCA0E"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receivables</w:t>
            </w:r>
          </w:p>
        </w:tc>
        <w:tc>
          <w:tcPr>
            <w:tcW w:w="922" w:type="dxa"/>
            <w:tcMar>
              <w:left w:w="108" w:type="dxa"/>
              <w:right w:w="108" w:type="dxa"/>
            </w:tcMar>
            <w:vAlign w:val="bottom"/>
          </w:tcPr>
          <w:p w:rsidRPr="009C48DA" w:rsidR="00661519" w:rsidP="00661519" w:rsidRDefault="00661519" w14:paraId="5F4D6602"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w:t>
            </w:r>
          </w:p>
        </w:tc>
        <w:tc>
          <w:tcPr>
            <w:tcW w:w="1277" w:type="dxa"/>
            <w:tcMar>
              <w:left w:w="108" w:type="dxa"/>
              <w:right w:w="108" w:type="dxa"/>
            </w:tcMar>
            <w:vAlign w:val="bottom"/>
          </w:tcPr>
          <w:p w:rsidRPr="009C48DA" w:rsidR="00661519" w:rsidP="00661519" w:rsidRDefault="00661519" w14:paraId="374F3C49"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185,039</w:t>
            </w:r>
          </w:p>
        </w:tc>
        <w:tc>
          <w:tcPr>
            <w:tcW w:w="1278" w:type="dxa"/>
            <w:tcMar>
              <w:left w:w="108" w:type="dxa"/>
              <w:right w:w="108" w:type="dxa"/>
            </w:tcMar>
            <w:vAlign w:val="bottom"/>
          </w:tcPr>
          <w:p w:rsidRPr="009C48DA" w:rsidR="00661519" w:rsidP="00661519" w:rsidRDefault="00661519" w14:paraId="75C88306"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117,142</w:t>
            </w:r>
          </w:p>
        </w:tc>
        <w:tc>
          <w:tcPr>
            <w:tcW w:w="1278" w:type="dxa"/>
            <w:tcMar>
              <w:left w:w="108" w:type="dxa"/>
              <w:right w:w="108" w:type="dxa"/>
            </w:tcMar>
            <w:vAlign w:val="bottom"/>
          </w:tcPr>
          <w:p w:rsidRPr="009C48DA" w:rsidR="00661519" w:rsidP="00661519" w:rsidRDefault="00661519" w14:paraId="28577A76"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6,924</w:t>
            </w:r>
          </w:p>
        </w:tc>
        <w:tc>
          <w:tcPr>
            <w:tcW w:w="1278" w:type="dxa"/>
            <w:tcMar>
              <w:left w:w="108" w:type="dxa"/>
              <w:right w:w="108" w:type="dxa"/>
            </w:tcMar>
            <w:vAlign w:val="bottom"/>
          </w:tcPr>
          <w:p w:rsidRPr="009C48DA" w:rsidR="00661519" w:rsidP="00661519" w:rsidRDefault="00661519" w14:paraId="3F01CF51"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6,663</w:t>
            </w:r>
          </w:p>
        </w:tc>
      </w:tr>
      <w:tr w:rsidRPr="009C48DA" w:rsidR="00661519" w:rsidTr="00661519" w14:paraId="1B8296FD" w14:textId="77777777">
        <w:tc>
          <w:tcPr>
            <w:tcW w:w="3027" w:type="dxa"/>
            <w:tcMar>
              <w:left w:w="108" w:type="dxa"/>
              <w:right w:w="108" w:type="dxa"/>
            </w:tcMar>
            <w:vAlign w:val="bottom"/>
          </w:tcPr>
          <w:p w:rsidRPr="009C48DA" w:rsidR="00661519" w:rsidP="00661519" w:rsidRDefault="00661519" w14:paraId="68FD069B"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non-current assets</w:t>
            </w:r>
          </w:p>
        </w:tc>
        <w:tc>
          <w:tcPr>
            <w:tcW w:w="922" w:type="dxa"/>
            <w:tcMar>
              <w:left w:w="108" w:type="dxa"/>
              <w:right w:w="108" w:type="dxa"/>
            </w:tcMar>
            <w:vAlign w:val="bottom"/>
          </w:tcPr>
          <w:p w:rsidRPr="009C48DA" w:rsidR="00661519" w:rsidP="00661519" w:rsidRDefault="00661519" w14:paraId="4DF34A50"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0976CF62"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461,315</w:t>
            </w:r>
          </w:p>
        </w:tc>
        <w:tc>
          <w:tcPr>
            <w:tcW w:w="1278" w:type="dxa"/>
            <w:tcMar>
              <w:left w:w="108" w:type="dxa"/>
              <w:right w:w="108" w:type="dxa"/>
            </w:tcMar>
            <w:vAlign w:val="bottom"/>
          </w:tcPr>
          <w:p w:rsidRPr="009C48DA" w:rsidR="00661519" w:rsidP="00661519" w:rsidRDefault="00661519" w14:paraId="2DFEA0CB"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382,983</w:t>
            </w:r>
          </w:p>
        </w:tc>
        <w:tc>
          <w:tcPr>
            <w:tcW w:w="1278" w:type="dxa"/>
            <w:tcMar>
              <w:left w:w="108" w:type="dxa"/>
              <w:right w:w="108" w:type="dxa"/>
            </w:tcMar>
            <w:vAlign w:val="bottom"/>
          </w:tcPr>
          <w:p w:rsidRPr="009C48DA" w:rsidR="00661519" w:rsidP="00661519" w:rsidRDefault="00661519" w14:paraId="1C6B5C72"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435,621</w:t>
            </w:r>
          </w:p>
        </w:tc>
        <w:tc>
          <w:tcPr>
            <w:tcW w:w="1278" w:type="dxa"/>
            <w:tcMar>
              <w:left w:w="108" w:type="dxa"/>
              <w:right w:w="108" w:type="dxa"/>
            </w:tcMar>
            <w:vAlign w:val="bottom"/>
          </w:tcPr>
          <w:p w:rsidRPr="009C48DA" w:rsidR="00661519" w:rsidP="00661519" w:rsidRDefault="00661519" w14:paraId="5DC64CF1"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433,036</w:t>
            </w:r>
          </w:p>
        </w:tc>
      </w:tr>
      <w:tr w:rsidRPr="009C48DA" w:rsidR="00661519" w:rsidTr="00661519" w14:paraId="39FFB47E" w14:textId="77777777">
        <w:tc>
          <w:tcPr>
            <w:tcW w:w="3027" w:type="dxa"/>
            <w:tcMar>
              <w:left w:w="108" w:type="dxa"/>
              <w:right w:w="108" w:type="dxa"/>
            </w:tcMar>
            <w:vAlign w:val="bottom"/>
          </w:tcPr>
          <w:p w:rsidRPr="009C48DA" w:rsidR="00661519" w:rsidP="00661519" w:rsidRDefault="00661519" w14:paraId="7BE72ECA"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Current assets</w:t>
            </w:r>
          </w:p>
        </w:tc>
        <w:tc>
          <w:tcPr>
            <w:tcW w:w="922" w:type="dxa"/>
            <w:tcMar>
              <w:left w:w="108" w:type="dxa"/>
              <w:right w:w="108" w:type="dxa"/>
            </w:tcMar>
            <w:vAlign w:val="bottom"/>
          </w:tcPr>
          <w:p w:rsidRPr="009C48DA" w:rsidR="00661519" w:rsidP="00661519" w:rsidRDefault="00661519" w14:paraId="6EFAF524"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2C9B465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78" w:type="dxa"/>
            <w:tcMar>
              <w:left w:w="108" w:type="dxa"/>
              <w:right w:w="108" w:type="dxa"/>
            </w:tcMar>
            <w:vAlign w:val="bottom"/>
          </w:tcPr>
          <w:p w:rsidRPr="009C48DA" w:rsidR="00661519" w:rsidP="00661519" w:rsidRDefault="00661519" w14:paraId="5BE720F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78" w:type="dxa"/>
            <w:tcMar>
              <w:left w:w="108" w:type="dxa"/>
              <w:right w:w="108" w:type="dxa"/>
            </w:tcMar>
            <w:vAlign w:val="bottom"/>
          </w:tcPr>
          <w:p w:rsidRPr="009C48DA" w:rsidR="00661519" w:rsidP="00661519" w:rsidRDefault="00661519" w14:paraId="4CE9ADD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78" w:type="dxa"/>
            <w:tcMar>
              <w:left w:w="108" w:type="dxa"/>
              <w:right w:w="108" w:type="dxa"/>
            </w:tcMar>
            <w:vAlign w:val="bottom"/>
          </w:tcPr>
          <w:p w:rsidRPr="009C48DA" w:rsidR="00661519" w:rsidP="00661519" w:rsidRDefault="00661519" w14:paraId="3BBF6E8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30B2FB9C" w14:textId="77777777">
        <w:tc>
          <w:tcPr>
            <w:tcW w:w="3027" w:type="dxa"/>
            <w:tcMar>
              <w:left w:w="108" w:type="dxa"/>
              <w:right w:w="108" w:type="dxa"/>
            </w:tcMar>
            <w:vAlign w:val="bottom"/>
          </w:tcPr>
          <w:p w:rsidRPr="009C48DA" w:rsidR="00661519" w:rsidP="00661519" w:rsidRDefault="00661519" w14:paraId="21BC06E3"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Fair value of CLO assets*</w:t>
            </w:r>
          </w:p>
        </w:tc>
        <w:tc>
          <w:tcPr>
            <w:tcW w:w="922" w:type="dxa"/>
            <w:tcMar>
              <w:left w:w="108" w:type="dxa"/>
              <w:right w:w="108" w:type="dxa"/>
            </w:tcMar>
            <w:vAlign w:val="bottom"/>
          </w:tcPr>
          <w:p w:rsidRPr="009C48DA" w:rsidR="00661519" w:rsidP="00661519" w:rsidRDefault="00661519" w14:paraId="45610662"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w:t>
            </w:r>
          </w:p>
        </w:tc>
        <w:tc>
          <w:tcPr>
            <w:tcW w:w="1277" w:type="dxa"/>
            <w:tcMar>
              <w:left w:w="108" w:type="dxa"/>
              <w:right w:w="108" w:type="dxa"/>
            </w:tcMar>
            <w:vAlign w:val="bottom"/>
          </w:tcPr>
          <w:p w:rsidRPr="009C48DA" w:rsidR="00661519" w:rsidP="00661519" w:rsidRDefault="00661519" w14:paraId="363EC83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21941EC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4A6CA91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272,476</w:t>
            </w:r>
          </w:p>
        </w:tc>
        <w:tc>
          <w:tcPr>
            <w:tcW w:w="1278" w:type="dxa"/>
            <w:tcMar>
              <w:left w:w="108" w:type="dxa"/>
              <w:right w:w="108" w:type="dxa"/>
            </w:tcMar>
            <w:vAlign w:val="bottom"/>
          </w:tcPr>
          <w:p w:rsidRPr="009C48DA" w:rsidR="00661519" w:rsidP="00661519" w:rsidRDefault="00661519" w14:paraId="45A0463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380,534</w:t>
            </w:r>
          </w:p>
        </w:tc>
      </w:tr>
      <w:tr w:rsidRPr="009C48DA" w:rsidR="00661519" w:rsidTr="00661519" w14:paraId="6722D0C0" w14:textId="77777777">
        <w:tc>
          <w:tcPr>
            <w:tcW w:w="3027" w:type="dxa"/>
            <w:tcMar>
              <w:left w:w="108" w:type="dxa"/>
              <w:right w:w="108" w:type="dxa"/>
            </w:tcMar>
            <w:vAlign w:val="bottom"/>
          </w:tcPr>
          <w:p w:rsidRPr="009C48DA" w:rsidR="00661519" w:rsidP="00661519" w:rsidRDefault="00661519" w14:paraId="5D6B4FA9"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receivables</w:t>
            </w:r>
          </w:p>
        </w:tc>
        <w:tc>
          <w:tcPr>
            <w:tcW w:w="922" w:type="dxa"/>
            <w:tcMar>
              <w:left w:w="108" w:type="dxa"/>
              <w:right w:w="108" w:type="dxa"/>
            </w:tcMar>
            <w:vAlign w:val="bottom"/>
          </w:tcPr>
          <w:p w:rsidRPr="009C48DA" w:rsidR="00661519" w:rsidP="00661519" w:rsidRDefault="00661519" w14:paraId="78DBE4E0"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w:t>
            </w:r>
          </w:p>
        </w:tc>
        <w:tc>
          <w:tcPr>
            <w:tcW w:w="1277" w:type="dxa"/>
            <w:tcMar>
              <w:left w:w="108" w:type="dxa"/>
              <w:right w:w="108" w:type="dxa"/>
            </w:tcMar>
            <w:vAlign w:val="bottom"/>
          </w:tcPr>
          <w:p w:rsidRPr="009C48DA" w:rsidR="00661519" w:rsidP="00661519" w:rsidRDefault="00661519" w14:paraId="26E8677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33,348</w:t>
            </w:r>
          </w:p>
        </w:tc>
        <w:tc>
          <w:tcPr>
            <w:tcW w:w="1278" w:type="dxa"/>
            <w:tcMar>
              <w:left w:w="108" w:type="dxa"/>
              <w:right w:w="108" w:type="dxa"/>
            </w:tcMar>
            <w:vAlign w:val="bottom"/>
          </w:tcPr>
          <w:p w:rsidRPr="009C48DA" w:rsidR="00661519" w:rsidP="00661519" w:rsidRDefault="00661519" w14:paraId="3CD58D3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110,143</w:t>
            </w:r>
          </w:p>
        </w:tc>
        <w:tc>
          <w:tcPr>
            <w:tcW w:w="1278" w:type="dxa"/>
            <w:tcMar>
              <w:left w:w="108" w:type="dxa"/>
              <w:right w:w="108" w:type="dxa"/>
            </w:tcMar>
            <w:vAlign w:val="bottom"/>
          </w:tcPr>
          <w:p w:rsidRPr="009C48DA" w:rsidR="00661519" w:rsidP="00661519" w:rsidRDefault="00661519" w14:paraId="6796E95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176,761</w:t>
            </w:r>
          </w:p>
        </w:tc>
        <w:tc>
          <w:tcPr>
            <w:tcW w:w="1278" w:type="dxa"/>
            <w:tcMar>
              <w:left w:w="108" w:type="dxa"/>
              <w:right w:w="108" w:type="dxa"/>
            </w:tcMar>
            <w:vAlign w:val="bottom"/>
          </w:tcPr>
          <w:p w:rsidRPr="009C48DA" w:rsidR="00661519" w:rsidP="00661519" w:rsidRDefault="00661519" w14:paraId="2382AC9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171,179</w:t>
            </w:r>
          </w:p>
        </w:tc>
      </w:tr>
      <w:tr w:rsidRPr="009C48DA" w:rsidR="00661519" w:rsidTr="00661519" w14:paraId="02CD6EAD" w14:textId="77777777">
        <w:tc>
          <w:tcPr>
            <w:tcW w:w="3027" w:type="dxa"/>
            <w:tcMar>
              <w:left w:w="108" w:type="dxa"/>
              <w:right w:w="108" w:type="dxa"/>
            </w:tcMar>
            <w:vAlign w:val="bottom"/>
          </w:tcPr>
          <w:p w:rsidRPr="009C48DA" w:rsidR="00661519" w:rsidP="00661519" w:rsidRDefault="00661519" w14:paraId="3DAF37AF"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Derivative financial instruments</w:t>
            </w:r>
          </w:p>
        </w:tc>
        <w:tc>
          <w:tcPr>
            <w:tcW w:w="922" w:type="dxa"/>
            <w:tcMar>
              <w:left w:w="108" w:type="dxa"/>
              <w:right w:w="108" w:type="dxa"/>
            </w:tcMar>
            <w:vAlign w:val="bottom"/>
          </w:tcPr>
          <w:p w:rsidRPr="009C48DA" w:rsidR="00661519" w:rsidP="00661519" w:rsidRDefault="00661519" w14:paraId="05F7F790"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w:t>
            </w:r>
          </w:p>
        </w:tc>
        <w:tc>
          <w:tcPr>
            <w:tcW w:w="1277" w:type="dxa"/>
            <w:tcMar>
              <w:left w:w="108" w:type="dxa"/>
              <w:right w:w="108" w:type="dxa"/>
            </w:tcMar>
            <w:vAlign w:val="bottom"/>
          </w:tcPr>
          <w:p w:rsidRPr="009C48DA" w:rsidR="00661519" w:rsidP="00661519" w:rsidRDefault="00661519" w14:paraId="14E111A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196DF77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2,015</w:t>
            </w:r>
          </w:p>
        </w:tc>
        <w:tc>
          <w:tcPr>
            <w:tcW w:w="1278" w:type="dxa"/>
            <w:tcMar>
              <w:left w:w="108" w:type="dxa"/>
              <w:right w:w="108" w:type="dxa"/>
            </w:tcMar>
            <w:vAlign w:val="bottom"/>
          </w:tcPr>
          <w:p w:rsidRPr="009C48DA" w:rsidR="00661519" w:rsidP="00661519" w:rsidRDefault="00661519" w14:paraId="2ABAC5D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5A4421B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5,841</w:t>
            </w:r>
          </w:p>
        </w:tc>
      </w:tr>
      <w:tr w:rsidRPr="009C48DA" w:rsidR="00661519" w:rsidTr="00661519" w14:paraId="59BD43A5" w14:textId="77777777">
        <w:tc>
          <w:tcPr>
            <w:tcW w:w="3027" w:type="dxa"/>
            <w:tcMar>
              <w:left w:w="108" w:type="dxa"/>
              <w:right w:w="108" w:type="dxa"/>
            </w:tcMar>
            <w:vAlign w:val="bottom"/>
          </w:tcPr>
          <w:p w:rsidRPr="009C48DA" w:rsidR="00661519" w:rsidP="00661519" w:rsidRDefault="00661519" w14:paraId="1E1BA17D"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Cash and cash equivalents</w:t>
            </w:r>
          </w:p>
        </w:tc>
        <w:tc>
          <w:tcPr>
            <w:tcW w:w="922" w:type="dxa"/>
            <w:tcMar>
              <w:left w:w="108" w:type="dxa"/>
              <w:right w:w="108" w:type="dxa"/>
            </w:tcMar>
            <w:vAlign w:val="bottom"/>
          </w:tcPr>
          <w:p w:rsidRPr="009C48DA" w:rsidR="00661519" w:rsidP="00661519" w:rsidRDefault="00661519" w14:paraId="250F0C8F"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4D6193C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37,075</w:t>
            </w:r>
          </w:p>
        </w:tc>
        <w:tc>
          <w:tcPr>
            <w:tcW w:w="1278" w:type="dxa"/>
            <w:tcMar>
              <w:left w:w="108" w:type="dxa"/>
              <w:right w:w="108" w:type="dxa"/>
            </w:tcMar>
            <w:vAlign w:val="bottom"/>
          </w:tcPr>
          <w:p w:rsidRPr="009C48DA" w:rsidR="00661519" w:rsidP="00661519" w:rsidRDefault="00661519" w14:paraId="336E29B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12,083</w:t>
            </w:r>
          </w:p>
        </w:tc>
        <w:tc>
          <w:tcPr>
            <w:tcW w:w="1278" w:type="dxa"/>
            <w:tcMar>
              <w:left w:w="108" w:type="dxa"/>
              <w:right w:w="108" w:type="dxa"/>
            </w:tcMar>
            <w:vAlign w:val="bottom"/>
          </w:tcPr>
          <w:p w:rsidRPr="009C48DA" w:rsidR="00661519" w:rsidP="00661519" w:rsidRDefault="00661519" w14:paraId="2443C3E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42,366</w:t>
            </w:r>
          </w:p>
        </w:tc>
        <w:tc>
          <w:tcPr>
            <w:tcW w:w="1278" w:type="dxa"/>
            <w:tcMar>
              <w:left w:w="108" w:type="dxa"/>
              <w:right w:w="108" w:type="dxa"/>
            </w:tcMar>
            <w:vAlign w:val="bottom"/>
          </w:tcPr>
          <w:p w:rsidRPr="009C48DA" w:rsidR="00661519" w:rsidP="00661519" w:rsidRDefault="00661519" w14:paraId="56BE332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67,762</w:t>
            </w:r>
          </w:p>
        </w:tc>
      </w:tr>
      <w:tr w:rsidRPr="009C48DA" w:rsidR="00661519" w:rsidTr="00661519" w14:paraId="10BF63A7" w14:textId="77777777">
        <w:tc>
          <w:tcPr>
            <w:tcW w:w="3027" w:type="dxa"/>
            <w:tcMar>
              <w:left w:w="108" w:type="dxa"/>
              <w:right w:w="108" w:type="dxa"/>
            </w:tcMar>
            <w:vAlign w:val="bottom"/>
          </w:tcPr>
          <w:p w:rsidRPr="009C48DA" w:rsidR="00661519" w:rsidP="00661519" w:rsidRDefault="00661519" w14:paraId="4CD90109"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CLO cash*</w:t>
            </w:r>
          </w:p>
        </w:tc>
        <w:tc>
          <w:tcPr>
            <w:tcW w:w="922" w:type="dxa"/>
            <w:tcMar>
              <w:left w:w="108" w:type="dxa"/>
              <w:right w:w="108" w:type="dxa"/>
            </w:tcMar>
            <w:vAlign w:val="bottom"/>
          </w:tcPr>
          <w:p w:rsidRPr="009C48DA" w:rsidR="00661519" w:rsidP="00661519" w:rsidRDefault="00661519" w14:paraId="3C0985EB"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5463656E"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04371DBB"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517C5092"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114,750</w:t>
            </w:r>
          </w:p>
        </w:tc>
        <w:tc>
          <w:tcPr>
            <w:tcW w:w="1278" w:type="dxa"/>
            <w:tcMar>
              <w:left w:w="108" w:type="dxa"/>
              <w:right w:w="108" w:type="dxa"/>
            </w:tcMar>
            <w:vAlign w:val="bottom"/>
          </w:tcPr>
          <w:p w:rsidRPr="009C48DA" w:rsidR="00661519" w:rsidP="00661519" w:rsidRDefault="00661519" w14:paraId="292BCF60"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59,976</w:t>
            </w:r>
          </w:p>
        </w:tc>
      </w:tr>
      <w:tr w:rsidRPr="009C48DA" w:rsidR="00661519" w:rsidTr="00661519" w14:paraId="42C20FCC" w14:textId="77777777">
        <w:tc>
          <w:tcPr>
            <w:tcW w:w="3027" w:type="dxa"/>
            <w:tcMar>
              <w:left w:w="108" w:type="dxa"/>
              <w:right w:w="108" w:type="dxa"/>
            </w:tcMar>
            <w:vAlign w:val="bottom"/>
          </w:tcPr>
          <w:p w:rsidRPr="009C48DA" w:rsidR="00661519" w:rsidP="00661519" w:rsidRDefault="00661519" w14:paraId="195EC5FA"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current assets</w:t>
            </w:r>
          </w:p>
        </w:tc>
        <w:tc>
          <w:tcPr>
            <w:tcW w:w="922" w:type="dxa"/>
            <w:tcMar>
              <w:left w:w="108" w:type="dxa"/>
              <w:right w:w="108" w:type="dxa"/>
            </w:tcMar>
            <w:vAlign w:val="bottom"/>
          </w:tcPr>
          <w:p w:rsidRPr="009C48DA" w:rsidR="00661519" w:rsidP="00661519" w:rsidRDefault="00661519" w14:paraId="63DDC629"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4E07F187"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70,423</w:t>
            </w:r>
          </w:p>
        </w:tc>
        <w:tc>
          <w:tcPr>
            <w:tcW w:w="1278" w:type="dxa"/>
            <w:tcMar>
              <w:left w:w="108" w:type="dxa"/>
              <w:right w:w="108" w:type="dxa"/>
            </w:tcMar>
            <w:vAlign w:val="bottom"/>
          </w:tcPr>
          <w:p w:rsidRPr="009C48DA" w:rsidR="00661519" w:rsidP="00661519" w:rsidRDefault="00661519" w14:paraId="21C9B1B2"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124,241</w:t>
            </w:r>
          </w:p>
        </w:tc>
        <w:tc>
          <w:tcPr>
            <w:tcW w:w="1278" w:type="dxa"/>
            <w:tcMar>
              <w:left w:w="108" w:type="dxa"/>
              <w:right w:w="108" w:type="dxa"/>
            </w:tcMar>
            <w:vAlign w:val="bottom"/>
          </w:tcPr>
          <w:p w:rsidRPr="009C48DA" w:rsidR="00661519" w:rsidP="00661519" w:rsidRDefault="00661519" w14:paraId="51B2B17C"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606,353</w:t>
            </w:r>
          </w:p>
        </w:tc>
        <w:tc>
          <w:tcPr>
            <w:tcW w:w="1278" w:type="dxa"/>
            <w:tcMar>
              <w:left w:w="108" w:type="dxa"/>
              <w:right w:w="108" w:type="dxa"/>
            </w:tcMar>
            <w:vAlign w:val="bottom"/>
          </w:tcPr>
          <w:p w:rsidRPr="009C48DA" w:rsidR="00661519" w:rsidP="00661519" w:rsidRDefault="00661519" w14:paraId="4F4FC840"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685,292</w:t>
            </w:r>
          </w:p>
        </w:tc>
      </w:tr>
      <w:tr w:rsidRPr="009C48DA" w:rsidR="00661519" w:rsidTr="00661519" w14:paraId="06C8FCB9" w14:textId="77777777">
        <w:tc>
          <w:tcPr>
            <w:tcW w:w="3027" w:type="dxa"/>
            <w:tcMar>
              <w:left w:w="108" w:type="dxa"/>
              <w:right w:w="108" w:type="dxa"/>
            </w:tcMar>
            <w:vAlign w:val="bottom"/>
          </w:tcPr>
          <w:p w:rsidRPr="009C48DA" w:rsidR="00661519" w:rsidP="00661519" w:rsidRDefault="00661519" w14:paraId="29E4E911"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assets</w:t>
            </w:r>
          </w:p>
        </w:tc>
        <w:tc>
          <w:tcPr>
            <w:tcW w:w="922" w:type="dxa"/>
            <w:tcMar>
              <w:left w:w="108" w:type="dxa"/>
              <w:right w:w="108" w:type="dxa"/>
            </w:tcMar>
            <w:vAlign w:val="bottom"/>
          </w:tcPr>
          <w:p w:rsidRPr="009C48DA" w:rsidR="00661519" w:rsidP="00661519" w:rsidRDefault="00661519" w14:paraId="4DCDF07D"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708FD7E7"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531,738</w:t>
            </w:r>
          </w:p>
        </w:tc>
        <w:tc>
          <w:tcPr>
            <w:tcW w:w="1278" w:type="dxa"/>
            <w:tcMar>
              <w:left w:w="108" w:type="dxa"/>
              <w:right w:w="108" w:type="dxa"/>
            </w:tcMar>
            <w:vAlign w:val="bottom"/>
          </w:tcPr>
          <w:p w:rsidRPr="009C48DA" w:rsidR="00661519" w:rsidP="00661519" w:rsidRDefault="00661519" w14:paraId="595AB9B8"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507,224</w:t>
            </w:r>
          </w:p>
        </w:tc>
        <w:tc>
          <w:tcPr>
            <w:tcW w:w="1278" w:type="dxa"/>
            <w:tcMar>
              <w:left w:w="108" w:type="dxa"/>
              <w:right w:w="108" w:type="dxa"/>
            </w:tcMar>
            <w:vAlign w:val="bottom"/>
          </w:tcPr>
          <w:p w:rsidRPr="009C48DA" w:rsidR="00661519" w:rsidP="00661519" w:rsidRDefault="00661519" w14:paraId="0893AAFA"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1,041,974</w:t>
            </w:r>
          </w:p>
        </w:tc>
        <w:tc>
          <w:tcPr>
            <w:tcW w:w="1278" w:type="dxa"/>
            <w:tcMar>
              <w:left w:w="108" w:type="dxa"/>
              <w:right w:w="108" w:type="dxa"/>
            </w:tcMar>
            <w:vAlign w:val="bottom"/>
          </w:tcPr>
          <w:p w:rsidRPr="009C48DA" w:rsidR="00661519" w:rsidP="00661519" w:rsidRDefault="00661519" w14:paraId="2412F836"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1,118,328</w:t>
            </w:r>
          </w:p>
        </w:tc>
      </w:tr>
      <w:tr w:rsidRPr="009C48DA" w:rsidR="00661519" w:rsidTr="00661519" w14:paraId="11703A14" w14:textId="77777777">
        <w:tc>
          <w:tcPr>
            <w:tcW w:w="3027" w:type="dxa"/>
            <w:tcMar>
              <w:left w:w="108" w:type="dxa"/>
              <w:right w:w="108" w:type="dxa"/>
            </w:tcMar>
            <w:vAlign w:val="bottom"/>
          </w:tcPr>
          <w:p w:rsidRPr="009C48DA" w:rsidR="00661519" w:rsidP="00661519" w:rsidRDefault="00661519" w14:paraId="6793F529"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Liabilities</w:t>
            </w:r>
          </w:p>
        </w:tc>
        <w:tc>
          <w:tcPr>
            <w:tcW w:w="922" w:type="dxa"/>
            <w:tcMar>
              <w:left w:w="108" w:type="dxa"/>
              <w:right w:w="108" w:type="dxa"/>
            </w:tcMar>
            <w:vAlign w:val="bottom"/>
          </w:tcPr>
          <w:p w:rsidRPr="009C48DA" w:rsidR="00661519" w:rsidP="00661519" w:rsidRDefault="00661519" w14:paraId="32310953"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1E3F906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78" w:type="dxa"/>
            <w:tcMar>
              <w:left w:w="108" w:type="dxa"/>
              <w:right w:w="108" w:type="dxa"/>
            </w:tcMar>
            <w:vAlign w:val="bottom"/>
          </w:tcPr>
          <w:p w:rsidRPr="009C48DA" w:rsidR="00661519" w:rsidP="00661519" w:rsidRDefault="00661519" w14:paraId="0794157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78" w:type="dxa"/>
            <w:tcMar>
              <w:left w:w="108" w:type="dxa"/>
              <w:right w:w="108" w:type="dxa"/>
            </w:tcMar>
            <w:vAlign w:val="bottom"/>
          </w:tcPr>
          <w:p w:rsidRPr="009C48DA" w:rsidR="00661519" w:rsidP="00661519" w:rsidRDefault="00661519" w14:paraId="5709343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78" w:type="dxa"/>
            <w:tcMar>
              <w:left w:w="108" w:type="dxa"/>
              <w:right w:w="108" w:type="dxa"/>
            </w:tcMar>
            <w:vAlign w:val="bottom"/>
          </w:tcPr>
          <w:p w:rsidRPr="009C48DA" w:rsidR="00661519" w:rsidP="00661519" w:rsidRDefault="00661519" w14:paraId="17256A6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22654118" w14:textId="77777777">
        <w:tc>
          <w:tcPr>
            <w:tcW w:w="3027" w:type="dxa"/>
            <w:tcMar>
              <w:left w:w="108" w:type="dxa"/>
              <w:right w:w="108" w:type="dxa"/>
            </w:tcMar>
            <w:vAlign w:val="bottom"/>
          </w:tcPr>
          <w:p w:rsidRPr="009C48DA" w:rsidR="00661519" w:rsidP="00661519" w:rsidRDefault="00661519" w14:paraId="1970D561"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Non-current liabilities</w:t>
            </w:r>
          </w:p>
        </w:tc>
        <w:tc>
          <w:tcPr>
            <w:tcW w:w="922" w:type="dxa"/>
            <w:tcMar>
              <w:left w:w="108" w:type="dxa"/>
              <w:right w:w="108" w:type="dxa"/>
            </w:tcMar>
            <w:vAlign w:val="bottom"/>
          </w:tcPr>
          <w:p w:rsidRPr="009C48DA" w:rsidR="00661519" w:rsidP="00661519" w:rsidRDefault="00661519" w14:paraId="18B6A1FD"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31711FC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78" w:type="dxa"/>
            <w:tcMar>
              <w:left w:w="108" w:type="dxa"/>
              <w:right w:w="108" w:type="dxa"/>
            </w:tcMar>
            <w:vAlign w:val="bottom"/>
          </w:tcPr>
          <w:p w:rsidRPr="009C48DA" w:rsidR="00661519" w:rsidP="00661519" w:rsidRDefault="00661519" w14:paraId="5BDD105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78" w:type="dxa"/>
            <w:tcMar>
              <w:left w:w="108" w:type="dxa"/>
              <w:right w:w="108" w:type="dxa"/>
            </w:tcMar>
            <w:vAlign w:val="bottom"/>
          </w:tcPr>
          <w:p w:rsidRPr="009C48DA" w:rsidR="00661519" w:rsidP="00661519" w:rsidRDefault="00661519" w14:paraId="4AC823B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78" w:type="dxa"/>
            <w:tcMar>
              <w:left w:w="108" w:type="dxa"/>
              <w:right w:w="108" w:type="dxa"/>
            </w:tcMar>
            <w:vAlign w:val="bottom"/>
          </w:tcPr>
          <w:p w:rsidRPr="009C48DA" w:rsidR="00661519" w:rsidP="00661519" w:rsidRDefault="00661519" w14:paraId="7B0FA62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5C614B87" w14:textId="77777777">
        <w:tc>
          <w:tcPr>
            <w:tcW w:w="3027" w:type="dxa"/>
            <w:tcMar>
              <w:left w:w="108" w:type="dxa"/>
              <w:right w:w="108" w:type="dxa"/>
            </w:tcMar>
            <w:vAlign w:val="bottom"/>
          </w:tcPr>
          <w:p w:rsidRPr="009C48DA" w:rsidR="00661519" w:rsidP="00661519" w:rsidRDefault="00661519" w14:paraId="217EE7FF"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payables</w:t>
            </w:r>
          </w:p>
        </w:tc>
        <w:tc>
          <w:tcPr>
            <w:tcW w:w="922" w:type="dxa"/>
            <w:tcMar>
              <w:left w:w="108" w:type="dxa"/>
              <w:right w:w="108" w:type="dxa"/>
            </w:tcMar>
            <w:vAlign w:val="bottom"/>
          </w:tcPr>
          <w:p w:rsidRPr="009C48DA" w:rsidR="00661519" w:rsidP="00661519" w:rsidRDefault="00661519" w14:paraId="1C96F6E8"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w:t>
            </w:r>
          </w:p>
        </w:tc>
        <w:tc>
          <w:tcPr>
            <w:tcW w:w="1277" w:type="dxa"/>
            <w:tcMar>
              <w:left w:w="108" w:type="dxa"/>
              <w:right w:w="108" w:type="dxa"/>
            </w:tcMar>
            <w:vAlign w:val="bottom"/>
          </w:tcPr>
          <w:p w:rsidRPr="009C48DA" w:rsidR="00661519" w:rsidP="00661519" w:rsidRDefault="00661519" w14:paraId="668AF0E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480</w:t>
            </w:r>
          </w:p>
        </w:tc>
        <w:tc>
          <w:tcPr>
            <w:tcW w:w="1278" w:type="dxa"/>
            <w:tcMar>
              <w:left w:w="108" w:type="dxa"/>
              <w:right w:w="108" w:type="dxa"/>
            </w:tcMar>
            <w:vAlign w:val="bottom"/>
          </w:tcPr>
          <w:p w:rsidRPr="009C48DA" w:rsidR="00661519" w:rsidP="00661519" w:rsidRDefault="00661519" w14:paraId="7B47D65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515</w:t>
            </w:r>
          </w:p>
        </w:tc>
        <w:tc>
          <w:tcPr>
            <w:tcW w:w="1278" w:type="dxa"/>
            <w:tcMar>
              <w:left w:w="108" w:type="dxa"/>
              <w:right w:w="108" w:type="dxa"/>
            </w:tcMar>
            <w:vAlign w:val="bottom"/>
          </w:tcPr>
          <w:p w:rsidRPr="009C48DA" w:rsidR="00661519" w:rsidP="00661519" w:rsidRDefault="00661519" w14:paraId="0DF6589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32,151</w:t>
            </w:r>
          </w:p>
        </w:tc>
        <w:tc>
          <w:tcPr>
            <w:tcW w:w="1278" w:type="dxa"/>
            <w:tcMar>
              <w:left w:w="108" w:type="dxa"/>
              <w:right w:w="108" w:type="dxa"/>
            </w:tcMar>
            <w:vAlign w:val="bottom"/>
          </w:tcPr>
          <w:p w:rsidRPr="009C48DA" w:rsidR="00661519" w:rsidP="00661519" w:rsidRDefault="00661519" w14:paraId="3EB261D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31,001</w:t>
            </w:r>
          </w:p>
        </w:tc>
      </w:tr>
      <w:tr w:rsidRPr="009C48DA" w:rsidR="00661519" w:rsidTr="00661519" w14:paraId="489D610A" w14:textId="77777777">
        <w:tc>
          <w:tcPr>
            <w:tcW w:w="3027" w:type="dxa"/>
            <w:tcMar>
              <w:left w:w="108" w:type="dxa"/>
              <w:right w:w="108" w:type="dxa"/>
            </w:tcMar>
            <w:vAlign w:val="bottom"/>
          </w:tcPr>
          <w:p w:rsidRPr="009C48DA" w:rsidR="00661519" w:rsidP="00661519" w:rsidRDefault="00661519" w14:paraId="1B9B57A2"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Borrowings </w:t>
            </w:r>
          </w:p>
        </w:tc>
        <w:tc>
          <w:tcPr>
            <w:tcW w:w="922" w:type="dxa"/>
            <w:tcMar>
              <w:left w:w="108" w:type="dxa"/>
              <w:right w:w="108" w:type="dxa"/>
            </w:tcMar>
            <w:vAlign w:val="bottom"/>
          </w:tcPr>
          <w:p w:rsidRPr="009C48DA" w:rsidR="00661519" w:rsidP="00661519" w:rsidRDefault="00661519" w14:paraId="317D904F"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w:t>
            </w:r>
          </w:p>
        </w:tc>
        <w:tc>
          <w:tcPr>
            <w:tcW w:w="1277" w:type="dxa"/>
            <w:tcMar>
              <w:left w:w="108" w:type="dxa"/>
              <w:right w:w="108" w:type="dxa"/>
            </w:tcMar>
            <w:vAlign w:val="bottom"/>
          </w:tcPr>
          <w:p w:rsidRPr="009C48DA" w:rsidR="00661519" w:rsidP="00661519" w:rsidRDefault="00661519" w14:paraId="3915F1D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77,316</w:t>
            </w:r>
          </w:p>
        </w:tc>
        <w:tc>
          <w:tcPr>
            <w:tcW w:w="1278" w:type="dxa"/>
            <w:tcMar>
              <w:left w:w="108" w:type="dxa"/>
              <w:right w:w="108" w:type="dxa"/>
            </w:tcMar>
            <w:vAlign w:val="bottom"/>
          </w:tcPr>
          <w:p w:rsidRPr="009C48DA" w:rsidR="00661519" w:rsidP="00661519" w:rsidRDefault="00661519" w14:paraId="19EC192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19,226</w:t>
            </w:r>
          </w:p>
        </w:tc>
        <w:tc>
          <w:tcPr>
            <w:tcW w:w="1278" w:type="dxa"/>
            <w:tcMar>
              <w:left w:w="108" w:type="dxa"/>
              <w:right w:w="108" w:type="dxa"/>
            </w:tcMar>
            <w:vAlign w:val="bottom"/>
          </w:tcPr>
          <w:p w:rsidRPr="009C48DA" w:rsidR="00661519" w:rsidP="00661519" w:rsidRDefault="00661519" w14:paraId="118DC8A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0757A68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43FB431D" w14:textId="77777777">
        <w:tc>
          <w:tcPr>
            <w:tcW w:w="3027" w:type="dxa"/>
            <w:tcMar>
              <w:left w:w="108" w:type="dxa"/>
              <w:right w:w="108" w:type="dxa"/>
            </w:tcMar>
            <w:vAlign w:val="bottom"/>
          </w:tcPr>
          <w:p w:rsidRPr="009C48DA" w:rsidR="00661519" w:rsidP="00661519" w:rsidRDefault="00661519" w14:paraId="58A09319"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Other financial liabilities</w:t>
            </w:r>
          </w:p>
        </w:tc>
        <w:tc>
          <w:tcPr>
            <w:tcW w:w="922" w:type="dxa"/>
            <w:tcMar>
              <w:left w:w="108" w:type="dxa"/>
              <w:right w:w="108" w:type="dxa"/>
            </w:tcMar>
            <w:vAlign w:val="bottom"/>
          </w:tcPr>
          <w:p w:rsidRPr="009C48DA" w:rsidR="00661519" w:rsidP="00661519" w:rsidRDefault="00661519" w14:paraId="23381773"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w:t>
            </w:r>
          </w:p>
        </w:tc>
        <w:tc>
          <w:tcPr>
            <w:tcW w:w="1277" w:type="dxa"/>
            <w:tcMar>
              <w:left w:w="108" w:type="dxa"/>
              <w:right w:w="108" w:type="dxa"/>
            </w:tcMar>
            <w:vAlign w:val="bottom"/>
          </w:tcPr>
          <w:p w:rsidRPr="009C48DA" w:rsidR="00661519" w:rsidP="00661519" w:rsidRDefault="00661519" w14:paraId="39E869C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2,096</w:t>
            </w:r>
          </w:p>
        </w:tc>
        <w:tc>
          <w:tcPr>
            <w:tcW w:w="1278" w:type="dxa"/>
            <w:tcMar>
              <w:left w:w="108" w:type="dxa"/>
              <w:right w:w="108" w:type="dxa"/>
            </w:tcMar>
            <w:vAlign w:val="bottom"/>
          </w:tcPr>
          <w:p w:rsidRPr="009C48DA" w:rsidR="00661519" w:rsidP="00661519" w:rsidRDefault="00661519" w14:paraId="242F9AD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2,840</w:t>
            </w:r>
          </w:p>
        </w:tc>
        <w:tc>
          <w:tcPr>
            <w:tcW w:w="1278" w:type="dxa"/>
            <w:tcMar>
              <w:left w:w="108" w:type="dxa"/>
              <w:right w:w="108" w:type="dxa"/>
            </w:tcMar>
            <w:vAlign w:val="bottom"/>
          </w:tcPr>
          <w:p w:rsidRPr="009C48DA" w:rsidR="00661519" w:rsidP="00661519" w:rsidRDefault="00661519" w14:paraId="5153FAE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3,821</w:t>
            </w:r>
          </w:p>
        </w:tc>
        <w:tc>
          <w:tcPr>
            <w:tcW w:w="1278" w:type="dxa"/>
            <w:tcMar>
              <w:left w:w="108" w:type="dxa"/>
              <w:right w:w="108" w:type="dxa"/>
            </w:tcMar>
            <w:vAlign w:val="bottom"/>
          </w:tcPr>
          <w:p w:rsidRPr="009C48DA" w:rsidR="00661519" w:rsidP="00661519" w:rsidRDefault="00661519" w14:paraId="1DCC5C3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5,762</w:t>
            </w:r>
          </w:p>
        </w:tc>
      </w:tr>
      <w:tr w:rsidRPr="009C48DA" w:rsidR="00661519" w:rsidTr="00661519" w14:paraId="567E4C50" w14:textId="77777777">
        <w:tc>
          <w:tcPr>
            <w:tcW w:w="3027" w:type="dxa"/>
            <w:tcMar>
              <w:left w:w="108" w:type="dxa"/>
              <w:right w:w="108" w:type="dxa"/>
            </w:tcMar>
            <w:vAlign w:val="bottom"/>
          </w:tcPr>
          <w:p w:rsidRPr="009C48DA" w:rsidR="00661519" w:rsidP="00661519" w:rsidRDefault="00661519" w14:paraId="194A76CB"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CLO liabilities*</w:t>
            </w:r>
          </w:p>
        </w:tc>
        <w:tc>
          <w:tcPr>
            <w:tcW w:w="922" w:type="dxa"/>
            <w:tcMar>
              <w:left w:w="108" w:type="dxa"/>
              <w:right w:w="108" w:type="dxa"/>
            </w:tcMar>
            <w:vAlign w:val="bottom"/>
          </w:tcPr>
          <w:p w:rsidRPr="009C48DA" w:rsidR="00661519" w:rsidP="00661519" w:rsidRDefault="00661519" w14:paraId="58BC199E"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w:t>
            </w:r>
          </w:p>
        </w:tc>
        <w:tc>
          <w:tcPr>
            <w:tcW w:w="1277" w:type="dxa"/>
            <w:tcMar>
              <w:left w:w="108" w:type="dxa"/>
              <w:right w:w="108" w:type="dxa"/>
            </w:tcMar>
            <w:vAlign w:val="bottom"/>
          </w:tcPr>
          <w:p w:rsidRPr="009C48DA" w:rsidR="00661519" w:rsidP="00661519" w:rsidRDefault="00661519" w14:paraId="432FB45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1827383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33A3729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256,606</w:t>
            </w:r>
          </w:p>
        </w:tc>
        <w:tc>
          <w:tcPr>
            <w:tcW w:w="1278" w:type="dxa"/>
            <w:tcMar>
              <w:left w:w="108" w:type="dxa"/>
              <w:right w:w="108" w:type="dxa"/>
            </w:tcMar>
            <w:vAlign w:val="bottom"/>
          </w:tcPr>
          <w:p w:rsidRPr="009C48DA" w:rsidR="00661519" w:rsidP="00661519" w:rsidRDefault="00661519" w14:paraId="206ED21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245,727</w:t>
            </w:r>
          </w:p>
        </w:tc>
      </w:tr>
      <w:tr w:rsidRPr="009C48DA" w:rsidR="00661519" w:rsidTr="00661519" w14:paraId="41BCE3C3" w14:textId="77777777">
        <w:tc>
          <w:tcPr>
            <w:tcW w:w="3027" w:type="dxa"/>
            <w:tcMar>
              <w:left w:w="108" w:type="dxa"/>
              <w:right w:w="108" w:type="dxa"/>
            </w:tcMar>
            <w:vAlign w:val="bottom"/>
          </w:tcPr>
          <w:p w:rsidRPr="009C48DA" w:rsidR="00661519" w:rsidP="00661519" w:rsidRDefault="00661519" w14:paraId="46428D5A"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Lease liabilities</w:t>
            </w:r>
          </w:p>
        </w:tc>
        <w:tc>
          <w:tcPr>
            <w:tcW w:w="922" w:type="dxa"/>
            <w:tcMar>
              <w:left w:w="108" w:type="dxa"/>
              <w:right w:w="108" w:type="dxa"/>
            </w:tcMar>
            <w:vAlign w:val="bottom"/>
          </w:tcPr>
          <w:p w:rsidRPr="009C48DA" w:rsidR="00661519" w:rsidP="00661519" w:rsidRDefault="00661519" w14:paraId="02358BF1"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w:t>
            </w:r>
          </w:p>
        </w:tc>
        <w:tc>
          <w:tcPr>
            <w:tcW w:w="1277" w:type="dxa"/>
            <w:tcMar>
              <w:left w:w="108" w:type="dxa"/>
              <w:right w:w="108" w:type="dxa"/>
            </w:tcMar>
            <w:vAlign w:val="bottom"/>
          </w:tcPr>
          <w:p w:rsidRPr="009C48DA" w:rsidR="00661519" w:rsidP="00661519" w:rsidRDefault="00661519" w14:paraId="5B4652A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44,671</w:t>
            </w:r>
          </w:p>
        </w:tc>
        <w:tc>
          <w:tcPr>
            <w:tcW w:w="1278" w:type="dxa"/>
            <w:tcMar>
              <w:left w:w="108" w:type="dxa"/>
              <w:right w:w="108" w:type="dxa"/>
            </w:tcMar>
            <w:vAlign w:val="bottom"/>
          </w:tcPr>
          <w:p w:rsidRPr="009C48DA" w:rsidR="00661519" w:rsidP="00661519" w:rsidRDefault="00661519" w14:paraId="33DD89B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42,267</w:t>
            </w:r>
          </w:p>
        </w:tc>
        <w:tc>
          <w:tcPr>
            <w:tcW w:w="1278" w:type="dxa"/>
            <w:tcMar>
              <w:left w:w="108" w:type="dxa"/>
              <w:right w:w="108" w:type="dxa"/>
            </w:tcMar>
            <w:vAlign w:val="bottom"/>
          </w:tcPr>
          <w:p w:rsidRPr="009C48DA" w:rsidR="00661519" w:rsidP="00661519" w:rsidRDefault="00661519" w14:paraId="54F81E8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35,915</w:t>
            </w:r>
          </w:p>
        </w:tc>
        <w:tc>
          <w:tcPr>
            <w:tcW w:w="1278" w:type="dxa"/>
            <w:tcMar>
              <w:left w:w="108" w:type="dxa"/>
              <w:right w:w="108" w:type="dxa"/>
            </w:tcMar>
            <w:vAlign w:val="bottom"/>
          </w:tcPr>
          <w:p w:rsidRPr="009C48DA" w:rsidR="00661519" w:rsidP="00661519" w:rsidRDefault="00661519" w14:paraId="4DB8B32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35,098</w:t>
            </w:r>
          </w:p>
        </w:tc>
      </w:tr>
      <w:tr w:rsidRPr="009C48DA" w:rsidR="00661519" w:rsidTr="00661519" w14:paraId="25538D7F" w14:textId="77777777">
        <w:tc>
          <w:tcPr>
            <w:tcW w:w="3027" w:type="dxa"/>
            <w:tcMar>
              <w:left w:w="108" w:type="dxa"/>
              <w:right w:w="108" w:type="dxa"/>
            </w:tcMar>
            <w:vAlign w:val="bottom"/>
          </w:tcPr>
          <w:p w:rsidRPr="009C48DA" w:rsidR="00661519" w:rsidP="00661519" w:rsidRDefault="00661519" w14:paraId="067A8377"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Deferred tax liabilities</w:t>
            </w:r>
          </w:p>
        </w:tc>
        <w:tc>
          <w:tcPr>
            <w:tcW w:w="922" w:type="dxa"/>
            <w:tcMar>
              <w:left w:w="108" w:type="dxa"/>
              <w:right w:w="108" w:type="dxa"/>
            </w:tcMar>
            <w:vAlign w:val="bottom"/>
          </w:tcPr>
          <w:p w:rsidRPr="009C48DA" w:rsidR="00661519" w:rsidP="00661519" w:rsidRDefault="00661519" w14:paraId="2512149E"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w:t>
            </w:r>
          </w:p>
        </w:tc>
        <w:tc>
          <w:tcPr>
            <w:tcW w:w="1277" w:type="dxa"/>
            <w:tcMar>
              <w:left w:w="108" w:type="dxa"/>
              <w:right w:w="108" w:type="dxa"/>
            </w:tcMar>
            <w:vAlign w:val="bottom"/>
          </w:tcPr>
          <w:p w:rsidRPr="009C48DA" w:rsidR="00661519" w:rsidP="00661519" w:rsidRDefault="00661519" w14:paraId="41ADC791"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9,369</w:t>
            </w:r>
          </w:p>
        </w:tc>
        <w:tc>
          <w:tcPr>
            <w:tcW w:w="1278" w:type="dxa"/>
            <w:tcMar>
              <w:left w:w="108" w:type="dxa"/>
              <w:right w:w="108" w:type="dxa"/>
            </w:tcMar>
            <w:vAlign w:val="bottom"/>
          </w:tcPr>
          <w:p w:rsidRPr="009C48DA" w:rsidR="00661519" w:rsidP="00661519" w:rsidRDefault="00661519" w14:paraId="42CDDB2B"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13,895</w:t>
            </w:r>
          </w:p>
        </w:tc>
        <w:tc>
          <w:tcPr>
            <w:tcW w:w="1278" w:type="dxa"/>
            <w:tcMar>
              <w:left w:w="108" w:type="dxa"/>
              <w:right w:w="108" w:type="dxa"/>
            </w:tcMar>
            <w:vAlign w:val="bottom"/>
          </w:tcPr>
          <w:p w:rsidRPr="009C48DA" w:rsidR="00661519" w:rsidP="00661519" w:rsidRDefault="00661519" w14:paraId="6E5DE420"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15,903</w:t>
            </w:r>
          </w:p>
        </w:tc>
        <w:tc>
          <w:tcPr>
            <w:tcW w:w="1278" w:type="dxa"/>
            <w:tcMar>
              <w:left w:w="108" w:type="dxa"/>
              <w:right w:w="108" w:type="dxa"/>
            </w:tcMar>
            <w:vAlign w:val="bottom"/>
          </w:tcPr>
          <w:p w:rsidRPr="009C48DA" w:rsidR="00661519" w:rsidP="00661519" w:rsidRDefault="00661519" w14:paraId="230581DC"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19,932</w:t>
            </w:r>
          </w:p>
        </w:tc>
      </w:tr>
      <w:tr w:rsidRPr="009C48DA" w:rsidR="00661519" w:rsidTr="00661519" w14:paraId="2A0BC68C" w14:textId="77777777">
        <w:tc>
          <w:tcPr>
            <w:tcW w:w="3027" w:type="dxa"/>
            <w:tcMar>
              <w:left w:w="108" w:type="dxa"/>
              <w:right w:w="108" w:type="dxa"/>
            </w:tcMar>
            <w:vAlign w:val="bottom"/>
          </w:tcPr>
          <w:p w:rsidRPr="009C48DA" w:rsidR="00661519" w:rsidP="00661519" w:rsidRDefault="00661519" w14:paraId="1167F9EF"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non-current liabilities</w:t>
            </w:r>
          </w:p>
        </w:tc>
        <w:tc>
          <w:tcPr>
            <w:tcW w:w="922" w:type="dxa"/>
            <w:tcMar>
              <w:left w:w="108" w:type="dxa"/>
              <w:right w:w="108" w:type="dxa"/>
            </w:tcMar>
            <w:vAlign w:val="bottom"/>
          </w:tcPr>
          <w:p w:rsidRPr="009C48DA" w:rsidR="00661519" w:rsidP="00661519" w:rsidRDefault="00661519" w14:paraId="5CEC1386"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67B5E361"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133,932</w:t>
            </w:r>
          </w:p>
        </w:tc>
        <w:tc>
          <w:tcPr>
            <w:tcW w:w="1278" w:type="dxa"/>
            <w:tcMar>
              <w:left w:w="108" w:type="dxa"/>
              <w:right w:w="108" w:type="dxa"/>
            </w:tcMar>
            <w:vAlign w:val="bottom"/>
          </w:tcPr>
          <w:p w:rsidRPr="009C48DA" w:rsidR="00661519" w:rsidP="00661519" w:rsidRDefault="00661519" w14:paraId="47E0E910"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78,743</w:t>
            </w:r>
          </w:p>
        </w:tc>
        <w:tc>
          <w:tcPr>
            <w:tcW w:w="1278" w:type="dxa"/>
            <w:tcMar>
              <w:left w:w="108" w:type="dxa"/>
              <w:right w:w="108" w:type="dxa"/>
            </w:tcMar>
            <w:vAlign w:val="bottom"/>
          </w:tcPr>
          <w:p w:rsidRPr="009C48DA" w:rsidR="00661519" w:rsidP="00661519" w:rsidRDefault="00661519" w14:paraId="1A59E913"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344,396</w:t>
            </w:r>
          </w:p>
        </w:tc>
        <w:tc>
          <w:tcPr>
            <w:tcW w:w="1278" w:type="dxa"/>
            <w:tcMar>
              <w:left w:w="108" w:type="dxa"/>
              <w:right w:w="108" w:type="dxa"/>
            </w:tcMar>
            <w:vAlign w:val="bottom"/>
          </w:tcPr>
          <w:p w:rsidRPr="009C48DA" w:rsidR="00661519" w:rsidP="00661519" w:rsidRDefault="00661519" w14:paraId="064F44B7"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337,520</w:t>
            </w:r>
          </w:p>
        </w:tc>
      </w:tr>
      <w:tr w:rsidRPr="009C48DA" w:rsidR="00661519" w:rsidTr="00661519" w14:paraId="2EDB4245" w14:textId="77777777">
        <w:tc>
          <w:tcPr>
            <w:tcW w:w="3027" w:type="dxa"/>
            <w:tcMar>
              <w:left w:w="108" w:type="dxa"/>
              <w:right w:w="108" w:type="dxa"/>
            </w:tcMar>
            <w:vAlign w:val="bottom"/>
          </w:tcPr>
          <w:p w:rsidRPr="009C48DA" w:rsidR="00661519" w:rsidP="00661519" w:rsidRDefault="00661519" w14:paraId="20CCA6D4"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Current liabilities</w:t>
            </w:r>
          </w:p>
        </w:tc>
        <w:tc>
          <w:tcPr>
            <w:tcW w:w="922" w:type="dxa"/>
            <w:tcMar>
              <w:left w:w="108" w:type="dxa"/>
              <w:right w:w="108" w:type="dxa"/>
            </w:tcMar>
            <w:vAlign w:val="bottom"/>
          </w:tcPr>
          <w:p w:rsidRPr="009C48DA" w:rsidR="00661519" w:rsidP="00661519" w:rsidRDefault="00661519" w14:paraId="6628CECE"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4692B31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78" w:type="dxa"/>
            <w:tcMar>
              <w:left w:w="108" w:type="dxa"/>
              <w:right w:w="108" w:type="dxa"/>
            </w:tcMar>
            <w:vAlign w:val="bottom"/>
          </w:tcPr>
          <w:p w:rsidRPr="009C48DA" w:rsidR="00661519" w:rsidP="00661519" w:rsidRDefault="00661519" w14:paraId="04ED55A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78" w:type="dxa"/>
            <w:tcMar>
              <w:left w:w="108" w:type="dxa"/>
              <w:right w:w="108" w:type="dxa"/>
            </w:tcMar>
            <w:vAlign w:val="bottom"/>
          </w:tcPr>
          <w:p w:rsidRPr="009C48DA" w:rsidR="00661519" w:rsidP="00661519" w:rsidRDefault="00661519" w14:paraId="1FFC529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78" w:type="dxa"/>
            <w:tcMar>
              <w:left w:w="108" w:type="dxa"/>
              <w:right w:w="108" w:type="dxa"/>
            </w:tcMar>
            <w:vAlign w:val="bottom"/>
          </w:tcPr>
          <w:p w:rsidRPr="009C48DA" w:rsidR="00661519" w:rsidP="00661519" w:rsidRDefault="00661519" w14:paraId="2DF86F8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5941598C" w14:textId="77777777">
        <w:tc>
          <w:tcPr>
            <w:tcW w:w="3027" w:type="dxa"/>
            <w:tcMar>
              <w:left w:w="108" w:type="dxa"/>
              <w:right w:w="108" w:type="dxa"/>
            </w:tcMar>
            <w:vAlign w:val="bottom"/>
          </w:tcPr>
          <w:p w:rsidRPr="009C48DA" w:rsidR="00661519" w:rsidP="00661519" w:rsidRDefault="00661519" w14:paraId="2C8A1BB2"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payables</w:t>
            </w:r>
          </w:p>
        </w:tc>
        <w:tc>
          <w:tcPr>
            <w:tcW w:w="922" w:type="dxa"/>
            <w:tcMar>
              <w:left w:w="108" w:type="dxa"/>
              <w:right w:w="108" w:type="dxa"/>
            </w:tcMar>
            <w:vAlign w:val="bottom"/>
          </w:tcPr>
          <w:p w:rsidRPr="009C48DA" w:rsidR="00661519" w:rsidP="00661519" w:rsidRDefault="00661519" w14:paraId="49555235"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w:t>
            </w:r>
          </w:p>
        </w:tc>
        <w:tc>
          <w:tcPr>
            <w:tcW w:w="1277" w:type="dxa"/>
            <w:tcMar>
              <w:left w:w="108" w:type="dxa"/>
              <w:right w:w="108" w:type="dxa"/>
            </w:tcMar>
            <w:vAlign w:val="bottom"/>
          </w:tcPr>
          <w:p w:rsidRPr="009C48DA" w:rsidR="00661519" w:rsidP="00661519" w:rsidRDefault="00661519" w14:paraId="693F8D3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67,732</w:t>
            </w:r>
          </w:p>
        </w:tc>
        <w:tc>
          <w:tcPr>
            <w:tcW w:w="1278" w:type="dxa"/>
            <w:tcMar>
              <w:left w:w="108" w:type="dxa"/>
              <w:right w:w="108" w:type="dxa"/>
            </w:tcMar>
            <w:vAlign w:val="bottom"/>
          </w:tcPr>
          <w:p w:rsidRPr="009C48DA" w:rsidR="00661519" w:rsidP="00661519" w:rsidRDefault="00661519" w14:paraId="4619B8F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43,213</w:t>
            </w:r>
          </w:p>
        </w:tc>
        <w:tc>
          <w:tcPr>
            <w:tcW w:w="1278" w:type="dxa"/>
            <w:tcMar>
              <w:left w:w="108" w:type="dxa"/>
              <w:right w:w="108" w:type="dxa"/>
            </w:tcMar>
            <w:vAlign w:val="bottom"/>
          </w:tcPr>
          <w:p w:rsidRPr="009C48DA" w:rsidR="00661519" w:rsidP="00661519" w:rsidRDefault="00661519" w14:paraId="63D9E63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85,871</w:t>
            </w:r>
          </w:p>
        </w:tc>
        <w:tc>
          <w:tcPr>
            <w:tcW w:w="1278" w:type="dxa"/>
            <w:tcMar>
              <w:left w:w="108" w:type="dxa"/>
              <w:right w:w="108" w:type="dxa"/>
            </w:tcMar>
            <w:vAlign w:val="bottom"/>
          </w:tcPr>
          <w:p w:rsidRPr="009C48DA" w:rsidR="00661519" w:rsidP="00661519" w:rsidRDefault="00661519" w14:paraId="3960FFC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98,340</w:t>
            </w:r>
          </w:p>
        </w:tc>
      </w:tr>
      <w:tr w:rsidRPr="009C48DA" w:rsidR="00661519" w:rsidTr="00661519" w14:paraId="183A0D82" w14:textId="77777777">
        <w:tc>
          <w:tcPr>
            <w:tcW w:w="3027" w:type="dxa"/>
            <w:tcMar>
              <w:left w:w="108" w:type="dxa"/>
              <w:right w:w="108" w:type="dxa"/>
            </w:tcMar>
            <w:vAlign w:val="bottom"/>
          </w:tcPr>
          <w:p w:rsidRPr="009C48DA" w:rsidR="00661519" w:rsidP="00661519" w:rsidRDefault="00661519" w14:paraId="3B152B0C"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Borrowings </w:t>
            </w:r>
          </w:p>
        </w:tc>
        <w:tc>
          <w:tcPr>
            <w:tcW w:w="922" w:type="dxa"/>
            <w:tcMar>
              <w:left w:w="108" w:type="dxa"/>
              <w:right w:w="108" w:type="dxa"/>
            </w:tcMar>
            <w:vAlign w:val="bottom"/>
          </w:tcPr>
          <w:p w:rsidRPr="009C48DA" w:rsidR="00661519" w:rsidP="00661519" w:rsidRDefault="00661519" w14:paraId="3621475F"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w:t>
            </w:r>
          </w:p>
        </w:tc>
        <w:tc>
          <w:tcPr>
            <w:tcW w:w="1277" w:type="dxa"/>
            <w:tcMar>
              <w:left w:w="108" w:type="dxa"/>
              <w:right w:w="108" w:type="dxa"/>
            </w:tcMar>
            <w:vAlign w:val="bottom"/>
          </w:tcPr>
          <w:p w:rsidRPr="009C48DA" w:rsidR="00661519" w:rsidP="00661519" w:rsidRDefault="00661519" w14:paraId="35BBE37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041187C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23,036</w:t>
            </w:r>
          </w:p>
        </w:tc>
        <w:tc>
          <w:tcPr>
            <w:tcW w:w="1278" w:type="dxa"/>
            <w:tcMar>
              <w:left w:w="108" w:type="dxa"/>
              <w:right w:w="108" w:type="dxa"/>
            </w:tcMar>
            <w:vAlign w:val="bottom"/>
          </w:tcPr>
          <w:p w:rsidRPr="009C48DA" w:rsidR="00661519" w:rsidP="00661519" w:rsidRDefault="00661519" w14:paraId="2F91837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99,708</w:t>
            </w:r>
          </w:p>
        </w:tc>
        <w:tc>
          <w:tcPr>
            <w:tcW w:w="1278" w:type="dxa"/>
            <w:tcMar>
              <w:left w:w="108" w:type="dxa"/>
              <w:right w:w="108" w:type="dxa"/>
            </w:tcMar>
            <w:vAlign w:val="bottom"/>
          </w:tcPr>
          <w:p w:rsidRPr="009C48DA" w:rsidR="00661519" w:rsidP="00661519" w:rsidRDefault="00661519" w14:paraId="7C6DB80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87,493</w:t>
            </w:r>
          </w:p>
        </w:tc>
      </w:tr>
      <w:tr w:rsidRPr="009C48DA" w:rsidR="00661519" w:rsidTr="00661519" w14:paraId="272B1866" w14:textId="77777777">
        <w:tc>
          <w:tcPr>
            <w:tcW w:w="3027" w:type="dxa"/>
            <w:tcMar>
              <w:left w:w="108" w:type="dxa"/>
              <w:right w:w="108" w:type="dxa"/>
            </w:tcMar>
            <w:vAlign w:val="bottom"/>
          </w:tcPr>
          <w:p w:rsidRPr="009C48DA" w:rsidR="00661519" w:rsidP="00661519" w:rsidRDefault="00661519" w14:paraId="0624FEC9"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Lease liabilities</w:t>
            </w:r>
          </w:p>
        </w:tc>
        <w:tc>
          <w:tcPr>
            <w:tcW w:w="922" w:type="dxa"/>
            <w:tcMar>
              <w:left w:w="108" w:type="dxa"/>
              <w:right w:w="108" w:type="dxa"/>
            </w:tcMar>
            <w:vAlign w:val="bottom"/>
          </w:tcPr>
          <w:p w:rsidRPr="009C48DA" w:rsidR="00661519" w:rsidP="00661519" w:rsidRDefault="00661519" w14:paraId="544F0E3B"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w:t>
            </w:r>
          </w:p>
        </w:tc>
        <w:tc>
          <w:tcPr>
            <w:tcW w:w="1277" w:type="dxa"/>
            <w:tcMar>
              <w:left w:w="108" w:type="dxa"/>
              <w:right w:w="108" w:type="dxa"/>
            </w:tcMar>
            <w:vAlign w:val="bottom"/>
          </w:tcPr>
          <w:p w:rsidRPr="009C48DA" w:rsidR="00661519" w:rsidP="00661519" w:rsidRDefault="00661519" w14:paraId="77E1C38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4,120</w:t>
            </w:r>
          </w:p>
        </w:tc>
        <w:tc>
          <w:tcPr>
            <w:tcW w:w="1278" w:type="dxa"/>
            <w:tcMar>
              <w:left w:w="108" w:type="dxa"/>
              <w:right w:w="108" w:type="dxa"/>
            </w:tcMar>
            <w:vAlign w:val="bottom"/>
          </w:tcPr>
          <w:p w:rsidRPr="009C48DA" w:rsidR="00661519" w:rsidP="00661519" w:rsidRDefault="00661519" w14:paraId="2B16E09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5,893</w:t>
            </w:r>
          </w:p>
        </w:tc>
        <w:tc>
          <w:tcPr>
            <w:tcW w:w="1278" w:type="dxa"/>
            <w:tcMar>
              <w:left w:w="108" w:type="dxa"/>
              <w:right w:w="108" w:type="dxa"/>
            </w:tcMar>
            <w:vAlign w:val="bottom"/>
          </w:tcPr>
          <w:p w:rsidRPr="009C48DA" w:rsidR="00661519" w:rsidP="00661519" w:rsidRDefault="00661519" w14:paraId="27B2024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6,087</w:t>
            </w:r>
          </w:p>
        </w:tc>
        <w:tc>
          <w:tcPr>
            <w:tcW w:w="1278" w:type="dxa"/>
            <w:tcMar>
              <w:left w:w="108" w:type="dxa"/>
              <w:right w:w="108" w:type="dxa"/>
            </w:tcMar>
            <w:vAlign w:val="bottom"/>
          </w:tcPr>
          <w:p w:rsidRPr="009C48DA" w:rsidR="00661519" w:rsidP="00661519" w:rsidRDefault="00661519" w14:paraId="730F25D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6,770</w:t>
            </w:r>
          </w:p>
        </w:tc>
      </w:tr>
      <w:tr w:rsidRPr="009C48DA" w:rsidR="00661519" w:rsidTr="00661519" w14:paraId="1F79A48B" w14:textId="77777777">
        <w:tc>
          <w:tcPr>
            <w:tcW w:w="3027" w:type="dxa"/>
            <w:tcMar>
              <w:left w:w="108" w:type="dxa"/>
              <w:right w:w="108" w:type="dxa"/>
            </w:tcMar>
            <w:vAlign w:val="bottom"/>
          </w:tcPr>
          <w:p w:rsidRPr="009C48DA" w:rsidR="00661519" w:rsidP="00661519" w:rsidRDefault="00661519" w14:paraId="3B53C790"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Derivative financial instruments</w:t>
            </w:r>
          </w:p>
        </w:tc>
        <w:tc>
          <w:tcPr>
            <w:tcW w:w="922" w:type="dxa"/>
            <w:tcMar>
              <w:left w:w="108" w:type="dxa"/>
              <w:right w:w="108" w:type="dxa"/>
            </w:tcMar>
            <w:vAlign w:val="bottom"/>
          </w:tcPr>
          <w:p w:rsidRPr="009C48DA" w:rsidR="00661519" w:rsidP="00661519" w:rsidRDefault="00661519" w14:paraId="181BB63B"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w:t>
            </w:r>
          </w:p>
        </w:tc>
        <w:tc>
          <w:tcPr>
            <w:tcW w:w="1277" w:type="dxa"/>
            <w:tcMar>
              <w:left w:w="108" w:type="dxa"/>
              <w:right w:w="108" w:type="dxa"/>
            </w:tcMar>
            <w:vAlign w:val="bottom"/>
          </w:tcPr>
          <w:p w:rsidRPr="009C48DA" w:rsidR="00661519" w:rsidP="00661519" w:rsidRDefault="00661519" w14:paraId="7A2AC3E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5,719</w:t>
            </w:r>
          </w:p>
        </w:tc>
        <w:tc>
          <w:tcPr>
            <w:tcW w:w="1278" w:type="dxa"/>
            <w:tcMar>
              <w:left w:w="108" w:type="dxa"/>
              <w:right w:w="108" w:type="dxa"/>
            </w:tcMar>
            <w:vAlign w:val="bottom"/>
          </w:tcPr>
          <w:p w:rsidRPr="009C48DA" w:rsidR="00661519" w:rsidP="00661519" w:rsidRDefault="00661519" w14:paraId="55A995C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65E3199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4,230</w:t>
            </w:r>
          </w:p>
        </w:tc>
        <w:tc>
          <w:tcPr>
            <w:tcW w:w="1278" w:type="dxa"/>
            <w:tcMar>
              <w:left w:w="108" w:type="dxa"/>
              <w:right w:w="108" w:type="dxa"/>
            </w:tcMar>
            <w:vAlign w:val="bottom"/>
          </w:tcPr>
          <w:p w:rsidRPr="009C48DA" w:rsidR="00661519" w:rsidP="00661519" w:rsidRDefault="00661519" w14:paraId="545A18E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3D345516" w14:textId="77777777">
        <w:tc>
          <w:tcPr>
            <w:tcW w:w="3027" w:type="dxa"/>
            <w:tcMar>
              <w:left w:w="108" w:type="dxa"/>
              <w:right w:w="108" w:type="dxa"/>
            </w:tcMar>
            <w:vAlign w:val="bottom"/>
          </w:tcPr>
          <w:p w:rsidRPr="009C48DA" w:rsidR="00661519" w:rsidP="00661519" w:rsidRDefault="00661519" w14:paraId="18AA2770"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CLO liabilities*</w:t>
            </w:r>
          </w:p>
        </w:tc>
        <w:tc>
          <w:tcPr>
            <w:tcW w:w="922" w:type="dxa"/>
            <w:tcMar>
              <w:left w:w="108" w:type="dxa"/>
              <w:right w:w="108" w:type="dxa"/>
            </w:tcMar>
            <w:vAlign w:val="bottom"/>
          </w:tcPr>
          <w:p w:rsidRPr="009C48DA" w:rsidR="00661519" w:rsidP="00661519" w:rsidRDefault="00661519" w14:paraId="52B7BD57"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w:t>
            </w:r>
          </w:p>
        </w:tc>
        <w:tc>
          <w:tcPr>
            <w:tcW w:w="1277" w:type="dxa"/>
            <w:tcMar>
              <w:left w:w="108" w:type="dxa"/>
              <w:right w:w="108" w:type="dxa"/>
            </w:tcMar>
            <w:vAlign w:val="bottom"/>
          </w:tcPr>
          <w:p w:rsidRPr="009C48DA" w:rsidR="00661519" w:rsidP="00661519" w:rsidRDefault="00661519" w14:paraId="6DE7A1A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6A313E7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7E370B8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17,889</w:t>
            </w:r>
          </w:p>
        </w:tc>
        <w:tc>
          <w:tcPr>
            <w:tcW w:w="1278" w:type="dxa"/>
            <w:tcMar>
              <w:left w:w="108" w:type="dxa"/>
              <w:right w:w="108" w:type="dxa"/>
            </w:tcMar>
            <w:vAlign w:val="bottom"/>
          </w:tcPr>
          <w:p w:rsidRPr="009C48DA" w:rsidR="00661519" w:rsidP="00661519" w:rsidRDefault="00661519" w14:paraId="20C1931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49,331</w:t>
            </w:r>
          </w:p>
        </w:tc>
      </w:tr>
      <w:tr w:rsidRPr="009C48DA" w:rsidR="00661519" w:rsidTr="00661519" w14:paraId="78ACA6D5" w14:textId="77777777">
        <w:tc>
          <w:tcPr>
            <w:tcW w:w="3027" w:type="dxa"/>
            <w:tcMar>
              <w:left w:w="108" w:type="dxa"/>
              <w:right w:w="108" w:type="dxa"/>
            </w:tcMar>
            <w:vAlign w:val="bottom"/>
          </w:tcPr>
          <w:p w:rsidRPr="009C48DA" w:rsidR="00661519" w:rsidP="00661519" w:rsidRDefault="00661519" w14:paraId="1BB0F946"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CLO purchases awaiting settlement*</w:t>
            </w:r>
          </w:p>
        </w:tc>
        <w:tc>
          <w:tcPr>
            <w:tcW w:w="922" w:type="dxa"/>
            <w:tcMar>
              <w:left w:w="108" w:type="dxa"/>
              <w:right w:w="108" w:type="dxa"/>
            </w:tcMar>
            <w:vAlign w:val="bottom"/>
          </w:tcPr>
          <w:p w:rsidRPr="009C48DA" w:rsidR="00661519" w:rsidP="00661519" w:rsidRDefault="00661519" w14:paraId="6F57A275"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w:t>
            </w:r>
          </w:p>
        </w:tc>
        <w:tc>
          <w:tcPr>
            <w:tcW w:w="1277" w:type="dxa"/>
            <w:tcMar>
              <w:left w:w="108" w:type="dxa"/>
              <w:right w:w="108" w:type="dxa"/>
            </w:tcMar>
            <w:vAlign w:val="bottom"/>
          </w:tcPr>
          <w:p w:rsidRPr="009C48DA" w:rsidR="00661519" w:rsidP="00661519" w:rsidRDefault="00661519" w14:paraId="10004CE8"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7693110E"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78" w:type="dxa"/>
            <w:tcMar>
              <w:left w:w="108" w:type="dxa"/>
              <w:right w:w="108" w:type="dxa"/>
            </w:tcMar>
            <w:vAlign w:val="bottom"/>
          </w:tcPr>
          <w:p w:rsidRPr="009C48DA" w:rsidR="00661519" w:rsidP="00661519" w:rsidRDefault="00661519" w14:paraId="03024FCF"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93,237</w:t>
            </w:r>
          </w:p>
        </w:tc>
        <w:tc>
          <w:tcPr>
            <w:tcW w:w="1278" w:type="dxa"/>
            <w:tcMar>
              <w:left w:w="108" w:type="dxa"/>
              <w:right w:w="108" w:type="dxa"/>
            </w:tcMar>
            <w:vAlign w:val="bottom"/>
          </w:tcPr>
          <w:p w:rsidRPr="009C48DA" w:rsidR="00661519" w:rsidP="00661519" w:rsidRDefault="00661519" w14:paraId="0ABC6649"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124,489</w:t>
            </w:r>
          </w:p>
        </w:tc>
      </w:tr>
      <w:tr w:rsidRPr="009C48DA" w:rsidR="00661519" w:rsidTr="00661519" w14:paraId="118ED6E8" w14:textId="77777777">
        <w:tc>
          <w:tcPr>
            <w:tcW w:w="3027" w:type="dxa"/>
            <w:tcMar>
              <w:left w:w="108" w:type="dxa"/>
              <w:right w:w="108" w:type="dxa"/>
            </w:tcMar>
            <w:vAlign w:val="bottom"/>
          </w:tcPr>
          <w:p w:rsidRPr="009C48DA" w:rsidR="00661519" w:rsidP="00661519" w:rsidRDefault="00661519" w14:paraId="12891F93"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current liabilities</w:t>
            </w:r>
          </w:p>
        </w:tc>
        <w:tc>
          <w:tcPr>
            <w:tcW w:w="922" w:type="dxa"/>
            <w:tcMar>
              <w:left w:w="108" w:type="dxa"/>
              <w:right w:w="108" w:type="dxa"/>
            </w:tcMar>
            <w:vAlign w:val="bottom"/>
          </w:tcPr>
          <w:p w:rsidRPr="009C48DA" w:rsidR="00661519" w:rsidP="00661519" w:rsidRDefault="00661519" w14:paraId="318D0BD1"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0B0B1A5C"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77,571</w:t>
            </w:r>
          </w:p>
        </w:tc>
        <w:tc>
          <w:tcPr>
            <w:tcW w:w="1278" w:type="dxa"/>
            <w:tcMar>
              <w:left w:w="108" w:type="dxa"/>
              <w:right w:w="108" w:type="dxa"/>
            </w:tcMar>
            <w:vAlign w:val="bottom"/>
          </w:tcPr>
          <w:p w:rsidRPr="009C48DA" w:rsidR="00661519" w:rsidP="00661519" w:rsidRDefault="00661519" w14:paraId="43FEEF33"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72,142</w:t>
            </w:r>
          </w:p>
        </w:tc>
        <w:tc>
          <w:tcPr>
            <w:tcW w:w="1278" w:type="dxa"/>
            <w:tcMar>
              <w:left w:w="108" w:type="dxa"/>
              <w:right w:w="108" w:type="dxa"/>
            </w:tcMar>
            <w:vAlign w:val="bottom"/>
          </w:tcPr>
          <w:p w:rsidRPr="009C48DA" w:rsidR="00661519" w:rsidP="00661519" w:rsidRDefault="00661519" w14:paraId="262B3EB6"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307,022</w:t>
            </w:r>
          </w:p>
        </w:tc>
        <w:tc>
          <w:tcPr>
            <w:tcW w:w="1278" w:type="dxa"/>
            <w:tcMar>
              <w:left w:w="108" w:type="dxa"/>
              <w:right w:w="108" w:type="dxa"/>
            </w:tcMar>
            <w:vAlign w:val="bottom"/>
          </w:tcPr>
          <w:p w:rsidRPr="009C48DA" w:rsidR="00661519" w:rsidP="00661519" w:rsidRDefault="00661519" w14:paraId="64119505"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366,423</w:t>
            </w:r>
          </w:p>
        </w:tc>
      </w:tr>
      <w:tr w:rsidRPr="009C48DA" w:rsidR="00661519" w:rsidTr="00661519" w14:paraId="1FA14D67" w14:textId="77777777">
        <w:tc>
          <w:tcPr>
            <w:tcW w:w="3027" w:type="dxa"/>
            <w:tcMar>
              <w:left w:w="108" w:type="dxa"/>
              <w:right w:w="108" w:type="dxa"/>
            </w:tcMar>
            <w:vAlign w:val="bottom"/>
          </w:tcPr>
          <w:p w:rsidRPr="009C48DA" w:rsidR="00661519" w:rsidP="00661519" w:rsidRDefault="00661519" w14:paraId="2FD73FF3"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liabilities</w:t>
            </w:r>
          </w:p>
        </w:tc>
        <w:tc>
          <w:tcPr>
            <w:tcW w:w="922" w:type="dxa"/>
            <w:tcMar>
              <w:left w:w="108" w:type="dxa"/>
              <w:right w:w="108" w:type="dxa"/>
            </w:tcMar>
            <w:vAlign w:val="bottom"/>
          </w:tcPr>
          <w:p w:rsidRPr="009C48DA" w:rsidR="00661519" w:rsidP="00661519" w:rsidRDefault="00661519" w14:paraId="6FBD138F"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43A43D53"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211,503</w:t>
            </w:r>
          </w:p>
        </w:tc>
        <w:tc>
          <w:tcPr>
            <w:tcW w:w="1278" w:type="dxa"/>
            <w:tcMar>
              <w:left w:w="108" w:type="dxa"/>
              <w:right w:w="108" w:type="dxa"/>
            </w:tcMar>
            <w:vAlign w:val="bottom"/>
          </w:tcPr>
          <w:p w:rsidRPr="009C48DA" w:rsidR="00661519" w:rsidP="00661519" w:rsidRDefault="00661519" w14:paraId="0ED1740B"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150,885</w:t>
            </w:r>
          </w:p>
        </w:tc>
        <w:tc>
          <w:tcPr>
            <w:tcW w:w="1278" w:type="dxa"/>
            <w:tcMar>
              <w:left w:w="108" w:type="dxa"/>
              <w:right w:w="108" w:type="dxa"/>
            </w:tcMar>
            <w:vAlign w:val="bottom"/>
          </w:tcPr>
          <w:p w:rsidRPr="009C48DA" w:rsidR="00661519" w:rsidP="00661519" w:rsidRDefault="00661519" w14:paraId="145D8A23"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651,418</w:t>
            </w:r>
          </w:p>
        </w:tc>
        <w:tc>
          <w:tcPr>
            <w:tcW w:w="1278" w:type="dxa"/>
            <w:tcMar>
              <w:left w:w="108" w:type="dxa"/>
              <w:right w:w="108" w:type="dxa"/>
            </w:tcMar>
            <w:vAlign w:val="bottom"/>
          </w:tcPr>
          <w:p w:rsidRPr="009C48DA" w:rsidR="00661519" w:rsidP="00661519" w:rsidRDefault="00661519" w14:paraId="638926C5"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703,943</w:t>
            </w:r>
          </w:p>
        </w:tc>
      </w:tr>
      <w:tr w:rsidRPr="009C48DA" w:rsidR="00661519" w:rsidTr="00661519" w14:paraId="7CC26988" w14:textId="77777777">
        <w:tc>
          <w:tcPr>
            <w:tcW w:w="3027" w:type="dxa"/>
            <w:tcMar>
              <w:left w:w="108" w:type="dxa"/>
              <w:right w:w="108" w:type="dxa"/>
            </w:tcMar>
            <w:vAlign w:val="bottom"/>
          </w:tcPr>
          <w:p w:rsidRPr="009C48DA" w:rsidR="00661519" w:rsidP="00661519" w:rsidRDefault="00661519" w14:paraId="0A23293C"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Net assets</w:t>
            </w:r>
          </w:p>
        </w:tc>
        <w:tc>
          <w:tcPr>
            <w:tcW w:w="922" w:type="dxa"/>
            <w:tcMar>
              <w:left w:w="108" w:type="dxa"/>
              <w:right w:w="108" w:type="dxa"/>
            </w:tcMar>
            <w:vAlign w:val="bottom"/>
          </w:tcPr>
          <w:p w:rsidRPr="009C48DA" w:rsidR="00661519" w:rsidP="00661519" w:rsidRDefault="00661519" w14:paraId="01F19AD9"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2CCE2537"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320,235</w:t>
            </w:r>
          </w:p>
        </w:tc>
        <w:tc>
          <w:tcPr>
            <w:tcW w:w="1278" w:type="dxa"/>
            <w:tcMar>
              <w:left w:w="108" w:type="dxa"/>
              <w:right w:w="108" w:type="dxa"/>
            </w:tcMar>
            <w:vAlign w:val="bottom"/>
          </w:tcPr>
          <w:p w:rsidRPr="009C48DA" w:rsidR="00661519" w:rsidP="00661519" w:rsidRDefault="00661519" w14:paraId="7B76732A"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356,339</w:t>
            </w:r>
          </w:p>
        </w:tc>
        <w:tc>
          <w:tcPr>
            <w:tcW w:w="1278" w:type="dxa"/>
            <w:tcMar>
              <w:left w:w="108" w:type="dxa"/>
              <w:right w:w="108" w:type="dxa"/>
            </w:tcMar>
            <w:vAlign w:val="bottom"/>
          </w:tcPr>
          <w:p w:rsidRPr="009C48DA" w:rsidR="00661519" w:rsidP="00661519" w:rsidRDefault="00661519" w14:paraId="0A2D0E58"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390,556</w:t>
            </w:r>
          </w:p>
        </w:tc>
        <w:tc>
          <w:tcPr>
            <w:tcW w:w="1278" w:type="dxa"/>
            <w:tcMar>
              <w:left w:w="108" w:type="dxa"/>
              <w:right w:w="108" w:type="dxa"/>
            </w:tcMar>
            <w:vAlign w:val="bottom"/>
          </w:tcPr>
          <w:p w:rsidRPr="009C48DA" w:rsidR="00661519" w:rsidP="00661519" w:rsidRDefault="00661519" w14:paraId="7D8BF1A6"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414,385</w:t>
            </w:r>
          </w:p>
        </w:tc>
      </w:tr>
      <w:tr w:rsidRPr="009C48DA" w:rsidR="00661519" w:rsidTr="00661519" w14:paraId="46E1DA0C" w14:textId="77777777">
        <w:tc>
          <w:tcPr>
            <w:tcW w:w="3027" w:type="dxa"/>
            <w:tcMar>
              <w:left w:w="108" w:type="dxa"/>
              <w:right w:w="108" w:type="dxa"/>
            </w:tcMar>
            <w:vAlign w:val="bottom"/>
          </w:tcPr>
          <w:p w:rsidRPr="009C48DA" w:rsidR="00661519" w:rsidP="00661519" w:rsidRDefault="00661519" w14:paraId="49578CE7" w14:textId="77777777">
            <w:pPr>
              <w:spacing w:before="60"/>
              <w:textAlignment w:val="baseline"/>
              <w:rPr>
                <w:rFonts w:eastAsia="Times New Roman" w:cs="Times New Roman"/>
                <w:b/>
                <w:color w:val="000000"/>
                <w:sz w:val="16"/>
                <w:szCs w:val="16"/>
                <w:lang w:val="en-GB"/>
              </w:rPr>
            </w:pPr>
          </w:p>
          <w:p w:rsidRPr="009C48DA" w:rsidR="00661519" w:rsidP="00661519" w:rsidRDefault="00661519" w14:paraId="3EC5558E"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Equity</w:t>
            </w:r>
          </w:p>
        </w:tc>
        <w:tc>
          <w:tcPr>
            <w:tcW w:w="922" w:type="dxa"/>
            <w:tcMar>
              <w:left w:w="108" w:type="dxa"/>
              <w:right w:w="108" w:type="dxa"/>
            </w:tcMar>
            <w:vAlign w:val="bottom"/>
          </w:tcPr>
          <w:p w:rsidRPr="009C48DA" w:rsidR="00661519" w:rsidP="00661519" w:rsidRDefault="00661519" w14:paraId="3370080C"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6BF1779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78" w:type="dxa"/>
            <w:tcMar>
              <w:left w:w="108" w:type="dxa"/>
              <w:right w:w="108" w:type="dxa"/>
            </w:tcMar>
            <w:vAlign w:val="bottom"/>
          </w:tcPr>
          <w:p w:rsidRPr="009C48DA" w:rsidR="00661519" w:rsidP="00661519" w:rsidRDefault="00661519" w14:paraId="2984F34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78" w:type="dxa"/>
            <w:tcMar>
              <w:left w:w="108" w:type="dxa"/>
              <w:right w:w="108" w:type="dxa"/>
            </w:tcMar>
            <w:vAlign w:val="bottom"/>
          </w:tcPr>
          <w:p w:rsidRPr="009C48DA" w:rsidR="00661519" w:rsidP="00661519" w:rsidRDefault="00661519" w14:paraId="6C74EEE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78" w:type="dxa"/>
            <w:tcMar>
              <w:left w:w="108" w:type="dxa"/>
              <w:right w:w="108" w:type="dxa"/>
            </w:tcMar>
            <w:vAlign w:val="bottom"/>
          </w:tcPr>
          <w:p w:rsidRPr="009C48DA" w:rsidR="00661519" w:rsidP="00661519" w:rsidRDefault="00661519" w14:paraId="5CFF3D5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16894FA5" w14:textId="77777777">
        <w:tc>
          <w:tcPr>
            <w:tcW w:w="3027" w:type="dxa"/>
            <w:tcMar>
              <w:left w:w="108" w:type="dxa"/>
              <w:right w:w="108" w:type="dxa"/>
            </w:tcMar>
            <w:vAlign w:val="bottom"/>
          </w:tcPr>
          <w:p w:rsidRPr="009C48DA" w:rsidR="00661519" w:rsidP="00661519" w:rsidRDefault="00661519" w14:paraId="6176E037"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Share capital and premium</w:t>
            </w:r>
          </w:p>
        </w:tc>
        <w:tc>
          <w:tcPr>
            <w:tcW w:w="922" w:type="dxa"/>
            <w:tcMar>
              <w:left w:w="108" w:type="dxa"/>
              <w:right w:w="108" w:type="dxa"/>
            </w:tcMar>
            <w:vAlign w:val="bottom"/>
          </w:tcPr>
          <w:p w:rsidRPr="009C48DA" w:rsidR="00661519" w:rsidP="00661519" w:rsidRDefault="00661519" w14:paraId="2884805D"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w:t>
            </w:r>
          </w:p>
        </w:tc>
        <w:tc>
          <w:tcPr>
            <w:tcW w:w="1277" w:type="dxa"/>
            <w:tcMar>
              <w:left w:w="108" w:type="dxa"/>
              <w:right w:w="108" w:type="dxa"/>
            </w:tcMar>
            <w:vAlign w:val="bottom"/>
          </w:tcPr>
          <w:p w:rsidRPr="009C48DA" w:rsidR="00661519" w:rsidP="00661519" w:rsidRDefault="00661519" w14:paraId="7E3D363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240,867</w:t>
            </w:r>
          </w:p>
        </w:tc>
        <w:tc>
          <w:tcPr>
            <w:tcW w:w="1278" w:type="dxa"/>
            <w:tcMar>
              <w:left w:w="108" w:type="dxa"/>
              <w:right w:w="108" w:type="dxa"/>
            </w:tcMar>
            <w:vAlign w:val="bottom"/>
          </w:tcPr>
          <w:p w:rsidRPr="009C48DA" w:rsidR="00661519" w:rsidP="00661519" w:rsidRDefault="00661519" w14:paraId="0D55D24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241,419</w:t>
            </w:r>
          </w:p>
        </w:tc>
        <w:tc>
          <w:tcPr>
            <w:tcW w:w="1278" w:type="dxa"/>
            <w:tcMar>
              <w:left w:w="108" w:type="dxa"/>
              <w:right w:w="108" w:type="dxa"/>
            </w:tcMar>
            <w:vAlign w:val="bottom"/>
          </w:tcPr>
          <w:p w:rsidRPr="009C48DA" w:rsidR="00661519" w:rsidP="00661519" w:rsidRDefault="00661519" w14:paraId="307159E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241,419</w:t>
            </w:r>
          </w:p>
        </w:tc>
        <w:tc>
          <w:tcPr>
            <w:tcW w:w="1278" w:type="dxa"/>
            <w:tcMar>
              <w:left w:w="108" w:type="dxa"/>
              <w:right w:w="108" w:type="dxa"/>
            </w:tcMar>
            <w:vAlign w:val="bottom"/>
          </w:tcPr>
          <w:p w:rsidRPr="009C48DA" w:rsidR="00661519" w:rsidP="00661519" w:rsidRDefault="00661519" w14:paraId="0792671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241,419</w:t>
            </w:r>
          </w:p>
        </w:tc>
      </w:tr>
      <w:tr w:rsidRPr="009C48DA" w:rsidR="00661519" w:rsidTr="00661519" w14:paraId="17251EC8" w14:textId="77777777">
        <w:tc>
          <w:tcPr>
            <w:tcW w:w="3027" w:type="dxa"/>
            <w:tcMar>
              <w:left w:w="108" w:type="dxa"/>
              <w:right w:w="108" w:type="dxa"/>
            </w:tcMar>
            <w:vAlign w:val="bottom"/>
          </w:tcPr>
          <w:p w:rsidRPr="009C48DA" w:rsidR="00661519" w:rsidP="00661519" w:rsidRDefault="00661519" w14:paraId="2CC13D91"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Capital redemption reserve</w:t>
            </w:r>
          </w:p>
        </w:tc>
        <w:tc>
          <w:tcPr>
            <w:tcW w:w="922" w:type="dxa"/>
            <w:tcMar>
              <w:left w:w="108" w:type="dxa"/>
              <w:right w:w="108" w:type="dxa"/>
            </w:tcMar>
            <w:vAlign w:val="bottom"/>
          </w:tcPr>
          <w:p w:rsidRPr="009C48DA" w:rsidR="00661519" w:rsidP="00661519" w:rsidRDefault="00661519" w14:paraId="0C63A83D"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w:t>
            </w:r>
          </w:p>
        </w:tc>
        <w:tc>
          <w:tcPr>
            <w:tcW w:w="1277" w:type="dxa"/>
            <w:tcMar>
              <w:left w:w="108" w:type="dxa"/>
              <w:right w:w="108" w:type="dxa"/>
            </w:tcMar>
            <w:vAlign w:val="bottom"/>
          </w:tcPr>
          <w:p w:rsidRPr="009C48DA" w:rsidR="00661519" w:rsidP="00661519" w:rsidRDefault="00661519" w14:paraId="6639E75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c>
          <w:tcPr>
            <w:tcW w:w="1278" w:type="dxa"/>
            <w:tcMar>
              <w:left w:w="108" w:type="dxa"/>
              <w:right w:w="108" w:type="dxa"/>
            </w:tcMar>
            <w:vAlign w:val="bottom"/>
          </w:tcPr>
          <w:p w:rsidRPr="009C48DA" w:rsidR="00661519" w:rsidP="00661519" w:rsidRDefault="00661519" w14:paraId="566D549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c>
          <w:tcPr>
            <w:tcW w:w="1278" w:type="dxa"/>
            <w:tcMar>
              <w:left w:w="108" w:type="dxa"/>
              <w:right w:w="108" w:type="dxa"/>
            </w:tcMar>
            <w:vAlign w:val="bottom"/>
          </w:tcPr>
          <w:p w:rsidRPr="009C48DA" w:rsidR="00661519" w:rsidP="00661519" w:rsidRDefault="00661519" w14:paraId="3B52159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c>
          <w:tcPr>
            <w:tcW w:w="1278" w:type="dxa"/>
            <w:tcMar>
              <w:left w:w="108" w:type="dxa"/>
              <w:right w:w="108" w:type="dxa"/>
            </w:tcMar>
            <w:vAlign w:val="bottom"/>
          </w:tcPr>
          <w:p w:rsidRPr="009C48DA" w:rsidR="00661519" w:rsidP="00661519" w:rsidRDefault="00661519" w14:paraId="571336A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r>
      <w:tr w:rsidRPr="009C48DA" w:rsidR="00661519" w:rsidTr="00661519" w14:paraId="41F28697" w14:textId="77777777">
        <w:tc>
          <w:tcPr>
            <w:tcW w:w="3027" w:type="dxa"/>
            <w:tcMar>
              <w:left w:w="108" w:type="dxa"/>
              <w:right w:w="108" w:type="dxa"/>
            </w:tcMar>
            <w:vAlign w:val="bottom"/>
          </w:tcPr>
          <w:p w:rsidRPr="009C48DA" w:rsidR="00661519" w:rsidP="00661519" w:rsidRDefault="00661519" w14:paraId="061A9E46"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Cash flow hedge reserve</w:t>
            </w:r>
          </w:p>
        </w:tc>
        <w:tc>
          <w:tcPr>
            <w:tcW w:w="922" w:type="dxa"/>
            <w:tcMar>
              <w:left w:w="108" w:type="dxa"/>
              <w:right w:w="108" w:type="dxa"/>
            </w:tcMar>
            <w:vAlign w:val="bottom"/>
          </w:tcPr>
          <w:p w:rsidRPr="009C48DA" w:rsidR="00661519" w:rsidP="00661519" w:rsidRDefault="00661519" w14:paraId="46369F13"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w:t>
            </w:r>
          </w:p>
        </w:tc>
        <w:tc>
          <w:tcPr>
            <w:tcW w:w="1277" w:type="dxa"/>
            <w:tcMar>
              <w:left w:w="108" w:type="dxa"/>
              <w:right w:w="108" w:type="dxa"/>
            </w:tcMar>
            <w:vAlign w:val="bottom"/>
          </w:tcPr>
          <w:p w:rsidRPr="009C48DA" w:rsidR="00661519" w:rsidP="00661519" w:rsidRDefault="00661519" w14:paraId="388165D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(3,408)</w:t>
            </w:r>
          </w:p>
        </w:tc>
        <w:tc>
          <w:tcPr>
            <w:tcW w:w="1278" w:type="dxa"/>
            <w:tcMar>
              <w:left w:w="108" w:type="dxa"/>
              <w:right w:w="108" w:type="dxa"/>
            </w:tcMar>
            <w:vAlign w:val="bottom"/>
          </w:tcPr>
          <w:p w:rsidRPr="009C48DA" w:rsidR="00661519" w:rsidP="00661519" w:rsidRDefault="00661519" w14:paraId="572D671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2,610</w:t>
            </w:r>
          </w:p>
        </w:tc>
        <w:tc>
          <w:tcPr>
            <w:tcW w:w="1278" w:type="dxa"/>
            <w:tcMar>
              <w:left w:w="108" w:type="dxa"/>
              <w:right w:w="108" w:type="dxa"/>
            </w:tcMar>
            <w:vAlign w:val="bottom"/>
          </w:tcPr>
          <w:p w:rsidRPr="009C48DA" w:rsidR="00661519" w:rsidP="00661519" w:rsidRDefault="00661519" w14:paraId="03D9943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(2,249)</w:t>
            </w:r>
          </w:p>
        </w:tc>
        <w:tc>
          <w:tcPr>
            <w:tcW w:w="1278" w:type="dxa"/>
            <w:tcMar>
              <w:left w:w="108" w:type="dxa"/>
              <w:right w:w="108" w:type="dxa"/>
            </w:tcMar>
            <w:vAlign w:val="bottom"/>
          </w:tcPr>
          <w:p w:rsidRPr="009C48DA" w:rsidR="00661519" w:rsidP="00661519" w:rsidRDefault="00661519" w14:paraId="4D188D5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5,585</w:t>
            </w:r>
          </w:p>
        </w:tc>
      </w:tr>
      <w:tr w:rsidRPr="009C48DA" w:rsidR="00661519" w:rsidTr="00661519" w14:paraId="59377A4A" w14:textId="77777777">
        <w:tc>
          <w:tcPr>
            <w:tcW w:w="3027" w:type="dxa"/>
            <w:tcMar>
              <w:left w:w="108" w:type="dxa"/>
              <w:right w:w="108" w:type="dxa"/>
            </w:tcMar>
            <w:vAlign w:val="bottom"/>
          </w:tcPr>
          <w:p w:rsidRPr="009C48DA" w:rsidR="00661519" w:rsidP="00661519" w:rsidRDefault="00661519" w14:paraId="102215BE"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Net exchange differences reserve</w:t>
            </w:r>
          </w:p>
        </w:tc>
        <w:tc>
          <w:tcPr>
            <w:tcW w:w="922" w:type="dxa"/>
            <w:tcMar>
              <w:left w:w="108" w:type="dxa"/>
              <w:right w:w="108" w:type="dxa"/>
            </w:tcMar>
            <w:vAlign w:val="bottom"/>
          </w:tcPr>
          <w:p w:rsidRPr="009C48DA" w:rsidR="00661519" w:rsidP="00661519" w:rsidRDefault="00661519" w14:paraId="06A8C70F"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w:t>
            </w:r>
          </w:p>
        </w:tc>
        <w:tc>
          <w:tcPr>
            <w:tcW w:w="1277" w:type="dxa"/>
            <w:tcMar>
              <w:left w:w="108" w:type="dxa"/>
              <w:right w:w="108" w:type="dxa"/>
            </w:tcMar>
            <w:vAlign w:val="bottom"/>
          </w:tcPr>
          <w:p w:rsidRPr="009C48DA" w:rsidR="00661519" w:rsidP="00661519" w:rsidRDefault="00661519" w14:paraId="13E9444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5,046</w:t>
            </w:r>
          </w:p>
        </w:tc>
        <w:tc>
          <w:tcPr>
            <w:tcW w:w="1278" w:type="dxa"/>
            <w:tcMar>
              <w:left w:w="108" w:type="dxa"/>
              <w:right w:w="108" w:type="dxa"/>
            </w:tcMar>
            <w:vAlign w:val="bottom"/>
          </w:tcPr>
          <w:p w:rsidRPr="009C48DA" w:rsidR="00661519" w:rsidP="00661519" w:rsidRDefault="00661519" w14:paraId="76EDD3C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3,075</w:t>
            </w:r>
          </w:p>
        </w:tc>
        <w:tc>
          <w:tcPr>
            <w:tcW w:w="1278" w:type="dxa"/>
            <w:tcMar>
              <w:left w:w="108" w:type="dxa"/>
              <w:right w:w="108" w:type="dxa"/>
            </w:tcMar>
            <w:vAlign w:val="bottom"/>
          </w:tcPr>
          <w:p w:rsidRPr="009C48DA" w:rsidR="00661519" w:rsidP="00661519" w:rsidRDefault="00661519" w14:paraId="1CE24DA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5,344</w:t>
            </w:r>
          </w:p>
        </w:tc>
        <w:tc>
          <w:tcPr>
            <w:tcW w:w="1278" w:type="dxa"/>
            <w:tcMar>
              <w:left w:w="108" w:type="dxa"/>
              <w:right w:w="108" w:type="dxa"/>
            </w:tcMar>
            <w:vAlign w:val="bottom"/>
          </w:tcPr>
          <w:p w:rsidRPr="009C48DA" w:rsidR="00661519" w:rsidP="00661519" w:rsidRDefault="00661519" w14:paraId="30CA3A9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3,152</w:t>
            </w:r>
          </w:p>
        </w:tc>
      </w:tr>
      <w:tr w:rsidRPr="009C48DA" w:rsidR="00661519" w:rsidTr="00661519" w14:paraId="1EFF992C" w14:textId="77777777">
        <w:tc>
          <w:tcPr>
            <w:tcW w:w="3027" w:type="dxa"/>
            <w:tcMar>
              <w:left w:w="108" w:type="dxa"/>
              <w:right w:w="108" w:type="dxa"/>
            </w:tcMar>
            <w:vAlign w:val="bottom"/>
          </w:tcPr>
          <w:p w:rsidRPr="009C48DA" w:rsidR="00661519" w:rsidP="00661519" w:rsidRDefault="00661519" w14:paraId="405B603E"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Retained earnings</w:t>
            </w:r>
          </w:p>
        </w:tc>
        <w:tc>
          <w:tcPr>
            <w:tcW w:w="922" w:type="dxa"/>
            <w:tcMar>
              <w:left w:w="108" w:type="dxa"/>
              <w:right w:w="108" w:type="dxa"/>
            </w:tcMar>
            <w:vAlign w:val="bottom"/>
          </w:tcPr>
          <w:p w:rsidRPr="009C48DA" w:rsidR="00661519" w:rsidP="00661519" w:rsidRDefault="00661519" w14:paraId="0C8811EE"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w:t>
            </w:r>
          </w:p>
        </w:tc>
        <w:tc>
          <w:tcPr>
            <w:tcW w:w="1277" w:type="dxa"/>
            <w:tcMar>
              <w:left w:w="108" w:type="dxa"/>
              <w:right w:w="108" w:type="dxa"/>
            </w:tcMar>
            <w:vAlign w:val="bottom"/>
          </w:tcPr>
          <w:p w:rsidRPr="009C48DA" w:rsidR="00661519" w:rsidP="00661519" w:rsidRDefault="00661519" w14:paraId="5B247E0C"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(27,456)</w:t>
            </w:r>
          </w:p>
        </w:tc>
        <w:tc>
          <w:tcPr>
            <w:tcW w:w="1278" w:type="dxa"/>
            <w:tcMar>
              <w:left w:w="108" w:type="dxa"/>
              <w:right w:w="108" w:type="dxa"/>
            </w:tcMar>
            <w:vAlign w:val="bottom"/>
          </w:tcPr>
          <w:p w:rsidRPr="009C48DA" w:rsidR="00661519" w:rsidP="00661519" w:rsidRDefault="00661519" w14:paraId="2204811B"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(6,242)</w:t>
            </w:r>
          </w:p>
        </w:tc>
        <w:tc>
          <w:tcPr>
            <w:tcW w:w="1278" w:type="dxa"/>
            <w:tcMar>
              <w:left w:w="108" w:type="dxa"/>
              <w:right w:w="108" w:type="dxa"/>
            </w:tcMar>
            <w:vAlign w:val="bottom"/>
          </w:tcPr>
          <w:p w:rsidRPr="009C48DA" w:rsidR="00661519" w:rsidP="00661519" w:rsidRDefault="00661519" w14:paraId="21D9AE1F"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39,709</w:t>
            </w:r>
          </w:p>
        </w:tc>
        <w:tc>
          <w:tcPr>
            <w:tcW w:w="1278" w:type="dxa"/>
            <w:tcMar>
              <w:left w:w="108" w:type="dxa"/>
              <w:right w:w="108" w:type="dxa"/>
            </w:tcMar>
            <w:vAlign w:val="bottom"/>
          </w:tcPr>
          <w:p w:rsidRPr="009C48DA" w:rsidR="00661519" w:rsidP="00661519" w:rsidRDefault="00661519" w14:paraId="36F98F6A"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52,526</w:t>
            </w:r>
          </w:p>
        </w:tc>
      </w:tr>
      <w:tr w:rsidRPr="009C48DA" w:rsidR="00661519" w:rsidTr="00661519" w14:paraId="3365D03A" w14:textId="77777777">
        <w:tc>
          <w:tcPr>
            <w:tcW w:w="3027" w:type="dxa"/>
            <w:tcMar>
              <w:left w:w="108" w:type="dxa"/>
              <w:right w:w="108" w:type="dxa"/>
            </w:tcMar>
            <w:vAlign w:val="bottom"/>
          </w:tcPr>
          <w:p w:rsidRPr="009C48DA" w:rsidR="00661519" w:rsidP="00661519" w:rsidRDefault="00661519" w14:paraId="4EA3E149" w14:textId="77777777">
            <w:pPr>
              <w:ind w:right="108"/>
              <w:jc w:val="both"/>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Capital and reserves attributable to equity shareholders of the company</w:t>
            </w:r>
          </w:p>
          <w:p w:rsidRPr="009C48DA" w:rsidR="00661519" w:rsidP="00661519" w:rsidRDefault="00661519" w14:paraId="00067F1F" w14:textId="77777777">
            <w:pPr>
              <w:ind w:right="108"/>
              <w:jc w:val="both"/>
              <w:textAlignment w:val="baseline"/>
              <w:rPr>
                <w:rFonts w:eastAsia="Times New Roman" w:cs="Times New Roman"/>
                <w:b/>
                <w:color w:val="000000"/>
                <w:sz w:val="16"/>
                <w:szCs w:val="16"/>
                <w:lang w:val="en-GB"/>
              </w:rPr>
            </w:pPr>
          </w:p>
        </w:tc>
        <w:tc>
          <w:tcPr>
            <w:tcW w:w="922" w:type="dxa"/>
            <w:tcMar>
              <w:left w:w="108" w:type="dxa"/>
              <w:right w:w="108" w:type="dxa"/>
            </w:tcMar>
            <w:vAlign w:val="bottom"/>
          </w:tcPr>
          <w:p w:rsidRPr="009C48DA" w:rsidR="00661519" w:rsidP="00661519" w:rsidRDefault="00661519" w14:paraId="14477453" w14:textId="77777777">
            <w:pPr>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14464024" w14:textId="77777777">
            <w:pPr>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239,668</w:t>
            </w:r>
          </w:p>
        </w:tc>
        <w:tc>
          <w:tcPr>
            <w:tcW w:w="1278" w:type="dxa"/>
            <w:tcMar>
              <w:left w:w="108" w:type="dxa"/>
              <w:right w:w="108" w:type="dxa"/>
            </w:tcMar>
            <w:vAlign w:val="bottom"/>
          </w:tcPr>
          <w:p w:rsidRPr="009C48DA" w:rsidR="00661519" w:rsidP="00661519" w:rsidRDefault="00661519" w14:paraId="661757BF" w14:textId="77777777">
            <w:pPr>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265,481</w:t>
            </w:r>
          </w:p>
        </w:tc>
        <w:tc>
          <w:tcPr>
            <w:tcW w:w="1278" w:type="dxa"/>
            <w:tcMar>
              <w:left w:w="108" w:type="dxa"/>
              <w:right w:w="108" w:type="dxa"/>
            </w:tcMar>
            <w:vAlign w:val="bottom"/>
          </w:tcPr>
          <w:p w:rsidRPr="009C48DA" w:rsidR="00661519" w:rsidP="00661519" w:rsidRDefault="00661519" w14:paraId="288E2AA6" w14:textId="77777777">
            <w:pPr>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308,842</w:t>
            </w:r>
          </w:p>
        </w:tc>
        <w:tc>
          <w:tcPr>
            <w:tcW w:w="1278" w:type="dxa"/>
            <w:tcMar>
              <w:left w:w="108" w:type="dxa"/>
              <w:right w:w="108" w:type="dxa"/>
            </w:tcMar>
            <w:vAlign w:val="bottom"/>
          </w:tcPr>
          <w:p w:rsidRPr="009C48DA" w:rsidR="00661519" w:rsidP="00661519" w:rsidRDefault="00661519" w14:paraId="7106F805" w14:textId="77777777">
            <w:pPr>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327,301</w:t>
            </w:r>
          </w:p>
        </w:tc>
      </w:tr>
      <w:tr w:rsidRPr="009C48DA" w:rsidR="00661519" w:rsidTr="00661519" w14:paraId="4B2AF11E" w14:textId="77777777">
        <w:tc>
          <w:tcPr>
            <w:tcW w:w="3027" w:type="dxa"/>
            <w:tcMar>
              <w:left w:w="108" w:type="dxa"/>
              <w:right w:w="108" w:type="dxa"/>
            </w:tcMar>
            <w:vAlign w:val="bottom"/>
          </w:tcPr>
          <w:p w:rsidRPr="009C48DA" w:rsidR="00661519" w:rsidP="00661519" w:rsidRDefault="00661519" w14:paraId="63F21703"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Non-controlling interests</w:t>
            </w:r>
          </w:p>
        </w:tc>
        <w:tc>
          <w:tcPr>
            <w:tcW w:w="922" w:type="dxa"/>
            <w:tcMar>
              <w:left w:w="108" w:type="dxa"/>
              <w:right w:w="108" w:type="dxa"/>
            </w:tcMar>
            <w:vAlign w:val="bottom"/>
          </w:tcPr>
          <w:p w:rsidRPr="009C48DA" w:rsidR="00661519" w:rsidP="00661519" w:rsidRDefault="00661519" w14:paraId="5969B50A"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w:t>
            </w:r>
          </w:p>
        </w:tc>
        <w:tc>
          <w:tcPr>
            <w:tcW w:w="1277" w:type="dxa"/>
            <w:tcMar>
              <w:left w:w="108" w:type="dxa"/>
              <w:right w:w="108" w:type="dxa"/>
            </w:tcMar>
            <w:vAlign w:val="bottom"/>
          </w:tcPr>
          <w:p w:rsidRPr="009C48DA" w:rsidR="00661519" w:rsidP="00661519" w:rsidRDefault="00661519" w14:paraId="47533080"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80,567</w:t>
            </w:r>
          </w:p>
        </w:tc>
        <w:tc>
          <w:tcPr>
            <w:tcW w:w="1278" w:type="dxa"/>
            <w:tcMar>
              <w:left w:w="108" w:type="dxa"/>
              <w:right w:w="108" w:type="dxa"/>
            </w:tcMar>
            <w:vAlign w:val="bottom"/>
          </w:tcPr>
          <w:p w:rsidRPr="009C48DA" w:rsidR="00661519" w:rsidP="00661519" w:rsidRDefault="00661519" w14:paraId="5D787F9B"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90,858</w:t>
            </w:r>
          </w:p>
        </w:tc>
        <w:tc>
          <w:tcPr>
            <w:tcW w:w="1278" w:type="dxa"/>
            <w:tcMar>
              <w:left w:w="108" w:type="dxa"/>
              <w:right w:w="108" w:type="dxa"/>
            </w:tcMar>
            <w:vAlign w:val="bottom"/>
          </w:tcPr>
          <w:p w:rsidRPr="009C48DA" w:rsidR="00661519" w:rsidP="00661519" w:rsidRDefault="00661519" w14:paraId="72C446BB"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81,714</w:t>
            </w:r>
          </w:p>
        </w:tc>
        <w:tc>
          <w:tcPr>
            <w:tcW w:w="1278" w:type="dxa"/>
            <w:tcMar>
              <w:left w:w="108" w:type="dxa"/>
              <w:right w:w="108" w:type="dxa"/>
            </w:tcMar>
            <w:vAlign w:val="bottom"/>
          </w:tcPr>
          <w:p w:rsidRPr="009C48DA" w:rsidR="00661519" w:rsidP="00661519" w:rsidRDefault="00661519" w14:paraId="6EDA6393"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87,084</w:t>
            </w:r>
          </w:p>
        </w:tc>
      </w:tr>
      <w:tr w:rsidRPr="009C48DA" w:rsidR="00661519" w:rsidTr="00661519" w14:paraId="1D980F1E" w14:textId="77777777">
        <w:tc>
          <w:tcPr>
            <w:tcW w:w="3027" w:type="dxa"/>
            <w:tcMar>
              <w:left w:w="108" w:type="dxa"/>
              <w:right w:w="108" w:type="dxa"/>
            </w:tcMar>
            <w:vAlign w:val="bottom"/>
          </w:tcPr>
          <w:p w:rsidRPr="009C48DA" w:rsidR="00661519" w:rsidP="00661519" w:rsidRDefault="00661519" w14:paraId="4970E955"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equity</w:t>
            </w:r>
          </w:p>
        </w:tc>
        <w:tc>
          <w:tcPr>
            <w:tcW w:w="922" w:type="dxa"/>
            <w:tcMar>
              <w:left w:w="108" w:type="dxa"/>
              <w:right w:w="108" w:type="dxa"/>
            </w:tcMar>
            <w:vAlign w:val="bottom"/>
          </w:tcPr>
          <w:p w:rsidRPr="009C48DA" w:rsidR="00661519" w:rsidP="00661519" w:rsidRDefault="00661519" w14:paraId="0BB44F21" w14:textId="77777777">
            <w:pPr>
              <w:spacing w:before="60"/>
              <w:jc w:val="center"/>
              <w:textAlignment w:val="baseline"/>
              <w:rPr>
                <w:rFonts w:eastAsia="Times New Roman" w:cs="Times New Roman"/>
                <w:color w:val="000000"/>
                <w:sz w:val="16"/>
                <w:szCs w:val="16"/>
                <w:lang w:val="en-GB"/>
              </w:rPr>
            </w:pPr>
          </w:p>
        </w:tc>
        <w:tc>
          <w:tcPr>
            <w:tcW w:w="1277" w:type="dxa"/>
            <w:tcMar>
              <w:left w:w="108" w:type="dxa"/>
              <w:right w:w="108" w:type="dxa"/>
            </w:tcMar>
            <w:vAlign w:val="bottom"/>
          </w:tcPr>
          <w:p w:rsidRPr="009C48DA" w:rsidR="00661519" w:rsidP="00661519" w:rsidRDefault="00661519" w14:paraId="1F4C5206"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320,235</w:t>
            </w:r>
          </w:p>
        </w:tc>
        <w:tc>
          <w:tcPr>
            <w:tcW w:w="1278" w:type="dxa"/>
            <w:tcMar>
              <w:left w:w="108" w:type="dxa"/>
              <w:right w:w="108" w:type="dxa"/>
            </w:tcMar>
            <w:vAlign w:val="bottom"/>
          </w:tcPr>
          <w:p w:rsidRPr="009C48DA" w:rsidR="00661519" w:rsidP="00661519" w:rsidRDefault="00661519" w14:paraId="4DF36A06"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356,339</w:t>
            </w:r>
          </w:p>
        </w:tc>
        <w:tc>
          <w:tcPr>
            <w:tcW w:w="1278" w:type="dxa"/>
            <w:tcMar>
              <w:left w:w="108" w:type="dxa"/>
              <w:right w:w="108" w:type="dxa"/>
            </w:tcMar>
            <w:vAlign w:val="bottom"/>
          </w:tcPr>
          <w:p w:rsidRPr="009C48DA" w:rsidR="00661519" w:rsidP="00661519" w:rsidRDefault="00661519" w14:paraId="0E374AB7"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390,556</w:t>
            </w:r>
          </w:p>
        </w:tc>
        <w:tc>
          <w:tcPr>
            <w:tcW w:w="1278" w:type="dxa"/>
            <w:tcMar>
              <w:left w:w="108" w:type="dxa"/>
              <w:right w:w="108" w:type="dxa"/>
            </w:tcMar>
            <w:vAlign w:val="bottom"/>
          </w:tcPr>
          <w:p w:rsidRPr="009C48DA" w:rsidR="00661519" w:rsidP="00661519" w:rsidRDefault="00661519" w14:paraId="7A39FC7C"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414,385</w:t>
            </w:r>
          </w:p>
        </w:tc>
      </w:tr>
    </w:tbl>
    <w:p w:rsidRPr="009C48DA" w:rsidR="00661519" w:rsidP="00661519" w:rsidRDefault="00661519" w14:paraId="6D88C54B" w14:textId="77777777">
      <w:pPr>
        <w:rPr>
          <w:lang w:val="en-GB"/>
        </w:rPr>
      </w:pPr>
    </w:p>
    <w:p w:rsidRPr="009C48DA" w:rsidR="00661519" w:rsidP="00661519" w:rsidRDefault="00661519" w14:paraId="3305AE75" w14:textId="77777777">
      <w:pPr>
        <w:jc w:val="both"/>
        <w:rPr>
          <w:rFonts w:eastAsia="Times New Roman"/>
          <w:color w:val="000000"/>
          <w:sz w:val="16"/>
          <w:szCs w:val="16"/>
          <w:lang w:val="en-GB"/>
        </w:rPr>
      </w:pPr>
      <w:r w:rsidRPr="009C48DA">
        <w:rPr>
          <w:rFonts w:eastAsia="Times New Roman"/>
          <w:color w:val="000000"/>
          <w:sz w:val="16"/>
          <w:szCs w:val="16"/>
          <w:lang w:val="en-GB"/>
        </w:rPr>
        <w:t xml:space="preserve">*Detail of the Group's interest in consolidated Collaterised Loan Obligations ("CLOs") are included in note 17(c). The equity holders' </w:t>
      </w:r>
    </w:p>
    <w:p w:rsidRPr="009C48DA" w:rsidR="00661519" w:rsidP="00661519" w:rsidRDefault="00661519" w14:paraId="7C027AAB" w14:textId="77777777">
      <w:pPr>
        <w:jc w:val="both"/>
        <w:rPr>
          <w:rFonts w:eastAsia="Times New Roman" w:cs="Times New Roman"/>
          <w:color w:val="000000"/>
          <w:sz w:val="16"/>
          <w:szCs w:val="22"/>
          <w:lang w:val="en-GB"/>
        </w:rPr>
      </w:pPr>
      <w:r w:rsidRPr="009C48DA">
        <w:rPr>
          <w:rFonts w:eastAsia="Times New Roman"/>
          <w:color w:val="000000"/>
          <w:sz w:val="16"/>
          <w:szCs w:val="16"/>
          <w:lang w:val="en-GB"/>
        </w:rPr>
        <w:t>exposure in the CLOs is £19.5m at 31 December 2020 and £21.0m at 31 March 2021.</w:t>
      </w:r>
    </w:p>
    <w:p w:rsidRPr="009C48DA" w:rsidR="00661519" w:rsidP="00661519" w:rsidRDefault="00661519" w14:paraId="0628ECDC" w14:textId="77777777">
      <w:pPr>
        <w:rPr>
          <w:rFonts w:eastAsia="PMingLiU" w:cs="Times New Roman"/>
          <w:szCs w:val="22"/>
          <w:lang w:val="en-GB"/>
        </w:rPr>
        <w:sectPr w:rsidRPr="009C48DA" w:rsidR="00661519" w:rsidSect="00661519">
          <w:headerReference w:type="default" r:id="rId70"/>
          <w:pgSz w:w="11909" w:h="16838"/>
          <w:pgMar w:top="1440" w:right="1440" w:bottom="1440" w:left="1440" w:header="720" w:footer="720" w:gutter="0"/>
          <w:cols w:space="720"/>
          <w:docGrid w:linePitch="299"/>
        </w:sectPr>
      </w:pPr>
    </w:p>
    <w:p w:rsidRPr="009C48DA" w:rsidR="00661519" w:rsidP="00661519" w:rsidRDefault="00661519" w14:paraId="6B13556A" w14:textId="77777777">
      <w:pPr>
        <w:spacing w:after="240"/>
        <w:jc w:val="center"/>
        <w:textAlignment w:val="baseline"/>
        <w:rPr>
          <w:rFonts w:eastAsia="Times New Roman" w:cs="Times New Roman"/>
          <w:b/>
          <w:color w:val="000000"/>
          <w:sz w:val="24"/>
          <w:szCs w:val="22"/>
          <w:lang w:val="en-GB"/>
        </w:rPr>
      </w:pPr>
    </w:p>
    <w:tbl>
      <w:tblPr>
        <w:tblW w:w="15283" w:type="dxa"/>
        <w:tblLayout w:type="fixed"/>
        <w:tblCellMar>
          <w:left w:w="0" w:type="dxa"/>
          <w:right w:w="0" w:type="dxa"/>
        </w:tblCellMar>
        <w:tblLook w:val="04A0" w:firstRow="1" w:lastRow="0" w:firstColumn="1" w:lastColumn="0" w:noHBand="0" w:noVBand="1"/>
      </w:tblPr>
      <w:tblGrid>
        <w:gridCol w:w="2410"/>
        <w:gridCol w:w="704"/>
        <w:gridCol w:w="1219"/>
        <w:gridCol w:w="1191"/>
        <w:gridCol w:w="1220"/>
        <w:gridCol w:w="1053"/>
        <w:gridCol w:w="1386"/>
        <w:gridCol w:w="1220"/>
        <w:gridCol w:w="1220"/>
        <w:gridCol w:w="1220"/>
        <w:gridCol w:w="1220"/>
        <w:gridCol w:w="1220"/>
      </w:tblGrid>
      <w:tr w:rsidRPr="009C48DA" w:rsidR="00661519" w:rsidTr="00661519" w14:paraId="3A4A60AD" w14:textId="77777777">
        <w:trPr>
          <w:trHeight w:val="930"/>
        </w:trPr>
        <w:tc>
          <w:tcPr>
            <w:tcW w:w="2410" w:type="dxa"/>
            <w:vAlign w:val="bottom"/>
          </w:tcPr>
          <w:p w:rsidRPr="009C48DA" w:rsidR="00661519" w:rsidP="00661519" w:rsidRDefault="00661519" w14:paraId="5FC0A4C3" w14:textId="77777777">
            <w:pPr>
              <w:textAlignment w:val="baseline"/>
              <w:rPr>
                <w:rFonts w:eastAsia="Times New Roman" w:cs="Times New Roman"/>
                <w:color w:val="000000"/>
                <w:sz w:val="16"/>
                <w:szCs w:val="16"/>
                <w:lang w:val="en-GB"/>
              </w:rPr>
            </w:pPr>
          </w:p>
        </w:tc>
        <w:tc>
          <w:tcPr>
            <w:tcW w:w="704" w:type="dxa"/>
          </w:tcPr>
          <w:p w:rsidRPr="009C48DA" w:rsidR="00661519" w:rsidP="00661519" w:rsidRDefault="00661519" w14:paraId="7C7DC459" w14:textId="77777777">
            <w:pPr>
              <w:ind w:right="87"/>
              <w:jc w:val="right"/>
              <w:textAlignment w:val="baseline"/>
              <w:rPr>
                <w:rFonts w:eastAsia="Times New Roman" w:cs="Times New Roman"/>
                <w:b/>
                <w:color w:val="000000"/>
                <w:sz w:val="16"/>
                <w:szCs w:val="16"/>
                <w:lang w:val="en-GB"/>
              </w:rPr>
            </w:pPr>
          </w:p>
        </w:tc>
        <w:tc>
          <w:tcPr>
            <w:tcW w:w="1219" w:type="dxa"/>
            <w:vAlign w:val="bottom"/>
          </w:tcPr>
          <w:p w:rsidRPr="009C48DA" w:rsidR="00661519" w:rsidP="00661519" w:rsidRDefault="00661519" w14:paraId="7FE27FAB" w14:textId="77777777">
            <w:pPr>
              <w:ind w:right="8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Share capital</w:t>
            </w:r>
          </w:p>
          <w:p w:rsidRPr="009C48DA" w:rsidR="00661519" w:rsidP="00661519" w:rsidRDefault="00661519" w14:paraId="2F48AE58"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191" w:type="dxa"/>
            <w:vAlign w:val="bottom"/>
          </w:tcPr>
          <w:p w:rsidRPr="009C48DA" w:rsidR="00661519" w:rsidP="00661519" w:rsidRDefault="00661519" w14:paraId="12553D1D" w14:textId="77777777">
            <w:pPr>
              <w:ind w:right="13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Share</w:t>
            </w:r>
          </w:p>
          <w:p w:rsidRPr="009C48DA" w:rsidR="00661519" w:rsidP="00661519" w:rsidRDefault="00661519" w14:paraId="6B163E86" w14:textId="77777777">
            <w:pPr>
              <w:ind w:right="13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premium</w:t>
            </w:r>
          </w:p>
          <w:p w:rsidRPr="009C48DA" w:rsidR="00661519" w:rsidP="00661519" w:rsidRDefault="00661519" w14:paraId="4F699556" w14:textId="77777777">
            <w:pPr>
              <w:ind w:right="135"/>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2092EB6C" w14:textId="77777777">
            <w:pPr>
              <w:ind w:right="81"/>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Total share </w:t>
            </w:r>
            <w:r w:rsidRPr="009C48DA">
              <w:rPr>
                <w:rFonts w:eastAsia="Times New Roman" w:cs="Times New Roman"/>
                <w:b/>
                <w:color w:val="000000"/>
                <w:sz w:val="16"/>
                <w:szCs w:val="16"/>
                <w:lang w:val="en-GB"/>
              </w:rPr>
              <w:br/>
              <w:t>capital and</w:t>
            </w:r>
          </w:p>
          <w:p w:rsidRPr="009C48DA" w:rsidR="00661519" w:rsidP="00661519" w:rsidRDefault="00661519" w14:paraId="3F5E4648" w14:textId="77777777">
            <w:pPr>
              <w:ind w:right="81"/>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share</w:t>
            </w:r>
          </w:p>
          <w:p w:rsidRPr="009C48DA" w:rsidR="00661519" w:rsidP="00661519" w:rsidRDefault="00661519" w14:paraId="1EBB0CE7" w14:textId="77777777">
            <w:pPr>
              <w:ind w:right="81"/>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premium</w:t>
            </w:r>
          </w:p>
          <w:p w:rsidRPr="009C48DA" w:rsidR="00661519" w:rsidP="00661519" w:rsidRDefault="00661519" w14:paraId="08EABE1B" w14:textId="77777777">
            <w:pPr>
              <w:ind w:right="81"/>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053" w:type="dxa"/>
            <w:vAlign w:val="bottom"/>
          </w:tcPr>
          <w:p w:rsidRPr="009C48DA" w:rsidR="00661519" w:rsidP="00661519" w:rsidRDefault="00661519" w14:paraId="308BD086" w14:textId="77777777">
            <w:pPr>
              <w:ind w:right="12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Capital</w:t>
            </w:r>
          </w:p>
          <w:p w:rsidRPr="009C48DA" w:rsidR="00661519" w:rsidP="00661519" w:rsidRDefault="00661519" w14:paraId="7ECB7FCA" w14:textId="77777777">
            <w:pPr>
              <w:ind w:right="12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redemption</w:t>
            </w:r>
          </w:p>
          <w:p w:rsidRPr="009C48DA" w:rsidR="00661519" w:rsidP="00661519" w:rsidRDefault="00661519" w14:paraId="5FF263CA" w14:textId="77777777">
            <w:pPr>
              <w:ind w:right="12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reserve</w:t>
            </w:r>
          </w:p>
          <w:p w:rsidRPr="009C48DA" w:rsidR="00661519" w:rsidP="00661519" w:rsidRDefault="00661519" w14:paraId="70EB1C83" w14:textId="77777777">
            <w:pPr>
              <w:ind w:right="12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386" w:type="dxa"/>
            <w:vAlign w:val="bottom"/>
          </w:tcPr>
          <w:p w:rsidRPr="009C48DA" w:rsidR="00661519" w:rsidP="00661519" w:rsidRDefault="00661519" w14:paraId="06B1CF85" w14:textId="77777777">
            <w:pPr>
              <w:ind w:right="14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Cash flow hedge reserve</w:t>
            </w:r>
          </w:p>
          <w:p w:rsidRPr="009C48DA" w:rsidR="00661519" w:rsidP="00661519" w:rsidRDefault="00661519" w14:paraId="6E72D397" w14:textId="77777777">
            <w:pPr>
              <w:ind w:right="144"/>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462C437D" w14:textId="77777777">
            <w:pPr>
              <w:ind w:right="7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Net</w:t>
            </w:r>
          </w:p>
          <w:p w:rsidRPr="009C48DA" w:rsidR="00661519" w:rsidP="00661519" w:rsidRDefault="00661519" w14:paraId="2B25E129" w14:textId="77777777">
            <w:pPr>
              <w:ind w:right="7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exchange differences reserve</w:t>
            </w:r>
          </w:p>
          <w:p w:rsidRPr="009C48DA" w:rsidR="00661519" w:rsidP="00661519" w:rsidRDefault="00661519" w14:paraId="673BB80F" w14:textId="77777777">
            <w:pPr>
              <w:ind w:right="78"/>
              <w:jc w:val="cente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7911134D" w14:textId="77777777">
            <w:pPr>
              <w:ind w:right="7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Retained</w:t>
            </w:r>
          </w:p>
          <w:p w:rsidRPr="009C48DA" w:rsidR="00661519" w:rsidP="00661519" w:rsidRDefault="00661519" w14:paraId="1F1E7AD8" w14:textId="77777777">
            <w:pPr>
              <w:ind w:right="7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earnings</w:t>
            </w:r>
          </w:p>
          <w:p w:rsidRPr="009C48DA" w:rsidR="00661519" w:rsidP="00661519" w:rsidRDefault="00661519" w14:paraId="6F5B6C55" w14:textId="77777777">
            <w:pPr>
              <w:ind w:right="78"/>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2157FE1B"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w:t>
            </w:r>
          </w:p>
          <w:p w:rsidRPr="009C48DA" w:rsidR="00661519" w:rsidP="00661519" w:rsidRDefault="00661519" w14:paraId="47BC03C9"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12EA15C8"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Non-</w:t>
            </w:r>
          </w:p>
          <w:p w:rsidRPr="009C48DA" w:rsidR="00661519" w:rsidP="00661519" w:rsidRDefault="00661519" w14:paraId="39525261"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controlling</w:t>
            </w:r>
          </w:p>
          <w:p w:rsidRPr="009C48DA" w:rsidR="00661519" w:rsidP="00661519" w:rsidRDefault="00661519" w14:paraId="262F19F9"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interests</w:t>
            </w:r>
          </w:p>
          <w:p w:rsidRPr="009C48DA" w:rsidR="00661519" w:rsidP="00661519" w:rsidRDefault="00661519" w14:paraId="78042AEA"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52EF3B75" w14:textId="77777777">
            <w:pPr>
              <w:ind w:right="20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equity</w:t>
            </w:r>
          </w:p>
          <w:p w:rsidRPr="009C48DA" w:rsidR="00661519" w:rsidP="00661519" w:rsidRDefault="00661519" w14:paraId="3EC8D970" w14:textId="77777777">
            <w:pPr>
              <w:ind w:right="203"/>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06FAE03C" w14:textId="77777777">
        <w:tc>
          <w:tcPr>
            <w:tcW w:w="2410" w:type="dxa"/>
            <w:vAlign w:val="bottom"/>
          </w:tcPr>
          <w:p w:rsidRPr="009C48DA" w:rsidR="00661519" w:rsidP="00661519" w:rsidRDefault="00661519" w14:paraId="526B8F29"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At 1 January 2018</w:t>
            </w:r>
          </w:p>
        </w:tc>
        <w:tc>
          <w:tcPr>
            <w:tcW w:w="704" w:type="dxa"/>
          </w:tcPr>
          <w:p w:rsidRPr="009C48DA" w:rsidR="00661519" w:rsidP="00661519" w:rsidRDefault="00661519" w14:paraId="035FE839" w14:textId="77777777">
            <w:pPr>
              <w:spacing w:before="60"/>
              <w:ind w:right="87"/>
              <w:jc w:val="right"/>
              <w:textAlignment w:val="baseline"/>
              <w:rPr>
                <w:rFonts w:eastAsia="Times New Roman" w:cs="Times New Roman"/>
                <w:color w:val="000000"/>
                <w:sz w:val="16"/>
                <w:szCs w:val="16"/>
                <w:lang w:val="en-GB"/>
              </w:rPr>
            </w:pPr>
          </w:p>
        </w:tc>
        <w:tc>
          <w:tcPr>
            <w:tcW w:w="1219" w:type="dxa"/>
            <w:vAlign w:val="bottom"/>
          </w:tcPr>
          <w:p w:rsidRPr="009C48DA" w:rsidR="00661519" w:rsidP="00661519" w:rsidRDefault="00661519" w14:paraId="115C7B65" w14:textId="77777777">
            <w:pP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w:t>
            </w:r>
          </w:p>
        </w:tc>
        <w:tc>
          <w:tcPr>
            <w:tcW w:w="1191" w:type="dxa"/>
            <w:vAlign w:val="bottom"/>
          </w:tcPr>
          <w:p w:rsidRPr="009C48DA" w:rsidR="00661519" w:rsidP="00661519" w:rsidRDefault="00661519" w14:paraId="23F69D5F" w14:textId="77777777">
            <w:pP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3,646</w:t>
            </w:r>
          </w:p>
        </w:tc>
        <w:tc>
          <w:tcPr>
            <w:tcW w:w="1220" w:type="dxa"/>
            <w:vAlign w:val="bottom"/>
          </w:tcPr>
          <w:p w:rsidRPr="009C48DA" w:rsidR="00661519" w:rsidP="00661519" w:rsidRDefault="00661519" w14:paraId="47000A85" w14:textId="77777777">
            <w:pP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3,676</w:t>
            </w:r>
          </w:p>
        </w:tc>
        <w:tc>
          <w:tcPr>
            <w:tcW w:w="1053" w:type="dxa"/>
            <w:vAlign w:val="bottom"/>
          </w:tcPr>
          <w:p w:rsidRPr="009C48DA" w:rsidR="00661519" w:rsidP="00661519" w:rsidRDefault="00661519" w14:paraId="67A07551" w14:textId="77777777">
            <w:pP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25</w:t>
            </w:r>
          </w:p>
        </w:tc>
        <w:tc>
          <w:tcPr>
            <w:tcW w:w="1386" w:type="dxa"/>
            <w:vAlign w:val="bottom"/>
          </w:tcPr>
          <w:p w:rsidRPr="009C48DA" w:rsidR="00661519" w:rsidP="00661519" w:rsidRDefault="00661519" w14:paraId="11C19EF0" w14:textId="77777777">
            <w:pP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(7,157)</w:t>
            </w:r>
          </w:p>
        </w:tc>
        <w:tc>
          <w:tcPr>
            <w:tcW w:w="1220" w:type="dxa"/>
            <w:vAlign w:val="bottom"/>
          </w:tcPr>
          <w:p w:rsidRPr="009C48DA" w:rsidR="00661519" w:rsidP="00661519" w:rsidRDefault="00661519" w14:paraId="4BFB0FFD"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4,771</w:t>
            </w:r>
          </w:p>
        </w:tc>
        <w:tc>
          <w:tcPr>
            <w:tcW w:w="1220" w:type="dxa"/>
            <w:vAlign w:val="bottom"/>
          </w:tcPr>
          <w:p w:rsidRPr="009C48DA" w:rsidR="00661519" w:rsidP="00661519" w:rsidRDefault="00661519" w14:paraId="79A13C97"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153,815</w:t>
            </w:r>
          </w:p>
        </w:tc>
        <w:tc>
          <w:tcPr>
            <w:tcW w:w="1220" w:type="dxa"/>
            <w:vAlign w:val="bottom"/>
          </w:tcPr>
          <w:p w:rsidRPr="009C48DA" w:rsidR="00661519" w:rsidP="00661519" w:rsidRDefault="00661519" w14:paraId="399E6B56"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155,130</w:t>
            </w:r>
          </w:p>
        </w:tc>
        <w:tc>
          <w:tcPr>
            <w:tcW w:w="1220" w:type="dxa"/>
            <w:vAlign w:val="bottom"/>
          </w:tcPr>
          <w:p w:rsidRPr="009C48DA" w:rsidR="00661519" w:rsidP="00661519" w:rsidRDefault="00661519" w14:paraId="0D888D19" w14:textId="77777777">
            <w:pP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4,161</w:t>
            </w:r>
          </w:p>
        </w:tc>
        <w:tc>
          <w:tcPr>
            <w:tcW w:w="1220" w:type="dxa"/>
            <w:vAlign w:val="bottom"/>
          </w:tcPr>
          <w:p w:rsidRPr="009C48DA" w:rsidR="00661519" w:rsidP="00661519" w:rsidRDefault="00661519" w14:paraId="4A99BD2A" w14:textId="77777777">
            <w:pP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159,291</w:t>
            </w:r>
          </w:p>
        </w:tc>
      </w:tr>
      <w:tr w:rsidRPr="009C48DA" w:rsidR="00661519" w:rsidTr="00661519" w14:paraId="0497E6A5" w14:textId="77777777">
        <w:tc>
          <w:tcPr>
            <w:tcW w:w="2410" w:type="dxa"/>
            <w:vAlign w:val="bottom"/>
          </w:tcPr>
          <w:p w:rsidRPr="009C48DA" w:rsidR="00661519" w:rsidP="00661519" w:rsidRDefault="00661519" w14:paraId="61790775"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Profit for the year</w:t>
            </w:r>
          </w:p>
        </w:tc>
        <w:tc>
          <w:tcPr>
            <w:tcW w:w="704" w:type="dxa"/>
          </w:tcPr>
          <w:p w:rsidRPr="009C48DA" w:rsidR="00661519" w:rsidP="00661519" w:rsidRDefault="00661519" w14:paraId="7B1FED0A" w14:textId="77777777">
            <w:pPr>
              <w:spacing w:before="60"/>
              <w:ind w:right="87"/>
              <w:jc w:val="right"/>
              <w:textAlignment w:val="baseline"/>
              <w:rPr>
                <w:rFonts w:eastAsia="Times New Roman" w:cs="Times New Roman"/>
                <w:color w:val="000000"/>
                <w:sz w:val="16"/>
                <w:szCs w:val="16"/>
                <w:lang w:val="en-GB"/>
              </w:rPr>
            </w:pPr>
          </w:p>
        </w:tc>
        <w:tc>
          <w:tcPr>
            <w:tcW w:w="1219" w:type="dxa"/>
            <w:vAlign w:val="bottom"/>
          </w:tcPr>
          <w:p w:rsidRPr="009C48DA" w:rsidR="00661519" w:rsidP="00661519" w:rsidRDefault="00661519" w14:paraId="12D59B29" w14:textId="77777777">
            <w:pP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91" w:type="dxa"/>
            <w:vAlign w:val="bottom"/>
          </w:tcPr>
          <w:p w:rsidRPr="009C48DA" w:rsidR="00661519" w:rsidP="00661519" w:rsidRDefault="00661519" w14:paraId="27AE378E" w14:textId="77777777">
            <w:pP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61961D3F" w14:textId="77777777">
            <w:pP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53" w:type="dxa"/>
            <w:vAlign w:val="bottom"/>
          </w:tcPr>
          <w:p w:rsidRPr="009C48DA" w:rsidR="00661519" w:rsidP="00661519" w:rsidRDefault="00661519" w14:paraId="56ECF1D9" w14:textId="77777777">
            <w:pP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6" w:type="dxa"/>
            <w:vAlign w:val="bottom"/>
          </w:tcPr>
          <w:p w:rsidRPr="009C48DA" w:rsidR="00661519" w:rsidP="00661519" w:rsidRDefault="00661519" w14:paraId="5B06E440" w14:textId="77777777">
            <w:pP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326F63F6" w14:textId="77777777">
            <w:pP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765A9FBE"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(4,659)</w:t>
            </w:r>
          </w:p>
        </w:tc>
        <w:tc>
          <w:tcPr>
            <w:tcW w:w="1220" w:type="dxa"/>
            <w:vAlign w:val="bottom"/>
          </w:tcPr>
          <w:p w:rsidRPr="009C48DA" w:rsidR="00661519" w:rsidP="00661519" w:rsidRDefault="00661519" w14:paraId="0DAF31E4"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(4,659)</w:t>
            </w:r>
          </w:p>
        </w:tc>
        <w:tc>
          <w:tcPr>
            <w:tcW w:w="1220" w:type="dxa"/>
            <w:vAlign w:val="bottom"/>
          </w:tcPr>
          <w:p w:rsidRPr="009C48DA" w:rsidR="00661519" w:rsidP="00661519" w:rsidRDefault="00661519" w14:paraId="1519A0AB" w14:textId="77777777">
            <w:pP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7,724</w:t>
            </w:r>
          </w:p>
        </w:tc>
        <w:tc>
          <w:tcPr>
            <w:tcW w:w="1220" w:type="dxa"/>
            <w:vAlign w:val="bottom"/>
          </w:tcPr>
          <w:p w:rsidRPr="009C48DA" w:rsidR="00661519" w:rsidP="00661519" w:rsidRDefault="00661519" w14:paraId="13357360" w14:textId="77777777">
            <w:pP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3,065</w:t>
            </w:r>
          </w:p>
        </w:tc>
      </w:tr>
      <w:tr w:rsidRPr="009C48DA" w:rsidR="00661519" w:rsidTr="00661519" w14:paraId="5D3C0113" w14:textId="77777777">
        <w:tc>
          <w:tcPr>
            <w:tcW w:w="2410" w:type="dxa"/>
            <w:vAlign w:val="bottom"/>
          </w:tcPr>
          <w:p w:rsidRPr="009C48DA" w:rsidR="00661519" w:rsidP="00661519" w:rsidRDefault="00661519" w14:paraId="52780754"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Foreign exchange hedges</w:t>
            </w:r>
          </w:p>
        </w:tc>
        <w:tc>
          <w:tcPr>
            <w:tcW w:w="704" w:type="dxa"/>
          </w:tcPr>
          <w:p w:rsidRPr="009C48DA" w:rsidR="00661519" w:rsidP="00661519" w:rsidRDefault="00661519" w14:paraId="61BE14FA" w14:textId="77777777">
            <w:pPr>
              <w:spacing w:before="60"/>
              <w:ind w:right="87"/>
              <w:jc w:val="right"/>
              <w:textAlignment w:val="baseline"/>
              <w:rPr>
                <w:rFonts w:eastAsia="Times New Roman" w:cs="Times New Roman"/>
                <w:color w:val="000000"/>
                <w:sz w:val="16"/>
                <w:szCs w:val="16"/>
                <w:lang w:val="en-GB"/>
              </w:rPr>
            </w:pPr>
          </w:p>
        </w:tc>
        <w:tc>
          <w:tcPr>
            <w:tcW w:w="1219" w:type="dxa"/>
            <w:vAlign w:val="bottom"/>
          </w:tcPr>
          <w:p w:rsidRPr="009C48DA" w:rsidR="00661519" w:rsidP="00661519" w:rsidRDefault="00661519" w14:paraId="5437B780" w14:textId="77777777">
            <w:pP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91" w:type="dxa"/>
            <w:vAlign w:val="bottom"/>
          </w:tcPr>
          <w:p w:rsidRPr="009C48DA" w:rsidR="00661519" w:rsidP="00661519" w:rsidRDefault="00661519" w14:paraId="78878CED" w14:textId="77777777">
            <w:pP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033661BA" w14:textId="77777777">
            <w:pP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53" w:type="dxa"/>
            <w:vAlign w:val="bottom"/>
          </w:tcPr>
          <w:p w:rsidRPr="009C48DA" w:rsidR="00661519" w:rsidP="00661519" w:rsidRDefault="00661519" w14:paraId="584FD956" w14:textId="77777777">
            <w:pP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6" w:type="dxa"/>
            <w:vAlign w:val="bottom"/>
          </w:tcPr>
          <w:p w:rsidRPr="009C48DA" w:rsidR="00661519" w:rsidP="00661519" w:rsidRDefault="00661519" w14:paraId="0A519E00" w14:textId="77777777">
            <w:pP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2,160</w:t>
            </w:r>
          </w:p>
        </w:tc>
        <w:tc>
          <w:tcPr>
            <w:tcW w:w="1220" w:type="dxa"/>
            <w:vAlign w:val="bottom"/>
          </w:tcPr>
          <w:p w:rsidRPr="009C48DA" w:rsidR="00661519" w:rsidP="00661519" w:rsidRDefault="00661519" w14:paraId="782723BD" w14:textId="77777777">
            <w:pP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1092FD47"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(410)</w:t>
            </w:r>
          </w:p>
        </w:tc>
        <w:tc>
          <w:tcPr>
            <w:tcW w:w="1220" w:type="dxa"/>
            <w:vAlign w:val="bottom"/>
          </w:tcPr>
          <w:p w:rsidRPr="009C48DA" w:rsidR="00661519" w:rsidP="00661519" w:rsidRDefault="00661519" w14:paraId="720B4AC2"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1,750</w:t>
            </w:r>
          </w:p>
        </w:tc>
        <w:tc>
          <w:tcPr>
            <w:tcW w:w="1220" w:type="dxa"/>
            <w:vAlign w:val="bottom"/>
          </w:tcPr>
          <w:p w:rsidRPr="009C48DA" w:rsidR="00661519" w:rsidP="00661519" w:rsidRDefault="00661519" w14:paraId="363FD6A2" w14:textId="77777777">
            <w:pP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499</w:t>
            </w:r>
          </w:p>
        </w:tc>
        <w:tc>
          <w:tcPr>
            <w:tcW w:w="1220" w:type="dxa"/>
            <w:vAlign w:val="bottom"/>
          </w:tcPr>
          <w:p w:rsidRPr="009C48DA" w:rsidR="00661519" w:rsidP="00661519" w:rsidRDefault="00661519" w14:paraId="4A19DCE4" w14:textId="77777777">
            <w:pP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2,249</w:t>
            </w:r>
          </w:p>
        </w:tc>
      </w:tr>
      <w:tr w:rsidRPr="009C48DA" w:rsidR="00661519" w:rsidTr="00661519" w14:paraId="3BCA5AE1" w14:textId="77777777">
        <w:tc>
          <w:tcPr>
            <w:tcW w:w="2410" w:type="dxa"/>
            <w:vAlign w:val="bottom"/>
          </w:tcPr>
          <w:p w:rsidRPr="009C48DA" w:rsidR="00661519" w:rsidP="00661519" w:rsidRDefault="00661519" w14:paraId="62022578"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Revaluation of foreign subsidiaries</w:t>
            </w:r>
          </w:p>
        </w:tc>
        <w:tc>
          <w:tcPr>
            <w:tcW w:w="704" w:type="dxa"/>
          </w:tcPr>
          <w:p w:rsidRPr="009C48DA" w:rsidR="00661519" w:rsidP="00661519" w:rsidRDefault="00661519" w14:paraId="07645832" w14:textId="77777777">
            <w:pPr>
              <w:spacing w:before="60"/>
              <w:ind w:right="87"/>
              <w:jc w:val="right"/>
              <w:textAlignment w:val="baseline"/>
              <w:rPr>
                <w:rFonts w:eastAsia="Times New Roman" w:cs="Times New Roman"/>
                <w:color w:val="000000"/>
                <w:sz w:val="16"/>
                <w:szCs w:val="16"/>
                <w:lang w:val="en-GB"/>
              </w:rPr>
            </w:pPr>
          </w:p>
        </w:tc>
        <w:tc>
          <w:tcPr>
            <w:tcW w:w="1219" w:type="dxa"/>
            <w:vAlign w:val="bottom"/>
          </w:tcPr>
          <w:p w:rsidRPr="009C48DA" w:rsidR="00661519" w:rsidP="00661519" w:rsidRDefault="00661519" w14:paraId="2F982359" w14:textId="77777777">
            <w:pPr>
              <w:pBdr>
                <w:bottom w:val="single" w:color="auto" w:sz="12" w:space="1"/>
              </w:pBd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91" w:type="dxa"/>
            <w:vAlign w:val="bottom"/>
          </w:tcPr>
          <w:p w:rsidRPr="009C48DA" w:rsidR="00661519" w:rsidP="00661519" w:rsidRDefault="00661519" w14:paraId="7A90D51C" w14:textId="77777777">
            <w:pPr>
              <w:pBdr>
                <w:bottom w:val="single" w:color="auto" w:sz="12" w:space="1"/>
              </w:pBd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214C93D3" w14:textId="77777777">
            <w:pPr>
              <w:pBdr>
                <w:bottom w:val="single" w:color="auto" w:sz="12" w:space="1"/>
              </w:pBd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53" w:type="dxa"/>
            <w:vAlign w:val="bottom"/>
          </w:tcPr>
          <w:p w:rsidRPr="009C48DA" w:rsidR="00661519" w:rsidP="00661519" w:rsidRDefault="00661519" w14:paraId="11CFDAD9" w14:textId="77777777">
            <w:pPr>
              <w:pBdr>
                <w:bottom w:val="single" w:color="auto" w:sz="12" w:space="1"/>
              </w:pBd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6" w:type="dxa"/>
            <w:vAlign w:val="bottom"/>
          </w:tcPr>
          <w:p w:rsidRPr="009C48DA" w:rsidR="00661519" w:rsidP="00661519" w:rsidRDefault="00661519" w14:paraId="6E0B7E76" w14:textId="77777777">
            <w:pPr>
              <w:pBdr>
                <w:bottom w:val="single" w:color="auto" w:sz="12" w:space="1"/>
              </w:pBd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49FF6795" w14:textId="77777777">
            <w:pPr>
              <w:pBdr>
                <w:bottom w:val="single" w:color="auto" w:sz="12" w:space="1"/>
              </w:pBd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275</w:t>
            </w:r>
          </w:p>
        </w:tc>
        <w:tc>
          <w:tcPr>
            <w:tcW w:w="1220" w:type="dxa"/>
            <w:vAlign w:val="bottom"/>
          </w:tcPr>
          <w:p w:rsidRPr="009C48DA" w:rsidR="00661519" w:rsidP="00661519" w:rsidRDefault="00661519" w14:paraId="66359C90" w14:textId="77777777">
            <w:pPr>
              <w:pBdr>
                <w:bottom w:val="single" w:color="auto" w:sz="12" w:space="1"/>
              </w:pBd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31C42D8F" w14:textId="77777777">
            <w:pPr>
              <w:pBdr>
                <w:bottom w:val="single" w:color="auto" w:sz="12" w:space="1"/>
              </w:pBd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275</w:t>
            </w:r>
          </w:p>
        </w:tc>
        <w:tc>
          <w:tcPr>
            <w:tcW w:w="1220" w:type="dxa"/>
            <w:vAlign w:val="bottom"/>
          </w:tcPr>
          <w:p w:rsidRPr="009C48DA" w:rsidR="00661519" w:rsidP="00661519" w:rsidRDefault="00661519" w14:paraId="4E149A58" w14:textId="77777777">
            <w:pPr>
              <w:pBdr>
                <w:bottom w:val="single" w:color="auto" w:sz="12" w:space="1"/>
              </w:pBd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79</w:t>
            </w:r>
          </w:p>
        </w:tc>
        <w:tc>
          <w:tcPr>
            <w:tcW w:w="1220" w:type="dxa"/>
            <w:vAlign w:val="bottom"/>
          </w:tcPr>
          <w:p w:rsidRPr="009C48DA" w:rsidR="00661519" w:rsidP="00661519" w:rsidRDefault="00661519" w14:paraId="0772022E" w14:textId="77777777">
            <w:pPr>
              <w:pBdr>
                <w:bottom w:val="single" w:color="auto" w:sz="12" w:space="1"/>
              </w:pBd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354</w:t>
            </w:r>
          </w:p>
        </w:tc>
      </w:tr>
      <w:tr w:rsidRPr="009C48DA" w:rsidR="00661519" w:rsidTr="00661519" w14:paraId="2256890C" w14:textId="77777777">
        <w:tc>
          <w:tcPr>
            <w:tcW w:w="2410" w:type="dxa"/>
            <w:vAlign w:val="bottom"/>
          </w:tcPr>
          <w:p w:rsidRPr="009C48DA" w:rsidR="00661519" w:rsidP="00661519" w:rsidRDefault="00661519" w14:paraId="5D0D3E1B" w14:textId="77777777">
            <w:pPr>
              <w:spacing w:before="60"/>
              <w:textAlignment w:val="baseline"/>
              <w:rPr>
                <w:rFonts w:eastAsia="Times New Roman" w:cs="Times New Roman"/>
                <w:color w:val="000000"/>
                <w:sz w:val="16"/>
                <w:szCs w:val="16"/>
                <w:lang w:val="en-GB"/>
              </w:rPr>
            </w:pPr>
          </w:p>
          <w:p w:rsidRPr="009C48DA" w:rsidR="00661519" w:rsidP="00661519" w:rsidRDefault="00661519" w14:paraId="60147FE0"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Total Comprehensive Income</w:t>
            </w:r>
          </w:p>
        </w:tc>
        <w:tc>
          <w:tcPr>
            <w:tcW w:w="704" w:type="dxa"/>
          </w:tcPr>
          <w:p w:rsidRPr="009C48DA" w:rsidR="00661519" w:rsidP="00661519" w:rsidRDefault="00661519" w14:paraId="0D7AAE10" w14:textId="77777777">
            <w:pPr>
              <w:spacing w:before="60"/>
              <w:ind w:right="87"/>
              <w:jc w:val="right"/>
              <w:textAlignment w:val="baseline"/>
              <w:rPr>
                <w:rFonts w:eastAsia="Times New Roman" w:cs="Times New Roman"/>
                <w:color w:val="000000"/>
                <w:sz w:val="16"/>
                <w:szCs w:val="16"/>
                <w:lang w:val="en-GB"/>
              </w:rPr>
            </w:pPr>
          </w:p>
        </w:tc>
        <w:tc>
          <w:tcPr>
            <w:tcW w:w="1219" w:type="dxa"/>
            <w:vAlign w:val="bottom"/>
          </w:tcPr>
          <w:p w:rsidRPr="009C48DA" w:rsidR="00661519" w:rsidP="00661519" w:rsidRDefault="00661519" w14:paraId="36744EB1" w14:textId="77777777">
            <w:pP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91" w:type="dxa"/>
            <w:vAlign w:val="bottom"/>
          </w:tcPr>
          <w:p w:rsidRPr="009C48DA" w:rsidR="00661519" w:rsidP="00661519" w:rsidRDefault="00661519" w14:paraId="26FB9C97" w14:textId="77777777">
            <w:pP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1DB320DA" w14:textId="77777777">
            <w:pP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53" w:type="dxa"/>
            <w:vAlign w:val="bottom"/>
          </w:tcPr>
          <w:p w:rsidRPr="009C48DA" w:rsidR="00661519" w:rsidP="00661519" w:rsidRDefault="00661519" w14:paraId="7C00166C" w14:textId="77777777">
            <w:pP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6" w:type="dxa"/>
            <w:vAlign w:val="bottom"/>
          </w:tcPr>
          <w:p w:rsidRPr="009C48DA" w:rsidR="00661519" w:rsidP="00661519" w:rsidRDefault="00661519" w14:paraId="2A691529" w14:textId="77777777">
            <w:pP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2,160</w:t>
            </w:r>
          </w:p>
        </w:tc>
        <w:tc>
          <w:tcPr>
            <w:tcW w:w="1220" w:type="dxa"/>
            <w:vAlign w:val="bottom"/>
          </w:tcPr>
          <w:p w:rsidRPr="009C48DA" w:rsidR="00661519" w:rsidP="00661519" w:rsidRDefault="00661519" w14:paraId="1C5D9D57"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275</w:t>
            </w:r>
          </w:p>
        </w:tc>
        <w:tc>
          <w:tcPr>
            <w:tcW w:w="1220" w:type="dxa"/>
            <w:vAlign w:val="bottom"/>
          </w:tcPr>
          <w:p w:rsidRPr="009C48DA" w:rsidR="00661519" w:rsidP="00661519" w:rsidRDefault="00661519" w14:paraId="4E69C51B"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(5,069)</w:t>
            </w:r>
          </w:p>
        </w:tc>
        <w:tc>
          <w:tcPr>
            <w:tcW w:w="1220" w:type="dxa"/>
            <w:vAlign w:val="bottom"/>
          </w:tcPr>
          <w:p w:rsidRPr="009C48DA" w:rsidR="00661519" w:rsidP="00661519" w:rsidRDefault="00661519" w14:paraId="4ABB86FB"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(2,634)</w:t>
            </w:r>
          </w:p>
        </w:tc>
        <w:tc>
          <w:tcPr>
            <w:tcW w:w="1220" w:type="dxa"/>
            <w:vAlign w:val="bottom"/>
          </w:tcPr>
          <w:p w:rsidRPr="009C48DA" w:rsidR="00661519" w:rsidP="00661519" w:rsidRDefault="00661519" w14:paraId="173633C9" w14:textId="77777777">
            <w:pP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8,302</w:t>
            </w:r>
          </w:p>
        </w:tc>
        <w:tc>
          <w:tcPr>
            <w:tcW w:w="1220" w:type="dxa"/>
            <w:vAlign w:val="bottom"/>
          </w:tcPr>
          <w:p w:rsidRPr="009C48DA" w:rsidR="00661519" w:rsidP="00661519" w:rsidRDefault="00661519" w14:paraId="156D6F61" w14:textId="77777777">
            <w:pP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5,668</w:t>
            </w:r>
          </w:p>
        </w:tc>
      </w:tr>
      <w:tr w:rsidRPr="009C48DA" w:rsidR="00661519" w:rsidTr="00661519" w14:paraId="5AA9DDE9" w14:textId="77777777">
        <w:tc>
          <w:tcPr>
            <w:tcW w:w="2410" w:type="dxa"/>
            <w:vAlign w:val="bottom"/>
          </w:tcPr>
          <w:p w:rsidRPr="009C48DA" w:rsidR="00661519" w:rsidP="00661519" w:rsidRDefault="00661519" w14:paraId="6CD45CA9"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Group reconstruction and additional investment</w:t>
            </w:r>
          </w:p>
        </w:tc>
        <w:tc>
          <w:tcPr>
            <w:tcW w:w="704" w:type="dxa"/>
          </w:tcPr>
          <w:p w:rsidRPr="009C48DA" w:rsidR="00661519" w:rsidP="00661519" w:rsidRDefault="00661519" w14:paraId="29F3AE4A" w14:textId="77777777">
            <w:pPr>
              <w:spacing w:before="60"/>
              <w:ind w:left="-18" w:right="87" w:firstLine="18"/>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23(e)</w:t>
            </w:r>
          </w:p>
        </w:tc>
        <w:tc>
          <w:tcPr>
            <w:tcW w:w="1219" w:type="dxa"/>
            <w:vAlign w:val="bottom"/>
          </w:tcPr>
          <w:p w:rsidRPr="009C48DA" w:rsidR="00661519" w:rsidP="00661519" w:rsidRDefault="00661519" w14:paraId="04722022" w14:textId="77777777">
            <w:pP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240,837</w:t>
            </w:r>
          </w:p>
        </w:tc>
        <w:tc>
          <w:tcPr>
            <w:tcW w:w="1191" w:type="dxa"/>
            <w:vAlign w:val="bottom"/>
          </w:tcPr>
          <w:p w:rsidRPr="009C48DA" w:rsidR="00661519" w:rsidP="00661519" w:rsidRDefault="00661519" w14:paraId="29476443" w14:textId="77777777">
            <w:pP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(3,646)</w:t>
            </w:r>
          </w:p>
        </w:tc>
        <w:tc>
          <w:tcPr>
            <w:tcW w:w="1220" w:type="dxa"/>
            <w:vAlign w:val="bottom"/>
          </w:tcPr>
          <w:p w:rsidRPr="009C48DA" w:rsidR="00661519" w:rsidP="00661519" w:rsidRDefault="00661519" w14:paraId="32DE22C0" w14:textId="77777777">
            <w:pP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237,191</w:t>
            </w:r>
          </w:p>
        </w:tc>
        <w:tc>
          <w:tcPr>
            <w:tcW w:w="1053" w:type="dxa"/>
            <w:vAlign w:val="bottom"/>
          </w:tcPr>
          <w:p w:rsidRPr="009C48DA" w:rsidR="00661519" w:rsidP="00661519" w:rsidRDefault="00661519" w14:paraId="0EE7F360" w14:textId="77777777">
            <w:pP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(25)</w:t>
            </w:r>
          </w:p>
        </w:tc>
        <w:tc>
          <w:tcPr>
            <w:tcW w:w="1386" w:type="dxa"/>
            <w:vAlign w:val="bottom"/>
          </w:tcPr>
          <w:p w:rsidRPr="009C48DA" w:rsidR="00661519" w:rsidP="00661519" w:rsidRDefault="00661519" w14:paraId="73705242" w14:textId="77777777">
            <w:pP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3710AA82"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156A12DF"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(127,530)</w:t>
            </w:r>
          </w:p>
        </w:tc>
        <w:tc>
          <w:tcPr>
            <w:tcW w:w="1220" w:type="dxa"/>
            <w:vAlign w:val="bottom"/>
          </w:tcPr>
          <w:p w:rsidRPr="009C48DA" w:rsidR="00661519" w:rsidP="00661519" w:rsidRDefault="00661519" w14:paraId="2162C018"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109,636</w:t>
            </w:r>
          </w:p>
        </w:tc>
        <w:tc>
          <w:tcPr>
            <w:tcW w:w="1220" w:type="dxa"/>
            <w:vAlign w:val="bottom"/>
          </w:tcPr>
          <w:p w:rsidRPr="009C48DA" w:rsidR="00661519" w:rsidP="00661519" w:rsidRDefault="00661519" w14:paraId="64700C58" w14:textId="77777777">
            <w:pP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39966B94" w14:textId="77777777">
            <w:pP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109,636</w:t>
            </w:r>
          </w:p>
        </w:tc>
      </w:tr>
      <w:tr w:rsidRPr="009C48DA" w:rsidR="00661519" w:rsidTr="00661519" w14:paraId="3812BA15" w14:textId="77777777">
        <w:tc>
          <w:tcPr>
            <w:tcW w:w="2410" w:type="dxa"/>
            <w:vAlign w:val="bottom"/>
          </w:tcPr>
          <w:p w:rsidRPr="009C48DA" w:rsidR="00661519" w:rsidP="00661519" w:rsidRDefault="00661519" w14:paraId="41B328FC"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B1 share redemption</w:t>
            </w:r>
          </w:p>
        </w:tc>
        <w:tc>
          <w:tcPr>
            <w:tcW w:w="704" w:type="dxa"/>
          </w:tcPr>
          <w:p w:rsidRPr="009C48DA" w:rsidR="00661519" w:rsidP="00661519" w:rsidRDefault="00661519" w14:paraId="11381042" w14:textId="77777777">
            <w:pPr>
              <w:spacing w:before="60"/>
              <w:ind w:right="87"/>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23(a)(e)</w:t>
            </w:r>
          </w:p>
        </w:tc>
        <w:tc>
          <w:tcPr>
            <w:tcW w:w="1219" w:type="dxa"/>
            <w:vAlign w:val="bottom"/>
          </w:tcPr>
          <w:p w:rsidRPr="009C48DA" w:rsidR="00661519" w:rsidP="00661519" w:rsidRDefault="00661519" w14:paraId="2ED47D1C" w14:textId="77777777">
            <w:pP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91" w:type="dxa"/>
            <w:vAlign w:val="bottom"/>
          </w:tcPr>
          <w:p w:rsidRPr="009C48DA" w:rsidR="00661519" w:rsidP="00661519" w:rsidRDefault="00661519" w14:paraId="28D05970" w14:textId="77777777">
            <w:pP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5C03F55A" w14:textId="77777777">
            <w:pP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53" w:type="dxa"/>
            <w:vAlign w:val="bottom"/>
          </w:tcPr>
          <w:p w:rsidRPr="009C48DA" w:rsidR="00661519" w:rsidP="00661519" w:rsidRDefault="00661519" w14:paraId="1EE86B78" w14:textId="77777777">
            <w:pP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c>
          <w:tcPr>
            <w:tcW w:w="1386" w:type="dxa"/>
            <w:vAlign w:val="bottom"/>
          </w:tcPr>
          <w:p w:rsidRPr="009C48DA" w:rsidR="00661519" w:rsidP="00661519" w:rsidRDefault="00661519" w14:paraId="556F920A" w14:textId="77777777">
            <w:pP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3442735C"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74504F35"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c>
          <w:tcPr>
            <w:tcW w:w="1220" w:type="dxa"/>
            <w:vAlign w:val="bottom"/>
          </w:tcPr>
          <w:p w:rsidRPr="009C48DA" w:rsidR="00661519" w:rsidP="00661519" w:rsidRDefault="00661519" w14:paraId="47FBACB3"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1D1D2007" w14:textId="77777777">
            <w:pP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01626D96" w14:textId="77777777">
            <w:pP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35F13035" w14:textId="77777777">
        <w:tc>
          <w:tcPr>
            <w:tcW w:w="2410" w:type="dxa"/>
            <w:vAlign w:val="bottom"/>
          </w:tcPr>
          <w:p w:rsidRPr="009C48DA" w:rsidR="00661519" w:rsidP="00661519" w:rsidRDefault="00661519" w14:paraId="41798003"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B2 share cancellation</w:t>
            </w:r>
          </w:p>
        </w:tc>
        <w:tc>
          <w:tcPr>
            <w:tcW w:w="704" w:type="dxa"/>
          </w:tcPr>
          <w:p w:rsidRPr="009C48DA" w:rsidR="00661519" w:rsidP="00661519" w:rsidRDefault="00661519" w14:paraId="6D30C3DC" w14:textId="77777777">
            <w:pPr>
              <w:spacing w:before="60"/>
              <w:ind w:right="87"/>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23(a)(e)</w:t>
            </w:r>
          </w:p>
        </w:tc>
        <w:tc>
          <w:tcPr>
            <w:tcW w:w="1219" w:type="dxa"/>
            <w:vAlign w:val="bottom"/>
          </w:tcPr>
          <w:p w:rsidRPr="009C48DA" w:rsidR="00661519" w:rsidP="00661519" w:rsidRDefault="00661519" w14:paraId="02D6C7C9" w14:textId="77777777">
            <w:pP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91" w:type="dxa"/>
            <w:vAlign w:val="bottom"/>
          </w:tcPr>
          <w:p w:rsidRPr="009C48DA" w:rsidR="00661519" w:rsidP="00661519" w:rsidRDefault="00661519" w14:paraId="04BB1D0D" w14:textId="77777777">
            <w:pP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19562397" w14:textId="77777777">
            <w:pP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53" w:type="dxa"/>
            <w:vAlign w:val="bottom"/>
          </w:tcPr>
          <w:p w:rsidRPr="009C48DA" w:rsidR="00661519" w:rsidP="00661519" w:rsidRDefault="00661519" w14:paraId="18A0143E" w14:textId="77777777">
            <w:pP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6" w:type="dxa"/>
            <w:vAlign w:val="bottom"/>
          </w:tcPr>
          <w:p w:rsidRPr="009C48DA" w:rsidR="00661519" w:rsidP="00661519" w:rsidRDefault="00661519" w14:paraId="50354230" w14:textId="77777777">
            <w:pP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2638FB5A"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730F67A3"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45,642</w:t>
            </w:r>
          </w:p>
        </w:tc>
        <w:tc>
          <w:tcPr>
            <w:tcW w:w="1220" w:type="dxa"/>
            <w:vAlign w:val="bottom"/>
          </w:tcPr>
          <w:p w:rsidRPr="009C48DA" w:rsidR="00661519" w:rsidP="00661519" w:rsidRDefault="00661519" w14:paraId="3107BE0B"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45,642</w:t>
            </w:r>
          </w:p>
        </w:tc>
        <w:tc>
          <w:tcPr>
            <w:tcW w:w="1220" w:type="dxa"/>
            <w:vAlign w:val="bottom"/>
          </w:tcPr>
          <w:p w:rsidRPr="009C48DA" w:rsidR="00661519" w:rsidP="00661519" w:rsidRDefault="00661519" w14:paraId="11128025" w14:textId="77777777">
            <w:pP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0DCABE3F" w14:textId="77777777">
            <w:pP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45,642</w:t>
            </w:r>
          </w:p>
        </w:tc>
      </w:tr>
      <w:tr w:rsidRPr="009C48DA" w:rsidR="00661519" w:rsidTr="00661519" w14:paraId="1CCDF2A5" w14:textId="77777777">
        <w:tc>
          <w:tcPr>
            <w:tcW w:w="2410" w:type="dxa"/>
            <w:vAlign w:val="bottom"/>
          </w:tcPr>
          <w:p w:rsidRPr="009C48DA" w:rsidR="00661519" w:rsidP="00661519" w:rsidRDefault="00661519" w14:paraId="00D33960"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Movement in non-controlling interests</w:t>
            </w:r>
          </w:p>
        </w:tc>
        <w:tc>
          <w:tcPr>
            <w:tcW w:w="704" w:type="dxa"/>
          </w:tcPr>
          <w:p w:rsidRPr="009C48DA" w:rsidR="00661519" w:rsidP="00661519" w:rsidRDefault="00661519" w14:paraId="424CBC5E" w14:textId="77777777">
            <w:pPr>
              <w:spacing w:before="60"/>
              <w:ind w:right="87"/>
              <w:jc w:val="right"/>
              <w:textAlignment w:val="baseline"/>
              <w:rPr>
                <w:rFonts w:eastAsia="Times New Roman" w:cs="Times New Roman"/>
                <w:color w:val="000000"/>
                <w:sz w:val="16"/>
                <w:szCs w:val="16"/>
                <w:lang w:val="en-GB"/>
              </w:rPr>
            </w:pPr>
          </w:p>
        </w:tc>
        <w:tc>
          <w:tcPr>
            <w:tcW w:w="1219" w:type="dxa"/>
            <w:vAlign w:val="bottom"/>
          </w:tcPr>
          <w:p w:rsidRPr="009C48DA" w:rsidR="00661519" w:rsidP="00661519" w:rsidRDefault="00661519" w14:paraId="14E3273D" w14:textId="77777777">
            <w:pPr>
              <w:pBdr>
                <w:bottom w:val="single" w:color="auto" w:sz="12" w:space="1"/>
              </w:pBd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91" w:type="dxa"/>
            <w:vAlign w:val="bottom"/>
          </w:tcPr>
          <w:p w:rsidRPr="009C48DA" w:rsidR="00661519" w:rsidP="00661519" w:rsidRDefault="00661519" w14:paraId="6964F9DE" w14:textId="77777777">
            <w:pPr>
              <w:pBdr>
                <w:bottom w:val="single" w:color="auto" w:sz="12" w:space="1"/>
              </w:pBd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61D2A804" w14:textId="77777777">
            <w:pPr>
              <w:pBdr>
                <w:bottom w:val="single" w:color="auto" w:sz="12" w:space="1"/>
              </w:pBd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53" w:type="dxa"/>
            <w:vAlign w:val="bottom"/>
          </w:tcPr>
          <w:p w:rsidRPr="009C48DA" w:rsidR="00661519" w:rsidP="00661519" w:rsidRDefault="00661519" w14:paraId="698490A5" w14:textId="77777777">
            <w:pPr>
              <w:pBdr>
                <w:bottom w:val="single" w:color="auto" w:sz="12" w:space="1"/>
              </w:pBd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6" w:type="dxa"/>
            <w:vAlign w:val="bottom"/>
          </w:tcPr>
          <w:p w:rsidRPr="009C48DA" w:rsidR="00661519" w:rsidP="00661519" w:rsidRDefault="00661519" w14:paraId="1DADF910" w14:textId="77777777">
            <w:pPr>
              <w:pBdr>
                <w:bottom w:val="single" w:color="auto" w:sz="12" w:space="1"/>
              </w:pBd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1,589</w:t>
            </w:r>
          </w:p>
        </w:tc>
        <w:tc>
          <w:tcPr>
            <w:tcW w:w="1220" w:type="dxa"/>
            <w:vAlign w:val="bottom"/>
          </w:tcPr>
          <w:p w:rsidRPr="009C48DA" w:rsidR="00661519" w:rsidP="00661519" w:rsidRDefault="00661519" w14:paraId="36389C9A" w14:textId="77777777">
            <w:pPr>
              <w:pBdr>
                <w:bottom w:val="single" w:color="auto" w:sz="12" w:space="1"/>
              </w:pBd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34DC85DB" w14:textId="77777777">
            <w:pPr>
              <w:pBdr>
                <w:bottom w:val="single" w:color="auto" w:sz="12" w:space="1"/>
              </w:pBd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(69,695)</w:t>
            </w:r>
          </w:p>
        </w:tc>
        <w:tc>
          <w:tcPr>
            <w:tcW w:w="1220" w:type="dxa"/>
            <w:vAlign w:val="bottom"/>
          </w:tcPr>
          <w:p w:rsidRPr="009C48DA" w:rsidR="00661519" w:rsidP="00661519" w:rsidRDefault="00661519" w14:paraId="0B07E818" w14:textId="77777777">
            <w:pPr>
              <w:pBdr>
                <w:bottom w:val="single" w:color="auto" w:sz="12" w:space="1"/>
              </w:pBd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(68,106)</w:t>
            </w:r>
          </w:p>
        </w:tc>
        <w:tc>
          <w:tcPr>
            <w:tcW w:w="1220" w:type="dxa"/>
            <w:vAlign w:val="bottom"/>
          </w:tcPr>
          <w:p w:rsidRPr="009C48DA" w:rsidR="00661519" w:rsidP="00661519" w:rsidRDefault="00661519" w14:paraId="495FA9C6" w14:textId="77777777">
            <w:pPr>
              <w:pBdr>
                <w:bottom w:val="single" w:color="auto" w:sz="12" w:space="1"/>
              </w:pBd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68,104</w:t>
            </w:r>
          </w:p>
        </w:tc>
        <w:tc>
          <w:tcPr>
            <w:tcW w:w="1220" w:type="dxa"/>
            <w:vAlign w:val="bottom"/>
          </w:tcPr>
          <w:p w:rsidRPr="009C48DA" w:rsidR="00661519" w:rsidP="00661519" w:rsidRDefault="00661519" w14:paraId="7600EE96" w14:textId="77777777">
            <w:pPr>
              <w:pBdr>
                <w:bottom w:val="single" w:color="auto" w:sz="12" w:space="1"/>
              </w:pBd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w:t>
            </w:r>
          </w:p>
        </w:tc>
      </w:tr>
      <w:tr w:rsidRPr="009C48DA" w:rsidR="00661519" w:rsidTr="00661519" w14:paraId="16197DF0" w14:textId="77777777">
        <w:tc>
          <w:tcPr>
            <w:tcW w:w="2410" w:type="dxa"/>
            <w:vAlign w:val="bottom"/>
          </w:tcPr>
          <w:p w:rsidRPr="009C48DA" w:rsidR="00661519" w:rsidP="00661519" w:rsidRDefault="00661519" w14:paraId="23E26B0D"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At 31 December 2018</w:t>
            </w:r>
          </w:p>
        </w:tc>
        <w:tc>
          <w:tcPr>
            <w:tcW w:w="704" w:type="dxa"/>
          </w:tcPr>
          <w:p w:rsidRPr="009C48DA" w:rsidR="00661519" w:rsidP="00661519" w:rsidRDefault="00661519" w14:paraId="403193A9" w14:textId="77777777">
            <w:pPr>
              <w:spacing w:before="60"/>
              <w:ind w:right="87"/>
              <w:jc w:val="right"/>
              <w:textAlignment w:val="baseline"/>
              <w:rPr>
                <w:rFonts w:eastAsia="Times New Roman" w:cs="Times New Roman"/>
                <w:color w:val="000000"/>
                <w:sz w:val="16"/>
                <w:szCs w:val="16"/>
                <w:lang w:val="en-GB"/>
              </w:rPr>
            </w:pPr>
          </w:p>
        </w:tc>
        <w:tc>
          <w:tcPr>
            <w:tcW w:w="1219" w:type="dxa"/>
            <w:vAlign w:val="bottom"/>
          </w:tcPr>
          <w:p w:rsidRPr="009C48DA" w:rsidR="00661519" w:rsidP="00661519" w:rsidRDefault="00661519" w14:paraId="48FA8E3D" w14:textId="77777777">
            <w:pPr>
              <w:pBdr>
                <w:bottom w:val="double" w:color="auto" w:sz="12" w:space="1"/>
              </w:pBd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240,867</w:t>
            </w:r>
          </w:p>
        </w:tc>
        <w:tc>
          <w:tcPr>
            <w:tcW w:w="1191" w:type="dxa"/>
            <w:vAlign w:val="bottom"/>
          </w:tcPr>
          <w:p w:rsidRPr="009C48DA" w:rsidR="00661519" w:rsidP="00661519" w:rsidRDefault="00661519" w14:paraId="4F2F9DD0" w14:textId="77777777">
            <w:pPr>
              <w:pBdr>
                <w:bottom w:val="double" w:color="auto" w:sz="12" w:space="1"/>
              </w:pBd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70C624BA" w14:textId="77777777">
            <w:pPr>
              <w:pBdr>
                <w:bottom w:val="double" w:color="auto" w:sz="12" w:space="1"/>
              </w:pBd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240,867</w:t>
            </w:r>
          </w:p>
        </w:tc>
        <w:tc>
          <w:tcPr>
            <w:tcW w:w="1053" w:type="dxa"/>
            <w:vAlign w:val="bottom"/>
          </w:tcPr>
          <w:p w:rsidRPr="009C48DA" w:rsidR="00661519" w:rsidP="00661519" w:rsidRDefault="00661519" w14:paraId="7C7BF08C" w14:textId="77777777">
            <w:pPr>
              <w:pBdr>
                <w:bottom w:val="double" w:color="auto" w:sz="12" w:space="1"/>
              </w:pBd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c>
          <w:tcPr>
            <w:tcW w:w="1386" w:type="dxa"/>
            <w:vAlign w:val="bottom"/>
          </w:tcPr>
          <w:p w:rsidRPr="009C48DA" w:rsidR="00661519" w:rsidP="00661519" w:rsidRDefault="00661519" w14:paraId="39C82A2A" w14:textId="77777777">
            <w:pPr>
              <w:pBdr>
                <w:bottom w:val="double" w:color="auto" w:sz="12" w:space="1"/>
              </w:pBd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(3,408)</w:t>
            </w:r>
          </w:p>
        </w:tc>
        <w:tc>
          <w:tcPr>
            <w:tcW w:w="1220" w:type="dxa"/>
            <w:vAlign w:val="bottom"/>
          </w:tcPr>
          <w:p w:rsidRPr="009C48DA" w:rsidR="00661519" w:rsidP="00661519" w:rsidRDefault="00661519" w14:paraId="4F06581C" w14:textId="77777777">
            <w:pPr>
              <w:pBdr>
                <w:bottom w:val="double" w:color="auto" w:sz="12" w:space="1"/>
              </w:pBd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5,046</w:t>
            </w:r>
          </w:p>
        </w:tc>
        <w:tc>
          <w:tcPr>
            <w:tcW w:w="1220" w:type="dxa"/>
            <w:vAlign w:val="bottom"/>
          </w:tcPr>
          <w:p w:rsidRPr="009C48DA" w:rsidR="00661519" w:rsidP="00661519" w:rsidRDefault="00661519" w14:paraId="416F159F" w14:textId="77777777">
            <w:pPr>
              <w:pBdr>
                <w:bottom w:val="double" w:color="auto" w:sz="12" w:space="1"/>
              </w:pBd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(27,456)</w:t>
            </w:r>
          </w:p>
        </w:tc>
        <w:tc>
          <w:tcPr>
            <w:tcW w:w="1220" w:type="dxa"/>
            <w:vAlign w:val="bottom"/>
          </w:tcPr>
          <w:p w:rsidRPr="009C48DA" w:rsidR="00661519" w:rsidP="00661519" w:rsidRDefault="00661519" w14:paraId="5D9D3A5E" w14:textId="77777777">
            <w:pPr>
              <w:pBdr>
                <w:bottom w:val="double" w:color="auto" w:sz="12" w:space="1"/>
              </w:pBd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239,668</w:t>
            </w:r>
          </w:p>
        </w:tc>
        <w:tc>
          <w:tcPr>
            <w:tcW w:w="1220" w:type="dxa"/>
            <w:vAlign w:val="bottom"/>
          </w:tcPr>
          <w:p w:rsidRPr="009C48DA" w:rsidR="00661519" w:rsidP="00661519" w:rsidRDefault="00661519" w14:paraId="73D51E88" w14:textId="77777777">
            <w:pPr>
              <w:pBdr>
                <w:bottom w:val="double" w:color="auto" w:sz="12" w:space="1"/>
              </w:pBd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80,567</w:t>
            </w:r>
          </w:p>
        </w:tc>
        <w:tc>
          <w:tcPr>
            <w:tcW w:w="1220" w:type="dxa"/>
            <w:vAlign w:val="bottom"/>
          </w:tcPr>
          <w:p w:rsidRPr="009C48DA" w:rsidR="00661519" w:rsidP="00661519" w:rsidRDefault="00661519" w14:paraId="5201474F" w14:textId="77777777">
            <w:pPr>
              <w:pBdr>
                <w:bottom w:val="double" w:color="auto" w:sz="12" w:space="1"/>
              </w:pBd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320,235</w:t>
            </w:r>
          </w:p>
        </w:tc>
      </w:tr>
      <w:tr w:rsidRPr="009C48DA" w:rsidR="00661519" w:rsidTr="00661519" w14:paraId="61787BDB" w14:textId="77777777">
        <w:trPr>
          <w:trHeight w:val="200"/>
        </w:trPr>
        <w:tc>
          <w:tcPr>
            <w:tcW w:w="15283" w:type="dxa"/>
            <w:gridSpan w:val="12"/>
            <w:vAlign w:val="bottom"/>
          </w:tcPr>
          <w:p w:rsidRPr="009C48DA" w:rsidR="00661519" w:rsidP="00661519" w:rsidRDefault="00661519" w14:paraId="6B012AAA" w14:textId="77777777">
            <w:pPr>
              <w:spacing w:before="60"/>
              <w:ind w:right="203"/>
              <w:textAlignment w:val="baseline"/>
              <w:rPr>
                <w:rFonts w:eastAsia="Times New Roman" w:cs="Times New Roman"/>
                <w:color w:val="000000"/>
                <w:sz w:val="16"/>
                <w:szCs w:val="16"/>
                <w:lang w:val="en-GB"/>
              </w:rPr>
            </w:pPr>
          </w:p>
          <w:p w:rsidRPr="009C48DA" w:rsidR="00661519" w:rsidP="00661519" w:rsidRDefault="00661519" w14:paraId="26CEAABA" w14:textId="77777777">
            <w:pPr>
              <w:spacing w:before="60"/>
              <w:ind w:right="203"/>
              <w:textAlignment w:val="baseline"/>
              <w:rPr>
                <w:rFonts w:eastAsia="Times New Roman" w:cs="Times New Roman"/>
                <w:color w:val="000000"/>
                <w:sz w:val="16"/>
                <w:szCs w:val="16"/>
                <w:lang w:val="en-GB"/>
              </w:rPr>
            </w:pPr>
          </w:p>
        </w:tc>
      </w:tr>
      <w:tr w:rsidRPr="009C48DA" w:rsidR="00661519" w:rsidTr="00661519" w14:paraId="74D6CDD1" w14:textId="77777777">
        <w:trPr>
          <w:trHeight w:val="920"/>
        </w:trPr>
        <w:tc>
          <w:tcPr>
            <w:tcW w:w="2410" w:type="dxa"/>
            <w:vAlign w:val="bottom"/>
          </w:tcPr>
          <w:p w:rsidRPr="009C48DA" w:rsidR="00661519" w:rsidP="00661519" w:rsidRDefault="00661519" w14:paraId="66347C0A" w14:textId="77777777">
            <w:pPr>
              <w:textAlignment w:val="baseline"/>
              <w:rPr>
                <w:rFonts w:eastAsia="Times New Roman" w:cs="Times New Roman"/>
                <w:color w:val="000000"/>
                <w:sz w:val="16"/>
                <w:szCs w:val="16"/>
                <w:lang w:val="en-GB"/>
              </w:rPr>
            </w:pPr>
          </w:p>
          <w:p w:rsidRPr="009C48DA" w:rsidR="00661519" w:rsidP="00661519" w:rsidRDefault="00661519" w14:paraId="068772AA" w14:textId="77777777">
            <w:pPr>
              <w:textAlignment w:val="baseline"/>
              <w:rPr>
                <w:rFonts w:eastAsia="Times New Roman" w:cs="Times New Roman"/>
                <w:color w:val="000000"/>
                <w:sz w:val="16"/>
                <w:szCs w:val="16"/>
                <w:lang w:val="en-GB"/>
              </w:rPr>
            </w:pPr>
          </w:p>
          <w:p w:rsidRPr="009C48DA" w:rsidR="00661519" w:rsidP="00661519" w:rsidRDefault="00661519" w14:paraId="15468DDF"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4EBD5AA2"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514AE2A6"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40E5E66D"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704" w:type="dxa"/>
          </w:tcPr>
          <w:p w:rsidRPr="009C48DA" w:rsidR="00661519" w:rsidP="00661519" w:rsidRDefault="00661519" w14:paraId="4EC5C18F" w14:textId="77777777">
            <w:pPr>
              <w:ind w:right="87"/>
              <w:jc w:val="right"/>
              <w:textAlignment w:val="baseline"/>
              <w:rPr>
                <w:rFonts w:eastAsia="Times New Roman" w:cs="Times New Roman"/>
                <w:color w:val="000000"/>
                <w:sz w:val="16"/>
                <w:szCs w:val="16"/>
                <w:lang w:val="en-GB"/>
              </w:rPr>
            </w:pPr>
          </w:p>
        </w:tc>
        <w:tc>
          <w:tcPr>
            <w:tcW w:w="1219" w:type="dxa"/>
            <w:vAlign w:val="bottom"/>
          </w:tcPr>
          <w:p w:rsidRPr="009C48DA" w:rsidR="00661519" w:rsidP="00661519" w:rsidRDefault="00661519" w14:paraId="139F5C40"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63A2B9CC"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74BEA9F0" w14:textId="77777777">
            <w:pPr>
              <w:ind w:right="8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Share capital</w:t>
            </w:r>
          </w:p>
          <w:p w:rsidRPr="009C48DA" w:rsidR="00661519" w:rsidP="00661519" w:rsidRDefault="00661519" w14:paraId="518A4C6E"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191" w:type="dxa"/>
            <w:vAlign w:val="bottom"/>
          </w:tcPr>
          <w:p w:rsidRPr="009C48DA" w:rsidR="00661519" w:rsidP="00661519" w:rsidRDefault="00661519" w14:paraId="41A2F5B2" w14:textId="77777777">
            <w:pPr>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23B8906C" w14:textId="77777777">
            <w:pPr>
              <w:ind w:right="13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Share</w:t>
            </w:r>
          </w:p>
          <w:p w:rsidRPr="009C48DA" w:rsidR="00661519" w:rsidP="00661519" w:rsidRDefault="00661519" w14:paraId="7A894224" w14:textId="77777777">
            <w:pPr>
              <w:ind w:right="13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premium</w:t>
            </w:r>
          </w:p>
          <w:p w:rsidRPr="009C48DA" w:rsidR="00661519" w:rsidP="00661519" w:rsidRDefault="00661519" w14:paraId="7EBB6725" w14:textId="77777777">
            <w:pPr>
              <w:ind w:right="135"/>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7670F13F" w14:textId="77777777">
            <w:pPr>
              <w:ind w:right="81"/>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Total share </w:t>
            </w:r>
            <w:r w:rsidRPr="009C48DA">
              <w:rPr>
                <w:rFonts w:eastAsia="Times New Roman" w:cs="Times New Roman"/>
                <w:b/>
                <w:color w:val="000000"/>
                <w:sz w:val="16"/>
                <w:szCs w:val="16"/>
                <w:lang w:val="en-GB"/>
              </w:rPr>
              <w:br/>
              <w:t>capital and</w:t>
            </w:r>
          </w:p>
          <w:p w:rsidRPr="009C48DA" w:rsidR="00661519" w:rsidP="00661519" w:rsidRDefault="00661519" w14:paraId="65E3F2FF" w14:textId="77777777">
            <w:pPr>
              <w:ind w:right="81"/>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share</w:t>
            </w:r>
          </w:p>
          <w:p w:rsidRPr="009C48DA" w:rsidR="00661519" w:rsidP="00661519" w:rsidRDefault="00661519" w14:paraId="74EE1D3D" w14:textId="77777777">
            <w:pPr>
              <w:ind w:right="81"/>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premium</w:t>
            </w:r>
          </w:p>
          <w:p w:rsidRPr="009C48DA" w:rsidR="00661519" w:rsidP="00661519" w:rsidRDefault="00661519" w14:paraId="6DE4AFFC" w14:textId="77777777">
            <w:pPr>
              <w:ind w:right="81"/>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053" w:type="dxa"/>
            <w:vAlign w:val="bottom"/>
          </w:tcPr>
          <w:p w:rsidRPr="009C48DA" w:rsidR="00661519" w:rsidP="00661519" w:rsidRDefault="00661519" w14:paraId="79403614" w14:textId="77777777">
            <w:pPr>
              <w:ind w:right="12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Capital</w:t>
            </w:r>
          </w:p>
          <w:p w:rsidRPr="009C48DA" w:rsidR="00661519" w:rsidP="00661519" w:rsidRDefault="00661519" w14:paraId="2F678DE2" w14:textId="77777777">
            <w:pPr>
              <w:ind w:right="12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redemption</w:t>
            </w:r>
          </w:p>
          <w:p w:rsidRPr="009C48DA" w:rsidR="00661519" w:rsidP="00661519" w:rsidRDefault="00661519" w14:paraId="32BAF13E" w14:textId="77777777">
            <w:pPr>
              <w:ind w:right="12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reserve</w:t>
            </w:r>
          </w:p>
          <w:p w:rsidRPr="009C48DA" w:rsidR="00661519" w:rsidP="00661519" w:rsidRDefault="00661519" w14:paraId="48C59EB5" w14:textId="77777777">
            <w:pPr>
              <w:ind w:right="12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386" w:type="dxa"/>
            <w:vAlign w:val="bottom"/>
          </w:tcPr>
          <w:p w:rsidRPr="009C48DA" w:rsidR="00661519" w:rsidP="00661519" w:rsidRDefault="00661519" w14:paraId="60664EA8" w14:textId="77777777">
            <w:pPr>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4FE4791E" w14:textId="77777777">
            <w:pPr>
              <w:ind w:right="14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Cash flow hedge reserve</w:t>
            </w:r>
          </w:p>
          <w:p w:rsidRPr="009C48DA" w:rsidR="00661519" w:rsidP="00661519" w:rsidRDefault="00661519" w14:paraId="0B0757EE" w14:textId="77777777">
            <w:pPr>
              <w:ind w:right="144"/>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33C50BBF" w14:textId="77777777">
            <w:pPr>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29606066" w14:textId="77777777">
            <w:pPr>
              <w:ind w:right="7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Net </w:t>
            </w:r>
          </w:p>
          <w:p w:rsidRPr="009C48DA" w:rsidR="00661519" w:rsidP="00661519" w:rsidRDefault="00661519" w14:paraId="715F03DD" w14:textId="77777777">
            <w:pPr>
              <w:ind w:right="7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exchange differences reserve</w:t>
            </w:r>
          </w:p>
          <w:p w:rsidRPr="009C48DA" w:rsidR="00661519" w:rsidP="00661519" w:rsidRDefault="00661519" w14:paraId="65243B2E" w14:textId="77777777">
            <w:pPr>
              <w:ind w:right="78"/>
              <w:jc w:val="cente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39FF4454" w14:textId="77777777">
            <w:pPr>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10ED2495" w14:textId="77777777">
            <w:pPr>
              <w:ind w:right="7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Retained</w:t>
            </w:r>
          </w:p>
          <w:p w:rsidRPr="009C48DA" w:rsidR="00661519" w:rsidP="00661519" w:rsidRDefault="00661519" w14:paraId="74A12857" w14:textId="77777777">
            <w:pPr>
              <w:ind w:right="7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earnings</w:t>
            </w:r>
          </w:p>
          <w:p w:rsidRPr="009C48DA" w:rsidR="00661519" w:rsidP="00661519" w:rsidRDefault="00661519" w14:paraId="659584FE" w14:textId="77777777">
            <w:pPr>
              <w:ind w:right="78"/>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341BF9FD"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30522019"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59A639F8"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w:t>
            </w:r>
          </w:p>
          <w:p w:rsidRPr="009C48DA" w:rsidR="00661519" w:rsidP="00661519" w:rsidRDefault="00661519" w14:paraId="590AC598"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0D4B44A5"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Non-</w:t>
            </w:r>
            <w:r w:rsidRPr="009C48DA">
              <w:rPr>
                <w:rFonts w:eastAsia="Times New Roman" w:cs="Times New Roman"/>
                <w:color w:val="000000"/>
                <w:sz w:val="16"/>
                <w:szCs w:val="16"/>
                <w:lang w:val="en-GB"/>
              </w:rPr>
              <w:t xml:space="preserve"> </w:t>
            </w:r>
          </w:p>
          <w:p w:rsidRPr="009C48DA" w:rsidR="00661519" w:rsidP="00661519" w:rsidRDefault="00661519" w14:paraId="1B951B0D"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controlling</w:t>
            </w:r>
          </w:p>
          <w:p w:rsidRPr="009C48DA" w:rsidR="00661519" w:rsidP="00661519" w:rsidRDefault="00661519" w14:paraId="423B8289"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interests</w:t>
            </w:r>
          </w:p>
          <w:p w:rsidRPr="009C48DA" w:rsidR="00661519" w:rsidP="00661519" w:rsidRDefault="00661519" w14:paraId="000BA02F"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590CD974" w14:textId="77777777">
            <w:pPr>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5CFF21B0" w14:textId="77777777">
            <w:pPr>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42BC4FA7" w14:textId="77777777">
            <w:pPr>
              <w:ind w:right="20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equity</w:t>
            </w:r>
          </w:p>
          <w:p w:rsidRPr="009C48DA" w:rsidR="00661519" w:rsidP="00661519" w:rsidRDefault="00661519" w14:paraId="4D489707" w14:textId="77777777">
            <w:pPr>
              <w:ind w:right="203"/>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1481D8A7" w14:textId="77777777">
        <w:tc>
          <w:tcPr>
            <w:tcW w:w="2410" w:type="dxa"/>
            <w:vAlign w:val="bottom"/>
          </w:tcPr>
          <w:p w:rsidRPr="009C48DA" w:rsidR="00661519" w:rsidP="00661519" w:rsidRDefault="00661519" w14:paraId="6FA2C8CD"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At 1 January 2019</w:t>
            </w:r>
          </w:p>
        </w:tc>
        <w:tc>
          <w:tcPr>
            <w:tcW w:w="704" w:type="dxa"/>
          </w:tcPr>
          <w:p w:rsidRPr="009C48DA" w:rsidR="00661519" w:rsidP="00661519" w:rsidRDefault="00661519" w14:paraId="52FE66AB" w14:textId="77777777">
            <w:pPr>
              <w:spacing w:before="60"/>
              <w:ind w:right="87"/>
              <w:jc w:val="right"/>
              <w:textAlignment w:val="baseline"/>
              <w:rPr>
                <w:rFonts w:eastAsia="Times New Roman" w:cs="Times New Roman"/>
                <w:color w:val="000000"/>
                <w:sz w:val="16"/>
                <w:szCs w:val="16"/>
                <w:lang w:val="en-GB"/>
              </w:rPr>
            </w:pPr>
          </w:p>
        </w:tc>
        <w:tc>
          <w:tcPr>
            <w:tcW w:w="1219" w:type="dxa"/>
            <w:vAlign w:val="bottom"/>
          </w:tcPr>
          <w:p w:rsidRPr="009C48DA" w:rsidR="00661519" w:rsidP="00661519" w:rsidRDefault="00661519" w14:paraId="04B59441" w14:textId="77777777">
            <w:pP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240,867</w:t>
            </w:r>
          </w:p>
        </w:tc>
        <w:tc>
          <w:tcPr>
            <w:tcW w:w="1191" w:type="dxa"/>
            <w:vAlign w:val="bottom"/>
          </w:tcPr>
          <w:p w:rsidRPr="009C48DA" w:rsidR="00661519" w:rsidP="00661519" w:rsidRDefault="00661519" w14:paraId="450524D4" w14:textId="77777777">
            <w:pP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7162C117" w14:textId="77777777">
            <w:pP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240,867</w:t>
            </w:r>
          </w:p>
        </w:tc>
        <w:tc>
          <w:tcPr>
            <w:tcW w:w="1053" w:type="dxa"/>
            <w:vAlign w:val="bottom"/>
          </w:tcPr>
          <w:p w:rsidRPr="009C48DA" w:rsidR="00661519" w:rsidP="00661519" w:rsidRDefault="00661519" w14:paraId="749674A8" w14:textId="77777777">
            <w:pP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c>
          <w:tcPr>
            <w:tcW w:w="1386" w:type="dxa"/>
            <w:vAlign w:val="bottom"/>
          </w:tcPr>
          <w:p w:rsidRPr="009C48DA" w:rsidR="00661519" w:rsidP="00661519" w:rsidRDefault="00661519" w14:paraId="4B06410C" w14:textId="77777777">
            <w:pP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(3,408)</w:t>
            </w:r>
          </w:p>
        </w:tc>
        <w:tc>
          <w:tcPr>
            <w:tcW w:w="1220" w:type="dxa"/>
            <w:vAlign w:val="bottom"/>
          </w:tcPr>
          <w:p w:rsidRPr="009C48DA" w:rsidR="00661519" w:rsidP="00661519" w:rsidRDefault="00661519" w14:paraId="49FA587A"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5,046</w:t>
            </w:r>
          </w:p>
        </w:tc>
        <w:tc>
          <w:tcPr>
            <w:tcW w:w="1220" w:type="dxa"/>
            <w:vAlign w:val="bottom"/>
          </w:tcPr>
          <w:p w:rsidRPr="009C48DA" w:rsidR="00661519" w:rsidP="00661519" w:rsidRDefault="00661519" w14:paraId="24212879"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(27,456)</w:t>
            </w:r>
          </w:p>
        </w:tc>
        <w:tc>
          <w:tcPr>
            <w:tcW w:w="1220" w:type="dxa"/>
            <w:vAlign w:val="bottom"/>
          </w:tcPr>
          <w:p w:rsidRPr="009C48DA" w:rsidR="00661519" w:rsidP="00661519" w:rsidRDefault="00661519" w14:paraId="271A6FDE"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239,668</w:t>
            </w:r>
          </w:p>
        </w:tc>
        <w:tc>
          <w:tcPr>
            <w:tcW w:w="1220" w:type="dxa"/>
            <w:vAlign w:val="bottom"/>
          </w:tcPr>
          <w:p w:rsidRPr="009C48DA" w:rsidR="00661519" w:rsidP="00661519" w:rsidRDefault="00661519" w14:paraId="3C425D2F" w14:textId="77777777">
            <w:pP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80,567</w:t>
            </w:r>
          </w:p>
        </w:tc>
        <w:tc>
          <w:tcPr>
            <w:tcW w:w="1220" w:type="dxa"/>
            <w:vAlign w:val="bottom"/>
          </w:tcPr>
          <w:p w:rsidRPr="009C48DA" w:rsidR="00661519" w:rsidP="00661519" w:rsidRDefault="00661519" w14:paraId="58FD9D21" w14:textId="77777777">
            <w:pP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320,235</w:t>
            </w:r>
          </w:p>
        </w:tc>
      </w:tr>
      <w:tr w:rsidRPr="009C48DA" w:rsidR="00661519" w:rsidTr="00661519" w14:paraId="6575371F" w14:textId="77777777">
        <w:tc>
          <w:tcPr>
            <w:tcW w:w="2410" w:type="dxa"/>
            <w:vAlign w:val="bottom"/>
          </w:tcPr>
          <w:p w:rsidRPr="009C48DA" w:rsidR="00661519" w:rsidP="00661519" w:rsidRDefault="00661519" w14:paraId="54613417"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Profit for the year</w:t>
            </w:r>
          </w:p>
        </w:tc>
        <w:tc>
          <w:tcPr>
            <w:tcW w:w="704" w:type="dxa"/>
          </w:tcPr>
          <w:p w:rsidRPr="009C48DA" w:rsidR="00661519" w:rsidP="00661519" w:rsidRDefault="00661519" w14:paraId="301843C1" w14:textId="77777777">
            <w:pPr>
              <w:spacing w:before="60"/>
              <w:ind w:right="87"/>
              <w:jc w:val="right"/>
              <w:textAlignment w:val="baseline"/>
              <w:rPr>
                <w:rFonts w:eastAsia="Times New Roman" w:cs="Times New Roman"/>
                <w:color w:val="000000"/>
                <w:sz w:val="16"/>
                <w:szCs w:val="16"/>
                <w:lang w:val="en-GB"/>
              </w:rPr>
            </w:pPr>
          </w:p>
        </w:tc>
        <w:tc>
          <w:tcPr>
            <w:tcW w:w="1219" w:type="dxa"/>
            <w:vAlign w:val="bottom"/>
          </w:tcPr>
          <w:p w:rsidRPr="009C48DA" w:rsidR="00661519" w:rsidP="00661519" w:rsidRDefault="00661519" w14:paraId="2DEBFE15" w14:textId="77777777">
            <w:pP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91" w:type="dxa"/>
            <w:vAlign w:val="bottom"/>
          </w:tcPr>
          <w:p w:rsidRPr="009C48DA" w:rsidR="00661519" w:rsidP="00661519" w:rsidRDefault="00661519" w14:paraId="517F4398" w14:textId="77777777">
            <w:pP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1A510180" w14:textId="77777777">
            <w:pP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53" w:type="dxa"/>
            <w:vAlign w:val="bottom"/>
          </w:tcPr>
          <w:p w:rsidRPr="009C48DA" w:rsidR="00661519" w:rsidP="00661519" w:rsidRDefault="00661519" w14:paraId="30B358D4" w14:textId="77777777">
            <w:pP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6" w:type="dxa"/>
            <w:vAlign w:val="bottom"/>
          </w:tcPr>
          <w:p w:rsidRPr="009C48DA" w:rsidR="00661519" w:rsidP="00661519" w:rsidRDefault="00661519" w14:paraId="6B6381DF" w14:textId="77777777">
            <w:pP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637A4571"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64C6DC96"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28,901</w:t>
            </w:r>
          </w:p>
        </w:tc>
        <w:tc>
          <w:tcPr>
            <w:tcW w:w="1220" w:type="dxa"/>
            <w:vAlign w:val="bottom"/>
          </w:tcPr>
          <w:p w:rsidRPr="009C48DA" w:rsidR="00661519" w:rsidP="00661519" w:rsidRDefault="00661519" w14:paraId="3C094CD8"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28,901</w:t>
            </w:r>
          </w:p>
        </w:tc>
        <w:tc>
          <w:tcPr>
            <w:tcW w:w="1220" w:type="dxa"/>
            <w:vAlign w:val="bottom"/>
          </w:tcPr>
          <w:p w:rsidRPr="009C48DA" w:rsidR="00661519" w:rsidP="00661519" w:rsidRDefault="00661519" w14:paraId="4BD5D8F4" w14:textId="77777777">
            <w:pP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13,029</w:t>
            </w:r>
          </w:p>
        </w:tc>
        <w:tc>
          <w:tcPr>
            <w:tcW w:w="1220" w:type="dxa"/>
            <w:vAlign w:val="bottom"/>
          </w:tcPr>
          <w:p w:rsidRPr="009C48DA" w:rsidR="00661519" w:rsidP="00661519" w:rsidRDefault="00661519" w14:paraId="65F0E45A" w14:textId="77777777">
            <w:pP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41,930</w:t>
            </w:r>
          </w:p>
        </w:tc>
      </w:tr>
      <w:tr w:rsidRPr="009C48DA" w:rsidR="00661519" w:rsidTr="00661519" w14:paraId="460AD6AF" w14:textId="77777777">
        <w:tc>
          <w:tcPr>
            <w:tcW w:w="2410" w:type="dxa"/>
            <w:vAlign w:val="bottom"/>
          </w:tcPr>
          <w:p w:rsidRPr="009C48DA" w:rsidR="00661519" w:rsidP="00661519" w:rsidRDefault="00661519" w14:paraId="5CD085B7"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Foreign exchange hedges</w:t>
            </w:r>
          </w:p>
        </w:tc>
        <w:tc>
          <w:tcPr>
            <w:tcW w:w="704" w:type="dxa"/>
          </w:tcPr>
          <w:p w:rsidRPr="009C48DA" w:rsidR="00661519" w:rsidP="00661519" w:rsidRDefault="00661519" w14:paraId="46A69512" w14:textId="77777777">
            <w:pPr>
              <w:spacing w:before="60"/>
              <w:ind w:right="87"/>
              <w:jc w:val="right"/>
              <w:textAlignment w:val="baseline"/>
              <w:rPr>
                <w:rFonts w:eastAsia="Times New Roman" w:cs="Times New Roman"/>
                <w:color w:val="000000"/>
                <w:sz w:val="16"/>
                <w:szCs w:val="16"/>
                <w:lang w:val="en-GB"/>
              </w:rPr>
            </w:pPr>
          </w:p>
        </w:tc>
        <w:tc>
          <w:tcPr>
            <w:tcW w:w="1219" w:type="dxa"/>
            <w:vAlign w:val="bottom"/>
          </w:tcPr>
          <w:p w:rsidRPr="009C48DA" w:rsidR="00661519" w:rsidP="00661519" w:rsidRDefault="00661519" w14:paraId="7FB1BA56" w14:textId="77777777">
            <w:pP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91" w:type="dxa"/>
            <w:vAlign w:val="bottom"/>
          </w:tcPr>
          <w:p w:rsidRPr="009C48DA" w:rsidR="00661519" w:rsidP="00661519" w:rsidRDefault="00661519" w14:paraId="60467D89" w14:textId="77777777">
            <w:pP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0B4ADA32" w14:textId="77777777">
            <w:pP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53" w:type="dxa"/>
            <w:vAlign w:val="bottom"/>
          </w:tcPr>
          <w:p w:rsidRPr="009C48DA" w:rsidR="00661519" w:rsidP="00661519" w:rsidRDefault="00661519" w14:paraId="51A17971" w14:textId="77777777">
            <w:pP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6" w:type="dxa"/>
            <w:vAlign w:val="bottom"/>
          </w:tcPr>
          <w:p w:rsidRPr="009C48DA" w:rsidR="00661519" w:rsidP="00661519" w:rsidRDefault="00661519" w14:paraId="3ABCD69E" w14:textId="77777777">
            <w:pP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6,018</w:t>
            </w:r>
          </w:p>
        </w:tc>
        <w:tc>
          <w:tcPr>
            <w:tcW w:w="1220" w:type="dxa"/>
            <w:vAlign w:val="bottom"/>
          </w:tcPr>
          <w:p w:rsidRPr="009C48DA" w:rsidR="00661519" w:rsidP="00661519" w:rsidRDefault="00661519" w14:paraId="79823AD2"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141778D0"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(1,103)</w:t>
            </w:r>
          </w:p>
        </w:tc>
        <w:tc>
          <w:tcPr>
            <w:tcW w:w="1220" w:type="dxa"/>
            <w:vAlign w:val="bottom"/>
          </w:tcPr>
          <w:p w:rsidRPr="009C48DA" w:rsidR="00661519" w:rsidP="00661519" w:rsidRDefault="00661519" w14:paraId="6382740A"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4,915</w:t>
            </w:r>
          </w:p>
        </w:tc>
        <w:tc>
          <w:tcPr>
            <w:tcW w:w="1220" w:type="dxa"/>
            <w:vAlign w:val="bottom"/>
          </w:tcPr>
          <w:p w:rsidRPr="009C48DA" w:rsidR="00661519" w:rsidP="00661519" w:rsidRDefault="00661519" w14:paraId="1EAA917B" w14:textId="77777777">
            <w:pP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1,405</w:t>
            </w:r>
          </w:p>
        </w:tc>
        <w:tc>
          <w:tcPr>
            <w:tcW w:w="1220" w:type="dxa"/>
            <w:vAlign w:val="bottom"/>
          </w:tcPr>
          <w:p w:rsidRPr="009C48DA" w:rsidR="00661519" w:rsidP="00661519" w:rsidRDefault="00661519" w14:paraId="109BDA1A" w14:textId="77777777">
            <w:pP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6,320</w:t>
            </w:r>
          </w:p>
        </w:tc>
      </w:tr>
      <w:tr w:rsidRPr="009C48DA" w:rsidR="00661519" w:rsidTr="00661519" w14:paraId="2B1B562A" w14:textId="77777777">
        <w:tc>
          <w:tcPr>
            <w:tcW w:w="2410" w:type="dxa"/>
            <w:vAlign w:val="bottom"/>
          </w:tcPr>
          <w:p w:rsidRPr="009C48DA" w:rsidR="00661519" w:rsidP="00661519" w:rsidRDefault="00661519" w14:paraId="28DADD1B"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Revaluation of foreign subsidiaries</w:t>
            </w:r>
          </w:p>
        </w:tc>
        <w:tc>
          <w:tcPr>
            <w:tcW w:w="704" w:type="dxa"/>
          </w:tcPr>
          <w:p w:rsidRPr="009C48DA" w:rsidR="00661519" w:rsidP="00661519" w:rsidRDefault="00661519" w14:paraId="6F610D01" w14:textId="77777777">
            <w:pPr>
              <w:spacing w:before="60"/>
              <w:ind w:right="87"/>
              <w:jc w:val="right"/>
              <w:textAlignment w:val="baseline"/>
              <w:rPr>
                <w:rFonts w:eastAsia="Times New Roman" w:cs="Times New Roman"/>
                <w:color w:val="000000"/>
                <w:sz w:val="16"/>
                <w:szCs w:val="16"/>
                <w:lang w:val="en-GB"/>
              </w:rPr>
            </w:pPr>
          </w:p>
        </w:tc>
        <w:tc>
          <w:tcPr>
            <w:tcW w:w="1219" w:type="dxa"/>
            <w:vAlign w:val="bottom"/>
          </w:tcPr>
          <w:p w:rsidRPr="009C48DA" w:rsidR="00661519" w:rsidP="00661519" w:rsidRDefault="00661519" w14:paraId="793CC20A" w14:textId="77777777">
            <w:pPr>
              <w:pBdr>
                <w:bottom w:val="single" w:color="auto" w:sz="12" w:space="1"/>
              </w:pBd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91" w:type="dxa"/>
            <w:vAlign w:val="bottom"/>
          </w:tcPr>
          <w:p w:rsidRPr="009C48DA" w:rsidR="00661519" w:rsidP="00661519" w:rsidRDefault="00661519" w14:paraId="2AED0261" w14:textId="77777777">
            <w:pPr>
              <w:pBdr>
                <w:bottom w:val="single" w:color="auto" w:sz="12" w:space="1"/>
              </w:pBd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618109BE" w14:textId="77777777">
            <w:pPr>
              <w:pBdr>
                <w:bottom w:val="single" w:color="auto" w:sz="12" w:space="1"/>
              </w:pBd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53" w:type="dxa"/>
            <w:vAlign w:val="bottom"/>
          </w:tcPr>
          <w:p w:rsidRPr="009C48DA" w:rsidR="00661519" w:rsidP="00661519" w:rsidRDefault="00661519" w14:paraId="2E5FBB4E" w14:textId="77777777">
            <w:pPr>
              <w:pBdr>
                <w:bottom w:val="single" w:color="auto" w:sz="12" w:space="1"/>
              </w:pBd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6" w:type="dxa"/>
            <w:vAlign w:val="bottom"/>
          </w:tcPr>
          <w:p w:rsidRPr="009C48DA" w:rsidR="00661519" w:rsidP="00661519" w:rsidRDefault="00661519" w14:paraId="29A16DCA" w14:textId="77777777">
            <w:pPr>
              <w:pBdr>
                <w:bottom w:val="single" w:color="auto" w:sz="12" w:space="1"/>
              </w:pBd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30FD98AE" w14:textId="77777777">
            <w:pPr>
              <w:pBdr>
                <w:bottom w:val="single" w:color="auto" w:sz="12" w:space="1"/>
              </w:pBd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(1,971)</w:t>
            </w:r>
          </w:p>
        </w:tc>
        <w:tc>
          <w:tcPr>
            <w:tcW w:w="1220" w:type="dxa"/>
            <w:vAlign w:val="bottom"/>
          </w:tcPr>
          <w:p w:rsidRPr="009C48DA" w:rsidR="00661519" w:rsidP="00661519" w:rsidRDefault="00661519" w14:paraId="0BD70AD4" w14:textId="77777777">
            <w:pPr>
              <w:pBdr>
                <w:bottom w:val="single" w:color="auto" w:sz="12" w:space="1"/>
              </w:pBd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53C722A8" w14:textId="77777777">
            <w:pPr>
              <w:pBdr>
                <w:bottom w:val="single" w:color="auto" w:sz="12" w:space="1"/>
              </w:pBd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(1,971)</w:t>
            </w:r>
          </w:p>
        </w:tc>
        <w:tc>
          <w:tcPr>
            <w:tcW w:w="1220" w:type="dxa"/>
            <w:vAlign w:val="bottom"/>
          </w:tcPr>
          <w:p w:rsidRPr="009C48DA" w:rsidR="00661519" w:rsidP="00661519" w:rsidRDefault="00661519" w14:paraId="1989775A" w14:textId="77777777">
            <w:pPr>
              <w:pBdr>
                <w:bottom w:val="single" w:color="auto" w:sz="12" w:space="1"/>
              </w:pBd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(1,299)</w:t>
            </w:r>
          </w:p>
        </w:tc>
        <w:tc>
          <w:tcPr>
            <w:tcW w:w="1220" w:type="dxa"/>
            <w:vAlign w:val="bottom"/>
          </w:tcPr>
          <w:p w:rsidRPr="009C48DA" w:rsidR="00661519" w:rsidP="00661519" w:rsidRDefault="00661519" w14:paraId="49B475E3" w14:textId="77777777">
            <w:pPr>
              <w:pBdr>
                <w:bottom w:val="single" w:color="auto" w:sz="12" w:space="1"/>
              </w:pBd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(3,270)</w:t>
            </w:r>
          </w:p>
        </w:tc>
      </w:tr>
      <w:tr w:rsidRPr="009C48DA" w:rsidR="00661519" w:rsidTr="00661519" w14:paraId="653313E3" w14:textId="77777777">
        <w:tc>
          <w:tcPr>
            <w:tcW w:w="2410" w:type="dxa"/>
            <w:vAlign w:val="bottom"/>
          </w:tcPr>
          <w:p w:rsidRPr="009C48DA" w:rsidR="00661519" w:rsidP="00661519" w:rsidRDefault="00661519" w14:paraId="52C554C9" w14:textId="77777777">
            <w:pPr>
              <w:spacing w:before="60"/>
              <w:textAlignment w:val="baseline"/>
              <w:rPr>
                <w:rFonts w:eastAsia="Times New Roman" w:cs="Times New Roman"/>
                <w:color w:val="000000"/>
                <w:sz w:val="16"/>
                <w:szCs w:val="16"/>
                <w:lang w:val="en-GB"/>
              </w:rPr>
            </w:pPr>
          </w:p>
          <w:p w:rsidRPr="009C48DA" w:rsidR="00661519" w:rsidP="00661519" w:rsidRDefault="00661519" w14:paraId="77528074"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Total Comprehensive Income</w:t>
            </w:r>
          </w:p>
        </w:tc>
        <w:tc>
          <w:tcPr>
            <w:tcW w:w="704" w:type="dxa"/>
          </w:tcPr>
          <w:p w:rsidRPr="009C48DA" w:rsidR="00661519" w:rsidP="00661519" w:rsidRDefault="00661519" w14:paraId="3316CF63" w14:textId="77777777">
            <w:pPr>
              <w:spacing w:before="60"/>
              <w:ind w:right="87"/>
              <w:jc w:val="right"/>
              <w:textAlignment w:val="baseline"/>
              <w:rPr>
                <w:rFonts w:eastAsia="Times New Roman" w:cs="Times New Roman"/>
                <w:color w:val="000000"/>
                <w:sz w:val="16"/>
                <w:szCs w:val="16"/>
                <w:lang w:val="en-GB"/>
              </w:rPr>
            </w:pPr>
          </w:p>
        </w:tc>
        <w:tc>
          <w:tcPr>
            <w:tcW w:w="1219" w:type="dxa"/>
            <w:vAlign w:val="bottom"/>
          </w:tcPr>
          <w:p w:rsidRPr="009C48DA" w:rsidR="00661519" w:rsidP="00661519" w:rsidRDefault="00661519" w14:paraId="0D1EDC83" w14:textId="77777777">
            <w:pP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91" w:type="dxa"/>
            <w:vAlign w:val="bottom"/>
          </w:tcPr>
          <w:p w:rsidRPr="009C48DA" w:rsidR="00661519" w:rsidP="00661519" w:rsidRDefault="00661519" w14:paraId="73FE555E" w14:textId="77777777">
            <w:pP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7F1DF7CC" w14:textId="77777777">
            <w:pP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53" w:type="dxa"/>
            <w:vAlign w:val="bottom"/>
          </w:tcPr>
          <w:p w:rsidRPr="009C48DA" w:rsidR="00661519" w:rsidP="00661519" w:rsidRDefault="00661519" w14:paraId="3BB848AB" w14:textId="77777777">
            <w:pP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6" w:type="dxa"/>
            <w:vAlign w:val="bottom"/>
          </w:tcPr>
          <w:p w:rsidRPr="009C48DA" w:rsidR="00661519" w:rsidP="00661519" w:rsidRDefault="00661519" w14:paraId="27C88FD4" w14:textId="77777777">
            <w:pP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6,018</w:t>
            </w:r>
          </w:p>
        </w:tc>
        <w:tc>
          <w:tcPr>
            <w:tcW w:w="1220" w:type="dxa"/>
            <w:vAlign w:val="bottom"/>
          </w:tcPr>
          <w:p w:rsidRPr="009C48DA" w:rsidR="00661519" w:rsidP="00661519" w:rsidRDefault="00661519" w14:paraId="54428B56"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(1,971)</w:t>
            </w:r>
          </w:p>
        </w:tc>
        <w:tc>
          <w:tcPr>
            <w:tcW w:w="1220" w:type="dxa"/>
            <w:vAlign w:val="bottom"/>
          </w:tcPr>
          <w:p w:rsidRPr="009C48DA" w:rsidR="00661519" w:rsidP="00661519" w:rsidRDefault="00661519" w14:paraId="17E83B7C"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27,798</w:t>
            </w:r>
          </w:p>
        </w:tc>
        <w:tc>
          <w:tcPr>
            <w:tcW w:w="1220" w:type="dxa"/>
            <w:vAlign w:val="bottom"/>
          </w:tcPr>
          <w:p w:rsidRPr="009C48DA" w:rsidR="00661519" w:rsidP="00661519" w:rsidRDefault="00661519" w14:paraId="433EC456"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31,845</w:t>
            </w:r>
          </w:p>
        </w:tc>
        <w:tc>
          <w:tcPr>
            <w:tcW w:w="1220" w:type="dxa"/>
            <w:vAlign w:val="bottom"/>
          </w:tcPr>
          <w:p w:rsidRPr="009C48DA" w:rsidR="00661519" w:rsidP="00661519" w:rsidRDefault="00661519" w14:paraId="59FEEB3C" w14:textId="77777777">
            <w:pP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13,135</w:t>
            </w:r>
          </w:p>
        </w:tc>
        <w:tc>
          <w:tcPr>
            <w:tcW w:w="1220" w:type="dxa"/>
            <w:vAlign w:val="bottom"/>
          </w:tcPr>
          <w:p w:rsidRPr="009C48DA" w:rsidR="00661519" w:rsidP="00661519" w:rsidRDefault="00661519" w14:paraId="23934E64" w14:textId="77777777">
            <w:pP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44,980</w:t>
            </w:r>
          </w:p>
        </w:tc>
      </w:tr>
      <w:tr w:rsidRPr="009C48DA" w:rsidR="00661519" w:rsidTr="00661519" w14:paraId="542194DF" w14:textId="77777777">
        <w:tc>
          <w:tcPr>
            <w:tcW w:w="2410" w:type="dxa"/>
            <w:vAlign w:val="bottom"/>
          </w:tcPr>
          <w:p w:rsidRPr="009C48DA" w:rsidR="00661519" w:rsidP="00661519" w:rsidRDefault="00661519" w14:paraId="738EE931"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Issue of shares</w:t>
            </w:r>
          </w:p>
        </w:tc>
        <w:tc>
          <w:tcPr>
            <w:tcW w:w="704" w:type="dxa"/>
          </w:tcPr>
          <w:p w:rsidRPr="009C48DA" w:rsidR="00661519" w:rsidP="00661519" w:rsidRDefault="00661519" w14:paraId="4C94F50F" w14:textId="77777777">
            <w:pPr>
              <w:spacing w:before="60"/>
              <w:ind w:right="87"/>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23(a)</w:t>
            </w:r>
          </w:p>
        </w:tc>
        <w:tc>
          <w:tcPr>
            <w:tcW w:w="1219" w:type="dxa"/>
            <w:vAlign w:val="bottom"/>
          </w:tcPr>
          <w:p w:rsidRPr="009C48DA" w:rsidR="00661519" w:rsidP="00661519" w:rsidRDefault="00661519" w14:paraId="098A2ED2" w14:textId="77777777">
            <w:pP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w:t>
            </w:r>
          </w:p>
        </w:tc>
        <w:tc>
          <w:tcPr>
            <w:tcW w:w="1191" w:type="dxa"/>
            <w:vAlign w:val="bottom"/>
          </w:tcPr>
          <w:p w:rsidRPr="009C48DA" w:rsidR="00661519" w:rsidP="00661519" w:rsidRDefault="00661519" w14:paraId="1532F71F" w14:textId="77777777">
            <w:pP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547</w:t>
            </w:r>
          </w:p>
        </w:tc>
        <w:tc>
          <w:tcPr>
            <w:tcW w:w="1220" w:type="dxa"/>
            <w:vAlign w:val="bottom"/>
          </w:tcPr>
          <w:p w:rsidRPr="009C48DA" w:rsidR="00661519" w:rsidP="00661519" w:rsidRDefault="00661519" w14:paraId="5F3F2904" w14:textId="77777777">
            <w:pP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552</w:t>
            </w:r>
          </w:p>
        </w:tc>
        <w:tc>
          <w:tcPr>
            <w:tcW w:w="1053" w:type="dxa"/>
            <w:vAlign w:val="bottom"/>
          </w:tcPr>
          <w:p w:rsidRPr="009C48DA" w:rsidR="00661519" w:rsidP="00661519" w:rsidRDefault="00661519" w14:paraId="1515669B" w14:textId="77777777">
            <w:pP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6" w:type="dxa"/>
            <w:vAlign w:val="bottom"/>
          </w:tcPr>
          <w:p w:rsidRPr="009C48DA" w:rsidR="00661519" w:rsidP="00661519" w:rsidRDefault="00661519" w14:paraId="710E0E37" w14:textId="77777777">
            <w:pP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43443FE1"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2C5363CB" w14:textId="77777777">
            <w:pP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16284069"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552</w:t>
            </w:r>
          </w:p>
        </w:tc>
        <w:tc>
          <w:tcPr>
            <w:tcW w:w="1220" w:type="dxa"/>
            <w:vAlign w:val="bottom"/>
          </w:tcPr>
          <w:p w:rsidRPr="009C48DA" w:rsidR="00661519" w:rsidP="00661519" w:rsidRDefault="00661519" w14:paraId="213BB192" w14:textId="77777777">
            <w:pP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0A17F513" w14:textId="77777777">
            <w:pP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552</w:t>
            </w:r>
          </w:p>
        </w:tc>
      </w:tr>
      <w:tr w:rsidRPr="009C48DA" w:rsidR="00661519" w:rsidTr="00661519" w14:paraId="2559A2C1" w14:textId="77777777">
        <w:tc>
          <w:tcPr>
            <w:tcW w:w="2410" w:type="dxa"/>
            <w:vAlign w:val="bottom"/>
          </w:tcPr>
          <w:p w:rsidRPr="009C48DA" w:rsidR="00661519" w:rsidP="00661519" w:rsidRDefault="00661519" w14:paraId="275906FB"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Dividends</w:t>
            </w:r>
          </w:p>
        </w:tc>
        <w:tc>
          <w:tcPr>
            <w:tcW w:w="704" w:type="dxa"/>
          </w:tcPr>
          <w:p w:rsidRPr="009C48DA" w:rsidR="00661519" w:rsidP="00661519" w:rsidRDefault="00661519" w14:paraId="1D6D881A" w14:textId="77777777">
            <w:pPr>
              <w:spacing w:before="60"/>
              <w:ind w:right="87"/>
              <w:jc w:val="right"/>
              <w:textAlignment w:val="baseline"/>
              <w:rPr>
                <w:rFonts w:eastAsia="Times New Roman" w:cs="Times New Roman"/>
                <w:color w:val="000000"/>
                <w:sz w:val="16"/>
                <w:szCs w:val="16"/>
                <w:lang w:val="en-GB"/>
              </w:rPr>
            </w:pPr>
          </w:p>
        </w:tc>
        <w:tc>
          <w:tcPr>
            <w:tcW w:w="1219" w:type="dxa"/>
            <w:vAlign w:val="bottom"/>
          </w:tcPr>
          <w:p w:rsidRPr="009C48DA" w:rsidR="00661519" w:rsidP="00661519" w:rsidRDefault="00661519" w14:paraId="0E0B1AC6" w14:textId="77777777">
            <w:pPr>
              <w:pBdr>
                <w:bottom w:val="single" w:color="auto" w:sz="12" w:space="1"/>
              </w:pBd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91" w:type="dxa"/>
            <w:vAlign w:val="bottom"/>
          </w:tcPr>
          <w:p w:rsidRPr="009C48DA" w:rsidR="00661519" w:rsidP="00661519" w:rsidRDefault="00661519" w14:paraId="5B0EE2CA" w14:textId="77777777">
            <w:pPr>
              <w:pBdr>
                <w:bottom w:val="single" w:color="auto" w:sz="12" w:space="1"/>
              </w:pBd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651F3673" w14:textId="77777777">
            <w:pPr>
              <w:pBdr>
                <w:bottom w:val="single" w:color="auto" w:sz="12" w:space="1"/>
              </w:pBd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53" w:type="dxa"/>
            <w:vAlign w:val="bottom"/>
          </w:tcPr>
          <w:p w:rsidRPr="009C48DA" w:rsidR="00661519" w:rsidP="00661519" w:rsidRDefault="00661519" w14:paraId="7978B629" w14:textId="77777777">
            <w:pPr>
              <w:pBdr>
                <w:bottom w:val="single" w:color="auto" w:sz="12" w:space="1"/>
              </w:pBd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6" w:type="dxa"/>
            <w:vAlign w:val="bottom"/>
          </w:tcPr>
          <w:p w:rsidRPr="009C48DA" w:rsidR="00661519" w:rsidP="00661519" w:rsidRDefault="00661519" w14:paraId="26F141AD" w14:textId="77777777">
            <w:pPr>
              <w:pBdr>
                <w:bottom w:val="single" w:color="auto" w:sz="12" w:space="1"/>
              </w:pBd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10714A37" w14:textId="77777777">
            <w:pPr>
              <w:pBdr>
                <w:bottom w:val="single" w:color="auto" w:sz="12" w:space="1"/>
              </w:pBd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6538D494" w14:textId="77777777">
            <w:pPr>
              <w:pBdr>
                <w:bottom w:val="single" w:color="auto" w:sz="12" w:space="1"/>
              </w:pBd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(6,584)</w:t>
            </w:r>
          </w:p>
        </w:tc>
        <w:tc>
          <w:tcPr>
            <w:tcW w:w="1220" w:type="dxa"/>
            <w:vAlign w:val="bottom"/>
          </w:tcPr>
          <w:p w:rsidRPr="009C48DA" w:rsidR="00661519" w:rsidP="00661519" w:rsidRDefault="00661519" w14:paraId="50401F3C" w14:textId="77777777">
            <w:pPr>
              <w:pBdr>
                <w:bottom w:val="single" w:color="auto" w:sz="12" w:space="1"/>
              </w:pBd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(6,584)</w:t>
            </w:r>
          </w:p>
        </w:tc>
        <w:tc>
          <w:tcPr>
            <w:tcW w:w="1220" w:type="dxa"/>
            <w:vAlign w:val="bottom"/>
          </w:tcPr>
          <w:p w:rsidRPr="009C48DA" w:rsidR="00661519" w:rsidP="00661519" w:rsidRDefault="00661519" w14:paraId="46FB2919" w14:textId="77777777">
            <w:pPr>
              <w:pBdr>
                <w:bottom w:val="single" w:color="auto" w:sz="12" w:space="1"/>
              </w:pBd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(2,844)</w:t>
            </w:r>
          </w:p>
        </w:tc>
        <w:tc>
          <w:tcPr>
            <w:tcW w:w="1220" w:type="dxa"/>
            <w:vAlign w:val="bottom"/>
          </w:tcPr>
          <w:p w:rsidRPr="009C48DA" w:rsidR="00661519" w:rsidP="00661519" w:rsidRDefault="00661519" w14:paraId="2C6477EE" w14:textId="77777777">
            <w:pPr>
              <w:pBdr>
                <w:bottom w:val="single" w:color="auto" w:sz="12" w:space="1"/>
              </w:pBd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(9,428)</w:t>
            </w:r>
          </w:p>
        </w:tc>
      </w:tr>
      <w:tr w:rsidRPr="009C48DA" w:rsidR="00661519" w:rsidTr="00661519" w14:paraId="13A7A8AA" w14:textId="77777777">
        <w:trPr>
          <w:trHeight w:val="273"/>
        </w:trPr>
        <w:tc>
          <w:tcPr>
            <w:tcW w:w="2410" w:type="dxa"/>
            <w:vAlign w:val="bottom"/>
          </w:tcPr>
          <w:p w:rsidRPr="009C48DA" w:rsidR="00661519" w:rsidP="00661519" w:rsidRDefault="00661519" w14:paraId="7AC58FEA"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At 31 December 2019</w:t>
            </w:r>
          </w:p>
        </w:tc>
        <w:tc>
          <w:tcPr>
            <w:tcW w:w="704" w:type="dxa"/>
          </w:tcPr>
          <w:p w:rsidRPr="009C48DA" w:rsidR="00661519" w:rsidP="00661519" w:rsidRDefault="00661519" w14:paraId="082F00FE" w14:textId="77777777">
            <w:pPr>
              <w:spacing w:before="60"/>
              <w:ind w:right="87"/>
              <w:jc w:val="right"/>
              <w:textAlignment w:val="baseline"/>
              <w:rPr>
                <w:rFonts w:eastAsia="Times New Roman" w:cs="Times New Roman"/>
                <w:color w:val="000000"/>
                <w:sz w:val="16"/>
                <w:szCs w:val="16"/>
                <w:lang w:val="en-GB"/>
              </w:rPr>
            </w:pPr>
          </w:p>
        </w:tc>
        <w:tc>
          <w:tcPr>
            <w:tcW w:w="1219" w:type="dxa"/>
            <w:vAlign w:val="bottom"/>
          </w:tcPr>
          <w:p w:rsidRPr="009C48DA" w:rsidR="00661519" w:rsidP="00661519" w:rsidRDefault="00661519" w14:paraId="0E45C2DA" w14:textId="77777777">
            <w:pPr>
              <w:pBdr>
                <w:bottom w:val="double" w:color="auto" w:sz="12" w:space="1"/>
              </w:pBdr>
              <w:spacing w:before="60"/>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240,872</w:t>
            </w:r>
          </w:p>
        </w:tc>
        <w:tc>
          <w:tcPr>
            <w:tcW w:w="1191" w:type="dxa"/>
            <w:vAlign w:val="bottom"/>
          </w:tcPr>
          <w:p w:rsidRPr="009C48DA" w:rsidR="00661519" w:rsidP="00661519" w:rsidRDefault="00661519" w14:paraId="2550EFFA" w14:textId="77777777">
            <w:pPr>
              <w:pBdr>
                <w:bottom w:val="double" w:color="auto" w:sz="12" w:space="1"/>
              </w:pBdr>
              <w:spacing w:before="60"/>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547</w:t>
            </w:r>
          </w:p>
        </w:tc>
        <w:tc>
          <w:tcPr>
            <w:tcW w:w="1220" w:type="dxa"/>
            <w:vAlign w:val="bottom"/>
          </w:tcPr>
          <w:p w:rsidRPr="009C48DA" w:rsidR="00661519" w:rsidP="00661519" w:rsidRDefault="00661519" w14:paraId="2D1307F0" w14:textId="77777777">
            <w:pPr>
              <w:pBdr>
                <w:bottom w:val="double" w:color="auto" w:sz="12" w:space="1"/>
              </w:pBdr>
              <w:spacing w:before="60"/>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241,419</w:t>
            </w:r>
          </w:p>
        </w:tc>
        <w:tc>
          <w:tcPr>
            <w:tcW w:w="1053" w:type="dxa"/>
            <w:vAlign w:val="bottom"/>
          </w:tcPr>
          <w:p w:rsidRPr="009C48DA" w:rsidR="00661519" w:rsidP="00661519" w:rsidRDefault="00661519" w14:paraId="4E244BEB" w14:textId="77777777">
            <w:pPr>
              <w:pBdr>
                <w:bottom w:val="double" w:color="auto" w:sz="12" w:space="1"/>
              </w:pBdr>
              <w:spacing w:before="60"/>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c>
          <w:tcPr>
            <w:tcW w:w="1386" w:type="dxa"/>
            <w:vAlign w:val="bottom"/>
          </w:tcPr>
          <w:p w:rsidRPr="009C48DA" w:rsidR="00661519" w:rsidP="00661519" w:rsidRDefault="00661519" w14:paraId="61814605" w14:textId="77777777">
            <w:pPr>
              <w:pBdr>
                <w:bottom w:val="double" w:color="auto" w:sz="12" w:space="1"/>
              </w:pBd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2,610</w:t>
            </w:r>
          </w:p>
        </w:tc>
        <w:tc>
          <w:tcPr>
            <w:tcW w:w="1220" w:type="dxa"/>
            <w:vAlign w:val="bottom"/>
          </w:tcPr>
          <w:p w:rsidRPr="009C48DA" w:rsidR="00661519" w:rsidP="00661519" w:rsidRDefault="00661519" w14:paraId="37680AE1" w14:textId="77777777">
            <w:pPr>
              <w:pBdr>
                <w:bottom w:val="double" w:color="auto" w:sz="12" w:space="1"/>
              </w:pBd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3,075</w:t>
            </w:r>
          </w:p>
        </w:tc>
        <w:tc>
          <w:tcPr>
            <w:tcW w:w="1220" w:type="dxa"/>
            <w:vAlign w:val="bottom"/>
          </w:tcPr>
          <w:p w:rsidRPr="009C48DA" w:rsidR="00661519" w:rsidP="00661519" w:rsidRDefault="00661519" w14:paraId="2D762425" w14:textId="77777777">
            <w:pPr>
              <w:pBdr>
                <w:bottom w:val="double" w:color="auto" w:sz="12" w:space="1"/>
              </w:pBdr>
              <w:spacing w:before="60"/>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(6,242)</w:t>
            </w:r>
          </w:p>
        </w:tc>
        <w:tc>
          <w:tcPr>
            <w:tcW w:w="1220" w:type="dxa"/>
            <w:vAlign w:val="bottom"/>
          </w:tcPr>
          <w:p w:rsidRPr="009C48DA" w:rsidR="00661519" w:rsidP="00661519" w:rsidRDefault="00661519" w14:paraId="28556115" w14:textId="77777777">
            <w:pPr>
              <w:pBdr>
                <w:bottom w:val="double" w:color="auto" w:sz="12" w:space="1"/>
              </w:pBd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265,481</w:t>
            </w:r>
          </w:p>
        </w:tc>
        <w:tc>
          <w:tcPr>
            <w:tcW w:w="1220" w:type="dxa"/>
            <w:vAlign w:val="bottom"/>
          </w:tcPr>
          <w:p w:rsidRPr="009C48DA" w:rsidR="00661519" w:rsidP="00661519" w:rsidRDefault="00661519" w14:paraId="6E7A1A99" w14:textId="77777777">
            <w:pPr>
              <w:pBdr>
                <w:bottom w:val="double" w:color="auto" w:sz="12" w:space="1"/>
              </w:pBdr>
              <w:spacing w:before="60"/>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90,858</w:t>
            </w:r>
          </w:p>
        </w:tc>
        <w:tc>
          <w:tcPr>
            <w:tcW w:w="1220" w:type="dxa"/>
            <w:vAlign w:val="bottom"/>
          </w:tcPr>
          <w:p w:rsidRPr="009C48DA" w:rsidR="00661519" w:rsidP="00661519" w:rsidRDefault="00661519" w14:paraId="5D5B53B8" w14:textId="77777777">
            <w:pPr>
              <w:pBdr>
                <w:bottom w:val="double" w:color="auto" w:sz="12" w:space="1"/>
              </w:pBdr>
              <w:spacing w:before="60"/>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356,339</w:t>
            </w:r>
          </w:p>
        </w:tc>
      </w:tr>
    </w:tbl>
    <w:p w:rsidRPr="009C48DA" w:rsidR="00661519" w:rsidP="00661519" w:rsidRDefault="00661519" w14:paraId="21FE4E09" w14:textId="77777777">
      <w:pPr>
        <w:rPr>
          <w:rFonts w:eastAsia="Times New Roman" w:cs="Times New Roman"/>
          <w:color w:val="000000"/>
          <w:sz w:val="16"/>
          <w:szCs w:val="16"/>
          <w:lang w:val="en-GB"/>
        </w:rPr>
      </w:pPr>
    </w:p>
    <w:p w:rsidRPr="009C48DA" w:rsidR="00661519" w:rsidP="00661519" w:rsidRDefault="00661519" w14:paraId="340485AA" w14:textId="77777777">
      <w:pPr>
        <w:rPr>
          <w:rFonts w:eastAsia="PMingLiU" w:cs="Times New Roman"/>
          <w:szCs w:val="22"/>
          <w:lang w:val="en-GB"/>
        </w:rPr>
      </w:pPr>
    </w:p>
    <w:tbl>
      <w:tblPr>
        <w:tblW w:w="15060" w:type="dxa"/>
        <w:tblLayout w:type="fixed"/>
        <w:tblCellMar>
          <w:left w:w="0" w:type="dxa"/>
          <w:right w:w="0" w:type="dxa"/>
        </w:tblCellMar>
        <w:tblLook w:val="04A0" w:firstRow="1" w:lastRow="0" w:firstColumn="1" w:lastColumn="0" w:noHBand="0" w:noVBand="1"/>
      </w:tblPr>
      <w:tblGrid>
        <w:gridCol w:w="2982"/>
        <w:gridCol w:w="1220"/>
        <w:gridCol w:w="1221"/>
        <w:gridCol w:w="1221"/>
        <w:gridCol w:w="1220"/>
        <w:gridCol w:w="1350"/>
        <w:gridCol w:w="1092"/>
        <w:gridCol w:w="1092"/>
        <w:gridCol w:w="1220"/>
        <w:gridCol w:w="1221"/>
        <w:gridCol w:w="1221"/>
      </w:tblGrid>
      <w:tr w:rsidRPr="009C48DA" w:rsidR="00661519" w:rsidTr="00661519" w14:paraId="0A869892" w14:textId="77777777">
        <w:tc>
          <w:tcPr>
            <w:tcW w:w="2982" w:type="dxa"/>
            <w:vAlign w:val="bottom"/>
          </w:tcPr>
          <w:p w:rsidRPr="009C48DA" w:rsidR="00661519" w:rsidP="00661519" w:rsidRDefault="00661519" w14:paraId="2C888ECB" w14:textId="77777777">
            <w:pPr>
              <w:textAlignment w:val="baseline"/>
              <w:rPr>
                <w:rFonts w:eastAsia="Times New Roman" w:cs="Times New Roman"/>
                <w:color w:val="000000"/>
                <w:sz w:val="16"/>
                <w:szCs w:val="16"/>
                <w:lang w:val="en-GB"/>
              </w:rPr>
            </w:pPr>
            <w:r w:rsidRPr="009C48DA">
              <w:rPr>
                <w:rFonts w:eastAsia="PMingLiU" w:cs="Times New Roman"/>
                <w:szCs w:val="22"/>
                <w:lang w:val="en-GB"/>
              </w:rPr>
              <w:lastRenderedPageBreak/>
              <w:br w:type="page"/>
            </w:r>
          </w:p>
        </w:tc>
        <w:tc>
          <w:tcPr>
            <w:tcW w:w="1220" w:type="dxa"/>
            <w:vAlign w:val="bottom"/>
          </w:tcPr>
          <w:p w:rsidRPr="009C48DA" w:rsidR="00661519" w:rsidP="00661519" w:rsidRDefault="00661519" w14:paraId="0DDAD8E4" w14:textId="77777777">
            <w:pPr>
              <w:ind w:right="13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Share capital</w:t>
            </w:r>
          </w:p>
          <w:p w:rsidRPr="009C48DA" w:rsidR="00661519" w:rsidP="00661519" w:rsidRDefault="00661519" w14:paraId="1FBF5FD2" w14:textId="77777777">
            <w:pPr>
              <w:ind w:right="134"/>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1" w:type="dxa"/>
            <w:vAlign w:val="bottom"/>
          </w:tcPr>
          <w:p w:rsidRPr="009C48DA" w:rsidR="00661519" w:rsidP="00661519" w:rsidRDefault="00661519" w14:paraId="0BCBCF96" w14:textId="77777777">
            <w:pPr>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24E76E3B" w14:textId="77777777">
            <w:pPr>
              <w:ind w:right="15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Share</w:t>
            </w:r>
          </w:p>
          <w:p w:rsidRPr="009C48DA" w:rsidR="00661519" w:rsidP="00661519" w:rsidRDefault="00661519" w14:paraId="5D7CA4E0" w14:textId="77777777">
            <w:pPr>
              <w:ind w:right="15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premium</w:t>
            </w:r>
          </w:p>
          <w:p w:rsidRPr="009C48DA" w:rsidR="00661519" w:rsidP="00661519" w:rsidRDefault="00661519" w14:paraId="11CDFE3E" w14:textId="77777777">
            <w:pPr>
              <w:ind w:right="153"/>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1" w:type="dxa"/>
            <w:vAlign w:val="bottom"/>
          </w:tcPr>
          <w:p w:rsidRPr="009C48DA" w:rsidR="00661519" w:rsidP="00661519" w:rsidRDefault="00661519" w14:paraId="269F5456" w14:textId="77777777">
            <w:pPr>
              <w:ind w:right="142"/>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Total share </w:t>
            </w:r>
            <w:r w:rsidRPr="009C48DA">
              <w:rPr>
                <w:rFonts w:eastAsia="Times New Roman" w:cs="Times New Roman"/>
                <w:b/>
                <w:color w:val="000000"/>
                <w:sz w:val="16"/>
                <w:szCs w:val="16"/>
                <w:lang w:val="en-GB"/>
              </w:rPr>
              <w:br/>
              <w:t>capital and</w:t>
            </w:r>
          </w:p>
          <w:p w:rsidRPr="009C48DA" w:rsidR="00661519" w:rsidP="00661519" w:rsidRDefault="00661519" w14:paraId="4973297B" w14:textId="77777777">
            <w:pPr>
              <w:ind w:right="142"/>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share</w:t>
            </w:r>
          </w:p>
          <w:p w:rsidRPr="009C48DA" w:rsidR="00661519" w:rsidP="00661519" w:rsidRDefault="00661519" w14:paraId="620B1D09" w14:textId="77777777">
            <w:pPr>
              <w:ind w:right="142"/>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premium</w:t>
            </w:r>
          </w:p>
          <w:p w:rsidRPr="009C48DA" w:rsidR="00661519" w:rsidP="00661519" w:rsidRDefault="00661519" w14:paraId="5F65DBCD" w14:textId="77777777">
            <w:pPr>
              <w:ind w:right="142"/>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61AE3923" w14:textId="77777777">
            <w:pPr>
              <w:ind w:right="5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Capital</w:t>
            </w:r>
          </w:p>
          <w:p w:rsidRPr="009C48DA" w:rsidR="00661519" w:rsidP="00661519" w:rsidRDefault="00661519" w14:paraId="73D2E29B" w14:textId="77777777">
            <w:pPr>
              <w:ind w:right="5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redemption</w:t>
            </w:r>
          </w:p>
          <w:p w:rsidRPr="009C48DA" w:rsidR="00661519" w:rsidP="00661519" w:rsidRDefault="00661519" w14:paraId="7C4C4DEA" w14:textId="77777777">
            <w:pPr>
              <w:ind w:right="5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reserve</w:t>
            </w:r>
          </w:p>
          <w:p w:rsidRPr="009C48DA" w:rsidR="00661519" w:rsidP="00661519" w:rsidRDefault="00661519" w14:paraId="165602B8" w14:textId="77777777">
            <w:pPr>
              <w:ind w:right="5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350" w:type="dxa"/>
            <w:vAlign w:val="bottom"/>
          </w:tcPr>
          <w:p w:rsidRPr="009C48DA" w:rsidR="00661519" w:rsidP="00661519" w:rsidRDefault="00661519" w14:paraId="7CB3184B"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Cash flow hedge</w:t>
            </w:r>
          </w:p>
          <w:p w:rsidRPr="009C48DA" w:rsidR="00661519" w:rsidP="00661519" w:rsidRDefault="00661519" w14:paraId="7DB7F213"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reserve</w:t>
            </w:r>
          </w:p>
          <w:p w:rsidRPr="009C48DA" w:rsidR="00661519" w:rsidP="00661519" w:rsidRDefault="00661519" w14:paraId="14CEB46C"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092" w:type="dxa"/>
            <w:vAlign w:val="bottom"/>
          </w:tcPr>
          <w:p w:rsidRPr="009C48DA" w:rsidR="00661519" w:rsidP="00661519" w:rsidRDefault="00661519" w14:paraId="58EC4DE7" w14:textId="77777777">
            <w:pPr>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7C75795F" w14:textId="77777777">
            <w:pPr>
              <w:ind w:right="7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Net</w:t>
            </w:r>
          </w:p>
          <w:p w:rsidRPr="009C48DA" w:rsidR="00661519" w:rsidP="00661519" w:rsidRDefault="00661519" w14:paraId="41BE2547" w14:textId="77777777">
            <w:pPr>
              <w:ind w:right="7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exchange differences reserve</w:t>
            </w:r>
          </w:p>
          <w:p w:rsidRPr="009C48DA" w:rsidR="00661519" w:rsidP="00661519" w:rsidRDefault="00661519" w14:paraId="36A8E0B2" w14:textId="77777777">
            <w:pPr>
              <w:ind w:right="89"/>
              <w:jc w:val="cente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092" w:type="dxa"/>
            <w:vAlign w:val="bottom"/>
          </w:tcPr>
          <w:p w:rsidRPr="009C48DA" w:rsidR="00661519" w:rsidP="00661519" w:rsidRDefault="00661519" w14:paraId="07C0E695" w14:textId="77777777">
            <w:pPr>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0E5A9469" w14:textId="77777777">
            <w:pPr>
              <w:ind w:right="8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Retained</w:t>
            </w:r>
          </w:p>
          <w:p w:rsidRPr="009C48DA" w:rsidR="00661519" w:rsidP="00661519" w:rsidRDefault="00661519" w14:paraId="43FC2F0D" w14:textId="77777777">
            <w:pPr>
              <w:ind w:right="8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earnings</w:t>
            </w:r>
          </w:p>
          <w:p w:rsidRPr="009C48DA" w:rsidR="00661519" w:rsidP="00661519" w:rsidRDefault="00661519" w14:paraId="3CA5D453" w14:textId="77777777">
            <w:pPr>
              <w:ind w:right="89"/>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40CF3C62" w14:textId="77777777">
            <w:pPr>
              <w:ind w:right="180"/>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w:t>
            </w:r>
          </w:p>
          <w:p w:rsidRPr="009C48DA" w:rsidR="00661519" w:rsidP="00661519" w:rsidRDefault="00661519" w14:paraId="694C5956" w14:textId="77777777">
            <w:pPr>
              <w:ind w:right="180"/>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1" w:type="dxa"/>
            <w:vAlign w:val="bottom"/>
          </w:tcPr>
          <w:p w:rsidRPr="009C48DA" w:rsidR="00661519" w:rsidP="00661519" w:rsidRDefault="00661519" w14:paraId="310C1B00" w14:textId="77777777">
            <w:pPr>
              <w:ind w:right="11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Non-</w:t>
            </w:r>
            <w:r w:rsidRPr="009C48DA">
              <w:rPr>
                <w:rFonts w:eastAsia="Times New Roman" w:cs="Times New Roman"/>
                <w:color w:val="000000"/>
                <w:sz w:val="16"/>
                <w:szCs w:val="16"/>
                <w:lang w:val="en-GB"/>
              </w:rPr>
              <w:t xml:space="preserve"> </w:t>
            </w:r>
          </w:p>
          <w:p w:rsidRPr="009C48DA" w:rsidR="00661519" w:rsidP="00661519" w:rsidRDefault="00661519" w14:paraId="387491E9" w14:textId="77777777">
            <w:pPr>
              <w:ind w:right="11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controlling</w:t>
            </w:r>
          </w:p>
          <w:p w:rsidRPr="009C48DA" w:rsidR="00661519" w:rsidP="00661519" w:rsidRDefault="00661519" w14:paraId="6B0E7959" w14:textId="77777777">
            <w:pPr>
              <w:ind w:right="11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interests</w:t>
            </w:r>
          </w:p>
          <w:p w:rsidRPr="009C48DA" w:rsidR="00661519" w:rsidP="00661519" w:rsidRDefault="00661519" w14:paraId="25524624" w14:textId="77777777">
            <w:pPr>
              <w:ind w:right="11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21" w:type="dxa"/>
            <w:vAlign w:val="bottom"/>
          </w:tcPr>
          <w:p w:rsidRPr="009C48DA" w:rsidR="00661519" w:rsidP="00661519" w:rsidRDefault="00661519" w14:paraId="6059A1D3" w14:textId="77777777">
            <w:pPr>
              <w:ind w:right="6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equity</w:t>
            </w:r>
          </w:p>
          <w:p w:rsidRPr="009C48DA" w:rsidR="00661519" w:rsidP="00661519" w:rsidRDefault="00661519" w14:paraId="69A2182E" w14:textId="77777777">
            <w:pPr>
              <w:ind w:right="68"/>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7C3F285A" w14:textId="77777777">
        <w:tc>
          <w:tcPr>
            <w:tcW w:w="2982" w:type="dxa"/>
            <w:vAlign w:val="bottom"/>
          </w:tcPr>
          <w:p w:rsidRPr="009C48DA" w:rsidR="00661519" w:rsidP="00661519" w:rsidRDefault="00661519" w14:paraId="6897D62E"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At 1 January 2020</w:t>
            </w:r>
          </w:p>
        </w:tc>
        <w:tc>
          <w:tcPr>
            <w:tcW w:w="1220" w:type="dxa"/>
            <w:vAlign w:val="bottom"/>
          </w:tcPr>
          <w:p w:rsidRPr="009C48DA" w:rsidR="00661519" w:rsidP="00661519" w:rsidRDefault="00661519" w14:paraId="240084F2" w14:textId="77777777">
            <w:pPr>
              <w:spacing w:before="60"/>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240,872</w:t>
            </w:r>
          </w:p>
        </w:tc>
        <w:tc>
          <w:tcPr>
            <w:tcW w:w="1221" w:type="dxa"/>
            <w:vAlign w:val="bottom"/>
          </w:tcPr>
          <w:p w:rsidRPr="009C48DA" w:rsidR="00661519" w:rsidP="00661519" w:rsidRDefault="00661519" w14:paraId="42F8F069" w14:textId="77777777">
            <w:pPr>
              <w:spacing w:before="60"/>
              <w:ind w:right="15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547</w:t>
            </w:r>
          </w:p>
        </w:tc>
        <w:tc>
          <w:tcPr>
            <w:tcW w:w="1221" w:type="dxa"/>
            <w:vAlign w:val="bottom"/>
          </w:tcPr>
          <w:p w:rsidRPr="009C48DA" w:rsidR="00661519" w:rsidP="00661519" w:rsidRDefault="00661519" w14:paraId="632BC455" w14:textId="77777777">
            <w:pPr>
              <w:spacing w:before="60"/>
              <w:ind w:right="142"/>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241,419</w:t>
            </w:r>
          </w:p>
        </w:tc>
        <w:tc>
          <w:tcPr>
            <w:tcW w:w="1220" w:type="dxa"/>
            <w:vAlign w:val="bottom"/>
          </w:tcPr>
          <w:p w:rsidRPr="009C48DA" w:rsidR="00661519" w:rsidP="00661519" w:rsidRDefault="00661519" w14:paraId="2117E911" w14:textId="77777777">
            <w:pPr>
              <w:spacing w:before="60"/>
              <w:ind w:right="5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c>
          <w:tcPr>
            <w:tcW w:w="1350" w:type="dxa"/>
            <w:vAlign w:val="bottom"/>
          </w:tcPr>
          <w:p w:rsidRPr="009C48DA" w:rsidR="00661519" w:rsidP="00661519" w:rsidRDefault="00661519" w14:paraId="2D54F224"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2,610</w:t>
            </w:r>
          </w:p>
        </w:tc>
        <w:tc>
          <w:tcPr>
            <w:tcW w:w="1092" w:type="dxa"/>
            <w:vAlign w:val="bottom"/>
          </w:tcPr>
          <w:p w:rsidRPr="009C48DA" w:rsidR="00661519" w:rsidP="00661519" w:rsidRDefault="00661519" w14:paraId="2EDA1510"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3,075</w:t>
            </w:r>
          </w:p>
        </w:tc>
        <w:tc>
          <w:tcPr>
            <w:tcW w:w="1092" w:type="dxa"/>
            <w:vAlign w:val="bottom"/>
          </w:tcPr>
          <w:p w:rsidRPr="009C48DA" w:rsidR="00661519" w:rsidP="00661519" w:rsidRDefault="00661519" w14:paraId="7F66D350"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(6,242)</w:t>
            </w:r>
          </w:p>
        </w:tc>
        <w:tc>
          <w:tcPr>
            <w:tcW w:w="1220" w:type="dxa"/>
            <w:vAlign w:val="bottom"/>
          </w:tcPr>
          <w:p w:rsidRPr="009C48DA" w:rsidR="00661519" w:rsidP="00661519" w:rsidRDefault="00661519" w14:paraId="26C58F5D" w14:textId="77777777">
            <w:pPr>
              <w:spacing w:before="60"/>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265,481</w:t>
            </w:r>
          </w:p>
        </w:tc>
        <w:tc>
          <w:tcPr>
            <w:tcW w:w="1221" w:type="dxa"/>
            <w:vAlign w:val="bottom"/>
          </w:tcPr>
          <w:p w:rsidRPr="009C48DA" w:rsidR="00661519" w:rsidP="00661519" w:rsidRDefault="00661519" w14:paraId="04199A76" w14:textId="77777777">
            <w:pPr>
              <w:spacing w:before="60"/>
              <w:ind w:right="11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90,858</w:t>
            </w:r>
          </w:p>
        </w:tc>
        <w:tc>
          <w:tcPr>
            <w:tcW w:w="1221" w:type="dxa"/>
            <w:vAlign w:val="bottom"/>
          </w:tcPr>
          <w:p w:rsidRPr="009C48DA" w:rsidR="00661519" w:rsidP="00661519" w:rsidRDefault="00661519" w14:paraId="654752C4" w14:textId="77777777">
            <w:pPr>
              <w:spacing w:before="60"/>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356,339</w:t>
            </w:r>
          </w:p>
        </w:tc>
      </w:tr>
      <w:tr w:rsidRPr="009C48DA" w:rsidR="00661519" w:rsidTr="00661519" w14:paraId="7821DC2C" w14:textId="77777777">
        <w:tc>
          <w:tcPr>
            <w:tcW w:w="2982" w:type="dxa"/>
            <w:vAlign w:val="bottom"/>
          </w:tcPr>
          <w:p w:rsidRPr="009C48DA" w:rsidR="00661519" w:rsidP="00661519" w:rsidRDefault="00661519" w14:paraId="1DFC0E44"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Profit for the year</w:t>
            </w:r>
          </w:p>
        </w:tc>
        <w:tc>
          <w:tcPr>
            <w:tcW w:w="1220" w:type="dxa"/>
            <w:vAlign w:val="bottom"/>
          </w:tcPr>
          <w:p w:rsidRPr="009C48DA" w:rsidR="00661519" w:rsidP="00661519" w:rsidRDefault="00661519" w14:paraId="69BC0D0F" w14:textId="77777777">
            <w:pPr>
              <w:spacing w:before="60"/>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6E4DE7CA" w14:textId="77777777">
            <w:pPr>
              <w:spacing w:before="60"/>
              <w:ind w:right="15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3DC22D70" w14:textId="77777777">
            <w:pPr>
              <w:spacing w:before="60"/>
              <w:ind w:right="142"/>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5D5601AB" w14:textId="77777777">
            <w:pPr>
              <w:spacing w:before="60"/>
              <w:ind w:right="5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50" w:type="dxa"/>
            <w:vAlign w:val="bottom"/>
          </w:tcPr>
          <w:p w:rsidRPr="009C48DA" w:rsidR="00661519" w:rsidP="00661519" w:rsidRDefault="00661519" w14:paraId="478AF11C"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92" w:type="dxa"/>
            <w:vAlign w:val="bottom"/>
          </w:tcPr>
          <w:p w:rsidRPr="009C48DA" w:rsidR="00661519" w:rsidP="00661519" w:rsidRDefault="00661519" w14:paraId="38509FE8"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92" w:type="dxa"/>
            <w:vAlign w:val="bottom"/>
          </w:tcPr>
          <w:p w:rsidRPr="009C48DA" w:rsidR="00661519" w:rsidP="00661519" w:rsidRDefault="00661519" w14:paraId="08134DDE"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36,481</w:t>
            </w:r>
          </w:p>
        </w:tc>
        <w:tc>
          <w:tcPr>
            <w:tcW w:w="1220" w:type="dxa"/>
            <w:vAlign w:val="bottom"/>
          </w:tcPr>
          <w:p w:rsidRPr="009C48DA" w:rsidR="00661519" w:rsidP="00661519" w:rsidRDefault="00661519" w14:paraId="679EF52B" w14:textId="77777777">
            <w:pPr>
              <w:spacing w:before="60"/>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36,481</w:t>
            </w:r>
          </w:p>
        </w:tc>
        <w:tc>
          <w:tcPr>
            <w:tcW w:w="1221" w:type="dxa"/>
            <w:vAlign w:val="bottom"/>
          </w:tcPr>
          <w:p w:rsidRPr="009C48DA" w:rsidR="00661519" w:rsidP="00661519" w:rsidRDefault="00661519" w14:paraId="58306350" w14:textId="77777777">
            <w:pPr>
              <w:spacing w:before="60"/>
              <w:ind w:right="11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11,190</w:t>
            </w:r>
          </w:p>
        </w:tc>
        <w:tc>
          <w:tcPr>
            <w:tcW w:w="1221" w:type="dxa"/>
            <w:vAlign w:val="bottom"/>
          </w:tcPr>
          <w:p w:rsidRPr="009C48DA" w:rsidR="00661519" w:rsidP="00661519" w:rsidRDefault="00661519" w14:paraId="535ED518" w14:textId="77777777">
            <w:pPr>
              <w:spacing w:before="60"/>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47,671</w:t>
            </w:r>
          </w:p>
        </w:tc>
      </w:tr>
      <w:tr w:rsidRPr="009C48DA" w:rsidR="00661519" w:rsidTr="00661519" w14:paraId="312C7C80" w14:textId="77777777">
        <w:tc>
          <w:tcPr>
            <w:tcW w:w="2982" w:type="dxa"/>
            <w:vAlign w:val="bottom"/>
          </w:tcPr>
          <w:p w:rsidRPr="009C48DA" w:rsidR="00661519" w:rsidP="00661519" w:rsidRDefault="00661519" w14:paraId="460877C0"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Foreign exchange hedges</w:t>
            </w:r>
          </w:p>
        </w:tc>
        <w:tc>
          <w:tcPr>
            <w:tcW w:w="1220" w:type="dxa"/>
            <w:vAlign w:val="bottom"/>
          </w:tcPr>
          <w:p w:rsidRPr="009C48DA" w:rsidR="00661519" w:rsidP="00661519" w:rsidRDefault="00661519" w14:paraId="4DE6CCA7" w14:textId="77777777">
            <w:pPr>
              <w:spacing w:before="60"/>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2A45FC95" w14:textId="77777777">
            <w:pPr>
              <w:spacing w:before="60"/>
              <w:ind w:right="15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59F7B8C5" w14:textId="77777777">
            <w:pPr>
              <w:spacing w:before="60"/>
              <w:ind w:right="142"/>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0F7832D7" w14:textId="77777777">
            <w:pPr>
              <w:spacing w:before="60"/>
              <w:ind w:right="5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50" w:type="dxa"/>
            <w:vAlign w:val="bottom"/>
          </w:tcPr>
          <w:p w:rsidRPr="009C48DA" w:rsidR="00661519" w:rsidP="00661519" w:rsidRDefault="00661519" w14:paraId="11430A58"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(4,859)</w:t>
            </w:r>
          </w:p>
        </w:tc>
        <w:tc>
          <w:tcPr>
            <w:tcW w:w="1092" w:type="dxa"/>
            <w:vAlign w:val="bottom"/>
          </w:tcPr>
          <w:p w:rsidRPr="009C48DA" w:rsidR="00661519" w:rsidP="00661519" w:rsidRDefault="00661519" w14:paraId="53F09A33"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92" w:type="dxa"/>
            <w:vAlign w:val="bottom"/>
          </w:tcPr>
          <w:p w:rsidRPr="009C48DA" w:rsidR="00661519" w:rsidP="00661519" w:rsidRDefault="00661519" w14:paraId="50587443"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718</w:t>
            </w:r>
          </w:p>
        </w:tc>
        <w:tc>
          <w:tcPr>
            <w:tcW w:w="1220" w:type="dxa"/>
            <w:vAlign w:val="bottom"/>
          </w:tcPr>
          <w:p w:rsidRPr="009C48DA" w:rsidR="00661519" w:rsidP="00661519" w:rsidRDefault="00661519" w14:paraId="6C711118" w14:textId="77777777">
            <w:pPr>
              <w:spacing w:before="60"/>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(4,141)</w:t>
            </w:r>
          </w:p>
        </w:tc>
        <w:tc>
          <w:tcPr>
            <w:tcW w:w="1221" w:type="dxa"/>
            <w:vAlign w:val="bottom"/>
          </w:tcPr>
          <w:p w:rsidRPr="009C48DA" w:rsidR="00661519" w:rsidP="00661519" w:rsidRDefault="00661519" w14:paraId="48A9AEFE" w14:textId="77777777">
            <w:pPr>
              <w:spacing w:before="60"/>
              <w:ind w:right="11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(1,182)</w:t>
            </w:r>
          </w:p>
        </w:tc>
        <w:tc>
          <w:tcPr>
            <w:tcW w:w="1221" w:type="dxa"/>
            <w:vAlign w:val="bottom"/>
          </w:tcPr>
          <w:p w:rsidRPr="009C48DA" w:rsidR="00661519" w:rsidP="00661519" w:rsidRDefault="00661519" w14:paraId="30AB280E" w14:textId="77777777">
            <w:pPr>
              <w:spacing w:before="60"/>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(5,323)</w:t>
            </w:r>
          </w:p>
        </w:tc>
      </w:tr>
      <w:tr w:rsidRPr="009C48DA" w:rsidR="00661519" w:rsidTr="00661519" w14:paraId="1ADED393" w14:textId="77777777">
        <w:tc>
          <w:tcPr>
            <w:tcW w:w="2982" w:type="dxa"/>
            <w:vAlign w:val="bottom"/>
          </w:tcPr>
          <w:p w:rsidRPr="009C48DA" w:rsidR="00661519" w:rsidP="00661519" w:rsidRDefault="00661519" w14:paraId="12B1050F"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Revaluation of foreign subsidiaries</w:t>
            </w:r>
          </w:p>
        </w:tc>
        <w:tc>
          <w:tcPr>
            <w:tcW w:w="1220" w:type="dxa"/>
            <w:vAlign w:val="bottom"/>
          </w:tcPr>
          <w:p w:rsidRPr="009C48DA" w:rsidR="00661519" w:rsidP="00661519" w:rsidRDefault="00661519" w14:paraId="2C1BB9A9" w14:textId="77777777">
            <w:pPr>
              <w:pBdr>
                <w:bottom w:val="single" w:color="auto" w:sz="12" w:space="1"/>
              </w:pBdr>
              <w:spacing w:before="60"/>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3EAE5E7D" w14:textId="77777777">
            <w:pPr>
              <w:pBdr>
                <w:bottom w:val="single" w:color="auto" w:sz="12" w:space="1"/>
              </w:pBdr>
              <w:spacing w:before="60"/>
              <w:ind w:right="15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426BAFEF" w14:textId="77777777">
            <w:pPr>
              <w:pBdr>
                <w:bottom w:val="single" w:color="auto" w:sz="12" w:space="1"/>
              </w:pBdr>
              <w:spacing w:before="60"/>
              <w:ind w:right="142"/>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38494B73" w14:textId="77777777">
            <w:pPr>
              <w:pBdr>
                <w:bottom w:val="single" w:color="auto" w:sz="12" w:space="1"/>
              </w:pBdr>
              <w:spacing w:before="60"/>
              <w:ind w:right="5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50" w:type="dxa"/>
            <w:vAlign w:val="bottom"/>
          </w:tcPr>
          <w:p w:rsidRPr="009C48DA" w:rsidR="00661519" w:rsidP="00661519" w:rsidRDefault="00661519" w14:paraId="6EE05CA2" w14:textId="77777777">
            <w:pPr>
              <w:pBdr>
                <w:bottom w:val="single" w:color="auto" w:sz="12" w:space="1"/>
              </w:pBd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92" w:type="dxa"/>
            <w:vAlign w:val="bottom"/>
          </w:tcPr>
          <w:p w:rsidRPr="009C48DA" w:rsidR="00661519" w:rsidP="00661519" w:rsidRDefault="00661519" w14:paraId="304E953C" w14:textId="77777777">
            <w:pPr>
              <w:pBdr>
                <w:bottom w:val="single" w:color="auto" w:sz="12" w:space="1"/>
              </w:pBd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2,269</w:t>
            </w:r>
          </w:p>
        </w:tc>
        <w:tc>
          <w:tcPr>
            <w:tcW w:w="1092" w:type="dxa"/>
            <w:vAlign w:val="bottom"/>
          </w:tcPr>
          <w:p w:rsidRPr="009C48DA" w:rsidR="00661519" w:rsidP="00661519" w:rsidRDefault="00661519" w14:paraId="51BFE54E" w14:textId="77777777">
            <w:pPr>
              <w:pBdr>
                <w:bottom w:val="single" w:color="auto" w:sz="12" w:space="1"/>
              </w:pBd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49CCB841" w14:textId="77777777">
            <w:pPr>
              <w:pBdr>
                <w:bottom w:val="single" w:color="auto" w:sz="12" w:space="1"/>
              </w:pBdr>
              <w:spacing w:before="60"/>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2,269</w:t>
            </w:r>
          </w:p>
        </w:tc>
        <w:tc>
          <w:tcPr>
            <w:tcW w:w="1221" w:type="dxa"/>
            <w:vAlign w:val="bottom"/>
          </w:tcPr>
          <w:p w:rsidRPr="009C48DA" w:rsidR="00661519" w:rsidP="00661519" w:rsidRDefault="00661519" w14:paraId="4DC56410" w14:textId="77777777">
            <w:pPr>
              <w:pBdr>
                <w:bottom w:val="single" w:color="auto" w:sz="12" w:space="1"/>
              </w:pBdr>
              <w:spacing w:before="60"/>
              <w:ind w:right="11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648</w:t>
            </w:r>
          </w:p>
        </w:tc>
        <w:tc>
          <w:tcPr>
            <w:tcW w:w="1221" w:type="dxa"/>
            <w:vAlign w:val="bottom"/>
          </w:tcPr>
          <w:p w:rsidRPr="009C48DA" w:rsidR="00661519" w:rsidP="00661519" w:rsidRDefault="00661519" w14:paraId="289C9A79" w14:textId="77777777">
            <w:pPr>
              <w:pBdr>
                <w:bottom w:val="single" w:color="auto" w:sz="12" w:space="1"/>
              </w:pBdr>
              <w:spacing w:before="60"/>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2,917</w:t>
            </w:r>
          </w:p>
        </w:tc>
      </w:tr>
      <w:tr w:rsidRPr="009C48DA" w:rsidR="00661519" w:rsidTr="00661519" w14:paraId="1481EA65" w14:textId="77777777">
        <w:tc>
          <w:tcPr>
            <w:tcW w:w="2982" w:type="dxa"/>
            <w:vAlign w:val="bottom"/>
          </w:tcPr>
          <w:p w:rsidRPr="009C48DA" w:rsidR="00661519" w:rsidP="00661519" w:rsidRDefault="00661519" w14:paraId="71676A0B" w14:textId="77777777">
            <w:pPr>
              <w:spacing w:before="60"/>
              <w:textAlignment w:val="baseline"/>
              <w:rPr>
                <w:rFonts w:eastAsia="Times New Roman" w:cs="Times New Roman"/>
                <w:color w:val="000000"/>
                <w:sz w:val="16"/>
                <w:szCs w:val="16"/>
                <w:lang w:val="en-GB"/>
              </w:rPr>
            </w:pPr>
          </w:p>
          <w:p w:rsidRPr="009C48DA" w:rsidR="00661519" w:rsidP="00661519" w:rsidRDefault="00661519" w14:paraId="275C1851"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Total Comprehensive Income</w:t>
            </w:r>
          </w:p>
        </w:tc>
        <w:tc>
          <w:tcPr>
            <w:tcW w:w="1220" w:type="dxa"/>
            <w:vAlign w:val="bottom"/>
          </w:tcPr>
          <w:p w:rsidRPr="009C48DA" w:rsidR="00661519" w:rsidP="00661519" w:rsidRDefault="00661519" w14:paraId="131D99B2" w14:textId="77777777">
            <w:pPr>
              <w:spacing w:before="60"/>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719DF2F7" w14:textId="77777777">
            <w:pPr>
              <w:spacing w:before="60"/>
              <w:ind w:right="15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537EDB80" w14:textId="77777777">
            <w:pPr>
              <w:spacing w:before="60"/>
              <w:ind w:right="142"/>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44B79B63" w14:textId="77777777">
            <w:pPr>
              <w:spacing w:before="60"/>
              <w:ind w:right="5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50" w:type="dxa"/>
            <w:vAlign w:val="bottom"/>
          </w:tcPr>
          <w:p w:rsidRPr="009C48DA" w:rsidR="00661519" w:rsidP="00661519" w:rsidRDefault="00661519" w14:paraId="52D0EF4B"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(4,859)</w:t>
            </w:r>
          </w:p>
        </w:tc>
        <w:tc>
          <w:tcPr>
            <w:tcW w:w="1092" w:type="dxa"/>
            <w:vAlign w:val="bottom"/>
          </w:tcPr>
          <w:p w:rsidRPr="009C48DA" w:rsidR="00661519" w:rsidP="00661519" w:rsidRDefault="00661519" w14:paraId="3478F147"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2,269</w:t>
            </w:r>
          </w:p>
        </w:tc>
        <w:tc>
          <w:tcPr>
            <w:tcW w:w="1092" w:type="dxa"/>
            <w:vAlign w:val="bottom"/>
          </w:tcPr>
          <w:p w:rsidRPr="009C48DA" w:rsidR="00661519" w:rsidP="00661519" w:rsidRDefault="00661519" w14:paraId="1ECD1340"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37,199</w:t>
            </w:r>
          </w:p>
        </w:tc>
        <w:tc>
          <w:tcPr>
            <w:tcW w:w="1220" w:type="dxa"/>
            <w:vAlign w:val="bottom"/>
          </w:tcPr>
          <w:p w:rsidRPr="009C48DA" w:rsidR="00661519" w:rsidP="00661519" w:rsidRDefault="00661519" w14:paraId="3C684BA7" w14:textId="77777777">
            <w:pPr>
              <w:spacing w:before="60"/>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34,609</w:t>
            </w:r>
          </w:p>
        </w:tc>
        <w:tc>
          <w:tcPr>
            <w:tcW w:w="1221" w:type="dxa"/>
            <w:vAlign w:val="bottom"/>
          </w:tcPr>
          <w:p w:rsidRPr="009C48DA" w:rsidR="00661519" w:rsidP="00661519" w:rsidRDefault="00661519" w14:paraId="082B1180" w14:textId="77777777">
            <w:pPr>
              <w:spacing w:before="60"/>
              <w:ind w:right="11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10,656</w:t>
            </w:r>
          </w:p>
        </w:tc>
        <w:tc>
          <w:tcPr>
            <w:tcW w:w="1221" w:type="dxa"/>
            <w:vAlign w:val="bottom"/>
          </w:tcPr>
          <w:p w:rsidRPr="009C48DA" w:rsidR="00661519" w:rsidP="00661519" w:rsidRDefault="00661519" w14:paraId="774B0814" w14:textId="77777777">
            <w:pPr>
              <w:spacing w:before="60"/>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45,265</w:t>
            </w:r>
          </w:p>
        </w:tc>
      </w:tr>
      <w:tr w:rsidRPr="009C48DA" w:rsidR="00661519" w:rsidTr="00661519" w14:paraId="73DE65E7" w14:textId="77777777">
        <w:tc>
          <w:tcPr>
            <w:tcW w:w="2982" w:type="dxa"/>
            <w:vAlign w:val="bottom"/>
          </w:tcPr>
          <w:p w:rsidRPr="009C48DA" w:rsidR="00661519" w:rsidP="00661519" w:rsidRDefault="00661519" w14:paraId="5709D35F"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Purchase of own shares</w:t>
            </w:r>
          </w:p>
        </w:tc>
        <w:tc>
          <w:tcPr>
            <w:tcW w:w="1220" w:type="dxa"/>
            <w:vAlign w:val="bottom"/>
          </w:tcPr>
          <w:p w:rsidRPr="009C48DA" w:rsidR="00661519" w:rsidP="00661519" w:rsidRDefault="00661519" w14:paraId="2EFEC392" w14:textId="77777777">
            <w:pPr>
              <w:spacing w:before="60"/>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7EA18CA1" w14:textId="77777777">
            <w:pPr>
              <w:spacing w:before="60"/>
              <w:ind w:right="15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169CFF77" w14:textId="77777777">
            <w:pPr>
              <w:spacing w:before="60"/>
              <w:ind w:right="142"/>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20013F31" w14:textId="77777777">
            <w:pPr>
              <w:spacing w:before="60"/>
              <w:ind w:right="5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50" w:type="dxa"/>
            <w:vAlign w:val="bottom"/>
          </w:tcPr>
          <w:p w:rsidRPr="009C48DA" w:rsidR="00661519" w:rsidP="00661519" w:rsidRDefault="00661519" w14:paraId="6AE1EECC"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92" w:type="dxa"/>
            <w:vAlign w:val="bottom"/>
          </w:tcPr>
          <w:p w:rsidRPr="009C48DA" w:rsidR="00661519" w:rsidP="00661519" w:rsidRDefault="00661519" w14:paraId="78930A8E"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92" w:type="dxa"/>
            <w:vAlign w:val="bottom"/>
          </w:tcPr>
          <w:p w:rsidRPr="009C48DA" w:rsidR="00661519" w:rsidP="00661519" w:rsidRDefault="00661519" w14:paraId="3C08F2EE"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(82)</w:t>
            </w:r>
          </w:p>
        </w:tc>
        <w:tc>
          <w:tcPr>
            <w:tcW w:w="1220" w:type="dxa"/>
            <w:vAlign w:val="bottom"/>
          </w:tcPr>
          <w:p w:rsidRPr="009C48DA" w:rsidR="00661519" w:rsidP="00661519" w:rsidRDefault="00661519" w14:paraId="3E5C6C5A" w14:textId="77777777">
            <w:pPr>
              <w:spacing w:before="60"/>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(82)</w:t>
            </w:r>
          </w:p>
        </w:tc>
        <w:tc>
          <w:tcPr>
            <w:tcW w:w="1221" w:type="dxa"/>
            <w:vAlign w:val="bottom"/>
          </w:tcPr>
          <w:p w:rsidRPr="009C48DA" w:rsidR="00661519" w:rsidP="00661519" w:rsidRDefault="00661519" w14:paraId="7AB59501" w14:textId="77777777">
            <w:pPr>
              <w:spacing w:before="60"/>
              <w:ind w:right="11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23223F2D" w14:textId="77777777">
            <w:pPr>
              <w:spacing w:before="60"/>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(82)</w:t>
            </w:r>
          </w:p>
        </w:tc>
      </w:tr>
      <w:tr w:rsidRPr="009C48DA" w:rsidR="00661519" w:rsidTr="00661519" w14:paraId="32E9F7C6" w14:textId="77777777">
        <w:tc>
          <w:tcPr>
            <w:tcW w:w="2982" w:type="dxa"/>
            <w:vAlign w:val="bottom"/>
          </w:tcPr>
          <w:p w:rsidRPr="009C48DA" w:rsidR="00661519" w:rsidP="00661519" w:rsidRDefault="00661519" w14:paraId="35F856D7"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Dividends</w:t>
            </w:r>
          </w:p>
        </w:tc>
        <w:tc>
          <w:tcPr>
            <w:tcW w:w="1220" w:type="dxa"/>
            <w:vAlign w:val="bottom"/>
          </w:tcPr>
          <w:p w:rsidRPr="009C48DA" w:rsidR="00661519" w:rsidP="00661519" w:rsidRDefault="00661519" w14:paraId="13283CC4" w14:textId="77777777">
            <w:pPr>
              <w:spacing w:before="60"/>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09AFE9B2" w14:textId="77777777">
            <w:pPr>
              <w:spacing w:before="60"/>
              <w:ind w:right="15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3CA517DF" w14:textId="77777777">
            <w:pPr>
              <w:spacing w:before="60"/>
              <w:ind w:right="142"/>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2491A76C" w14:textId="77777777">
            <w:pPr>
              <w:spacing w:before="60"/>
              <w:ind w:right="5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50" w:type="dxa"/>
            <w:vAlign w:val="bottom"/>
          </w:tcPr>
          <w:p w:rsidRPr="009C48DA" w:rsidR="00661519" w:rsidP="00661519" w:rsidRDefault="00661519" w14:paraId="02D092CF"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92" w:type="dxa"/>
            <w:vAlign w:val="bottom"/>
          </w:tcPr>
          <w:p w:rsidRPr="009C48DA" w:rsidR="00661519" w:rsidP="00661519" w:rsidRDefault="00661519" w14:paraId="169CC7FF"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92" w:type="dxa"/>
            <w:vAlign w:val="bottom"/>
          </w:tcPr>
          <w:p w:rsidRPr="009C48DA" w:rsidR="00661519" w:rsidP="00661519" w:rsidRDefault="00661519" w14:paraId="17B14F58"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(6,522)</w:t>
            </w:r>
          </w:p>
        </w:tc>
        <w:tc>
          <w:tcPr>
            <w:tcW w:w="1220" w:type="dxa"/>
            <w:vAlign w:val="bottom"/>
          </w:tcPr>
          <w:p w:rsidRPr="009C48DA" w:rsidR="00661519" w:rsidP="00661519" w:rsidRDefault="00661519" w14:paraId="083D94F3" w14:textId="77777777">
            <w:pPr>
              <w:spacing w:before="60"/>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(6,522)</w:t>
            </w:r>
          </w:p>
        </w:tc>
        <w:tc>
          <w:tcPr>
            <w:tcW w:w="1221" w:type="dxa"/>
            <w:vAlign w:val="bottom"/>
          </w:tcPr>
          <w:p w:rsidRPr="009C48DA" w:rsidR="00661519" w:rsidP="00661519" w:rsidRDefault="00661519" w14:paraId="3D87E7AC" w14:textId="77777777">
            <w:pPr>
              <w:spacing w:before="60"/>
              <w:ind w:right="11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(4,444)</w:t>
            </w:r>
          </w:p>
        </w:tc>
        <w:tc>
          <w:tcPr>
            <w:tcW w:w="1221" w:type="dxa"/>
            <w:vAlign w:val="bottom"/>
          </w:tcPr>
          <w:p w:rsidRPr="009C48DA" w:rsidR="00661519" w:rsidP="00661519" w:rsidRDefault="00661519" w14:paraId="21CF9092" w14:textId="77777777">
            <w:pPr>
              <w:spacing w:before="60"/>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(10,966)</w:t>
            </w:r>
          </w:p>
        </w:tc>
      </w:tr>
      <w:tr w:rsidRPr="009C48DA" w:rsidR="00661519" w:rsidTr="00661519" w14:paraId="3A0D3B4A" w14:textId="77777777">
        <w:tc>
          <w:tcPr>
            <w:tcW w:w="2982" w:type="dxa"/>
            <w:vAlign w:val="bottom"/>
          </w:tcPr>
          <w:p w:rsidRPr="009C48DA" w:rsidR="00661519" w:rsidP="00661519" w:rsidRDefault="00661519" w14:paraId="54D32C63"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Movement in non-controlling </w:t>
            </w:r>
          </w:p>
          <w:p w:rsidRPr="009C48DA" w:rsidR="00661519" w:rsidP="00661519" w:rsidRDefault="00661519" w14:paraId="445ABA6A"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interests</w:t>
            </w:r>
          </w:p>
        </w:tc>
        <w:tc>
          <w:tcPr>
            <w:tcW w:w="1220" w:type="dxa"/>
            <w:vAlign w:val="bottom"/>
          </w:tcPr>
          <w:p w:rsidRPr="009C48DA" w:rsidR="00661519" w:rsidP="00661519" w:rsidRDefault="00661519" w14:paraId="67AE564A" w14:textId="77777777">
            <w:pPr>
              <w:pBdr>
                <w:bottom w:val="single" w:color="auto" w:sz="8" w:space="1"/>
              </w:pBdr>
              <w:spacing w:before="60"/>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2631304C" w14:textId="77777777">
            <w:pPr>
              <w:pBdr>
                <w:bottom w:val="single" w:color="auto" w:sz="8" w:space="1"/>
              </w:pBdr>
              <w:spacing w:before="60"/>
              <w:ind w:right="15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48169E2A" w14:textId="77777777">
            <w:pPr>
              <w:pBdr>
                <w:bottom w:val="single" w:color="auto" w:sz="8" w:space="1"/>
              </w:pBdr>
              <w:spacing w:before="60"/>
              <w:ind w:right="142"/>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26BE80D5" w14:textId="77777777">
            <w:pPr>
              <w:pBdr>
                <w:bottom w:val="single" w:color="auto" w:sz="8" w:space="1"/>
              </w:pBdr>
              <w:spacing w:before="60"/>
              <w:ind w:right="5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50" w:type="dxa"/>
            <w:vAlign w:val="bottom"/>
          </w:tcPr>
          <w:p w:rsidRPr="009C48DA" w:rsidR="00661519" w:rsidP="00661519" w:rsidRDefault="00661519" w14:paraId="75614178" w14:textId="77777777">
            <w:pPr>
              <w:pBdr>
                <w:bottom w:val="single" w:color="auto" w:sz="8" w:space="1"/>
              </w:pBd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92" w:type="dxa"/>
            <w:vAlign w:val="bottom"/>
          </w:tcPr>
          <w:p w:rsidRPr="009C48DA" w:rsidR="00661519" w:rsidP="00661519" w:rsidRDefault="00661519" w14:paraId="2F198D7C" w14:textId="77777777">
            <w:pPr>
              <w:pBdr>
                <w:bottom w:val="single" w:color="auto" w:sz="8" w:space="1"/>
              </w:pBd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92" w:type="dxa"/>
            <w:vAlign w:val="bottom"/>
          </w:tcPr>
          <w:p w:rsidRPr="009C48DA" w:rsidR="00661519" w:rsidP="00661519" w:rsidRDefault="00661519" w14:paraId="02558F50" w14:textId="77777777">
            <w:pPr>
              <w:pBdr>
                <w:bottom w:val="single" w:color="auto" w:sz="8" w:space="1"/>
              </w:pBd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15,356</w:t>
            </w:r>
          </w:p>
        </w:tc>
        <w:tc>
          <w:tcPr>
            <w:tcW w:w="1220" w:type="dxa"/>
            <w:vAlign w:val="bottom"/>
          </w:tcPr>
          <w:p w:rsidRPr="009C48DA" w:rsidR="00661519" w:rsidP="00661519" w:rsidRDefault="00661519" w14:paraId="2767AB8F" w14:textId="77777777">
            <w:pPr>
              <w:pBdr>
                <w:bottom w:val="single" w:color="auto" w:sz="8" w:space="1"/>
              </w:pBdr>
              <w:spacing w:before="60"/>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15,356</w:t>
            </w:r>
          </w:p>
        </w:tc>
        <w:tc>
          <w:tcPr>
            <w:tcW w:w="1221" w:type="dxa"/>
            <w:vAlign w:val="bottom"/>
          </w:tcPr>
          <w:p w:rsidRPr="009C48DA" w:rsidR="00661519" w:rsidP="00661519" w:rsidRDefault="00661519" w14:paraId="4F2D48F8" w14:textId="77777777">
            <w:pPr>
              <w:pBdr>
                <w:bottom w:val="single" w:color="auto" w:sz="8" w:space="1"/>
              </w:pBdr>
              <w:spacing w:before="60"/>
              <w:ind w:right="11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(15,356)</w:t>
            </w:r>
          </w:p>
        </w:tc>
        <w:tc>
          <w:tcPr>
            <w:tcW w:w="1221" w:type="dxa"/>
            <w:vAlign w:val="bottom"/>
          </w:tcPr>
          <w:p w:rsidRPr="009C48DA" w:rsidR="00661519" w:rsidP="00661519" w:rsidRDefault="00661519" w14:paraId="17552F88" w14:textId="77777777">
            <w:pPr>
              <w:pBdr>
                <w:bottom w:val="single" w:color="auto" w:sz="8" w:space="1"/>
              </w:pBdr>
              <w:spacing w:before="60"/>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5E054916" w14:textId="77777777">
        <w:tc>
          <w:tcPr>
            <w:tcW w:w="2982" w:type="dxa"/>
            <w:vAlign w:val="bottom"/>
          </w:tcPr>
          <w:p w:rsidRPr="009C48DA" w:rsidR="00661519" w:rsidP="00661519" w:rsidRDefault="00661519" w14:paraId="28A85948"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At 31 December 2020</w:t>
            </w:r>
          </w:p>
        </w:tc>
        <w:tc>
          <w:tcPr>
            <w:tcW w:w="1220" w:type="dxa"/>
            <w:vAlign w:val="bottom"/>
          </w:tcPr>
          <w:p w:rsidRPr="009C48DA" w:rsidR="00661519" w:rsidP="00661519" w:rsidRDefault="00661519" w14:paraId="5D75D900" w14:textId="77777777">
            <w:pPr>
              <w:pBdr>
                <w:bottom w:val="double" w:color="auto" w:sz="12" w:space="1"/>
              </w:pBdr>
              <w:spacing w:before="60"/>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240,872</w:t>
            </w:r>
          </w:p>
        </w:tc>
        <w:tc>
          <w:tcPr>
            <w:tcW w:w="1221" w:type="dxa"/>
            <w:vAlign w:val="bottom"/>
          </w:tcPr>
          <w:p w:rsidRPr="009C48DA" w:rsidR="00661519" w:rsidP="00661519" w:rsidRDefault="00661519" w14:paraId="0D12B789" w14:textId="77777777">
            <w:pPr>
              <w:pBdr>
                <w:bottom w:val="double" w:color="auto" w:sz="12" w:space="1"/>
              </w:pBdr>
              <w:spacing w:before="60"/>
              <w:ind w:right="15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547</w:t>
            </w:r>
          </w:p>
        </w:tc>
        <w:tc>
          <w:tcPr>
            <w:tcW w:w="1221" w:type="dxa"/>
            <w:vAlign w:val="bottom"/>
          </w:tcPr>
          <w:p w:rsidRPr="009C48DA" w:rsidR="00661519" w:rsidP="00661519" w:rsidRDefault="00661519" w14:paraId="2217B0C7" w14:textId="77777777">
            <w:pPr>
              <w:pBdr>
                <w:bottom w:val="double" w:color="auto" w:sz="12" w:space="1"/>
              </w:pBdr>
              <w:spacing w:before="60"/>
              <w:ind w:right="142"/>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241,419</w:t>
            </w:r>
          </w:p>
        </w:tc>
        <w:tc>
          <w:tcPr>
            <w:tcW w:w="1220" w:type="dxa"/>
            <w:vAlign w:val="bottom"/>
          </w:tcPr>
          <w:p w:rsidRPr="009C48DA" w:rsidR="00661519" w:rsidP="00661519" w:rsidRDefault="00661519" w14:paraId="01E58A01" w14:textId="77777777">
            <w:pPr>
              <w:pBdr>
                <w:bottom w:val="double" w:color="auto" w:sz="12" w:space="1"/>
              </w:pBdr>
              <w:spacing w:before="60"/>
              <w:ind w:right="5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c>
          <w:tcPr>
            <w:tcW w:w="1350" w:type="dxa"/>
            <w:vAlign w:val="bottom"/>
          </w:tcPr>
          <w:p w:rsidRPr="009C48DA" w:rsidR="00661519" w:rsidP="00661519" w:rsidRDefault="00661519" w14:paraId="5DEBF552" w14:textId="77777777">
            <w:pPr>
              <w:pBdr>
                <w:bottom w:val="double" w:color="auto" w:sz="12" w:space="1"/>
              </w:pBd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(2,249)</w:t>
            </w:r>
          </w:p>
        </w:tc>
        <w:tc>
          <w:tcPr>
            <w:tcW w:w="1092" w:type="dxa"/>
            <w:vAlign w:val="bottom"/>
          </w:tcPr>
          <w:p w:rsidRPr="009C48DA" w:rsidR="00661519" w:rsidP="00661519" w:rsidRDefault="00661519" w14:paraId="402F2408" w14:textId="77777777">
            <w:pPr>
              <w:pBdr>
                <w:bottom w:val="double" w:color="auto" w:sz="12" w:space="1"/>
              </w:pBd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5,344</w:t>
            </w:r>
          </w:p>
        </w:tc>
        <w:tc>
          <w:tcPr>
            <w:tcW w:w="1092" w:type="dxa"/>
            <w:vAlign w:val="bottom"/>
          </w:tcPr>
          <w:p w:rsidRPr="009C48DA" w:rsidR="00661519" w:rsidP="00661519" w:rsidRDefault="00661519" w14:paraId="6B861E32" w14:textId="77777777">
            <w:pPr>
              <w:pBdr>
                <w:bottom w:val="double" w:color="auto" w:sz="12" w:space="1"/>
              </w:pBd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39,709</w:t>
            </w:r>
          </w:p>
        </w:tc>
        <w:tc>
          <w:tcPr>
            <w:tcW w:w="1220" w:type="dxa"/>
            <w:vAlign w:val="bottom"/>
          </w:tcPr>
          <w:p w:rsidRPr="009C48DA" w:rsidR="00661519" w:rsidP="00661519" w:rsidRDefault="00661519" w14:paraId="13415575" w14:textId="77777777">
            <w:pPr>
              <w:pBdr>
                <w:bottom w:val="double" w:color="auto" w:sz="12" w:space="1"/>
              </w:pBdr>
              <w:spacing w:before="60"/>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308,842</w:t>
            </w:r>
          </w:p>
        </w:tc>
        <w:tc>
          <w:tcPr>
            <w:tcW w:w="1221" w:type="dxa"/>
            <w:vAlign w:val="bottom"/>
          </w:tcPr>
          <w:p w:rsidRPr="009C48DA" w:rsidR="00661519" w:rsidP="00661519" w:rsidRDefault="00661519" w14:paraId="4C78358E" w14:textId="77777777">
            <w:pPr>
              <w:pBdr>
                <w:bottom w:val="double" w:color="auto" w:sz="12" w:space="1"/>
              </w:pBdr>
              <w:spacing w:before="60"/>
              <w:ind w:right="11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81,714</w:t>
            </w:r>
          </w:p>
        </w:tc>
        <w:tc>
          <w:tcPr>
            <w:tcW w:w="1221" w:type="dxa"/>
            <w:vAlign w:val="bottom"/>
          </w:tcPr>
          <w:p w:rsidRPr="009C48DA" w:rsidR="00661519" w:rsidP="00661519" w:rsidRDefault="00661519" w14:paraId="3AAB7070" w14:textId="77777777">
            <w:pPr>
              <w:pBdr>
                <w:bottom w:val="double" w:color="auto" w:sz="12" w:space="1"/>
              </w:pBdr>
              <w:spacing w:before="60"/>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390,556</w:t>
            </w:r>
          </w:p>
        </w:tc>
      </w:tr>
      <w:tr w:rsidRPr="009C48DA" w:rsidR="00661519" w:rsidTr="00661519" w14:paraId="4DB187B8" w14:textId="77777777">
        <w:tc>
          <w:tcPr>
            <w:tcW w:w="2982" w:type="dxa"/>
            <w:vAlign w:val="bottom"/>
          </w:tcPr>
          <w:p w:rsidRPr="009C48DA" w:rsidR="00661519" w:rsidP="00661519" w:rsidRDefault="00661519" w14:paraId="0BD1A703" w14:textId="77777777">
            <w:pPr>
              <w:textAlignment w:val="baseline"/>
              <w:rPr>
                <w:rFonts w:eastAsia="Times New Roman" w:cs="Times New Roman"/>
                <w:color w:val="000000"/>
                <w:sz w:val="16"/>
                <w:szCs w:val="16"/>
                <w:lang w:val="en-GB"/>
              </w:rPr>
            </w:pPr>
          </w:p>
          <w:p w:rsidRPr="009C48DA" w:rsidR="00661519" w:rsidP="00661519" w:rsidRDefault="00661519" w14:paraId="0500E5A6" w14:textId="77777777">
            <w:pPr>
              <w:textAlignment w:val="baseline"/>
              <w:rPr>
                <w:rFonts w:eastAsia="Times New Roman" w:cs="Times New Roman"/>
                <w:color w:val="000000"/>
                <w:sz w:val="16"/>
                <w:szCs w:val="16"/>
                <w:lang w:val="en-GB"/>
              </w:rPr>
            </w:pPr>
          </w:p>
        </w:tc>
        <w:tc>
          <w:tcPr>
            <w:tcW w:w="1220" w:type="dxa"/>
            <w:vAlign w:val="bottom"/>
          </w:tcPr>
          <w:p w:rsidRPr="009C48DA" w:rsidR="00661519" w:rsidP="00661519" w:rsidRDefault="00661519" w14:paraId="0E76D6B1" w14:textId="77777777">
            <w:pPr>
              <w:ind w:right="134"/>
              <w:textAlignment w:val="baseline"/>
              <w:rPr>
                <w:rFonts w:eastAsia="Times New Roman" w:cs="Times New Roman"/>
                <w:color w:val="000000"/>
                <w:sz w:val="16"/>
                <w:szCs w:val="16"/>
                <w:lang w:val="en-GB"/>
              </w:rPr>
            </w:pPr>
          </w:p>
        </w:tc>
        <w:tc>
          <w:tcPr>
            <w:tcW w:w="1221" w:type="dxa"/>
            <w:vAlign w:val="bottom"/>
          </w:tcPr>
          <w:p w:rsidRPr="009C48DA" w:rsidR="00661519" w:rsidP="00661519" w:rsidRDefault="00661519" w14:paraId="0016FF6C" w14:textId="77777777">
            <w:pPr>
              <w:textAlignment w:val="baseline"/>
              <w:rPr>
                <w:rFonts w:eastAsia="Times New Roman" w:cs="Times New Roman"/>
                <w:color w:val="000000"/>
                <w:sz w:val="16"/>
                <w:szCs w:val="16"/>
                <w:lang w:val="en-GB"/>
              </w:rPr>
            </w:pPr>
          </w:p>
        </w:tc>
        <w:tc>
          <w:tcPr>
            <w:tcW w:w="1221" w:type="dxa"/>
            <w:vAlign w:val="bottom"/>
          </w:tcPr>
          <w:p w:rsidRPr="009C48DA" w:rsidR="00661519" w:rsidP="00661519" w:rsidRDefault="00661519" w14:paraId="0D5191C7" w14:textId="77777777">
            <w:pPr>
              <w:ind w:right="142"/>
              <w:jc w:val="center"/>
              <w:textAlignment w:val="baseline"/>
              <w:rPr>
                <w:rFonts w:eastAsia="Times New Roman" w:cs="Times New Roman"/>
                <w:b/>
                <w:color w:val="000000"/>
                <w:sz w:val="16"/>
                <w:szCs w:val="16"/>
                <w:lang w:val="en-GB"/>
              </w:rPr>
            </w:pPr>
          </w:p>
        </w:tc>
        <w:tc>
          <w:tcPr>
            <w:tcW w:w="1220" w:type="dxa"/>
            <w:vAlign w:val="bottom"/>
          </w:tcPr>
          <w:p w:rsidRPr="009C48DA" w:rsidR="00661519" w:rsidP="00661519" w:rsidRDefault="00661519" w14:paraId="0D5233F9" w14:textId="77777777">
            <w:pPr>
              <w:ind w:right="59"/>
              <w:jc w:val="right"/>
              <w:textAlignment w:val="baseline"/>
              <w:rPr>
                <w:rFonts w:eastAsia="Times New Roman" w:cs="Times New Roman"/>
                <w:b/>
                <w:color w:val="000000"/>
                <w:sz w:val="16"/>
                <w:szCs w:val="16"/>
                <w:lang w:val="en-GB"/>
              </w:rPr>
            </w:pPr>
          </w:p>
        </w:tc>
        <w:tc>
          <w:tcPr>
            <w:tcW w:w="1350" w:type="dxa"/>
            <w:vAlign w:val="bottom"/>
          </w:tcPr>
          <w:p w:rsidRPr="009C48DA" w:rsidR="00661519" w:rsidP="00661519" w:rsidRDefault="00661519" w14:paraId="25A08CD4" w14:textId="77777777">
            <w:pPr>
              <w:ind w:right="139"/>
              <w:textAlignment w:val="baseline"/>
              <w:rPr>
                <w:rFonts w:eastAsia="Times New Roman" w:cs="Times New Roman"/>
                <w:color w:val="000000"/>
                <w:sz w:val="16"/>
                <w:szCs w:val="16"/>
                <w:lang w:val="en-GB"/>
              </w:rPr>
            </w:pPr>
          </w:p>
        </w:tc>
        <w:tc>
          <w:tcPr>
            <w:tcW w:w="1092" w:type="dxa"/>
          </w:tcPr>
          <w:p w:rsidRPr="009C48DA" w:rsidR="00661519" w:rsidP="00661519" w:rsidRDefault="00661519" w14:paraId="1B47593C" w14:textId="77777777">
            <w:pPr>
              <w:ind w:right="89"/>
              <w:textAlignment w:val="baseline"/>
              <w:rPr>
                <w:rFonts w:eastAsia="Times New Roman" w:cs="Times New Roman"/>
                <w:color w:val="000000"/>
                <w:sz w:val="16"/>
                <w:szCs w:val="16"/>
                <w:lang w:val="en-GB"/>
              </w:rPr>
            </w:pPr>
          </w:p>
        </w:tc>
        <w:tc>
          <w:tcPr>
            <w:tcW w:w="1092" w:type="dxa"/>
            <w:vAlign w:val="bottom"/>
          </w:tcPr>
          <w:p w:rsidRPr="009C48DA" w:rsidR="00661519" w:rsidP="00661519" w:rsidRDefault="00661519" w14:paraId="1B370740" w14:textId="77777777">
            <w:pPr>
              <w:ind w:right="89"/>
              <w:textAlignment w:val="baseline"/>
              <w:rPr>
                <w:rFonts w:eastAsia="Times New Roman" w:cs="Times New Roman"/>
                <w:color w:val="000000"/>
                <w:sz w:val="16"/>
                <w:szCs w:val="16"/>
                <w:lang w:val="en-GB"/>
              </w:rPr>
            </w:pPr>
          </w:p>
        </w:tc>
        <w:tc>
          <w:tcPr>
            <w:tcW w:w="1220" w:type="dxa"/>
            <w:vAlign w:val="bottom"/>
          </w:tcPr>
          <w:p w:rsidRPr="009C48DA" w:rsidR="00661519" w:rsidP="00661519" w:rsidRDefault="00661519" w14:paraId="291DDB6C" w14:textId="77777777">
            <w:pPr>
              <w:ind w:right="180"/>
              <w:textAlignment w:val="baseline"/>
              <w:rPr>
                <w:rFonts w:eastAsia="Times New Roman" w:cs="Times New Roman"/>
                <w:color w:val="000000"/>
                <w:sz w:val="16"/>
                <w:szCs w:val="16"/>
                <w:lang w:val="en-GB"/>
              </w:rPr>
            </w:pPr>
          </w:p>
        </w:tc>
        <w:tc>
          <w:tcPr>
            <w:tcW w:w="1221" w:type="dxa"/>
            <w:vAlign w:val="bottom"/>
          </w:tcPr>
          <w:p w:rsidRPr="009C48DA" w:rsidR="00661519" w:rsidP="00661519" w:rsidRDefault="00661519" w14:paraId="79778869" w14:textId="77777777">
            <w:pPr>
              <w:ind w:right="118"/>
              <w:jc w:val="right"/>
              <w:textAlignment w:val="baseline"/>
              <w:rPr>
                <w:rFonts w:eastAsia="Times New Roman" w:cs="Times New Roman"/>
                <w:b/>
                <w:color w:val="000000"/>
                <w:sz w:val="16"/>
                <w:szCs w:val="16"/>
                <w:lang w:val="en-GB"/>
              </w:rPr>
            </w:pPr>
          </w:p>
        </w:tc>
        <w:tc>
          <w:tcPr>
            <w:tcW w:w="1221" w:type="dxa"/>
            <w:vAlign w:val="bottom"/>
          </w:tcPr>
          <w:p w:rsidRPr="009C48DA" w:rsidR="00661519" w:rsidP="00661519" w:rsidRDefault="00661519" w14:paraId="79B91D9A" w14:textId="77777777">
            <w:pPr>
              <w:ind w:right="68"/>
              <w:textAlignment w:val="baseline"/>
              <w:rPr>
                <w:rFonts w:eastAsia="Times New Roman" w:cs="Times New Roman"/>
                <w:color w:val="000000"/>
                <w:sz w:val="16"/>
                <w:szCs w:val="16"/>
                <w:lang w:val="en-GB"/>
              </w:rPr>
            </w:pPr>
          </w:p>
        </w:tc>
      </w:tr>
      <w:tr w:rsidRPr="009C48DA" w:rsidR="00661519" w:rsidTr="00661519" w14:paraId="481EC8EB" w14:textId="77777777">
        <w:tc>
          <w:tcPr>
            <w:tcW w:w="2982" w:type="dxa"/>
            <w:vAlign w:val="bottom"/>
          </w:tcPr>
          <w:p w:rsidRPr="009C48DA" w:rsidR="00661519" w:rsidP="00661519" w:rsidRDefault="00661519" w14:paraId="2EB0718A" w14:textId="77777777">
            <w:pPr>
              <w:textAlignment w:val="baseline"/>
              <w:rPr>
                <w:rFonts w:eastAsia="Times New Roman" w:cs="Times New Roman"/>
                <w:color w:val="000000"/>
                <w:sz w:val="16"/>
                <w:szCs w:val="16"/>
                <w:lang w:val="en-GB"/>
              </w:rPr>
            </w:pPr>
          </w:p>
          <w:p w:rsidRPr="009C48DA" w:rsidR="00661519" w:rsidP="00661519" w:rsidRDefault="00661519" w14:paraId="420090DA" w14:textId="77777777">
            <w:pPr>
              <w:textAlignment w:val="baseline"/>
              <w:rPr>
                <w:rFonts w:eastAsia="Times New Roman" w:cs="Times New Roman"/>
                <w:color w:val="000000"/>
                <w:sz w:val="16"/>
                <w:szCs w:val="16"/>
                <w:lang w:val="en-GB"/>
              </w:rPr>
            </w:pPr>
          </w:p>
          <w:p w:rsidRPr="009C48DA" w:rsidR="00661519" w:rsidP="00661519" w:rsidRDefault="00661519" w14:paraId="2AC1CD3E" w14:textId="77777777">
            <w:pPr>
              <w:textAlignment w:val="baseline"/>
              <w:rPr>
                <w:rFonts w:eastAsia="Times New Roman" w:cs="Times New Roman"/>
                <w:color w:val="000000"/>
                <w:sz w:val="16"/>
                <w:szCs w:val="16"/>
                <w:lang w:val="en-GB"/>
              </w:rPr>
            </w:pPr>
          </w:p>
          <w:p w:rsidRPr="009C48DA" w:rsidR="00661519" w:rsidP="00661519" w:rsidRDefault="00661519" w14:paraId="67EB9964" w14:textId="77777777">
            <w:pPr>
              <w:textAlignment w:val="baseline"/>
              <w:rPr>
                <w:rFonts w:eastAsia="Times New Roman" w:cs="Times New Roman"/>
                <w:color w:val="000000"/>
                <w:sz w:val="16"/>
                <w:szCs w:val="16"/>
                <w:lang w:val="en-GB"/>
              </w:rPr>
            </w:pPr>
          </w:p>
          <w:p w:rsidRPr="009C48DA" w:rsidR="00661519" w:rsidP="00661519" w:rsidRDefault="00661519" w14:paraId="5468714F" w14:textId="77777777">
            <w:pPr>
              <w:textAlignment w:val="baseline"/>
              <w:rPr>
                <w:rFonts w:eastAsia="Times New Roman" w:cs="Times New Roman"/>
                <w:color w:val="000000"/>
                <w:sz w:val="16"/>
                <w:szCs w:val="16"/>
                <w:lang w:val="en-GB"/>
              </w:rPr>
            </w:pPr>
          </w:p>
          <w:p w:rsidRPr="009C48DA" w:rsidR="00661519" w:rsidP="00661519" w:rsidRDefault="00661519" w14:paraId="45CFD7B0"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51925BAB"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76D39C10"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20" w:type="dxa"/>
            <w:vAlign w:val="bottom"/>
          </w:tcPr>
          <w:p w:rsidRPr="009C48DA" w:rsidR="00661519" w:rsidP="00661519" w:rsidRDefault="00661519" w14:paraId="2F171610" w14:textId="77777777">
            <w:pPr>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23B62E38" w14:textId="77777777">
            <w:pPr>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1F17DBFC" w14:textId="77777777">
            <w:pPr>
              <w:ind w:right="13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Share capital</w:t>
            </w:r>
          </w:p>
          <w:p w:rsidRPr="009C48DA" w:rsidR="00661519" w:rsidP="00661519" w:rsidRDefault="00661519" w14:paraId="715F0A84" w14:textId="77777777">
            <w:pPr>
              <w:ind w:right="134"/>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1" w:type="dxa"/>
            <w:vAlign w:val="bottom"/>
          </w:tcPr>
          <w:p w:rsidRPr="009C48DA" w:rsidR="00661519" w:rsidP="00661519" w:rsidRDefault="00661519" w14:paraId="66235E17" w14:textId="77777777">
            <w:pPr>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75DD872C" w14:textId="77777777">
            <w:pPr>
              <w:ind w:right="15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Share</w:t>
            </w:r>
          </w:p>
          <w:p w:rsidRPr="009C48DA" w:rsidR="00661519" w:rsidP="00661519" w:rsidRDefault="00661519" w14:paraId="4E9795A0" w14:textId="77777777">
            <w:pPr>
              <w:ind w:right="15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premium</w:t>
            </w:r>
          </w:p>
          <w:p w:rsidRPr="009C48DA" w:rsidR="00661519" w:rsidP="00661519" w:rsidRDefault="00661519" w14:paraId="2853F1AB" w14:textId="77777777">
            <w:pPr>
              <w:ind w:right="226"/>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1" w:type="dxa"/>
            <w:vAlign w:val="bottom"/>
          </w:tcPr>
          <w:p w:rsidRPr="009C48DA" w:rsidR="00661519" w:rsidP="00661519" w:rsidRDefault="00661519" w14:paraId="376AFF18" w14:textId="77777777">
            <w:pPr>
              <w:ind w:right="142"/>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Total share </w:t>
            </w:r>
            <w:r w:rsidRPr="009C48DA">
              <w:rPr>
                <w:rFonts w:eastAsia="Times New Roman" w:cs="Times New Roman"/>
                <w:b/>
                <w:color w:val="000000"/>
                <w:sz w:val="16"/>
                <w:szCs w:val="16"/>
                <w:lang w:val="en-GB"/>
              </w:rPr>
              <w:br/>
              <w:t>capital and</w:t>
            </w:r>
          </w:p>
          <w:p w:rsidRPr="009C48DA" w:rsidR="00661519" w:rsidP="00661519" w:rsidRDefault="00661519" w14:paraId="1EC90A9F" w14:textId="77777777">
            <w:pPr>
              <w:ind w:right="142"/>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share</w:t>
            </w:r>
          </w:p>
          <w:p w:rsidRPr="009C48DA" w:rsidR="00661519" w:rsidP="00661519" w:rsidRDefault="00661519" w14:paraId="21A93381" w14:textId="77777777">
            <w:pPr>
              <w:ind w:right="142"/>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premium</w:t>
            </w:r>
          </w:p>
          <w:p w:rsidRPr="009C48DA" w:rsidR="00661519" w:rsidP="00661519" w:rsidRDefault="00661519" w14:paraId="7329A91D" w14:textId="77777777">
            <w:pPr>
              <w:ind w:right="142"/>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2049A1CB" w14:textId="77777777">
            <w:pPr>
              <w:ind w:right="5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Capital</w:t>
            </w:r>
          </w:p>
          <w:p w:rsidRPr="009C48DA" w:rsidR="00661519" w:rsidP="00661519" w:rsidRDefault="00661519" w14:paraId="43D09DB8" w14:textId="77777777">
            <w:pPr>
              <w:ind w:right="5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redemption</w:t>
            </w:r>
          </w:p>
          <w:p w:rsidRPr="009C48DA" w:rsidR="00661519" w:rsidP="00661519" w:rsidRDefault="00661519" w14:paraId="353F85CB" w14:textId="77777777">
            <w:pPr>
              <w:ind w:right="5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reserve</w:t>
            </w:r>
          </w:p>
          <w:p w:rsidRPr="009C48DA" w:rsidR="00661519" w:rsidP="00661519" w:rsidRDefault="00661519" w14:paraId="60FC9070" w14:textId="77777777">
            <w:pPr>
              <w:ind w:right="5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350" w:type="dxa"/>
            <w:vAlign w:val="bottom"/>
          </w:tcPr>
          <w:p w:rsidRPr="009C48DA" w:rsidR="00661519" w:rsidP="00661519" w:rsidRDefault="00661519" w14:paraId="543E14C5"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6CAF9B9C"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Cash flow hedge</w:t>
            </w:r>
          </w:p>
          <w:p w:rsidRPr="009C48DA" w:rsidR="00661519" w:rsidP="00661519" w:rsidRDefault="00661519" w14:paraId="27F1ABE8"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reserve</w:t>
            </w:r>
          </w:p>
          <w:p w:rsidRPr="009C48DA" w:rsidR="00661519" w:rsidP="00661519" w:rsidRDefault="00661519" w14:paraId="7D5C9D0C"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092" w:type="dxa"/>
          </w:tcPr>
          <w:p w:rsidRPr="009C48DA" w:rsidR="00661519" w:rsidP="00661519" w:rsidRDefault="00661519" w14:paraId="6501D748" w14:textId="77777777">
            <w:pPr>
              <w:ind w:right="78"/>
              <w:jc w:val="right"/>
              <w:textAlignment w:val="baseline"/>
              <w:rPr>
                <w:rFonts w:eastAsia="Times New Roman" w:cs="Times New Roman"/>
                <w:b/>
                <w:color w:val="000000"/>
                <w:sz w:val="16"/>
                <w:szCs w:val="16"/>
                <w:lang w:val="en-GB"/>
              </w:rPr>
            </w:pPr>
          </w:p>
          <w:p w:rsidRPr="009C48DA" w:rsidR="00661519" w:rsidP="00661519" w:rsidRDefault="00661519" w14:paraId="12ACE42A" w14:textId="77777777">
            <w:pPr>
              <w:ind w:right="78"/>
              <w:jc w:val="right"/>
              <w:textAlignment w:val="baseline"/>
              <w:rPr>
                <w:rFonts w:eastAsia="Times New Roman" w:cs="Times New Roman"/>
                <w:b/>
                <w:color w:val="000000"/>
                <w:sz w:val="16"/>
                <w:szCs w:val="16"/>
                <w:lang w:val="en-GB"/>
              </w:rPr>
            </w:pPr>
          </w:p>
          <w:p w:rsidRPr="009C48DA" w:rsidR="00661519" w:rsidP="00661519" w:rsidRDefault="00661519" w14:paraId="0DB9CE2B" w14:textId="77777777">
            <w:pPr>
              <w:ind w:right="78"/>
              <w:jc w:val="right"/>
              <w:textAlignment w:val="baseline"/>
              <w:rPr>
                <w:rFonts w:eastAsia="Times New Roman" w:cs="Times New Roman"/>
                <w:b/>
                <w:color w:val="000000"/>
                <w:sz w:val="16"/>
                <w:szCs w:val="16"/>
                <w:lang w:val="en-GB"/>
              </w:rPr>
            </w:pPr>
          </w:p>
          <w:p w:rsidRPr="009C48DA" w:rsidR="00661519" w:rsidP="00661519" w:rsidRDefault="00661519" w14:paraId="2C26EFDC" w14:textId="77777777">
            <w:pPr>
              <w:ind w:right="78"/>
              <w:jc w:val="right"/>
              <w:textAlignment w:val="baseline"/>
              <w:rPr>
                <w:rFonts w:eastAsia="Times New Roman" w:cs="Times New Roman"/>
                <w:b/>
                <w:color w:val="000000"/>
                <w:sz w:val="16"/>
                <w:szCs w:val="16"/>
                <w:lang w:val="en-GB"/>
              </w:rPr>
            </w:pPr>
          </w:p>
          <w:p w:rsidRPr="009C48DA" w:rsidR="00661519" w:rsidP="00661519" w:rsidRDefault="00661519" w14:paraId="6CCC9326" w14:textId="77777777">
            <w:pPr>
              <w:ind w:right="7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Net</w:t>
            </w:r>
          </w:p>
          <w:p w:rsidRPr="009C48DA" w:rsidR="00661519" w:rsidP="00661519" w:rsidRDefault="00661519" w14:paraId="7F361CE6" w14:textId="77777777">
            <w:pPr>
              <w:ind w:right="7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exchange differences reserve</w:t>
            </w:r>
          </w:p>
          <w:p w:rsidRPr="009C48DA" w:rsidR="00661519" w:rsidP="00661519" w:rsidRDefault="00661519" w14:paraId="59FFACBF" w14:textId="77777777">
            <w:pPr>
              <w:ind w:right="89"/>
              <w:jc w:val="cente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092" w:type="dxa"/>
            <w:vAlign w:val="bottom"/>
          </w:tcPr>
          <w:p w:rsidRPr="009C48DA" w:rsidR="00661519" w:rsidP="00661519" w:rsidRDefault="00661519" w14:paraId="40930BB4" w14:textId="77777777">
            <w:pPr>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6434DCF1" w14:textId="77777777">
            <w:pPr>
              <w:ind w:right="8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Retained</w:t>
            </w:r>
          </w:p>
          <w:p w:rsidRPr="009C48DA" w:rsidR="00661519" w:rsidP="00661519" w:rsidRDefault="00661519" w14:paraId="5B0D009C" w14:textId="77777777">
            <w:pPr>
              <w:ind w:right="8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earnings</w:t>
            </w:r>
          </w:p>
          <w:p w:rsidRPr="009C48DA" w:rsidR="00661519" w:rsidP="00661519" w:rsidRDefault="00661519" w14:paraId="1CDD5291" w14:textId="77777777">
            <w:pPr>
              <w:ind w:right="89"/>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0" w:type="dxa"/>
            <w:vAlign w:val="bottom"/>
          </w:tcPr>
          <w:p w:rsidRPr="009C48DA" w:rsidR="00661519" w:rsidP="00661519" w:rsidRDefault="00661519" w14:paraId="71B53BBF" w14:textId="77777777">
            <w:pPr>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50C1FBA2" w14:textId="77777777">
            <w:pPr>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3CDF4966" w14:textId="77777777">
            <w:pPr>
              <w:ind w:right="180"/>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w:t>
            </w:r>
          </w:p>
          <w:p w:rsidRPr="009C48DA" w:rsidR="00661519" w:rsidP="00661519" w:rsidRDefault="00661519" w14:paraId="5D0F95D6" w14:textId="77777777">
            <w:pPr>
              <w:ind w:right="180"/>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21" w:type="dxa"/>
            <w:vAlign w:val="bottom"/>
          </w:tcPr>
          <w:p w:rsidRPr="009C48DA" w:rsidR="00661519" w:rsidP="00661519" w:rsidRDefault="00661519" w14:paraId="39F40D08" w14:textId="77777777">
            <w:pPr>
              <w:ind w:right="11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Non-</w:t>
            </w:r>
            <w:r w:rsidRPr="009C48DA">
              <w:rPr>
                <w:rFonts w:eastAsia="Times New Roman" w:cs="Times New Roman"/>
                <w:color w:val="000000"/>
                <w:sz w:val="16"/>
                <w:szCs w:val="16"/>
                <w:lang w:val="en-GB"/>
              </w:rPr>
              <w:t xml:space="preserve"> </w:t>
            </w:r>
          </w:p>
          <w:p w:rsidRPr="009C48DA" w:rsidR="00661519" w:rsidP="00661519" w:rsidRDefault="00661519" w14:paraId="62A4C106" w14:textId="77777777">
            <w:pPr>
              <w:ind w:right="11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controlling</w:t>
            </w:r>
          </w:p>
          <w:p w:rsidRPr="009C48DA" w:rsidR="00661519" w:rsidP="00661519" w:rsidRDefault="00661519" w14:paraId="658DEA34" w14:textId="77777777">
            <w:pPr>
              <w:ind w:right="11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interests</w:t>
            </w:r>
          </w:p>
          <w:p w:rsidRPr="009C48DA" w:rsidR="00661519" w:rsidP="00661519" w:rsidRDefault="00661519" w14:paraId="105EC3BB" w14:textId="77777777">
            <w:pPr>
              <w:ind w:right="11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21" w:type="dxa"/>
            <w:vAlign w:val="bottom"/>
          </w:tcPr>
          <w:p w:rsidRPr="009C48DA" w:rsidR="00661519" w:rsidP="00661519" w:rsidRDefault="00661519" w14:paraId="1E87938F" w14:textId="77777777">
            <w:pPr>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52349862" w14:textId="77777777">
            <w:pPr>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p w:rsidRPr="009C48DA" w:rsidR="00661519" w:rsidP="00661519" w:rsidRDefault="00661519" w14:paraId="46C6D3B9" w14:textId="77777777">
            <w:pPr>
              <w:ind w:right="6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equity</w:t>
            </w:r>
          </w:p>
          <w:p w:rsidRPr="009C48DA" w:rsidR="00661519" w:rsidP="00661519" w:rsidRDefault="00661519" w14:paraId="54B53E2B" w14:textId="77777777">
            <w:pPr>
              <w:ind w:right="68"/>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3C1BD071" w14:textId="77777777">
        <w:tc>
          <w:tcPr>
            <w:tcW w:w="2982" w:type="dxa"/>
            <w:vAlign w:val="bottom"/>
          </w:tcPr>
          <w:p w:rsidRPr="009C48DA" w:rsidR="00661519" w:rsidP="00661519" w:rsidRDefault="00661519" w14:paraId="600EBC48"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At 1 January 2021</w:t>
            </w:r>
          </w:p>
        </w:tc>
        <w:tc>
          <w:tcPr>
            <w:tcW w:w="1220" w:type="dxa"/>
            <w:vAlign w:val="bottom"/>
          </w:tcPr>
          <w:p w:rsidRPr="009C48DA" w:rsidR="00661519" w:rsidP="00661519" w:rsidRDefault="00661519" w14:paraId="3059F8FD" w14:textId="77777777">
            <w:pPr>
              <w:spacing w:before="60"/>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240,872</w:t>
            </w:r>
          </w:p>
        </w:tc>
        <w:tc>
          <w:tcPr>
            <w:tcW w:w="1221" w:type="dxa"/>
            <w:vAlign w:val="bottom"/>
          </w:tcPr>
          <w:p w:rsidRPr="009C48DA" w:rsidR="00661519" w:rsidP="00661519" w:rsidRDefault="00661519" w14:paraId="06B1CBCB" w14:textId="77777777">
            <w:pPr>
              <w:spacing w:before="60"/>
              <w:ind w:right="226"/>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547</w:t>
            </w:r>
          </w:p>
        </w:tc>
        <w:tc>
          <w:tcPr>
            <w:tcW w:w="1221" w:type="dxa"/>
            <w:vAlign w:val="bottom"/>
          </w:tcPr>
          <w:p w:rsidRPr="009C48DA" w:rsidR="00661519" w:rsidP="00661519" w:rsidRDefault="00661519" w14:paraId="6DE3E1F7" w14:textId="77777777">
            <w:pPr>
              <w:spacing w:before="60"/>
              <w:ind w:right="142"/>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241,419</w:t>
            </w:r>
          </w:p>
        </w:tc>
        <w:tc>
          <w:tcPr>
            <w:tcW w:w="1220" w:type="dxa"/>
            <w:vAlign w:val="bottom"/>
          </w:tcPr>
          <w:p w:rsidRPr="009C48DA" w:rsidR="00661519" w:rsidP="00661519" w:rsidRDefault="00661519" w14:paraId="5A60BBE9" w14:textId="77777777">
            <w:pPr>
              <w:spacing w:before="60"/>
              <w:ind w:right="5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c>
          <w:tcPr>
            <w:tcW w:w="1350" w:type="dxa"/>
            <w:vAlign w:val="bottom"/>
          </w:tcPr>
          <w:p w:rsidRPr="009C48DA" w:rsidR="00661519" w:rsidP="00661519" w:rsidRDefault="00661519" w14:paraId="4C15CB29"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(2,249)</w:t>
            </w:r>
          </w:p>
        </w:tc>
        <w:tc>
          <w:tcPr>
            <w:tcW w:w="1092" w:type="dxa"/>
          </w:tcPr>
          <w:p w:rsidRPr="009C48DA" w:rsidR="00661519" w:rsidP="00661519" w:rsidRDefault="00661519" w14:paraId="7B1FC4D9"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5,344</w:t>
            </w:r>
          </w:p>
        </w:tc>
        <w:tc>
          <w:tcPr>
            <w:tcW w:w="1092" w:type="dxa"/>
            <w:vAlign w:val="bottom"/>
          </w:tcPr>
          <w:p w:rsidRPr="009C48DA" w:rsidR="00661519" w:rsidP="00661519" w:rsidRDefault="00661519" w14:paraId="0CCFBAB0"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39,709</w:t>
            </w:r>
          </w:p>
        </w:tc>
        <w:tc>
          <w:tcPr>
            <w:tcW w:w="1220" w:type="dxa"/>
            <w:vAlign w:val="bottom"/>
          </w:tcPr>
          <w:p w:rsidRPr="009C48DA" w:rsidR="00661519" w:rsidP="00661519" w:rsidRDefault="00661519" w14:paraId="18399D2D" w14:textId="77777777">
            <w:pPr>
              <w:spacing w:before="60"/>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308,842</w:t>
            </w:r>
          </w:p>
        </w:tc>
        <w:tc>
          <w:tcPr>
            <w:tcW w:w="1221" w:type="dxa"/>
            <w:vAlign w:val="bottom"/>
          </w:tcPr>
          <w:p w:rsidRPr="009C48DA" w:rsidR="00661519" w:rsidP="00661519" w:rsidRDefault="00661519" w14:paraId="754F7367" w14:textId="77777777">
            <w:pPr>
              <w:spacing w:before="60"/>
              <w:ind w:right="11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81,714</w:t>
            </w:r>
          </w:p>
        </w:tc>
        <w:tc>
          <w:tcPr>
            <w:tcW w:w="1221" w:type="dxa"/>
            <w:vAlign w:val="bottom"/>
          </w:tcPr>
          <w:p w:rsidRPr="009C48DA" w:rsidR="00661519" w:rsidP="00661519" w:rsidRDefault="00661519" w14:paraId="040B2F22" w14:textId="77777777">
            <w:pPr>
              <w:spacing w:before="60"/>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390,556</w:t>
            </w:r>
          </w:p>
        </w:tc>
      </w:tr>
      <w:tr w:rsidRPr="009C48DA" w:rsidR="00661519" w:rsidTr="00661519" w14:paraId="02061003" w14:textId="77777777">
        <w:tc>
          <w:tcPr>
            <w:tcW w:w="2982" w:type="dxa"/>
            <w:vAlign w:val="bottom"/>
          </w:tcPr>
          <w:p w:rsidRPr="009C48DA" w:rsidR="00661519" w:rsidP="00661519" w:rsidRDefault="00661519" w14:paraId="12185585"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Profit for the period</w:t>
            </w:r>
          </w:p>
        </w:tc>
        <w:tc>
          <w:tcPr>
            <w:tcW w:w="1220" w:type="dxa"/>
            <w:vAlign w:val="bottom"/>
          </w:tcPr>
          <w:p w:rsidRPr="009C48DA" w:rsidR="00661519" w:rsidP="00661519" w:rsidRDefault="00661519" w14:paraId="4A959A52" w14:textId="77777777">
            <w:pPr>
              <w:spacing w:before="60"/>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684E0ECF" w14:textId="77777777">
            <w:pPr>
              <w:spacing w:before="60"/>
              <w:ind w:right="226"/>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159AFEEF" w14:textId="77777777">
            <w:pPr>
              <w:spacing w:before="60"/>
              <w:ind w:right="142"/>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7632C13B" w14:textId="77777777">
            <w:pPr>
              <w:spacing w:before="60"/>
              <w:ind w:right="5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50" w:type="dxa"/>
            <w:vAlign w:val="bottom"/>
          </w:tcPr>
          <w:p w:rsidRPr="009C48DA" w:rsidR="00661519" w:rsidP="00661519" w:rsidRDefault="00661519" w14:paraId="142BED4C"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92" w:type="dxa"/>
          </w:tcPr>
          <w:p w:rsidRPr="009C48DA" w:rsidR="00661519" w:rsidP="00661519" w:rsidRDefault="00661519" w14:paraId="743B2FA2"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92" w:type="dxa"/>
            <w:vAlign w:val="bottom"/>
          </w:tcPr>
          <w:p w:rsidRPr="009C48DA" w:rsidR="00661519" w:rsidP="00661519" w:rsidRDefault="00661519" w14:paraId="1D9F4E71"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14,448</w:t>
            </w:r>
          </w:p>
        </w:tc>
        <w:tc>
          <w:tcPr>
            <w:tcW w:w="1220" w:type="dxa"/>
            <w:vAlign w:val="bottom"/>
          </w:tcPr>
          <w:p w:rsidRPr="009C48DA" w:rsidR="00661519" w:rsidP="00661519" w:rsidRDefault="00661519" w14:paraId="039110CF" w14:textId="77777777">
            <w:pPr>
              <w:spacing w:before="60"/>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14,448</w:t>
            </w:r>
          </w:p>
        </w:tc>
        <w:tc>
          <w:tcPr>
            <w:tcW w:w="1221" w:type="dxa"/>
            <w:vAlign w:val="bottom"/>
          </w:tcPr>
          <w:p w:rsidRPr="009C48DA" w:rsidR="00661519" w:rsidP="00661519" w:rsidRDefault="00661519" w14:paraId="6F3E7AD0" w14:textId="77777777">
            <w:pPr>
              <w:spacing w:before="60"/>
              <w:ind w:right="11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4,224</w:t>
            </w:r>
          </w:p>
        </w:tc>
        <w:tc>
          <w:tcPr>
            <w:tcW w:w="1221" w:type="dxa"/>
            <w:vAlign w:val="bottom"/>
          </w:tcPr>
          <w:p w:rsidRPr="009C48DA" w:rsidR="00661519" w:rsidP="00661519" w:rsidRDefault="00661519" w14:paraId="4AFA5E72" w14:textId="77777777">
            <w:pPr>
              <w:spacing w:before="60"/>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18,672</w:t>
            </w:r>
          </w:p>
        </w:tc>
      </w:tr>
      <w:tr w:rsidRPr="009C48DA" w:rsidR="00661519" w:rsidTr="00661519" w14:paraId="74B1375D" w14:textId="77777777">
        <w:tc>
          <w:tcPr>
            <w:tcW w:w="2982" w:type="dxa"/>
            <w:vAlign w:val="bottom"/>
          </w:tcPr>
          <w:p w:rsidRPr="009C48DA" w:rsidR="00661519" w:rsidP="00661519" w:rsidRDefault="00661519" w14:paraId="3DA0F957"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Foreign exchange hedges</w:t>
            </w:r>
          </w:p>
        </w:tc>
        <w:tc>
          <w:tcPr>
            <w:tcW w:w="1220" w:type="dxa"/>
            <w:vAlign w:val="bottom"/>
          </w:tcPr>
          <w:p w:rsidRPr="009C48DA" w:rsidR="00661519" w:rsidP="00661519" w:rsidRDefault="00661519" w14:paraId="638A4590" w14:textId="77777777">
            <w:pPr>
              <w:spacing w:before="60"/>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4A9B96AE" w14:textId="77777777">
            <w:pPr>
              <w:spacing w:before="60"/>
              <w:ind w:right="226"/>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4DF0643B" w14:textId="77777777">
            <w:pPr>
              <w:spacing w:before="60"/>
              <w:ind w:right="142"/>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1A420F2A" w14:textId="77777777">
            <w:pPr>
              <w:spacing w:before="60"/>
              <w:ind w:right="5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50" w:type="dxa"/>
            <w:vAlign w:val="bottom"/>
          </w:tcPr>
          <w:p w:rsidRPr="009C48DA" w:rsidR="00661519" w:rsidP="00661519" w:rsidRDefault="00661519" w14:paraId="734C8F07" w14:textId="77777777">
            <w:pP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7,834</w:t>
            </w:r>
          </w:p>
        </w:tc>
        <w:tc>
          <w:tcPr>
            <w:tcW w:w="1092" w:type="dxa"/>
          </w:tcPr>
          <w:p w:rsidRPr="009C48DA" w:rsidR="00661519" w:rsidP="00661519" w:rsidRDefault="00661519" w14:paraId="5B17F867"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92" w:type="dxa"/>
            <w:vAlign w:val="bottom"/>
          </w:tcPr>
          <w:p w:rsidRPr="009C48DA" w:rsidR="00661519" w:rsidP="00661519" w:rsidRDefault="00661519" w14:paraId="41A160CF" w14:textId="77777777">
            <w:pP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(1,631)</w:t>
            </w:r>
          </w:p>
        </w:tc>
        <w:tc>
          <w:tcPr>
            <w:tcW w:w="1220" w:type="dxa"/>
            <w:vAlign w:val="bottom"/>
          </w:tcPr>
          <w:p w:rsidRPr="009C48DA" w:rsidR="00661519" w:rsidP="00661519" w:rsidRDefault="00661519" w14:paraId="670BB36C" w14:textId="77777777">
            <w:pPr>
              <w:spacing w:before="60"/>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6,203</w:t>
            </w:r>
          </w:p>
        </w:tc>
        <w:tc>
          <w:tcPr>
            <w:tcW w:w="1221" w:type="dxa"/>
            <w:vAlign w:val="bottom"/>
          </w:tcPr>
          <w:p w:rsidRPr="009C48DA" w:rsidR="00661519" w:rsidP="00661519" w:rsidRDefault="00661519" w14:paraId="46EF285A" w14:textId="77777777">
            <w:pPr>
              <w:spacing w:before="60"/>
              <w:ind w:right="11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1,771</w:t>
            </w:r>
          </w:p>
        </w:tc>
        <w:tc>
          <w:tcPr>
            <w:tcW w:w="1221" w:type="dxa"/>
            <w:vAlign w:val="bottom"/>
          </w:tcPr>
          <w:p w:rsidRPr="009C48DA" w:rsidR="00661519" w:rsidP="00661519" w:rsidRDefault="00661519" w14:paraId="5FEBD0AC" w14:textId="77777777">
            <w:pPr>
              <w:spacing w:before="60"/>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7,974</w:t>
            </w:r>
          </w:p>
        </w:tc>
      </w:tr>
      <w:tr w:rsidRPr="009C48DA" w:rsidR="00661519" w:rsidTr="00661519" w14:paraId="167CABA7" w14:textId="77777777">
        <w:tc>
          <w:tcPr>
            <w:tcW w:w="2982" w:type="dxa"/>
            <w:vAlign w:val="bottom"/>
          </w:tcPr>
          <w:p w:rsidRPr="009C48DA" w:rsidR="00661519" w:rsidP="00661519" w:rsidRDefault="00661519" w14:paraId="4DA5E5AB"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Revaluation of foreign subsidiaries</w:t>
            </w:r>
          </w:p>
        </w:tc>
        <w:tc>
          <w:tcPr>
            <w:tcW w:w="1220" w:type="dxa"/>
            <w:vAlign w:val="bottom"/>
          </w:tcPr>
          <w:p w:rsidRPr="009C48DA" w:rsidR="00661519" w:rsidP="00661519" w:rsidRDefault="00661519" w14:paraId="7068A6C3" w14:textId="77777777">
            <w:pPr>
              <w:pBdr>
                <w:bottom w:val="single" w:color="auto" w:sz="12" w:space="1"/>
              </w:pBdr>
              <w:spacing w:before="60"/>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79D27847" w14:textId="77777777">
            <w:pPr>
              <w:pBdr>
                <w:bottom w:val="single" w:color="auto" w:sz="12" w:space="1"/>
              </w:pBdr>
              <w:spacing w:before="60"/>
              <w:ind w:right="226"/>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1A5D3C4C" w14:textId="77777777">
            <w:pPr>
              <w:pBdr>
                <w:bottom w:val="single" w:color="auto" w:sz="12" w:space="1"/>
              </w:pBdr>
              <w:spacing w:before="60"/>
              <w:ind w:right="142"/>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05DEF6DF" w14:textId="77777777">
            <w:pPr>
              <w:pBdr>
                <w:bottom w:val="single" w:color="auto" w:sz="12" w:space="1"/>
              </w:pBdr>
              <w:spacing w:before="60"/>
              <w:ind w:right="5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50" w:type="dxa"/>
            <w:vAlign w:val="bottom"/>
          </w:tcPr>
          <w:p w:rsidRPr="009C48DA" w:rsidR="00661519" w:rsidP="00661519" w:rsidRDefault="00661519" w14:paraId="55B17285" w14:textId="77777777">
            <w:pPr>
              <w:pBdr>
                <w:bottom w:val="single" w:color="auto" w:sz="12" w:space="1"/>
              </w:pBd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92" w:type="dxa"/>
          </w:tcPr>
          <w:p w:rsidRPr="009C48DA" w:rsidR="00661519" w:rsidP="00661519" w:rsidRDefault="00661519" w14:paraId="13834A49" w14:textId="77777777">
            <w:pPr>
              <w:pBdr>
                <w:bottom w:val="single" w:color="auto" w:sz="12" w:space="1"/>
              </w:pBd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(2,192)</w:t>
            </w:r>
          </w:p>
        </w:tc>
        <w:tc>
          <w:tcPr>
            <w:tcW w:w="1092" w:type="dxa"/>
            <w:vAlign w:val="bottom"/>
          </w:tcPr>
          <w:p w:rsidRPr="009C48DA" w:rsidR="00661519" w:rsidP="00661519" w:rsidRDefault="00661519" w14:paraId="2EC59090" w14:textId="77777777">
            <w:pPr>
              <w:pBdr>
                <w:bottom w:val="single" w:color="auto" w:sz="12" w:space="1"/>
              </w:pBd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6C47A712" w14:textId="77777777">
            <w:pPr>
              <w:pBdr>
                <w:bottom w:val="single" w:color="auto" w:sz="12" w:space="1"/>
              </w:pBdr>
              <w:spacing w:before="60"/>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(2,192)</w:t>
            </w:r>
          </w:p>
        </w:tc>
        <w:tc>
          <w:tcPr>
            <w:tcW w:w="1221" w:type="dxa"/>
            <w:vAlign w:val="bottom"/>
          </w:tcPr>
          <w:p w:rsidRPr="009C48DA" w:rsidR="00661519" w:rsidP="00661519" w:rsidRDefault="00661519" w14:paraId="13E157AD" w14:textId="77777777">
            <w:pPr>
              <w:pBdr>
                <w:bottom w:val="single" w:color="auto" w:sz="12" w:space="1"/>
              </w:pBdr>
              <w:spacing w:before="60"/>
              <w:ind w:right="11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(625)</w:t>
            </w:r>
          </w:p>
        </w:tc>
        <w:tc>
          <w:tcPr>
            <w:tcW w:w="1221" w:type="dxa"/>
            <w:vAlign w:val="bottom"/>
          </w:tcPr>
          <w:p w:rsidRPr="009C48DA" w:rsidR="00661519" w:rsidP="00661519" w:rsidRDefault="00661519" w14:paraId="46ED3E52" w14:textId="77777777">
            <w:pPr>
              <w:pBdr>
                <w:bottom w:val="single" w:color="auto" w:sz="12" w:space="1"/>
              </w:pBdr>
              <w:spacing w:before="60"/>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(2,817)</w:t>
            </w:r>
          </w:p>
        </w:tc>
      </w:tr>
      <w:tr w:rsidRPr="009C48DA" w:rsidR="00661519" w:rsidTr="00661519" w14:paraId="1B7AD38D" w14:textId="77777777">
        <w:tc>
          <w:tcPr>
            <w:tcW w:w="2982" w:type="dxa"/>
            <w:vAlign w:val="bottom"/>
          </w:tcPr>
          <w:p w:rsidRPr="009C48DA" w:rsidR="00661519" w:rsidP="00661519" w:rsidRDefault="00661519" w14:paraId="47D1F3AB" w14:textId="77777777">
            <w:pPr>
              <w:spacing w:before="60"/>
              <w:textAlignment w:val="baseline"/>
              <w:rPr>
                <w:rFonts w:eastAsia="Times New Roman" w:cs="Times New Roman"/>
                <w:color w:val="000000"/>
                <w:sz w:val="16"/>
                <w:szCs w:val="16"/>
                <w:lang w:val="en-GB"/>
              </w:rPr>
            </w:pPr>
          </w:p>
          <w:p w:rsidRPr="009C48DA" w:rsidR="00661519" w:rsidP="00661519" w:rsidRDefault="00661519" w14:paraId="5C7DC455"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Total Comprehensive Income</w:t>
            </w:r>
          </w:p>
        </w:tc>
        <w:tc>
          <w:tcPr>
            <w:tcW w:w="1220" w:type="dxa"/>
            <w:vAlign w:val="bottom"/>
          </w:tcPr>
          <w:p w:rsidRPr="009C48DA" w:rsidR="00661519" w:rsidP="00661519" w:rsidRDefault="00661519" w14:paraId="5FE1C938" w14:textId="77777777">
            <w:pPr>
              <w:pBdr>
                <w:bottom w:val="single" w:color="auto" w:sz="12" w:space="1"/>
              </w:pBdr>
              <w:spacing w:before="60"/>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73F14919" w14:textId="77777777">
            <w:pPr>
              <w:pBdr>
                <w:bottom w:val="single" w:color="auto" w:sz="12" w:space="1"/>
              </w:pBdr>
              <w:spacing w:before="60"/>
              <w:ind w:right="226"/>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1" w:type="dxa"/>
            <w:vAlign w:val="bottom"/>
          </w:tcPr>
          <w:p w:rsidRPr="009C48DA" w:rsidR="00661519" w:rsidP="00661519" w:rsidRDefault="00661519" w14:paraId="0A8E4988" w14:textId="77777777">
            <w:pPr>
              <w:pBdr>
                <w:bottom w:val="single" w:color="auto" w:sz="12" w:space="1"/>
              </w:pBdr>
              <w:spacing w:before="60"/>
              <w:ind w:right="142"/>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20" w:type="dxa"/>
            <w:vAlign w:val="bottom"/>
          </w:tcPr>
          <w:p w:rsidRPr="009C48DA" w:rsidR="00661519" w:rsidP="00661519" w:rsidRDefault="00661519" w14:paraId="0FA7AD37" w14:textId="77777777">
            <w:pPr>
              <w:pBdr>
                <w:bottom w:val="single" w:color="auto" w:sz="12" w:space="1"/>
              </w:pBdr>
              <w:spacing w:before="60"/>
              <w:ind w:right="5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50" w:type="dxa"/>
            <w:vAlign w:val="bottom"/>
          </w:tcPr>
          <w:p w:rsidRPr="009C48DA" w:rsidR="00661519" w:rsidP="00661519" w:rsidRDefault="00661519" w14:paraId="2EACE369" w14:textId="77777777">
            <w:pPr>
              <w:pBdr>
                <w:bottom w:val="single" w:color="auto" w:sz="12" w:space="1"/>
              </w:pBd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7,834</w:t>
            </w:r>
          </w:p>
        </w:tc>
        <w:tc>
          <w:tcPr>
            <w:tcW w:w="1092" w:type="dxa"/>
          </w:tcPr>
          <w:p w:rsidRPr="009C48DA" w:rsidR="00661519" w:rsidP="00661519" w:rsidRDefault="00661519" w14:paraId="399CF11C" w14:textId="77777777">
            <w:pPr>
              <w:pBdr>
                <w:bottom w:val="single" w:color="auto" w:sz="12" w:space="1"/>
              </w:pBdr>
              <w:spacing w:before="60"/>
              <w:ind w:right="89"/>
              <w:jc w:val="right"/>
              <w:textAlignment w:val="baseline"/>
              <w:rPr>
                <w:rFonts w:eastAsia="Times New Roman" w:cs="Times New Roman"/>
                <w:color w:val="000000"/>
                <w:sz w:val="16"/>
                <w:szCs w:val="16"/>
                <w:lang w:val="en-GB"/>
              </w:rPr>
            </w:pPr>
          </w:p>
          <w:p w:rsidRPr="009C48DA" w:rsidR="00661519" w:rsidP="00661519" w:rsidRDefault="00661519" w14:paraId="54DAA154" w14:textId="77777777">
            <w:pPr>
              <w:pBdr>
                <w:bottom w:val="single" w:color="auto" w:sz="12" w:space="1"/>
              </w:pBd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(2,192)</w:t>
            </w:r>
          </w:p>
        </w:tc>
        <w:tc>
          <w:tcPr>
            <w:tcW w:w="1092" w:type="dxa"/>
            <w:vAlign w:val="bottom"/>
          </w:tcPr>
          <w:p w:rsidRPr="009C48DA" w:rsidR="00661519" w:rsidP="00661519" w:rsidRDefault="00661519" w14:paraId="626BEB68" w14:textId="77777777">
            <w:pPr>
              <w:pBdr>
                <w:bottom w:val="single" w:color="auto" w:sz="12" w:space="1"/>
              </w:pBd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12,817</w:t>
            </w:r>
          </w:p>
        </w:tc>
        <w:tc>
          <w:tcPr>
            <w:tcW w:w="1220" w:type="dxa"/>
            <w:vAlign w:val="bottom"/>
          </w:tcPr>
          <w:p w:rsidRPr="009C48DA" w:rsidR="00661519" w:rsidP="00661519" w:rsidRDefault="00661519" w14:paraId="6132D117" w14:textId="77777777">
            <w:pPr>
              <w:pBdr>
                <w:bottom w:val="single" w:color="auto" w:sz="12" w:space="1"/>
              </w:pBdr>
              <w:spacing w:before="60"/>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18,459</w:t>
            </w:r>
          </w:p>
        </w:tc>
        <w:tc>
          <w:tcPr>
            <w:tcW w:w="1221" w:type="dxa"/>
            <w:vAlign w:val="bottom"/>
          </w:tcPr>
          <w:p w:rsidRPr="009C48DA" w:rsidR="00661519" w:rsidP="00661519" w:rsidRDefault="00661519" w14:paraId="758C572A" w14:textId="77777777">
            <w:pPr>
              <w:pBdr>
                <w:bottom w:val="single" w:color="auto" w:sz="12" w:space="1"/>
              </w:pBdr>
              <w:spacing w:before="60"/>
              <w:ind w:right="11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5,370</w:t>
            </w:r>
          </w:p>
        </w:tc>
        <w:tc>
          <w:tcPr>
            <w:tcW w:w="1221" w:type="dxa"/>
            <w:vAlign w:val="bottom"/>
          </w:tcPr>
          <w:p w:rsidRPr="009C48DA" w:rsidR="00661519" w:rsidP="00661519" w:rsidRDefault="00661519" w14:paraId="23F8D11C" w14:textId="77777777">
            <w:pPr>
              <w:pBdr>
                <w:bottom w:val="single" w:color="auto" w:sz="12" w:space="1"/>
              </w:pBdr>
              <w:spacing w:before="60"/>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23,829</w:t>
            </w:r>
          </w:p>
        </w:tc>
      </w:tr>
      <w:tr w:rsidRPr="009C48DA" w:rsidR="00661519" w:rsidTr="00661519" w14:paraId="02772385" w14:textId="77777777">
        <w:tc>
          <w:tcPr>
            <w:tcW w:w="2982" w:type="dxa"/>
            <w:vAlign w:val="bottom"/>
          </w:tcPr>
          <w:p w:rsidRPr="009C48DA" w:rsidR="00661519" w:rsidP="00661519" w:rsidRDefault="00661519" w14:paraId="52127A6D"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At 31 March 2021</w:t>
            </w:r>
          </w:p>
        </w:tc>
        <w:tc>
          <w:tcPr>
            <w:tcW w:w="1220" w:type="dxa"/>
            <w:vAlign w:val="bottom"/>
          </w:tcPr>
          <w:p w:rsidRPr="009C48DA" w:rsidR="00661519" w:rsidP="00661519" w:rsidRDefault="00661519" w14:paraId="29EF75E6" w14:textId="77777777">
            <w:pPr>
              <w:pBdr>
                <w:bottom w:val="double" w:color="auto" w:sz="12" w:space="1"/>
              </w:pBdr>
              <w:spacing w:before="60"/>
              <w:ind w:right="13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240,872</w:t>
            </w:r>
          </w:p>
        </w:tc>
        <w:tc>
          <w:tcPr>
            <w:tcW w:w="1221" w:type="dxa"/>
            <w:vAlign w:val="bottom"/>
          </w:tcPr>
          <w:p w:rsidRPr="009C48DA" w:rsidR="00661519" w:rsidP="00661519" w:rsidRDefault="00661519" w14:paraId="628ACB46" w14:textId="77777777">
            <w:pPr>
              <w:pBdr>
                <w:bottom w:val="double" w:color="auto" w:sz="12" w:space="1"/>
              </w:pBdr>
              <w:spacing w:before="60"/>
              <w:ind w:right="226"/>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547</w:t>
            </w:r>
          </w:p>
        </w:tc>
        <w:tc>
          <w:tcPr>
            <w:tcW w:w="1221" w:type="dxa"/>
            <w:vAlign w:val="bottom"/>
          </w:tcPr>
          <w:p w:rsidRPr="009C48DA" w:rsidR="00661519" w:rsidP="00661519" w:rsidRDefault="00661519" w14:paraId="01A52AA7" w14:textId="77777777">
            <w:pPr>
              <w:pBdr>
                <w:bottom w:val="double" w:color="auto" w:sz="12" w:space="1"/>
              </w:pBdr>
              <w:spacing w:before="60"/>
              <w:ind w:right="142"/>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241,419</w:t>
            </w:r>
          </w:p>
        </w:tc>
        <w:tc>
          <w:tcPr>
            <w:tcW w:w="1220" w:type="dxa"/>
            <w:vAlign w:val="bottom"/>
          </w:tcPr>
          <w:p w:rsidRPr="009C48DA" w:rsidR="00661519" w:rsidP="00661519" w:rsidRDefault="00661519" w14:paraId="38620390" w14:textId="77777777">
            <w:pPr>
              <w:pBdr>
                <w:bottom w:val="double" w:color="auto" w:sz="12" w:space="1"/>
              </w:pBdr>
              <w:spacing w:before="60"/>
              <w:ind w:right="5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c>
          <w:tcPr>
            <w:tcW w:w="1350" w:type="dxa"/>
            <w:vAlign w:val="bottom"/>
          </w:tcPr>
          <w:p w:rsidRPr="009C48DA" w:rsidR="00661519" w:rsidP="00661519" w:rsidRDefault="00661519" w14:paraId="232F7C50" w14:textId="77777777">
            <w:pPr>
              <w:pBdr>
                <w:bottom w:val="double" w:color="auto" w:sz="12" w:space="1"/>
              </w:pBdr>
              <w:spacing w:before="60"/>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5,585</w:t>
            </w:r>
          </w:p>
        </w:tc>
        <w:tc>
          <w:tcPr>
            <w:tcW w:w="1092" w:type="dxa"/>
          </w:tcPr>
          <w:p w:rsidRPr="009C48DA" w:rsidR="00661519" w:rsidP="00661519" w:rsidRDefault="00661519" w14:paraId="6FC0D590" w14:textId="77777777">
            <w:pPr>
              <w:pBdr>
                <w:bottom w:val="double" w:color="auto" w:sz="12" w:space="1"/>
              </w:pBd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3,152</w:t>
            </w:r>
          </w:p>
        </w:tc>
        <w:tc>
          <w:tcPr>
            <w:tcW w:w="1092" w:type="dxa"/>
            <w:vAlign w:val="bottom"/>
          </w:tcPr>
          <w:p w:rsidRPr="009C48DA" w:rsidR="00661519" w:rsidP="00661519" w:rsidRDefault="00661519" w14:paraId="53CDE09C" w14:textId="77777777">
            <w:pPr>
              <w:pBdr>
                <w:bottom w:val="double" w:color="auto" w:sz="12" w:space="1"/>
              </w:pBdr>
              <w:spacing w:before="60"/>
              <w:ind w:right="8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52,526</w:t>
            </w:r>
          </w:p>
        </w:tc>
        <w:tc>
          <w:tcPr>
            <w:tcW w:w="1220" w:type="dxa"/>
            <w:vAlign w:val="bottom"/>
          </w:tcPr>
          <w:p w:rsidRPr="009C48DA" w:rsidR="00661519" w:rsidP="00661519" w:rsidRDefault="00661519" w14:paraId="1C2E9EB6" w14:textId="77777777">
            <w:pPr>
              <w:pBdr>
                <w:bottom w:val="double" w:color="auto" w:sz="12" w:space="1"/>
              </w:pBdr>
              <w:spacing w:before="60"/>
              <w:ind w:right="180"/>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327,301</w:t>
            </w:r>
          </w:p>
        </w:tc>
        <w:tc>
          <w:tcPr>
            <w:tcW w:w="1221" w:type="dxa"/>
            <w:vAlign w:val="bottom"/>
          </w:tcPr>
          <w:p w:rsidRPr="009C48DA" w:rsidR="00661519" w:rsidP="00661519" w:rsidRDefault="00661519" w14:paraId="438B5E05" w14:textId="77777777">
            <w:pPr>
              <w:pBdr>
                <w:bottom w:val="double" w:color="auto" w:sz="12" w:space="1"/>
              </w:pBdr>
              <w:spacing w:before="60"/>
              <w:ind w:right="11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87,084</w:t>
            </w:r>
          </w:p>
        </w:tc>
        <w:tc>
          <w:tcPr>
            <w:tcW w:w="1221" w:type="dxa"/>
            <w:vAlign w:val="bottom"/>
          </w:tcPr>
          <w:p w:rsidRPr="009C48DA" w:rsidR="00661519" w:rsidP="00661519" w:rsidRDefault="00661519" w14:paraId="54A2BE9B" w14:textId="77777777">
            <w:pPr>
              <w:pBdr>
                <w:bottom w:val="double" w:color="auto" w:sz="12" w:space="1"/>
              </w:pBdr>
              <w:spacing w:before="60"/>
              <w:ind w:right="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414,385</w:t>
            </w:r>
          </w:p>
        </w:tc>
      </w:tr>
    </w:tbl>
    <w:p w:rsidRPr="009C48DA" w:rsidR="00661519" w:rsidP="00661519" w:rsidRDefault="00661519" w14:paraId="2F9A4550" w14:textId="77777777">
      <w:pPr>
        <w:spacing w:before="7" w:line="183" w:lineRule="exact"/>
        <w:jc w:val="center"/>
        <w:textAlignment w:val="baseline"/>
        <w:rPr>
          <w:rFonts w:eastAsia="Times New Roman" w:cs="Times New Roman"/>
          <w:color w:val="000000"/>
          <w:sz w:val="17"/>
          <w:szCs w:val="22"/>
          <w:lang w:val="en-GB"/>
        </w:rPr>
      </w:pPr>
    </w:p>
    <w:p w:rsidRPr="009C48DA" w:rsidR="00661519" w:rsidP="00661519" w:rsidRDefault="00661519" w14:paraId="4C61D70B" w14:textId="77777777">
      <w:pPr>
        <w:spacing w:before="7" w:line="183" w:lineRule="exact"/>
        <w:jc w:val="center"/>
        <w:textAlignment w:val="baseline"/>
        <w:rPr>
          <w:rFonts w:eastAsia="Times New Roman" w:cs="Times New Roman"/>
          <w:color w:val="000000"/>
          <w:sz w:val="17"/>
          <w:szCs w:val="22"/>
          <w:lang w:val="en-GB"/>
        </w:rPr>
      </w:pPr>
    </w:p>
    <w:p w:rsidRPr="009C48DA" w:rsidR="00661519" w:rsidP="00661519" w:rsidRDefault="00661519" w14:paraId="6083AEB0" w14:textId="77777777">
      <w:pPr>
        <w:rPr>
          <w:rFonts w:eastAsia="PMingLiU" w:cs="Times New Roman"/>
          <w:szCs w:val="22"/>
          <w:lang w:val="en-GB"/>
        </w:rPr>
        <w:sectPr w:rsidRPr="009C48DA" w:rsidR="00661519" w:rsidSect="00661519">
          <w:headerReference w:type="default" r:id="rId71"/>
          <w:pgSz w:w="16838" w:h="11909" w:orient="landscape"/>
          <w:pgMar w:top="1440" w:right="1439" w:bottom="1113" w:left="1439" w:header="720" w:footer="720" w:gutter="0"/>
          <w:cols w:space="720"/>
        </w:sectPr>
      </w:pPr>
    </w:p>
    <w:tbl>
      <w:tblPr>
        <w:tblW w:w="0" w:type="auto"/>
        <w:tblLayout w:type="fixed"/>
        <w:tblCellMar>
          <w:left w:w="0" w:type="dxa"/>
          <w:right w:w="0" w:type="dxa"/>
        </w:tblCellMar>
        <w:tblLook w:val="04A0" w:firstRow="1" w:lastRow="0" w:firstColumn="1" w:lastColumn="0" w:noHBand="0" w:noVBand="1"/>
      </w:tblPr>
      <w:tblGrid>
        <w:gridCol w:w="3764"/>
        <w:gridCol w:w="320"/>
        <w:gridCol w:w="736"/>
        <w:gridCol w:w="736"/>
        <w:gridCol w:w="736"/>
        <w:gridCol w:w="1230"/>
        <w:gridCol w:w="1381"/>
      </w:tblGrid>
      <w:tr w:rsidRPr="009C48DA" w:rsidR="00661519" w:rsidTr="00661519" w14:paraId="6823F013" w14:textId="77777777">
        <w:tc>
          <w:tcPr>
            <w:tcW w:w="3764" w:type="dxa"/>
            <w:vMerge w:val="restart"/>
            <w:vAlign w:val="bottom"/>
          </w:tcPr>
          <w:p w:rsidRPr="009C48DA" w:rsidR="00661519" w:rsidP="00661519" w:rsidRDefault="00661519" w14:paraId="36D19325" w14:textId="77777777">
            <w:pPr>
              <w:textAlignment w:val="baseline"/>
              <w:rPr>
                <w:rFonts w:eastAsia="Times New Roman" w:cs="Times New Roman"/>
                <w:color w:val="000000"/>
                <w:sz w:val="16"/>
                <w:szCs w:val="16"/>
                <w:lang w:val="en-GB"/>
              </w:rPr>
            </w:pPr>
          </w:p>
          <w:p w:rsidRPr="009C48DA" w:rsidR="00661519" w:rsidP="00661519" w:rsidRDefault="00661519" w14:paraId="2106B9ED"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320" w:type="dxa"/>
            <w:vAlign w:val="bottom"/>
          </w:tcPr>
          <w:p w:rsidRPr="009C48DA" w:rsidR="00661519" w:rsidP="00661519" w:rsidRDefault="00661519" w14:paraId="1A177784"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2208" w:type="dxa"/>
            <w:gridSpan w:val="3"/>
            <w:vAlign w:val="bottom"/>
          </w:tcPr>
          <w:p w:rsidRPr="009C48DA" w:rsidR="00661519" w:rsidP="00661519" w:rsidRDefault="00661519" w14:paraId="1150C232" w14:textId="77777777">
            <w:pPr>
              <w:pBdr>
                <w:bottom w:val="single" w:color="auto" w:sz="18" w:space="1"/>
              </w:pBdr>
              <w:ind w:right="135"/>
              <w:jc w:val="cente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Year ended 31 December</w:t>
            </w:r>
          </w:p>
        </w:tc>
        <w:tc>
          <w:tcPr>
            <w:tcW w:w="2611" w:type="dxa"/>
            <w:gridSpan w:val="2"/>
          </w:tcPr>
          <w:p w:rsidRPr="009C48DA" w:rsidR="00661519" w:rsidP="00661519" w:rsidRDefault="00661519" w14:paraId="6236B754" w14:textId="77777777">
            <w:pPr>
              <w:pBdr>
                <w:bottom w:val="single" w:color="auto" w:sz="18" w:space="1"/>
              </w:pBdr>
              <w:ind w:left="7" w:right="75"/>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Three month period ended 31 March</w:t>
            </w:r>
          </w:p>
        </w:tc>
      </w:tr>
      <w:tr w:rsidRPr="009C48DA" w:rsidR="00661519" w:rsidTr="00661519" w14:paraId="106BF2D0" w14:textId="77777777">
        <w:tc>
          <w:tcPr>
            <w:tcW w:w="3764" w:type="dxa"/>
            <w:vMerge/>
            <w:vAlign w:val="bottom"/>
          </w:tcPr>
          <w:p w:rsidRPr="009C48DA" w:rsidR="00661519" w:rsidP="00661519" w:rsidRDefault="00661519" w14:paraId="45BDEB95" w14:textId="77777777">
            <w:pPr>
              <w:rPr>
                <w:rFonts w:eastAsia="PMingLiU" w:cs="Times New Roman"/>
                <w:sz w:val="16"/>
                <w:szCs w:val="16"/>
                <w:lang w:val="en-GB"/>
              </w:rPr>
            </w:pPr>
          </w:p>
        </w:tc>
        <w:tc>
          <w:tcPr>
            <w:tcW w:w="320" w:type="dxa"/>
            <w:vAlign w:val="bottom"/>
          </w:tcPr>
          <w:p w:rsidRPr="009C48DA" w:rsidR="00661519" w:rsidP="00661519" w:rsidRDefault="00661519" w14:paraId="22039570" w14:textId="77777777">
            <w:pPr>
              <w:jc w:val="center"/>
              <w:textAlignment w:val="baseline"/>
              <w:rPr>
                <w:rFonts w:eastAsia="Times New Roman" w:cs="Times New Roman"/>
                <w:b/>
                <w:color w:val="000000"/>
                <w:sz w:val="16"/>
                <w:szCs w:val="16"/>
                <w:lang w:val="en-GB"/>
              </w:rPr>
            </w:pPr>
          </w:p>
        </w:tc>
        <w:tc>
          <w:tcPr>
            <w:tcW w:w="736" w:type="dxa"/>
            <w:vAlign w:val="bottom"/>
          </w:tcPr>
          <w:p w:rsidRPr="009C48DA" w:rsidR="00661519" w:rsidP="00661519" w:rsidRDefault="00661519" w14:paraId="7E88A926" w14:textId="77777777">
            <w:pPr>
              <w:ind w:right="133"/>
              <w:jc w:val="right"/>
              <w:textAlignment w:val="baseline"/>
              <w:rPr>
                <w:rFonts w:eastAsia="Times New Roman" w:cs="Times New Roman"/>
                <w:b/>
                <w:color w:val="000000"/>
                <w:sz w:val="16"/>
                <w:szCs w:val="16"/>
                <w:lang w:val="en-GB"/>
              </w:rPr>
            </w:pPr>
          </w:p>
        </w:tc>
        <w:tc>
          <w:tcPr>
            <w:tcW w:w="736" w:type="dxa"/>
            <w:vAlign w:val="bottom"/>
          </w:tcPr>
          <w:p w:rsidRPr="009C48DA" w:rsidR="00661519" w:rsidP="00661519" w:rsidRDefault="00661519" w14:paraId="5BCE113C" w14:textId="77777777">
            <w:pPr>
              <w:ind w:right="115"/>
              <w:jc w:val="right"/>
              <w:textAlignment w:val="baseline"/>
              <w:rPr>
                <w:rFonts w:eastAsia="Times New Roman" w:cs="Times New Roman"/>
                <w:b/>
                <w:color w:val="000000"/>
                <w:sz w:val="16"/>
                <w:szCs w:val="16"/>
                <w:lang w:val="en-GB"/>
              </w:rPr>
            </w:pPr>
          </w:p>
        </w:tc>
        <w:tc>
          <w:tcPr>
            <w:tcW w:w="736" w:type="dxa"/>
            <w:vAlign w:val="bottom"/>
          </w:tcPr>
          <w:p w:rsidRPr="009C48DA" w:rsidR="00661519" w:rsidP="00661519" w:rsidRDefault="00661519" w14:paraId="0B782383" w14:textId="77777777">
            <w:pPr>
              <w:ind w:right="97"/>
              <w:jc w:val="right"/>
              <w:textAlignment w:val="baseline"/>
              <w:rPr>
                <w:rFonts w:eastAsia="Times New Roman" w:cs="Times New Roman"/>
                <w:b/>
                <w:color w:val="000000"/>
                <w:sz w:val="16"/>
                <w:szCs w:val="16"/>
                <w:lang w:val="en-GB"/>
              </w:rPr>
            </w:pPr>
          </w:p>
        </w:tc>
        <w:tc>
          <w:tcPr>
            <w:tcW w:w="2611" w:type="dxa"/>
            <w:gridSpan w:val="2"/>
            <w:vAlign w:val="center"/>
          </w:tcPr>
          <w:p w:rsidRPr="009C48DA" w:rsidR="00661519" w:rsidP="00661519" w:rsidRDefault="00661519" w14:paraId="1AF6FD9B" w14:textId="77777777">
            <w:pPr>
              <w:ind w:right="97"/>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     Unaudited</w:t>
            </w:r>
          </w:p>
        </w:tc>
      </w:tr>
      <w:tr w:rsidRPr="009C48DA" w:rsidR="00661519" w:rsidTr="00661519" w14:paraId="6550646A" w14:textId="77777777">
        <w:tc>
          <w:tcPr>
            <w:tcW w:w="3764" w:type="dxa"/>
            <w:vMerge/>
            <w:vAlign w:val="bottom"/>
          </w:tcPr>
          <w:p w:rsidRPr="009C48DA" w:rsidR="00661519" w:rsidP="00661519" w:rsidRDefault="00661519" w14:paraId="184EBE54" w14:textId="77777777">
            <w:pPr>
              <w:rPr>
                <w:rFonts w:eastAsia="PMingLiU" w:cs="Times New Roman"/>
                <w:sz w:val="16"/>
                <w:szCs w:val="16"/>
                <w:lang w:val="en-GB"/>
              </w:rPr>
            </w:pPr>
          </w:p>
        </w:tc>
        <w:tc>
          <w:tcPr>
            <w:tcW w:w="320" w:type="dxa"/>
            <w:vAlign w:val="bottom"/>
          </w:tcPr>
          <w:p w:rsidRPr="009C48DA" w:rsidR="00661519" w:rsidP="00661519" w:rsidRDefault="00661519" w14:paraId="1FE848CD" w14:textId="77777777">
            <w:pPr>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Note</w:t>
            </w:r>
          </w:p>
        </w:tc>
        <w:tc>
          <w:tcPr>
            <w:tcW w:w="736" w:type="dxa"/>
            <w:vAlign w:val="bottom"/>
          </w:tcPr>
          <w:p w:rsidRPr="009C48DA" w:rsidR="00661519" w:rsidP="00661519" w:rsidRDefault="00661519" w14:paraId="2D3DA15D" w14:textId="77777777">
            <w:pPr>
              <w:ind w:right="13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2018</w:t>
            </w:r>
          </w:p>
          <w:p w:rsidRPr="009C48DA" w:rsidR="00661519" w:rsidP="00661519" w:rsidRDefault="00661519" w14:paraId="30642BCD" w14:textId="77777777">
            <w:pPr>
              <w:ind w:right="13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736" w:type="dxa"/>
            <w:vAlign w:val="bottom"/>
          </w:tcPr>
          <w:p w:rsidRPr="009C48DA" w:rsidR="00661519" w:rsidP="00661519" w:rsidRDefault="00661519" w14:paraId="0DF12819" w14:textId="77777777">
            <w:pPr>
              <w:ind w:right="11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2019</w:t>
            </w:r>
          </w:p>
          <w:p w:rsidRPr="009C48DA" w:rsidR="00661519" w:rsidP="00661519" w:rsidRDefault="00661519" w14:paraId="779C0BA3" w14:textId="77777777">
            <w:pPr>
              <w:ind w:right="11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736" w:type="dxa"/>
            <w:vAlign w:val="bottom"/>
          </w:tcPr>
          <w:p w:rsidRPr="009C48DA" w:rsidR="00661519" w:rsidP="00661519" w:rsidRDefault="00661519" w14:paraId="38777423" w14:textId="77777777">
            <w:pPr>
              <w:ind w:right="9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2020</w:t>
            </w:r>
          </w:p>
          <w:p w:rsidRPr="009C48DA" w:rsidR="00661519" w:rsidP="00661519" w:rsidRDefault="00661519" w14:paraId="59AF295F" w14:textId="77777777">
            <w:pPr>
              <w:ind w:right="9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30" w:type="dxa"/>
          </w:tcPr>
          <w:p w:rsidRPr="009C48DA" w:rsidR="00661519" w:rsidP="00661519" w:rsidRDefault="00661519" w14:paraId="2FD3065E" w14:textId="77777777">
            <w:pPr>
              <w:ind w:right="9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2020</w:t>
            </w:r>
          </w:p>
          <w:p w:rsidRPr="009C48DA" w:rsidR="00661519" w:rsidP="00661519" w:rsidRDefault="00661519" w14:paraId="4DA80A5B" w14:textId="77777777">
            <w:pPr>
              <w:ind w:right="9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381" w:type="dxa"/>
          </w:tcPr>
          <w:p w:rsidRPr="009C48DA" w:rsidR="00661519" w:rsidP="00661519" w:rsidRDefault="00661519" w14:paraId="42A22677" w14:textId="77777777">
            <w:pPr>
              <w:ind w:right="9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2021</w:t>
            </w:r>
          </w:p>
          <w:p w:rsidRPr="009C48DA" w:rsidR="00661519" w:rsidP="00661519" w:rsidRDefault="00661519" w14:paraId="61AA822A" w14:textId="77777777">
            <w:pPr>
              <w:ind w:right="9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4E4866CB" w14:textId="77777777">
        <w:tc>
          <w:tcPr>
            <w:tcW w:w="3764" w:type="dxa"/>
            <w:vAlign w:val="bottom"/>
          </w:tcPr>
          <w:p w:rsidRPr="009C48DA" w:rsidR="00661519" w:rsidP="00661519" w:rsidRDefault="00661519" w14:paraId="58292A92"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Cash flows from operating activities</w:t>
            </w:r>
          </w:p>
        </w:tc>
        <w:tc>
          <w:tcPr>
            <w:tcW w:w="320" w:type="dxa"/>
            <w:vAlign w:val="bottom"/>
          </w:tcPr>
          <w:p w:rsidRPr="009C48DA" w:rsidR="00661519" w:rsidP="00661519" w:rsidRDefault="00661519" w14:paraId="3E530ABE"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12CFDD7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736" w:type="dxa"/>
            <w:vAlign w:val="bottom"/>
          </w:tcPr>
          <w:p w:rsidRPr="009C48DA" w:rsidR="00661519" w:rsidP="00661519" w:rsidRDefault="00661519" w14:paraId="4B70BC4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736" w:type="dxa"/>
            <w:vAlign w:val="bottom"/>
          </w:tcPr>
          <w:p w:rsidRPr="009C48DA" w:rsidR="00661519" w:rsidP="00661519" w:rsidRDefault="00661519" w14:paraId="3EF4E98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30" w:type="dxa"/>
            <w:vAlign w:val="bottom"/>
          </w:tcPr>
          <w:p w:rsidRPr="009C48DA" w:rsidR="00661519" w:rsidP="00661519" w:rsidRDefault="00661519" w14:paraId="54AEECA7" w14:textId="77777777">
            <w:pPr>
              <w:spacing w:before="60"/>
              <w:ind w:right="109"/>
              <w:jc w:val="right"/>
              <w:textAlignment w:val="baseline"/>
              <w:rPr>
                <w:rFonts w:eastAsia="Times New Roman" w:cs="Times New Roman"/>
                <w:color w:val="000000"/>
                <w:sz w:val="16"/>
                <w:szCs w:val="16"/>
                <w:lang w:val="en-GB"/>
              </w:rPr>
            </w:pPr>
          </w:p>
        </w:tc>
        <w:tc>
          <w:tcPr>
            <w:tcW w:w="1381" w:type="dxa"/>
            <w:vAlign w:val="bottom"/>
          </w:tcPr>
          <w:p w:rsidRPr="009C48DA" w:rsidR="00661519" w:rsidP="00661519" w:rsidRDefault="00661519" w14:paraId="55B9A6FF" w14:textId="77777777">
            <w:pPr>
              <w:spacing w:before="60"/>
              <w:ind w:right="109"/>
              <w:jc w:val="right"/>
              <w:textAlignment w:val="baseline"/>
              <w:rPr>
                <w:rFonts w:eastAsia="Times New Roman" w:cs="Times New Roman"/>
                <w:color w:val="000000"/>
                <w:sz w:val="16"/>
                <w:szCs w:val="16"/>
                <w:lang w:val="en-GB"/>
              </w:rPr>
            </w:pPr>
          </w:p>
        </w:tc>
      </w:tr>
      <w:tr w:rsidRPr="009C48DA" w:rsidR="00661519" w:rsidTr="00661519" w14:paraId="6E8F631D" w14:textId="77777777">
        <w:tc>
          <w:tcPr>
            <w:tcW w:w="3764" w:type="dxa"/>
            <w:vAlign w:val="bottom"/>
          </w:tcPr>
          <w:p w:rsidRPr="009C48DA" w:rsidR="00661519" w:rsidP="00661519" w:rsidRDefault="00661519" w14:paraId="4A9C51A3"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Cash generated from operations</w:t>
            </w:r>
          </w:p>
        </w:tc>
        <w:tc>
          <w:tcPr>
            <w:tcW w:w="320" w:type="dxa"/>
            <w:vAlign w:val="bottom"/>
          </w:tcPr>
          <w:p w:rsidRPr="009C48DA" w:rsidR="00661519" w:rsidP="00661519" w:rsidRDefault="00661519" w14:paraId="69F4B686"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25</w:t>
            </w:r>
          </w:p>
        </w:tc>
        <w:tc>
          <w:tcPr>
            <w:tcW w:w="736" w:type="dxa"/>
            <w:vAlign w:val="bottom"/>
          </w:tcPr>
          <w:p w:rsidRPr="009C48DA" w:rsidR="00661519" w:rsidP="00661519" w:rsidRDefault="00661519" w14:paraId="6C0B2A7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31,274</w:t>
            </w:r>
          </w:p>
        </w:tc>
        <w:tc>
          <w:tcPr>
            <w:tcW w:w="736" w:type="dxa"/>
            <w:vAlign w:val="bottom"/>
          </w:tcPr>
          <w:p w:rsidRPr="009C48DA" w:rsidR="00661519" w:rsidP="00661519" w:rsidRDefault="00661519" w14:paraId="0369E84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1,751</w:t>
            </w:r>
          </w:p>
        </w:tc>
        <w:tc>
          <w:tcPr>
            <w:tcW w:w="736" w:type="dxa"/>
            <w:vAlign w:val="bottom"/>
          </w:tcPr>
          <w:p w:rsidRPr="009C48DA" w:rsidR="00661519" w:rsidP="00661519" w:rsidRDefault="00661519" w14:paraId="110006B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32,391</w:t>
            </w:r>
          </w:p>
        </w:tc>
        <w:tc>
          <w:tcPr>
            <w:tcW w:w="1230" w:type="dxa"/>
            <w:vAlign w:val="bottom"/>
          </w:tcPr>
          <w:p w:rsidRPr="009C48DA" w:rsidR="00661519" w:rsidP="00661519" w:rsidRDefault="00661519" w14:paraId="490E730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35,936</w:t>
            </w:r>
          </w:p>
        </w:tc>
        <w:tc>
          <w:tcPr>
            <w:tcW w:w="1381" w:type="dxa"/>
            <w:vAlign w:val="bottom"/>
          </w:tcPr>
          <w:p w:rsidRPr="009C48DA" w:rsidR="00661519" w:rsidP="00661519" w:rsidRDefault="00661519" w14:paraId="4A6061A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31,864</w:t>
            </w:r>
          </w:p>
        </w:tc>
      </w:tr>
      <w:tr w:rsidRPr="009C48DA" w:rsidR="00661519" w:rsidTr="00661519" w14:paraId="1B56AD86" w14:textId="77777777">
        <w:tc>
          <w:tcPr>
            <w:tcW w:w="3764" w:type="dxa"/>
            <w:vAlign w:val="bottom"/>
          </w:tcPr>
          <w:p w:rsidRPr="009C48DA" w:rsidR="00661519" w:rsidP="00661519" w:rsidRDefault="00661519" w14:paraId="0DDA3DC2"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Income taxes paid</w:t>
            </w:r>
          </w:p>
        </w:tc>
        <w:tc>
          <w:tcPr>
            <w:tcW w:w="320" w:type="dxa"/>
            <w:vAlign w:val="bottom"/>
          </w:tcPr>
          <w:p w:rsidRPr="009C48DA" w:rsidR="00661519" w:rsidP="00661519" w:rsidRDefault="00661519" w14:paraId="087FF673"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301E4B62"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(903)</w:t>
            </w:r>
          </w:p>
        </w:tc>
        <w:tc>
          <w:tcPr>
            <w:tcW w:w="736" w:type="dxa"/>
            <w:vAlign w:val="bottom"/>
          </w:tcPr>
          <w:p w:rsidRPr="009C48DA" w:rsidR="00661519" w:rsidP="00661519" w:rsidRDefault="00661519" w14:paraId="153EAB85"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(2,272)</w:t>
            </w:r>
          </w:p>
        </w:tc>
        <w:tc>
          <w:tcPr>
            <w:tcW w:w="736" w:type="dxa"/>
            <w:vAlign w:val="bottom"/>
          </w:tcPr>
          <w:p w:rsidRPr="009C48DA" w:rsidR="00661519" w:rsidP="00661519" w:rsidRDefault="00661519" w14:paraId="2046DAA5"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(4,032)</w:t>
            </w:r>
          </w:p>
        </w:tc>
        <w:tc>
          <w:tcPr>
            <w:tcW w:w="1230" w:type="dxa"/>
            <w:vAlign w:val="bottom"/>
          </w:tcPr>
          <w:p w:rsidRPr="009C48DA" w:rsidR="00661519" w:rsidP="00661519" w:rsidRDefault="00661519" w14:paraId="593EB0CD"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(248)</w:t>
            </w:r>
          </w:p>
        </w:tc>
        <w:tc>
          <w:tcPr>
            <w:tcW w:w="1381" w:type="dxa"/>
            <w:vAlign w:val="bottom"/>
          </w:tcPr>
          <w:p w:rsidRPr="009C48DA" w:rsidR="00661519" w:rsidP="00661519" w:rsidRDefault="00661519" w14:paraId="55117F8A"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(430)</w:t>
            </w:r>
          </w:p>
        </w:tc>
      </w:tr>
      <w:tr w:rsidRPr="009C48DA" w:rsidR="00661519" w:rsidTr="00661519" w14:paraId="13B5E827" w14:textId="77777777">
        <w:tc>
          <w:tcPr>
            <w:tcW w:w="3764" w:type="dxa"/>
            <w:vAlign w:val="bottom"/>
          </w:tcPr>
          <w:p w:rsidRPr="009C48DA" w:rsidR="00661519" w:rsidP="00661519" w:rsidRDefault="00661519" w14:paraId="674B9FBB" w14:textId="77777777">
            <w:pPr>
              <w:spacing w:before="60"/>
              <w:textAlignment w:val="baseline"/>
              <w:rPr>
                <w:rFonts w:eastAsia="Times New Roman" w:cs="Times New Roman"/>
                <w:b/>
                <w:color w:val="000000"/>
                <w:sz w:val="16"/>
                <w:szCs w:val="16"/>
                <w:highlight w:val="yellow"/>
                <w:lang w:val="en-GB"/>
              </w:rPr>
            </w:pPr>
            <w:r w:rsidRPr="009C48DA">
              <w:rPr>
                <w:rFonts w:eastAsia="Times New Roman" w:cs="Times New Roman"/>
                <w:b/>
                <w:color w:val="000000"/>
                <w:sz w:val="16"/>
                <w:szCs w:val="16"/>
                <w:lang w:val="en-GB"/>
              </w:rPr>
              <w:t xml:space="preserve">Net cash inflow from operating </w:t>
            </w:r>
            <w:r w:rsidRPr="009C48DA">
              <w:rPr>
                <w:rFonts w:eastAsia="Times New Roman" w:cs="Times New Roman"/>
                <w:b/>
                <w:color w:val="000000"/>
                <w:sz w:val="16"/>
                <w:szCs w:val="16"/>
                <w:lang w:val="en-GB"/>
              </w:rPr>
              <w:br/>
              <w:t>activities</w:t>
            </w:r>
          </w:p>
        </w:tc>
        <w:tc>
          <w:tcPr>
            <w:tcW w:w="320" w:type="dxa"/>
            <w:vAlign w:val="bottom"/>
          </w:tcPr>
          <w:p w:rsidRPr="009C48DA" w:rsidR="00661519" w:rsidP="00661519" w:rsidRDefault="00661519" w14:paraId="5B3BAFA9"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1BCEC15C"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30,371</w:t>
            </w:r>
          </w:p>
        </w:tc>
        <w:tc>
          <w:tcPr>
            <w:tcW w:w="736" w:type="dxa"/>
            <w:vAlign w:val="bottom"/>
          </w:tcPr>
          <w:p w:rsidRPr="009C48DA" w:rsidR="00661519" w:rsidP="00661519" w:rsidRDefault="00661519" w14:paraId="65DCAD87"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(521)</w:t>
            </w:r>
          </w:p>
        </w:tc>
        <w:tc>
          <w:tcPr>
            <w:tcW w:w="736" w:type="dxa"/>
            <w:vAlign w:val="bottom"/>
          </w:tcPr>
          <w:p w:rsidRPr="009C48DA" w:rsidR="00661519" w:rsidP="00661519" w:rsidRDefault="00661519" w14:paraId="5DF9FC57"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28,359</w:t>
            </w:r>
          </w:p>
        </w:tc>
        <w:tc>
          <w:tcPr>
            <w:tcW w:w="1230" w:type="dxa"/>
            <w:vAlign w:val="bottom"/>
          </w:tcPr>
          <w:p w:rsidRPr="009C48DA" w:rsidR="00661519" w:rsidP="00661519" w:rsidRDefault="00661519" w14:paraId="5A528FD0"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35,688</w:t>
            </w:r>
          </w:p>
        </w:tc>
        <w:tc>
          <w:tcPr>
            <w:tcW w:w="1381" w:type="dxa"/>
            <w:vAlign w:val="bottom"/>
          </w:tcPr>
          <w:p w:rsidRPr="009C48DA" w:rsidR="00661519" w:rsidP="00661519" w:rsidRDefault="00661519" w14:paraId="2C640238"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31,434</w:t>
            </w:r>
          </w:p>
        </w:tc>
      </w:tr>
      <w:tr w:rsidRPr="009C48DA" w:rsidR="00661519" w:rsidTr="00661519" w14:paraId="78926965" w14:textId="77777777">
        <w:tc>
          <w:tcPr>
            <w:tcW w:w="3764" w:type="dxa"/>
            <w:vAlign w:val="bottom"/>
          </w:tcPr>
          <w:p w:rsidRPr="009C48DA" w:rsidR="00661519" w:rsidP="00661519" w:rsidRDefault="00661519" w14:paraId="4497D06C"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Cash flows from investing activities</w:t>
            </w:r>
          </w:p>
        </w:tc>
        <w:tc>
          <w:tcPr>
            <w:tcW w:w="320" w:type="dxa"/>
            <w:vAlign w:val="bottom"/>
          </w:tcPr>
          <w:p w:rsidRPr="009C48DA" w:rsidR="00661519" w:rsidP="00661519" w:rsidRDefault="00661519" w14:paraId="0F23982D"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6391C12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736" w:type="dxa"/>
            <w:vAlign w:val="bottom"/>
          </w:tcPr>
          <w:p w:rsidRPr="009C48DA" w:rsidR="00661519" w:rsidP="00661519" w:rsidRDefault="00661519" w14:paraId="69AACD1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736" w:type="dxa"/>
            <w:vAlign w:val="bottom"/>
          </w:tcPr>
          <w:p w:rsidRPr="009C48DA" w:rsidR="00661519" w:rsidP="00661519" w:rsidRDefault="00661519" w14:paraId="588B4E8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30" w:type="dxa"/>
            <w:vAlign w:val="bottom"/>
          </w:tcPr>
          <w:p w:rsidRPr="009C48DA" w:rsidR="00661519" w:rsidP="00661519" w:rsidRDefault="00661519" w14:paraId="7350D3C7" w14:textId="77777777">
            <w:pPr>
              <w:spacing w:before="60"/>
              <w:ind w:right="109"/>
              <w:jc w:val="right"/>
              <w:textAlignment w:val="baseline"/>
              <w:rPr>
                <w:rFonts w:eastAsia="Times New Roman" w:cs="Times New Roman"/>
                <w:color w:val="000000"/>
                <w:sz w:val="16"/>
                <w:szCs w:val="16"/>
                <w:lang w:val="en-GB"/>
              </w:rPr>
            </w:pPr>
          </w:p>
        </w:tc>
        <w:tc>
          <w:tcPr>
            <w:tcW w:w="1381" w:type="dxa"/>
            <w:vAlign w:val="bottom"/>
          </w:tcPr>
          <w:p w:rsidRPr="009C48DA" w:rsidR="00661519" w:rsidP="00661519" w:rsidRDefault="00661519" w14:paraId="7ED97CB7" w14:textId="77777777">
            <w:pPr>
              <w:spacing w:before="60"/>
              <w:ind w:right="109"/>
              <w:jc w:val="right"/>
              <w:textAlignment w:val="baseline"/>
              <w:rPr>
                <w:rFonts w:eastAsia="Times New Roman" w:cs="Times New Roman"/>
                <w:color w:val="000000"/>
                <w:sz w:val="16"/>
                <w:szCs w:val="16"/>
                <w:lang w:val="en-GB"/>
              </w:rPr>
            </w:pPr>
          </w:p>
        </w:tc>
      </w:tr>
      <w:tr w:rsidRPr="009C48DA" w:rsidR="00661519" w:rsidTr="00661519" w14:paraId="59F0A0CD" w14:textId="77777777">
        <w:tc>
          <w:tcPr>
            <w:tcW w:w="3764" w:type="dxa"/>
            <w:vAlign w:val="bottom"/>
          </w:tcPr>
          <w:p w:rsidRPr="009C48DA" w:rsidR="00661519" w:rsidP="00661519" w:rsidRDefault="00661519" w14:paraId="23E23DB5"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Payment for acquisition of subsidiary, net of cash acquired</w:t>
            </w:r>
          </w:p>
        </w:tc>
        <w:tc>
          <w:tcPr>
            <w:tcW w:w="320" w:type="dxa"/>
            <w:vAlign w:val="bottom"/>
          </w:tcPr>
          <w:p w:rsidRPr="009C48DA" w:rsidR="00661519" w:rsidP="00661519" w:rsidRDefault="00661519" w14:paraId="3965FF87"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w:t>
            </w:r>
          </w:p>
        </w:tc>
        <w:tc>
          <w:tcPr>
            <w:tcW w:w="736" w:type="dxa"/>
            <w:vAlign w:val="bottom"/>
          </w:tcPr>
          <w:p w:rsidRPr="009C48DA" w:rsidR="00661519" w:rsidP="00661519" w:rsidRDefault="00661519" w14:paraId="1908AF6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vAlign w:val="bottom"/>
          </w:tcPr>
          <w:p w:rsidRPr="009C48DA" w:rsidR="00661519" w:rsidP="00661519" w:rsidRDefault="00661519" w14:paraId="7D3E596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vAlign w:val="bottom"/>
          </w:tcPr>
          <w:p w:rsidRPr="009C48DA" w:rsidR="00661519" w:rsidP="00661519" w:rsidRDefault="00661519" w14:paraId="5BF809A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(86,326)</w:t>
            </w:r>
          </w:p>
        </w:tc>
        <w:tc>
          <w:tcPr>
            <w:tcW w:w="1230" w:type="dxa"/>
            <w:vAlign w:val="bottom"/>
          </w:tcPr>
          <w:p w:rsidRPr="009C48DA" w:rsidR="00661519" w:rsidP="00661519" w:rsidRDefault="00661519" w14:paraId="5597FC1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1" w:type="dxa"/>
            <w:vAlign w:val="bottom"/>
          </w:tcPr>
          <w:p w:rsidRPr="009C48DA" w:rsidR="00661519" w:rsidP="00661519" w:rsidRDefault="00661519" w14:paraId="42AF4B8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7A4617A6" w14:textId="77777777">
        <w:tc>
          <w:tcPr>
            <w:tcW w:w="3764" w:type="dxa"/>
            <w:vAlign w:val="bottom"/>
          </w:tcPr>
          <w:p w:rsidRPr="009C48DA" w:rsidR="00661519" w:rsidP="00661519" w:rsidRDefault="00661519" w14:paraId="7F55CBDC"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Payments for property, plant and equipment</w:t>
            </w:r>
          </w:p>
        </w:tc>
        <w:tc>
          <w:tcPr>
            <w:tcW w:w="320" w:type="dxa"/>
            <w:vAlign w:val="bottom"/>
          </w:tcPr>
          <w:p w:rsidRPr="009C48DA" w:rsidR="00661519" w:rsidP="00661519" w:rsidRDefault="00661519" w14:paraId="197AACA3"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123DAA7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(3,234)</w:t>
            </w:r>
          </w:p>
        </w:tc>
        <w:tc>
          <w:tcPr>
            <w:tcW w:w="736" w:type="dxa"/>
            <w:vAlign w:val="bottom"/>
          </w:tcPr>
          <w:p w:rsidRPr="009C48DA" w:rsidR="00661519" w:rsidP="00661519" w:rsidRDefault="00661519" w14:paraId="62C1EC2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(3,684)</w:t>
            </w:r>
          </w:p>
        </w:tc>
        <w:tc>
          <w:tcPr>
            <w:tcW w:w="736" w:type="dxa"/>
            <w:vAlign w:val="bottom"/>
          </w:tcPr>
          <w:p w:rsidRPr="009C48DA" w:rsidR="00661519" w:rsidP="00661519" w:rsidRDefault="00661519" w14:paraId="448E5CB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(3,235)</w:t>
            </w:r>
          </w:p>
        </w:tc>
        <w:tc>
          <w:tcPr>
            <w:tcW w:w="1230" w:type="dxa"/>
            <w:vAlign w:val="bottom"/>
          </w:tcPr>
          <w:p w:rsidRPr="009C48DA" w:rsidR="00661519" w:rsidP="00661519" w:rsidRDefault="00661519" w14:paraId="2488385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189</w:t>
            </w:r>
          </w:p>
        </w:tc>
        <w:tc>
          <w:tcPr>
            <w:tcW w:w="1381" w:type="dxa"/>
            <w:vAlign w:val="bottom"/>
          </w:tcPr>
          <w:p w:rsidRPr="009C48DA" w:rsidR="00661519" w:rsidP="00661519" w:rsidRDefault="00661519" w14:paraId="18E73E1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532B4D8B" w14:textId="77777777">
        <w:tc>
          <w:tcPr>
            <w:tcW w:w="3764" w:type="dxa"/>
            <w:vAlign w:val="bottom"/>
          </w:tcPr>
          <w:p w:rsidRPr="009C48DA" w:rsidR="00661519" w:rsidP="00661519" w:rsidRDefault="00661519" w14:paraId="6E0641F3"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Receipts from investments (non CLO)</w:t>
            </w:r>
          </w:p>
        </w:tc>
        <w:tc>
          <w:tcPr>
            <w:tcW w:w="320" w:type="dxa"/>
            <w:vAlign w:val="bottom"/>
          </w:tcPr>
          <w:p w:rsidRPr="009C48DA" w:rsidR="00661519" w:rsidP="00661519" w:rsidRDefault="00661519" w14:paraId="011CF0DB"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4E50B27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70,090</w:t>
            </w:r>
          </w:p>
        </w:tc>
        <w:tc>
          <w:tcPr>
            <w:tcW w:w="736" w:type="dxa"/>
            <w:vAlign w:val="bottom"/>
          </w:tcPr>
          <w:p w:rsidRPr="009C48DA" w:rsidR="00661519" w:rsidP="00661519" w:rsidRDefault="00661519" w14:paraId="08DC305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207,189</w:t>
            </w:r>
          </w:p>
        </w:tc>
        <w:tc>
          <w:tcPr>
            <w:tcW w:w="736" w:type="dxa"/>
            <w:vAlign w:val="bottom"/>
          </w:tcPr>
          <w:p w:rsidRPr="009C48DA" w:rsidR="00661519" w:rsidP="00661519" w:rsidRDefault="00661519" w14:paraId="0237512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57,413</w:t>
            </w:r>
          </w:p>
        </w:tc>
        <w:tc>
          <w:tcPr>
            <w:tcW w:w="1230" w:type="dxa"/>
            <w:vAlign w:val="bottom"/>
          </w:tcPr>
          <w:p w:rsidRPr="009C48DA" w:rsidR="00661519" w:rsidP="00661519" w:rsidRDefault="00661519" w14:paraId="1F2FF21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7,312</w:t>
            </w:r>
          </w:p>
        </w:tc>
        <w:tc>
          <w:tcPr>
            <w:tcW w:w="1381" w:type="dxa"/>
            <w:vAlign w:val="bottom"/>
          </w:tcPr>
          <w:p w:rsidRPr="009C48DA" w:rsidR="00661519" w:rsidP="00661519" w:rsidRDefault="00661519" w14:paraId="0D6768C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20,830</w:t>
            </w:r>
          </w:p>
        </w:tc>
      </w:tr>
      <w:tr w:rsidRPr="009C48DA" w:rsidR="00661519" w:rsidTr="00661519" w14:paraId="4F919DF7" w14:textId="77777777">
        <w:tc>
          <w:tcPr>
            <w:tcW w:w="3764" w:type="dxa"/>
            <w:vAlign w:val="bottom"/>
          </w:tcPr>
          <w:p w:rsidRPr="009C48DA" w:rsidR="00661519" w:rsidP="00661519" w:rsidRDefault="00661519" w14:paraId="3F4AB0A0"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Purchase of investments (non CLO)</w:t>
            </w:r>
          </w:p>
        </w:tc>
        <w:tc>
          <w:tcPr>
            <w:tcW w:w="320" w:type="dxa"/>
            <w:vAlign w:val="bottom"/>
          </w:tcPr>
          <w:p w:rsidRPr="009C48DA" w:rsidR="00661519" w:rsidP="00661519" w:rsidRDefault="00661519" w14:paraId="2F66CFE1"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1641B7D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(107,983)</w:t>
            </w:r>
          </w:p>
        </w:tc>
        <w:tc>
          <w:tcPr>
            <w:tcW w:w="736" w:type="dxa"/>
            <w:vAlign w:val="bottom"/>
          </w:tcPr>
          <w:p w:rsidRPr="009C48DA" w:rsidR="00661519" w:rsidP="00661519" w:rsidRDefault="00661519" w14:paraId="7236896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(176,059)</w:t>
            </w:r>
          </w:p>
        </w:tc>
        <w:tc>
          <w:tcPr>
            <w:tcW w:w="736" w:type="dxa"/>
            <w:vAlign w:val="bottom"/>
          </w:tcPr>
          <w:p w:rsidRPr="009C48DA" w:rsidR="00661519" w:rsidP="00661519" w:rsidRDefault="00661519" w14:paraId="3142D7A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(75,649)</w:t>
            </w:r>
          </w:p>
        </w:tc>
        <w:tc>
          <w:tcPr>
            <w:tcW w:w="1230" w:type="dxa"/>
            <w:vAlign w:val="bottom"/>
          </w:tcPr>
          <w:p w:rsidRPr="009C48DA" w:rsidR="00661519" w:rsidP="00661519" w:rsidRDefault="00661519" w14:paraId="6C58701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(11,491)</w:t>
            </w:r>
          </w:p>
        </w:tc>
        <w:tc>
          <w:tcPr>
            <w:tcW w:w="1381" w:type="dxa"/>
            <w:vAlign w:val="bottom"/>
          </w:tcPr>
          <w:p w:rsidRPr="009C48DA" w:rsidR="00661519" w:rsidP="00661519" w:rsidRDefault="00661519" w14:paraId="17D132A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(10,222)</w:t>
            </w:r>
          </w:p>
        </w:tc>
      </w:tr>
      <w:tr w:rsidRPr="009C48DA" w:rsidR="00661519" w:rsidTr="00661519" w14:paraId="7CFCD08E" w14:textId="77777777">
        <w:tc>
          <w:tcPr>
            <w:tcW w:w="3764" w:type="dxa"/>
            <w:vAlign w:val="bottom"/>
          </w:tcPr>
          <w:p w:rsidRPr="009C48DA" w:rsidR="00661519" w:rsidP="00661519" w:rsidRDefault="00661519" w14:paraId="2065F063"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Receipts from investments (CLO)</w:t>
            </w:r>
          </w:p>
        </w:tc>
        <w:tc>
          <w:tcPr>
            <w:tcW w:w="320" w:type="dxa"/>
            <w:vAlign w:val="bottom"/>
          </w:tcPr>
          <w:p w:rsidRPr="009C48DA" w:rsidR="00661519" w:rsidP="00661519" w:rsidRDefault="00661519" w14:paraId="01C3CFC6"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50068F2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vAlign w:val="bottom"/>
          </w:tcPr>
          <w:p w:rsidRPr="009C48DA" w:rsidR="00661519" w:rsidP="00661519" w:rsidRDefault="00661519" w14:paraId="26AFD70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vAlign w:val="bottom"/>
          </w:tcPr>
          <w:p w:rsidRPr="009C48DA" w:rsidR="00661519" w:rsidP="00661519" w:rsidRDefault="00661519" w14:paraId="42D8963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2,148</w:t>
            </w:r>
          </w:p>
        </w:tc>
        <w:tc>
          <w:tcPr>
            <w:tcW w:w="1230" w:type="dxa"/>
            <w:vAlign w:val="bottom"/>
          </w:tcPr>
          <w:p w:rsidRPr="009C48DA" w:rsidR="00661519" w:rsidP="00661519" w:rsidRDefault="00661519" w14:paraId="0A08573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1" w:type="dxa"/>
            <w:vAlign w:val="bottom"/>
          </w:tcPr>
          <w:p w:rsidRPr="009C48DA" w:rsidR="00661519" w:rsidP="00661519" w:rsidRDefault="00661519" w14:paraId="7D067D2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28,073</w:t>
            </w:r>
          </w:p>
        </w:tc>
      </w:tr>
      <w:tr w:rsidRPr="009C48DA" w:rsidR="00661519" w:rsidTr="00661519" w14:paraId="098A8AD3" w14:textId="77777777">
        <w:tc>
          <w:tcPr>
            <w:tcW w:w="3764" w:type="dxa"/>
            <w:vAlign w:val="bottom"/>
          </w:tcPr>
          <w:p w:rsidRPr="009C48DA" w:rsidR="00661519" w:rsidP="00661519" w:rsidRDefault="00661519" w14:paraId="09D9D432"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Purchase of investments (CLO)</w:t>
            </w:r>
          </w:p>
        </w:tc>
        <w:tc>
          <w:tcPr>
            <w:tcW w:w="320" w:type="dxa"/>
            <w:vAlign w:val="bottom"/>
          </w:tcPr>
          <w:p w:rsidRPr="009C48DA" w:rsidR="00661519" w:rsidP="00661519" w:rsidRDefault="00661519" w14:paraId="04AE3857"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2AB4219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vAlign w:val="bottom"/>
          </w:tcPr>
          <w:p w:rsidRPr="009C48DA" w:rsidR="00661519" w:rsidP="00661519" w:rsidRDefault="00661519" w14:paraId="5B79A2B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vAlign w:val="bottom"/>
          </w:tcPr>
          <w:p w:rsidRPr="009C48DA" w:rsidR="00661519" w:rsidP="00661519" w:rsidRDefault="00661519" w14:paraId="6463AF1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(6,165)</w:t>
            </w:r>
          </w:p>
        </w:tc>
        <w:tc>
          <w:tcPr>
            <w:tcW w:w="1230" w:type="dxa"/>
            <w:vAlign w:val="bottom"/>
          </w:tcPr>
          <w:p w:rsidRPr="009C48DA" w:rsidR="00661519" w:rsidP="00661519" w:rsidRDefault="00661519" w14:paraId="5F415ED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1" w:type="dxa"/>
            <w:vAlign w:val="bottom"/>
          </w:tcPr>
          <w:p w:rsidRPr="009C48DA" w:rsidR="00661519" w:rsidP="00661519" w:rsidRDefault="00661519" w14:paraId="69E1767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(110,778)</w:t>
            </w:r>
          </w:p>
        </w:tc>
      </w:tr>
      <w:tr w:rsidRPr="009C48DA" w:rsidR="00661519" w:rsidTr="00661519" w14:paraId="36E00F03" w14:textId="77777777">
        <w:tc>
          <w:tcPr>
            <w:tcW w:w="3764" w:type="dxa"/>
            <w:vAlign w:val="bottom"/>
          </w:tcPr>
          <w:p w:rsidRPr="009C48DA" w:rsidR="00661519" w:rsidP="00661519" w:rsidRDefault="00661519" w14:paraId="22FC8118"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Cash acquired on acquisition of CLO</w:t>
            </w:r>
          </w:p>
        </w:tc>
        <w:tc>
          <w:tcPr>
            <w:tcW w:w="320" w:type="dxa"/>
            <w:vAlign w:val="bottom"/>
          </w:tcPr>
          <w:p w:rsidRPr="009C48DA" w:rsidR="00661519" w:rsidP="00661519" w:rsidRDefault="00661519" w14:paraId="4BF13149"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7EFCA6D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vAlign w:val="bottom"/>
          </w:tcPr>
          <w:p w:rsidRPr="009C48DA" w:rsidR="00661519" w:rsidP="00661519" w:rsidRDefault="00661519" w14:paraId="3D9A7B5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vAlign w:val="bottom"/>
          </w:tcPr>
          <w:p w:rsidRPr="009C48DA" w:rsidR="00661519" w:rsidP="00661519" w:rsidRDefault="00661519" w14:paraId="6A79EF8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1,919</w:t>
            </w:r>
          </w:p>
        </w:tc>
        <w:tc>
          <w:tcPr>
            <w:tcW w:w="1230" w:type="dxa"/>
            <w:vAlign w:val="bottom"/>
          </w:tcPr>
          <w:p w:rsidRPr="009C48DA" w:rsidR="00661519" w:rsidP="00661519" w:rsidRDefault="00661519" w14:paraId="62E7CA3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1" w:type="dxa"/>
            <w:vAlign w:val="bottom"/>
          </w:tcPr>
          <w:p w:rsidRPr="009C48DA" w:rsidR="00661519" w:rsidP="00661519" w:rsidRDefault="00661519" w14:paraId="7146741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74FB07D2" w14:textId="77777777">
        <w:tc>
          <w:tcPr>
            <w:tcW w:w="3764" w:type="dxa"/>
            <w:vAlign w:val="bottom"/>
          </w:tcPr>
          <w:p w:rsidRPr="009C48DA" w:rsidR="00661519" w:rsidP="00661519" w:rsidRDefault="00661519" w14:paraId="4CACC7B9"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Interest received (non CLO)</w:t>
            </w:r>
          </w:p>
        </w:tc>
        <w:tc>
          <w:tcPr>
            <w:tcW w:w="320" w:type="dxa"/>
            <w:vAlign w:val="bottom"/>
          </w:tcPr>
          <w:p w:rsidRPr="009C48DA" w:rsidR="00661519" w:rsidP="00661519" w:rsidRDefault="00661519" w14:paraId="1B76D1AF"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3856F95F"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4,128</w:t>
            </w:r>
          </w:p>
        </w:tc>
        <w:tc>
          <w:tcPr>
            <w:tcW w:w="736" w:type="dxa"/>
            <w:vAlign w:val="bottom"/>
          </w:tcPr>
          <w:p w:rsidRPr="009C48DA" w:rsidR="00661519" w:rsidP="00661519" w:rsidRDefault="00661519" w14:paraId="7BA98055"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3,009</w:t>
            </w:r>
          </w:p>
        </w:tc>
        <w:tc>
          <w:tcPr>
            <w:tcW w:w="736" w:type="dxa"/>
            <w:vAlign w:val="bottom"/>
          </w:tcPr>
          <w:p w:rsidRPr="009C48DA" w:rsidR="00661519" w:rsidP="00661519" w:rsidRDefault="00661519" w14:paraId="30AD4061"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30" w:type="dxa"/>
            <w:vAlign w:val="bottom"/>
          </w:tcPr>
          <w:p w:rsidRPr="009C48DA" w:rsidR="00661519" w:rsidP="00661519" w:rsidRDefault="00661519" w14:paraId="018B9AB1"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1" w:type="dxa"/>
            <w:vAlign w:val="bottom"/>
          </w:tcPr>
          <w:p w:rsidRPr="009C48DA" w:rsidR="00661519" w:rsidP="00661519" w:rsidRDefault="00661519" w14:paraId="63BA166C"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69568307" w14:textId="77777777">
        <w:tc>
          <w:tcPr>
            <w:tcW w:w="3764" w:type="dxa"/>
            <w:vAlign w:val="bottom"/>
          </w:tcPr>
          <w:p w:rsidRPr="009C48DA" w:rsidR="00661519" w:rsidP="00661519" w:rsidRDefault="00661519" w14:paraId="79CB10FC" w14:textId="2910B7CD">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Net cash flows from investing activities</w:t>
            </w:r>
          </w:p>
        </w:tc>
        <w:tc>
          <w:tcPr>
            <w:tcW w:w="320" w:type="dxa"/>
            <w:vAlign w:val="bottom"/>
          </w:tcPr>
          <w:p w:rsidRPr="009C48DA" w:rsidR="00661519" w:rsidP="00661519" w:rsidRDefault="00661519" w14:paraId="7E578223"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7E287CCF"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(36,999)</w:t>
            </w:r>
          </w:p>
        </w:tc>
        <w:tc>
          <w:tcPr>
            <w:tcW w:w="736" w:type="dxa"/>
            <w:vAlign w:val="bottom"/>
          </w:tcPr>
          <w:p w:rsidRPr="009C48DA" w:rsidR="00661519" w:rsidP="00661519" w:rsidRDefault="00661519" w14:paraId="72491A64"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30,455</w:t>
            </w:r>
          </w:p>
        </w:tc>
        <w:tc>
          <w:tcPr>
            <w:tcW w:w="736" w:type="dxa"/>
            <w:vAlign w:val="bottom"/>
          </w:tcPr>
          <w:p w:rsidRPr="009C48DA" w:rsidR="00661519" w:rsidP="00661519" w:rsidRDefault="00661519" w14:paraId="79865EA4"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(109,895)</w:t>
            </w:r>
          </w:p>
        </w:tc>
        <w:tc>
          <w:tcPr>
            <w:tcW w:w="1230" w:type="dxa"/>
            <w:vAlign w:val="bottom"/>
          </w:tcPr>
          <w:p w:rsidRPr="009C48DA" w:rsidR="00661519" w:rsidP="00661519" w:rsidRDefault="00661519" w14:paraId="32E9C492"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(3,990)</w:t>
            </w:r>
          </w:p>
        </w:tc>
        <w:tc>
          <w:tcPr>
            <w:tcW w:w="1381" w:type="dxa"/>
            <w:vAlign w:val="bottom"/>
          </w:tcPr>
          <w:p w:rsidRPr="009C48DA" w:rsidR="00661519" w:rsidP="00661519" w:rsidRDefault="00661519" w14:paraId="4D26ECC8"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(72,097)</w:t>
            </w:r>
          </w:p>
        </w:tc>
      </w:tr>
      <w:tr w:rsidRPr="009C48DA" w:rsidR="00661519" w:rsidTr="00661519" w14:paraId="69E8DAA1" w14:textId="77777777">
        <w:tc>
          <w:tcPr>
            <w:tcW w:w="3764" w:type="dxa"/>
            <w:vAlign w:val="bottom"/>
          </w:tcPr>
          <w:p w:rsidRPr="009C48DA" w:rsidR="00661519" w:rsidP="00661519" w:rsidRDefault="00661519" w14:paraId="36EDA399" w14:textId="77777777">
            <w:pPr>
              <w:spacing w:before="60"/>
              <w:textAlignment w:val="baseline"/>
              <w:rPr>
                <w:rFonts w:eastAsia="Times New Roman" w:cs="Times New Roman"/>
                <w:b/>
                <w:color w:val="000000"/>
                <w:sz w:val="16"/>
                <w:szCs w:val="16"/>
                <w:lang w:val="en-GB"/>
              </w:rPr>
            </w:pPr>
          </w:p>
          <w:p w:rsidRPr="009C48DA" w:rsidR="00661519" w:rsidP="00661519" w:rsidRDefault="00661519" w14:paraId="55A9E851"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Cash flows from financing activities</w:t>
            </w:r>
          </w:p>
        </w:tc>
        <w:tc>
          <w:tcPr>
            <w:tcW w:w="320" w:type="dxa"/>
            <w:vAlign w:val="bottom"/>
          </w:tcPr>
          <w:p w:rsidRPr="009C48DA" w:rsidR="00661519" w:rsidP="00661519" w:rsidRDefault="00661519" w14:paraId="72424D0E"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749305E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736" w:type="dxa"/>
            <w:vAlign w:val="bottom"/>
          </w:tcPr>
          <w:p w:rsidRPr="009C48DA" w:rsidR="00661519" w:rsidP="00661519" w:rsidRDefault="00661519" w14:paraId="4757280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736" w:type="dxa"/>
            <w:vAlign w:val="bottom"/>
          </w:tcPr>
          <w:p w:rsidRPr="009C48DA" w:rsidR="00661519" w:rsidP="00661519" w:rsidRDefault="00661519" w14:paraId="75A80AD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230" w:type="dxa"/>
            <w:vAlign w:val="bottom"/>
          </w:tcPr>
          <w:p w:rsidRPr="009C48DA" w:rsidR="00661519" w:rsidP="00661519" w:rsidRDefault="00661519" w14:paraId="4AB4693E" w14:textId="77777777">
            <w:pPr>
              <w:spacing w:before="60"/>
              <w:ind w:right="109"/>
              <w:jc w:val="right"/>
              <w:textAlignment w:val="baseline"/>
              <w:rPr>
                <w:rFonts w:eastAsia="Times New Roman" w:cs="Times New Roman"/>
                <w:color w:val="000000"/>
                <w:sz w:val="16"/>
                <w:szCs w:val="16"/>
                <w:lang w:val="en-GB"/>
              </w:rPr>
            </w:pPr>
          </w:p>
        </w:tc>
        <w:tc>
          <w:tcPr>
            <w:tcW w:w="1381" w:type="dxa"/>
            <w:vAlign w:val="bottom"/>
          </w:tcPr>
          <w:p w:rsidRPr="009C48DA" w:rsidR="00661519" w:rsidP="00661519" w:rsidRDefault="00661519" w14:paraId="06363DAD" w14:textId="77777777">
            <w:pPr>
              <w:spacing w:before="60"/>
              <w:ind w:right="109"/>
              <w:jc w:val="right"/>
              <w:textAlignment w:val="baseline"/>
              <w:rPr>
                <w:rFonts w:eastAsia="Times New Roman" w:cs="Times New Roman"/>
                <w:color w:val="000000"/>
                <w:sz w:val="16"/>
                <w:szCs w:val="16"/>
                <w:lang w:val="en-GB"/>
              </w:rPr>
            </w:pPr>
          </w:p>
        </w:tc>
      </w:tr>
      <w:tr w:rsidRPr="009C48DA" w:rsidR="00661519" w:rsidTr="00661519" w14:paraId="79FDC4FE" w14:textId="77777777">
        <w:tc>
          <w:tcPr>
            <w:tcW w:w="3764" w:type="dxa"/>
            <w:vAlign w:val="bottom"/>
          </w:tcPr>
          <w:p w:rsidRPr="009C48DA" w:rsidR="00661519" w:rsidP="00661519" w:rsidRDefault="00661519" w14:paraId="251848F4"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Receipt from non-controlling interest</w:t>
            </w:r>
          </w:p>
        </w:tc>
        <w:tc>
          <w:tcPr>
            <w:tcW w:w="320" w:type="dxa"/>
            <w:vAlign w:val="bottom"/>
          </w:tcPr>
          <w:p w:rsidRPr="009C48DA" w:rsidR="00661519" w:rsidP="00661519" w:rsidRDefault="00661519" w14:paraId="2FB372C9"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1247611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142,283</w:t>
            </w:r>
          </w:p>
        </w:tc>
        <w:tc>
          <w:tcPr>
            <w:tcW w:w="736" w:type="dxa"/>
            <w:vAlign w:val="bottom"/>
          </w:tcPr>
          <w:p w:rsidRPr="009C48DA" w:rsidR="00661519" w:rsidP="00661519" w:rsidRDefault="00661519" w14:paraId="576366B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vAlign w:val="bottom"/>
          </w:tcPr>
          <w:p w:rsidRPr="009C48DA" w:rsidR="00661519" w:rsidP="00661519" w:rsidRDefault="00661519" w14:paraId="1B67AA3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71,400</w:t>
            </w:r>
          </w:p>
        </w:tc>
        <w:tc>
          <w:tcPr>
            <w:tcW w:w="1230" w:type="dxa"/>
            <w:vAlign w:val="bottom"/>
          </w:tcPr>
          <w:p w:rsidRPr="009C48DA" w:rsidR="00661519" w:rsidP="00661519" w:rsidRDefault="00661519" w14:paraId="72FA850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1" w:type="dxa"/>
            <w:vAlign w:val="bottom"/>
          </w:tcPr>
          <w:p w:rsidRPr="009C48DA" w:rsidR="00661519" w:rsidP="00661519" w:rsidRDefault="00661519" w14:paraId="0FCE577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22A97FDA" w14:textId="77777777">
        <w:tc>
          <w:tcPr>
            <w:tcW w:w="3764" w:type="dxa"/>
            <w:vAlign w:val="bottom"/>
          </w:tcPr>
          <w:p w:rsidRPr="009C48DA" w:rsidR="00661519" w:rsidP="00661519" w:rsidRDefault="00661519" w14:paraId="177B4BE5"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Proceeds from issue of shares</w:t>
            </w:r>
          </w:p>
        </w:tc>
        <w:tc>
          <w:tcPr>
            <w:tcW w:w="320" w:type="dxa"/>
            <w:vAlign w:val="bottom"/>
          </w:tcPr>
          <w:p w:rsidRPr="009C48DA" w:rsidR="00661519" w:rsidP="00661519" w:rsidRDefault="00661519" w14:paraId="701B6156"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6572159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vAlign w:val="bottom"/>
          </w:tcPr>
          <w:p w:rsidRPr="009C48DA" w:rsidR="00661519" w:rsidP="00661519" w:rsidRDefault="00661519" w14:paraId="64B2B9F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552</w:t>
            </w:r>
          </w:p>
        </w:tc>
        <w:tc>
          <w:tcPr>
            <w:tcW w:w="736" w:type="dxa"/>
            <w:vAlign w:val="bottom"/>
          </w:tcPr>
          <w:p w:rsidRPr="009C48DA" w:rsidR="00661519" w:rsidP="00661519" w:rsidRDefault="00661519" w14:paraId="3795F5F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30" w:type="dxa"/>
            <w:vAlign w:val="bottom"/>
          </w:tcPr>
          <w:p w:rsidRPr="009C48DA" w:rsidR="00661519" w:rsidP="00661519" w:rsidRDefault="00661519" w14:paraId="0F0A543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1" w:type="dxa"/>
            <w:vAlign w:val="bottom"/>
          </w:tcPr>
          <w:p w:rsidRPr="009C48DA" w:rsidR="00661519" w:rsidP="00661519" w:rsidRDefault="00661519" w14:paraId="1A4D4DA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3018DA25" w14:textId="77777777">
        <w:tc>
          <w:tcPr>
            <w:tcW w:w="3764" w:type="dxa"/>
            <w:shd w:val="clear" w:color="auto" w:fill="auto"/>
            <w:vAlign w:val="bottom"/>
          </w:tcPr>
          <w:p w:rsidRPr="009C48DA" w:rsidR="00661519" w:rsidP="00661519" w:rsidRDefault="00661519" w14:paraId="5B9A82CB"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B share redemption/cancellation</w:t>
            </w:r>
          </w:p>
        </w:tc>
        <w:tc>
          <w:tcPr>
            <w:tcW w:w="320" w:type="dxa"/>
            <w:shd w:val="clear" w:color="auto" w:fill="auto"/>
            <w:vAlign w:val="bottom"/>
          </w:tcPr>
          <w:p w:rsidRPr="009C48DA" w:rsidR="00661519" w:rsidP="00661519" w:rsidRDefault="00661519" w14:paraId="51989337" w14:textId="77777777">
            <w:pPr>
              <w:spacing w:before="60"/>
              <w:jc w:val="center"/>
              <w:textAlignment w:val="baseline"/>
              <w:rPr>
                <w:rFonts w:eastAsia="Times New Roman" w:cs="Times New Roman"/>
                <w:color w:val="000000"/>
                <w:sz w:val="16"/>
                <w:szCs w:val="16"/>
                <w:lang w:val="en-GB"/>
              </w:rPr>
            </w:pPr>
          </w:p>
        </w:tc>
        <w:tc>
          <w:tcPr>
            <w:tcW w:w="736" w:type="dxa"/>
            <w:shd w:val="clear" w:color="auto" w:fill="auto"/>
            <w:vAlign w:val="bottom"/>
          </w:tcPr>
          <w:p w:rsidRPr="009C48DA" w:rsidR="00661519" w:rsidP="00661519" w:rsidRDefault="00661519" w14:paraId="65548D4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(161,530)</w:t>
            </w:r>
          </w:p>
        </w:tc>
        <w:tc>
          <w:tcPr>
            <w:tcW w:w="736" w:type="dxa"/>
            <w:shd w:val="clear" w:color="auto" w:fill="auto"/>
            <w:vAlign w:val="bottom"/>
          </w:tcPr>
          <w:p w:rsidRPr="009C48DA" w:rsidR="00661519" w:rsidP="00661519" w:rsidRDefault="00661519" w14:paraId="77BCD6F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shd w:val="clear" w:color="auto" w:fill="auto"/>
            <w:vAlign w:val="bottom"/>
          </w:tcPr>
          <w:p w:rsidRPr="009C48DA" w:rsidR="00661519" w:rsidP="00661519" w:rsidRDefault="00661519" w14:paraId="2290FEA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30" w:type="dxa"/>
            <w:shd w:val="clear" w:color="auto" w:fill="auto"/>
            <w:vAlign w:val="bottom"/>
          </w:tcPr>
          <w:p w:rsidRPr="009C48DA" w:rsidR="00661519" w:rsidP="00661519" w:rsidRDefault="00661519" w14:paraId="2F863CF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1" w:type="dxa"/>
            <w:shd w:val="clear" w:color="auto" w:fill="auto"/>
            <w:vAlign w:val="bottom"/>
          </w:tcPr>
          <w:p w:rsidRPr="009C48DA" w:rsidR="00661519" w:rsidP="00661519" w:rsidRDefault="00661519" w14:paraId="4BDE741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6728BB22" w14:textId="77777777">
        <w:tc>
          <w:tcPr>
            <w:tcW w:w="3764" w:type="dxa"/>
            <w:shd w:val="clear" w:color="auto" w:fill="auto"/>
            <w:vAlign w:val="bottom"/>
          </w:tcPr>
          <w:p w:rsidRPr="009C48DA" w:rsidR="00661519" w:rsidP="00661519" w:rsidRDefault="00661519" w14:paraId="447588F8" w14:textId="77777777">
            <w:pPr>
              <w:spacing w:before="60" w:line="185" w:lineRule="exact"/>
              <w:textAlignment w:val="baseline"/>
              <w:rPr>
                <w:rFonts w:eastAsia="Times New Roman"/>
                <w:color w:val="000000"/>
                <w:sz w:val="16"/>
                <w:lang w:val="en-GB"/>
              </w:rPr>
            </w:pPr>
            <w:r w:rsidRPr="009C48DA">
              <w:rPr>
                <w:rFonts w:eastAsia="Times New Roman"/>
                <w:color w:val="000000"/>
                <w:sz w:val="16"/>
                <w:lang w:val="en-GB"/>
              </w:rPr>
              <w:t>Dividends paid to shareholders of the</w:t>
            </w:r>
          </w:p>
          <w:p w:rsidRPr="009C48DA" w:rsidR="00661519" w:rsidP="00661519" w:rsidRDefault="00661519" w14:paraId="6C146F87" w14:textId="77777777">
            <w:pPr>
              <w:spacing w:before="60"/>
              <w:textAlignment w:val="baseline"/>
              <w:rPr>
                <w:rFonts w:eastAsia="Times New Roman" w:cs="Times New Roman"/>
                <w:color w:val="000000"/>
                <w:sz w:val="16"/>
                <w:szCs w:val="16"/>
                <w:lang w:val="en-GB"/>
              </w:rPr>
            </w:pPr>
            <w:r w:rsidRPr="009C48DA">
              <w:rPr>
                <w:rFonts w:eastAsia="Times New Roman"/>
                <w:color w:val="000000"/>
                <w:sz w:val="16"/>
                <w:lang w:val="en-GB"/>
              </w:rPr>
              <w:t>Company</w:t>
            </w:r>
          </w:p>
        </w:tc>
        <w:tc>
          <w:tcPr>
            <w:tcW w:w="320" w:type="dxa"/>
            <w:shd w:val="clear" w:color="auto" w:fill="auto"/>
            <w:vAlign w:val="bottom"/>
          </w:tcPr>
          <w:p w:rsidRPr="009C48DA" w:rsidR="00661519" w:rsidP="00661519" w:rsidRDefault="00661519" w14:paraId="67077B49"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w:t>
            </w:r>
          </w:p>
        </w:tc>
        <w:tc>
          <w:tcPr>
            <w:tcW w:w="736" w:type="dxa"/>
            <w:shd w:val="clear" w:color="auto" w:fill="auto"/>
            <w:vAlign w:val="bottom"/>
          </w:tcPr>
          <w:p w:rsidRPr="009C48DA" w:rsidR="00661519" w:rsidP="00661519" w:rsidRDefault="00661519" w14:paraId="2511996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shd w:val="clear" w:color="auto" w:fill="auto"/>
            <w:vAlign w:val="bottom"/>
          </w:tcPr>
          <w:p w:rsidRPr="009C48DA" w:rsidR="00661519" w:rsidP="00661519" w:rsidRDefault="00661519" w14:paraId="2F37D8B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(6,584)</w:t>
            </w:r>
          </w:p>
        </w:tc>
        <w:tc>
          <w:tcPr>
            <w:tcW w:w="736" w:type="dxa"/>
            <w:shd w:val="clear" w:color="auto" w:fill="auto"/>
            <w:vAlign w:val="bottom"/>
          </w:tcPr>
          <w:p w:rsidRPr="009C48DA" w:rsidR="00661519" w:rsidP="00661519" w:rsidRDefault="00661519" w14:paraId="0C82CB5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(6,522)</w:t>
            </w:r>
          </w:p>
        </w:tc>
        <w:tc>
          <w:tcPr>
            <w:tcW w:w="1230" w:type="dxa"/>
            <w:shd w:val="clear" w:color="auto" w:fill="auto"/>
            <w:vAlign w:val="bottom"/>
          </w:tcPr>
          <w:p w:rsidRPr="009C48DA" w:rsidR="00661519" w:rsidP="00661519" w:rsidRDefault="00661519" w14:paraId="10BE912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1" w:type="dxa"/>
            <w:shd w:val="clear" w:color="auto" w:fill="auto"/>
            <w:vAlign w:val="bottom"/>
          </w:tcPr>
          <w:p w:rsidRPr="009C48DA" w:rsidR="00661519" w:rsidP="00661519" w:rsidRDefault="00661519" w14:paraId="79D478B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419C1B4A" w14:textId="77777777">
        <w:tc>
          <w:tcPr>
            <w:tcW w:w="3764" w:type="dxa"/>
            <w:shd w:val="clear" w:color="auto" w:fill="auto"/>
            <w:vAlign w:val="bottom"/>
          </w:tcPr>
          <w:p w:rsidRPr="009C48DA" w:rsidR="00661519" w:rsidP="00661519" w:rsidRDefault="00661519" w14:paraId="209FE47D" w14:textId="77777777">
            <w:pPr>
              <w:tabs>
                <w:tab w:val="left" w:pos="2808"/>
                <w:tab w:val="right" w:pos="4248"/>
                <w:tab w:val="right" w:pos="5400"/>
                <w:tab w:val="right" w:pos="6552"/>
                <w:tab w:val="right" w:pos="7848"/>
                <w:tab w:val="right" w:pos="9000"/>
              </w:tabs>
              <w:spacing w:before="60" w:line="208" w:lineRule="exact"/>
              <w:textAlignment w:val="baseline"/>
              <w:rPr>
                <w:rFonts w:eastAsia="Times New Roman"/>
                <w:color w:val="000000"/>
                <w:sz w:val="16"/>
                <w:lang w:val="en-GB"/>
              </w:rPr>
            </w:pPr>
            <w:r w:rsidRPr="009C48DA">
              <w:rPr>
                <w:rFonts w:eastAsia="Times New Roman"/>
                <w:color w:val="000000"/>
                <w:sz w:val="16"/>
                <w:lang w:val="en-GB"/>
              </w:rPr>
              <w:t>Dividends paid to non-controlling</w:t>
            </w:r>
          </w:p>
          <w:p w:rsidRPr="009C48DA" w:rsidR="00661519" w:rsidP="00661519" w:rsidRDefault="00661519" w14:paraId="310D60C9" w14:textId="77777777">
            <w:pPr>
              <w:spacing w:before="60"/>
              <w:textAlignment w:val="baseline"/>
              <w:rPr>
                <w:rFonts w:eastAsia="Times New Roman" w:cs="Times New Roman"/>
                <w:color w:val="000000"/>
                <w:sz w:val="16"/>
                <w:szCs w:val="16"/>
                <w:lang w:val="en-GB"/>
              </w:rPr>
            </w:pPr>
            <w:r w:rsidRPr="009C48DA">
              <w:rPr>
                <w:rFonts w:eastAsia="Times New Roman"/>
                <w:color w:val="000000"/>
                <w:sz w:val="16"/>
                <w:lang w:val="en-GB"/>
              </w:rPr>
              <w:t>interests</w:t>
            </w:r>
          </w:p>
        </w:tc>
        <w:tc>
          <w:tcPr>
            <w:tcW w:w="320" w:type="dxa"/>
            <w:shd w:val="clear" w:color="auto" w:fill="auto"/>
            <w:vAlign w:val="bottom"/>
          </w:tcPr>
          <w:p w:rsidRPr="009C48DA" w:rsidR="00661519" w:rsidP="00661519" w:rsidRDefault="00661519" w14:paraId="6946BC89" w14:textId="77777777">
            <w:pPr>
              <w:spacing w:before="60"/>
              <w:jc w:val="center"/>
              <w:textAlignment w:val="baseline"/>
              <w:rPr>
                <w:rFonts w:eastAsia="Times New Roman" w:cs="Times New Roman"/>
                <w:color w:val="000000"/>
                <w:sz w:val="16"/>
                <w:szCs w:val="16"/>
                <w:lang w:val="en-GB"/>
              </w:rPr>
            </w:pPr>
          </w:p>
        </w:tc>
        <w:tc>
          <w:tcPr>
            <w:tcW w:w="736" w:type="dxa"/>
            <w:shd w:val="clear" w:color="auto" w:fill="auto"/>
            <w:vAlign w:val="bottom"/>
          </w:tcPr>
          <w:p w:rsidRPr="009C48DA" w:rsidR="00661519" w:rsidP="00661519" w:rsidRDefault="00661519" w14:paraId="59BBB27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shd w:val="clear" w:color="auto" w:fill="auto"/>
            <w:vAlign w:val="bottom"/>
          </w:tcPr>
          <w:p w:rsidRPr="009C48DA" w:rsidR="00661519" w:rsidP="00661519" w:rsidRDefault="00661519" w14:paraId="10BAE2F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(2,844)</w:t>
            </w:r>
          </w:p>
        </w:tc>
        <w:tc>
          <w:tcPr>
            <w:tcW w:w="736" w:type="dxa"/>
            <w:shd w:val="clear" w:color="auto" w:fill="auto"/>
            <w:vAlign w:val="bottom"/>
          </w:tcPr>
          <w:p w:rsidRPr="009C48DA" w:rsidR="00661519" w:rsidP="00661519" w:rsidRDefault="00661519" w14:paraId="6CA0EB4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(4,444)</w:t>
            </w:r>
          </w:p>
        </w:tc>
        <w:tc>
          <w:tcPr>
            <w:tcW w:w="1230" w:type="dxa"/>
            <w:shd w:val="clear" w:color="auto" w:fill="auto"/>
            <w:vAlign w:val="bottom"/>
          </w:tcPr>
          <w:p w:rsidRPr="009C48DA" w:rsidR="00661519" w:rsidP="00661519" w:rsidRDefault="00661519" w14:paraId="746DDCD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(4,444)</w:t>
            </w:r>
          </w:p>
        </w:tc>
        <w:tc>
          <w:tcPr>
            <w:tcW w:w="1381" w:type="dxa"/>
            <w:shd w:val="clear" w:color="auto" w:fill="auto"/>
            <w:vAlign w:val="bottom"/>
          </w:tcPr>
          <w:p w:rsidRPr="009C48DA" w:rsidR="00661519" w:rsidP="00661519" w:rsidRDefault="00661519" w14:paraId="35BD7E1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2A6EF554" w14:textId="77777777">
        <w:tc>
          <w:tcPr>
            <w:tcW w:w="3764" w:type="dxa"/>
            <w:shd w:val="clear" w:color="auto" w:fill="auto"/>
            <w:vAlign w:val="bottom"/>
          </w:tcPr>
          <w:p w:rsidRPr="009C48DA" w:rsidR="00661519" w:rsidP="00661519" w:rsidRDefault="00661519" w14:paraId="1CCFD049" w14:textId="77777777">
            <w:pPr>
              <w:tabs>
                <w:tab w:val="left" w:pos="2808"/>
                <w:tab w:val="right" w:pos="4248"/>
                <w:tab w:val="right" w:pos="5400"/>
                <w:tab w:val="right" w:pos="6552"/>
                <w:tab w:val="right" w:pos="7848"/>
                <w:tab w:val="right" w:pos="9000"/>
              </w:tabs>
              <w:spacing w:before="60" w:line="208" w:lineRule="exact"/>
              <w:textAlignment w:val="baseline"/>
              <w:rPr>
                <w:rFonts w:eastAsia="Times New Roman"/>
                <w:color w:val="000000"/>
                <w:sz w:val="16"/>
                <w:lang w:val="en-GB"/>
              </w:rPr>
            </w:pPr>
            <w:r w:rsidRPr="009C48DA">
              <w:rPr>
                <w:rFonts w:eastAsia="Times New Roman"/>
                <w:color w:val="000000"/>
                <w:sz w:val="16"/>
                <w:lang w:val="en-GB"/>
              </w:rPr>
              <w:t>Drawings on banking facilities</w:t>
            </w:r>
          </w:p>
        </w:tc>
        <w:tc>
          <w:tcPr>
            <w:tcW w:w="320" w:type="dxa"/>
            <w:shd w:val="clear" w:color="auto" w:fill="auto"/>
            <w:vAlign w:val="bottom"/>
          </w:tcPr>
          <w:p w:rsidRPr="009C48DA" w:rsidR="00661519" w:rsidP="00661519" w:rsidRDefault="00661519" w14:paraId="6B76314C" w14:textId="77777777">
            <w:pPr>
              <w:spacing w:before="60"/>
              <w:jc w:val="center"/>
              <w:textAlignment w:val="baseline"/>
              <w:rPr>
                <w:rFonts w:eastAsia="Times New Roman" w:cs="Times New Roman"/>
                <w:color w:val="000000"/>
                <w:sz w:val="16"/>
                <w:szCs w:val="16"/>
                <w:lang w:val="en-GB"/>
              </w:rPr>
            </w:pPr>
          </w:p>
        </w:tc>
        <w:tc>
          <w:tcPr>
            <w:tcW w:w="736" w:type="dxa"/>
            <w:shd w:val="clear" w:color="auto" w:fill="auto"/>
            <w:vAlign w:val="bottom"/>
          </w:tcPr>
          <w:p w:rsidRPr="009C48DA" w:rsidR="00661519" w:rsidP="00661519" w:rsidRDefault="00661519" w14:paraId="304E13F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80,065</w:t>
            </w:r>
          </w:p>
        </w:tc>
        <w:tc>
          <w:tcPr>
            <w:tcW w:w="736" w:type="dxa"/>
            <w:shd w:val="clear" w:color="auto" w:fill="auto"/>
            <w:vAlign w:val="bottom"/>
          </w:tcPr>
          <w:p w:rsidRPr="009C48DA" w:rsidR="00661519" w:rsidP="00661519" w:rsidRDefault="00661519" w14:paraId="3E60BF2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116,087</w:t>
            </w:r>
          </w:p>
        </w:tc>
        <w:tc>
          <w:tcPr>
            <w:tcW w:w="736" w:type="dxa"/>
            <w:shd w:val="clear" w:color="auto" w:fill="auto"/>
            <w:vAlign w:val="bottom"/>
          </w:tcPr>
          <w:p w:rsidRPr="009C48DA" w:rsidR="00661519" w:rsidP="00661519" w:rsidRDefault="00661519" w14:paraId="2092F00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130,302</w:t>
            </w:r>
          </w:p>
        </w:tc>
        <w:tc>
          <w:tcPr>
            <w:tcW w:w="1230" w:type="dxa"/>
            <w:shd w:val="clear" w:color="auto" w:fill="auto"/>
            <w:vAlign w:val="bottom"/>
          </w:tcPr>
          <w:p w:rsidRPr="009C48DA" w:rsidR="00661519" w:rsidP="00661519" w:rsidRDefault="00661519" w14:paraId="400EE56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25,000</w:t>
            </w:r>
          </w:p>
        </w:tc>
        <w:tc>
          <w:tcPr>
            <w:tcW w:w="1381" w:type="dxa"/>
            <w:shd w:val="clear" w:color="auto" w:fill="auto"/>
            <w:vAlign w:val="bottom"/>
          </w:tcPr>
          <w:p w:rsidRPr="009C48DA" w:rsidR="00661519" w:rsidP="00661519" w:rsidRDefault="00661519" w14:paraId="168293D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23,322</w:t>
            </w:r>
          </w:p>
        </w:tc>
      </w:tr>
      <w:tr w:rsidRPr="009C48DA" w:rsidR="00661519" w:rsidTr="00661519" w14:paraId="5EC1C9D0" w14:textId="77777777">
        <w:tc>
          <w:tcPr>
            <w:tcW w:w="3764" w:type="dxa"/>
            <w:shd w:val="clear" w:color="auto" w:fill="auto"/>
            <w:vAlign w:val="bottom"/>
          </w:tcPr>
          <w:p w:rsidRPr="009C48DA" w:rsidR="00661519" w:rsidP="00661519" w:rsidRDefault="00661519" w14:paraId="7DC656E7" w14:textId="77777777">
            <w:pPr>
              <w:tabs>
                <w:tab w:val="left" w:pos="2808"/>
                <w:tab w:val="right" w:pos="4248"/>
                <w:tab w:val="right" w:pos="5400"/>
                <w:tab w:val="right" w:pos="6552"/>
                <w:tab w:val="right" w:pos="7848"/>
                <w:tab w:val="right" w:pos="9000"/>
              </w:tabs>
              <w:spacing w:before="60" w:line="208" w:lineRule="exact"/>
              <w:textAlignment w:val="baseline"/>
              <w:rPr>
                <w:rFonts w:eastAsia="Times New Roman"/>
                <w:color w:val="000000"/>
                <w:sz w:val="16"/>
                <w:lang w:val="en-GB"/>
              </w:rPr>
            </w:pPr>
            <w:r w:rsidRPr="009C48DA">
              <w:rPr>
                <w:rFonts w:eastAsia="Times New Roman"/>
                <w:color w:val="000000"/>
                <w:sz w:val="16"/>
                <w:lang w:val="en-GB"/>
              </w:rPr>
              <w:t>Repayment of banking facilities</w:t>
            </w:r>
          </w:p>
        </w:tc>
        <w:tc>
          <w:tcPr>
            <w:tcW w:w="320" w:type="dxa"/>
            <w:shd w:val="clear" w:color="auto" w:fill="auto"/>
            <w:vAlign w:val="bottom"/>
          </w:tcPr>
          <w:p w:rsidRPr="009C48DA" w:rsidR="00661519" w:rsidP="00661519" w:rsidRDefault="00661519" w14:paraId="3D00CF62" w14:textId="77777777">
            <w:pPr>
              <w:spacing w:before="60"/>
              <w:jc w:val="center"/>
              <w:textAlignment w:val="baseline"/>
              <w:rPr>
                <w:rFonts w:eastAsia="Times New Roman" w:cs="Times New Roman"/>
                <w:color w:val="000000"/>
                <w:sz w:val="16"/>
                <w:szCs w:val="16"/>
                <w:lang w:val="en-GB"/>
              </w:rPr>
            </w:pPr>
          </w:p>
        </w:tc>
        <w:tc>
          <w:tcPr>
            <w:tcW w:w="736" w:type="dxa"/>
            <w:shd w:val="clear" w:color="auto" w:fill="auto"/>
            <w:vAlign w:val="bottom"/>
          </w:tcPr>
          <w:p w:rsidRPr="009C48DA" w:rsidR="00661519" w:rsidP="00661519" w:rsidRDefault="00661519" w14:paraId="6320B8F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(29,765)</w:t>
            </w:r>
          </w:p>
        </w:tc>
        <w:tc>
          <w:tcPr>
            <w:tcW w:w="736" w:type="dxa"/>
            <w:shd w:val="clear" w:color="auto" w:fill="auto"/>
            <w:vAlign w:val="bottom"/>
          </w:tcPr>
          <w:p w:rsidRPr="009C48DA" w:rsidR="00661519" w:rsidP="00661519" w:rsidRDefault="00661519" w14:paraId="7965D2A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(148,573)</w:t>
            </w:r>
          </w:p>
        </w:tc>
        <w:tc>
          <w:tcPr>
            <w:tcW w:w="736" w:type="dxa"/>
            <w:shd w:val="clear" w:color="auto" w:fill="auto"/>
            <w:vAlign w:val="bottom"/>
          </w:tcPr>
          <w:p w:rsidRPr="009C48DA" w:rsidR="00661519" w:rsidP="00661519" w:rsidRDefault="00661519" w14:paraId="524FE7A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(73,492)</w:t>
            </w:r>
          </w:p>
        </w:tc>
        <w:tc>
          <w:tcPr>
            <w:tcW w:w="1230" w:type="dxa"/>
            <w:shd w:val="clear" w:color="auto" w:fill="auto"/>
            <w:vAlign w:val="bottom"/>
          </w:tcPr>
          <w:p w:rsidRPr="009C48DA" w:rsidR="00661519" w:rsidP="00661519" w:rsidRDefault="00661519" w14:paraId="5E75C88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(26,470)</w:t>
            </w:r>
          </w:p>
        </w:tc>
        <w:tc>
          <w:tcPr>
            <w:tcW w:w="1381" w:type="dxa"/>
            <w:shd w:val="clear" w:color="auto" w:fill="auto"/>
            <w:vAlign w:val="bottom"/>
          </w:tcPr>
          <w:p w:rsidRPr="009C48DA" w:rsidR="00661519" w:rsidP="00661519" w:rsidRDefault="00661519" w14:paraId="679BCAD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(32,573)</w:t>
            </w:r>
          </w:p>
        </w:tc>
      </w:tr>
      <w:tr w:rsidRPr="009C48DA" w:rsidR="00661519" w:rsidTr="00661519" w14:paraId="7D15A9DD" w14:textId="77777777">
        <w:tc>
          <w:tcPr>
            <w:tcW w:w="3764" w:type="dxa"/>
            <w:shd w:val="clear" w:color="auto" w:fill="auto"/>
            <w:vAlign w:val="bottom"/>
          </w:tcPr>
          <w:p w:rsidRPr="009C48DA" w:rsidR="00661519" w:rsidP="00661519" w:rsidRDefault="00661519" w14:paraId="4B680861" w14:textId="77777777">
            <w:pPr>
              <w:tabs>
                <w:tab w:val="left" w:pos="2808"/>
                <w:tab w:val="right" w:pos="4248"/>
                <w:tab w:val="right" w:pos="5400"/>
                <w:tab w:val="right" w:pos="6552"/>
                <w:tab w:val="right" w:pos="7848"/>
                <w:tab w:val="right" w:pos="9000"/>
              </w:tabs>
              <w:spacing w:before="60" w:line="208" w:lineRule="exact"/>
              <w:textAlignment w:val="baseline"/>
              <w:rPr>
                <w:rFonts w:eastAsia="Times New Roman"/>
                <w:color w:val="000000"/>
                <w:sz w:val="16"/>
                <w:lang w:val="en-GB"/>
              </w:rPr>
            </w:pPr>
            <w:r w:rsidRPr="009C48DA">
              <w:rPr>
                <w:rFonts w:eastAsia="Times New Roman"/>
                <w:color w:val="000000"/>
                <w:sz w:val="16"/>
                <w:lang w:val="en-GB"/>
              </w:rPr>
              <w:t>Drawn funding (CLO)</w:t>
            </w:r>
          </w:p>
        </w:tc>
        <w:tc>
          <w:tcPr>
            <w:tcW w:w="320" w:type="dxa"/>
            <w:shd w:val="clear" w:color="auto" w:fill="auto"/>
            <w:vAlign w:val="bottom"/>
          </w:tcPr>
          <w:p w:rsidRPr="009C48DA" w:rsidR="00661519" w:rsidP="00661519" w:rsidRDefault="00661519" w14:paraId="71164694" w14:textId="77777777">
            <w:pPr>
              <w:spacing w:before="60"/>
              <w:jc w:val="center"/>
              <w:textAlignment w:val="baseline"/>
              <w:rPr>
                <w:rFonts w:eastAsia="Times New Roman" w:cs="Times New Roman"/>
                <w:color w:val="000000"/>
                <w:sz w:val="16"/>
                <w:szCs w:val="16"/>
                <w:lang w:val="en-GB"/>
              </w:rPr>
            </w:pPr>
          </w:p>
        </w:tc>
        <w:tc>
          <w:tcPr>
            <w:tcW w:w="736" w:type="dxa"/>
            <w:shd w:val="clear" w:color="auto" w:fill="auto"/>
            <w:vAlign w:val="bottom"/>
          </w:tcPr>
          <w:p w:rsidRPr="009C48DA" w:rsidR="00661519" w:rsidP="00661519" w:rsidRDefault="00661519" w14:paraId="7E9E97B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shd w:val="clear" w:color="auto" w:fill="auto"/>
            <w:vAlign w:val="bottom"/>
          </w:tcPr>
          <w:p w:rsidRPr="009C48DA" w:rsidR="00661519" w:rsidP="00661519" w:rsidRDefault="00661519" w14:paraId="252E724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shd w:val="clear" w:color="auto" w:fill="auto"/>
            <w:vAlign w:val="bottom"/>
          </w:tcPr>
          <w:p w:rsidRPr="009C48DA" w:rsidR="00661519" w:rsidP="00661519" w:rsidRDefault="00661519" w14:paraId="01E346A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6,165</w:t>
            </w:r>
          </w:p>
        </w:tc>
        <w:tc>
          <w:tcPr>
            <w:tcW w:w="1230" w:type="dxa"/>
            <w:shd w:val="clear" w:color="auto" w:fill="auto"/>
            <w:vAlign w:val="bottom"/>
          </w:tcPr>
          <w:p w:rsidRPr="009C48DA" w:rsidR="00661519" w:rsidP="00661519" w:rsidRDefault="00661519" w14:paraId="0719DF8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1" w:type="dxa"/>
            <w:shd w:val="clear" w:color="auto" w:fill="auto"/>
            <w:vAlign w:val="bottom"/>
          </w:tcPr>
          <w:p w:rsidRPr="009C48DA" w:rsidR="00661519" w:rsidP="00661519" w:rsidRDefault="00661519" w14:paraId="06A1827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32,209</w:t>
            </w:r>
          </w:p>
        </w:tc>
      </w:tr>
      <w:tr w:rsidRPr="009C48DA" w:rsidR="00661519" w:rsidTr="00661519" w14:paraId="643499A5" w14:textId="77777777">
        <w:tc>
          <w:tcPr>
            <w:tcW w:w="3764" w:type="dxa"/>
            <w:shd w:val="clear" w:color="auto" w:fill="auto"/>
            <w:vAlign w:val="bottom"/>
          </w:tcPr>
          <w:p w:rsidRPr="009C48DA" w:rsidR="00661519" w:rsidP="00661519" w:rsidRDefault="00661519" w14:paraId="43227428" w14:textId="77777777">
            <w:pPr>
              <w:tabs>
                <w:tab w:val="left" w:pos="2808"/>
                <w:tab w:val="right" w:pos="4248"/>
                <w:tab w:val="right" w:pos="5400"/>
                <w:tab w:val="right" w:pos="6552"/>
                <w:tab w:val="right" w:pos="7848"/>
                <w:tab w:val="right" w:pos="9000"/>
              </w:tabs>
              <w:spacing w:before="60" w:line="208" w:lineRule="exact"/>
              <w:textAlignment w:val="baseline"/>
              <w:rPr>
                <w:rFonts w:eastAsia="Times New Roman"/>
                <w:color w:val="000000"/>
                <w:sz w:val="16"/>
                <w:lang w:val="en-GB"/>
              </w:rPr>
            </w:pPr>
            <w:r w:rsidRPr="009C48DA">
              <w:rPr>
                <w:rFonts w:eastAsia="Times New Roman"/>
                <w:color w:val="000000"/>
                <w:sz w:val="16"/>
                <w:lang w:val="en-GB"/>
              </w:rPr>
              <w:t>Repayment of CLO borrowings</w:t>
            </w:r>
          </w:p>
        </w:tc>
        <w:tc>
          <w:tcPr>
            <w:tcW w:w="320" w:type="dxa"/>
            <w:shd w:val="clear" w:color="auto" w:fill="auto"/>
            <w:vAlign w:val="bottom"/>
          </w:tcPr>
          <w:p w:rsidRPr="009C48DA" w:rsidR="00661519" w:rsidP="00661519" w:rsidRDefault="00661519" w14:paraId="1BCEF2A2" w14:textId="77777777">
            <w:pPr>
              <w:spacing w:before="60"/>
              <w:jc w:val="center"/>
              <w:textAlignment w:val="baseline"/>
              <w:rPr>
                <w:rFonts w:eastAsia="Times New Roman" w:cs="Times New Roman"/>
                <w:color w:val="000000"/>
                <w:sz w:val="16"/>
                <w:szCs w:val="16"/>
                <w:lang w:val="en-GB"/>
              </w:rPr>
            </w:pPr>
          </w:p>
        </w:tc>
        <w:tc>
          <w:tcPr>
            <w:tcW w:w="736" w:type="dxa"/>
            <w:shd w:val="clear" w:color="auto" w:fill="auto"/>
            <w:vAlign w:val="bottom"/>
          </w:tcPr>
          <w:p w:rsidRPr="009C48DA" w:rsidR="00661519" w:rsidP="00661519" w:rsidRDefault="00661519" w14:paraId="6D3EEAF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shd w:val="clear" w:color="auto" w:fill="auto"/>
            <w:vAlign w:val="bottom"/>
          </w:tcPr>
          <w:p w:rsidRPr="009C48DA" w:rsidR="00661519" w:rsidP="00661519" w:rsidRDefault="00661519" w14:paraId="21CA10A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shd w:val="clear" w:color="auto" w:fill="auto"/>
            <w:vAlign w:val="bottom"/>
          </w:tcPr>
          <w:p w:rsidRPr="009C48DA" w:rsidR="00661519" w:rsidP="00661519" w:rsidRDefault="00661519" w14:paraId="5FEEA72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(124,147)</w:t>
            </w:r>
          </w:p>
        </w:tc>
        <w:tc>
          <w:tcPr>
            <w:tcW w:w="1230" w:type="dxa"/>
            <w:shd w:val="clear" w:color="auto" w:fill="auto"/>
            <w:vAlign w:val="bottom"/>
          </w:tcPr>
          <w:p w:rsidRPr="009C48DA" w:rsidR="00661519" w:rsidP="00661519" w:rsidRDefault="00661519" w14:paraId="6190132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1" w:type="dxa"/>
            <w:shd w:val="clear" w:color="auto" w:fill="auto"/>
            <w:vAlign w:val="bottom"/>
          </w:tcPr>
          <w:p w:rsidRPr="009C48DA" w:rsidR="00661519" w:rsidP="00661519" w:rsidRDefault="00661519" w14:paraId="6F3BCD0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5D838C96" w14:textId="77777777">
        <w:tc>
          <w:tcPr>
            <w:tcW w:w="3764" w:type="dxa"/>
            <w:shd w:val="clear" w:color="auto" w:fill="auto"/>
            <w:vAlign w:val="bottom"/>
          </w:tcPr>
          <w:p w:rsidRPr="009C48DA" w:rsidR="00661519" w:rsidP="00661519" w:rsidRDefault="00661519" w14:paraId="50F73990" w14:textId="77777777">
            <w:pPr>
              <w:tabs>
                <w:tab w:val="left" w:pos="2808"/>
                <w:tab w:val="right" w:pos="4248"/>
                <w:tab w:val="right" w:pos="5400"/>
                <w:tab w:val="right" w:pos="6552"/>
                <w:tab w:val="right" w:pos="7848"/>
                <w:tab w:val="right" w:pos="9000"/>
              </w:tabs>
              <w:spacing w:before="60" w:line="208" w:lineRule="exact"/>
              <w:textAlignment w:val="baseline"/>
              <w:rPr>
                <w:rFonts w:eastAsia="Times New Roman"/>
                <w:color w:val="000000"/>
                <w:sz w:val="16"/>
                <w:lang w:val="en-GB"/>
              </w:rPr>
            </w:pPr>
            <w:r w:rsidRPr="009C48DA">
              <w:rPr>
                <w:rFonts w:eastAsia="Times New Roman"/>
                <w:color w:val="000000"/>
                <w:sz w:val="16"/>
                <w:lang w:val="en-GB"/>
              </w:rPr>
              <w:t>Cash from CLO investors (CLO)</w:t>
            </w:r>
          </w:p>
        </w:tc>
        <w:tc>
          <w:tcPr>
            <w:tcW w:w="320" w:type="dxa"/>
            <w:shd w:val="clear" w:color="auto" w:fill="auto"/>
            <w:vAlign w:val="bottom"/>
          </w:tcPr>
          <w:p w:rsidRPr="009C48DA" w:rsidR="00661519" w:rsidP="00661519" w:rsidRDefault="00661519" w14:paraId="3768355C" w14:textId="77777777">
            <w:pPr>
              <w:spacing w:before="60"/>
              <w:jc w:val="center"/>
              <w:textAlignment w:val="baseline"/>
              <w:rPr>
                <w:rFonts w:eastAsia="Times New Roman" w:cs="Times New Roman"/>
                <w:color w:val="000000"/>
                <w:sz w:val="16"/>
                <w:szCs w:val="16"/>
                <w:lang w:val="en-GB"/>
              </w:rPr>
            </w:pPr>
          </w:p>
        </w:tc>
        <w:tc>
          <w:tcPr>
            <w:tcW w:w="736" w:type="dxa"/>
            <w:shd w:val="clear" w:color="auto" w:fill="auto"/>
            <w:vAlign w:val="bottom"/>
          </w:tcPr>
          <w:p w:rsidRPr="009C48DA" w:rsidR="00661519" w:rsidP="00661519" w:rsidRDefault="00661519" w14:paraId="33D3E16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shd w:val="clear" w:color="auto" w:fill="auto"/>
            <w:vAlign w:val="bottom"/>
          </w:tcPr>
          <w:p w:rsidRPr="009C48DA" w:rsidR="00661519" w:rsidP="00661519" w:rsidRDefault="00661519" w14:paraId="627B74E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shd w:val="clear" w:color="auto" w:fill="auto"/>
            <w:vAlign w:val="bottom"/>
          </w:tcPr>
          <w:p w:rsidRPr="009C48DA" w:rsidR="00661519" w:rsidP="00661519" w:rsidRDefault="00661519" w14:paraId="354184A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235,124</w:t>
            </w:r>
          </w:p>
        </w:tc>
        <w:tc>
          <w:tcPr>
            <w:tcW w:w="1230" w:type="dxa"/>
            <w:shd w:val="clear" w:color="auto" w:fill="auto"/>
            <w:vAlign w:val="bottom"/>
          </w:tcPr>
          <w:p w:rsidRPr="009C48DA" w:rsidR="00661519" w:rsidP="00661519" w:rsidRDefault="00661519" w14:paraId="2D8A213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1" w:type="dxa"/>
            <w:shd w:val="clear" w:color="auto" w:fill="auto"/>
            <w:vAlign w:val="bottom"/>
          </w:tcPr>
          <w:p w:rsidRPr="009C48DA" w:rsidR="00661519" w:rsidP="00661519" w:rsidRDefault="00661519" w14:paraId="2728A66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7E80DA75" w14:textId="77777777">
        <w:tc>
          <w:tcPr>
            <w:tcW w:w="3764" w:type="dxa"/>
            <w:shd w:val="clear" w:color="auto" w:fill="auto"/>
            <w:vAlign w:val="bottom"/>
          </w:tcPr>
          <w:p w:rsidRPr="009C48DA" w:rsidR="00661519" w:rsidP="00661519" w:rsidRDefault="00661519" w14:paraId="1AB53CEC" w14:textId="77777777">
            <w:pPr>
              <w:tabs>
                <w:tab w:val="left" w:pos="2808"/>
                <w:tab w:val="right" w:pos="4248"/>
                <w:tab w:val="right" w:pos="5400"/>
                <w:tab w:val="right" w:pos="6552"/>
                <w:tab w:val="right" w:pos="7848"/>
                <w:tab w:val="right" w:pos="9000"/>
              </w:tabs>
              <w:spacing w:before="60" w:line="208" w:lineRule="exact"/>
              <w:textAlignment w:val="baseline"/>
              <w:rPr>
                <w:rFonts w:eastAsia="Times New Roman"/>
                <w:color w:val="000000"/>
                <w:sz w:val="16"/>
                <w:lang w:val="en-GB"/>
              </w:rPr>
            </w:pPr>
            <w:r w:rsidRPr="009C48DA">
              <w:rPr>
                <w:rFonts w:eastAsia="Times New Roman"/>
                <w:color w:val="000000"/>
                <w:sz w:val="16"/>
                <w:lang w:val="en-GB"/>
              </w:rPr>
              <w:t>Principal elements of lease payments</w:t>
            </w:r>
          </w:p>
        </w:tc>
        <w:tc>
          <w:tcPr>
            <w:tcW w:w="320" w:type="dxa"/>
            <w:shd w:val="clear" w:color="auto" w:fill="auto"/>
            <w:vAlign w:val="bottom"/>
          </w:tcPr>
          <w:p w:rsidRPr="009C48DA" w:rsidR="00661519" w:rsidP="00661519" w:rsidRDefault="00661519" w14:paraId="35EEE8D3" w14:textId="77777777">
            <w:pPr>
              <w:spacing w:before="60"/>
              <w:jc w:val="center"/>
              <w:textAlignment w:val="baseline"/>
              <w:rPr>
                <w:rFonts w:eastAsia="Times New Roman" w:cs="Times New Roman"/>
                <w:color w:val="000000"/>
                <w:sz w:val="16"/>
                <w:szCs w:val="16"/>
                <w:lang w:val="en-GB"/>
              </w:rPr>
            </w:pPr>
          </w:p>
        </w:tc>
        <w:tc>
          <w:tcPr>
            <w:tcW w:w="736" w:type="dxa"/>
            <w:shd w:val="clear" w:color="auto" w:fill="auto"/>
            <w:vAlign w:val="bottom"/>
          </w:tcPr>
          <w:p w:rsidRPr="009C48DA" w:rsidR="00661519" w:rsidP="00661519" w:rsidRDefault="00661519" w14:paraId="2966BE3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(3,852)</w:t>
            </w:r>
          </w:p>
        </w:tc>
        <w:tc>
          <w:tcPr>
            <w:tcW w:w="736" w:type="dxa"/>
            <w:shd w:val="clear" w:color="auto" w:fill="auto"/>
            <w:vAlign w:val="bottom"/>
          </w:tcPr>
          <w:p w:rsidRPr="009C48DA" w:rsidR="00661519" w:rsidP="00661519" w:rsidRDefault="00661519" w14:paraId="659D375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(4,971)</w:t>
            </w:r>
          </w:p>
        </w:tc>
        <w:tc>
          <w:tcPr>
            <w:tcW w:w="736" w:type="dxa"/>
            <w:shd w:val="clear" w:color="auto" w:fill="auto"/>
            <w:vAlign w:val="bottom"/>
          </w:tcPr>
          <w:p w:rsidRPr="009C48DA" w:rsidR="00661519" w:rsidP="00661519" w:rsidRDefault="00661519" w14:paraId="5B604D1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(5,900)</w:t>
            </w:r>
          </w:p>
        </w:tc>
        <w:tc>
          <w:tcPr>
            <w:tcW w:w="1230" w:type="dxa"/>
            <w:shd w:val="clear" w:color="auto" w:fill="auto"/>
            <w:vAlign w:val="bottom"/>
          </w:tcPr>
          <w:p w:rsidRPr="009C48DA" w:rsidR="00661519" w:rsidP="00661519" w:rsidRDefault="00661519" w14:paraId="187A07F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(948)</w:t>
            </w:r>
          </w:p>
        </w:tc>
        <w:tc>
          <w:tcPr>
            <w:tcW w:w="1381" w:type="dxa"/>
            <w:shd w:val="clear" w:color="auto" w:fill="auto"/>
            <w:vAlign w:val="bottom"/>
          </w:tcPr>
          <w:p w:rsidRPr="009C48DA" w:rsidR="00661519" w:rsidP="00661519" w:rsidRDefault="00661519" w14:paraId="1C90EA7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(1,875)</w:t>
            </w:r>
          </w:p>
        </w:tc>
      </w:tr>
      <w:tr w:rsidRPr="009C48DA" w:rsidR="00661519" w:rsidTr="00661519" w14:paraId="2DAA24AF" w14:textId="77777777">
        <w:tc>
          <w:tcPr>
            <w:tcW w:w="3764" w:type="dxa"/>
            <w:shd w:val="clear" w:color="auto" w:fill="auto"/>
            <w:vAlign w:val="bottom"/>
          </w:tcPr>
          <w:p w:rsidRPr="009C48DA" w:rsidR="00661519" w:rsidP="00661519" w:rsidRDefault="00661519" w14:paraId="3049AFEB" w14:textId="77777777">
            <w:pPr>
              <w:tabs>
                <w:tab w:val="left" w:pos="2808"/>
                <w:tab w:val="right" w:pos="4248"/>
                <w:tab w:val="right" w:pos="5400"/>
                <w:tab w:val="right" w:pos="6552"/>
                <w:tab w:val="right" w:pos="7848"/>
                <w:tab w:val="right" w:pos="9000"/>
              </w:tabs>
              <w:spacing w:before="60" w:line="208" w:lineRule="exact"/>
              <w:textAlignment w:val="baseline"/>
              <w:rPr>
                <w:rFonts w:eastAsia="Times New Roman"/>
                <w:color w:val="000000"/>
                <w:sz w:val="16"/>
                <w:lang w:val="en-GB"/>
              </w:rPr>
            </w:pPr>
            <w:r w:rsidRPr="009C48DA">
              <w:rPr>
                <w:rFonts w:eastAsia="Times New Roman"/>
                <w:color w:val="000000"/>
                <w:sz w:val="16"/>
                <w:lang w:val="en-GB"/>
              </w:rPr>
              <w:t>Interest paid (non-CLO)</w:t>
            </w:r>
          </w:p>
        </w:tc>
        <w:tc>
          <w:tcPr>
            <w:tcW w:w="320" w:type="dxa"/>
            <w:shd w:val="clear" w:color="auto" w:fill="auto"/>
            <w:vAlign w:val="bottom"/>
          </w:tcPr>
          <w:p w:rsidRPr="009C48DA" w:rsidR="00661519" w:rsidP="00661519" w:rsidRDefault="00661519" w14:paraId="15EE9620" w14:textId="77777777">
            <w:pPr>
              <w:spacing w:before="60"/>
              <w:jc w:val="center"/>
              <w:textAlignment w:val="baseline"/>
              <w:rPr>
                <w:rFonts w:eastAsia="Times New Roman" w:cs="Times New Roman"/>
                <w:color w:val="000000"/>
                <w:sz w:val="16"/>
                <w:szCs w:val="16"/>
                <w:lang w:val="en-GB"/>
              </w:rPr>
            </w:pPr>
          </w:p>
        </w:tc>
        <w:tc>
          <w:tcPr>
            <w:tcW w:w="736" w:type="dxa"/>
            <w:shd w:val="clear" w:color="auto" w:fill="auto"/>
            <w:vAlign w:val="bottom"/>
          </w:tcPr>
          <w:p w:rsidRPr="009C48DA" w:rsidR="00661519" w:rsidP="00661519" w:rsidRDefault="00661519" w14:paraId="7D02159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(3,882)</w:t>
            </w:r>
          </w:p>
        </w:tc>
        <w:tc>
          <w:tcPr>
            <w:tcW w:w="736" w:type="dxa"/>
            <w:shd w:val="clear" w:color="auto" w:fill="auto"/>
            <w:vAlign w:val="bottom"/>
          </w:tcPr>
          <w:p w:rsidRPr="009C48DA" w:rsidR="00661519" w:rsidP="00661519" w:rsidRDefault="00661519" w14:paraId="540395D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(4,814)</w:t>
            </w:r>
          </w:p>
        </w:tc>
        <w:tc>
          <w:tcPr>
            <w:tcW w:w="736" w:type="dxa"/>
            <w:shd w:val="clear" w:color="auto" w:fill="auto"/>
            <w:vAlign w:val="bottom"/>
          </w:tcPr>
          <w:p w:rsidRPr="009C48DA" w:rsidR="00661519" w:rsidP="00661519" w:rsidRDefault="00661519" w14:paraId="2897BA9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(4,904)</w:t>
            </w:r>
          </w:p>
        </w:tc>
        <w:tc>
          <w:tcPr>
            <w:tcW w:w="1230" w:type="dxa"/>
            <w:shd w:val="clear" w:color="auto" w:fill="auto"/>
            <w:vAlign w:val="bottom"/>
          </w:tcPr>
          <w:p w:rsidRPr="009C48DA" w:rsidR="00661519" w:rsidP="00661519" w:rsidRDefault="00661519" w14:paraId="5FDECF4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(861)</w:t>
            </w:r>
          </w:p>
        </w:tc>
        <w:tc>
          <w:tcPr>
            <w:tcW w:w="1381" w:type="dxa"/>
            <w:shd w:val="clear" w:color="auto" w:fill="auto"/>
            <w:vAlign w:val="bottom"/>
          </w:tcPr>
          <w:p w:rsidRPr="009C48DA" w:rsidR="00661519" w:rsidP="00661519" w:rsidRDefault="00661519" w14:paraId="01C2EA7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(1,467)</w:t>
            </w:r>
          </w:p>
        </w:tc>
      </w:tr>
      <w:tr w:rsidRPr="009C48DA" w:rsidR="00661519" w:rsidTr="00661519" w14:paraId="51407544" w14:textId="77777777">
        <w:tc>
          <w:tcPr>
            <w:tcW w:w="3764" w:type="dxa"/>
            <w:shd w:val="clear" w:color="auto" w:fill="auto"/>
            <w:vAlign w:val="bottom"/>
          </w:tcPr>
          <w:p w:rsidRPr="009C48DA" w:rsidR="00661519" w:rsidP="00661519" w:rsidRDefault="00661519" w14:paraId="734E29A9" w14:textId="77777777">
            <w:pPr>
              <w:tabs>
                <w:tab w:val="left" w:pos="2808"/>
                <w:tab w:val="right" w:pos="4248"/>
                <w:tab w:val="right" w:pos="5400"/>
                <w:tab w:val="right" w:pos="6552"/>
                <w:tab w:val="right" w:pos="7848"/>
                <w:tab w:val="right" w:pos="9000"/>
              </w:tabs>
              <w:spacing w:before="60" w:line="208" w:lineRule="exact"/>
              <w:textAlignment w:val="baseline"/>
              <w:rPr>
                <w:rFonts w:eastAsia="Times New Roman"/>
                <w:color w:val="000000"/>
                <w:sz w:val="16"/>
                <w:lang w:val="en-GB"/>
              </w:rPr>
            </w:pPr>
            <w:r w:rsidRPr="009C48DA">
              <w:rPr>
                <w:rFonts w:eastAsia="Times New Roman"/>
                <w:color w:val="000000"/>
                <w:sz w:val="16"/>
                <w:lang w:val="en-GB"/>
              </w:rPr>
              <w:t>Interest received (non-CLO)</w:t>
            </w:r>
          </w:p>
        </w:tc>
        <w:tc>
          <w:tcPr>
            <w:tcW w:w="320" w:type="dxa"/>
            <w:shd w:val="clear" w:color="auto" w:fill="auto"/>
            <w:vAlign w:val="bottom"/>
          </w:tcPr>
          <w:p w:rsidRPr="009C48DA" w:rsidR="00661519" w:rsidP="00661519" w:rsidRDefault="00661519" w14:paraId="18A1324E" w14:textId="77777777">
            <w:pPr>
              <w:spacing w:before="60"/>
              <w:jc w:val="center"/>
              <w:textAlignment w:val="baseline"/>
              <w:rPr>
                <w:rFonts w:eastAsia="Times New Roman" w:cs="Times New Roman"/>
                <w:color w:val="000000"/>
                <w:sz w:val="16"/>
                <w:szCs w:val="16"/>
                <w:lang w:val="en-GB"/>
              </w:rPr>
            </w:pPr>
          </w:p>
        </w:tc>
        <w:tc>
          <w:tcPr>
            <w:tcW w:w="736" w:type="dxa"/>
            <w:shd w:val="clear" w:color="auto" w:fill="auto"/>
            <w:vAlign w:val="bottom"/>
          </w:tcPr>
          <w:p w:rsidRPr="009C48DA" w:rsidR="00661519" w:rsidP="00661519" w:rsidRDefault="00661519" w14:paraId="7B13A230"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shd w:val="clear" w:color="auto" w:fill="auto"/>
            <w:vAlign w:val="bottom"/>
          </w:tcPr>
          <w:p w:rsidRPr="009C48DA" w:rsidR="00661519" w:rsidP="00661519" w:rsidRDefault="00661519" w14:paraId="3B42130F"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shd w:val="clear" w:color="auto" w:fill="auto"/>
            <w:vAlign w:val="bottom"/>
          </w:tcPr>
          <w:p w:rsidRPr="009C48DA" w:rsidR="00661519" w:rsidP="00661519" w:rsidRDefault="00661519" w14:paraId="70E1F798"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52</w:t>
            </w:r>
          </w:p>
        </w:tc>
        <w:tc>
          <w:tcPr>
            <w:tcW w:w="1230" w:type="dxa"/>
            <w:shd w:val="clear" w:color="auto" w:fill="auto"/>
            <w:vAlign w:val="bottom"/>
          </w:tcPr>
          <w:p w:rsidRPr="009C48DA" w:rsidR="00661519" w:rsidP="00661519" w:rsidRDefault="00661519" w14:paraId="27E4778F"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w:t>
            </w:r>
          </w:p>
        </w:tc>
        <w:tc>
          <w:tcPr>
            <w:tcW w:w="1381" w:type="dxa"/>
            <w:shd w:val="clear" w:color="auto" w:fill="auto"/>
            <w:vAlign w:val="bottom"/>
          </w:tcPr>
          <w:p w:rsidRPr="009C48DA" w:rsidR="00661519" w:rsidP="00661519" w:rsidRDefault="00661519" w14:paraId="02CB6DD0"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w:t>
            </w:r>
          </w:p>
        </w:tc>
      </w:tr>
      <w:tr w:rsidRPr="009C48DA" w:rsidR="00661519" w:rsidTr="00661519" w14:paraId="72CDEBC2" w14:textId="77777777">
        <w:tc>
          <w:tcPr>
            <w:tcW w:w="3764" w:type="dxa"/>
            <w:vAlign w:val="bottom"/>
          </w:tcPr>
          <w:p w:rsidRPr="009C48DA" w:rsidR="00661519" w:rsidP="00661519" w:rsidRDefault="00661519" w14:paraId="30DF8E18"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Net cash flows from financing activities</w:t>
            </w:r>
          </w:p>
        </w:tc>
        <w:tc>
          <w:tcPr>
            <w:tcW w:w="320" w:type="dxa"/>
            <w:vAlign w:val="bottom"/>
          </w:tcPr>
          <w:p w:rsidRPr="009C48DA" w:rsidR="00661519" w:rsidP="00661519" w:rsidRDefault="00661519" w14:paraId="0B5AF7C7"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3BE04497"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23,339</w:t>
            </w:r>
          </w:p>
        </w:tc>
        <w:tc>
          <w:tcPr>
            <w:tcW w:w="736" w:type="dxa"/>
            <w:vAlign w:val="bottom"/>
          </w:tcPr>
          <w:p w:rsidRPr="009C48DA" w:rsidR="00661519" w:rsidP="00661519" w:rsidRDefault="00661519" w14:paraId="25B430A5"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(51,147)</w:t>
            </w:r>
          </w:p>
        </w:tc>
        <w:tc>
          <w:tcPr>
            <w:tcW w:w="736" w:type="dxa"/>
            <w:vAlign w:val="bottom"/>
          </w:tcPr>
          <w:p w:rsidRPr="009C48DA" w:rsidR="00661519" w:rsidP="00661519" w:rsidRDefault="00661519" w14:paraId="0CBAF0FA"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223,634</w:t>
            </w:r>
          </w:p>
        </w:tc>
        <w:tc>
          <w:tcPr>
            <w:tcW w:w="1230" w:type="dxa"/>
            <w:vAlign w:val="bottom"/>
          </w:tcPr>
          <w:p w:rsidRPr="009C48DA" w:rsidR="00661519" w:rsidP="00661519" w:rsidRDefault="00661519" w14:paraId="7ABB61C9"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(7,718)</w:t>
            </w:r>
          </w:p>
        </w:tc>
        <w:tc>
          <w:tcPr>
            <w:tcW w:w="1381" w:type="dxa"/>
            <w:vAlign w:val="bottom"/>
          </w:tcPr>
          <w:p w:rsidRPr="009C48DA" w:rsidR="00661519" w:rsidP="00661519" w:rsidRDefault="00661519" w14:paraId="01A35A5A"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19,625</w:t>
            </w:r>
          </w:p>
        </w:tc>
      </w:tr>
      <w:tr w:rsidRPr="009C48DA" w:rsidR="00661519" w:rsidTr="00661519" w14:paraId="236E9110" w14:textId="77777777">
        <w:tc>
          <w:tcPr>
            <w:tcW w:w="3764" w:type="dxa"/>
            <w:vAlign w:val="bottom"/>
          </w:tcPr>
          <w:p w:rsidRPr="009C48DA" w:rsidR="00661519" w:rsidP="00661519" w:rsidRDefault="00661519" w14:paraId="60DA731A"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Net increase/(decrease) in cash and </w:t>
            </w:r>
          </w:p>
          <w:p w:rsidRPr="009C48DA" w:rsidR="00661519" w:rsidP="00661519" w:rsidRDefault="00661519" w14:paraId="377E9AF7"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cash equivalents</w:t>
            </w:r>
          </w:p>
        </w:tc>
        <w:tc>
          <w:tcPr>
            <w:tcW w:w="320" w:type="dxa"/>
            <w:vAlign w:val="bottom"/>
          </w:tcPr>
          <w:p w:rsidRPr="009C48DA" w:rsidR="00661519" w:rsidP="00661519" w:rsidRDefault="00661519" w14:paraId="0F0BCC80"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52B10B0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16,711</w:t>
            </w:r>
          </w:p>
        </w:tc>
        <w:tc>
          <w:tcPr>
            <w:tcW w:w="736" w:type="dxa"/>
            <w:vAlign w:val="bottom"/>
          </w:tcPr>
          <w:p w:rsidRPr="009C48DA" w:rsidR="00661519" w:rsidP="00661519" w:rsidRDefault="00661519" w14:paraId="6D005AF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(21,213)</w:t>
            </w:r>
          </w:p>
        </w:tc>
        <w:tc>
          <w:tcPr>
            <w:tcW w:w="736" w:type="dxa"/>
            <w:vAlign w:val="bottom"/>
          </w:tcPr>
          <w:p w:rsidRPr="009C48DA" w:rsidR="00661519" w:rsidP="00661519" w:rsidRDefault="00661519" w14:paraId="41AF812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142,098</w:t>
            </w:r>
          </w:p>
        </w:tc>
        <w:tc>
          <w:tcPr>
            <w:tcW w:w="1230" w:type="dxa"/>
            <w:vAlign w:val="bottom"/>
          </w:tcPr>
          <w:p w:rsidRPr="009C48DA" w:rsidR="00661519" w:rsidP="00661519" w:rsidRDefault="00661519" w14:paraId="04FA04D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23,980</w:t>
            </w:r>
          </w:p>
        </w:tc>
        <w:tc>
          <w:tcPr>
            <w:tcW w:w="1381" w:type="dxa"/>
            <w:vAlign w:val="bottom"/>
          </w:tcPr>
          <w:p w:rsidRPr="009C48DA" w:rsidR="00661519" w:rsidP="00661519" w:rsidRDefault="00661519" w14:paraId="06987FE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(21,038)</w:t>
            </w:r>
          </w:p>
        </w:tc>
      </w:tr>
      <w:tr w:rsidRPr="009C48DA" w:rsidR="00661519" w:rsidTr="00661519" w14:paraId="76CD8769" w14:textId="77777777">
        <w:tc>
          <w:tcPr>
            <w:tcW w:w="3764" w:type="dxa"/>
            <w:vAlign w:val="bottom"/>
          </w:tcPr>
          <w:p w:rsidRPr="009C48DA" w:rsidR="00661519" w:rsidP="00661519" w:rsidRDefault="00661519" w14:paraId="63BFE0BC"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Cash and cash equivalents at the </w:t>
            </w:r>
          </w:p>
          <w:p w:rsidRPr="009C48DA" w:rsidR="00661519" w:rsidP="00661519" w:rsidRDefault="00661519" w14:paraId="531D88E7"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beginning of the period</w:t>
            </w:r>
          </w:p>
        </w:tc>
        <w:tc>
          <w:tcPr>
            <w:tcW w:w="320" w:type="dxa"/>
            <w:vAlign w:val="bottom"/>
          </w:tcPr>
          <w:p w:rsidRPr="009C48DA" w:rsidR="00661519" w:rsidP="00661519" w:rsidRDefault="00661519" w14:paraId="2F19E261"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0F0E82A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19,065</w:t>
            </w:r>
          </w:p>
        </w:tc>
        <w:tc>
          <w:tcPr>
            <w:tcW w:w="736" w:type="dxa"/>
            <w:vAlign w:val="bottom"/>
          </w:tcPr>
          <w:p w:rsidRPr="009C48DA" w:rsidR="00661519" w:rsidP="00661519" w:rsidRDefault="00661519" w14:paraId="3AB5F05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37,075</w:t>
            </w:r>
          </w:p>
        </w:tc>
        <w:tc>
          <w:tcPr>
            <w:tcW w:w="736" w:type="dxa"/>
            <w:vAlign w:val="bottom"/>
          </w:tcPr>
          <w:p w:rsidRPr="009C48DA" w:rsidR="00661519" w:rsidP="00661519" w:rsidRDefault="00661519" w14:paraId="70D3217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12,083</w:t>
            </w:r>
          </w:p>
        </w:tc>
        <w:tc>
          <w:tcPr>
            <w:tcW w:w="1230" w:type="dxa"/>
            <w:vAlign w:val="bottom"/>
          </w:tcPr>
          <w:p w:rsidRPr="009C48DA" w:rsidR="00661519" w:rsidP="00661519" w:rsidRDefault="00661519" w14:paraId="6EB87BF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12,083</w:t>
            </w:r>
          </w:p>
        </w:tc>
        <w:tc>
          <w:tcPr>
            <w:tcW w:w="1381" w:type="dxa"/>
            <w:vAlign w:val="bottom"/>
          </w:tcPr>
          <w:p w:rsidRPr="009C48DA" w:rsidR="00661519" w:rsidP="00661519" w:rsidRDefault="00661519" w14:paraId="3679B97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157,116</w:t>
            </w:r>
          </w:p>
        </w:tc>
      </w:tr>
      <w:tr w:rsidRPr="009C48DA" w:rsidR="00661519" w:rsidTr="00661519" w14:paraId="24C5E769" w14:textId="77777777">
        <w:tc>
          <w:tcPr>
            <w:tcW w:w="3764" w:type="dxa"/>
            <w:vAlign w:val="bottom"/>
          </w:tcPr>
          <w:p w:rsidRPr="009C48DA" w:rsidR="00661519" w:rsidP="00661519" w:rsidRDefault="00661519" w14:paraId="45D0BE48"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Effect of exchange rate changes on </w:t>
            </w:r>
          </w:p>
          <w:p w:rsidRPr="009C48DA" w:rsidR="00661519" w:rsidP="00661519" w:rsidRDefault="00661519" w14:paraId="7420A2CD"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cash and cash equivalents</w:t>
            </w:r>
          </w:p>
        </w:tc>
        <w:tc>
          <w:tcPr>
            <w:tcW w:w="320" w:type="dxa"/>
            <w:vAlign w:val="bottom"/>
          </w:tcPr>
          <w:p w:rsidRPr="009C48DA" w:rsidR="00661519" w:rsidP="00661519" w:rsidRDefault="00661519" w14:paraId="231279BA"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16D493BD"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1,299</w:t>
            </w:r>
          </w:p>
        </w:tc>
        <w:tc>
          <w:tcPr>
            <w:tcW w:w="736" w:type="dxa"/>
            <w:vAlign w:val="bottom"/>
          </w:tcPr>
          <w:p w:rsidRPr="009C48DA" w:rsidR="00661519" w:rsidP="00661519" w:rsidRDefault="00661519" w14:paraId="743471DB"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(3,779)</w:t>
            </w:r>
          </w:p>
        </w:tc>
        <w:tc>
          <w:tcPr>
            <w:tcW w:w="736" w:type="dxa"/>
            <w:vAlign w:val="bottom"/>
          </w:tcPr>
          <w:p w:rsidRPr="009C48DA" w:rsidR="00661519" w:rsidP="00661519" w:rsidRDefault="00661519" w14:paraId="1B00C13E"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2,935</w:t>
            </w:r>
          </w:p>
        </w:tc>
        <w:tc>
          <w:tcPr>
            <w:tcW w:w="1230" w:type="dxa"/>
            <w:vAlign w:val="bottom"/>
          </w:tcPr>
          <w:p w:rsidRPr="009C48DA" w:rsidR="00661519" w:rsidP="00661519" w:rsidRDefault="00661519" w14:paraId="0702238B"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3,746</w:t>
            </w:r>
          </w:p>
        </w:tc>
        <w:tc>
          <w:tcPr>
            <w:tcW w:w="1381" w:type="dxa"/>
            <w:vAlign w:val="bottom"/>
          </w:tcPr>
          <w:p w:rsidRPr="009C48DA" w:rsidR="00661519" w:rsidP="00661519" w:rsidRDefault="00661519" w14:paraId="781A51ED"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(8,340)</w:t>
            </w:r>
          </w:p>
        </w:tc>
      </w:tr>
      <w:tr w:rsidRPr="009C48DA" w:rsidR="00661519" w:rsidTr="00661519" w14:paraId="040EAD77" w14:textId="77777777">
        <w:tc>
          <w:tcPr>
            <w:tcW w:w="3764" w:type="dxa"/>
            <w:vAlign w:val="bottom"/>
          </w:tcPr>
          <w:p w:rsidRPr="009C48DA" w:rsidR="00661519" w:rsidP="00661519" w:rsidRDefault="00661519" w14:paraId="574B79CA"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Cash and cash equivalents at the end </w:t>
            </w:r>
            <w:r w:rsidRPr="009C48DA">
              <w:rPr>
                <w:rFonts w:eastAsia="Times New Roman" w:cs="Times New Roman"/>
                <w:b/>
                <w:color w:val="000000"/>
                <w:sz w:val="16"/>
                <w:szCs w:val="16"/>
                <w:lang w:val="en-GB"/>
              </w:rPr>
              <w:br/>
              <w:t>of period</w:t>
            </w:r>
          </w:p>
        </w:tc>
        <w:tc>
          <w:tcPr>
            <w:tcW w:w="320" w:type="dxa"/>
            <w:vAlign w:val="bottom"/>
          </w:tcPr>
          <w:p w:rsidRPr="009C48DA" w:rsidR="00661519" w:rsidP="00661519" w:rsidRDefault="00661519" w14:paraId="058C21A3"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6BF3293A"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37,075</w:t>
            </w:r>
          </w:p>
        </w:tc>
        <w:tc>
          <w:tcPr>
            <w:tcW w:w="736" w:type="dxa"/>
            <w:vAlign w:val="bottom"/>
          </w:tcPr>
          <w:p w:rsidRPr="009C48DA" w:rsidR="00661519" w:rsidP="00661519" w:rsidRDefault="00661519" w14:paraId="6A818D0E"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12,083</w:t>
            </w:r>
          </w:p>
        </w:tc>
        <w:tc>
          <w:tcPr>
            <w:tcW w:w="736" w:type="dxa"/>
            <w:vAlign w:val="bottom"/>
          </w:tcPr>
          <w:p w:rsidRPr="009C48DA" w:rsidR="00661519" w:rsidP="00661519" w:rsidRDefault="00661519" w14:paraId="070D3D03"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157,116</w:t>
            </w:r>
          </w:p>
        </w:tc>
        <w:tc>
          <w:tcPr>
            <w:tcW w:w="1230" w:type="dxa"/>
            <w:vAlign w:val="bottom"/>
          </w:tcPr>
          <w:p w:rsidRPr="009C48DA" w:rsidR="00661519" w:rsidP="00661519" w:rsidRDefault="00661519" w14:paraId="21EA5749"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39,809</w:t>
            </w:r>
          </w:p>
        </w:tc>
        <w:tc>
          <w:tcPr>
            <w:tcW w:w="1381" w:type="dxa"/>
            <w:vAlign w:val="bottom"/>
          </w:tcPr>
          <w:p w:rsidRPr="009C48DA" w:rsidR="00661519" w:rsidP="00661519" w:rsidRDefault="00661519" w14:paraId="36235207"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127,738</w:t>
            </w:r>
          </w:p>
        </w:tc>
      </w:tr>
      <w:tr w:rsidRPr="009C48DA" w:rsidR="00661519" w:rsidTr="00661519" w14:paraId="5A056004" w14:textId="77777777">
        <w:tc>
          <w:tcPr>
            <w:tcW w:w="3764" w:type="dxa"/>
            <w:vAlign w:val="bottom"/>
          </w:tcPr>
          <w:p w:rsidRPr="009C48DA" w:rsidR="00661519" w:rsidP="00661519" w:rsidRDefault="00661519" w14:paraId="42215651"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Cash and cash equivalents (for use </w:t>
            </w:r>
            <w:r w:rsidRPr="009C48DA">
              <w:rPr>
                <w:rFonts w:eastAsia="Times New Roman" w:cs="Times New Roman"/>
                <w:color w:val="000000"/>
                <w:sz w:val="16"/>
                <w:szCs w:val="16"/>
                <w:lang w:val="en-GB"/>
              </w:rPr>
              <w:br/>
              <w:t>within the Group)</w:t>
            </w:r>
          </w:p>
        </w:tc>
        <w:tc>
          <w:tcPr>
            <w:tcW w:w="320" w:type="dxa"/>
            <w:vAlign w:val="bottom"/>
          </w:tcPr>
          <w:p w:rsidRPr="009C48DA" w:rsidR="00661519" w:rsidP="00661519" w:rsidRDefault="00661519" w14:paraId="13F94216" w14:textId="77777777">
            <w:pPr>
              <w:spacing w:before="60"/>
              <w:jc w:val="center"/>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5C69059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37,075</w:t>
            </w:r>
          </w:p>
        </w:tc>
        <w:tc>
          <w:tcPr>
            <w:tcW w:w="736" w:type="dxa"/>
            <w:vAlign w:val="bottom"/>
          </w:tcPr>
          <w:p w:rsidRPr="009C48DA" w:rsidR="00661519" w:rsidP="00661519" w:rsidRDefault="00661519" w14:paraId="4408ED5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12,083</w:t>
            </w:r>
          </w:p>
        </w:tc>
        <w:tc>
          <w:tcPr>
            <w:tcW w:w="736" w:type="dxa"/>
            <w:vAlign w:val="bottom"/>
          </w:tcPr>
          <w:p w:rsidRPr="009C48DA" w:rsidR="00661519" w:rsidP="00661519" w:rsidRDefault="00661519" w14:paraId="2585066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42,366</w:t>
            </w:r>
          </w:p>
        </w:tc>
        <w:tc>
          <w:tcPr>
            <w:tcW w:w="1230" w:type="dxa"/>
            <w:vAlign w:val="bottom"/>
          </w:tcPr>
          <w:p w:rsidRPr="009C48DA" w:rsidR="00661519" w:rsidP="00661519" w:rsidRDefault="00661519" w14:paraId="7B529BC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39,809</w:t>
            </w:r>
          </w:p>
        </w:tc>
        <w:tc>
          <w:tcPr>
            <w:tcW w:w="1381" w:type="dxa"/>
            <w:vAlign w:val="bottom"/>
          </w:tcPr>
          <w:p w:rsidRPr="009C48DA" w:rsidR="00661519" w:rsidP="00661519" w:rsidRDefault="00661519" w14:paraId="2B2F8B7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67,762</w:t>
            </w:r>
          </w:p>
        </w:tc>
      </w:tr>
      <w:tr w:rsidRPr="009C48DA" w:rsidR="00661519" w:rsidTr="00661519" w14:paraId="3F2265B7" w14:textId="77777777">
        <w:tc>
          <w:tcPr>
            <w:tcW w:w="3764" w:type="dxa"/>
            <w:vAlign w:val="bottom"/>
          </w:tcPr>
          <w:p w:rsidRPr="009C48DA" w:rsidR="00661519" w:rsidP="00661519" w:rsidRDefault="00661519" w14:paraId="1B415DDC"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CLO cash (restricted)</w:t>
            </w:r>
          </w:p>
        </w:tc>
        <w:tc>
          <w:tcPr>
            <w:tcW w:w="320" w:type="dxa"/>
            <w:vAlign w:val="bottom"/>
          </w:tcPr>
          <w:p w:rsidRPr="009C48DA" w:rsidR="00661519" w:rsidP="00661519" w:rsidRDefault="00661519" w14:paraId="35BA83AF" w14:textId="77777777">
            <w:pPr>
              <w:spacing w:before="60"/>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2,(q)</w:t>
            </w:r>
          </w:p>
        </w:tc>
        <w:tc>
          <w:tcPr>
            <w:tcW w:w="736" w:type="dxa"/>
            <w:vAlign w:val="bottom"/>
          </w:tcPr>
          <w:p w:rsidRPr="009C48DA" w:rsidR="00661519" w:rsidP="00661519" w:rsidRDefault="00661519" w14:paraId="4F5AA458"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vAlign w:val="bottom"/>
          </w:tcPr>
          <w:p w:rsidRPr="009C48DA" w:rsidR="00661519" w:rsidP="00661519" w:rsidRDefault="00661519" w14:paraId="635FA0A7"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736" w:type="dxa"/>
            <w:vAlign w:val="bottom"/>
          </w:tcPr>
          <w:p w:rsidRPr="009C48DA" w:rsidR="00661519" w:rsidP="00661519" w:rsidRDefault="00661519" w14:paraId="66A31AF4"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114,750</w:t>
            </w:r>
          </w:p>
        </w:tc>
        <w:tc>
          <w:tcPr>
            <w:tcW w:w="1230" w:type="dxa"/>
            <w:vAlign w:val="bottom"/>
          </w:tcPr>
          <w:p w:rsidRPr="009C48DA" w:rsidR="00661519" w:rsidP="00661519" w:rsidRDefault="00661519" w14:paraId="1A4DFF40"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1" w:type="dxa"/>
            <w:vAlign w:val="bottom"/>
          </w:tcPr>
          <w:p w:rsidRPr="009C48DA" w:rsidR="00661519" w:rsidP="00661519" w:rsidRDefault="00661519" w14:paraId="3D45F059"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59,976</w:t>
            </w:r>
          </w:p>
        </w:tc>
      </w:tr>
      <w:tr w:rsidRPr="009C48DA" w:rsidR="00661519" w:rsidTr="00661519" w14:paraId="71F4CD22" w14:textId="77777777">
        <w:tc>
          <w:tcPr>
            <w:tcW w:w="3764" w:type="dxa"/>
            <w:vAlign w:val="bottom"/>
          </w:tcPr>
          <w:p w:rsidRPr="009C48DA" w:rsidR="00661519" w:rsidP="00661519" w:rsidRDefault="00661519" w14:paraId="25A50017"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cash at the end of the period</w:t>
            </w:r>
          </w:p>
        </w:tc>
        <w:tc>
          <w:tcPr>
            <w:tcW w:w="320" w:type="dxa"/>
            <w:vAlign w:val="bottom"/>
          </w:tcPr>
          <w:p w:rsidRPr="009C48DA" w:rsidR="00661519" w:rsidP="00661519" w:rsidRDefault="00661519" w14:paraId="46012754" w14:textId="77777777">
            <w:pPr>
              <w:spacing w:before="60"/>
              <w:textAlignment w:val="baseline"/>
              <w:rPr>
                <w:rFonts w:eastAsia="Times New Roman" w:cs="Times New Roman"/>
                <w:color w:val="000000"/>
                <w:sz w:val="16"/>
                <w:szCs w:val="16"/>
                <w:lang w:val="en-GB"/>
              </w:rPr>
            </w:pPr>
          </w:p>
        </w:tc>
        <w:tc>
          <w:tcPr>
            <w:tcW w:w="736" w:type="dxa"/>
            <w:vAlign w:val="bottom"/>
          </w:tcPr>
          <w:p w:rsidRPr="009C48DA" w:rsidR="00661519" w:rsidP="00661519" w:rsidRDefault="00661519" w14:paraId="354EAB77"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37,075</w:t>
            </w:r>
          </w:p>
        </w:tc>
        <w:tc>
          <w:tcPr>
            <w:tcW w:w="736" w:type="dxa"/>
            <w:vAlign w:val="bottom"/>
          </w:tcPr>
          <w:p w:rsidRPr="009C48DA" w:rsidR="00661519" w:rsidP="00661519" w:rsidRDefault="00661519" w14:paraId="2614C7ED"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12,083</w:t>
            </w:r>
          </w:p>
        </w:tc>
        <w:tc>
          <w:tcPr>
            <w:tcW w:w="736" w:type="dxa"/>
            <w:vAlign w:val="bottom"/>
          </w:tcPr>
          <w:p w:rsidRPr="009C48DA" w:rsidR="00661519" w:rsidP="00661519" w:rsidRDefault="00661519" w14:paraId="0646A4D2"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157,116</w:t>
            </w:r>
          </w:p>
        </w:tc>
        <w:tc>
          <w:tcPr>
            <w:tcW w:w="1230" w:type="dxa"/>
            <w:vAlign w:val="bottom"/>
          </w:tcPr>
          <w:p w:rsidRPr="009C48DA" w:rsidR="00661519" w:rsidP="00661519" w:rsidRDefault="00661519" w14:paraId="5F2DB7F8"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39,809</w:t>
            </w:r>
          </w:p>
        </w:tc>
        <w:tc>
          <w:tcPr>
            <w:tcW w:w="1381" w:type="dxa"/>
            <w:vAlign w:val="bottom"/>
          </w:tcPr>
          <w:p w:rsidRPr="009C48DA" w:rsidR="00661519" w:rsidP="00661519" w:rsidRDefault="00661519" w14:paraId="77F7A152"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127,738</w:t>
            </w:r>
          </w:p>
        </w:tc>
      </w:tr>
    </w:tbl>
    <w:p w:rsidRPr="009C48DA" w:rsidR="00661519" w:rsidP="00661519" w:rsidRDefault="00661519" w14:paraId="576E856A" w14:textId="77777777">
      <w:pPr>
        <w:textAlignment w:val="baseline"/>
        <w:rPr>
          <w:rFonts w:eastAsia="Times New Roman" w:cs="Times New Roman"/>
          <w:b/>
          <w:color w:val="000000"/>
          <w:sz w:val="16"/>
          <w:szCs w:val="16"/>
          <w:lang w:val="en-GB"/>
        </w:rPr>
        <w:sectPr w:rsidRPr="009C48DA" w:rsidR="00661519" w:rsidSect="00661519">
          <w:headerReference w:type="default" r:id="rId72"/>
          <w:pgSz w:w="11910" w:h="16840"/>
          <w:pgMar w:top="2260" w:right="1320" w:bottom="1740" w:left="1340" w:header="1472" w:footer="1551" w:gutter="0"/>
          <w:cols w:space="720"/>
        </w:sectPr>
      </w:pPr>
    </w:p>
    <w:p w:rsidRPr="009C48DA" w:rsidR="00661519" w:rsidP="00661519" w:rsidRDefault="00661519" w14:paraId="46011B49"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lastRenderedPageBreak/>
        <w:t>1</w:t>
      </w:r>
      <w:r w:rsidRPr="009C48DA">
        <w:rPr>
          <w:rFonts w:eastAsia="Times New Roman" w:cs="Times New Roman"/>
          <w:b/>
          <w:color w:val="000000"/>
          <w:sz w:val="16"/>
          <w:szCs w:val="22"/>
          <w:lang w:val="en-GB"/>
        </w:rPr>
        <w:tab/>
        <w:t>General information and basis of preparation</w:t>
      </w:r>
    </w:p>
    <w:p w:rsidRPr="009C48DA" w:rsidR="00661519" w:rsidP="00661519" w:rsidRDefault="00661519" w14:paraId="338088F3" w14:textId="77777777">
      <w:pPr>
        <w:tabs>
          <w:tab w:val="left" w:pos="360"/>
        </w:tabs>
        <w:textAlignment w:val="baseline"/>
        <w:rPr>
          <w:rFonts w:eastAsia="Times New Roman" w:cs="Times New Roman"/>
          <w:b/>
          <w:color w:val="000000"/>
          <w:sz w:val="16"/>
          <w:szCs w:val="22"/>
          <w:lang w:val="en-GB"/>
        </w:rPr>
      </w:pPr>
    </w:p>
    <w:p w:rsidRPr="009C48DA" w:rsidR="00661519" w:rsidP="00661519" w:rsidRDefault="00661519" w14:paraId="6512AC6A"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General information</w:t>
      </w:r>
    </w:p>
    <w:p w:rsidRPr="009C48DA" w:rsidR="00661519" w:rsidP="00661519" w:rsidRDefault="00661519" w14:paraId="186D4C0E" w14:textId="77777777">
      <w:pPr>
        <w:spacing w:line="184" w:lineRule="exact"/>
        <w:textAlignment w:val="baseline"/>
        <w:rPr>
          <w:rFonts w:eastAsia="Times New Roman"/>
          <w:color w:val="000000"/>
          <w:spacing w:val="-1"/>
          <w:sz w:val="16"/>
          <w:lang w:val="en-GB"/>
        </w:rPr>
      </w:pPr>
      <w:r w:rsidRPr="009C48DA">
        <w:rPr>
          <w:rFonts w:eastAsia="Times New Roman"/>
          <w:color w:val="000000"/>
          <w:spacing w:val="-1"/>
          <w:sz w:val="16"/>
          <w:lang w:val="en-GB"/>
        </w:rPr>
        <w:t>Atlantic Investments Holdings Limited (the “Company”) is a private company limited by share capital, incorporated and domiciled in United</w:t>
      </w:r>
    </w:p>
    <w:p w:rsidRPr="009C48DA" w:rsidR="00661519" w:rsidP="00661519" w:rsidRDefault="00661519" w14:paraId="340B7DFE" w14:textId="77777777">
      <w:pPr>
        <w:textAlignment w:val="baseline"/>
        <w:rPr>
          <w:rFonts w:eastAsia="Times New Roman"/>
          <w:color w:val="000000"/>
          <w:sz w:val="16"/>
          <w:lang w:val="en-GB"/>
        </w:rPr>
      </w:pPr>
      <w:r w:rsidRPr="009C48DA">
        <w:rPr>
          <w:rFonts w:eastAsia="Times New Roman"/>
          <w:color w:val="000000"/>
          <w:sz w:val="16"/>
          <w:lang w:val="en-GB"/>
        </w:rPr>
        <w:t>Kingdom. The address of its registered office is: 95 Wigmore Street, London, England, W1U 1FB.</w:t>
      </w:r>
    </w:p>
    <w:p w:rsidRPr="009C48DA" w:rsidR="00661519" w:rsidP="00661519" w:rsidRDefault="00661519" w14:paraId="37ED48FF" w14:textId="77777777">
      <w:pPr>
        <w:spacing w:before="97" w:line="187" w:lineRule="exact"/>
        <w:jc w:val="both"/>
        <w:textAlignment w:val="baseline"/>
        <w:rPr>
          <w:rFonts w:eastAsia="Times New Roman"/>
          <w:color w:val="000000"/>
          <w:sz w:val="16"/>
          <w:lang w:val="en-GB"/>
        </w:rPr>
      </w:pPr>
      <w:r w:rsidRPr="009C48DA">
        <w:rPr>
          <w:rFonts w:eastAsia="Times New Roman"/>
          <w:color w:val="000000"/>
          <w:sz w:val="16"/>
          <w:lang w:val="en-GB"/>
        </w:rPr>
        <w:t>The principal activity of the Company and entities controlled by the Company (the “Group”) is to act as a private equity and credit fund</w:t>
      </w:r>
      <w:r w:rsidRPr="009C48DA">
        <w:rPr>
          <w:rFonts w:eastAsia="Times New Roman"/>
          <w:color w:val="000000"/>
          <w:sz w:val="16"/>
          <w:lang w:val="en-GB"/>
        </w:rPr>
        <w:br/>
        <w:t>manager.</w:t>
      </w:r>
    </w:p>
    <w:p w:rsidRPr="009C48DA" w:rsidR="00661519" w:rsidP="00661519" w:rsidRDefault="00661519" w14:paraId="251642AB" w14:textId="77777777">
      <w:pPr>
        <w:textAlignment w:val="baseline"/>
        <w:rPr>
          <w:rFonts w:eastAsia="Times New Roman" w:cs="Times New Roman"/>
          <w:color w:val="000000"/>
          <w:sz w:val="16"/>
          <w:szCs w:val="22"/>
          <w:lang w:val="en-GB"/>
        </w:rPr>
      </w:pPr>
    </w:p>
    <w:p w:rsidRPr="009C48DA" w:rsidR="00661519" w:rsidP="00661519" w:rsidRDefault="00661519" w14:paraId="62086067"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Basis of preparation</w:t>
      </w:r>
    </w:p>
    <w:p w:rsidRPr="009C48DA" w:rsidR="00661519" w:rsidP="00661519" w:rsidRDefault="00661519" w14:paraId="766737CA"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consolidated historical financial information for the three years ended 31 December 2018, 2019 and 2020 and the three months ended </w:t>
      </w:r>
      <w:r w:rsidRPr="009C48DA">
        <w:rPr>
          <w:rFonts w:eastAsia="Times New Roman" w:cs="Times New Roman"/>
          <w:color w:val="000000"/>
          <w:sz w:val="16"/>
          <w:szCs w:val="22"/>
          <w:lang w:val="en-GB"/>
        </w:rPr>
        <w:br/>
        <w:t xml:space="preserve">31 March 2020 and 2021 has been prepared specifically for the purposes of this document and in accordance with the UK Prospectus </w:t>
      </w:r>
      <w:r w:rsidRPr="009C48DA">
        <w:rPr>
          <w:rFonts w:eastAsia="Times New Roman" w:cs="Times New Roman"/>
          <w:color w:val="000000"/>
          <w:sz w:val="16"/>
          <w:szCs w:val="22"/>
          <w:lang w:val="en-GB"/>
        </w:rPr>
        <w:br/>
        <w:t xml:space="preserve">Regulation, the Listing Rules and in accordance with the basis of preparation. It has been prepared in compliance with the Companies Act </w:t>
      </w:r>
      <w:r w:rsidRPr="009C48DA">
        <w:rPr>
          <w:rFonts w:eastAsia="Times New Roman" w:cs="Times New Roman"/>
          <w:color w:val="000000"/>
          <w:sz w:val="16"/>
          <w:szCs w:val="22"/>
          <w:lang w:val="en-GB"/>
        </w:rPr>
        <w:br/>
        <w:t>2006 and international accounting standards in conformity with the requirements of the Companies Act 2006 (IFRS).</w:t>
      </w:r>
    </w:p>
    <w:p w:rsidRPr="009C48DA" w:rsidR="00661519" w:rsidP="00661519" w:rsidRDefault="00661519" w14:paraId="70D4418E" w14:textId="77777777">
      <w:pPr>
        <w:spacing w:before="186" w:line="183" w:lineRule="exact"/>
        <w:jc w:val="both"/>
        <w:textAlignment w:val="baseline"/>
        <w:rPr>
          <w:rFonts w:eastAsia="Times New Roman"/>
          <w:color w:val="000000"/>
          <w:sz w:val="16"/>
          <w:lang w:val="en-GB"/>
        </w:rPr>
      </w:pPr>
      <w:r w:rsidRPr="009C48DA">
        <w:rPr>
          <w:rFonts w:eastAsia="Times New Roman"/>
          <w:color w:val="000000"/>
          <w:sz w:val="16"/>
          <w:lang w:val="en-GB"/>
        </w:rPr>
        <w:t>The historical financial information has been prepared under the historical cost convention, except for financial instruments measured at fair value.</w:t>
      </w:r>
    </w:p>
    <w:p w:rsidRPr="009C48DA" w:rsidR="00661519" w:rsidP="00661519" w:rsidRDefault="00661519" w14:paraId="19E3EA7C" w14:textId="77777777">
      <w:pPr>
        <w:jc w:val="both"/>
        <w:textAlignment w:val="baseline"/>
        <w:rPr>
          <w:rFonts w:eastAsia="Times New Roman" w:cs="Times New Roman"/>
          <w:color w:val="000000"/>
          <w:sz w:val="16"/>
          <w:szCs w:val="22"/>
          <w:lang w:val="en-GB"/>
        </w:rPr>
      </w:pPr>
    </w:p>
    <w:p w:rsidRPr="009C48DA" w:rsidR="00661519" w:rsidP="00661519" w:rsidRDefault="00661519" w14:paraId="57A7614D"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principal accounting policies applied in the preparation of the historical financial information are set out below. These policies have </w:t>
      </w:r>
      <w:r w:rsidRPr="009C48DA">
        <w:rPr>
          <w:rFonts w:eastAsia="Times New Roman" w:cs="Times New Roman"/>
          <w:color w:val="000000"/>
          <w:sz w:val="16"/>
          <w:szCs w:val="22"/>
          <w:lang w:val="en-GB"/>
        </w:rPr>
        <w:br/>
        <w:t>been consistently applied to all the periods presented, unless otherwise stated.</w:t>
      </w:r>
    </w:p>
    <w:p w:rsidRPr="009C48DA" w:rsidR="00661519" w:rsidP="00661519" w:rsidRDefault="00661519" w14:paraId="4B4CA109" w14:textId="77777777">
      <w:pPr>
        <w:textAlignment w:val="baseline"/>
        <w:rPr>
          <w:rFonts w:eastAsia="Times New Roman" w:cs="Times New Roman"/>
          <w:color w:val="000000"/>
          <w:sz w:val="16"/>
          <w:szCs w:val="22"/>
          <w:lang w:val="en-GB"/>
        </w:rPr>
      </w:pPr>
    </w:p>
    <w:p w:rsidRPr="009C48DA" w:rsidR="00661519" w:rsidP="00661519" w:rsidRDefault="00661519" w14:paraId="55CABCD8"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The historical financial information is the first set of IFRS financial information prepared by the Group.</w:t>
      </w:r>
    </w:p>
    <w:p w:rsidRPr="009C48DA" w:rsidR="00661519" w:rsidP="00661519" w:rsidRDefault="00661519" w14:paraId="5DBB9DDB" w14:textId="77777777">
      <w:pPr>
        <w:jc w:val="both"/>
        <w:textAlignment w:val="baseline"/>
        <w:rPr>
          <w:rFonts w:eastAsia="Times New Roman" w:cs="Times New Roman"/>
          <w:color w:val="000000"/>
          <w:sz w:val="16"/>
          <w:szCs w:val="22"/>
          <w:lang w:val="en-GB"/>
        </w:rPr>
      </w:pPr>
    </w:p>
    <w:p w:rsidRPr="009C48DA" w:rsidR="00661519" w:rsidP="00661519" w:rsidRDefault="00661519" w14:paraId="01A3D046"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preparation of the historical financial information in conformity with IFRS requires the use of certain critical accounting estimates. It </w:t>
      </w:r>
      <w:r w:rsidRPr="009C48DA">
        <w:rPr>
          <w:rFonts w:eastAsia="Times New Roman" w:cs="Times New Roman"/>
          <w:color w:val="000000"/>
          <w:sz w:val="16"/>
          <w:szCs w:val="22"/>
          <w:lang w:val="en-GB"/>
        </w:rPr>
        <w:br/>
        <w:t xml:space="preserve">also requires management to exercise judgement in the process of applying the Group's accounting policies. Details of the critical </w:t>
      </w:r>
      <w:r w:rsidRPr="009C48DA">
        <w:rPr>
          <w:rFonts w:eastAsia="Times New Roman" w:cs="Times New Roman"/>
          <w:color w:val="000000"/>
          <w:sz w:val="16"/>
          <w:szCs w:val="22"/>
          <w:lang w:val="en-GB"/>
        </w:rPr>
        <w:br/>
        <w:t>judgements and key sources of estimation uncertainty are set out in note 3.</w:t>
      </w:r>
    </w:p>
    <w:p w:rsidRPr="009C48DA" w:rsidR="00661519" w:rsidP="00661519" w:rsidRDefault="00661519" w14:paraId="0479CE9F" w14:textId="77777777">
      <w:pPr>
        <w:textAlignment w:val="baseline"/>
        <w:rPr>
          <w:rFonts w:eastAsia="Times New Roman" w:cs="Times New Roman"/>
          <w:color w:val="000000"/>
          <w:sz w:val="16"/>
          <w:szCs w:val="22"/>
          <w:lang w:val="en-GB"/>
        </w:rPr>
      </w:pPr>
    </w:p>
    <w:p w:rsidRPr="009C48DA" w:rsidR="00661519" w:rsidP="00661519" w:rsidRDefault="00661519" w14:paraId="4FF85E49"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The historical financial information does not constitute statutory accounts within the meaning of section 434(3) of the Companies Act 2006.</w:t>
      </w:r>
    </w:p>
    <w:p w:rsidRPr="009C48DA" w:rsidR="00661519" w:rsidP="00661519" w:rsidRDefault="00661519" w14:paraId="06460886" w14:textId="77777777">
      <w:pPr>
        <w:textAlignment w:val="baseline"/>
        <w:rPr>
          <w:rFonts w:eastAsia="Times New Roman" w:cs="Times New Roman"/>
          <w:color w:val="000000"/>
          <w:sz w:val="16"/>
          <w:szCs w:val="22"/>
          <w:lang w:val="en-GB"/>
        </w:rPr>
      </w:pPr>
    </w:p>
    <w:p w:rsidRPr="009C48DA" w:rsidR="00661519" w:rsidP="00661519" w:rsidRDefault="00661519" w14:paraId="47C1A36B"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The historical financial information is presented in pounds sterling and all values are rounded to the nearest (£000) except where otherwise indicated.</w:t>
      </w:r>
    </w:p>
    <w:p w:rsidRPr="009C48DA" w:rsidR="00661519" w:rsidP="00661519" w:rsidRDefault="00661519" w14:paraId="6AA71630" w14:textId="77777777">
      <w:pPr>
        <w:jc w:val="both"/>
        <w:textAlignment w:val="baseline"/>
        <w:rPr>
          <w:rFonts w:eastAsia="Times New Roman" w:cs="Times New Roman"/>
          <w:color w:val="000000"/>
          <w:sz w:val="16"/>
          <w:szCs w:val="22"/>
          <w:lang w:val="en-GB"/>
        </w:rPr>
      </w:pPr>
    </w:p>
    <w:p w:rsidRPr="009C48DA" w:rsidR="00661519" w:rsidP="00661519" w:rsidRDefault="00661519" w14:paraId="270B12DF"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Adoption of new and revised standards</w:t>
      </w:r>
    </w:p>
    <w:p w:rsidRPr="009C48DA" w:rsidR="00661519" w:rsidP="00661519" w:rsidRDefault="00661519" w14:paraId="6EDFA9E9"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Group has adopted all relevant amendments to existing standards and interpretations issued by the IASB that are effective from 1 </w:t>
      </w:r>
      <w:r w:rsidRPr="009C48DA">
        <w:rPr>
          <w:rFonts w:eastAsia="Times New Roman" w:cs="Times New Roman"/>
          <w:color w:val="000000"/>
          <w:sz w:val="16"/>
          <w:szCs w:val="22"/>
          <w:lang w:val="en-GB"/>
        </w:rPr>
        <w:br/>
        <w:t xml:space="preserve">January 2020 with no material impact on its combined and consolidated results or financial position (except as described below with regards </w:t>
      </w:r>
      <w:r w:rsidRPr="009C48DA">
        <w:rPr>
          <w:rFonts w:eastAsia="Times New Roman" w:cs="Times New Roman"/>
          <w:color w:val="000000"/>
          <w:sz w:val="16"/>
          <w:szCs w:val="22"/>
          <w:lang w:val="en-GB"/>
        </w:rPr>
        <w:br/>
        <w:t>to IFRS 16 “Leases”).</w:t>
      </w:r>
    </w:p>
    <w:p w:rsidRPr="009C48DA" w:rsidR="00661519" w:rsidP="00661519" w:rsidRDefault="00661519" w14:paraId="158632A1" w14:textId="77777777">
      <w:pPr>
        <w:textAlignment w:val="baseline"/>
        <w:rPr>
          <w:rFonts w:eastAsia="Times New Roman" w:cs="Times New Roman"/>
          <w:color w:val="000000"/>
          <w:sz w:val="16"/>
          <w:szCs w:val="22"/>
          <w:lang w:val="en-GB"/>
        </w:rPr>
      </w:pPr>
    </w:p>
    <w:p w:rsidRPr="009C48DA" w:rsidR="00661519" w:rsidP="00661519" w:rsidRDefault="00661519" w14:paraId="5850FC04"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Group did not implement the requirements of any other Standards or Interpretations that were in issue but were not required to be </w:t>
      </w:r>
      <w:r w:rsidRPr="009C48DA">
        <w:rPr>
          <w:rFonts w:eastAsia="Times New Roman" w:cs="Times New Roman"/>
          <w:color w:val="000000"/>
          <w:sz w:val="16"/>
          <w:szCs w:val="22"/>
          <w:lang w:val="en-GB"/>
        </w:rPr>
        <w:br/>
        <w:t xml:space="preserve">adopted by the Group at the year end date. No other Standards or Interpretations have been issued that are expected to have a material </w:t>
      </w:r>
      <w:r w:rsidRPr="009C48DA">
        <w:rPr>
          <w:rFonts w:eastAsia="Times New Roman" w:cs="Times New Roman"/>
          <w:color w:val="000000"/>
          <w:sz w:val="16"/>
          <w:szCs w:val="22"/>
          <w:lang w:val="en-GB"/>
        </w:rPr>
        <w:br/>
        <w:t>impact on the Group’s financial statements.</w:t>
      </w:r>
    </w:p>
    <w:p w:rsidRPr="009C48DA" w:rsidR="00661519" w:rsidP="00661519" w:rsidRDefault="00661519" w14:paraId="35E101C4" w14:textId="77777777">
      <w:pPr>
        <w:textAlignment w:val="baseline"/>
        <w:rPr>
          <w:rFonts w:eastAsia="Times New Roman" w:cs="Times New Roman"/>
          <w:color w:val="000000"/>
          <w:sz w:val="16"/>
          <w:szCs w:val="22"/>
          <w:lang w:val="en-GB"/>
        </w:rPr>
      </w:pPr>
    </w:p>
    <w:p w:rsidRPr="009C48DA" w:rsidR="00661519" w:rsidP="00661519" w:rsidRDefault="00661519" w14:paraId="140D8DA7"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Going concern</w:t>
      </w:r>
    </w:p>
    <w:p w:rsidRPr="009C48DA" w:rsidR="00661519" w:rsidP="00661519" w:rsidRDefault="00661519" w14:paraId="67000426"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historical financial information has been prepared on a going concern basis as the directors have a reasonable expectation that the </w:t>
      </w:r>
      <w:r w:rsidRPr="009C48DA">
        <w:rPr>
          <w:rFonts w:eastAsia="Times New Roman" w:cs="Times New Roman"/>
          <w:color w:val="000000"/>
          <w:sz w:val="16"/>
          <w:szCs w:val="22"/>
          <w:lang w:val="en-GB"/>
        </w:rPr>
        <w:br/>
        <w:t xml:space="preserve">Company and Group has adequate resources to continue its operational existence for the foreseeable future having assessed the business </w:t>
      </w:r>
      <w:r w:rsidRPr="009C48DA">
        <w:rPr>
          <w:rFonts w:eastAsia="Times New Roman" w:cs="Times New Roman"/>
          <w:color w:val="000000"/>
          <w:sz w:val="16"/>
          <w:szCs w:val="22"/>
          <w:lang w:val="en-GB"/>
        </w:rPr>
        <w:br/>
        <w:t>risks, financial position and resource of both the Company and Group.</w:t>
      </w:r>
    </w:p>
    <w:p w:rsidRPr="009C48DA" w:rsidR="00661519" w:rsidP="00661519" w:rsidRDefault="00661519" w14:paraId="06AC26C3" w14:textId="77777777">
      <w:pPr>
        <w:jc w:val="both"/>
        <w:textAlignment w:val="baseline"/>
        <w:rPr>
          <w:rFonts w:eastAsia="Times New Roman" w:cs="Times New Roman"/>
          <w:color w:val="000000"/>
          <w:sz w:val="16"/>
          <w:szCs w:val="22"/>
          <w:lang w:val="en-GB"/>
        </w:rPr>
      </w:pPr>
    </w:p>
    <w:p w:rsidRPr="009C48DA" w:rsidR="00661519" w:rsidP="00661519" w:rsidRDefault="00661519" w14:paraId="1557AB1C"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Specifically, the majority of the Group’s revenue is from long term fund management contracts and it has a largely predictable cost base </w:t>
      </w:r>
      <w:r w:rsidRPr="009C48DA">
        <w:rPr>
          <w:rFonts w:eastAsia="Times New Roman" w:cs="Times New Roman"/>
          <w:color w:val="000000"/>
          <w:sz w:val="16"/>
          <w:szCs w:val="22"/>
          <w:lang w:val="en-GB"/>
        </w:rPr>
        <w:br/>
        <w:t>made up of principally personnel costs, giving it good visibility of income, expenditure and future profitability.</w:t>
      </w:r>
    </w:p>
    <w:p w:rsidRPr="009C48DA" w:rsidR="00661519" w:rsidP="00661519" w:rsidRDefault="00661519" w14:paraId="5F4C0159" w14:textId="77777777">
      <w:pPr>
        <w:jc w:val="both"/>
        <w:textAlignment w:val="baseline"/>
        <w:rPr>
          <w:rFonts w:eastAsia="Times New Roman" w:cs="Times New Roman"/>
          <w:color w:val="000000"/>
          <w:sz w:val="16"/>
          <w:szCs w:val="22"/>
          <w:lang w:val="en-GB"/>
        </w:rPr>
      </w:pPr>
    </w:p>
    <w:p w:rsidRPr="009C48DA" w:rsidR="00661519" w:rsidP="00661519" w:rsidRDefault="00661519" w14:paraId="01DCABAC"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In making their assessment the directors have considered scenarios including a delay in fundraising and later and lower returns from </w:t>
      </w:r>
      <w:r w:rsidRPr="009C48DA">
        <w:rPr>
          <w:rFonts w:eastAsia="Times New Roman" w:cs="Times New Roman"/>
          <w:color w:val="000000"/>
          <w:sz w:val="16"/>
          <w:szCs w:val="22"/>
          <w:lang w:val="en-GB"/>
        </w:rPr>
        <w:br/>
        <w:t>investments, which would impact the income and cash flow of the Group. The directors are satisfied that even under these stressed scenarios the Company and the Group would remain a going concern.</w:t>
      </w:r>
    </w:p>
    <w:p w:rsidRPr="009C48DA" w:rsidR="00661519" w:rsidP="00661519" w:rsidRDefault="00661519" w14:paraId="09B28E06" w14:textId="77777777">
      <w:pPr>
        <w:jc w:val="both"/>
        <w:textAlignment w:val="baseline"/>
        <w:rPr>
          <w:rFonts w:eastAsia="Times New Roman" w:cs="Times New Roman"/>
          <w:color w:val="000000"/>
          <w:sz w:val="16"/>
          <w:szCs w:val="22"/>
          <w:lang w:val="en-GB"/>
        </w:rPr>
      </w:pPr>
    </w:p>
    <w:p w:rsidRPr="009C48DA" w:rsidR="00661519" w:rsidP="00661519" w:rsidRDefault="00661519" w14:paraId="21FF39ED" w14:textId="77777777">
      <w:pPr>
        <w:jc w:val="both"/>
        <w:textAlignment w:val="baseline"/>
        <w:rPr>
          <w:rFonts w:eastAsia="Times New Roman" w:cs="Times New Roman"/>
          <w:color w:val="000000"/>
          <w:sz w:val="16"/>
          <w:szCs w:val="22"/>
          <w:lang w:val="en-GB"/>
        </w:rPr>
      </w:pPr>
    </w:p>
    <w:p w:rsidRPr="009C48DA" w:rsidR="00661519" w:rsidP="00661519" w:rsidRDefault="00661519" w14:paraId="575DF6FA"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2</w:t>
      </w:r>
      <w:r w:rsidRPr="009C48DA">
        <w:rPr>
          <w:rFonts w:eastAsia="Times New Roman" w:cs="Times New Roman"/>
          <w:b/>
          <w:color w:val="000000"/>
          <w:sz w:val="16"/>
          <w:szCs w:val="22"/>
          <w:lang w:val="en-GB"/>
        </w:rPr>
        <w:tab/>
        <w:t>Accounting policies</w:t>
      </w:r>
    </w:p>
    <w:p w:rsidRPr="009C48DA" w:rsidR="00661519" w:rsidP="00661519" w:rsidRDefault="00661519" w14:paraId="4AD8C720" w14:textId="77777777">
      <w:pPr>
        <w:tabs>
          <w:tab w:val="left" w:pos="360"/>
        </w:tabs>
        <w:textAlignment w:val="baseline"/>
        <w:rPr>
          <w:rFonts w:eastAsia="Times New Roman" w:cs="Times New Roman"/>
          <w:b/>
          <w:color w:val="000000"/>
          <w:sz w:val="16"/>
          <w:szCs w:val="22"/>
          <w:lang w:val="en-GB"/>
        </w:rPr>
      </w:pPr>
    </w:p>
    <w:p w:rsidRPr="009C48DA" w:rsidR="00661519" w:rsidP="00661519" w:rsidRDefault="00661519" w14:paraId="795BE0CD"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(a)</w:t>
      </w:r>
      <w:r w:rsidRPr="009C48DA">
        <w:rPr>
          <w:rFonts w:eastAsia="Times New Roman" w:cs="Times New Roman"/>
          <w:b/>
          <w:color w:val="000000"/>
          <w:sz w:val="16"/>
          <w:szCs w:val="22"/>
          <w:lang w:val="en-GB"/>
        </w:rPr>
        <w:tab/>
        <w:t>Consolidation</w:t>
      </w:r>
    </w:p>
    <w:p w:rsidRPr="009C48DA" w:rsidR="00661519" w:rsidP="00661519" w:rsidRDefault="00661519" w14:paraId="54CC11EE" w14:textId="77777777">
      <w:pPr>
        <w:tabs>
          <w:tab w:val="left" w:pos="504"/>
        </w:tabs>
        <w:textAlignment w:val="baseline"/>
        <w:rPr>
          <w:rFonts w:eastAsia="Times New Roman" w:cs="Times New Roman"/>
          <w:b/>
          <w:color w:val="000000"/>
          <w:sz w:val="16"/>
          <w:szCs w:val="22"/>
          <w:lang w:val="en-GB"/>
        </w:rPr>
      </w:pPr>
    </w:p>
    <w:p w:rsidRPr="009C48DA" w:rsidR="00661519" w:rsidP="00661519" w:rsidRDefault="00661519" w14:paraId="33D8C23C"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historical financial information consolidates the financial statements of the Company and entities controlled by the Company drawn up </w:t>
      </w:r>
      <w:r w:rsidRPr="009C48DA">
        <w:rPr>
          <w:rFonts w:eastAsia="Times New Roman" w:cs="Times New Roman"/>
          <w:color w:val="000000"/>
          <w:sz w:val="16"/>
          <w:szCs w:val="22"/>
          <w:lang w:val="en-GB"/>
        </w:rPr>
        <w:br/>
        <w:t xml:space="preserve">to the end of the relevant period, which includes the elimination of all intra-Group transactions. Uniform accounting policies have been </w:t>
      </w:r>
      <w:r w:rsidRPr="009C48DA">
        <w:rPr>
          <w:rFonts w:eastAsia="Times New Roman" w:cs="Times New Roman"/>
          <w:color w:val="000000"/>
          <w:sz w:val="16"/>
          <w:szCs w:val="22"/>
          <w:lang w:val="en-GB"/>
        </w:rPr>
        <w:br/>
        <w:t>adopted across the Group.</w:t>
      </w:r>
    </w:p>
    <w:p w:rsidRPr="009C48DA" w:rsidR="00661519" w:rsidP="00661519" w:rsidRDefault="00661519" w14:paraId="1DA04B6B" w14:textId="77777777">
      <w:pPr>
        <w:rPr>
          <w:rFonts w:eastAsia="Times New Roman" w:cs="Times New Roman"/>
          <w:color w:val="000000"/>
          <w:sz w:val="16"/>
          <w:szCs w:val="22"/>
          <w:lang w:val="en-GB"/>
        </w:rPr>
      </w:pPr>
      <w:r w:rsidRPr="009C48DA">
        <w:rPr>
          <w:rFonts w:eastAsia="Times New Roman" w:cs="Times New Roman"/>
          <w:color w:val="000000"/>
          <w:sz w:val="16"/>
          <w:szCs w:val="22"/>
          <w:lang w:val="en-GB"/>
        </w:rPr>
        <w:br w:type="page"/>
      </w:r>
    </w:p>
    <w:p w:rsidRPr="009C48DA" w:rsidR="00661519" w:rsidP="00661519" w:rsidRDefault="00661519" w14:paraId="297A169F" w14:textId="77777777">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lastRenderedPageBreak/>
        <w:t>Assessment of control</w:t>
      </w:r>
    </w:p>
    <w:p w:rsidRPr="009C48DA" w:rsidR="00661519" w:rsidP="00661519" w:rsidRDefault="00661519" w14:paraId="4BC2A7EE" w14:textId="77777777">
      <w:pPr>
        <w:textAlignment w:val="baseline"/>
        <w:rPr>
          <w:rFonts w:eastAsia="Times New Roman" w:cs="Times New Roman"/>
          <w:color w:val="000000"/>
          <w:sz w:val="16"/>
          <w:szCs w:val="22"/>
          <w:lang w:val="en-GB"/>
        </w:rPr>
      </w:pPr>
    </w:p>
    <w:p w:rsidRPr="009C48DA" w:rsidR="00661519" w:rsidP="00661519" w:rsidRDefault="00661519" w14:paraId="05B12AF5"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Control is achieved when the Group has power over the relevant activities, exposure to variable returns from the investee, and the ability to affect those returns through its power over the investee.</w:t>
      </w:r>
    </w:p>
    <w:p w:rsidRPr="009C48DA" w:rsidR="00661519" w:rsidP="00661519" w:rsidRDefault="00661519" w14:paraId="78C9B624" w14:textId="77777777">
      <w:pPr>
        <w:spacing w:before="183" w:line="187" w:lineRule="exact"/>
        <w:textAlignment w:val="baseline"/>
        <w:rPr>
          <w:rFonts w:eastAsia="Times New Roman"/>
          <w:color w:val="000000"/>
          <w:sz w:val="16"/>
          <w:lang w:val="en-GB"/>
        </w:rPr>
      </w:pPr>
      <w:r w:rsidRPr="009C48DA">
        <w:rPr>
          <w:rFonts w:eastAsia="Times New Roman"/>
          <w:color w:val="000000"/>
          <w:sz w:val="16"/>
          <w:lang w:val="en-GB"/>
        </w:rPr>
        <w:t>The Group controls an investee (entity) if, and only if, the Group has all of the following:</w:t>
      </w:r>
    </w:p>
    <w:p w:rsidRPr="009C48DA" w:rsidR="00661519" w:rsidP="00661519" w:rsidRDefault="00661519" w14:paraId="6D5D8BAC" w14:textId="77777777">
      <w:pPr>
        <w:pStyle w:val="ListParagraph"/>
        <w:numPr>
          <w:ilvl w:val="0"/>
          <w:numId w:val="43"/>
        </w:numPr>
        <w:spacing w:before="183" w:after="0" w:line="187" w:lineRule="exact"/>
        <w:textAlignment w:val="baseline"/>
        <w:rPr>
          <w:rFonts w:eastAsia="Times New Roman"/>
          <w:color w:val="000000"/>
          <w:sz w:val="16"/>
          <w:lang w:val="en-GB"/>
        </w:rPr>
      </w:pPr>
      <w:r w:rsidRPr="009C48DA">
        <w:rPr>
          <w:rFonts w:eastAsia="Times New Roman"/>
          <w:color w:val="000000"/>
          <w:sz w:val="16"/>
          <w:lang w:val="en-GB"/>
        </w:rPr>
        <w:t>power over the investee (i.e. existing rights that give it the current ability to direct the relevant activities of the investee);</w:t>
      </w:r>
    </w:p>
    <w:p w:rsidRPr="009C48DA" w:rsidR="00661519" w:rsidP="00661519" w:rsidRDefault="00661519" w14:paraId="38C4246B" w14:textId="77777777">
      <w:pPr>
        <w:pStyle w:val="ListParagraph"/>
        <w:numPr>
          <w:ilvl w:val="0"/>
          <w:numId w:val="43"/>
        </w:numPr>
        <w:spacing w:before="183" w:after="0" w:line="187" w:lineRule="exact"/>
        <w:textAlignment w:val="baseline"/>
        <w:rPr>
          <w:rFonts w:eastAsia="Times New Roman"/>
          <w:color w:val="000000"/>
          <w:sz w:val="16"/>
          <w:lang w:val="en-GB"/>
        </w:rPr>
      </w:pPr>
      <w:r w:rsidRPr="009C48DA">
        <w:rPr>
          <w:rFonts w:eastAsia="Times New Roman"/>
          <w:color w:val="000000"/>
          <w:sz w:val="16"/>
          <w:lang w:val="en-GB"/>
        </w:rPr>
        <w:t>exposure, or rights, to variable returns from its involvement with the investee; and</w:t>
      </w:r>
    </w:p>
    <w:p w:rsidRPr="009C48DA" w:rsidR="00661519" w:rsidP="00661519" w:rsidRDefault="00661519" w14:paraId="57B5FC1B" w14:textId="77777777">
      <w:pPr>
        <w:pStyle w:val="ListParagraph"/>
        <w:numPr>
          <w:ilvl w:val="0"/>
          <w:numId w:val="43"/>
        </w:numPr>
        <w:spacing w:before="183" w:after="0" w:line="187" w:lineRule="exact"/>
        <w:textAlignment w:val="baseline"/>
        <w:rPr>
          <w:rFonts w:eastAsia="Times New Roman"/>
          <w:color w:val="000000"/>
          <w:sz w:val="16"/>
          <w:lang w:val="en-GB"/>
        </w:rPr>
      </w:pPr>
      <w:r w:rsidRPr="009C48DA">
        <w:rPr>
          <w:rFonts w:eastAsia="Times New Roman"/>
          <w:color w:val="000000"/>
          <w:sz w:val="16"/>
          <w:lang w:val="en-GB"/>
        </w:rPr>
        <w:t>ability to use its power over the investee to affect its returns.</w:t>
      </w:r>
    </w:p>
    <w:p w:rsidRPr="009C48DA" w:rsidR="00661519" w:rsidP="00661519" w:rsidRDefault="00661519" w14:paraId="7B956C79" w14:textId="77777777">
      <w:pPr>
        <w:spacing w:before="97" w:line="187" w:lineRule="exact"/>
        <w:jc w:val="both"/>
        <w:textAlignment w:val="baseline"/>
        <w:rPr>
          <w:rFonts w:eastAsia="Times New Roman"/>
          <w:color w:val="000000"/>
          <w:sz w:val="16"/>
          <w:lang w:val="en-GB"/>
        </w:rPr>
      </w:pPr>
      <w:r w:rsidRPr="009C48DA">
        <w:rPr>
          <w:rFonts w:eastAsia="Times New Roman"/>
          <w:color w:val="000000"/>
          <w:sz w:val="16"/>
          <w:lang w:val="en-GB"/>
        </w:rPr>
        <w:t xml:space="preserve">The Group reassesses whether or not it controls an investee if facts and circumstances indicate that there are changes to one or more of the </w:t>
      </w:r>
      <w:r w:rsidRPr="009C48DA">
        <w:rPr>
          <w:rFonts w:eastAsia="Times New Roman"/>
          <w:color w:val="000000"/>
          <w:sz w:val="16"/>
          <w:lang w:val="en-GB"/>
        </w:rPr>
        <w:br/>
        <w:t>three elements of control listed above.</w:t>
      </w:r>
    </w:p>
    <w:p w:rsidRPr="009C48DA" w:rsidR="00661519" w:rsidP="00661519" w:rsidRDefault="00661519" w14:paraId="2E6F67E7" w14:textId="77777777">
      <w:pPr>
        <w:spacing w:before="182"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When the Group holds less than a majority of the voting rights of an investee, it has power over the investee when the voting rights are </w:t>
      </w:r>
      <w:r w:rsidRPr="009C48DA">
        <w:rPr>
          <w:rFonts w:eastAsia="Times New Roman"/>
          <w:color w:val="000000"/>
          <w:sz w:val="16"/>
          <w:lang w:val="en-GB"/>
        </w:rPr>
        <w:br/>
        <w:t>sufficient to give it the practical ability to direct the relevant activities of the investee unilaterally. The Group considers all relevant facts and circumstances in assessing whether or not the Group’s voting rights in an investee are sufficient to give it power, including:</w:t>
      </w:r>
    </w:p>
    <w:p w:rsidRPr="009C48DA" w:rsidR="00661519" w:rsidP="00661519" w:rsidRDefault="00661519" w14:paraId="02F1CBD5" w14:textId="77777777">
      <w:pPr>
        <w:pStyle w:val="ListParagraph"/>
        <w:numPr>
          <w:ilvl w:val="0"/>
          <w:numId w:val="43"/>
        </w:numPr>
        <w:spacing w:before="183" w:after="0" w:line="187" w:lineRule="exact"/>
        <w:textAlignment w:val="baseline"/>
        <w:rPr>
          <w:rFonts w:eastAsia="Times New Roman"/>
          <w:color w:val="000000"/>
          <w:sz w:val="16"/>
          <w:lang w:val="en-GB"/>
        </w:rPr>
      </w:pPr>
      <w:r w:rsidRPr="009C48DA">
        <w:rPr>
          <w:rFonts w:eastAsia="Times New Roman"/>
          <w:color w:val="000000"/>
          <w:sz w:val="16"/>
          <w:lang w:val="en-GB"/>
        </w:rPr>
        <w:t>the size of the Group’s holding of voting rights relative to the size and dispersion of holdings of the other vote holders;</w:t>
      </w:r>
    </w:p>
    <w:p w:rsidRPr="009C48DA" w:rsidR="00661519" w:rsidP="00661519" w:rsidRDefault="00661519" w14:paraId="112565BA" w14:textId="77777777">
      <w:pPr>
        <w:pStyle w:val="ListParagraph"/>
        <w:numPr>
          <w:ilvl w:val="0"/>
          <w:numId w:val="43"/>
        </w:numPr>
        <w:spacing w:before="183" w:after="0" w:line="187" w:lineRule="exact"/>
        <w:textAlignment w:val="baseline"/>
        <w:rPr>
          <w:rFonts w:eastAsia="Times New Roman"/>
          <w:color w:val="000000"/>
          <w:sz w:val="16"/>
          <w:lang w:val="en-GB"/>
        </w:rPr>
      </w:pPr>
      <w:r w:rsidRPr="009C48DA">
        <w:rPr>
          <w:rFonts w:eastAsia="Times New Roman"/>
          <w:color w:val="000000"/>
          <w:sz w:val="16"/>
          <w:lang w:val="en-GB"/>
        </w:rPr>
        <w:t>potential voting rights held by the Group, other vote holders or other parties;</w:t>
      </w:r>
    </w:p>
    <w:p w:rsidRPr="009C48DA" w:rsidR="00661519" w:rsidP="00661519" w:rsidRDefault="00661519" w14:paraId="62BC3EA7" w14:textId="77777777">
      <w:pPr>
        <w:pStyle w:val="ListParagraph"/>
        <w:numPr>
          <w:ilvl w:val="0"/>
          <w:numId w:val="43"/>
        </w:numPr>
        <w:spacing w:before="183" w:after="0" w:line="187" w:lineRule="exact"/>
        <w:textAlignment w:val="baseline"/>
        <w:rPr>
          <w:rFonts w:eastAsia="Times New Roman"/>
          <w:color w:val="000000"/>
          <w:sz w:val="16"/>
          <w:lang w:val="en-GB"/>
        </w:rPr>
      </w:pPr>
      <w:r w:rsidRPr="009C48DA">
        <w:rPr>
          <w:rFonts w:eastAsia="Times New Roman"/>
          <w:color w:val="000000"/>
          <w:sz w:val="16"/>
          <w:lang w:val="en-GB"/>
        </w:rPr>
        <w:t>rights arising from other contractual arrangements; and</w:t>
      </w:r>
    </w:p>
    <w:p w:rsidRPr="009C48DA" w:rsidR="00661519" w:rsidP="00661519" w:rsidRDefault="00661519" w14:paraId="6ABC7258" w14:textId="77777777">
      <w:pPr>
        <w:pStyle w:val="ListParagraph"/>
        <w:numPr>
          <w:ilvl w:val="0"/>
          <w:numId w:val="43"/>
        </w:numPr>
        <w:spacing w:before="183" w:after="0" w:line="187" w:lineRule="exact"/>
        <w:textAlignment w:val="baseline"/>
        <w:rPr>
          <w:rFonts w:eastAsia="Times New Roman"/>
          <w:color w:val="000000"/>
          <w:sz w:val="16"/>
          <w:lang w:val="en-GB"/>
        </w:rPr>
      </w:pPr>
      <w:r w:rsidRPr="009C48DA">
        <w:rPr>
          <w:rFonts w:eastAsia="Times New Roman"/>
          <w:color w:val="000000"/>
          <w:sz w:val="16"/>
          <w:lang w:val="en-GB"/>
        </w:rPr>
        <w:t>any additional facts and circumstances that indicate that the Group has, or does not have, the current ability to direct the relevant activities at the time when decisions need to be made, including voting patterns at previous shareholders meetings.</w:t>
      </w:r>
    </w:p>
    <w:p w:rsidRPr="009C48DA" w:rsidR="00661519" w:rsidP="00661519" w:rsidRDefault="00661519" w14:paraId="5A7B8677" w14:textId="77777777">
      <w:pPr>
        <w:textAlignment w:val="baseline"/>
        <w:rPr>
          <w:rFonts w:eastAsia="Times New Roman" w:cs="Times New Roman"/>
          <w:color w:val="000000"/>
          <w:sz w:val="16"/>
          <w:szCs w:val="22"/>
          <w:lang w:val="en-GB"/>
        </w:rPr>
      </w:pPr>
    </w:p>
    <w:p w:rsidRPr="009C48DA" w:rsidR="00661519" w:rsidP="00661519" w:rsidRDefault="00661519" w14:paraId="4FE25DAB"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assessment of control is based on all relevant facts and circumstances and the Group reassesses its conclusion if there is an indication </w:t>
      </w:r>
      <w:r w:rsidRPr="009C48DA">
        <w:rPr>
          <w:rFonts w:eastAsia="Times New Roman" w:cs="Times New Roman"/>
          <w:color w:val="000000"/>
          <w:sz w:val="16"/>
          <w:szCs w:val="22"/>
          <w:lang w:val="en-GB"/>
        </w:rPr>
        <w:br/>
        <w:t>that there are changes in facts and circumstances.</w:t>
      </w:r>
    </w:p>
    <w:p w:rsidRPr="009C48DA" w:rsidR="00661519" w:rsidP="00661519" w:rsidRDefault="00661519" w14:paraId="3A304C2D" w14:textId="77777777">
      <w:pPr>
        <w:jc w:val="both"/>
        <w:textAlignment w:val="baseline"/>
        <w:rPr>
          <w:rFonts w:eastAsia="Times New Roman" w:cs="Times New Roman"/>
          <w:color w:val="000000"/>
          <w:sz w:val="16"/>
          <w:szCs w:val="22"/>
          <w:lang w:val="en-GB"/>
        </w:rPr>
      </w:pPr>
    </w:p>
    <w:p w:rsidRPr="009C48DA" w:rsidR="00661519" w:rsidP="00661519" w:rsidRDefault="00661519" w14:paraId="69E73921"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Consolidation of a subsidiary begins when the Group obtains control over the subsidiary and ceases when the Group loses control over the subsidiary. Specifically, income and expenses of a subsidiary acquired or disposed of during the year are included in the consolidated </w:t>
      </w:r>
      <w:r w:rsidRPr="009C48DA">
        <w:rPr>
          <w:rFonts w:eastAsia="Times New Roman"/>
          <w:color w:val="000000"/>
          <w:sz w:val="16"/>
          <w:lang w:val="en-GB"/>
        </w:rPr>
        <w:br/>
        <w:t>statement of comprehensive income from the date the Group gains control until the date when the Group ceases to control the subsidiary.</w:t>
      </w:r>
    </w:p>
    <w:p w:rsidRPr="009C48DA" w:rsidR="00661519" w:rsidP="00661519" w:rsidRDefault="00661519" w14:paraId="66879E92" w14:textId="77777777">
      <w:pPr>
        <w:jc w:val="both"/>
        <w:textAlignment w:val="baseline"/>
        <w:rPr>
          <w:rFonts w:eastAsia="Times New Roman" w:cs="Times New Roman"/>
          <w:color w:val="000000"/>
          <w:sz w:val="10"/>
          <w:szCs w:val="10"/>
          <w:lang w:val="en-GB"/>
        </w:rPr>
      </w:pPr>
    </w:p>
    <w:p w:rsidRPr="009C48DA" w:rsidR="00661519" w:rsidP="00661519" w:rsidRDefault="00661519" w14:paraId="7BDB4357"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The Group treats transactions with non-controlling interests through the economic entity model. Transactions with non</w:t>
      </w:r>
      <w:r w:rsidRPr="009C48DA">
        <w:rPr>
          <w:rFonts w:eastAsia="Times New Roman" w:cs="Times New Roman"/>
          <w:color w:val="000000"/>
          <w:sz w:val="16"/>
          <w:szCs w:val="22"/>
          <w:lang w:val="en-GB"/>
        </w:rPr>
        <w:noBreakHyphen/>
        <w:t>controlling interests are recognised in equity.</w:t>
      </w:r>
    </w:p>
    <w:p w:rsidRPr="009C48DA" w:rsidR="00661519" w:rsidP="00661519" w:rsidRDefault="00661519" w14:paraId="25B36DEC" w14:textId="77777777">
      <w:pPr>
        <w:jc w:val="both"/>
        <w:textAlignment w:val="baseline"/>
        <w:rPr>
          <w:rFonts w:eastAsia="Times New Roman" w:cs="Times New Roman"/>
          <w:color w:val="000000"/>
          <w:sz w:val="16"/>
          <w:szCs w:val="22"/>
          <w:lang w:val="en-GB"/>
        </w:rPr>
      </w:pPr>
    </w:p>
    <w:p w:rsidRPr="009C48DA" w:rsidR="00661519" w:rsidP="00661519" w:rsidRDefault="00661519" w14:paraId="6F8CC063" w14:textId="77777777">
      <w:pPr>
        <w:tabs>
          <w:tab w:val="left" w:pos="432"/>
        </w:tabs>
        <w:textAlignment w:val="baseline"/>
        <w:rPr>
          <w:rFonts w:eastAsia="Times New Roman" w:cs="Times New Roman"/>
          <w:b/>
          <w:color w:val="000000"/>
          <w:sz w:val="16"/>
          <w:szCs w:val="22"/>
          <w:lang w:val="en-GB"/>
        </w:rPr>
      </w:pPr>
    </w:p>
    <w:p w:rsidRPr="009C48DA" w:rsidR="00661519" w:rsidP="00661519" w:rsidRDefault="00661519" w14:paraId="05BD8503" w14:textId="77777777">
      <w:pPr>
        <w:ind w:left="567" w:hanging="567"/>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(b)</w:t>
      </w:r>
      <w:r w:rsidRPr="009C48DA">
        <w:rPr>
          <w:rFonts w:eastAsia="Times New Roman" w:cs="Times New Roman"/>
          <w:b/>
          <w:color w:val="000000"/>
          <w:sz w:val="16"/>
          <w:szCs w:val="22"/>
          <w:lang w:val="en-GB"/>
        </w:rPr>
        <w:tab/>
        <w:t>Foreign currencies</w:t>
      </w:r>
    </w:p>
    <w:p w:rsidRPr="009C48DA" w:rsidR="00661519" w:rsidP="00661519" w:rsidRDefault="00661519" w14:paraId="52A47F0F" w14:textId="77777777">
      <w:pPr>
        <w:textAlignment w:val="baseline"/>
        <w:rPr>
          <w:rFonts w:eastAsia="Times New Roman" w:cs="Times New Roman"/>
          <w:b/>
          <w:color w:val="000000"/>
          <w:sz w:val="10"/>
          <w:szCs w:val="10"/>
          <w:u w:val="single"/>
          <w:lang w:val="en-GB"/>
        </w:rPr>
      </w:pPr>
    </w:p>
    <w:p w:rsidRPr="009C48DA" w:rsidR="00661519" w:rsidP="00661519" w:rsidRDefault="00661519" w14:paraId="0BAB3A6B" w14:textId="77777777">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Functional and presentation currency</w:t>
      </w:r>
    </w:p>
    <w:p w:rsidRPr="009C48DA" w:rsidR="00661519" w:rsidP="00661519" w:rsidRDefault="00661519" w14:paraId="42ECD7CA" w14:textId="77777777">
      <w:pPr>
        <w:spacing w:before="18" w:line="184" w:lineRule="exact"/>
        <w:textAlignment w:val="baseline"/>
        <w:rPr>
          <w:rFonts w:eastAsia="Times New Roman"/>
          <w:color w:val="000000"/>
          <w:sz w:val="16"/>
          <w:lang w:val="en-GB"/>
        </w:rPr>
      </w:pPr>
      <w:r w:rsidRPr="009C48DA">
        <w:rPr>
          <w:rFonts w:eastAsia="Times New Roman"/>
          <w:color w:val="000000"/>
          <w:sz w:val="16"/>
          <w:lang w:val="en-GB"/>
        </w:rPr>
        <w:t>Items included in the financial statements of each of the Group’s entities are measured using the currency of the primary economic environment in which the entity operates (‘the functional currency’). The historical financial information is presented in pound sterling, which is the Company’s functional and presentation currency.</w:t>
      </w:r>
    </w:p>
    <w:p w:rsidRPr="009C48DA" w:rsidR="00661519" w:rsidP="00661519" w:rsidRDefault="00661519" w14:paraId="131F2DB6" w14:textId="77777777">
      <w:pPr>
        <w:spacing w:before="18" w:line="184" w:lineRule="exact"/>
        <w:textAlignment w:val="baseline"/>
        <w:rPr>
          <w:rFonts w:eastAsia="Times New Roman"/>
          <w:color w:val="000000"/>
          <w:sz w:val="16"/>
          <w:lang w:val="en-GB"/>
        </w:rPr>
      </w:pPr>
    </w:p>
    <w:p w:rsidRPr="009C48DA" w:rsidR="00661519" w:rsidP="00661519" w:rsidRDefault="00661519" w14:paraId="2E2963FA"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Whilst the currency that the Group earns its revenue is primarily euros, the currency that influences its cost base is primarily pound sterling and how Group profitability is measured, therefore pound sterling has been determined to be the most appropriate presentational currency for the Group. </w:t>
      </w:r>
    </w:p>
    <w:p w:rsidRPr="009C48DA" w:rsidR="00661519" w:rsidP="00661519" w:rsidRDefault="00661519" w14:paraId="04ED44E4" w14:textId="77777777">
      <w:pPr>
        <w:jc w:val="both"/>
        <w:textAlignment w:val="baseline"/>
        <w:rPr>
          <w:rFonts w:eastAsia="Times New Roman"/>
          <w:color w:val="000000"/>
          <w:sz w:val="16"/>
          <w:lang w:val="en-GB"/>
        </w:rPr>
      </w:pPr>
    </w:p>
    <w:p w:rsidRPr="009C48DA" w:rsidR="00661519" w:rsidP="00661519" w:rsidRDefault="00661519" w14:paraId="1D7894DB" w14:textId="77777777">
      <w:pPr>
        <w:jc w:val="both"/>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Foreign currency transactions</w:t>
      </w:r>
    </w:p>
    <w:p w:rsidRPr="009C48DA" w:rsidR="00661519" w:rsidP="00661519" w:rsidRDefault="00661519" w14:paraId="35F3479D" w14:textId="77777777">
      <w:pPr>
        <w:spacing w:before="14" w:line="187" w:lineRule="exact"/>
        <w:textAlignment w:val="baseline"/>
        <w:rPr>
          <w:rFonts w:eastAsia="Times New Roman"/>
          <w:color w:val="000000"/>
          <w:sz w:val="16"/>
          <w:lang w:val="en-GB"/>
        </w:rPr>
      </w:pPr>
      <w:r w:rsidRPr="009C48DA">
        <w:rPr>
          <w:rFonts w:eastAsia="Times New Roman"/>
          <w:color w:val="000000"/>
          <w:sz w:val="16"/>
          <w:lang w:val="en-GB"/>
        </w:rPr>
        <w:t>Foreign currency transactions are translated into the functional currency using the spot exchange rates at the dates of the transactions.</w:t>
      </w:r>
    </w:p>
    <w:p w:rsidRPr="009C48DA" w:rsidR="00661519" w:rsidP="00661519" w:rsidRDefault="00661519" w14:paraId="510F1266" w14:textId="77777777">
      <w:pPr>
        <w:spacing w:before="186"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Foreign exchange gains and losses resulting from the settlement of such transactions, and from the translation of monetary assets and liabilities denominated in foreign currencies at year end exchange rates, are generally recognised in profit or loss. They are deferred in equity if they relate to qualifying cash flow hedges and qualifying net investment hedges or are attributable to part of the net investment in a </w:t>
      </w:r>
    </w:p>
    <w:p w:rsidRPr="009C48DA" w:rsidR="00661519" w:rsidP="00661519" w:rsidRDefault="00661519" w14:paraId="4A41AE04" w14:textId="77777777">
      <w:pPr>
        <w:spacing w:line="184" w:lineRule="exact"/>
        <w:jc w:val="both"/>
        <w:textAlignment w:val="baseline"/>
        <w:rPr>
          <w:rFonts w:eastAsia="Times New Roman"/>
          <w:color w:val="000000"/>
          <w:sz w:val="16"/>
          <w:lang w:val="en-GB"/>
        </w:rPr>
      </w:pPr>
      <w:r w:rsidRPr="009C48DA">
        <w:rPr>
          <w:rFonts w:eastAsia="Times New Roman"/>
          <w:color w:val="000000"/>
          <w:sz w:val="16"/>
          <w:lang w:val="en-GB"/>
        </w:rPr>
        <w:t>foreign operation.</w:t>
      </w:r>
    </w:p>
    <w:p w:rsidRPr="009C48DA" w:rsidR="00661519" w:rsidP="00661519" w:rsidRDefault="00661519" w14:paraId="54BDBCEC" w14:textId="77777777">
      <w:pPr>
        <w:spacing w:before="186" w:line="183" w:lineRule="exact"/>
        <w:jc w:val="both"/>
        <w:textAlignment w:val="baseline"/>
        <w:rPr>
          <w:rFonts w:eastAsia="Times New Roman"/>
          <w:color w:val="000000"/>
          <w:sz w:val="16"/>
          <w:lang w:val="en-GB"/>
        </w:rPr>
      </w:pPr>
      <w:r w:rsidRPr="009C48DA">
        <w:rPr>
          <w:rFonts w:eastAsia="Times New Roman"/>
          <w:color w:val="000000"/>
          <w:sz w:val="16"/>
          <w:lang w:val="en-GB"/>
        </w:rPr>
        <w:t>The impact of the revaluation of investments and carried interest held in foreign currencies is presented together with the income from the fair value measurement of the income receivable.</w:t>
      </w:r>
    </w:p>
    <w:p w:rsidRPr="009C48DA" w:rsidR="00661519" w:rsidP="00661519" w:rsidRDefault="00661519" w14:paraId="0E05920A" w14:textId="77777777">
      <w:pPr>
        <w:spacing w:before="186" w:line="183" w:lineRule="exact"/>
        <w:jc w:val="both"/>
        <w:textAlignment w:val="baseline"/>
        <w:rPr>
          <w:rFonts w:eastAsia="Times New Roman"/>
          <w:color w:val="000000"/>
          <w:sz w:val="16"/>
          <w:lang w:val="en-GB"/>
        </w:rPr>
      </w:pPr>
      <w:r w:rsidRPr="009C48DA">
        <w:rPr>
          <w:rFonts w:eastAsia="Times New Roman"/>
          <w:color w:val="000000"/>
          <w:sz w:val="16"/>
          <w:lang w:val="en-GB"/>
        </w:rPr>
        <w:t xml:space="preserve">Non-monetary assets and liabilities denominated in foreign currencies that are measured at fair value are translated at the rate prevailing at </w:t>
      </w:r>
    </w:p>
    <w:p w:rsidRPr="009C48DA" w:rsidR="00661519" w:rsidP="00661519" w:rsidRDefault="00661519" w14:paraId="06C0371E" w14:textId="77777777">
      <w:pPr>
        <w:spacing w:line="183" w:lineRule="exact"/>
        <w:jc w:val="both"/>
        <w:textAlignment w:val="baseline"/>
        <w:rPr>
          <w:rFonts w:eastAsia="Times New Roman"/>
          <w:color w:val="000000"/>
          <w:sz w:val="16"/>
          <w:lang w:val="en-GB"/>
        </w:rPr>
      </w:pPr>
      <w:r w:rsidRPr="009C48DA">
        <w:rPr>
          <w:rFonts w:eastAsia="Times New Roman"/>
          <w:color w:val="000000"/>
          <w:sz w:val="16"/>
          <w:lang w:val="en-GB"/>
        </w:rPr>
        <w:t>the date the fair value was determined.</w:t>
      </w:r>
    </w:p>
    <w:p w:rsidRPr="009C48DA" w:rsidR="00661519" w:rsidP="00661519" w:rsidRDefault="00661519" w14:paraId="170F3731" w14:textId="77777777">
      <w:pPr>
        <w:spacing w:before="188" w:line="182" w:lineRule="exact"/>
        <w:jc w:val="both"/>
        <w:textAlignment w:val="baseline"/>
        <w:rPr>
          <w:rFonts w:eastAsia="Times New Roman"/>
          <w:color w:val="000000"/>
          <w:sz w:val="16"/>
          <w:lang w:val="en-GB"/>
        </w:rPr>
      </w:pPr>
      <w:r w:rsidRPr="009C48DA">
        <w:rPr>
          <w:rFonts w:eastAsia="Times New Roman"/>
          <w:color w:val="000000"/>
          <w:sz w:val="16"/>
          <w:lang w:val="en-GB"/>
        </w:rPr>
        <w:t xml:space="preserve">Translation differences on assets and liabilities carried at fair value are reported as part of the fair value gain or loss. For example, translation differences on non-monetary assets and liabilities such as equities held at fair value through profit or loss are recognised in profit </w:t>
      </w:r>
    </w:p>
    <w:p w:rsidRPr="009C48DA" w:rsidR="00661519" w:rsidP="00661519" w:rsidRDefault="00661519" w14:paraId="3DC51C9B" w14:textId="77777777">
      <w:pPr>
        <w:spacing w:line="182" w:lineRule="exact"/>
        <w:jc w:val="both"/>
        <w:textAlignment w:val="baseline"/>
        <w:rPr>
          <w:rFonts w:eastAsia="Times New Roman"/>
          <w:color w:val="000000"/>
          <w:sz w:val="16"/>
          <w:lang w:val="en-GB"/>
        </w:rPr>
      </w:pPr>
      <w:r w:rsidRPr="009C48DA">
        <w:rPr>
          <w:rFonts w:eastAsia="Times New Roman"/>
          <w:color w:val="000000"/>
          <w:sz w:val="16"/>
          <w:lang w:val="en-GB"/>
        </w:rPr>
        <w:t>or loss as part of the fair value gain or loss.</w:t>
      </w:r>
    </w:p>
    <w:p w:rsidRPr="009C48DA" w:rsidR="00661519" w:rsidP="00661519" w:rsidRDefault="00661519" w14:paraId="4DE73CED" w14:textId="77777777">
      <w:pPr>
        <w:spacing w:before="183" w:line="187" w:lineRule="exact"/>
        <w:jc w:val="both"/>
        <w:textAlignment w:val="baseline"/>
        <w:rPr>
          <w:rFonts w:eastAsia="Times New Roman"/>
          <w:color w:val="000000"/>
          <w:sz w:val="16"/>
          <w:lang w:val="en-GB"/>
        </w:rPr>
      </w:pPr>
      <w:r w:rsidRPr="009C48DA">
        <w:rPr>
          <w:rFonts w:eastAsia="Times New Roman"/>
          <w:color w:val="000000"/>
          <w:sz w:val="16"/>
          <w:lang w:val="en-GB"/>
        </w:rPr>
        <w:lastRenderedPageBreak/>
        <w:t xml:space="preserve">Non-monetary items that are measured at fair value in a foreign currency are translated using the exchange rates at the date when the fair </w:t>
      </w:r>
    </w:p>
    <w:p w:rsidRPr="009C48DA" w:rsidR="00661519" w:rsidP="00661519" w:rsidRDefault="00661519" w14:paraId="3B19290A" w14:textId="77777777">
      <w:pPr>
        <w:spacing w:line="187" w:lineRule="exact"/>
        <w:jc w:val="both"/>
        <w:textAlignment w:val="baseline"/>
        <w:rPr>
          <w:rFonts w:eastAsia="Times New Roman"/>
          <w:color w:val="000000"/>
          <w:sz w:val="16"/>
          <w:lang w:val="en-GB"/>
        </w:rPr>
      </w:pPr>
      <w:r w:rsidRPr="009C48DA">
        <w:rPr>
          <w:rFonts w:eastAsia="Times New Roman"/>
          <w:color w:val="000000"/>
          <w:sz w:val="16"/>
          <w:lang w:val="en-GB"/>
        </w:rPr>
        <w:t>value was determined.</w:t>
      </w:r>
    </w:p>
    <w:p w:rsidRPr="009C48DA" w:rsidR="00661519" w:rsidP="00661519" w:rsidRDefault="00661519" w14:paraId="4F482F69" w14:textId="77777777">
      <w:pPr>
        <w:jc w:val="both"/>
        <w:textAlignment w:val="baseline"/>
        <w:rPr>
          <w:rFonts w:eastAsia="Times New Roman" w:cs="Times New Roman"/>
          <w:color w:val="000000"/>
          <w:sz w:val="16"/>
          <w:szCs w:val="22"/>
          <w:lang w:val="en-GB"/>
        </w:rPr>
      </w:pPr>
    </w:p>
    <w:p w:rsidRPr="009C48DA" w:rsidR="00661519" w:rsidP="00661519" w:rsidRDefault="00661519" w14:paraId="1F4FB3A0" w14:textId="77777777">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Foreign operations</w:t>
      </w:r>
    </w:p>
    <w:p w:rsidRPr="009C48DA" w:rsidR="00661519" w:rsidP="00661519" w:rsidRDefault="00661519" w14:paraId="4FAACADB" w14:textId="77777777">
      <w:pPr>
        <w:jc w:val="both"/>
        <w:textAlignment w:val="baseline"/>
        <w:rPr>
          <w:rFonts w:eastAsia="Times New Roman" w:cs="Times New Roman"/>
          <w:color w:val="000000"/>
          <w:sz w:val="16"/>
          <w:szCs w:val="22"/>
          <w:lang w:val="en-GB"/>
        </w:rPr>
      </w:pPr>
    </w:p>
    <w:p w:rsidRPr="009C48DA" w:rsidR="00661519" w:rsidP="00661519" w:rsidRDefault="00661519" w14:paraId="66350335"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results and financial position of foreign operations that have a functional currency different from the presentation currency are </w:t>
      </w:r>
      <w:r w:rsidRPr="009C48DA">
        <w:rPr>
          <w:rFonts w:eastAsia="Times New Roman" w:cs="Times New Roman"/>
          <w:color w:val="000000"/>
          <w:sz w:val="16"/>
          <w:szCs w:val="22"/>
          <w:lang w:val="en-GB"/>
        </w:rPr>
        <w:br/>
        <w:t>translated into the presentation currency of the Group as follows:</w:t>
      </w:r>
    </w:p>
    <w:p w:rsidRPr="009C48DA" w:rsidR="00661519" w:rsidP="00661519" w:rsidRDefault="00661519" w14:paraId="1AC8E551" w14:textId="77777777">
      <w:pPr>
        <w:textAlignment w:val="baseline"/>
        <w:rPr>
          <w:rFonts w:eastAsia="Times New Roman" w:cs="Times New Roman"/>
          <w:color w:val="000000"/>
          <w:sz w:val="10"/>
          <w:szCs w:val="10"/>
          <w:lang w:val="en-GB"/>
        </w:rPr>
      </w:pPr>
    </w:p>
    <w:p w:rsidRPr="009C48DA" w:rsidR="00661519" w:rsidP="00661519" w:rsidRDefault="00661519" w14:paraId="28121ED5" w14:textId="77777777">
      <w:pPr>
        <w:numPr>
          <w:ilvl w:val="0"/>
          <w:numId w:val="34"/>
        </w:num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assets and liabilities for each balance sheet presented are translated at the closing rate at the date of that balance sheet</w:t>
      </w:r>
    </w:p>
    <w:p w:rsidRPr="009C48DA" w:rsidR="00661519" w:rsidP="00661519" w:rsidRDefault="00661519" w14:paraId="5A359304" w14:textId="77777777">
      <w:pPr>
        <w:tabs>
          <w:tab w:val="left" w:pos="288"/>
        </w:tabs>
        <w:textAlignment w:val="baseline"/>
        <w:rPr>
          <w:rFonts w:eastAsia="Times New Roman" w:cs="Times New Roman"/>
          <w:color w:val="000000"/>
          <w:sz w:val="10"/>
          <w:szCs w:val="10"/>
          <w:lang w:val="en-GB"/>
        </w:rPr>
      </w:pPr>
    </w:p>
    <w:p w:rsidRPr="009C48DA" w:rsidR="00661519" w:rsidP="00661519" w:rsidRDefault="00661519" w14:paraId="5455DEC9" w14:textId="77777777">
      <w:pPr>
        <w:numPr>
          <w:ilvl w:val="0"/>
          <w:numId w:val="34"/>
        </w:num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income and expenses for each profit and loss are translated at prevailing exchange rates</w:t>
      </w:r>
    </w:p>
    <w:p w:rsidRPr="009C48DA" w:rsidR="00661519" w:rsidP="00661519" w:rsidRDefault="00661519" w14:paraId="7D50B928" w14:textId="77777777">
      <w:pPr>
        <w:tabs>
          <w:tab w:val="left" w:pos="288"/>
        </w:tabs>
        <w:textAlignment w:val="baseline"/>
        <w:rPr>
          <w:rFonts w:eastAsia="Times New Roman" w:cs="Times New Roman"/>
          <w:color w:val="000000"/>
          <w:sz w:val="10"/>
          <w:szCs w:val="10"/>
          <w:lang w:val="en-GB"/>
        </w:rPr>
      </w:pPr>
    </w:p>
    <w:p w:rsidRPr="009C48DA" w:rsidR="00661519" w:rsidP="00661519" w:rsidRDefault="00661519" w14:paraId="1CDC2234" w14:textId="77777777">
      <w:pPr>
        <w:numPr>
          <w:ilvl w:val="0"/>
          <w:numId w:val="34"/>
        </w:num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all resulting exchange differences are recognised in other comprehensive income</w:t>
      </w:r>
    </w:p>
    <w:p w:rsidRPr="009C48DA" w:rsidR="00661519" w:rsidP="00661519" w:rsidRDefault="00661519" w14:paraId="4418E34E" w14:textId="77777777">
      <w:pPr>
        <w:tabs>
          <w:tab w:val="left" w:pos="288"/>
        </w:tabs>
        <w:textAlignment w:val="baseline"/>
        <w:rPr>
          <w:rFonts w:eastAsia="Times New Roman" w:cs="Times New Roman"/>
          <w:color w:val="000000"/>
          <w:sz w:val="16"/>
          <w:szCs w:val="22"/>
          <w:lang w:val="en-GB"/>
        </w:rPr>
      </w:pPr>
    </w:p>
    <w:p w:rsidRPr="009C48DA" w:rsidR="00661519" w:rsidP="00661519" w:rsidRDefault="00661519" w14:paraId="09D50CF1"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(c)</w:t>
      </w:r>
      <w:r w:rsidRPr="009C48DA">
        <w:rPr>
          <w:rFonts w:eastAsia="Times New Roman" w:cs="Times New Roman"/>
          <w:b/>
          <w:color w:val="000000"/>
          <w:sz w:val="16"/>
          <w:szCs w:val="22"/>
          <w:lang w:val="en-GB"/>
        </w:rPr>
        <w:tab/>
        <w:t>Merger accounting</w:t>
      </w:r>
    </w:p>
    <w:p w:rsidRPr="009C48DA" w:rsidR="00661519" w:rsidP="00661519" w:rsidRDefault="00661519" w14:paraId="4D5E38B7" w14:textId="77777777">
      <w:pPr>
        <w:jc w:val="both"/>
        <w:textAlignment w:val="baseline"/>
        <w:rPr>
          <w:rFonts w:eastAsia="Times New Roman" w:cs="Times New Roman"/>
          <w:color w:val="000000"/>
          <w:sz w:val="16"/>
          <w:szCs w:val="22"/>
          <w:lang w:val="en-GB"/>
        </w:rPr>
      </w:pPr>
    </w:p>
    <w:p w:rsidRPr="009C48DA" w:rsidR="00661519" w:rsidP="00661519" w:rsidRDefault="00661519" w14:paraId="32B2A30B" w14:textId="45DB7625">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In October 2018, as part of a group reconstruction, the Company issued shares in exchange for a holding in the Bridgepoint Group made up </w:t>
      </w:r>
      <w:r w:rsidRPr="009C48DA">
        <w:rPr>
          <w:rFonts w:eastAsia="Times New Roman" w:cs="Times New Roman"/>
          <w:color w:val="000000"/>
          <w:sz w:val="16"/>
          <w:szCs w:val="22"/>
          <w:lang w:val="en-GB"/>
        </w:rPr>
        <w:br/>
        <w:t xml:space="preserve">of </w:t>
      </w:r>
      <w:r w:rsidRPr="00CD2359" w:rsidR="00CD2359">
        <w:rPr>
          <w:rFonts w:eastAsia="Times New Roman" w:cs="Times New Roman"/>
          <w:color w:val="000000"/>
          <w:sz w:val="16"/>
          <w:szCs w:val="22"/>
          <w:lang w:val="en-GB"/>
        </w:rPr>
        <w:t>Bridgepoint Group Holdings Limited</w:t>
      </w:r>
      <w:r w:rsidRPr="009C48DA">
        <w:rPr>
          <w:rFonts w:eastAsia="Times New Roman" w:cs="Times New Roman"/>
          <w:color w:val="000000"/>
          <w:sz w:val="16"/>
          <w:szCs w:val="22"/>
          <w:lang w:val="en-GB"/>
        </w:rPr>
        <w:t xml:space="preserve"> and its subsidiaries (the “Bridgepoint Group”). The transaction is not under the scope of IFRS 3 “Business Combinations” and therefore acquisition accounting was not applied. In accordance with IAS 8 “Accounting policies, changes in accounting estimates and errors” as no specific IFRS guidance for such transactions, the directors have determined to use its judgement to develop and </w:t>
      </w:r>
      <w:r w:rsidRPr="009C48DA">
        <w:rPr>
          <w:rFonts w:eastAsia="Times New Roman" w:cs="Times New Roman"/>
          <w:color w:val="000000"/>
          <w:sz w:val="16"/>
          <w:szCs w:val="22"/>
          <w:lang w:val="en-GB"/>
        </w:rPr>
        <w:br/>
        <w:t>apply an accounting policy that is relevant and reliable for users of the historical financial information.</w:t>
      </w:r>
    </w:p>
    <w:p w:rsidRPr="009C48DA" w:rsidR="00661519" w:rsidP="00661519" w:rsidRDefault="00661519" w14:paraId="0A259951" w14:textId="77777777">
      <w:pPr>
        <w:jc w:val="both"/>
        <w:textAlignment w:val="baseline"/>
        <w:rPr>
          <w:rFonts w:eastAsia="Times New Roman" w:cs="Times New Roman"/>
          <w:color w:val="000000"/>
          <w:sz w:val="16"/>
          <w:szCs w:val="22"/>
          <w:lang w:val="en-GB"/>
        </w:rPr>
      </w:pPr>
    </w:p>
    <w:p w:rsidRPr="009C48DA" w:rsidR="00661519" w:rsidP="00661519" w:rsidRDefault="00661519" w14:paraId="5F77745E"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Consistent with the approach to preparing the Group’s accounts under UK GAAP, merger accounting has been applied in preparing the </w:t>
      </w:r>
      <w:r w:rsidRPr="009C48DA">
        <w:rPr>
          <w:rFonts w:eastAsia="Times New Roman" w:cs="Times New Roman"/>
          <w:color w:val="000000"/>
          <w:sz w:val="16"/>
          <w:szCs w:val="22"/>
          <w:lang w:val="en-GB"/>
        </w:rPr>
        <w:br/>
        <w:t xml:space="preserve">historical financial information, meaning that there is no ultimate controlling party either before or after the insertion of the Company as a </w:t>
      </w:r>
      <w:r w:rsidRPr="009C48DA">
        <w:rPr>
          <w:rFonts w:eastAsia="Times New Roman" w:cs="Times New Roman"/>
          <w:color w:val="000000"/>
          <w:sz w:val="16"/>
          <w:szCs w:val="22"/>
          <w:lang w:val="en-GB"/>
        </w:rPr>
        <w:br/>
        <w:t>new holding company. The effect of merger accounting for the group reconstruction is that the carrying amount of the Bridgepoint Group's</w:t>
      </w:r>
      <w:r w:rsidRPr="009C48DA">
        <w:rPr>
          <w:rFonts w:eastAsia="Times New Roman" w:cs="Times New Roman"/>
          <w:color w:val="000000"/>
          <w:sz w:val="16"/>
          <w:szCs w:val="22"/>
          <w:lang w:val="en-GB"/>
        </w:rPr>
        <w:br/>
        <w:t xml:space="preserve"> assets and liabilities were not adjusted to fair value and no new goodwill arose as a result of the transaction.</w:t>
      </w:r>
    </w:p>
    <w:p w:rsidRPr="009C48DA" w:rsidR="00661519" w:rsidP="00661519" w:rsidRDefault="00661519" w14:paraId="04B81FFB" w14:textId="77777777">
      <w:pPr>
        <w:jc w:val="both"/>
        <w:textAlignment w:val="baseline"/>
        <w:rPr>
          <w:rFonts w:eastAsia="Times New Roman" w:cs="Times New Roman"/>
          <w:color w:val="000000"/>
          <w:sz w:val="16"/>
          <w:szCs w:val="22"/>
          <w:lang w:val="en-GB"/>
        </w:rPr>
      </w:pPr>
    </w:p>
    <w:p w:rsidRPr="009C48DA" w:rsidR="00661519" w:rsidP="00661519" w:rsidRDefault="00661519" w14:paraId="26AF8DE4"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Accordingly, whilst the Company was incorporated on 2 July 2018, the consolidated results and cash flows of the Company and the </w:t>
      </w:r>
      <w:r w:rsidRPr="009C48DA">
        <w:rPr>
          <w:rFonts w:eastAsia="Times New Roman" w:cs="Times New Roman"/>
          <w:color w:val="000000"/>
          <w:sz w:val="16"/>
          <w:szCs w:val="22"/>
          <w:lang w:val="en-GB"/>
        </w:rPr>
        <w:br/>
        <w:t>Bridgepoint Group have been brought into the historical financial information of the Group from the beginning of the 2018 financial year.</w:t>
      </w:r>
    </w:p>
    <w:p w:rsidRPr="009C48DA" w:rsidR="00661519" w:rsidP="00661519" w:rsidRDefault="00661519" w14:paraId="37E33606" w14:textId="77777777">
      <w:pPr>
        <w:tabs>
          <w:tab w:val="left" w:pos="504"/>
        </w:tabs>
        <w:jc w:val="both"/>
        <w:textAlignment w:val="baseline"/>
        <w:rPr>
          <w:rFonts w:eastAsia="Times New Roman" w:cs="Times New Roman"/>
          <w:b/>
          <w:color w:val="000000"/>
          <w:sz w:val="16"/>
          <w:szCs w:val="22"/>
          <w:lang w:val="en-GB"/>
        </w:rPr>
      </w:pPr>
    </w:p>
    <w:p w:rsidRPr="009C48DA" w:rsidR="00661519" w:rsidP="00661519" w:rsidRDefault="00661519" w14:paraId="229C67FC" w14:textId="77777777">
      <w:pPr>
        <w:jc w:val="both"/>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(d)</w:t>
      </w:r>
      <w:r w:rsidRPr="009C48DA">
        <w:rPr>
          <w:rFonts w:eastAsia="Times New Roman" w:cs="Times New Roman"/>
          <w:b/>
          <w:color w:val="000000"/>
          <w:sz w:val="16"/>
          <w:szCs w:val="22"/>
          <w:lang w:val="en-GB"/>
        </w:rPr>
        <w:tab/>
        <w:t>Operating income</w:t>
      </w:r>
    </w:p>
    <w:p w:rsidRPr="009C48DA" w:rsidR="00661519" w:rsidP="00661519" w:rsidRDefault="00661519" w14:paraId="654E0649" w14:textId="77777777">
      <w:pPr>
        <w:tabs>
          <w:tab w:val="left" w:pos="504"/>
        </w:tabs>
        <w:jc w:val="both"/>
        <w:textAlignment w:val="baseline"/>
        <w:rPr>
          <w:rFonts w:eastAsia="Times New Roman" w:cs="Times New Roman"/>
          <w:b/>
          <w:color w:val="000000"/>
          <w:sz w:val="16"/>
          <w:szCs w:val="22"/>
          <w:lang w:val="en-GB"/>
        </w:rPr>
      </w:pPr>
    </w:p>
    <w:p w:rsidRPr="009C48DA" w:rsidR="00661519" w:rsidP="00661519" w:rsidRDefault="00661519" w14:paraId="7D541341"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Operating income primarily comprises management fees, carried interest income and investment profits from the management of investment </w:t>
      </w:r>
      <w:r w:rsidRPr="009C48DA">
        <w:rPr>
          <w:rFonts w:eastAsia="Times New Roman" w:cs="Times New Roman"/>
          <w:color w:val="000000"/>
          <w:sz w:val="16"/>
          <w:szCs w:val="22"/>
          <w:lang w:val="en-GB"/>
        </w:rPr>
        <w:br/>
        <w:t xml:space="preserve">in private equity and credit fund partnerships. The parties of agreements of fund management services comprise the Group and the investors </w:t>
      </w:r>
      <w:r w:rsidRPr="009C48DA">
        <w:rPr>
          <w:rFonts w:eastAsia="Times New Roman" w:cs="Times New Roman"/>
          <w:color w:val="000000"/>
          <w:sz w:val="16"/>
          <w:szCs w:val="22"/>
          <w:lang w:val="en-GB"/>
        </w:rPr>
        <w:br/>
        <w:t>of each fund as a body. Accordingly, the group of investors of each fund are identified as a customer for accounting purposes.</w:t>
      </w:r>
    </w:p>
    <w:p w:rsidRPr="009C48DA" w:rsidR="00661519" w:rsidP="00661519" w:rsidRDefault="00661519" w14:paraId="1D73A4AB" w14:textId="77777777">
      <w:pPr>
        <w:jc w:val="both"/>
        <w:textAlignment w:val="baseline"/>
        <w:rPr>
          <w:rFonts w:eastAsia="Times New Roman" w:cs="Times New Roman"/>
          <w:color w:val="000000"/>
          <w:sz w:val="16"/>
          <w:szCs w:val="22"/>
          <w:lang w:val="en-GB"/>
        </w:rPr>
      </w:pPr>
    </w:p>
    <w:p w:rsidRPr="009C48DA" w:rsidR="00661519" w:rsidP="00661519" w:rsidRDefault="00661519" w14:paraId="7880F7EE"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Income is measured based on the consideration specified in the contracts and exclude amounts collected on behalf of third parties, discounts </w:t>
      </w:r>
      <w:r w:rsidRPr="009C48DA">
        <w:rPr>
          <w:rFonts w:eastAsia="Times New Roman" w:cs="Times New Roman"/>
          <w:color w:val="000000"/>
          <w:sz w:val="16"/>
          <w:szCs w:val="22"/>
          <w:lang w:val="en-GB"/>
        </w:rPr>
        <w:br/>
        <w:t>and value added taxes.</w:t>
      </w:r>
    </w:p>
    <w:p w:rsidRPr="009C48DA" w:rsidR="00661519" w:rsidP="00661519" w:rsidRDefault="00661519" w14:paraId="06B44E11" w14:textId="77777777">
      <w:pPr>
        <w:jc w:val="both"/>
        <w:textAlignment w:val="baseline"/>
        <w:rPr>
          <w:rFonts w:eastAsia="Times New Roman" w:cs="Times New Roman"/>
          <w:color w:val="000000"/>
          <w:sz w:val="16"/>
          <w:szCs w:val="22"/>
          <w:lang w:val="en-GB"/>
        </w:rPr>
      </w:pPr>
    </w:p>
    <w:p w:rsidRPr="009C48DA" w:rsidR="00661519" w:rsidP="00661519" w:rsidRDefault="00661519" w14:paraId="4E23852B" w14:textId="77777777">
      <w:pPr>
        <w:jc w:val="both"/>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 xml:space="preserve">Management fees </w:t>
      </w:r>
    </w:p>
    <w:p w:rsidRPr="009C48DA" w:rsidR="00661519" w:rsidP="00661519" w:rsidRDefault="00661519" w14:paraId="43B895CB" w14:textId="77777777">
      <w:pPr>
        <w:spacing w:before="16"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The Group earns management fees and carried interest from its provision of various investment management services to funds, which are </w:t>
      </w:r>
      <w:r w:rsidRPr="009C48DA">
        <w:rPr>
          <w:rFonts w:eastAsia="Times New Roman"/>
          <w:color w:val="000000"/>
          <w:sz w:val="16"/>
          <w:lang w:val="en-GB"/>
        </w:rPr>
        <w:br/>
        <w:t>treated as a single performance obligation.</w:t>
      </w:r>
    </w:p>
    <w:p w:rsidRPr="009C48DA" w:rsidR="00661519" w:rsidP="00661519" w:rsidRDefault="00661519" w14:paraId="1B57580D" w14:textId="77777777">
      <w:pPr>
        <w:jc w:val="both"/>
        <w:textAlignment w:val="baseline"/>
        <w:rPr>
          <w:rFonts w:eastAsia="Times New Roman" w:cs="Times New Roman"/>
          <w:color w:val="000000"/>
          <w:sz w:val="16"/>
          <w:szCs w:val="22"/>
          <w:lang w:val="en-GB"/>
        </w:rPr>
      </w:pPr>
    </w:p>
    <w:p w:rsidRPr="009C48DA" w:rsidR="00661519" w:rsidP="00661519" w:rsidRDefault="00661519" w14:paraId="00D9B342"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Management fees are recognised over time over the life of each fund, generally 10 - 12 years, occasionally subject to an extension, if agreed </w:t>
      </w:r>
      <w:r w:rsidRPr="009C48DA">
        <w:rPr>
          <w:rFonts w:eastAsia="Times New Roman" w:cs="Times New Roman"/>
          <w:color w:val="000000"/>
          <w:sz w:val="16"/>
          <w:szCs w:val="22"/>
          <w:lang w:val="en-GB"/>
        </w:rPr>
        <w:br/>
        <w:t>with the investors of that fund.</w:t>
      </w:r>
    </w:p>
    <w:p w:rsidRPr="009C48DA" w:rsidR="00661519" w:rsidP="00661519" w:rsidRDefault="00661519" w14:paraId="3ABE97DC" w14:textId="77777777">
      <w:pPr>
        <w:jc w:val="both"/>
        <w:textAlignment w:val="baseline"/>
        <w:rPr>
          <w:rFonts w:eastAsia="Times New Roman" w:cs="Times New Roman"/>
          <w:color w:val="000000"/>
          <w:sz w:val="16"/>
          <w:szCs w:val="22"/>
          <w:lang w:val="en-GB"/>
        </w:rPr>
      </w:pPr>
    </w:p>
    <w:p w:rsidRPr="009C48DA" w:rsidR="00661519" w:rsidP="00661519" w:rsidRDefault="00661519" w14:paraId="3CD4A532"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Management fees are based on an agreed percentage of either committed or invested capital, depending on the fund and its life stage. Fees </w:t>
      </w:r>
      <w:r w:rsidRPr="009C48DA">
        <w:rPr>
          <w:rFonts w:eastAsia="Times New Roman" w:cs="Times New Roman"/>
          <w:color w:val="000000"/>
          <w:sz w:val="16"/>
          <w:szCs w:val="22"/>
          <w:lang w:val="en-GB"/>
        </w:rPr>
        <w:br/>
        <w:t xml:space="preserve">are billed in accordance with the Limited Partnership Agreement (“LPA”) and are either billed semi-annually or quarterly in advance or </w:t>
      </w:r>
    </w:p>
    <w:p w:rsidRPr="009C48DA" w:rsidR="00661519" w:rsidP="00661519" w:rsidRDefault="00661519" w14:paraId="44D23F0A" w14:textId="77777777">
      <w:pPr>
        <w:jc w:val="both"/>
        <w:textAlignment w:val="baseline"/>
        <w:rPr>
          <w:rFonts w:eastAsia="Times New Roman" w:cs="Times New Roman"/>
          <w:b/>
          <w:color w:val="000000"/>
          <w:sz w:val="16"/>
          <w:szCs w:val="22"/>
          <w:u w:val="single"/>
          <w:lang w:val="en-GB"/>
        </w:rPr>
      </w:pPr>
      <w:r w:rsidRPr="009C48DA">
        <w:rPr>
          <w:rFonts w:eastAsia="Times New Roman" w:cs="Times New Roman"/>
          <w:color w:val="000000"/>
          <w:sz w:val="16"/>
          <w:szCs w:val="22"/>
          <w:lang w:val="en-GB"/>
        </w:rPr>
        <w:t>arrears.</w:t>
      </w:r>
    </w:p>
    <w:p w:rsidRPr="009C48DA" w:rsidR="00661519" w:rsidP="00661519" w:rsidRDefault="00661519" w14:paraId="50C92E3C" w14:textId="77777777">
      <w:pPr>
        <w:jc w:val="both"/>
        <w:textAlignment w:val="baseline"/>
        <w:rPr>
          <w:rFonts w:eastAsia="Times New Roman" w:cs="Times New Roman"/>
          <w:color w:val="000000"/>
          <w:sz w:val="16"/>
          <w:szCs w:val="22"/>
          <w:lang w:val="en-GB"/>
        </w:rPr>
      </w:pPr>
    </w:p>
    <w:p w:rsidRPr="009C48DA" w:rsidR="00661519" w:rsidP="00661519" w:rsidRDefault="00661519" w14:paraId="50FF9833" w14:textId="77777777">
      <w:pPr>
        <w:jc w:val="both"/>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Carried interest</w:t>
      </w:r>
    </w:p>
    <w:p w:rsidRPr="009C48DA" w:rsidR="00661519" w:rsidP="00661519" w:rsidRDefault="00661519" w14:paraId="787EC5A6"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Group receives a share of fund profits through its holdings in Founder Partnerships as variable consideration dependent on the level of </w:t>
      </w:r>
      <w:r w:rsidRPr="009C48DA">
        <w:rPr>
          <w:rFonts w:eastAsia="Times New Roman" w:cs="Times New Roman"/>
          <w:color w:val="000000"/>
          <w:sz w:val="16"/>
          <w:szCs w:val="22"/>
          <w:lang w:val="en-GB"/>
        </w:rPr>
        <w:br/>
        <w:t xml:space="preserve">fund returns. The entitlement to carried interest and the amount is determined by the level of accumulated profits exceeding an agreed </w:t>
      </w:r>
      <w:r w:rsidRPr="009C48DA">
        <w:rPr>
          <w:rFonts w:eastAsia="Times New Roman" w:cs="Times New Roman"/>
          <w:color w:val="000000"/>
          <w:sz w:val="16"/>
          <w:szCs w:val="22"/>
          <w:lang w:val="en-GB"/>
        </w:rPr>
        <w:br/>
        <w:t xml:space="preserve">threshold (the “hurdle”) over the life-time of each fund. The carried interest income is recognised when the performance obligations are </w:t>
      </w:r>
      <w:r w:rsidRPr="009C48DA">
        <w:rPr>
          <w:rFonts w:eastAsia="Times New Roman" w:cs="Times New Roman"/>
          <w:color w:val="000000"/>
          <w:sz w:val="16"/>
          <w:szCs w:val="22"/>
          <w:lang w:val="en-GB"/>
        </w:rPr>
        <w:br/>
        <w:t>expected to be met.</w:t>
      </w:r>
    </w:p>
    <w:p w:rsidRPr="009C48DA" w:rsidR="00661519" w:rsidP="00661519" w:rsidRDefault="00661519" w14:paraId="32716B70" w14:textId="77777777">
      <w:pPr>
        <w:spacing w:before="116"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Income is only recognised to the extent it is highly probable that there would not be a significant reversal of any accumulated revenue </w:t>
      </w:r>
      <w:r w:rsidRPr="009C48DA">
        <w:rPr>
          <w:rFonts w:eastAsia="Times New Roman"/>
          <w:color w:val="000000"/>
          <w:sz w:val="16"/>
          <w:lang w:val="en-GB"/>
        </w:rPr>
        <w:br/>
        <w:t xml:space="preserve">recognised on the completion of a fund. The reversal risk due to uncertainty of future fund performance is managed through the application </w:t>
      </w:r>
      <w:r w:rsidRPr="009C48DA">
        <w:rPr>
          <w:rFonts w:eastAsia="Times New Roman"/>
          <w:color w:val="000000"/>
          <w:sz w:val="16"/>
          <w:lang w:val="en-GB"/>
        </w:rPr>
        <w:br/>
        <w:t>of discounts. This is explained further within note 3</w:t>
      </w:r>
      <w:r w:rsidRPr="009C48DA">
        <w:rPr>
          <w:rFonts w:eastAsia="Times New Roman"/>
          <w:color w:val="000000"/>
          <w:sz w:val="21"/>
          <w:lang w:val="en-GB"/>
        </w:rPr>
        <w:t>.</w:t>
      </w:r>
    </w:p>
    <w:p w:rsidRPr="009C48DA" w:rsidR="00661519" w:rsidP="00661519" w:rsidRDefault="00661519" w14:paraId="44338486" w14:textId="77777777">
      <w:pPr>
        <w:spacing w:before="173" w:line="183" w:lineRule="exact"/>
        <w:jc w:val="both"/>
        <w:textAlignment w:val="baseline"/>
        <w:rPr>
          <w:rFonts w:eastAsia="Times New Roman"/>
          <w:color w:val="000000"/>
          <w:sz w:val="16"/>
          <w:lang w:val="en-GB"/>
        </w:rPr>
      </w:pPr>
      <w:r w:rsidRPr="009C48DA">
        <w:rPr>
          <w:rFonts w:eastAsia="Times New Roman"/>
          <w:color w:val="000000"/>
          <w:sz w:val="16"/>
          <w:lang w:val="en-GB"/>
        </w:rPr>
        <w:t>The carried interest receivable represents a contract asset under IFRS 15 "Revenue from contracts with customers". Amounts are typically presented as non-current assets unless they are expected to be received within the next 12 months.</w:t>
      </w:r>
    </w:p>
    <w:p w:rsidRPr="009C48DA" w:rsidR="00661519" w:rsidP="00661519" w:rsidRDefault="00661519" w14:paraId="076FE48C" w14:textId="77777777">
      <w:pPr>
        <w:spacing w:before="186" w:line="183" w:lineRule="exact"/>
        <w:jc w:val="both"/>
        <w:textAlignment w:val="baseline"/>
        <w:rPr>
          <w:rFonts w:eastAsia="Times New Roman"/>
          <w:color w:val="000000"/>
          <w:sz w:val="16"/>
          <w:lang w:val="en-GB"/>
        </w:rPr>
      </w:pPr>
      <w:r w:rsidRPr="009C48DA">
        <w:rPr>
          <w:rFonts w:eastAsia="Times New Roman"/>
          <w:color w:val="000000"/>
          <w:sz w:val="16"/>
          <w:lang w:val="en-GB"/>
        </w:rPr>
        <w:t>The Group applies the simplified approach for measuring impairment of the contract asset and the practical expedient permitted by IFRS 9 "Financial instruments".</w:t>
      </w:r>
    </w:p>
    <w:p w:rsidRPr="009C48DA" w:rsidR="00661519" w:rsidP="00661519" w:rsidRDefault="00661519" w14:paraId="6A9F767F" w14:textId="77777777">
      <w:pPr>
        <w:jc w:val="both"/>
        <w:textAlignment w:val="baseline"/>
        <w:rPr>
          <w:rFonts w:eastAsia="Times New Roman" w:cs="Times New Roman"/>
          <w:b/>
          <w:color w:val="000000"/>
          <w:sz w:val="16"/>
          <w:szCs w:val="22"/>
          <w:u w:val="single"/>
          <w:lang w:val="en-GB"/>
        </w:rPr>
      </w:pPr>
    </w:p>
    <w:p w:rsidRPr="009C48DA" w:rsidR="00661519" w:rsidP="00661519" w:rsidRDefault="00661519" w14:paraId="0291C35A" w14:textId="77777777">
      <w:pPr>
        <w:jc w:val="both"/>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 xml:space="preserve">Investment income </w:t>
      </w:r>
    </w:p>
    <w:p w:rsidRPr="009C48DA" w:rsidR="00661519" w:rsidP="00661519" w:rsidRDefault="00661519" w14:paraId="2D0005AD"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Investment income consists primarily of changes in fair value of the Group’s investments in private equity and credit funds. Details of the</w:t>
      </w:r>
    </w:p>
    <w:p w:rsidRPr="009C48DA" w:rsidR="00661519" w:rsidP="00661519" w:rsidRDefault="00661519" w14:paraId="74E6773E"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valuation of such investments is explained further within note 3.</w:t>
      </w:r>
    </w:p>
    <w:p w:rsidRPr="009C48DA" w:rsidR="00661519" w:rsidP="00661519" w:rsidRDefault="00661519" w14:paraId="48797B9C" w14:textId="2D86E0B2">
      <w:pPr>
        <w:jc w:val="both"/>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lastRenderedPageBreak/>
        <w:t>Other operating income</w:t>
      </w:r>
    </w:p>
    <w:p w:rsidRPr="009C48DA" w:rsidR="00661519" w:rsidP="00661519" w:rsidRDefault="00661519" w14:paraId="7787F3B3"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Other operating income includes fees and commissions receivable by the Group’s procurement consulting business, PEPCO Services LLP. Amounts payable to sub-contractors who contribute to the provision of services are presented within other operating expenses. Amounts are recognised in the income statement on an accruals basis.</w:t>
      </w:r>
    </w:p>
    <w:p w:rsidRPr="009C48DA" w:rsidR="00661519" w:rsidP="000D6C1F" w:rsidRDefault="00661519" w14:paraId="359D06AD" w14:textId="77777777">
      <w:pPr>
        <w:jc w:val="both"/>
        <w:rPr>
          <w:rFonts w:eastAsia="Times New Roman" w:cs="Times New Roman"/>
          <w:color w:val="000000"/>
          <w:sz w:val="16"/>
          <w:szCs w:val="22"/>
          <w:lang w:val="en-GB"/>
        </w:rPr>
      </w:pPr>
    </w:p>
    <w:p w:rsidRPr="009C48DA" w:rsidR="00661519" w:rsidP="000D6C1F" w:rsidRDefault="00661519" w14:paraId="6415DD02" w14:textId="77777777">
      <w:pPr>
        <w:jc w:val="both"/>
        <w:rPr>
          <w:rFonts w:eastAsia="Times New Roman" w:cs="Times New Roman"/>
          <w:color w:val="000000"/>
          <w:sz w:val="16"/>
          <w:szCs w:val="22"/>
          <w:lang w:val="en-GB"/>
        </w:rPr>
      </w:pPr>
    </w:p>
    <w:p w:rsidRPr="009C48DA" w:rsidR="00661519" w:rsidP="00661519" w:rsidRDefault="00661519" w14:paraId="35CC7E7A" w14:textId="77777777">
      <w:pPr>
        <w:jc w:val="both"/>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(e)</w:t>
      </w:r>
      <w:r w:rsidRPr="009C48DA">
        <w:rPr>
          <w:rFonts w:eastAsia="Times New Roman" w:cs="Times New Roman"/>
          <w:b/>
          <w:color w:val="000000"/>
          <w:sz w:val="16"/>
          <w:szCs w:val="22"/>
          <w:lang w:val="en-GB"/>
        </w:rPr>
        <w:tab/>
        <w:t>Deferred acquisition costs</w:t>
      </w:r>
    </w:p>
    <w:p w:rsidRPr="009C48DA" w:rsidR="00661519" w:rsidP="00661519" w:rsidRDefault="00661519" w14:paraId="011CE59E" w14:textId="77777777">
      <w:pPr>
        <w:jc w:val="both"/>
        <w:rPr>
          <w:rFonts w:eastAsia="Times New Roman" w:cs="Times New Roman"/>
          <w:b/>
          <w:color w:val="000000"/>
          <w:sz w:val="16"/>
          <w:szCs w:val="22"/>
          <w:u w:val="single"/>
          <w:lang w:val="en-GB"/>
        </w:rPr>
      </w:pPr>
    </w:p>
    <w:p w:rsidRPr="009C48DA" w:rsidR="00661519" w:rsidP="00661519" w:rsidRDefault="00661519" w14:paraId="4CA182F7"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Professional costs, particularly legal and other advisor costs, are incurred when raising a new fund. The LPA of each fund dictates the </w:t>
      </w:r>
      <w:r w:rsidRPr="009C48DA">
        <w:rPr>
          <w:rFonts w:eastAsia="Times New Roman" w:cs="Times New Roman"/>
          <w:color w:val="000000"/>
          <w:sz w:val="16"/>
          <w:szCs w:val="22"/>
          <w:lang w:val="en-GB"/>
        </w:rPr>
        <w:br/>
        <w:t xml:space="preserve">aggregate expense that can be recharged to the fund investors on the close of a new fund. Costs in excess of the Cap and any/all fees paid to placement agents are capitalised as a non-current asset. The benefit of the cost is primarily considered to be attributable to the period when </w:t>
      </w:r>
      <w:r w:rsidRPr="009C48DA">
        <w:rPr>
          <w:rFonts w:eastAsia="Times New Roman" w:cs="Times New Roman"/>
          <w:color w:val="000000"/>
          <w:sz w:val="16"/>
          <w:szCs w:val="22"/>
          <w:lang w:val="en-GB"/>
        </w:rPr>
        <w:br/>
        <w:t xml:space="preserve">the primary fund investment activity is carried out. Therefore, the useful life of the asset is the commitment period for the fund. A useful life </w:t>
      </w:r>
      <w:r w:rsidRPr="009C48DA">
        <w:rPr>
          <w:rFonts w:eastAsia="Times New Roman" w:cs="Times New Roman"/>
          <w:color w:val="000000"/>
          <w:sz w:val="16"/>
          <w:szCs w:val="22"/>
          <w:lang w:val="en-GB"/>
        </w:rPr>
        <w:br/>
        <w:t>of three years is used, being the shortest likely commitment period, but is typically between three and five years.</w:t>
      </w:r>
    </w:p>
    <w:p w:rsidRPr="009C48DA" w:rsidR="00661519" w:rsidP="00661519" w:rsidRDefault="00661519" w14:paraId="6B2A09C8" w14:textId="77777777">
      <w:pPr>
        <w:jc w:val="both"/>
        <w:rPr>
          <w:rFonts w:eastAsia="Times New Roman" w:cs="Times New Roman"/>
          <w:color w:val="000000"/>
          <w:sz w:val="16"/>
          <w:szCs w:val="22"/>
          <w:lang w:val="en-GB"/>
        </w:rPr>
      </w:pPr>
    </w:p>
    <w:p w:rsidRPr="009C48DA" w:rsidR="00661519" w:rsidP="00661519" w:rsidRDefault="00661519" w14:paraId="46C630F9" w14:textId="77777777">
      <w:pPr>
        <w:textAlignment w:val="baseline"/>
        <w:rPr>
          <w:rFonts w:eastAsia="Times New Roman" w:cs="Times New Roman"/>
          <w:color w:val="000000"/>
          <w:sz w:val="16"/>
          <w:szCs w:val="22"/>
          <w:lang w:val="en-GB"/>
        </w:rPr>
      </w:pPr>
    </w:p>
    <w:p w:rsidRPr="009C48DA" w:rsidR="00661519" w:rsidP="00661519" w:rsidRDefault="00661519" w14:paraId="3C5188EA" w14:textId="77777777">
      <w:pPr>
        <w:textAlignment w:val="baseline"/>
        <w:rPr>
          <w:rFonts w:eastAsia="Times New Roman"/>
          <w:b/>
          <w:color w:val="000000"/>
          <w:spacing w:val="-5"/>
          <w:sz w:val="16"/>
          <w:lang w:val="en-GB"/>
        </w:rPr>
      </w:pPr>
      <w:r w:rsidRPr="009C48DA">
        <w:rPr>
          <w:rFonts w:eastAsia="Times New Roman" w:cs="Times New Roman"/>
          <w:b/>
          <w:color w:val="000000"/>
          <w:sz w:val="16"/>
          <w:szCs w:val="22"/>
          <w:lang w:val="en-GB"/>
        </w:rPr>
        <w:t>(f)</w:t>
      </w:r>
      <w:r w:rsidRPr="009C48DA">
        <w:rPr>
          <w:rFonts w:eastAsia="Times New Roman" w:cs="Times New Roman"/>
          <w:color w:val="000000"/>
          <w:sz w:val="16"/>
          <w:szCs w:val="22"/>
          <w:lang w:val="en-GB"/>
        </w:rPr>
        <w:tab/>
      </w:r>
      <w:r w:rsidRPr="009C48DA">
        <w:rPr>
          <w:rFonts w:eastAsia="Times New Roman"/>
          <w:b/>
          <w:color w:val="000000"/>
          <w:spacing w:val="-5"/>
          <w:sz w:val="16"/>
          <w:lang w:val="en-GB"/>
        </w:rPr>
        <w:t>EBITDA</w:t>
      </w:r>
    </w:p>
    <w:p w:rsidRPr="009C48DA" w:rsidR="00661519" w:rsidP="00661519" w:rsidRDefault="00661519" w14:paraId="1EFE454A" w14:textId="77777777">
      <w:pPr>
        <w:spacing w:before="138" w:line="187" w:lineRule="exact"/>
        <w:jc w:val="both"/>
        <w:textAlignment w:val="baseline"/>
        <w:rPr>
          <w:rFonts w:eastAsia="Times New Roman"/>
          <w:color w:val="000000"/>
          <w:sz w:val="16"/>
          <w:lang w:val="en-GB"/>
        </w:rPr>
      </w:pPr>
      <w:r w:rsidRPr="009C48DA">
        <w:rPr>
          <w:rFonts w:eastAsia="Times New Roman"/>
          <w:color w:val="000000"/>
          <w:sz w:val="16"/>
          <w:lang w:val="en-GB"/>
        </w:rPr>
        <w:t xml:space="preserve">EBITDA means earnings before interest, taxes, depreciation and amortisation. It is used to provide an overview of the profitability of the </w:t>
      </w:r>
      <w:r w:rsidRPr="009C48DA">
        <w:rPr>
          <w:rFonts w:eastAsia="Times New Roman"/>
          <w:color w:val="000000"/>
          <w:sz w:val="16"/>
          <w:lang w:val="en-GB"/>
        </w:rPr>
        <w:br/>
        <w:t>Group’s business and segments. Underlying EBITDA is calculated by deducting exceptional items within EBITDA.</w:t>
      </w:r>
    </w:p>
    <w:p w:rsidRPr="009C48DA" w:rsidR="00661519" w:rsidP="00661519" w:rsidRDefault="00661519" w14:paraId="1BB4D7EA" w14:textId="77777777">
      <w:pPr>
        <w:spacing w:before="178" w:line="187" w:lineRule="exact"/>
        <w:textAlignment w:val="baseline"/>
        <w:rPr>
          <w:rFonts w:eastAsia="Times New Roman"/>
          <w:color w:val="000000"/>
          <w:sz w:val="16"/>
          <w:lang w:val="en-GB"/>
        </w:rPr>
      </w:pPr>
      <w:r w:rsidRPr="009C48DA">
        <w:rPr>
          <w:rFonts w:eastAsia="Times New Roman"/>
          <w:color w:val="000000"/>
          <w:sz w:val="16"/>
          <w:lang w:val="en-GB"/>
        </w:rPr>
        <w:t>EBITDA and Underlying EBITDA are alternative performance measures and non-IFRS measures.</w:t>
      </w:r>
    </w:p>
    <w:p w:rsidRPr="009C48DA" w:rsidR="00661519" w:rsidP="00661519" w:rsidRDefault="00661519" w14:paraId="03CBF00C" w14:textId="77777777">
      <w:pPr>
        <w:spacing w:before="186" w:line="183" w:lineRule="exact"/>
        <w:jc w:val="both"/>
        <w:textAlignment w:val="baseline"/>
        <w:rPr>
          <w:rFonts w:eastAsia="Times New Roman"/>
          <w:color w:val="000000"/>
          <w:sz w:val="16"/>
          <w:lang w:val="en-GB"/>
        </w:rPr>
      </w:pPr>
      <w:r w:rsidRPr="009C48DA">
        <w:rPr>
          <w:rFonts w:eastAsia="Times New Roman"/>
          <w:color w:val="000000"/>
          <w:sz w:val="16"/>
          <w:lang w:val="en-GB"/>
        </w:rPr>
        <w:t>The Group uses Underlying EBITDA as exceptional income or expenditure could distort an understanding of the performance of the Group. Details of exceptional costs are set out in note 8.</w:t>
      </w:r>
    </w:p>
    <w:p w:rsidRPr="009C48DA" w:rsidR="00661519" w:rsidP="00661519" w:rsidRDefault="00661519" w14:paraId="41C4AD23" w14:textId="77777777">
      <w:pPr>
        <w:textAlignment w:val="baseline"/>
        <w:rPr>
          <w:rFonts w:eastAsia="Times New Roman" w:cs="Times New Roman"/>
          <w:b/>
          <w:color w:val="000000"/>
          <w:sz w:val="16"/>
          <w:szCs w:val="22"/>
          <w:lang w:val="en-GB"/>
        </w:rPr>
      </w:pPr>
    </w:p>
    <w:p w:rsidRPr="009C48DA" w:rsidR="00661519" w:rsidP="00661519" w:rsidRDefault="00661519" w14:paraId="3132FB12" w14:textId="77777777">
      <w:pPr>
        <w:textAlignment w:val="baseline"/>
        <w:rPr>
          <w:rFonts w:eastAsia="Times New Roman" w:cs="Times New Roman"/>
          <w:b/>
          <w:color w:val="000000"/>
          <w:sz w:val="16"/>
          <w:szCs w:val="22"/>
          <w:lang w:val="en-GB"/>
        </w:rPr>
      </w:pPr>
    </w:p>
    <w:p w:rsidRPr="009C48DA" w:rsidR="00661519" w:rsidP="00661519" w:rsidRDefault="00661519" w14:paraId="0BD6B5D6"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(g)</w:t>
      </w:r>
      <w:r w:rsidRPr="009C48DA">
        <w:rPr>
          <w:rFonts w:eastAsia="Times New Roman" w:cs="Times New Roman"/>
          <w:b/>
          <w:color w:val="000000"/>
          <w:sz w:val="16"/>
          <w:szCs w:val="22"/>
          <w:lang w:val="en-GB"/>
        </w:rPr>
        <w:tab/>
        <w:t>Personnel benefits</w:t>
      </w:r>
    </w:p>
    <w:p w:rsidRPr="009C48DA" w:rsidR="00661519" w:rsidP="00661519" w:rsidRDefault="00661519" w14:paraId="470A937B" w14:textId="77777777">
      <w:pPr>
        <w:tabs>
          <w:tab w:val="left" w:pos="504"/>
        </w:tabs>
        <w:textAlignment w:val="baseline"/>
        <w:rPr>
          <w:rFonts w:eastAsia="Times New Roman" w:cs="Times New Roman"/>
          <w:b/>
          <w:color w:val="000000"/>
          <w:sz w:val="16"/>
          <w:szCs w:val="22"/>
          <w:lang w:val="en-GB"/>
        </w:rPr>
      </w:pPr>
    </w:p>
    <w:p w:rsidRPr="009C48DA" w:rsidR="00661519" w:rsidP="00661519" w:rsidRDefault="00661519" w14:paraId="7BC8AD1F" w14:textId="77777777">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 xml:space="preserve">Short-term employee benefits </w:t>
      </w:r>
    </w:p>
    <w:p w:rsidRPr="009C48DA" w:rsidR="00661519" w:rsidP="00661519" w:rsidRDefault="00661519" w14:paraId="5CA67D7D"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Short-term employee benefits, which include employee salaries and bonuses, are expensed as the related service is provided. A liability is recognised for the amount expected to be paid if the Group has a present or constructive obligation to pay this amount as a result of past </w:t>
      </w:r>
      <w:r w:rsidRPr="009C48DA">
        <w:rPr>
          <w:rFonts w:eastAsia="Times New Roman" w:cs="Times New Roman"/>
          <w:color w:val="000000"/>
          <w:sz w:val="16"/>
          <w:szCs w:val="22"/>
          <w:lang w:val="en-GB"/>
        </w:rPr>
        <w:br/>
        <w:t>service provided by the employee and the obligation can be estimated reliably.</w:t>
      </w:r>
    </w:p>
    <w:p w:rsidRPr="009C48DA" w:rsidR="00661519" w:rsidP="00661519" w:rsidRDefault="00661519" w14:paraId="7A290EBB" w14:textId="77777777">
      <w:pPr>
        <w:jc w:val="both"/>
        <w:textAlignment w:val="baseline"/>
        <w:rPr>
          <w:rFonts w:eastAsia="Times New Roman" w:cs="Times New Roman"/>
          <w:color w:val="000000"/>
          <w:sz w:val="16"/>
          <w:szCs w:val="22"/>
          <w:lang w:val="en-GB"/>
        </w:rPr>
      </w:pPr>
    </w:p>
    <w:p w:rsidRPr="009C48DA" w:rsidR="00661519" w:rsidP="00661519" w:rsidRDefault="00661519" w14:paraId="14271279" w14:textId="77777777">
      <w:pPr>
        <w:jc w:val="both"/>
        <w:textAlignment w:val="baseline"/>
        <w:rPr>
          <w:rFonts w:eastAsia="Times New Roman"/>
          <w:color w:val="000000"/>
          <w:sz w:val="16"/>
          <w:lang w:val="en-GB"/>
        </w:rPr>
      </w:pPr>
      <w:r w:rsidRPr="009C48DA">
        <w:rPr>
          <w:rFonts w:eastAsia="Times New Roman"/>
          <w:color w:val="000000"/>
          <w:sz w:val="16"/>
          <w:lang w:val="en-GB"/>
        </w:rPr>
        <w:t>Accumulating holiday balances are accrued at each period end if an employee's entitlement is not used in full.</w:t>
      </w:r>
    </w:p>
    <w:p w:rsidRPr="009C48DA" w:rsidR="00661519" w:rsidP="00661519" w:rsidRDefault="00661519" w14:paraId="39FC6D38" w14:textId="77777777">
      <w:pPr>
        <w:jc w:val="both"/>
        <w:textAlignment w:val="baseline"/>
        <w:rPr>
          <w:rFonts w:eastAsia="Times New Roman"/>
          <w:color w:val="000000"/>
          <w:sz w:val="16"/>
          <w:lang w:val="en-GB"/>
        </w:rPr>
      </w:pPr>
    </w:p>
    <w:p w:rsidRPr="009C48DA" w:rsidR="00661519" w:rsidP="00661519" w:rsidRDefault="00661519" w14:paraId="23F6DF34" w14:textId="77777777">
      <w:pPr>
        <w:jc w:val="both"/>
        <w:textAlignment w:val="baseline"/>
        <w:rPr>
          <w:rFonts w:eastAsia="Times New Roman"/>
          <w:b/>
          <w:color w:val="000000"/>
          <w:sz w:val="16"/>
          <w:u w:val="single"/>
          <w:lang w:val="en-GB"/>
        </w:rPr>
      </w:pPr>
      <w:r w:rsidRPr="009C48DA">
        <w:rPr>
          <w:rFonts w:eastAsia="Times New Roman"/>
          <w:b/>
          <w:color w:val="000000"/>
          <w:sz w:val="16"/>
          <w:u w:val="single"/>
          <w:lang w:val="en-GB"/>
        </w:rPr>
        <w:t xml:space="preserve">Long-term employee benefits </w:t>
      </w:r>
    </w:p>
    <w:p w:rsidRPr="009C48DA" w:rsidR="00661519" w:rsidP="00661519" w:rsidRDefault="00661519" w14:paraId="50DD89E8" w14:textId="77777777">
      <w:pPr>
        <w:spacing w:before="16" w:line="184" w:lineRule="exact"/>
        <w:jc w:val="both"/>
        <w:textAlignment w:val="baseline"/>
        <w:rPr>
          <w:rFonts w:eastAsia="Times New Roman"/>
          <w:color w:val="000000"/>
          <w:spacing w:val="-1"/>
          <w:sz w:val="16"/>
          <w:lang w:val="en-GB"/>
        </w:rPr>
      </w:pPr>
      <w:r w:rsidRPr="009C48DA">
        <w:rPr>
          <w:rFonts w:eastAsia="Times New Roman"/>
          <w:color w:val="000000"/>
          <w:spacing w:val="-1"/>
          <w:sz w:val="16"/>
          <w:lang w:val="en-GB"/>
        </w:rPr>
        <w:t xml:space="preserve">Long-term employee benefits, which are those that are not expected to be settled wholly before 12 months after the period end in which the </w:t>
      </w:r>
      <w:r w:rsidRPr="009C48DA">
        <w:rPr>
          <w:rFonts w:eastAsia="Times New Roman"/>
          <w:color w:val="000000"/>
          <w:spacing w:val="-1"/>
          <w:sz w:val="16"/>
          <w:lang w:val="en-GB"/>
        </w:rPr>
        <w:br/>
        <w:t xml:space="preserve">employee renders the service that gives rise to the benefit, include certain long-term bonuses. An expense is recognised over the period in </w:t>
      </w:r>
      <w:r w:rsidRPr="009C48DA">
        <w:rPr>
          <w:rFonts w:eastAsia="Times New Roman"/>
          <w:color w:val="000000"/>
          <w:spacing w:val="-1"/>
          <w:sz w:val="16"/>
          <w:lang w:val="en-GB"/>
        </w:rPr>
        <w:br/>
        <w:t xml:space="preserve">which the related service is provided. A liability is recognised for the amount expected to be paid if the Group has a present or constructive </w:t>
      </w:r>
      <w:r w:rsidRPr="009C48DA">
        <w:rPr>
          <w:rFonts w:eastAsia="Times New Roman"/>
          <w:color w:val="000000"/>
          <w:spacing w:val="-1"/>
          <w:sz w:val="16"/>
          <w:lang w:val="en-GB"/>
        </w:rPr>
        <w:br/>
        <w:t>obligation to pay this amount as a result of past service provided by the employee and the obligation can be estimated reliably.</w:t>
      </w:r>
    </w:p>
    <w:p w:rsidRPr="009C48DA" w:rsidR="00661519" w:rsidP="00661519" w:rsidRDefault="00661519" w14:paraId="5E007613" w14:textId="77777777">
      <w:pPr>
        <w:textAlignment w:val="baseline"/>
        <w:rPr>
          <w:rFonts w:eastAsia="Times New Roman" w:cs="Times New Roman"/>
          <w:b/>
          <w:color w:val="000000"/>
          <w:sz w:val="16"/>
          <w:szCs w:val="22"/>
          <w:u w:val="single"/>
          <w:lang w:val="en-GB"/>
        </w:rPr>
      </w:pPr>
    </w:p>
    <w:p w:rsidRPr="009C48DA" w:rsidR="00661519" w:rsidP="00661519" w:rsidRDefault="00661519" w14:paraId="52BEAD37" w14:textId="77777777">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 xml:space="preserve">Defined contribution pensions </w:t>
      </w:r>
    </w:p>
    <w:p w:rsidRPr="009C48DA" w:rsidR="00661519" w:rsidP="00661519" w:rsidRDefault="00661519" w14:paraId="7807E98C"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Amounts payable in respect of employers’ contributions to the Group’s defined contribution pension scheme are recognised as employee expenses as incurred. The assets of the scheme are held separately from those of the Group in an independently administered fund.</w:t>
      </w:r>
    </w:p>
    <w:p w:rsidRPr="009C48DA" w:rsidR="00661519" w:rsidP="00661519" w:rsidRDefault="00661519" w14:paraId="6297A681" w14:textId="77777777">
      <w:pPr>
        <w:textAlignment w:val="baseline"/>
        <w:rPr>
          <w:rFonts w:eastAsia="Times New Roman" w:cs="Times New Roman"/>
          <w:b/>
          <w:color w:val="000000"/>
          <w:sz w:val="16"/>
          <w:szCs w:val="22"/>
          <w:lang w:val="en-GB"/>
        </w:rPr>
      </w:pPr>
    </w:p>
    <w:p w:rsidRPr="009C48DA" w:rsidR="00661519" w:rsidP="00661519" w:rsidRDefault="00661519" w14:paraId="6EDB8C6F"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(h)</w:t>
      </w:r>
      <w:r w:rsidRPr="009C48DA">
        <w:rPr>
          <w:rFonts w:eastAsia="Times New Roman" w:cs="Times New Roman"/>
          <w:b/>
          <w:color w:val="000000"/>
          <w:sz w:val="16"/>
          <w:szCs w:val="22"/>
          <w:lang w:val="en-GB"/>
        </w:rPr>
        <w:tab/>
        <w:t>Leases</w:t>
      </w:r>
    </w:p>
    <w:p w:rsidRPr="009C48DA" w:rsidR="00661519" w:rsidP="00661519" w:rsidRDefault="00661519" w14:paraId="77A77BE7" w14:textId="77777777">
      <w:pPr>
        <w:spacing w:before="113" w:line="183" w:lineRule="exact"/>
        <w:jc w:val="both"/>
        <w:textAlignment w:val="baseline"/>
        <w:rPr>
          <w:rFonts w:eastAsia="Times New Roman"/>
          <w:color w:val="000000"/>
          <w:spacing w:val="-1"/>
          <w:sz w:val="16"/>
          <w:lang w:val="en-GB"/>
        </w:rPr>
      </w:pPr>
      <w:r w:rsidRPr="009C48DA">
        <w:rPr>
          <w:rFonts w:eastAsia="Times New Roman"/>
          <w:color w:val="000000"/>
          <w:spacing w:val="-1"/>
          <w:sz w:val="16"/>
          <w:lang w:val="en-GB"/>
        </w:rPr>
        <w:t xml:space="preserve">The Group has adopted IFRS 16 “Leases” with effect from 1 January 2018 and uses the modified retrospective approach to transition </w:t>
      </w:r>
      <w:r w:rsidRPr="009C48DA">
        <w:rPr>
          <w:rFonts w:eastAsia="Times New Roman"/>
          <w:color w:val="000000"/>
          <w:spacing w:val="-1"/>
          <w:sz w:val="16"/>
          <w:lang w:val="en-GB"/>
        </w:rPr>
        <w:br/>
        <w:t>utilising certain practical expedients outlined in the standard, notably the exclusion of low value and short-term leases (less than 12 months).</w:t>
      </w:r>
    </w:p>
    <w:p w:rsidRPr="009C48DA" w:rsidR="00661519" w:rsidP="00661519" w:rsidRDefault="00661519" w14:paraId="6F49373D" w14:textId="77777777">
      <w:pPr>
        <w:textAlignment w:val="baseline"/>
        <w:rPr>
          <w:rFonts w:eastAsia="Times New Roman" w:cs="Times New Roman"/>
          <w:b/>
          <w:color w:val="000000"/>
          <w:sz w:val="16"/>
          <w:szCs w:val="22"/>
          <w:u w:val="single"/>
          <w:lang w:val="en-GB"/>
        </w:rPr>
      </w:pPr>
    </w:p>
    <w:p w:rsidRPr="009C48DA" w:rsidR="00661519" w:rsidP="00661519" w:rsidRDefault="00661519" w14:paraId="66D915C5" w14:textId="77777777">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 xml:space="preserve">Leases for office premises </w:t>
      </w:r>
    </w:p>
    <w:p w:rsidRPr="009C48DA" w:rsidR="00661519" w:rsidP="00661519" w:rsidRDefault="00661519" w14:paraId="31251516"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The Group has applied IFRS 16 Leases where the Group has control of an asset under a lease contract for a period of more than 12 months. Such contracts represent leases of office premises where the Group is a tenant.</w:t>
      </w:r>
    </w:p>
    <w:p w:rsidRPr="009C48DA" w:rsidR="00661519" w:rsidP="00661519" w:rsidRDefault="00661519" w14:paraId="76A6C3C2" w14:textId="77777777">
      <w:pPr>
        <w:jc w:val="both"/>
        <w:textAlignment w:val="baseline"/>
        <w:rPr>
          <w:rFonts w:eastAsia="Times New Roman" w:cs="Times New Roman"/>
          <w:color w:val="000000"/>
          <w:sz w:val="16"/>
          <w:szCs w:val="22"/>
          <w:lang w:val="en-GB"/>
        </w:rPr>
      </w:pPr>
    </w:p>
    <w:p w:rsidRPr="009C48DA" w:rsidR="00661519" w:rsidP="000D6C1F" w:rsidRDefault="00661519" w14:paraId="76B0D05A" w14:textId="77777777">
      <w:pPr>
        <w:jc w:val="both"/>
        <w:textAlignment w:val="baseline"/>
        <w:rPr>
          <w:rFonts w:eastAsia="Times New Roman"/>
          <w:color w:val="000000"/>
          <w:sz w:val="16"/>
          <w:lang w:val="en-GB"/>
        </w:rPr>
      </w:pPr>
      <w:r w:rsidRPr="009C48DA">
        <w:rPr>
          <w:rFonts w:eastAsia="Times New Roman" w:cs="Times New Roman"/>
          <w:color w:val="000000"/>
          <w:sz w:val="16"/>
          <w:szCs w:val="22"/>
          <w:lang w:val="en-GB"/>
        </w:rPr>
        <w:t>Ass</w:t>
      </w:r>
      <w:r w:rsidRPr="009C48DA">
        <w:rPr>
          <w:rFonts w:eastAsia="Times New Roman"/>
          <w:color w:val="000000"/>
          <w:sz w:val="16"/>
          <w:lang w:val="en-GB"/>
        </w:rPr>
        <w:t xml:space="preserve">ets are recorded initially at cost and depreciated on a straight-line basis over shorter of the lease term or the estimated useful life. Cost is defined as the lease liabilities recognised plus any initial costs and dilapidations provisions less any incentives received. The right-to-use </w:t>
      </w:r>
      <w:r w:rsidRPr="009C48DA">
        <w:rPr>
          <w:rFonts w:eastAsia="Times New Roman"/>
          <w:color w:val="000000"/>
          <w:sz w:val="16"/>
          <w:lang w:val="en-GB"/>
        </w:rPr>
        <w:br/>
        <w:t xml:space="preserve">assets are depreciated during the lease term, generally 5 to 15 years. Right-to-use assets are included within property, plant and equipment in </w:t>
      </w:r>
      <w:r w:rsidRPr="009C48DA">
        <w:rPr>
          <w:rFonts w:eastAsia="Times New Roman"/>
          <w:color w:val="000000"/>
          <w:sz w:val="16"/>
          <w:lang w:val="en-GB"/>
        </w:rPr>
        <w:br/>
        <w:t>the balance sheet.</w:t>
      </w:r>
    </w:p>
    <w:p w:rsidRPr="009C48DA" w:rsidR="00661519" w:rsidP="00661519" w:rsidRDefault="00661519" w14:paraId="7835F5AB"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lease liability is initially measured at the net present value of future lease payments that are not paid at the commencement date </w:t>
      </w:r>
      <w:r w:rsidRPr="009C48DA">
        <w:rPr>
          <w:rFonts w:eastAsia="Times New Roman" w:cs="Times New Roman"/>
          <w:color w:val="000000"/>
          <w:sz w:val="16"/>
          <w:szCs w:val="22"/>
          <w:lang w:val="en-GB"/>
        </w:rPr>
        <w:br/>
        <w:t xml:space="preserve">discounted using the interest rate implicit in the lease or, if that rate cannot be readily determined, the Group’s incremental borrowing rate </w:t>
      </w:r>
      <w:r w:rsidRPr="009C48DA">
        <w:rPr>
          <w:rFonts w:eastAsia="Times New Roman" w:cs="Times New Roman"/>
          <w:color w:val="000000"/>
          <w:sz w:val="16"/>
          <w:szCs w:val="22"/>
          <w:lang w:val="en-GB"/>
        </w:rPr>
        <w:br/>
        <w:t xml:space="preserve">(“IBR”). Generally, the Group uses its IBR as the discount rate as the implicit rate is not readily determinable for the rented office premises. </w:t>
      </w:r>
      <w:r w:rsidRPr="009C48DA">
        <w:rPr>
          <w:rFonts w:eastAsia="Times New Roman" w:cs="Times New Roman"/>
          <w:color w:val="000000"/>
          <w:sz w:val="16"/>
          <w:szCs w:val="22"/>
          <w:lang w:val="en-GB"/>
        </w:rPr>
        <w:br/>
        <w:t>The lease liability is subsequently measured at amortised cost using the effective interest method.</w:t>
      </w:r>
    </w:p>
    <w:p w:rsidRPr="009C48DA" w:rsidR="00661519" w:rsidP="00661519" w:rsidRDefault="00661519" w14:paraId="491E8D64" w14:textId="77777777">
      <w:pPr>
        <w:jc w:val="both"/>
        <w:textAlignment w:val="baseline"/>
        <w:rPr>
          <w:rFonts w:eastAsia="Times New Roman" w:cs="Times New Roman"/>
          <w:color w:val="000000"/>
          <w:sz w:val="16"/>
          <w:szCs w:val="22"/>
          <w:lang w:val="en-GB"/>
        </w:rPr>
      </w:pPr>
    </w:p>
    <w:p w:rsidRPr="009C48DA" w:rsidR="003B6A31" w:rsidP="00661519" w:rsidRDefault="00661519" w14:paraId="3423214D" w14:textId="1267CD79">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Lease payments due within the next 12 months are recognised within current liabilities, payments due after 12 months are recognised within</w:t>
      </w:r>
      <w:r w:rsidRPr="009C48DA">
        <w:rPr>
          <w:rFonts w:eastAsia="Times New Roman" w:cs="Times New Roman"/>
          <w:color w:val="000000"/>
          <w:sz w:val="16"/>
          <w:szCs w:val="22"/>
          <w:lang w:val="en-GB"/>
        </w:rPr>
        <w:br/>
        <w:t>non-current payables.</w:t>
      </w:r>
    </w:p>
    <w:p w:rsidRPr="009C48DA" w:rsidR="003B6A31" w:rsidRDefault="003B6A31" w14:paraId="33424BE3" w14:textId="77777777">
      <w:pPr>
        <w:rPr>
          <w:rFonts w:eastAsia="Times New Roman" w:cs="Times New Roman"/>
          <w:color w:val="000000"/>
          <w:sz w:val="16"/>
          <w:szCs w:val="22"/>
          <w:lang w:val="en-GB"/>
        </w:rPr>
      </w:pPr>
      <w:r w:rsidRPr="009C48DA">
        <w:rPr>
          <w:rFonts w:eastAsia="Times New Roman" w:cs="Times New Roman"/>
          <w:color w:val="000000"/>
          <w:sz w:val="16"/>
          <w:szCs w:val="22"/>
          <w:lang w:val="en-GB"/>
        </w:rPr>
        <w:br w:type="page"/>
      </w:r>
    </w:p>
    <w:p w:rsidRPr="009C48DA" w:rsidR="00661519" w:rsidP="00661519" w:rsidRDefault="00661519" w14:paraId="0E334E2E" w14:textId="17205941">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lastRenderedPageBreak/>
        <w:t>Group as lessor</w:t>
      </w:r>
    </w:p>
    <w:p w:rsidRPr="009C48DA" w:rsidR="00661519" w:rsidP="00661519" w:rsidRDefault="00661519" w14:paraId="614AF082" w14:textId="77777777">
      <w:pPr>
        <w:spacing w:before="15" w:line="185" w:lineRule="exact"/>
        <w:jc w:val="both"/>
        <w:textAlignment w:val="baseline"/>
        <w:rPr>
          <w:rFonts w:eastAsia="Times New Roman"/>
          <w:color w:val="000000"/>
          <w:sz w:val="16"/>
          <w:lang w:val="en-GB"/>
        </w:rPr>
      </w:pPr>
      <w:r w:rsidRPr="009C48DA">
        <w:rPr>
          <w:rFonts w:eastAsia="Times New Roman"/>
          <w:color w:val="000000"/>
          <w:sz w:val="16"/>
          <w:lang w:val="en-GB"/>
        </w:rPr>
        <w:t xml:space="preserve">Where the Group acts as an intermediate lessor by entering into a subletting agreement and has transferred substantially all the risks and </w:t>
      </w:r>
      <w:r w:rsidRPr="009C48DA">
        <w:rPr>
          <w:rFonts w:eastAsia="Times New Roman"/>
          <w:color w:val="000000"/>
          <w:sz w:val="16"/>
          <w:lang w:val="en-GB"/>
        </w:rPr>
        <w:br/>
        <w:t xml:space="preserve">rewards incidental to ownership of the underlying asset, the Group accounts for these subleases as finance leases under IFRS 16 Leases. </w:t>
      </w:r>
      <w:r w:rsidRPr="009C48DA">
        <w:rPr>
          <w:rFonts w:eastAsia="Times New Roman"/>
          <w:color w:val="000000"/>
          <w:sz w:val="16"/>
          <w:lang w:val="en-GB"/>
        </w:rPr>
        <w:br/>
        <w:t>Such contracts represent subleases of office premises.</w:t>
      </w:r>
    </w:p>
    <w:p w:rsidRPr="009C48DA" w:rsidR="00661519" w:rsidP="00661519" w:rsidRDefault="00661519" w14:paraId="12F9951A" w14:textId="77777777">
      <w:pPr>
        <w:spacing w:before="15" w:line="185" w:lineRule="exact"/>
        <w:jc w:val="both"/>
        <w:textAlignment w:val="baseline"/>
        <w:rPr>
          <w:rFonts w:eastAsia="Times New Roman"/>
          <w:color w:val="000000"/>
          <w:sz w:val="16"/>
          <w:lang w:val="en-GB"/>
        </w:rPr>
      </w:pPr>
    </w:p>
    <w:p w:rsidRPr="009C48DA" w:rsidR="00661519" w:rsidP="00661519" w:rsidRDefault="00661519" w14:paraId="0BD9D32D" w14:textId="77777777">
      <w:pPr>
        <w:textAlignment w:val="baseline"/>
        <w:rPr>
          <w:rFonts w:eastAsia="Times New Roman"/>
          <w:color w:val="000000"/>
          <w:sz w:val="16"/>
          <w:lang w:val="en-GB"/>
        </w:rPr>
      </w:pPr>
      <w:r w:rsidRPr="009C48DA">
        <w:rPr>
          <w:rFonts w:eastAsia="Times New Roman"/>
          <w:color w:val="000000"/>
          <w:sz w:val="16"/>
          <w:lang w:val="en-GB"/>
        </w:rPr>
        <w:t xml:space="preserve">At commencement of the lease term, the Group derecognises the right-of-use asset relating to the head lease and recognises the net </w:t>
      </w:r>
      <w:r w:rsidRPr="009C48DA">
        <w:rPr>
          <w:rFonts w:eastAsia="Times New Roman"/>
          <w:color w:val="000000"/>
          <w:sz w:val="16"/>
          <w:lang w:val="en-GB"/>
        </w:rPr>
        <w:br/>
        <w:t xml:space="preserve">investments in the sublease as a receivable. The difference between the right-of-use asset and the net investment is in the sublease is </w:t>
      </w:r>
      <w:r w:rsidRPr="009C48DA">
        <w:rPr>
          <w:rFonts w:eastAsia="Times New Roman"/>
          <w:color w:val="000000"/>
          <w:sz w:val="16"/>
          <w:lang w:val="en-GB"/>
        </w:rPr>
        <w:br/>
        <w:t xml:space="preserve">recognised in profit and loss. The Group uses the IBR used for the head lease to measure the net investment in the lease (adjusted for any </w:t>
      </w:r>
      <w:r w:rsidRPr="009C48DA">
        <w:rPr>
          <w:rFonts w:eastAsia="Times New Roman"/>
          <w:color w:val="000000"/>
          <w:sz w:val="16"/>
          <w:lang w:val="en-GB"/>
        </w:rPr>
        <w:br/>
        <w:t xml:space="preserve">initial direct costs associated with the sublease). During the term of the sublease, the Group recognises both finance income on the sublease </w:t>
      </w:r>
      <w:r w:rsidRPr="009C48DA">
        <w:rPr>
          <w:rFonts w:eastAsia="Times New Roman"/>
          <w:color w:val="000000"/>
          <w:sz w:val="16"/>
          <w:lang w:val="en-GB"/>
        </w:rPr>
        <w:br/>
        <w:t>and finance expense on the head lease.</w:t>
      </w:r>
    </w:p>
    <w:p w:rsidRPr="009C48DA" w:rsidR="00661519" w:rsidP="00661519" w:rsidRDefault="00661519" w14:paraId="3E8718D3" w14:textId="77777777">
      <w:pPr>
        <w:spacing w:before="181" w:line="183" w:lineRule="exact"/>
        <w:jc w:val="both"/>
        <w:textAlignment w:val="baseline"/>
        <w:rPr>
          <w:rFonts w:eastAsia="Times New Roman"/>
          <w:color w:val="000000"/>
          <w:sz w:val="16"/>
          <w:lang w:val="en-GB"/>
        </w:rPr>
      </w:pPr>
      <w:r w:rsidRPr="009C48DA">
        <w:rPr>
          <w:rFonts w:eastAsia="Times New Roman"/>
          <w:color w:val="000000"/>
          <w:sz w:val="16"/>
          <w:lang w:val="en-GB"/>
        </w:rPr>
        <w:t>The Group applies the simplified approach for measuring impairment of lease receivables and the practical expedient permitted by IFRS 9 "Financial instruments".</w:t>
      </w:r>
    </w:p>
    <w:p w:rsidRPr="009C48DA" w:rsidR="00661519" w:rsidP="00661519" w:rsidRDefault="00661519" w14:paraId="5FD02853" w14:textId="77777777">
      <w:pPr>
        <w:textAlignment w:val="baseline"/>
        <w:rPr>
          <w:rFonts w:eastAsia="Times New Roman"/>
          <w:color w:val="000000"/>
          <w:sz w:val="16"/>
          <w:lang w:val="en-GB"/>
        </w:rPr>
      </w:pPr>
    </w:p>
    <w:p w:rsidRPr="009C48DA" w:rsidR="00661519" w:rsidP="00661519" w:rsidRDefault="00661519" w14:paraId="4FA7D18B" w14:textId="77777777">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 xml:space="preserve">Short-term leases and leases of low value assets </w:t>
      </w:r>
    </w:p>
    <w:p w:rsidRPr="009C48DA" w:rsidR="00661519" w:rsidP="00661519" w:rsidRDefault="00661519" w14:paraId="741E8FB8"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Group has elected not to recognise right-of-use assets and lease liabilities for short-term leases that have a lease term of 12 months or </w:t>
      </w:r>
      <w:r w:rsidRPr="009C48DA">
        <w:rPr>
          <w:rFonts w:eastAsia="Times New Roman" w:cs="Times New Roman"/>
          <w:color w:val="000000"/>
          <w:sz w:val="16"/>
          <w:szCs w:val="22"/>
          <w:lang w:val="en-GB"/>
        </w:rPr>
        <w:br/>
        <w:t xml:space="preserve">less and leases of low-value assets. The Group recognises the lease payments associated with these leases as an expense on a straight-line </w:t>
      </w:r>
      <w:r w:rsidRPr="009C48DA">
        <w:rPr>
          <w:rFonts w:eastAsia="Times New Roman" w:cs="Times New Roman"/>
          <w:color w:val="000000"/>
          <w:sz w:val="16"/>
          <w:szCs w:val="22"/>
          <w:lang w:val="en-GB"/>
        </w:rPr>
        <w:br/>
        <w:t>basis over the lease term within operating expenses.</w:t>
      </w:r>
    </w:p>
    <w:p w:rsidRPr="009C48DA" w:rsidR="00661519" w:rsidP="00661519" w:rsidRDefault="00661519" w14:paraId="537C77F5" w14:textId="77777777">
      <w:pPr>
        <w:tabs>
          <w:tab w:val="left" w:pos="504"/>
        </w:tabs>
        <w:textAlignment w:val="baseline"/>
        <w:rPr>
          <w:rFonts w:eastAsia="Times New Roman" w:cs="Times New Roman"/>
          <w:b/>
          <w:color w:val="000000"/>
          <w:sz w:val="16"/>
          <w:szCs w:val="22"/>
          <w:lang w:val="en-GB"/>
        </w:rPr>
      </w:pPr>
    </w:p>
    <w:p w:rsidRPr="009C48DA" w:rsidR="00661519" w:rsidP="00661519" w:rsidRDefault="00661519" w14:paraId="6912E46B" w14:textId="77777777">
      <w:pPr>
        <w:tabs>
          <w:tab w:val="left" w:pos="504"/>
        </w:tabs>
        <w:textAlignment w:val="baseline"/>
        <w:rPr>
          <w:rFonts w:eastAsia="Times New Roman" w:cs="Times New Roman"/>
          <w:b/>
          <w:color w:val="000000"/>
          <w:sz w:val="16"/>
          <w:szCs w:val="22"/>
          <w:lang w:val="en-GB"/>
        </w:rPr>
      </w:pPr>
    </w:p>
    <w:p w:rsidRPr="009C48DA" w:rsidR="00661519" w:rsidP="00661519" w:rsidRDefault="00661519" w14:paraId="14D1C4BA"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(i)</w:t>
      </w:r>
      <w:r w:rsidRPr="009C48DA">
        <w:rPr>
          <w:rFonts w:eastAsia="Times New Roman" w:cs="Times New Roman"/>
          <w:b/>
          <w:color w:val="000000"/>
          <w:sz w:val="16"/>
          <w:szCs w:val="22"/>
          <w:lang w:val="en-GB"/>
        </w:rPr>
        <w:tab/>
        <w:t>Finance income and finance expenses</w:t>
      </w:r>
    </w:p>
    <w:p w:rsidRPr="009C48DA" w:rsidR="00661519" w:rsidP="00661519" w:rsidRDefault="00661519" w14:paraId="4E74BD9B" w14:textId="77777777">
      <w:pPr>
        <w:jc w:val="both"/>
        <w:textAlignment w:val="baseline"/>
        <w:rPr>
          <w:rFonts w:eastAsia="Times New Roman" w:cs="Times New Roman"/>
          <w:color w:val="000000"/>
          <w:sz w:val="16"/>
          <w:szCs w:val="22"/>
          <w:lang w:val="en-GB"/>
        </w:rPr>
      </w:pPr>
    </w:p>
    <w:p w:rsidRPr="009C48DA" w:rsidR="00661519" w:rsidP="00661519" w:rsidRDefault="00661519" w14:paraId="6F9AB953"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Finance income comprises interest earned on cash deposited with bank balances and finance income on sublease agreements. Finance </w:t>
      </w:r>
      <w:r w:rsidRPr="009C48DA">
        <w:rPr>
          <w:rFonts w:eastAsia="Times New Roman" w:cs="Times New Roman"/>
          <w:color w:val="000000"/>
          <w:sz w:val="16"/>
          <w:szCs w:val="22"/>
          <w:lang w:val="en-GB"/>
        </w:rPr>
        <w:br/>
        <w:t>expense comprises interest on interest-bearing liabilities and finance expense on lease liabilities.</w:t>
      </w:r>
    </w:p>
    <w:p w:rsidRPr="009C48DA" w:rsidR="00661519" w:rsidP="00661519" w:rsidRDefault="00661519" w14:paraId="1DC49313" w14:textId="77777777">
      <w:pPr>
        <w:jc w:val="both"/>
        <w:textAlignment w:val="baseline"/>
        <w:rPr>
          <w:rFonts w:eastAsia="Times New Roman" w:cs="Times New Roman"/>
          <w:color w:val="000000"/>
          <w:sz w:val="16"/>
          <w:szCs w:val="22"/>
          <w:lang w:val="en-GB"/>
        </w:rPr>
      </w:pPr>
    </w:p>
    <w:p w:rsidRPr="009C48DA" w:rsidR="00661519" w:rsidP="00661519" w:rsidRDefault="00661519" w14:paraId="194B055D"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Recurring fees and charges levied on committed bank facilities are charged to the Income Statement as accrued. Credit facility arrangement </w:t>
      </w:r>
      <w:r w:rsidRPr="009C48DA">
        <w:rPr>
          <w:rFonts w:eastAsia="Times New Roman" w:cs="Times New Roman"/>
          <w:color w:val="000000"/>
          <w:sz w:val="16"/>
          <w:szCs w:val="22"/>
          <w:lang w:val="en-GB"/>
        </w:rPr>
        <w:br/>
        <w:t>fees are capitalised and amortised to the Income Statement using the effective interest method over the term of the facility.</w:t>
      </w:r>
    </w:p>
    <w:p w:rsidRPr="009C48DA" w:rsidR="00661519" w:rsidP="00661519" w:rsidRDefault="00661519" w14:paraId="6E1982DF" w14:textId="77777777">
      <w:pPr>
        <w:jc w:val="both"/>
        <w:textAlignment w:val="baseline"/>
        <w:rPr>
          <w:rFonts w:eastAsia="Times New Roman" w:cs="Times New Roman"/>
          <w:color w:val="000000"/>
          <w:sz w:val="16"/>
          <w:szCs w:val="22"/>
          <w:lang w:val="en-GB"/>
        </w:rPr>
      </w:pPr>
    </w:p>
    <w:p w:rsidRPr="009C48DA" w:rsidR="00661519" w:rsidP="00661519" w:rsidRDefault="00661519" w14:paraId="63BE86CB"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Interest income and expense is recognised using the effective interest method. The calculation includes all fees and points paid or received </w:t>
      </w:r>
      <w:r w:rsidRPr="009C48DA">
        <w:rPr>
          <w:rFonts w:eastAsia="Times New Roman" w:cs="Times New Roman"/>
          <w:color w:val="000000"/>
          <w:sz w:val="16"/>
          <w:szCs w:val="22"/>
          <w:lang w:val="en-GB"/>
        </w:rPr>
        <w:br/>
        <w:t>between parties to the contract that are an integral part of the effective interest rate, transaction costs, and all other premiums and discounts.</w:t>
      </w:r>
    </w:p>
    <w:p w:rsidRPr="009C48DA" w:rsidR="00661519" w:rsidP="00661519" w:rsidRDefault="00661519" w14:paraId="1F45F53C" w14:textId="77777777">
      <w:pPr>
        <w:tabs>
          <w:tab w:val="left" w:pos="504"/>
        </w:tabs>
        <w:textAlignment w:val="baseline"/>
        <w:rPr>
          <w:rFonts w:eastAsia="Times New Roman" w:cs="Times New Roman"/>
          <w:b/>
          <w:color w:val="000000"/>
          <w:sz w:val="16"/>
          <w:szCs w:val="22"/>
          <w:lang w:val="en-GB"/>
        </w:rPr>
      </w:pPr>
    </w:p>
    <w:p w:rsidRPr="009C48DA" w:rsidR="00661519" w:rsidP="00661519" w:rsidRDefault="00661519" w14:paraId="59DDD051" w14:textId="77777777">
      <w:pPr>
        <w:tabs>
          <w:tab w:val="left" w:pos="504"/>
        </w:tabs>
        <w:textAlignment w:val="baseline"/>
        <w:rPr>
          <w:rFonts w:eastAsia="Times New Roman" w:cs="Times New Roman"/>
          <w:b/>
          <w:color w:val="000000"/>
          <w:sz w:val="16"/>
          <w:szCs w:val="22"/>
          <w:lang w:val="en-GB"/>
        </w:rPr>
      </w:pPr>
    </w:p>
    <w:p w:rsidRPr="009C48DA" w:rsidR="00661519" w:rsidP="00661519" w:rsidRDefault="00661519" w14:paraId="2D8DA53E"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(j)</w:t>
      </w:r>
      <w:r w:rsidRPr="009C48DA">
        <w:rPr>
          <w:rFonts w:eastAsia="Times New Roman" w:cs="Times New Roman"/>
          <w:b/>
          <w:color w:val="000000"/>
          <w:sz w:val="16"/>
          <w:szCs w:val="22"/>
          <w:lang w:val="en-GB"/>
        </w:rPr>
        <w:tab/>
        <w:t>Exceptional items</w:t>
      </w:r>
    </w:p>
    <w:p w:rsidRPr="009C48DA" w:rsidR="00661519" w:rsidP="00661519" w:rsidRDefault="00661519" w14:paraId="2E0911FE" w14:textId="77777777">
      <w:pPr>
        <w:spacing w:before="114" w:line="182" w:lineRule="exact"/>
        <w:textAlignment w:val="baseline"/>
        <w:rPr>
          <w:rFonts w:eastAsia="Times New Roman"/>
          <w:color w:val="000000"/>
          <w:sz w:val="16"/>
          <w:lang w:val="en-GB"/>
        </w:rPr>
      </w:pPr>
      <w:r w:rsidRPr="009C48DA">
        <w:rPr>
          <w:rFonts w:eastAsia="Times New Roman"/>
          <w:color w:val="000000"/>
          <w:sz w:val="16"/>
          <w:lang w:val="en-GB"/>
        </w:rPr>
        <w:t xml:space="preserve">Items of income and expense that are material by size and/or nature, are not considered to be incurred in the normal course of business and are </w:t>
      </w:r>
      <w:r w:rsidRPr="009C48DA">
        <w:rPr>
          <w:rFonts w:eastAsia="Times New Roman"/>
          <w:color w:val="000000"/>
          <w:sz w:val="16"/>
          <w:lang w:val="en-GB"/>
        </w:rPr>
        <w:br/>
        <w:t>not expected to reoccur are classified as ‘exceptional’ within the income statement and disclosed separately to give a clearer presentation</w:t>
      </w:r>
      <w:r w:rsidRPr="009C48DA">
        <w:rPr>
          <w:rFonts w:eastAsia="Times New Roman"/>
          <w:color w:val="000000"/>
          <w:sz w:val="16"/>
          <w:lang w:val="en-GB"/>
        </w:rPr>
        <w:br/>
        <w:t>of the Group’s results.</w:t>
      </w:r>
    </w:p>
    <w:p w:rsidRPr="009C48DA" w:rsidR="00661519" w:rsidP="00661519" w:rsidRDefault="00661519" w14:paraId="2D040847" w14:textId="77777777">
      <w:pPr>
        <w:textAlignment w:val="baseline"/>
        <w:rPr>
          <w:rFonts w:eastAsia="Times New Roman" w:cs="Times New Roman"/>
          <w:b/>
          <w:color w:val="000000"/>
          <w:sz w:val="16"/>
          <w:szCs w:val="22"/>
          <w:lang w:val="en-GB"/>
        </w:rPr>
      </w:pPr>
    </w:p>
    <w:p w:rsidRPr="009C48DA" w:rsidR="00661519" w:rsidP="00661519" w:rsidRDefault="00661519" w14:paraId="0EBE5ED1" w14:textId="77777777">
      <w:pPr>
        <w:textAlignment w:val="baseline"/>
        <w:rPr>
          <w:rFonts w:eastAsia="Times New Roman" w:cs="Times New Roman"/>
          <w:b/>
          <w:color w:val="000000"/>
          <w:sz w:val="16"/>
          <w:szCs w:val="22"/>
          <w:lang w:val="en-GB"/>
        </w:rPr>
      </w:pPr>
    </w:p>
    <w:p w:rsidRPr="009C48DA" w:rsidR="00661519" w:rsidP="00661519" w:rsidRDefault="00661519" w14:paraId="3848354B"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(k)</w:t>
      </w:r>
      <w:r w:rsidRPr="009C48DA">
        <w:rPr>
          <w:rFonts w:eastAsia="Times New Roman" w:cs="Times New Roman"/>
          <w:b/>
          <w:color w:val="000000"/>
          <w:sz w:val="16"/>
          <w:szCs w:val="22"/>
          <w:lang w:val="en-GB"/>
        </w:rPr>
        <w:tab/>
        <w:t>Taxation</w:t>
      </w:r>
    </w:p>
    <w:p w:rsidRPr="009C48DA" w:rsidR="00661519" w:rsidP="00661519" w:rsidRDefault="00661519" w14:paraId="45314F05" w14:textId="77777777">
      <w:pPr>
        <w:textAlignment w:val="baseline"/>
        <w:rPr>
          <w:rFonts w:eastAsia="Times New Roman" w:cs="Times New Roman"/>
          <w:b/>
          <w:color w:val="000000"/>
          <w:sz w:val="16"/>
          <w:szCs w:val="22"/>
          <w:lang w:val="en-GB"/>
        </w:rPr>
      </w:pPr>
    </w:p>
    <w:p w:rsidRPr="009C48DA" w:rsidR="00661519" w:rsidP="00661519" w:rsidRDefault="00661519" w14:paraId="0FB14551"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Taxation expense for the period comprises current and deferred tax recognised in the reporting period. Tax is recognised in the Income </w:t>
      </w:r>
      <w:r w:rsidRPr="009C48DA">
        <w:rPr>
          <w:rFonts w:eastAsia="Times New Roman" w:cs="Times New Roman"/>
          <w:color w:val="000000"/>
          <w:sz w:val="16"/>
          <w:szCs w:val="22"/>
          <w:lang w:val="en-GB"/>
        </w:rPr>
        <w:br/>
        <w:t xml:space="preserve">Statement, except to the extent that it relates to items recognised in other comprehensive income or directly in equity. In this case tax is </w:t>
      </w:r>
      <w:r w:rsidRPr="009C48DA">
        <w:rPr>
          <w:rFonts w:eastAsia="Times New Roman" w:cs="Times New Roman"/>
          <w:color w:val="000000"/>
          <w:sz w:val="16"/>
          <w:szCs w:val="22"/>
          <w:lang w:val="en-GB"/>
        </w:rPr>
        <w:br/>
        <w:t>also recognised in other comprehensive income or directly in equity respectively.</w:t>
      </w:r>
    </w:p>
    <w:p w:rsidRPr="009C48DA" w:rsidR="00661519" w:rsidP="00661519" w:rsidRDefault="00661519" w14:paraId="1EBCE761" w14:textId="77777777">
      <w:pPr>
        <w:jc w:val="both"/>
        <w:textAlignment w:val="baseline"/>
        <w:rPr>
          <w:rFonts w:eastAsia="Times New Roman" w:cs="Times New Roman"/>
          <w:color w:val="000000"/>
          <w:sz w:val="16"/>
          <w:szCs w:val="22"/>
          <w:lang w:val="en-GB"/>
        </w:rPr>
      </w:pPr>
    </w:p>
    <w:p w:rsidRPr="009C48DA" w:rsidR="00661519" w:rsidP="00661519" w:rsidRDefault="00661519" w14:paraId="50053B7F" w14:textId="77777777">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Current tax</w:t>
      </w:r>
    </w:p>
    <w:p w:rsidRPr="009C48DA" w:rsidR="00661519" w:rsidP="00661519" w:rsidRDefault="00661519" w14:paraId="73C84702"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Current tax is the amount of corporation tax payable in respect of the taxable profit for the period or prior period. Tax is calculated on the</w:t>
      </w:r>
    </w:p>
    <w:p w:rsidRPr="009C48DA" w:rsidR="00661519" w:rsidP="00661519" w:rsidRDefault="00661519" w14:paraId="655909B1"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basis of tax rates and laws that have been enacted or substantively enacted by the period end.</w:t>
      </w:r>
    </w:p>
    <w:p w:rsidRPr="009C48DA" w:rsidR="00661519" w:rsidP="00661519" w:rsidRDefault="00661519" w14:paraId="23D5AFC8" w14:textId="77777777">
      <w:pPr>
        <w:textAlignment w:val="baseline"/>
        <w:rPr>
          <w:rFonts w:eastAsia="Times New Roman" w:cs="Times New Roman"/>
          <w:b/>
          <w:color w:val="000000"/>
          <w:sz w:val="16"/>
          <w:szCs w:val="22"/>
          <w:u w:val="single"/>
          <w:lang w:val="en-GB"/>
        </w:rPr>
      </w:pPr>
    </w:p>
    <w:p w:rsidRPr="009C48DA" w:rsidR="00661519" w:rsidP="00661519" w:rsidRDefault="00661519" w14:paraId="57C55562" w14:textId="77777777">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Deferred tax</w:t>
      </w:r>
    </w:p>
    <w:p w:rsidRPr="009C48DA" w:rsidR="00661519" w:rsidP="00661519" w:rsidRDefault="00661519" w14:paraId="4869869D"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Deferred tax arises from timing differences that are differences between taxable profits and total comprehensive income as stated in the </w:t>
      </w:r>
      <w:r w:rsidRPr="009C48DA">
        <w:rPr>
          <w:rFonts w:eastAsia="Times New Roman" w:cs="Times New Roman"/>
          <w:color w:val="000000"/>
          <w:sz w:val="16"/>
          <w:szCs w:val="22"/>
          <w:lang w:val="en-GB"/>
        </w:rPr>
        <w:br/>
        <w:t xml:space="preserve">financial statements. These timing differences arise from the inclusion of income and expenses in tax assessments in periods different from </w:t>
      </w:r>
      <w:r w:rsidRPr="009C48DA">
        <w:rPr>
          <w:rFonts w:eastAsia="Times New Roman" w:cs="Times New Roman"/>
          <w:color w:val="000000"/>
          <w:sz w:val="16"/>
          <w:szCs w:val="22"/>
          <w:lang w:val="en-GB"/>
        </w:rPr>
        <w:br/>
        <w:t>those in which they are recognised in financial statements.</w:t>
      </w:r>
    </w:p>
    <w:p w:rsidRPr="009C48DA" w:rsidR="00661519" w:rsidP="00661519" w:rsidRDefault="00661519" w14:paraId="135E1219" w14:textId="77777777">
      <w:pPr>
        <w:textAlignment w:val="baseline"/>
        <w:rPr>
          <w:rFonts w:eastAsia="Times New Roman" w:cs="Times New Roman"/>
          <w:color w:val="000000"/>
          <w:sz w:val="16"/>
          <w:szCs w:val="22"/>
          <w:lang w:val="en-GB"/>
        </w:rPr>
      </w:pPr>
    </w:p>
    <w:p w:rsidRPr="009C48DA" w:rsidR="00661519" w:rsidP="00661519" w:rsidRDefault="00661519" w14:paraId="1AE9137D"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Deferred tax is recognised on all timing differences at the reporting date except for certain exceptions.</w:t>
      </w:r>
    </w:p>
    <w:p w:rsidRPr="009C48DA" w:rsidR="00661519" w:rsidP="00661519" w:rsidRDefault="00661519" w14:paraId="7A9D640B" w14:textId="77777777">
      <w:pPr>
        <w:jc w:val="both"/>
        <w:textAlignment w:val="baseline"/>
        <w:rPr>
          <w:rFonts w:eastAsia="Times New Roman" w:cs="Times New Roman"/>
          <w:color w:val="000000"/>
          <w:sz w:val="16"/>
          <w:szCs w:val="22"/>
          <w:lang w:val="en-GB"/>
        </w:rPr>
      </w:pPr>
    </w:p>
    <w:p w:rsidRPr="009C48DA" w:rsidR="00661519" w:rsidP="00661519" w:rsidRDefault="00661519" w14:paraId="0313FEB3"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Unrelieved tax losses and other deferred tax assets are only recognised when it is probable that they will be recovered against the reversal of deferred tax liabilities or other future taxable profits.</w:t>
      </w:r>
    </w:p>
    <w:p w:rsidRPr="009C48DA" w:rsidR="00661519" w:rsidP="00661519" w:rsidRDefault="00661519" w14:paraId="311EC084" w14:textId="77777777">
      <w:pPr>
        <w:jc w:val="both"/>
        <w:textAlignment w:val="baseline"/>
        <w:rPr>
          <w:rFonts w:eastAsia="Times New Roman" w:cs="Times New Roman"/>
          <w:color w:val="000000"/>
          <w:sz w:val="16"/>
          <w:szCs w:val="22"/>
          <w:lang w:val="en-GB"/>
        </w:rPr>
      </w:pPr>
    </w:p>
    <w:p w:rsidRPr="009C48DA" w:rsidR="00661519" w:rsidP="00661519" w:rsidRDefault="00661519" w14:paraId="03CC573C"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Deferred tax is measured using tax rates and laws that have been enacted or substantively enacted by the period end and that are expected to </w:t>
      </w:r>
      <w:r w:rsidRPr="009C48DA">
        <w:rPr>
          <w:rFonts w:eastAsia="Times New Roman" w:cs="Times New Roman"/>
          <w:color w:val="000000"/>
          <w:sz w:val="16"/>
          <w:szCs w:val="22"/>
          <w:lang w:val="en-GB"/>
        </w:rPr>
        <w:br/>
        <w:t>apply to the reversal of the timing difference.</w:t>
      </w:r>
    </w:p>
    <w:p w:rsidRPr="009C48DA" w:rsidR="00661519" w:rsidP="00661519" w:rsidRDefault="00661519" w14:paraId="513B43A8" w14:textId="77777777">
      <w:pPr>
        <w:textAlignment w:val="baseline"/>
        <w:rPr>
          <w:rFonts w:eastAsia="Times New Roman" w:cs="Times New Roman"/>
          <w:color w:val="000000"/>
          <w:sz w:val="16"/>
          <w:szCs w:val="22"/>
          <w:lang w:val="en-GB"/>
        </w:rPr>
      </w:pPr>
    </w:p>
    <w:p w:rsidRPr="009C48DA" w:rsidR="00661519" w:rsidP="00661519" w:rsidRDefault="00661519" w14:paraId="699F59F9"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Current or deferred taxation assets and liabilities are not discounted.</w:t>
      </w:r>
    </w:p>
    <w:p w:rsidRPr="009C48DA" w:rsidR="00661519" w:rsidP="00661519" w:rsidRDefault="00661519" w14:paraId="214B8C69" w14:textId="77777777">
      <w:pPr>
        <w:tabs>
          <w:tab w:val="left" w:pos="504"/>
        </w:tabs>
        <w:textAlignment w:val="baseline"/>
        <w:rPr>
          <w:rFonts w:eastAsia="Times New Roman" w:cs="Times New Roman"/>
          <w:b/>
          <w:color w:val="000000"/>
          <w:sz w:val="16"/>
          <w:szCs w:val="22"/>
          <w:lang w:val="en-GB"/>
        </w:rPr>
      </w:pPr>
    </w:p>
    <w:p w:rsidRPr="009C48DA" w:rsidR="00661519" w:rsidP="00661519" w:rsidRDefault="00661519" w14:paraId="0EECFE6A" w14:textId="705C44B4">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(l)</w:t>
      </w:r>
      <w:r w:rsidRPr="009C48DA">
        <w:rPr>
          <w:rFonts w:eastAsia="Times New Roman" w:cs="Times New Roman"/>
          <w:b/>
          <w:color w:val="000000"/>
          <w:sz w:val="16"/>
          <w:szCs w:val="22"/>
          <w:lang w:val="en-GB"/>
        </w:rPr>
        <w:tab/>
        <w:t>Property, Plant and Equipment</w:t>
      </w:r>
    </w:p>
    <w:p w:rsidRPr="009C48DA" w:rsidR="00661519" w:rsidP="00661519" w:rsidRDefault="00661519" w14:paraId="34E8EB92" w14:textId="77777777">
      <w:pPr>
        <w:textAlignment w:val="baseline"/>
        <w:rPr>
          <w:rFonts w:eastAsia="Times New Roman" w:cs="Times New Roman"/>
          <w:color w:val="000000"/>
          <w:sz w:val="16"/>
          <w:szCs w:val="22"/>
          <w:lang w:val="en-GB"/>
        </w:rPr>
      </w:pPr>
    </w:p>
    <w:p w:rsidRPr="009C48DA" w:rsidR="00661519" w:rsidP="00661519" w:rsidRDefault="00661519" w14:paraId="66A20951"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Property, plant and equipment are stated at cost less accumulated depreciation and any provision for impairment.</w:t>
      </w:r>
    </w:p>
    <w:p w:rsidRPr="009C48DA" w:rsidR="00661519" w:rsidP="00661519" w:rsidRDefault="00661519" w14:paraId="714C5AFD" w14:textId="77777777">
      <w:pPr>
        <w:textAlignment w:val="baseline"/>
        <w:rPr>
          <w:rFonts w:eastAsia="Times New Roman" w:cs="Times New Roman"/>
          <w:color w:val="000000"/>
          <w:sz w:val="16"/>
          <w:szCs w:val="22"/>
          <w:lang w:val="en-GB"/>
        </w:rPr>
      </w:pPr>
    </w:p>
    <w:p w:rsidRPr="009C48DA" w:rsidR="00661519" w:rsidP="00661519" w:rsidRDefault="00661519" w14:paraId="194B91B3"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lastRenderedPageBreak/>
        <w:t xml:space="preserve">The cost includes the purchase price as well as expenditure directly attributable to put the asset in place and order to be used in accordance </w:t>
      </w:r>
      <w:r w:rsidRPr="009C48DA">
        <w:rPr>
          <w:rFonts w:eastAsia="Times New Roman" w:cs="Times New Roman"/>
          <w:color w:val="000000"/>
          <w:sz w:val="16"/>
          <w:szCs w:val="22"/>
          <w:lang w:val="en-GB"/>
        </w:rPr>
        <w:br/>
        <w:t>with the purpose of the acquisition.</w:t>
      </w:r>
    </w:p>
    <w:p w:rsidRPr="009C48DA" w:rsidR="00661519" w:rsidP="00661519" w:rsidRDefault="00661519" w14:paraId="03214830" w14:textId="77777777">
      <w:pPr>
        <w:jc w:val="both"/>
        <w:textAlignment w:val="baseline"/>
        <w:rPr>
          <w:rFonts w:eastAsia="Times New Roman" w:cs="Times New Roman"/>
          <w:color w:val="000000"/>
          <w:sz w:val="16"/>
          <w:szCs w:val="22"/>
          <w:lang w:val="en-GB"/>
        </w:rPr>
      </w:pPr>
    </w:p>
    <w:p w:rsidRPr="009C48DA" w:rsidR="00661519" w:rsidP="00661519" w:rsidRDefault="00661519" w14:paraId="2EDB09D8"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Assets are depreciated so as to write off their cost, on a straight-line basis, over their estimated useful lives as follows:</w:t>
      </w:r>
    </w:p>
    <w:p w:rsidRPr="009C48DA" w:rsidR="00661519" w:rsidP="00661519" w:rsidRDefault="00661519" w14:paraId="241563FD" w14:textId="77777777">
      <w:pPr>
        <w:textAlignment w:val="baseline"/>
        <w:rPr>
          <w:rFonts w:eastAsia="Times New Roman" w:cs="Times New Roman"/>
          <w:color w:val="000000"/>
          <w:sz w:val="16"/>
          <w:szCs w:val="22"/>
          <w:lang w:val="en-GB"/>
        </w:rPr>
      </w:pPr>
    </w:p>
    <w:tbl>
      <w:tblPr>
        <w:tblStyle w:val="TableGrid30"/>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97"/>
        <w:gridCol w:w="3653"/>
      </w:tblGrid>
      <w:tr w:rsidRPr="009C48DA" w:rsidR="00661519" w:rsidTr="00661519" w14:paraId="344A7E0B" w14:textId="77777777">
        <w:tc>
          <w:tcPr>
            <w:tcW w:w="5597" w:type="dxa"/>
          </w:tcPr>
          <w:p w:rsidRPr="009C48DA" w:rsidR="00661519" w:rsidP="00661519" w:rsidRDefault="00661519" w14:paraId="63A99416" w14:textId="77777777">
            <w:pPr>
              <w:textAlignment w:val="baseline"/>
              <w:rPr>
                <w:rFonts w:eastAsia="Times New Roman"/>
                <w:b/>
                <w:color w:val="000000"/>
                <w:sz w:val="16"/>
                <w:u w:val="single"/>
                <w:lang w:val="en-GB"/>
              </w:rPr>
            </w:pPr>
            <w:r w:rsidRPr="009C48DA">
              <w:rPr>
                <w:rFonts w:eastAsia="Times New Roman"/>
                <w:b/>
                <w:color w:val="000000"/>
                <w:sz w:val="16"/>
                <w:u w:val="single"/>
                <w:lang w:val="en-GB"/>
              </w:rPr>
              <w:t>Asset class</w:t>
            </w:r>
          </w:p>
        </w:tc>
        <w:tc>
          <w:tcPr>
            <w:tcW w:w="3653" w:type="dxa"/>
          </w:tcPr>
          <w:p w:rsidRPr="009C48DA" w:rsidR="00661519" w:rsidP="00661519" w:rsidRDefault="00661519" w14:paraId="7BA2EC27" w14:textId="77777777">
            <w:pPr>
              <w:textAlignment w:val="baseline"/>
              <w:rPr>
                <w:rFonts w:eastAsia="Times New Roman"/>
                <w:b/>
                <w:color w:val="000000"/>
                <w:sz w:val="16"/>
                <w:u w:val="single"/>
                <w:lang w:val="en-GB"/>
              </w:rPr>
            </w:pPr>
            <w:r w:rsidRPr="009C48DA">
              <w:rPr>
                <w:rFonts w:eastAsia="Times New Roman"/>
                <w:b/>
                <w:color w:val="000000"/>
                <w:sz w:val="16"/>
                <w:u w:val="single"/>
                <w:lang w:val="en-GB"/>
              </w:rPr>
              <w:t>Depreciation rate</w:t>
            </w:r>
          </w:p>
        </w:tc>
      </w:tr>
      <w:tr w:rsidRPr="009C48DA" w:rsidR="00661519" w:rsidTr="00661519" w14:paraId="754A66EB" w14:textId="77777777">
        <w:tc>
          <w:tcPr>
            <w:tcW w:w="5597" w:type="dxa"/>
          </w:tcPr>
          <w:p w:rsidRPr="009C48DA" w:rsidR="00661519" w:rsidP="00661519" w:rsidRDefault="00661519" w14:paraId="28D238CD" w14:textId="77777777">
            <w:pPr>
              <w:spacing w:before="60"/>
              <w:textAlignment w:val="baseline"/>
              <w:rPr>
                <w:rFonts w:eastAsia="Times New Roman"/>
                <w:color w:val="000000"/>
                <w:sz w:val="16"/>
                <w:lang w:val="en-GB"/>
              </w:rPr>
            </w:pPr>
            <w:r w:rsidRPr="009C48DA">
              <w:rPr>
                <w:rFonts w:eastAsia="Times New Roman"/>
                <w:color w:val="000000"/>
                <w:sz w:val="16"/>
                <w:lang w:val="en-GB"/>
              </w:rPr>
              <w:t>Motor Vehicles</w:t>
            </w:r>
          </w:p>
        </w:tc>
        <w:tc>
          <w:tcPr>
            <w:tcW w:w="3653" w:type="dxa"/>
          </w:tcPr>
          <w:p w:rsidRPr="009C48DA" w:rsidR="00661519" w:rsidP="00661519" w:rsidRDefault="00661519" w14:paraId="23D9CAEB" w14:textId="77777777">
            <w:pPr>
              <w:spacing w:before="60"/>
              <w:textAlignment w:val="baseline"/>
              <w:rPr>
                <w:rFonts w:eastAsia="Times New Roman"/>
                <w:color w:val="000000"/>
                <w:sz w:val="16"/>
                <w:lang w:val="en-GB"/>
              </w:rPr>
            </w:pPr>
            <w:r w:rsidRPr="009C48DA">
              <w:rPr>
                <w:rFonts w:eastAsia="Times New Roman"/>
                <w:color w:val="000000"/>
                <w:sz w:val="16"/>
                <w:lang w:val="en-GB"/>
              </w:rPr>
              <w:t>5 years</w:t>
            </w:r>
          </w:p>
        </w:tc>
      </w:tr>
      <w:tr w:rsidRPr="009C48DA" w:rsidR="00661519" w:rsidTr="00661519" w14:paraId="2B480A25" w14:textId="77777777">
        <w:tc>
          <w:tcPr>
            <w:tcW w:w="5597" w:type="dxa"/>
          </w:tcPr>
          <w:p w:rsidRPr="009C48DA" w:rsidR="00661519" w:rsidP="00661519" w:rsidRDefault="00661519" w14:paraId="425B4580" w14:textId="77777777">
            <w:pPr>
              <w:spacing w:before="60"/>
              <w:textAlignment w:val="baseline"/>
              <w:rPr>
                <w:rFonts w:eastAsia="Times New Roman"/>
                <w:color w:val="000000"/>
                <w:sz w:val="16"/>
                <w:lang w:val="en-GB"/>
              </w:rPr>
            </w:pPr>
            <w:r w:rsidRPr="009C48DA">
              <w:rPr>
                <w:rFonts w:eastAsia="Times New Roman"/>
                <w:color w:val="000000"/>
                <w:sz w:val="16"/>
                <w:lang w:val="en-GB"/>
              </w:rPr>
              <w:t>Computers, Furniture and Other</w:t>
            </w:r>
          </w:p>
        </w:tc>
        <w:tc>
          <w:tcPr>
            <w:tcW w:w="3653" w:type="dxa"/>
          </w:tcPr>
          <w:p w:rsidRPr="009C48DA" w:rsidR="00661519" w:rsidP="00661519" w:rsidRDefault="00661519" w14:paraId="42860A5B" w14:textId="77777777">
            <w:pPr>
              <w:spacing w:before="60"/>
              <w:textAlignment w:val="baseline"/>
              <w:rPr>
                <w:rFonts w:eastAsia="Times New Roman"/>
                <w:color w:val="000000"/>
                <w:sz w:val="16"/>
                <w:lang w:val="en-GB"/>
              </w:rPr>
            </w:pPr>
            <w:r w:rsidRPr="009C48DA">
              <w:rPr>
                <w:rFonts w:eastAsia="Times New Roman"/>
                <w:color w:val="000000"/>
                <w:sz w:val="16"/>
                <w:lang w:val="en-GB"/>
              </w:rPr>
              <w:t>3 to 5 years</w:t>
            </w:r>
          </w:p>
        </w:tc>
      </w:tr>
      <w:tr w:rsidRPr="009C48DA" w:rsidR="00661519" w:rsidTr="00661519" w14:paraId="34B8BDED" w14:textId="77777777">
        <w:tc>
          <w:tcPr>
            <w:tcW w:w="5597" w:type="dxa"/>
          </w:tcPr>
          <w:p w:rsidRPr="009C48DA" w:rsidR="00661519" w:rsidP="00661519" w:rsidRDefault="00661519" w14:paraId="05B9F30E" w14:textId="77777777">
            <w:pPr>
              <w:spacing w:before="60"/>
              <w:textAlignment w:val="baseline"/>
              <w:rPr>
                <w:rFonts w:eastAsia="Times New Roman"/>
                <w:color w:val="000000"/>
                <w:sz w:val="16"/>
                <w:lang w:val="en-GB"/>
              </w:rPr>
            </w:pPr>
            <w:r w:rsidRPr="009C48DA">
              <w:rPr>
                <w:rFonts w:eastAsia="Times New Roman"/>
                <w:color w:val="000000"/>
                <w:sz w:val="16"/>
                <w:lang w:val="en-GB"/>
              </w:rPr>
              <w:t>Leasehold Improvements</w:t>
            </w:r>
          </w:p>
        </w:tc>
        <w:tc>
          <w:tcPr>
            <w:tcW w:w="3653" w:type="dxa"/>
          </w:tcPr>
          <w:p w:rsidRPr="009C48DA" w:rsidR="00661519" w:rsidP="00661519" w:rsidRDefault="00661519" w14:paraId="49AE09BF" w14:textId="77777777">
            <w:pPr>
              <w:spacing w:before="60"/>
              <w:textAlignment w:val="baseline"/>
              <w:rPr>
                <w:rFonts w:eastAsia="Times New Roman"/>
                <w:color w:val="000000"/>
                <w:sz w:val="16"/>
                <w:lang w:val="en-GB"/>
              </w:rPr>
            </w:pPr>
            <w:r w:rsidRPr="009C48DA">
              <w:rPr>
                <w:rFonts w:eastAsia="Times New Roman"/>
                <w:color w:val="000000"/>
                <w:sz w:val="16"/>
                <w:lang w:val="en-GB"/>
              </w:rPr>
              <w:t>Over the shorter of their useful economic life or the lease term</w:t>
            </w:r>
          </w:p>
        </w:tc>
      </w:tr>
    </w:tbl>
    <w:p w:rsidRPr="009C48DA" w:rsidR="00661519" w:rsidP="00661519" w:rsidRDefault="00661519" w14:paraId="2E5B0943" w14:textId="77777777">
      <w:pPr>
        <w:jc w:val="both"/>
        <w:textAlignment w:val="baseline"/>
        <w:rPr>
          <w:rFonts w:eastAsia="Times New Roman" w:cs="Times New Roman"/>
          <w:color w:val="000000"/>
          <w:sz w:val="16"/>
          <w:szCs w:val="22"/>
          <w:lang w:val="en-GB"/>
        </w:rPr>
      </w:pPr>
    </w:p>
    <w:p w:rsidRPr="009C48DA" w:rsidR="00661519" w:rsidP="00661519" w:rsidRDefault="00661519" w14:paraId="757F12D9"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carrying amount of any assets that are impaired is recognised within the Income Statement and reversed if there are indications that the </w:t>
      </w:r>
      <w:r w:rsidRPr="009C48DA">
        <w:rPr>
          <w:rFonts w:eastAsia="Times New Roman" w:cs="Times New Roman"/>
          <w:color w:val="000000"/>
          <w:sz w:val="16"/>
          <w:szCs w:val="22"/>
          <w:lang w:val="en-GB"/>
        </w:rPr>
        <w:br/>
        <w:t>need for impairment is no longer present. The carrying amount of an item of property, plant and equipment is derecognised from the balance</w:t>
      </w:r>
      <w:r w:rsidRPr="009C48DA">
        <w:rPr>
          <w:rFonts w:eastAsia="Times New Roman" w:cs="Times New Roman"/>
          <w:color w:val="000000"/>
          <w:sz w:val="16"/>
          <w:szCs w:val="22"/>
          <w:lang w:val="en-GB"/>
        </w:rPr>
        <w:br/>
        <w:t>sheet at disposal or when no future economic benefits are expected from the use or disposal of the asset. The depreciation is included within ‘Depreciation and Amortisation’ within the Income Statement.</w:t>
      </w:r>
    </w:p>
    <w:p w:rsidRPr="009C48DA" w:rsidR="00661519" w:rsidP="00661519" w:rsidRDefault="00661519" w14:paraId="270301EC" w14:textId="77777777">
      <w:pPr>
        <w:jc w:val="both"/>
        <w:textAlignment w:val="baseline"/>
        <w:rPr>
          <w:rFonts w:eastAsia="Times New Roman" w:cs="Times New Roman"/>
          <w:color w:val="000000"/>
          <w:sz w:val="16"/>
          <w:szCs w:val="22"/>
          <w:lang w:val="en-GB"/>
        </w:rPr>
      </w:pPr>
    </w:p>
    <w:p w:rsidRPr="009C48DA" w:rsidR="00661519" w:rsidP="00661519" w:rsidRDefault="00661519" w14:paraId="396D9493" w14:textId="77777777">
      <w:pPr>
        <w:jc w:val="both"/>
        <w:textAlignment w:val="baseline"/>
        <w:rPr>
          <w:rFonts w:eastAsia="Times New Roman" w:cs="Times New Roman"/>
          <w:color w:val="000000"/>
          <w:sz w:val="16"/>
          <w:szCs w:val="22"/>
          <w:lang w:val="en-GB"/>
        </w:rPr>
      </w:pPr>
    </w:p>
    <w:p w:rsidRPr="009C48DA" w:rsidR="00661519" w:rsidP="00661519" w:rsidRDefault="00661519" w14:paraId="3BE99D13"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(m)</w:t>
      </w:r>
      <w:r w:rsidRPr="009C48DA">
        <w:rPr>
          <w:rFonts w:eastAsia="Times New Roman" w:cs="Times New Roman"/>
          <w:b/>
          <w:color w:val="000000"/>
          <w:sz w:val="16"/>
          <w:szCs w:val="22"/>
          <w:lang w:val="en-GB"/>
        </w:rPr>
        <w:tab/>
        <w:t>Intangible assets</w:t>
      </w:r>
    </w:p>
    <w:p w:rsidRPr="009C48DA" w:rsidR="00661519" w:rsidP="00661519" w:rsidRDefault="00661519" w14:paraId="0C3BBB4C" w14:textId="77777777">
      <w:pPr>
        <w:jc w:val="both"/>
        <w:textAlignment w:val="baseline"/>
        <w:rPr>
          <w:rFonts w:eastAsia="Times New Roman" w:cs="Times New Roman"/>
          <w:color w:val="000000"/>
          <w:sz w:val="16"/>
          <w:szCs w:val="22"/>
          <w:lang w:val="en-GB"/>
        </w:rPr>
      </w:pPr>
    </w:p>
    <w:p w:rsidRPr="009C48DA" w:rsidR="00661519" w:rsidP="00661519" w:rsidRDefault="00661519" w14:paraId="6A8CFA78"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Intangible assets, which constitute acquired customer relationship assets acquired from a business combination, are stated at cost less </w:t>
      </w:r>
      <w:r w:rsidRPr="009C48DA">
        <w:rPr>
          <w:rFonts w:eastAsia="Times New Roman" w:cs="Times New Roman"/>
          <w:color w:val="000000"/>
          <w:sz w:val="16"/>
          <w:szCs w:val="22"/>
          <w:lang w:val="en-GB"/>
        </w:rPr>
        <w:br/>
        <w:t>accumulated amortisation and accumulated impairment losses.</w:t>
      </w:r>
    </w:p>
    <w:p w:rsidRPr="009C48DA" w:rsidR="00661519" w:rsidP="00661519" w:rsidRDefault="00661519" w14:paraId="3D71BFB6" w14:textId="77777777">
      <w:pPr>
        <w:spacing w:before="177" w:line="188" w:lineRule="exact"/>
        <w:textAlignment w:val="baseline"/>
        <w:rPr>
          <w:rFonts w:eastAsia="Times New Roman"/>
          <w:color w:val="000000"/>
          <w:sz w:val="16"/>
          <w:lang w:val="en-GB"/>
        </w:rPr>
      </w:pPr>
      <w:r w:rsidRPr="009C48DA">
        <w:rPr>
          <w:rFonts w:eastAsia="Times New Roman"/>
          <w:color w:val="000000"/>
          <w:sz w:val="16"/>
          <w:lang w:val="en-GB"/>
        </w:rPr>
        <w:t>Intangible assets are annually assessed for impairment when there are indicators of impairment.</w:t>
      </w:r>
    </w:p>
    <w:p w:rsidRPr="009C48DA" w:rsidR="00661519" w:rsidP="00661519" w:rsidRDefault="00661519" w14:paraId="4FD47518" w14:textId="77777777">
      <w:pPr>
        <w:jc w:val="both"/>
        <w:textAlignment w:val="baseline"/>
        <w:rPr>
          <w:rFonts w:eastAsia="Times New Roman" w:cs="Times New Roman"/>
          <w:color w:val="000000"/>
          <w:sz w:val="16"/>
          <w:szCs w:val="22"/>
          <w:lang w:val="en-GB"/>
        </w:rPr>
      </w:pPr>
    </w:p>
    <w:p w:rsidRPr="009C48DA" w:rsidR="00661519" w:rsidP="00661519" w:rsidRDefault="00661519" w14:paraId="249CFA9A"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Amortisation is calculated, using the straight-line method, to allocate the depreciable amount of the assets to their residual values over their estimate useful lives. The amortisation is included within ‘Depreciation and Amortisation’ within the Income Statement.</w:t>
      </w:r>
    </w:p>
    <w:p w:rsidRPr="009C48DA" w:rsidR="00661519" w:rsidP="00661519" w:rsidRDefault="00661519" w14:paraId="3546BA77" w14:textId="77777777">
      <w:pPr>
        <w:tabs>
          <w:tab w:val="left" w:pos="504"/>
        </w:tabs>
        <w:textAlignment w:val="baseline"/>
        <w:rPr>
          <w:rFonts w:eastAsia="Times New Roman" w:cs="Times New Roman"/>
          <w:b/>
          <w:color w:val="000000"/>
          <w:sz w:val="16"/>
          <w:szCs w:val="22"/>
          <w:lang w:val="en-GB"/>
        </w:rPr>
      </w:pPr>
    </w:p>
    <w:p w:rsidRPr="009C48DA" w:rsidR="00661519" w:rsidP="00661519" w:rsidRDefault="00661519" w14:paraId="756C3CDF" w14:textId="77777777">
      <w:pPr>
        <w:tabs>
          <w:tab w:val="left" w:pos="504"/>
        </w:tabs>
        <w:textAlignment w:val="baseline"/>
        <w:rPr>
          <w:rFonts w:eastAsia="Times New Roman" w:cs="Times New Roman"/>
          <w:b/>
          <w:color w:val="000000"/>
          <w:sz w:val="16"/>
          <w:szCs w:val="22"/>
          <w:lang w:val="en-GB"/>
        </w:rPr>
      </w:pPr>
    </w:p>
    <w:p w:rsidRPr="009C48DA" w:rsidR="00661519" w:rsidP="00661519" w:rsidRDefault="00661519" w14:paraId="54682874"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(n)</w:t>
      </w:r>
      <w:r w:rsidRPr="009C48DA">
        <w:rPr>
          <w:rFonts w:eastAsia="Times New Roman" w:cs="Times New Roman"/>
          <w:b/>
          <w:color w:val="000000"/>
          <w:sz w:val="16"/>
          <w:szCs w:val="22"/>
          <w:lang w:val="en-GB"/>
        </w:rPr>
        <w:tab/>
        <w:t>Business combinations and goodwill</w:t>
      </w:r>
    </w:p>
    <w:p w:rsidRPr="009C48DA" w:rsidR="00661519" w:rsidP="00661519" w:rsidRDefault="00661519" w14:paraId="3AE4C448" w14:textId="77777777">
      <w:pPr>
        <w:spacing w:before="116" w:line="182" w:lineRule="exact"/>
        <w:jc w:val="both"/>
        <w:textAlignment w:val="baseline"/>
        <w:rPr>
          <w:rFonts w:eastAsia="Times New Roman"/>
          <w:color w:val="000000"/>
          <w:sz w:val="16"/>
          <w:lang w:val="en-GB"/>
        </w:rPr>
      </w:pPr>
      <w:r w:rsidRPr="009C48DA">
        <w:rPr>
          <w:rFonts w:eastAsia="Times New Roman"/>
          <w:color w:val="000000"/>
          <w:sz w:val="16"/>
          <w:lang w:val="en-GB"/>
        </w:rPr>
        <w:t xml:space="preserve">Business combinations of subsidiaries and businesses are accounted for by applying the acquisition method. The cost of a business </w:t>
      </w:r>
      <w:r w:rsidRPr="009C48DA">
        <w:rPr>
          <w:rFonts w:eastAsia="Times New Roman"/>
          <w:color w:val="000000"/>
          <w:sz w:val="16"/>
          <w:lang w:val="en-GB"/>
        </w:rPr>
        <w:br/>
        <w:t xml:space="preserve">combination is the fair value of the consideration given, liabilities incurred or assumed and of equity instruments issued. Costs attributable to </w:t>
      </w:r>
      <w:r w:rsidRPr="009C48DA">
        <w:rPr>
          <w:rFonts w:eastAsia="Times New Roman"/>
          <w:color w:val="000000"/>
          <w:sz w:val="16"/>
          <w:lang w:val="en-GB"/>
        </w:rPr>
        <w:br/>
        <w:t xml:space="preserve">the business combination are expensed in the Income Statement. Where control is achieved in stages the cost is the consideration at the date </w:t>
      </w:r>
      <w:r w:rsidRPr="009C48DA">
        <w:rPr>
          <w:rFonts w:eastAsia="Times New Roman"/>
          <w:color w:val="000000"/>
          <w:sz w:val="16"/>
          <w:lang w:val="en-GB"/>
        </w:rPr>
        <w:br/>
        <w:t>of each transaction.</w:t>
      </w:r>
    </w:p>
    <w:p w:rsidRPr="009C48DA" w:rsidR="00661519" w:rsidP="00661519" w:rsidRDefault="00661519" w14:paraId="754AC556" w14:textId="77777777">
      <w:pPr>
        <w:spacing w:before="97" w:line="187" w:lineRule="exact"/>
        <w:jc w:val="both"/>
        <w:textAlignment w:val="baseline"/>
        <w:rPr>
          <w:rFonts w:eastAsia="Times New Roman"/>
          <w:color w:val="000000"/>
          <w:sz w:val="16"/>
          <w:lang w:val="en-GB"/>
        </w:rPr>
      </w:pPr>
      <w:r w:rsidRPr="009C48DA">
        <w:rPr>
          <w:rFonts w:eastAsia="Times New Roman"/>
          <w:color w:val="000000"/>
          <w:sz w:val="16"/>
          <w:lang w:val="en-GB"/>
        </w:rPr>
        <w:t xml:space="preserve">On acquisition of a business, fair values are attributed to the identifiable assets, liabilities and contingent liabilities. Intangible assets are only recognised separately from goodwill where they are separable and arise from contractual or other legal rights. Where the fair value of </w:t>
      </w:r>
      <w:r w:rsidRPr="009C48DA">
        <w:rPr>
          <w:rFonts w:eastAsia="Times New Roman"/>
          <w:color w:val="000000"/>
          <w:sz w:val="16"/>
          <w:lang w:val="en-GB"/>
        </w:rPr>
        <w:br/>
        <w:t>contingent liabilities cannot be reliably measured they are disclosed on the same basis as other contingent liabilities.</w:t>
      </w:r>
    </w:p>
    <w:p w:rsidRPr="009C48DA" w:rsidR="00661519" w:rsidP="00661519" w:rsidRDefault="00661519" w14:paraId="50816383" w14:textId="77777777">
      <w:pPr>
        <w:spacing w:before="100" w:line="183" w:lineRule="exact"/>
        <w:jc w:val="both"/>
        <w:textAlignment w:val="baseline"/>
        <w:rPr>
          <w:rFonts w:eastAsia="Times New Roman"/>
          <w:color w:val="000000"/>
          <w:sz w:val="16"/>
          <w:lang w:val="en-GB"/>
        </w:rPr>
      </w:pPr>
      <w:r w:rsidRPr="009C48DA">
        <w:rPr>
          <w:rFonts w:eastAsia="Times New Roman"/>
          <w:color w:val="000000"/>
          <w:sz w:val="16"/>
          <w:lang w:val="en-GB"/>
        </w:rPr>
        <w:t xml:space="preserve">Contingent consideration is recognised at the acquisition date. It is classified as a financial liability and subsequently remeasured to fair </w:t>
      </w:r>
      <w:r w:rsidRPr="009C48DA">
        <w:rPr>
          <w:rFonts w:eastAsia="Times New Roman"/>
          <w:color w:val="000000"/>
          <w:sz w:val="16"/>
          <w:lang w:val="en-GB"/>
        </w:rPr>
        <w:br/>
        <w:t>value, with changes in fair value recognised in the Income Statement.</w:t>
      </w:r>
    </w:p>
    <w:p w:rsidRPr="009C48DA" w:rsidR="00661519" w:rsidP="00661519" w:rsidRDefault="00661519" w14:paraId="0ED36864" w14:textId="77777777">
      <w:pPr>
        <w:spacing w:before="101" w:line="182" w:lineRule="exact"/>
        <w:jc w:val="both"/>
        <w:textAlignment w:val="baseline"/>
        <w:rPr>
          <w:rFonts w:eastAsia="Times New Roman"/>
          <w:color w:val="000000"/>
          <w:sz w:val="16"/>
          <w:lang w:val="en-GB"/>
        </w:rPr>
      </w:pPr>
      <w:r w:rsidRPr="009C48DA">
        <w:rPr>
          <w:rFonts w:eastAsia="Times New Roman"/>
          <w:color w:val="000000"/>
          <w:sz w:val="16"/>
          <w:lang w:val="en-GB"/>
        </w:rPr>
        <w:t>Goodwill recognised represents the excess of the fair value of the purchase consideration over the fair values to the group’s interest in the identifiable net assets, liabilities and contingent liabilities acquired.</w:t>
      </w:r>
    </w:p>
    <w:p w:rsidRPr="009C48DA" w:rsidR="00661519" w:rsidP="00661519" w:rsidRDefault="00661519" w14:paraId="5F5888F6" w14:textId="77777777">
      <w:pPr>
        <w:spacing w:before="107" w:line="182" w:lineRule="exact"/>
        <w:jc w:val="both"/>
        <w:textAlignment w:val="baseline"/>
        <w:rPr>
          <w:rFonts w:eastAsia="Times New Roman"/>
          <w:color w:val="000000"/>
          <w:sz w:val="16"/>
          <w:lang w:val="en-GB"/>
        </w:rPr>
      </w:pPr>
      <w:r w:rsidRPr="009C48DA">
        <w:rPr>
          <w:rFonts w:eastAsia="Times New Roman"/>
          <w:color w:val="000000"/>
          <w:sz w:val="16"/>
          <w:lang w:val="en-GB"/>
        </w:rPr>
        <w:t xml:space="preserve">Goodwill is assessed for impairment annually or more frequently if events or changes in circumstances indicate potential impairment loss. </w:t>
      </w:r>
      <w:r w:rsidRPr="009C48DA">
        <w:rPr>
          <w:rFonts w:eastAsia="Times New Roman"/>
          <w:color w:val="000000"/>
          <w:sz w:val="16"/>
          <w:lang w:val="en-GB"/>
        </w:rPr>
        <w:br/>
        <w:t xml:space="preserve">Any identified impairment is charged to the income statement. No reversals of impairment are recognised. Intangible assets are annually </w:t>
      </w:r>
      <w:r w:rsidRPr="009C48DA">
        <w:rPr>
          <w:rFonts w:eastAsia="Times New Roman"/>
          <w:color w:val="000000"/>
          <w:sz w:val="16"/>
          <w:lang w:val="en-GB"/>
        </w:rPr>
        <w:br/>
        <w:t xml:space="preserve">assessed for impairment when there are indicators of impairment. Impairment triggers could include the loss of a fund management contract </w:t>
      </w:r>
      <w:r w:rsidRPr="009C48DA">
        <w:rPr>
          <w:rFonts w:eastAsia="Times New Roman"/>
          <w:color w:val="000000"/>
          <w:sz w:val="16"/>
          <w:lang w:val="en-GB"/>
        </w:rPr>
        <w:br/>
        <w:t>or a failure to raise a new fund.</w:t>
      </w:r>
    </w:p>
    <w:p w:rsidRPr="009C48DA" w:rsidR="00661519" w:rsidP="00661519" w:rsidRDefault="00661519" w14:paraId="628B2DE4" w14:textId="77777777">
      <w:pPr>
        <w:jc w:val="both"/>
        <w:textAlignment w:val="baseline"/>
        <w:rPr>
          <w:rFonts w:eastAsia="Times New Roman" w:cs="Times New Roman"/>
          <w:color w:val="000000"/>
          <w:sz w:val="16"/>
          <w:szCs w:val="22"/>
          <w:lang w:val="en-GB"/>
        </w:rPr>
      </w:pPr>
    </w:p>
    <w:p w:rsidRPr="009C48DA" w:rsidR="00661519" w:rsidP="00661519" w:rsidRDefault="00661519" w14:paraId="106C6C95" w14:textId="77777777">
      <w:pPr>
        <w:jc w:val="both"/>
        <w:textAlignment w:val="baseline"/>
        <w:rPr>
          <w:rFonts w:eastAsia="Times New Roman" w:cs="Times New Roman"/>
          <w:color w:val="000000"/>
          <w:sz w:val="16"/>
          <w:szCs w:val="22"/>
          <w:lang w:val="en-GB"/>
        </w:rPr>
      </w:pPr>
    </w:p>
    <w:p w:rsidRPr="009C48DA" w:rsidR="00661519" w:rsidP="00661519" w:rsidRDefault="00661519" w14:paraId="2A8E410F" w14:textId="77777777">
      <w:pPr>
        <w:rPr>
          <w:rFonts w:eastAsia="Times New Roman" w:cs="Times New Roman"/>
          <w:b/>
          <w:color w:val="000000"/>
          <w:sz w:val="16"/>
          <w:szCs w:val="22"/>
          <w:lang w:val="en-GB"/>
        </w:rPr>
      </w:pPr>
      <w:r w:rsidRPr="009C48DA">
        <w:rPr>
          <w:rFonts w:eastAsia="Times New Roman" w:cs="Times New Roman"/>
          <w:b/>
          <w:color w:val="000000"/>
          <w:sz w:val="16"/>
          <w:szCs w:val="22"/>
          <w:lang w:val="en-GB"/>
        </w:rPr>
        <w:t>(o)</w:t>
      </w:r>
      <w:r w:rsidRPr="009C48DA">
        <w:rPr>
          <w:rFonts w:eastAsia="Times New Roman" w:cs="Times New Roman"/>
          <w:b/>
          <w:color w:val="000000"/>
          <w:sz w:val="16"/>
          <w:szCs w:val="22"/>
          <w:lang w:val="en-GB"/>
        </w:rPr>
        <w:tab/>
        <w:t>Financial instruments</w:t>
      </w:r>
    </w:p>
    <w:p w:rsidRPr="009C48DA" w:rsidR="00661519" w:rsidP="00661519" w:rsidRDefault="00661519" w14:paraId="2E62A761" w14:textId="77777777">
      <w:pPr>
        <w:tabs>
          <w:tab w:val="left" w:pos="432"/>
        </w:tabs>
        <w:textAlignment w:val="baseline"/>
        <w:rPr>
          <w:rFonts w:eastAsia="Times New Roman" w:cs="Times New Roman"/>
          <w:b/>
          <w:color w:val="000000"/>
          <w:sz w:val="12"/>
          <w:szCs w:val="12"/>
          <w:lang w:val="en-GB"/>
        </w:rPr>
      </w:pPr>
    </w:p>
    <w:p w:rsidRPr="009C48DA" w:rsidR="00661519" w:rsidP="00661519" w:rsidRDefault="00661519" w14:paraId="19BC004B" w14:textId="77777777">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 xml:space="preserve">Financial assets </w:t>
      </w:r>
    </w:p>
    <w:p w:rsidRPr="009C48DA" w:rsidR="00661519" w:rsidP="00661519" w:rsidRDefault="00661519" w14:paraId="5C63FEBB"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Group’s financial assets consist of investments in funds, investments made by Collateralised Loan Obligations (“CLOs”) consolidated </w:t>
      </w:r>
      <w:r w:rsidRPr="009C48DA">
        <w:rPr>
          <w:rFonts w:eastAsia="Times New Roman" w:cs="Times New Roman"/>
          <w:color w:val="000000"/>
          <w:sz w:val="16"/>
          <w:szCs w:val="22"/>
          <w:lang w:val="en-GB"/>
        </w:rPr>
        <w:br/>
        <w:t>by the Group, accounts receivable and other receivables and cash and cash equivalents.</w:t>
      </w:r>
    </w:p>
    <w:p w:rsidRPr="009C48DA" w:rsidR="00661519" w:rsidP="00661519" w:rsidRDefault="00661519" w14:paraId="033042B3" w14:textId="77777777">
      <w:pPr>
        <w:textAlignment w:val="baseline"/>
        <w:rPr>
          <w:rFonts w:eastAsia="Times New Roman" w:cs="Times New Roman"/>
          <w:color w:val="000000"/>
          <w:sz w:val="16"/>
          <w:szCs w:val="22"/>
          <w:lang w:val="en-GB"/>
        </w:rPr>
      </w:pPr>
    </w:p>
    <w:p w:rsidRPr="009C48DA" w:rsidR="00661519" w:rsidP="00661519" w:rsidRDefault="00661519" w14:paraId="6D7B7CAE" w14:textId="77777777">
      <w:pPr>
        <w:textAlignment w:val="baseline"/>
        <w:rPr>
          <w:rFonts w:eastAsia="Times New Roman"/>
          <w:b/>
          <w:i/>
          <w:color w:val="000000"/>
          <w:spacing w:val="-3"/>
          <w:sz w:val="16"/>
          <w:szCs w:val="16"/>
          <w:lang w:val="en-GB"/>
        </w:rPr>
      </w:pPr>
      <w:r w:rsidRPr="009C48DA">
        <w:rPr>
          <w:rFonts w:eastAsia="Times New Roman"/>
          <w:b/>
          <w:i/>
          <w:color w:val="000000"/>
          <w:spacing w:val="-3"/>
          <w:sz w:val="16"/>
          <w:szCs w:val="16"/>
          <w:lang w:val="en-GB"/>
        </w:rPr>
        <w:t>Recognition</w:t>
      </w:r>
    </w:p>
    <w:p w:rsidRPr="009C48DA" w:rsidR="00661519" w:rsidP="00661519" w:rsidRDefault="00661519" w14:paraId="356B0D22" w14:textId="77777777">
      <w:pPr>
        <w:spacing w:before="18" w:after="199" w:line="188" w:lineRule="exact"/>
        <w:textAlignment w:val="baseline"/>
        <w:rPr>
          <w:rFonts w:eastAsia="Times New Roman"/>
          <w:color w:val="000000"/>
          <w:sz w:val="16"/>
          <w:lang w:val="en-GB"/>
        </w:rPr>
      </w:pPr>
      <w:r w:rsidRPr="009C48DA">
        <w:rPr>
          <w:rFonts w:eastAsia="Times New Roman"/>
          <w:color w:val="000000"/>
          <w:sz w:val="16"/>
          <w:lang w:val="en-GB"/>
        </w:rPr>
        <w:t>A financial asset is recognised when the Group becomes party to the contractual provisions of the instrument.</w:t>
      </w:r>
    </w:p>
    <w:p w:rsidRPr="009C48DA" w:rsidR="00661519" w:rsidP="00661519" w:rsidRDefault="00661519" w14:paraId="66E3ADBC" w14:textId="77777777">
      <w:pPr>
        <w:textAlignment w:val="baseline"/>
        <w:rPr>
          <w:rFonts w:eastAsia="Times New Roman" w:cs="Times New Roman"/>
          <w:b/>
          <w:i/>
          <w:color w:val="000000"/>
          <w:sz w:val="16"/>
          <w:szCs w:val="16"/>
          <w:lang w:val="en-GB"/>
        </w:rPr>
      </w:pPr>
      <w:r w:rsidRPr="009C48DA">
        <w:rPr>
          <w:rFonts w:eastAsia="Times New Roman" w:cs="Times New Roman"/>
          <w:b/>
          <w:i/>
          <w:color w:val="000000"/>
          <w:sz w:val="16"/>
          <w:szCs w:val="16"/>
          <w:lang w:val="en-GB"/>
        </w:rPr>
        <w:t>Classification and measurement</w:t>
      </w:r>
    </w:p>
    <w:p w:rsidRPr="009C48DA" w:rsidR="00661519" w:rsidP="00661519" w:rsidRDefault="00661519" w14:paraId="478D0413"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A financial asset is initially classified into one of three measurement categories. The classification depends on how the asset is managed (business model) and the characteristics of the assets contractual cash flows. The measurement categories for financial assets are as follows:</w:t>
      </w:r>
    </w:p>
    <w:p w:rsidRPr="009C48DA" w:rsidR="00661519" w:rsidP="00661519" w:rsidRDefault="00661519" w14:paraId="07E233A2" w14:textId="77777777">
      <w:pPr>
        <w:rPr>
          <w:rFonts w:eastAsia="Times New Roman" w:cs="Times New Roman"/>
          <w:color w:val="000000"/>
          <w:sz w:val="12"/>
          <w:szCs w:val="12"/>
          <w:lang w:val="en-GB"/>
        </w:rPr>
      </w:pPr>
      <w:r w:rsidRPr="009C48DA">
        <w:rPr>
          <w:rFonts w:eastAsia="Times New Roman" w:cs="Times New Roman"/>
          <w:color w:val="000000"/>
          <w:sz w:val="12"/>
          <w:szCs w:val="12"/>
          <w:lang w:val="en-GB"/>
        </w:rPr>
        <w:br w:type="page"/>
      </w:r>
    </w:p>
    <w:p w:rsidRPr="009C48DA" w:rsidR="00661519" w:rsidP="00661519" w:rsidRDefault="00661519" w14:paraId="0BE38274" w14:textId="77777777">
      <w:pPr>
        <w:numPr>
          <w:ilvl w:val="0"/>
          <w:numId w:val="34"/>
        </w:numPr>
        <w:spacing w:after="40"/>
        <w:ind w:left="288" w:hanging="288"/>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lastRenderedPageBreak/>
        <w:t>Fair value through profit or loss</w:t>
      </w:r>
    </w:p>
    <w:p w:rsidRPr="009C48DA" w:rsidR="00661519" w:rsidP="00661519" w:rsidRDefault="00661519" w14:paraId="32106340" w14:textId="77777777">
      <w:pPr>
        <w:numPr>
          <w:ilvl w:val="0"/>
          <w:numId w:val="34"/>
        </w:numPr>
        <w:spacing w:after="40"/>
        <w:ind w:left="288" w:hanging="288"/>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Fair value through other comprehensive income</w:t>
      </w:r>
    </w:p>
    <w:p w:rsidRPr="009C48DA" w:rsidR="00661519" w:rsidP="00661519" w:rsidRDefault="00661519" w14:paraId="39BC5030" w14:textId="77777777">
      <w:pPr>
        <w:numPr>
          <w:ilvl w:val="0"/>
          <w:numId w:val="34"/>
        </w:numPr>
        <w:ind w:left="288" w:hanging="288"/>
        <w:textAlignment w:val="baseline"/>
        <w:rPr>
          <w:rFonts w:eastAsia="Times New Roman"/>
          <w:color w:val="000000"/>
          <w:sz w:val="16"/>
          <w:lang w:val="en-GB"/>
        </w:rPr>
      </w:pPr>
      <w:r w:rsidRPr="009C48DA">
        <w:rPr>
          <w:rFonts w:eastAsia="Times New Roman" w:cs="Times New Roman"/>
          <w:color w:val="000000"/>
          <w:sz w:val="16"/>
          <w:szCs w:val="22"/>
          <w:lang w:val="en-GB"/>
        </w:rPr>
        <w:t>Amortised cost</w:t>
      </w:r>
    </w:p>
    <w:p w:rsidRPr="009C48DA" w:rsidR="00661519" w:rsidP="00661519" w:rsidRDefault="00661519" w14:paraId="085D1549" w14:textId="77777777">
      <w:pPr>
        <w:spacing w:before="98" w:line="185" w:lineRule="exact"/>
        <w:jc w:val="both"/>
        <w:textAlignment w:val="baseline"/>
        <w:rPr>
          <w:rFonts w:eastAsia="Times New Roman"/>
          <w:color w:val="000000"/>
          <w:sz w:val="16"/>
          <w:lang w:val="en-GB"/>
        </w:rPr>
      </w:pPr>
      <w:r w:rsidRPr="009C48DA">
        <w:rPr>
          <w:rFonts w:eastAsia="Times New Roman"/>
          <w:color w:val="000000"/>
          <w:sz w:val="16"/>
          <w:lang w:val="en-GB"/>
        </w:rPr>
        <w:t xml:space="preserve">Financial assets must be measured through profit and loss unless they are measured at amortised cost or through other comprehensive </w:t>
      </w:r>
      <w:r w:rsidRPr="009C48DA">
        <w:rPr>
          <w:rFonts w:eastAsia="Times New Roman"/>
          <w:color w:val="000000"/>
          <w:sz w:val="16"/>
          <w:lang w:val="en-GB"/>
        </w:rPr>
        <w:br/>
        <w:t xml:space="preserve">income. The Group’s investments in funds and investments in CLOs are measured at fair value through profit and loss such as assets held </w:t>
      </w:r>
      <w:r w:rsidRPr="009C48DA">
        <w:rPr>
          <w:rFonts w:eastAsia="Times New Roman"/>
          <w:color w:val="000000"/>
          <w:sz w:val="16"/>
          <w:lang w:val="en-GB"/>
        </w:rPr>
        <w:br/>
        <w:t>for investment returns.</w:t>
      </w:r>
    </w:p>
    <w:p w:rsidRPr="009C48DA" w:rsidR="00661519" w:rsidP="00661519" w:rsidRDefault="00661519" w14:paraId="76064ECF" w14:textId="77777777">
      <w:pPr>
        <w:spacing w:before="100" w:line="184" w:lineRule="exact"/>
        <w:jc w:val="both"/>
        <w:textAlignment w:val="baseline"/>
        <w:rPr>
          <w:rFonts w:eastAsia="Times New Roman"/>
          <w:color w:val="000000"/>
          <w:spacing w:val="1"/>
          <w:sz w:val="16"/>
          <w:lang w:val="en-GB"/>
        </w:rPr>
      </w:pPr>
      <w:r w:rsidRPr="009C48DA">
        <w:rPr>
          <w:rFonts w:eastAsia="Times New Roman"/>
          <w:color w:val="000000"/>
          <w:spacing w:val="1"/>
          <w:sz w:val="16"/>
          <w:lang w:val="en-GB"/>
        </w:rPr>
        <w:t xml:space="preserve">Financial assets measured at fair value through other comprehensive income include derivative instruments used for hedging foreign </w:t>
      </w:r>
      <w:r w:rsidRPr="009C48DA">
        <w:rPr>
          <w:rFonts w:eastAsia="Times New Roman"/>
          <w:color w:val="000000"/>
          <w:spacing w:val="1"/>
          <w:sz w:val="16"/>
          <w:lang w:val="en-GB"/>
        </w:rPr>
        <w:br/>
        <w:t xml:space="preserve">exchange, that qualify for hedge accounting. Derivatives that do not qualify for hedge accounting are measured at fair value though profit </w:t>
      </w:r>
      <w:r w:rsidRPr="009C48DA">
        <w:rPr>
          <w:rFonts w:eastAsia="Times New Roman"/>
          <w:color w:val="000000"/>
          <w:spacing w:val="1"/>
          <w:sz w:val="16"/>
          <w:lang w:val="en-GB"/>
        </w:rPr>
        <w:br/>
        <w:t>and loss.</w:t>
      </w:r>
    </w:p>
    <w:p w:rsidRPr="009C48DA" w:rsidR="00661519" w:rsidP="00661519" w:rsidRDefault="00661519" w14:paraId="6B0A4B5D" w14:textId="77777777">
      <w:pPr>
        <w:spacing w:before="100" w:line="188" w:lineRule="exact"/>
        <w:textAlignment w:val="baseline"/>
        <w:rPr>
          <w:rFonts w:eastAsia="Times New Roman"/>
          <w:color w:val="000000"/>
          <w:sz w:val="16"/>
          <w:lang w:val="en-GB"/>
        </w:rPr>
      </w:pPr>
      <w:r w:rsidRPr="009C48DA">
        <w:rPr>
          <w:rFonts w:eastAsia="Times New Roman"/>
          <w:color w:val="000000"/>
          <w:sz w:val="16"/>
          <w:lang w:val="en-GB"/>
        </w:rPr>
        <w:t>Financial assets are measured at amortised cost only if both of the following criteria are met:</w:t>
      </w:r>
    </w:p>
    <w:p w:rsidRPr="009C48DA" w:rsidR="00661519" w:rsidP="00661519" w:rsidRDefault="00661519" w14:paraId="04FA2BD8" w14:textId="77777777">
      <w:pPr>
        <w:numPr>
          <w:ilvl w:val="0"/>
          <w:numId w:val="34"/>
        </w:numPr>
        <w:tabs>
          <w:tab w:val="left" w:pos="1140"/>
        </w:tabs>
        <w:spacing w:after="40"/>
        <w:ind w:left="1440" w:hanging="1440"/>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the asset is held within a business model whose objective is to collect the contractual cash flows, and</w:t>
      </w:r>
    </w:p>
    <w:p w:rsidRPr="009C48DA" w:rsidR="00661519" w:rsidP="00661519" w:rsidRDefault="00661519" w14:paraId="0C70B718" w14:textId="77777777">
      <w:pPr>
        <w:numPr>
          <w:ilvl w:val="0"/>
          <w:numId w:val="34"/>
        </w:numPr>
        <w:tabs>
          <w:tab w:val="left" w:pos="1140"/>
        </w:tabs>
        <w:spacing w:after="40"/>
        <w:ind w:left="1440" w:hanging="1440"/>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the contractual terms give rise to cash flows that are solely payments of principal and interest on the principal amount outstanding.</w:t>
      </w:r>
    </w:p>
    <w:p w:rsidRPr="009C48DA" w:rsidR="00661519" w:rsidP="00661519" w:rsidRDefault="00661519" w14:paraId="5B2CBAFB" w14:textId="77777777">
      <w:pPr>
        <w:spacing w:before="278" w:line="185" w:lineRule="exact"/>
        <w:jc w:val="both"/>
        <w:textAlignment w:val="baseline"/>
        <w:rPr>
          <w:rFonts w:eastAsia="Times New Roman"/>
          <w:color w:val="000000"/>
          <w:spacing w:val="1"/>
          <w:sz w:val="16"/>
          <w:lang w:val="en-GB"/>
        </w:rPr>
      </w:pPr>
      <w:r w:rsidRPr="009C48DA">
        <w:rPr>
          <w:rFonts w:eastAsia="Times New Roman"/>
          <w:color w:val="000000"/>
          <w:spacing w:val="1"/>
          <w:sz w:val="16"/>
          <w:lang w:val="en-GB"/>
        </w:rPr>
        <w:t xml:space="preserve">The Group’s trade and other receivables are recognised initially measured at transaction cost. They are short-term receivables/payables </w:t>
      </w:r>
      <w:r w:rsidRPr="009C48DA">
        <w:rPr>
          <w:rFonts w:eastAsia="Times New Roman"/>
          <w:color w:val="000000"/>
          <w:spacing w:val="1"/>
          <w:sz w:val="16"/>
          <w:lang w:val="en-GB"/>
        </w:rPr>
        <w:br/>
        <w:t>relating to non-financing transactions and are therefore subsequently measured at amortised cost using the effective interest method less loss allowance.</w:t>
      </w:r>
    </w:p>
    <w:p w:rsidRPr="009C48DA" w:rsidR="00661519" w:rsidP="00661519" w:rsidRDefault="00661519" w14:paraId="5E0E0FEA" w14:textId="77777777">
      <w:pPr>
        <w:spacing w:before="186" w:line="183" w:lineRule="exact"/>
        <w:jc w:val="both"/>
        <w:textAlignment w:val="baseline"/>
        <w:rPr>
          <w:rFonts w:eastAsia="Times New Roman"/>
          <w:color w:val="000000"/>
          <w:sz w:val="16"/>
          <w:lang w:val="en-GB"/>
        </w:rPr>
      </w:pPr>
      <w:r w:rsidRPr="009C48DA">
        <w:rPr>
          <w:rFonts w:eastAsia="Times New Roman"/>
          <w:color w:val="000000"/>
          <w:sz w:val="16"/>
          <w:lang w:val="en-GB"/>
        </w:rPr>
        <w:t xml:space="preserve">Receivables due in greater that one year are initially discounted to their present value using an equivalent rate of interest that would be due </w:t>
      </w:r>
      <w:r w:rsidRPr="009C48DA">
        <w:rPr>
          <w:rFonts w:eastAsia="Times New Roman"/>
          <w:color w:val="000000"/>
          <w:sz w:val="16"/>
          <w:lang w:val="en-GB"/>
        </w:rPr>
        <w:br/>
        <w:t>on borrowings. The discount is released over time to the Income Statement.</w:t>
      </w:r>
    </w:p>
    <w:p w:rsidRPr="009C48DA" w:rsidR="00661519" w:rsidP="00661519" w:rsidRDefault="00661519" w14:paraId="5C8570F4" w14:textId="77777777">
      <w:pPr>
        <w:jc w:val="both"/>
        <w:textAlignment w:val="baseline"/>
        <w:rPr>
          <w:rFonts w:eastAsia="Times New Roman" w:cs="Times New Roman"/>
          <w:color w:val="000000"/>
          <w:sz w:val="12"/>
          <w:szCs w:val="12"/>
          <w:lang w:val="en-GB"/>
        </w:rPr>
      </w:pPr>
    </w:p>
    <w:p w:rsidRPr="009C48DA" w:rsidR="00661519" w:rsidP="00661519" w:rsidRDefault="00661519" w14:paraId="064B1E88" w14:textId="77777777">
      <w:pPr>
        <w:textAlignment w:val="baseline"/>
        <w:rPr>
          <w:rFonts w:eastAsia="Times New Roman" w:cs="Times New Roman"/>
          <w:b/>
          <w:i/>
          <w:color w:val="000000"/>
          <w:sz w:val="16"/>
          <w:szCs w:val="16"/>
          <w:lang w:val="en-GB"/>
        </w:rPr>
      </w:pPr>
      <w:r w:rsidRPr="009C48DA">
        <w:rPr>
          <w:rFonts w:eastAsia="Times New Roman" w:cs="Times New Roman"/>
          <w:b/>
          <w:i/>
          <w:color w:val="000000"/>
          <w:sz w:val="16"/>
          <w:szCs w:val="16"/>
          <w:lang w:val="en-GB"/>
        </w:rPr>
        <w:t>Derecognition</w:t>
      </w:r>
    </w:p>
    <w:p w:rsidRPr="009C48DA" w:rsidR="00661519" w:rsidP="00661519" w:rsidRDefault="00661519" w14:paraId="0ADEEB60"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A financial asset is derecognised when the contractual rights to the cash flows from the asset expire, or when the Group transfers the rights </w:t>
      </w:r>
      <w:r w:rsidRPr="009C48DA">
        <w:rPr>
          <w:rFonts w:eastAsia="Times New Roman" w:cs="Times New Roman"/>
          <w:color w:val="000000"/>
          <w:sz w:val="16"/>
          <w:szCs w:val="22"/>
          <w:lang w:val="en-GB"/>
        </w:rPr>
        <w:br/>
        <w:t>to receive the contractual cash flows in a transaction in which substantially all the risks and rewards of ownership of the financial asset are transferred.</w:t>
      </w:r>
    </w:p>
    <w:p w:rsidRPr="009C48DA" w:rsidR="00661519" w:rsidP="00661519" w:rsidRDefault="00661519" w14:paraId="24F87C8C" w14:textId="77777777">
      <w:pPr>
        <w:textAlignment w:val="baseline"/>
        <w:rPr>
          <w:rFonts w:eastAsia="Times New Roman" w:cs="Times New Roman"/>
          <w:b/>
          <w:i/>
          <w:color w:val="000000"/>
          <w:sz w:val="12"/>
          <w:szCs w:val="12"/>
          <w:lang w:val="en-GB"/>
        </w:rPr>
      </w:pPr>
    </w:p>
    <w:p w:rsidRPr="009C48DA" w:rsidR="00661519" w:rsidP="00661519" w:rsidRDefault="00661519" w14:paraId="6BCEC2F3" w14:textId="77777777">
      <w:pPr>
        <w:textAlignment w:val="baseline"/>
        <w:rPr>
          <w:rFonts w:eastAsia="Times New Roman" w:cs="Times New Roman"/>
          <w:b/>
          <w:i/>
          <w:color w:val="000000"/>
          <w:sz w:val="16"/>
          <w:szCs w:val="16"/>
          <w:lang w:val="en-GB"/>
        </w:rPr>
      </w:pPr>
      <w:r w:rsidRPr="009C48DA">
        <w:rPr>
          <w:rFonts w:eastAsia="Times New Roman" w:cs="Times New Roman"/>
          <w:b/>
          <w:i/>
          <w:color w:val="000000"/>
          <w:sz w:val="16"/>
          <w:szCs w:val="16"/>
          <w:lang w:val="en-GB"/>
        </w:rPr>
        <w:t>Impairment</w:t>
      </w:r>
    </w:p>
    <w:p w:rsidRPr="009C48DA" w:rsidR="00661519" w:rsidP="00661519" w:rsidRDefault="00661519" w14:paraId="7619D80A"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Expected credit losses are calculated on financial assets measured at amortised cost and are recognised within the profit and loss account. </w:t>
      </w:r>
      <w:r w:rsidRPr="009C48DA">
        <w:rPr>
          <w:rFonts w:eastAsia="Times New Roman" w:cs="Times New Roman"/>
          <w:color w:val="000000"/>
          <w:sz w:val="16"/>
          <w:szCs w:val="16"/>
          <w:lang w:val="en-GB"/>
        </w:rPr>
        <w:br/>
        <w:t>For trade and other receivables, the Group applies the simplified approach and the practical expedient permitted by IFRS 9 “Financial Instruments” to apply a provision matrix that is based on its historic default rates over the expected life of the short-term receivables.</w:t>
      </w:r>
    </w:p>
    <w:p w:rsidRPr="009C48DA" w:rsidR="00661519" w:rsidP="00661519" w:rsidRDefault="00661519" w14:paraId="5881E9E6" w14:textId="77777777">
      <w:pPr>
        <w:textAlignment w:val="baseline"/>
        <w:rPr>
          <w:rFonts w:eastAsia="Times New Roman" w:cs="Times New Roman"/>
          <w:color w:val="000000"/>
          <w:sz w:val="16"/>
          <w:szCs w:val="16"/>
          <w:lang w:val="en-GB"/>
        </w:rPr>
      </w:pPr>
    </w:p>
    <w:p w:rsidRPr="009C48DA" w:rsidR="00661519" w:rsidP="00661519" w:rsidRDefault="00661519" w14:paraId="0AF6F68C" w14:textId="77777777">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 xml:space="preserve">Financial liabilities </w:t>
      </w:r>
    </w:p>
    <w:p w:rsidRPr="009C48DA" w:rsidR="00661519" w:rsidP="00661519" w:rsidRDefault="00661519" w14:paraId="3F5D121B" w14:textId="77777777">
      <w:pPr>
        <w:spacing w:before="16" w:line="185" w:lineRule="exact"/>
        <w:jc w:val="both"/>
        <w:textAlignment w:val="baseline"/>
        <w:rPr>
          <w:rFonts w:eastAsia="Times New Roman"/>
          <w:color w:val="000000"/>
          <w:sz w:val="16"/>
          <w:lang w:val="en-GB"/>
        </w:rPr>
      </w:pPr>
      <w:r w:rsidRPr="009C48DA">
        <w:rPr>
          <w:rFonts w:eastAsia="Times New Roman"/>
          <w:color w:val="000000"/>
          <w:sz w:val="16"/>
          <w:lang w:val="en-GB"/>
        </w:rPr>
        <w:t xml:space="preserve">Financial liabilities, with the exception of financial liabilities at or designated at fair value through profit or loss, are initially recognised at fair value, net of transaction costs, and subsequently measured at amortised cost using the effective interest rate method, with interest </w:t>
      </w:r>
    </w:p>
    <w:p w:rsidRPr="009C48DA" w:rsidR="00661519" w:rsidP="00661519" w:rsidRDefault="00661519" w14:paraId="708C66F4" w14:textId="77777777">
      <w:pPr>
        <w:spacing w:before="16" w:line="185" w:lineRule="exact"/>
        <w:jc w:val="both"/>
        <w:textAlignment w:val="baseline"/>
        <w:rPr>
          <w:rFonts w:eastAsia="Times New Roman"/>
          <w:color w:val="000000"/>
          <w:sz w:val="16"/>
          <w:lang w:val="en-GB"/>
        </w:rPr>
      </w:pPr>
      <w:r w:rsidRPr="009C48DA">
        <w:rPr>
          <w:rFonts w:eastAsia="Times New Roman"/>
          <w:color w:val="000000"/>
          <w:sz w:val="16"/>
          <w:lang w:val="en-GB"/>
        </w:rPr>
        <w:t>expense recognised on an effective yield basis.</w:t>
      </w:r>
    </w:p>
    <w:p w:rsidRPr="009C48DA" w:rsidR="00661519" w:rsidP="00661519" w:rsidRDefault="00661519" w14:paraId="555693FA" w14:textId="77777777">
      <w:pPr>
        <w:spacing w:before="185"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Liabilities of CLOs consolidated by the Group are designated as financial liabilities measured at fair value through profit or loss. Financial liabilities at fair value through profit or loss related to CLOs are initially recognised and subsequently measured at fair value on a recurring basis with gains or losses arising from changes in fair value recognised through the fair value remeasurements of investments line within the </w:t>
      </w:r>
    </w:p>
    <w:p w:rsidRPr="009C48DA" w:rsidR="00661519" w:rsidP="00661519" w:rsidRDefault="00661519" w14:paraId="7577C90A" w14:textId="77777777">
      <w:pPr>
        <w:spacing w:line="184" w:lineRule="exact"/>
        <w:jc w:val="both"/>
        <w:textAlignment w:val="baseline"/>
        <w:rPr>
          <w:rFonts w:eastAsia="Times New Roman"/>
          <w:color w:val="000000"/>
          <w:sz w:val="16"/>
          <w:lang w:val="en-GB"/>
        </w:rPr>
      </w:pPr>
      <w:r w:rsidRPr="009C48DA">
        <w:rPr>
          <w:rFonts w:eastAsia="Times New Roman"/>
          <w:color w:val="000000"/>
          <w:sz w:val="16"/>
          <w:lang w:val="en-GB"/>
        </w:rPr>
        <w:t>income statement along with interest paid on the CLO financial liabilities.</w:t>
      </w:r>
    </w:p>
    <w:p w:rsidRPr="009C48DA" w:rsidR="00661519" w:rsidP="00661519" w:rsidRDefault="00661519" w14:paraId="0F688211" w14:textId="77777777">
      <w:pPr>
        <w:jc w:val="both"/>
        <w:textAlignment w:val="baseline"/>
        <w:rPr>
          <w:rFonts w:eastAsia="Times New Roman" w:cs="Times New Roman"/>
          <w:color w:val="000000"/>
          <w:sz w:val="16"/>
          <w:szCs w:val="22"/>
          <w:lang w:val="en-GB"/>
        </w:rPr>
      </w:pPr>
    </w:p>
    <w:p w:rsidRPr="009C48DA" w:rsidR="00661519" w:rsidP="00661519" w:rsidRDefault="00661519" w14:paraId="37527C5A"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Amounts payable for purchases of CLO assets awaiting settlement are recognised at the point at which the CLO has a contractual obligation </w:t>
      </w:r>
      <w:r w:rsidRPr="009C48DA">
        <w:rPr>
          <w:rFonts w:eastAsia="Times New Roman" w:cs="Times New Roman"/>
          <w:color w:val="000000"/>
          <w:sz w:val="16"/>
          <w:szCs w:val="22"/>
          <w:lang w:val="en-GB"/>
        </w:rPr>
        <w:br/>
        <w:t xml:space="preserve">to exchange cash. </w:t>
      </w:r>
    </w:p>
    <w:p w:rsidRPr="009C48DA" w:rsidR="00661519" w:rsidP="00661519" w:rsidRDefault="00661519" w14:paraId="727948AE" w14:textId="77777777">
      <w:pPr>
        <w:jc w:val="both"/>
        <w:textAlignment w:val="baseline"/>
        <w:rPr>
          <w:rFonts w:eastAsia="Times New Roman" w:cs="Times New Roman"/>
          <w:color w:val="000000"/>
          <w:sz w:val="14"/>
          <w:szCs w:val="14"/>
          <w:lang w:val="en-GB"/>
        </w:rPr>
      </w:pPr>
    </w:p>
    <w:p w:rsidRPr="009C48DA" w:rsidR="00661519" w:rsidP="00661519" w:rsidRDefault="00661519" w14:paraId="31E6400F"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Deferred contingent consideration payable relating to business combinations is measured at fair value through profit and loss.</w:t>
      </w:r>
    </w:p>
    <w:p w:rsidRPr="009C48DA" w:rsidR="00661519" w:rsidP="00661519" w:rsidRDefault="00661519" w14:paraId="69345B3C" w14:textId="77777777">
      <w:pPr>
        <w:spacing w:before="182" w:line="187" w:lineRule="exact"/>
        <w:jc w:val="both"/>
        <w:textAlignment w:val="baseline"/>
        <w:rPr>
          <w:rFonts w:eastAsia="Times New Roman"/>
          <w:color w:val="000000"/>
          <w:sz w:val="16"/>
          <w:lang w:val="en-GB"/>
        </w:rPr>
      </w:pPr>
      <w:r w:rsidRPr="009C48DA">
        <w:rPr>
          <w:rFonts w:eastAsia="Times New Roman"/>
          <w:color w:val="000000"/>
          <w:sz w:val="16"/>
          <w:lang w:val="en-GB"/>
        </w:rPr>
        <w:t xml:space="preserve">Borrowings are initially recognised at the amount of cash received from the bank, less separately incurred transaction costs. They are </w:t>
      </w:r>
      <w:r w:rsidRPr="009C48DA">
        <w:rPr>
          <w:rFonts w:eastAsia="Times New Roman"/>
          <w:color w:val="000000"/>
          <w:sz w:val="16"/>
          <w:lang w:val="en-GB"/>
        </w:rPr>
        <w:br/>
        <w:t>measured subsequently at amortised cost using the effective interest rate method.</w:t>
      </w:r>
    </w:p>
    <w:p w:rsidRPr="009C48DA" w:rsidR="00661519" w:rsidP="00661519" w:rsidRDefault="00661519" w14:paraId="189CFA32" w14:textId="77777777">
      <w:pPr>
        <w:jc w:val="both"/>
        <w:textAlignment w:val="baseline"/>
        <w:rPr>
          <w:rFonts w:eastAsia="Times New Roman" w:cs="Times New Roman"/>
          <w:color w:val="000000"/>
          <w:sz w:val="14"/>
          <w:szCs w:val="14"/>
          <w:lang w:val="en-GB"/>
        </w:rPr>
      </w:pPr>
    </w:p>
    <w:p w:rsidRPr="009C48DA" w:rsidR="00661519" w:rsidP="00661519" w:rsidRDefault="00661519" w14:paraId="59370B22"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All of the Group’s other financial liabilities are measured at amortised cost using the effective interest rate method.</w:t>
      </w:r>
    </w:p>
    <w:p w:rsidRPr="009C48DA" w:rsidR="00661519" w:rsidP="00661519" w:rsidRDefault="00661519" w14:paraId="2FB2EF52" w14:textId="77777777">
      <w:pPr>
        <w:jc w:val="both"/>
        <w:textAlignment w:val="baseline"/>
        <w:rPr>
          <w:rFonts w:eastAsia="Times New Roman" w:cs="Times New Roman"/>
          <w:color w:val="000000"/>
          <w:sz w:val="16"/>
          <w:szCs w:val="22"/>
          <w:lang w:val="en-GB"/>
        </w:rPr>
      </w:pPr>
    </w:p>
    <w:p w:rsidRPr="009C48DA" w:rsidR="00661519" w:rsidP="00661519" w:rsidRDefault="00661519" w14:paraId="7E93D9B4"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The Group derecognises financial liabilities when the Group’s obligations are discharged, cancelled or expired.</w:t>
      </w:r>
    </w:p>
    <w:p w:rsidRPr="009C48DA" w:rsidR="00661519" w:rsidP="00661519" w:rsidRDefault="00661519" w14:paraId="0913C215" w14:textId="77777777">
      <w:pPr>
        <w:rPr>
          <w:rFonts w:eastAsia="Times New Roman" w:cs="Times New Roman"/>
          <w:b/>
          <w:color w:val="000000"/>
          <w:sz w:val="14"/>
          <w:szCs w:val="14"/>
          <w:u w:val="single"/>
          <w:lang w:val="en-GB"/>
        </w:rPr>
      </w:pPr>
    </w:p>
    <w:p w:rsidRPr="009C48DA" w:rsidR="00661519" w:rsidP="00661519" w:rsidRDefault="00661519" w14:paraId="5609647D" w14:textId="77777777">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Derivative instruments and hedge accounting</w:t>
      </w:r>
    </w:p>
    <w:p w:rsidRPr="009C48DA" w:rsidR="00661519" w:rsidP="00661519" w:rsidRDefault="00661519" w14:paraId="4160E67A"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Derivative financial instruments are initially measured at fair value on the date on which the derivative contract is entered into and are</w:t>
      </w:r>
    </w:p>
    <w:p w:rsidRPr="009C48DA" w:rsidR="00661519" w:rsidP="00661519" w:rsidRDefault="00661519" w14:paraId="3D76B2B5"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subsequently measured at fair value at each reporting date.</w:t>
      </w:r>
    </w:p>
    <w:p w:rsidRPr="009C48DA" w:rsidR="00661519" w:rsidP="00661519" w:rsidRDefault="00661519" w14:paraId="0DB2A22C" w14:textId="77777777">
      <w:pPr>
        <w:jc w:val="both"/>
        <w:textAlignment w:val="baseline"/>
        <w:rPr>
          <w:rFonts w:eastAsia="Times New Roman" w:cs="Times New Roman"/>
          <w:color w:val="000000"/>
          <w:sz w:val="16"/>
          <w:szCs w:val="22"/>
          <w:lang w:val="en-GB"/>
        </w:rPr>
      </w:pPr>
    </w:p>
    <w:p w:rsidRPr="009C48DA" w:rsidR="00661519" w:rsidP="00661519" w:rsidRDefault="00661519" w14:paraId="1904325A"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Group has designated the derivatives as cash flow hedges. The effective portion of the gain or loss on the hedging instrument is </w:t>
      </w:r>
      <w:r w:rsidRPr="009C48DA">
        <w:rPr>
          <w:rFonts w:eastAsia="Times New Roman" w:cs="Times New Roman"/>
          <w:color w:val="000000"/>
          <w:sz w:val="16"/>
          <w:szCs w:val="22"/>
          <w:lang w:val="en-GB"/>
        </w:rPr>
        <w:br/>
        <w:t xml:space="preserve">recognised in the Statement of Changes in Equity in the cash flow hedge reserve within equity while any ineffective portion is recognised immediately in the Income Statement as gain/loss on cash flow hedge within operating expenses. Derivatives are carried as assets when the </w:t>
      </w:r>
      <w:r w:rsidRPr="009C48DA">
        <w:rPr>
          <w:rFonts w:eastAsia="Times New Roman" w:cs="Times New Roman"/>
          <w:color w:val="000000"/>
          <w:sz w:val="16"/>
          <w:szCs w:val="22"/>
          <w:lang w:val="en-GB"/>
        </w:rPr>
        <w:br/>
        <w:t xml:space="preserve">fair value is positive and as a liability when fair value is negative. The fair value of the forward currency contracts is calculated by reference </w:t>
      </w:r>
      <w:r w:rsidRPr="009C48DA">
        <w:rPr>
          <w:rFonts w:eastAsia="Times New Roman" w:cs="Times New Roman"/>
          <w:color w:val="000000"/>
          <w:sz w:val="16"/>
          <w:szCs w:val="22"/>
          <w:lang w:val="en-GB"/>
        </w:rPr>
        <w:br/>
        <w:t xml:space="preserve">to the market for forward contracts with similar maturities. Amounts recognised in the Statement of Comprehensive Income are transferred </w:t>
      </w:r>
      <w:r w:rsidRPr="009C48DA">
        <w:rPr>
          <w:rFonts w:eastAsia="Times New Roman" w:cs="Times New Roman"/>
          <w:color w:val="000000"/>
          <w:sz w:val="16"/>
          <w:szCs w:val="22"/>
          <w:lang w:val="en-GB"/>
        </w:rPr>
        <w:br/>
        <w:t xml:space="preserve">to the Income Statement when the hedged transaction affects profit or loss, such as when the hedged cash flow occurs. Fair value </w:t>
      </w:r>
      <w:r w:rsidRPr="009C48DA">
        <w:rPr>
          <w:rFonts w:eastAsia="Times New Roman" w:cs="Times New Roman"/>
          <w:color w:val="000000"/>
          <w:sz w:val="16"/>
          <w:szCs w:val="22"/>
          <w:lang w:val="en-GB"/>
        </w:rPr>
        <w:br/>
        <w:t>movements from derivatives that are not cash flow hedges are recognised in the Income Statement.</w:t>
      </w:r>
    </w:p>
    <w:p w:rsidRPr="009C48DA" w:rsidR="00661519" w:rsidP="00661519" w:rsidRDefault="00661519" w14:paraId="510C5B4B" w14:textId="77777777">
      <w:pPr>
        <w:jc w:val="both"/>
        <w:textAlignment w:val="baseline"/>
        <w:rPr>
          <w:rFonts w:eastAsia="Times New Roman" w:cs="Times New Roman"/>
          <w:color w:val="000000"/>
          <w:sz w:val="17"/>
          <w:szCs w:val="22"/>
          <w:lang w:val="en-GB"/>
        </w:rPr>
      </w:pPr>
    </w:p>
    <w:p w:rsidRPr="009C48DA" w:rsidR="00661519" w:rsidP="00661519" w:rsidRDefault="00661519" w14:paraId="621739B7"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Where hedging relates to management fees earned in foreign currencies, the profit or loss on settlement is recognised together with the management fees in the Income Statement.</w:t>
      </w:r>
    </w:p>
    <w:p w:rsidRPr="009C48DA" w:rsidR="00661519" w:rsidP="00661519" w:rsidRDefault="00661519" w14:paraId="300E09C8" w14:textId="77777777">
      <w:pPr>
        <w:jc w:val="both"/>
        <w:textAlignment w:val="baseline"/>
        <w:rPr>
          <w:rFonts w:eastAsia="Times New Roman" w:cs="Times New Roman"/>
          <w:color w:val="000000"/>
          <w:sz w:val="17"/>
          <w:szCs w:val="22"/>
          <w:lang w:val="en-GB"/>
        </w:rPr>
      </w:pPr>
    </w:p>
    <w:p w:rsidRPr="009C48DA" w:rsidR="00661519" w:rsidP="00661519" w:rsidRDefault="00661519" w14:paraId="259A1181" w14:textId="77777777">
      <w:pPr>
        <w:jc w:val="both"/>
        <w:textAlignment w:val="baseline"/>
        <w:rPr>
          <w:rFonts w:eastAsia="Times New Roman" w:cs="Times New Roman"/>
          <w:color w:val="000000"/>
          <w:sz w:val="17"/>
          <w:szCs w:val="22"/>
          <w:lang w:val="en-GB"/>
        </w:rPr>
      </w:pPr>
    </w:p>
    <w:p w:rsidRPr="009C48DA" w:rsidR="00661519" w:rsidP="00661519" w:rsidRDefault="00661519" w14:paraId="229E3F28" w14:textId="77777777">
      <w:pPr>
        <w:jc w:val="both"/>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(p)</w:t>
      </w:r>
      <w:r w:rsidRPr="009C48DA">
        <w:rPr>
          <w:rFonts w:eastAsia="Times New Roman" w:cs="Times New Roman"/>
          <w:b/>
          <w:color w:val="000000"/>
          <w:sz w:val="16"/>
          <w:szCs w:val="22"/>
          <w:lang w:val="en-GB"/>
        </w:rPr>
        <w:tab/>
        <w:t>Investments in associates</w:t>
      </w:r>
    </w:p>
    <w:p w:rsidRPr="009C48DA" w:rsidR="00661519" w:rsidP="00661519" w:rsidRDefault="00661519" w14:paraId="2BE9AB56" w14:textId="77777777">
      <w:pPr>
        <w:jc w:val="both"/>
        <w:textAlignment w:val="baseline"/>
        <w:rPr>
          <w:rFonts w:eastAsia="Times New Roman" w:cs="Times New Roman"/>
          <w:b/>
          <w:color w:val="000000"/>
          <w:sz w:val="16"/>
          <w:szCs w:val="22"/>
          <w:lang w:val="en-GB"/>
        </w:rPr>
      </w:pPr>
    </w:p>
    <w:p w:rsidRPr="009C48DA" w:rsidR="00661519" w:rsidP="00661519" w:rsidRDefault="00661519" w14:paraId="3E5ED8DC"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Associates are entities in which the Group has an investment and over which it has significant influence, but not control, through </w:t>
      </w:r>
      <w:r w:rsidRPr="009C48DA">
        <w:rPr>
          <w:rFonts w:eastAsia="Times New Roman" w:cs="Times New Roman"/>
          <w:color w:val="000000"/>
          <w:sz w:val="16"/>
          <w:szCs w:val="22"/>
          <w:lang w:val="en-GB"/>
        </w:rPr>
        <w:br/>
        <w:t xml:space="preserve">participation in the financial and operating policy decisions. Such entities are in funds or carried interest partnerships where the Group holds </w:t>
      </w:r>
      <w:r w:rsidRPr="009C48DA">
        <w:rPr>
          <w:rFonts w:eastAsia="Times New Roman" w:cs="Times New Roman"/>
          <w:color w:val="000000"/>
          <w:sz w:val="16"/>
          <w:szCs w:val="22"/>
          <w:lang w:val="en-GB"/>
        </w:rPr>
        <w:br/>
        <w:t xml:space="preserve">more than a 20% interest in the entity. The Group initially records the investment at the fair value of the investment. The Group’s income </w:t>
      </w:r>
      <w:r w:rsidRPr="009C48DA">
        <w:rPr>
          <w:rFonts w:eastAsia="Times New Roman" w:cs="Times New Roman"/>
          <w:color w:val="000000"/>
          <w:sz w:val="16"/>
          <w:szCs w:val="22"/>
          <w:lang w:val="en-GB"/>
        </w:rPr>
        <w:br/>
        <w:t xml:space="preserve">statement reflects its share of the entities’ profit or loss. The balance sheet records the Group’s share of the net assets of the entity. </w:t>
      </w:r>
    </w:p>
    <w:p w:rsidRPr="009C48DA" w:rsidR="00661519" w:rsidP="00661519" w:rsidRDefault="00661519" w14:paraId="57B248DC" w14:textId="77777777">
      <w:pPr>
        <w:jc w:val="both"/>
        <w:textAlignment w:val="baseline"/>
        <w:rPr>
          <w:rFonts w:eastAsia="Times New Roman" w:cs="Times New Roman"/>
          <w:color w:val="000000"/>
          <w:sz w:val="16"/>
          <w:szCs w:val="22"/>
          <w:lang w:val="en-GB"/>
        </w:rPr>
      </w:pPr>
    </w:p>
    <w:p w:rsidRPr="009C48DA" w:rsidR="00661519" w:rsidP="00661519" w:rsidRDefault="00661519" w14:paraId="6DA21110" w14:textId="77777777">
      <w:pPr>
        <w:jc w:val="both"/>
        <w:textAlignment w:val="baseline"/>
        <w:rPr>
          <w:rFonts w:eastAsia="Times New Roman" w:cs="Times New Roman"/>
          <w:color w:val="000000"/>
          <w:sz w:val="16"/>
          <w:szCs w:val="22"/>
          <w:lang w:val="en-GB"/>
        </w:rPr>
      </w:pPr>
    </w:p>
    <w:p w:rsidRPr="009C48DA" w:rsidR="00661519" w:rsidP="00661519" w:rsidRDefault="00661519" w14:paraId="7D75774A" w14:textId="77777777">
      <w:pPr>
        <w:jc w:val="both"/>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(q)</w:t>
      </w:r>
      <w:r w:rsidRPr="009C48DA">
        <w:rPr>
          <w:rFonts w:eastAsia="Times New Roman" w:cs="Times New Roman"/>
          <w:b/>
          <w:color w:val="000000"/>
          <w:sz w:val="16"/>
          <w:szCs w:val="22"/>
          <w:lang w:val="en-GB"/>
        </w:rPr>
        <w:tab/>
        <w:t>Cash and cash equivalents</w:t>
      </w:r>
    </w:p>
    <w:p w:rsidRPr="009C48DA" w:rsidR="00661519" w:rsidP="00661519" w:rsidRDefault="00661519" w14:paraId="1E6E420E" w14:textId="77777777">
      <w:pPr>
        <w:textAlignment w:val="baseline"/>
        <w:rPr>
          <w:rFonts w:eastAsia="Times New Roman" w:cs="Times New Roman"/>
          <w:color w:val="000000"/>
          <w:sz w:val="16"/>
          <w:szCs w:val="22"/>
          <w:lang w:val="en-GB"/>
        </w:rPr>
      </w:pPr>
    </w:p>
    <w:p w:rsidRPr="009C48DA" w:rsidR="00661519" w:rsidP="00661519" w:rsidRDefault="00661519" w14:paraId="06E8C36B"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Cash and cash equivalents comprise cash in hand and call deposits, held at call with banks.</w:t>
      </w:r>
    </w:p>
    <w:p w:rsidRPr="009C48DA" w:rsidR="00661519" w:rsidP="00661519" w:rsidRDefault="00661519" w14:paraId="2A9D996B" w14:textId="77777777">
      <w:pPr>
        <w:spacing w:before="177" w:line="187" w:lineRule="exact"/>
        <w:textAlignment w:val="baseline"/>
        <w:rPr>
          <w:rFonts w:eastAsia="Times New Roman"/>
          <w:color w:val="000000"/>
          <w:sz w:val="16"/>
          <w:lang w:val="en-GB"/>
        </w:rPr>
      </w:pPr>
      <w:r w:rsidRPr="009C48DA">
        <w:rPr>
          <w:rFonts w:eastAsia="Times New Roman"/>
          <w:color w:val="000000"/>
          <w:sz w:val="16"/>
          <w:lang w:val="en-GB"/>
        </w:rPr>
        <w:t>CLO cash is cash held by CLO vehicles consolidated by the Group and is not available for the Group's other operating activities.</w:t>
      </w:r>
    </w:p>
    <w:p w:rsidRPr="009C48DA" w:rsidR="00661519" w:rsidP="00661519" w:rsidRDefault="00661519" w14:paraId="7B136486" w14:textId="77777777">
      <w:pPr>
        <w:textAlignment w:val="baseline"/>
        <w:rPr>
          <w:rFonts w:eastAsia="Times New Roman" w:cs="Times New Roman"/>
          <w:b/>
          <w:color w:val="000000"/>
          <w:sz w:val="16"/>
          <w:szCs w:val="22"/>
          <w:lang w:val="en-GB"/>
        </w:rPr>
      </w:pPr>
    </w:p>
    <w:p w:rsidRPr="009C48DA" w:rsidR="00661519" w:rsidP="00661519" w:rsidRDefault="00661519" w14:paraId="320473E6" w14:textId="77777777">
      <w:pPr>
        <w:textAlignment w:val="baseline"/>
        <w:rPr>
          <w:rFonts w:eastAsia="Times New Roman" w:cs="Times New Roman"/>
          <w:b/>
          <w:color w:val="000000"/>
          <w:sz w:val="16"/>
          <w:szCs w:val="22"/>
          <w:lang w:val="en-GB"/>
        </w:rPr>
      </w:pPr>
    </w:p>
    <w:p w:rsidRPr="009C48DA" w:rsidR="00661519" w:rsidP="00661519" w:rsidRDefault="00661519" w14:paraId="6FDF04E9"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(r)</w:t>
      </w:r>
      <w:r w:rsidRPr="009C48DA">
        <w:rPr>
          <w:rFonts w:eastAsia="Times New Roman" w:cs="Times New Roman"/>
          <w:b/>
          <w:color w:val="000000"/>
          <w:sz w:val="16"/>
          <w:szCs w:val="22"/>
          <w:lang w:val="en-GB"/>
        </w:rPr>
        <w:tab/>
        <w:t>Dividends</w:t>
      </w:r>
    </w:p>
    <w:p w:rsidRPr="009C48DA" w:rsidR="00661519" w:rsidP="00661519" w:rsidRDefault="00661519" w14:paraId="59CC4DFD" w14:textId="77777777">
      <w:pPr>
        <w:textAlignment w:val="baseline"/>
        <w:rPr>
          <w:rFonts w:eastAsia="Times New Roman" w:cs="Times New Roman"/>
          <w:b/>
          <w:color w:val="000000"/>
          <w:sz w:val="16"/>
          <w:szCs w:val="22"/>
          <w:u w:val="single"/>
          <w:lang w:val="en-GB"/>
        </w:rPr>
      </w:pPr>
    </w:p>
    <w:p w:rsidRPr="009C48DA" w:rsidR="00661519" w:rsidP="00661519" w:rsidRDefault="00661519" w14:paraId="0DD8B9C1"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Dividends and other distributions to the Company's shareholders are recognised in the period in which the dividends and other </w:t>
      </w:r>
    </w:p>
    <w:p w:rsidRPr="009C48DA" w:rsidR="00661519" w:rsidP="00661519" w:rsidRDefault="00661519" w14:paraId="4E5AE898"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distributions are approved by the shareholders. These amounts are recognised in the Statement of Changes in Equity.</w:t>
      </w:r>
    </w:p>
    <w:p w:rsidRPr="009C48DA" w:rsidR="00661519" w:rsidP="00661519" w:rsidRDefault="00661519" w14:paraId="1099F400" w14:textId="77777777">
      <w:pPr>
        <w:textAlignment w:val="baseline"/>
        <w:rPr>
          <w:rFonts w:eastAsia="Times New Roman" w:cs="Times New Roman"/>
          <w:color w:val="000000"/>
          <w:sz w:val="16"/>
          <w:szCs w:val="22"/>
          <w:lang w:val="en-GB"/>
        </w:rPr>
      </w:pPr>
    </w:p>
    <w:p w:rsidRPr="009C48DA" w:rsidR="00661519" w:rsidP="00661519" w:rsidRDefault="00661519" w14:paraId="7D32633C" w14:textId="77777777">
      <w:pPr>
        <w:textAlignment w:val="baseline"/>
        <w:rPr>
          <w:rFonts w:eastAsia="Times New Roman" w:cs="Times New Roman"/>
          <w:color w:val="000000"/>
          <w:sz w:val="16"/>
          <w:szCs w:val="22"/>
          <w:lang w:val="en-GB"/>
        </w:rPr>
      </w:pPr>
    </w:p>
    <w:p w:rsidRPr="009C48DA" w:rsidR="00661519" w:rsidP="00661519" w:rsidRDefault="00661519" w14:paraId="111600B1" w14:textId="77777777">
      <w:pPr>
        <w:textAlignment w:val="baseline"/>
        <w:rPr>
          <w:rFonts w:eastAsia="Times New Roman"/>
          <w:b/>
          <w:color w:val="000000"/>
          <w:spacing w:val="-3"/>
          <w:sz w:val="16"/>
          <w:lang w:val="en-GB"/>
        </w:rPr>
      </w:pPr>
      <w:r w:rsidRPr="009C48DA">
        <w:rPr>
          <w:rFonts w:eastAsia="Times New Roman" w:cs="Times New Roman"/>
          <w:b/>
          <w:color w:val="000000"/>
          <w:sz w:val="16"/>
          <w:szCs w:val="22"/>
          <w:lang w:val="en-GB"/>
        </w:rPr>
        <w:t>(s)</w:t>
      </w:r>
      <w:r w:rsidRPr="009C48DA">
        <w:rPr>
          <w:rFonts w:eastAsia="Times New Roman" w:cs="Times New Roman"/>
          <w:color w:val="000000"/>
          <w:sz w:val="16"/>
          <w:szCs w:val="22"/>
          <w:lang w:val="en-GB"/>
        </w:rPr>
        <w:tab/>
      </w:r>
      <w:r w:rsidRPr="009C48DA">
        <w:rPr>
          <w:rFonts w:eastAsia="Times New Roman"/>
          <w:b/>
          <w:color w:val="000000"/>
          <w:spacing w:val="-3"/>
          <w:sz w:val="16"/>
          <w:lang w:val="en-GB"/>
        </w:rPr>
        <w:t>Own shares</w:t>
      </w:r>
    </w:p>
    <w:p w:rsidRPr="009C48DA" w:rsidR="00661519" w:rsidP="00661519" w:rsidRDefault="00661519" w14:paraId="14253E93" w14:textId="77777777">
      <w:pPr>
        <w:spacing w:before="120" w:line="183" w:lineRule="exact"/>
        <w:jc w:val="both"/>
        <w:textAlignment w:val="baseline"/>
        <w:rPr>
          <w:rFonts w:eastAsia="Times New Roman"/>
          <w:color w:val="000000"/>
          <w:sz w:val="16"/>
          <w:lang w:val="en-GB"/>
        </w:rPr>
      </w:pPr>
      <w:r w:rsidRPr="009C48DA">
        <w:rPr>
          <w:rFonts w:eastAsia="Times New Roman"/>
          <w:color w:val="000000"/>
          <w:sz w:val="16"/>
          <w:lang w:val="en-GB"/>
        </w:rPr>
        <w:t xml:space="preserve">Own shares are recorded by the Group when ordinary shares are purchased through the Employee Share Ownership Trust (“ESOT”). The </w:t>
      </w:r>
      <w:r w:rsidRPr="009C48DA">
        <w:rPr>
          <w:rFonts w:eastAsia="Times New Roman"/>
          <w:color w:val="000000"/>
          <w:sz w:val="16"/>
          <w:lang w:val="en-GB"/>
        </w:rPr>
        <w:br/>
        <w:t xml:space="preserve">ESOT, being Atlantic SAV Limited and Atlantic SAV 2 Limited, are special purpose vehicles, with the purpose of purchasing and holding </w:t>
      </w:r>
      <w:r w:rsidRPr="009C48DA">
        <w:rPr>
          <w:rFonts w:eastAsia="Times New Roman"/>
          <w:color w:val="000000"/>
          <w:sz w:val="16"/>
          <w:lang w:val="en-GB"/>
        </w:rPr>
        <w:br/>
        <w:t xml:space="preserve">shares from leavers. The ESOT is consolidated within the historical financial information. Own shares are held at cost and their purchase </w:t>
      </w:r>
      <w:r w:rsidRPr="009C48DA">
        <w:rPr>
          <w:rFonts w:eastAsia="Times New Roman"/>
          <w:color w:val="000000"/>
          <w:sz w:val="16"/>
          <w:lang w:val="en-GB"/>
        </w:rPr>
        <w:br/>
        <w:t>reduces the Group’s net assets by the amount spent. They are recognised as a deduction to the profit and loss reserve. When shares are sold,</w:t>
      </w:r>
      <w:r w:rsidRPr="009C48DA">
        <w:rPr>
          <w:rFonts w:eastAsia="Times New Roman"/>
          <w:color w:val="000000"/>
          <w:sz w:val="16"/>
          <w:lang w:val="en-GB"/>
        </w:rPr>
        <w:br/>
        <w:t xml:space="preserve"> they are transferred at their weighted average cost. No gain or loss is recognised on the purchase, sale, issue or cancellation of the </w:t>
      </w:r>
      <w:r w:rsidRPr="009C48DA">
        <w:rPr>
          <w:rFonts w:eastAsia="Times New Roman"/>
          <w:color w:val="000000"/>
          <w:sz w:val="16"/>
          <w:lang w:val="en-GB"/>
        </w:rPr>
        <w:br/>
        <w:t>Company’s own shares.</w:t>
      </w:r>
      <w:r w:rsidRPr="009C48DA">
        <w:rPr>
          <w:rFonts w:eastAsia="Times New Roman"/>
          <w:color w:val="000000"/>
          <w:sz w:val="16"/>
          <w:lang w:val="en-GB"/>
        </w:rPr>
        <w:br w:type="page"/>
      </w:r>
    </w:p>
    <w:p w:rsidRPr="009C48DA" w:rsidR="00661519" w:rsidP="00661519" w:rsidRDefault="00661519" w14:paraId="73DE50AF" w14:textId="77777777">
      <w:pPr>
        <w:spacing w:before="120" w:line="183" w:lineRule="exact"/>
        <w:jc w:val="both"/>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lastRenderedPageBreak/>
        <w:t>3</w:t>
      </w:r>
      <w:r w:rsidRPr="009C48DA">
        <w:rPr>
          <w:rFonts w:eastAsia="Times New Roman" w:cs="Times New Roman"/>
          <w:b/>
          <w:color w:val="000000"/>
          <w:sz w:val="16"/>
          <w:szCs w:val="22"/>
          <w:lang w:val="en-GB"/>
        </w:rPr>
        <w:tab/>
        <w:t>Critical judgements in the application of accounting policies and key sources of estimation uncertainty</w:t>
      </w:r>
    </w:p>
    <w:p w:rsidRPr="009C48DA" w:rsidR="00661519" w:rsidP="00661519" w:rsidRDefault="00661519" w14:paraId="32CA4E20" w14:textId="77777777">
      <w:pPr>
        <w:jc w:val="both"/>
        <w:textAlignment w:val="baseline"/>
        <w:rPr>
          <w:rFonts w:eastAsia="Times New Roman" w:cs="Times New Roman"/>
          <w:color w:val="000000"/>
          <w:sz w:val="16"/>
          <w:szCs w:val="22"/>
          <w:lang w:val="en-GB"/>
        </w:rPr>
      </w:pPr>
    </w:p>
    <w:p w:rsidRPr="009C48DA" w:rsidR="00661519" w:rsidP="00661519" w:rsidRDefault="00661519" w14:paraId="1623E18B"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key sources of estimation uncertainty at the reporting date, that may have a significant risk of causing a material adjustment to the </w:t>
      </w:r>
      <w:r w:rsidRPr="009C48DA">
        <w:rPr>
          <w:rFonts w:eastAsia="Times New Roman" w:cs="Times New Roman"/>
          <w:color w:val="000000"/>
          <w:sz w:val="16"/>
          <w:szCs w:val="22"/>
          <w:lang w:val="en-GB"/>
        </w:rPr>
        <w:br/>
        <w:t>carrying amounts of assets and liabilities within the next financial year are summarised below.</w:t>
      </w:r>
    </w:p>
    <w:p w:rsidRPr="009C48DA" w:rsidR="00661519" w:rsidP="00661519" w:rsidRDefault="00661519" w14:paraId="799042A5" w14:textId="77777777">
      <w:pPr>
        <w:textAlignment w:val="baseline"/>
        <w:rPr>
          <w:rFonts w:eastAsia="Times New Roman" w:cs="Times New Roman"/>
          <w:b/>
          <w:color w:val="000000"/>
          <w:sz w:val="16"/>
          <w:szCs w:val="22"/>
          <w:lang w:val="en-GB"/>
        </w:rPr>
      </w:pPr>
    </w:p>
    <w:p w:rsidRPr="009C48DA" w:rsidR="00661519" w:rsidP="00661519" w:rsidRDefault="00661519" w14:paraId="2E59BA24"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(a)</w:t>
      </w:r>
      <w:r w:rsidRPr="009C48DA">
        <w:rPr>
          <w:rFonts w:eastAsia="Times New Roman" w:cs="Times New Roman"/>
          <w:b/>
          <w:color w:val="000000"/>
          <w:sz w:val="16"/>
          <w:szCs w:val="22"/>
          <w:lang w:val="en-GB"/>
        </w:rPr>
        <w:tab/>
        <w:t>Judgements</w:t>
      </w:r>
    </w:p>
    <w:p w:rsidRPr="009C48DA" w:rsidR="00661519" w:rsidP="00661519" w:rsidRDefault="00661519" w14:paraId="4346B6D8" w14:textId="77777777">
      <w:pPr>
        <w:textAlignment w:val="baseline"/>
        <w:rPr>
          <w:rFonts w:eastAsia="Times New Roman" w:cs="Times New Roman"/>
          <w:b/>
          <w:color w:val="000000"/>
          <w:sz w:val="16"/>
          <w:szCs w:val="22"/>
          <w:lang w:val="en-GB"/>
        </w:rPr>
      </w:pPr>
    </w:p>
    <w:p w:rsidRPr="009C48DA" w:rsidR="00661519" w:rsidP="00661519" w:rsidRDefault="00661519" w14:paraId="0AE1460D" w14:textId="77777777">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 xml:space="preserve">Consolidation of fund investments </w:t>
      </w:r>
    </w:p>
    <w:p w:rsidRPr="009C48DA" w:rsidR="00661519" w:rsidP="00661519" w:rsidRDefault="00661519" w14:paraId="7F49226E" w14:textId="77777777">
      <w:pPr>
        <w:spacing w:before="15" w:line="184" w:lineRule="exact"/>
        <w:textAlignment w:val="baseline"/>
        <w:rPr>
          <w:rFonts w:eastAsia="Times New Roman"/>
          <w:color w:val="000000"/>
          <w:spacing w:val="3"/>
          <w:sz w:val="16"/>
          <w:lang w:val="en-GB"/>
        </w:rPr>
      </w:pPr>
      <w:r w:rsidRPr="009C48DA">
        <w:rPr>
          <w:rFonts w:eastAsia="Times New Roman"/>
          <w:color w:val="000000"/>
          <w:spacing w:val="3"/>
          <w:sz w:val="16"/>
          <w:lang w:val="en-GB"/>
        </w:rPr>
        <w:t xml:space="preserve">The directors have considered whether the Group should consolidate investments in funds into the results of the Group. Control is </w:t>
      </w:r>
      <w:r w:rsidRPr="009C48DA">
        <w:rPr>
          <w:rFonts w:eastAsia="Times New Roman"/>
          <w:color w:val="000000"/>
          <w:sz w:val="16"/>
          <w:lang w:val="en-GB"/>
        </w:rPr>
        <w:t>determined by the extent of decision-making authority, rights held by other parties, remuneration and exposure to returns.</w:t>
      </w:r>
    </w:p>
    <w:p w:rsidRPr="009C48DA" w:rsidR="00661519" w:rsidP="00661519" w:rsidRDefault="00661519" w14:paraId="33BAE1A1" w14:textId="77777777">
      <w:pPr>
        <w:spacing w:before="107" w:line="183" w:lineRule="exact"/>
        <w:jc w:val="both"/>
        <w:textAlignment w:val="baseline"/>
        <w:rPr>
          <w:rFonts w:eastAsia="Times New Roman"/>
          <w:color w:val="000000"/>
          <w:spacing w:val="1"/>
          <w:sz w:val="16"/>
          <w:lang w:val="en-GB"/>
        </w:rPr>
      </w:pPr>
      <w:r w:rsidRPr="009C48DA">
        <w:rPr>
          <w:rFonts w:eastAsia="Times New Roman"/>
          <w:color w:val="000000"/>
          <w:spacing w:val="1"/>
          <w:sz w:val="16"/>
          <w:lang w:val="en-GB"/>
        </w:rPr>
        <w:t xml:space="preserve">The directors have assessed the legal nature of the relationships between the Group, the relevant fund and fund investors and have </w:t>
      </w:r>
      <w:r w:rsidRPr="009C48DA">
        <w:rPr>
          <w:rFonts w:eastAsia="Times New Roman"/>
          <w:color w:val="000000"/>
          <w:spacing w:val="1"/>
          <w:sz w:val="16"/>
          <w:lang w:val="en-GB"/>
        </w:rPr>
        <w:br/>
        <w:t xml:space="preserve">determined that as the manager, the Group has the power to influence the returns generated by the fund, but the Group’s interests typically represent only a small proportion of the total capital within each fund (c. 2% of commitments). The directors have therefore concluded that </w:t>
      </w:r>
      <w:r w:rsidRPr="009C48DA">
        <w:rPr>
          <w:rFonts w:eastAsia="Times New Roman"/>
          <w:color w:val="000000"/>
          <w:spacing w:val="1"/>
          <w:sz w:val="16"/>
          <w:lang w:val="en-GB"/>
        </w:rPr>
        <w:br/>
        <w:t>the Group acts as an agent, which is primarily engaged to act on behalf, and for the benefit, of the fund investors rather than act for its own benefit.</w:t>
      </w:r>
    </w:p>
    <w:p w:rsidRPr="009C48DA" w:rsidR="00661519" w:rsidP="00661519" w:rsidRDefault="00661519" w14:paraId="236EA725" w14:textId="77777777">
      <w:pPr>
        <w:spacing w:before="107" w:line="183" w:lineRule="exact"/>
        <w:jc w:val="both"/>
        <w:textAlignment w:val="baseline"/>
        <w:rPr>
          <w:rFonts w:eastAsia="Times New Roman"/>
          <w:color w:val="000000"/>
          <w:spacing w:val="1"/>
          <w:sz w:val="16"/>
          <w:lang w:val="en-GB"/>
        </w:rPr>
      </w:pPr>
      <w:r w:rsidRPr="009C48DA">
        <w:rPr>
          <w:rFonts w:eastAsia="Times New Roman"/>
          <w:color w:val="000000"/>
          <w:spacing w:val="1"/>
          <w:sz w:val="16"/>
          <w:lang w:val="en-GB"/>
        </w:rPr>
        <w:t xml:space="preserve">Where the Group holds an interest that is greater than 20% the Group is considered to have significant influence, but not control through participation in the financial and operating policy decisions. This includes the Group’s investment in Bridgepoint Credit “C” II LP, where the </w:t>
      </w:r>
      <w:r w:rsidRPr="009C48DA">
        <w:rPr>
          <w:rFonts w:eastAsia="Times New Roman"/>
          <w:color w:val="000000"/>
          <w:spacing w:val="1"/>
          <w:sz w:val="16"/>
          <w:lang w:val="en-GB"/>
        </w:rPr>
        <w:br/>
        <w:t xml:space="preserve">Group has a commitment of 27% in the fund. Details of the associate are set out within note 28(d). </w:t>
      </w:r>
    </w:p>
    <w:p w:rsidRPr="009C48DA" w:rsidR="00661519" w:rsidP="00661519" w:rsidRDefault="00661519" w14:paraId="670EFF1F" w14:textId="77777777">
      <w:pPr>
        <w:spacing w:before="97" w:line="187" w:lineRule="exact"/>
        <w:jc w:val="both"/>
        <w:textAlignment w:val="baseline"/>
        <w:rPr>
          <w:rFonts w:eastAsia="Times New Roman"/>
          <w:color w:val="000000"/>
          <w:sz w:val="16"/>
          <w:lang w:val="en-GB"/>
        </w:rPr>
      </w:pPr>
      <w:r w:rsidRPr="009C48DA">
        <w:rPr>
          <w:rFonts w:eastAsia="Times New Roman"/>
          <w:color w:val="000000"/>
          <w:sz w:val="16"/>
          <w:lang w:val="en-GB"/>
        </w:rPr>
        <w:t xml:space="preserve">Returns from the Group’s investments in Bridgepoint funds, including those considered associates, are accordingly measured at fair value </w:t>
      </w:r>
      <w:r w:rsidRPr="009C48DA">
        <w:rPr>
          <w:rFonts w:eastAsia="Times New Roman"/>
          <w:color w:val="000000"/>
          <w:sz w:val="16"/>
          <w:lang w:val="en-GB"/>
        </w:rPr>
        <w:br/>
        <w:t>through profit or loss as operating income within the Income Statement.</w:t>
      </w:r>
    </w:p>
    <w:p w:rsidRPr="009C48DA" w:rsidR="00661519" w:rsidP="00661519" w:rsidRDefault="00661519" w14:paraId="455E2972" w14:textId="77777777">
      <w:pPr>
        <w:rPr>
          <w:rFonts w:eastAsia="Times New Roman"/>
          <w:color w:val="000000"/>
          <w:sz w:val="16"/>
          <w:lang w:val="en-GB"/>
        </w:rPr>
      </w:pPr>
    </w:p>
    <w:p w:rsidRPr="009C48DA" w:rsidR="00661519" w:rsidP="00661519" w:rsidRDefault="00661519" w14:paraId="4868C471" w14:textId="77777777">
      <w:pPr>
        <w:rPr>
          <w:rFonts w:eastAsia="Times New Roman"/>
          <w:b/>
          <w:color w:val="000000"/>
          <w:sz w:val="16"/>
          <w:u w:val="single"/>
          <w:lang w:val="en-GB"/>
        </w:rPr>
      </w:pPr>
      <w:r w:rsidRPr="009C48DA">
        <w:rPr>
          <w:rFonts w:eastAsia="Times New Roman"/>
          <w:b/>
          <w:color w:val="000000"/>
          <w:sz w:val="16"/>
          <w:u w:val="single"/>
          <w:lang w:val="en-GB"/>
        </w:rPr>
        <w:t xml:space="preserve">Consolidation of CLOs </w:t>
      </w:r>
    </w:p>
    <w:p w:rsidRPr="009C48DA" w:rsidR="00661519" w:rsidP="00661519" w:rsidRDefault="00661519" w14:paraId="76450E92" w14:textId="77777777">
      <w:pPr>
        <w:jc w:val="both"/>
        <w:textAlignment w:val="baseline"/>
        <w:rPr>
          <w:rFonts w:eastAsia="Times New Roman" w:cs="Times New Roman"/>
          <w:color w:val="000000"/>
          <w:sz w:val="16"/>
          <w:szCs w:val="22"/>
          <w:lang w:val="en-GB"/>
        </w:rPr>
      </w:pPr>
    </w:p>
    <w:p w:rsidRPr="009C48DA" w:rsidR="00661519" w:rsidP="00661519" w:rsidRDefault="00661519" w14:paraId="524CE9FA" w14:textId="77777777">
      <w:pPr>
        <w:spacing w:before="21" w:line="184" w:lineRule="exact"/>
        <w:jc w:val="both"/>
        <w:textAlignment w:val="baseline"/>
        <w:rPr>
          <w:rFonts w:eastAsia="Times New Roman"/>
          <w:color w:val="000000"/>
          <w:spacing w:val="-1"/>
          <w:sz w:val="16"/>
          <w:lang w:val="en-GB"/>
        </w:rPr>
      </w:pPr>
      <w:r w:rsidRPr="009C48DA">
        <w:rPr>
          <w:rFonts w:eastAsia="Times New Roman"/>
          <w:color w:val="000000"/>
          <w:spacing w:val="-1"/>
          <w:sz w:val="16"/>
          <w:lang w:val="en-GB"/>
        </w:rPr>
        <w:t xml:space="preserve">The Group consolidates Bridgepoint CLO I DAC (“CLO I”) and the warehoused vehicle for CLO II DAC (“CLO II”) as it is considered to </w:t>
      </w:r>
      <w:r w:rsidRPr="009C48DA">
        <w:rPr>
          <w:rFonts w:eastAsia="Times New Roman"/>
          <w:color w:val="000000"/>
          <w:spacing w:val="-1"/>
          <w:sz w:val="16"/>
          <w:lang w:val="en-GB"/>
        </w:rPr>
        <w:br/>
        <w:t xml:space="preserve">have both the power, as the asset manager to impact the returns of the vehicles, and exposure to variable returns from its involvement as an </w:t>
      </w:r>
      <w:r w:rsidRPr="009C48DA">
        <w:rPr>
          <w:rFonts w:eastAsia="Times New Roman"/>
          <w:color w:val="000000"/>
          <w:spacing w:val="-1"/>
          <w:sz w:val="16"/>
          <w:lang w:val="en-GB"/>
        </w:rPr>
        <w:br/>
        <w:t xml:space="preserve">investor in the subordinated notes. The subordinated notes are the tranche that is most exposed to the risk of portfolio assets failing to pay as </w:t>
      </w:r>
      <w:r w:rsidRPr="009C48DA">
        <w:rPr>
          <w:rFonts w:eastAsia="Times New Roman"/>
          <w:color w:val="000000"/>
          <w:spacing w:val="-1"/>
          <w:sz w:val="16"/>
          <w:lang w:val="en-GB"/>
        </w:rPr>
        <w:br/>
        <w:t xml:space="preserve">they are the first to absorb any losses. The Group holds the majority of the subordinated notes in both vehicles. The directors have therefore concluded that the Group is principal and should consolidate. </w:t>
      </w:r>
    </w:p>
    <w:p w:rsidRPr="009C48DA" w:rsidR="00661519" w:rsidP="00661519" w:rsidRDefault="00661519" w14:paraId="6BB90E3C" w14:textId="77777777">
      <w:pPr>
        <w:spacing w:before="21" w:line="184" w:lineRule="exact"/>
        <w:jc w:val="both"/>
        <w:textAlignment w:val="baseline"/>
        <w:rPr>
          <w:rFonts w:eastAsia="Times New Roman"/>
          <w:color w:val="000000"/>
          <w:spacing w:val="-1"/>
          <w:sz w:val="16"/>
          <w:lang w:val="en-GB"/>
        </w:rPr>
      </w:pPr>
    </w:p>
    <w:p w:rsidRPr="009C48DA" w:rsidR="00661519" w:rsidP="00661519" w:rsidRDefault="00661519" w14:paraId="3563FBA6" w14:textId="77777777">
      <w:pPr>
        <w:jc w:val="both"/>
        <w:rPr>
          <w:rFonts w:eastAsia="Times New Roman"/>
          <w:color w:val="000000"/>
          <w:sz w:val="16"/>
          <w:lang w:val="en-GB"/>
        </w:rPr>
      </w:pPr>
      <w:r w:rsidRPr="009C48DA">
        <w:rPr>
          <w:rFonts w:eastAsia="Times New Roman"/>
          <w:color w:val="000000"/>
          <w:sz w:val="16"/>
          <w:lang w:val="en-GB"/>
        </w:rPr>
        <w:t xml:space="preserve">The assets and liabilities of the CLO are held within separate legal entities and, as a result, the liabilities of the CLO are non-recourse to the Group. The consolidation of the CLOs has a significant gross-up on the Group’s assets and liabilities, which are shown gross on the face of </w:t>
      </w:r>
      <w:r w:rsidRPr="009C48DA">
        <w:rPr>
          <w:rFonts w:eastAsia="Times New Roman"/>
          <w:color w:val="000000"/>
          <w:sz w:val="16"/>
          <w:lang w:val="en-GB"/>
        </w:rPr>
        <w:br/>
        <w:t>the Balance Sheet and Cash Flow as separate lines but has no net effect on the profit or loss, cash flows or net assets.</w:t>
      </w:r>
    </w:p>
    <w:p w:rsidRPr="009C48DA" w:rsidR="00661519" w:rsidP="00661519" w:rsidRDefault="00661519" w14:paraId="57B9DFDA" w14:textId="77777777">
      <w:pPr>
        <w:jc w:val="both"/>
        <w:rPr>
          <w:rFonts w:eastAsia="Times New Roman"/>
          <w:color w:val="000000"/>
          <w:sz w:val="16"/>
          <w:lang w:val="en-GB"/>
        </w:rPr>
      </w:pPr>
    </w:p>
    <w:p w:rsidRPr="009C48DA" w:rsidR="00661519" w:rsidP="00661519" w:rsidRDefault="00661519" w14:paraId="10CD9227" w14:textId="77777777">
      <w:pPr>
        <w:jc w:val="both"/>
        <w:rPr>
          <w:rFonts w:eastAsia="Times New Roman"/>
          <w:color w:val="000000"/>
          <w:sz w:val="16"/>
          <w:lang w:val="en-GB"/>
        </w:rPr>
      </w:pPr>
      <w:r w:rsidRPr="009C48DA">
        <w:rPr>
          <w:rFonts w:eastAsia="Times New Roman"/>
          <w:color w:val="000000"/>
          <w:sz w:val="16"/>
          <w:lang w:val="en-GB"/>
        </w:rPr>
        <w:t xml:space="preserve">Details of the assets and liabilities are included in note 17 and 18. </w:t>
      </w:r>
    </w:p>
    <w:p w:rsidRPr="009C48DA" w:rsidR="00661519" w:rsidP="00661519" w:rsidRDefault="00661519" w14:paraId="396CA17C" w14:textId="77777777">
      <w:pPr>
        <w:rPr>
          <w:rFonts w:eastAsia="Times New Roman"/>
          <w:color w:val="000000"/>
          <w:sz w:val="16"/>
          <w:lang w:val="en-GB"/>
        </w:rPr>
      </w:pPr>
    </w:p>
    <w:p w:rsidRPr="009C48DA" w:rsidR="00661519" w:rsidP="00661519" w:rsidRDefault="00661519" w14:paraId="177BD82F" w14:textId="77777777">
      <w:pPr>
        <w:rPr>
          <w:rFonts w:eastAsia="Times New Roman"/>
          <w:b/>
          <w:color w:val="000000"/>
          <w:sz w:val="16"/>
          <w:u w:val="single"/>
          <w:lang w:val="en-GB"/>
        </w:rPr>
      </w:pPr>
      <w:r w:rsidRPr="009C48DA">
        <w:rPr>
          <w:rFonts w:eastAsia="Times New Roman"/>
          <w:b/>
          <w:color w:val="000000"/>
          <w:sz w:val="16"/>
          <w:u w:val="single"/>
          <w:lang w:val="en-GB"/>
        </w:rPr>
        <w:t>Consolidation of Carried Interest Partnerships</w:t>
      </w:r>
    </w:p>
    <w:p w:rsidRPr="009C48DA" w:rsidR="00661519" w:rsidP="00661519" w:rsidRDefault="00661519" w14:paraId="05213727" w14:textId="77777777">
      <w:pPr>
        <w:rPr>
          <w:rFonts w:eastAsia="Times New Roman"/>
          <w:color w:val="000000"/>
          <w:sz w:val="16"/>
          <w:lang w:val="en-GB"/>
        </w:rPr>
      </w:pPr>
      <w:r w:rsidRPr="009C48DA">
        <w:rPr>
          <w:rFonts w:eastAsia="Times New Roman"/>
          <w:color w:val="000000"/>
          <w:sz w:val="16"/>
          <w:lang w:val="en-GB"/>
        </w:rPr>
        <w:t xml:space="preserve">As a fund manager to its Private Equity and Credit Funds, the Group participates in Carried Interest Partnerships (CIPs), the participants of </w:t>
      </w:r>
      <w:r w:rsidRPr="009C48DA">
        <w:rPr>
          <w:rFonts w:eastAsia="Times New Roman"/>
          <w:color w:val="000000"/>
          <w:sz w:val="16"/>
          <w:lang w:val="en-GB"/>
        </w:rPr>
        <w:br/>
        <w:t xml:space="preserve">which are the Group, certain of the Group’s employees and others connected to the underlying fund. These vehicles have two purposes: 1) to facilitate payments of carried interest from the fund to carried interest participants, and 2) to facilitate individual co-investment into the </w:t>
      </w:r>
      <w:r w:rsidRPr="009C48DA">
        <w:rPr>
          <w:rFonts w:eastAsia="Times New Roman"/>
          <w:color w:val="000000"/>
          <w:sz w:val="16"/>
          <w:lang w:val="en-GB"/>
        </w:rPr>
        <w:br/>
        <w:t xml:space="preserve">funds. </w:t>
      </w:r>
    </w:p>
    <w:p w:rsidRPr="009C48DA" w:rsidR="00661519" w:rsidP="00661519" w:rsidRDefault="00661519" w14:paraId="664D8FDC" w14:textId="77777777">
      <w:pPr>
        <w:spacing w:before="178" w:line="187" w:lineRule="exact"/>
        <w:jc w:val="both"/>
        <w:textAlignment w:val="baseline"/>
        <w:rPr>
          <w:rFonts w:eastAsia="Times New Roman"/>
          <w:color w:val="000000"/>
          <w:sz w:val="16"/>
          <w:lang w:val="en-GB"/>
        </w:rPr>
      </w:pPr>
      <w:r w:rsidRPr="009C48DA">
        <w:rPr>
          <w:rFonts w:eastAsia="Times New Roman"/>
          <w:color w:val="000000"/>
          <w:sz w:val="16"/>
          <w:lang w:val="en-GB"/>
        </w:rPr>
        <w:t xml:space="preserve">The directors have undertaken a control assessment of each CIP in accordance with IFRS10 "Consolidation" to consider whether they </w:t>
      </w:r>
    </w:p>
    <w:p w:rsidRPr="009C48DA" w:rsidR="00661519" w:rsidP="00661519" w:rsidRDefault="00661519" w14:paraId="4894C9B5" w14:textId="77777777">
      <w:pPr>
        <w:spacing w:line="187" w:lineRule="exact"/>
        <w:jc w:val="both"/>
        <w:textAlignment w:val="baseline"/>
        <w:rPr>
          <w:rFonts w:eastAsia="Times New Roman"/>
          <w:color w:val="000000"/>
          <w:sz w:val="16"/>
          <w:lang w:val="en-GB"/>
        </w:rPr>
      </w:pPr>
      <w:r w:rsidRPr="009C48DA">
        <w:rPr>
          <w:rFonts w:eastAsia="Times New Roman"/>
          <w:color w:val="000000"/>
          <w:sz w:val="16"/>
          <w:lang w:val="en-GB"/>
        </w:rPr>
        <w:t>should consolidate the CIP.</w:t>
      </w:r>
    </w:p>
    <w:p w:rsidRPr="009C48DA" w:rsidR="00661519" w:rsidP="00661519" w:rsidRDefault="00661519" w14:paraId="0F0AF5FB" w14:textId="77777777">
      <w:pPr>
        <w:rPr>
          <w:rFonts w:eastAsia="Times New Roman"/>
          <w:color w:val="000000"/>
          <w:sz w:val="16"/>
          <w:lang w:val="en-GB"/>
        </w:rPr>
      </w:pPr>
    </w:p>
    <w:p w:rsidRPr="009C48DA" w:rsidR="00661519" w:rsidP="00661519" w:rsidRDefault="00661519" w14:paraId="328B4DC4" w14:textId="77777777">
      <w:pPr>
        <w:spacing w:before="25" w:line="183" w:lineRule="exact"/>
        <w:jc w:val="both"/>
        <w:textAlignment w:val="baseline"/>
        <w:rPr>
          <w:rFonts w:eastAsia="Times New Roman"/>
          <w:color w:val="000000"/>
          <w:sz w:val="16"/>
          <w:lang w:val="en-GB"/>
        </w:rPr>
      </w:pPr>
      <w:r w:rsidRPr="009C48DA">
        <w:rPr>
          <w:rFonts w:eastAsia="Times New Roman"/>
          <w:color w:val="000000"/>
          <w:sz w:val="16"/>
          <w:lang w:val="en-GB"/>
        </w:rPr>
        <w:t xml:space="preserve">The directors have considered the legal nature of the relationships between the relevant fund, the CIPs and the CIP participants and have determined that the power to control the CIPs (which are entitled to the carried interest from the funds) ultimately resides with the fund </w:t>
      </w:r>
      <w:r w:rsidRPr="009C48DA">
        <w:rPr>
          <w:rFonts w:eastAsia="Times New Roman"/>
          <w:color w:val="000000"/>
          <w:sz w:val="16"/>
          <w:lang w:val="en-GB"/>
        </w:rPr>
        <w:br/>
        <w:t xml:space="preserve">investors and that the Group is therefore an agent and not a principal. </w:t>
      </w:r>
    </w:p>
    <w:p w:rsidRPr="009C48DA" w:rsidR="00661519" w:rsidP="00661519" w:rsidRDefault="00661519" w14:paraId="253318CB" w14:textId="77777777">
      <w:pPr>
        <w:spacing w:before="25" w:line="183" w:lineRule="exact"/>
        <w:jc w:val="both"/>
        <w:textAlignment w:val="baseline"/>
        <w:rPr>
          <w:rFonts w:eastAsia="Times New Roman"/>
          <w:color w:val="000000"/>
          <w:sz w:val="16"/>
          <w:lang w:val="en-GB"/>
        </w:rPr>
      </w:pPr>
    </w:p>
    <w:p w:rsidRPr="009C48DA" w:rsidR="00661519" w:rsidP="00661519" w:rsidRDefault="00661519" w14:paraId="344AED40" w14:textId="77777777">
      <w:pPr>
        <w:spacing w:before="25" w:line="183" w:lineRule="exact"/>
        <w:jc w:val="both"/>
        <w:textAlignment w:val="baseline"/>
        <w:rPr>
          <w:rFonts w:eastAsia="Times New Roman"/>
          <w:color w:val="000000"/>
          <w:sz w:val="16"/>
          <w:lang w:val="en-GB"/>
        </w:rPr>
      </w:pPr>
      <w:r w:rsidRPr="009C48DA">
        <w:rPr>
          <w:rFonts w:eastAsia="Times New Roman"/>
          <w:color w:val="000000"/>
          <w:sz w:val="16"/>
          <w:lang w:val="en-GB"/>
        </w:rPr>
        <w:t xml:space="preserve">This is because the purpose and design of the CIPs and the carry rights in the fund are determined at the outset by the fund’s LPA which </w:t>
      </w:r>
      <w:r w:rsidRPr="009C48DA">
        <w:rPr>
          <w:rFonts w:eastAsia="Times New Roman"/>
          <w:color w:val="000000"/>
          <w:sz w:val="16"/>
          <w:lang w:val="en-GB"/>
        </w:rPr>
        <w:br/>
        <w:t xml:space="preserve">requires investor agreement and reflects investor expectations to incentivise individuals to enhance performance of the underlying fund. The Group does not primarily benefit as its principal revenue stream is management fees based on commitments or invested capital. While the </w:t>
      </w:r>
      <w:r w:rsidRPr="009C48DA">
        <w:rPr>
          <w:rFonts w:eastAsia="Times New Roman"/>
          <w:color w:val="000000"/>
          <w:sz w:val="16"/>
          <w:lang w:val="en-GB"/>
        </w:rPr>
        <w:br/>
        <w:t>Group has some power over the Adjudication Committees of the CIPs, these powers are limited and represent the best interests of all carried interest holders collectively and hence, these are assessed to be on behalf of the fund investors.</w:t>
      </w:r>
    </w:p>
    <w:p w:rsidRPr="009C48DA" w:rsidR="00661519" w:rsidP="00661519" w:rsidRDefault="00661519" w14:paraId="397C915C" w14:textId="77777777">
      <w:pPr>
        <w:spacing w:before="188" w:line="183" w:lineRule="exact"/>
        <w:jc w:val="both"/>
        <w:textAlignment w:val="baseline"/>
        <w:rPr>
          <w:rFonts w:eastAsia="Times New Roman"/>
          <w:color w:val="000000"/>
          <w:sz w:val="16"/>
          <w:lang w:val="en-GB"/>
        </w:rPr>
      </w:pPr>
      <w:r w:rsidRPr="009C48DA">
        <w:rPr>
          <w:rFonts w:eastAsia="Times New Roman"/>
          <w:color w:val="000000"/>
          <w:sz w:val="16"/>
          <w:lang w:val="en-GB"/>
        </w:rPr>
        <w:t xml:space="preserve">The directors have assessed the payments and the returns the carried interest holders make and receive from their investment in carried </w:t>
      </w:r>
      <w:r w:rsidRPr="009C48DA">
        <w:rPr>
          <w:rFonts w:eastAsia="Times New Roman"/>
          <w:color w:val="000000"/>
          <w:sz w:val="16"/>
          <w:lang w:val="en-GB"/>
        </w:rPr>
        <w:br/>
        <w:t xml:space="preserve">interest and have considered whether those carried interest holders who are also employees of the Group were providing a service for the </w:t>
      </w:r>
      <w:r w:rsidRPr="009C48DA">
        <w:rPr>
          <w:rFonts w:eastAsia="Times New Roman"/>
          <w:color w:val="000000"/>
          <w:sz w:val="16"/>
          <w:lang w:val="en-GB"/>
        </w:rPr>
        <w:br/>
        <w:t xml:space="preserve">benefit of the Group or the investors in the fund. The directors have concluded that the carried interest represents a separate relationship between the fund investors and the individual employees and that the carried interest represents an investment requiring the individuals to put their own </w:t>
      </w:r>
      <w:r w:rsidRPr="009C48DA">
        <w:rPr>
          <w:rFonts w:eastAsia="Times New Roman"/>
          <w:color w:val="000000"/>
          <w:sz w:val="16"/>
          <w:lang w:val="en-GB"/>
        </w:rPr>
        <w:br/>
        <w:t xml:space="preserve">capital at risk and that, after an initial vesting period, continued rights to returns from the investment is not dictated by </w:t>
      </w:r>
    </w:p>
    <w:p w:rsidRPr="009C48DA" w:rsidR="00661519" w:rsidP="00661519" w:rsidRDefault="00661519" w14:paraId="7AE1397B" w14:textId="77777777">
      <w:pPr>
        <w:spacing w:after="182" w:line="183" w:lineRule="exact"/>
        <w:jc w:val="both"/>
        <w:textAlignment w:val="baseline"/>
        <w:rPr>
          <w:rFonts w:eastAsia="Times New Roman"/>
          <w:color w:val="000000"/>
          <w:sz w:val="16"/>
          <w:lang w:val="en-GB"/>
        </w:rPr>
      </w:pPr>
      <w:r w:rsidRPr="009C48DA">
        <w:rPr>
          <w:rFonts w:eastAsia="Times New Roman"/>
          <w:color w:val="000000"/>
          <w:sz w:val="16"/>
          <w:lang w:val="en-GB"/>
        </w:rPr>
        <w:t>continuation of employment.</w:t>
      </w:r>
    </w:p>
    <w:p w:rsidRPr="009C48DA" w:rsidR="00661519" w:rsidP="00661519" w:rsidRDefault="00661519" w14:paraId="2D671354" w14:textId="77777777">
      <w:pPr>
        <w:spacing w:before="188" w:after="182" w:line="183" w:lineRule="exact"/>
        <w:jc w:val="both"/>
        <w:textAlignment w:val="baseline"/>
        <w:rPr>
          <w:rFonts w:eastAsia="Times New Roman"/>
          <w:color w:val="000000"/>
          <w:sz w:val="16"/>
          <w:lang w:val="en-GB"/>
        </w:rPr>
      </w:pPr>
      <w:r w:rsidRPr="009C48DA">
        <w:rPr>
          <w:rFonts w:eastAsia="Times New Roman"/>
          <w:color w:val="000000"/>
          <w:sz w:val="16"/>
          <w:lang w:val="en-GB"/>
        </w:rPr>
        <w:t>In addition the directors have also considered the variability of returns for all CIPs that currently have value under IFRS 15 and in doing so have determined that the Group is exposed to limited variable returns in the range 5-25% with the main beneficiaries of the CIP variable returns being the other participants. The directors concluded that the CIPs are not controlled by the Group and therefore should not be consolidated.</w:t>
      </w:r>
    </w:p>
    <w:p w:rsidRPr="009C48DA" w:rsidR="00661519" w:rsidP="00661519" w:rsidRDefault="00661519" w14:paraId="665D49DE" w14:textId="77777777">
      <w:pPr>
        <w:spacing w:before="188" w:after="182" w:line="183" w:lineRule="exact"/>
        <w:jc w:val="both"/>
        <w:textAlignment w:val="baseline"/>
        <w:rPr>
          <w:rFonts w:eastAsia="Times New Roman"/>
          <w:color w:val="000000"/>
          <w:sz w:val="16"/>
          <w:lang w:val="en-GB"/>
        </w:rPr>
      </w:pPr>
      <w:r w:rsidRPr="009C48DA">
        <w:rPr>
          <w:rFonts w:eastAsia="Times New Roman"/>
          <w:color w:val="000000"/>
          <w:sz w:val="16"/>
          <w:lang w:val="en-GB"/>
        </w:rPr>
        <w:lastRenderedPageBreak/>
        <w:t xml:space="preserve">Where the Group has a share of 20% or more of the rights to the carried interest, the Group is considered to have significant influence. </w:t>
      </w:r>
      <w:r w:rsidRPr="009C48DA">
        <w:rPr>
          <w:rFonts w:eastAsia="Times New Roman"/>
          <w:color w:val="000000"/>
          <w:sz w:val="16"/>
          <w:lang w:val="en-GB"/>
        </w:rPr>
        <w:br/>
        <w:t xml:space="preserve">Accordingly, the BDC III carry scheme, where the Group holds an interest of 25%, is considered an associate. Details of the associate are set out within note 28(d). </w:t>
      </w:r>
    </w:p>
    <w:p w:rsidRPr="009C48DA" w:rsidR="00661519" w:rsidP="00661519" w:rsidRDefault="00661519" w14:paraId="23E7A703" w14:textId="77777777">
      <w:pPr>
        <w:jc w:val="both"/>
        <w:textAlignment w:val="baseline"/>
        <w:rPr>
          <w:rFonts w:eastAsia="Times New Roman" w:cs="Times New Roman"/>
          <w:b/>
          <w:color w:val="000000"/>
          <w:sz w:val="16"/>
          <w:szCs w:val="16"/>
          <w:lang w:val="en-GB"/>
        </w:rPr>
      </w:pPr>
      <w:r w:rsidRPr="009C48DA">
        <w:rPr>
          <w:rFonts w:eastAsia="Times New Roman"/>
          <w:color w:val="000000"/>
          <w:sz w:val="16"/>
          <w:lang w:val="en-GB"/>
        </w:rPr>
        <w:t>The gross value (under IFRS 15 "Revenue from Contracts and Customers") of the carried interest earned by participants in the CIPs which is not included in the Group's Income Statement totalled £247m, £178m and £205m in each of the years ended 31 December 2020, 2019 and 2018.</w:t>
      </w:r>
    </w:p>
    <w:p w:rsidRPr="009C48DA" w:rsidR="00661519" w:rsidP="00661519" w:rsidRDefault="00661519" w14:paraId="08FEDE02" w14:textId="77777777">
      <w:pPr>
        <w:textAlignment w:val="baseline"/>
        <w:rPr>
          <w:rFonts w:eastAsia="Times New Roman" w:cs="Times New Roman"/>
          <w:b/>
          <w:color w:val="000000"/>
          <w:sz w:val="16"/>
          <w:szCs w:val="16"/>
          <w:lang w:val="en-GB"/>
        </w:rPr>
      </w:pPr>
    </w:p>
    <w:p w:rsidRPr="009C48DA" w:rsidR="00661519" w:rsidP="00661519" w:rsidRDefault="00661519" w14:paraId="3497A3E1" w14:textId="77777777">
      <w:pPr>
        <w:textAlignment w:val="baseline"/>
        <w:rPr>
          <w:rFonts w:ascii="Times New Roman Bold" w:hAnsi="Times New Roman Bold" w:eastAsia="Times New Roman" w:cs="Times New Roman"/>
          <w:b/>
          <w:color w:val="000000"/>
          <w:sz w:val="16"/>
          <w:szCs w:val="16"/>
          <w:lang w:val="en-GB"/>
        </w:rPr>
      </w:pPr>
      <w:r w:rsidRPr="009C48DA">
        <w:rPr>
          <w:rFonts w:ascii="Times New Roman Bold" w:hAnsi="Times New Roman Bold" w:eastAsia="Times New Roman" w:cs="Times New Roman"/>
          <w:b/>
          <w:color w:val="000000"/>
          <w:sz w:val="16"/>
          <w:szCs w:val="16"/>
          <w:lang w:val="en-GB"/>
        </w:rPr>
        <w:t>(b)</w:t>
      </w:r>
      <w:r w:rsidRPr="009C48DA">
        <w:rPr>
          <w:rFonts w:ascii="Times New Roman Bold" w:hAnsi="Times New Roman Bold" w:eastAsia="Times New Roman" w:cs="Times New Roman"/>
          <w:b/>
          <w:color w:val="000000"/>
          <w:sz w:val="16"/>
          <w:szCs w:val="16"/>
          <w:lang w:val="en-GB"/>
        </w:rPr>
        <w:tab/>
        <w:t>Estimates</w:t>
      </w:r>
    </w:p>
    <w:p w:rsidRPr="009C48DA" w:rsidR="00661519" w:rsidP="00661519" w:rsidRDefault="00661519" w14:paraId="3876CE93" w14:textId="77777777">
      <w:pPr>
        <w:textAlignment w:val="baseline"/>
        <w:rPr>
          <w:rFonts w:eastAsia="Times New Roman" w:cs="Times New Roman"/>
          <w:b/>
          <w:color w:val="000000"/>
          <w:sz w:val="16"/>
          <w:szCs w:val="16"/>
          <w:lang w:val="en-GB"/>
        </w:rPr>
      </w:pPr>
    </w:p>
    <w:p w:rsidRPr="009C48DA" w:rsidR="00661519" w:rsidP="00661519" w:rsidRDefault="00661519" w14:paraId="40DF9D17" w14:textId="77777777">
      <w:pPr>
        <w:textAlignment w:val="baseline"/>
        <w:rPr>
          <w:rFonts w:eastAsia="Times New Roman" w:cs="Times New Roman"/>
          <w:b/>
          <w:color w:val="000000"/>
          <w:sz w:val="16"/>
          <w:szCs w:val="16"/>
          <w:u w:val="single"/>
          <w:lang w:val="en-GB"/>
        </w:rPr>
      </w:pPr>
      <w:r w:rsidRPr="009C48DA">
        <w:rPr>
          <w:rFonts w:eastAsia="Times New Roman" w:cs="Times New Roman"/>
          <w:b/>
          <w:color w:val="000000"/>
          <w:sz w:val="16"/>
          <w:szCs w:val="16"/>
          <w:u w:val="single"/>
          <w:lang w:val="en-GB"/>
        </w:rPr>
        <w:t>Recognition and measurement of carried interest revenue</w:t>
      </w:r>
    </w:p>
    <w:p w:rsidRPr="009C48DA" w:rsidR="00661519" w:rsidP="00661519" w:rsidRDefault="00661519" w14:paraId="5D9A6454" w14:textId="77777777">
      <w:pPr>
        <w:jc w:val="both"/>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Carried interest revenue is only recognised to the extent it is highly probable that there would not be a significant reversal of any </w:t>
      </w:r>
      <w:r w:rsidRPr="009C48DA">
        <w:rPr>
          <w:rFonts w:eastAsia="Times New Roman" w:cs="Times New Roman"/>
          <w:color w:val="000000"/>
          <w:sz w:val="16"/>
          <w:szCs w:val="16"/>
          <w:lang w:val="en-GB"/>
        </w:rPr>
        <w:br/>
        <w:t>accumulated revenue recognised on the completion of a fund.</w:t>
      </w:r>
    </w:p>
    <w:p w:rsidRPr="009C48DA" w:rsidR="00661519" w:rsidP="00661519" w:rsidRDefault="00661519" w14:paraId="0707D6B7" w14:textId="77777777">
      <w:pPr>
        <w:jc w:val="both"/>
        <w:textAlignment w:val="baseline"/>
        <w:rPr>
          <w:rFonts w:eastAsia="Times New Roman" w:cs="Times New Roman"/>
          <w:color w:val="000000"/>
          <w:sz w:val="12"/>
          <w:szCs w:val="12"/>
          <w:lang w:val="en-GB"/>
        </w:rPr>
      </w:pPr>
    </w:p>
    <w:p w:rsidRPr="009C48DA" w:rsidR="00661519" w:rsidP="00661519" w:rsidRDefault="00661519" w14:paraId="52C4E90B" w14:textId="77777777">
      <w:pPr>
        <w:jc w:val="both"/>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In determining the amount of revenue to be recognised the Group is required to make assumptions and estimates when determining (i) </w:t>
      </w:r>
      <w:r w:rsidRPr="009C48DA">
        <w:rPr>
          <w:rFonts w:eastAsia="Times New Roman" w:cs="Times New Roman"/>
          <w:color w:val="000000"/>
          <w:sz w:val="16"/>
          <w:szCs w:val="16"/>
          <w:lang w:val="en-GB"/>
        </w:rPr>
        <w:br/>
        <w:t>whether or not revenue should be recognised and (ii) the timing and measurement of such amounts.</w:t>
      </w:r>
    </w:p>
    <w:p w:rsidRPr="009C48DA" w:rsidR="00661519" w:rsidP="00661519" w:rsidRDefault="00661519" w14:paraId="672D3E89" w14:textId="77777777">
      <w:pPr>
        <w:jc w:val="both"/>
        <w:textAlignment w:val="baseline"/>
        <w:rPr>
          <w:rFonts w:eastAsia="Times New Roman" w:cs="Times New Roman"/>
          <w:color w:val="000000"/>
          <w:sz w:val="16"/>
          <w:szCs w:val="16"/>
          <w:lang w:val="en-GB"/>
        </w:rPr>
      </w:pPr>
    </w:p>
    <w:p w:rsidRPr="009C48DA" w:rsidR="00661519" w:rsidP="00661519" w:rsidRDefault="00661519" w14:paraId="4DC4EB0E" w14:textId="77777777">
      <w:pPr>
        <w:jc w:val="both"/>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The Group base their assessment on the best available information pertaining to the funds and the activity of the underlying assets within </w:t>
      </w:r>
      <w:r w:rsidRPr="009C48DA">
        <w:rPr>
          <w:rFonts w:eastAsia="Times New Roman" w:cs="Times New Roman"/>
          <w:color w:val="000000"/>
          <w:sz w:val="16"/>
          <w:szCs w:val="16"/>
          <w:lang w:val="en-GB"/>
        </w:rPr>
        <w:br/>
        <w:t>that fund. This includes the current fund valuation and internal forecasts on the expected timing and disposal of fund assets.</w:t>
      </w:r>
    </w:p>
    <w:p w:rsidRPr="009C48DA" w:rsidR="00661519" w:rsidP="00661519" w:rsidRDefault="00661519" w14:paraId="167A5766" w14:textId="77777777">
      <w:pPr>
        <w:jc w:val="both"/>
        <w:rPr>
          <w:rFonts w:eastAsia="Times New Roman" w:cs="Times New Roman"/>
          <w:color w:val="000000"/>
          <w:sz w:val="16"/>
          <w:szCs w:val="16"/>
          <w:lang w:val="en-GB"/>
        </w:rPr>
      </w:pPr>
    </w:p>
    <w:p w:rsidRPr="009C48DA" w:rsidR="00661519" w:rsidP="00661519" w:rsidRDefault="00661519" w14:paraId="6E779954" w14:textId="77777777">
      <w:pPr>
        <w:jc w:val="both"/>
        <w:rPr>
          <w:rFonts w:eastAsia="Times New Roman" w:cs="Times New Roman"/>
          <w:color w:val="000000"/>
          <w:sz w:val="16"/>
          <w:szCs w:val="16"/>
          <w:lang w:val="en-GB"/>
        </w:rPr>
      </w:pPr>
      <w:r w:rsidRPr="009C48DA">
        <w:rPr>
          <w:rFonts w:eastAsia="Times New Roman"/>
          <w:color w:val="000000"/>
          <w:sz w:val="16"/>
          <w:lang w:val="en-GB"/>
        </w:rPr>
        <w:t>For private equity funds, the reversal risk is managed through the application of discounts of 30 to 50 percent to the fair values of unrealised investments where the realised and unrealised valuation of a fund exceeds the relevant carried interest hurdle.</w:t>
      </w:r>
    </w:p>
    <w:p w:rsidRPr="009C48DA" w:rsidR="00661519" w:rsidP="00661519" w:rsidRDefault="00661519" w14:paraId="7D420AF9" w14:textId="77777777">
      <w:pPr>
        <w:spacing w:before="106" w:line="182" w:lineRule="exact"/>
        <w:jc w:val="both"/>
        <w:textAlignment w:val="baseline"/>
        <w:rPr>
          <w:rFonts w:eastAsia="Times New Roman"/>
          <w:color w:val="000000"/>
          <w:sz w:val="16"/>
          <w:lang w:val="en-GB"/>
        </w:rPr>
      </w:pPr>
      <w:r w:rsidRPr="009C48DA">
        <w:rPr>
          <w:rFonts w:eastAsia="Times New Roman"/>
          <w:color w:val="000000"/>
          <w:sz w:val="16"/>
          <w:lang w:val="en-GB"/>
        </w:rPr>
        <w:t xml:space="preserve">For credit funds, which are more sensitive to the performance of individual investments within the portfolio, only funds that have either </w:t>
      </w:r>
      <w:r w:rsidRPr="009C48DA">
        <w:rPr>
          <w:rFonts w:eastAsia="Times New Roman"/>
          <w:color w:val="000000"/>
          <w:sz w:val="16"/>
          <w:lang w:val="en-GB"/>
        </w:rPr>
        <w:br/>
        <w:t>reached their hurdle or are expected to do so imminently are modelled on the same basis.</w:t>
      </w:r>
    </w:p>
    <w:p w:rsidRPr="009C48DA" w:rsidR="00661519" w:rsidP="00661519" w:rsidRDefault="00661519" w14:paraId="69ABDC2E" w14:textId="77777777">
      <w:pPr>
        <w:spacing w:before="98" w:line="185" w:lineRule="exact"/>
        <w:jc w:val="both"/>
        <w:textAlignment w:val="baseline"/>
        <w:rPr>
          <w:rFonts w:eastAsia="Times New Roman"/>
          <w:color w:val="000000"/>
          <w:sz w:val="16"/>
          <w:lang w:val="en-GB"/>
        </w:rPr>
      </w:pPr>
      <w:r w:rsidRPr="009C48DA">
        <w:rPr>
          <w:rFonts w:eastAsia="Times New Roman"/>
          <w:color w:val="000000"/>
          <w:sz w:val="16"/>
          <w:lang w:val="en-GB"/>
        </w:rPr>
        <w:t xml:space="preserve">The discount applied for each fund depends on the specific circumstances of each fund, taking into account diversity of assets, whether there </w:t>
      </w:r>
      <w:r w:rsidRPr="009C48DA">
        <w:rPr>
          <w:rFonts w:eastAsia="Times New Roman"/>
          <w:color w:val="000000"/>
          <w:sz w:val="16"/>
          <w:lang w:val="en-GB"/>
        </w:rPr>
        <w:br/>
        <w:t xml:space="preserve">has been a recent market correction (and whether this has been already factored into the valuation of the fund) and the expected average </w:t>
      </w:r>
      <w:r w:rsidRPr="009C48DA">
        <w:rPr>
          <w:rFonts w:eastAsia="Times New Roman"/>
          <w:color w:val="000000"/>
          <w:sz w:val="16"/>
          <w:lang w:val="en-GB"/>
        </w:rPr>
        <w:br/>
        <w:t>remaining holding period. The level of discounts applied are reassessed annually.</w:t>
      </w:r>
    </w:p>
    <w:p w:rsidRPr="009C48DA" w:rsidR="00661519" w:rsidP="00661519" w:rsidRDefault="00661519" w14:paraId="012AB5F1" w14:textId="77777777">
      <w:pPr>
        <w:spacing w:before="178" w:line="187" w:lineRule="exact"/>
        <w:jc w:val="both"/>
        <w:textAlignment w:val="baseline"/>
        <w:rPr>
          <w:rFonts w:eastAsia="Times New Roman"/>
          <w:color w:val="000000"/>
          <w:sz w:val="16"/>
          <w:lang w:val="en-GB"/>
        </w:rPr>
      </w:pPr>
      <w:r w:rsidRPr="009C48DA">
        <w:rPr>
          <w:rFonts w:eastAsia="Times New Roman"/>
          <w:color w:val="000000"/>
          <w:sz w:val="16"/>
          <w:lang w:val="en-GB"/>
        </w:rPr>
        <w:t>A sensitivity analysis on the impact of a change in the fair value of unrealised investments has been included in note 5.</w:t>
      </w:r>
    </w:p>
    <w:p w:rsidRPr="009C48DA" w:rsidR="00661519" w:rsidP="00661519" w:rsidRDefault="00661519" w14:paraId="5E92A13C" w14:textId="77777777">
      <w:pPr>
        <w:rPr>
          <w:rFonts w:eastAsia="Times New Roman" w:cs="Times New Roman"/>
          <w:b/>
          <w:color w:val="000000"/>
          <w:sz w:val="16"/>
          <w:szCs w:val="16"/>
          <w:u w:val="single"/>
          <w:lang w:val="en-GB"/>
        </w:rPr>
      </w:pPr>
    </w:p>
    <w:p w:rsidRPr="009C48DA" w:rsidR="00661519" w:rsidP="00661519" w:rsidRDefault="00661519" w14:paraId="3A406DF7" w14:textId="77777777">
      <w:pPr>
        <w:rPr>
          <w:rFonts w:eastAsia="Times New Roman" w:cs="Times New Roman"/>
          <w:b/>
          <w:color w:val="000000"/>
          <w:sz w:val="16"/>
          <w:szCs w:val="16"/>
          <w:u w:val="single"/>
          <w:lang w:val="en-GB"/>
        </w:rPr>
      </w:pPr>
      <w:r w:rsidRPr="009C48DA">
        <w:rPr>
          <w:rFonts w:eastAsia="Times New Roman" w:cs="Times New Roman"/>
          <w:b/>
          <w:color w:val="000000"/>
          <w:sz w:val="16"/>
          <w:szCs w:val="16"/>
          <w:u w:val="single"/>
          <w:lang w:val="en-GB"/>
        </w:rPr>
        <w:t>Valuation of fund investments at fair value</w:t>
      </w:r>
    </w:p>
    <w:p w:rsidRPr="009C48DA" w:rsidR="00661519" w:rsidP="00661519" w:rsidRDefault="00661519" w14:paraId="54C762A3" w14:textId="77777777">
      <w:pPr>
        <w:spacing w:before="12" w:line="185" w:lineRule="exact"/>
        <w:textAlignment w:val="baseline"/>
        <w:rPr>
          <w:rFonts w:eastAsia="Times New Roman"/>
          <w:color w:val="000000"/>
          <w:sz w:val="16"/>
          <w:lang w:val="en-GB"/>
        </w:rPr>
      </w:pPr>
      <w:r w:rsidRPr="009C48DA">
        <w:rPr>
          <w:rFonts w:eastAsia="Times New Roman"/>
          <w:color w:val="000000"/>
          <w:sz w:val="16"/>
          <w:lang w:val="en-GB"/>
        </w:rPr>
        <w:t>Fund investments at fair value consist of investments in private equity and credit funds. The investments are fair valued using the net asset</w:t>
      </w:r>
    </w:p>
    <w:p w:rsidRPr="009C48DA" w:rsidR="00661519" w:rsidP="00661519" w:rsidRDefault="00661519" w14:paraId="001FF31E" w14:textId="77777777">
      <w:pPr>
        <w:spacing w:line="185" w:lineRule="exact"/>
        <w:textAlignment w:val="baseline"/>
        <w:rPr>
          <w:rFonts w:eastAsia="Times New Roman"/>
          <w:color w:val="000000"/>
          <w:sz w:val="16"/>
          <w:lang w:val="en-GB"/>
        </w:rPr>
      </w:pPr>
      <w:r w:rsidRPr="009C48DA">
        <w:rPr>
          <w:rFonts w:eastAsia="Times New Roman"/>
          <w:color w:val="000000"/>
          <w:sz w:val="16"/>
          <w:lang w:val="en-GB"/>
        </w:rPr>
        <w:t>value of each fund, determined by the Manager. These funds are invested into direct and indirect equity and debt investments.</w:t>
      </w:r>
    </w:p>
    <w:p w:rsidRPr="009C48DA" w:rsidR="00661519" w:rsidP="00661519" w:rsidRDefault="00661519" w14:paraId="64BE6897" w14:textId="77777777">
      <w:pPr>
        <w:spacing w:before="104"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Portfolio assets within each fund are stated at fair value as determined in good faith by the Manager in accordance with the terms of the LPA </w:t>
      </w:r>
      <w:r w:rsidRPr="009C48DA">
        <w:rPr>
          <w:rFonts w:eastAsia="Times New Roman"/>
          <w:color w:val="000000"/>
          <w:sz w:val="16"/>
          <w:lang w:val="en-GB"/>
        </w:rPr>
        <w:br/>
        <w:t xml:space="preserve">of each fund and the International Private Equity and Venture Capital Valuation Guidelines (“IPEV”) and are reviewed and approved by the relevant Bridgepoint Valuation Committee. The valuations provided by the Managers typically reflect the fair value of the Group’s </w:t>
      </w:r>
      <w:r w:rsidRPr="009C48DA">
        <w:rPr>
          <w:rFonts w:eastAsia="Times New Roman"/>
          <w:color w:val="000000"/>
          <w:sz w:val="16"/>
          <w:lang w:val="en-GB"/>
        </w:rPr>
        <w:br/>
        <w:t>proportionate share of capital account balance of each investment as at the reporting date or the latest available date.</w:t>
      </w:r>
    </w:p>
    <w:p w:rsidRPr="009C48DA" w:rsidR="00661519" w:rsidP="00661519" w:rsidRDefault="00661519" w14:paraId="77BF4684" w14:textId="77777777">
      <w:pPr>
        <w:spacing w:before="181"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The market approach is typically used for the valuation of the assets. This comprises valuation techniques such as market comparable </w:t>
      </w:r>
      <w:r w:rsidRPr="009C48DA">
        <w:rPr>
          <w:rFonts w:eastAsia="Times New Roman"/>
          <w:color w:val="000000"/>
          <w:sz w:val="16"/>
          <w:lang w:val="en-GB"/>
        </w:rPr>
        <w:br/>
        <w:t xml:space="preserve">companies and multiple techniques. A market comparable approach uses quoted market prices or third-party quotes for similar instruments </w:t>
      </w:r>
      <w:r w:rsidRPr="009C48DA">
        <w:rPr>
          <w:rFonts w:eastAsia="Times New Roman"/>
          <w:color w:val="000000"/>
          <w:sz w:val="16"/>
          <w:lang w:val="en-GB"/>
        </w:rPr>
        <w:br/>
        <w:t xml:space="preserve">to determine the fair value of a financial asset. A multiple approach can be used in the valuation of less liquid securities, which typically </w:t>
      </w:r>
      <w:r w:rsidRPr="009C48DA">
        <w:rPr>
          <w:rFonts w:eastAsia="Times New Roman"/>
          <w:color w:val="000000"/>
          <w:sz w:val="16"/>
          <w:lang w:val="en-GB"/>
        </w:rPr>
        <w:br/>
        <w:t>form the majority of assets within a private equity or credit fund.</w:t>
      </w:r>
    </w:p>
    <w:p w:rsidRPr="009C48DA" w:rsidR="00661519" w:rsidP="00661519" w:rsidRDefault="00661519" w14:paraId="00012021" w14:textId="77777777">
      <w:pPr>
        <w:spacing w:before="109" w:line="183" w:lineRule="exact"/>
        <w:jc w:val="both"/>
        <w:textAlignment w:val="baseline"/>
        <w:rPr>
          <w:rFonts w:eastAsia="Times New Roman"/>
          <w:color w:val="000000"/>
          <w:sz w:val="16"/>
          <w:lang w:val="en-GB"/>
        </w:rPr>
      </w:pPr>
      <w:r w:rsidRPr="009C48DA">
        <w:rPr>
          <w:rFonts w:eastAsia="Times New Roman"/>
          <w:color w:val="000000"/>
          <w:sz w:val="16"/>
          <w:lang w:val="en-GB"/>
        </w:rPr>
        <w:t xml:space="preserve">Comparable companies and multiple techniques assume that the valuation of unquoted direct investments can be assessed by comparing performance measure multiples of similar quoted assets for which observable market prices are readily available. Comparable public </w:t>
      </w:r>
      <w:r w:rsidRPr="009C48DA">
        <w:rPr>
          <w:rFonts w:eastAsia="Times New Roman"/>
          <w:color w:val="000000"/>
          <w:sz w:val="16"/>
          <w:lang w:val="en-GB"/>
        </w:rPr>
        <w:br/>
        <w:t xml:space="preserve">companies are selected based on factors such as industry, size, stage of development and strategy. The most appropriate performance </w:t>
      </w:r>
      <w:r w:rsidRPr="009C48DA">
        <w:rPr>
          <w:rFonts w:eastAsia="Times New Roman"/>
          <w:color w:val="000000"/>
          <w:sz w:val="16"/>
          <w:lang w:val="en-GB"/>
        </w:rPr>
        <w:br/>
        <w:t xml:space="preserve">measure for determining the valuation of the relevant investment is selected (which may include EBITDA, price/earning ratios for earnings </w:t>
      </w:r>
      <w:r w:rsidRPr="009C48DA">
        <w:rPr>
          <w:rFonts w:eastAsia="Times New Roman"/>
          <w:color w:val="000000"/>
          <w:sz w:val="16"/>
          <w:lang w:val="en-GB"/>
        </w:rPr>
        <w:br/>
        <w:t xml:space="preserve">or price/book ratios for book values). Trading multiples for each comparable company identified are calculated by dividing the value of the comparable company by the defined performance measure. The relevant trading multiples might be subject to adjustment for general </w:t>
      </w:r>
      <w:r w:rsidRPr="009C48DA">
        <w:rPr>
          <w:rFonts w:eastAsia="Times New Roman"/>
          <w:color w:val="000000"/>
          <w:sz w:val="16"/>
          <w:lang w:val="en-GB"/>
        </w:rPr>
        <w:br/>
        <w:t xml:space="preserve">qualitative differences such as liquidity, growth rate or quality of customer base between the valued direct investment and the group of </w:t>
      </w:r>
      <w:r w:rsidRPr="009C48DA">
        <w:rPr>
          <w:rFonts w:eastAsia="Times New Roman"/>
          <w:color w:val="000000"/>
          <w:sz w:val="16"/>
          <w:lang w:val="en-GB"/>
        </w:rPr>
        <w:br/>
        <w:t xml:space="preserve">comparable companies. The indicated fair value of the direct investment is determined by applying the relevant adjusted trading multiple to </w:t>
      </w:r>
      <w:r w:rsidRPr="009C48DA">
        <w:rPr>
          <w:rFonts w:eastAsia="Times New Roman"/>
          <w:color w:val="000000"/>
          <w:sz w:val="16"/>
          <w:lang w:val="en-GB"/>
        </w:rPr>
        <w:br/>
        <w:t>the identified performance measure of the valued company.</w:t>
      </w:r>
    </w:p>
    <w:p w:rsidRPr="009C48DA" w:rsidR="00661519" w:rsidP="00661519" w:rsidRDefault="00661519" w14:paraId="463A544D" w14:textId="77777777">
      <w:pPr>
        <w:spacing w:before="103"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Where available, valuation techniques use market-observable assumptions and inputs. If such information is not available, inputs may be </w:t>
      </w:r>
      <w:r w:rsidRPr="009C48DA">
        <w:rPr>
          <w:rFonts w:eastAsia="Times New Roman"/>
          <w:color w:val="000000"/>
          <w:sz w:val="16"/>
          <w:lang w:val="en-GB"/>
        </w:rPr>
        <w:br/>
        <w:t xml:space="preserve">derived by reference to similar assets and active markets, from recent prices for comparable transactions or from other observable market </w:t>
      </w:r>
      <w:r w:rsidRPr="009C48DA">
        <w:rPr>
          <w:rFonts w:eastAsia="Times New Roman"/>
          <w:color w:val="000000"/>
          <w:sz w:val="16"/>
          <w:lang w:val="en-GB"/>
        </w:rPr>
        <w:br/>
        <w:t xml:space="preserve">data. When measuring fair value, the Manager selects the non-market-observable inputs to be used in its valuation techniques based on a combination of historical experience, deviation of input levels based upon similar investments with observable price levels and knowledge </w:t>
      </w:r>
      <w:r w:rsidRPr="009C48DA">
        <w:rPr>
          <w:rFonts w:eastAsia="Times New Roman"/>
          <w:color w:val="000000"/>
          <w:sz w:val="16"/>
          <w:lang w:val="en-GB"/>
        </w:rPr>
        <w:br/>
        <w:t>of current market conditions and valuation approaches.</w:t>
      </w:r>
    </w:p>
    <w:p w:rsidRPr="009C48DA" w:rsidR="00661519" w:rsidP="00661519" w:rsidRDefault="00661519" w14:paraId="46C0DE4C" w14:textId="77777777">
      <w:pPr>
        <w:spacing w:before="184" w:line="183" w:lineRule="exact"/>
        <w:jc w:val="both"/>
        <w:textAlignment w:val="baseline"/>
        <w:rPr>
          <w:rFonts w:eastAsia="Times New Roman"/>
          <w:color w:val="000000"/>
          <w:sz w:val="16"/>
          <w:lang w:val="en-GB"/>
        </w:rPr>
      </w:pPr>
      <w:r w:rsidRPr="009C48DA">
        <w:rPr>
          <w:rFonts w:eastAsia="Times New Roman"/>
          <w:color w:val="000000"/>
          <w:sz w:val="16"/>
          <w:lang w:val="en-GB"/>
        </w:rPr>
        <w:t xml:space="preserve">Within its valuation techniques the Manager typically uses different unobservable input factors. Significant unobservable inputs include </w:t>
      </w:r>
      <w:r w:rsidRPr="009C48DA">
        <w:rPr>
          <w:rFonts w:eastAsia="Times New Roman"/>
          <w:color w:val="000000"/>
          <w:sz w:val="16"/>
          <w:lang w:val="en-GB"/>
        </w:rPr>
        <w:br/>
        <w:t xml:space="preserve">EBITDA multiples (based on budget/forward-looking EBITDA or historical EBITDA of the issuer and EBITDA multiples of comparable </w:t>
      </w:r>
      <w:r w:rsidRPr="009C48DA">
        <w:rPr>
          <w:rFonts w:eastAsia="Times New Roman"/>
          <w:color w:val="000000"/>
          <w:sz w:val="16"/>
          <w:lang w:val="en-GB"/>
        </w:rPr>
        <w:br/>
        <w:t xml:space="preserve">listed companies for an equivalent period), discount rates, price/earnings ratios and enterprise value/sales multiples. The Manager also </w:t>
      </w:r>
      <w:r w:rsidRPr="009C48DA">
        <w:rPr>
          <w:rFonts w:eastAsia="Times New Roman"/>
          <w:color w:val="000000"/>
          <w:sz w:val="16"/>
          <w:lang w:val="en-GB"/>
        </w:rPr>
        <w:br/>
        <w:t>considers the original transaction prices, recent transactions in the same or similar instruments and completed third party transactions in comparable instruments and adjusts the model as deemed necessary.</w:t>
      </w:r>
    </w:p>
    <w:p w:rsidRPr="009C48DA" w:rsidR="00661519" w:rsidP="00661519" w:rsidRDefault="00661519" w14:paraId="701CE685" w14:textId="77777777">
      <w:pPr>
        <w:spacing w:before="183" w:after="176" w:line="187" w:lineRule="exact"/>
        <w:textAlignment w:val="baseline"/>
        <w:rPr>
          <w:rFonts w:eastAsia="Times New Roman"/>
          <w:color w:val="000000"/>
          <w:sz w:val="16"/>
          <w:lang w:val="en-GB"/>
        </w:rPr>
      </w:pPr>
      <w:r w:rsidRPr="009C48DA">
        <w:rPr>
          <w:rFonts w:eastAsia="Times New Roman"/>
          <w:color w:val="000000"/>
          <w:sz w:val="16"/>
          <w:lang w:val="en-GB"/>
        </w:rPr>
        <w:t>Debt instruments may be quoted or subject to the availability of prices from independent loan pricing sources.</w:t>
      </w:r>
    </w:p>
    <w:p w:rsidRPr="009C48DA" w:rsidR="00661519" w:rsidP="00661519" w:rsidRDefault="00661519" w14:paraId="1FC45F26" w14:textId="77777777">
      <w:pPr>
        <w:spacing w:line="183" w:lineRule="exact"/>
        <w:jc w:val="both"/>
        <w:textAlignment w:val="baseline"/>
        <w:rPr>
          <w:rFonts w:eastAsia="Times New Roman"/>
          <w:color w:val="000000"/>
          <w:sz w:val="16"/>
          <w:lang w:val="en-GB"/>
        </w:rPr>
      </w:pPr>
      <w:r w:rsidRPr="009C48DA">
        <w:rPr>
          <w:rFonts w:eastAsia="Times New Roman"/>
          <w:color w:val="000000"/>
          <w:sz w:val="16"/>
          <w:lang w:val="en-GB"/>
        </w:rPr>
        <w:lastRenderedPageBreak/>
        <w:t>Due to the level of unobservable inputs within the determination of the valuation of individual assets within each fund, and no observable</w:t>
      </w:r>
      <w:r w:rsidRPr="009C48DA">
        <w:rPr>
          <w:rFonts w:eastAsia="Times New Roman"/>
          <w:color w:val="000000"/>
          <w:sz w:val="16"/>
          <w:lang w:val="en-GB"/>
        </w:rPr>
        <w:br/>
        <w:t>price for each investment in a fund, fund investments at fair value are classified as level 3 financial assets under IFRS 13 “Fair Value Measurement”.</w:t>
      </w:r>
    </w:p>
    <w:p w:rsidRPr="009C48DA" w:rsidR="00661519" w:rsidP="00661519" w:rsidRDefault="00661519" w14:paraId="4B82FEC2" w14:textId="77777777">
      <w:pPr>
        <w:spacing w:before="177" w:line="187" w:lineRule="exact"/>
        <w:textAlignment w:val="baseline"/>
        <w:rPr>
          <w:rFonts w:eastAsia="Times New Roman"/>
          <w:color w:val="000000"/>
          <w:sz w:val="16"/>
          <w:lang w:val="en-GB"/>
        </w:rPr>
      </w:pPr>
      <w:r w:rsidRPr="009C48DA">
        <w:rPr>
          <w:rFonts w:eastAsia="Times New Roman"/>
          <w:color w:val="000000"/>
          <w:sz w:val="16"/>
          <w:lang w:val="en-GB"/>
        </w:rPr>
        <w:t>A sensitivity analysis of the impact of a change in the fair value of fund investments is included within note 20(a).</w:t>
      </w:r>
    </w:p>
    <w:p w:rsidRPr="009C48DA" w:rsidR="00661519" w:rsidP="00661519" w:rsidRDefault="00661519" w14:paraId="7B743D07" w14:textId="77777777">
      <w:pPr>
        <w:rPr>
          <w:rFonts w:eastAsia="Times New Roman" w:cs="Times New Roman"/>
          <w:b/>
          <w:color w:val="000000"/>
          <w:sz w:val="16"/>
          <w:szCs w:val="16"/>
          <w:u w:val="single"/>
          <w:lang w:val="en-GB"/>
        </w:rPr>
      </w:pPr>
    </w:p>
    <w:p w:rsidRPr="009C48DA" w:rsidR="00661519" w:rsidP="00661519" w:rsidRDefault="00661519" w14:paraId="35562C9B" w14:textId="77777777">
      <w:pPr>
        <w:rPr>
          <w:rFonts w:eastAsia="Times New Roman" w:cs="Times New Roman"/>
          <w:b/>
          <w:color w:val="000000"/>
          <w:sz w:val="16"/>
          <w:szCs w:val="16"/>
          <w:u w:val="single"/>
          <w:lang w:val="en-GB"/>
        </w:rPr>
      </w:pPr>
      <w:r w:rsidRPr="009C48DA">
        <w:rPr>
          <w:rFonts w:eastAsia="Times New Roman" w:cs="Times New Roman"/>
          <w:b/>
          <w:color w:val="000000"/>
          <w:sz w:val="16"/>
          <w:szCs w:val="16"/>
          <w:u w:val="single"/>
          <w:lang w:val="en-GB"/>
        </w:rPr>
        <w:t>Valuation of CLO assets and liabilities</w:t>
      </w:r>
    </w:p>
    <w:p w:rsidRPr="009C48DA" w:rsidR="00661519" w:rsidP="00661519" w:rsidRDefault="00661519" w14:paraId="45FA01E9" w14:textId="77777777">
      <w:pPr>
        <w:spacing w:before="14" w:line="185" w:lineRule="exact"/>
        <w:jc w:val="both"/>
        <w:textAlignment w:val="baseline"/>
        <w:rPr>
          <w:rFonts w:eastAsia="Times New Roman"/>
          <w:color w:val="000000"/>
          <w:sz w:val="16"/>
          <w:lang w:val="en-GB"/>
        </w:rPr>
      </w:pPr>
      <w:r w:rsidRPr="009C48DA">
        <w:rPr>
          <w:rFonts w:eastAsia="Times New Roman"/>
          <w:color w:val="000000"/>
          <w:sz w:val="16"/>
          <w:lang w:val="en-GB"/>
        </w:rPr>
        <w:t xml:space="preserve">The loan asset portfolios of the consolidated CLO vehicles are valued using observable inputs such as recently executed transaction prices </w:t>
      </w:r>
      <w:r w:rsidRPr="009C48DA">
        <w:rPr>
          <w:rFonts w:eastAsia="Times New Roman"/>
          <w:color w:val="000000"/>
          <w:sz w:val="16"/>
          <w:lang w:val="en-GB"/>
        </w:rPr>
        <w:br/>
        <w:t xml:space="preserve">in securities of the issuer or comparable issuers and from independent loan pricing sources. To the extent that the significant inputs are </w:t>
      </w:r>
      <w:r w:rsidRPr="009C48DA">
        <w:rPr>
          <w:rFonts w:eastAsia="Times New Roman"/>
          <w:color w:val="000000"/>
          <w:sz w:val="16"/>
          <w:lang w:val="en-GB"/>
        </w:rPr>
        <w:br/>
        <w:t>observable, the Group categorises these investments as Level 2.</w:t>
      </w:r>
    </w:p>
    <w:p w:rsidRPr="009C48DA" w:rsidR="00661519" w:rsidP="00661519" w:rsidRDefault="00661519" w14:paraId="23282C0D" w14:textId="77777777">
      <w:pPr>
        <w:spacing w:before="14" w:line="185" w:lineRule="exact"/>
        <w:jc w:val="both"/>
        <w:textAlignment w:val="baseline"/>
        <w:rPr>
          <w:rFonts w:eastAsia="Times New Roman"/>
          <w:color w:val="000000"/>
          <w:sz w:val="16"/>
          <w:lang w:val="en-GB"/>
        </w:rPr>
      </w:pPr>
    </w:p>
    <w:p w:rsidRPr="009C48DA" w:rsidR="00661519" w:rsidP="00661519" w:rsidRDefault="00661519" w14:paraId="572EB17C" w14:textId="77777777">
      <w:pPr>
        <w:textAlignment w:val="baseline"/>
        <w:rPr>
          <w:rFonts w:eastAsia="Times New Roman"/>
          <w:color w:val="000000"/>
          <w:sz w:val="16"/>
          <w:lang w:val="en-GB"/>
        </w:rPr>
      </w:pPr>
      <w:r w:rsidRPr="009C48DA">
        <w:rPr>
          <w:rFonts w:eastAsia="Times New Roman"/>
          <w:color w:val="000000"/>
          <w:sz w:val="16"/>
          <w:lang w:val="en-GB"/>
        </w:rPr>
        <w:t>CLO investments in debt instruments are classified as level 2 financial assets under IFRS 13 “Fair Value Measurement” on the basis that the prices have been corroborated externally.</w:t>
      </w:r>
    </w:p>
    <w:p w:rsidRPr="009C48DA" w:rsidR="00661519" w:rsidP="00661519" w:rsidRDefault="00661519" w14:paraId="355BB5D1" w14:textId="77777777">
      <w:pPr>
        <w:textAlignment w:val="baseline"/>
        <w:rPr>
          <w:rFonts w:eastAsia="Times New Roman"/>
          <w:color w:val="000000"/>
          <w:sz w:val="16"/>
          <w:lang w:val="en-GB"/>
        </w:rPr>
      </w:pPr>
    </w:p>
    <w:p w:rsidRPr="009C48DA" w:rsidR="00661519" w:rsidP="00661519" w:rsidRDefault="00661519" w14:paraId="1A5AEF9D" w14:textId="77777777">
      <w:pPr>
        <w:textAlignment w:val="baseline"/>
        <w:rPr>
          <w:rFonts w:eastAsia="Times New Roman"/>
          <w:color w:val="000000"/>
          <w:sz w:val="16"/>
          <w:lang w:val="en-GB"/>
        </w:rPr>
      </w:pPr>
      <w:r w:rsidRPr="009C48DA">
        <w:rPr>
          <w:rFonts w:eastAsia="Times New Roman"/>
          <w:color w:val="000000"/>
          <w:sz w:val="16"/>
          <w:lang w:val="en-GB"/>
        </w:rPr>
        <w:t>The liabilities are also fair valued through profit or loss, the value of which is not observable and are classified as level 3 financial liabilities under IFRS 13 “Fair Value Measurement”. A sensitivity analysis has been included within note 20(f).</w:t>
      </w:r>
    </w:p>
    <w:p w:rsidRPr="009C48DA" w:rsidR="00661519" w:rsidP="00661519" w:rsidRDefault="00661519" w14:paraId="2DA727F6" w14:textId="77777777">
      <w:pPr>
        <w:rPr>
          <w:rFonts w:eastAsia="Times New Roman" w:cs="Times New Roman"/>
          <w:b/>
          <w:color w:val="000000"/>
          <w:sz w:val="16"/>
          <w:szCs w:val="16"/>
          <w:u w:val="single"/>
          <w:lang w:val="en-GB"/>
        </w:rPr>
      </w:pPr>
    </w:p>
    <w:p w:rsidRPr="009C48DA" w:rsidR="00661519" w:rsidP="00661519" w:rsidRDefault="00661519" w14:paraId="00B4DE9D" w14:textId="77777777">
      <w:pPr>
        <w:rPr>
          <w:rFonts w:eastAsia="Times New Roman" w:cs="Times New Roman"/>
          <w:b/>
          <w:color w:val="000000"/>
          <w:sz w:val="16"/>
          <w:szCs w:val="16"/>
          <w:u w:val="single"/>
          <w:lang w:val="en-GB"/>
        </w:rPr>
      </w:pPr>
      <w:r w:rsidRPr="009C48DA">
        <w:rPr>
          <w:rFonts w:eastAsia="Times New Roman" w:cs="Times New Roman"/>
          <w:b/>
          <w:color w:val="000000"/>
          <w:sz w:val="16"/>
          <w:szCs w:val="16"/>
          <w:u w:val="single"/>
          <w:lang w:val="en-GB"/>
        </w:rPr>
        <w:t>Measurement of deferred contingent consideration payable</w:t>
      </w:r>
    </w:p>
    <w:p w:rsidRPr="009C48DA" w:rsidR="00661519" w:rsidP="00661519" w:rsidRDefault="00661519" w14:paraId="35CCE322" w14:textId="77777777">
      <w:pPr>
        <w:spacing w:before="17" w:line="184" w:lineRule="exact"/>
        <w:jc w:val="both"/>
        <w:textAlignment w:val="baseline"/>
        <w:rPr>
          <w:rFonts w:eastAsia="Times New Roman"/>
          <w:color w:val="000000"/>
          <w:spacing w:val="-1"/>
          <w:sz w:val="16"/>
          <w:lang w:val="en-GB"/>
        </w:rPr>
      </w:pPr>
      <w:r w:rsidRPr="009C48DA">
        <w:rPr>
          <w:rFonts w:eastAsia="Times New Roman"/>
          <w:color w:val="000000"/>
          <w:spacing w:val="-1"/>
          <w:sz w:val="16"/>
          <w:lang w:val="en-GB"/>
        </w:rPr>
        <w:t xml:space="preserve">Under the sale and purchase agreement for EQT AB’s Credit business (“EQT Credit”) the Group has an obligation to settle an amount of </w:t>
      </w:r>
      <w:r w:rsidRPr="009C48DA">
        <w:rPr>
          <w:rFonts w:eastAsia="Times New Roman"/>
          <w:color w:val="000000"/>
          <w:spacing w:val="-1"/>
          <w:sz w:val="16"/>
          <w:lang w:val="en-GB"/>
        </w:rPr>
        <w:br/>
        <w:t xml:space="preserve">deferred contingent consideration on the completion of fundraising for Bridgepoint Direct Lending III and Bridgepoint Credit Opportunities </w:t>
      </w:r>
      <w:r w:rsidRPr="009C48DA">
        <w:rPr>
          <w:rFonts w:eastAsia="Times New Roman"/>
          <w:color w:val="000000"/>
          <w:spacing w:val="-1"/>
          <w:sz w:val="16"/>
          <w:lang w:val="en-GB"/>
        </w:rPr>
        <w:br/>
        <w:t>IV. Both processes are expected to complete in 2022. The amount payable has been based upon management’s current best estimate of each fundraising.</w:t>
      </w:r>
    </w:p>
    <w:p w:rsidRPr="009C48DA" w:rsidR="00661519" w:rsidP="00661519" w:rsidRDefault="00661519" w14:paraId="10326EBD" w14:textId="77777777">
      <w:pPr>
        <w:textAlignment w:val="baseline"/>
        <w:rPr>
          <w:rFonts w:eastAsia="Times New Roman"/>
          <w:color w:val="000000"/>
          <w:sz w:val="16"/>
          <w:lang w:val="en-GB"/>
        </w:rPr>
      </w:pPr>
    </w:p>
    <w:p w:rsidRPr="009C48DA" w:rsidR="00661519" w:rsidP="00661519" w:rsidRDefault="00661519" w14:paraId="79CF105D" w14:textId="77777777">
      <w:pPr>
        <w:textAlignment w:val="baseline"/>
        <w:rPr>
          <w:rFonts w:eastAsia="Times New Roman" w:cs="Times New Roman"/>
          <w:b/>
          <w:color w:val="000000"/>
          <w:sz w:val="16"/>
          <w:szCs w:val="16"/>
          <w:u w:val="single"/>
          <w:lang w:val="en-GB"/>
        </w:rPr>
      </w:pPr>
      <w:r w:rsidRPr="009C48DA">
        <w:rPr>
          <w:rFonts w:eastAsia="Times New Roman"/>
          <w:color w:val="000000"/>
          <w:sz w:val="16"/>
          <w:lang w:val="en-GB"/>
        </w:rPr>
        <w:t>A sensitivity analysis has been included within note 18(b).</w:t>
      </w:r>
    </w:p>
    <w:p w:rsidRPr="009C48DA" w:rsidR="00661519" w:rsidP="00661519" w:rsidRDefault="00661519" w14:paraId="17B3B979" w14:textId="77777777">
      <w:pPr>
        <w:rPr>
          <w:rFonts w:eastAsia="Times New Roman" w:cs="Times New Roman"/>
          <w:b/>
          <w:color w:val="000000"/>
          <w:sz w:val="16"/>
          <w:szCs w:val="16"/>
          <w:u w:val="single"/>
          <w:lang w:val="en-GB"/>
        </w:rPr>
      </w:pPr>
    </w:p>
    <w:p w:rsidRPr="009C48DA" w:rsidR="00661519" w:rsidP="00661519" w:rsidRDefault="00661519" w14:paraId="64DF09D5" w14:textId="77777777">
      <w:pPr>
        <w:textAlignment w:val="baseline"/>
        <w:rPr>
          <w:rFonts w:eastAsia="Times New Roman" w:cs="Times New Roman"/>
          <w:b/>
          <w:color w:val="000000"/>
          <w:sz w:val="16"/>
          <w:szCs w:val="16"/>
          <w:u w:val="single"/>
          <w:lang w:val="en-GB"/>
        </w:rPr>
      </w:pPr>
      <w:r w:rsidRPr="009C48DA">
        <w:rPr>
          <w:rFonts w:eastAsia="Times New Roman" w:cs="Times New Roman"/>
          <w:b/>
          <w:color w:val="000000"/>
          <w:sz w:val="16"/>
          <w:szCs w:val="16"/>
          <w:u w:val="single"/>
          <w:lang w:val="en-GB"/>
        </w:rPr>
        <w:t xml:space="preserve">Measurement of the intangible assets, useful lives and impairment </w:t>
      </w:r>
    </w:p>
    <w:p w:rsidRPr="009C48DA" w:rsidR="00661519" w:rsidP="00661519" w:rsidRDefault="00661519" w14:paraId="5B891708" w14:textId="77777777">
      <w:pPr>
        <w:jc w:val="both"/>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A customer relationship asset was recognised following the Group’s acquisition in October 2020 of EQT Credit to reflect the value of </w:t>
      </w:r>
      <w:r w:rsidRPr="009C48DA">
        <w:rPr>
          <w:rFonts w:eastAsia="Times New Roman" w:cs="Times New Roman"/>
          <w:color w:val="000000"/>
          <w:sz w:val="16"/>
          <w:szCs w:val="16"/>
          <w:lang w:val="en-GB"/>
        </w:rPr>
        <w:br/>
        <w:t>current investor relationships to the Group in the future.</w:t>
      </w:r>
    </w:p>
    <w:p w:rsidRPr="009C48DA" w:rsidR="00661519" w:rsidP="00661519" w:rsidRDefault="00661519" w14:paraId="354561E7" w14:textId="77777777">
      <w:pPr>
        <w:spacing w:before="98" w:line="185" w:lineRule="exact"/>
        <w:jc w:val="both"/>
        <w:textAlignment w:val="baseline"/>
        <w:rPr>
          <w:rFonts w:eastAsia="Times New Roman"/>
          <w:color w:val="000000"/>
          <w:sz w:val="16"/>
          <w:lang w:val="en-GB"/>
        </w:rPr>
      </w:pPr>
      <w:r w:rsidRPr="009C48DA">
        <w:rPr>
          <w:rFonts w:eastAsia="Times New Roman"/>
          <w:color w:val="000000"/>
          <w:sz w:val="16"/>
          <w:lang w:val="en-GB"/>
        </w:rPr>
        <w:t xml:space="preserve">At the time of the acquisition, the cost of the acquired customer relationship was measured at fair value by discounting estimated contractual future cash flows over a period in which the customer was expected to remain invested within the Group’s funds. Key assumptions in the </w:t>
      </w:r>
      <w:r w:rsidRPr="009C48DA">
        <w:rPr>
          <w:rFonts w:eastAsia="Times New Roman"/>
          <w:color w:val="000000"/>
          <w:sz w:val="16"/>
          <w:lang w:val="en-GB"/>
        </w:rPr>
        <w:br/>
        <w:t xml:space="preserve">model included forecast earnings for 2021 to 2025, a growth rate applied from 2025 onwards, which was based upon the long-term </w:t>
      </w:r>
      <w:r w:rsidRPr="009C48DA">
        <w:rPr>
          <w:rFonts w:eastAsia="Times New Roman"/>
          <w:color w:val="000000"/>
          <w:sz w:val="16"/>
          <w:lang w:val="en-GB"/>
        </w:rPr>
        <w:br/>
        <w:t xml:space="preserve">operating plan for the business, a investor reinvestment rate from one fund to another and a discount rate of 10.5%, which was calculated by </w:t>
      </w:r>
      <w:r w:rsidRPr="009C48DA">
        <w:rPr>
          <w:rFonts w:eastAsia="Times New Roman"/>
          <w:color w:val="000000"/>
          <w:sz w:val="16"/>
          <w:lang w:val="en-GB"/>
        </w:rPr>
        <w:br/>
        <w:t>using comparable company information.</w:t>
      </w:r>
    </w:p>
    <w:p w:rsidRPr="009C48DA" w:rsidR="00661519" w:rsidP="00661519" w:rsidRDefault="00661519" w14:paraId="41C9A625" w14:textId="77777777">
      <w:pPr>
        <w:spacing w:before="98" w:line="185" w:lineRule="exact"/>
        <w:jc w:val="both"/>
        <w:textAlignment w:val="baseline"/>
        <w:rPr>
          <w:rFonts w:eastAsia="Times New Roman"/>
          <w:color w:val="000000"/>
          <w:sz w:val="16"/>
          <w:lang w:val="en-GB"/>
        </w:rPr>
      </w:pPr>
      <w:r w:rsidRPr="009C48DA">
        <w:rPr>
          <w:rFonts w:eastAsia="Times New Roman"/>
          <w:color w:val="000000"/>
          <w:sz w:val="16"/>
          <w:lang w:val="en-GB"/>
        </w:rPr>
        <w:t xml:space="preserve">The useful life of the intangible assets arising from this transaction have been determined as 7 years, which represents the period over which </w:t>
      </w:r>
      <w:r w:rsidRPr="009C48DA">
        <w:rPr>
          <w:rFonts w:eastAsia="Times New Roman"/>
          <w:color w:val="000000"/>
          <w:sz w:val="16"/>
          <w:lang w:val="en-GB"/>
        </w:rPr>
        <w:br/>
        <w:t>the net present value of cash flows from the acquired customer relationships reduce to nil.</w:t>
      </w:r>
    </w:p>
    <w:p w:rsidRPr="009C48DA" w:rsidR="00661519" w:rsidP="00661519" w:rsidRDefault="00661519" w14:paraId="6FF7C15D" w14:textId="77777777">
      <w:pPr>
        <w:jc w:val="both"/>
        <w:textAlignment w:val="baseline"/>
        <w:rPr>
          <w:rFonts w:eastAsia="Times New Roman" w:cs="Times New Roman"/>
          <w:color w:val="000000"/>
          <w:sz w:val="16"/>
          <w:szCs w:val="16"/>
          <w:lang w:val="en-GB"/>
        </w:rPr>
      </w:pPr>
    </w:p>
    <w:p w:rsidRPr="009C48DA" w:rsidR="00661519" w:rsidP="00661519" w:rsidRDefault="00661519" w14:paraId="0EC20A85" w14:textId="77777777">
      <w:pPr>
        <w:jc w:val="both"/>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The customer relationship asset is assessed for impairment when there are indicators of impairment. Such indicators would include </w:t>
      </w:r>
      <w:r w:rsidRPr="009C48DA">
        <w:rPr>
          <w:rFonts w:eastAsia="Times New Roman" w:cs="Times New Roman"/>
          <w:color w:val="000000"/>
          <w:sz w:val="16"/>
          <w:szCs w:val="16"/>
          <w:lang w:val="en-GB"/>
        </w:rPr>
        <w:br/>
        <w:t>fundraising lower than targets. No impairment has been identified.</w:t>
      </w:r>
    </w:p>
    <w:p w:rsidRPr="009C48DA" w:rsidR="00661519" w:rsidP="00661519" w:rsidRDefault="00661519" w14:paraId="451A3C00" w14:textId="77777777">
      <w:pPr>
        <w:jc w:val="both"/>
        <w:textAlignment w:val="baseline"/>
        <w:rPr>
          <w:rFonts w:eastAsia="Times New Roman" w:cs="Times New Roman"/>
          <w:color w:val="000000"/>
          <w:sz w:val="16"/>
          <w:szCs w:val="16"/>
          <w:lang w:val="en-GB"/>
        </w:rPr>
      </w:pPr>
    </w:p>
    <w:p w:rsidRPr="009C48DA" w:rsidR="00661519" w:rsidP="00661519" w:rsidRDefault="00661519" w14:paraId="1A7CA1DF"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Goodwill is assessed for impairment annually or more frequently if events or changes in circumstances indicate potential impairment loss. Goodwill arose from the acquisition of EQT Credit. Due to the proximity to the date of acquisition and performance since acquisition, the </w:t>
      </w:r>
      <w:r w:rsidRPr="009C48DA">
        <w:rPr>
          <w:rFonts w:eastAsia="Times New Roman"/>
          <w:color w:val="000000"/>
          <w:sz w:val="16"/>
          <w:lang w:val="en-GB"/>
        </w:rPr>
        <w:br/>
        <w:t xml:space="preserve">directors have concluded that the goodwill relating to the acquisition is not impaired. In order to validate this, a value-in-use forecast has </w:t>
      </w:r>
      <w:r w:rsidRPr="009C48DA">
        <w:rPr>
          <w:rFonts w:eastAsia="Times New Roman"/>
          <w:color w:val="000000"/>
          <w:sz w:val="16"/>
          <w:lang w:val="en-GB"/>
        </w:rPr>
        <w:br/>
        <w:t xml:space="preserve">been prepared by management to compare the forecast of the Credit business segment to the carrying amount of the goodwill. Key </w:t>
      </w:r>
      <w:r w:rsidRPr="009C48DA">
        <w:rPr>
          <w:rFonts w:eastAsia="Times New Roman"/>
          <w:color w:val="000000"/>
          <w:sz w:val="16"/>
          <w:lang w:val="en-GB"/>
        </w:rPr>
        <w:br/>
        <w:t>assumptions in the forecast include forecast earnings for 2021 to 2033, including new fundraising, and a discount rate of 10.5%, which was calculated by using comparable company information.</w:t>
      </w:r>
    </w:p>
    <w:p w:rsidRPr="009C48DA" w:rsidR="00661519" w:rsidP="00661519" w:rsidRDefault="00661519" w14:paraId="3A5AA1A2" w14:textId="77777777">
      <w:pPr>
        <w:jc w:val="both"/>
        <w:textAlignment w:val="baseline"/>
        <w:rPr>
          <w:rFonts w:eastAsia="Times New Roman"/>
          <w:color w:val="000000"/>
          <w:sz w:val="16"/>
          <w:lang w:val="en-GB"/>
        </w:rPr>
      </w:pPr>
    </w:p>
    <w:p w:rsidRPr="009C48DA" w:rsidR="00661519" w:rsidP="00661519" w:rsidRDefault="00661519" w14:paraId="41F7917A" w14:textId="77777777">
      <w:pPr>
        <w:jc w:val="both"/>
        <w:textAlignment w:val="baseline"/>
        <w:rPr>
          <w:rFonts w:eastAsia="Times New Roman" w:cs="Times New Roman"/>
          <w:color w:val="000000"/>
          <w:sz w:val="16"/>
          <w:szCs w:val="22"/>
          <w:lang w:val="en-GB"/>
        </w:rPr>
      </w:pPr>
      <w:r w:rsidRPr="009C48DA">
        <w:rPr>
          <w:rFonts w:eastAsia="Times New Roman"/>
          <w:color w:val="000000"/>
          <w:sz w:val="16"/>
          <w:lang w:val="en-GB"/>
        </w:rPr>
        <w:t>A sensitivity analysis of the intangible asset and goodwill impairment has been included within note 14.</w:t>
      </w:r>
    </w:p>
    <w:p w:rsidRPr="009C48DA" w:rsidR="00661519" w:rsidP="00661519" w:rsidRDefault="00661519" w14:paraId="5194D60D" w14:textId="77777777">
      <w:pPr>
        <w:tabs>
          <w:tab w:val="left" w:pos="288"/>
        </w:tabs>
        <w:textAlignment w:val="baseline"/>
        <w:rPr>
          <w:rFonts w:eastAsia="Times New Roman" w:cs="Times New Roman"/>
          <w:b/>
          <w:color w:val="000000"/>
          <w:sz w:val="16"/>
          <w:szCs w:val="22"/>
          <w:lang w:val="en-GB"/>
        </w:rPr>
      </w:pPr>
    </w:p>
    <w:p w:rsidRPr="009C48DA" w:rsidR="00661519" w:rsidP="00661519" w:rsidRDefault="00661519" w14:paraId="55E49DAB" w14:textId="77777777">
      <w:pPr>
        <w:tabs>
          <w:tab w:val="left" w:pos="288"/>
        </w:tabs>
        <w:textAlignment w:val="baseline"/>
        <w:rPr>
          <w:rFonts w:eastAsia="Times New Roman" w:cs="Times New Roman"/>
          <w:b/>
          <w:color w:val="000000"/>
          <w:sz w:val="16"/>
          <w:szCs w:val="22"/>
          <w:lang w:val="en-GB"/>
        </w:rPr>
      </w:pPr>
    </w:p>
    <w:p w:rsidRPr="009C48DA" w:rsidR="00661519" w:rsidP="00661519" w:rsidRDefault="00661519" w14:paraId="3E818702"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4</w:t>
      </w:r>
      <w:r w:rsidRPr="009C48DA">
        <w:rPr>
          <w:rFonts w:eastAsia="Times New Roman" w:cs="Times New Roman"/>
          <w:b/>
          <w:color w:val="000000"/>
          <w:sz w:val="16"/>
          <w:szCs w:val="22"/>
          <w:lang w:val="en-GB"/>
        </w:rPr>
        <w:tab/>
        <w:t>Operating segments</w:t>
      </w:r>
    </w:p>
    <w:p w:rsidRPr="009C48DA" w:rsidR="00661519" w:rsidP="00661519" w:rsidRDefault="00661519" w14:paraId="0A25220F" w14:textId="77777777">
      <w:pPr>
        <w:spacing w:before="106" w:line="185" w:lineRule="exact"/>
        <w:jc w:val="both"/>
        <w:textAlignment w:val="baseline"/>
        <w:rPr>
          <w:rFonts w:eastAsia="Times New Roman"/>
          <w:color w:val="000000"/>
          <w:sz w:val="16"/>
          <w:lang w:val="en-GB"/>
        </w:rPr>
      </w:pPr>
      <w:r w:rsidRPr="009C48DA">
        <w:rPr>
          <w:rFonts w:eastAsia="Times New Roman"/>
          <w:color w:val="000000"/>
          <w:sz w:val="16"/>
          <w:lang w:val="en-GB"/>
        </w:rPr>
        <w:t>At each of the period ends, the Board of directors of Bridgepoint Advisers Group Limited, acted as the chief operating decision-maker of the Group. The Group is divided into operating segments based on how the Board reviews and evaluates the operation and performance of the business. The operating segments correspond to the internal reporting used to assess performance and to allocate resources.</w:t>
      </w:r>
    </w:p>
    <w:p w:rsidRPr="009C48DA" w:rsidR="00661519" w:rsidP="00661519" w:rsidRDefault="00661519" w14:paraId="4D98541E" w14:textId="77777777">
      <w:pPr>
        <w:jc w:val="both"/>
        <w:textAlignment w:val="baseline"/>
        <w:rPr>
          <w:rFonts w:eastAsia="Times New Roman" w:cs="Times New Roman"/>
          <w:color w:val="000000"/>
          <w:sz w:val="16"/>
          <w:szCs w:val="22"/>
          <w:lang w:val="en-GB"/>
        </w:rPr>
      </w:pPr>
    </w:p>
    <w:p w:rsidRPr="009C48DA" w:rsidR="00661519" w:rsidP="00661519" w:rsidRDefault="00661519" w14:paraId="67DFE55A"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Group’s operations are divided into two groups, the Core business, consisting of the Private Equity and Credit fund management and associated central support, and Other. Other includes the Group’s procurement consulting business, PEPCO Services LLP, and costs relating </w:t>
      </w:r>
      <w:r w:rsidRPr="009C48DA">
        <w:rPr>
          <w:rFonts w:eastAsia="Times New Roman" w:cs="Times New Roman"/>
          <w:color w:val="000000"/>
          <w:sz w:val="16"/>
          <w:szCs w:val="22"/>
          <w:lang w:val="en-GB"/>
        </w:rPr>
        <w:br/>
        <w:t>to strategic projects.</w:t>
      </w:r>
    </w:p>
    <w:p w:rsidRPr="009C48DA" w:rsidR="00661519" w:rsidP="00661519" w:rsidRDefault="00661519" w14:paraId="136EA176" w14:textId="77777777">
      <w:pPr>
        <w:jc w:val="both"/>
        <w:textAlignment w:val="baseline"/>
        <w:rPr>
          <w:rFonts w:eastAsia="Times New Roman" w:cs="Times New Roman"/>
          <w:color w:val="000000"/>
          <w:sz w:val="16"/>
          <w:szCs w:val="22"/>
          <w:lang w:val="en-GB"/>
        </w:rPr>
      </w:pPr>
    </w:p>
    <w:p w:rsidRPr="009C48DA" w:rsidR="00661519" w:rsidP="00661519" w:rsidRDefault="00661519" w14:paraId="1634F7B3"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Group’s core operations are divided into two business segments: Private Equity and Credit. The operations of both business segments </w:t>
      </w:r>
      <w:r w:rsidRPr="009C48DA">
        <w:rPr>
          <w:rFonts w:eastAsia="Times New Roman" w:cs="Times New Roman"/>
          <w:color w:val="000000"/>
          <w:sz w:val="16"/>
          <w:szCs w:val="22"/>
          <w:lang w:val="en-GB"/>
        </w:rPr>
        <w:br/>
        <w:t xml:space="preserve">consist of providing investment management services to the respective funds and their investors. The investment management services comprise of identification and structuring of new investments, the monitoring of investments and the sale and exit from investments. The </w:t>
      </w:r>
      <w:r w:rsidRPr="009C48DA">
        <w:rPr>
          <w:rFonts w:eastAsia="Times New Roman" w:cs="Times New Roman"/>
          <w:color w:val="000000"/>
          <w:sz w:val="16"/>
          <w:szCs w:val="22"/>
          <w:lang w:val="en-GB"/>
        </w:rPr>
        <w:br/>
        <w:t xml:space="preserve">two business segments are supported by the Central support functions which include investor relations, head office, finance, human </w:t>
      </w:r>
      <w:r w:rsidRPr="009C48DA">
        <w:rPr>
          <w:rFonts w:eastAsia="Times New Roman" w:cs="Times New Roman"/>
          <w:color w:val="000000"/>
          <w:sz w:val="16"/>
          <w:szCs w:val="22"/>
          <w:lang w:val="en-GB"/>
        </w:rPr>
        <w:br/>
        <w:t>resources, IT and marketing. Together the Private Equity, Credit and Central segments form the Core business.</w:t>
      </w:r>
    </w:p>
    <w:p w:rsidRPr="009C48DA" w:rsidR="00661519" w:rsidP="00661519" w:rsidRDefault="00661519" w14:paraId="090F3A9D" w14:textId="77777777">
      <w:pPr>
        <w:rPr>
          <w:rFonts w:eastAsia="Times New Roman" w:cs="Times New Roman"/>
          <w:color w:val="000000"/>
          <w:sz w:val="16"/>
          <w:szCs w:val="22"/>
          <w:lang w:val="en-GB"/>
        </w:rPr>
      </w:pPr>
      <w:r w:rsidRPr="009C48DA">
        <w:rPr>
          <w:rFonts w:eastAsia="Times New Roman" w:cs="Times New Roman"/>
          <w:color w:val="000000"/>
          <w:sz w:val="16"/>
          <w:szCs w:val="22"/>
          <w:lang w:val="en-GB"/>
        </w:rPr>
        <w:br w:type="page"/>
      </w:r>
    </w:p>
    <w:p w:rsidRPr="009C48DA" w:rsidR="00661519" w:rsidP="00661519" w:rsidRDefault="00661519" w14:paraId="28484F6F" w14:textId="77777777">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lastRenderedPageBreak/>
        <w:t>Segmental Income Statement analysis</w:t>
      </w:r>
    </w:p>
    <w:p w:rsidRPr="009C48DA" w:rsidR="00661519" w:rsidP="00661519" w:rsidRDefault="00661519" w14:paraId="791C2A37" w14:textId="77777777">
      <w:pPr>
        <w:spacing w:before="13" w:line="182" w:lineRule="exact"/>
        <w:textAlignment w:val="baseline"/>
        <w:rPr>
          <w:rFonts w:eastAsia="Times New Roman"/>
          <w:color w:val="000000"/>
          <w:sz w:val="16"/>
          <w:lang w:val="en-GB"/>
        </w:rPr>
      </w:pPr>
      <w:r w:rsidRPr="009C48DA">
        <w:rPr>
          <w:rFonts w:eastAsia="Times New Roman"/>
          <w:color w:val="000000"/>
          <w:sz w:val="16"/>
          <w:lang w:val="en-GB"/>
        </w:rPr>
        <w:t>The Board assesses the operating segments based on the line items below, primarily on operating income and operating profit.</w:t>
      </w:r>
    </w:p>
    <w:p w:rsidRPr="009C48DA" w:rsidR="00661519" w:rsidP="00661519" w:rsidRDefault="00661519" w14:paraId="488C7877" w14:textId="77777777">
      <w:pPr>
        <w:spacing w:before="13" w:line="182" w:lineRule="exact"/>
        <w:textAlignment w:val="baseline"/>
        <w:rPr>
          <w:rFonts w:eastAsia="Times New Roman"/>
          <w:color w:val="000000"/>
          <w:sz w:val="16"/>
          <w:lang w:val="en-GB"/>
        </w:rPr>
      </w:pPr>
    </w:p>
    <w:p w:rsidRPr="009C48DA" w:rsidR="00661519" w:rsidP="00661519" w:rsidRDefault="00661519" w14:paraId="4FF64A11" w14:textId="77777777">
      <w:pPr>
        <w:jc w:val="both"/>
        <w:textAlignment w:val="baseline"/>
        <w:rPr>
          <w:rFonts w:eastAsia="Times New Roman" w:cs="Times New Roman"/>
          <w:color w:val="000000"/>
          <w:sz w:val="16"/>
          <w:szCs w:val="22"/>
          <w:lang w:val="en-GB"/>
        </w:rPr>
      </w:pPr>
      <w:r w:rsidRPr="009C48DA">
        <w:rPr>
          <w:rFonts w:eastAsia="Times New Roman"/>
          <w:color w:val="000000"/>
          <w:sz w:val="16"/>
          <w:lang w:val="en-GB"/>
        </w:rPr>
        <w:t xml:space="preserve">The EBITDA for each segment (the segment result), together with depreciation and amortisation and net finance cost forms Profit before </w:t>
      </w:r>
      <w:r w:rsidRPr="009C48DA">
        <w:rPr>
          <w:rFonts w:eastAsia="Times New Roman"/>
          <w:color w:val="000000"/>
          <w:sz w:val="16"/>
          <w:lang w:val="en-GB"/>
        </w:rPr>
        <w:br/>
        <w:t xml:space="preserve">Tax. Depreciation, net finance costs and exceptional costs are not allocated to operating segments and is included in the Group total. Foreign exchange gains/losses are allocated to Central. </w:t>
      </w:r>
    </w:p>
    <w:p w:rsidRPr="009C48DA" w:rsidR="00661519" w:rsidP="00661519" w:rsidRDefault="00661519" w14:paraId="36844A0A" w14:textId="77777777">
      <w:pPr>
        <w:jc w:val="both"/>
        <w:textAlignment w:val="baseline"/>
        <w:rPr>
          <w:rFonts w:eastAsia="Times New Roman" w:cs="Times New Roman"/>
          <w:color w:val="000000"/>
          <w:sz w:val="16"/>
          <w:szCs w:val="22"/>
          <w:lang w:val="en-GB"/>
        </w:rPr>
      </w:pPr>
    </w:p>
    <w:tbl>
      <w:tblPr>
        <w:tblStyle w:val="TableGrid30"/>
        <w:tblW w:w="940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right w:w="0" w:type="dxa"/>
        </w:tblCellMar>
        <w:tblLook w:val="04A0" w:firstRow="1" w:lastRow="0" w:firstColumn="1" w:lastColumn="0" w:noHBand="0" w:noVBand="1"/>
      </w:tblPr>
      <w:tblGrid>
        <w:gridCol w:w="2808"/>
        <w:gridCol w:w="1091"/>
        <w:gridCol w:w="1144"/>
        <w:gridCol w:w="1092"/>
        <w:gridCol w:w="1091"/>
        <w:gridCol w:w="1088"/>
        <w:gridCol w:w="1092"/>
      </w:tblGrid>
      <w:tr w:rsidRPr="009C48DA" w:rsidR="00661519" w:rsidTr="00661519" w14:paraId="4D8D612E" w14:textId="77777777">
        <w:trPr>
          <w:trHeight w:val="622"/>
        </w:trPr>
        <w:tc>
          <w:tcPr>
            <w:tcW w:w="2808" w:type="dxa"/>
            <w:vAlign w:val="bottom"/>
          </w:tcPr>
          <w:p w:rsidRPr="009C48DA" w:rsidR="00661519" w:rsidP="00661519" w:rsidRDefault="00661519" w14:paraId="0C192FA3" w14:textId="77777777">
            <w:pPr>
              <w:jc w:val="both"/>
              <w:textAlignment w:val="baseline"/>
              <w:rPr>
                <w:rFonts w:eastAsia="Times New Roman"/>
                <w:b/>
                <w:color w:val="000000"/>
                <w:sz w:val="16"/>
                <w:lang w:val="en-GB"/>
              </w:rPr>
            </w:pPr>
            <w:r w:rsidRPr="009C48DA">
              <w:rPr>
                <w:rFonts w:eastAsia="Times New Roman"/>
                <w:b/>
                <w:color w:val="000000"/>
                <w:sz w:val="16"/>
                <w:lang w:val="en-GB"/>
              </w:rPr>
              <w:t>Year ended 31 December 2018</w:t>
            </w:r>
          </w:p>
        </w:tc>
        <w:tc>
          <w:tcPr>
            <w:tcW w:w="1091" w:type="dxa"/>
            <w:vAlign w:val="bottom"/>
          </w:tcPr>
          <w:p w:rsidRPr="009C48DA" w:rsidR="00661519" w:rsidP="00661519" w:rsidRDefault="00661519" w14:paraId="3D453710" w14:textId="77777777">
            <w:pPr>
              <w:jc w:val="center"/>
              <w:textAlignment w:val="baseline"/>
              <w:rPr>
                <w:rFonts w:eastAsia="Times New Roman"/>
                <w:b/>
                <w:color w:val="000000"/>
                <w:sz w:val="16"/>
                <w:lang w:val="en-GB"/>
              </w:rPr>
            </w:pPr>
            <w:r w:rsidRPr="009C48DA">
              <w:rPr>
                <w:rFonts w:eastAsia="Times New Roman"/>
                <w:b/>
                <w:color w:val="000000"/>
                <w:sz w:val="16"/>
                <w:lang w:val="en-GB"/>
              </w:rPr>
              <w:t>Private</w:t>
            </w:r>
          </w:p>
          <w:p w:rsidRPr="009C48DA" w:rsidR="00661519" w:rsidP="00661519" w:rsidRDefault="00661519" w14:paraId="235E3928" w14:textId="77777777">
            <w:pPr>
              <w:jc w:val="center"/>
              <w:textAlignment w:val="baseline"/>
              <w:rPr>
                <w:rFonts w:eastAsia="Times New Roman"/>
                <w:b/>
                <w:color w:val="000000"/>
                <w:sz w:val="16"/>
                <w:lang w:val="en-GB"/>
              </w:rPr>
            </w:pPr>
            <w:r w:rsidRPr="009C48DA">
              <w:rPr>
                <w:rFonts w:eastAsia="Times New Roman"/>
                <w:b/>
                <w:color w:val="000000"/>
                <w:sz w:val="16"/>
                <w:lang w:val="en-GB"/>
              </w:rPr>
              <w:t>Equity</w:t>
            </w:r>
          </w:p>
          <w:p w:rsidRPr="009C48DA" w:rsidR="00661519" w:rsidP="00661519" w:rsidRDefault="00661519" w14:paraId="70C36CEC"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144" w:type="dxa"/>
            <w:vAlign w:val="bottom"/>
          </w:tcPr>
          <w:p w:rsidRPr="009C48DA" w:rsidR="00661519" w:rsidP="00661519" w:rsidRDefault="00661519" w14:paraId="14369F2F" w14:textId="77777777">
            <w:pPr>
              <w:jc w:val="center"/>
              <w:textAlignment w:val="baseline"/>
              <w:rPr>
                <w:rFonts w:eastAsia="Times New Roman"/>
                <w:b/>
                <w:color w:val="000000"/>
                <w:sz w:val="16"/>
                <w:lang w:val="en-GB"/>
              </w:rPr>
            </w:pPr>
            <w:r w:rsidRPr="009C48DA">
              <w:rPr>
                <w:rFonts w:eastAsia="Times New Roman"/>
                <w:b/>
                <w:color w:val="000000"/>
                <w:sz w:val="16"/>
                <w:lang w:val="en-GB"/>
              </w:rPr>
              <w:t>Credit</w:t>
            </w:r>
          </w:p>
          <w:p w:rsidRPr="009C48DA" w:rsidR="00661519" w:rsidP="00661519" w:rsidRDefault="00661519" w14:paraId="0E8594E3"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92" w:type="dxa"/>
            <w:vAlign w:val="bottom"/>
          </w:tcPr>
          <w:p w:rsidRPr="009C48DA" w:rsidR="00661519" w:rsidP="00661519" w:rsidRDefault="00661519" w14:paraId="35AD6E88" w14:textId="77777777">
            <w:pPr>
              <w:jc w:val="center"/>
              <w:textAlignment w:val="baseline"/>
              <w:rPr>
                <w:rFonts w:eastAsia="Times New Roman"/>
                <w:b/>
                <w:color w:val="000000"/>
                <w:sz w:val="16"/>
                <w:lang w:val="en-GB"/>
              </w:rPr>
            </w:pPr>
            <w:r w:rsidRPr="009C48DA">
              <w:rPr>
                <w:rFonts w:eastAsia="Times New Roman"/>
                <w:b/>
                <w:color w:val="000000"/>
                <w:sz w:val="16"/>
                <w:lang w:val="en-GB"/>
              </w:rPr>
              <w:t>Central</w:t>
            </w:r>
          </w:p>
          <w:p w:rsidRPr="009C48DA" w:rsidR="00661519" w:rsidP="00661519" w:rsidRDefault="00661519" w14:paraId="5976155F"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91" w:type="dxa"/>
            <w:vAlign w:val="bottom"/>
          </w:tcPr>
          <w:p w:rsidRPr="009C48DA" w:rsidR="00661519" w:rsidP="00661519" w:rsidRDefault="00661519" w14:paraId="221EBFAC" w14:textId="77777777">
            <w:pPr>
              <w:jc w:val="center"/>
              <w:textAlignment w:val="baseline"/>
              <w:rPr>
                <w:rFonts w:eastAsia="Times New Roman"/>
                <w:b/>
                <w:color w:val="000000"/>
                <w:sz w:val="16"/>
                <w:lang w:val="en-GB"/>
              </w:rPr>
            </w:pPr>
            <w:r w:rsidRPr="009C48DA">
              <w:rPr>
                <w:rFonts w:eastAsia="Times New Roman"/>
                <w:b/>
                <w:color w:val="000000"/>
                <w:sz w:val="16"/>
                <w:lang w:val="en-GB"/>
              </w:rPr>
              <w:t>Total Core</w:t>
            </w:r>
          </w:p>
          <w:p w:rsidRPr="009C48DA" w:rsidR="00661519" w:rsidP="00661519" w:rsidRDefault="00661519" w14:paraId="10ABDB04"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88" w:type="dxa"/>
            <w:vAlign w:val="bottom"/>
          </w:tcPr>
          <w:p w:rsidRPr="009C48DA" w:rsidR="00661519" w:rsidP="00661519" w:rsidRDefault="00661519" w14:paraId="2BFDDE67"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Total Other </w:t>
            </w:r>
          </w:p>
          <w:p w:rsidRPr="009C48DA" w:rsidR="00661519" w:rsidP="00661519" w:rsidRDefault="00661519" w14:paraId="4549E6DD"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92" w:type="dxa"/>
            <w:vAlign w:val="bottom"/>
          </w:tcPr>
          <w:p w:rsidRPr="009C48DA" w:rsidR="00661519" w:rsidP="00661519" w:rsidRDefault="00661519" w14:paraId="3F2A9722"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Total Group </w:t>
            </w:r>
          </w:p>
          <w:p w:rsidRPr="009C48DA" w:rsidR="00661519" w:rsidP="00661519" w:rsidRDefault="00661519" w14:paraId="5FF4CDF0"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5C70C89B" w14:textId="77777777">
        <w:trPr>
          <w:trHeight w:val="269"/>
        </w:trPr>
        <w:tc>
          <w:tcPr>
            <w:tcW w:w="2808" w:type="dxa"/>
            <w:vAlign w:val="bottom"/>
          </w:tcPr>
          <w:p w:rsidRPr="009C48DA" w:rsidR="00661519" w:rsidP="00661519" w:rsidRDefault="00661519" w14:paraId="43D5F841" w14:textId="77777777">
            <w:pPr>
              <w:tabs>
                <w:tab w:val="left" w:pos="3528"/>
                <w:tab w:val="left" w:pos="5112"/>
                <w:tab w:val="left" w:pos="6696"/>
                <w:tab w:val="left" w:pos="8136"/>
              </w:tabs>
              <w:spacing w:before="60"/>
              <w:ind w:right="504"/>
              <w:textAlignment w:val="baseline"/>
              <w:rPr>
                <w:rFonts w:eastAsia="Times New Roman"/>
                <w:color w:val="000000"/>
                <w:sz w:val="16"/>
                <w:lang w:val="en-GB"/>
              </w:rPr>
            </w:pPr>
            <w:r w:rsidRPr="009C48DA">
              <w:rPr>
                <w:rFonts w:eastAsia="Times New Roman"/>
                <w:color w:val="000000"/>
                <w:sz w:val="16"/>
                <w:lang w:val="en-GB"/>
              </w:rPr>
              <w:t>Management fees</w:t>
            </w:r>
          </w:p>
        </w:tc>
        <w:tc>
          <w:tcPr>
            <w:tcW w:w="1091" w:type="dxa"/>
            <w:vAlign w:val="bottom"/>
          </w:tcPr>
          <w:p w:rsidRPr="009C48DA" w:rsidR="00661519" w:rsidP="00661519" w:rsidRDefault="00661519" w14:paraId="02A1A797"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115,775</w:t>
            </w:r>
          </w:p>
        </w:tc>
        <w:tc>
          <w:tcPr>
            <w:tcW w:w="1144" w:type="dxa"/>
            <w:vAlign w:val="bottom"/>
          </w:tcPr>
          <w:p w:rsidRPr="009C48DA" w:rsidR="00661519" w:rsidP="00661519" w:rsidRDefault="00661519" w14:paraId="0EA6F46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62</w:t>
            </w:r>
          </w:p>
        </w:tc>
        <w:tc>
          <w:tcPr>
            <w:tcW w:w="1092" w:type="dxa"/>
            <w:vAlign w:val="bottom"/>
          </w:tcPr>
          <w:p w:rsidRPr="009C48DA" w:rsidR="00661519" w:rsidP="00661519" w:rsidRDefault="00661519" w14:paraId="35FA847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91" w:type="dxa"/>
            <w:vAlign w:val="bottom"/>
          </w:tcPr>
          <w:p w:rsidRPr="009C48DA" w:rsidR="00661519" w:rsidP="00661519" w:rsidRDefault="00661519" w14:paraId="66B77A94"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115,837</w:t>
            </w:r>
          </w:p>
        </w:tc>
        <w:tc>
          <w:tcPr>
            <w:tcW w:w="1088" w:type="dxa"/>
            <w:vAlign w:val="bottom"/>
          </w:tcPr>
          <w:p w:rsidRPr="009C48DA" w:rsidR="00661519" w:rsidP="00661519" w:rsidRDefault="00661519" w14:paraId="27E65AF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1,530</w:t>
            </w:r>
          </w:p>
        </w:tc>
        <w:tc>
          <w:tcPr>
            <w:tcW w:w="1092" w:type="dxa"/>
            <w:vAlign w:val="bottom"/>
          </w:tcPr>
          <w:p w:rsidRPr="009C48DA" w:rsidR="00661519" w:rsidP="00661519" w:rsidRDefault="00661519" w14:paraId="4B3C1EA7"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117,367</w:t>
            </w:r>
          </w:p>
        </w:tc>
      </w:tr>
      <w:tr w:rsidRPr="009C48DA" w:rsidR="00661519" w:rsidTr="00661519" w14:paraId="5A7D1B51" w14:textId="77777777">
        <w:trPr>
          <w:trHeight w:val="269"/>
        </w:trPr>
        <w:tc>
          <w:tcPr>
            <w:tcW w:w="2808" w:type="dxa"/>
            <w:vAlign w:val="bottom"/>
          </w:tcPr>
          <w:p w:rsidRPr="009C48DA" w:rsidR="00661519" w:rsidP="00661519" w:rsidRDefault="00661519" w14:paraId="6DCCB746" w14:textId="77777777">
            <w:pPr>
              <w:spacing w:before="60"/>
              <w:textAlignment w:val="baseline"/>
              <w:rPr>
                <w:rFonts w:eastAsia="Times New Roman"/>
                <w:color w:val="000000"/>
                <w:sz w:val="16"/>
                <w:lang w:val="en-GB"/>
              </w:rPr>
            </w:pPr>
            <w:r w:rsidRPr="009C48DA">
              <w:rPr>
                <w:rFonts w:eastAsia="Times New Roman"/>
                <w:color w:val="000000"/>
                <w:sz w:val="16"/>
                <w:lang w:val="en-GB"/>
              </w:rPr>
              <w:t>Carried interest</w:t>
            </w:r>
          </w:p>
        </w:tc>
        <w:tc>
          <w:tcPr>
            <w:tcW w:w="1091" w:type="dxa"/>
            <w:vAlign w:val="bottom"/>
          </w:tcPr>
          <w:p w:rsidRPr="009C48DA" w:rsidR="00661519" w:rsidP="00661519" w:rsidRDefault="00661519" w14:paraId="619FF7E2"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4,768</w:t>
            </w:r>
          </w:p>
        </w:tc>
        <w:tc>
          <w:tcPr>
            <w:tcW w:w="1144" w:type="dxa"/>
            <w:vAlign w:val="bottom"/>
          </w:tcPr>
          <w:p w:rsidRPr="009C48DA" w:rsidR="00661519" w:rsidP="00661519" w:rsidRDefault="00661519" w14:paraId="50F571E4"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92" w:type="dxa"/>
            <w:vAlign w:val="bottom"/>
          </w:tcPr>
          <w:p w:rsidRPr="009C48DA" w:rsidR="00661519" w:rsidP="00661519" w:rsidRDefault="00661519" w14:paraId="731F1B08"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91" w:type="dxa"/>
            <w:vAlign w:val="bottom"/>
          </w:tcPr>
          <w:p w:rsidRPr="009C48DA" w:rsidR="00661519" w:rsidP="00661519" w:rsidRDefault="00661519" w14:paraId="0B5CEEA1"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4,768</w:t>
            </w:r>
          </w:p>
        </w:tc>
        <w:tc>
          <w:tcPr>
            <w:tcW w:w="1088" w:type="dxa"/>
            <w:vAlign w:val="bottom"/>
          </w:tcPr>
          <w:p w:rsidRPr="009C48DA" w:rsidR="00661519" w:rsidP="00661519" w:rsidRDefault="00661519" w14:paraId="073B5F8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92" w:type="dxa"/>
            <w:vAlign w:val="bottom"/>
          </w:tcPr>
          <w:p w:rsidRPr="009C48DA" w:rsidR="00661519" w:rsidP="00661519" w:rsidRDefault="00661519" w14:paraId="0BCD3529"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4,768</w:t>
            </w:r>
          </w:p>
        </w:tc>
      </w:tr>
      <w:tr w:rsidRPr="009C48DA" w:rsidR="00661519" w:rsidTr="00661519" w14:paraId="0DEBE46D" w14:textId="77777777">
        <w:trPr>
          <w:trHeight w:val="539"/>
        </w:trPr>
        <w:tc>
          <w:tcPr>
            <w:tcW w:w="2808" w:type="dxa"/>
            <w:vAlign w:val="bottom"/>
          </w:tcPr>
          <w:p w:rsidRPr="009C48DA" w:rsidR="00661519" w:rsidP="00661519" w:rsidRDefault="00661519" w14:paraId="0C8DDFD3" w14:textId="77777777">
            <w:pPr>
              <w:spacing w:line="182" w:lineRule="exact"/>
              <w:textAlignment w:val="baseline"/>
              <w:rPr>
                <w:rFonts w:eastAsia="Times New Roman"/>
                <w:color w:val="000000"/>
                <w:sz w:val="16"/>
                <w:lang w:val="en-GB"/>
              </w:rPr>
            </w:pPr>
            <w:r w:rsidRPr="009C48DA">
              <w:rPr>
                <w:rFonts w:eastAsia="Times New Roman"/>
                <w:color w:val="000000"/>
                <w:sz w:val="16"/>
                <w:lang w:val="en-GB"/>
              </w:rPr>
              <w:t>Fair value remeasurement of</w:t>
            </w:r>
          </w:p>
          <w:p w:rsidRPr="009C48DA" w:rsidR="00661519" w:rsidP="00661519" w:rsidRDefault="00661519" w14:paraId="39D05C9F" w14:textId="77777777">
            <w:pPr>
              <w:textAlignment w:val="baseline"/>
              <w:rPr>
                <w:rFonts w:eastAsia="Times New Roman"/>
                <w:color w:val="000000"/>
                <w:sz w:val="16"/>
                <w:lang w:val="en-GB"/>
              </w:rPr>
            </w:pPr>
            <w:r w:rsidRPr="009C48DA">
              <w:rPr>
                <w:rFonts w:eastAsia="Times New Roman"/>
                <w:color w:val="000000"/>
                <w:sz w:val="16"/>
                <w:lang w:val="en-GB"/>
              </w:rPr>
              <w:t>investments</w:t>
            </w:r>
          </w:p>
        </w:tc>
        <w:tc>
          <w:tcPr>
            <w:tcW w:w="1091" w:type="dxa"/>
            <w:vAlign w:val="bottom"/>
          </w:tcPr>
          <w:p w:rsidRPr="009C48DA" w:rsidR="00661519" w:rsidP="00661519" w:rsidRDefault="00661519" w14:paraId="097E17BB"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20,815</w:t>
            </w:r>
          </w:p>
        </w:tc>
        <w:tc>
          <w:tcPr>
            <w:tcW w:w="1144" w:type="dxa"/>
            <w:vAlign w:val="bottom"/>
          </w:tcPr>
          <w:p w:rsidRPr="009C48DA" w:rsidR="00661519" w:rsidP="00661519" w:rsidRDefault="00661519" w14:paraId="45611DD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92" w:type="dxa"/>
            <w:vAlign w:val="bottom"/>
          </w:tcPr>
          <w:p w:rsidRPr="009C48DA" w:rsidR="00661519" w:rsidP="00661519" w:rsidRDefault="00661519" w14:paraId="39C30186"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91" w:type="dxa"/>
            <w:vAlign w:val="bottom"/>
          </w:tcPr>
          <w:p w:rsidRPr="009C48DA" w:rsidR="00661519" w:rsidP="00661519" w:rsidRDefault="00661519" w14:paraId="091E368B"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20,815</w:t>
            </w:r>
          </w:p>
        </w:tc>
        <w:tc>
          <w:tcPr>
            <w:tcW w:w="1088" w:type="dxa"/>
            <w:vAlign w:val="bottom"/>
          </w:tcPr>
          <w:p w:rsidRPr="009C48DA" w:rsidR="00661519" w:rsidP="00661519" w:rsidRDefault="00661519" w14:paraId="671F2333"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92" w:type="dxa"/>
            <w:vAlign w:val="bottom"/>
          </w:tcPr>
          <w:p w:rsidRPr="009C48DA" w:rsidR="00661519" w:rsidP="00661519" w:rsidRDefault="00661519" w14:paraId="309637E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20,815</w:t>
            </w:r>
          </w:p>
        </w:tc>
      </w:tr>
      <w:tr w:rsidRPr="009C48DA" w:rsidR="00661519" w:rsidTr="00661519" w14:paraId="208512FB" w14:textId="77777777">
        <w:trPr>
          <w:trHeight w:val="331"/>
        </w:trPr>
        <w:tc>
          <w:tcPr>
            <w:tcW w:w="2808" w:type="dxa"/>
            <w:vAlign w:val="bottom"/>
          </w:tcPr>
          <w:p w:rsidRPr="009C48DA" w:rsidR="00661519" w:rsidP="00661519" w:rsidRDefault="00661519" w14:paraId="2DA6E9F6" w14:textId="77777777">
            <w:pPr>
              <w:spacing w:before="60"/>
              <w:textAlignment w:val="baseline"/>
              <w:rPr>
                <w:rFonts w:eastAsia="Times New Roman"/>
                <w:color w:val="000000"/>
                <w:sz w:val="16"/>
                <w:lang w:val="en-GB"/>
              </w:rPr>
            </w:pPr>
            <w:r w:rsidRPr="009C48DA">
              <w:rPr>
                <w:rFonts w:eastAsia="Times New Roman"/>
                <w:color w:val="000000"/>
                <w:sz w:val="16"/>
                <w:lang w:val="en-GB"/>
              </w:rPr>
              <w:t>Other operating income</w:t>
            </w:r>
          </w:p>
        </w:tc>
        <w:tc>
          <w:tcPr>
            <w:tcW w:w="1091" w:type="dxa"/>
            <w:vAlign w:val="bottom"/>
          </w:tcPr>
          <w:p w:rsidRPr="009C48DA" w:rsidR="00661519" w:rsidP="00661519" w:rsidRDefault="00661519" w14:paraId="776A5D54"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747</w:t>
            </w:r>
          </w:p>
        </w:tc>
        <w:tc>
          <w:tcPr>
            <w:tcW w:w="1144" w:type="dxa"/>
            <w:vAlign w:val="bottom"/>
          </w:tcPr>
          <w:p w:rsidRPr="009C48DA" w:rsidR="00661519" w:rsidP="00661519" w:rsidRDefault="00661519" w14:paraId="468B4CFC"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92" w:type="dxa"/>
            <w:vAlign w:val="bottom"/>
          </w:tcPr>
          <w:p w:rsidRPr="009C48DA" w:rsidR="00661519" w:rsidP="00661519" w:rsidRDefault="00661519" w14:paraId="691547EB"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91" w:type="dxa"/>
            <w:vAlign w:val="bottom"/>
          </w:tcPr>
          <w:p w:rsidRPr="009C48DA" w:rsidR="00661519" w:rsidP="00661519" w:rsidRDefault="00661519" w14:paraId="7075038B"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747</w:t>
            </w:r>
          </w:p>
        </w:tc>
        <w:tc>
          <w:tcPr>
            <w:tcW w:w="1088" w:type="dxa"/>
            <w:vAlign w:val="bottom"/>
          </w:tcPr>
          <w:p w:rsidRPr="009C48DA" w:rsidR="00661519" w:rsidP="00661519" w:rsidRDefault="00661519" w14:paraId="5415F164"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1,114</w:t>
            </w:r>
          </w:p>
        </w:tc>
        <w:tc>
          <w:tcPr>
            <w:tcW w:w="1092" w:type="dxa"/>
            <w:vAlign w:val="bottom"/>
          </w:tcPr>
          <w:p w:rsidRPr="009C48DA" w:rsidR="00661519" w:rsidP="00661519" w:rsidRDefault="00661519" w14:paraId="68DA79F1"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1,861</w:t>
            </w:r>
          </w:p>
        </w:tc>
      </w:tr>
      <w:tr w:rsidRPr="009C48DA" w:rsidR="00661519" w:rsidTr="00661519" w14:paraId="5D56B9AD" w14:textId="77777777">
        <w:trPr>
          <w:trHeight w:val="269"/>
        </w:trPr>
        <w:tc>
          <w:tcPr>
            <w:tcW w:w="2808" w:type="dxa"/>
            <w:vAlign w:val="bottom"/>
          </w:tcPr>
          <w:p w:rsidRPr="009C48DA" w:rsidR="00661519" w:rsidP="00661519" w:rsidRDefault="00661519" w14:paraId="2C35E766" w14:textId="77777777">
            <w:pPr>
              <w:spacing w:before="60"/>
              <w:textAlignment w:val="baseline"/>
              <w:rPr>
                <w:rFonts w:eastAsia="Times New Roman"/>
                <w:color w:val="000000"/>
                <w:sz w:val="16"/>
                <w:lang w:val="en-GB"/>
              </w:rPr>
            </w:pPr>
            <w:r w:rsidRPr="009C48DA">
              <w:rPr>
                <w:rFonts w:eastAsia="Times New Roman"/>
                <w:color w:val="000000"/>
                <w:sz w:val="16"/>
                <w:lang w:val="en-GB"/>
              </w:rPr>
              <w:t>Total operating income</w:t>
            </w:r>
          </w:p>
        </w:tc>
        <w:tc>
          <w:tcPr>
            <w:tcW w:w="1091" w:type="dxa"/>
            <w:vAlign w:val="bottom"/>
          </w:tcPr>
          <w:p w:rsidRPr="009C48DA" w:rsidR="00661519" w:rsidP="00661519" w:rsidRDefault="00661519" w14:paraId="2AFB011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142,105</w:t>
            </w:r>
          </w:p>
        </w:tc>
        <w:tc>
          <w:tcPr>
            <w:tcW w:w="1144" w:type="dxa"/>
            <w:vAlign w:val="bottom"/>
          </w:tcPr>
          <w:p w:rsidRPr="009C48DA" w:rsidR="00661519" w:rsidP="00661519" w:rsidRDefault="00661519" w14:paraId="7A6551F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62</w:t>
            </w:r>
          </w:p>
        </w:tc>
        <w:tc>
          <w:tcPr>
            <w:tcW w:w="1092" w:type="dxa"/>
            <w:vAlign w:val="bottom"/>
          </w:tcPr>
          <w:p w:rsidRPr="009C48DA" w:rsidR="00661519" w:rsidP="00661519" w:rsidRDefault="00661519" w14:paraId="1C06CB6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91" w:type="dxa"/>
            <w:vAlign w:val="bottom"/>
          </w:tcPr>
          <w:p w:rsidRPr="009C48DA" w:rsidR="00661519" w:rsidP="00661519" w:rsidRDefault="00661519" w14:paraId="4BB4D68D"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142,167</w:t>
            </w:r>
          </w:p>
        </w:tc>
        <w:tc>
          <w:tcPr>
            <w:tcW w:w="1088" w:type="dxa"/>
            <w:vAlign w:val="bottom"/>
          </w:tcPr>
          <w:p w:rsidRPr="009C48DA" w:rsidR="00661519" w:rsidP="00661519" w:rsidRDefault="00661519" w14:paraId="7397AD4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2,644</w:t>
            </w:r>
          </w:p>
        </w:tc>
        <w:tc>
          <w:tcPr>
            <w:tcW w:w="1092" w:type="dxa"/>
            <w:vAlign w:val="bottom"/>
          </w:tcPr>
          <w:p w:rsidRPr="009C48DA" w:rsidR="00661519" w:rsidP="00661519" w:rsidRDefault="00661519" w14:paraId="1CE020C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144,811</w:t>
            </w:r>
          </w:p>
        </w:tc>
      </w:tr>
      <w:tr w:rsidRPr="009C48DA" w:rsidR="00661519" w:rsidTr="00661519" w14:paraId="29EA922E" w14:textId="77777777">
        <w:trPr>
          <w:trHeight w:val="269"/>
        </w:trPr>
        <w:tc>
          <w:tcPr>
            <w:tcW w:w="2808" w:type="dxa"/>
            <w:vAlign w:val="bottom"/>
          </w:tcPr>
          <w:p w:rsidRPr="009C48DA" w:rsidR="00661519" w:rsidP="00661519" w:rsidRDefault="00661519" w14:paraId="631E08F2" w14:textId="77777777">
            <w:pPr>
              <w:spacing w:before="60"/>
              <w:textAlignment w:val="baseline"/>
              <w:rPr>
                <w:rFonts w:eastAsia="Times New Roman"/>
                <w:color w:val="000000"/>
                <w:sz w:val="16"/>
                <w:lang w:val="en-GB"/>
              </w:rPr>
            </w:pPr>
            <w:r w:rsidRPr="009C48DA">
              <w:rPr>
                <w:rFonts w:eastAsia="Times New Roman"/>
                <w:color w:val="000000"/>
                <w:sz w:val="16"/>
                <w:lang w:val="en-GB"/>
              </w:rPr>
              <w:t>Personnel expenses</w:t>
            </w:r>
          </w:p>
        </w:tc>
        <w:tc>
          <w:tcPr>
            <w:tcW w:w="1091" w:type="dxa"/>
            <w:vAlign w:val="bottom"/>
          </w:tcPr>
          <w:p w:rsidRPr="009C48DA" w:rsidR="00661519" w:rsidP="00661519" w:rsidRDefault="00661519" w14:paraId="124A29B9"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(58,092)</w:t>
            </w:r>
          </w:p>
        </w:tc>
        <w:tc>
          <w:tcPr>
            <w:tcW w:w="1144" w:type="dxa"/>
            <w:vAlign w:val="bottom"/>
          </w:tcPr>
          <w:p w:rsidRPr="009C48DA" w:rsidR="00661519" w:rsidP="00661519" w:rsidRDefault="00661519" w14:paraId="422F50B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(4,654)</w:t>
            </w:r>
          </w:p>
        </w:tc>
        <w:tc>
          <w:tcPr>
            <w:tcW w:w="1092" w:type="dxa"/>
            <w:vAlign w:val="bottom"/>
          </w:tcPr>
          <w:p w:rsidRPr="009C48DA" w:rsidR="00661519" w:rsidP="00661519" w:rsidRDefault="00661519" w14:paraId="2C3819E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(16,196)</w:t>
            </w:r>
          </w:p>
        </w:tc>
        <w:tc>
          <w:tcPr>
            <w:tcW w:w="1091" w:type="dxa"/>
            <w:vAlign w:val="bottom"/>
          </w:tcPr>
          <w:p w:rsidRPr="009C48DA" w:rsidR="00661519" w:rsidP="00661519" w:rsidRDefault="00661519" w14:paraId="7F4781B2"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(78,942)</w:t>
            </w:r>
          </w:p>
        </w:tc>
        <w:tc>
          <w:tcPr>
            <w:tcW w:w="1088" w:type="dxa"/>
            <w:vAlign w:val="bottom"/>
          </w:tcPr>
          <w:p w:rsidRPr="009C48DA" w:rsidR="00661519" w:rsidP="00661519" w:rsidRDefault="00661519" w14:paraId="75477961"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(729)</w:t>
            </w:r>
          </w:p>
        </w:tc>
        <w:tc>
          <w:tcPr>
            <w:tcW w:w="1092" w:type="dxa"/>
            <w:vAlign w:val="bottom"/>
          </w:tcPr>
          <w:p w:rsidRPr="009C48DA" w:rsidR="00661519" w:rsidP="00661519" w:rsidRDefault="00661519" w14:paraId="520877D9"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(79,671)</w:t>
            </w:r>
          </w:p>
        </w:tc>
      </w:tr>
      <w:tr w:rsidRPr="009C48DA" w:rsidR="00661519" w:rsidTr="00661519" w14:paraId="78C0C5CF" w14:textId="77777777">
        <w:trPr>
          <w:trHeight w:val="269"/>
        </w:trPr>
        <w:tc>
          <w:tcPr>
            <w:tcW w:w="2808" w:type="dxa"/>
            <w:vAlign w:val="bottom"/>
          </w:tcPr>
          <w:p w:rsidRPr="009C48DA" w:rsidR="00661519" w:rsidP="00661519" w:rsidRDefault="00661519" w14:paraId="26F6BA17" w14:textId="77777777">
            <w:pPr>
              <w:spacing w:before="60"/>
              <w:textAlignment w:val="baseline"/>
              <w:rPr>
                <w:rFonts w:eastAsia="Times New Roman"/>
                <w:color w:val="000000"/>
                <w:sz w:val="16"/>
                <w:lang w:val="en-GB"/>
              </w:rPr>
            </w:pPr>
            <w:r w:rsidRPr="009C48DA">
              <w:rPr>
                <w:rFonts w:eastAsia="Times New Roman"/>
                <w:color w:val="000000"/>
                <w:sz w:val="16"/>
                <w:lang w:val="en-GB"/>
              </w:rPr>
              <w:t>Other operating expenses</w:t>
            </w:r>
          </w:p>
        </w:tc>
        <w:tc>
          <w:tcPr>
            <w:tcW w:w="1091" w:type="dxa"/>
            <w:vAlign w:val="bottom"/>
          </w:tcPr>
          <w:p w:rsidRPr="009C48DA" w:rsidR="00661519" w:rsidP="00661519" w:rsidRDefault="00661519" w14:paraId="624DD3D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(6,483)</w:t>
            </w:r>
          </w:p>
        </w:tc>
        <w:tc>
          <w:tcPr>
            <w:tcW w:w="1144" w:type="dxa"/>
            <w:vAlign w:val="bottom"/>
          </w:tcPr>
          <w:p w:rsidRPr="009C48DA" w:rsidR="00661519" w:rsidP="00661519" w:rsidRDefault="00661519" w14:paraId="5EC547A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(2,344)</w:t>
            </w:r>
          </w:p>
        </w:tc>
        <w:tc>
          <w:tcPr>
            <w:tcW w:w="1092" w:type="dxa"/>
            <w:vAlign w:val="bottom"/>
          </w:tcPr>
          <w:p w:rsidRPr="009C48DA" w:rsidR="00661519" w:rsidP="00661519" w:rsidRDefault="00661519" w14:paraId="515BD738"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(14,465)</w:t>
            </w:r>
          </w:p>
        </w:tc>
        <w:tc>
          <w:tcPr>
            <w:tcW w:w="1091" w:type="dxa"/>
            <w:vAlign w:val="bottom"/>
          </w:tcPr>
          <w:p w:rsidRPr="009C48DA" w:rsidR="00661519" w:rsidP="00661519" w:rsidRDefault="00661519" w14:paraId="4B5C6698"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(23,292)</w:t>
            </w:r>
          </w:p>
        </w:tc>
        <w:tc>
          <w:tcPr>
            <w:tcW w:w="1088" w:type="dxa"/>
            <w:vAlign w:val="bottom"/>
          </w:tcPr>
          <w:p w:rsidRPr="009C48DA" w:rsidR="00661519" w:rsidP="00661519" w:rsidRDefault="00661519" w14:paraId="32D8BA99"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(106)</w:t>
            </w:r>
          </w:p>
        </w:tc>
        <w:tc>
          <w:tcPr>
            <w:tcW w:w="1092" w:type="dxa"/>
            <w:vAlign w:val="bottom"/>
          </w:tcPr>
          <w:p w:rsidRPr="009C48DA" w:rsidR="00661519" w:rsidP="00661519" w:rsidRDefault="00661519" w14:paraId="3F7B503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(23,398)</w:t>
            </w:r>
          </w:p>
        </w:tc>
      </w:tr>
      <w:tr w:rsidRPr="009C48DA" w:rsidR="00661519" w:rsidTr="00661519" w14:paraId="1AA36EA2" w14:textId="77777777">
        <w:trPr>
          <w:trHeight w:val="331"/>
        </w:trPr>
        <w:tc>
          <w:tcPr>
            <w:tcW w:w="2808" w:type="dxa"/>
            <w:vAlign w:val="bottom"/>
          </w:tcPr>
          <w:p w:rsidRPr="009C48DA" w:rsidR="00661519" w:rsidP="00661519" w:rsidRDefault="00661519" w14:paraId="16719E1F" w14:textId="77777777">
            <w:pPr>
              <w:spacing w:before="60"/>
              <w:textAlignment w:val="baseline"/>
              <w:rPr>
                <w:rFonts w:eastAsia="Times New Roman"/>
                <w:b/>
                <w:color w:val="000000"/>
                <w:sz w:val="16"/>
                <w:lang w:val="en-GB"/>
              </w:rPr>
            </w:pPr>
            <w:r w:rsidRPr="009C48DA">
              <w:rPr>
                <w:rFonts w:eastAsia="Times New Roman"/>
                <w:color w:val="000000"/>
                <w:sz w:val="16"/>
                <w:lang w:val="en-GB"/>
              </w:rPr>
              <w:t>Foreign exchange</w:t>
            </w:r>
          </w:p>
        </w:tc>
        <w:tc>
          <w:tcPr>
            <w:tcW w:w="1091" w:type="dxa"/>
            <w:vAlign w:val="bottom"/>
          </w:tcPr>
          <w:p w:rsidRPr="009C48DA" w:rsidR="00661519" w:rsidP="00661519" w:rsidRDefault="00661519" w14:paraId="1FCBD1EC"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144" w:type="dxa"/>
            <w:vAlign w:val="bottom"/>
          </w:tcPr>
          <w:p w:rsidRPr="009C48DA" w:rsidR="00661519" w:rsidP="00661519" w:rsidRDefault="00661519" w14:paraId="69410939"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92" w:type="dxa"/>
            <w:vAlign w:val="bottom"/>
          </w:tcPr>
          <w:p w:rsidRPr="009C48DA" w:rsidR="00661519" w:rsidP="00661519" w:rsidRDefault="00661519" w14:paraId="7F0BBC46"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1,524</w:t>
            </w:r>
          </w:p>
        </w:tc>
        <w:tc>
          <w:tcPr>
            <w:tcW w:w="1091" w:type="dxa"/>
            <w:vAlign w:val="bottom"/>
          </w:tcPr>
          <w:p w:rsidRPr="009C48DA" w:rsidR="00661519" w:rsidP="00661519" w:rsidRDefault="00661519" w14:paraId="0042D134"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1,524</w:t>
            </w:r>
          </w:p>
        </w:tc>
        <w:tc>
          <w:tcPr>
            <w:tcW w:w="1088" w:type="dxa"/>
            <w:vAlign w:val="bottom"/>
          </w:tcPr>
          <w:p w:rsidRPr="009C48DA" w:rsidR="00661519" w:rsidP="00661519" w:rsidRDefault="00661519" w14:paraId="1E607077"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92" w:type="dxa"/>
            <w:vAlign w:val="bottom"/>
          </w:tcPr>
          <w:p w:rsidRPr="009C48DA" w:rsidR="00661519" w:rsidP="00661519" w:rsidRDefault="00661519" w14:paraId="74C73E06"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1,524</w:t>
            </w:r>
          </w:p>
        </w:tc>
      </w:tr>
      <w:tr w:rsidRPr="009C48DA" w:rsidR="00661519" w:rsidTr="00661519" w14:paraId="48194C96" w14:textId="77777777">
        <w:trPr>
          <w:trHeight w:val="539"/>
        </w:trPr>
        <w:tc>
          <w:tcPr>
            <w:tcW w:w="2808" w:type="dxa"/>
            <w:vAlign w:val="bottom"/>
          </w:tcPr>
          <w:p w:rsidRPr="009C48DA" w:rsidR="00661519" w:rsidP="00661519" w:rsidRDefault="00661519" w14:paraId="0AD7F979" w14:textId="77777777">
            <w:pPr>
              <w:spacing w:before="60"/>
              <w:textAlignment w:val="baseline"/>
              <w:rPr>
                <w:rFonts w:eastAsia="Times New Roman"/>
                <w:b/>
                <w:color w:val="000000"/>
                <w:sz w:val="16"/>
                <w:lang w:val="en-GB"/>
              </w:rPr>
            </w:pPr>
            <w:r w:rsidRPr="009C48DA">
              <w:rPr>
                <w:rFonts w:eastAsia="Times New Roman"/>
                <w:b/>
                <w:color w:val="000000"/>
                <w:sz w:val="16"/>
                <w:lang w:val="en-GB"/>
              </w:rPr>
              <w:t>EBITDA (excluding exceptional</w:t>
            </w:r>
          </w:p>
          <w:p w:rsidRPr="009C48DA" w:rsidR="00661519" w:rsidP="00661519" w:rsidRDefault="00661519" w14:paraId="1A8A486A" w14:textId="77777777">
            <w:pPr>
              <w:spacing w:before="60"/>
              <w:textAlignment w:val="baseline"/>
              <w:rPr>
                <w:rFonts w:eastAsia="Times New Roman"/>
                <w:b/>
                <w:color w:val="000000"/>
                <w:sz w:val="16"/>
                <w:lang w:val="en-GB"/>
              </w:rPr>
            </w:pPr>
            <w:r w:rsidRPr="009C48DA">
              <w:rPr>
                <w:rFonts w:eastAsia="Times New Roman"/>
                <w:b/>
                <w:color w:val="000000"/>
                <w:sz w:val="16"/>
                <w:lang w:val="en-GB"/>
              </w:rPr>
              <w:t>costs)</w:t>
            </w:r>
          </w:p>
        </w:tc>
        <w:tc>
          <w:tcPr>
            <w:tcW w:w="1091" w:type="dxa"/>
            <w:vAlign w:val="bottom"/>
          </w:tcPr>
          <w:p w:rsidRPr="009C48DA" w:rsidR="00661519" w:rsidP="00661519" w:rsidRDefault="00661519" w14:paraId="4608B97D"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77,530</w:t>
            </w:r>
          </w:p>
        </w:tc>
        <w:tc>
          <w:tcPr>
            <w:tcW w:w="1144" w:type="dxa"/>
            <w:vAlign w:val="bottom"/>
          </w:tcPr>
          <w:p w:rsidRPr="009C48DA" w:rsidR="00661519" w:rsidP="00661519" w:rsidRDefault="00661519" w14:paraId="57C0C5FA"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(6,936)</w:t>
            </w:r>
          </w:p>
        </w:tc>
        <w:tc>
          <w:tcPr>
            <w:tcW w:w="1092" w:type="dxa"/>
            <w:vAlign w:val="bottom"/>
          </w:tcPr>
          <w:p w:rsidRPr="009C48DA" w:rsidR="00661519" w:rsidP="00661519" w:rsidRDefault="00661519" w14:paraId="1977F24C"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(29,137)</w:t>
            </w:r>
          </w:p>
        </w:tc>
        <w:tc>
          <w:tcPr>
            <w:tcW w:w="1091" w:type="dxa"/>
            <w:vAlign w:val="bottom"/>
          </w:tcPr>
          <w:p w:rsidRPr="009C48DA" w:rsidR="00661519" w:rsidP="00661519" w:rsidRDefault="00661519" w14:paraId="2997055C"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41,457</w:t>
            </w:r>
          </w:p>
        </w:tc>
        <w:tc>
          <w:tcPr>
            <w:tcW w:w="1088" w:type="dxa"/>
            <w:vAlign w:val="bottom"/>
          </w:tcPr>
          <w:p w:rsidRPr="009C48DA" w:rsidR="00661519" w:rsidP="00661519" w:rsidRDefault="00661519" w14:paraId="21B5534B"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1,809</w:t>
            </w:r>
          </w:p>
        </w:tc>
        <w:tc>
          <w:tcPr>
            <w:tcW w:w="1092" w:type="dxa"/>
            <w:vAlign w:val="bottom"/>
          </w:tcPr>
          <w:p w:rsidRPr="009C48DA" w:rsidR="00661519" w:rsidP="00661519" w:rsidRDefault="00661519" w14:paraId="444938EA"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43,266</w:t>
            </w:r>
          </w:p>
        </w:tc>
      </w:tr>
      <w:tr w:rsidRPr="009C48DA" w:rsidR="00661519" w:rsidTr="00661519" w14:paraId="7D3EE8D0" w14:textId="77777777">
        <w:trPr>
          <w:trHeight w:val="269"/>
        </w:trPr>
        <w:tc>
          <w:tcPr>
            <w:tcW w:w="2808" w:type="dxa"/>
            <w:vAlign w:val="bottom"/>
          </w:tcPr>
          <w:p w:rsidRPr="009C48DA" w:rsidR="00661519" w:rsidP="00661519" w:rsidRDefault="00661519" w14:paraId="0D9BFFB2" w14:textId="77777777">
            <w:pPr>
              <w:tabs>
                <w:tab w:val="left" w:pos="3528"/>
                <w:tab w:val="left" w:pos="5112"/>
                <w:tab w:val="left" w:pos="6696"/>
                <w:tab w:val="left" w:pos="8136"/>
              </w:tabs>
              <w:spacing w:before="60"/>
              <w:ind w:right="504"/>
              <w:textAlignment w:val="baseline"/>
              <w:rPr>
                <w:rFonts w:eastAsia="Times New Roman"/>
                <w:color w:val="000000"/>
                <w:sz w:val="16"/>
                <w:lang w:val="en-GB"/>
              </w:rPr>
            </w:pPr>
            <w:r w:rsidRPr="009C48DA">
              <w:rPr>
                <w:rFonts w:eastAsia="Times New Roman"/>
                <w:color w:val="000000"/>
                <w:sz w:val="16"/>
                <w:lang w:val="en-GB"/>
              </w:rPr>
              <w:t>Exceptional costs</w:t>
            </w:r>
          </w:p>
        </w:tc>
        <w:tc>
          <w:tcPr>
            <w:tcW w:w="1091" w:type="dxa"/>
            <w:vAlign w:val="bottom"/>
          </w:tcPr>
          <w:p w:rsidRPr="009C48DA" w:rsidR="00661519" w:rsidP="00661519" w:rsidRDefault="00661519" w14:paraId="34AD040A" w14:textId="77777777">
            <w:pPr>
              <w:spacing w:before="60"/>
              <w:ind w:right="109"/>
              <w:jc w:val="right"/>
              <w:textAlignment w:val="baseline"/>
              <w:rPr>
                <w:rFonts w:eastAsia="Times New Roman"/>
                <w:color w:val="000000"/>
                <w:sz w:val="16"/>
                <w:szCs w:val="16"/>
                <w:lang w:val="en-GB"/>
              </w:rPr>
            </w:pPr>
          </w:p>
        </w:tc>
        <w:tc>
          <w:tcPr>
            <w:tcW w:w="1144" w:type="dxa"/>
            <w:vAlign w:val="bottom"/>
          </w:tcPr>
          <w:p w:rsidRPr="009C48DA" w:rsidR="00661519" w:rsidP="00661519" w:rsidRDefault="00661519" w14:paraId="6C80CC32" w14:textId="77777777">
            <w:pPr>
              <w:spacing w:before="60"/>
              <w:ind w:right="109"/>
              <w:jc w:val="right"/>
              <w:textAlignment w:val="baseline"/>
              <w:rPr>
                <w:rFonts w:eastAsia="Times New Roman"/>
                <w:color w:val="000000"/>
                <w:sz w:val="16"/>
                <w:szCs w:val="16"/>
                <w:lang w:val="en-GB"/>
              </w:rPr>
            </w:pPr>
          </w:p>
        </w:tc>
        <w:tc>
          <w:tcPr>
            <w:tcW w:w="1092" w:type="dxa"/>
            <w:vAlign w:val="bottom"/>
          </w:tcPr>
          <w:p w:rsidRPr="009C48DA" w:rsidR="00661519" w:rsidP="00661519" w:rsidRDefault="00661519" w14:paraId="24268ED4" w14:textId="77777777">
            <w:pPr>
              <w:spacing w:before="60"/>
              <w:ind w:right="109"/>
              <w:jc w:val="right"/>
              <w:textAlignment w:val="baseline"/>
              <w:rPr>
                <w:rFonts w:eastAsia="Times New Roman"/>
                <w:color w:val="000000"/>
                <w:sz w:val="16"/>
                <w:szCs w:val="16"/>
                <w:lang w:val="en-GB"/>
              </w:rPr>
            </w:pPr>
          </w:p>
        </w:tc>
        <w:tc>
          <w:tcPr>
            <w:tcW w:w="1091" w:type="dxa"/>
            <w:vAlign w:val="bottom"/>
          </w:tcPr>
          <w:p w:rsidRPr="009C48DA" w:rsidR="00661519" w:rsidP="00661519" w:rsidRDefault="00661519" w14:paraId="76422DCF" w14:textId="77777777">
            <w:pPr>
              <w:spacing w:before="60"/>
              <w:ind w:right="109"/>
              <w:jc w:val="right"/>
              <w:textAlignment w:val="baseline"/>
              <w:rPr>
                <w:rFonts w:eastAsia="Times New Roman"/>
                <w:color w:val="000000"/>
                <w:sz w:val="16"/>
                <w:szCs w:val="16"/>
                <w:lang w:val="en-GB"/>
              </w:rPr>
            </w:pPr>
          </w:p>
        </w:tc>
        <w:tc>
          <w:tcPr>
            <w:tcW w:w="1088" w:type="dxa"/>
            <w:vAlign w:val="bottom"/>
          </w:tcPr>
          <w:p w:rsidRPr="009C48DA" w:rsidR="00661519" w:rsidP="00661519" w:rsidRDefault="00661519" w14:paraId="63E45363" w14:textId="77777777">
            <w:pPr>
              <w:spacing w:before="60"/>
              <w:ind w:right="109"/>
              <w:jc w:val="right"/>
              <w:textAlignment w:val="baseline"/>
              <w:rPr>
                <w:rFonts w:eastAsia="Times New Roman"/>
                <w:color w:val="000000"/>
                <w:sz w:val="16"/>
                <w:szCs w:val="16"/>
                <w:lang w:val="en-GB"/>
              </w:rPr>
            </w:pPr>
          </w:p>
        </w:tc>
        <w:tc>
          <w:tcPr>
            <w:tcW w:w="1092" w:type="dxa"/>
            <w:vAlign w:val="bottom"/>
          </w:tcPr>
          <w:p w:rsidRPr="009C48DA" w:rsidR="00661519" w:rsidP="00661519" w:rsidRDefault="00661519" w14:paraId="495FDA1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(24,083)</w:t>
            </w:r>
          </w:p>
        </w:tc>
      </w:tr>
      <w:tr w:rsidRPr="009C48DA" w:rsidR="00661519" w:rsidTr="00661519" w14:paraId="0A10AF3F" w14:textId="77777777">
        <w:trPr>
          <w:trHeight w:val="311"/>
        </w:trPr>
        <w:tc>
          <w:tcPr>
            <w:tcW w:w="2808" w:type="dxa"/>
            <w:vAlign w:val="bottom"/>
          </w:tcPr>
          <w:p w:rsidRPr="009C48DA" w:rsidR="00661519" w:rsidP="00661519" w:rsidRDefault="00661519" w14:paraId="71767DCD" w14:textId="77777777">
            <w:pPr>
              <w:spacing w:before="60"/>
              <w:textAlignment w:val="baseline"/>
              <w:rPr>
                <w:rFonts w:eastAsia="Times New Roman"/>
                <w:b/>
                <w:color w:val="000000"/>
                <w:sz w:val="16"/>
                <w:lang w:val="en-GB"/>
              </w:rPr>
            </w:pPr>
            <w:r w:rsidRPr="009C48DA">
              <w:rPr>
                <w:rFonts w:eastAsia="Times New Roman"/>
                <w:b/>
                <w:color w:val="000000"/>
                <w:sz w:val="16"/>
                <w:lang w:val="en-GB"/>
              </w:rPr>
              <w:t>EBITDA (including exceptional costs)</w:t>
            </w:r>
          </w:p>
        </w:tc>
        <w:tc>
          <w:tcPr>
            <w:tcW w:w="1091" w:type="dxa"/>
            <w:vAlign w:val="bottom"/>
          </w:tcPr>
          <w:p w:rsidRPr="009C48DA" w:rsidR="00661519" w:rsidP="00661519" w:rsidRDefault="00661519" w14:paraId="69C5269E" w14:textId="77777777">
            <w:pPr>
              <w:spacing w:before="60"/>
              <w:ind w:right="109"/>
              <w:jc w:val="right"/>
              <w:textAlignment w:val="baseline"/>
              <w:rPr>
                <w:rFonts w:eastAsia="Times New Roman"/>
                <w:color w:val="000000"/>
                <w:sz w:val="16"/>
                <w:szCs w:val="16"/>
                <w:lang w:val="en-GB"/>
              </w:rPr>
            </w:pPr>
          </w:p>
        </w:tc>
        <w:tc>
          <w:tcPr>
            <w:tcW w:w="1144" w:type="dxa"/>
            <w:vAlign w:val="bottom"/>
          </w:tcPr>
          <w:p w:rsidRPr="009C48DA" w:rsidR="00661519" w:rsidP="00661519" w:rsidRDefault="00661519" w14:paraId="4B67730F" w14:textId="77777777">
            <w:pPr>
              <w:spacing w:before="60"/>
              <w:ind w:right="109"/>
              <w:jc w:val="right"/>
              <w:textAlignment w:val="baseline"/>
              <w:rPr>
                <w:rFonts w:eastAsia="Times New Roman"/>
                <w:color w:val="000000"/>
                <w:sz w:val="16"/>
                <w:szCs w:val="16"/>
                <w:lang w:val="en-GB"/>
              </w:rPr>
            </w:pPr>
          </w:p>
        </w:tc>
        <w:tc>
          <w:tcPr>
            <w:tcW w:w="1092" w:type="dxa"/>
            <w:vAlign w:val="bottom"/>
          </w:tcPr>
          <w:p w:rsidRPr="009C48DA" w:rsidR="00661519" w:rsidP="00661519" w:rsidRDefault="00661519" w14:paraId="5AB5E35C" w14:textId="77777777">
            <w:pPr>
              <w:spacing w:before="60"/>
              <w:ind w:right="109"/>
              <w:jc w:val="right"/>
              <w:textAlignment w:val="baseline"/>
              <w:rPr>
                <w:rFonts w:eastAsia="Times New Roman"/>
                <w:color w:val="000000"/>
                <w:sz w:val="16"/>
                <w:szCs w:val="16"/>
                <w:lang w:val="en-GB"/>
              </w:rPr>
            </w:pPr>
          </w:p>
        </w:tc>
        <w:tc>
          <w:tcPr>
            <w:tcW w:w="1091" w:type="dxa"/>
            <w:vAlign w:val="bottom"/>
          </w:tcPr>
          <w:p w:rsidRPr="009C48DA" w:rsidR="00661519" w:rsidP="00661519" w:rsidRDefault="00661519" w14:paraId="0EE02341" w14:textId="77777777">
            <w:pPr>
              <w:spacing w:before="60"/>
              <w:ind w:right="109"/>
              <w:jc w:val="right"/>
              <w:textAlignment w:val="baseline"/>
              <w:rPr>
                <w:rFonts w:eastAsia="Times New Roman"/>
                <w:color w:val="000000"/>
                <w:sz w:val="16"/>
                <w:szCs w:val="16"/>
                <w:lang w:val="en-GB"/>
              </w:rPr>
            </w:pPr>
          </w:p>
        </w:tc>
        <w:tc>
          <w:tcPr>
            <w:tcW w:w="1088" w:type="dxa"/>
            <w:vAlign w:val="bottom"/>
          </w:tcPr>
          <w:p w:rsidRPr="009C48DA" w:rsidR="00661519" w:rsidP="00661519" w:rsidRDefault="00661519" w14:paraId="47B53E7E" w14:textId="77777777">
            <w:pPr>
              <w:spacing w:before="60"/>
              <w:ind w:right="109"/>
              <w:jc w:val="right"/>
              <w:textAlignment w:val="baseline"/>
              <w:rPr>
                <w:rFonts w:eastAsia="Times New Roman"/>
                <w:color w:val="000000"/>
                <w:sz w:val="16"/>
                <w:szCs w:val="16"/>
                <w:lang w:val="en-GB"/>
              </w:rPr>
            </w:pPr>
          </w:p>
        </w:tc>
        <w:tc>
          <w:tcPr>
            <w:tcW w:w="1092" w:type="dxa"/>
            <w:vAlign w:val="bottom"/>
          </w:tcPr>
          <w:p w:rsidRPr="009C48DA" w:rsidR="00661519" w:rsidP="00661519" w:rsidRDefault="00661519" w14:paraId="0F2B455D" w14:textId="77777777">
            <w:pPr>
              <w:pBdr>
                <w:bottom w:val="single" w:color="auto" w:sz="8"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19,183</w:t>
            </w:r>
          </w:p>
        </w:tc>
      </w:tr>
      <w:tr w:rsidRPr="009C48DA" w:rsidR="00661519" w:rsidTr="00661519" w14:paraId="3A70048F" w14:textId="77777777">
        <w:trPr>
          <w:trHeight w:val="269"/>
        </w:trPr>
        <w:tc>
          <w:tcPr>
            <w:tcW w:w="2808" w:type="dxa"/>
            <w:vAlign w:val="bottom"/>
          </w:tcPr>
          <w:p w:rsidRPr="009C48DA" w:rsidR="00661519" w:rsidP="00661519" w:rsidRDefault="00661519" w14:paraId="3D1FA8AD" w14:textId="77777777">
            <w:pPr>
              <w:spacing w:before="60"/>
              <w:textAlignment w:val="baseline"/>
              <w:rPr>
                <w:rFonts w:eastAsia="Times New Roman"/>
                <w:color w:val="000000"/>
                <w:sz w:val="16"/>
                <w:lang w:val="en-GB"/>
              </w:rPr>
            </w:pPr>
            <w:r w:rsidRPr="009C48DA">
              <w:rPr>
                <w:rFonts w:eastAsia="Times New Roman"/>
                <w:color w:val="000000"/>
                <w:sz w:val="16"/>
                <w:lang w:val="en-GB"/>
              </w:rPr>
              <w:t>Depreciation and amortisation</w:t>
            </w:r>
          </w:p>
        </w:tc>
        <w:tc>
          <w:tcPr>
            <w:tcW w:w="1091" w:type="dxa"/>
            <w:vAlign w:val="bottom"/>
          </w:tcPr>
          <w:p w:rsidRPr="009C48DA" w:rsidR="00661519" w:rsidP="00661519" w:rsidRDefault="00661519" w14:paraId="0296D5CF" w14:textId="77777777">
            <w:pPr>
              <w:spacing w:before="60"/>
              <w:ind w:right="109"/>
              <w:jc w:val="right"/>
              <w:textAlignment w:val="baseline"/>
              <w:rPr>
                <w:rFonts w:eastAsia="Times New Roman"/>
                <w:color w:val="000000"/>
                <w:sz w:val="16"/>
                <w:szCs w:val="16"/>
                <w:lang w:val="en-GB"/>
              </w:rPr>
            </w:pPr>
          </w:p>
        </w:tc>
        <w:tc>
          <w:tcPr>
            <w:tcW w:w="1144" w:type="dxa"/>
            <w:vAlign w:val="bottom"/>
          </w:tcPr>
          <w:p w:rsidRPr="009C48DA" w:rsidR="00661519" w:rsidP="00661519" w:rsidRDefault="00661519" w14:paraId="6F951B52" w14:textId="77777777">
            <w:pPr>
              <w:spacing w:before="60"/>
              <w:ind w:right="109"/>
              <w:jc w:val="right"/>
              <w:textAlignment w:val="baseline"/>
              <w:rPr>
                <w:rFonts w:eastAsia="Times New Roman"/>
                <w:color w:val="000000"/>
                <w:sz w:val="16"/>
                <w:szCs w:val="16"/>
                <w:lang w:val="en-GB"/>
              </w:rPr>
            </w:pPr>
          </w:p>
        </w:tc>
        <w:tc>
          <w:tcPr>
            <w:tcW w:w="1092" w:type="dxa"/>
            <w:vAlign w:val="bottom"/>
          </w:tcPr>
          <w:p w:rsidRPr="009C48DA" w:rsidR="00661519" w:rsidP="00661519" w:rsidRDefault="00661519" w14:paraId="464610AD" w14:textId="77777777">
            <w:pPr>
              <w:spacing w:before="60"/>
              <w:ind w:right="109"/>
              <w:jc w:val="right"/>
              <w:textAlignment w:val="baseline"/>
              <w:rPr>
                <w:rFonts w:eastAsia="Times New Roman"/>
                <w:color w:val="000000"/>
                <w:sz w:val="16"/>
                <w:szCs w:val="16"/>
                <w:lang w:val="en-GB"/>
              </w:rPr>
            </w:pPr>
          </w:p>
        </w:tc>
        <w:tc>
          <w:tcPr>
            <w:tcW w:w="1091" w:type="dxa"/>
            <w:vAlign w:val="bottom"/>
          </w:tcPr>
          <w:p w:rsidRPr="009C48DA" w:rsidR="00661519" w:rsidP="00661519" w:rsidRDefault="00661519" w14:paraId="08FA9F62" w14:textId="77777777">
            <w:pPr>
              <w:spacing w:before="60"/>
              <w:ind w:right="109"/>
              <w:jc w:val="right"/>
              <w:textAlignment w:val="baseline"/>
              <w:rPr>
                <w:rFonts w:eastAsia="Times New Roman"/>
                <w:color w:val="000000"/>
                <w:sz w:val="16"/>
                <w:szCs w:val="16"/>
                <w:lang w:val="en-GB"/>
              </w:rPr>
            </w:pPr>
          </w:p>
        </w:tc>
        <w:tc>
          <w:tcPr>
            <w:tcW w:w="1088" w:type="dxa"/>
            <w:vAlign w:val="bottom"/>
          </w:tcPr>
          <w:p w:rsidRPr="009C48DA" w:rsidR="00661519" w:rsidP="00661519" w:rsidRDefault="00661519" w14:paraId="11C1209C" w14:textId="77777777">
            <w:pPr>
              <w:spacing w:before="60"/>
              <w:ind w:right="109"/>
              <w:jc w:val="right"/>
              <w:textAlignment w:val="baseline"/>
              <w:rPr>
                <w:rFonts w:eastAsia="Times New Roman"/>
                <w:color w:val="000000"/>
                <w:sz w:val="16"/>
                <w:szCs w:val="16"/>
                <w:lang w:val="en-GB"/>
              </w:rPr>
            </w:pPr>
          </w:p>
        </w:tc>
        <w:tc>
          <w:tcPr>
            <w:tcW w:w="1092" w:type="dxa"/>
            <w:vAlign w:val="bottom"/>
          </w:tcPr>
          <w:p w:rsidRPr="009C48DA" w:rsidR="00661519" w:rsidP="00661519" w:rsidRDefault="00661519" w14:paraId="390CC861"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(6,765)</w:t>
            </w:r>
          </w:p>
        </w:tc>
      </w:tr>
      <w:tr w:rsidRPr="009C48DA" w:rsidR="00661519" w:rsidTr="00661519" w14:paraId="3BE813B3" w14:textId="77777777">
        <w:trPr>
          <w:trHeight w:val="269"/>
        </w:trPr>
        <w:tc>
          <w:tcPr>
            <w:tcW w:w="2808" w:type="dxa"/>
            <w:vAlign w:val="bottom"/>
          </w:tcPr>
          <w:p w:rsidRPr="009C48DA" w:rsidR="00661519" w:rsidP="00661519" w:rsidRDefault="00661519" w14:paraId="766BBB30" w14:textId="77777777">
            <w:pPr>
              <w:spacing w:before="60"/>
              <w:textAlignment w:val="baseline"/>
              <w:rPr>
                <w:rFonts w:eastAsia="Times New Roman"/>
                <w:color w:val="000000"/>
                <w:sz w:val="16"/>
                <w:lang w:val="en-GB"/>
              </w:rPr>
            </w:pPr>
            <w:r w:rsidRPr="009C48DA">
              <w:rPr>
                <w:rFonts w:eastAsia="Times New Roman"/>
                <w:color w:val="000000"/>
                <w:sz w:val="16"/>
                <w:lang w:val="en-GB"/>
              </w:rPr>
              <w:t>Net finance income</w:t>
            </w:r>
          </w:p>
        </w:tc>
        <w:tc>
          <w:tcPr>
            <w:tcW w:w="1091" w:type="dxa"/>
            <w:vAlign w:val="bottom"/>
          </w:tcPr>
          <w:p w:rsidRPr="009C48DA" w:rsidR="00661519" w:rsidP="00661519" w:rsidRDefault="00661519" w14:paraId="1DF90717" w14:textId="77777777">
            <w:pPr>
              <w:spacing w:before="60"/>
              <w:ind w:right="109"/>
              <w:jc w:val="right"/>
              <w:textAlignment w:val="baseline"/>
              <w:rPr>
                <w:rFonts w:eastAsia="Times New Roman"/>
                <w:color w:val="000000"/>
                <w:sz w:val="16"/>
                <w:szCs w:val="16"/>
                <w:lang w:val="en-GB"/>
              </w:rPr>
            </w:pPr>
          </w:p>
        </w:tc>
        <w:tc>
          <w:tcPr>
            <w:tcW w:w="1144" w:type="dxa"/>
            <w:vAlign w:val="bottom"/>
          </w:tcPr>
          <w:p w:rsidRPr="009C48DA" w:rsidR="00661519" w:rsidP="00661519" w:rsidRDefault="00661519" w14:paraId="7591D17F" w14:textId="77777777">
            <w:pPr>
              <w:spacing w:before="60"/>
              <w:ind w:right="109"/>
              <w:jc w:val="right"/>
              <w:textAlignment w:val="baseline"/>
              <w:rPr>
                <w:rFonts w:eastAsia="Times New Roman"/>
                <w:color w:val="000000"/>
                <w:sz w:val="16"/>
                <w:szCs w:val="16"/>
                <w:lang w:val="en-GB"/>
              </w:rPr>
            </w:pPr>
          </w:p>
        </w:tc>
        <w:tc>
          <w:tcPr>
            <w:tcW w:w="1092" w:type="dxa"/>
            <w:vAlign w:val="bottom"/>
          </w:tcPr>
          <w:p w:rsidRPr="009C48DA" w:rsidR="00661519" w:rsidP="00661519" w:rsidRDefault="00661519" w14:paraId="761EF4A9" w14:textId="77777777">
            <w:pPr>
              <w:spacing w:before="60"/>
              <w:ind w:right="109"/>
              <w:jc w:val="right"/>
              <w:textAlignment w:val="baseline"/>
              <w:rPr>
                <w:rFonts w:eastAsia="Times New Roman"/>
                <w:color w:val="000000"/>
                <w:sz w:val="16"/>
                <w:szCs w:val="16"/>
                <w:lang w:val="en-GB"/>
              </w:rPr>
            </w:pPr>
          </w:p>
        </w:tc>
        <w:tc>
          <w:tcPr>
            <w:tcW w:w="1091" w:type="dxa"/>
            <w:vAlign w:val="bottom"/>
          </w:tcPr>
          <w:p w:rsidRPr="009C48DA" w:rsidR="00661519" w:rsidP="00661519" w:rsidRDefault="00661519" w14:paraId="1C9CFD98" w14:textId="77777777">
            <w:pPr>
              <w:spacing w:before="60"/>
              <w:ind w:right="109"/>
              <w:jc w:val="right"/>
              <w:textAlignment w:val="baseline"/>
              <w:rPr>
                <w:rFonts w:eastAsia="Times New Roman"/>
                <w:color w:val="000000"/>
                <w:sz w:val="16"/>
                <w:szCs w:val="16"/>
                <w:lang w:val="en-GB"/>
              </w:rPr>
            </w:pPr>
          </w:p>
        </w:tc>
        <w:tc>
          <w:tcPr>
            <w:tcW w:w="1088" w:type="dxa"/>
            <w:vAlign w:val="bottom"/>
          </w:tcPr>
          <w:p w:rsidRPr="009C48DA" w:rsidR="00661519" w:rsidP="00661519" w:rsidRDefault="00661519" w14:paraId="4DB96FFB" w14:textId="77777777">
            <w:pPr>
              <w:spacing w:before="60"/>
              <w:ind w:right="109"/>
              <w:jc w:val="right"/>
              <w:textAlignment w:val="baseline"/>
              <w:rPr>
                <w:rFonts w:eastAsia="Times New Roman"/>
                <w:color w:val="000000"/>
                <w:sz w:val="16"/>
                <w:szCs w:val="16"/>
                <w:lang w:val="en-GB"/>
              </w:rPr>
            </w:pPr>
          </w:p>
        </w:tc>
        <w:tc>
          <w:tcPr>
            <w:tcW w:w="1092" w:type="dxa"/>
            <w:vAlign w:val="bottom"/>
          </w:tcPr>
          <w:p w:rsidRPr="009C48DA" w:rsidR="00661519" w:rsidP="00661519" w:rsidRDefault="00661519" w14:paraId="5E09E02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123</w:t>
            </w:r>
          </w:p>
        </w:tc>
      </w:tr>
      <w:tr w:rsidRPr="009C48DA" w:rsidR="00661519" w:rsidTr="00661519" w14:paraId="43E429DA" w14:textId="77777777">
        <w:trPr>
          <w:trHeight w:val="393"/>
        </w:trPr>
        <w:tc>
          <w:tcPr>
            <w:tcW w:w="2808" w:type="dxa"/>
            <w:vAlign w:val="bottom"/>
          </w:tcPr>
          <w:p w:rsidRPr="009C48DA" w:rsidR="00661519" w:rsidP="00661519" w:rsidRDefault="00661519" w14:paraId="51489F54" w14:textId="77777777">
            <w:pPr>
              <w:spacing w:before="60"/>
              <w:textAlignment w:val="baseline"/>
              <w:rPr>
                <w:rFonts w:eastAsia="Times New Roman"/>
                <w:b/>
                <w:color w:val="000000"/>
                <w:sz w:val="16"/>
                <w:lang w:val="en-GB"/>
              </w:rPr>
            </w:pPr>
            <w:r w:rsidRPr="009C48DA">
              <w:rPr>
                <w:rFonts w:eastAsia="Times New Roman"/>
                <w:b/>
                <w:color w:val="000000"/>
                <w:sz w:val="16"/>
                <w:lang w:val="en-GB"/>
              </w:rPr>
              <w:t>Profit before income tax</w:t>
            </w:r>
          </w:p>
        </w:tc>
        <w:tc>
          <w:tcPr>
            <w:tcW w:w="1091" w:type="dxa"/>
            <w:vAlign w:val="bottom"/>
          </w:tcPr>
          <w:p w:rsidRPr="009C48DA" w:rsidR="00661519" w:rsidP="00661519" w:rsidRDefault="00661519" w14:paraId="6A154988" w14:textId="77777777">
            <w:pPr>
              <w:spacing w:before="60"/>
              <w:ind w:right="109"/>
              <w:jc w:val="right"/>
              <w:textAlignment w:val="baseline"/>
              <w:rPr>
                <w:rFonts w:eastAsia="Times New Roman"/>
                <w:color w:val="000000"/>
                <w:sz w:val="16"/>
                <w:szCs w:val="16"/>
                <w:lang w:val="en-GB"/>
              </w:rPr>
            </w:pPr>
          </w:p>
        </w:tc>
        <w:tc>
          <w:tcPr>
            <w:tcW w:w="1144" w:type="dxa"/>
            <w:vAlign w:val="bottom"/>
          </w:tcPr>
          <w:p w:rsidRPr="009C48DA" w:rsidR="00661519" w:rsidP="00661519" w:rsidRDefault="00661519" w14:paraId="4DB2D573" w14:textId="77777777">
            <w:pPr>
              <w:spacing w:before="60"/>
              <w:ind w:right="109"/>
              <w:jc w:val="right"/>
              <w:textAlignment w:val="baseline"/>
              <w:rPr>
                <w:rFonts w:eastAsia="Times New Roman"/>
                <w:color w:val="000000"/>
                <w:sz w:val="16"/>
                <w:szCs w:val="16"/>
                <w:lang w:val="en-GB"/>
              </w:rPr>
            </w:pPr>
          </w:p>
        </w:tc>
        <w:tc>
          <w:tcPr>
            <w:tcW w:w="1092" w:type="dxa"/>
            <w:vAlign w:val="bottom"/>
          </w:tcPr>
          <w:p w:rsidRPr="009C48DA" w:rsidR="00661519" w:rsidP="00661519" w:rsidRDefault="00661519" w14:paraId="60B37DF5" w14:textId="77777777">
            <w:pPr>
              <w:spacing w:before="60"/>
              <w:ind w:right="109"/>
              <w:jc w:val="right"/>
              <w:textAlignment w:val="baseline"/>
              <w:rPr>
                <w:rFonts w:eastAsia="Times New Roman"/>
                <w:color w:val="000000"/>
                <w:sz w:val="16"/>
                <w:szCs w:val="16"/>
                <w:lang w:val="en-GB"/>
              </w:rPr>
            </w:pPr>
          </w:p>
        </w:tc>
        <w:tc>
          <w:tcPr>
            <w:tcW w:w="1091" w:type="dxa"/>
            <w:vAlign w:val="bottom"/>
          </w:tcPr>
          <w:p w:rsidRPr="009C48DA" w:rsidR="00661519" w:rsidP="00661519" w:rsidRDefault="00661519" w14:paraId="60F41065" w14:textId="77777777">
            <w:pPr>
              <w:spacing w:before="60"/>
              <w:ind w:right="109"/>
              <w:jc w:val="right"/>
              <w:textAlignment w:val="baseline"/>
              <w:rPr>
                <w:rFonts w:eastAsia="Times New Roman"/>
                <w:color w:val="000000"/>
                <w:sz w:val="16"/>
                <w:szCs w:val="16"/>
                <w:lang w:val="en-GB"/>
              </w:rPr>
            </w:pPr>
          </w:p>
        </w:tc>
        <w:tc>
          <w:tcPr>
            <w:tcW w:w="1088" w:type="dxa"/>
            <w:vAlign w:val="bottom"/>
          </w:tcPr>
          <w:p w:rsidRPr="009C48DA" w:rsidR="00661519" w:rsidP="00661519" w:rsidRDefault="00661519" w14:paraId="0E25DE38" w14:textId="77777777">
            <w:pPr>
              <w:spacing w:before="60"/>
              <w:ind w:right="109"/>
              <w:jc w:val="right"/>
              <w:textAlignment w:val="baseline"/>
              <w:rPr>
                <w:rFonts w:eastAsia="Times New Roman"/>
                <w:color w:val="000000"/>
                <w:sz w:val="16"/>
                <w:szCs w:val="16"/>
                <w:lang w:val="en-GB"/>
              </w:rPr>
            </w:pPr>
          </w:p>
        </w:tc>
        <w:tc>
          <w:tcPr>
            <w:tcW w:w="1092" w:type="dxa"/>
            <w:vAlign w:val="bottom"/>
          </w:tcPr>
          <w:p w:rsidRPr="009C48DA" w:rsidR="00661519" w:rsidP="00661519" w:rsidRDefault="00661519" w14:paraId="5DCAB08E"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12,541</w:t>
            </w:r>
          </w:p>
        </w:tc>
      </w:tr>
    </w:tbl>
    <w:p w:rsidRPr="009C48DA" w:rsidR="00661519" w:rsidP="00661519" w:rsidRDefault="00661519" w14:paraId="23266A1D" w14:textId="77777777">
      <w:pPr>
        <w:textAlignment w:val="baseline"/>
        <w:rPr>
          <w:rFonts w:eastAsia="Times New Roman" w:cs="Times New Roman"/>
          <w:b/>
          <w:color w:val="000000"/>
          <w:sz w:val="16"/>
          <w:szCs w:val="22"/>
          <w:u w:val="single"/>
          <w:lang w:val="en-GB"/>
        </w:rPr>
      </w:pPr>
    </w:p>
    <w:p w:rsidRPr="009C48DA" w:rsidR="00661519" w:rsidP="00661519" w:rsidRDefault="00661519" w14:paraId="13C18CD1" w14:textId="77777777">
      <w:pPr>
        <w:textAlignment w:val="baseline"/>
        <w:rPr>
          <w:rFonts w:eastAsia="Times New Roman" w:cs="Times New Roman"/>
          <w:b/>
          <w:color w:val="000000"/>
          <w:sz w:val="16"/>
          <w:szCs w:val="22"/>
          <w:u w:val="single"/>
          <w:lang w:val="en-GB"/>
        </w:rPr>
      </w:pPr>
    </w:p>
    <w:tbl>
      <w:tblPr>
        <w:tblStyle w:val="TableGrid30"/>
        <w:tblW w:w="931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right w:w="0" w:type="dxa"/>
        </w:tblCellMar>
        <w:tblLook w:val="04A0" w:firstRow="1" w:lastRow="0" w:firstColumn="1" w:lastColumn="0" w:noHBand="0" w:noVBand="1"/>
      </w:tblPr>
      <w:tblGrid>
        <w:gridCol w:w="2694"/>
        <w:gridCol w:w="1163"/>
        <w:gridCol w:w="1132"/>
        <w:gridCol w:w="1081"/>
        <w:gridCol w:w="1080"/>
        <w:gridCol w:w="1076"/>
        <w:gridCol w:w="1085"/>
      </w:tblGrid>
      <w:tr w:rsidRPr="009C48DA" w:rsidR="00661519" w:rsidTr="00661519" w14:paraId="6DD38820" w14:textId="77777777">
        <w:trPr>
          <w:trHeight w:val="601"/>
        </w:trPr>
        <w:tc>
          <w:tcPr>
            <w:tcW w:w="2694" w:type="dxa"/>
            <w:vAlign w:val="bottom"/>
          </w:tcPr>
          <w:p w:rsidRPr="009C48DA" w:rsidR="00661519" w:rsidP="00661519" w:rsidRDefault="00661519" w14:paraId="0343DCD6" w14:textId="77777777">
            <w:pPr>
              <w:jc w:val="both"/>
              <w:textAlignment w:val="baseline"/>
              <w:rPr>
                <w:rFonts w:eastAsia="Times New Roman"/>
                <w:b/>
                <w:color w:val="000000"/>
                <w:sz w:val="16"/>
                <w:lang w:val="en-GB"/>
              </w:rPr>
            </w:pPr>
            <w:r w:rsidRPr="009C48DA">
              <w:rPr>
                <w:rFonts w:eastAsia="Times New Roman"/>
                <w:b/>
                <w:color w:val="000000"/>
                <w:sz w:val="16"/>
                <w:lang w:val="en-GB"/>
              </w:rPr>
              <w:t>Year ended 31 December 2019</w:t>
            </w:r>
          </w:p>
        </w:tc>
        <w:tc>
          <w:tcPr>
            <w:tcW w:w="1163" w:type="dxa"/>
            <w:vAlign w:val="bottom"/>
          </w:tcPr>
          <w:p w:rsidRPr="009C48DA" w:rsidR="00661519" w:rsidP="00661519" w:rsidRDefault="00661519" w14:paraId="5D7BA5FA" w14:textId="77777777">
            <w:pPr>
              <w:jc w:val="center"/>
              <w:textAlignment w:val="baseline"/>
              <w:rPr>
                <w:rFonts w:eastAsia="Times New Roman"/>
                <w:b/>
                <w:color w:val="000000"/>
                <w:sz w:val="16"/>
                <w:lang w:val="en-GB"/>
              </w:rPr>
            </w:pPr>
            <w:r w:rsidRPr="009C48DA">
              <w:rPr>
                <w:rFonts w:eastAsia="Times New Roman"/>
                <w:b/>
                <w:color w:val="000000"/>
                <w:sz w:val="16"/>
                <w:lang w:val="en-GB"/>
              </w:rPr>
              <w:t>Private</w:t>
            </w:r>
          </w:p>
          <w:p w:rsidRPr="009C48DA" w:rsidR="00661519" w:rsidP="00661519" w:rsidRDefault="00661519" w14:paraId="6B9B566A" w14:textId="77777777">
            <w:pPr>
              <w:jc w:val="center"/>
              <w:textAlignment w:val="baseline"/>
              <w:rPr>
                <w:rFonts w:eastAsia="Times New Roman"/>
                <w:b/>
                <w:color w:val="000000"/>
                <w:sz w:val="16"/>
                <w:lang w:val="en-GB"/>
              </w:rPr>
            </w:pPr>
            <w:r w:rsidRPr="009C48DA">
              <w:rPr>
                <w:rFonts w:eastAsia="Times New Roman"/>
                <w:b/>
                <w:color w:val="000000"/>
                <w:sz w:val="16"/>
                <w:lang w:val="en-GB"/>
              </w:rPr>
              <w:t>Equity</w:t>
            </w:r>
          </w:p>
          <w:p w:rsidRPr="009C48DA" w:rsidR="00661519" w:rsidP="00661519" w:rsidRDefault="00661519" w14:paraId="414F153F"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132" w:type="dxa"/>
            <w:vAlign w:val="bottom"/>
          </w:tcPr>
          <w:p w:rsidRPr="009C48DA" w:rsidR="00661519" w:rsidP="00661519" w:rsidRDefault="00661519" w14:paraId="11EEEBBB" w14:textId="77777777">
            <w:pPr>
              <w:jc w:val="center"/>
              <w:textAlignment w:val="baseline"/>
              <w:rPr>
                <w:rFonts w:eastAsia="Times New Roman"/>
                <w:b/>
                <w:color w:val="000000"/>
                <w:sz w:val="16"/>
                <w:lang w:val="en-GB"/>
              </w:rPr>
            </w:pPr>
            <w:r w:rsidRPr="009C48DA">
              <w:rPr>
                <w:rFonts w:eastAsia="Times New Roman"/>
                <w:b/>
                <w:color w:val="000000"/>
                <w:sz w:val="16"/>
                <w:lang w:val="en-GB"/>
              </w:rPr>
              <w:t>Credit</w:t>
            </w:r>
          </w:p>
          <w:p w:rsidRPr="009C48DA" w:rsidR="00661519" w:rsidP="00661519" w:rsidRDefault="00661519" w14:paraId="15D6103F"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81" w:type="dxa"/>
            <w:vAlign w:val="bottom"/>
          </w:tcPr>
          <w:p w:rsidRPr="009C48DA" w:rsidR="00661519" w:rsidP="00661519" w:rsidRDefault="00661519" w14:paraId="5039F3EA" w14:textId="77777777">
            <w:pPr>
              <w:jc w:val="center"/>
              <w:textAlignment w:val="baseline"/>
              <w:rPr>
                <w:rFonts w:eastAsia="Times New Roman"/>
                <w:b/>
                <w:color w:val="000000"/>
                <w:sz w:val="16"/>
                <w:lang w:val="en-GB"/>
              </w:rPr>
            </w:pPr>
            <w:r w:rsidRPr="009C48DA">
              <w:rPr>
                <w:rFonts w:eastAsia="Times New Roman"/>
                <w:b/>
                <w:color w:val="000000"/>
                <w:sz w:val="16"/>
                <w:lang w:val="en-GB"/>
              </w:rPr>
              <w:t>Central</w:t>
            </w:r>
          </w:p>
          <w:p w:rsidRPr="009C48DA" w:rsidR="00661519" w:rsidP="00661519" w:rsidRDefault="00661519" w14:paraId="5A4F263B"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80" w:type="dxa"/>
            <w:vAlign w:val="bottom"/>
          </w:tcPr>
          <w:p w:rsidRPr="009C48DA" w:rsidR="00661519" w:rsidP="00661519" w:rsidRDefault="00661519" w14:paraId="297A978D" w14:textId="77777777">
            <w:pPr>
              <w:jc w:val="center"/>
              <w:textAlignment w:val="baseline"/>
              <w:rPr>
                <w:rFonts w:eastAsia="Times New Roman"/>
                <w:b/>
                <w:color w:val="000000"/>
                <w:sz w:val="16"/>
                <w:lang w:val="en-GB"/>
              </w:rPr>
            </w:pPr>
            <w:r w:rsidRPr="009C48DA">
              <w:rPr>
                <w:rFonts w:eastAsia="Times New Roman"/>
                <w:b/>
                <w:color w:val="000000"/>
                <w:sz w:val="16"/>
                <w:lang w:val="en-GB"/>
              </w:rPr>
              <w:t>Total Core</w:t>
            </w:r>
          </w:p>
          <w:p w:rsidRPr="009C48DA" w:rsidR="00661519" w:rsidP="00661519" w:rsidRDefault="00661519" w14:paraId="5F14C833"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76" w:type="dxa"/>
            <w:vAlign w:val="bottom"/>
          </w:tcPr>
          <w:p w:rsidRPr="009C48DA" w:rsidR="00661519" w:rsidP="00661519" w:rsidRDefault="00661519" w14:paraId="3B512D69"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Total Other </w:t>
            </w:r>
          </w:p>
          <w:p w:rsidRPr="009C48DA" w:rsidR="00661519" w:rsidP="00661519" w:rsidRDefault="00661519" w14:paraId="3447E9AA"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85" w:type="dxa"/>
            <w:vAlign w:val="bottom"/>
          </w:tcPr>
          <w:p w:rsidRPr="009C48DA" w:rsidR="00661519" w:rsidP="00661519" w:rsidRDefault="00661519" w14:paraId="45DBF467"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Total Group </w:t>
            </w:r>
          </w:p>
          <w:p w:rsidRPr="009C48DA" w:rsidR="00661519" w:rsidP="00661519" w:rsidRDefault="00661519" w14:paraId="223BDE80"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44B3B2FC" w14:textId="77777777">
        <w:trPr>
          <w:trHeight w:val="260"/>
        </w:trPr>
        <w:tc>
          <w:tcPr>
            <w:tcW w:w="2694" w:type="dxa"/>
            <w:vAlign w:val="bottom"/>
          </w:tcPr>
          <w:p w:rsidRPr="009C48DA" w:rsidR="00661519" w:rsidP="00661519" w:rsidRDefault="00661519" w14:paraId="671A133B" w14:textId="77777777">
            <w:pPr>
              <w:tabs>
                <w:tab w:val="left" w:pos="3528"/>
                <w:tab w:val="left" w:pos="5112"/>
                <w:tab w:val="left" w:pos="6696"/>
                <w:tab w:val="left" w:pos="8136"/>
              </w:tabs>
              <w:spacing w:before="60"/>
              <w:ind w:right="504"/>
              <w:textAlignment w:val="baseline"/>
              <w:rPr>
                <w:rFonts w:eastAsia="Times New Roman"/>
                <w:color w:val="000000"/>
                <w:sz w:val="16"/>
                <w:lang w:val="en-GB"/>
              </w:rPr>
            </w:pPr>
            <w:r w:rsidRPr="009C48DA">
              <w:rPr>
                <w:rFonts w:eastAsia="Times New Roman"/>
                <w:color w:val="000000"/>
                <w:sz w:val="16"/>
                <w:lang w:val="en-GB"/>
              </w:rPr>
              <w:t>Management fees</w:t>
            </w:r>
          </w:p>
        </w:tc>
        <w:tc>
          <w:tcPr>
            <w:tcW w:w="1163" w:type="dxa"/>
            <w:vAlign w:val="bottom"/>
          </w:tcPr>
          <w:p w:rsidRPr="009C48DA" w:rsidR="00661519" w:rsidP="00661519" w:rsidRDefault="00661519" w14:paraId="6E60B5F1"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140,493</w:t>
            </w:r>
          </w:p>
        </w:tc>
        <w:tc>
          <w:tcPr>
            <w:tcW w:w="1132" w:type="dxa"/>
            <w:vAlign w:val="bottom"/>
          </w:tcPr>
          <w:p w:rsidRPr="009C48DA" w:rsidR="00661519" w:rsidP="00661519" w:rsidRDefault="00661519" w14:paraId="0F30D3E4"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1,369</w:t>
            </w:r>
          </w:p>
        </w:tc>
        <w:tc>
          <w:tcPr>
            <w:tcW w:w="1081" w:type="dxa"/>
            <w:vAlign w:val="bottom"/>
          </w:tcPr>
          <w:p w:rsidRPr="009C48DA" w:rsidR="00661519" w:rsidP="00661519" w:rsidRDefault="00661519" w14:paraId="5F3D96B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80" w:type="dxa"/>
            <w:vAlign w:val="bottom"/>
          </w:tcPr>
          <w:p w:rsidRPr="009C48DA" w:rsidR="00661519" w:rsidP="00661519" w:rsidRDefault="00661519" w14:paraId="58CAB501"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141,862</w:t>
            </w:r>
          </w:p>
        </w:tc>
        <w:tc>
          <w:tcPr>
            <w:tcW w:w="1076" w:type="dxa"/>
            <w:vAlign w:val="bottom"/>
          </w:tcPr>
          <w:p w:rsidRPr="009C48DA" w:rsidR="00661519" w:rsidP="00661519" w:rsidRDefault="00661519" w14:paraId="738EC3BF"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2,031</w:t>
            </w:r>
          </w:p>
        </w:tc>
        <w:tc>
          <w:tcPr>
            <w:tcW w:w="1085" w:type="dxa"/>
            <w:vAlign w:val="bottom"/>
          </w:tcPr>
          <w:p w:rsidRPr="009C48DA" w:rsidR="00661519" w:rsidP="00661519" w:rsidRDefault="00661519" w14:paraId="46F8752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143,893</w:t>
            </w:r>
          </w:p>
        </w:tc>
      </w:tr>
      <w:tr w:rsidRPr="009C48DA" w:rsidR="00661519" w:rsidTr="00661519" w14:paraId="5B46B75F" w14:textId="77777777">
        <w:trPr>
          <w:trHeight w:val="260"/>
        </w:trPr>
        <w:tc>
          <w:tcPr>
            <w:tcW w:w="2694" w:type="dxa"/>
            <w:vAlign w:val="bottom"/>
          </w:tcPr>
          <w:p w:rsidRPr="009C48DA" w:rsidR="00661519" w:rsidP="00661519" w:rsidRDefault="00661519" w14:paraId="3CE64883" w14:textId="77777777">
            <w:pPr>
              <w:spacing w:before="60"/>
              <w:textAlignment w:val="baseline"/>
              <w:rPr>
                <w:rFonts w:eastAsia="Times New Roman"/>
                <w:color w:val="000000"/>
                <w:sz w:val="16"/>
                <w:lang w:val="en-GB"/>
              </w:rPr>
            </w:pPr>
            <w:r w:rsidRPr="009C48DA">
              <w:rPr>
                <w:rFonts w:eastAsia="Times New Roman"/>
                <w:color w:val="000000"/>
                <w:sz w:val="16"/>
                <w:lang w:val="en-GB"/>
              </w:rPr>
              <w:t>Carried interest</w:t>
            </w:r>
          </w:p>
        </w:tc>
        <w:tc>
          <w:tcPr>
            <w:tcW w:w="1163" w:type="dxa"/>
            <w:vAlign w:val="bottom"/>
          </w:tcPr>
          <w:p w:rsidRPr="009C48DA" w:rsidR="00661519" w:rsidP="00661519" w:rsidRDefault="00661519" w14:paraId="697890B2"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9,582</w:t>
            </w:r>
          </w:p>
        </w:tc>
        <w:tc>
          <w:tcPr>
            <w:tcW w:w="1132" w:type="dxa"/>
            <w:vAlign w:val="bottom"/>
          </w:tcPr>
          <w:p w:rsidRPr="009C48DA" w:rsidR="00661519" w:rsidP="00661519" w:rsidRDefault="00661519" w14:paraId="5153E4F7"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81" w:type="dxa"/>
            <w:vAlign w:val="bottom"/>
          </w:tcPr>
          <w:p w:rsidRPr="009C48DA" w:rsidR="00661519" w:rsidP="00661519" w:rsidRDefault="00661519" w14:paraId="1A83AB94"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80" w:type="dxa"/>
            <w:vAlign w:val="bottom"/>
          </w:tcPr>
          <w:p w:rsidRPr="009C48DA" w:rsidR="00661519" w:rsidP="00661519" w:rsidRDefault="00661519" w14:paraId="485A0A0F"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9,582</w:t>
            </w:r>
          </w:p>
        </w:tc>
        <w:tc>
          <w:tcPr>
            <w:tcW w:w="1076" w:type="dxa"/>
            <w:vAlign w:val="bottom"/>
          </w:tcPr>
          <w:p w:rsidRPr="009C48DA" w:rsidR="00661519" w:rsidP="00661519" w:rsidRDefault="00661519" w14:paraId="4140AB41"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85" w:type="dxa"/>
            <w:vAlign w:val="bottom"/>
          </w:tcPr>
          <w:p w:rsidRPr="009C48DA" w:rsidR="00661519" w:rsidP="00661519" w:rsidRDefault="00661519" w14:paraId="68F6B33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9,582</w:t>
            </w:r>
          </w:p>
        </w:tc>
      </w:tr>
      <w:tr w:rsidRPr="009C48DA" w:rsidR="00661519" w:rsidTr="00661519" w14:paraId="66FDD2BE" w14:textId="77777777">
        <w:trPr>
          <w:trHeight w:val="270"/>
        </w:trPr>
        <w:tc>
          <w:tcPr>
            <w:tcW w:w="2694" w:type="dxa"/>
            <w:vAlign w:val="bottom"/>
          </w:tcPr>
          <w:p w:rsidRPr="009C48DA" w:rsidR="00661519" w:rsidP="00661519" w:rsidRDefault="00661519" w14:paraId="42F5A8A7" w14:textId="77777777">
            <w:pPr>
              <w:spacing w:before="60" w:line="182" w:lineRule="exact"/>
              <w:textAlignment w:val="baseline"/>
              <w:rPr>
                <w:rFonts w:eastAsia="Times New Roman"/>
                <w:color w:val="000000"/>
                <w:sz w:val="16"/>
                <w:lang w:val="en-GB"/>
              </w:rPr>
            </w:pPr>
            <w:r w:rsidRPr="009C48DA">
              <w:rPr>
                <w:rFonts w:eastAsia="Times New Roman"/>
                <w:color w:val="000000"/>
                <w:sz w:val="16"/>
                <w:lang w:val="en-GB"/>
              </w:rPr>
              <w:t>Fair value remeasurement of investments</w:t>
            </w:r>
          </w:p>
        </w:tc>
        <w:tc>
          <w:tcPr>
            <w:tcW w:w="1163" w:type="dxa"/>
            <w:vAlign w:val="bottom"/>
          </w:tcPr>
          <w:p w:rsidRPr="009C48DA" w:rsidR="00661519" w:rsidP="00661519" w:rsidRDefault="00661519" w14:paraId="6553F32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14,467</w:t>
            </w:r>
          </w:p>
        </w:tc>
        <w:tc>
          <w:tcPr>
            <w:tcW w:w="1132" w:type="dxa"/>
            <w:vAlign w:val="bottom"/>
          </w:tcPr>
          <w:p w:rsidRPr="009C48DA" w:rsidR="00661519" w:rsidP="00661519" w:rsidRDefault="00661519" w14:paraId="60A3C288"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81" w:type="dxa"/>
            <w:vAlign w:val="bottom"/>
          </w:tcPr>
          <w:p w:rsidRPr="009C48DA" w:rsidR="00661519" w:rsidP="00661519" w:rsidRDefault="00661519" w14:paraId="056AD16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80" w:type="dxa"/>
            <w:vAlign w:val="bottom"/>
          </w:tcPr>
          <w:p w:rsidRPr="009C48DA" w:rsidR="00661519" w:rsidP="00661519" w:rsidRDefault="00661519" w14:paraId="6DF0D2E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14,467</w:t>
            </w:r>
          </w:p>
        </w:tc>
        <w:tc>
          <w:tcPr>
            <w:tcW w:w="1076" w:type="dxa"/>
            <w:vAlign w:val="bottom"/>
          </w:tcPr>
          <w:p w:rsidRPr="009C48DA" w:rsidR="00661519" w:rsidP="00661519" w:rsidRDefault="00661519" w14:paraId="4AD8E53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85" w:type="dxa"/>
            <w:vAlign w:val="bottom"/>
          </w:tcPr>
          <w:p w:rsidRPr="009C48DA" w:rsidR="00661519" w:rsidP="00661519" w:rsidRDefault="00661519" w14:paraId="7DDECA24"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14,467</w:t>
            </w:r>
          </w:p>
        </w:tc>
      </w:tr>
      <w:tr w:rsidRPr="009C48DA" w:rsidR="00661519" w:rsidTr="00661519" w14:paraId="63572FC6" w14:textId="77777777">
        <w:trPr>
          <w:trHeight w:val="310"/>
        </w:trPr>
        <w:tc>
          <w:tcPr>
            <w:tcW w:w="2694" w:type="dxa"/>
            <w:vAlign w:val="bottom"/>
          </w:tcPr>
          <w:p w:rsidRPr="009C48DA" w:rsidR="00661519" w:rsidP="00661519" w:rsidRDefault="00661519" w14:paraId="328AB30B" w14:textId="77777777">
            <w:pPr>
              <w:spacing w:before="60"/>
              <w:textAlignment w:val="baseline"/>
              <w:rPr>
                <w:rFonts w:eastAsia="Times New Roman"/>
                <w:color w:val="000000"/>
                <w:sz w:val="16"/>
                <w:lang w:val="en-GB"/>
              </w:rPr>
            </w:pPr>
            <w:r w:rsidRPr="009C48DA">
              <w:rPr>
                <w:rFonts w:eastAsia="Times New Roman"/>
                <w:color w:val="000000"/>
                <w:sz w:val="16"/>
                <w:lang w:val="en-GB"/>
              </w:rPr>
              <w:t>Other operating income</w:t>
            </w:r>
          </w:p>
        </w:tc>
        <w:tc>
          <w:tcPr>
            <w:tcW w:w="1163" w:type="dxa"/>
            <w:vAlign w:val="bottom"/>
          </w:tcPr>
          <w:p w:rsidRPr="009C48DA" w:rsidR="00661519" w:rsidP="00661519" w:rsidRDefault="00661519" w14:paraId="0E0375AE"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464</w:t>
            </w:r>
          </w:p>
        </w:tc>
        <w:tc>
          <w:tcPr>
            <w:tcW w:w="1132" w:type="dxa"/>
            <w:vAlign w:val="bottom"/>
          </w:tcPr>
          <w:p w:rsidRPr="009C48DA" w:rsidR="00661519" w:rsidP="00661519" w:rsidRDefault="00661519" w14:paraId="35C64F08"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81" w:type="dxa"/>
            <w:vAlign w:val="bottom"/>
          </w:tcPr>
          <w:p w:rsidRPr="009C48DA" w:rsidR="00661519" w:rsidP="00661519" w:rsidRDefault="00661519" w14:paraId="13D2AFF0"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80" w:type="dxa"/>
            <w:vAlign w:val="bottom"/>
          </w:tcPr>
          <w:p w:rsidRPr="009C48DA" w:rsidR="00661519" w:rsidP="00661519" w:rsidRDefault="00661519" w14:paraId="14B44F59"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464</w:t>
            </w:r>
          </w:p>
        </w:tc>
        <w:tc>
          <w:tcPr>
            <w:tcW w:w="1076" w:type="dxa"/>
            <w:vAlign w:val="bottom"/>
          </w:tcPr>
          <w:p w:rsidRPr="009C48DA" w:rsidR="00661519" w:rsidP="00661519" w:rsidRDefault="00661519" w14:paraId="6454D5E8"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1,430</w:t>
            </w:r>
          </w:p>
        </w:tc>
        <w:tc>
          <w:tcPr>
            <w:tcW w:w="1085" w:type="dxa"/>
            <w:vAlign w:val="bottom"/>
          </w:tcPr>
          <w:p w:rsidRPr="009C48DA" w:rsidR="00661519" w:rsidP="00661519" w:rsidRDefault="00661519" w14:paraId="259F178D"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1,895</w:t>
            </w:r>
          </w:p>
        </w:tc>
      </w:tr>
      <w:tr w:rsidRPr="009C48DA" w:rsidR="00661519" w:rsidTr="00661519" w14:paraId="40FD32B1" w14:textId="77777777">
        <w:trPr>
          <w:trHeight w:val="260"/>
        </w:trPr>
        <w:tc>
          <w:tcPr>
            <w:tcW w:w="2694" w:type="dxa"/>
            <w:vAlign w:val="bottom"/>
          </w:tcPr>
          <w:p w:rsidRPr="009C48DA" w:rsidR="00661519" w:rsidP="00661519" w:rsidRDefault="00661519" w14:paraId="22D09792" w14:textId="77777777">
            <w:pPr>
              <w:spacing w:before="60"/>
              <w:textAlignment w:val="baseline"/>
              <w:rPr>
                <w:rFonts w:eastAsia="Times New Roman"/>
                <w:color w:val="000000"/>
                <w:sz w:val="16"/>
                <w:lang w:val="en-GB"/>
              </w:rPr>
            </w:pPr>
            <w:r w:rsidRPr="009C48DA">
              <w:rPr>
                <w:rFonts w:eastAsia="Times New Roman"/>
                <w:color w:val="000000"/>
                <w:sz w:val="16"/>
                <w:lang w:val="en-GB"/>
              </w:rPr>
              <w:t>Total operating income</w:t>
            </w:r>
          </w:p>
        </w:tc>
        <w:tc>
          <w:tcPr>
            <w:tcW w:w="1163" w:type="dxa"/>
            <w:vAlign w:val="bottom"/>
          </w:tcPr>
          <w:p w:rsidRPr="009C48DA" w:rsidR="00661519" w:rsidP="00661519" w:rsidRDefault="00661519" w14:paraId="3753914F"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165,006</w:t>
            </w:r>
          </w:p>
        </w:tc>
        <w:tc>
          <w:tcPr>
            <w:tcW w:w="1132" w:type="dxa"/>
            <w:vAlign w:val="bottom"/>
          </w:tcPr>
          <w:p w:rsidRPr="009C48DA" w:rsidR="00661519" w:rsidP="00661519" w:rsidRDefault="00661519" w14:paraId="1BFA524D"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1,369</w:t>
            </w:r>
          </w:p>
        </w:tc>
        <w:tc>
          <w:tcPr>
            <w:tcW w:w="1081" w:type="dxa"/>
            <w:vAlign w:val="bottom"/>
          </w:tcPr>
          <w:p w:rsidRPr="009C48DA" w:rsidR="00661519" w:rsidP="00661519" w:rsidRDefault="00661519" w14:paraId="6D341C33"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80" w:type="dxa"/>
            <w:vAlign w:val="bottom"/>
          </w:tcPr>
          <w:p w:rsidRPr="009C48DA" w:rsidR="00661519" w:rsidP="00661519" w:rsidRDefault="00661519" w14:paraId="032AD4A1"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166,375</w:t>
            </w:r>
          </w:p>
        </w:tc>
        <w:tc>
          <w:tcPr>
            <w:tcW w:w="1076" w:type="dxa"/>
            <w:vAlign w:val="bottom"/>
          </w:tcPr>
          <w:p w:rsidRPr="009C48DA" w:rsidR="00661519" w:rsidP="00661519" w:rsidRDefault="00661519" w14:paraId="1D2BE0F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3,461</w:t>
            </w:r>
          </w:p>
        </w:tc>
        <w:tc>
          <w:tcPr>
            <w:tcW w:w="1085" w:type="dxa"/>
            <w:vAlign w:val="bottom"/>
          </w:tcPr>
          <w:p w:rsidRPr="009C48DA" w:rsidR="00661519" w:rsidP="00661519" w:rsidRDefault="00661519" w14:paraId="3761E0E3"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169,837</w:t>
            </w:r>
          </w:p>
        </w:tc>
      </w:tr>
      <w:tr w:rsidRPr="009C48DA" w:rsidR="00661519" w:rsidTr="00661519" w14:paraId="54BFA0D1" w14:textId="77777777">
        <w:trPr>
          <w:trHeight w:val="260"/>
        </w:trPr>
        <w:tc>
          <w:tcPr>
            <w:tcW w:w="2694" w:type="dxa"/>
            <w:vAlign w:val="bottom"/>
          </w:tcPr>
          <w:p w:rsidRPr="009C48DA" w:rsidR="00661519" w:rsidP="00661519" w:rsidRDefault="00661519" w14:paraId="4C8E7C0E" w14:textId="77777777">
            <w:pPr>
              <w:spacing w:before="60"/>
              <w:textAlignment w:val="baseline"/>
              <w:rPr>
                <w:rFonts w:eastAsia="Times New Roman"/>
                <w:color w:val="000000"/>
                <w:sz w:val="16"/>
                <w:lang w:val="en-GB"/>
              </w:rPr>
            </w:pPr>
            <w:r w:rsidRPr="009C48DA">
              <w:rPr>
                <w:rFonts w:eastAsia="Times New Roman"/>
                <w:color w:val="000000"/>
                <w:sz w:val="16"/>
                <w:lang w:val="en-GB"/>
              </w:rPr>
              <w:t>Personnel expenses</w:t>
            </w:r>
          </w:p>
        </w:tc>
        <w:tc>
          <w:tcPr>
            <w:tcW w:w="1163" w:type="dxa"/>
            <w:vAlign w:val="bottom"/>
          </w:tcPr>
          <w:p w:rsidRPr="009C48DA" w:rsidR="00661519" w:rsidP="00661519" w:rsidRDefault="00661519" w14:paraId="1139F111"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(58,330)</w:t>
            </w:r>
          </w:p>
        </w:tc>
        <w:tc>
          <w:tcPr>
            <w:tcW w:w="1132" w:type="dxa"/>
            <w:vAlign w:val="bottom"/>
          </w:tcPr>
          <w:p w:rsidRPr="009C48DA" w:rsidR="00661519" w:rsidP="00661519" w:rsidRDefault="00661519" w14:paraId="76E1D3B1"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(5,159)</w:t>
            </w:r>
          </w:p>
        </w:tc>
        <w:tc>
          <w:tcPr>
            <w:tcW w:w="1081" w:type="dxa"/>
            <w:vAlign w:val="bottom"/>
          </w:tcPr>
          <w:p w:rsidRPr="009C48DA" w:rsidR="00661519" w:rsidP="00661519" w:rsidRDefault="00661519" w14:paraId="5083282F"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(22,980)</w:t>
            </w:r>
          </w:p>
        </w:tc>
        <w:tc>
          <w:tcPr>
            <w:tcW w:w="1080" w:type="dxa"/>
            <w:vAlign w:val="bottom"/>
          </w:tcPr>
          <w:p w:rsidRPr="009C48DA" w:rsidR="00661519" w:rsidP="00661519" w:rsidRDefault="00661519" w14:paraId="52A968B7"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(86,469)</w:t>
            </w:r>
          </w:p>
        </w:tc>
        <w:tc>
          <w:tcPr>
            <w:tcW w:w="1076" w:type="dxa"/>
            <w:vAlign w:val="bottom"/>
          </w:tcPr>
          <w:p w:rsidRPr="009C48DA" w:rsidR="00661519" w:rsidP="00661519" w:rsidRDefault="00661519" w14:paraId="482325E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(2,413)</w:t>
            </w:r>
          </w:p>
        </w:tc>
        <w:tc>
          <w:tcPr>
            <w:tcW w:w="1085" w:type="dxa"/>
            <w:vAlign w:val="bottom"/>
          </w:tcPr>
          <w:p w:rsidRPr="009C48DA" w:rsidR="00661519" w:rsidP="00661519" w:rsidRDefault="00661519" w14:paraId="0772A8B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(88,882)</w:t>
            </w:r>
          </w:p>
        </w:tc>
      </w:tr>
      <w:tr w:rsidRPr="009C48DA" w:rsidR="00661519" w:rsidTr="00661519" w14:paraId="1B1B5CC7" w14:textId="77777777">
        <w:trPr>
          <w:trHeight w:val="260"/>
        </w:trPr>
        <w:tc>
          <w:tcPr>
            <w:tcW w:w="2694" w:type="dxa"/>
            <w:vAlign w:val="bottom"/>
          </w:tcPr>
          <w:p w:rsidRPr="009C48DA" w:rsidR="00661519" w:rsidP="00661519" w:rsidRDefault="00661519" w14:paraId="56894312" w14:textId="77777777">
            <w:pPr>
              <w:spacing w:before="60"/>
              <w:textAlignment w:val="baseline"/>
              <w:rPr>
                <w:rFonts w:eastAsia="Times New Roman"/>
                <w:color w:val="000000"/>
                <w:sz w:val="16"/>
                <w:lang w:val="en-GB"/>
              </w:rPr>
            </w:pPr>
            <w:r w:rsidRPr="009C48DA">
              <w:rPr>
                <w:rFonts w:eastAsia="Times New Roman"/>
                <w:color w:val="000000"/>
                <w:sz w:val="16"/>
                <w:lang w:val="en-GB"/>
              </w:rPr>
              <w:t>Other operating expenses</w:t>
            </w:r>
          </w:p>
        </w:tc>
        <w:tc>
          <w:tcPr>
            <w:tcW w:w="1163" w:type="dxa"/>
            <w:vAlign w:val="bottom"/>
          </w:tcPr>
          <w:p w:rsidRPr="009C48DA" w:rsidR="00661519" w:rsidP="00661519" w:rsidRDefault="00661519" w14:paraId="6ADEFEE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(12,196)</w:t>
            </w:r>
          </w:p>
        </w:tc>
        <w:tc>
          <w:tcPr>
            <w:tcW w:w="1132" w:type="dxa"/>
            <w:vAlign w:val="bottom"/>
          </w:tcPr>
          <w:p w:rsidRPr="009C48DA" w:rsidR="00661519" w:rsidP="00661519" w:rsidRDefault="00661519" w14:paraId="07E4C274"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(2,399)</w:t>
            </w:r>
          </w:p>
        </w:tc>
        <w:tc>
          <w:tcPr>
            <w:tcW w:w="1081" w:type="dxa"/>
            <w:vAlign w:val="bottom"/>
          </w:tcPr>
          <w:p w:rsidRPr="009C48DA" w:rsidR="00661519" w:rsidP="00661519" w:rsidRDefault="00661519" w14:paraId="6E047EFB"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(12,461)</w:t>
            </w:r>
          </w:p>
        </w:tc>
        <w:tc>
          <w:tcPr>
            <w:tcW w:w="1080" w:type="dxa"/>
            <w:vAlign w:val="bottom"/>
          </w:tcPr>
          <w:p w:rsidRPr="009C48DA" w:rsidR="00661519" w:rsidP="00661519" w:rsidRDefault="00661519" w14:paraId="3D884EC8"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(27,056)</w:t>
            </w:r>
          </w:p>
        </w:tc>
        <w:tc>
          <w:tcPr>
            <w:tcW w:w="1076" w:type="dxa"/>
            <w:vAlign w:val="bottom"/>
          </w:tcPr>
          <w:p w:rsidRPr="009C48DA" w:rsidR="00661519" w:rsidP="00661519" w:rsidRDefault="00661519" w14:paraId="31432234"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(716)</w:t>
            </w:r>
          </w:p>
        </w:tc>
        <w:tc>
          <w:tcPr>
            <w:tcW w:w="1085" w:type="dxa"/>
            <w:vAlign w:val="bottom"/>
          </w:tcPr>
          <w:p w:rsidRPr="009C48DA" w:rsidR="00661519" w:rsidP="00661519" w:rsidRDefault="00661519" w14:paraId="7783ECAB"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(27,772)</w:t>
            </w:r>
          </w:p>
        </w:tc>
      </w:tr>
      <w:tr w:rsidRPr="009C48DA" w:rsidR="00661519" w:rsidTr="00661519" w14:paraId="133DEC56" w14:textId="77777777">
        <w:trPr>
          <w:trHeight w:val="320"/>
        </w:trPr>
        <w:tc>
          <w:tcPr>
            <w:tcW w:w="2694" w:type="dxa"/>
            <w:vAlign w:val="bottom"/>
          </w:tcPr>
          <w:p w:rsidRPr="009C48DA" w:rsidR="00661519" w:rsidP="00661519" w:rsidRDefault="00661519" w14:paraId="03C2ED21" w14:textId="77777777">
            <w:pPr>
              <w:spacing w:before="60"/>
              <w:textAlignment w:val="baseline"/>
              <w:rPr>
                <w:rFonts w:eastAsia="Times New Roman"/>
                <w:b/>
                <w:color w:val="000000"/>
                <w:sz w:val="16"/>
                <w:lang w:val="en-GB"/>
              </w:rPr>
            </w:pPr>
            <w:r w:rsidRPr="009C48DA">
              <w:rPr>
                <w:rFonts w:eastAsia="Times New Roman"/>
                <w:color w:val="000000"/>
                <w:sz w:val="16"/>
                <w:lang w:val="en-GB"/>
              </w:rPr>
              <w:t>Foreign exchange</w:t>
            </w:r>
          </w:p>
        </w:tc>
        <w:tc>
          <w:tcPr>
            <w:tcW w:w="1163" w:type="dxa"/>
            <w:vAlign w:val="bottom"/>
          </w:tcPr>
          <w:p w:rsidRPr="009C48DA" w:rsidR="00661519" w:rsidP="00661519" w:rsidRDefault="00661519" w14:paraId="680FAC41"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132" w:type="dxa"/>
            <w:vAlign w:val="bottom"/>
          </w:tcPr>
          <w:p w:rsidRPr="009C48DA" w:rsidR="00661519" w:rsidP="00661519" w:rsidRDefault="00661519" w14:paraId="3C502C54"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81" w:type="dxa"/>
            <w:vAlign w:val="bottom"/>
          </w:tcPr>
          <w:p w:rsidRPr="009C48DA" w:rsidR="00661519" w:rsidP="00661519" w:rsidRDefault="00661519" w14:paraId="6AC16FE0"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(58)</w:t>
            </w:r>
          </w:p>
        </w:tc>
        <w:tc>
          <w:tcPr>
            <w:tcW w:w="1080" w:type="dxa"/>
            <w:vAlign w:val="bottom"/>
          </w:tcPr>
          <w:p w:rsidRPr="009C48DA" w:rsidR="00661519" w:rsidP="00661519" w:rsidRDefault="00661519" w14:paraId="19EDCAA8"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(58)</w:t>
            </w:r>
          </w:p>
        </w:tc>
        <w:tc>
          <w:tcPr>
            <w:tcW w:w="1076" w:type="dxa"/>
            <w:vAlign w:val="bottom"/>
          </w:tcPr>
          <w:p w:rsidRPr="009C48DA" w:rsidR="00661519" w:rsidP="00661519" w:rsidRDefault="00661519" w14:paraId="5284402F"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85" w:type="dxa"/>
            <w:vAlign w:val="bottom"/>
          </w:tcPr>
          <w:p w:rsidRPr="009C48DA" w:rsidR="00661519" w:rsidP="00661519" w:rsidRDefault="00661519" w14:paraId="369F2AE9"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(58)</w:t>
            </w:r>
          </w:p>
        </w:tc>
      </w:tr>
      <w:tr w:rsidRPr="009C48DA" w:rsidR="00661519" w:rsidTr="00661519" w14:paraId="36821766" w14:textId="77777777">
        <w:trPr>
          <w:trHeight w:val="520"/>
        </w:trPr>
        <w:tc>
          <w:tcPr>
            <w:tcW w:w="2694" w:type="dxa"/>
            <w:vAlign w:val="bottom"/>
          </w:tcPr>
          <w:p w:rsidRPr="009C48DA" w:rsidR="00661519" w:rsidP="00661519" w:rsidRDefault="00661519" w14:paraId="49A061DA" w14:textId="77777777">
            <w:pPr>
              <w:spacing w:before="60"/>
              <w:textAlignment w:val="baseline"/>
              <w:rPr>
                <w:rFonts w:eastAsia="Times New Roman"/>
                <w:b/>
                <w:color w:val="000000"/>
                <w:sz w:val="16"/>
                <w:lang w:val="en-GB"/>
              </w:rPr>
            </w:pPr>
            <w:r w:rsidRPr="009C48DA">
              <w:rPr>
                <w:rFonts w:eastAsia="Times New Roman"/>
                <w:b/>
                <w:color w:val="000000"/>
                <w:sz w:val="16"/>
                <w:lang w:val="en-GB"/>
              </w:rPr>
              <w:t>EBITDA (excluding exceptional</w:t>
            </w:r>
          </w:p>
          <w:p w:rsidRPr="009C48DA" w:rsidR="00661519" w:rsidP="00661519" w:rsidRDefault="00661519" w14:paraId="28D6D465" w14:textId="77777777">
            <w:pPr>
              <w:spacing w:before="60"/>
              <w:textAlignment w:val="baseline"/>
              <w:rPr>
                <w:rFonts w:eastAsia="Times New Roman"/>
                <w:b/>
                <w:color w:val="000000"/>
                <w:sz w:val="16"/>
                <w:lang w:val="en-GB"/>
              </w:rPr>
            </w:pPr>
            <w:r w:rsidRPr="009C48DA">
              <w:rPr>
                <w:rFonts w:eastAsia="Times New Roman"/>
                <w:b/>
                <w:color w:val="000000"/>
                <w:sz w:val="16"/>
                <w:lang w:val="en-GB"/>
              </w:rPr>
              <w:t>costs)</w:t>
            </w:r>
          </w:p>
        </w:tc>
        <w:tc>
          <w:tcPr>
            <w:tcW w:w="1163" w:type="dxa"/>
            <w:vAlign w:val="bottom"/>
          </w:tcPr>
          <w:p w:rsidRPr="009C48DA" w:rsidR="00661519" w:rsidP="00661519" w:rsidRDefault="00661519" w14:paraId="549EE541"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94,480</w:t>
            </w:r>
          </w:p>
        </w:tc>
        <w:tc>
          <w:tcPr>
            <w:tcW w:w="1132" w:type="dxa"/>
            <w:vAlign w:val="bottom"/>
          </w:tcPr>
          <w:p w:rsidRPr="009C48DA" w:rsidR="00661519" w:rsidP="00661519" w:rsidRDefault="00661519" w14:paraId="6ECDE226"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(6,189)</w:t>
            </w:r>
          </w:p>
        </w:tc>
        <w:tc>
          <w:tcPr>
            <w:tcW w:w="1081" w:type="dxa"/>
            <w:vAlign w:val="bottom"/>
          </w:tcPr>
          <w:p w:rsidRPr="009C48DA" w:rsidR="00661519" w:rsidP="00661519" w:rsidRDefault="00661519" w14:paraId="6B69CF74"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(35,499)</w:t>
            </w:r>
          </w:p>
        </w:tc>
        <w:tc>
          <w:tcPr>
            <w:tcW w:w="1080" w:type="dxa"/>
            <w:vAlign w:val="bottom"/>
          </w:tcPr>
          <w:p w:rsidRPr="009C48DA" w:rsidR="00661519" w:rsidP="00661519" w:rsidRDefault="00661519" w14:paraId="55487486"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52,792</w:t>
            </w:r>
          </w:p>
        </w:tc>
        <w:tc>
          <w:tcPr>
            <w:tcW w:w="1076" w:type="dxa"/>
            <w:vAlign w:val="bottom"/>
          </w:tcPr>
          <w:p w:rsidRPr="009C48DA" w:rsidR="00661519" w:rsidP="00661519" w:rsidRDefault="00661519" w14:paraId="57AB1B5C"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332</w:t>
            </w:r>
          </w:p>
        </w:tc>
        <w:tc>
          <w:tcPr>
            <w:tcW w:w="1085" w:type="dxa"/>
            <w:vAlign w:val="bottom"/>
          </w:tcPr>
          <w:p w:rsidRPr="009C48DA" w:rsidR="00661519" w:rsidP="00661519" w:rsidRDefault="00661519" w14:paraId="5A457ABA"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53,125</w:t>
            </w:r>
          </w:p>
        </w:tc>
      </w:tr>
      <w:tr w:rsidRPr="009C48DA" w:rsidR="00661519" w:rsidTr="00661519" w14:paraId="580808FB" w14:textId="77777777">
        <w:trPr>
          <w:trHeight w:val="260"/>
        </w:trPr>
        <w:tc>
          <w:tcPr>
            <w:tcW w:w="2694" w:type="dxa"/>
            <w:vAlign w:val="bottom"/>
          </w:tcPr>
          <w:p w:rsidRPr="009C48DA" w:rsidR="00661519" w:rsidP="00661519" w:rsidRDefault="00661519" w14:paraId="37C87820" w14:textId="77777777">
            <w:pPr>
              <w:tabs>
                <w:tab w:val="left" w:pos="3528"/>
                <w:tab w:val="left" w:pos="5112"/>
                <w:tab w:val="left" w:pos="6696"/>
                <w:tab w:val="left" w:pos="8136"/>
              </w:tabs>
              <w:spacing w:before="60"/>
              <w:ind w:right="504"/>
              <w:textAlignment w:val="baseline"/>
              <w:rPr>
                <w:rFonts w:eastAsia="Times New Roman"/>
                <w:color w:val="000000"/>
                <w:sz w:val="16"/>
                <w:lang w:val="en-GB"/>
              </w:rPr>
            </w:pPr>
            <w:r w:rsidRPr="009C48DA">
              <w:rPr>
                <w:rFonts w:eastAsia="Times New Roman"/>
                <w:color w:val="000000"/>
                <w:sz w:val="16"/>
                <w:lang w:val="en-GB"/>
              </w:rPr>
              <w:t>Exceptional costs</w:t>
            </w:r>
          </w:p>
        </w:tc>
        <w:tc>
          <w:tcPr>
            <w:tcW w:w="1163" w:type="dxa"/>
            <w:vAlign w:val="bottom"/>
          </w:tcPr>
          <w:p w:rsidRPr="009C48DA" w:rsidR="00661519" w:rsidP="00661519" w:rsidRDefault="00661519" w14:paraId="20B535D3" w14:textId="77777777">
            <w:pPr>
              <w:spacing w:before="60"/>
              <w:ind w:right="109"/>
              <w:jc w:val="right"/>
              <w:textAlignment w:val="baseline"/>
              <w:rPr>
                <w:rFonts w:eastAsia="Times New Roman"/>
                <w:color w:val="000000"/>
                <w:sz w:val="16"/>
                <w:szCs w:val="16"/>
                <w:lang w:val="en-GB"/>
              </w:rPr>
            </w:pPr>
          </w:p>
        </w:tc>
        <w:tc>
          <w:tcPr>
            <w:tcW w:w="1132" w:type="dxa"/>
            <w:vAlign w:val="bottom"/>
          </w:tcPr>
          <w:p w:rsidRPr="009C48DA" w:rsidR="00661519" w:rsidP="00661519" w:rsidRDefault="00661519" w14:paraId="62DE9D17" w14:textId="77777777">
            <w:pPr>
              <w:spacing w:before="60"/>
              <w:ind w:right="109"/>
              <w:jc w:val="right"/>
              <w:textAlignment w:val="baseline"/>
              <w:rPr>
                <w:rFonts w:eastAsia="Times New Roman"/>
                <w:color w:val="000000"/>
                <w:sz w:val="16"/>
                <w:szCs w:val="16"/>
                <w:lang w:val="en-GB"/>
              </w:rPr>
            </w:pPr>
          </w:p>
        </w:tc>
        <w:tc>
          <w:tcPr>
            <w:tcW w:w="1081" w:type="dxa"/>
            <w:vAlign w:val="bottom"/>
          </w:tcPr>
          <w:p w:rsidRPr="009C48DA" w:rsidR="00661519" w:rsidP="00661519" w:rsidRDefault="00661519" w14:paraId="113D7977" w14:textId="77777777">
            <w:pPr>
              <w:spacing w:before="60"/>
              <w:ind w:right="109"/>
              <w:jc w:val="right"/>
              <w:textAlignment w:val="baseline"/>
              <w:rPr>
                <w:rFonts w:eastAsia="Times New Roman"/>
                <w:color w:val="000000"/>
                <w:sz w:val="16"/>
                <w:szCs w:val="16"/>
                <w:lang w:val="en-GB"/>
              </w:rPr>
            </w:pPr>
          </w:p>
        </w:tc>
        <w:tc>
          <w:tcPr>
            <w:tcW w:w="1080" w:type="dxa"/>
            <w:vAlign w:val="bottom"/>
          </w:tcPr>
          <w:p w:rsidRPr="009C48DA" w:rsidR="00661519" w:rsidP="00661519" w:rsidRDefault="00661519" w14:paraId="7E69723D" w14:textId="77777777">
            <w:pPr>
              <w:spacing w:before="60"/>
              <w:ind w:right="109"/>
              <w:jc w:val="right"/>
              <w:textAlignment w:val="baseline"/>
              <w:rPr>
                <w:rFonts w:eastAsia="Times New Roman"/>
                <w:color w:val="000000"/>
                <w:sz w:val="16"/>
                <w:szCs w:val="16"/>
                <w:lang w:val="en-GB"/>
              </w:rPr>
            </w:pPr>
          </w:p>
        </w:tc>
        <w:tc>
          <w:tcPr>
            <w:tcW w:w="1076" w:type="dxa"/>
            <w:vAlign w:val="bottom"/>
          </w:tcPr>
          <w:p w:rsidRPr="009C48DA" w:rsidR="00661519" w:rsidP="00661519" w:rsidRDefault="00661519" w14:paraId="2E508E37" w14:textId="77777777">
            <w:pPr>
              <w:spacing w:before="60"/>
              <w:ind w:right="109"/>
              <w:jc w:val="right"/>
              <w:textAlignment w:val="baseline"/>
              <w:rPr>
                <w:rFonts w:eastAsia="Times New Roman"/>
                <w:color w:val="000000"/>
                <w:sz w:val="16"/>
                <w:szCs w:val="16"/>
                <w:lang w:val="en-GB"/>
              </w:rPr>
            </w:pPr>
          </w:p>
        </w:tc>
        <w:tc>
          <w:tcPr>
            <w:tcW w:w="1085" w:type="dxa"/>
            <w:vAlign w:val="bottom"/>
          </w:tcPr>
          <w:p w:rsidRPr="009C48DA" w:rsidR="00661519" w:rsidP="00661519" w:rsidRDefault="00661519" w14:paraId="636C97C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r>
      <w:tr w:rsidRPr="009C48DA" w:rsidR="00661519" w:rsidTr="00661519" w14:paraId="231BDF57" w14:textId="77777777">
        <w:trPr>
          <w:trHeight w:val="260"/>
        </w:trPr>
        <w:tc>
          <w:tcPr>
            <w:tcW w:w="2694" w:type="dxa"/>
            <w:vAlign w:val="bottom"/>
          </w:tcPr>
          <w:p w:rsidRPr="009C48DA" w:rsidR="00661519" w:rsidP="00661519" w:rsidRDefault="00661519" w14:paraId="474D74E7" w14:textId="77777777">
            <w:pPr>
              <w:spacing w:before="60"/>
              <w:textAlignment w:val="baseline"/>
              <w:rPr>
                <w:rFonts w:eastAsia="Times New Roman"/>
                <w:b/>
                <w:color w:val="000000"/>
                <w:sz w:val="16"/>
                <w:lang w:val="en-GB"/>
              </w:rPr>
            </w:pPr>
            <w:r w:rsidRPr="009C48DA">
              <w:rPr>
                <w:rFonts w:eastAsia="Times New Roman"/>
                <w:b/>
                <w:color w:val="000000"/>
                <w:sz w:val="16"/>
                <w:lang w:val="en-GB"/>
              </w:rPr>
              <w:t>EBITDA (including exceptional costs)</w:t>
            </w:r>
          </w:p>
        </w:tc>
        <w:tc>
          <w:tcPr>
            <w:tcW w:w="1163" w:type="dxa"/>
            <w:vAlign w:val="bottom"/>
          </w:tcPr>
          <w:p w:rsidRPr="009C48DA" w:rsidR="00661519" w:rsidP="00661519" w:rsidRDefault="00661519" w14:paraId="018A9518" w14:textId="77777777">
            <w:pPr>
              <w:spacing w:before="60"/>
              <w:ind w:right="109"/>
              <w:jc w:val="right"/>
              <w:textAlignment w:val="baseline"/>
              <w:rPr>
                <w:rFonts w:eastAsia="Times New Roman"/>
                <w:color w:val="000000"/>
                <w:sz w:val="16"/>
                <w:szCs w:val="16"/>
                <w:lang w:val="en-GB"/>
              </w:rPr>
            </w:pPr>
          </w:p>
        </w:tc>
        <w:tc>
          <w:tcPr>
            <w:tcW w:w="1132" w:type="dxa"/>
            <w:vAlign w:val="bottom"/>
          </w:tcPr>
          <w:p w:rsidRPr="009C48DA" w:rsidR="00661519" w:rsidP="00661519" w:rsidRDefault="00661519" w14:paraId="3C865EA9" w14:textId="77777777">
            <w:pPr>
              <w:spacing w:before="60"/>
              <w:ind w:right="109"/>
              <w:jc w:val="right"/>
              <w:textAlignment w:val="baseline"/>
              <w:rPr>
                <w:rFonts w:eastAsia="Times New Roman"/>
                <w:color w:val="000000"/>
                <w:sz w:val="16"/>
                <w:szCs w:val="16"/>
                <w:lang w:val="en-GB"/>
              </w:rPr>
            </w:pPr>
          </w:p>
        </w:tc>
        <w:tc>
          <w:tcPr>
            <w:tcW w:w="1081" w:type="dxa"/>
            <w:vAlign w:val="bottom"/>
          </w:tcPr>
          <w:p w:rsidRPr="009C48DA" w:rsidR="00661519" w:rsidP="00661519" w:rsidRDefault="00661519" w14:paraId="09EA41EE" w14:textId="77777777">
            <w:pPr>
              <w:spacing w:before="60"/>
              <w:ind w:right="109"/>
              <w:jc w:val="right"/>
              <w:textAlignment w:val="baseline"/>
              <w:rPr>
                <w:rFonts w:eastAsia="Times New Roman"/>
                <w:color w:val="000000"/>
                <w:sz w:val="16"/>
                <w:szCs w:val="16"/>
                <w:lang w:val="en-GB"/>
              </w:rPr>
            </w:pPr>
          </w:p>
        </w:tc>
        <w:tc>
          <w:tcPr>
            <w:tcW w:w="1080" w:type="dxa"/>
            <w:vAlign w:val="bottom"/>
          </w:tcPr>
          <w:p w:rsidRPr="009C48DA" w:rsidR="00661519" w:rsidP="00661519" w:rsidRDefault="00661519" w14:paraId="7AEFFFCE" w14:textId="77777777">
            <w:pPr>
              <w:spacing w:before="60"/>
              <w:ind w:right="109"/>
              <w:jc w:val="right"/>
              <w:textAlignment w:val="baseline"/>
              <w:rPr>
                <w:rFonts w:eastAsia="Times New Roman"/>
                <w:color w:val="000000"/>
                <w:sz w:val="16"/>
                <w:szCs w:val="16"/>
                <w:lang w:val="en-GB"/>
              </w:rPr>
            </w:pPr>
          </w:p>
        </w:tc>
        <w:tc>
          <w:tcPr>
            <w:tcW w:w="1076" w:type="dxa"/>
            <w:vAlign w:val="bottom"/>
          </w:tcPr>
          <w:p w:rsidRPr="009C48DA" w:rsidR="00661519" w:rsidP="00661519" w:rsidRDefault="00661519" w14:paraId="64357274" w14:textId="77777777">
            <w:pPr>
              <w:spacing w:before="60"/>
              <w:ind w:right="109"/>
              <w:jc w:val="right"/>
              <w:textAlignment w:val="baseline"/>
              <w:rPr>
                <w:rFonts w:eastAsia="Times New Roman"/>
                <w:color w:val="000000"/>
                <w:sz w:val="16"/>
                <w:szCs w:val="16"/>
                <w:lang w:val="en-GB"/>
              </w:rPr>
            </w:pPr>
          </w:p>
        </w:tc>
        <w:tc>
          <w:tcPr>
            <w:tcW w:w="1085" w:type="dxa"/>
            <w:vAlign w:val="bottom"/>
          </w:tcPr>
          <w:p w:rsidRPr="009C48DA" w:rsidR="00661519" w:rsidP="00661519" w:rsidRDefault="00661519" w14:paraId="7174A647"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53,125</w:t>
            </w:r>
          </w:p>
        </w:tc>
      </w:tr>
      <w:tr w:rsidRPr="009C48DA" w:rsidR="00661519" w:rsidTr="00661519" w14:paraId="149D1A34" w14:textId="77777777">
        <w:trPr>
          <w:trHeight w:val="260"/>
        </w:trPr>
        <w:tc>
          <w:tcPr>
            <w:tcW w:w="2694" w:type="dxa"/>
            <w:vAlign w:val="bottom"/>
          </w:tcPr>
          <w:p w:rsidRPr="009C48DA" w:rsidR="00661519" w:rsidP="00661519" w:rsidRDefault="00661519" w14:paraId="7F53D5A8" w14:textId="77777777">
            <w:pPr>
              <w:spacing w:before="60"/>
              <w:textAlignment w:val="baseline"/>
              <w:rPr>
                <w:rFonts w:eastAsia="Times New Roman"/>
                <w:color w:val="000000"/>
                <w:sz w:val="16"/>
                <w:lang w:val="en-GB"/>
              </w:rPr>
            </w:pPr>
            <w:r w:rsidRPr="009C48DA">
              <w:rPr>
                <w:rFonts w:eastAsia="Times New Roman"/>
                <w:color w:val="000000"/>
                <w:sz w:val="16"/>
                <w:lang w:val="en-GB"/>
              </w:rPr>
              <w:t>Depreciation and amortisation</w:t>
            </w:r>
          </w:p>
        </w:tc>
        <w:tc>
          <w:tcPr>
            <w:tcW w:w="1163" w:type="dxa"/>
            <w:vAlign w:val="bottom"/>
          </w:tcPr>
          <w:p w:rsidRPr="009C48DA" w:rsidR="00661519" w:rsidP="00661519" w:rsidRDefault="00661519" w14:paraId="4E38920E" w14:textId="77777777">
            <w:pPr>
              <w:spacing w:before="60"/>
              <w:ind w:right="109"/>
              <w:jc w:val="right"/>
              <w:textAlignment w:val="baseline"/>
              <w:rPr>
                <w:rFonts w:eastAsia="Times New Roman"/>
                <w:color w:val="000000"/>
                <w:sz w:val="16"/>
                <w:szCs w:val="16"/>
                <w:lang w:val="en-GB"/>
              </w:rPr>
            </w:pPr>
          </w:p>
        </w:tc>
        <w:tc>
          <w:tcPr>
            <w:tcW w:w="1132" w:type="dxa"/>
            <w:vAlign w:val="bottom"/>
          </w:tcPr>
          <w:p w:rsidRPr="009C48DA" w:rsidR="00661519" w:rsidP="00661519" w:rsidRDefault="00661519" w14:paraId="6B47FF05" w14:textId="77777777">
            <w:pPr>
              <w:spacing w:before="60"/>
              <w:ind w:right="109"/>
              <w:jc w:val="right"/>
              <w:textAlignment w:val="baseline"/>
              <w:rPr>
                <w:rFonts w:eastAsia="Times New Roman"/>
                <w:color w:val="000000"/>
                <w:sz w:val="16"/>
                <w:szCs w:val="16"/>
                <w:lang w:val="en-GB"/>
              </w:rPr>
            </w:pPr>
          </w:p>
        </w:tc>
        <w:tc>
          <w:tcPr>
            <w:tcW w:w="1081" w:type="dxa"/>
            <w:vAlign w:val="bottom"/>
          </w:tcPr>
          <w:p w:rsidRPr="009C48DA" w:rsidR="00661519" w:rsidP="00661519" w:rsidRDefault="00661519" w14:paraId="440F5E26" w14:textId="77777777">
            <w:pPr>
              <w:spacing w:before="60"/>
              <w:ind w:right="109"/>
              <w:jc w:val="right"/>
              <w:textAlignment w:val="baseline"/>
              <w:rPr>
                <w:rFonts w:eastAsia="Times New Roman"/>
                <w:color w:val="000000"/>
                <w:sz w:val="16"/>
                <w:szCs w:val="16"/>
                <w:lang w:val="en-GB"/>
              </w:rPr>
            </w:pPr>
          </w:p>
        </w:tc>
        <w:tc>
          <w:tcPr>
            <w:tcW w:w="1080" w:type="dxa"/>
            <w:vAlign w:val="bottom"/>
          </w:tcPr>
          <w:p w:rsidRPr="009C48DA" w:rsidR="00661519" w:rsidP="00661519" w:rsidRDefault="00661519" w14:paraId="1C9BB10C" w14:textId="77777777">
            <w:pPr>
              <w:spacing w:before="60"/>
              <w:ind w:right="109"/>
              <w:jc w:val="right"/>
              <w:textAlignment w:val="baseline"/>
              <w:rPr>
                <w:rFonts w:eastAsia="Times New Roman"/>
                <w:color w:val="000000"/>
                <w:sz w:val="16"/>
                <w:szCs w:val="16"/>
                <w:lang w:val="en-GB"/>
              </w:rPr>
            </w:pPr>
          </w:p>
        </w:tc>
        <w:tc>
          <w:tcPr>
            <w:tcW w:w="1076" w:type="dxa"/>
            <w:vAlign w:val="bottom"/>
          </w:tcPr>
          <w:p w:rsidRPr="009C48DA" w:rsidR="00661519" w:rsidP="00661519" w:rsidRDefault="00661519" w14:paraId="1BE3D9A6" w14:textId="77777777">
            <w:pPr>
              <w:spacing w:before="60"/>
              <w:ind w:right="109"/>
              <w:jc w:val="right"/>
              <w:textAlignment w:val="baseline"/>
              <w:rPr>
                <w:rFonts w:eastAsia="Times New Roman"/>
                <w:color w:val="000000"/>
                <w:sz w:val="16"/>
                <w:szCs w:val="16"/>
                <w:lang w:val="en-GB"/>
              </w:rPr>
            </w:pPr>
          </w:p>
        </w:tc>
        <w:tc>
          <w:tcPr>
            <w:tcW w:w="1085" w:type="dxa"/>
            <w:vAlign w:val="bottom"/>
          </w:tcPr>
          <w:p w:rsidRPr="009C48DA" w:rsidR="00661519" w:rsidP="00661519" w:rsidRDefault="00661519" w14:paraId="0F21894D"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(7,757)</w:t>
            </w:r>
          </w:p>
        </w:tc>
      </w:tr>
      <w:tr w:rsidRPr="009C48DA" w:rsidR="00661519" w:rsidTr="00661519" w14:paraId="50DDE4A9" w14:textId="77777777">
        <w:trPr>
          <w:trHeight w:val="260"/>
        </w:trPr>
        <w:tc>
          <w:tcPr>
            <w:tcW w:w="2694" w:type="dxa"/>
            <w:vAlign w:val="bottom"/>
          </w:tcPr>
          <w:p w:rsidRPr="009C48DA" w:rsidR="00661519" w:rsidP="00661519" w:rsidRDefault="00661519" w14:paraId="6A02FE73" w14:textId="77777777">
            <w:pPr>
              <w:spacing w:before="60"/>
              <w:textAlignment w:val="baseline"/>
              <w:rPr>
                <w:rFonts w:eastAsia="Times New Roman"/>
                <w:color w:val="000000"/>
                <w:sz w:val="16"/>
                <w:lang w:val="en-GB"/>
              </w:rPr>
            </w:pPr>
            <w:r w:rsidRPr="009C48DA">
              <w:rPr>
                <w:rFonts w:eastAsia="Times New Roman"/>
                <w:color w:val="000000"/>
                <w:sz w:val="16"/>
                <w:lang w:val="en-GB"/>
              </w:rPr>
              <w:t>Net finance income</w:t>
            </w:r>
          </w:p>
        </w:tc>
        <w:tc>
          <w:tcPr>
            <w:tcW w:w="1163" w:type="dxa"/>
            <w:vAlign w:val="bottom"/>
          </w:tcPr>
          <w:p w:rsidRPr="009C48DA" w:rsidR="00661519" w:rsidP="00661519" w:rsidRDefault="00661519" w14:paraId="0FE87F83" w14:textId="77777777">
            <w:pPr>
              <w:spacing w:before="60"/>
              <w:ind w:right="109"/>
              <w:jc w:val="right"/>
              <w:textAlignment w:val="baseline"/>
              <w:rPr>
                <w:rFonts w:eastAsia="Times New Roman"/>
                <w:color w:val="000000"/>
                <w:sz w:val="16"/>
                <w:szCs w:val="16"/>
                <w:lang w:val="en-GB"/>
              </w:rPr>
            </w:pPr>
          </w:p>
        </w:tc>
        <w:tc>
          <w:tcPr>
            <w:tcW w:w="1132" w:type="dxa"/>
            <w:vAlign w:val="bottom"/>
          </w:tcPr>
          <w:p w:rsidRPr="009C48DA" w:rsidR="00661519" w:rsidP="00661519" w:rsidRDefault="00661519" w14:paraId="6570701F" w14:textId="77777777">
            <w:pPr>
              <w:spacing w:before="60"/>
              <w:ind w:right="109"/>
              <w:jc w:val="right"/>
              <w:textAlignment w:val="baseline"/>
              <w:rPr>
                <w:rFonts w:eastAsia="Times New Roman"/>
                <w:color w:val="000000"/>
                <w:sz w:val="16"/>
                <w:szCs w:val="16"/>
                <w:lang w:val="en-GB"/>
              </w:rPr>
            </w:pPr>
          </w:p>
        </w:tc>
        <w:tc>
          <w:tcPr>
            <w:tcW w:w="1081" w:type="dxa"/>
            <w:vAlign w:val="bottom"/>
          </w:tcPr>
          <w:p w:rsidRPr="009C48DA" w:rsidR="00661519" w:rsidP="00661519" w:rsidRDefault="00661519" w14:paraId="258A438F" w14:textId="77777777">
            <w:pPr>
              <w:spacing w:before="60"/>
              <w:ind w:right="109"/>
              <w:jc w:val="right"/>
              <w:textAlignment w:val="baseline"/>
              <w:rPr>
                <w:rFonts w:eastAsia="Times New Roman"/>
                <w:color w:val="000000"/>
                <w:sz w:val="16"/>
                <w:szCs w:val="16"/>
                <w:lang w:val="en-GB"/>
              </w:rPr>
            </w:pPr>
          </w:p>
        </w:tc>
        <w:tc>
          <w:tcPr>
            <w:tcW w:w="1080" w:type="dxa"/>
            <w:vAlign w:val="bottom"/>
          </w:tcPr>
          <w:p w:rsidRPr="009C48DA" w:rsidR="00661519" w:rsidP="00661519" w:rsidRDefault="00661519" w14:paraId="444E86D0" w14:textId="77777777">
            <w:pPr>
              <w:spacing w:before="60"/>
              <w:ind w:right="109"/>
              <w:jc w:val="right"/>
              <w:textAlignment w:val="baseline"/>
              <w:rPr>
                <w:rFonts w:eastAsia="Times New Roman"/>
                <w:color w:val="000000"/>
                <w:sz w:val="16"/>
                <w:szCs w:val="16"/>
                <w:lang w:val="en-GB"/>
              </w:rPr>
            </w:pPr>
          </w:p>
        </w:tc>
        <w:tc>
          <w:tcPr>
            <w:tcW w:w="1076" w:type="dxa"/>
            <w:vAlign w:val="bottom"/>
          </w:tcPr>
          <w:p w:rsidRPr="009C48DA" w:rsidR="00661519" w:rsidP="00661519" w:rsidRDefault="00661519" w14:paraId="1396A671" w14:textId="77777777">
            <w:pPr>
              <w:spacing w:before="60"/>
              <w:ind w:right="109"/>
              <w:jc w:val="right"/>
              <w:textAlignment w:val="baseline"/>
              <w:rPr>
                <w:rFonts w:eastAsia="Times New Roman"/>
                <w:color w:val="000000"/>
                <w:sz w:val="16"/>
                <w:szCs w:val="16"/>
                <w:lang w:val="en-GB"/>
              </w:rPr>
            </w:pPr>
          </w:p>
        </w:tc>
        <w:tc>
          <w:tcPr>
            <w:tcW w:w="1085" w:type="dxa"/>
            <w:vAlign w:val="bottom"/>
          </w:tcPr>
          <w:p w:rsidRPr="009C48DA" w:rsidR="00661519" w:rsidP="00661519" w:rsidRDefault="00661519" w14:paraId="157BFE77"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2,109</w:t>
            </w:r>
          </w:p>
        </w:tc>
      </w:tr>
      <w:tr w:rsidRPr="009C48DA" w:rsidR="00661519" w:rsidTr="00661519" w14:paraId="2AFF04D6" w14:textId="77777777">
        <w:trPr>
          <w:trHeight w:val="380"/>
        </w:trPr>
        <w:tc>
          <w:tcPr>
            <w:tcW w:w="2694" w:type="dxa"/>
            <w:vAlign w:val="bottom"/>
          </w:tcPr>
          <w:p w:rsidRPr="009C48DA" w:rsidR="00661519" w:rsidP="00661519" w:rsidRDefault="00661519" w14:paraId="6B9A0188" w14:textId="77777777">
            <w:pPr>
              <w:spacing w:before="60"/>
              <w:textAlignment w:val="baseline"/>
              <w:rPr>
                <w:rFonts w:eastAsia="Times New Roman"/>
                <w:b/>
                <w:color w:val="000000"/>
                <w:sz w:val="16"/>
                <w:lang w:val="en-GB"/>
              </w:rPr>
            </w:pPr>
            <w:r w:rsidRPr="009C48DA">
              <w:rPr>
                <w:rFonts w:eastAsia="Times New Roman"/>
                <w:b/>
                <w:color w:val="000000"/>
                <w:sz w:val="16"/>
                <w:lang w:val="en-GB"/>
              </w:rPr>
              <w:t>Profit before income tax</w:t>
            </w:r>
          </w:p>
        </w:tc>
        <w:tc>
          <w:tcPr>
            <w:tcW w:w="1163" w:type="dxa"/>
            <w:vAlign w:val="bottom"/>
          </w:tcPr>
          <w:p w:rsidRPr="009C48DA" w:rsidR="00661519" w:rsidP="00661519" w:rsidRDefault="00661519" w14:paraId="0E39ABF4" w14:textId="77777777">
            <w:pPr>
              <w:spacing w:before="60"/>
              <w:ind w:right="109"/>
              <w:jc w:val="right"/>
              <w:textAlignment w:val="baseline"/>
              <w:rPr>
                <w:rFonts w:eastAsia="Times New Roman"/>
                <w:color w:val="000000"/>
                <w:sz w:val="16"/>
                <w:szCs w:val="16"/>
                <w:lang w:val="en-GB"/>
              </w:rPr>
            </w:pPr>
          </w:p>
        </w:tc>
        <w:tc>
          <w:tcPr>
            <w:tcW w:w="1132" w:type="dxa"/>
            <w:vAlign w:val="bottom"/>
          </w:tcPr>
          <w:p w:rsidRPr="009C48DA" w:rsidR="00661519" w:rsidP="00661519" w:rsidRDefault="00661519" w14:paraId="558678B2" w14:textId="77777777">
            <w:pPr>
              <w:spacing w:before="60"/>
              <w:ind w:right="109"/>
              <w:jc w:val="right"/>
              <w:textAlignment w:val="baseline"/>
              <w:rPr>
                <w:rFonts w:eastAsia="Times New Roman"/>
                <w:color w:val="000000"/>
                <w:sz w:val="16"/>
                <w:szCs w:val="16"/>
                <w:lang w:val="en-GB"/>
              </w:rPr>
            </w:pPr>
          </w:p>
        </w:tc>
        <w:tc>
          <w:tcPr>
            <w:tcW w:w="1081" w:type="dxa"/>
            <w:vAlign w:val="bottom"/>
          </w:tcPr>
          <w:p w:rsidRPr="009C48DA" w:rsidR="00661519" w:rsidP="00661519" w:rsidRDefault="00661519" w14:paraId="22D12254" w14:textId="77777777">
            <w:pPr>
              <w:spacing w:before="60"/>
              <w:ind w:right="109"/>
              <w:jc w:val="right"/>
              <w:textAlignment w:val="baseline"/>
              <w:rPr>
                <w:rFonts w:eastAsia="Times New Roman"/>
                <w:color w:val="000000"/>
                <w:sz w:val="16"/>
                <w:szCs w:val="16"/>
                <w:lang w:val="en-GB"/>
              </w:rPr>
            </w:pPr>
          </w:p>
        </w:tc>
        <w:tc>
          <w:tcPr>
            <w:tcW w:w="1080" w:type="dxa"/>
            <w:vAlign w:val="bottom"/>
          </w:tcPr>
          <w:p w:rsidRPr="009C48DA" w:rsidR="00661519" w:rsidP="00661519" w:rsidRDefault="00661519" w14:paraId="4C1EA5F0" w14:textId="77777777">
            <w:pPr>
              <w:spacing w:before="60"/>
              <w:ind w:right="109"/>
              <w:jc w:val="right"/>
              <w:textAlignment w:val="baseline"/>
              <w:rPr>
                <w:rFonts w:eastAsia="Times New Roman"/>
                <w:color w:val="000000"/>
                <w:sz w:val="16"/>
                <w:szCs w:val="16"/>
                <w:lang w:val="en-GB"/>
              </w:rPr>
            </w:pPr>
          </w:p>
        </w:tc>
        <w:tc>
          <w:tcPr>
            <w:tcW w:w="1076" w:type="dxa"/>
            <w:vAlign w:val="bottom"/>
          </w:tcPr>
          <w:p w:rsidRPr="009C48DA" w:rsidR="00661519" w:rsidP="00661519" w:rsidRDefault="00661519" w14:paraId="4ED0D595" w14:textId="77777777">
            <w:pPr>
              <w:spacing w:before="60"/>
              <w:ind w:right="109"/>
              <w:jc w:val="right"/>
              <w:textAlignment w:val="baseline"/>
              <w:rPr>
                <w:rFonts w:eastAsia="Times New Roman"/>
                <w:color w:val="000000"/>
                <w:sz w:val="16"/>
                <w:szCs w:val="16"/>
                <w:lang w:val="en-GB"/>
              </w:rPr>
            </w:pPr>
          </w:p>
        </w:tc>
        <w:tc>
          <w:tcPr>
            <w:tcW w:w="1085" w:type="dxa"/>
            <w:vAlign w:val="bottom"/>
          </w:tcPr>
          <w:p w:rsidRPr="009C48DA" w:rsidR="00661519" w:rsidP="00661519" w:rsidRDefault="00661519" w14:paraId="3C9E9676"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47,477</w:t>
            </w:r>
          </w:p>
        </w:tc>
      </w:tr>
    </w:tbl>
    <w:p w:rsidRPr="009C48DA" w:rsidR="00661519" w:rsidP="00661519" w:rsidRDefault="00661519" w14:paraId="146942A9" w14:textId="77777777">
      <w:pPr>
        <w:textAlignment w:val="baseline"/>
        <w:rPr>
          <w:rFonts w:eastAsia="Times New Roman" w:cs="Times New Roman"/>
          <w:b/>
          <w:color w:val="000000"/>
          <w:sz w:val="16"/>
          <w:szCs w:val="22"/>
          <w:u w:val="single"/>
          <w:lang w:val="en-GB"/>
        </w:rPr>
      </w:pPr>
    </w:p>
    <w:p w:rsidRPr="009C48DA" w:rsidR="00661519" w:rsidP="00661519" w:rsidRDefault="00661519" w14:paraId="252F1AB9" w14:textId="77777777">
      <w:pPr>
        <w:textAlignment w:val="baseline"/>
        <w:rPr>
          <w:rFonts w:eastAsia="Times New Roman" w:cs="Times New Roman"/>
          <w:b/>
          <w:color w:val="000000"/>
          <w:sz w:val="16"/>
          <w:szCs w:val="22"/>
          <w:u w:val="single"/>
          <w:lang w:val="en-GB"/>
        </w:rPr>
      </w:pPr>
    </w:p>
    <w:tbl>
      <w:tblPr>
        <w:tblStyle w:val="TableGrid30"/>
        <w:tblW w:w="92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right w:w="0" w:type="dxa"/>
        </w:tblCellMar>
        <w:tblLook w:val="04A0" w:firstRow="1" w:lastRow="0" w:firstColumn="1" w:lastColumn="0" w:noHBand="0" w:noVBand="1"/>
      </w:tblPr>
      <w:tblGrid>
        <w:gridCol w:w="2694"/>
        <w:gridCol w:w="77"/>
        <w:gridCol w:w="1077"/>
        <w:gridCol w:w="1130"/>
        <w:gridCol w:w="1079"/>
        <w:gridCol w:w="1078"/>
        <w:gridCol w:w="1075"/>
        <w:gridCol w:w="1083"/>
      </w:tblGrid>
      <w:tr w:rsidRPr="009C48DA" w:rsidR="00661519" w:rsidTr="00661519" w14:paraId="20757173" w14:textId="77777777">
        <w:trPr>
          <w:trHeight w:val="610"/>
        </w:trPr>
        <w:tc>
          <w:tcPr>
            <w:tcW w:w="2771" w:type="dxa"/>
            <w:gridSpan w:val="2"/>
            <w:vAlign w:val="bottom"/>
          </w:tcPr>
          <w:p w:rsidRPr="009C48DA" w:rsidR="00661519" w:rsidP="00661519" w:rsidRDefault="00661519" w14:paraId="1B20F012" w14:textId="77777777">
            <w:pPr>
              <w:jc w:val="both"/>
              <w:textAlignment w:val="baseline"/>
              <w:rPr>
                <w:rFonts w:eastAsia="Times New Roman"/>
                <w:b/>
                <w:color w:val="000000"/>
                <w:sz w:val="16"/>
                <w:lang w:val="en-GB"/>
              </w:rPr>
            </w:pPr>
            <w:r w:rsidRPr="009C48DA">
              <w:rPr>
                <w:rFonts w:eastAsia="Times New Roman"/>
                <w:b/>
                <w:color w:val="000000"/>
                <w:sz w:val="16"/>
                <w:lang w:val="en-GB"/>
              </w:rPr>
              <w:lastRenderedPageBreak/>
              <w:t>Year ended 31 December 2020</w:t>
            </w:r>
          </w:p>
        </w:tc>
        <w:tc>
          <w:tcPr>
            <w:tcW w:w="1077" w:type="dxa"/>
            <w:vAlign w:val="bottom"/>
          </w:tcPr>
          <w:p w:rsidRPr="009C48DA" w:rsidR="00661519" w:rsidP="00661519" w:rsidRDefault="00661519" w14:paraId="59A6933E" w14:textId="77777777">
            <w:pPr>
              <w:jc w:val="center"/>
              <w:textAlignment w:val="baseline"/>
              <w:rPr>
                <w:rFonts w:eastAsia="Times New Roman"/>
                <w:b/>
                <w:color w:val="000000"/>
                <w:sz w:val="16"/>
                <w:lang w:val="en-GB"/>
              </w:rPr>
            </w:pPr>
            <w:r w:rsidRPr="009C48DA">
              <w:rPr>
                <w:rFonts w:eastAsia="Times New Roman"/>
                <w:b/>
                <w:color w:val="000000"/>
                <w:sz w:val="16"/>
                <w:lang w:val="en-GB"/>
              </w:rPr>
              <w:t>Private</w:t>
            </w:r>
          </w:p>
          <w:p w:rsidRPr="009C48DA" w:rsidR="00661519" w:rsidP="00661519" w:rsidRDefault="00661519" w14:paraId="666B8DE8" w14:textId="77777777">
            <w:pPr>
              <w:jc w:val="center"/>
              <w:textAlignment w:val="baseline"/>
              <w:rPr>
                <w:rFonts w:eastAsia="Times New Roman"/>
                <w:b/>
                <w:color w:val="000000"/>
                <w:sz w:val="16"/>
                <w:lang w:val="en-GB"/>
              </w:rPr>
            </w:pPr>
            <w:r w:rsidRPr="009C48DA">
              <w:rPr>
                <w:rFonts w:eastAsia="Times New Roman"/>
                <w:b/>
                <w:color w:val="000000"/>
                <w:sz w:val="16"/>
                <w:lang w:val="en-GB"/>
              </w:rPr>
              <w:t>Equity</w:t>
            </w:r>
          </w:p>
          <w:p w:rsidRPr="009C48DA" w:rsidR="00661519" w:rsidP="00661519" w:rsidRDefault="00661519" w14:paraId="472FFC0F"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130" w:type="dxa"/>
            <w:vAlign w:val="bottom"/>
          </w:tcPr>
          <w:p w:rsidRPr="009C48DA" w:rsidR="00661519" w:rsidP="00661519" w:rsidRDefault="00661519" w14:paraId="16E5B22E" w14:textId="77777777">
            <w:pPr>
              <w:jc w:val="center"/>
              <w:textAlignment w:val="baseline"/>
              <w:rPr>
                <w:rFonts w:eastAsia="Times New Roman"/>
                <w:b/>
                <w:color w:val="000000"/>
                <w:sz w:val="16"/>
                <w:lang w:val="en-GB"/>
              </w:rPr>
            </w:pPr>
            <w:r w:rsidRPr="009C48DA">
              <w:rPr>
                <w:rFonts w:eastAsia="Times New Roman"/>
                <w:b/>
                <w:color w:val="000000"/>
                <w:sz w:val="16"/>
                <w:lang w:val="en-GB"/>
              </w:rPr>
              <w:t>Credit</w:t>
            </w:r>
          </w:p>
          <w:p w:rsidRPr="009C48DA" w:rsidR="00661519" w:rsidP="00661519" w:rsidRDefault="00661519" w14:paraId="04F14351"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79" w:type="dxa"/>
            <w:vAlign w:val="bottom"/>
          </w:tcPr>
          <w:p w:rsidRPr="009C48DA" w:rsidR="00661519" w:rsidP="00661519" w:rsidRDefault="00661519" w14:paraId="36B01B2C" w14:textId="77777777">
            <w:pPr>
              <w:jc w:val="center"/>
              <w:textAlignment w:val="baseline"/>
              <w:rPr>
                <w:rFonts w:eastAsia="Times New Roman"/>
                <w:b/>
                <w:color w:val="000000"/>
                <w:sz w:val="16"/>
                <w:lang w:val="en-GB"/>
              </w:rPr>
            </w:pPr>
            <w:r w:rsidRPr="009C48DA">
              <w:rPr>
                <w:rFonts w:eastAsia="Times New Roman"/>
                <w:b/>
                <w:color w:val="000000"/>
                <w:sz w:val="16"/>
                <w:lang w:val="en-GB"/>
              </w:rPr>
              <w:t>Central</w:t>
            </w:r>
          </w:p>
          <w:p w:rsidRPr="009C48DA" w:rsidR="00661519" w:rsidP="00661519" w:rsidRDefault="00661519" w14:paraId="1D0F28EC"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78" w:type="dxa"/>
            <w:vAlign w:val="bottom"/>
          </w:tcPr>
          <w:p w:rsidRPr="009C48DA" w:rsidR="00661519" w:rsidP="00661519" w:rsidRDefault="00661519" w14:paraId="69A1B994" w14:textId="77777777">
            <w:pPr>
              <w:jc w:val="center"/>
              <w:textAlignment w:val="baseline"/>
              <w:rPr>
                <w:rFonts w:eastAsia="Times New Roman"/>
                <w:b/>
                <w:color w:val="000000"/>
                <w:sz w:val="16"/>
                <w:lang w:val="en-GB"/>
              </w:rPr>
            </w:pPr>
            <w:r w:rsidRPr="009C48DA">
              <w:rPr>
                <w:rFonts w:eastAsia="Times New Roman"/>
                <w:b/>
                <w:color w:val="000000"/>
                <w:sz w:val="16"/>
                <w:lang w:val="en-GB"/>
              </w:rPr>
              <w:t>Total Core</w:t>
            </w:r>
          </w:p>
          <w:p w:rsidRPr="009C48DA" w:rsidR="00661519" w:rsidP="00661519" w:rsidRDefault="00661519" w14:paraId="7C59466B"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75" w:type="dxa"/>
            <w:vAlign w:val="bottom"/>
          </w:tcPr>
          <w:p w:rsidRPr="009C48DA" w:rsidR="00661519" w:rsidP="00661519" w:rsidRDefault="00661519" w14:paraId="07EF670B"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Total Other </w:t>
            </w:r>
          </w:p>
          <w:p w:rsidRPr="009C48DA" w:rsidR="00661519" w:rsidP="00661519" w:rsidRDefault="00661519" w14:paraId="0650C154"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83" w:type="dxa"/>
            <w:vAlign w:val="bottom"/>
          </w:tcPr>
          <w:p w:rsidRPr="009C48DA" w:rsidR="00661519" w:rsidP="00661519" w:rsidRDefault="00661519" w14:paraId="63156D0F"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Total Group </w:t>
            </w:r>
          </w:p>
          <w:p w:rsidRPr="009C48DA" w:rsidR="00661519" w:rsidP="00661519" w:rsidRDefault="00661519" w14:paraId="4805C578"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713CE384" w14:textId="77777777">
        <w:trPr>
          <w:trHeight w:val="264"/>
        </w:trPr>
        <w:tc>
          <w:tcPr>
            <w:tcW w:w="2771" w:type="dxa"/>
            <w:gridSpan w:val="2"/>
            <w:vAlign w:val="bottom"/>
          </w:tcPr>
          <w:p w:rsidRPr="009C48DA" w:rsidR="00661519" w:rsidP="00661519" w:rsidRDefault="00661519" w14:paraId="548E0EFC" w14:textId="77777777">
            <w:pPr>
              <w:tabs>
                <w:tab w:val="left" w:pos="3528"/>
                <w:tab w:val="left" w:pos="5112"/>
                <w:tab w:val="left" w:pos="6696"/>
                <w:tab w:val="left" w:pos="8136"/>
              </w:tabs>
              <w:spacing w:before="60"/>
              <w:ind w:right="504"/>
              <w:textAlignment w:val="baseline"/>
              <w:rPr>
                <w:rFonts w:eastAsia="Times New Roman"/>
                <w:color w:val="000000"/>
                <w:sz w:val="16"/>
                <w:lang w:val="en-GB"/>
              </w:rPr>
            </w:pPr>
            <w:r w:rsidRPr="009C48DA">
              <w:rPr>
                <w:rFonts w:eastAsia="Times New Roman"/>
                <w:color w:val="000000"/>
                <w:sz w:val="16"/>
                <w:lang w:val="en-GB"/>
              </w:rPr>
              <w:t>Management fees</w:t>
            </w:r>
          </w:p>
        </w:tc>
        <w:tc>
          <w:tcPr>
            <w:tcW w:w="1077" w:type="dxa"/>
          </w:tcPr>
          <w:p w:rsidRPr="009C48DA" w:rsidR="00661519" w:rsidP="00661519" w:rsidRDefault="00661519" w14:paraId="68E1BAF4"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136,578</w:t>
            </w:r>
          </w:p>
        </w:tc>
        <w:tc>
          <w:tcPr>
            <w:tcW w:w="1130" w:type="dxa"/>
          </w:tcPr>
          <w:p w:rsidRPr="009C48DA" w:rsidR="00661519" w:rsidP="00661519" w:rsidRDefault="00661519" w14:paraId="36CE0193"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10,231</w:t>
            </w:r>
          </w:p>
        </w:tc>
        <w:tc>
          <w:tcPr>
            <w:tcW w:w="1079" w:type="dxa"/>
          </w:tcPr>
          <w:p w:rsidRPr="009C48DA" w:rsidR="00661519" w:rsidP="00661519" w:rsidRDefault="00661519" w14:paraId="181F439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78" w:type="dxa"/>
          </w:tcPr>
          <w:p w:rsidRPr="009C48DA" w:rsidR="00661519" w:rsidP="00661519" w:rsidRDefault="00661519" w14:paraId="026FB904"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146,809</w:t>
            </w:r>
          </w:p>
        </w:tc>
        <w:tc>
          <w:tcPr>
            <w:tcW w:w="1075" w:type="dxa"/>
          </w:tcPr>
          <w:p w:rsidRPr="009C48DA" w:rsidR="00661519" w:rsidP="00661519" w:rsidRDefault="00661519" w14:paraId="13198FCB"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1,815</w:t>
            </w:r>
          </w:p>
        </w:tc>
        <w:tc>
          <w:tcPr>
            <w:tcW w:w="1083" w:type="dxa"/>
          </w:tcPr>
          <w:p w:rsidRPr="009C48DA" w:rsidR="00661519" w:rsidP="00661519" w:rsidRDefault="00661519" w14:paraId="56AE213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148,624</w:t>
            </w:r>
          </w:p>
        </w:tc>
      </w:tr>
      <w:tr w:rsidRPr="009C48DA" w:rsidR="00661519" w:rsidTr="00661519" w14:paraId="3B444565" w14:textId="77777777">
        <w:trPr>
          <w:trHeight w:val="264"/>
        </w:trPr>
        <w:tc>
          <w:tcPr>
            <w:tcW w:w="2771" w:type="dxa"/>
            <w:gridSpan w:val="2"/>
            <w:vAlign w:val="bottom"/>
          </w:tcPr>
          <w:p w:rsidRPr="009C48DA" w:rsidR="00661519" w:rsidP="00661519" w:rsidRDefault="00661519" w14:paraId="47F1230F" w14:textId="77777777">
            <w:pPr>
              <w:spacing w:before="60"/>
              <w:textAlignment w:val="baseline"/>
              <w:rPr>
                <w:rFonts w:eastAsia="Times New Roman"/>
                <w:color w:val="000000"/>
                <w:sz w:val="16"/>
                <w:lang w:val="en-GB"/>
              </w:rPr>
            </w:pPr>
            <w:r w:rsidRPr="009C48DA">
              <w:rPr>
                <w:rFonts w:eastAsia="Times New Roman"/>
                <w:color w:val="000000"/>
                <w:sz w:val="16"/>
                <w:lang w:val="en-GB"/>
              </w:rPr>
              <w:t>Carried interest</w:t>
            </w:r>
          </w:p>
        </w:tc>
        <w:tc>
          <w:tcPr>
            <w:tcW w:w="1077" w:type="dxa"/>
          </w:tcPr>
          <w:p w:rsidRPr="009C48DA" w:rsidR="00661519" w:rsidP="00661519" w:rsidRDefault="00661519" w14:paraId="08DAC3B4"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12,917</w:t>
            </w:r>
          </w:p>
        </w:tc>
        <w:tc>
          <w:tcPr>
            <w:tcW w:w="1130" w:type="dxa"/>
          </w:tcPr>
          <w:p w:rsidRPr="009C48DA" w:rsidR="00661519" w:rsidP="00661519" w:rsidRDefault="00661519" w14:paraId="4B928E48"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79" w:type="dxa"/>
          </w:tcPr>
          <w:p w:rsidRPr="009C48DA" w:rsidR="00661519" w:rsidP="00661519" w:rsidRDefault="00661519" w14:paraId="50693B58"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78" w:type="dxa"/>
          </w:tcPr>
          <w:p w:rsidRPr="009C48DA" w:rsidR="00661519" w:rsidP="00661519" w:rsidRDefault="00661519" w14:paraId="70167AF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12,917</w:t>
            </w:r>
          </w:p>
        </w:tc>
        <w:tc>
          <w:tcPr>
            <w:tcW w:w="1075" w:type="dxa"/>
          </w:tcPr>
          <w:p w:rsidRPr="009C48DA" w:rsidR="00661519" w:rsidP="00661519" w:rsidRDefault="00661519" w14:paraId="2978CB1F"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83" w:type="dxa"/>
          </w:tcPr>
          <w:p w:rsidRPr="009C48DA" w:rsidR="00661519" w:rsidP="00661519" w:rsidRDefault="00661519" w14:paraId="1A15394F"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12,917</w:t>
            </w:r>
          </w:p>
        </w:tc>
      </w:tr>
      <w:tr w:rsidRPr="009C48DA" w:rsidR="00661519" w:rsidTr="00661519" w14:paraId="1907F906" w14:textId="77777777">
        <w:trPr>
          <w:trHeight w:val="274"/>
        </w:trPr>
        <w:tc>
          <w:tcPr>
            <w:tcW w:w="2694" w:type="dxa"/>
            <w:vAlign w:val="bottom"/>
          </w:tcPr>
          <w:p w:rsidRPr="009C48DA" w:rsidR="00661519" w:rsidP="00661519" w:rsidRDefault="00661519" w14:paraId="45270849" w14:textId="77777777">
            <w:pPr>
              <w:spacing w:before="60" w:line="182" w:lineRule="exact"/>
              <w:textAlignment w:val="baseline"/>
              <w:rPr>
                <w:rFonts w:eastAsia="Times New Roman"/>
                <w:color w:val="000000"/>
                <w:sz w:val="16"/>
                <w:lang w:val="en-GB"/>
              </w:rPr>
            </w:pPr>
            <w:r w:rsidRPr="009C48DA">
              <w:rPr>
                <w:rFonts w:eastAsia="Times New Roman"/>
                <w:color w:val="000000"/>
                <w:sz w:val="16"/>
                <w:lang w:val="en-GB"/>
              </w:rPr>
              <w:t>Fair value remeasurement of investments</w:t>
            </w:r>
          </w:p>
        </w:tc>
        <w:tc>
          <w:tcPr>
            <w:tcW w:w="1154" w:type="dxa"/>
            <w:gridSpan w:val="2"/>
            <w:vAlign w:val="bottom"/>
          </w:tcPr>
          <w:p w:rsidRPr="009C48DA" w:rsidR="00661519" w:rsidP="00661519" w:rsidRDefault="00661519" w14:paraId="0575B523"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25,343</w:t>
            </w:r>
          </w:p>
        </w:tc>
        <w:tc>
          <w:tcPr>
            <w:tcW w:w="1130" w:type="dxa"/>
            <w:vAlign w:val="bottom"/>
          </w:tcPr>
          <w:p w:rsidRPr="009C48DA" w:rsidR="00661519" w:rsidP="00661519" w:rsidRDefault="00661519" w14:paraId="0FB2A05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4,054</w:t>
            </w:r>
          </w:p>
        </w:tc>
        <w:tc>
          <w:tcPr>
            <w:tcW w:w="1079" w:type="dxa"/>
            <w:vAlign w:val="bottom"/>
          </w:tcPr>
          <w:p w:rsidRPr="009C48DA" w:rsidR="00661519" w:rsidP="00661519" w:rsidRDefault="00661519" w14:paraId="52BCD11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78" w:type="dxa"/>
            <w:vAlign w:val="bottom"/>
          </w:tcPr>
          <w:p w:rsidRPr="009C48DA" w:rsidR="00661519" w:rsidP="00661519" w:rsidRDefault="00661519" w14:paraId="30AD2EE7"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29,397</w:t>
            </w:r>
          </w:p>
        </w:tc>
        <w:tc>
          <w:tcPr>
            <w:tcW w:w="1075" w:type="dxa"/>
            <w:vAlign w:val="bottom"/>
          </w:tcPr>
          <w:p w:rsidRPr="009C48DA" w:rsidR="00661519" w:rsidP="00661519" w:rsidRDefault="00661519" w14:paraId="7EED107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83" w:type="dxa"/>
            <w:vAlign w:val="bottom"/>
          </w:tcPr>
          <w:p w:rsidRPr="009C48DA" w:rsidR="00661519" w:rsidP="00661519" w:rsidRDefault="00661519" w14:paraId="679D4FB6"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29,397</w:t>
            </w:r>
          </w:p>
        </w:tc>
      </w:tr>
      <w:tr w:rsidRPr="009C48DA" w:rsidR="00661519" w:rsidTr="00661519" w14:paraId="207A29CE" w14:textId="77777777">
        <w:trPr>
          <w:trHeight w:val="315"/>
        </w:trPr>
        <w:tc>
          <w:tcPr>
            <w:tcW w:w="2771" w:type="dxa"/>
            <w:gridSpan w:val="2"/>
            <w:vAlign w:val="bottom"/>
          </w:tcPr>
          <w:p w:rsidRPr="009C48DA" w:rsidR="00661519" w:rsidP="00661519" w:rsidRDefault="00661519" w14:paraId="61E910FA" w14:textId="77777777">
            <w:pPr>
              <w:spacing w:before="60"/>
              <w:textAlignment w:val="baseline"/>
              <w:rPr>
                <w:rFonts w:eastAsia="Times New Roman"/>
                <w:color w:val="000000"/>
                <w:sz w:val="16"/>
                <w:lang w:val="en-GB"/>
              </w:rPr>
            </w:pPr>
            <w:r w:rsidRPr="009C48DA">
              <w:rPr>
                <w:rFonts w:eastAsia="Times New Roman"/>
                <w:color w:val="000000"/>
                <w:sz w:val="16"/>
                <w:lang w:val="en-GB"/>
              </w:rPr>
              <w:t>Other operating income</w:t>
            </w:r>
          </w:p>
        </w:tc>
        <w:tc>
          <w:tcPr>
            <w:tcW w:w="1077" w:type="dxa"/>
          </w:tcPr>
          <w:p w:rsidRPr="009C48DA" w:rsidR="00661519" w:rsidP="00661519" w:rsidRDefault="00661519" w14:paraId="453D30B2"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220</w:t>
            </w:r>
          </w:p>
        </w:tc>
        <w:tc>
          <w:tcPr>
            <w:tcW w:w="1130" w:type="dxa"/>
          </w:tcPr>
          <w:p w:rsidRPr="009C48DA" w:rsidR="00661519" w:rsidP="00661519" w:rsidRDefault="00661519" w14:paraId="5781E964"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79" w:type="dxa"/>
          </w:tcPr>
          <w:p w:rsidRPr="009C48DA" w:rsidR="00661519" w:rsidP="00661519" w:rsidRDefault="00661519" w14:paraId="2DE37B2B"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78" w:type="dxa"/>
          </w:tcPr>
          <w:p w:rsidRPr="009C48DA" w:rsidR="00661519" w:rsidP="00661519" w:rsidRDefault="00661519" w14:paraId="0AF8F24C"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220</w:t>
            </w:r>
          </w:p>
        </w:tc>
        <w:tc>
          <w:tcPr>
            <w:tcW w:w="1075" w:type="dxa"/>
          </w:tcPr>
          <w:p w:rsidRPr="009C48DA" w:rsidR="00661519" w:rsidP="00661519" w:rsidRDefault="00661519" w14:paraId="0B7400A4"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653</w:t>
            </w:r>
          </w:p>
        </w:tc>
        <w:tc>
          <w:tcPr>
            <w:tcW w:w="1083" w:type="dxa"/>
          </w:tcPr>
          <w:p w:rsidRPr="009C48DA" w:rsidR="00661519" w:rsidP="00661519" w:rsidRDefault="00661519" w14:paraId="7C493B70"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873</w:t>
            </w:r>
          </w:p>
        </w:tc>
      </w:tr>
      <w:tr w:rsidRPr="009C48DA" w:rsidR="00661519" w:rsidTr="00661519" w14:paraId="6B30F57C" w14:textId="77777777">
        <w:trPr>
          <w:trHeight w:val="264"/>
        </w:trPr>
        <w:tc>
          <w:tcPr>
            <w:tcW w:w="2771" w:type="dxa"/>
            <w:gridSpan w:val="2"/>
            <w:vAlign w:val="bottom"/>
          </w:tcPr>
          <w:p w:rsidRPr="009C48DA" w:rsidR="00661519" w:rsidP="00661519" w:rsidRDefault="00661519" w14:paraId="09A28FE4" w14:textId="77777777">
            <w:pPr>
              <w:spacing w:before="60"/>
              <w:textAlignment w:val="baseline"/>
              <w:rPr>
                <w:rFonts w:eastAsia="Times New Roman"/>
                <w:color w:val="000000"/>
                <w:sz w:val="16"/>
                <w:lang w:val="en-GB"/>
              </w:rPr>
            </w:pPr>
            <w:r w:rsidRPr="009C48DA">
              <w:rPr>
                <w:rFonts w:eastAsia="Times New Roman"/>
                <w:color w:val="000000"/>
                <w:sz w:val="16"/>
                <w:lang w:val="en-GB"/>
              </w:rPr>
              <w:t>Total operating income</w:t>
            </w:r>
          </w:p>
        </w:tc>
        <w:tc>
          <w:tcPr>
            <w:tcW w:w="1077" w:type="dxa"/>
          </w:tcPr>
          <w:p w:rsidRPr="009C48DA" w:rsidR="00661519" w:rsidP="00661519" w:rsidRDefault="00661519" w14:paraId="3C76DF51"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175,058</w:t>
            </w:r>
          </w:p>
        </w:tc>
        <w:tc>
          <w:tcPr>
            <w:tcW w:w="1130" w:type="dxa"/>
          </w:tcPr>
          <w:p w:rsidRPr="009C48DA" w:rsidR="00661519" w:rsidP="00661519" w:rsidRDefault="00661519" w14:paraId="3761F6D3"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14,285</w:t>
            </w:r>
          </w:p>
        </w:tc>
        <w:tc>
          <w:tcPr>
            <w:tcW w:w="1079" w:type="dxa"/>
          </w:tcPr>
          <w:p w:rsidRPr="009C48DA" w:rsidR="00661519" w:rsidP="00661519" w:rsidRDefault="00661519" w14:paraId="4446D2A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78" w:type="dxa"/>
          </w:tcPr>
          <w:p w:rsidRPr="009C48DA" w:rsidR="00661519" w:rsidP="00661519" w:rsidRDefault="00661519" w14:paraId="6C0CD80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189,343</w:t>
            </w:r>
          </w:p>
        </w:tc>
        <w:tc>
          <w:tcPr>
            <w:tcW w:w="1075" w:type="dxa"/>
          </w:tcPr>
          <w:p w:rsidRPr="009C48DA" w:rsidR="00661519" w:rsidP="00661519" w:rsidRDefault="00661519" w14:paraId="43C8E361"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2,468</w:t>
            </w:r>
          </w:p>
        </w:tc>
        <w:tc>
          <w:tcPr>
            <w:tcW w:w="1083" w:type="dxa"/>
          </w:tcPr>
          <w:p w:rsidRPr="009C48DA" w:rsidR="00661519" w:rsidP="00661519" w:rsidRDefault="00661519" w14:paraId="0CC7E1E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191,811</w:t>
            </w:r>
          </w:p>
        </w:tc>
      </w:tr>
      <w:tr w:rsidRPr="009C48DA" w:rsidR="00661519" w:rsidTr="00661519" w14:paraId="036B820B" w14:textId="77777777">
        <w:trPr>
          <w:trHeight w:val="264"/>
        </w:trPr>
        <w:tc>
          <w:tcPr>
            <w:tcW w:w="2771" w:type="dxa"/>
            <w:gridSpan w:val="2"/>
            <w:vAlign w:val="bottom"/>
          </w:tcPr>
          <w:p w:rsidRPr="009C48DA" w:rsidR="00661519" w:rsidP="00661519" w:rsidRDefault="00661519" w14:paraId="50468F35" w14:textId="77777777">
            <w:pPr>
              <w:spacing w:before="60"/>
              <w:textAlignment w:val="baseline"/>
              <w:rPr>
                <w:rFonts w:eastAsia="Times New Roman"/>
                <w:color w:val="000000"/>
                <w:sz w:val="16"/>
                <w:lang w:val="en-GB"/>
              </w:rPr>
            </w:pPr>
            <w:r w:rsidRPr="009C48DA">
              <w:rPr>
                <w:rFonts w:eastAsia="Times New Roman"/>
                <w:color w:val="000000"/>
                <w:sz w:val="16"/>
                <w:lang w:val="en-GB"/>
              </w:rPr>
              <w:t>Personnel expenses</w:t>
            </w:r>
          </w:p>
        </w:tc>
        <w:tc>
          <w:tcPr>
            <w:tcW w:w="1077" w:type="dxa"/>
          </w:tcPr>
          <w:p w:rsidRPr="009C48DA" w:rsidR="00661519" w:rsidP="00661519" w:rsidRDefault="00661519" w14:paraId="3DF0B327"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(55,515)</w:t>
            </w:r>
          </w:p>
        </w:tc>
        <w:tc>
          <w:tcPr>
            <w:tcW w:w="1130" w:type="dxa"/>
          </w:tcPr>
          <w:p w:rsidRPr="009C48DA" w:rsidR="00661519" w:rsidP="00661519" w:rsidRDefault="00661519" w14:paraId="5615C34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(11,898)</w:t>
            </w:r>
          </w:p>
        </w:tc>
        <w:tc>
          <w:tcPr>
            <w:tcW w:w="1079" w:type="dxa"/>
          </w:tcPr>
          <w:p w:rsidRPr="009C48DA" w:rsidR="00661519" w:rsidP="00661519" w:rsidRDefault="00661519" w14:paraId="1BF121AF"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(27,673)</w:t>
            </w:r>
          </w:p>
        </w:tc>
        <w:tc>
          <w:tcPr>
            <w:tcW w:w="1078" w:type="dxa"/>
          </w:tcPr>
          <w:p w:rsidRPr="009C48DA" w:rsidR="00661519" w:rsidP="00661519" w:rsidRDefault="00661519" w14:paraId="0CA5F478"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(95,086)</w:t>
            </w:r>
          </w:p>
        </w:tc>
        <w:tc>
          <w:tcPr>
            <w:tcW w:w="1075" w:type="dxa"/>
          </w:tcPr>
          <w:p w:rsidRPr="009C48DA" w:rsidR="00661519" w:rsidP="00661519" w:rsidRDefault="00661519" w14:paraId="55A0546B"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(1,174)</w:t>
            </w:r>
          </w:p>
        </w:tc>
        <w:tc>
          <w:tcPr>
            <w:tcW w:w="1083" w:type="dxa"/>
          </w:tcPr>
          <w:p w:rsidRPr="009C48DA" w:rsidR="00661519" w:rsidP="00661519" w:rsidRDefault="00661519" w14:paraId="02D368E3"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(96,260)</w:t>
            </w:r>
          </w:p>
        </w:tc>
      </w:tr>
      <w:tr w:rsidRPr="009C48DA" w:rsidR="00661519" w:rsidTr="00661519" w14:paraId="2A563039" w14:textId="77777777">
        <w:trPr>
          <w:trHeight w:val="264"/>
        </w:trPr>
        <w:tc>
          <w:tcPr>
            <w:tcW w:w="2771" w:type="dxa"/>
            <w:gridSpan w:val="2"/>
            <w:vAlign w:val="bottom"/>
          </w:tcPr>
          <w:p w:rsidRPr="009C48DA" w:rsidR="00661519" w:rsidP="00661519" w:rsidRDefault="00661519" w14:paraId="4E688E9A" w14:textId="77777777">
            <w:pPr>
              <w:spacing w:before="60"/>
              <w:textAlignment w:val="baseline"/>
              <w:rPr>
                <w:rFonts w:eastAsia="Times New Roman"/>
                <w:color w:val="000000"/>
                <w:sz w:val="16"/>
                <w:lang w:val="en-GB"/>
              </w:rPr>
            </w:pPr>
            <w:r w:rsidRPr="009C48DA">
              <w:rPr>
                <w:rFonts w:eastAsia="Times New Roman"/>
                <w:color w:val="000000"/>
                <w:sz w:val="16"/>
                <w:lang w:val="en-GB"/>
              </w:rPr>
              <w:t>Other operating expenses</w:t>
            </w:r>
          </w:p>
        </w:tc>
        <w:tc>
          <w:tcPr>
            <w:tcW w:w="1077" w:type="dxa"/>
          </w:tcPr>
          <w:p w:rsidRPr="009C48DA" w:rsidR="00661519" w:rsidP="00661519" w:rsidRDefault="00661519" w14:paraId="1C339A08"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(11,073)</w:t>
            </w:r>
          </w:p>
        </w:tc>
        <w:tc>
          <w:tcPr>
            <w:tcW w:w="1130" w:type="dxa"/>
          </w:tcPr>
          <w:p w:rsidRPr="009C48DA" w:rsidR="00661519" w:rsidP="00661519" w:rsidRDefault="00661519" w14:paraId="02A8E546"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(2,527)</w:t>
            </w:r>
          </w:p>
        </w:tc>
        <w:tc>
          <w:tcPr>
            <w:tcW w:w="1079" w:type="dxa"/>
          </w:tcPr>
          <w:p w:rsidRPr="009C48DA" w:rsidR="00661519" w:rsidP="00661519" w:rsidRDefault="00661519" w14:paraId="24706308"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(15,228)</w:t>
            </w:r>
          </w:p>
        </w:tc>
        <w:tc>
          <w:tcPr>
            <w:tcW w:w="1078" w:type="dxa"/>
          </w:tcPr>
          <w:p w:rsidRPr="009C48DA" w:rsidR="00661519" w:rsidP="00661519" w:rsidRDefault="00661519" w14:paraId="0693F10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(28,828)</w:t>
            </w:r>
          </w:p>
        </w:tc>
        <w:tc>
          <w:tcPr>
            <w:tcW w:w="1075" w:type="dxa"/>
          </w:tcPr>
          <w:p w:rsidRPr="009C48DA" w:rsidR="00661519" w:rsidP="00661519" w:rsidRDefault="00661519" w14:paraId="7491FF64"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(419)</w:t>
            </w:r>
          </w:p>
        </w:tc>
        <w:tc>
          <w:tcPr>
            <w:tcW w:w="1083" w:type="dxa"/>
          </w:tcPr>
          <w:p w:rsidRPr="009C48DA" w:rsidR="00661519" w:rsidP="00661519" w:rsidRDefault="00661519" w14:paraId="1FFF9079"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(29,247)</w:t>
            </w:r>
          </w:p>
        </w:tc>
      </w:tr>
      <w:tr w:rsidRPr="009C48DA" w:rsidR="00661519" w:rsidTr="00661519" w14:paraId="66A63A1E" w14:textId="77777777">
        <w:trPr>
          <w:trHeight w:val="325"/>
        </w:trPr>
        <w:tc>
          <w:tcPr>
            <w:tcW w:w="2771" w:type="dxa"/>
            <w:gridSpan w:val="2"/>
            <w:vAlign w:val="bottom"/>
          </w:tcPr>
          <w:p w:rsidRPr="009C48DA" w:rsidR="00661519" w:rsidP="00661519" w:rsidRDefault="00661519" w14:paraId="4784D25F" w14:textId="77777777">
            <w:pPr>
              <w:spacing w:before="60"/>
              <w:textAlignment w:val="baseline"/>
              <w:rPr>
                <w:rFonts w:eastAsia="Times New Roman"/>
                <w:b/>
                <w:color w:val="000000"/>
                <w:sz w:val="16"/>
                <w:lang w:val="en-GB"/>
              </w:rPr>
            </w:pPr>
            <w:r w:rsidRPr="009C48DA">
              <w:rPr>
                <w:rFonts w:eastAsia="Times New Roman"/>
                <w:color w:val="000000"/>
                <w:sz w:val="16"/>
                <w:lang w:val="en-GB"/>
              </w:rPr>
              <w:t>Foreign exchange</w:t>
            </w:r>
          </w:p>
        </w:tc>
        <w:tc>
          <w:tcPr>
            <w:tcW w:w="1077" w:type="dxa"/>
          </w:tcPr>
          <w:p w:rsidRPr="009C48DA" w:rsidR="00661519" w:rsidP="00661519" w:rsidRDefault="00661519" w14:paraId="4D877448"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130" w:type="dxa"/>
          </w:tcPr>
          <w:p w:rsidRPr="009C48DA" w:rsidR="00661519" w:rsidP="00661519" w:rsidRDefault="00661519" w14:paraId="6084CBF7"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79" w:type="dxa"/>
          </w:tcPr>
          <w:p w:rsidRPr="009C48DA" w:rsidR="00661519" w:rsidP="00661519" w:rsidRDefault="00661519" w14:paraId="6191AC74"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(229)</w:t>
            </w:r>
          </w:p>
        </w:tc>
        <w:tc>
          <w:tcPr>
            <w:tcW w:w="1078" w:type="dxa"/>
          </w:tcPr>
          <w:p w:rsidRPr="009C48DA" w:rsidR="00661519" w:rsidP="00661519" w:rsidRDefault="00661519" w14:paraId="2C91C34C"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(229)</w:t>
            </w:r>
          </w:p>
        </w:tc>
        <w:tc>
          <w:tcPr>
            <w:tcW w:w="1075" w:type="dxa"/>
          </w:tcPr>
          <w:p w:rsidRPr="009C48DA" w:rsidR="00661519" w:rsidP="00661519" w:rsidRDefault="00661519" w14:paraId="6EFDF653"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83" w:type="dxa"/>
          </w:tcPr>
          <w:p w:rsidRPr="009C48DA" w:rsidR="00661519" w:rsidP="00661519" w:rsidRDefault="00661519" w14:paraId="1FDFC571"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(229)</w:t>
            </w:r>
          </w:p>
        </w:tc>
      </w:tr>
      <w:tr w:rsidRPr="009C48DA" w:rsidR="00661519" w:rsidTr="00661519" w14:paraId="41118FD6" w14:textId="77777777">
        <w:trPr>
          <w:trHeight w:val="528"/>
        </w:trPr>
        <w:tc>
          <w:tcPr>
            <w:tcW w:w="2771" w:type="dxa"/>
            <w:gridSpan w:val="2"/>
            <w:vAlign w:val="bottom"/>
          </w:tcPr>
          <w:p w:rsidRPr="009C48DA" w:rsidR="00661519" w:rsidP="00661519" w:rsidRDefault="00661519" w14:paraId="12108856" w14:textId="77777777">
            <w:pPr>
              <w:spacing w:before="60"/>
              <w:textAlignment w:val="baseline"/>
              <w:rPr>
                <w:rFonts w:eastAsia="Times New Roman"/>
                <w:b/>
                <w:color w:val="000000"/>
                <w:sz w:val="16"/>
                <w:lang w:val="en-GB"/>
              </w:rPr>
            </w:pPr>
            <w:r w:rsidRPr="009C48DA">
              <w:rPr>
                <w:rFonts w:eastAsia="Times New Roman"/>
                <w:b/>
                <w:color w:val="000000"/>
                <w:sz w:val="16"/>
                <w:lang w:val="en-GB"/>
              </w:rPr>
              <w:t>EBITDA (excluding exceptional</w:t>
            </w:r>
          </w:p>
          <w:p w:rsidRPr="009C48DA" w:rsidR="00661519" w:rsidP="00661519" w:rsidRDefault="00661519" w14:paraId="1F4B1340" w14:textId="77777777">
            <w:pPr>
              <w:spacing w:before="60"/>
              <w:textAlignment w:val="baseline"/>
              <w:rPr>
                <w:rFonts w:eastAsia="Times New Roman"/>
                <w:b/>
                <w:color w:val="000000"/>
                <w:sz w:val="16"/>
                <w:lang w:val="en-GB"/>
              </w:rPr>
            </w:pPr>
            <w:r w:rsidRPr="009C48DA">
              <w:rPr>
                <w:rFonts w:eastAsia="Times New Roman"/>
                <w:b/>
                <w:color w:val="000000"/>
                <w:sz w:val="16"/>
                <w:lang w:val="en-GB"/>
              </w:rPr>
              <w:t>costs)</w:t>
            </w:r>
          </w:p>
        </w:tc>
        <w:tc>
          <w:tcPr>
            <w:tcW w:w="1077" w:type="dxa"/>
            <w:vAlign w:val="bottom"/>
          </w:tcPr>
          <w:p w:rsidRPr="009C48DA" w:rsidR="00661519" w:rsidP="00661519" w:rsidRDefault="00661519" w14:paraId="1E2E4715"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108,470</w:t>
            </w:r>
          </w:p>
        </w:tc>
        <w:tc>
          <w:tcPr>
            <w:tcW w:w="1130" w:type="dxa"/>
            <w:vAlign w:val="bottom"/>
          </w:tcPr>
          <w:p w:rsidRPr="009C48DA" w:rsidR="00661519" w:rsidP="00661519" w:rsidRDefault="00661519" w14:paraId="7069B962"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(140)</w:t>
            </w:r>
          </w:p>
        </w:tc>
        <w:tc>
          <w:tcPr>
            <w:tcW w:w="1079" w:type="dxa"/>
            <w:vAlign w:val="bottom"/>
          </w:tcPr>
          <w:p w:rsidRPr="009C48DA" w:rsidR="00661519" w:rsidP="00661519" w:rsidRDefault="00661519" w14:paraId="22F9CCC1"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(43,130)</w:t>
            </w:r>
          </w:p>
        </w:tc>
        <w:tc>
          <w:tcPr>
            <w:tcW w:w="1078" w:type="dxa"/>
            <w:vAlign w:val="bottom"/>
          </w:tcPr>
          <w:p w:rsidRPr="009C48DA" w:rsidR="00661519" w:rsidP="00661519" w:rsidRDefault="00661519" w14:paraId="6430CE2B"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65,200</w:t>
            </w:r>
          </w:p>
        </w:tc>
        <w:tc>
          <w:tcPr>
            <w:tcW w:w="1075" w:type="dxa"/>
            <w:vAlign w:val="bottom"/>
          </w:tcPr>
          <w:p w:rsidRPr="009C48DA" w:rsidR="00661519" w:rsidP="00661519" w:rsidRDefault="00661519" w14:paraId="3F624174"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875</w:t>
            </w:r>
          </w:p>
        </w:tc>
        <w:tc>
          <w:tcPr>
            <w:tcW w:w="1083" w:type="dxa"/>
            <w:vAlign w:val="bottom"/>
          </w:tcPr>
          <w:p w:rsidRPr="009C48DA" w:rsidR="00661519" w:rsidP="00661519" w:rsidRDefault="00661519" w14:paraId="3775E651"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66,075</w:t>
            </w:r>
          </w:p>
        </w:tc>
      </w:tr>
      <w:tr w:rsidRPr="009C48DA" w:rsidR="00661519" w:rsidTr="00661519" w14:paraId="1C5B7BDC" w14:textId="77777777">
        <w:trPr>
          <w:trHeight w:val="264"/>
        </w:trPr>
        <w:tc>
          <w:tcPr>
            <w:tcW w:w="2771" w:type="dxa"/>
            <w:gridSpan w:val="2"/>
            <w:vAlign w:val="bottom"/>
          </w:tcPr>
          <w:p w:rsidRPr="009C48DA" w:rsidR="00661519" w:rsidP="00661519" w:rsidRDefault="00661519" w14:paraId="59C7D97C" w14:textId="77777777">
            <w:pPr>
              <w:tabs>
                <w:tab w:val="left" w:pos="3528"/>
                <w:tab w:val="left" w:pos="5112"/>
                <w:tab w:val="left" w:pos="6696"/>
                <w:tab w:val="left" w:pos="8136"/>
              </w:tabs>
              <w:spacing w:before="60"/>
              <w:ind w:right="504"/>
              <w:textAlignment w:val="baseline"/>
              <w:rPr>
                <w:rFonts w:eastAsia="Times New Roman"/>
                <w:color w:val="000000"/>
                <w:sz w:val="16"/>
                <w:lang w:val="en-GB"/>
              </w:rPr>
            </w:pPr>
            <w:r w:rsidRPr="009C48DA">
              <w:rPr>
                <w:rFonts w:eastAsia="Times New Roman"/>
                <w:color w:val="000000"/>
                <w:sz w:val="16"/>
                <w:lang w:val="en-GB"/>
              </w:rPr>
              <w:t>Exceptional costs</w:t>
            </w:r>
          </w:p>
        </w:tc>
        <w:tc>
          <w:tcPr>
            <w:tcW w:w="1077" w:type="dxa"/>
          </w:tcPr>
          <w:p w:rsidRPr="009C48DA" w:rsidR="00661519" w:rsidP="00661519" w:rsidRDefault="00661519" w14:paraId="62EF5498" w14:textId="77777777">
            <w:pPr>
              <w:spacing w:before="60"/>
              <w:ind w:right="109"/>
              <w:jc w:val="right"/>
              <w:textAlignment w:val="baseline"/>
              <w:rPr>
                <w:rFonts w:eastAsia="Times New Roman"/>
                <w:color w:val="000000"/>
                <w:sz w:val="16"/>
                <w:szCs w:val="16"/>
                <w:lang w:val="en-GB"/>
              </w:rPr>
            </w:pPr>
          </w:p>
        </w:tc>
        <w:tc>
          <w:tcPr>
            <w:tcW w:w="1130" w:type="dxa"/>
          </w:tcPr>
          <w:p w:rsidRPr="009C48DA" w:rsidR="00661519" w:rsidP="00661519" w:rsidRDefault="00661519" w14:paraId="128D304D" w14:textId="77777777">
            <w:pPr>
              <w:spacing w:before="60"/>
              <w:ind w:right="109"/>
              <w:jc w:val="right"/>
              <w:textAlignment w:val="baseline"/>
              <w:rPr>
                <w:rFonts w:eastAsia="Times New Roman"/>
                <w:color w:val="000000"/>
                <w:sz w:val="16"/>
                <w:szCs w:val="16"/>
                <w:lang w:val="en-GB"/>
              </w:rPr>
            </w:pPr>
          </w:p>
        </w:tc>
        <w:tc>
          <w:tcPr>
            <w:tcW w:w="1079" w:type="dxa"/>
          </w:tcPr>
          <w:p w:rsidRPr="009C48DA" w:rsidR="00661519" w:rsidP="00661519" w:rsidRDefault="00661519" w14:paraId="4D82AEB9" w14:textId="77777777">
            <w:pPr>
              <w:spacing w:before="60"/>
              <w:ind w:right="109"/>
              <w:jc w:val="right"/>
              <w:textAlignment w:val="baseline"/>
              <w:rPr>
                <w:rFonts w:eastAsia="Times New Roman"/>
                <w:color w:val="000000"/>
                <w:sz w:val="16"/>
                <w:szCs w:val="16"/>
                <w:lang w:val="en-GB"/>
              </w:rPr>
            </w:pPr>
          </w:p>
        </w:tc>
        <w:tc>
          <w:tcPr>
            <w:tcW w:w="1078" w:type="dxa"/>
          </w:tcPr>
          <w:p w:rsidRPr="009C48DA" w:rsidR="00661519" w:rsidP="00661519" w:rsidRDefault="00661519" w14:paraId="2975C441" w14:textId="77777777">
            <w:pPr>
              <w:spacing w:before="60"/>
              <w:ind w:right="109"/>
              <w:jc w:val="right"/>
              <w:textAlignment w:val="baseline"/>
              <w:rPr>
                <w:rFonts w:eastAsia="Times New Roman"/>
                <w:color w:val="000000"/>
                <w:sz w:val="16"/>
                <w:szCs w:val="16"/>
                <w:lang w:val="en-GB"/>
              </w:rPr>
            </w:pPr>
          </w:p>
        </w:tc>
        <w:tc>
          <w:tcPr>
            <w:tcW w:w="1075" w:type="dxa"/>
          </w:tcPr>
          <w:p w:rsidRPr="009C48DA" w:rsidR="00661519" w:rsidP="00661519" w:rsidRDefault="00661519" w14:paraId="25F6AB4F" w14:textId="77777777">
            <w:pPr>
              <w:spacing w:before="60"/>
              <w:ind w:right="109"/>
              <w:jc w:val="right"/>
              <w:textAlignment w:val="baseline"/>
              <w:rPr>
                <w:rFonts w:eastAsia="Times New Roman"/>
                <w:color w:val="000000"/>
                <w:sz w:val="16"/>
                <w:szCs w:val="16"/>
                <w:lang w:val="en-GB"/>
              </w:rPr>
            </w:pPr>
          </w:p>
        </w:tc>
        <w:tc>
          <w:tcPr>
            <w:tcW w:w="1083" w:type="dxa"/>
          </w:tcPr>
          <w:p w:rsidRPr="009C48DA" w:rsidR="00661519" w:rsidP="00661519" w:rsidRDefault="00661519" w14:paraId="0316CA4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(7,377)</w:t>
            </w:r>
          </w:p>
        </w:tc>
      </w:tr>
      <w:tr w:rsidRPr="009C48DA" w:rsidR="00661519" w:rsidTr="00661519" w14:paraId="1C18642F" w14:textId="77777777">
        <w:trPr>
          <w:trHeight w:val="294"/>
        </w:trPr>
        <w:tc>
          <w:tcPr>
            <w:tcW w:w="2771" w:type="dxa"/>
            <w:gridSpan w:val="2"/>
            <w:vAlign w:val="bottom"/>
          </w:tcPr>
          <w:p w:rsidRPr="009C48DA" w:rsidR="00661519" w:rsidP="00661519" w:rsidRDefault="00661519" w14:paraId="7CAB6DE1" w14:textId="77777777">
            <w:pPr>
              <w:spacing w:before="60"/>
              <w:textAlignment w:val="baseline"/>
              <w:rPr>
                <w:rFonts w:eastAsia="Times New Roman"/>
                <w:b/>
                <w:color w:val="000000"/>
                <w:sz w:val="16"/>
                <w:lang w:val="en-GB"/>
              </w:rPr>
            </w:pPr>
            <w:r w:rsidRPr="009C48DA">
              <w:rPr>
                <w:rFonts w:eastAsia="Times New Roman"/>
                <w:b/>
                <w:color w:val="000000"/>
                <w:sz w:val="16"/>
                <w:lang w:val="en-GB"/>
              </w:rPr>
              <w:t>EBITDA (including exceptional costs)</w:t>
            </w:r>
          </w:p>
        </w:tc>
        <w:tc>
          <w:tcPr>
            <w:tcW w:w="1077" w:type="dxa"/>
            <w:vAlign w:val="bottom"/>
          </w:tcPr>
          <w:p w:rsidRPr="009C48DA" w:rsidR="00661519" w:rsidP="00661519" w:rsidRDefault="00661519" w14:paraId="57A3421B" w14:textId="77777777">
            <w:pPr>
              <w:spacing w:before="60"/>
              <w:ind w:right="109"/>
              <w:jc w:val="right"/>
              <w:textAlignment w:val="baseline"/>
              <w:rPr>
                <w:rFonts w:eastAsia="Times New Roman"/>
                <w:color w:val="000000"/>
                <w:sz w:val="16"/>
                <w:szCs w:val="16"/>
                <w:lang w:val="en-GB"/>
              </w:rPr>
            </w:pPr>
          </w:p>
        </w:tc>
        <w:tc>
          <w:tcPr>
            <w:tcW w:w="1130" w:type="dxa"/>
            <w:vAlign w:val="bottom"/>
          </w:tcPr>
          <w:p w:rsidRPr="009C48DA" w:rsidR="00661519" w:rsidP="00661519" w:rsidRDefault="00661519" w14:paraId="2D2BD8E8" w14:textId="77777777">
            <w:pPr>
              <w:spacing w:before="60"/>
              <w:ind w:right="109"/>
              <w:jc w:val="right"/>
              <w:textAlignment w:val="baseline"/>
              <w:rPr>
                <w:rFonts w:eastAsia="Times New Roman"/>
                <w:color w:val="000000"/>
                <w:sz w:val="16"/>
                <w:szCs w:val="16"/>
                <w:lang w:val="en-GB"/>
              </w:rPr>
            </w:pPr>
          </w:p>
        </w:tc>
        <w:tc>
          <w:tcPr>
            <w:tcW w:w="1079" w:type="dxa"/>
            <w:vAlign w:val="bottom"/>
          </w:tcPr>
          <w:p w:rsidRPr="009C48DA" w:rsidR="00661519" w:rsidP="00661519" w:rsidRDefault="00661519" w14:paraId="062D009F" w14:textId="77777777">
            <w:pPr>
              <w:spacing w:before="60"/>
              <w:ind w:right="109"/>
              <w:jc w:val="right"/>
              <w:textAlignment w:val="baseline"/>
              <w:rPr>
                <w:rFonts w:eastAsia="Times New Roman"/>
                <w:color w:val="000000"/>
                <w:sz w:val="16"/>
                <w:szCs w:val="16"/>
                <w:lang w:val="en-GB"/>
              </w:rPr>
            </w:pPr>
          </w:p>
        </w:tc>
        <w:tc>
          <w:tcPr>
            <w:tcW w:w="1078" w:type="dxa"/>
            <w:vAlign w:val="bottom"/>
          </w:tcPr>
          <w:p w:rsidRPr="009C48DA" w:rsidR="00661519" w:rsidP="00661519" w:rsidRDefault="00661519" w14:paraId="077D7A0E" w14:textId="77777777">
            <w:pPr>
              <w:spacing w:before="60"/>
              <w:ind w:right="109"/>
              <w:jc w:val="right"/>
              <w:textAlignment w:val="baseline"/>
              <w:rPr>
                <w:rFonts w:eastAsia="Times New Roman"/>
                <w:color w:val="000000"/>
                <w:sz w:val="16"/>
                <w:szCs w:val="16"/>
                <w:lang w:val="en-GB"/>
              </w:rPr>
            </w:pPr>
          </w:p>
        </w:tc>
        <w:tc>
          <w:tcPr>
            <w:tcW w:w="1075" w:type="dxa"/>
            <w:vAlign w:val="bottom"/>
          </w:tcPr>
          <w:p w:rsidRPr="009C48DA" w:rsidR="00661519" w:rsidP="00661519" w:rsidRDefault="00661519" w14:paraId="73C01797" w14:textId="77777777">
            <w:pPr>
              <w:spacing w:before="60"/>
              <w:ind w:right="109"/>
              <w:jc w:val="right"/>
              <w:textAlignment w:val="baseline"/>
              <w:rPr>
                <w:rFonts w:eastAsia="Times New Roman"/>
                <w:color w:val="000000"/>
                <w:sz w:val="16"/>
                <w:szCs w:val="16"/>
                <w:lang w:val="en-GB"/>
              </w:rPr>
            </w:pPr>
          </w:p>
        </w:tc>
        <w:tc>
          <w:tcPr>
            <w:tcW w:w="1083" w:type="dxa"/>
            <w:vAlign w:val="bottom"/>
          </w:tcPr>
          <w:p w:rsidRPr="009C48DA" w:rsidR="00661519" w:rsidP="00661519" w:rsidRDefault="00661519" w14:paraId="2B55F803" w14:textId="77777777">
            <w:pPr>
              <w:pBdr>
                <w:bottom w:val="single" w:color="auto" w:sz="4"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58,698</w:t>
            </w:r>
          </w:p>
        </w:tc>
      </w:tr>
      <w:tr w:rsidRPr="009C48DA" w:rsidR="00661519" w:rsidTr="00661519" w14:paraId="6F83AF32" w14:textId="77777777">
        <w:trPr>
          <w:trHeight w:val="264"/>
        </w:trPr>
        <w:tc>
          <w:tcPr>
            <w:tcW w:w="2771" w:type="dxa"/>
            <w:gridSpan w:val="2"/>
            <w:vAlign w:val="bottom"/>
          </w:tcPr>
          <w:p w:rsidRPr="009C48DA" w:rsidR="00661519" w:rsidP="00661519" w:rsidRDefault="00661519" w14:paraId="6EC8116C" w14:textId="77777777">
            <w:pPr>
              <w:spacing w:before="60"/>
              <w:textAlignment w:val="baseline"/>
              <w:rPr>
                <w:rFonts w:eastAsia="Times New Roman"/>
                <w:color w:val="000000"/>
                <w:sz w:val="16"/>
                <w:lang w:val="en-GB"/>
              </w:rPr>
            </w:pPr>
            <w:r w:rsidRPr="009C48DA">
              <w:rPr>
                <w:rFonts w:eastAsia="Times New Roman"/>
                <w:color w:val="000000"/>
                <w:sz w:val="16"/>
                <w:lang w:val="en-GB"/>
              </w:rPr>
              <w:t>Depreciation and amortisation</w:t>
            </w:r>
          </w:p>
        </w:tc>
        <w:tc>
          <w:tcPr>
            <w:tcW w:w="1077" w:type="dxa"/>
            <w:vAlign w:val="bottom"/>
          </w:tcPr>
          <w:p w:rsidRPr="009C48DA" w:rsidR="00661519" w:rsidP="00661519" w:rsidRDefault="00661519" w14:paraId="0C515ED6" w14:textId="77777777">
            <w:pPr>
              <w:spacing w:before="60"/>
              <w:ind w:right="109"/>
              <w:jc w:val="right"/>
              <w:textAlignment w:val="baseline"/>
              <w:rPr>
                <w:rFonts w:eastAsia="Times New Roman"/>
                <w:color w:val="000000"/>
                <w:sz w:val="16"/>
                <w:szCs w:val="16"/>
                <w:lang w:val="en-GB"/>
              </w:rPr>
            </w:pPr>
          </w:p>
        </w:tc>
        <w:tc>
          <w:tcPr>
            <w:tcW w:w="1130" w:type="dxa"/>
            <w:vAlign w:val="bottom"/>
          </w:tcPr>
          <w:p w:rsidRPr="009C48DA" w:rsidR="00661519" w:rsidP="00661519" w:rsidRDefault="00661519" w14:paraId="28B0024C" w14:textId="77777777">
            <w:pPr>
              <w:spacing w:before="60"/>
              <w:ind w:right="109"/>
              <w:jc w:val="right"/>
              <w:textAlignment w:val="baseline"/>
              <w:rPr>
                <w:rFonts w:eastAsia="Times New Roman"/>
                <w:color w:val="000000"/>
                <w:sz w:val="16"/>
                <w:szCs w:val="16"/>
                <w:lang w:val="en-GB"/>
              </w:rPr>
            </w:pPr>
          </w:p>
        </w:tc>
        <w:tc>
          <w:tcPr>
            <w:tcW w:w="1079" w:type="dxa"/>
            <w:vAlign w:val="bottom"/>
          </w:tcPr>
          <w:p w:rsidRPr="009C48DA" w:rsidR="00661519" w:rsidP="00661519" w:rsidRDefault="00661519" w14:paraId="0354ED30" w14:textId="77777777">
            <w:pPr>
              <w:spacing w:before="60"/>
              <w:ind w:right="109"/>
              <w:jc w:val="right"/>
              <w:textAlignment w:val="baseline"/>
              <w:rPr>
                <w:rFonts w:eastAsia="Times New Roman"/>
                <w:color w:val="000000"/>
                <w:sz w:val="16"/>
                <w:szCs w:val="16"/>
                <w:lang w:val="en-GB"/>
              </w:rPr>
            </w:pPr>
          </w:p>
        </w:tc>
        <w:tc>
          <w:tcPr>
            <w:tcW w:w="1078" w:type="dxa"/>
            <w:vAlign w:val="bottom"/>
          </w:tcPr>
          <w:p w:rsidRPr="009C48DA" w:rsidR="00661519" w:rsidP="00661519" w:rsidRDefault="00661519" w14:paraId="6C1BFA2A" w14:textId="77777777">
            <w:pPr>
              <w:spacing w:before="60"/>
              <w:ind w:right="109"/>
              <w:jc w:val="right"/>
              <w:textAlignment w:val="baseline"/>
              <w:rPr>
                <w:rFonts w:eastAsia="Times New Roman"/>
                <w:color w:val="000000"/>
                <w:sz w:val="16"/>
                <w:szCs w:val="16"/>
                <w:lang w:val="en-GB"/>
              </w:rPr>
            </w:pPr>
          </w:p>
        </w:tc>
        <w:tc>
          <w:tcPr>
            <w:tcW w:w="1075" w:type="dxa"/>
            <w:vAlign w:val="bottom"/>
          </w:tcPr>
          <w:p w:rsidRPr="009C48DA" w:rsidR="00661519" w:rsidP="00661519" w:rsidRDefault="00661519" w14:paraId="08591227" w14:textId="77777777">
            <w:pPr>
              <w:spacing w:before="60"/>
              <w:ind w:right="109"/>
              <w:jc w:val="right"/>
              <w:textAlignment w:val="baseline"/>
              <w:rPr>
                <w:rFonts w:eastAsia="Times New Roman"/>
                <w:color w:val="000000"/>
                <w:sz w:val="16"/>
                <w:szCs w:val="16"/>
                <w:lang w:val="en-GB"/>
              </w:rPr>
            </w:pPr>
          </w:p>
        </w:tc>
        <w:tc>
          <w:tcPr>
            <w:tcW w:w="1083" w:type="dxa"/>
            <w:vAlign w:val="center"/>
          </w:tcPr>
          <w:p w:rsidRPr="009C48DA" w:rsidR="00661519" w:rsidP="00661519" w:rsidRDefault="00661519" w14:paraId="5C1A142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(8,809)</w:t>
            </w:r>
          </w:p>
        </w:tc>
      </w:tr>
      <w:tr w:rsidRPr="009C48DA" w:rsidR="00661519" w:rsidTr="00661519" w14:paraId="387784C3" w14:textId="77777777">
        <w:trPr>
          <w:trHeight w:val="69"/>
        </w:trPr>
        <w:tc>
          <w:tcPr>
            <w:tcW w:w="2771" w:type="dxa"/>
            <w:gridSpan w:val="2"/>
            <w:vAlign w:val="bottom"/>
          </w:tcPr>
          <w:p w:rsidRPr="009C48DA" w:rsidR="00661519" w:rsidP="00661519" w:rsidRDefault="00661519" w14:paraId="29E5169D" w14:textId="77777777">
            <w:pPr>
              <w:spacing w:before="60"/>
              <w:textAlignment w:val="baseline"/>
              <w:rPr>
                <w:rFonts w:eastAsia="Times New Roman"/>
                <w:color w:val="000000"/>
                <w:sz w:val="16"/>
                <w:lang w:val="en-GB"/>
              </w:rPr>
            </w:pPr>
            <w:r w:rsidRPr="009C48DA">
              <w:rPr>
                <w:rFonts w:eastAsia="Times New Roman"/>
                <w:color w:val="000000"/>
                <w:sz w:val="16"/>
                <w:lang w:val="en-GB"/>
              </w:rPr>
              <w:t>Net finance income</w:t>
            </w:r>
          </w:p>
        </w:tc>
        <w:tc>
          <w:tcPr>
            <w:tcW w:w="1077" w:type="dxa"/>
            <w:vAlign w:val="bottom"/>
          </w:tcPr>
          <w:p w:rsidRPr="009C48DA" w:rsidR="00661519" w:rsidP="00661519" w:rsidRDefault="00661519" w14:paraId="54A14BD7" w14:textId="77777777">
            <w:pPr>
              <w:spacing w:before="60"/>
              <w:ind w:right="109"/>
              <w:jc w:val="right"/>
              <w:textAlignment w:val="baseline"/>
              <w:rPr>
                <w:rFonts w:eastAsia="Times New Roman"/>
                <w:color w:val="000000"/>
                <w:sz w:val="16"/>
                <w:szCs w:val="16"/>
                <w:lang w:val="en-GB"/>
              </w:rPr>
            </w:pPr>
          </w:p>
        </w:tc>
        <w:tc>
          <w:tcPr>
            <w:tcW w:w="1130" w:type="dxa"/>
            <w:vAlign w:val="bottom"/>
          </w:tcPr>
          <w:p w:rsidRPr="009C48DA" w:rsidR="00661519" w:rsidP="00661519" w:rsidRDefault="00661519" w14:paraId="4AE769E5" w14:textId="77777777">
            <w:pPr>
              <w:spacing w:before="60"/>
              <w:ind w:right="109"/>
              <w:jc w:val="right"/>
              <w:textAlignment w:val="baseline"/>
              <w:rPr>
                <w:rFonts w:eastAsia="Times New Roman"/>
                <w:color w:val="000000"/>
                <w:sz w:val="16"/>
                <w:szCs w:val="16"/>
                <w:lang w:val="en-GB"/>
              </w:rPr>
            </w:pPr>
          </w:p>
        </w:tc>
        <w:tc>
          <w:tcPr>
            <w:tcW w:w="1079" w:type="dxa"/>
            <w:vAlign w:val="bottom"/>
          </w:tcPr>
          <w:p w:rsidRPr="009C48DA" w:rsidR="00661519" w:rsidP="00661519" w:rsidRDefault="00661519" w14:paraId="2AD65A86" w14:textId="77777777">
            <w:pPr>
              <w:spacing w:before="60"/>
              <w:ind w:right="109"/>
              <w:jc w:val="right"/>
              <w:textAlignment w:val="baseline"/>
              <w:rPr>
                <w:rFonts w:eastAsia="Times New Roman"/>
                <w:color w:val="000000"/>
                <w:sz w:val="16"/>
                <w:szCs w:val="16"/>
                <w:lang w:val="en-GB"/>
              </w:rPr>
            </w:pPr>
          </w:p>
        </w:tc>
        <w:tc>
          <w:tcPr>
            <w:tcW w:w="1078" w:type="dxa"/>
            <w:vAlign w:val="bottom"/>
          </w:tcPr>
          <w:p w:rsidRPr="009C48DA" w:rsidR="00661519" w:rsidP="00661519" w:rsidRDefault="00661519" w14:paraId="7C5B8278" w14:textId="77777777">
            <w:pPr>
              <w:spacing w:before="60"/>
              <w:ind w:right="109"/>
              <w:jc w:val="right"/>
              <w:textAlignment w:val="baseline"/>
              <w:rPr>
                <w:rFonts w:eastAsia="Times New Roman"/>
                <w:color w:val="000000"/>
                <w:sz w:val="16"/>
                <w:szCs w:val="16"/>
                <w:lang w:val="en-GB"/>
              </w:rPr>
            </w:pPr>
          </w:p>
        </w:tc>
        <w:tc>
          <w:tcPr>
            <w:tcW w:w="1075" w:type="dxa"/>
            <w:vAlign w:val="bottom"/>
          </w:tcPr>
          <w:p w:rsidRPr="009C48DA" w:rsidR="00661519" w:rsidP="00661519" w:rsidRDefault="00661519" w14:paraId="5DA933D9" w14:textId="77777777">
            <w:pPr>
              <w:spacing w:before="60"/>
              <w:ind w:right="109"/>
              <w:jc w:val="right"/>
              <w:textAlignment w:val="baseline"/>
              <w:rPr>
                <w:rFonts w:eastAsia="Times New Roman"/>
                <w:color w:val="000000"/>
                <w:sz w:val="16"/>
                <w:szCs w:val="16"/>
                <w:lang w:val="en-GB"/>
              </w:rPr>
            </w:pPr>
          </w:p>
        </w:tc>
        <w:tc>
          <w:tcPr>
            <w:tcW w:w="1083" w:type="dxa"/>
          </w:tcPr>
          <w:p w:rsidRPr="009C48DA" w:rsidR="00661519" w:rsidP="00661519" w:rsidRDefault="00661519" w14:paraId="3F36E838"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(1,413)</w:t>
            </w:r>
          </w:p>
        </w:tc>
      </w:tr>
      <w:tr w:rsidRPr="009C48DA" w:rsidR="00661519" w:rsidTr="00661519" w14:paraId="52DFC1D3" w14:textId="77777777">
        <w:trPr>
          <w:trHeight w:val="386"/>
        </w:trPr>
        <w:tc>
          <w:tcPr>
            <w:tcW w:w="2771" w:type="dxa"/>
            <w:gridSpan w:val="2"/>
            <w:vAlign w:val="bottom"/>
          </w:tcPr>
          <w:p w:rsidRPr="009C48DA" w:rsidR="00661519" w:rsidP="00661519" w:rsidRDefault="00661519" w14:paraId="5C2CED34" w14:textId="77777777">
            <w:pPr>
              <w:spacing w:before="60"/>
              <w:textAlignment w:val="baseline"/>
              <w:rPr>
                <w:rFonts w:eastAsia="Times New Roman"/>
                <w:b/>
                <w:color w:val="000000"/>
                <w:sz w:val="16"/>
                <w:lang w:val="en-GB"/>
              </w:rPr>
            </w:pPr>
            <w:r w:rsidRPr="009C48DA">
              <w:rPr>
                <w:rFonts w:eastAsia="Times New Roman"/>
                <w:b/>
                <w:color w:val="000000"/>
                <w:sz w:val="16"/>
                <w:lang w:val="en-GB"/>
              </w:rPr>
              <w:t>Profit before income tax</w:t>
            </w:r>
          </w:p>
        </w:tc>
        <w:tc>
          <w:tcPr>
            <w:tcW w:w="1077" w:type="dxa"/>
            <w:vAlign w:val="bottom"/>
          </w:tcPr>
          <w:p w:rsidRPr="009C48DA" w:rsidR="00661519" w:rsidP="00661519" w:rsidRDefault="00661519" w14:paraId="4294BEDB" w14:textId="77777777">
            <w:pPr>
              <w:spacing w:before="60"/>
              <w:ind w:right="109"/>
              <w:jc w:val="right"/>
              <w:textAlignment w:val="baseline"/>
              <w:rPr>
                <w:rFonts w:eastAsia="Times New Roman"/>
                <w:color w:val="000000"/>
                <w:sz w:val="16"/>
                <w:szCs w:val="16"/>
                <w:lang w:val="en-GB"/>
              </w:rPr>
            </w:pPr>
          </w:p>
        </w:tc>
        <w:tc>
          <w:tcPr>
            <w:tcW w:w="1130" w:type="dxa"/>
            <w:vAlign w:val="bottom"/>
          </w:tcPr>
          <w:p w:rsidRPr="009C48DA" w:rsidR="00661519" w:rsidP="00661519" w:rsidRDefault="00661519" w14:paraId="5F6A9EAA" w14:textId="77777777">
            <w:pPr>
              <w:spacing w:before="60"/>
              <w:ind w:right="109"/>
              <w:jc w:val="right"/>
              <w:textAlignment w:val="baseline"/>
              <w:rPr>
                <w:rFonts w:eastAsia="Times New Roman"/>
                <w:color w:val="000000"/>
                <w:sz w:val="16"/>
                <w:szCs w:val="16"/>
                <w:lang w:val="en-GB"/>
              </w:rPr>
            </w:pPr>
          </w:p>
        </w:tc>
        <w:tc>
          <w:tcPr>
            <w:tcW w:w="1079" w:type="dxa"/>
            <w:vAlign w:val="bottom"/>
          </w:tcPr>
          <w:p w:rsidRPr="009C48DA" w:rsidR="00661519" w:rsidP="00661519" w:rsidRDefault="00661519" w14:paraId="1855C810" w14:textId="77777777">
            <w:pPr>
              <w:spacing w:before="60"/>
              <w:ind w:right="109"/>
              <w:jc w:val="right"/>
              <w:textAlignment w:val="baseline"/>
              <w:rPr>
                <w:rFonts w:eastAsia="Times New Roman"/>
                <w:color w:val="000000"/>
                <w:sz w:val="16"/>
                <w:szCs w:val="16"/>
                <w:lang w:val="en-GB"/>
              </w:rPr>
            </w:pPr>
          </w:p>
        </w:tc>
        <w:tc>
          <w:tcPr>
            <w:tcW w:w="1078" w:type="dxa"/>
            <w:vAlign w:val="bottom"/>
          </w:tcPr>
          <w:p w:rsidRPr="009C48DA" w:rsidR="00661519" w:rsidP="00661519" w:rsidRDefault="00661519" w14:paraId="2DE8BB4C" w14:textId="77777777">
            <w:pPr>
              <w:spacing w:before="60"/>
              <w:ind w:right="109"/>
              <w:jc w:val="right"/>
              <w:textAlignment w:val="baseline"/>
              <w:rPr>
                <w:rFonts w:eastAsia="Times New Roman"/>
                <w:color w:val="000000"/>
                <w:sz w:val="16"/>
                <w:szCs w:val="16"/>
                <w:lang w:val="en-GB"/>
              </w:rPr>
            </w:pPr>
          </w:p>
        </w:tc>
        <w:tc>
          <w:tcPr>
            <w:tcW w:w="1075" w:type="dxa"/>
            <w:vAlign w:val="bottom"/>
          </w:tcPr>
          <w:p w:rsidRPr="009C48DA" w:rsidR="00661519" w:rsidP="00661519" w:rsidRDefault="00661519" w14:paraId="54660FE6" w14:textId="77777777">
            <w:pPr>
              <w:spacing w:before="60"/>
              <w:ind w:right="109"/>
              <w:jc w:val="right"/>
              <w:textAlignment w:val="baseline"/>
              <w:rPr>
                <w:rFonts w:eastAsia="Times New Roman"/>
                <w:color w:val="000000"/>
                <w:sz w:val="16"/>
                <w:szCs w:val="16"/>
                <w:lang w:val="en-GB"/>
              </w:rPr>
            </w:pPr>
          </w:p>
        </w:tc>
        <w:tc>
          <w:tcPr>
            <w:tcW w:w="1083" w:type="dxa"/>
          </w:tcPr>
          <w:p w:rsidRPr="009C48DA" w:rsidR="00661519" w:rsidP="00661519" w:rsidRDefault="00661519" w14:paraId="6A7CDAB8"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48,476</w:t>
            </w:r>
          </w:p>
        </w:tc>
      </w:tr>
    </w:tbl>
    <w:p w:rsidRPr="009C48DA" w:rsidR="00661519" w:rsidP="00661519" w:rsidRDefault="00661519" w14:paraId="6D1B9497" w14:textId="77777777">
      <w:pPr>
        <w:textAlignment w:val="baseline"/>
        <w:rPr>
          <w:rFonts w:eastAsia="Times New Roman" w:cs="Times New Roman"/>
          <w:b/>
          <w:color w:val="000000"/>
          <w:sz w:val="16"/>
          <w:szCs w:val="22"/>
          <w:u w:val="single"/>
          <w:lang w:val="en-GB"/>
        </w:rPr>
      </w:pPr>
    </w:p>
    <w:p w:rsidRPr="009C48DA" w:rsidR="00661519" w:rsidP="00661519" w:rsidRDefault="00661519" w14:paraId="562055FF" w14:textId="77777777">
      <w:pPr>
        <w:textAlignment w:val="baseline"/>
        <w:rPr>
          <w:rFonts w:eastAsia="Times New Roman" w:cs="Times New Roman"/>
          <w:b/>
          <w:color w:val="000000"/>
          <w:sz w:val="16"/>
          <w:szCs w:val="22"/>
          <w:u w:val="single"/>
          <w:lang w:val="en-GB"/>
        </w:rPr>
      </w:pPr>
    </w:p>
    <w:p w:rsidRPr="009C48DA" w:rsidR="00661519" w:rsidP="00661519" w:rsidRDefault="00661519" w14:paraId="318FFC44" w14:textId="77777777">
      <w:pPr>
        <w:textAlignment w:val="baseline"/>
        <w:rPr>
          <w:rFonts w:eastAsia="Times New Roman" w:cs="Times New Roman"/>
          <w:b/>
          <w:color w:val="000000"/>
          <w:sz w:val="16"/>
          <w:szCs w:val="22"/>
          <w:u w:val="single"/>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right w:w="0" w:type="dxa"/>
        </w:tblCellMar>
        <w:tblLook w:val="04A0" w:firstRow="1" w:lastRow="0" w:firstColumn="1" w:lastColumn="0" w:noHBand="0" w:noVBand="1"/>
      </w:tblPr>
      <w:tblGrid>
        <w:gridCol w:w="2700"/>
        <w:gridCol w:w="1049"/>
        <w:gridCol w:w="1101"/>
        <w:gridCol w:w="1051"/>
        <w:gridCol w:w="1050"/>
        <w:gridCol w:w="1047"/>
        <w:gridCol w:w="1216"/>
      </w:tblGrid>
      <w:tr w:rsidRPr="009C48DA" w:rsidR="00661519" w:rsidTr="00661519" w14:paraId="1E65C913" w14:textId="77777777">
        <w:trPr>
          <w:trHeight w:val="562"/>
        </w:trPr>
        <w:tc>
          <w:tcPr>
            <w:tcW w:w="2700" w:type="dxa"/>
            <w:vAlign w:val="bottom"/>
          </w:tcPr>
          <w:p w:rsidRPr="009C48DA" w:rsidR="00661519" w:rsidP="00661519" w:rsidRDefault="00661519" w14:paraId="7BCD945E" w14:textId="77777777">
            <w:pPr>
              <w:spacing w:before="60"/>
              <w:textAlignment w:val="baseline"/>
              <w:rPr>
                <w:rFonts w:eastAsia="Times New Roman"/>
                <w:b/>
                <w:color w:val="000000"/>
                <w:sz w:val="16"/>
                <w:lang w:val="en-GB"/>
              </w:rPr>
            </w:pPr>
            <w:r w:rsidRPr="009C48DA">
              <w:rPr>
                <w:rFonts w:eastAsia="Times New Roman"/>
                <w:b/>
                <w:color w:val="000000"/>
                <w:sz w:val="16"/>
                <w:lang w:val="en-GB"/>
              </w:rPr>
              <w:t>Three month period ended</w:t>
            </w:r>
          </w:p>
          <w:p w:rsidRPr="009C48DA" w:rsidR="00661519" w:rsidP="00661519" w:rsidRDefault="00661519" w14:paraId="18C1C7EC" w14:textId="77777777">
            <w:pPr>
              <w:jc w:val="both"/>
              <w:textAlignment w:val="baseline"/>
              <w:rPr>
                <w:rFonts w:eastAsia="Times New Roman"/>
                <w:b/>
                <w:color w:val="000000"/>
                <w:sz w:val="16"/>
                <w:lang w:val="en-GB"/>
              </w:rPr>
            </w:pPr>
            <w:r w:rsidRPr="009C48DA">
              <w:rPr>
                <w:rFonts w:eastAsia="Times New Roman"/>
                <w:b/>
                <w:color w:val="000000"/>
                <w:sz w:val="16"/>
                <w:lang w:val="en-GB"/>
              </w:rPr>
              <w:t>31 March 2020 (unaudited)</w:t>
            </w:r>
          </w:p>
        </w:tc>
        <w:tc>
          <w:tcPr>
            <w:tcW w:w="1049" w:type="dxa"/>
            <w:vAlign w:val="bottom"/>
          </w:tcPr>
          <w:p w:rsidRPr="009C48DA" w:rsidR="00661519" w:rsidP="00661519" w:rsidRDefault="00661519" w14:paraId="5D1F6041" w14:textId="77777777">
            <w:pPr>
              <w:jc w:val="center"/>
              <w:textAlignment w:val="baseline"/>
              <w:rPr>
                <w:rFonts w:eastAsia="Times New Roman"/>
                <w:b/>
                <w:color w:val="000000"/>
                <w:sz w:val="16"/>
                <w:lang w:val="en-GB"/>
              </w:rPr>
            </w:pPr>
            <w:r w:rsidRPr="009C48DA">
              <w:rPr>
                <w:rFonts w:eastAsia="Times New Roman"/>
                <w:b/>
                <w:color w:val="000000"/>
                <w:sz w:val="16"/>
                <w:lang w:val="en-GB"/>
              </w:rPr>
              <w:t>Private</w:t>
            </w:r>
          </w:p>
          <w:p w:rsidRPr="009C48DA" w:rsidR="00661519" w:rsidP="00661519" w:rsidRDefault="00661519" w14:paraId="17BC8E4F" w14:textId="77777777">
            <w:pPr>
              <w:jc w:val="center"/>
              <w:textAlignment w:val="baseline"/>
              <w:rPr>
                <w:rFonts w:eastAsia="Times New Roman"/>
                <w:b/>
                <w:color w:val="000000"/>
                <w:sz w:val="16"/>
                <w:lang w:val="en-GB"/>
              </w:rPr>
            </w:pPr>
            <w:r w:rsidRPr="009C48DA">
              <w:rPr>
                <w:rFonts w:eastAsia="Times New Roman"/>
                <w:b/>
                <w:color w:val="000000"/>
                <w:sz w:val="16"/>
                <w:lang w:val="en-GB"/>
              </w:rPr>
              <w:t>Equity</w:t>
            </w:r>
          </w:p>
          <w:p w:rsidRPr="009C48DA" w:rsidR="00661519" w:rsidP="00661519" w:rsidRDefault="00661519" w14:paraId="37AC275E"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101" w:type="dxa"/>
            <w:vAlign w:val="bottom"/>
          </w:tcPr>
          <w:p w:rsidRPr="009C48DA" w:rsidR="00661519" w:rsidP="00661519" w:rsidRDefault="00661519" w14:paraId="626F239A" w14:textId="77777777">
            <w:pPr>
              <w:jc w:val="center"/>
              <w:textAlignment w:val="baseline"/>
              <w:rPr>
                <w:rFonts w:eastAsia="Times New Roman"/>
                <w:b/>
                <w:color w:val="000000"/>
                <w:sz w:val="16"/>
                <w:lang w:val="en-GB"/>
              </w:rPr>
            </w:pPr>
            <w:r w:rsidRPr="009C48DA">
              <w:rPr>
                <w:rFonts w:eastAsia="Times New Roman"/>
                <w:b/>
                <w:color w:val="000000"/>
                <w:sz w:val="16"/>
                <w:lang w:val="en-GB"/>
              </w:rPr>
              <w:t>Credit</w:t>
            </w:r>
          </w:p>
          <w:p w:rsidRPr="009C48DA" w:rsidR="00661519" w:rsidP="00661519" w:rsidRDefault="00661519" w14:paraId="5CB5BEB5"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51" w:type="dxa"/>
            <w:vAlign w:val="bottom"/>
          </w:tcPr>
          <w:p w:rsidRPr="009C48DA" w:rsidR="00661519" w:rsidP="00661519" w:rsidRDefault="00661519" w14:paraId="436217F2" w14:textId="77777777">
            <w:pPr>
              <w:jc w:val="center"/>
              <w:textAlignment w:val="baseline"/>
              <w:rPr>
                <w:rFonts w:eastAsia="Times New Roman"/>
                <w:b/>
                <w:color w:val="000000"/>
                <w:sz w:val="16"/>
                <w:lang w:val="en-GB"/>
              </w:rPr>
            </w:pPr>
            <w:r w:rsidRPr="009C48DA">
              <w:rPr>
                <w:rFonts w:eastAsia="Times New Roman"/>
                <w:b/>
                <w:color w:val="000000"/>
                <w:sz w:val="16"/>
                <w:lang w:val="en-GB"/>
              </w:rPr>
              <w:t>Central</w:t>
            </w:r>
          </w:p>
          <w:p w:rsidRPr="009C48DA" w:rsidR="00661519" w:rsidP="00661519" w:rsidRDefault="00661519" w14:paraId="253D71DD"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50" w:type="dxa"/>
            <w:vAlign w:val="bottom"/>
          </w:tcPr>
          <w:p w:rsidRPr="009C48DA" w:rsidR="00661519" w:rsidP="00661519" w:rsidRDefault="00661519" w14:paraId="4145E1AF" w14:textId="77777777">
            <w:pPr>
              <w:jc w:val="center"/>
              <w:textAlignment w:val="baseline"/>
              <w:rPr>
                <w:rFonts w:eastAsia="Times New Roman"/>
                <w:b/>
                <w:color w:val="000000"/>
                <w:sz w:val="16"/>
                <w:lang w:val="en-GB"/>
              </w:rPr>
            </w:pPr>
            <w:r w:rsidRPr="009C48DA">
              <w:rPr>
                <w:rFonts w:eastAsia="Times New Roman"/>
                <w:b/>
                <w:color w:val="000000"/>
                <w:sz w:val="16"/>
                <w:lang w:val="en-GB"/>
              </w:rPr>
              <w:t>Total Core</w:t>
            </w:r>
          </w:p>
          <w:p w:rsidRPr="009C48DA" w:rsidR="00661519" w:rsidP="00661519" w:rsidRDefault="00661519" w14:paraId="30EFCB78"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47" w:type="dxa"/>
            <w:vAlign w:val="bottom"/>
          </w:tcPr>
          <w:p w:rsidRPr="009C48DA" w:rsidR="00661519" w:rsidP="00661519" w:rsidRDefault="00661519" w14:paraId="7A5D8CB6"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Total Other </w:t>
            </w:r>
          </w:p>
          <w:p w:rsidRPr="009C48DA" w:rsidR="00661519" w:rsidP="00661519" w:rsidRDefault="00661519" w14:paraId="71EC2550"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6" w:type="dxa"/>
            <w:vAlign w:val="bottom"/>
          </w:tcPr>
          <w:p w:rsidRPr="009C48DA" w:rsidR="00661519" w:rsidP="00661519" w:rsidRDefault="00661519" w14:paraId="0B60705E"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Total Group </w:t>
            </w:r>
          </w:p>
          <w:p w:rsidRPr="009C48DA" w:rsidR="00661519" w:rsidP="00661519" w:rsidRDefault="00661519" w14:paraId="0DC374D5"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11B49974" w14:textId="77777777">
        <w:trPr>
          <w:trHeight w:val="184"/>
        </w:trPr>
        <w:tc>
          <w:tcPr>
            <w:tcW w:w="2700" w:type="dxa"/>
            <w:vAlign w:val="bottom"/>
          </w:tcPr>
          <w:p w:rsidRPr="009C48DA" w:rsidR="00661519" w:rsidP="00661519" w:rsidRDefault="00661519" w14:paraId="41DFB27F" w14:textId="77777777">
            <w:pPr>
              <w:tabs>
                <w:tab w:val="left" w:pos="3528"/>
                <w:tab w:val="left" w:pos="5112"/>
                <w:tab w:val="left" w:pos="6696"/>
                <w:tab w:val="left" w:pos="8136"/>
              </w:tabs>
              <w:spacing w:before="60"/>
              <w:ind w:right="504"/>
              <w:textAlignment w:val="baseline"/>
              <w:rPr>
                <w:rFonts w:eastAsia="Times New Roman"/>
                <w:color w:val="000000"/>
                <w:sz w:val="16"/>
                <w:lang w:val="en-GB"/>
              </w:rPr>
            </w:pPr>
            <w:r w:rsidRPr="009C48DA">
              <w:rPr>
                <w:rFonts w:eastAsia="Times New Roman"/>
                <w:color w:val="000000"/>
                <w:sz w:val="16"/>
                <w:lang w:val="en-GB"/>
              </w:rPr>
              <w:t>Management fees</w:t>
            </w:r>
          </w:p>
        </w:tc>
        <w:tc>
          <w:tcPr>
            <w:tcW w:w="1049" w:type="dxa"/>
          </w:tcPr>
          <w:p w:rsidRPr="009C48DA" w:rsidR="00661519" w:rsidP="00661519" w:rsidRDefault="00661519" w14:paraId="3DCF8EC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34,159</w:t>
            </w:r>
          </w:p>
        </w:tc>
        <w:tc>
          <w:tcPr>
            <w:tcW w:w="1101" w:type="dxa"/>
          </w:tcPr>
          <w:p w:rsidRPr="009C48DA" w:rsidR="00661519" w:rsidP="00661519" w:rsidRDefault="00661519" w14:paraId="5EA422B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669</w:t>
            </w:r>
          </w:p>
        </w:tc>
        <w:tc>
          <w:tcPr>
            <w:tcW w:w="1051" w:type="dxa"/>
          </w:tcPr>
          <w:p w:rsidRPr="009C48DA" w:rsidR="00661519" w:rsidP="00661519" w:rsidRDefault="00661519" w14:paraId="59D4541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0" w:type="dxa"/>
          </w:tcPr>
          <w:p w:rsidRPr="009C48DA" w:rsidR="00661519" w:rsidP="00661519" w:rsidRDefault="00661519" w14:paraId="41ABDEF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34,828</w:t>
            </w:r>
          </w:p>
        </w:tc>
        <w:tc>
          <w:tcPr>
            <w:tcW w:w="1047" w:type="dxa"/>
          </w:tcPr>
          <w:p w:rsidRPr="009C48DA" w:rsidR="00661519" w:rsidP="00661519" w:rsidRDefault="00661519" w14:paraId="79964C73"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557</w:t>
            </w:r>
          </w:p>
        </w:tc>
        <w:tc>
          <w:tcPr>
            <w:tcW w:w="1216" w:type="dxa"/>
          </w:tcPr>
          <w:p w:rsidRPr="009C48DA" w:rsidR="00661519" w:rsidP="00661519" w:rsidRDefault="00661519" w14:paraId="15FFCEF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35,385</w:t>
            </w:r>
          </w:p>
        </w:tc>
      </w:tr>
      <w:tr w:rsidRPr="009C48DA" w:rsidR="00661519" w:rsidTr="00661519" w14:paraId="47F23AB0" w14:textId="77777777">
        <w:trPr>
          <w:trHeight w:val="184"/>
        </w:trPr>
        <w:tc>
          <w:tcPr>
            <w:tcW w:w="2700" w:type="dxa"/>
            <w:vAlign w:val="bottom"/>
          </w:tcPr>
          <w:p w:rsidRPr="009C48DA" w:rsidR="00661519" w:rsidP="00661519" w:rsidRDefault="00661519" w14:paraId="586FACF0" w14:textId="77777777">
            <w:pPr>
              <w:spacing w:before="60"/>
              <w:textAlignment w:val="baseline"/>
              <w:rPr>
                <w:rFonts w:eastAsia="Times New Roman"/>
                <w:color w:val="000000"/>
                <w:sz w:val="16"/>
                <w:lang w:val="en-GB"/>
              </w:rPr>
            </w:pPr>
            <w:r w:rsidRPr="009C48DA">
              <w:rPr>
                <w:rFonts w:eastAsia="Times New Roman"/>
                <w:color w:val="000000"/>
                <w:sz w:val="16"/>
                <w:lang w:val="en-GB"/>
              </w:rPr>
              <w:t>Carried interest</w:t>
            </w:r>
          </w:p>
        </w:tc>
        <w:tc>
          <w:tcPr>
            <w:tcW w:w="1049" w:type="dxa"/>
          </w:tcPr>
          <w:p w:rsidRPr="009C48DA" w:rsidR="00661519" w:rsidP="00661519" w:rsidRDefault="00661519" w14:paraId="4F4A5D1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614</w:t>
            </w:r>
          </w:p>
        </w:tc>
        <w:tc>
          <w:tcPr>
            <w:tcW w:w="1101" w:type="dxa"/>
          </w:tcPr>
          <w:p w:rsidRPr="009C48DA" w:rsidR="00661519" w:rsidP="00661519" w:rsidRDefault="00661519" w14:paraId="72E0FB89"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1" w:type="dxa"/>
          </w:tcPr>
          <w:p w:rsidRPr="009C48DA" w:rsidR="00661519" w:rsidP="00661519" w:rsidRDefault="00661519" w14:paraId="3C1EB6F9"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0" w:type="dxa"/>
          </w:tcPr>
          <w:p w:rsidRPr="009C48DA" w:rsidR="00661519" w:rsidP="00661519" w:rsidRDefault="00661519" w14:paraId="015E403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614</w:t>
            </w:r>
          </w:p>
        </w:tc>
        <w:tc>
          <w:tcPr>
            <w:tcW w:w="1047" w:type="dxa"/>
          </w:tcPr>
          <w:p w:rsidRPr="009C48DA" w:rsidR="00661519" w:rsidP="00661519" w:rsidRDefault="00661519" w14:paraId="17D1EB4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216" w:type="dxa"/>
          </w:tcPr>
          <w:p w:rsidRPr="009C48DA" w:rsidR="00661519" w:rsidP="00661519" w:rsidRDefault="00661519" w14:paraId="6B3AC05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614</w:t>
            </w:r>
          </w:p>
        </w:tc>
      </w:tr>
      <w:tr w:rsidRPr="009C48DA" w:rsidR="00661519" w:rsidTr="00661519" w14:paraId="1BD4E664" w14:textId="77777777">
        <w:trPr>
          <w:trHeight w:val="410"/>
        </w:trPr>
        <w:tc>
          <w:tcPr>
            <w:tcW w:w="2700" w:type="dxa"/>
            <w:vAlign w:val="bottom"/>
          </w:tcPr>
          <w:p w:rsidRPr="009C48DA" w:rsidR="00661519" w:rsidP="00661519" w:rsidRDefault="00661519" w14:paraId="32C24915" w14:textId="77777777">
            <w:pPr>
              <w:spacing w:before="60" w:line="182" w:lineRule="exact"/>
              <w:textAlignment w:val="baseline"/>
              <w:rPr>
                <w:rFonts w:eastAsia="Times New Roman"/>
                <w:color w:val="000000"/>
                <w:sz w:val="16"/>
                <w:lang w:val="en-GB"/>
              </w:rPr>
            </w:pPr>
            <w:r w:rsidRPr="009C48DA">
              <w:rPr>
                <w:rFonts w:eastAsia="Times New Roman"/>
                <w:color w:val="000000"/>
                <w:sz w:val="16"/>
                <w:lang w:val="en-GB"/>
              </w:rPr>
              <w:t>Fair value remeasurement of investments</w:t>
            </w:r>
          </w:p>
        </w:tc>
        <w:tc>
          <w:tcPr>
            <w:tcW w:w="1049" w:type="dxa"/>
            <w:vAlign w:val="bottom"/>
          </w:tcPr>
          <w:p w:rsidRPr="009C48DA" w:rsidR="00661519" w:rsidP="00661519" w:rsidRDefault="00661519" w14:paraId="627A679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(7,934)</w:t>
            </w:r>
          </w:p>
        </w:tc>
        <w:tc>
          <w:tcPr>
            <w:tcW w:w="1101" w:type="dxa"/>
            <w:vAlign w:val="bottom"/>
          </w:tcPr>
          <w:p w:rsidRPr="009C48DA" w:rsidR="00661519" w:rsidP="00661519" w:rsidRDefault="00661519" w14:paraId="0CE6130F"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1" w:type="dxa"/>
            <w:vAlign w:val="bottom"/>
          </w:tcPr>
          <w:p w:rsidRPr="009C48DA" w:rsidR="00661519" w:rsidP="00661519" w:rsidRDefault="00661519" w14:paraId="7175E72F"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0" w:type="dxa"/>
            <w:vAlign w:val="bottom"/>
          </w:tcPr>
          <w:p w:rsidRPr="009C48DA" w:rsidR="00661519" w:rsidP="00661519" w:rsidRDefault="00661519" w14:paraId="5332F3E1"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(7,934)</w:t>
            </w:r>
          </w:p>
        </w:tc>
        <w:tc>
          <w:tcPr>
            <w:tcW w:w="1047" w:type="dxa"/>
            <w:vAlign w:val="bottom"/>
          </w:tcPr>
          <w:p w:rsidRPr="009C48DA" w:rsidR="00661519" w:rsidP="00661519" w:rsidRDefault="00661519" w14:paraId="64C2D7AD"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216" w:type="dxa"/>
            <w:vAlign w:val="bottom"/>
          </w:tcPr>
          <w:p w:rsidRPr="009C48DA" w:rsidR="00661519" w:rsidP="00661519" w:rsidRDefault="00661519" w14:paraId="21D8F8F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(7,934)</w:t>
            </w:r>
          </w:p>
        </w:tc>
      </w:tr>
      <w:tr w:rsidRPr="009C48DA" w:rsidR="00661519" w:rsidTr="00661519" w14:paraId="350CE7C4" w14:textId="77777777">
        <w:trPr>
          <w:trHeight w:val="205"/>
        </w:trPr>
        <w:tc>
          <w:tcPr>
            <w:tcW w:w="2700" w:type="dxa"/>
            <w:vAlign w:val="bottom"/>
          </w:tcPr>
          <w:p w:rsidRPr="009C48DA" w:rsidR="00661519" w:rsidP="00661519" w:rsidRDefault="00661519" w14:paraId="5197540F" w14:textId="77777777">
            <w:pPr>
              <w:spacing w:before="60"/>
              <w:textAlignment w:val="baseline"/>
              <w:rPr>
                <w:rFonts w:eastAsia="Times New Roman"/>
                <w:color w:val="000000"/>
                <w:sz w:val="16"/>
                <w:lang w:val="en-GB"/>
              </w:rPr>
            </w:pPr>
            <w:r w:rsidRPr="009C48DA">
              <w:rPr>
                <w:rFonts w:eastAsia="Times New Roman"/>
                <w:color w:val="000000"/>
                <w:sz w:val="16"/>
                <w:lang w:val="en-GB"/>
              </w:rPr>
              <w:t>Other operating income</w:t>
            </w:r>
          </w:p>
        </w:tc>
        <w:tc>
          <w:tcPr>
            <w:tcW w:w="1049" w:type="dxa"/>
          </w:tcPr>
          <w:p w:rsidRPr="009C48DA" w:rsidR="00661519" w:rsidP="00661519" w:rsidRDefault="00661519" w14:paraId="35809319"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101" w:type="dxa"/>
          </w:tcPr>
          <w:p w:rsidRPr="009C48DA" w:rsidR="00661519" w:rsidP="00661519" w:rsidRDefault="00661519" w14:paraId="20980325"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1" w:type="dxa"/>
          </w:tcPr>
          <w:p w:rsidRPr="009C48DA" w:rsidR="00661519" w:rsidP="00661519" w:rsidRDefault="00661519" w14:paraId="02BD6CD9"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0" w:type="dxa"/>
          </w:tcPr>
          <w:p w:rsidRPr="009C48DA" w:rsidR="00661519" w:rsidP="00661519" w:rsidRDefault="00661519" w14:paraId="38058278"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47" w:type="dxa"/>
          </w:tcPr>
          <w:p w:rsidRPr="009C48DA" w:rsidR="00661519" w:rsidP="00661519" w:rsidRDefault="00661519" w14:paraId="466B13EE"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380</w:t>
            </w:r>
          </w:p>
        </w:tc>
        <w:tc>
          <w:tcPr>
            <w:tcW w:w="1216" w:type="dxa"/>
          </w:tcPr>
          <w:p w:rsidRPr="009C48DA" w:rsidR="00661519" w:rsidP="00661519" w:rsidRDefault="00661519" w14:paraId="14E8763E"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380</w:t>
            </w:r>
          </w:p>
        </w:tc>
      </w:tr>
      <w:tr w:rsidRPr="009C48DA" w:rsidR="00661519" w:rsidTr="00661519" w14:paraId="11BA0EB0" w14:textId="77777777">
        <w:trPr>
          <w:trHeight w:val="184"/>
        </w:trPr>
        <w:tc>
          <w:tcPr>
            <w:tcW w:w="2700" w:type="dxa"/>
            <w:vAlign w:val="bottom"/>
          </w:tcPr>
          <w:p w:rsidRPr="009C48DA" w:rsidR="00661519" w:rsidP="00661519" w:rsidRDefault="00661519" w14:paraId="4B24095E" w14:textId="77777777">
            <w:pPr>
              <w:spacing w:before="60"/>
              <w:textAlignment w:val="baseline"/>
              <w:rPr>
                <w:rFonts w:eastAsia="Times New Roman"/>
                <w:color w:val="000000"/>
                <w:sz w:val="16"/>
                <w:lang w:val="en-GB"/>
              </w:rPr>
            </w:pPr>
            <w:r w:rsidRPr="009C48DA">
              <w:rPr>
                <w:rFonts w:eastAsia="Times New Roman"/>
                <w:color w:val="000000"/>
                <w:sz w:val="16"/>
                <w:lang w:val="en-GB"/>
              </w:rPr>
              <w:t>Total operating income</w:t>
            </w:r>
          </w:p>
        </w:tc>
        <w:tc>
          <w:tcPr>
            <w:tcW w:w="1049" w:type="dxa"/>
          </w:tcPr>
          <w:p w:rsidRPr="009C48DA" w:rsidR="00661519" w:rsidP="00661519" w:rsidRDefault="00661519" w14:paraId="408839B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26,839</w:t>
            </w:r>
          </w:p>
        </w:tc>
        <w:tc>
          <w:tcPr>
            <w:tcW w:w="1101" w:type="dxa"/>
          </w:tcPr>
          <w:p w:rsidRPr="009C48DA" w:rsidR="00661519" w:rsidP="00661519" w:rsidRDefault="00661519" w14:paraId="451AB76F"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669</w:t>
            </w:r>
          </w:p>
        </w:tc>
        <w:tc>
          <w:tcPr>
            <w:tcW w:w="1051" w:type="dxa"/>
          </w:tcPr>
          <w:p w:rsidRPr="009C48DA" w:rsidR="00661519" w:rsidP="00661519" w:rsidRDefault="00661519" w14:paraId="2CFBFFA2"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0" w:type="dxa"/>
          </w:tcPr>
          <w:p w:rsidRPr="009C48DA" w:rsidR="00661519" w:rsidP="00661519" w:rsidRDefault="00661519" w14:paraId="5A8AA951"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27,508</w:t>
            </w:r>
          </w:p>
        </w:tc>
        <w:tc>
          <w:tcPr>
            <w:tcW w:w="1047" w:type="dxa"/>
          </w:tcPr>
          <w:p w:rsidRPr="009C48DA" w:rsidR="00661519" w:rsidP="00661519" w:rsidRDefault="00661519" w14:paraId="148E5C8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937</w:t>
            </w:r>
          </w:p>
        </w:tc>
        <w:tc>
          <w:tcPr>
            <w:tcW w:w="1216" w:type="dxa"/>
          </w:tcPr>
          <w:p w:rsidRPr="009C48DA" w:rsidR="00661519" w:rsidP="00661519" w:rsidRDefault="00661519" w14:paraId="347F4656"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28,445</w:t>
            </w:r>
          </w:p>
        </w:tc>
      </w:tr>
      <w:tr w:rsidRPr="009C48DA" w:rsidR="00661519" w:rsidTr="00661519" w14:paraId="22E21692" w14:textId="77777777">
        <w:trPr>
          <w:trHeight w:val="184"/>
        </w:trPr>
        <w:tc>
          <w:tcPr>
            <w:tcW w:w="2700" w:type="dxa"/>
            <w:vAlign w:val="bottom"/>
          </w:tcPr>
          <w:p w:rsidRPr="009C48DA" w:rsidR="00661519" w:rsidP="00661519" w:rsidRDefault="00661519" w14:paraId="29D22751" w14:textId="77777777">
            <w:pPr>
              <w:spacing w:before="60"/>
              <w:textAlignment w:val="baseline"/>
              <w:rPr>
                <w:rFonts w:eastAsia="Times New Roman"/>
                <w:color w:val="000000"/>
                <w:sz w:val="16"/>
                <w:lang w:val="en-GB"/>
              </w:rPr>
            </w:pPr>
            <w:r w:rsidRPr="009C48DA">
              <w:rPr>
                <w:rFonts w:eastAsia="Times New Roman"/>
                <w:color w:val="000000"/>
                <w:sz w:val="16"/>
                <w:lang w:val="en-GB"/>
              </w:rPr>
              <w:t>Personnel expenses</w:t>
            </w:r>
          </w:p>
        </w:tc>
        <w:tc>
          <w:tcPr>
            <w:tcW w:w="1049" w:type="dxa"/>
          </w:tcPr>
          <w:p w:rsidRPr="009C48DA" w:rsidR="00661519" w:rsidP="00661519" w:rsidRDefault="00661519" w14:paraId="7E3B1CC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(9,484)</w:t>
            </w:r>
          </w:p>
        </w:tc>
        <w:tc>
          <w:tcPr>
            <w:tcW w:w="1101" w:type="dxa"/>
          </w:tcPr>
          <w:p w:rsidRPr="009C48DA" w:rsidR="00661519" w:rsidP="00661519" w:rsidRDefault="00661519" w14:paraId="3CCCBE2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(1,512)</w:t>
            </w:r>
          </w:p>
        </w:tc>
        <w:tc>
          <w:tcPr>
            <w:tcW w:w="1051" w:type="dxa"/>
          </w:tcPr>
          <w:p w:rsidRPr="009C48DA" w:rsidR="00661519" w:rsidP="00661519" w:rsidRDefault="00661519" w14:paraId="15A81512"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(8,782)</w:t>
            </w:r>
          </w:p>
        </w:tc>
        <w:tc>
          <w:tcPr>
            <w:tcW w:w="1050" w:type="dxa"/>
          </w:tcPr>
          <w:p w:rsidRPr="009C48DA" w:rsidR="00661519" w:rsidP="00661519" w:rsidRDefault="00661519" w14:paraId="6C3D15C6"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(19,778)</w:t>
            </w:r>
          </w:p>
        </w:tc>
        <w:tc>
          <w:tcPr>
            <w:tcW w:w="1047" w:type="dxa"/>
          </w:tcPr>
          <w:p w:rsidRPr="009C48DA" w:rsidR="00661519" w:rsidP="00661519" w:rsidRDefault="00661519" w14:paraId="7E793CA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(738)</w:t>
            </w:r>
          </w:p>
        </w:tc>
        <w:tc>
          <w:tcPr>
            <w:tcW w:w="1216" w:type="dxa"/>
          </w:tcPr>
          <w:p w:rsidRPr="009C48DA" w:rsidR="00661519" w:rsidP="00661519" w:rsidRDefault="00661519" w14:paraId="0C187F8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(20,516)</w:t>
            </w:r>
          </w:p>
        </w:tc>
      </w:tr>
      <w:tr w:rsidRPr="009C48DA" w:rsidR="00661519" w:rsidTr="00661519" w14:paraId="06E64894" w14:textId="77777777">
        <w:trPr>
          <w:trHeight w:val="194"/>
        </w:trPr>
        <w:tc>
          <w:tcPr>
            <w:tcW w:w="2700" w:type="dxa"/>
            <w:vAlign w:val="bottom"/>
          </w:tcPr>
          <w:p w:rsidRPr="009C48DA" w:rsidR="00661519" w:rsidP="00661519" w:rsidRDefault="00661519" w14:paraId="5688AA6A" w14:textId="77777777">
            <w:pPr>
              <w:spacing w:before="60"/>
              <w:textAlignment w:val="baseline"/>
              <w:rPr>
                <w:rFonts w:eastAsia="Times New Roman"/>
                <w:color w:val="000000"/>
                <w:sz w:val="16"/>
                <w:lang w:val="en-GB"/>
              </w:rPr>
            </w:pPr>
            <w:r w:rsidRPr="009C48DA">
              <w:rPr>
                <w:rFonts w:eastAsia="Times New Roman"/>
                <w:color w:val="000000"/>
                <w:sz w:val="16"/>
                <w:lang w:val="en-GB"/>
              </w:rPr>
              <w:t>Other operating expenses</w:t>
            </w:r>
          </w:p>
        </w:tc>
        <w:tc>
          <w:tcPr>
            <w:tcW w:w="1049" w:type="dxa"/>
          </w:tcPr>
          <w:p w:rsidRPr="009C48DA" w:rsidR="00661519" w:rsidP="00661519" w:rsidRDefault="00661519" w14:paraId="53FE9A5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(2,626)</w:t>
            </w:r>
          </w:p>
        </w:tc>
        <w:tc>
          <w:tcPr>
            <w:tcW w:w="1101" w:type="dxa"/>
          </w:tcPr>
          <w:p w:rsidRPr="009C48DA" w:rsidR="00661519" w:rsidP="00661519" w:rsidRDefault="00661519" w14:paraId="6974FDA2"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(472)</w:t>
            </w:r>
          </w:p>
        </w:tc>
        <w:tc>
          <w:tcPr>
            <w:tcW w:w="1051" w:type="dxa"/>
          </w:tcPr>
          <w:p w:rsidRPr="009C48DA" w:rsidR="00661519" w:rsidP="00661519" w:rsidRDefault="00661519" w14:paraId="483328D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(3,689)</w:t>
            </w:r>
          </w:p>
        </w:tc>
        <w:tc>
          <w:tcPr>
            <w:tcW w:w="1050" w:type="dxa"/>
          </w:tcPr>
          <w:p w:rsidRPr="009C48DA" w:rsidR="00661519" w:rsidP="00661519" w:rsidRDefault="00661519" w14:paraId="6DB3672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(6,787)</w:t>
            </w:r>
          </w:p>
        </w:tc>
        <w:tc>
          <w:tcPr>
            <w:tcW w:w="1047" w:type="dxa"/>
          </w:tcPr>
          <w:p w:rsidRPr="009C48DA" w:rsidR="00661519" w:rsidP="00661519" w:rsidRDefault="00661519" w14:paraId="1689E85D"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(301)</w:t>
            </w:r>
          </w:p>
        </w:tc>
        <w:tc>
          <w:tcPr>
            <w:tcW w:w="1216" w:type="dxa"/>
          </w:tcPr>
          <w:p w:rsidRPr="009C48DA" w:rsidR="00661519" w:rsidP="00661519" w:rsidRDefault="00661519" w14:paraId="43A4087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(7,088)</w:t>
            </w:r>
          </w:p>
        </w:tc>
      </w:tr>
      <w:tr w:rsidRPr="009C48DA" w:rsidR="00661519" w:rsidTr="00661519" w14:paraId="22D27DCE" w14:textId="77777777">
        <w:trPr>
          <w:trHeight w:val="194"/>
        </w:trPr>
        <w:tc>
          <w:tcPr>
            <w:tcW w:w="2700" w:type="dxa"/>
            <w:vAlign w:val="bottom"/>
          </w:tcPr>
          <w:p w:rsidRPr="009C48DA" w:rsidR="00661519" w:rsidP="00661519" w:rsidRDefault="00661519" w14:paraId="4B7B0CD6" w14:textId="77777777">
            <w:pPr>
              <w:spacing w:before="60"/>
              <w:textAlignment w:val="baseline"/>
              <w:rPr>
                <w:rFonts w:eastAsia="Times New Roman"/>
                <w:b/>
                <w:color w:val="000000"/>
                <w:sz w:val="16"/>
                <w:lang w:val="en-GB"/>
              </w:rPr>
            </w:pPr>
            <w:r w:rsidRPr="009C48DA">
              <w:rPr>
                <w:rFonts w:eastAsia="Times New Roman"/>
                <w:color w:val="000000"/>
                <w:sz w:val="16"/>
                <w:lang w:val="en-GB"/>
              </w:rPr>
              <w:t>Foreign exchange</w:t>
            </w:r>
          </w:p>
        </w:tc>
        <w:tc>
          <w:tcPr>
            <w:tcW w:w="1049" w:type="dxa"/>
          </w:tcPr>
          <w:p w:rsidRPr="009C48DA" w:rsidR="00661519" w:rsidP="00661519" w:rsidRDefault="00661519" w14:paraId="4AA85AFD"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101" w:type="dxa"/>
          </w:tcPr>
          <w:p w:rsidRPr="009C48DA" w:rsidR="00661519" w:rsidP="00661519" w:rsidRDefault="00661519" w14:paraId="37B76F4E"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1" w:type="dxa"/>
          </w:tcPr>
          <w:p w:rsidRPr="009C48DA" w:rsidR="00661519" w:rsidP="00661519" w:rsidRDefault="00661519" w14:paraId="1335E38C"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(1,323)</w:t>
            </w:r>
          </w:p>
        </w:tc>
        <w:tc>
          <w:tcPr>
            <w:tcW w:w="1050" w:type="dxa"/>
          </w:tcPr>
          <w:p w:rsidRPr="009C48DA" w:rsidR="00661519" w:rsidP="00661519" w:rsidRDefault="00661519" w14:paraId="15672E08"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(1,323)</w:t>
            </w:r>
          </w:p>
        </w:tc>
        <w:tc>
          <w:tcPr>
            <w:tcW w:w="1047" w:type="dxa"/>
          </w:tcPr>
          <w:p w:rsidRPr="009C48DA" w:rsidR="00661519" w:rsidP="00661519" w:rsidRDefault="00661519" w14:paraId="325D96EA"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216" w:type="dxa"/>
          </w:tcPr>
          <w:p w:rsidRPr="009C48DA" w:rsidR="00661519" w:rsidP="00661519" w:rsidRDefault="00661519" w14:paraId="4B7356B7"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(1,323)</w:t>
            </w:r>
          </w:p>
        </w:tc>
      </w:tr>
      <w:tr w:rsidRPr="009C48DA" w:rsidR="00661519" w:rsidTr="00661519" w14:paraId="41E5945F" w14:textId="77777777">
        <w:trPr>
          <w:trHeight w:val="367"/>
        </w:trPr>
        <w:tc>
          <w:tcPr>
            <w:tcW w:w="2700" w:type="dxa"/>
            <w:vAlign w:val="bottom"/>
          </w:tcPr>
          <w:p w:rsidRPr="009C48DA" w:rsidR="00661519" w:rsidP="00661519" w:rsidRDefault="00661519" w14:paraId="0030FAB7" w14:textId="77777777">
            <w:pPr>
              <w:spacing w:before="60"/>
              <w:textAlignment w:val="baseline"/>
              <w:rPr>
                <w:rFonts w:eastAsia="Times New Roman"/>
                <w:b/>
                <w:color w:val="000000"/>
                <w:sz w:val="16"/>
                <w:lang w:val="en-GB"/>
              </w:rPr>
            </w:pPr>
            <w:r w:rsidRPr="009C48DA">
              <w:rPr>
                <w:rFonts w:eastAsia="Times New Roman"/>
                <w:b/>
                <w:color w:val="000000"/>
                <w:sz w:val="16"/>
                <w:lang w:val="en-GB"/>
              </w:rPr>
              <w:t>EBITDA (excluding</w:t>
            </w:r>
          </w:p>
          <w:p w:rsidRPr="009C48DA" w:rsidR="00661519" w:rsidP="00661519" w:rsidRDefault="00661519" w14:paraId="720EFEC4" w14:textId="77777777">
            <w:pPr>
              <w:spacing w:before="60"/>
              <w:textAlignment w:val="baseline"/>
              <w:rPr>
                <w:rFonts w:eastAsia="Times New Roman"/>
                <w:b/>
                <w:color w:val="000000"/>
                <w:sz w:val="16"/>
                <w:lang w:val="en-GB"/>
              </w:rPr>
            </w:pPr>
            <w:r w:rsidRPr="009C48DA">
              <w:rPr>
                <w:rFonts w:eastAsia="Times New Roman"/>
                <w:b/>
                <w:color w:val="000000"/>
                <w:sz w:val="16"/>
                <w:lang w:val="en-GB"/>
              </w:rPr>
              <w:t>exceptional costs)</w:t>
            </w:r>
          </w:p>
        </w:tc>
        <w:tc>
          <w:tcPr>
            <w:tcW w:w="1049" w:type="dxa"/>
            <w:vAlign w:val="bottom"/>
          </w:tcPr>
          <w:p w:rsidRPr="009C48DA" w:rsidR="00661519" w:rsidP="00661519" w:rsidRDefault="00661519" w14:paraId="44509F90"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14,729</w:t>
            </w:r>
          </w:p>
        </w:tc>
        <w:tc>
          <w:tcPr>
            <w:tcW w:w="1101" w:type="dxa"/>
            <w:vAlign w:val="bottom"/>
          </w:tcPr>
          <w:p w:rsidRPr="009C48DA" w:rsidR="00661519" w:rsidP="00661519" w:rsidRDefault="00661519" w14:paraId="64063100"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(1,315)</w:t>
            </w:r>
          </w:p>
        </w:tc>
        <w:tc>
          <w:tcPr>
            <w:tcW w:w="1051" w:type="dxa"/>
            <w:vAlign w:val="bottom"/>
          </w:tcPr>
          <w:p w:rsidRPr="009C48DA" w:rsidR="00661519" w:rsidP="00661519" w:rsidRDefault="00661519" w14:paraId="5C92B719"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(13,794)</w:t>
            </w:r>
          </w:p>
        </w:tc>
        <w:tc>
          <w:tcPr>
            <w:tcW w:w="1050" w:type="dxa"/>
            <w:vAlign w:val="bottom"/>
          </w:tcPr>
          <w:p w:rsidRPr="009C48DA" w:rsidR="00661519" w:rsidP="00661519" w:rsidRDefault="00661519" w14:paraId="03871BB8"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(380)</w:t>
            </w:r>
          </w:p>
        </w:tc>
        <w:tc>
          <w:tcPr>
            <w:tcW w:w="1047" w:type="dxa"/>
            <w:vAlign w:val="bottom"/>
          </w:tcPr>
          <w:p w:rsidRPr="009C48DA" w:rsidR="00661519" w:rsidP="00661519" w:rsidRDefault="00661519" w14:paraId="713F08F4"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(102)</w:t>
            </w:r>
          </w:p>
        </w:tc>
        <w:tc>
          <w:tcPr>
            <w:tcW w:w="1216" w:type="dxa"/>
            <w:vAlign w:val="bottom"/>
          </w:tcPr>
          <w:p w:rsidRPr="009C48DA" w:rsidR="00661519" w:rsidP="00661519" w:rsidRDefault="00661519" w14:paraId="1A4771CD"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(482)</w:t>
            </w:r>
          </w:p>
        </w:tc>
      </w:tr>
      <w:tr w:rsidRPr="009C48DA" w:rsidR="00661519" w:rsidTr="00661519" w14:paraId="4BB46767" w14:textId="77777777">
        <w:trPr>
          <w:trHeight w:val="184"/>
        </w:trPr>
        <w:tc>
          <w:tcPr>
            <w:tcW w:w="2700" w:type="dxa"/>
            <w:vAlign w:val="bottom"/>
          </w:tcPr>
          <w:p w:rsidRPr="009C48DA" w:rsidR="00661519" w:rsidP="00661519" w:rsidRDefault="00661519" w14:paraId="1F79E49E" w14:textId="77777777">
            <w:pPr>
              <w:tabs>
                <w:tab w:val="left" w:pos="3528"/>
                <w:tab w:val="left" w:pos="5112"/>
                <w:tab w:val="left" w:pos="6696"/>
                <w:tab w:val="left" w:pos="8136"/>
              </w:tabs>
              <w:spacing w:before="60"/>
              <w:ind w:right="504"/>
              <w:textAlignment w:val="baseline"/>
              <w:rPr>
                <w:rFonts w:eastAsia="Times New Roman"/>
                <w:color w:val="000000"/>
                <w:sz w:val="16"/>
                <w:lang w:val="en-GB"/>
              </w:rPr>
            </w:pPr>
            <w:r w:rsidRPr="009C48DA">
              <w:rPr>
                <w:rFonts w:eastAsia="Times New Roman"/>
                <w:color w:val="000000"/>
                <w:sz w:val="16"/>
                <w:lang w:val="en-GB"/>
              </w:rPr>
              <w:t>Depreciation and amortisation</w:t>
            </w:r>
          </w:p>
        </w:tc>
        <w:tc>
          <w:tcPr>
            <w:tcW w:w="1049" w:type="dxa"/>
          </w:tcPr>
          <w:p w:rsidRPr="009C48DA" w:rsidR="00661519" w:rsidP="00661519" w:rsidRDefault="00661519" w14:paraId="22444EA7" w14:textId="77777777">
            <w:pPr>
              <w:spacing w:before="60"/>
              <w:ind w:right="29"/>
              <w:jc w:val="right"/>
              <w:textAlignment w:val="baseline"/>
              <w:rPr>
                <w:rFonts w:eastAsia="Times New Roman"/>
                <w:color w:val="000000"/>
                <w:sz w:val="16"/>
                <w:lang w:val="en-GB"/>
              </w:rPr>
            </w:pPr>
          </w:p>
        </w:tc>
        <w:tc>
          <w:tcPr>
            <w:tcW w:w="1101" w:type="dxa"/>
          </w:tcPr>
          <w:p w:rsidRPr="009C48DA" w:rsidR="00661519" w:rsidP="00661519" w:rsidRDefault="00661519" w14:paraId="318A1A8F" w14:textId="77777777">
            <w:pPr>
              <w:spacing w:before="60"/>
              <w:ind w:right="109"/>
              <w:jc w:val="right"/>
              <w:textAlignment w:val="baseline"/>
              <w:rPr>
                <w:rFonts w:eastAsia="Times New Roman"/>
                <w:color w:val="000000"/>
                <w:sz w:val="16"/>
                <w:szCs w:val="16"/>
                <w:lang w:val="en-GB"/>
              </w:rPr>
            </w:pPr>
          </w:p>
        </w:tc>
        <w:tc>
          <w:tcPr>
            <w:tcW w:w="1051" w:type="dxa"/>
          </w:tcPr>
          <w:p w:rsidRPr="009C48DA" w:rsidR="00661519" w:rsidP="00661519" w:rsidRDefault="00661519" w14:paraId="1A29BB24" w14:textId="77777777">
            <w:pPr>
              <w:spacing w:before="60"/>
              <w:ind w:right="109"/>
              <w:jc w:val="right"/>
              <w:textAlignment w:val="baseline"/>
              <w:rPr>
                <w:rFonts w:eastAsia="Times New Roman"/>
                <w:color w:val="000000"/>
                <w:sz w:val="16"/>
                <w:szCs w:val="16"/>
                <w:lang w:val="en-GB"/>
              </w:rPr>
            </w:pPr>
          </w:p>
        </w:tc>
        <w:tc>
          <w:tcPr>
            <w:tcW w:w="1050" w:type="dxa"/>
          </w:tcPr>
          <w:p w:rsidRPr="009C48DA" w:rsidR="00661519" w:rsidP="00661519" w:rsidRDefault="00661519" w14:paraId="4DFD09BA" w14:textId="77777777">
            <w:pPr>
              <w:spacing w:before="60"/>
              <w:ind w:right="109"/>
              <w:jc w:val="right"/>
              <w:textAlignment w:val="baseline"/>
              <w:rPr>
                <w:rFonts w:eastAsia="Times New Roman"/>
                <w:color w:val="000000"/>
                <w:sz w:val="16"/>
                <w:szCs w:val="16"/>
                <w:lang w:val="en-GB"/>
              </w:rPr>
            </w:pPr>
          </w:p>
        </w:tc>
        <w:tc>
          <w:tcPr>
            <w:tcW w:w="1047" w:type="dxa"/>
          </w:tcPr>
          <w:p w:rsidRPr="009C48DA" w:rsidR="00661519" w:rsidP="00661519" w:rsidRDefault="00661519" w14:paraId="7F6B0081" w14:textId="77777777">
            <w:pPr>
              <w:spacing w:before="60"/>
              <w:ind w:right="109"/>
              <w:jc w:val="right"/>
              <w:textAlignment w:val="baseline"/>
              <w:rPr>
                <w:rFonts w:eastAsia="Times New Roman"/>
                <w:color w:val="000000"/>
                <w:sz w:val="16"/>
                <w:szCs w:val="16"/>
                <w:lang w:val="en-GB"/>
              </w:rPr>
            </w:pPr>
          </w:p>
        </w:tc>
        <w:tc>
          <w:tcPr>
            <w:tcW w:w="1216" w:type="dxa"/>
          </w:tcPr>
          <w:p w:rsidRPr="009C48DA" w:rsidR="00661519" w:rsidP="00661519" w:rsidRDefault="00661519" w14:paraId="46FF5032"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(2,006)</w:t>
            </w:r>
          </w:p>
        </w:tc>
      </w:tr>
      <w:tr w:rsidRPr="009C48DA" w:rsidR="00661519" w:rsidTr="00661519" w14:paraId="49FF26E0" w14:textId="77777777">
        <w:trPr>
          <w:trHeight w:val="184"/>
        </w:trPr>
        <w:tc>
          <w:tcPr>
            <w:tcW w:w="2700" w:type="dxa"/>
            <w:vAlign w:val="bottom"/>
          </w:tcPr>
          <w:p w:rsidRPr="009C48DA" w:rsidR="00661519" w:rsidP="00661519" w:rsidRDefault="00661519" w14:paraId="62EFC111" w14:textId="77777777">
            <w:pPr>
              <w:tabs>
                <w:tab w:val="left" w:pos="3528"/>
                <w:tab w:val="left" w:pos="5112"/>
                <w:tab w:val="left" w:pos="6696"/>
                <w:tab w:val="left" w:pos="8136"/>
              </w:tabs>
              <w:spacing w:before="60"/>
              <w:ind w:right="504"/>
              <w:textAlignment w:val="baseline"/>
              <w:rPr>
                <w:rFonts w:eastAsia="Times New Roman"/>
                <w:color w:val="000000"/>
                <w:sz w:val="16"/>
                <w:lang w:val="en-GB"/>
              </w:rPr>
            </w:pPr>
            <w:r w:rsidRPr="009C48DA">
              <w:rPr>
                <w:rFonts w:eastAsia="Times New Roman"/>
                <w:color w:val="000000"/>
                <w:sz w:val="16"/>
                <w:lang w:val="en-GB"/>
              </w:rPr>
              <w:t>Exceptional costs</w:t>
            </w:r>
          </w:p>
        </w:tc>
        <w:tc>
          <w:tcPr>
            <w:tcW w:w="1049" w:type="dxa"/>
          </w:tcPr>
          <w:p w:rsidRPr="009C48DA" w:rsidR="00661519" w:rsidP="00661519" w:rsidRDefault="00661519" w14:paraId="22CEA389" w14:textId="77777777">
            <w:pPr>
              <w:spacing w:before="60"/>
              <w:ind w:right="29"/>
              <w:jc w:val="right"/>
              <w:textAlignment w:val="baseline"/>
              <w:rPr>
                <w:rFonts w:eastAsia="Times New Roman"/>
                <w:color w:val="000000"/>
                <w:sz w:val="16"/>
                <w:lang w:val="en-GB"/>
              </w:rPr>
            </w:pPr>
          </w:p>
        </w:tc>
        <w:tc>
          <w:tcPr>
            <w:tcW w:w="1101" w:type="dxa"/>
          </w:tcPr>
          <w:p w:rsidRPr="009C48DA" w:rsidR="00661519" w:rsidP="00661519" w:rsidRDefault="00661519" w14:paraId="6C6489FF" w14:textId="77777777">
            <w:pPr>
              <w:spacing w:before="60"/>
              <w:ind w:right="109"/>
              <w:jc w:val="right"/>
              <w:textAlignment w:val="baseline"/>
              <w:rPr>
                <w:rFonts w:eastAsia="Times New Roman"/>
                <w:color w:val="000000"/>
                <w:sz w:val="16"/>
                <w:szCs w:val="16"/>
                <w:lang w:val="en-GB"/>
              </w:rPr>
            </w:pPr>
          </w:p>
        </w:tc>
        <w:tc>
          <w:tcPr>
            <w:tcW w:w="1051" w:type="dxa"/>
          </w:tcPr>
          <w:p w:rsidRPr="009C48DA" w:rsidR="00661519" w:rsidP="00661519" w:rsidRDefault="00661519" w14:paraId="680EE38F" w14:textId="77777777">
            <w:pPr>
              <w:spacing w:before="60"/>
              <w:ind w:right="109"/>
              <w:jc w:val="right"/>
              <w:textAlignment w:val="baseline"/>
              <w:rPr>
                <w:rFonts w:eastAsia="Times New Roman"/>
                <w:color w:val="000000"/>
                <w:sz w:val="16"/>
                <w:szCs w:val="16"/>
                <w:lang w:val="en-GB"/>
              </w:rPr>
            </w:pPr>
          </w:p>
        </w:tc>
        <w:tc>
          <w:tcPr>
            <w:tcW w:w="1050" w:type="dxa"/>
          </w:tcPr>
          <w:p w:rsidRPr="009C48DA" w:rsidR="00661519" w:rsidP="00661519" w:rsidRDefault="00661519" w14:paraId="1E3CE2C2" w14:textId="77777777">
            <w:pPr>
              <w:spacing w:before="60"/>
              <w:ind w:right="109"/>
              <w:jc w:val="right"/>
              <w:textAlignment w:val="baseline"/>
              <w:rPr>
                <w:rFonts w:eastAsia="Times New Roman"/>
                <w:color w:val="000000"/>
                <w:sz w:val="16"/>
                <w:szCs w:val="16"/>
                <w:lang w:val="en-GB"/>
              </w:rPr>
            </w:pPr>
          </w:p>
        </w:tc>
        <w:tc>
          <w:tcPr>
            <w:tcW w:w="1047" w:type="dxa"/>
          </w:tcPr>
          <w:p w:rsidRPr="009C48DA" w:rsidR="00661519" w:rsidP="00661519" w:rsidRDefault="00661519" w14:paraId="20D3DEFB" w14:textId="77777777">
            <w:pPr>
              <w:spacing w:before="60"/>
              <w:ind w:right="109"/>
              <w:jc w:val="right"/>
              <w:textAlignment w:val="baseline"/>
              <w:rPr>
                <w:rFonts w:eastAsia="Times New Roman"/>
                <w:color w:val="000000"/>
                <w:sz w:val="16"/>
                <w:szCs w:val="16"/>
                <w:lang w:val="en-GB"/>
              </w:rPr>
            </w:pPr>
          </w:p>
        </w:tc>
        <w:tc>
          <w:tcPr>
            <w:tcW w:w="1216" w:type="dxa"/>
          </w:tcPr>
          <w:p w:rsidRPr="009C48DA" w:rsidR="00661519" w:rsidP="00661519" w:rsidRDefault="00661519" w14:paraId="7B1E06F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r>
      <w:tr w:rsidRPr="009C48DA" w:rsidR="00661519" w:rsidTr="00661519" w14:paraId="58633CD5" w14:textId="77777777">
        <w:trPr>
          <w:trHeight w:val="367"/>
        </w:trPr>
        <w:tc>
          <w:tcPr>
            <w:tcW w:w="2700" w:type="dxa"/>
            <w:vAlign w:val="bottom"/>
          </w:tcPr>
          <w:p w:rsidRPr="009C48DA" w:rsidR="00661519" w:rsidP="00661519" w:rsidRDefault="00661519" w14:paraId="5C8328BA" w14:textId="77777777">
            <w:pPr>
              <w:spacing w:before="60"/>
              <w:ind w:right="29"/>
              <w:textAlignment w:val="baseline"/>
              <w:rPr>
                <w:rFonts w:eastAsia="Times New Roman"/>
                <w:color w:val="000000"/>
                <w:sz w:val="16"/>
                <w:lang w:val="en-GB"/>
              </w:rPr>
            </w:pPr>
            <w:r w:rsidRPr="009C48DA">
              <w:rPr>
                <w:rFonts w:eastAsia="Times New Roman"/>
                <w:b/>
                <w:color w:val="000000"/>
                <w:sz w:val="16"/>
                <w:lang w:val="en-GB"/>
              </w:rPr>
              <w:t>EBITDA (including exceptional costs)</w:t>
            </w:r>
          </w:p>
        </w:tc>
        <w:tc>
          <w:tcPr>
            <w:tcW w:w="1049" w:type="dxa"/>
            <w:vAlign w:val="bottom"/>
          </w:tcPr>
          <w:p w:rsidRPr="009C48DA" w:rsidR="00661519" w:rsidP="00661519" w:rsidRDefault="00661519" w14:paraId="2EBE611B" w14:textId="77777777">
            <w:pPr>
              <w:spacing w:before="60"/>
              <w:ind w:right="29"/>
              <w:textAlignment w:val="baseline"/>
              <w:rPr>
                <w:rFonts w:eastAsia="Times New Roman"/>
                <w:color w:val="000000"/>
                <w:sz w:val="16"/>
                <w:lang w:val="en-GB"/>
              </w:rPr>
            </w:pPr>
          </w:p>
        </w:tc>
        <w:tc>
          <w:tcPr>
            <w:tcW w:w="1101" w:type="dxa"/>
            <w:vAlign w:val="bottom"/>
          </w:tcPr>
          <w:p w:rsidRPr="009C48DA" w:rsidR="00661519" w:rsidP="00661519" w:rsidRDefault="00661519" w14:paraId="58A0141C" w14:textId="77777777">
            <w:pPr>
              <w:spacing w:before="60"/>
              <w:ind w:right="109"/>
              <w:jc w:val="right"/>
              <w:textAlignment w:val="baseline"/>
              <w:rPr>
                <w:rFonts w:eastAsia="Times New Roman"/>
                <w:color w:val="000000"/>
                <w:sz w:val="16"/>
                <w:szCs w:val="16"/>
                <w:lang w:val="en-GB"/>
              </w:rPr>
            </w:pPr>
          </w:p>
        </w:tc>
        <w:tc>
          <w:tcPr>
            <w:tcW w:w="1051" w:type="dxa"/>
            <w:vAlign w:val="bottom"/>
          </w:tcPr>
          <w:p w:rsidRPr="009C48DA" w:rsidR="00661519" w:rsidP="00661519" w:rsidRDefault="00661519" w14:paraId="10306512" w14:textId="77777777">
            <w:pPr>
              <w:spacing w:before="60"/>
              <w:ind w:right="109"/>
              <w:jc w:val="right"/>
              <w:textAlignment w:val="baseline"/>
              <w:rPr>
                <w:rFonts w:eastAsia="Times New Roman"/>
                <w:color w:val="000000"/>
                <w:sz w:val="16"/>
                <w:szCs w:val="16"/>
                <w:lang w:val="en-GB"/>
              </w:rPr>
            </w:pPr>
          </w:p>
        </w:tc>
        <w:tc>
          <w:tcPr>
            <w:tcW w:w="1050" w:type="dxa"/>
            <w:vAlign w:val="bottom"/>
          </w:tcPr>
          <w:p w:rsidRPr="009C48DA" w:rsidR="00661519" w:rsidP="00661519" w:rsidRDefault="00661519" w14:paraId="2BA2106C" w14:textId="77777777">
            <w:pPr>
              <w:spacing w:before="60"/>
              <w:ind w:right="109"/>
              <w:jc w:val="right"/>
              <w:textAlignment w:val="baseline"/>
              <w:rPr>
                <w:rFonts w:eastAsia="Times New Roman"/>
                <w:color w:val="000000"/>
                <w:sz w:val="16"/>
                <w:szCs w:val="16"/>
                <w:lang w:val="en-GB"/>
              </w:rPr>
            </w:pPr>
          </w:p>
        </w:tc>
        <w:tc>
          <w:tcPr>
            <w:tcW w:w="1047" w:type="dxa"/>
            <w:vAlign w:val="bottom"/>
          </w:tcPr>
          <w:p w:rsidRPr="009C48DA" w:rsidR="00661519" w:rsidP="00661519" w:rsidRDefault="00661519" w14:paraId="035CD182" w14:textId="77777777">
            <w:pPr>
              <w:spacing w:before="60"/>
              <w:ind w:right="109"/>
              <w:jc w:val="right"/>
              <w:textAlignment w:val="baseline"/>
              <w:rPr>
                <w:rFonts w:eastAsia="Times New Roman"/>
                <w:color w:val="000000"/>
                <w:sz w:val="16"/>
                <w:szCs w:val="16"/>
                <w:lang w:val="en-GB"/>
              </w:rPr>
            </w:pPr>
          </w:p>
        </w:tc>
        <w:tc>
          <w:tcPr>
            <w:tcW w:w="1216" w:type="dxa"/>
            <w:vAlign w:val="bottom"/>
          </w:tcPr>
          <w:p w:rsidRPr="009C48DA" w:rsidR="00661519" w:rsidP="00661519" w:rsidRDefault="00661519" w14:paraId="1ADE2CA4" w14:textId="77777777">
            <w:pPr>
              <w:pBdr>
                <w:bottom w:val="single" w:color="auto" w:sz="4"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(2,488)</w:t>
            </w:r>
          </w:p>
        </w:tc>
      </w:tr>
      <w:tr w:rsidRPr="009C48DA" w:rsidR="00661519" w:rsidTr="00661519" w14:paraId="78306539" w14:textId="77777777">
        <w:trPr>
          <w:trHeight w:val="184"/>
        </w:trPr>
        <w:tc>
          <w:tcPr>
            <w:tcW w:w="2700" w:type="dxa"/>
            <w:vAlign w:val="bottom"/>
          </w:tcPr>
          <w:p w:rsidRPr="009C48DA" w:rsidR="00661519" w:rsidP="00661519" w:rsidRDefault="00661519" w14:paraId="7221AC7D" w14:textId="77777777">
            <w:pPr>
              <w:spacing w:before="60"/>
              <w:textAlignment w:val="baseline"/>
              <w:rPr>
                <w:rFonts w:eastAsia="Times New Roman"/>
                <w:color w:val="000000"/>
                <w:sz w:val="16"/>
                <w:lang w:val="en-GB"/>
              </w:rPr>
            </w:pPr>
            <w:r w:rsidRPr="009C48DA">
              <w:rPr>
                <w:rFonts w:eastAsia="Times New Roman"/>
                <w:color w:val="000000"/>
                <w:sz w:val="16"/>
                <w:lang w:val="en-GB"/>
              </w:rPr>
              <w:t>Net finance cost</w:t>
            </w:r>
          </w:p>
        </w:tc>
        <w:tc>
          <w:tcPr>
            <w:tcW w:w="1049" w:type="dxa"/>
            <w:vAlign w:val="bottom"/>
          </w:tcPr>
          <w:p w:rsidRPr="009C48DA" w:rsidR="00661519" w:rsidP="00661519" w:rsidRDefault="00661519" w14:paraId="10E333F2" w14:textId="77777777">
            <w:pPr>
              <w:spacing w:before="60"/>
              <w:ind w:right="29"/>
              <w:jc w:val="right"/>
              <w:textAlignment w:val="baseline"/>
              <w:rPr>
                <w:rFonts w:eastAsia="Times New Roman"/>
                <w:color w:val="000000"/>
                <w:sz w:val="16"/>
                <w:lang w:val="en-GB"/>
              </w:rPr>
            </w:pPr>
          </w:p>
        </w:tc>
        <w:tc>
          <w:tcPr>
            <w:tcW w:w="1101" w:type="dxa"/>
            <w:vAlign w:val="bottom"/>
          </w:tcPr>
          <w:p w:rsidRPr="009C48DA" w:rsidR="00661519" w:rsidP="00661519" w:rsidRDefault="00661519" w14:paraId="774C7A31" w14:textId="77777777">
            <w:pPr>
              <w:spacing w:before="60"/>
              <w:ind w:right="109"/>
              <w:jc w:val="right"/>
              <w:textAlignment w:val="baseline"/>
              <w:rPr>
                <w:rFonts w:eastAsia="Times New Roman"/>
                <w:color w:val="000000"/>
                <w:sz w:val="16"/>
                <w:szCs w:val="16"/>
                <w:lang w:val="en-GB"/>
              </w:rPr>
            </w:pPr>
          </w:p>
        </w:tc>
        <w:tc>
          <w:tcPr>
            <w:tcW w:w="1051" w:type="dxa"/>
            <w:vAlign w:val="bottom"/>
          </w:tcPr>
          <w:p w:rsidRPr="009C48DA" w:rsidR="00661519" w:rsidP="00661519" w:rsidRDefault="00661519" w14:paraId="4BF89B3E" w14:textId="77777777">
            <w:pPr>
              <w:spacing w:before="60"/>
              <w:ind w:right="109"/>
              <w:jc w:val="right"/>
              <w:textAlignment w:val="baseline"/>
              <w:rPr>
                <w:rFonts w:eastAsia="Times New Roman"/>
                <w:color w:val="000000"/>
                <w:sz w:val="16"/>
                <w:szCs w:val="16"/>
                <w:lang w:val="en-GB"/>
              </w:rPr>
            </w:pPr>
          </w:p>
        </w:tc>
        <w:tc>
          <w:tcPr>
            <w:tcW w:w="1050" w:type="dxa"/>
            <w:vAlign w:val="bottom"/>
          </w:tcPr>
          <w:p w:rsidRPr="009C48DA" w:rsidR="00661519" w:rsidP="00661519" w:rsidRDefault="00661519" w14:paraId="1B6873AA" w14:textId="77777777">
            <w:pPr>
              <w:spacing w:before="60"/>
              <w:ind w:right="109"/>
              <w:jc w:val="right"/>
              <w:textAlignment w:val="baseline"/>
              <w:rPr>
                <w:rFonts w:eastAsia="Times New Roman"/>
                <w:color w:val="000000"/>
                <w:sz w:val="16"/>
                <w:szCs w:val="16"/>
                <w:lang w:val="en-GB"/>
              </w:rPr>
            </w:pPr>
          </w:p>
        </w:tc>
        <w:tc>
          <w:tcPr>
            <w:tcW w:w="1047" w:type="dxa"/>
            <w:vAlign w:val="bottom"/>
          </w:tcPr>
          <w:p w:rsidRPr="009C48DA" w:rsidR="00661519" w:rsidP="00661519" w:rsidRDefault="00661519" w14:paraId="112A07F1" w14:textId="77777777">
            <w:pPr>
              <w:spacing w:before="60"/>
              <w:ind w:right="109"/>
              <w:jc w:val="right"/>
              <w:textAlignment w:val="baseline"/>
              <w:rPr>
                <w:rFonts w:eastAsia="Times New Roman"/>
                <w:color w:val="000000"/>
                <w:sz w:val="16"/>
                <w:szCs w:val="16"/>
                <w:lang w:val="en-GB"/>
              </w:rPr>
            </w:pPr>
          </w:p>
        </w:tc>
        <w:tc>
          <w:tcPr>
            <w:tcW w:w="1216" w:type="dxa"/>
          </w:tcPr>
          <w:p w:rsidRPr="009C48DA" w:rsidR="00661519" w:rsidP="00661519" w:rsidRDefault="00661519" w14:paraId="147F7176"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1,260</w:t>
            </w:r>
          </w:p>
        </w:tc>
      </w:tr>
      <w:tr w:rsidRPr="009C48DA" w:rsidR="00661519" w:rsidTr="00661519" w14:paraId="2DFE374B" w14:textId="77777777">
        <w:trPr>
          <w:trHeight w:val="184"/>
        </w:trPr>
        <w:tc>
          <w:tcPr>
            <w:tcW w:w="2700" w:type="dxa"/>
            <w:vAlign w:val="bottom"/>
          </w:tcPr>
          <w:p w:rsidRPr="009C48DA" w:rsidR="00661519" w:rsidP="00661519" w:rsidRDefault="00661519" w14:paraId="73A84619" w14:textId="77777777">
            <w:pPr>
              <w:spacing w:before="60"/>
              <w:textAlignment w:val="baseline"/>
              <w:rPr>
                <w:rFonts w:eastAsia="Times New Roman"/>
                <w:b/>
                <w:color w:val="000000"/>
                <w:sz w:val="16"/>
                <w:lang w:val="en-GB"/>
              </w:rPr>
            </w:pPr>
            <w:r w:rsidRPr="009C48DA">
              <w:rPr>
                <w:rFonts w:eastAsia="Times New Roman"/>
                <w:b/>
                <w:color w:val="000000"/>
                <w:sz w:val="16"/>
                <w:lang w:val="en-GB"/>
              </w:rPr>
              <w:t>Profit before income tax</w:t>
            </w:r>
          </w:p>
        </w:tc>
        <w:tc>
          <w:tcPr>
            <w:tcW w:w="1049" w:type="dxa"/>
            <w:vAlign w:val="bottom"/>
          </w:tcPr>
          <w:p w:rsidRPr="009C48DA" w:rsidR="00661519" w:rsidP="00661519" w:rsidRDefault="00661519" w14:paraId="199619CE" w14:textId="77777777">
            <w:pPr>
              <w:spacing w:before="60"/>
              <w:ind w:right="29"/>
              <w:jc w:val="right"/>
              <w:textAlignment w:val="baseline"/>
              <w:rPr>
                <w:rFonts w:eastAsia="Times New Roman"/>
                <w:color w:val="000000"/>
                <w:sz w:val="16"/>
                <w:lang w:val="en-GB"/>
              </w:rPr>
            </w:pPr>
          </w:p>
        </w:tc>
        <w:tc>
          <w:tcPr>
            <w:tcW w:w="1101" w:type="dxa"/>
            <w:vAlign w:val="bottom"/>
          </w:tcPr>
          <w:p w:rsidRPr="009C48DA" w:rsidR="00661519" w:rsidP="00661519" w:rsidRDefault="00661519" w14:paraId="2E68BCE4" w14:textId="77777777">
            <w:pPr>
              <w:spacing w:before="60"/>
              <w:ind w:right="109"/>
              <w:jc w:val="right"/>
              <w:textAlignment w:val="baseline"/>
              <w:rPr>
                <w:rFonts w:eastAsia="Times New Roman"/>
                <w:color w:val="000000"/>
                <w:sz w:val="16"/>
                <w:szCs w:val="16"/>
                <w:lang w:val="en-GB"/>
              </w:rPr>
            </w:pPr>
          </w:p>
        </w:tc>
        <w:tc>
          <w:tcPr>
            <w:tcW w:w="1051" w:type="dxa"/>
            <w:vAlign w:val="bottom"/>
          </w:tcPr>
          <w:p w:rsidRPr="009C48DA" w:rsidR="00661519" w:rsidP="00661519" w:rsidRDefault="00661519" w14:paraId="0323547E" w14:textId="77777777">
            <w:pPr>
              <w:spacing w:before="60"/>
              <w:ind w:right="109"/>
              <w:jc w:val="right"/>
              <w:textAlignment w:val="baseline"/>
              <w:rPr>
                <w:rFonts w:eastAsia="Times New Roman"/>
                <w:color w:val="000000"/>
                <w:sz w:val="16"/>
                <w:szCs w:val="16"/>
                <w:lang w:val="en-GB"/>
              </w:rPr>
            </w:pPr>
          </w:p>
        </w:tc>
        <w:tc>
          <w:tcPr>
            <w:tcW w:w="1050" w:type="dxa"/>
            <w:vAlign w:val="bottom"/>
          </w:tcPr>
          <w:p w:rsidRPr="009C48DA" w:rsidR="00661519" w:rsidP="00661519" w:rsidRDefault="00661519" w14:paraId="7D6D1B32" w14:textId="77777777">
            <w:pPr>
              <w:spacing w:before="60"/>
              <w:ind w:right="109"/>
              <w:jc w:val="right"/>
              <w:textAlignment w:val="baseline"/>
              <w:rPr>
                <w:rFonts w:eastAsia="Times New Roman"/>
                <w:color w:val="000000"/>
                <w:sz w:val="16"/>
                <w:szCs w:val="16"/>
                <w:lang w:val="en-GB"/>
              </w:rPr>
            </w:pPr>
          </w:p>
        </w:tc>
        <w:tc>
          <w:tcPr>
            <w:tcW w:w="1047" w:type="dxa"/>
            <w:vAlign w:val="bottom"/>
          </w:tcPr>
          <w:p w:rsidRPr="009C48DA" w:rsidR="00661519" w:rsidP="00661519" w:rsidRDefault="00661519" w14:paraId="5DB93A8F" w14:textId="77777777">
            <w:pPr>
              <w:spacing w:before="60"/>
              <w:ind w:right="109"/>
              <w:jc w:val="right"/>
              <w:textAlignment w:val="baseline"/>
              <w:rPr>
                <w:rFonts w:eastAsia="Times New Roman"/>
                <w:color w:val="000000"/>
                <w:sz w:val="16"/>
                <w:szCs w:val="16"/>
                <w:lang w:val="en-GB"/>
              </w:rPr>
            </w:pPr>
          </w:p>
        </w:tc>
        <w:tc>
          <w:tcPr>
            <w:tcW w:w="1216" w:type="dxa"/>
          </w:tcPr>
          <w:p w:rsidRPr="009C48DA" w:rsidR="00661519" w:rsidP="00661519" w:rsidRDefault="00661519" w14:paraId="2608785C" w14:textId="77777777">
            <w:pPr>
              <w:pBdr>
                <w:bottom w:val="double" w:color="auto" w:sz="12" w:space="0"/>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(1,228)</w:t>
            </w:r>
          </w:p>
        </w:tc>
      </w:tr>
    </w:tbl>
    <w:p w:rsidRPr="009C48DA" w:rsidR="00661519" w:rsidP="00661519" w:rsidRDefault="00661519" w14:paraId="0C9BF1DF" w14:textId="77777777">
      <w:pPr>
        <w:textAlignment w:val="baseline"/>
        <w:rPr>
          <w:rFonts w:eastAsia="Times New Roman" w:cs="Times New Roman"/>
          <w:b/>
          <w:color w:val="000000"/>
          <w:sz w:val="16"/>
          <w:szCs w:val="22"/>
          <w:u w:val="single"/>
          <w:lang w:val="en-GB"/>
        </w:rPr>
      </w:pPr>
    </w:p>
    <w:p w:rsidRPr="009C48DA" w:rsidR="00661519" w:rsidP="00661519" w:rsidRDefault="00661519" w14:paraId="559A9F46" w14:textId="77777777">
      <w:pPr>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br w:type="page"/>
      </w: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right w:w="0" w:type="dxa"/>
        </w:tblCellMar>
        <w:tblLook w:val="04A0" w:firstRow="1" w:lastRow="0" w:firstColumn="1" w:lastColumn="0" w:noHBand="0" w:noVBand="1"/>
      </w:tblPr>
      <w:tblGrid>
        <w:gridCol w:w="2683"/>
        <w:gridCol w:w="1055"/>
        <w:gridCol w:w="1100"/>
        <w:gridCol w:w="1053"/>
        <w:gridCol w:w="1056"/>
        <w:gridCol w:w="1043"/>
        <w:gridCol w:w="1224"/>
      </w:tblGrid>
      <w:tr w:rsidRPr="009C48DA" w:rsidR="00661519" w:rsidTr="00661519" w14:paraId="0B98CCDE" w14:textId="77777777">
        <w:tc>
          <w:tcPr>
            <w:tcW w:w="2683" w:type="dxa"/>
            <w:vAlign w:val="bottom"/>
          </w:tcPr>
          <w:p w:rsidRPr="009C48DA" w:rsidR="00661519" w:rsidP="00661519" w:rsidRDefault="00661519" w14:paraId="27DD212A" w14:textId="77777777">
            <w:pPr>
              <w:spacing w:before="60"/>
              <w:textAlignment w:val="baseline"/>
              <w:rPr>
                <w:rFonts w:eastAsia="Times New Roman"/>
                <w:b/>
                <w:color w:val="000000"/>
                <w:sz w:val="16"/>
                <w:lang w:val="en-GB"/>
              </w:rPr>
            </w:pPr>
            <w:r w:rsidRPr="009C48DA">
              <w:rPr>
                <w:rFonts w:eastAsia="Times New Roman"/>
                <w:b/>
                <w:color w:val="000000"/>
                <w:sz w:val="16"/>
                <w:lang w:val="en-GB"/>
              </w:rPr>
              <w:lastRenderedPageBreak/>
              <w:t>Three month period ended</w:t>
            </w:r>
          </w:p>
          <w:p w:rsidRPr="009C48DA" w:rsidR="00661519" w:rsidP="00661519" w:rsidRDefault="00661519" w14:paraId="694E0ED7" w14:textId="77777777">
            <w:pPr>
              <w:jc w:val="both"/>
              <w:textAlignment w:val="baseline"/>
              <w:rPr>
                <w:rFonts w:eastAsia="Times New Roman"/>
                <w:b/>
                <w:color w:val="000000"/>
                <w:sz w:val="16"/>
                <w:lang w:val="en-GB"/>
              </w:rPr>
            </w:pPr>
            <w:r w:rsidRPr="009C48DA">
              <w:rPr>
                <w:rFonts w:eastAsia="Times New Roman"/>
                <w:b/>
                <w:color w:val="000000"/>
                <w:sz w:val="16"/>
                <w:lang w:val="en-GB"/>
              </w:rPr>
              <w:t>31 March 2021</w:t>
            </w:r>
          </w:p>
        </w:tc>
        <w:tc>
          <w:tcPr>
            <w:tcW w:w="1055" w:type="dxa"/>
            <w:vAlign w:val="bottom"/>
          </w:tcPr>
          <w:p w:rsidRPr="009C48DA" w:rsidR="00661519" w:rsidP="00661519" w:rsidRDefault="00661519" w14:paraId="729C2BFD" w14:textId="77777777">
            <w:pPr>
              <w:jc w:val="center"/>
              <w:textAlignment w:val="baseline"/>
              <w:rPr>
                <w:rFonts w:eastAsia="Times New Roman"/>
                <w:b/>
                <w:color w:val="000000"/>
                <w:sz w:val="16"/>
                <w:lang w:val="en-GB"/>
              </w:rPr>
            </w:pPr>
            <w:r w:rsidRPr="009C48DA">
              <w:rPr>
                <w:rFonts w:eastAsia="Times New Roman"/>
                <w:b/>
                <w:color w:val="000000"/>
                <w:sz w:val="16"/>
                <w:lang w:val="en-GB"/>
              </w:rPr>
              <w:t>Private</w:t>
            </w:r>
          </w:p>
          <w:p w:rsidRPr="009C48DA" w:rsidR="00661519" w:rsidP="00661519" w:rsidRDefault="00661519" w14:paraId="6C50799A" w14:textId="77777777">
            <w:pPr>
              <w:jc w:val="center"/>
              <w:textAlignment w:val="baseline"/>
              <w:rPr>
                <w:rFonts w:eastAsia="Times New Roman"/>
                <w:b/>
                <w:color w:val="000000"/>
                <w:sz w:val="16"/>
                <w:lang w:val="en-GB"/>
              </w:rPr>
            </w:pPr>
            <w:r w:rsidRPr="009C48DA">
              <w:rPr>
                <w:rFonts w:eastAsia="Times New Roman"/>
                <w:b/>
                <w:color w:val="000000"/>
                <w:sz w:val="16"/>
                <w:lang w:val="en-GB"/>
              </w:rPr>
              <w:t>Equity</w:t>
            </w:r>
          </w:p>
          <w:p w:rsidRPr="009C48DA" w:rsidR="00661519" w:rsidP="00661519" w:rsidRDefault="00661519" w14:paraId="6655E9FA"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100" w:type="dxa"/>
            <w:vAlign w:val="bottom"/>
          </w:tcPr>
          <w:p w:rsidRPr="009C48DA" w:rsidR="00661519" w:rsidP="00661519" w:rsidRDefault="00661519" w14:paraId="08FDFE5B" w14:textId="77777777">
            <w:pPr>
              <w:jc w:val="center"/>
              <w:textAlignment w:val="baseline"/>
              <w:rPr>
                <w:rFonts w:eastAsia="Times New Roman"/>
                <w:b/>
                <w:color w:val="000000"/>
                <w:sz w:val="16"/>
                <w:lang w:val="en-GB"/>
              </w:rPr>
            </w:pPr>
            <w:r w:rsidRPr="009C48DA">
              <w:rPr>
                <w:rFonts w:eastAsia="Times New Roman"/>
                <w:b/>
                <w:color w:val="000000"/>
                <w:sz w:val="16"/>
                <w:lang w:val="en-GB"/>
              </w:rPr>
              <w:t>Credit</w:t>
            </w:r>
          </w:p>
          <w:p w:rsidRPr="009C48DA" w:rsidR="00661519" w:rsidP="00661519" w:rsidRDefault="00661519" w14:paraId="13139711"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53" w:type="dxa"/>
            <w:vAlign w:val="bottom"/>
          </w:tcPr>
          <w:p w:rsidRPr="009C48DA" w:rsidR="00661519" w:rsidP="00661519" w:rsidRDefault="00661519" w14:paraId="71972EE1" w14:textId="77777777">
            <w:pPr>
              <w:jc w:val="center"/>
              <w:textAlignment w:val="baseline"/>
              <w:rPr>
                <w:rFonts w:eastAsia="Times New Roman"/>
                <w:b/>
                <w:color w:val="000000"/>
                <w:sz w:val="16"/>
                <w:lang w:val="en-GB"/>
              </w:rPr>
            </w:pPr>
            <w:r w:rsidRPr="009C48DA">
              <w:rPr>
                <w:rFonts w:eastAsia="Times New Roman"/>
                <w:b/>
                <w:color w:val="000000"/>
                <w:sz w:val="16"/>
                <w:lang w:val="en-GB"/>
              </w:rPr>
              <w:t>Central</w:t>
            </w:r>
          </w:p>
          <w:p w:rsidRPr="009C48DA" w:rsidR="00661519" w:rsidP="00661519" w:rsidRDefault="00661519" w14:paraId="4FEE676C"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56" w:type="dxa"/>
            <w:vAlign w:val="bottom"/>
          </w:tcPr>
          <w:p w:rsidRPr="009C48DA" w:rsidR="00661519" w:rsidP="00661519" w:rsidRDefault="00661519" w14:paraId="0802737A" w14:textId="77777777">
            <w:pPr>
              <w:jc w:val="center"/>
              <w:textAlignment w:val="baseline"/>
              <w:rPr>
                <w:rFonts w:eastAsia="Times New Roman"/>
                <w:b/>
                <w:color w:val="000000"/>
                <w:sz w:val="16"/>
                <w:lang w:val="en-GB"/>
              </w:rPr>
            </w:pPr>
            <w:r w:rsidRPr="009C48DA">
              <w:rPr>
                <w:rFonts w:eastAsia="Times New Roman"/>
                <w:b/>
                <w:color w:val="000000"/>
                <w:sz w:val="16"/>
                <w:lang w:val="en-GB"/>
              </w:rPr>
              <w:t>Total Core</w:t>
            </w:r>
          </w:p>
          <w:p w:rsidRPr="009C48DA" w:rsidR="00661519" w:rsidP="00661519" w:rsidRDefault="00661519" w14:paraId="6114CF9B"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43" w:type="dxa"/>
            <w:vAlign w:val="bottom"/>
          </w:tcPr>
          <w:p w:rsidRPr="009C48DA" w:rsidR="00661519" w:rsidP="00661519" w:rsidRDefault="00661519" w14:paraId="766D67AA"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Total Other </w:t>
            </w:r>
          </w:p>
          <w:p w:rsidRPr="009C48DA" w:rsidR="00661519" w:rsidP="00661519" w:rsidRDefault="00661519" w14:paraId="5E2ED659"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24" w:type="dxa"/>
            <w:vAlign w:val="bottom"/>
          </w:tcPr>
          <w:p w:rsidRPr="009C48DA" w:rsidR="00661519" w:rsidP="00661519" w:rsidRDefault="00661519" w14:paraId="45E1FC42"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Total Group </w:t>
            </w:r>
          </w:p>
          <w:p w:rsidRPr="009C48DA" w:rsidR="00661519" w:rsidP="00661519" w:rsidRDefault="00661519" w14:paraId="09974759"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72411642" w14:textId="77777777">
        <w:tc>
          <w:tcPr>
            <w:tcW w:w="2683" w:type="dxa"/>
            <w:vAlign w:val="bottom"/>
          </w:tcPr>
          <w:p w:rsidRPr="009C48DA" w:rsidR="00661519" w:rsidP="00661519" w:rsidRDefault="00661519" w14:paraId="7FF82893" w14:textId="77777777">
            <w:pPr>
              <w:tabs>
                <w:tab w:val="left" w:pos="3528"/>
                <w:tab w:val="left" w:pos="5112"/>
                <w:tab w:val="left" w:pos="6696"/>
                <w:tab w:val="left" w:pos="8136"/>
              </w:tabs>
              <w:spacing w:before="60"/>
              <w:ind w:right="504"/>
              <w:textAlignment w:val="baseline"/>
              <w:rPr>
                <w:rFonts w:eastAsia="Times New Roman"/>
                <w:color w:val="000000"/>
                <w:sz w:val="16"/>
                <w:lang w:val="en-GB"/>
              </w:rPr>
            </w:pPr>
            <w:r w:rsidRPr="009C48DA">
              <w:rPr>
                <w:rFonts w:eastAsia="Times New Roman"/>
                <w:color w:val="000000"/>
                <w:sz w:val="16"/>
                <w:lang w:val="en-GB"/>
              </w:rPr>
              <w:t>Management fees</w:t>
            </w:r>
          </w:p>
        </w:tc>
        <w:tc>
          <w:tcPr>
            <w:tcW w:w="1055" w:type="dxa"/>
          </w:tcPr>
          <w:p w:rsidRPr="009C48DA" w:rsidR="00661519" w:rsidP="00661519" w:rsidRDefault="00661519" w14:paraId="6E399DFD"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38,996</w:t>
            </w:r>
          </w:p>
        </w:tc>
        <w:tc>
          <w:tcPr>
            <w:tcW w:w="1100" w:type="dxa"/>
          </w:tcPr>
          <w:p w:rsidRPr="009C48DA" w:rsidR="00661519" w:rsidP="00661519" w:rsidRDefault="00661519" w14:paraId="336EE63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8,850</w:t>
            </w:r>
          </w:p>
        </w:tc>
        <w:tc>
          <w:tcPr>
            <w:tcW w:w="1053" w:type="dxa"/>
          </w:tcPr>
          <w:p w:rsidRPr="009C48DA" w:rsidR="00661519" w:rsidP="00661519" w:rsidRDefault="00661519" w14:paraId="40830787"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6" w:type="dxa"/>
          </w:tcPr>
          <w:p w:rsidRPr="009C48DA" w:rsidR="00661519" w:rsidP="00661519" w:rsidRDefault="00661519" w14:paraId="7DC49251"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47,846</w:t>
            </w:r>
          </w:p>
        </w:tc>
        <w:tc>
          <w:tcPr>
            <w:tcW w:w="1043" w:type="dxa"/>
          </w:tcPr>
          <w:p w:rsidRPr="009C48DA" w:rsidR="00661519" w:rsidP="00661519" w:rsidRDefault="00661519" w14:paraId="792E2A2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211</w:t>
            </w:r>
          </w:p>
        </w:tc>
        <w:tc>
          <w:tcPr>
            <w:tcW w:w="1224" w:type="dxa"/>
          </w:tcPr>
          <w:p w:rsidRPr="009C48DA" w:rsidR="00661519" w:rsidP="00661519" w:rsidRDefault="00661519" w14:paraId="7B15112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48,057</w:t>
            </w:r>
          </w:p>
        </w:tc>
      </w:tr>
      <w:tr w:rsidRPr="009C48DA" w:rsidR="00661519" w:rsidTr="00661519" w14:paraId="0440A4B5" w14:textId="77777777">
        <w:tc>
          <w:tcPr>
            <w:tcW w:w="2683" w:type="dxa"/>
            <w:vAlign w:val="bottom"/>
          </w:tcPr>
          <w:p w:rsidRPr="009C48DA" w:rsidR="00661519" w:rsidP="00661519" w:rsidRDefault="00661519" w14:paraId="45FFC841" w14:textId="77777777">
            <w:pPr>
              <w:spacing w:before="60"/>
              <w:textAlignment w:val="baseline"/>
              <w:rPr>
                <w:rFonts w:eastAsia="Times New Roman"/>
                <w:color w:val="000000"/>
                <w:sz w:val="16"/>
                <w:lang w:val="en-GB"/>
              </w:rPr>
            </w:pPr>
            <w:r w:rsidRPr="009C48DA">
              <w:rPr>
                <w:rFonts w:eastAsia="Times New Roman"/>
                <w:color w:val="000000"/>
                <w:sz w:val="16"/>
                <w:lang w:val="en-GB"/>
              </w:rPr>
              <w:t>Carried interest</w:t>
            </w:r>
          </w:p>
        </w:tc>
        <w:tc>
          <w:tcPr>
            <w:tcW w:w="1055" w:type="dxa"/>
          </w:tcPr>
          <w:p w:rsidRPr="009C48DA" w:rsidR="00661519" w:rsidP="00661519" w:rsidRDefault="00661519" w14:paraId="00B23D3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(681)</w:t>
            </w:r>
          </w:p>
        </w:tc>
        <w:tc>
          <w:tcPr>
            <w:tcW w:w="1100" w:type="dxa"/>
          </w:tcPr>
          <w:p w:rsidRPr="009C48DA" w:rsidR="00661519" w:rsidP="00661519" w:rsidRDefault="00661519" w14:paraId="50E2DAB1"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3" w:type="dxa"/>
          </w:tcPr>
          <w:p w:rsidRPr="009C48DA" w:rsidR="00661519" w:rsidP="00661519" w:rsidRDefault="00661519" w14:paraId="29EC9A3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6" w:type="dxa"/>
          </w:tcPr>
          <w:p w:rsidRPr="009C48DA" w:rsidR="00661519" w:rsidP="00661519" w:rsidRDefault="00661519" w14:paraId="74E5BE3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(681)</w:t>
            </w:r>
          </w:p>
        </w:tc>
        <w:tc>
          <w:tcPr>
            <w:tcW w:w="1043" w:type="dxa"/>
          </w:tcPr>
          <w:p w:rsidRPr="009C48DA" w:rsidR="00661519" w:rsidP="00661519" w:rsidRDefault="00661519" w14:paraId="2CC0578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224" w:type="dxa"/>
          </w:tcPr>
          <w:p w:rsidRPr="009C48DA" w:rsidR="00661519" w:rsidP="00661519" w:rsidRDefault="00661519" w14:paraId="69EB559F"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(681)</w:t>
            </w:r>
          </w:p>
        </w:tc>
      </w:tr>
      <w:tr w:rsidRPr="009C48DA" w:rsidR="00661519" w:rsidTr="00661519" w14:paraId="5F8D31A2" w14:textId="77777777">
        <w:tc>
          <w:tcPr>
            <w:tcW w:w="2683" w:type="dxa"/>
            <w:vAlign w:val="bottom"/>
          </w:tcPr>
          <w:p w:rsidRPr="009C48DA" w:rsidR="00661519" w:rsidP="00661519" w:rsidRDefault="00661519" w14:paraId="3EFB7577" w14:textId="77777777">
            <w:pPr>
              <w:spacing w:before="60" w:line="182" w:lineRule="exact"/>
              <w:textAlignment w:val="baseline"/>
              <w:rPr>
                <w:rFonts w:eastAsia="Times New Roman"/>
                <w:color w:val="000000"/>
                <w:sz w:val="16"/>
                <w:lang w:val="en-GB"/>
              </w:rPr>
            </w:pPr>
            <w:r w:rsidRPr="009C48DA">
              <w:rPr>
                <w:rFonts w:eastAsia="Times New Roman"/>
                <w:color w:val="000000"/>
                <w:sz w:val="16"/>
                <w:lang w:val="en-GB"/>
              </w:rPr>
              <w:t>Fair value remeasurement of investments</w:t>
            </w:r>
          </w:p>
        </w:tc>
        <w:tc>
          <w:tcPr>
            <w:tcW w:w="1055" w:type="dxa"/>
            <w:vAlign w:val="bottom"/>
          </w:tcPr>
          <w:p w:rsidRPr="009C48DA" w:rsidR="00661519" w:rsidP="00661519" w:rsidRDefault="00661519" w14:paraId="4FD63B88"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12,979</w:t>
            </w:r>
          </w:p>
        </w:tc>
        <w:tc>
          <w:tcPr>
            <w:tcW w:w="1100" w:type="dxa"/>
            <w:vAlign w:val="bottom"/>
          </w:tcPr>
          <w:p w:rsidRPr="009C48DA" w:rsidR="00661519" w:rsidP="00661519" w:rsidRDefault="00661519" w14:paraId="68B6C06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632</w:t>
            </w:r>
          </w:p>
        </w:tc>
        <w:tc>
          <w:tcPr>
            <w:tcW w:w="1053" w:type="dxa"/>
            <w:vAlign w:val="bottom"/>
          </w:tcPr>
          <w:p w:rsidRPr="009C48DA" w:rsidR="00661519" w:rsidP="00661519" w:rsidRDefault="00661519" w14:paraId="4600DE47"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6" w:type="dxa"/>
            <w:vAlign w:val="bottom"/>
          </w:tcPr>
          <w:p w:rsidRPr="009C48DA" w:rsidR="00661519" w:rsidP="00661519" w:rsidRDefault="00661519" w14:paraId="2A5C2AF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13,611</w:t>
            </w:r>
          </w:p>
        </w:tc>
        <w:tc>
          <w:tcPr>
            <w:tcW w:w="1043" w:type="dxa"/>
            <w:vAlign w:val="bottom"/>
          </w:tcPr>
          <w:p w:rsidRPr="009C48DA" w:rsidR="00661519" w:rsidP="00661519" w:rsidRDefault="00661519" w14:paraId="2CE982D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224" w:type="dxa"/>
            <w:vAlign w:val="bottom"/>
          </w:tcPr>
          <w:p w:rsidRPr="009C48DA" w:rsidR="00661519" w:rsidP="00661519" w:rsidRDefault="00661519" w14:paraId="154DAA5B"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13,611</w:t>
            </w:r>
          </w:p>
        </w:tc>
      </w:tr>
      <w:tr w:rsidRPr="009C48DA" w:rsidR="00661519" w:rsidTr="00661519" w14:paraId="12AC80DC" w14:textId="77777777">
        <w:tc>
          <w:tcPr>
            <w:tcW w:w="2683" w:type="dxa"/>
            <w:vAlign w:val="bottom"/>
          </w:tcPr>
          <w:p w:rsidRPr="009C48DA" w:rsidR="00661519" w:rsidP="00661519" w:rsidRDefault="00661519" w14:paraId="46B6061E" w14:textId="77777777">
            <w:pPr>
              <w:spacing w:before="60"/>
              <w:textAlignment w:val="baseline"/>
              <w:rPr>
                <w:rFonts w:eastAsia="Times New Roman"/>
                <w:color w:val="000000"/>
                <w:sz w:val="16"/>
                <w:lang w:val="en-GB"/>
              </w:rPr>
            </w:pPr>
            <w:r w:rsidRPr="009C48DA">
              <w:rPr>
                <w:rFonts w:eastAsia="Times New Roman"/>
                <w:color w:val="000000"/>
                <w:sz w:val="16"/>
                <w:lang w:val="en-GB"/>
              </w:rPr>
              <w:t>Other operating income</w:t>
            </w:r>
          </w:p>
        </w:tc>
        <w:tc>
          <w:tcPr>
            <w:tcW w:w="1055" w:type="dxa"/>
          </w:tcPr>
          <w:p w:rsidRPr="009C48DA" w:rsidR="00661519" w:rsidP="00661519" w:rsidRDefault="00661519" w14:paraId="501586D0" w14:textId="77777777">
            <w:pPr>
              <w:pBdr>
                <w:bottom w:val="single" w:color="auto" w:sz="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20</w:t>
            </w:r>
          </w:p>
        </w:tc>
        <w:tc>
          <w:tcPr>
            <w:tcW w:w="1100" w:type="dxa"/>
          </w:tcPr>
          <w:p w:rsidRPr="009C48DA" w:rsidR="00661519" w:rsidP="00661519" w:rsidRDefault="00661519" w14:paraId="64E1B233" w14:textId="77777777">
            <w:pPr>
              <w:pBdr>
                <w:bottom w:val="single" w:color="auto" w:sz="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3" w:type="dxa"/>
          </w:tcPr>
          <w:p w:rsidRPr="009C48DA" w:rsidR="00661519" w:rsidP="00661519" w:rsidRDefault="00661519" w14:paraId="417E4A29" w14:textId="77777777">
            <w:pPr>
              <w:pBdr>
                <w:bottom w:val="single" w:color="auto" w:sz="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6" w:type="dxa"/>
          </w:tcPr>
          <w:p w:rsidRPr="009C48DA" w:rsidR="00661519" w:rsidP="00661519" w:rsidRDefault="00661519" w14:paraId="24EFD57F" w14:textId="77777777">
            <w:pPr>
              <w:pBdr>
                <w:bottom w:val="single" w:color="auto" w:sz="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20</w:t>
            </w:r>
          </w:p>
        </w:tc>
        <w:tc>
          <w:tcPr>
            <w:tcW w:w="1043" w:type="dxa"/>
          </w:tcPr>
          <w:p w:rsidRPr="009C48DA" w:rsidR="00661519" w:rsidP="00661519" w:rsidRDefault="00661519" w14:paraId="1FDE315F" w14:textId="77777777">
            <w:pPr>
              <w:pBdr>
                <w:bottom w:val="single" w:color="auto" w:sz="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363</w:t>
            </w:r>
          </w:p>
        </w:tc>
        <w:tc>
          <w:tcPr>
            <w:tcW w:w="1224" w:type="dxa"/>
          </w:tcPr>
          <w:p w:rsidRPr="009C48DA" w:rsidR="00661519" w:rsidP="00661519" w:rsidRDefault="00661519" w14:paraId="2A18C0E3" w14:textId="77777777">
            <w:pPr>
              <w:pBdr>
                <w:bottom w:val="single" w:color="auto" w:sz="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383</w:t>
            </w:r>
          </w:p>
        </w:tc>
      </w:tr>
      <w:tr w:rsidRPr="009C48DA" w:rsidR="00661519" w:rsidTr="00661519" w14:paraId="66AD5CEE" w14:textId="77777777">
        <w:tc>
          <w:tcPr>
            <w:tcW w:w="2683" w:type="dxa"/>
            <w:vAlign w:val="bottom"/>
          </w:tcPr>
          <w:p w:rsidRPr="009C48DA" w:rsidR="00661519" w:rsidP="00661519" w:rsidRDefault="00661519" w14:paraId="7ED83AD4" w14:textId="77777777">
            <w:pPr>
              <w:spacing w:before="60"/>
              <w:textAlignment w:val="baseline"/>
              <w:rPr>
                <w:rFonts w:eastAsia="Times New Roman"/>
                <w:color w:val="000000"/>
                <w:sz w:val="16"/>
                <w:lang w:val="en-GB"/>
              </w:rPr>
            </w:pPr>
            <w:r w:rsidRPr="009C48DA">
              <w:rPr>
                <w:rFonts w:eastAsia="Times New Roman"/>
                <w:color w:val="000000"/>
                <w:sz w:val="16"/>
                <w:lang w:val="en-GB"/>
              </w:rPr>
              <w:t>Total operating income</w:t>
            </w:r>
          </w:p>
        </w:tc>
        <w:tc>
          <w:tcPr>
            <w:tcW w:w="1055" w:type="dxa"/>
          </w:tcPr>
          <w:p w:rsidRPr="009C48DA" w:rsidR="00661519" w:rsidP="00661519" w:rsidRDefault="00661519" w14:paraId="4855DF16"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51,314</w:t>
            </w:r>
          </w:p>
        </w:tc>
        <w:tc>
          <w:tcPr>
            <w:tcW w:w="1100" w:type="dxa"/>
          </w:tcPr>
          <w:p w:rsidRPr="009C48DA" w:rsidR="00661519" w:rsidP="00661519" w:rsidRDefault="00661519" w14:paraId="215C237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9,482</w:t>
            </w:r>
          </w:p>
        </w:tc>
        <w:tc>
          <w:tcPr>
            <w:tcW w:w="1053" w:type="dxa"/>
          </w:tcPr>
          <w:p w:rsidRPr="009C48DA" w:rsidR="00661519" w:rsidP="00661519" w:rsidRDefault="00661519" w14:paraId="66C84E5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6" w:type="dxa"/>
          </w:tcPr>
          <w:p w:rsidRPr="009C48DA" w:rsidR="00661519" w:rsidP="00661519" w:rsidRDefault="00661519" w14:paraId="2D7314F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60,796</w:t>
            </w:r>
          </w:p>
        </w:tc>
        <w:tc>
          <w:tcPr>
            <w:tcW w:w="1043" w:type="dxa"/>
          </w:tcPr>
          <w:p w:rsidRPr="009C48DA" w:rsidR="00661519" w:rsidP="00661519" w:rsidRDefault="00661519" w14:paraId="32F8E12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574</w:t>
            </w:r>
          </w:p>
        </w:tc>
        <w:tc>
          <w:tcPr>
            <w:tcW w:w="1224" w:type="dxa"/>
          </w:tcPr>
          <w:p w:rsidRPr="009C48DA" w:rsidR="00661519" w:rsidP="00661519" w:rsidRDefault="00661519" w14:paraId="10E2C507"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61,370</w:t>
            </w:r>
          </w:p>
        </w:tc>
      </w:tr>
      <w:tr w:rsidRPr="009C48DA" w:rsidR="00661519" w:rsidTr="00661519" w14:paraId="2B778D55" w14:textId="77777777">
        <w:tc>
          <w:tcPr>
            <w:tcW w:w="2683" w:type="dxa"/>
            <w:vAlign w:val="bottom"/>
          </w:tcPr>
          <w:p w:rsidRPr="009C48DA" w:rsidR="00661519" w:rsidP="00661519" w:rsidRDefault="00661519" w14:paraId="23D309ED" w14:textId="77777777">
            <w:pPr>
              <w:spacing w:before="60"/>
              <w:textAlignment w:val="baseline"/>
              <w:rPr>
                <w:rFonts w:eastAsia="Times New Roman"/>
                <w:color w:val="000000"/>
                <w:sz w:val="16"/>
                <w:lang w:val="en-GB"/>
              </w:rPr>
            </w:pPr>
            <w:r w:rsidRPr="009C48DA">
              <w:rPr>
                <w:rFonts w:eastAsia="Times New Roman"/>
                <w:color w:val="000000"/>
                <w:sz w:val="16"/>
                <w:lang w:val="en-GB"/>
              </w:rPr>
              <w:t>Personnel expenses</w:t>
            </w:r>
          </w:p>
        </w:tc>
        <w:tc>
          <w:tcPr>
            <w:tcW w:w="1055" w:type="dxa"/>
          </w:tcPr>
          <w:p w:rsidRPr="009C48DA" w:rsidR="00661519" w:rsidP="00661519" w:rsidRDefault="00661519" w14:paraId="72309F6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(14,936)</w:t>
            </w:r>
          </w:p>
        </w:tc>
        <w:tc>
          <w:tcPr>
            <w:tcW w:w="1100" w:type="dxa"/>
          </w:tcPr>
          <w:p w:rsidRPr="009C48DA" w:rsidR="00661519" w:rsidP="00661519" w:rsidRDefault="00661519" w14:paraId="4E6088F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(5,758)</w:t>
            </w:r>
          </w:p>
        </w:tc>
        <w:tc>
          <w:tcPr>
            <w:tcW w:w="1053" w:type="dxa"/>
          </w:tcPr>
          <w:p w:rsidRPr="009C48DA" w:rsidR="00661519" w:rsidP="00661519" w:rsidRDefault="00661519" w14:paraId="68723A86"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(6,757)</w:t>
            </w:r>
          </w:p>
        </w:tc>
        <w:tc>
          <w:tcPr>
            <w:tcW w:w="1056" w:type="dxa"/>
          </w:tcPr>
          <w:p w:rsidRPr="009C48DA" w:rsidR="00661519" w:rsidP="00661519" w:rsidRDefault="00661519" w14:paraId="013C10A2"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(27,451)</w:t>
            </w:r>
          </w:p>
        </w:tc>
        <w:tc>
          <w:tcPr>
            <w:tcW w:w="1043" w:type="dxa"/>
          </w:tcPr>
          <w:p w:rsidRPr="009C48DA" w:rsidR="00661519" w:rsidP="00661519" w:rsidRDefault="00661519" w14:paraId="7856C42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(300)</w:t>
            </w:r>
          </w:p>
        </w:tc>
        <w:tc>
          <w:tcPr>
            <w:tcW w:w="1224" w:type="dxa"/>
          </w:tcPr>
          <w:p w:rsidRPr="009C48DA" w:rsidR="00661519" w:rsidP="00661519" w:rsidRDefault="00661519" w14:paraId="33B114CB"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(27,751)</w:t>
            </w:r>
          </w:p>
        </w:tc>
      </w:tr>
      <w:tr w:rsidRPr="009C48DA" w:rsidR="00661519" w:rsidTr="00661519" w14:paraId="6199BDA6" w14:textId="77777777">
        <w:tc>
          <w:tcPr>
            <w:tcW w:w="2683" w:type="dxa"/>
            <w:vAlign w:val="bottom"/>
          </w:tcPr>
          <w:p w:rsidRPr="009C48DA" w:rsidR="00661519" w:rsidP="00661519" w:rsidRDefault="00661519" w14:paraId="2475CAB3" w14:textId="77777777">
            <w:pPr>
              <w:spacing w:before="60"/>
              <w:textAlignment w:val="baseline"/>
              <w:rPr>
                <w:rFonts w:eastAsia="Times New Roman"/>
                <w:color w:val="000000"/>
                <w:sz w:val="16"/>
                <w:lang w:val="en-GB"/>
              </w:rPr>
            </w:pPr>
            <w:r w:rsidRPr="009C48DA">
              <w:rPr>
                <w:rFonts w:eastAsia="Times New Roman"/>
                <w:color w:val="000000"/>
                <w:sz w:val="16"/>
                <w:lang w:val="en-GB"/>
              </w:rPr>
              <w:t>Other operating expenses</w:t>
            </w:r>
          </w:p>
        </w:tc>
        <w:tc>
          <w:tcPr>
            <w:tcW w:w="1055" w:type="dxa"/>
          </w:tcPr>
          <w:p w:rsidRPr="009C48DA" w:rsidR="00661519" w:rsidP="00661519" w:rsidRDefault="00661519" w14:paraId="55EE002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(3,420)</w:t>
            </w:r>
          </w:p>
        </w:tc>
        <w:tc>
          <w:tcPr>
            <w:tcW w:w="1100" w:type="dxa"/>
          </w:tcPr>
          <w:p w:rsidRPr="009C48DA" w:rsidR="00661519" w:rsidP="00661519" w:rsidRDefault="00661519" w14:paraId="2689C5A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(2,284)</w:t>
            </w:r>
          </w:p>
        </w:tc>
        <w:tc>
          <w:tcPr>
            <w:tcW w:w="1053" w:type="dxa"/>
          </w:tcPr>
          <w:p w:rsidRPr="009C48DA" w:rsidR="00661519" w:rsidP="00661519" w:rsidRDefault="00661519" w14:paraId="0E710C9D"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(1,415)</w:t>
            </w:r>
          </w:p>
        </w:tc>
        <w:tc>
          <w:tcPr>
            <w:tcW w:w="1056" w:type="dxa"/>
          </w:tcPr>
          <w:p w:rsidRPr="009C48DA" w:rsidR="00661519" w:rsidP="00661519" w:rsidRDefault="00661519" w14:paraId="21FD8E32"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(7,119)</w:t>
            </w:r>
          </w:p>
        </w:tc>
        <w:tc>
          <w:tcPr>
            <w:tcW w:w="1043" w:type="dxa"/>
          </w:tcPr>
          <w:p w:rsidRPr="009C48DA" w:rsidR="00661519" w:rsidP="00661519" w:rsidRDefault="00661519" w14:paraId="1744DF9F"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(45)</w:t>
            </w:r>
          </w:p>
        </w:tc>
        <w:tc>
          <w:tcPr>
            <w:tcW w:w="1224" w:type="dxa"/>
          </w:tcPr>
          <w:p w:rsidRPr="009C48DA" w:rsidR="00661519" w:rsidP="00661519" w:rsidRDefault="00661519" w14:paraId="484386D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(7,164)</w:t>
            </w:r>
          </w:p>
        </w:tc>
      </w:tr>
      <w:tr w:rsidRPr="009C48DA" w:rsidR="00661519" w:rsidTr="00661519" w14:paraId="76E91B11" w14:textId="77777777">
        <w:tc>
          <w:tcPr>
            <w:tcW w:w="2683" w:type="dxa"/>
            <w:vAlign w:val="bottom"/>
          </w:tcPr>
          <w:p w:rsidRPr="009C48DA" w:rsidR="00661519" w:rsidP="00661519" w:rsidRDefault="00661519" w14:paraId="620D82B0" w14:textId="77777777">
            <w:pPr>
              <w:spacing w:before="60"/>
              <w:textAlignment w:val="baseline"/>
              <w:rPr>
                <w:rFonts w:eastAsia="Times New Roman"/>
                <w:b/>
                <w:color w:val="000000"/>
                <w:sz w:val="16"/>
                <w:lang w:val="en-GB"/>
              </w:rPr>
            </w:pPr>
            <w:r w:rsidRPr="009C48DA">
              <w:rPr>
                <w:rFonts w:eastAsia="Times New Roman"/>
                <w:color w:val="000000"/>
                <w:sz w:val="16"/>
                <w:lang w:val="en-GB"/>
              </w:rPr>
              <w:t>Foreign exchange</w:t>
            </w:r>
          </w:p>
        </w:tc>
        <w:tc>
          <w:tcPr>
            <w:tcW w:w="1055" w:type="dxa"/>
          </w:tcPr>
          <w:p w:rsidRPr="009C48DA" w:rsidR="00661519" w:rsidP="00661519" w:rsidRDefault="00661519" w14:paraId="3B5B7DAB"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100" w:type="dxa"/>
          </w:tcPr>
          <w:p w:rsidRPr="009C48DA" w:rsidR="00661519" w:rsidP="00661519" w:rsidRDefault="00661519" w14:paraId="3FF0D9E5"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053" w:type="dxa"/>
          </w:tcPr>
          <w:p w:rsidRPr="009C48DA" w:rsidR="00661519" w:rsidP="00661519" w:rsidRDefault="00661519" w14:paraId="15E3F8B1"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1,199</w:t>
            </w:r>
          </w:p>
        </w:tc>
        <w:tc>
          <w:tcPr>
            <w:tcW w:w="1056" w:type="dxa"/>
          </w:tcPr>
          <w:p w:rsidRPr="009C48DA" w:rsidR="00661519" w:rsidP="00661519" w:rsidRDefault="00661519" w14:paraId="65C85140"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1,199</w:t>
            </w:r>
          </w:p>
        </w:tc>
        <w:tc>
          <w:tcPr>
            <w:tcW w:w="1043" w:type="dxa"/>
          </w:tcPr>
          <w:p w:rsidRPr="009C48DA" w:rsidR="00661519" w:rsidP="00661519" w:rsidRDefault="00661519" w14:paraId="50E1F1DF"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224" w:type="dxa"/>
          </w:tcPr>
          <w:p w:rsidRPr="009C48DA" w:rsidR="00661519" w:rsidP="00661519" w:rsidRDefault="00661519" w14:paraId="0708C7E4"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1,199</w:t>
            </w:r>
          </w:p>
        </w:tc>
      </w:tr>
      <w:tr w:rsidRPr="009C48DA" w:rsidR="00661519" w:rsidTr="00661519" w14:paraId="303BCD40" w14:textId="77777777">
        <w:tc>
          <w:tcPr>
            <w:tcW w:w="2683" w:type="dxa"/>
            <w:vAlign w:val="bottom"/>
          </w:tcPr>
          <w:p w:rsidRPr="009C48DA" w:rsidR="00661519" w:rsidP="00661519" w:rsidRDefault="00661519" w14:paraId="67C03F94" w14:textId="77777777">
            <w:pPr>
              <w:spacing w:before="60"/>
              <w:textAlignment w:val="baseline"/>
              <w:rPr>
                <w:rFonts w:eastAsia="Times New Roman"/>
                <w:b/>
                <w:color w:val="000000"/>
                <w:sz w:val="16"/>
                <w:lang w:val="en-GB"/>
              </w:rPr>
            </w:pPr>
            <w:r w:rsidRPr="009C48DA">
              <w:rPr>
                <w:rFonts w:eastAsia="Times New Roman"/>
                <w:b/>
                <w:color w:val="000000"/>
                <w:sz w:val="16"/>
                <w:lang w:val="en-GB"/>
              </w:rPr>
              <w:t>EBITDA (excluding</w:t>
            </w:r>
          </w:p>
          <w:p w:rsidRPr="009C48DA" w:rsidR="00661519" w:rsidP="00661519" w:rsidRDefault="00661519" w14:paraId="5553F9E4" w14:textId="77777777">
            <w:pPr>
              <w:spacing w:before="60"/>
              <w:textAlignment w:val="baseline"/>
              <w:rPr>
                <w:rFonts w:eastAsia="Times New Roman"/>
                <w:b/>
                <w:color w:val="000000"/>
                <w:sz w:val="16"/>
                <w:lang w:val="en-GB"/>
              </w:rPr>
            </w:pPr>
            <w:r w:rsidRPr="009C48DA">
              <w:rPr>
                <w:rFonts w:eastAsia="Times New Roman"/>
                <w:b/>
                <w:color w:val="000000"/>
                <w:sz w:val="16"/>
                <w:lang w:val="en-GB"/>
              </w:rPr>
              <w:t>exceptional costs)</w:t>
            </w:r>
          </w:p>
        </w:tc>
        <w:tc>
          <w:tcPr>
            <w:tcW w:w="1055" w:type="dxa"/>
            <w:vAlign w:val="bottom"/>
          </w:tcPr>
          <w:p w:rsidRPr="009C48DA" w:rsidR="00661519" w:rsidP="00661519" w:rsidRDefault="00661519" w14:paraId="11A6739A" w14:textId="77777777">
            <w:pPr>
              <w:pBdr>
                <w:bottom w:val="double" w:color="auto" w:sz="4" w:space="1"/>
              </w:pBdr>
              <w:spacing w:before="60"/>
              <w:ind w:right="29"/>
              <w:jc w:val="right"/>
              <w:textAlignment w:val="baseline"/>
              <w:rPr>
                <w:rFonts w:eastAsia="Times New Roman"/>
                <w:color w:val="000000"/>
                <w:sz w:val="16"/>
                <w:lang w:val="en-GB"/>
              </w:rPr>
            </w:pPr>
            <w:r w:rsidRPr="009C48DA">
              <w:rPr>
                <w:rFonts w:eastAsia="Times New Roman"/>
                <w:color w:val="000000"/>
                <w:sz w:val="16"/>
                <w:lang w:val="en-GB"/>
              </w:rPr>
              <w:t>32,958</w:t>
            </w:r>
          </w:p>
        </w:tc>
        <w:tc>
          <w:tcPr>
            <w:tcW w:w="1100" w:type="dxa"/>
            <w:vAlign w:val="bottom"/>
          </w:tcPr>
          <w:p w:rsidRPr="009C48DA" w:rsidR="00661519" w:rsidP="00661519" w:rsidRDefault="00661519" w14:paraId="39AD9145" w14:textId="77777777">
            <w:pPr>
              <w:pBdr>
                <w:bottom w:val="double" w:color="auto" w:sz="4"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1,440</w:t>
            </w:r>
          </w:p>
        </w:tc>
        <w:tc>
          <w:tcPr>
            <w:tcW w:w="1053" w:type="dxa"/>
            <w:vAlign w:val="bottom"/>
          </w:tcPr>
          <w:p w:rsidRPr="009C48DA" w:rsidR="00661519" w:rsidP="00661519" w:rsidRDefault="00661519" w14:paraId="52AAD1FE" w14:textId="77777777">
            <w:pPr>
              <w:pBdr>
                <w:bottom w:val="double" w:color="auto" w:sz="4"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(6,973)</w:t>
            </w:r>
          </w:p>
        </w:tc>
        <w:tc>
          <w:tcPr>
            <w:tcW w:w="1056" w:type="dxa"/>
            <w:vAlign w:val="bottom"/>
          </w:tcPr>
          <w:p w:rsidRPr="009C48DA" w:rsidR="00661519" w:rsidP="00661519" w:rsidRDefault="00661519" w14:paraId="7E46D383" w14:textId="77777777">
            <w:pPr>
              <w:pBdr>
                <w:bottom w:val="double" w:color="auto" w:sz="4"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27,425</w:t>
            </w:r>
          </w:p>
        </w:tc>
        <w:tc>
          <w:tcPr>
            <w:tcW w:w="1043" w:type="dxa"/>
            <w:vAlign w:val="bottom"/>
          </w:tcPr>
          <w:p w:rsidRPr="009C48DA" w:rsidR="00661519" w:rsidP="00661519" w:rsidRDefault="00661519" w14:paraId="7E2D4B69" w14:textId="77777777">
            <w:pPr>
              <w:pBdr>
                <w:bottom w:val="double" w:color="auto" w:sz="4"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229</w:t>
            </w:r>
          </w:p>
        </w:tc>
        <w:tc>
          <w:tcPr>
            <w:tcW w:w="1224" w:type="dxa"/>
            <w:vAlign w:val="bottom"/>
          </w:tcPr>
          <w:p w:rsidRPr="009C48DA" w:rsidR="00661519" w:rsidP="00661519" w:rsidRDefault="00661519" w14:paraId="2AB3010B" w14:textId="77777777">
            <w:pPr>
              <w:pBdr>
                <w:bottom w:val="double" w:color="auto" w:sz="4"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27,654</w:t>
            </w:r>
          </w:p>
        </w:tc>
      </w:tr>
      <w:tr w:rsidRPr="009C48DA" w:rsidR="00661519" w:rsidTr="00661519" w14:paraId="21113885" w14:textId="77777777">
        <w:tc>
          <w:tcPr>
            <w:tcW w:w="2683" w:type="dxa"/>
            <w:vAlign w:val="bottom"/>
          </w:tcPr>
          <w:p w:rsidRPr="009C48DA" w:rsidR="00661519" w:rsidP="00661519" w:rsidRDefault="00661519" w14:paraId="013DEA51" w14:textId="77777777">
            <w:pPr>
              <w:tabs>
                <w:tab w:val="left" w:pos="3528"/>
                <w:tab w:val="left" w:pos="5112"/>
                <w:tab w:val="left" w:pos="6696"/>
                <w:tab w:val="left" w:pos="8136"/>
              </w:tabs>
              <w:spacing w:before="60"/>
              <w:ind w:right="504"/>
              <w:textAlignment w:val="baseline"/>
              <w:rPr>
                <w:rFonts w:eastAsia="Times New Roman"/>
                <w:color w:val="000000"/>
                <w:sz w:val="16"/>
                <w:lang w:val="en-GB"/>
              </w:rPr>
            </w:pPr>
            <w:r w:rsidRPr="009C48DA">
              <w:rPr>
                <w:rFonts w:eastAsia="Times New Roman"/>
                <w:color w:val="000000"/>
                <w:sz w:val="16"/>
                <w:lang w:val="en-GB"/>
              </w:rPr>
              <w:t>Depreciation and amortisation</w:t>
            </w:r>
          </w:p>
        </w:tc>
        <w:tc>
          <w:tcPr>
            <w:tcW w:w="1055" w:type="dxa"/>
          </w:tcPr>
          <w:p w:rsidRPr="009C48DA" w:rsidR="00661519" w:rsidP="00661519" w:rsidRDefault="00661519" w14:paraId="3F52E5A4" w14:textId="77777777">
            <w:pPr>
              <w:spacing w:before="60"/>
              <w:ind w:right="29"/>
              <w:jc w:val="right"/>
              <w:textAlignment w:val="baseline"/>
              <w:rPr>
                <w:rFonts w:eastAsia="Times New Roman"/>
                <w:color w:val="000000"/>
                <w:sz w:val="16"/>
                <w:lang w:val="en-GB"/>
              </w:rPr>
            </w:pPr>
          </w:p>
        </w:tc>
        <w:tc>
          <w:tcPr>
            <w:tcW w:w="1100" w:type="dxa"/>
          </w:tcPr>
          <w:p w:rsidRPr="009C48DA" w:rsidR="00661519" w:rsidP="00661519" w:rsidRDefault="00661519" w14:paraId="6A40919A" w14:textId="77777777">
            <w:pPr>
              <w:spacing w:before="60"/>
              <w:ind w:right="109"/>
              <w:jc w:val="right"/>
              <w:textAlignment w:val="baseline"/>
              <w:rPr>
                <w:rFonts w:eastAsia="Times New Roman"/>
                <w:color w:val="000000"/>
                <w:sz w:val="16"/>
                <w:szCs w:val="16"/>
                <w:lang w:val="en-GB"/>
              </w:rPr>
            </w:pPr>
          </w:p>
        </w:tc>
        <w:tc>
          <w:tcPr>
            <w:tcW w:w="1053" w:type="dxa"/>
          </w:tcPr>
          <w:p w:rsidRPr="009C48DA" w:rsidR="00661519" w:rsidP="00661519" w:rsidRDefault="00661519" w14:paraId="4A1EC21F" w14:textId="77777777">
            <w:pPr>
              <w:spacing w:before="60"/>
              <w:ind w:right="109"/>
              <w:jc w:val="right"/>
              <w:textAlignment w:val="baseline"/>
              <w:rPr>
                <w:rFonts w:eastAsia="Times New Roman"/>
                <w:color w:val="000000"/>
                <w:sz w:val="16"/>
                <w:szCs w:val="16"/>
                <w:lang w:val="en-GB"/>
              </w:rPr>
            </w:pPr>
          </w:p>
        </w:tc>
        <w:tc>
          <w:tcPr>
            <w:tcW w:w="1056" w:type="dxa"/>
          </w:tcPr>
          <w:p w:rsidRPr="009C48DA" w:rsidR="00661519" w:rsidP="00661519" w:rsidRDefault="00661519" w14:paraId="1909FECC" w14:textId="77777777">
            <w:pPr>
              <w:spacing w:before="60"/>
              <w:ind w:right="109"/>
              <w:jc w:val="right"/>
              <w:textAlignment w:val="baseline"/>
              <w:rPr>
                <w:rFonts w:eastAsia="Times New Roman"/>
                <w:color w:val="000000"/>
                <w:sz w:val="16"/>
                <w:szCs w:val="16"/>
                <w:lang w:val="en-GB"/>
              </w:rPr>
            </w:pPr>
          </w:p>
        </w:tc>
        <w:tc>
          <w:tcPr>
            <w:tcW w:w="1043" w:type="dxa"/>
          </w:tcPr>
          <w:p w:rsidRPr="009C48DA" w:rsidR="00661519" w:rsidP="00661519" w:rsidRDefault="00661519" w14:paraId="2F80A24A" w14:textId="77777777">
            <w:pPr>
              <w:spacing w:before="60"/>
              <w:ind w:right="109"/>
              <w:jc w:val="right"/>
              <w:textAlignment w:val="baseline"/>
              <w:rPr>
                <w:rFonts w:eastAsia="Times New Roman"/>
                <w:color w:val="000000"/>
                <w:sz w:val="16"/>
                <w:szCs w:val="16"/>
                <w:lang w:val="en-GB"/>
              </w:rPr>
            </w:pPr>
          </w:p>
        </w:tc>
        <w:tc>
          <w:tcPr>
            <w:tcW w:w="1224" w:type="dxa"/>
          </w:tcPr>
          <w:p w:rsidRPr="009C48DA" w:rsidR="00661519" w:rsidP="00661519" w:rsidRDefault="00661519" w14:paraId="74DEC3F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(3,181)</w:t>
            </w:r>
          </w:p>
        </w:tc>
      </w:tr>
      <w:tr w:rsidRPr="009C48DA" w:rsidR="00661519" w:rsidTr="00661519" w14:paraId="4BF8B01C" w14:textId="77777777">
        <w:tc>
          <w:tcPr>
            <w:tcW w:w="2683" w:type="dxa"/>
            <w:vAlign w:val="bottom"/>
          </w:tcPr>
          <w:p w:rsidRPr="009C48DA" w:rsidR="00661519" w:rsidP="00661519" w:rsidRDefault="00661519" w14:paraId="2CB212F8" w14:textId="77777777">
            <w:pPr>
              <w:tabs>
                <w:tab w:val="left" w:pos="3528"/>
                <w:tab w:val="left" w:pos="5112"/>
                <w:tab w:val="left" w:pos="6696"/>
                <w:tab w:val="left" w:pos="8136"/>
              </w:tabs>
              <w:spacing w:before="60"/>
              <w:ind w:right="504"/>
              <w:textAlignment w:val="baseline"/>
              <w:rPr>
                <w:rFonts w:eastAsia="Times New Roman"/>
                <w:color w:val="000000"/>
                <w:sz w:val="16"/>
                <w:lang w:val="en-GB"/>
              </w:rPr>
            </w:pPr>
            <w:r w:rsidRPr="009C48DA">
              <w:rPr>
                <w:rFonts w:eastAsia="Times New Roman"/>
                <w:color w:val="000000"/>
                <w:sz w:val="16"/>
                <w:lang w:val="en-GB"/>
              </w:rPr>
              <w:t>Exceptional costs</w:t>
            </w:r>
          </w:p>
        </w:tc>
        <w:tc>
          <w:tcPr>
            <w:tcW w:w="1055" w:type="dxa"/>
          </w:tcPr>
          <w:p w:rsidRPr="009C48DA" w:rsidR="00661519" w:rsidP="00661519" w:rsidRDefault="00661519" w14:paraId="468E86F7" w14:textId="77777777">
            <w:pPr>
              <w:spacing w:before="60"/>
              <w:ind w:right="29"/>
              <w:jc w:val="right"/>
              <w:textAlignment w:val="baseline"/>
              <w:rPr>
                <w:rFonts w:eastAsia="Times New Roman"/>
                <w:color w:val="000000"/>
                <w:sz w:val="16"/>
                <w:lang w:val="en-GB"/>
              </w:rPr>
            </w:pPr>
          </w:p>
        </w:tc>
        <w:tc>
          <w:tcPr>
            <w:tcW w:w="1100" w:type="dxa"/>
          </w:tcPr>
          <w:p w:rsidRPr="009C48DA" w:rsidR="00661519" w:rsidP="00661519" w:rsidRDefault="00661519" w14:paraId="64DC8785" w14:textId="77777777">
            <w:pPr>
              <w:spacing w:before="60"/>
              <w:ind w:right="109"/>
              <w:jc w:val="right"/>
              <w:textAlignment w:val="baseline"/>
              <w:rPr>
                <w:rFonts w:eastAsia="Times New Roman"/>
                <w:color w:val="000000"/>
                <w:sz w:val="16"/>
                <w:szCs w:val="16"/>
                <w:lang w:val="en-GB"/>
              </w:rPr>
            </w:pPr>
          </w:p>
        </w:tc>
        <w:tc>
          <w:tcPr>
            <w:tcW w:w="1053" w:type="dxa"/>
          </w:tcPr>
          <w:p w:rsidRPr="009C48DA" w:rsidR="00661519" w:rsidP="00661519" w:rsidRDefault="00661519" w14:paraId="7B47F8B1" w14:textId="77777777">
            <w:pPr>
              <w:spacing w:before="60"/>
              <w:ind w:right="109"/>
              <w:jc w:val="right"/>
              <w:textAlignment w:val="baseline"/>
              <w:rPr>
                <w:rFonts w:eastAsia="Times New Roman"/>
                <w:color w:val="000000"/>
                <w:sz w:val="16"/>
                <w:szCs w:val="16"/>
                <w:lang w:val="en-GB"/>
              </w:rPr>
            </w:pPr>
          </w:p>
        </w:tc>
        <w:tc>
          <w:tcPr>
            <w:tcW w:w="1056" w:type="dxa"/>
          </w:tcPr>
          <w:p w:rsidRPr="009C48DA" w:rsidR="00661519" w:rsidP="00661519" w:rsidRDefault="00661519" w14:paraId="131C966A" w14:textId="77777777">
            <w:pPr>
              <w:spacing w:before="60"/>
              <w:ind w:right="109"/>
              <w:jc w:val="right"/>
              <w:textAlignment w:val="baseline"/>
              <w:rPr>
                <w:rFonts w:eastAsia="Times New Roman"/>
                <w:color w:val="000000"/>
                <w:sz w:val="16"/>
                <w:szCs w:val="16"/>
                <w:lang w:val="en-GB"/>
              </w:rPr>
            </w:pPr>
          </w:p>
        </w:tc>
        <w:tc>
          <w:tcPr>
            <w:tcW w:w="1043" w:type="dxa"/>
          </w:tcPr>
          <w:p w:rsidRPr="009C48DA" w:rsidR="00661519" w:rsidP="00661519" w:rsidRDefault="00661519" w14:paraId="4AC31A94" w14:textId="77777777">
            <w:pPr>
              <w:spacing w:before="60"/>
              <w:ind w:right="109"/>
              <w:jc w:val="right"/>
              <w:textAlignment w:val="baseline"/>
              <w:rPr>
                <w:rFonts w:eastAsia="Times New Roman"/>
                <w:color w:val="000000"/>
                <w:sz w:val="16"/>
                <w:szCs w:val="16"/>
                <w:lang w:val="en-GB"/>
              </w:rPr>
            </w:pPr>
          </w:p>
        </w:tc>
        <w:tc>
          <w:tcPr>
            <w:tcW w:w="1224" w:type="dxa"/>
          </w:tcPr>
          <w:p w:rsidRPr="009C48DA" w:rsidR="00661519" w:rsidP="00661519" w:rsidRDefault="00661519" w14:paraId="39DF70D7"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r>
      <w:tr w:rsidRPr="009C48DA" w:rsidR="00661519" w:rsidTr="00661519" w14:paraId="2DE549BD" w14:textId="77777777">
        <w:tc>
          <w:tcPr>
            <w:tcW w:w="2683" w:type="dxa"/>
            <w:vAlign w:val="bottom"/>
          </w:tcPr>
          <w:p w:rsidRPr="009C48DA" w:rsidR="00661519" w:rsidP="00661519" w:rsidRDefault="00661519" w14:paraId="1E89115E" w14:textId="77777777">
            <w:pPr>
              <w:spacing w:before="60"/>
              <w:ind w:right="29"/>
              <w:textAlignment w:val="baseline"/>
              <w:rPr>
                <w:rFonts w:eastAsia="Times New Roman"/>
                <w:color w:val="000000"/>
                <w:sz w:val="16"/>
                <w:lang w:val="en-GB"/>
              </w:rPr>
            </w:pPr>
            <w:r w:rsidRPr="009C48DA">
              <w:rPr>
                <w:rFonts w:eastAsia="Times New Roman"/>
                <w:b/>
                <w:color w:val="000000"/>
                <w:sz w:val="16"/>
                <w:lang w:val="en-GB"/>
              </w:rPr>
              <w:t>EBITDA (including exceptional items)</w:t>
            </w:r>
          </w:p>
        </w:tc>
        <w:tc>
          <w:tcPr>
            <w:tcW w:w="1055" w:type="dxa"/>
            <w:vAlign w:val="bottom"/>
          </w:tcPr>
          <w:p w:rsidRPr="009C48DA" w:rsidR="00661519" w:rsidP="00661519" w:rsidRDefault="00661519" w14:paraId="0B6C0BE8" w14:textId="77777777">
            <w:pPr>
              <w:spacing w:before="60"/>
              <w:ind w:right="29"/>
              <w:textAlignment w:val="baseline"/>
              <w:rPr>
                <w:rFonts w:eastAsia="Times New Roman"/>
                <w:color w:val="000000"/>
                <w:sz w:val="16"/>
                <w:lang w:val="en-GB"/>
              </w:rPr>
            </w:pPr>
          </w:p>
        </w:tc>
        <w:tc>
          <w:tcPr>
            <w:tcW w:w="1100" w:type="dxa"/>
            <w:vAlign w:val="bottom"/>
          </w:tcPr>
          <w:p w:rsidRPr="009C48DA" w:rsidR="00661519" w:rsidP="00661519" w:rsidRDefault="00661519" w14:paraId="4B118511" w14:textId="77777777">
            <w:pPr>
              <w:spacing w:before="60"/>
              <w:ind w:right="109"/>
              <w:jc w:val="right"/>
              <w:textAlignment w:val="baseline"/>
              <w:rPr>
                <w:rFonts w:eastAsia="Times New Roman"/>
                <w:color w:val="000000"/>
                <w:sz w:val="16"/>
                <w:szCs w:val="16"/>
                <w:lang w:val="en-GB"/>
              </w:rPr>
            </w:pPr>
          </w:p>
        </w:tc>
        <w:tc>
          <w:tcPr>
            <w:tcW w:w="1053" w:type="dxa"/>
            <w:vAlign w:val="bottom"/>
          </w:tcPr>
          <w:p w:rsidRPr="009C48DA" w:rsidR="00661519" w:rsidP="00661519" w:rsidRDefault="00661519" w14:paraId="7A2AC972" w14:textId="77777777">
            <w:pPr>
              <w:spacing w:before="60"/>
              <w:ind w:right="109"/>
              <w:jc w:val="right"/>
              <w:textAlignment w:val="baseline"/>
              <w:rPr>
                <w:rFonts w:eastAsia="Times New Roman"/>
                <w:color w:val="000000"/>
                <w:sz w:val="16"/>
                <w:szCs w:val="16"/>
                <w:lang w:val="en-GB"/>
              </w:rPr>
            </w:pPr>
          </w:p>
        </w:tc>
        <w:tc>
          <w:tcPr>
            <w:tcW w:w="1056" w:type="dxa"/>
            <w:vAlign w:val="bottom"/>
          </w:tcPr>
          <w:p w:rsidRPr="009C48DA" w:rsidR="00661519" w:rsidP="00661519" w:rsidRDefault="00661519" w14:paraId="567F064F" w14:textId="77777777">
            <w:pPr>
              <w:spacing w:before="60"/>
              <w:ind w:right="109"/>
              <w:jc w:val="right"/>
              <w:textAlignment w:val="baseline"/>
              <w:rPr>
                <w:rFonts w:eastAsia="Times New Roman"/>
                <w:color w:val="000000"/>
                <w:sz w:val="16"/>
                <w:szCs w:val="16"/>
                <w:lang w:val="en-GB"/>
              </w:rPr>
            </w:pPr>
          </w:p>
        </w:tc>
        <w:tc>
          <w:tcPr>
            <w:tcW w:w="1043" w:type="dxa"/>
            <w:vAlign w:val="bottom"/>
          </w:tcPr>
          <w:p w:rsidRPr="009C48DA" w:rsidR="00661519" w:rsidP="00661519" w:rsidRDefault="00661519" w14:paraId="6221F41E" w14:textId="77777777">
            <w:pPr>
              <w:spacing w:before="60"/>
              <w:ind w:right="109"/>
              <w:jc w:val="right"/>
              <w:textAlignment w:val="baseline"/>
              <w:rPr>
                <w:rFonts w:eastAsia="Times New Roman"/>
                <w:color w:val="000000"/>
                <w:sz w:val="16"/>
                <w:szCs w:val="16"/>
                <w:lang w:val="en-GB"/>
              </w:rPr>
            </w:pPr>
          </w:p>
        </w:tc>
        <w:tc>
          <w:tcPr>
            <w:tcW w:w="1224" w:type="dxa"/>
            <w:vAlign w:val="bottom"/>
          </w:tcPr>
          <w:p w:rsidRPr="009C48DA" w:rsidR="00661519" w:rsidP="00661519" w:rsidRDefault="00661519" w14:paraId="4B9F008F"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24,473</w:t>
            </w:r>
          </w:p>
        </w:tc>
      </w:tr>
      <w:tr w:rsidRPr="009C48DA" w:rsidR="00661519" w:rsidTr="00661519" w14:paraId="2478B135" w14:textId="77777777">
        <w:tc>
          <w:tcPr>
            <w:tcW w:w="2683" w:type="dxa"/>
            <w:vAlign w:val="bottom"/>
          </w:tcPr>
          <w:p w:rsidRPr="009C48DA" w:rsidR="00661519" w:rsidP="00661519" w:rsidRDefault="00661519" w14:paraId="504A9EB1" w14:textId="77777777">
            <w:pPr>
              <w:spacing w:before="60"/>
              <w:textAlignment w:val="baseline"/>
              <w:rPr>
                <w:rFonts w:eastAsia="Times New Roman"/>
                <w:color w:val="000000"/>
                <w:sz w:val="16"/>
                <w:lang w:val="en-GB"/>
              </w:rPr>
            </w:pPr>
            <w:r w:rsidRPr="009C48DA">
              <w:rPr>
                <w:rFonts w:eastAsia="Times New Roman"/>
                <w:color w:val="000000"/>
                <w:sz w:val="16"/>
                <w:lang w:val="en-GB"/>
              </w:rPr>
              <w:t>Net finance cost</w:t>
            </w:r>
          </w:p>
        </w:tc>
        <w:tc>
          <w:tcPr>
            <w:tcW w:w="1055" w:type="dxa"/>
            <w:vAlign w:val="bottom"/>
          </w:tcPr>
          <w:p w:rsidRPr="009C48DA" w:rsidR="00661519" w:rsidP="00661519" w:rsidRDefault="00661519" w14:paraId="59B6CDA2" w14:textId="77777777">
            <w:pPr>
              <w:spacing w:before="60"/>
              <w:ind w:right="29"/>
              <w:jc w:val="right"/>
              <w:textAlignment w:val="baseline"/>
              <w:rPr>
                <w:rFonts w:eastAsia="Times New Roman"/>
                <w:color w:val="000000"/>
                <w:sz w:val="16"/>
                <w:lang w:val="en-GB"/>
              </w:rPr>
            </w:pPr>
          </w:p>
        </w:tc>
        <w:tc>
          <w:tcPr>
            <w:tcW w:w="1100" w:type="dxa"/>
            <w:vAlign w:val="bottom"/>
          </w:tcPr>
          <w:p w:rsidRPr="009C48DA" w:rsidR="00661519" w:rsidP="00661519" w:rsidRDefault="00661519" w14:paraId="54FB97D1" w14:textId="77777777">
            <w:pPr>
              <w:spacing w:before="60"/>
              <w:ind w:right="109"/>
              <w:jc w:val="right"/>
              <w:textAlignment w:val="baseline"/>
              <w:rPr>
                <w:rFonts w:eastAsia="Times New Roman"/>
                <w:color w:val="000000"/>
                <w:sz w:val="16"/>
                <w:szCs w:val="16"/>
                <w:lang w:val="en-GB"/>
              </w:rPr>
            </w:pPr>
          </w:p>
        </w:tc>
        <w:tc>
          <w:tcPr>
            <w:tcW w:w="1053" w:type="dxa"/>
            <w:vAlign w:val="bottom"/>
          </w:tcPr>
          <w:p w:rsidRPr="009C48DA" w:rsidR="00661519" w:rsidP="00661519" w:rsidRDefault="00661519" w14:paraId="52FC1034" w14:textId="77777777">
            <w:pPr>
              <w:spacing w:before="60"/>
              <w:ind w:right="109"/>
              <w:jc w:val="right"/>
              <w:textAlignment w:val="baseline"/>
              <w:rPr>
                <w:rFonts w:eastAsia="Times New Roman"/>
                <w:color w:val="000000"/>
                <w:sz w:val="16"/>
                <w:szCs w:val="16"/>
                <w:lang w:val="en-GB"/>
              </w:rPr>
            </w:pPr>
          </w:p>
        </w:tc>
        <w:tc>
          <w:tcPr>
            <w:tcW w:w="1056" w:type="dxa"/>
            <w:vAlign w:val="bottom"/>
          </w:tcPr>
          <w:p w:rsidRPr="009C48DA" w:rsidR="00661519" w:rsidP="00661519" w:rsidRDefault="00661519" w14:paraId="2B068E95" w14:textId="77777777">
            <w:pPr>
              <w:spacing w:before="60"/>
              <w:ind w:right="109"/>
              <w:jc w:val="right"/>
              <w:textAlignment w:val="baseline"/>
              <w:rPr>
                <w:rFonts w:eastAsia="Times New Roman"/>
                <w:color w:val="000000"/>
                <w:sz w:val="16"/>
                <w:szCs w:val="16"/>
                <w:lang w:val="en-GB"/>
              </w:rPr>
            </w:pPr>
          </w:p>
        </w:tc>
        <w:tc>
          <w:tcPr>
            <w:tcW w:w="1043" w:type="dxa"/>
            <w:vAlign w:val="bottom"/>
          </w:tcPr>
          <w:p w:rsidRPr="009C48DA" w:rsidR="00661519" w:rsidP="00661519" w:rsidRDefault="00661519" w14:paraId="3598AEFD" w14:textId="77777777">
            <w:pPr>
              <w:spacing w:before="60"/>
              <w:ind w:right="109"/>
              <w:jc w:val="right"/>
              <w:textAlignment w:val="baseline"/>
              <w:rPr>
                <w:rFonts w:eastAsia="Times New Roman"/>
                <w:color w:val="000000"/>
                <w:sz w:val="16"/>
                <w:szCs w:val="16"/>
                <w:lang w:val="en-GB"/>
              </w:rPr>
            </w:pPr>
          </w:p>
        </w:tc>
        <w:tc>
          <w:tcPr>
            <w:tcW w:w="1224" w:type="dxa"/>
          </w:tcPr>
          <w:p w:rsidRPr="009C48DA" w:rsidR="00661519" w:rsidP="00661519" w:rsidRDefault="00661519" w14:paraId="3D7DF6FA" w14:textId="77777777">
            <w:pPr>
              <w:pBdr>
                <w:between w:val="double" w:color="auto" w:sz="4"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(3,133)</w:t>
            </w:r>
          </w:p>
        </w:tc>
      </w:tr>
      <w:tr w:rsidRPr="009C48DA" w:rsidR="00661519" w:rsidTr="00661519" w14:paraId="1D6999B5" w14:textId="77777777">
        <w:trPr>
          <w:trHeight w:val="243"/>
        </w:trPr>
        <w:tc>
          <w:tcPr>
            <w:tcW w:w="2683" w:type="dxa"/>
            <w:vAlign w:val="bottom"/>
          </w:tcPr>
          <w:p w:rsidRPr="009C48DA" w:rsidR="00661519" w:rsidP="00661519" w:rsidRDefault="00661519" w14:paraId="453316AB" w14:textId="77777777">
            <w:pPr>
              <w:spacing w:before="60"/>
              <w:textAlignment w:val="baseline"/>
              <w:rPr>
                <w:rFonts w:eastAsia="Times New Roman"/>
                <w:b/>
                <w:color w:val="000000"/>
                <w:sz w:val="16"/>
                <w:lang w:val="en-GB"/>
              </w:rPr>
            </w:pPr>
            <w:r w:rsidRPr="009C48DA">
              <w:rPr>
                <w:rFonts w:eastAsia="Times New Roman"/>
                <w:b/>
                <w:color w:val="000000"/>
                <w:sz w:val="16"/>
                <w:lang w:val="en-GB"/>
              </w:rPr>
              <w:t>Profit before income tax</w:t>
            </w:r>
          </w:p>
        </w:tc>
        <w:tc>
          <w:tcPr>
            <w:tcW w:w="1055" w:type="dxa"/>
            <w:vAlign w:val="bottom"/>
          </w:tcPr>
          <w:p w:rsidRPr="009C48DA" w:rsidR="00661519" w:rsidP="00661519" w:rsidRDefault="00661519" w14:paraId="53F984D9" w14:textId="77777777">
            <w:pPr>
              <w:spacing w:before="60"/>
              <w:ind w:right="29"/>
              <w:jc w:val="right"/>
              <w:textAlignment w:val="baseline"/>
              <w:rPr>
                <w:rFonts w:eastAsia="Times New Roman"/>
                <w:color w:val="000000"/>
                <w:sz w:val="16"/>
                <w:lang w:val="en-GB"/>
              </w:rPr>
            </w:pPr>
          </w:p>
        </w:tc>
        <w:tc>
          <w:tcPr>
            <w:tcW w:w="1100" w:type="dxa"/>
            <w:vAlign w:val="bottom"/>
          </w:tcPr>
          <w:p w:rsidRPr="009C48DA" w:rsidR="00661519" w:rsidP="00661519" w:rsidRDefault="00661519" w14:paraId="266A53CC" w14:textId="77777777">
            <w:pPr>
              <w:spacing w:before="60"/>
              <w:ind w:right="109"/>
              <w:jc w:val="right"/>
              <w:textAlignment w:val="baseline"/>
              <w:rPr>
                <w:rFonts w:eastAsia="Times New Roman"/>
                <w:color w:val="000000"/>
                <w:sz w:val="16"/>
                <w:szCs w:val="16"/>
                <w:lang w:val="en-GB"/>
              </w:rPr>
            </w:pPr>
          </w:p>
        </w:tc>
        <w:tc>
          <w:tcPr>
            <w:tcW w:w="1053" w:type="dxa"/>
            <w:vAlign w:val="bottom"/>
          </w:tcPr>
          <w:p w:rsidRPr="009C48DA" w:rsidR="00661519" w:rsidP="00661519" w:rsidRDefault="00661519" w14:paraId="581D8037" w14:textId="77777777">
            <w:pPr>
              <w:spacing w:before="60"/>
              <w:ind w:right="109"/>
              <w:jc w:val="right"/>
              <w:textAlignment w:val="baseline"/>
              <w:rPr>
                <w:rFonts w:eastAsia="Times New Roman"/>
                <w:color w:val="000000"/>
                <w:sz w:val="16"/>
                <w:szCs w:val="16"/>
                <w:lang w:val="en-GB"/>
              </w:rPr>
            </w:pPr>
          </w:p>
        </w:tc>
        <w:tc>
          <w:tcPr>
            <w:tcW w:w="1056" w:type="dxa"/>
            <w:vAlign w:val="bottom"/>
          </w:tcPr>
          <w:p w:rsidRPr="009C48DA" w:rsidR="00661519" w:rsidP="00661519" w:rsidRDefault="00661519" w14:paraId="7ECCA647" w14:textId="77777777">
            <w:pPr>
              <w:spacing w:before="60"/>
              <w:ind w:right="109"/>
              <w:jc w:val="right"/>
              <w:textAlignment w:val="baseline"/>
              <w:rPr>
                <w:rFonts w:eastAsia="Times New Roman"/>
                <w:color w:val="000000"/>
                <w:sz w:val="16"/>
                <w:szCs w:val="16"/>
                <w:lang w:val="en-GB"/>
              </w:rPr>
            </w:pPr>
          </w:p>
        </w:tc>
        <w:tc>
          <w:tcPr>
            <w:tcW w:w="1043" w:type="dxa"/>
            <w:vAlign w:val="bottom"/>
          </w:tcPr>
          <w:p w:rsidRPr="009C48DA" w:rsidR="00661519" w:rsidP="00661519" w:rsidRDefault="00661519" w14:paraId="0C13EC01" w14:textId="77777777">
            <w:pPr>
              <w:spacing w:before="60"/>
              <w:ind w:right="109"/>
              <w:jc w:val="right"/>
              <w:textAlignment w:val="baseline"/>
              <w:rPr>
                <w:rFonts w:eastAsia="Times New Roman"/>
                <w:color w:val="000000"/>
                <w:sz w:val="16"/>
                <w:szCs w:val="16"/>
                <w:lang w:val="en-GB"/>
              </w:rPr>
            </w:pPr>
          </w:p>
        </w:tc>
        <w:tc>
          <w:tcPr>
            <w:tcW w:w="1224" w:type="dxa"/>
          </w:tcPr>
          <w:p w:rsidRPr="009C48DA" w:rsidR="00661519" w:rsidP="00661519" w:rsidRDefault="00661519" w14:paraId="73519FBA" w14:textId="77777777">
            <w:pPr>
              <w:pBdr>
                <w:bottom w:val="doub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21,340</w:t>
            </w:r>
          </w:p>
        </w:tc>
      </w:tr>
    </w:tbl>
    <w:p w:rsidRPr="009C48DA" w:rsidR="00661519" w:rsidP="00661519" w:rsidRDefault="00661519" w14:paraId="773A8766" w14:textId="77777777">
      <w:pPr>
        <w:textAlignment w:val="baseline"/>
        <w:rPr>
          <w:rFonts w:eastAsia="Times New Roman" w:cs="Times New Roman"/>
          <w:b/>
          <w:color w:val="000000"/>
          <w:sz w:val="16"/>
          <w:szCs w:val="22"/>
          <w:u w:val="single"/>
          <w:lang w:val="en-GB"/>
        </w:rPr>
      </w:pPr>
    </w:p>
    <w:p w:rsidRPr="009C48DA" w:rsidR="00661519" w:rsidP="00661519" w:rsidRDefault="00661519" w14:paraId="1B693B4F" w14:textId="77777777">
      <w:pPr>
        <w:textAlignment w:val="baseline"/>
        <w:rPr>
          <w:rFonts w:eastAsia="Times New Roman" w:cs="Times New Roman"/>
          <w:b/>
          <w:color w:val="000000"/>
          <w:sz w:val="16"/>
          <w:szCs w:val="22"/>
          <w:u w:val="single"/>
          <w:lang w:val="en-GB"/>
        </w:rPr>
      </w:pPr>
    </w:p>
    <w:p w:rsidRPr="009C48DA" w:rsidR="00661519" w:rsidP="00661519" w:rsidRDefault="00661519" w14:paraId="2F1504DD" w14:textId="77777777">
      <w:pPr>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 xml:space="preserve">Geographical analysis </w:t>
      </w:r>
    </w:p>
    <w:p w:rsidRPr="009C48DA" w:rsidR="00661519" w:rsidP="00661519" w:rsidRDefault="00661519" w14:paraId="546870D8" w14:textId="77777777">
      <w:pPr>
        <w:jc w:val="both"/>
        <w:textAlignment w:val="baseline"/>
        <w:rPr>
          <w:rFonts w:eastAsia="Times New Roman" w:cs="Times New Roman"/>
          <w:color w:val="000000"/>
          <w:sz w:val="17"/>
          <w:szCs w:val="22"/>
          <w:lang w:val="en-GB"/>
        </w:rPr>
      </w:pPr>
      <w:r w:rsidRPr="009C48DA">
        <w:rPr>
          <w:rFonts w:eastAsia="Times New Roman" w:cs="Times New Roman"/>
          <w:color w:val="000000"/>
          <w:sz w:val="17"/>
          <w:szCs w:val="22"/>
          <w:lang w:val="en-GB"/>
        </w:rPr>
        <w:t>The Group’s operating results cannot be analysed in a meaningful way because the Group’s revenues from the provision of fund management services cannot be split by geographical areas as the management fees, carried interest and investment returns are derived from the domicile of the fund, the General Partner, CIP and Manager whereas the Group’s investors are located in multiple jurisdictions, whereas the Group’s operating expenses are incurred in the locations where the Group has offices.</w:t>
      </w:r>
    </w:p>
    <w:p w:rsidRPr="009C48DA" w:rsidR="00661519" w:rsidP="00661519" w:rsidRDefault="00661519" w14:paraId="45BDF126" w14:textId="77777777">
      <w:pPr>
        <w:textAlignment w:val="baseline"/>
        <w:rPr>
          <w:rFonts w:eastAsia="Times New Roman" w:cs="Times New Roman"/>
          <w:color w:val="000000"/>
          <w:sz w:val="17"/>
          <w:szCs w:val="22"/>
          <w:lang w:val="en-GB"/>
        </w:rPr>
      </w:pPr>
    </w:p>
    <w:p w:rsidRPr="009C48DA" w:rsidR="00661519" w:rsidP="00661519" w:rsidRDefault="00661519" w14:paraId="22D9211D" w14:textId="77777777">
      <w:pPr>
        <w:textAlignment w:val="baseline"/>
        <w:rPr>
          <w:rFonts w:eastAsia="Times New Roman" w:cs="Times New Roman"/>
          <w:b/>
          <w:color w:val="000000"/>
          <w:sz w:val="24"/>
          <w:szCs w:val="22"/>
          <w:lang w:val="en-GB"/>
        </w:rPr>
      </w:pPr>
      <w:r w:rsidRPr="009C48DA">
        <w:rPr>
          <w:rFonts w:eastAsia="Times New Roman" w:cs="Times New Roman"/>
          <w:b/>
          <w:color w:val="000000"/>
          <w:sz w:val="16"/>
          <w:szCs w:val="22"/>
          <w:u w:val="single"/>
          <w:lang w:val="en-GB"/>
        </w:rPr>
        <w:t>Assets and liabilities analysis</w:t>
      </w:r>
    </w:p>
    <w:p w:rsidRPr="009C48DA" w:rsidR="00661519" w:rsidP="00661519" w:rsidRDefault="00661519" w14:paraId="7ED814FF" w14:textId="77777777">
      <w:pPr>
        <w:jc w:val="both"/>
        <w:textAlignment w:val="baseline"/>
        <w:rPr>
          <w:rFonts w:eastAsia="Times New Roman" w:cs="Times New Roman"/>
          <w:color w:val="000000"/>
          <w:sz w:val="17"/>
          <w:szCs w:val="22"/>
          <w:lang w:val="en-GB"/>
        </w:rPr>
      </w:pPr>
      <w:r w:rsidRPr="009C48DA">
        <w:rPr>
          <w:rFonts w:eastAsia="Times New Roman" w:cs="Times New Roman"/>
          <w:color w:val="000000"/>
          <w:sz w:val="17"/>
          <w:szCs w:val="22"/>
          <w:lang w:val="en-GB"/>
        </w:rPr>
        <w:t>The Group’s balance sheet is managed as single unit rather than by segment. The only distinction for the business segments relates to the Group’s investments in funds and the carried interest receivable, which can be split between private equity and credit (split between attributable to the Group and third party investors).</w:t>
      </w:r>
    </w:p>
    <w:p w:rsidRPr="009C48DA" w:rsidR="00661519" w:rsidP="00661519" w:rsidRDefault="00661519" w14:paraId="42AA7512" w14:textId="77777777">
      <w:pPr>
        <w:rPr>
          <w:rFonts w:eastAsia="Times New Roman" w:cs="Times New Roman"/>
          <w:color w:val="000000"/>
          <w:sz w:val="17"/>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36"/>
        <w:gridCol w:w="1275"/>
        <w:gridCol w:w="1276"/>
        <w:gridCol w:w="1276"/>
        <w:gridCol w:w="1317"/>
      </w:tblGrid>
      <w:tr w:rsidRPr="009C48DA" w:rsidR="00661519" w:rsidTr="00661519" w14:paraId="1B86F238" w14:textId="77777777">
        <w:tc>
          <w:tcPr>
            <w:tcW w:w="3936" w:type="dxa"/>
            <w:vAlign w:val="bottom"/>
          </w:tcPr>
          <w:p w:rsidRPr="009C48DA" w:rsidR="00661519" w:rsidP="00661519" w:rsidRDefault="00661519" w14:paraId="205A05E3" w14:textId="77777777">
            <w:pPr>
              <w:jc w:val="both"/>
              <w:textAlignment w:val="baseline"/>
              <w:rPr>
                <w:rFonts w:eastAsia="Times New Roman"/>
                <w:b/>
                <w:color w:val="000000"/>
                <w:sz w:val="16"/>
                <w:szCs w:val="16"/>
                <w:lang w:val="en-GB"/>
              </w:rPr>
            </w:pPr>
          </w:p>
        </w:tc>
        <w:tc>
          <w:tcPr>
            <w:tcW w:w="3827" w:type="dxa"/>
            <w:gridSpan w:val="3"/>
            <w:vAlign w:val="bottom"/>
          </w:tcPr>
          <w:p w:rsidRPr="009C48DA" w:rsidR="00661519" w:rsidP="00661519" w:rsidRDefault="00661519" w14:paraId="38A0A0D8"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szCs w:val="16"/>
                <w:lang w:val="en-GB"/>
              </w:rPr>
              <w:t>31 December</w:t>
            </w:r>
          </w:p>
        </w:tc>
        <w:tc>
          <w:tcPr>
            <w:tcW w:w="1317" w:type="dxa"/>
            <w:vAlign w:val="bottom"/>
          </w:tcPr>
          <w:p w:rsidRPr="009C48DA" w:rsidR="00661519" w:rsidP="00661519" w:rsidRDefault="00661519" w14:paraId="05474DF9"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szCs w:val="16"/>
                <w:lang w:val="en-GB"/>
              </w:rPr>
              <w:t>31 March</w:t>
            </w:r>
          </w:p>
        </w:tc>
      </w:tr>
      <w:tr w:rsidRPr="009C48DA" w:rsidR="00661519" w:rsidTr="00661519" w14:paraId="6A512DFC" w14:textId="77777777">
        <w:tc>
          <w:tcPr>
            <w:tcW w:w="3936" w:type="dxa"/>
            <w:vAlign w:val="bottom"/>
          </w:tcPr>
          <w:p w:rsidRPr="009C48DA" w:rsidR="00661519" w:rsidP="00661519" w:rsidRDefault="00661519" w14:paraId="230720FE" w14:textId="77777777">
            <w:pPr>
              <w:jc w:val="both"/>
              <w:textAlignment w:val="baseline"/>
              <w:rPr>
                <w:rFonts w:eastAsia="Times New Roman"/>
                <w:b/>
                <w:color w:val="000000"/>
                <w:sz w:val="16"/>
                <w:lang w:val="en-GB"/>
              </w:rPr>
            </w:pPr>
          </w:p>
        </w:tc>
        <w:tc>
          <w:tcPr>
            <w:tcW w:w="1275" w:type="dxa"/>
            <w:vAlign w:val="bottom"/>
          </w:tcPr>
          <w:p w:rsidRPr="009C48DA" w:rsidR="00661519" w:rsidP="00661519" w:rsidRDefault="00661519" w14:paraId="63897129" w14:textId="77777777">
            <w:pPr>
              <w:jc w:val="center"/>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2AC71746"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32D4A90E" w14:textId="77777777">
            <w:pPr>
              <w:jc w:val="center"/>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236642A6"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25179580" w14:textId="77777777">
            <w:pPr>
              <w:jc w:val="center"/>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14CF1603"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7" w:type="dxa"/>
            <w:vAlign w:val="bottom"/>
          </w:tcPr>
          <w:p w:rsidRPr="009C48DA" w:rsidR="00661519" w:rsidP="00661519" w:rsidRDefault="00661519" w14:paraId="678C21A4" w14:textId="77777777">
            <w:pPr>
              <w:jc w:val="center"/>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05F38565"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4990838A" w14:textId="77777777">
        <w:tc>
          <w:tcPr>
            <w:tcW w:w="3936" w:type="dxa"/>
            <w:vAlign w:val="bottom"/>
          </w:tcPr>
          <w:p w:rsidRPr="009C48DA" w:rsidR="00661519" w:rsidP="00661519" w:rsidRDefault="00661519" w14:paraId="475E0286"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Investments:</w:t>
            </w:r>
          </w:p>
        </w:tc>
        <w:tc>
          <w:tcPr>
            <w:tcW w:w="1275" w:type="dxa"/>
            <w:vAlign w:val="bottom"/>
          </w:tcPr>
          <w:p w:rsidRPr="009C48DA" w:rsidR="00661519" w:rsidP="00661519" w:rsidRDefault="00661519" w14:paraId="7C93B0AF" w14:textId="77777777">
            <w:pPr>
              <w:spacing w:before="60"/>
              <w:ind w:right="109"/>
              <w:jc w:val="right"/>
              <w:textAlignment w:val="baseline"/>
              <w:rPr>
                <w:rFonts w:eastAsia="Times New Roman"/>
                <w:color w:val="000000"/>
                <w:sz w:val="16"/>
                <w:szCs w:val="16"/>
                <w:lang w:val="en-GB"/>
              </w:rPr>
            </w:pPr>
          </w:p>
        </w:tc>
        <w:tc>
          <w:tcPr>
            <w:tcW w:w="1276" w:type="dxa"/>
            <w:vAlign w:val="bottom"/>
          </w:tcPr>
          <w:p w:rsidRPr="009C48DA" w:rsidR="00661519" w:rsidP="00661519" w:rsidRDefault="00661519" w14:paraId="48EE19E4" w14:textId="77777777">
            <w:pPr>
              <w:spacing w:before="60"/>
              <w:ind w:right="109"/>
              <w:jc w:val="right"/>
              <w:textAlignment w:val="baseline"/>
              <w:rPr>
                <w:rFonts w:eastAsia="Times New Roman"/>
                <w:color w:val="000000"/>
                <w:sz w:val="16"/>
                <w:szCs w:val="16"/>
                <w:lang w:val="en-GB"/>
              </w:rPr>
            </w:pPr>
          </w:p>
        </w:tc>
        <w:tc>
          <w:tcPr>
            <w:tcW w:w="1276" w:type="dxa"/>
            <w:vAlign w:val="bottom"/>
          </w:tcPr>
          <w:p w:rsidRPr="009C48DA" w:rsidR="00661519" w:rsidP="00661519" w:rsidRDefault="00661519" w14:paraId="71642474" w14:textId="77777777">
            <w:pPr>
              <w:spacing w:before="60"/>
              <w:ind w:right="109"/>
              <w:jc w:val="right"/>
              <w:textAlignment w:val="baseline"/>
              <w:rPr>
                <w:rFonts w:eastAsia="Times New Roman"/>
                <w:color w:val="000000"/>
                <w:sz w:val="16"/>
                <w:szCs w:val="16"/>
                <w:lang w:val="en-GB"/>
              </w:rPr>
            </w:pPr>
          </w:p>
        </w:tc>
        <w:tc>
          <w:tcPr>
            <w:tcW w:w="1317" w:type="dxa"/>
            <w:vAlign w:val="bottom"/>
          </w:tcPr>
          <w:p w:rsidRPr="009C48DA" w:rsidR="00661519" w:rsidP="00661519" w:rsidRDefault="00661519" w14:paraId="29D7742C" w14:textId="77777777">
            <w:pPr>
              <w:spacing w:before="60"/>
              <w:ind w:right="109"/>
              <w:jc w:val="right"/>
              <w:textAlignment w:val="baseline"/>
              <w:rPr>
                <w:rFonts w:eastAsia="Times New Roman"/>
                <w:color w:val="000000"/>
                <w:sz w:val="16"/>
                <w:szCs w:val="16"/>
                <w:lang w:val="en-GB"/>
              </w:rPr>
            </w:pPr>
          </w:p>
        </w:tc>
      </w:tr>
      <w:tr w:rsidRPr="009C48DA" w:rsidR="00661519" w:rsidTr="00661519" w14:paraId="7F87D41B" w14:textId="77777777">
        <w:tc>
          <w:tcPr>
            <w:tcW w:w="3936" w:type="dxa"/>
            <w:vAlign w:val="bottom"/>
          </w:tcPr>
          <w:p w:rsidRPr="009C48DA" w:rsidR="00661519" w:rsidP="00661519" w:rsidRDefault="00661519" w14:paraId="481330E1"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Private equity</w:t>
            </w:r>
          </w:p>
        </w:tc>
        <w:tc>
          <w:tcPr>
            <w:tcW w:w="1275" w:type="dxa"/>
            <w:vAlign w:val="center"/>
          </w:tcPr>
          <w:p w:rsidRPr="009C48DA" w:rsidR="00661519" w:rsidP="00661519" w:rsidRDefault="00661519" w14:paraId="23470939"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125,497</w:t>
            </w:r>
          </w:p>
        </w:tc>
        <w:tc>
          <w:tcPr>
            <w:tcW w:w="1276" w:type="dxa"/>
            <w:vAlign w:val="center"/>
          </w:tcPr>
          <w:p w:rsidRPr="009C48DA" w:rsidR="00661519" w:rsidP="00661519" w:rsidRDefault="00661519" w14:paraId="77398F3E"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157,475</w:t>
            </w:r>
          </w:p>
        </w:tc>
        <w:tc>
          <w:tcPr>
            <w:tcW w:w="1276" w:type="dxa"/>
            <w:vAlign w:val="center"/>
          </w:tcPr>
          <w:p w:rsidRPr="009C48DA" w:rsidR="00661519" w:rsidP="00661519" w:rsidRDefault="00661519" w14:paraId="76393EEC"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188,772</w:t>
            </w:r>
          </w:p>
        </w:tc>
        <w:tc>
          <w:tcPr>
            <w:tcW w:w="1317" w:type="dxa"/>
            <w:vAlign w:val="center"/>
          </w:tcPr>
          <w:p w:rsidRPr="009C48DA" w:rsidR="00661519" w:rsidP="00661519" w:rsidRDefault="00661519" w14:paraId="0D2FD84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186,105</w:t>
            </w:r>
          </w:p>
        </w:tc>
      </w:tr>
      <w:tr w:rsidRPr="009C48DA" w:rsidR="00661519" w:rsidTr="00661519" w14:paraId="68FDFEFB" w14:textId="77777777">
        <w:tc>
          <w:tcPr>
            <w:tcW w:w="3936" w:type="dxa"/>
            <w:vAlign w:val="bottom"/>
          </w:tcPr>
          <w:p w:rsidRPr="009C48DA" w:rsidR="00661519" w:rsidP="00661519" w:rsidRDefault="00661519" w14:paraId="18E10D3E"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Credit (assets attributable to the Group)</w:t>
            </w:r>
          </w:p>
        </w:tc>
        <w:tc>
          <w:tcPr>
            <w:tcW w:w="1275" w:type="dxa"/>
            <w:vAlign w:val="center"/>
          </w:tcPr>
          <w:p w:rsidRPr="009C48DA" w:rsidR="00661519" w:rsidP="00661519" w:rsidRDefault="00661519" w14:paraId="0CC5B9B3"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86,363</w:t>
            </w:r>
          </w:p>
        </w:tc>
        <w:tc>
          <w:tcPr>
            <w:tcW w:w="1276" w:type="dxa"/>
            <w:vAlign w:val="center"/>
          </w:tcPr>
          <w:p w:rsidRPr="009C48DA" w:rsidR="00661519" w:rsidP="00661519" w:rsidRDefault="00661519" w14:paraId="1871C80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48,604</w:t>
            </w:r>
          </w:p>
        </w:tc>
        <w:tc>
          <w:tcPr>
            <w:tcW w:w="1276" w:type="dxa"/>
            <w:vAlign w:val="center"/>
          </w:tcPr>
          <w:p w:rsidRPr="009C48DA" w:rsidR="00661519" w:rsidP="00661519" w:rsidRDefault="00661519" w14:paraId="60131FF0"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64,191</w:t>
            </w:r>
          </w:p>
        </w:tc>
        <w:tc>
          <w:tcPr>
            <w:tcW w:w="1317" w:type="dxa"/>
            <w:vAlign w:val="center"/>
          </w:tcPr>
          <w:p w:rsidRPr="009C48DA" w:rsidR="00661519" w:rsidP="00661519" w:rsidRDefault="00661519" w14:paraId="58BD15E6"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67,851</w:t>
            </w:r>
          </w:p>
        </w:tc>
      </w:tr>
      <w:tr w:rsidRPr="009C48DA" w:rsidR="00661519" w:rsidTr="00661519" w14:paraId="633E7805" w14:textId="77777777">
        <w:tc>
          <w:tcPr>
            <w:tcW w:w="3936" w:type="dxa"/>
            <w:vAlign w:val="bottom"/>
          </w:tcPr>
          <w:p w:rsidRPr="009C48DA" w:rsidR="00661519" w:rsidP="00661519" w:rsidRDefault="00661519" w14:paraId="732BC8A2"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Credit (CLO assets attributable to third party investors)</w:t>
            </w:r>
          </w:p>
        </w:tc>
        <w:tc>
          <w:tcPr>
            <w:tcW w:w="1275" w:type="dxa"/>
            <w:vAlign w:val="center"/>
          </w:tcPr>
          <w:p w:rsidRPr="009C48DA" w:rsidR="00661519" w:rsidP="00661519" w:rsidRDefault="00661519" w14:paraId="71BCECCE"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276" w:type="dxa"/>
            <w:vAlign w:val="center"/>
          </w:tcPr>
          <w:p w:rsidRPr="009C48DA" w:rsidR="00661519" w:rsidP="00661519" w:rsidRDefault="00661519" w14:paraId="77D581B6"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276" w:type="dxa"/>
            <w:vAlign w:val="center"/>
          </w:tcPr>
          <w:p w:rsidRPr="009C48DA" w:rsidR="00661519" w:rsidP="00661519" w:rsidRDefault="00661519" w14:paraId="54DE0C17"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252,982</w:t>
            </w:r>
          </w:p>
        </w:tc>
        <w:tc>
          <w:tcPr>
            <w:tcW w:w="1317" w:type="dxa"/>
            <w:vAlign w:val="center"/>
          </w:tcPr>
          <w:p w:rsidRPr="009C48DA" w:rsidR="00661519" w:rsidP="00661519" w:rsidRDefault="00661519" w14:paraId="6582BAA0"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359,571</w:t>
            </w:r>
          </w:p>
        </w:tc>
      </w:tr>
      <w:tr w:rsidRPr="009C48DA" w:rsidR="00661519" w:rsidTr="00661519" w14:paraId="423832FF" w14:textId="77777777">
        <w:tc>
          <w:tcPr>
            <w:tcW w:w="3936" w:type="dxa"/>
          </w:tcPr>
          <w:p w:rsidRPr="009C48DA" w:rsidR="00661519" w:rsidP="00661519" w:rsidRDefault="00661519" w14:paraId="6E8F473B" w14:textId="77777777">
            <w:pPr>
              <w:spacing w:before="120"/>
              <w:jc w:val="both"/>
              <w:textAlignment w:val="baseline"/>
              <w:rPr>
                <w:rFonts w:eastAsia="Times New Roman"/>
                <w:color w:val="000000"/>
                <w:sz w:val="16"/>
                <w:lang w:val="en-GB"/>
              </w:rPr>
            </w:pPr>
            <w:r w:rsidRPr="009C48DA">
              <w:rPr>
                <w:rFonts w:eastAsia="Times New Roman"/>
                <w:b/>
                <w:color w:val="000000"/>
                <w:sz w:val="16"/>
                <w:lang w:val="en-GB"/>
              </w:rPr>
              <w:t>Total investments</w:t>
            </w:r>
          </w:p>
        </w:tc>
        <w:tc>
          <w:tcPr>
            <w:tcW w:w="1275" w:type="dxa"/>
            <w:vAlign w:val="center"/>
          </w:tcPr>
          <w:p w:rsidRPr="009C48DA" w:rsidR="00661519" w:rsidP="00661519" w:rsidRDefault="00661519" w14:paraId="09ACA676" w14:textId="77777777">
            <w:pPr>
              <w:pBdr>
                <w:bottom w:val="double" w:color="auto" w:sz="12" w:space="1"/>
              </w:pBdr>
              <w:spacing w:before="12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211,860</w:t>
            </w:r>
          </w:p>
        </w:tc>
        <w:tc>
          <w:tcPr>
            <w:tcW w:w="1276" w:type="dxa"/>
            <w:vAlign w:val="center"/>
          </w:tcPr>
          <w:p w:rsidRPr="009C48DA" w:rsidR="00661519" w:rsidP="00661519" w:rsidRDefault="00661519" w14:paraId="3F7AB271" w14:textId="77777777">
            <w:pPr>
              <w:pBdr>
                <w:bottom w:val="double" w:color="auto" w:sz="12" w:space="1"/>
              </w:pBdr>
              <w:spacing w:before="12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206,079</w:t>
            </w:r>
          </w:p>
        </w:tc>
        <w:tc>
          <w:tcPr>
            <w:tcW w:w="1276" w:type="dxa"/>
            <w:vAlign w:val="center"/>
          </w:tcPr>
          <w:p w:rsidRPr="009C48DA" w:rsidR="00661519" w:rsidP="00661519" w:rsidRDefault="00661519" w14:paraId="611C6E05" w14:textId="77777777">
            <w:pPr>
              <w:pBdr>
                <w:bottom w:val="double" w:color="auto" w:sz="12" w:space="1"/>
              </w:pBdr>
              <w:spacing w:before="12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505,945</w:t>
            </w:r>
          </w:p>
        </w:tc>
        <w:tc>
          <w:tcPr>
            <w:tcW w:w="1317" w:type="dxa"/>
            <w:vAlign w:val="center"/>
          </w:tcPr>
          <w:p w:rsidRPr="009C48DA" w:rsidR="00661519" w:rsidP="00661519" w:rsidRDefault="00661519" w14:paraId="1AB58EE9" w14:textId="77777777">
            <w:pPr>
              <w:pBdr>
                <w:bottom w:val="double" w:color="auto" w:sz="12" w:space="1"/>
              </w:pBdr>
              <w:spacing w:before="12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613,527</w:t>
            </w:r>
          </w:p>
        </w:tc>
      </w:tr>
      <w:tr w:rsidRPr="009C48DA" w:rsidR="00661519" w:rsidTr="00661519" w14:paraId="47A2563A" w14:textId="77777777">
        <w:tc>
          <w:tcPr>
            <w:tcW w:w="3936" w:type="dxa"/>
            <w:vAlign w:val="center"/>
          </w:tcPr>
          <w:p w:rsidRPr="009C48DA" w:rsidR="00661519" w:rsidP="00661519" w:rsidRDefault="00661519" w14:paraId="01093CE1"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Carried interest receivable:</w:t>
            </w:r>
          </w:p>
        </w:tc>
        <w:tc>
          <w:tcPr>
            <w:tcW w:w="1275" w:type="dxa"/>
          </w:tcPr>
          <w:p w:rsidRPr="009C48DA" w:rsidR="00661519" w:rsidP="00661519" w:rsidRDefault="00661519" w14:paraId="5A7127D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 xml:space="preserve"> </w:t>
            </w:r>
          </w:p>
        </w:tc>
        <w:tc>
          <w:tcPr>
            <w:tcW w:w="1276" w:type="dxa"/>
          </w:tcPr>
          <w:p w:rsidRPr="009C48DA" w:rsidR="00661519" w:rsidP="00661519" w:rsidRDefault="00661519" w14:paraId="4212C52A"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 xml:space="preserve"> </w:t>
            </w:r>
          </w:p>
        </w:tc>
        <w:tc>
          <w:tcPr>
            <w:tcW w:w="1276" w:type="dxa"/>
          </w:tcPr>
          <w:p w:rsidRPr="009C48DA" w:rsidR="00661519" w:rsidP="00661519" w:rsidRDefault="00661519" w14:paraId="6522C1EF"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 xml:space="preserve"> </w:t>
            </w:r>
          </w:p>
        </w:tc>
        <w:tc>
          <w:tcPr>
            <w:tcW w:w="1317" w:type="dxa"/>
          </w:tcPr>
          <w:p w:rsidRPr="009C48DA" w:rsidR="00661519" w:rsidP="00661519" w:rsidRDefault="00661519" w14:paraId="0176DA53"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 xml:space="preserve"> </w:t>
            </w:r>
          </w:p>
        </w:tc>
      </w:tr>
      <w:tr w:rsidRPr="009C48DA" w:rsidR="00661519" w:rsidTr="00661519" w14:paraId="27ABEDA9" w14:textId="77777777">
        <w:tc>
          <w:tcPr>
            <w:tcW w:w="3936" w:type="dxa"/>
            <w:vAlign w:val="bottom"/>
          </w:tcPr>
          <w:p w:rsidRPr="009C48DA" w:rsidR="00661519" w:rsidP="00661519" w:rsidRDefault="00661519" w14:paraId="39D2D221" w14:textId="77777777">
            <w:pPr>
              <w:spacing w:before="60"/>
              <w:jc w:val="both"/>
              <w:textAlignment w:val="baseline"/>
              <w:rPr>
                <w:rFonts w:eastAsia="Times New Roman"/>
                <w:b/>
                <w:color w:val="000000"/>
                <w:sz w:val="16"/>
                <w:lang w:val="en-GB"/>
              </w:rPr>
            </w:pPr>
            <w:r w:rsidRPr="009C48DA">
              <w:rPr>
                <w:rFonts w:eastAsia="Times New Roman"/>
                <w:color w:val="000000"/>
                <w:sz w:val="16"/>
                <w:lang w:val="en-GB"/>
              </w:rPr>
              <w:t>Private equity</w:t>
            </w:r>
          </w:p>
        </w:tc>
        <w:tc>
          <w:tcPr>
            <w:tcW w:w="1275" w:type="dxa"/>
            <w:vAlign w:val="center"/>
          </w:tcPr>
          <w:p w:rsidRPr="009C48DA" w:rsidR="00661519" w:rsidP="00661519" w:rsidRDefault="00661519" w14:paraId="67D3FFDF"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17,757</w:t>
            </w:r>
          </w:p>
        </w:tc>
        <w:tc>
          <w:tcPr>
            <w:tcW w:w="1276" w:type="dxa"/>
            <w:vAlign w:val="center"/>
          </w:tcPr>
          <w:p w:rsidRPr="009C48DA" w:rsidR="00661519" w:rsidP="00661519" w:rsidRDefault="00661519" w14:paraId="4B0BFD94" w14:textId="77777777">
            <w:pPr>
              <w:spacing w:before="60"/>
              <w:ind w:right="109"/>
              <w:jc w:val="right"/>
              <w:textAlignment w:val="baseline"/>
              <w:rPr>
                <w:rFonts w:eastAsia="Times New Roman"/>
                <w:color w:val="000000"/>
                <w:sz w:val="16"/>
                <w:szCs w:val="16"/>
                <w:highlight w:val="yellow"/>
                <w:lang w:val="en-GB"/>
              </w:rPr>
            </w:pPr>
            <w:r w:rsidRPr="009C48DA">
              <w:rPr>
                <w:rFonts w:eastAsia="Times New Roman"/>
                <w:color w:val="000000"/>
                <w:sz w:val="16"/>
                <w:szCs w:val="16"/>
                <w:lang w:val="en-GB"/>
              </w:rPr>
              <w:t>13,002</w:t>
            </w:r>
          </w:p>
        </w:tc>
        <w:tc>
          <w:tcPr>
            <w:tcW w:w="1276" w:type="dxa"/>
            <w:vAlign w:val="center"/>
          </w:tcPr>
          <w:p w:rsidRPr="009C48DA" w:rsidR="00661519" w:rsidP="00661519" w:rsidRDefault="00661519" w14:paraId="260C025D"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24,929</w:t>
            </w:r>
          </w:p>
        </w:tc>
        <w:tc>
          <w:tcPr>
            <w:tcW w:w="1317" w:type="dxa"/>
            <w:vAlign w:val="center"/>
          </w:tcPr>
          <w:p w:rsidRPr="009C48DA" w:rsidR="00661519" w:rsidP="00661519" w:rsidRDefault="00661519" w14:paraId="35C37D55" w14:textId="77777777">
            <w:pP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23,933</w:t>
            </w:r>
          </w:p>
        </w:tc>
      </w:tr>
      <w:tr w:rsidRPr="009C48DA" w:rsidR="00661519" w:rsidTr="00661519" w14:paraId="67739BFD" w14:textId="77777777">
        <w:tc>
          <w:tcPr>
            <w:tcW w:w="3936" w:type="dxa"/>
            <w:vAlign w:val="bottom"/>
          </w:tcPr>
          <w:p w:rsidRPr="009C48DA" w:rsidR="00661519" w:rsidP="00661519" w:rsidRDefault="00661519" w14:paraId="09C946B0" w14:textId="77777777">
            <w:pPr>
              <w:spacing w:before="60"/>
              <w:jc w:val="both"/>
              <w:textAlignment w:val="baseline"/>
              <w:rPr>
                <w:rFonts w:eastAsia="Times New Roman"/>
                <w:b/>
                <w:color w:val="000000"/>
                <w:sz w:val="16"/>
                <w:lang w:val="en-GB"/>
              </w:rPr>
            </w:pPr>
            <w:r w:rsidRPr="009C48DA">
              <w:rPr>
                <w:rFonts w:eastAsia="Times New Roman"/>
                <w:color w:val="000000"/>
                <w:sz w:val="16"/>
                <w:lang w:val="en-GB"/>
              </w:rPr>
              <w:t>Credit</w:t>
            </w:r>
          </w:p>
        </w:tc>
        <w:tc>
          <w:tcPr>
            <w:tcW w:w="1275" w:type="dxa"/>
            <w:vAlign w:val="center"/>
          </w:tcPr>
          <w:p w:rsidRPr="009C48DA" w:rsidR="00661519" w:rsidP="00661519" w:rsidRDefault="00661519" w14:paraId="09A97CB2"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276" w:type="dxa"/>
            <w:vAlign w:val="center"/>
          </w:tcPr>
          <w:p w:rsidRPr="009C48DA" w:rsidR="00661519" w:rsidP="00661519" w:rsidRDefault="00661519" w14:paraId="46217954"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w:t>
            </w:r>
          </w:p>
        </w:tc>
        <w:tc>
          <w:tcPr>
            <w:tcW w:w="1276" w:type="dxa"/>
            <w:vAlign w:val="center"/>
          </w:tcPr>
          <w:p w:rsidRPr="009C48DA" w:rsidR="00661519" w:rsidP="00661519" w:rsidRDefault="00661519" w14:paraId="0D385BFE"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2,986</w:t>
            </w:r>
          </w:p>
        </w:tc>
        <w:tc>
          <w:tcPr>
            <w:tcW w:w="1317" w:type="dxa"/>
            <w:vAlign w:val="center"/>
          </w:tcPr>
          <w:p w:rsidRPr="009C48DA" w:rsidR="00661519" w:rsidP="00661519" w:rsidRDefault="00661519" w14:paraId="462DD5E5" w14:textId="77777777">
            <w:pPr>
              <w:pBdr>
                <w:bottom w:val="single" w:color="auto" w:sz="12" w:space="1"/>
              </w:pBdr>
              <w:spacing w:before="6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3,151</w:t>
            </w:r>
          </w:p>
        </w:tc>
      </w:tr>
      <w:tr w:rsidRPr="009C48DA" w:rsidR="00661519" w:rsidTr="00661519" w14:paraId="304E15ED" w14:textId="77777777">
        <w:trPr>
          <w:trHeight w:val="429"/>
        </w:trPr>
        <w:tc>
          <w:tcPr>
            <w:tcW w:w="3936" w:type="dxa"/>
          </w:tcPr>
          <w:p w:rsidRPr="009C48DA" w:rsidR="00661519" w:rsidP="00661519" w:rsidRDefault="00661519" w14:paraId="59342508" w14:textId="77777777">
            <w:pPr>
              <w:spacing w:before="120"/>
              <w:jc w:val="both"/>
              <w:textAlignment w:val="baseline"/>
              <w:rPr>
                <w:rFonts w:eastAsia="Times New Roman"/>
                <w:color w:val="000000"/>
                <w:sz w:val="16"/>
                <w:lang w:val="en-GB"/>
              </w:rPr>
            </w:pPr>
            <w:r w:rsidRPr="009C48DA">
              <w:rPr>
                <w:rFonts w:eastAsia="Times New Roman"/>
                <w:b/>
                <w:color w:val="000000"/>
                <w:sz w:val="16"/>
                <w:lang w:val="en-GB"/>
              </w:rPr>
              <w:t>Total carried interest receivable</w:t>
            </w:r>
          </w:p>
        </w:tc>
        <w:tc>
          <w:tcPr>
            <w:tcW w:w="1275" w:type="dxa"/>
            <w:vAlign w:val="center"/>
          </w:tcPr>
          <w:p w:rsidRPr="009C48DA" w:rsidR="00661519" w:rsidP="00661519" w:rsidRDefault="00661519" w14:paraId="407D81DE" w14:textId="77777777">
            <w:pPr>
              <w:pBdr>
                <w:bottom w:val="double" w:color="auto" w:sz="12" w:space="1"/>
              </w:pBdr>
              <w:spacing w:before="12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17,757</w:t>
            </w:r>
          </w:p>
        </w:tc>
        <w:tc>
          <w:tcPr>
            <w:tcW w:w="1276" w:type="dxa"/>
            <w:vAlign w:val="center"/>
          </w:tcPr>
          <w:p w:rsidRPr="009C48DA" w:rsidR="00661519" w:rsidP="00661519" w:rsidRDefault="00661519" w14:paraId="29EBF2F3" w14:textId="77777777">
            <w:pPr>
              <w:pBdr>
                <w:bottom w:val="double" w:color="auto" w:sz="12" w:space="1"/>
              </w:pBdr>
              <w:spacing w:before="12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13,002</w:t>
            </w:r>
          </w:p>
        </w:tc>
        <w:tc>
          <w:tcPr>
            <w:tcW w:w="1276" w:type="dxa"/>
            <w:vAlign w:val="center"/>
          </w:tcPr>
          <w:p w:rsidRPr="009C48DA" w:rsidR="00661519" w:rsidP="00661519" w:rsidRDefault="00661519" w14:paraId="5BD40AD3" w14:textId="77777777">
            <w:pPr>
              <w:pBdr>
                <w:bottom w:val="double" w:color="auto" w:sz="12" w:space="1"/>
              </w:pBdr>
              <w:spacing w:before="12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27,915</w:t>
            </w:r>
          </w:p>
        </w:tc>
        <w:tc>
          <w:tcPr>
            <w:tcW w:w="1317" w:type="dxa"/>
            <w:vAlign w:val="center"/>
          </w:tcPr>
          <w:p w:rsidRPr="009C48DA" w:rsidR="00661519" w:rsidP="00661519" w:rsidRDefault="00661519" w14:paraId="70B0237B" w14:textId="77777777">
            <w:pPr>
              <w:pBdr>
                <w:bottom w:val="double" w:color="auto" w:sz="12" w:space="1"/>
              </w:pBdr>
              <w:spacing w:before="120"/>
              <w:ind w:right="109"/>
              <w:jc w:val="right"/>
              <w:textAlignment w:val="baseline"/>
              <w:rPr>
                <w:rFonts w:eastAsia="Times New Roman"/>
                <w:color w:val="000000"/>
                <w:sz w:val="16"/>
                <w:szCs w:val="16"/>
                <w:lang w:val="en-GB"/>
              </w:rPr>
            </w:pPr>
            <w:r w:rsidRPr="009C48DA">
              <w:rPr>
                <w:rFonts w:eastAsia="Times New Roman"/>
                <w:color w:val="000000"/>
                <w:sz w:val="16"/>
                <w:szCs w:val="16"/>
                <w:lang w:val="en-GB"/>
              </w:rPr>
              <w:t>27,084</w:t>
            </w:r>
          </w:p>
        </w:tc>
      </w:tr>
    </w:tbl>
    <w:p w:rsidRPr="009C48DA" w:rsidR="00661519" w:rsidP="00661519" w:rsidRDefault="00661519" w14:paraId="3EAC02D5" w14:textId="77777777">
      <w:pPr>
        <w:jc w:val="both"/>
        <w:textAlignment w:val="baseline"/>
        <w:rPr>
          <w:rFonts w:eastAsia="Times New Roman" w:cs="Times New Roman"/>
          <w:color w:val="000000"/>
          <w:sz w:val="16"/>
          <w:szCs w:val="22"/>
          <w:lang w:val="en-GB"/>
        </w:rPr>
      </w:pPr>
    </w:p>
    <w:p w:rsidRPr="009C48DA" w:rsidR="00661519" w:rsidP="00661519" w:rsidRDefault="00661519" w14:paraId="67F58822" w14:textId="77777777">
      <w:pPr>
        <w:rPr>
          <w:rFonts w:eastAsia="Times New Roman" w:cs="Times New Roman"/>
          <w:color w:val="000000"/>
          <w:sz w:val="16"/>
          <w:szCs w:val="22"/>
          <w:lang w:val="en-GB"/>
        </w:rPr>
      </w:pPr>
      <w:r w:rsidRPr="009C48DA">
        <w:rPr>
          <w:rFonts w:eastAsia="Times New Roman" w:cs="Times New Roman"/>
          <w:color w:val="000000"/>
          <w:sz w:val="16"/>
          <w:szCs w:val="22"/>
          <w:lang w:val="en-GB"/>
        </w:rPr>
        <w:br w:type="page"/>
      </w:r>
    </w:p>
    <w:p w:rsidRPr="009C48DA" w:rsidR="00661519" w:rsidP="00661519" w:rsidRDefault="00661519" w14:paraId="517469A0" w14:textId="77777777">
      <w:pPr>
        <w:rPr>
          <w:rFonts w:eastAsia="Times New Roman" w:cs="Times New Roman"/>
          <w:b/>
          <w:color w:val="000000"/>
          <w:sz w:val="16"/>
          <w:szCs w:val="22"/>
          <w:lang w:val="en-GB"/>
        </w:rPr>
      </w:pPr>
      <w:r w:rsidRPr="009C48DA">
        <w:rPr>
          <w:rFonts w:eastAsia="Times New Roman" w:cs="Times New Roman"/>
          <w:b/>
          <w:color w:val="000000"/>
          <w:sz w:val="16"/>
          <w:szCs w:val="22"/>
          <w:lang w:val="en-GB"/>
        </w:rPr>
        <w:lastRenderedPageBreak/>
        <w:t>5</w:t>
      </w:r>
      <w:r w:rsidRPr="009C48DA">
        <w:rPr>
          <w:rFonts w:eastAsia="Times New Roman" w:cs="Times New Roman"/>
          <w:b/>
          <w:color w:val="000000"/>
          <w:sz w:val="16"/>
          <w:szCs w:val="22"/>
          <w:lang w:val="en-GB"/>
        </w:rPr>
        <w:tab/>
        <w:t>Operating income</w:t>
      </w:r>
    </w:p>
    <w:p w:rsidRPr="009C48DA" w:rsidR="00661519" w:rsidP="00661519" w:rsidRDefault="00661519" w14:paraId="7A0500D4" w14:textId="77777777">
      <w:pPr>
        <w:ind w:right="34"/>
        <w:textAlignment w:val="baseline"/>
        <w:rPr>
          <w:rFonts w:eastAsia="Times New Roman" w:cs="Times New Roman"/>
          <w:b/>
          <w:color w:val="000000"/>
          <w:sz w:val="12"/>
          <w:szCs w:val="12"/>
          <w:lang w:val="en-GB"/>
        </w:rPr>
      </w:pPr>
    </w:p>
    <w:p w:rsidRPr="009C48DA" w:rsidR="00661519" w:rsidP="00661519" w:rsidRDefault="00661519" w14:paraId="2CFDBFD3" w14:textId="77777777">
      <w:pPr>
        <w:ind w:right="34"/>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Operating income primarily comprises management fees, carried interest income and investment profits from the management of and</w:t>
      </w:r>
      <w:r w:rsidRPr="009C48DA">
        <w:rPr>
          <w:rFonts w:eastAsia="Times New Roman" w:cs="Times New Roman"/>
          <w:color w:val="000000"/>
          <w:sz w:val="16"/>
          <w:szCs w:val="22"/>
          <w:lang w:val="en-GB"/>
        </w:rPr>
        <w:br/>
        <w:t>investment in private equity and credit fund partnerships.</w:t>
      </w:r>
    </w:p>
    <w:p w:rsidRPr="009C48DA" w:rsidR="00661519" w:rsidP="00661519" w:rsidRDefault="00661519" w14:paraId="1DB4D068" w14:textId="77777777">
      <w:pPr>
        <w:ind w:right="34"/>
        <w:textAlignment w:val="baseline"/>
        <w:rPr>
          <w:rFonts w:eastAsia="Times New Roman" w:cs="Times New Roman"/>
          <w:b/>
          <w:color w:val="000000"/>
          <w:sz w:val="12"/>
          <w:szCs w:val="12"/>
          <w:u w:val="single"/>
          <w:lang w:val="en-GB"/>
        </w:rPr>
      </w:pPr>
    </w:p>
    <w:p w:rsidRPr="009C48DA" w:rsidR="00661519" w:rsidP="00661519" w:rsidRDefault="00661519" w14:paraId="3CABD596" w14:textId="77777777">
      <w:pPr>
        <w:ind w:right="34"/>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 xml:space="preserve">Management fees </w:t>
      </w:r>
    </w:p>
    <w:p w:rsidRPr="009C48DA" w:rsidR="00661519" w:rsidP="00661519" w:rsidRDefault="00661519" w14:paraId="272DB0FD" w14:textId="77777777">
      <w:pPr>
        <w:ind w:right="34"/>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Management fees are recognised over time over the life of each fund, generally 10 - 12 years, occasionally subject to an extension, if agreed</w:t>
      </w:r>
      <w:r w:rsidRPr="009C48DA">
        <w:rPr>
          <w:rFonts w:eastAsia="Times New Roman" w:cs="Times New Roman"/>
          <w:color w:val="000000"/>
          <w:sz w:val="16"/>
          <w:szCs w:val="22"/>
          <w:lang w:val="en-GB"/>
        </w:rPr>
        <w:br/>
        <w:t>with the investors of that fund.</w:t>
      </w:r>
    </w:p>
    <w:p w:rsidRPr="009C48DA" w:rsidR="00661519" w:rsidP="00661519" w:rsidRDefault="00661519" w14:paraId="1EEB970E" w14:textId="77777777">
      <w:pPr>
        <w:ind w:right="34"/>
        <w:jc w:val="both"/>
        <w:textAlignment w:val="baseline"/>
        <w:rPr>
          <w:rFonts w:eastAsia="Times New Roman" w:cs="Times New Roman"/>
          <w:color w:val="000000"/>
          <w:sz w:val="12"/>
          <w:szCs w:val="12"/>
          <w:lang w:val="en-GB"/>
        </w:rPr>
      </w:pPr>
    </w:p>
    <w:p w:rsidRPr="009C48DA" w:rsidR="00661519" w:rsidP="00661519" w:rsidRDefault="00661519" w14:paraId="4F0EAFF4" w14:textId="77777777">
      <w:pPr>
        <w:ind w:right="34"/>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Management fees are based on an agreed percentage of either committed or invested money, depending on the fund. Fees are billed in </w:t>
      </w:r>
      <w:r w:rsidRPr="009C48DA">
        <w:rPr>
          <w:rFonts w:eastAsia="Times New Roman" w:cs="Times New Roman"/>
          <w:color w:val="000000"/>
          <w:sz w:val="16"/>
          <w:szCs w:val="22"/>
          <w:lang w:val="en-GB"/>
        </w:rPr>
        <w:br/>
        <w:t xml:space="preserve">accordance with the LPA and are either billed semi-annually or quarterly in advance or arrears. Management fees are variable fee revenue </w:t>
      </w:r>
    </w:p>
    <w:p w:rsidRPr="009C48DA" w:rsidR="00661519" w:rsidP="00661519" w:rsidRDefault="00661519" w14:paraId="01810281" w14:textId="77777777">
      <w:pPr>
        <w:ind w:right="34"/>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streams.</w:t>
      </w:r>
    </w:p>
    <w:p w:rsidRPr="009C48DA" w:rsidR="00661519" w:rsidP="00661519" w:rsidRDefault="00661519" w14:paraId="4D49C0B1" w14:textId="77777777">
      <w:pPr>
        <w:ind w:right="34"/>
        <w:jc w:val="both"/>
        <w:textAlignment w:val="baseline"/>
        <w:rPr>
          <w:rFonts w:eastAsia="Times New Roman" w:cs="Times New Roman"/>
          <w:color w:val="000000"/>
          <w:sz w:val="12"/>
          <w:szCs w:val="12"/>
          <w:lang w:val="en-GB"/>
        </w:rPr>
      </w:pPr>
    </w:p>
    <w:p w:rsidRPr="009C48DA" w:rsidR="00661519" w:rsidP="00661519" w:rsidRDefault="00661519" w14:paraId="3114500E" w14:textId="0BADD9AA">
      <w:pPr>
        <w:ind w:right="34"/>
        <w:jc w:val="both"/>
        <w:textAlignment w:val="baseline"/>
        <w:rPr>
          <w:rFonts w:eastAsia="Times New Roman" w:cs="Times New Roman"/>
          <w:color w:val="000000"/>
          <w:sz w:val="17"/>
          <w:szCs w:val="22"/>
          <w:lang w:val="en-GB"/>
        </w:rPr>
      </w:pPr>
      <w:r w:rsidRPr="009C48DA">
        <w:rPr>
          <w:rFonts w:eastAsia="Times New Roman" w:cs="Times New Roman"/>
          <w:color w:val="000000"/>
          <w:sz w:val="16"/>
          <w:szCs w:val="22"/>
          <w:lang w:val="en-GB"/>
        </w:rPr>
        <w:t xml:space="preserve">Management fees are presented net of the profit or loss impact </w:t>
      </w:r>
      <w:r w:rsidRPr="009C48DA">
        <w:rPr>
          <w:rFonts w:eastAsia="Times New Roman" w:cs="Times New Roman"/>
          <w:color w:val="000000"/>
          <w:sz w:val="17"/>
          <w:szCs w:val="22"/>
          <w:lang w:val="en-GB"/>
        </w:rPr>
        <w:t>of the settlement of foreign exchange hedging used to limit the volatility of foreign exchange on fees earned in euros.</w:t>
      </w:r>
    </w:p>
    <w:tbl>
      <w:tblPr>
        <w:tblW w:w="9064" w:type="dxa"/>
        <w:tblLayout w:type="fixed"/>
        <w:tblCellMar>
          <w:left w:w="0" w:type="dxa"/>
          <w:right w:w="0" w:type="dxa"/>
        </w:tblCellMar>
        <w:tblLook w:val="04A0" w:firstRow="1" w:lastRow="0" w:firstColumn="1" w:lastColumn="0" w:noHBand="0" w:noVBand="1"/>
      </w:tblPr>
      <w:tblGrid>
        <w:gridCol w:w="2552"/>
        <w:gridCol w:w="1417"/>
        <w:gridCol w:w="1276"/>
        <w:gridCol w:w="1276"/>
        <w:gridCol w:w="1276"/>
        <w:gridCol w:w="1267"/>
      </w:tblGrid>
      <w:tr w:rsidRPr="009C48DA" w:rsidR="00661519" w:rsidTr="00661519" w14:paraId="3CC7EBB4" w14:textId="77777777">
        <w:tc>
          <w:tcPr>
            <w:tcW w:w="2552" w:type="dxa"/>
            <w:vAlign w:val="bottom"/>
          </w:tcPr>
          <w:p w:rsidRPr="009C48DA" w:rsidR="00661519" w:rsidP="00661519" w:rsidRDefault="00661519" w14:paraId="734FE70D" w14:textId="77777777">
            <w:pPr>
              <w:textAlignment w:val="baseline"/>
              <w:rPr>
                <w:rFonts w:eastAsia="Times New Roman" w:cs="Times New Roman"/>
                <w:color w:val="000000"/>
                <w:sz w:val="16"/>
                <w:szCs w:val="16"/>
                <w:lang w:val="en-GB"/>
              </w:rPr>
            </w:pPr>
          </w:p>
        </w:tc>
        <w:tc>
          <w:tcPr>
            <w:tcW w:w="3969" w:type="dxa"/>
            <w:gridSpan w:val="3"/>
            <w:vAlign w:val="bottom"/>
          </w:tcPr>
          <w:p w:rsidRPr="009C48DA" w:rsidR="00661519" w:rsidP="00661519" w:rsidRDefault="00661519" w14:paraId="5B5FBFE1" w14:textId="77777777">
            <w:pPr>
              <w:pBdr>
                <w:bottom w:val="single" w:color="auto" w:sz="18" w:space="1"/>
              </w:pBdr>
              <w:ind w:right="115"/>
              <w:jc w:val="cente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Year ended 31 December</w:t>
            </w:r>
          </w:p>
        </w:tc>
        <w:tc>
          <w:tcPr>
            <w:tcW w:w="2543" w:type="dxa"/>
            <w:gridSpan w:val="2"/>
            <w:vAlign w:val="bottom"/>
          </w:tcPr>
          <w:p w:rsidRPr="009C48DA" w:rsidR="00661519" w:rsidP="00661519" w:rsidRDefault="00661519" w14:paraId="0350F2C8" w14:textId="77777777">
            <w:pPr>
              <w:pBdr>
                <w:bottom w:val="single" w:color="auto" w:sz="18" w:space="1"/>
              </w:pBdr>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Three month period ended</w:t>
            </w:r>
          </w:p>
          <w:p w:rsidRPr="009C48DA" w:rsidR="00661519" w:rsidP="00661519" w:rsidRDefault="00661519" w14:paraId="537EA68A" w14:textId="77777777">
            <w:pPr>
              <w:pBdr>
                <w:bottom w:val="single" w:color="auto" w:sz="18" w:space="1"/>
              </w:pBdr>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31 March</w:t>
            </w:r>
          </w:p>
        </w:tc>
      </w:tr>
      <w:tr w:rsidRPr="009C48DA" w:rsidR="00661519" w:rsidTr="00661519" w14:paraId="4FB226A2" w14:textId="77777777">
        <w:tc>
          <w:tcPr>
            <w:tcW w:w="2552" w:type="dxa"/>
            <w:vAlign w:val="bottom"/>
          </w:tcPr>
          <w:p w:rsidRPr="009C48DA" w:rsidR="00661519" w:rsidP="00661519" w:rsidRDefault="00661519" w14:paraId="5CAA34A0" w14:textId="77777777">
            <w:pPr>
              <w:textAlignment w:val="baseline"/>
              <w:rPr>
                <w:rFonts w:eastAsia="Times New Roman" w:cs="Times New Roman"/>
                <w:color w:val="000000"/>
                <w:sz w:val="16"/>
                <w:szCs w:val="16"/>
                <w:lang w:val="en-GB"/>
              </w:rPr>
            </w:pPr>
          </w:p>
        </w:tc>
        <w:tc>
          <w:tcPr>
            <w:tcW w:w="1417" w:type="dxa"/>
            <w:vAlign w:val="bottom"/>
          </w:tcPr>
          <w:p w:rsidRPr="009C48DA" w:rsidR="00661519" w:rsidP="00661519" w:rsidRDefault="00661519" w14:paraId="08B1CEF9" w14:textId="77777777">
            <w:pPr>
              <w:ind w:right="194"/>
              <w:jc w:val="right"/>
              <w:textAlignment w:val="baseline"/>
              <w:rPr>
                <w:rFonts w:eastAsia="Times New Roman" w:cs="Times New Roman"/>
                <w:b/>
                <w:color w:val="000000"/>
                <w:sz w:val="16"/>
                <w:szCs w:val="16"/>
                <w:lang w:val="en-GB"/>
              </w:rPr>
            </w:pPr>
          </w:p>
        </w:tc>
        <w:tc>
          <w:tcPr>
            <w:tcW w:w="1276" w:type="dxa"/>
            <w:vAlign w:val="bottom"/>
          </w:tcPr>
          <w:p w:rsidRPr="009C48DA" w:rsidR="00661519" w:rsidP="00661519" w:rsidRDefault="00661519" w14:paraId="285DC8B3" w14:textId="77777777">
            <w:pPr>
              <w:ind w:right="177"/>
              <w:jc w:val="right"/>
              <w:textAlignment w:val="baseline"/>
              <w:rPr>
                <w:rFonts w:eastAsia="Times New Roman" w:cs="Times New Roman"/>
                <w:b/>
                <w:color w:val="000000"/>
                <w:sz w:val="16"/>
                <w:szCs w:val="16"/>
                <w:lang w:val="en-GB"/>
              </w:rPr>
            </w:pPr>
          </w:p>
        </w:tc>
        <w:tc>
          <w:tcPr>
            <w:tcW w:w="1276" w:type="dxa"/>
            <w:vAlign w:val="bottom"/>
          </w:tcPr>
          <w:p w:rsidRPr="009C48DA" w:rsidR="00661519" w:rsidP="00661519" w:rsidRDefault="00661519" w14:paraId="30E9553E" w14:textId="77777777">
            <w:pPr>
              <w:ind w:right="168"/>
              <w:jc w:val="right"/>
              <w:textAlignment w:val="baseline"/>
              <w:rPr>
                <w:rFonts w:eastAsia="Times New Roman" w:cs="Times New Roman"/>
                <w:b/>
                <w:color w:val="000000"/>
                <w:sz w:val="16"/>
                <w:szCs w:val="16"/>
                <w:lang w:val="en-GB"/>
              </w:rPr>
            </w:pPr>
          </w:p>
        </w:tc>
        <w:tc>
          <w:tcPr>
            <w:tcW w:w="2543" w:type="dxa"/>
            <w:gridSpan w:val="2"/>
            <w:vAlign w:val="bottom"/>
          </w:tcPr>
          <w:p w:rsidRPr="009C48DA" w:rsidR="00661519" w:rsidP="00661519" w:rsidRDefault="00661519" w14:paraId="0277F9AD" w14:textId="77777777">
            <w:pPr>
              <w:ind w:right="129"/>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       Unaudited</w:t>
            </w:r>
          </w:p>
        </w:tc>
      </w:tr>
      <w:tr w:rsidRPr="009C48DA" w:rsidR="00661519" w:rsidTr="00661519" w14:paraId="449678D8" w14:textId="77777777">
        <w:tc>
          <w:tcPr>
            <w:tcW w:w="2552" w:type="dxa"/>
            <w:vAlign w:val="bottom"/>
          </w:tcPr>
          <w:p w:rsidRPr="009C48DA" w:rsidR="00661519" w:rsidP="00661519" w:rsidRDefault="00661519" w14:paraId="0080E4F5"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417" w:type="dxa"/>
            <w:vAlign w:val="bottom"/>
          </w:tcPr>
          <w:p w:rsidRPr="009C48DA" w:rsidR="00661519" w:rsidP="00661519" w:rsidRDefault="00661519" w14:paraId="6BDC35C9" w14:textId="77777777">
            <w:pPr>
              <w:ind w:right="19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2018</w:t>
            </w:r>
          </w:p>
        </w:tc>
        <w:tc>
          <w:tcPr>
            <w:tcW w:w="1276" w:type="dxa"/>
            <w:vAlign w:val="bottom"/>
          </w:tcPr>
          <w:p w:rsidRPr="009C48DA" w:rsidR="00661519" w:rsidP="00661519" w:rsidRDefault="00661519" w14:paraId="7A08555B" w14:textId="77777777">
            <w:pPr>
              <w:ind w:right="17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2019</w:t>
            </w:r>
          </w:p>
        </w:tc>
        <w:tc>
          <w:tcPr>
            <w:tcW w:w="1276" w:type="dxa"/>
            <w:vAlign w:val="bottom"/>
          </w:tcPr>
          <w:p w:rsidRPr="009C48DA" w:rsidR="00661519" w:rsidP="00661519" w:rsidRDefault="00661519" w14:paraId="2CBF7AAC" w14:textId="77777777">
            <w:pPr>
              <w:ind w:right="16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2020</w:t>
            </w:r>
          </w:p>
        </w:tc>
        <w:tc>
          <w:tcPr>
            <w:tcW w:w="1276" w:type="dxa"/>
            <w:vAlign w:val="bottom"/>
          </w:tcPr>
          <w:p w:rsidRPr="009C48DA" w:rsidR="00661519" w:rsidP="00661519" w:rsidRDefault="00661519" w14:paraId="48D1E0A4" w14:textId="77777777">
            <w:pPr>
              <w:ind w:right="14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2020</w:t>
            </w:r>
          </w:p>
        </w:tc>
        <w:tc>
          <w:tcPr>
            <w:tcW w:w="1267" w:type="dxa"/>
            <w:vAlign w:val="bottom"/>
          </w:tcPr>
          <w:p w:rsidRPr="009C48DA" w:rsidR="00661519" w:rsidP="00661519" w:rsidRDefault="00661519" w14:paraId="36A3CA59" w14:textId="77777777">
            <w:pPr>
              <w:ind w:right="12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2021</w:t>
            </w:r>
          </w:p>
        </w:tc>
      </w:tr>
      <w:tr w:rsidRPr="009C48DA" w:rsidR="00661519" w:rsidTr="00661519" w14:paraId="66FCB8C4" w14:textId="77777777">
        <w:tc>
          <w:tcPr>
            <w:tcW w:w="2552" w:type="dxa"/>
            <w:vAlign w:val="bottom"/>
          </w:tcPr>
          <w:p w:rsidRPr="009C48DA" w:rsidR="00661519" w:rsidP="00661519" w:rsidRDefault="00661519" w14:paraId="5BA6DF5E"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417" w:type="dxa"/>
            <w:vAlign w:val="bottom"/>
          </w:tcPr>
          <w:p w:rsidRPr="009C48DA" w:rsidR="00661519" w:rsidP="00661519" w:rsidRDefault="00661519" w14:paraId="2BD3FE61" w14:textId="77777777">
            <w:pPr>
              <w:ind w:right="19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76" w:type="dxa"/>
            <w:vAlign w:val="bottom"/>
          </w:tcPr>
          <w:p w:rsidRPr="009C48DA" w:rsidR="00661519" w:rsidP="00661519" w:rsidRDefault="00661519" w14:paraId="7ED291EC" w14:textId="77777777">
            <w:pPr>
              <w:ind w:right="17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76" w:type="dxa"/>
            <w:vAlign w:val="bottom"/>
          </w:tcPr>
          <w:p w:rsidRPr="009C48DA" w:rsidR="00661519" w:rsidP="00661519" w:rsidRDefault="00661519" w14:paraId="6F34FDE6" w14:textId="77777777">
            <w:pPr>
              <w:ind w:right="16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76" w:type="dxa"/>
            <w:vAlign w:val="bottom"/>
          </w:tcPr>
          <w:p w:rsidRPr="009C48DA" w:rsidR="00661519" w:rsidP="00661519" w:rsidRDefault="00661519" w14:paraId="5EFD416F" w14:textId="77777777">
            <w:pPr>
              <w:ind w:right="14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67" w:type="dxa"/>
            <w:vAlign w:val="bottom"/>
          </w:tcPr>
          <w:p w:rsidRPr="009C48DA" w:rsidR="00661519" w:rsidP="00661519" w:rsidRDefault="00661519" w14:paraId="34C43A48" w14:textId="77777777">
            <w:pPr>
              <w:ind w:right="12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7BE51AAE" w14:textId="77777777">
        <w:tc>
          <w:tcPr>
            <w:tcW w:w="2552" w:type="dxa"/>
            <w:vAlign w:val="bottom"/>
          </w:tcPr>
          <w:p w:rsidRPr="009C48DA" w:rsidR="00661519" w:rsidP="00661519" w:rsidRDefault="00661519" w14:paraId="08492487"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Gross management fees</w:t>
            </w:r>
          </w:p>
        </w:tc>
        <w:tc>
          <w:tcPr>
            <w:tcW w:w="1417" w:type="dxa"/>
            <w:vAlign w:val="bottom"/>
          </w:tcPr>
          <w:p w:rsidRPr="009C48DA" w:rsidR="00661519" w:rsidP="00661519" w:rsidRDefault="00661519" w14:paraId="790B030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122,130</w:t>
            </w:r>
          </w:p>
        </w:tc>
        <w:tc>
          <w:tcPr>
            <w:tcW w:w="1276" w:type="dxa"/>
            <w:vAlign w:val="bottom"/>
          </w:tcPr>
          <w:p w:rsidRPr="009C48DA" w:rsidR="00661519" w:rsidP="00661519" w:rsidRDefault="00661519" w14:paraId="3680991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146,002</w:t>
            </w:r>
          </w:p>
        </w:tc>
        <w:tc>
          <w:tcPr>
            <w:tcW w:w="1276" w:type="dxa"/>
            <w:vAlign w:val="bottom"/>
          </w:tcPr>
          <w:p w:rsidRPr="009C48DA" w:rsidR="00661519" w:rsidP="00661519" w:rsidRDefault="00661519" w14:paraId="7E7D9D9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147,997</w:t>
            </w:r>
          </w:p>
        </w:tc>
        <w:tc>
          <w:tcPr>
            <w:tcW w:w="1276" w:type="dxa"/>
            <w:vAlign w:val="bottom"/>
          </w:tcPr>
          <w:p w:rsidRPr="009C48DA" w:rsidR="00661519" w:rsidP="00661519" w:rsidRDefault="00661519" w14:paraId="3414417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34,403</w:t>
            </w:r>
          </w:p>
        </w:tc>
        <w:tc>
          <w:tcPr>
            <w:tcW w:w="1267" w:type="dxa"/>
            <w:vAlign w:val="bottom"/>
          </w:tcPr>
          <w:p w:rsidRPr="009C48DA" w:rsidR="00661519" w:rsidP="00661519" w:rsidRDefault="00661519" w14:paraId="08212DC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48,163</w:t>
            </w:r>
          </w:p>
        </w:tc>
      </w:tr>
      <w:tr w:rsidRPr="009C48DA" w:rsidR="00661519" w:rsidTr="00661519" w14:paraId="46782F9A" w14:textId="77777777">
        <w:tc>
          <w:tcPr>
            <w:tcW w:w="2552" w:type="dxa"/>
            <w:vAlign w:val="bottom"/>
          </w:tcPr>
          <w:p w:rsidRPr="009C48DA" w:rsidR="00661519" w:rsidP="00661519" w:rsidRDefault="00661519" w14:paraId="1F3D6FB0"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Settlement of FX hedges</w:t>
            </w:r>
          </w:p>
        </w:tc>
        <w:tc>
          <w:tcPr>
            <w:tcW w:w="1417" w:type="dxa"/>
            <w:vAlign w:val="bottom"/>
          </w:tcPr>
          <w:p w:rsidRPr="009C48DA" w:rsidR="00661519" w:rsidP="00661519" w:rsidRDefault="00661519" w14:paraId="12F26AC3"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(4,763)</w:t>
            </w:r>
          </w:p>
        </w:tc>
        <w:tc>
          <w:tcPr>
            <w:tcW w:w="1276" w:type="dxa"/>
            <w:vAlign w:val="bottom"/>
          </w:tcPr>
          <w:p w:rsidRPr="009C48DA" w:rsidR="00661519" w:rsidP="00661519" w:rsidRDefault="00661519" w14:paraId="78F67AAD"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(2,109)</w:t>
            </w:r>
          </w:p>
        </w:tc>
        <w:tc>
          <w:tcPr>
            <w:tcW w:w="1276" w:type="dxa"/>
            <w:vAlign w:val="bottom"/>
          </w:tcPr>
          <w:p w:rsidRPr="009C48DA" w:rsidR="00661519" w:rsidP="00661519" w:rsidRDefault="00661519" w14:paraId="22CD35C3"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627</w:t>
            </w:r>
          </w:p>
        </w:tc>
        <w:tc>
          <w:tcPr>
            <w:tcW w:w="1276" w:type="dxa"/>
            <w:vAlign w:val="bottom"/>
          </w:tcPr>
          <w:p w:rsidRPr="009C48DA" w:rsidR="00661519" w:rsidP="00661519" w:rsidRDefault="00661519" w14:paraId="35943782"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982</w:t>
            </w:r>
          </w:p>
        </w:tc>
        <w:tc>
          <w:tcPr>
            <w:tcW w:w="1267" w:type="dxa"/>
            <w:vAlign w:val="bottom"/>
          </w:tcPr>
          <w:p w:rsidRPr="009C48DA" w:rsidR="00661519" w:rsidP="00661519" w:rsidRDefault="00661519" w14:paraId="12223C83"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(106)</w:t>
            </w:r>
          </w:p>
        </w:tc>
      </w:tr>
      <w:tr w:rsidRPr="009C48DA" w:rsidR="00661519" w:rsidTr="00661519" w14:paraId="5DF8CE5D" w14:textId="77777777">
        <w:tc>
          <w:tcPr>
            <w:tcW w:w="2552" w:type="dxa"/>
            <w:vAlign w:val="bottom"/>
          </w:tcPr>
          <w:p w:rsidRPr="009C48DA" w:rsidR="00661519" w:rsidP="00661519" w:rsidRDefault="00661519" w14:paraId="0BC701C3"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Management fees</w:t>
            </w:r>
          </w:p>
        </w:tc>
        <w:tc>
          <w:tcPr>
            <w:tcW w:w="1417" w:type="dxa"/>
            <w:vAlign w:val="bottom"/>
          </w:tcPr>
          <w:p w:rsidRPr="009C48DA" w:rsidR="00661519" w:rsidP="00661519" w:rsidRDefault="00661519" w14:paraId="6C9B4F02"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117,367</w:t>
            </w:r>
          </w:p>
        </w:tc>
        <w:tc>
          <w:tcPr>
            <w:tcW w:w="1276" w:type="dxa"/>
            <w:vAlign w:val="bottom"/>
          </w:tcPr>
          <w:p w:rsidRPr="009C48DA" w:rsidR="00661519" w:rsidP="00661519" w:rsidRDefault="00661519" w14:paraId="1D32F045"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143,893</w:t>
            </w:r>
          </w:p>
        </w:tc>
        <w:tc>
          <w:tcPr>
            <w:tcW w:w="1276" w:type="dxa"/>
            <w:vAlign w:val="bottom"/>
          </w:tcPr>
          <w:p w:rsidRPr="009C48DA" w:rsidR="00661519" w:rsidP="00661519" w:rsidRDefault="00661519" w14:paraId="46385A50"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148,624</w:t>
            </w:r>
          </w:p>
        </w:tc>
        <w:tc>
          <w:tcPr>
            <w:tcW w:w="1276" w:type="dxa"/>
            <w:vAlign w:val="bottom"/>
          </w:tcPr>
          <w:p w:rsidRPr="009C48DA" w:rsidR="00661519" w:rsidP="00661519" w:rsidRDefault="00661519" w14:paraId="7AED8155"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35,385</w:t>
            </w:r>
          </w:p>
        </w:tc>
        <w:tc>
          <w:tcPr>
            <w:tcW w:w="1267" w:type="dxa"/>
            <w:vAlign w:val="bottom"/>
          </w:tcPr>
          <w:p w:rsidRPr="009C48DA" w:rsidR="00661519" w:rsidP="00661519" w:rsidRDefault="00661519" w14:paraId="048784A8"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48,057</w:t>
            </w:r>
          </w:p>
        </w:tc>
      </w:tr>
    </w:tbl>
    <w:p w:rsidRPr="009C48DA" w:rsidR="00661519" w:rsidP="00661519" w:rsidRDefault="00661519" w14:paraId="2D119B81" w14:textId="77777777">
      <w:pPr>
        <w:ind w:right="34"/>
        <w:textAlignment w:val="baseline"/>
        <w:rPr>
          <w:rFonts w:eastAsia="Times New Roman" w:cs="Times New Roman"/>
          <w:b/>
          <w:color w:val="000000"/>
          <w:sz w:val="12"/>
          <w:szCs w:val="12"/>
          <w:u w:val="single"/>
          <w:lang w:val="en-GB"/>
        </w:rPr>
      </w:pPr>
    </w:p>
    <w:p w:rsidRPr="009C48DA" w:rsidR="00661519" w:rsidP="00661519" w:rsidRDefault="00661519" w14:paraId="178775EA" w14:textId="77777777">
      <w:pPr>
        <w:ind w:right="34"/>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t xml:space="preserve">Carried interest </w:t>
      </w:r>
    </w:p>
    <w:p w:rsidRPr="009C48DA" w:rsidR="00661519" w:rsidP="00661519" w:rsidRDefault="00661519" w14:paraId="42C34183" w14:textId="77777777">
      <w:pPr>
        <w:spacing w:before="22" w:line="189" w:lineRule="exact"/>
        <w:jc w:val="both"/>
        <w:textAlignment w:val="baseline"/>
        <w:rPr>
          <w:rFonts w:eastAsia="Times New Roman"/>
          <w:color w:val="000000"/>
          <w:sz w:val="16"/>
          <w:lang w:val="en-GB"/>
        </w:rPr>
      </w:pPr>
      <w:r w:rsidRPr="009C48DA">
        <w:rPr>
          <w:rFonts w:eastAsia="Times New Roman"/>
          <w:color w:val="000000"/>
          <w:sz w:val="16"/>
          <w:lang w:val="en-GB"/>
        </w:rPr>
        <w:t xml:space="preserve">The Group receives a share of fund profits through its holdings in Carried Interest Partnerships as variable consideration dependent on the </w:t>
      </w:r>
      <w:r w:rsidRPr="009C48DA">
        <w:rPr>
          <w:rFonts w:eastAsia="Times New Roman"/>
          <w:color w:val="000000"/>
          <w:sz w:val="16"/>
          <w:lang w:val="en-GB"/>
        </w:rPr>
        <w:br/>
        <w:t xml:space="preserve">level of fund returns. The entitlement to carried interest and the amount is determined by the level of accumulated profits exceeding an </w:t>
      </w:r>
      <w:r w:rsidRPr="009C48DA">
        <w:rPr>
          <w:rFonts w:eastAsia="Times New Roman"/>
          <w:color w:val="000000"/>
          <w:sz w:val="16"/>
          <w:lang w:val="en-GB"/>
        </w:rPr>
        <w:br/>
        <w:t>agreed threshold (the “hurdle”) over the life-time of each fund. Further detail on the estimation of the income is set out in note 3</w:t>
      </w:r>
      <w:r w:rsidRPr="009C48DA">
        <w:rPr>
          <w:rFonts w:eastAsia="Times New Roman"/>
          <w:color w:val="000000"/>
          <w:sz w:val="21"/>
          <w:lang w:val="en-GB"/>
        </w:rPr>
        <w:t>.</w:t>
      </w:r>
    </w:p>
    <w:p w:rsidRPr="009C48DA" w:rsidR="00661519" w:rsidP="00661519" w:rsidRDefault="00661519" w14:paraId="57B51E92" w14:textId="77777777">
      <w:pPr>
        <w:spacing w:before="81" w:line="184" w:lineRule="exact"/>
        <w:textAlignment w:val="baseline"/>
        <w:rPr>
          <w:rFonts w:eastAsia="Times New Roman"/>
          <w:color w:val="000000"/>
          <w:sz w:val="16"/>
          <w:lang w:val="en-GB"/>
        </w:rPr>
      </w:pPr>
      <w:r w:rsidRPr="009C48DA">
        <w:rPr>
          <w:rFonts w:eastAsia="Times New Roman"/>
          <w:color w:val="000000"/>
          <w:sz w:val="16"/>
          <w:lang w:val="en-GB"/>
        </w:rPr>
        <w:t>Carried interest income is presented net of the revaluation for foreign exchange of the underlying carrying value of the asset.</w:t>
      </w:r>
    </w:p>
    <w:p w:rsidRPr="009C48DA" w:rsidR="00661519" w:rsidP="00661519" w:rsidRDefault="00661519" w14:paraId="5A62BB07" w14:textId="77777777">
      <w:pPr>
        <w:spacing w:before="100" w:line="184" w:lineRule="exact"/>
        <w:jc w:val="both"/>
        <w:textAlignment w:val="baseline"/>
        <w:rPr>
          <w:rFonts w:eastAsia="Times New Roman"/>
          <w:color w:val="000000"/>
          <w:sz w:val="16"/>
          <w:lang w:val="en-GB"/>
        </w:rPr>
      </w:pPr>
      <w:r w:rsidRPr="009C48DA">
        <w:rPr>
          <w:rFonts w:eastAsia="Times New Roman"/>
          <w:color w:val="000000"/>
          <w:sz w:val="16"/>
          <w:lang w:val="en-GB"/>
        </w:rPr>
        <w:t>The amount of carried interest recognised in operating income and the carrying value of the related asset is sensitive to the fair value of</w:t>
      </w:r>
      <w:r w:rsidRPr="009C48DA">
        <w:rPr>
          <w:rFonts w:eastAsia="Times New Roman"/>
          <w:color w:val="000000"/>
          <w:sz w:val="16"/>
          <w:lang w:val="en-GB"/>
        </w:rPr>
        <w:br/>
        <w:t xml:space="preserve">unrealised investment within each fund. The reversal risk in carried interest income, which is accounted for under IFRS 15 ‘Revenue from contracts with customers,’ is managed through the application of discounts of 30 to 50 percent to the fair value of the fund investments and </w:t>
      </w:r>
      <w:r w:rsidRPr="009C48DA">
        <w:rPr>
          <w:rFonts w:eastAsia="Times New Roman"/>
          <w:color w:val="000000"/>
          <w:sz w:val="16"/>
          <w:lang w:val="en-GB"/>
        </w:rPr>
        <w:br/>
        <w:t>the later recognition of carried interest relating to credit funds.</w:t>
      </w:r>
    </w:p>
    <w:p w:rsidRPr="009C48DA" w:rsidR="00661519" w:rsidP="00661519" w:rsidRDefault="00661519" w14:paraId="18ADDC47" w14:textId="77777777">
      <w:pPr>
        <w:spacing w:before="96" w:line="187" w:lineRule="exact"/>
        <w:jc w:val="both"/>
        <w:textAlignment w:val="baseline"/>
        <w:rPr>
          <w:rFonts w:eastAsia="Times New Roman"/>
          <w:color w:val="000000"/>
          <w:sz w:val="16"/>
          <w:lang w:val="en-GB"/>
        </w:rPr>
      </w:pPr>
      <w:r w:rsidRPr="009C48DA">
        <w:rPr>
          <w:rFonts w:eastAsia="Times New Roman"/>
          <w:color w:val="000000"/>
          <w:sz w:val="16"/>
          <w:lang w:val="en-GB"/>
        </w:rPr>
        <w:t xml:space="preserve">If the fair value of unrealised investments of each relevant fund had been higher/lower at each period end, the impact on carried interest </w:t>
      </w:r>
      <w:r w:rsidRPr="009C48DA">
        <w:rPr>
          <w:rFonts w:eastAsia="Times New Roman"/>
          <w:color w:val="000000"/>
          <w:sz w:val="16"/>
          <w:lang w:val="en-GB"/>
        </w:rPr>
        <w:br/>
        <w:t>income in each period is shown in the table below.</w:t>
      </w:r>
    </w:p>
    <w:p w:rsidRPr="009C48DA" w:rsidR="00661519" w:rsidP="00661519" w:rsidRDefault="00661519" w14:paraId="60E85660" w14:textId="77777777">
      <w:pPr>
        <w:spacing w:before="96" w:line="187" w:lineRule="exact"/>
        <w:jc w:val="both"/>
        <w:textAlignment w:val="baseline"/>
        <w:rPr>
          <w:rFonts w:eastAsia="Times New Roman"/>
          <w:color w:val="000000"/>
          <w:sz w:val="16"/>
          <w:lang w:val="en-GB"/>
        </w:rPr>
      </w:pPr>
    </w:p>
    <w:tbl>
      <w:tblPr>
        <w:tblW w:w="9064" w:type="dxa"/>
        <w:tblLayout w:type="fixed"/>
        <w:tblCellMar>
          <w:left w:w="0" w:type="dxa"/>
          <w:right w:w="0" w:type="dxa"/>
        </w:tblCellMar>
        <w:tblLook w:val="04A0" w:firstRow="1" w:lastRow="0" w:firstColumn="1" w:lastColumn="0" w:noHBand="0" w:noVBand="1"/>
      </w:tblPr>
      <w:tblGrid>
        <w:gridCol w:w="3480"/>
        <w:gridCol w:w="1116"/>
        <w:gridCol w:w="1117"/>
        <w:gridCol w:w="1096"/>
        <w:gridCol w:w="1138"/>
        <w:gridCol w:w="1117"/>
      </w:tblGrid>
      <w:tr w:rsidRPr="009C48DA" w:rsidR="00661519" w:rsidTr="00661519" w14:paraId="018B8D08" w14:textId="77777777">
        <w:tc>
          <w:tcPr>
            <w:tcW w:w="3480" w:type="dxa"/>
            <w:vAlign w:val="bottom"/>
          </w:tcPr>
          <w:p w:rsidRPr="009C48DA" w:rsidR="00661519" w:rsidP="00661519" w:rsidRDefault="00661519" w14:paraId="4C467EC2"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22"/>
                <w:lang w:val="en-GB"/>
              </w:rPr>
              <w:br w:type="page"/>
            </w:r>
          </w:p>
        </w:tc>
        <w:tc>
          <w:tcPr>
            <w:tcW w:w="3329" w:type="dxa"/>
            <w:gridSpan w:val="3"/>
            <w:vAlign w:val="bottom"/>
          </w:tcPr>
          <w:p w:rsidRPr="009C48DA" w:rsidR="00661519" w:rsidP="00661519" w:rsidRDefault="00661519" w14:paraId="4779C92B" w14:textId="77777777">
            <w:pPr>
              <w:pBdr>
                <w:bottom w:val="single" w:color="auto" w:sz="18" w:space="1"/>
              </w:pBdr>
              <w:ind w:right="115"/>
              <w:jc w:val="cente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Year ended 31 December</w:t>
            </w:r>
          </w:p>
        </w:tc>
        <w:tc>
          <w:tcPr>
            <w:tcW w:w="2255" w:type="dxa"/>
            <w:gridSpan w:val="2"/>
            <w:vAlign w:val="bottom"/>
          </w:tcPr>
          <w:p w:rsidRPr="009C48DA" w:rsidR="00661519" w:rsidP="00661519" w:rsidRDefault="00661519" w14:paraId="262757A8" w14:textId="77777777">
            <w:pPr>
              <w:pBdr>
                <w:bottom w:val="single" w:color="auto" w:sz="18" w:space="1"/>
              </w:pBdr>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Three month period ended</w:t>
            </w:r>
          </w:p>
          <w:p w:rsidRPr="009C48DA" w:rsidR="00661519" w:rsidP="00661519" w:rsidRDefault="00661519" w14:paraId="4E5A8420" w14:textId="77777777">
            <w:pPr>
              <w:pBdr>
                <w:bottom w:val="single" w:color="auto" w:sz="18" w:space="1"/>
              </w:pBdr>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31 March</w:t>
            </w:r>
          </w:p>
        </w:tc>
      </w:tr>
      <w:tr w:rsidRPr="009C48DA" w:rsidR="00661519" w:rsidTr="00661519" w14:paraId="26826398" w14:textId="77777777">
        <w:tc>
          <w:tcPr>
            <w:tcW w:w="3480" w:type="dxa"/>
            <w:vAlign w:val="bottom"/>
          </w:tcPr>
          <w:p w:rsidRPr="009C48DA" w:rsidR="00661519" w:rsidP="00661519" w:rsidRDefault="00661519" w14:paraId="61AE115E"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116" w:type="dxa"/>
            <w:vAlign w:val="bottom"/>
          </w:tcPr>
          <w:p w:rsidRPr="009C48DA" w:rsidR="00661519" w:rsidP="00661519" w:rsidRDefault="00661519" w14:paraId="6DDD3C75" w14:textId="77777777">
            <w:pPr>
              <w:ind w:right="19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2018</w:t>
            </w:r>
          </w:p>
        </w:tc>
        <w:tc>
          <w:tcPr>
            <w:tcW w:w="1117" w:type="dxa"/>
            <w:vAlign w:val="bottom"/>
          </w:tcPr>
          <w:p w:rsidRPr="009C48DA" w:rsidR="00661519" w:rsidP="00661519" w:rsidRDefault="00661519" w14:paraId="5B653CBA" w14:textId="77777777">
            <w:pPr>
              <w:ind w:right="17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2019</w:t>
            </w:r>
          </w:p>
        </w:tc>
        <w:tc>
          <w:tcPr>
            <w:tcW w:w="1096" w:type="dxa"/>
            <w:vAlign w:val="bottom"/>
          </w:tcPr>
          <w:p w:rsidRPr="009C48DA" w:rsidR="00661519" w:rsidP="00661519" w:rsidRDefault="00661519" w14:paraId="55D79EE2" w14:textId="77777777">
            <w:pPr>
              <w:ind w:right="16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2020</w:t>
            </w:r>
          </w:p>
        </w:tc>
        <w:tc>
          <w:tcPr>
            <w:tcW w:w="1138" w:type="dxa"/>
            <w:vAlign w:val="bottom"/>
          </w:tcPr>
          <w:p w:rsidRPr="009C48DA" w:rsidR="00661519" w:rsidP="00661519" w:rsidRDefault="00661519" w14:paraId="4BF732D8" w14:textId="77777777">
            <w:pPr>
              <w:ind w:right="14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2020</w:t>
            </w:r>
          </w:p>
        </w:tc>
        <w:tc>
          <w:tcPr>
            <w:tcW w:w="1117" w:type="dxa"/>
            <w:vAlign w:val="bottom"/>
          </w:tcPr>
          <w:p w:rsidRPr="009C48DA" w:rsidR="00661519" w:rsidP="00661519" w:rsidRDefault="00661519" w14:paraId="65667424" w14:textId="77777777">
            <w:pPr>
              <w:ind w:right="12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2021</w:t>
            </w:r>
          </w:p>
        </w:tc>
      </w:tr>
      <w:tr w:rsidRPr="009C48DA" w:rsidR="00661519" w:rsidTr="00661519" w14:paraId="087792BC" w14:textId="77777777">
        <w:tc>
          <w:tcPr>
            <w:tcW w:w="3480" w:type="dxa"/>
            <w:vAlign w:val="bottom"/>
          </w:tcPr>
          <w:p w:rsidRPr="009C48DA" w:rsidR="00661519" w:rsidP="00661519" w:rsidRDefault="00661519" w14:paraId="733381E0"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116" w:type="dxa"/>
            <w:vAlign w:val="bottom"/>
          </w:tcPr>
          <w:p w:rsidRPr="009C48DA" w:rsidR="00661519" w:rsidP="00661519" w:rsidRDefault="00661519" w14:paraId="1A0A6F67" w14:textId="77777777">
            <w:pPr>
              <w:ind w:right="194"/>
              <w:jc w:val="right"/>
              <w:textAlignment w:val="baseline"/>
              <w:rPr>
                <w:rFonts w:eastAsia="Times New Roman" w:cs="Times New Roman"/>
                <w:b/>
                <w:color w:val="000000"/>
                <w:sz w:val="16"/>
                <w:szCs w:val="16"/>
                <w:lang w:val="en-GB"/>
              </w:rPr>
            </w:pPr>
          </w:p>
        </w:tc>
        <w:tc>
          <w:tcPr>
            <w:tcW w:w="1117" w:type="dxa"/>
            <w:vAlign w:val="bottom"/>
          </w:tcPr>
          <w:p w:rsidRPr="009C48DA" w:rsidR="00661519" w:rsidP="00661519" w:rsidRDefault="00661519" w14:paraId="1D60942B" w14:textId="77777777">
            <w:pPr>
              <w:ind w:right="177"/>
              <w:jc w:val="right"/>
              <w:textAlignment w:val="baseline"/>
              <w:rPr>
                <w:rFonts w:eastAsia="Times New Roman" w:cs="Times New Roman"/>
                <w:b/>
                <w:color w:val="000000"/>
                <w:sz w:val="16"/>
                <w:szCs w:val="16"/>
                <w:lang w:val="en-GB"/>
              </w:rPr>
            </w:pPr>
          </w:p>
        </w:tc>
        <w:tc>
          <w:tcPr>
            <w:tcW w:w="1096" w:type="dxa"/>
            <w:vAlign w:val="bottom"/>
          </w:tcPr>
          <w:p w:rsidRPr="009C48DA" w:rsidR="00661519" w:rsidP="00661519" w:rsidRDefault="00661519" w14:paraId="1D20EF9E" w14:textId="77777777">
            <w:pPr>
              <w:ind w:right="168"/>
              <w:jc w:val="right"/>
              <w:textAlignment w:val="baseline"/>
              <w:rPr>
                <w:rFonts w:eastAsia="Times New Roman" w:cs="Times New Roman"/>
                <w:b/>
                <w:color w:val="000000"/>
                <w:sz w:val="16"/>
                <w:szCs w:val="16"/>
                <w:lang w:val="en-GB"/>
              </w:rPr>
            </w:pPr>
          </w:p>
        </w:tc>
        <w:tc>
          <w:tcPr>
            <w:tcW w:w="1138" w:type="dxa"/>
            <w:vAlign w:val="bottom"/>
          </w:tcPr>
          <w:p w:rsidRPr="009C48DA" w:rsidR="00661519" w:rsidP="00661519" w:rsidRDefault="00661519" w14:paraId="13954A81" w14:textId="77777777">
            <w:pPr>
              <w:ind w:right="144"/>
              <w:jc w:val="right"/>
              <w:textAlignment w:val="baseline"/>
              <w:rPr>
                <w:rFonts w:eastAsia="Times New Roman" w:cs="Times New Roman"/>
                <w:b/>
                <w:color w:val="000000"/>
                <w:sz w:val="16"/>
                <w:szCs w:val="16"/>
                <w:lang w:val="en-GB"/>
              </w:rPr>
            </w:pPr>
          </w:p>
        </w:tc>
        <w:tc>
          <w:tcPr>
            <w:tcW w:w="1117" w:type="dxa"/>
            <w:vAlign w:val="bottom"/>
          </w:tcPr>
          <w:p w:rsidRPr="009C48DA" w:rsidR="00661519" w:rsidP="00661519" w:rsidRDefault="00661519" w14:paraId="615802FD" w14:textId="77777777">
            <w:pPr>
              <w:ind w:right="129"/>
              <w:jc w:val="right"/>
              <w:textAlignment w:val="baseline"/>
              <w:rPr>
                <w:rFonts w:eastAsia="Times New Roman" w:cs="Times New Roman"/>
                <w:b/>
                <w:color w:val="000000"/>
                <w:sz w:val="16"/>
                <w:szCs w:val="16"/>
                <w:lang w:val="en-GB"/>
              </w:rPr>
            </w:pPr>
          </w:p>
        </w:tc>
      </w:tr>
      <w:tr w:rsidRPr="009C48DA" w:rsidR="00661519" w:rsidTr="00661519" w14:paraId="2B5497DE" w14:textId="77777777">
        <w:tc>
          <w:tcPr>
            <w:tcW w:w="3480" w:type="dxa"/>
            <w:vAlign w:val="bottom"/>
          </w:tcPr>
          <w:p w:rsidRPr="009C48DA" w:rsidR="00661519" w:rsidP="00661519" w:rsidRDefault="00661519" w14:paraId="6E44DC35"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Carried interest income:</w:t>
            </w:r>
          </w:p>
        </w:tc>
        <w:tc>
          <w:tcPr>
            <w:tcW w:w="1116" w:type="dxa"/>
            <w:vAlign w:val="bottom"/>
          </w:tcPr>
          <w:p w:rsidRPr="009C48DA" w:rsidR="00661519" w:rsidP="00661519" w:rsidRDefault="00661519" w14:paraId="62C0DA02" w14:textId="77777777">
            <w:pPr>
              <w:spacing w:before="60"/>
              <w:ind w:right="194"/>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117" w:type="dxa"/>
            <w:vAlign w:val="bottom"/>
          </w:tcPr>
          <w:p w:rsidRPr="009C48DA" w:rsidR="00661519" w:rsidP="00661519" w:rsidRDefault="00661519" w14:paraId="1B786934" w14:textId="77777777">
            <w:pPr>
              <w:spacing w:before="60"/>
              <w:ind w:right="177"/>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096" w:type="dxa"/>
            <w:vAlign w:val="bottom"/>
          </w:tcPr>
          <w:p w:rsidRPr="009C48DA" w:rsidR="00661519" w:rsidP="00661519" w:rsidRDefault="00661519" w14:paraId="7568A7A2" w14:textId="77777777">
            <w:pPr>
              <w:spacing w:before="60"/>
              <w:ind w:right="168"/>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138" w:type="dxa"/>
            <w:vAlign w:val="bottom"/>
          </w:tcPr>
          <w:p w:rsidRPr="009C48DA" w:rsidR="00661519" w:rsidP="00661519" w:rsidRDefault="00661519" w14:paraId="4AF3F773" w14:textId="77777777">
            <w:pP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117" w:type="dxa"/>
            <w:vAlign w:val="bottom"/>
          </w:tcPr>
          <w:p w:rsidRPr="009C48DA" w:rsidR="00661519" w:rsidP="00661519" w:rsidRDefault="00661519" w14:paraId="0C68CB86" w14:textId="77777777">
            <w:pPr>
              <w:spacing w:before="60"/>
              <w:ind w:right="129"/>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5F88A4BE" w14:textId="77777777">
        <w:tc>
          <w:tcPr>
            <w:tcW w:w="3480" w:type="dxa"/>
            <w:vAlign w:val="bottom"/>
          </w:tcPr>
          <w:p w:rsidRPr="009C48DA" w:rsidR="00661519" w:rsidP="00661519" w:rsidRDefault="00661519" w14:paraId="6752DE5D"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 lower value of unrealised assets</w:t>
            </w:r>
          </w:p>
        </w:tc>
        <w:tc>
          <w:tcPr>
            <w:tcW w:w="1116" w:type="dxa"/>
            <w:vAlign w:val="bottom"/>
          </w:tcPr>
          <w:p w:rsidRPr="009C48DA" w:rsidR="00661519" w:rsidP="00661519" w:rsidRDefault="00661519" w14:paraId="712970E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(1,188)</w:t>
            </w:r>
          </w:p>
        </w:tc>
        <w:tc>
          <w:tcPr>
            <w:tcW w:w="1117" w:type="dxa"/>
            <w:vAlign w:val="bottom"/>
          </w:tcPr>
          <w:p w:rsidRPr="009C48DA" w:rsidR="00661519" w:rsidP="00661519" w:rsidRDefault="00661519" w14:paraId="5DDCFC9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(1,073)</w:t>
            </w:r>
          </w:p>
        </w:tc>
        <w:tc>
          <w:tcPr>
            <w:tcW w:w="1096" w:type="dxa"/>
            <w:vAlign w:val="bottom"/>
          </w:tcPr>
          <w:p w:rsidRPr="009C48DA" w:rsidR="00661519" w:rsidP="00661519" w:rsidRDefault="00661519" w14:paraId="01D359B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(2,904)</w:t>
            </w:r>
          </w:p>
        </w:tc>
        <w:tc>
          <w:tcPr>
            <w:tcW w:w="1138" w:type="dxa"/>
            <w:vAlign w:val="bottom"/>
          </w:tcPr>
          <w:p w:rsidRPr="009C48DA" w:rsidR="00661519" w:rsidP="00661519" w:rsidRDefault="00661519" w14:paraId="24259D0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(986)</w:t>
            </w:r>
          </w:p>
        </w:tc>
        <w:tc>
          <w:tcPr>
            <w:tcW w:w="1117" w:type="dxa"/>
            <w:vAlign w:val="bottom"/>
          </w:tcPr>
          <w:p w:rsidRPr="009C48DA" w:rsidR="00661519" w:rsidP="00661519" w:rsidRDefault="00661519" w14:paraId="5206877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(1,005)</w:t>
            </w:r>
          </w:p>
        </w:tc>
      </w:tr>
      <w:tr w:rsidRPr="009C48DA" w:rsidR="00661519" w:rsidTr="00661519" w14:paraId="51459A0B" w14:textId="77777777">
        <w:tc>
          <w:tcPr>
            <w:tcW w:w="3480" w:type="dxa"/>
            <w:vAlign w:val="bottom"/>
          </w:tcPr>
          <w:p w:rsidRPr="009C48DA" w:rsidR="00661519" w:rsidP="00661519" w:rsidRDefault="00661519" w14:paraId="1825012A"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 higher value of unrealised assets</w:t>
            </w:r>
          </w:p>
        </w:tc>
        <w:tc>
          <w:tcPr>
            <w:tcW w:w="1116" w:type="dxa"/>
            <w:vAlign w:val="bottom"/>
          </w:tcPr>
          <w:p w:rsidRPr="009C48DA" w:rsidR="00661519" w:rsidP="00661519" w:rsidRDefault="00661519" w14:paraId="5EAA709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2,652</w:t>
            </w:r>
          </w:p>
        </w:tc>
        <w:tc>
          <w:tcPr>
            <w:tcW w:w="1117" w:type="dxa"/>
            <w:vAlign w:val="bottom"/>
          </w:tcPr>
          <w:p w:rsidRPr="009C48DA" w:rsidR="00661519" w:rsidP="00661519" w:rsidRDefault="00661519" w14:paraId="4BAD290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3,889</w:t>
            </w:r>
          </w:p>
        </w:tc>
        <w:tc>
          <w:tcPr>
            <w:tcW w:w="1096" w:type="dxa"/>
            <w:vAlign w:val="bottom"/>
          </w:tcPr>
          <w:p w:rsidRPr="009C48DA" w:rsidR="00661519" w:rsidP="00661519" w:rsidRDefault="00661519" w14:paraId="4D0B5D1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2,894</w:t>
            </w:r>
          </w:p>
        </w:tc>
        <w:tc>
          <w:tcPr>
            <w:tcW w:w="1138" w:type="dxa"/>
            <w:vAlign w:val="bottom"/>
          </w:tcPr>
          <w:p w:rsidRPr="009C48DA" w:rsidR="00661519" w:rsidP="00661519" w:rsidRDefault="00661519" w14:paraId="47FEFEA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986</w:t>
            </w:r>
          </w:p>
        </w:tc>
        <w:tc>
          <w:tcPr>
            <w:tcW w:w="1117" w:type="dxa"/>
            <w:vAlign w:val="bottom"/>
          </w:tcPr>
          <w:p w:rsidRPr="009C48DA" w:rsidR="00661519" w:rsidP="00661519" w:rsidRDefault="00661519" w14:paraId="1C7BB7C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1,001</w:t>
            </w:r>
          </w:p>
        </w:tc>
      </w:tr>
    </w:tbl>
    <w:p w:rsidRPr="009C48DA" w:rsidR="00661519" w:rsidP="00661519" w:rsidRDefault="00661519" w14:paraId="7633688B" w14:textId="77777777">
      <w:pPr>
        <w:ind w:right="34"/>
        <w:jc w:val="both"/>
        <w:textAlignment w:val="baseline"/>
        <w:rPr>
          <w:rFonts w:eastAsia="Times New Roman" w:cs="Times New Roman"/>
          <w:color w:val="000000"/>
          <w:sz w:val="16"/>
          <w:szCs w:val="22"/>
          <w:lang w:val="en-GB"/>
        </w:rPr>
      </w:pPr>
    </w:p>
    <w:p w:rsidRPr="009C48DA" w:rsidR="00661519" w:rsidP="00661519" w:rsidRDefault="00661519" w14:paraId="2D3E8074" w14:textId="77777777">
      <w:pPr>
        <w:spacing w:line="185" w:lineRule="exact"/>
        <w:textAlignment w:val="baseline"/>
        <w:rPr>
          <w:rFonts w:eastAsia="Times New Roman"/>
          <w:color w:val="000000"/>
          <w:sz w:val="16"/>
          <w:lang w:val="en-GB"/>
        </w:rPr>
      </w:pPr>
      <w:r w:rsidRPr="009C48DA">
        <w:rPr>
          <w:rFonts w:eastAsia="Times New Roman"/>
          <w:color w:val="000000"/>
          <w:sz w:val="16"/>
          <w:lang w:val="en-GB"/>
        </w:rPr>
        <w:t>Note 20 (a) includes a sensitivity analysis for co-investment valuations and the impact on profit or loss.</w:t>
      </w:r>
    </w:p>
    <w:p w:rsidRPr="009C48DA" w:rsidR="00661519" w:rsidP="00661519" w:rsidRDefault="00661519" w14:paraId="51D2A19B" w14:textId="77777777">
      <w:pPr>
        <w:spacing w:before="217" w:line="188" w:lineRule="exact"/>
        <w:textAlignment w:val="baseline"/>
        <w:rPr>
          <w:rFonts w:eastAsia="Times New Roman"/>
          <w:b/>
          <w:color w:val="000000"/>
          <w:sz w:val="16"/>
          <w:u w:val="single"/>
          <w:lang w:val="en-GB"/>
        </w:rPr>
      </w:pPr>
      <w:r w:rsidRPr="009C48DA">
        <w:rPr>
          <w:rFonts w:eastAsia="Times New Roman"/>
          <w:b/>
          <w:color w:val="000000"/>
          <w:sz w:val="16"/>
          <w:u w:val="single"/>
          <w:lang w:val="en-GB"/>
        </w:rPr>
        <w:t>Investment income</w:t>
      </w:r>
    </w:p>
    <w:p w:rsidRPr="009C48DA" w:rsidR="00661519" w:rsidP="00661519" w:rsidRDefault="00661519" w14:paraId="188E8B62" w14:textId="77777777">
      <w:pPr>
        <w:spacing w:before="114" w:line="182" w:lineRule="exact"/>
        <w:textAlignment w:val="baseline"/>
        <w:rPr>
          <w:rFonts w:eastAsia="Times New Roman"/>
          <w:color w:val="000000"/>
          <w:sz w:val="16"/>
          <w:lang w:val="en-GB"/>
        </w:rPr>
      </w:pPr>
      <w:r w:rsidRPr="009C48DA">
        <w:rPr>
          <w:rFonts w:eastAsia="Times New Roman"/>
          <w:color w:val="000000"/>
          <w:sz w:val="16"/>
          <w:lang w:val="en-GB"/>
        </w:rPr>
        <w:t>Investment income consists of net changes in the fair value of the Group’s investments in private equity and credit funds.</w:t>
      </w:r>
      <w:r w:rsidRPr="009C48DA">
        <w:rPr>
          <w:rFonts w:eastAsia="Times New Roman"/>
          <w:color w:val="000000"/>
          <w:sz w:val="16"/>
          <w:lang w:val="en-GB"/>
        </w:rPr>
        <w:br/>
      </w:r>
    </w:p>
    <w:p w:rsidRPr="009C48DA" w:rsidR="00661519" w:rsidP="00661519" w:rsidRDefault="00661519" w14:paraId="2F85DA70" w14:textId="77777777">
      <w:pPr>
        <w:ind w:right="34"/>
        <w:textAlignment w:val="baseline"/>
        <w:rPr>
          <w:rFonts w:eastAsia="Times New Roman" w:cs="Times New Roman"/>
          <w:b/>
          <w:color w:val="000000"/>
          <w:sz w:val="16"/>
          <w:szCs w:val="22"/>
          <w:u w:val="single"/>
          <w:lang w:val="en-GB"/>
        </w:rPr>
      </w:pPr>
      <w:r w:rsidRPr="009C48DA">
        <w:rPr>
          <w:rFonts w:eastAsia="Times New Roman"/>
          <w:color w:val="000000"/>
          <w:sz w:val="16"/>
          <w:lang w:val="en-GB"/>
        </w:rPr>
        <w:t>It also includes the remeasurement of the fair value of investments in CLOs which are fully consolidated by the Group. The CLO investment expense is the amount of investment income due to third party note holders who have invested in the CLOs.</w:t>
      </w:r>
    </w:p>
    <w:p w:rsidRPr="009C48DA" w:rsidR="00661519" w:rsidP="00661519" w:rsidRDefault="00661519" w14:paraId="3D19B821" w14:textId="77777777">
      <w:pPr>
        <w:ind w:right="34"/>
        <w:textAlignment w:val="baseline"/>
        <w:rPr>
          <w:rFonts w:eastAsia="Times New Roman" w:cs="Times New Roman"/>
          <w:b/>
          <w:color w:val="000000"/>
          <w:sz w:val="16"/>
          <w:szCs w:val="22"/>
          <w:u w:val="single"/>
          <w:lang w:val="en-GB"/>
        </w:rPr>
      </w:pPr>
    </w:p>
    <w:tbl>
      <w:tblPr>
        <w:tblW w:w="9064" w:type="dxa"/>
        <w:tblLayout w:type="fixed"/>
        <w:tblCellMar>
          <w:left w:w="0" w:type="dxa"/>
          <w:right w:w="0" w:type="dxa"/>
        </w:tblCellMar>
        <w:tblLook w:val="04A0" w:firstRow="1" w:lastRow="0" w:firstColumn="1" w:lastColumn="0" w:noHBand="0" w:noVBand="1"/>
      </w:tblPr>
      <w:tblGrid>
        <w:gridCol w:w="3402"/>
        <w:gridCol w:w="1194"/>
        <w:gridCol w:w="1074"/>
        <w:gridCol w:w="1139"/>
        <w:gridCol w:w="1138"/>
        <w:gridCol w:w="1117"/>
      </w:tblGrid>
      <w:tr w:rsidRPr="009C48DA" w:rsidR="00661519" w:rsidTr="00661519" w14:paraId="71B5CC71" w14:textId="77777777">
        <w:tc>
          <w:tcPr>
            <w:tcW w:w="3402" w:type="dxa"/>
            <w:vAlign w:val="bottom"/>
          </w:tcPr>
          <w:p w:rsidRPr="009C48DA" w:rsidR="00661519" w:rsidP="00661519" w:rsidRDefault="00661519" w14:paraId="1EB9A1BB" w14:textId="77777777">
            <w:pPr>
              <w:textAlignment w:val="baseline"/>
              <w:rPr>
                <w:rFonts w:eastAsia="Times New Roman" w:cs="Times New Roman"/>
                <w:color w:val="000000"/>
                <w:sz w:val="16"/>
                <w:szCs w:val="16"/>
                <w:lang w:val="en-GB"/>
              </w:rPr>
            </w:pPr>
          </w:p>
        </w:tc>
        <w:tc>
          <w:tcPr>
            <w:tcW w:w="3407" w:type="dxa"/>
            <w:gridSpan w:val="3"/>
            <w:vAlign w:val="bottom"/>
          </w:tcPr>
          <w:p w:rsidRPr="009C48DA" w:rsidR="00661519" w:rsidP="00661519" w:rsidRDefault="00661519" w14:paraId="527E514F" w14:textId="77777777">
            <w:pPr>
              <w:pBdr>
                <w:bottom w:val="single" w:color="auto" w:sz="18" w:space="1"/>
              </w:pBdr>
              <w:ind w:right="115"/>
              <w:jc w:val="cente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Year ended 31 December</w:t>
            </w:r>
          </w:p>
        </w:tc>
        <w:tc>
          <w:tcPr>
            <w:tcW w:w="2255" w:type="dxa"/>
            <w:gridSpan w:val="2"/>
            <w:vAlign w:val="bottom"/>
          </w:tcPr>
          <w:p w:rsidRPr="009C48DA" w:rsidR="00661519" w:rsidP="00661519" w:rsidRDefault="00661519" w14:paraId="53021D63" w14:textId="77777777">
            <w:pPr>
              <w:pBdr>
                <w:bottom w:val="single" w:color="auto" w:sz="18" w:space="1"/>
              </w:pBdr>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Three month period ended</w:t>
            </w:r>
          </w:p>
          <w:p w:rsidRPr="009C48DA" w:rsidR="00661519" w:rsidP="00661519" w:rsidRDefault="00661519" w14:paraId="132E4911" w14:textId="77777777">
            <w:pPr>
              <w:pBdr>
                <w:bottom w:val="single" w:color="auto" w:sz="18" w:space="1"/>
              </w:pBdr>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31 March</w:t>
            </w:r>
          </w:p>
        </w:tc>
      </w:tr>
      <w:tr w:rsidRPr="009C48DA" w:rsidR="00661519" w:rsidTr="00661519" w14:paraId="67339DEB" w14:textId="77777777">
        <w:tc>
          <w:tcPr>
            <w:tcW w:w="3402" w:type="dxa"/>
            <w:vAlign w:val="bottom"/>
          </w:tcPr>
          <w:p w:rsidRPr="009C48DA" w:rsidR="00661519" w:rsidP="00661519" w:rsidRDefault="00661519" w14:paraId="6670FEE3"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194" w:type="dxa"/>
            <w:vAlign w:val="bottom"/>
          </w:tcPr>
          <w:p w:rsidRPr="009C48DA" w:rsidR="00661519" w:rsidP="00661519" w:rsidRDefault="00661519" w14:paraId="17EF43C7" w14:textId="77777777">
            <w:pPr>
              <w:ind w:right="19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2018</w:t>
            </w:r>
          </w:p>
        </w:tc>
        <w:tc>
          <w:tcPr>
            <w:tcW w:w="1074" w:type="dxa"/>
            <w:vAlign w:val="bottom"/>
          </w:tcPr>
          <w:p w:rsidRPr="009C48DA" w:rsidR="00661519" w:rsidP="00661519" w:rsidRDefault="00661519" w14:paraId="5107DFB1" w14:textId="77777777">
            <w:pPr>
              <w:ind w:right="17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2019</w:t>
            </w:r>
          </w:p>
        </w:tc>
        <w:tc>
          <w:tcPr>
            <w:tcW w:w="1139" w:type="dxa"/>
            <w:vAlign w:val="bottom"/>
          </w:tcPr>
          <w:p w:rsidRPr="009C48DA" w:rsidR="00661519" w:rsidP="00661519" w:rsidRDefault="00661519" w14:paraId="361D5E32" w14:textId="77777777">
            <w:pPr>
              <w:ind w:right="16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2020</w:t>
            </w:r>
          </w:p>
        </w:tc>
        <w:tc>
          <w:tcPr>
            <w:tcW w:w="1138" w:type="dxa"/>
            <w:vAlign w:val="bottom"/>
          </w:tcPr>
          <w:p w:rsidRPr="009C48DA" w:rsidR="00661519" w:rsidP="00661519" w:rsidRDefault="00661519" w14:paraId="1FB3764A" w14:textId="77777777">
            <w:pPr>
              <w:ind w:right="14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2020</w:t>
            </w:r>
          </w:p>
        </w:tc>
        <w:tc>
          <w:tcPr>
            <w:tcW w:w="1117" w:type="dxa"/>
            <w:vAlign w:val="bottom"/>
          </w:tcPr>
          <w:p w:rsidRPr="009C48DA" w:rsidR="00661519" w:rsidP="00661519" w:rsidRDefault="00661519" w14:paraId="42CDAB5B" w14:textId="77777777">
            <w:pPr>
              <w:ind w:right="12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2021</w:t>
            </w:r>
          </w:p>
        </w:tc>
      </w:tr>
      <w:tr w:rsidRPr="009C48DA" w:rsidR="00661519" w:rsidTr="00661519" w14:paraId="71EF2E32" w14:textId="77777777">
        <w:tc>
          <w:tcPr>
            <w:tcW w:w="3402" w:type="dxa"/>
            <w:vAlign w:val="bottom"/>
          </w:tcPr>
          <w:p w:rsidRPr="009C48DA" w:rsidR="00661519" w:rsidP="00661519" w:rsidRDefault="00661519" w14:paraId="423E34BC"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194" w:type="dxa"/>
            <w:vAlign w:val="bottom"/>
          </w:tcPr>
          <w:p w:rsidRPr="009C48DA" w:rsidR="00661519" w:rsidP="00661519" w:rsidRDefault="00661519" w14:paraId="6779ED81" w14:textId="77777777">
            <w:pPr>
              <w:ind w:right="19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074" w:type="dxa"/>
            <w:vAlign w:val="bottom"/>
          </w:tcPr>
          <w:p w:rsidRPr="009C48DA" w:rsidR="00661519" w:rsidP="00661519" w:rsidRDefault="00661519" w14:paraId="4B996C91" w14:textId="77777777">
            <w:pPr>
              <w:ind w:right="17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139" w:type="dxa"/>
            <w:vAlign w:val="bottom"/>
          </w:tcPr>
          <w:p w:rsidRPr="009C48DA" w:rsidR="00661519" w:rsidP="00661519" w:rsidRDefault="00661519" w14:paraId="57E6D66F" w14:textId="77777777">
            <w:pPr>
              <w:ind w:right="16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138" w:type="dxa"/>
            <w:vAlign w:val="bottom"/>
          </w:tcPr>
          <w:p w:rsidRPr="009C48DA" w:rsidR="00661519" w:rsidP="00661519" w:rsidRDefault="00661519" w14:paraId="4DBD3F68" w14:textId="77777777">
            <w:pPr>
              <w:ind w:right="14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117" w:type="dxa"/>
            <w:vAlign w:val="bottom"/>
          </w:tcPr>
          <w:p w:rsidRPr="009C48DA" w:rsidR="00661519" w:rsidP="00661519" w:rsidRDefault="00661519" w14:paraId="703665E0" w14:textId="77777777">
            <w:pPr>
              <w:ind w:right="12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0F906EE5" w14:textId="77777777">
        <w:tc>
          <w:tcPr>
            <w:tcW w:w="3402" w:type="dxa"/>
            <w:vAlign w:val="bottom"/>
          </w:tcPr>
          <w:p w:rsidRPr="009C48DA" w:rsidR="00661519" w:rsidP="00661519" w:rsidRDefault="00661519" w14:paraId="7FCC1CAF"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CLO investment income</w:t>
            </w:r>
          </w:p>
        </w:tc>
        <w:tc>
          <w:tcPr>
            <w:tcW w:w="1194" w:type="dxa"/>
            <w:vAlign w:val="bottom"/>
          </w:tcPr>
          <w:p w:rsidRPr="009C48DA" w:rsidR="00661519" w:rsidP="00661519" w:rsidRDefault="00661519" w14:paraId="547574C3" w14:textId="77777777">
            <w:pPr>
              <w:spacing w:before="60"/>
              <w:ind w:right="19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74" w:type="dxa"/>
            <w:vAlign w:val="bottom"/>
          </w:tcPr>
          <w:p w:rsidRPr="009C48DA" w:rsidR="00661519" w:rsidP="00661519" w:rsidRDefault="00661519" w14:paraId="390D3B2D" w14:textId="77777777">
            <w:pPr>
              <w:spacing w:before="60"/>
              <w:ind w:right="17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39" w:type="dxa"/>
            <w:vAlign w:val="bottom"/>
          </w:tcPr>
          <w:p w:rsidRPr="009C48DA" w:rsidR="00661519" w:rsidP="00661519" w:rsidRDefault="00661519" w14:paraId="4BA3FB1F" w14:textId="77777777">
            <w:pPr>
              <w:spacing w:before="60"/>
              <w:ind w:right="1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3,294</w:t>
            </w:r>
          </w:p>
        </w:tc>
        <w:tc>
          <w:tcPr>
            <w:tcW w:w="1138" w:type="dxa"/>
            <w:vAlign w:val="bottom"/>
          </w:tcPr>
          <w:p w:rsidRPr="009C48DA" w:rsidR="00661519" w:rsidP="00661519" w:rsidRDefault="00661519" w14:paraId="6CE5C2EE" w14:textId="77777777">
            <w:pP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17" w:type="dxa"/>
            <w:vAlign w:val="bottom"/>
          </w:tcPr>
          <w:p w:rsidRPr="009C48DA" w:rsidR="00661519" w:rsidP="00661519" w:rsidRDefault="00661519" w14:paraId="4574092A" w14:textId="77777777">
            <w:pPr>
              <w:spacing w:before="60"/>
              <w:ind w:right="12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3,275</w:t>
            </w:r>
          </w:p>
        </w:tc>
      </w:tr>
      <w:tr w:rsidRPr="009C48DA" w:rsidR="00661519" w:rsidTr="00661519" w14:paraId="02F1D38A" w14:textId="77777777">
        <w:tc>
          <w:tcPr>
            <w:tcW w:w="3402" w:type="dxa"/>
            <w:vAlign w:val="bottom"/>
          </w:tcPr>
          <w:p w:rsidRPr="009C48DA" w:rsidR="00661519" w:rsidP="00661519" w:rsidRDefault="00661519" w14:paraId="32FB0A7A" w14:textId="77777777">
            <w:pPr>
              <w:spacing w:before="60"/>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CLO investment expense</w:t>
            </w:r>
          </w:p>
        </w:tc>
        <w:tc>
          <w:tcPr>
            <w:tcW w:w="1194" w:type="dxa"/>
            <w:vAlign w:val="bottom"/>
          </w:tcPr>
          <w:p w:rsidRPr="009C48DA" w:rsidR="00661519" w:rsidP="00661519" w:rsidRDefault="00661519" w14:paraId="63CDC881" w14:textId="77777777">
            <w:pPr>
              <w:pBdr>
                <w:bottom w:val="single" w:color="auto" w:sz="12" w:space="1"/>
              </w:pBdr>
              <w:spacing w:before="60"/>
              <w:ind w:right="19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074" w:type="dxa"/>
            <w:vAlign w:val="bottom"/>
          </w:tcPr>
          <w:p w:rsidRPr="009C48DA" w:rsidR="00661519" w:rsidP="00661519" w:rsidRDefault="00661519" w14:paraId="6891E310" w14:textId="77777777">
            <w:pPr>
              <w:pBdr>
                <w:bottom w:val="single" w:color="auto" w:sz="12" w:space="1"/>
              </w:pBdr>
              <w:spacing w:before="60"/>
              <w:ind w:right="17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39" w:type="dxa"/>
            <w:vAlign w:val="bottom"/>
          </w:tcPr>
          <w:p w:rsidRPr="009C48DA" w:rsidR="00661519" w:rsidP="00661519" w:rsidRDefault="00661519" w14:paraId="3FC0D3B9" w14:textId="77777777">
            <w:pPr>
              <w:pBdr>
                <w:bottom w:val="single" w:color="auto" w:sz="12" w:space="1"/>
              </w:pBdr>
              <w:spacing w:before="60"/>
              <w:ind w:right="16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(2,825)</w:t>
            </w:r>
          </w:p>
        </w:tc>
        <w:tc>
          <w:tcPr>
            <w:tcW w:w="1138" w:type="dxa"/>
            <w:vAlign w:val="bottom"/>
          </w:tcPr>
          <w:p w:rsidRPr="009C48DA" w:rsidR="00661519" w:rsidP="00661519" w:rsidRDefault="00661519" w14:paraId="63874429" w14:textId="77777777">
            <w:pPr>
              <w:pBdr>
                <w:bottom w:val="single" w:color="auto" w:sz="12" w:space="1"/>
              </w:pBdr>
              <w:spacing w:before="60"/>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17" w:type="dxa"/>
            <w:vAlign w:val="bottom"/>
          </w:tcPr>
          <w:p w:rsidRPr="009C48DA" w:rsidR="00661519" w:rsidP="00661519" w:rsidRDefault="00661519" w14:paraId="574EBE92" w14:textId="77777777">
            <w:pPr>
              <w:pBdr>
                <w:bottom w:val="single" w:color="auto" w:sz="12" w:space="1"/>
              </w:pBdr>
              <w:spacing w:before="60"/>
              <w:ind w:right="12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(2,553)</w:t>
            </w:r>
          </w:p>
        </w:tc>
      </w:tr>
      <w:tr w:rsidRPr="009C48DA" w:rsidR="00661519" w:rsidTr="00661519" w14:paraId="0F3250E4" w14:textId="77777777">
        <w:tc>
          <w:tcPr>
            <w:tcW w:w="3402" w:type="dxa"/>
            <w:vAlign w:val="bottom"/>
          </w:tcPr>
          <w:p w:rsidRPr="009C48DA" w:rsidR="00661519" w:rsidP="00661519" w:rsidRDefault="00661519" w14:paraId="124D0936" w14:textId="77777777">
            <w:pPr>
              <w:spacing w:before="6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CLO investment income, net</w:t>
            </w:r>
          </w:p>
        </w:tc>
        <w:tc>
          <w:tcPr>
            <w:tcW w:w="1194" w:type="dxa"/>
            <w:vAlign w:val="bottom"/>
          </w:tcPr>
          <w:p w:rsidRPr="009C48DA" w:rsidR="00661519" w:rsidP="00661519" w:rsidRDefault="00661519" w14:paraId="30671950" w14:textId="77777777">
            <w:pPr>
              <w:pBdr>
                <w:bottom w:val="double" w:color="auto" w:sz="12" w:space="1"/>
              </w:pBdr>
              <w:spacing w:before="60"/>
              <w:ind w:right="194"/>
              <w:jc w:val="right"/>
              <w:textAlignment w:val="baseline"/>
              <w:rPr>
                <w:rFonts w:eastAsia="Times New Roman"/>
                <w:color w:val="000000"/>
                <w:sz w:val="16"/>
                <w:lang w:val="en-GB"/>
              </w:rPr>
            </w:pPr>
            <w:r w:rsidRPr="009C48DA">
              <w:rPr>
                <w:rFonts w:eastAsia="Times New Roman"/>
                <w:color w:val="000000"/>
                <w:sz w:val="16"/>
                <w:lang w:val="en-GB"/>
              </w:rPr>
              <w:t>-</w:t>
            </w:r>
          </w:p>
        </w:tc>
        <w:tc>
          <w:tcPr>
            <w:tcW w:w="1074" w:type="dxa"/>
            <w:vAlign w:val="bottom"/>
          </w:tcPr>
          <w:p w:rsidRPr="009C48DA" w:rsidR="00661519" w:rsidP="00661519" w:rsidRDefault="00661519" w14:paraId="7E42E17C" w14:textId="77777777">
            <w:pPr>
              <w:pBdr>
                <w:bottom w:val="double" w:color="auto" w:sz="12" w:space="1"/>
              </w:pBdr>
              <w:spacing w:before="60"/>
              <w:ind w:right="177"/>
              <w:jc w:val="right"/>
              <w:textAlignment w:val="baseline"/>
              <w:rPr>
                <w:rFonts w:eastAsia="Times New Roman"/>
                <w:color w:val="000000"/>
                <w:sz w:val="16"/>
                <w:lang w:val="en-GB"/>
              </w:rPr>
            </w:pPr>
            <w:r w:rsidRPr="009C48DA">
              <w:rPr>
                <w:rFonts w:eastAsia="Times New Roman"/>
                <w:color w:val="000000"/>
                <w:sz w:val="16"/>
                <w:lang w:val="en-GB"/>
              </w:rPr>
              <w:t>-</w:t>
            </w:r>
          </w:p>
        </w:tc>
        <w:tc>
          <w:tcPr>
            <w:tcW w:w="1139" w:type="dxa"/>
            <w:vAlign w:val="bottom"/>
          </w:tcPr>
          <w:p w:rsidRPr="009C48DA" w:rsidR="00661519" w:rsidP="00661519" w:rsidRDefault="00661519" w14:paraId="66D14090" w14:textId="77777777">
            <w:pPr>
              <w:pBdr>
                <w:bottom w:val="double" w:color="auto" w:sz="12" w:space="1"/>
              </w:pBdr>
              <w:spacing w:before="60"/>
              <w:ind w:right="168"/>
              <w:jc w:val="right"/>
              <w:textAlignment w:val="baseline"/>
              <w:rPr>
                <w:rFonts w:eastAsia="Times New Roman"/>
                <w:color w:val="000000"/>
                <w:sz w:val="16"/>
                <w:lang w:val="en-GB"/>
              </w:rPr>
            </w:pPr>
            <w:r w:rsidRPr="009C48DA">
              <w:rPr>
                <w:rFonts w:eastAsia="Times New Roman"/>
                <w:color w:val="000000"/>
                <w:sz w:val="16"/>
                <w:lang w:val="en-GB"/>
              </w:rPr>
              <w:t>469</w:t>
            </w:r>
          </w:p>
        </w:tc>
        <w:tc>
          <w:tcPr>
            <w:tcW w:w="1138" w:type="dxa"/>
            <w:vAlign w:val="bottom"/>
          </w:tcPr>
          <w:p w:rsidRPr="009C48DA" w:rsidR="00661519" w:rsidP="00661519" w:rsidRDefault="00661519" w14:paraId="04A6D186" w14:textId="77777777">
            <w:pPr>
              <w:pBdr>
                <w:bottom w:val="double" w:color="auto" w:sz="12" w:space="1"/>
              </w:pBdr>
              <w:spacing w:before="60"/>
              <w:ind w:right="144"/>
              <w:jc w:val="right"/>
              <w:textAlignment w:val="baseline"/>
              <w:rPr>
                <w:rFonts w:eastAsia="Times New Roman"/>
                <w:color w:val="000000"/>
                <w:sz w:val="16"/>
                <w:lang w:val="en-GB"/>
              </w:rPr>
            </w:pPr>
            <w:r w:rsidRPr="009C48DA">
              <w:rPr>
                <w:rFonts w:eastAsia="Times New Roman"/>
                <w:color w:val="000000"/>
                <w:sz w:val="16"/>
                <w:lang w:val="en-GB"/>
              </w:rPr>
              <w:t>-</w:t>
            </w:r>
          </w:p>
        </w:tc>
        <w:tc>
          <w:tcPr>
            <w:tcW w:w="1117" w:type="dxa"/>
            <w:vAlign w:val="bottom"/>
          </w:tcPr>
          <w:p w:rsidRPr="009C48DA" w:rsidR="00661519" w:rsidP="00661519" w:rsidRDefault="00661519" w14:paraId="0EC0A2CD" w14:textId="77777777">
            <w:pPr>
              <w:pBdr>
                <w:bottom w:val="double" w:color="auto" w:sz="12" w:space="1"/>
              </w:pBdr>
              <w:spacing w:before="60"/>
              <w:ind w:right="129"/>
              <w:jc w:val="right"/>
              <w:textAlignment w:val="baseline"/>
              <w:rPr>
                <w:rFonts w:eastAsia="Times New Roman"/>
                <w:color w:val="000000"/>
                <w:sz w:val="16"/>
                <w:lang w:val="en-GB"/>
              </w:rPr>
            </w:pPr>
            <w:r w:rsidRPr="009C48DA">
              <w:rPr>
                <w:rFonts w:eastAsia="Times New Roman"/>
                <w:color w:val="000000"/>
                <w:sz w:val="16"/>
                <w:lang w:val="en-GB"/>
              </w:rPr>
              <w:t>722</w:t>
            </w:r>
          </w:p>
        </w:tc>
      </w:tr>
    </w:tbl>
    <w:p w:rsidRPr="009C48DA" w:rsidR="009854B2" w:rsidRDefault="009854B2" w14:paraId="2E9BB52C" w14:textId="1040EE66">
      <w:pPr>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br w:type="page"/>
      </w:r>
    </w:p>
    <w:p w:rsidRPr="009C48DA" w:rsidR="00661519" w:rsidP="00661519" w:rsidRDefault="00661519" w14:paraId="1855FA12" w14:textId="32A993E6">
      <w:pPr>
        <w:ind w:right="34"/>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u w:val="single"/>
          <w:lang w:val="en-GB"/>
        </w:rPr>
        <w:lastRenderedPageBreak/>
        <w:t>Other operating income</w:t>
      </w:r>
    </w:p>
    <w:p w:rsidRPr="009C48DA" w:rsidR="00661519" w:rsidP="00661519" w:rsidRDefault="00661519" w14:paraId="356743B4"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Other income includes fees and commissions receivable by the Group’s procurement consulting business, PEPCO Services LLP.</w:t>
      </w:r>
    </w:p>
    <w:p w:rsidRPr="009C48DA" w:rsidR="00661519" w:rsidP="00661519" w:rsidRDefault="00661519" w14:paraId="559D2EF3" w14:textId="77777777">
      <w:pPr>
        <w:jc w:val="both"/>
        <w:textAlignment w:val="baseline"/>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2"/>
        <w:gridCol w:w="1134"/>
        <w:gridCol w:w="1134"/>
        <w:gridCol w:w="1134"/>
        <w:gridCol w:w="1134"/>
        <w:gridCol w:w="1101"/>
      </w:tblGrid>
      <w:tr w:rsidRPr="009C48DA" w:rsidR="00661519" w:rsidTr="00661519" w14:paraId="5016861D" w14:textId="77777777">
        <w:tc>
          <w:tcPr>
            <w:tcW w:w="3402" w:type="dxa"/>
            <w:vAlign w:val="bottom"/>
          </w:tcPr>
          <w:p w:rsidRPr="009C48DA" w:rsidR="00661519" w:rsidP="00661519" w:rsidRDefault="00661519" w14:paraId="0A1F02F6" w14:textId="77777777">
            <w:pPr>
              <w:jc w:val="both"/>
              <w:textAlignment w:val="baseline"/>
              <w:rPr>
                <w:rFonts w:eastAsia="Times New Roman"/>
                <w:color w:val="000000"/>
                <w:sz w:val="16"/>
                <w:lang w:val="en-GB"/>
              </w:rPr>
            </w:pPr>
          </w:p>
        </w:tc>
        <w:tc>
          <w:tcPr>
            <w:tcW w:w="3402" w:type="dxa"/>
            <w:gridSpan w:val="3"/>
            <w:vAlign w:val="bottom"/>
          </w:tcPr>
          <w:p w:rsidRPr="009C48DA" w:rsidR="00661519" w:rsidP="00661519" w:rsidRDefault="00661519" w14:paraId="62C1534F"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Year ended 31 December</w:t>
            </w:r>
          </w:p>
        </w:tc>
        <w:tc>
          <w:tcPr>
            <w:tcW w:w="2235" w:type="dxa"/>
            <w:gridSpan w:val="2"/>
            <w:vAlign w:val="bottom"/>
          </w:tcPr>
          <w:p w:rsidRPr="009C48DA" w:rsidR="00661519" w:rsidP="00661519" w:rsidRDefault="00661519" w14:paraId="2DA5E387"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Three month period ended 31 March</w:t>
            </w:r>
          </w:p>
        </w:tc>
      </w:tr>
      <w:tr w:rsidRPr="009C48DA" w:rsidR="00661519" w:rsidTr="00661519" w14:paraId="656CB0DD" w14:textId="77777777">
        <w:tc>
          <w:tcPr>
            <w:tcW w:w="3402" w:type="dxa"/>
            <w:vAlign w:val="bottom"/>
          </w:tcPr>
          <w:p w:rsidRPr="009C48DA" w:rsidR="00661519" w:rsidP="00661519" w:rsidRDefault="00661519" w14:paraId="0B23D8BC" w14:textId="77777777">
            <w:pPr>
              <w:jc w:val="both"/>
              <w:textAlignment w:val="baseline"/>
              <w:rPr>
                <w:rFonts w:eastAsia="Times New Roman"/>
                <w:color w:val="000000"/>
                <w:sz w:val="16"/>
                <w:lang w:val="en-GB"/>
              </w:rPr>
            </w:pPr>
          </w:p>
        </w:tc>
        <w:tc>
          <w:tcPr>
            <w:tcW w:w="1134" w:type="dxa"/>
            <w:vAlign w:val="bottom"/>
          </w:tcPr>
          <w:p w:rsidRPr="009C48DA" w:rsidR="00661519" w:rsidP="00661519" w:rsidRDefault="00661519" w14:paraId="793E61BC"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69386766"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33E3A8DE"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3FD22D4E"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7D20EF4F"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7389B211"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0481267F" w14:textId="77777777">
            <w:pPr>
              <w:jc w:val="right"/>
              <w:textAlignment w:val="baseline"/>
              <w:rPr>
                <w:rFonts w:eastAsia="Times New Roman"/>
                <w:b/>
                <w:color w:val="000000"/>
                <w:sz w:val="16"/>
                <w:lang w:val="en-GB"/>
              </w:rPr>
            </w:pPr>
            <w:r w:rsidRPr="009C48DA">
              <w:rPr>
                <w:rFonts w:eastAsia="Times New Roman"/>
                <w:b/>
                <w:color w:val="000000"/>
                <w:sz w:val="16"/>
                <w:lang w:val="en-GB"/>
              </w:rPr>
              <w:t>Unaudited</w:t>
            </w:r>
            <w:r w:rsidRPr="009C48DA">
              <w:rPr>
                <w:rFonts w:eastAsia="Times New Roman"/>
                <w:b/>
                <w:color w:val="000000"/>
                <w:sz w:val="16"/>
                <w:lang w:val="en-GB"/>
              </w:rPr>
              <w:br/>
              <w:t>2020</w:t>
            </w:r>
          </w:p>
          <w:p w:rsidRPr="009C48DA" w:rsidR="00661519" w:rsidP="00661519" w:rsidRDefault="00661519" w14:paraId="69AE9466"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01" w:type="dxa"/>
            <w:vAlign w:val="bottom"/>
          </w:tcPr>
          <w:p w:rsidRPr="009C48DA" w:rsidR="00661519" w:rsidP="00661519" w:rsidRDefault="00661519" w14:paraId="69800B15"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70361265"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13C33F20" w14:textId="77777777">
        <w:tc>
          <w:tcPr>
            <w:tcW w:w="3402" w:type="dxa"/>
            <w:vAlign w:val="bottom"/>
          </w:tcPr>
          <w:p w:rsidRPr="009C48DA" w:rsidR="00661519" w:rsidP="00661519" w:rsidRDefault="00661519" w14:paraId="15C9F803"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Other operating income</w:t>
            </w:r>
          </w:p>
        </w:tc>
        <w:tc>
          <w:tcPr>
            <w:tcW w:w="1134" w:type="dxa"/>
            <w:vAlign w:val="bottom"/>
          </w:tcPr>
          <w:p w:rsidRPr="009C48DA" w:rsidR="00661519" w:rsidP="00661519" w:rsidRDefault="00661519" w14:paraId="003C49E2"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3,092</w:t>
            </w:r>
          </w:p>
        </w:tc>
        <w:tc>
          <w:tcPr>
            <w:tcW w:w="1134" w:type="dxa"/>
            <w:vAlign w:val="bottom"/>
          </w:tcPr>
          <w:p w:rsidRPr="009C48DA" w:rsidR="00661519" w:rsidP="00661519" w:rsidRDefault="00661519" w14:paraId="23EB1ED2"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2,879</w:t>
            </w:r>
          </w:p>
        </w:tc>
        <w:tc>
          <w:tcPr>
            <w:tcW w:w="1134" w:type="dxa"/>
            <w:vAlign w:val="bottom"/>
          </w:tcPr>
          <w:p w:rsidRPr="009C48DA" w:rsidR="00661519" w:rsidP="00661519" w:rsidRDefault="00661519" w14:paraId="0E0A2F37"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1,748</w:t>
            </w:r>
          </w:p>
        </w:tc>
        <w:tc>
          <w:tcPr>
            <w:tcW w:w="1134" w:type="dxa"/>
            <w:vAlign w:val="bottom"/>
          </w:tcPr>
          <w:p w:rsidRPr="009C48DA" w:rsidR="00661519" w:rsidP="00661519" w:rsidRDefault="00661519" w14:paraId="37C21970"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571</w:t>
            </w:r>
          </w:p>
        </w:tc>
        <w:tc>
          <w:tcPr>
            <w:tcW w:w="1101" w:type="dxa"/>
            <w:vAlign w:val="bottom"/>
          </w:tcPr>
          <w:p w:rsidRPr="009C48DA" w:rsidR="00661519" w:rsidP="00661519" w:rsidRDefault="00661519" w14:paraId="2C56A9F7"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480</w:t>
            </w:r>
          </w:p>
        </w:tc>
      </w:tr>
      <w:tr w:rsidRPr="009C48DA" w:rsidR="00661519" w:rsidTr="00661519" w14:paraId="68AE9EEB" w14:textId="77777777">
        <w:tc>
          <w:tcPr>
            <w:tcW w:w="3402" w:type="dxa"/>
            <w:vAlign w:val="bottom"/>
          </w:tcPr>
          <w:p w:rsidRPr="009C48DA" w:rsidR="00661519" w:rsidP="00661519" w:rsidRDefault="00661519" w14:paraId="445972A9"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 xml:space="preserve">Commissions payable </w:t>
            </w:r>
          </w:p>
        </w:tc>
        <w:tc>
          <w:tcPr>
            <w:tcW w:w="1134" w:type="dxa"/>
            <w:vAlign w:val="bottom"/>
          </w:tcPr>
          <w:p w:rsidRPr="009C48DA" w:rsidR="00661519" w:rsidP="00661519" w:rsidRDefault="00661519" w14:paraId="36909489"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(1,231)</w:t>
            </w:r>
          </w:p>
        </w:tc>
        <w:tc>
          <w:tcPr>
            <w:tcW w:w="1134" w:type="dxa"/>
            <w:vAlign w:val="bottom"/>
          </w:tcPr>
          <w:p w:rsidRPr="009C48DA" w:rsidR="00661519" w:rsidP="00661519" w:rsidRDefault="00661519" w14:paraId="639F2F1F"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(984)</w:t>
            </w:r>
          </w:p>
        </w:tc>
        <w:tc>
          <w:tcPr>
            <w:tcW w:w="1134" w:type="dxa"/>
            <w:vAlign w:val="bottom"/>
          </w:tcPr>
          <w:p w:rsidRPr="009C48DA" w:rsidR="00661519" w:rsidP="00661519" w:rsidRDefault="00661519" w14:paraId="6CDFB2EB"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(875)</w:t>
            </w:r>
          </w:p>
        </w:tc>
        <w:tc>
          <w:tcPr>
            <w:tcW w:w="1134" w:type="dxa"/>
            <w:vAlign w:val="bottom"/>
          </w:tcPr>
          <w:p w:rsidRPr="009C48DA" w:rsidR="00661519" w:rsidP="00661519" w:rsidRDefault="00661519" w14:paraId="5CDFC879"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(191)</w:t>
            </w:r>
          </w:p>
        </w:tc>
        <w:tc>
          <w:tcPr>
            <w:tcW w:w="1101" w:type="dxa"/>
            <w:vAlign w:val="bottom"/>
          </w:tcPr>
          <w:p w:rsidRPr="009C48DA" w:rsidR="00661519" w:rsidP="00661519" w:rsidRDefault="00661519" w14:paraId="101AA167"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(97)</w:t>
            </w:r>
          </w:p>
        </w:tc>
      </w:tr>
      <w:tr w:rsidRPr="009C48DA" w:rsidR="00661519" w:rsidTr="00661519" w14:paraId="234F2E31" w14:textId="77777777">
        <w:tc>
          <w:tcPr>
            <w:tcW w:w="3402" w:type="dxa"/>
            <w:vAlign w:val="bottom"/>
          </w:tcPr>
          <w:p w:rsidRPr="009C48DA" w:rsidR="00661519" w:rsidP="00661519" w:rsidRDefault="00661519" w14:paraId="0E13878C"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Total other operating income</w:t>
            </w:r>
          </w:p>
        </w:tc>
        <w:tc>
          <w:tcPr>
            <w:tcW w:w="1134" w:type="dxa"/>
            <w:vAlign w:val="bottom"/>
          </w:tcPr>
          <w:p w:rsidRPr="009C48DA" w:rsidR="00661519" w:rsidP="00661519" w:rsidRDefault="00661519" w14:paraId="1E43C819"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1,861</w:t>
            </w:r>
          </w:p>
        </w:tc>
        <w:tc>
          <w:tcPr>
            <w:tcW w:w="1134" w:type="dxa"/>
            <w:vAlign w:val="bottom"/>
          </w:tcPr>
          <w:p w:rsidRPr="009C48DA" w:rsidR="00661519" w:rsidP="00661519" w:rsidRDefault="00661519" w14:paraId="29603070"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1,895</w:t>
            </w:r>
          </w:p>
        </w:tc>
        <w:tc>
          <w:tcPr>
            <w:tcW w:w="1134" w:type="dxa"/>
            <w:vAlign w:val="bottom"/>
          </w:tcPr>
          <w:p w:rsidRPr="009C48DA" w:rsidR="00661519" w:rsidP="00661519" w:rsidRDefault="00661519" w14:paraId="6A2F0BDB"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873</w:t>
            </w:r>
          </w:p>
        </w:tc>
        <w:tc>
          <w:tcPr>
            <w:tcW w:w="1134" w:type="dxa"/>
            <w:vAlign w:val="bottom"/>
          </w:tcPr>
          <w:p w:rsidRPr="009C48DA" w:rsidR="00661519" w:rsidP="00661519" w:rsidRDefault="00661519" w14:paraId="29E6C23A"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380</w:t>
            </w:r>
          </w:p>
        </w:tc>
        <w:tc>
          <w:tcPr>
            <w:tcW w:w="1101" w:type="dxa"/>
            <w:vAlign w:val="bottom"/>
          </w:tcPr>
          <w:p w:rsidRPr="009C48DA" w:rsidR="00661519" w:rsidP="00661519" w:rsidRDefault="00661519" w14:paraId="14B5F39B"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383</w:t>
            </w:r>
          </w:p>
        </w:tc>
      </w:tr>
    </w:tbl>
    <w:p w:rsidRPr="009C48DA" w:rsidR="00661519" w:rsidP="00661519" w:rsidRDefault="00661519" w14:paraId="2FABE013" w14:textId="77777777">
      <w:pPr>
        <w:spacing w:before="60"/>
        <w:jc w:val="both"/>
        <w:textAlignment w:val="baseline"/>
        <w:rPr>
          <w:rFonts w:eastAsia="Times New Roman" w:cs="Times New Roman"/>
          <w:b/>
          <w:color w:val="000000"/>
          <w:sz w:val="16"/>
          <w:szCs w:val="22"/>
          <w:lang w:val="en-GB"/>
        </w:rPr>
      </w:pPr>
    </w:p>
    <w:p w:rsidRPr="009C48DA" w:rsidR="00661519" w:rsidP="00661519" w:rsidRDefault="00661519" w14:paraId="6FBFFD4F" w14:textId="77777777">
      <w:pPr>
        <w:spacing w:before="60"/>
        <w:jc w:val="both"/>
        <w:textAlignment w:val="baseline"/>
        <w:rPr>
          <w:rFonts w:eastAsia="Times New Roman" w:cs="Times New Roman"/>
          <w:b/>
          <w:color w:val="000000"/>
          <w:sz w:val="16"/>
          <w:szCs w:val="22"/>
          <w:lang w:val="en-GB"/>
        </w:rPr>
      </w:pPr>
    </w:p>
    <w:p w:rsidRPr="009C48DA" w:rsidR="00661519" w:rsidP="00661519" w:rsidRDefault="00661519" w14:paraId="3365B9AF" w14:textId="77777777">
      <w:pPr>
        <w:spacing w:before="60"/>
        <w:jc w:val="both"/>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6</w:t>
      </w:r>
      <w:r w:rsidRPr="009C48DA">
        <w:rPr>
          <w:rFonts w:eastAsia="Times New Roman" w:cs="Times New Roman"/>
          <w:b/>
          <w:color w:val="000000"/>
          <w:sz w:val="16"/>
          <w:szCs w:val="22"/>
          <w:lang w:val="en-GB"/>
        </w:rPr>
        <w:tab/>
        <w:t>Personnel expenses</w:t>
      </w:r>
    </w:p>
    <w:p w:rsidRPr="009C48DA" w:rsidR="00661519" w:rsidP="00661519" w:rsidRDefault="00661519" w14:paraId="60913D52" w14:textId="77777777">
      <w:pPr>
        <w:jc w:val="both"/>
        <w:textAlignment w:val="baseline"/>
        <w:rPr>
          <w:rFonts w:eastAsia="Times New Roman" w:cs="Times New Roman"/>
          <w:color w:val="000000"/>
          <w:sz w:val="16"/>
          <w:szCs w:val="22"/>
          <w:lang w:val="en-GB"/>
        </w:rPr>
      </w:pPr>
    </w:p>
    <w:p w:rsidRPr="009C48DA" w:rsidR="00661519" w:rsidP="00661519" w:rsidRDefault="00661519" w14:paraId="3EEA6F52"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Aggregate personnel expenses (including directors' remuneration) in each period were as follows:</w:t>
      </w:r>
    </w:p>
    <w:p w:rsidRPr="009C48DA" w:rsidR="00661519" w:rsidP="00661519" w:rsidRDefault="00661519" w14:paraId="42BD7248" w14:textId="77777777">
      <w:pPr>
        <w:jc w:val="both"/>
        <w:textAlignment w:val="baseline"/>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2"/>
        <w:gridCol w:w="1134"/>
        <w:gridCol w:w="1134"/>
        <w:gridCol w:w="1134"/>
        <w:gridCol w:w="1134"/>
        <w:gridCol w:w="1101"/>
      </w:tblGrid>
      <w:tr w:rsidRPr="009C48DA" w:rsidR="00661519" w:rsidTr="00661519" w14:paraId="13EF039C" w14:textId="77777777">
        <w:tc>
          <w:tcPr>
            <w:tcW w:w="3402" w:type="dxa"/>
            <w:vAlign w:val="bottom"/>
          </w:tcPr>
          <w:p w:rsidRPr="009C48DA" w:rsidR="00661519" w:rsidP="00661519" w:rsidRDefault="00661519" w14:paraId="78D617A8" w14:textId="77777777">
            <w:pPr>
              <w:jc w:val="both"/>
              <w:textAlignment w:val="baseline"/>
              <w:rPr>
                <w:rFonts w:eastAsia="Times New Roman"/>
                <w:color w:val="000000"/>
                <w:sz w:val="16"/>
                <w:lang w:val="en-GB"/>
              </w:rPr>
            </w:pPr>
          </w:p>
        </w:tc>
        <w:tc>
          <w:tcPr>
            <w:tcW w:w="3402" w:type="dxa"/>
            <w:gridSpan w:val="3"/>
            <w:vAlign w:val="bottom"/>
          </w:tcPr>
          <w:p w:rsidRPr="009C48DA" w:rsidR="00661519" w:rsidP="00661519" w:rsidRDefault="00661519" w14:paraId="485690A0"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Year ended 31 December</w:t>
            </w:r>
          </w:p>
        </w:tc>
        <w:tc>
          <w:tcPr>
            <w:tcW w:w="2235" w:type="dxa"/>
            <w:gridSpan w:val="2"/>
            <w:vAlign w:val="bottom"/>
          </w:tcPr>
          <w:p w:rsidRPr="009C48DA" w:rsidR="00661519" w:rsidP="00661519" w:rsidRDefault="00661519" w14:paraId="3BF7290F"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Three month period ended 31 March</w:t>
            </w:r>
          </w:p>
        </w:tc>
      </w:tr>
      <w:tr w:rsidRPr="009C48DA" w:rsidR="00661519" w:rsidTr="00661519" w14:paraId="67AD2EE2" w14:textId="77777777">
        <w:tc>
          <w:tcPr>
            <w:tcW w:w="3402" w:type="dxa"/>
            <w:vAlign w:val="bottom"/>
          </w:tcPr>
          <w:p w:rsidRPr="009C48DA" w:rsidR="00661519" w:rsidP="00661519" w:rsidRDefault="00661519" w14:paraId="536A455F" w14:textId="77777777">
            <w:pPr>
              <w:jc w:val="both"/>
              <w:textAlignment w:val="baseline"/>
              <w:rPr>
                <w:rFonts w:eastAsia="Times New Roman"/>
                <w:color w:val="000000"/>
                <w:sz w:val="16"/>
                <w:lang w:val="en-GB"/>
              </w:rPr>
            </w:pPr>
          </w:p>
        </w:tc>
        <w:tc>
          <w:tcPr>
            <w:tcW w:w="1134" w:type="dxa"/>
            <w:vAlign w:val="bottom"/>
          </w:tcPr>
          <w:p w:rsidRPr="009C48DA" w:rsidR="00661519" w:rsidP="00661519" w:rsidRDefault="00661519" w14:paraId="2EF43537"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69AA4171"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439D6A50"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090445E0"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03F94871"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0D5CD505"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3D64DC9C" w14:textId="77777777">
            <w:pPr>
              <w:jc w:val="right"/>
              <w:textAlignment w:val="baseline"/>
              <w:rPr>
                <w:rFonts w:eastAsia="Times New Roman"/>
                <w:b/>
                <w:color w:val="000000"/>
                <w:sz w:val="16"/>
                <w:lang w:val="en-GB"/>
              </w:rPr>
            </w:pPr>
            <w:r w:rsidRPr="009C48DA">
              <w:rPr>
                <w:rFonts w:eastAsia="Times New Roman"/>
                <w:b/>
                <w:color w:val="000000"/>
                <w:sz w:val="16"/>
                <w:lang w:val="en-GB"/>
              </w:rPr>
              <w:t>Unaudited</w:t>
            </w:r>
            <w:r w:rsidRPr="009C48DA">
              <w:rPr>
                <w:rFonts w:eastAsia="Times New Roman"/>
                <w:b/>
                <w:color w:val="000000"/>
                <w:sz w:val="16"/>
                <w:lang w:val="en-GB"/>
              </w:rPr>
              <w:br/>
              <w:t>2020</w:t>
            </w:r>
          </w:p>
          <w:p w:rsidRPr="009C48DA" w:rsidR="00661519" w:rsidP="00661519" w:rsidRDefault="00661519" w14:paraId="61702490"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01" w:type="dxa"/>
            <w:vAlign w:val="bottom"/>
          </w:tcPr>
          <w:p w:rsidRPr="009C48DA" w:rsidR="00661519" w:rsidP="00661519" w:rsidRDefault="00661519" w14:paraId="263784A0"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3AE7BF93"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4FC26568" w14:textId="77777777">
        <w:tc>
          <w:tcPr>
            <w:tcW w:w="3402" w:type="dxa"/>
            <w:vAlign w:val="center"/>
          </w:tcPr>
          <w:p w:rsidRPr="009C48DA" w:rsidR="00661519" w:rsidP="00661519" w:rsidRDefault="00661519" w14:paraId="79EC950D" w14:textId="77777777">
            <w:pPr>
              <w:spacing w:before="60" w:after="34" w:line="185" w:lineRule="exact"/>
              <w:textAlignment w:val="baseline"/>
              <w:rPr>
                <w:rFonts w:eastAsia="Times New Roman"/>
                <w:color w:val="000000"/>
                <w:sz w:val="16"/>
                <w:lang w:val="en-GB"/>
              </w:rPr>
            </w:pPr>
            <w:r w:rsidRPr="009C48DA">
              <w:rPr>
                <w:rFonts w:eastAsia="Times New Roman"/>
                <w:color w:val="000000"/>
                <w:sz w:val="16"/>
                <w:lang w:val="en-GB"/>
              </w:rPr>
              <w:t>Wages and bonuses</w:t>
            </w:r>
          </w:p>
        </w:tc>
        <w:tc>
          <w:tcPr>
            <w:tcW w:w="1134" w:type="dxa"/>
            <w:vAlign w:val="center"/>
          </w:tcPr>
          <w:p w:rsidRPr="009C48DA" w:rsidR="00661519" w:rsidP="00661519" w:rsidRDefault="00661519" w14:paraId="041F04B8" w14:textId="77777777">
            <w:pPr>
              <w:spacing w:before="60"/>
              <w:jc w:val="right"/>
              <w:rPr>
                <w:sz w:val="16"/>
                <w:szCs w:val="16"/>
                <w:lang w:val="en-GB"/>
              </w:rPr>
            </w:pPr>
            <w:r w:rsidRPr="009C48DA">
              <w:rPr>
                <w:sz w:val="16"/>
                <w:szCs w:val="16"/>
                <w:lang w:val="en-GB"/>
              </w:rPr>
              <w:t>74,694</w:t>
            </w:r>
          </w:p>
        </w:tc>
        <w:tc>
          <w:tcPr>
            <w:tcW w:w="1134" w:type="dxa"/>
            <w:vAlign w:val="center"/>
          </w:tcPr>
          <w:p w:rsidRPr="009C48DA" w:rsidR="00661519" w:rsidP="00661519" w:rsidRDefault="00661519" w14:paraId="3504B706" w14:textId="77777777">
            <w:pPr>
              <w:spacing w:before="60"/>
              <w:jc w:val="right"/>
              <w:rPr>
                <w:sz w:val="16"/>
                <w:szCs w:val="16"/>
                <w:lang w:val="en-GB"/>
              </w:rPr>
            </w:pPr>
            <w:r w:rsidRPr="009C48DA">
              <w:rPr>
                <w:sz w:val="16"/>
                <w:szCs w:val="16"/>
                <w:lang w:val="en-GB"/>
              </w:rPr>
              <w:t>70,128</w:t>
            </w:r>
          </w:p>
        </w:tc>
        <w:tc>
          <w:tcPr>
            <w:tcW w:w="1134" w:type="dxa"/>
            <w:vAlign w:val="center"/>
          </w:tcPr>
          <w:p w:rsidRPr="009C48DA" w:rsidR="00661519" w:rsidP="00661519" w:rsidRDefault="00661519" w14:paraId="10EE3328" w14:textId="77777777">
            <w:pPr>
              <w:spacing w:before="60"/>
              <w:jc w:val="right"/>
              <w:rPr>
                <w:sz w:val="16"/>
                <w:szCs w:val="16"/>
                <w:lang w:val="en-GB"/>
              </w:rPr>
            </w:pPr>
            <w:r w:rsidRPr="009C48DA">
              <w:rPr>
                <w:sz w:val="16"/>
                <w:szCs w:val="16"/>
                <w:lang w:val="en-GB"/>
              </w:rPr>
              <w:t>76,325</w:t>
            </w:r>
          </w:p>
        </w:tc>
        <w:tc>
          <w:tcPr>
            <w:tcW w:w="1134" w:type="dxa"/>
            <w:vAlign w:val="center"/>
          </w:tcPr>
          <w:p w:rsidRPr="009C48DA" w:rsidR="00661519" w:rsidP="00661519" w:rsidRDefault="00661519" w14:paraId="1D2D2E12" w14:textId="77777777">
            <w:pPr>
              <w:spacing w:before="60"/>
              <w:jc w:val="right"/>
              <w:rPr>
                <w:sz w:val="16"/>
                <w:szCs w:val="16"/>
                <w:lang w:val="en-GB"/>
              </w:rPr>
            </w:pPr>
            <w:r w:rsidRPr="009C48DA">
              <w:rPr>
                <w:sz w:val="16"/>
                <w:szCs w:val="16"/>
                <w:lang w:val="en-GB"/>
              </w:rPr>
              <w:t>17,983</w:t>
            </w:r>
          </w:p>
        </w:tc>
        <w:tc>
          <w:tcPr>
            <w:tcW w:w="1101" w:type="dxa"/>
            <w:vAlign w:val="center"/>
          </w:tcPr>
          <w:p w:rsidRPr="009C48DA" w:rsidR="00661519" w:rsidP="00661519" w:rsidRDefault="00661519" w14:paraId="694D2647" w14:textId="77777777">
            <w:pPr>
              <w:spacing w:before="60"/>
              <w:jc w:val="right"/>
              <w:rPr>
                <w:sz w:val="16"/>
                <w:szCs w:val="16"/>
                <w:lang w:val="en-GB"/>
              </w:rPr>
            </w:pPr>
            <w:r w:rsidRPr="009C48DA">
              <w:rPr>
                <w:sz w:val="16"/>
                <w:szCs w:val="16"/>
                <w:lang w:val="en-GB"/>
              </w:rPr>
              <w:t>22,025</w:t>
            </w:r>
          </w:p>
        </w:tc>
      </w:tr>
      <w:tr w:rsidRPr="009C48DA" w:rsidR="00661519" w:rsidTr="00661519" w14:paraId="00E8949E" w14:textId="77777777">
        <w:tc>
          <w:tcPr>
            <w:tcW w:w="3402" w:type="dxa"/>
            <w:vAlign w:val="center"/>
          </w:tcPr>
          <w:p w:rsidRPr="009C48DA" w:rsidR="00661519" w:rsidP="00661519" w:rsidRDefault="00661519" w14:paraId="6FB92B08" w14:textId="77777777">
            <w:pPr>
              <w:spacing w:before="60" w:after="30" w:line="185" w:lineRule="exact"/>
              <w:textAlignment w:val="baseline"/>
              <w:rPr>
                <w:rFonts w:eastAsia="Times New Roman"/>
                <w:color w:val="000000"/>
                <w:sz w:val="16"/>
                <w:lang w:val="en-GB"/>
              </w:rPr>
            </w:pPr>
            <w:r w:rsidRPr="009C48DA">
              <w:rPr>
                <w:rFonts w:eastAsia="Times New Roman"/>
                <w:color w:val="000000"/>
                <w:sz w:val="16"/>
                <w:lang w:val="en-GB"/>
              </w:rPr>
              <w:t>Social security costs</w:t>
            </w:r>
          </w:p>
        </w:tc>
        <w:tc>
          <w:tcPr>
            <w:tcW w:w="1134" w:type="dxa"/>
            <w:vAlign w:val="center"/>
          </w:tcPr>
          <w:p w:rsidRPr="009C48DA" w:rsidR="00661519" w:rsidP="00661519" w:rsidRDefault="00661519" w14:paraId="2DB4D375" w14:textId="77777777">
            <w:pPr>
              <w:spacing w:before="60"/>
              <w:jc w:val="right"/>
              <w:rPr>
                <w:sz w:val="16"/>
                <w:szCs w:val="16"/>
                <w:lang w:val="en-GB"/>
              </w:rPr>
            </w:pPr>
            <w:r w:rsidRPr="009C48DA">
              <w:rPr>
                <w:sz w:val="16"/>
                <w:szCs w:val="16"/>
                <w:lang w:val="en-GB"/>
              </w:rPr>
              <w:t>10,639</w:t>
            </w:r>
          </w:p>
        </w:tc>
        <w:tc>
          <w:tcPr>
            <w:tcW w:w="1134" w:type="dxa"/>
            <w:vAlign w:val="center"/>
          </w:tcPr>
          <w:p w:rsidRPr="009C48DA" w:rsidR="00661519" w:rsidP="00661519" w:rsidRDefault="00661519" w14:paraId="0D210B98" w14:textId="77777777">
            <w:pPr>
              <w:spacing w:before="60"/>
              <w:jc w:val="right"/>
              <w:rPr>
                <w:sz w:val="16"/>
                <w:szCs w:val="16"/>
                <w:lang w:val="en-GB"/>
              </w:rPr>
            </w:pPr>
            <w:r w:rsidRPr="009C48DA">
              <w:rPr>
                <w:sz w:val="16"/>
                <w:szCs w:val="16"/>
                <w:lang w:val="en-GB"/>
              </w:rPr>
              <w:t>11,270</w:t>
            </w:r>
          </w:p>
        </w:tc>
        <w:tc>
          <w:tcPr>
            <w:tcW w:w="1134" w:type="dxa"/>
            <w:vAlign w:val="center"/>
          </w:tcPr>
          <w:p w:rsidRPr="009C48DA" w:rsidR="00661519" w:rsidP="00661519" w:rsidRDefault="00661519" w14:paraId="47C682C3" w14:textId="77777777">
            <w:pPr>
              <w:spacing w:before="60"/>
              <w:jc w:val="right"/>
              <w:rPr>
                <w:sz w:val="16"/>
                <w:szCs w:val="16"/>
                <w:lang w:val="en-GB"/>
              </w:rPr>
            </w:pPr>
            <w:r w:rsidRPr="009C48DA">
              <w:rPr>
                <w:sz w:val="16"/>
                <w:szCs w:val="16"/>
                <w:lang w:val="en-GB"/>
              </w:rPr>
              <w:t>11,943</w:t>
            </w:r>
          </w:p>
        </w:tc>
        <w:tc>
          <w:tcPr>
            <w:tcW w:w="1134" w:type="dxa"/>
            <w:vAlign w:val="center"/>
          </w:tcPr>
          <w:p w:rsidRPr="009C48DA" w:rsidR="00661519" w:rsidP="00661519" w:rsidRDefault="00661519" w14:paraId="259343B0" w14:textId="77777777">
            <w:pPr>
              <w:spacing w:before="60"/>
              <w:jc w:val="right"/>
              <w:rPr>
                <w:sz w:val="16"/>
                <w:szCs w:val="16"/>
                <w:lang w:val="en-GB"/>
              </w:rPr>
            </w:pPr>
            <w:r w:rsidRPr="009C48DA">
              <w:rPr>
                <w:sz w:val="16"/>
                <w:szCs w:val="16"/>
                <w:lang w:val="en-GB"/>
              </w:rPr>
              <w:t>813</w:t>
            </w:r>
          </w:p>
        </w:tc>
        <w:tc>
          <w:tcPr>
            <w:tcW w:w="1101" w:type="dxa"/>
            <w:vAlign w:val="center"/>
          </w:tcPr>
          <w:p w:rsidRPr="009C48DA" w:rsidR="00661519" w:rsidP="00661519" w:rsidRDefault="00661519" w14:paraId="1D989068" w14:textId="77777777">
            <w:pPr>
              <w:spacing w:before="60"/>
              <w:jc w:val="right"/>
              <w:rPr>
                <w:sz w:val="16"/>
                <w:szCs w:val="16"/>
                <w:lang w:val="en-GB"/>
              </w:rPr>
            </w:pPr>
            <w:r w:rsidRPr="009C48DA">
              <w:rPr>
                <w:sz w:val="16"/>
                <w:szCs w:val="16"/>
                <w:lang w:val="en-GB"/>
              </w:rPr>
              <w:t>3,590</w:t>
            </w:r>
          </w:p>
        </w:tc>
      </w:tr>
      <w:tr w:rsidRPr="009C48DA" w:rsidR="00661519" w:rsidTr="00661519" w14:paraId="3CE6A2C8" w14:textId="77777777">
        <w:tc>
          <w:tcPr>
            <w:tcW w:w="3402" w:type="dxa"/>
            <w:vAlign w:val="center"/>
          </w:tcPr>
          <w:p w:rsidRPr="009C48DA" w:rsidR="00661519" w:rsidP="00661519" w:rsidRDefault="00661519" w14:paraId="759A12AA" w14:textId="77777777">
            <w:pPr>
              <w:spacing w:before="60" w:after="25" w:line="185" w:lineRule="exact"/>
              <w:textAlignment w:val="baseline"/>
              <w:rPr>
                <w:rFonts w:eastAsia="Times New Roman"/>
                <w:color w:val="000000"/>
                <w:sz w:val="16"/>
                <w:lang w:val="en-GB"/>
              </w:rPr>
            </w:pPr>
            <w:r w:rsidRPr="009C48DA">
              <w:rPr>
                <w:rFonts w:eastAsia="Times New Roman"/>
                <w:color w:val="000000"/>
                <w:sz w:val="16"/>
                <w:lang w:val="en-GB"/>
              </w:rPr>
              <w:t xml:space="preserve">Pension </w:t>
            </w:r>
          </w:p>
        </w:tc>
        <w:tc>
          <w:tcPr>
            <w:tcW w:w="1134" w:type="dxa"/>
            <w:vAlign w:val="center"/>
          </w:tcPr>
          <w:p w:rsidRPr="009C48DA" w:rsidR="00661519" w:rsidP="00661519" w:rsidRDefault="00661519" w14:paraId="32CAF67A" w14:textId="77777777">
            <w:pPr>
              <w:spacing w:before="60"/>
              <w:jc w:val="right"/>
              <w:rPr>
                <w:sz w:val="16"/>
                <w:szCs w:val="16"/>
                <w:lang w:val="en-GB"/>
              </w:rPr>
            </w:pPr>
            <w:r w:rsidRPr="009C48DA">
              <w:rPr>
                <w:sz w:val="16"/>
                <w:szCs w:val="16"/>
                <w:lang w:val="en-GB"/>
              </w:rPr>
              <w:t>1,194</w:t>
            </w:r>
          </w:p>
        </w:tc>
        <w:tc>
          <w:tcPr>
            <w:tcW w:w="1134" w:type="dxa"/>
            <w:vAlign w:val="center"/>
          </w:tcPr>
          <w:p w:rsidRPr="009C48DA" w:rsidR="00661519" w:rsidP="00661519" w:rsidRDefault="00661519" w14:paraId="2F5E68EF" w14:textId="77777777">
            <w:pPr>
              <w:spacing w:before="60"/>
              <w:jc w:val="right"/>
              <w:rPr>
                <w:sz w:val="16"/>
                <w:szCs w:val="16"/>
                <w:lang w:val="en-GB"/>
              </w:rPr>
            </w:pPr>
            <w:r w:rsidRPr="009C48DA">
              <w:rPr>
                <w:sz w:val="16"/>
                <w:szCs w:val="16"/>
                <w:lang w:val="en-GB"/>
              </w:rPr>
              <w:t>1,374</w:t>
            </w:r>
          </w:p>
        </w:tc>
        <w:tc>
          <w:tcPr>
            <w:tcW w:w="1134" w:type="dxa"/>
            <w:vAlign w:val="center"/>
          </w:tcPr>
          <w:p w:rsidRPr="009C48DA" w:rsidR="00661519" w:rsidP="00661519" w:rsidRDefault="00661519" w14:paraId="53EC5EA8" w14:textId="77777777">
            <w:pPr>
              <w:spacing w:before="60"/>
              <w:jc w:val="right"/>
              <w:rPr>
                <w:sz w:val="16"/>
                <w:szCs w:val="16"/>
                <w:lang w:val="en-GB"/>
              </w:rPr>
            </w:pPr>
            <w:r w:rsidRPr="009C48DA">
              <w:rPr>
                <w:sz w:val="16"/>
                <w:szCs w:val="16"/>
                <w:lang w:val="en-GB"/>
              </w:rPr>
              <w:t>1,530</w:t>
            </w:r>
          </w:p>
        </w:tc>
        <w:tc>
          <w:tcPr>
            <w:tcW w:w="1134" w:type="dxa"/>
            <w:vAlign w:val="center"/>
          </w:tcPr>
          <w:p w:rsidRPr="009C48DA" w:rsidR="00661519" w:rsidP="00661519" w:rsidRDefault="00661519" w14:paraId="2DF837F6" w14:textId="77777777">
            <w:pPr>
              <w:spacing w:before="60"/>
              <w:jc w:val="right"/>
              <w:rPr>
                <w:sz w:val="16"/>
                <w:szCs w:val="16"/>
                <w:lang w:val="en-GB"/>
              </w:rPr>
            </w:pPr>
            <w:r w:rsidRPr="009C48DA">
              <w:rPr>
                <w:sz w:val="16"/>
                <w:szCs w:val="16"/>
                <w:lang w:val="en-GB"/>
              </w:rPr>
              <w:t>334</w:t>
            </w:r>
          </w:p>
        </w:tc>
        <w:tc>
          <w:tcPr>
            <w:tcW w:w="1101" w:type="dxa"/>
            <w:vAlign w:val="center"/>
          </w:tcPr>
          <w:p w:rsidRPr="009C48DA" w:rsidR="00661519" w:rsidP="00661519" w:rsidRDefault="00661519" w14:paraId="2687A58C" w14:textId="77777777">
            <w:pPr>
              <w:spacing w:before="60"/>
              <w:jc w:val="right"/>
              <w:rPr>
                <w:sz w:val="16"/>
                <w:szCs w:val="16"/>
                <w:lang w:val="en-GB"/>
              </w:rPr>
            </w:pPr>
            <w:r w:rsidRPr="009C48DA">
              <w:rPr>
                <w:sz w:val="16"/>
                <w:szCs w:val="16"/>
                <w:lang w:val="en-GB"/>
              </w:rPr>
              <w:t>448</w:t>
            </w:r>
          </w:p>
        </w:tc>
      </w:tr>
      <w:tr w:rsidRPr="009C48DA" w:rsidR="00661519" w:rsidTr="00661519" w14:paraId="787B9329" w14:textId="77777777">
        <w:tc>
          <w:tcPr>
            <w:tcW w:w="3402" w:type="dxa"/>
            <w:vAlign w:val="center"/>
          </w:tcPr>
          <w:p w:rsidRPr="009C48DA" w:rsidR="00661519" w:rsidP="00661519" w:rsidRDefault="00661519" w14:paraId="76FFB1F6" w14:textId="77777777">
            <w:pPr>
              <w:spacing w:before="60" w:after="10" w:line="185" w:lineRule="exact"/>
              <w:textAlignment w:val="baseline"/>
              <w:rPr>
                <w:rFonts w:eastAsia="Times New Roman"/>
                <w:color w:val="000000"/>
                <w:sz w:val="16"/>
                <w:lang w:val="en-GB"/>
              </w:rPr>
            </w:pPr>
            <w:r w:rsidRPr="009C48DA">
              <w:rPr>
                <w:rFonts w:eastAsia="Times New Roman"/>
                <w:color w:val="000000"/>
                <w:sz w:val="16"/>
                <w:lang w:val="en-GB"/>
              </w:rPr>
              <w:t>Other employee expense</w:t>
            </w:r>
          </w:p>
        </w:tc>
        <w:tc>
          <w:tcPr>
            <w:tcW w:w="1134" w:type="dxa"/>
            <w:vAlign w:val="center"/>
          </w:tcPr>
          <w:p w:rsidRPr="009C48DA" w:rsidR="00661519" w:rsidP="00661519" w:rsidRDefault="00661519" w14:paraId="4A5B2C5E" w14:textId="77777777">
            <w:pPr>
              <w:pBdr>
                <w:bottom w:val="single" w:color="auto" w:sz="12" w:space="1"/>
              </w:pBdr>
              <w:spacing w:before="60"/>
              <w:jc w:val="right"/>
              <w:rPr>
                <w:sz w:val="16"/>
                <w:szCs w:val="16"/>
                <w:lang w:val="en-GB"/>
              </w:rPr>
            </w:pPr>
            <w:r w:rsidRPr="009C48DA">
              <w:rPr>
                <w:sz w:val="16"/>
                <w:szCs w:val="16"/>
                <w:lang w:val="en-GB"/>
              </w:rPr>
              <w:t>4,920</w:t>
            </w:r>
          </w:p>
        </w:tc>
        <w:tc>
          <w:tcPr>
            <w:tcW w:w="1134" w:type="dxa"/>
            <w:vAlign w:val="center"/>
          </w:tcPr>
          <w:p w:rsidRPr="009C48DA" w:rsidR="00661519" w:rsidP="00661519" w:rsidRDefault="00661519" w14:paraId="26C1F1AF" w14:textId="77777777">
            <w:pPr>
              <w:pBdr>
                <w:bottom w:val="single" w:color="auto" w:sz="12" w:space="1"/>
              </w:pBdr>
              <w:spacing w:before="60"/>
              <w:jc w:val="right"/>
              <w:rPr>
                <w:sz w:val="16"/>
                <w:szCs w:val="16"/>
                <w:lang w:val="en-GB"/>
              </w:rPr>
            </w:pPr>
            <w:r w:rsidRPr="009C48DA">
              <w:rPr>
                <w:sz w:val="16"/>
                <w:szCs w:val="16"/>
                <w:lang w:val="en-GB"/>
              </w:rPr>
              <w:t>6,110</w:t>
            </w:r>
          </w:p>
        </w:tc>
        <w:tc>
          <w:tcPr>
            <w:tcW w:w="1134" w:type="dxa"/>
            <w:vAlign w:val="center"/>
          </w:tcPr>
          <w:p w:rsidRPr="009C48DA" w:rsidR="00661519" w:rsidP="00661519" w:rsidRDefault="00661519" w14:paraId="796190C0" w14:textId="77777777">
            <w:pPr>
              <w:pBdr>
                <w:bottom w:val="single" w:color="auto" w:sz="12" w:space="1"/>
              </w:pBdr>
              <w:spacing w:before="60"/>
              <w:jc w:val="right"/>
              <w:rPr>
                <w:sz w:val="16"/>
                <w:szCs w:val="16"/>
                <w:lang w:val="en-GB"/>
              </w:rPr>
            </w:pPr>
            <w:r w:rsidRPr="009C48DA">
              <w:rPr>
                <w:sz w:val="16"/>
                <w:szCs w:val="16"/>
                <w:lang w:val="en-GB"/>
              </w:rPr>
              <w:t>6,462</w:t>
            </w:r>
          </w:p>
        </w:tc>
        <w:tc>
          <w:tcPr>
            <w:tcW w:w="1134" w:type="dxa"/>
            <w:vAlign w:val="center"/>
          </w:tcPr>
          <w:p w:rsidRPr="009C48DA" w:rsidR="00661519" w:rsidP="00661519" w:rsidRDefault="00661519" w14:paraId="2EFB0F36" w14:textId="77777777">
            <w:pPr>
              <w:pBdr>
                <w:bottom w:val="single" w:color="auto" w:sz="12" w:space="1"/>
              </w:pBdr>
              <w:spacing w:before="60"/>
              <w:jc w:val="right"/>
              <w:rPr>
                <w:sz w:val="16"/>
                <w:szCs w:val="16"/>
                <w:lang w:val="en-GB"/>
              </w:rPr>
            </w:pPr>
            <w:r w:rsidRPr="009C48DA">
              <w:rPr>
                <w:sz w:val="16"/>
                <w:szCs w:val="16"/>
                <w:lang w:val="en-GB"/>
              </w:rPr>
              <w:t>1,386</w:t>
            </w:r>
          </w:p>
        </w:tc>
        <w:tc>
          <w:tcPr>
            <w:tcW w:w="1101" w:type="dxa"/>
            <w:vAlign w:val="center"/>
          </w:tcPr>
          <w:p w:rsidRPr="009C48DA" w:rsidR="00661519" w:rsidP="00661519" w:rsidRDefault="00661519" w14:paraId="70834F06" w14:textId="77777777">
            <w:pPr>
              <w:pBdr>
                <w:bottom w:val="single" w:color="auto" w:sz="12" w:space="1"/>
              </w:pBdr>
              <w:spacing w:before="60"/>
              <w:jc w:val="right"/>
              <w:rPr>
                <w:sz w:val="16"/>
                <w:szCs w:val="16"/>
                <w:lang w:val="en-GB"/>
              </w:rPr>
            </w:pPr>
            <w:r w:rsidRPr="009C48DA">
              <w:rPr>
                <w:sz w:val="16"/>
                <w:szCs w:val="16"/>
                <w:lang w:val="en-GB"/>
              </w:rPr>
              <w:t>1,688</w:t>
            </w:r>
          </w:p>
        </w:tc>
      </w:tr>
      <w:tr w:rsidRPr="009C48DA" w:rsidR="00661519" w:rsidTr="00661519" w14:paraId="35BA32BC" w14:textId="77777777">
        <w:tc>
          <w:tcPr>
            <w:tcW w:w="3402" w:type="dxa"/>
            <w:vAlign w:val="bottom"/>
          </w:tcPr>
          <w:p w:rsidRPr="009C48DA" w:rsidR="00661519" w:rsidP="00661519" w:rsidRDefault="00661519" w14:paraId="37C98102"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Total</w:t>
            </w:r>
          </w:p>
        </w:tc>
        <w:tc>
          <w:tcPr>
            <w:tcW w:w="1134" w:type="dxa"/>
            <w:vAlign w:val="center"/>
          </w:tcPr>
          <w:p w:rsidRPr="009C48DA" w:rsidR="00661519" w:rsidP="00661519" w:rsidRDefault="00661519" w14:paraId="4866FFF8" w14:textId="77777777">
            <w:pPr>
              <w:pBdr>
                <w:bottom w:val="double" w:color="auto" w:sz="12" w:space="1"/>
              </w:pBdr>
              <w:spacing w:before="60"/>
              <w:jc w:val="right"/>
              <w:rPr>
                <w:sz w:val="16"/>
                <w:szCs w:val="16"/>
                <w:lang w:val="en-GB"/>
              </w:rPr>
            </w:pPr>
            <w:r w:rsidRPr="009C48DA">
              <w:rPr>
                <w:sz w:val="16"/>
                <w:szCs w:val="16"/>
                <w:lang w:val="en-GB"/>
              </w:rPr>
              <w:t>91,447</w:t>
            </w:r>
          </w:p>
        </w:tc>
        <w:tc>
          <w:tcPr>
            <w:tcW w:w="1134" w:type="dxa"/>
            <w:vAlign w:val="center"/>
          </w:tcPr>
          <w:p w:rsidRPr="009C48DA" w:rsidR="00661519" w:rsidP="00661519" w:rsidRDefault="00661519" w14:paraId="3276A98E" w14:textId="77777777">
            <w:pPr>
              <w:pBdr>
                <w:bottom w:val="double" w:color="auto" w:sz="12" w:space="1"/>
              </w:pBdr>
              <w:spacing w:before="60"/>
              <w:jc w:val="right"/>
              <w:rPr>
                <w:sz w:val="16"/>
                <w:szCs w:val="16"/>
                <w:lang w:val="en-GB"/>
              </w:rPr>
            </w:pPr>
            <w:r w:rsidRPr="009C48DA">
              <w:rPr>
                <w:sz w:val="16"/>
                <w:szCs w:val="16"/>
                <w:lang w:val="en-GB"/>
              </w:rPr>
              <w:t>88,882</w:t>
            </w:r>
          </w:p>
        </w:tc>
        <w:tc>
          <w:tcPr>
            <w:tcW w:w="1134" w:type="dxa"/>
            <w:vAlign w:val="center"/>
          </w:tcPr>
          <w:p w:rsidRPr="009C48DA" w:rsidR="00661519" w:rsidP="00661519" w:rsidRDefault="00661519" w14:paraId="0D538BF9" w14:textId="77777777">
            <w:pPr>
              <w:pBdr>
                <w:bottom w:val="double" w:color="auto" w:sz="12" w:space="1"/>
              </w:pBdr>
              <w:spacing w:before="60"/>
              <w:jc w:val="right"/>
              <w:rPr>
                <w:sz w:val="16"/>
                <w:szCs w:val="16"/>
                <w:lang w:val="en-GB"/>
              </w:rPr>
            </w:pPr>
            <w:r w:rsidRPr="009C48DA">
              <w:rPr>
                <w:sz w:val="16"/>
                <w:szCs w:val="16"/>
                <w:lang w:val="en-GB"/>
              </w:rPr>
              <w:t>96,260</w:t>
            </w:r>
          </w:p>
        </w:tc>
        <w:tc>
          <w:tcPr>
            <w:tcW w:w="1134" w:type="dxa"/>
            <w:vAlign w:val="center"/>
          </w:tcPr>
          <w:p w:rsidRPr="009C48DA" w:rsidR="00661519" w:rsidP="00661519" w:rsidRDefault="00661519" w14:paraId="592D8BB3" w14:textId="77777777">
            <w:pPr>
              <w:pBdr>
                <w:bottom w:val="double" w:color="auto" w:sz="12" w:space="1"/>
              </w:pBdr>
              <w:spacing w:before="60"/>
              <w:jc w:val="right"/>
              <w:rPr>
                <w:sz w:val="16"/>
                <w:szCs w:val="16"/>
                <w:lang w:val="en-GB"/>
              </w:rPr>
            </w:pPr>
            <w:r w:rsidRPr="009C48DA">
              <w:rPr>
                <w:sz w:val="16"/>
                <w:szCs w:val="16"/>
                <w:lang w:val="en-GB"/>
              </w:rPr>
              <w:t>20,516</w:t>
            </w:r>
          </w:p>
        </w:tc>
        <w:tc>
          <w:tcPr>
            <w:tcW w:w="1101" w:type="dxa"/>
            <w:vAlign w:val="center"/>
          </w:tcPr>
          <w:p w:rsidRPr="009C48DA" w:rsidR="00661519" w:rsidP="00661519" w:rsidRDefault="00661519" w14:paraId="43552D5D" w14:textId="77777777">
            <w:pPr>
              <w:pBdr>
                <w:bottom w:val="double" w:color="auto" w:sz="12" w:space="1"/>
              </w:pBdr>
              <w:spacing w:before="60"/>
              <w:jc w:val="right"/>
              <w:rPr>
                <w:sz w:val="16"/>
                <w:szCs w:val="16"/>
                <w:lang w:val="en-GB"/>
              </w:rPr>
            </w:pPr>
            <w:r w:rsidRPr="009C48DA">
              <w:rPr>
                <w:sz w:val="16"/>
                <w:szCs w:val="16"/>
                <w:lang w:val="en-GB"/>
              </w:rPr>
              <w:t>27,751</w:t>
            </w:r>
          </w:p>
        </w:tc>
      </w:tr>
    </w:tbl>
    <w:p w:rsidRPr="009C48DA" w:rsidR="00661519" w:rsidP="00661519" w:rsidRDefault="00661519" w14:paraId="433929FE" w14:textId="77777777">
      <w:pPr>
        <w:jc w:val="both"/>
        <w:textAlignment w:val="baseline"/>
        <w:rPr>
          <w:rFonts w:eastAsia="Times New Roman" w:cs="Times New Roman"/>
          <w:color w:val="000000"/>
          <w:sz w:val="16"/>
          <w:szCs w:val="22"/>
          <w:lang w:val="en-GB"/>
        </w:rPr>
      </w:pPr>
    </w:p>
    <w:p w:rsidRPr="009C48DA" w:rsidR="00661519" w:rsidP="00661519" w:rsidRDefault="00661519" w14:paraId="030CCAFF" w14:textId="4C2B9D18">
      <w:pPr>
        <w:jc w:val="both"/>
        <w:textAlignment w:val="baseline"/>
        <w:rPr>
          <w:rFonts w:eastAsia="Times New Roman"/>
          <w:color w:val="000000"/>
          <w:sz w:val="16"/>
          <w:lang w:val="en-GB"/>
        </w:rPr>
      </w:pPr>
      <w:r w:rsidRPr="009C48DA">
        <w:rPr>
          <w:rFonts w:eastAsia="Times New Roman"/>
          <w:color w:val="000000"/>
          <w:sz w:val="16"/>
          <w:lang w:val="en-GB"/>
        </w:rPr>
        <w:t xml:space="preserve">The costs in 2018 include one-off bonuses payable of £11.8m following the group reconstruction and admission of a third party investor into </w:t>
      </w:r>
      <w:r w:rsidRPr="00CD2359" w:rsidR="00CD2359">
        <w:rPr>
          <w:rFonts w:eastAsia="Times New Roman"/>
          <w:color w:val="000000"/>
          <w:sz w:val="16"/>
          <w:lang w:val="en-GB"/>
        </w:rPr>
        <w:t>Bridgepoint Group Holdings Limited</w:t>
      </w:r>
      <w:r w:rsidRPr="009C48DA">
        <w:rPr>
          <w:rFonts w:eastAsia="Times New Roman"/>
          <w:color w:val="000000"/>
          <w:sz w:val="16"/>
          <w:lang w:val="en-GB"/>
        </w:rPr>
        <w:t xml:space="preserve"> (see note 8 for further detail).</w:t>
      </w:r>
    </w:p>
    <w:p w:rsidRPr="009C48DA" w:rsidR="00661519" w:rsidP="00661519" w:rsidRDefault="00661519" w14:paraId="1CD44453" w14:textId="77777777">
      <w:pPr>
        <w:jc w:val="both"/>
        <w:textAlignment w:val="baseline"/>
        <w:rPr>
          <w:rFonts w:eastAsia="Times New Roman" w:cs="Times New Roman"/>
          <w:color w:val="000000"/>
          <w:sz w:val="16"/>
          <w:szCs w:val="22"/>
          <w:lang w:val="en-GB"/>
        </w:rPr>
      </w:pPr>
    </w:p>
    <w:p w:rsidRPr="009C48DA" w:rsidR="00661519" w:rsidP="00661519" w:rsidRDefault="00661519" w14:paraId="164DD3A9"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Group operates a defined contributions pension scheme for its directors and employees. The assets of the scheme are held separately </w:t>
      </w:r>
      <w:r w:rsidRPr="009C48DA">
        <w:rPr>
          <w:rFonts w:eastAsia="Times New Roman" w:cs="Times New Roman"/>
          <w:color w:val="000000"/>
          <w:sz w:val="16"/>
          <w:szCs w:val="22"/>
          <w:lang w:val="en-GB"/>
        </w:rPr>
        <w:br/>
        <w:t xml:space="preserve">from those of the Group in an independently administered fund. The scheme is a non-contributory scheme but does permit employee </w:t>
      </w:r>
      <w:r w:rsidRPr="009C48DA">
        <w:rPr>
          <w:rFonts w:eastAsia="Times New Roman" w:cs="Times New Roman"/>
          <w:color w:val="000000"/>
          <w:sz w:val="16"/>
          <w:szCs w:val="22"/>
          <w:lang w:val="en-GB"/>
        </w:rPr>
        <w:br/>
        <w:t>contributions. The pension cost charge for the year has been shown as part of the employee costs above.</w:t>
      </w:r>
    </w:p>
    <w:p w:rsidRPr="009C48DA" w:rsidR="00661519" w:rsidP="00661519" w:rsidRDefault="00661519" w14:paraId="42BDCB04" w14:textId="77777777">
      <w:pPr>
        <w:spacing w:before="182" w:line="187" w:lineRule="exact"/>
        <w:textAlignment w:val="baseline"/>
        <w:rPr>
          <w:rFonts w:eastAsia="Times New Roman"/>
          <w:color w:val="000000"/>
          <w:sz w:val="16"/>
          <w:lang w:val="en-GB"/>
        </w:rPr>
      </w:pPr>
      <w:r w:rsidRPr="009C48DA">
        <w:rPr>
          <w:rFonts w:eastAsia="Times New Roman"/>
          <w:color w:val="000000"/>
          <w:sz w:val="16"/>
          <w:lang w:val="en-GB"/>
        </w:rPr>
        <w:t>Other employee costs include insurance, healthcare, training and recruitment costs.</w:t>
      </w:r>
    </w:p>
    <w:p w:rsidRPr="009C48DA" w:rsidR="00661519" w:rsidP="00661519" w:rsidRDefault="00661519" w14:paraId="06224361" w14:textId="77777777">
      <w:pPr>
        <w:spacing w:before="188" w:line="182" w:lineRule="exact"/>
        <w:jc w:val="both"/>
        <w:textAlignment w:val="baseline"/>
        <w:rPr>
          <w:rFonts w:eastAsia="Times New Roman"/>
          <w:color w:val="000000"/>
          <w:sz w:val="16"/>
          <w:lang w:val="en-GB"/>
        </w:rPr>
      </w:pPr>
      <w:r w:rsidRPr="009C48DA">
        <w:rPr>
          <w:rFonts w:eastAsia="Times New Roman"/>
          <w:color w:val="000000"/>
          <w:sz w:val="16"/>
          <w:lang w:val="en-GB"/>
        </w:rPr>
        <w:t xml:space="preserve">Certain employees, former employees (including directors), and other participants, invest in CIPs and are entitled to carried interest from the underlying funds managed by the Group. The carried interest represents an investment requiring the participants to put their own capital at </w:t>
      </w:r>
    </w:p>
    <w:p w:rsidRPr="009C48DA" w:rsidR="00661519" w:rsidP="00661519" w:rsidRDefault="00661519" w14:paraId="6B7F9B6E" w14:textId="77777777">
      <w:pPr>
        <w:spacing w:line="182" w:lineRule="exact"/>
        <w:jc w:val="both"/>
        <w:textAlignment w:val="baseline"/>
        <w:rPr>
          <w:rFonts w:eastAsia="Times New Roman"/>
          <w:color w:val="000000"/>
          <w:sz w:val="16"/>
          <w:lang w:val="en-GB"/>
        </w:rPr>
      </w:pPr>
      <w:r w:rsidRPr="009C48DA">
        <w:rPr>
          <w:rFonts w:eastAsia="Times New Roman"/>
          <w:color w:val="000000"/>
          <w:sz w:val="16"/>
          <w:lang w:val="en-GB"/>
        </w:rPr>
        <w:t>risk and the participants who invest in these CIPs pay market value for their interests at the time of investment</w:t>
      </w:r>
    </w:p>
    <w:p w:rsidRPr="009C48DA" w:rsidR="00661519" w:rsidP="00661519" w:rsidRDefault="00661519" w14:paraId="197AB7D6" w14:textId="77777777">
      <w:pPr>
        <w:jc w:val="both"/>
        <w:textAlignment w:val="baseline"/>
        <w:rPr>
          <w:rFonts w:eastAsia="Times New Roman"/>
          <w:color w:val="000000"/>
          <w:sz w:val="16"/>
          <w:lang w:val="en-GB"/>
        </w:rPr>
      </w:pPr>
    </w:p>
    <w:p w:rsidRPr="009C48DA" w:rsidR="00661519" w:rsidP="00661519" w:rsidRDefault="00661519" w14:paraId="13EB3D60"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Amounts become payable to the carried interest participants over time if and when, specified performance targets are ultimately realised in cash by the funds and paid to the CIPs. The amounts paid to employees, former employees and other participants who had invested in the carried interest, aside from the Group, was £41m, £494m and £56m in each of the years ended 31 December 2020, 2019 and 2018. As the CIPs which are entitled to the carried interest are not consolidated, the amounts of carried interest paid to other participants are not included </w:t>
      </w:r>
    </w:p>
    <w:p w:rsidRPr="009C48DA" w:rsidR="00661519" w:rsidP="00661519" w:rsidRDefault="00661519" w14:paraId="429E3AEE" w14:textId="77777777">
      <w:pPr>
        <w:jc w:val="both"/>
        <w:textAlignment w:val="baseline"/>
        <w:rPr>
          <w:rFonts w:eastAsia="Times New Roman"/>
          <w:color w:val="000000"/>
          <w:sz w:val="16"/>
          <w:lang w:val="en-GB"/>
        </w:rPr>
      </w:pPr>
      <w:r w:rsidRPr="009C48DA">
        <w:rPr>
          <w:rFonts w:eastAsia="Times New Roman"/>
          <w:color w:val="000000"/>
          <w:sz w:val="16"/>
          <w:lang w:val="en-GB"/>
        </w:rPr>
        <w:t>within the Group’s Income Statement.</w:t>
      </w:r>
    </w:p>
    <w:p w:rsidRPr="009C48DA" w:rsidR="00661519" w:rsidP="00661519" w:rsidRDefault="00661519" w14:paraId="4B4798FF" w14:textId="77777777">
      <w:pPr>
        <w:rPr>
          <w:rFonts w:eastAsia="Times New Roman"/>
          <w:color w:val="000000"/>
          <w:sz w:val="16"/>
          <w:lang w:val="en-GB"/>
        </w:rPr>
      </w:pPr>
      <w:r w:rsidRPr="009C48DA">
        <w:rPr>
          <w:rFonts w:eastAsia="Times New Roman"/>
          <w:color w:val="000000"/>
          <w:sz w:val="16"/>
          <w:lang w:val="en-GB"/>
        </w:rPr>
        <w:br w:type="page"/>
      </w:r>
    </w:p>
    <w:p w:rsidRPr="009C48DA" w:rsidR="00661519" w:rsidP="00661519" w:rsidRDefault="00661519" w14:paraId="14C554FE" w14:textId="77777777">
      <w:pPr>
        <w:jc w:val="both"/>
        <w:textAlignment w:val="baseline"/>
        <w:rPr>
          <w:rFonts w:eastAsia="Times New Roman"/>
          <w:b/>
          <w:color w:val="000000"/>
          <w:sz w:val="16"/>
          <w:u w:val="single"/>
          <w:lang w:val="en-GB"/>
        </w:rPr>
      </w:pPr>
      <w:r w:rsidRPr="009C48DA">
        <w:rPr>
          <w:rFonts w:eastAsia="Times New Roman"/>
          <w:b/>
          <w:color w:val="000000"/>
          <w:sz w:val="16"/>
          <w:u w:val="single"/>
          <w:lang w:val="en-GB"/>
        </w:rPr>
        <w:lastRenderedPageBreak/>
        <w:t>Staff numbers</w:t>
      </w:r>
    </w:p>
    <w:p w:rsidRPr="009C48DA" w:rsidR="00661519" w:rsidP="00661519" w:rsidRDefault="00661519" w14:paraId="715A4C64" w14:textId="77777777">
      <w:pPr>
        <w:jc w:val="both"/>
        <w:textAlignment w:val="baseline"/>
        <w:rPr>
          <w:rFonts w:eastAsia="Times New Roman"/>
          <w:color w:val="000000"/>
          <w:sz w:val="16"/>
          <w:lang w:val="en-GB"/>
        </w:rPr>
      </w:pPr>
    </w:p>
    <w:p w:rsidRPr="009C48DA" w:rsidR="00661519" w:rsidP="00661519" w:rsidRDefault="00661519" w14:paraId="30319A68" w14:textId="77777777">
      <w:pPr>
        <w:jc w:val="both"/>
        <w:textAlignment w:val="baseline"/>
        <w:rPr>
          <w:rFonts w:eastAsia="Times New Roman"/>
          <w:color w:val="000000"/>
          <w:sz w:val="16"/>
          <w:lang w:val="en-GB"/>
        </w:rPr>
      </w:pPr>
      <w:r w:rsidRPr="009C48DA">
        <w:rPr>
          <w:rFonts w:eastAsia="Times New Roman"/>
          <w:color w:val="000000"/>
          <w:sz w:val="16"/>
          <w:lang w:val="en-GB"/>
        </w:rPr>
        <w:t>The monthly average number of persons, including directors, employed by the Group during the year split by geography was as follows:</w:t>
      </w:r>
    </w:p>
    <w:p w:rsidRPr="009C48DA" w:rsidR="00661519" w:rsidP="00661519" w:rsidRDefault="00661519" w14:paraId="79FD47D7" w14:textId="77777777">
      <w:pPr>
        <w:jc w:val="both"/>
        <w:textAlignment w:val="baseline"/>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2"/>
        <w:gridCol w:w="1134"/>
        <w:gridCol w:w="1134"/>
        <w:gridCol w:w="1134"/>
        <w:gridCol w:w="1134"/>
        <w:gridCol w:w="1101"/>
      </w:tblGrid>
      <w:tr w:rsidRPr="009C48DA" w:rsidR="00661519" w:rsidTr="00661519" w14:paraId="0A436782" w14:textId="77777777">
        <w:tc>
          <w:tcPr>
            <w:tcW w:w="3402" w:type="dxa"/>
            <w:vAlign w:val="bottom"/>
          </w:tcPr>
          <w:p w:rsidRPr="009C48DA" w:rsidR="00661519" w:rsidP="00661519" w:rsidRDefault="00661519" w14:paraId="04BA0EED" w14:textId="77777777">
            <w:pPr>
              <w:jc w:val="both"/>
              <w:textAlignment w:val="baseline"/>
              <w:rPr>
                <w:rFonts w:eastAsia="Times New Roman"/>
                <w:color w:val="000000"/>
                <w:sz w:val="16"/>
                <w:lang w:val="en-GB"/>
              </w:rPr>
            </w:pPr>
          </w:p>
        </w:tc>
        <w:tc>
          <w:tcPr>
            <w:tcW w:w="3402" w:type="dxa"/>
            <w:gridSpan w:val="3"/>
            <w:vAlign w:val="bottom"/>
          </w:tcPr>
          <w:p w:rsidRPr="009C48DA" w:rsidR="00661519" w:rsidP="00661519" w:rsidRDefault="00661519" w14:paraId="70DB4B79"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Year ended 31 December</w:t>
            </w:r>
          </w:p>
        </w:tc>
        <w:tc>
          <w:tcPr>
            <w:tcW w:w="2235" w:type="dxa"/>
            <w:gridSpan w:val="2"/>
            <w:vAlign w:val="bottom"/>
          </w:tcPr>
          <w:p w:rsidRPr="009C48DA" w:rsidR="00661519" w:rsidP="00661519" w:rsidRDefault="00661519" w14:paraId="27EB55B2"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Three month period ended 31 March</w:t>
            </w:r>
          </w:p>
        </w:tc>
      </w:tr>
      <w:tr w:rsidRPr="009C48DA" w:rsidR="00661519" w:rsidTr="00661519" w14:paraId="0285F3D9" w14:textId="77777777">
        <w:tc>
          <w:tcPr>
            <w:tcW w:w="3402" w:type="dxa"/>
            <w:vAlign w:val="bottom"/>
          </w:tcPr>
          <w:p w:rsidRPr="009C48DA" w:rsidR="00661519" w:rsidP="00661519" w:rsidRDefault="00661519" w14:paraId="56E69189" w14:textId="77777777">
            <w:pPr>
              <w:jc w:val="both"/>
              <w:textAlignment w:val="baseline"/>
              <w:rPr>
                <w:rFonts w:eastAsia="Times New Roman"/>
                <w:color w:val="000000"/>
                <w:sz w:val="16"/>
                <w:lang w:val="en-GB"/>
              </w:rPr>
            </w:pPr>
          </w:p>
        </w:tc>
        <w:tc>
          <w:tcPr>
            <w:tcW w:w="1134" w:type="dxa"/>
            <w:vAlign w:val="bottom"/>
          </w:tcPr>
          <w:p w:rsidRPr="009C48DA" w:rsidR="00661519" w:rsidP="00661519" w:rsidRDefault="00661519" w14:paraId="666A0E28" w14:textId="77777777">
            <w:pPr>
              <w:jc w:val="right"/>
              <w:textAlignment w:val="baseline"/>
              <w:rPr>
                <w:rFonts w:eastAsia="Times New Roman"/>
                <w:b/>
                <w:color w:val="000000"/>
                <w:sz w:val="16"/>
                <w:lang w:val="en-GB"/>
              </w:rPr>
            </w:pPr>
          </w:p>
        </w:tc>
        <w:tc>
          <w:tcPr>
            <w:tcW w:w="1134" w:type="dxa"/>
            <w:vAlign w:val="bottom"/>
          </w:tcPr>
          <w:p w:rsidRPr="009C48DA" w:rsidR="00661519" w:rsidP="00661519" w:rsidRDefault="00661519" w14:paraId="0DAE0920" w14:textId="77777777">
            <w:pPr>
              <w:jc w:val="right"/>
              <w:textAlignment w:val="baseline"/>
              <w:rPr>
                <w:rFonts w:eastAsia="Times New Roman"/>
                <w:b/>
                <w:color w:val="000000"/>
                <w:sz w:val="16"/>
                <w:lang w:val="en-GB"/>
              </w:rPr>
            </w:pPr>
          </w:p>
        </w:tc>
        <w:tc>
          <w:tcPr>
            <w:tcW w:w="1134" w:type="dxa"/>
            <w:vAlign w:val="bottom"/>
          </w:tcPr>
          <w:p w:rsidRPr="009C48DA" w:rsidR="00661519" w:rsidP="00661519" w:rsidRDefault="00661519" w14:paraId="68A0B603" w14:textId="77777777">
            <w:pPr>
              <w:jc w:val="right"/>
              <w:textAlignment w:val="baseline"/>
              <w:rPr>
                <w:rFonts w:eastAsia="Times New Roman"/>
                <w:b/>
                <w:color w:val="000000"/>
                <w:sz w:val="16"/>
                <w:lang w:val="en-GB"/>
              </w:rPr>
            </w:pPr>
          </w:p>
        </w:tc>
        <w:tc>
          <w:tcPr>
            <w:tcW w:w="2235" w:type="dxa"/>
            <w:gridSpan w:val="2"/>
            <w:vAlign w:val="bottom"/>
          </w:tcPr>
          <w:p w:rsidRPr="009C48DA" w:rsidR="00661519" w:rsidP="00661519" w:rsidRDefault="00661519" w14:paraId="7873836D" w14:textId="77777777">
            <w:pPr>
              <w:textAlignment w:val="baseline"/>
              <w:rPr>
                <w:rFonts w:eastAsia="Times New Roman"/>
                <w:b/>
                <w:color w:val="000000"/>
                <w:sz w:val="16"/>
                <w:lang w:val="en-GB"/>
              </w:rPr>
            </w:pPr>
            <w:r w:rsidRPr="009C48DA">
              <w:rPr>
                <w:rFonts w:eastAsia="Times New Roman"/>
                <w:b/>
                <w:color w:val="000000"/>
                <w:sz w:val="16"/>
                <w:lang w:val="en-GB"/>
              </w:rPr>
              <w:t xml:space="preserve">    Unaudited</w:t>
            </w:r>
          </w:p>
        </w:tc>
      </w:tr>
      <w:tr w:rsidRPr="009C48DA" w:rsidR="00661519" w:rsidTr="00661519" w14:paraId="23914D83" w14:textId="77777777">
        <w:tc>
          <w:tcPr>
            <w:tcW w:w="3402" w:type="dxa"/>
            <w:vAlign w:val="bottom"/>
          </w:tcPr>
          <w:p w:rsidRPr="009C48DA" w:rsidR="00661519" w:rsidP="00661519" w:rsidRDefault="00661519" w14:paraId="67E87A10" w14:textId="77777777">
            <w:pPr>
              <w:jc w:val="both"/>
              <w:textAlignment w:val="baseline"/>
              <w:rPr>
                <w:rFonts w:eastAsia="Times New Roman"/>
                <w:color w:val="000000"/>
                <w:sz w:val="14"/>
                <w:lang w:val="en-GB"/>
              </w:rPr>
            </w:pPr>
          </w:p>
        </w:tc>
        <w:tc>
          <w:tcPr>
            <w:tcW w:w="1134" w:type="dxa"/>
            <w:vAlign w:val="bottom"/>
          </w:tcPr>
          <w:p w:rsidRPr="009C48DA" w:rsidR="00661519" w:rsidP="00661519" w:rsidRDefault="00661519" w14:paraId="5C9F946D" w14:textId="77777777">
            <w:pPr>
              <w:jc w:val="right"/>
              <w:textAlignment w:val="baseline"/>
              <w:rPr>
                <w:rFonts w:eastAsia="Times New Roman"/>
                <w:b/>
                <w:color w:val="000000"/>
                <w:sz w:val="14"/>
                <w:lang w:val="en-GB"/>
              </w:rPr>
            </w:pPr>
            <w:r w:rsidRPr="009C48DA">
              <w:rPr>
                <w:rFonts w:eastAsia="Times New Roman"/>
                <w:b/>
                <w:color w:val="000000"/>
                <w:sz w:val="14"/>
                <w:lang w:val="en-GB"/>
              </w:rPr>
              <w:t>2018</w:t>
            </w:r>
          </w:p>
          <w:p w:rsidRPr="009C48DA" w:rsidR="00661519" w:rsidP="00661519" w:rsidRDefault="00661519" w14:paraId="710DF78E" w14:textId="77777777">
            <w:pPr>
              <w:jc w:val="right"/>
              <w:textAlignment w:val="baseline"/>
              <w:rPr>
                <w:rFonts w:eastAsia="Times New Roman"/>
                <w:color w:val="000000"/>
                <w:sz w:val="14"/>
                <w:lang w:val="en-GB"/>
              </w:rPr>
            </w:pPr>
            <w:r w:rsidRPr="009C48DA">
              <w:rPr>
                <w:rFonts w:eastAsia="Times New Roman"/>
                <w:b/>
                <w:color w:val="000000"/>
                <w:sz w:val="14"/>
                <w:lang w:val="en-GB"/>
              </w:rPr>
              <w:t>No.</w:t>
            </w:r>
          </w:p>
        </w:tc>
        <w:tc>
          <w:tcPr>
            <w:tcW w:w="1134" w:type="dxa"/>
            <w:vAlign w:val="bottom"/>
          </w:tcPr>
          <w:p w:rsidRPr="009C48DA" w:rsidR="00661519" w:rsidP="00661519" w:rsidRDefault="00661519" w14:paraId="3FDEFA3F" w14:textId="77777777">
            <w:pPr>
              <w:jc w:val="right"/>
              <w:textAlignment w:val="baseline"/>
              <w:rPr>
                <w:rFonts w:eastAsia="Times New Roman"/>
                <w:b/>
                <w:color w:val="000000"/>
                <w:sz w:val="14"/>
                <w:lang w:val="en-GB"/>
              </w:rPr>
            </w:pPr>
            <w:r w:rsidRPr="009C48DA">
              <w:rPr>
                <w:rFonts w:eastAsia="Times New Roman"/>
                <w:b/>
                <w:color w:val="000000"/>
                <w:sz w:val="14"/>
                <w:lang w:val="en-GB"/>
              </w:rPr>
              <w:t>2019</w:t>
            </w:r>
          </w:p>
          <w:p w:rsidRPr="009C48DA" w:rsidR="00661519" w:rsidP="00661519" w:rsidRDefault="00661519" w14:paraId="68331FDF" w14:textId="77777777">
            <w:pPr>
              <w:jc w:val="right"/>
              <w:textAlignment w:val="baseline"/>
              <w:rPr>
                <w:rFonts w:eastAsia="Times New Roman"/>
                <w:color w:val="000000"/>
                <w:sz w:val="14"/>
                <w:lang w:val="en-GB"/>
              </w:rPr>
            </w:pPr>
            <w:r w:rsidRPr="009C48DA">
              <w:rPr>
                <w:rFonts w:eastAsia="Times New Roman"/>
                <w:b/>
                <w:color w:val="000000"/>
                <w:sz w:val="14"/>
                <w:lang w:val="en-GB"/>
              </w:rPr>
              <w:t>No.</w:t>
            </w:r>
          </w:p>
        </w:tc>
        <w:tc>
          <w:tcPr>
            <w:tcW w:w="1134" w:type="dxa"/>
            <w:vAlign w:val="bottom"/>
          </w:tcPr>
          <w:p w:rsidRPr="009C48DA" w:rsidR="00661519" w:rsidP="00661519" w:rsidRDefault="00661519" w14:paraId="0C5A97D0" w14:textId="77777777">
            <w:pPr>
              <w:jc w:val="right"/>
              <w:textAlignment w:val="baseline"/>
              <w:rPr>
                <w:rFonts w:eastAsia="Times New Roman"/>
                <w:b/>
                <w:color w:val="000000"/>
                <w:sz w:val="14"/>
                <w:lang w:val="en-GB"/>
              </w:rPr>
            </w:pPr>
            <w:r w:rsidRPr="009C48DA">
              <w:rPr>
                <w:rFonts w:eastAsia="Times New Roman"/>
                <w:b/>
                <w:color w:val="000000"/>
                <w:sz w:val="14"/>
                <w:lang w:val="en-GB"/>
              </w:rPr>
              <w:t>2020</w:t>
            </w:r>
          </w:p>
          <w:p w:rsidRPr="009C48DA" w:rsidR="00661519" w:rsidP="00661519" w:rsidRDefault="00661519" w14:paraId="0A7ECC53" w14:textId="77777777">
            <w:pPr>
              <w:jc w:val="right"/>
              <w:textAlignment w:val="baseline"/>
              <w:rPr>
                <w:rFonts w:eastAsia="Times New Roman"/>
                <w:color w:val="000000"/>
                <w:sz w:val="14"/>
                <w:lang w:val="en-GB"/>
              </w:rPr>
            </w:pPr>
            <w:r w:rsidRPr="009C48DA">
              <w:rPr>
                <w:rFonts w:eastAsia="Times New Roman"/>
                <w:b/>
                <w:color w:val="000000"/>
                <w:sz w:val="14"/>
                <w:lang w:val="en-GB"/>
              </w:rPr>
              <w:t>No.</w:t>
            </w:r>
          </w:p>
        </w:tc>
        <w:tc>
          <w:tcPr>
            <w:tcW w:w="1134" w:type="dxa"/>
            <w:vAlign w:val="bottom"/>
          </w:tcPr>
          <w:p w:rsidRPr="009C48DA" w:rsidR="00661519" w:rsidP="00661519" w:rsidRDefault="00661519" w14:paraId="3D7143C0" w14:textId="77777777">
            <w:pPr>
              <w:jc w:val="right"/>
              <w:textAlignment w:val="baseline"/>
              <w:rPr>
                <w:rFonts w:eastAsia="Times New Roman"/>
                <w:b/>
                <w:color w:val="000000"/>
                <w:sz w:val="14"/>
                <w:lang w:val="en-GB"/>
              </w:rPr>
            </w:pPr>
            <w:r w:rsidRPr="009C48DA">
              <w:rPr>
                <w:rFonts w:eastAsia="Times New Roman"/>
                <w:b/>
                <w:color w:val="000000"/>
                <w:sz w:val="14"/>
                <w:lang w:val="en-GB"/>
              </w:rPr>
              <w:t>2020</w:t>
            </w:r>
          </w:p>
          <w:p w:rsidRPr="009C48DA" w:rsidR="00661519" w:rsidP="00661519" w:rsidRDefault="00661519" w14:paraId="3D40EE0C" w14:textId="77777777">
            <w:pPr>
              <w:jc w:val="right"/>
              <w:textAlignment w:val="baseline"/>
              <w:rPr>
                <w:rFonts w:eastAsia="Times New Roman"/>
                <w:color w:val="000000"/>
                <w:sz w:val="14"/>
                <w:lang w:val="en-GB"/>
              </w:rPr>
            </w:pPr>
            <w:r w:rsidRPr="009C48DA">
              <w:rPr>
                <w:rFonts w:eastAsia="Times New Roman"/>
                <w:b/>
                <w:color w:val="000000"/>
                <w:sz w:val="14"/>
                <w:lang w:val="en-GB"/>
              </w:rPr>
              <w:t>No.</w:t>
            </w:r>
          </w:p>
        </w:tc>
        <w:tc>
          <w:tcPr>
            <w:tcW w:w="1101" w:type="dxa"/>
            <w:vAlign w:val="bottom"/>
          </w:tcPr>
          <w:p w:rsidRPr="009C48DA" w:rsidR="00661519" w:rsidP="00661519" w:rsidRDefault="00661519" w14:paraId="7EF91F44"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36317CE6" w14:textId="77777777">
            <w:pPr>
              <w:jc w:val="right"/>
              <w:textAlignment w:val="baseline"/>
              <w:rPr>
                <w:rFonts w:eastAsia="Times New Roman"/>
                <w:color w:val="000000"/>
                <w:sz w:val="16"/>
                <w:lang w:val="en-GB"/>
              </w:rPr>
            </w:pPr>
            <w:r w:rsidRPr="009C48DA">
              <w:rPr>
                <w:rFonts w:eastAsia="Times New Roman"/>
                <w:b/>
                <w:color w:val="000000"/>
                <w:sz w:val="16"/>
                <w:lang w:val="en-GB"/>
              </w:rPr>
              <w:t>No.</w:t>
            </w:r>
          </w:p>
        </w:tc>
      </w:tr>
      <w:tr w:rsidRPr="009C48DA" w:rsidR="00661519" w:rsidTr="00661519" w14:paraId="5733D975" w14:textId="77777777">
        <w:tc>
          <w:tcPr>
            <w:tcW w:w="3402" w:type="dxa"/>
            <w:vAlign w:val="bottom"/>
          </w:tcPr>
          <w:p w:rsidRPr="009C48DA" w:rsidR="00661519" w:rsidP="00661519" w:rsidRDefault="00661519" w14:paraId="185758C8" w14:textId="77777777">
            <w:pPr>
              <w:spacing w:before="60"/>
              <w:jc w:val="both"/>
              <w:textAlignment w:val="baseline"/>
              <w:rPr>
                <w:rFonts w:eastAsia="Times New Roman"/>
                <w:color w:val="000000"/>
                <w:sz w:val="14"/>
                <w:lang w:val="en-GB"/>
              </w:rPr>
            </w:pPr>
            <w:r w:rsidRPr="009C48DA">
              <w:rPr>
                <w:rFonts w:eastAsia="Times New Roman"/>
                <w:color w:val="000000"/>
                <w:sz w:val="14"/>
                <w:lang w:val="en-GB"/>
              </w:rPr>
              <w:t>UK</w:t>
            </w:r>
          </w:p>
        </w:tc>
        <w:tc>
          <w:tcPr>
            <w:tcW w:w="1134" w:type="dxa"/>
            <w:vAlign w:val="bottom"/>
          </w:tcPr>
          <w:p w:rsidRPr="009C48DA" w:rsidR="00661519" w:rsidP="00661519" w:rsidRDefault="00661519" w14:paraId="69F5C15A" w14:textId="77777777">
            <w:pPr>
              <w:spacing w:before="60"/>
              <w:jc w:val="right"/>
              <w:textAlignment w:val="baseline"/>
              <w:rPr>
                <w:rFonts w:eastAsia="Times New Roman"/>
                <w:color w:val="000000"/>
                <w:sz w:val="14"/>
                <w:lang w:val="en-GB"/>
              </w:rPr>
            </w:pPr>
            <w:r w:rsidRPr="009C48DA">
              <w:rPr>
                <w:rFonts w:eastAsia="Times New Roman"/>
                <w:color w:val="000000"/>
                <w:sz w:val="14"/>
                <w:lang w:val="en-GB"/>
              </w:rPr>
              <w:t>143</w:t>
            </w:r>
          </w:p>
        </w:tc>
        <w:tc>
          <w:tcPr>
            <w:tcW w:w="1134" w:type="dxa"/>
            <w:vAlign w:val="bottom"/>
          </w:tcPr>
          <w:p w:rsidRPr="009C48DA" w:rsidR="00661519" w:rsidP="00661519" w:rsidRDefault="00661519" w14:paraId="14078B97" w14:textId="77777777">
            <w:pPr>
              <w:spacing w:before="60"/>
              <w:jc w:val="right"/>
              <w:textAlignment w:val="baseline"/>
              <w:rPr>
                <w:rFonts w:eastAsia="Times New Roman"/>
                <w:color w:val="000000"/>
                <w:sz w:val="14"/>
                <w:lang w:val="en-GB"/>
              </w:rPr>
            </w:pPr>
            <w:r w:rsidRPr="009C48DA">
              <w:rPr>
                <w:rFonts w:eastAsia="Times New Roman"/>
                <w:color w:val="000000"/>
                <w:sz w:val="14"/>
                <w:lang w:val="en-GB"/>
              </w:rPr>
              <w:t>159</w:t>
            </w:r>
          </w:p>
        </w:tc>
        <w:tc>
          <w:tcPr>
            <w:tcW w:w="1134" w:type="dxa"/>
            <w:vAlign w:val="bottom"/>
          </w:tcPr>
          <w:p w:rsidRPr="009C48DA" w:rsidR="00661519" w:rsidP="00661519" w:rsidRDefault="00661519" w14:paraId="0082D6EF" w14:textId="77777777">
            <w:pPr>
              <w:spacing w:before="60"/>
              <w:jc w:val="right"/>
              <w:textAlignment w:val="baseline"/>
              <w:rPr>
                <w:rFonts w:eastAsia="Times New Roman"/>
                <w:color w:val="000000"/>
                <w:sz w:val="14"/>
                <w:lang w:val="en-GB"/>
              </w:rPr>
            </w:pPr>
            <w:r w:rsidRPr="009C48DA">
              <w:rPr>
                <w:rFonts w:eastAsia="Times New Roman"/>
                <w:color w:val="000000"/>
                <w:sz w:val="14"/>
                <w:lang w:val="en-GB"/>
              </w:rPr>
              <w:t>171</w:t>
            </w:r>
          </w:p>
        </w:tc>
        <w:tc>
          <w:tcPr>
            <w:tcW w:w="1134" w:type="dxa"/>
            <w:vAlign w:val="center"/>
          </w:tcPr>
          <w:p w:rsidRPr="009C48DA" w:rsidR="00661519" w:rsidP="00661519" w:rsidRDefault="00661519" w14:paraId="367C2F58" w14:textId="77777777">
            <w:pPr>
              <w:spacing w:before="60"/>
              <w:jc w:val="right"/>
              <w:textAlignment w:val="baseline"/>
              <w:rPr>
                <w:rFonts w:eastAsia="Times New Roman"/>
                <w:color w:val="000000"/>
                <w:sz w:val="14"/>
                <w:lang w:val="en-GB"/>
              </w:rPr>
            </w:pPr>
            <w:r w:rsidRPr="009C48DA">
              <w:rPr>
                <w:rFonts w:eastAsia="Times New Roman"/>
                <w:color w:val="000000"/>
                <w:sz w:val="14"/>
                <w:lang w:val="en-GB"/>
              </w:rPr>
              <w:t>170</w:t>
            </w:r>
          </w:p>
        </w:tc>
        <w:tc>
          <w:tcPr>
            <w:tcW w:w="1101" w:type="dxa"/>
            <w:vAlign w:val="center"/>
          </w:tcPr>
          <w:p w:rsidRPr="009C48DA" w:rsidR="00661519" w:rsidP="00661519" w:rsidRDefault="00661519" w14:paraId="5531165D"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209</w:t>
            </w:r>
          </w:p>
        </w:tc>
      </w:tr>
      <w:tr w:rsidRPr="009C48DA" w:rsidR="00661519" w:rsidTr="00661519" w14:paraId="3AFD8899" w14:textId="77777777">
        <w:tc>
          <w:tcPr>
            <w:tcW w:w="3402" w:type="dxa"/>
            <w:vAlign w:val="bottom"/>
          </w:tcPr>
          <w:p w:rsidRPr="009C48DA" w:rsidR="00661519" w:rsidP="00661519" w:rsidRDefault="00661519" w14:paraId="7B2A3804"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Other staff</w:t>
            </w:r>
          </w:p>
        </w:tc>
        <w:tc>
          <w:tcPr>
            <w:tcW w:w="1134" w:type="dxa"/>
            <w:vAlign w:val="bottom"/>
          </w:tcPr>
          <w:p w:rsidRPr="009C48DA" w:rsidR="00661519" w:rsidP="00661519" w:rsidRDefault="00661519" w14:paraId="1DB3DB7B"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95</w:t>
            </w:r>
          </w:p>
        </w:tc>
        <w:tc>
          <w:tcPr>
            <w:tcW w:w="1134" w:type="dxa"/>
            <w:vAlign w:val="bottom"/>
          </w:tcPr>
          <w:p w:rsidRPr="009C48DA" w:rsidR="00661519" w:rsidP="00661519" w:rsidRDefault="00661519" w14:paraId="17F7B210"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121</w:t>
            </w:r>
          </w:p>
        </w:tc>
        <w:tc>
          <w:tcPr>
            <w:tcW w:w="1134" w:type="dxa"/>
            <w:vAlign w:val="bottom"/>
          </w:tcPr>
          <w:p w:rsidRPr="009C48DA" w:rsidR="00661519" w:rsidP="00661519" w:rsidRDefault="00661519" w14:paraId="1476C204"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145</w:t>
            </w:r>
          </w:p>
        </w:tc>
        <w:tc>
          <w:tcPr>
            <w:tcW w:w="1134" w:type="dxa"/>
            <w:vAlign w:val="center"/>
          </w:tcPr>
          <w:p w:rsidRPr="009C48DA" w:rsidR="00661519" w:rsidP="00661519" w:rsidRDefault="00661519" w14:paraId="2AFDE1C1"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132</w:t>
            </w:r>
          </w:p>
        </w:tc>
        <w:tc>
          <w:tcPr>
            <w:tcW w:w="1101" w:type="dxa"/>
            <w:vAlign w:val="center"/>
          </w:tcPr>
          <w:p w:rsidRPr="009C48DA" w:rsidR="00661519" w:rsidP="00661519" w:rsidRDefault="00661519" w14:paraId="68CA7BD5"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155</w:t>
            </w:r>
          </w:p>
        </w:tc>
      </w:tr>
      <w:tr w:rsidRPr="009C48DA" w:rsidR="00661519" w:rsidTr="00661519" w14:paraId="2A8622FA" w14:textId="77777777">
        <w:tc>
          <w:tcPr>
            <w:tcW w:w="3402" w:type="dxa"/>
            <w:vAlign w:val="bottom"/>
          </w:tcPr>
          <w:p w:rsidRPr="009C48DA" w:rsidR="00661519" w:rsidP="00661519" w:rsidRDefault="00661519" w14:paraId="2B6E36D7"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Total</w:t>
            </w:r>
          </w:p>
        </w:tc>
        <w:tc>
          <w:tcPr>
            <w:tcW w:w="1134" w:type="dxa"/>
            <w:vAlign w:val="bottom"/>
          </w:tcPr>
          <w:p w:rsidRPr="009C48DA" w:rsidR="00661519" w:rsidP="00661519" w:rsidRDefault="00661519" w14:paraId="3E3AA71A"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238</w:t>
            </w:r>
          </w:p>
        </w:tc>
        <w:tc>
          <w:tcPr>
            <w:tcW w:w="1134" w:type="dxa"/>
            <w:vAlign w:val="bottom"/>
          </w:tcPr>
          <w:p w:rsidRPr="009C48DA" w:rsidR="00661519" w:rsidP="00661519" w:rsidRDefault="00661519" w14:paraId="6B2977D8"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280</w:t>
            </w:r>
          </w:p>
        </w:tc>
        <w:tc>
          <w:tcPr>
            <w:tcW w:w="1134" w:type="dxa"/>
            <w:vAlign w:val="bottom"/>
          </w:tcPr>
          <w:p w:rsidRPr="009C48DA" w:rsidR="00661519" w:rsidP="00661519" w:rsidRDefault="00661519" w14:paraId="30E78CC9"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316</w:t>
            </w:r>
          </w:p>
        </w:tc>
        <w:tc>
          <w:tcPr>
            <w:tcW w:w="1134" w:type="dxa"/>
            <w:vAlign w:val="center"/>
          </w:tcPr>
          <w:p w:rsidRPr="009C48DA" w:rsidR="00661519" w:rsidP="00661519" w:rsidRDefault="00661519" w14:paraId="3E10C37A"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302</w:t>
            </w:r>
          </w:p>
        </w:tc>
        <w:tc>
          <w:tcPr>
            <w:tcW w:w="1101" w:type="dxa"/>
            <w:vAlign w:val="center"/>
          </w:tcPr>
          <w:p w:rsidRPr="009C48DA" w:rsidR="00661519" w:rsidP="00661519" w:rsidRDefault="00661519" w14:paraId="2427EB99"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364</w:t>
            </w:r>
          </w:p>
        </w:tc>
      </w:tr>
    </w:tbl>
    <w:p w:rsidRPr="009C48DA" w:rsidR="00661519" w:rsidP="00661519" w:rsidRDefault="00661519" w14:paraId="76F894DA" w14:textId="77777777">
      <w:pPr>
        <w:jc w:val="both"/>
        <w:textAlignment w:val="baseline"/>
        <w:rPr>
          <w:rFonts w:eastAsia="Times New Roman" w:cs="Times New Roman"/>
          <w:color w:val="000000"/>
          <w:sz w:val="16"/>
          <w:szCs w:val="22"/>
          <w:lang w:val="en-GB"/>
        </w:rPr>
      </w:pPr>
    </w:p>
    <w:p w:rsidRPr="009C48DA" w:rsidR="00661519" w:rsidP="00661519" w:rsidRDefault="00661519" w14:paraId="39736CB3" w14:textId="77777777">
      <w:pPr>
        <w:jc w:val="both"/>
        <w:textAlignment w:val="baseline"/>
        <w:rPr>
          <w:rFonts w:eastAsia="Times New Roman" w:cs="Times New Roman"/>
          <w:color w:val="000000"/>
          <w:sz w:val="16"/>
          <w:szCs w:val="22"/>
          <w:lang w:val="en-GB"/>
        </w:rPr>
      </w:pPr>
    </w:p>
    <w:p w:rsidRPr="009C48DA" w:rsidR="00661519" w:rsidP="00661519" w:rsidRDefault="00661519" w14:paraId="1C1DF276" w14:textId="77777777">
      <w:pPr>
        <w:jc w:val="both"/>
        <w:textAlignment w:val="baseline"/>
        <w:rPr>
          <w:rFonts w:eastAsia="Times New Roman" w:cs="Times New Roman"/>
          <w:color w:val="000000"/>
          <w:sz w:val="16"/>
          <w:szCs w:val="22"/>
          <w:lang w:val="en-GB"/>
        </w:rPr>
      </w:pPr>
      <w:r w:rsidRPr="009C48DA">
        <w:rPr>
          <w:rFonts w:eastAsia="Times New Roman" w:cs="Times New Roman"/>
          <w:b/>
          <w:color w:val="000000"/>
          <w:sz w:val="16"/>
          <w:szCs w:val="22"/>
          <w:lang w:val="en-GB"/>
        </w:rPr>
        <w:t>7</w:t>
      </w:r>
      <w:r w:rsidRPr="009C48DA">
        <w:rPr>
          <w:rFonts w:eastAsia="Times New Roman" w:cs="Times New Roman"/>
          <w:b/>
          <w:color w:val="000000"/>
          <w:sz w:val="16"/>
          <w:szCs w:val="22"/>
          <w:lang w:val="en-GB"/>
        </w:rPr>
        <w:tab/>
        <w:t>Other expenses</w:t>
      </w:r>
      <w:r w:rsidRPr="009C48DA">
        <w:rPr>
          <w:rFonts w:eastAsia="Times New Roman" w:cs="Times New Roman"/>
          <w:color w:val="000000"/>
          <w:sz w:val="16"/>
          <w:szCs w:val="22"/>
          <w:lang w:val="en-GB"/>
        </w:rPr>
        <w:t xml:space="preserve"> </w:t>
      </w:r>
    </w:p>
    <w:p w:rsidRPr="009C48DA" w:rsidR="00661519" w:rsidP="00661519" w:rsidRDefault="00661519" w14:paraId="43EB4DC4" w14:textId="77777777">
      <w:pPr>
        <w:jc w:val="both"/>
        <w:textAlignment w:val="baseline"/>
        <w:rPr>
          <w:rFonts w:eastAsia="Times New Roman" w:cs="Times New Roman"/>
          <w:color w:val="000000"/>
          <w:sz w:val="16"/>
          <w:szCs w:val="22"/>
          <w:lang w:val="en-GB"/>
        </w:rPr>
      </w:pPr>
    </w:p>
    <w:p w:rsidRPr="009C48DA" w:rsidR="00661519" w:rsidP="00661519" w:rsidRDefault="00661519" w14:paraId="35133B2F"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Other expenses include fees paid to the auditors for the audit and other fees for other services.</w:t>
      </w:r>
    </w:p>
    <w:p w:rsidRPr="009C48DA" w:rsidR="00661519" w:rsidP="00661519" w:rsidRDefault="00661519" w14:paraId="3DD251E4" w14:textId="77777777">
      <w:pPr>
        <w:jc w:val="both"/>
        <w:textAlignment w:val="baseline"/>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2"/>
        <w:gridCol w:w="1134"/>
        <w:gridCol w:w="1134"/>
        <w:gridCol w:w="1134"/>
        <w:gridCol w:w="1134"/>
        <w:gridCol w:w="1101"/>
      </w:tblGrid>
      <w:tr w:rsidRPr="009C48DA" w:rsidR="00661519" w:rsidTr="00661519" w14:paraId="68173FC6" w14:textId="77777777">
        <w:tc>
          <w:tcPr>
            <w:tcW w:w="3402" w:type="dxa"/>
            <w:vAlign w:val="bottom"/>
          </w:tcPr>
          <w:p w:rsidRPr="009C48DA" w:rsidR="00661519" w:rsidP="00661519" w:rsidRDefault="00661519" w14:paraId="489C6D2C" w14:textId="77777777">
            <w:pPr>
              <w:jc w:val="both"/>
              <w:textAlignment w:val="baseline"/>
              <w:rPr>
                <w:rFonts w:eastAsia="Times New Roman"/>
                <w:color w:val="000000"/>
                <w:sz w:val="16"/>
                <w:lang w:val="en-GB"/>
              </w:rPr>
            </w:pPr>
          </w:p>
        </w:tc>
        <w:tc>
          <w:tcPr>
            <w:tcW w:w="3402" w:type="dxa"/>
            <w:gridSpan w:val="3"/>
            <w:vAlign w:val="bottom"/>
          </w:tcPr>
          <w:p w:rsidRPr="009C48DA" w:rsidR="00661519" w:rsidP="00661519" w:rsidRDefault="00661519" w14:paraId="3415068E"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Year ended 31 December</w:t>
            </w:r>
          </w:p>
        </w:tc>
        <w:tc>
          <w:tcPr>
            <w:tcW w:w="2235" w:type="dxa"/>
            <w:gridSpan w:val="2"/>
            <w:vAlign w:val="bottom"/>
          </w:tcPr>
          <w:p w:rsidRPr="009C48DA" w:rsidR="00661519" w:rsidP="00661519" w:rsidRDefault="00661519" w14:paraId="25A939B3"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Three month period ended 31 March</w:t>
            </w:r>
          </w:p>
        </w:tc>
      </w:tr>
      <w:tr w:rsidRPr="009C48DA" w:rsidR="00661519" w:rsidTr="00661519" w14:paraId="541470A5" w14:textId="77777777">
        <w:tc>
          <w:tcPr>
            <w:tcW w:w="3402" w:type="dxa"/>
            <w:vAlign w:val="bottom"/>
          </w:tcPr>
          <w:p w:rsidRPr="009C48DA" w:rsidR="00661519" w:rsidP="00661519" w:rsidRDefault="00661519" w14:paraId="5EF66E29" w14:textId="77777777">
            <w:pPr>
              <w:jc w:val="both"/>
              <w:textAlignment w:val="baseline"/>
              <w:rPr>
                <w:rFonts w:eastAsia="Times New Roman"/>
                <w:color w:val="000000"/>
                <w:sz w:val="16"/>
                <w:lang w:val="en-GB"/>
              </w:rPr>
            </w:pPr>
          </w:p>
        </w:tc>
        <w:tc>
          <w:tcPr>
            <w:tcW w:w="1134" w:type="dxa"/>
            <w:vAlign w:val="bottom"/>
          </w:tcPr>
          <w:p w:rsidRPr="009C48DA" w:rsidR="00661519" w:rsidP="00661519" w:rsidRDefault="00661519" w14:paraId="2EED15EE" w14:textId="77777777">
            <w:pPr>
              <w:jc w:val="right"/>
              <w:textAlignment w:val="baseline"/>
              <w:rPr>
                <w:rFonts w:eastAsia="Times New Roman"/>
                <w:b/>
                <w:color w:val="000000"/>
                <w:sz w:val="16"/>
                <w:lang w:val="en-GB"/>
              </w:rPr>
            </w:pPr>
          </w:p>
        </w:tc>
        <w:tc>
          <w:tcPr>
            <w:tcW w:w="1134" w:type="dxa"/>
            <w:vAlign w:val="bottom"/>
          </w:tcPr>
          <w:p w:rsidRPr="009C48DA" w:rsidR="00661519" w:rsidP="00661519" w:rsidRDefault="00661519" w14:paraId="586F08AD" w14:textId="77777777">
            <w:pPr>
              <w:jc w:val="right"/>
              <w:textAlignment w:val="baseline"/>
              <w:rPr>
                <w:rFonts w:eastAsia="Times New Roman"/>
                <w:b/>
                <w:color w:val="000000"/>
                <w:sz w:val="16"/>
                <w:lang w:val="en-GB"/>
              </w:rPr>
            </w:pPr>
          </w:p>
        </w:tc>
        <w:tc>
          <w:tcPr>
            <w:tcW w:w="1134" w:type="dxa"/>
            <w:vAlign w:val="bottom"/>
          </w:tcPr>
          <w:p w:rsidRPr="009C48DA" w:rsidR="00661519" w:rsidP="00661519" w:rsidRDefault="00661519" w14:paraId="36ACBE0C" w14:textId="77777777">
            <w:pPr>
              <w:jc w:val="right"/>
              <w:textAlignment w:val="baseline"/>
              <w:rPr>
                <w:rFonts w:eastAsia="Times New Roman"/>
                <w:b/>
                <w:color w:val="000000"/>
                <w:sz w:val="16"/>
                <w:lang w:val="en-GB"/>
              </w:rPr>
            </w:pPr>
          </w:p>
        </w:tc>
        <w:tc>
          <w:tcPr>
            <w:tcW w:w="2235" w:type="dxa"/>
            <w:gridSpan w:val="2"/>
            <w:vAlign w:val="bottom"/>
          </w:tcPr>
          <w:p w:rsidRPr="009C48DA" w:rsidR="00661519" w:rsidP="00661519" w:rsidRDefault="00661519" w14:paraId="1C03AD1A" w14:textId="77777777">
            <w:pPr>
              <w:textAlignment w:val="baseline"/>
              <w:rPr>
                <w:rFonts w:eastAsia="Times New Roman"/>
                <w:b/>
                <w:color w:val="000000"/>
                <w:sz w:val="16"/>
                <w:lang w:val="en-GB"/>
              </w:rPr>
            </w:pPr>
            <w:r w:rsidRPr="009C48DA">
              <w:rPr>
                <w:rFonts w:eastAsia="Times New Roman"/>
                <w:b/>
                <w:color w:val="000000"/>
                <w:sz w:val="16"/>
                <w:lang w:val="en-GB"/>
              </w:rPr>
              <w:t xml:space="preserve">    Unaudited</w:t>
            </w:r>
          </w:p>
        </w:tc>
      </w:tr>
      <w:tr w:rsidRPr="009C48DA" w:rsidR="00661519" w:rsidTr="00661519" w14:paraId="17732EEB" w14:textId="77777777">
        <w:tc>
          <w:tcPr>
            <w:tcW w:w="3402" w:type="dxa"/>
            <w:vAlign w:val="bottom"/>
          </w:tcPr>
          <w:p w:rsidRPr="009C48DA" w:rsidR="00661519" w:rsidP="00661519" w:rsidRDefault="00661519" w14:paraId="2F325E9B" w14:textId="77777777">
            <w:pPr>
              <w:jc w:val="both"/>
              <w:textAlignment w:val="baseline"/>
              <w:rPr>
                <w:rFonts w:eastAsia="Times New Roman"/>
                <w:color w:val="000000"/>
                <w:sz w:val="16"/>
                <w:lang w:val="en-GB"/>
              </w:rPr>
            </w:pPr>
          </w:p>
        </w:tc>
        <w:tc>
          <w:tcPr>
            <w:tcW w:w="1134" w:type="dxa"/>
            <w:vAlign w:val="bottom"/>
          </w:tcPr>
          <w:p w:rsidRPr="009C48DA" w:rsidR="00661519" w:rsidP="00661519" w:rsidRDefault="00661519" w14:paraId="3A643308"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310681C4"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61ACF718"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43904B14"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119D25AB"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54BADE12"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1FE64749"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604980D4"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01" w:type="dxa"/>
            <w:vAlign w:val="bottom"/>
          </w:tcPr>
          <w:p w:rsidRPr="009C48DA" w:rsidR="00661519" w:rsidP="00661519" w:rsidRDefault="00661519" w14:paraId="7EE01F87"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77266810"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77670AF6" w14:textId="77777777">
        <w:tc>
          <w:tcPr>
            <w:tcW w:w="3402" w:type="dxa"/>
            <w:vAlign w:val="bottom"/>
          </w:tcPr>
          <w:p w:rsidRPr="009C48DA" w:rsidR="00661519" w:rsidP="00661519" w:rsidRDefault="00661519" w14:paraId="38DB9FA6" w14:textId="77777777">
            <w:pPr>
              <w:spacing w:before="60"/>
              <w:jc w:val="both"/>
              <w:textAlignment w:val="baseline"/>
              <w:rPr>
                <w:rFonts w:eastAsia="Times New Roman"/>
                <w:b/>
                <w:color w:val="000000"/>
                <w:sz w:val="16"/>
                <w:lang w:val="en-GB"/>
              </w:rPr>
            </w:pPr>
            <w:r w:rsidRPr="009C48DA">
              <w:rPr>
                <w:rFonts w:eastAsia="Times New Roman"/>
                <w:b/>
                <w:color w:val="000000"/>
                <w:sz w:val="16"/>
                <w:lang w:val="en-GB"/>
              </w:rPr>
              <w:t>Audit fees</w:t>
            </w:r>
          </w:p>
        </w:tc>
        <w:tc>
          <w:tcPr>
            <w:tcW w:w="1134" w:type="dxa"/>
            <w:vAlign w:val="bottom"/>
          </w:tcPr>
          <w:p w:rsidRPr="009C48DA" w:rsidR="00661519" w:rsidP="00661519" w:rsidRDefault="00661519" w14:paraId="5C887892" w14:textId="77777777">
            <w:pPr>
              <w:spacing w:before="60"/>
              <w:jc w:val="right"/>
              <w:textAlignment w:val="baseline"/>
              <w:rPr>
                <w:rFonts w:eastAsia="Times New Roman"/>
                <w:color w:val="000000"/>
                <w:sz w:val="16"/>
                <w:lang w:val="en-GB"/>
              </w:rPr>
            </w:pPr>
          </w:p>
        </w:tc>
        <w:tc>
          <w:tcPr>
            <w:tcW w:w="1134" w:type="dxa"/>
            <w:vAlign w:val="bottom"/>
          </w:tcPr>
          <w:p w:rsidRPr="009C48DA" w:rsidR="00661519" w:rsidP="00661519" w:rsidRDefault="00661519" w14:paraId="7A866E00" w14:textId="77777777">
            <w:pPr>
              <w:spacing w:before="60"/>
              <w:jc w:val="right"/>
              <w:textAlignment w:val="baseline"/>
              <w:rPr>
                <w:rFonts w:eastAsia="Times New Roman"/>
                <w:color w:val="000000"/>
                <w:sz w:val="16"/>
                <w:lang w:val="en-GB"/>
              </w:rPr>
            </w:pPr>
          </w:p>
        </w:tc>
        <w:tc>
          <w:tcPr>
            <w:tcW w:w="1134" w:type="dxa"/>
            <w:vAlign w:val="bottom"/>
          </w:tcPr>
          <w:p w:rsidRPr="009C48DA" w:rsidR="00661519" w:rsidP="00661519" w:rsidRDefault="00661519" w14:paraId="1236E499" w14:textId="77777777">
            <w:pPr>
              <w:spacing w:before="60"/>
              <w:jc w:val="right"/>
              <w:textAlignment w:val="baseline"/>
              <w:rPr>
                <w:rFonts w:eastAsia="Times New Roman"/>
                <w:color w:val="000000"/>
                <w:sz w:val="16"/>
                <w:lang w:val="en-GB"/>
              </w:rPr>
            </w:pPr>
          </w:p>
        </w:tc>
        <w:tc>
          <w:tcPr>
            <w:tcW w:w="1134" w:type="dxa"/>
            <w:vAlign w:val="bottom"/>
          </w:tcPr>
          <w:p w:rsidRPr="009C48DA" w:rsidR="00661519" w:rsidP="00661519" w:rsidRDefault="00661519" w14:paraId="5EEC78F4" w14:textId="77777777">
            <w:pPr>
              <w:spacing w:before="60"/>
              <w:jc w:val="right"/>
              <w:textAlignment w:val="baseline"/>
              <w:rPr>
                <w:rFonts w:eastAsia="Times New Roman"/>
                <w:color w:val="000000"/>
                <w:sz w:val="16"/>
                <w:lang w:val="en-GB"/>
              </w:rPr>
            </w:pPr>
          </w:p>
        </w:tc>
        <w:tc>
          <w:tcPr>
            <w:tcW w:w="1101" w:type="dxa"/>
            <w:vAlign w:val="bottom"/>
          </w:tcPr>
          <w:p w:rsidRPr="009C48DA" w:rsidR="00661519" w:rsidP="00661519" w:rsidRDefault="00661519" w14:paraId="30E90B66" w14:textId="77777777">
            <w:pPr>
              <w:spacing w:before="60"/>
              <w:jc w:val="right"/>
              <w:textAlignment w:val="baseline"/>
              <w:rPr>
                <w:rFonts w:eastAsia="Times New Roman"/>
                <w:color w:val="000000"/>
                <w:sz w:val="16"/>
                <w:lang w:val="en-GB"/>
              </w:rPr>
            </w:pPr>
          </w:p>
        </w:tc>
      </w:tr>
      <w:tr w:rsidRPr="009C48DA" w:rsidR="00661519" w:rsidTr="00661519" w14:paraId="4DE5579D" w14:textId="77777777">
        <w:tc>
          <w:tcPr>
            <w:tcW w:w="3402" w:type="dxa"/>
            <w:vAlign w:val="bottom"/>
          </w:tcPr>
          <w:p w:rsidRPr="009C48DA" w:rsidR="00661519" w:rsidP="00661519" w:rsidRDefault="00661519" w14:paraId="471C8770"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 xml:space="preserve">- Fees payable to the Company's auditor and its associates for the audit of the financial statements of the subsidiaries </w:t>
            </w:r>
          </w:p>
        </w:tc>
        <w:tc>
          <w:tcPr>
            <w:tcW w:w="1134" w:type="dxa"/>
            <w:vAlign w:val="bottom"/>
          </w:tcPr>
          <w:p w:rsidRPr="009C48DA" w:rsidR="00661519" w:rsidP="00661519" w:rsidRDefault="00661519" w14:paraId="2C84A822"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385</w:t>
            </w:r>
          </w:p>
        </w:tc>
        <w:tc>
          <w:tcPr>
            <w:tcW w:w="1134" w:type="dxa"/>
            <w:vAlign w:val="bottom"/>
          </w:tcPr>
          <w:p w:rsidRPr="009C48DA" w:rsidR="00661519" w:rsidP="00661519" w:rsidRDefault="00661519" w14:paraId="7832EF06"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330</w:t>
            </w:r>
          </w:p>
        </w:tc>
        <w:tc>
          <w:tcPr>
            <w:tcW w:w="1134" w:type="dxa"/>
            <w:vAlign w:val="bottom"/>
          </w:tcPr>
          <w:p w:rsidRPr="009C48DA" w:rsidR="00661519" w:rsidP="00661519" w:rsidRDefault="00661519" w14:paraId="5508AEBE"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362</w:t>
            </w:r>
          </w:p>
        </w:tc>
        <w:tc>
          <w:tcPr>
            <w:tcW w:w="1134" w:type="dxa"/>
            <w:vAlign w:val="bottom"/>
          </w:tcPr>
          <w:p w:rsidRPr="009C48DA" w:rsidR="00661519" w:rsidP="00661519" w:rsidRDefault="00661519" w14:paraId="492488B6"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01" w:type="dxa"/>
            <w:vAlign w:val="bottom"/>
          </w:tcPr>
          <w:p w:rsidRPr="009C48DA" w:rsidR="00661519" w:rsidP="00661519" w:rsidRDefault="00661519" w14:paraId="199D9838"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454</w:t>
            </w:r>
          </w:p>
        </w:tc>
      </w:tr>
      <w:tr w:rsidRPr="009C48DA" w:rsidR="00661519" w:rsidTr="00661519" w14:paraId="11609F02" w14:textId="77777777">
        <w:tc>
          <w:tcPr>
            <w:tcW w:w="3402" w:type="dxa"/>
            <w:vAlign w:val="bottom"/>
          </w:tcPr>
          <w:p w:rsidRPr="009C48DA" w:rsidR="00661519" w:rsidP="00661519" w:rsidRDefault="00661519" w14:paraId="725EEF82"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 Fees payable to the Company's auditor for the audit of the Company's financial statements</w:t>
            </w:r>
          </w:p>
        </w:tc>
        <w:tc>
          <w:tcPr>
            <w:tcW w:w="1134" w:type="dxa"/>
            <w:vAlign w:val="bottom"/>
          </w:tcPr>
          <w:p w:rsidRPr="009C48DA" w:rsidR="00661519" w:rsidP="00661519" w:rsidRDefault="00661519" w14:paraId="3F174763"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18</w:t>
            </w:r>
          </w:p>
        </w:tc>
        <w:tc>
          <w:tcPr>
            <w:tcW w:w="1134" w:type="dxa"/>
            <w:vAlign w:val="bottom"/>
          </w:tcPr>
          <w:p w:rsidRPr="009C48DA" w:rsidR="00661519" w:rsidP="00661519" w:rsidRDefault="00661519" w14:paraId="7B1A6FDC"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7</w:t>
            </w:r>
          </w:p>
        </w:tc>
        <w:tc>
          <w:tcPr>
            <w:tcW w:w="1134" w:type="dxa"/>
            <w:vAlign w:val="bottom"/>
          </w:tcPr>
          <w:p w:rsidRPr="009C48DA" w:rsidR="00661519" w:rsidP="00661519" w:rsidRDefault="00661519" w14:paraId="40425564"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38</w:t>
            </w:r>
          </w:p>
        </w:tc>
        <w:tc>
          <w:tcPr>
            <w:tcW w:w="1134" w:type="dxa"/>
            <w:vAlign w:val="bottom"/>
          </w:tcPr>
          <w:p w:rsidRPr="009C48DA" w:rsidR="00661519" w:rsidP="00661519" w:rsidRDefault="00661519" w14:paraId="4BD2AA94"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01" w:type="dxa"/>
            <w:vAlign w:val="bottom"/>
          </w:tcPr>
          <w:p w:rsidRPr="009C48DA" w:rsidR="00661519" w:rsidP="00661519" w:rsidRDefault="00661519" w14:paraId="6BE6D404"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1904ECE7" w14:textId="77777777">
        <w:tc>
          <w:tcPr>
            <w:tcW w:w="3402" w:type="dxa"/>
            <w:vAlign w:val="bottom"/>
          </w:tcPr>
          <w:p w:rsidRPr="009C48DA" w:rsidR="00661519" w:rsidP="00661519" w:rsidRDefault="00661519" w14:paraId="42C0C573"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 Audit related services</w:t>
            </w:r>
          </w:p>
        </w:tc>
        <w:tc>
          <w:tcPr>
            <w:tcW w:w="1134" w:type="dxa"/>
            <w:vAlign w:val="bottom"/>
          </w:tcPr>
          <w:p w:rsidRPr="009C48DA" w:rsidR="00661519" w:rsidP="00661519" w:rsidRDefault="00661519" w14:paraId="7863AFAE"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20</w:t>
            </w:r>
          </w:p>
        </w:tc>
        <w:tc>
          <w:tcPr>
            <w:tcW w:w="1134" w:type="dxa"/>
            <w:vAlign w:val="bottom"/>
          </w:tcPr>
          <w:p w:rsidRPr="009C48DA" w:rsidR="00661519" w:rsidP="00661519" w:rsidRDefault="00661519" w14:paraId="23579D6D"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20</w:t>
            </w:r>
          </w:p>
        </w:tc>
        <w:tc>
          <w:tcPr>
            <w:tcW w:w="1134" w:type="dxa"/>
            <w:vAlign w:val="bottom"/>
          </w:tcPr>
          <w:p w:rsidRPr="009C48DA" w:rsidR="00661519" w:rsidP="00661519" w:rsidRDefault="00661519" w14:paraId="733F11C5"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20</w:t>
            </w:r>
          </w:p>
        </w:tc>
        <w:tc>
          <w:tcPr>
            <w:tcW w:w="1134" w:type="dxa"/>
            <w:vAlign w:val="bottom"/>
          </w:tcPr>
          <w:p w:rsidRPr="009C48DA" w:rsidR="00661519" w:rsidP="00661519" w:rsidRDefault="00661519" w14:paraId="5599B517" w14:textId="77777777">
            <w:pPr>
              <w:spacing w:before="60"/>
              <w:jc w:val="right"/>
              <w:textAlignment w:val="baseline"/>
              <w:rPr>
                <w:rFonts w:eastAsia="Times New Roman"/>
                <w:color w:val="000000"/>
                <w:sz w:val="16"/>
                <w:lang w:val="en-GB"/>
              </w:rPr>
            </w:pPr>
          </w:p>
        </w:tc>
        <w:tc>
          <w:tcPr>
            <w:tcW w:w="1101" w:type="dxa"/>
            <w:vAlign w:val="bottom"/>
          </w:tcPr>
          <w:p w:rsidRPr="009C48DA" w:rsidR="00661519" w:rsidP="00661519" w:rsidRDefault="00661519" w14:paraId="04C51D62" w14:textId="77777777">
            <w:pPr>
              <w:spacing w:before="60"/>
              <w:jc w:val="right"/>
              <w:textAlignment w:val="baseline"/>
              <w:rPr>
                <w:rFonts w:eastAsia="Times New Roman"/>
                <w:color w:val="000000"/>
                <w:sz w:val="16"/>
                <w:lang w:val="en-GB"/>
              </w:rPr>
            </w:pPr>
          </w:p>
        </w:tc>
      </w:tr>
      <w:tr w:rsidRPr="009C48DA" w:rsidR="00661519" w:rsidTr="00661519" w14:paraId="63DE2533" w14:textId="77777777">
        <w:tc>
          <w:tcPr>
            <w:tcW w:w="3402" w:type="dxa"/>
            <w:vAlign w:val="bottom"/>
          </w:tcPr>
          <w:p w:rsidRPr="009C48DA" w:rsidR="00661519" w:rsidP="00661519" w:rsidRDefault="00661519" w14:paraId="6D012B83" w14:textId="77777777">
            <w:pPr>
              <w:spacing w:before="60"/>
              <w:jc w:val="both"/>
              <w:textAlignment w:val="baseline"/>
              <w:rPr>
                <w:rFonts w:eastAsia="Times New Roman"/>
                <w:b/>
                <w:color w:val="000000"/>
                <w:sz w:val="16"/>
                <w:lang w:val="en-GB"/>
              </w:rPr>
            </w:pPr>
            <w:r w:rsidRPr="009C48DA">
              <w:rPr>
                <w:rFonts w:eastAsia="Times New Roman"/>
                <w:b/>
                <w:color w:val="000000"/>
                <w:sz w:val="16"/>
                <w:lang w:val="en-GB"/>
              </w:rPr>
              <w:t>Other fees paid to auditors</w:t>
            </w:r>
          </w:p>
        </w:tc>
        <w:tc>
          <w:tcPr>
            <w:tcW w:w="1134" w:type="dxa"/>
            <w:vAlign w:val="bottom"/>
          </w:tcPr>
          <w:p w:rsidRPr="009C48DA" w:rsidR="00661519" w:rsidP="00661519" w:rsidRDefault="00661519" w14:paraId="60EF395F" w14:textId="77777777">
            <w:pPr>
              <w:spacing w:before="60"/>
              <w:jc w:val="right"/>
              <w:textAlignment w:val="baseline"/>
              <w:rPr>
                <w:rFonts w:eastAsia="Times New Roman"/>
                <w:color w:val="000000"/>
                <w:sz w:val="16"/>
                <w:lang w:val="en-GB"/>
              </w:rPr>
            </w:pPr>
          </w:p>
        </w:tc>
        <w:tc>
          <w:tcPr>
            <w:tcW w:w="1134" w:type="dxa"/>
            <w:vAlign w:val="bottom"/>
          </w:tcPr>
          <w:p w:rsidRPr="009C48DA" w:rsidR="00661519" w:rsidP="00661519" w:rsidRDefault="00661519" w14:paraId="5478EA38" w14:textId="77777777">
            <w:pPr>
              <w:spacing w:before="60"/>
              <w:jc w:val="right"/>
              <w:textAlignment w:val="baseline"/>
              <w:rPr>
                <w:rFonts w:eastAsia="Times New Roman"/>
                <w:color w:val="000000"/>
                <w:sz w:val="16"/>
                <w:lang w:val="en-GB"/>
              </w:rPr>
            </w:pPr>
          </w:p>
        </w:tc>
        <w:tc>
          <w:tcPr>
            <w:tcW w:w="1134" w:type="dxa"/>
            <w:vAlign w:val="bottom"/>
          </w:tcPr>
          <w:p w:rsidRPr="009C48DA" w:rsidR="00661519" w:rsidP="00661519" w:rsidRDefault="00661519" w14:paraId="3DBE5816" w14:textId="77777777">
            <w:pPr>
              <w:spacing w:before="60"/>
              <w:jc w:val="right"/>
              <w:textAlignment w:val="baseline"/>
              <w:rPr>
                <w:rFonts w:eastAsia="Times New Roman"/>
                <w:color w:val="000000"/>
                <w:sz w:val="16"/>
                <w:lang w:val="en-GB"/>
              </w:rPr>
            </w:pPr>
          </w:p>
        </w:tc>
        <w:tc>
          <w:tcPr>
            <w:tcW w:w="1134" w:type="dxa"/>
            <w:vAlign w:val="bottom"/>
          </w:tcPr>
          <w:p w:rsidRPr="009C48DA" w:rsidR="00661519" w:rsidP="00661519" w:rsidRDefault="00661519" w14:paraId="4A46137E" w14:textId="77777777">
            <w:pPr>
              <w:spacing w:before="60"/>
              <w:jc w:val="right"/>
              <w:textAlignment w:val="baseline"/>
              <w:rPr>
                <w:rFonts w:eastAsia="Times New Roman"/>
                <w:color w:val="000000"/>
                <w:sz w:val="16"/>
                <w:lang w:val="en-GB"/>
              </w:rPr>
            </w:pPr>
          </w:p>
        </w:tc>
        <w:tc>
          <w:tcPr>
            <w:tcW w:w="1101" w:type="dxa"/>
            <w:vAlign w:val="bottom"/>
          </w:tcPr>
          <w:p w:rsidRPr="009C48DA" w:rsidR="00661519" w:rsidP="00661519" w:rsidRDefault="00661519" w14:paraId="7D6697E5" w14:textId="77777777">
            <w:pPr>
              <w:spacing w:before="60"/>
              <w:jc w:val="right"/>
              <w:textAlignment w:val="baseline"/>
              <w:rPr>
                <w:rFonts w:eastAsia="Times New Roman"/>
                <w:color w:val="000000"/>
                <w:sz w:val="16"/>
                <w:lang w:val="en-GB"/>
              </w:rPr>
            </w:pPr>
          </w:p>
        </w:tc>
      </w:tr>
      <w:tr w:rsidRPr="009C48DA" w:rsidR="00661519" w:rsidTr="00661519" w14:paraId="4F90E43A" w14:textId="77777777">
        <w:tc>
          <w:tcPr>
            <w:tcW w:w="3402" w:type="dxa"/>
            <w:vAlign w:val="bottom"/>
          </w:tcPr>
          <w:p w:rsidRPr="009C48DA" w:rsidR="00661519" w:rsidP="00661519" w:rsidRDefault="00661519" w14:paraId="5C45FCDA"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 Tax advisory services</w:t>
            </w:r>
          </w:p>
        </w:tc>
        <w:tc>
          <w:tcPr>
            <w:tcW w:w="1134" w:type="dxa"/>
            <w:vAlign w:val="bottom"/>
          </w:tcPr>
          <w:p w:rsidRPr="009C48DA" w:rsidR="00661519" w:rsidP="00661519" w:rsidRDefault="00661519" w14:paraId="0402238C"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29</w:t>
            </w:r>
          </w:p>
        </w:tc>
        <w:tc>
          <w:tcPr>
            <w:tcW w:w="1134" w:type="dxa"/>
            <w:vAlign w:val="bottom"/>
          </w:tcPr>
          <w:p w:rsidRPr="009C48DA" w:rsidR="00661519" w:rsidP="00661519" w:rsidRDefault="00661519" w14:paraId="611A57FF"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120</w:t>
            </w:r>
          </w:p>
        </w:tc>
        <w:tc>
          <w:tcPr>
            <w:tcW w:w="1134" w:type="dxa"/>
            <w:vAlign w:val="bottom"/>
          </w:tcPr>
          <w:p w:rsidRPr="009C48DA" w:rsidR="00661519" w:rsidP="00661519" w:rsidRDefault="00661519" w14:paraId="4AAEBCEF"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vAlign w:val="bottom"/>
          </w:tcPr>
          <w:p w:rsidRPr="009C48DA" w:rsidR="00661519" w:rsidP="00661519" w:rsidRDefault="00661519" w14:paraId="2C92FADC"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01" w:type="dxa"/>
            <w:vAlign w:val="bottom"/>
          </w:tcPr>
          <w:p w:rsidRPr="009C48DA" w:rsidR="00661519" w:rsidP="00661519" w:rsidRDefault="00661519" w14:paraId="1DAEA231"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7F38704E" w14:textId="77777777">
        <w:tc>
          <w:tcPr>
            <w:tcW w:w="3402" w:type="dxa"/>
            <w:vAlign w:val="bottom"/>
          </w:tcPr>
          <w:p w:rsidRPr="009C48DA" w:rsidR="00661519" w:rsidP="00661519" w:rsidRDefault="00661519" w14:paraId="04906848"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 Tax compliance services</w:t>
            </w:r>
          </w:p>
        </w:tc>
        <w:tc>
          <w:tcPr>
            <w:tcW w:w="1134" w:type="dxa"/>
            <w:vAlign w:val="bottom"/>
          </w:tcPr>
          <w:p w:rsidRPr="009C48DA" w:rsidR="00661519" w:rsidP="00661519" w:rsidRDefault="00661519" w14:paraId="32FD3227"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71</w:t>
            </w:r>
          </w:p>
        </w:tc>
        <w:tc>
          <w:tcPr>
            <w:tcW w:w="1134" w:type="dxa"/>
            <w:vAlign w:val="bottom"/>
          </w:tcPr>
          <w:p w:rsidRPr="009C48DA" w:rsidR="00661519" w:rsidP="00661519" w:rsidRDefault="00661519" w14:paraId="3679CB26"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82</w:t>
            </w:r>
          </w:p>
        </w:tc>
        <w:tc>
          <w:tcPr>
            <w:tcW w:w="1134" w:type="dxa"/>
            <w:vAlign w:val="bottom"/>
          </w:tcPr>
          <w:p w:rsidRPr="009C48DA" w:rsidR="00661519" w:rsidP="00661519" w:rsidRDefault="00661519" w14:paraId="7973477E"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104</w:t>
            </w:r>
          </w:p>
        </w:tc>
        <w:tc>
          <w:tcPr>
            <w:tcW w:w="1134" w:type="dxa"/>
            <w:vAlign w:val="bottom"/>
          </w:tcPr>
          <w:p w:rsidRPr="009C48DA" w:rsidR="00661519" w:rsidP="00661519" w:rsidRDefault="00661519" w14:paraId="568AB30B"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01" w:type="dxa"/>
            <w:vAlign w:val="bottom"/>
          </w:tcPr>
          <w:p w:rsidRPr="009C48DA" w:rsidR="00661519" w:rsidP="00661519" w:rsidRDefault="00661519" w14:paraId="22039A05"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3BB93029" w14:textId="77777777">
        <w:tc>
          <w:tcPr>
            <w:tcW w:w="3402" w:type="dxa"/>
            <w:vAlign w:val="bottom"/>
          </w:tcPr>
          <w:p w:rsidRPr="009C48DA" w:rsidR="00661519" w:rsidP="00661519" w:rsidRDefault="00661519" w14:paraId="33394CE8"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 Other services</w:t>
            </w:r>
          </w:p>
        </w:tc>
        <w:tc>
          <w:tcPr>
            <w:tcW w:w="1134" w:type="dxa"/>
            <w:vAlign w:val="bottom"/>
          </w:tcPr>
          <w:p w:rsidRPr="009C48DA" w:rsidR="00661519" w:rsidP="00661519" w:rsidRDefault="00661519" w14:paraId="384841C4"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270</w:t>
            </w:r>
          </w:p>
        </w:tc>
        <w:tc>
          <w:tcPr>
            <w:tcW w:w="1134" w:type="dxa"/>
            <w:vAlign w:val="bottom"/>
          </w:tcPr>
          <w:p w:rsidRPr="009C48DA" w:rsidR="00661519" w:rsidP="00661519" w:rsidRDefault="00661519" w14:paraId="470FBBBE"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vAlign w:val="bottom"/>
          </w:tcPr>
          <w:p w:rsidRPr="009C48DA" w:rsidR="00661519" w:rsidP="00661519" w:rsidRDefault="00661519" w14:paraId="41A24310"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1,583</w:t>
            </w:r>
          </w:p>
        </w:tc>
        <w:tc>
          <w:tcPr>
            <w:tcW w:w="1134" w:type="dxa"/>
            <w:vAlign w:val="bottom"/>
          </w:tcPr>
          <w:p w:rsidRPr="009C48DA" w:rsidR="00661519" w:rsidP="00661519" w:rsidRDefault="00661519" w14:paraId="08F38AE4"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55</w:t>
            </w:r>
          </w:p>
        </w:tc>
        <w:tc>
          <w:tcPr>
            <w:tcW w:w="1101" w:type="dxa"/>
            <w:vAlign w:val="bottom"/>
          </w:tcPr>
          <w:p w:rsidRPr="009C48DA" w:rsidR="00661519" w:rsidP="00661519" w:rsidRDefault="00661519" w14:paraId="02240AA6"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101</w:t>
            </w:r>
          </w:p>
        </w:tc>
      </w:tr>
    </w:tbl>
    <w:p w:rsidRPr="009C48DA" w:rsidR="00661519" w:rsidP="00661519" w:rsidRDefault="00661519" w14:paraId="4A797508" w14:textId="77777777">
      <w:pPr>
        <w:spacing w:before="366" w:line="187" w:lineRule="exact"/>
        <w:textAlignment w:val="baseline"/>
        <w:rPr>
          <w:rFonts w:eastAsia="Times New Roman"/>
          <w:color w:val="000000"/>
          <w:sz w:val="16"/>
          <w:lang w:val="en-GB"/>
        </w:rPr>
      </w:pPr>
      <w:r w:rsidRPr="009C48DA">
        <w:rPr>
          <w:rFonts w:eastAsia="Times New Roman"/>
          <w:color w:val="000000"/>
          <w:sz w:val="16"/>
          <w:lang w:val="en-GB"/>
        </w:rPr>
        <w:t>The auditors of the Group also provide services to Bridgepoint funds, which are not consolidated by the Group.</w:t>
      </w:r>
    </w:p>
    <w:p w:rsidRPr="009C48DA" w:rsidR="00661519" w:rsidP="00661519" w:rsidRDefault="00661519" w14:paraId="308B801C" w14:textId="77777777">
      <w:pPr>
        <w:spacing w:before="188" w:line="182" w:lineRule="exact"/>
        <w:jc w:val="both"/>
        <w:textAlignment w:val="baseline"/>
        <w:rPr>
          <w:rFonts w:eastAsia="Times New Roman"/>
          <w:color w:val="000000"/>
          <w:sz w:val="16"/>
          <w:lang w:val="en-GB"/>
        </w:rPr>
      </w:pPr>
      <w:r w:rsidRPr="009C48DA">
        <w:rPr>
          <w:rFonts w:eastAsia="Times New Roman"/>
          <w:color w:val="000000"/>
          <w:sz w:val="16"/>
          <w:lang w:val="en-GB"/>
        </w:rPr>
        <w:t xml:space="preserve">Audit and tax compliance fees payable for the three months to 31 March 2020 and 31 March 2021 do not include accruals for the full year </w:t>
      </w:r>
    </w:p>
    <w:p w:rsidRPr="009C48DA" w:rsidR="00661519" w:rsidP="00661519" w:rsidRDefault="00661519" w14:paraId="72BE8198" w14:textId="77777777">
      <w:pPr>
        <w:spacing w:line="182" w:lineRule="exact"/>
        <w:jc w:val="both"/>
        <w:textAlignment w:val="baseline"/>
        <w:rPr>
          <w:rFonts w:eastAsia="Times New Roman"/>
          <w:color w:val="000000"/>
          <w:sz w:val="16"/>
          <w:lang w:val="en-GB"/>
        </w:rPr>
      </w:pPr>
      <w:r w:rsidRPr="009C48DA">
        <w:rPr>
          <w:rFonts w:eastAsia="Times New Roman"/>
          <w:color w:val="000000"/>
          <w:sz w:val="16"/>
          <w:lang w:val="en-GB"/>
        </w:rPr>
        <w:t>audit. They are stated only where a fee is payable for the period.</w:t>
      </w:r>
    </w:p>
    <w:p w:rsidRPr="009C48DA" w:rsidR="00661519" w:rsidP="00661519" w:rsidRDefault="00661519" w14:paraId="117E92BE" w14:textId="77777777">
      <w:pPr>
        <w:spacing w:before="188" w:line="182" w:lineRule="exact"/>
        <w:jc w:val="both"/>
        <w:textAlignment w:val="baseline"/>
        <w:rPr>
          <w:rFonts w:eastAsia="Times New Roman"/>
          <w:color w:val="000000"/>
          <w:sz w:val="16"/>
          <w:lang w:val="en-GB"/>
        </w:rPr>
      </w:pPr>
      <w:r w:rsidRPr="009C48DA">
        <w:rPr>
          <w:rFonts w:eastAsia="Times New Roman"/>
          <w:color w:val="000000"/>
          <w:sz w:val="16"/>
          <w:lang w:val="en-GB"/>
        </w:rPr>
        <w:t xml:space="preserve">Other than the fees payable to the auditor for the audit of the three months ended 31 March 2021, the Group’s auditor has provided </w:t>
      </w:r>
      <w:r w:rsidRPr="009C48DA">
        <w:rPr>
          <w:rFonts w:eastAsia="Times New Roman"/>
          <w:color w:val="000000"/>
          <w:sz w:val="16"/>
          <w:lang w:val="en-GB"/>
        </w:rPr>
        <w:br/>
        <w:t xml:space="preserve">admission related services. These are not disclosed in the above as the services had not been engaged at that point. </w:t>
      </w:r>
    </w:p>
    <w:p w:rsidRPr="009C48DA" w:rsidR="00661519" w:rsidP="00661519" w:rsidRDefault="00661519" w14:paraId="3FD03381" w14:textId="77777777">
      <w:pPr>
        <w:spacing w:before="178" w:line="187" w:lineRule="exact"/>
        <w:textAlignment w:val="baseline"/>
        <w:rPr>
          <w:rFonts w:eastAsia="Times New Roman"/>
          <w:color w:val="000000"/>
          <w:sz w:val="16"/>
          <w:lang w:val="en-GB"/>
        </w:rPr>
      </w:pPr>
      <w:r w:rsidRPr="009C48DA">
        <w:rPr>
          <w:rFonts w:eastAsia="Times New Roman"/>
          <w:color w:val="000000"/>
          <w:sz w:val="16"/>
          <w:lang w:val="en-GB"/>
        </w:rPr>
        <w:t>Other services paid to auditors includes HR related services and in 2020 due diligence in relation to the acquisition of EQT Credit.</w:t>
      </w:r>
      <w:r w:rsidRPr="009C48DA">
        <w:rPr>
          <w:rFonts w:eastAsia="Times New Roman"/>
          <w:color w:val="000000"/>
          <w:sz w:val="16"/>
          <w:lang w:val="en-GB"/>
        </w:rPr>
        <w:br w:type="page"/>
      </w:r>
    </w:p>
    <w:p w:rsidRPr="009C48DA" w:rsidR="00661519" w:rsidP="00661519" w:rsidRDefault="00661519" w14:paraId="3154A359" w14:textId="77777777">
      <w:pPr>
        <w:spacing w:before="178" w:line="187" w:lineRule="exact"/>
        <w:textAlignment w:val="baseline"/>
        <w:rPr>
          <w:rFonts w:eastAsia="Times New Roman" w:cs="Times New Roman"/>
          <w:color w:val="000000"/>
          <w:sz w:val="16"/>
          <w:szCs w:val="22"/>
          <w:lang w:val="en-GB"/>
        </w:rPr>
      </w:pPr>
      <w:r w:rsidRPr="009C48DA">
        <w:rPr>
          <w:rFonts w:eastAsia="Times New Roman" w:cs="Times New Roman"/>
          <w:b/>
          <w:color w:val="000000"/>
          <w:sz w:val="16"/>
          <w:szCs w:val="22"/>
          <w:lang w:val="en-GB"/>
        </w:rPr>
        <w:lastRenderedPageBreak/>
        <w:t>8</w:t>
      </w:r>
      <w:r w:rsidRPr="009C48DA">
        <w:rPr>
          <w:rFonts w:eastAsia="Times New Roman" w:cs="Times New Roman"/>
          <w:b/>
          <w:color w:val="000000"/>
          <w:sz w:val="16"/>
          <w:szCs w:val="22"/>
          <w:lang w:val="en-GB"/>
        </w:rPr>
        <w:tab/>
        <w:t>Exceptional items</w:t>
      </w:r>
    </w:p>
    <w:p w:rsidRPr="009C48DA" w:rsidR="00661519" w:rsidP="00661519" w:rsidRDefault="00661519" w14:paraId="170B4BC0" w14:textId="77777777">
      <w:pPr>
        <w:spacing w:before="2" w:line="183" w:lineRule="exact"/>
        <w:jc w:val="both"/>
        <w:textAlignment w:val="baseline"/>
        <w:rPr>
          <w:rFonts w:eastAsia="Times New Roman" w:cs="Times New Roman"/>
          <w:color w:val="000000"/>
          <w:sz w:val="16"/>
          <w:szCs w:val="22"/>
          <w:lang w:val="en-GB"/>
        </w:rPr>
      </w:pPr>
    </w:p>
    <w:p w:rsidRPr="009C48DA" w:rsidR="00661519" w:rsidP="00661519" w:rsidRDefault="00661519" w14:paraId="2765C3FE" w14:textId="77777777">
      <w:pPr>
        <w:spacing w:before="108" w:line="184" w:lineRule="exact"/>
        <w:textAlignment w:val="baseline"/>
        <w:rPr>
          <w:rFonts w:eastAsia="Times New Roman"/>
          <w:color w:val="000000"/>
          <w:sz w:val="16"/>
          <w:lang w:val="en-GB"/>
        </w:rPr>
      </w:pPr>
      <w:r w:rsidRPr="009C48DA">
        <w:rPr>
          <w:rFonts w:eastAsia="Times New Roman"/>
          <w:color w:val="000000"/>
          <w:sz w:val="16"/>
          <w:lang w:val="en-GB"/>
        </w:rPr>
        <w:t>The amounts shown in the table below have been recognised separately as exceptional where the income or expenditure is material, is not considered to be incurred in the normal course of business, are non-recurring and without disclosure could distort an understanding of the historical financial information.</w:t>
      </w:r>
    </w:p>
    <w:p w:rsidRPr="009C48DA" w:rsidR="00661519" w:rsidP="00661519" w:rsidRDefault="00661519" w14:paraId="061CA671" w14:textId="77777777">
      <w:pPr>
        <w:spacing w:before="97" w:line="187" w:lineRule="exact"/>
        <w:textAlignment w:val="baseline"/>
        <w:rPr>
          <w:rFonts w:eastAsia="Times New Roman"/>
          <w:color w:val="000000"/>
          <w:sz w:val="16"/>
          <w:lang w:val="en-GB"/>
        </w:rPr>
      </w:pPr>
      <w:r w:rsidRPr="009C48DA">
        <w:rPr>
          <w:rFonts w:eastAsia="Times New Roman"/>
          <w:color w:val="000000"/>
          <w:sz w:val="16"/>
          <w:lang w:val="en-GB"/>
        </w:rPr>
        <w:t xml:space="preserve">The exceptional costs in 2018 related to transaction costs and one-off bonuses payable following the group reconstruction and admission of </w:t>
      </w:r>
    </w:p>
    <w:p w:rsidRPr="009C48DA" w:rsidR="00661519" w:rsidP="00661519" w:rsidRDefault="00661519" w14:paraId="1429F540" w14:textId="50ACE418">
      <w:pPr>
        <w:spacing w:line="187" w:lineRule="exact"/>
        <w:textAlignment w:val="baseline"/>
        <w:rPr>
          <w:rFonts w:eastAsia="Times New Roman"/>
          <w:color w:val="000000"/>
          <w:sz w:val="16"/>
          <w:lang w:val="en-GB"/>
        </w:rPr>
      </w:pPr>
      <w:r w:rsidRPr="009C48DA">
        <w:rPr>
          <w:rFonts w:eastAsia="Times New Roman"/>
          <w:color w:val="000000"/>
          <w:sz w:val="16"/>
          <w:lang w:val="en-GB"/>
        </w:rPr>
        <w:t xml:space="preserve">a third-party shareholder into </w:t>
      </w:r>
      <w:r w:rsidRPr="00CD2359" w:rsidR="00CD2359">
        <w:rPr>
          <w:rFonts w:eastAsia="Times New Roman"/>
          <w:color w:val="000000"/>
          <w:sz w:val="16"/>
          <w:lang w:val="en-GB"/>
        </w:rPr>
        <w:t>Bridgepoint Group Holdings Limited</w:t>
      </w:r>
      <w:r w:rsidRPr="009C48DA">
        <w:rPr>
          <w:rFonts w:eastAsia="Times New Roman"/>
          <w:color w:val="000000"/>
          <w:sz w:val="16"/>
          <w:lang w:val="en-GB"/>
        </w:rPr>
        <w:t>.</w:t>
      </w:r>
    </w:p>
    <w:p w:rsidRPr="009C48DA" w:rsidR="00661519" w:rsidP="00661519" w:rsidRDefault="00661519" w14:paraId="28B25492" w14:textId="77777777">
      <w:pPr>
        <w:spacing w:before="97" w:line="187" w:lineRule="exact"/>
        <w:textAlignment w:val="baseline"/>
        <w:rPr>
          <w:rFonts w:eastAsia="Times New Roman" w:cs="Times New Roman"/>
          <w:color w:val="000000"/>
          <w:sz w:val="16"/>
          <w:szCs w:val="22"/>
          <w:lang w:val="en-GB"/>
        </w:rPr>
      </w:pPr>
      <w:r w:rsidRPr="009C48DA">
        <w:rPr>
          <w:rFonts w:eastAsia="Times New Roman"/>
          <w:color w:val="000000"/>
          <w:sz w:val="16"/>
          <w:lang w:val="en-GB"/>
        </w:rPr>
        <w:t>The exceptional costs in 2020 related to transaction costs incurred in relation to the acquisition of EQT Credit.</w:t>
      </w:r>
    </w:p>
    <w:p w:rsidRPr="009C48DA" w:rsidR="00661519" w:rsidP="00661519" w:rsidRDefault="00661519" w14:paraId="5C6320FB" w14:textId="77777777">
      <w:pPr>
        <w:textAlignment w:val="baseline"/>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2"/>
        <w:gridCol w:w="1134"/>
        <w:gridCol w:w="1134"/>
        <w:gridCol w:w="1134"/>
        <w:gridCol w:w="1134"/>
        <w:gridCol w:w="1101"/>
      </w:tblGrid>
      <w:tr w:rsidRPr="009C48DA" w:rsidR="00661519" w:rsidTr="00661519" w14:paraId="0B977F2A" w14:textId="77777777">
        <w:tc>
          <w:tcPr>
            <w:tcW w:w="3402" w:type="dxa"/>
            <w:vAlign w:val="bottom"/>
          </w:tcPr>
          <w:p w:rsidRPr="009C48DA" w:rsidR="00661519" w:rsidP="00661519" w:rsidRDefault="00661519" w14:paraId="61F52302" w14:textId="77777777">
            <w:pPr>
              <w:jc w:val="both"/>
              <w:textAlignment w:val="baseline"/>
              <w:rPr>
                <w:rFonts w:eastAsia="Times New Roman"/>
                <w:color w:val="000000"/>
                <w:sz w:val="16"/>
                <w:lang w:val="en-GB"/>
              </w:rPr>
            </w:pPr>
          </w:p>
        </w:tc>
        <w:tc>
          <w:tcPr>
            <w:tcW w:w="3402" w:type="dxa"/>
            <w:gridSpan w:val="3"/>
            <w:vAlign w:val="bottom"/>
          </w:tcPr>
          <w:p w:rsidRPr="009C48DA" w:rsidR="00661519" w:rsidP="00661519" w:rsidRDefault="00661519" w14:paraId="144CFE2A"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Year ended 31 December</w:t>
            </w:r>
          </w:p>
        </w:tc>
        <w:tc>
          <w:tcPr>
            <w:tcW w:w="2235" w:type="dxa"/>
            <w:gridSpan w:val="2"/>
            <w:vAlign w:val="bottom"/>
          </w:tcPr>
          <w:p w:rsidRPr="009C48DA" w:rsidR="00661519" w:rsidP="00661519" w:rsidRDefault="00661519" w14:paraId="68BF3D17"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Three month period ended 31 March</w:t>
            </w:r>
          </w:p>
        </w:tc>
      </w:tr>
      <w:tr w:rsidRPr="009C48DA" w:rsidR="00661519" w:rsidTr="00661519" w14:paraId="77DE588F" w14:textId="77777777">
        <w:tc>
          <w:tcPr>
            <w:tcW w:w="3402" w:type="dxa"/>
            <w:vAlign w:val="bottom"/>
          </w:tcPr>
          <w:p w:rsidRPr="009C48DA" w:rsidR="00661519" w:rsidP="00661519" w:rsidRDefault="00661519" w14:paraId="4DF61FA3" w14:textId="77777777">
            <w:pPr>
              <w:jc w:val="both"/>
              <w:textAlignment w:val="baseline"/>
              <w:rPr>
                <w:rFonts w:eastAsia="Times New Roman"/>
                <w:color w:val="000000"/>
                <w:sz w:val="16"/>
                <w:lang w:val="en-GB"/>
              </w:rPr>
            </w:pPr>
          </w:p>
        </w:tc>
        <w:tc>
          <w:tcPr>
            <w:tcW w:w="1134" w:type="dxa"/>
            <w:vAlign w:val="bottom"/>
          </w:tcPr>
          <w:p w:rsidRPr="009C48DA" w:rsidR="00661519" w:rsidP="00661519" w:rsidRDefault="00661519" w14:paraId="76287E96" w14:textId="77777777">
            <w:pPr>
              <w:jc w:val="right"/>
              <w:textAlignment w:val="baseline"/>
              <w:rPr>
                <w:rFonts w:eastAsia="Times New Roman"/>
                <w:b/>
                <w:color w:val="000000"/>
                <w:sz w:val="16"/>
                <w:lang w:val="en-GB"/>
              </w:rPr>
            </w:pPr>
          </w:p>
        </w:tc>
        <w:tc>
          <w:tcPr>
            <w:tcW w:w="1134" w:type="dxa"/>
            <w:vAlign w:val="bottom"/>
          </w:tcPr>
          <w:p w:rsidRPr="009C48DA" w:rsidR="00661519" w:rsidP="00661519" w:rsidRDefault="00661519" w14:paraId="0A8D408C" w14:textId="77777777">
            <w:pPr>
              <w:jc w:val="right"/>
              <w:textAlignment w:val="baseline"/>
              <w:rPr>
                <w:rFonts w:eastAsia="Times New Roman"/>
                <w:b/>
                <w:color w:val="000000"/>
                <w:sz w:val="16"/>
                <w:lang w:val="en-GB"/>
              </w:rPr>
            </w:pPr>
          </w:p>
        </w:tc>
        <w:tc>
          <w:tcPr>
            <w:tcW w:w="1134" w:type="dxa"/>
            <w:vAlign w:val="bottom"/>
          </w:tcPr>
          <w:p w:rsidRPr="009C48DA" w:rsidR="00661519" w:rsidP="00661519" w:rsidRDefault="00661519" w14:paraId="67F1FEAB" w14:textId="77777777">
            <w:pPr>
              <w:jc w:val="right"/>
              <w:textAlignment w:val="baseline"/>
              <w:rPr>
                <w:rFonts w:eastAsia="Times New Roman"/>
                <w:b/>
                <w:color w:val="000000"/>
                <w:sz w:val="16"/>
                <w:lang w:val="en-GB"/>
              </w:rPr>
            </w:pPr>
          </w:p>
        </w:tc>
        <w:tc>
          <w:tcPr>
            <w:tcW w:w="2235" w:type="dxa"/>
            <w:gridSpan w:val="2"/>
            <w:vAlign w:val="bottom"/>
          </w:tcPr>
          <w:p w:rsidRPr="009C48DA" w:rsidR="00661519" w:rsidP="00661519" w:rsidRDefault="00661519" w14:paraId="49C3CEB9" w14:textId="77777777">
            <w:pPr>
              <w:textAlignment w:val="baseline"/>
              <w:rPr>
                <w:rFonts w:eastAsia="Times New Roman"/>
                <w:b/>
                <w:color w:val="000000"/>
                <w:sz w:val="16"/>
                <w:lang w:val="en-GB"/>
              </w:rPr>
            </w:pPr>
            <w:r w:rsidRPr="009C48DA">
              <w:rPr>
                <w:rFonts w:eastAsia="Times New Roman"/>
                <w:b/>
                <w:color w:val="000000"/>
                <w:sz w:val="16"/>
                <w:lang w:val="en-GB"/>
              </w:rPr>
              <w:t xml:space="preserve">    Unaudited</w:t>
            </w:r>
          </w:p>
        </w:tc>
      </w:tr>
      <w:tr w:rsidRPr="009C48DA" w:rsidR="00661519" w:rsidTr="00661519" w14:paraId="355AC793" w14:textId="77777777">
        <w:tc>
          <w:tcPr>
            <w:tcW w:w="3402" w:type="dxa"/>
            <w:vAlign w:val="bottom"/>
          </w:tcPr>
          <w:p w:rsidRPr="009C48DA" w:rsidR="00661519" w:rsidP="00661519" w:rsidRDefault="00661519" w14:paraId="27F85F7C" w14:textId="77777777">
            <w:pPr>
              <w:jc w:val="both"/>
              <w:textAlignment w:val="baseline"/>
              <w:rPr>
                <w:rFonts w:eastAsia="Times New Roman"/>
                <w:color w:val="000000"/>
                <w:sz w:val="16"/>
                <w:lang w:val="en-GB"/>
              </w:rPr>
            </w:pPr>
          </w:p>
        </w:tc>
        <w:tc>
          <w:tcPr>
            <w:tcW w:w="1134" w:type="dxa"/>
            <w:vAlign w:val="bottom"/>
          </w:tcPr>
          <w:p w:rsidRPr="009C48DA" w:rsidR="00661519" w:rsidP="00661519" w:rsidRDefault="00661519" w14:paraId="7E73E37F"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3EEB7BF8"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6AFFA43F"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6C4CE5D7"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5D1A6B1B"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598BCA57"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62DE5C25"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0781F0E7"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01" w:type="dxa"/>
            <w:vAlign w:val="bottom"/>
          </w:tcPr>
          <w:p w:rsidRPr="009C48DA" w:rsidR="00661519" w:rsidP="00661519" w:rsidRDefault="00661519" w14:paraId="1F039241"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670E9443"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03F111D6" w14:textId="77777777">
        <w:tc>
          <w:tcPr>
            <w:tcW w:w="3402" w:type="dxa"/>
            <w:vAlign w:val="bottom"/>
          </w:tcPr>
          <w:p w:rsidRPr="009C48DA" w:rsidR="00661519" w:rsidP="00661519" w:rsidRDefault="00661519" w14:paraId="76A72831"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Personnel costs</w:t>
            </w:r>
          </w:p>
        </w:tc>
        <w:tc>
          <w:tcPr>
            <w:tcW w:w="1134" w:type="dxa"/>
            <w:vAlign w:val="bottom"/>
          </w:tcPr>
          <w:p w:rsidRPr="009C48DA" w:rsidR="00661519" w:rsidP="00661519" w:rsidRDefault="00661519" w14:paraId="05BDDF2F"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11,776</w:t>
            </w:r>
          </w:p>
        </w:tc>
        <w:tc>
          <w:tcPr>
            <w:tcW w:w="1134" w:type="dxa"/>
            <w:vAlign w:val="bottom"/>
          </w:tcPr>
          <w:p w:rsidRPr="009C48DA" w:rsidR="00661519" w:rsidP="00661519" w:rsidRDefault="00661519" w14:paraId="6027B975"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vAlign w:val="bottom"/>
          </w:tcPr>
          <w:p w:rsidRPr="009C48DA" w:rsidR="00661519" w:rsidP="00661519" w:rsidRDefault="00661519" w14:paraId="6F029DDC"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vAlign w:val="bottom"/>
          </w:tcPr>
          <w:p w:rsidRPr="009C48DA" w:rsidR="00661519" w:rsidP="00661519" w:rsidRDefault="00661519" w14:paraId="526EF163"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01" w:type="dxa"/>
            <w:vAlign w:val="bottom"/>
          </w:tcPr>
          <w:p w:rsidRPr="009C48DA" w:rsidR="00661519" w:rsidP="00661519" w:rsidRDefault="00661519" w14:paraId="052F5589"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096C0B6A" w14:textId="77777777">
        <w:tc>
          <w:tcPr>
            <w:tcW w:w="3402" w:type="dxa"/>
            <w:vAlign w:val="bottom"/>
          </w:tcPr>
          <w:p w:rsidRPr="009C48DA" w:rsidR="00661519" w:rsidP="00661519" w:rsidRDefault="00661519" w14:paraId="5245E089"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Other expenses</w:t>
            </w:r>
          </w:p>
        </w:tc>
        <w:tc>
          <w:tcPr>
            <w:tcW w:w="1134" w:type="dxa"/>
            <w:vAlign w:val="bottom"/>
          </w:tcPr>
          <w:p w:rsidRPr="009C48DA" w:rsidR="00661519" w:rsidP="00661519" w:rsidRDefault="00661519" w14:paraId="5DC3BE89"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12,307</w:t>
            </w:r>
          </w:p>
        </w:tc>
        <w:tc>
          <w:tcPr>
            <w:tcW w:w="1134" w:type="dxa"/>
            <w:vAlign w:val="bottom"/>
          </w:tcPr>
          <w:p w:rsidRPr="009C48DA" w:rsidR="00661519" w:rsidP="00661519" w:rsidRDefault="00661519" w14:paraId="397174A6"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vAlign w:val="bottom"/>
          </w:tcPr>
          <w:p w:rsidRPr="009C48DA" w:rsidR="00661519" w:rsidP="00661519" w:rsidRDefault="00661519" w14:paraId="5094C6D7"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7,377</w:t>
            </w:r>
          </w:p>
        </w:tc>
        <w:tc>
          <w:tcPr>
            <w:tcW w:w="1134" w:type="dxa"/>
            <w:vAlign w:val="bottom"/>
          </w:tcPr>
          <w:p w:rsidRPr="009C48DA" w:rsidR="00661519" w:rsidP="00661519" w:rsidRDefault="00661519" w14:paraId="769D0B55"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01" w:type="dxa"/>
            <w:vAlign w:val="bottom"/>
          </w:tcPr>
          <w:p w:rsidRPr="009C48DA" w:rsidR="00661519" w:rsidP="00661519" w:rsidRDefault="00661519" w14:paraId="01C8A4EF"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49D84378" w14:textId="77777777">
        <w:tc>
          <w:tcPr>
            <w:tcW w:w="3402" w:type="dxa"/>
            <w:vAlign w:val="bottom"/>
          </w:tcPr>
          <w:p w:rsidRPr="009C48DA" w:rsidR="00661519" w:rsidP="00661519" w:rsidRDefault="00661519" w14:paraId="10FEA9E5"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Total exceptional costs</w:t>
            </w:r>
          </w:p>
        </w:tc>
        <w:tc>
          <w:tcPr>
            <w:tcW w:w="1134" w:type="dxa"/>
            <w:vAlign w:val="bottom"/>
          </w:tcPr>
          <w:p w:rsidRPr="009C48DA" w:rsidR="00661519" w:rsidP="00661519" w:rsidRDefault="00661519" w14:paraId="14C86C22"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24,083</w:t>
            </w:r>
          </w:p>
        </w:tc>
        <w:tc>
          <w:tcPr>
            <w:tcW w:w="1134" w:type="dxa"/>
            <w:vAlign w:val="bottom"/>
          </w:tcPr>
          <w:p w:rsidRPr="009C48DA" w:rsidR="00661519" w:rsidP="00661519" w:rsidRDefault="00661519" w14:paraId="67E9168C"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vAlign w:val="bottom"/>
          </w:tcPr>
          <w:p w:rsidRPr="009C48DA" w:rsidR="00661519" w:rsidP="00661519" w:rsidRDefault="00661519" w14:paraId="7412F846"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7,377</w:t>
            </w:r>
          </w:p>
        </w:tc>
        <w:tc>
          <w:tcPr>
            <w:tcW w:w="1134" w:type="dxa"/>
            <w:vAlign w:val="bottom"/>
          </w:tcPr>
          <w:p w:rsidRPr="009C48DA" w:rsidR="00661519" w:rsidP="00661519" w:rsidRDefault="00661519" w14:paraId="16CB7DE2"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01" w:type="dxa"/>
            <w:vAlign w:val="bottom"/>
          </w:tcPr>
          <w:p w:rsidRPr="009C48DA" w:rsidR="00661519" w:rsidP="00661519" w:rsidRDefault="00661519" w14:paraId="17A902AC"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r>
    </w:tbl>
    <w:p w:rsidRPr="009C48DA" w:rsidR="00661519" w:rsidP="00661519" w:rsidRDefault="00661519" w14:paraId="08A13B46" w14:textId="77777777">
      <w:pPr>
        <w:textAlignment w:val="baseline"/>
        <w:rPr>
          <w:rFonts w:eastAsia="Times New Roman" w:cs="Times New Roman"/>
          <w:color w:val="000000"/>
          <w:sz w:val="16"/>
          <w:szCs w:val="22"/>
          <w:lang w:val="en-GB"/>
        </w:rPr>
      </w:pPr>
    </w:p>
    <w:p w:rsidRPr="009C48DA" w:rsidR="00661519" w:rsidP="00661519" w:rsidRDefault="00661519" w14:paraId="2C6B9664" w14:textId="77777777">
      <w:pPr>
        <w:spacing w:before="2" w:line="183" w:lineRule="exact"/>
        <w:jc w:val="both"/>
        <w:textAlignment w:val="baseline"/>
        <w:rPr>
          <w:rFonts w:eastAsia="Times New Roman" w:cs="Times New Roman"/>
          <w:color w:val="000000"/>
          <w:sz w:val="16"/>
          <w:szCs w:val="22"/>
          <w:lang w:val="en-GB"/>
        </w:rPr>
      </w:pPr>
    </w:p>
    <w:p w:rsidRPr="009C48DA" w:rsidR="00661519" w:rsidP="00661519" w:rsidRDefault="00661519" w14:paraId="36754961" w14:textId="77777777">
      <w:pPr>
        <w:ind w:right="34"/>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9</w:t>
      </w:r>
      <w:r w:rsidRPr="009C48DA">
        <w:rPr>
          <w:rFonts w:eastAsia="Times New Roman" w:cs="Times New Roman"/>
          <w:b/>
          <w:color w:val="000000"/>
          <w:sz w:val="16"/>
          <w:szCs w:val="22"/>
          <w:lang w:val="en-GB"/>
        </w:rPr>
        <w:tab/>
        <w:t>Depreciation and amortisation</w:t>
      </w:r>
    </w:p>
    <w:p w:rsidRPr="009C48DA" w:rsidR="00661519" w:rsidP="00661519" w:rsidRDefault="00661519" w14:paraId="4C8CD9EA" w14:textId="77777777">
      <w:pPr>
        <w:ind w:right="34"/>
        <w:textAlignment w:val="baseline"/>
        <w:rPr>
          <w:rFonts w:eastAsia="Times New Roman" w:cs="Times New Roman"/>
          <w:b/>
          <w:color w:val="000000"/>
          <w:sz w:val="16"/>
          <w:szCs w:val="22"/>
          <w:lang w:val="en-GB"/>
        </w:rPr>
      </w:pPr>
    </w:p>
    <w:p w:rsidRPr="009C48DA" w:rsidR="00661519" w:rsidP="00661519" w:rsidRDefault="00661519" w14:paraId="5290D161" w14:textId="77777777">
      <w:pPr>
        <w:ind w:right="34"/>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The following table summarises the depreciation and amortisation charge during the period</w:t>
      </w:r>
    </w:p>
    <w:p w:rsidRPr="009C48DA" w:rsidR="00661519" w:rsidP="00661519" w:rsidRDefault="00661519" w14:paraId="18BD5B3F" w14:textId="77777777">
      <w:pPr>
        <w:ind w:right="34"/>
        <w:textAlignment w:val="baseline"/>
        <w:rPr>
          <w:rFonts w:eastAsia="Times New Roman" w:cs="Times New Roman"/>
          <w:b/>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2"/>
        <w:gridCol w:w="1134"/>
        <w:gridCol w:w="1134"/>
        <w:gridCol w:w="1134"/>
        <w:gridCol w:w="1134"/>
        <w:gridCol w:w="1101"/>
      </w:tblGrid>
      <w:tr w:rsidRPr="009C48DA" w:rsidR="00661519" w:rsidTr="00661519" w14:paraId="46381502" w14:textId="77777777">
        <w:tc>
          <w:tcPr>
            <w:tcW w:w="3402" w:type="dxa"/>
            <w:vAlign w:val="bottom"/>
          </w:tcPr>
          <w:p w:rsidRPr="009C48DA" w:rsidR="00661519" w:rsidP="00661519" w:rsidRDefault="00661519" w14:paraId="33622DAB" w14:textId="77777777">
            <w:pPr>
              <w:jc w:val="both"/>
              <w:textAlignment w:val="baseline"/>
              <w:rPr>
                <w:rFonts w:eastAsia="Times New Roman"/>
                <w:color w:val="000000"/>
                <w:sz w:val="16"/>
                <w:lang w:val="en-GB"/>
              </w:rPr>
            </w:pPr>
          </w:p>
        </w:tc>
        <w:tc>
          <w:tcPr>
            <w:tcW w:w="3402" w:type="dxa"/>
            <w:gridSpan w:val="3"/>
            <w:vAlign w:val="bottom"/>
          </w:tcPr>
          <w:p w:rsidRPr="009C48DA" w:rsidR="00661519" w:rsidP="00661519" w:rsidRDefault="00661519" w14:paraId="587ED249"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Year ended 31 December</w:t>
            </w:r>
          </w:p>
        </w:tc>
        <w:tc>
          <w:tcPr>
            <w:tcW w:w="2235" w:type="dxa"/>
            <w:gridSpan w:val="2"/>
            <w:vAlign w:val="bottom"/>
          </w:tcPr>
          <w:p w:rsidRPr="009C48DA" w:rsidR="00661519" w:rsidP="00661519" w:rsidRDefault="00661519" w14:paraId="14561A35"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Three month period ended 31 March</w:t>
            </w:r>
          </w:p>
        </w:tc>
      </w:tr>
      <w:tr w:rsidRPr="009C48DA" w:rsidR="00661519" w:rsidTr="00661519" w14:paraId="64A78D5C" w14:textId="77777777">
        <w:tc>
          <w:tcPr>
            <w:tcW w:w="3402" w:type="dxa"/>
            <w:vAlign w:val="bottom"/>
          </w:tcPr>
          <w:p w:rsidRPr="009C48DA" w:rsidR="00661519" w:rsidP="00661519" w:rsidRDefault="00661519" w14:paraId="708AB894" w14:textId="77777777">
            <w:pPr>
              <w:jc w:val="both"/>
              <w:textAlignment w:val="baseline"/>
              <w:rPr>
                <w:rFonts w:eastAsia="Times New Roman"/>
                <w:color w:val="000000"/>
                <w:sz w:val="16"/>
                <w:lang w:val="en-GB"/>
              </w:rPr>
            </w:pPr>
          </w:p>
        </w:tc>
        <w:tc>
          <w:tcPr>
            <w:tcW w:w="1134" w:type="dxa"/>
            <w:vAlign w:val="bottom"/>
          </w:tcPr>
          <w:p w:rsidRPr="009C48DA" w:rsidR="00661519" w:rsidP="00661519" w:rsidRDefault="00661519" w14:paraId="14D7F137" w14:textId="77777777">
            <w:pPr>
              <w:jc w:val="right"/>
              <w:textAlignment w:val="baseline"/>
              <w:rPr>
                <w:rFonts w:eastAsia="Times New Roman"/>
                <w:b/>
                <w:color w:val="000000"/>
                <w:sz w:val="16"/>
                <w:lang w:val="en-GB"/>
              </w:rPr>
            </w:pPr>
          </w:p>
        </w:tc>
        <w:tc>
          <w:tcPr>
            <w:tcW w:w="1134" w:type="dxa"/>
            <w:vAlign w:val="bottom"/>
          </w:tcPr>
          <w:p w:rsidRPr="009C48DA" w:rsidR="00661519" w:rsidP="00661519" w:rsidRDefault="00661519" w14:paraId="3B4D90BD" w14:textId="77777777">
            <w:pPr>
              <w:jc w:val="right"/>
              <w:textAlignment w:val="baseline"/>
              <w:rPr>
                <w:rFonts w:eastAsia="Times New Roman"/>
                <w:b/>
                <w:color w:val="000000"/>
                <w:sz w:val="16"/>
                <w:lang w:val="en-GB"/>
              </w:rPr>
            </w:pPr>
          </w:p>
        </w:tc>
        <w:tc>
          <w:tcPr>
            <w:tcW w:w="1134" w:type="dxa"/>
            <w:vAlign w:val="bottom"/>
          </w:tcPr>
          <w:p w:rsidRPr="009C48DA" w:rsidR="00661519" w:rsidP="00661519" w:rsidRDefault="00661519" w14:paraId="29B6809F" w14:textId="77777777">
            <w:pPr>
              <w:jc w:val="right"/>
              <w:textAlignment w:val="baseline"/>
              <w:rPr>
                <w:rFonts w:eastAsia="Times New Roman"/>
                <w:b/>
                <w:color w:val="000000"/>
                <w:sz w:val="16"/>
                <w:lang w:val="en-GB"/>
              </w:rPr>
            </w:pPr>
          </w:p>
        </w:tc>
        <w:tc>
          <w:tcPr>
            <w:tcW w:w="2235" w:type="dxa"/>
            <w:gridSpan w:val="2"/>
            <w:vAlign w:val="bottom"/>
          </w:tcPr>
          <w:p w:rsidRPr="009C48DA" w:rsidR="00661519" w:rsidP="00661519" w:rsidRDefault="00661519" w14:paraId="5971250F" w14:textId="77777777">
            <w:pPr>
              <w:textAlignment w:val="baseline"/>
              <w:rPr>
                <w:rFonts w:eastAsia="Times New Roman"/>
                <w:b/>
                <w:color w:val="000000"/>
                <w:sz w:val="16"/>
                <w:lang w:val="en-GB"/>
              </w:rPr>
            </w:pPr>
            <w:r w:rsidRPr="009C48DA">
              <w:rPr>
                <w:rFonts w:eastAsia="Times New Roman"/>
                <w:b/>
                <w:color w:val="000000"/>
                <w:sz w:val="16"/>
                <w:lang w:val="en-GB"/>
              </w:rPr>
              <w:t xml:space="preserve">    Unaudited</w:t>
            </w:r>
          </w:p>
        </w:tc>
      </w:tr>
      <w:tr w:rsidRPr="009C48DA" w:rsidR="00661519" w:rsidTr="00661519" w14:paraId="38AC15FF" w14:textId="77777777">
        <w:tc>
          <w:tcPr>
            <w:tcW w:w="3402" w:type="dxa"/>
            <w:vAlign w:val="bottom"/>
          </w:tcPr>
          <w:p w:rsidRPr="009C48DA" w:rsidR="00661519" w:rsidP="00661519" w:rsidRDefault="00661519" w14:paraId="0AE6E541" w14:textId="77777777">
            <w:pPr>
              <w:jc w:val="both"/>
              <w:textAlignment w:val="baseline"/>
              <w:rPr>
                <w:rFonts w:eastAsia="Times New Roman"/>
                <w:color w:val="000000"/>
                <w:sz w:val="16"/>
                <w:lang w:val="en-GB"/>
              </w:rPr>
            </w:pPr>
          </w:p>
        </w:tc>
        <w:tc>
          <w:tcPr>
            <w:tcW w:w="1134" w:type="dxa"/>
            <w:vAlign w:val="bottom"/>
          </w:tcPr>
          <w:p w:rsidRPr="009C48DA" w:rsidR="00661519" w:rsidP="00661519" w:rsidRDefault="00661519" w14:paraId="56F5B87E"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2BB3975C"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23C2793E"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76B20AAC"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27506FCF"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53DE0D79"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08B7BA6B"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0B775E16"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01" w:type="dxa"/>
            <w:vAlign w:val="bottom"/>
          </w:tcPr>
          <w:p w:rsidRPr="009C48DA" w:rsidR="00661519" w:rsidP="00661519" w:rsidRDefault="00661519" w14:paraId="7D6122D8"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1282A2CC"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66F7988D" w14:textId="77777777">
        <w:tc>
          <w:tcPr>
            <w:tcW w:w="3402" w:type="dxa"/>
            <w:vAlign w:val="bottom"/>
          </w:tcPr>
          <w:p w:rsidRPr="009C48DA" w:rsidR="00661519" w:rsidP="00661519" w:rsidRDefault="00661519" w14:paraId="3CD49FB8"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Depreciation on property, plant and equipment</w:t>
            </w:r>
          </w:p>
        </w:tc>
        <w:tc>
          <w:tcPr>
            <w:tcW w:w="1134" w:type="dxa"/>
            <w:vAlign w:val="bottom"/>
          </w:tcPr>
          <w:p w:rsidRPr="009C48DA" w:rsidR="00661519" w:rsidP="00661519" w:rsidRDefault="00661519" w14:paraId="440025A4"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6,765</w:t>
            </w:r>
          </w:p>
        </w:tc>
        <w:tc>
          <w:tcPr>
            <w:tcW w:w="1134" w:type="dxa"/>
            <w:vAlign w:val="bottom"/>
          </w:tcPr>
          <w:p w:rsidRPr="009C48DA" w:rsidR="00661519" w:rsidP="00661519" w:rsidRDefault="00661519" w14:paraId="54B0EF93"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7,757</w:t>
            </w:r>
          </w:p>
        </w:tc>
        <w:tc>
          <w:tcPr>
            <w:tcW w:w="1134" w:type="dxa"/>
            <w:vAlign w:val="bottom"/>
          </w:tcPr>
          <w:p w:rsidRPr="009C48DA" w:rsidR="00661519" w:rsidP="00661519" w:rsidRDefault="00661519" w14:paraId="22E3C2EE"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8,236</w:t>
            </w:r>
          </w:p>
        </w:tc>
        <w:tc>
          <w:tcPr>
            <w:tcW w:w="1134" w:type="dxa"/>
            <w:vAlign w:val="bottom"/>
          </w:tcPr>
          <w:p w:rsidRPr="009C48DA" w:rsidR="00661519" w:rsidP="00661519" w:rsidRDefault="00661519" w14:paraId="16B9E6DA"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2,006</w:t>
            </w:r>
          </w:p>
        </w:tc>
        <w:tc>
          <w:tcPr>
            <w:tcW w:w="1101" w:type="dxa"/>
            <w:vAlign w:val="bottom"/>
          </w:tcPr>
          <w:p w:rsidRPr="009C48DA" w:rsidR="00661519" w:rsidP="00661519" w:rsidRDefault="00661519" w14:paraId="74D9EA1F"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2,423</w:t>
            </w:r>
          </w:p>
        </w:tc>
      </w:tr>
      <w:tr w:rsidRPr="009C48DA" w:rsidR="00661519" w:rsidTr="00661519" w14:paraId="2A3F45DC" w14:textId="77777777">
        <w:tc>
          <w:tcPr>
            <w:tcW w:w="3402" w:type="dxa"/>
            <w:vAlign w:val="bottom"/>
          </w:tcPr>
          <w:p w:rsidRPr="009C48DA" w:rsidR="00661519" w:rsidP="00661519" w:rsidRDefault="00661519" w14:paraId="43A44BA3"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Amortisation on intangible assets</w:t>
            </w:r>
          </w:p>
        </w:tc>
        <w:tc>
          <w:tcPr>
            <w:tcW w:w="1134" w:type="dxa"/>
            <w:vAlign w:val="bottom"/>
          </w:tcPr>
          <w:p w:rsidRPr="009C48DA" w:rsidR="00661519" w:rsidP="00661519" w:rsidRDefault="00661519" w14:paraId="10F69412"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vAlign w:val="bottom"/>
          </w:tcPr>
          <w:p w:rsidRPr="009C48DA" w:rsidR="00661519" w:rsidP="00661519" w:rsidRDefault="00661519" w14:paraId="5E9B2093"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vAlign w:val="bottom"/>
          </w:tcPr>
          <w:p w:rsidRPr="009C48DA" w:rsidR="00661519" w:rsidP="00661519" w:rsidRDefault="00661519" w14:paraId="003D7D6D"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573</w:t>
            </w:r>
          </w:p>
        </w:tc>
        <w:tc>
          <w:tcPr>
            <w:tcW w:w="1134" w:type="dxa"/>
            <w:vAlign w:val="bottom"/>
          </w:tcPr>
          <w:p w:rsidRPr="009C48DA" w:rsidR="00661519" w:rsidP="00661519" w:rsidRDefault="00661519" w14:paraId="52015FCA"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01" w:type="dxa"/>
            <w:vAlign w:val="bottom"/>
          </w:tcPr>
          <w:p w:rsidRPr="009C48DA" w:rsidR="00661519" w:rsidP="00661519" w:rsidRDefault="00661519" w14:paraId="19C4B422"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758</w:t>
            </w:r>
          </w:p>
        </w:tc>
      </w:tr>
      <w:tr w:rsidRPr="009C48DA" w:rsidR="00661519" w:rsidTr="00661519" w14:paraId="62E21D30" w14:textId="77777777">
        <w:tc>
          <w:tcPr>
            <w:tcW w:w="3402" w:type="dxa"/>
            <w:vAlign w:val="bottom"/>
          </w:tcPr>
          <w:p w:rsidRPr="009C48DA" w:rsidR="00661519" w:rsidP="00661519" w:rsidRDefault="00661519" w14:paraId="5867C3AA"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Total depreciation and amortisation</w:t>
            </w:r>
          </w:p>
        </w:tc>
        <w:tc>
          <w:tcPr>
            <w:tcW w:w="1134" w:type="dxa"/>
            <w:vAlign w:val="bottom"/>
          </w:tcPr>
          <w:p w:rsidRPr="009C48DA" w:rsidR="00661519" w:rsidP="00661519" w:rsidRDefault="00661519" w14:paraId="1FCA3A2F"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6,765</w:t>
            </w:r>
          </w:p>
        </w:tc>
        <w:tc>
          <w:tcPr>
            <w:tcW w:w="1134" w:type="dxa"/>
            <w:vAlign w:val="bottom"/>
          </w:tcPr>
          <w:p w:rsidRPr="009C48DA" w:rsidR="00661519" w:rsidP="00661519" w:rsidRDefault="00661519" w14:paraId="2C26E65B"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7,757</w:t>
            </w:r>
          </w:p>
        </w:tc>
        <w:tc>
          <w:tcPr>
            <w:tcW w:w="1134" w:type="dxa"/>
            <w:vAlign w:val="bottom"/>
          </w:tcPr>
          <w:p w:rsidRPr="009C48DA" w:rsidR="00661519" w:rsidP="00661519" w:rsidRDefault="00661519" w14:paraId="6B5FFD42"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8,809</w:t>
            </w:r>
          </w:p>
        </w:tc>
        <w:tc>
          <w:tcPr>
            <w:tcW w:w="1134" w:type="dxa"/>
            <w:vAlign w:val="bottom"/>
          </w:tcPr>
          <w:p w:rsidRPr="009C48DA" w:rsidR="00661519" w:rsidP="00661519" w:rsidRDefault="00661519" w14:paraId="5C83C2C3"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2,006</w:t>
            </w:r>
          </w:p>
        </w:tc>
        <w:tc>
          <w:tcPr>
            <w:tcW w:w="1101" w:type="dxa"/>
            <w:vAlign w:val="bottom"/>
          </w:tcPr>
          <w:p w:rsidRPr="009C48DA" w:rsidR="00661519" w:rsidP="00661519" w:rsidRDefault="00661519" w14:paraId="45D3A15C"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3,181</w:t>
            </w:r>
          </w:p>
        </w:tc>
      </w:tr>
    </w:tbl>
    <w:p w:rsidRPr="009C48DA" w:rsidR="00661519" w:rsidP="00661519" w:rsidRDefault="00661519" w14:paraId="1786A151" w14:textId="77777777">
      <w:pPr>
        <w:ind w:right="34"/>
        <w:textAlignment w:val="baseline"/>
        <w:rPr>
          <w:rFonts w:eastAsia="Times New Roman" w:cs="Times New Roman"/>
          <w:b/>
          <w:color w:val="000000"/>
          <w:sz w:val="16"/>
          <w:szCs w:val="22"/>
          <w:lang w:val="en-GB"/>
        </w:rPr>
      </w:pPr>
    </w:p>
    <w:p w:rsidRPr="009C48DA" w:rsidR="00661519" w:rsidP="00661519" w:rsidRDefault="00661519" w14:paraId="22E762F7" w14:textId="77777777">
      <w:pPr>
        <w:ind w:right="34"/>
        <w:textAlignment w:val="baseline"/>
        <w:rPr>
          <w:rFonts w:eastAsia="Times New Roman" w:cs="Times New Roman"/>
          <w:b/>
          <w:color w:val="000000"/>
          <w:sz w:val="16"/>
          <w:szCs w:val="22"/>
          <w:lang w:val="en-GB"/>
        </w:rPr>
      </w:pPr>
    </w:p>
    <w:p w:rsidRPr="009C48DA" w:rsidR="00661519" w:rsidP="00661519" w:rsidRDefault="00661519" w14:paraId="21CC5C99" w14:textId="77777777">
      <w:pPr>
        <w:ind w:right="34"/>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10</w:t>
      </w:r>
      <w:r w:rsidRPr="009C48DA">
        <w:rPr>
          <w:rFonts w:eastAsia="Times New Roman" w:cs="Times New Roman"/>
          <w:b/>
          <w:color w:val="000000"/>
          <w:sz w:val="16"/>
          <w:szCs w:val="22"/>
          <w:lang w:val="en-GB"/>
        </w:rPr>
        <w:tab/>
        <w:t>Finance income and costs</w:t>
      </w:r>
    </w:p>
    <w:p w:rsidRPr="009C48DA" w:rsidR="00661519" w:rsidP="00661519" w:rsidRDefault="00661519" w14:paraId="38091C45" w14:textId="77777777">
      <w:pPr>
        <w:ind w:right="34"/>
        <w:textAlignment w:val="baseline"/>
        <w:rPr>
          <w:rFonts w:eastAsia="Times New Roman" w:cs="Times New Roman"/>
          <w:b/>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2"/>
        <w:gridCol w:w="1134"/>
        <w:gridCol w:w="1134"/>
        <w:gridCol w:w="1134"/>
        <w:gridCol w:w="1134"/>
        <w:gridCol w:w="1101"/>
      </w:tblGrid>
      <w:tr w:rsidRPr="009C48DA" w:rsidR="00661519" w:rsidTr="00661519" w14:paraId="56E3C8ED" w14:textId="77777777">
        <w:tc>
          <w:tcPr>
            <w:tcW w:w="3402" w:type="dxa"/>
            <w:vAlign w:val="bottom"/>
          </w:tcPr>
          <w:p w:rsidRPr="009C48DA" w:rsidR="00661519" w:rsidP="00661519" w:rsidRDefault="00661519" w14:paraId="508E4FDE" w14:textId="77777777">
            <w:pPr>
              <w:jc w:val="both"/>
              <w:textAlignment w:val="baseline"/>
              <w:rPr>
                <w:rFonts w:eastAsia="Times New Roman"/>
                <w:color w:val="000000"/>
                <w:sz w:val="16"/>
                <w:lang w:val="en-GB"/>
              </w:rPr>
            </w:pPr>
          </w:p>
        </w:tc>
        <w:tc>
          <w:tcPr>
            <w:tcW w:w="3402" w:type="dxa"/>
            <w:gridSpan w:val="3"/>
            <w:vAlign w:val="bottom"/>
          </w:tcPr>
          <w:p w:rsidRPr="009C48DA" w:rsidR="00661519" w:rsidP="00661519" w:rsidRDefault="00661519" w14:paraId="7E9AD874"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Year ended 31 December</w:t>
            </w:r>
          </w:p>
        </w:tc>
        <w:tc>
          <w:tcPr>
            <w:tcW w:w="2235" w:type="dxa"/>
            <w:gridSpan w:val="2"/>
            <w:vAlign w:val="bottom"/>
          </w:tcPr>
          <w:p w:rsidRPr="009C48DA" w:rsidR="00661519" w:rsidP="00661519" w:rsidRDefault="00661519" w14:paraId="156ECE0F"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Three month period ended 31 March</w:t>
            </w:r>
          </w:p>
        </w:tc>
      </w:tr>
      <w:tr w:rsidRPr="009C48DA" w:rsidR="00661519" w:rsidTr="00661519" w14:paraId="7DBF8797" w14:textId="77777777">
        <w:tc>
          <w:tcPr>
            <w:tcW w:w="3402" w:type="dxa"/>
            <w:vAlign w:val="bottom"/>
          </w:tcPr>
          <w:p w:rsidRPr="009C48DA" w:rsidR="00661519" w:rsidP="00661519" w:rsidRDefault="00661519" w14:paraId="7B9FFDC4" w14:textId="77777777">
            <w:pPr>
              <w:jc w:val="both"/>
              <w:textAlignment w:val="baseline"/>
              <w:rPr>
                <w:rFonts w:eastAsia="Times New Roman"/>
                <w:color w:val="000000"/>
                <w:sz w:val="16"/>
                <w:lang w:val="en-GB"/>
              </w:rPr>
            </w:pPr>
          </w:p>
        </w:tc>
        <w:tc>
          <w:tcPr>
            <w:tcW w:w="1134" w:type="dxa"/>
            <w:vAlign w:val="bottom"/>
          </w:tcPr>
          <w:p w:rsidRPr="009C48DA" w:rsidR="00661519" w:rsidP="00661519" w:rsidRDefault="00661519" w14:paraId="43D747F5" w14:textId="77777777">
            <w:pPr>
              <w:jc w:val="right"/>
              <w:textAlignment w:val="baseline"/>
              <w:rPr>
                <w:rFonts w:eastAsia="Times New Roman"/>
                <w:b/>
                <w:color w:val="000000"/>
                <w:sz w:val="16"/>
                <w:lang w:val="en-GB"/>
              </w:rPr>
            </w:pPr>
          </w:p>
        </w:tc>
        <w:tc>
          <w:tcPr>
            <w:tcW w:w="1134" w:type="dxa"/>
            <w:vAlign w:val="bottom"/>
          </w:tcPr>
          <w:p w:rsidRPr="009C48DA" w:rsidR="00661519" w:rsidP="00661519" w:rsidRDefault="00661519" w14:paraId="34F0504E" w14:textId="77777777">
            <w:pPr>
              <w:jc w:val="right"/>
              <w:textAlignment w:val="baseline"/>
              <w:rPr>
                <w:rFonts w:eastAsia="Times New Roman"/>
                <w:b/>
                <w:color w:val="000000"/>
                <w:sz w:val="16"/>
                <w:lang w:val="en-GB"/>
              </w:rPr>
            </w:pPr>
          </w:p>
        </w:tc>
        <w:tc>
          <w:tcPr>
            <w:tcW w:w="1134" w:type="dxa"/>
            <w:vAlign w:val="bottom"/>
          </w:tcPr>
          <w:p w:rsidRPr="009C48DA" w:rsidR="00661519" w:rsidP="00661519" w:rsidRDefault="00661519" w14:paraId="02459310" w14:textId="77777777">
            <w:pPr>
              <w:jc w:val="right"/>
              <w:textAlignment w:val="baseline"/>
              <w:rPr>
                <w:rFonts w:eastAsia="Times New Roman"/>
                <w:b/>
                <w:color w:val="000000"/>
                <w:sz w:val="16"/>
                <w:lang w:val="en-GB"/>
              </w:rPr>
            </w:pPr>
          </w:p>
        </w:tc>
        <w:tc>
          <w:tcPr>
            <w:tcW w:w="2235" w:type="dxa"/>
            <w:gridSpan w:val="2"/>
            <w:vAlign w:val="bottom"/>
          </w:tcPr>
          <w:p w:rsidRPr="009C48DA" w:rsidR="00661519" w:rsidP="00661519" w:rsidRDefault="00661519" w14:paraId="42276E4E" w14:textId="77777777">
            <w:pPr>
              <w:textAlignment w:val="baseline"/>
              <w:rPr>
                <w:rFonts w:eastAsia="Times New Roman"/>
                <w:b/>
                <w:color w:val="000000"/>
                <w:sz w:val="16"/>
                <w:lang w:val="en-GB"/>
              </w:rPr>
            </w:pPr>
            <w:r w:rsidRPr="009C48DA">
              <w:rPr>
                <w:rFonts w:eastAsia="Times New Roman"/>
                <w:b/>
                <w:color w:val="000000"/>
                <w:sz w:val="16"/>
                <w:lang w:val="en-GB"/>
              </w:rPr>
              <w:t xml:space="preserve">     Unaudited</w:t>
            </w:r>
          </w:p>
        </w:tc>
      </w:tr>
      <w:tr w:rsidRPr="009C48DA" w:rsidR="00661519" w:rsidTr="00661519" w14:paraId="7F7F277B" w14:textId="77777777">
        <w:tc>
          <w:tcPr>
            <w:tcW w:w="3402" w:type="dxa"/>
            <w:vAlign w:val="bottom"/>
          </w:tcPr>
          <w:p w:rsidRPr="009C48DA" w:rsidR="00661519" w:rsidP="00661519" w:rsidRDefault="00661519" w14:paraId="37C1BA38" w14:textId="77777777">
            <w:pPr>
              <w:jc w:val="both"/>
              <w:textAlignment w:val="baseline"/>
              <w:rPr>
                <w:rFonts w:eastAsia="Times New Roman"/>
                <w:color w:val="000000"/>
                <w:sz w:val="16"/>
                <w:lang w:val="en-GB"/>
              </w:rPr>
            </w:pPr>
          </w:p>
        </w:tc>
        <w:tc>
          <w:tcPr>
            <w:tcW w:w="1134" w:type="dxa"/>
            <w:vAlign w:val="bottom"/>
          </w:tcPr>
          <w:p w:rsidRPr="009C48DA" w:rsidR="00661519" w:rsidP="00661519" w:rsidRDefault="00661519" w14:paraId="1E11D4AE"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2D18E4FD"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2F158638"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67CAD0AF"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6AB4A835"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2FA5E2E7"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09FE961B"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06D149A7"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01" w:type="dxa"/>
            <w:vAlign w:val="bottom"/>
          </w:tcPr>
          <w:p w:rsidRPr="009C48DA" w:rsidR="00661519" w:rsidP="00661519" w:rsidRDefault="00661519" w14:paraId="260335DB"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6435D026"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1C1216CB" w14:textId="77777777">
        <w:tc>
          <w:tcPr>
            <w:tcW w:w="3402" w:type="dxa"/>
            <w:vAlign w:val="bottom"/>
          </w:tcPr>
          <w:p w:rsidRPr="009C48DA" w:rsidR="00661519" w:rsidP="00661519" w:rsidRDefault="00661519" w14:paraId="4C1A862E" w14:textId="77777777">
            <w:pPr>
              <w:spacing w:before="60"/>
              <w:textAlignment w:val="baseline"/>
              <w:rPr>
                <w:rFonts w:eastAsia="Times New Roman"/>
                <w:color w:val="000000"/>
                <w:sz w:val="16"/>
                <w:lang w:val="en-GB"/>
              </w:rPr>
            </w:pPr>
            <w:r w:rsidRPr="009C48DA">
              <w:rPr>
                <w:rFonts w:eastAsia="Times New Roman"/>
                <w:color w:val="000000"/>
                <w:sz w:val="16"/>
                <w:lang w:val="en-GB"/>
              </w:rPr>
              <w:t>Other finance income</w:t>
            </w:r>
          </w:p>
        </w:tc>
        <w:tc>
          <w:tcPr>
            <w:tcW w:w="1134" w:type="dxa"/>
            <w:vAlign w:val="bottom"/>
          </w:tcPr>
          <w:p w:rsidRPr="009C48DA" w:rsidR="00661519" w:rsidP="00661519" w:rsidRDefault="00661519" w14:paraId="309A6D27"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669</w:t>
            </w:r>
          </w:p>
        </w:tc>
        <w:tc>
          <w:tcPr>
            <w:tcW w:w="1134" w:type="dxa"/>
            <w:vAlign w:val="bottom"/>
          </w:tcPr>
          <w:p w:rsidRPr="009C48DA" w:rsidR="00661519" w:rsidP="00661519" w:rsidRDefault="00661519" w14:paraId="2F5A2DDC"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4,767</w:t>
            </w:r>
          </w:p>
        </w:tc>
        <w:tc>
          <w:tcPr>
            <w:tcW w:w="1134" w:type="dxa"/>
            <w:vAlign w:val="bottom"/>
          </w:tcPr>
          <w:p w:rsidRPr="009C48DA" w:rsidR="00661519" w:rsidP="00661519" w:rsidRDefault="00661519" w14:paraId="319E2FB5"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4,736</w:t>
            </w:r>
          </w:p>
        </w:tc>
        <w:tc>
          <w:tcPr>
            <w:tcW w:w="1134" w:type="dxa"/>
            <w:vAlign w:val="bottom"/>
          </w:tcPr>
          <w:p w:rsidRPr="009C48DA" w:rsidR="00661519" w:rsidP="00661519" w:rsidRDefault="00661519" w14:paraId="1C9903FB"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1,175</w:t>
            </w:r>
          </w:p>
        </w:tc>
        <w:tc>
          <w:tcPr>
            <w:tcW w:w="1101" w:type="dxa"/>
            <w:vAlign w:val="bottom"/>
          </w:tcPr>
          <w:p w:rsidRPr="009C48DA" w:rsidR="00661519" w:rsidP="00661519" w:rsidRDefault="00661519" w14:paraId="353A63C4"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754</w:t>
            </w:r>
          </w:p>
        </w:tc>
      </w:tr>
      <w:tr w:rsidRPr="009C48DA" w:rsidR="00661519" w:rsidTr="00661519" w14:paraId="3D1EE039" w14:textId="77777777">
        <w:tc>
          <w:tcPr>
            <w:tcW w:w="3402" w:type="dxa"/>
            <w:vAlign w:val="bottom"/>
          </w:tcPr>
          <w:p w:rsidRPr="009C48DA" w:rsidR="00661519" w:rsidP="00661519" w:rsidRDefault="00661519" w14:paraId="7D01333F" w14:textId="77777777">
            <w:pPr>
              <w:spacing w:before="60"/>
              <w:textAlignment w:val="baseline"/>
              <w:rPr>
                <w:rFonts w:eastAsia="Times New Roman"/>
                <w:color w:val="000000"/>
                <w:sz w:val="16"/>
                <w:lang w:val="en-GB"/>
              </w:rPr>
            </w:pPr>
            <w:r w:rsidRPr="009C48DA">
              <w:rPr>
                <w:rFonts w:eastAsia="Times New Roman"/>
                <w:color w:val="000000"/>
                <w:sz w:val="16"/>
                <w:lang w:val="en-GB"/>
              </w:rPr>
              <w:t>Finance income from assets under effective interest method</w:t>
            </w:r>
          </w:p>
        </w:tc>
        <w:tc>
          <w:tcPr>
            <w:tcW w:w="1134" w:type="dxa"/>
            <w:vAlign w:val="bottom"/>
          </w:tcPr>
          <w:p w:rsidRPr="009C48DA" w:rsidR="00661519" w:rsidP="00661519" w:rsidRDefault="00661519" w14:paraId="3217FF5C"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4,812</w:t>
            </w:r>
          </w:p>
        </w:tc>
        <w:tc>
          <w:tcPr>
            <w:tcW w:w="1134" w:type="dxa"/>
            <w:vAlign w:val="bottom"/>
          </w:tcPr>
          <w:p w:rsidRPr="009C48DA" w:rsidR="00661519" w:rsidP="00661519" w:rsidRDefault="00661519" w14:paraId="5DAC2F7B"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2,898</w:t>
            </w:r>
          </w:p>
        </w:tc>
        <w:tc>
          <w:tcPr>
            <w:tcW w:w="1134" w:type="dxa"/>
            <w:vAlign w:val="bottom"/>
          </w:tcPr>
          <w:p w:rsidRPr="009C48DA" w:rsidR="00661519" w:rsidP="00661519" w:rsidRDefault="00661519" w14:paraId="31A67154"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vAlign w:val="bottom"/>
          </w:tcPr>
          <w:p w:rsidRPr="009C48DA" w:rsidR="00661519" w:rsidP="00661519" w:rsidRDefault="00661519" w14:paraId="59566FB7"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01" w:type="dxa"/>
            <w:vAlign w:val="bottom"/>
          </w:tcPr>
          <w:p w:rsidRPr="009C48DA" w:rsidR="00661519" w:rsidP="00661519" w:rsidRDefault="00661519" w14:paraId="6408B544"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41F39D7A" w14:textId="77777777">
        <w:tc>
          <w:tcPr>
            <w:tcW w:w="3402" w:type="dxa"/>
            <w:vAlign w:val="bottom"/>
          </w:tcPr>
          <w:p w:rsidRPr="009C48DA" w:rsidR="00661519" w:rsidP="00661519" w:rsidRDefault="00661519" w14:paraId="648CC179" w14:textId="77777777">
            <w:pPr>
              <w:spacing w:before="60"/>
              <w:textAlignment w:val="baseline"/>
              <w:rPr>
                <w:rFonts w:eastAsia="Times New Roman"/>
                <w:color w:val="000000"/>
                <w:sz w:val="16"/>
                <w:lang w:val="en-GB"/>
              </w:rPr>
            </w:pPr>
            <w:r w:rsidRPr="009C48DA">
              <w:rPr>
                <w:rFonts w:eastAsia="Times New Roman"/>
                <w:color w:val="000000"/>
                <w:sz w:val="16"/>
                <w:lang w:val="en-GB"/>
              </w:rPr>
              <w:t>Finance income for amounts payable to related party investors in Opal Investments LP</w:t>
            </w:r>
          </w:p>
        </w:tc>
        <w:tc>
          <w:tcPr>
            <w:tcW w:w="1134" w:type="dxa"/>
            <w:vAlign w:val="bottom"/>
          </w:tcPr>
          <w:p w:rsidRPr="009C48DA" w:rsidR="00661519" w:rsidP="00661519" w:rsidRDefault="00661519" w14:paraId="06E725D6"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vAlign w:val="bottom"/>
          </w:tcPr>
          <w:p w:rsidRPr="009C48DA" w:rsidR="00661519" w:rsidP="00661519" w:rsidRDefault="00661519" w14:paraId="6CA34547"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vAlign w:val="bottom"/>
          </w:tcPr>
          <w:p w:rsidRPr="009C48DA" w:rsidR="00661519" w:rsidP="00661519" w:rsidRDefault="00661519" w14:paraId="4EA59A05"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vAlign w:val="bottom"/>
          </w:tcPr>
          <w:p w:rsidRPr="009C48DA" w:rsidR="00661519" w:rsidP="00661519" w:rsidRDefault="00661519" w14:paraId="42129AF1"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861</w:t>
            </w:r>
          </w:p>
        </w:tc>
        <w:tc>
          <w:tcPr>
            <w:tcW w:w="1101" w:type="dxa"/>
            <w:vAlign w:val="bottom"/>
          </w:tcPr>
          <w:p w:rsidRPr="009C48DA" w:rsidR="00661519" w:rsidP="00661519" w:rsidRDefault="00661519" w14:paraId="5ECEE352"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1BBDA096" w14:textId="77777777">
        <w:tc>
          <w:tcPr>
            <w:tcW w:w="3402" w:type="dxa"/>
            <w:vAlign w:val="bottom"/>
          </w:tcPr>
          <w:p w:rsidRPr="009C48DA" w:rsidR="00661519" w:rsidP="00661519" w:rsidRDefault="00661519" w14:paraId="39ED1F3F" w14:textId="77777777">
            <w:pPr>
              <w:spacing w:before="60"/>
              <w:textAlignment w:val="baseline"/>
              <w:rPr>
                <w:rFonts w:eastAsia="Times New Roman"/>
                <w:b/>
                <w:color w:val="000000"/>
                <w:sz w:val="16"/>
                <w:lang w:val="en-GB"/>
              </w:rPr>
            </w:pPr>
            <w:r w:rsidRPr="009C48DA">
              <w:rPr>
                <w:rFonts w:eastAsia="Times New Roman"/>
                <w:b/>
                <w:color w:val="000000"/>
                <w:sz w:val="16"/>
                <w:lang w:val="en-GB"/>
              </w:rPr>
              <w:t>Total finance income</w:t>
            </w:r>
          </w:p>
        </w:tc>
        <w:tc>
          <w:tcPr>
            <w:tcW w:w="1134" w:type="dxa"/>
          </w:tcPr>
          <w:p w:rsidRPr="009C48DA" w:rsidR="00661519" w:rsidP="00661519" w:rsidRDefault="00661519" w14:paraId="58D48A21"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5,481</w:t>
            </w:r>
          </w:p>
        </w:tc>
        <w:tc>
          <w:tcPr>
            <w:tcW w:w="1134" w:type="dxa"/>
          </w:tcPr>
          <w:p w:rsidRPr="009C48DA" w:rsidR="00661519" w:rsidP="00661519" w:rsidRDefault="00661519" w14:paraId="6CC3F073"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7,665</w:t>
            </w:r>
          </w:p>
        </w:tc>
        <w:tc>
          <w:tcPr>
            <w:tcW w:w="1134" w:type="dxa"/>
          </w:tcPr>
          <w:p w:rsidRPr="009C48DA" w:rsidR="00661519" w:rsidP="00661519" w:rsidRDefault="00661519" w14:paraId="33EC4B2A"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4,736</w:t>
            </w:r>
          </w:p>
        </w:tc>
        <w:tc>
          <w:tcPr>
            <w:tcW w:w="1134" w:type="dxa"/>
          </w:tcPr>
          <w:p w:rsidRPr="009C48DA" w:rsidR="00661519" w:rsidP="00661519" w:rsidRDefault="00661519" w14:paraId="0B0C4694"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2,036</w:t>
            </w:r>
          </w:p>
        </w:tc>
        <w:tc>
          <w:tcPr>
            <w:tcW w:w="1101" w:type="dxa"/>
          </w:tcPr>
          <w:p w:rsidRPr="009C48DA" w:rsidR="00661519" w:rsidP="00661519" w:rsidRDefault="00661519" w14:paraId="70FC57B5"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754</w:t>
            </w:r>
          </w:p>
        </w:tc>
      </w:tr>
      <w:tr w:rsidRPr="009C48DA" w:rsidR="00661519" w:rsidTr="00661519" w14:paraId="2A3919BA" w14:textId="77777777">
        <w:tc>
          <w:tcPr>
            <w:tcW w:w="3402" w:type="dxa"/>
            <w:vAlign w:val="bottom"/>
          </w:tcPr>
          <w:p w:rsidRPr="009C48DA" w:rsidR="00661519" w:rsidP="00661519" w:rsidRDefault="00661519" w14:paraId="54C64846" w14:textId="77777777">
            <w:pPr>
              <w:spacing w:before="60"/>
              <w:textAlignment w:val="baseline"/>
              <w:rPr>
                <w:rFonts w:eastAsia="Times New Roman"/>
                <w:color w:val="000000"/>
                <w:sz w:val="16"/>
                <w:lang w:val="en-GB"/>
              </w:rPr>
            </w:pPr>
            <w:r w:rsidRPr="009C48DA">
              <w:rPr>
                <w:rFonts w:eastAsia="Times New Roman"/>
                <w:color w:val="000000"/>
                <w:sz w:val="16"/>
                <w:lang w:val="en-GB"/>
              </w:rPr>
              <w:t>Interest on bank overdrafts and borrowings</w:t>
            </w:r>
          </w:p>
        </w:tc>
        <w:tc>
          <w:tcPr>
            <w:tcW w:w="1134" w:type="dxa"/>
          </w:tcPr>
          <w:p w:rsidRPr="009C48DA" w:rsidR="00661519" w:rsidP="00661519" w:rsidRDefault="00661519" w14:paraId="55CF7E98"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(2,000)</w:t>
            </w:r>
          </w:p>
        </w:tc>
        <w:tc>
          <w:tcPr>
            <w:tcW w:w="1134" w:type="dxa"/>
          </w:tcPr>
          <w:p w:rsidRPr="009C48DA" w:rsidR="00661519" w:rsidP="00661519" w:rsidRDefault="00661519" w14:paraId="14386CE8"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(2,776)</w:t>
            </w:r>
          </w:p>
        </w:tc>
        <w:tc>
          <w:tcPr>
            <w:tcW w:w="1134" w:type="dxa"/>
          </w:tcPr>
          <w:p w:rsidRPr="009C48DA" w:rsidR="00661519" w:rsidP="00661519" w:rsidRDefault="00661519" w14:paraId="53B6B208"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(3,142)</w:t>
            </w:r>
          </w:p>
        </w:tc>
        <w:tc>
          <w:tcPr>
            <w:tcW w:w="1134" w:type="dxa"/>
          </w:tcPr>
          <w:p w:rsidRPr="009C48DA" w:rsidR="00661519" w:rsidP="00661519" w:rsidRDefault="00661519" w14:paraId="22D8CE20"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(291)</w:t>
            </w:r>
          </w:p>
        </w:tc>
        <w:tc>
          <w:tcPr>
            <w:tcW w:w="1101" w:type="dxa"/>
          </w:tcPr>
          <w:p w:rsidRPr="009C48DA" w:rsidR="00661519" w:rsidP="00661519" w:rsidRDefault="00661519" w14:paraId="726866B5"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(1,052)</w:t>
            </w:r>
          </w:p>
        </w:tc>
      </w:tr>
      <w:tr w:rsidRPr="009C48DA" w:rsidR="00661519" w:rsidTr="00661519" w14:paraId="01283CA1" w14:textId="77777777">
        <w:tc>
          <w:tcPr>
            <w:tcW w:w="3402" w:type="dxa"/>
            <w:vAlign w:val="bottom"/>
          </w:tcPr>
          <w:p w:rsidRPr="009C48DA" w:rsidR="00661519" w:rsidP="00661519" w:rsidRDefault="00661519" w14:paraId="6B9CC4AB" w14:textId="77777777">
            <w:pPr>
              <w:spacing w:before="60"/>
              <w:textAlignment w:val="baseline"/>
              <w:rPr>
                <w:rFonts w:eastAsia="Times New Roman"/>
                <w:color w:val="000000"/>
                <w:sz w:val="16"/>
                <w:lang w:val="en-GB"/>
              </w:rPr>
            </w:pPr>
            <w:r w:rsidRPr="009C48DA">
              <w:rPr>
                <w:rFonts w:eastAsia="Times New Roman"/>
                <w:color w:val="000000"/>
                <w:sz w:val="16"/>
                <w:lang w:val="en-GB"/>
              </w:rPr>
              <w:t>Interest expense on lease liabilities</w:t>
            </w:r>
          </w:p>
        </w:tc>
        <w:tc>
          <w:tcPr>
            <w:tcW w:w="1134" w:type="dxa"/>
          </w:tcPr>
          <w:p w:rsidRPr="009C48DA" w:rsidR="00661519" w:rsidP="00661519" w:rsidRDefault="00661519" w14:paraId="7831B4A0"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(1,996)</w:t>
            </w:r>
          </w:p>
        </w:tc>
        <w:tc>
          <w:tcPr>
            <w:tcW w:w="1134" w:type="dxa"/>
          </w:tcPr>
          <w:p w:rsidRPr="009C48DA" w:rsidR="00661519" w:rsidP="00661519" w:rsidRDefault="00661519" w14:paraId="25EB5C88"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(2,036)</w:t>
            </w:r>
          </w:p>
        </w:tc>
        <w:tc>
          <w:tcPr>
            <w:tcW w:w="1134" w:type="dxa"/>
          </w:tcPr>
          <w:p w:rsidRPr="009C48DA" w:rsidR="00661519" w:rsidP="00661519" w:rsidRDefault="00661519" w14:paraId="5149915E"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(1,849)</w:t>
            </w:r>
          </w:p>
        </w:tc>
        <w:tc>
          <w:tcPr>
            <w:tcW w:w="1134" w:type="dxa"/>
          </w:tcPr>
          <w:p w:rsidRPr="009C48DA" w:rsidR="00661519" w:rsidP="00661519" w:rsidRDefault="00661519" w14:paraId="0E5A9353"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(485)</w:t>
            </w:r>
          </w:p>
        </w:tc>
        <w:tc>
          <w:tcPr>
            <w:tcW w:w="1101" w:type="dxa"/>
          </w:tcPr>
          <w:p w:rsidRPr="009C48DA" w:rsidR="00661519" w:rsidP="00661519" w:rsidRDefault="00661519" w14:paraId="43D29844"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(435)</w:t>
            </w:r>
          </w:p>
        </w:tc>
      </w:tr>
      <w:tr w:rsidRPr="009C48DA" w:rsidR="00661519" w:rsidTr="00661519" w14:paraId="3A31B9B6" w14:textId="77777777">
        <w:tc>
          <w:tcPr>
            <w:tcW w:w="3402" w:type="dxa"/>
            <w:vAlign w:val="bottom"/>
          </w:tcPr>
          <w:p w:rsidRPr="009C48DA" w:rsidR="00661519" w:rsidP="00661519" w:rsidRDefault="00661519" w14:paraId="7FAA8A62" w14:textId="77777777">
            <w:pPr>
              <w:spacing w:before="60"/>
              <w:textAlignment w:val="baseline"/>
              <w:rPr>
                <w:rFonts w:eastAsia="Times New Roman"/>
                <w:color w:val="000000"/>
                <w:sz w:val="16"/>
                <w:lang w:val="en-GB"/>
              </w:rPr>
            </w:pPr>
            <w:r w:rsidRPr="009C48DA">
              <w:rPr>
                <w:rFonts w:eastAsia="Times New Roman"/>
                <w:color w:val="000000"/>
                <w:sz w:val="16"/>
                <w:lang w:val="en-GB"/>
              </w:rPr>
              <w:t>Other finance costs</w:t>
            </w:r>
          </w:p>
        </w:tc>
        <w:tc>
          <w:tcPr>
            <w:tcW w:w="1134" w:type="dxa"/>
          </w:tcPr>
          <w:p w:rsidRPr="009C48DA" w:rsidR="00661519" w:rsidP="00661519" w:rsidRDefault="00661519" w14:paraId="4C8BBDA6"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tcPr>
          <w:p w:rsidRPr="009C48DA" w:rsidR="00661519" w:rsidP="00661519" w:rsidRDefault="00661519" w14:paraId="27F76BD6"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tcPr>
          <w:p w:rsidRPr="009C48DA" w:rsidR="00661519" w:rsidP="00661519" w:rsidRDefault="00661519" w14:paraId="59F0C51C"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(180)</w:t>
            </w:r>
          </w:p>
        </w:tc>
        <w:tc>
          <w:tcPr>
            <w:tcW w:w="1134" w:type="dxa"/>
          </w:tcPr>
          <w:p w:rsidRPr="009C48DA" w:rsidR="00661519" w:rsidP="00661519" w:rsidRDefault="00661519" w14:paraId="04C6B13F"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01" w:type="dxa"/>
          </w:tcPr>
          <w:p w:rsidRPr="009C48DA" w:rsidR="00661519" w:rsidP="00661519" w:rsidRDefault="00661519" w14:paraId="558A6AD8"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(271)</w:t>
            </w:r>
          </w:p>
        </w:tc>
      </w:tr>
      <w:tr w:rsidRPr="009C48DA" w:rsidR="00661519" w:rsidTr="00661519" w14:paraId="5CCBD964" w14:textId="77777777">
        <w:tc>
          <w:tcPr>
            <w:tcW w:w="3402" w:type="dxa"/>
            <w:vAlign w:val="bottom"/>
          </w:tcPr>
          <w:p w:rsidRPr="009C48DA" w:rsidR="00661519" w:rsidP="00661519" w:rsidRDefault="00661519" w14:paraId="20AE3B68" w14:textId="77777777">
            <w:pPr>
              <w:spacing w:before="60" w:line="184" w:lineRule="exact"/>
              <w:textAlignment w:val="baseline"/>
              <w:rPr>
                <w:rFonts w:eastAsia="Times New Roman"/>
                <w:color w:val="000000"/>
                <w:sz w:val="16"/>
                <w:lang w:val="en-GB"/>
              </w:rPr>
            </w:pPr>
            <w:r w:rsidRPr="009C48DA">
              <w:rPr>
                <w:rFonts w:eastAsia="Times New Roman"/>
                <w:color w:val="000000"/>
                <w:sz w:val="16"/>
                <w:lang w:val="en-GB"/>
              </w:rPr>
              <w:t>Finance expense on amounts payable to related party investors in Opal Investments LP</w:t>
            </w:r>
          </w:p>
        </w:tc>
        <w:tc>
          <w:tcPr>
            <w:tcW w:w="1134" w:type="dxa"/>
            <w:vAlign w:val="bottom"/>
          </w:tcPr>
          <w:p w:rsidRPr="009C48DA" w:rsidR="00661519" w:rsidP="00661519" w:rsidRDefault="00661519" w14:paraId="5729D8C6"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(1,362)</w:t>
            </w:r>
          </w:p>
        </w:tc>
        <w:tc>
          <w:tcPr>
            <w:tcW w:w="1134" w:type="dxa"/>
            <w:vAlign w:val="bottom"/>
          </w:tcPr>
          <w:p w:rsidRPr="009C48DA" w:rsidR="00661519" w:rsidP="00661519" w:rsidRDefault="00661519" w14:paraId="7B6E1585"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(744)</w:t>
            </w:r>
          </w:p>
        </w:tc>
        <w:tc>
          <w:tcPr>
            <w:tcW w:w="1134" w:type="dxa"/>
            <w:vAlign w:val="bottom"/>
          </w:tcPr>
          <w:p w:rsidRPr="009C48DA" w:rsidR="00661519" w:rsidP="00661519" w:rsidRDefault="00661519" w14:paraId="493C773E"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(978)</w:t>
            </w:r>
          </w:p>
        </w:tc>
        <w:tc>
          <w:tcPr>
            <w:tcW w:w="1134" w:type="dxa"/>
            <w:vAlign w:val="bottom"/>
          </w:tcPr>
          <w:p w:rsidRPr="009C48DA" w:rsidR="00661519" w:rsidP="00661519" w:rsidRDefault="00661519" w14:paraId="2FB75CF7"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01" w:type="dxa"/>
            <w:vAlign w:val="bottom"/>
          </w:tcPr>
          <w:p w:rsidRPr="009C48DA" w:rsidR="00661519" w:rsidP="00661519" w:rsidRDefault="00661519" w14:paraId="28764899"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(2,129)</w:t>
            </w:r>
          </w:p>
        </w:tc>
      </w:tr>
      <w:tr w:rsidRPr="009C48DA" w:rsidR="00661519" w:rsidTr="00661519" w14:paraId="338C8DE0" w14:textId="77777777">
        <w:tc>
          <w:tcPr>
            <w:tcW w:w="3402" w:type="dxa"/>
            <w:vAlign w:val="bottom"/>
          </w:tcPr>
          <w:p w:rsidRPr="009C48DA" w:rsidR="00661519" w:rsidP="00661519" w:rsidRDefault="00661519" w14:paraId="135FB9EE" w14:textId="77777777">
            <w:pPr>
              <w:spacing w:before="60"/>
              <w:jc w:val="both"/>
              <w:textAlignment w:val="baseline"/>
              <w:rPr>
                <w:rFonts w:eastAsia="Times New Roman"/>
                <w:b/>
                <w:color w:val="000000"/>
                <w:sz w:val="16"/>
                <w:lang w:val="en-GB"/>
              </w:rPr>
            </w:pPr>
            <w:r w:rsidRPr="009C48DA">
              <w:rPr>
                <w:rFonts w:eastAsia="Times New Roman"/>
                <w:b/>
                <w:color w:val="000000"/>
                <w:sz w:val="16"/>
                <w:lang w:val="en-GB"/>
              </w:rPr>
              <w:t>Total finance costs</w:t>
            </w:r>
          </w:p>
        </w:tc>
        <w:tc>
          <w:tcPr>
            <w:tcW w:w="1134" w:type="dxa"/>
          </w:tcPr>
          <w:p w:rsidRPr="009C48DA" w:rsidR="00661519" w:rsidP="00661519" w:rsidRDefault="00661519" w14:paraId="5A6CA8D0"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7"/>
                <w:lang w:val="en-GB"/>
              </w:rPr>
              <w:t>(5,358)</w:t>
            </w:r>
          </w:p>
        </w:tc>
        <w:tc>
          <w:tcPr>
            <w:tcW w:w="1134" w:type="dxa"/>
          </w:tcPr>
          <w:p w:rsidRPr="009C48DA" w:rsidR="00661519" w:rsidP="00661519" w:rsidRDefault="00661519" w14:paraId="15952D19"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7"/>
                <w:lang w:val="en-GB"/>
              </w:rPr>
              <w:t>(5,556)</w:t>
            </w:r>
          </w:p>
        </w:tc>
        <w:tc>
          <w:tcPr>
            <w:tcW w:w="1134" w:type="dxa"/>
          </w:tcPr>
          <w:p w:rsidRPr="009C48DA" w:rsidR="00661519" w:rsidP="00661519" w:rsidRDefault="00661519" w14:paraId="16EFE363"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7"/>
                <w:lang w:val="en-GB"/>
              </w:rPr>
              <w:t>(6,149)</w:t>
            </w:r>
          </w:p>
        </w:tc>
        <w:tc>
          <w:tcPr>
            <w:tcW w:w="1134" w:type="dxa"/>
          </w:tcPr>
          <w:p w:rsidRPr="009C48DA" w:rsidR="00661519" w:rsidP="00661519" w:rsidRDefault="00661519" w14:paraId="0BF31580"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7"/>
                <w:lang w:val="en-GB"/>
              </w:rPr>
              <w:t>(776)</w:t>
            </w:r>
          </w:p>
        </w:tc>
        <w:tc>
          <w:tcPr>
            <w:tcW w:w="1101" w:type="dxa"/>
          </w:tcPr>
          <w:p w:rsidRPr="009C48DA" w:rsidR="00661519" w:rsidP="00661519" w:rsidRDefault="00661519" w14:paraId="078C7C63"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7"/>
                <w:lang w:val="en-GB"/>
              </w:rPr>
              <w:t>(3,887)</w:t>
            </w:r>
          </w:p>
        </w:tc>
      </w:tr>
    </w:tbl>
    <w:p w:rsidRPr="009C48DA" w:rsidR="00661519" w:rsidP="00661519" w:rsidRDefault="00661519" w14:paraId="322B8EC9" w14:textId="77777777">
      <w:pPr>
        <w:spacing w:before="213" w:line="186" w:lineRule="exact"/>
        <w:textAlignment w:val="baseline"/>
        <w:rPr>
          <w:rFonts w:eastAsia="Times New Roman"/>
          <w:color w:val="000000"/>
          <w:sz w:val="16"/>
          <w:lang w:val="en-GB"/>
        </w:rPr>
      </w:pPr>
      <w:r w:rsidRPr="009C48DA">
        <w:rPr>
          <w:rFonts w:eastAsia="Times New Roman"/>
          <w:color w:val="000000"/>
          <w:sz w:val="16"/>
          <w:lang w:val="en-GB"/>
        </w:rPr>
        <w:br w:type="page"/>
      </w:r>
    </w:p>
    <w:p w:rsidRPr="009C48DA" w:rsidR="00661519" w:rsidP="00661519" w:rsidRDefault="00661519" w14:paraId="4C1188A4" w14:textId="77777777">
      <w:pPr>
        <w:spacing w:before="213" w:line="186" w:lineRule="exact"/>
        <w:textAlignment w:val="baseline"/>
        <w:rPr>
          <w:rFonts w:eastAsia="Times New Roman"/>
          <w:color w:val="000000"/>
          <w:sz w:val="16"/>
          <w:lang w:val="en-GB"/>
        </w:rPr>
      </w:pPr>
      <w:r w:rsidRPr="009C48DA">
        <w:rPr>
          <w:rFonts w:eastAsia="Times New Roman"/>
          <w:color w:val="000000"/>
          <w:sz w:val="16"/>
          <w:lang w:val="en-GB"/>
        </w:rPr>
        <w:lastRenderedPageBreak/>
        <w:t>The other finance income primarily relates to the unwind of discounting on the deferred proceeds receivable.</w:t>
      </w:r>
    </w:p>
    <w:p w:rsidRPr="009C48DA" w:rsidR="00661519" w:rsidP="00661519" w:rsidRDefault="00661519" w14:paraId="57B3CA54" w14:textId="77777777">
      <w:pPr>
        <w:spacing w:before="213" w:line="186" w:lineRule="exact"/>
        <w:jc w:val="both"/>
        <w:textAlignment w:val="baseline"/>
        <w:rPr>
          <w:rFonts w:eastAsia="Times New Roman"/>
          <w:color w:val="000000"/>
          <w:sz w:val="16"/>
          <w:lang w:val="en-GB"/>
        </w:rPr>
      </w:pPr>
      <w:r w:rsidRPr="009C48DA">
        <w:rPr>
          <w:rFonts w:eastAsia="Times New Roman"/>
          <w:color w:val="000000"/>
          <w:sz w:val="16"/>
          <w:lang w:val="en-GB"/>
        </w:rPr>
        <w:t xml:space="preserve">Finance income from assets under effective interest method relate to income from a portfolio of loans consolidated by the Group. See note </w:t>
      </w:r>
      <w:r w:rsidRPr="009C48DA">
        <w:rPr>
          <w:rFonts w:eastAsia="Times New Roman"/>
          <w:color w:val="000000"/>
          <w:sz w:val="16"/>
          <w:lang w:val="en-GB"/>
        </w:rPr>
        <w:br/>
        <w:t xml:space="preserve">17(d) for further detail. </w:t>
      </w:r>
    </w:p>
    <w:p w:rsidRPr="009C48DA" w:rsidR="00661519" w:rsidP="00661519" w:rsidRDefault="00661519" w14:paraId="2765CEAF" w14:textId="77777777">
      <w:pPr>
        <w:ind w:right="34"/>
        <w:textAlignment w:val="baseline"/>
        <w:rPr>
          <w:rFonts w:eastAsia="Times New Roman"/>
          <w:color w:val="000000"/>
          <w:sz w:val="16"/>
          <w:lang w:val="en-GB"/>
        </w:rPr>
      </w:pPr>
    </w:p>
    <w:p w:rsidRPr="009C48DA" w:rsidR="00661519" w:rsidP="00661519" w:rsidRDefault="00661519" w14:paraId="07B6E512" w14:textId="77777777">
      <w:pPr>
        <w:ind w:right="34"/>
        <w:textAlignment w:val="baseline"/>
        <w:rPr>
          <w:rFonts w:eastAsia="Times New Roman" w:cs="Times New Roman"/>
          <w:b/>
          <w:color w:val="000000"/>
          <w:sz w:val="16"/>
          <w:szCs w:val="22"/>
          <w:lang w:val="en-GB"/>
        </w:rPr>
      </w:pPr>
      <w:r w:rsidRPr="009C48DA">
        <w:rPr>
          <w:rFonts w:eastAsia="Times New Roman"/>
          <w:color w:val="000000"/>
          <w:sz w:val="16"/>
          <w:lang w:val="en-GB"/>
        </w:rPr>
        <w:t xml:space="preserve">Finance income/expense on other financial liabilities represent amounts due to a related party investors in the Opal Investments LP partnership under </w:t>
      </w:r>
      <w:r w:rsidRPr="009C48DA">
        <w:rPr>
          <w:rFonts w:eastAsia="Times New Roman"/>
          <w:color w:val="000000"/>
          <w:sz w:val="16"/>
          <w:lang w:val="en-GB"/>
        </w:rPr>
        <w:br/>
        <w:t>the limited partnership agreement (see note 18(d) for further detail).</w:t>
      </w:r>
      <w:r w:rsidRPr="009C48DA">
        <w:rPr>
          <w:rFonts w:eastAsia="Times New Roman" w:cs="Times New Roman"/>
          <w:b/>
          <w:color w:val="000000"/>
          <w:sz w:val="16"/>
          <w:szCs w:val="22"/>
          <w:lang w:val="en-GB"/>
        </w:rPr>
        <w:t xml:space="preserve"> </w:t>
      </w:r>
    </w:p>
    <w:p w:rsidRPr="009C48DA" w:rsidR="00661519" w:rsidP="00661519" w:rsidRDefault="00661519" w14:paraId="0E7EA0AF" w14:textId="77777777">
      <w:pPr>
        <w:ind w:right="34"/>
        <w:textAlignment w:val="baseline"/>
        <w:rPr>
          <w:rFonts w:eastAsia="Times New Roman" w:cs="Times New Roman"/>
          <w:b/>
          <w:color w:val="000000"/>
          <w:sz w:val="16"/>
          <w:szCs w:val="22"/>
          <w:lang w:val="en-GB"/>
        </w:rPr>
      </w:pPr>
    </w:p>
    <w:p w:rsidRPr="009C48DA" w:rsidR="00661519" w:rsidP="00661519" w:rsidRDefault="00661519" w14:paraId="2AE71572" w14:textId="77777777">
      <w:pPr>
        <w:ind w:right="34"/>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11</w:t>
      </w:r>
      <w:r w:rsidRPr="009C48DA">
        <w:rPr>
          <w:rFonts w:eastAsia="Times New Roman" w:cs="Times New Roman"/>
          <w:b/>
          <w:color w:val="000000"/>
          <w:sz w:val="16"/>
          <w:szCs w:val="22"/>
          <w:lang w:val="en-GB"/>
        </w:rPr>
        <w:tab/>
        <w:t>Tax expense</w:t>
      </w:r>
    </w:p>
    <w:p w:rsidRPr="009C48DA" w:rsidR="00661519" w:rsidP="00661519" w:rsidRDefault="00661519" w14:paraId="7E2E6EE8" w14:textId="77777777">
      <w:pPr>
        <w:ind w:right="34"/>
        <w:textAlignment w:val="baseline"/>
        <w:rPr>
          <w:rFonts w:eastAsia="Times New Roman" w:cs="Times New Roman"/>
          <w:b/>
          <w:color w:val="000000"/>
          <w:sz w:val="16"/>
          <w:szCs w:val="22"/>
          <w:lang w:val="en-GB"/>
        </w:rPr>
      </w:pPr>
    </w:p>
    <w:p w:rsidRPr="009C48DA" w:rsidR="00661519" w:rsidP="00661519" w:rsidRDefault="00661519" w14:paraId="5661B8D6" w14:textId="77777777">
      <w:pPr>
        <w:ind w:right="34"/>
        <w:textAlignment w:val="baseline"/>
        <w:rPr>
          <w:rFonts w:eastAsia="Times New Roman" w:cs="Times New Roman"/>
          <w:b/>
          <w:color w:val="000000"/>
          <w:sz w:val="16"/>
          <w:szCs w:val="22"/>
          <w:lang w:val="en-GB"/>
        </w:rPr>
      </w:pPr>
    </w:p>
    <w:p w:rsidRPr="009C48DA" w:rsidR="00661519" w:rsidP="00661519" w:rsidRDefault="00661519" w14:paraId="7DFCBBA3" w14:textId="77777777">
      <w:pPr>
        <w:ind w:right="34"/>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(a)</w:t>
      </w:r>
      <w:r w:rsidRPr="009C48DA">
        <w:rPr>
          <w:rFonts w:eastAsia="Times New Roman" w:cs="Times New Roman"/>
          <w:b/>
          <w:color w:val="000000"/>
          <w:sz w:val="16"/>
          <w:szCs w:val="22"/>
          <w:lang w:val="en-GB"/>
        </w:rPr>
        <w:tab/>
        <w:t>Tax expense</w:t>
      </w:r>
    </w:p>
    <w:p w:rsidRPr="009C48DA" w:rsidR="00661519" w:rsidP="00661519" w:rsidRDefault="00661519" w14:paraId="63B74A82" w14:textId="77777777">
      <w:pPr>
        <w:ind w:right="34"/>
        <w:textAlignment w:val="baseline"/>
        <w:rPr>
          <w:rFonts w:eastAsia="Times New Roman" w:cs="Times New Roman"/>
          <w:b/>
          <w:color w:val="000000"/>
          <w:sz w:val="16"/>
          <w:szCs w:val="22"/>
          <w:lang w:val="en-GB"/>
        </w:rPr>
      </w:pPr>
    </w:p>
    <w:p w:rsidRPr="009C48DA" w:rsidR="00661519" w:rsidP="00661519" w:rsidRDefault="00661519" w14:paraId="09B24575" w14:textId="77777777">
      <w:pPr>
        <w:ind w:right="34"/>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Tax charged in the Income Statement:</w:t>
      </w:r>
    </w:p>
    <w:p w:rsidRPr="009C48DA" w:rsidR="00661519" w:rsidP="00661519" w:rsidRDefault="00661519" w14:paraId="171F4005" w14:textId="77777777">
      <w:pPr>
        <w:ind w:right="34"/>
        <w:textAlignment w:val="baseline"/>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36"/>
        <w:gridCol w:w="1020"/>
        <w:gridCol w:w="1021"/>
        <w:gridCol w:w="935"/>
        <w:gridCol w:w="1106"/>
        <w:gridCol w:w="1021"/>
      </w:tblGrid>
      <w:tr w:rsidRPr="009C48DA" w:rsidR="00661519" w:rsidTr="00661519" w14:paraId="430999C8" w14:textId="77777777">
        <w:tc>
          <w:tcPr>
            <w:tcW w:w="3936" w:type="dxa"/>
            <w:vAlign w:val="bottom"/>
          </w:tcPr>
          <w:p w:rsidRPr="009C48DA" w:rsidR="00661519" w:rsidP="00661519" w:rsidRDefault="00661519" w14:paraId="24E7C13B" w14:textId="77777777">
            <w:pPr>
              <w:jc w:val="both"/>
              <w:textAlignment w:val="baseline"/>
              <w:rPr>
                <w:rFonts w:eastAsia="Times New Roman"/>
                <w:color w:val="000000"/>
                <w:sz w:val="16"/>
                <w:lang w:val="en-GB"/>
              </w:rPr>
            </w:pPr>
          </w:p>
        </w:tc>
        <w:tc>
          <w:tcPr>
            <w:tcW w:w="2976" w:type="dxa"/>
            <w:gridSpan w:val="3"/>
            <w:vAlign w:val="bottom"/>
          </w:tcPr>
          <w:p w:rsidRPr="009C48DA" w:rsidR="00661519" w:rsidP="00661519" w:rsidRDefault="00661519" w14:paraId="69ECBDDC"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Year ended 31 December</w:t>
            </w:r>
          </w:p>
        </w:tc>
        <w:tc>
          <w:tcPr>
            <w:tcW w:w="2127" w:type="dxa"/>
            <w:gridSpan w:val="2"/>
            <w:vAlign w:val="bottom"/>
          </w:tcPr>
          <w:p w:rsidRPr="009C48DA" w:rsidR="00661519" w:rsidP="00661519" w:rsidRDefault="00661519" w14:paraId="3A3CA16D"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Three month period ended 31 March</w:t>
            </w:r>
          </w:p>
        </w:tc>
      </w:tr>
      <w:tr w:rsidRPr="009C48DA" w:rsidR="00661519" w:rsidTr="00661519" w14:paraId="32E0F8B9" w14:textId="77777777">
        <w:tc>
          <w:tcPr>
            <w:tcW w:w="3936" w:type="dxa"/>
            <w:vAlign w:val="bottom"/>
          </w:tcPr>
          <w:p w:rsidRPr="009C48DA" w:rsidR="00661519" w:rsidP="00661519" w:rsidRDefault="00661519" w14:paraId="625D568F" w14:textId="77777777">
            <w:pPr>
              <w:jc w:val="both"/>
              <w:textAlignment w:val="baseline"/>
              <w:rPr>
                <w:rFonts w:eastAsia="Times New Roman"/>
                <w:color w:val="000000"/>
                <w:sz w:val="16"/>
                <w:lang w:val="en-GB"/>
              </w:rPr>
            </w:pPr>
          </w:p>
        </w:tc>
        <w:tc>
          <w:tcPr>
            <w:tcW w:w="1020" w:type="dxa"/>
            <w:vAlign w:val="bottom"/>
          </w:tcPr>
          <w:p w:rsidRPr="009C48DA" w:rsidR="00661519" w:rsidP="00661519" w:rsidRDefault="00661519" w14:paraId="31CEA20A" w14:textId="77777777">
            <w:pPr>
              <w:jc w:val="right"/>
              <w:textAlignment w:val="baseline"/>
              <w:rPr>
                <w:rFonts w:eastAsia="Times New Roman"/>
                <w:b/>
                <w:color w:val="000000"/>
                <w:sz w:val="16"/>
                <w:lang w:val="en-GB"/>
              </w:rPr>
            </w:pPr>
          </w:p>
        </w:tc>
        <w:tc>
          <w:tcPr>
            <w:tcW w:w="1021" w:type="dxa"/>
            <w:vAlign w:val="bottom"/>
          </w:tcPr>
          <w:p w:rsidRPr="009C48DA" w:rsidR="00661519" w:rsidP="00661519" w:rsidRDefault="00661519" w14:paraId="5F2B174C" w14:textId="77777777">
            <w:pPr>
              <w:jc w:val="right"/>
              <w:textAlignment w:val="baseline"/>
              <w:rPr>
                <w:rFonts w:eastAsia="Times New Roman"/>
                <w:b/>
                <w:color w:val="000000"/>
                <w:sz w:val="16"/>
                <w:lang w:val="en-GB"/>
              </w:rPr>
            </w:pPr>
          </w:p>
        </w:tc>
        <w:tc>
          <w:tcPr>
            <w:tcW w:w="935" w:type="dxa"/>
            <w:vAlign w:val="bottom"/>
          </w:tcPr>
          <w:p w:rsidRPr="009C48DA" w:rsidR="00661519" w:rsidP="00661519" w:rsidRDefault="00661519" w14:paraId="1329AB42" w14:textId="77777777">
            <w:pPr>
              <w:jc w:val="right"/>
              <w:textAlignment w:val="baseline"/>
              <w:rPr>
                <w:rFonts w:eastAsia="Times New Roman"/>
                <w:b/>
                <w:color w:val="000000"/>
                <w:sz w:val="16"/>
                <w:lang w:val="en-GB"/>
              </w:rPr>
            </w:pPr>
          </w:p>
        </w:tc>
        <w:tc>
          <w:tcPr>
            <w:tcW w:w="2127" w:type="dxa"/>
            <w:gridSpan w:val="2"/>
            <w:vAlign w:val="bottom"/>
          </w:tcPr>
          <w:p w:rsidRPr="009C48DA" w:rsidR="00661519" w:rsidP="00661519" w:rsidRDefault="00661519" w14:paraId="409BC4FD" w14:textId="77777777">
            <w:pPr>
              <w:textAlignment w:val="baseline"/>
              <w:rPr>
                <w:rFonts w:eastAsia="Times New Roman"/>
                <w:b/>
                <w:color w:val="000000"/>
                <w:sz w:val="16"/>
                <w:lang w:val="en-GB"/>
              </w:rPr>
            </w:pPr>
            <w:r w:rsidRPr="009C48DA">
              <w:rPr>
                <w:rFonts w:eastAsia="Times New Roman"/>
                <w:b/>
                <w:color w:val="000000"/>
                <w:sz w:val="16"/>
                <w:lang w:val="en-GB"/>
              </w:rPr>
              <w:t xml:space="preserve">    Unaudited</w:t>
            </w:r>
          </w:p>
        </w:tc>
      </w:tr>
      <w:tr w:rsidRPr="009C48DA" w:rsidR="00661519" w:rsidTr="00661519" w14:paraId="0C8B30E3" w14:textId="77777777">
        <w:tc>
          <w:tcPr>
            <w:tcW w:w="3936" w:type="dxa"/>
            <w:vAlign w:val="bottom"/>
          </w:tcPr>
          <w:p w:rsidRPr="009C48DA" w:rsidR="00661519" w:rsidP="00661519" w:rsidRDefault="00661519" w14:paraId="7BB2B0BD" w14:textId="77777777">
            <w:pPr>
              <w:jc w:val="both"/>
              <w:textAlignment w:val="baseline"/>
              <w:rPr>
                <w:rFonts w:eastAsia="Times New Roman"/>
                <w:color w:val="000000"/>
                <w:sz w:val="16"/>
                <w:lang w:val="en-GB"/>
              </w:rPr>
            </w:pPr>
          </w:p>
        </w:tc>
        <w:tc>
          <w:tcPr>
            <w:tcW w:w="1020" w:type="dxa"/>
            <w:vAlign w:val="bottom"/>
          </w:tcPr>
          <w:p w:rsidRPr="009C48DA" w:rsidR="00661519" w:rsidP="00661519" w:rsidRDefault="00661519" w14:paraId="11333335"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74402522"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021" w:type="dxa"/>
            <w:vAlign w:val="bottom"/>
          </w:tcPr>
          <w:p w:rsidRPr="009C48DA" w:rsidR="00661519" w:rsidP="00661519" w:rsidRDefault="00661519" w14:paraId="5BDD81FC"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5BD08B78"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935" w:type="dxa"/>
            <w:vAlign w:val="bottom"/>
          </w:tcPr>
          <w:p w:rsidRPr="009C48DA" w:rsidR="00661519" w:rsidP="00661519" w:rsidRDefault="00661519" w14:paraId="6A835C26"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4C730AAD"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06" w:type="dxa"/>
            <w:vAlign w:val="bottom"/>
          </w:tcPr>
          <w:p w:rsidRPr="009C48DA" w:rsidR="00661519" w:rsidP="00661519" w:rsidRDefault="00661519" w14:paraId="746D65C3"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23E5DEA8"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021" w:type="dxa"/>
            <w:vAlign w:val="bottom"/>
          </w:tcPr>
          <w:p w:rsidRPr="009C48DA" w:rsidR="00661519" w:rsidP="00661519" w:rsidRDefault="00661519" w14:paraId="449B8D67"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1E8C6F01"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03FFADE5" w14:textId="77777777">
        <w:tc>
          <w:tcPr>
            <w:tcW w:w="3936" w:type="dxa"/>
            <w:vAlign w:val="bottom"/>
          </w:tcPr>
          <w:p w:rsidRPr="009C48DA" w:rsidR="00661519" w:rsidP="00661519" w:rsidRDefault="00661519" w14:paraId="52DF3ECB" w14:textId="77777777">
            <w:pPr>
              <w:spacing w:before="60"/>
              <w:jc w:val="both"/>
              <w:textAlignment w:val="baseline"/>
              <w:rPr>
                <w:rFonts w:eastAsia="Times New Roman"/>
                <w:b/>
                <w:color w:val="000000"/>
                <w:sz w:val="16"/>
                <w:lang w:val="en-GB"/>
              </w:rPr>
            </w:pPr>
            <w:r w:rsidRPr="009C48DA">
              <w:rPr>
                <w:rFonts w:eastAsia="Times New Roman"/>
                <w:b/>
                <w:color w:val="000000"/>
                <w:sz w:val="16"/>
                <w:lang w:val="en-GB"/>
              </w:rPr>
              <w:t>Current taxation</w:t>
            </w:r>
          </w:p>
        </w:tc>
        <w:tc>
          <w:tcPr>
            <w:tcW w:w="1020" w:type="dxa"/>
            <w:vAlign w:val="bottom"/>
          </w:tcPr>
          <w:p w:rsidRPr="009C48DA" w:rsidR="00661519" w:rsidP="00661519" w:rsidRDefault="00661519" w14:paraId="5978D2C7" w14:textId="77777777">
            <w:pPr>
              <w:spacing w:before="60"/>
              <w:jc w:val="right"/>
              <w:textAlignment w:val="baseline"/>
              <w:rPr>
                <w:rFonts w:eastAsia="Times New Roman"/>
                <w:color w:val="000000"/>
                <w:sz w:val="16"/>
                <w:lang w:val="en-GB"/>
              </w:rPr>
            </w:pPr>
          </w:p>
        </w:tc>
        <w:tc>
          <w:tcPr>
            <w:tcW w:w="1021" w:type="dxa"/>
            <w:vAlign w:val="bottom"/>
          </w:tcPr>
          <w:p w:rsidRPr="009C48DA" w:rsidR="00661519" w:rsidP="00661519" w:rsidRDefault="00661519" w14:paraId="0B3AFEC1" w14:textId="77777777">
            <w:pPr>
              <w:spacing w:before="60"/>
              <w:jc w:val="right"/>
              <w:textAlignment w:val="baseline"/>
              <w:rPr>
                <w:rFonts w:eastAsia="Times New Roman"/>
                <w:color w:val="000000"/>
                <w:sz w:val="16"/>
                <w:lang w:val="en-GB"/>
              </w:rPr>
            </w:pPr>
          </w:p>
        </w:tc>
        <w:tc>
          <w:tcPr>
            <w:tcW w:w="935" w:type="dxa"/>
            <w:vAlign w:val="bottom"/>
          </w:tcPr>
          <w:p w:rsidRPr="009C48DA" w:rsidR="00661519" w:rsidP="00661519" w:rsidRDefault="00661519" w14:paraId="714BD926" w14:textId="77777777">
            <w:pPr>
              <w:spacing w:before="60"/>
              <w:jc w:val="right"/>
              <w:textAlignment w:val="baseline"/>
              <w:rPr>
                <w:rFonts w:eastAsia="Times New Roman"/>
                <w:color w:val="000000"/>
                <w:sz w:val="16"/>
                <w:lang w:val="en-GB"/>
              </w:rPr>
            </w:pPr>
          </w:p>
        </w:tc>
        <w:tc>
          <w:tcPr>
            <w:tcW w:w="1106" w:type="dxa"/>
            <w:vAlign w:val="bottom"/>
          </w:tcPr>
          <w:p w:rsidRPr="009C48DA" w:rsidR="00661519" w:rsidP="00661519" w:rsidRDefault="00661519" w14:paraId="05D67900" w14:textId="77777777">
            <w:pPr>
              <w:spacing w:before="60"/>
              <w:jc w:val="right"/>
              <w:textAlignment w:val="baseline"/>
              <w:rPr>
                <w:rFonts w:eastAsia="Times New Roman"/>
                <w:color w:val="000000"/>
                <w:sz w:val="16"/>
                <w:lang w:val="en-GB"/>
              </w:rPr>
            </w:pPr>
          </w:p>
        </w:tc>
        <w:tc>
          <w:tcPr>
            <w:tcW w:w="1021" w:type="dxa"/>
            <w:vAlign w:val="bottom"/>
          </w:tcPr>
          <w:p w:rsidRPr="009C48DA" w:rsidR="00661519" w:rsidP="00661519" w:rsidRDefault="00661519" w14:paraId="0FECA196" w14:textId="77777777">
            <w:pPr>
              <w:spacing w:before="60"/>
              <w:jc w:val="right"/>
              <w:textAlignment w:val="baseline"/>
              <w:rPr>
                <w:rFonts w:eastAsia="Times New Roman"/>
                <w:color w:val="000000"/>
                <w:sz w:val="16"/>
                <w:lang w:val="en-GB"/>
              </w:rPr>
            </w:pPr>
          </w:p>
        </w:tc>
      </w:tr>
      <w:tr w:rsidRPr="009C48DA" w:rsidR="00661519" w:rsidTr="00661519" w14:paraId="2B934200" w14:textId="77777777">
        <w:tc>
          <w:tcPr>
            <w:tcW w:w="3936" w:type="dxa"/>
            <w:vAlign w:val="bottom"/>
          </w:tcPr>
          <w:p w:rsidRPr="009C48DA" w:rsidR="00661519" w:rsidP="00661519" w:rsidRDefault="00661519" w14:paraId="02BED8BA"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Current tax - current year</w:t>
            </w:r>
          </w:p>
        </w:tc>
        <w:tc>
          <w:tcPr>
            <w:tcW w:w="1020" w:type="dxa"/>
          </w:tcPr>
          <w:p w:rsidRPr="009C48DA" w:rsidR="00661519" w:rsidP="00661519" w:rsidRDefault="00661519" w14:paraId="6E8D0353"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903</w:t>
            </w:r>
          </w:p>
        </w:tc>
        <w:tc>
          <w:tcPr>
            <w:tcW w:w="1021" w:type="dxa"/>
          </w:tcPr>
          <w:p w:rsidRPr="009C48DA" w:rsidR="00661519" w:rsidP="00661519" w:rsidRDefault="00661519" w14:paraId="32C58A5B"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2,273</w:t>
            </w:r>
          </w:p>
        </w:tc>
        <w:tc>
          <w:tcPr>
            <w:tcW w:w="935" w:type="dxa"/>
          </w:tcPr>
          <w:p w:rsidRPr="009C48DA" w:rsidR="00661519" w:rsidP="00661519" w:rsidRDefault="00661519" w14:paraId="5F59918F"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1,866</w:t>
            </w:r>
          </w:p>
        </w:tc>
        <w:tc>
          <w:tcPr>
            <w:tcW w:w="1106" w:type="dxa"/>
          </w:tcPr>
          <w:p w:rsidRPr="009C48DA" w:rsidR="00661519" w:rsidP="00661519" w:rsidRDefault="00661519" w14:paraId="0A320640"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490</w:t>
            </w:r>
          </w:p>
        </w:tc>
        <w:tc>
          <w:tcPr>
            <w:tcW w:w="1021" w:type="dxa"/>
          </w:tcPr>
          <w:p w:rsidRPr="009C48DA" w:rsidR="00661519" w:rsidP="00661519" w:rsidRDefault="00661519" w14:paraId="3C267CEC"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736</w:t>
            </w:r>
          </w:p>
        </w:tc>
      </w:tr>
      <w:tr w:rsidRPr="009C48DA" w:rsidR="00661519" w:rsidTr="00661519" w14:paraId="4986E283" w14:textId="77777777">
        <w:tc>
          <w:tcPr>
            <w:tcW w:w="3936" w:type="dxa"/>
            <w:vAlign w:val="bottom"/>
          </w:tcPr>
          <w:p w:rsidRPr="009C48DA" w:rsidR="00661519" w:rsidP="00661519" w:rsidRDefault="00661519" w14:paraId="4B57D2CA"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Current tax - prior year</w:t>
            </w:r>
          </w:p>
        </w:tc>
        <w:tc>
          <w:tcPr>
            <w:tcW w:w="1020" w:type="dxa"/>
          </w:tcPr>
          <w:p w:rsidRPr="009C48DA" w:rsidR="00661519" w:rsidP="00661519" w:rsidRDefault="00661519" w14:paraId="033E7298"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94</w:t>
            </w:r>
          </w:p>
        </w:tc>
        <w:tc>
          <w:tcPr>
            <w:tcW w:w="1021" w:type="dxa"/>
          </w:tcPr>
          <w:p w:rsidRPr="009C48DA" w:rsidR="00661519" w:rsidP="00661519" w:rsidRDefault="00661519" w14:paraId="0DBED137"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65</w:t>
            </w:r>
          </w:p>
        </w:tc>
        <w:tc>
          <w:tcPr>
            <w:tcW w:w="935" w:type="dxa"/>
          </w:tcPr>
          <w:p w:rsidRPr="009C48DA" w:rsidR="00661519" w:rsidP="00661519" w:rsidRDefault="00661519" w14:paraId="6C6CF3F6"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06" w:type="dxa"/>
          </w:tcPr>
          <w:p w:rsidRPr="009C48DA" w:rsidR="00661519" w:rsidP="00661519" w:rsidRDefault="00661519" w14:paraId="2AD81210"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021" w:type="dxa"/>
          </w:tcPr>
          <w:p w:rsidRPr="009C48DA" w:rsidR="00661519" w:rsidP="00661519" w:rsidRDefault="00661519" w14:paraId="3E39C6A8"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5812968A" w14:textId="77777777">
        <w:tc>
          <w:tcPr>
            <w:tcW w:w="3936" w:type="dxa"/>
            <w:vAlign w:val="bottom"/>
          </w:tcPr>
          <w:p w:rsidRPr="009C48DA" w:rsidR="00661519" w:rsidP="00661519" w:rsidRDefault="00661519" w14:paraId="56ACA05E"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Total current tax expense</w:t>
            </w:r>
          </w:p>
        </w:tc>
        <w:tc>
          <w:tcPr>
            <w:tcW w:w="1020" w:type="dxa"/>
          </w:tcPr>
          <w:p w:rsidRPr="009C48DA" w:rsidR="00661519" w:rsidP="00661519" w:rsidRDefault="00661519" w14:paraId="37911BC1"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997</w:t>
            </w:r>
          </w:p>
        </w:tc>
        <w:tc>
          <w:tcPr>
            <w:tcW w:w="1021" w:type="dxa"/>
          </w:tcPr>
          <w:p w:rsidRPr="009C48DA" w:rsidR="00661519" w:rsidP="00661519" w:rsidRDefault="00661519" w14:paraId="54E27A47"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2,338</w:t>
            </w:r>
          </w:p>
        </w:tc>
        <w:tc>
          <w:tcPr>
            <w:tcW w:w="935" w:type="dxa"/>
          </w:tcPr>
          <w:p w:rsidRPr="009C48DA" w:rsidR="00661519" w:rsidP="00661519" w:rsidRDefault="00661519" w14:paraId="0F79D45B"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1,866</w:t>
            </w:r>
          </w:p>
        </w:tc>
        <w:tc>
          <w:tcPr>
            <w:tcW w:w="1106" w:type="dxa"/>
          </w:tcPr>
          <w:p w:rsidRPr="009C48DA" w:rsidR="00661519" w:rsidP="00661519" w:rsidRDefault="00661519" w14:paraId="4FD46360"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490</w:t>
            </w:r>
          </w:p>
        </w:tc>
        <w:tc>
          <w:tcPr>
            <w:tcW w:w="1021" w:type="dxa"/>
          </w:tcPr>
          <w:p w:rsidRPr="009C48DA" w:rsidR="00661519" w:rsidP="00661519" w:rsidRDefault="00661519" w14:paraId="21F53C2F"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736</w:t>
            </w:r>
          </w:p>
        </w:tc>
      </w:tr>
      <w:tr w:rsidRPr="009C48DA" w:rsidR="00661519" w:rsidTr="00661519" w14:paraId="1188E16A" w14:textId="77777777">
        <w:tc>
          <w:tcPr>
            <w:tcW w:w="3936" w:type="dxa"/>
            <w:vAlign w:val="bottom"/>
          </w:tcPr>
          <w:p w:rsidRPr="009C48DA" w:rsidR="00661519" w:rsidP="00661519" w:rsidRDefault="00661519" w14:paraId="5C260033" w14:textId="77777777">
            <w:pPr>
              <w:spacing w:before="60"/>
              <w:jc w:val="both"/>
              <w:textAlignment w:val="baseline"/>
              <w:rPr>
                <w:rFonts w:eastAsia="Times New Roman"/>
                <w:b/>
                <w:color w:val="000000"/>
                <w:sz w:val="16"/>
                <w:lang w:val="en-GB"/>
              </w:rPr>
            </w:pPr>
            <w:r w:rsidRPr="009C48DA">
              <w:rPr>
                <w:rFonts w:eastAsia="Times New Roman"/>
                <w:b/>
                <w:color w:val="000000"/>
                <w:sz w:val="16"/>
                <w:lang w:val="en-GB"/>
              </w:rPr>
              <w:t>Deferred taxation</w:t>
            </w:r>
          </w:p>
        </w:tc>
        <w:tc>
          <w:tcPr>
            <w:tcW w:w="1020" w:type="dxa"/>
          </w:tcPr>
          <w:p w:rsidRPr="009C48DA" w:rsidR="00661519" w:rsidP="00661519" w:rsidRDefault="00661519" w14:paraId="38E29D16" w14:textId="77777777">
            <w:pPr>
              <w:spacing w:before="60"/>
              <w:jc w:val="right"/>
              <w:textAlignment w:val="baseline"/>
              <w:rPr>
                <w:rFonts w:eastAsia="Times New Roman"/>
                <w:color w:val="000000"/>
                <w:sz w:val="16"/>
                <w:lang w:val="en-GB"/>
              </w:rPr>
            </w:pPr>
          </w:p>
        </w:tc>
        <w:tc>
          <w:tcPr>
            <w:tcW w:w="1021" w:type="dxa"/>
          </w:tcPr>
          <w:p w:rsidRPr="009C48DA" w:rsidR="00661519" w:rsidP="00661519" w:rsidRDefault="00661519" w14:paraId="68B138CB" w14:textId="77777777">
            <w:pPr>
              <w:spacing w:before="60"/>
              <w:jc w:val="right"/>
              <w:textAlignment w:val="baseline"/>
              <w:rPr>
                <w:rFonts w:eastAsia="Times New Roman"/>
                <w:color w:val="000000"/>
                <w:sz w:val="16"/>
                <w:lang w:val="en-GB"/>
              </w:rPr>
            </w:pPr>
          </w:p>
        </w:tc>
        <w:tc>
          <w:tcPr>
            <w:tcW w:w="935" w:type="dxa"/>
          </w:tcPr>
          <w:p w:rsidRPr="009C48DA" w:rsidR="00661519" w:rsidP="00661519" w:rsidRDefault="00661519" w14:paraId="71DCC1D9" w14:textId="77777777">
            <w:pPr>
              <w:spacing w:before="60"/>
              <w:jc w:val="right"/>
              <w:textAlignment w:val="baseline"/>
              <w:rPr>
                <w:rFonts w:eastAsia="Times New Roman"/>
                <w:color w:val="000000"/>
                <w:sz w:val="16"/>
                <w:lang w:val="en-GB"/>
              </w:rPr>
            </w:pPr>
          </w:p>
        </w:tc>
        <w:tc>
          <w:tcPr>
            <w:tcW w:w="1106" w:type="dxa"/>
          </w:tcPr>
          <w:p w:rsidRPr="009C48DA" w:rsidR="00661519" w:rsidP="00661519" w:rsidRDefault="00661519" w14:paraId="3D059692" w14:textId="77777777">
            <w:pPr>
              <w:spacing w:before="60"/>
              <w:jc w:val="right"/>
              <w:textAlignment w:val="baseline"/>
              <w:rPr>
                <w:rFonts w:eastAsia="Times New Roman"/>
                <w:color w:val="000000"/>
                <w:sz w:val="16"/>
                <w:lang w:val="en-GB"/>
              </w:rPr>
            </w:pPr>
          </w:p>
        </w:tc>
        <w:tc>
          <w:tcPr>
            <w:tcW w:w="1021" w:type="dxa"/>
          </w:tcPr>
          <w:p w:rsidRPr="009C48DA" w:rsidR="00661519" w:rsidP="00661519" w:rsidRDefault="00661519" w14:paraId="1A6E38E1" w14:textId="77777777">
            <w:pPr>
              <w:spacing w:before="60"/>
              <w:jc w:val="right"/>
              <w:textAlignment w:val="baseline"/>
              <w:rPr>
                <w:rFonts w:eastAsia="Times New Roman"/>
                <w:color w:val="000000"/>
                <w:sz w:val="16"/>
                <w:lang w:val="en-GB"/>
              </w:rPr>
            </w:pPr>
          </w:p>
        </w:tc>
      </w:tr>
      <w:tr w:rsidRPr="009C48DA" w:rsidR="00661519" w:rsidTr="00661519" w14:paraId="129361EE" w14:textId="77777777">
        <w:tc>
          <w:tcPr>
            <w:tcW w:w="3936" w:type="dxa"/>
            <w:vAlign w:val="bottom"/>
          </w:tcPr>
          <w:p w:rsidRPr="009C48DA" w:rsidR="00661519" w:rsidP="00661519" w:rsidRDefault="00661519" w14:paraId="4B3C5289" w14:textId="77777777">
            <w:pPr>
              <w:spacing w:before="60"/>
              <w:textAlignment w:val="baseline"/>
              <w:rPr>
                <w:rFonts w:eastAsia="Times New Roman"/>
                <w:b/>
                <w:color w:val="000000"/>
                <w:sz w:val="16"/>
                <w:lang w:val="en-GB"/>
              </w:rPr>
            </w:pPr>
            <w:r w:rsidRPr="009C48DA">
              <w:rPr>
                <w:rFonts w:eastAsia="Times New Roman"/>
                <w:color w:val="000000"/>
                <w:sz w:val="16"/>
                <w:lang w:val="en-GB"/>
              </w:rPr>
              <w:t>Deferred tax - current year</w:t>
            </w:r>
          </w:p>
        </w:tc>
        <w:tc>
          <w:tcPr>
            <w:tcW w:w="1020" w:type="dxa"/>
          </w:tcPr>
          <w:p w:rsidRPr="009C48DA" w:rsidR="00661519" w:rsidP="00661519" w:rsidRDefault="00661519" w14:paraId="64371FFE"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9,571</w:t>
            </w:r>
          </w:p>
        </w:tc>
        <w:tc>
          <w:tcPr>
            <w:tcW w:w="1021" w:type="dxa"/>
          </w:tcPr>
          <w:p w:rsidRPr="009C48DA" w:rsidR="00661519" w:rsidP="00661519" w:rsidRDefault="00661519" w14:paraId="31D34564"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2,433</w:t>
            </w:r>
          </w:p>
        </w:tc>
        <w:tc>
          <w:tcPr>
            <w:tcW w:w="935" w:type="dxa"/>
          </w:tcPr>
          <w:p w:rsidRPr="009C48DA" w:rsidR="00661519" w:rsidP="00661519" w:rsidRDefault="00661519" w14:paraId="1119D94F"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33</w:t>
            </w:r>
          </w:p>
        </w:tc>
        <w:tc>
          <w:tcPr>
            <w:tcW w:w="1106" w:type="dxa"/>
          </w:tcPr>
          <w:p w:rsidRPr="009C48DA" w:rsidR="00661519" w:rsidP="00661519" w:rsidRDefault="00661519" w14:paraId="27B26638"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36</w:t>
            </w:r>
          </w:p>
        </w:tc>
        <w:tc>
          <w:tcPr>
            <w:tcW w:w="1021" w:type="dxa"/>
          </w:tcPr>
          <w:p w:rsidRPr="009C48DA" w:rsidR="00661519" w:rsidP="00661519" w:rsidRDefault="00661519" w14:paraId="020846DE"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1,932</w:t>
            </w:r>
          </w:p>
        </w:tc>
      </w:tr>
      <w:tr w:rsidRPr="009C48DA" w:rsidR="00661519" w:rsidTr="00661519" w14:paraId="770C26E4" w14:textId="77777777">
        <w:tc>
          <w:tcPr>
            <w:tcW w:w="3936" w:type="dxa"/>
            <w:vAlign w:val="bottom"/>
          </w:tcPr>
          <w:p w:rsidRPr="009C48DA" w:rsidR="00661519" w:rsidP="00661519" w:rsidRDefault="00661519" w14:paraId="3B20B28B" w14:textId="77777777">
            <w:pPr>
              <w:spacing w:before="60"/>
              <w:textAlignment w:val="baseline"/>
              <w:rPr>
                <w:rFonts w:eastAsia="Times New Roman"/>
                <w:color w:val="000000"/>
                <w:sz w:val="16"/>
                <w:lang w:val="en-GB"/>
              </w:rPr>
            </w:pPr>
            <w:r w:rsidRPr="009C48DA">
              <w:rPr>
                <w:rFonts w:eastAsia="Times New Roman"/>
                <w:color w:val="000000"/>
                <w:sz w:val="16"/>
                <w:lang w:val="en-GB"/>
              </w:rPr>
              <w:t>Deferred tax - prior year</w:t>
            </w:r>
          </w:p>
        </w:tc>
        <w:tc>
          <w:tcPr>
            <w:tcW w:w="1020" w:type="dxa"/>
          </w:tcPr>
          <w:p w:rsidRPr="009C48DA" w:rsidR="00661519" w:rsidP="00661519" w:rsidRDefault="00661519" w14:paraId="706E491F"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 xml:space="preserve">(1,092) </w:t>
            </w:r>
          </w:p>
        </w:tc>
        <w:tc>
          <w:tcPr>
            <w:tcW w:w="1021" w:type="dxa"/>
          </w:tcPr>
          <w:p w:rsidRPr="009C48DA" w:rsidR="00661519" w:rsidP="00661519" w:rsidRDefault="00661519" w14:paraId="51F8272B"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776</w:t>
            </w:r>
          </w:p>
        </w:tc>
        <w:tc>
          <w:tcPr>
            <w:tcW w:w="935" w:type="dxa"/>
          </w:tcPr>
          <w:p w:rsidRPr="009C48DA" w:rsidR="00661519" w:rsidP="00661519" w:rsidRDefault="00661519" w14:paraId="38036EAB"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(1,094)</w:t>
            </w:r>
          </w:p>
        </w:tc>
        <w:tc>
          <w:tcPr>
            <w:tcW w:w="1106" w:type="dxa"/>
          </w:tcPr>
          <w:p w:rsidRPr="009C48DA" w:rsidR="00661519" w:rsidP="00661519" w:rsidRDefault="00661519" w14:paraId="76B96BFC"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(273)</w:t>
            </w:r>
          </w:p>
        </w:tc>
        <w:tc>
          <w:tcPr>
            <w:tcW w:w="1021" w:type="dxa"/>
          </w:tcPr>
          <w:p w:rsidRPr="009C48DA" w:rsidR="00661519" w:rsidP="00661519" w:rsidRDefault="00661519" w14:paraId="4270A8E5"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2DC46799" w14:textId="77777777">
        <w:tc>
          <w:tcPr>
            <w:tcW w:w="3936" w:type="dxa"/>
            <w:vAlign w:val="bottom"/>
          </w:tcPr>
          <w:p w:rsidRPr="009C48DA" w:rsidR="00661519" w:rsidP="00661519" w:rsidRDefault="00661519" w14:paraId="283CE088" w14:textId="77777777">
            <w:pPr>
              <w:spacing w:before="60"/>
              <w:textAlignment w:val="baseline"/>
              <w:rPr>
                <w:rFonts w:eastAsia="Times New Roman"/>
                <w:color w:val="000000"/>
                <w:sz w:val="16"/>
                <w:lang w:val="en-GB"/>
              </w:rPr>
            </w:pPr>
            <w:r w:rsidRPr="009C48DA">
              <w:rPr>
                <w:rFonts w:eastAsia="Times New Roman"/>
                <w:color w:val="000000"/>
                <w:sz w:val="16"/>
                <w:lang w:val="en-GB"/>
              </w:rPr>
              <w:t>Total deferred taxation</w:t>
            </w:r>
          </w:p>
        </w:tc>
        <w:tc>
          <w:tcPr>
            <w:tcW w:w="1020" w:type="dxa"/>
          </w:tcPr>
          <w:p w:rsidRPr="009C48DA" w:rsidR="00661519" w:rsidP="00661519" w:rsidRDefault="00661519" w14:paraId="427E83DE"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8,479</w:t>
            </w:r>
          </w:p>
        </w:tc>
        <w:tc>
          <w:tcPr>
            <w:tcW w:w="1021" w:type="dxa"/>
          </w:tcPr>
          <w:p w:rsidRPr="009C48DA" w:rsidR="00661519" w:rsidP="00661519" w:rsidRDefault="00661519" w14:paraId="0A95B9E9"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3,209</w:t>
            </w:r>
          </w:p>
        </w:tc>
        <w:tc>
          <w:tcPr>
            <w:tcW w:w="935" w:type="dxa"/>
          </w:tcPr>
          <w:p w:rsidRPr="009C48DA" w:rsidR="00661519" w:rsidP="00661519" w:rsidRDefault="00661519" w14:paraId="2D09E674"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(1,061)</w:t>
            </w:r>
          </w:p>
        </w:tc>
        <w:tc>
          <w:tcPr>
            <w:tcW w:w="1106" w:type="dxa"/>
          </w:tcPr>
          <w:p w:rsidRPr="009C48DA" w:rsidR="00661519" w:rsidP="00661519" w:rsidRDefault="00661519" w14:paraId="6FDABC91"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(237)</w:t>
            </w:r>
          </w:p>
        </w:tc>
        <w:tc>
          <w:tcPr>
            <w:tcW w:w="1021" w:type="dxa"/>
          </w:tcPr>
          <w:p w:rsidRPr="009C48DA" w:rsidR="00661519" w:rsidP="00661519" w:rsidRDefault="00661519" w14:paraId="3580EB01"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1,932</w:t>
            </w:r>
          </w:p>
        </w:tc>
      </w:tr>
      <w:tr w:rsidRPr="009C48DA" w:rsidR="00661519" w:rsidTr="00661519" w14:paraId="678F19F3" w14:textId="77777777">
        <w:tc>
          <w:tcPr>
            <w:tcW w:w="3936" w:type="dxa"/>
            <w:vAlign w:val="bottom"/>
          </w:tcPr>
          <w:p w:rsidRPr="009C48DA" w:rsidR="00661519" w:rsidP="00661519" w:rsidRDefault="00661519" w14:paraId="62C71113"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Tax expense</w:t>
            </w:r>
          </w:p>
        </w:tc>
        <w:tc>
          <w:tcPr>
            <w:tcW w:w="1020" w:type="dxa"/>
          </w:tcPr>
          <w:p w:rsidRPr="009C48DA" w:rsidR="00661519" w:rsidP="00661519" w:rsidRDefault="00661519" w14:paraId="09E70476"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9,476</w:t>
            </w:r>
          </w:p>
        </w:tc>
        <w:tc>
          <w:tcPr>
            <w:tcW w:w="1021" w:type="dxa"/>
          </w:tcPr>
          <w:p w:rsidRPr="009C48DA" w:rsidR="00661519" w:rsidP="00661519" w:rsidRDefault="00661519" w14:paraId="7EA2CE52"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5,547</w:t>
            </w:r>
          </w:p>
        </w:tc>
        <w:tc>
          <w:tcPr>
            <w:tcW w:w="935" w:type="dxa"/>
          </w:tcPr>
          <w:p w:rsidRPr="009C48DA" w:rsidR="00661519" w:rsidP="00661519" w:rsidRDefault="00661519" w14:paraId="46D22D7A"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805</w:t>
            </w:r>
          </w:p>
        </w:tc>
        <w:tc>
          <w:tcPr>
            <w:tcW w:w="1106" w:type="dxa"/>
          </w:tcPr>
          <w:p w:rsidRPr="009C48DA" w:rsidR="00661519" w:rsidP="00661519" w:rsidRDefault="00661519" w14:paraId="08278DBF"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253</w:t>
            </w:r>
          </w:p>
        </w:tc>
        <w:tc>
          <w:tcPr>
            <w:tcW w:w="1021" w:type="dxa"/>
          </w:tcPr>
          <w:p w:rsidRPr="009C48DA" w:rsidR="00661519" w:rsidP="00661519" w:rsidRDefault="00661519" w14:paraId="7075857E"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2,668</w:t>
            </w:r>
          </w:p>
        </w:tc>
      </w:tr>
    </w:tbl>
    <w:p w:rsidRPr="009C48DA" w:rsidR="00661519" w:rsidP="00661519" w:rsidRDefault="00661519" w14:paraId="77E35DC2" w14:textId="77777777">
      <w:pPr>
        <w:textAlignment w:val="baseline"/>
        <w:rPr>
          <w:rFonts w:eastAsia="Times New Roman" w:cs="Times New Roman"/>
          <w:b/>
          <w:color w:val="000000"/>
          <w:sz w:val="16"/>
          <w:szCs w:val="22"/>
          <w:lang w:val="en-GB"/>
        </w:rPr>
      </w:pPr>
    </w:p>
    <w:p w:rsidRPr="009C48DA" w:rsidR="00661519" w:rsidP="00661519" w:rsidRDefault="00661519" w14:paraId="6890DD8D"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(b)</w:t>
      </w:r>
      <w:r w:rsidRPr="009C48DA">
        <w:rPr>
          <w:rFonts w:eastAsia="Times New Roman" w:cs="Times New Roman"/>
          <w:b/>
          <w:color w:val="000000"/>
          <w:sz w:val="16"/>
          <w:szCs w:val="22"/>
          <w:lang w:val="en-GB"/>
        </w:rPr>
        <w:tab/>
        <w:t>Reconciliation of tax expense</w:t>
      </w:r>
    </w:p>
    <w:p w:rsidRPr="009C48DA" w:rsidR="00661519" w:rsidP="00661519" w:rsidRDefault="00661519" w14:paraId="189050A7" w14:textId="77777777">
      <w:pPr>
        <w:textAlignment w:val="baseline"/>
        <w:rPr>
          <w:rFonts w:eastAsia="Times New Roman" w:cs="Times New Roman"/>
          <w:b/>
          <w:color w:val="000000"/>
          <w:sz w:val="16"/>
          <w:szCs w:val="22"/>
          <w:lang w:val="en-GB"/>
        </w:rPr>
      </w:pPr>
    </w:p>
    <w:p w:rsidRPr="009C48DA" w:rsidR="00661519" w:rsidP="00661519" w:rsidRDefault="00661519" w14:paraId="7372D5C1" w14:textId="77777777">
      <w:pPr>
        <w:textAlignment w:val="baseline"/>
        <w:rPr>
          <w:rFonts w:eastAsia="Times New Roman"/>
          <w:color w:val="000000"/>
          <w:sz w:val="16"/>
          <w:lang w:val="en-GB"/>
        </w:rPr>
      </w:pPr>
      <w:r w:rsidRPr="009C48DA">
        <w:rPr>
          <w:rFonts w:eastAsia="Times New Roman"/>
          <w:color w:val="000000"/>
          <w:sz w:val="16"/>
          <w:lang w:val="en-GB"/>
        </w:rPr>
        <w:t xml:space="preserve">The tax on profit before tax is different to the standard rate of corporation tax in the UK of 19% (2019: 19%, 2018: 19%) as explained </w:t>
      </w:r>
      <w:r w:rsidRPr="009C48DA">
        <w:rPr>
          <w:rFonts w:eastAsia="Times New Roman"/>
          <w:color w:val="000000"/>
          <w:sz w:val="16"/>
          <w:lang w:val="en-GB"/>
        </w:rPr>
        <w:br/>
        <w:t>below.</w:t>
      </w:r>
    </w:p>
    <w:p w:rsidRPr="009C48DA" w:rsidR="00661519" w:rsidP="00661519" w:rsidRDefault="00661519" w14:paraId="177F4B12" w14:textId="77777777">
      <w:pPr>
        <w:textAlignment w:val="baseline"/>
        <w:rPr>
          <w:rFonts w:eastAsia="Times New Roman"/>
          <w:color w:val="000000"/>
          <w:sz w:val="16"/>
          <w:lang w:val="en-GB"/>
        </w:rPr>
      </w:pPr>
    </w:p>
    <w:p w:rsidRPr="009C48DA" w:rsidR="00661519" w:rsidP="00661519" w:rsidRDefault="00661519" w14:paraId="096FB20E" w14:textId="77777777">
      <w:pPr>
        <w:textAlignment w:val="baseline"/>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36"/>
        <w:gridCol w:w="1020"/>
        <w:gridCol w:w="1021"/>
        <w:gridCol w:w="935"/>
        <w:gridCol w:w="1106"/>
        <w:gridCol w:w="1021"/>
      </w:tblGrid>
      <w:tr w:rsidRPr="009C48DA" w:rsidR="00661519" w:rsidTr="00661519" w14:paraId="43B1052B" w14:textId="77777777">
        <w:tc>
          <w:tcPr>
            <w:tcW w:w="3936" w:type="dxa"/>
            <w:vAlign w:val="bottom"/>
          </w:tcPr>
          <w:p w:rsidRPr="009C48DA" w:rsidR="00661519" w:rsidP="00661519" w:rsidRDefault="00661519" w14:paraId="1D0E85A0" w14:textId="77777777">
            <w:pPr>
              <w:jc w:val="both"/>
              <w:textAlignment w:val="baseline"/>
              <w:rPr>
                <w:rFonts w:eastAsia="Times New Roman"/>
                <w:color w:val="000000"/>
                <w:sz w:val="16"/>
                <w:lang w:val="en-GB"/>
              </w:rPr>
            </w:pPr>
          </w:p>
        </w:tc>
        <w:tc>
          <w:tcPr>
            <w:tcW w:w="2976" w:type="dxa"/>
            <w:gridSpan w:val="3"/>
            <w:vAlign w:val="bottom"/>
          </w:tcPr>
          <w:p w:rsidRPr="009C48DA" w:rsidR="00661519" w:rsidP="00661519" w:rsidRDefault="00661519" w14:paraId="512909FD"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Year ended 31 December</w:t>
            </w:r>
          </w:p>
        </w:tc>
        <w:tc>
          <w:tcPr>
            <w:tcW w:w="2127" w:type="dxa"/>
            <w:gridSpan w:val="2"/>
            <w:vAlign w:val="bottom"/>
          </w:tcPr>
          <w:p w:rsidRPr="009C48DA" w:rsidR="00661519" w:rsidP="00661519" w:rsidRDefault="00661519" w14:paraId="2E7117F6"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Three month period ended 31 March</w:t>
            </w:r>
          </w:p>
        </w:tc>
      </w:tr>
      <w:tr w:rsidRPr="009C48DA" w:rsidR="00661519" w:rsidTr="00661519" w14:paraId="25913560" w14:textId="77777777">
        <w:tc>
          <w:tcPr>
            <w:tcW w:w="3936" w:type="dxa"/>
            <w:vAlign w:val="bottom"/>
          </w:tcPr>
          <w:p w:rsidRPr="009C48DA" w:rsidR="00661519" w:rsidP="00661519" w:rsidRDefault="00661519" w14:paraId="7920236D" w14:textId="77777777">
            <w:pPr>
              <w:jc w:val="both"/>
              <w:textAlignment w:val="baseline"/>
              <w:rPr>
                <w:rFonts w:eastAsia="Times New Roman"/>
                <w:color w:val="000000"/>
                <w:sz w:val="16"/>
                <w:lang w:val="en-GB"/>
              </w:rPr>
            </w:pPr>
          </w:p>
        </w:tc>
        <w:tc>
          <w:tcPr>
            <w:tcW w:w="1020" w:type="dxa"/>
            <w:vAlign w:val="bottom"/>
          </w:tcPr>
          <w:p w:rsidRPr="009C48DA" w:rsidR="00661519" w:rsidP="00661519" w:rsidRDefault="00661519" w14:paraId="60FC0083" w14:textId="77777777">
            <w:pPr>
              <w:jc w:val="right"/>
              <w:textAlignment w:val="baseline"/>
              <w:rPr>
                <w:rFonts w:eastAsia="Times New Roman"/>
                <w:b/>
                <w:color w:val="000000"/>
                <w:sz w:val="16"/>
                <w:lang w:val="en-GB"/>
              </w:rPr>
            </w:pPr>
          </w:p>
        </w:tc>
        <w:tc>
          <w:tcPr>
            <w:tcW w:w="1021" w:type="dxa"/>
            <w:vAlign w:val="bottom"/>
          </w:tcPr>
          <w:p w:rsidRPr="009C48DA" w:rsidR="00661519" w:rsidP="00661519" w:rsidRDefault="00661519" w14:paraId="3EAC7B6E" w14:textId="77777777">
            <w:pPr>
              <w:jc w:val="right"/>
              <w:textAlignment w:val="baseline"/>
              <w:rPr>
                <w:rFonts w:eastAsia="Times New Roman"/>
                <w:b/>
                <w:color w:val="000000"/>
                <w:sz w:val="16"/>
                <w:lang w:val="en-GB"/>
              </w:rPr>
            </w:pPr>
          </w:p>
        </w:tc>
        <w:tc>
          <w:tcPr>
            <w:tcW w:w="935" w:type="dxa"/>
            <w:vAlign w:val="bottom"/>
          </w:tcPr>
          <w:p w:rsidRPr="009C48DA" w:rsidR="00661519" w:rsidP="00661519" w:rsidRDefault="00661519" w14:paraId="7A07FCA1" w14:textId="77777777">
            <w:pPr>
              <w:jc w:val="right"/>
              <w:textAlignment w:val="baseline"/>
              <w:rPr>
                <w:rFonts w:eastAsia="Times New Roman"/>
                <w:b/>
                <w:color w:val="000000"/>
                <w:sz w:val="16"/>
                <w:lang w:val="en-GB"/>
              </w:rPr>
            </w:pPr>
          </w:p>
        </w:tc>
        <w:tc>
          <w:tcPr>
            <w:tcW w:w="1106" w:type="dxa"/>
            <w:vAlign w:val="bottom"/>
          </w:tcPr>
          <w:p w:rsidRPr="009C48DA" w:rsidR="00661519" w:rsidP="00661519" w:rsidRDefault="00661519" w14:paraId="1F73AC3E" w14:textId="77777777">
            <w:pPr>
              <w:jc w:val="right"/>
              <w:textAlignment w:val="baseline"/>
              <w:rPr>
                <w:rFonts w:eastAsia="Times New Roman"/>
                <w:b/>
                <w:color w:val="000000"/>
                <w:sz w:val="16"/>
                <w:lang w:val="en-GB"/>
              </w:rPr>
            </w:pPr>
            <w:r w:rsidRPr="009C48DA">
              <w:rPr>
                <w:rFonts w:eastAsia="Times New Roman"/>
                <w:b/>
                <w:color w:val="000000"/>
                <w:sz w:val="16"/>
                <w:lang w:val="en-GB"/>
              </w:rPr>
              <w:t>Unaudited</w:t>
            </w:r>
          </w:p>
        </w:tc>
        <w:tc>
          <w:tcPr>
            <w:tcW w:w="1021" w:type="dxa"/>
            <w:vAlign w:val="bottom"/>
          </w:tcPr>
          <w:p w:rsidRPr="009C48DA" w:rsidR="00661519" w:rsidP="00661519" w:rsidRDefault="00661519" w14:paraId="33A394D3" w14:textId="77777777">
            <w:pPr>
              <w:jc w:val="right"/>
              <w:textAlignment w:val="baseline"/>
              <w:rPr>
                <w:rFonts w:eastAsia="Times New Roman"/>
                <w:b/>
                <w:color w:val="000000"/>
                <w:sz w:val="16"/>
                <w:lang w:val="en-GB"/>
              </w:rPr>
            </w:pPr>
          </w:p>
        </w:tc>
      </w:tr>
      <w:tr w:rsidRPr="009C48DA" w:rsidR="00661519" w:rsidTr="00661519" w14:paraId="48E7B68D" w14:textId="77777777">
        <w:tc>
          <w:tcPr>
            <w:tcW w:w="3936" w:type="dxa"/>
            <w:vAlign w:val="bottom"/>
          </w:tcPr>
          <w:p w:rsidRPr="009C48DA" w:rsidR="00661519" w:rsidP="00661519" w:rsidRDefault="00661519" w14:paraId="4EB96BBB" w14:textId="77777777">
            <w:pPr>
              <w:jc w:val="both"/>
              <w:textAlignment w:val="baseline"/>
              <w:rPr>
                <w:rFonts w:eastAsia="Times New Roman"/>
                <w:color w:val="000000"/>
                <w:sz w:val="16"/>
                <w:lang w:val="en-GB"/>
              </w:rPr>
            </w:pPr>
          </w:p>
        </w:tc>
        <w:tc>
          <w:tcPr>
            <w:tcW w:w="1020" w:type="dxa"/>
            <w:vAlign w:val="bottom"/>
          </w:tcPr>
          <w:p w:rsidRPr="009C48DA" w:rsidR="00661519" w:rsidP="00661519" w:rsidRDefault="00661519" w14:paraId="3A66C631"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13CE16CD"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021" w:type="dxa"/>
            <w:vAlign w:val="bottom"/>
          </w:tcPr>
          <w:p w:rsidRPr="009C48DA" w:rsidR="00661519" w:rsidP="00661519" w:rsidRDefault="00661519" w14:paraId="644D7782"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0AEEA98B"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935" w:type="dxa"/>
            <w:vAlign w:val="bottom"/>
          </w:tcPr>
          <w:p w:rsidRPr="009C48DA" w:rsidR="00661519" w:rsidP="00661519" w:rsidRDefault="00661519" w14:paraId="00EB01E2"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52B3DA0C"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06" w:type="dxa"/>
            <w:vAlign w:val="bottom"/>
          </w:tcPr>
          <w:p w:rsidRPr="009C48DA" w:rsidR="00661519" w:rsidP="00661519" w:rsidRDefault="00661519" w14:paraId="58C0D8DF"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794CD87F"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021" w:type="dxa"/>
            <w:vAlign w:val="bottom"/>
          </w:tcPr>
          <w:p w:rsidRPr="009C48DA" w:rsidR="00661519" w:rsidP="00661519" w:rsidRDefault="00661519" w14:paraId="141A7926"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56A667C4"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052FDF52" w14:textId="77777777">
        <w:tc>
          <w:tcPr>
            <w:tcW w:w="3936" w:type="dxa"/>
            <w:vAlign w:val="bottom"/>
          </w:tcPr>
          <w:p w:rsidRPr="009C48DA" w:rsidR="00661519" w:rsidP="00661519" w:rsidRDefault="00661519" w14:paraId="7C530BB9" w14:textId="77777777">
            <w:pPr>
              <w:spacing w:before="60"/>
              <w:jc w:val="both"/>
              <w:textAlignment w:val="baseline"/>
              <w:rPr>
                <w:rFonts w:eastAsia="Times New Roman"/>
                <w:b/>
                <w:color w:val="000000"/>
                <w:sz w:val="16"/>
                <w:lang w:val="en-GB"/>
              </w:rPr>
            </w:pPr>
            <w:r w:rsidRPr="009C48DA">
              <w:rPr>
                <w:rFonts w:eastAsia="Times New Roman"/>
                <w:color w:val="000000"/>
                <w:sz w:val="16"/>
                <w:lang w:val="en-GB"/>
              </w:rPr>
              <w:t>Profit/(loss) before income tax</w:t>
            </w:r>
          </w:p>
        </w:tc>
        <w:tc>
          <w:tcPr>
            <w:tcW w:w="1020" w:type="dxa"/>
            <w:vAlign w:val="center"/>
          </w:tcPr>
          <w:p w:rsidRPr="009C48DA" w:rsidR="00661519" w:rsidP="00661519" w:rsidRDefault="00661519" w14:paraId="18F5A382"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12,541</w:t>
            </w:r>
          </w:p>
        </w:tc>
        <w:tc>
          <w:tcPr>
            <w:tcW w:w="1021" w:type="dxa"/>
            <w:vAlign w:val="center"/>
          </w:tcPr>
          <w:p w:rsidRPr="009C48DA" w:rsidR="00661519" w:rsidP="00661519" w:rsidRDefault="00661519" w14:paraId="228E69E7"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47,477</w:t>
            </w:r>
          </w:p>
        </w:tc>
        <w:tc>
          <w:tcPr>
            <w:tcW w:w="935" w:type="dxa"/>
            <w:vAlign w:val="center"/>
          </w:tcPr>
          <w:p w:rsidRPr="009C48DA" w:rsidR="00661519" w:rsidP="00661519" w:rsidRDefault="00661519" w14:paraId="4C8174D2"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48,476</w:t>
            </w:r>
          </w:p>
        </w:tc>
        <w:tc>
          <w:tcPr>
            <w:tcW w:w="1106" w:type="dxa"/>
            <w:vAlign w:val="center"/>
          </w:tcPr>
          <w:p w:rsidRPr="009C48DA" w:rsidR="00661519" w:rsidP="00661519" w:rsidRDefault="00661519" w14:paraId="1D6B7515"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(1,228)</w:t>
            </w:r>
          </w:p>
        </w:tc>
        <w:tc>
          <w:tcPr>
            <w:tcW w:w="1021" w:type="dxa"/>
            <w:vAlign w:val="center"/>
          </w:tcPr>
          <w:p w:rsidRPr="009C48DA" w:rsidR="00661519" w:rsidP="00661519" w:rsidRDefault="00661519" w14:paraId="3E776379"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21,340</w:t>
            </w:r>
          </w:p>
        </w:tc>
      </w:tr>
      <w:tr w:rsidRPr="009C48DA" w:rsidR="00661519" w:rsidTr="00661519" w14:paraId="68E06C22" w14:textId="77777777">
        <w:tc>
          <w:tcPr>
            <w:tcW w:w="3936" w:type="dxa"/>
            <w:vAlign w:val="bottom"/>
          </w:tcPr>
          <w:p w:rsidRPr="009C48DA" w:rsidR="00661519" w:rsidP="00661519" w:rsidRDefault="00661519" w14:paraId="1896EF69" w14:textId="77777777">
            <w:pPr>
              <w:spacing w:before="60"/>
              <w:jc w:val="both"/>
              <w:textAlignment w:val="baseline"/>
              <w:rPr>
                <w:rFonts w:eastAsia="Times New Roman"/>
                <w:color w:val="000000"/>
                <w:spacing w:val="-1"/>
                <w:sz w:val="16"/>
                <w:lang w:val="en-GB"/>
              </w:rPr>
            </w:pPr>
            <w:r w:rsidRPr="009C48DA">
              <w:rPr>
                <w:rFonts w:eastAsia="Times New Roman"/>
                <w:color w:val="000000"/>
                <w:spacing w:val="-1"/>
                <w:sz w:val="16"/>
                <w:lang w:val="en-GB"/>
              </w:rPr>
              <w:t>Tax on profit before taxation at the standard rate of corporation tax in the UK of 19% (2018, 2019, Q1</w:t>
            </w:r>
            <w:r w:rsidRPr="009C48DA">
              <w:rPr>
                <w:rFonts w:eastAsia="Times New Roman"/>
                <w:color w:val="000000"/>
                <w:spacing w:val="-1"/>
                <w:sz w:val="16"/>
                <w:lang w:val="en-GB"/>
              </w:rPr>
              <w:br/>
            </w:r>
            <w:r w:rsidRPr="009C48DA">
              <w:rPr>
                <w:rFonts w:eastAsia="Times New Roman"/>
                <w:color w:val="000000"/>
                <w:sz w:val="16"/>
                <w:lang w:val="en-GB"/>
              </w:rPr>
              <w:t>2020: 19%)</w:t>
            </w:r>
          </w:p>
        </w:tc>
        <w:tc>
          <w:tcPr>
            <w:tcW w:w="1020" w:type="dxa"/>
            <w:vAlign w:val="bottom"/>
          </w:tcPr>
          <w:p w:rsidRPr="009C48DA" w:rsidR="00661519" w:rsidP="00661519" w:rsidRDefault="00661519" w14:paraId="716B3F78"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2,383</w:t>
            </w:r>
          </w:p>
        </w:tc>
        <w:tc>
          <w:tcPr>
            <w:tcW w:w="1021" w:type="dxa"/>
            <w:vAlign w:val="bottom"/>
          </w:tcPr>
          <w:p w:rsidRPr="009C48DA" w:rsidR="00661519" w:rsidP="00661519" w:rsidRDefault="00661519" w14:paraId="3A6EE4DE"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9,020</w:t>
            </w:r>
          </w:p>
        </w:tc>
        <w:tc>
          <w:tcPr>
            <w:tcW w:w="935" w:type="dxa"/>
            <w:vAlign w:val="bottom"/>
          </w:tcPr>
          <w:p w:rsidRPr="009C48DA" w:rsidR="00661519" w:rsidP="00661519" w:rsidRDefault="00661519" w14:paraId="4B4EDF4E"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9,210</w:t>
            </w:r>
          </w:p>
        </w:tc>
        <w:tc>
          <w:tcPr>
            <w:tcW w:w="1106" w:type="dxa"/>
            <w:vAlign w:val="bottom"/>
          </w:tcPr>
          <w:p w:rsidRPr="009C48DA" w:rsidR="00661519" w:rsidP="00661519" w:rsidRDefault="00661519" w14:paraId="2BD99831"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(233)</w:t>
            </w:r>
          </w:p>
        </w:tc>
        <w:tc>
          <w:tcPr>
            <w:tcW w:w="1021" w:type="dxa"/>
            <w:vAlign w:val="bottom"/>
          </w:tcPr>
          <w:p w:rsidRPr="009C48DA" w:rsidR="00661519" w:rsidP="00661519" w:rsidRDefault="00661519" w14:paraId="55B05602"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4,055</w:t>
            </w:r>
          </w:p>
        </w:tc>
      </w:tr>
      <w:tr w:rsidRPr="009C48DA" w:rsidR="00661519" w:rsidTr="00661519" w14:paraId="521065AF" w14:textId="77777777">
        <w:tc>
          <w:tcPr>
            <w:tcW w:w="3936" w:type="dxa"/>
            <w:vAlign w:val="bottom"/>
          </w:tcPr>
          <w:p w:rsidRPr="009C48DA" w:rsidR="00661519" w:rsidP="00661519" w:rsidRDefault="00661519" w14:paraId="04A1334A"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Non-taxable and non-deductible items</w:t>
            </w:r>
          </w:p>
        </w:tc>
        <w:tc>
          <w:tcPr>
            <w:tcW w:w="1020" w:type="dxa"/>
            <w:vAlign w:val="center"/>
          </w:tcPr>
          <w:p w:rsidRPr="009C48DA" w:rsidR="00661519" w:rsidP="00661519" w:rsidRDefault="00661519" w14:paraId="373956AE"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2,423</w:t>
            </w:r>
          </w:p>
        </w:tc>
        <w:tc>
          <w:tcPr>
            <w:tcW w:w="1021" w:type="dxa"/>
            <w:vAlign w:val="center"/>
          </w:tcPr>
          <w:p w:rsidRPr="009C48DA" w:rsidR="00661519" w:rsidP="00661519" w:rsidRDefault="00661519" w14:paraId="2DBF1EEA"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(11,946)</w:t>
            </w:r>
          </w:p>
        </w:tc>
        <w:tc>
          <w:tcPr>
            <w:tcW w:w="935" w:type="dxa"/>
            <w:vAlign w:val="center"/>
          </w:tcPr>
          <w:p w:rsidRPr="009C48DA" w:rsidR="00661519" w:rsidP="00661519" w:rsidRDefault="00661519" w14:paraId="1811B859"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(28,735)</w:t>
            </w:r>
          </w:p>
        </w:tc>
        <w:tc>
          <w:tcPr>
            <w:tcW w:w="1106" w:type="dxa"/>
            <w:vAlign w:val="center"/>
          </w:tcPr>
          <w:p w:rsidRPr="009C48DA" w:rsidR="00661519" w:rsidP="00661519" w:rsidRDefault="00661519" w14:paraId="7AD9F0CA"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(7,184)</w:t>
            </w:r>
          </w:p>
        </w:tc>
        <w:tc>
          <w:tcPr>
            <w:tcW w:w="1021" w:type="dxa"/>
            <w:vAlign w:val="center"/>
          </w:tcPr>
          <w:p w:rsidRPr="009C48DA" w:rsidR="00661519" w:rsidP="00661519" w:rsidRDefault="00661519" w14:paraId="15F77A02"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(1,060)</w:t>
            </w:r>
          </w:p>
        </w:tc>
      </w:tr>
      <w:tr w:rsidRPr="009C48DA" w:rsidR="00661519" w:rsidTr="00661519" w14:paraId="489097C1" w14:textId="77777777">
        <w:tc>
          <w:tcPr>
            <w:tcW w:w="3936" w:type="dxa"/>
            <w:vAlign w:val="bottom"/>
          </w:tcPr>
          <w:p w:rsidRPr="009C48DA" w:rsidR="00661519" w:rsidP="00661519" w:rsidRDefault="00661519" w14:paraId="5A19C4F0" w14:textId="77777777">
            <w:pPr>
              <w:spacing w:before="60" w:line="183" w:lineRule="exact"/>
              <w:textAlignment w:val="baseline"/>
              <w:rPr>
                <w:rFonts w:eastAsia="Times New Roman"/>
                <w:color w:val="000000"/>
                <w:sz w:val="16"/>
                <w:lang w:val="en-GB"/>
              </w:rPr>
            </w:pPr>
            <w:r w:rsidRPr="009C48DA">
              <w:rPr>
                <w:rFonts w:eastAsia="Times New Roman"/>
                <w:color w:val="000000"/>
                <w:sz w:val="16"/>
                <w:lang w:val="en-GB"/>
              </w:rPr>
              <w:t>Deferred tax adjustments regarding management fee income and investments</w:t>
            </w:r>
          </w:p>
        </w:tc>
        <w:tc>
          <w:tcPr>
            <w:tcW w:w="1020" w:type="dxa"/>
            <w:vAlign w:val="center"/>
          </w:tcPr>
          <w:p w:rsidRPr="009C48DA" w:rsidR="00661519" w:rsidP="00661519" w:rsidRDefault="00661519" w14:paraId="29A50747"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1,362</w:t>
            </w:r>
          </w:p>
        </w:tc>
        <w:tc>
          <w:tcPr>
            <w:tcW w:w="1021" w:type="dxa"/>
            <w:vAlign w:val="center"/>
          </w:tcPr>
          <w:p w:rsidRPr="009C48DA" w:rsidR="00661519" w:rsidP="00661519" w:rsidRDefault="00661519" w14:paraId="3B14EB56"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3,035</w:t>
            </w:r>
          </w:p>
        </w:tc>
        <w:tc>
          <w:tcPr>
            <w:tcW w:w="935" w:type="dxa"/>
            <w:vAlign w:val="center"/>
          </w:tcPr>
          <w:p w:rsidRPr="009C48DA" w:rsidR="00661519" w:rsidP="00661519" w:rsidRDefault="00661519" w14:paraId="2C951317"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4,708</w:t>
            </w:r>
          </w:p>
        </w:tc>
        <w:tc>
          <w:tcPr>
            <w:tcW w:w="1106" w:type="dxa"/>
            <w:vAlign w:val="center"/>
          </w:tcPr>
          <w:p w:rsidRPr="009C48DA" w:rsidR="00661519" w:rsidP="00661519" w:rsidRDefault="00661519" w14:paraId="6E0A32D1"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3,766</w:t>
            </w:r>
          </w:p>
        </w:tc>
        <w:tc>
          <w:tcPr>
            <w:tcW w:w="1021" w:type="dxa"/>
            <w:vAlign w:val="center"/>
          </w:tcPr>
          <w:p w:rsidRPr="009C48DA" w:rsidR="00661519" w:rsidP="00661519" w:rsidRDefault="00661519" w14:paraId="184C777C"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202</w:t>
            </w:r>
          </w:p>
        </w:tc>
      </w:tr>
      <w:tr w:rsidRPr="009C48DA" w:rsidR="00661519" w:rsidTr="00661519" w14:paraId="508A8A01" w14:textId="77777777">
        <w:tc>
          <w:tcPr>
            <w:tcW w:w="3936" w:type="dxa"/>
            <w:vAlign w:val="bottom"/>
          </w:tcPr>
          <w:p w:rsidRPr="009C48DA" w:rsidR="00661519" w:rsidP="00661519" w:rsidRDefault="00661519" w14:paraId="6E1A9A6E"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Effect of tax rate changes</w:t>
            </w:r>
          </w:p>
        </w:tc>
        <w:tc>
          <w:tcPr>
            <w:tcW w:w="1020" w:type="dxa"/>
            <w:vAlign w:val="center"/>
          </w:tcPr>
          <w:p w:rsidRPr="009C48DA" w:rsidR="00661519" w:rsidP="00661519" w:rsidRDefault="00661519" w14:paraId="0DA36D91"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1,698</w:t>
            </w:r>
          </w:p>
        </w:tc>
        <w:tc>
          <w:tcPr>
            <w:tcW w:w="1021" w:type="dxa"/>
            <w:vAlign w:val="center"/>
          </w:tcPr>
          <w:p w:rsidRPr="009C48DA" w:rsidR="00661519" w:rsidP="00661519" w:rsidRDefault="00661519" w14:paraId="51AF140A"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949</w:t>
            </w:r>
          </w:p>
        </w:tc>
        <w:tc>
          <w:tcPr>
            <w:tcW w:w="935" w:type="dxa"/>
            <w:vAlign w:val="center"/>
          </w:tcPr>
          <w:p w:rsidRPr="009C48DA" w:rsidR="00661519" w:rsidP="00661519" w:rsidRDefault="00661519" w14:paraId="44A09E99"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1,209</w:t>
            </w:r>
          </w:p>
        </w:tc>
        <w:tc>
          <w:tcPr>
            <w:tcW w:w="1106" w:type="dxa"/>
            <w:vAlign w:val="center"/>
          </w:tcPr>
          <w:p w:rsidRPr="009C48DA" w:rsidR="00661519" w:rsidP="00661519" w:rsidRDefault="00661519" w14:paraId="60F11AB0"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302</w:t>
            </w:r>
          </w:p>
        </w:tc>
        <w:tc>
          <w:tcPr>
            <w:tcW w:w="1021" w:type="dxa"/>
            <w:vAlign w:val="center"/>
          </w:tcPr>
          <w:p w:rsidRPr="009C48DA" w:rsidR="00661519" w:rsidP="00661519" w:rsidRDefault="00661519" w14:paraId="1C99BA3D"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4978CAED" w14:textId="77777777">
        <w:tc>
          <w:tcPr>
            <w:tcW w:w="3936" w:type="dxa"/>
            <w:vAlign w:val="bottom"/>
          </w:tcPr>
          <w:p w:rsidRPr="009C48DA" w:rsidR="00661519" w:rsidP="00661519" w:rsidRDefault="00661519" w14:paraId="6DDD2C04"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Effect of foreign tax rates</w:t>
            </w:r>
          </w:p>
        </w:tc>
        <w:tc>
          <w:tcPr>
            <w:tcW w:w="1020" w:type="dxa"/>
            <w:vAlign w:val="center"/>
          </w:tcPr>
          <w:p w:rsidRPr="009C48DA" w:rsidR="00661519" w:rsidP="00661519" w:rsidRDefault="00661519" w14:paraId="58EE859F"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(175)</w:t>
            </w:r>
          </w:p>
        </w:tc>
        <w:tc>
          <w:tcPr>
            <w:tcW w:w="1021" w:type="dxa"/>
            <w:vAlign w:val="center"/>
          </w:tcPr>
          <w:p w:rsidRPr="009C48DA" w:rsidR="00661519" w:rsidP="00661519" w:rsidRDefault="00661519" w14:paraId="5188FB74"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354</w:t>
            </w:r>
          </w:p>
        </w:tc>
        <w:tc>
          <w:tcPr>
            <w:tcW w:w="935" w:type="dxa"/>
            <w:vAlign w:val="center"/>
          </w:tcPr>
          <w:p w:rsidRPr="009C48DA" w:rsidR="00661519" w:rsidP="00661519" w:rsidRDefault="00661519" w14:paraId="0F23710D"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1,309</w:t>
            </w:r>
          </w:p>
        </w:tc>
        <w:tc>
          <w:tcPr>
            <w:tcW w:w="1106" w:type="dxa"/>
            <w:vAlign w:val="center"/>
          </w:tcPr>
          <w:p w:rsidRPr="009C48DA" w:rsidR="00661519" w:rsidP="00661519" w:rsidRDefault="00661519" w14:paraId="5DB4C661"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327</w:t>
            </w:r>
          </w:p>
        </w:tc>
        <w:tc>
          <w:tcPr>
            <w:tcW w:w="1021" w:type="dxa"/>
            <w:vAlign w:val="center"/>
          </w:tcPr>
          <w:p w:rsidRPr="009C48DA" w:rsidR="00661519" w:rsidP="00661519" w:rsidRDefault="00661519" w14:paraId="7B2B5C17"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304</w:t>
            </w:r>
          </w:p>
        </w:tc>
      </w:tr>
      <w:tr w:rsidRPr="009C48DA" w:rsidR="00661519" w:rsidTr="00661519" w14:paraId="05153650" w14:textId="77777777">
        <w:tc>
          <w:tcPr>
            <w:tcW w:w="3936" w:type="dxa"/>
            <w:vAlign w:val="bottom"/>
          </w:tcPr>
          <w:p w:rsidRPr="009C48DA" w:rsidR="00661519" w:rsidP="00661519" w:rsidRDefault="00661519" w14:paraId="3A0DC794"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Deferred tax not recognised</w:t>
            </w:r>
          </w:p>
        </w:tc>
        <w:tc>
          <w:tcPr>
            <w:tcW w:w="1020" w:type="dxa"/>
            <w:vAlign w:val="center"/>
          </w:tcPr>
          <w:p w:rsidRPr="009C48DA" w:rsidR="00661519" w:rsidP="00661519" w:rsidRDefault="00661519" w14:paraId="3DAE5EAB"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2,783</w:t>
            </w:r>
          </w:p>
        </w:tc>
        <w:tc>
          <w:tcPr>
            <w:tcW w:w="1021" w:type="dxa"/>
            <w:vAlign w:val="center"/>
          </w:tcPr>
          <w:p w:rsidRPr="009C48DA" w:rsidR="00661519" w:rsidP="00661519" w:rsidRDefault="00661519" w14:paraId="6572A128"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3,293</w:t>
            </w:r>
          </w:p>
        </w:tc>
        <w:tc>
          <w:tcPr>
            <w:tcW w:w="935" w:type="dxa"/>
            <w:vAlign w:val="center"/>
          </w:tcPr>
          <w:p w:rsidRPr="009C48DA" w:rsidR="00661519" w:rsidP="00661519" w:rsidRDefault="00661519" w14:paraId="799D6FF7"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14,198</w:t>
            </w:r>
          </w:p>
        </w:tc>
        <w:tc>
          <w:tcPr>
            <w:tcW w:w="1106" w:type="dxa"/>
            <w:vAlign w:val="center"/>
          </w:tcPr>
          <w:p w:rsidRPr="009C48DA" w:rsidR="00661519" w:rsidP="00661519" w:rsidRDefault="00661519" w14:paraId="27DD6146"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3,548</w:t>
            </w:r>
          </w:p>
        </w:tc>
        <w:tc>
          <w:tcPr>
            <w:tcW w:w="1021" w:type="dxa"/>
            <w:vAlign w:val="center"/>
          </w:tcPr>
          <w:p w:rsidRPr="009C48DA" w:rsidR="00661519" w:rsidP="00661519" w:rsidRDefault="00661519" w14:paraId="72E98EB9"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(833)</w:t>
            </w:r>
          </w:p>
        </w:tc>
      </w:tr>
      <w:tr w:rsidRPr="009C48DA" w:rsidR="00661519" w:rsidTr="00661519" w14:paraId="242DCEC8" w14:textId="77777777">
        <w:tc>
          <w:tcPr>
            <w:tcW w:w="3936" w:type="dxa"/>
            <w:vAlign w:val="bottom"/>
          </w:tcPr>
          <w:p w:rsidRPr="009C48DA" w:rsidR="00661519" w:rsidP="00661519" w:rsidRDefault="00661519" w14:paraId="19D14C25"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Prior year adjustment</w:t>
            </w:r>
          </w:p>
        </w:tc>
        <w:tc>
          <w:tcPr>
            <w:tcW w:w="1020" w:type="dxa"/>
            <w:vAlign w:val="center"/>
          </w:tcPr>
          <w:p w:rsidRPr="009C48DA" w:rsidR="00661519" w:rsidP="00661519" w:rsidRDefault="00661519" w14:paraId="0D62D9F2"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(998)</w:t>
            </w:r>
          </w:p>
        </w:tc>
        <w:tc>
          <w:tcPr>
            <w:tcW w:w="1021" w:type="dxa"/>
            <w:vAlign w:val="center"/>
          </w:tcPr>
          <w:p w:rsidRPr="009C48DA" w:rsidR="00661519" w:rsidP="00661519" w:rsidRDefault="00661519" w14:paraId="244FDCBA"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842</w:t>
            </w:r>
          </w:p>
        </w:tc>
        <w:tc>
          <w:tcPr>
            <w:tcW w:w="935" w:type="dxa"/>
            <w:vAlign w:val="center"/>
          </w:tcPr>
          <w:p w:rsidRPr="009C48DA" w:rsidR="00661519" w:rsidP="00661519" w:rsidRDefault="00661519" w14:paraId="26D38DCF"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(1,094)</w:t>
            </w:r>
          </w:p>
        </w:tc>
        <w:tc>
          <w:tcPr>
            <w:tcW w:w="1106" w:type="dxa"/>
            <w:vAlign w:val="center"/>
          </w:tcPr>
          <w:p w:rsidRPr="009C48DA" w:rsidR="00661519" w:rsidP="00661519" w:rsidRDefault="00661519" w14:paraId="1CF4078E"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(273)</w:t>
            </w:r>
          </w:p>
        </w:tc>
        <w:tc>
          <w:tcPr>
            <w:tcW w:w="1021" w:type="dxa"/>
            <w:vAlign w:val="center"/>
          </w:tcPr>
          <w:p w:rsidRPr="009C48DA" w:rsidR="00661519" w:rsidP="00661519" w:rsidRDefault="00661519" w14:paraId="58D2A5C1"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389E5FF9" w14:textId="77777777">
        <w:tc>
          <w:tcPr>
            <w:tcW w:w="3936" w:type="dxa"/>
            <w:vAlign w:val="bottom"/>
          </w:tcPr>
          <w:p w:rsidRPr="009C48DA" w:rsidR="00661519" w:rsidP="00661519" w:rsidRDefault="00661519" w14:paraId="0C629731" w14:textId="77777777">
            <w:pPr>
              <w:spacing w:before="60"/>
              <w:jc w:val="both"/>
              <w:textAlignment w:val="baseline"/>
              <w:rPr>
                <w:rFonts w:eastAsia="Times New Roman"/>
                <w:b/>
                <w:color w:val="000000"/>
                <w:sz w:val="16"/>
                <w:lang w:val="en-GB"/>
              </w:rPr>
            </w:pPr>
            <w:r w:rsidRPr="009C48DA">
              <w:rPr>
                <w:rFonts w:eastAsia="Times New Roman"/>
                <w:color w:val="000000"/>
                <w:sz w:val="16"/>
                <w:lang w:val="en-GB"/>
              </w:rPr>
              <w:t xml:space="preserve">Total tax charge </w:t>
            </w:r>
            <w:r w:rsidRPr="009C48DA">
              <w:rPr>
                <w:rFonts w:eastAsia="Times New Roman"/>
                <w:color w:val="000000"/>
                <w:sz w:val="17"/>
                <w:lang w:val="en-GB"/>
              </w:rPr>
              <w:t>for the period</w:t>
            </w:r>
          </w:p>
        </w:tc>
        <w:tc>
          <w:tcPr>
            <w:tcW w:w="1020" w:type="dxa"/>
            <w:vAlign w:val="center"/>
          </w:tcPr>
          <w:p w:rsidRPr="009C48DA" w:rsidR="00661519" w:rsidP="00661519" w:rsidRDefault="00661519" w14:paraId="3D4EDFAF"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9,476</w:t>
            </w:r>
          </w:p>
        </w:tc>
        <w:tc>
          <w:tcPr>
            <w:tcW w:w="1021" w:type="dxa"/>
            <w:vAlign w:val="center"/>
          </w:tcPr>
          <w:p w:rsidRPr="009C48DA" w:rsidR="00661519" w:rsidP="00661519" w:rsidRDefault="00661519" w14:paraId="15E80ED9"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5,547</w:t>
            </w:r>
          </w:p>
        </w:tc>
        <w:tc>
          <w:tcPr>
            <w:tcW w:w="935" w:type="dxa"/>
            <w:vAlign w:val="center"/>
          </w:tcPr>
          <w:p w:rsidRPr="009C48DA" w:rsidR="00661519" w:rsidP="00661519" w:rsidRDefault="00661519" w14:paraId="028E5F3F"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805</w:t>
            </w:r>
          </w:p>
        </w:tc>
        <w:tc>
          <w:tcPr>
            <w:tcW w:w="1106" w:type="dxa"/>
            <w:vAlign w:val="center"/>
          </w:tcPr>
          <w:p w:rsidRPr="009C48DA" w:rsidR="00661519" w:rsidP="00661519" w:rsidRDefault="00661519" w14:paraId="2AE8A125"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253</w:t>
            </w:r>
          </w:p>
        </w:tc>
        <w:tc>
          <w:tcPr>
            <w:tcW w:w="1021" w:type="dxa"/>
            <w:vAlign w:val="center"/>
          </w:tcPr>
          <w:p w:rsidRPr="009C48DA" w:rsidR="00661519" w:rsidP="00661519" w:rsidRDefault="00661519" w14:paraId="397AD732"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2,668</w:t>
            </w:r>
          </w:p>
        </w:tc>
      </w:tr>
    </w:tbl>
    <w:p w:rsidRPr="009C48DA" w:rsidR="009854B2" w:rsidP="00661519" w:rsidRDefault="009854B2" w14:paraId="2E06856F" w14:textId="23F25A42">
      <w:pPr>
        <w:tabs>
          <w:tab w:val="left" w:pos="288"/>
        </w:tabs>
        <w:textAlignment w:val="baseline"/>
        <w:rPr>
          <w:rFonts w:eastAsia="Times New Roman"/>
          <w:color w:val="000000"/>
          <w:sz w:val="16"/>
          <w:lang w:val="en-GB"/>
        </w:rPr>
      </w:pPr>
    </w:p>
    <w:p w:rsidRPr="009C48DA" w:rsidR="009854B2" w:rsidRDefault="009854B2" w14:paraId="237D5D4F" w14:textId="77777777">
      <w:pPr>
        <w:rPr>
          <w:rFonts w:eastAsia="Times New Roman"/>
          <w:color w:val="000000"/>
          <w:sz w:val="16"/>
          <w:lang w:val="en-GB"/>
        </w:rPr>
      </w:pPr>
      <w:r w:rsidRPr="009C48DA">
        <w:rPr>
          <w:rFonts w:eastAsia="Times New Roman"/>
          <w:color w:val="000000"/>
          <w:sz w:val="16"/>
          <w:lang w:val="en-GB"/>
        </w:rPr>
        <w:br w:type="page"/>
      </w:r>
    </w:p>
    <w:p w:rsidRPr="009C48DA" w:rsidR="00661519" w:rsidP="00661519" w:rsidRDefault="00661519" w14:paraId="4B39AF1E" w14:textId="791667E1">
      <w:pPr>
        <w:tabs>
          <w:tab w:val="left" w:pos="288"/>
        </w:tabs>
        <w:textAlignment w:val="baseline"/>
        <w:rPr>
          <w:rFonts w:eastAsia="Times New Roman"/>
          <w:color w:val="000000"/>
          <w:sz w:val="16"/>
          <w:lang w:val="en-GB"/>
        </w:rPr>
      </w:pPr>
      <w:r w:rsidRPr="009C48DA">
        <w:rPr>
          <w:rFonts w:eastAsia="Times New Roman"/>
          <w:color w:val="000000"/>
          <w:sz w:val="16"/>
          <w:lang w:val="en-GB"/>
        </w:rPr>
        <w:lastRenderedPageBreak/>
        <w:t xml:space="preserve">In the Spring Budget 2021, the Government announced that from 1 April 2023 the corporation tax rate will increase to 25%. Since the </w:t>
      </w:r>
      <w:r w:rsidRPr="009C48DA">
        <w:rPr>
          <w:rFonts w:eastAsia="Times New Roman"/>
          <w:color w:val="000000"/>
          <w:sz w:val="16"/>
          <w:lang w:val="en-GB"/>
        </w:rPr>
        <w:br/>
        <w:t xml:space="preserve">proposal to increase the rate to 25% had not been substantively enacted at the balance sheet dates, its effects are not included in this </w:t>
      </w:r>
      <w:r w:rsidRPr="009C48DA">
        <w:rPr>
          <w:rFonts w:eastAsia="Times New Roman"/>
          <w:color w:val="000000"/>
          <w:sz w:val="16"/>
          <w:lang w:val="en-GB"/>
        </w:rPr>
        <w:br/>
        <w:t>historical financial information. An increase from 19% to 25% would increase the net deferred tax liability by £6.0m.</w:t>
      </w:r>
    </w:p>
    <w:p w:rsidRPr="009C48DA" w:rsidR="00661519" w:rsidP="00661519" w:rsidRDefault="00661519" w14:paraId="3AB8C6B2" w14:textId="6604CC81">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(c)</w:t>
      </w:r>
      <w:r w:rsidRPr="009C48DA">
        <w:rPr>
          <w:rFonts w:eastAsia="Times New Roman" w:cs="Times New Roman"/>
          <w:b/>
          <w:color w:val="000000"/>
          <w:sz w:val="16"/>
          <w:szCs w:val="22"/>
          <w:lang w:val="en-GB"/>
        </w:rPr>
        <w:tab/>
        <w:t>Tax on amounts recognised directly in other comprehensive income</w:t>
      </w:r>
    </w:p>
    <w:p w:rsidRPr="009C48DA" w:rsidR="00661519" w:rsidP="00661519" w:rsidRDefault="00661519" w14:paraId="5DAB6C1C" w14:textId="77777777">
      <w:pPr>
        <w:textAlignment w:val="baseline"/>
        <w:rPr>
          <w:rFonts w:eastAsia="Times New Roman" w:cs="Times New Roman"/>
          <w:b/>
          <w:color w:val="000000"/>
          <w:sz w:val="16"/>
          <w:szCs w:val="22"/>
          <w:lang w:val="en-GB"/>
        </w:rPr>
      </w:pPr>
    </w:p>
    <w:p w:rsidRPr="009C48DA" w:rsidR="00661519" w:rsidP="00661519" w:rsidRDefault="00661519" w14:paraId="145F5906"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Tax on amounts recognised in other comprehensive income relate to deferred tax timing differences on foreign exchange forward contracts</w:t>
      </w:r>
      <w:r w:rsidRPr="009C48DA">
        <w:rPr>
          <w:rFonts w:eastAsia="Times New Roman" w:cs="Times New Roman"/>
          <w:color w:val="000000"/>
          <w:sz w:val="16"/>
          <w:szCs w:val="22"/>
          <w:lang w:val="en-GB"/>
        </w:rPr>
        <w:br/>
        <w:t>used for hedging purposes.</w:t>
      </w:r>
    </w:p>
    <w:p w:rsidRPr="009C48DA" w:rsidR="00661519" w:rsidP="00661519" w:rsidRDefault="00661519" w14:paraId="28E6EF68" w14:textId="77777777">
      <w:pPr>
        <w:jc w:val="both"/>
        <w:textAlignment w:val="baseline"/>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36"/>
        <w:gridCol w:w="1020"/>
        <w:gridCol w:w="1021"/>
        <w:gridCol w:w="935"/>
        <w:gridCol w:w="1106"/>
        <w:gridCol w:w="1021"/>
      </w:tblGrid>
      <w:tr w:rsidRPr="009C48DA" w:rsidR="00661519" w:rsidTr="00661519" w14:paraId="1A2B278C" w14:textId="77777777">
        <w:tc>
          <w:tcPr>
            <w:tcW w:w="3936" w:type="dxa"/>
            <w:vAlign w:val="bottom"/>
          </w:tcPr>
          <w:p w:rsidRPr="009C48DA" w:rsidR="00661519" w:rsidP="00661519" w:rsidRDefault="00661519" w14:paraId="3E7B3369" w14:textId="77777777">
            <w:pPr>
              <w:jc w:val="both"/>
              <w:textAlignment w:val="baseline"/>
              <w:rPr>
                <w:rFonts w:eastAsia="Times New Roman"/>
                <w:color w:val="000000"/>
                <w:sz w:val="16"/>
                <w:lang w:val="en-GB"/>
              </w:rPr>
            </w:pPr>
          </w:p>
        </w:tc>
        <w:tc>
          <w:tcPr>
            <w:tcW w:w="2976" w:type="dxa"/>
            <w:gridSpan w:val="3"/>
            <w:vAlign w:val="bottom"/>
          </w:tcPr>
          <w:p w:rsidRPr="009C48DA" w:rsidR="00661519" w:rsidP="00661519" w:rsidRDefault="00661519" w14:paraId="177019B1"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Year ended 31 December</w:t>
            </w:r>
          </w:p>
        </w:tc>
        <w:tc>
          <w:tcPr>
            <w:tcW w:w="2127" w:type="dxa"/>
            <w:gridSpan w:val="2"/>
            <w:vAlign w:val="bottom"/>
          </w:tcPr>
          <w:p w:rsidRPr="009C48DA" w:rsidR="00661519" w:rsidP="00661519" w:rsidRDefault="00661519" w14:paraId="429646E9"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Three month period ended 31 March</w:t>
            </w:r>
          </w:p>
        </w:tc>
      </w:tr>
      <w:tr w:rsidRPr="009C48DA" w:rsidR="00661519" w:rsidTr="00661519" w14:paraId="0832F397" w14:textId="77777777">
        <w:tc>
          <w:tcPr>
            <w:tcW w:w="3936" w:type="dxa"/>
            <w:vAlign w:val="bottom"/>
          </w:tcPr>
          <w:p w:rsidRPr="009C48DA" w:rsidR="00661519" w:rsidP="00661519" w:rsidRDefault="00661519" w14:paraId="0498E39B" w14:textId="77777777">
            <w:pPr>
              <w:jc w:val="both"/>
              <w:textAlignment w:val="baseline"/>
              <w:rPr>
                <w:rFonts w:eastAsia="Times New Roman"/>
                <w:color w:val="000000"/>
                <w:sz w:val="16"/>
                <w:lang w:val="en-GB"/>
              </w:rPr>
            </w:pPr>
          </w:p>
        </w:tc>
        <w:tc>
          <w:tcPr>
            <w:tcW w:w="1020" w:type="dxa"/>
            <w:vAlign w:val="bottom"/>
          </w:tcPr>
          <w:p w:rsidRPr="009C48DA" w:rsidR="00661519" w:rsidP="00661519" w:rsidRDefault="00661519" w14:paraId="78605831" w14:textId="77777777">
            <w:pPr>
              <w:jc w:val="right"/>
              <w:textAlignment w:val="baseline"/>
              <w:rPr>
                <w:rFonts w:eastAsia="Times New Roman"/>
                <w:b/>
                <w:color w:val="000000"/>
                <w:sz w:val="16"/>
                <w:lang w:val="en-GB"/>
              </w:rPr>
            </w:pPr>
          </w:p>
        </w:tc>
        <w:tc>
          <w:tcPr>
            <w:tcW w:w="1021" w:type="dxa"/>
            <w:vAlign w:val="bottom"/>
          </w:tcPr>
          <w:p w:rsidRPr="009C48DA" w:rsidR="00661519" w:rsidP="00661519" w:rsidRDefault="00661519" w14:paraId="23245A6C" w14:textId="77777777">
            <w:pPr>
              <w:jc w:val="right"/>
              <w:textAlignment w:val="baseline"/>
              <w:rPr>
                <w:rFonts w:eastAsia="Times New Roman"/>
                <w:b/>
                <w:color w:val="000000"/>
                <w:sz w:val="16"/>
                <w:lang w:val="en-GB"/>
              </w:rPr>
            </w:pPr>
          </w:p>
        </w:tc>
        <w:tc>
          <w:tcPr>
            <w:tcW w:w="935" w:type="dxa"/>
            <w:vAlign w:val="bottom"/>
          </w:tcPr>
          <w:p w:rsidRPr="009C48DA" w:rsidR="00661519" w:rsidP="00661519" w:rsidRDefault="00661519" w14:paraId="44AD9635" w14:textId="77777777">
            <w:pPr>
              <w:jc w:val="right"/>
              <w:textAlignment w:val="baseline"/>
              <w:rPr>
                <w:rFonts w:eastAsia="Times New Roman"/>
                <w:b/>
                <w:color w:val="000000"/>
                <w:sz w:val="16"/>
                <w:lang w:val="en-GB"/>
              </w:rPr>
            </w:pPr>
          </w:p>
        </w:tc>
        <w:tc>
          <w:tcPr>
            <w:tcW w:w="2127" w:type="dxa"/>
            <w:gridSpan w:val="2"/>
            <w:vAlign w:val="bottom"/>
          </w:tcPr>
          <w:p w:rsidRPr="009C48DA" w:rsidR="00661519" w:rsidP="00661519" w:rsidRDefault="00661519" w14:paraId="52685934" w14:textId="77777777">
            <w:pPr>
              <w:textAlignment w:val="baseline"/>
              <w:rPr>
                <w:rFonts w:eastAsia="Times New Roman"/>
                <w:b/>
                <w:color w:val="000000"/>
                <w:sz w:val="16"/>
                <w:lang w:val="en-GB"/>
              </w:rPr>
            </w:pPr>
            <w:r w:rsidRPr="009C48DA">
              <w:rPr>
                <w:rFonts w:eastAsia="Times New Roman"/>
                <w:b/>
                <w:color w:val="000000"/>
                <w:sz w:val="16"/>
                <w:lang w:val="en-GB"/>
              </w:rPr>
              <w:t xml:space="preserve">    Unaudited</w:t>
            </w:r>
          </w:p>
        </w:tc>
      </w:tr>
      <w:tr w:rsidRPr="009C48DA" w:rsidR="00661519" w:rsidTr="00661519" w14:paraId="4DBC5018" w14:textId="77777777">
        <w:tc>
          <w:tcPr>
            <w:tcW w:w="3936" w:type="dxa"/>
            <w:vAlign w:val="bottom"/>
          </w:tcPr>
          <w:p w:rsidRPr="009C48DA" w:rsidR="00661519" w:rsidP="00661519" w:rsidRDefault="00661519" w14:paraId="25B79736" w14:textId="77777777">
            <w:pPr>
              <w:jc w:val="both"/>
              <w:textAlignment w:val="baseline"/>
              <w:rPr>
                <w:rFonts w:eastAsia="Times New Roman"/>
                <w:color w:val="000000"/>
                <w:sz w:val="16"/>
                <w:lang w:val="en-GB"/>
              </w:rPr>
            </w:pPr>
          </w:p>
        </w:tc>
        <w:tc>
          <w:tcPr>
            <w:tcW w:w="1020" w:type="dxa"/>
            <w:vAlign w:val="bottom"/>
          </w:tcPr>
          <w:p w:rsidRPr="009C48DA" w:rsidR="00661519" w:rsidP="00661519" w:rsidRDefault="00661519" w14:paraId="0F30C4AB"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5CF583A0"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021" w:type="dxa"/>
            <w:vAlign w:val="bottom"/>
          </w:tcPr>
          <w:p w:rsidRPr="009C48DA" w:rsidR="00661519" w:rsidP="00661519" w:rsidRDefault="00661519" w14:paraId="51C7711B"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6B4B0CCC"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935" w:type="dxa"/>
            <w:vAlign w:val="bottom"/>
          </w:tcPr>
          <w:p w:rsidRPr="009C48DA" w:rsidR="00661519" w:rsidP="00661519" w:rsidRDefault="00661519" w14:paraId="3936CED8"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06A9FB21"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06" w:type="dxa"/>
            <w:vAlign w:val="bottom"/>
          </w:tcPr>
          <w:p w:rsidRPr="009C48DA" w:rsidR="00661519" w:rsidP="00661519" w:rsidRDefault="00661519" w14:paraId="4213DF7B"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0F7137E5"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021" w:type="dxa"/>
            <w:vAlign w:val="bottom"/>
          </w:tcPr>
          <w:p w:rsidRPr="009C48DA" w:rsidR="00661519" w:rsidP="00661519" w:rsidRDefault="00661519" w14:paraId="057A073D"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357467BB"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3FD13F0F" w14:textId="77777777">
        <w:tc>
          <w:tcPr>
            <w:tcW w:w="3936" w:type="dxa"/>
            <w:vAlign w:val="bottom"/>
          </w:tcPr>
          <w:p w:rsidRPr="009C48DA" w:rsidR="00661519" w:rsidP="00661519" w:rsidRDefault="00661519" w14:paraId="4C59766B" w14:textId="77777777">
            <w:pPr>
              <w:spacing w:before="60"/>
              <w:jc w:val="both"/>
              <w:textAlignment w:val="baseline"/>
              <w:rPr>
                <w:rFonts w:eastAsia="Times New Roman"/>
                <w:b/>
                <w:color w:val="000000"/>
                <w:sz w:val="16"/>
                <w:lang w:val="en-GB"/>
              </w:rPr>
            </w:pPr>
            <w:r w:rsidRPr="009C48DA">
              <w:rPr>
                <w:rFonts w:eastAsia="Times New Roman"/>
                <w:color w:val="000000"/>
                <w:sz w:val="16"/>
                <w:lang w:val="en-GB"/>
              </w:rPr>
              <w:t>Tax on amounts recognised in other comprehensive income</w:t>
            </w:r>
          </w:p>
        </w:tc>
        <w:tc>
          <w:tcPr>
            <w:tcW w:w="1020" w:type="dxa"/>
            <w:vAlign w:val="bottom"/>
          </w:tcPr>
          <w:p w:rsidRPr="009C48DA" w:rsidR="00661519" w:rsidP="00661519" w:rsidRDefault="00661519" w14:paraId="1F20CE93"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(527)</w:t>
            </w:r>
          </w:p>
        </w:tc>
        <w:tc>
          <w:tcPr>
            <w:tcW w:w="1021" w:type="dxa"/>
            <w:vAlign w:val="bottom"/>
          </w:tcPr>
          <w:p w:rsidRPr="009C48DA" w:rsidR="00661519" w:rsidP="00661519" w:rsidRDefault="00661519" w14:paraId="48A19FDD"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(1,417)</w:t>
            </w:r>
          </w:p>
        </w:tc>
        <w:tc>
          <w:tcPr>
            <w:tcW w:w="935" w:type="dxa"/>
            <w:vAlign w:val="bottom"/>
          </w:tcPr>
          <w:p w:rsidRPr="009C48DA" w:rsidR="00661519" w:rsidP="00661519" w:rsidRDefault="00661519" w14:paraId="7B7EBF8B"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915</w:t>
            </w:r>
          </w:p>
        </w:tc>
        <w:tc>
          <w:tcPr>
            <w:tcW w:w="1106" w:type="dxa"/>
            <w:vAlign w:val="bottom"/>
          </w:tcPr>
          <w:p w:rsidRPr="009C48DA" w:rsidR="00661519" w:rsidP="00661519" w:rsidRDefault="00661519" w14:paraId="488724AB"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1,320</w:t>
            </w:r>
          </w:p>
        </w:tc>
        <w:tc>
          <w:tcPr>
            <w:tcW w:w="1021" w:type="dxa"/>
            <w:vAlign w:val="bottom"/>
          </w:tcPr>
          <w:p w:rsidRPr="009C48DA" w:rsidR="00661519" w:rsidP="00661519" w:rsidRDefault="00661519" w14:paraId="039680A0"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(2,097)</w:t>
            </w:r>
          </w:p>
        </w:tc>
      </w:tr>
    </w:tbl>
    <w:p w:rsidRPr="009C48DA" w:rsidR="00661519" w:rsidP="00661519" w:rsidRDefault="00661519" w14:paraId="596D007C" w14:textId="77777777">
      <w:pPr>
        <w:jc w:val="both"/>
        <w:textAlignment w:val="baseline"/>
        <w:rPr>
          <w:rFonts w:eastAsia="Times New Roman" w:cs="Times New Roman"/>
          <w:color w:val="000000"/>
          <w:sz w:val="16"/>
          <w:szCs w:val="22"/>
          <w:lang w:val="en-GB"/>
        </w:rPr>
      </w:pPr>
    </w:p>
    <w:p w:rsidRPr="009C48DA" w:rsidR="00661519" w:rsidP="00661519" w:rsidRDefault="00661519" w14:paraId="45B86D50" w14:textId="77777777">
      <w:pPr>
        <w:ind w:right="36"/>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(d)</w:t>
      </w:r>
      <w:r w:rsidRPr="009C48DA">
        <w:rPr>
          <w:rFonts w:eastAsia="Times New Roman" w:cs="Times New Roman"/>
          <w:b/>
          <w:color w:val="000000"/>
          <w:sz w:val="16"/>
          <w:szCs w:val="22"/>
          <w:lang w:val="en-GB"/>
        </w:rPr>
        <w:tab/>
        <w:t>Tax losses not recognised</w:t>
      </w:r>
    </w:p>
    <w:p w:rsidRPr="009C48DA" w:rsidR="00661519" w:rsidP="00661519" w:rsidRDefault="00661519" w14:paraId="4F466EDA" w14:textId="77777777">
      <w:pPr>
        <w:ind w:right="36"/>
        <w:textAlignment w:val="baseline"/>
        <w:rPr>
          <w:rFonts w:eastAsia="Times New Roman" w:cs="Times New Roman"/>
          <w:b/>
          <w:color w:val="000000"/>
          <w:sz w:val="16"/>
          <w:szCs w:val="22"/>
          <w:lang w:val="en-GB"/>
        </w:rPr>
      </w:pPr>
    </w:p>
    <w:p w:rsidRPr="009C48DA" w:rsidR="00661519" w:rsidP="00661519" w:rsidRDefault="00661519" w14:paraId="5C178466" w14:textId="77777777">
      <w:pPr>
        <w:spacing w:before="108" w:line="182" w:lineRule="exact"/>
        <w:jc w:val="both"/>
        <w:textAlignment w:val="baseline"/>
        <w:rPr>
          <w:rFonts w:eastAsia="Times New Roman"/>
          <w:color w:val="000000"/>
          <w:spacing w:val="1"/>
          <w:sz w:val="16"/>
          <w:lang w:val="en-GB"/>
        </w:rPr>
      </w:pPr>
      <w:r w:rsidRPr="009C48DA">
        <w:rPr>
          <w:rFonts w:eastAsia="Times New Roman"/>
          <w:color w:val="000000"/>
          <w:spacing w:val="1"/>
          <w:sz w:val="16"/>
          <w:lang w:val="en-GB"/>
        </w:rPr>
        <w:t xml:space="preserve">A deferred tax asset relating to tax losses carried forward of £69.1m at 31 March 2021 and £70.0m at 31 December 2020 (2019: £45.9m, </w:t>
      </w:r>
      <w:r w:rsidRPr="009C48DA">
        <w:rPr>
          <w:rFonts w:eastAsia="Times New Roman"/>
          <w:color w:val="000000"/>
          <w:spacing w:val="1"/>
          <w:sz w:val="16"/>
          <w:lang w:val="en-GB"/>
        </w:rPr>
        <w:br/>
        <w:t xml:space="preserve">2018: £40.5m) has not been recognised due to the uncertainty of future taxable profits against which the asset can be utilised in the </w:t>
      </w:r>
      <w:r w:rsidRPr="009C48DA">
        <w:rPr>
          <w:rFonts w:eastAsia="Times New Roman"/>
          <w:color w:val="000000"/>
          <w:spacing w:val="1"/>
          <w:sz w:val="16"/>
          <w:lang w:val="en-GB"/>
        </w:rPr>
        <w:br/>
        <w:t>foreseeable future.</w:t>
      </w:r>
    </w:p>
    <w:p w:rsidRPr="009C48DA" w:rsidR="00661519" w:rsidP="00661519" w:rsidRDefault="00661519" w14:paraId="0D3F29C7" w14:textId="77777777">
      <w:pPr>
        <w:ind w:right="36"/>
        <w:textAlignment w:val="baseline"/>
        <w:rPr>
          <w:rFonts w:eastAsia="Times New Roman" w:cs="Times New Roman"/>
          <w:b/>
          <w:color w:val="000000"/>
          <w:sz w:val="16"/>
          <w:szCs w:val="22"/>
          <w:lang w:val="en-GB"/>
        </w:rPr>
      </w:pPr>
    </w:p>
    <w:p w:rsidRPr="009C48DA" w:rsidR="00661519" w:rsidP="00661519" w:rsidRDefault="00661519" w14:paraId="4B328046" w14:textId="77777777">
      <w:pPr>
        <w:ind w:right="36"/>
        <w:textAlignment w:val="baseline"/>
        <w:rPr>
          <w:rFonts w:eastAsia="Times New Roman" w:cs="Times New Roman"/>
          <w:b/>
          <w:color w:val="000000"/>
          <w:sz w:val="16"/>
          <w:szCs w:val="22"/>
          <w:lang w:val="en-GB"/>
        </w:rPr>
      </w:pPr>
    </w:p>
    <w:p w:rsidRPr="009C48DA" w:rsidR="00661519" w:rsidP="00661519" w:rsidRDefault="00661519" w14:paraId="6B6FD41F" w14:textId="77777777">
      <w:pPr>
        <w:ind w:right="36"/>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12</w:t>
      </w:r>
      <w:r w:rsidRPr="009C48DA">
        <w:rPr>
          <w:rFonts w:eastAsia="Times New Roman" w:cs="Times New Roman"/>
          <w:b/>
          <w:color w:val="000000"/>
          <w:sz w:val="16"/>
          <w:szCs w:val="22"/>
          <w:lang w:val="en-GB"/>
        </w:rPr>
        <w:tab/>
        <w:t>Earnings per share</w:t>
      </w:r>
    </w:p>
    <w:p w:rsidRPr="009C48DA" w:rsidR="00661519" w:rsidP="00661519" w:rsidRDefault="00661519" w14:paraId="3C29892C" w14:textId="77777777">
      <w:pPr>
        <w:ind w:right="36"/>
        <w:textAlignment w:val="baseline"/>
        <w:rPr>
          <w:rFonts w:eastAsia="Times New Roman" w:cs="Times New Roman"/>
          <w:b/>
          <w:color w:val="000000"/>
          <w:sz w:val="16"/>
          <w:szCs w:val="22"/>
          <w:lang w:val="en-GB"/>
        </w:rPr>
      </w:pPr>
    </w:p>
    <w:p w:rsidRPr="009C48DA" w:rsidR="00661519" w:rsidP="00661519" w:rsidRDefault="00661519" w14:paraId="208023A5" w14:textId="77777777">
      <w:pPr>
        <w:ind w:right="36"/>
        <w:textAlignment w:val="baseline"/>
        <w:rPr>
          <w:rFonts w:eastAsia="Times New Roman" w:cs="Times New Roman"/>
          <w:b/>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36"/>
        <w:gridCol w:w="1020"/>
        <w:gridCol w:w="1021"/>
        <w:gridCol w:w="935"/>
        <w:gridCol w:w="1106"/>
        <w:gridCol w:w="1021"/>
      </w:tblGrid>
      <w:tr w:rsidRPr="009C48DA" w:rsidR="00661519" w:rsidTr="00661519" w14:paraId="2A1B775E" w14:textId="77777777">
        <w:tc>
          <w:tcPr>
            <w:tcW w:w="3936" w:type="dxa"/>
            <w:vAlign w:val="bottom"/>
          </w:tcPr>
          <w:p w:rsidRPr="009C48DA" w:rsidR="00661519" w:rsidP="00661519" w:rsidRDefault="00661519" w14:paraId="6EE42F6E" w14:textId="77777777">
            <w:pPr>
              <w:jc w:val="both"/>
              <w:textAlignment w:val="baseline"/>
              <w:rPr>
                <w:rFonts w:eastAsia="Times New Roman"/>
                <w:color w:val="000000"/>
                <w:sz w:val="16"/>
                <w:lang w:val="en-GB"/>
              </w:rPr>
            </w:pPr>
          </w:p>
        </w:tc>
        <w:tc>
          <w:tcPr>
            <w:tcW w:w="2976" w:type="dxa"/>
            <w:gridSpan w:val="3"/>
            <w:vAlign w:val="bottom"/>
          </w:tcPr>
          <w:p w:rsidRPr="009C48DA" w:rsidR="00661519" w:rsidP="00661519" w:rsidRDefault="00661519" w14:paraId="42FC7B88"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Year ended 31 December</w:t>
            </w:r>
          </w:p>
        </w:tc>
        <w:tc>
          <w:tcPr>
            <w:tcW w:w="2127" w:type="dxa"/>
            <w:gridSpan w:val="2"/>
            <w:vAlign w:val="bottom"/>
          </w:tcPr>
          <w:p w:rsidRPr="009C48DA" w:rsidR="00661519" w:rsidP="00661519" w:rsidRDefault="00661519" w14:paraId="6B1BF1E3"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Three month period ended 31 March</w:t>
            </w:r>
          </w:p>
        </w:tc>
      </w:tr>
      <w:tr w:rsidRPr="009C48DA" w:rsidR="00661519" w:rsidTr="00661519" w14:paraId="65DB5C22" w14:textId="77777777">
        <w:tc>
          <w:tcPr>
            <w:tcW w:w="3936" w:type="dxa"/>
            <w:vAlign w:val="bottom"/>
          </w:tcPr>
          <w:p w:rsidRPr="009C48DA" w:rsidR="00661519" w:rsidP="00661519" w:rsidRDefault="00661519" w14:paraId="7ABF2C2F" w14:textId="77777777">
            <w:pPr>
              <w:jc w:val="both"/>
              <w:textAlignment w:val="baseline"/>
              <w:rPr>
                <w:rFonts w:eastAsia="Times New Roman"/>
                <w:color w:val="000000"/>
                <w:sz w:val="16"/>
                <w:lang w:val="en-GB"/>
              </w:rPr>
            </w:pPr>
          </w:p>
        </w:tc>
        <w:tc>
          <w:tcPr>
            <w:tcW w:w="1020" w:type="dxa"/>
            <w:vAlign w:val="bottom"/>
          </w:tcPr>
          <w:p w:rsidRPr="009C48DA" w:rsidR="00661519" w:rsidP="00661519" w:rsidRDefault="00661519" w14:paraId="130EFB84" w14:textId="77777777">
            <w:pPr>
              <w:jc w:val="right"/>
              <w:textAlignment w:val="baseline"/>
              <w:rPr>
                <w:rFonts w:eastAsia="Times New Roman"/>
                <w:b/>
                <w:color w:val="000000"/>
                <w:sz w:val="16"/>
                <w:lang w:val="en-GB"/>
              </w:rPr>
            </w:pPr>
          </w:p>
        </w:tc>
        <w:tc>
          <w:tcPr>
            <w:tcW w:w="1021" w:type="dxa"/>
            <w:vAlign w:val="bottom"/>
          </w:tcPr>
          <w:p w:rsidRPr="009C48DA" w:rsidR="00661519" w:rsidP="00661519" w:rsidRDefault="00661519" w14:paraId="40D3B4EB" w14:textId="77777777">
            <w:pPr>
              <w:jc w:val="right"/>
              <w:textAlignment w:val="baseline"/>
              <w:rPr>
                <w:rFonts w:eastAsia="Times New Roman"/>
                <w:b/>
                <w:color w:val="000000"/>
                <w:sz w:val="16"/>
                <w:lang w:val="en-GB"/>
              </w:rPr>
            </w:pPr>
          </w:p>
        </w:tc>
        <w:tc>
          <w:tcPr>
            <w:tcW w:w="935" w:type="dxa"/>
            <w:vAlign w:val="bottom"/>
          </w:tcPr>
          <w:p w:rsidRPr="009C48DA" w:rsidR="00661519" w:rsidP="00661519" w:rsidRDefault="00661519" w14:paraId="14D07D88" w14:textId="77777777">
            <w:pPr>
              <w:jc w:val="right"/>
              <w:textAlignment w:val="baseline"/>
              <w:rPr>
                <w:rFonts w:eastAsia="Times New Roman"/>
                <w:b/>
                <w:color w:val="000000"/>
                <w:sz w:val="16"/>
                <w:lang w:val="en-GB"/>
              </w:rPr>
            </w:pPr>
          </w:p>
        </w:tc>
        <w:tc>
          <w:tcPr>
            <w:tcW w:w="2127" w:type="dxa"/>
            <w:gridSpan w:val="2"/>
            <w:vAlign w:val="bottom"/>
          </w:tcPr>
          <w:p w:rsidRPr="009C48DA" w:rsidR="00661519" w:rsidP="00661519" w:rsidRDefault="00661519" w14:paraId="1D6C7BF0" w14:textId="77777777">
            <w:pPr>
              <w:textAlignment w:val="baseline"/>
              <w:rPr>
                <w:rFonts w:eastAsia="Times New Roman"/>
                <w:b/>
                <w:color w:val="000000"/>
                <w:sz w:val="16"/>
                <w:lang w:val="en-GB"/>
              </w:rPr>
            </w:pPr>
            <w:r w:rsidRPr="009C48DA">
              <w:rPr>
                <w:rFonts w:eastAsia="Times New Roman"/>
                <w:b/>
                <w:color w:val="000000"/>
                <w:sz w:val="16"/>
                <w:lang w:val="en-GB"/>
              </w:rPr>
              <w:t xml:space="preserve">    Unaudited</w:t>
            </w:r>
          </w:p>
        </w:tc>
      </w:tr>
      <w:tr w:rsidRPr="009C48DA" w:rsidR="00661519" w:rsidTr="00661519" w14:paraId="11807C3C" w14:textId="77777777">
        <w:tc>
          <w:tcPr>
            <w:tcW w:w="3936" w:type="dxa"/>
            <w:vAlign w:val="bottom"/>
          </w:tcPr>
          <w:p w:rsidRPr="009C48DA" w:rsidR="00661519" w:rsidP="00661519" w:rsidRDefault="00661519" w14:paraId="2B6A7C2A" w14:textId="77777777">
            <w:pPr>
              <w:jc w:val="both"/>
              <w:textAlignment w:val="baseline"/>
              <w:rPr>
                <w:rFonts w:eastAsia="Times New Roman"/>
                <w:color w:val="000000"/>
                <w:sz w:val="16"/>
                <w:lang w:val="en-GB"/>
              </w:rPr>
            </w:pPr>
          </w:p>
        </w:tc>
        <w:tc>
          <w:tcPr>
            <w:tcW w:w="1020" w:type="dxa"/>
            <w:vAlign w:val="bottom"/>
          </w:tcPr>
          <w:p w:rsidRPr="009C48DA" w:rsidR="00661519" w:rsidP="00661519" w:rsidRDefault="00661519" w14:paraId="2F2A1BBE"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7D77229C"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021" w:type="dxa"/>
            <w:vAlign w:val="bottom"/>
          </w:tcPr>
          <w:p w:rsidRPr="009C48DA" w:rsidR="00661519" w:rsidP="00661519" w:rsidRDefault="00661519" w14:paraId="5E77ABAA"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30016F4D"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935" w:type="dxa"/>
            <w:vAlign w:val="bottom"/>
          </w:tcPr>
          <w:p w:rsidRPr="009C48DA" w:rsidR="00661519" w:rsidP="00661519" w:rsidRDefault="00661519" w14:paraId="4217AEF2"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219F48D1"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06" w:type="dxa"/>
            <w:vAlign w:val="bottom"/>
          </w:tcPr>
          <w:p w:rsidRPr="009C48DA" w:rsidR="00661519" w:rsidP="00661519" w:rsidRDefault="00661519" w14:paraId="76B937AA"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3A99685F"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021" w:type="dxa"/>
            <w:vAlign w:val="bottom"/>
          </w:tcPr>
          <w:p w:rsidRPr="009C48DA" w:rsidR="00661519" w:rsidP="00661519" w:rsidRDefault="00661519" w14:paraId="2A45E8D8"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57026243"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30C27F54" w14:textId="77777777">
        <w:tc>
          <w:tcPr>
            <w:tcW w:w="3936" w:type="dxa"/>
            <w:vAlign w:val="bottom"/>
          </w:tcPr>
          <w:p w:rsidRPr="009C48DA" w:rsidR="00661519" w:rsidP="00661519" w:rsidRDefault="00661519" w14:paraId="092ABFC0" w14:textId="77777777">
            <w:pPr>
              <w:spacing w:before="60" w:line="175" w:lineRule="exact"/>
              <w:textAlignment w:val="baseline"/>
              <w:rPr>
                <w:rFonts w:eastAsia="Times New Roman"/>
                <w:color w:val="000000"/>
                <w:sz w:val="16"/>
                <w:lang w:val="en-GB"/>
              </w:rPr>
            </w:pPr>
            <w:r w:rsidRPr="009C48DA">
              <w:rPr>
                <w:rFonts w:eastAsia="Times New Roman"/>
                <w:color w:val="000000"/>
                <w:sz w:val="16"/>
                <w:lang w:val="en-GB"/>
              </w:rPr>
              <w:t>(Loss)/profit attributable to equity holders of the Company</w:t>
            </w:r>
          </w:p>
        </w:tc>
        <w:tc>
          <w:tcPr>
            <w:tcW w:w="1020" w:type="dxa"/>
          </w:tcPr>
          <w:p w:rsidRPr="009C48DA" w:rsidR="00661519" w:rsidP="00661519" w:rsidRDefault="00661519" w14:paraId="480AD3D5" w14:textId="77777777">
            <w:pPr>
              <w:pBdr>
                <w:bottom w:val="single" w:color="auto" w:sz="8" w:space="1"/>
              </w:pBdr>
              <w:spacing w:before="60"/>
              <w:jc w:val="right"/>
              <w:textAlignment w:val="baseline"/>
              <w:rPr>
                <w:rFonts w:eastAsia="Times New Roman"/>
                <w:color w:val="000000"/>
                <w:sz w:val="16"/>
                <w:lang w:val="en-GB"/>
              </w:rPr>
            </w:pPr>
          </w:p>
          <w:p w:rsidRPr="009C48DA" w:rsidR="00661519" w:rsidP="00661519" w:rsidRDefault="00661519" w14:paraId="626D7D3A" w14:textId="77777777">
            <w:pPr>
              <w:pBdr>
                <w:bottom w:val="single" w:color="auto" w:sz="8" w:space="1"/>
              </w:pBdr>
              <w:spacing w:before="60"/>
              <w:jc w:val="right"/>
              <w:textAlignment w:val="baseline"/>
              <w:rPr>
                <w:rFonts w:eastAsia="Times New Roman"/>
                <w:color w:val="000000"/>
                <w:sz w:val="16"/>
                <w:lang w:val="en-GB"/>
              </w:rPr>
            </w:pPr>
            <w:r w:rsidRPr="009C48DA">
              <w:rPr>
                <w:rFonts w:eastAsia="Times New Roman"/>
                <w:color w:val="000000"/>
                <w:sz w:val="16"/>
                <w:lang w:val="en-GB"/>
              </w:rPr>
              <w:t>(4,659)</w:t>
            </w:r>
          </w:p>
        </w:tc>
        <w:tc>
          <w:tcPr>
            <w:tcW w:w="1021" w:type="dxa"/>
          </w:tcPr>
          <w:p w:rsidRPr="009C48DA" w:rsidR="00661519" w:rsidP="00661519" w:rsidRDefault="00661519" w14:paraId="1D69F4A9" w14:textId="77777777">
            <w:pPr>
              <w:pBdr>
                <w:bottom w:val="single" w:color="auto" w:sz="8" w:space="1"/>
              </w:pBdr>
              <w:spacing w:before="60"/>
              <w:jc w:val="right"/>
              <w:textAlignment w:val="baseline"/>
              <w:rPr>
                <w:rFonts w:eastAsia="Times New Roman"/>
                <w:color w:val="000000"/>
                <w:sz w:val="16"/>
                <w:lang w:val="en-GB"/>
              </w:rPr>
            </w:pPr>
          </w:p>
          <w:p w:rsidRPr="009C48DA" w:rsidR="00661519" w:rsidP="00661519" w:rsidRDefault="00661519" w14:paraId="04DBC207" w14:textId="77777777">
            <w:pPr>
              <w:pBdr>
                <w:bottom w:val="single" w:color="auto" w:sz="8" w:space="1"/>
              </w:pBdr>
              <w:spacing w:before="60"/>
              <w:jc w:val="right"/>
              <w:textAlignment w:val="baseline"/>
              <w:rPr>
                <w:rFonts w:eastAsia="Times New Roman"/>
                <w:color w:val="000000"/>
                <w:sz w:val="16"/>
                <w:lang w:val="en-GB"/>
              </w:rPr>
            </w:pPr>
            <w:r w:rsidRPr="009C48DA">
              <w:rPr>
                <w:rFonts w:eastAsia="Times New Roman"/>
                <w:color w:val="000000"/>
                <w:sz w:val="16"/>
                <w:lang w:val="en-GB"/>
              </w:rPr>
              <w:t>28,901</w:t>
            </w:r>
          </w:p>
        </w:tc>
        <w:tc>
          <w:tcPr>
            <w:tcW w:w="935" w:type="dxa"/>
          </w:tcPr>
          <w:p w:rsidRPr="009C48DA" w:rsidR="00661519" w:rsidP="00661519" w:rsidRDefault="00661519" w14:paraId="7DAF36B8" w14:textId="77777777">
            <w:pPr>
              <w:pBdr>
                <w:bottom w:val="single" w:color="auto" w:sz="8" w:space="1"/>
              </w:pBdr>
              <w:spacing w:before="60"/>
              <w:jc w:val="right"/>
              <w:textAlignment w:val="baseline"/>
              <w:rPr>
                <w:rFonts w:eastAsia="Times New Roman"/>
                <w:color w:val="000000"/>
                <w:sz w:val="16"/>
                <w:lang w:val="en-GB"/>
              </w:rPr>
            </w:pPr>
          </w:p>
          <w:p w:rsidRPr="009C48DA" w:rsidR="00661519" w:rsidP="00661519" w:rsidRDefault="00661519" w14:paraId="45D3292E" w14:textId="77777777">
            <w:pPr>
              <w:pBdr>
                <w:bottom w:val="single" w:color="auto" w:sz="8" w:space="1"/>
              </w:pBdr>
              <w:spacing w:before="60"/>
              <w:jc w:val="right"/>
              <w:textAlignment w:val="baseline"/>
              <w:rPr>
                <w:rFonts w:eastAsia="Times New Roman"/>
                <w:color w:val="000000"/>
                <w:sz w:val="16"/>
                <w:lang w:val="en-GB"/>
              </w:rPr>
            </w:pPr>
            <w:r w:rsidRPr="009C48DA">
              <w:rPr>
                <w:rFonts w:eastAsia="Times New Roman"/>
                <w:color w:val="000000"/>
                <w:sz w:val="16"/>
                <w:lang w:val="en-GB"/>
              </w:rPr>
              <w:t>36,481</w:t>
            </w:r>
          </w:p>
        </w:tc>
        <w:tc>
          <w:tcPr>
            <w:tcW w:w="1106" w:type="dxa"/>
            <w:vAlign w:val="bottom"/>
          </w:tcPr>
          <w:p w:rsidRPr="009C48DA" w:rsidR="00661519" w:rsidP="00661519" w:rsidRDefault="00661519" w14:paraId="50DF98C2" w14:textId="77777777">
            <w:pPr>
              <w:pBdr>
                <w:bottom w:val="single" w:color="auto" w:sz="8" w:space="1"/>
              </w:pBdr>
              <w:spacing w:before="60"/>
              <w:jc w:val="right"/>
              <w:textAlignment w:val="baseline"/>
              <w:rPr>
                <w:rFonts w:eastAsia="Times New Roman"/>
                <w:color w:val="000000"/>
                <w:sz w:val="16"/>
                <w:lang w:val="en-GB"/>
              </w:rPr>
            </w:pPr>
            <w:r w:rsidRPr="009C48DA">
              <w:rPr>
                <w:rFonts w:eastAsia="Times New Roman"/>
                <w:color w:val="000000"/>
                <w:sz w:val="16"/>
                <w:lang w:val="en-GB"/>
              </w:rPr>
              <w:t>2,647</w:t>
            </w:r>
          </w:p>
        </w:tc>
        <w:tc>
          <w:tcPr>
            <w:tcW w:w="1021" w:type="dxa"/>
            <w:vAlign w:val="bottom"/>
          </w:tcPr>
          <w:p w:rsidRPr="009C48DA" w:rsidR="00661519" w:rsidP="00661519" w:rsidRDefault="00661519" w14:paraId="2CF43C85" w14:textId="77777777">
            <w:pPr>
              <w:pBdr>
                <w:bottom w:val="single" w:color="auto" w:sz="8" w:space="1"/>
              </w:pBdr>
              <w:spacing w:before="60"/>
              <w:jc w:val="right"/>
              <w:textAlignment w:val="baseline"/>
              <w:rPr>
                <w:rFonts w:eastAsia="Times New Roman"/>
                <w:color w:val="000000"/>
                <w:sz w:val="16"/>
                <w:lang w:val="en-GB"/>
              </w:rPr>
            </w:pPr>
            <w:r w:rsidRPr="009C48DA">
              <w:rPr>
                <w:rFonts w:eastAsia="Times New Roman"/>
                <w:color w:val="000000"/>
                <w:sz w:val="16"/>
                <w:lang w:val="en-GB"/>
              </w:rPr>
              <w:t>14,448</w:t>
            </w:r>
          </w:p>
        </w:tc>
      </w:tr>
      <w:tr w:rsidRPr="009C48DA" w:rsidR="00661519" w:rsidTr="00661519" w14:paraId="5E98E410" w14:textId="77777777">
        <w:tc>
          <w:tcPr>
            <w:tcW w:w="3936" w:type="dxa"/>
            <w:vAlign w:val="bottom"/>
          </w:tcPr>
          <w:p w:rsidRPr="009C48DA" w:rsidR="00661519" w:rsidP="00661519" w:rsidRDefault="00661519" w14:paraId="309B7828" w14:textId="77777777">
            <w:pPr>
              <w:spacing w:before="60" w:line="175" w:lineRule="exact"/>
              <w:textAlignment w:val="baseline"/>
              <w:rPr>
                <w:rFonts w:eastAsia="Times New Roman"/>
                <w:color w:val="000000"/>
                <w:sz w:val="16"/>
                <w:lang w:val="en-GB"/>
              </w:rPr>
            </w:pPr>
            <w:r w:rsidRPr="009C48DA">
              <w:rPr>
                <w:rFonts w:eastAsia="Times New Roman"/>
                <w:color w:val="000000"/>
                <w:sz w:val="16"/>
                <w:lang w:val="en-GB"/>
              </w:rPr>
              <w:t>Weighted average no of ordinary shares for</w:t>
            </w:r>
            <w:r w:rsidRPr="009C48DA">
              <w:rPr>
                <w:rFonts w:eastAsia="Times New Roman"/>
                <w:color w:val="000000"/>
                <w:sz w:val="16"/>
                <w:lang w:val="en-GB"/>
              </w:rPr>
              <w:br/>
              <w:t>purposes of basic and diluted EPS (000)</w:t>
            </w:r>
          </w:p>
        </w:tc>
        <w:tc>
          <w:tcPr>
            <w:tcW w:w="1020" w:type="dxa"/>
            <w:vAlign w:val="bottom"/>
          </w:tcPr>
          <w:p w:rsidRPr="009C48DA" w:rsidR="00661519" w:rsidP="00661519" w:rsidRDefault="00661519" w14:paraId="575D6AAD"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1,191,729</w:t>
            </w:r>
          </w:p>
        </w:tc>
        <w:tc>
          <w:tcPr>
            <w:tcW w:w="1021" w:type="dxa"/>
            <w:vAlign w:val="bottom"/>
          </w:tcPr>
          <w:p w:rsidRPr="009C48DA" w:rsidR="00661519" w:rsidP="00661519" w:rsidRDefault="00661519" w14:paraId="35D24803"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3,157,516</w:t>
            </w:r>
          </w:p>
        </w:tc>
        <w:tc>
          <w:tcPr>
            <w:tcW w:w="935" w:type="dxa"/>
            <w:vAlign w:val="bottom"/>
          </w:tcPr>
          <w:p w:rsidRPr="009C48DA" w:rsidR="00661519" w:rsidP="00661519" w:rsidRDefault="00661519" w14:paraId="5F217AC6"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3,148,547</w:t>
            </w:r>
          </w:p>
        </w:tc>
        <w:tc>
          <w:tcPr>
            <w:tcW w:w="1106" w:type="dxa"/>
            <w:vAlign w:val="bottom"/>
          </w:tcPr>
          <w:p w:rsidRPr="009C48DA" w:rsidR="00661519" w:rsidP="00661519" w:rsidRDefault="00661519" w14:paraId="226FD60C"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3,185,500</w:t>
            </w:r>
          </w:p>
        </w:tc>
        <w:tc>
          <w:tcPr>
            <w:tcW w:w="1021" w:type="dxa"/>
            <w:vAlign w:val="bottom"/>
          </w:tcPr>
          <w:p w:rsidRPr="009C48DA" w:rsidR="00661519" w:rsidP="00661519" w:rsidRDefault="00661519" w14:paraId="37735537"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3,148,547</w:t>
            </w:r>
          </w:p>
        </w:tc>
      </w:tr>
      <w:tr w:rsidRPr="009C48DA" w:rsidR="00661519" w:rsidTr="00661519" w14:paraId="27A158E1" w14:textId="77777777">
        <w:tc>
          <w:tcPr>
            <w:tcW w:w="3936" w:type="dxa"/>
            <w:vAlign w:val="bottom"/>
          </w:tcPr>
          <w:p w:rsidRPr="009C48DA" w:rsidR="00661519" w:rsidP="00661519" w:rsidRDefault="00661519" w14:paraId="2A7225C9" w14:textId="77777777">
            <w:pPr>
              <w:spacing w:before="60" w:line="175" w:lineRule="exact"/>
              <w:textAlignment w:val="baseline"/>
              <w:rPr>
                <w:rFonts w:eastAsia="Times New Roman"/>
                <w:color w:val="000000"/>
                <w:sz w:val="16"/>
                <w:lang w:val="en-GB"/>
              </w:rPr>
            </w:pPr>
            <w:r w:rsidRPr="009C48DA">
              <w:rPr>
                <w:rFonts w:eastAsia="Times New Roman"/>
                <w:color w:val="000000"/>
                <w:sz w:val="16"/>
                <w:lang w:val="en-GB"/>
              </w:rPr>
              <w:t>Basic and diluted earnings per share (£)</w:t>
            </w:r>
          </w:p>
        </w:tc>
        <w:tc>
          <w:tcPr>
            <w:tcW w:w="1020" w:type="dxa"/>
          </w:tcPr>
          <w:p w:rsidRPr="009C48DA" w:rsidR="00661519" w:rsidP="00661519" w:rsidRDefault="00661519" w14:paraId="7820600A"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(3.91)</w:t>
            </w:r>
          </w:p>
        </w:tc>
        <w:tc>
          <w:tcPr>
            <w:tcW w:w="1021" w:type="dxa"/>
          </w:tcPr>
          <w:p w:rsidRPr="009C48DA" w:rsidR="00661519" w:rsidP="00661519" w:rsidRDefault="00661519" w14:paraId="0D115F8A"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7"/>
                <w:lang w:val="en-GB"/>
              </w:rPr>
              <w:t>9.15</w:t>
            </w:r>
          </w:p>
        </w:tc>
        <w:tc>
          <w:tcPr>
            <w:tcW w:w="935" w:type="dxa"/>
          </w:tcPr>
          <w:p w:rsidRPr="009C48DA" w:rsidR="00661519" w:rsidP="00661519" w:rsidRDefault="00661519" w14:paraId="6E8AE701"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7"/>
                <w:lang w:val="en-GB"/>
              </w:rPr>
              <w:t>11.59</w:t>
            </w:r>
          </w:p>
        </w:tc>
        <w:tc>
          <w:tcPr>
            <w:tcW w:w="1106" w:type="dxa"/>
            <w:vAlign w:val="center"/>
          </w:tcPr>
          <w:p w:rsidRPr="009C48DA" w:rsidR="00661519" w:rsidP="00661519" w:rsidRDefault="00661519" w14:paraId="61CD0234"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0.83</w:t>
            </w:r>
          </w:p>
        </w:tc>
        <w:tc>
          <w:tcPr>
            <w:tcW w:w="1021" w:type="dxa"/>
            <w:vAlign w:val="center"/>
          </w:tcPr>
          <w:p w:rsidRPr="009C48DA" w:rsidR="00661519" w:rsidP="00661519" w:rsidRDefault="00661519" w14:paraId="10DA7403"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4.59</w:t>
            </w:r>
          </w:p>
        </w:tc>
      </w:tr>
    </w:tbl>
    <w:p w:rsidRPr="009C48DA" w:rsidR="00661519" w:rsidP="00661519" w:rsidRDefault="00661519" w14:paraId="73DB75A5" w14:textId="77777777">
      <w:pPr>
        <w:rPr>
          <w:rFonts w:eastAsia="PMingLiU" w:cs="Times New Roman"/>
          <w:sz w:val="16"/>
          <w:szCs w:val="16"/>
          <w:lang w:val="en-GB"/>
        </w:rPr>
      </w:pPr>
    </w:p>
    <w:p w:rsidRPr="009C48DA" w:rsidR="00661519" w:rsidP="00661519" w:rsidRDefault="00661519" w14:paraId="453D26D7" w14:textId="77777777">
      <w:pPr>
        <w:jc w:val="both"/>
        <w:rPr>
          <w:rFonts w:eastAsia="PMingLiU" w:cs="Times New Roman"/>
          <w:sz w:val="16"/>
          <w:szCs w:val="16"/>
          <w:lang w:val="en-GB"/>
        </w:rPr>
      </w:pPr>
    </w:p>
    <w:p w:rsidRPr="009C48DA" w:rsidR="00661519" w:rsidP="00661519" w:rsidRDefault="00661519" w14:paraId="5607CF29" w14:textId="77777777">
      <w:pPr>
        <w:jc w:val="both"/>
        <w:rPr>
          <w:rFonts w:eastAsia="PMingLiU" w:cs="Times New Roman"/>
          <w:sz w:val="16"/>
          <w:szCs w:val="16"/>
          <w:lang w:val="en-GB"/>
        </w:rPr>
      </w:pPr>
      <w:r w:rsidRPr="009C48DA">
        <w:rPr>
          <w:rFonts w:eastAsia="PMingLiU" w:cs="Times New Roman"/>
          <w:sz w:val="16"/>
          <w:szCs w:val="16"/>
          <w:lang w:val="en-GB"/>
        </w:rPr>
        <w:t xml:space="preserve">The number of weighted average number of shares for the year ended 31 December 2018 reflects the incorporation of the Company on 2 </w:t>
      </w:r>
      <w:r w:rsidRPr="009C48DA">
        <w:rPr>
          <w:rFonts w:eastAsia="PMingLiU" w:cs="Times New Roman"/>
          <w:sz w:val="16"/>
          <w:szCs w:val="16"/>
          <w:lang w:val="en-GB"/>
        </w:rPr>
        <w:br/>
        <w:t xml:space="preserve">July 2018 and the impact of the issue of additional shares in October 2018 as part of the group reconstruction. See note 23a for further </w:t>
      </w:r>
      <w:r w:rsidRPr="009C48DA">
        <w:rPr>
          <w:rFonts w:eastAsia="PMingLiU" w:cs="Times New Roman"/>
          <w:sz w:val="16"/>
          <w:szCs w:val="16"/>
          <w:lang w:val="en-GB"/>
        </w:rPr>
        <w:br/>
        <w:t xml:space="preserve">details on shares. Had the shares in issue at the end of the year, following the group reconstruction, been in issue at 1 January 2018, the </w:t>
      </w:r>
      <w:r w:rsidRPr="009C48DA">
        <w:rPr>
          <w:rFonts w:eastAsia="PMingLiU" w:cs="Times New Roman"/>
          <w:sz w:val="16"/>
          <w:szCs w:val="16"/>
          <w:lang w:val="en-GB"/>
        </w:rPr>
        <w:br/>
        <w:t>weighted average number of shares would have been 3,205,569 and earnings per share would have been £(1.55).</w:t>
      </w:r>
    </w:p>
    <w:p w:rsidRPr="009C48DA" w:rsidR="00661519" w:rsidP="00661519" w:rsidRDefault="00661519" w14:paraId="04A3358F" w14:textId="77777777">
      <w:pPr>
        <w:jc w:val="both"/>
        <w:rPr>
          <w:rFonts w:eastAsia="PMingLiU" w:cs="Times New Roman"/>
          <w:sz w:val="16"/>
          <w:szCs w:val="16"/>
          <w:lang w:val="en-GB"/>
        </w:rPr>
      </w:pPr>
      <w:r w:rsidRPr="009C48DA">
        <w:rPr>
          <w:rFonts w:eastAsia="PMingLiU" w:cs="Times New Roman"/>
          <w:sz w:val="16"/>
          <w:szCs w:val="16"/>
          <w:lang w:val="en-GB"/>
        </w:rPr>
        <w:br w:type="page"/>
      </w:r>
    </w:p>
    <w:p w:rsidRPr="009C48DA" w:rsidR="00661519" w:rsidP="00661519" w:rsidRDefault="00661519" w14:paraId="044A6461" w14:textId="77777777">
      <w:pPr>
        <w:jc w:val="both"/>
        <w:rPr>
          <w:rFonts w:eastAsia="Times New Roman" w:cs="Times New Roman"/>
          <w:b/>
          <w:color w:val="000000"/>
          <w:sz w:val="16"/>
          <w:szCs w:val="22"/>
          <w:lang w:val="en-GB"/>
        </w:rPr>
      </w:pPr>
      <w:r w:rsidRPr="009C48DA">
        <w:rPr>
          <w:rFonts w:eastAsia="Times New Roman" w:cs="Times New Roman"/>
          <w:b/>
          <w:color w:val="000000"/>
          <w:sz w:val="16"/>
          <w:szCs w:val="22"/>
          <w:lang w:val="en-GB"/>
        </w:rPr>
        <w:lastRenderedPageBreak/>
        <w:t>13</w:t>
      </w:r>
      <w:r w:rsidRPr="009C48DA">
        <w:rPr>
          <w:rFonts w:eastAsia="Times New Roman" w:cs="Times New Roman"/>
          <w:b/>
          <w:color w:val="000000"/>
          <w:sz w:val="16"/>
          <w:szCs w:val="22"/>
          <w:lang w:val="en-GB"/>
        </w:rPr>
        <w:tab/>
        <w:t>Property, plant and equipment</w:t>
      </w:r>
    </w:p>
    <w:p w:rsidRPr="009C48DA" w:rsidR="00661519" w:rsidP="00661519" w:rsidRDefault="00661519" w14:paraId="34F97DE8" w14:textId="77777777">
      <w:pPr>
        <w:textAlignment w:val="baseline"/>
        <w:rPr>
          <w:rFonts w:eastAsia="Times New Roman" w:cs="Times New Roman"/>
          <w:b/>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36"/>
        <w:gridCol w:w="1275"/>
        <w:gridCol w:w="1276"/>
        <w:gridCol w:w="1276"/>
        <w:gridCol w:w="1276"/>
      </w:tblGrid>
      <w:tr w:rsidRPr="009C48DA" w:rsidR="00661519" w:rsidTr="00661519" w14:paraId="158EBF8F" w14:textId="77777777">
        <w:tc>
          <w:tcPr>
            <w:tcW w:w="3936" w:type="dxa"/>
            <w:vAlign w:val="bottom"/>
          </w:tcPr>
          <w:p w:rsidRPr="009C48DA" w:rsidR="00661519" w:rsidP="00661519" w:rsidRDefault="00661519" w14:paraId="62600E9C" w14:textId="77777777">
            <w:pPr>
              <w:jc w:val="both"/>
              <w:textAlignment w:val="baseline"/>
              <w:rPr>
                <w:rFonts w:eastAsia="Times New Roman"/>
                <w:b/>
                <w:color w:val="000000"/>
                <w:sz w:val="16"/>
                <w:szCs w:val="16"/>
                <w:lang w:val="en-GB"/>
              </w:rPr>
            </w:pPr>
          </w:p>
        </w:tc>
        <w:tc>
          <w:tcPr>
            <w:tcW w:w="1275" w:type="dxa"/>
            <w:vAlign w:val="bottom"/>
          </w:tcPr>
          <w:p w:rsidRPr="009C48DA" w:rsidR="00661519" w:rsidP="00661519" w:rsidRDefault="00661519" w14:paraId="1A1D7501"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Right of use</w:t>
            </w:r>
          </w:p>
          <w:p w:rsidRPr="009C48DA" w:rsidR="00661519" w:rsidP="00661519" w:rsidRDefault="00661519" w14:paraId="771E6447"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assets</w:t>
            </w:r>
          </w:p>
          <w:p w:rsidRPr="009C48DA" w:rsidR="00661519" w:rsidP="00661519" w:rsidRDefault="00661519" w14:paraId="63F9EB7B" w14:textId="77777777">
            <w:pPr>
              <w:jc w:val="center"/>
              <w:textAlignment w:val="baseline"/>
              <w:rPr>
                <w:rFonts w:eastAsia="Times New Roman"/>
                <w:b/>
                <w:color w:val="000000"/>
                <w:sz w:val="16"/>
                <w:szCs w:val="16"/>
                <w:lang w:val="en-GB"/>
              </w:rPr>
            </w:pPr>
            <w:r w:rsidRPr="009C48DA">
              <w:rPr>
                <w:rFonts w:eastAsia="Times New Roman"/>
                <w:b/>
                <w:color w:val="000000"/>
                <w:sz w:val="16"/>
                <w:lang w:val="en-GB"/>
              </w:rPr>
              <w:t>£ 000</w:t>
            </w:r>
          </w:p>
        </w:tc>
        <w:tc>
          <w:tcPr>
            <w:tcW w:w="1276" w:type="dxa"/>
            <w:vAlign w:val="bottom"/>
          </w:tcPr>
          <w:p w:rsidRPr="009C48DA" w:rsidR="00661519" w:rsidP="00661519" w:rsidRDefault="00661519" w14:paraId="05CBB8E9"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xml:space="preserve">Leasehold </w:t>
            </w:r>
          </w:p>
          <w:p w:rsidRPr="009C48DA" w:rsidR="00661519" w:rsidP="00661519" w:rsidRDefault="00661519" w14:paraId="73817358"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improvements</w:t>
            </w:r>
          </w:p>
          <w:p w:rsidRPr="009C48DA" w:rsidR="00661519" w:rsidP="00661519" w:rsidRDefault="00661519" w14:paraId="4832F9B8" w14:textId="77777777">
            <w:pPr>
              <w:jc w:val="center"/>
              <w:textAlignment w:val="baseline"/>
              <w:rPr>
                <w:rFonts w:eastAsia="Times New Roman"/>
                <w:b/>
                <w:color w:val="000000"/>
                <w:sz w:val="16"/>
                <w:szCs w:val="16"/>
                <w:lang w:val="en-GB"/>
              </w:rPr>
            </w:pPr>
            <w:r w:rsidRPr="009C48DA">
              <w:rPr>
                <w:rFonts w:eastAsia="Times New Roman"/>
                <w:b/>
                <w:color w:val="000000"/>
                <w:sz w:val="16"/>
                <w:lang w:val="en-GB"/>
              </w:rPr>
              <w:t>£ 000</w:t>
            </w:r>
          </w:p>
        </w:tc>
        <w:tc>
          <w:tcPr>
            <w:tcW w:w="1276" w:type="dxa"/>
            <w:vAlign w:val="bottom"/>
          </w:tcPr>
          <w:p w:rsidRPr="009C48DA" w:rsidR="00661519" w:rsidP="00661519" w:rsidRDefault="00661519" w14:paraId="66A2E055"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xml:space="preserve">Computers, </w:t>
            </w:r>
          </w:p>
          <w:p w:rsidRPr="009C48DA" w:rsidR="00661519" w:rsidP="00661519" w:rsidRDefault="00661519" w14:paraId="11850A94" w14:textId="77777777">
            <w:pPr>
              <w:textAlignment w:val="baseline"/>
              <w:rPr>
                <w:rFonts w:eastAsia="Times New Roman"/>
                <w:b/>
                <w:color w:val="000000"/>
                <w:sz w:val="16"/>
                <w:szCs w:val="16"/>
                <w:lang w:val="en-GB"/>
              </w:rPr>
            </w:pPr>
            <w:r w:rsidRPr="009C48DA">
              <w:rPr>
                <w:rFonts w:eastAsia="Times New Roman"/>
                <w:b/>
                <w:color w:val="000000"/>
                <w:sz w:val="16"/>
                <w:szCs w:val="16"/>
                <w:lang w:val="en-GB"/>
              </w:rPr>
              <w:t xml:space="preserve">furniture and </w:t>
            </w:r>
          </w:p>
          <w:p w:rsidRPr="009C48DA" w:rsidR="00661519" w:rsidP="00661519" w:rsidRDefault="00661519" w14:paraId="37F3803F"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other</w:t>
            </w:r>
          </w:p>
          <w:p w:rsidRPr="009C48DA" w:rsidR="00661519" w:rsidP="00661519" w:rsidRDefault="00661519" w14:paraId="138BB85F" w14:textId="77777777">
            <w:pPr>
              <w:jc w:val="center"/>
              <w:textAlignment w:val="baseline"/>
              <w:rPr>
                <w:rFonts w:eastAsia="Times New Roman"/>
                <w:b/>
                <w:color w:val="000000"/>
                <w:sz w:val="16"/>
                <w:szCs w:val="16"/>
                <w:lang w:val="en-GB"/>
              </w:rPr>
            </w:pPr>
            <w:r w:rsidRPr="009C48DA">
              <w:rPr>
                <w:rFonts w:eastAsia="Times New Roman"/>
                <w:b/>
                <w:color w:val="000000"/>
                <w:sz w:val="16"/>
                <w:lang w:val="en-GB"/>
              </w:rPr>
              <w:t>£ 000</w:t>
            </w:r>
          </w:p>
        </w:tc>
        <w:tc>
          <w:tcPr>
            <w:tcW w:w="1276" w:type="dxa"/>
            <w:vAlign w:val="bottom"/>
          </w:tcPr>
          <w:p w:rsidRPr="009C48DA" w:rsidR="00661519" w:rsidP="00661519" w:rsidRDefault="00661519" w14:paraId="722CD2ED"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Total</w:t>
            </w:r>
          </w:p>
          <w:p w:rsidRPr="009C48DA" w:rsidR="00661519" w:rsidP="00661519" w:rsidRDefault="00661519" w14:paraId="3CA4B3B3"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£ 000</w:t>
            </w:r>
          </w:p>
        </w:tc>
      </w:tr>
      <w:tr w:rsidRPr="009C48DA" w:rsidR="00661519" w:rsidTr="00661519" w14:paraId="13E21106" w14:textId="77777777">
        <w:tc>
          <w:tcPr>
            <w:tcW w:w="3936" w:type="dxa"/>
            <w:vAlign w:val="bottom"/>
          </w:tcPr>
          <w:p w:rsidRPr="009C48DA" w:rsidR="00661519" w:rsidP="00661519" w:rsidRDefault="00661519" w14:paraId="20578926"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Balance at 1 January 2018</w:t>
            </w:r>
          </w:p>
        </w:tc>
        <w:tc>
          <w:tcPr>
            <w:tcW w:w="1275" w:type="dxa"/>
            <w:vAlign w:val="bottom"/>
          </w:tcPr>
          <w:p w:rsidRPr="009C48DA" w:rsidR="00661519" w:rsidP="00661519" w:rsidRDefault="00661519" w14:paraId="5935331F"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49,066</w:t>
            </w:r>
          </w:p>
        </w:tc>
        <w:tc>
          <w:tcPr>
            <w:tcW w:w="1276" w:type="dxa"/>
            <w:vAlign w:val="bottom"/>
          </w:tcPr>
          <w:p w:rsidRPr="009C48DA" w:rsidR="00661519" w:rsidP="00661519" w:rsidRDefault="00661519" w14:paraId="68F70E91"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5,785</w:t>
            </w:r>
          </w:p>
        </w:tc>
        <w:tc>
          <w:tcPr>
            <w:tcW w:w="1276" w:type="dxa"/>
            <w:vAlign w:val="bottom"/>
          </w:tcPr>
          <w:p w:rsidRPr="009C48DA" w:rsidR="00661519" w:rsidP="00661519" w:rsidRDefault="00661519" w14:paraId="68F6B680"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6,077</w:t>
            </w:r>
          </w:p>
        </w:tc>
        <w:tc>
          <w:tcPr>
            <w:tcW w:w="1276" w:type="dxa"/>
            <w:vAlign w:val="bottom"/>
          </w:tcPr>
          <w:p w:rsidRPr="009C48DA" w:rsidR="00661519" w:rsidP="00661519" w:rsidRDefault="00661519" w14:paraId="5BC446EE"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60,928</w:t>
            </w:r>
          </w:p>
        </w:tc>
      </w:tr>
      <w:tr w:rsidRPr="009C48DA" w:rsidR="00661519" w:rsidTr="00661519" w14:paraId="0EFF0119" w14:textId="77777777">
        <w:tc>
          <w:tcPr>
            <w:tcW w:w="3936" w:type="dxa"/>
            <w:vAlign w:val="bottom"/>
          </w:tcPr>
          <w:p w:rsidRPr="009C48DA" w:rsidR="00661519" w:rsidP="00661519" w:rsidRDefault="00661519" w14:paraId="62B3D09E"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Foreign exchange</w:t>
            </w:r>
          </w:p>
        </w:tc>
        <w:tc>
          <w:tcPr>
            <w:tcW w:w="1275" w:type="dxa"/>
            <w:vAlign w:val="bottom"/>
          </w:tcPr>
          <w:p w:rsidRPr="009C48DA" w:rsidR="00661519" w:rsidP="00661519" w:rsidRDefault="00661519" w14:paraId="27573B81"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bottom"/>
          </w:tcPr>
          <w:p w:rsidRPr="009C48DA" w:rsidR="00661519" w:rsidP="00661519" w:rsidRDefault="00661519" w14:paraId="5892923D"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40</w:t>
            </w:r>
          </w:p>
        </w:tc>
        <w:tc>
          <w:tcPr>
            <w:tcW w:w="1276" w:type="dxa"/>
            <w:vAlign w:val="bottom"/>
          </w:tcPr>
          <w:p w:rsidRPr="009C48DA" w:rsidR="00661519" w:rsidP="00661519" w:rsidRDefault="00661519" w14:paraId="0A0107DA"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w:t>
            </w:r>
          </w:p>
        </w:tc>
        <w:tc>
          <w:tcPr>
            <w:tcW w:w="1276" w:type="dxa"/>
            <w:vAlign w:val="bottom"/>
          </w:tcPr>
          <w:p w:rsidRPr="009C48DA" w:rsidR="00661519" w:rsidP="00661519" w:rsidRDefault="00661519" w14:paraId="6496F9EE"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41</w:t>
            </w:r>
          </w:p>
        </w:tc>
      </w:tr>
      <w:tr w:rsidRPr="009C48DA" w:rsidR="00661519" w:rsidTr="00661519" w14:paraId="2EB700D4" w14:textId="77777777">
        <w:tc>
          <w:tcPr>
            <w:tcW w:w="3936" w:type="dxa"/>
            <w:vAlign w:val="center"/>
          </w:tcPr>
          <w:p w:rsidRPr="009C48DA" w:rsidR="00661519" w:rsidP="00661519" w:rsidRDefault="00661519" w14:paraId="67D9C331"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Additions</w:t>
            </w:r>
          </w:p>
        </w:tc>
        <w:tc>
          <w:tcPr>
            <w:tcW w:w="1275" w:type="dxa"/>
            <w:vAlign w:val="bottom"/>
          </w:tcPr>
          <w:p w:rsidRPr="009C48DA" w:rsidR="00661519" w:rsidP="00661519" w:rsidRDefault="00661519" w14:paraId="282227F6"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3,800</w:t>
            </w:r>
          </w:p>
        </w:tc>
        <w:tc>
          <w:tcPr>
            <w:tcW w:w="1276" w:type="dxa"/>
            <w:vAlign w:val="bottom"/>
          </w:tcPr>
          <w:p w:rsidRPr="009C48DA" w:rsidR="00661519" w:rsidP="00661519" w:rsidRDefault="00661519" w14:paraId="4163D731"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1,692</w:t>
            </w:r>
          </w:p>
        </w:tc>
        <w:tc>
          <w:tcPr>
            <w:tcW w:w="1276" w:type="dxa"/>
            <w:vAlign w:val="bottom"/>
          </w:tcPr>
          <w:p w:rsidRPr="009C48DA" w:rsidR="00661519" w:rsidP="00661519" w:rsidRDefault="00661519" w14:paraId="2E434FF0"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1,542</w:t>
            </w:r>
          </w:p>
        </w:tc>
        <w:tc>
          <w:tcPr>
            <w:tcW w:w="1276" w:type="dxa"/>
            <w:vAlign w:val="bottom"/>
          </w:tcPr>
          <w:p w:rsidRPr="009C48DA" w:rsidR="00661519" w:rsidP="00661519" w:rsidRDefault="00661519" w14:paraId="675E7B8F"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7,034</w:t>
            </w:r>
          </w:p>
        </w:tc>
      </w:tr>
      <w:tr w:rsidRPr="009C48DA" w:rsidR="00661519" w:rsidTr="00661519" w14:paraId="0003D6AC" w14:textId="77777777">
        <w:tc>
          <w:tcPr>
            <w:tcW w:w="3936" w:type="dxa"/>
            <w:vAlign w:val="center"/>
          </w:tcPr>
          <w:p w:rsidRPr="009C48DA" w:rsidR="00661519" w:rsidP="00661519" w:rsidRDefault="00661519" w14:paraId="3DA7A3BA"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Disposals</w:t>
            </w:r>
          </w:p>
        </w:tc>
        <w:tc>
          <w:tcPr>
            <w:tcW w:w="1275" w:type="dxa"/>
          </w:tcPr>
          <w:p w:rsidRPr="009C48DA" w:rsidR="00661519" w:rsidP="00661519" w:rsidRDefault="00661519" w14:paraId="6340E0D3"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(6,767)</w:t>
            </w:r>
          </w:p>
        </w:tc>
        <w:tc>
          <w:tcPr>
            <w:tcW w:w="1276" w:type="dxa"/>
          </w:tcPr>
          <w:p w:rsidRPr="009C48DA" w:rsidR="00661519" w:rsidP="00661519" w:rsidRDefault="00661519" w14:paraId="4AFDD8B7"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(1,076)</w:t>
            </w:r>
          </w:p>
        </w:tc>
        <w:tc>
          <w:tcPr>
            <w:tcW w:w="1276" w:type="dxa"/>
            <w:vAlign w:val="bottom"/>
          </w:tcPr>
          <w:p w:rsidRPr="009C48DA" w:rsidR="00661519" w:rsidP="00661519" w:rsidRDefault="00661519" w14:paraId="076FCB10"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(920)</w:t>
            </w:r>
          </w:p>
        </w:tc>
        <w:tc>
          <w:tcPr>
            <w:tcW w:w="1276" w:type="dxa"/>
            <w:vAlign w:val="bottom"/>
          </w:tcPr>
          <w:p w:rsidRPr="009C48DA" w:rsidR="00661519" w:rsidP="00661519" w:rsidRDefault="00661519" w14:paraId="66CDCB79"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(8,763)</w:t>
            </w:r>
          </w:p>
        </w:tc>
      </w:tr>
      <w:tr w:rsidRPr="009C48DA" w:rsidR="00661519" w:rsidTr="00661519" w14:paraId="4A990D09" w14:textId="77777777">
        <w:tc>
          <w:tcPr>
            <w:tcW w:w="3936" w:type="dxa"/>
            <w:vAlign w:val="bottom"/>
          </w:tcPr>
          <w:p w:rsidRPr="009C48DA" w:rsidR="00661519" w:rsidP="00661519" w:rsidRDefault="00661519" w14:paraId="2E4F45AC" w14:textId="77777777">
            <w:pPr>
              <w:spacing w:before="60"/>
              <w:jc w:val="both"/>
              <w:textAlignment w:val="baseline"/>
              <w:rPr>
                <w:rFonts w:eastAsia="Times New Roman"/>
                <w:b/>
                <w:color w:val="000000"/>
                <w:sz w:val="16"/>
                <w:lang w:val="en-GB"/>
              </w:rPr>
            </w:pPr>
            <w:r w:rsidRPr="009C48DA">
              <w:rPr>
                <w:rFonts w:eastAsia="Times New Roman"/>
                <w:b/>
                <w:color w:val="000000"/>
                <w:sz w:val="16"/>
                <w:lang w:val="en-GB"/>
              </w:rPr>
              <w:t>At 31 December 2018</w:t>
            </w:r>
          </w:p>
        </w:tc>
        <w:tc>
          <w:tcPr>
            <w:tcW w:w="1275" w:type="dxa"/>
            <w:vAlign w:val="bottom"/>
          </w:tcPr>
          <w:p w:rsidRPr="009C48DA" w:rsidR="00661519" w:rsidP="00661519" w:rsidRDefault="00661519" w14:paraId="3230B260"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46,099</w:t>
            </w:r>
          </w:p>
        </w:tc>
        <w:tc>
          <w:tcPr>
            <w:tcW w:w="1276" w:type="dxa"/>
            <w:vAlign w:val="bottom"/>
          </w:tcPr>
          <w:p w:rsidRPr="009C48DA" w:rsidR="00661519" w:rsidP="00661519" w:rsidRDefault="00661519" w14:paraId="1137DAD7"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6,441</w:t>
            </w:r>
          </w:p>
        </w:tc>
        <w:tc>
          <w:tcPr>
            <w:tcW w:w="1276" w:type="dxa"/>
            <w:vAlign w:val="bottom"/>
          </w:tcPr>
          <w:p w:rsidRPr="009C48DA" w:rsidR="00661519" w:rsidP="00661519" w:rsidRDefault="00661519" w14:paraId="26D330A7"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6,700</w:t>
            </w:r>
          </w:p>
        </w:tc>
        <w:tc>
          <w:tcPr>
            <w:tcW w:w="1276" w:type="dxa"/>
            <w:vAlign w:val="bottom"/>
          </w:tcPr>
          <w:p w:rsidRPr="009C48DA" w:rsidR="00661519" w:rsidP="00661519" w:rsidRDefault="00661519" w14:paraId="0EFE3DE4"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59,240</w:t>
            </w:r>
          </w:p>
        </w:tc>
      </w:tr>
      <w:tr w:rsidRPr="009C48DA" w:rsidR="00661519" w:rsidTr="00661519" w14:paraId="0FD696C6" w14:textId="77777777">
        <w:tc>
          <w:tcPr>
            <w:tcW w:w="3936" w:type="dxa"/>
          </w:tcPr>
          <w:p w:rsidRPr="009C48DA" w:rsidR="00661519" w:rsidP="00661519" w:rsidRDefault="00661519" w14:paraId="6C95F31D" w14:textId="77777777">
            <w:pPr>
              <w:spacing w:before="60"/>
              <w:jc w:val="both"/>
              <w:textAlignment w:val="baseline"/>
              <w:rPr>
                <w:lang w:val="en-GB"/>
              </w:rPr>
            </w:pPr>
            <w:r w:rsidRPr="009C48DA">
              <w:rPr>
                <w:rFonts w:eastAsia="Times New Roman"/>
                <w:b/>
                <w:color w:val="000000"/>
                <w:sz w:val="16"/>
                <w:lang w:val="en-GB"/>
              </w:rPr>
              <w:t>Accumulated depreciation and impairment</w:t>
            </w:r>
          </w:p>
        </w:tc>
        <w:tc>
          <w:tcPr>
            <w:tcW w:w="1275" w:type="dxa"/>
            <w:vAlign w:val="bottom"/>
          </w:tcPr>
          <w:p w:rsidRPr="009C48DA" w:rsidR="00661519" w:rsidP="00661519" w:rsidRDefault="00661519" w14:paraId="4F9C83CA" w14:textId="77777777">
            <w:pPr>
              <w:spacing w:before="60"/>
              <w:jc w:val="right"/>
              <w:textAlignment w:val="baseline"/>
              <w:rPr>
                <w:rFonts w:eastAsia="Times New Roman"/>
                <w:color w:val="000000"/>
                <w:sz w:val="16"/>
                <w:lang w:val="en-GB"/>
              </w:rPr>
            </w:pPr>
          </w:p>
        </w:tc>
        <w:tc>
          <w:tcPr>
            <w:tcW w:w="1276" w:type="dxa"/>
            <w:vAlign w:val="bottom"/>
          </w:tcPr>
          <w:p w:rsidRPr="009C48DA" w:rsidR="00661519" w:rsidP="00661519" w:rsidRDefault="00661519" w14:paraId="4278B7B8" w14:textId="77777777">
            <w:pPr>
              <w:spacing w:before="60"/>
              <w:jc w:val="right"/>
              <w:textAlignment w:val="baseline"/>
              <w:rPr>
                <w:rFonts w:eastAsia="Times New Roman"/>
                <w:color w:val="000000"/>
                <w:sz w:val="16"/>
                <w:lang w:val="en-GB"/>
              </w:rPr>
            </w:pPr>
          </w:p>
        </w:tc>
        <w:tc>
          <w:tcPr>
            <w:tcW w:w="1276" w:type="dxa"/>
            <w:vAlign w:val="bottom"/>
          </w:tcPr>
          <w:p w:rsidRPr="009C48DA" w:rsidR="00661519" w:rsidP="00661519" w:rsidRDefault="00661519" w14:paraId="2C2CF7CB" w14:textId="77777777">
            <w:pPr>
              <w:spacing w:before="60"/>
              <w:jc w:val="right"/>
              <w:textAlignment w:val="baseline"/>
              <w:rPr>
                <w:rFonts w:eastAsia="Times New Roman"/>
                <w:color w:val="000000"/>
                <w:sz w:val="16"/>
                <w:lang w:val="en-GB"/>
              </w:rPr>
            </w:pPr>
          </w:p>
        </w:tc>
        <w:tc>
          <w:tcPr>
            <w:tcW w:w="1276" w:type="dxa"/>
            <w:vAlign w:val="bottom"/>
          </w:tcPr>
          <w:p w:rsidRPr="009C48DA" w:rsidR="00661519" w:rsidP="00661519" w:rsidRDefault="00661519" w14:paraId="542AFA71" w14:textId="77777777">
            <w:pPr>
              <w:spacing w:before="60"/>
              <w:jc w:val="right"/>
              <w:textAlignment w:val="baseline"/>
              <w:rPr>
                <w:rFonts w:eastAsia="Times New Roman"/>
                <w:color w:val="000000"/>
                <w:sz w:val="16"/>
                <w:lang w:val="en-GB"/>
              </w:rPr>
            </w:pPr>
          </w:p>
        </w:tc>
      </w:tr>
      <w:tr w:rsidRPr="009C48DA" w:rsidR="00661519" w:rsidTr="00661519" w14:paraId="4CA02004" w14:textId="77777777">
        <w:tc>
          <w:tcPr>
            <w:tcW w:w="3936" w:type="dxa"/>
          </w:tcPr>
          <w:p w:rsidRPr="009C48DA" w:rsidR="00661519" w:rsidP="00661519" w:rsidRDefault="00661519" w14:paraId="3662D59D"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Balance at 1 January 2018</w:t>
            </w:r>
          </w:p>
        </w:tc>
        <w:tc>
          <w:tcPr>
            <w:tcW w:w="1275" w:type="dxa"/>
            <w:vAlign w:val="bottom"/>
          </w:tcPr>
          <w:p w:rsidRPr="009C48DA" w:rsidR="00661519" w:rsidP="00661519" w:rsidRDefault="00661519" w14:paraId="08A9BDE8"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bottom"/>
          </w:tcPr>
          <w:p w:rsidRPr="009C48DA" w:rsidR="00661519" w:rsidP="00661519" w:rsidRDefault="00661519" w14:paraId="72E726E6"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(2,900)</w:t>
            </w:r>
          </w:p>
        </w:tc>
        <w:tc>
          <w:tcPr>
            <w:tcW w:w="1276" w:type="dxa"/>
            <w:vAlign w:val="bottom"/>
          </w:tcPr>
          <w:p w:rsidRPr="009C48DA" w:rsidR="00661519" w:rsidP="00661519" w:rsidRDefault="00661519" w14:paraId="28CC398C"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(4,872)</w:t>
            </w:r>
          </w:p>
        </w:tc>
        <w:tc>
          <w:tcPr>
            <w:tcW w:w="1276" w:type="dxa"/>
            <w:vAlign w:val="bottom"/>
          </w:tcPr>
          <w:p w:rsidRPr="009C48DA" w:rsidR="00661519" w:rsidP="00661519" w:rsidRDefault="00661519" w14:paraId="3DC86A3B"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(7,772)</w:t>
            </w:r>
          </w:p>
        </w:tc>
      </w:tr>
      <w:tr w:rsidRPr="009C48DA" w:rsidR="00661519" w:rsidTr="00661519" w14:paraId="2CAA0263" w14:textId="77777777">
        <w:tc>
          <w:tcPr>
            <w:tcW w:w="3936" w:type="dxa"/>
          </w:tcPr>
          <w:p w:rsidRPr="009C48DA" w:rsidR="00661519" w:rsidP="00661519" w:rsidRDefault="00661519" w14:paraId="35F91757"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Foreign exchange</w:t>
            </w:r>
          </w:p>
        </w:tc>
        <w:tc>
          <w:tcPr>
            <w:tcW w:w="1275" w:type="dxa"/>
            <w:vAlign w:val="bottom"/>
          </w:tcPr>
          <w:p w:rsidRPr="009C48DA" w:rsidR="00661519" w:rsidP="00661519" w:rsidRDefault="00661519" w14:paraId="30012EF0"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bottom"/>
          </w:tcPr>
          <w:p w:rsidRPr="009C48DA" w:rsidR="00661519" w:rsidP="00661519" w:rsidRDefault="00661519" w14:paraId="387267DB"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293</w:t>
            </w:r>
          </w:p>
        </w:tc>
        <w:tc>
          <w:tcPr>
            <w:tcW w:w="1276" w:type="dxa"/>
            <w:vAlign w:val="bottom"/>
          </w:tcPr>
          <w:p w:rsidRPr="009C48DA" w:rsidR="00661519" w:rsidP="00661519" w:rsidRDefault="00661519" w14:paraId="18071F04"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20</w:t>
            </w:r>
          </w:p>
        </w:tc>
        <w:tc>
          <w:tcPr>
            <w:tcW w:w="1276" w:type="dxa"/>
            <w:vAlign w:val="bottom"/>
          </w:tcPr>
          <w:p w:rsidRPr="009C48DA" w:rsidR="00661519" w:rsidP="00661519" w:rsidRDefault="00661519" w14:paraId="643DA9DA"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313</w:t>
            </w:r>
          </w:p>
        </w:tc>
      </w:tr>
      <w:tr w:rsidRPr="009C48DA" w:rsidR="00661519" w:rsidTr="00661519" w14:paraId="1A972567" w14:textId="77777777">
        <w:tc>
          <w:tcPr>
            <w:tcW w:w="3936" w:type="dxa"/>
          </w:tcPr>
          <w:p w:rsidRPr="009C48DA" w:rsidR="00661519" w:rsidP="00661519" w:rsidRDefault="00661519" w14:paraId="112A62EA"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Depreciation</w:t>
            </w:r>
          </w:p>
        </w:tc>
        <w:tc>
          <w:tcPr>
            <w:tcW w:w="1275" w:type="dxa"/>
            <w:vAlign w:val="bottom"/>
          </w:tcPr>
          <w:p w:rsidRPr="009C48DA" w:rsidR="00661519" w:rsidP="00661519" w:rsidRDefault="00661519" w14:paraId="22216168"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(5,220)</w:t>
            </w:r>
          </w:p>
        </w:tc>
        <w:tc>
          <w:tcPr>
            <w:tcW w:w="1276" w:type="dxa"/>
            <w:vAlign w:val="bottom"/>
          </w:tcPr>
          <w:p w:rsidRPr="009C48DA" w:rsidR="00661519" w:rsidP="00661519" w:rsidRDefault="00661519" w14:paraId="75A2A7AC"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(768)</w:t>
            </w:r>
          </w:p>
        </w:tc>
        <w:tc>
          <w:tcPr>
            <w:tcW w:w="1276" w:type="dxa"/>
            <w:vAlign w:val="bottom"/>
          </w:tcPr>
          <w:p w:rsidRPr="009C48DA" w:rsidR="00661519" w:rsidP="00661519" w:rsidRDefault="00661519" w14:paraId="7C0769F7"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(777)</w:t>
            </w:r>
          </w:p>
        </w:tc>
        <w:tc>
          <w:tcPr>
            <w:tcW w:w="1276" w:type="dxa"/>
            <w:vAlign w:val="bottom"/>
          </w:tcPr>
          <w:p w:rsidRPr="009C48DA" w:rsidR="00661519" w:rsidP="00661519" w:rsidRDefault="00661519" w14:paraId="43792BEE"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(6,765)</w:t>
            </w:r>
          </w:p>
        </w:tc>
      </w:tr>
      <w:tr w:rsidRPr="009C48DA" w:rsidR="00661519" w:rsidTr="00661519" w14:paraId="3A8CEEF6" w14:textId="77777777">
        <w:tc>
          <w:tcPr>
            <w:tcW w:w="3936" w:type="dxa"/>
          </w:tcPr>
          <w:p w:rsidRPr="009C48DA" w:rsidR="00661519" w:rsidP="00661519" w:rsidRDefault="00661519" w14:paraId="33828F06"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Disposals</w:t>
            </w:r>
          </w:p>
        </w:tc>
        <w:tc>
          <w:tcPr>
            <w:tcW w:w="1275" w:type="dxa"/>
            <w:vAlign w:val="bottom"/>
          </w:tcPr>
          <w:p w:rsidRPr="009C48DA" w:rsidR="00661519" w:rsidP="00661519" w:rsidRDefault="00661519" w14:paraId="32B5B245"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bottom"/>
          </w:tcPr>
          <w:p w:rsidRPr="009C48DA" w:rsidR="00661519" w:rsidP="00661519" w:rsidRDefault="00661519" w14:paraId="7F84D9C7"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770</w:t>
            </w:r>
          </w:p>
        </w:tc>
        <w:tc>
          <w:tcPr>
            <w:tcW w:w="1276" w:type="dxa"/>
            <w:vAlign w:val="bottom"/>
          </w:tcPr>
          <w:p w:rsidRPr="009C48DA" w:rsidR="00661519" w:rsidP="00661519" w:rsidRDefault="00661519" w14:paraId="26A3A9E5"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873</w:t>
            </w:r>
          </w:p>
        </w:tc>
        <w:tc>
          <w:tcPr>
            <w:tcW w:w="1276" w:type="dxa"/>
            <w:vAlign w:val="bottom"/>
          </w:tcPr>
          <w:p w:rsidRPr="009C48DA" w:rsidR="00661519" w:rsidP="00661519" w:rsidRDefault="00661519" w14:paraId="6FB980BE"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1,643</w:t>
            </w:r>
          </w:p>
        </w:tc>
      </w:tr>
      <w:tr w:rsidRPr="009C48DA" w:rsidR="00661519" w:rsidTr="00661519" w14:paraId="42309974" w14:textId="77777777">
        <w:tc>
          <w:tcPr>
            <w:tcW w:w="3936" w:type="dxa"/>
          </w:tcPr>
          <w:p w:rsidRPr="009C48DA" w:rsidR="00661519" w:rsidP="00661519" w:rsidRDefault="00661519" w14:paraId="4BB8299C"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At 31 December 2018</w:t>
            </w:r>
          </w:p>
        </w:tc>
        <w:tc>
          <w:tcPr>
            <w:tcW w:w="1275" w:type="dxa"/>
            <w:vAlign w:val="bottom"/>
          </w:tcPr>
          <w:p w:rsidRPr="009C48DA" w:rsidR="00661519" w:rsidP="00661519" w:rsidRDefault="00661519" w14:paraId="73212221"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(5,220)</w:t>
            </w:r>
          </w:p>
        </w:tc>
        <w:tc>
          <w:tcPr>
            <w:tcW w:w="1276" w:type="dxa"/>
            <w:vAlign w:val="bottom"/>
          </w:tcPr>
          <w:p w:rsidRPr="009C48DA" w:rsidR="00661519" w:rsidP="00661519" w:rsidRDefault="00661519" w14:paraId="592751BC"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(2,605)</w:t>
            </w:r>
          </w:p>
        </w:tc>
        <w:tc>
          <w:tcPr>
            <w:tcW w:w="1276" w:type="dxa"/>
            <w:vAlign w:val="bottom"/>
          </w:tcPr>
          <w:p w:rsidRPr="009C48DA" w:rsidR="00661519" w:rsidP="00661519" w:rsidRDefault="00661519" w14:paraId="54777BFA"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(4,756)</w:t>
            </w:r>
          </w:p>
        </w:tc>
        <w:tc>
          <w:tcPr>
            <w:tcW w:w="1276" w:type="dxa"/>
            <w:vAlign w:val="bottom"/>
          </w:tcPr>
          <w:p w:rsidRPr="009C48DA" w:rsidR="00661519" w:rsidP="00661519" w:rsidRDefault="00661519" w14:paraId="06DC0821"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(12,581)</w:t>
            </w:r>
          </w:p>
        </w:tc>
      </w:tr>
      <w:tr w:rsidRPr="009C48DA" w:rsidR="00661519" w:rsidTr="00661519" w14:paraId="554CA194" w14:textId="77777777">
        <w:tc>
          <w:tcPr>
            <w:tcW w:w="3936" w:type="dxa"/>
            <w:vAlign w:val="bottom"/>
          </w:tcPr>
          <w:p w:rsidRPr="009C48DA" w:rsidR="00661519" w:rsidP="00661519" w:rsidRDefault="00661519" w14:paraId="5D7BCB35"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As at 31 December 2018</w:t>
            </w:r>
          </w:p>
        </w:tc>
        <w:tc>
          <w:tcPr>
            <w:tcW w:w="1275" w:type="dxa"/>
            <w:vAlign w:val="bottom"/>
          </w:tcPr>
          <w:p w:rsidRPr="009C48DA" w:rsidR="00661519" w:rsidP="00661519" w:rsidRDefault="00661519" w14:paraId="712FA8D0"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40,879</w:t>
            </w:r>
          </w:p>
        </w:tc>
        <w:tc>
          <w:tcPr>
            <w:tcW w:w="1276" w:type="dxa"/>
            <w:vAlign w:val="bottom"/>
          </w:tcPr>
          <w:p w:rsidRPr="009C48DA" w:rsidR="00661519" w:rsidP="00661519" w:rsidRDefault="00661519" w14:paraId="4C6C175E"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3,836</w:t>
            </w:r>
          </w:p>
        </w:tc>
        <w:tc>
          <w:tcPr>
            <w:tcW w:w="1276" w:type="dxa"/>
            <w:vAlign w:val="bottom"/>
          </w:tcPr>
          <w:p w:rsidRPr="009C48DA" w:rsidR="00661519" w:rsidP="00661519" w:rsidRDefault="00661519" w14:paraId="69C948E3"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1,944</w:t>
            </w:r>
          </w:p>
        </w:tc>
        <w:tc>
          <w:tcPr>
            <w:tcW w:w="1276" w:type="dxa"/>
            <w:vAlign w:val="bottom"/>
          </w:tcPr>
          <w:p w:rsidRPr="009C48DA" w:rsidR="00661519" w:rsidP="00661519" w:rsidRDefault="00661519" w14:paraId="69FE2133"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46,659</w:t>
            </w:r>
          </w:p>
        </w:tc>
      </w:tr>
    </w:tbl>
    <w:p w:rsidRPr="009C48DA" w:rsidR="00661519" w:rsidP="00661519" w:rsidRDefault="00661519" w14:paraId="77DF94DC" w14:textId="77777777">
      <w:pPr>
        <w:textAlignment w:val="baseline"/>
        <w:rPr>
          <w:rFonts w:eastAsia="Times New Roman" w:cs="Times New Roman"/>
          <w:b/>
          <w:color w:val="000000"/>
          <w:sz w:val="16"/>
          <w:szCs w:val="22"/>
          <w:lang w:val="en-GB"/>
        </w:rPr>
      </w:pPr>
    </w:p>
    <w:p w:rsidRPr="009C48DA" w:rsidR="00661519" w:rsidP="00661519" w:rsidRDefault="00661519" w14:paraId="575EC3EA" w14:textId="77777777">
      <w:pPr>
        <w:textAlignment w:val="baseline"/>
        <w:rPr>
          <w:rFonts w:eastAsia="Times New Roman" w:cs="Times New Roman"/>
          <w:b/>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36"/>
        <w:gridCol w:w="1275"/>
        <w:gridCol w:w="1276"/>
        <w:gridCol w:w="1276"/>
        <w:gridCol w:w="1276"/>
      </w:tblGrid>
      <w:tr w:rsidRPr="009C48DA" w:rsidR="00661519" w:rsidTr="00661519" w14:paraId="3D28C8D6" w14:textId="77777777">
        <w:tc>
          <w:tcPr>
            <w:tcW w:w="3936" w:type="dxa"/>
            <w:vAlign w:val="bottom"/>
          </w:tcPr>
          <w:p w:rsidRPr="009C48DA" w:rsidR="00661519" w:rsidP="00661519" w:rsidRDefault="00661519" w14:paraId="698EDBEB" w14:textId="77777777">
            <w:pPr>
              <w:jc w:val="both"/>
              <w:textAlignment w:val="baseline"/>
              <w:rPr>
                <w:rFonts w:eastAsia="Times New Roman"/>
                <w:b/>
                <w:color w:val="000000"/>
                <w:sz w:val="16"/>
                <w:szCs w:val="16"/>
                <w:lang w:val="en-GB"/>
              </w:rPr>
            </w:pPr>
          </w:p>
        </w:tc>
        <w:tc>
          <w:tcPr>
            <w:tcW w:w="1275" w:type="dxa"/>
            <w:vAlign w:val="bottom"/>
          </w:tcPr>
          <w:p w:rsidRPr="009C48DA" w:rsidR="00661519" w:rsidP="00661519" w:rsidRDefault="00661519" w14:paraId="2897C680"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Right of use</w:t>
            </w:r>
          </w:p>
          <w:p w:rsidRPr="009C48DA" w:rsidR="00661519" w:rsidP="00661519" w:rsidRDefault="00661519" w14:paraId="61A6E734"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assets</w:t>
            </w:r>
          </w:p>
          <w:p w:rsidRPr="009C48DA" w:rsidR="00661519" w:rsidP="00661519" w:rsidRDefault="00661519" w14:paraId="5B009366" w14:textId="77777777">
            <w:pPr>
              <w:jc w:val="center"/>
              <w:textAlignment w:val="baseline"/>
              <w:rPr>
                <w:rFonts w:eastAsia="Times New Roman"/>
                <w:b/>
                <w:color w:val="000000"/>
                <w:sz w:val="16"/>
                <w:szCs w:val="16"/>
                <w:lang w:val="en-GB"/>
              </w:rPr>
            </w:pPr>
            <w:r w:rsidRPr="009C48DA">
              <w:rPr>
                <w:rFonts w:eastAsia="Times New Roman"/>
                <w:b/>
                <w:color w:val="000000"/>
                <w:sz w:val="16"/>
                <w:lang w:val="en-GB"/>
              </w:rPr>
              <w:t>£ 000</w:t>
            </w:r>
          </w:p>
        </w:tc>
        <w:tc>
          <w:tcPr>
            <w:tcW w:w="1276" w:type="dxa"/>
            <w:vAlign w:val="bottom"/>
          </w:tcPr>
          <w:p w:rsidRPr="009C48DA" w:rsidR="00661519" w:rsidP="00661519" w:rsidRDefault="00661519" w14:paraId="4023A445"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xml:space="preserve">Leasehold </w:t>
            </w:r>
          </w:p>
          <w:p w:rsidRPr="009C48DA" w:rsidR="00661519" w:rsidP="00661519" w:rsidRDefault="00661519" w14:paraId="3261BA57"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improvements</w:t>
            </w:r>
          </w:p>
          <w:p w:rsidRPr="009C48DA" w:rsidR="00661519" w:rsidP="00661519" w:rsidRDefault="00661519" w14:paraId="6A367C30" w14:textId="77777777">
            <w:pPr>
              <w:jc w:val="center"/>
              <w:textAlignment w:val="baseline"/>
              <w:rPr>
                <w:rFonts w:eastAsia="Times New Roman"/>
                <w:b/>
                <w:color w:val="000000"/>
                <w:sz w:val="16"/>
                <w:szCs w:val="16"/>
                <w:lang w:val="en-GB"/>
              </w:rPr>
            </w:pPr>
            <w:r w:rsidRPr="009C48DA">
              <w:rPr>
                <w:rFonts w:eastAsia="Times New Roman"/>
                <w:b/>
                <w:color w:val="000000"/>
                <w:sz w:val="16"/>
                <w:lang w:val="en-GB"/>
              </w:rPr>
              <w:t>£ 000</w:t>
            </w:r>
          </w:p>
        </w:tc>
        <w:tc>
          <w:tcPr>
            <w:tcW w:w="1276" w:type="dxa"/>
            <w:vAlign w:val="bottom"/>
          </w:tcPr>
          <w:p w:rsidRPr="009C48DA" w:rsidR="00661519" w:rsidP="00661519" w:rsidRDefault="00661519" w14:paraId="47471C72"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xml:space="preserve">Computers, </w:t>
            </w:r>
          </w:p>
          <w:p w:rsidRPr="009C48DA" w:rsidR="00661519" w:rsidP="00661519" w:rsidRDefault="00661519" w14:paraId="0E1B278B"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xml:space="preserve">furniture and </w:t>
            </w:r>
          </w:p>
          <w:p w:rsidRPr="009C48DA" w:rsidR="00661519" w:rsidP="00661519" w:rsidRDefault="00661519" w14:paraId="42C8C913"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other</w:t>
            </w:r>
          </w:p>
          <w:p w:rsidRPr="009C48DA" w:rsidR="00661519" w:rsidP="00661519" w:rsidRDefault="00661519" w14:paraId="2BD6C5FB" w14:textId="77777777">
            <w:pPr>
              <w:jc w:val="center"/>
              <w:textAlignment w:val="baseline"/>
              <w:rPr>
                <w:rFonts w:eastAsia="Times New Roman"/>
                <w:b/>
                <w:color w:val="000000"/>
                <w:sz w:val="16"/>
                <w:szCs w:val="16"/>
                <w:lang w:val="en-GB"/>
              </w:rPr>
            </w:pPr>
            <w:r w:rsidRPr="009C48DA">
              <w:rPr>
                <w:rFonts w:eastAsia="Times New Roman"/>
                <w:b/>
                <w:color w:val="000000"/>
                <w:sz w:val="16"/>
                <w:lang w:val="en-GB"/>
              </w:rPr>
              <w:t>£ 000</w:t>
            </w:r>
          </w:p>
        </w:tc>
        <w:tc>
          <w:tcPr>
            <w:tcW w:w="1276" w:type="dxa"/>
            <w:vAlign w:val="bottom"/>
          </w:tcPr>
          <w:p w:rsidRPr="009C48DA" w:rsidR="00661519" w:rsidP="00661519" w:rsidRDefault="00661519" w14:paraId="6975ED1F"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Total</w:t>
            </w:r>
          </w:p>
          <w:p w:rsidRPr="009C48DA" w:rsidR="00661519" w:rsidP="00661519" w:rsidRDefault="00661519" w14:paraId="6C16AE47"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£ 000</w:t>
            </w:r>
          </w:p>
        </w:tc>
      </w:tr>
      <w:tr w:rsidRPr="009C48DA" w:rsidR="00661519" w:rsidTr="00661519" w14:paraId="30F06E5A" w14:textId="77777777">
        <w:tc>
          <w:tcPr>
            <w:tcW w:w="3936" w:type="dxa"/>
            <w:vAlign w:val="bottom"/>
          </w:tcPr>
          <w:p w:rsidRPr="009C48DA" w:rsidR="00661519" w:rsidP="00661519" w:rsidRDefault="00661519" w14:paraId="60AD9B13"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Balance as at 1 January 2019</w:t>
            </w:r>
          </w:p>
        </w:tc>
        <w:tc>
          <w:tcPr>
            <w:tcW w:w="1275" w:type="dxa"/>
          </w:tcPr>
          <w:p w:rsidRPr="009C48DA" w:rsidR="00661519" w:rsidP="00661519" w:rsidRDefault="00661519" w14:paraId="7F22FFDD" w14:textId="77777777">
            <w:pPr>
              <w:spacing w:before="60"/>
              <w:jc w:val="right"/>
              <w:rPr>
                <w:sz w:val="16"/>
                <w:szCs w:val="16"/>
                <w:lang w:val="en-GB"/>
              </w:rPr>
            </w:pPr>
            <w:r w:rsidRPr="009C48DA">
              <w:rPr>
                <w:sz w:val="16"/>
                <w:szCs w:val="16"/>
                <w:lang w:val="en-GB"/>
              </w:rPr>
              <w:t>46,099</w:t>
            </w:r>
          </w:p>
        </w:tc>
        <w:tc>
          <w:tcPr>
            <w:tcW w:w="1276" w:type="dxa"/>
          </w:tcPr>
          <w:p w:rsidRPr="009C48DA" w:rsidR="00661519" w:rsidP="00661519" w:rsidRDefault="00661519" w14:paraId="7CBECAED" w14:textId="77777777">
            <w:pPr>
              <w:spacing w:before="60"/>
              <w:jc w:val="right"/>
              <w:rPr>
                <w:sz w:val="16"/>
                <w:szCs w:val="16"/>
                <w:lang w:val="en-GB"/>
              </w:rPr>
            </w:pPr>
            <w:r w:rsidRPr="009C48DA">
              <w:rPr>
                <w:sz w:val="16"/>
                <w:szCs w:val="16"/>
                <w:lang w:val="en-GB"/>
              </w:rPr>
              <w:t>6,441</w:t>
            </w:r>
          </w:p>
        </w:tc>
        <w:tc>
          <w:tcPr>
            <w:tcW w:w="1276" w:type="dxa"/>
          </w:tcPr>
          <w:p w:rsidRPr="009C48DA" w:rsidR="00661519" w:rsidP="00661519" w:rsidRDefault="00661519" w14:paraId="3E7BD9DD" w14:textId="77777777">
            <w:pPr>
              <w:spacing w:before="60"/>
              <w:jc w:val="right"/>
              <w:rPr>
                <w:sz w:val="16"/>
                <w:szCs w:val="16"/>
                <w:lang w:val="en-GB"/>
              </w:rPr>
            </w:pPr>
            <w:r w:rsidRPr="009C48DA">
              <w:rPr>
                <w:sz w:val="16"/>
                <w:szCs w:val="16"/>
                <w:lang w:val="en-GB"/>
              </w:rPr>
              <w:t>6,700</w:t>
            </w:r>
          </w:p>
        </w:tc>
        <w:tc>
          <w:tcPr>
            <w:tcW w:w="1276" w:type="dxa"/>
          </w:tcPr>
          <w:p w:rsidRPr="009C48DA" w:rsidR="00661519" w:rsidP="00661519" w:rsidRDefault="00661519" w14:paraId="3061BF30" w14:textId="77777777">
            <w:pPr>
              <w:spacing w:before="60"/>
              <w:jc w:val="right"/>
              <w:rPr>
                <w:sz w:val="16"/>
                <w:szCs w:val="16"/>
                <w:lang w:val="en-GB"/>
              </w:rPr>
            </w:pPr>
            <w:r w:rsidRPr="009C48DA">
              <w:rPr>
                <w:sz w:val="16"/>
                <w:szCs w:val="16"/>
                <w:lang w:val="en-GB"/>
              </w:rPr>
              <w:t>59,240</w:t>
            </w:r>
          </w:p>
        </w:tc>
      </w:tr>
      <w:tr w:rsidRPr="009C48DA" w:rsidR="00661519" w:rsidTr="00661519" w14:paraId="26DF3D69" w14:textId="77777777">
        <w:tc>
          <w:tcPr>
            <w:tcW w:w="3936" w:type="dxa"/>
            <w:vAlign w:val="bottom"/>
          </w:tcPr>
          <w:p w:rsidRPr="009C48DA" w:rsidR="00661519" w:rsidP="00661519" w:rsidRDefault="00661519" w14:paraId="12C64B57"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Foreign exchange</w:t>
            </w:r>
          </w:p>
        </w:tc>
        <w:tc>
          <w:tcPr>
            <w:tcW w:w="1275" w:type="dxa"/>
          </w:tcPr>
          <w:p w:rsidRPr="009C48DA" w:rsidR="00661519" w:rsidP="00661519" w:rsidRDefault="00661519" w14:paraId="5C44F782" w14:textId="77777777">
            <w:pPr>
              <w:spacing w:before="60"/>
              <w:jc w:val="right"/>
              <w:rPr>
                <w:sz w:val="16"/>
                <w:szCs w:val="16"/>
                <w:lang w:val="en-GB"/>
              </w:rPr>
            </w:pPr>
            <w:r w:rsidRPr="009C48DA">
              <w:rPr>
                <w:sz w:val="16"/>
                <w:szCs w:val="16"/>
                <w:lang w:val="en-GB"/>
              </w:rPr>
              <w:t>-</w:t>
            </w:r>
          </w:p>
        </w:tc>
        <w:tc>
          <w:tcPr>
            <w:tcW w:w="1276" w:type="dxa"/>
          </w:tcPr>
          <w:p w:rsidRPr="009C48DA" w:rsidR="00661519" w:rsidP="00661519" w:rsidRDefault="00661519" w14:paraId="5CD82B30" w14:textId="77777777">
            <w:pPr>
              <w:spacing w:before="60"/>
              <w:jc w:val="right"/>
              <w:rPr>
                <w:sz w:val="16"/>
                <w:szCs w:val="16"/>
                <w:lang w:val="en-GB"/>
              </w:rPr>
            </w:pPr>
            <w:r w:rsidRPr="009C48DA">
              <w:rPr>
                <w:sz w:val="16"/>
                <w:szCs w:val="16"/>
                <w:lang w:val="en-GB"/>
              </w:rPr>
              <w:t>(149)</w:t>
            </w:r>
          </w:p>
        </w:tc>
        <w:tc>
          <w:tcPr>
            <w:tcW w:w="1276" w:type="dxa"/>
          </w:tcPr>
          <w:p w:rsidRPr="009C48DA" w:rsidR="00661519" w:rsidP="00661519" w:rsidRDefault="00661519" w14:paraId="6BFDBF08" w14:textId="77777777">
            <w:pPr>
              <w:spacing w:before="60"/>
              <w:jc w:val="right"/>
              <w:rPr>
                <w:sz w:val="16"/>
                <w:szCs w:val="16"/>
                <w:lang w:val="en-GB"/>
              </w:rPr>
            </w:pPr>
            <w:r w:rsidRPr="009C48DA">
              <w:rPr>
                <w:sz w:val="16"/>
                <w:szCs w:val="16"/>
                <w:lang w:val="en-GB"/>
              </w:rPr>
              <w:t>(133)</w:t>
            </w:r>
          </w:p>
        </w:tc>
        <w:tc>
          <w:tcPr>
            <w:tcW w:w="1276" w:type="dxa"/>
          </w:tcPr>
          <w:p w:rsidRPr="009C48DA" w:rsidR="00661519" w:rsidP="00661519" w:rsidRDefault="00661519" w14:paraId="009673A5" w14:textId="77777777">
            <w:pPr>
              <w:spacing w:before="60"/>
              <w:jc w:val="right"/>
              <w:rPr>
                <w:sz w:val="16"/>
                <w:szCs w:val="16"/>
                <w:lang w:val="en-GB"/>
              </w:rPr>
            </w:pPr>
            <w:r w:rsidRPr="009C48DA">
              <w:rPr>
                <w:sz w:val="16"/>
                <w:szCs w:val="16"/>
                <w:lang w:val="en-GB"/>
              </w:rPr>
              <w:t>(282)</w:t>
            </w:r>
          </w:p>
        </w:tc>
      </w:tr>
      <w:tr w:rsidRPr="009C48DA" w:rsidR="00661519" w:rsidTr="00661519" w14:paraId="3E9E7479" w14:textId="77777777">
        <w:tc>
          <w:tcPr>
            <w:tcW w:w="3936" w:type="dxa"/>
            <w:vAlign w:val="center"/>
          </w:tcPr>
          <w:p w:rsidRPr="009C48DA" w:rsidR="00661519" w:rsidP="00661519" w:rsidRDefault="00661519" w14:paraId="5D43AF06"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Additions</w:t>
            </w:r>
          </w:p>
        </w:tc>
        <w:tc>
          <w:tcPr>
            <w:tcW w:w="1275" w:type="dxa"/>
          </w:tcPr>
          <w:p w:rsidRPr="009C48DA" w:rsidR="00661519" w:rsidP="00661519" w:rsidRDefault="00661519" w14:paraId="089E6245" w14:textId="77777777">
            <w:pPr>
              <w:spacing w:before="60"/>
              <w:jc w:val="right"/>
              <w:rPr>
                <w:sz w:val="16"/>
                <w:szCs w:val="16"/>
                <w:lang w:val="en-GB"/>
              </w:rPr>
            </w:pPr>
            <w:r w:rsidRPr="009C48DA">
              <w:rPr>
                <w:sz w:val="16"/>
                <w:szCs w:val="16"/>
                <w:lang w:val="en-GB"/>
              </w:rPr>
              <w:t>4,340</w:t>
            </w:r>
          </w:p>
        </w:tc>
        <w:tc>
          <w:tcPr>
            <w:tcW w:w="1276" w:type="dxa"/>
          </w:tcPr>
          <w:p w:rsidRPr="009C48DA" w:rsidR="00661519" w:rsidP="00661519" w:rsidRDefault="00661519" w14:paraId="3F2CAE35" w14:textId="77777777">
            <w:pPr>
              <w:spacing w:before="60"/>
              <w:jc w:val="right"/>
              <w:rPr>
                <w:sz w:val="16"/>
                <w:szCs w:val="16"/>
                <w:lang w:val="en-GB"/>
              </w:rPr>
            </w:pPr>
            <w:r w:rsidRPr="009C48DA">
              <w:rPr>
                <w:sz w:val="16"/>
                <w:szCs w:val="16"/>
                <w:lang w:val="en-GB"/>
              </w:rPr>
              <w:t>2,466</w:t>
            </w:r>
          </w:p>
        </w:tc>
        <w:tc>
          <w:tcPr>
            <w:tcW w:w="1276" w:type="dxa"/>
          </w:tcPr>
          <w:p w:rsidRPr="009C48DA" w:rsidR="00661519" w:rsidP="00661519" w:rsidRDefault="00661519" w14:paraId="3024097C" w14:textId="77777777">
            <w:pPr>
              <w:spacing w:before="60"/>
              <w:jc w:val="right"/>
              <w:rPr>
                <w:sz w:val="16"/>
                <w:szCs w:val="16"/>
                <w:lang w:val="en-GB"/>
              </w:rPr>
            </w:pPr>
            <w:r w:rsidRPr="009C48DA">
              <w:rPr>
                <w:sz w:val="16"/>
                <w:szCs w:val="16"/>
                <w:lang w:val="en-GB"/>
              </w:rPr>
              <w:t>1,218</w:t>
            </w:r>
          </w:p>
        </w:tc>
        <w:tc>
          <w:tcPr>
            <w:tcW w:w="1276" w:type="dxa"/>
          </w:tcPr>
          <w:p w:rsidRPr="009C48DA" w:rsidR="00661519" w:rsidP="00661519" w:rsidRDefault="00661519" w14:paraId="718CB8E7" w14:textId="77777777">
            <w:pPr>
              <w:spacing w:before="60"/>
              <w:jc w:val="right"/>
              <w:rPr>
                <w:sz w:val="16"/>
                <w:szCs w:val="16"/>
                <w:lang w:val="en-GB"/>
              </w:rPr>
            </w:pPr>
            <w:r w:rsidRPr="009C48DA">
              <w:rPr>
                <w:sz w:val="16"/>
                <w:szCs w:val="16"/>
                <w:lang w:val="en-GB"/>
              </w:rPr>
              <w:t>8,024</w:t>
            </w:r>
          </w:p>
        </w:tc>
      </w:tr>
      <w:tr w:rsidRPr="009C48DA" w:rsidR="00661519" w:rsidTr="00661519" w14:paraId="4FFE80C8" w14:textId="77777777">
        <w:tc>
          <w:tcPr>
            <w:tcW w:w="3936" w:type="dxa"/>
            <w:vAlign w:val="center"/>
          </w:tcPr>
          <w:p w:rsidRPr="009C48DA" w:rsidR="00661519" w:rsidP="00661519" w:rsidRDefault="00661519" w14:paraId="5FE717DA"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Disposals</w:t>
            </w:r>
          </w:p>
        </w:tc>
        <w:tc>
          <w:tcPr>
            <w:tcW w:w="1275" w:type="dxa"/>
          </w:tcPr>
          <w:p w:rsidRPr="009C48DA" w:rsidR="00661519" w:rsidP="00661519" w:rsidRDefault="00661519" w14:paraId="3F8AF47D" w14:textId="77777777">
            <w:pPr>
              <w:pBdr>
                <w:bottom w:val="single" w:color="auto" w:sz="12" w:space="1"/>
              </w:pBdr>
              <w:spacing w:before="60"/>
              <w:jc w:val="right"/>
              <w:rPr>
                <w:sz w:val="16"/>
                <w:szCs w:val="16"/>
                <w:lang w:val="en-GB"/>
              </w:rPr>
            </w:pPr>
            <w:r w:rsidRPr="009C48DA">
              <w:rPr>
                <w:sz w:val="16"/>
                <w:szCs w:val="16"/>
                <w:lang w:val="en-GB"/>
              </w:rPr>
              <w:t>-</w:t>
            </w:r>
          </w:p>
        </w:tc>
        <w:tc>
          <w:tcPr>
            <w:tcW w:w="1276" w:type="dxa"/>
          </w:tcPr>
          <w:p w:rsidRPr="009C48DA" w:rsidR="00661519" w:rsidP="00661519" w:rsidRDefault="00661519" w14:paraId="50D247A2" w14:textId="77777777">
            <w:pPr>
              <w:pBdr>
                <w:bottom w:val="single" w:color="auto" w:sz="12" w:space="1"/>
              </w:pBdr>
              <w:spacing w:before="60"/>
              <w:jc w:val="right"/>
              <w:rPr>
                <w:sz w:val="16"/>
                <w:szCs w:val="16"/>
                <w:lang w:val="en-GB"/>
              </w:rPr>
            </w:pPr>
            <w:r w:rsidRPr="009C48DA">
              <w:rPr>
                <w:sz w:val="16"/>
                <w:szCs w:val="16"/>
                <w:lang w:val="en-GB"/>
              </w:rPr>
              <w:t>(88)</w:t>
            </w:r>
          </w:p>
        </w:tc>
        <w:tc>
          <w:tcPr>
            <w:tcW w:w="1276" w:type="dxa"/>
          </w:tcPr>
          <w:p w:rsidRPr="009C48DA" w:rsidR="00661519" w:rsidP="00661519" w:rsidRDefault="00661519" w14:paraId="2E130518" w14:textId="77777777">
            <w:pPr>
              <w:pBdr>
                <w:bottom w:val="single" w:color="auto" w:sz="12" w:space="1"/>
              </w:pBdr>
              <w:spacing w:before="60"/>
              <w:jc w:val="right"/>
              <w:rPr>
                <w:sz w:val="16"/>
                <w:szCs w:val="16"/>
                <w:lang w:val="en-GB"/>
              </w:rPr>
            </w:pPr>
            <w:r w:rsidRPr="009C48DA">
              <w:rPr>
                <w:sz w:val="16"/>
                <w:szCs w:val="16"/>
                <w:lang w:val="en-GB"/>
              </w:rPr>
              <w:t>-</w:t>
            </w:r>
          </w:p>
        </w:tc>
        <w:tc>
          <w:tcPr>
            <w:tcW w:w="1276" w:type="dxa"/>
          </w:tcPr>
          <w:p w:rsidRPr="009C48DA" w:rsidR="00661519" w:rsidP="00661519" w:rsidRDefault="00661519" w14:paraId="2AB72B22" w14:textId="77777777">
            <w:pPr>
              <w:pBdr>
                <w:bottom w:val="single" w:color="auto" w:sz="12" w:space="1"/>
              </w:pBdr>
              <w:spacing w:before="60"/>
              <w:jc w:val="right"/>
              <w:rPr>
                <w:sz w:val="16"/>
                <w:szCs w:val="16"/>
                <w:lang w:val="en-GB"/>
              </w:rPr>
            </w:pPr>
            <w:r w:rsidRPr="009C48DA">
              <w:rPr>
                <w:sz w:val="16"/>
                <w:szCs w:val="16"/>
                <w:lang w:val="en-GB"/>
              </w:rPr>
              <w:t>(88)</w:t>
            </w:r>
          </w:p>
        </w:tc>
      </w:tr>
      <w:tr w:rsidRPr="009C48DA" w:rsidR="00661519" w:rsidTr="00661519" w14:paraId="07FA045B" w14:textId="77777777">
        <w:tc>
          <w:tcPr>
            <w:tcW w:w="3936" w:type="dxa"/>
            <w:vAlign w:val="bottom"/>
          </w:tcPr>
          <w:p w:rsidRPr="009C48DA" w:rsidR="00661519" w:rsidP="00661519" w:rsidRDefault="00661519" w14:paraId="719F52CB" w14:textId="77777777">
            <w:pPr>
              <w:spacing w:before="60"/>
              <w:jc w:val="both"/>
              <w:textAlignment w:val="baseline"/>
              <w:rPr>
                <w:rFonts w:eastAsia="Times New Roman"/>
                <w:b/>
                <w:color w:val="000000"/>
                <w:sz w:val="16"/>
                <w:lang w:val="en-GB"/>
              </w:rPr>
            </w:pPr>
            <w:r w:rsidRPr="009C48DA">
              <w:rPr>
                <w:rFonts w:eastAsia="Times New Roman"/>
                <w:b/>
                <w:color w:val="000000"/>
                <w:sz w:val="16"/>
                <w:lang w:val="en-GB"/>
              </w:rPr>
              <w:t>At 31 December 2019</w:t>
            </w:r>
          </w:p>
        </w:tc>
        <w:tc>
          <w:tcPr>
            <w:tcW w:w="1275" w:type="dxa"/>
          </w:tcPr>
          <w:p w:rsidRPr="009C48DA" w:rsidR="00661519" w:rsidP="00661519" w:rsidRDefault="00661519" w14:paraId="0838234C" w14:textId="77777777">
            <w:pPr>
              <w:pBdr>
                <w:bottom w:val="single" w:color="auto" w:sz="12" w:space="1"/>
              </w:pBdr>
              <w:spacing w:before="60"/>
              <w:jc w:val="right"/>
              <w:rPr>
                <w:sz w:val="16"/>
                <w:szCs w:val="16"/>
                <w:lang w:val="en-GB"/>
              </w:rPr>
            </w:pPr>
            <w:r w:rsidRPr="009C48DA">
              <w:rPr>
                <w:sz w:val="16"/>
                <w:szCs w:val="16"/>
                <w:lang w:val="en-GB"/>
              </w:rPr>
              <w:t>50,439</w:t>
            </w:r>
          </w:p>
        </w:tc>
        <w:tc>
          <w:tcPr>
            <w:tcW w:w="1276" w:type="dxa"/>
          </w:tcPr>
          <w:p w:rsidRPr="009C48DA" w:rsidR="00661519" w:rsidP="00661519" w:rsidRDefault="00661519" w14:paraId="6CAEBD4C" w14:textId="77777777">
            <w:pPr>
              <w:pBdr>
                <w:bottom w:val="single" w:color="auto" w:sz="12" w:space="1"/>
              </w:pBdr>
              <w:spacing w:before="60"/>
              <w:jc w:val="right"/>
              <w:rPr>
                <w:sz w:val="16"/>
                <w:szCs w:val="16"/>
                <w:lang w:val="en-GB"/>
              </w:rPr>
            </w:pPr>
            <w:r w:rsidRPr="009C48DA">
              <w:rPr>
                <w:sz w:val="16"/>
                <w:szCs w:val="16"/>
                <w:lang w:val="en-GB"/>
              </w:rPr>
              <w:t>8,670</w:t>
            </w:r>
          </w:p>
        </w:tc>
        <w:tc>
          <w:tcPr>
            <w:tcW w:w="1276" w:type="dxa"/>
          </w:tcPr>
          <w:p w:rsidRPr="009C48DA" w:rsidR="00661519" w:rsidP="00661519" w:rsidRDefault="00661519" w14:paraId="06A110A3" w14:textId="77777777">
            <w:pPr>
              <w:pBdr>
                <w:bottom w:val="single" w:color="auto" w:sz="12" w:space="1"/>
              </w:pBdr>
              <w:spacing w:before="60"/>
              <w:jc w:val="right"/>
              <w:rPr>
                <w:sz w:val="16"/>
                <w:szCs w:val="16"/>
                <w:lang w:val="en-GB"/>
              </w:rPr>
            </w:pPr>
            <w:r w:rsidRPr="009C48DA">
              <w:rPr>
                <w:sz w:val="16"/>
                <w:szCs w:val="16"/>
                <w:lang w:val="en-GB"/>
              </w:rPr>
              <w:t>7,785</w:t>
            </w:r>
          </w:p>
        </w:tc>
        <w:tc>
          <w:tcPr>
            <w:tcW w:w="1276" w:type="dxa"/>
          </w:tcPr>
          <w:p w:rsidRPr="009C48DA" w:rsidR="00661519" w:rsidP="00661519" w:rsidRDefault="00661519" w14:paraId="6C07F2C9" w14:textId="77777777">
            <w:pPr>
              <w:pBdr>
                <w:bottom w:val="single" w:color="auto" w:sz="12" w:space="1"/>
              </w:pBdr>
              <w:spacing w:before="60"/>
              <w:jc w:val="right"/>
              <w:rPr>
                <w:sz w:val="16"/>
                <w:szCs w:val="16"/>
                <w:lang w:val="en-GB"/>
              </w:rPr>
            </w:pPr>
            <w:r w:rsidRPr="009C48DA">
              <w:rPr>
                <w:sz w:val="16"/>
                <w:szCs w:val="16"/>
                <w:lang w:val="en-GB"/>
              </w:rPr>
              <w:t>66,894</w:t>
            </w:r>
          </w:p>
        </w:tc>
      </w:tr>
      <w:tr w:rsidRPr="009C48DA" w:rsidR="00661519" w:rsidTr="00661519" w14:paraId="21E0FA96" w14:textId="77777777">
        <w:tc>
          <w:tcPr>
            <w:tcW w:w="3936" w:type="dxa"/>
          </w:tcPr>
          <w:p w:rsidRPr="009C48DA" w:rsidR="00661519" w:rsidP="00661519" w:rsidRDefault="00661519" w14:paraId="1D85C9F0" w14:textId="77777777">
            <w:pPr>
              <w:spacing w:before="60"/>
              <w:jc w:val="both"/>
              <w:textAlignment w:val="baseline"/>
              <w:rPr>
                <w:lang w:val="en-GB"/>
              </w:rPr>
            </w:pPr>
            <w:r w:rsidRPr="009C48DA">
              <w:rPr>
                <w:rFonts w:eastAsia="Times New Roman"/>
                <w:b/>
                <w:color w:val="000000"/>
                <w:sz w:val="16"/>
                <w:lang w:val="en-GB"/>
              </w:rPr>
              <w:t>Accumulated depreciation and impairment</w:t>
            </w:r>
          </w:p>
        </w:tc>
        <w:tc>
          <w:tcPr>
            <w:tcW w:w="1275" w:type="dxa"/>
          </w:tcPr>
          <w:p w:rsidRPr="009C48DA" w:rsidR="00661519" w:rsidP="00661519" w:rsidRDefault="00661519" w14:paraId="30A0BC7A" w14:textId="77777777">
            <w:pPr>
              <w:spacing w:before="60"/>
              <w:jc w:val="right"/>
              <w:rPr>
                <w:sz w:val="16"/>
                <w:szCs w:val="16"/>
                <w:lang w:val="en-GB"/>
              </w:rPr>
            </w:pPr>
            <w:r w:rsidRPr="009C48DA">
              <w:rPr>
                <w:sz w:val="16"/>
                <w:szCs w:val="16"/>
                <w:lang w:val="en-GB"/>
              </w:rPr>
              <w:t xml:space="preserve"> </w:t>
            </w:r>
          </w:p>
        </w:tc>
        <w:tc>
          <w:tcPr>
            <w:tcW w:w="1276" w:type="dxa"/>
          </w:tcPr>
          <w:p w:rsidRPr="009C48DA" w:rsidR="00661519" w:rsidP="00661519" w:rsidRDefault="00661519" w14:paraId="216B6851" w14:textId="77777777">
            <w:pPr>
              <w:spacing w:before="60"/>
              <w:jc w:val="right"/>
              <w:rPr>
                <w:sz w:val="16"/>
                <w:szCs w:val="16"/>
                <w:lang w:val="en-GB"/>
              </w:rPr>
            </w:pPr>
            <w:r w:rsidRPr="009C48DA">
              <w:rPr>
                <w:sz w:val="16"/>
                <w:szCs w:val="16"/>
                <w:lang w:val="en-GB"/>
              </w:rPr>
              <w:t xml:space="preserve"> </w:t>
            </w:r>
          </w:p>
        </w:tc>
        <w:tc>
          <w:tcPr>
            <w:tcW w:w="1276" w:type="dxa"/>
          </w:tcPr>
          <w:p w:rsidRPr="009C48DA" w:rsidR="00661519" w:rsidP="00661519" w:rsidRDefault="00661519" w14:paraId="308DB6A8" w14:textId="77777777">
            <w:pPr>
              <w:spacing w:before="60"/>
              <w:jc w:val="right"/>
              <w:rPr>
                <w:sz w:val="16"/>
                <w:szCs w:val="16"/>
                <w:lang w:val="en-GB"/>
              </w:rPr>
            </w:pPr>
            <w:r w:rsidRPr="009C48DA">
              <w:rPr>
                <w:sz w:val="16"/>
                <w:szCs w:val="16"/>
                <w:lang w:val="en-GB"/>
              </w:rPr>
              <w:t xml:space="preserve"> </w:t>
            </w:r>
          </w:p>
        </w:tc>
        <w:tc>
          <w:tcPr>
            <w:tcW w:w="1276" w:type="dxa"/>
          </w:tcPr>
          <w:p w:rsidRPr="009C48DA" w:rsidR="00661519" w:rsidP="00661519" w:rsidRDefault="00661519" w14:paraId="47A50C98" w14:textId="77777777">
            <w:pPr>
              <w:spacing w:before="60"/>
              <w:jc w:val="right"/>
              <w:rPr>
                <w:sz w:val="16"/>
                <w:szCs w:val="16"/>
                <w:lang w:val="en-GB"/>
              </w:rPr>
            </w:pPr>
            <w:r w:rsidRPr="009C48DA">
              <w:rPr>
                <w:sz w:val="16"/>
                <w:szCs w:val="16"/>
                <w:lang w:val="en-GB"/>
              </w:rPr>
              <w:t xml:space="preserve"> </w:t>
            </w:r>
          </w:p>
        </w:tc>
      </w:tr>
      <w:tr w:rsidRPr="009C48DA" w:rsidR="00661519" w:rsidTr="00661519" w14:paraId="45CC9381" w14:textId="77777777">
        <w:tc>
          <w:tcPr>
            <w:tcW w:w="3936" w:type="dxa"/>
          </w:tcPr>
          <w:p w:rsidRPr="009C48DA" w:rsidR="00661519" w:rsidP="00661519" w:rsidRDefault="00661519" w14:paraId="4EFA1E63" w14:textId="77777777">
            <w:pPr>
              <w:spacing w:before="60"/>
              <w:jc w:val="both"/>
              <w:textAlignment w:val="baseline"/>
              <w:rPr>
                <w:rFonts w:eastAsia="Times New Roman"/>
                <w:b/>
                <w:color w:val="000000"/>
                <w:sz w:val="16"/>
                <w:lang w:val="en-GB"/>
              </w:rPr>
            </w:pPr>
            <w:r w:rsidRPr="009C48DA">
              <w:rPr>
                <w:rFonts w:eastAsia="Times New Roman"/>
                <w:b/>
                <w:color w:val="000000"/>
                <w:sz w:val="16"/>
                <w:lang w:val="en-GB"/>
              </w:rPr>
              <w:t>Balance at 1 January 2019</w:t>
            </w:r>
          </w:p>
        </w:tc>
        <w:tc>
          <w:tcPr>
            <w:tcW w:w="1275" w:type="dxa"/>
          </w:tcPr>
          <w:p w:rsidRPr="009C48DA" w:rsidR="00661519" w:rsidP="00661519" w:rsidRDefault="00661519" w14:paraId="6C6CAA42" w14:textId="77777777">
            <w:pPr>
              <w:spacing w:before="60"/>
              <w:jc w:val="right"/>
              <w:rPr>
                <w:sz w:val="16"/>
                <w:szCs w:val="16"/>
                <w:lang w:val="en-GB"/>
              </w:rPr>
            </w:pPr>
            <w:r w:rsidRPr="009C48DA">
              <w:rPr>
                <w:sz w:val="16"/>
                <w:szCs w:val="16"/>
                <w:lang w:val="en-GB"/>
              </w:rPr>
              <w:t>(5,220)</w:t>
            </w:r>
          </w:p>
        </w:tc>
        <w:tc>
          <w:tcPr>
            <w:tcW w:w="1276" w:type="dxa"/>
          </w:tcPr>
          <w:p w:rsidRPr="009C48DA" w:rsidR="00661519" w:rsidP="00661519" w:rsidRDefault="00661519" w14:paraId="1FCC8E34" w14:textId="77777777">
            <w:pPr>
              <w:spacing w:before="60"/>
              <w:jc w:val="right"/>
              <w:rPr>
                <w:sz w:val="16"/>
                <w:szCs w:val="16"/>
                <w:lang w:val="en-GB"/>
              </w:rPr>
            </w:pPr>
            <w:r w:rsidRPr="009C48DA">
              <w:rPr>
                <w:sz w:val="16"/>
                <w:szCs w:val="16"/>
                <w:lang w:val="en-GB"/>
              </w:rPr>
              <w:t>(2,605)</w:t>
            </w:r>
          </w:p>
        </w:tc>
        <w:tc>
          <w:tcPr>
            <w:tcW w:w="1276" w:type="dxa"/>
          </w:tcPr>
          <w:p w:rsidRPr="009C48DA" w:rsidR="00661519" w:rsidP="00661519" w:rsidRDefault="00661519" w14:paraId="05782DD9" w14:textId="77777777">
            <w:pPr>
              <w:spacing w:before="60"/>
              <w:jc w:val="right"/>
              <w:rPr>
                <w:sz w:val="16"/>
                <w:szCs w:val="16"/>
                <w:lang w:val="en-GB"/>
              </w:rPr>
            </w:pPr>
            <w:r w:rsidRPr="009C48DA">
              <w:rPr>
                <w:sz w:val="16"/>
                <w:szCs w:val="16"/>
                <w:lang w:val="en-GB"/>
              </w:rPr>
              <w:t>(4,756)</w:t>
            </w:r>
          </w:p>
        </w:tc>
        <w:tc>
          <w:tcPr>
            <w:tcW w:w="1276" w:type="dxa"/>
          </w:tcPr>
          <w:p w:rsidRPr="009C48DA" w:rsidR="00661519" w:rsidP="00661519" w:rsidRDefault="00661519" w14:paraId="6E837FD9" w14:textId="77777777">
            <w:pPr>
              <w:spacing w:before="60"/>
              <w:jc w:val="right"/>
              <w:rPr>
                <w:sz w:val="16"/>
                <w:szCs w:val="16"/>
                <w:lang w:val="en-GB"/>
              </w:rPr>
            </w:pPr>
            <w:r w:rsidRPr="009C48DA">
              <w:rPr>
                <w:sz w:val="16"/>
                <w:szCs w:val="16"/>
                <w:lang w:val="en-GB"/>
              </w:rPr>
              <w:t>(12,581)</w:t>
            </w:r>
          </w:p>
        </w:tc>
      </w:tr>
      <w:tr w:rsidRPr="009C48DA" w:rsidR="00661519" w:rsidTr="00661519" w14:paraId="4A3459B6" w14:textId="77777777">
        <w:tc>
          <w:tcPr>
            <w:tcW w:w="3936" w:type="dxa"/>
          </w:tcPr>
          <w:p w:rsidRPr="009C48DA" w:rsidR="00661519" w:rsidP="00661519" w:rsidRDefault="00661519" w14:paraId="54439673"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Foreign exchange</w:t>
            </w:r>
          </w:p>
        </w:tc>
        <w:tc>
          <w:tcPr>
            <w:tcW w:w="1275" w:type="dxa"/>
          </w:tcPr>
          <w:p w:rsidRPr="009C48DA" w:rsidR="00661519" w:rsidP="00661519" w:rsidRDefault="00661519" w14:paraId="3FEFAAC5" w14:textId="77777777">
            <w:pPr>
              <w:spacing w:before="60"/>
              <w:jc w:val="right"/>
              <w:rPr>
                <w:sz w:val="16"/>
                <w:szCs w:val="16"/>
                <w:lang w:val="en-GB"/>
              </w:rPr>
            </w:pPr>
            <w:r w:rsidRPr="009C48DA">
              <w:rPr>
                <w:sz w:val="16"/>
                <w:szCs w:val="16"/>
                <w:lang w:val="en-GB"/>
              </w:rPr>
              <w:t>-</w:t>
            </w:r>
          </w:p>
        </w:tc>
        <w:tc>
          <w:tcPr>
            <w:tcW w:w="1276" w:type="dxa"/>
          </w:tcPr>
          <w:p w:rsidRPr="009C48DA" w:rsidR="00661519" w:rsidP="00661519" w:rsidRDefault="00661519" w14:paraId="68771E1B" w14:textId="77777777">
            <w:pPr>
              <w:spacing w:before="60"/>
              <w:jc w:val="right"/>
              <w:rPr>
                <w:sz w:val="16"/>
                <w:szCs w:val="16"/>
                <w:lang w:val="en-GB"/>
              </w:rPr>
            </w:pPr>
            <w:r w:rsidRPr="009C48DA">
              <w:rPr>
                <w:sz w:val="16"/>
                <w:szCs w:val="16"/>
                <w:lang w:val="en-GB"/>
              </w:rPr>
              <w:t>54</w:t>
            </w:r>
          </w:p>
        </w:tc>
        <w:tc>
          <w:tcPr>
            <w:tcW w:w="1276" w:type="dxa"/>
          </w:tcPr>
          <w:p w:rsidRPr="009C48DA" w:rsidR="00661519" w:rsidP="00661519" w:rsidRDefault="00661519" w14:paraId="3CCAEA25" w14:textId="77777777">
            <w:pPr>
              <w:spacing w:before="60"/>
              <w:jc w:val="right"/>
              <w:rPr>
                <w:sz w:val="16"/>
                <w:szCs w:val="16"/>
                <w:lang w:val="en-GB"/>
              </w:rPr>
            </w:pPr>
            <w:r w:rsidRPr="009C48DA">
              <w:rPr>
                <w:sz w:val="16"/>
                <w:szCs w:val="16"/>
                <w:lang w:val="en-GB"/>
              </w:rPr>
              <w:t>62</w:t>
            </w:r>
          </w:p>
        </w:tc>
        <w:tc>
          <w:tcPr>
            <w:tcW w:w="1276" w:type="dxa"/>
          </w:tcPr>
          <w:p w:rsidRPr="009C48DA" w:rsidR="00661519" w:rsidP="00661519" w:rsidRDefault="00661519" w14:paraId="4F855C57" w14:textId="77777777">
            <w:pPr>
              <w:spacing w:before="60"/>
              <w:jc w:val="right"/>
              <w:rPr>
                <w:sz w:val="16"/>
                <w:szCs w:val="16"/>
                <w:lang w:val="en-GB"/>
              </w:rPr>
            </w:pPr>
            <w:r w:rsidRPr="009C48DA">
              <w:rPr>
                <w:sz w:val="16"/>
                <w:szCs w:val="16"/>
                <w:lang w:val="en-GB"/>
              </w:rPr>
              <w:t>116</w:t>
            </w:r>
          </w:p>
        </w:tc>
      </w:tr>
      <w:tr w:rsidRPr="009C48DA" w:rsidR="00661519" w:rsidTr="00661519" w14:paraId="67D03F89" w14:textId="77777777">
        <w:tc>
          <w:tcPr>
            <w:tcW w:w="3936" w:type="dxa"/>
          </w:tcPr>
          <w:p w:rsidRPr="009C48DA" w:rsidR="00661519" w:rsidP="00661519" w:rsidRDefault="00661519" w14:paraId="5562685E"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Depreciation</w:t>
            </w:r>
          </w:p>
        </w:tc>
        <w:tc>
          <w:tcPr>
            <w:tcW w:w="1275" w:type="dxa"/>
          </w:tcPr>
          <w:p w:rsidRPr="009C48DA" w:rsidR="00661519" w:rsidP="00661519" w:rsidRDefault="00661519" w14:paraId="3B4AC267" w14:textId="77777777">
            <w:pPr>
              <w:spacing w:before="60"/>
              <w:jc w:val="right"/>
              <w:rPr>
                <w:sz w:val="16"/>
                <w:szCs w:val="16"/>
                <w:lang w:val="en-GB"/>
              </w:rPr>
            </w:pPr>
            <w:r w:rsidRPr="009C48DA">
              <w:rPr>
                <w:sz w:val="16"/>
                <w:szCs w:val="16"/>
                <w:lang w:val="en-GB"/>
              </w:rPr>
              <w:t>(6,085)</w:t>
            </w:r>
          </w:p>
        </w:tc>
        <w:tc>
          <w:tcPr>
            <w:tcW w:w="1276" w:type="dxa"/>
          </w:tcPr>
          <w:p w:rsidRPr="009C48DA" w:rsidR="00661519" w:rsidP="00661519" w:rsidRDefault="00661519" w14:paraId="3E10C49B" w14:textId="77777777">
            <w:pPr>
              <w:spacing w:before="60"/>
              <w:jc w:val="right"/>
              <w:rPr>
                <w:sz w:val="16"/>
                <w:szCs w:val="16"/>
                <w:lang w:val="en-GB"/>
              </w:rPr>
            </w:pPr>
            <w:r w:rsidRPr="009C48DA">
              <w:rPr>
                <w:sz w:val="16"/>
                <w:szCs w:val="16"/>
                <w:lang w:val="en-GB"/>
              </w:rPr>
              <w:t>(892)</w:t>
            </w:r>
          </w:p>
        </w:tc>
        <w:tc>
          <w:tcPr>
            <w:tcW w:w="1276" w:type="dxa"/>
          </w:tcPr>
          <w:p w:rsidRPr="009C48DA" w:rsidR="00661519" w:rsidP="00661519" w:rsidRDefault="00661519" w14:paraId="24534A53" w14:textId="77777777">
            <w:pPr>
              <w:spacing w:before="60"/>
              <w:jc w:val="right"/>
              <w:rPr>
                <w:sz w:val="16"/>
                <w:szCs w:val="16"/>
                <w:lang w:val="en-GB"/>
              </w:rPr>
            </w:pPr>
            <w:r w:rsidRPr="009C48DA">
              <w:rPr>
                <w:sz w:val="16"/>
                <w:szCs w:val="16"/>
                <w:lang w:val="en-GB"/>
              </w:rPr>
              <w:t>(780)</w:t>
            </w:r>
          </w:p>
        </w:tc>
        <w:tc>
          <w:tcPr>
            <w:tcW w:w="1276" w:type="dxa"/>
          </w:tcPr>
          <w:p w:rsidRPr="009C48DA" w:rsidR="00661519" w:rsidP="00661519" w:rsidRDefault="00661519" w14:paraId="2A5707BA" w14:textId="77777777">
            <w:pPr>
              <w:spacing w:before="60"/>
              <w:jc w:val="right"/>
              <w:rPr>
                <w:sz w:val="16"/>
                <w:szCs w:val="16"/>
                <w:lang w:val="en-GB"/>
              </w:rPr>
            </w:pPr>
            <w:r w:rsidRPr="009C48DA">
              <w:rPr>
                <w:sz w:val="16"/>
                <w:szCs w:val="16"/>
                <w:lang w:val="en-GB"/>
              </w:rPr>
              <w:t>(7,757)</w:t>
            </w:r>
          </w:p>
        </w:tc>
      </w:tr>
      <w:tr w:rsidRPr="009C48DA" w:rsidR="00661519" w:rsidTr="00661519" w14:paraId="7D073C75" w14:textId="77777777">
        <w:tc>
          <w:tcPr>
            <w:tcW w:w="3936" w:type="dxa"/>
          </w:tcPr>
          <w:p w:rsidRPr="009C48DA" w:rsidR="00661519" w:rsidP="00661519" w:rsidRDefault="00661519" w14:paraId="3B226A39"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Disposals</w:t>
            </w:r>
          </w:p>
        </w:tc>
        <w:tc>
          <w:tcPr>
            <w:tcW w:w="1275" w:type="dxa"/>
          </w:tcPr>
          <w:p w:rsidRPr="009C48DA" w:rsidR="00661519" w:rsidP="00661519" w:rsidRDefault="00661519" w14:paraId="3251E56C" w14:textId="77777777">
            <w:pPr>
              <w:pBdr>
                <w:bottom w:val="single" w:color="auto" w:sz="12" w:space="1"/>
              </w:pBdr>
              <w:spacing w:before="60"/>
              <w:jc w:val="right"/>
              <w:rPr>
                <w:sz w:val="16"/>
                <w:szCs w:val="16"/>
                <w:lang w:val="en-GB"/>
              </w:rPr>
            </w:pPr>
            <w:r w:rsidRPr="009C48DA">
              <w:rPr>
                <w:sz w:val="16"/>
                <w:szCs w:val="16"/>
                <w:lang w:val="en-GB"/>
              </w:rPr>
              <w:t>-</w:t>
            </w:r>
          </w:p>
        </w:tc>
        <w:tc>
          <w:tcPr>
            <w:tcW w:w="1276" w:type="dxa"/>
          </w:tcPr>
          <w:p w:rsidRPr="009C48DA" w:rsidR="00661519" w:rsidP="00661519" w:rsidRDefault="00661519" w14:paraId="0ADB3C7A" w14:textId="77777777">
            <w:pPr>
              <w:pBdr>
                <w:bottom w:val="single" w:color="auto" w:sz="12" w:space="1"/>
              </w:pBdr>
              <w:spacing w:before="60"/>
              <w:jc w:val="right"/>
              <w:rPr>
                <w:sz w:val="16"/>
                <w:szCs w:val="16"/>
                <w:lang w:val="en-GB"/>
              </w:rPr>
            </w:pPr>
            <w:r w:rsidRPr="009C48DA">
              <w:rPr>
                <w:sz w:val="16"/>
                <w:szCs w:val="16"/>
                <w:lang w:val="en-GB"/>
              </w:rPr>
              <w:t>88</w:t>
            </w:r>
          </w:p>
        </w:tc>
        <w:tc>
          <w:tcPr>
            <w:tcW w:w="1276" w:type="dxa"/>
          </w:tcPr>
          <w:p w:rsidRPr="009C48DA" w:rsidR="00661519" w:rsidP="00661519" w:rsidRDefault="00661519" w14:paraId="17ABB870" w14:textId="77777777">
            <w:pPr>
              <w:pBdr>
                <w:bottom w:val="single" w:color="auto" w:sz="12" w:space="1"/>
              </w:pBdr>
              <w:spacing w:before="60"/>
              <w:jc w:val="right"/>
              <w:rPr>
                <w:sz w:val="16"/>
                <w:szCs w:val="16"/>
                <w:lang w:val="en-GB"/>
              </w:rPr>
            </w:pPr>
            <w:r w:rsidRPr="009C48DA">
              <w:rPr>
                <w:sz w:val="16"/>
                <w:szCs w:val="16"/>
                <w:lang w:val="en-GB"/>
              </w:rPr>
              <w:t>-</w:t>
            </w:r>
          </w:p>
        </w:tc>
        <w:tc>
          <w:tcPr>
            <w:tcW w:w="1276" w:type="dxa"/>
          </w:tcPr>
          <w:p w:rsidRPr="009C48DA" w:rsidR="00661519" w:rsidP="00661519" w:rsidRDefault="00661519" w14:paraId="31CF694B" w14:textId="77777777">
            <w:pPr>
              <w:pBdr>
                <w:bottom w:val="single" w:color="auto" w:sz="12" w:space="1"/>
              </w:pBdr>
              <w:spacing w:before="60"/>
              <w:jc w:val="right"/>
              <w:rPr>
                <w:sz w:val="16"/>
                <w:szCs w:val="16"/>
                <w:lang w:val="en-GB"/>
              </w:rPr>
            </w:pPr>
            <w:r w:rsidRPr="009C48DA">
              <w:rPr>
                <w:sz w:val="16"/>
                <w:szCs w:val="16"/>
                <w:lang w:val="en-GB"/>
              </w:rPr>
              <w:t>88</w:t>
            </w:r>
          </w:p>
        </w:tc>
      </w:tr>
      <w:tr w:rsidRPr="009C48DA" w:rsidR="00661519" w:rsidTr="00661519" w14:paraId="6FD05E88" w14:textId="77777777">
        <w:tc>
          <w:tcPr>
            <w:tcW w:w="3936" w:type="dxa"/>
          </w:tcPr>
          <w:p w:rsidRPr="009C48DA" w:rsidR="00661519" w:rsidP="00661519" w:rsidRDefault="00661519" w14:paraId="19A74905"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At 31 December 2019</w:t>
            </w:r>
          </w:p>
        </w:tc>
        <w:tc>
          <w:tcPr>
            <w:tcW w:w="1275" w:type="dxa"/>
          </w:tcPr>
          <w:p w:rsidRPr="009C48DA" w:rsidR="00661519" w:rsidP="00661519" w:rsidRDefault="00661519" w14:paraId="41A909AD" w14:textId="77777777">
            <w:pPr>
              <w:pBdr>
                <w:bottom w:val="single" w:color="auto" w:sz="12" w:space="1"/>
              </w:pBdr>
              <w:spacing w:before="60"/>
              <w:jc w:val="right"/>
              <w:rPr>
                <w:sz w:val="16"/>
                <w:szCs w:val="16"/>
                <w:lang w:val="en-GB"/>
              </w:rPr>
            </w:pPr>
            <w:r w:rsidRPr="009C48DA">
              <w:rPr>
                <w:sz w:val="16"/>
                <w:szCs w:val="16"/>
                <w:lang w:val="en-GB"/>
              </w:rPr>
              <w:t>(11,305)</w:t>
            </w:r>
          </w:p>
        </w:tc>
        <w:tc>
          <w:tcPr>
            <w:tcW w:w="1276" w:type="dxa"/>
          </w:tcPr>
          <w:p w:rsidRPr="009C48DA" w:rsidR="00661519" w:rsidP="00661519" w:rsidRDefault="00661519" w14:paraId="0CE508EB" w14:textId="77777777">
            <w:pPr>
              <w:pBdr>
                <w:bottom w:val="single" w:color="auto" w:sz="12" w:space="1"/>
              </w:pBdr>
              <w:spacing w:before="60"/>
              <w:jc w:val="right"/>
              <w:rPr>
                <w:sz w:val="16"/>
                <w:szCs w:val="16"/>
                <w:lang w:val="en-GB"/>
              </w:rPr>
            </w:pPr>
            <w:r w:rsidRPr="009C48DA">
              <w:rPr>
                <w:sz w:val="16"/>
                <w:szCs w:val="16"/>
                <w:lang w:val="en-GB"/>
              </w:rPr>
              <w:t>(3,355)</w:t>
            </w:r>
          </w:p>
        </w:tc>
        <w:tc>
          <w:tcPr>
            <w:tcW w:w="1276" w:type="dxa"/>
          </w:tcPr>
          <w:p w:rsidRPr="009C48DA" w:rsidR="00661519" w:rsidP="00661519" w:rsidRDefault="00661519" w14:paraId="4993D565" w14:textId="77777777">
            <w:pPr>
              <w:pBdr>
                <w:bottom w:val="single" w:color="auto" w:sz="12" w:space="1"/>
              </w:pBdr>
              <w:spacing w:before="60"/>
              <w:jc w:val="right"/>
              <w:rPr>
                <w:sz w:val="16"/>
                <w:szCs w:val="16"/>
                <w:lang w:val="en-GB"/>
              </w:rPr>
            </w:pPr>
            <w:r w:rsidRPr="009C48DA">
              <w:rPr>
                <w:sz w:val="16"/>
                <w:szCs w:val="16"/>
                <w:lang w:val="en-GB"/>
              </w:rPr>
              <w:t>(5,474)</w:t>
            </w:r>
          </w:p>
        </w:tc>
        <w:tc>
          <w:tcPr>
            <w:tcW w:w="1276" w:type="dxa"/>
          </w:tcPr>
          <w:p w:rsidRPr="009C48DA" w:rsidR="00661519" w:rsidP="00661519" w:rsidRDefault="00661519" w14:paraId="476E5C1B" w14:textId="77777777">
            <w:pPr>
              <w:pBdr>
                <w:bottom w:val="single" w:color="auto" w:sz="12" w:space="1"/>
              </w:pBdr>
              <w:spacing w:before="60"/>
              <w:jc w:val="right"/>
              <w:rPr>
                <w:sz w:val="16"/>
                <w:szCs w:val="16"/>
                <w:lang w:val="en-GB"/>
              </w:rPr>
            </w:pPr>
            <w:r w:rsidRPr="009C48DA">
              <w:rPr>
                <w:sz w:val="16"/>
                <w:szCs w:val="16"/>
                <w:lang w:val="en-GB"/>
              </w:rPr>
              <w:t>(20,134)</w:t>
            </w:r>
          </w:p>
        </w:tc>
      </w:tr>
      <w:tr w:rsidRPr="009C48DA" w:rsidR="00661519" w:rsidTr="00661519" w14:paraId="4BF2AAC3" w14:textId="77777777">
        <w:tc>
          <w:tcPr>
            <w:tcW w:w="3936" w:type="dxa"/>
            <w:vAlign w:val="bottom"/>
          </w:tcPr>
          <w:p w:rsidRPr="009C48DA" w:rsidR="00661519" w:rsidP="00661519" w:rsidRDefault="00661519" w14:paraId="27C788BC"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As at 31 December 2019</w:t>
            </w:r>
          </w:p>
        </w:tc>
        <w:tc>
          <w:tcPr>
            <w:tcW w:w="1275" w:type="dxa"/>
          </w:tcPr>
          <w:p w:rsidRPr="009C48DA" w:rsidR="00661519" w:rsidP="00661519" w:rsidRDefault="00661519" w14:paraId="2CD55B8E" w14:textId="77777777">
            <w:pPr>
              <w:pBdr>
                <w:bottom w:val="double" w:color="auto" w:sz="12" w:space="1"/>
              </w:pBdr>
              <w:spacing w:before="60"/>
              <w:jc w:val="right"/>
              <w:rPr>
                <w:sz w:val="16"/>
                <w:szCs w:val="16"/>
                <w:lang w:val="en-GB"/>
              </w:rPr>
            </w:pPr>
            <w:r w:rsidRPr="009C48DA">
              <w:rPr>
                <w:sz w:val="16"/>
                <w:szCs w:val="16"/>
                <w:lang w:val="en-GB"/>
              </w:rPr>
              <w:t>39,134</w:t>
            </w:r>
          </w:p>
        </w:tc>
        <w:tc>
          <w:tcPr>
            <w:tcW w:w="1276" w:type="dxa"/>
          </w:tcPr>
          <w:p w:rsidRPr="009C48DA" w:rsidR="00661519" w:rsidP="00661519" w:rsidRDefault="00661519" w14:paraId="10262676" w14:textId="77777777">
            <w:pPr>
              <w:pBdr>
                <w:bottom w:val="double" w:color="auto" w:sz="12" w:space="1"/>
              </w:pBdr>
              <w:spacing w:before="60"/>
              <w:jc w:val="right"/>
              <w:rPr>
                <w:sz w:val="16"/>
                <w:szCs w:val="16"/>
                <w:lang w:val="en-GB"/>
              </w:rPr>
            </w:pPr>
            <w:r w:rsidRPr="009C48DA">
              <w:rPr>
                <w:sz w:val="16"/>
                <w:szCs w:val="16"/>
                <w:lang w:val="en-GB"/>
              </w:rPr>
              <w:t>5,315</w:t>
            </w:r>
          </w:p>
        </w:tc>
        <w:tc>
          <w:tcPr>
            <w:tcW w:w="1276" w:type="dxa"/>
          </w:tcPr>
          <w:p w:rsidRPr="009C48DA" w:rsidR="00661519" w:rsidP="00661519" w:rsidRDefault="00661519" w14:paraId="229E4879" w14:textId="77777777">
            <w:pPr>
              <w:pBdr>
                <w:bottom w:val="double" w:color="auto" w:sz="12" w:space="1"/>
              </w:pBdr>
              <w:spacing w:before="60"/>
              <w:jc w:val="right"/>
              <w:rPr>
                <w:sz w:val="16"/>
                <w:szCs w:val="16"/>
                <w:lang w:val="en-GB"/>
              </w:rPr>
            </w:pPr>
            <w:r w:rsidRPr="009C48DA">
              <w:rPr>
                <w:sz w:val="16"/>
                <w:szCs w:val="16"/>
                <w:lang w:val="en-GB"/>
              </w:rPr>
              <w:t>2,311</w:t>
            </w:r>
          </w:p>
        </w:tc>
        <w:tc>
          <w:tcPr>
            <w:tcW w:w="1276" w:type="dxa"/>
          </w:tcPr>
          <w:p w:rsidRPr="009C48DA" w:rsidR="00661519" w:rsidP="00661519" w:rsidRDefault="00661519" w14:paraId="2D4F0800" w14:textId="77777777">
            <w:pPr>
              <w:pBdr>
                <w:bottom w:val="double" w:color="auto" w:sz="12" w:space="1"/>
              </w:pBdr>
              <w:spacing w:before="60"/>
              <w:jc w:val="right"/>
              <w:rPr>
                <w:sz w:val="16"/>
                <w:szCs w:val="16"/>
                <w:lang w:val="en-GB"/>
              </w:rPr>
            </w:pPr>
            <w:r w:rsidRPr="009C48DA">
              <w:rPr>
                <w:sz w:val="16"/>
                <w:szCs w:val="16"/>
                <w:lang w:val="en-GB"/>
              </w:rPr>
              <w:t>46,760</w:t>
            </w:r>
          </w:p>
        </w:tc>
      </w:tr>
    </w:tbl>
    <w:p w:rsidRPr="009C48DA" w:rsidR="00661519" w:rsidP="00661519" w:rsidRDefault="00661519" w14:paraId="378DCE9C" w14:textId="77777777">
      <w:pPr>
        <w:textAlignment w:val="baseline"/>
        <w:rPr>
          <w:rFonts w:eastAsia="Times New Roman" w:cs="Times New Roman"/>
          <w:b/>
          <w:color w:val="000000"/>
          <w:sz w:val="16"/>
          <w:szCs w:val="22"/>
          <w:lang w:val="en-GB"/>
        </w:rPr>
      </w:pPr>
    </w:p>
    <w:p w:rsidRPr="009C48DA" w:rsidR="00661519" w:rsidP="00661519" w:rsidRDefault="00661519" w14:paraId="563C135B"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br w:type="page"/>
      </w: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36"/>
        <w:gridCol w:w="1275"/>
        <w:gridCol w:w="1276"/>
        <w:gridCol w:w="1276"/>
        <w:gridCol w:w="1276"/>
      </w:tblGrid>
      <w:tr w:rsidRPr="009C48DA" w:rsidR="00661519" w:rsidTr="00661519" w14:paraId="3C9CCB6B" w14:textId="77777777">
        <w:tc>
          <w:tcPr>
            <w:tcW w:w="3936" w:type="dxa"/>
            <w:vAlign w:val="bottom"/>
          </w:tcPr>
          <w:p w:rsidRPr="009C48DA" w:rsidR="00661519" w:rsidP="00661519" w:rsidRDefault="00661519" w14:paraId="59BF7E59" w14:textId="77777777">
            <w:pPr>
              <w:jc w:val="both"/>
              <w:textAlignment w:val="baseline"/>
              <w:rPr>
                <w:rFonts w:eastAsia="Times New Roman"/>
                <w:b/>
                <w:color w:val="000000"/>
                <w:sz w:val="16"/>
                <w:szCs w:val="16"/>
                <w:lang w:val="en-GB"/>
              </w:rPr>
            </w:pPr>
          </w:p>
        </w:tc>
        <w:tc>
          <w:tcPr>
            <w:tcW w:w="1275" w:type="dxa"/>
            <w:vAlign w:val="bottom"/>
          </w:tcPr>
          <w:p w:rsidRPr="009C48DA" w:rsidR="00661519" w:rsidP="00661519" w:rsidRDefault="00661519" w14:paraId="225EF294"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Right of use</w:t>
            </w:r>
          </w:p>
          <w:p w:rsidRPr="009C48DA" w:rsidR="00661519" w:rsidP="00661519" w:rsidRDefault="00661519" w14:paraId="2F8CCDDD"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assets</w:t>
            </w:r>
          </w:p>
          <w:p w:rsidRPr="009C48DA" w:rsidR="00661519" w:rsidP="00661519" w:rsidRDefault="00661519" w14:paraId="47C276AB" w14:textId="77777777">
            <w:pPr>
              <w:jc w:val="center"/>
              <w:textAlignment w:val="baseline"/>
              <w:rPr>
                <w:rFonts w:eastAsia="Times New Roman"/>
                <w:b/>
                <w:color w:val="000000"/>
                <w:sz w:val="16"/>
                <w:szCs w:val="16"/>
                <w:lang w:val="en-GB"/>
              </w:rPr>
            </w:pPr>
            <w:r w:rsidRPr="009C48DA">
              <w:rPr>
                <w:rFonts w:eastAsia="Times New Roman"/>
                <w:b/>
                <w:color w:val="000000"/>
                <w:sz w:val="16"/>
                <w:lang w:val="en-GB"/>
              </w:rPr>
              <w:t>£ 000</w:t>
            </w:r>
          </w:p>
        </w:tc>
        <w:tc>
          <w:tcPr>
            <w:tcW w:w="1276" w:type="dxa"/>
            <w:vAlign w:val="bottom"/>
          </w:tcPr>
          <w:p w:rsidRPr="009C48DA" w:rsidR="00661519" w:rsidP="00661519" w:rsidRDefault="00661519" w14:paraId="0A4F60BB"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xml:space="preserve">Leasehold </w:t>
            </w:r>
          </w:p>
          <w:p w:rsidRPr="009C48DA" w:rsidR="00661519" w:rsidP="00661519" w:rsidRDefault="00661519" w14:paraId="223E9AE9"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improvements</w:t>
            </w:r>
          </w:p>
          <w:p w:rsidRPr="009C48DA" w:rsidR="00661519" w:rsidP="00661519" w:rsidRDefault="00661519" w14:paraId="56C9A03B" w14:textId="77777777">
            <w:pPr>
              <w:jc w:val="center"/>
              <w:textAlignment w:val="baseline"/>
              <w:rPr>
                <w:rFonts w:eastAsia="Times New Roman"/>
                <w:b/>
                <w:color w:val="000000"/>
                <w:sz w:val="16"/>
                <w:szCs w:val="16"/>
                <w:lang w:val="en-GB"/>
              </w:rPr>
            </w:pPr>
            <w:r w:rsidRPr="009C48DA">
              <w:rPr>
                <w:rFonts w:eastAsia="Times New Roman"/>
                <w:b/>
                <w:color w:val="000000"/>
                <w:sz w:val="16"/>
                <w:lang w:val="en-GB"/>
              </w:rPr>
              <w:t>£ 000</w:t>
            </w:r>
          </w:p>
        </w:tc>
        <w:tc>
          <w:tcPr>
            <w:tcW w:w="1276" w:type="dxa"/>
            <w:vAlign w:val="bottom"/>
          </w:tcPr>
          <w:p w:rsidRPr="009C48DA" w:rsidR="00661519" w:rsidP="00661519" w:rsidRDefault="00661519" w14:paraId="1014CB22"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xml:space="preserve">Computers, </w:t>
            </w:r>
          </w:p>
          <w:p w:rsidRPr="009C48DA" w:rsidR="00661519" w:rsidP="00661519" w:rsidRDefault="00661519" w14:paraId="08C186B6"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xml:space="preserve">furniture and </w:t>
            </w:r>
          </w:p>
          <w:p w:rsidRPr="009C48DA" w:rsidR="00661519" w:rsidP="00661519" w:rsidRDefault="00661519" w14:paraId="03599FCE"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other</w:t>
            </w:r>
          </w:p>
          <w:p w:rsidRPr="009C48DA" w:rsidR="00661519" w:rsidP="00661519" w:rsidRDefault="00661519" w14:paraId="20545158" w14:textId="77777777">
            <w:pPr>
              <w:jc w:val="center"/>
              <w:textAlignment w:val="baseline"/>
              <w:rPr>
                <w:rFonts w:eastAsia="Times New Roman"/>
                <w:b/>
                <w:color w:val="000000"/>
                <w:sz w:val="16"/>
                <w:szCs w:val="16"/>
                <w:lang w:val="en-GB"/>
              </w:rPr>
            </w:pPr>
            <w:r w:rsidRPr="009C48DA">
              <w:rPr>
                <w:rFonts w:eastAsia="Times New Roman"/>
                <w:b/>
                <w:color w:val="000000"/>
                <w:sz w:val="16"/>
                <w:lang w:val="en-GB"/>
              </w:rPr>
              <w:t>£ 000</w:t>
            </w:r>
          </w:p>
        </w:tc>
        <w:tc>
          <w:tcPr>
            <w:tcW w:w="1276" w:type="dxa"/>
            <w:vAlign w:val="bottom"/>
          </w:tcPr>
          <w:p w:rsidRPr="009C48DA" w:rsidR="00661519" w:rsidP="00661519" w:rsidRDefault="00661519" w14:paraId="5DC15696"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Total</w:t>
            </w:r>
          </w:p>
          <w:p w:rsidRPr="009C48DA" w:rsidR="00661519" w:rsidP="00661519" w:rsidRDefault="00661519" w14:paraId="5D23AC7B"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£ 000</w:t>
            </w:r>
          </w:p>
        </w:tc>
      </w:tr>
      <w:tr w:rsidRPr="009C48DA" w:rsidR="00661519" w:rsidTr="00661519" w14:paraId="13E5077D" w14:textId="77777777">
        <w:tc>
          <w:tcPr>
            <w:tcW w:w="3936" w:type="dxa"/>
            <w:vAlign w:val="bottom"/>
          </w:tcPr>
          <w:p w:rsidRPr="009C48DA" w:rsidR="00661519" w:rsidP="00661519" w:rsidRDefault="00661519" w14:paraId="66348E74"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Balance as at 1 January 2020</w:t>
            </w:r>
          </w:p>
        </w:tc>
        <w:tc>
          <w:tcPr>
            <w:tcW w:w="1275" w:type="dxa"/>
            <w:vAlign w:val="center"/>
          </w:tcPr>
          <w:p w:rsidRPr="009C48DA" w:rsidR="00661519" w:rsidP="00661519" w:rsidRDefault="00661519" w14:paraId="0949D608" w14:textId="77777777">
            <w:pPr>
              <w:spacing w:before="60"/>
              <w:jc w:val="right"/>
              <w:rPr>
                <w:sz w:val="16"/>
                <w:szCs w:val="16"/>
                <w:lang w:val="en-GB"/>
              </w:rPr>
            </w:pPr>
            <w:r w:rsidRPr="009C48DA">
              <w:rPr>
                <w:rFonts w:eastAsia="Times New Roman"/>
                <w:color w:val="000000"/>
                <w:sz w:val="16"/>
                <w:lang w:val="en-GB"/>
              </w:rPr>
              <w:t>50,439</w:t>
            </w:r>
          </w:p>
        </w:tc>
        <w:tc>
          <w:tcPr>
            <w:tcW w:w="1276" w:type="dxa"/>
            <w:vAlign w:val="center"/>
          </w:tcPr>
          <w:p w:rsidRPr="009C48DA" w:rsidR="00661519" w:rsidP="00661519" w:rsidRDefault="00661519" w14:paraId="70A494DF" w14:textId="77777777">
            <w:pPr>
              <w:spacing w:before="60"/>
              <w:jc w:val="right"/>
              <w:rPr>
                <w:sz w:val="16"/>
                <w:szCs w:val="16"/>
                <w:lang w:val="en-GB"/>
              </w:rPr>
            </w:pPr>
            <w:r w:rsidRPr="009C48DA">
              <w:rPr>
                <w:rFonts w:eastAsia="Times New Roman"/>
                <w:color w:val="000000"/>
                <w:sz w:val="16"/>
                <w:lang w:val="en-GB"/>
              </w:rPr>
              <w:t>8,670</w:t>
            </w:r>
          </w:p>
        </w:tc>
        <w:tc>
          <w:tcPr>
            <w:tcW w:w="1276" w:type="dxa"/>
            <w:vAlign w:val="center"/>
          </w:tcPr>
          <w:p w:rsidRPr="009C48DA" w:rsidR="00661519" w:rsidP="00661519" w:rsidRDefault="00661519" w14:paraId="74F0100A" w14:textId="77777777">
            <w:pPr>
              <w:spacing w:before="60"/>
              <w:jc w:val="right"/>
              <w:rPr>
                <w:sz w:val="16"/>
                <w:szCs w:val="16"/>
                <w:lang w:val="en-GB"/>
              </w:rPr>
            </w:pPr>
            <w:r w:rsidRPr="009C48DA">
              <w:rPr>
                <w:rFonts w:eastAsia="Times New Roman"/>
                <w:color w:val="000000"/>
                <w:sz w:val="16"/>
                <w:lang w:val="en-GB"/>
              </w:rPr>
              <w:t>7,785</w:t>
            </w:r>
          </w:p>
        </w:tc>
        <w:tc>
          <w:tcPr>
            <w:tcW w:w="1276" w:type="dxa"/>
            <w:vAlign w:val="center"/>
          </w:tcPr>
          <w:p w:rsidRPr="009C48DA" w:rsidR="00661519" w:rsidP="00661519" w:rsidRDefault="00661519" w14:paraId="38A45887" w14:textId="77777777">
            <w:pPr>
              <w:spacing w:before="60"/>
              <w:jc w:val="right"/>
              <w:rPr>
                <w:sz w:val="16"/>
                <w:szCs w:val="16"/>
                <w:lang w:val="en-GB"/>
              </w:rPr>
            </w:pPr>
            <w:r w:rsidRPr="009C48DA">
              <w:rPr>
                <w:rFonts w:eastAsia="Times New Roman"/>
                <w:color w:val="000000"/>
                <w:sz w:val="16"/>
                <w:lang w:val="en-GB"/>
              </w:rPr>
              <w:t>66,894</w:t>
            </w:r>
          </w:p>
        </w:tc>
      </w:tr>
      <w:tr w:rsidRPr="009C48DA" w:rsidR="00661519" w:rsidTr="00661519" w14:paraId="633FBF10" w14:textId="77777777">
        <w:tc>
          <w:tcPr>
            <w:tcW w:w="3936" w:type="dxa"/>
            <w:vAlign w:val="bottom"/>
          </w:tcPr>
          <w:p w:rsidRPr="009C48DA" w:rsidR="00661519" w:rsidP="00661519" w:rsidRDefault="00661519" w14:paraId="545D1515"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Foreign exchange</w:t>
            </w:r>
          </w:p>
        </w:tc>
        <w:tc>
          <w:tcPr>
            <w:tcW w:w="1275" w:type="dxa"/>
            <w:vAlign w:val="center"/>
          </w:tcPr>
          <w:p w:rsidRPr="009C48DA" w:rsidR="00661519" w:rsidP="00661519" w:rsidRDefault="00661519" w14:paraId="11FEBC32" w14:textId="77777777">
            <w:pPr>
              <w:spacing w:before="60"/>
              <w:jc w:val="right"/>
              <w:rPr>
                <w:sz w:val="16"/>
                <w:szCs w:val="16"/>
                <w:lang w:val="en-GB"/>
              </w:rPr>
            </w:pPr>
            <w:r w:rsidRPr="009C48DA">
              <w:rPr>
                <w:rFonts w:eastAsia="Times New Roman"/>
                <w:color w:val="000000"/>
                <w:sz w:val="16"/>
                <w:lang w:val="en-GB"/>
              </w:rPr>
              <w:t>-</w:t>
            </w:r>
          </w:p>
        </w:tc>
        <w:tc>
          <w:tcPr>
            <w:tcW w:w="1276" w:type="dxa"/>
            <w:vAlign w:val="center"/>
          </w:tcPr>
          <w:p w:rsidRPr="009C48DA" w:rsidR="00661519" w:rsidP="00661519" w:rsidRDefault="00661519" w14:paraId="74867D6A" w14:textId="77777777">
            <w:pPr>
              <w:spacing w:before="60"/>
              <w:jc w:val="right"/>
              <w:rPr>
                <w:sz w:val="16"/>
                <w:szCs w:val="16"/>
                <w:lang w:val="en-GB"/>
              </w:rPr>
            </w:pPr>
            <w:r w:rsidRPr="009C48DA">
              <w:rPr>
                <w:rFonts w:eastAsia="Times New Roman"/>
                <w:color w:val="000000"/>
                <w:sz w:val="16"/>
                <w:lang w:val="en-GB"/>
              </w:rPr>
              <w:t>82</w:t>
            </w:r>
          </w:p>
        </w:tc>
        <w:tc>
          <w:tcPr>
            <w:tcW w:w="1276" w:type="dxa"/>
            <w:vAlign w:val="center"/>
          </w:tcPr>
          <w:p w:rsidRPr="009C48DA" w:rsidR="00661519" w:rsidP="00661519" w:rsidRDefault="00661519" w14:paraId="66862EA3" w14:textId="77777777">
            <w:pPr>
              <w:spacing w:before="60"/>
              <w:jc w:val="right"/>
              <w:rPr>
                <w:sz w:val="16"/>
                <w:szCs w:val="16"/>
                <w:lang w:val="en-GB"/>
              </w:rPr>
            </w:pPr>
            <w:r w:rsidRPr="009C48DA">
              <w:rPr>
                <w:rFonts w:eastAsia="Times New Roman"/>
                <w:color w:val="000000"/>
                <w:sz w:val="16"/>
                <w:lang w:val="en-GB"/>
              </w:rPr>
              <w:t>91</w:t>
            </w:r>
          </w:p>
        </w:tc>
        <w:tc>
          <w:tcPr>
            <w:tcW w:w="1276" w:type="dxa"/>
            <w:vAlign w:val="center"/>
          </w:tcPr>
          <w:p w:rsidRPr="009C48DA" w:rsidR="00661519" w:rsidP="00661519" w:rsidRDefault="00661519" w14:paraId="44B8090B" w14:textId="77777777">
            <w:pPr>
              <w:spacing w:before="60"/>
              <w:jc w:val="right"/>
              <w:rPr>
                <w:sz w:val="16"/>
                <w:szCs w:val="16"/>
                <w:lang w:val="en-GB"/>
              </w:rPr>
            </w:pPr>
            <w:r w:rsidRPr="009C48DA">
              <w:rPr>
                <w:rFonts w:eastAsia="Times New Roman"/>
                <w:color w:val="000000"/>
                <w:sz w:val="16"/>
                <w:lang w:val="en-GB"/>
              </w:rPr>
              <w:t>173</w:t>
            </w:r>
          </w:p>
        </w:tc>
      </w:tr>
      <w:tr w:rsidRPr="009C48DA" w:rsidR="00661519" w:rsidTr="00661519" w14:paraId="72EB553F" w14:textId="77777777">
        <w:tc>
          <w:tcPr>
            <w:tcW w:w="3936" w:type="dxa"/>
            <w:vAlign w:val="center"/>
          </w:tcPr>
          <w:p w:rsidRPr="009C48DA" w:rsidR="00661519" w:rsidP="00661519" w:rsidRDefault="00661519" w14:paraId="1F91C160"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Additions</w:t>
            </w:r>
          </w:p>
        </w:tc>
        <w:tc>
          <w:tcPr>
            <w:tcW w:w="1275" w:type="dxa"/>
          </w:tcPr>
          <w:p w:rsidRPr="009C48DA" w:rsidR="00661519" w:rsidP="00661519" w:rsidRDefault="00661519" w14:paraId="35B43D51" w14:textId="77777777">
            <w:pPr>
              <w:spacing w:before="60"/>
              <w:jc w:val="right"/>
              <w:rPr>
                <w:sz w:val="16"/>
                <w:szCs w:val="16"/>
                <w:lang w:val="en-GB"/>
              </w:rPr>
            </w:pPr>
            <w:r w:rsidRPr="009C48DA">
              <w:rPr>
                <w:sz w:val="16"/>
                <w:szCs w:val="16"/>
                <w:lang w:val="en-GB"/>
              </w:rPr>
              <w:t>-</w:t>
            </w:r>
          </w:p>
        </w:tc>
        <w:tc>
          <w:tcPr>
            <w:tcW w:w="1276" w:type="dxa"/>
          </w:tcPr>
          <w:p w:rsidRPr="009C48DA" w:rsidR="00661519" w:rsidP="00661519" w:rsidRDefault="00661519" w14:paraId="5EA1242A" w14:textId="77777777">
            <w:pPr>
              <w:spacing w:before="60"/>
              <w:jc w:val="right"/>
              <w:rPr>
                <w:sz w:val="16"/>
                <w:szCs w:val="16"/>
                <w:lang w:val="en-GB"/>
              </w:rPr>
            </w:pPr>
            <w:r w:rsidRPr="009C48DA">
              <w:rPr>
                <w:sz w:val="16"/>
                <w:szCs w:val="16"/>
                <w:lang w:val="en-GB"/>
              </w:rPr>
              <w:t>1,149</w:t>
            </w:r>
          </w:p>
        </w:tc>
        <w:tc>
          <w:tcPr>
            <w:tcW w:w="1276" w:type="dxa"/>
          </w:tcPr>
          <w:p w:rsidRPr="009C48DA" w:rsidR="00661519" w:rsidP="00661519" w:rsidRDefault="00661519" w14:paraId="66F553FE" w14:textId="77777777">
            <w:pPr>
              <w:spacing w:before="60"/>
              <w:jc w:val="right"/>
              <w:rPr>
                <w:sz w:val="16"/>
                <w:szCs w:val="16"/>
                <w:lang w:val="en-GB"/>
              </w:rPr>
            </w:pPr>
            <w:r w:rsidRPr="009C48DA">
              <w:rPr>
                <w:sz w:val="16"/>
                <w:szCs w:val="16"/>
                <w:lang w:val="en-GB"/>
              </w:rPr>
              <w:t>2,086</w:t>
            </w:r>
          </w:p>
        </w:tc>
        <w:tc>
          <w:tcPr>
            <w:tcW w:w="1276" w:type="dxa"/>
          </w:tcPr>
          <w:p w:rsidRPr="009C48DA" w:rsidR="00661519" w:rsidP="00661519" w:rsidRDefault="00661519" w14:paraId="6CA43753" w14:textId="77777777">
            <w:pPr>
              <w:spacing w:before="60"/>
              <w:jc w:val="right"/>
              <w:rPr>
                <w:sz w:val="16"/>
                <w:szCs w:val="16"/>
                <w:lang w:val="en-GB"/>
              </w:rPr>
            </w:pPr>
            <w:r w:rsidRPr="009C48DA">
              <w:rPr>
                <w:sz w:val="16"/>
                <w:szCs w:val="16"/>
                <w:lang w:val="en-GB"/>
              </w:rPr>
              <w:t>3,235</w:t>
            </w:r>
          </w:p>
        </w:tc>
      </w:tr>
      <w:tr w:rsidRPr="009C48DA" w:rsidR="00661519" w:rsidTr="00661519" w14:paraId="280BBDCF" w14:textId="77777777">
        <w:tc>
          <w:tcPr>
            <w:tcW w:w="3936" w:type="dxa"/>
            <w:vAlign w:val="center"/>
          </w:tcPr>
          <w:p w:rsidRPr="009C48DA" w:rsidR="00661519" w:rsidP="00661519" w:rsidRDefault="00661519" w14:paraId="493259E2"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Disposals</w:t>
            </w:r>
          </w:p>
        </w:tc>
        <w:tc>
          <w:tcPr>
            <w:tcW w:w="1275" w:type="dxa"/>
            <w:vAlign w:val="center"/>
          </w:tcPr>
          <w:p w:rsidRPr="009C48DA" w:rsidR="00661519" w:rsidP="00661519" w:rsidRDefault="00661519" w14:paraId="2BAF00A7" w14:textId="77777777">
            <w:pPr>
              <w:pBdr>
                <w:bottom w:val="single" w:color="auto" w:sz="12" w:space="1"/>
              </w:pBdr>
              <w:spacing w:before="60"/>
              <w:jc w:val="right"/>
              <w:rPr>
                <w:sz w:val="16"/>
                <w:szCs w:val="16"/>
                <w:lang w:val="en-GB"/>
              </w:rPr>
            </w:pPr>
            <w:r w:rsidRPr="009C48DA">
              <w:rPr>
                <w:rFonts w:eastAsia="Times New Roman"/>
                <w:color w:val="000000"/>
                <w:sz w:val="16"/>
                <w:lang w:val="en-GB"/>
              </w:rPr>
              <w:t>(261)</w:t>
            </w:r>
          </w:p>
        </w:tc>
        <w:tc>
          <w:tcPr>
            <w:tcW w:w="1276" w:type="dxa"/>
            <w:vAlign w:val="center"/>
          </w:tcPr>
          <w:p w:rsidRPr="009C48DA" w:rsidR="00661519" w:rsidP="00661519" w:rsidRDefault="00661519" w14:paraId="73B8E06E" w14:textId="77777777">
            <w:pPr>
              <w:pBdr>
                <w:bottom w:val="single" w:color="auto" w:sz="12" w:space="1"/>
              </w:pBdr>
              <w:spacing w:before="60"/>
              <w:jc w:val="right"/>
              <w:rPr>
                <w:sz w:val="16"/>
                <w:szCs w:val="16"/>
                <w:lang w:val="en-GB"/>
              </w:rPr>
            </w:pPr>
            <w:r w:rsidRPr="009C48DA">
              <w:rPr>
                <w:rFonts w:eastAsia="Times New Roman"/>
                <w:color w:val="000000"/>
                <w:sz w:val="16"/>
                <w:lang w:val="en-GB"/>
              </w:rPr>
              <w:t>-</w:t>
            </w:r>
          </w:p>
        </w:tc>
        <w:tc>
          <w:tcPr>
            <w:tcW w:w="1276" w:type="dxa"/>
            <w:vAlign w:val="center"/>
          </w:tcPr>
          <w:p w:rsidRPr="009C48DA" w:rsidR="00661519" w:rsidP="00661519" w:rsidRDefault="00661519" w14:paraId="1686CD08" w14:textId="77777777">
            <w:pPr>
              <w:pBdr>
                <w:bottom w:val="single" w:color="auto" w:sz="12" w:space="1"/>
              </w:pBdr>
              <w:spacing w:before="60"/>
              <w:jc w:val="right"/>
              <w:rPr>
                <w:sz w:val="16"/>
                <w:szCs w:val="16"/>
                <w:lang w:val="en-GB"/>
              </w:rPr>
            </w:pPr>
            <w:r w:rsidRPr="009C48DA">
              <w:rPr>
                <w:rFonts w:eastAsia="Times New Roman"/>
                <w:color w:val="000000"/>
                <w:sz w:val="16"/>
                <w:lang w:val="en-GB"/>
              </w:rPr>
              <w:t>(12)</w:t>
            </w:r>
          </w:p>
        </w:tc>
        <w:tc>
          <w:tcPr>
            <w:tcW w:w="1276" w:type="dxa"/>
            <w:vAlign w:val="center"/>
          </w:tcPr>
          <w:p w:rsidRPr="009C48DA" w:rsidR="00661519" w:rsidP="00661519" w:rsidRDefault="00661519" w14:paraId="4C746321" w14:textId="77777777">
            <w:pPr>
              <w:pBdr>
                <w:bottom w:val="single" w:color="auto" w:sz="12" w:space="1"/>
              </w:pBdr>
              <w:spacing w:before="60"/>
              <w:jc w:val="right"/>
              <w:rPr>
                <w:sz w:val="16"/>
                <w:szCs w:val="16"/>
                <w:lang w:val="en-GB"/>
              </w:rPr>
            </w:pPr>
            <w:r w:rsidRPr="009C48DA">
              <w:rPr>
                <w:rFonts w:eastAsia="Times New Roman"/>
                <w:color w:val="000000"/>
                <w:sz w:val="16"/>
                <w:lang w:val="en-GB"/>
              </w:rPr>
              <w:t>(273)</w:t>
            </w:r>
          </w:p>
        </w:tc>
      </w:tr>
      <w:tr w:rsidRPr="009C48DA" w:rsidR="00661519" w:rsidTr="00661519" w14:paraId="14FB04AE" w14:textId="77777777">
        <w:tc>
          <w:tcPr>
            <w:tcW w:w="3936" w:type="dxa"/>
            <w:vAlign w:val="bottom"/>
          </w:tcPr>
          <w:p w:rsidRPr="009C48DA" w:rsidR="00661519" w:rsidP="00661519" w:rsidRDefault="00661519" w14:paraId="657D795A" w14:textId="77777777">
            <w:pPr>
              <w:spacing w:before="60"/>
              <w:jc w:val="both"/>
              <w:textAlignment w:val="baseline"/>
              <w:rPr>
                <w:rFonts w:eastAsia="Times New Roman"/>
                <w:b/>
                <w:color w:val="000000"/>
                <w:sz w:val="16"/>
                <w:lang w:val="en-GB"/>
              </w:rPr>
            </w:pPr>
            <w:r w:rsidRPr="009C48DA">
              <w:rPr>
                <w:rFonts w:eastAsia="Times New Roman"/>
                <w:b/>
                <w:color w:val="000000"/>
                <w:sz w:val="16"/>
                <w:lang w:val="en-GB"/>
              </w:rPr>
              <w:t>At 31 December 2020</w:t>
            </w:r>
          </w:p>
        </w:tc>
        <w:tc>
          <w:tcPr>
            <w:tcW w:w="1275" w:type="dxa"/>
          </w:tcPr>
          <w:p w:rsidRPr="009C48DA" w:rsidR="00661519" w:rsidP="00661519" w:rsidRDefault="00661519" w14:paraId="19A552A8" w14:textId="77777777">
            <w:pPr>
              <w:pBdr>
                <w:bottom w:val="single" w:color="auto" w:sz="12" w:space="1"/>
              </w:pBdr>
              <w:spacing w:before="60"/>
              <w:jc w:val="right"/>
              <w:rPr>
                <w:sz w:val="16"/>
                <w:szCs w:val="16"/>
                <w:lang w:val="en-GB"/>
              </w:rPr>
            </w:pPr>
            <w:r w:rsidRPr="009C48DA">
              <w:rPr>
                <w:rFonts w:eastAsia="Times New Roman"/>
                <w:color w:val="000000"/>
                <w:sz w:val="16"/>
                <w:lang w:val="en-GB"/>
              </w:rPr>
              <w:t>50,178</w:t>
            </w:r>
          </w:p>
        </w:tc>
        <w:tc>
          <w:tcPr>
            <w:tcW w:w="1276" w:type="dxa"/>
          </w:tcPr>
          <w:p w:rsidRPr="009C48DA" w:rsidR="00661519" w:rsidP="00661519" w:rsidRDefault="00661519" w14:paraId="7660AC27" w14:textId="77777777">
            <w:pPr>
              <w:pBdr>
                <w:bottom w:val="single" w:color="auto" w:sz="12" w:space="1"/>
              </w:pBdr>
              <w:spacing w:before="60"/>
              <w:jc w:val="right"/>
              <w:rPr>
                <w:sz w:val="16"/>
                <w:szCs w:val="16"/>
                <w:lang w:val="en-GB"/>
              </w:rPr>
            </w:pPr>
            <w:r w:rsidRPr="009C48DA">
              <w:rPr>
                <w:rFonts w:eastAsia="Times New Roman"/>
                <w:color w:val="000000"/>
                <w:sz w:val="16"/>
                <w:lang w:val="en-GB"/>
              </w:rPr>
              <w:t>9,901</w:t>
            </w:r>
          </w:p>
        </w:tc>
        <w:tc>
          <w:tcPr>
            <w:tcW w:w="1276" w:type="dxa"/>
          </w:tcPr>
          <w:p w:rsidRPr="009C48DA" w:rsidR="00661519" w:rsidP="00661519" w:rsidRDefault="00661519" w14:paraId="75B94C0D" w14:textId="77777777">
            <w:pPr>
              <w:pBdr>
                <w:bottom w:val="single" w:color="auto" w:sz="12" w:space="1"/>
              </w:pBdr>
              <w:spacing w:before="60"/>
              <w:jc w:val="right"/>
              <w:rPr>
                <w:sz w:val="16"/>
                <w:szCs w:val="16"/>
                <w:lang w:val="en-GB"/>
              </w:rPr>
            </w:pPr>
            <w:r w:rsidRPr="009C48DA">
              <w:rPr>
                <w:rFonts w:eastAsia="Times New Roman"/>
                <w:color w:val="000000"/>
                <w:sz w:val="16"/>
                <w:lang w:val="en-GB"/>
              </w:rPr>
              <w:t>9,950</w:t>
            </w:r>
          </w:p>
        </w:tc>
        <w:tc>
          <w:tcPr>
            <w:tcW w:w="1276" w:type="dxa"/>
          </w:tcPr>
          <w:p w:rsidRPr="009C48DA" w:rsidR="00661519" w:rsidP="00661519" w:rsidRDefault="00661519" w14:paraId="60A78089" w14:textId="77777777">
            <w:pPr>
              <w:pBdr>
                <w:bottom w:val="single" w:color="auto" w:sz="12" w:space="1"/>
              </w:pBdr>
              <w:spacing w:before="60"/>
              <w:jc w:val="right"/>
              <w:rPr>
                <w:sz w:val="16"/>
                <w:szCs w:val="16"/>
                <w:lang w:val="en-GB"/>
              </w:rPr>
            </w:pPr>
            <w:r w:rsidRPr="009C48DA">
              <w:rPr>
                <w:rFonts w:eastAsia="Times New Roman"/>
                <w:color w:val="000000"/>
                <w:sz w:val="16"/>
                <w:lang w:val="en-GB"/>
              </w:rPr>
              <w:t>70,029</w:t>
            </w:r>
          </w:p>
        </w:tc>
      </w:tr>
      <w:tr w:rsidRPr="009C48DA" w:rsidR="00661519" w:rsidTr="00661519" w14:paraId="092FD2DD" w14:textId="77777777">
        <w:tc>
          <w:tcPr>
            <w:tcW w:w="3936" w:type="dxa"/>
          </w:tcPr>
          <w:p w:rsidRPr="009C48DA" w:rsidR="00661519" w:rsidP="00661519" w:rsidRDefault="00661519" w14:paraId="7CEF32D1" w14:textId="77777777">
            <w:pPr>
              <w:spacing w:before="60"/>
              <w:jc w:val="both"/>
              <w:textAlignment w:val="baseline"/>
              <w:rPr>
                <w:lang w:val="en-GB"/>
              </w:rPr>
            </w:pPr>
            <w:r w:rsidRPr="009C48DA">
              <w:rPr>
                <w:rFonts w:eastAsia="Times New Roman"/>
                <w:b/>
                <w:color w:val="000000"/>
                <w:sz w:val="16"/>
                <w:lang w:val="en-GB"/>
              </w:rPr>
              <w:t>Accumulated depreciation and impairment</w:t>
            </w:r>
          </w:p>
        </w:tc>
        <w:tc>
          <w:tcPr>
            <w:tcW w:w="1275" w:type="dxa"/>
          </w:tcPr>
          <w:p w:rsidRPr="009C48DA" w:rsidR="00661519" w:rsidP="00661519" w:rsidRDefault="00661519" w14:paraId="7F7D712F" w14:textId="77777777">
            <w:pPr>
              <w:spacing w:before="60"/>
              <w:jc w:val="right"/>
              <w:rPr>
                <w:sz w:val="16"/>
                <w:szCs w:val="16"/>
                <w:lang w:val="en-GB"/>
              </w:rPr>
            </w:pPr>
            <w:r w:rsidRPr="009C48DA">
              <w:rPr>
                <w:sz w:val="16"/>
                <w:szCs w:val="16"/>
                <w:lang w:val="en-GB"/>
              </w:rPr>
              <w:t xml:space="preserve"> </w:t>
            </w:r>
          </w:p>
        </w:tc>
        <w:tc>
          <w:tcPr>
            <w:tcW w:w="1276" w:type="dxa"/>
          </w:tcPr>
          <w:p w:rsidRPr="009C48DA" w:rsidR="00661519" w:rsidP="00661519" w:rsidRDefault="00661519" w14:paraId="0A6C229F" w14:textId="77777777">
            <w:pPr>
              <w:spacing w:before="60"/>
              <w:jc w:val="right"/>
              <w:rPr>
                <w:sz w:val="16"/>
                <w:szCs w:val="16"/>
                <w:lang w:val="en-GB"/>
              </w:rPr>
            </w:pPr>
            <w:r w:rsidRPr="009C48DA">
              <w:rPr>
                <w:sz w:val="16"/>
                <w:szCs w:val="16"/>
                <w:lang w:val="en-GB"/>
              </w:rPr>
              <w:t xml:space="preserve"> </w:t>
            </w:r>
          </w:p>
        </w:tc>
        <w:tc>
          <w:tcPr>
            <w:tcW w:w="1276" w:type="dxa"/>
          </w:tcPr>
          <w:p w:rsidRPr="009C48DA" w:rsidR="00661519" w:rsidP="00661519" w:rsidRDefault="00661519" w14:paraId="7178DBB1" w14:textId="77777777">
            <w:pPr>
              <w:spacing w:before="60"/>
              <w:jc w:val="right"/>
              <w:rPr>
                <w:sz w:val="16"/>
                <w:szCs w:val="16"/>
                <w:lang w:val="en-GB"/>
              </w:rPr>
            </w:pPr>
            <w:r w:rsidRPr="009C48DA">
              <w:rPr>
                <w:sz w:val="16"/>
                <w:szCs w:val="16"/>
                <w:lang w:val="en-GB"/>
              </w:rPr>
              <w:t xml:space="preserve"> </w:t>
            </w:r>
          </w:p>
        </w:tc>
        <w:tc>
          <w:tcPr>
            <w:tcW w:w="1276" w:type="dxa"/>
          </w:tcPr>
          <w:p w:rsidRPr="009C48DA" w:rsidR="00661519" w:rsidP="00661519" w:rsidRDefault="00661519" w14:paraId="4490FC67" w14:textId="77777777">
            <w:pPr>
              <w:spacing w:before="60"/>
              <w:jc w:val="right"/>
              <w:rPr>
                <w:sz w:val="16"/>
                <w:szCs w:val="16"/>
                <w:lang w:val="en-GB"/>
              </w:rPr>
            </w:pPr>
            <w:r w:rsidRPr="009C48DA">
              <w:rPr>
                <w:sz w:val="16"/>
                <w:szCs w:val="16"/>
                <w:lang w:val="en-GB"/>
              </w:rPr>
              <w:t xml:space="preserve"> </w:t>
            </w:r>
          </w:p>
        </w:tc>
      </w:tr>
      <w:tr w:rsidRPr="009C48DA" w:rsidR="00661519" w:rsidTr="00661519" w14:paraId="6F7676BF" w14:textId="77777777">
        <w:tc>
          <w:tcPr>
            <w:tcW w:w="3936" w:type="dxa"/>
          </w:tcPr>
          <w:p w:rsidRPr="009C48DA" w:rsidR="00661519" w:rsidP="00661519" w:rsidRDefault="00661519" w14:paraId="0AB91ACA" w14:textId="77777777">
            <w:pPr>
              <w:spacing w:before="60" w:after="28" w:line="182" w:lineRule="exact"/>
              <w:textAlignment w:val="baseline"/>
              <w:rPr>
                <w:rFonts w:eastAsia="Times New Roman"/>
                <w:b/>
                <w:color w:val="000000"/>
                <w:sz w:val="16"/>
                <w:lang w:val="en-GB"/>
              </w:rPr>
            </w:pPr>
            <w:r w:rsidRPr="009C48DA">
              <w:rPr>
                <w:rFonts w:eastAsia="Times New Roman"/>
                <w:b/>
                <w:color w:val="000000"/>
                <w:sz w:val="16"/>
                <w:lang w:val="en-GB"/>
              </w:rPr>
              <w:t>Balance at 1 January 2020</w:t>
            </w:r>
          </w:p>
        </w:tc>
        <w:tc>
          <w:tcPr>
            <w:tcW w:w="1275" w:type="dxa"/>
          </w:tcPr>
          <w:p w:rsidRPr="009C48DA" w:rsidR="00661519" w:rsidP="00661519" w:rsidRDefault="00661519" w14:paraId="7A457B31" w14:textId="77777777">
            <w:pPr>
              <w:spacing w:before="60"/>
              <w:jc w:val="right"/>
              <w:rPr>
                <w:sz w:val="16"/>
                <w:szCs w:val="16"/>
                <w:lang w:val="en-GB"/>
              </w:rPr>
            </w:pPr>
            <w:r w:rsidRPr="009C48DA">
              <w:rPr>
                <w:sz w:val="16"/>
                <w:szCs w:val="16"/>
                <w:lang w:val="en-GB"/>
              </w:rPr>
              <w:t>(11,305)</w:t>
            </w:r>
          </w:p>
        </w:tc>
        <w:tc>
          <w:tcPr>
            <w:tcW w:w="1276" w:type="dxa"/>
          </w:tcPr>
          <w:p w:rsidRPr="009C48DA" w:rsidR="00661519" w:rsidP="00661519" w:rsidRDefault="00661519" w14:paraId="5693EF66" w14:textId="77777777">
            <w:pPr>
              <w:spacing w:before="60"/>
              <w:jc w:val="right"/>
              <w:rPr>
                <w:sz w:val="16"/>
                <w:szCs w:val="16"/>
                <w:lang w:val="en-GB"/>
              </w:rPr>
            </w:pPr>
            <w:r w:rsidRPr="009C48DA">
              <w:rPr>
                <w:sz w:val="16"/>
                <w:szCs w:val="16"/>
                <w:lang w:val="en-GB"/>
              </w:rPr>
              <w:t>(3,355)</w:t>
            </w:r>
          </w:p>
        </w:tc>
        <w:tc>
          <w:tcPr>
            <w:tcW w:w="1276" w:type="dxa"/>
          </w:tcPr>
          <w:p w:rsidRPr="009C48DA" w:rsidR="00661519" w:rsidP="00661519" w:rsidRDefault="00661519" w14:paraId="04540BC7" w14:textId="77777777">
            <w:pPr>
              <w:spacing w:before="60"/>
              <w:jc w:val="right"/>
              <w:rPr>
                <w:sz w:val="16"/>
                <w:szCs w:val="16"/>
                <w:lang w:val="en-GB"/>
              </w:rPr>
            </w:pPr>
            <w:r w:rsidRPr="009C48DA">
              <w:rPr>
                <w:sz w:val="16"/>
                <w:szCs w:val="16"/>
                <w:lang w:val="en-GB"/>
              </w:rPr>
              <w:t>(5,474)</w:t>
            </w:r>
          </w:p>
        </w:tc>
        <w:tc>
          <w:tcPr>
            <w:tcW w:w="1276" w:type="dxa"/>
          </w:tcPr>
          <w:p w:rsidRPr="009C48DA" w:rsidR="00661519" w:rsidP="00661519" w:rsidRDefault="00661519" w14:paraId="27547E1A" w14:textId="77777777">
            <w:pPr>
              <w:spacing w:before="60"/>
              <w:jc w:val="right"/>
              <w:rPr>
                <w:sz w:val="16"/>
                <w:szCs w:val="16"/>
                <w:lang w:val="en-GB"/>
              </w:rPr>
            </w:pPr>
            <w:r w:rsidRPr="009C48DA">
              <w:rPr>
                <w:sz w:val="16"/>
                <w:szCs w:val="16"/>
                <w:lang w:val="en-GB"/>
              </w:rPr>
              <w:t>(20,134)</w:t>
            </w:r>
          </w:p>
        </w:tc>
      </w:tr>
      <w:tr w:rsidRPr="009C48DA" w:rsidR="00661519" w:rsidTr="00661519" w14:paraId="7FE4BE68" w14:textId="77777777">
        <w:tc>
          <w:tcPr>
            <w:tcW w:w="3936" w:type="dxa"/>
          </w:tcPr>
          <w:p w:rsidRPr="009C48DA" w:rsidR="00661519" w:rsidP="00661519" w:rsidRDefault="00661519" w14:paraId="2EB66C48" w14:textId="77777777">
            <w:pPr>
              <w:spacing w:before="60" w:after="28" w:line="182" w:lineRule="exact"/>
              <w:textAlignment w:val="baseline"/>
              <w:rPr>
                <w:rFonts w:eastAsia="Times New Roman"/>
                <w:color w:val="000000"/>
                <w:sz w:val="16"/>
                <w:lang w:val="en-GB"/>
              </w:rPr>
            </w:pPr>
            <w:r w:rsidRPr="009C48DA">
              <w:rPr>
                <w:rFonts w:eastAsia="Times New Roman"/>
                <w:color w:val="000000"/>
                <w:sz w:val="16"/>
                <w:lang w:val="en-GB"/>
              </w:rPr>
              <w:t>Foreign exchange</w:t>
            </w:r>
          </w:p>
        </w:tc>
        <w:tc>
          <w:tcPr>
            <w:tcW w:w="1275" w:type="dxa"/>
          </w:tcPr>
          <w:p w:rsidRPr="009C48DA" w:rsidR="00661519" w:rsidP="00661519" w:rsidRDefault="00661519" w14:paraId="2764D967" w14:textId="77777777">
            <w:pPr>
              <w:spacing w:before="60"/>
              <w:jc w:val="right"/>
              <w:rPr>
                <w:sz w:val="16"/>
                <w:szCs w:val="16"/>
                <w:lang w:val="en-GB"/>
              </w:rPr>
            </w:pPr>
            <w:r w:rsidRPr="009C48DA">
              <w:rPr>
                <w:sz w:val="16"/>
                <w:szCs w:val="16"/>
                <w:lang w:val="en-GB"/>
              </w:rPr>
              <w:t>-</w:t>
            </w:r>
          </w:p>
        </w:tc>
        <w:tc>
          <w:tcPr>
            <w:tcW w:w="1276" w:type="dxa"/>
          </w:tcPr>
          <w:p w:rsidRPr="009C48DA" w:rsidR="00661519" w:rsidP="00661519" w:rsidRDefault="00661519" w14:paraId="62F516B0" w14:textId="77777777">
            <w:pPr>
              <w:spacing w:before="60"/>
              <w:jc w:val="right"/>
              <w:rPr>
                <w:sz w:val="16"/>
                <w:szCs w:val="16"/>
                <w:lang w:val="en-GB"/>
              </w:rPr>
            </w:pPr>
            <w:r w:rsidRPr="009C48DA">
              <w:rPr>
                <w:sz w:val="16"/>
                <w:szCs w:val="16"/>
                <w:lang w:val="en-GB"/>
              </w:rPr>
              <w:t>(24)</w:t>
            </w:r>
          </w:p>
        </w:tc>
        <w:tc>
          <w:tcPr>
            <w:tcW w:w="1276" w:type="dxa"/>
          </w:tcPr>
          <w:p w:rsidRPr="009C48DA" w:rsidR="00661519" w:rsidP="00661519" w:rsidRDefault="00661519" w14:paraId="6F7448B5" w14:textId="77777777">
            <w:pPr>
              <w:spacing w:before="60"/>
              <w:jc w:val="right"/>
              <w:rPr>
                <w:sz w:val="16"/>
                <w:szCs w:val="16"/>
                <w:lang w:val="en-GB"/>
              </w:rPr>
            </w:pPr>
            <w:r w:rsidRPr="009C48DA">
              <w:rPr>
                <w:sz w:val="16"/>
                <w:szCs w:val="16"/>
                <w:lang w:val="en-GB"/>
              </w:rPr>
              <w:t>(44)</w:t>
            </w:r>
          </w:p>
        </w:tc>
        <w:tc>
          <w:tcPr>
            <w:tcW w:w="1276" w:type="dxa"/>
          </w:tcPr>
          <w:p w:rsidRPr="009C48DA" w:rsidR="00661519" w:rsidP="00661519" w:rsidRDefault="00661519" w14:paraId="5B1641BC" w14:textId="77777777">
            <w:pPr>
              <w:spacing w:before="60"/>
              <w:jc w:val="right"/>
              <w:rPr>
                <w:sz w:val="16"/>
                <w:szCs w:val="16"/>
                <w:lang w:val="en-GB"/>
              </w:rPr>
            </w:pPr>
            <w:r w:rsidRPr="009C48DA">
              <w:rPr>
                <w:sz w:val="16"/>
                <w:szCs w:val="16"/>
                <w:lang w:val="en-GB"/>
              </w:rPr>
              <w:t>(68)</w:t>
            </w:r>
          </w:p>
        </w:tc>
      </w:tr>
      <w:tr w:rsidRPr="009C48DA" w:rsidR="00661519" w:rsidTr="00661519" w14:paraId="21A54DA0" w14:textId="77777777">
        <w:tc>
          <w:tcPr>
            <w:tcW w:w="3936" w:type="dxa"/>
          </w:tcPr>
          <w:p w:rsidRPr="009C48DA" w:rsidR="00661519" w:rsidP="00661519" w:rsidRDefault="00661519" w14:paraId="05699851" w14:textId="77777777">
            <w:pPr>
              <w:spacing w:before="60" w:after="28" w:line="182" w:lineRule="exact"/>
              <w:textAlignment w:val="baseline"/>
              <w:rPr>
                <w:rFonts w:eastAsia="Times New Roman"/>
                <w:color w:val="000000"/>
                <w:sz w:val="16"/>
                <w:lang w:val="en-GB"/>
              </w:rPr>
            </w:pPr>
            <w:r w:rsidRPr="009C48DA">
              <w:rPr>
                <w:rFonts w:eastAsia="Times New Roman"/>
                <w:color w:val="000000"/>
                <w:sz w:val="16"/>
                <w:lang w:val="en-GB"/>
              </w:rPr>
              <w:t>Depreciation</w:t>
            </w:r>
          </w:p>
        </w:tc>
        <w:tc>
          <w:tcPr>
            <w:tcW w:w="1275" w:type="dxa"/>
          </w:tcPr>
          <w:p w:rsidRPr="009C48DA" w:rsidR="00661519" w:rsidP="00661519" w:rsidRDefault="00661519" w14:paraId="3F050AB5" w14:textId="77777777">
            <w:pPr>
              <w:pBdr>
                <w:bottom w:val="single" w:color="auto" w:sz="12" w:space="1"/>
              </w:pBdr>
              <w:spacing w:before="60"/>
              <w:jc w:val="right"/>
              <w:rPr>
                <w:sz w:val="16"/>
                <w:szCs w:val="16"/>
                <w:lang w:val="en-GB"/>
              </w:rPr>
            </w:pPr>
            <w:r w:rsidRPr="009C48DA">
              <w:rPr>
                <w:sz w:val="16"/>
                <w:szCs w:val="16"/>
                <w:lang w:val="en-GB"/>
              </w:rPr>
              <w:t>(6,264)</w:t>
            </w:r>
          </w:p>
        </w:tc>
        <w:tc>
          <w:tcPr>
            <w:tcW w:w="1276" w:type="dxa"/>
          </w:tcPr>
          <w:p w:rsidRPr="009C48DA" w:rsidR="00661519" w:rsidP="00661519" w:rsidRDefault="00661519" w14:paraId="3F788CD5" w14:textId="77777777">
            <w:pPr>
              <w:pBdr>
                <w:bottom w:val="single" w:color="auto" w:sz="12" w:space="1"/>
              </w:pBdr>
              <w:spacing w:before="60"/>
              <w:jc w:val="right"/>
              <w:rPr>
                <w:sz w:val="16"/>
                <w:szCs w:val="16"/>
                <w:lang w:val="en-GB"/>
              </w:rPr>
            </w:pPr>
            <w:r w:rsidRPr="009C48DA">
              <w:rPr>
                <w:sz w:val="16"/>
                <w:szCs w:val="16"/>
                <w:lang w:val="en-GB"/>
              </w:rPr>
              <w:t>(899)</w:t>
            </w:r>
          </w:p>
        </w:tc>
        <w:tc>
          <w:tcPr>
            <w:tcW w:w="1276" w:type="dxa"/>
          </w:tcPr>
          <w:p w:rsidRPr="009C48DA" w:rsidR="00661519" w:rsidP="00661519" w:rsidRDefault="00661519" w14:paraId="0EBFA15F" w14:textId="77777777">
            <w:pPr>
              <w:pBdr>
                <w:bottom w:val="single" w:color="auto" w:sz="12" w:space="1"/>
              </w:pBdr>
              <w:spacing w:before="60"/>
              <w:jc w:val="right"/>
              <w:rPr>
                <w:sz w:val="16"/>
                <w:szCs w:val="16"/>
                <w:lang w:val="en-GB"/>
              </w:rPr>
            </w:pPr>
            <w:r w:rsidRPr="009C48DA">
              <w:rPr>
                <w:sz w:val="16"/>
                <w:szCs w:val="16"/>
                <w:lang w:val="en-GB"/>
              </w:rPr>
              <w:t>(1,073)</w:t>
            </w:r>
          </w:p>
        </w:tc>
        <w:tc>
          <w:tcPr>
            <w:tcW w:w="1276" w:type="dxa"/>
          </w:tcPr>
          <w:p w:rsidRPr="009C48DA" w:rsidR="00661519" w:rsidP="00661519" w:rsidRDefault="00661519" w14:paraId="689E72C1" w14:textId="77777777">
            <w:pPr>
              <w:pBdr>
                <w:bottom w:val="single" w:color="auto" w:sz="12" w:space="1"/>
              </w:pBdr>
              <w:spacing w:before="60"/>
              <w:jc w:val="right"/>
              <w:rPr>
                <w:sz w:val="16"/>
                <w:szCs w:val="16"/>
                <w:lang w:val="en-GB"/>
              </w:rPr>
            </w:pPr>
            <w:r w:rsidRPr="009C48DA">
              <w:rPr>
                <w:sz w:val="16"/>
                <w:szCs w:val="16"/>
                <w:lang w:val="en-GB"/>
              </w:rPr>
              <w:t>(8,236)</w:t>
            </w:r>
          </w:p>
        </w:tc>
      </w:tr>
      <w:tr w:rsidRPr="009C48DA" w:rsidR="00661519" w:rsidTr="00661519" w14:paraId="69C8343D" w14:textId="77777777">
        <w:tc>
          <w:tcPr>
            <w:tcW w:w="3936" w:type="dxa"/>
          </w:tcPr>
          <w:p w:rsidRPr="009C48DA" w:rsidR="00661519" w:rsidP="00661519" w:rsidRDefault="00661519" w14:paraId="5D9FC219"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At 31 December 2020</w:t>
            </w:r>
          </w:p>
        </w:tc>
        <w:tc>
          <w:tcPr>
            <w:tcW w:w="1275" w:type="dxa"/>
          </w:tcPr>
          <w:p w:rsidRPr="009C48DA" w:rsidR="00661519" w:rsidP="00661519" w:rsidRDefault="00661519" w14:paraId="54E62427" w14:textId="77777777">
            <w:pPr>
              <w:pBdr>
                <w:bottom w:val="single" w:color="auto" w:sz="12" w:space="1"/>
              </w:pBdr>
              <w:spacing w:before="60"/>
              <w:jc w:val="right"/>
              <w:rPr>
                <w:sz w:val="16"/>
                <w:szCs w:val="16"/>
                <w:lang w:val="en-GB"/>
              </w:rPr>
            </w:pPr>
            <w:r w:rsidRPr="009C48DA">
              <w:rPr>
                <w:sz w:val="16"/>
                <w:szCs w:val="16"/>
                <w:lang w:val="en-GB"/>
              </w:rPr>
              <w:t>(17,569)</w:t>
            </w:r>
          </w:p>
        </w:tc>
        <w:tc>
          <w:tcPr>
            <w:tcW w:w="1276" w:type="dxa"/>
          </w:tcPr>
          <w:p w:rsidRPr="009C48DA" w:rsidR="00661519" w:rsidP="00661519" w:rsidRDefault="00661519" w14:paraId="1C05DBAA" w14:textId="77777777">
            <w:pPr>
              <w:pBdr>
                <w:bottom w:val="single" w:color="auto" w:sz="12" w:space="1"/>
              </w:pBdr>
              <w:spacing w:before="60"/>
              <w:jc w:val="right"/>
              <w:rPr>
                <w:sz w:val="16"/>
                <w:szCs w:val="16"/>
                <w:lang w:val="en-GB"/>
              </w:rPr>
            </w:pPr>
            <w:r w:rsidRPr="009C48DA">
              <w:rPr>
                <w:sz w:val="16"/>
                <w:szCs w:val="16"/>
                <w:lang w:val="en-GB"/>
              </w:rPr>
              <w:t>(4,278)</w:t>
            </w:r>
          </w:p>
        </w:tc>
        <w:tc>
          <w:tcPr>
            <w:tcW w:w="1276" w:type="dxa"/>
          </w:tcPr>
          <w:p w:rsidRPr="009C48DA" w:rsidR="00661519" w:rsidP="00661519" w:rsidRDefault="00661519" w14:paraId="27C8C706" w14:textId="77777777">
            <w:pPr>
              <w:pBdr>
                <w:bottom w:val="single" w:color="auto" w:sz="12" w:space="1"/>
              </w:pBdr>
              <w:spacing w:before="60"/>
              <w:jc w:val="right"/>
              <w:rPr>
                <w:sz w:val="16"/>
                <w:szCs w:val="16"/>
                <w:lang w:val="en-GB"/>
              </w:rPr>
            </w:pPr>
            <w:r w:rsidRPr="009C48DA">
              <w:rPr>
                <w:sz w:val="16"/>
                <w:szCs w:val="16"/>
                <w:lang w:val="en-GB"/>
              </w:rPr>
              <w:t>(6,591)</w:t>
            </w:r>
          </w:p>
        </w:tc>
        <w:tc>
          <w:tcPr>
            <w:tcW w:w="1276" w:type="dxa"/>
          </w:tcPr>
          <w:p w:rsidRPr="009C48DA" w:rsidR="00661519" w:rsidP="00661519" w:rsidRDefault="00661519" w14:paraId="5C8808D8" w14:textId="77777777">
            <w:pPr>
              <w:pBdr>
                <w:bottom w:val="single" w:color="auto" w:sz="12" w:space="1"/>
              </w:pBdr>
              <w:spacing w:before="60"/>
              <w:jc w:val="right"/>
              <w:rPr>
                <w:sz w:val="16"/>
                <w:szCs w:val="16"/>
                <w:lang w:val="en-GB"/>
              </w:rPr>
            </w:pPr>
            <w:r w:rsidRPr="009C48DA">
              <w:rPr>
                <w:sz w:val="16"/>
                <w:szCs w:val="16"/>
                <w:lang w:val="en-GB"/>
              </w:rPr>
              <w:t>(28,438)</w:t>
            </w:r>
          </w:p>
        </w:tc>
      </w:tr>
      <w:tr w:rsidRPr="009C48DA" w:rsidR="00661519" w:rsidTr="00661519" w14:paraId="3B392020" w14:textId="77777777">
        <w:trPr>
          <w:trHeight w:val="340"/>
        </w:trPr>
        <w:tc>
          <w:tcPr>
            <w:tcW w:w="3936" w:type="dxa"/>
            <w:vAlign w:val="bottom"/>
          </w:tcPr>
          <w:p w:rsidRPr="009C48DA" w:rsidR="00661519" w:rsidP="00661519" w:rsidRDefault="00661519" w14:paraId="4088E5F8"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As at 31 December 2020</w:t>
            </w:r>
          </w:p>
        </w:tc>
        <w:tc>
          <w:tcPr>
            <w:tcW w:w="1275" w:type="dxa"/>
          </w:tcPr>
          <w:p w:rsidRPr="009C48DA" w:rsidR="00661519" w:rsidP="00661519" w:rsidRDefault="00661519" w14:paraId="5EEB44D1" w14:textId="77777777">
            <w:pPr>
              <w:pBdr>
                <w:bottom w:val="double" w:color="auto" w:sz="12" w:space="1"/>
              </w:pBdr>
              <w:spacing w:before="60"/>
              <w:jc w:val="right"/>
              <w:rPr>
                <w:sz w:val="16"/>
                <w:szCs w:val="16"/>
                <w:lang w:val="en-GB"/>
              </w:rPr>
            </w:pPr>
            <w:r w:rsidRPr="009C48DA">
              <w:rPr>
                <w:sz w:val="16"/>
                <w:szCs w:val="16"/>
                <w:lang w:val="en-GB"/>
              </w:rPr>
              <w:t>32,609</w:t>
            </w:r>
          </w:p>
        </w:tc>
        <w:tc>
          <w:tcPr>
            <w:tcW w:w="1276" w:type="dxa"/>
          </w:tcPr>
          <w:p w:rsidRPr="009C48DA" w:rsidR="00661519" w:rsidP="00661519" w:rsidRDefault="00661519" w14:paraId="02BBEB15" w14:textId="77777777">
            <w:pPr>
              <w:pBdr>
                <w:bottom w:val="double" w:color="auto" w:sz="12" w:space="1"/>
              </w:pBdr>
              <w:spacing w:before="60"/>
              <w:jc w:val="right"/>
              <w:rPr>
                <w:sz w:val="16"/>
                <w:szCs w:val="16"/>
                <w:lang w:val="en-GB"/>
              </w:rPr>
            </w:pPr>
            <w:r w:rsidRPr="009C48DA">
              <w:rPr>
                <w:sz w:val="16"/>
                <w:szCs w:val="16"/>
                <w:lang w:val="en-GB"/>
              </w:rPr>
              <w:t>5,623</w:t>
            </w:r>
          </w:p>
        </w:tc>
        <w:tc>
          <w:tcPr>
            <w:tcW w:w="1276" w:type="dxa"/>
          </w:tcPr>
          <w:p w:rsidRPr="009C48DA" w:rsidR="00661519" w:rsidP="00661519" w:rsidRDefault="00661519" w14:paraId="7E364058" w14:textId="77777777">
            <w:pPr>
              <w:pBdr>
                <w:bottom w:val="double" w:color="auto" w:sz="12" w:space="1"/>
              </w:pBdr>
              <w:spacing w:before="60"/>
              <w:jc w:val="right"/>
              <w:rPr>
                <w:sz w:val="16"/>
                <w:szCs w:val="16"/>
                <w:lang w:val="en-GB"/>
              </w:rPr>
            </w:pPr>
            <w:r w:rsidRPr="009C48DA">
              <w:rPr>
                <w:sz w:val="16"/>
                <w:szCs w:val="16"/>
                <w:lang w:val="en-GB"/>
              </w:rPr>
              <w:t>3,359</w:t>
            </w:r>
          </w:p>
        </w:tc>
        <w:tc>
          <w:tcPr>
            <w:tcW w:w="1276" w:type="dxa"/>
          </w:tcPr>
          <w:p w:rsidRPr="009C48DA" w:rsidR="00661519" w:rsidP="00661519" w:rsidRDefault="00661519" w14:paraId="024F6743" w14:textId="77777777">
            <w:pPr>
              <w:pBdr>
                <w:bottom w:val="double" w:color="auto" w:sz="12" w:space="1"/>
              </w:pBdr>
              <w:spacing w:before="60"/>
              <w:jc w:val="right"/>
              <w:rPr>
                <w:sz w:val="16"/>
                <w:szCs w:val="16"/>
                <w:lang w:val="en-GB"/>
              </w:rPr>
            </w:pPr>
            <w:r w:rsidRPr="009C48DA">
              <w:rPr>
                <w:sz w:val="16"/>
                <w:szCs w:val="16"/>
                <w:lang w:val="en-GB"/>
              </w:rPr>
              <w:t>41,591</w:t>
            </w:r>
          </w:p>
        </w:tc>
      </w:tr>
    </w:tbl>
    <w:p w:rsidRPr="009C48DA" w:rsidR="00661519" w:rsidP="00661519" w:rsidRDefault="00661519" w14:paraId="19923A9B" w14:textId="77777777">
      <w:pPr>
        <w:spacing w:before="2" w:after="124" w:line="192" w:lineRule="exact"/>
        <w:textAlignment w:val="baseline"/>
        <w:rPr>
          <w:rFonts w:eastAsia="Times New Roman" w:cs="Times New Roman"/>
          <w:color w:val="000000"/>
          <w:sz w:val="16"/>
          <w:szCs w:val="16"/>
          <w:lang w:val="en-GB"/>
        </w:rPr>
      </w:pPr>
    </w:p>
    <w:p w:rsidRPr="009C48DA" w:rsidR="00661519" w:rsidP="00661519" w:rsidRDefault="00661519" w14:paraId="19DF01A9" w14:textId="77777777">
      <w:pPr>
        <w:spacing w:before="2" w:after="124" w:line="192" w:lineRule="exac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Additions in the year ended 31 December 2020 includes £8k of the assets acquired as part of the acquisition of EQT Credit.</w:t>
      </w: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36"/>
        <w:gridCol w:w="1275"/>
        <w:gridCol w:w="1276"/>
        <w:gridCol w:w="1276"/>
        <w:gridCol w:w="1276"/>
      </w:tblGrid>
      <w:tr w:rsidRPr="009C48DA" w:rsidR="00661519" w:rsidTr="00661519" w14:paraId="1F46D51D" w14:textId="77777777">
        <w:tc>
          <w:tcPr>
            <w:tcW w:w="3936" w:type="dxa"/>
            <w:vAlign w:val="bottom"/>
          </w:tcPr>
          <w:p w:rsidRPr="009C48DA" w:rsidR="00661519" w:rsidP="00661519" w:rsidRDefault="00661519" w14:paraId="1B4F7076" w14:textId="77777777">
            <w:pPr>
              <w:jc w:val="both"/>
              <w:textAlignment w:val="baseline"/>
              <w:rPr>
                <w:rFonts w:eastAsia="Times New Roman"/>
                <w:b/>
                <w:color w:val="000000"/>
                <w:sz w:val="16"/>
                <w:szCs w:val="16"/>
                <w:lang w:val="en-GB"/>
              </w:rPr>
            </w:pPr>
          </w:p>
        </w:tc>
        <w:tc>
          <w:tcPr>
            <w:tcW w:w="1275" w:type="dxa"/>
            <w:vAlign w:val="bottom"/>
          </w:tcPr>
          <w:p w:rsidRPr="009C48DA" w:rsidR="00661519" w:rsidP="00661519" w:rsidRDefault="00661519" w14:paraId="519A1DF5"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Right of use</w:t>
            </w:r>
          </w:p>
          <w:p w:rsidRPr="009C48DA" w:rsidR="00661519" w:rsidP="00661519" w:rsidRDefault="00661519" w14:paraId="207C1799"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assets</w:t>
            </w:r>
          </w:p>
          <w:p w:rsidRPr="009C48DA" w:rsidR="00661519" w:rsidP="00661519" w:rsidRDefault="00661519" w14:paraId="53A20905" w14:textId="77777777">
            <w:pPr>
              <w:jc w:val="center"/>
              <w:textAlignment w:val="baseline"/>
              <w:rPr>
                <w:rFonts w:eastAsia="Times New Roman"/>
                <w:b/>
                <w:color w:val="000000"/>
                <w:sz w:val="16"/>
                <w:szCs w:val="16"/>
                <w:lang w:val="en-GB"/>
              </w:rPr>
            </w:pPr>
            <w:r w:rsidRPr="009C48DA">
              <w:rPr>
                <w:rFonts w:eastAsia="Times New Roman"/>
                <w:b/>
                <w:color w:val="000000"/>
                <w:sz w:val="16"/>
                <w:lang w:val="en-GB"/>
              </w:rPr>
              <w:t>£ 000</w:t>
            </w:r>
          </w:p>
        </w:tc>
        <w:tc>
          <w:tcPr>
            <w:tcW w:w="1276" w:type="dxa"/>
            <w:vAlign w:val="bottom"/>
          </w:tcPr>
          <w:p w:rsidRPr="009C48DA" w:rsidR="00661519" w:rsidP="00661519" w:rsidRDefault="00661519" w14:paraId="0A40E6C0"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xml:space="preserve">Leasehold </w:t>
            </w:r>
          </w:p>
          <w:p w:rsidRPr="009C48DA" w:rsidR="00661519" w:rsidP="00661519" w:rsidRDefault="00661519" w14:paraId="76E116BC"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improvements</w:t>
            </w:r>
          </w:p>
          <w:p w:rsidRPr="009C48DA" w:rsidR="00661519" w:rsidP="00661519" w:rsidRDefault="00661519" w14:paraId="343212F9" w14:textId="77777777">
            <w:pPr>
              <w:jc w:val="center"/>
              <w:textAlignment w:val="baseline"/>
              <w:rPr>
                <w:rFonts w:eastAsia="Times New Roman"/>
                <w:b/>
                <w:color w:val="000000"/>
                <w:sz w:val="16"/>
                <w:szCs w:val="16"/>
                <w:lang w:val="en-GB"/>
              </w:rPr>
            </w:pPr>
            <w:r w:rsidRPr="009C48DA">
              <w:rPr>
                <w:rFonts w:eastAsia="Times New Roman"/>
                <w:b/>
                <w:color w:val="000000"/>
                <w:sz w:val="16"/>
                <w:lang w:val="en-GB"/>
              </w:rPr>
              <w:t>£ 000</w:t>
            </w:r>
          </w:p>
        </w:tc>
        <w:tc>
          <w:tcPr>
            <w:tcW w:w="1276" w:type="dxa"/>
            <w:vAlign w:val="bottom"/>
          </w:tcPr>
          <w:p w:rsidRPr="009C48DA" w:rsidR="00661519" w:rsidP="00661519" w:rsidRDefault="00661519" w14:paraId="000EAADC"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xml:space="preserve">Computers, </w:t>
            </w:r>
          </w:p>
          <w:p w:rsidRPr="009C48DA" w:rsidR="00661519" w:rsidP="00661519" w:rsidRDefault="00661519" w14:paraId="4DBD6993"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xml:space="preserve">furniture and </w:t>
            </w:r>
          </w:p>
          <w:p w:rsidRPr="009C48DA" w:rsidR="00661519" w:rsidP="00661519" w:rsidRDefault="00661519" w14:paraId="76881A52"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other</w:t>
            </w:r>
          </w:p>
          <w:p w:rsidRPr="009C48DA" w:rsidR="00661519" w:rsidP="00661519" w:rsidRDefault="00661519" w14:paraId="5E66B52C" w14:textId="77777777">
            <w:pPr>
              <w:jc w:val="center"/>
              <w:textAlignment w:val="baseline"/>
              <w:rPr>
                <w:rFonts w:eastAsia="Times New Roman"/>
                <w:b/>
                <w:color w:val="000000"/>
                <w:sz w:val="16"/>
                <w:szCs w:val="16"/>
                <w:lang w:val="en-GB"/>
              </w:rPr>
            </w:pPr>
            <w:r w:rsidRPr="009C48DA">
              <w:rPr>
                <w:rFonts w:eastAsia="Times New Roman"/>
                <w:b/>
                <w:color w:val="000000"/>
                <w:sz w:val="16"/>
                <w:lang w:val="en-GB"/>
              </w:rPr>
              <w:t>£ 000</w:t>
            </w:r>
          </w:p>
        </w:tc>
        <w:tc>
          <w:tcPr>
            <w:tcW w:w="1276" w:type="dxa"/>
            <w:vAlign w:val="bottom"/>
          </w:tcPr>
          <w:p w:rsidRPr="009C48DA" w:rsidR="00661519" w:rsidP="00661519" w:rsidRDefault="00661519" w14:paraId="25413CB7"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Total</w:t>
            </w:r>
          </w:p>
          <w:p w:rsidRPr="009C48DA" w:rsidR="00661519" w:rsidP="00661519" w:rsidRDefault="00661519" w14:paraId="52C30941"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£ 000</w:t>
            </w:r>
          </w:p>
        </w:tc>
      </w:tr>
      <w:tr w:rsidRPr="009C48DA" w:rsidR="00661519" w:rsidTr="00661519" w14:paraId="2A7B90A4" w14:textId="77777777">
        <w:tc>
          <w:tcPr>
            <w:tcW w:w="3936" w:type="dxa"/>
            <w:vAlign w:val="bottom"/>
          </w:tcPr>
          <w:p w:rsidRPr="009C48DA" w:rsidR="00661519" w:rsidP="00661519" w:rsidRDefault="00661519" w14:paraId="7B6A6C7C"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Balance at 1 January 2021</w:t>
            </w:r>
          </w:p>
        </w:tc>
        <w:tc>
          <w:tcPr>
            <w:tcW w:w="1275" w:type="dxa"/>
          </w:tcPr>
          <w:p w:rsidRPr="009C48DA" w:rsidR="00661519" w:rsidP="00661519" w:rsidRDefault="00661519" w14:paraId="3CD0BEAB" w14:textId="77777777">
            <w:pPr>
              <w:spacing w:before="60"/>
              <w:jc w:val="right"/>
              <w:rPr>
                <w:sz w:val="16"/>
                <w:szCs w:val="16"/>
                <w:lang w:val="en-GB"/>
              </w:rPr>
            </w:pPr>
            <w:r w:rsidRPr="009C48DA">
              <w:rPr>
                <w:sz w:val="16"/>
                <w:szCs w:val="16"/>
                <w:lang w:val="en-GB"/>
              </w:rPr>
              <w:t>50,178</w:t>
            </w:r>
          </w:p>
        </w:tc>
        <w:tc>
          <w:tcPr>
            <w:tcW w:w="1276" w:type="dxa"/>
          </w:tcPr>
          <w:p w:rsidRPr="009C48DA" w:rsidR="00661519" w:rsidP="00661519" w:rsidRDefault="00661519" w14:paraId="2F2F7612" w14:textId="77777777">
            <w:pPr>
              <w:spacing w:before="60"/>
              <w:jc w:val="right"/>
              <w:rPr>
                <w:sz w:val="16"/>
                <w:szCs w:val="16"/>
                <w:lang w:val="en-GB"/>
              </w:rPr>
            </w:pPr>
            <w:r w:rsidRPr="009C48DA">
              <w:rPr>
                <w:sz w:val="16"/>
                <w:szCs w:val="16"/>
                <w:lang w:val="en-GB"/>
              </w:rPr>
              <w:t>9,901</w:t>
            </w:r>
          </w:p>
        </w:tc>
        <w:tc>
          <w:tcPr>
            <w:tcW w:w="1276" w:type="dxa"/>
          </w:tcPr>
          <w:p w:rsidRPr="009C48DA" w:rsidR="00661519" w:rsidP="00661519" w:rsidRDefault="00661519" w14:paraId="4AD1631C" w14:textId="77777777">
            <w:pPr>
              <w:spacing w:before="60"/>
              <w:jc w:val="right"/>
              <w:rPr>
                <w:sz w:val="16"/>
                <w:szCs w:val="16"/>
                <w:lang w:val="en-GB"/>
              </w:rPr>
            </w:pPr>
            <w:r w:rsidRPr="009C48DA">
              <w:rPr>
                <w:sz w:val="16"/>
                <w:szCs w:val="16"/>
                <w:lang w:val="en-GB"/>
              </w:rPr>
              <w:t>9,950</w:t>
            </w:r>
          </w:p>
        </w:tc>
        <w:tc>
          <w:tcPr>
            <w:tcW w:w="1276" w:type="dxa"/>
          </w:tcPr>
          <w:p w:rsidRPr="009C48DA" w:rsidR="00661519" w:rsidP="00661519" w:rsidRDefault="00661519" w14:paraId="5DD40974" w14:textId="77777777">
            <w:pPr>
              <w:spacing w:before="60"/>
              <w:jc w:val="right"/>
              <w:rPr>
                <w:sz w:val="16"/>
                <w:szCs w:val="16"/>
                <w:lang w:val="en-GB"/>
              </w:rPr>
            </w:pPr>
            <w:r w:rsidRPr="009C48DA">
              <w:rPr>
                <w:sz w:val="16"/>
                <w:szCs w:val="16"/>
                <w:lang w:val="en-GB"/>
              </w:rPr>
              <w:t>70,029</w:t>
            </w:r>
          </w:p>
        </w:tc>
      </w:tr>
      <w:tr w:rsidRPr="009C48DA" w:rsidR="00661519" w:rsidTr="00661519" w14:paraId="2D06710A" w14:textId="77777777">
        <w:tc>
          <w:tcPr>
            <w:tcW w:w="3936" w:type="dxa"/>
            <w:vAlign w:val="center"/>
          </w:tcPr>
          <w:p w:rsidRPr="009C48DA" w:rsidR="00661519" w:rsidP="00661519" w:rsidRDefault="00661519" w14:paraId="6168B3D3"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Additions</w:t>
            </w:r>
          </w:p>
        </w:tc>
        <w:tc>
          <w:tcPr>
            <w:tcW w:w="1275" w:type="dxa"/>
          </w:tcPr>
          <w:p w:rsidRPr="009C48DA" w:rsidR="00661519" w:rsidP="00661519" w:rsidRDefault="00661519" w14:paraId="08C7941A" w14:textId="77777777">
            <w:pPr>
              <w:spacing w:before="60"/>
              <w:jc w:val="right"/>
              <w:rPr>
                <w:sz w:val="16"/>
                <w:szCs w:val="16"/>
                <w:lang w:val="en-GB"/>
              </w:rPr>
            </w:pPr>
            <w:r w:rsidRPr="009C48DA">
              <w:rPr>
                <w:sz w:val="16"/>
                <w:szCs w:val="16"/>
                <w:lang w:val="en-GB"/>
              </w:rPr>
              <w:t>1,763</w:t>
            </w:r>
          </w:p>
        </w:tc>
        <w:tc>
          <w:tcPr>
            <w:tcW w:w="1276" w:type="dxa"/>
          </w:tcPr>
          <w:p w:rsidRPr="009C48DA" w:rsidR="00661519" w:rsidP="00661519" w:rsidRDefault="00661519" w14:paraId="6B8952E1" w14:textId="77777777">
            <w:pPr>
              <w:spacing w:before="60"/>
              <w:jc w:val="right"/>
              <w:rPr>
                <w:sz w:val="16"/>
                <w:szCs w:val="16"/>
                <w:lang w:val="en-GB"/>
              </w:rPr>
            </w:pPr>
            <w:r w:rsidRPr="009C48DA">
              <w:rPr>
                <w:sz w:val="16"/>
                <w:szCs w:val="16"/>
                <w:lang w:val="en-GB"/>
              </w:rPr>
              <w:t>251</w:t>
            </w:r>
          </w:p>
        </w:tc>
        <w:tc>
          <w:tcPr>
            <w:tcW w:w="1276" w:type="dxa"/>
          </w:tcPr>
          <w:p w:rsidRPr="009C48DA" w:rsidR="00661519" w:rsidP="00661519" w:rsidRDefault="00661519" w14:paraId="0E3D6CBD" w14:textId="77777777">
            <w:pPr>
              <w:spacing w:before="60"/>
              <w:jc w:val="right"/>
              <w:rPr>
                <w:sz w:val="16"/>
                <w:szCs w:val="16"/>
                <w:lang w:val="en-GB"/>
              </w:rPr>
            </w:pPr>
            <w:r w:rsidRPr="009C48DA">
              <w:rPr>
                <w:sz w:val="16"/>
                <w:szCs w:val="16"/>
                <w:lang w:val="en-GB"/>
              </w:rPr>
              <w:t>65</w:t>
            </w:r>
          </w:p>
        </w:tc>
        <w:tc>
          <w:tcPr>
            <w:tcW w:w="1276" w:type="dxa"/>
          </w:tcPr>
          <w:p w:rsidRPr="009C48DA" w:rsidR="00661519" w:rsidP="00661519" w:rsidRDefault="00661519" w14:paraId="658150D2" w14:textId="77777777">
            <w:pPr>
              <w:spacing w:before="60"/>
              <w:jc w:val="right"/>
              <w:rPr>
                <w:sz w:val="16"/>
                <w:szCs w:val="16"/>
                <w:lang w:val="en-GB"/>
              </w:rPr>
            </w:pPr>
            <w:r w:rsidRPr="009C48DA">
              <w:rPr>
                <w:sz w:val="16"/>
                <w:szCs w:val="16"/>
                <w:lang w:val="en-GB"/>
              </w:rPr>
              <w:t>2,079</w:t>
            </w:r>
          </w:p>
        </w:tc>
      </w:tr>
      <w:tr w:rsidRPr="009C48DA" w:rsidR="00661519" w:rsidTr="00661519" w14:paraId="23BA3619" w14:textId="77777777">
        <w:tc>
          <w:tcPr>
            <w:tcW w:w="3936" w:type="dxa"/>
            <w:vAlign w:val="center"/>
          </w:tcPr>
          <w:p w:rsidRPr="009C48DA" w:rsidR="00661519" w:rsidP="00661519" w:rsidRDefault="00661519" w14:paraId="6B2B63EC"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Disposals</w:t>
            </w:r>
          </w:p>
        </w:tc>
        <w:tc>
          <w:tcPr>
            <w:tcW w:w="1275" w:type="dxa"/>
          </w:tcPr>
          <w:p w:rsidRPr="009C48DA" w:rsidR="00661519" w:rsidP="00661519" w:rsidRDefault="00661519" w14:paraId="7AA54606" w14:textId="77777777">
            <w:pPr>
              <w:pBdr>
                <w:bottom w:val="single" w:color="auto" w:sz="12" w:space="1"/>
              </w:pBdr>
              <w:spacing w:before="60"/>
              <w:jc w:val="right"/>
              <w:rPr>
                <w:sz w:val="16"/>
                <w:szCs w:val="16"/>
                <w:lang w:val="en-GB"/>
              </w:rPr>
            </w:pPr>
            <w:r w:rsidRPr="009C48DA">
              <w:rPr>
                <w:sz w:val="16"/>
                <w:szCs w:val="16"/>
                <w:lang w:val="en-GB"/>
              </w:rPr>
              <w:t>(21)</w:t>
            </w:r>
          </w:p>
        </w:tc>
        <w:tc>
          <w:tcPr>
            <w:tcW w:w="1276" w:type="dxa"/>
          </w:tcPr>
          <w:p w:rsidRPr="009C48DA" w:rsidR="00661519" w:rsidP="00661519" w:rsidRDefault="00661519" w14:paraId="317C4699" w14:textId="77777777">
            <w:pPr>
              <w:pBdr>
                <w:bottom w:val="single" w:color="auto" w:sz="12" w:space="1"/>
              </w:pBdr>
              <w:spacing w:before="60"/>
              <w:jc w:val="right"/>
              <w:rPr>
                <w:sz w:val="16"/>
                <w:szCs w:val="16"/>
                <w:lang w:val="en-GB"/>
              </w:rPr>
            </w:pPr>
            <w:r w:rsidRPr="009C48DA">
              <w:rPr>
                <w:sz w:val="16"/>
                <w:szCs w:val="16"/>
                <w:lang w:val="en-GB"/>
              </w:rPr>
              <w:t>-</w:t>
            </w:r>
          </w:p>
        </w:tc>
        <w:tc>
          <w:tcPr>
            <w:tcW w:w="1276" w:type="dxa"/>
          </w:tcPr>
          <w:p w:rsidRPr="009C48DA" w:rsidR="00661519" w:rsidP="00661519" w:rsidRDefault="00661519" w14:paraId="07AD1D26" w14:textId="77777777">
            <w:pPr>
              <w:pBdr>
                <w:bottom w:val="single" w:color="auto" w:sz="12" w:space="1"/>
              </w:pBdr>
              <w:spacing w:before="60"/>
              <w:jc w:val="right"/>
              <w:rPr>
                <w:sz w:val="16"/>
                <w:szCs w:val="16"/>
                <w:lang w:val="en-GB"/>
              </w:rPr>
            </w:pPr>
            <w:r w:rsidRPr="009C48DA">
              <w:rPr>
                <w:sz w:val="16"/>
                <w:szCs w:val="16"/>
                <w:lang w:val="en-GB"/>
              </w:rPr>
              <w:t>-</w:t>
            </w:r>
          </w:p>
        </w:tc>
        <w:tc>
          <w:tcPr>
            <w:tcW w:w="1276" w:type="dxa"/>
          </w:tcPr>
          <w:p w:rsidRPr="009C48DA" w:rsidR="00661519" w:rsidP="00661519" w:rsidRDefault="00661519" w14:paraId="1743EBD0" w14:textId="77777777">
            <w:pPr>
              <w:pBdr>
                <w:bottom w:val="single" w:color="auto" w:sz="12" w:space="1"/>
              </w:pBdr>
              <w:spacing w:before="60"/>
              <w:jc w:val="right"/>
              <w:rPr>
                <w:sz w:val="16"/>
                <w:szCs w:val="16"/>
                <w:lang w:val="en-GB"/>
              </w:rPr>
            </w:pPr>
            <w:r w:rsidRPr="009C48DA">
              <w:rPr>
                <w:sz w:val="16"/>
                <w:szCs w:val="16"/>
                <w:lang w:val="en-GB"/>
              </w:rPr>
              <w:t>(21)</w:t>
            </w:r>
          </w:p>
        </w:tc>
      </w:tr>
      <w:tr w:rsidRPr="009C48DA" w:rsidR="00661519" w:rsidTr="00661519" w14:paraId="3805A6DA" w14:textId="77777777">
        <w:tc>
          <w:tcPr>
            <w:tcW w:w="3936" w:type="dxa"/>
            <w:vAlign w:val="bottom"/>
          </w:tcPr>
          <w:p w:rsidRPr="009C48DA" w:rsidR="00661519" w:rsidP="00661519" w:rsidRDefault="00661519" w14:paraId="39BA2504" w14:textId="77777777">
            <w:pPr>
              <w:spacing w:before="60"/>
              <w:jc w:val="both"/>
              <w:textAlignment w:val="baseline"/>
              <w:rPr>
                <w:rFonts w:eastAsia="Times New Roman"/>
                <w:b/>
                <w:color w:val="000000"/>
                <w:sz w:val="16"/>
                <w:lang w:val="en-GB"/>
              </w:rPr>
            </w:pPr>
            <w:r w:rsidRPr="009C48DA">
              <w:rPr>
                <w:rFonts w:eastAsia="Times New Roman"/>
                <w:b/>
                <w:color w:val="000000"/>
                <w:sz w:val="16"/>
                <w:lang w:val="en-GB"/>
              </w:rPr>
              <w:t>At 31 March 2021</w:t>
            </w:r>
          </w:p>
        </w:tc>
        <w:tc>
          <w:tcPr>
            <w:tcW w:w="1275" w:type="dxa"/>
          </w:tcPr>
          <w:p w:rsidRPr="009C48DA" w:rsidR="00661519" w:rsidP="00661519" w:rsidRDefault="00661519" w14:paraId="352ACC51" w14:textId="77777777">
            <w:pPr>
              <w:pBdr>
                <w:bottom w:val="single" w:color="auto" w:sz="12" w:space="1"/>
              </w:pBdr>
              <w:spacing w:before="60"/>
              <w:jc w:val="right"/>
              <w:rPr>
                <w:sz w:val="16"/>
                <w:szCs w:val="16"/>
                <w:lang w:val="en-GB"/>
              </w:rPr>
            </w:pPr>
            <w:r w:rsidRPr="009C48DA">
              <w:rPr>
                <w:rFonts w:eastAsia="Times New Roman"/>
                <w:color w:val="000000"/>
                <w:sz w:val="16"/>
                <w:lang w:val="en-GB"/>
              </w:rPr>
              <w:t>51,920</w:t>
            </w:r>
          </w:p>
        </w:tc>
        <w:tc>
          <w:tcPr>
            <w:tcW w:w="1276" w:type="dxa"/>
          </w:tcPr>
          <w:p w:rsidRPr="009C48DA" w:rsidR="00661519" w:rsidP="00661519" w:rsidRDefault="00661519" w14:paraId="45ED0C4D" w14:textId="77777777">
            <w:pPr>
              <w:pBdr>
                <w:bottom w:val="single" w:color="auto" w:sz="12" w:space="1"/>
              </w:pBdr>
              <w:spacing w:before="60"/>
              <w:jc w:val="right"/>
              <w:rPr>
                <w:sz w:val="16"/>
                <w:szCs w:val="16"/>
                <w:lang w:val="en-GB"/>
              </w:rPr>
            </w:pPr>
            <w:r w:rsidRPr="009C48DA">
              <w:rPr>
                <w:sz w:val="16"/>
                <w:szCs w:val="16"/>
                <w:lang w:val="en-GB"/>
              </w:rPr>
              <w:t>10,152</w:t>
            </w:r>
          </w:p>
        </w:tc>
        <w:tc>
          <w:tcPr>
            <w:tcW w:w="1276" w:type="dxa"/>
          </w:tcPr>
          <w:p w:rsidRPr="009C48DA" w:rsidR="00661519" w:rsidP="00661519" w:rsidRDefault="00661519" w14:paraId="31FDCDC0" w14:textId="77777777">
            <w:pPr>
              <w:pBdr>
                <w:bottom w:val="single" w:color="auto" w:sz="12" w:space="1"/>
              </w:pBdr>
              <w:spacing w:before="60"/>
              <w:jc w:val="right"/>
              <w:rPr>
                <w:sz w:val="16"/>
                <w:szCs w:val="16"/>
                <w:lang w:val="en-GB"/>
              </w:rPr>
            </w:pPr>
            <w:r w:rsidRPr="009C48DA">
              <w:rPr>
                <w:rFonts w:eastAsia="Times New Roman"/>
                <w:color w:val="000000"/>
                <w:sz w:val="16"/>
                <w:lang w:val="en-GB"/>
              </w:rPr>
              <w:t>10,015</w:t>
            </w:r>
          </w:p>
        </w:tc>
        <w:tc>
          <w:tcPr>
            <w:tcW w:w="1276" w:type="dxa"/>
          </w:tcPr>
          <w:p w:rsidRPr="009C48DA" w:rsidR="00661519" w:rsidP="00661519" w:rsidRDefault="00661519" w14:paraId="70CB082D" w14:textId="77777777">
            <w:pPr>
              <w:pBdr>
                <w:bottom w:val="single" w:color="auto" w:sz="12" w:space="1"/>
              </w:pBdr>
              <w:spacing w:before="60"/>
              <w:jc w:val="right"/>
              <w:rPr>
                <w:sz w:val="16"/>
                <w:szCs w:val="16"/>
                <w:lang w:val="en-GB"/>
              </w:rPr>
            </w:pPr>
            <w:r w:rsidRPr="009C48DA">
              <w:rPr>
                <w:rFonts w:eastAsia="Times New Roman"/>
                <w:color w:val="000000"/>
                <w:sz w:val="16"/>
                <w:lang w:val="en-GB"/>
              </w:rPr>
              <w:t>72,087</w:t>
            </w:r>
          </w:p>
        </w:tc>
      </w:tr>
      <w:tr w:rsidRPr="009C48DA" w:rsidR="00661519" w:rsidTr="00661519" w14:paraId="53AD1F8A" w14:textId="77777777">
        <w:tc>
          <w:tcPr>
            <w:tcW w:w="3936" w:type="dxa"/>
          </w:tcPr>
          <w:p w:rsidRPr="009C48DA" w:rsidR="00661519" w:rsidP="00661519" w:rsidRDefault="00661519" w14:paraId="4BDEC074" w14:textId="77777777">
            <w:pPr>
              <w:spacing w:before="60"/>
              <w:jc w:val="both"/>
              <w:textAlignment w:val="baseline"/>
              <w:rPr>
                <w:lang w:val="en-GB"/>
              </w:rPr>
            </w:pPr>
            <w:r w:rsidRPr="009C48DA">
              <w:rPr>
                <w:rFonts w:eastAsia="Times New Roman"/>
                <w:b/>
                <w:color w:val="000000"/>
                <w:sz w:val="16"/>
                <w:lang w:val="en-GB"/>
              </w:rPr>
              <w:t>Accumulated depreciation and impairment</w:t>
            </w:r>
          </w:p>
        </w:tc>
        <w:tc>
          <w:tcPr>
            <w:tcW w:w="1275" w:type="dxa"/>
          </w:tcPr>
          <w:p w:rsidRPr="009C48DA" w:rsidR="00661519" w:rsidP="00661519" w:rsidRDefault="00661519" w14:paraId="3B89F204" w14:textId="77777777">
            <w:pPr>
              <w:spacing w:before="60"/>
              <w:jc w:val="right"/>
              <w:rPr>
                <w:sz w:val="16"/>
                <w:szCs w:val="16"/>
                <w:lang w:val="en-GB"/>
              </w:rPr>
            </w:pPr>
            <w:r w:rsidRPr="009C48DA">
              <w:rPr>
                <w:sz w:val="16"/>
                <w:szCs w:val="16"/>
                <w:lang w:val="en-GB"/>
              </w:rPr>
              <w:t xml:space="preserve"> </w:t>
            </w:r>
          </w:p>
        </w:tc>
        <w:tc>
          <w:tcPr>
            <w:tcW w:w="1276" w:type="dxa"/>
          </w:tcPr>
          <w:p w:rsidRPr="009C48DA" w:rsidR="00661519" w:rsidP="00661519" w:rsidRDefault="00661519" w14:paraId="36164F0F" w14:textId="77777777">
            <w:pPr>
              <w:spacing w:before="60"/>
              <w:jc w:val="right"/>
              <w:rPr>
                <w:sz w:val="16"/>
                <w:szCs w:val="16"/>
                <w:lang w:val="en-GB"/>
              </w:rPr>
            </w:pPr>
            <w:r w:rsidRPr="009C48DA">
              <w:rPr>
                <w:sz w:val="16"/>
                <w:szCs w:val="16"/>
                <w:lang w:val="en-GB"/>
              </w:rPr>
              <w:t xml:space="preserve"> </w:t>
            </w:r>
          </w:p>
        </w:tc>
        <w:tc>
          <w:tcPr>
            <w:tcW w:w="1276" w:type="dxa"/>
          </w:tcPr>
          <w:p w:rsidRPr="009C48DA" w:rsidR="00661519" w:rsidP="00661519" w:rsidRDefault="00661519" w14:paraId="10E3B07E" w14:textId="77777777">
            <w:pPr>
              <w:spacing w:before="60"/>
              <w:jc w:val="right"/>
              <w:rPr>
                <w:sz w:val="16"/>
                <w:szCs w:val="16"/>
                <w:lang w:val="en-GB"/>
              </w:rPr>
            </w:pPr>
            <w:r w:rsidRPr="009C48DA">
              <w:rPr>
                <w:sz w:val="16"/>
                <w:szCs w:val="16"/>
                <w:lang w:val="en-GB"/>
              </w:rPr>
              <w:t xml:space="preserve"> </w:t>
            </w:r>
          </w:p>
        </w:tc>
        <w:tc>
          <w:tcPr>
            <w:tcW w:w="1276" w:type="dxa"/>
          </w:tcPr>
          <w:p w:rsidRPr="009C48DA" w:rsidR="00661519" w:rsidP="00661519" w:rsidRDefault="00661519" w14:paraId="09F6948A" w14:textId="77777777">
            <w:pPr>
              <w:spacing w:before="60"/>
              <w:jc w:val="right"/>
              <w:rPr>
                <w:sz w:val="16"/>
                <w:szCs w:val="16"/>
                <w:lang w:val="en-GB"/>
              </w:rPr>
            </w:pPr>
            <w:r w:rsidRPr="009C48DA">
              <w:rPr>
                <w:sz w:val="16"/>
                <w:szCs w:val="16"/>
                <w:lang w:val="en-GB"/>
              </w:rPr>
              <w:t xml:space="preserve"> </w:t>
            </w:r>
          </w:p>
        </w:tc>
      </w:tr>
      <w:tr w:rsidRPr="009C48DA" w:rsidR="00661519" w:rsidTr="00661519" w14:paraId="6EC5BEF8" w14:textId="77777777">
        <w:tc>
          <w:tcPr>
            <w:tcW w:w="3936" w:type="dxa"/>
          </w:tcPr>
          <w:p w:rsidRPr="009C48DA" w:rsidR="00661519" w:rsidP="00661519" w:rsidRDefault="00661519" w14:paraId="339FCDD2" w14:textId="77777777">
            <w:pPr>
              <w:spacing w:before="60" w:after="28" w:line="182" w:lineRule="exact"/>
              <w:textAlignment w:val="baseline"/>
              <w:rPr>
                <w:rFonts w:eastAsia="Times New Roman"/>
                <w:b/>
                <w:color w:val="000000"/>
                <w:sz w:val="16"/>
                <w:lang w:val="en-GB"/>
              </w:rPr>
            </w:pPr>
            <w:r w:rsidRPr="009C48DA">
              <w:rPr>
                <w:rFonts w:eastAsia="Times New Roman"/>
                <w:b/>
                <w:color w:val="000000"/>
                <w:sz w:val="16"/>
                <w:lang w:val="en-GB"/>
              </w:rPr>
              <w:t>Balance at 1 January 2021</w:t>
            </w:r>
          </w:p>
        </w:tc>
        <w:tc>
          <w:tcPr>
            <w:tcW w:w="1275" w:type="dxa"/>
          </w:tcPr>
          <w:p w:rsidRPr="009C48DA" w:rsidR="00661519" w:rsidP="00661519" w:rsidRDefault="00661519" w14:paraId="14A7BF38" w14:textId="77777777">
            <w:pPr>
              <w:spacing w:before="60"/>
              <w:jc w:val="right"/>
              <w:rPr>
                <w:sz w:val="16"/>
                <w:szCs w:val="16"/>
                <w:lang w:val="en-GB"/>
              </w:rPr>
            </w:pPr>
            <w:r w:rsidRPr="009C48DA">
              <w:rPr>
                <w:rFonts w:eastAsia="Times New Roman"/>
                <w:color w:val="000000"/>
                <w:sz w:val="16"/>
                <w:lang w:val="en-GB"/>
              </w:rPr>
              <w:t>(17,569)</w:t>
            </w:r>
          </w:p>
        </w:tc>
        <w:tc>
          <w:tcPr>
            <w:tcW w:w="1276" w:type="dxa"/>
          </w:tcPr>
          <w:p w:rsidRPr="009C48DA" w:rsidR="00661519" w:rsidP="00661519" w:rsidRDefault="00661519" w14:paraId="025F773A" w14:textId="77777777">
            <w:pPr>
              <w:spacing w:before="60"/>
              <w:jc w:val="right"/>
              <w:rPr>
                <w:sz w:val="16"/>
                <w:szCs w:val="16"/>
                <w:lang w:val="en-GB"/>
              </w:rPr>
            </w:pPr>
            <w:r w:rsidRPr="009C48DA">
              <w:rPr>
                <w:rFonts w:eastAsia="Times New Roman"/>
                <w:color w:val="000000"/>
                <w:sz w:val="16"/>
                <w:lang w:val="en-GB"/>
              </w:rPr>
              <w:t>(4,278)</w:t>
            </w:r>
          </w:p>
        </w:tc>
        <w:tc>
          <w:tcPr>
            <w:tcW w:w="1276" w:type="dxa"/>
          </w:tcPr>
          <w:p w:rsidRPr="009C48DA" w:rsidR="00661519" w:rsidP="00661519" w:rsidRDefault="00661519" w14:paraId="236DA22C" w14:textId="77777777">
            <w:pPr>
              <w:spacing w:before="60"/>
              <w:jc w:val="right"/>
              <w:rPr>
                <w:sz w:val="16"/>
                <w:szCs w:val="16"/>
                <w:lang w:val="en-GB"/>
              </w:rPr>
            </w:pPr>
            <w:r w:rsidRPr="009C48DA">
              <w:rPr>
                <w:rFonts w:eastAsia="Times New Roman"/>
                <w:color w:val="000000"/>
                <w:sz w:val="16"/>
                <w:lang w:val="en-GB"/>
              </w:rPr>
              <w:t>(6,591)</w:t>
            </w:r>
          </w:p>
        </w:tc>
        <w:tc>
          <w:tcPr>
            <w:tcW w:w="1276" w:type="dxa"/>
          </w:tcPr>
          <w:p w:rsidRPr="009C48DA" w:rsidR="00661519" w:rsidP="00661519" w:rsidRDefault="00661519" w14:paraId="3FF32B02" w14:textId="77777777">
            <w:pPr>
              <w:spacing w:before="60"/>
              <w:jc w:val="right"/>
              <w:rPr>
                <w:sz w:val="16"/>
                <w:szCs w:val="16"/>
                <w:lang w:val="en-GB"/>
              </w:rPr>
            </w:pPr>
            <w:r w:rsidRPr="009C48DA">
              <w:rPr>
                <w:rFonts w:eastAsia="Times New Roman"/>
                <w:color w:val="000000"/>
                <w:sz w:val="16"/>
                <w:lang w:val="en-GB"/>
              </w:rPr>
              <w:t>(28,438)</w:t>
            </w:r>
          </w:p>
        </w:tc>
      </w:tr>
      <w:tr w:rsidRPr="009C48DA" w:rsidR="00661519" w:rsidTr="00661519" w14:paraId="1C1DDB8F" w14:textId="77777777">
        <w:tc>
          <w:tcPr>
            <w:tcW w:w="3936" w:type="dxa"/>
          </w:tcPr>
          <w:p w:rsidRPr="009C48DA" w:rsidR="00661519" w:rsidP="00661519" w:rsidRDefault="00661519" w14:paraId="333C28BB" w14:textId="77777777">
            <w:pPr>
              <w:spacing w:before="60" w:after="28" w:line="182" w:lineRule="exact"/>
              <w:textAlignment w:val="baseline"/>
              <w:rPr>
                <w:rFonts w:eastAsia="Times New Roman"/>
                <w:color w:val="000000"/>
                <w:sz w:val="16"/>
                <w:lang w:val="en-GB"/>
              </w:rPr>
            </w:pPr>
            <w:r w:rsidRPr="009C48DA">
              <w:rPr>
                <w:rFonts w:eastAsia="Times New Roman"/>
                <w:color w:val="000000"/>
                <w:sz w:val="16"/>
                <w:lang w:val="en-GB"/>
              </w:rPr>
              <w:t>Depreciation</w:t>
            </w:r>
          </w:p>
        </w:tc>
        <w:tc>
          <w:tcPr>
            <w:tcW w:w="1275" w:type="dxa"/>
          </w:tcPr>
          <w:p w:rsidRPr="009C48DA" w:rsidR="00661519" w:rsidP="00661519" w:rsidRDefault="00661519" w14:paraId="25F3527F" w14:textId="77777777">
            <w:pPr>
              <w:pBdr>
                <w:bottom w:val="single" w:color="auto" w:sz="12" w:space="1"/>
              </w:pBdr>
              <w:spacing w:before="60"/>
              <w:jc w:val="right"/>
              <w:rPr>
                <w:sz w:val="16"/>
                <w:szCs w:val="16"/>
                <w:lang w:val="en-GB"/>
              </w:rPr>
            </w:pPr>
            <w:r w:rsidRPr="009C48DA">
              <w:rPr>
                <w:rFonts w:eastAsia="Times New Roman"/>
                <w:color w:val="000000"/>
                <w:sz w:val="16"/>
                <w:lang w:val="en-GB"/>
              </w:rPr>
              <w:t>(1,607)</w:t>
            </w:r>
          </w:p>
        </w:tc>
        <w:tc>
          <w:tcPr>
            <w:tcW w:w="1276" w:type="dxa"/>
          </w:tcPr>
          <w:p w:rsidRPr="009C48DA" w:rsidR="00661519" w:rsidP="00661519" w:rsidRDefault="00661519" w14:paraId="02B08D56" w14:textId="77777777">
            <w:pPr>
              <w:pBdr>
                <w:bottom w:val="single" w:color="auto" w:sz="12" w:space="1"/>
              </w:pBdr>
              <w:spacing w:before="60"/>
              <w:jc w:val="right"/>
              <w:rPr>
                <w:sz w:val="16"/>
                <w:szCs w:val="16"/>
                <w:lang w:val="en-GB"/>
              </w:rPr>
            </w:pPr>
            <w:r w:rsidRPr="009C48DA">
              <w:rPr>
                <w:rFonts w:eastAsia="Times New Roman"/>
                <w:color w:val="000000"/>
                <w:sz w:val="16"/>
                <w:lang w:val="en-GB"/>
              </w:rPr>
              <w:t>(433)</w:t>
            </w:r>
          </w:p>
        </w:tc>
        <w:tc>
          <w:tcPr>
            <w:tcW w:w="1276" w:type="dxa"/>
          </w:tcPr>
          <w:p w:rsidRPr="009C48DA" w:rsidR="00661519" w:rsidP="00661519" w:rsidRDefault="00661519" w14:paraId="4A2ABC63" w14:textId="77777777">
            <w:pPr>
              <w:pBdr>
                <w:bottom w:val="single" w:color="auto" w:sz="12" w:space="1"/>
              </w:pBdr>
              <w:spacing w:before="60"/>
              <w:jc w:val="right"/>
              <w:rPr>
                <w:sz w:val="16"/>
                <w:szCs w:val="16"/>
                <w:lang w:val="en-GB"/>
              </w:rPr>
            </w:pPr>
            <w:r w:rsidRPr="009C48DA">
              <w:rPr>
                <w:rFonts w:eastAsia="Times New Roman"/>
                <w:color w:val="000000"/>
                <w:sz w:val="16"/>
                <w:lang w:val="en-GB"/>
              </w:rPr>
              <w:t>(383)</w:t>
            </w:r>
          </w:p>
        </w:tc>
        <w:tc>
          <w:tcPr>
            <w:tcW w:w="1276" w:type="dxa"/>
          </w:tcPr>
          <w:p w:rsidRPr="009C48DA" w:rsidR="00661519" w:rsidP="00661519" w:rsidRDefault="00661519" w14:paraId="6489F8E2" w14:textId="77777777">
            <w:pPr>
              <w:pBdr>
                <w:bottom w:val="single" w:color="auto" w:sz="12" w:space="1"/>
              </w:pBdr>
              <w:spacing w:before="60"/>
              <w:jc w:val="right"/>
              <w:rPr>
                <w:sz w:val="16"/>
                <w:szCs w:val="16"/>
                <w:lang w:val="en-GB"/>
              </w:rPr>
            </w:pPr>
            <w:r w:rsidRPr="009C48DA">
              <w:rPr>
                <w:rFonts w:eastAsia="Times New Roman"/>
                <w:color w:val="000000"/>
                <w:sz w:val="16"/>
                <w:lang w:val="en-GB"/>
              </w:rPr>
              <w:t>(2,423)</w:t>
            </w:r>
          </w:p>
        </w:tc>
      </w:tr>
      <w:tr w:rsidRPr="009C48DA" w:rsidR="00661519" w:rsidTr="00661519" w14:paraId="3D757EB9" w14:textId="77777777">
        <w:tc>
          <w:tcPr>
            <w:tcW w:w="3936" w:type="dxa"/>
          </w:tcPr>
          <w:p w:rsidRPr="009C48DA" w:rsidR="00661519" w:rsidP="00661519" w:rsidRDefault="00661519" w14:paraId="407CAE2D" w14:textId="77777777">
            <w:pPr>
              <w:spacing w:before="60" w:after="28" w:line="182" w:lineRule="exact"/>
              <w:textAlignment w:val="baseline"/>
              <w:rPr>
                <w:rFonts w:eastAsia="Times New Roman"/>
                <w:color w:val="000000"/>
                <w:sz w:val="16"/>
                <w:lang w:val="en-GB"/>
              </w:rPr>
            </w:pPr>
            <w:r w:rsidRPr="009C48DA">
              <w:rPr>
                <w:rFonts w:eastAsia="Times New Roman"/>
                <w:color w:val="000000"/>
                <w:sz w:val="16"/>
                <w:lang w:val="en-GB"/>
              </w:rPr>
              <w:t>Foreign exchange</w:t>
            </w:r>
          </w:p>
        </w:tc>
        <w:tc>
          <w:tcPr>
            <w:tcW w:w="1275" w:type="dxa"/>
          </w:tcPr>
          <w:p w:rsidRPr="009C48DA" w:rsidR="00661519" w:rsidP="00661519" w:rsidRDefault="00661519" w14:paraId="0A32DB27" w14:textId="77777777">
            <w:pPr>
              <w:pBdr>
                <w:bottom w:val="single" w:color="auto" w:sz="12" w:space="1"/>
              </w:pBdr>
              <w:spacing w:before="60"/>
              <w:jc w:val="right"/>
              <w:rPr>
                <w:rFonts w:eastAsia="Times New Roman"/>
                <w:color w:val="000000"/>
                <w:sz w:val="16"/>
                <w:lang w:val="en-GB"/>
              </w:rPr>
            </w:pPr>
            <w:r w:rsidRPr="009C48DA">
              <w:rPr>
                <w:rFonts w:eastAsia="Times New Roman"/>
                <w:color w:val="000000"/>
                <w:sz w:val="16"/>
                <w:lang w:val="en-GB"/>
              </w:rPr>
              <w:t>-</w:t>
            </w:r>
          </w:p>
        </w:tc>
        <w:tc>
          <w:tcPr>
            <w:tcW w:w="1276" w:type="dxa"/>
          </w:tcPr>
          <w:p w:rsidRPr="009C48DA" w:rsidR="00661519" w:rsidP="00661519" w:rsidRDefault="00661519" w14:paraId="5C0E22BC" w14:textId="77777777">
            <w:pPr>
              <w:pBdr>
                <w:bottom w:val="single" w:color="auto" w:sz="12" w:space="1"/>
              </w:pBdr>
              <w:spacing w:before="60"/>
              <w:jc w:val="right"/>
              <w:rPr>
                <w:rFonts w:eastAsia="Times New Roman"/>
                <w:color w:val="000000"/>
                <w:sz w:val="16"/>
                <w:lang w:val="en-GB"/>
              </w:rPr>
            </w:pPr>
            <w:r w:rsidRPr="009C48DA">
              <w:rPr>
                <w:rFonts w:eastAsia="Times New Roman"/>
                <w:color w:val="000000"/>
                <w:sz w:val="16"/>
                <w:lang w:val="en-GB"/>
              </w:rPr>
              <w:t>146</w:t>
            </w:r>
          </w:p>
        </w:tc>
        <w:tc>
          <w:tcPr>
            <w:tcW w:w="1276" w:type="dxa"/>
          </w:tcPr>
          <w:p w:rsidRPr="009C48DA" w:rsidR="00661519" w:rsidP="00661519" w:rsidRDefault="00661519" w14:paraId="25576FA6" w14:textId="77777777">
            <w:pPr>
              <w:pBdr>
                <w:bottom w:val="single" w:color="auto" w:sz="12" w:space="1"/>
              </w:pBdr>
              <w:spacing w:before="60"/>
              <w:jc w:val="right"/>
              <w:rPr>
                <w:rFonts w:eastAsia="Times New Roman"/>
                <w:color w:val="000000"/>
                <w:sz w:val="16"/>
                <w:lang w:val="en-GB"/>
              </w:rPr>
            </w:pPr>
            <w:r w:rsidRPr="009C48DA">
              <w:rPr>
                <w:rFonts w:eastAsia="Times New Roman"/>
                <w:color w:val="000000"/>
                <w:sz w:val="16"/>
                <w:lang w:val="en-GB"/>
              </w:rPr>
              <w:t>20</w:t>
            </w:r>
          </w:p>
        </w:tc>
        <w:tc>
          <w:tcPr>
            <w:tcW w:w="1276" w:type="dxa"/>
          </w:tcPr>
          <w:p w:rsidRPr="009C48DA" w:rsidR="00661519" w:rsidP="00661519" w:rsidRDefault="00661519" w14:paraId="2662F59E" w14:textId="77777777">
            <w:pPr>
              <w:pBdr>
                <w:bottom w:val="single" w:color="auto" w:sz="12" w:space="1"/>
              </w:pBdr>
              <w:spacing w:before="60"/>
              <w:jc w:val="right"/>
              <w:rPr>
                <w:rFonts w:eastAsia="Times New Roman"/>
                <w:color w:val="000000"/>
                <w:sz w:val="16"/>
                <w:lang w:val="en-GB"/>
              </w:rPr>
            </w:pPr>
            <w:r w:rsidRPr="009C48DA">
              <w:rPr>
                <w:rFonts w:eastAsia="Times New Roman"/>
                <w:color w:val="000000"/>
                <w:sz w:val="16"/>
                <w:lang w:val="en-GB"/>
              </w:rPr>
              <w:t>166</w:t>
            </w:r>
          </w:p>
        </w:tc>
      </w:tr>
      <w:tr w:rsidRPr="009C48DA" w:rsidR="00661519" w:rsidTr="00661519" w14:paraId="6DAAFC7A" w14:textId="77777777">
        <w:tc>
          <w:tcPr>
            <w:tcW w:w="3936" w:type="dxa"/>
          </w:tcPr>
          <w:p w:rsidRPr="009C48DA" w:rsidR="00661519" w:rsidP="00661519" w:rsidRDefault="00661519" w14:paraId="5F8B4E41"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At 31 March 2021</w:t>
            </w:r>
          </w:p>
        </w:tc>
        <w:tc>
          <w:tcPr>
            <w:tcW w:w="1275" w:type="dxa"/>
          </w:tcPr>
          <w:p w:rsidRPr="009C48DA" w:rsidR="00661519" w:rsidP="00661519" w:rsidRDefault="00661519" w14:paraId="7E4605A7" w14:textId="77777777">
            <w:pPr>
              <w:pBdr>
                <w:bottom w:val="single" w:color="auto" w:sz="12" w:space="1"/>
              </w:pBdr>
              <w:spacing w:before="60"/>
              <w:jc w:val="right"/>
              <w:rPr>
                <w:sz w:val="16"/>
                <w:szCs w:val="16"/>
                <w:lang w:val="en-GB"/>
              </w:rPr>
            </w:pPr>
            <w:r w:rsidRPr="009C48DA">
              <w:rPr>
                <w:rFonts w:eastAsia="Times New Roman"/>
                <w:color w:val="000000"/>
                <w:sz w:val="16"/>
                <w:lang w:val="en-GB"/>
              </w:rPr>
              <w:t>(19,176)</w:t>
            </w:r>
          </w:p>
        </w:tc>
        <w:tc>
          <w:tcPr>
            <w:tcW w:w="1276" w:type="dxa"/>
          </w:tcPr>
          <w:p w:rsidRPr="009C48DA" w:rsidR="00661519" w:rsidP="00661519" w:rsidRDefault="00661519" w14:paraId="5F53C30A" w14:textId="77777777">
            <w:pPr>
              <w:pBdr>
                <w:bottom w:val="single" w:color="auto" w:sz="12" w:space="1"/>
              </w:pBdr>
              <w:spacing w:before="60"/>
              <w:jc w:val="right"/>
              <w:rPr>
                <w:sz w:val="16"/>
                <w:szCs w:val="16"/>
                <w:lang w:val="en-GB"/>
              </w:rPr>
            </w:pPr>
            <w:r w:rsidRPr="009C48DA">
              <w:rPr>
                <w:rFonts w:eastAsia="Times New Roman"/>
                <w:color w:val="000000"/>
                <w:sz w:val="16"/>
                <w:lang w:val="en-GB"/>
              </w:rPr>
              <w:t>(4,565)</w:t>
            </w:r>
          </w:p>
        </w:tc>
        <w:tc>
          <w:tcPr>
            <w:tcW w:w="1276" w:type="dxa"/>
          </w:tcPr>
          <w:p w:rsidRPr="009C48DA" w:rsidR="00661519" w:rsidP="00661519" w:rsidRDefault="00661519" w14:paraId="2B6E3BB6" w14:textId="77777777">
            <w:pPr>
              <w:pBdr>
                <w:bottom w:val="single" w:color="auto" w:sz="12" w:space="1"/>
              </w:pBdr>
              <w:spacing w:before="60"/>
              <w:jc w:val="right"/>
              <w:rPr>
                <w:sz w:val="16"/>
                <w:szCs w:val="16"/>
                <w:lang w:val="en-GB"/>
              </w:rPr>
            </w:pPr>
            <w:r w:rsidRPr="009C48DA">
              <w:rPr>
                <w:rFonts w:eastAsia="Times New Roman"/>
                <w:color w:val="000000"/>
                <w:sz w:val="16"/>
                <w:lang w:val="en-GB"/>
              </w:rPr>
              <w:t>(6,954)</w:t>
            </w:r>
          </w:p>
        </w:tc>
        <w:tc>
          <w:tcPr>
            <w:tcW w:w="1276" w:type="dxa"/>
          </w:tcPr>
          <w:p w:rsidRPr="009C48DA" w:rsidR="00661519" w:rsidP="00661519" w:rsidRDefault="00661519" w14:paraId="3EF5903B" w14:textId="77777777">
            <w:pPr>
              <w:pBdr>
                <w:bottom w:val="single" w:color="auto" w:sz="12" w:space="1"/>
              </w:pBdr>
              <w:spacing w:before="60"/>
              <w:jc w:val="right"/>
              <w:rPr>
                <w:sz w:val="16"/>
                <w:szCs w:val="16"/>
                <w:lang w:val="en-GB"/>
              </w:rPr>
            </w:pPr>
            <w:r w:rsidRPr="009C48DA">
              <w:rPr>
                <w:rFonts w:eastAsia="Times New Roman"/>
                <w:color w:val="000000"/>
                <w:sz w:val="16"/>
                <w:lang w:val="en-GB"/>
              </w:rPr>
              <w:t>(30,695)</w:t>
            </w:r>
          </w:p>
        </w:tc>
      </w:tr>
      <w:tr w:rsidRPr="009C48DA" w:rsidR="00661519" w:rsidTr="00661519" w14:paraId="688B80B7" w14:textId="77777777">
        <w:trPr>
          <w:trHeight w:val="252"/>
        </w:trPr>
        <w:tc>
          <w:tcPr>
            <w:tcW w:w="3936" w:type="dxa"/>
            <w:vAlign w:val="bottom"/>
          </w:tcPr>
          <w:p w:rsidRPr="009C48DA" w:rsidR="00661519" w:rsidP="00661519" w:rsidRDefault="00661519" w14:paraId="53A4B461"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As at 31 March 2021</w:t>
            </w:r>
          </w:p>
        </w:tc>
        <w:tc>
          <w:tcPr>
            <w:tcW w:w="1275" w:type="dxa"/>
          </w:tcPr>
          <w:p w:rsidRPr="009C48DA" w:rsidR="00661519" w:rsidP="00661519" w:rsidRDefault="00661519" w14:paraId="70A8C1FB" w14:textId="77777777">
            <w:pPr>
              <w:pBdr>
                <w:bottom w:val="double" w:color="auto" w:sz="12" w:space="1"/>
              </w:pBdr>
              <w:spacing w:before="60"/>
              <w:jc w:val="right"/>
              <w:rPr>
                <w:sz w:val="16"/>
                <w:szCs w:val="16"/>
                <w:lang w:val="en-GB"/>
              </w:rPr>
            </w:pPr>
            <w:r w:rsidRPr="009C48DA">
              <w:rPr>
                <w:rFonts w:eastAsia="Times New Roman"/>
                <w:color w:val="000000"/>
                <w:sz w:val="16"/>
                <w:lang w:val="en-GB"/>
              </w:rPr>
              <w:t>32,744</w:t>
            </w:r>
          </w:p>
        </w:tc>
        <w:tc>
          <w:tcPr>
            <w:tcW w:w="1276" w:type="dxa"/>
          </w:tcPr>
          <w:p w:rsidRPr="009C48DA" w:rsidR="00661519" w:rsidP="00661519" w:rsidRDefault="00661519" w14:paraId="1526A4BC" w14:textId="77777777">
            <w:pPr>
              <w:pBdr>
                <w:bottom w:val="double" w:color="auto" w:sz="12" w:space="1"/>
              </w:pBdr>
              <w:spacing w:before="60"/>
              <w:jc w:val="right"/>
              <w:rPr>
                <w:sz w:val="16"/>
                <w:szCs w:val="16"/>
                <w:lang w:val="en-GB"/>
              </w:rPr>
            </w:pPr>
            <w:r w:rsidRPr="009C48DA">
              <w:rPr>
                <w:rFonts w:eastAsia="Times New Roman"/>
                <w:color w:val="000000"/>
                <w:sz w:val="16"/>
                <w:lang w:val="en-GB"/>
              </w:rPr>
              <w:t>5,587</w:t>
            </w:r>
          </w:p>
        </w:tc>
        <w:tc>
          <w:tcPr>
            <w:tcW w:w="1276" w:type="dxa"/>
          </w:tcPr>
          <w:p w:rsidRPr="009C48DA" w:rsidR="00661519" w:rsidP="00661519" w:rsidRDefault="00661519" w14:paraId="068A7F2A" w14:textId="77777777">
            <w:pPr>
              <w:pBdr>
                <w:bottom w:val="double" w:color="auto" w:sz="12" w:space="1"/>
              </w:pBdr>
              <w:spacing w:before="60"/>
              <w:jc w:val="right"/>
              <w:rPr>
                <w:sz w:val="16"/>
                <w:szCs w:val="16"/>
                <w:lang w:val="en-GB"/>
              </w:rPr>
            </w:pPr>
            <w:r w:rsidRPr="009C48DA">
              <w:rPr>
                <w:rFonts w:eastAsia="Times New Roman"/>
                <w:color w:val="000000"/>
                <w:sz w:val="16"/>
                <w:lang w:val="en-GB"/>
              </w:rPr>
              <w:t>3,061</w:t>
            </w:r>
          </w:p>
        </w:tc>
        <w:tc>
          <w:tcPr>
            <w:tcW w:w="1276" w:type="dxa"/>
          </w:tcPr>
          <w:p w:rsidRPr="009C48DA" w:rsidR="00661519" w:rsidP="00661519" w:rsidRDefault="00661519" w14:paraId="0A3D30F3" w14:textId="77777777">
            <w:pPr>
              <w:pBdr>
                <w:bottom w:val="double" w:color="auto" w:sz="12" w:space="1"/>
              </w:pBdr>
              <w:spacing w:before="60"/>
              <w:jc w:val="right"/>
              <w:rPr>
                <w:sz w:val="16"/>
                <w:szCs w:val="16"/>
                <w:lang w:val="en-GB"/>
              </w:rPr>
            </w:pPr>
            <w:r w:rsidRPr="009C48DA">
              <w:rPr>
                <w:rFonts w:eastAsia="Times New Roman"/>
                <w:color w:val="000000"/>
                <w:sz w:val="16"/>
                <w:lang w:val="en-GB"/>
              </w:rPr>
              <w:t>41,392</w:t>
            </w:r>
          </w:p>
        </w:tc>
      </w:tr>
    </w:tbl>
    <w:p w:rsidRPr="009C48DA" w:rsidR="00661519" w:rsidP="00661519" w:rsidRDefault="00661519" w14:paraId="4AD5CD4A" w14:textId="77777777">
      <w:pPr>
        <w:rPr>
          <w:rFonts w:eastAsia="Times New Roman" w:cs="Times New Roman"/>
          <w:b/>
          <w:color w:val="000000"/>
          <w:sz w:val="16"/>
          <w:szCs w:val="22"/>
          <w:lang w:val="en-GB"/>
        </w:rPr>
      </w:pPr>
    </w:p>
    <w:p w:rsidRPr="009C48DA" w:rsidR="00661519" w:rsidP="00661519" w:rsidRDefault="00661519" w14:paraId="07315D70" w14:textId="77777777">
      <w:pPr>
        <w:rPr>
          <w:rFonts w:eastAsia="Times New Roman" w:cs="Times New Roman"/>
          <w:b/>
          <w:color w:val="000000"/>
          <w:sz w:val="16"/>
          <w:szCs w:val="22"/>
          <w:lang w:val="en-GB"/>
        </w:rPr>
      </w:pPr>
    </w:p>
    <w:p w:rsidRPr="009C48DA" w:rsidR="00661519" w:rsidP="00661519" w:rsidRDefault="00661519" w14:paraId="0BDA4518" w14:textId="77777777">
      <w:pPr>
        <w:rPr>
          <w:rFonts w:eastAsia="Times New Roman" w:cs="Times New Roman"/>
          <w:b/>
          <w:color w:val="000000"/>
          <w:sz w:val="16"/>
          <w:szCs w:val="22"/>
          <w:lang w:val="en-GB"/>
        </w:rPr>
      </w:pPr>
      <w:r w:rsidRPr="009C48DA">
        <w:rPr>
          <w:rFonts w:eastAsia="Times New Roman" w:cs="Times New Roman"/>
          <w:b/>
          <w:color w:val="000000"/>
          <w:sz w:val="16"/>
          <w:szCs w:val="22"/>
          <w:lang w:val="en-GB"/>
        </w:rPr>
        <w:t>14</w:t>
      </w:r>
      <w:r w:rsidRPr="009C48DA">
        <w:rPr>
          <w:rFonts w:eastAsia="Times New Roman" w:cs="Times New Roman"/>
          <w:b/>
          <w:color w:val="000000"/>
          <w:sz w:val="16"/>
          <w:szCs w:val="22"/>
          <w:lang w:val="en-GB"/>
        </w:rPr>
        <w:tab/>
        <w:t>Goodwill and intangible assets</w:t>
      </w:r>
    </w:p>
    <w:p w:rsidRPr="009C48DA" w:rsidR="00661519" w:rsidP="00661519" w:rsidRDefault="00661519" w14:paraId="4F994E0F" w14:textId="77777777">
      <w:pPr>
        <w:rPr>
          <w:rFonts w:eastAsia="Times New Roman" w:cs="Times New Roman"/>
          <w:b/>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45"/>
        <w:gridCol w:w="1276"/>
        <w:gridCol w:w="1276"/>
        <w:gridCol w:w="1134"/>
      </w:tblGrid>
      <w:tr w:rsidRPr="009C48DA" w:rsidR="00661519" w:rsidTr="00661519" w14:paraId="1F353DB6" w14:textId="77777777">
        <w:tc>
          <w:tcPr>
            <w:tcW w:w="5245" w:type="dxa"/>
            <w:vAlign w:val="bottom"/>
          </w:tcPr>
          <w:p w:rsidRPr="009C48DA" w:rsidR="00661519" w:rsidP="00661519" w:rsidRDefault="00661519" w14:paraId="475472F6" w14:textId="77777777">
            <w:pPr>
              <w:jc w:val="both"/>
              <w:textAlignment w:val="baseline"/>
              <w:rPr>
                <w:rFonts w:eastAsia="Times New Roman"/>
                <w:b/>
                <w:color w:val="000000"/>
                <w:sz w:val="16"/>
                <w:szCs w:val="16"/>
                <w:lang w:val="en-GB"/>
              </w:rPr>
            </w:pPr>
          </w:p>
        </w:tc>
        <w:tc>
          <w:tcPr>
            <w:tcW w:w="1276" w:type="dxa"/>
            <w:vAlign w:val="bottom"/>
          </w:tcPr>
          <w:p w:rsidRPr="009C48DA" w:rsidR="00661519" w:rsidP="00661519" w:rsidRDefault="00661519" w14:paraId="0DCB1539"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Goodwill</w:t>
            </w:r>
          </w:p>
          <w:p w:rsidRPr="009C48DA" w:rsidR="00661519" w:rsidP="00661519" w:rsidRDefault="00661519" w14:paraId="42F9D49E"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£ 000</w:t>
            </w:r>
          </w:p>
        </w:tc>
        <w:tc>
          <w:tcPr>
            <w:tcW w:w="1276" w:type="dxa"/>
            <w:vAlign w:val="bottom"/>
          </w:tcPr>
          <w:p w:rsidRPr="009C48DA" w:rsidR="00661519" w:rsidP="00661519" w:rsidRDefault="00661519" w14:paraId="055E91FC"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Intangibles</w:t>
            </w:r>
          </w:p>
          <w:p w:rsidRPr="009C48DA" w:rsidR="00661519" w:rsidP="00661519" w:rsidRDefault="00661519" w14:paraId="18132932"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£ 000</w:t>
            </w:r>
          </w:p>
        </w:tc>
        <w:tc>
          <w:tcPr>
            <w:tcW w:w="1134" w:type="dxa"/>
            <w:vAlign w:val="bottom"/>
          </w:tcPr>
          <w:p w:rsidRPr="009C48DA" w:rsidR="00661519" w:rsidP="00661519" w:rsidRDefault="00661519" w14:paraId="322022EE"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Total</w:t>
            </w:r>
          </w:p>
          <w:p w:rsidRPr="009C48DA" w:rsidR="00661519" w:rsidP="00661519" w:rsidRDefault="00661519" w14:paraId="15E8CE0B" w14:textId="77777777">
            <w:pPr>
              <w:jc w:val="center"/>
              <w:textAlignment w:val="baseline"/>
              <w:rPr>
                <w:rFonts w:eastAsia="Times New Roman"/>
                <w:b/>
                <w:color w:val="000000"/>
                <w:sz w:val="16"/>
                <w:szCs w:val="16"/>
                <w:lang w:val="en-GB"/>
              </w:rPr>
            </w:pPr>
            <w:r w:rsidRPr="009C48DA">
              <w:rPr>
                <w:rFonts w:eastAsia="Times New Roman"/>
                <w:b/>
                <w:color w:val="000000"/>
                <w:sz w:val="16"/>
                <w:szCs w:val="16"/>
                <w:lang w:val="en-GB"/>
              </w:rPr>
              <w:t>£ 000</w:t>
            </w:r>
          </w:p>
        </w:tc>
      </w:tr>
      <w:tr w:rsidRPr="009C48DA" w:rsidR="00661519" w:rsidTr="00661519" w14:paraId="09996C40" w14:textId="77777777">
        <w:tc>
          <w:tcPr>
            <w:tcW w:w="5245" w:type="dxa"/>
            <w:vAlign w:val="bottom"/>
          </w:tcPr>
          <w:p w:rsidRPr="009C48DA" w:rsidR="00661519" w:rsidP="00661519" w:rsidRDefault="00661519" w14:paraId="588D2E0E" w14:textId="77777777">
            <w:pPr>
              <w:spacing w:before="60"/>
              <w:jc w:val="both"/>
              <w:textAlignment w:val="baseline"/>
              <w:rPr>
                <w:rFonts w:eastAsia="Times New Roman"/>
                <w:b/>
                <w:color w:val="000000"/>
                <w:sz w:val="16"/>
                <w:lang w:val="en-GB"/>
              </w:rPr>
            </w:pPr>
            <w:r w:rsidRPr="009C48DA">
              <w:rPr>
                <w:rFonts w:eastAsia="Times New Roman"/>
                <w:b/>
                <w:color w:val="000000"/>
                <w:sz w:val="16"/>
                <w:lang w:val="en-GB"/>
              </w:rPr>
              <w:t>Balance at 1 January 2020</w:t>
            </w:r>
          </w:p>
        </w:tc>
        <w:tc>
          <w:tcPr>
            <w:tcW w:w="1276" w:type="dxa"/>
            <w:vAlign w:val="bottom"/>
          </w:tcPr>
          <w:p w:rsidRPr="009C48DA" w:rsidR="00661519" w:rsidP="00661519" w:rsidRDefault="00661519" w14:paraId="3B2CBF1B"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bottom"/>
          </w:tcPr>
          <w:p w:rsidRPr="009C48DA" w:rsidR="00661519" w:rsidP="00661519" w:rsidRDefault="00661519" w14:paraId="3EAC377D"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vAlign w:val="bottom"/>
          </w:tcPr>
          <w:p w:rsidRPr="009C48DA" w:rsidR="00661519" w:rsidP="00661519" w:rsidRDefault="00661519" w14:paraId="6FD99797"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6C77ADA1" w14:textId="77777777">
        <w:tc>
          <w:tcPr>
            <w:tcW w:w="5245" w:type="dxa"/>
            <w:vAlign w:val="bottom"/>
          </w:tcPr>
          <w:p w:rsidRPr="009C48DA" w:rsidR="00661519" w:rsidP="00661519" w:rsidRDefault="00661519" w14:paraId="5DDA9868"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Additions</w:t>
            </w:r>
          </w:p>
        </w:tc>
        <w:tc>
          <w:tcPr>
            <w:tcW w:w="1276" w:type="dxa"/>
            <w:vAlign w:val="bottom"/>
          </w:tcPr>
          <w:p w:rsidRPr="009C48DA" w:rsidR="00661519" w:rsidP="00661519" w:rsidRDefault="00661519" w14:paraId="2615C0B9"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105,067</w:t>
            </w:r>
          </w:p>
        </w:tc>
        <w:tc>
          <w:tcPr>
            <w:tcW w:w="1276" w:type="dxa"/>
            <w:vAlign w:val="bottom"/>
          </w:tcPr>
          <w:p w:rsidRPr="009C48DA" w:rsidR="00661519" w:rsidP="00661519" w:rsidRDefault="00661519" w14:paraId="2B8F451C"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21,228</w:t>
            </w:r>
          </w:p>
        </w:tc>
        <w:tc>
          <w:tcPr>
            <w:tcW w:w="1134" w:type="dxa"/>
            <w:vAlign w:val="bottom"/>
          </w:tcPr>
          <w:p w:rsidRPr="009C48DA" w:rsidR="00661519" w:rsidP="00661519" w:rsidRDefault="00661519" w14:paraId="325B1D16"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126,295</w:t>
            </w:r>
          </w:p>
        </w:tc>
      </w:tr>
      <w:tr w:rsidRPr="009C48DA" w:rsidR="00661519" w:rsidTr="00661519" w14:paraId="1687AE1A" w14:textId="77777777">
        <w:tc>
          <w:tcPr>
            <w:tcW w:w="5245" w:type="dxa"/>
            <w:vAlign w:val="bottom"/>
          </w:tcPr>
          <w:p w:rsidRPr="009C48DA" w:rsidR="00661519" w:rsidP="00661519" w:rsidRDefault="00661519" w14:paraId="464CF51F" w14:textId="77777777">
            <w:pPr>
              <w:spacing w:before="60"/>
              <w:jc w:val="both"/>
              <w:textAlignment w:val="baseline"/>
              <w:rPr>
                <w:rFonts w:eastAsia="Times New Roman"/>
                <w:color w:val="000000"/>
                <w:sz w:val="16"/>
                <w:lang w:val="en-GB"/>
              </w:rPr>
            </w:pPr>
            <w:r w:rsidRPr="009C48DA">
              <w:rPr>
                <w:rFonts w:eastAsia="Times New Roman"/>
                <w:b/>
                <w:color w:val="000000"/>
                <w:sz w:val="16"/>
                <w:lang w:val="en-GB"/>
              </w:rPr>
              <w:t xml:space="preserve">At 31 December 2020 </w:t>
            </w:r>
          </w:p>
        </w:tc>
        <w:tc>
          <w:tcPr>
            <w:tcW w:w="1276" w:type="dxa"/>
            <w:vAlign w:val="bottom"/>
          </w:tcPr>
          <w:p w:rsidRPr="009C48DA" w:rsidR="00661519" w:rsidP="00661519" w:rsidRDefault="00661519" w14:paraId="11647504"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105,067</w:t>
            </w:r>
          </w:p>
        </w:tc>
        <w:tc>
          <w:tcPr>
            <w:tcW w:w="1276" w:type="dxa"/>
            <w:vAlign w:val="bottom"/>
          </w:tcPr>
          <w:p w:rsidRPr="009C48DA" w:rsidR="00661519" w:rsidP="00661519" w:rsidRDefault="00661519" w14:paraId="55E9CA42"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21,228</w:t>
            </w:r>
          </w:p>
        </w:tc>
        <w:tc>
          <w:tcPr>
            <w:tcW w:w="1134" w:type="dxa"/>
            <w:vAlign w:val="bottom"/>
          </w:tcPr>
          <w:p w:rsidRPr="009C48DA" w:rsidR="00661519" w:rsidP="00661519" w:rsidRDefault="00661519" w14:paraId="05011B79"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126,295</w:t>
            </w:r>
          </w:p>
        </w:tc>
      </w:tr>
      <w:tr w:rsidRPr="009C48DA" w:rsidR="00661519" w:rsidTr="00661519" w14:paraId="20373E7B" w14:textId="77777777">
        <w:tc>
          <w:tcPr>
            <w:tcW w:w="5245" w:type="dxa"/>
            <w:vAlign w:val="bottom"/>
          </w:tcPr>
          <w:p w:rsidRPr="009C48DA" w:rsidR="00661519" w:rsidP="00661519" w:rsidRDefault="00661519" w14:paraId="6E2ED74F" w14:textId="77777777">
            <w:pPr>
              <w:spacing w:before="60"/>
              <w:jc w:val="both"/>
              <w:textAlignment w:val="baseline"/>
              <w:rPr>
                <w:rFonts w:eastAsia="Times New Roman"/>
                <w:b/>
                <w:color w:val="000000"/>
                <w:sz w:val="16"/>
                <w:lang w:val="en-GB"/>
              </w:rPr>
            </w:pPr>
            <w:r w:rsidRPr="009C48DA">
              <w:rPr>
                <w:rFonts w:eastAsia="Times New Roman"/>
                <w:b/>
                <w:color w:val="000000"/>
                <w:sz w:val="16"/>
                <w:lang w:val="en-GB"/>
              </w:rPr>
              <w:t>Accumulated depreciation and impairment</w:t>
            </w:r>
          </w:p>
        </w:tc>
        <w:tc>
          <w:tcPr>
            <w:tcW w:w="1276" w:type="dxa"/>
            <w:vAlign w:val="bottom"/>
          </w:tcPr>
          <w:p w:rsidRPr="009C48DA" w:rsidR="00661519" w:rsidP="00661519" w:rsidRDefault="00661519" w14:paraId="1606F6ED" w14:textId="77777777">
            <w:pPr>
              <w:spacing w:before="60"/>
              <w:jc w:val="right"/>
              <w:textAlignment w:val="baseline"/>
              <w:rPr>
                <w:rFonts w:eastAsia="Times New Roman"/>
                <w:color w:val="000000"/>
                <w:sz w:val="16"/>
                <w:lang w:val="en-GB"/>
              </w:rPr>
            </w:pPr>
          </w:p>
        </w:tc>
        <w:tc>
          <w:tcPr>
            <w:tcW w:w="1276" w:type="dxa"/>
            <w:vAlign w:val="bottom"/>
          </w:tcPr>
          <w:p w:rsidRPr="009C48DA" w:rsidR="00661519" w:rsidP="00661519" w:rsidRDefault="00661519" w14:paraId="243B9414" w14:textId="77777777">
            <w:pPr>
              <w:spacing w:before="60"/>
              <w:jc w:val="right"/>
              <w:textAlignment w:val="baseline"/>
              <w:rPr>
                <w:rFonts w:eastAsia="Times New Roman"/>
                <w:color w:val="000000"/>
                <w:sz w:val="16"/>
                <w:lang w:val="en-GB"/>
              </w:rPr>
            </w:pPr>
          </w:p>
        </w:tc>
        <w:tc>
          <w:tcPr>
            <w:tcW w:w="1134" w:type="dxa"/>
            <w:vAlign w:val="bottom"/>
          </w:tcPr>
          <w:p w:rsidRPr="009C48DA" w:rsidR="00661519" w:rsidP="00661519" w:rsidRDefault="00661519" w14:paraId="1CAC7CAA" w14:textId="77777777">
            <w:pPr>
              <w:spacing w:before="60"/>
              <w:jc w:val="right"/>
              <w:textAlignment w:val="baseline"/>
              <w:rPr>
                <w:rFonts w:eastAsia="Times New Roman"/>
                <w:color w:val="000000"/>
                <w:sz w:val="16"/>
                <w:lang w:val="en-GB"/>
              </w:rPr>
            </w:pPr>
          </w:p>
        </w:tc>
      </w:tr>
      <w:tr w:rsidRPr="009C48DA" w:rsidR="00661519" w:rsidTr="00661519" w14:paraId="30B7A53F" w14:textId="77777777">
        <w:tc>
          <w:tcPr>
            <w:tcW w:w="5245" w:type="dxa"/>
            <w:vAlign w:val="center"/>
          </w:tcPr>
          <w:p w:rsidRPr="009C48DA" w:rsidR="00661519" w:rsidP="00661519" w:rsidRDefault="00661519" w14:paraId="0264BB6C"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Balance at 1 January 2020</w:t>
            </w:r>
          </w:p>
        </w:tc>
        <w:tc>
          <w:tcPr>
            <w:tcW w:w="1276" w:type="dxa"/>
            <w:vAlign w:val="bottom"/>
          </w:tcPr>
          <w:p w:rsidRPr="009C48DA" w:rsidR="00661519" w:rsidP="00661519" w:rsidRDefault="00661519" w14:paraId="6D76BD54"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bottom"/>
          </w:tcPr>
          <w:p w:rsidRPr="009C48DA" w:rsidR="00661519" w:rsidP="00661519" w:rsidRDefault="00661519" w14:paraId="7F4A27F7"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vAlign w:val="bottom"/>
          </w:tcPr>
          <w:p w:rsidRPr="009C48DA" w:rsidR="00661519" w:rsidP="00661519" w:rsidRDefault="00661519" w14:paraId="5AEC2797" w14:textId="77777777">
            <w:pPr>
              <w:spacing w:before="60"/>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73A5815A" w14:textId="77777777">
        <w:tc>
          <w:tcPr>
            <w:tcW w:w="5245" w:type="dxa"/>
            <w:vAlign w:val="center"/>
          </w:tcPr>
          <w:p w:rsidRPr="009C48DA" w:rsidR="00661519" w:rsidP="00661519" w:rsidRDefault="00661519" w14:paraId="104B301D"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Amortisation</w:t>
            </w:r>
          </w:p>
        </w:tc>
        <w:tc>
          <w:tcPr>
            <w:tcW w:w="1276" w:type="dxa"/>
            <w:vAlign w:val="bottom"/>
          </w:tcPr>
          <w:p w:rsidRPr="009C48DA" w:rsidR="00661519" w:rsidP="00661519" w:rsidRDefault="00661519" w14:paraId="2F81944A"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bottom"/>
          </w:tcPr>
          <w:p w:rsidRPr="009C48DA" w:rsidR="00661519" w:rsidP="00661519" w:rsidRDefault="00661519" w14:paraId="1922A6DD"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(573)</w:t>
            </w:r>
          </w:p>
        </w:tc>
        <w:tc>
          <w:tcPr>
            <w:tcW w:w="1134" w:type="dxa"/>
            <w:vAlign w:val="bottom"/>
          </w:tcPr>
          <w:p w:rsidRPr="009C48DA" w:rsidR="00661519" w:rsidP="00661519" w:rsidRDefault="00661519" w14:paraId="616826CD"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(573)</w:t>
            </w:r>
          </w:p>
        </w:tc>
      </w:tr>
      <w:tr w:rsidRPr="009C48DA" w:rsidR="00661519" w:rsidTr="00661519" w14:paraId="62067102" w14:textId="77777777">
        <w:tc>
          <w:tcPr>
            <w:tcW w:w="5245" w:type="dxa"/>
            <w:vAlign w:val="center"/>
          </w:tcPr>
          <w:p w:rsidRPr="009C48DA" w:rsidR="00661519" w:rsidP="00661519" w:rsidRDefault="00661519" w14:paraId="2F6055B4" w14:textId="77777777">
            <w:pPr>
              <w:spacing w:before="60"/>
              <w:jc w:val="both"/>
              <w:textAlignment w:val="baseline"/>
              <w:rPr>
                <w:rFonts w:eastAsia="Times New Roman"/>
                <w:b/>
                <w:color w:val="000000"/>
                <w:sz w:val="16"/>
                <w:lang w:val="en-GB"/>
              </w:rPr>
            </w:pPr>
            <w:r w:rsidRPr="009C48DA">
              <w:rPr>
                <w:rFonts w:eastAsia="Times New Roman"/>
                <w:b/>
                <w:color w:val="000000"/>
                <w:sz w:val="16"/>
                <w:lang w:val="en-GB"/>
              </w:rPr>
              <w:t>At 31 December 2020</w:t>
            </w:r>
          </w:p>
        </w:tc>
        <w:tc>
          <w:tcPr>
            <w:tcW w:w="1276" w:type="dxa"/>
            <w:vAlign w:val="bottom"/>
          </w:tcPr>
          <w:p w:rsidRPr="009C48DA" w:rsidR="00661519" w:rsidP="00661519" w:rsidRDefault="00661519" w14:paraId="1DC4A58C"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bottom"/>
          </w:tcPr>
          <w:p w:rsidRPr="009C48DA" w:rsidR="00661519" w:rsidP="00661519" w:rsidRDefault="00661519" w14:paraId="1C0FA675"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(573)</w:t>
            </w:r>
          </w:p>
        </w:tc>
        <w:tc>
          <w:tcPr>
            <w:tcW w:w="1134" w:type="dxa"/>
            <w:vAlign w:val="bottom"/>
          </w:tcPr>
          <w:p w:rsidRPr="009C48DA" w:rsidR="00661519" w:rsidP="00661519" w:rsidRDefault="00661519" w14:paraId="1F718BA1" w14:textId="77777777">
            <w:pPr>
              <w:pBdr>
                <w:bottom w:val="sing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(573)</w:t>
            </w:r>
          </w:p>
        </w:tc>
      </w:tr>
      <w:tr w:rsidRPr="009C48DA" w:rsidR="00661519" w:rsidTr="00661519" w14:paraId="4537D507" w14:textId="77777777">
        <w:tc>
          <w:tcPr>
            <w:tcW w:w="5245" w:type="dxa"/>
            <w:vAlign w:val="center"/>
          </w:tcPr>
          <w:p w:rsidRPr="009C48DA" w:rsidR="00661519" w:rsidP="00661519" w:rsidRDefault="00661519" w14:paraId="2C2A4B8B" w14:textId="77777777">
            <w:pPr>
              <w:spacing w:before="60"/>
              <w:jc w:val="both"/>
              <w:textAlignment w:val="baseline"/>
              <w:rPr>
                <w:rFonts w:eastAsia="Times New Roman"/>
                <w:b/>
                <w:color w:val="000000"/>
                <w:sz w:val="16"/>
                <w:lang w:val="en-GB"/>
              </w:rPr>
            </w:pPr>
            <w:r w:rsidRPr="009C48DA">
              <w:rPr>
                <w:rFonts w:eastAsia="Times New Roman"/>
                <w:b/>
                <w:color w:val="000000"/>
                <w:sz w:val="16"/>
                <w:lang w:val="en-GB"/>
              </w:rPr>
              <w:t>Carrying value</w:t>
            </w:r>
          </w:p>
        </w:tc>
        <w:tc>
          <w:tcPr>
            <w:tcW w:w="1276" w:type="dxa"/>
            <w:vAlign w:val="bottom"/>
          </w:tcPr>
          <w:p w:rsidRPr="009C48DA" w:rsidR="00661519" w:rsidP="00661519" w:rsidRDefault="00661519" w14:paraId="6DA0E9F6" w14:textId="77777777">
            <w:pPr>
              <w:spacing w:before="60"/>
              <w:jc w:val="right"/>
              <w:textAlignment w:val="baseline"/>
              <w:rPr>
                <w:rFonts w:eastAsia="Times New Roman"/>
                <w:color w:val="000000"/>
                <w:sz w:val="16"/>
                <w:lang w:val="en-GB"/>
              </w:rPr>
            </w:pPr>
          </w:p>
        </w:tc>
        <w:tc>
          <w:tcPr>
            <w:tcW w:w="1276" w:type="dxa"/>
            <w:vAlign w:val="bottom"/>
          </w:tcPr>
          <w:p w:rsidRPr="009C48DA" w:rsidR="00661519" w:rsidP="00661519" w:rsidRDefault="00661519" w14:paraId="513C73BC" w14:textId="77777777">
            <w:pPr>
              <w:spacing w:before="60"/>
              <w:jc w:val="right"/>
              <w:textAlignment w:val="baseline"/>
              <w:rPr>
                <w:rFonts w:eastAsia="Times New Roman"/>
                <w:color w:val="000000"/>
                <w:sz w:val="16"/>
                <w:lang w:val="en-GB"/>
              </w:rPr>
            </w:pPr>
          </w:p>
        </w:tc>
        <w:tc>
          <w:tcPr>
            <w:tcW w:w="1134" w:type="dxa"/>
            <w:vAlign w:val="bottom"/>
          </w:tcPr>
          <w:p w:rsidRPr="009C48DA" w:rsidR="00661519" w:rsidP="00661519" w:rsidRDefault="00661519" w14:paraId="1730C665" w14:textId="77777777">
            <w:pPr>
              <w:spacing w:before="60"/>
              <w:jc w:val="right"/>
              <w:textAlignment w:val="baseline"/>
              <w:rPr>
                <w:rFonts w:eastAsia="Times New Roman"/>
                <w:color w:val="000000"/>
                <w:sz w:val="16"/>
                <w:lang w:val="en-GB"/>
              </w:rPr>
            </w:pPr>
          </w:p>
        </w:tc>
      </w:tr>
      <w:tr w:rsidRPr="009C48DA" w:rsidR="00661519" w:rsidTr="00661519" w14:paraId="4829D2A2" w14:textId="77777777">
        <w:tc>
          <w:tcPr>
            <w:tcW w:w="5245" w:type="dxa"/>
            <w:vAlign w:val="center"/>
          </w:tcPr>
          <w:p w:rsidRPr="009C48DA" w:rsidR="00661519" w:rsidP="00661519" w:rsidRDefault="00661519" w14:paraId="09F43A33"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Balance at 1 January 2020</w:t>
            </w:r>
          </w:p>
        </w:tc>
        <w:tc>
          <w:tcPr>
            <w:tcW w:w="1276" w:type="dxa"/>
            <w:vAlign w:val="bottom"/>
          </w:tcPr>
          <w:p w:rsidRPr="009C48DA" w:rsidR="00661519" w:rsidP="00661519" w:rsidRDefault="00661519" w14:paraId="79696308"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bottom"/>
          </w:tcPr>
          <w:p w:rsidRPr="009C48DA" w:rsidR="00661519" w:rsidP="00661519" w:rsidRDefault="00661519" w14:paraId="5B092610"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c>
          <w:tcPr>
            <w:tcW w:w="1134" w:type="dxa"/>
            <w:vAlign w:val="bottom"/>
          </w:tcPr>
          <w:p w:rsidRPr="009C48DA" w:rsidR="00661519" w:rsidP="00661519" w:rsidRDefault="00661519" w14:paraId="09060CE8" w14:textId="77777777">
            <w:pPr>
              <w:pBdr>
                <w:bottom w:val="double" w:color="auto" w:sz="12" w:space="1"/>
              </w:pBdr>
              <w:spacing w:before="60"/>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55758C02" w14:textId="77777777">
        <w:tc>
          <w:tcPr>
            <w:tcW w:w="5245" w:type="dxa"/>
            <w:vAlign w:val="bottom"/>
          </w:tcPr>
          <w:p w:rsidRPr="009C48DA" w:rsidR="00661519" w:rsidP="00661519" w:rsidRDefault="00661519" w14:paraId="07826D18" w14:textId="77777777">
            <w:pPr>
              <w:rPr>
                <w:rFonts w:eastAsia="Times New Roman"/>
                <w:b/>
                <w:color w:val="000000"/>
                <w:sz w:val="16"/>
                <w:lang w:val="en-GB"/>
              </w:rPr>
            </w:pPr>
            <w:r w:rsidRPr="009C48DA">
              <w:rPr>
                <w:rFonts w:eastAsia="Times New Roman"/>
                <w:b/>
                <w:color w:val="000000"/>
                <w:sz w:val="16"/>
                <w:lang w:val="en-GB"/>
              </w:rPr>
              <w:t>Balance at 31 December 2020</w:t>
            </w:r>
          </w:p>
        </w:tc>
        <w:tc>
          <w:tcPr>
            <w:tcW w:w="1276" w:type="dxa"/>
            <w:vAlign w:val="bottom"/>
          </w:tcPr>
          <w:p w:rsidRPr="009C48DA" w:rsidR="00661519" w:rsidP="00661519" w:rsidRDefault="00661519" w14:paraId="319FD5D6" w14:textId="77777777">
            <w:pPr>
              <w:pBdr>
                <w:bottom w:val="double" w:color="auto" w:sz="12" w:space="1"/>
              </w:pBdr>
              <w:rPr>
                <w:rFonts w:eastAsia="Times New Roman"/>
                <w:b/>
                <w:color w:val="000000"/>
                <w:sz w:val="16"/>
                <w:lang w:val="en-GB"/>
              </w:rPr>
            </w:pPr>
            <w:r w:rsidRPr="009C48DA">
              <w:rPr>
                <w:rFonts w:eastAsia="Times New Roman"/>
                <w:b/>
                <w:color w:val="000000"/>
                <w:sz w:val="16"/>
                <w:lang w:val="en-GB"/>
              </w:rPr>
              <w:t>105,067</w:t>
            </w:r>
          </w:p>
        </w:tc>
        <w:tc>
          <w:tcPr>
            <w:tcW w:w="1276" w:type="dxa"/>
            <w:vAlign w:val="bottom"/>
          </w:tcPr>
          <w:p w:rsidRPr="009C48DA" w:rsidR="00661519" w:rsidP="00661519" w:rsidRDefault="00661519" w14:paraId="5BDB3B59" w14:textId="77777777">
            <w:pPr>
              <w:pBdr>
                <w:bottom w:val="double" w:color="auto" w:sz="12" w:space="1"/>
              </w:pBdr>
              <w:rPr>
                <w:rFonts w:eastAsia="Times New Roman"/>
                <w:b/>
                <w:color w:val="000000"/>
                <w:sz w:val="16"/>
                <w:lang w:val="en-GB"/>
              </w:rPr>
            </w:pPr>
            <w:r w:rsidRPr="009C48DA">
              <w:rPr>
                <w:rFonts w:eastAsia="Times New Roman"/>
                <w:b/>
                <w:color w:val="000000"/>
                <w:sz w:val="16"/>
                <w:lang w:val="en-GB"/>
              </w:rPr>
              <w:t>20,655</w:t>
            </w:r>
          </w:p>
        </w:tc>
        <w:tc>
          <w:tcPr>
            <w:tcW w:w="1134" w:type="dxa"/>
            <w:vAlign w:val="bottom"/>
          </w:tcPr>
          <w:p w:rsidRPr="009C48DA" w:rsidR="00661519" w:rsidP="00661519" w:rsidRDefault="00661519" w14:paraId="04809F8D" w14:textId="77777777">
            <w:pPr>
              <w:pBdr>
                <w:bottom w:val="double" w:color="auto" w:sz="12" w:space="1"/>
              </w:pBdr>
              <w:rPr>
                <w:rFonts w:eastAsia="Times New Roman"/>
                <w:b/>
                <w:color w:val="000000"/>
                <w:sz w:val="16"/>
                <w:lang w:val="en-GB"/>
              </w:rPr>
            </w:pPr>
            <w:r w:rsidRPr="009C48DA">
              <w:rPr>
                <w:rFonts w:eastAsia="Times New Roman"/>
                <w:b/>
                <w:color w:val="000000"/>
                <w:sz w:val="16"/>
                <w:lang w:val="en-GB"/>
              </w:rPr>
              <w:t>125,722</w:t>
            </w:r>
          </w:p>
        </w:tc>
      </w:tr>
    </w:tbl>
    <w:p w:rsidRPr="009C48DA" w:rsidR="00661519" w:rsidP="00661519" w:rsidRDefault="00661519" w14:paraId="198913E0" w14:textId="77777777">
      <w:pPr>
        <w:rPr>
          <w:rFonts w:eastAsia="Times New Roman" w:cs="Times New Roman"/>
          <w:b/>
          <w:color w:val="000000"/>
          <w:sz w:val="16"/>
          <w:szCs w:val="22"/>
          <w:lang w:val="en-GB"/>
        </w:rPr>
      </w:pPr>
    </w:p>
    <w:p w:rsidRPr="009C48DA" w:rsidR="00661519" w:rsidP="00661519" w:rsidRDefault="00661519" w14:paraId="4A052A77" w14:textId="77777777">
      <w:pPr>
        <w:rPr>
          <w:rFonts w:eastAsia="Times New Roman" w:cs="Times New Roman"/>
          <w:color w:val="000000"/>
          <w:sz w:val="16"/>
          <w:szCs w:val="22"/>
          <w:lang w:val="en-GB"/>
        </w:rPr>
      </w:pPr>
      <w:r w:rsidRPr="009C48DA">
        <w:rPr>
          <w:rFonts w:eastAsia="Times New Roman" w:cs="Times New Roman"/>
          <w:color w:val="000000"/>
          <w:sz w:val="16"/>
          <w:szCs w:val="22"/>
          <w:lang w:val="en-GB"/>
        </w:rPr>
        <w:br w:type="page"/>
      </w:r>
    </w:p>
    <w:tbl>
      <w:tblPr>
        <w:tblW w:w="0" w:type="auto"/>
        <w:tblLayout w:type="fixed"/>
        <w:tblCellMar>
          <w:left w:w="0" w:type="dxa"/>
          <w:right w:w="0" w:type="dxa"/>
        </w:tblCellMar>
        <w:tblLook w:val="0000" w:firstRow="0" w:lastRow="0" w:firstColumn="0" w:lastColumn="0" w:noHBand="0" w:noVBand="0"/>
      </w:tblPr>
      <w:tblGrid>
        <w:gridCol w:w="4417"/>
        <w:gridCol w:w="2414"/>
        <w:gridCol w:w="1363"/>
        <w:gridCol w:w="870"/>
      </w:tblGrid>
      <w:tr w:rsidRPr="009C48DA" w:rsidR="00661519" w:rsidTr="00661519" w14:paraId="2E262809" w14:textId="77777777">
        <w:trPr>
          <w:trHeight w:val="667" w:hRule="exact"/>
        </w:trPr>
        <w:tc>
          <w:tcPr>
            <w:tcW w:w="4417"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433AEF45" w14:textId="77777777">
            <w:pPr>
              <w:textAlignment w:val="baseline"/>
              <w:rPr>
                <w:rFonts w:eastAsia="Times New Roman"/>
                <w:color w:val="000000"/>
                <w:sz w:val="24"/>
                <w:lang w:val="en-GB"/>
              </w:rPr>
            </w:pPr>
          </w:p>
        </w:tc>
        <w:tc>
          <w:tcPr>
            <w:tcW w:w="2414" w:type="dxa"/>
            <w:tcBorders>
              <w:top w:val="none" w:color="020000" w:sz="0" w:space="0"/>
              <w:left w:val="none" w:color="020000" w:sz="0" w:space="0"/>
              <w:bottom w:val="none" w:color="020000" w:sz="0" w:space="0"/>
              <w:right w:val="none" w:color="020000" w:sz="0" w:space="0"/>
            </w:tcBorders>
            <w:vAlign w:val="bottom"/>
          </w:tcPr>
          <w:p w:rsidRPr="009C48DA" w:rsidR="00661519" w:rsidP="00661519" w:rsidRDefault="00661519" w14:paraId="46FA1451" w14:textId="77777777">
            <w:pPr>
              <w:spacing w:before="290" w:line="187" w:lineRule="exact"/>
              <w:ind w:right="410"/>
              <w:jc w:val="right"/>
              <w:textAlignment w:val="baseline"/>
              <w:rPr>
                <w:rFonts w:eastAsia="Times New Roman"/>
                <w:b/>
                <w:color w:val="000000"/>
                <w:sz w:val="16"/>
                <w:lang w:val="en-GB"/>
              </w:rPr>
            </w:pPr>
            <w:r w:rsidRPr="009C48DA">
              <w:rPr>
                <w:rFonts w:eastAsia="Times New Roman"/>
                <w:b/>
                <w:color w:val="000000"/>
                <w:sz w:val="16"/>
                <w:lang w:val="en-GB"/>
              </w:rPr>
              <w:t>Goodwill</w:t>
            </w:r>
          </w:p>
          <w:p w:rsidRPr="009C48DA" w:rsidR="00661519" w:rsidP="00661519" w:rsidRDefault="00661519" w14:paraId="02EA30A3" w14:textId="77777777">
            <w:pPr>
              <w:spacing w:line="180" w:lineRule="exact"/>
              <w:ind w:right="500"/>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363" w:type="dxa"/>
            <w:tcBorders>
              <w:top w:val="none" w:color="020000" w:sz="0" w:space="0"/>
              <w:left w:val="none" w:color="020000" w:sz="0" w:space="0"/>
              <w:bottom w:val="none" w:color="020000" w:sz="0" w:space="0"/>
              <w:right w:val="none" w:color="020000" w:sz="0" w:space="0"/>
            </w:tcBorders>
            <w:vAlign w:val="bottom"/>
          </w:tcPr>
          <w:p w:rsidRPr="009C48DA" w:rsidR="00661519" w:rsidP="00661519" w:rsidRDefault="00661519" w14:paraId="6D587C15" w14:textId="77777777">
            <w:pPr>
              <w:spacing w:before="290" w:line="187" w:lineRule="exact"/>
              <w:ind w:right="367"/>
              <w:jc w:val="right"/>
              <w:textAlignment w:val="baseline"/>
              <w:rPr>
                <w:rFonts w:eastAsia="Times New Roman"/>
                <w:b/>
                <w:color w:val="000000"/>
                <w:sz w:val="16"/>
                <w:lang w:val="en-GB"/>
              </w:rPr>
            </w:pPr>
            <w:r w:rsidRPr="009C48DA">
              <w:rPr>
                <w:rFonts w:eastAsia="Times New Roman"/>
                <w:b/>
                <w:color w:val="000000"/>
                <w:sz w:val="16"/>
                <w:lang w:val="en-GB"/>
              </w:rPr>
              <w:t>Intangibles</w:t>
            </w:r>
          </w:p>
          <w:p w:rsidRPr="009C48DA" w:rsidR="00661519" w:rsidP="00661519" w:rsidRDefault="00661519" w14:paraId="769D2B89" w14:textId="77777777">
            <w:pPr>
              <w:spacing w:line="180" w:lineRule="exact"/>
              <w:ind w:right="547"/>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870" w:type="dxa"/>
            <w:tcBorders>
              <w:top w:val="none" w:color="020000" w:sz="0" w:space="0"/>
              <w:left w:val="none" w:color="020000" w:sz="0" w:space="0"/>
              <w:bottom w:val="none" w:color="020000" w:sz="0" w:space="0"/>
              <w:right w:val="none" w:color="020000" w:sz="0" w:space="0"/>
            </w:tcBorders>
            <w:vAlign w:val="bottom"/>
          </w:tcPr>
          <w:p w:rsidRPr="009C48DA" w:rsidR="00661519" w:rsidP="00661519" w:rsidRDefault="00661519" w14:paraId="069C2BEC" w14:textId="77777777">
            <w:pPr>
              <w:spacing w:before="287" w:line="190" w:lineRule="exact"/>
              <w:ind w:right="180"/>
              <w:jc w:val="right"/>
              <w:textAlignment w:val="baseline"/>
              <w:rPr>
                <w:rFonts w:eastAsia="Times New Roman"/>
                <w:b/>
                <w:color w:val="000000"/>
                <w:sz w:val="16"/>
                <w:szCs w:val="16"/>
                <w:lang w:val="en-GB"/>
              </w:rPr>
            </w:pPr>
            <w:r w:rsidRPr="009C48DA">
              <w:rPr>
                <w:rFonts w:eastAsia="Times New Roman"/>
                <w:b/>
                <w:color w:val="000000"/>
                <w:sz w:val="16"/>
                <w:szCs w:val="16"/>
                <w:lang w:val="en-GB"/>
              </w:rPr>
              <w:t>Total</w:t>
            </w:r>
          </w:p>
          <w:p w:rsidRPr="009C48DA" w:rsidR="00661519" w:rsidP="00661519" w:rsidRDefault="00661519" w14:paraId="304DA7AB" w14:textId="77777777">
            <w:pPr>
              <w:spacing w:line="180" w:lineRule="exact"/>
              <w:ind w:right="180"/>
              <w:jc w:val="right"/>
              <w:textAlignment w:val="baseline"/>
              <w:rPr>
                <w:rFonts w:eastAsia="Times New Roman"/>
                <w:b/>
                <w:color w:val="000000"/>
                <w:sz w:val="17"/>
                <w:lang w:val="en-GB"/>
              </w:rPr>
            </w:pPr>
            <w:r w:rsidRPr="009C48DA">
              <w:rPr>
                <w:rFonts w:eastAsia="Times New Roman"/>
                <w:b/>
                <w:color w:val="000000"/>
                <w:sz w:val="16"/>
                <w:szCs w:val="16"/>
                <w:lang w:val="en-GB"/>
              </w:rPr>
              <w:t>£ 000</w:t>
            </w:r>
          </w:p>
        </w:tc>
      </w:tr>
      <w:tr w:rsidRPr="009C48DA" w:rsidR="00661519" w:rsidTr="00661519" w14:paraId="47658BE9" w14:textId="77777777">
        <w:trPr>
          <w:trHeight w:val="211" w:hRule="exact"/>
        </w:trPr>
        <w:tc>
          <w:tcPr>
            <w:tcW w:w="44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8DA9DBE" w14:textId="77777777">
            <w:pPr>
              <w:spacing w:line="185" w:lineRule="exact"/>
              <w:ind w:left="116"/>
              <w:textAlignment w:val="baseline"/>
              <w:rPr>
                <w:rFonts w:eastAsia="Times New Roman"/>
                <w:b/>
                <w:color w:val="000000"/>
                <w:sz w:val="16"/>
                <w:lang w:val="en-GB"/>
              </w:rPr>
            </w:pPr>
            <w:r w:rsidRPr="009C48DA">
              <w:rPr>
                <w:rFonts w:eastAsia="Times New Roman"/>
                <w:b/>
                <w:color w:val="000000"/>
                <w:sz w:val="16"/>
                <w:lang w:val="en-GB"/>
              </w:rPr>
              <w:t>Balance at 1 January 2021</w:t>
            </w:r>
          </w:p>
        </w:tc>
        <w:tc>
          <w:tcPr>
            <w:tcW w:w="2414"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45E2258A" w14:textId="77777777">
            <w:pPr>
              <w:spacing w:after="1" w:line="185" w:lineRule="exact"/>
              <w:ind w:right="230"/>
              <w:jc w:val="right"/>
              <w:textAlignment w:val="baseline"/>
              <w:rPr>
                <w:rFonts w:eastAsia="Times New Roman"/>
                <w:color w:val="000000"/>
                <w:sz w:val="16"/>
                <w:lang w:val="en-GB"/>
              </w:rPr>
            </w:pPr>
            <w:r w:rsidRPr="009C48DA">
              <w:rPr>
                <w:rFonts w:eastAsia="Times New Roman"/>
                <w:color w:val="000000"/>
                <w:sz w:val="16"/>
                <w:lang w:val="en-GB"/>
              </w:rPr>
              <w:t>105,067</w:t>
            </w:r>
          </w:p>
        </w:tc>
        <w:tc>
          <w:tcPr>
            <w:tcW w:w="1363"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0FC6FCB9" w14:textId="77777777">
            <w:pPr>
              <w:spacing w:after="1" w:line="185" w:lineRule="exact"/>
              <w:ind w:right="187"/>
              <w:jc w:val="right"/>
              <w:textAlignment w:val="baseline"/>
              <w:rPr>
                <w:rFonts w:eastAsia="Times New Roman"/>
                <w:color w:val="000000"/>
                <w:sz w:val="16"/>
                <w:lang w:val="en-GB"/>
              </w:rPr>
            </w:pPr>
            <w:r w:rsidRPr="009C48DA">
              <w:rPr>
                <w:rFonts w:eastAsia="Times New Roman"/>
                <w:color w:val="000000"/>
                <w:sz w:val="16"/>
                <w:lang w:val="en-GB"/>
              </w:rPr>
              <w:t>21,228</w:t>
            </w:r>
          </w:p>
        </w:tc>
        <w:tc>
          <w:tcPr>
            <w:tcW w:w="870"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5FD9F3A9" w14:textId="77777777">
            <w:pPr>
              <w:spacing w:after="1" w:line="185" w:lineRule="exact"/>
              <w:ind w:right="34"/>
              <w:jc w:val="right"/>
              <w:textAlignment w:val="baseline"/>
              <w:rPr>
                <w:rFonts w:eastAsia="Times New Roman"/>
                <w:color w:val="000000"/>
                <w:sz w:val="16"/>
                <w:lang w:val="en-GB"/>
              </w:rPr>
            </w:pPr>
            <w:r w:rsidRPr="009C48DA">
              <w:rPr>
                <w:rFonts w:eastAsia="Times New Roman"/>
                <w:color w:val="000000"/>
                <w:sz w:val="16"/>
                <w:lang w:val="en-GB"/>
              </w:rPr>
              <w:t>126,295</w:t>
            </w:r>
          </w:p>
        </w:tc>
      </w:tr>
      <w:tr w:rsidRPr="009C48DA" w:rsidR="00661519" w:rsidTr="00661519" w14:paraId="12A736FD" w14:textId="77777777">
        <w:trPr>
          <w:trHeight w:val="351" w:hRule="exact"/>
        </w:trPr>
        <w:tc>
          <w:tcPr>
            <w:tcW w:w="44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DB54A9B" w14:textId="77777777">
            <w:pPr>
              <w:spacing w:before="156" w:line="184" w:lineRule="exact"/>
              <w:ind w:left="116"/>
              <w:textAlignment w:val="baseline"/>
              <w:rPr>
                <w:rFonts w:eastAsia="Times New Roman"/>
                <w:b/>
                <w:color w:val="000000"/>
                <w:sz w:val="16"/>
                <w:lang w:val="en-GB"/>
              </w:rPr>
            </w:pPr>
            <w:r w:rsidRPr="009C48DA">
              <w:rPr>
                <w:rFonts w:eastAsia="Times New Roman"/>
                <w:b/>
                <w:color w:val="000000"/>
                <w:sz w:val="16"/>
                <w:lang w:val="en-GB"/>
              </w:rPr>
              <w:t>At 31 March 2021</w:t>
            </w:r>
          </w:p>
        </w:tc>
        <w:tc>
          <w:tcPr>
            <w:tcW w:w="2414" w:type="dxa"/>
            <w:tcBorders>
              <w:top w:val="single" w:color="000000" w:sz="5" w:space="0"/>
              <w:left w:val="none" w:color="020000" w:sz="0" w:space="0"/>
              <w:bottom w:val="single" w:color="000000" w:sz="5" w:space="0"/>
              <w:right w:val="none" w:color="020000" w:sz="0" w:space="0"/>
            </w:tcBorders>
            <w:vAlign w:val="center"/>
          </w:tcPr>
          <w:p w:rsidRPr="009C48DA" w:rsidR="00661519" w:rsidP="00661519" w:rsidRDefault="00661519" w14:paraId="4EFBD16F" w14:textId="77777777">
            <w:pPr>
              <w:spacing w:before="155" w:line="185" w:lineRule="exact"/>
              <w:ind w:right="230"/>
              <w:jc w:val="right"/>
              <w:textAlignment w:val="baseline"/>
              <w:rPr>
                <w:rFonts w:eastAsia="Times New Roman"/>
                <w:color w:val="000000"/>
                <w:sz w:val="16"/>
                <w:lang w:val="en-GB"/>
              </w:rPr>
            </w:pPr>
            <w:r w:rsidRPr="009C48DA">
              <w:rPr>
                <w:rFonts w:eastAsia="Times New Roman"/>
                <w:color w:val="000000"/>
                <w:sz w:val="16"/>
                <w:lang w:val="en-GB"/>
              </w:rPr>
              <w:t>105,067</w:t>
            </w:r>
          </w:p>
        </w:tc>
        <w:tc>
          <w:tcPr>
            <w:tcW w:w="1363" w:type="dxa"/>
            <w:tcBorders>
              <w:top w:val="single" w:color="000000" w:sz="5" w:space="0"/>
              <w:left w:val="none" w:color="020000" w:sz="0" w:space="0"/>
              <w:bottom w:val="single" w:color="000000" w:sz="5" w:space="0"/>
              <w:right w:val="none" w:color="020000" w:sz="0" w:space="0"/>
            </w:tcBorders>
            <w:vAlign w:val="center"/>
          </w:tcPr>
          <w:p w:rsidRPr="009C48DA" w:rsidR="00661519" w:rsidP="00661519" w:rsidRDefault="00661519" w14:paraId="2D9E60D9" w14:textId="77777777">
            <w:pPr>
              <w:spacing w:before="155" w:line="185" w:lineRule="exact"/>
              <w:ind w:right="187"/>
              <w:jc w:val="right"/>
              <w:textAlignment w:val="baseline"/>
              <w:rPr>
                <w:rFonts w:eastAsia="Times New Roman"/>
                <w:color w:val="000000"/>
                <w:sz w:val="16"/>
                <w:lang w:val="en-GB"/>
              </w:rPr>
            </w:pPr>
            <w:r w:rsidRPr="009C48DA">
              <w:rPr>
                <w:rFonts w:eastAsia="Times New Roman"/>
                <w:color w:val="000000"/>
                <w:sz w:val="16"/>
                <w:lang w:val="en-GB"/>
              </w:rPr>
              <w:t>21,228</w:t>
            </w:r>
          </w:p>
        </w:tc>
        <w:tc>
          <w:tcPr>
            <w:tcW w:w="870" w:type="dxa"/>
            <w:tcBorders>
              <w:top w:val="single" w:color="000000" w:sz="5" w:space="0"/>
              <w:left w:val="none" w:color="020000" w:sz="0" w:space="0"/>
              <w:bottom w:val="single" w:color="000000" w:sz="5" w:space="0"/>
              <w:right w:val="none" w:color="020000" w:sz="0" w:space="0"/>
            </w:tcBorders>
            <w:vAlign w:val="center"/>
          </w:tcPr>
          <w:p w:rsidRPr="009C48DA" w:rsidR="00661519" w:rsidP="00661519" w:rsidRDefault="00661519" w14:paraId="2FF63049" w14:textId="77777777">
            <w:pPr>
              <w:spacing w:before="155" w:line="185" w:lineRule="exact"/>
              <w:ind w:right="34"/>
              <w:jc w:val="right"/>
              <w:textAlignment w:val="baseline"/>
              <w:rPr>
                <w:rFonts w:eastAsia="Times New Roman"/>
                <w:color w:val="000000"/>
                <w:sz w:val="16"/>
                <w:lang w:val="en-GB"/>
              </w:rPr>
            </w:pPr>
            <w:r w:rsidRPr="009C48DA">
              <w:rPr>
                <w:rFonts w:eastAsia="Times New Roman"/>
                <w:color w:val="000000"/>
                <w:sz w:val="16"/>
                <w:lang w:val="en-GB"/>
              </w:rPr>
              <w:t>126,295</w:t>
            </w:r>
          </w:p>
        </w:tc>
      </w:tr>
      <w:tr w:rsidRPr="009C48DA" w:rsidR="00661519" w:rsidTr="00661519" w14:paraId="3D96C963" w14:textId="77777777">
        <w:trPr>
          <w:trHeight w:val="360" w:hRule="exact"/>
        </w:trPr>
        <w:tc>
          <w:tcPr>
            <w:tcW w:w="44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3F552EA" w14:textId="77777777">
            <w:pPr>
              <w:spacing w:before="155" w:after="7" w:line="187" w:lineRule="exact"/>
              <w:ind w:left="116"/>
              <w:textAlignment w:val="baseline"/>
              <w:rPr>
                <w:rFonts w:eastAsia="Times New Roman"/>
                <w:b/>
                <w:color w:val="000000"/>
                <w:sz w:val="16"/>
                <w:lang w:val="en-GB"/>
              </w:rPr>
            </w:pPr>
            <w:r w:rsidRPr="009C48DA">
              <w:rPr>
                <w:rFonts w:eastAsia="Times New Roman"/>
                <w:b/>
                <w:color w:val="000000"/>
                <w:sz w:val="16"/>
                <w:lang w:val="en-GB"/>
              </w:rPr>
              <w:t>Accumulated depreciation and impairment</w:t>
            </w:r>
          </w:p>
        </w:tc>
        <w:tc>
          <w:tcPr>
            <w:tcW w:w="2414" w:type="dxa"/>
            <w:tcBorders>
              <w:top w:val="single" w:color="000000" w:sz="5" w:space="0"/>
              <w:left w:val="none" w:color="020000" w:sz="0" w:space="0"/>
              <w:bottom w:val="none" w:color="020000" w:sz="0" w:space="0"/>
              <w:right w:val="none" w:color="020000" w:sz="0" w:space="0"/>
            </w:tcBorders>
          </w:tcPr>
          <w:p w:rsidRPr="009C48DA" w:rsidR="00661519" w:rsidP="00661519" w:rsidRDefault="00661519" w14:paraId="657AAE07" w14:textId="77777777">
            <w:pPr>
              <w:textAlignment w:val="baseline"/>
              <w:rPr>
                <w:rFonts w:eastAsia="Times New Roman"/>
                <w:color w:val="000000"/>
                <w:sz w:val="24"/>
                <w:lang w:val="en-GB"/>
              </w:rPr>
            </w:pPr>
            <w:r w:rsidRPr="009C48DA">
              <w:rPr>
                <w:rFonts w:eastAsia="Times New Roman"/>
                <w:color w:val="000000"/>
                <w:sz w:val="24"/>
                <w:lang w:val="en-GB"/>
              </w:rPr>
              <w:t xml:space="preserve"> </w:t>
            </w:r>
          </w:p>
        </w:tc>
        <w:tc>
          <w:tcPr>
            <w:tcW w:w="1363" w:type="dxa"/>
            <w:tcBorders>
              <w:top w:val="single" w:color="000000" w:sz="5" w:space="0"/>
              <w:left w:val="none" w:color="020000" w:sz="0" w:space="0"/>
              <w:bottom w:val="none" w:color="020000" w:sz="0" w:space="0"/>
              <w:right w:val="none" w:color="020000" w:sz="0" w:space="0"/>
            </w:tcBorders>
          </w:tcPr>
          <w:p w:rsidRPr="009C48DA" w:rsidR="00661519" w:rsidP="00661519" w:rsidRDefault="00661519" w14:paraId="2E732646" w14:textId="77777777">
            <w:pPr>
              <w:textAlignment w:val="baseline"/>
              <w:rPr>
                <w:rFonts w:eastAsia="Times New Roman"/>
                <w:color w:val="000000"/>
                <w:sz w:val="24"/>
                <w:lang w:val="en-GB"/>
              </w:rPr>
            </w:pPr>
            <w:r w:rsidRPr="009C48DA">
              <w:rPr>
                <w:rFonts w:eastAsia="Times New Roman"/>
                <w:color w:val="000000"/>
                <w:sz w:val="24"/>
                <w:lang w:val="en-GB"/>
              </w:rPr>
              <w:t xml:space="preserve"> </w:t>
            </w:r>
          </w:p>
        </w:tc>
        <w:tc>
          <w:tcPr>
            <w:tcW w:w="870" w:type="dxa"/>
            <w:tcBorders>
              <w:top w:val="single" w:color="000000" w:sz="5" w:space="0"/>
              <w:left w:val="none" w:color="020000" w:sz="0" w:space="0"/>
              <w:bottom w:val="none" w:color="020000" w:sz="0" w:space="0"/>
              <w:right w:val="none" w:color="020000" w:sz="0" w:space="0"/>
            </w:tcBorders>
          </w:tcPr>
          <w:p w:rsidRPr="009C48DA" w:rsidR="00661519" w:rsidP="00661519" w:rsidRDefault="00661519" w14:paraId="12901C35" w14:textId="77777777">
            <w:pPr>
              <w:textAlignment w:val="baseline"/>
              <w:rPr>
                <w:rFonts w:eastAsia="Times New Roman"/>
                <w:color w:val="000000"/>
                <w:sz w:val="24"/>
                <w:lang w:val="en-GB"/>
              </w:rPr>
            </w:pPr>
            <w:r w:rsidRPr="009C48DA">
              <w:rPr>
                <w:rFonts w:eastAsia="Times New Roman"/>
                <w:color w:val="000000"/>
                <w:sz w:val="24"/>
                <w:lang w:val="en-GB"/>
              </w:rPr>
              <w:t xml:space="preserve"> </w:t>
            </w:r>
          </w:p>
        </w:tc>
      </w:tr>
      <w:tr w:rsidRPr="009C48DA" w:rsidR="00661519" w:rsidTr="00661519" w14:paraId="4638E94B" w14:textId="77777777">
        <w:trPr>
          <w:trHeight w:val="235" w:hRule="exact"/>
        </w:trPr>
        <w:tc>
          <w:tcPr>
            <w:tcW w:w="44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CB8B447" w14:textId="77777777">
            <w:pPr>
              <w:spacing w:after="25" w:line="185" w:lineRule="exact"/>
              <w:ind w:left="116"/>
              <w:textAlignment w:val="baseline"/>
              <w:rPr>
                <w:rFonts w:eastAsia="Times New Roman"/>
                <w:color w:val="000000"/>
                <w:sz w:val="16"/>
                <w:lang w:val="en-GB"/>
              </w:rPr>
            </w:pPr>
            <w:r w:rsidRPr="009C48DA">
              <w:rPr>
                <w:rFonts w:eastAsia="Times New Roman"/>
                <w:color w:val="000000"/>
                <w:sz w:val="16"/>
                <w:lang w:val="en-GB"/>
              </w:rPr>
              <w:t>Balance at 1 January 2021</w:t>
            </w:r>
          </w:p>
        </w:tc>
        <w:tc>
          <w:tcPr>
            <w:tcW w:w="24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4E8F56A" w14:textId="77777777">
            <w:pPr>
              <w:spacing w:before="44" w:after="5" w:line="185" w:lineRule="exact"/>
              <w:ind w:right="230"/>
              <w:jc w:val="right"/>
              <w:textAlignment w:val="baseline"/>
              <w:rPr>
                <w:rFonts w:eastAsia="Times New Roman"/>
                <w:color w:val="000000"/>
                <w:sz w:val="16"/>
                <w:lang w:val="en-GB"/>
              </w:rPr>
            </w:pPr>
            <w:r w:rsidRPr="009C48DA">
              <w:rPr>
                <w:rFonts w:eastAsia="Times New Roman"/>
                <w:color w:val="000000"/>
                <w:sz w:val="16"/>
                <w:lang w:val="en-GB"/>
              </w:rPr>
              <w:t>-</w:t>
            </w:r>
          </w:p>
        </w:tc>
        <w:tc>
          <w:tcPr>
            <w:tcW w:w="13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81BB361" w14:textId="77777777">
            <w:pPr>
              <w:spacing w:before="44" w:after="5" w:line="185" w:lineRule="exact"/>
              <w:ind w:right="187"/>
              <w:jc w:val="right"/>
              <w:textAlignment w:val="baseline"/>
              <w:rPr>
                <w:rFonts w:eastAsia="Times New Roman"/>
                <w:color w:val="000000"/>
                <w:sz w:val="16"/>
                <w:lang w:val="en-GB"/>
              </w:rPr>
            </w:pPr>
            <w:r w:rsidRPr="009C48DA">
              <w:rPr>
                <w:rFonts w:eastAsia="Times New Roman"/>
                <w:color w:val="000000"/>
                <w:sz w:val="16"/>
                <w:lang w:val="en-GB"/>
              </w:rPr>
              <w:t>(573)</w:t>
            </w:r>
          </w:p>
        </w:tc>
        <w:tc>
          <w:tcPr>
            <w:tcW w:w="87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9BD8235" w14:textId="77777777">
            <w:pPr>
              <w:spacing w:before="44" w:after="5" w:line="185" w:lineRule="exact"/>
              <w:ind w:right="34"/>
              <w:jc w:val="right"/>
              <w:textAlignment w:val="baseline"/>
              <w:rPr>
                <w:rFonts w:eastAsia="Times New Roman"/>
                <w:color w:val="000000"/>
                <w:sz w:val="16"/>
                <w:lang w:val="en-GB"/>
              </w:rPr>
            </w:pPr>
            <w:r w:rsidRPr="009C48DA">
              <w:rPr>
                <w:rFonts w:eastAsia="Times New Roman"/>
                <w:color w:val="000000"/>
                <w:sz w:val="16"/>
                <w:lang w:val="en-GB"/>
              </w:rPr>
              <w:t>(573)</w:t>
            </w:r>
          </w:p>
        </w:tc>
      </w:tr>
      <w:tr w:rsidRPr="009C48DA" w:rsidR="00661519" w:rsidTr="00661519" w14:paraId="620055EF" w14:textId="77777777">
        <w:trPr>
          <w:trHeight w:val="221" w:hRule="exact"/>
        </w:trPr>
        <w:tc>
          <w:tcPr>
            <w:tcW w:w="44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05ACB60" w14:textId="77777777">
            <w:pPr>
              <w:spacing w:after="5" w:line="185" w:lineRule="exact"/>
              <w:ind w:left="116"/>
              <w:textAlignment w:val="baseline"/>
              <w:rPr>
                <w:rFonts w:eastAsia="Times New Roman"/>
                <w:color w:val="000000"/>
                <w:sz w:val="16"/>
                <w:lang w:val="en-GB"/>
              </w:rPr>
            </w:pPr>
            <w:r w:rsidRPr="009C48DA">
              <w:rPr>
                <w:rFonts w:eastAsia="Times New Roman"/>
                <w:color w:val="000000"/>
                <w:sz w:val="16"/>
                <w:lang w:val="en-GB"/>
              </w:rPr>
              <w:t>Amortisation</w:t>
            </w:r>
          </w:p>
        </w:tc>
        <w:tc>
          <w:tcPr>
            <w:tcW w:w="2414"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0638CF49" w14:textId="77777777">
            <w:pPr>
              <w:spacing w:after="5" w:line="185" w:lineRule="exact"/>
              <w:ind w:right="230"/>
              <w:jc w:val="right"/>
              <w:textAlignment w:val="baseline"/>
              <w:rPr>
                <w:rFonts w:eastAsia="Times New Roman"/>
                <w:color w:val="000000"/>
                <w:sz w:val="16"/>
                <w:lang w:val="en-GB"/>
              </w:rPr>
            </w:pPr>
            <w:r w:rsidRPr="009C48DA">
              <w:rPr>
                <w:rFonts w:eastAsia="Times New Roman"/>
                <w:color w:val="000000"/>
                <w:sz w:val="16"/>
                <w:lang w:val="en-GB"/>
              </w:rPr>
              <w:t>-</w:t>
            </w:r>
          </w:p>
        </w:tc>
        <w:tc>
          <w:tcPr>
            <w:tcW w:w="1363"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4C74D9D8" w14:textId="77777777">
            <w:pPr>
              <w:spacing w:after="5" w:line="185" w:lineRule="exact"/>
              <w:ind w:right="187"/>
              <w:jc w:val="right"/>
              <w:textAlignment w:val="baseline"/>
              <w:rPr>
                <w:rFonts w:eastAsia="Times New Roman"/>
                <w:color w:val="000000"/>
                <w:sz w:val="16"/>
                <w:lang w:val="en-GB"/>
              </w:rPr>
            </w:pPr>
            <w:r w:rsidRPr="009C48DA">
              <w:rPr>
                <w:rFonts w:eastAsia="Times New Roman"/>
                <w:color w:val="000000"/>
                <w:sz w:val="16"/>
                <w:lang w:val="en-GB"/>
              </w:rPr>
              <w:t>(758)</w:t>
            </w:r>
          </w:p>
        </w:tc>
        <w:tc>
          <w:tcPr>
            <w:tcW w:w="870"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39D60165" w14:textId="77777777">
            <w:pPr>
              <w:spacing w:after="5" w:line="185" w:lineRule="exact"/>
              <w:ind w:right="34"/>
              <w:jc w:val="right"/>
              <w:textAlignment w:val="baseline"/>
              <w:rPr>
                <w:rFonts w:eastAsia="Times New Roman"/>
                <w:color w:val="000000"/>
                <w:sz w:val="16"/>
                <w:lang w:val="en-GB"/>
              </w:rPr>
            </w:pPr>
            <w:r w:rsidRPr="009C48DA">
              <w:rPr>
                <w:rFonts w:eastAsia="Times New Roman"/>
                <w:color w:val="000000"/>
                <w:sz w:val="16"/>
                <w:lang w:val="en-GB"/>
              </w:rPr>
              <w:t>(758)</w:t>
            </w:r>
          </w:p>
        </w:tc>
      </w:tr>
      <w:tr w:rsidRPr="009C48DA" w:rsidR="00661519" w:rsidTr="00661519" w14:paraId="28B22C67" w14:textId="77777777">
        <w:trPr>
          <w:trHeight w:val="345" w:hRule="exact"/>
        </w:trPr>
        <w:tc>
          <w:tcPr>
            <w:tcW w:w="44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1ED8E49" w14:textId="77777777">
            <w:pPr>
              <w:spacing w:before="150" w:after="3" w:line="187" w:lineRule="exact"/>
              <w:ind w:left="116"/>
              <w:textAlignment w:val="baseline"/>
              <w:rPr>
                <w:rFonts w:eastAsia="Times New Roman"/>
                <w:b/>
                <w:color w:val="000000"/>
                <w:sz w:val="16"/>
                <w:lang w:val="en-GB"/>
              </w:rPr>
            </w:pPr>
            <w:r w:rsidRPr="009C48DA">
              <w:rPr>
                <w:rFonts w:eastAsia="Times New Roman"/>
                <w:b/>
                <w:color w:val="000000"/>
                <w:sz w:val="16"/>
                <w:lang w:val="en-GB"/>
              </w:rPr>
              <w:t>At 31 March 2021</w:t>
            </w:r>
          </w:p>
        </w:tc>
        <w:tc>
          <w:tcPr>
            <w:tcW w:w="2414" w:type="dxa"/>
            <w:tcBorders>
              <w:top w:val="single" w:color="000000" w:sz="5" w:space="0"/>
              <w:left w:val="none" w:color="020000" w:sz="0" w:space="0"/>
              <w:bottom w:val="single" w:color="000000" w:sz="5" w:space="0"/>
              <w:right w:val="none" w:color="020000" w:sz="0" w:space="0"/>
            </w:tcBorders>
            <w:vAlign w:val="center"/>
          </w:tcPr>
          <w:p w:rsidRPr="009C48DA" w:rsidR="00661519" w:rsidP="00661519" w:rsidRDefault="00661519" w14:paraId="517865E7" w14:textId="77777777">
            <w:pPr>
              <w:spacing w:before="149" w:after="6" w:line="185" w:lineRule="exact"/>
              <w:ind w:right="230"/>
              <w:jc w:val="right"/>
              <w:textAlignment w:val="baseline"/>
              <w:rPr>
                <w:rFonts w:eastAsia="Times New Roman"/>
                <w:color w:val="000000"/>
                <w:sz w:val="16"/>
                <w:lang w:val="en-GB"/>
              </w:rPr>
            </w:pPr>
            <w:r w:rsidRPr="009C48DA">
              <w:rPr>
                <w:rFonts w:eastAsia="Times New Roman"/>
                <w:color w:val="000000"/>
                <w:sz w:val="16"/>
                <w:lang w:val="en-GB"/>
              </w:rPr>
              <w:t>-</w:t>
            </w:r>
          </w:p>
        </w:tc>
        <w:tc>
          <w:tcPr>
            <w:tcW w:w="1363" w:type="dxa"/>
            <w:tcBorders>
              <w:top w:val="single" w:color="000000" w:sz="5" w:space="0"/>
              <w:left w:val="none" w:color="020000" w:sz="0" w:space="0"/>
              <w:bottom w:val="single" w:color="000000" w:sz="5" w:space="0"/>
              <w:right w:val="none" w:color="020000" w:sz="0" w:space="0"/>
            </w:tcBorders>
            <w:vAlign w:val="center"/>
          </w:tcPr>
          <w:p w:rsidRPr="009C48DA" w:rsidR="00661519" w:rsidP="00661519" w:rsidRDefault="00661519" w14:paraId="12EA3187" w14:textId="77777777">
            <w:pPr>
              <w:spacing w:before="149" w:after="6" w:line="185" w:lineRule="exact"/>
              <w:ind w:right="187"/>
              <w:jc w:val="right"/>
              <w:textAlignment w:val="baseline"/>
              <w:rPr>
                <w:rFonts w:eastAsia="Times New Roman"/>
                <w:color w:val="000000"/>
                <w:sz w:val="16"/>
                <w:lang w:val="en-GB"/>
              </w:rPr>
            </w:pPr>
            <w:r w:rsidRPr="009C48DA">
              <w:rPr>
                <w:rFonts w:eastAsia="Times New Roman"/>
                <w:color w:val="000000"/>
                <w:sz w:val="16"/>
                <w:lang w:val="en-GB"/>
              </w:rPr>
              <w:t>(1,331)</w:t>
            </w:r>
          </w:p>
        </w:tc>
        <w:tc>
          <w:tcPr>
            <w:tcW w:w="870" w:type="dxa"/>
            <w:tcBorders>
              <w:top w:val="single" w:color="000000" w:sz="5" w:space="0"/>
              <w:left w:val="none" w:color="020000" w:sz="0" w:space="0"/>
              <w:bottom w:val="single" w:color="000000" w:sz="5" w:space="0"/>
              <w:right w:val="none" w:color="020000" w:sz="0" w:space="0"/>
            </w:tcBorders>
            <w:vAlign w:val="center"/>
          </w:tcPr>
          <w:p w:rsidRPr="009C48DA" w:rsidR="00661519" w:rsidP="00661519" w:rsidRDefault="00661519" w14:paraId="3D7ABD05" w14:textId="77777777">
            <w:pPr>
              <w:spacing w:before="149" w:after="6" w:line="185" w:lineRule="exact"/>
              <w:ind w:right="34"/>
              <w:jc w:val="right"/>
              <w:textAlignment w:val="baseline"/>
              <w:rPr>
                <w:rFonts w:eastAsia="Times New Roman"/>
                <w:color w:val="000000"/>
                <w:sz w:val="16"/>
                <w:lang w:val="en-GB"/>
              </w:rPr>
            </w:pPr>
            <w:r w:rsidRPr="009C48DA">
              <w:rPr>
                <w:rFonts w:eastAsia="Times New Roman"/>
                <w:color w:val="000000"/>
                <w:sz w:val="16"/>
                <w:lang w:val="en-GB"/>
              </w:rPr>
              <w:t>(1,331)</w:t>
            </w:r>
          </w:p>
        </w:tc>
      </w:tr>
      <w:tr w:rsidRPr="009C48DA" w:rsidR="00661519" w:rsidTr="00661519" w14:paraId="6AE64B31" w14:textId="77777777">
        <w:trPr>
          <w:trHeight w:val="351" w:hRule="exact"/>
        </w:trPr>
        <w:tc>
          <w:tcPr>
            <w:tcW w:w="44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65E3F1D" w14:textId="77777777">
            <w:pPr>
              <w:spacing w:before="156" w:line="184" w:lineRule="exact"/>
              <w:ind w:left="116"/>
              <w:textAlignment w:val="baseline"/>
              <w:rPr>
                <w:rFonts w:eastAsia="Times New Roman"/>
                <w:b/>
                <w:color w:val="000000"/>
                <w:sz w:val="16"/>
                <w:lang w:val="en-GB"/>
              </w:rPr>
            </w:pPr>
            <w:r w:rsidRPr="009C48DA">
              <w:rPr>
                <w:rFonts w:eastAsia="Times New Roman"/>
                <w:b/>
                <w:color w:val="000000"/>
                <w:sz w:val="16"/>
                <w:lang w:val="en-GB"/>
              </w:rPr>
              <w:t>Carrying value</w:t>
            </w:r>
          </w:p>
        </w:tc>
        <w:tc>
          <w:tcPr>
            <w:tcW w:w="2414" w:type="dxa"/>
            <w:tcBorders>
              <w:top w:val="single" w:color="000000" w:sz="5" w:space="0"/>
              <w:left w:val="none" w:color="020000" w:sz="0" w:space="0"/>
              <w:bottom w:val="none" w:color="020000" w:sz="0" w:space="0"/>
              <w:right w:val="none" w:color="020000" w:sz="0" w:space="0"/>
            </w:tcBorders>
          </w:tcPr>
          <w:p w:rsidRPr="009C48DA" w:rsidR="00661519" w:rsidP="00661519" w:rsidRDefault="00661519" w14:paraId="78A81140" w14:textId="77777777">
            <w:pPr>
              <w:textAlignment w:val="baseline"/>
              <w:rPr>
                <w:rFonts w:eastAsia="Times New Roman"/>
                <w:color w:val="000000"/>
                <w:sz w:val="24"/>
                <w:lang w:val="en-GB"/>
              </w:rPr>
            </w:pPr>
            <w:r w:rsidRPr="009C48DA">
              <w:rPr>
                <w:rFonts w:eastAsia="Times New Roman"/>
                <w:color w:val="000000"/>
                <w:sz w:val="24"/>
                <w:lang w:val="en-GB"/>
              </w:rPr>
              <w:t xml:space="preserve"> </w:t>
            </w:r>
          </w:p>
        </w:tc>
        <w:tc>
          <w:tcPr>
            <w:tcW w:w="1363" w:type="dxa"/>
            <w:tcBorders>
              <w:top w:val="single" w:color="000000" w:sz="5" w:space="0"/>
              <w:left w:val="none" w:color="020000" w:sz="0" w:space="0"/>
              <w:bottom w:val="none" w:color="020000" w:sz="0" w:space="0"/>
              <w:right w:val="none" w:color="020000" w:sz="0" w:space="0"/>
            </w:tcBorders>
          </w:tcPr>
          <w:p w:rsidRPr="009C48DA" w:rsidR="00661519" w:rsidP="00661519" w:rsidRDefault="00661519" w14:paraId="62AABCA8" w14:textId="77777777">
            <w:pPr>
              <w:textAlignment w:val="baseline"/>
              <w:rPr>
                <w:rFonts w:eastAsia="Times New Roman"/>
                <w:color w:val="000000"/>
                <w:sz w:val="24"/>
                <w:lang w:val="en-GB"/>
              </w:rPr>
            </w:pPr>
            <w:r w:rsidRPr="009C48DA">
              <w:rPr>
                <w:rFonts w:eastAsia="Times New Roman"/>
                <w:color w:val="000000"/>
                <w:sz w:val="24"/>
                <w:lang w:val="en-GB"/>
              </w:rPr>
              <w:t xml:space="preserve"> </w:t>
            </w:r>
          </w:p>
        </w:tc>
        <w:tc>
          <w:tcPr>
            <w:tcW w:w="870" w:type="dxa"/>
            <w:tcBorders>
              <w:top w:val="single" w:color="000000" w:sz="5" w:space="0"/>
              <w:left w:val="none" w:color="020000" w:sz="0" w:space="0"/>
              <w:bottom w:val="none" w:color="020000" w:sz="0" w:space="0"/>
              <w:right w:val="none" w:color="020000" w:sz="0" w:space="0"/>
            </w:tcBorders>
          </w:tcPr>
          <w:p w:rsidRPr="009C48DA" w:rsidR="00661519" w:rsidP="00661519" w:rsidRDefault="00661519" w14:paraId="4B147556" w14:textId="77777777">
            <w:pPr>
              <w:textAlignment w:val="baseline"/>
              <w:rPr>
                <w:rFonts w:eastAsia="Times New Roman"/>
                <w:color w:val="000000"/>
                <w:sz w:val="24"/>
                <w:lang w:val="en-GB"/>
              </w:rPr>
            </w:pPr>
            <w:r w:rsidRPr="009C48DA">
              <w:rPr>
                <w:rFonts w:eastAsia="Times New Roman"/>
                <w:color w:val="000000"/>
                <w:sz w:val="24"/>
                <w:lang w:val="en-GB"/>
              </w:rPr>
              <w:t xml:space="preserve"> </w:t>
            </w:r>
          </w:p>
        </w:tc>
      </w:tr>
      <w:tr w:rsidRPr="009C48DA" w:rsidR="00661519" w:rsidTr="00661519" w14:paraId="7294E746" w14:textId="77777777">
        <w:trPr>
          <w:trHeight w:val="221" w:hRule="exact"/>
        </w:trPr>
        <w:tc>
          <w:tcPr>
            <w:tcW w:w="44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FDF86AC" w14:textId="77777777">
            <w:pPr>
              <w:spacing w:before="34" w:after="1" w:line="185" w:lineRule="exact"/>
              <w:ind w:left="116"/>
              <w:textAlignment w:val="baseline"/>
              <w:rPr>
                <w:rFonts w:eastAsia="Times New Roman"/>
                <w:color w:val="000000"/>
                <w:sz w:val="16"/>
                <w:lang w:val="en-GB"/>
              </w:rPr>
            </w:pPr>
            <w:r w:rsidRPr="009C48DA">
              <w:rPr>
                <w:rFonts w:eastAsia="Times New Roman"/>
                <w:color w:val="000000"/>
                <w:sz w:val="16"/>
                <w:lang w:val="en-GB"/>
              </w:rPr>
              <w:t>Balance at 1 January 2021</w:t>
            </w:r>
          </w:p>
        </w:tc>
        <w:tc>
          <w:tcPr>
            <w:tcW w:w="2414"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5D3E2F4D" w14:textId="77777777">
            <w:pPr>
              <w:spacing w:after="15" w:line="185" w:lineRule="exact"/>
              <w:ind w:right="230"/>
              <w:jc w:val="right"/>
              <w:textAlignment w:val="baseline"/>
              <w:rPr>
                <w:rFonts w:eastAsia="Times New Roman"/>
                <w:color w:val="000000"/>
                <w:sz w:val="16"/>
                <w:lang w:val="en-GB"/>
              </w:rPr>
            </w:pPr>
            <w:r w:rsidRPr="009C48DA">
              <w:rPr>
                <w:rFonts w:eastAsia="Times New Roman"/>
                <w:color w:val="000000"/>
                <w:sz w:val="16"/>
                <w:lang w:val="en-GB"/>
              </w:rPr>
              <w:t>105,067</w:t>
            </w:r>
          </w:p>
        </w:tc>
        <w:tc>
          <w:tcPr>
            <w:tcW w:w="1363"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35A98D5E" w14:textId="77777777">
            <w:pPr>
              <w:spacing w:after="15" w:line="185" w:lineRule="exact"/>
              <w:ind w:right="187"/>
              <w:jc w:val="right"/>
              <w:textAlignment w:val="baseline"/>
              <w:rPr>
                <w:rFonts w:eastAsia="Times New Roman"/>
                <w:color w:val="000000"/>
                <w:sz w:val="16"/>
                <w:lang w:val="en-GB"/>
              </w:rPr>
            </w:pPr>
            <w:r w:rsidRPr="009C48DA">
              <w:rPr>
                <w:rFonts w:eastAsia="Times New Roman"/>
                <w:color w:val="000000"/>
                <w:sz w:val="16"/>
                <w:lang w:val="en-GB"/>
              </w:rPr>
              <w:t>20,655</w:t>
            </w:r>
          </w:p>
        </w:tc>
        <w:tc>
          <w:tcPr>
            <w:tcW w:w="870"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44A1144F" w14:textId="77777777">
            <w:pPr>
              <w:spacing w:after="15" w:line="185" w:lineRule="exact"/>
              <w:ind w:right="34"/>
              <w:jc w:val="right"/>
              <w:textAlignment w:val="baseline"/>
              <w:rPr>
                <w:rFonts w:eastAsia="Times New Roman"/>
                <w:color w:val="000000"/>
                <w:sz w:val="16"/>
                <w:lang w:val="en-GB"/>
              </w:rPr>
            </w:pPr>
            <w:r w:rsidRPr="009C48DA">
              <w:rPr>
                <w:rFonts w:eastAsia="Times New Roman"/>
                <w:color w:val="000000"/>
                <w:sz w:val="16"/>
                <w:lang w:val="en-GB"/>
              </w:rPr>
              <w:t>125,722</w:t>
            </w:r>
          </w:p>
        </w:tc>
      </w:tr>
      <w:tr w:rsidRPr="009C48DA" w:rsidR="00661519" w:rsidTr="00661519" w14:paraId="093BBE87" w14:textId="77777777">
        <w:trPr>
          <w:trHeight w:val="345" w:hRule="exact"/>
        </w:trPr>
        <w:tc>
          <w:tcPr>
            <w:tcW w:w="4417"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55795AB2" w14:textId="77777777">
            <w:pPr>
              <w:spacing w:before="158" w:line="186" w:lineRule="exact"/>
              <w:ind w:left="116"/>
              <w:textAlignment w:val="baseline"/>
              <w:rPr>
                <w:rFonts w:eastAsia="Times New Roman"/>
                <w:b/>
                <w:color w:val="000000"/>
                <w:sz w:val="16"/>
                <w:lang w:val="en-GB"/>
              </w:rPr>
            </w:pPr>
            <w:r w:rsidRPr="009C48DA">
              <w:rPr>
                <w:rFonts w:eastAsia="Times New Roman"/>
                <w:b/>
                <w:color w:val="000000"/>
                <w:sz w:val="16"/>
                <w:lang w:val="en-GB"/>
              </w:rPr>
              <w:t>Balance at 31 March 2021</w:t>
            </w:r>
          </w:p>
        </w:tc>
        <w:tc>
          <w:tcPr>
            <w:tcW w:w="2414" w:type="dxa"/>
            <w:tcBorders>
              <w:top w:val="single" w:color="000000" w:sz="5" w:space="0"/>
              <w:left w:val="none" w:color="020000" w:sz="0" w:space="0"/>
              <w:bottom w:val="double" w:color="000000" w:sz="7" w:space="0"/>
              <w:right w:val="none" w:color="020000" w:sz="0" w:space="0"/>
            </w:tcBorders>
            <w:vAlign w:val="center"/>
          </w:tcPr>
          <w:p w:rsidRPr="009C48DA" w:rsidR="00661519" w:rsidP="00661519" w:rsidRDefault="00661519" w14:paraId="2B9938A8" w14:textId="77777777">
            <w:pPr>
              <w:spacing w:before="144" w:after="15" w:line="185" w:lineRule="exact"/>
              <w:ind w:right="230"/>
              <w:jc w:val="right"/>
              <w:textAlignment w:val="baseline"/>
              <w:rPr>
                <w:rFonts w:eastAsia="Times New Roman"/>
                <w:color w:val="000000"/>
                <w:sz w:val="16"/>
                <w:lang w:val="en-GB"/>
              </w:rPr>
            </w:pPr>
            <w:r w:rsidRPr="009C48DA">
              <w:rPr>
                <w:rFonts w:eastAsia="Times New Roman"/>
                <w:color w:val="000000"/>
                <w:sz w:val="16"/>
                <w:lang w:val="en-GB"/>
              </w:rPr>
              <w:t>105,067</w:t>
            </w:r>
          </w:p>
        </w:tc>
        <w:tc>
          <w:tcPr>
            <w:tcW w:w="1363" w:type="dxa"/>
            <w:tcBorders>
              <w:top w:val="single" w:color="000000" w:sz="5" w:space="0"/>
              <w:left w:val="none" w:color="020000" w:sz="0" w:space="0"/>
              <w:bottom w:val="double" w:color="000000" w:sz="7" w:space="0"/>
              <w:right w:val="none" w:color="020000" w:sz="0" w:space="0"/>
            </w:tcBorders>
            <w:vAlign w:val="center"/>
          </w:tcPr>
          <w:p w:rsidRPr="009C48DA" w:rsidR="00661519" w:rsidP="00661519" w:rsidRDefault="00661519" w14:paraId="301F3E47" w14:textId="77777777">
            <w:pPr>
              <w:spacing w:before="144" w:after="15" w:line="185" w:lineRule="exact"/>
              <w:ind w:right="187"/>
              <w:jc w:val="right"/>
              <w:textAlignment w:val="baseline"/>
              <w:rPr>
                <w:rFonts w:eastAsia="Times New Roman"/>
                <w:color w:val="000000"/>
                <w:sz w:val="16"/>
                <w:lang w:val="en-GB"/>
              </w:rPr>
            </w:pPr>
            <w:r w:rsidRPr="009C48DA">
              <w:rPr>
                <w:rFonts w:eastAsia="Times New Roman"/>
                <w:color w:val="000000"/>
                <w:sz w:val="16"/>
                <w:lang w:val="en-GB"/>
              </w:rPr>
              <w:t>19,897</w:t>
            </w:r>
          </w:p>
        </w:tc>
        <w:tc>
          <w:tcPr>
            <w:tcW w:w="870" w:type="dxa"/>
            <w:tcBorders>
              <w:top w:val="single" w:color="000000" w:sz="5" w:space="0"/>
              <w:left w:val="none" w:color="020000" w:sz="0" w:space="0"/>
              <w:bottom w:val="double" w:color="000000" w:sz="7" w:space="0"/>
              <w:right w:val="none" w:color="020000" w:sz="0" w:space="0"/>
            </w:tcBorders>
            <w:vAlign w:val="center"/>
          </w:tcPr>
          <w:p w:rsidRPr="009C48DA" w:rsidR="00661519" w:rsidP="00661519" w:rsidRDefault="00661519" w14:paraId="39A4FAF1" w14:textId="77777777">
            <w:pPr>
              <w:spacing w:before="144" w:after="15" w:line="185" w:lineRule="exact"/>
              <w:ind w:right="34"/>
              <w:jc w:val="right"/>
              <w:textAlignment w:val="baseline"/>
              <w:rPr>
                <w:rFonts w:eastAsia="Times New Roman"/>
                <w:color w:val="000000"/>
                <w:sz w:val="16"/>
                <w:lang w:val="en-GB"/>
              </w:rPr>
            </w:pPr>
            <w:r w:rsidRPr="009C48DA">
              <w:rPr>
                <w:rFonts w:eastAsia="Times New Roman"/>
                <w:color w:val="000000"/>
                <w:sz w:val="16"/>
                <w:lang w:val="en-GB"/>
              </w:rPr>
              <w:t>124,964</w:t>
            </w:r>
          </w:p>
        </w:tc>
      </w:tr>
    </w:tbl>
    <w:p w:rsidRPr="009C48DA" w:rsidR="00661519" w:rsidP="00661519" w:rsidRDefault="00661519" w14:paraId="540905C0" w14:textId="77777777">
      <w:pPr>
        <w:spacing w:before="309" w:line="186" w:lineRule="exact"/>
        <w:textAlignment w:val="baseline"/>
        <w:rPr>
          <w:rFonts w:eastAsia="Times New Roman"/>
          <w:color w:val="000000"/>
          <w:spacing w:val="-1"/>
          <w:sz w:val="16"/>
          <w:lang w:val="en-GB"/>
        </w:rPr>
      </w:pPr>
      <w:r w:rsidRPr="009C48DA">
        <w:rPr>
          <w:rFonts w:eastAsia="Times New Roman"/>
          <w:color w:val="000000"/>
          <w:spacing w:val="-1"/>
          <w:sz w:val="16"/>
          <w:lang w:val="en-GB"/>
        </w:rPr>
        <w:t>The goodwill arose following the acquisition of EQT Credit in 2020. All goodwill is attributable to the Credit operating segment.</w:t>
      </w:r>
    </w:p>
    <w:p w:rsidRPr="009C48DA" w:rsidR="00661519" w:rsidP="00661519" w:rsidRDefault="00661519" w14:paraId="792E863D" w14:textId="77777777">
      <w:pPr>
        <w:spacing w:before="106"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Goodwill is required to be assessed for impairment annually or more frequently if events or changes in circumstances indicate potential </w:t>
      </w:r>
      <w:r w:rsidRPr="009C48DA">
        <w:rPr>
          <w:rFonts w:eastAsia="Times New Roman"/>
          <w:color w:val="000000"/>
          <w:sz w:val="16"/>
          <w:lang w:val="en-GB"/>
        </w:rPr>
        <w:br/>
        <w:t xml:space="preserve">impairment loss. A value-in-use forecast for the Credit operating segment has been prepared to compare the forecast of the credit business to </w:t>
      </w:r>
      <w:r w:rsidRPr="009C48DA">
        <w:rPr>
          <w:rFonts w:eastAsia="Times New Roman"/>
          <w:color w:val="000000"/>
          <w:sz w:val="16"/>
          <w:lang w:val="en-GB"/>
        </w:rPr>
        <w:br/>
        <w:t xml:space="preserve">the carrying amount of the goodwill. Key assumptions in the forecast include projected earnings for 2021 to 2033, including new </w:t>
      </w:r>
      <w:r w:rsidRPr="009C48DA">
        <w:rPr>
          <w:rFonts w:eastAsia="Times New Roman"/>
          <w:color w:val="000000"/>
          <w:sz w:val="16"/>
          <w:lang w:val="en-GB"/>
        </w:rPr>
        <w:br/>
        <w:t>fundraising, and a discount rate of 10.5%. As at 31 December 2020 and March 2021, no impairment was identified. The Credit business would need to fall short of its projected profit margins by over 30% over the period 2021 to 2026 for the goodwill may be impaired.</w:t>
      </w:r>
    </w:p>
    <w:p w:rsidRPr="009C48DA" w:rsidR="00661519" w:rsidP="00661519" w:rsidRDefault="00661519" w14:paraId="08E0DD28" w14:textId="77777777">
      <w:pPr>
        <w:spacing w:before="106" w:line="184" w:lineRule="exact"/>
        <w:jc w:val="both"/>
        <w:textAlignment w:val="baseline"/>
        <w:rPr>
          <w:rFonts w:eastAsia="Times New Roman"/>
          <w:color w:val="000000"/>
          <w:sz w:val="16"/>
          <w:lang w:val="en-GB"/>
        </w:rPr>
      </w:pPr>
      <w:r w:rsidRPr="009C48DA">
        <w:rPr>
          <w:rFonts w:eastAsia="Times New Roman"/>
          <w:color w:val="000000"/>
          <w:spacing w:val="-1"/>
          <w:sz w:val="16"/>
          <w:lang w:val="en-GB"/>
        </w:rPr>
        <w:t>The intangible asset represents a customer relationship asset which arose as part of the acquisition of EQT Credit.</w:t>
      </w:r>
    </w:p>
    <w:p w:rsidRPr="009C48DA" w:rsidR="00661519" w:rsidP="00661519" w:rsidRDefault="00661519" w14:paraId="3590F8E9" w14:textId="77777777">
      <w:pPr>
        <w:spacing w:before="106" w:line="184" w:lineRule="exact"/>
        <w:jc w:val="both"/>
        <w:textAlignment w:val="baseline"/>
        <w:rPr>
          <w:rFonts w:eastAsia="Times New Roman"/>
          <w:color w:val="000000"/>
          <w:sz w:val="16"/>
          <w:lang w:val="en-GB"/>
        </w:rPr>
      </w:pPr>
      <w:r w:rsidRPr="009C48DA">
        <w:rPr>
          <w:rFonts w:eastAsia="Times New Roman"/>
          <w:color w:val="000000"/>
          <w:spacing w:val="-1"/>
          <w:sz w:val="16"/>
          <w:lang w:val="en-GB"/>
        </w:rPr>
        <w:t xml:space="preserve">The intangible asset was valued based on a number of assumptions. These include profit margins, size of funds, level of </w:t>
      </w:r>
      <w:r w:rsidRPr="009C48DA">
        <w:rPr>
          <w:rFonts w:eastAsia="Times New Roman"/>
          <w:color w:val="000000"/>
          <w:spacing w:val="-1"/>
          <w:sz w:val="16"/>
          <w:lang w:val="en-GB"/>
        </w:rPr>
        <w:br/>
        <w:t xml:space="preserve">reinvestment/attrition in new funds and the discount rate applied to the projections. The valuation is sensitive to any number of changes to </w:t>
      </w:r>
      <w:r w:rsidRPr="009C48DA">
        <w:rPr>
          <w:rFonts w:eastAsia="Times New Roman"/>
          <w:color w:val="000000"/>
          <w:spacing w:val="-1"/>
          <w:sz w:val="16"/>
          <w:lang w:val="en-GB"/>
        </w:rPr>
        <w:br/>
        <w:t>one or a combination of these assumptions. As an illustration, a +/-20% change to the level of investor reinvestment has a £6m impact on the carrying value of the intangible assets. A change of +/-5% increase in the discount rate would have an impact of £2m on the carrying value.</w:t>
      </w:r>
    </w:p>
    <w:p w:rsidRPr="009C48DA" w:rsidR="00661519" w:rsidP="00661519" w:rsidRDefault="00661519" w14:paraId="15A9D106" w14:textId="77777777">
      <w:pPr>
        <w:rPr>
          <w:rFonts w:eastAsia="Times New Roman" w:cs="Times New Roman"/>
          <w:b/>
          <w:color w:val="000000"/>
          <w:sz w:val="16"/>
          <w:szCs w:val="22"/>
          <w:lang w:val="en-GB"/>
        </w:rPr>
      </w:pPr>
    </w:p>
    <w:p w:rsidRPr="009C48DA" w:rsidR="00661519" w:rsidP="00661519" w:rsidRDefault="00661519" w14:paraId="2EC48682" w14:textId="77777777">
      <w:pPr>
        <w:rPr>
          <w:rFonts w:eastAsia="Times New Roman" w:cs="Times New Roman"/>
          <w:b/>
          <w:color w:val="000000"/>
          <w:sz w:val="16"/>
          <w:szCs w:val="22"/>
          <w:lang w:val="en-GB"/>
        </w:rPr>
      </w:pPr>
    </w:p>
    <w:p w:rsidRPr="009C48DA" w:rsidR="00661519" w:rsidP="00661519" w:rsidRDefault="00661519" w14:paraId="4468ECF6" w14:textId="77777777">
      <w:pPr>
        <w:rPr>
          <w:rFonts w:eastAsia="Times New Roman" w:cs="Times New Roman"/>
          <w:b/>
          <w:color w:val="000000"/>
          <w:sz w:val="16"/>
          <w:szCs w:val="16"/>
          <w:lang w:val="en-GB"/>
        </w:rPr>
      </w:pPr>
      <w:r w:rsidRPr="009C48DA">
        <w:rPr>
          <w:rFonts w:eastAsia="Times New Roman" w:cs="Times New Roman"/>
          <w:b/>
          <w:color w:val="000000"/>
          <w:sz w:val="16"/>
          <w:szCs w:val="16"/>
          <w:lang w:val="en-GB"/>
        </w:rPr>
        <w:t>15</w:t>
      </w:r>
      <w:r w:rsidRPr="009C48DA">
        <w:rPr>
          <w:rFonts w:eastAsia="Times New Roman" w:cs="Times New Roman"/>
          <w:b/>
          <w:color w:val="000000"/>
          <w:sz w:val="16"/>
          <w:szCs w:val="16"/>
          <w:lang w:val="en-GB"/>
        </w:rPr>
        <w:tab/>
        <w:t>Business combinations</w:t>
      </w:r>
    </w:p>
    <w:p w:rsidRPr="009C48DA" w:rsidR="00661519" w:rsidP="00661519" w:rsidRDefault="00661519" w14:paraId="08577B01" w14:textId="77777777">
      <w:pPr>
        <w:spacing w:before="110" w:line="182" w:lineRule="exact"/>
        <w:jc w:val="both"/>
        <w:textAlignment w:val="baseline"/>
        <w:rPr>
          <w:rFonts w:eastAsia="Times New Roman"/>
          <w:color w:val="000000"/>
          <w:spacing w:val="1"/>
          <w:sz w:val="16"/>
          <w:lang w:val="en-GB"/>
        </w:rPr>
      </w:pPr>
      <w:r w:rsidRPr="009C48DA">
        <w:rPr>
          <w:rFonts w:eastAsia="Times New Roman"/>
          <w:color w:val="000000"/>
          <w:spacing w:val="1"/>
          <w:sz w:val="16"/>
          <w:lang w:val="en-GB"/>
        </w:rPr>
        <w:t xml:space="preserve">On 23 October 2020, the Group acquired 100% of the equity instruments in entities representing the EQT Credit fund management business and interests in certain funds and carried interest managed by EQT Credit, for initial cash consideration of £98.9m (including liabilities incurred) and a deferred element of up to €50m (£44.6m), which is payable to EQT AB based on the outcome of fundraising for certain </w:t>
      </w:r>
      <w:r w:rsidRPr="009C48DA">
        <w:rPr>
          <w:rFonts w:eastAsia="Times New Roman"/>
          <w:color w:val="000000"/>
          <w:spacing w:val="1"/>
          <w:sz w:val="16"/>
          <w:lang w:val="en-GB"/>
        </w:rPr>
        <w:br/>
        <w:t xml:space="preserve">funds. This excludes consideration paid in relation to the acquisition of the interests in funds and carried interest which has been detailed in note 16 and 17. The acquisition was undertaken to increase the scale of the Group’s credit offering. </w:t>
      </w:r>
    </w:p>
    <w:p w:rsidRPr="009C48DA" w:rsidR="00661519" w:rsidP="00661519" w:rsidRDefault="00661519" w14:paraId="1F167C7A" w14:textId="77777777">
      <w:pPr>
        <w:spacing w:before="101"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The amount of deferred consideration recorded in the opening balance sheet of </w:t>
      </w:r>
      <w:r w:rsidRPr="009C48DA">
        <w:rPr>
          <w:rFonts w:eastAsia="Times New Roman"/>
          <w:color w:val="000000"/>
          <w:spacing w:val="1"/>
          <w:sz w:val="16"/>
          <w:lang w:val="en-GB"/>
        </w:rPr>
        <w:t xml:space="preserve">£32.1m </w:t>
      </w:r>
      <w:r w:rsidRPr="009C48DA">
        <w:rPr>
          <w:rFonts w:eastAsia="Times New Roman"/>
          <w:color w:val="000000"/>
          <w:sz w:val="16"/>
          <w:lang w:val="en-GB"/>
        </w:rPr>
        <w:t>and at 31 December 2020 and 31 March 2021 is</w:t>
      </w:r>
      <w:r w:rsidRPr="009C48DA">
        <w:rPr>
          <w:rFonts w:eastAsia="Times New Roman"/>
          <w:color w:val="000000"/>
          <w:sz w:val="16"/>
          <w:lang w:val="en-GB"/>
        </w:rPr>
        <w:br/>
        <w:t xml:space="preserve">based on management’s expectation of the fundraising at the acquisition date. The deferred consideration is expected to be paid in 2022. See </w:t>
      </w:r>
      <w:r w:rsidRPr="009C48DA">
        <w:rPr>
          <w:rFonts w:eastAsia="Times New Roman"/>
          <w:color w:val="000000"/>
          <w:sz w:val="16"/>
          <w:lang w:val="en-GB"/>
        </w:rPr>
        <w:br/>
        <w:t>note 18(b) for further detail.</w:t>
      </w:r>
    </w:p>
    <w:p w:rsidRPr="009C48DA" w:rsidR="00661519" w:rsidP="00661519" w:rsidRDefault="00661519" w14:paraId="3CB2271E" w14:textId="77777777">
      <w:pPr>
        <w:spacing w:before="102" w:line="182" w:lineRule="exact"/>
        <w:ind w:right="72"/>
        <w:jc w:val="both"/>
        <w:textAlignment w:val="baseline"/>
        <w:rPr>
          <w:rFonts w:eastAsia="Times New Roman"/>
          <w:color w:val="000000"/>
          <w:sz w:val="16"/>
          <w:lang w:val="en-GB"/>
        </w:rPr>
      </w:pPr>
      <w:r w:rsidRPr="009C48DA">
        <w:rPr>
          <w:rFonts w:eastAsia="Times New Roman"/>
          <w:color w:val="000000"/>
          <w:sz w:val="16"/>
          <w:lang w:val="en-GB"/>
        </w:rPr>
        <w:t>As part of the acquisition of the EQT Credit business, the Group also acquired an interest in CLO notes in CLO I and CLO II for cash consideration of £23.6m. As the Group is considered to have both the power and has exposure to variable returns from its involvement as an investor in the subordinated notes it is required to consolidate the CLO vehicles.</w:t>
      </w:r>
    </w:p>
    <w:p w:rsidRPr="009C48DA" w:rsidR="00661519" w:rsidP="000D6C1F" w:rsidRDefault="00661519" w14:paraId="498B2E58" w14:textId="0A9D6799">
      <w:pPr>
        <w:spacing w:before="107" w:line="182" w:lineRule="exact"/>
        <w:jc w:val="both"/>
        <w:textAlignment w:val="baseline"/>
        <w:rPr>
          <w:rFonts w:eastAsia="Times New Roman"/>
          <w:color w:val="000000"/>
          <w:sz w:val="16"/>
          <w:lang w:val="en-GB"/>
        </w:rPr>
      </w:pPr>
      <w:r w:rsidRPr="009C48DA">
        <w:rPr>
          <w:rFonts w:eastAsia="Times New Roman"/>
          <w:color w:val="000000"/>
          <w:sz w:val="16"/>
          <w:lang w:val="en-GB"/>
        </w:rPr>
        <w:t xml:space="preserve">The following table summarises the consideration paid by the Group, the fair value of assets acquired and liabilities assumed at the </w:t>
      </w:r>
      <w:r w:rsidRPr="009C48DA">
        <w:rPr>
          <w:rFonts w:eastAsia="Times New Roman"/>
          <w:color w:val="000000"/>
          <w:sz w:val="16"/>
          <w:lang w:val="en-GB"/>
        </w:rPr>
        <w:br/>
        <w:t>acquisition date. This excludes consideration paid in relation to the acquisition of the interests in funds and carried interest.</w:t>
      </w:r>
      <w:r w:rsidRPr="009C48DA">
        <w:rPr>
          <w:rFonts w:eastAsia="Times New Roman"/>
          <w:color w:val="000000"/>
          <w:sz w:val="16"/>
          <w:lang w:val="en-GB"/>
        </w:rPr>
        <w:br w:type="page"/>
      </w:r>
    </w:p>
    <w:tbl>
      <w:tblPr>
        <w:tblW w:w="0" w:type="auto"/>
        <w:tblLayout w:type="fixed"/>
        <w:tblCellMar>
          <w:left w:w="0" w:type="dxa"/>
          <w:right w:w="0" w:type="dxa"/>
        </w:tblCellMar>
        <w:tblLook w:val="04A0" w:firstRow="1" w:lastRow="0" w:firstColumn="1" w:lastColumn="0" w:noHBand="0" w:noVBand="1"/>
      </w:tblPr>
      <w:tblGrid>
        <w:gridCol w:w="7738"/>
        <w:gridCol w:w="1476"/>
      </w:tblGrid>
      <w:tr w:rsidRPr="009C48DA" w:rsidR="00661519" w:rsidTr="00661519" w14:paraId="546C2B9A" w14:textId="77777777">
        <w:tc>
          <w:tcPr>
            <w:tcW w:w="7738" w:type="dxa"/>
          </w:tcPr>
          <w:p w:rsidRPr="009C48DA" w:rsidR="00661519" w:rsidP="00661519" w:rsidRDefault="00661519" w14:paraId="7B7DB756" w14:textId="77777777">
            <w:pPr>
              <w:textAlignment w:val="baseline"/>
              <w:rPr>
                <w:rFonts w:eastAsia="Times New Roman" w:cs="Times New Roman"/>
                <w:color w:val="000000"/>
                <w:sz w:val="24"/>
                <w:szCs w:val="22"/>
                <w:lang w:val="en-GB"/>
              </w:rPr>
            </w:pPr>
            <w:r w:rsidRPr="009C48DA">
              <w:rPr>
                <w:rFonts w:eastAsia="Times New Roman" w:cs="Times New Roman"/>
                <w:b/>
                <w:color w:val="000000"/>
                <w:sz w:val="16"/>
                <w:szCs w:val="16"/>
                <w:lang w:val="en-GB"/>
              </w:rPr>
              <w:lastRenderedPageBreak/>
              <w:br w:type="page"/>
            </w:r>
            <w:r w:rsidRPr="009C48DA">
              <w:rPr>
                <w:rFonts w:eastAsia="Times New Roman" w:cs="Times New Roman"/>
                <w:color w:val="000000"/>
                <w:sz w:val="24"/>
                <w:szCs w:val="22"/>
                <w:lang w:val="en-GB"/>
              </w:rPr>
              <w:t xml:space="preserve"> </w:t>
            </w:r>
          </w:p>
        </w:tc>
        <w:tc>
          <w:tcPr>
            <w:tcW w:w="1476" w:type="dxa"/>
          </w:tcPr>
          <w:p w:rsidRPr="009C48DA" w:rsidR="00661519" w:rsidP="00661519" w:rsidRDefault="00661519" w14:paraId="20EF687D" w14:textId="77777777">
            <w:pPr>
              <w:ind w:right="459"/>
              <w:jc w:val="right"/>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Total</w:t>
            </w:r>
          </w:p>
          <w:p w:rsidRPr="009C48DA" w:rsidR="00661519" w:rsidP="00661519" w:rsidRDefault="00661519" w14:paraId="1B883BD5" w14:textId="77777777">
            <w:pPr>
              <w:ind w:right="459"/>
              <w:jc w:val="right"/>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£ 000</w:t>
            </w:r>
          </w:p>
        </w:tc>
      </w:tr>
      <w:tr w:rsidRPr="009C48DA" w:rsidR="00661519" w:rsidTr="00661519" w14:paraId="33F5F960" w14:textId="77777777">
        <w:tc>
          <w:tcPr>
            <w:tcW w:w="7738" w:type="dxa"/>
            <w:vAlign w:val="center"/>
          </w:tcPr>
          <w:p w:rsidRPr="009C48DA" w:rsidR="00661519" w:rsidP="00661519" w:rsidRDefault="00661519" w14:paraId="54D188E3" w14:textId="77777777">
            <w:pPr>
              <w:spacing w:before="60"/>
              <w:textAlignment w:val="baseline"/>
              <w:rPr>
                <w:rFonts w:eastAsia="Times New Roman" w:cs="Times New Roman"/>
                <w:b/>
                <w:color w:val="000000"/>
                <w:sz w:val="17"/>
                <w:szCs w:val="22"/>
                <w:lang w:val="en-GB"/>
              </w:rPr>
            </w:pPr>
            <w:r w:rsidRPr="009C48DA">
              <w:rPr>
                <w:rFonts w:eastAsia="Times New Roman" w:cs="Times New Roman"/>
                <w:b/>
                <w:color w:val="000000"/>
                <w:sz w:val="17"/>
                <w:szCs w:val="22"/>
                <w:lang w:val="en-GB"/>
              </w:rPr>
              <w:t>Fair value of assets acquired.</w:t>
            </w:r>
          </w:p>
        </w:tc>
        <w:tc>
          <w:tcPr>
            <w:tcW w:w="1476" w:type="dxa"/>
            <w:vAlign w:val="center"/>
          </w:tcPr>
          <w:p w:rsidRPr="009C48DA" w:rsidR="00661519" w:rsidP="00661519" w:rsidRDefault="00661519" w14:paraId="057D536C" w14:textId="77777777">
            <w:pPr>
              <w:spacing w:before="60"/>
              <w:ind w:right="457"/>
              <w:jc w:val="right"/>
              <w:textAlignment w:val="baseline"/>
              <w:rPr>
                <w:rFonts w:eastAsia="Times New Roman" w:cs="Times New Roman"/>
                <w:b/>
                <w:color w:val="000000"/>
                <w:sz w:val="16"/>
                <w:szCs w:val="22"/>
                <w:lang w:val="en-GB"/>
              </w:rPr>
            </w:pPr>
          </w:p>
        </w:tc>
      </w:tr>
      <w:tr w:rsidRPr="009C48DA" w:rsidR="00661519" w:rsidTr="00661519" w14:paraId="4B975007" w14:textId="77777777">
        <w:tc>
          <w:tcPr>
            <w:tcW w:w="7738" w:type="dxa"/>
            <w:vAlign w:val="center"/>
          </w:tcPr>
          <w:p w:rsidRPr="009C48DA" w:rsidR="00661519" w:rsidP="00661519" w:rsidRDefault="00661519" w14:paraId="7E6CB8FB" w14:textId="77777777">
            <w:pPr>
              <w:spacing w:before="60"/>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Tangible assets</w:t>
            </w:r>
          </w:p>
        </w:tc>
        <w:tc>
          <w:tcPr>
            <w:tcW w:w="1476" w:type="dxa"/>
            <w:vAlign w:val="center"/>
          </w:tcPr>
          <w:p w:rsidRPr="009C48DA" w:rsidR="00661519" w:rsidP="00661519" w:rsidRDefault="00661519" w14:paraId="2C015E9C" w14:textId="77777777">
            <w:pPr>
              <w:spacing w:before="60"/>
              <w:ind w:right="7"/>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8</w:t>
            </w:r>
          </w:p>
        </w:tc>
      </w:tr>
      <w:tr w:rsidRPr="009C48DA" w:rsidR="00661519" w:rsidTr="00661519" w14:paraId="6DEC898C" w14:textId="77777777">
        <w:tc>
          <w:tcPr>
            <w:tcW w:w="7738" w:type="dxa"/>
            <w:vAlign w:val="center"/>
          </w:tcPr>
          <w:p w:rsidRPr="009C48DA" w:rsidR="00661519" w:rsidP="00661519" w:rsidRDefault="00661519" w14:paraId="06E5EFB8" w14:textId="77777777">
            <w:pPr>
              <w:spacing w:before="60"/>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Intangible assets</w:t>
            </w:r>
          </w:p>
        </w:tc>
        <w:tc>
          <w:tcPr>
            <w:tcW w:w="1476" w:type="dxa"/>
            <w:vAlign w:val="center"/>
          </w:tcPr>
          <w:p w:rsidRPr="009C48DA" w:rsidR="00661519" w:rsidP="00661519" w:rsidRDefault="00661519" w14:paraId="3E2A0AC9" w14:textId="77777777">
            <w:pPr>
              <w:spacing w:before="60"/>
              <w:ind w:right="7"/>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21,228</w:t>
            </w:r>
          </w:p>
        </w:tc>
      </w:tr>
      <w:tr w:rsidRPr="009C48DA" w:rsidR="00661519" w:rsidTr="00661519" w14:paraId="4E42A2EE" w14:textId="77777777">
        <w:tc>
          <w:tcPr>
            <w:tcW w:w="7738" w:type="dxa"/>
            <w:vAlign w:val="center"/>
          </w:tcPr>
          <w:p w:rsidRPr="009C48DA" w:rsidR="00661519" w:rsidP="00661519" w:rsidRDefault="00661519" w14:paraId="2665B978" w14:textId="77777777">
            <w:pPr>
              <w:spacing w:before="60"/>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Cash and cash equivalents</w:t>
            </w:r>
          </w:p>
        </w:tc>
        <w:tc>
          <w:tcPr>
            <w:tcW w:w="1476" w:type="dxa"/>
            <w:vAlign w:val="center"/>
          </w:tcPr>
          <w:p w:rsidRPr="009C48DA" w:rsidR="00661519" w:rsidP="00661519" w:rsidRDefault="00661519" w14:paraId="278902F1" w14:textId="77777777">
            <w:pPr>
              <w:spacing w:before="60"/>
              <w:ind w:right="7"/>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18,040</w:t>
            </w:r>
          </w:p>
        </w:tc>
      </w:tr>
      <w:tr w:rsidRPr="009C48DA" w:rsidR="00661519" w:rsidTr="00661519" w14:paraId="60F45B6B" w14:textId="77777777">
        <w:tc>
          <w:tcPr>
            <w:tcW w:w="7738" w:type="dxa"/>
            <w:vAlign w:val="center"/>
          </w:tcPr>
          <w:p w:rsidRPr="009C48DA" w:rsidR="00661519" w:rsidP="00661519" w:rsidRDefault="00661519" w14:paraId="6D7153F5" w14:textId="77777777">
            <w:pPr>
              <w:spacing w:before="60"/>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Trade debtors</w:t>
            </w:r>
          </w:p>
        </w:tc>
        <w:tc>
          <w:tcPr>
            <w:tcW w:w="1476" w:type="dxa"/>
            <w:vAlign w:val="center"/>
          </w:tcPr>
          <w:p w:rsidRPr="009C48DA" w:rsidR="00661519" w:rsidP="00661519" w:rsidRDefault="00661519" w14:paraId="2FAED37E" w14:textId="77777777">
            <w:pPr>
              <w:spacing w:before="60"/>
              <w:ind w:right="7"/>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8,418</w:t>
            </w:r>
          </w:p>
        </w:tc>
      </w:tr>
      <w:tr w:rsidRPr="009C48DA" w:rsidR="00661519" w:rsidTr="00661519" w14:paraId="0EC6BD34" w14:textId="77777777">
        <w:tc>
          <w:tcPr>
            <w:tcW w:w="7738" w:type="dxa"/>
            <w:vAlign w:val="center"/>
          </w:tcPr>
          <w:p w:rsidRPr="009C48DA" w:rsidR="00661519" w:rsidP="00661519" w:rsidRDefault="00661519" w14:paraId="1963FF20" w14:textId="77777777">
            <w:pPr>
              <w:spacing w:before="60"/>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Trade creditors</w:t>
            </w:r>
          </w:p>
        </w:tc>
        <w:tc>
          <w:tcPr>
            <w:tcW w:w="1476" w:type="dxa"/>
            <w:vAlign w:val="center"/>
          </w:tcPr>
          <w:p w:rsidRPr="009C48DA" w:rsidR="00661519" w:rsidP="00661519" w:rsidRDefault="00661519" w14:paraId="2C3F2DA4" w14:textId="77777777">
            <w:pPr>
              <w:pBdr>
                <w:bottom w:val="single" w:color="auto" w:sz="12" w:space="1"/>
              </w:pBdr>
              <w:spacing w:before="60"/>
              <w:ind w:right="7"/>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(19,071)</w:t>
            </w:r>
          </w:p>
        </w:tc>
      </w:tr>
      <w:tr w:rsidRPr="009C48DA" w:rsidR="00661519" w:rsidTr="00661519" w14:paraId="63992AE6" w14:textId="77777777">
        <w:tc>
          <w:tcPr>
            <w:tcW w:w="7738" w:type="dxa"/>
            <w:vAlign w:val="center"/>
          </w:tcPr>
          <w:p w:rsidRPr="009C48DA" w:rsidR="00661519" w:rsidP="00661519" w:rsidRDefault="00661519" w14:paraId="79553872" w14:textId="77777777">
            <w:pPr>
              <w:spacing w:before="60"/>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Total identifiable EQT Credit net assets acquired</w:t>
            </w:r>
          </w:p>
        </w:tc>
        <w:tc>
          <w:tcPr>
            <w:tcW w:w="1476" w:type="dxa"/>
          </w:tcPr>
          <w:p w:rsidRPr="009C48DA" w:rsidR="00661519" w:rsidP="00661519" w:rsidRDefault="00661519" w14:paraId="55637555" w14:textId="77777777">
            <w:pPr>
              <w:pBdr>
                <w:bottom w:val="single" w:color="auto" w:sz="12" w:space="1"/>
              </w:pBdr>
              <w:spacing w:before="60"/>
              <w:ind w:right="7"/>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28,623</w:t>
            </w:r>
          </w:p>
        </w:tc>
      </w:tr>
      <w:tr w:rsidRPr="009C48DA" w:rsidR="00661519" w:rsidTr="00661519" w14:paraId="5BAAA61A" w14:textId="77777777">
        <w:tc>
          <w:tcPr>
            <w:tcW w:w="7738" w:type="dxa"/>
            <w:vAlign w:val="center"/>
          </w:tcPr>
          <w:p w:rsidRPr="009C48DA" w:rsidR="00661519" w:rsidP="00661519" w:rsidRDefault="00661519" w14:paraId="060F9E69" w14:textId="77777777">
            <w:pPr>
              <w:spacing w:before="60"/>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CLO assets</w:t>
            </w:r>
          </w:p>
        </w:tc>
        <w:tc>
          <w:tcPr>
            <w:tcW w:w="1476" w:type="dxa"/>
          </w:tcPr>
          <w:p w:rsidRPr="009C48DA" w:rsidR="00661519" w:rsidP="00661519" w:rsidRDefault="00661519" w14:paraId="203CE85B" w14:textId="77777777">
            <w:pPr>
              <w:spacing w:before="60"/>
              <w:ind w:right="7"/>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173,560</w:t>
            </w:r>
          </w:p>
        </w:tc>
      </w:tr>
      <w:tr w:rsidRPr="009C48DA" w:rsidR="00661519" w:rsidTr="00661519" w14:paraId="506400C1" w14:textId="77777777">
        <w:tc>
          <w:tcPr>
            <w:tcW w:w="7738" w:type="dxa"/>
            <w:vAlign w:val="center"/>
          </w:tcPr>
          <w:p w:rsidRPr="009C48DA" w:rsidR="00661519" w:rsidP="00661519" w:rsidRDefault="00661519" w14:paraId="3CB31261" w14:textId="77777777">
            <w:pPr>
              <w:spacing w:before="60"/>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CLO cash</w:t>
            </w:r>
          </w:p>
        </w:tc>
        <w:tc>
          <w:tcPr>
            <w:tcW w:w="1476" w:type="dxa"/>
          </w:tcPr>
          <w:p w:rsidRPr="009C48DA" w:rsidR="00661519" w:rsidP="00661519" w:rsidRDefault="00661519" w14:paraId="3CD4F266" w14:textId="77777777">
            <w:pPr>
              <w:spacing w:before="60"/>
              <w:ind w:right="7"/>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1,919</w:t>
            </w:r>
          </w:p>
        </w:tc>
      </w:tr>
      <w:tr w:rsidRPr="009C48DA" w:rsidR="00661519" w:rsidTr="00661519" w14:paraId="58A8A339" w14:textId="77777777">
        <w:tc>
          <w:tcPr>
            <w:tcW w:w="7738" w:type="dxa"/>
            <w:vAlign w:val="center"/>
          </w:tcPr>
          <w:p w:rsidRPr="009C48DA" w:rsidR="00661519" w:rsidP="00661519" w:rsidRDefault="00661519" w14:paraId="277DD3D1" w14:textId="77777777">
            <w:pPr>
              <w:spacing w:before="60"/>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CLO liabilities</w:t>
            </w:r>
          </w:p>
        </w:tc>
        <w:tc>
          <w:tcPr>
            <w:tcW w:w="1476" w:type="dxa"/>
          </w:tcPr>
          <w:p w:rsidRPr="009C48DA" w:rsidR="00661519" w:rsidP="00661519" w:rsidRDefault="00661519" w14:paraId="2133BB64" w14:textId="77777777">
            <w:pPr>
              <w:pBdr>
                <w:bottom w:val="single" w:color="auto" w:sz="12" w:space="1"/>
              </w:pBdr>
              <w:spacing w:before="60"/>
              <w:ind w:right="7"/>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(151,853)</w:t>
            </w:r>
          </w:p>
        </w:tc>
      </w:tr>
      <w:tr w:rsidRPr="009C48DA" w:rsidR="00661519" w:rsidTr="00661519" w14:paraId="1BE9C197" w14:textId="77777777">
        <w:tc>
          <w:tcPr>
            <w:tcW w:w="7738" w:type="dxa"/>
            <w:vAlign w:val="center"/>
          </w:tcPr>
          <w:p w:rsidRPr="009C48DA" w:rsidR="00661519" w:rsidP="00661519" w:rsidRDefault="00661519" w14:paraId="588AAEE0" w14:textId="77777777">
            <w:pPr>
              <w:spacing w:before="60"/>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Total identifiable CLO net assets acquired</w:t>
            </w:r>
          </w:p>
        </w:tc>
        <w:tc>
          <w:tcPr>
            <w:tcW w:w="1476" w:type="dxa"/>
          </w:tcPr>
          <w:p w:rsidRPr="009C48DA" w:rsidR="00661519" w:rsidP="00661519" w:rsidRDefault="00661519" w14:paraId="5B63BA2A" w14:textId="77777777">
            <w:pPr>
              <w:spacing w:before="60"/>
              <w:ind w:right="7"/>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23,626</w:t>
            </w:r>
          </w:p>
        </w:tc>
      </w:tr>
      <w:tr w:rsidRPr="009C48DA" w:rsidR="00661519" w:rsidTr="00661519" w14:paraId="5C20338D" w14:textId="77777777">
        <w:tc>
          <w:tcPr>
            <w:tcW w:w="7738" w:type="dxa"/>
            <w:vAlign w:val="center"/>
          </w:tcPr>
          <w:p w:rsidRPr="009C48DA" w:rsidR="00661519" w:rsidP="00661519" w:rsidRDefault="00661519" w14:paraId="71B479A5" w14:textId="77777777">
            <w:pPr>
              <w:spacing w:before="60"/>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Deferred tax liabilities</w:t>
            </w:r>
          </w:p>
        </w:tc>
        <w:tc>
          <w:tcPr>
            <w:tcW w:w="1476" w:type="dxa"/>
            <w:vAlign w:val="center"/>
          </w:tcPr>
          <w:p w:rsidRPr="009C48DA" w:rsidR="00661519" w:rsidP="00661519" w:rsidRDefault="00661519" w14:paraId="33ABAD32" w14:textId="77777777">
            <w:pPr>
              <w:spacing w:before="60"/>
              <w:ind w:right="7"/>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(4,033)</w:t>
            </w:r>
          </w:p>
        </w:tc>
      </w:tr>
      <w:tr w:rsidRPr="009C48DA" w:rsidR="00661519" w:rsidTr="00661519" w14:paraId="290C9F84" w14:textId="77777777">
        <w:tc>
          <w:tcPr>
            <w:tcW w:w="7738" w:type="dxa"/>
            <w:vAlign w:val="center"/>
          </w:tcPr>
          <w:p w:rsidRPr="009C48DA" w:rsidR="00661519" w:rsidP="00661519" w:rsidRDefault="00661519" w14:paraId="5A6680A3" w14:textId="77777777">
            <w:pPr>
              <w:spacing w:before="60"/>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Goodwill</w:t>
            </w:r>
          </w:p>
        </w:tc>
        <w:tc>
          <w:tcPr>
            <w:tcW w:w="1476" w:type="dxa"/>
            <w:vAlign w:val="center"/>
          </w:tcPr>
          <w:p w:rsidRPr="009C48DA" w:rsidR="00661519" w:rsidP="00661519" w:rsidRDefault="00661519" w14:paraId="2961D3F1" w14:textId="77777777">
            <w:pPr>
              <w:pBdr>
                <w:bottom w:val="single" w:color="auto" w:sz="12" w:space="1"/>
              </w:pBdr>
              <w:spacing w:before="60"/>
              <w:ind w:right="7"/>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105,067</w:t>
            </w:r>
          </w:p>
        </w:tc>
      </w:tr>
      <w:tr w:rsidRPr="009C48DA" w:rsidR="00661519" w:rsidTr="00661519" w14:paraId="6D0F2698" w14:textId="77777777">
        <w:trPr>
          <w:trHeight w:val="403"/>
        </w:trPr>
        <w:tc>
          <w:tcPr>
            <w:tcW w:w="7738" w:type="dxa"/>
          </w:tcPr>
          <w:p w:rsidRPr="009C48DA" w:rsidR="00661519" w:rsidP="00661519" w:rsidRDefault="00661519" w14:paraId="6450520F" w14:textId="77777777">
            <w:pPr>
              <w:spacing w:before="60"/>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Total purchase consideration</w:t>
            </w:r>
          </w:p>
        </w:tc>
        <w:tc>
          <w:tcPr>
            <w:tcW w:w="1476" w:type="dxa"/>
            <w:vAlign w:val="center"/>
          </w:tcPr>
          <w:p w:rsidRPr="009C48DA" w:rsidR="00661519" w:rsidP="00661519" w:rsidRDefault="00661519" w14:paraId="7868F1BF" w14:textId="77777777">
            <w:pPr>
              <w:pBdr>
                <w:bottom w:val="double" w:color="auto" w:sz="12" w:space="1"/>
              </w:pBdr>
              <w:spacing w:before="60"/>
              <w:ind w:right="7"/>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153,283</w:t>
            </w:r>
          </w:p>
        </w:tc>
      </w:tr>
    </w:tbl>
    <w:p w:rsidRPr="009C48DA" w:rsidR="00661519" w:rsidP="00661519" w:rsidRDefault="00661519" w14:paraId="794878F2" w14:textId="77777777">
      <w:pPr>
        <w:spacing w:before="60"/>
        <w:ind w:right="74"/>
        <w:jc w:val="both"/>
        <w:textAlignment w:val="baseline"/>
        <w:rPr>
          <w:rFonts w:eastAsia="Times New Roman" w:cs="Times New Roman"/>
          <w:color w:val="000000"/>
          <w:sz w:val="16"/>
          <w:szCs w:val="22"/>
          <w:lang w:val="en-GB"/>
        </w:rPr>
      </w:pPr>
    </w:p>
    <w:p w:rsidRPr="009C48DA" w:rsidR="00661519" w:rsidP="00661519" w:rsidRDefault="00661519" w14:paraId="6C54D31F" w14:textId="77777777">
      <w:pPr>
        <w:ind w:right="74"/>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Goodwill arising from the acquisition is attributable to the workforce and track record of the acquired business.</w:t>
      </w:r>
    </w:p>
    <w:p w:rsidRPr="009C48DA" w:rsidR="00661519" w:rsidP="00661519" w:rsidRDefault="00661519" w14:paraId="0D344C2B" w14:textId="77777777">
      <w:pPr>
        <w:ind w:right="74"/>
        <w:jc w:val="both"/>
        <w:textAlignment w:val="baseline"/>
        <w:rPr>
          <w:rFonts w:eastAsia="Times New Roman" w:cs="Times New Roman"/>
          <w:color w:val="000000"/>
          <w:sz w:val="16"/>
          <w:szCs w:val="22"/>
          <w:lang w:val="en-GB"/>
        </w:rPr>
      </w:pPr>
    </w:p>
    <w:p w:rsidRPr="009C48DA" w:rsidR="00661519" w:rsidP="00661519" w:rsidRDefault="00661519" w14:paraId="2A5AC37F" w14:textId="77777777">
      <w:pPr>
        <w:ind w:right="74"/>
        <w:jc w:val="both"/>
        <w:textAlignment w:val="baseline"/>
        <w:rPr>
          <w:rFonts w:eastAsia="Times New Roman"/>
          <w:color w:val="000000"/>
          <w:sz w:val="16"/>
          <w:lang w:val="en-GB"/>
        </w:rPr>
      </w:pPr>
      <w:r w:rsidRPr="009C48DA">
        <w:rPr>
          <w:rFonts w:eastAsia="Times New Roman"/>
          <w:color w:val="000000"/>
          <w:sz w:val="16"/>
          <w:lang w:val="en-GB"/>
        </w:rPr>
        <w:t xml:space="preserve">Adjustments to book values arising on acquisition were principally in relation to the recognition of acquired fund management contracts as intangible assets and deferred tax liabilities in relation to the amortisation of the intangible assets and goodwill. The useful life of intangible </w:t>
      </w:r>
      <w:r w:rsidRPr="009C48DA">
        <w:rPr>
          <w:rFonts w:eastAsia="Times New Roman"/>
          <w:color w:val="000000"/>
          <w:sz w:val="16"/>
          <w:lang w:val="en-GB"/>
        </w:rPr>
        <w:br/>
        <w:t xml:space="preserve">assets is estimated to be 7 years, which represents the period over which the net present value of cash flows from the acquired investor </w:t>
      </w:r>
      <w:r w:rsidRPr="009C48DA">
        <w:rPr>
          <w:rFonts w:eastAsia="Times New Roman"/>
          <w:color w:val="000000"/>
          <w:sz w:val="16"/>
          <w:lang w:val="en-GB"/>
        </w:rPr>
        <w:br/>
        <w:t>relationships reduce to nil.</w:t>
      </w:r>
    </w:p>
    <w:p w:rsidRPr="009C48DA" w:rsidR="00661519" w:rsidP="00661519" w:rsidRDefault="00661519" w14:paraId="770AA99D" w14:textId="77777777">
      <w:pPr>
        <w:spacing w:before="104" w:line="184" w:lineRule="exact"/>
        <w:textAlignment w:val="baseline"/>
        <w:rPr>
          <w:rFonts w:eastAsia="Times New Roman"/>
          <w:color w:val="000000"/>
          <w:sz w:val="16"/>
          <w:lang w:val="en-GB"/>
        </w:rPr>
      </w:pPr>
      <w:r w:rsidRPr="009C48DA">
        <w:rPr>
          <w:rFonts w:eastAsia="Times New Roman"/>
          <w:color w:val="000000"/>
          <w:sz w:val="16"/>
          <w:lang w:val="en-GB"/>
        </w:rPr>
        <w:t>Trade debtors are recognised gross and are expected to be collected in full.</w:t>
      </w:r>
    </w:p>
    <w:p w:rsidRPr="009C48DA" w:rsidR="00661519" w:rsidP="00661519" w:rsidRDefault="00661519" w14:paraId="6F19DB00" w14:textId="77777777">
      <w:pPr>
        <w:spacing w:before="95" w:line="184" w:lineRule="exact"/>
        <w:textAlignment w:val="baseline"/>
        <w:rPr>
          <w:rFonts w:eastAsia="Times New Roman"/>
          <w:color w:val="000000"/>
          <w:sz w:val="16"/>
          <w:lang w:val="en-GB"/>
        </w:rPr>
      </w:pPr>
      <w:r w:rsidRPr="009C48DA">
        <w:rPr>
          <w:rFonts w:eastAsia="Times New Roman"/>
          <w:color w:val="000000"/>
          <w:sz w:val="16"/>
          <w:lang w:val="en-GB"/>
        </w:rPr>
        <w:t>The acquisition costs of the business combination were £7.4m and have been recognised in the Income Statement as an exceptional cost.</w:t>
      </w:r>
      <w:r w:rsidRPr="009C48DA">
        <w:rPr>
          <w:rFonts w:eastAsia="Times New Roman"/>
          <w:color w:val="000000"/>
          <w:sz w:val="16"/>
          <w:lang w:val="en-GB"/>
        </w:rPr>
        <w:br/>
      </w:r>
    </w:p>
    <w:p w:rsidRPr="009C48DA" w:rsidR="00661519" w:rsidP="00661519" w:rsidRDefault="00661519" w14:paraId="4DF38FA7" w14:textId="77777777">
      <w:pPr>
        <w:ind w:right="74"/>
        <w:jc w:val="both"/>
        <w:textAlignment w:val="baseline"/>
        <w:rPr>
          <w:rFonts w:eastAsia="Times New Roman"/>
          <w:color w:val="000000"/>
          <w:sz w:val="16"/>
          <w:lang w:val="en-GB"/>
        </w:rPr>
      </w:pPr>
      <w:r w:rsidRPr="009C48DA">
        <w:rPr>
          <w:rFonts w:eastAsia="Times New Roman"/>
          <w:color w:val="000000"/>
          <w:sz w:val="16"/>
          <w:lang w:val="en-GB"/>
        </w:rPr>
        <w:t>The acquired business contributed revenues of £6.5m and profit before tax of £2m to the Group for the period from 23 October to 31</w:t>
      </w:r>
      <w:r w:rsidRPr="009C48DA">
        <w:rPr>
          <w:rFonts w:eastAsia="Times New Roman"/>
          <w:color w:val="000000"/>
          <w:sz w:val="16"/>
          <w:lang w:val="en-GB"/>
        </w:rPr>
        <w:br/>
        <w:t xml:space="preserve">December 2020. If the acquisition had occurred on 1 January 2020, consolidated pro-forma revenue and profit before tax for the year ended </w:t>
      </w:r>
      <w:r w:rsidRPr="009C48DA">
        <w:rPr>
          <w:rFonts w:eastAsia="Times New Roman"/>
          <w:color w:val="000000"/>
          <w:sz w:val="16"/>
          <w:lang w:val="en-GB"/>
        </w:rPr>
        <w:br/>
        <w:t>31 December 2020 would have been £34m and £12m respectively.</w:t>
      </w:r>
    </w:p>
    <w:p w:rsidRPr="009C48DA" w:rsidR="00661519" w:rsidP="00661519" w:rsidRDefault="00661519" w14:paraId="13DACEDD" w14:textId="77777777">
      <w:pPr>
        <w:ind w:right="74"/>
        <w:jc w:val="both"/>
        <w:textAlignment w:val="baseline"/>
        <w:rPr>
          <w:rFonts w:eastAsia="Times New Roman" w:cs="Times New Roman"/>
          <w:color w:val="000000"/>
          <w:sz w:val="16"/>
          <w:szCs w:val="22"/>
          <w:lang w:val="en-GB"/>
        </w:rPr>
      </w:pPr>
    </w:p>
    <w:p w:rsidRPr="009C48DA" w:rsidR="00661519" w:rsidP="00661519" w:rsidRDefault="00661519" w14:paraId="4C3EBBEB" w14:textId="77777777">
      <w:pPr>
        <w:ind w:right="74"/>
        <w:jc w:val="both"/>
        <w:textAlignment w:val="baseline"/>
        <w:rPr>
          <w:rFonts w:eastAsia="Times New Roman" w:cs="Times New Roman"/>
          <w:color w:val="000000"/>
          <w:sz w:val="16"/>
          <w:szCs w:val="22"/>
          <w:lang w:val="en-GB"/>
        </w:rPr>
      </w:pPr>
    </w:p>
    <w:p w:rsidRPr="009C48DA" w:rsidR="00661519" w:rsidP="00661519" w:rsidRDefault="00661519" w14:paraId="1DBBF2BA" w14:textId="77777777">
      <w:pPr>
        <w:ind w:right="74"/>
        <w:jc w:val="both"/>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16</w:t>
      </w:r>
      <w:r w:rsidRPr="009C48DA">
        <w:rPr>
          <w:rFonts w:eastAsia="Times New Roman" w:cs="Times New Roman"/>
          <w:b/>
          <w:color w:val="000000"/>
          <w:sz w:val="16"/>
          <w:szCs w:val="22"/>
          <w:lang w:val="en-GB"/>
        </w:rPr>
        <w:tab/>
        <w:t>Carried interest receivable</w:t>
      </w:r>
    </w:p>
    <w:p w:rsidRPr="009C48DA" w:rsidR="00661519" w:rsidP="00661519" w:rsidRDefault="00661519" w14:paraId="4E5B8091" w14:textId="77777777">
      <w:pPr>
        <w:ind w:right="74"/>
        <w:jc w:val="both"/>
        <w:textAlignment w:val="baseline"/>
        <w:rPr>
          <w:rFonts w:eastAsia="Times New Roman" w:cs="Times New Roman"/>
          <w:color w:val="000000"/>
          <w:sz w:val="16"/>
          <w:szCs w:val="22"/>
          <w:lang w:val="en-GB"/>
        </w:rPr>
      </w:pPr>
    </w:p>
    <w:p w:rsidRPr="009C48DA" w:rsidR="00661519" w:rsidP="00661519" w:rsidRDefault="00661519" w14:paraId="276020F4" w14:textId="77777777">
      <w:pPr>
        <w:spacing w:before="97" w:line="187" w:lineRule="exact"/>
        <w:jc w:val="both"/>
        <w:textAlignment w:val="baseline"/>
        <w:rPr>
          <w:rFonts w:eastAsia="Times New Roman"/>
          <w:color w:val="000000"/>
          <w:sz w:val="16"/>
          <w:lang w:val="en-GB"/>
        </w:rPr>
      </w:pPr>
      <w:r w:rsidRPr="009C48DA">
        <w:rPr>
          <w:rFonts w:eastAsia="Times New Roman"/>
          <w:color w:val="000000"/>
          <w:sz w:val="16"/>
          <w:lang w:val="en-GB"/>
        </w:rPr>
        <w:t xml:space="preserve">The carried interest receivable relates to revenue which has been recognised by the Group relating to its share of fund profits through its </w:t>
      </w:r>
    </w:p>
    <w:p w:rsidRPr="009C48DA" w:rsidR="00661519" w:rsidP="00661519" w:rsidRDefault="00661519" w14:paraId="2DDD0829" w14:textId="77777777">
      <w:pPr>
        <w:spacing w:line="187" w:lineRule="exact"/>
        <w:jc w:val="both"/>
        <w:textAlignment w:val="baseline"/>
        <w:rPr>
          <w:rFonts w:eastAsia="Times New Roman"/>
          <w:color w:val="000000"/>
          <w:sz w:val="16"/>
          <w:lang w:val="en-GB"/>
        </w:rPr>
      </w:pPr>
      <w:r w:rsidRPr="009C48DA">
        <w:rPr>
          <w:rFonts w:eastAsia="Times New Roman"/>
          <w:color w:val="000000"/>
          <w:sz w:val="16"/>
          <w:lang w:val="en-GB"/>
        </w:rPr>
        <w:t>holdings in CIPs.</w:t>
      </w:r>
    </w:p>
    <w:p w:rsidRPr="009C48DA" w:rsidR="00661519" w:rsidP="00661519" w:rsidRDefault="00661519" w14:paraId="138EC65E" w14:textId="77777777">
      <w:pPr>
        <w:spacing w:before="101"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Revenue is only recognised to the extent it is highly probable that the revenue recognised would not result in significant revenue reversal of </w:t>
      </w:r>
      <w:r w:rsidRPr="009C48DA">
        <w:rPr>
          <w:rFonts w:eastAsia="Times New Roman"/>
          <w:color w:val="000000"/>
          <w:sz w:val="16"/>
          <w:lang w:val="en-GB"/>
        </w:rPr>
        <w:br/>
        <w:t xml:space="preserve">any accumulated revenue recognised on the completion of a fund. The reversal risk is mitigated through the application of discounts. If </w:t>
      </w:r>
      <w:r w:rsidRPr="009C48DA">
        <w:rPr>
          <w:rFonts w:eastAsia="Times New Roman"/>
          <w:color w:val="000000"/>
          <w:sz w:val="16"/>
          <w:lang w:val="en-GB"/>
        </w:rPr>
        <w:br/>
        <w:t>adjustments to the carried interest receivable recognised in previous periods are required, they are adjusted through revenue.</w:t>
      </w:r>
    </w:p>
    <w:p w:rsidRPr="009C48DA" w:rsidR="00661519" w:rsidP="00661519" w:rsidRDefault="00661519" w14:paraId="675CC3D6" w14:textId="77777777">
      <w:pPr>
        <w:spacing w:before="101" w:line="184" w:lineRule="exact"/>
        <w:jc w:val="both"/>
        <w:textAlignment w:val="baseline"/>
        <w:rPr>
          <w:rFonts w:eastAsia="Times New Roman"/>
          <w:color w:val="000000"/>
          <w:sz w:val="16"/>
          <w:lang w:val="en-GB"/>
        </w:rPr>
      </w:pPr>
    </w:p>
    <w:p w:rsidRPr="009C48DA" w:rsidR="00661519" w:rsidP="00661519" w:rsidRDefault="00661519" w14:paraId="486745AD" w14:textId="5B37D857">
      <w:pPr>
        <w:ind w:right="74"/>
        <w:jc w:val="both"/>
        <w:textAlignment w:val="baseline"/>
        <w:rPr>
          <w:rFonts w:eastAsia="Times New Roman"/>
          <w:color w:val="000000"/>
          <w:sz w:val="16"/>
          <w:lang w:val="en-GB"/>
        </w:rPr>
      </w:pPr>
      <w:r w:rsidRPr="009C48DA">
        <w:rPr>
          <w:rFonts w:eastAsia="Times New Roman"/>
          <w:color w:val="000000"/>
          <w:sz w:val="16"/>
          <w:lang w:val="en-GB"/>
        </w:rPr>
        <w:t>A sensitivity analysis of the impact of a change in the value of unrealised fund assets is included within note 5.</w:t>
      </w:r>
    </w:p>
    <w:tbl>
      <w:tblPr>
        <w:tblStyle w:val="TableGrid30"/>
        <w:tblW w:w="93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78"/>
        <w:gridCol w:w="1321"/>
        <w:gridCol w:w="1322"/>
        <w:gridCol w:w="1322"/>
        <w:gridCol w:w="1322"/>
      </w:tblGrid>
      <w:tr w:rsidRPr="009C48DA" w:rsidR="00661519" w:rsidTr="00661519" w14:paraId="640F9118" w14:textId="77777777">
        <w:trPr>
          <w:trHeight w:val="587"/>
        </w:trPr>
        <w:tc>
          <w:tcPr>
            <w:tcW w:w="4078" w:type="dxa"/>
            <w:vAlign w:val="bottom"/>
          </w:tcPr>
          <w:p w:rsidRPr="009C48DA" w:rsidR="00661519" w:rsidP="00661519" w:rsidRDefault="00661519" w14:paraId="3CE8E2C7" w14:textId="77777777">
            <w:pPr>
              <w:jc w:val="both"/>
              <w:textAlignment w:val="baseline"/>
              <w:rPr>
                <w:rFonts w:eastAsia="Times New Roman"/>
                <w:b/>
                <w:color w:val="000000"/>
                <w:sz w:val="16"/>
                <w:szCs w:val="16"/>
                <w:lang w:val="en-GB"/>
              </w:rPr>
            </w:pPr>
          </w:p>
        </w:tc>
        <w:tc>
          <w:tcPr>
            <w:tcW w:w="3965" w:type="dxa"/>
            <w:gridSpan w:val="3"/>
            <w:vAlign w:val="bottom"/>
          </w:tcPr>
          <w:p w:rsidRPr="009C48DA" w:rsidR="00661519" w:rsidP="00661519" w:rsidRDefault="00661519" w14:paraId="4D50B978"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Year ended 31 December</w:t>
            </w:r>
          </w:p>
        </w:tc>
        <w:tc>
          <w:tcPr>
            <w:tcW w:w="1322" w:type="dxa"/>
            <w:vAlign w:val="bottom"/>
          </w:tcPr>
          <w:p w:rsidRPr="009C48DA" w:rsidR="00661519" w:rsidP="00661519" w:rsidRDefault="00661519" w14:paraId="2CE80DE2"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Three month</w:t>
            </w:r>
          </w:p>
          <w:p w:rsidRPr="009C48DA" w:rsidR="00661519" w:rsidP="00661519" w:rsidRDefault="00661519" w14:paraId="5D69500C"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period ended</w:t>
            </w:r>
          </w:p>
          <w:p w:rsidRPr="009C48DA" w:rsidR="00661519" w:rsidP="00661519" w:rsidRDefault="00661519" w14:paraId="2C30B800"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2AE36156" w14:textId="77777777">
        <w:trPr>
          <w:trHeight w:val="383"/>
        </w:trPr>
        <w:tc>
          <w:tcPr>
            <w:tcW w:w="4078" w:type="dxa"/>
            <w:vAlign w:val="bottom"/>
          </w:tcPr>
          <w:p w:rsidRPr="009C48DA" w:rsidR="00661519" w:rsidP="00661519" w:rsidRDefault="00661519" w14:paraId="443E2F4B" w14:textId="77777777">
            <w:pPr>
              <w:jc w:val="both"/>
              <w:textAlignment w:val="baseline"/>
              <w:rPr>
                <w:rFonts w:eastAsia="Times New Roman"/>
                <w:b/>
                <w:color w:val="000000"/>
                <w:sz w:val="16"/>
                <w:lang w:val="en-GB"/>
              </w:rPr>
            </w:pPr>
          </w:p>
        </w:tc>
        <w:tc>
          <w:tcPr>
            <w:tcW w:w="1321" w:type="dxa"/>
            <w:vAlign w:val="bottom"/>
          </w:tcPr>
          <w:p w:rsidRPr="009C48DA" w:rsidR="00661519" w:rsidP="00661519" w:rsidRDefault="00661519" w14:paraId="20A92777"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145BC432"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22" w:type="dxa"/>
            <w:vAlign w:val="bottom"/>
          </w:tcPr>
          <w:p w:rsidRPr="009C48DA" w:rsidR="00661519" w:rsidP="00661519" w:rsidRDefault="00661519" w14:paraId="1F825BFA"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670F46EE"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22" w:type="dxa"/>
            <w:vAlign w:val="bottom"/>
          </w:tcPr>
          <w:p w:rsidRPr="009C48DA" w:rsidR="00661519" w:rsidP="00661519" w:rsidRDefault="00661519" w14:paraId="502112BE"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1FD8EDA6"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22" w:type="dxa"/>
            <w:vAlign w:val="bottom"/>
          </w:tcPr>
          <w:p w:rsidRPr="009C48DA" w:rsidR="00661519" w:rsidP="00661519" w:rsidRDefault="00661519" w14:paraId="6021BEFD"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09A8C6E8"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3D4FEF7C" w14:textId="77777777">
        <w:trPr>
          <w:trHeight w:val="187"/>
        </w:trPr>
        <w:tc>
          <w:tcPr>
            <w:tcW w:w="4078" w:type="dxa"/>
            <w:vAlign w:val="bottom"/>
          </w:tcPr>
          <w:p w:rsidRPr="009C48DA" w:rsidR="00661519" w:rsidP="00661519" w:rsidRDefault="00661519" w14:paraId="7019FCC7" w14:textId="77777777">
            <w:pPr>
              <w:spacing w:before="60"/>
              <w:jc w:val="both"/>
              <w:textAlignment w:val="baseline"/>
              <w:rPr>
                <w:rFonts w:eastAsia="Times New Roman"/>
                <w:color w:val="000000"/>
                <w:sz w:val="16"/>
                <w:lang w:val="en-GB"/>
              </w:rPr>
            </w:pPr>
            <w:r w:rsidRPr="009C48DA">
              <w:rPr>
                <w:rFonts w:eastAsia="Times New Roman"/>
                <w:color w:val="000000"/>
                <w:sz w:val="16"/>
                <w:lang w:val="en-GB"/>
              </w:rPr>
              <w:t>Opening balance</w:t>
            </w:r>
          </w:p>
        </w:tc>
        <w:tc>
          <w:tcPr>
            <w:tcW w:w="1321" w:type="dxa"/>
            <w:vAlign w:val="center"/>
          </w:tcPr>
          <w:p w:rsidRPr="009C48DA" w:rsidR="00661519" w:rsidP="00661519" w:rsidRDefault="00661519" w14:paraId="300344A5"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16,059</w:t>
            </w:r>
          </w:p>
        </w:tc>
        <w:tc>
          <w:tcPr>
            <w:tcW w:w="1322" w:type="dxa"/>
            <w:vAlign w:val="center"/>
          </w:tcPr>
          <w:p w:rsidRPr="009C48DA" w:rsidR="00661519" w:rsidP="00661519" w:rsidRDefault="00661519" w14:paraId="086D4C94"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17,757</w:t>
            </w:r>
          </w:p>
        </w:tc>
        <w:tc>
          <w:tcPr>
            <w:tcW w:w="1322" w:type="dxa"/>
            <w:vAlign w:val="center"/>
          </w:tcPr>
          <w:p w:rsidRPr="009C48DA" w:rsidR="00661519" w:rsidP="00661519" w:rsidRDefault="00661519" w14:paraId="641F8D0D"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13,002</w:t>
            </w:r>
          </w:p>
        </w:tc>
        <w:tc>
          <w:tcPr>
            <w:tcW w:w="1322" w:type="dxa"/>
            <w:vAlign w:val="center"/>
          </w:tcPr>
          <w:p w:rsidRPr="009C48DA" w:rsidR="00661519" w:rsidP="00661519" w:rsidRDefault="00661519" w14:paraId="297309E9"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27,915</w:t>
            </w:r>
          </w:p>
        </w:tc>
      </w:tr>
      <w:tr w:rsidRPr="009C48DA" w:rsidR="00661519" w:rsidTr="00661519" w14:paraId="18A43FD6" w14:textId="77777777">
        <w:trPr>
          <w:trHeight w:val="178"/>
        </w:trPr>
        <w:tc>
          <w:tcPr>
            <w:tcW w:w="4078" w:type="dxa"/>
            <w:vAlign w:val="center"/>
          </w:tcPr>
          <w:p w:rsidRPr="009C48DA" w:rsidR="00661519" w:rsidP="00661519" w:rsidRDefault="00661519" w14:paraId="3EA33898" w14:textId="77777777">
            <w:pPr>
              <w:spacing w:before="60"/>
              <w:textAlignment w:val="baseline"/>
              <w:rPr>
                <w:rFonts w:eastAsia="Times New Roman"/>
                <w:color w:val="000000"/>
                <w:sz w:val="16"/>
                <w:lang w:val="en-GB"/>
              </w:rPr>
            </w:pPr>
            <w:r w:rsidRPr="009C48DA">
              <w:rPr>
                <w:rFonts w:eastAsia="Times New Roman"/>
                <w:color w:val="000000"/>
                <w:sz w:val="16"/>
                <w:lang w:val="en-GB"/>
              </w:rPr>
              <w:t>Purchases</w:t>
            </w:r>
          </w:p>
        </w:tc>
        <w:tc>
          <w:tcPr>
            <w:tcW w:w="1321" w:type="dxa"/>
          </w:tcPr>
          <w:p w:rsidRPr="009C48DA" w:rsidR="00661519" w:rsidP="00661519" w:rsidRDefault="00661519" w14:paraId="16BF032D"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818</w:t>
            </w:r>
          </w:p>
        </w:tc>
        <w:tc>
          <w:tcPr>
            <w:tcW w:w="1322" w:type="dxa"/>
          </w:tcPr>
          <w:p w:rsidRPr="009C48DA" w:rsidR="00661519" w:rsidP="00661519" w:rsidRDefault="00661519" w14:paraId="38E994AA"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42,060</w:t>
            </w:r>
          </w:p>
        </w:tc>
        <w:tc>
          <w:tcPr>
            <w:tcW w:w="1322" w:type="dxa"/>
            <w:vAlign w:val="center"/>
          </w:tcPr>
          <w:p w:rsidRPr="009C48DA" w:rsidR="00661519" w:rsidP="00661519" w:rsidRDefault="00661519" w14:paraId="73F903E3"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4,115</w:t>
            </w:r>
          </w:p>
        </w:tc>
        <w:tc>
          <w:tcPr>
            <w:tcW w:w="1322" w:type="dxa"/>
            <w:vAlign w:val="center"/>
          </w:tcPr>
          <w:p w:rsidRPr="009C48DA" w:rsidR="00661519" w:rsidP="00661519" w:rsidRDefault="00661519" w14:paraId="33171C45"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308</w:t>
            </w:r>
          </w:p>
        </w:tc>
      </w:tr>
      <w:tr w:rsidRPr="009C48DA" w:rsidR="00661519" w:rsidTr="00661519" w14:paraId="3BBDAF2D" w14:textId="77777777">
        <w:trPr>
          <w:trHeight w:val="187"/>
        </w:trPr>
        <w:tc>
          <w:tcPr>
            <w:tcW w:w="4078" w:type="dxa"/>
            <w:vAlign w:val="center"/>
          </w:tcPr>
          <w:p w:rsidRPr="009C48DA" w:rsidR="00661519" w:rsidP="00661519" w:rsidRDefault="00661519" w14:paraId="7031B421" w14:textId="77777777">
            <w:pPr>
              <w:spacing w:before="60"/>
              <w:textAlignment w:val="baseline"/>
              <w:rPr>
                <w:rFonts w:eastAsia="Times New Roman"/>
                <w:color w:val="000000"/>
                <w:sz w:val="16"/>
                <w:lang w:val="en-GB"/>
              </w:rPr>
            </w:pPr>
            <w:r w:rsidRPr="009C48DA">
              <w:rPr>
                <w:rFonts w:eastAsia="Times New Roman"/>
                <w:color w:val="000000"/>
                <w:sz w:val="16"/>
                <w:lang w:val="en-GB"/>
              </w:rPr>
              <w:t>Income recognised in the period</w:t>
            </w:r>
          </w:p>
        </w:tc>
        <w:tc>
          <w:tcPr>
            <w:tcW w:w="1321" w:type="dxa"/>
          </w:tcPr>
          <w:p w:rsidRPr="009C48DA" w:rsidR="00661519" w:rsidP="00661519" w:rsidRDefault="00661519" w14:paraId="3DD84974"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2,913</w:t>
            </w:r>
          </w:p>
        </w:tc>
        <w:tc>
          <w:tcPr>
            <w:tcW w:w="1322" w:type="dxa"/>
          </w:tcPr>
          <w:p w:rsidRPr="009C48DA" w:rsidR="00661519" w:rsidP="00661519" w:rsidRDefault="00661519" w14:paraId="2D86BD89"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10,508</w:t>
            </w:r>
          </w:p>
        </w:tc>
        <w:tc>
          <w:tcPr>
            <w:tcW w:w="1322" w:type="dxa"/>
            <w:vAlign w:val="center"/>
          </w:tcPr>
          <w:p w:rsidRPr="009C48DA" w:rsidR="00661519" w:rsidP="00661519" w:rsidRDefault="00661519" w14:paraId="2521F4CE"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12,212</w:t>
            </w:r>
          </w:p>
        </w:tc>
        <w:tc>
          <w:tcPr>
            <w:tcW w:w="1322" w:type="dxa"/>
            <w:vAlign w:val="center"/>
          </w:tcPr>
          <w:p w:rsidRPr="009C48DA" w:rsidR="00661519" w:rsidP="00661519" w:rsidRDefault="00661519" w14:paraId="22B959FB"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6409D95D" w14:textId="77777777">
        <w:trPr>
          <w:trHeight w:val="187"/>
        </w:trPr>
        <w:tc>
          <w:tcPr>
            <w:tcW w:w="4078" w:type="dxa"/>
            <w:vAlign w:val="center"/>
          </w:tcPr>
          <w:p w:rsidRPr="009C48DA" w:rsidR="00661519" w:rsidP="00661519" w:rsidRDefault="00661519" w14:paraId="76F625A4" w14:textId="77777777">
            <w:pPr>
              <w:spacing w:before="60"/>
              <w:textAlignment w:val="baseline"/>
              <w:rPr>
                <w:rFonts w:eastAsia="Times New Roman"/>
                <w:color w:val="000000"/>
                <w:sz w:val="16"/>
                <w:lang w:val="en-GB"/>
              </w:rPr>
            </w:pPr>
            <w:r w:rsidRPr="009C48DA">
              <w:rPr>
                <w:rFonts w:eastAsia="Times New Roman"/>
                <w:color w:val="000000"/>
                <w:sz w:val="16"/>
                <w:lang w:val="en-GB"/>
              </w:rPr>
              <w:t>Foreign exchange movements</w:t>
            </w:r>
          </w:p>
        </w:tc>
        <w:tc>
          <w:tcPr>
            <w:tcW w:w="1321" w:type="dxa"/>
            <w:vAlign w:val="center"/>
          </w:tcPr>
          <w:p w:rsidRPr="009C48DA" w:rsidR="00661519" w:rsidP="00661519" w:rsidRDefault="00661519" w14:paraId="5C0EEBAE"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167</w:t>
            </w:r>
          </w:p>
        </w:tc>
        <w:tc>
          <w:tcPr>
            <w:tcW w:w="1322" w:type="dxa"/>
            <w:vAlign w:val="center"/>
          </w:tcPr>
          <w:p w:rsidRPr="009C48DA" w:rsidR="00661519" w:rsidP="00661519" w:rsidRDefault="00661519" w14:paraId="437449A7"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(926)</w:t>
            </w:r>
          </w:p>
        </w:tc>
        <w:tc>
          <w:tcPr>
            <w:tcW w:w="1322" w:type="dxa"/>
            <w:vAlign w:val="center"/>
          </w:tcPr>
          <w:p w:rsidRPr="009C48DA" w:rsidR="00661519" w:rsidP="00661519" w:rsidRDefault="00661519" w14:paraId="5F3A6488"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713</w:t>
            </w:r>
          </w:p>
        </w:tc>
        <w:tc>
          <w:tcPr>
            <w:tcW w:w="1322" w:type="dxa"/>
            <w:vAlign w:val="center"/>
          </w:tcPr>
          <w:p w:rsidRPr="009C48DA" w:rsidR="00661519" w:rsidP="00661519" w:rsidRDefault="00661519" w14:paraId="5E2F9F94" w14:textId="77777777">
            <w:pPr>
              <w:spacing w:before="60"/>
              <w:ind w:right="7"/>
              <w:jc w:val="right"/>
              <w:textAlignment w:val="baseline"/>
              <w:rPr>
                <w:rFonts w:eastAsia="Times New Roman"/>
                <w:color w:val="000000"/>
                <w:sz w:val="16"/>
                <w:lang w:val="en-GB"/>
              </w:rPr>
            </w:pPr>
            <w:r w:rsidRPr="009C48DA">
              <w:rPr>
                <w:rFonts w:eastAsia="Times New Roman"/>
                <w:color w:val="000000"/>
                <w:sz w:val="16"/>
                <w:lang w:val="en-GB"/>
              </w:rPr>
              <w:t>(728)</w:t>
            </w:r>
          </w:p>
        </w:tc>
      </w:tr>
      <w:tr w:rsidRPr="009C48DA" w:rsidR="00661519" w:rsidTr="00661519" w14:paraId="62E49FE2" w14:textId="77777777">
        <w:trPr>
          <w:trHeight w:val="195"/>
        </w:trPr>
        <w:tc>
          <w:tcPr>
            <w:tcW w:w="4078" w:type="dxa"/>
            <w:vAlign w:val="center"/>
          </w:tcPr>
          <w:p w:rsidRPr="009C48DA" w:rsidR="00661519" w:rsidP="00661519" w:rsidRDefault="00661519" w14:paraId="68E4B480" w14:textId="77777777">
            <w:pPr>
              <w:spacing w:before="60"/>
              <w:textAlignment w:val="baseline"/>
              <w:rPr>
                <w:rFonts w:eastAsia="Times New Roman"/>
                <w:color w:val="000000"/>
                <w:sz w:val="16"/>
                <w:lang w:val="en-GB"/>
              </w:rPr>
            </w:pPr>
            <w:r w:rsidRPr="009C48DA">
              <w:rPr>
                <w:rFonts w:eastAsia="Times New Roman"/>
                <w:color w:val="000000"/>
                <w:sz w:val="16"/>
                <w:lang w:val="en-GB"/>
              </w:rPr>
              <w:t>Receipts of carried interest</w:t>
            </w:r>
          </w:p>
        </w:tc>
        <w:tc>
          <w:tcPr>
            <w:tcW w:w="1321" w:type="dxa"/>
            <w:vAlign w:val="bottom"/>
          </w:tcPr>
          <w:p w:rsidRPr="009C48DA" w:rsidR="00661519" w:rsidP="00661519" w:rsidRDefault="00661519" w14:paraId="28ED8C09" w14:textId="77777777">
            <w:pPr>
              <w:pBdr>
                <w:bottom w:val="single" w:color="auto" w:sz="12" w:space="1"/>
              </w:pBdr>
              <w:spacing w:before="60"/>
              <w:ind w:right="7"/>
              <w:jc w:val="right"/>
              <w:textAlignment w:val="baseline"/>
              <w:rPr>
                <w:rFonts w:eastAsia="Times New Roman"/>
                <w:color w:val="000000"/>
                <w:sz w:val="16"/>
                <w:lang w:val="en-GB"/>
              </w:rPr>
            </w:pPr>
            <w:r w:rsidRPr="009C48DA">
              <w:rPr>
                <w:rFonts w:eastAsia="Times New Roman"/>
                <w:color w:val="000000"/>
                <w:sz w:val="16"/>
                <w:lang w:val="en-GB"/>
              </w:rPr>
              <w:t>(2,200)</w:t>
            </w:r>
          </w:p>
        </w:tc>
        <w:tc>
          <w:tcPr>
            <w:tcW w:w="1322" w:type="dxa"/>
            <w:vAlign w:val="bottom"/>
          </w:tcPr>
          <w:p w:rsidRPr="009C48DA" w:rsidR="00661519" w:rsidP="00661519" w:rsidRDefault="00661519" w14:paraId="3C220093" w14:textId="77777777">
            <w:pPr>
              <w:pBdr>
                <w:bottom w:val="single" w:color="auto" w:sz="12" w:space="1"/>
              </w:pBdr>
              <w:spacing w:before="60"/>
              <w:ind w:right="7"/>
              <w:jc w:val="right"/>
              <w:textAlignment w:val="baseline"/>
              <w:rPr>
                <w:rFonts w:eastAsia="Times New Roman"/>
                <w:color w:val="000000"/>
                <w:sz w:val="16"/>
                <w:lang w:val="en-GB"/>
              </w:rPr>
            </w:pPr>
            <w:r w:rsidRPr="009C48DA">
              <w:rPr>
                <w:rFonts w:eastAsia="Times New Roman"/>
                <w:color w:val="000000"/>
                <w:sz w:val="16"/>
                <w:lang w:val="en-GB"/>
              </w:rPr>
              <w:t>(56,397)</w:t>
            </w:r>
          </w:p>
        </w:tc>
        <w:tc>
          <w:tcPr>
            <w:tcW w:w="1322" w:type="dxa"/>
            <w:vAlign w:val="bottom"/>
          </w:tcPr>
          <w:p w:rsidRPr="009C48DA" w:rsidR="00661519" w:rsidP="00661519" w:rsidRDefault="00661519" w14:paraId="7F7CCFEE" w14:textId="77777777">
            <w:pPr>
              <w:pBdr>
                <w:bottom w:val="single" w:color="auto" w:sz="12" w:space="1"/>
              </w:pBdr>
              <w:spacing w:before="60"/>
              <w:ind w:right="7"/>
              <w:jc w:val="right"/>
              <w:textAlignment w:val="baseline"/>
              <w:rPr>
                <w:rFonts w:eastAsia="Times New Roman"/>
                <w:color w:val="000000"/>
                <w:sz w:val="16"/>
                <w:lang w:val="en-GB"/>
              </w:rPr>
            </w:pPr>
            <w:r w:rsidRPr="009C48DA">
              <w:rPr>
                <w:rFonts w:eastAsia="Times New Roman"/>
                <w:color w:val="000000"/>
                <w:sz w:val="16"/>
                <w:lang w:val="en-GB"/>
              </w:rPr>
              <w:t>(2,127)</w:t>
            </w:r>
          </w:p>
        </w:tc>
        <w:tc>
          <w:tcPr>
            <w:tcW w:w="1322" w:type="dxa"/>
            <w:vAlign w:val="bottom"/>
          </w:tcPr>
          <w:p w:rsidRPr="009C48DA" w:rsidR="00661519" w:rsidP="00661519" w:rsidRDefault="00661519" w14:paraId="7241D711" w14:textId="77777777">
            <w:pPr>
              <w:pBdr>
                <w:bottom w:val="single" w:color="auto" w:sz="12" w:space="1"/>
              </w:pBdr>
              <w:spacing w:before="60"/>
              <w:ind w:right="7"/>
              <w:jc w:val="right"/>
              <w:textAlignment w:val="baseline"/>
              <w:rPr>
                <w:rFonts w:eastAsia="Times New Roman"/>
                <w:color w:val="000000"/>
                <w:sz w:val="16"/>
                <w:lang w:val="en-GB"/>
              </w:rPr>
            </w:pPr>
            <w:r w:rsidRPr="009C48DA">
              <w:rPr>
                <w:rFonts w:eastAsia="Times New Roman"/>
                <w:color w:val="000000"/>
                <w:sz w:val="16"/>
                <w:lang w:val="en-GB"/>
              </w:rPr>
              <w:t>(411)</w:t>
            </w:r>
          </w:p>
        </w:tc>
      </w:tr>
      <w:tr w:rsidRPr="009C48DA" w:rsidR="00661519" w:rsidTr="00661519" w14:paraId="06B56EA1" w14:textId="77777777">
        <w:trPr>
          <w:trHeight w:val="404"/>
        </w:trPr>
        <w:tc>
          <w:tcPr>
            <w:tcW w:w="4078" w:type="dxa"/>
            <w:vAlign w:val="center"/>
          </w:tcPr>
          <w:p w:rsidRPr="009C48DA" w:rsidR="00661519" w:rsidP="00661519" w:rsidRDefault="00661519" w14:paraId="77D692EA" w14:textId="77777777">
            <w:pPr>
              <w:spacing w:before="60"/>
              <w:textAlignment w:val="baseline"/>
              <w:rPr>
                <w:rFonts w:eastAsia="Times New Roman"/>
                <w:b/>
                <w:color w:val="000000"/>
                <w:sz w:val="16"/>
                <w:lang w:val="en-GB"/>
              </w:rPr>
            </w:pPr>
            <w:r w:rsidRPr="009C48DA">
              <w:rPr>
                <w:rFonts w:eastAsia="Times New Roman"/>
                <w:b/>
                <w:color w:val="000000"/>
                <w:sz w:val="16"/>
                <w:lang w:val="en-GB"/>
              </w:rPr>
              <w:t>Closing balance</w:t>
            </w:r>
          </w:p>
        </w:tc>
        <w:tc>
          <w:tcPr>
            <w:tcW w:w="1321" w:type="dxa"/>
            <w:vAlign w:val="bottom"/>
          </w:tcPr>
          <w:p w:rsidRPr="009C48DA" w:rsidR="00661519" w:rsidP="00661519" w:rsidRDefault="00661519" w14:paraId="7DCF17D6" w14:textId="77777777">
            <w:pPr>
              <w:pBdr>
                <w:bottom w:val="double" w:color="auto" w:sz="12" w:space="1"/>
              </w:pBdr>
              <w:spacing w:before="60"/>
              <w:ind w:right="7"/>
              <w:jc w:val="right"/>
              <w:textAlignment w:val="baseline"/>
              <w:rPr>
                <w:rFonts w:eastAsia="Times New Roman"/>
                <w:color w:val="000000"/>
                <w:sz w:val="16"/>
                <w:lang w:val="en-GB"/>
              </w:rPr>
            </w:pPr>
            <w:r w:rsidRPr="009C48DA">
              <w:rPr>
                <w:rFonts w:eastAsia="Times New Roman"/>
                <w:color w:val="000000"/>
                <w:sz w:val="16"/>
                <w:lang w:val="en-GB"/>
              </w:rPr>
              <w:t>17,757</w:t>
            </w:r>
          </w:p>
        </w:tc>
        <w:tc>
          <w:tcPr>
            <w:tcW w:w="1322" w:type="dxa"/>
            <w:vAlign w:val="bottom"/>
          </w:tcPr>
          <w:p w:rsidRPr="009C48DA" w:rsidR="00661519" w:rsidP="00661519" w:rsidRDefault="00661519" w14:paraId="0CD25E43" w14:textId="77777777">
            <w:pPr>
              <w:pBdr>
                <w:bottom w:val="double" w:color="auto" w:sz="12" w:space="1"/>
              </w:pBdr>
              <w:spacing w:before="60"/>
              <w:ind w:right="7"/>
              <w:jc w:val="right"/>
              <w:textAlignment w:val="baseline"/>
              <w:rPr>
                <w:rFonts w:eastAsia="Times New Roman"/>
                <w:color w:val="000000"/>
                <w:sz w:val="16"/>
                <w:lang w:val="en-GB"/>
              </w:rPr>
            </w:pPr>
            <w:r w:rsidRPr="009C48DA">
              <w:rPr>
                <w:rFonts w:eastAsia="Times New Roman"/>
                <w:color w:val="000000"/>
                <w:sz w:val="16"/>
                <w:lang w:val="en-GB"/>
              </w:rPr>
              <w:t>13,002</w:t>
            </w:r>
          </w:p>
        </w:tc>
        <w:tc>
          <w:tcPr>
            <w:tcW w:w="1322" w:type="dxa"/>
            <w:vAlign w:val="bottom"/>
          </w:tcPr>
          <w:p w:rsidRPr="009C48DA" w:rsidR="00661519" w:rsidP="00661519" w:rsidRDefault="00661519" w14:paraId="7D76EB01" w14:textId="77777777">
            <w:pPr>
              <w:pBdr>
                <w:bottom w:val="double" w:color="auto" w:sz="12" w:space="1"/>
              </w:pBdr>
              <w:spacing w:before="60"/>
              <w:ind w:right="7"/>
              <w:jc w:val="right"/>
              <w:textAlignment w:val="baseline"/>
              <w:rPr>
                <w:rFonts w:eastAsia="Times New Roman"/>
                <w:color w:val="000000"/>
                <w:sz w:val="16"/>
                <w:lang w:val="en-GB"/>
              </w:rPr>
            </w:pPr>
            <w:r w:rsidRPr="009C48DA">
              <w:rPr>
                <w:rFonts w:eastAsia="Times New Roman"/>
                <w:color w:val="000000"/>
                <w:sz w:val="16"/>
                <w:lang w:val="en-GB"/>
              </w:rPr>
              <w:t>27,915</w:t>
            </w:r>
          </w:p>
        </w:tc>
        <w:tc>
          <w:tcPr>
            <w:tcW w:w="1322" w:type="dxa"/>
            <w:vAlign w:val="bottom"/>
          </w:tcPr>
          <w:p w:rsidRPr="009C48DA" w:rsidR="00661519" w:rsidP="00661519" w:rsidRDefault="00661519" w14:paraId="56228E2E" w14:textId="77777777">
            <w:pPr>
              <w:pBdr>
                <w:bottom w:val="double" w:color="auto" w:sz="12" w:space="1"/>
              </w:pBdr>
              <w:spacing w:before="60"/>
              <w:ind w:right="7"/>
              <w:jc w:val="right"/>
              <w:textAlignment w:val="baseline"/>
              <w:rPr>
                <w:rFonts w:eastAsia="Times New Roman"/>
                <w:color w:val="000000"/>
                <w:sz w:val="16"/>
                <w:lang w:val="en-GB"/>
              </w:rPr>
            </w:pPr>
            <w:r w:rsidRPr="009C48DA">
              <w:rPr>
                <w:rFonts w:eastAsia="Times New Roman"/>
                <w:color w:val="000000"/>
                <w:sz w:val="16"/>
                <w:lang w:val="en-GB"/>
              </w:rPr>
              <w:t>27,084</w:t>
            </w:r>
          </w:p>
        </w:tc>
      </w:tr>
    </w:tbl>
    <w:p w:rsidRPr="009C48DA" w:rsidR="00661519" w:rsidP="00661519" w:rsidRDefault="00661519" w14:paraId="7961C9E3" w14:textId="77777777">
      <w:pPr>
        <w:ind w:right="74"/>
        <w:jc w:val="both"/>
        <w:textAlignment w:val="baseline"/>
        <w:rPr>
          <w:rFonts w:eastAsia="Times New Roman" w:cs="Times New Roman"/>
          <w:color w:val="000000"/>
          <w:sz w:val="16"/>
          <w:szCs w:val="22"/>
          <w:lang w:val="en-GB"/>
        </w:rPr>
      </w:pPr>
    </w:p>
    <w:p w:rsidRPr="009C48DA" w:rsidR="00661519" w:rsidP="00661519" w:rsidRDefault="00661519" w14:paraId="378AFA88" w14:textId="77777777">
      <w:pPr>
        <w:ind w:right="74"/>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Purchases during the year ended 31 December 2020 include the acquisition of carried interest from EQT relating to EQT Credit funds (£3.6m).</w:t>
      </w:r>
      <w:r w:rsidRPr="009C48DA">
        <w:rPr>
          <w:rFonts w:eastAsia="Times New Roman" w:cs="Times New Roman"/>
          <w:color w:val="000000"/>
          <w:sz w:val="16"/>
          <w:szCs w:val="22"/>
          <w:lang w:val="en-GB"/>
        </w:rPr>
        <w:br w:type="page"/>
      </w:r>
    </w:p>
    <w:p w:rsidRPr="009C48DA" w:rsidR="00661519" w:rsidP="00661519" w:rsidRDefault="00661519" w14:paraId="69BA10FD" w14:textId="77777777">
      <w:pPr>
        <w:ind w:right="74"/>
        <w:jc w:val="both"/>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lastRenderedPageBreak/>
        <w:t>17</w:t>
      </w:r>
      <w:r w:rsidRPr="009C48DA">
        <w:rPr>
          <w:rFonts w:eastAsia="Times New Roman" w:cs="Times New Roman"/>
          <w:b/>
          <w:color w:val="000000"/>
          <w:sz w:val="16"/>
          <w:szCs w:val="22"/>
          <w:lang w:val="en-GB"/>
        </w:rPr>
        <w:tab/>
        <w:t>Financial assets</w:t>
      </w:r>
    </w:p>
    <w:p w:rsidRPr="009C48DA" w:rsidR="00661519" w:rsidP="00661519" w:rsidRDefault="00661519" w14:paraId="222AB518" w14:textId="77777777">
      <w:pPr>
        <w:ind w:right="74"/>
        <w:jc w:val="both"/>
        <w:textAlignment w:val="baseline"/>
        <w:rPr>
          <w:rFonts w:eastAsia="Times New Roman" w:cs="Times New Roman"/>
          <w:b/>
          <w:color w:val="000000"/>
          <w:sz w:val="16"/>
          <w:szCs w:val="22"/>
          <w:lang w:val="en-GB"/>
        </w:rPr>
      </w:pPr>
    </w:p>
    <w:p w:rsidRPr="009C48DA" w:rsidR="00661519" w:rsidP="00661519" w:rsidRDefault="00661519" w14:paraId="5B7224DF" w14:textId="77777777">
      <w:pPr>
        <w:ind w:right="74"/>
        <w:jc w:val="both"/>
        <w:textAlignment w:val="baseline"/>
        <w:rPr>
          <w:rFonts w:eastAsia="Times New Roman"/>
          <w:b/>
          <w:color w:val="000000"/>
          <w:sz w:val="16"/>
          <w:lang w:val="en-GB"/>
        </w:rPr>
      </w:pPr>
      <w:r w:rsidRPr="009C48DA">
        <w:rPr>
          <w:rFonts w:eastAsia="Times New Roman"/>
          <w:b/>
          <w:color w:val="000000"/>
          <w:sz w:val="16"/>
          <w:lang w:val="en-GB"/>
        </w:rPr>
        <w:t>(a)</w:t>
      </w:r>
      <w:r w:rsidRPr="009C48DA">
        <w:rPr>
          <w:rFonts w:eastAsia="Times New Roman"/>
          <w:b/>
          <w:color w:val="000000"/>
          <w:sz w:val="16"/>
          <w:lang w:val="en-GB"/>
        </w:rPr>
        <w:tab/>
        <w:t>Classification of financial assets</w:t>
      </w:r>
    </w:p>
    <w:p w:rsidRPr="009C48DA" w:rsidR="00661519" w:rsidP="00661519" w:rsidRDefault="00661519" w14:paraId="44FD5FF8" w14:textId="77777777">
      <w:pPr>
        <w:ind w:right="74"/>
        <w:jc w:val="both"/>
        <w:textAlignment w:val="baseline"/>
        <w:rPr>
          <w:rFonts w:eastAsia="Times New Roman"/>
          <w:b/>
          <w:color w:val="000000"/>
          <w:sz w:val="16"/>
          <w:lang w:val="en-GB"/>
        </w:rPr>
      </w:pPr>
    </w:p>
    <w:p w:rsidRPr="009C48DA" w:rsidR="00661519" w:rsidP="00661519" w:rsidRDefault="00661519" w14:paraId="47578895" w14:textId="77777777">
      <w:pPr>
        <w:ind w:right="74"/>
        <w:jc w:val="both"/>
        <w:textAlignment w:val="baseline"/>
        <w:rPr>
          <w:rFonts w:eastAsia="Times New Roman"/>
          <w:color w:val="000000"/>
          <w:sz w:val="16"/>
          <w:lang w:val="en-GB"/>
        </w:rPr>
      </w:pPr>
      <w:r w:rsidRPr="009C48DA">
        <w:rPr>
          <w:rFonts w:eastAsia="Times New Roman"/>
          <w:color w:val="000000"/>
          <w:sz w:val="16"/>
          <w:lang w:val="en-GB"/>
        </w:rPr>
        <w:t>The following tables analyse the Group’s assets in accordance with the categories of financial instruments in IFRS 9 Financial Instruments.</w:t>
      </w:r>
    </w:p>
    <w:p w:rsidRPr="009C48DA" w:rsidR="00661519" w:rsidP="00661519" w:rsidRDefault="00661519" w14:paraId="041F8DA8" w14:textId="77777777">
      <w:pPr>
        <w:ind w:right="74"/>
        <w:jc w:val="both"/>
        <w:textAlignment w:val="baseline"/>
        <w:rPr>
          <w:rFonts w:eastAsia="Times New Roman" w:cs="Times New Roman"/>
          <w:b/>
          <w:color w:val="000000"/>
          <w:sz w:val="16"/>
          <w:szCs w:val="22"/>
          <w:lang w:val="en-GB"/>
        </w:rPr>
      </w:pPr>
    </w:p>
    <w:tbl>
      <w:tblPr>
        <w:tblW w:w="9391" w:type="dxa"/>
        <w:tblLayout w:type="fixed"/>
        <w:tblCellMar>
          <w:left w:w="0" w:type="dxa"/>
          <w:right w:w="0" w:type="dxa"/>
        </w:tblCellMar>
        <w:tblLook w:val="0000" w:firstRow="0" w:lastRow="0" w:firstColumn="0" w:lastColumn="0" w:noHBand="0" w:noVBand="0"/>
      </w:tblPr>
      <w:tblGrid>
        <w:gridCol w:w="3296"/>
        <w:gridCol w:w="1394"/>
        <w:gridCol w:w="1701"/>
        <w:gridCol w:w="1299"/>
        <w:gridCol w:w="1701"/>
      </w:tblGrid>
      <w:tr w:rsidRPr="009C48DA" w:rsidR="00661519" w:rsidTr="00661519" w14:paraId="689ADC51" w14:textId="77777777">
        <w:trPr>
          <w:trHeight w:val="742"/>
        </w:trPr>
        <w:tc>
          <w:tcPr>
            <w:tcW w:w="3296" w:type="dxa"/>
            <w:vAlign w:val="bottom"/>
          </w:tcPr>
          <w:p w:rsidRPr="009C48DA" w:rsidR="00661519" w:rsidP="00661519" w:rsidRDefault="00661519" w14:paraId="498A0B1F" w14:textId="77777777">
            <w:pPr>
              <w:textAlignment w:val="baseline"/>
              <w:rPr>
                <w:rFonts w:eastAsia="Times New Roman"/>
                <w:color w:val="000000"/>
                <w:sz w:val="24"/>
                <w:lang w:val="en-GB"/>
              </w:rPr>
            </w:pPr>
          </w:p>
        </w:tc>
        <w:tc>
          <w:tcPr>
            <w:tcW w:w="1394" w:type="dxa"/>
            <w:tcMar>
              <w:left w:w="108" w:type="dxa"/>
              <w:right w:w="108" w:type="dxa"/>
            </w:tcMar>
            <w:vAlign w:val="bottom"/>
          </w:tcPr>
          <w:p w:rsidRPr="009C48DA" w:rsidR="00661519" w:rsidP="00661519" w:rsidRDefault="00661519" w14:paraId="4FD97ABA" w14:textId="77777777">
            <w:pPr>
              <w:jc w:val="center"/>
              <w:textAlignment w:val="baseline"/>
              <w:rPr>
                <w:rFonts w:eastAsia="Times New Roman"/>
                <w:b/>
                <w:color w:val="000000"/>
                <w:sz w:val="16"/>
                <w:lang w:val="en-GB"/>
              </w:rPr>
            </w:pPr>
            <w:r w:rsidRPr="009C48DA">
              <w:rPr>
                <w:rFonts w:eastAsia="Times New Roman"/>
                <w:b/>
                <w:color w:val="000000"/>
                <w:sz w:val="16"/>
                <w:lang w:val="en-GB"/>
              </w:rPr>
              <w:t>Fair value through profit or loss</w:t>
            </w:r>
          </w:p>
        </w:tc>
        <w:tc>
          <w:tcPr>
            <w:tcW w:w="1701" w:type="dxa"/>
            <w:tcMar>
              <w:left w:w="108" w:type="dxa"/>
              <w:right w:w="108" w:type="dxa"/>
            </w:tcMar>
            <w:vAlign w:val="bottom"/>
          </w:tcPr>
          <w:p w:rsidRPr="009C48DA" w:rsidR="00661519" w:rsidP="00661519" w:rsidRDefault="00661519" w14:paraId="654622EF" w14:textId="77777777">
            <w:pPr>
              <w:jc w:val="center"/>
              <w:textAlignment w:val="baseline"/>
              <w:rPr>
                <w:rFonts w:eastAsia="Times New Roman"/>
                <w:b/>
                <w:color w:val="000000"/>
                <w:sz w:val="16"/>
                <w:lang w:val="en-GB"/>
              </w:rPr>
            </w:pPr>
            <w:r w:rsidRPr="009C48DA">
              <w:rPr>
                <w:rFonts w:eastAsia="Times New Roman"/>
                <w:b/>
                <w:color w:val="000000"/>
                <w:sz w:val="16"/>
                <w:lang w:val="en-GB"/>
              </w:rPr>
              <w:t>Hedging derivatives</w:t>
            </w:r>
          </w:p>
        </w:tc>
        <w:tc>
          <w:tcPr>
            <w:tcW w:w="1299" w:type="dxa"/>
            <w:vAlign w:val="bottom"/>
          </w:tcPr>
          <w:p w:rsidRPr="009C48DA" w:rsidR="00661519" w:rsidP="00661519" w:rsidRDefault="00661519" w14:paraId="4EB72435" w14:textId="77777777">
            <w:pPr>
              <w:ind w:left="204" w:right="138" w:hanging="141"/>
              <w:jc w:val="center"/>
              <w:textAlignment w:val="baseline"/>
              <w:rPr>
                <w:rFonts w:eastAsia="Times New Roman"/>
                <w:b/>
                <w:color w:val="000000"/>
                <w:sz w:val="16"/>
                <w:lang w:val="en-GB"/>
              </w:rPr>
            </w:pPr>
            <w:r w:rsidRPr="009C48DA">
              <w:rPr>
                <w:rFonts w:eastAsia="Times New Roman"/>
                <w:b/>
                <w:color w:val="000000"/>
                <w:sz w:val="16"/>
                <w:lang w:val="en-GB"/>
              </w:rPr>
              <w:t>Financial assets at amortised cost</w:t>
            </w:r>
          </w:p>
        </w:tc>
        <w:tc>
          <w:tcPr>
            <w:tcW w:w="1701" w:type="dxa"/>
            <w:tcMar>
              <w:left w:w="108" w:type="dxa"/>
              <w:right w:w="108" w:type="dxa"/>
            </w:tcMar>
            <w:vAlign w:val="bottom"/>
          </w:tcPr>
          <w:p w:rsidRPr="009C48DA" w:rsidR="00661519" w:rsidP="00661519" w:rsidRDefault="00661519" w14:paraId="62F4E8FB" w14:textId="77777777">
            <w:pPr>
              <w:ind w:right="534"/>
              <w:jc w:val="right"/>
              <w:textAlignment w:val="baseline"/>
              <w:rPr>
                <w:rFonts w:eastAsia="Times New Roman"/>
                <w:b/>
                <w:color w:val="000000"/>
                <w:sz w:val="16"/>
                <w:lang w:val="en-GB"/>
              </w:rPr>
            </w:pPr>
            <w:r w:rsidRPr="009C48DA">
              <w:rPr>
                <w:rFonts w:eastAsia="Times New Roman"/>
                <w:b/>
                <w:color w:val="000000"/>
                <w:sz w:val="16"/>
                <w:lang w:val="en-GB"/>
              </w:rPr>
              <w:t>Total</w:t>
            </w:r>
          </w:p>
        </w:tc>
      </w:tr>
      <w:tr w:rsidRPr="009C48DA" w:rsidR="00661519" w:rsidTr="00661519" w14:paraId="20F40C3A" w14:textId="77777777">
        <w:trPr>
          <w:trHeight w:val="188"/>
        </w:trPr>
        <w:tc>
          <w:tcPr>
            <w:tcW w:w="3296" w:type="dxa"/>
            <w:vAlign w:val="bottom"/>
          </w:tcPr>
          <w:p w:rsidRPr="009C48DA" w:rsidR="00661519" w:rsidP="00661519" w:rsidRDefault="00661519" w14:paraId="1803084A" w14:textId="77777777">
            <w:pPr>
              <w:ind w:left="156"/>
              <w:textAlignment w:val="baseline"/>
              <w:rPr>
                <w:rFonts w:eastAsia="Times New Roman"/>
                <w:b/>
                <w:color w:val="000000"/>
                <w:sz w:val="16"/>
                <w:lang w:val="en-GB"/>
              </w:rPr>
            </w:pPr>
            <w:r w:rsidRPr="009C48DA">
              <w:rPr>
                <w:rFonts w:eastAsia="Times New Roman"/>
                <w:b/>
                <w:color w:val="000000"/>
                <w:sz w:val="16"/>
                <w:lang w:val="en-GB"/>
              </w:rPr>
              <w:t>As at 31 December 2018</w:t>
            </w:r>
          </w:p>
        </w:tc>
        <w:tc>
          <w:tcPr>
            <w:tcW w:w="1394" w:type="dxa"/>
            <w:tcMar>
              <w:left w:w="108" w:type="dxa"/>
              <w:right w:w="108" w:type="dxa"/>
            </w:tcMar>
            <w:vAlign w:val="bottom"/>
          </w:tcPr>
          <w:p w:rsidRPr="009C48DA" w:rsidR="00661519" w:rsidP="00661519" w:rsidRDefault="00661519" w14:paraId="4761B1D5"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701" w:type="dxa"/>
            <w:tcMar>
              <w:left w:w="108" w:type="dxa"/>
              <w:right w:w="108" w:type="dxa"/>
            </w:tcMar>
            <w:vAlign w:val="bottom"/>
          </w:tcPr>
          <w:p w:rsidRPr="009C48DA" w:rsidR="00661519" w:rsidP="00661519" w:rsidRDefault="00661519" w14:paraId="09F02601"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299" w:type="dxa"/>
          </w:tcPr>
          <w:p w:rsidRPr="009C48DA" w:rsidR="00661519" w:rsidP="00661519" w:rsidRDefault="00661519" w14:paraId="5CEE9DDF" w14:textId="77777777">
            <w:pPr>
              <w:ind w:right="534" w:hanging="336"/>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701" w:type="dxa"/>
            <w:tcMar>
              <w:left w:w="108" w:type="dxa"/>
              <w:right w:w="108" w:type="dxa"/>
            </w:tcMar>
            <w:vAlign w:val="bottom"/>
          </w:tcPr>
          <w:p w:rsidRPr="009C48DA" w:rsidR="00661519" w:rsidP="00661519" w:rsidRDefault="00661519" w14:paraId="492B65FA" w14:textId="77777777">
            <w:pPr>
              <w:ind w:right="534"/>
              <w:jc w:val="right"/>
              <w:textAlignment w:val="baseline"/>
              <w:rPr>
                <w:rFonts w:eastAsia="Times New Roman"/>
                <w:b/>
                <w:color w:val="000000"/>
                <w:sz w:val="16"/>
                <w:lang w:val="en-GB"/>
              </w:rPr>
            </w:pPr>
            <w:r w:rsidRPr="009C48DA">
              <w:rPr>
                <w:rFonts w:eastAsia="Times New Roman"/>
                <w:b/>
                <w:color w:val="000000"/>
                <w:sz w:val="16"/>
                <w:lang w:val="en-GB"/>
              </w:rPr>
              <w:t>£ 000</w:t>
            </w:r>
          </w:p>
        </w:tc>
      </w:tr>
      <w:tr w:rsidRPr="009C48DA" w:rsidR="00661519" w:rsidTr="00661519" w14:paraId="783B5786" w14:textId="77777777">
        <w:trPr>
          <w:trHeight w:val="188"/>
        </w:trPr>
        <w:tc>
          <w:tcPr>
            <w:tcW w:w="3296" w:type="dxa"/>
            <w:vAlign w:val="bottom"/>
          </w:tcPr>
          <w:p w:rsidRPr="009C48DA" w:rsidR="00661519" w:rsidP="00661519" w:rsidRDefault="00661519" w14:paraId="4D85CFD5" w14:textId="77777777">
            <w:pPr>
              <w:ind w:left="156"/>
              <w:textAlignment w:val="baseline"/>
              <w:rPr>
                <w:rFonts w:eastAsia="Times New Roman"/>
                <w:color w:val="000000"/>
                <w:sz w:val="16"/>
                <w:lang w:val="en-GB"/>
              </w:rPr>
            </w:pPr>
            <w:r w:rsidRPr="009C48DA">
              <w:rPr>
                <w:rFonts w:eastAsia="Times New Roman"/>
                <w:color w:val="000000"/>
                <w:sz w:val="16"/>
                <w:lang w:val="en-GB"/>
              </w:rPr>
              <w:t>Fair value of fund investments</w:t>
            </w:r>
          </w:p>
        </w:tc>
        <w:tc>
          <w:tcPr>
            <w:tcW w:w="1394" w:type="dxa"/>
            <w:tcMar>
              <w:left w:w="108" w:type="dxa"/>
              <w:right w:w="108" w:type="dxa"/>
            </w:tcMar>
            <w:vAlign w:val="bottom"/>
          </w:tcPr>
          <w:p w:rsidRPr="009C48DA" w:rsidR="00661519" w:rsidP="00661519" w:rsidRDefault="00661519" w14:paraId="2182F227"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125,497</w:t>
            </w:r>
          </w:p>
        </w:tc>
        <w:tc>
          <w:tcPr>
            <w:tcW w:w="1701" w:type="dxa"/>
            <w:tcMar>
              <w:left w:w="108" w:type="dxa"/>
              <w:right w:w="108" w:type="dxa"/>
            </w:tcMar>
            <w:vAlign w:val="bottom"/>
          </w:tcPr>
          <w:p w:rsidRPr="009C48DA" w:rsidR="00661519" w:rsidP="00661519" w:rsidRDefault="00661519" w14:paraId="3790787E"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299" w:type="dxa"/>
          </w:tcPr>
          <w:p w:rsidRPr="009C48DA" w:rsidR="00661519" w:rsidP="00661519" w:rsidRDefault="00661519" w14:paraId="3C6B47B3" w14:textId="77777777">
            <w:pP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Mar>
              <w:left w:w="108" w:type="dxa"/>
              <w:right w:w="108" w:type="dxa"/>
            </w:tcMar>
            <w:vAlign w:val="bottom"/>
          </w:tcPr>
          <w:p w:rsidRPr="009C48DA" w:rsidR="00661519" w:rsidP="00661519" w:rsidRDefault="00661519" w14:paraId="7AAA7444"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125,497</w:t>
            </w:r>
          </w:p>
        </w:tc>
      </w:tr>
      <w:tr w:rsidRPr="009C48DA" w:rsidR="00661519" w:rsidTr="00661519" w14:paraId="62F34945" w14:textId="77777777">
        <w:trPr>
          <w:trHeight w:val="188"/>
        </w:trPr>
        <w:tc>
          <w:tcPr>
            <w:tcW w:w="3296" w:type="dxa"/>
            <w:vAlign w:val="bottom"/>
          </w:tcPr>
          <w:p w:rsidRPr="009C48DA" w:rsidR="00661519" w:rsidP="00661519" w:rsidRDefault="00661519" w14:paraId="1799B594" w14:textId="77777777">
            <w:pPr>
              <w:ind w:left="156"/>
              <w:textAlignment w:val="baseline"/>
              <w:rPr>
                <w:rFonts w:eastAsia="Times New Roman"/>
                <w:color w:val="000000"/>
                <w:sz w:val="16"/>
                <w:lang w:val="en-GB"/>
              </w:rPr>
            </w:pPr>
            <w:r w:rsidRPr="009C48DA">
              <w:rPr>
                <w:rFonts w:eastAsia="Times New Roman"/>
                <w:color w:val="000000"/>
                <w:sz w:val="16"/>
                <w:lang w:val="en-GB"/>
              </w:rPr>
              <w:t>Investments at amortised cost</w:t>
            </w:r>
          </w:p>
        </w:tc>
        <w:tc>
          <w:tcPr>
            <w:tcW w:w="1394" w:type="dxa"/>
            <w:tcMar>
              <w:left w:w="108" w:type="dxa"/>
              <w:right w:w="108" w:type="dxa"/>
            </w:tcMar>
            <w:vAlign w:val="bottom"/>
          </w:tcPr>
          <w:p w:rsidRPr="009C48DA" w:rsidR="00661519" w:rsidP="00661519" w:rsidRDefault="00661519" w14:paraId="7ED7B904"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Mar>
              <w:left w:w="108" w:type="dxa"/>
              <w:right w:w="108" w:type="dxa"/>
            </w:tcMar>
            <w:vAlign w:val="bottom"/>
          </w:tcPr>
          <w:p w:rsidRPr="009C48DA" w:rsidR="00661519" w:rsidP="00661519" w:rsidRDefault="00661519" w14:paraId="34E1CEE2"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299" w:type="dxa"/>
            <w:vAlign w:val="bottom"/>
          </w:tcPr>
          <w:p w:rsidRPr="009C48DA" w:rsidR="00661519" w:rsidP="00661519" w:rsidRDefault="00661519" w14:paraId="55CA7477" w14:textId="77777777">
            <w:pP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86,363</w:t>
            </w:r>
          </w:p>
        </w:tc>
        <w:tc>
          <w:tcPr>
            <w:tcW w:w="1701" w:type="dxa"/>
            <w:tcMar>
              <w:left w:w="108" w:type="dxa"/>
              <w:right w:w="108" w:type="dxa"/>
            </w:tcMar>
            <w:vAlign w:val="bottom"/>
          </w:tcPr>
          <w:p w:rsidRPr="009C48DA" w:rsidR="00661519" w:rsidP="00661519" w:rsidRDefault="00661519" w14:paraId="52E2D431"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86,363</w:t>
            </w:r>
          </w:p>
        </w:tc>
      </w:tr>
      <w:tr w:rsidRPr="009C48DA" w:rsidR="00661519" w:rsidTr="00661519" w14:paraId="5ECBC25D" w14:textId="77777777">
        <w:trPr>
          <w:trHeight w:val="66"/>
        </w:trPr>
        <w:tc>
          <w:tcPr>
            <w:tcW w:w="3296" w:type="dxa"/>
            <w:vAlign w:val="bottom"/>
          </w:tcPr>
          <w:p w:rsidRPr="009C48DA" w:rsidR="00661519" w:rsidP="00661519" w:rsidRDefault="00661519" w14:paraId="2A4EC45E" w14:textId="77777777">
            <w:pPr>
              <w:ind w:left="156"/>
              <w:textAlignment w:val="baseline"/>
              <w:rPr>
                <w:rFonts w:eastAsia="Times New Roman"/>
                <w:color w:val="000000"/>
                <w:sz w:val="16"/>
                <w:lang w:val="en-GB"/>
              </w:rPr>
            </w:pPr>
            <w:r w:rsidRPr="009C48DA">
              <w:rPr>
                <w:rFonts w:eastAsia="Times New Roman"/>
                <w:color w:val="000000"/>
                <w:sz w:val="16"/>
                <w:lang w:val="en-GB"/>
              </w:rPr>
              <w:t>Trade and other receivables</w:t>
            </w:r>
          </w:p>
        </w:tc>
        <w:tc>
          <w:tcPr>
            <w:tcW w:w="1394" w:type="dxa"/>
            <w:tcMar>
              <w:left w:w="108" w:type="dxa"/>
              <w:right w:w="108" w:type="dxa"/>
            </w:tcMar>
            <w:vAlign w:val="bottom"/>
          </w:tcPr>
          <w:p w:rsidRPr="009C48DA" w:rsidR="00661519" w:rsidP="00661519" w:rsidRDefault="00661519" w14:paraId="2AD01DFF"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Mar>
              <w:left w:w="108" w:type="dxa"/>
              <w:right w:w="108" w:type="dxa"/>
            </w:tcMar>
            <w:vAlign w:val="bottom"/>
          </w:tcPr>
          <w:p w:rsidRPr="009C48DA" w:rsidR="00661519" w:rsidP="00661519" w:rsidRDefault="00661519" w14:paraId="0D1B7CEE"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299" w:type="dxa"/>
            <w:vAlign w:val="bottom"/>
          </w:tcPr>
          <w:tbl>
            <w:tblPr>
              <w:tblW w:w="2805" w:type="dxa"/>
              <w:tblLayout w:type="fixed"/>
              <w:tblCellMar>
                <w:left w:w="0" w:type="dxa"/>
                <w:right w:w="0" w:type="dxa"/>
              </w:tblCellMar>
              <w:tblLook w:val="0000" w:firstRow="0" w:lastRow="0" w:firstColumn="0" w:lastColumn="0" w:noHBand="0" w:noVBand="0"/>
            </w:tblPr>
            <w:tblGrid>
              <w:gridCol w:w="1571"/>
              <w:gridCol w:w="1234"/>
            </w:tblGrid>
            <w:tr w:rsidRPr="009C48DA" w:rsidR="00661519" w:rsidTr="00661519" w14:paraId="6D7C29B6" w14:textId="77777777">
              <w:trPr>
                <w:trHeight w:val="234" w:hRule="exact"/>
              </w:trPr>
              <w:tc>
                <w:tcPr>
                  <w:tcW w:w="1571" w:type="dxa"/>
                  <w:tcBorders>
                    <w:top w:val="none" w:color="020000" w:sz="0" w:space="0"/>
                    <w:left w:val="none" w:color="020000" w:sz="0" w:space="0"/>
                    <w:bottom w:val="none" w:color="020000" w:sz="0" w:space="0"/>
                    <w:right w:val="none" w:color="020000" w:sz="0" w:space="0"/>
                  </w:tcBorders>
                  <w:vAlign w:val="bottom"/>
                </w:tcPr>
                <w:p w:rsidRPr="009C48DA" w:rsidR="00661519" w:rsidP="00661519" w:rsidRDefault="00661519" w14:paraId="72948043" w14:textId="77777777">
                  <w:pPr>
                    <w:spacing w:before="60" w:line="181" w:lineRule="exact"/>
                    <w:ind w:left="204" w:right="38" w:hanging="141"/>
                    <w:jc w:val="center"/>
                    <w:textAlignment w:val="baseline"/>
                    <w:rPr>
                      <w:rFonts w:eastAsia="Times New Roman"/>
                      <w:color w:val="000000"/>
                      <w:sz w:val="16"/>
                      <w:lang w:val="en-GB"/>
                    </w:rPr>
                  </w:pPr>
                  <w:r w:rsidRPr="009C48DA">
                    <w:rPr>
                      <w:rFonts w:eastAsia="Times New Roman"/>
                      <w:color w:val="000000"/>
                      <w:sz w:val="16"/>
                      <w:lang w:val="en-GB"/>
                    </w:rPr>
                    <w:t xml:space="preserve">          218,387</w:t>
                  </w:r>
                </w:p>
                <w:p w:rsidRPr="009C48DA" w:rsidR="00661519" w:rsidP="00661519" w:rsidRDefault="00661519" w14:paraId="46098752" w14:textId="77777777">
                  <w:pPr>
                    <w:spacing w:before="60" w:line="181" w:lineRule="exact"/>
                    <w:ind w:left="204" w:right="38" w:hanging="141"/>
                    <w:jc w:val="right"/>
                    <w:textAlignment w:val="baseline"/>
                    <w:rPr>
                      <w:rFonts w:eastAsia="Times New Roman"/>
                      <w:color w:val="000000"/>
                      <w:sz w:val="16"/>
                      <w:lang w:val="en-GB"/>
                    </w:rPr>
                  </w:pPr>
                </w:p>
              </w:tc>
              <w:tc>
                <w:tcPr>
                  <w:tcW w:w="12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6992DBA" w14:textId="77777777">
                  <w:pPr>
                    <w:spacing w:before="60" w:line="181" w:lineRule="exact"/>
                    <w:ind w:right="38"/>
                    <w:jc w:val="right"/>
                    <w:textAlignment w:val="baseline"/>
                    <w:rPr>
                      <w:rFonts w:eastAsia="Times New Roman"/>
                      <w:color w:val="000000"/>
                      <w:sz w:val="16"/>
                      <w:lang w:val="en-GB"/>
                    </w:rPr>
                  </w:pPr>
                  <w:r w:rsidRPr="009C48DA">
                    <w:rPr>
                      <w:rFonts w:eastAsia="Times New Roman"/>
                      <w:color w:val="000000"/>
                      <w:sz w:val="16"/>
                      <w:lang w:val="en-GB"/>
                    </w:rPr>
                    <w:t>218,387</w:t>
                  </w:r>
                </w:p>
              </w:tc>
            </w:tr>
          </w:tbl>
          <w:p w:rsidRPr="009C48DA" w:rsidR="00661519" w:rsidP="00661519" w:rsidRDefault="00661519" w14:paraId="4F590FBF" w14:textId="77777777">
            <w:pPr>
              <w:spacing w:before="60"/>
              <w:ind w:right="38" w:hanging="336"/>
              <w:jc w:val="right"/>
              <w:textAlignment w:val="baseline"/>
              <w:rPr>
                <w:rFonts w:eastAsia="Times New Roman"/>
                <w:color w:val="000000"/>
                <w:sz w:val="16"/>
                <w:lang w:val="en-GB"/>
              </w:rPr>
            </w:pPr>
          </w:p>
        </w:tc>
        <w:tc>
          <w:tcPr>
            <w:tcW w:w="1701" w:type="dxa"/>
            <w:tcMar>
              <w:left w:w="108" w:type="dxa"/>
              <w:right w:w="108" w:type="dxa"/>
            </w:tcMar>
            <w:vAlign w:val="bottom"/>
          </w:tcPr>
          <w:p w:rsidRPr="009C48DA" w:rsidR="00661519" w:rsidP="00661519" w:rsidRDefault="00661519" w14:paraId="26BDEA21"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218,387</w:t>
            </w:r>
          </w:p>
        </w:tc>
      </w:tr>
      <w:tr w:rsidRPr="009C48DA" w:rsidR="00661519" w:rsidTr="00661519" w14:paraId="54B38A51" w14:textId="77777777">
        <w:trPr>
          <w:trHeight w:val="214"/>
        </w:trPr>
        <w:tc>
          <w:tcPr>
            <w:tcW w:w="3296" w:type="dxa"/>
            <w:vAlign w:val="bottom"/>
          </w:tcPr>
          <w:p w:rsidRPr="009C48DA" w:rsidR="00661519" w:rsidP="00661519" w:rsidRDefault="00661519" w14:paraId="49EC4379" w14:textId="77777777">
            <w:pPr>
              <w:ind w:left="156"/>
              <w:textAlignment w:val="baseline"/>
              <w:rPr>
                <w:rFonts w:eastAsia="Times New Roman"/>
                <w:color w:val="000000"/>
                <w:sz w:val="16"/>
                <w:lang w:val="en-GB"/>
              </w:rPr>
            </w:pPr>
            <w:r w:rsidRPr="009C48DA">
              <w:rPr>
                <w:rFonts w:eastAsia="Times New Roman"/>
                <w:color w:val="000000"/>
                <w:sz w:val="16"/>
                <w:lang w:val="en-GB"/>
              </w:rPr>
              <w:t>Cash and cash equivalents</w:t>
            </w:r>
          </w:p>
        </w:tc>
        <w:tc>
          <w:tcPr>
            <w:tcW w:w="1394" w:type="dxa"/>
            <w:tcMar>
              <w:left w:w="108" w:type="dxa"/>
              <w:right w:w="108" w:type="dxa"/>
            </w:tcMar>
            <w:vAlign w:val="bottom"/>
          </w:tcPr>
          <w:p w:rsidRPr="009C48DA" w:rsidR="00661519" w:rsidP="00661519" w:rsidRDefault="00661519" w14:paraId="07E5630F" w14:textId="77777777">
            <w:pPr>
              <w:pBdr>
                <w:bottom w:val="sing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Mar>
              <w:left w:w="108" w:type="dxa"/>
              <w:right w:w="108" w:type="dxa"/>
            </w:tcMar>
            <w:vAlign w:val="bottom"/>
          </w:tcPr>
          <w:p w:rsidRPr="009C48DA" w:rsidR="00661519" w:rsidP="00661519" w:rsidRDefault="00661519" w14:paraId="0615F1B9" w14:textId="77777777">
            <w:pPr>
              <w:pBdr>
                <w:bottom w:val="sing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299" w:type="dxa"/>
            <w:vAlign w:val="bottom"/>
          </w:tcPr>
          <w:p w:rsidRPr="009C48DA" w:rsidR="00661519" w:rsidP="00661519" w:rsidRDefault="00661519" w14:paraId="12E6ED53" w14:textId="77777777">
            <w:pPr>
              <w:pBdr>
                <w:bottom w:val="sing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37,075</w:t>
            </w:r>
          </w:p>
        </w:tc>
        <w:tc>
          <w:tcPr>
            <w:tcW w:w="1701" w:type="dxa"/>
            <w:tcMar>
              <w:left w:w="108" w:type="dxa"/>
              <w:right w:w="108" w:type="dxa"/>
            </w:tcMar>
            <w:vAlign w:val="bottom"/>
          </w:tcPr>
          <w:p w:rsidRPr="009C48DA" w:rsidR="00661519" w:rsidP="00661519" w:rsidRDefault="00661519" w14:paraId="402B3596" w14:textId="77777777">
            <w:pPr>
              <w:pBdr>
                <w:bottom w:val="sing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37,075</w:t>
            </w:r>
          </w:p>
        </w:tc>
      </w:tr>
      <w:tr w:rsidRPr="009C48DA" w:rsidR="00661519" w:rsidTr="00661519" w14:paraId="7EF056D6" w14:textId="77777777">
        <w:trPr>
          <w:trHeight w:val="242"/>
        </w:trPr>
        <w:tc>
          <w:tcPr>
            <w:tcW w:w="3296" w:type="dxa"/>
            <w:vAlign w:val="bottom"/>
          </w:tcPr>
          <w:p w:rsidRPr="009C48DA" w:rsidR="00661519" w:rsidP="00661519" w:rsidRDefault="00661519" w14:paraId="06CE2291" w14:textId="77777777">
            <w:pPr>
              <w:ind w:left="156"/>
              <w:textAlignment w:val="baseline"/>
              <w:rPr>
                <w:rFonts w:eastAsia="Times New Roman"/>
                <w:b/>
                <w:color w:val="000000"/>
                <w:sz w:val="16"/>
                <w:lang w:val="en-GB"/>
              </w:rPr>
            </w:pPr>
            <w:r w:rsidRPr="009C48DA">
              <w:rPr>
                <w:rFonts w:eastAsia="Times New Roman"/>
                <w:b/>
                <w:color w:val="000000"/>
                <w:sz w:val="16"/>
                <w:lang w:val="en-GB"/>
              </w:rPr>
              <w:t>Total financial assets</w:t>
            </w:r>
          </w:p>
        </w:tc>
        <w:tc>
          <w:tcPr>
            <w:tcW w:w="1394" w:type="dxa"/>
            <w:tcMar>
              <w:left w:w="108" w:type="dxa"/>
              <w:right w:w="108" w:type="dxa"/>
            </w:tcMar>
            <w:vAlign w:val="bottom"/>
          </w:tcPr>
          <w:p w:rsidRPr="009C48DA" w:rsidR="00661519" w:rsidP="00661519" w:rsidRDefault="00661519" w14:paraId="2D10BFB0" w14:textId="77777777">
            <w:pPr>
              <w:pBdr>
                <w:bottom w:val="doub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125,497</w:t>
            </w:r>
          </w:p>
        </w:tc>
        <w:tc>
          <w:tcPr>
            <w:tcW w:w="1701" w:type="dxa"/>
            <w:tcMar>
              <w:left w:w="108" w:type="dxa"/>
              <w:right w:w="108" w:type="dxa"/>
            </w:tcMar>
            <w:vAlign w:val="bottom"/>
          </w:tcPr>
          <w:p w:rsidRPr="009C48DA" w:rsidR="00661519" w:rsidP="00661519" w:rsidRDefault="00661519" w14:paraId="76968073" w14:textId="77777777">
            <w:pPr>
              <w:pBdr>
                <w:bottom w:val="doub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299" w:type="dxa"/>
            <w:vAlign w:val="bottom"/>
          </w:tcPr>
          <w:p w:rsidRPr="009C48DA" w:rsidR="00661519" w:rsidP="00661519" w:rsidRDefault="00661519" w14:paraId="06CAC0DB" w14:textId="77777777">
            <w:pPr>
              <w:pBdr>
                <w:bottom w:val="doub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341,825</w:t>
            </w:r>
          </w:p>
        </w:tc>
        <w:tc>
          <w:tcPr>
            <w:tcW w:w="1701" w:type="dxa"/>
            <w:tcMar>
              <w:left w:w="108" w:type="dxa"/>
              <w:right w:w="108" w:type="dxa"/>
            </w:tcMar>
            <w:vAlign w:val="bottom"/>
          </w:tcPr>
          <w:p w:rsidRPr="009C48DA" w:rsidR="00661519" w:rsidP="00661519" w:rsidRDefault="00661519" w14:paraId="2B553573" w14:textId="77777777">
            <w:pPr>
              <w:pBdr>
                <w:bottom w:val="doub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467,322</w:t>
            </w:r>
          </w:p>
        </w:tc>
      </w:tr>
    </w:tbl>
    <w:p w:rsidRPr="009C48DA" w:rsidR="00661519" w:rsidP="00661519" w:rsidRDefault="00661519" w14:paraId="65405CAE" w14:textId="77777777">
      <w:pPr>
        <w:ind w:right="74"/>
        <w:jc w:val="both"/>
        <w:textAlignment w:val="baseline"/>
        <w:rPr>
          <w:rFonts w:eastAsia="Times New Roman" w:cs="Times New Roman"/>
          <w:b/>
          <w:color w:val="000000"/>
          <w:sz w:val="16"/>
          <w:szCs w:val="22"/>
          <w:lang w:val="en-GB"/>
        </w:rPr>
      </w:pPr>
    </w:p>
    <w:tbl>
      <w:tblPr>
        <w:tblW w:w="9412" w:type="dxa"/>
        <w:tblLayout w:type="fixed"/>
        <w:tblCellMar>
          <w:left w:w="0" w:type="dxa"/>
          <w:right w:w="0" w:type="dxa"/>
        </w:tblCellMar>
        <w:tblLook w:val="0000" w:firstRow="0" w:lastRow="0" w:firstColumn="0" w:lastColumn="0" w:noHBand="0" w:noVBand="0"/>
      </w:tblPr>
      <w:tblGrid>
        <w:gridCol w:w="3303"/>
        <w:gridCol w:w="1397"/>
        <w:gridCol w:w="1705"/>
        <w:gridCol w:w="1302"/>
        <w:gridCol w:w="1705"/>
      </w:tblGrid>
      <w:tr w:rsidRPr="009C48DA" w:rsidR="00661519" w:rsidTr="00661519" w14:paraId="34F7540B" w14:textId="77777777">
        <w:trPr>
          <w:trHeight w:val="578"/>
        </w:trPr>
        <w:tc>
          <w:tcPr>
            <w:tcW w:w="3303" w:type="dxa"/>
            <w:vAlign w:val="bottom"/>
          </w:tcPr>
          <w:p w:rsidRPr="009C48DA" w:rsidR="00661519" w:rsidP="00661519" w:rsidRDefault="00661519" w14:paraId="713072AC" w14:textId="77777777">
            <w:pPr>
              <w:textAlignment w:val="baseline"/>
              <w:rPr>
                <w:rFonts w:eastAsia="Times New Roman"/>
                <w:color w:val="000000"/>
                <w:sz w:val="24"/>
                <w:lang w:val="en-GB"/>
              </w:rPr>
            </w:pPr>
          </w:p>
        </w:tc>
        <w:tc>
          <w:tcPr>
            <w:tcW w:w="1397" w:type="dxa"/>
            <w:tcMar>
              <w:left w:w="108" w:type="dxa"/>
              <w:right w:w="108" w:type="dxa"/>
            </w:tcMar>
            <w:vAlign w:val="bottom"/>
          </w:tcPr>
          <w:p w:rsidRPr="009C48DA" w:rsidR="00661519" w:rsidP="00661519" w:rsidRDefault="00661519" w14:paraId="6AAC2D2A" w14:textId="77777777">
            <w:pPr>
              <w:jc w:val="center"/>
              <w:textAlignment w:val="baseline"/>
              <w:rPr>
                <w:rFonts w:eastAsia="Times New Roman"/>
                <w:b/>
                <w:color w:val="000000"/>
                <w:sz w:val="16"/>
                <w:lang w:val="en-GB"/>
              </w:rPr>
            </w:pPr>
            <w:r w:rsidRPr="009C48DA">
              <w:rPr>
                <w:rFonts w:eastAsia="Times New Roman"/>
                <w:b/>
                <w:color w:val="000000"/>
                <w:sz w:val="16"/>
                <w:lang w:val="en-GB"/>
              </w:rPr>
              <w:t>Fair value through profit or loss</w:t>
            </w:r>
          </w:p>
        </w:tc>
        <w:tc>
          <w:tcPr>
            <w:tcW w:w="1705" w:type="dxa"/>
            <w:tcMar>
              <w:left w:w="108" w:type="dxa"/>
              <w:right w:w="108" w:type="dxa"/>
            </w:tcMar>
            <w:vAlign w:val="bottom"/>
          </w:tcPr>
          <w:p w:rsidRPr="009C48DA" w:rsidR="00661519" w:rsidP="00661519" w:rsidRDefault="00661519" w14:paraId="6A4D87AF" w14:textId="77777777">
            <w:pPr>
              <w:jc w:val="center"/>
              <w:textAlignment w:val="baseline"/>
              <w:rPr>
                <w:rFonts w:eastAsia="Times New Roman"/>
                <w:b/>
                <w:color w:val="000000"/>
                <w:sz w:val="16"/>
                <w:lang w:val="en-GB"/>
              </w:rPr>
            </w:pPr>
            <w:r w:rsidRPr="009C48DA">
              <w:rPr>
                <w:rFonts w:eastAsia="Times New Roman"/>
                <w:b/>
                <w:color w:val="000000"/>
                <w:sz w:val="16"/>
                <w:lang w:val="en-GB"/>
              </w:rPr>
              <w:t>Hedging derivatives</w:t>
            </w:r>
          </w:p>
        </w:tc>
        <w:tc>
          <w:tcPr>
            <w:tcW w:w="1302" w:type="dxa"/>
            <w:vAlign w:val="bottom"/>
          </w:tcPr>
          <w:p w:rsidRPr="009C48DA" w:rsidR="00661519" w:rsidP="00661519" w:rsidRDefault="00661519" w14:paraId="3B5B4633" w14:textId="77777777">
            <w:pPr>
              <w:ind w:left="63"/>
              <w:jc w:val="center"/>
              <w:textAlignment w:val="baseline"/>
              <w:rPr>
                <w:rFonts w:eastAsia="Times New Roman"/>
                <w:b/>
                <w:color w:val="000000"/>
                <w:sz w:val="16"/>
                <w:lang w:val="en-GB"/>
              </w:rPr>
            </w:pPr>
            <w:r w:rsidRPr="009C48DA">
              <w:rPr>
                <w:rFonts w:eastAsia="Times New Roman"/>
                <w:b/>
                <w:color w:val="000000"/>
                <w:sz w:val="16"/>
                <w:lang w:val="en-GB"/>
              </w:rPr>
              <w:t>Financial assets at amortised cost</w:t>
            </w:r>
          </w:p>
        </w:tc>
        <w:tc>
          <w:tcPr>
            <w:tcW w:w="1705" w:type="dxa"/>
            <w:tcMar>
              <w:left w:w="108" w:type="dxa"/>
              <w:right w:w="108" w:type="dxa"/>
            </w:tcMar>
            <w:vAlign w:val="bottom"/>
          </w:tcPr>
          <w:p w:rsidRPr="009C48DA" w:rsidR="00661519" w:rsidP="00661519" w:rsidRDefault="00661519" w14:paraId="37A0F582" w14:textId="77777777">
            <w:pPr>
              <w:ind w:right="534"/>
              <w:jc w:val="right"/>
              <w:textAlignment w:val="baseline"/>
              <w:rPr>
                <w:rFonts w:eastAsia="Times New Roman"/>
                <w:b/>
                <w:color w:val="000000"/>
                <w:sz w:val="16"/>
                <w:lang w:val="en-GB"/>
              </w:rPr>
            </w:pPr>
            <w:r w:rsidRPr="009C48DA">
              <w:rPr>
                <w:rFonts w:eastAsia="Times New Roman"/>
                <w:b/>
                <w:color w:val="000000"/>
                <w:sz w:val="16"/>
                <w:lang w:val="en-GB"/>
              </w:rPr>
              <w:t>Total</w:t>
            </w:r>
          </w:p>
        </w:tc>
      </w:tr>
      <w:tr w:rsidRPr="009C48DA" w:rsidR="00661519" w:rsidTr="00661519" w14:paraId="03D64580" w14:textId="77777777">
        <w:trPr>
          <w:trHeight w:val="193"/>
        </w:trPr>
        <w:tc>
          <w:tcPr>
            <w:tcW w:w="3303" w:type="dxa"/>
            <w:vAlign w:val="bottom"/>
          </w:tcPr>
          <w:p w:rsidRPr="009C48DA" w:rsidR="00661519" w:rsidP="00661519" w:rsidRDefault="00661519" w14:paraId="0F5FFF58" w14:textId="77777777">
            <w:pPr>
              <w:ind w:left="156"/>
              <w:textAlignment w:val="baseline"/>
              <w:rPr>
                <w:rFonts w:eastAsia="Times New Roman"/>
                <w:b/>
                <w:color w:val="000000"/>
                <w:sz w:val="16"/>
                <w:lang w:val="en-GB"/>
              </w:rPr>
            </w:pPr>
            <w:r w:rsidRPr="009C48DA">
              <w:rPr>
                <w:rFonts w:eastAsia="Times New Roman"/>
                <w:b/>
                <w:color w:val="000000"/>
                <w:sz w:val="16"/>
                <w:lang w:val="en-GB"/>
              </w:rPr>
              <w:t>As at 31 December 2019</w:t>
            </w:r>
          </w:p>
        </w:tc>
        <w:tc>
          <w:tcPr>
            <w:tcW w:w="1397" w:type="dxa"/>
            <w:tcMar>
              <w:left w:w="108" w:type="dxa"/>
              <w:right w:w="108" w:type="dxa"/>
            </w:tcMar>
            <w:vAlign w:val="center"/>
          </w:tcPr>
          <w:p w:rsidRPr="009C48DA" w:rsidR="00661519" w:rsidP="00661519" w:rsidRDefault="00661519" w14:paraId="70D3822C" w14:textId="77777777">
            <w:pPr>
              <w:ind w:right="608"/>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705" w:type="dxa"/>
            <w:tcMar>
              <w:left w:w="108" w:type="dxa"/>
              <w:right w:w="108" w:type="dxa"/>
            </w:tcMar>
            <w:vAlign w:val="bottom"/>
          </w:tcPr>
          <w:p w:rsidRPr="009C48DA" w:rsidR="00661519" w:rsidP="00661519" w:rsidRDefault="00661519" w14:paraId="7D35BC74"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302" w:type="dxa"/>
          </w:tcPr>
          <w:p w:rsidRPr="009C48DA" w:rsidR="00661519" w:rsidP="00661519" w:rsidRDefault="00661519" w14:paraId="118BB2B1" w14:textId="77777777">
            <w:pPr>
              <w:ind w:right="534" w:hanging="336"/>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705" w:type="dxa"/>
            <w:tcMar>
              <w:left w:w="108" w:type="dxa"/>
              <w:right w:w="108" w:type="dxa"/>
            </w:tcMar>
            <w:vAlign w:val="bottom"/>
          </w:tcPr>
          <w:p w:rsidRPr="009C48DA" w:rsidR="00661519" w:rsidP="00661519" w:rsidRDefault="00661519" w14:paraId="3752F037" w14:textId="77777777">
            <w:pPr>
              <w:ind w:right="534"/>
              <w:jc w:val="right"/>
              <w:textAlignment w:val="baseline"/>
              <w:rPr>
                <w:rFonts w:eastAsia="Times New Roman"/>
                <w:b/>
                <w:color w:val="000000"/>
                <w:sz w:val="16"/>
                <w:lang w:val="en-GB"/>
              </w:rPr>
            </w:pPr>
            <w:r w:rsidRPr="009C48DA">
              <w:rPr>
                <w:rFonts w:eastAsia="Times New Roman"/>
                <w:b/>
                <w:color w:val="000000"/>
                <w:sz w:val="16"/>
                <w:lang w:val="en-GB"/>
              </w:rPr>
              <w:t>£ 000</w:t>
            </w:r>
          </w:p>
        </w:tc>
      </w:tr>
      <w:tr w:rsidRPr="009C48DA" w:rsidR="00661519" w:rsidTr="00661519" w14:paraId="66B166F7" w14:textId="77777777">
        <w:trPr>
          <w:trHeight w:val="203"/>
        </w:trPr>
        <w:tc>
          <w:tcPr>
            <w:tcW w:w="3303" w:type="dxa"/>
            <w:vAlign w:val="bottom"/>
          </w:tcPr>
          <w:p w:rsidRPr="009C48DA" w:rsidR="00661519" w:rsidP="00661519" w:rsidRDefault="00661519" w14:paraId="4E34F8F8" w14:textId="77777777">
            <w:pPr>
              <w:ind w:left="156"/>
              <w:textAlignment w:val="baseline"/>
              <w:rPr>
                <w:rFonts w:eastAsia="Times New Roman"/>
                <w:color w:val="000000"/>
                <w:sz w:val="16"/>
                <w:lang w:val="en-GB"/>
              </w:rPr>
            </w:pPr>
            <w:r w:rsidRPr="009C48DA">
              <w:rPr>
                <w:rFonts w:eastAsia="Times New Roman"/>
                <w:color w:val="000000"/>
                <w:sz w:val="16"/>
                <w:lang w:val="en-GB"/>
              </w:rPr>
              <w:t>Fair value of fund investments</w:t>
            </w:r>
          </w:p>
        </w:tc>
        <w:tc>
          <w:tcPr>
            <w:tcW w:w="1397" w:type="dxa"/>
            <w:tcMar>
              <w:left w:w="108" w:type="dxa"/>
              <w:right w:w="108" w:type="dxa"/>
            </w:tcMar>
            <w:vAlign w:val="bottom"/>
          </w:tcPr>
          <w:p w:rsidRPr="009C48DA" w:rsidR="00661519" w:rsidP="00661519" w:rsidRDefault="00661519" w14:paraId="61402825"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206,079</w:t>
            </w:r>
          </w:p>
        </w:tc>
        <w:tc>
          <w:tcPr>
            <w:tcW w:w="1705" w:type="dxa"/>
            <w:tcMar>
              <w:left w:w="108" w:type="dxa"/>
              <w:right w:w="108" w:type="dxa"/>
            </w:tcMar>
            <w:vAlign w:val="bottom"/>
          </w:tcPr>
          <w:p w:rsidRPr="009C48DA" w:rsidR="00661519" w:rsidP="00661519" w:rsidRDefault="00661519" w14:paraId="7550FC6A"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302" w:type="dxa"/>
          </w:tcPr>
          <w:p w:rsidRPr="009C48DA" w:rsidR="00661519" w:rsidP="00661519" w:rsidRDefault="00661519" w14:paraId="3EF05AB4" w14:textId="77777777">
            <w:pP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705" w:type="dxa"/>
            <w:tcMar>
              <w:left w:w="108" w:type="dxa"/>
              <w:right w:w="108" w:type="dxa"/>
            </w:tcMar>
            <w:vAlign w:val="bottom"/>
          </w:tcPr>
          <w:p w:rsidRPr="009C48DA" w:rsidR="00661519" w:rsidP="00661519" w:rsidRDefault="00661519" w14:paraId="25D49052"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206,079</w:t>
            </w:r>
          </w:p>
        </w:tc>
      </w:tr>
      <w:tr w:rsidRPr="009C48DA" w:rsidR="00661519" w:rsidTr="00661519" w14:paraId="7F0C48DD" w14:textId="77777777">
        <w:trPr>
          <w:trHeight w:val="193"/>
        </w:trPr>
        <w:tc>
          <w:tcPr>
            <w:tcW w:w="3303" w:type="dxa"/>
            <w:vAlign w:val="bottom"/>
          </w:tcPr>
          <w:p w:rsidRPr="009C48DA" w:rsidR="00661519" w:rsidP="00661519" w:rsidRDefault="00661519" w14:paraId="3EC7EF04" w14:textId="77777777">
            <w:pPr>
              <w:ind w:left="156"/>
              <w:textAlignment w:val="baseline"/>
              <w:rPr>
                <w:rFonts w:eastAsia="Times New Roman"/>
                <w:color w:val="000000"/>
                <w:sz w:val="16"/>
                <w:lang w:val="en-GB"/>
              </w:rPr>
            </w:pPr>
            <w:r w:rsidRPr="009C48DA">
              <w:rPr>
                <w:rFonts w:eastAsia="Times New Roman"/>
                <w:color w:val="000000"/>
                <w:sz w:val="16"/>
                <w:lang w:val="en-GB"/>
              </w:rPr>
              <w:t>Investments at amortised cost</w:t>
            </w:r>
          </w:p>
        </w:tc>
        <w:tc>
          <w:tcPr>
            <w:tcW w:w="1397" w:type="dxa"/>
            <w:tcMar>
              <w:left w:w="108" w:type="dxa"/>
              <w:right w:w="108" w:type="dxa"/>
            </w:tcMar>
            <w:vAlign w:val="bottom"/>
          </w:tcPr>
          <w:p w:rsidRPr="009C48DA" w:rsidR="00661519" w:rsidP="00661519" w:rsidRDefault="00661519" w14:paraId="17294BC4"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705" w:type="dxa"/>
            <w:tcMar>
              <w:left w:w="108" w:type="dxa"/>
              <w:right w:w="108" w:type="dxa"/>
            </w:tcMar>
            <w:vAlign w:val="bottom"/>
          </w:tcPr>
          <w:p w:rsidRPr="009C48DA" w:rsidR="00661519" w:rsidP="00661519" w:rsidRDefault="00661519" w14:paraId="264C537B"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302" w:type="dxa"/>
          </w:tcPr>
          <w:p w:rsidRPr="009C48DA" w:rsidR="00661519" w:rsidP="00661519" w:rsidRDefault="00661519" w14:paraId="592B4EC7" w14:textId="77777777">
            <w:pP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227,285</w:t>
            </w:r>
          </w:p>
        </w:tc>
        <w:tc>
          <w:tcPr>
            <w:tcW w:w="1705" w:type="dxa"/>
            <w:tcMar>
              <w:left w:w="108" w:type="dxa"/>
              <w:right w:w="108" w:type="dxa"/>
            </w:tcMar>
            <w:vAlign w:val="bottom"/>
          </w:tcPr>
          <w:p w:rsidRPr="009C48DA" w:rsidR="00661519" w:rsidP="00661519" w:rsidRDefault="00661519" w14:paraId="6D7A11DD"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227,285</w:t>
            </w:r>
          </w:p>
        </w:tc>
      </w:tr>
      <w:tr w:rsidRPr="009C48DA" w:rsidR="00661519" w:rsidTr="00661519" w14:paraId="1817896B" w14:textId="77777777">
        <w:trPr>
          <w:trHeight w:val="193"/>
        </w:trPr>
        <w:tc>
          <w:tcPr>
            <w:tcW w:w="3303" w:type="dxa"/>
            <w:vAlign w:val="bottom"/>
          </w:tcPr>
          <w:p w:rsidRPr="009C48DA" w:rsidR="00661519" w:rsidP="00661519" w:rsidRDefault="00661519" w14:paraId="1554309D" w14:textId="77777777">
            <w:pPr>
              <w:ind w:left="156"/>
              <w:textAlignment w:val="baseline"/>
              <w:rPr>
                <w:rFonts w:eastAsia="Times New Roman"/>
                <w:color w:val="000000"/>
                <w:sz w:val="16"/>
                <w:lang w:val="en-GB"/>
              </w:rPr>
            </w:pPr>
            <w:r w:rsidRPr="009C48DA">
              <w:rPr>
                <w:rFonts w:eastAsia="Times New Roman"/>
                <w:color w:val="000000"/>
                <w:sz w:val="16"/>
                <w:lang w:val="en-GB"/>
              </w:rPr>
              <w:t>Trade and other receivables</w:t>
            </w:r>
          </w:p>
        </w:tc>
        <w:tc>
          <w:tcPr>
            <w:tcW w:w="1397" w:type="dxa"/>
            <w:tcMar>
              <w:left w:w="108" w:type="dxa"/>
              <w:right w:w="108" w:type="dxa"/>
            </w:tcMar>
            <w:vAlign w:val="bottom"/>
          </w:tcPr>
          <w:p w:rsidRPr="009C48DA" w:rsidR="00661519" w:rsidP="00661519" w:rsidRDefault="00661519" w14:paraId="59D9A0EB"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705" w:type="dxa"/>
            <w:tcMar>
              <w:left w:w="108" w:type="dxa"/>
              <w:right w:w="108" w:type="dxa"/>
            </w:tcMar>
            <w:vAlign w:val="bottom"/>
          </w:tcPr>
          <w:p w:rsidRPr="009C48DA" w:rsidR="00661519" w:rsidP="00661519" w:rsidRDefault="00661519" w14:paraId="0CFF45D2"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2,015</w:t>
            </w:r>
          </w:p>
        </w:tc>
        <w:tc>
          <w:tcPr>
            <w:tcW w:w="1302" w:type="dxa"/>
          </w:tcPr>
          <w:p w:rsidRPr="009C48DA" w:rsidR="00661519" w:rsidP="00661519" w:rsidRDefault="00661519" w14:paraId="382632BA" w14:textId="77777777">
            <w:pP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705" w:type="dxa"/>
            <w:tcMar>
              <w:left w:w="108" w:type="dxa"/>
              <w:right w:w="108" w:type="dxa"/>
            </w:tcMar>
            <w:vAlign w:val="bottom"/>
          </w:tcPr>
          <w:p w:rsidRPr="009C48DA" w:rsidR="00661519" w:rsidP="00661519" w:rsidRDefault="00661519" w14:paraId="2C74CE35"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2,105</w:t>
            </w:r>
          </w:p>
        </w:tc>
      </w:tr>
      <w:tr w:rsidRPr="009C48DA" w:rsidR="00661519" w:rsidTr="00661519" w14:paraId="1CE012C9" w14:textId="77777777">
        <w:trPr>
          <w:trHeight w:val="226"/>
        </w:trPr>
        <w:tc>
          <w:tcPr>
            <w:tcW w:w="3303" w:type="dxa"/>
            <w:vAlign w:val="bottom"/>
          </w:tcPr>
          <w:p w:rsidRPr="009C48DA" w:rsidR="00661519" w:rsidP="00661519" w:rsidRDefault="00661519" w14:paraId="59FF9042" w14:textId="77777777">
            <w:pPr>
              <w:ind w:left="156"/>
              <w:textAlignment w:val="baseline"/>
              <w:rPr>
                <w:rFonts w:eastAsia="Times New Roman"/>
                <w:color w:val="000000"/>
                <w:sz w:val="16"/>
                <w:lang w:val="en-GB"/>
              </w:rPr>
            </w:pPr>
            <w:r w:rsidRPr="009C48DA">
              <w:rPr>
                <w:rFonts w:eastAsia="Times New Roman"/>
                <w:color w:val="000000"/>
                <w:sz w:val="16"/>
                <w:lang w:val="en-GB"/>
              </w:rPr>
              <w:t>Cash and cash equivalents</w:t>
            </w:r>
          </w:p>
        </w:tc>
        <w:tc>
          <w:tcPr>
            <w:tcW w:w="1397" w:type="dxa"/>
            <w:tcMar>
              <w:left w:w="108" w:type="dxa"/>
              <w:right w:w="108" w:type="dxa"/>
            </w:tcMar>
            <w:vAlign w:val="bottom"/>
          </w:tcPr>
          <w:p w:rsidRPr="009C48DA" w:rsidR="00661519" w:rsidP="00661519" w:rsidRDefault="00661519" w14:paraId="3C4E0B45" w14:textId="77777777">
            <w:pPr>
              <w:pBdr>
                <w:bottom w:val="sing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705" w:type="dxa"/>
            <w:tcMar>
              <w:left w:w="108" w:type="dxa"/>
              <w:right w:w="108" w:type="dxa"/>
            </w:tcMar>
            <w:vAlign w:val="bottom"/>
          </w:tcPr>
          <w:p w:rsidRPr="009C48DA" w:rsidR="00661519" w:rsidP="00661519" w:rsidRDefault="00661519" w14:paraId="191320FF" w14:textId="77777777">
            <w:pPr>
              <w:pBdr>
                <w:bottom w:val="sing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302" w:type="dxa"/>
            <w:vAlign w:val="center"/>
          </w:tcPr>
          <w:p w:rsidRPr="009C48DA" w:rsidR="00661519" w:rsidP="00661519" w:rsidRDefault="00661519" w14:paraId="0DE5A2B1" w14:textId="77777777">
            <w:pPr>
              <w:pBdr>
                <w:bottom w:val="single" w:color="auto" w:sz="12" w:space="1"/>
              </w:pBd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705" w:type="dxa"/>
            <w:tcMar>
              <w:left w:w="108" w:type="dxa"/>
              <w:right w:w="108" w:type="dxa"/>
            </w:tcMar>
            <w:vAlign w:val="bottom"/>
          </w:tcPr>
          <w:p w:rsidRPr="009C48DA" w:rsidR="00661519" w:rsidP="00661519" w:rsidRDefault="00661519" w14:paraId="3D9F21CA" w14:textId="77777777">
            <w:pPr>
              <w:pBdr>
                <w:bottom w:val="sing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12,083</w:t>
            </w:r>
          </w:p>
        </w:tc>
      </w:tr>
      <w:tr w:rsidRPr="009C48DA" w:rsidR="00661519" w:rsidTr="00661519" w14:paraId="160A865A" w14:textId="77777777">
        <w:trPr>
          <w:trHeight w:val="249"/>
        </w:trPr>
        <w:tc>
          <w:tcPr>
            <w:tcW w:w="3303" w:type="dxa"/>
            <w:vAlign w:val="bottom"/>
          </w:tcPr>
          <w:p w:rsidRPr="009C48DA" w:rsidR="00661519" w:rsidP="00661519" w:rsidRDefault="00661519" w14:paraId="5B3D58AC" w14:textId="77777777">
            <w:pPr>
              <w:ind w:left="156"/>
              <w:textAlignment w:val="baseline"/>
              <w:rPr>
                <w:rFonts w:eastAsia="Times New Roman"/>
                <w:b/>
                <w:color w:val="000000"/>
                <w:sz w:val="16"/>
                <w:lang w:val="en-GB"/>
              </w:rPr>
            </w:pPr>
            <w:r w:rsidRPr="009C48DA">
              <w:rPr>
                <w:rFonts w:eastAsia="Times New Roman"/>
                <w:b/>
                <w:color w:val="000000"/>
                <w:sz w:val="16"/>
                <w:lang w:val="en-GB"/>
              </w:rPr>
              <w:t>Total financial assets</w:t>
            </w:r>
          </w:p>
        </w:tc>
        <w:tc>
          <w:tcPr>
            <w:tcW w:w="1397" w:type="dxa"/>
            <w:tcMar>
              <w:left w:w="108" w:type="dxa"/>
              <w:right w:w="108" w:type="dxa"/>
            </w:tcMar>
            <w:vAlign w:val="bottom"/>
          </w:tcPr>
          <w:p w:rsidRPr="009C48DA" w:rsidR="00661519" w:rsidP="00661519" w:rsidRDefault="00661519" w14:paraId="5B7FAC67" w14:textId="77777777">
            <w:pPr>
              <w:pBdr>
                <w:bottom w:val="doub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206,079</w:t>
            </w:r>
          </w:p>
        </w:tc>
        <w:tc>
          <w:tcPr>
            <w:tcW w:w="1705" w:type="dxa"/>
            <w:tcMar>
              <w:left w:w="108" w:type="dxa"/>
              <w:right w:w="108" w:type="dxa"/>
            </w:tcMar>
            <w:vAlign w:val="bottom"/>
          </w:tcPr>
          <w:p w:rsidRPr="009C48DA" w:rsidR="00661519" w:rsidP="00661519" w:rsidRDefault="00661519" w14:paraId="4C05D72A" w14:textId="77777777">
            <w:pPr>
              <w:pBdr>
                <w:bottom w:val="doub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2,015</w:t>
            </w:r>
          </w:p>
        </w:tc>
        <w:tc>
          <w:tcPr>
            <w:tcW w:w="1302" w:type="dxa"/>
            <w:vAlign w:val="bottom"/>
          </w:tcPr>
          <w:p w:rsidRPr="009C48DA" w:rsidR="00661519" w:rsidP="00661519" w:rsidRDefault="00661519" w14:paraId="171C47BE" w14:textId="77777777">
            <w:pPr>
              <w:pBdr>
                <w:bottom w:val="double" w:color="auto" w:sz="12" w:space="1"/>
              </w:pBd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239,368</w:t>
            </w:r>
          </w:p>
        </w:tc>
        <w:tc>
          <w:tcPr>
            <w:tcW w:w="1705" w:type="dxa"/>
            <w:tcMar>
              <w:left w:w="108" w:type="dxa"/>
              <w:right w:w="108" w:type="dxa"/>
            </w:tcMar>
            <w:vAlign w:val="bottom"/>
          </w:tcPr>
          <w:p w:rsidRPr="009C48DA" w:rsidR="00661519" w:rsidP="00661519" w:rsidRDefault="00661519" w14:paraId="32F90390" w14:textId="77777777">
            <w:pPr>
              <w:pBdr>
                <w:bottom w:val="doub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447,462</w:t>
            </w:r>
          </w:p>
        </w:tc>
      </w:tr>
    </w:tbl>
    <w:p w:rsidRPr="009C48DA" w:rsidR="00661519" w:rsidP="00661519" w:rsidRDefault="00661519" w14:paraId="2CD0F8C6" w14:textId="77777777">
      <w:pPr>
        <w:ind w:right="74"/>
        <w:jc w:val="both"/>
        <w:textAlignment w:val="baseline"/>
        <w:rPr>
          <w:rFonts w:eastAsia="Times New Roman" w:cs="Times New Roman"/>
          <w:b/>
          <w:color w:val="000000"/>
          <w:sz w:val="16"/>
          <w:szCs w:val="22"/>
          <w:lang w:val="en-GB"/>
        </w:rPr>
      </w:pPr>
    </w:p>
    <w:tbl>
      <w:tblPr>
        <w:tblW w:w="9453" w:type="dxa"/>
        <w:tblLayout w:type="fixed"/>
        <w:tblCellMar>
          <w:left w:w="0" w:type="dxa"/>
          <w:right w:w="0" w:type="dxa"/>
        </w:tblCellMar>
        <w:tblLook w:val="0000" w:firstRow="0" w:lastRow="0" w:firstColumn="0" w:lastColumn="0" w:noHBand="0" w:noVBand="0"/>
      </w:tblPr>
      <w:tblGrid>
        <w:gridCol w:w="3337"/>
        <w:gridCol w:w="1411"/>
        <w:gridCol w:w="1722"/>
        <w:gridCol w:w="1315"/>
        <w:gridCol w:w="1668"/>
      </w:tblGrid>
      <w:tr w:rsidRPr="009C48DA" w:rsidR="00661519" w:rsidTr="00661519" w14:paraId="6B5EF173" w14:textId="77777777">
        <w:trPr>
          <w:trHeight w:val="597"/>
        </w:trPr>
        <w:tc>
          <w:tcPr>
            <w:tcW w:w="3337" w:type="dxa"/>
            <w:vAlign w:val="bottom"/>
          </w:tcPr>
          <w:p w:rsidRPr="009C48DA" w:rsidR="00661519" w:rsidP="00661519" w:rsidRDefault="00661519" w14:paraId="67E481BE" w14:textId="77777777">
            <w:pPr>
              <w:textAlignment w:val="baseline"/>
              <w:rPr>
                <w:rFonts w:eastAsia="Times New Roman"/>
                <w:color w:val="000000"/>
                <w:sz w:val="24"/>
                <w:lang w:val="en-GB"/>
              </w:rPr>
            </w:pPr>
          </w:p>
        </w:tc>
        <w:tc>
          <w:tcPr>
            <w:tcW w:w="1411" w:type="dxa"/>
            <w:tcMar>
              <w:left w:w="108" w:type="dxa"/>
              <w:right w:w="108" w:type="dxa"/>
            </w:tcMar>
            <w:vAlign w:val="bottom"/>
          </w:tcPr>
          <w:p w:rsidRPr="009C48DA" w:rsidR="00661519" w:rsidP="00661519" w:rsidRDefault="00661519" w14:paraId="4452509B" w14:textId="77777777">
            <w:pPr>
              <w:jc w:val="center"/>
              <w:textAlignment w:val="baseline"/>
              <w:rPr>
                <w:rFonts w:eastAsia="Times New Roman"/>
                <w:b/>
                <w:color w:val="000000"/>
                <w:sz w:val="16"/>
                <w:lang w:val="en-GB"/>
              </w:rPr>
            </w:pPr>
            <w:r w:rsidRPr="009C48DA">
              <w:rPr>
                <w:rFonts w:eastAsia="Times New Roman"/>
                <w:b/>
                <w:color w:val="000000"/>
                <w:sz w:val="16"/>
                <w:lang w:val="en-GB"/>
              </w:rPr>
              <w:t>Fair value through profit or loss</w:t>
            </w:r>
          </w:p>
        </w:tc>
        <w:tc>
          <w:tcPr>
            <w:tcW w:w="1722" w:type="dxa"/>
            <w:tcMar>
              <w:left w:w="108" w:type="dxa"/>
              <w:right w:w="108" w:type="dxa"/>
            </w:tcMar>
            <w:vAlign w:val="bottom"/>
          </w:tcPr>
          <w:p w:rsidRPr="009C48DA" w:rsidR="00661519" w:rsidP="00661519" w:rsidRDefault="00661519" w14:paraId="24EB2A72" w14:textId="77777777">
            <w:pPr>
              <w:jc w:val="center"/>
              <w:textAlignment w:val="baseline"/>
              <w:rPr>
                <w:rFonts w:eastAsia="Times New Roman"/>
                <w:b/>
                <w:color w:val="000000"/>
                <w:sz w:val="16"/>
                <w:lang w:val="en-GB"/>
              </w:rPr>
            </w:pPr>
            <w:r w:rsidRPr="009C48DA">
              <w:rPr>
                <w:rFonts w:eastAsia="Times New Roman"/>
                <w:b/>
                <w:color w:val="000000"/>
                <w:sz w:val="16"/>
                <w:lang w:val="en-GB"/>
              </w:rPr>
              <w:t>Hedging derivatives</w:t>
            </w:r>
          </w:p>
        </w:tc>
        <w:tc>
          <w:tcPr>
            <w:tcW w:w="1315" w:type="dxa"/>
            <w:vAlign w:val="bottom"/>
          </w:tcPr>
          <w:p w:rsidRPr="009C48DA" w:rsidR="00661519" w:rsidP="00661519" w:rsidRDefault="00661519" w14:paraId="6CC80C9C" w14:textId="77777777">
            <w:pPr>
              <w:jc w:val="center"/>
              <w:textAlignment w:val="baseline"/>
              <w:rPr>
                <w:rFonts w:eastAsia="Times New Roman"/>
                <w:b/>
                <w:color w:val="000000"/>
                <w:sz w:val="16"/>
                <w:lang w:val="en-GB"/>
              </w:rPr>
            </w:pPr>
            <w:r w:rsidRPr="009C48DA">
              <w:rPr>
                <w:rFonts w:eastAsia="Times New Roman"/>
                <w:b/>
                <w:color w:val="000000"/>
                <w:sz w:val="16"/>
                <w:lang w:val="en-GB"/>
              </w:rPr>
              <w:t>Financial assets at amortised cost</w:t>
            </w:r>
          </w:p>
        </w:tc>
        <w:tc>
          <w:tcPr>
            <w:tcW w:w="1668" w:type="dxa"/>
            <w:tcMar>
              <w:left w:w="108" w:type="dxa"/>
              <w:right w:w="108" w:type="dxa"/>
            </w:tcMar>
            <w:vAlign w:val="bottom"/>
          </w:tcPr>
          <w:p w:rsidRPr="009C48DA" w:rsidR="00661519" w:rsidP="00661519" w:rsidRDefault="00661519" w14:paraId="5198BB86" w14:textId="77777777">
            <w:pPr>
              <w:ind w:right="534"/>
              <w:jc w:val="right"/>
              <w:textAlignment w:val="baseline"/>
              <w:rPr>
                <w:rFonts w:eastAsia="Times New Roman"/>
                <w:b/>
                <w:color w:val="000000"/>
                <w:sz w:val="16"/>
                <w:lang w:val="en-GB"/>
              </w:rPr>
            </w:pPr>
            <w:r w:rsidRPr="009C48DA">
              <w:rPr>
                <w:rFonts w:eastAsia="Times New Roman"/>
                <w:b/>
                <w:color w:val="000000"/>
                <w:sz w:val="16"/>
                <w:lang w:val="en-GB"/>
              </w:rPr>
              <w:t>Total</w:t>
            </w:r>
          </w:p>
        </w:tc>
      </w:tr>
      <w:tr w:rsidRPr="009C48DA" w:rsidR="00661519" w:rsidTr="00661519" w14:paraId="31BB6352" w14:textId="77777777">
        <w:trPr>
          <w:trHeight w:val="199"/>
        </w:trPr>
        <w:tc>
          <w:tcPr>
            <w:tcW w:w="3337" w:type="dxa"/>
            <w:vAlign w:val="bottom"/>
          </w:tcPr>
          <w:p w:rsidRPr="009C48DA" w:rsidR="00661519" w:rsidP="00661519" w:rsidRDefault="00661519" w14:paraId="3461A697" w14:textId="77777777">
            <w:pPr>
              <w:ind w:left="156"/>
              <w:textAlignment w:val="baseline"/>
              <w:rPr>
                <w:rFonts w:eastAsia="Times New Roman"/>
                <w:b/>
                <w:color w:val="000000"/>
                <w:sz w:val="16"/>
                <w:lang w:val="en-GB"/>
              </w:rPr>
            </w:pPr>
            <w:r w:rsidRPr="009C48DA">
              <w:rPr>
                <w:rFonts w:eastAsia="Times New Roman"/>
                <w:b/>
                <w:color w:val="000000"/>
                <w:sz w:val="16"/>
                <w:lang w:val="en-GB"/>
              </w:rPr>
              <w:t>As at 31 December 2020</w:t>
            </w:r>
          </w:p>
        </w:tc>
        <w:tc>
          <w:tcPr>
            <w:tcW w:w="1411" w:type="dxa"/>
            <w:tcMar>
              <w:left w:w="108" w:type="dxa"/>
              <w:right w:w="108" w:type="dxa"/>
            </w:tcMar>
            <w:vAlign w:val="bottom"/>
          </w:tcPr>
          <w:p w:rsidRPr="009C48DA" w:rsidR="00661519" w:rsidP="00661519" w:rsidRDefault="00661519" w14:paraId="2140B238" w14:textId="77777777">
            <w:pPr>
              <w:ind w:right="608"/>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722" w:type="dxa"/>
            <w:tcMar>
              <w:left w:w="108" w:type="dxa"/>
              <w:right w:w="108" w:type="dxa"/>
            </w:tcMar>
            <w:vAlign w:val="bottom"/>
          </w:tcPr>
          <w:p w:rsidRPr="009C48DA" w:rsidR="00661519" w:rsidP="00661519" w:rsidRDefault="00661519" w14:paraId="4A01CD22"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315" w:type="dxa"/>
          </w:tcPr>
          <w:p w:rsidRPr="009C48DA" w:rsidR="00661519" w:rsidP="00661519" w:rsidRDefault="00661519" w14:paraId="4227736F" w14:textId="77777777">
            <w:pPr>
              <w:ind w:right="534" w:hanging="336"/>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668" w:type="dxa"/>
            <w:tcMar>
              <w:left w:w="108" w:type="dxa"/>
              <w:right w:w="108" w:type="dxa"/>
            </w:tcMar>
            <w:vAlign w:val="bottom"/>
          </w:tcPr>
          <w:p w:rsidRPr="009C48DA" w:rsidR="00661519" w:rsidP="00661519" w:rsidRDefault="00661519" w14:paraId="7E843A3E" w14:textId="77777777">
            <w:pPr>
              <w:ind w:right="534"/>
              <w:jc w:val="right"/>
              <w:textAlignment w:val="baseline"/>
              <w:rPr>
                <w:rFonts w:eastAsia="Times New Roman"/>
                <w:b/>
                <w:color w:val="000000"/>
                <w:sz w:val="16"/>
                <w:lang w:val="en-GB"/>
              </w:rPr>
            </w:pPr>
            <w:r w:rsidRPr="009C48DA">
              <w:rPr>
                <w:rFonts w:eastAsia="Times New Roman"/>
                <w:b/>
                <w:color w:val="000000"/>
                <w:sz w:val="16"/>
                <w:lang w:val="en-GB"/>
              </w:rPr>
              <w:t>£ 000</w:t>
            </w:r>
          </w:p>
        </w:tc>
      </w:tr>
      <w:tr w:rsidRPr="009C48DA" w:rsidR="00661519" w:rsidTr="00661519" w14:paraId="337F9135" w14:textId="77777777">
        <w:trPr>
          <w:trHeight w:val="210"/>
        </w:trPr>
        <w:tc>
          <w:tcPr>
            <w:tcW w:w="3337" w:type="dxa"/>
            <w:vAlign w:val="bottom"/>
          </w:tcPr>
          <w:p w:rsidRPr="009C48DA" w:rsidR="00661519" w:rsidP="00661519" w:rsidRDefault="00661519" w14:paraId="7CDE11EF" w14:textId="77777777">
            <w:pPr>
              <w:ind w:left="156"/>
              <w:textAlignment w:val="baseline"/>
              <w:rPr>
                <w:rFonts w:eastAsia="Times New Roman"/>
                <w:color w:val="000000"/>
                <w:sz w:val="16"/>
                <w:lang w:val="en-GB"/>
              </w:rPr>
            </w:pPr>
            <w:r w:rsidRPr="009C48DA">
              <w:rPr>
                <w:rFonts w:eastAsia="Times New Roman"/>
                <w:color w:val="000000"/>
                <w:sz w:val="16"/>
                <w:lang w:val="en-GB"/>
              </w:rPr>
              <w:t>Fair value of fund investments</w:t>
            </w:r>
          </w:p>
        </w:tc>
        <w:tc>
          <w:tcPr>
            <w:tcW w:w="1411" w:type="dxa"/>
            <w:tcMar>
              <w:left w:w="108" w:type="dxa"/>
              <w:right w:w="108" w:type="dxa"/>
            </w:tcMar>
            <w:vAlign w:val="bottom"/>
          </w:tcPr>
          <w:p w:rsidRPr="009C48DA" w:rsidR="00661519" w:rsidP="00661519" w:rsidRDefault="00661519" w14:paraId="6E62F329"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233,469</w:t>
            </w:r>
          </w:p>
        </w:tc>
        <w:tc>
          <w:tcPr>
            <w:tcW w:w="1722" w:type="dxa"/>
            <w:tcMar>
              <w:left w:w="108" w:type="dxa"/>
              <w:right w:w="108" w:type="dxa"/>
            </w:tcMar>
            <w:vAlign w:val="bottom"/>
          </w:tcPr>
          <w:p w:rsidRPr="009C48DA" w:rsidR="00661519" w:rsidP="00661519" w:rsidRDefault="00661519" w14:paraId="6517571D"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315" w:type="dxa"/>
          </w:tcPr>
          <w:p w:rsidRPr="009C48DA" w:rsidR="00661519" w:rsidP="00661519" w:rsidRDefault="00661519" w14:paraId="4B75F10A" w14:textId="77777777">
            <w:pP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668" w:type="dxa"/>
            <w:tcMar>
              <w:left w:w="108" w:type="dxa"/>
              <w:right w:w="108" w:type="dxa"/>
            </w:tcMar>
            <w:vAlign w:val="bottom"/>
          </w:tcPr>
          <w:p w:rsidRPr="009C48DA" w:rsidR="00661519" w:rsidP="00661519" w:rsidRDefault="00661519" w14:paraId="06ACEFFE"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233,469</w:t>
            </w:r>
          </w:p>
        </w:tc>
      </w:tr>
      <w:tr w:rsidRPr="009C48DA" w:rsidR="00661519" w:rsidTr="00661519" w14:paraId="1B853591" w14:textId="77777777">
        <w:trPr>
          <w:trHeight w:val="199"/>
        </w:trPr>
        <w:tc>
          <w:tcPr>
            <w:tcW w:w="3337" w:type="dxa"/>
            <w:vAlign w:val="bottom"/>
          </w:tcPr>
          <w:p w:rsidRPr="009C48DA" w:rsidR="00661519" w:rsidP="00661519" w:rsidRDefault="00661519" w14:paraId="3FF25EFE" w14:textId="77777777">
            <w:pPr>
              <w:ind w:left="156"/>
              <w:textAlignment w:val="baseline"/>
              <w:rPr>
                <w:rFonts w:eastAsia="Times New Roman"/>
                <w:color w:val="000000"/>
                <w:sz w:val="16"/>
                <w:lang w:val="en-GB"/>
              </w:rPr>
            </w:pPr>
            <w:r w:rsidRPr="009C48DA">
              <w:rPr>
                <w:rFonts w:eastAsia="Times New Roman"/>
                <w:color w:val="000000"/>
                <w:sz w:val="16"/>
                <w:lang w:val="en-GB"/>
              </w:rPr>
              <w:t>Fair value of CLO assets</w:t>
            </w:r>
          </w:p>
        </w:tc>
        <w:tc>
          <w:tcPr>
            <w:tcW w:w="1411" w:type="dxa"/>
            <w:tcMar>
              <w:left w:w="108" w:type="dxa"/>
              <w:right w:w="108" w:type="dxa"/>
            </w:tcMar>
            <w:vAlign w:val="bottom"/>
          </w:tcPr>
          <w:p w:rsidRPr="009C48DA" w:rsidR="00661519" w:rsidP="00661519" w:rsidRDefault="00661519" w14:paraId="50330DB7"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272,476</w:t>
            </w:r>
          </w:p>
        </w:tc>
        <w:tc>
          <w:tcPr>
            <w:tcW w:w="1722" w:type="dxa"/>
            <w:tcMar>
              <w:left w:w="108" w:type="dxa"/>
              <w:right w:w="108" w:type="dxa"/>
            </w:tcMar>
            <w:vAlign w:val="bottom"/>
          </w:tcPr>
          <w:p w:rsidRPr="009C48DA" w:rsidR="00661519" w:rsidP="00661519" w:rsidRDefault="00661519" w14:paraId="51A1FE58"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315" w:type="dxa"/>
          </w:tcPr>
          <w:p w:rsidRPr="009C48DA" w:rsidR="00661519" w:rsidP="00661519" w:rsidRDefault="00661519" w14:paraId="4EA76024" w14:textId="77777777">
            <w:pP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668" w:type="dxa"/>
            <w:tcMar>
              <w:left w:w="108" w:type="dxa"/>
              <w:right w:w="108" w:type="dxa"/>
            </w:tcMar>
            <w:vAlign w:val="bottom"/>
          </w:tcPr>
          <w:p w:rsidRPr="009C48DA" w:rsidR="00661519" w:rsidP="00661519" w:rsidRDefault="00661519" w14:paraId="06202DAF"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272,476</w:t>
            </w:r>
          </w:p>
        </w:tc>
      </w:tr>
      <w:tr w:rsidRPr="009C48DA" w:rsidR="00661519" w:rsidTr="00661519" w14:paraId="1FAD5909" w14:textId="77777777">
        <w:trPr>
          <w:trHeight w:val="199"/>
        </w:trPr>
        <w:tc>
          <w:tcPr>
            <w:tcW w:w="3337" w:type="dxa"/>
            <w:vAlign w:val="bottom"/>
          </w:tcPr>
          <w:p w:rsidRPr="009C48DA" w:rsidR="00661519" w:rsidP="00661519" w:rsidRDefault="00661519" w14:paraId="6064CED8" w14:textId="77777777">
            <w:pPr>
              <w:ind w:left="156"/>
              <w:textAlignment w:val="baseline"/>
              <w:rPr>
                <w:rFonts w:eastAsia="Times New Roman"/>
                <w:color w:val="000000"/>
                <w:sz w:val="16"/>
                <w:lang w:val="en-GB"/>
              </w:rPr>
            </w:pPr>
            <w:r w:rsidRPr="009C48DA">
              <w:rPr>
                <w:rFonts w:eastAsia="Times New Roman"/>
                <w:color w:val="000000"/>
                <w:sz w:val="16"/>
                <w:lang w:val="en-GB"/>
              </w:rPr>
              <w:t>Trade and other receivables</w:t>
            </w:r>
          </w:p>
        </w:tc>
        <w:tc>
          <w:tcPr>
            <w:tcW w:w="1411" w:type="dxa"/>
            <w:tcMar>
              <w:left w:w="108" w:type="dxa"/>
              <w:right w:w="108" w:type="dxa"/>
            </w:tcMar>
            <w:vAlign w:val="bottom"/>
          </w:tcPr>
          <w:p w:rsidRPr="009C48DA" w:rsidR="00661519" w:rsidP="00661519" w:rsidRDefault="00661519" w14:paraId="16602623"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722" w:type="dxa"/>
            <w:tcMar>
              <w:left w:w="108" w:type="dxa"/>
              <w:right w:w="108" w:type="dxa"/>
            </w:tcMar>
            <w:vAlign w:val="bottom"/>
          </w:tcPr>
          <w:p w:rsidRPr="009C48DA" w:rsidR="00661519" w:rsidP="00661519" w:rsidRDefault="00661519" w14:paraId="01A3D540"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315" w:type="dxa"/>
          </w:tcPr>
          <w:p w:rsidRPr="009C48DA" w:rsidR="00661519" w:rsidP="00661519" w:rsidRDefault="00661519" w14:paraId="0538A523" w14:textId="77777777">
            <w:pP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183,685</w:t>
            </w:r>
          </w:p>
        </w:tc>
        <w:tc>
          <w:tcPr>
            <w:tcW w:w="1668" w:type="dxa"/>
            <w:tcMar>
              <w:left w:w="108" w:type="dxa"/>
              <w:right w:w="108" w:type="dxa"/>
            </w:tcMar>
            <w:vAlign w:val="bottom"/>
          </w:tcPr>
          <w:p w:rsidRPr="009C48DA" w:rsidR="00661519" w:rsidP="00661519" w:rsidRDefault="00661519" w14:paraId="6923DB9F"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183,685</w:t>
            </w:r>
          </w:p>
        </w:tc>
      </w:tr>
      <w:tr w:rsidRPr="009C48DA" w:rsidR="00661519" w:rsidTr="00661519" w14:paraId="2D2E96CD" w14:textId="77777777">
        <w:trPr>
          <w:trHeight w:val="199"/>
        </w:trPr>
        <w:tc>
          <w:tcPr>
            <w:tcW w:w="3337" w:type="dxa"/>
            <w:vAlign w:val="bottom"/>
          </w:tcPr>
          <w:p w:rsidRPr="009C48DA" w:rsidR="00661519" w:rsidP="00661519" w:rsidRDefault="00661519" w14:paraId="583D6291" w14:textId="77777777">
            <w:pPr>
              <w:ind w:left="156"/>
              <w:textAlignment w:val="baseline"/>
              <w:rPr>
                <w:rFonts w:eastAsia="Times New Roman"/>
                <w:color w:val="000000"/>
                <w:sz w:val="16"/>
                <w:lang w:val="en-GB"/>
              </w:rPr>
            </w:pPr>
            <w:r w:rsidRPr="009C48DA">
              <w:rPr>
                <w:rFonts w:eastAsia="Times New Roman"/>
                <w:color w:val="000000"/>
                <w:sz w:val="16"/>
                <w:lang w:val="en-GB"/>
              </w:rPr>
              <w:t>Cash and cash equivalents</w:t>
            </w:r>
          </w:p>
        </w:tc>
        <w:tc>
          <w:tcPr>
            <w:tcW w:w="1411" w:type="dxa"/>
            <w:tcMar>
              <w:left w:w="108" w:type="dxa"/>
              <w:right w:w="108" w:type="dxa"/>
            </w:tcMar>
            <w:vAlign w:val="bottom"/>
          </w:tcPr>
          <w:p w:rsidRPr="009C48DA" w:rsidR="00661519" w:rsidP="00661519" w:rsidRDefault="00661519" w14:paraId="45FB4CA3"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722" w:type="dxa"/>
            <w:tcMar>
              <w:left w:w="108" w:type="dxa"/>
              <w:right w:w="108" w:type="dxa"/>
            </w:tcMar>
            <w:vAlign w:val="bottom"/>
          </w:tcPr>
          <w:p w:rsidRPr="009C48DA" w:rsidR="00661519" w:rsidP="00661519" w:rsidRDefault="00661519" w14:paraId="54B7DBA3"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315" w:type="dxa"/>
            <w:vAlign w:val="center"/>
          </w:tcPr>
          <w:p w:rsidRPr="009C48DA" w:rsidR="00661519" w:rsidP="00661519" w:rsidRDefault="00661519" w14:paraId="2C71CE90" w14:textId="77777777">
            <w:pP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42,366</w:t>
            </w:r>
          </w:p>
        </w:tc>
        <w:tc>
          <w:tcPr>
            <w:tcW w:w="1668" w:type="dxa"/>
            <w:tcMar>
              <w:left w:w="108" w:type="dxa"/>
              <w:right w:w="108" w:type="dxa"/>
            </w:tcMar>
            <w:vAlign w:val="center"/>
          </w:tcPr>
          <w:p w:rsidRPr="009C48DA" w:rsidR="00661519" w:rsidP="00661519" w:rsidRDefault="00661519" w14:paraId="250E35B1"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42,366</w:t>
            </w:r>
          </w:p>
        </w:tc>
      </w:tr>
      <w:tr w:rsidRPr="009C48DA" w:rsidR="00661519" w:rsidTr="00661519" w14:paraId="0A1EBFA7" w14:textId="77777777">
        <w:trPr>
          <w:trHeight w:val="234"/>
        </w:trPr>
        <w:tc>
          <w:tcPr>
            <w:tcW w:w="3337" w:type="dxa"/>
            <w:vAlign w:val="bottom"/>
          </w:tcPr>
          <w:p w:rsidRPr="009C48DA" w:rsidR="00661519" w:rsidP="00661519" w:rsidRDefault="00661519" w14:paraId="6F5C0598" w14:textId="77777777">
            <w:pPr>
              <w:ind w:left="156"/>
              <w:textAlignment w:val="baseline"/>
              <w:rPr>
                <w:rFonts w:eastAsia="Times New Roman"/>
                <w:color w:val="000000"/>
                <w:sz w:val="16"/>
                <w:lang w:val="en-GB"/>
              </w:rPr>
            </w:pPr>
            <w:r w:rsidRPr="009C48DA">
              <w:rPr>
                <w:rFonts w:eastAsia="Times New Roman"/>
                <w:color w:val="000000"/>
                <w:sz w:val="16"/>
                <w:lang w:val="en-GB"/>
              </w:rPr>
              <w:t>CLO cash</w:t>
            </w:r>
          </w:p>
        </w:tc>
        <w:tc>
          <w:tcPr>
            <w:tcW w:w="1411" w:type="dxa"/>
            <w:tcMar>
              <w:left w:w="108" w:type="dxa"/>
              <w:right w:w="108" w:type="dxa"/>
            </w:tcMar>
            <w:vAlign w:val="bottom"/>
          </w:tcPr>
          <w:p w:rsidRPr="009C48DA" w:rsidR="00661519" w:rsidP="00661519" w:rsidRDefault="00661519" w14:paraId="384F913B" w14:textId="77777777">
            <w:pPr>
              <w:pBdr>
                <w:bottom w:val="sing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722" w:type="dxa"/>
            <w:tcMar>
              <w:left w:w="108" w:type="dxa"/>
              <w:right w:w="108" w:type="dxa"/>
            </w:tcMar>
            <w:vAlign w:val="bottom"/>
          </w:tcPr>
          <w:p w:rsidRPr="009C48DA" w:rsidR="00661519" w:rsidP="00661519" w:rsidRDefault="00661519" w14:paraId="5F834565" w14:textId="77777777">
            <w:pPr>
              <w:pBdr>
                <w:bottom w:val="sing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315" w:type="dxa"/>
            <w:vAlign w:val="center"/>
          </w:tcPr>
          <w:p w:rsidRPr="009C48DA" w:rsidR="00661519" w:rsidP="00661519" w:rsidRDefault="00661519" w14:paraId="4A0A200A" w14:textId="77777777">
            <w:pPr>
              <w:pBdr>
                <w:bottom w:val="single" w:color="auto" w:sz="12" w:space="1"/>
              </w:pBd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114,750</w:t>
            </w:r>
          </w:p>
        </w:tc>
        <w:tc>
          <w:tcPr>
            <w:tcW w:w="1668" w:type="dxa"/>
            <w:tcMar>
              <w:left w:w="108" w:type="dxa"/>
              <w:right w:w="108" w:type="dxa"/>
            </w:tcMar>
            <w:vAlign w:val="center"/>
          </w:tcPr>
          <w:p w:rsidRPr="009C48DA" w:rsidR="00661519" w:rsidP="00661519" w:rsidRDefault="00661519" w14:paraId="017BEC24" w14:textId="77777777">
            <w:pPr>
              <w:pBdr>
                <w:bottom w:val="sing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114,750</w:t>
            </w:r>
          </w:p>
        </w:tc>
      </w:tr>
      <w:tr w:rsidRPr="009C48DA" w:rsidR="00661519" w:rsidTr="00661519" w14:paraId="5F7CBA0F" w14:textId="77777777">
        <w:trPr>
          <w:trHeight w:val="257"/>
        </w:trPr>
        <w:tc>
          <w:tcPr>
            <w:tcW w:w="3337" w:type="dxa"/>
            <w:vAlign w:val="bottom"/>
          </w:tcPr>
          <w:p w:rsidRPr="009C48DA" w:rsidR="00661519" w:rsidP="00661519" w:rsidRDefault="00661519" w14:paraId="58AB2157" w14:textId="77777777">
            <w:pPr>
              <w:ind w:left="156"/>
              <w:textAlignment w:val="baseline"/>
              <w:rPr>
                <w:rFonts w:eastAsia="Times New Roman"/>
                <w:b/>
                <w:color w:val="000000"/>
                <w:sz w:val="16"/>
                <w:lang w:val="en-GB"/>
              </w:rPr>
            </w:pPr>
            <w:r w:rsidRPr="009C48DA">
              <w:rPr>
                <w:rFonts w:eastAsia="Times New Roman"/>
                <w:b/>
                <w:color w:val="000000"/>
                <w:sz w:val="16"/>
                <w:lang w:val="en-GB"/>
              </w:rPr>
              <w:t>Total financial assets</w:t>
            </w:r>
          </w:p>
        </w:tc>
        <w:tc>
          <w:tcPr>
            <w:tcW w:w="1411" w:type="dxa"/>
            <w:tcMar>
              <w:left w:w="108" w:type="dxa"/>
              <w:right w:w="108" w:type="dxa"/>
            </w:tcMar>
            <w:vAlign w:val="bottom"/>
          </w:tcPr>
          <w:p w:rsidRPr="009C48DA" w:rsidR="00661519" w:rsidP="00661519" w:rsidRDefault="00661519" w14:paraId="382AEA60" w14:textId="77777777">
            <w:pPr>
              <w:pBdr>
                <w:bottom w:val="doub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505,945</w:t>
            </w:r>
          </w:p>
        </w:tc>
        <w:tc>
          <w:tcPr>
            <w:tcW w:w="1722" w:type="dxa"/>
            <w:tcMar>
              <w:left w:w="108" w:type="dxa"/>
              <w:right w:w="108" w:type="dxa"/>
            </w:tcMar>
            <w:vAlign w:val="bottom"/>
          </w:tcPr>
          <w:p w:rsidRPr="009C48DA" w:rsidR="00661519" w:rsidP="00661519" w:rsidRDefault="00661519" w14:paraId="616E25E9" w14:textId="77777777">
            <w:pPr>
              <w:pBdr>
                <w:bottom w:val="doub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315" w:type="dxa"/>
            <w:vAlign w:val="bottom"/>
          </w:tcPr>
          <w:p w:rsidRPr="009C48DA" w:rsidR="00661519" w:rsidP="00661519" w:rsidRDefault="00661519" w14:paraId="59B14EF5" w14:textId="77777777">
            <w:pPr>
              <w:pBdr>
                <w:bottom w:val="double" w:color="auto" w:sz="12" w:space="1"/>
              </w:pBd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340,801</w:t>
            </w:r>
          </w:p>
        </w:tc>
        <w:tc>
          <w:tcPr>
            <w:tcW w:w="1668" w:type="dxa"/>
            <w:tcMar>
              <w:left w:w="108" w:type="dxa"/>
              <w:right w:w="108" w:type="dxa"/>
            </w:tcMar>
            <w:vAlign w:val="bottom"/>
          </w:tcPr>
          <w:p w:rsidRPr="009C48DA" w:rsidR="00661519" w:rsidP="00661519" w:rsidRDefault="00661519" w14:paraId="022EFBC1" w14:textId="77777777">
            <w:pPr>
              <w:pBdr>
                <w:bottom w:val="doub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846,746</w:t>
            </w:r>
          </w:p>
        </w:tc>
      </w:tr>
    </w:tbl>
    <w:p w:rsidRPr="009C48DA" w:rsidR="00661519" w:rsidP="00661519" w:rsidRDefault="00661519" w14:paraId="4EFAABF7" w14:textId="77777777">
      <w:pPr>
        <w:ind w:right="74"/>
        <w:jc w:val="both"/>
        <w:textAlignment w:val="baseline"/>
        <w:rPr>
          <w:rFonts w:eastAsia="Times New Roman" w:cs="Times New Roman"/>
          <w:b/>
          <w:color w:val="000000"/>
          <w:sz w:val="16"/>
          <w:szCs w:val="22"/>
          <w:lang w:val="en-GB"/>
        </w:rPr>
      </w:pPr>
    </w:p>
    <w:tbl>
      <w:tblPr>
        <w:tblW w:w="9478" w:type="dxa"/>
        <w:tblLayout w:type="fixed"/>
        <w:tblCellMar>
          <w:left w:w="0" w:type="dxa"/>
          <w:right w:w="0" w:type="dxa"/>
        </w:tblCellMar>
        <w:tblLook w:val="0000" w:firstRow="0" w:lastRow="0" w:firstColumn="0" w:lastColumn="0" w:noHBand="0" w:noVBand="0"/>
      </w:tblPr>
      <w:tblGrid>
        <w:gridCol w:w="3326"/>
        <w:gridCol w:w="1407"/>
        <w:gridCol w:w="1717"/>
        <w:gridCol w:w="1311"/>
        <w:gridCol w:w="1717"/>
      </w:tblGrid>
      <w:tr w:rsidRPr="009C48DA" w:rsidR="00661519" w:rsidTr="00661519" w14:paraId="4882CE4B" w14:textId="77777777">
        <w:trPr>
          <w:trHeight w:val="613"/>
        </w:trPr>
        <w:tc>
          <w:tcPr>
            <w:tcW w:w="3326" w:type="dxa"/>
            <w:vAlign w:val="bottom"/>
          </w:tcPr>
          <w:p w:rsidRPr="009C48DA" w:rsidR="00661519" w:rsidP="00661519" w:rsidRDefault="00661519" w14:paraId="01A3FD66" w14:textId="77777777">
            <w:pPr>
              <w:textAlignment w:val="baseline"/>
              <w:rPr>
                <w:rFonts w:eastAsia="Times New Roman"/>
                <w:color w:val="000000"/>
                <w:sz w:val="24"/>
                <w:lang w:val="en-GB"/>
              </w:rPr>
            </w:pPr>
          </w:p>
        </w:tc>
        <w:tc>
          <w:tcPr>
            <w:tcW w:w="1407" w:type="dxa"/>
            <w:tcMar>
              <w:left w:w="108" w:type="dxa"/>
              <w:right w:w="108" w:type="dxa"/>
            </w:tcMar>
            <w:vAlign w:val="bottom"/>
          </w:tcPr>
          <w:p w:rsidRPr="009C48DA" w:rsidR="00661519" w:rsidP="00661519" w:rsidRDefault="00661519" w14:paraId="0B3CDD4B" w14:textId="77777777">
            <w:pPr>
              <w:jc w:val="center"/>
              <w:textAlignment w:val="baseline"/>
              <w:rPr>
                <w:rFonts w:eastAsia="Times New Roman"/>
                <w:b/>
                <w:color w:val="000000"/>
                <w:sz w:val="16"/>
                <w:lang w:val="en-GB"/>
              </w:rPr>
            </w:pPr>
            <w:r w:rsidRPr="009C48DA">
              <w:rPr>
                <w:rFonts w:eastAsia="Times New Roman"/>
                <w:b/>
                <w:color w:val="000000"/>
                <w:sz w:val="16"/>
                <w:lang w:val="en-GB"/>
              </w:rPr>
              <w:t>Fair value through profit or loss</w:t>
            </w:r>
          </w:p>
        </w:tc>
        <w:tc>
          <w:tcPr>
            <w:tcW w:w="1717" w:type="dxa"/>
            <w:tcMar>
              <w:left w:w="108" w:type="dxa"/>
              <w:right w:w="108" w:type="dxa"/>
            </w:tcMar>
            <w:vAlign w:val="bottom"/>
          </w:tcPr>
          <w:p w:rsidRPr="009C48DA" w:rsidR="00661519" w:rsidP="00661519" w:rsidRDefault="00661519" w14:paraId="3902324E" w14:textId="77777777">
            <w:pPr>
              <w:jc w:val="center"/>
              <w:textAlignment w:val="baseline"/>
              <w:rPr>
                <w:rFonts w:eastAsia="Times New Roman"/>
                <w:b/>
                <w:color w:val="000000"/>
                <w:sz w:val="16"/>
                <w:lang w:val="en-GB"/>
              </w:rPr>
            </w:pPr>
            <w:r w:rsidRPr="009C48DA">
              <w:rPr>
                <w:rFonts w:eastAsia="Times New Roman"/>
                <w:b/>
                <w:color w:val="000000"/>
                <w:sz w:val="16"/>
                <w:lang w:val="en-GB"/>
              </w:rPr>
              <w:t>Hedging derivatives</w:t>
            </w:r>
          </w:p>
        </w:tc>
        <w:tc>
          <w:tcPr>
            <w:tcW w:w="1311" w:type="dxa"/>
            <w:vAlign w:val="bottom"/>
          </w:tcPr>
          <w:p w:rsidRPr="009C48DA" w:rsidR="00661519" w:rsidP="00661519" w:rsidRDefault="00661519" w14:paraId="2450B830" w14:textId="77777777">
            <w:pPr>
              <w:ind w:hanging="336"/>
              <w:jc w:val="right"/>
              <w:textAlignment w:val="baseline"/>
              <w:rPr>
                <w:rFonts w:eastAsia="Times New Roman"/>
                <w:b/>
                <w:color w:val="000000"/>
                <w:sz w:val="16"/>
                <w:lang w:val="en-GB"/>
              </w:rPr>
            </w:pPr>
            <w:r w:rsidRPr="009C48DA">
              <w:rPr>
                <w:rFonts w:eastAsia="Times New Roman"/>
                <w:b/>
                <w:color w:val="000000"/>
                <w:sz w:val="16"/>
                <w:lang w:val="en-GB"/>
              </w:rPr>
              <w:t>Financial assets at amortised cost</w:t>
            </w:r>
          </w:p>
        </w:tc>
        <w:tc>
          <w:tcPr>
            <w:tcW w:w="1717" w:type="dxa"/>
            <w:tcMar>
              <w:left w:w="108" w:type="dxa"/>
              <w:right w:w="108" w:type="dxa"/>
            </w:tcMar>
            <w:vAlign w:val="bottom"/>
          </w:tcPr>
          <w:p w:rsidRPr="009C48DA" w:rsidR="00661519" w:rsidP="00661519" w:rsidRDefault="00661519" w14:paraId="47B6BD23" w14:textId="77777777">
            <w:pPr>
              <w:ind w:right="534"/>
              <w:jc w:val="right"/>
              <w:textAlignment w:val="baseline"/>
              <w:rPr>
                <w:rFonts w:eastAsia="Times New Roman"/>
                <w:b/>
                <w:color w:val="000000"/>
                <w:sz w:val="16"/>
                <w:lang w:val="en-GB"/>
              </w:rPr>
            </w:pPr>
            <w:r w:rsidRPr="009C48DA">
              <w:rPr>
                <w:rFonts w:eastAsia="Times New Roman"/>
                <w:b/>
                <w:color w:val="000000"/>
                <w:sz w:val="16"/>
                <w:lang w:val="en-GB"/>
              </w:rPr>
              <w:t>Total</w:t>
            </w:r>
          </w:p>
        </w:tc>
      </w:tr>
      <w:tr w:rsidRPr="009C48DA" w:rsidR="00661519" w:rsidTr="00661519" w14:paraId="7068E95E" w14:textId="77777777">
        <w:trPr>
          <w:trHeight w:val="204"/>
        </w:trPr>
        <w:tc>
          <w:tcPr>
            <w:tcW w:w="3326" w:type="dxa"/>
            <w:vAlign w:val="bottom"/>
          </w:tcPr>
          <w:p w:rsidRPr="009C48DA" w:rsidR="00661519" w:rsidP="00661519" w:rsidRDefault="00661519" w14:paraId="5D30E045" w14:textId="77777777">
            <w:pPr>
              <w:ind w:left="156"/>
              <w:textAlignment w:val="baseline"/>
              <w:rPr>
                <w:rFonts w:eastAsia="Times New Roman"/>
                <w:b/>
                <w:color w:val="000000"/>
                <w:sz w:val="16"/>
                <w:lang w:val="en-GB"/>
              </w:rPr>
            </w:pPr>
            <w:r w:rsidRPr="009C48DA">
              <w:rPr>
                <w:rFonts w:eastAsia="Times New Roman"/>
                <w:b/>
                <w:color w:val="000000"/>
                <w:sz w:val="16"/>
                <w:lang w:val="en-GB"/>
              </w:rPr>
              <w:t>As at 31 December 2021</w:t>
            </w:r>
          </w:p>
        </w:tc>
        <w:tc>
          <w:tcPr>
            <w:tcW w:w="1407" w:type="dxa"/>
            <w:tcMar>
              <w:left w:w="108" w:type="dxa"/>
              <w:right w:w="108" w:type="dxa"/>
            </w:tcMar>
            <w:vAlign w:val="bottom"/>
          </w:tcPr>
          <w:p w:rsidRPr="009C48DA" w:rsidR="00661519" w:rsidP="00661519" w:rsidRDefault="00661519" w14:paraId="3718ACC8" w14:textId="77777777">
            <w:pPr>
              <w:ind w:right="608"/>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717" w:type="dxa"/>
            <w:tcMar>
              <w:left w:w="108" w:type="dxa"/>
              <w:right w:w="108" w:type="dxa"/>
            </w:tcMar>
            <w:vAlign w:val="bottom"/>
          </w:tcPr>
          <w:p w:rsidRPr="009C48DA" w:rsidR="00661519" w:rsidP="00661519" w:rsidRDefault="00661519" w14:paraId="48A935D8"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311" w:type="dxa"/>
          </w:tcPr>
          <w:p w:rsidRPr="009C48DA" w:rsidR="00661519" w:rsidP="00661519" w:rsidRDefault="00661519" w14:paraId="1E837A5C" w14:textId="77777777">
            <w:pPr>
              <w:ind w:right="534" w:hanging="336"/>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717" w:type="dxa"/>
            <w:tcMar>
              <w:left w:w="108" w:type="dxa"/>
              <w:right w:w="108" w:type="dxa"/>
            </w:tcMar>
            <w:vAlign w:val="bottom"/>
          </w:tcPr>
          <w:p w:rsidRPr="009C48DA" w:rsidR="00661519" w:rsidP="00661519" w:rsidRDefault="00661519" w14:paraId="34F9DB90" w14:textId="77777777">
            <w:pPr>
              <w:ind w:right="534"/>
              <w:jc w:val="right"/>
              <w:textAlignment w:val="baseline"/>
              <w:rPr>
                <w:rFonts w:eastAsia="Times New Roman"/>
                <w:b/>
                <w:color w:val="000000"/>
                <w:sz w:val="16"/>
                <w:lang w:val="en-GB"/>
              </w:rPr>
            </w:pPr>
            <w:r w:rsidRPr="009C48DA">
              <w:rPr>
                <w:rFonts w:eastAsia="Times New Roman"/>
                <w:b/>
                <w:color w:val="000000"/>
                <w:sz w:val="16"/>
                <w:lang w:val="en-GB"/>
              </w:rPr>
              <w:t>£ 000</w:t>
            </w:r>
          </w:p>
        </w:tc>
      </w:tr>
      <w:tr w:rsidRPr="009C48DA" w:rsidR="00661519" w:rsidTr="00661519" w14:paraId="2CE1F704" w14:textId="77777777">
        <w:trPr>
          <w:trHeight w:val="216"/>
        </w:trPr>
        <w:tc>
          <w:tcPr>
            <w:tcW w:w="3326" w:type="dxa"/>
            <w:vAlign w:val="bottom"/>
          </w:tcPr>
          <w:p w:rsidRPr="009C48DA" w:rsidR="00661519" w:rsidP="00661519" w:rsidRDefault="00661519" w14:paraId="03CDB4FC" w14:textId="77777777">
            <w:pPr>
              <w:ind w:left="156"/>
              <w:textAlignment w:val="baseline"/>
              <w:rPr>
                <w:rFonts w:eastAsia="Times New Roman"/>
                <w:color w:val="000000"/>
                <w:sz w:val="16"/>
                <w:lang w:val="en-GB"/>
              </w:rPr>
            </w:pPr>
            <w:r w:rsidRPr="009C48DA">
              <w:rPr>
                <w:rFonts w:eastAsia="Times New Roman"/>
                <w:color w:val="000000"/>
                <w:sz w:val="16"/>
                <w:lang w:val="en-GB"/>
              </w:rPr>
              <w:t>Fair value of fund investments</w:t>
            </w:r>
          </w:p>
        </w:tc>
        <w:tc>
          <w:tcPr>
            <w:tcW w:w="1407" w:type="dxa"/>
            <w:tcMar>
              <w:left w:w="108" w:type="dxa"/>
              <w:right w:w="108" w:type="dxa"/>
            </w:tcMar>
            <w:vAlign w:val="bottom"/>
          </w:tcPr>
          <w:p w:rsidRPr="009C48DA" w:rsidR="00661519" w:rsidP="00661519" w:rsidRDefault="00661519" w14:paraId="05A4E883"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232,933</w:t>
            </w:r>
          </w:p>
        </w:tc>
        <w:tc>
          <w:tcPr>
            <w:tcW w:w="1717" w:type="dxa"/>
            <w:tcMar>
              <w:left w:w="108" w:type="dxa"/>
              <w:right w:w="108" w:type="dxa"/>
            </w:tcMar>
            <w:vAlign w:val="bottom"/>
          </w:tcPr>
          <w:p w:rsidRPr="009C48DA" w:rsidR="00661519" w:rsidP="00661519" w:rsidRDefault="00661519" w14:paraId="2278AF93"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311" w:type="dxa"/>
          </w:tcPr>
          <w:p w:rsidRPr="009C48DA" w:rsidR="00661519" w:rsidP="00661519" w:rsidRDefault="00661519" w14:paraId="0AF466E8" w14:textId="77777777">
            <w:pP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717" w:type="dxa"/>
            <w:tcMar>
              <w:left w:w="108" w:type="dxa"/>
              <w:right w:w="108" w:type="dxa"/>
            </w:tcMar>
            <w:vAlign w:val="bottom"/>
          </w:tcPr>
          <w:p w:rsidRPr="009C48DA" w:rsidR="00661519" w:rsidP="00661519" w:rsidRDefault="00661519" w14:paraId="5D1C9737"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232,933</w:t>
            </w:r>
          </w:p>
        </w:tc>
      </w:tr>
      <w:tr w:rsidRPr="009C48DA" w:rsidR="00661519" w:rsidTr="00661519" w14:paraId="121EB79C" w14:textId="77777777">
        <w:trPr>
          <w:trHeight w:val="204"/>
        </w:trPr>
        <w:tc>
          <w:tcPr>
            <w:tcW w:w="3326" w:type="dxa"/>
            <w:vAlign w:val="bottom"/>
          </w:tcPr>
          <w:p w:rsidRPr="009C48DA" w:rsidR="00661519" w:rsidP="00661519" w:rsidRDefault="00661519" w14:paraId="73CE2CB7" w14:textId="77777777">
            <w:pPr>
              <w:ind w:left="156"/>
              <w:textAlignment w:val="baseline"/>
              <w:rPr>
                <w:rFonts w:eastAsia="Times New Roman"/>
                <w:color w:val="000000"/>
                <w:sz w:val="16"/>
                <w:lang w:val="en-GB"/>
              </w:rPr>
            </w:pPr>
            <w:r w:rsidRPr="009C48DA">
              <w:rPr>
                <w:rFonts w:eastAsia="Times New Roman"/>
                <w:color w:val="000000"/>
                <w:sz w:val="16"/>
                <w:lang w:val="en-GB"/>
              </w:rPr>
              <w:t>Fair value of CLO assets</w:t>
            </w:r>
          </w:p>
        </w:tc>
        <w:tc>
          <w:tcPr>
            <w:tcW w:w="1407" w:type="dxa"/>
            <w:tcMar>
              <w:left w:w="108" w:type="dxa"/>
              <w:right w:w="108" w:type="dxa"/>
            </w:tcMar>
            <w:vAlign w:val="bottom"/>
          </w:tcPr>
          <w:p w:rsidRPr="009C48DA" w:rsidR="00661519" w:rsidP="00661519" w:rsidRDefault="00661519" w14:paraId="479667A2"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380,534</w:t>
            </w:r>
          </w:p>
        </w:tc>
        <w:tc>
          <w:tcPr>
            <w:tcW w:w="1717" w:type="dxa"/>
            <w:tcMar>
              <w:left w:w="108" w:type="dxa"/>
              <w:right w:w="108" w:type="dxa"/>
            </w:tcMar>
            <w:vAlign w:val="bottom"/>
          </w:tcPr>
          <w:p w:rsidRPr="009C48DA" w:rsidR="00661519" w:rsidP="00661519" w:rsidRDefault="00661519" w14:paraId="70129521"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311" w:type="dxa"/>
          </w:tcPr>
          <w:p w:rsidRPr="009C48DA" w:rsidR="00661519" w:rsidP="00661519" w:rsidRDefault="00661519" w14:paraId="13F006AE" w14:textId="77777777">
            <w:pP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717" w:type="dxa"/>
            <w:tcMar>
              <w:left w:w="108" w:type="dxa"/>
              <w:right w:w="108" w:type="dxa"/>
            </w:tcMar>
            <w:vAlign w:val="bottom"/>
          </w:tcPr>
          <w:p w:rsidRPr="009C48DA" w:rsidR="00661519" w:rsidP="00661519" w:rsidRDefault="00661519" w14:paraId="7A3D0611"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380,534</w:t>
            </w:r>
          </w:p>
        </w:tc>
      </w:tr>
      <w:tr w:rsidRPr="009C48DA" w:rsidR="00661519" w:rsidTr="00661519" w14:paraId="4F73CBE4" w14:textId="77777777">
        <w:trPr>
          <w:trHeight w:val="204"/>
        </w:trPr>
        <w:tc>
          <w:tcPr>
            <w:tcW w:w="3326" w:type="dxa"/>
            <w:vAlign w:val="bottom"/>
          </w:tcPr>
          <w:p w:rsidRPr="009C48DA" w:rsidR="00661519" w:rsidP="00661519" w:rsidRDefault="00661519" w14:paraId="3F7691D8" w14:textId="77777777">
            <w:pPr>
              <w:ind w:left="156"/>
              <w:textAlignment w:val="baseline"/>
              <w:rPr>
                <w:rFonts w:eastAsia="Times New Roman"/>
                <w:color w:val="000000"/>
                <w:sz w:val="16"/>
                <w:lang w:val="en-GB"/>
              </w:rPr>
            </w:pPr>
            <w:r w:rsidRPr="009C48DA">
              <w:rPr>
                <w:rFonts w:eastAsia="Times New Roman"/>
                <w:color w:val="000000"/>
                <w:sz w:val="16"/>
                <w:lang w:val="en-GB"/>
              </w:rPr>
              <w:t>Trade and other receivables</w:t>
            </w:r>
          </w:p>
        </w:tc>
        <w:tc>
          <w:tcPr>
            <w:tcW w:w="1407" w:type="dxa"/>
            <w:tcMar>
              <w:left w:w="108" w:type="dxa"/>
              <w:right w:w="108" w:type="dxa"/>
            </w:tcMar>
            <w:vAlign w:val="bottom"/>
          </w:tcPr>
          <w:p w:rsidRPr="009C48DA" w:rsidR="00661519" w:rsidP="00661519" w:rsidRDefault="00661519" w14:paraId="42C5F1D2"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717" w:type="dxa"/>
            <w:tcMar>
              <w:left w:w="108" w:type="dxa"/>
              <w:right w:w="108" w:type="dxa"/>
            </w:tcMar>
            <w:vAlign w:val="bottom"/>
          </w:tcPr>
          <w:p w:rsidRPr="009C48DA" w:rsidR="00661519" w:rsidP="00661519" w:rsidRDefault="00661519" w14:paraId="3EDAE3C6"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311" w:type="dxa"/>
          </w:tcPr>
          <w:p w:rsidRPr="009C48DA" w:rsidR="00661519" w:rsidP="00661519" w:rsidRDefault="00661519" w14:paraId="6E60FEA4" w14:textId="77777777">
            <w:pP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177,842</w:t>
            </w:r>
          </w:p>
        </w:tc>
        <w:tc>
          <w:tcPr>
            <w:tcW w:w="1717" w:type="dxa"/>
            <w:tcMar>
              <w:left w:w="108" w:type="dxa"/>
              <w:right w:w="108" w:type="dxa"/>
            </w:tcMar>
            <w:vAlign w:val="bottom"/>
          </w:tcPr>
          <w:p w:rsidRPr="009C48DA" w:rsidR="00661519" w:rsidP="00661519" w:rsidRDefault="00661519" w14:paraId="1A15C002"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177,842</w:t>
            </w:r>
          </w:p>
        </w:tc>
      </w:tr>
      <w:tr w:rsidRPr="009C48DA" w:rsidR="00661519" w:rsidTr="00661519" w14:paraId="45F4256B" w14:textId="77777777">
        <w:trPr>
          <w:trHeight w:val="204"/>
        </w:trPr>
        <w:tc>
          <w:tcPr>
            <w:tcW w:w="3326" w:type="dxa"/>
            <w:vAlign w:val="bottom"/>
          </w:tcPr>
          <w:p w:rsidRPr="009C48DA" w:rsidR="00661519" w:rsidP="00661519" w:rsidRDefault="00661519" w14:paraId="2861C864" w14:textId="77777777">
            <w:pPr>
              <w:ind w:left="156"/>
              <w:textAlignment w:val="baseline"/>
              <w:rPr>
                <w:rFonts w:eastAsia="Times New Roman"/>
                <w:color w:val="000000"/>
                <w:sz w:val="16"/>
                <w:lang w:val="en-GB"/>
              </w:rPr>
            </w:pPr>
            <w:r w:rsidRPr="009C48DA">
              <w:rPr>
                <w:rFonts w:eastAsia="Times New Roman"/>
                <w:color w:val="000000"/>
                <w:sz w:val="16"/>
                <w:lang w:val="en-GB"/>
              </w:rPr>
              <w:t>Derivative financial instruments</w:t>
            </w:r>
          </w:p>
        </w:tc>
        <w:tc>
          <w:tcPr>
            <w:tcW w:w="1407" w:type="dxa"/>
            <w:tcMar>
              <w:left w:w="108" w:type="dxa"/>
              <w:right w:w="108" w:type="dxa"/>
            </w:tcMar>
            <w:vAlign w:val="bottom"/>
          </w:tcPr>
          <w:p w:rsidRPr="009C48DA" w:rsidR="00661519" w:rsidP="00661519" w:rsidRDefault="00661519" w14:paraId="4A5160A5"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717" w:type="dxa"/>
            <w:tcMar>
              <w:left w:w="108" w:type="dxa"/>
              <w:right w:w="108" w:type="dxa"/>
            </w:tcMar>
            <w:vAlign w:val="bottom"/>
          </w:tcPr>
          <w:p w:rsidRPr="009C48DA" w:rsidR="00661519" w:rsidP="00661519" w:rsidRDefault="00661519" w14:paraId="2EF57C40"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5,841</w:t>
            </w:r>
          </w:p>
        </w:tc>
        <w:tc>
          <w:tcPr>
            <w:tcW w:w="1311" w:type="dxa"/>
          </w:tcPr>
          <w:p w:rsidRPr="009C48DA" w:rsidR="00661519" w:rsidP="00661519" w:rsidRDefault="00661519" w14:paraId="1AAC62B8" w14:textId="77777777">
            <w:pP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717" w:type="dxa"/>
            <w:tcMar>
              <w:left w:w="108" w:type="dxa"/>
              <w:right w:w="108" w:type="dxa"/>
            </w:tcMar>
            <w:vAlign w:val="bottom"/>
          </w:tcPr>
          <w:p w:rsidRPr="009C48DA" w:rsidR="00661519" w:rsidP="00661519" w:rsidRDefault="00661519" w14:paraId="6253DA8C"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5,841</w:t>
            </w:r>
          </w:p>
        </w:tc>
      </w:tr>
      <w:tr w:rsidRPr="009C48DA" w:rsidR="00661519" w:rsidTr="00661519" w14:paraId="0453DF0F" w14:textId="77777777">
        <w:trPr>
          <w:trHeight w:val="204"/>
        </w:trPr>
        <w:tc>
          <w:tcPr>
            <w:tcW w:w="3326" w:type="dxa"/>
            <w:vAlign w:val="bottom"/>
          </w:tcPr>
          <w:p w:rsidRPr="009C48DA" w:rsidR="00661519" w:rsidP="00661519" w:rsidRDefault="00661519" w14:paraId="424C5DAD" w14:textId="77777777">
            <w:pPr>
              <w:ind w:left="156"/>
              <w:textAlignment w:val="baseline"/>
              <w:rPr>
                <w:rFonts w:eastAsia="Times New Roman"/>
                <w:color w:val="000000"/>
                <w:sz w:val="16"/>
                <w:lang w:val="en-GB"/>
              </w:rPr>
            </w:pPr>
            <w:r w:rsidRPr="009C48DA">
              <w:rPr>
                <w:rFonts w:eastAsia="Times New Roman"/>
                <w:color w:val="000000"/>
                <w:sz w:val="16"/>
                <w:lang w:val="en-GB"/>
              </w:rPr>
              <w:t>Cash and cash equivalents</w:t>
            </w:r>
          </w:p>
        </w:tc>
        <w:tc>
          <w:tcPr>
            <w:tcW w:w="1407" w:type="dxa"/>
            <w:tcMar>
              <w:left w:w="108" w:type="dxa"/>
              <w:right w:w="108" w:type="dxa"/>
            </w:tcMar>
            <w:vAlign w:val="bottom"/>
          </w:tcPr>
          <w:p w:rsidRPr="009C48DA" w:rsidR="00661519" w:rsidP="00661519" w:rsidRDefault="00661519" w14:paraId="06B28D98"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717" w:type="dxa"/>
            <w:tcMar>
              <w:left w:w="108" w:type="dxa"/>
              <w:right w:w="108" w:type="dxa"/>
            </w:tcMar>
            <w:vAlign w:val="bottom"/>
          </w:tcPr>
          <w:p w:rsidRPr="009C48DA" w:rsidR="00661519" w:rsidP="00661519" w:rsidRDefault="00661519" w14:paraId="0AEEA83C"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311" w:type="dxa"/>
            <w:vAlign w:val="center"/>
          </w:tcPr>
          <w:p w:rsidRPr="009C48DA" w:rsidR="00661519" w:rsidP="00661519" w:rsidRDefault="00661519" w14:paraId="00B8B920" w14:textId="77777777">
            <w:pP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67,762</w:t>
            </w:r>
          </w:p>
        </w:tc>
        <w:tc>
          <w:tcPr>
            <w:tcW w:w="1717" w:type="dxa"/>
            <w:tcMar>
              <w:left w:w="108" w:type="dxa"/>
              <w:right w:w="108" w:type="dxa"/>
            </w:tcMar>
            <w:vAlign w:val="bottom"/>
          </w:tcPr>
          <w:p w:rsidRPr="009C48DA" w:rsidR="00661519" w:rsidP="00661519" w:rsidRDefault="00661519" w14:paraId="49A2C45C" w14:textId="77777777">
            <w:pPr>
              <w:spacing w:before="60"/>
              <w:ind w:right="38"/>
              <w:jc w:val="right"/>
              <w:textAlignment w:val="baseline"/>
              <w:rPr>
                <w:rFonts w:eastAsia="Times New Roman"/>
                <w:color w:val="000000"/>
                <w:sz w:val="16"/>
                <w:lang w:val="en-GB"/>
              </w:rPr>
            </w:pPr>
            <w:r w:rsidRPr="009C48DA">
              <w:rPr>
                <w:rFonts w:eastAsia="Times New Roman"/>
                <w:color w:val="000000"/>
                <w:sz w:val="16"/>
                <w:lang w:val="en-GB"/>
              </w:rPr>
              <w:t>67,762</w:t>
            </w:r>
          </w:p>
        </w:tc>
      </w:tr>
      <w:tr w:rsidRPr="009C48DA" w:rsidR="00661519" w:rsidTr="00661519" w14:paraId="36448A8A" w14:textId="77777777">
        <w:trPr>
          <w:trHeight w:val="240"/>
        </w:trPr>
        <w:tc>
          <w:tcPr>
            <w:tcW w:w="3326" w:type="dxa"/>
            <w:vAlign w:val="bottom"/>
          </w:tcPr>
          <w:p w:rsidRPr="009C48DA" w:rsidR="00661519" w:rsidP="00661519" w:rsidRDefault="00661519" w14:paraId="20A0F507" w14:textId="77777777">
            <w:pPr>
              <w:ind w:left="156"/>
              <w:textAlignment w:val="baseline"/>
              <w:rPr>
                <w:rFonts w:eastAsia="Times New Roman"/>
                <w:color w:val="000000"/>
                <w:sz w:val="16"/>
                <w:lang w:val="en-GB"/>
              </w:rPr>
            </w:pPr>
            <w:r w:rsidRPr="009C48DA">
              <w:rPr>
                <w:rFonts w:eastAsia="Times New Roman"/>
                <w:color w:val="000000"/>
                <w:sz w:val="16"/>
                <w:lang w:val="en-GB"/>
              </w:rPr>
              <w:t>CLO cash</w:t>
            </w:r>
          </w:p>
        </w:tc>
        <w:tc>
          <w:tcPr>
            <w:tcW w:w="1407" w:type="dxa"/>
            <w:tcMar>
              <w:left w:w="108" w:type="dxa"/>
              <w:right w:w="108" w:type="dxa"/>
            </w:tcMar>
            <w:vAlign w:val="bottom"/>
          </w:tcPr>
          <w:p w:rsidRPr="009C48DA" w:rsidR="00661519" w:rsidP="00661519" w:rsidRDefault="00661519" w14:paraId="59E4D852" w14:textId="77777777">
            <w:pPr>
              <w:pBdr>
                <w:bottom w:val="sing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717" w:type="dxa"/>
            <w:tcMar>
              <w:left w:w="108" w:type="dxa"/>
              <w:right w:w="108" w:type="dxa"/>
            </w:tcMar>
            <w:vAlign w:val="bottom"/>
          </w:tcPr>
          <w:p w:rsidRPr="009C48DA" w:rsidR="00661519" w:rsidP="00661519" w:rsidRDefault="00661519" w14:paraId="3B4BA645" w14:textId="77777777">
            <w:pPr>
              <w:pBdr>
                <w:bottom w:val="sing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w:t>
            </w:r>
          </w:p>
        </w:tc>
        <w:tc>
          <w:tcPr>
            <w:tcW w:w="1311" w:type="dxa"/>
            <w:vAlign w:val="center"/>
          </w:tcPr>
          <w:p w:rsidRPr="009C48DA" w:rsidR="00661519" w:rsidP="00661519" w:rsidRDefault="00661519" w14:paraId="60366ECB" w14:textId="77777777">
            <w:pPr>
              <w:pBdr>
                <w:bottom w:val="single" w:color="auto" w:sz="12" w:space="1"/>
              </w:pBd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59,976</w:t>
            </w:r>
          </w:p>
        </w:tc>
        <w:tc>
          <w:tcPr>
            <w:tcW w:w="1717" w:type="dxa"/>
            <w:tcMar>
              <w:left w:w="108" w:type="dxa"/>
              <w:right w:w="108" w:type="dxa"/>
            </w:tcMar>
            <w:vAlign w:val="bottom"/>
          </w:tcPr>
          <w:p w:rsidRPr="009C48DA" w:rsidR="00661519" w:rsidP="00661519" w:rsidRDefault="00661519" w14:paraId="234557C3" w14:textId="77777777">
            <w:pPr>
              <w:pBdr>
                <w:bottom w:val="sing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59,976</w:t>
            </w:r>
          </w:p>
        </w:tc>
      </w:tr>
      <w:tr w:rsidRPr="009C48DA" w:rsidR="00661519" w:rsidTr="00661519" w14:paraId="2C0755CD" w14:textId="77777777">
        <w:trPr>
          <w:trHeight w:val="339"/>
        </w:trPr>
        <w:tc>
          <w:tcPr>
            <w:tcW w:w="3326" w:type="dxa"/>
            <w:vAlign w:val="bottom"/>
          </w:tcPr>
          <w:p w:rsidRPr="009C48DA" w:rsidR="00661519" w:rsidP="00661519" w:rsidRDefault="00661519" w14:paraId="7E839A88" w14:textId="77777777">
            <w:pPr>
              <w:ind w:left="156"/>
              <w:textAlignment w:val="baseline"/>
              <w:rPr>
                <w:rFonts w:eastAsia="Times New Roman"/>
                <w:b/>
                <w:color w:val="000000"/>
                <w:sz w:val="16"/>
                <w:lang w:val="en-GB"/>
              </w:rPr>
            </w:pPr>
            <w:r w:rsidRPr="009C48DA">
              <w:rPr>
                <w:rFonts w:eastAsia="Times New Roman"/>
                <w:b/>
                <w:color w:val="000000"/>
                <w:sz w:val="16"/>
                <w:lang w:val="en-GB"/>
              </w:rPr>
              <w:t>Total financial assets</w:t>
            </w:r>
          </w:p>
        </w:tc>
        <w:tc>
          <w:tcPr>
            <w:tcW w:w="1407" w:type="dxa"/>
            <w:tcMar>
              <w:left w:w="108" w:type="dxa"/>
              <w:right w:w="108" w:type="dxa"/>
            </w:tcMar>
            <w:vAlign w:val="bottom"/>
          </w:tcPr>
          <w:p w:rsidRPr="009C48DA" w:rsidR="00661519" w:rsidP="00661519" w:rsidRDefault="00661519" w14:paraId="19CC61C6" w14:textId="77777777">
            <w:pPr>
              <w:pBdr>
                <w:bottom w:val="doub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613,467</w:t>
            </w:r>
          </w:p>
        </w:tc>
        <w:tc>
          <w:tcPr>
            <w:tcW w:w="1717" w:type="dxa"/>
            <w:tcMar>
              <w:left w:w="108" w:type="dxa"/>
              <w:right w:w="108" w:type="dxa"/>
            </w:tcMar>
            <w:vAlign w:val="bottom"/>
          </w:tcPr>
          <w:p w:rsidRPr="009C48DA" w:rsidR="00661519" w:rsidP="00661519" w:rsidRDefault="00661519" w14:paraId="50CFA0E7" w14:textId="77777777">
            <w:pPr>
              <w:pBdr>
                <w:bottom w:val="doub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5,841</w:t>
            </w:r>
          </w:p>
        </w:tc>
        <w:tc>
          <w:tcPr>
            <w:tcW w:w="1311" w:type="dxa"/>
            <w:vAlign w:val="bottom"/>
          </w:tcPr>
          <w:p w:rsidRPr="009C48DA" w:rsidR="00661519" w:rsidP="00661519" w:rsidRDefault="00661519" w14:paraId="485C8BB1" w14:textId="77777777">
            <w:pPr>
              <w:pBdr>
                <w:bottom w:val="double" w:color="auto" w:sz="12" w:space="1"/>
              </w:pBdr>
              <w:spacing w:before="60"/>
              <w:ind w:right="38" w:hanging="336"/>
              <w:jc w:val="right"/>
              <w:textAlignment w:val="baseline"/>
              <w:rPr>
                <w:rFonts w:eastAsia="Times New Roman"/>
                <w:color w:val="000000"/>
                <w:sz w:val="16"/>
                <w:lang w:val="en-GB"/>
              </w:rPr>
            </w:pPr>
            <w:r w:rsidRPr="009C48DA">
              <w:rPr>
                <w:rFonts w:eastAsia="Times New Roman"/>
                <w:color w:val="000000"/>
                <w:sz w:val="16"/>
                <w:lang w:val="en-GB"/>
              </w:rPr>
              <w:t>305,580</w:t>
            </w:r>
          </w:p>
        </w:tc>
        <w:tc>
          <w:tcPr>
            <w:tcW w:w="1717" w:type="dxa"/>
            <w:tcMar>
              <w:left w:w="108" w:type="dxa"/>
              <w:right w:w="108" w:type="dxa"/>
            </w:tcMar>
            <w:vAlign w:val="bottom"/>
          </w:tcPr>
          <w:p w:rsidRPr="009C48DA" w:rsidR="00661519" w:rsidP="00661519" w:rsidRDefault="00661519" w14:paraId="2167F3F9" w14:textId="77777777">
            <w:pPr>
              <w:pBdr>
                <w:bottom w:val="double" w:color="auto" w:sz="12" w:space="1"/>
              </w:pBdr>
              <w:spacing w:before="60"/>
              <w:ind w:right="38"/>
              <w:jc w:val="right"/>
              <w:textAlignment w:val="baseline"/>
              <w:rPr>
                <w:rFonts w:eastAsia="Times New Roman"/>
                <w:color w:val="000000"/>
                <w:sz w:val="16"/>
                <w:lang w:val="en-GB"/>
              </w:rPr>
            </w:pPr>
            <w:r w:rsidRPr="009C48DA">
              <w:rPr>
                <w:rFonts w:eastAsia="Times New Roman"/>
                <w:color w:val="000000"/>
                <w:sz w:val="16"/>
                <w:lang w:val="en-GB"/>
              </w:rPr>
              <w:t>924,888</w:t>
            </w:r>
          </w:p>
        </w:tc>
      </w:tr>
    </w:tbl>
    <w:p w:rsidRPr="009C48DA" w:rsidR="00661519" w:rsidP="00661519" w:rsidRDefault="00661519" w14:paraId="307351BF" w14:textId="77777777">
      <w:pPr>
        <w:ind w:right="74"/>
        <w:jc w:val="both"/>
        <w:textAlignment w:val="baseline"/>
        <w:rPr>
          <w:rFonts w:eastAsia="Times New Roman" w:cs="Times New Roman"/>
          <w:b/>
          <w:color w:val="000000"/>
          <w:sz w:val="16"/>
          <w:szCs w:val="22"/>
          <w:lang w:val="en-GB"/>
        </w:rPr>
      </w:pPr>
    </w:p>
    <w:p w:rsidRPr="009C48DA" w:rsidR="00661519" w:rsidP="00661519" w:rsidRDefault="00661519" w14:paraId="5313CFAC" w14:textId="77777777">
      <w:pPr>
        <w:rPr>
          <w:rFonts w:eastAsia="Times New Roman" w:cs="Times New Roman"/>
          <w:b/>
          <w:color w:val="000000"/>
          <w:sz w:val="16"/>
          <w:szCs w:val="22"/>
          <w:lang w:val="en-GB"/>
        </w:rPr>
      </w:pPr>
      <w:r w:rsidRPr="009C48DA">
        <w:rPr>
          <w:rFonts w:eastAsia="Times New Roman" w:cs="Times New Roman"/>
          <w:b/>
          <w:color w:val="000000"/>
          <w:sz w:val="16"/>
          <w:szCs w:val="22"/>
          <w:lang w:val="en-GB"/>
        </w:rPr>
        <w:br w:type="page"/>
      </w:r>
    </w:p>
    <w:p w:rsidRPr="009C48DA" w:rsidR="00661519" w:rsidP="00661519" w:rsidRDefault="00661519" w14:paraId="3A12D7AC" w14:textId="77777777">
      <w:pPr>
        <w:ind w:right="74"/>
        <w:jc w:val="both"/>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lastRenderedPageBreak/>
        <w:t>(b)</w:t>
      </w:r>
      <w:r w:rsidRPr="009C48DA">
        <w:rPr>
          <w:rFonts w:eastAsia="Times New Roman" w:cs="Times New Roman"/>
          <w:b/>
          <w:color w:val="000000"/>
          <w:sz w:val="16"/>
          <w:szCs w:val="22"/>
          <w:lang w:val="en-GB"/>
        </w:rPr>
        <w:tab/>
        <w:t>Fair value of fund investments</w:t>
      </w:r>
    </w:p>
    <w:p w:rsidRPr="009C48DA" w:rsidR="00661519" w:rsidP="00661519" w:rsidRDefault="00661519" w14:paraId="7FE8A152" w14:textId="77777777">
      <w:pPr>
        <w:spacing w:before="105" w:line="182" w:lineRule="exact"/>
        <w:jc w:val="both"/>
        <w:textAlignment w:val="baseline"/>
        <w:rPr>
          <w:rFonts w:eastAsia="Times New Roman"/>
          <w:color w:val="000000"/>
          <w:sz w:val="16"/>
          <w:lang w:val="en-GB"/>
        </w:rPr>
      </w:pPr>
      <w:r w:rsidRPr="009C48DA">
        <w:rPr>
          <w:rFonts w:eastAsia="Times New Roman"/>
          <w:color w:val="000000"/>
          <w:sz w:val="16"/>
          <w:lang w:val="en-GB"/>
        </w:rPr>
        <w:t xml:space="preserve">Investments representing the Group’s interests in private equity and credit funds are initially recognised at fair value and subsequently </w:t>
      </w:r>
      <w:r w:rsidRPr="009C48DA">
        <w:rPr>
          <w:rFonts w:eastAsia="Times New Roman"/>
          <w:color w:val="000000"/>
          <w:sz w:val="16"/>
          <w:lang w:val="en-GB"/>
        </w:rPr>
        <w:br/>
        <w:t>measured at fair value through the Income Statement within operating income.</w:t>
      </w:r>
    </w:p>
    <w:p w:rsidRPr="009C48DA" w:rsidR="00661519" w:rsidP="00661519" w:rsidRDefault="00661519" w14:paraId="1A81BDB4" w14:textId="77777777">
      <w:pPr>
        <w:spacing w:before="105" w:line="182" w:lineRule="exact"/>
        <w:jc w:val="both"/>
        <w:textAlignment w:val="baseline"/>
        <w:rPr>
          <w:rFonts w:eastAsia="Times New Roman"/>
          <w:color w:val="000000"/>
          <w:sz w:val="16"/>
          <w:lang w:val="en-GB"/>
        </w:rPr>
      </w:pPr>
      <w:r w:rsidRPr="009C48DA">
        <w:rPr>
          <w:rFonts w:eastAsia="Times New Roman"/>
          <w:color w:val="000000"/>
          <w:sz w:val="16"/>
          <w:lang w:val="en-GB"/>
        </w:rPr>
        <w:t xml:space="preserve">The investments primarily consist of loans or commitments made in relation to the Bridgepoint VI, V and III private equity funds, the </w:t>
      </w:r>
      <w:r w:rsidRPr="009C48DA">
        <w:rPr>
          <w:rFonts w:eastAsia="Times New Roman"/>
          <w:color w:val="000000"/>
          <w:sz w:val="16"/>
          <w:lang w:val="en-GB"/>
        </w:rPr>
        <w:br/>
        <w:t>Bridgepoint Credit I, II, Direct Lending I, II and Credit Opportunities III funds.</w:t>
      </w:r>
    </w:p>
    <w:p w:rsidRPr="009C48DA" w:rsidR="00661519" w:rsidP="00661519" w:rsidRDefault="00661519" w14:paraId="7E57600E" w14:textId="77777777">
      <w:pPr>
        <w:spacing w:before="105" w:line="182" w:lineRule="exact"/>
        <w:jc w:val="both"/>
        <w:textAlignment w:val="baseline"/>
        <w:rPr>
          <w:rFonts w:eastAsia="Times New Roman"/>
          <w:color w:val="000000"/>
          <w:sz w:val="16"/>
          <w:lang w:val="en-GB"/>
        </w:rPr>
      </w:pPr>
    </w:p>
    <w:p w:rsidRPr="009C48DA" w:rsidR="00661519" w:rsidP="00661519" w:rsidRDefault="00661519" w14:paraId="790CE5BB" w14:textId="77777777">
      <w:pPr>
        <w:ind w:right="74"/>
        <w:jc w:val="both"/>
        <w:textAlignment w:val="baseline"/>
        <w:rPr>
          <w:rFonts w:eastAsia="Times New Roman"/>
          <w:color w:val="000000"/>
          <w:sz w:val="16"/>
          <w:lang w:val="en-GB"/>
        </w:rPr>
      </w:pPr>
      <w:r w:rsidRPr="009C48DA">
        <w:rPr>
          <w:rFonts w:eastAsia="Times New Roman"/>
          <w:color w:val="000000"/>
          <w:sz w:val="16"/>
          <w:lang w:val="en-GB"/>
        </w:rPr>
        <w:t xml:space="preserve">The fund investments are measured at a fair value through profit or loss as the business model of each vehicle is to manage the assets and to evaluate their performance on a fair value basis. </w:t>
      </w:r>
    </w:p>
    <w:p w:rsidRPr="009C48DA" w:rsidR="00661519" w:rsidP="00661519" w:rsidRDefault="00661519" w14:paraId="7ED61F74" w14:textId="77777777">
      <w:pPr>
        <w:ind w:right="74"/>
        <w:jc w:val="both"/>
        <w:textAlignment w:val="baseline"/>
        <w:rPr>
          <w:rFonts w:eastAsia="Times New Roman"/>
          <w:color w:val="000000"/>
          <w:sz w:val="16"/>
          <w:lang w:val="en-GB"/>
        </w:rPr>
      </w:pPr>
    </w:p>
    <w:p w:rsidRPr="009C48DA" w:rsidR="00661519" w:rsidP="00661519" w:rsidRDefault="00661519" w14:paraId="45EFD8DA" w14:textId="3E2212E4">
      <w:pPr>
        <w:ind w:right="74"/>
        <w:jc w:val="both"/>
        <w:textAlignment w:val="baseline"/>
        <w:rPr>
          <w:rFonts w:eastAsia="Times New Roman"/>
          <w:color w:val="000000"/>
          <w:sz w:val="16"/>
          <w:lang w:val="en-GB"/>
        </w:rPr>
      </w:pPr>
      <w:r w:rsidRPr="009C48DA">
        <w:rPr>
          <w:rFonts w:eastAsia="Times New Roman"/>
          <w:color w:val="000000"/>
          <w:sz w:val="16"/>
          <w:lang w:val="en-GB"/>
        </w:rPr>
        <w:t>Additions in the year ended 31 December 2020 include the acquisition of fund interests from EQT (£3.0m) in relation to EQT Credit.</w:t>
      </w: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36"/>
        <w:gridCol w:w="1275"/>
        <w:gridCol w:w="1276"/>
        <w:gridCol w:w="1276"/>
        <w:gridCol w:w="1276"/>
      </w:tblGrid>
      <w:tr w:rsidRPr="009C48DA" w:rsidR="00661519" w:rsidTr="00661519" w14:paraId="5553014E" w14:textId="77777777">
        <w:tc>
          <w:tcPr>
            <w:tcW w:w="3936" w:type="dxa"/>
            <w:vAlign w:val="bottom"/>
          </w:tcPr>
          <w:p w:rsidRPr="009C48DA" w:rsidR="00661519" w:rsidP="00661519" w:rsidRDefault="00661519" w14:paraId="1D5EF10C" w14:textId="77777777">
            <w:pPr>
              <w:jc w:val="both"/>
              <w:textAlignment w:val="baseline"/>
              <w:rPr>
                <w:rFonts w:eastAsia="Times New Roman"/>
                <w:b/>
                <w:color w:val="000000"/>
                <w:sz w:val="16"/>
                <w:szCs w:val="16"/>
                <w:lang w:val="en-GB"/>
              </w:rPr>
            </w:pPr>
          </w:p>
        </w:tc>
        <w:tc>
          <w:tcPr>
            <w:tcW w:w="3827" w:type="dxa"/>
            <w:gridSpan w:val="3"/>
            <w:vAlign w:val="bottom"/>
          </w:tcPr>
          <w:p w:rsidRPr="009C48DA" w:rsidR="00661519" w:rsidP="00661519" w:rsidRDefault="00661519" w14:paraId="5E5228A2"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Year ended 31 December</w:t>
            </w:r>
          </w:p>
        </w:tc>
        <w:tc>
          <w:tcPr>
            <w:tcW w:w="1276" w:type="dxa"/>
            <w:vAlign w:val="bottom"/>
          </w:tcPr>
          <w:p w:rsidRPr="009C48DA" w:rsidR="00661519" w:rsidP="00661519" w:rsidRDefault="00661519" w14:paraId="10EDAF70"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Three month</w:t>
            </w:r>
          </w:p>
          <w:p w:rsidRPr="009C48DA" w:rsidR="00661519" w:rsidP="00661519" w:rsidRDefault="00661519" w14:paraId="09701456"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period ended</w:t>
            </w:r>
          </w:p>
          <w:p w:rsidRPr="009C48DA" w:rsidR="00661519" w:rsidP="00661519" w:rsidRDefault="00661519" w14:paraId="2BC8E702"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0FF3AFFB" w14:textId="77777777">
        <w:tc>
          <w:tcPr>
            <w:tcW w:w="3936" w:type="dxa"/>
            <w:vAlign w:val="bottom"/>
          </w:tcPr>
          <w:p w:rsidRPr="009C48DA" w:rsidR="00661519" w:rsidP="00661519" w:rsidRDefault="00661519" w14:paraId="6C65F569" w14:textId="77777777">
            <w:pPr>
              <w:jc w:val="both"/>
              <w:textAlignment w:val="baseline"/>
              <w:rPr>
                <w:rFonts w:eastAsia="Times New Roman"/>
                <w:b/>
                <w:color w:val="000000"/>
                <w:sz w:val="16"/>
                <w:lang w:val="en-GB"/>
              </w:rPr>
            </w:pPr>
          </w:p>
        </w:tc>
        <w:tc>
          <w:tcPr>
            <w:tcW w:w="1275" w:type="dxa"/>
            <w:vAlign w:val="bottom"/>
          </w:tcPr>
          <w:p w:rsidRPr="009C48DA" w:rsidR="00661519" w:rsidP="00661519" w:rsidRDefault="00661519" w14:paraId="1E84A273"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6158DF6E"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29806E02"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3F08FD8C"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56F3ADE3"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5D62C8FC"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31C55E7D"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7BC6AD4F"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19E90FDA" w14:textId="77777777">
        <w:tc>
          <w:tcPr>
            <w:tcW w:w="3936" w:type="dxa"/>
            <w:vAlign w:val="bottom"/>
          </w:tcPr>
          <w:p w:rsidRPr="009C48DA" w:rsidR="00661519" w:rsidP="00661519" w:rsidRDefault="00661519" w14:paraId="12B2E277" w14:textId="77777777">
            <w:pPr>
              <w:jc w:val="both"/>
              <w:textAlignment w:val="baseline"/>
              <w:rPr>
                <w:rFonts w:eastAsia="Times New Roman"/>
                <w:b/>
                <w:color w:val="000000"/>
                <w:sz w:val="16"/>
                <w:lang w:val="en-GB"/>
              </w:rPr>
            </w:pPr>
            <w:r w:rsidRPr="009C48DA">
              <w:rPr>
                <w:rFonts w:eastAsia="Times New Roman"/>
                <w:b/>
                <w:color w:val="000000"/>
                <w:sz w:val="16"/>
                <w:lang w:val="en-GB"/>
              </w:rPr>
              <w:t>Opening balance</w:t>
            </w:r>
          </w:p>
        </w:tc>
        <w:tc>
          <w:tcPr>
            <w:tcW w:w="1275" w:type="dxa"/>
            <w:vAlign w:val="center"/>
          </w:tcPr>
          <w:p w:rsidRPr="009C48DA" w:rsidR="00661519" w:rsidP="00661519" w:rsidRDefault="00661519" w14:paraId="73A69E22" w14:textId="77777777">
            <w:pPr>
              <w:jc w:val="right"/>
              <w:textAlignment w:val="baseline"/>
              <w:rPr>
                <w:rFonts w:eastAsia="Times New Roman"/>
                <w:color w:val="000000"/>
                <w:sz w:val="16"/>
                <w:lang w:val="en-GB"/>
              </w:rPr>
            </w:pPr>
            <w:r w:rsidRPr="009C48DA">
              <w:rPr>
                <w:rFonts w:eastAsia="Times New Roman"/>
                <w:color w:val="000000"/>
                <w:sz w:val="16"/>
                <w:lang w:val="en-GB"/>
              </w:rPr>
              <w:t>102,078</w:t>
            </w:r>
          </w:p>
        </w:tc>
        <w:tc>
          <w:tcPr>
            <w:tcW w:w="1276" w:type="dxa"/>
            <w:vAlign w:val="center"/>
          </w:tcPr>
          <w:p w:rsidRPr="009C48DA" w:rsidR="00661519" w:rsidP="00661519" w:rsidRDefault="00661519" w14:paraId="5A0D7350" w14:textId="77777777">
            <w:pPr>
              <w:jc w:val="right"/>
              <w:textAlignment w:val="baseline"/>
              <w:rPr>
                <w:rFonts w:eastAsia="Times New Roman"/>
                <w:color w:val="000000"/>
                <w:sz w:val="16"/>
                <w:lang w:val="en-GB"/>
              </w:rPr>
            </w:pPr>
            <w:r w:rsidRPr="009C48DA">
              <w:rPr>
                <w:rFonts w:eastAsia="Times New Roman"/>
                <w:color w:val="000000"/>
                <w:sz w:val="16"/>
                <w:lang w:val="en-GB"/>
              </w:rPr>
              <w:t>125,497</w:t>
            </w:r>
          </w:p>
        </w:tc>
        <w:tc>
          <w:tcPr>
            <w:tcW w:w="1276" w:type="dxa"/>
            <w:vAlign w:val="center"/>
          </w:tcPr>
          <w:p w:rsidRPr="009C48DA" w:rsidR="00661519" w:rsidP="00661519" w:rsidRDefault="00661519" w14:paraId="510DB2BB" w14:textId="77777777">
            <w:pPr>
              <w:jc w:val="right"/>
              <w:textAlignment w:val="baseline"/>
              <w:rPr>
                <w:rFonts w:eastAsia="Times New Roman"/>
                <w:color w:val="000000"/>
                <w:sz w:val="16"/>
                <w:lang w:val="en-GB"/>
              </w:rPr>
            </w:pPr>
            <w:r w:rsidRPr="009C48DA">
              <w:rPr>
                <w:rFonts w:eastAsia="Times New Roman"/>
                <w:color w:val="000000"/>
                <w:sz w:val="16"/>
                <w:lang w:val="en-GB"/>
              </w:rPr>
              <w:t>206,079</w:t>
            </w:r>
          </w:p>
        </w:tc>
        <w:tc>
          <w:tcPr>
            <w:tcW w:w="1276" w:type="dxa"/>
            <w:vAlign w:val="center"/>
          </w:tcPr>
          <w:p w:rsidRPr="009C48DA" w:rsidR="00661519" w:rsidP="00661519" w:rsidRDefault="00661519" w14:paraId="158E94A4" w14:textId="77777777">
            <w:pPr>
              <w:jc w:val="right"/>
              <w:textAlignment w:val="baseline"/>
              <w:rPr>
                <w:rFonts w:eastAsia="Times New Roman"/>
                <w:color w:val="000000"/>
                <w:sz w:val="16"/>
                <w:lang w:val="en-GB"/>
              </w:rPr>
            </w:pPr>
            <w:r w:rsidRPr="009C48DA">
              <w:rPr>
                <w:rFonts w:eastAsia="Times New Roman"/>
                <w:color w:val="000000"/>
                <w:sz w:val="16"/>
                <w:lang w:val="en-GB"/>
              </w:rPr>
              <w:t>233,469</w:t>
            </w:r>
          </w:p>
        </w:tc>
      </w:tr>
      <w:tr w:rsidRPr="009C48DA" w:rsidR="00661519" w:rsidTr="00661519" w14:paraId="38096672" w14:textId="77777777">
        <w:tc>
          <w:tcPr>
            <w:tcW w:w="3936" w:type="dxa"/>
            <w:vAlign w:val="center"/>
          </w:tcPr>
          <w:p w:rsidRPr="009C48DA" w:rsidR="00661519" w:rsidP="00661519" w:rsidRDefault="00661519" w14:paraId="1D11E17C" w14:textId="77777777">
            <w:pPr>
              <w:textAlignment w:val="baseline"/>
              <w:rPr>
                <w:rFonts w:eastAsia="Times New Roman"/>
                <w:color w:val="000000"/>
                <w:sz w:val="16"/>
                <w:lang w:val="en-GB"/>
              </w:rPr>
            </w:pPr>
            <w:r w:rsidRPr="009C48DA">
              <w:rPr>
                <w:rFonts w:eastAsia="Times New Roman"/>
                <w:color w:val="000000"/>
                <w:sz w:val="16"/>
                <w:lang w:val="en-GB"/>
              </w:rPr>
              <w:t>Additions</w:t>
            </w:r>
          </w:p>
        </w:tc>
        <w:tc>
          <w:tcPr>
            <w:tcW w:w="1275" w:type="dxa"/>
            <w:vAlign w:val="center"/>
          </w:tcPr>
          <w:p w:rsidRPr="009C48DA" w:rsidR="00661519" w:rsidP="00661519" w:rsidRDefault="00661519" w14:paraId="520409DE" w14:textId="77777777">
            <w:pPr>
              <w:jc w:val="right"/>
              <w:textAlignment w:val="baseline"/>
              <w:rPr>
                <w:rFonts w:eastAsia="Times New Roman"/>
                <w:color w:val="000000"/>
                <w:sz w:val="16"/>
                <w:lang w:val="en-GB"/>
              </w:rPr>
            </w:pPr>
            <w:r w:rsidRPr="009C48DA">
              <w:rPr>
                <w:rFonts w:eastAsia="Times New Roman"/>
                <w:color w:val="000000"/>
                <w:sz w:val="16"/>
                <w:lang w:val="en-GB"/>
              </w:rPr>
              <w:t>49,843</w:t>
            </w:r>
          </w:p>
        </w:tc>
        <w:tc>
          <w:tcPr>
            <w:tcW w:w="1276" w:type="dxa"/>
            <w:vAlign w:val="center"/>
          </w:tcPr>
          <w:p w:rsidRPr="009C48DA" w:rsidR="00661519" w:rsidP="00661519" w:rsidRDefault="00661519" w14:paraId="7FFB6FD9" w14:textId="77777777">
            <w:pPr>
              <w:jc w:val="right"/>
              <w:textAlignment w:val="baseline"/>
              <w:rPr>
                <w:rFonts w:eastAsia="Times New Roman"/>
                <w:color w:val="000000"/>
                <w:sz w:val="16"/>
                <w:lang w:val="en-GB"/>
              </w:rPr>
            </w:pPr>
            <w:r w:rsidRPr="009C48DA">
              <w:rPr>
                <w:rFonts w:eastAsia="Times New Roman"/>
                <w:color w:val="000000"/>
                <w:sz w:val="16"/>
                <w:lang w:val="en-GB"/>
              </w:rPr>
              <w:t>133,999</w:t>
            </w:r>
          </w:p>
        </w:tc>
        <w:tc>
          <w:tcPr>
            <w:tcW w:w="1276" w:type="dxa"/>
            <w:vAlign w:val="center"/>
          </w:tcPr>
          <w:p w:rsidRPr="009C48DA" w:rsidR="00661519" w:rsidP="00661519" w:rsidRDefault="00661519" w14:paraId="6BFECEBE" w14:textId="77777777">
            <w:pPr>
              <w:jc w:val="right"/>
              <w:textAlignment w:val="baseline"/>
              <w:rPr>
                <w:rFonts w:eastAsia="Times New Roman"/>
                <w:color w:val="000000"/>
                <w:sz w:val="16"/>
                <w:lang w:val="en-GB"/>
              </w:rPr>
            </w:pPr>
            <w:r w:rsidRPr="009C48DA">
              <w:rPr>
                <w:rFonts w:eastAsia="Times New Roman"/>
                <w:color w:val="000000"/>
                <w:sz w:val="16"/>
                <w:lang w:val="en-GB"/>
              </w:rPr>
              <w:t>47,908</w:t>
            </w:r>
          </w:p>
        </w:tc>
        <w:tc>
          <w:tcPr>
            <w:tcW w:w="1276" w:type="dxa"/>
            <w:vAlign w:val="center"/>
          </w:tcPr>
          <w:p w:rsidRPr="009C48DA" w:rsidR="00661519" w:rsidP="00661519" w:rsidRDefault="00661519" w14:paraId="294E330E" w14:textId="77777777">
            <w:pPr>
              <w:jc w:val="right"/>
              <w:textAlignment w:val="baseline"/>
              <w:rPr>
                <w:rFonts w:eastAsia="Times New Roman"/>
                <w:color w:val="000000"/>
                <w:sz w:val="16"/>
                <w:lang w:val="en-GB"/>
              </w:rPr>
            </w:pPr>
            <w:r w:rsidRPr="009C48DA">
              <w:rPr>
                <w:rFonts w:eastAsia="Times New Roman"/>
                <w:color w:val="000000"/>
                <w:sz w:val="16"/>
                <w:lang w:val="en-GB"/>
              </w:rPr>
              <w:t>9,914</w:t>
            </w:r>
          </w:p>
        </w:tc>
      </w:tr>
      <w:tr w:rsidRPr="009C48DA" w:rsidR="00661519" w:rsidTr="00661519" w14:paraId="0ADE583C" w14:textId="77777777">
        <w:tc>
          <w:tcPr>
            <w:tcW w:w="3936" w:type="dxa"/>
            <w:vAlign w:val="center"/>
          </w:tcPr>
          <w:p w:rsidRPr="009C48DA" w:rsidR="00661519" w:rsidP="00661519" w:rsidRDefault="00661519" w14:paraId="5BABEC65" w14:textId="77777777">
            <w:pPr>
              <w:textAlignment w:val="baseline"/>
              <w:rPr>
                <w:rFonts w:eastAsia="Times New Roman"/>
                <w:color w:val="000000"/>
                <w:sz w:val="16"/>
                <w:lang w:val="en-GB"/>
              </w:rPr>
            </w:pPr>
            <w:r w:rsidRPr="009C48DA">
              <w:rPr>
                <w:rFonts w:eastAsia="Times New Roman"/>
                <w:color w:val="000000"/>
                <w:sz w:val="16"/>
                <w:lang w:val="en-GB"/>
              </w:rPr>
              <w:t>Change in fair value</w:t>
            </w:r>
          </w:p>
        </w:tc>
        <w:tc>
          <w:tcPr>
            <w:tcW w:w="1275" w:type="dxa"/>
            <w:vAlign w:val="center"/>
          </w:tcPr>
          <w:p w:rsidRPr="009C48DA" w:rsidR="00661519" w:rsidP="00661519" w:rsidRDefault="00661519" w14:paraId="6D98B562" w14:textId="77777777">
            <w:pPr>
              <w:jc w:val="right"/>
              <w:textAlignment w:val="baseline"/>
              <w:rPr>
                <w:rFonts w:eastAsia="Times New Roman"/>
                <w:color w:val="000000"/>
                <w:sz w:val="16"/>
                <w:lang w:val="en-GB"/>
              </w:rPr>
            </w:pPr>
            <w:r w:rsidRPr="009C48DA">
              <w:rPr>
                <w:rFonts w:eastAsia="Times New Roman"/>
                <w:color w:val="000000"/>
                <w:sz w:val="16"/>
                <w:lang w:val="en-GB"/>
              </w:rPr>
              <w:t>18,477</w:t>
            </w:r>
          </w:p>
        </w:tc>
        <w:tc>
          <w:tcPr>
            <w:tcW w:w="1276" w:type="dxa"/>
            <w:vAlign w:val="center"/>
          </w:tcPr>
          <w:p w:rsidRPr="009C48DA" w:rsidR="00661519" w:rsidP="00661519" w:rsidRDefault="00661519" w14:paraId="16735083" w14:textId="77777777">
            <w:pPr>
              <w:jc w:val="right"/>
              <w:textAlignment w:val="baseline"/>
              <w:rPr>
                <w:rFonts w:eastAsia="Times New Roman"/>
                <w:color w:val="000000"/>
                <w:sz w:val="16"/>
                <w:lang w:val="en-GB"/>
              </w:rPr>
            </w:pPr>
            <w:r w:rsidRPr="009C48DA">
              <w:rPr>
                <w:rFonts w:eastAsia="Times New Roman"/>
                <w:color w:val="000000"/>
                <w:sz w:val="16"/>
                <w:lang w:val="en-GB"/>
              </w:rPr>
              <w:t>14,390</w:t>
            </w:r>
          </w:p>
        </w:tc>
        <w:tc>
          <w:tcPr>
            <w:tcW w:w="1276" w:type="dxa"/>
            <w:vAlign w:val="center"/>
          </w:tcPr>
          <w:p w:rsidRPr="009C48DA" w:rsidR="00661519" w:rsidP="00661519" w:rsidRDefault="00661519" w14:paraId="60E4783F" w14:textId="77777777">
            <w:pPr>
              <w:jc w:val="right"/>
              <w:textAlignment w:val="baseline"/>
              <w:rPr>
                <w:rFonts w:eastAsia="Times New Roman"/>
                <w:color w:val="000000"/>
                <w:sz w:val="16"/>
                <w:lang w:val="en-GB"/>
              </w:rPr>
            </w:pPr>
            <w:r w:rsidRPr="009C48DA">
              <w:rPr>
                <w:rFonts w:eastAsia="Times New Roman"/>
                <w:color w:val="000000"/>
                <w:sz w:val="16"/>
                <w:lang w:val="en-GB"/>
              </w:rPr>
              <w:t>19,387</w:t>
            </w:r>
          </w:p>
        </w:tc>
        <w:tc>
          <w:tcPr>
            <w:tcW w:w="1276" w:type="dxa"/>
            <w:vAlign w:val="center"/>
          </w:tcPr>
          <w:p w:rsidRPr="009C48DA" w:rsidR="00661519" w:rsidP="00661519" w:rsidRDefault="00661519" w14:paraId="37E5EDBE" w14:textId="77777777">
            <w:pPr>
              <w:jc w:val="right"/>
              <w:textAlignment w:val="baseline"/>
              <w:rPr>
                <w:rFonts w:eastAsia="Times New Roman"/>
                <w:color w:val="000000"/>
                <w:sz w:val="16"/>
                <w:lang w:val="en-GB"/>
              </w:rPr>
            </w:pPr>
            <w:r w:rsidRPr="009C48DA">
              <w:rPr>
                <w:rFonts w:eastAsia="Times New Roman"/>
                <w:color w:val="000000"/>
                <w:sz w:val="16"/>
                <w:lang w:val="en-GB"/>
              </w:rPr>
              <w:t>19,738</w:t>
            </w:r>
          </w:p>
        </w:tc>
      </w:tr>
      <w:tr w:rsidRPr="009C48DA" w:rsidR="00661519" w:rsidTr="00661519" w14:paraId="2535F0A9" w14:textId="77777777">
        <w:tc>
          <w:tcPr>
            <w:tcW w:w="3936" w:type="dxa"/>
            <w:vAlign w:val="center"/>
          </w:tcPr>
          <w:p w:rsidRPr="009C48DA" w:rsidR="00661519" w:rsidP="00661519" w:rsidRDefault="00661519" w14:paraId="0EEBB0D8" w14:textId="77777777">
            <w:pPr>
              <w:textAlignment w:val="baseline"/>
              <w:rPr>
                <w:rFonts w:eastAsia="Times New Roman"/>
                <w:color w:val="000000"/>
                <w:sz w:val="16"/>
                <w:lang w:val="en-GB"/>
              </w:rPr>
            </w:pPr>
            <w:r w:rsidRPr="009C48DA">
              <w:rPr>
                <w:rFonts w:eastAsia="Times New Roman"/>
                <w:color w:val="000000"/>
                <w:sz w:val="16"/>
                <w:lang w:val="en-GB"/>
              </w:rPr>
              <w:t>Foreign exchange movements</w:t>
            </w:r>
          </w:p>
        </w:tc>
        <w:tc>
          <w:tcPr>
            <w:tcW w:w="1275" w:type="dxa"/>
            <w:vAlign w:val="center"/>
          </w:tcPr>
          <w:p w:rsidRPr="009C48DA" w:rsidR="00661519" w:rsidP="00661519" w:rsidRDefault="00661519" w14:paraId="02EC070B" w14:textId="77777777">
            <w:pPr>
              <w:jc w:val="right"/>
              <w:textAlignment w:val="baseline"/>
              <w:rPr>
                <w:rFonts w:eastAsia="Times New Roman"/>
                <w:color w:val="000000"/>
                <w:sz w:val="16"/>
                <w:lang w:val="en-GB"/>
              </w:rPr>
            </w:pPr>
            <w:r w:rsidRPr="009C48DA">
              <w:rPr>
                <w:rFonts w:eastAsia="Times New Roman"/>
                <w:color w:val="000000"/>
                <w:sz w:val="16"/>
                <w:lang w:val="en-GB"/>
              </w:rPr>
              <w:t>1,503</w:t>
            </w:r>
          </w:p>
        </w:tc>
        <w:tc>
          <w:tcPr>
            <w:tcW w:w="1276" w:type="dxa"/>
            <w:vAlign w:val="center"/>
          </w:tcPr>
          <w:p w:rsidRPr="009C48DA" w:rsidR="00661519" w:rsidP="00661519" w:rsidRDefault="00661519" w14:paraId="33D6E9CB" w14:textId="77777777">
            <w:pPr>
              <w:jc w:val="right"/>
              <w:textAlignment w:val="baseline"/>
              <w:rPr>
                <w:rFonts w:eastAsia="Times New Roman"/>
                <w:color w:val="000000"/>
                <w:sz w:val="16"/>
                <w:lang w:val="en-GB"/>
              </w:rPr>
            </w:pPr>
            <w:r w:rsidRPr="009C48DA">
              <w:rPr>
                <w:rFonts w:eastAsia="Times New Roman"/>
                <w:color w:val="000000"/>
                <w:sz w:val="16"/>
                <w:lang w:val="en-GB"/>
              </w:rPr>
              <w:t>(10,904)</w:t>
            </w:r>
          </w:p>
        </w:tc>
        <w:tc>
          <w:tcPr>
            <w:tcW w:w="1276" w:type="dxa"/>
            <w:vAlign w:val="center"/>
          </w:tcPr>
          <w:p w:rsidRPr="009C48DA" w:rsidR="00661519" w:rsidP="00661519" w:rsidRDefault="00661519" w14:paraId="56D3DE73" w14:textId="77777777">
            <w:pPr>
              <w:jc w:val="right"/>
              <w:textAlignment w:val="baseline"/>
              <w:rPr>
                <w:rFonts w:eastAsia="Times New Roman"/>
                <w:color w:val="000000"/>
                <w:sz w:val="16"/>
                <w:lang w:val="en-GB"/>
              </w:rPr>
            </w:pPr>
            <w:r w:rsidRPr="009C48DA">
              <w:rPr>
                <w:rFonts w:eastAsia="Times New Roman"/>
                <w:color w:val="000000"/>
                <w:sz w:val="16"/>
                <w:lang w:val="en-GB"/>
              </w:rPr>
              <w:t>11,247</w:t>
            </w:r>
          </w:p>
        </w:tc>
        <w:tc>
          <w:tcPr>
            <w:tcW w:w="1276" w:type="dxa"/>
            <w:vAlign w:val="center"/>
          </w:tcPr>
          <w:p w:rsidRPr="009C48DA" w:rsidR="00661519" w:rsidP="00661519" w:rsidRDefault="00661519" w14:paraId="1909BA1F" w14:textId="77777777">
            <w:pPr>
              <w:jc w:val="right"/>
              <w:textAlignment w:val="baseline"/>
              <w:rPr>
                <w:rFonts w:eastAsia="Times New Roman"/>
                <w:color w:val="000000"/>
                <w:sz w:val="16"/>
                <w:lang w:val="en-GB"/>
              </w:rPr>
            </w:pPr>
            <w:r w:rsidRPr="009C48DA">
              <w:rPr>
                <w:rFonts w:eastAsia="Times New Roman"/>
                <w:color w:val="000000"/>
                <w:sz w:val="16"/>
                <w:lang w:val="en-GB"/>
              </w:rPr>
              <w:t>(9,769)</w:t>
            </w:r>
          </w:p>
        </w:tc>
      </w:tr>
      <w:tr w:rsidRPr="009C48DA" w:rsidR="00661519" w:rsidTr="00661519" w14:paraId="2868D0E8" w14:textId="77777777">
        <w:tc>
          <w:tcPr>
            <w:tcW w:w="3936" w:type="dxa"/>
            <w:vAlign w:val="center"/>
          </w:tcPr>
          <w:p w:rsidRPr="009C48DA" w:rsidR="00661519" w:rsidP="00661519" w:rsidRDefault="00661519" w14:paraId="215E3C1E" w14:textId="77777777">
            <w:pPr>
              <w:textAlignment w:val="baseline"/>
              <w:rPr>
                <w:rFonts w:eastAsia="Times New Roman"/>
                <w:color w:val="000000"/>
                <w:sz w:val="16"/>
                <w:lang w:val="en-GB"/>
              </w:rPr>
            </w:pPr>
            <w:r w:rsidRPr="009C48DA">
              <w:rPr>
                <w:rFonts w:eastAsia="Times New Roman"/>
                <w:color w:val="000000"/>
                <w:sz w:val="16"/>
                <w:lang w:val="en-GB"/>
              </w:rPr>
              <w:t>Receipts</w:t>
            </w:r>
          </w:p>
        </w:tc>
        <w:tc>
          <w:tcPr>
            <w:tcW w:w="1275" w:type="dxa"/>
            <w:vAlign w:val="center"/>
          </w:tcPr>
          <w:p w:rsidRPr="009C48DA" w:rsidR="00661519" w:rsidP="00661519" w:rsidRDefault="00661519" w14:paraId="373511A2"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(46,404)</w:t>
            </w:r>
          </w:p>
        </w:tc>
        <w:tc>
          <w:tcPr>
            <w:tcW w:w="1276" w:type="dxa"/>
            <w:vAlign w:val="center"/>
          </w:tcPr>
          <w:p w:rsidRPr="009C48DA" w:rsidR="00661519" w:rsidP="00661519" w:rsidRDefault="00661519" w14:paraId="09F23950"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(56,903)</w:t>
            </w:r>
          </w:p>
        </w:tc>
        <w:tc>
          <w:tcPr>
            <w:tcW w:w="1276" w:type="dxa"/>
            <w:vAlign w:val="center"/>
          </w:tcPr>
          <w:p w:rsidRPr="009C48DA" w:rsidR="00661519" w:rsidP="00661519" w:rsidRDefault="00661519" w14:paraId="2C8D7427"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(51,152)</w:t>
            </w:r>
          </w:p>
        </w:tc>
        <w:tc>
          <w:tcPr>
            <w:tcW w:w="1276" w:type="dxa"/>
            <w:vAlign w:val="center"/>
          </w:tcPr>
          <w:p w:rsidRPr="009C48DA" w:rsidR="00661519" w:rsidP="00661519" w:rsidRDefault="00661519" w14:paraId="49ADB796"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(20,419)</w:t>
            </w:r>
          </w:p>
        </w:tc>
      </w:tr>
      <w:tr w:rsidRPr="009C48DA" w:rsidR="00661519" w:rsidTr="00661519" w14:paraId="52611ACA" w14:textId="77777777">
        <w:trPr>
          <w:trHeight w:val="277"/>
        </w:trPr>
        <w:tc>
          <w:tcPr>
            <w:tcW w:w="3936" w:type="dxa"/>
            <w:vAlign w:val="center"/>
          </w:tcPr>
          <w:p w:rsidRPr="009C48DA" w:rsidR="00661519" w:rsidP="00661519" w:rsidRDefault="00661519" w14:paraId="58231ED5" w14:textId="77777777">
            <w:pPr>
              <w:textAlignment w:val="baseline"/>
              <w:rPr>
                <w:rFonts w:eastAsia="Times New Roman"/>
                <w:b/>
                <w:color w:val="000000"/>
                <w:sz w:val="16"/>
                <w:lang w:val="en-GB"/>
              </w:rPr>
            </w:pPr>
            <w:r w:rsidRPr="009C48DA">
              <w:rPr>
                <w:rFonts w:eastAsia="Times New Roman"/>
                <w:b/>
                <w:color w:val="000000"/>
                <w:sz w:val="16"/>
                <w:lang w:val="en-GB"/>
              </w:rPr>
              <w:t>Closing balance</w:t>
            </w:r>
          </w:p>
        </w:tc>
        <w:tc>
          <w:tcPr>
            <w:tcW w:w="1275" w:type="dxa"/>
            <w:vAlign w:val="center"/>
          </w:tcPr>
          <w:p w:rsidRPr="009C48DA" w:rsidR="00661519" w:rsidP="00661519" w:rsidRDefault="00661519" w14:paraId="5662C751"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125,497</w:t>
            </w:r>
          </w:p>
        </w:tc>
        <w:tc>
          <w:tcPr>
            <w:tcW w:w="1276" w:type="dxa"/>
            <w:vAlign w:val="center"/>
          </w:tcPr>
          <w:p w:rsidRPr="009C48DA" w:rsidR="00661519" w:rsidP="00661519" w:rsidRDefault="00661519" w14:paraId="26854485"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206,079</w:t>
            </w:r>
          </w:p>
        </w:tc>
        <w:tc>
          <w:tcPr>
            <w:tcW w:w="1276" w:type="dxa"/>
            <w:vAlign w:val="center"/>
          </w:tcPr>
          <w:p w:rsidRPr="009C48DA" w:rsidR="00661519" w:rsidP="00661519" w:rsidRDefault="00661519" w14:paraId="61A270D7"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233,469</w:t>
            </w:r>
          </w:p>
        </w:tc>
        <w:tc>
          <w:tcPr>
            <w:tcW w:w="1276" w:type="dxa"/>
            <w:vAlign w:val="center"/>
          </w:tcPr>
          <w:p w:rsidRPr="009C48DA" w:rsidR="00661519" w:rsidP="00661519" w:rsidRDefault="00661519" w14:paraId="2FCFCFBC"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232,933</w:t>
            </w:r>
          </w:p>
        </w:tc>
      </w:tr>
    </w:tbl>
    <w:p w:rsidRPr="009C48DA" w:rsidR="00661519" w:rsidP="00661519" w:rsidRDefault="00661519" w14:paraId="724D99C3" w14:textId="77777777">
      <w:pPr>
        <w:ind w:right="74"/>
        <w:jc w:val="both"/>
        <w:textAlignment w:val="baseline"/>
        <w:rPr>
          <w:rFonts w:eastAsia="Times New Roman" w:cs="Times New Roman"/>
          <w:b/>
          <w:color w:val="000000"/>
          <w:sz w:val="16"/>
          <w:szCs w:val="22"/>
          <w:lang w:val="en-GB"/>
        </w:rPr>
      </w:pPr>
    </w:p>
    <w:p w:rsidRPr="009C48DA" w:rsidR="00661519" w:rsidP="00661519" w:rsidRDefault="00661519" w14:paraId="2610BAA3" w14:textId="77777777">
      <w:pPr>
        <w:ind w:right="74"/>
        <w:jc w:val="both"/>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(c)</w:t>
      </w:r>
      <w:r w:rsidRPr="009C48DA">
        <w:rPr>
          <w:rFonts w:eastAsia="Times New Roman" w:cs="Times New Roman"/>
          <w:b/>
          <w:color w:val="000000"/>
          <w:sz w:val="16"/>
          <w:szCs w:val="22"/>
          <w:lang w:val="en-GB"/>
        </w:rPr>
        <w:tab/>
        <w:t>Fair value of CLO assets</w:t>
      </w:r>
    </w:p>
    <w:p w:rsidRPr="009C48DA" w:rsidR="00661519" w:rsidP="00661519" w:rsidRDefault="00661519" w14:paraId="6AD4CF29" w14:textId="77777777">
      <w:pPr>
        <w:rPr>
          <w:rFonts w:eastAsia="PMingLiU" w:cs="Times New Roman"/>
          <w:sz w:val="16"/>
          <w:szCs w:val="16"/>
          <w:lang w:val="en-GB"/>
        </w:rPr>
      </w:pPr>
    </w:p>
    <w:p w:rsidRPr="009C48DA" w:rsidR="00661519" w:rsidP="00661519" w:rsidRDefault="00661519" w14:paraId="011C50D5" w14:textId="77777777">
      <w:pPr>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balance shown includes the gross value of the assets held by CLO I CLO II, which are consolidated by the Group, but of which the </w:t>
      </w:r>
      <w:r w:rsidRPr="009C48DA">
        <w:rPr>
          <w:rFonts w:eastAsia="Times New Roman" w:cs="Times New Roman"/>
          <w:color w:val="000000"/>
          <w:sz w:val="16"/>
          <w:szCs w:val="22"/>
          <w:lang w:val="en-GB"/>
        </w:rPr>
        <w:br/>
        <w:t xml:space="preserve">Group only holds the right and liabilities in relation to a small portion. The CLO assets are measured at fair value through profit or loss as </w:t>
      </w:r>
      <w:r w:rsidRPr="009C48DA">
        <w:rPr>
          <w:rFonts w:eastAsia="Times New Roman" w:cs="Times New Roman"/>
          <w:color w:val="000000"/>
          <w:sz w:val="16"/>
          <w:szCs w:val="22"/>
          <w:lang w:val="en-GB"/>
        </w:rPr>
        <w:br/>
        <w:t xml:space="preserve">the business model of each vehicle is to manage the assets and to evaluate their performance on a fair value basis. </w:t>
      </w:r>
    </w:p>
    <w:p w:rsidRPr="009C48DA" w:rsidR="00661519" w:rsidP="00661519" w:rsidRDefault="00661519" w14:paraId="3655B573" w14:textId="77777777">
      <w:pPr>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36"/>
        <w:gridCol w:w="1275"/>
        <w:gridCol w:w="1276"/>
        <w:gridCol w:w="1276"/>
        <w:gridCol w:w="1276"/>
      </w:tblGrid>
      <w:tr w:rsidRPr="009C48DA" w:rsidR="00661519" w:rsidTr="00661519" w14:paraId="75E17E3B" w14:textId="77777777">
        <w:tc>
          <w:tcPr>
            <w:tcW w:w="3936" w:type="dxa"/>
            <w:vAlign w:val="bottom"/>
          </w:tcPr>
          <w:p w:rsidRPr="009C48DA" w:rsidR="00661519" w:rsidP="00661519" w:rsidRDefault="00661519" w14:paraId="111ECDDB" w14:textId="77777777">
            <w:pPr>
              <w:jc w:val="both"/>
              <w:textAlignment w:val="baseline"/>
              <w:rPr>
                <w:rFonts w:eastAsia="Times New Roman"/>
                <w:b/>
                <w:color w:val="000000"/>
                <w:sz w:val="16"/>
                <w:szCs w:val="16"/>
                <w:lang w:val="en-GB"/>
              </w:rPr>
            </w:pPr>
          </w:p>
        </w:tc>
        <w:tc>
          <w:tcPr>
            <w:tcW w:w="3827" w:type="dxa"/>
            <w:gridSpan w:val="3"/>
            <w:vAlign w:val="bottom"/>
          </w:tcPr>
          <w:p w:rsidRPr="009C48DA" w:rsidR="00661519" w:rsidP="00661519" w:rsidRDefault="00661519" w14:paraId="65CBF7AA"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Year ended 31 December</w:t>
            </w:r>
          </w:p>
        </w:tc>
        <w:tc>
          <w:tcPr>
            <w:tcW w:w="1276" w:type="dxa"/>
            <w:vAlign w:val="bottom"/>
          </w:tcPr>
          <w:p w:rsidRPr="009C48DA" w:rsidR="00661519" w:rsidP="00661519" w:rsidRDefault="00661519" w14:paraId="5CE91BEF"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6F23AABC" w14:textId="77777777">
        <w:tc>
          <w:tcPr>
            <w:tcW w:w="3936" w:type="dxa"/>
            <w:vAlign w:val="bottom"/>
          </w:tcPr>
          <w:p w:rsidRPr="009C48DA" w:rsidR="00661519" w:rsidP="00661519" w:rsidRDefault="00661519" w14:paraId="66B4988A" w14:textId="77777777">
            <w:pPr>
              <w:jc w:val="both"/>
              <w:textAlignment w:val="baseline"/>
              <w:rPr>
                <w:rFonts w:eastAsia="Times New Roman"/>
                <w:b/>
                <w:color w:val="000000"/>
                <w:sz w:val="16"/>
                <w:lang w:val="en-GB"/>
              </w:rPr>
            </w:pPr>
          </w:p>
        </w:tc>
        <w:tc>
          <w:tcPr>
            <w:tcW w:w="1275" w:type="dxa"/>
            <w:vAlign w:val="bottom"/>
          </w:tcPr>
          <w:p w:rsidRPr="009C48DA" w:rsidR="00661519" w:rsidP="00661519" w:rsidRDefault="00661519" w14:paraId="394CD0C2"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52F16829"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1235C3E4"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33A8B0E2"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6996AAA3"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541D1591"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7AD13A28"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47B1129B"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17F6F66D" w14:textId="77777777">
        <w:tc>
          <w:tcPr>
            <w:tcW w:w="3936" w:type="dxa"/>
            <w:vAlign w:val="bottom"/>
          </w:tcPr>
          <w:p w:rsidRPr="009C48DA" w:rsidR="00661519" w:rsidP="00661519" w:rsidRDefault="00661519" w14:paraId="4659D3C0" w14:textId="77777777">
            <w:pPr>
              <w:jc w:val="both"/>
              <w:textAlignment w:val="baseline"/>
              <w:rPr>
                <w:rFonts w:eastAsia="Times New Roman"/>
                <w:color w:val="000000"/>
                <w:sz w:val="16"/>
                <w:lang w:val="en-GB"/>
              </w:rPr>
            </w:pPr>
            <w:r w:rsidRPr="009C48DA">
              <w:rPr>
                <w:rFonts w:eastAsia="Times New Roman"/>
                <w:color w:val="000000"/>
                <w:sz w:val="16"/>
                <w:lang w:val="en-GB"/>
              </w:rPr>
              <w:t>Fair value of CLO assets consolidated by the Group</w:t>
            </w:r>
          </w:p>
        </w:tc>
        <w:tc>
          <w:tcPr>
            <w:tcW w:w="1275" w:type="dxa"/>
            <w:vAlign w:val="center"/>
          </w:tcPr>
          <w:p w:rsidRPr="009C48DA" w:rsidR="00661519" w:rsidP="00661519" w:rsidRDefault="00661519" w14:paraId="7F1D447D"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center"/>
          </w:tcPr>
          <w:p w:rsidRPr="009C48DA" w:rsidR="00661519" w:rsidP="00661519" w:rsidRDefault="00661519" w14:paraId="20D96427"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center"/>
          </w:tcPr>
          <w:p w:rsidRPr="009C48DA" w:rsidR="00661519" w:rsidP="00661519" w:rsidRDefault="00661519" w14:paraId="4EE3DFA5" w14:textId="77777777">
            <w:pPr>
              <w:jc w:val="right"/>
              <w:textAlignment w:val="baseline"/>
              <w:rPr>
                <w:rFonts w:eastAsia="Times New Roman"/>
                <w:color w:val="000000"/>
                <w:sz w:val="16"/>
                <w:lang w:val="en-GB"/>
              </w:rPr>
            </w:pPr>
            <w:r w:rsidRPr="009C48DA">
              <w:rPr>
                <w:rFonts w:eastAsia="Times New Roman"/>
                <w:color w:val="000000"/>
                <w:sz w:val="16"/>
                <w:lang w:val="en-GB"/>
              </w:rPr>
              <w:t>272,476</w:t>
            </w:r>
          </w:p>
        </w:tc>
        <w:tc>
          <w:tcPr>
            <w:tcW w:w="1276" w:type="dxa"/>
            <w:vAlign w:val="center"/>
          </w:tcPr>
          <w:p w:rsidRPr="009C48DA" w:rsidR="00661519" w:rsidP="00661519" w:rsidRDefault="00661519" w14:paraId="17078E9E" w14:textId="77777777">
            <w:pPr>
              <w:jc w:val="right"/>
              <w:textAlignment w:val="baseline"/>
              <w:rPr>
                <w:rFonts w:eastAsia="Times New Roman"/>
                <w:color w:val="000000"/>
                <w:sz w:val="16"/>
                <w:lang w:val="en-GB"/>
              </w:rPr>
            </w:pPr>
            <w:r w:rsidRPr="009C48DA">
              <w:rPr>
                <w:rFonts w:eastAsia="Times New Roman"/>
                <w:color w:val="000000"/>
                <w:sz w:val="16"/>
                <w:lang w:val="en-GB"/>
              </w:rPr>
              <w:t>380,534</w:t>
            </w:r>
          </w:p>
        </w:tc>
      </w:tr>
      <w:tr w:rsidRPr="009C48DA" w:rsidR="00661519" w:rsidTr="00661519" w14:paraId="1EF0A7D1" w14:textId="77777777">
        <w:tc>
          <w:tcPr>
            <w:tcW w:w="3936" w:type="dxa"/>
            <w:vAlign w:val="center"/>
          </w:tcPr>
          <w:p w:rsidRPr="009C48DA" w:rsidR="00661519" w:rsidP="00661519" w:rsidRDefault="00661519" w14:paraId="785881D2" w14:textId="77777777">
            <w:pPr>
              <w:jc w:val="both"/>
              <w:textAlignment w:val="baseline"/>
              <w:rPr>
                <w:rFonts w:eastAsia="Times New Roman"/>
                <w:color w:val="000000"/>
                <w:sz w:val="16"/>
                <w:lang w:val="en-GB"/>
              </w:rPr>
            </w:pPr>
            <w:r w:rsidRPr="009C48DA">
              <w:rPr>
                <w:rFonts w:eastAsia="Times New Roman"/>
                <w:color w:val="000000"/>
                <w:sz w:val="16"/>
                <w:lang w:val="en-GB"/>
              </w:rPr>
              <w:t>Fair value of CLO assets attributable to third party</w:t>
            </w:r>
          </w:p>
          <w:p w:rsidRPr="009C48DA" w:rsidR="00661519" w:rsidP="00661519" w:rsidRDefault="00661519" w14:paraId="76794767" w14:textId="77777777">
            <w:pPr>
              <w:jc w:val="both"/>
              <w:textAlignment w:val="baseline"/>
              <w:rPr>
                <w:rFonts w:eastAsia="Times New Roman"/>
                <w:color w:val="000000"/>
                <w:sz w:val="16"/>
                <w:lang w:val="en-GB"/>
              </w:rPr>
            </w:pPr>
            <w:r w:rsidRPr="009C48DA">
              <w:rPr>
                <w:rFonts w:eastAsia="Times New Roman"/>
                <w:color w:val="000000"/>
                <w:sz w:val="16"/>
                <w:lang w:val="en-GB"/>
              </w:rPr>
              <w:t>investors</w:t>
            </w:r>
          </w:p>
        </w:tc>
        <w:tc>
          <w:tcPr>
            <w:tcW w:w="1275" w:type="dxa"/>
            <w:vAlign w:val="bottom"/>
          </w:tcPr>
          <w:p w:rsidRPr="009C48DA" w:rsidR="00661519" w:rsidP="00661519" w:rsidRDefault="00661519" w14:paraId="25B52CD6"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bottom"/>
          </w:tcPr>
          <w:p w:rsidRPr="009C48DA" w:rsidR="00661519" w:rsidP="00661519" w:rsidRDefault="00661519" w14:paraId="3285CF4E"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bottom"/>
          </w:tcPr>
          <w:p w:rsidRPr="009C48DA" w:rsidR="00661519" w:rsidP="00661519" w:rsidRDefault="00661519" w14:paraId="526EBAB4"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(252,982)</w:t>
            </w:r>
          </w:p>
        </w:tc>
        <w:tc>
          <w:tcPr>
            <w:tcW w:w="1276" w:type="dxa"/>
            <w:vAlign w:val="bottom"/>
          </w:tcPr>
          <w:p w:rsidRPr="009C48DA" w:rsidR="00661519" w:rsidP="00661519" w:rsidRDefault="00661519" w14:paraId="7CFD5D49"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(359,571)</w:t>
            </w:r>
          </w:p>
        </w:tc>
      </w:tr>
      <w:tr w:rsidRPr="009C48DA" w:rsidR="00661519" w:rsidTr="00661519" w14:paraId="48F91679" w14:textId="77777777">
        <w:tc>
          <w:tcPr>
            <w:tcW w:w="3936" w:type="dxa"/>
            <w:vAlign w:val="center"/>
          </w:tcPr>
          <w:p w:rsidRPr="009C48DA" w:rsidR="00661519" w:rsidP="00661519" w:rsidRDefault="00661519" w14:paraId="1162BECA" w14:textId="77777777">
            <w:pPr>
              <w:textAlignment w:val="baseline"/>
              <w:rPr>
                <w:rFonts w:eastAsia="Times New Roman"/>
                <w:b/>
                <w:color w:val="000000"/>
                <w:sz w:val="16"/>
                <w:lang w:val="en-GB"/>
              </w:rPr>
            </w:pPr>
            <w:r w:rsidRPr="009C48DA">
              <w:rPr>
                <w:rFonts w:eastAsia="Times New Roman"/>
                <w:b/>
                <w:color w:val="000000"/>
                <w:sz w:val="16"/>
                <w:lang w:val="en-GB"/>
              </w:rPr>
              <w:t>Group’s exposure to CLO assets</w:t>
            </w:r>
          </w:p>
        </w:tc>
        <w:tc>
          <w:tcPr>
            <w:tcW w:w="1275" w:type="dxa"/>
            <w:vAlign w:val="center"/>
          </w:tcPr>
          <w:p w:rsidRPr="009C48DA" w:rsidR="00661519" w:rsidP="00661519" w:rsidRDefault="00661519" w14:paraId="143E1843"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center"/>
          </w:tcPr>
          <w:p w:rsidRPr="009C48DA" w:rsidR="00661519" w:rsidP="00661519" w:rsidRDefault="00661519" w14:paraId="2D3583C1"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center"/>
          </w:tcPr>
          <w:p w:rsidRPr="009C48DA" w:rsidR="00661519" w:rsidP="00661519" w:rsidRDefault="00661519" w14:paraId="790C4C8A"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19,494</w:t>
            </w:r>
          </w:p>
        </w:tc>
        <w:tc>
          <w:tcPr>
            <w:tcW w:w="1276" w:type="dxa"/>
            <w:vAlign w:val="center"/>
          </w:tcPr>
          <w:p w:rsidRPr="009C48DA" w:rsidR="00661519" w:rsidP="00661519" w:rsidRDefault="00661519" w14:paraId="67E14AA2"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20,963</w:t>
            </w:r>
          </w:p>
        </w:tc>
      </w:tr>
    </w:tbl>
    <w:p w:rsidRPr="009C48DA" w:rsidR="00661519" w:rsidP="00661519" w:rsidRDefault="00661519" w14:paraId="16DFEFD5" w14:textId="77777777">
      <w:pPr>
        <w:rPr>
          <w:rFonts w:eastAsia="Times New Roman" w:cs="Times New Roman"/>
          <w:color w:val="000000"/>
          <w:sz w:val="16"/>
          <w:szCs w:val="22"/>
          <w:lang w:val="en-GB"/>
        </w:rPr>
      </w:pPr>
    </w:p>
    <w:p w:rsidRPr="009C48DA" w:rsidR="00661519" w:rsidP="00661519" w:rsidRDefault="00661519" w14:paraId="280089FC" w14:textId="77777777">
      <w:pPr>
        <w:rPr>
          <w:rFonts w:eastAsia="Times New Roman" w:cs="Times New Roman"/>
          <w:color w:val="000000"/>
          <w:sz w:val="16"/>
          <w:szCs w:val="22"/>
          <w:lang w:val="en-GB"/>
        </w:rPr>
      </w:pPr>
    </w:p>
    <w:p w:rsidRPr="009C48DA" w:rsidR="00661519" w:rsidP="00661519" w:rsidRDefault="00661519" w14:paraId="37BA4697" w14:textId="77777777">
      <w:pPr>
        <w:rPr>
          <w:rFonts w:eastAsia="Times New Roman"/>
          <w:b/>
          <w:color w:val="000000"/>
          <w:sz w:val="16"/>
          <w:lang w:val="en-GB"/>
        </w:rPr>
      </w:pPr>
      <w:r w:rsidRPr="009C48DA">
        <w:rPr>
          <w:rFonts w:eastAsia="Times New Roman" w:cs="Times New Roman"/>
          <w:color w:val="000000"/>
          <w:sz w:val="16"/>
          <w:szCs w:val="22"/>
          <w:lang w:val="en-GB"/>
        </w:rPr>
        <w:t>(d)</w:t>
      </w:r>
      <w:r w:rsidRPr="009C48DA">
        <w:rPr>
          <w:rFonts w:eastAsia="Times New Roman" w:cs="Times New Roman"/>
          <w:color w:val="000000"/>
          <w:sz w:val="16"/>
          <w:szCs w:val="22"/>
          <w:lang w:val="en-GB"/>
        </w:rPr>
        <w:tab/>
      </w:r>
      <w:r w:rsidRPr="009C48DA">
        <w:rPr>
          <w:rFonts w:eastAsia="Times New Roman"/>
          <w:b/>
          <w:color w:val="000000"/>
          <w:sz w:val="16"/>
          <w:lang w:val="en-GB"/>
        </w:rPr>
        <w:t>Investments at amortised cost</w:t>
      </w:r>
    </w:p>
    <w:p w:rsidRPr="009C48DA" w:rsidR="00661519" w:rsidP="00661519" w:rsidRDefault="00661519" w14:paraId="0032D19F" w14:textId="77777777">
      <w:pPr>
        <w:rPr>
          <w:rFonts w:eastAsia="PMingLiU" w:cs="Times New Roman"/>
          <w:sz w:val="16"/>
          <w:szCs w:val="16"/>
          <w:lang w:val="en-GB"/>
        </w:rPr>
      </w:pPr>
    </w:p>
    <w:p w:rsidRPr="009C48DA" w:rsidR="00661519" w:rsidP="00661519" w:rsidRDefault="00661519" w14:paraId="38A06E2B" w14:textId="77777777">
      <w:pPr>
        <w:ind w:right="74"/>
        <w:jc w:val="both"/>
        <w:textAlignment w:val="baseline"/>
        <w:rPr>
          <w:rFonts w:eastAsia="Times New Roman"/>
          <w:color w:val="000000"/>
          <w:sz w:val="16"/>
          <w:lang w:val="en-GB"/>
        </w:rPr>
      </w:pPr>
      <w:r w:rsidRPr="009C48DA">
        <w:rPr>
          <w:rFonts w:eastAsia="Times New Roman"/>
          <w:color w:val="000000"/>
          <w:sz w:val="16"/>
          <w:lang w:val="en-GB"/>
        </w:rPr>
        <w:t xml:space="preserve">Investments at amortised cost represent a portfolio of loans made to private companies measured at amortised cost using the effective </w:t>
      </w:r>
      <w:r w:rsidRPr="009C48DA">
        <w:rPr>
          <w:rFonts w:eastAsia="Times New Roman"/>
          <w:color w:val="000000"/>
          <w:sz w:val="16"/>
          <w:lang w:val="en-GB"/>
        </w:rPr>
        <w:br/>
        <w:t xml:space="preserve">interest method over the expected life. The business model of this portfolio was to hold for the sole purpose of payment of principal and </w:t>
      </w:r>
      <w:r w:rsidRPr="009C48DA">
        <w:rPr>
          <w:rFonts w:eastAsia="Times New Roman"/>
          <w:color w:val="000000"/>
          <w:sz w:val="16"/>
          <w:lang w:val="en-GB"/>
        </w:rPr>
        <w:br/>
        <w:t>interest.</w:t>
      </w:r>
    </w:p>
    <w:p w:rsidRPr="009C48DA" w:rsidR="00661519" w:rsidP="00661519" w:rsidRDefault="00661519" w14:paraId="7DAF444E" w14:textId="77777777">
      <w:pPr>
        <w:ind w:right="74"/>
        <w:jc w:val="both"/>
        <w:textAlignment w:val="baseline"/>
        <w:rPr>
          <w:rFonts w:eastAsia="Times New Roman"/>
          <w:color w:val="000000"/>
          <w:sz w:val="16"/>
          <w:lang w:val="en-GB"/>
        </w:rPr>
      </w:pPr>
    </w:p>
    <w:p w:rsidRPr="009C48DA" w:rsidR="00661519" w:rsidP="00661519" w:rsidRDefault="00661519" w14:paraId="47DC6703" w14:textId="77777777">
      <w:pPr>
        <w:ind w:right="74"/>
        <w:jc w:val="both"/>
        <w:textAlignment w:val="baseline"/>
        <w:rPr>
          <w:rFonts w:eastAsia="Times New Roman"/>
          <w:color w:val="000000"/>
          <w:sz w:val="16"/>
          <w:lang w:val="en-GB"/>
        </w:rPr>
      </w:pPr>
      <w:r w:rsidRPr="009C48DA">
        <w:rPr>
          <w:rFonts w:eastAsia="Times New Roman"/>
          <w:color w:val="000000"/>
          <w:sz w:val="16"/>
          <w:lang w:val="en-GB"/>
        </w:rPr>
        <w:t xml:space="preserve">An assessment for impairment considered any arrears, covenant breaches and other information available. Under the expected loss model, </w:t>
      </w:r>
      <w:r w:rsidRPr="009C48DA">
        <w:rPr>
          <w:rFonts w:eastAsia="Times New Roman"/>
          <w:color w:val="000000"/>
          <w:sz w:val="16"/>
          <w:lang w:val="en-GB"/>
        </w:rPr>
        <w:br/>
        <w:t xml:space="preserve">no impairment was recognised at 31 December 2018. </w:t>
      </w:r>
    </w:p>
    <w:p w:rsidRPr="009C48DA" w:rsidR="00661519" w:rsidP="00661519" w:rsidRDefault="00661519" w14:paraId="6D68AF89" w14:textId="77777777">
      <w:pPr>
        <w:ind w:right="74"/>
        <w:jc w:val="both"/>
        <w:textAlignment w:val="baseline"/>
        <w:rPr>
          <w:rFonts w:eastAsia="Times New Roman"/>
          <w:color w:val="000000"/>
          <w:sz w:val="16"/>
          <w:lang w:val="en-GB"/>
        </w:rPr>
      </w:pPr>
    </w:p>
    <w:p w:rsidRPr="009C48DA" w:rsidR="00661519" w:rsidP="00661519" w:rsidRDefault="00661519" w14:paraId="6423059E" w14:textId="77777777">
      <w:pPr>
        <w:ind w:right="74"/>
        <w:jc w:val="both"/>
        <w:textAlignment w:val="baseline"/>
        <w:rPr>
          <w:rFonts w:eastAsia="Times New Roman"/>
          <w:color w:val="000000"/>
          <w:sz w:val="16"/>
          <w:lang w:val="en-GB"/>
        </w:rPr>
      </w:pPr>
      <w:r w:rsidRPr="009C48DA">
        <w:rPr>
          <w:rFonts w:eastAsia="Times New Roman"/>
          <w:color w:val="000000"/>
          <w:sz w:val="16"/>
          <w:lang w:val="en-GB"/>
        </w:rPr>
        <w:t>In 2019, this portfolio was transferred to a fund with external parties and the Group as investors at the net asset value.</w:t>
      </w:r>
    </w:p>
    <w:p w:rsidRPr="009C48DA" w:rsidR="00661519" w:rsidP="00661519" w:rsidRDefault="00661519" w14:paraId="2E9B5923" w14:textId="77777777">
      <w:pPr>
        <w:ind w:right="74"/>
        <w:jc w:val="both"/>
        <w:textAlignment w:val="baseline"/>
        <w:rPr>
          <w:rFonts w:eastAsia="Times New Roman"/>
          <w:color w:val="000000"/>
          <w:sz w:val="16"/>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36"/>
        <w:gridCol w:w="1275"/>
        <w:gridCol w:w="1276"/>
        <w:gridCol w:w="1276"/>
        <w:gridCol w:w="1276"/>
      </w:tblGrid>
      <w:tr w:rsidRPr="009C48DA" w:rsidR="00661519" w:rsidTr="00661519" w14:paraId="295A380F" w14:textId="77777777">
        <w:tc>
          <w:tcPr>
            <w:tcW w:w="3936" w:type="dxa"/>
            <w:vAlign w:val="bottom"/>
          </w:tcPr>
          <w:p w:rsidRPr="009C48DA" w:rsidR="00661519" w:rsidP="00661519" w:rsidRDefault="00661519" w14:paraId="18B76C48" w14:textId="77777777">
            <w:pPr>
              <w:jc w:val="both"/>
              <w:textAlignment w:val="baseline"/>
              <w:rPr>
                <w:rFonts w:eastAsia="Times New Roman"/>
                <w:b/>
                <w:color w:val="000000"/>
                <w:sz w:val="16"/>
                <w:szCs w:val="16"/>
                <w:lang w:val="en-GB"/>
              </w:rPr>
            </w:pPr>
          </w:p>
        </w:tc>
        <w:tc>
          <w:tcPr>
            <w:tcW w:w="3827" w:type="dxa"/>
            <w:gridSpan w:val="3"/>
            <w:vAlign w:val="bottom"/>
          </w:tcPr>
          <w:p w:rsidRPr="009C48DA" w:rsidR="00661519" w:rsidP="00661519" w:rsidRDefault="00661519" w14:paraId="4FC1D475"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Year ended 31 December</w:t>
            </w:r>
          </w:p>
        </w:tc>
        <w:tc>
          <w:tcPr>
            <w:tcW w:w="1276" w:type="dxa"/>
            <w:vAlign w:val="bottom"/>
          </w:tcPr>
          <w:p w:rsidRPr="009C48DA" w:rsidR="00661519" w:rsidP="00661519" w:rsidRDefault="00661519" w14:paraId="5A005F39"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Three month</w:t>
            </w:r>
          </w:p>
          <w:p w:rsidRPr="009C48DA" w:rsidR="00661519" w:rsidP="00661519" w:rsidRDefault="00661519" w14:paraId="5B51FBED"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period ended</w:t>
            </w:r>
          </w:p>
          <w:p w:rsidRPr="009C48DA" w:rsidR="00661519" w:rsidP="00661519" w:rsidRDefault="00661519" w14:paraId="733A945A"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030300ED" w14:textId="77777777">
        <w:tc>
          <w:tcPr>
            <w:tcW w:w="3936" w:type="dxa"/>
            <w:vAlign w:val="bottom"/>
          </w:tcPr>
          <w:p w:rsidRPr="009C48DA" w:rsidR="00661519" w:rsidP="00661519" w:rsidRDefault="00661519" w14:paraId="05255891" w14:textId="77777777">
            <w:pPr>
              <w:jc w:val="both"/>
              <w:textAlignment w:val="baseline"/>
              <w:rPr>
                <w:rFonts w:eastAsia="Times New Roman"/>
                <w:b/>
                <w:color w:val="000000"/>
                <w:sz w:val="16"/>
                <w:lang w:val="en-GB"/>
              </w:rPr>
            </w:pPr>
          </w:p>
        </w:tc>
        <w:tc>
          <w:tcPr>
            <w:tcW w:w="1275" w:type="dxa"/>
            <w:vAlign w:val="bottom"/>
          </w:tcPr>
          <w:p w:rsidRPr="009C48DA" w:rsidR="00661519" w:rsidP="00661519" w:rsidRDefault="00661519" w14:paraId="04C3603C"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564FA20E"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4808DF22"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1764F259"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16B1EF64"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43398580"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10C365DB"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33273AAE"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3DA472A0" w14:textId="77777777">
        <w:tc>
          <w:tcPr>
            <w:tcW w:w="3936" w:type="dxa"/>
            <w:vAlign w:val="bottom"/>
          </w:tcPr>
          <w:p w:rsidRPr="009C48DA" w:rsidR="00661519" w:rsidP="00661519" w:rsidRDefault="00661519" w14:paraId="2547442A" w14:textId="77777777">
            <w:pPr>
              <w:jc w:val="both"/>
              <w:textAlignment w:val="baseline"/>
              <w:rPr>
                <w:rFonts w:eastAsia="Times New Roman"/>
                <w:b/>
                <w:color w:val="000000"/>
                <w:sz w:val="16"/>
                <w:lang w:val="en-GB"/>
              </w:rPr>
            </w:pPr>
            <w:r w:rsidRPr="009C48DA">
              <w:rPr>
                <w:rFonts w:eastAsia="Times New Roman"/>
                <w:b/>
                <w:color w:val="000000"/>
                <w:sz w:val="16"/>
                <w:lang w:val="en-GB"/>
              </w:rPr>
              <w:t>Opening balance</w:t>
            </w:r>
          </w:p>
        </w:tc>
        <w:tc>
          <w:tcPr>
            <w:tcW w:w="1275" w:type="dxa"/>
            <w:vAlign w:val="center"/>
          </w:tcPr>
          <w:p w:rsidRPr="009C48DA" w:rsidR="00661519" w:rsidP="00661519" w:rsidRDefault="00661519" w14:paraId="3A0EBE5A" w14:textId="77777777">
            <w:pPr>
              <w:jc w:val="right"/>
              <w:textAlignment w:val="baseline"/>
              <w:rPr>
                <w:rFonts w:eastAsia="Times New Roman"/>
                <w:color w:val="000000"/>
                <w:sz w:val="16"/>
                <w:lang w:val="en-GB"/>
              </w:rPr>
            </w:pPr>
            <w:r w:rsidRPr="009C48DA">
              <w:rPr>
                <w:rFonts w:eastAsia="Times New Roman"/>
                <w:color w:val="000000"/>
                <w:sz w:val="16"/>
                <w:lang w:val="en-GB"/>
              </w:rPr>
              <w:t>48,587</w:t>
            </w:r>
          </w:p>
        </w:tc>
        <w:tc>
          <w:tcPr>
            <w:tcW w:w="1276" w:type="dxa"/>
            <w:vAlign w:val="center"/>
          </w:tcPr>
          <w:p w:rsidRPr="009C48DA" w:rsidR="00661519" w:rsidP="00661519" w:rsidRDefault="00661519" w14:paraId="62A94AED" w14:textId="77777777">
            <w:pPr>
              <w:jc w:val="right"/>
              <w:textAlignment w:val="baseline"/>
              <w:rPr>
                <w:rFonts w:eastAsia="Times New Roman"/>
                <w:color w:val="000000"/>
                <w:sz w:val="16"/>
                <w:lang w:val="en-GB"/>
              </w:rPr>
            </w:pPr>
            <w:r w:rsidRPr="009C48DA">
              <w:rPr>
                <w:rFonts w:eastAsia="Times New Roman"/>
                <w:color w:val="000000"/>
                <w:sz w:val="16"/>
                <w:lang w:val="en-GB"/>
              </w:rPr>
              <w:t>86,363</w:t>
            </w:r>
          </w:p>
        </w:tc>
        <w:tc>
          <w:tcPr>
            <w:tcW w:w="1276" w:type="dxa"/>
            <w:vAlign w:val="center"/>
          </w:tcPr>
          <w:p w:rsidRPr="009C48DA" w:rsidR="00661519" w:rsidP="00661519" w:rsidRDefault="00661519" w14:paraId="13AC43D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center"/>
          </w:tcPr>
          <w:p w:rsidRPr="009C48DA" w:rsidR="00661519" w:rsidP="00661519" w:rsidRDefault="00661519" w14:paraId="52B32522"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60A027D9" w14:textId="77777777">
        <w:tc>
          <w:tcPr>
            <w:tcW w:w="3936" w:type="dxa"/>
            <w:vAlign w:val="bottom"/>
          </w:tcPr>
          <w:p w:rsidRPr="009C48DA" w:rsidR="00661519" w:rsidP="00661519" w:rsidRDefault="00661519" w14:paraId="68CE45D4" w14:textId="77777777">
            <w:pPr>
              <w:jc w:val="both"/>
              <w:textAlignment w:val="baseline"/>
              <w:rPr>
                <w:rFonts w:eastAsia="Times New Roman"/>
                <w:color w:val="000000"/>
                <w:sz w:val="16"/>
                <w:lang w:val="en-GB"/>
              </w:rPr>
            </w:pPr>
            <w:r w:rsidRPr="009C48DA">
              <w:rPr>
                <w:rFonts w:eastAsia="Times New Roman"/>
                <w:color w:val="000000"/>
                <w:sz w:val="16"/>
                <w:lang w:val="en-GB"/>
              </w:rPr>
              <w:t>Additions</w:t>
            </w:r>
          </w:p>
        </w:tc>
        <w:tc>
          <w:tcPr>
            <w:tcW w:w="1275" w:type="dxa"/>
            <w:vAlign w:val="center"/>
          </w:tcPr>
          <w:p w:rsidRPr="009C48DA" w:rsidR="00661519" w:rsidP="00661519" w:rsidRDefault="00661519" w14:paraId="4C59D0D3" w14:textId="77777777">
            <w:pPr>
              <w:jc w:val="right"/>
              <w:textAlignment w:val="baseline"/>
              <w:rPr>
                <w:rFonts w:eastAsia="Times New Roman"/>
                <w:color w:val="000000"/>
                <w:sz w:val="16"/>
                <w:lang w:val="en-GB"/>
              </w:rPr>
            </w:pPr>
            <w:r w:rsidRPr="009C48DA">
              <w:rPr>
                <w:rFonts w:eastAsia="Times New Roman"/>
                <w:color w:val="000000"/>
                <w:sz w:val="16"/>
                <w:lang w:val="en-GB"/>
              </w:rPr>
              <w:t>57,322</w:t>
            </w:r>
          </w:p>
        </w:tc>
        <w:tc>
          <w:tcPr>
            <w:tcW w:w="1276" w:type="dxa"/>
            <w:vAlign w:val="center"/>
          </w:tcPr>
          <w:p w:rsidRPr="009C48DA" w:rsidR="00661519" w:rsidP="00661519" w:rsidRDefault="00661519" w14:paraId="2CACFD54" w14:textId="77777777">
            <w:pPr>
              <w:jc w:val="right"/>
              <w:textAlignment w:val="baseline"/>
              <w:rPr>
                <w:rFonts w:eastAsia="Times New Roman"/>
                <w:color w:val="000000"/>
                <w:sz w:val="16"/>
                <w:lang w:val="en-GB"/>
              </w:rPr>
            </w:pPr>
            <w:r w:rsidRPr="009C48DA">
              <w:rPr>
                <w:rFonts w:eastAsia="Times New Roman"/>
                <w:color w:val="000000"/>
                <w:sz w:val="16"/>
                <w:lang w:val="en-GB"/>
              </w:rPr>
              <w:t>34,947</w:t>
            </w:r>
          </w:p>
        </w:tc>
        <w:tc>
          <w:tcPr>
            <w:tcW w:w="1276" w:type="dxa"/>
            <w:vAlign w:val="center"/>
          </w:tcPr>
          <w:p w:rsidRPr="009C48DA" w:rsidR="00661519" w:rsidP="00661519" w:rsidRDefault="00661519" w14:paraId="037F4EB8"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center"/>
          </w:tcPr>
          <w:p w:rsidRPr="009C48DA" w:rsidR="00661519" w:rsidP="00661519" w:rsidRDefault="00661519" w14:paraId="45FB9C18"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18350176" w14:textId="77777777">
        <w:tc>
          <w:tcPr>
            <w:tcW w:w="3936" w:type="dxa"/>
            <w:vAlign w:val="bottom"/>
          </w:tcPr>
          <w:p w:rsidRPr="009C48DA" w:rsidR="00661519" w:rsidP="00661519" w:rsidRDefault="00661519" w14:paraId="7B259595" w14:textId="77777777">
            <w:pPr>
              <w:jc w:val="both"/>
              <w:textAlignment w:val="baseline"/>
              <w:rPr>
                <w:rFonts w:eastAsia="Times New Roman"/>
                <w:color w:val="000000"/>
                <w:sz w:val="16"/>
                <w:lang w:val="en-GB"/>
              </w:rPr>
            </w:pPr>
            <w:r w:rsidRPr="009C48DA">
              <w:rPr>
                <w:rFonts w:eastAsia="Times New Roman"/>
                <w:color w:val="000000"/>
                <w:sz w:val="16"/>
                <w:lang w:val="en-GB"/>
              </w:rPr>
              <w:t>Receipts</w:t>
            </w:r>
          </w:p>
        </w:tc>
        <w:tc>
          <w:tcPr>
            <w:tcW w:w="1275" w:type="dxa"/>
            <w:vAlign w:val="center"/>
          </w:tcPr>
          <w:p w:rsidRPr="009C48DA" w:rsidR="00661519" w:rsidP="00661519" w:rsidRDefault="00661519" w14:paraId="6BE86897" w14:textId="77777777">
            <w:pPr>
              <w:jc w:val="right"/>
              <w:textAlignment w:val="baseline"/>
              <w:rPr>
                <w:rFonts w:eastAsia="Times New Roman"/>
                <w:color w:val="000000"/>
                <w:sz w:val="16"/>
                <w:lang w:val="en-GB"/>
              </w:rPr>
            </w:pPr>
            <w:r w:rsidRPr="009C48DA">
              <w:rPr>
                <w:rFonts w:eastAsia="Times New Roman"/>
                <w:color w:val="000000"/>
                <w:sz w:val="16"/>
                <w:lang w:val="en-GB"/>
              </w:rPr>
              <w:t>(21,486)</w:t>
            </w:r>
          </w:p>
        </w:tc>
        <w:tc>
          <w:tcPr>
            <w:tcW w:w="1276" w:type="dxa"/>
            <w:vAlign w:val="center"/>
          </w:tcPr>
          <w:p w:rsidRPr="009C48DA" w:rsidR="00661519" w:rsidP="00661519" w:rsidRDefault="00661519" w14:paraId="4E01659C" w14:textId="77777777">
            <w:pPr>
              <w:jc w:val="right"/>
              <w:textAlignment w:val="baseline"/>
              <w:rPr>
                <w:rFonts w:eastAsia="Times New Roman"/>
                <w:color w:val="000000"/>
                <w:sz w:val="16"/>
                <w:lang w:val="en-GB"/>
              </w:rPr>
            </w:pPr>
            <w:r w:rsidRPr="009C48DA">
              <w:rPr>
                <w:rFonts w:eastAsia="Times New Roman"/>
                <w:color w:val="000000"/>
                <w:sz w:val="16"/>
                <w:lang w:val="en-GB"/>
              </w:rPr>
              <w:t>(121,310)</w:t>
            </w:r>
          </w:p>
        </w:tc>
        <w:tc>
          <w:tcPr>
            <w:tcW w:w="1276" w:type="dxa"/>
            <w:vAlign w:val="center"/>
          </w:tcPr>
          <w:p w:rsidRPr="009C48DA" w:rsidR="00661519" w:rsidP="00661519" w:rsidRDefault="00661519" w14:paraId="26A3FC2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center"/>
          </w:tcPr>
          <w:p w:rsidRPr="009C48DA" w:rsidR="00661519" w:rsidP="00661519" w:rsidRDefault="00661519" w14:paraId="7C0CF58C"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3058F3D6" w14:textId="77777777">
        <w:tc>
          <w:tcPr>
            <w:tcW w:w="3936" w:type="dxa"/>
            <w:vAlign w:val="bottom"/>
          </w:tcPr>
          <w:p w:rsidRPr="009C48DA" w:rsidR="00661519" w:rsidP="00661519" w:rsidRDefault="00661519" w14:paraId="4485BA3F" w14:textId="77777777">
            <w:pPr>
              <w:jc w:val="both"/>
              <w:textAlignment w:val="baseline"/>
              <w:rPr>
                <w:rFonts w:eastAsia="Times New Roman"/>
                <w:color w:val="000000"/>
                <w:sz w:val="16"/>
                <w:lang w:val="en-GB"/>
              </w:rPr>
            </w:pPr>
            <w:r w:rsidRPr="009C48DA">
              <w:rPr>
                <w:rFonts w:eastAsia="Times New Roman"/>
                <w:color w:val="000000"/>
                <w:sz w:val="16"/>
                <w:lang w:val="en-GB"/>
              </w:rPr>
              <w:t>Foreign exchange movements</w:t>
            </w:r>
          </w:p>
        </w:tc>
        <w:tc>
          <w:tcPr>
            <w:tcW w:w="1275" w:type="dxa"/>
            <w:vAlign w:val="center"/>
          </w:tcPr>
          <w:p w:rsidRPr="009C48DA" w:rsidR="00661519" w:rsidP="00661519" w:rsidRDefault="00661519" w14:paraId="5946ED6F" w14:textId="77777777">
            <w:pPr>
              <w:jc w:val="right"/>
              <w:textAlignment w:val="baseline"/>
              <w:rPr>
                <w:rFonts w:eastAsia="Times New Roman"/>
                <w:color w:val="000000"/>
                <w:sz w:val="16"/>
                <w:lang w:val="en-GB"/>
              </w:rPr>
            </w:pPr>
            <w:r w:rsidRPr="009C48DA">
              <w:rPr>
                <w:rFonts w:eastAsia="Times New Roman"/>
                <w:color w:val="000000"/>
                <w:sz w:val="16"/>
                <w:lang w:val="en-GB"/>
              </w:rPr>
              <w:t>1,068</w:t>
            </w:r>
          </w:p>
        </w:tc>
        <w:tc>
          <w:tcPr>
            <w:tcW w:w="1276" w:type="dxa"/>
            <w:vAlign w:val="center"/>
          </w:tcPr>
          <w:p w:rsidRPr="009C48DA" w:rsidR="00661519" w:rsidP="00661519" w:rsidRDefault="00661519" w14:paraId="110FA068"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center"/>
          </w:tcPr>
          <w:p w:rsidRPr="009C48DA" w:rsidR="00661519" w:rsidP="00661519" w:rsidRDefault="00661519" w14:paraId="1F896A88"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center"/>
          </w:tcPr>
          <w:p w:rsidRPr="009C48DA" w:rsidR="00661519" w:rsidP="00661519" w:rsidRDefault="00661519" w14:paraId="75C8B872"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792F6F4E" w14:textId="77777777">
        <w:tc>
          <w:tcPr>
            <w:tcW w:w="3936" w:type="dxa"/>
            <w:vAlign w:val="center"/>
          </w:tcPr>
          <w:p w:rsidRPr="009C48DA" w:rsidR="00661519" w:rsidP="00661519" w:rsidRDefault="00661519" w14:paraId="5F8F2D7C" w14:textId="77777777">
            <w:pPr>
              <w:jc w:val="both"/>
              <w:textAlignment w:val="baseline"/>
              <w:rPr>
                <w:rFonts w:eastAsia="Times New Roman"/>
                <w:color w:val="000000"/>
                <w:sz w:val="16"/>
                <w:lang w:val="en-GB"/>
              </w:rPr>
            </w:pPr>
            <w:r w:rsidRPr="009C48DA">
              <w:rPr>
                <w:rFonts w:eastAsia="Times New Roman"/>
                <w:color w:val="000000"/>
                <w:sz w:val="16"/>
                <w:lang w:val="en-GB"/>
              </w:rPr>
              <w:t>Interest receivable</w:t>
            </w:r>
          </w:p>
        </w:tc>
        <w:tc>
          <w:tcPr>
            <w:tcW w:w="1275" w:type="dxa"/>
            <w:vAlign w:val="bottom"/>
          </w:tcPr>
          <w:p w:rsidRPr="009C48DA" w:rsidR="00661519" w:rsidP="00661519" w:rsidRDefault="00661519" w14:paraId="12D0D899"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872</w:t>
            </w:r>
          </w:p>
        </w:tc>
        <w:tc>
          <w:tcPr>
            <w:tcW w:w="1276" w:type="dxa"/>
            <w:vAlign w:val="bottom"/>
          </w:tcPr>
          <w:p w:rsidRPr="009C48DA" w:rsidR="00661519" w:rsidP="00661519" w:rsidRDefault="00661519" w14:paraId="7112244B"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bottom"/>
          </w:tcPr>
          <w:p w:rsidRPr="009C48DA" w:rsidR="00661519" w:rsidP="00661519" w:rsidRDefault="00661519" w14:paraId="600752B8"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bottom"/>
          </w:tcPr>
          <w:p w:rsidRPr="009C48DA" w:rsidR="00661519" w:rsidP="00661519" w:rsidRDefault="00661519" w14:paraId="13FD5841"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622536AF" w14:textId="77777777">
        <w:trPr>
          <w:trHeight w:val="311"/>
        </w:trPr>
        <w:tc>
          <w:tcPr>
            <w:tcW w:w="3936" w:type="dxa"/>
            <w:vAlign w:val="center"/>
          </w:tcPr>
          <w:p w:rsidRPr="009C48DA" w:rsidR="00661519" w:rsidP="00661519" w:rsidRDefault="00661519" w14:paraId="2BCDFE4B" w14:textId="77777777">
            <w:pPr>
              <w:textAlignment w:val="baseline"/>
              <w:rPr>
                <w:rFonts w:eastAsia="Times New Roman"/>
                <w:b/>
                <w:color w:val="000000"/>
                <w:sz w:val="16"/>
                <w:lang w:val="en-GB"/>
              </w:rPr>
            </w:pPr>
            <w:r w:rsidRPr="009C48DA">
              <w:rPr>
                <w:rFonts w:eastAsia="Times New Roman"/>
                <w:b/>
                <w:color w:val="000000"/>
                <w:sz w:val="16"/>
                <w:lang w:val="en-GB"/>
              </w:rPr>
              <w:t>Closing balance</w:t>
            </w:r>
          </w:p>
        </w:tc>
        <w:tc>
          <w:tcPr>
            <w:tcW w:w="1275" w:type="dxa"/>
            <w:vAlign w:val="center"/>
          </w:tcPr>
          <w:p w:rsidRPr="009C48DA" w:rsidR="00661519" w:rsidP="00661519" w:rsidRDefault="00661519" w14:paraId="18A15FEF"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86,363</w:t>
            </w:r>
          </w:p>
        </w:tc>
        <w:tc>
          <w:tcPr>
            <w:tcW w:w="1276" w:type="dxa"/>
            <w:vAlign w:val="center"/>
          </w:tcPr>
          <w:p w:rsidRPr="009C48DA" w:rsidR="00661519" w:rsidP="00661519" w:rsidRDefault="00661519" w14:paraId="01EA21C1" w14:textId="77777777">
            <w:pPr>
              <w:pBdr>
                <w:bottom w:val="double" w:color="auto" w:sz="12" w:space="1"/>
              </w:pBdr>
              <w:jc w:val="right"/>
              <w:textAlignment w:val="baseline"/>
              <w:rPr>
                <w:rFonts w:eastAsia="Times New Roman"/>
                <w:b/>
                <w:color w:val="000000"/>
                <w:sz w:val="16"/>
                <w:lang w:val="en-GB"/>
              </w:rPr>
            </w:pPr>
            <w:r w:rsidRPr="009C48DA">
              <w:rPr>
                <w:rFonts w:eastAsia="Times New Roman"/>
                <w:b/>
                <w:color w:val="000000"/>
                <w:sz w:val="16"/>
                <w:lang w:val="en-GB"/>
              </w:rPr>
              <w:t>-</w:t>
            </w:r>
          </w:p>
        </w:tc>
        <w:tc>
          <w:tcPr>
            <w:tcW w:w="1276" w:type="dxa"/>
            <w:vAlign w:val="center"/>
          </w:tcPr>
          <w:p w:rsidRPr="009C48DA" w:rsidR="00661519" w:rsidP="00661519" w:rsidRDefault="00661519" w14:paraId="0E1D98FF"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center"/>
          </w:tcPr>
          <w:p w:rsidRPr="009C48DA" w:rsidR="00661519" w:rsidP="00661519" w:rsidRDefault="00661519" w14:paraId="208324BD"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r>
    </w:tbl>
    <w:p w:rsidRPr="009C48DA" w:rsidR="00661519" w:rsidP="00661519" w:rsidRDefault="00661519" w14:paraId="48AFB11D" w14:textId="77777777">
      <w:pPr>
        <w:rPr>
          <w:rFonts w:eastAsia="Times New Roman" w:cs="Times New Roman"/>
          <w:color w:val="000000"/>
          <w:sz w:val="16"/>
          <w:szCs w:val="22"/>
          <w:lang w:val="en-GB"/>
        </w:rPr>
      </w:pPr>
    </w:p>
    <w:p w:rsidRPr="009C48DA" w:rsidR="00661519" w:rsidP="00661519" w:rsidRDefault="00661519" w14:paraId="172A81B3" w14:textId="77777777">
      <w:pPr>
        <w:rPr>
          <w:rFonts w:eastAsia="Times New Roman" w:cs="Times New Roman"/>
          <w:b/>
          <w:color w:val="000000"/>
          <w:sz w:val="16"/>
          <w:szCs w:val="22"/>
          <w:lang w:val="en-GB"/>
        </w:rPr>
      </w:pPr>
      <w:r w:rsidRPr="009C48DA">
        <w:rPr>
          <w:rFonts w:eastAsia="Times New Roman"/>
          <w:color w:val="000000"/>
          <w:sz w:val="16"/>
          <w:lang w:val="en-GB"/>
        </w:rPr>
        <w:t>There are no material differences between the investments at amortised cost and their fair value</w:t>
      </w:r>
      <w:r w:rsidRPr="009C48DA">
        <w:rPr>
          <w:rFonts w:eastAsia="Times New Roman" w:cs="Times New Roman"/>
          <w:b/>
          <w:color w:val="000000"/>
          <w:sz w:val="16"/>
          <w:szCs w:val="22"/>
          <w:lang w:val="en-GB"/>
        </w:rPr>
        <w:t xml:space="preserve"> </w:t>
      </w:r>
      <w:r w:rsidRPr="009C48DA">
        <w:rPr>
          <w:rFonts w:eastAsia="Times New Roman" w:cs="Times New Roman"/>
          <w:b/>
          <w:color w:val="000000"/>
          <w:sz w:val="16"/>
          <w:szCs w:val="22"/>
          <w:lang w:val="en-GB"/>
        </w:rPr>
        <w:br w:type="page"/>
      </w:r>
    </w:p>
    <w:p w:rsidRPr="009C48DA" w:rsidR="00661519" w:rsidP="00661519" w:rsidRDefault="00661519" w14:paraId="54BE7389" w14:textId="77777777">
      <w:pPr>
        <w:ind w:right="74"/>
        <w:jc w:val="both"/>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lastRenderedPageBreak/>
        <w:t>(e)</w:t>
      </w:r>
      <w:r w:rsidRPr="009C48DA">
        <w:rPr>
          <w:rFonts w:eastAsia="Times New Roman" w:cs="Times New Roman"/>
          <w:b/>
          <w:color w:val="000000"/>
          <w:sz w:val="16"/>
          <w:szCs w:val="22"/>
          <w:lang w:val="en-GB"/>
        </w:rPr>
        <w:tab/>
        <w:t>Derivative financial assets</w:t>
      </w:r>
    </w:p>
    <w:p w:rsidRPr="009C48DA" w:rsidR="00661519" w:rsidP="00661519" w:rsidRDefault="00661519" w14:paraId="296341DC" w14:textId="77777777">
      <w:pPr>
        <w:ind w:right="74"/>
        <w:jc w:val="both"/>
        <w:textAlignment w:val="baseline"/>
        <w:rPr>
          <w:rFonts w:eastAsia="Times New Roman" w:cs="Times New Roman"/>
          <w:b/>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26"/>
        <w:gridCol w:w="1304"/>
        <w:gridCol w:w="1305"/>
        <w:gridCol w:w="1305"/>
        <w:gridCol w:w="1305"/>
      </w:tblGrid>
      <w:tr w:rsidRPr="009C48DA" w:rsidR="00661519" w:rsidTr="00661519" w14:paraId="0ADABD6A" w14:textId="77777777">
        <w:trPr>
          <w:trHeight w:val="412"/>
        </w:trPr>
        <w:tc>
          <w:tcPr>
            <w:tcW w:w="4026" w:type="dxa"/>
            <w:vAlign w:val="bottom"/>
          </w:tcPr>
          <w:p w:rsidRPr="009C48DA" w:rsidR="00661519" w:rsidP="00661519" w:rsidRDefault="00661519" w14:paraId="5FE26EC2" w14:textId="77777777">
            <w:pPr>
              <w:jc w:val="both"/>
              <w:textAlignment w:val="baseline"/>
              <w:rPr>
                <w:rFonts w:eastAsia="Times New Roman"/>
                <w:b/>
                <w:color w:val="000000"/>
                <w:sz w:val="16"/>
                <w:lang w:val="en-GB"/>
              </w:rPr>
            </w:pPr>
          </w:p>
        </w:tc>
        <w:tc>
          <w:tcPr>
            <w:tcW w:w="3914" w:type="dxa"/>
            <w:gridSpan w:val="3"/>
            <w:vAlign w:val="bottom"/>
          </w:tcPr>
          <w:p w:rsidRPr="009C48DA" w:rsidR="00661519" w:rsidP="00661519" w:rsidRDefault="00661519" w14:paraId="0CC00084"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31 December</w:t>
            </w:r>
          </w:p>
        </w:tc>
        <w:tc>
          <w:tcPr>
            <w:tcW w:w="1305" w:type="dxa"/>
            <w:vAlign w:val="bottom"/>
          </w:tcPr>
          <w:p w:rsidRPr="009C48DA" w:rsidR="00661519" w:rsidP="00661519" w:rsidRDefault="00661519" w14:paraId="3CE07AFB"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31 March</w:t>
            </w:r>
          </w:p>
        </w:tc>
      </w:tr>
      <w:tr w:rsidRPr="009C48DA" w:rsidR="00661519" w:rsidTr="00661519" w14:paraId="66A98C58" w14:textId="77777777">
        <w:trPr>
          <w:trHeight w:val="412"/>
        </w:trPr>
        <w:tc>
          <w:tcPr>
            <w:tcW w:w="4026" w:type="dxa"/>
            <w:vAlign w:val="bottom"/>
          </w:tcPr>
          <w:p w:rsidRPr="009C48DA" w:rsidR="00661519" w:rsidP="00661519" w:rsidRDefault="00661519" w14:paraId="04A130E7" w14:textId="77777777">
            <w:pPr>
              <w:jc w:val="both"/>
              <w:textAlignment w:val="baseline"/>
              <w:rPr>
                <w:rFonts w:eastAsia="Times New Roman"/>
                <w:b/>
                <w:color w:val="000000"/>
                <w:sz w:val="16"/>
                <w:lang w:val="en-GB"/>
              </w:rPr>
            </w:pPr>
          </w:p>
        </w:tc>
        <w:tc>
          <w:tcPr>
            <w:tcW w:w="1304" w:type="dxa"/>
            <w:vAlign w:val="bottom"/>
          </w:tcPr>
          <w:p w:rsidRPr="009C48DA" w:rsidR="00661519" w:rsidP="00661519" w:rsidRDefault="00661519" w14:paraId="36DDB388"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723D4949"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05" w:type="dxa"/>
            <w:vAlign w:val="bottom"/>
          </w:tcPr>
          <w:p w:rsidRPr="009C48DA" w:rsidR="00661519" w:rsidP="00661519" w:rsidRDefault="00661519" w14:paraId="34317067"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67B1F50F"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05" w:type="dxa"/>
            <w:vAlign w:val="bottom"/>
          </w:tcPr>
          <w:p w:rsidRPr="009C48DA" w:rsidR="00661519" w:rsidP="00661519" w:rsidRDefault="00661519" w14:paraId="311331E4"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486DD1D1"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05" w:type="dxa"/>
            <w:vAlign w:val="bottom"/>
          </w:tcPr>
          <w:p w:rsidRPr="009C48DA" w:rsidR="00661519" w:rsidP="00661519" w:rsidRDefault="00661519" w14:paraId="38171E89"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69FB3EEA"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5D8BD632" w14:textId="77777777">
        <w:trPr>
          <w:trHeight w:val="199"/>
        </w:trPr>
        <w:tc>
          <w:tcPr>
            <w:tcW w:w="4026" w:type="dxa"/>
            <w:vAlign w:val="bottom"/>
          </w:tcPr>
          <w:p w:rsidRPr="009C48DA" w:rsidR="00661519" w:rsidP="00661519" w:rsidRDefault="00661519" w14:paraId="1179F70B" w14:textId="77777777">
            <w:pPr>
              <w:textAlignment w:val="baseline"/>
              <w:rPr>
                <w:rFonts w:eastAsia="Times New Roman"/>
                <w:i/>
                <w:color w:val="000000"/>
                <w:sz w:val="16"/>
                <w:lang w:val="en-GB"/>
              </w:rPr>
            </w:pPr>
            <w:r w:rsidRPr="009C48DA">
              <w:rPr>
                <w:rFonts w:eastAsia="Times New Roman"/>
                <w:b/>
                <w:i/>
                <w:color w:val="000000"/>
                <w:sz w:val="16"/>
                <w:lang w:val="en-GB"/>
              </w:rPr>
              <w:t>Derivative financial asset</w:t>
            </w:r>
          </w:p>
        </w:tc>
        <w:tc>
          <w:tcPr>
            <w:tcW w:w="1304" w:type="dxa"/>
            <w:vAlign w:val="center"/>
          </w:tcPr>
          <w:p w:rsidRPr="009C48DA" w:rsidR="00661519" w:rsidP="00661519" w:rsidRDefault="00661519" w14:paraId="0F072A21" w14:textId="77777777">
            <w:pPr>
              <w:jc w:val="right"/>
              <w:textAlignment w:val="baseline"/>
              <w:rPr>
                <w:rFonts w:eastAsia="Times New Roman"/>
                <w:color w:val="000000"/>
                <w:sz w:val="16"/>
                <w:lang w:val="en-GB"/>
              </w:rPr>
            </w:pPr>
          </w:p>
        </w:tc>
        <w:tc>
          <w:tcPr>
            <w:tcW w:w="1305" w:type="dxa"/>
            <w:vAlign w:val="center"/>
          </w:tcPr>
          <w:p w:rsidRPr="009C48DA" w:rsidR="00661519" w:rsidP="00661519" w:rsidRDefault="00661519" w14:paraId="20E7F242" w14:textId="77777777">
            <w:pPr>
              <w:jc w:val="right"/>
              <w:textAlignment w:val="baseline"/>
              <w:rPr>
                <w:rFonts w:eastAsia="Times New Roman"/>
                <w:color w:val="000000"/>
                <w:sz w:val="16"/>
                <w:lang w:val="en-GB"/>
              </w:rPr>
            </w:pPr>
          </w:p>
        </w:tc>
        <w:tc>
          <w:tcPr>
            <w:tcW w:w="1305" w:type="dxa"/>
            <w:vAlign w:val="center"/>
          </w:tcPr>
          <w:p w:rsidRPr="009C48DA" w:rsidR="00661519" w:rsidP="00661519" w:rsidRDefault="00661519" w14:paraId="7D457F47" w14:textId="77777777">
            <w:pPr>
              <w:jc w:val="right"/>
              <w:textAlignment w:val="baseline"/>
              <w:rPr>
                <w:rFonts w:eastAsia="Times New Roman"/>
                <w:b/>
                <w:color w:val="000000"/>
                <w:sz w:val="16"/>
                <w:lang w:val="en-GB"/>
              </w:rPr>
            </w:pPr>
          </w:p>
        </w:tc>
        <w:tc>
          <w:tcPr>
            <w:tcW w:w="1305" w:type="dxa"/>
            <w:vAlign w:val="center"/>
          </w:tcPr>
          <w:p w:rsidRPr="009C48DA" w:rsidR="00661519" w:rsidP="00661519" w:rsidRDefault="00661519" w14:paraId="6E30B48F" w14:textId="77777777">
            <w:pPr>
              <w:jc w:val="right"/>
              <w:textAlignment w:val="baseline"/>
              <w:rPr>
                <w:rFonts w:eastAsia="Times New Roman"/>
                <w:b/>
                <w:color w:val="000000"/>
                <w:sz w:val="16"/>
                <w:lang w:val="en-GB"/>
              </w:rPr>
            </w:pPr>
          </w:p>
        </w:tc>
      </w:tr>
      <w:tr w:rsidRPr="009C48DA" w:rsidR="00661519" w:rsidTr="00661519" w14:paraId="6A44094D" w14:textId="77777777">
        <w:trPr>
          <w:trHeight w:val="249"/>
        </w:trPr>
        <w:tc>
          <w:tcPr>
            <w:tcW w:w="4026" w:type="dxa"/>
            <w:vAlign w:val="center"/>
          </w:tcPr>
          <w:p w:rsidRPr="009C48DA" w:rsidR="00661519" w:rsidP="00661519" w:rsidRDefault="00661519" w14:paraId="58A52CEE" w14:textId="77777777">
            <w:pPr>
              <w:jc w:val="both"/>
              <w:textAlignment w:val="baseline"/>
              <w:rPr>
                <w:rFonts w:eastAsia="Times New Roman"/>
                <w:color w:val="000000"/>
                <w:sz w:val="16"/>
                <w:lang w:val="en-GB"/>
              </w:rPr>
            </w:pPr>
            <w:r w:rsidRPr="009C48DA">
              <w:rPr>
                <w:rFonts w:eastAsia="Times New Roman"/>
                <w:color w:val="000000"/>
                <w:sz w:val="16"/>
                <w:lang w:val="en-GB"/>
              </w:rPr>
              <w:t>Forward contracts</w:t>
            </w:r>
          </w:p>
        </w:tc>
        <w:tc>
          <w:tcPr>
            <w:tcW w:w="1304" w:type="dxa"/>
            <w:vAlign w:val="center"/>
          </w:tcPr>
          <w:p w:rsidRPr="009C48DA" w:rsidR="00661519" w:rsidP="00661519" w:rsidRDefault="00661519" w14:paraId="53B98E76"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305" w:type="dxa"/>
            <w:vAlign w:val="center"/>
          </w:tcPr>
          <w:p w:rsidRPr="009C48DA" w:rsidR="00661519" w:rsidP="00661519" w:rsidRDefault="00661519" w14:paraId="109B2335"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2,015</w:t>
            </w:r>
          </w:p>
        </w:tc>
        <w:tc>
          <w:tcPr>
            <w:tcW w:w="1305" w:type="dxa"/>
            <w:vAlign w:val="center"/>
          </w:tcPr>
          <w:p w:rsidRPr="009C48DA" w:rsidR="00661519" w:rsidP="00661519" w:rsidRDefault="00661519" w14:paraId="2AA24FAB"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305" w:type="dxa"/>
            <w:vAlign w:val="center"/>
          </w:tcPr>
          <w:p w:rsidRPr="009C48DA" w:rsidR="00661519" w:rsidP="00661519" w:rsidRDefault="00661519" w14:paraId="2FD71B6E"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5,841</w:t>
            </w:r>
          </w:p>
        </w:tc>
      </w:tr>
    </w:tbl>
    <w:p w:rsidRPr="009C48DA" w:rsidR="00661519" w:rsidP="00661519" w:rsidRDefault="00661519" w14:paraId="4F25AD9B" w14:textId="77777777">
      <w:pPr>
        <w:ind w:right="74"/>
        <w:jc w:val="both"/>
        <w:textAlignment w:val="baseline"/>
        <w:rPr>
          <w:rFonts w:eastAsia="Times New Roman" w:cs="Times New Roman"/>
          <w:b/>
          <w:color w:val="000000"/>
          <w:sz w:val="16"/>
          <w:szCs w:val="22"/>
          <w:lang w:val="en-GB"/>
        </w:rPr>
      </w:pPr>
    </w:p>
    <w:p w:rsidRPr="009C48DA" w:rsidR="00661519" w:rsidP="00661519" w:rsidRDefault="00661519" w14:paraId="7381FCF4" w14:textId="77777777">
      <w:pPr>
        <w:ind w:right="74"/>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derivative financial assets relate to forward contracts that are used to hedge foreign exchange risk. Further detail on the hedging </w:t>
      </w:r>
    </w:p>
    <w:p w:rsidRPr="009C48DA" w:rsidR="00661519" w:rsidP="00661519" w:rsidRDefault="00661519" w14:paraId="5CD22130" w14:textId="77777777">
      <w:pPr>
        <w:ind w:right="74"/>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programme is set out in note 20(b).</w:t>
      </w:r>
    </w:p>
    <w:p w:rsidRPr="009C48DA" w:rsidR="00661519" w:rsidP="00661519" w:rsidRDefault="00661519" w14:paraId="045014B8" w14:textId="77777777">
      <w:pPr>
        <w:ind w:right="74"/>
        <w:jc w:val="both"/>
        <w:textAlignment w:val="baseline"/>
        <w:rPr>
          <w:rFonts w:eastAsia="Times New Roman" w:cs="Times New Roman"/>
          <w:color w:val="000000"/>
          <w:sz w:val="16"/>
          <w:szCs w:val="22"/>
          <w:lang w:val="en-GB"/>
        </w:rPr>
      </w:pPr>
    </w:p>
    <w:p w:rsidRPr="009C48DA" w:rsidR="00661519" w:rsidP="00661519" w:rsidRDefault="00661519" w14:paraId="0F378800" w14:textId="77777777">
      <w:pPr>
        <w:ind w:right="74"/>
        <w:jc w:val="both"/>
        <w:textAlignment w:val="baseline"/>
        <w:rPr>
          <w:rFonts w:eastAsia="Times New Roman" w:cs="Times New Roman"/>
          <w:color w:val="000000"/>
          <w:sz w:val="16"/>
          <w:szCs w:val="22"/>
          <w:lang w:val="en-GB"/>
        </w:rPr>
      </w:pPr>
    </w:p>
    <w:p w:rsidRPr="009C48DA" w:rsidR="00661519" w:rsidP="00661519" w:rsidRDefault="00661519" w14:paraId="60692178" w14:textId="77777777">
      <w:pPr>
        <w:ind w:right="74"/>
        <w:jc w:val="both"/>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(f)</w:t>
      </w:r>
      <w:r w:rsidRPr="009C48DA">
        <w:rPr>
          <w:rFonts w:eastAsia="Times New Roman" w:cs="Times New Roman"/>
          <w:b/>
          <w:color w:val="000000"/>
          <w:sz w:val="16"/>
          <w:szCs w:val="22"/>
          <w:lang w:val="en-GB"/>
        </w:rPr>
        <w:tab/>
        <w:t>Trade and other receivables</w:t>
      </w:r>
    </w:p>
    <w:p w:rsidRPr="009C48DA" w:rsidR="00661519" w:rsidP="00661519" w:rsidRDefault="00661519" w14:paraId="3C35DEA6" w14:textId="77777777">
      <w:pPr>
        <w:ind w:right="74"/>
        <w:jc w:val="both"/>
        <w:textAlignment w:val="baseline"/>
        <w:rPr>
          <w:rFonts w:eastAsia="Times New Roman" w:cs="Times New Roman"/>
          <w:b/>
          <w:color w:val="000000"/>
          <w:sz w:val="16"/>
          <w:szCs w:val="22"/>
          <w:lang w:val="en-GB"/>
        </w:rPr>
      </w:pPr>
    </w:p>
    <w:tbl>
      <w:tblPr>
        <w:tblStyle w:val="TableGrid30"/>
        <w:tblW w:w="92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34"/>
        <w:gridCol w:w="1306"/>
        <w:gridCol w:w="1307"/>
        <w:gridCol w:w="1307"/>
        <w:gridCol w:w="1307"/>
      </w:tblGrid>
      <w:tr w:rsidRPr="009C48DA" w:rsidR="00661519" w:rsidTr="00661519" w14:paraId="15B8E578" w14:textId="77777777">
        <w:trPr>
          <w:trHeight w:val="410"/>
        </w:trPr>
        <w:tc>
          <w:tcPr>
            <w:tcW w:w="4034" w:type="dxa"/>
            <w:vAlign w:val="bottom"/>
          </w:tcPr>
          <w:p w:rsidRPr="009C48DA" w:rsidR="00661519" w:rsidP="00661519" w:rsidRDefault="00661519" w14:paraId="79AB48EA" w14:textId="77777777">
            <w:pPr>
              <w:jc w:val="both"/>
              <w:textAlignment w:val="baseline"/>
              <w:rPr>
                <w:rFonts w:eastAsia="Times New Roman"/>
                <w:b/>
                <w:color w:val="000000"/>
                <w:sz w:val="16"/>
                <w:lang w:val="en-GB"/>
              </w:rPr>
            </w:pPr>
          </w:p>
        </w:tc>
        <w:tc>
          <w:tcPr>
            <w:tcW w:w="2613" w:type="dxa"/>
            <w:gridSpan w:val="2"/>
            <w:vAlign w:val="bottom"/>
          </w:tcPr>
          <w:p w:rsidRPr="009C48DA" w:rsidR="00661519" w:rsidP="00661519" w:rsidRDefault="00661519" w14:paraId="3B192534"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31 December</w:t>
            </w:r>
          </w:p>
        </w:tc>
        <w:tc>
          <w:tcPr>
            <w:tcW w:w="2614" w:type="dxa"/>
            <w:gridSpan w:val="2"/>
            <w:vAlign w:val="bottom"/>
          </w:tcPr>
          <w:p w:rsidRPr="009C48DA" w:rsidR="00661519" w:rsidP="00661519" w:rsidRDefault="00661519" w14:paraId="4EB520D2"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31 March</w:t>
            </w:r>
          </w:p>
        </w:tc>
      </w:tr>
      <w:tr w:rsidRPr="009C48DA" w:rsidR="00661519" w:rsidTr="00661519" w14:paraId="4B673BB1" w14:textId="77777777">
        <w:trPr>
          <w:trHeight w:val="410"/>
        </w:trPr>
        <w:tc>
          <w:tcPr>
            <w:tcW w:w="4034" w:type="dxa"/>
            <w:vAlign w:val="bottom"/>
          </w:tcPr>
          <w:p w:rsidRPr="009C48DA" w:rsidR="00661519" w:rsidP="00661519" w:rsidRDefault="00661519" w14:paraId="7147E383" w14:textId="77777777">
            <w:pPr>
              <w:jc w:val="both"/>
              <w:textAlignment w:val="baseline"/>
              <w:rPr>
                <w:rFonts w:eastAsia="Times New Roman"/>
                <w:b/>
                <w:color w:val="000000"/>
                <w:sz w:val="16"/>
                <w:lang w:val="en-GB"/>
              </w:rPr>
            </w:pPr>
          </w:p>
        </w:tc>
        <w:tc>
          <w:tcPr>
            <w:tcW w:w="1306" w:type="dxa"/>
            <w:vAlign w:val="bottom"/>
          </w:tcPr>
          <w:p w:rsidRPr="009C48DA" w:rsidR="00661519" w:rsidP="00661519" w:rsidRDefault="00661519" w14:paraId="6DF01E42"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2FC5CBFA"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07" w:type="dxa"/>
            <w:vAlign w:val="bottom"/>
          </w:tcPr>
          <w:p w:rsidRPr="009C48DA" w:rsidR="00661519" w:rsidP="00661519" w:rsidRDefault="00661519" w14:paraId="522F155A"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73530E3C"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07" w:type="dxa"/>
            <w:vAlign w:val="bottom"/>
          </w:tcPr>
          <w:p w:rsidRPr="009C48DA" w:rsidR="00661519" w:rsidP="00661519" w:rsidRDefault="00661519" w14:paraId="54560D41"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04476164"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07" w:type="dxa"/>
            <w:vAlign w:val="bottom"/>
          </w:tcPr>
          <w:p w:rsidRPr="009C48DA" w:rsidR="00661519" w:rsidP="00661519" w:rsidRDefault="00661519" w14:paraId="416FE696"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7CEDD73D"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75888692" w14:textId="77777777">
        <w:trPr>
          <w:trHeight w:val="200"/>
        </w:trPr>
        <w:tc>
          <w:tcPr>
            <w:tcW w:w="4034" w:type="dxa"/>
            <w:vAlign w:val="bottom"/>
          </w:tcPr>
          <w:p w:rsidRPr="009C48DA" w:rsidR="00661519" w:rsidP="00661519" w:rsidRDefault="00661519" w14:paraId="5269CAF1" w14:textId="77777777">
            <w:pPr>
              <w:textAlignment w:val="baseline"/>
              <w:rPr>
                <w:rFonts w:eastAsia="Times New Roman"/>
                <w:i/>
                <w:color w:val="000000"/>
                <w:sz w:val="16"/>
                <w:szCs w:val="16"/>
                <w:lang w:val="en-GB"/>
              </w:rPr>
            </w:pPr>
            <w:r w:rsidRPr="009C48DA">
              <w:rPr>
                <w:rFonts w:eastAsia="Times New Roman"/>
                <w:b/>
                <w:i/>
                <w:color w:val="000000"/>
                <w:sz w:val="16"/>
                <w:szCs w:val="16"/>
                <w:lang w:val="en-GB"/>
              </w:rPr>
              <w:t>Non-current:</w:t>
            </w:r>
          </w:p>
        </w:tc>
        <w:tc>
          <w:tcPr>
            <w:tcW w:w="1306" w:type="dxa"/>
            <w:vAlign w:val="center"/>
          </w:tcPr>
          <w:p w:rsidRPr="009C48DA" w:rsidR="00661519" w:rsidP="00661519" w:rsidRDefault="00661519" w14:paraId="3F9B70FE" w14:textId="77777777">
            <w:pPr>
              <w:jc w:val="right"/>
              <w:textAlignment w:val="baseline"/>
              <w:rPr>
                <w:rFonts w:eastAsia="Times New Roman"/>
                <w:color w:val="000000"/>
                <w:sz w:val="16"/>
                <w:szCs w:val="16"/>
                <w:lang w:val="en-GB"/>
              </w:rPr>
            </w:pPr>
          </w:p>
        </w:tc>
        <w:tc>
          <w:tcPr>
            <w:tcW w:w="1307" w:type="dxa"/>
            <w:vAlign w:val="center"/>
          </w:tcPr>
          <w:p w:rsidRPr="009C48DA" w:rsidR="00661519" w:rsidP="00661519" w:rsidRDefault="00661519" w14:paraId="494A9A43" w14:textId="77777777">
            <w:pPr>
              <w:jc w:val="right"/>
              <w:textAlignment w:val="baseline"/>
              <w:rPr>
                <w:rFonts w:eastAsia="Times New Roman"/>
                <w:color w:val="000000"/>
                <w:sz w:val="16"/>
                <w:szCs w:val="16"/>
                <w:lang w:val="en-GB"/>
              </w:rPr>
            </w:pPr>
          </w:p>
        </w:tc>
        <w:tc>
          <w:tcPr>
            <w:tcW w:w="1307" w:type="dxa"/>
            <w:vAlign w:val="center"/>
          </w:tcPr>
          <w:p w:rsidRPr="009C48DA" w:rsidR="00661519" w:rsidP="00661519" w:rsidRDefault="00661519" w14:paraId="4E0CDBF3" w14:textId="77777777">
            <w:pPr>
              <w:jc w:val="right"/>
              <w:textAlignment w:val="baseline"/>
              <w:rPr>
                <w:rFonts w:eastAsia="Times New Roman"/>
                <w:b/>
                <w:color w:val="000000"/>
                <w:sz w:val="16"/>
                <w:szCs w:val="16"/>
                <w:lang w:val="en-GB"/>
              </w:rPr>
            </w:pPr>
          </w:p>
        </w:tc>
        <w:tc>
          <w:tcPr>
            <w:tcW w:w="1307" w:type="dxa"/>
            <w:vAlign w:val="center"/>
          </w:tcPr>
          <w:p w:rsidRPr="009C48DA" w:rsidR="00661519" w:rsidP="00661519" w:rsidRDefault="00661519" w14:paraId="5E5ECA6C" w14:textId="77777777">
            <w:pPr>
              <w:jc w:val="right"/>
              <w:textAlignment w:val="baseline"/>
              <w:rPr>
                <w:rFonts w:eastAsia="Times New Roman"/>
                <w:b/>
                <w:color w:val="000000"/>
                <w:sz w:val="16"/>
                <w:szCs w:val="16"/>
                <w:lang w:val="en-GB"/>
              </w:rPr>
            </w:pPr>
          </w:p>
        </w:tc>
      </w:tr>
      <w:tr w:rsidRPr="009C48DA" w:rsidR="00661519" w:rsidTr="00661519" w14:paraId="3B643D28" w14:textId="77777777">
        <w:trPr>
          <w:trHeight w:val="222"/>
        </w:trPr>
        <w:tc>
          <w:tcPr>
            <w:tcW w:w="4034" w:type="dxa"/>
            <w:vAlign w:val="bottom"/>
          </w:tcPr>
          <w:p w:rsidRPr="009C48DA" w:rsidR="00661519" w:rsidP="00661519" w:rsidRDefault="00661519" w14:paraId="119F7A1D" w14:textId="77777777">
            <w:pPr>
              <w:textAlignment w:val="baseline"/>
              <w:rPr>
                <w:rFonts w:eastAsia="Times New Roman"/>
                <w:color w:val="000000"/>
                <w:sz w:val="16"/>
                <w:szCs w:val="16"/>
                <w:lang w:val="en-GB"/>
              </w:rPr>
            </w:pPr>
            <w:r w:rsidRPr="009C48DA">
              <w:rPr>
                <w:rFonts w:eastAsia="Times New Roman"/>
                <w:color w:val="000000"/>
                <w:sz w:val="16"/>
                <w:szCs w:val="16"/>
                <w:lang w:val="en-GB"/>
              </w:rPr>
              <w:t>Trade and other receivables</w:t>
            </w:r>
          </w:p>
        </w:tc>
        <w:tc>
          <w:tcPr>
            <w:tcW w:w="1306" w:type="dxa"/>
            <w:vAlign w:val="center"/>
          </w:tcPr>
          <w:p w:rsidRPr="009C48DA" w:rsidR="00661519" w:rsidP="00661519" w:rsidRDefault="00661519" w14:paraId="2E1C73BE"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10,782</w:t>
            </w:r>
          </w:p>
        </w:tc>
        <w:tc>
          <w:tcPr>
            <w:tcW w:w="1307" w:type="dxa"/>
            <w:vAlign w:val="center"/>
          </w:tcPr>
          <w:p w:rsidRPr="009C48DA" w:rsidR="00661519" w:rsidP="00661519" w:rsidRDefault="00661519" w14:paraId="14910543"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8,242</w:t>
            </w:r>
          </w:p>
        </w:tc>
        <w:tc>
          <w:tcPr>
            <w:tcW w:w="1307" w:type="dxa"/>
            <w:vAlign w:val="center"/>
          </w:tcPr>
          <w:p w:rsidRPr="009C48DA" w:rsidR="00661519" w:rsidP="00661519" w:rsidRDefault="00661519" w14:paraId="1A838886"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6,924</w:t>
            </w:r>
          </w:p>
        </w:tc>
        <w:tc>
          <w:tcPr>
            <w:tcW w:w="1307" w:type="dxa"/>
            <w:vAlign w:val="center"/>
          </w:tcPr>
          <w:p w:rsidRPr="009C48DA" w:rsidR="00661519" w:rsidP="00661519" w:rsidRDefault="00661519" w14:paraId="43194476"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6,663</w:t>
            </w:r>
          </w:p>
        </w:tc>
      </w:tr>
      <w:tr w:rsidRPr="009C48DA" w:rsidR="00661519" w:rsidTr="00661519" w14:paraId="127586DB" w14:textId="77777777">
        <w:trPr>
          <w:trHeight w:val="234"/>
        </w:trPr>
        <w:tc>
          <w:tcPr>
            <w:tcW w:w="4034" w:type="dxa"/>
            <w:vAlign w:val="bottom"/>
          </w:tcPr>
          <w:p w:rsidRPr="009C48DA" w:rsidR="00661519" w:rsidP="00661519" w:rsidRDefault="00661519" w14:paraId="0F8AFCA7" w14:textId="77777777">
            <w:pPr>
              <w:textAlignment w:val="baseline"/>
              <w:rPr>
                <w:rFonts w:eastAsia="Times New Roman"/>
                <w:color w:val="000000"/>
                <w:sz w:val="16"/>
                <w:szCs w:val="16"/>
                <w:lang w:val="en-GB"/>
              </w:rPr>
            </w:pPr>
            <w:r w:rsidRPr="009C48DA">
              <w:rPr>
                <w:rFonts w:eastAsia="Times New Roman"/>
                <w:color w:val="000000"/>
                <w:sz w:val="16"/>
                <w:szCs w:val="16"/>
                <w:lang w:val="en-GB"/>
              </w:rPr>
              <w:t>Deferred proceeds receivable</w:t>
            </w:r>
          </w:p>
        </w:tc>
        <w:tc>
          <w:tcPr>
            <w:tcW w:w="1306" w:type="dxa"/>
            <w:vAlign w:val="center"/>
          </w:tcPr>
          <w:p w:rsidRPr="009C48DA" w:rsidR="00661519" w:rsidP="00661519" w:rsidRDefault="00661519" w14:paraId="620B5354"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szCs w:val="16"/>
                <w:lang w:val="en-GB"/>
              </w:rPr>
              <w:t>174,257</w:t>
            </w:r>
          </w:p>
        </w:tc>
        <w:tc>
          <w:tcPr>
            <w:tcW w:w="1307" w:type="dxa"/>
            <w:vAlign w:val="center"/>
          </w:tcPr>
          <w:p w:rsidRPr="009C48DA" w:rsidR="00661519" w:rsidP="00661519" w:rsidRDefault="00661519" w14:paraId="6788B45A"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szCs w:val="16"/>
                <w:lang w:val="en-GB"/>
              </w:rPr>
              <w:t>108,900</w:t>
            </w:r>
          </w:p>
        </w:tc>
        <w:tc>
          <w:tcPr>
            <w:tcW w:w="1307" w:type="dxa"/>
            <w:vAlign w:val="center"/>
          </w:tcPr>
          <w:p w:rsidRPr="009C48DA" w:rsidR="00661519" w:rsidP="00661519" w:rsidRDefault="00661519" w14:paraId="027BBDAF" w14:textId="77777777">
            <w:pPr>
              <w:pBdr>
                <w:bottom w:val="single" w:color="auto" w:sz="12" w:space="1"/>
              </w:pBdr>
              <w:jc w:val="right"/>
              <w:textAlignment w:val="baseline"/>
              <w:rPr>
                <w:rFonts w:eastAsia="Times New Roman"/>
                <w:b/>
                <w:color w:val="000000"/>
                <w:sz w:val="16"/>
                <w:szCs w:val="16"/>
                <w:lang w:val="en-GB"/>
              </w:rPr>
            </w:pPr>
            <w:r w:rsidRPr="009C48DA">
              <w:rPr>
                <w:rFonts w:eastAsia="Times New Roman"/>
                <w:color w:val="000000"/>
                <w:sz w:val="16"/>
                <w:szCs w:val="16"/>
                <w:lang w:val="en-GB"/>
              </w:rPr>
              <w:t>-</w:t>
            </w:r>
          </w:p>
        </w:tc>
        <w:tc>
          <w:tcPr>
            <w:tcW w:w="1307" w:type="dxa"/>
            <w:vAlign w:val="center"/>
          </w:tcPr>
          <w:p w:rsidRPr="009C48DA" w:rsidR="00661519" w:rsidP="00661519" w:rsidRDefault="00661519" w14:paraId="6028A602" w14:textId="77777777">
            <w:pPr>
              <w:pBdr>
                <w:bottom w:val="single" w:color="auto" w:sz="12" w:space="1"/>
              </w:pBdr>
              <w:jc w:val="right"/>
              <w:textAlignment w:val="baseline"/>
              <w:rPr>
                <w:rFonts w:eastAsia="Times New Roman"/>
                <w:b/>
                <w:color w:val="000000"/>
                <w:sz w:val="16"/>
                <w:szCs w:val="16"/>
                <w:lang w:val="en-GB"/>
              </w:rPr>
            </w:pPr>
            <w:r w:rsidRPr="009C48DA">
              <w:rPr>
                <w:rFonts w:eastAsia="Times New Roman"/>
                <w:color w:val="000000"/>
                <w:sz w:val="16"/>
                <w:szCs w:val="16"/>
                <w:lang w:val="en-GB"/>
              </w:rPr>
              <w:t>-</w:t>
            </w:r>
          </w:p>
        </w:tc>
      </w:tr>
      <w:tr w:rsidRPr="009C48DA" w:rsidR="00661519" w:rsidTr="00661519" w14:paraId="14060644" w14:textId="77777777">
        <w:trPr>
          <w:trHeight w:val="247"/>
        </w:trPr>
        <w:tc>
          <w:tcPr>
            <w:tcW w:w="4034" w:type="dxa"/>
            <w:vAlign w:val="center"/>
          </w:tcPr>
          <w:p w:rsidRPr="009C48DA" w:rsidR="00661519" w:rsidP="00661519" w:rsidRDefault="00661519" w14:paraId="41C327CC" w14:textId="77777777">
            <w:pPr>
              <w:jc w:val="both"/>
              <w:textAlignment w:val="baseline"/>
              <w:rPr>
                <w:rFonts w:eastAsia="Times New Roman"/>
                <w:color w:val="000000"/>
                <w:sz w:val="16"/>
                <w:szCs w:val="16"/>
                <w:lang w:val="en-GB"/>
              </w:rPr>
            </w:pPr>
          </w:p>
        </w:tc>
        <w:tc>
          <w:tcPr>
            <w:tcW w:w="1306" w:type="dxa"/>
            <w:vAlign w:val="center"/>
          </w:tcPr>
          <w:p w:rsidRPr="009C48DA" w:rsidR="00661519" w:rsidP="00661519" w:rsidRDefault="00661519" w14:paraId="76DA8556" w14:textId="77777777">
            <w:pPr>
              <w:pBdr>
                <w:bottom w:val="double" w:color="auto" w:sz="12" w:space="1"/>
              </w:pBdr>
              <w:jc w:val="right"/>
              <w:textAlignment w:val="baseline"/>
              <w:rPr>
                <w:rFonts w:eastAsia="Times New Roman"/>
                <w:color w:val="000000"/>
                <w:sz w:val="16"/>
                <w:szCs w:val="16"/>
                <w:lang w:val="en-GB"/>
              </w:rPr>
            </w:pPr>
            <w:r w:rsidRPr="009C48DA">
              <w:rPr>
                <w:rFonts w:eastAsia="Times New Roman"/>
                <w:color w:val="000000"/>
                <w:sz w:val="16"/>
                <w:szCs w:val="16"/>
                <w:lang w:val="en-GB"/>
              </w:rPr>
              <w:t>185,039</w:t>
            </w:r>
          </w:p>
        </w:tc>
        <w:tc>
          <w:tcPr>
            <w:tcW w:w="1307" w:type="dxa"/>
            <w:vAlign w:val="center"/>
          </w:tcPr>
          <w:p w:rsidRPr="009C48DA" w:rsidR="00661519" w:rsidP="00661519" w:rsidRDefault="00661519" w14:paraId="383A3857" w14:textId="77777777">
            <w:pPr>
              <w:pBdr>
                <w:bottom w:val="double" w:color="auto" w:sz="12" w:space="1"/>
              </w:pBdr>
              <w:jc w:val="right"/>
              <w:textAlignment w:val="baseline"/>
              <w:rPr>
                <w:rFonts w:eastAsia="Times New Roman"/>
                <w:color w:val="000000"/>
                <w:sz w:val="16"/>
                <w:szCs w:val="16"/>
                <w:lang w:val="en-GB"/>
              </w:rPr>
            </w:pPr>
            <w:r w:rsidRPr="009C48DA">
              <w:rPr>
                <w:rFonts w:eastAsia="Times New Roman"/>
                <w:color w:val="000000"/>
                <w:sz w:val="16"/>
                <w:szCs w:val="16"/>
                <w:lang w:val="en-GB"/>
              </w:rPr>
              <w:t>117,142</w:t>
            </w:r>
          </w:p>
        </w:tc>
        <w:tc>
          <w:tcPr>
            <w:tcW w:w="1307" w:type="dxa"/>
            <w:vAlign w:val="center"/>
          </w:tcPr>
          <w:p w:rsidRPr="009C48DA" w:rsidR="00661519" w:rsidP="00661519" w:rsidRDefault="00661519" w14:paraId="2C904470" w14:textId="77777777">
            <w:pPr>
              <w:pBdr>
                <w:bottom w:val="double" w:color="auto" w:sz="12" w:space="1"/>
              </w:pBdr>
              <w:jc w:val="right"/>
              <w:textAlignment w:val="baseline"/>
              <w:rPr>
                <w:rFonts w:eastAsia="Times New Roman"/>
                <w:color w:val="000000"/>
                <w:sz w:val="16"/>
                <w:szCs w:val="16"/>
                <w:lang w:val="en-GB"/>
              </w:rPr>
            </w:pPr>
            <w:r w:rsidRPr="009C48DA">
              <w:rPr>
                <w:rFonts w:eastAsia="Times New Roman"/>
                <w:color w:val="000000"/>
                <w:sz w:val="16"/>
                <w:szCs w:val="16"/>
                <w:lang w:val="en-GB"/>
              </w:rPr>
              <w:t>6,924</w:t>
            </w:r>
          </w:p>
        </w:tc>
        <w:tc>
          <w:tcPr>
            <w:tcW w:w="1307" w:type="dxa"/>
            <w:vAlign w:val="center"/>
          </w:tcPr>
          <w:p w:rsidRPr="009C48DA" w:rsidR="00661519" w:rsidP="00661519" w:rsidRDefault="00661519" w14:paraId="359E4691" w14:textId="77777777">
            <w:pPr>
              <w:pBdr>
                <w:bottom w:val="double" w:color="auto" w:sz="12" w:space="1"/>
              </w:pBdr>
              <w:jc w:val="right"/>
              <w:textAlignment w:val="baseline"/>
              <w:rPr>
                <w:rFonts w:eastAsia="Times New Roman"/>
                <w:color w:val="000000"/>
                <w:sz w:val="16"/>
                <w:szCs w:val="16"/>
                <w:lang w:val="en-GB"/>
              </w:rPr>
            </w:pPr>
            <w:r w:rsidRPr="009C48DA">
              <w:rPr>
                <w:rFonts w:eastAsia="Times New Roman"/>
                <w:color w:val="000000"/>
                <w:sz w:val="16"/>
                <w:szCs w:val="16"/>
                <w:lang w:val="en-GB"/>
              </w:rPr>
              <w:t>6,663</w:t>
            </w:r>
          </w:p>
        </w:tc>
      </w:tr>
    </w:tbl>
    <w:p w:rsidRPr="009C48DA" w:rsidR="00661519" w:rsidP="00661519" w:rsidRDefault="00661519" w14:paraId="462B0D29" w14:textId="77777777">
      <w:pPr>
        <w:rPr>
          <w:rFonts w:eastAsia="Times New Roman" w:cs="Times New Roman"/>
          <w:b/>
          <w:color w:val="000000"/>
          <w:sz w:val="16"/>
          <w:szCs w:val="16"/>
          <w:lang w:val="en-GB"/>
        </w:rPr>
      </w:pPr>
    </w:p>
    <w:tbl>
      <w:tblPr>
        <w:tblStyle w:val="TableGrid30"/>
        <w:tblW w:w="930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53"/>
        <w:gridCol w:w="1312"/>
        <w:gridCol w:w="1314"/>
        <w:gridCol w:w="1314"/>
        <w:gridCol w:w="1314"/>
      </w:tblGrid>
      <w:tr w:rsidRPr="009C48DA" w:rsidR="00661519" w:rsidTr="00661519" w14:paraId="75D4E22D" w14:textId="77777777">
        <w:trPr>
          <w:trHeight w:val="448"/>
        </w:trPr>
        <w:tc>
          <w:tcPr>
            <w:tcW w:w="4053" w:type="dxa"/>
            <w:vAlign w:val="bottom"/>
          </w:tcPr>
          <w:p w:rsidRPr="009C48DA" w:rsidR="00661519" w:rsidP="00661519" w:rsidRDefault="00661519" w14:paraId="7CA4A90B" w14:textId="77777777">
            <w:pPr>
              <w:jc w:val="both"/>
              <w:textAlignment w:val="baseline"/>
              <w:rPr>
                <w:rFonts w:eastAsia="Times New Roman"/>
                <w:b/>
                <w:color w:val="000000"/>
                <w:sz w:val="16"/>
                <w:szCs w:val="16"/>
                <w:lang w:val="en-GB"/>
              </w:rPr>
            </w:pPr>
          </w:p>
        </w:tc>
        <w:tc>
          <w:tcPr>
            <w:tcW w:w="1312" w:type="dxa"/>
            <w:vAlign w:val="bottom"/>
          </w:tcPr>
          <w:p w:rsidRPr="009C48DA" w:rsidR="00661519" w:rsidP="00661519" w:rsidRDefault="00661519" w14:paraId="53F61251"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2018</w:t>
            </w:r>
          </w:p>
          <w:p w:rsidRPr="009C48DA" w:rsidR="00661519" w:rsidP="00661519" w:rsidRDefault="00661519" w14:paraId="22298911"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314" w:type="dxa"/>
            <w:vAlign w:val="bottom"/>
          </w:tcPr>
          <w:p w:rsidRPr="009C48DA" w:rsidR="00661519" w:rsidP="00661519" w:rsidRDefault="00661519" w14:paraId="2E7C0A46"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2019</w:t>
            </w:r>
          </w:p>
          <w:p w:rsidRPr="009C48DA" w:rsidR="00661519" w:rsidP="00661519" w:rsidRDefault="00661519" w14:paraId="67A2E2A3"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314" w:type="dxa"/>
            <w:vAlign w:val="bottom"/>
          </w:tcPr>
          <w:p w:rsidRPr="009C48DA" w:rsidR="00661519" w:rsidP="00661519" w:rsidRDefault="00661519" w14:paraId="6EDD84CB"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2020</w:t>
            </w:r>
          </w:p>
          <w:p w:rsidRPr="009C48DA" w:rsidR="00661519" w:rsidP="00661519" w:rsidRDefault="00661519" w14:paraId="433C4A12"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314" w:type="dxa"/>
            <w:vAlign w:val="bottom"/>
          </w:tcPr>
          <w:p w:rsidRPr="009C48DA" w:rsidR="00661519" w:rsidP="00661519" w:rsidRDefault="00661519" w14:paraId="7AF264C9"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2021</w:t>
            </w:r>
          </w:p>
          <w:p w:rsidRPr="009C48DA" w:rsidR="00661519" w:rsidP="00661519" w:rsidRDefault="00661519" w14:paraId="40116177"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r>
      <w:tr w:rsidRPr="009C48DA" w:rsidR="00661519" w:rsidTr="00661519" w14:paraId="7FC64CC8" w14:textId="77777777">
        <w:trPr>
          <w:trHeight w:val="218"/>
        </w:trPr>
        <w:tc>
          <w:tcPr>
            <w:tcW w:w="4053" w:type="dxa"/>
            <w:vAlign w:val="bottom"/>
          </w:tcPr>
          <w:p w:rsidRPr="009C48DA" w:rsidR="00661519" w:rsidP="00661519" w:rsidRDefault="00661519" w14:paraId="02F5D149" w14:textId="77777777">
            <w:pPr>
              <w:textAlignment w:val="baseline"/>
              <w:rPr>
                <w:rFonts w:eastAsia="Times New Roman"/>
                <w:i/>
                <w:color w:val="000000"/>
                <w:sz w:val="16"/>
                <w:szCs w:val="16"/>
                <w:lang w:val="en-GB"/>
              </w:rPr>
            </w:pPr>
            <w:r w:rsidRPr="009C48DA">
              <w:rPr>
                <w:rFonts w:eastAsia="Times New Roman"/>
                <w:b/>
                <w:i/>
                <w:color w:val="000000"/>
                <w:sz w:val="16"/>
                <w:szCs w:val="16"/>
                <w:lang w:val="en-GB"/>
              </w:rPr>
              <w:t>Current:</w:t>
            </w:r>
          </w:p>
        </w:tc>
        <w:tc>
          <w:tcPr>
            <w:tcW w:w="1312" w:type="dxa"/>
            <w:vAlign w:val="center"/>
          </w:tcPr>
          <w:p w:rsidRPr="009C48DA" w:rsidR="00661519" w:rsidP="00661519" w:rsidRDefault="00661519" w14:paraId="2B6A9797" w14:textId="77777777">
            <w:pPr>
              <w:jc w:val="right"/>
              <w:textAlignment w:val="baseline"/>
              <w:rPr>
                <w:rFonts w:eastAsia="Times New Roman"/>
                <w:color w:val="000000"/>
                <w:sz w:val="16"/>
                <w:szCs w:val="16"/>
                <w:lang w:val="en-GB"/>
              </w:rPr>
            </w:pPr>
          </w:p>
        </w:tc>
        <w:tc>
          <w:tcPr>
            <w:tcW w:w="1314" w:type="dxa"/>
            <w:vAlign w:val="center"/>
          </w:tcPr>
          <w:p w:rsidRPr="009C48DA" w:rsidR="00661519" w:rsidP="00661519" w:rsidRDefault="00661519" w14:paraId="33464CEE" w14:textId="77777777">
            <w:pPr>
              <w:jc w:val="right"/>
              <w:textAlignment w:val="baseline"/>
              <w:rPr>
                <w:rFonts w:eastAsia="Times New Roman"/>
                <w:color w:val="000000"/>
                <w:sz w:val="16"/>
                <w:szCs w:val="16"/>
                <w:lang w:val="en-GB"/>
              </w:rPr>
            </w:pPr>
          </w:p>
        </w:tc>
        <w:tc>
          <w:tcPr>
            <w:tcW w:w="1314" w:type="dxa"/>
            <w:vAlign w:val="center"/>
          </w:tcPr>
          <w:p w:rsidRPr="009C48DA" w:rsidR="00661519" w:rsidP="00661519" w:rsidRDefault="00661519" w14:paraId="2B022579" w14:textId="77777777">
            <w:pPr>
              <w:jc w:val="right"/>
              <w:textAlignment w:val="baseline"/>
              <w:rPr>
                <w:rFonts w:eastAsia="Times New Roman"/>
                <w:b/>
                <w:color w:val="000000"/>
                <w:sz w:val="16"/>
                <w:szCs w:val="16"/>
                <w:lang w:val="en-GB"/>
              </w:rPr>
            </w:pPr>
          </w:p>
        </w:tc>
        <w:tc>
          <w:tcPr>
            <w:tcW w:w="1314" w:type="dxa"/>
            <w:vAlign w:val="center"/>
          </w:tcPr>
          <w:p w:rsidRPr="009C48DA" w:rsidR="00661519" w:rsidP="00661519" w:rsidRDefault="00661519" w14:paraId="0C6452B9" w14:textId="77777777">
            <w:pPr>
              <w:jc w:val="right"/>
              <w:textAlignment w:val="baseline"/>
              <w:rPr>
                <w:rFonts w:eastAsia="Times New Roman"/>
                <w:b/>
                <w:color w:val="000000"/>
                <w:sz w:val="16"/>
                <w:szCs w:val="16"/>
                <w:lang w:val="en-GB"/>
              </w:rPr>
            </w:pPr>
          </w:p>
        </w:tc>
      </w:tr>
      <w:tr w:rsidRPr="009C48DA" w:rsidR="00661519" w:rsidTr="00661519" w14:paraId="6E5E2478" w14:textId="77777777">
        <w:trPr>
          <w:trHeight w:val="243"/>
        </w:trPr>
        <w:tc>
          <w:tcPr>
            <w:tcW w:w="4053" w:type="dxa"/>
            <w:vAlign w:val="bottom"/>
          </w:tcPr>
          <w:p w:rsidRPr="009C48DA" w:rsidR="00661519" w:rsidP="00661519" w:rsidRDefault="00661519" w14:paraId="757CA318" w14:textId="77777777">
            <w:pPr>
              <w:textAlignment w:val="baseline"/>
              <w:rPr>
                <w:rFonts w:eastAsia="Times New Roman"/>
                <w:color w:val="000000"/>
                <w:sz w:val="16"/>
                <w:szCs w:val="16"/>
                <w:lang w:val="en-GB"/>
              </w:rPr>
            </w:pPr>
            <w:r w:rsidRPr="009C48DA">
              <w:rPr>
                <w:rFonts w:eastAsia="Times New Roman"/>
                <w:color w:val="000000"/>
                <w:sz w:val="16"/>
                <w:szCs w:val="16"/>
                <w:lang w:val="en-GB"/>
              </w:rPr>
              <w:t>Trade and other receivables</w:t>
            </w:r>
          </w:p>
        </w:tc>
        <w:tc>
          <w:tcPr>
            <w:tcW w:w="1312" w:type="dxa"/>
            <w:vAlign w:val="center"/>
          </w:tcPr>
          <w:p w:rsidRPr="009C48DA" w:rsidR="00661519" w:rsidP="00661519" w:rsidRDefault="00661519" w14:paraId="4989B519"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10,582</w:t>
            </w:r>
          </w:p>
        </w:tc>
        <w:tc>
          <w:tcPr>
            <w:tcW w:w="1314" w:type="dxa"/>
            <w:vAlign w:val="center"/>
          </w:tcPr>
          <w:p w:rsidRPr="009C48DA" w:rsidR="00661519" w:rsidP="00661519" w:rsidRDefault="00661519" w14:paraId="42F550C8"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10,994</w:t>
            </w:r>
          </w:p>
        </w:tc>
        <w:tc>
          <w:tcPr>
            <w:tcW w:w="1314" w:type="dxa"/>
            <w:vAlign w:val="center"/>
          </w:tcPr>
          <w:p w:rsidRPr="009C48DA" w:rsidR="00661519" w:rsidP="00661519" w:rsidRDefault="00661519" w14:paraId="5828D42F"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13,084</w:t>
            </w:r>
          </w:p>
        </w:tc>
        <w:tc>
          <w:tcPr>
            <w:tcW w:w="1314" w:type="dxa"/>
            <w:vAlign w:val="center"/>
          </w:tcPr>
          <w:p w:rsidRPr="009C48DA" w:rsidR="00661519" w:rsidP="00661519" w:rsidRDefault="00661519" w14:paraId="3160EC83"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13,520</w:t>
            </w:r>
          </w:p>
        </w:tc>
      </w:tr>
      <w:tr w:rsidRPr="009C48DA" w:rsidR="00661519" w:rsidTr="00661519" w14:paraId="5754C26E" w14:textId="77777777">
        <w:trPr>
          <w:trHeight w:val="218"/>
        </w:trPr>
        <w:tc>
          <w:tcPr>
            <w:tcW w:w="4053" w:type="dxa"/>
            <w:vAlign w:val="center"/>
          </w:tcPr>
          <w:p w:rsidRPr="009C48DA" w:rsidR="00661519" w:rsidP="00661519" w:rsidRDefault="00661519" w14:paraId="2CAA095B" w14:textId="77777777">
            <w:pPr>
              <w:textAlignment w:val="baseline"/>
              <w:rPr>
                <w:rFonts w:eastAsia="Times New Roman"/>
                <w:color w:val="000000"/>
                <w:sz w:val="16"/>
                <w:szCs w:val="16"/>
                <w:lang w:val="en-GB"/>
              </w:rPr>
            </w:pPr>
            <w:r w:rsidRPr="009C48DA">
              <w:rPr>
                <w:rFonts w:eastAsia="Times New Roman"/>
                <w:color w:val="000000"/>
                <w:sz w:val="16"/>
                <w:szCs w:val="16"/>
                <w:lang w:val="en-GB"/>
              </w:rPr>
              <w:t>Accrued income</w:t>
            </w:r>
          </w:p>
        </w:tc>
        <w:tc>
          <w:tcPr>
            <w:tcW w:w="1312" w:type="dxa"/>
            <w:vAlign w:val="center"/>
          </w:tcPr>
          <w:p w:rsidRPr="009C48DA" w:rsidR="00661519" w:rsidP="00661519" w:rsidRDefault="00661519" w14:paraId="1235A1FB"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1,257</w:t>
            </w:r>
          </w:p>
        </w:tc>
        <w:tc>
          <w:tcPr>
            <w:tcW w:w="1314" w:type="dxa"/>
            <w:vAlign w:val="center"/>
          </w:tcPr>
          <w:p w:rsidRPr="009C48DA" w:rsidR="00661519" w:rsidP="00661519" w:rsidRDefault="00661519" w14:paraId="2E93DD52"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1,072</w:t>
            </w:r>
          </w:p>
        </w:tc>
        <w:tc>
          <w:tcPr>
            <w:tcW w:w="1314" w:type="dxa"/>
            <w:vAlign w:val="center"/>
          </w:tcPr>
          <w:p w:rsidRPr="009C48DA" w:rsidR="00661519" w:rsidP="00661519" w:rsidRDefault="00661519" w14:paraId="799E6309"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989</w:t>
            </w:r>
          </w:p>
        </w:tc>
        <w:tc>
          <w:tcPr>
            <w:tcW w:w="1314" w:type="dxa"/>
            <w:vAlign w:val="center"/>
          </w:tcPr>
          <w:p w:rsidRPr="009C48DA" w:rsidR="00661519" w:rsidP="00661519" w:rsidRDefault="00661519" w14:paraId="4C4A3EB7"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2,695</w:t>
            </w:r>
          </w:p>
        </w:tc>
      </w:tr>
      <w:tr w:rsidRPr="009C48DA" w:rsidR="00661519" w:rsidTr="00661519" w14:paraId="210487DF" w14:textId="77777777">
        <w:trPr>
          <w:trHeight w:val="218"/>
        </w:trPr>
        <w:tc>
          <w:tcPr>
            <w:tcW w:w="4053" w:type="dxa"/>
            <w:vAlign w:val="center"/>
          </w:tcPr>
          <w:p w:rsidRPr="009C48DA" w:rsidR="00661519" w:rsidP="00661519" w:rsidRDefault="00661519" w14:paraId="69B3C888" w14:textId="77777777">
            <w:pPr>
              <w:textAlignment w:val="baseline"/>
              <w:rPr>
                <w:rFonts w:eastAsia="Times New Roman"/>
                <w:color w:val="000000"/>
                <w:sz w:val="16"/>
                <w:szCs w:val="16"/>
                <w:lang w:val="en-GB"/>
              </w:rPr>
            </w:pPr>
            <w:r w:rsidRPr="009C48DA">
              <w:rPr>
                <w:rFonts w:eastAsia="Times New Roman"/>
                <w:color w:val="000000"/>
                <w:sz w:val="16"/>
                <w:szCs w:val="16"/>
                <w:lang w:val="en-GB"/>
              </w:rPr>
              <w:t>Prepayments</w:t>
            </w:r>
          </w:p>
        </w:tc>
        <w:tc>
          <w:tcPr>
            <w:tcW w:w="1312" w:type="dxa"/>
            <w:vAlign w:val="center"/>
          </w:tcPr>
          <w:p w:rsidRPr="009C48DA" w:rsidR="00661519" w:rsidP="00661519" w:rsidRDefault="00661519" w14:paraId="3120E9B1"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2,814</w:t>
            </w:r>
          </w:p>
        </w:tc>
        <w:tc>
          <w:tcPr>
            <w:tcW w:w="1314" w:type="dxa"/>
            <w:vAlign w:val="center"/>
          </w:tcPr>
          <w:p w:rsidRPr="009C48DA" w:rsidR="00661519" w:rsidP="00661519" w:rsidRDefault="00661519" w14:paraId="56B1EE6F"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2,177</w:t>
            </w:r>
          </w:p>
        </w:tc>
        <w:tc>
          <w:tcPr>
            <w:tcW w:w="1314" w:type="dxa"/>
            <w:vAlign w:val="center"/>
          </w:tcPr>
          <w:p w:rsidRPr="009C48DA" w:rsidR="00661519" w:rsidP="00661519" w:rsidRDefault="00661519" w14:paraId="03150EF1"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3,502</w:t>
            </w:r>
          </w:p>
        </w:tc>
        <w:tc>
          <w:tcPr>
            <w:tcW w:w="1314" w:type="dxa"/>
            <w:vAlign w:val="center"/>
          </w:tcPr>
          <w:p w:rsidRPr="009C48DA" w:rsidR="00661519" w:rsidP="00661519" w:rsidRDefault="00661519" w14:paraId="59EAD544"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3,802</w:t>
            </w:r>
          </w:p>
        </w:tc>
      </w:tr>
      <w:tr w:rsidRPr="009C48DA" w:rsidR="00661519" w:rsidTr="00661519" w14:paraId="2F1F6F7C" w14:textId="77777777">
        <w:trPr>
          <w:trHeight w:val="218"/>
        </w:trPr>
        <w:tc>
          <w:tcPr>
            <w:tcW w:w="4053" w:type="dxa"/>
            <w:vAlign w:val="center"/>
          </w:tcPr>
          <w:p w:rsidRPr="009C48DA" w:rsidR="00661519" w:rsidP="00661519" w:rsidRDefault="00661519" w14:paraId="45DD2B49" w14:textId="77777777">
            <w:pPr>
              <w:textAlignment w:val="baseline"/>
              <w:rPr>
                <w:rFonts w:eastAsia="Times New Roman"/>
                <w:color w:val="000000"/>
                <w:sz w:val="16"/>
                <w:szCs w:val="16"/>
                <w:lang w:val="en-GB"/>
              </w:rPr>
            </w:pPr>
            <w:r w:rsidRPr="009C48DA">
              <w:rPr>
                <w:rFonts w:eastAsia="Times New Roman"/>
                <w:color w:val="000000"/>
                <w:sz w:val="16"/>
                <w:szCs w:val="16"/>
                <w:lang w:val="en-GB"/>
              </w:rPr>
              <w:t>Other receivables</w:t>
            </w:r>
          </w:p>
        </w:tc>
        <w:tc>
          <w:tcPr>
            <w:tcW w:w="1312" w:type="dxa"/>
            <w:vAlign w:val="center"/>
          </w:tcPr>
          <w:p w:rsidRPr="009C48DA" w:rsidR="00661519" w:rsidP="00661519" w:rsidRDefault="00661519" w14:paraId="50D26EFA"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18,695</w:t>
            </w:r>
          </w:p>
        </w:tc>
        <w:tc>
          <w:tcPr>
            <w:tcW w:w="1314" w:type="dxa"/>
            <w:vAlign w:val="center"/>
          </w:tcPr>
          <w:p w:rsidRPr="009C48DA" w:rsidR="00661519" w:rsidP="00661519" w:rsidRDefault="00661519" w14:paraId="33F85665"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26,165</w:t>
            </w:r>
          </w:p>
        </w:tc>
        <w:tc>
          <w:tcPr>
            <w:tcW w:w="1314" w:type="dxa"/>
            <w:vAlign w:val="center"/>
          </w:tcPr>
          <w:p w:rsidRPr="009C48DA" w:rsidR="00661519" w:rsidP="00661519" w:rsidRDefault="00661519" w14:paraId="591737E8"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47,514</w:t>
            </w:r>
          </w:p>
        </w:tc>
        <w:tc>
          <w:tcPr>
            <w:tcW w:w="1314" w:type="dxa"/>
            <w:vAlign w:val="center"/>
          </w:tcPr>
          <w:p w:rsidRPr="009C48DA" w:rsidR="00661519" w:rsidP="00661519" w:rsidRDefault="00661519" w14:paraId="6AC8A99A"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38,803</w:t>
            </w:r>
          </w:p>
        </w:tc>
      </w:tr>
      <w:tr w:rsidRPr="009C48DA" w:rsidR="00661519" w:rsidTr="00661519" w14:paraId="1C6A6ED9" w14:textId="77777777">
        <w:trPr>
          <w:trHeight w:val="256"/>
        </w:trPr>
        <w:tc>
          <w:tcPr>
            <w:tcW w:w="4053" w:type="dxa"/>
            <w:vAlign w:val="bottom"/>
          </w:tcPr>
          <w:p w:rsidRPr="009C48DA" w:rsidR="00661519" w:rsidP="00661519" w:rsidRDefault="00661519" w14:paraId="6404A94F" w14:textId="77777777">
            <w:pPr>
              <w:textAlignment w:val="baseline"/>
              <w:rPr>
                <w:rFonts w:eastAsia="Times New Roman"/>
                <w:color w:val="000000"/>
                <w:sz w:val="16"/>
                <w:lang w:val="en-GB"/>
              </w:rPr>
            </w:pPr>
            <w:r w:rsidRPr="009C48DA">
              <w:rPr>
                <w:rFonts w:eastAsia="Times New Roman"/>
                <w:color w:val="000000"/>
                <w:sz w:val="16"/>
                <w:lang w:val="en-GB"/>
              </w:rPr>
              <w:t>Deferred proceeds receivable</w:t>
            </w:r>
          </w:p>
        </w:tc>
        <w:tc>
          <w:tcPr>
            <w:tcW w:w="1312" w:type="dxa"/>
            <w:vAlign w:val="center"/>
          </w:tcPr>
          <w:p w:rsidRPr="009C48DA" w:rsidR="00661519" w:rsidP="00661519" w:rsidRDefault="00661519" w14:paraId="21E01D8F"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314" w:type="dxa"/>
            <w:vAlign w:val="center"/>
          </w:tcPr>
          <w:p w:rsidRPr="009C48DA" w:rsidR="00661519" w:rsidP="00661519" w:rsidRDefault="00661519" w14:paraId="2DDAB2F8"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69,735</w:t>
            </w:r>
          </w:p>
        </w:tc>
        <w:tc>
          <w:tcPr>
            <w:tcW w:w="1314" w:type="dxa"/>
            <w:vAlign w:val="center"/>
          </w:tcPr>
          <w:p w:rsidRPr="009C48DA" w:rsidR="00661519" w:rsidP="00661519" w:rsidRDefault="00661519" w14:paraId="3A109A87"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111,672</w:t>
            </w:r>
          </w:p>
        </w:tc>
        <w:tc>
          <w:tcPr>
            <w:tcW w:w="1314" w:type="dxa"/>
            <w:vAlign w:val="center"/>
          </w:tcPr>
          <w:p w:rsidRPr="009C48DA" w:rsidR="00661519" w:rsidP="00661519" w:rsidRDefault="00661519" w14:paraId="2A04FCFE"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112,359</w:t>
            </w:r>
          </w:p>
        </w:tc>
      </w:tr>
      <w:tr w:rsidRPr="009C48DA" w:rsidR="00661519" w:rsidTr="00661519" w14:paraId="48645218" w14:textId="77777777">
        <w:trPr>
          <w:trHeight w:val="281"/>
        </w:trPr>
        <w:tc>
          <w:tcPr>
            <w:tcW w:w="4053" w:type="dxa"/>
            <w:vAlign w:val="center"/>
          </w:tcPr>
          <w:p w:rsidRPr="009C48DA" w:rsidR="00661519" w:rsidP="00661519" w:rsidRDefault="00661519" w14:paraId="3A2B34C1" w14:textId="77777777">
            <w:pPr>
              <w:jc w:val="both"/>
              <w:textAlignment w:val="baseline"/>
              <w:rPr>
                <w:rFonts w:eastAsia="Times New Roman"/>
                <w:color w:val="000000"/>
                <w:sz w:val="16"/>
                <w:lang w:val="en-GB"/>
              </w:rPr>
            </w:pPr>
          </w:p>
        </w:tc>
        <w:tc>
          <w:tcPr>
            <w:tcW w:w="1312" w:type="dxa"/>
            <w:vAlign w:val="center"/>
          </w:tcPr>
          <w:p w:rsidRPr="009C48DA" w:rsidR="00661519" w:rsidP="00661519" w:rsidRDefault="00661519" w14:paraId="26939340"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33,348</w:t>
            </w:r>
          </w:p>
        </w:tc>
        <w:tc>
          <w:tcPr>
            <w:tcW w:w="1314" w:type="dxa"/>
            <w:vAlign w:val="center"/>
          </w:tcPr>
          <w:p w:rsidRPr="009C48DA" w:rsidR="00661519" w:rsidP="00661519" w:rsidRDefault="00661519" w14:paraId="0684CE81"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110,143</w:t>
            </w:r>
          </w:p>
        </w:tc>
        <w:tc>
          <w:tcPr>
            <w:tcW w:w="1314" w:type="dxa"/>
            <w:vAlign w:val="center"/>
          </w:tcPr>
          <w:p w:rsidRPr="009C48DA" w:rsidR="00661519" w:rsidP="00661519" w:rsidRDefault="00661519" w14:paraId="2FF2CC95"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176,761</w:t>
            </w:r>
          </w:p>
        </w:tc>
        <w:tc>
          <w:tcPr>
            <w:tcW w:w="1314" w:type="dxa"/>
            <w:vAlign w:val="center"/>
          </w:tcPr>
          <w:p w:rsidRPr="009C48DA" w:rsidR="00661519" w:rsidP="00661519" w:rsidRDefault="00661519" w14:paraId="109F3FEE"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171,179</w:t>
            </w:r>
          </w:p>
        </w:tc>
      </w:tr>
    </w:tbl>
    <w:p w:rsidRPr="009C48DA" w:rsidR="00661519" w:rsidP="00661519" w:rsidRDefault="00661519" w14:paraId="4BAE4B3E" w14:textId="77777777">
      <w:pPr>
        <w:ind w:right="74"/>
        <w:jc w:val="both"/>
        <w:textAlignment w:val="baseline"/>
        <w:rPr>
          <w:rFonts w:eastAsia="Times New Roman"/>
          <w:color w:val="000000"/>
          <w:sz w:val="16"/>
          <w:lang w:val="en-GB"/>
        </w:rPr>
      </w:pPr>
    </w:p>
    <w:p w:rsidRPr="009C48DA" w:rsidR="00661519" w:rsidP="00661519" w:rsidRDefault="00661519" w14:paraId="78897245" w14:textId="77777777">
      <w:pPr>
        <w:rPr>
          <w:rFonts w:eastAsia="Times New Roman"/>
          <w:color w:val="000000"/>
          <w:sz w:val="16"/>
          <w:lang w:val="en-GB"/>
        </w:rPr>
      </w:pPr>
      <w:r w:rsidRPr="009C48DA">
        <w:rPr>
          <w:rFonts w:eastAsia="Times New Roman"/>
          <w:color w:val="000000"/>
          <w:sz w:val="16"/>
          <w:lang w:val="en-GB"/>
        </w:rPr>
        <w:t>There are no material differences between the above amounts for trade and other receivables and their fair value.</w:t>
      </w:r>
    </w:p>
    <w:p w:rsidRPr="009C48DA" w:rsidR="00661519" w:rsidP="00661519" w:rsidRDefault="00661519" w14:paraId="4BF1BEB9" w14:textId="77777777">
      <w:pPr>
        <w:rPr>
          <w:rFonts w:eastAsia="Times New Roman"/>
          <w:color w:val="000000"/>
          <w:sz w:val="16"/>
          <w:lang w:val="en-GB"/>
        </w:rPr>
      </w:pPr>
    </w:p>
    <w:p w:rsidRPr="009C48DA" w:rsidR="00661519" w:rsidP="00661519" w:rsidRDefault="00661519" w14:paraId="142E8A37" w14:textId="6F16DEA5">
      <w:pPr>
        <w:rPr>
          <w:rFonts w:eastAsia="Times New Roman"/>
          <w:color w:val="000000"/>
          <w:sz w:val="16"/>
          <w:lang w:val="en-GB"/>
        </w:rPr>
      </w:pPr>
      <w:r w:rsidRPr="009C48DA">
        <w:rPr>
          <w:rFonts w:eastAsia="Times New Roman"/>
          <w:color w:val="000000"/>
          <w:sz w:val="16"/>
          <w:lang w:val="en-GB"/>
        </w:rPr>
        <w:t xml:space="preserve">Deferred proceeds receivable relate to additional consideration payable under an Investment Agreement with a shareholder in </w:t>
      </w:r>
      <w:r w:rsidRPr="00CD2359" w:rsidR="00CD2359">
        <w:rPr>
          <w:rFonts w:eastAsia="Times New Roman"/>
          <w:color w:val="000000"/>
          <w:sz w:val="16"/>
          <w:lang w:val="en-GB"/>
        </w:rPr>
        <w:t>Bridgepoint Group Holdings Limited</w:t>
      </w:r>
      <w:r w:rsidRPr="009C48DA">
        <w:rPr>
          <w:rFonts w:eastAsia="Times New Roman"/>
          <w:color w:val="000000"/>
          <w:sz w:val="16"/>
          <w:lang w:val="en-GB"/>
        </w:rPr>
        <w:t xml:space="preserve">, Dyal Capital Partners IV (C) LP. Amounts receivable have been discounted. The outstanding amount at 31 December 2020 </w:t>
      </w:r>
    </w:p>
    <w:p w:rsidRPr="009C48DA" w:rsidR="00661519" w:rsidP="00661519" w:rsidRDefault="00661519" w14:paraId="58790CA3" w14:textId="77777777">
      <w:pPr>
        <w:rPr>
          <w:rFonts w:eastAsia="Times New Roman"/>
          <w:color w:val="000000"/>
          <w:sz w:val="16"/>
          <w:lang w:val="en-GB"/>
        </w:rPr>
      </w:pPr>
      <w:r w:rsidRPr="009C48DA">
        <w:rPr>
          <w:rFonts w:eastAsia="Times New Roman"/>
          <w:color w:val="000000"/>
          <w:sz w:val="16"/>
          <w:lang w:val="en-GB"/>
        </w:rPr>
        <w:t>and 31 March 2021 is due to be paid by 11 December 2021.</w:t>
      </w:r>
    </w:p>
    <w:p w:rsidRPr="009C48DA" w:rsidR="00661519" w:rsidP="00661519" w:rsidRDefault="00661519" w14:paraId="36E6ACF2" w14:textId="77777777">
      <w:pPr>
        <w:rPr>
          <w:rFonts w:eastAsia="Times New Roman"/>
          <w:color w:val="000000"/>
          <w:sz w:val="16"/>
          <w:lang w:val="en-GB"/>
        </w:rPr>
      </w:pPr>
    </w:p>
    <w:p w:rsidRPr="009C48DA" w:rsidR="00661519" w:rsidP="00661519" w:rsidRDefault="00661519" w14:paraId="4A8590B0" w14:textId="77777777">
      <w:pPr>
        <w:rPr>
          <w:rFonts w:eastAsia="Times New Roman"/>
          <w:color w:val="000000"/>
          <w:sz w:val="16"/>
          <w:lang w:val="en-GB"/>
        </w:rPr>
      </w:pPr>
      <w:r w:rsidRPr="009C48DA">
        <w:rPr>
          <w:rFonts w:eastAsia="Times New Roman"/>
          <w:color w:val="000000"/>
          <w:sz w:val="16"/>
          <w:lang w:val="en-GB"/>
        </w:rPr>
        <w:t xml:space="preserve">Other receivables primarily relate to amounts to be invoiced to funds managed by the Group in relation to costs incurred on their behalf. Such costs include deal and fundraising expenditure. Amounts receivable from the funds at year end were £27.7m (2019: £28.8m, 2018: </w:t>
      </w:r>
    </w:p>
    <w:p w:rsidRPr="009C48DA" w:rsidR="00661519" w:rsidP="00661519" w:rsidRDefault="00661519" w14:paraId="010C8270" w14:textId="77777777">
      <w:pPr>
        <w:rPr>
          <w:rFonts w:eastAsia="Times New Roman"/>
          <w:color w:val="000000"/>
          <w:sz w:val="16"/>
          <w:lang w:val="en-GB"/>
        </w:rPr>
      </w:pPr>
      <w:r w:rsidRPr="009C48DA">
        <w:rPr>
          <w:rFonts w:eastAsia="Times New Roman"/>
          <w:color w:val="000000"/>
          <w:sz w:val="16"/>
          <w:lang w:val="en-GB"/>
        </w:rPr>
        <w:t>£16.3m). Amounts receivable from portfolio companies of the funds at the end of the year were £1.6m (2019: £1.4m, 2018: £0.5m).</w:t>
      </w:r>
    </w:p>
    <w:p w:rsidRPr="009C48DA" w:rsidR="00661519" w:rsidP="00661519" w:rsidRDefault="00661519" w14:paraId="57F4B5A3" w14:textId="77777777">
      <w:pPr>
        <w:rPr>
          <w:rFonts w:eastAsia="Times New Roman"/>
          <w:color w:val="000000"/>
          <w:sz w:val="16"/>
          <w:lang w:val="en-GB"/>
        </w:rPr>
      </w:pPr>
    </w:p>
    <w:p w:rsidRPr="009C48DA" w:rsidR="00661519" w:rsidP="00661519" w:rsidRDefault="00661519" w14:paraId="61E91BD6" w14:textId="77777777">
      <w:pPr>
        <w:rPr>
          <w:rFonts w:eastAsia="Times New Roman"/>
          <w:color w:val="000000"/>
          <w:sz w:val="16"/>
          <w:lang w:val="en-GB"/>
        </w:rPr>
      </w:pPr>
      <w:r w:rsidRPr="009C48DA">
        <w:rPr>
          <w:rFonts w:eastAsia="Times New Roman"/>
          <w:color w:val="000000"/>
          <w:sz w:val="16"/>
          <w:lang w:val="en-GB"/>
        </w:rPr>
        <w:t xml:space="preserve">Current and non-current trade and other receivables also include the deferred cost of acquisition and consist of expenditure in excess of the </w:t>
      </w:r>
    </w:p>
    <w:p w:rsidRPr="009C48DA" w:rsidR="00661519" w:rsidP="00661519" w:rsidRDefault="00661519" w14:paraId="46DDBC14" w14:textId="77777777">
      <w:pPr>
        <w:rPr>
          <w:rFonts w:eastAsia="Times New Roman"/>
          <w:color w:val="000000"/>
          <w:sz w:val="16"/>
          <w:lang w:val="en-GB"/>
        </w:rPr>
      </w:pPr>
      <w:r w:rsidRPr="009C48DA">
        <w:rPr>
          <w:rFonts w:eastAsia="Times New Roman"/>
          <w:color w:val="000000"/>
          <w:sz w:val="16"/>
          <w:lang w:val="en-GB"/>
        </w:rPr>
        <w:t>cap within the LPA and fees paid to placement agents. Such costs are capitalised as a non-current asset and amortised over three years.</w:t>
      </w:r>
    </w:p>
    <w:p w:rsidRPr="009C48DA" w:rsidR="00661519" w:rsidP="00661519" w:rsidRDefault="00661519" w14:paraId="43853537" w14:textId="77777777">
      <w:pPr>
        <w:rPr>
          <w:rFonts w:eastAsia="Times New Roman"/>
          <w:color w:val="000000"/>
          <w:sz w:val="16"/>
          <w:lang w:val="en-GB"/>
        </w:rPr>
      </w:pPr>
    </w:p>
    <w:p w:rsidRPr="009C48DA" w:rsidR="00661519" w:rsidP="00661519" w:rsidRDefault="00661519" w14:paraId="685752AC" w14:textId="77777777">
      <w:pPr>
        <w:rPr>
          <w:rFonts w:eastAsia="Times New Roman"/>
          <w:color w:val="000000"/>
          <w:sz w:val="16"/>
          <w:lang w:val="en-GB"/>
        </w:rPr>
      </w:pPr>
      <w:r w:rsidRPr="009C48DA">
        <w:rPr>
          <w:rFonts w:eastAsia="Times New Roman"/>
          <w:color w:val="000000"/>
          <w:sz w:val="16"/>
          <w:lang w:val="en-GB"/>
        </w:rPr>
        <w:t xml:space="preserve">Non-current and current trade and other receivables include lease receivables on sub-let office premises. The sub-leases run until the end of the related head lease and expire on 31 December 2027. At commencement of the subleases in 2018 the Group recognised a gain of £0.67m in the profit and loss. The undiscounted cashflows for these lease receivables were £0.8m for year ended 31 December 2019, £1.0m for year ended 31 December 2020 and £0.3m for the period ended 31 March 2021. The finance income earned on the subleases was £0.14m, £0.27m </w:t>
      </w:r>
    </w:p>
    <w:p w:rsidRPr="009C48DA" w:rsidR="00661519" w:rsidP="00661519" w:rsidRDefault="00661519" w14:paraId="790B8C90" w14:textId="77777777">
      <w:pPr>
        <w:rPr>
          <w:rFonts w:eastAsia="Times New Roman"/>
          <w:color w:val="000000"/>
          <w:sz w:val="16"/>
          <w:lang w:val="en-GB"/>
        </w:rPr>
      </w:pPr>
      <w:r w:rsidRPr="009C48DA">
        <w:rPr>
          <w:rFonts w:eastAsia="Times New Roman"/>
          <w:color w:val="000000"/>
          <w:sz w:val="16"/>
          <w:lang w:val="en-GB"/>
        </w:rPr>
        <w:t>and £0.25m respectively for the years ended 31 December 2018, 2019 and 2020 and £0.06m for the period ended 31 March 2021.</w:t>
      </w:r>
    </w:p>
    <w:p w:rsidRPr="009C48DA" w:rsidR="00661519" w:rsidP="00661519" w:rsidRDefault="00661519" w14:paraId="4B1C68B9" w14:textId="77777777">
      <w:pPr>
        <w:rPr>
          <w:rFonts w:eastAsia="Times New Roman"/>
          <w:color w:val="000000"/>
          <w:sz w:val="16"/>
          <w:lang w:val="en-GB"/>
        </w:rPr>
      </w:pPr>
      <w:r w:rsidRPr="009C48DA">
        <w:rPr>
          <w:rFonts w:eastAsia="Times New Roman"/>
          <w:color w:val="000000"/>
          <w:sz w:val="16"/>
          <w:lang w:val="en-GB"/>
        </w:rPr>
        <w:br w:type="page"/>
      </w:r>
    </w:p>
    <w:p w:rsidRPr="009C48DA" w:rsidR="00661519" w:rsidP="00661519" w:rsidRDefault="00661519" w14:paraId="1BEA5727" w14:textId="77777777">
      <w:pPr>
        <w:rPr>
          <w:rFonts w:eastAsia="Times New Roman"/>
          <w:color w:val="000000"/>
          <w:sz w:val="16"/>
          <w:lang w:val="en-GB"/>
        </w:rPr>
      </w:pPr>
      <w:r w:rsidRPr="009C48DA">
        <w:rPr>
          <w:rFonts w:eastAsia="Times New Roman"/>
          <w:color w:val="000000"/>
          <w:sz w:val="16"/>
          <w:lang w:val="en-GB"/>
        </w:rPr>
        <w:lastRenderedPageBreak/>
        <w:t xml:space="preserve">The following table sets out the maturity analysis of lease receivables, showing undiscounted lease payments to be received after the </w:t>
      </w:r>
    </w:p>
    <w:p w:rsidRPr="009C48DA" w:rsidR="00661519" w:rsidP="00661519" w:rsidRDefault="00661519" w14:paraId="081E33C3" w14:textId="77777777">
      <w:pPr>
        <w:rPr>
          <w:rFonts w:eastAsia="Times New Roman" w:cs="Times New Roman"/>
          <w:color w:val="000000"/>
          <w:sz w:val="16"/>
          <w:szCs w:val="22"/>
          <w:lang w:val="en-GB"/>
        </w:rPr>
      </w:pPr>
      <w:r w:rsidRPr="009C48DA">
        <w:rPr>
          <w:rFonts w:eastAsia="Times New Roman"/>
          <w:color w:val="000000"/>
          <w:sz w:val="16"/>
          <w:lang w:val="en-GB"/>
        </w:rPr>
        <w:t>reporting date.</w:t>
      </w:r>
    </w:p>
    <w:tbl>
      <w:tblPr>
        <w:tblW w:w="0" w:type="auto"/>
        <w:tblLayout w:type="fixed"/>
        <w:tblCellMar>
          <w:left w:w="0" w:type="dxa"/>
          <w:right w:w="0" w:type="dxa"/>
        </w:tblCellMar>
        <w:tblLook w:val="0000" w:firstRow="0" w:lastRow="0" w:firstColumn="0" w:lastColumn="0" w:noHBand="0" w:noVBand="0"/>
      </w:tblPr>
      <w:tblGrid>
        <w:gridCol w:w="3929"/>
        <w:gridCol w:w="1311"/>
        <w:gridCol w:w="1665"/>
        <w:gridCol w:w="1114"/>
        <w:gridCol w:w="1153"/>
      </w:tblGrid>
      <w:tr w:rsidRPr="009C48DA" w:rsidR="00BB4FC4" w:rsidTr="00661519" w14:paraId="0508FDFE" w14:textId="77777777">
        <w:trPr>
          <w:trHeight w:val="341" w:hRule="exact"/>
        </w:trPr>
        <w:tc>
          <w:tcPr>
            <w:tcW w:w="3929" w:type="dxa"/>
            <w:vMerge w:val="restart"/>
          </w:tcPr>
          <w:p w:rsidRPr="009C48DA" w:rsidR="00661519" w:rsidP="00661519" w:rsidRDefault="00661519" w14:paraId="09B462FC" w14:textId="77777777">
            <w:pPr>
              <w:textAlignment w:val="baseline"/>
              <w:rPr>
                <w:rFonts w:eastAsia="Times New Roman"/>
                <w:color w:val="000000"/>
                <w:sz w:val="24"/>
                <w:lang w:val="en-GB"/>
              </w:rPr>
            </w:pPr>
          </w:p>
        </w:tc>
        <w:tc>
          <w:tcPr>
            <w:tcW w:w="1311" w:type="dxa"/>
            <w:tcBorders>
              <w:top w:val="none" w:color="020000" w:sz="0" w:space="0"/>
              <w:left w:val="none" w:color="020000" w:sz="0" w:space="0"/>
              <w:bottom w:val="single" w:color="000000" w:sz="5" w:space="0"/>
              <w:right w:val="none" w:color="020000" w:sz="0" w:space="0"/>
            </w:tcBorders>
          </w:tcPr>
          <w:p w:rsidRPr="009C48DA" w:rsidR="00661519" w:rsidP="00661519" w:rsidRDefault="00661519" w14:paraId="6846184A" w14:textId="77777777">
            <w:pPr>
              <w:textAlignment w:val="baseline"/>
              <w:rPr>
                <w:rFonts w:eastAsia="Times New Roman"/>
                <w:color w:val="000000"/>
                <w:sz w:val="24"/>
                <w:lang w:val="en-GB"/>
              </w:rPr>
            </w:pPr>
            <w:r w:rsidRPr="009C48DA">
              <w:rPr>
                <w:rFonts w:eastAsia="Times New Roman"/>
                <w:color w:val="000000"/>
                <w:sz w:val="24"/>
                <w:lang w:val="en-GB"/>
              </w:rPr>
              <w:t xml:space="preserve"> </w:t>
            </w:r>
          </w:p>
        </w:tc>
        <w:tc>
          <w:tcPr>
            <w:tcW w:w="1665"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641EB84E" w14:textId="77777777">
            <w:pPr>
              <w:spacing w:before="154" w:line="182" w:lineRule="exact"/>
              <w:ind w:left="354"/>
              <w:textAlignment w:val="baseline"/>
              <w:rPr>
                <w:rFonts w:eastAsia="Times New Roman"/>
                <w:b/>
                <w:color w:val="000000"/>
                <w:sz w:val="16"/>
                <w:lang w:val="en-GB"/>
              </w:rPr>
            </w:pPr>
            <w:r w:rsidRPr="009C48DA">
              <w:rPr>
                <w:rFonts w:eastAsia="Times New Roman"/>
                <w:b/>
                <w:color w:val="000000"/>
                <w:sz w:val="16"/>
                <w:lang w:val="en-GB"/>
              </w:rPr>
              <w:t>31 December</w:t>
            </w:r>
          </w:p>
        </w:tc>
        <w:tc>
          <w:tcPr>
            <w:tcW w:w="1114" w:type="dxa"/>
            <w:tcBorders>
              <w:top w:val="none" w:color="020000" w:sz="0" w:space="0"/>
              <w:left w:val="none" w:color="020000" w:sz="0" w:space="0"/>
              <w:bottom w:val="single" w:color="000000" w:sz="5" w:space="0"/>
              <w:right w:val="none" w:color="020000" w:sz="0" w:space="0"/>
            </w:tcBorders>
          </w:tcPr>
          <w:p w:rsidRPr="009C48DA" w:rsidR="00661519" w:rsidP="00661519" w:rsidRDefault="00661519" w14:paraId="099177FC" w14:textId="77777777">
            <w:pPr>
              <w:textAlignment w:val="baseline"/>
              <w:rPr>
                <w:rFonts w:eastAsia="Times New Roman"/>
                <w:color w:val="000000"/>
                <w:sz w:val="24"/>
                <w:lang w:val="en-GB"/>
              </w:rPr>
            </w:pPr>
            <w:r w:rsidRPr="009C48DA">
              <w:rPr>
                <w:rFonts w:eastAsia="Times New Roman"/>
                <w:color w:val="000000"/>
                <w:sz w:val="24"/>
                <w:lang w:val="en-GB"/>
              </w:rPr>
              <w:t xml:space="preserve"> </w:t>
            </w:r>
          </w:p>
        </w:tc>
        <w:tc>
          <w:tcPr>
            <w:tcW w:w="1153"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2CB4A463" w14:textId="77777777">
            <w:pPr>
              <w:spacing w:before="154" w:line="182" w:lineRule="exact"/>
              <w:jc w:val="center"/>
              <w:textAlignment w:val="baseline"/>
              <w:rPr>
                <w:rFonts w:eastAsia="Times New Roman"/>
                <w:b/>
                <w:color w:val="000000"/>
                <w:sz w:val="16"/>
                <w:lang w:val="en-GB"/>
              </w:rPr>
            </w:pPr>
            <w:r w:rsidRPr="009C48DA">
              <w:rPr>
                <w:rFonts w:eastAsia="Times New Roman"/>
                <w:b/>
                <w:color w:val="000000"/>
                <w:sz w:val="16"/>
                <w:lang w:val="en-GB"/>
              </w:rPr>
              <w:t>31 March</w:t>
            </w:r>
          </w:p>
        </w:tc>
      </w:tr>
      <w:tr w:rsidRPr="009C48DA" w:rsidR="00BB4FC4" w:rsidTr="00661519" w14:paraId="61389E57" w14:textId="77777777">
        <w:trPr>
          <w:trHeight w:val="197" w:hRule="exact"/>
        </w:trPr>
        <w:tc>
          <w:tcPr>
            <w:tcW w:w="3929" w:type="dxa"/>
            <w:vMerge/>
          </w:tcPr>
          <w:p w:rsidRPr="009C48DA" w:rsidR="00661519" w:rsidP="00661519" w:rsidRDefault="00661519" w14:paraId="618D797B" w14:textId="77777777">
            <w:pPr>
              <w:rPr>
                <w:lang w:val="en-GB"/>
              </w:rPr>
            </w:pPr>
          </w:p>
        </w:tc>
        <w:tc>
          <w:tcPr>
            <w:tcW w:w="1311" w:type="dxa"/>
            <w:tcBorders>
              <w:top w:val="single" w:color="000000" w:sz="5" w:space="0"/>
              <w:left w:val="none" w:color="020000" w:sz="0" w:space="0"/>
              <w:bottom w:val="none" w:color="020000" w:sz="0" w:space="0"/>
              <w:right w:val="none" w:color="020000" w:sz="0" w:space="0"/>
            </w:tcBorders>
            <w:vAlign w:val="center"/>
          </w:tcPr>
          <w:p w:rsidRPr="009C48DA" w:rsidR="00661519" w:rsidP="00661519" w:rsidRDefault="00661519" w14:paraId="0B7A60D1" w14:textId="77777777">
            <w:pPr>
              <w:spacing w:line="187" w:lineRule="exact"/>
              <w:ind w:right="346"/>
              <w:jc w:val="right"/>
              <w:textAlignment w:val="baseline"/>
              <w:rPr>
                <w:rFonts w:eastAsia="Times New Roman"/>
                <w:b/>
                <w:color w:val="000000"/>
                <w:sz w:val="16"/>
                <w:lang w:val="en-GB"/>
              </w:rPr>
            </w:pPr>
            <w:r w:rsidRPr="009C48DA">
              <w:rPr>
                <w:rFonts w:eastAsia="Times New Roman"/>
                <w:b/>
                <w:color w:val="000000"/>
                <w:sz w:val="16"/>
                <w:lang w:val="en-GB"/>
              </w:rPr>
              <w:t>2018</w:t>
            </w:r>
          </w:p>
        </w:tc>
        <w:tc>
          <w:tcPr>
            <w:tcW w:w="1665" w:type="dxa"/>
            <w:tcBorders>
              <w:top w:val="single" w:color="000000" w:sz="5" w:space="0"/>
              <w:left w:val="none" w:color="020000" w:sz="0" w:space="0"/>
              <w:bottom w:val="none" w:color="020000" w:sz="0" w:space="0"/>
              <w:right w:val="none" w:color="020000" w:sz="0" w:space="0"/>
            </w:tcBorders>
            <w:vAlign w:val="center"/>
          </w:tcPr>
          <w:p w:rsidRPr="009C48DA" w:rsidR="00661519" w:rsidP="00661519" w:rsidRDefault="00661519" w14:paraId="70E0F270" w14:textId="77777777">
            <w:pPr>
              <w:spacing w:line="187" w:lineRule="exact"/>
              <w:jc w:val="center"/>
              <w:textAlignment w:val="baseline"/>
              <w:rPr>
                <w:rFonts w:eastAsia="Times New Roman"/>
                <w:b/>
                <w:color w:val="000000"/>
                <w:sz w:val="16"/>
                <w:lang w:val="en-GB"/>
              </w:rPr>
            </w:pPr>
            <w:r w:rsidRPr="009C48DA">
              <w:rPr>
                <w:rFonts w:eastAsia="Times New Roman"/>
                <w:b/>
                <w:color w:val="000000"/>
                <w:sz w:val="16"/>
                <w:lang w:val="en-GB"/>
              </w:rPr>
              <w:t>2019</w:t>
            </w:r>
          </w:p>
        </w:tc>
        <w:tc>
          <w:tcPr>
            <w:tcW w:w="1114" w:type="dxa"/>
            <w:tcBorders>
              <w:top w:val="single" w:color="000000" w:sz="5" w:space="0"/>
              <w:left w:val="none" w:color="020000" w:sz="0" w:space="0"/>
              <w:bottom w:val="none" w:color="020000" w:sz="0" w:space="0"/>
              <w:right w:val="none" w:color="020000" w:sz="0" w:space="0"/>
            </w:tcBorders>
            <w:vAlign w:val="center"/>
          </w:tcPr>
          <w:p w:rsidRPr="009C48DA" w:rsidR="00661519" w:rsidP="00661519" w:rsidRDefault="00661519" w14:paraId="00C19B97" w14:textId="77777777">
            <w:pPr>
              <w:spacing w:line="187" w:lineRule="exact"/>
              <w:ind w:right="460"/>
              <w:jc w:val="right"/>
              <w:textAlignment w:val="baseline"/>
              <w:rPr>
                <w:rFonts w:eastAsia="Times New Roman"/>
                <w:b/>
                <w:color w:val="000000"/>
                <w:sz w:val="16"/>
                <w:lang w:val="en-GB"/>
              </w:rPr>
            </w:pPr>
            <w:r w:rsidRPr="009C48DA">
              <w:rPr>
                <w:rFonts w:eastAsia="Times New Roman"/>
                <w:b/>
                <w:color w:val="000000"/>
                <w:sz w:val="16"/>
                <w:lang w:val="en-GB"/>
              </w:rPr>
              <w:t>2020</w:t>
            </w:r>
          </w:p>
        </w:tc>
        <w:tc>
          <w:tcPr>
            <w:tcW w:w="1153" w:type="dxa"/>
            <w:tcBorders>
              <w:top w:val="single" w:color="000000" w:sz="5" w:space="0"/>
              <w:left w:val="none" w:color="020000" w:sz="0" w:space="0"/>
              <w:bottom w:val="none" w:color="020000" w:sz="0" w:space="0"/>
              <w:right w:val="none" w:color="020000" w:sz="0" w:space="0"/>
            </w:tcBorders>
            <w:vAlign w:val="center"/>
          </w:tcPr>
          <w:p w:rsidRPr="009C48DA" w:rsidR="00661519" w:rsidP="00661519" w:rsidRDefault="00661519" w14:paraId="1E7AAEB9" w14:textId="77777777">
            <w:pPr>
              <w:spacing w:line="187" w:lineRule="exact"/>
              <w:ind w:right="70"/>
              <w:jc w:val="right"/>
              <w:textAlignment w:val="baseline"/>
              <w:rPr>
                <w:rFonts w:eastAsia="Times New Roman"/>
                <w:b/>
                <w:color w:val="000000"/>
                <w:sz w:val="16"/>
                <w:lang w:val="en-GB"/>
              </w:rPr>
            </w:pPr>
            <w:r w:rsidRPr="009C48DA">
              <w:rPr>
                <w:rFonts w:eastAsia="Times New Roman"/>
                <w:b/>
                <w:color w:val="000000"/>
                <w:sz w:val="16"/>
                <w:lang w:val="en-GB"/>
              </w:rPr>
              <w:t>2021</w:t>
            </w:r>
          </w:p>
        </w:tc>
      </w:tr>
      <w:tr w:rsidRPr="009C48DA" w:rsidR="00661519" w:rsidTr="00661519" w14:paraId="77DCC440" w14:textId="77777777">
        <w:trPr>
          <w:trHeight w:val="201" w:hRule="exact"/>
        </w:trPr>
        <w:tc>
          <w:tcPr>
            <w:tcW w:w="392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DEE767E" w14:textId="77777777">
            <w:pPr>
              <w:spacing w:line="182" w:lineRule="exact"/>
              <w:ind w:left="118"/>
              <w:textAlignment w:val="baseline"/>
              <w:rPr>
                <w:rFonts w:eastAsia="Times New Roman"/>
                <w:b/>
                <w:color w:val="000000"/>
                <w:sz w:val="17"/>
                <w:lang w:val="en-GB"/>
              </w:rPr>
            </w:pPr>
            <w:r w:rsidRPr="009C48DA">
              <w:rPr>
                <w:rFonts w:eastAsia="Times New Roman"/>
                <w:b/>
                <w:color w:val="000000"/>
                <w:sz w:val="17"/>
                <w:lang w:val="en-GB"/>
              </w:rPr>
              <w:t>Lease receivables</w:t>
            </w:r>
          </w:p>
        </w:tc>
        <w:tc>
          <w:tcPr>
            <w:tcW w:w="13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044AF44" w14:textId="77777777">
            <w:pPr>
              <w:spacing w:line="181" w:lineRule="exact"/>
              <w:ind w:right="173"/>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6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604A854" w14:textId="77777777">
            <w:pPr>
              <w:spacing w:line="181" w:lineRule="exact"/>
              <w:ind w:right="475"/>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1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BBA9C8C" w14:textId="77777777">
            <w:pPr>
              <w:spacing w:line="181" w:lineRule="exact"/>
              <w:ind w:right="230"/>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15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1146E6B" w14:textId="77777777">
            <w:pPr>
              <w:spacing w:line="181" w:lineRule="exact"/>
              <w:ind w:right="25"/>
              <w:jc w:val="right"/>
              <w:textAlignment w:val="baseline"/>
              <w:rPr>
                <w:rFonts w:eastAsia="Times New Roman"/>
                <w:b/>
                <w:color w:val="000000"/>
                <w:sz w:val="16"/>
                <w:lang w:val="en-GB"/>
              </w:rPr>
            </w:pPr>
            <w:r w:rsidRPr="009C48DA">
              <w:rPr>
                <w:rFonts w:eastAsia="Times New Roman"/>
                <w:b/>
                <w:color w:val="000000"/>
                <w:sz w:val="16"/>
                <w:lang w:val="en-GB"/>
              </w:rPr>
              <w:t>£ 000</w:t>
            </w:r>
          </w:p>
        </w:tc>
      </w:tr>
      <w:tr w:rsidRPr="009C48DA" w:rsidR="00661519" w:rsidTr="00661519" w14:paraId="37D24F6D" w14:textId="77777777">
        <w:trPr>
          <w:trHeight w:val="231" w:hRule="exact"/>
        </w:trPr>
        <w:tc>
          <w:tcPr>
            <w:tcW w:w="392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B61D318" w14:textId="77777777">
            <w:pPr>
              <w:spacing w:after="38" w:line="182" w:lineRule="exact"/>
              <w:ind w:left="118"/>
              <w:textAlignment w:val="baseline"/>
              <w:rPr>
                <w:rFonts w:eastAsia="Times New Roman"/>
                <w:color w:val="000000"/>
                <w:sz w:val="16"/>
                <w:lang w:val="en-GB"/>
              </w:rPr>
            </w:pPr>
            <w:r w:rsidRPr="009C48DA">
              <w:rPr>
                <w:rFonts w:eastAsia="Times New Roman"/>
                <w:color w:val="000000"/>
                <w:sz w:val="16"/>
                <w:lang w:val="en-GB"/>
              </w:rPr>
              <w:t>Due within 1 year</w:t>
            </w:r>
          </w:p>
        </w:tc>
        <w:tc>
          <w:tcPr>
            <w:tcW w:w="13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2EC25B3" w14:textId="77777777">
            <w:pPr>
              <w:spacing w:before="35" w:after="17" w:line="179" w:lineRule="exact"/>
              <w:ind w:right="173"/>
              <w:jc w:val="right"/>
              <w:textAlignment w:val="baseline"/>
              <w:rPr>
                <w:rFonts w:eastAsia="Times New Roman"/>
                <w:color w:val="000000"/>
                <w:sz w:val="16"/>
                <w:lang w:val="en-GB"/>
              </w:rPr>
            </w:pPr>
            <w:r w:rsidRPr="009C48DA">
              <w:rPr>
                <w:rFonts w:eastAsia="Times New Roman"/>
                <w:color w:val="000000"/>
                <w:sz w:val="16"/>
                <w:lang w:val="en-GB"/>
              </w:rPr>
              <w:t>871</w:t>
            </w:r>
          </w:p>
        </w:tc>
        <w:tc>
          <w:tcPr>
            <w:tcW w:w="16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86EFFBE" w14:textId="77777777">
            <w:pPr>
              <w:spacing w:before="35" w:after="17" w:line="179" w:lineRule="exact"/>
              <w:ind w:right="475"/>
              <w:jc w:val="right"/>
              <w:textAlignment w:val="baseline"/>
              <w:rPr>
                <w:rFonts w:eastAsia="Times New Roman"/>
                <w:color w:val="000000"/>
                <w:sz w:val="16"/>
                <w:lang w:val="en-GB"/>
              </w:rPr>
            </w:pPr>
            <w:r w:rsidRPr="009C48DA">
              <w:rPr>
                <w:rFonts w:eastAsia="Times New Roman"/>
                <w:color w:val="000000"/>
                <w:sz w:val="16"/>
                <w:lang w:val="en-GB"/>
              </w:rPr>
              <w:t>1,012</w:t>
            </w:r>
          </w:p>
        </w:tc>
        <w:tc>
          <w:tcPr>
            <w:tcW w:w="11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556134F" w14:textId="77777777">
            <w:pPr>
              <w:spacing w:before="35" w:after="17" w:line="179" w:lineRule="exact"/>
              <w:ind w:right="230"/>
              <w:jc w:val="right"/>
              <w:textAlignment w:val="baseline"/>
              <w:rPr>
                <w:rFonts w:eastAsia="Times New Roman"/>
                <w:color w:val="000000"/>
                <w:sz w:val="16"/>
                <w:lang w:val="en-GB"/>
              </w:rPr>
            </w:pPr>
            <w:r w:rsidRPr="009C48DA">
              <w:rPr>
                <w:rFonts w:eastAsia="Times New Roman"/>
                <w:color w:val="000000"/>
                <w:sz w:val="16"/>
                <w:lang w:val="en-GB"/>
              </w:rPr>
              <w:t>1,012</w:t>
            </w:r>
          </w:p>
        </w:tc>
        <w:tc>
          <w:tcPr>
            <w:tcW w:w="115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22F9E22" w14:textId="77777777">
            <w:pPr>
              <w:spacing w:before="35" w:after="17" w:line="179" w:lineRule="exact"/>
              <w:ind w:right="25"/>
              <w:jc w:val="right"/>
              <w:textAlignment w:val="baseline"/>
              <w:rPr>
                <w:rFonts w:eastAsia="Times New Roman"/>
                <w:color w:val="000000"/>
                <w:sz w:val="16"/>
                <w:lang w:val="en-GB"/>
              </w:rPr>
            </w:pPr>
            <w:r w:rsidRPr="009C48DA">
              <w:rPr>
                <w:rFonts w:eastAsia="Times New Roman"/>
                <w:color w:val="000000"/>
                <w:sz w:val="16"/>
                <w:lang w:val="en-GB"/>
              </w:rPr>
              <w:t>1,012</w:t>
            </w:r>
          </w:p>
        </w:tc>
      </w:tr>
      <w:tr w:rsidRPr="009C48DA" w:rsidR="00661519" w:rsidTr="00661519" w14:paraId="23FEA2F6" w14:textId="77777777">
        <w:trPr>
          <w:trHeight w:val="230" w:hRule="exact"/>
        </w:trPr>
        <w:tc>
          <w:tcPr>
            <w:tcW w:w="392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A3DD09B" w14:textId="77777777">
            <w:pPr>
              <w:spacing w:after="19" w:line="182" w:lineRule="exact"/>
              <w:ind w:left="118"/>
              <w:textAlignment w:val="baseline"/>
              <w:rPr>
                <w:rFonts w:eastAsia="Times New Roman"/>
                <w:color w:val="000000"/>
                <w:sz w:val="16"/>
                <w:lang w:val="en-GB"/>
              </w:rPr>
            </w:pPr>
            <w:r w:rsidRPr="009C48DA">
              <w:rPr>
                <w:rFonts w:eastAsia="Times New Roman"/>
                <w:color w:val="000000"/>
                <w:sz w:val="16"/>
                <w:lang w:val="en-GB"/>
              </w:rPr>
              <w:t>Due between 1-2 years</w:t>
            </w:r>
          </w:p>
        </w:tc>
        <w:tc>
          <w:tcPr>
            <w:tcW w:w="13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0789323" w14:textId="77777777">
            <w:pPr>
              <w:spacing w:before="39" w:line="177" w:lineRule="exact"/>
              <w:ind w:right="173"/>
              <w:jc w:val="right"/>
              <w:textAlignment w:val="baseline"/>
              <w:rPr>
                <w:rFonts w:eastAsia="Times New Roman"/>
                <w:color w:val="000000"/>
                <w:sz w:val="16"/>
                <w:lang w:val="en-GB"/>
              </w:rPr>
            </w:pPr>
            <w:r w:rsidRPr="009C48DA">
              <w:rPr>
                <w:rFonts w:eastAsia="Times New Roman"/>
                <w:color w:val="000000"/>
                <w:sz w:val="16"/>
                <w:lang w:val="en-GB"/>
              </w:rPr>
              <w:t>1,012</w:t>
            </w:r>
          </w:p>
        </w:tc>
        <w:tc>
          <w:tcPr>
            <w:tcW w:w="16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CB194D6" w14:textId="77777777">
            <w:pPr>
              <w:spacing w:before="39" w:line="177" w:lineRule="exact"/>
              <w:ind w:right="475"/>
              <w:jc w:val="right"/>
              <w:textAlignment w:val="baseline"/>
              <w:rPr>
                <w:rFonts w:eastAsia="Times New Roman"/>
                <w:color w:val="000000"/>
                <w:sz w:val="16"/>
                <w:lang w:val="en-GB"/>
              </w:rPr>
            </w:pPr>
            <w:r w:rsidRPr="009C48DA">
              <w:rPr>
                <w:rFonts w:eastAsia="Times New Roman"/>
                <w:color w:val="000000"/>
                <w:sz w:val="16"/>
                <w:lang w:val="en-GB"/>
              </w:rPr>
              <w:t>1,012</w:t>
            </w:r>
          </w:p>
        </w:tc>
        <w:tc>
          <w:tcPr>
            <w:tcW w:w="11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3A79789" w14:textId="77777777">
            <w:pPr>
              <w:spacing w:before="39" w:line="177" w:lineRule="exact"/>
              <w:ind w:right="230"/>
              <w:jc w:val="right"/>
              <w:textAlignment w:val="baseline"/>
              <w:rPr>
                <w:rFonts w:eastAsia="Times New Roman"/>
                <w:color w:val="000000"/>
                <w:sz w:val="16"/>
                <w:lang w:val="en-GB"/>
              </w:rPr>
            </w:pPr>
            <w:r w:rsidRPr="009C48DA">
              <w:rPr>
                <w:rFonts w:eastAsia="Times New Roman"/>
                <w:color w:val="000000"/>
                <w:sz w:val="16"/>
                <w:lang w:val="en-GB"/>
              </w:rPr>
              <w:t>1,012</w:t>
            </w:r>
          </w:p>
        </w:tc>
        <w:tc>
          <w:tcPr>
            <w:tcW w:w="115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F6D0250" w14:textId="77777777">
            <w:pPr>
              <w:spacing w:before="39" w:line="177" w:lineRule="exact"/>
              <w:ind w:right="25"/>
              <w:jc w:val="right"/>
              <w:textAlignment w:val="baseline"/>
              <w:rPr>
                <w:rFonts w:eastAsia="Times New Roman"/>
                <w:color w:val="000000"/>
                <w:sz w:val="16"/>
                <w:lang w:val="en-GB"/>
              </w:rPr>
            </w:pPr>
            <w:r w:rsidRPr="009C48DA">
              <w:rPr>
                <w:rFonts w:eastAsia="Times New Roman"/>
                <w:color w:val="000000"/>
                <w:sz w:val="16"/>
                <w:lang w:val="en-GB"/>
              </w:rPr>
              <w:t>1,012</w:t>
            </w:r>
          </w:p>
        </w:tc>
      </w:tr>
      <w:tr w:rsidRPr="009C48DA" w:rsidR="00661519" w:rsidTr="00661519" w14:paraId="34D5CE53" w14:textId="77777777">
        <w:trPr>
          <w:trHeight w:val="235" w:hRule="exact"/>
        </w:trPr>
        <w:tc>
          <w:tcPr>
            <w:tcW w:w="392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ABE806B" w14:textId="77777777">
            <w:pPr>
              <w:spacing w:after="28" w:line="181" w:lineRule="exact"/>
              <w:ind w:left="118"/>
              <w:textAlignment w:val="baseline"/>
              <w:rPr>
                <w:rFonts w:eastAsia="Times New Roman"/>
                <w:color w:val="000000"/>
                <w:sz w:val="16"/>
                <w:lang w:val="en-GB"/>
              </w:rPr>
            </w:pPr>
            <w:r w:rsidRPr="009C48DA">
              <w:rPr>
                <w:rFonts w:eastAsia="Times New Roman"/>
                <w:color w:val="000000"/>
                <w:sz w:val="16"/>
                <w:lang w:val="en-GB"/>
              </w:rPr>
              <w:t>Due between 2-3 years</w:t>
            </w:r>
          </w:p>
        </w:tc>
        <w:tc>
          <w:tcPr>
            <w:tcW w:w="13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9518CE4" w14:textId="77777777">
            <w:pPr>
              <w:spacing w:before="40" w:after="11" w:line="179" w:lineRule="exact"/>
              <w:ind w:right="173"/>
              <w:jc w:val="right"/>
              <w:textAlignment w:val="baseline"/>
              <w:rPr>
                <w:rFonts w:eastAsia="Times New Roman"/>
                <w:color w:val="000000"/>
                <w:sz w:val="16"/>
                <w:lang w:val="en-GB"/>
              </w:rPr>
            </w:pPr>
            <w:r w:rsidRPr="009C48DA">
              <w:rPr>
                <w:rFonts w:eastAsia="Times New Roman"/>
                <w:color w:val="000000"/>
                <w:sz w:val="16"/>
                <w:lang w:val="en-GB"/>
              </w:rPr>
              <w:t>1,012</w:t>
            </w:r>
          </w:p>
        </w:tc>
        <w:tc>
          <w:tcPr>
            <w:tcW w:w="16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8970921" w14:textId="77777777">
            <w:pPr>
              <w:spacing w:before="40" w:after="11" w:line="179" w:lineRule="exact"/>
              <w:ind w:right="475"/>
              <w:jc w:val="right"/>
              <w:textAlignment w:val="baseline"/>
              <w:rPr>
                <w:rFonts w:eastAsia="Times New Roman"/>
                <w:color w:val="000000"/>
                <w:sz w:val="16"/>
                <w:lang w:val="en-GB"/>
              </w:rPr>
            </w:pPr>
            <w:r w:rsidRPr="009C48DA">
              <w:rPr>
                <w:rFonts w:eastAsia="Times New Roman"/>
                <w:color w:val="000000"/>
                <w:sz w:val="16"/>
                <w:lang w:val="en-GB"/>
              </w:rPr>
              <w:t>1,012</w:t>
            </w:r>
          </w:p>
        </w:tc>
        <w:tc>
          <w:tcPr>
            <w:tcW w:w="11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5460C08" w14:textId="77777777">
            <w:pPr>
              <w:spacing w:before="40" w:after="11" w:line="179" w:lineRule="exact"/>
              <w:ind w:right="230"/>
              <w:jc w:val="right"/>
              <w:textAlignment w:val="baseline"/>
              <w:rPr>
                <w:rFonts w:eastAsia="Times New Roman"/>
                <w:color w:val="000000"/>
                <w:sz w:val="16"/>
                <w:lang w:val="en-GB"/>
              </w:rPr>
            </w:pPr>
            <w:r w:rsidRPr="009C48DA">
              <w:rPr>
                <w:rFonts w:eastAsia="Times New Roman"/>
                <w:color w:val="000000"/>
                <w:sz w:val="16"/>
                <w:lang w:val="en-GB"/>
              </w:rPr>
              <w:t>1,012</w:t>
            </w:r>
          </w:p>
        </w:tc>
        <w:tc>
          <w:tcPr>
            <w:tcW w:w="115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B486EF7" w14:textId="77777777">
            <w:pPr>
              <w:spacing w:before="40" w:after="11" w:line="179" w:lineRule="exact"/>
              <w:ind w:right="25"/>
              <w:jc w:val="right"/>
              <w:textAlignment w:val="baseline"/>
              <w:rPr>
                <w:rFonts w:eastAsia="Times New Roman"/>
                <w:color w:val="000000"/>
                <w:sz w:val="16"/>
                <w:lang w:val="en-GB"/>
              </w:rPr>
            </w:pPr>
            <w:r w:rsidRPr="009C48DA">
              <w:rPr>
                <w:rFonts w:eastAsia="Times New Roman"/>
                <w:color w:val="000000"/>
                <w:sz w:val="16"/>
                <w:lang w:val="en-GB"/>
              </w:rPr>
              <w:t>1,012</w:t>
            </w:r>
          </w:p>
        </w:tc>
      </w:tr>
      <w:tr w:rsidRPr="009C48DA" w:rsidR="00661519" w:rsidTr="00661519" w14:paraId="2BC8C6B1" w14:textId="77777777">
        <w:trPr>
          <w:trHeight w:val="235" w:hRule="exact"/>
        </w:trPr>
        <w:tc>
          <w:tcPr>
            <w:tcW w:w="392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95922C4" w14:textId="77777777">
            <w:pPr>
              <w:spacing w:after="24" w:line="181" w:lineRule="exact"/>
              <w:ind w:left="118"/>
              <w:textAlignment w:val="baseline"/>
              <w:rPr>
                <w:rFonts w:eastAsia="Times New Roman"/>
                <w:color w:val="000000"/>
                <w:sz w:val="16"/>
                <w:lang w:val="en-GB"/>
              </w:rPr>
            </w:pPr>
            <w:r w:rsidRPr="009C48DA">
              <w:rPr>
                <w:rFonts w:eastAsia="Times New Roman"/>
                <w:color w:val="000000"/>
                <w:sz w:val="16"/>
                <w:lang w:val="en-GB"/>
              </w:rPr>
              <w:t>Due between 3-4 years</w:t>
            </w:r>
          </w:p>
        </w:tc>
        <w:tc>
          <w:tcPr>
            <w:tcW w:w="13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B978029" w14:textId="77777777">
            <w:pPr>
              <w:spacing w:before="40" w:after="7" w:line="179" w:lineRule="exact"/>
              <w:ind w:right="173"/>
              <w:jc w:val="right"/>
              <w:textAlignment w:val="baseline"/>
              <w:rPr>
                <w:rFonts w:eastAsia="Times New Roman"/>
                <w:color w:val="000000"/>
                <w:sz w:val="16"/>
                <w:lang w:val="en-GB"/>
              </w:rPr>
            </w:pPr>
            <w:r w:rsidRPr="009C48DA">
              <w:rPr>
                <w:rFonts w:eastAsia="Times New Roman"/>
                <w:color w:val="000000"/>
                <w:sz w:val="16"/>
                <w:lang w:val="en-GB"/>
              </w:rPr>
              <w:t>1,012</w:t>
            </w:r>
          </w:p>
        </w:tc>
        <w:tc>
          <w:tcPr>
            <w:tcW w:w="16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E1C7F42" w14:textId="77777777">
            <w:pPr>
              <w:spacing w:before="40" w:after="7" w:line="179" w:lineRule="exact"/>
              <w:ind w:right="475"/>
              <w:jc w:val="right"/>
              <w:textAlignment w:val="baseline"/>
              <w:rPr>
                <w:rFonts w:eastAsia="Times New Roman"/>
                <w:color w:val="000000"/>
                <w:sz w:val="16"/>
                <w:lang w:val="en-GB"/>
              </w:rPr>
            </w:pPr>
            <w:r w:rsidRPr="009C48DA">
              <w:rPr>
                <w:rFonts w:eastAsia="Times New Roman"/>
                <w:color w:val="000000"/>
                <w:sz w:val="16"/>
                <w:lang w:val="en-GB"/>
              </w:rPr>
              <w:t>1,012</w:t>
            </w:r>
          </w:p>
        </w:tc>
        <w:tc>
          <w:tcPr>
            <w:tcW w:w="11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64AE310" w14:textId="77777777">
            <w:pPr>
              <w:spacing w:before="40" w:after="7" w:line="179" w:lineRule="exact"/>
              <w:ind w:right="230"/>
              <w:jc w:val="right"/>
              <w:textAlignment w:val="baseline"/>
              <w:rPr>
                <w:rFonts w:eastAsia="Times New Roman"/>
                <w:color w:val="000000"/>
                <w:sz w:val="16"/>
                <w:lang w:val="en-GB"/>
              </w:rPr>
            </w:pPr>
            <w:r w:rsidRPr="009C48DA">
              <w:rPr>
                <w:rFonts w:eastAsia="Times New Roman"/>
                <w:color w:val="000000"/>
                <w:sz w:val="16"/>
                <w:lang w:val="en-GB"/>
              </w:rPr>
              <w:t>1,012</w:t>
            </w:r>
          </w:p>
        </w:tc>
        <w:tc>
          <w:tcPr>
            <w:tcW w:w="115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1F5BFB7" w14:textId="77777777">
            <w:pPr>
              <w:spacing w:before="40" w:after="7" w:line="179" w:lineRule="exact"/>
              <w:ind w:right="25"/>
              <w:jc w:val="right"/>
              <w:textAlignment w:val="baseline"/>
              <w:rPr>
                <w:rFonts w:eastAsia="Times New Roman"/>
                <w:color w:val="000000"/>
                <w:sz w:val="16"/>
                <w:lang w:val="en-GB"/>
              </w:rPr>
            </w:pPr>
            <w:r w:rsidRPr="009C48DA">
              <w:rPr>
                <w:rFonts w:eastAsia="Times New Roman"/>
                <w:color w:val="000000"/>
                <w:sz w:val="16"/>
                <w:lang w:val="en-GB"/>
              </w:rPr>
              <w:t>1,012</w:t>
            </w:r>
          </w:p>
        </w:tc>
      </w:tr>
      <w:tr w:rsidRPr="009C48DA" w:rsidR="00661519" w:rsidTr="00661519" w14:paraId="435E6DCD" w14:textId="77777777">
        <w:trPr>
          <w:trHeight w:val="231" w:hRule="exact"/>
        </w:trPr>
        <w:tc>
          <w:tcPr>
            <w:tcW w:w="392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07B4DC4" w14:textId="77777777">
            <w:pPr>
              <w:spacing w:after="23" w:line="182" w:lineRule="exact"/>
              <w:ind w:left="118"/>
              <w:textAlignment w:val="baseline"/>
              <w:rPr>
                <w:rFonts w:eastAsia="Times New Roman"/>
                <w:color w:val="000000"/>
                <w:sz w:val="16"/>
                <w:lang w:val="en-GB"/>
              </w:rPr>
            </w:pPr>
            <w:r w:rsidRPr="009C48DA">
              <w:rPr>
                <w:rFonts w:eastAsia="Times New Roman"/>
                <w:color w:val="000000"/>
                <w:sz w:val="16"/>
                <w:lang w:val="en-GB"/>
              </w:rPr>
              <w:t>Due between 4-5 years</w:t>
            </w:r>
          </w:p>
        </w:tc>
        <w:tc>
          <w:tcPr>
            <w:tcW w:w="13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5632D66" w14:textId="77777777">
            <w:pPr>
              <w:spacing w:before="40" w:after="2" w:line="179" w:lineRule="exact"/>
              <w:ind w:right="173"/>
              <w:jc w:val="right"/>
              <w:textAlignment w:val="baseline"/>
              <w:rPr>
                <w:rFonts w:eastAsia="Times New Roman"/>
                <w:color w:val="000000"/>
                <w:sz w:val="16"/>
                <w:lang w:val="en-GB"/>
              </w:rPr>
            </w:pPr>
            <w:r w:rsidRPr="009C48DA">
              <w:rPr>
                <w:rFonts w:eastAsia="Times New Roman"/>
                <w:color w:val="000000"/>
                <w:sz w:val="16"/>
                <w:lang w:val="en-GB"/>
              </w:rPr>
              <w:t>1,012</w:t>
            </w:r>
          </w:p>
        </w:tc>
        <w:tc>
          <w:tcPr>
            <w:tcW w:w="16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8D169AF" w14:textId="77777777">
            <w:pPr>
              <w:spacing w:before="40" w:after="2" w:line="179" w:lineRule="exact"/>
              <w:ind w:right="475"/>
              <w:jc w:val="right"/>
              <w:textAlignment w:val="baseline"/>
              <w:rPr>
                <w:rFonts w:eastAsia="Times New Roman"/>
                <w:color w:val="000000"/>
                <w:sz w:val="16"/>
                <w:lang w:val="en-GB"/>
              </w:rPr>
            </w:pPr>
            <w:r w:rsidRPr="009C48DA">
              <w:rPr>
                <w:rFonts w:eastAsia="Times New Roman"/>
                <w:color w:val="000000"/>
                <w:sz w:val="16"/>
                <w:lang w:val="en-GB"/>
              </w:rPr>
              <w:t>1,012</w:t>
            </w:r>
          </w:p>
        </w:tc>
        <w:tc>
          <w:tcPr>
            <w:tcW w:w="11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4D0514A" w14:textId="77777777">
            <w:pPr>
              <w:spacing w:before="40" w:after="2" w:line="179" w:lineRule="exact"/>
              <w:ind w:right="230"/>
              <w:jc w:val="right"/>
              <w:textAlignment w:val="baseline"/>
              <w:rPr>
                <w:rFonts w:eastAsia="Times New Roman"/>
                <w:color w:val="000000"/>
                <w:sz w:val="16"/>
                <w:lang w:val="en-GB"/>
              </w:rPr>
            </w:pPr>
            <w:r w:rsidRPr="009C48DA">
              <w:rPr>
                <w:rFonts w:eastAsia="Times New Roman"/>
                <w:color w:val="000000"/>
                <w:sz w:val="16"/>
                <w:lang w:val="en-GB"/>
              </w:rPr>
              <w:t>1,012</w:t>
            </w:r>
          </w:p>
        </w:tc>
        <w:tc>
          <w:tcPr>
            <w:tcW w:w="115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6CB613F" w14:textId="77777777">
            <w:pPr>
              <w:spacing w:before="40" w:after="2" w:line="179" w:lineRule="exact"/>
              <w:ind w:right="25"/>
              <w:jc w:val="right"/>
              <w:textAlignment w:val="baseline"/>
              <w:rPr>
                <w:rFonts w:eastAsia="Times New Roman"/>
                <w:color w:val="000000"/>
                <w:sz w:val="16"/>
                <w:lang w:val="en-GB"/>
              </w:rPr>
            </w:pPr>
            <w:r w:rsidRPr="009C48DA">
              <w:rPr>
                <w:rFonts w:eastAsia="Times New Roman"/>
                <w:color w:val="000000"/>
                <w:sz w:val="16"/>
                <w:lang w:val="en-GB"/>
              </w:rPr>
              <w:t>1,012</w:t>
            </w:r>
          </w:p>
        </w:tc>
      </w:tr>
      <w:tr w:rsidRPr="009C48DA" w:rsidR="00661519" w:rsidTr="00661519" w14:paraId="6FEBB3F7" w14:textId="77777777">
        <w:trPr>
          <w:trHeight w:val="216" w:hRule="exact"/>
        </w:trPr>
        <w:tc>
          <w:tcPr>
            <w:tcW w:w="392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8A728FE" w14:textId="77777777">
            <w:pPr>
              <w:spacing w:after="4" w:line="182" w:lineRule="exact"/>
              <w:ind w:left="118"/>
              <w:textAlignment w:val="baseline"/>
              <w:rPr>
                <w:rFonts w:eastAsia="Times New Roman"/>
                <w:color w:val="000000"/>
                <w:sz w:val="16"/>
                <w:lang w:val="en-GB"/>
              </w:rPr>
            </w:pPr>
            <w:r w:rsidRPr="009C48DA">
              <w:rPr>
                <w:rFonts w:eastAsia="Times New Roman"/>
                <w:color w:val="000000"/>
                <w:sz w:val="16"/>
                <w:lang w:val="en-GB"/>
              </w:rPr>
              <w:t>Due more than 5 years</w:t>
            </w:r>
          </w:p>
        </w:tc>
        <w:tc>
          <w:tcPr>
            <w:tcW w:w="1311"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5FDC51BE" w14:textId="77777777">
            <w:pPr>
              <w:spacing w:after="7" w:line="179" w:lineRule="exact"/>
              <w:ind w:right="173"/>
              <w:jc w:val="right"/>
              <w:textAlignment w:val="baseline"/>
              <w:rPr>
                <w:rFonts w:eastAsia="Times New Roman"/>
                <w:color w:val="000000"/>
                <w:sz w:val="16"/>
                <w:lang w:val="en-GB"/>
              </w:rPr>
            </w:pPr>
            <w:r w:rsidRPr="009C48DA">
              <w:rPr>
                <w:rFonts w:eastAsia="Times New Roman"/>
                <w:color w:val="000000"/>
                <w:sz w:val="16"/>
                <w:lang w:val="en-GB"/>
              </w:rPr>
              <w:t>4,046</w:t>
            </w:r>
          </w:p>
        </w:tc>
        <w:tc>
          <w:tcPr>
            <w:tcW w:w="1665"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2238CC14" w14:textId="77777777">
            <w:pPr>
              <w:spacing w:after="7" w:line="179" w:lineRule="exact"/>
              <w:ind w:right="475"/>
              <w:jc w:val="right"/>
              <w:textAlignment w:val="baseline"/>
              <w:rPr>
                <w:rFonts w:eastAsia="Times New Roman"/>
                <w:color w:val="000000"/>
                <w:sz w:val="16"/>
                <w:lang w:val="en-GB"/>
              </w:rPr>
            </w:pPr>
            <w:r w:rsidRPr="009C48DA">
              <w:rPr>
                <w:rFonts w:eastAsia="Times New Roman"/>
                <w:color w:val="000000"/>
                <w:sz w:val="16"/>
                <w:lang w:val="en-GB"/>
              </w:rPr>
              <w:t>3,033</w:t>
            </w:r>
          </w:p>
        </w:tc>
        <w:tc>
          <w:tcPr>
            <w:tcW w:w="1114"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77F9DDE0" w14:textId="77777777">
            <w:pPr>
              <w:spacing w:after="7" w:line="179" w:lineRule="exact"/>
              <w:ind w:right="230"/>
              <w:jc w:val="right"/>
              <w:textAlignment w:val="baseline"/>
              <w:rPr>
                <w:rFonts w:eastAsia="Times New Roman"/>
                <w:color w:val="000000"/>
                <w:sz w:val="16"/>
                <w:lang w:val="en-GB"/>
              </w:rPr>
            </w:pPr>
            <w:r w:rsidRPr="009C48DA">
              <w:rPr>
                <w:rFonts w:eastAsia="Times New Roman"/>
                <w:color w:val="000000"/>
                <w:sz w:val="16"/>
                <w:lang w:val="en-GB"/>
              </w:rPr>
              <w:t>2,021</w:t>
            </w:r>
          </w:p>
        </w:tc>
        <w:tc>
          <w:tcPr>
            <w:tcW w:w="1153"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47C1C692" w14:textId="77777777">
            <w:pPr>
              <w:spacing w:after="7" w:line="179" w:lineRule="exact"/>
              <w:ind w:right="25"/>
              <w:jc w:val="right"/>
              <w:textAlignment w:val="baseline"/>
              <w:rPr>
                <w:rFonts w:eastAsia="Times New Roman"/>
                <w:color w:val="000000"/>
                <w:sz w:val="16"/>
                <w:lang w:val="en-GB"/>
              </w:rPr>
            </w:pPr>
            <w:r w:rsidRPr="009C48DA">
              <w:rPr>
                <w:rFonts w:eastAsia="Times New Roman"/>
                <w:color w:val="000000"/>
                <w:sz w:val="16"/>
                <w:lang w:val="en-GB"/>
              </w:rPr>
              <w:t>1,768</w:t>
            </w:r>
          </w:p>
        </w:tc>
      </w:tr>
      <w:tr w:rsidRPr="009C48DA" w:rsidR="00661519" w:rsidTr="00661519" w14:paraId="51331BD1" w14:textId="77777777">
        <w:trPr>
          <w:trHeight w:val="365" w:hRule="exact"/>
        </w:trPr>
        <w:tc>
          <w:tcPr>
            <w:tcW w:w="392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063FE45" w14:textId="77777777">
            <w:pPr>
              <w:spacing w:before="150" w:after="28" w:line="187" w:lineRule="exact"/>
              <w:ind w:left="118"/>
              <w:textAlignment w:val="baseline"/>
              <w:rPr>
                <w:rFonts w:eastAsia="Times New Roman"/>
                <w:b/>
                <w:color w:val="000000"/>
                <w:sz w:val="16"/>
                <w:lang w:val="en-GB"/>
              </w:rPr>
            </w:pPr>
            <w:r w:rsidRPr="009C48DA">
              <w:rPr>
                <w:rFonts w:eastAsia="Times New Roman"/>
                <w:b/>
                <w:color w:val="000000"/>
                <w:sz w:val="16"/>
                <w:lang w:val="en-GB"/>
              </w:rPr>
              <w:t>Total undiscounted lease payments receivable</w:t>
            </w:r>
          </w:p>
        </w:tc>
        <w:tc>
          <w:tcPr>
            <w:tcW w:w="1311" w:type="dxa"/>
            <w:tcBorders>
              <w:top w:val="single" w:color="000000" w:sz="5" w:space="0"/>
              <w:left w:val="none" w:color="020000" w:sz="0" w:space="0"/>
              <w:bottom w:val="none" w:color="020000" w:sz="0" w:space="0"/>
              <w:right w:val="none" w:color="020000" w:sz="0" w:space="0"/>
            </w:tcBorders>
          </w:tcPr>
          <w:p w:rsidRPr="009C48DA" w:rsidR="00661519" w:rsidP="00661519" w:rsidRDefault="00661519" w14:paraId="571E7A80" w14:textId="77777777">
            <w:pPr>
              <w:spacing w:before="169" w:after="17" w:line="179" w:lineRule="exact"/>
              <w:ind w:right="173"/>
              <w:jc w:val="right"/>
              <w:textAlignment w:val="baseline"/>
              <w:rPr>
                <w:rFonts w:eastAsia="Times New Roman"/>
                <w:color w:val="000000"/>
                <w:sz w:val="16"/>
                <w:lang w:val="en-GB"/>
              </w:rPr>
            </w:pPr>
            <w:r w:rsidRPr="009C48DA">
              <w:rPr>
                <w:rFonts w:eastAsia="Times New Roman"/>
                <w:color w:val="000000"/>
                <w:sz w:val="16"/>
                <w:lang w:val="en-GB"/>
              </w:rPr>
              <w:t>8,965</w:t>
            </w:r>
          </w:p>
        </w:tc>
        <w:tc>
          <w:tcPr>
            <w:tcW w:w="1665" w:type="dxa"/>
            <w:tcBorders>
              <w:top w:val="single" w:color="000000" w:sz="5" w:space="0"/>
              <w:left w:val="none" w:color="020000" w:sz="0" w:space="0"/>
              <w:bottom w:val="none" w:color="020000" w:sz="0" w:space="0"/>
              <w:right w:val="none" w:color="020000" w:sz="0" w:space="0"/>
            </w:tcBorders>
          </w:tcPr>
          <w:p w:rsidRPr="009C48DA" w:rsidR="00661519" w:rsidP="00661519" w:rsidRDefault="00661519" w14:paraId="474E6DBF" w14:textId="77777777">
            <w:pPr>
              <w:spacing w:before="169" w:after="17" w:line="179" w:lineRule="exact"/>
              <w:ind w:right="475"/>
              <w:jc w:val="right"/>
              <w:textAlignment w:val="baseline"/>
              <w:rPr>
                <w:rFonts w:eastAsia="Times New Roman"/>
                <w:color w:val="000000"/>
                <w:sz w:val="16"/>
                <w:lang w:val="en-GB"/>
              </w:rPr>
            </w:pPr>
            <w:r w:rsidRPr="009C48DA">
              <w:rPr>
                <w:rFonts w:eastAsia="Times New Roman"/>
                <w:color w:val="000000"/>
                <w:sz w:val="16"/>
                <w:lang w:val="en-GB"/>
              </w:rPr>
              <w:t>8,093</w:t>
            </w:r>
          </w:p>
        </w:tc>
        <w:tc>
          <w:tcPr>
            <w:tcW w:w="1114" w:type="dxa"/>
            <w:tcBorders>
              <w:top w:val="single" w:color="000000" w:sz="5" w:space="0"/>
              <w:left w:val="none" w:color="020000" w:sz="0" w:space="0"/>
              <w:bottom w:val="none" w:color="020000" w:sz="0" w:space="0"/>
              <w:right w:val="none" w:color="020000" w:sz="0" w:space="0"/>
            </w:tcBorders>
          </w:tcPr>
          <w:p w:rsidRPr="009C48DA" w:rsidR="00661519" w:rsidP="00661519" w:rsidRDefault="00661519" w14:paraId="26D50BC9" w14:textId="77777777">
            <w:pPr>
              <w:spacing w:before="169" w:after="17" w:line="179" w:lineRule="exact"/>
              <w:ind w:right="230"/>
              <w:jc w:val="right"/>
              <w:textAlignment w:val="baseline"/>
              <w:rPr>
                <w:rFonts w:eastAsia="Times New Roman"/>
                <w:color w:val="000000"/>
                <w:sz w:val="16"/>
                <w:lang w:val="en-GB"/>
              </w:rPr>
            </w:pPr>
            <w:r w:rsidRPr="009C48DA">
              <w:rPr>
                <w:rFonts w:eastAsia="Times New Roman"/>
                <w:color w:val="000000"/>
                <w:sz w:val="16"/>
                <w:lang w:val="en-GB"/>
              </w:rPr>
              <w:t>7,081</w:t>
            </w:r>
          </w:p>
        </w:tc>
        <w:tc>
          <w:tcPr>
            <w:tcW w:w="1153" w:type="dxa"/>
            <w:tcBorders>
              <w:top w:val="single" w:color="000000" w:sz="5" w:space="0"/>
              <w:left w:val="none" w:color="020000" w:sz="0" w:space="0"/>
              <w:bottom w:val="none" w:color="020000" w:sz="0" w:space="0"/>
              <w:right w:val="none" w:color="020000" w:sz="0" w:space="0"/>
            </w:tcBorders>
          </w:tcPr>
          <w:p w:rsidRPr="009C48DA" w:rsidR="00661519" w:rsidP="00661519" w:rsidRDefault="00661519" w14:paraId="5631D7DD" w14:textId="77777777">
            <w:pPr>
              <w:spacing w:before="169" w:after="17" w:line="179" w:lineRule="exact"/>
              <w:ind w:right="25"/>
              <w:jc w:val="right"/>
              <w:textAlignment w:val="baseline"/>
              <w:rPr>
                <w:rFonts w:eastAsia="Times New Roman"/>
                <w:color w:val="000000"/>
                <w:sz w:val="16"/>
                <w:lang w:val="en-GB"/>
              </w:rPr>
            </w:pPr>
            <w:r w:rsidRPr="009C48DA">
              <w:rPr>
                <w:rFonts w:eastAsia="Times New Roman"/>
                <w:color w:val="000000"/>
                <w:sz w:val="16"/>
                <w:lang w:val="en-GB"/>
              </w:rPr>
              <w:t>6,828</w:t>
            </w:r>
          </w:p>
        </w:tc>
      </w:tr>
      <w:tr w:rsidRPr="009C48DA" w:rsidR="00661519" w:rsidTr="00661519" w14:paraId="4E60F870" w14:textId="77777777">
        <w:trPr>
          <w:trHeight w:val="216" w:hRule="exact"/>
        </w:trPr>
        <w:tc>
          <w:tcPr>
            <w:tcW w:w="392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0BEF54C" w14:textId="77777777">
            <w:pPr>
              <w:spacing w:after="17" w:line="179" w:lineRule="exact"/>
              <w:ind w:left="118"/>
              <w:textAlignment w:val="baseline"/>
              <w:rPr>
                <w:rFonts w:eastAsia="Times New Roman"/>
                <w:color w:val="000000"/>
                <w:sz w:val="16"/>
                <w:lang w:val="en-GB"/>
              </w:rPr>
            </w:pPr>
            <w:r w:rsidRPr="009C48DA">
              <w:rPr>
                <w:rFonts w:eastAsia="Times New Roman"/>
                <w:color w:val="000000"/>
                <w:sz w:val="16"/>
                <w:lang w:val="en-GB"/>
              </w:rPr>
              <w:t>Unearned finance income</w:t>
            </w:r>
          </w:p>
        </w:tc>
        <w:tc>
          <w:tcPr>
            <w:tcW w:w="1311"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28D52C51" w14:textId="77777777">
            <w:pPr>
              <w:spacing w:after="14" w:line="182" w:lineRule="exact"/>
              <w:ind w:right="173"/>
              <w:jc w:val="right"/>
              <w:textAlignment w:val="baseline"/>
              <w:rPr>
                <w:rFonts w:eastAsia="Times New Roman"/>
                <w:color w:val="000000"/>
                <w:sz w:val="16"/>
                <w:lang w:val="en-GB"/>
              </w:rPr>
            </w:pPr>
            <w:r w:rsidRPr="009C48DA">
              <w:rPr>
                <w:rFonts w:eastAsia="Times New Roman"/>
                <w:color w:val="000000"/>
                <w:sz w:val="16"/>
                <w:lang w:val="en-GB"/>
              </w:rPr>
              <w:t>(1,383)</w:t>
            </w:r>
          </w:p>
        </w:tc>
        <w:tc>
          <w:tcPr>
            <w:tcW w:w="1665"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1511F2C0" w14:textId="77777777">
            <w:pPr>
              <w:spacing w:after="14" w:line="182" w:lineRule="exact"/>
              <w:ind w:right="475"/>
              <w:jc w:val="right"/>
              <w:textAlignment w:val="baseline"/>
              <w:rPr>
                <w:rFonts w:eastAsia="Times New Roman"/>
                <w:color w:val="000000"/>
                <w:sz w:val="16"/>
                <w:lang w:val="en-GB"/>
              </w:rPr>
            </w:pPr>
            <w:r w:rsidRPr="009C48DA">
              <w:rPr>
                <w:rFonts w:eastAsia="Times New Roman"/>
                <w:color w:val="000000"/>
                <w:sz w:val="16"/>
                <w:lang w:val="en-GB"/>
              </w:rPr>
              <w:t>(1,105)</w:t>
            </w:r>
          </w:p>
        </w:tc>
        <w:tc>
          <w:tcPr>
            <w:tcW w:w="1114"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6C9A62A0" w14:textId="77777777">
            <w:pPr>
              <w:spacing w:after="14" w:line="182" w:lineRule="exact"/>
              <w:ind w:right="230"/>
              <w:jc w:val="right"/>
              <w:textAlignment w:val="baseline"/>
              <w:rPr>
                <w:rFonts w:eastAsia="Times New Roman"/>
                <w:color w:val="000000"/>
                <w:sz w:val="16"/>
                <w:lang w:val="en-GB"/>
              </w:rPr>
            </w:pPr>
            <w:r w:rsidRPr="009C48DA">
              <w:rPr>
                <w:rFonts w:eastAsia="Times New Roman"/>
                <w:color w:val="000000"/>
                <w:sz w:val="16"/>
                <w:lang w:val="en-GB"/>
              </w:rPr>
              <w:t>(855)</w:t>
            </w:r>
          </w:p>
        </w:tc>
        <w:tc>
          <w:tcPr>
            <w:tcW w:w="1153"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79C67AC6" w14:textId="77777777">
            <w:pPr>
              <w:spacing w:after="14" w:line="182" w:lineRule="exact"/>
              <w:ind w:right="25"/>
              <w:jc w:val="right"/>
              <w:textAlignment w:val="baseline"/>
              <w:rPr>
                <w:rFonts w:eastAsia="Times New Roman"/>
                <w:color w:val="000000"/>
                <w:sz w:val="16"/>
                <w:lang w:val="en-GB"/>
              </w:rPr>
            </w:pPr>
            <w:r w:rsidRPr="009C48DA">
              <w:rPr>
                <w:rFonts w:eastAsia="Times New Roman"/>
                <w:color w:val="000000"/>
                <w:sz w:val="16"/>
                <w:lang w:val="en-GB"/>
              </w:rPr>
              <w:t>(797)</w:t>
            </w:r>
          </w:p>
        </w:tc>
      </w:tr>
      <w:tr w:rsidRPr="009C48DA" w:rsidR="00661519" w:rsidTr="00661519" w14:paraId="06475125" w14:textId="77777777">
        <w:trPr>
          <w:trHeight w:val="336" w:hRule="exact"/>
        </w:trPr>
        <w:tc>
          <w:tcPr>
            <w:tcW w:w="392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927B9ED" w14:textId="77777777">
            <w:pPr>
              <w:spacing w:before="149" w:line="182" w:lineRule="exact"/>
              <w:ind w:left="118"/>
              <w:textAlignment w:val="baseline"/>
              <w:rPr>
                <w:rFonts w:eastAsia="Times New Roman"/>
                <w:b/>
                <w:color w:val="000000"/>
                <w:sz w:val="16"/>
                <w:lang w:val="en-GB"/>
              </w:rPr>
            </w:pPr>
            <w:r w:rsidRPr="009C48DA">
              <w:rPr>
                <w:rFonts w:eastAsia="Times New Roman"/>
                <w:b/>
                <w:color w:val="000000"/>
                <w:sz w:val="16"/>
                <w:lang w:val="en-GB"/>
              </w:rPr>
              <w:t>Net investments in lease</w:t>
            </w:r>
          </w:p>
        </w:tc>
        <w:tc>
          <w:tcPr>
            <w:tcW w:w="1311" w:type="dxa"/>
            <w:tcBorders>
              <w:top w:val="single" w:color="000000" w:sz="5" w:space="0"/>
              <w:left w:val="none" w:color="020000" w:sz="0" w:space="0"/>
              <w:bottom w:val="double" w:color="000000" w:sz="6" w:space="0"/>
              <w:right w:val="none" w:color="020000" w:sz="0" w:space="0"/>
            </w:tcBorders>
            <w:vAlign w:val="center"/>
          </w:tcPr>
          <w:p w:rsidRPr="009C48DA" w:rsidR="00661519" w:rsidP="00661519" w:rsidRDefault="00661519" w14:paraId="04149FC1" w14:textId="77777777">
            <w:pPr>
              <w:spacing w:before="131" w:after="21" w:line="179" w:lineRule="exact"/>
              <w:ind w:right="173"/>
              <w:jc w:val="right"/>
              <w:textAlignment w:val="baseline"/>
              <w:rPr>
                <w:rFonts w:eastAsia="Times New Roman"/>
                <w:color w:val="000000"/>
                <w:sz w:val="16"/>
                <w:lang w:val="en-GB"/>
              </w:rPr>
            </w:pPr>
            <w:r w:rsidRPr="009C48DA">
              <w:rPr>
                <w:rFonts w:eastAsia="Times New Roman"/>
                <w:color w:val="000000"/>
                <w:sz w:val="16"/>
                <w:lang w:val="en-GB"/>
              </w:rPr>
              <w:t>7,582</w:t>
            </w:r>
          </w:p>
        </w:tc>
        <w:tc>
          <w:tcPr>
            <w:tcW w:w="1665" w:type="dxa"/>
            <w:tcBorders>
              <w:top w:val="single" w:color="000000" w:sz="5" w:space="0"/>
              <w:left w:val="none" w:color="020000" w:sz="0" w:space="0"/>
              <w:bottom w:val="double" w:color="000000" w:sz="6" w:space="0"/>
              <w:right w:val="none" w:color="020000" w:sz="0" w:space="0"/>
            </w:tcBorders>
            <w:vAlign w:val="center"/>
          </w:tcPr>
          <w:p w:rsidRPr="009C48DA" w:rsidR="00661519" w:rsidP="00661519" w:rsidRDefault="00661519" w14:paraId="26415CE5" w14:textId="77777777">
            <w:pPr>
              <w:spacing w:before="131" w:after="21" w:line="179" w:lineRule="exact"/>
              <w:ind w:right="475"/>
              <w:jc w:val="right"/>
              <w:textAlignment w:val="baseline"/>
              <w:rPr>
                <w:rFonts w:eastAsia="Times New Roman"/>
                <w:color w:val="000000"/>
                <w:sz w:val="16"/>
                <w:lang w:val="en-GB"/>
              </w:rPr>
            </w:pPr>
            <w:r w:rsidRPr="009C48DA">
              <w:rPr>
                <w:rFonts w:eastAsia="Times New Roman"/>
                <w:color w:val="000000"/>
                <w:sz w:val="16"/>
                <w:lang w:val="en-GB"/>
              </w:rPr>
              <w:t>6,988</w:t>
            </w:r>
          </w:p>
        </w:tc>
        <w:tc>
          <w:tcPr>
            <w:tcW w:w="1114" w:type="dxa"/>
            <w:tcBorders>
              <w:top w:val="single" w:color="000000" w:sz="5" w:space="0"/>
              <w:left w:val="none" w:color="020000" w:sz="0" w:space="0"/>
              <w:bottom w:val="double" w:color="000000" w:sz="6" w:space="0"/>
              <w:right w:val="none" w:color="020000" w:sz="0" w:space="0"/>
            </w:tcBorders>
            <w:vAlign w:val="center"/>
          </w:tcPr>
          <w:p w:rsidRPr="009C48DA" w:rsidR="00661519" w:rsidP="00661519" w:rsidRDefault="00661519" w14:paraId="3495965B" w14:textId="77777777">
            <w:pPr>
              <w:spacing w:before="131" w:after="21" w:line="179" w:lineRule="exact"/>
              <w:ind w:right="230"/>
              <w:jc w:val="right"/>
              <w:textAlignment w:val="baseline"/>
              <w:rPr>
                <w:rFonts w:eastAsia="Times New Roman"/>
                <w:color w:val="000000"/>
                <w:sz w:val="16"/>
                <w:lang w:val="en-GB"/>
              </w:rPr>
            </w:pPr>
            <w:r w:rsidRPr="009C48DA">
              <w:rPr>
                <w:rFonts w:eastAsia="Times New Roman"/>
                <w:color w:val="000000"/>
                <w:sz w:val="16"/>
                <w:lang w:val="en-GB"/>
              </w:rPr>
              <w:t>6,226</w:t>
            </w:r>
          </w:p>
        </w:tc>
        <w:tc>
          <w:tcPr>
            <w:tcW w:w="1153" w:type="dxa"/>
            <w:tcBorders>
              <w:top w:val="single" w:color="000000" w:sz="5" w:space="0"/>
              <w:left w:val="none" w:color="020000" w:sz="0" w:space="0"/>
              <w:bottom w:val="double" w:color="000000" w:sz="6" w:space="0"/>
              <w:right w:val="none" w:color="020000" w:sz="0" w:space="0"/>
            </w:tcBorders>
            <w:vAlign w:val="center"/>
          </w:tcPr>
          <w:p w:rsidRPr="009C48DA" w:rsidR="00661519" w:rsidP="00661519" w:rsidRDefault="00661519" w14:paraId="69B600BD" w14:textId="77777777">
            <w:pPr>
              <w:spacing w:before="131" w:after="21" w:line="179" w:lineRule="exact"/>
              <w:ind w:right="25"/>
              <w:jc w:val="right"/>
              <w:textAlignment w:val="baseline"/>
              <w:rPr>
                <w:rFonts w:eastAsia="Times New Roman"/>
                <w:color w:val="000000"/>
                <w:sz w:val="16"/>
                <w:lang w:val="en-GB"/>
              </w:rPr>
            </w:pPr>
            <w:r w:rsidRPr="009C48DA">
              <w:rPr>
                <w:rFonts w:eastAsia="Times New Roman"/>
                <w:color w:val="000000"/>
                <w:sz w:val="16"/>
                <w:lang w:val="en-GB"/>
              </w:rPr>
              <w:t>6,031</w:t>
            </w:r>
          </w:p>
        </w:tc>
      </w:tr>
      <w:tr w:rsidRPr="009C48DA" w:rsidR="00661519" w:rsidTr="00661519" w14:paraId="5CAA0CAE" w14:textId="77777777">
        <w:trPr>
          <w:trHeight w:val="259" w:hRule="exact"/>
        </w:trPr>
        <w:tc>
          <w:tcPr>
            <w:tcW w:w="392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9009CEE" w14:textId="77777777">
            <w:pPr>
              <w:spacing w:before="49" w:after="26" w:line="179" w:lineRule="exact"/>
              <w:ind w:left="118"/>
              <w:textAlignment w:val="baseline"/>
              <w:rPr>
                <w:rFonts w:eastAsia="Times New Roman"/>
                <w:color w:val="000000"/>
                <w:sz w:val="16"/>
                <w:lang w:val="en-GB"/>
              </w:rPr>
            </w:pPr>
            <w:r w:rsidRPr="009C48DA">
              <w:rPr>
                <w:rFonts w:eastAsia="Times New Roman"/>
                <w:color w:val="000000"/>
                <w:sz w:val="16"/>
                <w:lang w:val="en-GB"/>
              </w:rPr>
              <w:t>Current</w:t>
            </w:r>
          </w:p>
        </w:tc>
        <w:tc>
          <w:tcPr>
            <w:tcW w:w="1311" w:type="dxa"/>
            <w:tcBorders>
              <w:top w:val="double" w:color="000000" w:sz="6" w:space="0"/>
              <w:left w:val="none" w:color="020000" w:sz="0" w:space="0"/>
              <w:bottom w:val="none" w:color="020000" w:sz="0" w:space="0"/>
              <w:right w:val="none" w:color="020000" w:sz="0" w:space="0"/>
            </w:tcBorders>
            <w:vAlign w:val="center"/>
          </w:tcPr>
          <w:p w:rsidRPr="009C48DA" w:rsidR="00661519" w:rsidP="00661519" w:rsidRDefault="00661519" w14:paraId="279141E9" w14:textId="77777777">
            <w:pPr>
              <w:spacing w:before="68" w:after="7" w:line="179" w:lineRule="exact"/>
              <w:ind w:right="173"/>
              <w:jc w:val="right"/>
              <w:textAlignment w:val="baseline"/>
              <w:rPr>
                <w:rFonts w:eastAsia="Times New Roman"/>
                <w:color w:val="000000"/>
                <w:sz w:val="16"/>
                <w:lang w:val="en-GB"/>
              </w:rPr>
            </w:pPr>
            <w:r w:rsidRPr="009C48DA">
              <w:rPr>
                <w:rFonts w:eastAsia="Times New Roman"/>
                <w:color w:val="000000"/>
                <w:sz w:val="16"/>
                <w:lang w:val="en-GB"/>
              </w:rPr>
              <w:t>595</w:t>
            </w:r>
          </w:p>
        </w:tc>
        <w:tc>
          <w:tcPr>
            <w:tcW w:w="1665" w:type="dxa"/>
            <w:tcBorders>
              <w:top w:val="double" w:color="000000" w:sz="6" w:space="0"/>
              <w:left w:val="none" w:color="020000" w:sz="0" w:space="0"/>
              <w:bottom w:val="none" w:color="020000" w:sz="0" w:space="0"/>
              <w:right w:val="none" w:color="020000" w:sz="0" w:space="0"/>
            </w:tcBorders>
            <w:vAlign w:val="center"/>
          </w:tcPr>
          <w:p w:rsidRPr="009C48DA" w:rsidR="00661519" w:rsidP="00661519" w:rsidRDefault="00661519" w14:paraId="0A9A4D68" w14:textId="77777777">
            <w:pPr>
              <w:spacing w:before="68" w:after="7" w:line="179" w:lineRule="exact"/>
              <w:ind w:right="475"/>
              <w:jc w:val="right"/>
              <w:textAlignment w:val="baseline"/>
              <w:rPr>
                <w:rFonts w:eastAsia="Times New Roman"/>
                <w:color w:val="000000"/>
                <w:sz w:val="16"/>
                <w:lang w:val="en-GB"/>
              </w:rPr>
            </w:pPr>
            <w:r w:rsidRPr="009C48DA">
              <w:rPr>
                <w:rFonts w:eastAsia="Times New Roman"/>
                <w:color w:val="000000"/>
                <w:sz w:val="16"/>
                <w:lang w:val="en-GB"/>
              </w:rPr>
              <w:t>762</w:t>
            </w:r>
          </w:p>
        </w:tc>
        <w:tc>
          <w:tcPr>
            <w:tcW w:w="1114" w:type="dxa"/>
            <w:tcBorders>
              <w:top w:val="double" w:color="000000" w:sz="6" w:space="0"/>
              <w:left w:val="none" w:color="020000" w:sz="0" w:space="0"/>
              <w:bottom w:val="none" w:color="020000" w:sz="0" w:space="0"/>
              <w:right w:val="none" w:color="020000" w:sz="0" w:space="0"/>
            </w:tcBorders>
            <w:vAlign w:val="center"/>
          </w:tcPr>
          <w:p w:rsidRPr="009C48DA" w:rsidR="00661519" w:rsidP="00661519" w:rsidRDefault="00661519" w14:paraId="5C984660" w14:textId="77777777">
            <w:pPr>
              <w:spacing w:before="68" w:after="7" w:line="179" w:lineRule="exact"/>
              <w:ind w:right="230"/>
              <w:jc w:val="right"/>
              <w:textAlignment w:val="baseline"/>
              <w:rPr>
                <w:rFonts w:eastAsia="Times New Roman"/>
                <w:color w:val="000000"/>
                <w:sz w:val="16"/>
                <w:lang w:val="en-GB"/>
              </w:rPr>
            </w:pPr>
            <w:r w:rsidRPr="009C48DA">
              <w:rPr>
                <w:rFonts w:eastAsia="Times New Roman"/>
                <w:color w:val="000000"/>
                <w:sz w:val="16"/>
                <w:lang w:val="en-GB"/>
              </w:rPr>
              <w:t>791</w:t>
            </w:r>
          </w:p>
        </w:tc>
        <w:tc>
          <w:tcPr>
            <w:tcW w:w="1153" w:type="dxa"/>
            <w:tcBorders>
              <w:top w:val="double" w:color="000000" w:sz="6" w:space="0"/>
              <w:left w:val="none" w:color="020000" w:sz="0" w:space="0"/>
              <w:bottom w:val="none" w:color="020000" w:sz="0" w:space="0"/>
              <w:right w:val="none" w:color="020000" w:sz="0" w:space="0"/>
            </w:tcBorders>
            <w:vAlign w:val="center"/>
          </w:tcPr>
          <w:p w:rsidRPr="009C48DA" w:rsidR="00661519" w:rsidP="00661519" w:rsidRDefault="00661519" w14:paraId="58D0C889" w14:textId="77777777">
            <w:pPr>
              <w:spacing w:before="68" w:after="7" w:line="179" w:lineRule="exact"/>
              <w:ind w:right="25"/>
              <w:jc w:val="right"/>
              <w:textAlignment w:val="baseline"/>
              <w:rPr>
                <w:rFonts w:eastAsia="Times New Roman"/>
                <w:color w:val="000000"/>
                <w:sz w:val="16"/>
                <w:lang w:val="en-GB"/>
              </w:rPr>
            </w:pPr>
            <w:r w:rsidRPr="009C48DA">
              <w:rPr>
                <w:rFonts w:eastAsia="Times New Roman"/>
                <w:color w:val="000000"/>
                <w:sz w:val="16"/>
                <w:lang w:val="en-GB"/>
              </w:rPr>
              <w:t>799</w:t>
            </w:r>
          </w:p>
        </w:tc>
      </w:tr>
      <w:tr w:rsidRPr="009C48DA" w:rsidR="00661519" w:rsidTr="00661519" w14:paraId="1A6FBE71" w14:textId="77777777">
        <w:trPr>
          <w:trHeight w:val="216" w:hRule="exact"/>
        </w:trPr>
        <w:tc>
          <w:tcPr>
            <w:tcW w:w="392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2B5520C" w14:textId="77777777">
            <w:pPr>
              <w:spacing w:after="12" w:line="179" w:lineRule="exact"/>
              <w:ind w:left="118"/>
              <w:textAlignment w:val="baseline"/>
              <w:rPr>
                <w:rFonts w:eastAsia="Times New Roman"/>
                <w:color w:val="000000"/>
                <w:sz w:val="16"/>
                <w:lang w:val="en-GB"/>
              </w:rPr>
            </w:pPr>
            <w:r w:rsidRPr="009C48DA">
              <w:rPr>
                <w:rFonts w:eastAsia="Times New Roman"/>
                <w:color w:val="000000"/>
                <w:sz w:val="16"/>
                <w:lang w:val="en-GB"/>
              </w:rPr>
              <w:t>Non-current</w:t>
            </w:r>
          </w:p>
        </w:tc>
        <w:tc>
          <w:tcPr>
            <w:tcW w:w="1311"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011939E1" w14:textId="77777777">
            <w:pPr>
              <w:spacing w:after="7" w:line="179" w:lineRule="exact"/>
              <w:ind w:right="173"/>
              <w:jc w:val="right"/>
              <w:textAlignment w:val="baseline"/>
              <w:rPr>
                <w:rFonts w:eastAsia="Times New Roman"/>
                <w:color w:val="000000"/>
                <w:sz w:val="16"/>
                <w:lang w:val="en-GB"/>
              </w:rPr>
            </w:pPr>
            <w:r w:rsidRPr="009C48DA">
              <w:rPr>
                <w:rFonts w:eastAsia="Times New Roman"/>
                <w:color w:val="000000"/>
                <w:sz w:val="16"/>
                <w:lang w:val="en-GB"/>
              </w:rPr>
              <w:t>6,987</w:t>
            </w:r>
          </w:p>
        </w:tc>
        <w:tc>
          <w:tcPr>
            <w:tcW w:w="1665"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3FCE23F7" w14:textId="77777777">
            <w:pPr>
              <w:spacing w:after="7" w:line="179" w:lineRule="exact"/>
              <w:ind w:right="475"/>
              <w:jc w:val="right"/>
              <w:textAlignment w:val="baseline"/>
              <w:rPr>
                <w:rFonts w:eastAsia="Times New Roman"/>
                <w:color w:val="000000"/>
                <w:sz w:val="16"/>
                <w:lang w:val="en-GB"/>
              </w:rPr>
            </w:pPr>
            <w:r w:rsidRPr="009C48DA">
              <w:rPr>
                <w:rFonts w:eastAsia="Times New Roman"/>
                <w:color w:val="000000"/>
                <w:sz w:val="16"/>
                <w:lang w:val="en-GB"/>
              </w:rPr>
              <w:t>6,226</w:t>
            </w:r>
          </w:p>
        </w:tc>
        <w:tc>
          <w:tcPr>
            <w:tcW w:w="1114"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6246802E" w14:textId="77777777">
            <w:pPr>
              <w:spacing w:after="7" w:line="179" w:lineRule="exact"/>
              <w:ind w:right="230"/>
              <w:jc w:val="right"/>
              <w:textAlignment w:val="baseline"/>
              <w:rPr>
                <w:rFonts w:eastAsia="Times New Roman"/>
                <w:color w:val="000000"/>
                <w:sz w:val="16"/>
                <w:lang w:val="en-GB"/>
              </w:rPr>
            </w:pPr>
            <w:r w:rsidRPr="009C48DA">
              <w:rPr>
                <w:rFonts w:eastAsia="Times New Roman"/>
                <w:color w:val="000000"/>
                <w:sz w:val="16"/>
                <w:lang w:val="en-GB"/>
              </w:rPr>
              <w:t>5,435</w:t>
            </w:r>
          </w:p>
        </w:tc>
        <w:tc>
          <w:tcPr>
            <w:tcW w:w="1153" w:type="dxa"/>
            <w:tcBorders>
              <w:top w:val="none" w:color="020000" w:sz="0" w:space="0"/>
              <w:left w:val="none" w:color="020000" w:sz="0" w:space="0"/>
              <w:bottom w:val="single" w:color="000000" w:sz="5" w:space="0"/>
              <w:right w:val="none" w:color="020000" w:sz="0" w:space="0"/>
            </w:tcBorders>
            <w:vAlign w:val="center"/>
          </w:tcPr>
          <w:p w:rsidRPr="009C48DA" w:rsidR="00661519" w:rsidP="00661519" w:rsidRDefault="00661519" w14:paraId="45B0606B" w14:textId="77777777">
            <w:pPr>
              <w:spacing w:after="7" w:line="179" w:lineRule="exact"/>
              <w:ind w:right="25"/>
              <w:jc w:val="right"/>
              <w:textAlignment w:val="baseline"/>
              <w:rPr>
                <w:rFonts w:eastAsia="Times New Roman"/>
                <w:color w:val="000000"/>
                <w:sz w:val="16"/>
                <w:lang w:val="en-GB"/>
              </w:rPr>
            </w:pPr>
            <w:r w:rsidRPr="009C48DA">
              <w:rPr>
                <w:rFonts w:eastAsia="Times New Roman"/>
                <w:color w:val="000000"/>
                <w:sz w:val="16"/>
                <w:lang w:val="en-GB"/>
              </w:rPr>
              <w:t>5,232</w:t>
            </w:r>
          </w:p>
        </w:tc>
      </w:tr>
      <w:tr w:rsidRPr="009C48DA" w:rsidR="00661519" w:rsidTr="00661519" w14:paraId="57E5E308" w14:textId="77777777">
        <w:trPr>
          <w:trHeight w:val="327" w:hRule="exact"/>
        </w:trPr>
        <w:tc>
          <w:tcPr>
            <w:tcW w:w="392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4BE9B929" w14:textId="77777777">
            <w:pPr>
              <w:textAlignment w:val="baseline"/>
              <w:rPr>
                <w:rFonts w:eastAsia="Times New Roman"/>
                <w:color w:val="000000"/>
                <w:sz w:val="24"/>
                <w:lang w:val="en-GB"/>
              </w:rPr>
            </w:pPr>
            <w:r w:rsidRPr="009C48DA">
              <w:rPr>
                <w:rFonts w:eastAsia="Times New Roman"/>
                <w:color w:val="000000"/>
                <w:sz w:val="24"/>
                <w:lang w:val="en-GB"/>
              </w:rPr>
              <w:t xml:space="preserve"> </w:t>
            </w:r>
          </w:p>
        </w:tc>
        <w:tc>
          <w:tcPr>
            <w:tcW w:w="1311" w:type="dxa"/>
            <w:tcBorders>
              <w:top w:val="single" w:color="000000" w:sz="5" w:space="0"/>
              <w:left w:val="none" w:color="020000" w:sz="0" w:space="0"/>
              <w:bottom w:val="double" w:color="000000" w:sz="6" w:space="0"/>
              <w:right w:val="none" w:color="020000" w:sz="0" w:space="0"/>
            </w:tcBorders>
            <w:vAlign w:val="center"/>
          </w:tcPr>
          <w:p w:rsidRPr="009C48DA" w:rsidR="00661519" w:rsidP="00661519" w:rsidRDefault="00661519" w14:paraId="60713801" w14:textId="77777777">
            <w:pPr>
              <w:spacing w:before="126" w:after="21" w:line="179" w:lineRule="exact"/>
              <w:ind w:right="173"/>
              <w:jc w:val="right"/>
              <w:textAlignment w:val="baseline"/>
              <w:rPr>
                <w:rFonts w:eastAsia="Times New Roman"/>
                <w:color w:val="000000"/>
                <w:sz w:val="16"/>
                <w:lang w:val="en-GB"/>
              </w:rPr>
            </w:pPr>
            <w:r w:rsidRPr="009C48DA">
              <w:rPr>
                <w:rFonts w:eastAsia="Times New Roman"/>
                <w:color w:val="000000"/>
                <w:sz w:val="16"/>
                <w:lang w:val="en-GB"/>
              </w:rPr>
              <w:t>7,582</w:t>
            </w:r>
          </w:p>
        </w:tc>
        <w:tc>
          <w:tcPr>
            <w:tcW w:w="1665" w:type="dxa"/>
            <w:tcBorders>
              <w:top w:val="single" w:color="000000" w:sz="5" w:space="0"/>
              <w:left w:val="none" w:color="020000" w:sz="0" w:space="0"/>
              <w:bottom w:val="double" w:color="000000" w:sz="6" w:space="0"/>
              <w:right w:val="none" w:color="020000" w:sz="0" w:space="0"/>
            </w:tcBorders>
            <w:vAlign w:val="center"/>
          </w:tcPr>
          <w:p w:rsidRPr="009C48DA" w:rsidR="00661519" w:rsidP="00661519" w:rsidRDefault="00661519" w14:paraId="727E5D98" w14:textId="77777777">
            <w:pPr>
              <w:spacing w:before="126" w:after="21" w:line="179" w:lineRule="exact"/>
              <w:ind w:right="475"/>
              <w:jc w:val="right"/>
              <w:textAlignment w:val="baseline"/>
              <w:rPr>
                <w:rFonts w:eastAsia="Times New Roman"/>
                <w:color w:val="000000"/>
                <w:sz w:val="16"/>
                <w:lang w:val="en-GB"/>
              </w:rPr>
            </w:pPr>
            <w:r w:rsidRPr="009C48DA">
              <w:rPr>
                <w:rFonts w:eastAsia="Times New Roman"/>
                <w:color w:val="000000"/>
                <w:sz w:val="16"/>
                <w:lang w:val="en-GB"/>
              </w:rPr>
              <w:t>6,988</w:t>
            </w:r>
          </w:p>
        </w:tc>
        <w:tc>
          <w:tcPr>
            <w:tcW w:w="1114" w:type="dxa"/>
            <w:tcBorders>
              <w:top w:val="single" w:color="000000" w:sz="5" w:space="0"/>
              <w:left w:val="none" w:color="020000" w:sz="0" w:space="0"/>
              <w:bottom w:val="double" w:color="000000" w:sz="6" w:space="0"/>
              <w:right w:val="none" w:color="020000" w:sz="0" w:space="0"/>
            </w:tcBorders>
            <w:vAlign w:val="center"/>
          </w:tcPr>
          <w:p w:rsidRPr="009C48DA" w:rsidR="00661519" w:rsidP="00661519" w:rsidRDefault="00661519" w14:paraId="74D98B40" w14:textId="77777777">
            <w:pPr>
              <w:spacing w:before="126" w:after="21" w:line="179" w:lineRule="exact"/>
              <w:ind w:right="230"/>
              <w:jc w:val="right"/>
              <w:textAlignment w:val="baseline"/>
              <w:rPr>
                <w:rFonts w:eastAsia="Times New Roman"/>
                <w:color w:val="000000"/>
                <w:sz w:val="16"/>
                <w:lang w:val="en-GB"/>
              </w:rPr>
            </w:pPr>
            <w:r w:rsidRPr="009C48DA">
              <w:rPr>
                <w:rFonts w:eastAsia="Times New Roman"/>
                <w:color w:val="000000"/>
                <w:sz w:val="16"/>
                <w:lang w:val="en-GB"/>
              </w:rPr>
              <w:t>6,226</w:t>
            </w:r>
          </w:p>
        </w:tc>
        <w:tc>
          <w:tcPr>
            <w:tcW w:w="1153" w:type="dxa"/>
            <w:tcBorders>
              <w:top w:val="single" w:color="000000" w:sz="5" w:space="0"/>
              <w:left w:val="none" w:color="020000" w:sz="0" w:space="0"/>
              <w:bottom w:val="double" w:color="000000" w:sz="6" w:space="0"/>
              <w:right w:val="none" w:color="020000" w:sz="0" w:space="0"/>
            </w:tcBorders>
            <w:vAlign w:val="center"/>
          </w:tcPr>
          <w:p w:rsidRPr="009C48DA" w:rsidR="00661519" w:rsidP="00661519" w:rsidRDefault="00661519" w14:paraId="58BFF9FA" w14:textId="77777777">
            <w:pPr>
              <w:spacing w:before="126" w:after="21" w:line="179" w:lineRule="exact"/>
              <w:ind w:right="25"/>
              <w:jc w:val="right"/>
              <w:textAlignment w:val="baseline"/>
              <w:rPr>
                <w:rFonts w:eastAsia="Times New Roman"/>
                <w:color w:val="000000"/>
                <w:sz w:val="16"/>
                <w:lang w:val="en-GB"/>
              </w:rPr>
            </w:pPr>
            <w:r w:rsidRPr="009C48DA">
              <w:rPr>
                <w:rFonts w:eastAsia="Times New Roman"/>
                <w:color w:val="000000"/>
                <w:sz w:val="16"/>
                <w:lang w:val="en-GB"/>
              </w:rPr>
              <w:t>6,031</w:t>
            </w:r>
          </w:p>
        </w:tc>
      </w:tr>
    </w:tbl>
    <w:p w:rsidRPr="009C48DA" w:rsidR="00661519" w:rsidP="00661519" w:rsidRDefault="00661519" w14:paraId="2943835F" w14:textId="77777777">
      <w:pPr>
        <w:rPr>
          <w:rFonts w:eastAsia="Times New Roman" w:cs="Times New Roman"/>
          <w:color w:val="000000"/>
          <w:sz w:val="16"/>
          <w:szCs w:val="22"/>
          <w:lang w:val="en-GB"/>
        </w:rPr>
      </w:pPr>
    </w:p>
    <w:p w:rsidRPr="009C48DA" w:rsidR="00661519" w:rsidP="00661519" w:rsidRDefault="00661519" w14:paraId="1E13A8B5" w14:textId="77777777">
      <w:pPr>
        <w:rPr>
          <w:rFonts w:eastAsia="Times New Roman" w:cs="Times New Roman"/>
          <w:color w:val="000000"/>
          <w:sz w:val="16"/>
          <w:szCs w:val="22"/>
          <w:lang w:val="en-GB"/>
        </w:rPr>
      </w:pPr>
    </w:p>
    <w:p w:rsidRPr="009C48DA" w:rsidR="00661519" w:rsidP="00661519" w:rsidRDefault="00661519" w14:paraId="733BEF62" w14:textId="77777777">
      <w:pPr>
        <w:textAlignment w:val="baseline"/>
        <w:rPr>
          <w:rFonts w:eastAsia="Times New Roman"/>
          <w:b/>
          <w:color w:val="000000"/>
          <w:spacing w:val="4"/>
          <w:sz w:val="16"/>
          <w:lang w:val="en-GB"/>
        </w:rPr>
      </w:pPr>
      <w:r w:rsidRPr="009C48DA">
        <w:rPr>
          <w:rFonts w:eastAsia="Times New Roman"/>
          <w:b/>
          <w:color w:val="000000"/>
          <w:spacing w:val="4"/>
          <w:sz w:val="16"/>
          <w:lang w:val="en-GB"/>
        </w:rPr>
        <w:t>(g)</w:t>
      </w:r>
      <w:r w:rsidRPr="009C48DA">
        <w:rPr>
          <w:rFonts w:eastAsia="Times New Roman"/>
          <w:b/>
          <w:color w:val="000000"/>
          <w:spacing w:val="4"/>
          <w:sz w:val="16"/>
          <w:lang w:val="en-GB"/>
        </w:rPr>
        <w:tab/>
        <w:t>Commitments</w:t>
      </w:r>
    </w:p>
    <w:p w:rsidRPr="009C48DA" w:rsidR="00661519" w:rsidP="00661519" w:rsidRDefault="00661519" w14:paraId="5D5B7551" w14:textId="77777777">
      <w:pPr>
        <w:textAlignment w:val="baseline"/>
        <w:rPr>
          <w:rFonts w:eastAsia="Times New Roman"/>
          <w:b/>
          <w:color w:val="000000"/>
          <w:spacing w:val="4"/>
          <w:sz w:val="16"/>
          <w:lang w:val="en-GB"/>
        </w:rPr>
      </w:pPr>
    </w:p>
    <w:p w:rsidRPr="009C48DA" w:rsidR="00661519" w:rsidP="00661519" w:rsidRDefault="00661519" w14:paraId="18B081DD" w14:textId="77777777">
      <w:pPr>
        <w:ind w:right="144"/>
        <w:jc w:val="both"/>
        <w:textAlignment w:val="baseline"/>
        <w:rPr>
          <w:rFonts w:eastAsia="Times New Roman"/>
          <w:color w:val="000000"/>
          <w:sz w:val="16"/>
          <w:lang w:val="en-GB"/>
        </w:rPr>
      </w:pPr>
      <w:r w:rsidRPr="009C48DA">
        <w:rPr>
          <w:rFonts w:eastAsia="Times New Roman"/>
          <w:color w:val="000000"/>
          <w:sz w:val="16"/>
          <w:lang w:val="en-GB"/>
        </w:rPr>
        <w:t xml:space="preserve">The Group’s undrawn capital commitments to the Bridgepoint funds at each period end is shown in the table below. Capital commitments </w:t>
      </w:r>
      <w:r w:rsidRPr="009C48DA">
        <w:rPr>
          <w:rFonts w:eastAsia="Times New Roman"/>
          <w:color w:val="000000"/>
          <w:sz w:val="16"/>
          <w:lang w:val="en-GB"/>
        </w:rPr>
        <w:br/>
        <w:t xml:space="preserve">are called over time, typically between one to five years following the subscription of the commitment. Capital commitments are a financial liability, but the Group does not have an obligation to pay cash until the capital is called. Commitments may increase where distributions </w:t>
      </w:r>
      <w:r w:rsidRPr="009C48DA">
        <w:rPr>
          <w:rFonts w:eastAsia="Times New Roman"/>
          <w:color w:val="000000"/>
          <w:sz w:val="16"/>
          <w:lang w:val="en-GB"/>
        </w:rPr>
        <w:br/>
        <w:t>made by the fund are recallable.</w:t>
      </w:r>
    </w:p>
    <w:p w:rsidRPr="009C48DA" w:rsidR="00661519" w:rsidP="00661519" w:rsidRDefault="00661519" w14:paraId="4672C22B" w14:textId="77777777">
      <w:pPr>
        <w:ind w:left="142" w:right="144"/>
        <w:jc w:val="both"/>
        <w:textAlignment w:val="baseline"/>
        <w:rPr>
          <w:rFonts w:eastAsia="Times New Roman"/>
          <w:color w:val="000000"/>
          <w:sz w:val="16"/>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36"/>
        <w:gridCol w:w="1275"/>
        <w:gridCol w:w="1276"/>
        <w:gridCol w:w="1276"/>
        <w:gridCol w:w="1276"/>
      </w:tblGrid>
      <w:tr w:rsidRPr="009C48DA" w:rsidR="00661519" w:rsidTr="00661519" w14:paraId="7EDF5577" w14:textId="77777777">
        <w:tc>
          <w:tcPr>
            <w:tcW w:w="3936" w:type="dxa"/>
            <w:vAlign w:val="bottom"/>
          </w:tcPr>
          <w:p w:rsidRPr="009C48DA" w:rsidR="00661519" w:rsidP="00661519" w:rsidRDefault="00661519" w14:paraId="3B8FBF04" w14:textId="77777777">
            <w:pPr>
              <w:jc w:val="both"/>
              <w:textAlignment w:val="baseline"/>
              <w:rPr>
                <w:rFonts w:eastAsia="Times New Roman"/>
                <w:b/>
                <w:color w:val="000000"/>
                <w:sz w:val="16"/>
                <w:szCs w:val="16"/>
                <w:lang w:val="en-GB"/>
              </w:rPr>
            </w:pPr>
          </w:p>
        </w:tc>
        <w:tc>
          <w:tcPr>
            <w:tcW w:w="3827" w:type="dxa"/>
            <w:gridSpan w:val="3"/>
            <w:vAlign w:val="bottom"/>
          </w:tcPr>
          <w:p w:rsidRPr="009C48DA" w:rsidR="00661519" w:rsidP="00661519" w:rsidRDefault="00661519" w14:paraId="149FDCAA"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December</w:t>
            </w:r>
          </w:p>
        </w:tc>
        <w:tc>
          <w:tcPr>
            <w:tcW w:w="1276" w:type="dxa"/>
            <w:vAlign w:val="bottom"/>
          </w:tcPr>
          <w:p w:rsidRPr="009C48DA" w:rsidR="00661519" w:rsidP="00661519" w:rsidRDefault="00661519" w14:paraId="53E121ED"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61A13453" w14:textId="77777777">
        <w:tc>
          <w:tcPr>
            <w:tcW w:w="3936" w:type="dxa"/>
            <w:vAlign w:val="bottom"/>
          </w:tcPr>
          <w:p w:rsidRPr="009C48DA" w:rsidR="00661519" w:rsidP="00661519" w:rsidRDefault="00661519" w14:paraId="58DEA44D" w14:textId="77777777">
            <w:pPr>
              <w:jc w:val="both"/>
              <w:textAlignment w:val="baseline"/>
              <w:rPr>
                <w:rFonts w:eastAsia="Times New Roman"/>
                <w:b/>
                <w:color w:val="000000"/>
                <w:sz w:val="16"/>
                <w:lang w:val="en-GB"/>
              </w:rPr>
            </w:pPr>
          </w:p>
        </w:tc>
        <w:tc>
          <w:tcPr>
            <w:tcW w:w="1275" w:type="dxa"/>
            <w:vAlign w:val="bottom"/>
          </w:tcPr>
          <w:p w:rsidRPr="009C48DA" w:rsidR="00661519" w:rsidP="00661519" w:rsidRDefault="00661519" w14:paraId="7051F15D"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12A5835C"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72AD1C96"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762EA139"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75EBF5EC"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7846666D"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3FD46201"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51C08453"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03410D36" w14:textId="77777777">
        <w:tc>
          <w:tcPr>
            <w:tcW w:w="0" w:type="auto"/>
            <w:vAlign w:val="center"/>
          </w:tcPr>
          <w:p w:rsidRPr="009C48DA" w:rsidR="00661519" w:rsidP="00661519" w:rsidRDefault="00661519" w14:paraId="00613BA2" w14:textId="77777777">
            <w:pPr>
              <w:textAlignment w:val="baseline"/>
              <w:rPr>
                <w:rFonts w:eastAsia="Times New Roman"/>
                <w:color w:val="000000"/>
                <w:sz w:val="16"/>
                <w:lang w:val="en-GB"/>
              </w:rPr>
            </w:pPr>
            <w:r w:rsidRPr="009C48DA">
              <w:rPr>
                <w:rFonts w:eastAsia="Times New Roman"/>
                <w:color w:val="000000"/>
                <w:sz w:val="16"/>
                <w:lang w:val="en-GB"/>
              </w:rPr>
              <w:t>Private equity funds</w:t>
            </w:r>
          </w:p>
        </w:tc>
        <w:tc>
          <w:tcPr>
            <w:tcW w:w="0" w:type="auto"/>
            <w:vAlign w:val="center"/>
          </w:tcPr>
          <w:p w:rsidRPr="009C48DA" w:rsidR="00661519" w:rsidP="00661519" w:rsidRDefault="00661519" w14:paraId="2D396369" w14:textId="77777777">
            <w:pPr>
              <w:jc w:val="right"/>
              <w:textAlignment w:val="baseline"/>
              <w:rPr>
                <w:rFonts w:eastAsia="Times New Roman"/>
                <w:color w:val="000000"/>
                <w:sz w:val="16"/>
                <w:lang w:val="en-GB"/>
              </w:rPr>
            </w:pPr>
            <w:r w:rsidRPr="009C48DA">
              <w:rPr>
                <w:rFonts w:eastAsia="Times New Roman"/>
                <w:color w:val="000000"/>
                <w:sz w:val="16"/>
                <w:lang w:val="en-GB"/>
              </w:rPr>
              <w:t>146,339</w:t>
            </w:r>
          </w:p>
        </w:tc>
        <w:tc>
          <w:tcPr>
            <w:tcW w:w="0" w:type="auto"/>
            <w:vAlign w:val="center"/>
          </w:tcPr>
          <w:p w:rsidRPr="009C48DA" w:rsidR="00661519" w:rsidP="00661519" w:rsidRDefault="00661519" w14:paraId="0DA77769" w14:textId="77777777">
            <w:pPr>
              <w:jc w:val="right"/>
              <w:textAlignment w:val="baseline"/>
              <w:rPr>
                <w:rFonts w:eastAsia="Times New Roman"/>
                <w:color w:val="000000"/>
                <w:sz w:val="16"/>
                <w:lang w:val="en-GB"/>
              </w:rPr>
            </w:pPr>
            <w:r w:rsidRPr="009C48DA">
              <w:rPr>
                <w:rFonts w:eastAsia="Times New Roman"/>
                <w:color w:val="000000"/>
                <w:sz w:val="16"/>
                <w:lang w:val="en-GB"/>
              </w:rPr>
              <w:t>119,852</w:t>
            </w:r>
          </w:p>
        </w:tc>
        <w:tc>
          <w:tcPr>
            <w:tcW w:w="0" w:type="auto"/>
            <w:vAlign w:val="center"/>
          </w:tcPr>
          <w:p w:rsidRPr="009C48DA" w:rsidR="00661519" w:rsidP="00661519" w:rsidRDefault="00661519" w14:paraId="6C9CA4D9" w14:textId="77777777">
            <w:pPr>
              <w:jc w:val="right"/>
              <w:textAlignment w:val="baseline"/>
              <w:rPr>
                <w:rFonts w:eastAsia="Times New Roman"/>
                <w:color w:val="000000"/>
                <w:sz w:val="16"/>
                <w:lang w:val="en-GB"/>
              </w:rPr>
            </w:pPr>
            <w:r w:rsidRPr="009C48DA">
              <w:rPr>
                <w:rFonts w:eastAsia="Times New Roman"/>
                <w:color w:val="000000"/>
                <w:sz w:val="16"/>
                <w:lang w:val="en-GB"/>
              </w:rPr>
              <w:t>135,302</w:t>
            </w:r>
          </w:p>
        </w:tc>
        <w:tc>
          <w:tcPr>
            <w:tcW w:w="1276" w:type="dxa"/>
            <w:vAlign w:val="center"/>
          </w:tcPr>
          <w:p w:rsidRPr="009C48DA" w:rsidR="00661519" w:rsidP="00661519" w:rsidRDefault="00661519" w14:paraId="506D1164" w14:textId="77777777">
            <w:pPr>
              <w:jc w:val="right"/>
              <w:textAlignment w:val="baseline"/>
              <w:rPr>
                <w:rFonts w:eastAsia="Times New Roman"/>
                <w:color w:val="000000"/>
                <w:sz w:val="16"/>
                <w:lang w:val="en-GB"/>
              </w:rPr>
            </w:pPr>
            <w:r w:rsidRPr="009C48DA">
              <w:rPr>
                <w:rFonts w:eastAsia="Times New Roman"/>
                <w:color w:val="000000"/>
                <w:sz w:val="16"/>
                <w:lang w:val="en-GB"/>
              </w:rPr>
              <w:t>132,566</w:t>
            </w:r>
          </w:p>
        </w:tc>
      </w:tr>
      <w:tr w:rsidRPr="009C48DA" w:rsidR="00661519" w:rsidTr="00661519" w14:paraId="1A770A78" w14:textId="77777777">
        <w:tc>
          <w:tcPr>
            <w:tcW w:w="0" w:type="auto"/>
          </w:tcPr>
          <w:p w:rsidRPr="009C48DA" w:rsidR="00661519" w:rsidP="00661519" w:rsidRDefault="00661519" w14:paraId="71A488F6" w14:textId="77777777">
            <w:pPr>
              <w:textAlignment w:val="baseline"/>
              <w:rPr>
                <w:rFonts w:eastAsia="Times New Roman"/>
                <w:color w:val="000000"/>
                <w:sz w:val="16"/>
                <w:lang w:val="en-GB"/>
              </w:rPr>
            </w:pPr>
            <w:r w:rsidRPr="009C48DA">
              <w:rPr>
                <w:rFonts w:eastAsia="Times New Roman"/>
                <w:color w:val="000000"/>
                <w:sz w:val="16"/>
                <w:lang w:val="en-GB"/>
              </w:rPr>
              <w:t xml:space="preserve">Credit funds </w:t>
            </w:r>
          </w:p>
        </w:tc>
        <w:tc>
          <w:tcPr>
            <w:tcW w:w="0" w:type="auto"/>
            <w:vAlign w:val="center"/>
          </w:tcPr>
          <w:p w:rsidRPr="009C48DA" w:rsidR="00661519" w:rsidP="00661519" w:rsidRDefault="00661519" w14:paraId="502735FC"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center"/>
          </w:tcPr>
          <w:p w:rsidRPr="009C48DA" w:rsidR="00661519" w:rsidP="00661519" w:rsidRDefault="00661519" w14:paraId="0B4EF59E"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40,981</w:t>
            </w:r>
          </w:p>
        </w:tc>
        <w:tc>
          <w:tcPr>
            <w:tcW w:w="0" w:type="auto"/>
            <w:vAlign w:val="center"/>
          </w:tcPr>
          <w:p w:rsidRPr="009C48DA" w:rsidR="00661519" w:rsidP="00661519" w:rsidRDefault="00661519" w14:paraId="6F31658B"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27,602</w:t>
            </w:r>
          </w:p>
        </w:tc>
        <w:tc>
          <w:tcPr>
            <w:tcW w:w="1276" w:type="dxa"/>
            <w:vAlign w:val="center"/>
          </w:tcPr>
          <w:p w:rsidRPr="009C48DA" w:rsidR="00661519" w:rsidP="00661519" w:rsidRDefault="00661519" w14:paraId="551179B5"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26,176</w:t>
            </w:r>
          </w:p>
        </w:tc>
      </w:tr>
      <w:tr w:rsidRPr="009C48DA" w:rsidR="00661519" w:rsidTr="00661519" w14:paraId="526B0E8C" w14:textId="77777777">
        <w:tc>
          <w:tcPr>
            <w:tcW w:w="0" w:type="auto"/>
          </w:tcPr>
          <w:p w:rsidRPr="009C48DA" w:rsidR="00661519" w:rsidP="00661519" w:rsidRDefault="00661519" w14:paraId="63D95EC8" w14:textId="77777777">
            <w:pPr>
              <w:textAlignment w:val="baseline"/>
              <w:rPr>
                <w:rFonts w:eastAsia="Times New Roman"/>
                <w:color w:val="000000"/>
                <w:sz w:val="16"/>
                <w:lang w:val="en-GB"/>
              </w:rPr>
            </w:pPr>
          </w:p>
        </w:tc>
        <w:tc>
          <w:tcPr>
            <w:tcW w:w="0" w:type="auto"/>
            <w:vAlign w:val="center"/>
          </w:tcPr>
          <w:p w:rsidRPr="009C48DA" w:rsidR="00661519" w:rsidP="00661519" w:rsidRDefault="00661519" w14:paraId="2515F98C"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146,339</w:t>
            </w:r>
          </w:p>
        </w:tc>
        <w:tc>
          <w:tcPr>
            <w:tcW w:w="0" w:type="auto"/>
            <w:vAlign w:val="center"/>
          </w:tcPr>
          <w:p w:rsidRPr="009C48DA" w:rsidR="00661519" w:rsidP="00661519" w:rsidRDefault="00661519" w14:paraId="57132FFF"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160,833</w:t>
            </w:r>
          </w:p>
        </w:tc>
        <w:tc>
          <w:tcPr>
            <w:tcW w:w="0" w:type="auto"/>
            <w:vAlign w:val="center"/>
          </w:tcPr>
          <w:p w:rsidRPr="009C48DA" w:rsidR="00661519" w:rsidP="00661519" w:rsidRDefault="00661519" w14:paraId="16253610"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162,904</w:t>
            </w:r>
          </w:p>
        </w:tc>
        <w:tc>
          <w:tcPr>
            <w:tcW w:w="1276" w:type="dxa"/>
            <w:vAlign w:val="center"/>
          </w:tcPr>
          <w:p w:rsidRPr="009C48DA" w:rsidR="00661519" w:rsidP="00661519" w:rsidRDefault="00661519" w14:paraId="2C97B0EC"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158,742</w:t>
            </w:r>
          </w:p>
        </w:tc>
      </w:tr>
    </w:tbl>
    <w:p w:rsidRPr="009C48DA" w:rsidR="00661519" w:rsidP="00661519" w:rsidRDefault="00661519" w14:paraId="7019EF44" w14:textId="77777777">
      <w:pPr>
        <w:ind w:right="144"/>
        <w:jc w:val="both"/>
        <w:textAlignment w:val="baseline"/>
        <w:rPr>
          <w:rFonts w:eastAsia="Times New Roman"/>
          <w:color w:val="000000"/>
          <w:sz w:val="16"/>
          <w:lang w:val="en-GB"/>
        </w:rPr>
      </w:pPr>
    </w:p>
    <w:p w:rsidRPr="009C48DA" w:rsidR="00661519" w:rsidP="00661519" w:rsidRDefault="00661519" w14:paraId="2DFCFED0" w14:textId="77777777">
      <w:pPr>
        <w:tabs>
          <w:tab w:val="left" w:pos="504"/>
        </w:tabs>
        <w:textAlignment w:val="baseline"/>
        <w:rPr>
          <w:rFonts w:eastAsia="Times New Roman"/>
          <w:b/>
          <w:color w:val="000000"/>
          <w:sz w:val="16"/>
          <w:lang w:val="en-GB"/>
        </w:rPr>
      </w:pPr>
      <w:r w:rsidRPr="009C48DA">
        <w:rPr>
          <w:rFonts w:eastAsia="Times New Roman"/>
          <w:b/>
          <w:color w:val="000000"/>
          <w:sz w:val="16"/>
          <w:lang w:val="en-GB"/>
        </w:rPr>
        <w:t>18</w:t>
      </w:r>
      <w:r w:rsidRPr="009C48DA">
        <w:rPr>
          <w:rFonts w:eastAsia="Times New Roman"/>
          <w:b/>
          <w:color w:val="000000"/>
          <w:sz w:val="16"/>
          <w:lang w:val="en-GB"/>
        </w:rPr>
        <w:tab/>
      </w:r>
      <w:r w:rsidRPr="009C48DA">
        <w:rPr>
          <w:rFonts w:eastAsia="Times New Roman"/>
          <w:b/>
          <w:color w:val="000000"/>
          <w:sz w:val="16"/>
          <w:lang w:val="en-GB"/>
        </w:rPr>
        <w:tab/>
        <w:t>Financial liabilities</w:t>
      </w:r>
    </w:p>
    <w:p w:rsidRPr="009C48DA" w:rsidR="00661519" w:rsidP="00661519" w:rsidRDefault="00661519" w14:paraId="5DC835D2" w14:textId="77777777">
      <w:pPr>
        <w:tabs>
          <w:tab w:val="left" w:pos="504"/>
        </w:tabs>
        <w:textAlignment w:val="baseline"/>
        <w:rPr>
          <w:rFonts w:eastAsia="Times New Roman"/>
          <w:b/>
          <w:color w:val="000000"/>
          <w:sz w:val="16"/>
          <w:lang w:val="en-GB"/>
        </w:rPr>
      </w:pPr>
    </w:p>
    <w:p w:rsidRPr="009C48DA" w:rsidR="00661519" w:rsidP="00661519" w:rsidRDefault="00661519" w14:paraId="64C5A555" w14:textId="77777777">
      <w:pPr>
        <w:tabs>
          <w:tab w:val="left" w:pos="504"/>
        </w:tabs>
        <w:textAlignment w:val="baseline"/>
        <w:rPr>
          <w:rFonts w:eastAsia="Times New Roman"/>
          <w:b/>
          <w:color w:val="000000"/>
          <w:sz w:val="16"/>
          <w:lang w:val="en-GB"/>
        </w:rPr>
      </w:pPr>
    </w:p>
    <w:p w:rsidRPr="009C48DA" w:rsidR="00661519" w:rsidP="00661519" w:rsidRDefault="00661519" w14:paraId="0D64AB3D" w14:textId="77777777">
      <w:pPr>
        <w:textAlignment w:val="baseline"/>
        <w:rPr>
          <w:rFonts w:eastAsia="Times New Roman"/>
          <w:b/>
          <w:color w:val="000000"/>
          <w:sz w:val="16"/>
          <w:lang w:val="en-GB"/>
        </w:rPr>
      </w:pPr>
      <w:r w:rsidRPr="009C48DA">
        <w:rPr>
          <w:rFonts w:eastAsia="Times New Roman"/>
          <w:b/>
          <w:color w:val="000000"/>
          <w:sz w:val="16"/>
          <w:lang w:val="en-GB"/>
        </w:rPr>
        <w:t>(a)</w:t>
      </w:r>
      <w:r w:rsidRPr="009C48DA">
        <w:rPr>
          <w:rFonts w:eastAsia="Times New Roman"/>
          <w:b/>
          <w:color w:val="000000"/>
          <w:sz w:val="16"/>
          <w:lang w:val="en-GB"/>
        </w:rPr>
        <w:tab/>
      </w:r>
      <w:r w:rsidRPr="009C48DA">
        <w:rPr>
          <w:rFonts w:eastAsia="Times New Roman"/>
          <w:b/>
          <w:color w:val="000000"/>
          <w:spacing w:val="4"/>
          <w:sz w:val="16"/>
          <w:lang w:val="en-GB"/>
        </w:rPr>
        <w:t>Classification</w:t>
      </w:r>
      <w:r w:rsidRPr="009C48DA">
        <w:rPr>
          <w:rFonts w:eastAsia="Times New Roman"/>
          <w:b/>
          <w:color w:val="000000"/>
          <w:sz w:val="16"/>
          <w:lang w:val="en-GB"/>
        </w:rPr>
        <w:t xml:space="preserve"> of financial liabilities</w:t>
      </w:r>
    </w:p>
    <w:p w:rsidRPr="009C48DA" w:rsidR="00661519" w:rsidP="00661519" w:rsidRDefault="00661519" w14:paraId="6A09F236" w14:textId="77777777">
      <w:pPr>
        <w:textAlignment w:val="baseline"/>
        <w:rPr>
          <w:rFonts w:eastAsia="Times New Roman"/>
          <w:b/>
          <w:color w:val="000000"/>
          <w:sz w:val="16"/>
          <w:lang w:val="en-GB"/>
        </w:rPr>
      </w:pPr>
    </w:p>
    <w:p w:rsidRPr="009C48DA" w:rsidR="00661519" w:rsidP="00661519" w:rsidRDefault="00661519" w14:paraId="1A9E0485" w14:textId="77777777">
      <w:pPr>
        <w:ind w:right="144"/>
        <w:jc w:val="both"/>
        <w:textAlignment w:val="baseline"/>
        <w:rPr>
          <w:rFonts w:eastAsia="Times New Roman"/>
          <w:color w:val="000000"/>
          <w:spacing w:val="1"/>
          <w:sz w:val="16"/>
          <w:lang w:val="en-GB"/>
        </w:rPr>
      </w:pPr>
      <w:r w:rsidRPr="009C48DA">
        <w:rPr>
          <w:rFonts w:eastAsia="Times New Roman"/>
          <w:color w:val="000000"/>
          <w:spacing w:val="1"/>
          <w:sz w:val="16"/>
          <w:lang w:val="en-GB"/>
        </w:rPr>
        <w:t xml:space="preserve">The </w:t>
      </w:r>
      <w:r w:rsidRPr="009C48DA">
        <w:rPr>
          <w:rFonts w:eastAsia="Times New Roman"/>
          <w:color w:val="000000"/>
          <w:sz w:val="16"/>
          <w:lang w:val="en-GB"/>
        </w:rPr>
        <w:t>following</w:t>
      </w:r>
      <w:r w:rsidRPr="009C48DA">
        <w:rPr>
          <w:rFonts w:eastAsia="Times New Roman"/>
          <w:color w:val="000000"/>
          <w:spacing w:val="1"/>
          <w:sz w:val="16"/>
          <w:lang w:val="en-GB"/>
        </w:rPr>
        <w:t xml:space="preserve"> tables analyse the Group’s liabilities in accordance with the categories of financial instruments in IFRS 9 “Financial Instruments”. Liabilities such as deferred income, social security and other taxes are excluded as they do not constitute a financial liability.</w:t>
      </w:r>
    </w:p>
    <w:p w:rsidRPr="009C48DA" w:rsidR="00661519" w:rsidP="00661519" w:rsidRDefault="00661519" w14:paraId="3B20224E" w14:textId="77777777">
      <w:pPr>
        <w:ind w:right="144"/>
        <w:jc w:val="both"/>
        <w:textAlignment w:val="baseline"/>
        <w:rPr>
          <w:rFonts w:eastAsia="Times New Roman"/>
          <w:color w:val="000000"/>
          <w:spacing w:val="1"/>
          <w:sz w:val="16"/>
          <w:lang w:val="en-GB"/>
        </w:rPr>
      </w:pPr>
    </w:p>
    <w:tbl>
      <w:tblPr>
        <w:tblW w:w="9220" w:type="dxa"/>
        <w:tblLayout w:type="fixed"/>
        <w:tblCellMar>
          <w:left w:w="0" w:type="dxa"/>
          <w:right w:w="0" w:type="dxa"/>
        </w:tblCellMar>
        <w:tblLook w:val="0000" w:firstRow="0" w:lastRow="0" w:firstColumn="0" w:lastColumn="0" w:noHBand="0" w:noVBand="0"/>
      </w:tblPr>
      <w:tblGrid>
        <w:gridCol w:w="2977"/>
        <w:gridCol w:w="1559"/>
        <w:gridCol w:w="1390"/>
        <w:gridCol w:w="1587"/>
        <w:gridCol w:w="1707"/>
      </w:tblGrid>
      <w:tr w:rsidRPr="009C48DA" w:rsidR="00661519" w:rsidTr="00661519" w14:paraId="7A056A37" w14:textId="77777777">
        <w:trPr>
          <w:trHeight w:val="597"/>
        </w:trPr>
        <w:tc>
          <w:tcPr>
            <w:tcW w:w="2977" w:type="dxa"/>
            <w:vAlign w:val="bottom"/>
          </w:tcPr>
          <w:p w:rsidRPr="009C48DA" w:rsidR="00661519" w:rsidP="00661519" w:rsidRDefault="00661519" w14:paraId="5AD0E8D2" w14:textId="77777777">
            <w:pPr>
              <w:textAlignment w:val="baseline"/>
              <w:rPr>
                <w:rFonts w:eastAsia="Times New Roman"/>
                <w:color w:val="000000"/>
                <w:sz w:val="24"/>
                <w:lang w:val="en-GB"/>
              </w:rPr>
            </w:pPr>
          </w:p>
        </w:tc>
        <w:tc>
          <w:tcPr>
            <w:tcW w:w="1559" w:type="dxa"/>
            <w:tcMar>
              <w:left w:w="108" w:type="dxa"/>
              <w:right w:w="108" w:type="dxa"/>
            </w:tcMar>
            <w:vAlign w:val="bottom"/>
          </w:tcPr>
          <w:p w:rsidRPr="009C48DA" w:rsidR="00661519" w:rsidP="00661519" w:rsidRDefault="00661519" w14:paraId="1B809C01" w14:textId="77777777">
            <w:pPr>
              <w:jc w:val="center"/>
              <w:textAlignment w:val="baseline"/>
              <w:rPr>
                <w:rFonts w:eastAsia="Times New Roman"/>
                <w:b/>
                <w:color w:val="000000"/>
                <w:sz w:val="16"/>
                <w:lang w:val="en-GB"/>
              </w:rPr>
            </w:pPr>
            <w:r w:rsidRPr="009C48DA">
              <w:rPr>
                <w:rFonts w:eastAsia="Times New Roman"/>
                <w:b/>
                <w:color w:val="000000"/>
                <w:sz w:val="16"/>
                <w:lang w:val="en-GB"/>
              </w:rPr>
              <w:t>Fair value through profit or loss</w:t>
            </w:r>
          </w:p>
        </w:tc>
        <w:tc>
          <w:tcPr>
            <w:tcW w:w="1390" w:type="dxa"/>
            <w:tcMar>
              <w:left w:w="108" w:type="dxa"/>
              <w:right w:w="108" w:type="dxa"/>
            </w:tcMar>
            <w:vAlign w:val="bottom"/>
          </w:tcPr>
          <w:p w:rsidRPr="009C48DA" w:rsidR="00661519" w:rsidP="00661519" w:rsidRDefault="00661519" w14:paraId="2FED926E" w14:textId="77777777">
            <w:pPr>
              <w:jc w:val="center"/>
              <w:textAlignment w:val="baseline"/>
              <w:rPr>
                <w:rFonts w:eastAsia="Times New Roman"/>
                <w:b/>
                <w:color w:val="000000"/>
                <w:sz w:val="16"/>
                <w:lang w:val="en-GB"/>
              </w:rPr>
            </w:pPr>
            <w:r w:rsidRPr="009C48DA">
              <w:rPr>
                <w:rFonts w:eastAsia="Times New Roman"/>
                <w:b/>
                <w:color w:val="000000"/>
                <w:sz w:val="16"/>
                <w:lang w:val="en-GB"/>
              </w:rPr>
              <w:t>Hedging derivatives</w:t>
            </w:r>
          </w:p>
        </w:tc>
        <w:tc>
          <w:tcPr>
            <w:tcW w:w="1587" w:type="dxa"/>
            <w:vAlign w:val="bottom"/>
          </w:tcPr>
          <w:p w:rsidRPr="009C48DA" w:rsidR="00661519" w:rsidP="00661519" w:rsidRDefault="00661519" w14:paraId="4817450D" w14:textId="77777777">
            <w:pPr>
              <w:ind w:left="346" w:hanging="336"/>
              <w:jc w:val="center"/>
              <w:textAlignment w:val="baseline"/>
              <w:rPr>
                <w:rFonts w:eastAsia="Times New Roman"/>
                <w:b/>
                <w:color w:val="000000"/>
                <w:sz w:val="16"/>
                <w:lang w:val="en-GB"/>
              </w:rPr>
            </w:pPr>
            <w:r w:rsidRPr="009C48DA">
              <w:rPr>
                <w:rFonts w:eastAsia="Times New Roman"/>
                <w:b/>
                <w:color w:val="000000"/>
                <w:sz w:val="16"/>
                <w:lang w:val="en-GB"/>
              </w:rPr>
              <w:t>Financial liabilities</w:t>
            </w:r>
          </w:p>
          <w:p w:rsidRPr="009C48DA" w:rsidR="00661519" w:rsidP="00661519" w:rsidRDefault="00661519" w14:paraId="3FC0DB50" w14:textId="77777777">
            <w:pPr>
              <w:ind w:left="204" w:hanging="399"/>
              <w:jc w:val="center"/>
              <w:textAlignment w:val="baseline"/>
              <w:rPr>
                <w:rFonts w:eastAsia="Times New Roman"/>
                <w:b/>
                <w:color w:val="000000"/>
                <w:sz w:val="16"/>
                <w:lang w:val="en-GB"/>
              </w:rPr>
            </w:pPr>
            <w:r w:rsidRPr="009C48DA">
              <w:rPr>
                <w:rFonts w:eastAsia="Times New Roman"/>
                <w:b/>
                <w:color w:val="000000"/>
                <w:sz w:val="16"/>
                <w:lang w:val="en-GB"/>
              </w:rPr>
              <w:t>at amortised cost</w:t>
            </w:r>
          </w:p>
        </w:tc>
        <w:tc>
          <w:tcPr>
            <w:tcW w:w="1707" w:type="dxa"/>
            <w:tcMar>
              <w:left w:w="108" w:type="dxa"/>
              <w:right w:w="108" w:type="dxa"/>
            </w:tcMar>
            <w:vAlign w:val="bottom"/>
          </w:tcPr>
          <w:p w:rsidRPr="009C48DA" w:rsidR="00661519" w:rsidP="00661519" w:rsidRDefault="00661519" w14:paraId="64AA72DD" w14:textId="77777777">
            <w:pPr>
              <w:ind w:right="534"/>
              <w:jc w:val="right"/>
              <w:textAlignment w:val="baseline"/>
              <w:rPr>
                <w:rFonts w:eastAsia="Times New Roman"/>
                <w:b/>
                <w:color w:val="000000"/>
                <w:sz w:val="16"/>
                <w:lang w:val="en-GB"/>
              </w:rPr>
            </w:pPr>
            <w:r w:rsidRPr="009C48DA">
              <w:rPr>
                <w:rFonts w:eastAsia="Times New Roman"/>
                <w:b/>
                <w:color w:val="000000"/>
                <w:sz w:val="16"/>
                <w:lang w:val="en-GB"/>
              </w:rPr>
              <w:t>Total</w:t>
            </w:r>
          </w:p>
        </w:tc>
      </w:tr>
      <w:tr w:rsidRPr="009C48DA" w:rsidR="00661519" w:rsidTr="00661519" w14:paraId="47433092" w14:textId="77777777">
        <w:trPr>
          <w:trHeight w:val="199"/>
        </w:trPr>
        <w:tc>
          <w:tcPr>
            <w:tcW w:w="2977" w:type="dxa"/>
            <w:vAlign w:val="bottom"/>
          </w:tcPr>
          <w:p w:rsidRPr="009C48DA" w:rsidR="00661519" w:rsidP="00661519" w:rsidRDefault="00661519" w14:paraId="3CC8A955" w14:textId="77777777">
            <w:pPr>
              <w:ind w:left="156"/>
              <w:textAlignment w:val="baseline"/>
              <w:rPr>
                <w:rFonts w:eastAsia="Times New Roman"/>
                <w:b/>
                <w:color w:val="000000"/>
                <w:sz w:val="16"/>
                <w:lang w:val="en-GB"/>
              </w:rPr>
            </w:pPr>
            <w:r w:rsidRPr="009C48DA">
              <w:rPr>
                <w:rFonts w:eastAsia="Times New Roman"/>
                <w:b/>
                <w:color w:val="000000"/>
                <w:sz w:val="16"/>
                <w:lang w:val="en-GB"/>
              </w:rPr>
              <w:t>As at 31 December 2018</w:t>
            </w:r>
          </w:p>
        </w:tc>
        <w:tc>
          <w:tcPr>
            <w:tcW w:w="1559" w:type="dxa"/>
            <w:tcMar>
              <w:left w:w="108" w:type="dxa"/>
              <w:right w:w="108" w:type="dxa"/>
            </w:tcMar>
            <w:vAlign w:val="bottom"/>
          </w:tcPr>
          <w:p w:rsidRPr="009C48DA" w:rsidR="00661519" w:rsidP="00661519" w:rsidRDefault="00661519" w14:paraId="7914E456" w14:textId="77777777">
            <w:pPr>
              <w:ind w:right="608"/>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390" w:type="dxa"/>
            <w:tcMar>
              <w:left w:w="108" w:type="dxa"/>
              <w:right w:w="108" w:type="dxa"/>
            </w:tcMar>
            <w:vAlign w:val="bottom"/>
          </w:tcPr>
          <w:p w:rsidRPr="009C48DA" w:rsidR="00661519" w:rsidP="00661519" w:rsidRDefault="00661519" w14:paraId="3188BBDE"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587" w:type="dxa"/>
          </w:tcPr>
          <w:p w:rsidRPr="009C48DA" w:rsidR="00661519" w:rsidP="00661519" w:rsidRDefault="00661519" w14:paraId="659BFA9B" w14:textId="77777777">
            <w:pPr>
              <w:ind w:right="534" w:hanging="336"/>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707" w:type="dxa"/>
            <w:tcMar>
              <w:left w:w="108" w:type="dxa"/>
              <w:right w:w="108" w:type="dxa"/>
            </w:tcMar>
            <w:vAlign w:val="bottom"/>
          </w:tcPr>
          <w:p w:rsidRPr="009C48DA" w:rsidR="00661519" w:rsidP="00661519" w:rsidRDefault="00661519" w14:paraId="2BE9E6AC" w14:textId="77777777">
            <w:pPr>
              <w:ind w:right="534"/>
              <w:jc w:val="right"/>
              <w:textAlignment w:val="baseline"/>
              <w:rPr>
                <w:rFonts w:eastAsia="Times New Roman"/>
                <w:b/>
                <w:color w:val="000000"/>
                <w:sz w:val="16"/>
                <w:lang w:val="en-GB"/>
              </w:rPr>
            </w:pPr>
            <w:r w:rsidRPr="009C48DA">
              <w:rPr>
                <w:rFonts w:eastAsia="Times New Roman"/>
                <w:b/>
                <w:color w:val="000000"/>
                <w:sz w:val="16"/>
                <w:lang w:val="en-GB"/>
              </w:rPr>
              <w:t>£ 000</w:t>
            </w:r>
          </w:p>
        </w:tc>
      </w:tr>
      <w:tr w:rsidRPr="009C48DA" w:rsidR="00661519" w:rsidTr="00661519" w14:paraId="4A263D14" w14:textId="77777777">
        <w:trPr>
          <w:trHeight w:val="210"/>
        </w:trPr>
        <w:tc>
          <w:tcPr>
            <w:tcW w:w="2977" w:type="dxa"/>
            <w:vAlign w:val="center"/>
          </w:tcPr>
          <w:p w:rsidRPr="009C48DA" w:rsidR="00661519" w:rsidP="00661519" w:rsidRDefault="00661519" w14:paraId="77AB33F1" w14:textId="77777777">
            <w:pPr>
              <w:ind w:left="156"/>
              <w:textAlignment w:val="baseline"/>
              <w:rPr>
                <w:rFonts w:eastAsia="Times New Roman"/>
                <w:color w:val="000000"/>
                <w:sz w:val="16"/>
                <w:lang w:val="en-GB"/>
              </w:rPr>
            </w:pPr>
            <w:r w:rsidRPr="009C48DA">
              <w:rPr>
                <w:rFonts w:eastAsia="Times New Roman"/>
                <w:color w:val="000000"/>
                <w:sz w:val="16"/>
                <w:lang w:val="en-GB"/>
              </w:rPr>
              <w:t>Trade and other payables</w:t>
            </w:r>
          </w:p>
        </w:tc>
        <w:tc>
          <w:tcPr>
            <w:tcW w:w="1559" w:type="dxa"/>
            <w:tcMar>
              <w:left w:w="108" w:type="dxa"/>
              <w:right w:w="108" w:type="dxa"/>
            </w:tcMar>
            <w:vAlign w:val="bottom"/>
          </w:tcPr>
          <w:p w:rsidRPr="009C48DA" w:rsidR="00661519" w:rsidP="00661519" w:rsidRDefault="00661519" w14:paraId="7DF49BC2"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390" w:type="dxa"/>
            <w:tcMar>
              <w:left w:w="108" w:type="dxa"/>
              <w:right w:w="108" w:type="dxa"/>
            </w:tcMar>
            <w:vAlign w:val="bottom"/>
          </w:tcPr>
          <w:p w:rsidRPr="009C48DA" w:rsidR="00661519" w:rsidP="00661519" w:rsidRDefault="00661519" w14:paraId="2C086161"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587" w:type="dxa"/>
            <w:vAlign w:val="bottom"/>
          </w:tcPr>
          <w:p w:rsidRPr="009C48DA" w:rsidR="00661519" w:rsidP="00661519" w:rsidRDefault="00661519" w14:paraId="588CA279" w14:textId="77777777">
            <w:pPr>
              <w:ind w:hanging="336"/>
              <w:jc w:val="right"/>
              <w:textAlignment w:val="baseline"/>
              <w:rPr>
                <w:rFonts w:eastAsia="Times New Roman"/>
                <w:color w:val="000000"/>
                <w:sz w:val="16"/>
                <w:lang w:val="en-GB"/>
              </w:rPr>
            </w:pPr>
            <w:r w:rsidRPr="009C48DA">
              <w:rPr>
                <w:rFonts w:eastAsia="Times New Roman"/>
                <w:color w:val="000000"/>
                <w:sz w:val="16"/>
                <w:lang w:val="en-GB"/>
              </w:rPr>
              <w:t>64,140</w:t>
            </w:r>
          </w:p>
        </w:tc>
        <w:tc>
          <w:tcPr>
            <w:tcW w:w="1707" w:type="dxa"/>
            <w:tcMar>
              <w:left w:w="108" w:type="dxa"/>
              <w:right w:w="108" w:type="dxa"/>
            </w:tcMar>
            <w:vAlign w:val="bottom"/>
          </w:tcPr>
          <w:p w:rsidRPr="009C48DA" w:rsidR="00661519" w:rsidP="00661519" w:rsidRDefault="00661519" w14:paraId="2641ECCD" w14:textId="77777777">
            <w:pPr>
              <w:jc w:val="right"/>
              <w:textAlignment w:val="baseline"/>
              <w:rPr>
                <w:rFonts w:eastAsia="Times New Roman"/>
                <w:color w:val="000000"/>
                <w:sz w:val="16"/>
                <w:lang w:val="en-GB"/>
              </w:rPr>
            </w:pPr>
            <w:r w:rsidRPr="009C48DA">
              <w:rPr>
                <w:rFonts w:eastAsia="Times New Roman"/>
                <w:color w:val="000000"/>
                <w:sz w:val="16"/>
                <w:lang w:val="en-GB"/>
              </w:rPr>
              <w:t>64,140</w:t>
            </w:r>
          </w:p>
        </w:tc>
      </w:tr>
      <w:tr w:rsidRPr="009C48DA" w:rsidR="00661519" w:rsidTr="00661519" w14:paraId="641D0A88" w14:textId="77777777">
        <w:trPr>
          <w:trHeight w:val="199"/>
        </w:trPr>
        <w:tc>
          <w:tcPr>
            <w:tcW w:w="2977" w:type="dxa"/>
            <w:vAlign w:val="center"/>
          </w:tcPr>
          <w:p w:rsidRPr="009C48DA" w:rsidR="00661519" w:rsidP="00661519" w:rsidRDefault="00661519" w14:paraId="3802027B" w14:textId="77777777">
            <w:pPr>
              <w:ind w:left="156"/>
              <w:textAlignment w:val="baseline"/>
              <w:rPr>
                <w:rFonts w:eastAsia="Times New Roman"/>
                <w:color w:val="000000"/>
                <w:sz w:val="16"/>
                <w:lang w:val="en-GB"/>
              </w:rPr>
            </w:pPr>
            <w:r w:rsidRPr="009C48DA">
              <w:rPr>
                <w:rFonts w:eastAsia="Times New Roman"/>
                <w:color w:val="000000"/>
                <w:sz w:val="16"/>
                <w:lang w:val="en-GB"/>
              </w:rPr>
              <w:t xml:space="preserve">Borrowings </w:t>
            </w:r>
          </w:p>
        </w:tc>
        <w:tc>
          <w:tcPr>
            <w:tcW w:w="1559" w:type="dxa"/>
            <w:tcMar>
              <w:left w:w="108" w:type="dxa"/>
              <w:right w:w="108" w:type="dxa"/>
            </w:tcMar>
            <w:vAlign w:val="bottom"/>
          </w:tcPr>
          <w:p w:rsidRPr="009C48DA" w:rsidR="00661519" w:rsidP="00661519" w:rsidRDefault="00661519" w14:paraId="4025F6D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390" w:type="dxa"/>
            <w:tcMar>
              <w:left w:w="108" w:type="dxa"/>
              <w:right w:w="108" w:type="dxa"/>
            </w:tcMar>
            <w:vAlign w:val="bottom"/>
          </w:tcPr>
          <w:p w:rsidRPr="009C48DA" w:rsidR="00661519" w:rsidP="00661519" w:rsidRDefault="00661519" w14:paraId="0B7B3488"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587" w:type="dxa"/>
            <w:vAlign w:val="bottom"/>
          </w:tcPr>
          <w:p w:rsidRPr="009C48DA" w:rsidR="00661519" w:rsidP="00661519" w:rsidRDefault="00661519" w14:paraId="109AEF25" w14:textId="77777777">
            <w:pPr>
              <w:ind w:hanging="336"/>
              <w:jc w:val="right"/>
              <w:textAlignment w:val="baseline"/>
              <w:rPr>
                <w:rFonts w:eastAsia="Times New Roman"/>
                <w:color w:val="000000"/>
                <w:sz w:val="16"/>
                <w:lang w:val="en-GB"/>
              </w:rPr>
            </w:pPr>
            <w:r w:rsidRPr="009C48DA">
              <w:rPr>
                <w:rFonts w:eastAsia="Times New Roman"/>
                <w:color w:val="000000"/>
                <w:sz w:val="16"/>
                <w:lang w:val="en-GB"/>
              </w:rPr>
              <w:t>77,316</w:t>
            </w:r>
          </w:p>
        </w:tc>
        <w:tc>
          <w:tcPr>
            <w:tcW w:w="1707" w:type="dxa"/>
            <w:tcMar>
              <w:left w:w="108" w:type="dxa"/>
              <w:right w:w="108" w:type="dxa"/>
            </w:tcMar>
            <w:vAlign w:val="bottom"/>
          </w:tcPr>
          <w:p w:rsidRPr="009C48DA" w:rsidR="00661519" w:rsidP="00661519" w:rsidRDefault="00661519" w14:paraId="22D51896" w14:textId="77777777">
            <w:pPr>
              <w:jc w:val="right"/>
              <w:textAlignment w:val="baseline"/>
              <w:rPr>
                <w:rFonts w:eastAsia="Times New Roman"/>
                <w:color w:val="000000"/>
                <w:sz w:val="16"/>
                <w:lang w:val="en-GB"/>
              </w:rPr>
            </w:pPr>
            <w:r w:rsidRPr="009C48DA">
              <w:rPr>
                <w:rFonts w:eastAsia="Times New Roman"/>
                <w:color w:val="000000"/>
                <w:sz w:val="16"/>
                <w:lang w:val="en-GB"/>
              </w:rPr>
              <w:t>77,316</w:t>
            </w:r>
          </w:p>
        </w:tc>
      </w:tr>
      <w:tr w:rsidRPr="009C48DA" w:rsidR="00661519" w:rsidTr="00661519" w14:paraId="26E548D7" w14:textId="77777777">
        <w:trPr>
          <w:trHeight w:val="199"/>
        </w:trPr>
        <w:tc>
          <w:tcPr>
            <w:tcW w:w="2977" w:type="dxa"/>
            <w:vAlign w:val="center"/>
          </w:tcPr>
          <w:p w:rsidRPr="009C48DA" w:rsidR="00661519" w:rsidP="00661519" w:rsidRDefault="00661519" w14:paraId="4929EDA8" w14:textId="77777777">
            <w:pPr>
              <w:ind w:left="156"/>
              <w:textAlignment w:val="baseline"/>
              <w:rPr>
                <w:rFonts w:eastAsia="Times New Roman"/>
                <w:color w:val="000000"/>
                <w:sz w:val="16"/>
                <w:lang w:val="en-GB"/>
              </w:rPr>
            </w:pPr>
            <w:r w:rsidRPr="009C48DA">
              <w:rPr>
                <w:rFonts w:eastAsia="Times New Roman"/>
                <w:color w:val="000000"/>
                <w:sz w:val="16"/>
                <w:lang w:val="en-GB"/>
              </w:rPr>
              <w:t>Other financial liabilities</w:t>
            </w:r>
          </w:p>
        </w:tc>
        <w:tc>
          <w:tcPr>
            <w:tcW w:w="1559" w:type="dxa"/>
            <w:tcMar>
              <w:left w:w="108" w:type="dxa"/>
              <w:right w:w="108" w:type="dxa"/>
            </w:tcMar>
            <w:vAlign w:val="bottom"/>
          </w:tcPr>
          <w:p w:rsidRPr="009C48DA" w:rsidR="00661519" w:rsidP="00661519" w:rsidRDefault="00661519" w14:paraId="688F0F3C" w14:textId="77777777">
            <w:pPr>
              <w:jc w:val="right"/>
              <w:textAlignment w:val="baseline"/>
              <w:rPr>
                <w:rFonts w:eastAsia="Times New Roman"/>
                <w:color w:val="000000"/>
                <w:sz w:val="16"/>
                <w:lang w:val="en-GB"/>
              </w:rPr>
            </w:pPr>
            <w:r w:rsidRPr="009C48DA">
              <w:rPr>
                <w:rFonts w:eastAsia="Times New Roman"/>
                <w:color w:val="000000"/>
                <w:sz w:val="16"/>
                <w:lang w:val="en-GB"/>
              </w:rPr>
              <w:t>2,096</w:t>
            </w:r>
          </w:p>
        </w:tc>
        <w:tc>
          <w:tcPr>
            <w:tcW w:w="1390" w:type="dxa"/>
            <w:tcMar>
              <w:left w:w="108" w:type="dxa"/>
              <w:right w:w="108" w:type="dxa"/>
            </w:tcMar>
            <w:vAlign w:val="bottom"/>
          </w:tcPr>
          <w:p w:rsidRPr="009C48DA" w:rsidR="00661519" w:rsidP="00661519" w:rsidRDefault="00661519" w14:paraId="53485C65"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587" w:type="dxa"/>
            <w:vAlign w:val="bottom"/>
          </w:tcPr>
          <w:p w:rsidRPr="009C48DA" w:rsidR="00661519" w:rsidP="00661519" w:rsidRDefault="00661519" w14:paraId="1A0D623D" w14:textId="77777777">
            <w:pPr>
              <w:ind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707" w:type="dxa"/>
            <w:tcMar>
              <w:left w:w="108" w:type="dxa"/>
              <w:right w:w="108" w:type="dxa"/>
            </w:tcMar>
            <w:vAlign w:val="bottom"/>
          </w:tcPr>
          <w:p w:rsidRPr="009C48DA" w:rsidR="00661519" w:rsidP="00661519" w:rsidRDefault="00661519" w14:paraId="0E7E85F2" w14:textId="77777777">
            <w:pPr>
              <w:jc w:val="right"/>
              <w:textAlignment w:val="baseline"/>
              <w:rPr>
                <w:rFonts w:eastAsia="Times New Roman"/>
                <w:color w:val="000000"/>
                <w:sz w:val="16"/>
                <w:lang w:val="en-GB"/>
              </w:rPr>
            </w:pPr>
            <w:r w:rsidRPr="009C48DA">
              <w:rPr>
                <w:rFonts w:eastAsia="Times New Roman"/>
                <w:color w:val="000000"/>
                <w:sz w:val="16"/>
                <w:lang w:val="en-GB"/>
              </w:rPr>
              <w:t>2,096</w:t>
            </w:r>
          </w:p>
        </w:tc>
      </w:tr>
      <w:tr w:rsidRPr="009C48DA" w:rsidR="00661519" w:rsidTr="00661519" w14:paraId="7178DAEF" w14:textId="77777777">
        <w:trPr>
          <w:trHeight w:val="199"/>
        </w:trPr>
        <w:tc>
          <w:tcPr>
            <w:tcW w:w="2977" w:type="dxa"/>
            <w:vAlign w:val="center"/>
          </w:tcPr>
          <w:p w:rsidRPr="009C48DA" w:rsidR="00661519" w:rsidP="00661519" w:rsidRDefault="00661519" w14:paraId="45283539" w14:textId="77777777">
            <w:pPr>
              <w:ind w:left="156"/>
              <w:textAlignment w:val="baseline"/>
              <w:rPr>
                <w:rFonts w:eastAsia="Times New Roman"/>
                <w:color w:val="000000"/>
                <w:sz w:val="16"/>
                <w:lang w:val="en-GB"/>
              </w:rPr>
            </w:pPr>
            <w:r w:rsidRPr="009C48DA">
              <w:rPr>
                <w:rFonts w:eastAsia="Times New Roman"/>
                <w:color w:val="000000"/>
                <w:sz w:val="16"/>
                <w:lang w:val="en-GB"/>
              </w:rPr>
              <w:t>Lease liabilities</w:t>
            </w:r>
          </w:p>
        </w:tc>
        <w:tc>
          <w:tcPr>
            <w:tcW w:w="1559" w:type="dxa"/>
            <w:tcMar>
              <w:left w:w="108" w:type="dxa"/>
              <w:right w:w="108" w:type="dxa"/>
            </w:tcMar>
            <w:vAlign w:val="bottom"/>
          </w:tcPr>
          <w:p w:rsidRPr="009C48DA" w:rsidR="00661519" w:rsidP="00661519" w:rsidRDefault="00661519" w14:paraId="328EB2BC"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390" w:type="dxa"/>
            <w:tcMar>
              <w:left w:w="108" w:type="dxa"/>
              <w:right w:w="108" w:type="dxa"/>
            </w:tcMar>
            <w:vAlign w:val="bottom"/>
          </w:tcPr>
          <w:p w:rsidRPr="009C48DA" w:rsidR="00661519" w:rsidP="00661519" w:rsidRDefault="00661519" w14:paraId="276BA6C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587" w:type="dxa"/>
            <w:vAlign w:val="bottom"/>
          </w:tcPr>
          <w:p w:rsidRPr="009C48DA" w:rsidR="00661519" w:rsidP="00661519" w:rsidRDefault="00661519" w14:paraId="67E9B08D" w14:textId="77777777">
            <w:pPr>
              <w:ind w:hanging="336"/>
              <w:jc w:val="right"/>
              <w:textAlignment w:val="baseline"/>
              <w:rPr>
                <w:rFonts w:eastAsia="Times New Roman"/>
                <w:color w:val="000000"/>
                <w:sz w:val="16"/>
                <w:lang w:val="en-GB"/>
              </w:rPr>
            </w:pPr>
            <w:r w:rsidRPr="009C48DA">
              <w:rPr>
                <w:rFonts w:eastAsia="Times New Roman"/>
                <w:color w:val="000000"/>
                <w:sz w:val="16"/>
                <w:lang w:val="en-GB"/>
              </w:rPr>
              <w:t>48,791</w:t>
            </w:r>
          </w:p>
        </w:tc>
        <w:tc>
          <w:tcPr>
            <w:tcW w:w="1707" w:type="dxa"/>
            <w:tcMar>
              <w:left w:w="108" w:type="dxa"/>
              <w:right w:w="108" w:type="dxa"/>
            </w:tcMar>
            <w:vAlign w:val="bottom"/>
          </w:tcPr>
          <w:p w:rsidRPr="009C48DA" w:rsidR="00661519" w:rsidP="00661519" w:rsidRDefault="00661519" w14:paraId="0B26FB06" w14:textId="77777777">
            <w:pPr>
              <w:jc w:val="right"/>
              <w:textAlignment w:val="baseline"/>
              <w:rPr>
                <w:rFonts w:eastAsia="Times New Roman"/>
                <w:color w:val="000000"/>
                <w:sz w:val="16"/>
                <w:lang w:val="en-GB"/>
              </w:rPr>
            </w:pPr>
            <w:r w:rsidRPr="009C48DA">
              <w:rPr>
                <w:rFonts w:eastAsia="Times New Roman"/>
                <w:color w:val="000000"/>
                <w:sz w:val="16"/>
                <w:lang w:val="en-GB"/>
              </w:rPr>
              <w:t>48,791</w:t>
            </w:r>
          </w:p>
        </w:tc>
      </w:tr>
      <w:tr w:rsidRPr="009C48DA" w:rsidR="00661519" w:rsidTr="00661519" w14:paraId="5FF7F513" w14:textId="77777777">
        <w:trPr>
          <w:trHeight w:val="234"/>
        </w:trPr>
        <w:tc>
          <w:tcPr>
            <w:tcW w:w="2977" w:type="dxa"/>
            <w:vAlign w:val="bottom"/>
          </w:tcPr>
          <w:p w:rsidRPr="009C48DA" w:rsidR="00661519" w:rsidP="00661519" w:rsidRDefault="00661519" w14:paraId="44740726" w14:textId="77777777">
            <w:pPr>
              <w:ind w:left="156"/>
              <w:textAlignment w:val="baseline"/>
              <w:rPr>
                <w:rFonts w:eastAsia="Times New Roman"/>
                <w:color w:val="000000"/>
                <w:sz w:val="16"/>
                <w:lang w:val="en-GB"/>
              </w:rPr>
            </w:pPr>
            <w:r w:rsidRPr="009C48DA">
              <w:rPr>
                <w:rFonts w:eastAsia="Times New Roman"/>
                <w:color w:val="000000"/>
                <w:sz w:val="16"/>
                <w:lang w:val="en-GB"/>
              </w:rPr>
              <w:t>Derivative financial instruments</w:t>
            </w:r>
          </w:p>
        </w:tc>
        <w:tc>
          <w:tcPr>
            <w:tcW w:w="1559" w:type="dxa"/>
            <w:tcMar>
              <w:left w:w="108" w:type="dxa"/>
              <w:right w:w="108" w:type="dxa"/>
            </w:tcMar>
            <w:vAlign w:val="bottom"/>
          </w:tcPr>
          <w:p w:rsidRPr="009C48DA" w:rsidR="00661519" w:rsidP="00661519" w:rsidRDefault="00661519" w14:paraId="32430E41"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390" w:type="dxa"/>
            <w:tcMar>
              <w:left w:w="108" w:type="dxa"/>
              <w:right w:w="108" w:type="dxa"/>
            </w:tcMar>
            <w:vAlign w:val="bottom"/>
          </w:tcPr>
          <w:p w:rsidRPr="009C48DA" w:rsidR="00661519" w:rsidP="00661519" w:rsidRDefault="00661519" w14:paraId="51869819"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5,719</w:t>
            </w:r>
          </w:p>
        </w:tc>
        <w:tc>
          <w:tcPr>
            <w:tcW w:w="1587" w:type="dxa"/>
            <w:vAlign w:val="bottom"/>
          </w:tcPr>
          <w:p w:rsidRPr="009C48DA" w:rsidR="00661519" w:rsidP="00661519" w:rsidRDefault="00661519" w14:paraId="3385D1AC" w14:textId="77777777">
            <w:pPr>
              <w:pBdr>
                <w:bottom w:val="single" w:color="auto" w:sz="12" w:space="1"/>
              </w:pBdr>
              <w:ind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707" w:type="dxa"/>
            <w:tcMar>
              <w:left w:w="108" w:type="dxa"/>
              <w:right w:w="108" w:type="dxa"/>
            </w:tcMar>
            <w:vAlign w:val="bottom"/>
          </w:tcPr>
          <w:p w:rsidRPr="009C48DA" w:rsidR="00661519" w:rsidP="00661519" w:rsidRDefault="00661519" w14:paraId="2FC97E1D"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5,719</w:t>
            </w:r>
          </w:p>
        </w:tc>
      </w:tr>
      <w:tr w:rsidRPr="009C48DA" w:rsidR="00661519" w:rsidTr="00661519" w14:paraId="672742D3" w14:textId="77777777">
        <w:trPr>
          <w:trHeight w:val="257"/>
        </w:trPr>
        <w:tc>
          <w:tcPr>
            <w:tcW w:w="2977" w:type="dxa"/>
            <w:vAlign w:val="bottom"/>
          </w:tcPr>
          <w:p w:rsidRPr="009C48DA" w:rsidR="00661519" w:rsidP="00661519" w:rsidRDefault="00661519" w14:paraId="4681D23D" w14:textId="77777777">
            <w:pPr>
              <w:ind w:left="156"/>
              <w:textAlignment w:val="baseline"/>
              <w:rPr>
                <w:rFonts w:eastAsia="Times New Roman"/>
                <w:b/>
                <w:color w:val="000000"/>
                <w:sz w:val="16"/>
                <w:lang w:val="en-GB"/>
              </w:rPr>
            </w:pPr>
            <w:r w:rsidRPr="009C48DA">
              <w:rPr>
                <w:rFonts w:eastAsia="Times New Roman"/>
                <w:b/>
                <w:color w:val="000000"/>
                <w:sz w:val="16"/>
                <w:lang w:val="en-GB"/>
              </w:rPr>
              <w:t>Total financial liabilities</w:t>
            </w:r>
          </w:p>
        </w:tc>
        <w:tc>
          <w:tcPr>
            <w:tcW w:w="1559" w:type="dxa"/>
            <w:tcMar>
              <w:left w:w="108" w:type="dxa"/>
              <w:right w:w="108" w:type="dxa"/>
            </w:tcMar>
            <w:vAlign w:val="bottom"/>
          </w:tcPr>
          <w:p w:rsidRPr="009C48DA" w:rsidR="00661519" w:rsidP="00661519" w:rsidRDefault="00661519" w14:paraId="7D6B3D0E"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2,096</w:t>
            </w:r>
          </w:p>
        </w:tc>
        <w:tc>
          <w:tcPr>
            <w:tcW w:w="1390" w:type="dxa"/>
            <w:tcMar>
              <w:left w:w="108" w:type="dxa"/>
              <w:right w:w="108" w:type="dxa"/>
            </w:tcMar>
            <w:vAlign w:val="bottom"/>
          </w:tcPr>
          <w:p w:rsidRPr="009C48DA" w:rsidR="00661519" w:rsidP="00661519" w:rsidRDefault="00661519" w14:paraId="16124C8E"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5,719</w:t>
            </w:r>
          </w:p>
        </w:tc>
        <w:tc>
          <w:tcPr>
            <w:tcW w:w="1587" w:type="dxa"/>
            <w:vAlign w:val="bottom"/>
          </w:tcPr>
          <w:p w:rsidRPr="009C48DA" w:rsidR="00661519" w:rsidP="00661519" w:rsidRDefault="00661519" w14:paraId="570FB0D6" w14:textId="77777777">
            <w:pPr>
              <w:pBdr>
                <w:bottom w:val="double" w:color="auto" w:sz="12" w:space="1"/>
              </w:pBdr>
              <w:ind w:hanging="336"/>
              <w:jc w:val="right"/>
              <w:textAlignment w:val="baseline"/>
              <w:rPr>
                <w:rFonts w:eastAsia="Times New Roman"/>
                <w:color w:val="000000"/>
                <w:sz w:val="16"/>
                <w:lang w:val="en-GB"/>
              </w:rPr>
            </w:pPr>
            <w:r w:rsidRPr="009C48DA">
              <w:rPr>
                <w:rFonts w:eastAsia="Times New Roman"/>
                <w:color w:val="000000"/>
                <w:sz w:val="16"/>
                <w:lang w:val="en-GB"/>
              </w:rPr>
              <w:t>190,247</w:t>
            </w:r>
          </w:p>
        </w:tc>
        <w:tc>
          <w:tcPr>
            <w:tcW w:w="1707" w:type="dxa"/>
            <w:tcMar>
              <w:left w:w="108" w:type="dxa"/>
              <w:right w:w="108" w:type="dxa"/>
            </w:tcMar>
            <w:vAlign w:val="bottom"/>
          </w:tcPr>
          <w:p w:rsidRPr="009C48DA" w:rsidR="00661519" w:rsidP="00661519" w:rsidRDefault="00661519" w14:paraId="0FFFE600"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198,062</w:t>
            </w:r>
          </w:p>
        </w:tc>
      </w:tr>
    </w:tbl>
    <w:p w:rsidRPr="009C48DA" w:rsidR="00661519" w:rsidP="00661519" w:rsidRDefault="00661519" w14:paraId="683B74AA" w14:textId="77777777">
      <w:pPr>
        <w:spacing w:after="240"/>
        <w:jc w:val="center"/>
        <w:textAlignment w:val="baseline"/>
        <w:rPr>
          <w:rFonts w:eastAsia="Times New Roman" w:cs="Times New Roman"/>
          <w:b/>
          <w:color w:val="000000"/>
          <w:sz w:val="16"/>
          <w:szCs w:val="22"/>
          <w:lang w:val="en-GB"/>
        </w:rPr>
      </w:pPr>
    </w:p>
    <w:p w:rsidRPr="009C48DA" w:rsidR="00661519" w:rsidP="00661519" w:rsidRDefault="00661519" w14:paraId="4BF779B2" w14:textId="77777777">
      <w:pPr>
        <w:spacing w:after="240"/>
        <w:jc w:val="cente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br w:type="page"/>
      </w:r>
    </w:p>
    <w:tbl>
      <w:tblPr>
        <w:tblW w:w="9212" w:type="dxa"/>
        <w:tblLayout w:type="fixed"/>
        <w:tblCellMar>
          <w:left w:w="0" w:type="dxa"/>
          <w:right w:w="0" w:type="dxa"/>
        </w:tblCellMar>
        <w:tblLook w:val="0000" w:firstRow="0" w:lastRow="0" w:firstColumn="0" w:lastColumn="0" w:noHBand="0" w:noVBand="0"/>
      </w:tblPr>
      <w:tblGrid>
        <w:gridCol w:w="2977"/>
        <w:gridCol w:w="1559"/>
        <w:gridCol w:w="1276"/>
        <w:gridCol w:w="1701"/>
        <w:gridCol w:w="1699"/>
      </w:tblGrid>
      <w:tr w:rsidRPr="009C48DA" w:rsidR="00661519" w:rsidTr="00661519" w14:paraId="00494561" w14:textId="77777777">
        <w:trPr>
          <w:trHeight w:val="597"/>
        </w:trPr>
        <w:tc>
          <w:tcPr>
            <w:tcW w:w="2977" w:type="dxa"/>
            <w:vAlign w:val="bottom"/>
          </w:tcPr>
          <w:p w:rsidRPr="009C48DA" w:rsidR="00661519" w:rsidP="00661519" w:rsidRDefault="00661519" w14:paraId="700476A1" w14:textId="77777777">
            <w:pPr>
              <w:textAlignment w:val="baseline"/>
              <w:rPr>
                <w:rFonts w:eastAsia="Times New Roman"/>
                <w:color w:val="000000"/>
                <w:sz w:val="24"/>
                <w:lang w:val="en-GB"/>
              </w:rPr>
            </w:pPr>
          </w:p>
        </w:tc>
        <w:tc>
          <w:tcPr>
            <w:tcW w:w="1559" w:type="dxa"/>
            <w:tcMar>
              <w:left w:w="108" w:type="dxa"/>
              <w:right w:w="108" w:type="dxa"/>
            </w:tcMar>
            <w:vAlign w:val="bottom"/>
          </w:tcPr>
          <w:p w:rsidRPr="009C48DA" w:rsidR="00661519" w:rsidP="00661519" w:rsidRDefault="00661519" w14:paraId="7647FDF0" w14:textId="77777777">
            <w:pPr>
              <w:jc w:val="center"/>
              <w:textAlignment w:val="baseline"/>
              <w:rPr>
                <w:rFonts w:eastAsia="Times New Roman"/>
                <w:b/>
                <w:color w:val="000000"/>
                <w:sz w:val="16"/>
                <w:lang w:val="en-GB"/>
              </w:rPr>
            </w:pPr>
            <w:r w:rsidRPr="009C48DA">
              <w:rPr>
                <w:rFonts w:eastAsia="Times New Roman"/>
                <w:b/>
                <w:color w:val="000000"/>
                <w:sz w:val="16"/>
                <w:lang w:val="en-GB"/>
              </w:rPr>
              <w:t>Fair value through profit or loss</w:t>
            </w:r>
          </w:p>
        </w:tc>
        <w:tc>
          <w:tcPr>
            <w:tcW w:w="1276" w:type="dxa"/>
            <w:tcMar>
              <w:left w:w="108" w:type="dxa"/>
              <w:right w:w="108" w:type="dxa"/>
            </w:tcMar>
            <w:vAlign w:val="bottom"/>
          </w:tcPr>
          <w:p w:rsidRPr="009C48DA" w:rsidR="00661519" w:rsidP="00661519" w:rsidRDefault="00661519" w14:paraId="42E5DF57" w14:textId="77777777">
            <w:pPr>
              <w:jc w:val="center"/>
              <w:textAlignment w:val="baseline"/>
              <w:rPr>
                <w:rFonts w:eastAsia="Times New Roman"/>
                <w:b/>
                <w:color w:val="000000"/>
                <w:sz w:val="16"/>
                <w:lang w:val="en-GB"/>
              </w:rPr>
            </w:pPr>
            <w:r w:rsidRPr="009C48DA">
              <w:rPr>
                <w:rFonts w:eastAsia="Times New Roman"/>
                <w:b/>
                <w:color w:val="000000"/>
                <w:sz w:val="16"/>
                <w:lang w:val="en-GB"/>
              </w:rPr>
              <w:t>Hedging derivatives</w:t>
            </w:r>
          </w:p>
        </w:tc>
        <w:tc>
          <w:tcPr>
            <w:tcW w:w="1701" w:type="dxa"/>
            <w:vAlign w:val="bottom"/>
          </w:tcPr>
          <w:p w:rsidRPr="009C48DA" w:rsidR="00661519" w:rsidP="00661519" w:rsidRDefault="00661519" w14:paraId="07B5EFE4" w14:textId="77777777">
            <w:pPr>
              <w:ind w:left="346" w:hanging="336"/>
              <w:jc w:val="center"/>
              <w:textAlignment w:val="baseline"/>
              <w:rPr>
                <w:rFonts w:eastAsia="Times New Roman"/>
                <w:b/>
                <w:color w:val="000000"/>
                <w:sz w:val="16"/>
                <w:lang w:val="en-GB"/>
              </w:rPr>
            </w:pPr>
            <w:r w:rsidRPr="009C48DA">
              <w:rPr>
                <w:rFonts w:eastAsia="Times New Roman"/>
                <w:b/>
                <w:color w:val="000000"/>
                <w:sz w:val="16"/>
                <w:lang w:val="en-GB"/>
              </w:rPr>
              <w:t xml:space="preserve">Financial liabilities </w:t>
            </w:r>
          </w:p>
          <w:p w:rsidRPr="009C48DA" w:rsidR="00661519" w:rsidP="00661519" w:rsidRDefault="00661519" w14:paraId="69C0A4CA" w14:textId="77777777">
            <w:pPr>
              <w:ind w:left="346" w:right="143" w:hanging="541"/>
              <w:jc w:val="center"/>
              <w:textAlignment w:val="baseline"/>
              <w:rPr>
                <w:rFonts w:eastAsia="Times New Roman"/>
                <w:b/>
                <w:color w:val="000000"/>
                <w:sz w:val="16"/>
                <w:lang w:val="en-GB"/>
              </w:rPr>
            </w:pPr>
            <w:r w:rsidRPr="009C48DA">
              <w:rPr>
                <w:rFonts w:eastAsia="Times New Roman"/>
                <w:b/>
                <w:color w:val="000000"/>
                <w:sz w:val="16"/>
                <w:lang w:val="en-GB"/>
              </w:rPr>
              <w:t xml:space="preserve">         at amortised cost</w:t>
            </w:r>
          </w:p>
        </w:tc>
        <w:tc>
          <w:tcPr>
            <w:tcW w:w="1699" w:type="dxa"/>
            <w:tcMar>
              <w:left w:w="108" w:type="dxa"/>
              <w:right w:w="108" w:type="dxa"/>
            </w:tcMar>
            <w:vAlign w:val="bottom"/>
          </w:tcPr>
          <w:p w:rsidRPr="009C48DA" w:rsidR="00661519" w:rsidP="00661519" w:rsidRDefault="00661519" w14:paraId="1E7EC49C" w14:textId="77777777">
            <w:pPr>
              <w:ind w:right="534"/>
              <w:jc w:val="right"/>
              <w:textAlignment w:val="baseline"/>
              <w:rPr>
                <w:rFonts w:eastAsia="Times New Roman"/>
                <w:b/>
                <w:color w:val="000000"/>
                <w:sz w:val="16"/>
                <w:lang w:val="en-GB"/>
              </w:rPr>
            </w:pPr>
            <w:r w:rsidRPr="009C48DA">
              <w:rPr>
                <w:rFonts w:eastAsia="Times New Roman"/>
                <w:b/>
                <w:color w:val="000000"/>
                <w:sz w:val="16"/>
                <w:lang w:val="en-GB"/>
              </w:rPr>
              <w:t>Total</w:t>
            </w:r>
          </w:p>
        </w:tc>
      </w:tr>
      <w:tr w:rsidRPr="009C48DA" w:rsidR="00661519" w:rsidTr="00661519" w14:paraId="2B52DB99" w14:textId="77777777">
        <w:trPr>
          <w:trHeight w:val="199"/>
        </w:trPr>
        <w:tc>
          <w:tcPr>
            <w:tcW w:w="2977" w:type="dxa"/>
            <w:vAlign w:val="bottom"/>
          </w:tcPr>
          <w:p w:rsidRPr="009C48DA" w:rsidR="00661519" w:rsidP="00661519" w:rsidRDefault="00661519" w14:paraId="15F75044" w14:textId="77777777">
            <w:pPr>
              <w:ind w:left="156"/>
              <w:textAlignment w:val="baseline"/>
              <w:rPr>
                <w:rFonts w:eastAsia="Times New Roman"/>
                <w:b/>
                <w:color w:val="000000"/>
                <w:sz w:val="16"/>
                <w:lang w:val="en-GB"/>
              </w:rPr>
            </w:pPr>
            <w:r w:rsidRPr="009C48DA">
              <w:rPr>
                <w:rFonts w:eastAsia="Times New Roman"/>
                <w:b/>
                <w:color w:val="000000"/>
                <w:sz w:val="16"/>
                <w:lang w:val="en-GB"/>
              </w:rPr>
              <w:t>As at 31 December 2019</w:t>
            </w:r>
          </w:p>
        </w:tc>
        <w:tc>
          <w:tcPr>
            <w:tcW w:w="1559" w:type="dxa"/>
            <w:tcMar>
              <w:left w:w="108" w:type="dxa"/>
              <w:right w:w="108" w:type="dxa"/>
            </w:tcMar>
            <w:vAlign w:val="bottom"/>
          </w:tcPr>
          <w:p w:rsidRPr="009C48DA" w:rsidR="00661519" w:rsidP="00661519" w:rsidRDefault="00661519" w14:paraId="4BCEF2C2" w14:textId="77777777">
            <w:pPr>
              <w:ind w:right="608"/>
              <w:jc w:val="right"/>
              <w:textAlignment w:val="baseline"/>
              <w:rPr>
                <w:rFonts w:eastAsia="Times New Roman"/>
                <w:b/>
                <w:color w:val="000000"/>
                <w:sz w:val="16"/>
                <w:lang w:val="en-GB"/>
              </w:rPr>
            </w:pPr>
            <w:r w:rsidRPr="009C48DA">
              <w:rPr>
                <w:rFonts w:eastAsia="Times New Roman"/>
                <w:b/>
                <w:color w:val="000000"/>
                <w:sz w:val="16"/>
                <w:lang w:val="en-GB"/>
              </w:rPr>
              <w:t xml:space="preserve">     £ 000</w:t>
            </w:r>
          </w:p>
        </w:tc>
        <w:tc>
          <w:tcPr>
            <w:tcW w:w="1276" w:type="dxa"/>
            <w:tcMar>
              <w:left w:w="108" w:type="dxa"/>
              <w:right w:w="108" w:type="dxa"/>
            </w:tcMar>
            <w:vAlign w:val="bottom"/>
          </w:tcPr>
          <w:p w:rsidRPr="009C48DA" w:rsidR="00661519" w:rsidP="00661519" w:rsidRDefault="00661519" w14:paraId="5D43CB35"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701" w:type="dxa"/>
          </w:tcPr>
          <w:p w:rsidRPr="009C48DA" w:rsidR="00661519" w:rsidP="00661519" w:rsidRDefault="00661519" w14:paraId="0CD78E4B" w14:textId="77777777">
            <w:pPr>
              <w:ind w:right="534" w:hanging="336"/>
              <w:jc w:val="center"/>
              <w:textAlignment w:val="baseline"/>
              <w:rPr>
                <w:rFonts w:eastAsia="Times New Roman"/>
                <w:b/>
                <w:color w:val="000000"/>
                <w:sz w:val="16"/>
                <w:lang w:val="en-GB"/>
              </w:rPr>
            </w:pPr>
            <w:r w:rsidRPr="009C48DA">
              <w:rPr>
                <w:rFonts w:eastAsia="Times New Roman"/>
                <w:b/>
                <w:color w:val="000000"/>
                <w:sz w:val="16"/>
                <w:lang w:val="en-GB"/>
              </w:rPr>
              <w:t xml:space="preserve">                 £ 000</w:t>
            </w:r>
          </w:p>
        </w:tc>
        <w:tc>
          <w:tcPr>
            <w:tcW w:w="1699" w:type="dxa"/>
            <w:tcMar>
              <w:left w:w="108" w:type="dxa"/>
              <w:right w:w="108" w:type="dxa"/>
            </w:tcMar>
            <w:vAlign w:val="bottom"/>
          </w:tcPr>
          <w:p w:rsidRPr="009C48DA" w:rsidR="00661519" w:rsidP="00661519" w:rsidRDefault="00661519" w14:paraId="447A8526" w14:textId="77777777">
            <w:pPr>
              <w:ind w:right="534"/>
              <w:jc w:val="right"/>
              <w:textAlignment w:val="baseline"/>
              <w:rPr>
                <w:rFonts w:eastAsia="Times New Roman"/>
                <w:b/>
                <w:color w:val="000000"/>
                <w:sz w:val="16"/>
                <w:lang w:val="en-GB"/>
              </w:rPr>
            </w:pPr>
            <w:r w:rsidRPr="009C48DA">
              <w:rPr>
                <w:rFonts w:eastAsia="Times New Roman"/>
                <w:b/>
                <w:color w:val="000000"/>
                <w:sz w:val="16"/>
                <w:lang w:val="en-GB"/>
              </w:rPr>
              <w:t>£ 000</w:t>
            </w:r>
          </w:p>
        </w:tc>
      </w:tr>
      <w:tr w:rsidRPr="009C48DA" w:rsidR="00661519" w:rsidTr="00661519" w14:paraId="1CC72233" w14:textId="77777777">
        <w:trPr>
          <w:trHeight w:val="210"/>
        </w:trPr>
        <w:tc>
          <w:tcPr>
            <w:tcW w:w="2977" w:type="dxa"/>
            <w:vAlign w:val="center"/>
          </w:tcPr>
          <w:p w:rsidRPr="009C48DA" w:rsidR="00661519" w:rsidP="00661519" w:rsidRDefault="00661519" w14:paraId="24BF396D" w14:textId="77777777">
            <w:pPr>
              <w:ind w:left="156"/>
              <w:textAlignment w:val="baseline"/>
              <w:rPr>
                <w:rFonts w:eastAsia="Times New Roman"/>
                <w:color w:val="000000"/>
                <w:sz w:val="16"/>
                <w:lang w:val="en-GB"/>
              </w:rPr>
            </w:pPr>
            <w:r w:rsidRPr="009C48DA">
              <w:rPr>
                <w:rFonts w:eastAsia="Times New Roman"/>
                <w:color w:val="000000"/>
                <w:sz w:val="16"/>
                <w:lang w:val="en-GB"/>
              </w:rPr>
              <w:t>Trade and other payables</w:t>
            </w:r>
          </w:p>
        </w:tc>
        <w:tc>
          <w:tcPr>
            <w:tcW w:w="1559" w:type="dxa"/>
            <w:tcMar>
              <w:left w:w="108" w:type="dxa"/>
              <w:right w:w="108" w:type="dxa"/>
            </w:tcMar>
            <w:vAlign w:val="bottom"/>
          </w:tcPr>
          <w:p w:rsidRPr="009C48DA" w:rsidR="00661519" w:rsidP="00661519" w:rsidRDefault="00661519" w14:paraId="570AD0F4"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tcMar>
              <w:left w:w="108" w:type="dxa"/>
              <w:right w:w="108" w:type="dxa"/>
            </w:tcMar>
            <w:vAlign w:val="bottom"/>
          </w:tcPr>
          <w:p w:rsidRPr="009C48DA" w:rsidR="00661519" w:rsidP="00661519" w:rsidRDefault="00661519" w14:paraId="54FF0FFC"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vAlign w:val="bottom"/>
          </w:tcPr>
          <w:p w:rsidRPr="009C48DA" w:rsidR="00661519" w:rsidP="00661519" w:rsidRDefault="00661519" w14:paraId="58150D3D" w14:textId="77777777">
            <w:pPr>
              <w:ind w:hanging="336"/>
              <w:jc w:val="right"/>
              <w:textAlignment w:val="baseline"/>
              <w:rPr>
                <w:rFonts w:eastAsia="Times New Roman"/>
                <w:color w:val="000000"/>
                <w:sz w:val="16"/>
                <w:lang w:val="en-GB"/>
              </w:rPr>
            </w:pPr>
            <w:r w:rsidRPr="009C48DA">
              <w:rPr>
                <w:rFonts w:eastAsia="Times New Roman"/>
                <w:color w:val="000000"/>
                <w:sz w:val="16"/>
                <w:lang w:val="en-GB"/>
              </w:rPr>
              <w:t>42,060</w:t>
            </w:r>
          </w:p>
        </w:tc>
        <w:tc>
          <w:tcPr>
            <w:tcW w:w="1699" w:type="dxa"/>
            <w:tcMar>
              <w:left w:w="108" w:type="dxa"/>
              <w:right w:w="108" w:type="dxa"/>
            </w:tcMar>
            <w:vAlign w:val="bottom"/>
          </w:tcPr>
          <w:p w:rsidRPr="009C48DA" w:rsidR="00661519" w:rsidP="00661519" w:rsidRDefault="00661519" w14:paraId="3AA9BD12" w14:textId="77777777">
            <w:pPr>
              <w:jc w:val="right"/>
              <w:textAlignment w:val="baseline"/>
              <w:rPr>
                <w:rFonts w:eastAsia="Times New Roman"/>
                <w:color w:val="000000"/>
                <w:sz w:val="16"/>
                <w:lang w:val="en-GB"/>
              </w:rPr>
            </w:pPr>
            <w:r w:rsidRPr="009C48DA">
              <w:rPr>
                <w:rFonts w:eastAsia="Times New Roman"/>
                <w:color w:val="000000"/>
                <w:sz w:val="16"/>
                <w:lang w:val="en-GB"/>
              </w:rPr>
              <w:t>42,060</w:t>
            </w:r>
          </w:p>
        </w:tc>
      </w:tr>
      <w:tr w:rsidRPr="009C48DA" w:rsidR="00661519" w:rsidTr="00661519" w14:paraId="494AE72D" w14:textId="77777777">
        <w:trPr>
          <w:trHeight w:val="199"/>
        </w:trPr>
        <w:tc>
          <w:tcPr>
            <w:tcW w:w="2977" w:type="dxa"/>
            <w:vAlign w:val="center"/>
          </w:tcPr>
          <w:p w:rsidRPr="009C48DA" w:rsidR="00661519" w:rsidP="00661519" w:rsidRDefault="00661519" w14:paraId="1E77BD05" w14:textId="77777777">
            <w:pPr>
              <w:ind w:left="156"/>
              <w:textAlignment w:val="baseline"/>
              <w:rPr>
                <w:rFonts w:eastAsia="Times New Roman"/>
                <w:color w:val="000000"/>
                <w:sz w:val="16"/>
                <w:lang w:val="en-GB"/>
              </w:rPr>
            </w:pPr>
            <w:r w:rsidRPr="009C48DA">
              <w:rPr>
                <w:rFonts w:eastAsia="Times New Roman"/>
                <w:color w:val="000000"/>
                <w:sz w:val="16"/>
                <w:lang w:val="en-GB"/>
              </w:rPr>
              <w:t xml:space="preserve">Borrowings </w:t>
            </w:r>
          </w:p>
        </w:tc>
        <w:tc>
          <w:tcPr>
            <w:tcW w:w="1559" w:type="dxa"/>
            <w:tcMar>
              <w:left w:w="108" w:type="dxa"/>
              <w:right w:w="108" w:type="dxa"/>
            </w:tcMar>
            <w:vAlign w:val="bottom"/>
          </w:tcPr>
          <w:p w:rsidRPr="009C48DA" w:rsidR="00661519" w:rsidP="00661519" w:rsidRDefault="00661519" w14:paraId="729B2F05"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tcMar>
              <w:left w:w="108" w:type="dxa"/>
              <w:right w:w="108" w:type="dxa"/>
            </w:tcMar>
            <w:vAlign w:val="bottom"/>
          </w:tcPr>
          <w:p w:rsidRPr="009C48DA" w:rsidR="00661519" w:rsidP="00661519" w:rsidRDefault="00661519" w14:paraId="4667DA9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vAlign w:val="bottom"/>
          </w:tcPr>
          <w:p w:rsidRPr="009C48DA" w:rsidR="00661519" w:rsidP="00661519" w:rsidRDefault="00661519" w14:paraId="19398B6E" w14:textId="77777777">
            <w:pPr>
              <w:ind w:hanging="336"/>
              <w:jc w:val="right"/>
              <w:textAlignment w:val="baseline"/>
              <w:rPr>
                <w:rFonts w:eastAsia="Times New Roman"/>
                <w:color w:val="000000"/>
                <w:sz w:val="16"/>
                <w:lang w:val="en-GB"/>
              </w:rPr>
            </w:pPr>
            <w:r w:rsidRPr="009C48DA">
              <w:rPr>
                <w:rFonts w:eastAsia="Times New Roman"/>
                <w:color w:val="000000"/>
                <w:sz w:val="16"/>
                <w:lang w:val="en-GB"/>
              </w:rPr>
              <w:t>42,262</w:t>
            </w:r>
          </w:p>
        </w:tc>
        <w:tc>
          <w:tcPr>
            <w:tcW w:w="1699" w:type="dxa"/>
            <w:tcMar>
              <w:left w:w="108" w:type="dxa"/>
              <w:right w:w="108" w:type="dxa"/>
            </w:tcMar>
            <w:vAlign w:val="bottom"/>
          </w:tcPr>
          <w:p w:rsidRPr="009C48DA" w:rsidR="00661519" w:rsidP="00661519" w:rsidRDefault="00661519" w14:paraId="4FA6B3C2" w14:textId="77777777">
            <w:pPr>
              <w:jc w:val="right"/>
              <w:textAlignment w:val="baseline"/>
              <w:rPr>
                <w:rFonts w:eastAsia="Times New Roman"/>
                <w:color w:val="000000"/>
                <w:sz w:val="16"/>
                <w:lang w:val="en-GB"/>
              </w:rPr>
            </w:pPr>
            <w:r w:rsidRPr="009C48DA">
              <w:rPr>
                <w:rFonts w:eastAsia="Times New Roman"/>
                <w:color w:val="000000"/>
                <w:sz w:val="16"/>
                <w:lang w:val="en-GB"/>
              </w:rPr>
              <w:t>42,262</w:t>
            </w:r>
          </w:p>
        </w:tc>
      </w:tr>
      <w:tr w:rsidRPr="009C48DA" w:rsidR="00661519" w:rsidTr="00661519" w14:paraId="4BCA0222" w14:textId="77777777">
        <w:trPr>
          <w:trHeight w:val="199"/>
        </w:trPr>
        <w:tc>
          <w:tcPr>
            <w:tcW w:w="2977" w:type="dxa"/>
            <w:vAlign w:val="center"/>
          </w:tcPr>
          <w:p w:rsidRPr="009C48DA" w:rsidR="00661519" w:rsidP="00661519" w:rsidRDefault="00661519" w14:paraId="5993910C" w14:textId="77777777">
            <w:pPr>
              <w:ind w:left="156"/>
              <w:textAlignment w:val="baseline"/>
              <w:rPr>
                <w:rFonts w:eastAsia="Times New Roman"/>
                <w:color w:val="000000"/>
                <w:sz w:val="16"/>
                <w:lang w:val="en-GB"/>
              </w:rPr>
            </w:pPr>
            <w:r w:rsidRPr="009C48DA">
              <w:rPr>
                <w:rFonts w:eastAsia="Times New Roman"/>
                <w:color w:val="000000"/>
                <w:sz w:val="16"/>
                <w:lang w:val="en-GB"/>
              </w:rPr>
              <w:t>Other financial liabilities</w:t>
            </w:r>
          </w:p>
        </w:tc>
        <w:tc>
          <w:tcPr>
            <w:tcW w:w="1559" w:type="dxa"/>
            <w:tcMar>
              <w:left w:w="108" w:type="dxa"/>
              <w:right w:w="108" w:type="dxa"/>
            </w:tcMar>
            <w:vAlign w:val="bottom"/>
          </w:tcPr>
          <w:p w:rsidRPr="009C48DA" w:rsidR="00661519" w:rsidP="00661519" w:rsidRDefault="00661519" w14:paraId="0D306230" w14:textId="77777777">
            <w:pPr>
              <w:jc w:val="right"/>
              <w:textAlignment w:val="baseline"/>
              <w:rPr>
                <w:rFonts w:eastAsia="Times New Roman"/>
                <w:color w:val="000000"/>
                <w:sz w:val="16"/>
                <w:lang w:val="en-GB"/>
              </w:rPr>
            </w:pPr>
            <w:r w:rsidRPr="009C48DA">
              <w:rPr>
                <w:rFonts w:eastAsia="Times New Roman"/>
                <w:color w:val="000000"/>
                <w:sz w:val="16"/>
                <w:lang w:val="en-GB"/>
              </w:rPr>
              <w:t>2,840</w:t>
            </w:r>
          </w:p>
        </w:tc>
        <w:tc>
          <w:tcPr>
            <w:tcW w:w="1276" w:type="dxa"/>
            <w:tcMar>
              <w:left w:w="108" w:type="dxa"/>
              <w:right w:w="108" w:type="dxa"/>
            </w:tcMar>
            <w:vAlign w:val="bottom"/>
          </w:tcPr>
          <w:p w:rsidRPr="009C48DA" w:rsidR="00661519" w:rsidP="00661519" w:rsidRDefault="00661519" w14:paraId="1433835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vAlign w:val="bottom"/>
          </w:tcPr>
          <w:p w:rsidRPr="009C48DA" w:rsidR="00661519" w:rsidP="00661519" w:rsidRDefault="00661519" w14:paraId="1742410D" w14:textId="77777777">
            <w:pPr>
              <w:ind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699" w:type="dxa"/>
            <w:tcMar>
              <w:left w:w="108" w:type="dxa"/>
              <w:right w:w="108" w:type="dxa"/>
            </w:tcMar>
            <w:vAlign w:val="bottom"/>
          </w:tcPr>
          <w:p w:rsidRPr="009C48DA" w:rsidR="00661519" w:rsidP="00661519" w:rsidRDefault="00661519" w14:paraId="63C65C26" w14:textId="77777777">
            <w:pPr>
              <w:jc w:val="right"/>
              <w:textAlignment w:val="baseline"/>
              <w:rPr>
                <w:rFonts w:eastAsia="Times New Roman"/>
                <w:color w:val="000000"/>
                <w:sz w:val="16"/>
                <w:lang w:val="en-GB"/>
              </w:rPr>
            </w:pPr>
            <w:r w:rsidRPr="009C48DA">
              <w:rPr>
                <w:rFonts w:eastAsia="Times New Roman"/>
                <w:color w:val="000000"/>
                <w:sz w:val="16"/>
                <w:lang w:val="en-GB"/>
              </w:rPr>
              <w:t>2,840</w:t>
            </w:r>
          </w:p>
        </w:tc>
      </w:tr>
      <w:tr w:rsidRPr="009C48DA" w:rsidR="00661519" w:rsidTr="00661519" w14:paraId="1FD45CFC" w14:textId="77777777">
        <w:trPr>
          <w:trHeight w:val="199"/>
        </w:trPr>
        <w:tc>
          <w:tcPr>
            <w:tcW w:w="2977" w:type="dxa"/>
            <w:vAlign w:val="center"/>
          </w:tcPr>
          <w:p w:rsidRPr="009C48DA" w:rsidR="00661519" w:rsidP="00661519" w:rsidRDefault="00661519" w14:paraId="1FC0B483" w14:textId="77777777">
            <w:pPr>
              <w:ind w:left="156"/>
              <w:textAlignment w:val="baseline"/>
              <w:rPr>
                <w:rFonts w:eastAsia="Times New Roman"/>
                <w:color w:val="000000"/>
                <w:sz w:val="16"/>
                <w:lang w:val="en-GB"/>
              </w:rPr>
            </w:pPr>
            <w:r w:rsidRPr="009C48DA">
              <w:rPr>
                <w:rFonts w:eastAsia="Times New Roman"/>
                <w:color w:val="000000"/>
                <w:sz w:val="16"/>
                <w:lang w:val="en-GB"/>
              </w:rPr>
              <w:t>Lease liabilities</w:t>
            </w:r>
          </w:p>
        </w:tc>
        <w:tc>
          <w:tcPr>
            <w:tcW w:w="1559" w:type="dxa"/>
            <w:tcMar>
              <w:left w:w="108" w:type="dxa"/>
              <w:right w:w="108" w:type="dxa"/>
            </w:tcMar>
            <w:vAlign w:val="bottom"/>
          </w:tcPr>
          <w:p w:rsidRPr="009C48DA" w:rsidR="00661519" w:rsidP="00661519" w:rsidRDefault="00661519" w14:paraId="3ED9B71E"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tcMar>
              <w:left w:w="108" w:type="dxa"/>
              <w:right w:w="108" w:type="dxa"/>
            </w:tcMar>
            <w:vAlign w:val="bottom"/>
          </w:tcPr>
          <w:p w:rsidRPr="009C48DA" w:rsidR="00661519" w:rsidP="00661519" w:rsidRDefault="00661519" w14:paraId="4152D63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vAlign w:val="bottom"/>
          </w:tcPr>
          <w:p w:rsidRPr="009C48DA" w:rsidR="00661519" w:rsidP="00661519" w:rsidRDefault="00661519" w14:paraId="21F0A711" w14:textId="77777777">
            <w:pPr>
              <w:ind w:hanging="336"/>
              <w:jc w:val="right"/>
              <w:textAlignment w:val="baseline"/>
              <w:rPr>
                <w:rFonts w:eastAsia="Times New Roman"/>
                <w:color w:val="000000"/>
                <w:sz w:val="16"/>
                <w:lang w:val="en-GB"/>
              </w:rPr>
            </w:pPr>
            <w:r w:rsidRPr="009C48DA">
              <w:rPr>
                <w:rFonts w:eastAsia="Times New Roman"/>
                <w:color w:val="000000"/>
                <w:sz w:val="16"/>
                <w:lang w:val="en-GB"/>
              </w:rPr>
              <w:t>48,160</w:t>
            </w:r>
          </w:p>
        </w:tc>
        <w:tc>
          <w:tcPr>
            <w:tcW w:w="1699" w:type="dxa"/>
            <w:tcMar>
              <w:left w:w="108" w:type="dxa"/>
              <w:right w:w="108" w:type="dxa"/>
            </w:tcMar>
            <w:vAlign w:val="bottom"/>
          </w:tcPr>
          <w:p w:rsidRPr="009C48DA" w:rsidR="00661519" w:rsidP="00661519" w:rsidRDefault="00661519" w14:paraId="2845FBA9" w14:textId="77777777">
            <w:pPr>
              <w:jc w:val="right"/>
              <w:textAlignment w:val="baseline"/>
              <w:rPr>
                <w:rFonts w:eastAsia="Times New Roman"/>
                <w:color w:val="000000"/>
                <w:sz w:val="16"/>
                <w:lang w:val="en-GB"/>
              </w:rPr>
            </w:pPr>
            <w:r w:rsidRPr="009C48DA">
              <w:rPr>
                <w:rFonts w:eastAsia="Times New Roman"/>
                <w:color w:val="000000"/>
                <w:sz w:val="16"/>
                <w:lang w:val="en-GB"/>
              </w:rPr>
              <w:t>48,160</w:t>
            </w:r>
          </w:p>
        </w:tc>
      </w:tr>
      <w:tr w:rsidRPr="009C48DA" w:rsidR="00661519" w:rsidTr="00661519" w14:paraId="5C7C4BA6" w14:textId="77777777">
        <w:trPr>
          <w:trHeight w:val="234"/>
        </w:trPr>
        <w:tc>
          <w:tcPr>
            <w:tcW w:w="2977" w:type="dxa"/>
            <w:vAlign w:val="bottom"/>
          </w:tcPr>
          <w:p w:rsidRPr="009C48DA" w:rsidR="00661519" w:rsidP="00661519" w:rsidRDefault="00661519" w14:paraId="30FFFA2D" w14:textId="77777777">
            <w:pPr>
              <w:ind w:left="156"/>
              <w:textAlignment w:val="baseline"/>
              <w:rPr>
                <w:rFonts w:eastAsia="Times New Roman"/>
                <w:color w:val="000000"/>
                <w:sz w:val="16"/>
                <w:lang w:val="en-GB"/>
              </w:rPr>
            </w:pPr>
            <w:r w:rsidRPr="009C48DA">
              <w:rPr>
                <w:rFonts w:eastAsia="Times New Roman"/>
                <w:color w:val="000000"/>
                <w:sz w:val="16"/>
                <w:lang w:val="en-GB"/>
              </w:rPr>
              <w:t>Derivative financial instruments</w:t>
            </w:r>
          </w:p>
        </w:tc>
        <w:tc>
          <w:tcPr>
            <w:tcW w:w="1559" w:type="dxa"/>
            <w:tcMar>
              <w:left w:w="108" w:type="dxa"/>
              <w:right w:w="108" w:type="dxa"/>
            </w:tcMar>
            <w:vAlign w:val="bottom"/>
          </w:tcPr>
          <w:p w:rsidRPr="009C48DA" w:rsidR="00661519" w:rsidP="00661519" w:rsidRDefault="00661519" w14:paraId="672D66E3"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tcMar>
              <w:left w:w="108" w:type="dxa"/>
              <w:right w:w="108" w:type="dxa"/>
            </w:tcMar>
            <w:vAlign w:val="bottom"/>
          </w:tcPr>
          <w:p w:rsidRPr="009C48DA" w:rsidR="00661519" w:rsidP="00661519" w:rsidRDefault="00661519" w14:paraId="53D10ACC"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vAlign w:val="bottom"/>
          </w:tcPr>
          <w:p w:rsidRPr="009C48DA" w:rsidR="00661519" w:rsidP="00661519" w:rsidRDefault="00661519" w14:paraId="15982960" w14:textId="77777777">
            <w:pPr>
              <w:pBdr>
                <w:bottom w:val="single" w:color="auto" w:sz="12" w:space="1"/>
              </w:pBdr>
              <w:ind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699" w:type="dxa"/>
            <w:tcMar>
              <w:left w:w="108" w:type="dxa"/>
              <w:right w:w="108" w:type="dxa"/>
            </w:tcMar>
            <w:vAlign w:val="bottom"/>
          </w:tcPr>
          <w:p w:rsidRPr="009C48DA" w:rsidR="00661519" w:rsidP="00661519" w:rsidRDefault="00661519" w14:paraId="0978059F"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69BC1C40" w14:textId="77777777">
        <w:trPr>
          <w:trHeight w:val="257"/>
        </w:trPr>
        <w:tc>
          <w:tcPr>
            <w:tcW w:w="2977" w:type="dxa"/>
            <w:vAlign w:val="bottom"/>
          </w:tcPr>
          <w:p w:rsidRPr="009C48DA" w:rsidR="00661519" w:rsidP="00661519" w:rsidRDefault="00661519" w14:paraId="276F0390" w14:textId="77777777">
            <w:pPr>
              <w:ind w:left="156"/>
              <w:textAlignment w:val="baseline"/>
              <w:rPr>
                <w:rFonts w:eastAsia="Times New Roman"/>
                <w:b/>
                <w:color w:val="000000"/>
                <w:sz w:val="16"/>
                <w:lang w:val="en-GB"/>
              </w:rPr>
            </w:pPr>
            <w:r w:rsidRPr="009C48DA">
              <w:rPr>
                <w:rFonts w:eastAsia="Times New Roman"/>
                <w:b/>
                <w:color w:val="000000"/>
                <w:sz w:val="16"/>
                <w:lang w:val="en-GB"/>
              </w:rPr>
              <w:t>Total financial liabilities</w:t>
            </w:r>
          </w:p>
        </w:tc>
        <w:tc>
          <w:tcPr>
            <w:tcW w:w="1559" w:type="dxa"/>
            <w:tcMar>
              <w:left w:w="108" w:type="dxa"/>
              <w:right w:w="108" w:type="dxa"/>
            </w:tcMar>
            <w:vAlign w:val="bottom"/>
          </w:tcPr>
          <w:p w:rsidRPr="009C48DA" w:rsidR="00661519" w:rsidP="00661519" w:rsidRDefault="00661519" w14:paraId="68E86023"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2,840</w:t>
            </w:r>
          </w:p>
        </w:tc>
        <w:tc>
          <w:tcPr>
            <w:tcW w:w="1276" w:type="dxa"/>
            <w:tcMar>
              <w:left w:w="108" w:type="dxa"/>
              <w:right w:w="108" w:type="dxa"/>
            </w:tcMar>
            <w:vAlign w:val="bottom"/>
          </w:tcPr>
          <w:p w:rsidRPr="009C48DA" w:rsidR="00661519" w:rsidP="00661519" w:rsidRDefault="00661519" w14:paraId="35BCFABA"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vAlign w:val="bottom"/>
          </w:tcPr>
          <w:p w:rsidRPr="009C48DA" w:rsidR="00661519" w:rsidP="00661519" w:rsidRDefault="00661519" w14:paraId="2DEB8D82" w14:textId="77777777">
            <w:pPr>
              <w:pBdr>
                <w:bottom w:val="double" w:color="auto" w:sz="12" w:space="1"/>
              </w:pBdr>
              <w:ind w:hanging="336"/>
              <w:jc w:val="right"/>
              <w:textAlignment w:val="baseline"/>
              <w:rPr>
                <w:rFonts w:eastAsia="Times New Roman"/>
                <w:color w:val="000000"/>
                <w:sz w:val="16"/>
                <w:lang w:val="en-GB"/>
              </w:rPr>
            </w:pPr>
            <w:r w:rsidRPr="009C48DA">
              <w:rPr>
                <w:rFonts w:eastAsia="Times New Roman"/>
                <w:color w:val="000000"/>
                <w:sz w:val="16"/>
                <w:lang w:val="en-GB"/>
              </w:rPr>
              <w:t>132,482</w:t>
            </w:r>
          </w:p>
        </w:tc>
        <w:tc>
          <w:tcPr>
            <w:tcW w:w="1699" w:type="dxa"/>
            <w:tcMar>
              <w:left w:w="108" w:type="dxa"/>
              <w:right w:w="108" w:type="dxa"/>
            </w:tcMar>
            <w:vAlign w:val="bottom"/>
          </w:tcPr>
          <w:p w:rsidRPr="009C48DA" w:rsidR="00661519" w:rsidP="00661519" w:rsidRDefault="00661519" w14:paraId="40A08932"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135,322</w:t>
            </w:r>
          </w:p>
        </w:tc>
      </w:tr>
    </w:tbl>
    <w:p w:rsidRPr="009C48DA" w:rsidR="00661519" w:rsidP="00661519" w:rsidRDefault="00661519" w14:paraId="7094C253" w14:textId="77777777">
      <w:pPr>
        <w:ind w:right="74"/>
        <w:jc w:val="both"/>
        <w:textAlignment w:val="baseline"/>
        <w:rPr>
          <w:rFonts w:eastAsia="Times New Roman" w:cs="Times New Roman"/>
          <w:b/>
          <w:color w:val="000000"/>
          <w:sz w:val="16"/>
          <w:szCs w:val="22"/>
          <w:lang w:val="en-GB"/>
        </w:rPr>
      </w:pPr>
    </w:p>
    <w:tbl>
      <w:tblPr>
        <w:tblW w:w="9214" w:type="dxa"/>
        <w:tblLayout w:type="fixed"/>
        <w:tblCellMar>
          <w:left w:w="0" w:type="dxa"/>
          <w:right w:w="0" w:type="dxa"/>
        </w:tblCellMar>
        <w:tblLook w:val="0000" w:firstRow="0" w:lastRow="0" w:firstColumn="0" w:lastColumn="0" w:noHBand="0" w:noVBand="0"/>
      </w:tblPr>
      <w:tblGrid>
        <w:gridCol w:w="2977"/>
        <w:gridCol w:w="1559"/>
        <w:gridCol w:w="1276"/>
        <w:gridCol w:w="1701"/>
        <w:gridCol w:w="1701"/>
      </w:tblGrid>
      <w:tr w:rsidRPr="009C48DA" w:rsidR="00661519" w:rsidTr="00661519" w14:paraId="2EF022FC" w14:textId="77777777">
        <w:trPr>
          <w:trHeight w:val="627"/>
        </w:trPr>
        <w:tc>
          <w:tcPr>
            <w:tcW w:w="2977" w:type="dxa"/>
            <w:vAlign w:val="bottom"/>
          </w:tcPr>
          <w:p w:rsidRPr="009C48DA" w:rsidR="00661519" w:rsidP="00661519" w:rsidRDefault="00661519" w14:paraId="15EFECC1" w14:textId="77777777">
            <w:pPr>
              <w:textAlignment w:val="baseline"/>
              <w:rPr>
                <w:rFonts w:eastAsia="Times New Roman"/>
                <w:color w:val="000000"/>
                <w:sz w:val="24"/>
                <w:lang w:val="en-GB"/>
              </w:rPr>
            </w:pPr>
          </w:p>
        </w:tc>
        <w:tc>
          <w:tcPr>
            <w:tcW w:w="1559" w:type="dxa"/>
            <w:tcMar>
              <w:left w:w="108" w:type="dxa"/>
              <w:right w:w="108" w:type="dxa"/>
            </w:tcMar>
            <w:vAlign w:val="bottom"/>
          </w:tcPr>
          <w:p w:rsidRPr="009C48DA" w:rsidR="00661519" w:rsidP="00661519" w:rsidRDefault="00661519" w14:paraId="305A72AB" w14:textId="77777777">
            <w:pPr>
              <w:jc w:val="center"/>
              <w:textAlignment w:val="baseline"/>
              <w:rPr>
                <w:rFonts w:eastAsia="Times New Roman"/>
                <w:b/>
                <w:color w:val="000000"/>
                <w:sz w:val="16"/>
                <w:lang w:val="en-GB"/>
              </w:rPr>
            </w:pPr>
            <w:r w:rsidRPr="009C48DA">
              <w:rPr>
                <w:rFonts w:eastAsia="Times New Roman"/>
                <w:b/>
                <w:color w:val="000000"/>
                <w:sz w:val="16"/>
                <w:lang w:val="en-GB"/>
              </w:rPr>
              <w:t>Fair value through profit or loss</w:t>
            </w:r>
          </w:p>
        </w:tc>
        <w:tc>
          <w:tcPr>
            <w:tcW w:w="1276" w:type="dxa"/>
            <w:tcMar>
              <w:left w:w="108" w:type="dxa"/>
              <w:right w:w="108" w:type="dxa"/>
            </w:tcMar>
            <w:vAlign w:val="bottom"/>
          </w:tcPr>
          <w:p w:rsidRPr="009C48DA" w:rsidR="00661519" w:rsidP="00661519" w:rsidRDefault="00661519" w14:paraId="18EDD9B3" w14:textId="77777777">
            <w:pPr>
              <w:jc w:val="center"/>
              <w:textAlignment w:val="baseline"/>
              <w:rPr>
                <w:rFonts w:eastAsia="Times New Roman"/>
                <w:b/>
                <w:color w:val="000000"/>
                <w:sz w:val="16"/>
                <w:lang w:val="en-GB"/>
              </w:rPr>
            </w:pPr>
            <w:r w:rsidRPr="009C48DA">
              <w:rPr>
                <w:rFonts w:eastAsia="Times New Roman"/>
                <w:b/>
                <w:color w:val="000000"/>
                <w:sz w:val="16"/>
                <w:lang w:val="en-GB"/>
              </w:rPr>
              <w:t>Hedging derivatives</w:t>
            </w:r>
          </w:p>
        </w:tc>
        <w:tc>
          <w:tcPr>
            <w:tcW w:w="1701" w:type="dxa"/>
            <w:vAlign w:val="bottom"/>
          </w:tcPr>
          <w:p w:rsidRPr="009C48DA" w:rsidR="00661519" w:rsidP="00661519" w:rsidRDefault="00661519" w14:paraId="77C557C1" w14:textId="77777777">
            <w:pPr>
              <w:ind w:left="346" w:hanging="336"/>
              <w:jc w:val="center"/>
              <w:textAlignment w:val="baseline"/>
              <w:rPr>
                <w:rFonts w:eastAsia="Times New Roman"/>
                <w:b/>
                <w:color w:val="000000"/>
                <w:sz w:val="16"/>
                <w:lang w:val="en-GB"/>
              </w:rPr>
            </w:pPr>
            <w:r w:rsidRPr="009C48DA">
              <w:rPr>
                <w:rFonts w:eastAsia="Times New Roman"/>
                <w:b/>
                <w:color w:val="000000"/>
                <w:sz w:val="16"/>
                <w:lang w:val="en-GB"/>
              </w:rPr>
              <w:t xml:space="preserve">Financial liabilities </w:t>
            </w:r>
          </w:p>
          <w:p w:rsidRPr="009C48DA" w:rsidR="00661519" w:rsidP="00661519" w:rsidRDefault="00661519" w14:paraId="68C47C00" w14:textId="77777777">
            <w:pPr>
              <w:ind w:left="204" w:hanging="399"/>
              <w:jc w:val="center"/>
              <w:textAlignment w:val="baseline"/>
              <w:rPr>
                <w:rFonts w:eastAsia="Times New Roman"/>
                <w:b/>
                <w:color w:val="000000"/>
                <w:sz w:val="16"/>
                <w:lang w:val="en-GB"/>
              </w:rPr>
            </w:pPr>
            <w:r w:rsidRPr="009C48DA">
              <w:rPr>
                <w:rFonts w:eastAsia="Times New Roman"/>
                <w:b/>
                <w:color w:val="000000"/>
                <w:sz w:val="16"/>
                <w:lang w:val="en-GB"/>
              </w:rPr>
              <w:t>at amortised cost</w:t>
            </w:r>
          </w:p>
        </w:tc>
        <w:tc>
          <w:tcPr>
            <w:tcW w:w="1701" w:type="dxa"/>
            <w:tcMar>
              <w:left w:w="108" w:type="dxa"/>
              <w:right w:w="108" w:type="dxa"/>
            </w:tcMar>
            <w:vAlign w:val="bottom"/>
          </w:tcPr>
          <w:p w:rsidRPr="009C48DA" w:rsidR="00661519" w:rsidP="00661519" w:rsidRDefault="00661519" w14:paraId="54D5F3A0" w14:textId="77777777">
            <w:pPr>
              <w:ind w:right="534"/>
              <w:jc w:val="right"/>
              <w:textAlignment w:val="baseline"/>
              <w:rPr>
                <w:rFonts w:eastAsia="Times New Roman"/>
                <w:b/>
                <w:color w:val="000000"/>
                <w:sz w:val="16"/>
                <w:lang w:val="en-GB"/>
              </w:rPr>
            </w:pPr>
            <w:r w:rsidRPr="009C48DA">
              <w:rPr>
                <w:rFonts w:eastAsia="Times New Roman"/>
                <w:b/>
                <w:color w:val="000000"/>
                <w:sz w:val="16"/>
                <w:lang w:val="en-GB"/>
              </w:rPr>
              <w:t>Total</w:t>
            </w:r>
          </w:p>
        </w:tc>
      </w:tr>
      <w:tr w:rsidRPr="009C48DA" w:rsidR="00661519" w:rsidTr="00661519" w14:paraId="0D7414CA" w14:textId="77777777">
        <w:trPr>
          <w:trHeight w:val="209"/>
        </w:trPr>
        <w:tc>
          <w:tcPr>
            <w:tcW w:w="2977" w:type="dxa"/>
            <w:vAlign w:val="bottom"/>
          </w:tcPr>
          <w:p w:rsidRPr="009C48DA" w:rsidR="00661519" w:rsidP="00661519" w:rsidRDefault="00661519" w14:paraId="4D7AD990" w14:textId="77777777">
            <w:pPr>
              <w:ind w:left="156"/>
              <w:textAlignment w:val="baseline"/>
              <w:rPr>
                <w:rFonts w:eastAsia="Times New Roman"/>
                <w:b/>
                <w:color w:val="000000"/>
                <w:sz w:val="16"/>
                <w:lang w:val="en-GB"/>
              </w:rPr>
            </w:pPr>
            <w:r w:rsidRPr="009C48DA">
              <w:rPr>
                <w:rFonts w:eastAsia="Times New Roman"/>
                <w:b/>
                <w:color w:val="000000"/>
                <w:sz w:val="16"/>
                <w:lang w:val="en-GB"/>
              </w:rPr>
              <w:t>As at 31 December 2020</w:t>
            </w:r>
          </w:p>
        </w:tc>
        <w:tc>
          <w:tcPr>
            <w:tcW w:w="1559" w:type="dxa"/>
            <w:tcMar>
              <w:left w:w="108" w:type="dxa"/>
              <w:right w:w="108" w:type="dxa"/>
            </w:tcMar>
            <w:vAlign w:val="bottom"/>
          </w:tcPr>
          <w:p w:rsidRPr="009C48DA" w:rsidR="00661519" w:rsidP="00661519" w:rsidRDefault="00661519" w14:paraId="7CF9561B" w14:textId="77777777">
            <w:pPr>
              <w:ind w:right="608"/>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276" w:type="dxa"/>
            <w:tcMar>
              <w:left w:w="108" w:type="dxa"/>
              <w:right w:w="108" w:type="dxa"/>
            </w:tcMar>
            <w:vAlign w:val="bottom"/>
          </w:tcPr>
          <w:p w:rsidRPr="009C48DA" w:rsidR="00661519" w:rsidP="00661519" w:rsidRDefault="00661519" w14:paraId="04694020"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701" w:type="dxa"/>
          </w:tcPr>
          <w:p w:rsidRPr="009C48DA" w:rsidR="00661519" w:rsidP="00661519" w:rsidRDefault="00661519" w14:paraId="54CDB7E8" w14:textId="77777777">
            <w:pPr>
              <w:ind w:right="534" w:hanging="336"/>
              <w:jc w:val="center"/>
              <w:textAlignment w:val="baseline"/>
              <w:rPr>
                <w:rFonts w:eastAsia="Times New Roman"/>
                <w:b/>
                <w:color w:val="000000"/>
                <w:sz w:val="16"/>
                <w:lang w:val="en-GB"/>
              </w:rPr>
            </w:pPr>
            <w:r w:rsidRPr="009C48DA">
              <w:rPr>
                <w:rFonts w:eastAsia="Times New Roman"/>
                <w:b/>
                <w:color w:val="000000"/>
                <w:sz w:val="16"/>
                <w:lang w:val="en-GB"/>
              </w:rPr>
              <w:t xml:space="preserve">                £ 000</w:t>
            </w:r>
          </w:p>
        </w:tc>
        <w:tc>
          <w:tcPr>
            <w:tcW w:w="1701" w:type="dxa"/>
            <w:tcMar>
              <w:left w:w="108" w:type="dxa"/>
              <w:right w:w="108" w:type="dxa"/>
            </w:tcMar>
            <w:vAlign w:val="bottom"/>
          </w:tcPr>
          <w:p w:rsidRPr="009C48DA" w:rsidR="00661519" w:rsidP="00661519" w:rsidRDefault="00661519" w14:paraId="73152688" w14:textId="77777777">
            <w:pPr>
              <w:ind w:right="534"/>
              <w:jc w:val="right"/>
              <w:textAlignment w:val="baseline"/>
              <w:rPr>
                <w:rFonts w:eastAsia="Times New Roman"/>
                <w:b/>
                <w:color w:val="000000"/>
                <w:sz w:val="16"/>
                <w:lang w:val="en-GB"/>
              </w:rPr>
            </w:pPr>
            <w:r w:rsidRPr="009C48DA">
              <w:rPr>
                <w:rFonts w:eastAsia="Times New Roman"/>
                <w:b/>
                <w:color w:val="000000"/>
                <w:sz w:val="16"/>
                <w:lang w:val="en-GB"/>
              </w:rPr>
              <w:t>£ 000</w:t>
            </w:r>
          </w:p>
        </w:tc>
      </w:tr>
      <w:tr w:rsidRPr="009C48DA" w:rsidR="00661519" w:rsidTr="00661519" w14:paraId="1847FA2B" w14:textId="77777777">
        <w:trPr>
          <w:trHeight w:val="221"/>
        </w:trPr>
        <w:tc>
          <w:tcPr>
            <w:tcW w:w="2977" w:type="dxa"/>
            <w:vAlign w:val="center"/>
          </w:tcPr>
          <w:p w:rsidRPr="009C48DA" w:rsidR="00661519" w:rsidP="00661519" w:rsidRDefault="00661519" w14:paraId="394E33B8" w14:textId="77777777">
            <w:pPr>
              <w:ind w:left="156"/>
              <w:textAlignment w:val="baseline"/>
              <w:rPr>
                <w:rFonts w:eastAsia="Times New Roman"/>
                <w:color w:val="000000"/>
                <w:sz w:val="16"/>
                <w:lang w:val="en-GB"/>
              </w:rPr>
            </w:pPr>
            <w:r w:rsidRPr="009C48DA">
              <w:rPr>
                <w:rFonts w:eastAsia="Times New Roman"/>
                <w:color w:val="000000"/>
                <w:sz w:val="16"/>
                <w:lang w:val="en-GB"/>
              </w:rPr>
              <w:t>Trade and other payables</w:t>
            </w:r>
          </w:p>
        </w:tc>
        <w:tc>
          <w:tcPr>
            <w:tcW w:w="1559" w:type="dxa"/>
            <w:tcMar>
              <w:left w:w="108" w:type="dxa"/>
              <w:right w:w="108" w:type="dxa"/>
            </w:tcMar>
            <w:vAlign w:val="bottom"/>
          </w:tcPr>
          <w:p w:rsidRPr="009C48DA" w:rsidR="00661519" w:rsidP="00661519" w:rsidRDefault="00661519" w14:paraId="0822E560" w14:textId="77777777">
            <w:pPr>
              <w:jc w:val="right"/>
              <w:textAlignment w:val="baseline"/>
              <w:rPr>
                <w:rFonts w:eastAsia="Times New Roman"/>
                <w:color w:val="000000"/>
                <w:sz w:val="16"/>
                <w:lang w:val="en-GB"/>
              </w:rPr>
            </w:pPr>
            <w:r w:rsidRPr="009C48DA">
              <w:rPr>
                <w:rFonts w:eastAsia="Times New Roman"/>
                <w:color w:val="000000"/>
                <w:sz w:val="16"/>
                <w:lang w:val="en-GB"/>
              </w:rPr>
              <w:t>31,563</w:t>
            </w:r>
          </w:p>
        </w:tc>
        <w:tc>
          <w:tcPr>
            <w:tcW w:w="1276" w:type="dxa"/>
            <w:tcMar>
              <w:left w:w="108" w:type="dxa"/>
              <w:right w:w="108" w:type="dxa"/>
            </w:tcMar>
            <w:vAlign w:val="bottom"/>
          </w:tcPr>
          <w:p w:rsidRPr="009C48DA" w:rsidR="00661519" w:rsidP="00661519" w:rsidRDefault="00661519" w14:paraId="3DC64AF3"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vAlign w:val="bottom"/>
          </w:tcPr>
          <w:p w:rsidRPr="009C48DA" w:rsidR="00661519" w:rsidP="00661519" w:rsidRDefault="00661519" w14:paraId="7B361328" w14:textId="77777777">
            <w:pPr>
              <w:ind w:hanging="336"/>
              <w:jc w:val="right"/>
              <w:textAlignment w:val="baseline"/>
              <w:rPr>
                <w:rFonts w:eastAsia="Times New Roman"/>
                <w:color w:val="000000"/>
                <w:sz w:val="16"/>
                <w:lang w:val="en-GB"/>
              </w:rPr>
            </w:pPr>
            <w:r w:rsidRPr="009C48DA">
              <w:rPr>
                <w:rFonts w:eastAsia="Times New Roman"/>
                <w:color w:val="000000"/>
                <w:sz w:val="16"/>
                <w:lang w:val="en-GB"/>
              </w:rPr>
              <w:t>116,987</w:t>
            </w:r>
          </w:p>
        </w:tc>
        <w:tc>
          <w:tcPr>
            <w:tcW w:w="1701" w:type="dxa"/>
            <w:tcMar>
              <w:left w:w="108" w:type="dxa"/>
              <w:right w:w="108" w:type="dxa"/>
            </w:tcMar>
            <w:vAlign w:val="bottom"/>
          </w:tcPr>
          <w:p w:rsidRPr="009C48DA" w:rsidR="00661519" w:rsidP="00661519" w:rsidRDefault="00661519" w14:paraId="6489DF4A" w14:textId="77777777">
            <w:pPr>
              <w:jc w:val="right"/>
              <w:textAlignment w:val="baseline"/>
              <w:rPr>
                <w:rFonts w:eastAsia="Times New Roman"/>
                <w:color w:val="000000"/>
                <w:sz w:val="16"/>
                <w:lang w:val="en-GB"/>
              </w:rPr>
            </w:pPr>
            <w:r w:rsidRPr="009C48DA">
              <w:rPr>
                <w:rFonts w:eastAsia="Times New Roman"/>
                <w:color w:val="000000"/>
                <w:sz w:val="16"/>
                <w:lang w:val="en-GB"/>
              </w:rPr>
              <w:t>148,550</w:t>
            </w:r>
          </w:p>
        </w:tc>
      </w:tr>
      <w:tr w:rsidRPr="009C48DA" w:rsidR="00661519" w:rsidTr="00661519" w14:paraId="64F5B298" w14:textId="77777777">
        <w:trPr>
          <w:trHeight w:val="209"/>
        </w:trPr>
        <w:tc>
          <w:tcPr>
            <w:tcW w:w="2977" w:type="dxa"/>
            <w:vAlign w:val="center"/>
          </w:tcPr>
          <w:p w:rsidRPr="009C48DA" w:rsidR="00661519" w:rsidP="00661519" w:rsidRDefault="00661519" w14:paraId="1C5506C2" w14:textId="77777777">
            <w:pPr>
              <w:ind w:left="156"/>
              <w:textAlignment w:val="baseline"/>
              <w:rPr>
                <w:rFonts w:eastAsia="Times New Roman"/>
                <w:color w:val="000000"/>
                <w:sz w:val="16"/>
                <w:lang w:val="en-GB"/>
              </w:rPr>
            </w:pPr>
            <w:r w:rsidRPr="009C48DA">
              <w:rPr>
                <w:rFonts w:eastAsia="Times New Roman"/>
                <w:color w:val="000000"/>
                <w:sz w:val="16"/>
                <w:lang w:val="en-GB"/>
              </w:rPr>
              <w:t xml:space="preserve">Borrowings </w:t>
            </w:r>
          </w:p>
        </w:tc>
        <w:tc>
          <w:tcPr>
            <w:tcW w:w="1559" w:type="dxa"/>
            <w:tcMar>
              <w:left w:w="108" w:type="dxa"/>
              <w:right w:w="108" w:type="dxa"/>
            </w:tcMar>
            <w:vAlign w:val="bottom"/>
          </w:tcPr>
          <w:p w:rsidRPr="009C48DA" w:rsidR="00661519" w:rsidP="00661519" w:rsidRDefault="00661519" w14:paraId="04F110BB"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tcMar>
              <w:left w:w="108" w:type="dxa"/>
              <w:right w:w="108" w:type="dxa"/>
            </w:tcMar>
            <w:vAlign w:val="bottom"/>
          </w:tcPr>
          <w:p w:rsidRPr="009C48DA" w:rsidR="00661519" w:rsidP="00661519" w:rsidRDefault="00661519" w14:paraId="2F1B77A7"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vAlign w:val="bottom"/>
          </w:tcPr>
          <w:p w:rsidRPr="009C48DA" w:rsidR="00661519" w:rsidP="00661519" w:rsidRDefault="00661519" w14:paraId="4BCA1177" w14:textId="77777777">
            <w:pPr>
              <w:ind w:hanging="336"/>
              <w:jc w:val="right"/>
              <w:textAlignment w:val="baseline"/>
              <w:rPr>
                <w:rFonts w:eastAsia="Times New Roman"/>
                <w:color w:val="000000"/>
                <w:sz w:val="16"/>
                <w:lang w:val="en-GB"/>
              </w:rPr>
            </w:pPr>
            <w:r w:rsidRPr="009C48DA">
              <w:rPr>
                <w:rFonts w:eastAsia="Times New Roman"/>
                <w:color w:val="000000"/>
                <w:sz w:val="16"/>
                <w:lang w:val="en-GB"/>
              </w:rPr>
              <w:t>99,708</w:t>
            </w:r>
          </w:p>
        </w:tc>
        <w:tc>
          <w:tcPr>
            <w:tcW w:w="1701" w:type="dxa"/>
            <w:tcMar>
              <w:left w:w="108" w:type="dxa"/>
              <w:right w:w="108" w:type="dxa"/>
            </w:tcMar>
            <w:vAlign w:val="bottom"/>
          </w:tcPr>
          <w:p w:rsidRPr="009C48DA" w:rsidR="00661519" w:rsidP="00661519" w:rsidRDefault="00661519" w14:paraId="220CED3B" w14:textId="77777777">
            <w:pPr>
              <w:jc w:val="right"/>
              <w:textAlignment w:val="baseline"/>
              <w:rPr>
                <w:rFonts w:eastAsia="Times New Roman"/>
                <w:color w:val="000000"/>
                <w:sz w:val="16"/>
                <w:lang w:val="en-GB"/>
              </w:rPr>
            </w:pPr>
            <w:r w:rsidRPr="009C48DA">
              <w:rPr>
                <w:rFonts w:eastAsia="Times New Roman"/>
                <w:color w:val="000000"/>
                <w:sz w:val="16"/>
                <w:lang w:val="en-GB"/>
              </w:rPr>
              <w:t>99,708</w:t>
            </w:r>
          </w:p>
        </w:tc>
      </w:tr>
      <w:tr w:rsidRPr="009C48DA" w:rsidR="00661519" w:rsidTr="00661519" w14:paraId="2CED7846" w14:textId="77777777">
        <w:trPr>
          <w:trHeight w:val="209"/>
        </w:trPr>
        <w:tc>
          <w:tcPr>
            <w:tcW w:w="2977" w:type="dxa"/>
            <w:vAlign w:val="center"/>
          </w:tcPr>
          <w:p w:rsidRPr="009C48DA" w:rsidR="00661519" w:rsidP="00661519" w:rsidRDefault="00661519" w14:paraId="40D159F8" w14:textId="77777777">
            <w:pPr>
              <w:ind w:left="156"/>
              <w:textAlignment w:val="baseline"/>
              <w:rPr>
                <w:rFonts w:eastAsia="Times New Roman"/>
                <w:color w:val="000000"/>
                <w:sz w:val="16"/>
                <w:lang w:val="en-GB"/>
              </w:rPr>
            </w:pPr>
            <w:r w:rsidRPr="009C48DA">
              <w:rPr>
                <w:rFonts w:eastAsia="Times New Roman"/>
                <w:color w:val="000000"/>
                <w:sz w:val="16"/>
                <w:lang w:val="en-GB"/>
              </w:rPr>
              <w:t>Fair value of CLO liabilities</w:t>
            </w:r>
          </w:p>
        </w:tc>
        <w:tc>
          <w:tcPr>
            <w:tcW w:w="1559" w:type="dxa"/>
            <w:tcMar>
              <w:left w:w="108" w:type="dxa"/>
              <w:right w:w="108" w:type="dxa"/>
            </w:tcMar>
            <w:vAlign w:val="bottom"/>
          </w:tcPr>
          <w:p w:rsidRPr="009C48DA" w:rsidR="00661519" w:rsidP="00661519" w:rsidRDefault="00661519" w14:paraId="3A755663" w14:textId="77777777">
            <w:pPr>
              <w:jc w:val="right"/>
              <w:textAlignment w:val="baseline"/>
              <w:rPr>
                <w:rFonts w:eastAsia="Times New Roman"/>
                <w:color w:val="000000"/>
                <w:sz w:val="16"/>
                <w:lang w:val="en-GB"/>
              </w:rPr>
            </w:pPr>
            <w:r w:rsidRPr="009C48DA">
              <w:rPr>
                <w:rFonts w:eastAsia="Times New Roman"/>
                <w:color w:val="000000"/>
                <w:sz w:val="16"/>
                <w:lang w:val="en-GB"/>
              </w:rPr>
              <w:t>274,495</w:t>
            </w:r>
          </w:p>
        </w:tc>
        <w:tc>
          <w:tcPr>
            <w:tcW w:w="1276" w:type="dxa"/>
            <w:tcMar>
              <w:left w:w="108" w:type="dxa"/>
              <w:right w:w="108" w:type="dxa"/>
            </w:tcMar>
            <w:vAlign w:val="bottom"/>
          </w:tcPr>
          <w:p w:rsidRPr="009C48DA" w:rsidR="00661519" w:rsidP="00661519" w:rsidRDefault="00661519" w14:paraId="427FDEE5"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vAlign w:val="bottom"/>
          </w:tcPr>
          <w:p w:rsidRPr="009C48DA" w:rsidR="00661519" w:rsidP="00661519" w:rsidRDefault="00661519" w14:paraId="3E96C33E" w14:textId="77777777">
            <w:pPr>
              <w:ind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Mar>
              <w:left w:w="108" w:type="dxa"/>
              <w:right w:w="108" w:type="dxa"/>
            </w:tcMar>
            <w:vAlign w:val="bottom"/>
          </w:tcPr>
          <w:p w:rsidRPr="009C48DA" w:rsidR="00661519" w:rsidP="00661519" w:rsidRDefault="00661519" w14:paraId="38CD0960" w14:textId="77777777">
            <w:pPr>
              <w:jc w:val="right"/>
              <w:textAlignment w:val="baseline"/>
              <w:rPr>
                <w:rFonts w:eastAsia="Times New Roman"/>
                <w:color w:val="000000"/>
                <w:sz w:val="16"/>
                <w:lang w:val="en-GB"/>
              </w:rPr>
            </w:pPr>
            <w:r w:rsidRPr="009C48DA">
              <w:rPr>
                <w:rFonts w:eastAsia="Times New Roman"/>
                <w:color w:val="000000"/>
                <w:sz w:val="16"/>
                <w:lang w:val="en-GB"/>
              </w:rPr>
              <w:t>274,495</w:t>
            </w:r>
          </w:p>
        </w:tc>
      </w:tr>
      <w:tr w:rsidRPr="009C48DA" w:rsidR="00661519" w:rsidTr="00661519" w14:paraId="2C45CFA8" w14:textId="77777777">
        <w:trPr>
          <w:trHeight w:val="209"/>
        </w:trPr>
        <w:tc>
          <w:tcPr>
            <w:tcW w:w="2977" w:type="dxa"/>
            <w:vAlign w:val="center"/>
          </w:tcPr>
          <w:p w:rsidRPr="009C48DA" w:rsidR="00661519" w:rsidP="00661519" w:rsidRDefault="00661519" w14:paraId="2D2BEB73" w14:textId="77777777">
            <w:pPr>
              <w:ind w:left="156"/>
              <w:textAlignment w:val="baseline"/>
              <w:rPr>
                <w:rFonts w:eastAsia="Times New Roman"/>
                <w:color w:val="000000"/>
                <w:sz w:val="16"/>
                <w:lang w:val="en-GB"/>
              </w:rPr>
            </w:pPr>
            <w:r w:rsidRPr="009C48DA">
              <w:rPr>
                <w:rFonts w:eastAsia="Times New Roman"/>
                <w:color w:val="000000"/>
                <w:sz w:val="16"/>
                <w:lang w:val="en-GB"/>
              </w:rPr>
              <w:t>CLO purchases awaiting settlement</w:t>
            </w:r>
          </w:p>
        </w:tc>
        <w:tc>
          <w:tcPr>
            <w:tcW w:w="1559" w:type="dxa"/>
            <w:tcMar>
              <w:left w:w="108" w:type="dxa"/>
              <w:right w:w="108" w:type="dxa"/>
            </w:tcMar>
            <w:vAlign w:val="bottom"/>
          </w:tcPr>
          <w:p w:rsidRPr="009C48DA" w:rsidR="00661519" w:rsidP="00661519" w:rsidRDefault="00661519" w14:paraId="08F4625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tcMar>
              <w:left w:w="108" w:type="dxa"/>
              <w:right w:w="108" w:type="dxa"/>
            </w:tcMar>
            <w:vAlign w:val="bottom"/>
          </w:tcPr>
          <w:p w:rsidRPr="009C48DA" w:rsidR="00661519" w:rsidP="00661519" w:rsidRDefault="00661519" w14:paraId="226D42A1"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vAlign w:val="bottom"/>
          </w:tcPr>
          <w:p w:rsidRPr="009C48DA" w:rsidR="00661519" w:rsidP="00661519" w:rsidRDefault="00661519" w14:paraId="54A1D59B" w14:textId="77777777">
            <w:pPr>
              <w:ind w:hanging="336"/>
              <w:jc w:val="right"/>
              <w:textAlignment w:val="baseline"/>
              <w:rPr>
                <w:rFonts w:eastAsia="Times New Roman"/>
                <w:color w:val="000000"/>
                <w:sz w:val="16"/>
                <w:lang w:val="en-GB"/>
              </w:rPr>
            </w:pPr>
            <w:r w:rsidRPr="009C48DA">
              <w:rPr>
                <w:rFonts w:eastAsia="Times New Roman"/>
                <w:color w:val="000000"/>
                <w:sz w:val="16"/>
                <w:lang w:val="en-GB"/>
              </w:rPr>
              <w:t>93,237</w:t>
            </w:r>
          </w:p>
        </w:tc>
        <w:tc>
          <w:tcPr>
            <w:tcW w:w="1701" w:type="dxa"/>
            <w:tcMar>
              <w:left w:w="108" w:type="dxa"/>
              <w:right w:w="108" w:type="dxa"/>
            </w:tcMar>
            <w:vAlign w:val="bottom"/>
          </w:tcPr>
          <w:p w:rsidRPr="009C48DA" w:rsidR="00661519" w:rsidP="00661519" w:rsidRDefault="00661519" w14:paraId="5F8C8136" w14:textId="77777777">
            <w:pPr>
              <w:jc w:val="right"/>
              <w:textAlignment w:val="baseline"/>
              <w:rPr>
                <w:rFonts w:eastAsia="Times New Roman"/>
                <w:color w:val="000000"/>
                <w:sz w:val="16"/>
                <w:lang w:val="en-GB"/>
              </w:rPr>
            </w:pPr>
            <w:r w:rsidRPr="009C48DA">
              <w:rPr>
                <w:rFonts w:eastAsia="Times New Roman"/>
                <w:color w:val="000000"/>
                <w:sz w:val="16"/>
                <w:lang w:val="en-GB"/>
              </w:rPr>
              <w:t>93,237</w:t>
            </w:r>
          </w:p>
        </w:tc>
      </w:tr>
      <w:tr w:rsidRPr="009C48DA" w:rsidR="00661519" w:rsidTr="00661519" w14:paraId="66784424" w14:textId="77777777">
        <w:trPr>
          <w:trHeight w:val="209"/>
        </w:trPr>
        <w:tc>
          <w:tcPr>
            <w:tcW w:w="2977" w:type="dxa"/>
            <w:vAlign w:val="center"/>
          </w:tcPr>
          <w:p w:rsidRPr="009C48DA" w:rsidR="00661519" w:rsidP="00661519" w:rsidRDefault="00661519" w14:paraId="0D3C2E1C" w14:textId="77777777">
            <w:pPr>
              <w:ind w:left="156"/>
              <w:textAlignment w:val="baseline"/>
              <w:rPr>
                <w:rFonts w:eastAsia="Times New Roman"/>
                <w:color w:val="000000"/>
                <w:sz w:val="16"/>
                <w:lang w:val="en-GB"/>
              </w:rPr>
            </w:pPr>
            <w:r w:rsidRPr="009C48DA">
              <w:rPr>
                <w:rFonts w:eastAsia="Times New Roman"/>
                <w:color w:val="000000"/>
                <w:sz w:val="16"/>
                <w:lang w:val="en-GB"/>
              </w:rPr>
              <w:t>Other financial liabilities</w:t>
            </w:r>
          </w:p>
        </w:tc>
        <w:tc>
          <w:tcPr>
            <w:tcW w:w="1559" w:type="dxa"/>
            <w:tcMar>
              <w:left w:w="108" w:type="dxa"/>
              <w:right w:w="108" w:type="dxa"/>
            </w:tcMar>
            <w:vAlign w:val="bottom"/>
          </w:tcPr>
          <w:p w:rsidRPr="009C48DA" w:rsidR="00661519" w:rsidP="00661519" w:rsidRDefault="00661519" w14:paraId="58C1A5FD" w14:textId="77777777">
            <w:pPr>
              <w:jc w:val="right"/>
              <w:textAlignment w:val="baseline"/>
              <w:rPr>
                <w:rFonts w:eastAsia="Times New Roman"/>
                <w:color w:val="000000"/>
                <w:sz w:val="16"/>
                <w:lang w:val="en-GB"/>
              </w:rPr>
            </w:pPr>
            <w:r w:rsidRPr="009C48DA">
              <w:rPr>
                <w:rFonts w:eastAsia="Times New Roman"/>
                <w:color w:val="000000"/>
                <w:sz w:val="16"/>
                <w:lang w:val="en-GB"/>
              </w:rPr>
              <w:t>3,821</w:t>
            </w:r>
          </w:p>
        </w:tc>
        <w:tc>
          <w:tcPr>
            <w:tcW w:w="1276" w:type="dxa"/>
            <w:tcMar>
              <w:left w:w="108" w:type="dxa"/>
              <w:right w:w="108" w:type="dxa"/>
            </w:tcMar>
            <w:vAlign w:val="bottom"/>
          </w:tcPr>
          <w:p w:rsidRPr="009C48DA" w:rsidR="00661519" w:rsidP="00661519" w:rsidRDefault="00661519" w14:paraId="1809AF22"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vAlign w:val="bottom"/>
          </w:tcPr>
          <w:p w:rsidRPr="009C48DA" w:rsidR="00661519" w:rsidP="00661519" w:rsidRDefault="00661519" w14:paraId="4690651F" w14:textId="77777777">
            <w:pPr>
              <w:ind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Mar>
              <w:left w:w="108" w:type="dxa"/>
              <w:right w:w="108" w:type="dxa"/>
            </w:tcMar>
            <w:vAlign w:val="bottom"/>
          </w:tcPr>
          <w:p w:rsidRPr="009C48DA" w:rsidR="00661519" w:rsidP="00661519" w:rsidRDefault="00661519" w14:paraId="2C8431D3" w14:textId="77777777">
            <w:pPr>
              <w:jc w:val="right"/>
              <w:textAlignment w:val="baseline"/>
              <w:rPr>
                <w:rFonts w:eastAsia="Times New Roman"/>
                <w:color w:val="000000"/>
                <w:sz w:val="16"/>
                <w:lang w:val="en-GB"/>
              </w:rPr>
            </w:pPr>
            <w:r w:rsidRPr="009C48DA">
              <w:rPr>
                <w:rFonts w:eastAsia="Times New Roman"/>
                <w:color w:val="000000"/>
                <w:sz w:val="16"/>
                <w:lang w:val="en-GB"/>
              </w:rPr>
              <w:t>3,821</w:t>
            </w:r>
          </w:p>
        </w:tc>
      </w:tr>
      <w:tr w:rsidRPr="009C48DA" w:rsidR="00661519" w:rsidTr="00661519" w14:paraId="4108AEC5" w14:textId="77777777">
        <w:trPr>
          <w:trHeight w:val="209"/>
        </w:trPr>
        <w:tc>
          <w:tcPr>
            <w:tcW w:w="2977" w:type="dxa"/>
            <w:vAlign w:val="center"/>
          </w:tcPr>
          <w:p w:rsidRPr="009C48DA" w:rsidR="00661519" w:rsidP="00661519" w:rsidRDefault="00661519" w14:paraId="2EDB06C6" w14:textId="77777777">
            <w:pPr>
              <w:ind w:left="156"/>
              <w:textAlignment w:val="baseline"/>
              <w:rPr>
                <w:rFonts w:eastAsia="Times New Roman"/>
                <w:color w:val="000000"/>
                <w:sz w:val="16"/>
                <w:lang w:val="en-GB"/>
              </w:rPr>
            </w:pPr>
            <w:r w:rsidRPr="009C48DA">
              <w:rPr>
                <w:rFonts w:eastAsia="Times New Roman"/>
                <w:color w:val="000000"/>
                <w:sz w:val="16"/>
                <w:lang w:val="en-GB"/>
              </w:rPr>
              <w:t>Lease liabilities</w:t>
            </w:r>
          </w:p>
        </w:tc>
        <w:tc>
          <w:tcPr>
            <w:tcW w:w="1559" w:type="dxa"/>
            <w:tcMar>
              <w:left w:w="108" w:type="dxa"/>
              <w:right w:w="108" w:type="dxa"/>
            </w:tcMar>
            <w:vAlign w:val="bottom"/>
          </w:tcPr>
          <w:p w:rsidRPr="009C48DA" w:rsidR="00661519" w:rsidP="00661519" w:rsidRDefault="00661519" w14:paraId="239FB0C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tcMar>
              <w:left w:w="108" w:type="dxa"/>
              <w:right w:w="108" w:type="dxa"/>
            </w:tcMar>
            <w:vAlign w:val="bottom"/>
          </w:tcPr>
          <w:p w:rsidRPr="009C48DA" w:rsidR="00661519" w:rsidP="00661519" w:rsidRDefault="00661519" w14:paraId="404D6369"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vAlign w:val="bottom"/>
          </w:tcPr>
          <w:p w:rsidRPr="009C48DA" w:rsidR="00661519" w:rsidP="00661519" w:rsidRDefault="00661519" w14:paraId="73EB97EC" w14:textId="77777777">
            <w:pPr>
              <w:ind w:hanging="336"/>
              <w:jc w:val="right"/>
              <w:textAlignment w:val="baseline"/>
              <w:rPr>
                <w:rFonts w:eastAsia="Times New Roman"/>
                <w:color w:val="000000"/>
                <w:sz w:val="16"/>
                <w:lang w:val="en-GB"/>
              </w:rPr>
            </w:pPr>
            <w:r w:rsidRPr="009C48DA">
              <w:rPr>
                <w:rFonts w:eastAsia="Times New Roman"/>
                <w:color w:val="000000"/>
                <w:sz w:val="16"/>
                <w:lang w:val="en-GB"/>
              </w:rPr>
              <w:t>42,002</w:t>
            </w:r>
          </w:p>
        </w:tc>
        <w:tc>
          <w:tcPr>
            <w:tcW w:w="1701" w:type="dxa"/>
            <w:tcMar>
              <w:left w:w="108" w:type="dxa"/>
              <w:right w:w="108" w:type="dxa"/>
            </w:tcMar>
            <w:vAlign w:val="bottom"/>
          </w:tcPr>
          <w:p w:rsidRPr="009C48DA" w:rsidR="00661519" w:rsidP="00661519" w:rsidRDefault="00661519" w14:paraId="30301E57" w14:textId="77777777">
            <w:pPr>
              <w:jc w:val="right"/>
              <w:textAlignment w:val="baseline"/>
              <w:rPr>
                <w:rFonts w:eastAsia="Times New Roman"/>
                <w:color w:val="000000"/>
                <w:sz w:val="16"/>
                <w:lang w:val="en-GB"/>
              </w:rPr>
            </w:pPr>
            <w:r w:rsidRPr="009C48DA">
              <w:rPr>
                <w:rFonts w:eastAsia="Times New Roman"/>
                <w:color w:val="000000"/>
                <w:sz w:val="16"/>
                <w:lang w:val="en-GB"/>
              </w:rPr>
              <w:t>42,002</w:t>
            </w:r>
          </w:p>
        </w:tc>
      </w:tr>
      <w:tr w:rsidRPr="009C48DA" w:rsidR="00661519" w:rsidTr="00661519" w14:paraId="00BA1D65" w14:textId="77777777">
        <w:trPr>
          <w:trHeight w:val="246"/>
        </w:trPr>
        <w:tc>
          <w:tcPr>
            <w:tcW w:w="2977" w:type="dxa"/>
            <w:vAlign w:val="bottom"/>
          </w:tcPr>
          <w:p w:rsidRPr="009C48DA" w:rsidR="00661519" w:rsidP="00661519" w:rsidRDefault="00661519" w14:paraId="05259A21" w14:textId="77777777">
            <w:pPr>
              <w:ind w:left="156"/>
              <w:textAlignment w:val="baseline"/>
              <w:rPr>
                <w:rFonts w:eastAsia="Times New Roman"/>
                <w:color w:val="000000"/>
                <w:sz w:val="16"/>
                <w:lang w:val="en-GB"/>
              </w:rPr>
            </w:pPr>
            <w:r w:rsidRPr="009C48DA">
              <w:rPr>
                <w:rFonts w:eastAsia="Times New Roman"/>
                <w:color w:val="000000"/>
                <w:sz w:val="16"/>
                <w:lang w:val="en-GB"/>
              </w:rPr>
              <w:t>Derivative financial instruments</w:t>
            </w:r>
          </w:p>
        </w:tc>
        <w:tc>
          <w:tcPr>
            <w:tcW w:w="1559" w:type="dxa"/>
            <w:tcMar>
              <w:left w:w="108" w:type="dxa"/>
              <w:right w:w="108" w:type="dxa"/>
            </w:tcMar>
            <w:vAlign w:val="bottom"/>
          </w:tcPr>
          <w:p w:rsidRPr="009C48DA" w:rsidR="00661519" w:rsidP="00661519" w:rsidRDefault="00661519" w14:paraId="0E96A04F"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tcMar>
              <w:left w:w="108" w:type="dxa"/>
              <w:right w:w="108" w:type="dxa"/>
            </w:tcMar>
            <w:vAlign w:val="bottom"/>
          </w:tcPr>
          <w:p w:rsidRPr="009C48DA" w:rsidR="00661519" w:rsidP="00661519" w:rsidRDefault="00661519" w14:paraId="4390B2A4"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4,230</w:t>
            </w:r>
          </w:p>
        </w:tc>
        <w:tc>
          <w:tcPr>
            <w:tcW w:w="1701" w:type="dxa"/>
            <w:vAlign w:val="bottom"/>
          </w:tcPr>
          <w:p w:rsidRPr="009C48DA" w:rsidR="00661519" w:rsidP="00661519" w:rsidRDefault="00661519" w14:paraId="21222368" w14:textId="77777777">
            <w:pPr>
              <w:pBdr>
                <w:bottom w:val="single" w:color="auto" w:sz="12" w:space="1"/>
              </w:pBdr>
              <w:ind w:hanging="336"/>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Mar>
              <w:left w:w="108" w:type="dxa"/>
              <w:right w:w="108" w:type="dxa"/>
            </w:tcMar>
            <w:vAlign w:val="bottom"/>
          </w:tcPr>
          <w:p w:rsidRPr="009C48DA" w:rsidR="00661519" w:rsidP="00661519" w:rsidRDefault="00661519" w14:paraId="35B520DA"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4,230</w:t>
            </w:r>
          </w:p>
        </w:tc>
      </w:tr>
      <w:tr w:rsidRPr="009C48DA" w:rsidR="00661519" w:rsidTr="00661519" w14:paraId="5AB4F5DF" w14:textId="77777777">
        <w:trPr>
          <w:trHeight w:val="270"/>
        </w:trPr>
        <w:tc>
          <w:tcPr>
            <w:tcW w:w="2977" w:type="dxa"/>
            <w:vAlign w:val="bottom"/>
          </w:tcPr>
          <w:p w:rsidRPr="009C48DA" w:rsidR="00661519" w:rsidP="00661519" w:rsidRDefault="00661519" w14:paraId="7F066921" w14:textId="77777777">
            <w:pPr>
              <w:ind w:left="156"/>
              <w:textAlignment w:val="baseline"/>
              <w:rPr>
                <w:rFonts w:eastAsia="Times New Roman"/>
                <w:b/>
                <w:color w:val="000000"/>
                <w:sz w:val="16"/>
                <w:lang w:val="en-GB"/>
              </w:rPr>
            </w:pPr>
            <w:r w:rsidRPr="009C48DA">
              <w:rPr>
                <w:rFonts w:eastAsia="Times New Roman"/>
                <w:b/>
                <w:color w:val="000000"/>
                <w:sz w:val="16"/>
                <w:lang w:val="en-GB"/>
              </w:rPr>
              <w:t>Total financial liabilities</w:t>
            </w:r>
          </w:p>
        </w:tc>
        <w:tc>
          <w:tcPr>
            <w:tcW w:w="1559" w:type="dxa"/>
            <w:tcMar>
              <w:left w:w="108" w:type="dxa"/>
              <w:right w:w="108" w:type="dxa"/>
            </w:tcMar>
            <w:vAlign w:val="bottom"/>
          </w:tcPr>
          <w:p w:rsidRPr="009C48DA" w:rsidR="00661519" w:rsidP="00661519" w:rsidRDefault="00661519" w14:paraId="33FC1518"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309,879</w:t>
            </w:r>
          </w:p>
        </w:tc>
        <w:tc>
          <w:tcPr>
            <w:tcW w:w="1276" w:type="dxa"/>
            <w:tcMar>
              <w:left w:w="108" w:type="dxa"/>
              <w:right w:w="108" w:type="dxa"/>
            </w:tcMar>
            <w:vAlign w:val="bottom"/>
          </w:tcPr>
          <w:p w:rsidRPr="009C48DA" w:rsidR="00661519" w:rsidP="00661519" w:rsidRDefault="00661519" w14:paraId="68C213B5"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4,230</w:t>
            </w:r>
          </w:p>
        </w:tc>
        <w:tc>
          <w:tcPr>
            <w:tcW w:w="1701" w:type="dxa"/>
            <w:vAlign w:val="bottom"/>
          </w:tcPr>
          <w:p w:rsidRPr="009C48DA" w:rsidR="00661519" w:rsidP="00661519" w:rsidRDefault="00661519" w14:paraId="787AE65C" w14:textId="77777777">
            <w:pPr>
              <w:pBdr>
                <w:bottom w:val="double" w:color="auto" w:sz="12" w:space="1"/>
              </w:pBdr>
              <w:ind w:hanging="336"/>
              <w:jc w:val="right"/>
              <w:textAlignment w:val="baseline"/>
              <w:rPr>
                <w:rFonts w:eastAsia="Times New Roman"/>
                <w:color w:val="000000"/>
                <w:sz w:val="16"/>
                <w:lang w:val="en-GB"/>
              </w:rPr>
            </w:pPr>
            <w:r w:rsidRPr="009C48DA">
              <w:rPr>
                <w:rFonts w:eastAsia="Times New Roman"/>
                <w:color w:val="000000"/>
                <w:sz w:val="16"/>
                <w:lang w:val="en-GB"/>
              </w:rPr>
              <w:t>351,934</w:t>
            </w:r>
          </w:p>
        </w:tc>
        <w:tc>
          <w:tcPr>
            <w:tcW w:w="1701" w:type="dxa"/>
            <w:tcMar>
              <w:left w:w="108" w:type="dxa"/>
              <w:right w:w="108" w:type="dxa"/>
            </w:tcMar>
            <w:vAlign w:val="bottom"/>
          </w:tcPr>
          <w:p w:rsidRPr="009C48DA" w:rsidR="00661519" w:rsidP="00661519" w:rsidRDefault="00661519" w14:paraId="1DE44EEF"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666,043</w:t>
            </w:r>
          </w:p>
        </w:tc>
      </w:tr>
    </w:tbl>
    <w:p w:rsidRPr="009C48DA" w:rsidR="00661519" w:rsidP="00661519" w:rsidRDefault="00661519" w14:paraId="6B495E0D" w14:textId="77777777">
      <w:pPr>
        <w:ind w:right="144"/>
        <w:jc w:val="both"/>
        <w:textAlignment w:val="baseline"/>
        <w:rPr>
          <w:rFonts w:eastAsia="Times New Roman"/>
          <w:color w:val="000000"/>
          <w:spacing w:val="1"/>
          <w:sz w:val="16"/>
          <w:lang w:val="en-GB"/>
        </w:rPr>
      </w:pPr>
    </w:p>
    <w:tbl>
      <w:tblPr>
        <w:tblW w:w="9214" w:type="dxa"/>
        <w:tblLayout w:type="fixed"/>
        <w:tblCellMar>
          <w:left w:w="0" w:type="dxa"/>
          <w:right w:w="0" w:type="dxa"/>
        </w:tblCellMar>
        <w:tblLook w:val="0000" w:firstRow="0" w:lastRow="0" w:firstColumn="0" w:lastColumn="0" w:noHBand="0" w:noVBand="0"/>
      </w:tblPr>
      <w:tblGrid>
        <w:gridCol w:w="2977"/>
        <w:gridCol w:w="1559"/>
        <w:gridCol w:w="1276"/>
        <w:gridCol w:w="1701"/>
        <w:gridCol w:w="1701"/>
      </w:tblGrid>
      <w:tr w:rsidRPr="009C48DA" w:rsidR="00661519" w:rsidTr="00661519" w14:paraId="06199400" w14:textId="77777777">
        <w:trPr>
          <w:trHeight w:val="636"/>
        </w:trPr>
        <w:tc>
          <w:tcPr>
            <w:tcW w:w="2977" w:type="dxa"/>
            <w:vAlign w:val="bottom"/>
          </w:tcPr>
          <w:p w:rsidRPr="009C48DA" w:rsidR="00661519" w:rsidP="00661519" w:rsidRDefault="00661519" w14:paraId="78AA0417" w14:textId="77777777">
            <w:pPr>
              <w:textAlignment w:val="baseline"/>
              <w:rPr>
                <w:rFonts w:eastAsia="Times New Roman"/>
                <w:color w:val="000000"/>
                <w:sz w:val="24"/>
                <w:lang w:val="en-GB"/>
              </w:rPr>
            </w:pPr>
            <w:r w:rsidRPr="009C48DA">
              <w:rPr>
                <w:lang w:val="en-GB"/>
              </w:rPr>
              <w:br w:type="page"/>
            </w:r>
          </w:p>
        </w:tc>
        <w:tc>
          <w:tcPr>
            <w:tcW w:w="1559" w:type="dxa"/>
            <w:tcMar>
              <w:left w:w="108" w:type="dxa"/>
              <w:right w:w="108" w:type="dxa"/>
            </w:tcMar>
            <w:vAlign w:val="bottom"/>
          </w:tcPr>
          <w:p w:rsidRPr="009C48DA" w:rsidR="00661519" w:rsidP="00661519" w:rsidRDefault="00661519" w14:paraId="2D6BF1CC" w14:textId="77777777">
            <w:pPr>
              <w:ind w:hanging="110"/>
              <w:jc w:val="center"/>
              <w:textAlignment w:val="baseline"/>
              <w:rPr>
                <w:rFonts w:eastAsia="Times New Roman"/>
                <w:b/>
                <w:color w:val="000000"/>
                <w:sz w:val="16"/>
                <w:lang w:val="en-GB"/>
              </w:rPr>
            </w:pPr>
            <w:r w:rsidRPr="009C48DA">
              <w:rPr>
                <w:rFonts w:eastAsia="Times New Roman"/>
                <w:b/>
                <w:color w:val="000000"/>
                <w:sz w:val="16"/>
                <w:lang w:val="en-GB"/>
              </w:rPr>
              <w:t>Fair value through profit or loss</w:t>
            </w:r>
          </w:p>
        </w:tc>
        <w:tc>
          <w:tcPr>
            <w:tcW w:w="1276" w:type="dxa"/>
            <w:tcMar>
              <w:left w:w="108" w:type="dxa"/>
              <w:right w:w="108" w:type="dxa"/>
            </w:tcMar>
            <w:vAlign w:val="bottom"/>
          </w:tcPr>
          <w:p w:rsidRPr="009C48DA" w:rsidR="00661519" w:rsidP="00661519" w:rsidRDefault="00661519" w14:paraId="2127FA4D" w14:textId="77777777">
            <w:pPr>
              <w:jc w:val="center"/>
              <w:textAlignment w:val="baseline"/>
              <w:rPr>
                <w:rFonts w:eastAsia="Times New Roman"/>
                <w:b/>
                <w:color w:val="000000"/>
                <w:sz w:val="16"/>
                <w:lang w:val="en-GB"/>
              </w:rPr>
            </w:pPr>
            <w:r w:rsidRPr="009C48DA">
              <w:rPr>
                <w:rFonts w:eastAsia="Times New Roman"/>
                <w:b/>
                <w:color w:val="000000"/>
                <w:sz w:val="16"/>
                <w:lang w:val="en-GB"/>
              </w:rPr>
              <w:t>Hedging derivatives</w:t>
            </w:r>
          </w:p>
        </w:tc>
        <w:tc>
          <w:tcPr>
            <w:tcW w:w="1701" w:type="dxa"/>
            <w:vAlign w:val="bottom"/>
          </w:tcPr>
          <w:p w:rsidRPr="009C48DA" w:rsidR="00661519" w:rsidP="00661519" w:rsidRDefault="00661519" w14:paraId="15BA11A0" w14:textId="77777777">
            <w:pPr>
              <w:ind w:left="346" w:right="-278" w:hanging="336"/>
              <w:jc w:val="center"/>
              <w:textAlignment w:val="baseline"/>
              <w:rPr>
                <w:rFonts w:eastAsia="Times New Roman"/>
                <w:b/>
                <w:color w:val="000000"/>
                <w:sz w:val="16"/>
                <w:lang w:val="en-GB"/>
              </w:rPr>
            </w:pPr>
            <w:r w:rsidRPr="009C48DA">
              <w:rPr>
                <w:rFonts w:eastAsia="Times New Roman"/>
                <w:b/>
                <w:color w:val="000000"/>
                <w:sz w:val="16"/>
                <w:lang w:val="en-GB"/>
              </w:rPr>
              <w:t>Financial liabilities at amortised cost</w:t>
            </w:r>
          </w:p>
        </w:tc>
        <w:tc>
          <w:tcPr>
            <w:tcW w:w="1701" w:type="dxa"/>
            <w:tcMar>
              <w:left w:w="108" w:type="dxa"/>
              <w:right w:w="108" w:type="dxa"/>
            </w:tcMar>
            <w:vAlign w:val="bottom"/>
          </w:tcPr>
          <w:p w:rsidRPr="009C48DA" w:rsidR="00661519" w:rsidP="00661519" w:rsidRDefault="00661519" w14:paraId="1E42DCB3" w14:textId="77777777">
            <w:pPr>
              <w:ind w:left="458" w:right="578"/>
              <w:jc w:val="center"/>
              <w:textAlignment w:val="baseline"/>
              <w:rPr>
                <w:rFonts w:eastAsia="Times New Roman"/>
                <w:b/>
                <w:color w:val="000000"/>
                <w:sz w:val="16"/>
                <w:lang w:val="en-GB"/>
              </w:rPr>
            </w:pPr>
            <w:r w:rsidRPr="009C48DA">
              <w:rPr>
                <w:rFonts w:eastAsia="Times New Roman"/>
                <w:b/>
                <w:color w:val="000000"/>
                <w:sz w:val="16"/>
                <w:lang w:val="en-GB"/>
              </w:rPr>
              <w:t>Total</w:t>
            </w:r>
          </w:p>
        </w:tc>
      </w:tr>
      <w:tr w:rsidRPr="009C48DA" w:rsidR="00661519" w:rsidTr="00661519" w14:paraId="23988BE3" w14:textId="77777777">
        <w:trPr>
          <w:trHeight w:val="211"/>
        </w:trPr>
        <w:tc>
          <w:tcPr>
            <w:tcW w:w="2977" w:type="dxa"/>
            <w:vAlign w:val="bottom"/>
          </w:tcPr>
          <w:p w:rsidRPr="009C48DA" w:rsidR="00661519" w:rsidP="00661519" w:rsidRDefault="00661519" w14:paraId="1E4F76BB" w14:textId="77777777">
            <w:pPr>
              <w:ind w:left="156" w:hanging="110"/>
              <w:textAlignment w:val="baseline"/>
              <w:rPr>
                <w:rFonts w:eastAsia="Times New Roman"/>
                <w:b/>
                <w:color w:val="000000"/>
                <w:sz w:val="16"/>
                <w:lang w:val="en-GB"/>
              </w:rPr>
            </w:pPr>
            <w:r w:rsidRPr="009C48DA">
              <w:rPr>
                <w:rFonts w:eastAsia="Times New Roman"/>
                <w:b/>
                <w:color w:val="000000"/>
                <w:sz w:val="16"/>
                <w:lang w:val="en-GB"/>
              </w:rPr>
              <w:t>As at 31 December 2021</w:t>
            </w:r>
          </w:p>
        </w:tc>
        <w:tc>
          <w:tcPr>
            <w:tcW w:w="1559" w:type="dxa"/>
            <w:tcMar>
              <w:left w:w="108" w:type="dxa"/>
              <w:right w:w="108" w:type="dxa"/>
            </w:tcMar>
            <w:vAlign w:val="bottom"/>
          </w:tcPr>
          <w:p w:rsidRPr="009C48DA" w:rsidR="00661519" w:rsidP="00661519" w:rsidRDefault="00661519" w14:paraId="698A9648" w14:textId="77777777">
            <w:pPr>
              <w:ind w:left="-138" w:right="608" w:firstLine="28"/>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276" w:type="dxa"/>
            <w:tcMar>
              <w:left w:w="108" w:type="dxa"/>
              <w:right w:w="108" w:type="dxa"/>
            </w:tcMar>
            <w:vAlign w:val="bottom"/>
          </w:tcPr>
          <w:p w:rsidRPr="009C48DA" w:rsidR="00661519" w:rsidP="00661519" w:rsidRDefault="00661519" w14:paraId="04B44AC3"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701" w:type="dxa"/>
          </w:tcPr>
          <w:p w:rsidRPr="009C48DA" w:rsidR="00661519" w:rsidP="00661519" w:rsidRDefault="00661519" w14:paraId="13A4BEF5" w14:textId="77777777">
            <w:pPr>
              <w:ind w:right="534" w:hanging="336"/>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701" w:type="dxa"/>
            <w:tcMar>
              <w:left w:w="108" w:type="dxa"/>
              <w:right w:w="108" w:type="dxa"/>
            </w:tcMar>
            <w:vAlign w:val="bottom"/>
          </w:tcPr>
          <w:p w:rsidRPr="009C48DA" w:rsidR="00661519" w:rsidP="00661519" w:rsidRDefault="00661519" w14:paraId="323E859C" w14:textId="77777777">
            <w:pPr>
              <w:ind w:right="534"/>
              <w:jc w:val="right"/>
              <w:textAlignment w:val="baseline"/>
              <w:rPr>
                <w:rFonts w:eastAsia="Times New Roman"/>
                <w:b/>
                <w:color w:val="000000"/>
                <w:sz w:val="16"/>
                <w:lang w:val="en-GB"/>
              </w:rPr>
            </w:pPr>
            <w:r w:rsidRPr="009C48DA">
              <w:rPr>
                <w:rFonts w:eastAsia="Times New Roman"/>
                <w:b/>
                <w:color w:val="000000"/>
                <w:sz w:val="16"/>
                <w:lang w:val="en-GB"/>
              </w:rPr>
              <w:t>£ 000</w:t>
            </w:r>
          </w:p>
        </w:tc>
      </w:tr>
      <w:tr w:rsidRPr="009C48DA" w:rsidR="00661519" w:rsidTr="00661519" w14:paraId="5D89D8CF" w14:textId="77777777">
        <w:trPr>
          <w:trHeight w:val="223"/>
        </w:trPr>
        <w:tc>
          <w:tcPr>
            <w:tcW w:w="2977" w:type="dxa"/>
            <w:vAlign w:val="center"/>
          </w:tcPr>
          <w:p w:rsidRPr="009C48DA" w:rsidR="00661519" w:rsidP="00661519" w:rsidRDefault="00661519" w14:paraId="2E3B519E" w14:textId="77777777">
            <w:pPr>
              <w:ind w:left="156" w:hanging="110"/>
              <w:textAlignment w:val="baseline"/>
              <w:rPr>
                <w:rFonts w:eastAsia="Times New Roman"/>
                <w:color w:val="000000"/>
                <w:sz w:val="16"/>
                <w:lang w:val="en-GB"/>
              </w:rPr>
            </w:pPr>
            <w:r w:rsidRPr="009C48DA">
              <w:rPr>
                <w:rFonts w:eastAsia="Times New Roman"/>
                <w:color w:val="000000"/>
                <w:sz w:val="16"/>
                <w:lang w:val="en-GB"/>
              </w:rPr>
              <w:t>Trade and other payables</w:t>
            </w:r>
          </w:p>
        </w:tc>
        <w:tc>
          <w:tcPr>
            <w:tcW w:w="1559" w:type="dxa"/>
            <w:tcMar>
              <w:left w:w="108" w:type="dxa"/>
              <w:right w:w="108" w:type="dxa"/>
            </w:tcMar>
            <w:vAlign w:val="bottom"/>
          </w:tcPr>
          <w:p w:rsidRPr="009C48DA" w:rsidR="00661519" w:rsidP="00661519" w:rsidRDefault="00661519" w14:paraId="34B6DF2F" w14:textId="77777777">
            <w:pPr>
              <w:jc w:val="right"/>
              <w:textAlignment w:val="baseline"/>
              <w:rPr>
                <w:rFonts w:eastAsia="Times New Roman"/>
                <w:color w:val="000000"/>
                <w:sz w:val="16"/>
                <w:lang w:val="en-GB"/>
              </w:rPr>
            </w:pPr>
            <w:r w:rsidRPr="009C48DA">
              <w:rPr>
                <w:rFonts w:eastAsia="Times New Roman"/>
                <w:color w:val="000000"/>
                <w:sz w:val="16"/>
                <w:lang w:val="en-GB"/>
              </w:rPr>
              <w:t>30,423</w:t>
            </w:r>
          </w:p>
        </w:tc>
        <w:tc>
          <w:tcPr>
            <w:tcW w:w="1276" w:type="dxa"/>
            <w:tcMar>
              <w:left w:w="108" w:type="dxa"/>
              <w:right w:w="108" w:type="dxa"/>
            </w:tcMar>
            <w:vAlign w:val="bottom"/>
          </w:tcPr>
          <w:p w:rsidRPr="009C48DA" w:rsidR="00661519" w:rsidP="00661519" w:rsidRDefault="00661519" w14:paraId="669CDE2C"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Pr>
          <w:p w:rsidRPr="009C48DA" w:rsidR="00661519" w:rsidP="00661519" w:rsidRDefault="00661519" w14:paraId="2B041E7E" w14:textId="77777777">
            <w:pPr>
              <w:jc w:val="right"/>
              <w:textAlignment w:val="baseline"/>
              <w:rPr>
                <w:rFonts w:eastAsia="Times New Roman"/>
                <w:color w:val="000000"/>
                <w:sz w:val="16"/>
                <w:lang w:val="en-GB"/>
              </w:rPr>
            </w:pPr>
            <w:r w:rsidRPr="009C48DA">
              <w:rPr>
                <w:rFonts w:eastAsia="Times New Roman"/>
                <w:color w:val="000000"/>
                <w:sz w:val="16"/>
                <w:lang w:val="en-GB"/>
              </w:rPr>
              <w:t>72,861</w:t>
            </w:r>
          </w:p>
        </w:tc>
        <w:tc>
          <w:tcPr>
            <w:tcW w:w="1701" w:type="dxa"/>
            <w:tcMar>
              <w:left w:w="108" w:type="dxa"/>
              <w:right w:w="108" w:type="dxa"/>
            </w:tcMar>
          </w:tcPr>
          <w:p w:rsidRPr="009C48DA" w:rsidR="00661519" w:rsidP="00661519" w:rsidRDefault="00661519" w14:paraId="58129FD0" w14:textId="77777777">
            <w:pPr>
              <w:jc w:val="right"/>
              <w:textAlignment w:val="baseline"/>
              <w:rPr>
                <w:rFonts w:eastAsia="Times New Roman"/>
                <w:color w:val="000000"/>
                <w:sz w:val="16"/>
                <w:lang w:val="en-GB"/>
              </w:rPr>
            </w:pPr>
            <w:r w:rsidRPr="009C48DA">
              <w:rPr>
                <w:rFonts w:eastAsia="Times New Roman"/>
                <w:color w:val="000000"/>
                <w:sz w:val="16"/>
                <w:lang w:val="en-GB"/>
              </w:rPr>
              <w:t>103,284</w:t>
            </w:r>
          </w:p>
        </w:tc>
      </w:tr>
      <w:tr w:rsidRPr="009C48DA" w:rsidR="00661519" w:rsidTr="00661519" w14:paraId="3D5EAC22" w14:textId="77777777">
        <w:trPr>
          <w:trHeight w:val="211"/>
        </w:trPr>
        <w:tc>
          <w:tcPr>
            <w:tcW w:w="2977" w:type="dxa"/>
            <w:vAlign w:val="center"/>
          </w:tcPr>
          <w:p w:rsidRPr="009C48DA" w:rsidR="00661519" w:rsidP="00661519" w:rsidRDefault="00661519" w14:paraId="0C4F6CC5" w14:textId="77777777">
            <w:pPr>
              <w:ind w:left="156" w:hanging="110"/>
              <w:textAlignment w:val="baseline"/>
              <w:rPr>
                <w:rFonts w:eastAsia="Times New Roman"/>
                <w:color w:val="000000"/>
                <w:sz w:val="16"/>
                <w:lang w:val="en-GB"/>
              </w:rPr>
            </w:pPr>
            <w:r w:rsidRPr="009C48DA">
              <w:rPr>
                <w:rFonts w:eastAsia="Times New Roman"/>
                <w:color w:val="000000"/>
                <w:sz w:val="16"/>
                <w:lang w:val="en-GB"/>
              </w:rPr>
              <w:t xml:space="preserve">Borrowings </w:t>
            </w:r>
          </w:p>
        </w:tc>
        <w:tc>
          <w:tcPr>
            <w:tcW w:w="1559" w:type="dxa"/>
            <w:tcMar>
              <w:left w:w="108" w:type="dxa"/>
              <w:right w:w="108" w:type="dxa"/>
            </w:tcMar>
            <w:vAlign w:val="bottom"/>
          </w:tcPr>
          <w:p w:rsidRPr="009C48DA" w:rsidR="00661519" w:rsidP="00661519" w:rsidRDefault="00661519" w14:paraId="5E0C86CC"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tcMar>
              <w:left w:w="108" w:type="dxa"/>
              <w:right w:w="108" w:type="dxa"/>
            </w:tcMar>
            <w:vAlign w:val="bottom"/>
          </w:tcPr>
          <w:p w:rsidRPr="009C48DA" w:rsidR="00661519" w:rsidP="00661519" w:rsidRDefault="00661519" w14:paraId="219C3A05"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Pr>
          <w:p w:rsidRPr="009C48DA" w:rsidR="00661519" w:rsidP="00661519" w:rsidRDefault="00661519" w14:paraId="016A999A" w14:textId="77777777">
            <w:pPr>
              <w:jc w:val="right"/>
              <w:textAlignment w:val="baseline"/>
              <w:rPr>
                <w:rFonts w:eastAsia="Times New Roman"/>
                <w:color w:val="000000"/>
                <w:sz w:val="16"/>
                <w:lang w:val="en-GB"/>
              </w:rPr>
            </w:pPr>
            <w:r w:rsidRPr="009C48DA">
              <w:rPr>
                <w:rFonts w:eastAsia="Times New Roman"/>
                <w:color w:val="000000"/>
                <w:sz w:val="16"/>
                <w:lang w:val="en-GB"/>
              </w:rPr>
              <w:t>87,493</w:t>
            </w:r>
          </w:p>
        </w:tc>
        <w:tc>
          <w:tcPr>
            <w:tcW w:w="1701" w:type="dxa"/>
            <w:tcMar>
              <w:left w:w="108" w:type="dxa"/>
              <w:right w:w="108" w:type="dxa"/>
            </w:tcMar>
          </w:tcPr>
          <w:p w:rsidRPr="009C48DA" w:rsidR="00661519" w:rsidP="00661519" w:rsidRDefault="00661519" w14:paraId="71935CDE" w14:textId="77777777">
            <w:pPr>
              <w:jc w:val="right"/>
              <w:textAlignment w:val="baseline"/>
              <w:rPr>
                <w:rFonts w:eastAsia="Times New Roman"/>
                <w:color w:val="000000"/>
                <w:sz w:val="16"/>
                <w:lang w:val="en-GB"/>
              </w:rPr>
            </w:pPr>
            <w:r w:rsidRPr="009C48DA">
              <w:rPr>
                <w:rFonts w:eastAsia="Times New Roman"/>
                <w:color w:val="000000"/>
                <w:sz w:val="16"/>
                <w:lang w:val="en-GB"/>
              </w:rPr>
              <w:t>87,493</w:t>
            </w:r>
          </w:p>
        </w:tc>
      </w:tr>
      <w:tr w:rsidRPr="009C48DA" w:rsidR="00661519" w:rsidTr="00661519" w14:paraId="78277189" w14:textId="77777777">
        <w:trPr>
          <w:trHeight w:val="211"/>
        </w:trPr>
        <w:tc>
          <w:tcPr>
            <w:tcW w:w="2977" w:type="dxa"/>
            <w:vAlign w:val="center"/>
          </w:tcPr>
          <w:p w:rsidRPr="009C48DA" w:rsidR="00661519" w:rsidP="00661519" w:rsidRDefault="00661519" w14:paraId="73FE608D" w14:textId="77777777">
            <w:pPr>
              <w:ind w:left="156" w:hanging="110"/>
              <w:textAlignment w:val="baseline"/>
              <w:rPr>
                <w:rFonts w:eastAsia="Times New Roman"/>
                <w:color w:val="000000"/>
                <w:sz w:val="16"/>
                <w:lang w:val="en-GB"/>
              </w:rPr>
            </w:pPr>
            <w:r w:rsidRPr="009C48DA">
              <w:rPr>
                <w:rFonts w:eastAsia="Times New Roman"/>
                <w:color w:val="000000"/>
                <w:sz w:val="16"/>
                <w:lang w:val="en-GB"/>
              </w:rPr>
              <w:t>Fair value of CLO liabilities</w:t>
            </w:r>
          </w:p>
        </w:tc>
        <w:tc>
          <w:tcPr>
            <w:tcW w:w="1559" w:type="dxa"/>
            <w:tcMar>
              <w:left w:w="108" w:type="dxa"/>
              <w:right w:w="108" w:type="dxa"/>
            </w:tcMar>
            <w:vAlign w:val="bottom"/>
          </w:tcPr>
          <w:p w:rsidRPr="009C48DA" w:rsidR="00661519" w:rsidP="00661519" w:rsidRDefault="00661519" w14:paraId="00CAF704" w14:textId="77777777">
            <w:pPr>
              <w:jc w:val="right"/>
              <w:textAlignment w:val="baseline"/>
              <w:rPr>
                <w:rFonts w:eastAsia="Times New Roman"/>
                <w:color w:val="000000"/>
                <w:sz w:val="16"/>
                <w:lang w:val="en-GB"/>
              </w:rPr>
            </w:pPr>
            <w:r w:rsidRPr="009C48DA">
              <w:rPr>
                <w:rFonts w:eastAsia="Times New Roman"/>
                <w:color w:val="000000"/>
                <w:sz w:val="16"/>
                <w:lang w:val="en-GB"/>
              </w:rPr>
              <w:t>295,058</w:t>
            </w:r>
          </w:p>
        </w:tc>
        <w:tc>
          <w:tcPr>
            <w:tcW w:w="1276" w:type="dxa"/>
            <w:tcMar>
              <w:left w:w="108" w:type="dxa"/>
              <w:right w:w="108" w:type="dxa"/>
            </w:tcMar>
            <w:vAlign w:val="bottom"/>
          </w:tcPr>
          <w:p w:rsidRPr="009C48DA" w:rsidR="00661519" w:rsidP="00661519" w:rsidRDefault="00661519" w14:paraId="0572F640"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Pr>
          <w:p w:rsidRPr="009C48DA" w:rsidR="00661519" w:rsidP="00661519" w:rsidRDefault="00661519" w14:paraId="265DA5A8"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Mar>
              <w:left w:w="108" w:type="dxa"/>
              <w:right w:w="108" w:type="dxa"/>
            </w:tcMar>
          </w:tcPr>
          <w:p w:rsidRPr="009C48DA" w:rsidR="00661519" w:rsidP="00661519" w:rsidRDefault="00661519" w14:paraId="71A8EA0A" w14:textId="77777777">
            <w:pPr>
              <w:jc w:val="right"/>
              <w:textAlignment w:val="baseline"/>
              <w:rPr>
                <w:rFonts w:eastAsia="Times New Roman"/>
                <w:color w:val="000000"/>
                <w:sz w:val="16"/>
                <w:lang w:val="en-GB"/>
              </w:rPr>
            </w:pPr>
            <w:r w:rsidRPr="009C48DA">
              <w:rPr>
                <w:rFonts w:eastAsia="Times New Roman"/>
                <w:color w:val="000000"/>
                <w:sz w:val="16"/>
                <w:lang w:val="en-GB"/>
              </w:rPr>
              <w:t>295,058</w:t>
            </w:r>
          </w:p>
        </w:tc>
      </w:tr>
      <w:tr w:rsidRPr="009C48DA" w:rsidR="00661519" w:rsidTr="00661519" w14:paraId="160D4D60" w14:textId="77777777">
        <w:trPr>
          <w:trHeight w:val="211"/>
        </w:trPr>
        <w:tc>
          <w:tcPr>
            <w:tcW w:w="2977" w:type="dxa"/>
            <w:vAlign w:val="center"/>
          </w:tcPr>
          <w:p w:rsidRPr="009C48DA" w:rsidR="00661519" w:rsidP="00661519" w:rsidRDefault="00661519" w14:paraId="1C3B8C95" w14:textId="77777777">
            <w:pPr>
              <w:ind w:left="156" w:hanging="110"/>
              <w:textAlignment w:val="baseline"/>
              <w:rPr>
                <w:rFonts w:eastAsia="Times New Roman"/>
                <w:color w:val="000000"/>
                <w:sz w:val="16"/>
                <w:lang w:val="en-GB"/>
              </w:rPr>
            </w:pPr>
            <w:r w:rsidRPr="009C48DA">
              <w:rPr>
                <w:rFonts w:eastAsia="Times New Roman"/>
                <w:color w:val="000000"/>
                <w:sz w:val="16"/>
                <w:lang w:val="en-GB"/>
              </w:rPr>
              <w:t>CLO purchases awaiting settlement</w:t>
            </w:r>
          </w:p>
        </w:tc>
        <w:tc>
          <w:tcPr>
            <w:tcW w:w="1559" w:type="dxa"/>
            <w:tcMar>
              <w:left w:w="108" w:type="dxa"/>
              <w:right w:w="108" w:type="dxa"/>
            </w:tcMar>
            <w:vAlign w:val="bottom"/>
          </w:tcPr>
          <w:p w:rsidRPr="009C48DA" w:rsidR="00661519" w:rsidP="00661519" w:rsidRDefault="00661519" w14:paraId="338CF4B0"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tcMar>
              <w:left w:w="108" w:type="dxa"/>
              <w:right w:w="108" w:type="dxa"/>
            </w:tcMar>
            <w:vAlign w:val="bottom"/>
          </w:tcPr>
          <w:p w:rsidRPr="009C48DA" w:rsidR="00661519" w:rsidP="00661519" w:rsidRDefault="00661519" w14:paraId="4193E57F"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Pr>
          <w:p w:rsidRPr="009C48DA" w:rsidR="00661519" w:rsidP="00661519" w:rsidRDefault="00661519" w14:paraId="61D7FFA4" w14:textId="77777777">
            <w:pPr>
              <w:jc w:val="right"/>
              <w:textAlignment w:val="baseline"/>
              <w:rPr>
                <w:rFonts w:eastAsia="Times New Roman"/>
                <w:color w:val="000000"/>
                <w:sz w:val="16"/>
                <w:lang w:val="en-GB"/>
              </w:rPr>
            </w:pPr>
            <w:r w:rsidRPr="009C48DA">
              <w:rPr>
                <w:rFonts w:eastAsia="Times New Roman"/>
                <w:color w:val="000000"/>
                <w:sz w:val="16"/>
                <w:lang w:val="en-GB"/>
              </w:rPr>
              <w:t>124,489</w:t>
            </w:r>
          </w:p>
        </w:tc>
        <w:tc>
          <w:tcPr>
            <w:tcW w:w="1701" w:type="dxa"/>
            <w:tcMar>
              <w:left w:w="108" w:type="dxa"/>
              <w:right w:w="108" w:type="dxa"/>
            </w:tcMar>
          </w:tcPr>
          <w:p w:rsidRPr="009C48DA" w:rsidR="00661519" w:rsidP="00661519" w:rsidRDefault="00661519" w14:paraId="367733DC" w14:textId="77777777">
            <w:pPr>
              <w:jc w:val="right"/>
              <w:textAlignment w:val="baseline"/>
              <w:rPr>
                <w:rFonts w:eastAsia="Times New Roman"/>
                <w:color w:val="000000"/>
                <w:sz w:val="16"/>
                <w:lang w:val="en-GB"/>
              </w:rPr>
            </w:pPr>
            <w:r w:rsidRPr="009C48DA">
              <w:rPr>
                <w:rFonts w:eastAsia="Times New Roman"/>
                <w:color w:val="000000"/>
                <w:sz w:val="16"/>
                <w:lang w:val="en-GB"/>
              </w:rPr>
              <w:t>124,489</w:t>
            </w:r>
          </w:p>
        </w:tc>
      </w:tr>
      <w:tr w:rsidRPr="009C48DA" w:rsidR="00661519" w:rsidTr="00661519" w14:paraId="183C0BD0" w14:textId="77777777">
        <w:trPr>
          <w:trHeight w:val="211"/>
        </w:trPr>
        <w:tc>
          <w:tcPr>
            <w:tcW w:w="2977" w:type="dxa"/>
            <w:vAlign w:val="center"/>
          </w:tcPr>
          <w:p w:rsidRPr="009C48DA" w:rsidR="00661519" w:rsidP="00661519" w:rsidRDefault="00661519" w14:paraId="175E162C" w14:textId="77777777">
            <w:pPr>
              <w:ind w:left="156" w:hanging="110"/>
              <w:textAlignment w:val="baseline"/>
              <w:rPr>
                <w:rFonts w:eastAsia="Times New Roman"/>
                <w:color w:val="000000"/>
                <w:sz w:val="16"/>
                <w:lang w:val="en-GB"/>
              </w:rPr>
            </w:pPr>
            <w:r w:rsidRPr="009C48DA">
              <w:rPr>
                <w:rFonts w:eastAsia="Times New Roman"/>
                <w:color w:val="000000"/>
                <w:sz w:val="16"/>
                <w:lang w:val="en-GB"/>
              </w:rPr>
              <w:t>Other financial liabilities</w:t>
            </w:r>
          </w:p>
        </w:tc>
        <w:tc>
          <w:tcPr>
            <w:tcW w:w="1559" w:type="dxa"/>
            <w:tcMar>
              <w:left w:w="108" w:type="dxa"/>
              <w:right w:w="108" w:type="dxa"/>
            </w:tcMar>
            <w:vAlign w:val="bottom"/>
          </w:tcPr>
          <w:p w:rsidRPr="009C48DA" w:rsidR="00661519" w:rsidP="00661519" w:rsidRDefault="00661519" w14:paraId="0F85559A" w14:textId="77777777">
            <w:pPr>
              <w:jc w:val="right"/>
              <w:textAlignment w:val="baseline"/>
              <w:rPr>
                <w:rFonts w:eastAsia="Times New Roman"/>
                <w:color w:val="000000"/>
                <w:sz w:val="16"/>
                <w:lang w:val="en-GB"/>
              </w:rPr>
            </w:pPr>
            <w:r w:rsidRPr="009C48DA">
              <w:rPr>
                <w:rFonts w:eastAsia="Times New Roman"/>
                <w:color w:val="000000"/>
                <w:sz w:val="16"/>
                <w:lang w:val="en-GB"/>
              </w:rPr>
              <w:t>5,762</w:t>
            </w:r>
          </w:p>
        </w:tc>
        <w:tc>
          <w:tcPr>
            <w:tcW w:w="1276" w:type="dxa"/>
            <w:tcMar>
              <w:left w:w="108" w:type="dxa"/>
              <w:right w:w="108" w:type="dxa"/>
            </w:tcMar>
            <w:vAlign w:val="bottom"/>
          </w:tcPr>
          <w:p w:rsidRPr="009C48DA" w:rsidR="00661519" w:rsidP="00661519" w:rsidRDefault="00661519" w14:paraId="0931B098"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Pr>
          <w:p w:rsidRPr="009C48DA" w:rsidR="00661519" w:rsidP="00661519" w:rsidRDefault="00661519" w14:paraId="52505ACF"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Mar>
              <w:left w:w="108" w:type="dxa"/>
              <w:right w:w="108" w:type="dxa"/>
            </w:tcMar>
          </w:tcPr>
          <w:p w:rsidRPr="009C48DA" w:rsidR="00661519" w:rsidP="00661519" w:rsidRDefault="00661519" w14:paraId="6FB89BC0" w14:textId="77777777">
            <w:pPr>
              <w:jc w:val="right"/>
              <w:textAlignment w:val="baseline"/>
              <w:rPr>
                <w:rFonts w:eastAsia="Times New Roman"/>
                <w:color w:val="000000"/>
                <w:sz w:val="16"/>
                <w:lang w:val="en-GB"/>
              </w:rPr>
            </w:pPr>
            <w:r w:rsidRPr="009C48DA">
              <w:rPr>
                <w:rFonts w:eastAsia="Times New Roman"/>
                <w:color w:val="000000"/>
                <w:sz w:val="16"/>
                <w:lang w:val="en-GB"/>
              </w:rPr>
              <w:t>5,762</w:t>
            </w:r>
          </w:p>
        </w:tc>
      </w:tr>
      <w:tr w:rsidRPr="009C48DA" w:rsidR="00661519" w:rsidTr="00661519" w14:paraId="4DFE0423" w14:textId="77777777">
        <w:trPr>
          <w:trHeight w:val="211"/>
        </w:trPr>
        <w:tc>
          <w:tcPr>
            <w:tcW w:w="2977" w:type="dxa"/>
            <w:vAlign w:val="center"/>
          </w:tcPr>
          <w:p w:rsidRPr="009C48DA" w:rsidR="00661519" w:rsidP="00661519" w:rsidRDefault="00661519" w14:paraId="529DF62A" w14:textId="77777777">
            <w:pPr>
              <w:ind w:left="156" w:hanging="110"/>
              <w:textAlignment w:val="baseline"/>
              <w:rPr>
                <w:rFonts w:eastAsia="Times New Roman"/>
                <w:color w:val="000000"/>
                <w:sz w:val="16"/>
                <w:lang w:val="en-GB"/>
              </w:rPr>
            </w:pPr>
            <w:r w:rsidRPr="009C48DA">
              <w:rPr>
                <w:rFonts w:eastAsia="Times New Roman"/>
                <w:color w:val="000000"/>
                <w:sz w:val="16"/>
                <w:lang w:val="en-GB"/>
              </w:rPr>
              <w:t>Lease liabilities</w:t>
            </w:r>
          </w:p>
        </w:tc>
        <w:tc>
          <w:tcPr>
            <w:tcW w:w="1559" w:type="dxa"/>
            <w:tcMar>
              <w:left w:w="108" w:type="dxa"/>
              <w:right w:w="108" w:type="dxa"/>
            </w:tcMar>
            <w:vAlign w:val="bottom"/>
          </w:tcPr>
          <w:p w:rsidRPr="009C48DA" w:rsidR="00661519" w:rsidP="00661519" w:rsidRDefault="00661519" w14:paraId="10F98DAA"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tcMar>
              <w:left w:w="108" w:type="dxa"/>
              <w:right w:w="108" w:type="dxa"/>
            </w:tcMar>
            <w:vAlign w:val="bottom"/>
          </w:tcPr>
          <w:p w:rsidRPr="009C48DA" w:rsidR="00661519" w:rsidP="00661519" w:rsidRDefault="00661519" w14:paraId="50BC7585"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Pr>
          <w:p w:rsidRPr="009C48DA" w:rsidR="00661519" w:rsidP="00661519" w:rsidRDefault="00661519" w14:paraId="68F54316" w14:textId="77777777">
            <w:pPr>
              <w:jc w:val="right"/>
              <w:textAlignment w:val="baseline"/>
              <w:rPr>
                <w:rFonts w:eastAsia="Times New Roman"/>
                <w:color w:val="000000"/>
                <w:sz w:val="16"/>
                <w:lang w:val="en-GB"/>
              </w:rPr>
            </w:pPr>
            <w:r w:rsidRPr="009C48DA">
              <w:rPr>
                <w:rFonts w:eastAsia="Times New Roman"/>
                <w:color w:val="000000"/>
                <w:sz w:val="16"/>
                <w:lang w:val="en-GB"/>
              </w:rPr>
              <w:t>41,868</w:t>
            </w:r>
          </w:p>
        </w:tc>
        <w:tc>
          <w:tcPr>
            <w:tcW w:w="1701" w:type="dxa"/>
            <w:tcMar>
              <w:left w:w="108" w:type="dxa"/>
              <w:right w:w="108" w:type="dxa"/>
            </w:tcMar>
          </w:tcPr>
          <w:p w:rsidRPr="009C48DA" w:rsidR="00661519" w:rsidP="00661519" w:rsidRDefault="00661519" w14:paraId="241B7FAE" w14:textId="77777777">
            <w:pPr>
              <w:jc w:val="right"/>
              <w:textAlignment w:val="baseline"/>
              <w:rPr>
                <w:rFonts w:eastAsia="Times New Roman"/>
                <w:color w:val="000000"/>
                <w:sz w:val="16"/>
                <w:lang w:val="en-GB"/>
              </w:rPr>
            </w:pPr>
            <w:r w:rsidRPr="009C48DA">
              <w:rPr>
                <w:rFonts w:eastAsia="Times New Roman"/>
                <w:color w:val="000000"/>
                <w:sz w:val="16"/>
                <w:lang w:val="en-GB"/>
              </w:rPr>
              <w:t>41,868</w:t>
            </w:r>
          </w:p>
        </w:tc>
      </w:tr>
      <w:tr w:rsidRPr="009C48DA" w:rsidR="00661519" w:rsidTr="00661519" w14:paraId="778AD0F4" w14:textId="77777777">
        <w:trPr>
          <w:trHeight w:val="249"/>
        </w:trPr>
        <w:tc>
          <w:tcPr>
            <w:tcW w:w="2977" w:type="dxa"/>
            <w:vAlign w:val="bottom"/>
          </w:tcPr>
          <w:p w:rsidRPr="009C48DA" w:rsidR="00661519" w:rsidP="00661519" w:rsidRDefault="00661519" w14:paraId="24F188F6" w14:textId="77777777">
            <w:pPr>
              <w:ind w:left="156" w:hanging="110"/>
              <w:textAlignment w:val="baseline"/>
              <w:rPr>
                <w:rFonts w:eastAsia="Times New Roman"/>
                <w:color w:val="000000"/>
                <w:sz w:val="16"/>
                <w:lang w:val="en-GB"/>
              </w:rPr>
            </w:pPr>
            <w:r w:rsidRPr="009C48DA">
              <w:rPr>
                <w:rFonts w:eastAsia="Times New Roman"/>
                <w:color w:val="000000"/>
                <w:sz w:val="16"/>
                <w:lang w:val="en-GB"/>
              </w:rPr>
              <w:t>Derivative financial instruments</w:t>
            </w:r>
          </w:p>
        </w:tc>
        <w:tc>
          <w:tcPr>
            <w:tcW w:w="1559" w:type="dxa"/>
            <w:tcMar>
              <w:left w:w="108" w:type="dxa"/>
              <w:right w:w="108" w:type="dxa"/>
            </w:tcMar>
            <w:vAlign w:val="bottom"/>
          </w:tcPr>
          <w:p w:rsidRPr="009C48DA" w:rsidR="00661519" w:rsidP="00661519" w:rsidRDefault="00661519" w14:paraId="611FFB77"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tcMar>
              <w:left w:w="108" w:type="dxa"/>
              <w:right w:w="108" w:type="dxa"/>
            </w:tcMar>
            <w:vAlign w:val="bottom"/>
          </w:tcPr>
          <w:p w:rsidRPr="009C48DA" w:rsidR="00661519" w:rsidP="00661519" w:rsidRDefault="00661519" w14:paraId="22FEE39E"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vAlign w:val="center"/>
          </w:tcPr>
          <w:p w:rsidRPr="009C48DA" w:rsidR="00661519" w:rsidP="00661519" w:rsidRDefault="00661519" w14:paraId="276EE0A5"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tcMar>
              <w:left w:w="108" w:type="dxa"/>
              <w:right w:w="108" w:type="dxa"/>
            </w:tcMar>
            <w:vAlign w:val="center"/>
          </w:tcPr>
          <w:p w:rsidRPr="009C48DA" w:rsidR="00661519" w:rsidP="00661519" w:rsidRDefault="00661519" w14:paraId="63ACCEEA"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16DE45F6" w14:textId="77777777">
        <w:trPr>
          <w:trHeight w:val="112"/>
        </w:trPr>
        <w:tc>
          <w:tcPr>
            <w:tcW w:w="2977" w:type="dxa"/>
            <w:vAlign w:val="bottom"/>
          </w:tcPr>
          <w:p w:rsidRPr="009C48DA" w:rsidR="00661519" w:rsidP="00661519" w:rsidRDefault="00661519" w14:paraId="237F1AB3" w14:textId="77777777">
            <w:pPr>
              <w:ind w:left="156" w:hanging="110"/>
              <w:textAlignment w:val="baseline"/>
              <w:rPr>
                <w:rFonts w:eastAsia="Times New Roman"/>
                <w:b/>
                <w:color w:val="000000"/>
                <w:sz w:val="16"/>
                <w:lang w:val="en-GB"/>
              </w:rPr>
            </w:pPr>
            <w:r w:rsidRPr="009C48DA">
              <w:rPr>
                <w:rFonts w:eastAsia="Times New Roman"/>
                <w:b/>
                <w:color w:val="000000"/>
                <w:sz w:val="16"/>
                <w:lang w:val="en-GB"/>
              </w:rPr>
              <w:t>Total financial liabilities</w:t>
            </w:r>
          </w:p>
        </w:tc>
        <w:tc>
          <w:tcPr>
            <w:tcW w:w="1559" w:type="dxa"/>
            <w:tcMar>
              <w:left w:w="108" w:type="dxa"/>
              <w:right w:w="108" w:type="dxa"/>
            </w:tcMar>
            <w:vAlign w:val="bottom"/>
          </w:tcPr>
          <w:p w:rsidRPr="009C48DA" w:rsidR="00661519" w:rsidP="00661519" w:rsidRDefault="00661519" w14:paraId="5E301AD2"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331,243</w:t>
            </w:r>
          </w:p>
        </w:tc>
        <w:tc>
          <w:tcPr>
            <w:tcW w:w="1276" w:type="dxa"/>
            <w:tcMar>
              <w:left w:w="108" w:type="dxa"/>
              <w:right w:w="108" w:type="dxa"/>
            </w:tcMar>
            <w:vAlign w:val="bottom"/>
          </w:tcPr>
          <w:p w:rsidRPr="009C48DA" w:rsidR="00661519" w:rsidP="00661519" w:rsidRDefault="00661519" w14:paraId="7681C34D"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701" w:type="dxa"/>
            <w:vAlign w:val="bottom"/>
          </w:tcPr>
          <w:p w:rsidRPr="009C48DA" w:rsidR="00661519" w:rsidP="00661519" w:rsidRDefault="00661519" w14:paraId="6B2E5915"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326,711</w:t>
            </w:r>
          </w:p>
        </w:tc>
        <w:tc>
          <w:tcPr>
            <w:tcW w:w="1701" w:type="dxa"/>
            <w:tcMar>
              <w:left w:w="108" w:type="dxa"/>
              <w:right w:w="108" w:type="dxa"/>
            </w:tcMar>
            <w:vAlign w:val="bottom"/>
          </w:tcPr>
          <w:p w:rsidRPr="009C48DA" w:rsidR="00661519" w:rsidP="00661519" w:rsidRDefault="00661519" w14:paraId="6C1C5B0F"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657,954</w:t>
            </w:r>
          </w:p>
        </w:tc>
      </w:tr>
    </w:tbl>
    <w:p w:rsidRPr="009C48DA" w:rsidR="00661519" w:rsidP="00661519" w:rsidRDefault="00661519" w14:paraId="682EBD6A" w14:textId="77777777">
      <w:pPr>
        <w:ind w:right="144"/>
        <w:jc w:val="both"/>
        <w:textAlignment w:val="baseline"/>
        <w:rPr>
          <w:rFonts w:eastAsia="Times New Roman"/>
          <w:color w:val="000000"/>
          <w:spacing w:val="1"/>
          <w:sz w:val="16"/>
          <w:lang w:val="en-GB"/>
        </w:rPr>
      </w:pPr>
    </w:p>
    <w:p w:rsidRPr="009C48DA" w:rsidR="00661519" w:rsidP="00661519" w:rsidRDefault="00661519" w14:paraId="64257D8C" w14:textId="77777777">
      <w:pPr>
        <w:rPr>
          <w:rFonts w:eastAsia="Times New Roman"/>
          <w:color w:val="000000"/>
          <w:spacing w:val="1"/>
          <w:sz w:val="16"/>
          <w:lang w:val="en-GB"/>
        </w:rPr>
      </w:pPr>
    </w:p>
    <w:p w:rsidRPr="009C48DA" w:rsidR="00661519" w:rsidP="00661519" w:rsidRDefault="00661519" w14:paraId="0D4E4F3C"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(b)</w:t>
      </w:r>
      <w:r w:rsidRPr="009C48DA">
        <w:rPr>
          <w:rFonts w:eastAsia="Times New Roman" w:cs="Times New Roman"/>
          <w:b/>
          <w:color w:val="000000"/>
          <w:sz w:val="16"/>
          <w:szCs w:val="16"/>
          <w:lang w:val="en-GB"/>
        </w:rPr>
        <w:tab/>
        <w:t>Trade and other payables</w:t>
      </w:r>
    </w:p>
    <w:p w:rsidRPr="009C48DA" w:rsidR="00661519" w:rsidP="00661519" w:rsidRDefault="00661519" w14:paraId="10426F71" w14:textId="77777777">
      <w:pPr>
        <w:textAlignment w:val="baseline"/>
        <w:rPr>
          <w:rFonts w:eastAsia="Times New Roman" w:cs="Times New Roman"/>
          <w:b/>
          <w:color w:val="000000"/>
          <w:sz w:val="16"/>
          <w:szCs w:val="16"/>
          <w:lang w:val="en-GB"/>
        </w:rPr>
      </w:pPr>
    </w:p>
    <w:tbl>
      <w:tblPr>
        <w:tblStyle w:val="TableGrid30"/>
        <w:tblW w:w="92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48"/>
        <w:gridCol w:w="1311"/>
        <w:gridCol w:w="1312"/>
        <w:gridCol w:w="1313"/>
        <w:gridCol w:w="1312"/>
      </w:tblGrid>
      <w:tr w:rsidRPr="009C48DA" w:rsidR="00661519" w:rsidTr="00661519" w14:paraId="343DAFE7" w14:textId="77777777">
        <w:trPr>
          <w:trHeight w:val="264"/>
        </w:trPr>
        <w:tc>
          <w:tcPr>
            <w:tcW w:w="4048" w:type="dxa"/>
            <w:vAlign w:val="bottom"/>
          </w:tcPr>
          <w:p w:rsidRPr="009C48DA" w:rsidR="00661519" w:rsidP="00661519" w:rsidRDefault="00661519" w14:paraId="5FB9EFD5" w14:textId="77777777">
            <w:pPr>
              <w:jc w:val="both"/>
              <w:textAlignment w:val="baseline"/>
              <w:rPr>
                <w:rFonts w:eastAsia="Times New Roman"/>
                <w:b/>
                <w:color w:val="000000"/>
                <w:sz w:val="16"/>
                <w:szCs w:val="16"/>
                <w:lang w:val="en-GB"/>
              </w:rPr>
            </w:pPr>
          </w:p>
        </w:tc>
        <w:tc>
          <w:tcPr>
            <w:tcW w:w="3936" w:type="dxa"/>
            <w:gridSpan w:val="3"/>
            <w:vAlign w:val="bottom"/>
          </w:tcPr>
          <w:p w:rsidRPr="009C48DA" w:rsidR="00661519" w:rsidP="00661519" w:rsidRDefault="00661519" w14:paraId="7B32978A"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December</w:t>
            </w:r>
          </w:p>
        </w:tc>
        <w:tc>
          <w:tcPr>
            <w:tcW w:w="1312" w:type="dxa"/>
            <w:vAlign w:val="bottom"/>
          </w:tcPr>
          <w:p w:rsidRPr="009C48DA" w:rsidR="00661519" w:rsidP="00661519" w:rsidRDefault="00661519" w14:paraId="5EEC8F2E"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0E552251" w14:textId="77777777">
        <w:trPr>
          <w:trHeight w:val="461"/>
        </w:trPr>
        <w:tc>
          <w:tcPr>
            <w:tcW w:w="4048" w:type="dxa"/>
            <w:vAlign w:val="bottom"/>
          </w:tcPr>
          <w:p w:rsidRPr="009C48DA" w:rsidR="00661519" w:rsidP="00661519" w:rsidRDefault="00661519" w14:paraId="3D9202BD" w14:textId="77777777">
            <w:pPr>
              <w:jc w:val="both"/>
              <w:textAlignment w:val="baseline"/>
              <w:rPr>
                <w:rFonts w:eastAsia="Times New Roman"/>
                <w:b/>
                <w:color w:val="000000"/>
                <w:sz w:val="16"/>
                <w:lang w:val="en-GB"/>
              </w:rPr>
            </w:pPr>
          </w:p>
        </w:tc>
        <w:tc>
          <w:tcPr>
            <w:tcW w:w="1311" w:type="dxa"/>
            <w:vAlign w:val="bottom"/>
          </w:tcPr>
          <w:p w:rsidRPr="009C48DA" w:rsidR="00661519" w:rsidP="00661519" w:rsidRDefault="00661519" w14:paraId="257FF3FD"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38BFF6E5"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2" w:type="dxa"/>
            <w:vAlign w:val="bottom"/>
          </w:tcPr>
          <w:p w:rsidRPr="009C48DA" w:rsidR="00661519" w:rsidP="00661519" w:rsidRDefault="00661519" w14:paraId="376F7BB2"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4AE92099"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2" w:type="dxa"/>
            <w:vAlign w:val="bottom"/>
          </w:tcPr>
          <w:p w:rsidRPr="009C48DA" w:rsidR="00661519" w:rsidP="00661519" w:rsidRDefault="00661519" w14:paraId="6C946B9D"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14F164AB"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2" w:type="dxa"/>
            <w:vAlign w:val="bottom"/>
          </w:tcPr>
          <w:p w:rsidRPr="009C48DA" w:rsidR="00661519" w:rsidP="00661519" w:rsidRDefault="00661519" w14:paraId="0BAFA6B4"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6C9AEBCE"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6C2E80B8" w14:textId="77777777">
        <w:trPr>
          <w:trHeight w:val="224"/>
        </w:trPr>
        <w:tc>
          <w:tcPr>
            <w:tcW w:w="0" w:type="auto"/>
            <w:vAlign w:val="center"/>
          </w:tcPr>
          <w:p w:rsidRPr="009C48DA" w:rsidR="00661519" w:rsidP="00661519" w:rsidRDefault="00661519" w14:paraId="7312473A" w14:textId="77777777">
            <w:pPr>
              <w:textAlignment w:val="baseline"/>
              <w:rPr>
                <w:rFonts w:eastAsia="Times New Roman"/>
                <w:i/>
                <w:color w:val="000000"/>
                <w:sz w:val="16"/>
                <w:lang w:val="en-GB"/>
              </w:rPr>
            </w:pPr>
            <w:r w:rsidRPr="009C48DA">
              <w:rPr>
                <w:rFonts w:eastAsia="Times New Roman"/>
                <w:b/>
                <w:i/>
                <w:color w:val="000000"/>
                <w:sz w:val="16"/>
                <w:lang w:val="en-GB"/>
              </w:rPr>
              <w:t>Amounts due in more than one year:</w:t>
            </w:r>
          </w:p>
        </w:tc>
        <w:tc>
          <w:tcPr>
            <w:tcW w:w="0" w:type="auto"/>
            <w:vAlign w:val="center"/>
          </w:tcPr>
          <w:p w:rsidRPr="009C48DA" w:rsidR="00661519" w:rsidP="00661519" w:rsidRDefault="00661519" w14:paraId="1F43790E"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7A87C0A9"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44F70489"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5375E066" w14:textId="77777777">
            <w:pPr>
              <w:jc w:val="right"/>
              <w:textAlignment w:val="baseline"/>
              <w:rPr>
                <w:rFonts w:eastAsia="Times New Roman"/>
                <w:color w:val="000000"/>
                <w:sz w:val="16"/>
                <w:lang w:val="en-GB"/>
              </w:rPr>
            </w:pPr>
          </w:p>
        </w:tc>
      </w:tr>
      <w:tr w:rsidRPr="009C48DA" w:rsidR="00661519" w:rsidTr="00661519" w14:paraId="18F7F380" w14:textId="77777777">
        <w:trPr>
          <w:trHeight w:val="224"/>
        </w:trPr>
        <w:tc>
          <w:tcPr>
            <w:tcW w:w="0" w:type="auto"/>
            <w:vAlign w:val="center"/>
          </w:tcPr>
          <w:p w:rsidRPr="009C48DA" w:rsidR="00661519" w:rsidP="00661519" w:rsidRDefault="00661519" w14:paraId="4F0D009D" w14:textId="77777777">
            <w:pPr>
              <w:textAlignment w:val="baseline"/>
              <w:rPr>
                <w:rFonts w:eastAsia="Times New Roman"/>
                <w:color w:val="000000"/>
                <w:sz w:val="16"/>
                <w:lang w:val="en-GB"/>
              </w:rPr>
            </w:pPr>
            <w:r w:rsidRPr="009C48DA">
              <w:rPr>
                <w:rFonts w:eastAsia="Times New Roman"/>
                <w:color w:val="000000"/>
                <w:sz w:val="16"/>
                <w:lang w:val="en-GB"/>
              </w:rPr>
              <w:t>Deferred contingent consideration payable</w:t>
            </w:r>
          </w:p>
        </w:tc>
        <w:tc>
          <w:tcPr>
            <w:tcW w:w="0" w:type="auto"/>
            <w:vAlign w:val="center"/>
          </w:tcPr>
          <w:p w:rsidRPr="009C48DA" w:rsidR="00661519" w:rsidP="00661519" w:rsidRDefault="00661519" w14:paraId="40DD64EC"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center"/>
          </w:tcPr>
          <w:p w:rsidRPr="009C48DA" w:rsidR="00661519" w:rsidP="00661519" w:rsidRDefault="00661519" w14:paraId="08757C11"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center"/>
          </w:tcPr>
          <w:p w:rsidRPr="009C48DA" w:rsidR="00661519" w:rsidP="00661519" w:rsidRDefault="00661519" w14:paraId="1E2552D9" w14:textId="77777777">
            <w:pPr>
              <w:jc w:val="right"/>
              <w:textAlignment w:val="baseline"/>
              <w:rPr>
                <w:rFonts w:eastAsia="Times New Roman"/>
                <w:color w:val="000000"/>
                <w:sz w:val="16"/>
                <w:lang w:val="en-GB"/>
              </w:rPr>
            </w:pPr>
            <w:r w:rsidRPr="009C48DA">
              <w:rPr>
                <w:rFonts w:eastAsia="Times New Roman"/>
                <w:color w:val="000000"/>
                <w:sz w:val="16"/>
                <w:lang w:val="en-GB"/>
              </w:rPr>
              <w:t>31,563</w:t>
            </w:r>
          </w:p>
        </w:tc>
        <w:tc>
          <w:tcPr>
            <w:tcW w:w="0" w:type="auto"/>
            <w:vAlign w:val="center"/>
          </w:tcPr>
          <w:p w:rsidRPr="009C48DA" w:rsidR="00661519" w:rsidP="00661519" w:rsidRDefault="00661519" w14:paraId="18E80AED" w14:textId="77777777">
            <w:pPr>
              <w:jc w:val="right"/>
              <w:textAlignment w:val="baseline"/>
              <w:rPr>
                <w:rFonts w:eastAsia="Times New Roman"/>
                <w:color w:val="000000"/>
                <w:sz w:val="16"/>
                <w:lang w:val="en-GB"/>
              </w:rPr>
            </w:pPr>
            <w:r w:rsidRPr="009C48DA">
              <w:rPr>
                <w:rFonts w:eastAsia="Times New Roman"/>
                <w:color w:val="000000"/>
                <w:sz w:val="16"/>
                <w:lang w:val="en-GB"/>
              </w:rPr>
              <w:t>30,423</w:t>
            </w:r>
          </w:p>
        </w:tc>
      </w:tr>
      <w:tr w:rsidRPr="009C48DA" w:rsidR="00661519" w:rsidTr="00661519" w14:paraId="0785BD53" w14:textId="77777777">
        <w:trPr>
          <w:trHeight w:val="264"/>
        </w:trPr>
        <w:tc>
          <w:tcPr>
            <w:tcW w:w="0" w:type="auto"/>
            <w:vAlign w:val="center"/>
          </w:tcPr>
          <w:p w:rsidRPr="009C48DA" w:rsidR="00661519" w:rsidP="00661519" w:rsidRDefault="00661519" w14:paraId="7B454153" w14:textId="77777777">
            <w:pPr>
              <w:textAlignment w:val="baseline"/>
              <w:rPr>
                <w:rFonts w:eastAsia="Times New Roman"/>
                <w:color w:val="000000"/>
                <w:sz w:val="16"/>
                <w:lang w:val="en-GB"/>
              </w:rPr>
            </w:pPr>
            <w:r w:rsidRPr="009C48DA">
              <w:rPr>
                <w:rFonts w:eastAsia="Times New Roman"/>
                <w:color w:val="000000"/>
                <w:sz w:val="16"/>
                <w:lang w:val="en-GB"/>
              </w:rPr>
              <w:t>Accrued expenses</w:t>
            </w:r>
          </w:p>
        </w:tc>
        <w:tc>
          <w:tcPr>
            <w:tcW w:w="0" w:type="auto"/>
            <w:vAlign w:val="center"/>
          </w:tcPr>
          <w:p w:rsidRPr="009C48DA" w:rsidR="00661519" w:rsidP="00661519" w:rsidRDefault="00661519" w14:paraId="2AE80676"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480</w:t>
            </w:r>
          </w:p>
        </w:tc>
        <w:tc>
          <w:tcPr>
            <w:tcW w:w="0" w:type="auto"/>
            <w:vAlign w:val="center"/>
          </w:tcPr>
          <w:p w:rsidRPr="009C48DA" w:rsidR="00661519" w:rsidP="00661519" w:rsidRDefault="00661519" w14:paraId="224CB9B5"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515</w:t>
            </w:r>
          </w:p>
        </w:tc>
        <w:tc>
          <w:tcPr>
            <w:tcW w:w="0" w:type="auto"/>
            <w:vAlign w:val="center"/>
          </w:tcPr>
          <w:p w:rsidRPr="009C48DA" w:rsidR="00661519" w:rsidP="00661519" w:rsidRDefault="00661519" w14:paraId="747D0A40"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588</w:t>
            </w:r>
          </w:p>
        </w:tc>
        <w:tc>
          <w:tcPr>
            <w:tcW w:w="0" w:type="auto"/>
            <w:vAlign w:val="center"/>
          </w:tcPr>
          <w:p w:rsidRPr="009C48DA" w:rsidR="00661519" w:rsidP="00661519" w:rsidRDefault="00661519" w14:paraId="7BFF2D9C"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578</w:t>
            </w:r>
          </w:p>
        </w:tc>
      </w:tr>
      <w:tr w:rsidRPr="009C48DA" w:rsidR="00661519" w:rsidTr="00661519" w14:paraId="0668F936" w14:textId="77777777">
        <w:trPr>
          <w:trHeight w:val="289"/>
        </w:trPr>
        <w:tc>
          <w:tcPr>
            <w:tcW w:w="0" w:type="auto"/>
            <w:vAlign w:val="center"/>
          </w:tcPr>
          <w:p w:rsidRPr="009C48DA" w:rsidR="00661519" w:rsidP="00661519" w:rsidRDefault="00661519" w14:paraId="30BCD22D" w14:textId="77777777">
            <w:pPr>
              <w:textAlignment w:val="baseline"/>
              <w:rPr>
                <w:rFonts w:eastAsia="Times New Roman"/>
                <w:color w:val="000000"/>
                <w:sz w:val="16"/>
                <w:lang w:val="en-GB"/>
              </w:rPr>
            </w:pPr>
          </w:p>
        </w:tc>
        <w:tc>
          <w:tcPr>
            <w:tcW w:w="0" w:type="auto"/>
            <w:vAlign w:val="center"/>
          </w:tcPr>
          <w:p w:rsidRPr="009C48DA" w:rsidR="00661519" w:rsidP="00661519" w:rsidRDefault="00661519" w14:paraId="56D7C497"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480</w:t>
            </w:r>
          </w:p>
        </w:tc>
        <w:tc>
          <w:tcPr>
            <w:tcW w:w="0" w:type="auto"/>
            <w:vAlign w:val="center"/>
          </w:tcPr>
          <w:p w:rsidRPr="009C48DA" w:rsidR="00661519" w:rsidP="00661519" w:rsidRDefault="00661519" w14:paraId="2E9DB032"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515</w:t>
            </w:r>
          </w:p>
        </w:tc>
        <w:tc>
          <w:tcPr>
            <w:tcW w:w="0" w:type="auto"/>
            <w:vAlign w:val="center"/>
          </w:tcPr>
          <w:p w:rsidRPr="009C48DA" w:rsidR="00661519" w:rsidP="00661519" w:rsidRDefault="00661519" w14:paraId="727D31BF"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32,151</w:t>
            </w:r>
          </w:p>
        </w:tc>
        <w:tc>
          <w:tcPr>
            <w:tcW w:w="0" w:type="auto"/>
            <w:vAlign w:val="center"/>
          </w:tcPr>
          <w:p w:rsidRPr="009C48DA" w:rsidR="00661519" w:rsidP="00661519" w:rsidRDefault="00661519" w14:paraId="47EA6672"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31,001</w:t>
            </w:r>
          </w:p>
        </w:tc>
      </w:tr>
      <w:tr w:rsidRPr="009C48DA" w:rsidR="00661519" w:rsidTr="00661519" w14:paraId="023D0B42" w14:textId="77777777">
        <w:trPr>
          <w:trHeight w:val="224"/>
        </w:trPr>
        <w:tc>
          <w:tcPr>
            <w:tcW w:w="0" w:type="auto"/>
            <w:vAlign w:val="center"/>
          </w:tcPr>
          <w:p w:rsidRPr="009C48DA" w:rsidR="00661519" w:rsidP="00661519" w:rsidRDefault="00661519" w14:paraId="042D3F46" w14:textId="77777777">
            <w:pPr>
              <w:textAlignment w:val="baseline"/>
              <w:rPr>
                <w:rFonts w:eastAsia="Times New Roman"/>
                <w:b/>
                <w:i/>
                <w:color w:val="000000"/>
                <w:sz w:val="16"/>
                <w:lang w:val="en-GB"/>
              </w:rPr>
            </w:pPr>
            <w:r w:rsidRPr="009C48DA">
              <w:rPr>
                <w:rFonts w:eastAsia="Times New Roman"/>
                <w:b/>
                <w:i/>
                <w:color w:val="000000"/>
                <w:sz w:val="16"/>
                <w:lang w:val="en-GB"/>
              </w:rPr>
              <w:t>Amounts due within one year:</w:t>
            </w:r>
          </w:p>
        </w:tc>
        <w:tc>
          <w:tcPr>
            <w:tcW w:w="0" w:type="auto"/>
            <w:vAlign w:val="center"/>
          </w:tcPr>
          <w:p w:rsidRPr="009C48DA" w:rsidR="00661519" w:rsidP="00661519" w:rsidRDefault="00661519" w14:paraId="56E10BD0"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128F0AEC"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14A2C9D7"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4426093C" w14:textId="77777777">
            <w:pPr>
              <w:jc w:val="right"/>
              <w:textAlignment w:val="baseline"/>
              <w:rPr>
                <w:rFonts w:eastAsia="Times New Roman"/>
                <w:color w:val="000000"/>
                <w:sz w:val="16"/>
                <w:lang w:val="en-GB"/>
              </w:rPr>
            </w:pPr>
          </w:p>
        </w:tc>
      </w:tr>
      <w:tr w:rsidRPr="009C48DA" w:rsidR="00661519" w:rsidTr="00661519" w14:paraId="39744E94" w14:textId="77777777">
        <w:trPr>
          <w:trHeight w:val="224"/>
        </w:trPr>
        <w:tc>
          <w:tcPr>
            <w:tcW w:w="0" w:type="auto"/>
            <w:vAlign w:val="center"/>
          </w:tcPr>
          <w:p w:rsidRPr="009C48DA" w:rsidR="00661519" w:rsidP="00661519" w:rsidRDefault="00661519" w14:paraId="7AE588E3" w14:textId="77777777">
            <w:pPr>
              <w:textAlignment w:val="baseline"/>
              <w:rPr>
                <w:rFonts w:eastAsia="Times New Roman"/>
                <w:color w:val="000000"/>
                <w:sz w:val="16"/>
                <w:lang w:val="en-GB"/>
              </w:rPr>
            </w:pPr>
            <w:r w:rsidRPr="009C48DA">
              <w:rPr>
                <w:rFonts w:eastAsia="Times New Roman"/>
                <w:color w:val="000000"/>
                <w:sz w:val="16"/>
                <w:lang w:val="en-GB"/>
              </w:rPr>
              <w:t>Trade payables</w:t>
            </w:r>
          </w:p>
        </w:tc>
        <w:tc>
          <w:tcPr>
            <w:tcW w:w="0" w:type="auto"/>
            <w:vAlign w:val="center"/>
          </w:tcPr>
          <w:p w:rsidRPr="009C48DA" w:rsidR="00661519" w:rsidP="00661519" w:rsidRDefault="00661519" w14:paraId="52C16939" w14:textId="77777777">
            <w:pPr>
              <w:jc w:val="right"/>
              <w:textAlignment w:val="baseline"/>
              <w:rPr>
                <w:rFonts w:eastAsia="Times New Roman"/>
                <w:color w:val="000000"/>
                <w:sz w:val="16"/>
                <w:lang w:val="en-GB"/>
              </w:rPr>
            </w:pPr>
            <w:r w:rsidRPr="009C48DA">
              <w:rPr>
                <w:rFonts w:eastAsia="Times New Roman"/>
                <w:color w:val="000000"/>
                <w:sz w:val="16"/>
                <w:lang w:val="en-GB"/>
              </w:rPr>
              <w:t>2,224</w:t>
            </w:r>
          </w:p>
        </w:tc>
        <w:tc>
          <w:tcPr>
            <w:tcW w:w="0" w:type="auto"/>
            <w:vAlign w:val="center"/>
          </w:tcPr>
          <w:p w:rsidRPr="009C48DA" w:rsidR="00661519" w:rsidP="00661519" w:rsidRDefault="00661519" w14:paraId="60EE8ABE" w14:textId="77777777">
            <w:pPr>
              <w:jc w:val="right"/>
              <w:textAlignment w:val="baseline"/>
              <w:rPr>
                <w:rFonts w:eastAsia="Times New Roman"/>
                <w:color w:val="000000"/>
                <w:sz w:val="16"/>
                <w:lang w:val="en-GB"/>
              </w:rPr>
            </w:pPr>
            <w:r w:rsidRPr="009C48DA">
              <w:rPr>
                <w:rFonts w:eastAsia="Times New Roman"/>
                <w:color w:val="000000"/>
                <w:sz w:val="16"/>
                <w:lang w:val="en-GB"/>
              </w:rPr>
              <w:t>5,008</w:t>
            </w:r>
          </w:p>
        </w:tc>
        <w:tc>
          <w:tcPr>
            <w:tcW w:w="0" w:type="auto"/>
            <w:vAlign w:val="center"/>
          </w:tcPr>
          <w:p w:rsidRPr="009C48DA" w:rsidR="00661519" w:rsidP="00661519" w:rsidRDefault="00661519" w14:paraId="3A4D8F76" w14:textId="77777777">
            <w:pPr>
              <w:jc w:val="right"/>
              <w:textAlignment w:val="baseline"/>
              <w:rPr>
                <w:rFonts w:eastAsia="Times New Roman"/>
                <w:color w:val="000000"/>
                <w:sz w:val="16"/>
                <w:lang w:val="en-GB"/>
              </w:rPr>
            </w:pPr>
            <w:r w:rsidRPr="009C48DA">
              <w:rPr>
                <w:rFonts w:eastAsia="Times New Roman"/>
                <w:color w:val="000000"/>
                <w:sz w:val="16"/>
                <w:lang w:val="en-GB"/>
              </w:rPr>
              <w:t>5,105</w:t>
            </w:r>
          </w:p>
        </w:tc>
        <w:tc>
          <w:tcPr>
            <w:tcW w:w="0" w:type="auto"/>
            <w:vAlign w:val="center"/>
          </w:tcPr>
          <w:p w:rsidRPr="009C48DA" w:rsidR="00661519" w:rsidP="00661519" w:rsidRDefault="00661519" w14:paraId="4C85860C" w14:textId="77777777">
            <w:pPr>
              <w:jc w:val="right"/>
              <w:textAlignment w:val="baseline"/>
              <w:rPr>
                <w:rFonts w:eastAsia="Times New Roman"/>
                <w:color w:val="000000"/>
                <w:sz w:val="16"/>
                <w:lang w:val="en-GB"/>
              </w:rPr>
            </w:pPr>
            <w:r w:rsidRPr="009C48DA">
              <w:rPr>
                <w:rFonts w:eastAsia="Times New Roman"/>
                <w:color w:val="000000"/>
                <w:sz w:val="16"/>
                <w:lang w:val="en-GB"/>
              </w:rPr>
              <w:t>9,967</w:t>
            </w:r>
          </w:p>
        </w:tc>
      </w:tr>
      <w:tr w:rsidRPr="009C48DA" w:rsidR="00661519" w:rsidTr="00661519" w14:paraId="200365A5" w14:textId="77777777">
        <w:trPr>
          <w:trHeight w:val="237"/>
        </w:trPr>
        <w:tc>
          <w:tcPr>
            <w:tcW w:w="0" w:type="auto"/>
            <w:vAlign w:val="center"/>
          </w:tcPr>
          <w:p w:rsidRPr="009C48DA" w:rsidR="00661519" w:rsidP="00661519" w:rsidRDefault="00661519" w14:paraId="3DF763E6" w14:textId="77777777">
            <w:pPr>
              <w:textAlignment w:val="baseline"/>
              <w:rPr>
                <w:rFonts w:eastAsia="Times New Roman"/>
                <w:color w:val="000000"/>
                <w:sz w:val="16"/>
                <w:lang w:val="en-GB"/>
              </w:rPr>
            </w:pPr>
            <w:r w:rsidRPr="009C48DA">
              <w:rPr>
                <w:rFonts w:eastAsia="Times New Roman"/>
                <w:color w:val="000000"/>
                <w:sz w:val="16"/>
                <w:lang w:val="en-GB"/>
              </w:rPr>
              <w:t>Accrued expenses</w:t>
            </w:r>
          </w:p>
        </w:tc>
        <w:tc>
          <w:tcPr>
            <w:tcW w:w="0" w:type="auto"/>
            <w:vAlign w:val="center"/>
          </w:tcPr>
          <w:p w:rsidRPr="009C48DA" w:rsidR="00661519" w:rsidP="00661519" w:rsidRDefault="00661519" w14:paraId="56C04A1E" w14:textId="77777777">
            <w:pPr>
              <w:jc w:val="right"/>
              <w:textAlignment w:val="baseline"/>
              <w:rPr>
                <w:rFonts w:eastAsia="Times New Roman"/>
                <w:color w:val="000000"/>
                <w:sz w:val="16"/>
                <w:lang w:val="en-GB"/>
              </w:rPr>
            </w:pPr>
            <w:r w:rsidRPr="009C48DA">
              <w:rPr>
                <w:rFonts w:eastAsia="Times New Roman"/>
                <w:color w:val="000000"/>
                <w:sz w:val="16"/>
                <w:lang w:val="en-GB"/>
              </w:rPr>
              <w:t>47,792</w:t>
            </w:r>
          </w:p>
        </w:tc>
        <w:tc>
          <w:tcPr>
            <w:tcW w:w="0" w:type="auto"/>
            <w:vAlign w:val="center"/>
          </w:tcPr>
          <w:p w:rsidRPr="009C48DA" w:rsidR="00661519" w:rsidP="00661519" w:rsidRDefault="00661519" w14:paraId="29E83964" w14:textId="77777777">
            <w:pPr>
              <w:jc w:val="right"/>
              <w:textAlignment w:val="baseline"/>
              <w:rPr>
                <w:rFonts w:eastAsia="Times New Roman"/>
                <w:color w:val="000000"/>
                <w:sz w:val="16"/>
                <w:lang w:val="en-GB"/>
              </w:rPr>
            </w:pPr>
            <w:r w:rsidRPr="009C48DA">
              <w:rPr>
                <w:rFonts w:eastAsia="Times New Roman"/>
                <w:color w:val="000000"/>
                <w:sz w:val="16"/>
                <w:lang w:val="en-GB"/>
              </w:rPr>
              <w:t>34,802</w:t>
            </w:r>
          </w:p>
        </w:tc>
        <w:tc>
          <w:tcPr>
            <w:tcW w:w="0" w:type="auto"/>
            <w:vAlign w:val="center"/>
          </w:tcPr>
          <w:p w:rsidRPr="009C48DA" w:rsidR="00661519" w:rsidP="00661519" w:rsidRDefault="00661519" w14:paraId="4CEE78A9" w14:textId="77777777">
            <w:pPr>
              <w:jc w:val="right"/>
              <w:textAlignment w:val="baseline"/>
              <w:rPr>
                <w:rFonts w:eastAsia="Times New Roman"/>
                <w:color w:val="000000"/>
                <w:sz w:val="16"/>
                <w:lang w:val="en-GB"/>
              </w:rPr>
            </w:pPr>
            <w:r w:rsidRPr="009C48DA">
              <w:rPr>
                <w:rFonts w:eastAsia="Times New Roman"/>
                <w:color w:val="000000"/>
                <w:sz w:val="16"/>
                <w:lang w:val="en-GB"/>
              </w:rPr>
              <w:t>78,238</w:t>
            </w:r>
          </w:p>
        </w:tc>
        <w:tc>
          <w:tcPr>
            <w:tcW w:w="0" w:type="auto"/>
            <w:vAlign w:val="center"/>
          </w:tcPr>
          <w:p w:rsidRPr="009C48DA" w:rsidR="00661519" w:rsidP="00661519" w:rsidRDefault="00661519" w14:paraId="7397C23C" w14:textId="77777777">
            <w:pPr>
              <w:jc w:val="right"/>
              <w:textAlignment w:val="baseline"/>
              <w:rPr>
                <w:rFonts w:eastAsia="Times New Roman"/>
                <w:color w:val="000000"/>
                <w:sz w:val="16"/>
                <w:lang w:val="en-GB"/>
              </w:rPr>
            </w:pPr>
            <w:r w:rsidRPr="009C48DA">
              <w:rPr>
                <w:rFonts w:eastAsia="Times New Roman"/>
                <w:color w:val="000000"/>
                <w:sz w:val="16"/>
                <w:lang w:val="en-GB"/>
              </w:rPr>
              <w:t>26,754</w:t>
            </w:r>
          </w:p>
        </w:tc>
      </w:tr>
      <w:tr w:rsidRPr="009C48DA" w:rsidR="00661519" w:rsidTr="00661519" w14:paraId="3B9A6038" w14:textId="77777777">
        <w:trPr>
          <w:trHeight w:val="224"/>
        </w:trPr>
        <w:tc>
          <w:tcPr>
            <w:tcW w:w="0" w:type="auto"/>
            <w:vAlign w:val="center"/>
          </w:tcPr>
          <w:p w:rsidRPr="009C48DA" w:rsidR="00661519" w:rsidP="00661519" w:rsidRDefault="00661519" w14:paraId="3D5F2982" w14:textId="77777777">
            <w:pPr>
              <w:textAlignment w:val="baseline"/>
              <w:rPr>
                <w:rFonts w:eastAsia="Times New Roman"/>
                <w:color w:val="000000"/>
                <w:sz w:val="16"/>
                <w:lang w:val="en-GB"/>
              </w:rPr>
            </w:pPr>
            <w:r w:rsidRPr="009C48DA">
              <w:rPr>
                <w:rFonts w:eastAsia="Times New Roman"/>
                <w:color w:val="000000"/>
                <w:sz w:val="16"/>
                <w:lang w:val="en-GB"/>
              </w:rPr>
              <w:t>Social security and other taxes</w:t>
            </w:r>
          </w:p>
        </w:tc>
        <w:tc>
          <w:tcPr>
            <w:tcW w:w="0" w:type="auto"/>
            <w:vAlign w:val="center"/>
          </w:tcPr>
          <w:p w:rsidRPr="009C48DA" w:rsidR="00661519" w:rsidP="00661519" w:rsidRDefault="00661519" w14:paraId="06C82D68" w14:textId="77777777">
            <w:pPr>
              <w:jc w:val="right"/>
              <w:textAlignment w:val="baseline"/>
              <w:rPr>
                <w:rFonts w:eastAsia="Times New Roman"/>
                <w:color w:val="000000"/>
                <w:sz w:val="16"/>
                <w:lang w:val="en-GB"/>
              </w:rPr>
            </w:pPr>
            <w:r w:rsidRPr="009C48DA">
              <w:rPr>
                <w:rFonts w:eastAsia="Times New Roman"/>
                <w:color w:val="000000"/>
                <w:sz w:val="16"/>
                <w:lang w:val="en-GB"/>
              </w:rPr>
              <w:t>5,402</w:t>
            </w:r>
          </w:p>
        </w:tc>
        <w:tc>
          <w:tcPr>
            <w:tcW w:w="0" w:type="auto"/>
            <w:vAlign w:val="center"/>
          </w:tcPr>
          <w:p w:rsidRPr="009C48DA" w:rsidR="00661519" w:rsidP="00661519" w:rsidRDefault="00661519" w14:paraId="4882A5B4" w14:textId="77777777">
            <w:pPr>
              <w:jc w:val="right"/>
              <w:textAlignment w:val="baseline"/>
              <w:rPr>
                <w:rFonts w:eastAsia="Times New Roman"/>
                <w:color w:val="000000"/>
                <w:sz w:val="16"/>
                <w:lang w:val="en-GB"/>
              </w:rPr>
            </w:pPr>
            <w:r w:rsidRPr="009C48DA">
              <w:rPr>
                <w:rFonts w:eastAsia="Times New Roman"/>
                <w:color w:val="000000"/>
                <w:sz w:val="16"/>
                <w:lang w:val="en-GB"/>
              </w:rPr>
              <w:t>1,555</w:t>
            </w:r>
          </w:p>
        </w:tc>
        <w:tc>
          <w:tcPr>
            <w:tcW w:w="0" w:type="auto"/>
            <w:vAlign w:val="center"/>
          </w:tcPr>
          <w:p w:rsidRPr="009C48DA" w:rsidR="00661519" w:rsidP="00661519" w:rsidRDefault="00661519" w14:paraId="571BC9B3" w14:textId="77777777">
            <w:pPr>
              <w:jc w:val="right"/>
              <w:textAlignment w:val="baseline"/>
              <w:rPr>
                <w:rFonts w:eastAsia="Times New Roman"/>
                <w:color w:val="000000"/>
                <w:sz w:val="16"/>
                <w:lang w:val="en-GB"/>
              </w:rPr>
            </w:pPr>
            <w:r w:rsidRPr="009C48DA">
              <w:rPr>
                <w:rFonts w:eastAsia="Times New Roman"/>
                <w:color w:val="000000"/>
                <w:sz w:val="16"/>
                <w:lang w:val="en-GB"/>
              </w:rPr>
              <w:t>2,386</w:t>
            </w:r>
          </w:p>
        </w:tc>
        <w:tc>
          <w:tcPr>
            <w:tcW w:w="0" w:type="auto"/>
            <w:vAlign w:val="center"/>
          </w:tcPr>
          <w:p w:rsidRPr="009C48DA" w:rsidR="00661519" w:rsidP="00661519" w:rsidRDefault="00661519" w14:paraId="6015B3AA" w14:textId="77777777">
            <w:pPr>
              <w:jc w:val="right"/>
              <w:textAlignment w:val="baseline"/>
              <w:rPr>
                <w:rFonts w:eastAsia="Times New Roman"/>
                <w:color w:val="000000"/>
                <w:sz w:val="16"/>
                <w:lang w:val="en-GB"/>
              </w:rPr>
            </w:pPr>
            <w:r w:rsidRPr="009C48DA">
              <w:rPr>
                <w:rFonts w:eastAsia="Times New Roman"/>
                <w:color w:val="000000"/>
                <w:sz w:val="16"/>
                <w:lang w:val="en-GB"/>
              </w:rPr>
              <w:t>19,577</w:t>
            </w:r>
          </w:p>
        </w:tc>
      </w:tr>
      <w:tr w:rsidRPr="009C48DA" w:rsidR="00661519" w:rsidTr="00661519" w14:paraId="6259E6A9" w14:textId="77777777">
        <w:trPr>
          <w:trHeight w:val="224"/>
        </w:trPr>
        <w:tc>
          <w:tcPr>
            <w:tcW w:w="0" w:type="auto"/>
            <w:vAlign w:val="center"/>
          </w:tcPr>
          <w:p w:rsidRPr="009C48DA" w:rsidR="00661519" w:rsidP="00661519" w:rsidRDefault="00661519" w14:paraId="2C6A078E" w14:textId="77777777">
            <w:pPr>
              <w:textAlignment w:val="baseline"/>
              <w:rPr>
                <w:rFonts w:eastAsia="Times New Roman"/>
                <w:color w:val="000000"/>
                <w:sz w:val="16"/>
                <w:lang w:val="en-GB"/>
              </w:rPr>
            </w:pPr>
            <w:r w:rsidRPr="009C48DA">
              <w:rPr>
                <w:rFonts w:eastAsia="Times New Roman"/>
                <w:color w:val="000000"/>
                <w:sz w:val="16"/>
                <w:lang w:val="en-GB"/>
              </w:rPr>
              <w:t>Deferred income</w:t>
            </w:r>
          </w:p>
        </w:tc>
        <w:tc>
          <w:tcPr>
            <w:tcW w:w="0" w:type="auto"/>
            <w:vAlign w:val="center"/>
          </w:tcPr>
          <w:p w:rsidRPr="009C48DA" w:rsidR="00661519" w:rsidP="00661519" w:rsidRDefault="00661519" w14:paraId="7AB0A9CD" w14:textId="77777777">
            <w:pPr>
              <w:jc w:val="right"/>
              <w:textAlignment w:val="baseline"/>
              <w:rPr>
                <w:rFonts w:eastAsia="Times New Roman"/>
                <w:color w:val="000000"/>
                <w:sz w:val="16"/>
                <w:lang w:val="en-GB"/>
              </w:rPr>
            </w:pPr>
            <w:r w:rsidRPr="009C48DA">
              <w:rPr>
                <w:rFonts w:eastAsia="Times New Roman"/>
                <w:color w:val="000000"/>
                <w:sz w:val="16"/>
                <w:lang w:val="en-GB"/>
              </w:rPr>
              <w:t>30</w:t>
            </w:r>
          </w:p>
        </w:tc>
        <w:tc>
          <w:tcPr>
            <w:tcW w:w="0" w:type="auto"/>
            <w:vAlign w:val="center"/>
          </w:tcPr>
          <w:p w:rsidRPr="009C48DA" w:rsidR="00661519" w:rsidP="00661519" w:rsidRDefault="00661519" w14:paraId="666F07CB"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center"/>
          </w:tcPr>
          <w:p w:rsidRPr="009C48DA" w:rsidR="00661519" w:rsidP="00661519" w:rsidRDefault="00661519" w14:paraId="4C8AED5B" w14:textId="77777777">
            <w:pPr>
              <w:jc w:val="right"/>
              <w:textAlignment w:val="baseline"/>
              <w:rPr>
                <w:rFonts w:eastAsia="Times New Roman"/>
                <w:color w:val="000000"/>
                <w:sz w:val="16"/>
                <w:lang w:val="en-GB"/>
              </w:rPr>
            </w:pPr>
            <w:r w:rsidRPr="009C48DA">
              <w:rPr>
                <w:rFonts w:eastAsia="Times New Roman"/>
                <w:color w:val="000000"/>
                <w:sz w:val="16"/>
                <w:lang w:val="en-GB"/>
              </w:rPr>
              <w:t>12</w:t>
            </w:r>
          </w:p>
        </w:tc>
        <w:tc>
          <w:tcPr>
            <w:tcW w:w="0" w:type="auto"/>
            <w:vAlign w:val="center"/>
          </w:tcPr>
          <w:p w:rsidRPr="009C48DA" w:rsidR="00661519" w:rsidP="00661519" w:rsidRDefault="00661519" w14:paraId="08C0AA82" w14:textId="77777777">
            <w:pPr>
              <w:jc w:val="right"/>
              <w:textAlignment w:val="baseline"/>
              <w:rPr>
                <w:rFonts w:eastAsia="Times New Roman"/>
                <w:color w:val="000000"/>
                <w:sz w:val="16"/>
                <w:lang w:val="en-GB"/>
              </w:rPr>
            </w:pPr>
            <w:r w:rsidRPr="009C48DA">
              <w:rPr>
                <w:rFonts w:eastAsia="Times New Roman"/>
                <w:color w:val="000000"/>
                <w:sz w:val="16"/>
                <w:lang w:val="en-GB"/>
              </w:rPr>
              <w:t>39,056</w:t>
            </w:r>
          </w:p>
        </w:tc>
      </w:tr>
      <w:tr w:rsidRPr="009C48DA" w:rsidR="00661519" w:rsidTr="00661519" w14:paraId="6AD53520" w14:textId="77777777">
        <w:trPr>
          <w:trHeight w:val="264"/>
        </w:trPr>
        <w:tc>
          <w:tcPr>
            <w:tcW w:w="0" w:type="auto"/>
            <w:vAlign w:val="center"/>
          </w:tcPr>
          <w:p w:rsidRPr="009C48DA" w:rsidR="00661519" w:rsidP="00661519" w:rsidRDefault="00661519" w14:paraId="2DF2CC65" w14:textId="77777777">
            <w:pPr>
              <w:textAlignment w:val="baseline"/>
              <w:rPr>
                <w:rFonts w:eastAsia="Times New Roman"/>
                <w:color w:val="000000"/>
                <w:sz w:val="16"/>
                <w:lang w:val="en-GB"/>
              </w:rPr>
            </w:pPr>
            <w:r w:rsidRPr="009C48DA">
              <w:rPr>
                <w:rFonts w:eastAsia="Times New Roman"/>
                <w:color w:val="000000"/>
                <w:sz w:val="16"/>
                <w:lang w:val="en-GB"/>
              </w:rPr>
              <w:t>Other payables</w:t>
            </w:r>
          </w:p>
        </w:tc>
        <w:tc>
          <w:tcPr>
            <w:tcW w:w="0" w:type="auto"/>
            <w:vAlign w:val="center"/>
          </w:tcPr>
          <w:p w:rsidRPr="009C48DA" w:rsidR="00661519" w:rsidP="00661519" w:rsidRDefault="00661519" w14:paraId="569800DA"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12,284</w:t>
            </w:r>
          </w:p>
        </w:tc>
        <w:tc>
          <w:tcPr>
            <w:tcW w:w="0" w:type="auto"/>
            <w:vAlign w:val="center"/>
          </w:tcPr>
          <w:p w:rsidRPr="009C48DA" w:rsidR="00661519" w:rsidP="00661519" w:rsidRDefault="00661519" w14:paraId="206593F3"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1,848</w:t>
            </w:r>
          </w:p>
        </w:tc>
        <w:tc>
          <w:tcPr>
            <w:tcW w:w="0" w:type="auto"/>
            <w:vAlign w:val="center"/>
          </w:tcPr>
          <w:p w:rsidRPr="009C48DA" w:rsidR="00661519" w:rsidP="00661519" w:rsidRDefault="00661519" w14:paraId="73E98234"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130</w:t>
            </w:r>
          </w:p>
        </w:tc>
        <w:tc>
          <w:tcPr>
            <w:tcW w:w="0" w:type="auto"/>
            <w:vAlign w:val="center"/>
          </w:tcPr>
          <w:p w:rsidRPr="009C48DA" w:rsidR="00661519" w:rsidP="00661519" w:rsidRDefault="00661519" w14:paraId="6034F62E"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2,986</w:t>
            </w:r>
          </w:p>
        </w:tc>
      </w:tr>
      <w:tr w:rsidRPr="009C48DA" w:rsidR="00661519" w:rsidTr="00661519" w14:paraId="32EE436B" w14:textId="77777777">
        <w:trPr>
          <w:trHeight w:val="277"/>
        </w:trPr>
        <w:tc>
          <w:tcPr>
            <w:tcW w:w="0" w:type="auto"/>
            <w:vAlign w:val="center"/>
          </w:tcPr>
          <w:p w:rsidRPr="009C48DA" w:rsidR="00661519" w:rsidP="00661519" w:rsidRDefault="00661519" w14:paraId="1063F47B" w14:textId="77777777">
            <w:pPr>
              <w:textAlignment w:val="baseline"/>
              <w:rPr>
                <w:rFonts w:eastAsia="Times New Roman"/>
                <w:color w:val="000000"/>
                <w:sz w:val="16"/>
                <w:lang w:val="en-GB"/>
              </w:rPr>
            </w:pPr>
          </w:p>
        </w:tc>
        <w:tc>
          <w:tcPr>
            <w:tcW w:w="0" w:type="auto"/>
            <w:vAlign w:val="center"/>
          </w:tcPr>
          <w:p w:rsidRPr="009C48DA" w:rsidR="00661519" w:rsidP="00661519" w:rsidRDefault="00661519" w14:paraId="65A6BCDE"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67,732</w:t>
            </w:r>
          </w:p>
        </w:tc>
        <w:tc>
          <w:tcPr>
            <w:tcW w:w="0" w:type="auto"/>
            <w:vAlign w:val="center"/>
          </w:tcPr>
          <w:p w:rsidRPr="009C48DA" w:rsidR="00661519" w:rsidP="00661519" w:rsidRDefault="00661519" w14:paraId="48A8749A"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43,213</w:t>
            </w:r>
          </w:p>
        </w:tc>
        <w:tc>
          <w:tcPr>
            <w:tcW w:w="0" w:type="auto"/>
            <w:vAlign w:val="center"/>
          </w:tcPr>
          <w:p w:rsidRPr="009C48DA" w:rsidR="00661519" w:rsidP="00661519" w:rsidRDefault="00661519" w14:paraId="018E1DA1"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85,871</w:t>
            </w:r>
          </w:p>
        </w:tc>
        <w:tc>
          <w:tcPr>
            <w:tcW w:w="0" w:type="auto"/>
            <w:vAlign w:val="center"/>
          </w:tcPr>
          <w:p w:rsidRPr="009C48DA" w:rsidR="00661519" w:rsidP="00661519" w:rsidRDefault="00661519" w14:paraId="44134942"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98,340</w:t>
            </w:r>
          </w:p>
        </w:tc>
      </w:tr>
    </w:tbl>
    <w:p w:rsidRPr="009C48DA" w:rsidR="00661519" w:rsidP="00661519" w:rsidRDefault="00661519" w14:paraId="1D156B50" w14:textId="77777777">
      <w:pPr>
        <w:ind w:right="72"/>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br w:type="page"/>
      </w:r>
    </w:p>
    <w:p w:rsidRPr="009C48DA" w:rsidR="00661519" w:rsidP="00661519" w:rsidRDefault="00661519" w14:paraId="59C29CB9" w14:textId="77777777">
      <w:pPr>
        <w:ind w:right="72"/>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lastRenderedPageBreak/>
        <w:t xml:space="preserve">Accruals and deferred income includes amounts that have been incurred, but not yet invoiced, employee bonuses and amounts that have </w:t>
      </w:r>
      <w:r w:rsidRPr="009C48DA">
        <w:rPr>
          <w:rFonts w:eastAsia="Times New Roman" w:cs="Times New Roman"/>
          <w:color w:val="000000"/>
          <w:sz w:val="16"/>
          <w:szCs w:val="22"/>
          <w:lang w:val="en-GB"/>
        </w:rPr>
        <w:br/>
        <w:t>been received in relation to fund management activity, but are owed to the Bridgepoint funds.</w:t>
      </w:r>
    </w:p>
    <w:p w:rsidRPr="009C48DA" w:rsidR="00661519" w:rsidP="00661519" w:rsidRDefault="00661519" w14:paraId="1A035C0C" w14:textId="77777777">
      <w:pPr>
        <w:spacing w:before="102" w:line="183" w:lineRule="exact"/>
        <w:jc w:val="both"/>
        <w:textAlignment w:val="baseline"/>
        <w:rPr>
          <w:rFonts w:eastAsia="Times New Roman"/>
          <w:color w:val="000000"/>
          <w:spacing w:val="1"/>
          <w:sz w:val="16"/>
          <w:lang w:val="en-GB"/>
        </w:rPr>
      </w:pPr>
      <w:r w:rsidRPr="009C48DA">
        <w:rPr>
          <w:rFonts w:eastAsia="Times New Roman"/>
          <w:color w:val="000000"/>
          <w:spacing w:val="1"/>
          <w:sz w:val="16"/>
          <w:lang w:val="en-GB"/>
        </w:rPr>
        <w:t xml:space="preserve">The deferred contingent consideration is payable to EQT AB and relates to the outcome of fundraising for Bridgepoint Direct Lending III </w:t>
      </w:r>
      <w:r w:rsidRPr="009C48DA">
        <w:rPr>
          <w:rFonts w:eastAsia="Times New Roman"/>
          <w:color w:val="000000"/>
          <w:spacing w:val="1"/>
          <w:sz w:val="16"/>
          <w:lang w:val="en-GB"/>
        </w:rPr>
        <w:br/>
        <w:t xml:space="preserve">and Bridgepoint Credit Opportunities IV funds. The maximum amount payable is €50m (£44.6m). The fundraising for both funds are </w:t>
      </w:r>
      <w:r w:rsidRPr="009C48DA">
        <w:rPr>
          <w:rFonts w:eastAsia="Times New Roman"/>
          <w:color w:val="000000"/>
          <w:spacing w:val="1"/>
          <w:sz w:val="16"/>
          <w:lang w:val="en-GB"/>
        </w:rPr>
        <w:br/>
        <w:t>expected to complete in 2022. The amount payable has been based upon management’s current best estimate of each fundraising. Were the eventual fund sizes over 40% lower than the estimate used within the historical financial information, no deferred contingent consideration would be payable. The fund sizes would need to be 15% higher than the estimate for the maximum deferred contingent consideration to be payable.</w:t>
      </w:r>
    </w:p>
    <w:p w:rsidRPr="009C48DA" w:rsidR="00661519" w:rsidP="00661519" w:rsidRDefault="00661519" w14:paraId="0DEEEEFC" w14:textId="77777777">
      <w:pPr>
        <w:ind w:right="72"/>
        <w:jc w:val="both"/>
        <w:textAlignment w:val="baseline"/>
        <w:rPr>
          <w:rFonts w:eastAsia="Times New Roman" w:cs="Times New Roman"/>
          <w:color w:val="000000"/>
          <w:sz w:val="16"/>
          <w:szCs w:val="22"/>
          <w:lang w:val="en-GB"/>
        </w:rPr>
      </w:pPr>
    </w:p>
    <w:p w:rsidRPr="009C48DA" w:rsidR="00661519" w:rsidP="00661519" w:rsidRDefault="00661519" w14:paraId="2252FCFC" w14:textId="77777777">
      <w:pPr>
        <w:ind w:right="72"/>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There are no material differences between the above amounts for trade and other payables and their fair value.</w:t>
      </w:r>
    </w:p>
    <w:p w:rsidRPr="009C48DA" w:rsidR="00661519" w:rsidP="00661519" w:rsidRDefault="00661519" w14:paraId="64C0154E" w14:textId="77777777">
      <w:pPr>
        <w:ind w:right="72"/>
        <w:jc w:val="both"/>
        <w:textAlignment w:val="baseline"/>
        <w:rPr>
          <w:rFonts w:eastAsia="Times New Roman" w:cs="Times New Roman"/>
          <w:color w:val="000000"/>
          <w:sz w:val="16"/>
          <w:szCs w:val="22"/>
          <w:lang w:val="en-GB"/>
        </w:rPr>
      </w:pPr>
    </w:p>
    <w:p w:rsidRPr="009C48DA" w:rsidR="00661519" w:rsidP="00661519" w:rsidRDefault="00661519" w14:paraId="37FE2F4C" w14:textId="77777777">
      <w:pPr>
        <w:ind w:right="72"/>
        <w:jc w:val="both"/>
        <w:textAlignment w:val="baseline"/>
        <w:rPr>
          <w:rFonts w:eastAsia="Times New Roman" w:cs="Times New Roman"/>
          <w:color w:val="000000"/>
          <w:sz w:val="16"/>
          <w:szCs w:val="22"/>
          <w:lang w:val="en-GB"/>
        </w:rPr>
      </w:pPr>
    </w:p>
    <w:p w:rsidRPr="009C48DA" w:rsidR="00661519" w:rsidP="00661519" w:rsidRDefault="00661519" w14:paraId="2D6947E8" w14:textId="77777777">
      <w:pPr>
        <w:ind w:right="72"/>
        <w:jc w:val="both"/>
        <w:textAlignment w:val="baseline"/>
        <w:rPr>
          <w:rFonts w:eastAsia="Times New Roman" w:cs="Times New Roman"/>
          <w:color w:val="000000"/>
          <w:sz w:val="16"/>
          <w:szCs w:val="22"/>
          <w:lang w:val="en-GB"/>
        </w:rPr>
      </w:pPr>
      <w:r w:rsidRPr="009C48DA">
        <w:rPr>
          <w:rFonts w:eastAsia="Times New Roman" w:cs="Times New Roman"/>
          <w:b/>
          <w:color w:val="000000"/>
          <w:sz w:val="16"/>
          <w:szCs w:val="16"/>
          <w:lang w:val="en-GB"/>
        </w:rPr>
        <w:t>(c)</w:t>
      </w:r>
      <w:r w:rsidRPr="009C48DA">
        <w:rPr>
          <w:rFonts w:eastAsia="Times New Roman" w:cs="Times New Roman"/>
          <w:b/>
          <w:color w:val="000000"/>
          <w:sz w:val="16"/>
          <w:szCs w:val="16"/>
          <w:lang w:val="en-GB"/>
        </w:rPr>
        <w:tab/>
        <w:t xml:space="preserve">Borrowings </w:t>
      </w:r>
    </w:p>
    <w:p w:rsidRPr="009C48DA" w:rsidR="00661519" w:rsidP="00661519" w:rsidRDefault="00661519" w14:paraId="3AF86C31" w14:textId="77777777">
      <w:pPr>
        <w:ind w:right="72"/>
        <w:jc w:val="both"/>
        <w:textAlignment w:val="baseline"/>
        <w:rPr>
          <w:rFonts w:eastAsia="Times New Roman"/>
          <w:color w:val="000000"/>
          <w:sz w:val="16"/>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36"/>
        <w:gridCol w:w="1275"/>
        <w:gridCol w:w="1276"/>
        <w:gridCol w:w="1451"/>
        <w:gridCol w:w="1276"/>
      </w:tblGrid>
      <w:tr w:rsidRPr="009C48DA" w:rsidR="00661519" w:rsidTr="00661519" w14:paraId="62901822" w14:textId="77777777">
        <w:tc>
          <w:tcPr>
            <w:tcW w:w="3936" w:type="dxa"/>
            <w:vAlign w:val="bottom"/>
          </w:tcPr>
          <w:p w:rsidRPr="009C48DA" w:rsidR="00661519" w:rsidP="00661519" w:rsidRDefault="00661519" w14:paraId="675B76A1" w14:textId="77777777">
            <w:pPr>
              <w:jc w:val="both"/>
              <w:textAlignment w:val="baseline"/>
              <w:rPr>
                <w:rFonts w:eastAsia="Times New Roman"/>
                <w:b/>
                <w:color w:val="000000"/>
                <w:sz w:val="16"/>
                <w:szCs w:val="16"/>
                <w:lang w:val="en-GB"/>
              </w:rPr>
            </w:pPr>
          </w:p>
        </w:tc>
        <w:tc>
          <w:tcPr>
            <w:tcW w:w="4002" w:type="dxa"/>
            <w:gridSpan w:val="3"/>
            <w:vAlign w:val="bottom"/>
          </w:tcPr>
          <w:p w:rsidRPr="009C48DA" w:rsidR="00661519" w:rsidP="00661519" w:rsidRDefault="00661519" w14:paraId="3AE2EEBB"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December</w:t>
            </w:r>
          </w:p>
        </w:tc>
        <w:tc>
          <w:tcPr>
            <w:tcW w:w="1276" w:type="dxa"/>
            <w:vAlign w:val="bottom"/>
          </w:tcPr>
          <w:p w:rsidRPr="009C48DA" w:rsidR="00661519" w:rsidP="00661519" w:rsidRDefault="00661519" w14:paraId="2EED5985"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41548D3D" w14:textId="77777777">
        <w:tc>
          <w:tcPr>
            <w:tcW w:w="3936" w:type="dxa"/>
            <w:vAlign w:val="bottom"/>
          </w:tcPr>
          <w:p w:rsidRPr="009C48DA" w:rsidR="00661519" w:rsidP="00661519" w:rsidRDefault="00661519" w14:paraId="4CFAC1DE" w14:textId="77777777">
            <w:pPr>
              <w:jc w:val="both"/>
              <w:textAlignment w:val="baseline"/>
              <w:rPr>
                <w:rFonts w:eastAsia="Times New Roman"/>
                <w:b/>
                <w:color w:val="000000"/>
                <w:sz w:val="16"/>
                <w:lang w:val="en-GB"/>
              </w:rPr>
            </w:pPr>
          </w:p>
        </w:tc>
        <w:tc>
          <w:tcPr>
            <w:tcW w:w="1275" w:type="dxa"/>
            <w:vAlign w:val="bottom"/>
          </w:tcPr>
          <w:p w:rsidRPr="009C48DA" w:rsidR="00661519" w:rsidP="00661519" w:rsidRDefault="00661519" w14:paraId="4AEC429B"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64C40FCB"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509ED6A1"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789CD04D"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451" w:type="dxa"/>
            <w:vAlign w:val="bottom"/>
          </w:tcPr>
          <w:p w:rsidRPr="009C48DA" w:rsidR="00661519" w:rsidP="00661519" w:rsidRDefault="00661519" w14:paraId="32F016CE"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3FA7A7FD"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76" w:type="dxa"/>
            <w:vAlign w:val="bottom"/>
          </w:tcPr>
          <w:p w:rsidRPr="009C48DA" w:rsidR="00661519" w:rsidP="00661519" w:rsidRDefault="00661519" w14:paraId="1DE475DF"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608AA122"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435FB1F8" w14:textId="77777777">
        <w:tc>
          <w:tcPr>
            <w:tcW w:w="0" w:type="auto"/>
            <w:vAlign w:val="center"/>
          </w:tcPr>
          <w:p w:rsidRPr="009C48DA" w:rsidR="00661519" w:rsidP="00661519" w:rsidRDefault="00661519" w14:paraId="63BB289C" w14:textId="77777777">
            <w:pPr>
              <w:textAlignment w:val="baseline"/>
              <w:rPr>
                <w:rFonts w:eastAsia="Times New Roman"/>
                <w:i/>
                <w:color w:val="000000"/>
                <w:sz w:val="16"/>
                <w:lang w:val="en-GB"/>
              </w:rPr>
            </w:pPr>
            <w:r w:rsidRPr="009C48DA">
              <w:rPr>
                <w:rFonts w:eastAsia="Times New Roman"/>
                <w:b/>
                <w:i/>
                <w:color w:val="000000"/>
                <w:sz w:val="16"/>
                <w:lang w:val="en-GB"/>
              </w:rPr>
              <w:t>Liabilities held at amortised cost:</w:t>
            </w:r>
          </w:p>
        </w:tc>
        <w:tc>
          <w:tcPr>
            <w:tcW w:w="0" w:type="auto"/>
            <w:vAlign w:val="center"/>
          </w:tcPr>
          <w:p w:rsidRPr="009C48DA" w:rsidR="00661519" w:rsidP="00661519" w:rsidRDefault="00661519" w14:paraId="1E11E581"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2F9E50DE" w14:textId="77777777">
            <w:pPr>
              <w:jc w:val="right"/>
              <w:textAlignment w:val="baseline"/>
              <w:rPr>
                <w:rFonts w:eastAsia="Times New Roman"/>
                <w:color w:val="000000"/>
                <w:sz w:val="16"/>
                <w:lang w:val="en-GB"/>
              </w:rPr>
            </w:pPr>
          </w:p>
        </w:tc>
        <w:tc>
          <w:tcPr>
            <w:tcW w:w="1451" w:type="dxa"/>
            <w:vAlign w:val="center"/>
          </w:tcPr>
          <w:p w:rsidRPr="009C48DA" w:rsidR="00661519" w:rsidP="00661519" w:rsidRDefault="00661519" w14:paraId="679127AB" w14:textId="77777777">
            <w:pPr>
              <w:jc w:val="right"/>
              <w:textAlignment w:val="baseline"/>
              <w:rPr>
                <w:rFonts w:eastAsia="Times New Roman"/>
                <w:color w:val="000000"/>
                <w:sz w:val="16"/>
                <w:lang w:val="en-GB"/>
              </w:rPr>
            </w:pPr>
          </w:p>
        </w:tc>
        <w:tc>
          <w:tcPr>
            <w:tcW w:w="1276" w:type="dxa"/>
            <w:vAlign w:val="center"/>
          </w:tcPr>
          <w:p w:rsidRPr="009C48DA" w:rsidR="00661519" w:rsidP="00661519" w:rsidRDefault="00661519" w14:paraId="46ABAEDA" w14:textId="77777777">
            <w:pPr>
              <w:jc w:val="right"/>
              <w:textAlignment w:val="baseline"/>
              <w:rPr>
                <w:rFonts w:eastAsia="Times New Roman"/>
                <w:color w:val="000000"/>
                <w:sz w:val="16"/>
                <w:lang w:val="en-GB"/>
              </w:rPr>
            </w:pPr>
          </w:p>
        </w:tc>
      </w:tr>
      <w:tr w:rsidRPr="009C48DA" w:rsidR="00661519" w:rsidTr="00661519" w14:paraId="3677219B" w14:textId="77777777">
        <w:tc>
          <w:tcPr>
            <w:tcW w:w="0" w:type="auto"/>
            <w:vAlign w:val="center"/>
          </w:tcPr>
          <w:p w:rsidRPr="009C48DA" w:rsidR="00661519" w:rsidP="00661519" w:rsidRDefault="00661519" w14:paraId="493B4997" w14:textId="77777777">
            <w:pPr>
              <w:textAlignment w:val="baseline"/>
              <w:rPr>
                <w:rFonts w:eastAsia="Times New Roman"/>
                <w:color w:val="000000"/>
                <w:sz w:val="16"/>
                <w:lang w:val="en-GB"/>
              </w:rPr>
            </w:pPr>
            <w:r w:rsidRPr="009C48DA">
              <w:rPr>
                <w:rFonts w:eastAsia="Times New Roman"/>
                <w:color w:val="000000"/>
                <w:sz w:val="16"/>
                <w:lang w:val="en-GB"/>
              </w:rPr>
              <w:t>Bank loans due in less than one year</w:t>
            </w:r>
          </w:p>
        </w:tc>
        <w:tc>
          <w:tcPr>
            <w:tcW w:w="0" w:type="auto"/>
            <w:vAlign w:val="center"/>
          </w:tcPr>
          <w:p w:rsidRPr="009C48DA" w:rsidR="00661519" w:rsidP="00661519" w:rsidRDefault="00661519" w14:paraId="0282FF2D"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center"/>
          </w:tcPr>
          <w:p w:rsidRPr="009C48DA" w:rsidR="00661519" w:rsidP="00661519" w:rsidRDefault="00661519" w14:paraId="7684023D" w14:textId="77777777">
            <w:pPr>
              <w:jc w:val="right"/>
              <w:textAlignment w:val="baseline"/>
              <w:rPr>
                <w:rFonts w:eastAsia="Times New Roman"/>
                <w:color w:val="000000"/>
                <w:sz w:val="16"/>
                <w:lang w:val="en-GB"/>
              </w:rPr>
            </w:pPr>
            <w:r w:rsidRPr="009C48DA">
              <w:rPr>
                <w:rFonts w:eastAsia="Times New Roman"/>
                <w:color w:val="000000"/>
                <w:sz w:val="16"/>
                <w:lang w:val="en-GB"/>
              </w:rPr>
              <w:t>23,036</w:t>
            </w:r>
          </w:p>
        </w:tc>
        <w:tc>
          <w:tcPr>
            <w:tcW w:w="1451" w:type="dxa"/>
            <w:vAlign w:val="center"/>
          </w:tcPr>
          <w:p w:rsidRPr="009C48DA" w:rsidR="00661519" w:rsidP="00661519" w:rsidRDefault="00661519" w14:paraId="4156D466" w14:textId="77777777">
            <w:pPr>
              <w:jc w:val="right"/>
              <w:textAlignment w:val="baseline"/>
              <w:rPr>
                <w:rFonts w:eastAsia="Times New Roman"/>
                <w:color w:val="000000"/>
                <w:sz w:val="16"/>
                <w:lang w:val="en-GB"/>
              </w:rPr>
            </w:pPr>
            <w:r w:rsidRPr="009C48DA">
              <w:rPr>
                <w:rFonts w:eastAsia="Times New Roman"/>
                <w:color w:val="000000"/>
                <w:sz w:val="16"/>
                <w:lang w:val="en-GB"/>
              </w:rPr>
              <w:t>99,708</w:t>
            </w:r>
          </w:p>
        </w:tc>
        <w:tc>
          <w:tcPr>
            <w:tcW w:w="1276" w:type="dxa"/>
            <w:vAlign w:val="center"/>
          </w:tcPr>
          <w:p w:rsidRPr="009C48DA" w:rsidR="00661519" w:rsidP="00661519" w:rsidRDefault="00661519" w14:paraId="3B1F2FBC" w14:textId="77777777">
            <w:pPr>
              <w:jc w:val="right"/>
              <w:textAlignment w:val="baseline"/>
              <w:rPr>
                <w:rFonts w:eastAsia="Times New Roman"/>
                <w:color w:val="000000"/>
                <w:sz w:val="16"/>
                <w:lang w:val="en-GB"/>
              </w:rPr>
            </w:pPr>
            <w:r w:rsidRPr="009C48DA">
              <w:rPr>
                <w:rFonts w:eastAsia="Times New Roman"/>
                <w:color w:val="000000"/>
                <w:sz w:val="16"/>
                <w:lang w:val="en-GB"/>
              </w:rPr>
              <w:t>87,493</w:t>
            </w:r>
          </w:p>
        </w:tc>
      </w:tr>
      <w:tr w:rsidRPr="009C48DA" w:rsidR="00661519" w:rsidTr="00661519" w14:paraId="0938BE32" w14:textId="77777777">
        <w:tc>
          <w:tcPr>
            <w:tcW w:w="0" w:type="auto"/>
          </w:tcPr>
          <w:p w:rsidRPr="009C48DA" w:rsidR="00661519" w:rsidP="00661519" w:rsidRDefault="00661519" w14:paraId="1350F6C7" w14:textId="77777777">
            <w:pPr>
              <w:textAlignment w:val="baseline"/>
              <w:rPr>
                <w:rFonts w:eastAsia="Times New Roman"/>
                <w:color w:val="000000"/>
                <w:sz w:val="16"/>
                <w:lang w:val="en-GB"/>
              </w:rPr>
            </w:pPr>
            <w:r w:rsidRPr="009C48DA">
              <w:rPr>
                <w:rFonts w:eastAsia="Times New Roman"/>
                <w:color w:val="000000"/>
                <w:sz w:val="16"/>
                <w:lang w:val="en-GB"/>
              </w:rPr>
              <w:t>Bank loans due in more than one year</w:t>
            </w:r>
          </w:p>
        </w:tc>
        <w:tc>
          <w:tcPr>
            <w:tcW w:w="0" w:type="auto"/>
            <w:vAlign w:val="center"/>
          </w:tcPr>
          <w:p w:rsidRPr="009C48DA" w:rsidR="00661519" w:rsidP="00661519" w:rsidRDefault="00661519" w14:paraId="2417DE00"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77,316</w:t>
            </w:r>
          </w:p>
        </w:tc>
        <w:tc>
          <w:tcPr>
            <w:tcW w:w="0" w:type="auto"/>
            <w:vAlign w:val="center"/>
          </w:tcPr>
          <w:p w:rsidRPr="009C48DA" w:rsidR="00661519" w:rsidP="00661519" w:rsidRDefault="00661519" w14:paraId="42AC7832"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19,226</w:t>
            </w:r>
          </w:p>
        </w:tc>
        <w:tc>
          <w:tcPr>
            <w:tcW w:w="1451" w:type="dxa"/>
            <w:vAlign w:val="center"/>
          </w:tcPr>
          <w:p w:rsidRPr="009C48DA" w:rsidR="00661519" w:rsidP="00661519" w:rsidRDefault="00661519" w14:paraId="6D8BF9F7"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76" w:type="dxa"/>
            <w:vAlign w:val="center"/>
          </w:tcPr>
          <w:p w:rsidRPr="009C48DA" w:rsidR="00661519" w:rsidP="00661519" w:rsidRDefault="00661519" w14:paraId="2E0176D6"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183EB052" w14:textId="77777777">
        <w:tc>
          <w:tcPr>
            <w:tcW w:w="0" w:type="auto"/>
            <w:vAlign w:val="center"/>
          </w:tcPr>
          <w:p w:rsidRPr="009C48DA" w:rsidR="00661519" w:rsidP="00661519" w:rsidRDefault="00661519" w14:paraId="60E53E75" w14:textId="77777777">
            <w:pPr>
              <w:textAlignment w:val="baseline"/>
              <w:rPr>
                <w:rFonts w:eastAsia="Times New Roman"/>
                <w:color w:val="000000"/>
                <w:sz w:val="16"/>
                <w:lang w:val="en-GB"/>
              </w:rPr>
            </w:pPr>
          </w:p>
        </w:tc>
        <w:tc>
          <w:tcPr>
            <w:tcW w:w="0" w:type="auto"/>
            <w:vAlign w:val="center"/>
          </w:tcPr>
          <w:p w:rsidRPr="009C48DA" w:rsidR="00661519" w:rsidP="00661519" w:rsidRDefault="00661519" w14:paraId="5599F47B"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77,316</w:t>
            </w:r>
          </w:p>
        </w:tc>
        <w:tc>
          <w:tcPr>
            <w:tcW w:w="0" w:type="auto"/>
            <w:vAlign w:val="center"/>
          </w:tcPr>
          <w:p w:rsidRPr="009C48DA" w:rsidR="00661519" w:rsidP="00661519" w:rsidRDefault="00661519" w14:paraId="0E44F4B1"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42,262</w:t>
            </w:r>
          </w:p>
        </w:tc>
        <w:tc>
          <w:tcPr>
            <w:tcW w:w="1451" w:type="dxa"/>
            <w:vAlign w:val="center"/>
          </w:tcPr>
          <w:p w:rsidRPr="009C48DA" w:rsidR="00661519" w:rsidP="00661519" w:rsidRDefault="00661519" w14:paraId="066BF442"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99,708</w:t>
            </w:r>
          </w:p>
        </w:tc>
        <w:tc>
          <w:tcPr>
            <w:tcW w:w="1276" w:type="dxa"/>
            <w:vAlign w:val="center"/>
          </w:tcPr>
          <w:p w:rsidRPr="009C48DA" w:rsidR="00661519" w:rsidP="00661519" w:rsidRDefault="00661519" w14:paraId="7686462A"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87,493</w:t>
            </w:r>
          </w:p>
        </w:tc>
      </w:tr>
    </w:tbl>
    <w:p w:rsidRPr="009C48DA" w:rsidR="00661519" w:rsidP="00661519" w:rsidRDefault="00661519" w14:paraId="37FF0564" w14:textId="77777777">
      <w:pPr>
        <w:ind w:right="72"/>
        <w:jc w:val="both"/>
        <w:textAlignment w:val="baseline"/>
        <w:rPr>
          <w:rFonts w:eastAsia="Times New Roman" w:cs="Times New Roman"/>
          <w:color w:val="000000"/>
          <w:sz w:val="16"/>
          <w:szCs w:val="22"/>
          <w:lang w:val="en-GB"/>
        </w:rPr>
      </w:pPr>
    </w:p>
    <w:p w:rsidRPr="009C48DA" w:rsidR="00661519" w:rsidP="00661519" w:rsidRDefault="00661519" w14:paraId="4D7EB1BB" w14:textId="77777777">
      <w:pPr>
        <w:spacing w:before="1" w:line="184" w:lineRule="exact"/>
        <w:ind w:left="72" w:right="72"/>
        <w:jc w:val="both"/>
        <w:textAlignment w:val="baseline"/>
        <w:rPr>
          <w:rFonts w:eastAsia="Times New Roman"/>
          <w:color w:val="000000"/>
          <w:spacing w:val="2"/>
          <w:sz w:val="16"/>
          <w:lang w:val="en-GB"/>
        </w:rPr>
      </w:pPr>
      <w:r w:rsidRPr="009C48DA">
        <w:rPr>
          <w:rFonts w:eastAsia="Times New Roman"/>
          <w:color w:val="000000"/>
          <w:spacing w:val="2"/>
          <w:sz w:val="16"/>
          <w:lang w:val="en-GB"/>
        </w:rPr>
        <w:t xml:space="preserve">On 17 May 2017, Bridgepoint Advisers Holdings, a subsidiary, entered into a Revolving Credit Agreement for €30m which was subsequently increased to a €60m facility on 25 March 2020 for a period of 30 months. On 19 October 2020, Bridgepoint Advisers Holdings, entered into a new Revolving Facility Agreement for £125m for a period of three years. At 31 December 2020, £90.7m had been drawn from the revolving credit (2019: £23.0m drawn, 2018: undrawn). At 31 March 2021, £78.9m had been drawn on the facility. Loan arrangement fees of £1.25m have been capitalised and are being amortised over the life of the facility. At 31 December 2020 the </w:t>
      </w:r>
    </w:p>
    <w:p w:rsidRPr="009C48DA" w:rsidR="00661519" w:rsidP="00661519" w:rsidRDefault="00661519" w14:paraId="10753C10" w14:textId="77777777">
      <w:pPr>
        <w:spacing w:before="1" w:line="184" w:lineRule="exact"/>
        <w:ind w:left="72" w:right="72"/>
        <w:jc w:val="both"/>
        <w:textAlignment w:val="baseline"/>
        <w:rPr>
          <w:rFonts w:eastAsia="Times New Roman"/>
          <w:color w:val="000000"/>
          <w:spacing w:val="2"/>
          <w:sz w:val="16"/>
          <w:lang w:val="en-GB"/>
        </w:rPr>
      </w:pPr>
      <w:r w:rsidRPr="009C48DA">
        <w:rPr>
          <w:rFonts w:eastAsia="Times New Roman"/>
          <w:color w:val="000000"/>
          <w:spacing w:val="2"/>
          <w:sz w:val="16"/>
          <w:lang w:val="en-GB"/>
        </w:rPr>
        <w:t>unamortised fees are £1.2m and at 31 March 2021 are £1.0m.</w:t>
      </w:r>
    </w:p>
    <w:p w:rsidRPr="009C48DA" w:rsidR="00661519" w:rsidP="00661519" w:rsidRDefault="00661519" w14:paraId="7C8DDF37" w14:textId="77777777">
      <w:pPr>
        <w:spacing w:before="108" w:line="182" w:lineRule="exact"/>
        <w:ind w:left="72" w:right="72"/>
        <w:jc w:val="both"/>
        <w:textAlignment w:val="baseline"/>
        <w:rPr>
          <w:rFonts w:eastAsia="Times New Roman"/>
          <w:color w:val="000000"/>
          <w:sz w:val="16"/>
          <w:lang w:val="en-GB"/>
        </w:rPr>
      </w:pPr>
      <w:r w:rsidRPr="009C48DA">
        <w:rPr>
          <w:rFonts w:eastAsia="Times New Roman"/>
          <w:color w:val="000000"/>
          <w:sz w:val="16"/>
          <w:lang w:val="en-GB"/>
        </w:rPr>
        <w:t xml:space="preserve">On 17 October 2017, Opal Investments LP, a subsidiary, entered into a Revolving Credit Agreement for €40.0m for a period of 50 months. On 31 January 2020 the size of the facility was reduced to €25.0m and on 9 October 2020 was reduced to €15.0m. At 31 December 2020, £10.1m had been drawn on the facility (2019: £19.2m, 2018: £28.1m). At 31 March 2021, £9.7m had been drawn on the facility. The facility </w:t>
      </w:r>
    </w:p>
    <w:p w:rsidRPr="009C48DA" w:rsidR="00661519" w:rsidP="00661519" w:rsidRDefault="00661519" w14:paraId="69B94407" w14:textId="77777777">
      <w:pPr>
        <w:spacing w:line="182" w:lineRule="exact"/>
        <w:ind w:left="72" w:right="72"/>
        <w:jc w:val="both"/>
        <w:textAlignment w:val="baseline"/>
        <w:rPr>
          <w:rFonts w:eastAsia="Times New Roman"/>
          <w:color w:val="000000"/>
          <w:sz w:val="16"/>
          <w:lang w:val="en-GB"/>
        </w:rPr>
      </w:pPr>
      <w:r w:rsidRPr="009C48DA">
        <w:rPr>
          <w:rFonts w:eastAsia="Times New Roman"/>
          <w:color w:val="000000"/>
          <w:sz w:val="16"/>
          <w:lang w:val="en-GB"/>
        </w:rPr>
        <w:t>was repaid in full in June 2021.</w:t>
      </w:r>
    </w:p>
    <w:p w:rsidRPr="009C48DA" w:rsidR="00661519" w:rsidP="00661519" w:rsidRDefault="00661519" w14:paraId="0373B4E9" w14:textId="77777777">
      <w:pPr>
        <w:spacing w:before="186" w:line="183" w:lineRule="exact"/>
        <w:ind w:left="72" w:right="72"/>
        <w:jc w:val="both"/>
        <w:textAlignment w:val="baseline"/>
        <w:rPr>
          <w:rFonts w:eastAsia="Times New Roman"/>
          <w:color w:val="000000"/>
          <w:sz w:val="16"/>
          <w:lang w:val="en-GB"/>
        </w:rPr>
      </w:pPr>
      <w:r w:rsidRPr="009C48DA">
        <w:rPr>
          <w:rFonts w:eastAsia="Times New Roman"/>
          <w:color w:val="000000"/>
          <w:sz w:val="16"/>
          <w:lang w:val="en-GB"/>
        </w:rPr>
        <w:t xml:space="preserve">On 16 May 2017, CDG Europe S.à r.l., a subsidiary entered into a three year revolving credit facility for €67.5m. On 3 June 2019, the </w:t>
      </w:r>
    </w:p>
    <w:p w:rsidRPr="009C48DA" w:rsidR="00661519" w:rsidP="00661519" w:rsidRDefault="00661519" w14:paraId="08F0057F" w14:textId="77777777">
      <w:pPr>
        <w:spacing w:line="183" w:lineRule="exact"/>
        <w:ind w:left="72" w:right="72"/>
        <w:jc w:val="both"/>
        <w:textAlignment w:val="baseline"/>
        <w:rPr>
          <w:rFonts w:eastAsia="Times New Roman"/>
          <w:color w:val="000000"/>
          <w:sz w:val="16"/>
          <w:lang w:val="en-GB"/>
        </w:rPr>
      </w:pPr>
      <w:r w:rsidRPr="009C48DA">
        <w:rPr>
          <w:rFonts w:eastAsia="Times New Roman"/>
          <w:color w:val="000000"/>
          <w:sz w:val="16"/>
          <w:lang w:val="en-GB"/>
        </w:rPr>
        <w:t>outstanding balance was repaid. This facility related to the portfolio of loans held at amortised cost.</w:t>
      </w:r>
    </w:p>
    <w:p w:rsidRPr="009C48DA" w:rsidR="00661519" w:rsidP="00661519" w:rsidRDefault="00661519" w14:paraId="7B0F8B1C" w14:textId="77777777">
      <w:pPr>
        <w:spacing w:before="99" w:line="184" w:lineRule="exact"/>
        <w:ind w:left="72"/>
        <w:textAlignment w:val="baseline"/>
        <w:rPr>
          <w:rFonts w:eastAsia="Times New Roman"/>
          <w:color w:val="000000"/>
          <w:sz w:val="16"/>
          <w:lang w:val="en-GB"/>
        </w:rPr>
      </w:pPr>
      <w:r w:rsidRPr="009C48DA">
        <w:rPr>
          <w:rFonts w:eastAsia="Times New Roman"/>
          <w:color w:val="000000"/>
          <w:sz w:val="16"/>
          <w:lang w:val="en-GB"/>
        </w:rPr>
        <w:t>There are no material differences between the above amounts for borrowings held at amortised cost and their fair value.</w:t>
      </w:r>
    </w:p>
    <w:p w:rsidRPr="009C48DA" w:rsidR="00661519" w:rsidP="00661519" w:rsidRDefault="00661519" w14:paraId="1E58B74C" w14:textId="77777777">
      <w:pPr>
        <w:ind w:right="72"/>
        <w:jc w:val="both"/>
        <w:textAlignment w:val="baseline"/>
        <w:rPr>
          <w:rFonts w:eastAsia="Times New Roman" w:cs="Times New Roman"/>
          <w:color w:val="000000"/>
          <w:sz w:val="16"/>
          <w:szCs w:val="22"/>
          <w:lang w:val="en-GB"/>
        </w:rPr>
      </w:pPr>
    </w:p>
    <w:p w:rsidRPr="009C48DA" w:rsidR="00661519" w:rsidP="00661519" w:rsidRDefault="00661519" w14:paraId="4C7C977B" w14:textId="77777777">
      <w:pPr>
        <w:ind w:right="72"/>
        <w:jc w:val="both"/>
        <w:textAlignment w:val="baseline"/>
        <w:rPr>
          <w:rFonts w:eastAsia="Times New Roman" w:cs="Times New Roman"/>
          <w:color w:val="000000"/>
          <w:sz w:val="16"/>
          <w:szCs w:val="22"/>
          <w:lang w:val="en-GB"/>
        </w:rPr>
      </w:pPr>
    </w:p>
    <w:p w:rsidRPr="009C48DA" w:rsidR="00661519" w:rsidP="00661519" w:rsidRDefault="00661519" w14:paraId="62CC1E5A" w14:textId="77777777">
      <w:pPr>
        <w:spacing w:line="177" w:lineRule="exact"/>
        <w:jc w:val="both"/>
        <w:textAlignment w:val="baseline"/>
        <w:rPr>
          <w:rFonts w:eastAsia="Times New Roman"/>
          <w:color w:val="000000"/>
          <w:sz w:val="16"/>
          <w:lang w:val="en-GB"/>
        </w:rPr>
      </w:pPr>
      <w:r w:rsidRPr="009C48DA">
        <w:rPr>
          <w:rFonts w:eastAsia="Times New Roman"/>
          <w:b/>
          <w:color w:val="000000"/>
          <w:sz w:val="16"/>
          <w:lang w:val="en-GB"/>
        </w:rPr>
        <w:t>(d)</w:t>
      </w:r>
      <w:r w:rsidRPr="009C48DA">
        <w:rPr>
          <w:rFonts w:eastAsia="Times New Roman"/>
          <w:b/>
          <w:color w:val="000000"/>
          <w:sz w:val="16"/>
          <w:lang w:val="en-GB"/>
        </w:rPr>
        <w:tab/>
        <w:t>Other financial liabilities</w:t>
      </w:r>
    </w:p>
    <w:p w:rsidRPr="009C48DA" w:rsidR="00661519" w:rsidP="00661519" w:rsidRDefault="00661519" w14:paraId="4BB54646" w14:textId="77777777">
      <w:pPr>
        <w:spacing w:line="177" w:lineRule="exact"/>
        <w:jc w:val="both"/>
        <w:textAlignment w:val="baseline"/>
        <w:rPr>
          <w:rFonts w:eastAsia="Times New Roman"/>
          <w:color w:val="000000"/>
          <w:sz w:val="16"/>
          <w:lang w:val="en-GB"/>
        </w:rPr>
      </w:pPr>
    </w:p>
    <w:tbl>
      <w:tblPr>
        <w:tblStyle w:val="TableGrid30"/>
        <w:tblW w:w="935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72"/>
        <w:gridCol w:w="1319"/>
        <w:gridCol w:w="1320"/>
        <w:gridCol w:w="1320"/>
        <w:gridCol w:w="1320"/>
      </w:tblGrid>
      <w:tr w:rsidRPr="009C48DA" w:rsidR="00661519" w:rsidTr="00661519" w14:paraId="65F337AA" w14:textId="77777777">
        <w:trPr>
          <w:trHeight w:val="225"/>
        </w:trPr>
        <w:tc>
          <w:tcPr>
            <w:tcW w:w="4072" w:type="dxa"/>
            <w:vAlign w:val="bottom"/>
          </w:tcPr>
          <w:p w:rsidRPr="009C48DA" w:rsidR="00661519" w:rsidP="00661519" w:rsidRDefault="00661519" w14:paraId="0455D4A2" w14:textId="77777777">
            <w:pPr>
              <w:jc w:val="both"/>
              <w:textAlignment w:val="baseline"/>
              <w:rPr>
                <w:rFonts w:eastAsia="Times New Roman"/>
                <w:b/>
                <w:color w:val="000000"/>
                <w:sz w:val="16"/>
                <w:szCs w:val="16"/>
                <w:lang w:val="en-GB"/>
              </w:rPr>
            </w:pPr>
          </w:p>
        </w:tc>
        <w:tc>
          <w:tcPr>
            <w:tcW w:w="3959" w:type="dxa"/>
            <w:gridSpan w:val="3"/>
            <w:vAlign w:val="bottom"/>
          </w:tcPr>
          <w:p w:rsidRPr="009C48DA" w:rsidR="00661519" w:rsidP="00661519" w:rsidRDefault="00661519" w14:paraId="6BCAFF39"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December</w:t>
            </w:r>
          </w:p>
        </w:tc>
        <w:tc>
          <w:tcPr>
            <w:tcW w:w="1320" w:type="dxa"/>
            <w:vAlign w:val="bottom"/>
          </w:tcPr>
          <w:p w:rsidRPr="009C48DA" w:rsidR="00661519" w:rsidP="00661519" w:rsidRDefault="00661519" w14:paraId="65AE2CA2"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21E61C85" w14:textId="77777777">
        <w:trPr>
          <w:trHeight w:val="393"/>
        </w:trPr>
        <w:tc>
          <w:tcPr>
            <w:tcW w:w="4072" w:type="dxa"/>
            <w:vAlign w:val="bottom"/>
          </w:tcPr>
          <w:p w:rsidRPr="009C48DA" w:rsidR="00661519" w:rsidP="00661519" w:rsidRDefault="00661519" w14:paraId="3EAB556A" w14:textId="77777777">
            <w:pPr>
              <w:jc w:val="both"/>
              <w:textAlignment w:val="baseline"/>
              <w:rPr>
                <w:rFonts w:eastAsia="Times New Roman"/>
                <w:b/>
                <w:color w:val="000000"/>
                <w:sz w:val="16"/>
                <w:lang w:val="en-GB"/>
              </w:rPr>
            </w:pPr>
          </w:p>
        </w:tc>
        <w:tc>
          <w:tcPr>
            <w:tcW w:w="1319" w:type="dxa"/>
            <w:vAlign w:val="bottom"/>
          </w:tcPr>
          <w:p w:rsidRPr="009C48DA" w:rsidR="00661519" w:rsidP="00661519" w:rsidRDefault="00661519" w14:paraId="4DF8A97C"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578ADC0D"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20" w:type="dxa"/>
            <w:vAlign w:val="bottom"/>
          </w:tcPr>
          <w:p w:rsidRPr="009C48DA" w:rsidR="00661519" w:rsidP="00661519" w:rsidRDefault="00661519" w14:paraId="0528CF0B"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099B9731"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20" w:type="dxa"/>
            <w:vAlign w:val="bottom"/>
          </w:tcPr>
          <w:p w:rsidRPr="009C48DA" w:rsidR="00661519" w:rsidP="00661519" w:rsidRDefault="00661519" w14:paraId="3103DD23"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7C47533D"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20" w:type="dxa"/>
            <w:vAlign w:val="bottom"/>
          </w:tcPr>
          <w:p w:rsidRPr="009C48DA" w:rsidR="00661519" w:rsidP="00661519" w:rsidRDefault="00661519" w14:paraId="57514EF5"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654EFA53"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42916522" w14:textId="77777777">
        <w:trPr>
          <w:trHeight w:val="191"/>
        </w:trPr>
        <w:tc>
          <w:tcPr>
            <w:tcW w:w="0" w:type="auto"/>
            <w:vAlign w:val="center"/>
          </w:tcPr>
          <w:p w:rsidRPr="009C48DA" w:rsidR="00661519" w:rsidP="00661519" w:rsidRDefault="00661519" w14:paraId="13E0D00B" w14:textId="77777777">
            <w:pPr>
              <w:textAlignment w:val="baseline"/>
              <w:rPr>
                <w:rFonts w:eastAsia="Times New Roman"/>
                <w:i/>
                <w:color w:val="000000"/>
                <w:sz w:val="16"/>
                <w:lang w:val="en-GB"/>
              </w:rPr>
            </w:pPr>
            <w:r w:rsidRPr="009C48DA">
              <w:rPr>
                <w:rFonts w:eastAsia="Times New Roman"/>
                <w:b/>
                <w:i/>
                <w:color w:val="000000"/>
                <w:sz w:val="16"/>
                <w:lang w:val="en-GB"/>
              </w:rPr>
              <w:t>Liabilities held at fair value through profit and loss:</w:t>
            </w:r>
          </w:p>
        </w:tc>
        <w:tc>
          <w:tcPr>
            <w:tcW w:w="0" w:type="auto"/>
            <w:vAlign w:val="center"/>
          </w:tcPr>
          <w:p w:rsidRPr="009C48DA" w:rsidR="00661519" w:rsidP="00661519" w:rsidRDefault="00661519" w14:paraId="3299F28A"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56FA68FB"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5F9A3EA5"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3B623B80" w14:textId="77777777">
            <w:pPr>
              <w:jc w:val="right"/>
              <w:textAlignment w:val="baseline"/>
              <w:rPr>
                <w:rFonts w:eastAsia="Times New Roman"/>
                <w:color w:val="000000"/>
                <w:sz w:val="16"/>
                <w:lang w:val="en-GB"/>
              </w:rPr>
            </w:pPr>
          </w:p>
        </w:tc>
      </w:tr>
      <w:tr w:rsidRPr="009C48DA" w:rsidR="00661519" w:rsidTr="00661519" w14:paraId="0E548C1A" w14:textId="77777777">
        <w:trPr>
          <w:trHeight w:val="393"/>
        </w:trPr>
        <w:tc>
          <w:tcPr>
            <w:tcW w:w="0" w:type="auto"/>
            <w:vAlign w:val="center"/>
          </w:tcPr>
          <w:p w:rsidRPr="009C48DA" w:rsidR="00661519" w:rsidP="00661519" w:rsidRDefault="00661519" w14:paraId="5EE195B4" w14:textId="77777777">
            <w:pPr>
              <w:textAlignment w:val="baseline"/>
              <w:rPr>
                <w:rFonts w:eastAsia="Times New Roman"/>
                <w:color w:val="000000"/>
                <w:sz w:val="16"/>
                <w:lang w:val="en-GB"/>
              </w:rPr>
            </w:pPr>
            <w:r w:rsidRPr="009C48DA">
              <w:rPr>
                <w:rFonts w:eastAsia="Times New Roman"/>
                <w:color w:val="000000"/>
                <w:sz w:val="16"/>
                <w:lang w:val="en-GB"/>
              </w:rPr>
              <w:t xml:space="preserve">Amount payable to related party investors in Opal </w:t>
            </w:r>
          </w:p>
          <w:p w:rsidRPr="009C48DA" w:rsidR="00661519" w:rsidP="00661519" w:rsidRDefault="00661519" w14:paraId="0F38F7C1" w14:textId="77777777">
            <w:pPr>
              <w:textAlignment w:val="baseline"/>
              <w:rPr>
                <w:rFonts w:eastAsia="Times New Roman"/>
                <w:color w:val="000000"/>
                <w:sz w:val="16"/>
                <w:lang w:val="en-GB"/>
              </w:rPr>
            </w:pPr>
            <w:r w:rsidRPr="009C48DA">
              <w:rPr>
                <w:rFonts w:eastAsia="Times New Roman"/>
                <w:color w:val="000000"/>
                <w:sz w:val="16"/>
                <w:lang w:val="en-GB"/>
              </w:rPr>
              <w:t>Investment LP</w:t>
            </w:r>
          </w:p>
        </w:tc>
        <w:tc>
          <w:tcPr>
            <w:tcW w:w="0" w:type="auto"/>
            <w:vAlign w:val="bottom"/>
          </w:tcPr>
          <w:p w:rsidRPr="009C48DA" w:rsidR="00661519" w:rsidP="00661519" w:rsidRDefault="00661519" w14:paraId="17856708"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2,096</w:t>
            </w:r>
          </w:p>
        </w:tc>
        <w:tc>
          <w:tcPr>
            <w:tcW w:w="0" w:type="auto"/>
            <w:vAlign w:val="bottom"/>
          </w:tcPr>
          <w:p w:rsidRPr="009C48DA" w:rsidR="00661519" w:rsidP="00661519" w:rsidRDefault="00661519" w14:paraId="73CE4F0E"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2,840</w:t>
            </w:r>
          </w:p>
        </w:tc>
        <w:tc>
          <w:tcPr>
            <w:tcW w:w="0" w:type="auto"/>
            <w:vAlign w:val="bottom"/>
          </w:tcPr>
          <w:p w:rsidRPr="009C48DA" w:rsidR="00661519" w:rsidP="00661519" w:rsidRDefault="00661519" w14:paraId="4CBBD248"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3,821</w:t>
            </w:r>
          </w:p>
        </w:tc>
        <w:tc>
          <w:tcPr>
            <w:tcW w:w="0" w:type="auto"/>
            <w:vAlign w:val="bottom"/>
          </w:tcPr>
          <w:p w:rsidRPr="009C48DA" w:rsidR="00661519" w:rsidP="00661519" w:rsidRDefault="00661519" w14:paraId="5C7EFA48"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5,762</w:t>
            </w:r>
          </w:p>
        </w:tc>
      </w:tr>
      <w:tr w:rsidRPr="009C48DA" w:rsidR="00661519" w:rsidTr="00661519" w14:paraId="08562BB7" w14:textId="77777777">
        <w:trPr>
          <w:trHeight w:val="236"/>
        </w:trPr>
        <w:tc>
          <w:tcPr>
            <w:tcW w:w="0" w:type="auto"/>
            <w:vAlign w:val="center"/>
          </w:tcPr>
          <w:p w:rsidRPr="009C48DA" w:rsidR="00661519" w:rsidP="00661519" w:rsidRDefault="00661519" w14:paraId="5C8F8328" w14:textId="77777777">
            <w:pPr>
              <w:textAlignment w:val="baseline"/>
              <w:rPr>
                <w:rFonts w:eastAsia="Times New Roman"/>
                <w:color w:val="000000"/>
                <w:sz w:val="16"/>
                <w:lang w:val="en-GB"/>
              </w:rPr>
            </w:pPr>
          </w:p>
        </w:tc>
        <w:tc>
          <w:tcPr>
            <w:tcW w:w="0" w:type="auto"/>
            <w:vAlign w:val="bottom"/>
          </w:tcPr>
          <w:p w:rsidRPr="009C48DA" w:rsidR="00661519" w:rsidP="00661519" w:rsidRDefault="00661519" w14:paraId="08A77AD7"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2,096</w:t>
            </w:r>
          </w:p>
        </w:tc>
        <w:tc>
          <w:tcPr>
            <w:tcW w:w="0" w:type="auto"/>
            <w:vAlign w:val="bottom"/>
          </w:tcPr>
          <w:p w:rsidRPr="009C48DA" w:rsidR="00661519" w:rsidP="00661519" w:rsidRDefault="00661519" w14:paraId="1C202D66"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2,840</w:t>
            </w:r>
          </w:p>
        </w:tc>
        <w:tc>
          <w:tcPr>
            <w:tcW w:w="0" w:type="auto"/>
            <w:vAlign w:val="bottom"/>
          </w:tcPr>
          <w:p w:rsidRPr="009C48DA" w:rsidR="00661519" w:rsidP="00661519" w:rsidRDefault="00661519" w14:paraId="197A6ABD"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3,821</w:t>
            </w:r>
          </w:p>
        </w:tc>
        <w:tc>
          <w:tcPr>
            <w:tcW w:w="0" w:type="auto"/>
            <w:vAlign w:val="bottom"/>
          </w:tcPr>
          <w:p w:rsidRPr="009C48DA" w:rsidR="00661519" w:rsidP="00661519" w:rsidRDefault="00661519" w14:paraId="085D8F7C"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5,762</w:t>
            </w:r>
          </w:p>
        </w:tc>
      </w:tr>
    </w:tbl>
    <w:p w:rsidRPr="009C48DA" w:rsidR="00661519" w:rsidP="00661519" w:rsidRDefault="00661519" w14:paraId="6CD7D0A3" w14:textId="77777777">
      <w:pPr>
        <w:spacing w:line="177" w:lineRule="exact"/>
        <w:jc w:val="both"/>
        <w:textAlignment w:val="baseline"/>
        <w:rPr>
          <w:rFonts w:eastAsia="Times New Roman"/>
          <w:color w:val="000000"/>
          <w:sz w:val="16"/>
          <w:lang w:val="en-GB"/>
        </w:rPr>
      </w:pPr>
    </w:p>
    <w:p w:rsidRPr="009C48DA" w:rsidR="00661519" w:rsidP="00661519" w:rsidRDefault="00661519" w14:paraId="2E6BF028" w14:textId="77777777">
      <w:pPr>
        <w:spacing w:line="177" w:lineRule="exact"/>
        <w:jc w:val="both"/>
        <w:textAlignment w:val="baseline"/>
        <w:rPr>
          <w:rFonts w:eastAsia="Times New Roman"/>
          <w:color w:val="000000"/>
          <w:sz w:val="16"/>
          <w:lang w:val="en-GB"/>
        </w:rPr>
      </w:pPr>
    </w:p>
    <w:p w:rsidRPr="009C48DA" w:rsidR="00661519" w:rsidP="00661519" w:rsidRDefault="00661519" w14:paraId="7DE8FA94" w14:textId="77777777">
      <w:pPr>
        <w:spacing w:line="177" w:lineRule="exact"/>
        <w:jc w:val="both"/>
        <w:textAlignment w:val="baseline"/>
        <w:rPr>
          <w:rFonts w:eastAsia="Times New Roman"/>
          <w:color w:val="000000"/>
          <w:sz w:val="16"/>
          <w:lang w:val="en-GB"/>
        </w:rPr>
      </w:pPr>
      <w:r w:rsidRPr="009C48DA">
        <w:rPr>
          <w:rFonts w:eastAsia="Times New Roman"/>
          <w:color w:val="000000"/>
          <w:sz w:val="16"/>
          <w:lang w:val="en-GB"/>
        </w:rPr>
        <w:t xml:space="preserve">The Group has an investment in Opal Investments LP, which is an investor in the Bridgepoint Europe V Fund partnerships. Under the </w:t>
      </w:r>
      <w:r w:rsidRPr="009C48DA">
        <w:rPr>
          <w:rFonts w:eastAsia="Times New Roman"/>
          <w:color w:val="000000"/>
          <w:sz w:val="16"/>
          <w:lang w:val="en-GB"/>
        </w:rPr>
        <w:br/>
        <w:t xml:space="preserve">limited partnership agreement, related party investors had the right to receive up to 100% of the profits from the partnership unless the Group </w:t>
      </w:r>
      <w:r w:rsidRPr="009C48DA">
        <w:rPr>
          <w:rFonts w:eastAsia="Times New Roman"/>
          <w:color w:val="000000"/>
          <w:sz w:val="16"/>
          <w:lang w:val="en-GB"/>
        </w:rPr>
        <w:br/>
        <w:t xml:space="preserve">exercised an option to trigger up to 85% of the profits of the partnership from the date of the exercise of the option. Effective 31 December </w:t>
      </w:r>
      <w:r w:rsidRPr="009C48DA">
        <w:rPr>
          <w:rFonts w:eastAsia="Times New Roman"/>
          <w:color w:val="000000"/>
          <w:sz w:val="16"/>
          <w:lang w:val="en-GB"/>
        </w:rPr>
        <w:br/>
        <w:t xml:space="preserve">2020, the option was exercised therefore 85% of the accumulated profits from the partnership were allocated to the equity shareholders of </w:t>
      </w:r>
      <w:r w:rsidRPr="009C48DA">
        <w:rPr>
          <w:rFonts w:eastAsia="Times New Roman"/>
          <w:color w:val="000000"/>
          <w:sz w:val="16"/>
          <w:lang w:val="en-GB"/>
        </w:rPr>
        <w:br/>
        <w:t>the Company from non-controlling interests. 15% of the residual profits are classified as a financial liability payable to related party investors.</w:t>
      </w:r>
    </w:p>
    <w:p w:rsidRPr="009C48DA" w:rsidR="00661519" w:rsidP="00661519" w:rsidRDefault="00661519" w14:paraId="6DE20DFA" w14:textId="77777777">
      <w:pPr>
        <w:spacing w:line="177" w:lineRule="exact"/>
        <w:jc w:val="both"/>
        <w:textAlignment w:val="baseline"/>
        <w:rPr>
          <w:rFonts w:eastAsia="Times New Roman"/>
          <w:color w:val="000000"/>
          <w:sz w:val="16"/>
          <w:lang w:val="en-GB"/>
        </w:rPr>
      </w:pPr>
      <w:r w:rsidRPr="009C48DA">
        <w:rPr>
          <w:rFonts w:eastAsia="Times New Roman"/>
          <w:color w:val="000000"/>
          <w:sz w:val="16"/>
          <w:lang w:val="en-GB"/>
        </w:rPr>
        <w:br w:type="page"/>
      </w:r>
    </w:p>
    <w:p w:rsidRPr="009C48DA" w:rsidR="00661519" w:rsidP="00661519" w:rsidRDefault="00661519" w14:paraId="143F26BC" w14:textId="77777777">
      <w:pPr>
        <w:spacing w:line="177" w:lineRule="exact"/>
        <w:jc w:val="both"/>
        <w:textAlignment w:val="baseline"/>
        <w:rPr>
          <w:rFonts w:eastAsia="Times New Roman"/>
          <w:color w:val="000000"/>
          <w:sz w:val="16"/>
          <w:lang w:val="en-GB"/>
        </w:rPr>
      </w:pPr>
      <w:r w:rsidRPr="009C48DA">
        <w:rPr>
          <w:rFonts w:eastAsia="Times New Roman"/>
          <w:b/>
          <w:color w:val="000000"/>
          <w:sz w:val="16"/>
          <w:lang w:val="en-GB"/>
        </w:rPr>
        <w:lastRenderedPageBreak/>
        <w:t>(e)</w:t>
      </w:r>
      <w:r w:rsidRPr="009C48DA">
        <w:rPr>
          <w:rFonts w:eastAsia="Times New Roman"/>
          <w:b/>
          <w:color w:val="000000"/>
          <w:sz w:val="16"/>
          <w:lang w:val="en-GB"/>
        </w:rPr>
        <w:tab/>
        <w:t>CLO liabilities</w:t>
      </w:r>
    </w:p>
    <w:p w:rsidRPr="009C48DA" w:rsidR="00661519" w:rsidP="00661519" w:rsidRDefault="00661519" w14:paraId="55BDB7F6" w14:textId="77777777">
      <w:pPr>
        <w:spacing w:line="177" w:lineRule="exact"/>
        <w:jc w:val="both"/>
        <w:textAlignment w:val="baseline"/>
        <w:rPr>
          <w:rFonts w:eastAsia="Times New Roman"/>
          <w:color w:val="000000"/>
          <w:sz w:val="16"/>
          <w:lang w:val="en-GB"/>
        </w:rPr>
      </w:pPr>
    </w:p>
    <w:tbl>
      <w:tblPr>
        <w:tblStyle w:val="TableGrid30"/>
        <w:tblW w:w="92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48"/>
        <w:gridCol w:w="1311"/>
        <w:gridCol w:w="1312"/>
        <w:gridCol w:w="1313"/>
        <w:gridCol w:w="1312"/>
      </w:tblGrid>
      <w:tr w:rsidRPr="009C48DA" w:rsidR="00661519" w:rsidTr="00661519" w14:paraId="224C4188" w14:textId="77777777">
        <w:trPr>
          <w:trHeight w:val="230"/>
        </w:trPr>
        <w:tc>
          <w:tcPr>
            <w:tcW w:w="4048" w:type="dxa"/>
            <w:vAlign w:val="bottom"/>
          </w:tcPr>
          <w:p w:rsidRPr="009C48DA" w:rsidR="00661519" w:rsidP="00661519" w:rsidRDefault="00661519" w14:paraId="6A474503" w14:textId="77777777">
            <w:pPr>
              <w:jc w:val="both"/>
              <w:textAlignment w:val="baseline"/>
              <w:rPr>
                <w:rFonts w:eastAsia="Times New Roman"/>
                <w:b/>
                <w:color w:val="000000"/>
                <w:sz w:val="16"/>
                <w:szCs w:val="16"/>
                <w:lang w:val="en-GB"/>
              </w:rPr>
            </w:pPr>
          </w:p>
        </w:tc>
        <w:tc>
          <w:tcPr>
            <w:tcW w:w="3936" w:type="dxa"/>
            <w:gridSpan w:val="3"/>
            <w:tcBorders>
              <w:bottom w:val="single" w:color="auto" w:sz="18" w:space="0"/>
            </w:tcBorders>
            <w:vAlign w:val="bottom"/>
          </w:tcPr>
          <w:p w:rsidRPr="009C48DA" w:rsidR="00661519" w:rsidP="00661519" w:rsidRDefault="00661519" w14:paraId="4B2F6C77" w14:textId="77777777">
            <w:pPr>
              <w:jc w:val="center"/>
              <w:textAlignment w:val="baseline"/>
              <w:rPr>
                <w:rFonts w:eastAsia="Times New Roman"/>
                <w:b/>
                <w:color w:val="000000"/>
                <w:sz w:val="16"/>
                <w:szCs w:val="16"/>
                <w:lang w:val="en-GB"/>
              </w:rPr>
            </w:pPr>
            <w:r w:rsidRPr="009C48DA">
              <w:rPr>
                <w:rFonts w:eastAsia="Times New Roman"/>
                <w:b/>
                <w:color w:val="000000"/>
                <w:sz w:val="16"/>
                <w:lang w:val="en-GB"/>
              </w:rPr>
              <w:t>31 December</w:t>
            </w:r>
          </w:p>
        </w:tc>
        <w:tc>
          <w:tcPr>
            <w:tcW w:w="1312" w:type="dxa"/>
            <w:tcBorders>
              <w:bottom w:val="single" w:color="auto" w:sz="18" w:space="0"/>
            </w:tcBorders>
            <w:vAlign w:val="bottom"/>
          </w:tcPr>
          <w:p w:rsidRPr="009C48DA" w:rsidR="00661519" w:rsidP="00661519" w:rsidRDefault="00661519" w14:paraId="7560EC0A" w14:textId="77777777">
            <w:pPr>
              <w:jc w:val="center"/>
              <w:textAlignment w:val="baseline"/>
              <w:rPr>
                <w:rFonts w:eastAsia="Times New Roman"/>
                <w:b/>
                <w:color w:val="000000"/>
                <w:sz w:val="16"/>
                <w:szCs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12DE308E" w14:textId="77777777">
        <w:trPr>
          <w:trHeight w:val="403"/>
        </w:trPr>
        <w:tc>
          <w:tcPr>
            <w:tcW w:w="4048" w:type="dxa"/>
            <w:vAlign w:val="bottom"/>
          </w:tcPr>
          <w:p w:rsidRPr="009C48DA" w:rsidR="00661519" w:rsidP="00661519" w:rsidRDefault="00661519" w14:paraId="627AC8A9" w14:textId="77777777">
            <w:pPr>
              <w:jc w:val="both"/>
              <w:textAlignment w:val="baseline"/>
              <w:rPr>
                <w:rFonts w:eastAsia="Times New Roman"/>
                <w:b/>
                <w:color w:val="000000"/>
                <w:sz w:val="16"/>
                <w:lang w:val="en-GB"/>
              </w:rPr>
            </w:pPr>
          </w:p>
        </w:tc>
        <w:tc>
          <w:tcPr>
            <w:tcW w:w="1311" w:type="dxa"/>
            <w:tcBorders>
              <w:top w:val="single" w:color="auto" w:sz="18" w:space="0"/>
            </w:tcBorders>
            <w:vAlign w:val="bottom"/>
          </w:tcPr>
          <w:p w:rsidRPr="009C48DA" w:rsidR="00661519" w:rsidP="00661519" w:rsidRDefault="00661519" w14:paraId="1B70D576"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52B9D014"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2" w:type="dxa"/>
            <w:tcBorders>
              <w:top w:val="single" w:color="auto" w:sz="18" w:space="0"/>
            </w:tcBorders>
            <w:vAlign w:val="bottom"/>
          </w:tcPr>
          <w:p w:rsidRPr="009C48DA" w:rsidR="00661519" w:rsidP="00661519" w:rsidRDefault="00661519" w14:paraId="3D7082A8"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20513662"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3" w:type="dxa"/>
            <w:tcBorders>
              <w:top w:val="single" w:color="auto" w:sz="18" w:space="0"/>
            </w:tcBorders>
            <w:vAlign w:val="bottom"/>
          </w:tcPr>
          <w:p w:rsidRPr="009C48DA" w:rsidR="00661519" w:rsidP="00661519" w:rsidRDefault="00661519" w14:paraId="66A00ECA"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25643646"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2" w:type="dxa"/>
            <w:tcBorders>
              <w:top w:val="single" w:color="auto" w:sz="18" w:space="0"/>
            </w:tcBorders>
            <w:vAlign w:val="bottom"/>
          </w:tcPr>
          <w:p w:rsidRPr="009C48DA" w:rsidR="00661519" w:rsidP="00661519" w:rsidRDefault="00661519" w14:paraId="1082DB92"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072E361A"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4ADE582A" w14:textId="77777777">
        <w:trPr>
          <w:trHeight w:val="196"/>
        </w:trPr>
        <w:tc>
          <w:tcPr>
            <w:tcW w:w="0" w:type="auto"/>
            <w:vAlign w:val="center"/>
          </w:tcPr>
          <w:p w:rsidRPr="009C48DA" w:rsidR="00661519" w:rsidP="00661519" w:rsidRDefault="00661519" w14:paraId="70F97865" w14:textId="77777777">
            <w:pPr>
              <w:textAlignment w:val="baseline"/>
              <w:rPr>
                <w:rFonts w:eastAsia="Times New Roman"/>
                <w:i/>
                <w:color w:val="000000"/>
                <w:sz w:val="16"/>
                <w:lang w:val="en-GB"/>
              </w:rPr>
            </w:pPr>
            <w:r w:rsidRPr="009C48DA">
              <w:rPr>
                <w:rFonts w:eastAsia="Times New Roman"/>
                <w:b/>
                <w:i/>
                <w:color w:val="000000"/>
                <w:sz w:val="16"/>
                <w:lang w:val="en-GB"/>
              </w:rPr>
              <w:t>Liabilities held at fair value through profit and loss:</w:t>
            </w:r>
          </w:p>
        </w:tc>
        <w:tc>
          <w:tcPr>
            <w:tcW w:w="0" w:type="auto"/>
            <w:vAlign w:val="center"/>
          </w:tcPr>
          <w:p w:rsidRPr="009C48DA" w:rsidR="00661519" w:rsidP="00661519" w:rsidRDefault="00661519" w14:paraId="2D8CBF77"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0B9A0CFA"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2FF09702"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3BDDE671" w14:textId="77777777">
            <w:pPr>
              <w:jc w:val="right"/>
              <w:textAlignment w:val="baseline"/>
              <w:rPr>
                <w:rFonts w:eastAsia="Times New Roman"/>
                <w:color w:val="000000"/>
                <w:sz w:val="16"/>
                <w:lang w:val="en-GB"/>
              </w:rPr>
            </w:pPr>
          </w:p>
        </w:tc>
      </w:tr>
      <w:tr w:rsidRPr="009C48DA" w:rsidR="00661519" w:rsidTr="00661519" w14:paraId="0D0825CE" w14:textId="77777777">
        <w:trPr>
          <w:trHeight w:val="230"/>
        </w:trPr>
        <w:tc>
          <w:tcPr>
            <w:tcW w:w="0" w:type="auto"/>
            <w:vAlign w:val="center"/>
          </w:tcPr>
          <w:p w:rsidRPr="009C48DA" w:rsidR="00661519" w:rsidP="00661519" w:rsidRDefault="00661519" w14:paraId="4EE9184D" w14:textId="77777777">
            <w:pPr>
              <w:textAlignment w:val="baseline"/>
              <w:rPr>
                <w:rFonts w:eastAsia="Times New Roman"/>
                <w:color w:val="000000"/>
                <w:sz w:val="16"/>
                <w:lang w:val="en-GB"/>
              </w:rPr>
            </w:pPr>
            <w:r w:rsidRPr="009C48DA">
              <w:rPr>
                <w:rFonts w:eastAsia="Times New Roman"/>
                <w:color w:val="000000"/>
                <w:sz w:val="16"/>
                <w:lang w:val="en-GB"/>
              </w:rPr>
              <w:t xml:space="preserve">Liabilities of CLOs consolidated by the Group </w:t>
            </w:r>
          </w:p>
          <w:p w:rsidRPr="009C48DA" w:rsidR="00661519" w:rsidP="00661519" w:rsidRDefault="00661519" w14:paraId="5F562207" w14:textId="77777777">
            <w:pPr>
              <w:textAlignment w:val="baseline"/>
              <w:rPr>
                <w:rFonts w:eastAsia="Times New Roman"/>
                <w:color w:val="000000"/>
                <w:sz w:val="16"/>
                <w:lang w:val="en-GB"/>
              </w:rPr>
            </w:pPr>
            <w:r w:rsidRPr="009C48DA">
              <w:rPr>
                <w:rFonts w:eastAsia="Times New Roman"/>
                <w:color w:val="000000"/>
                <w:sz w:val="16"/>
                <w:lang w:val="en-GB"/>
              </w:rPr>
              <w:t>(non-current)</w:t>
            </w:r>
          </w:p>
        </w:tc>
        <w:tc>
          <w:tcPr>
            <w:tcW w:w="0" w:type="auto"/>
            <w:vAlign w:val="center"/>
          </w:tcPr>
          <w:p w:rsidRPr="009C48DA" w:rsidR="00661519" w:rsidP="00661519" w:rsidRDefault="00661519" w14:paraId="06646181"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center"/>
          </w:tcPr>
          <w:p w:rsidRPr="009C48DA" w:rsidR="00661519" w:rsidP="00661519" w:rsidRDefault="00661519" w14:paraId="53FD481C"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center"/>
          </w:tcPr>
          <w:p w:rsidRPr="009C48DA" w:rsidR="00661519" w:rsidP="00661519" w:rsidRDefault="00661519" w14:paraId="36C4477E" w14:textId="77777777">
            <w:pPr>
              <w:jc w:val="right"/>
              <w:textAlignment w:val="baseline"/>
              <w:rPr>
                <w:rFonts w:eastAsia="Times New Roman"/>
                <w:color w:val="000000"/>
                <w:sz w:val="16"/>
                <w:lang w:val="en-GB"/>
              </w:rPr>
            </w:pPr>
            <w:r w:rsidRPr="009C48DA">
              <w:rPr>
                <w:rFonts w:eastAsia="Times New Roman"/>
                <w:color w:val="000000"/>
                <w:sz w:val="16"/>
                <w:lang w:val="en-GB"/>
              </w:rPr>
              <w:t>256,606</w:t>
            </w:r>
          </w:p>
        </w:tc>
        <w:tc>
          <w:tcPr>
            <w:tcW w:w="0" w:type="auto"/>
            <w:vAlign w:val="center"/>
          </w:tcPr>
          <w:p w:rsidRPr="009C48DA" w:rsidR="00661519" w:rsidP="00661519" w:rsidRDefault="00661519" w14:paraId="22F78724" w14:textId="77777777">
            <w:pPr>
              <w:jc w:val="right"/>
              <w:textAlignment w:val="baseline"/>
              <w:rPr>
                <w:rFonts w:eastAsia="Times New Roman"/>
                <w:color w:val="000000"/>
                <w:sz w:val="16"/>
                <w:lang w:val="en-GB"/>
              </w:rPr>
            </w:pPr>
            <w:r w:rsidRPr="009C48DA">
              <w:rPr>
                <w:rFonts w:eastAsia="Times New Roman"/>
                <w:color w:val="000000"/>
                <w:sz w:val="16"/>
                <w:lang w:val="en-GB"/>
              </w:rPr>
              <w:t>245,727</w:t>
            </w:r>
          </w:p>
        </w:tc>
      </w:tr>
      <w:tr w:rsidRPr="009C48DA" w:rsidR="00661519" w:rsidTr="00661519" w14:paraId="1BB665C0" w14:textId="77777777">
        <w:trPr>
          <w:trHeight w:val="230"/>
        </w:trPr>
        <w:tc>
          <w:tcPr>
            <w:tcW w:w="0" w:type="auto"/>
            <w:vAlign w:val="center"/>
          </w:tcPr>
          <w:p w:rsidRPr="009C48DA" w:rsidR="00661519" w:rsidP="00661519" w:rsidRDefault="00661519" w14:paraId="0C9F0C62" w14:textId="77777777">
            <w:pPr>
              <w:textAlignment w:val="baseline"/>
              <w:rPr>
                <w:rFonts w:eastAsia="Times New Roman"/>
                <w:color w:val="000000"/>
                <w:sz w:val="16"/>
                <w:lang w:val="en-GB"/>
              </w:rPr>
            </w:pPr>
            <w:r w:rsidRPr="009C48DA">
              <w:rPr>
                <w:rFonts w:eastAsia="Times New Roman"/>
                <w:color w:val="000000"/>
                <w:sz w:val="16"/>
                <w:lang w:val="en-GB"/>
              </w:rPr>
              <w:t>Liabilities of CLOs consolidated by the Group (current)</w:t>
            </w:r>
          </w:p>
        </w:tc>
        <w:tc>
          <w:tcPr>
            <w:tcW w:w="0" w:type="auto"/>
            <w:vAlign w:val="bottom"/>
          </w:tcPr>
          <w:p w:rsidRPr="009C48DA" w:rsidR="00661519" w:rsidP="00661519" w:rsidRDefault="00661519" w14:paraId="4CAAB616"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bottom"/>
          </w:tcPr>
          <w:p w:rsidRPr="009C48DA" w:rsidR="00661519" w:rsidP="00661519" w:rsidRDefault="00661519" w14:paraId="4C184375"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bottom"/>
          </w:tcPr>
          <w:p w:rsidRPr="009C48DA" w:rsidR="00661519" w:rsidP="00661519" w:rsidRDefault="00661519" w14:paraId="59E0B4B2"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17,889</w:t>
            </w:r>
          </w:p>
        </w:tc>
        <w:tc>
          <w:tcPr>
            <w:tcW w:w="0" w:type="auto"/>
            <w:vAlign w:val="bottom"/>
          </w:tcPr>
          <w:p w:rsidRPr="009C48DA" w:rsidR="00661519" w:rsidP="00661519" w:rsidRDefault="00661519" w14:paraId="1C80FEA9"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49,331</w:t>
            </w:r>
          </w:p>
        </w:tc>
      </w:tr>
      <w:tr w:rsidRPr="009C48DA" w:rsidR="00661519" w:rsidTr="00661519" w14:paraId="41D9ED4E" w14:textId="77777777">
        <w:trPr>
          <w:trHeight w:val="253"/>
        </w:trPr>
        <w:tc>
          <w:tcPr>
            <w:tcW w:w="0" w:type="auto"/>
            <w:vAlign w:val="center"/>
          </w:tcPr>
          <w:p w:rsidRPr="009C48DA" w:rsidR="00661519" w:rsidP="00661519" w:rsidRDefault="00661519" w14:paraId="3F6A2DBF" w14:textId="77777777">
            <w:pPr>
              <w:textAlignment w:val="baseline"/>
              <w:rPr>
                <w:rFonts w:eastAsia="Times New Roman"/>
                <w:color w:val="000000"/>
                <w:sz w:val="16"/>
                <w:lang w:val="en-GB"/>
              </w:rPr>
            </w:pPr>
          </w:p>
        </w:tc>
        <w:tc>
          <w:tcPr>
            <w:tcW w:w="0" w:type="auto"/>
            <w:vAlign w:val="bottom"/>
          </w:tcPr>
          <w:p w:rsidRPr="009C48DA" w:rsidR="00661519" w:rsidP="00661519" w:rsidRDefault="00661519" w14:paraId="6769DEA9"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bottom"/>
          </w:tcPr>
          <w:p w:rsidRPr="009C48DA" w:rsidR="00661519" w:rsidP="00661519" w:rsidRDefault="00661519" w14:paraId="638FF746"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bottom"/>
          </w:tcPr>
          <w:p w:rsidRPr="009C48DA" w:rsidR="00661519" w:rsidP="00661519" w:rsidRDefault="00661519" w14:paraId="250E1844"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274,495</w:t>
            </w:r>
          </w:p>
        </w:tc>
        <w:tc>
          <w:tcPr>
            <w:tcW w:w="0" w:type="auto"/>
            <w:vAlign w:val="bottom"/>
          </w:tcPr>
          <w:p w:rsidRPr="009C48DA" w:rsidR="00661519" w:rsidP="00661519" w:rsidRDefault="00661519" w14:paraId="28C5A865"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295,058</w:t>
            </w:r>
          </w:p>
        </w:tc>
      </w:tr>
    </w:tbl>
    <w:p w:rsidRPr="009C48DA" w:rsidR="00661519" w:rsidP="00661519" w:rsidRDefault="00661519" w14:paraId="60718F2B" w14:textId="77777777">
      <w:pPr>
        <w:spacing w:line="177" w:lineRule="exact"/>
        <w:jc w:val="both"/>
        <w:textAlignment w:val="baseline"/>
        <w:rPr>
          <w:rFonts w:eastAsia="Times New Roman"/>
          <w:color w:val="000000"/>
          <w:sz w:val="16"/>
          <w:lang w:val="en-GB"/>
        </w:rPr>
      </w:pPr>
    </w:p>
    <w:p w:rsidRPr="009C48DA" w:rsidR="00661519" w:rsidP="00661519" w:rsidRDefault="00661519" w14:paraId="7F8E498C" w14:textId="77777777">
      <w:pPr>
        <w:ind w:right="72"/>
        <w:jc w:val="both"/>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CLO liabilities are designated as financial liabilities at fair value through profit and loss.</w:t>
      </w:r>
    </w:p>
    <w:p w:rsidRPr="009C48DA" w:rsidR="00661519" w:rsidP="00661519" w:rsidRDefault="00661519" w14:paraId="10A87367" w14:textId="77777777">
      <w:pPr>
        <w:ind w:right="72"/>
        <w:jc w:val="both"/>
        <w:textAlignment w:val="baseline"/>
        <w:rPr>
          <w:rFonts w:eastAsia="Times New Roman" w:cs="Times New Roman"/>
          <w:color w:val="000000"/>
          <w:sz w:val="16"/>
          <w:szCs w:val="16"/>
          <w:lang w:val="en-GB"/>
        </w:rPr>
      </w:pPr>
    </w:p>
    <w:p w:rsidRPr="009C48DA" w:rsidR="00661519" w:rsidP="00661519" w:rsidRDefault="00661519" w14:paraId="295FED7E" w14:textId="77777777">
      <w:pPr>
        <w:ind w:right="72"/>
        <w:jc w:val="both"/>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Financial liabilities held at fair value through profit on loss represent notes and loans issued by CLOs that are originated by the Group. They are </w:t>
      </w:r>
      <w:r w:rsidRPr="009C48DA">
        <w:rPr>
          <w:rFonts w:eastAsia="Times New Roman" w:cs="Times New Roman"/>
          <w:color w:val="000000"/>
          <w:sz w:val="16"/>
          <w:szCs w:val="16"/>
          <w:lang w:val="en-GB"/>
        </w:rPr>
        <w:br/>
        <w:t>initially recognised and subsequently measured at fair value with gains or losses arising from changes in fair value and interest paid on</w:t>
      </w:r>
      <w:r w:rsidRPr="009C48DA">
        <w:rPr>
          <w:rFonts w:eastAsia="Times New Roman" w:cs="Times New Roman"/>
          <w:color w:val="000000"/>
          <w:sz w:val="16"/>
          <w:szCs w:val="16"/>
          <w:lang w:val="en-GB"/>
        </w:rPr>
        <w:br/>
        <w:t>financial instruments recognised through investment income in the Income Statement.</w:t>
      </w:r>
    </w:p>
    <w:p w:rsidRPr="009C48DA" w:rsidR="00661519" w:rsidP="00661519" w:rsidRDefault="00661519" w14:paraId="6026C1A7" w14:textId="77777777">
      <w:pPr>
        <w:spacing w:before="180" w:line="185" w:lineRule="exact"/>
        <w:textAlignment w:val="baseline"/>
        <w:rPr>
          <w:rFonts w:eastAsia="Times New Roman"/>
          <w:color w:val="000000"/>
          <w:sz w:val="16"/>
          <w:lang w:val="en-GB"/>
        </w:rPr>
      </w:pPr>
      <w:r w:rsidRPr="009C48DA">
        <w:rPr>
          <w:rFonts w:eastAsia="Times New Roman"/>
          <w:color w:val="000000"/>
          <w:sz w:val="16"/>
          <w:lang w:val="en-GB"/>
        </w:rPr>
        <w:t>The notes have rights to the assets of the respective CLO and there is no recourse to the Group.</w:t>
      </w:r>
    </w:p>
    <w:p w:rsidRPr="009C48DA" w:rsidR="00661519" w:rsidP="00661519" w:rsidRDefault="00661519" w14:paraId="49E01D6D" w14:textId="77777777">
      <w:pPr>
        <w:spacing w:line="177" w:lineRule="exact"/>
        <w:jc w:val="both"/>
        <w:textAlignment w:val="baseline"/>
        <w:rPr>
          <w:rFonts w:eastAsia="Times New Roman"/>
          <w:b/>
          <w:color w:val="000000"/>
          <w:sz w:val="16"/>
          <w:lang w:val="en-GB"/>
        </w:rPr>
      </w:pPr>
    </w:p>
    <w:p w:rsidRPr="009C48DA" w:rsidR="00661519" w:rsidP="00661519" w:rsidRDefault="00661519" w14:paraId="35D5BECE" w14:textId="77777777">
      <w:pPr>
        <w:spacing w:line="177" w:lineRule="exact"/>
        <w:jc w:val="both"/>
        <w:textAlignment w:val="baseline"/>
        <w:rPr>
          <w:rFonts w:eastAsia="Times New Roman"/>
          <w:b/>
          <w:color w:val="000000"/>
          <w:sz w:val="16"/>
          <w:lang w:val="en-GB"/>
        </w:rPr>
      </w:pPr>
    </w:p>
    <w:p w:rsidRPr="009C48DA" w:rsidR="00661519" w:rsidP="00661519" w:rsidRDefault="00661519" w14:paraId="6405C75D" w14:textId="77777777">
      <w:pPr>
        <w:spacing w:line="177" w:lineRule="exact"/>
        <w:jc w:val="both"/>
        <w:textAlignment w:val="baseline"/>
        <w:rPr>
          <w:rFonts w:eastAsia="Times New Roman"/>
          <w:color w:val="000000"/>
          <w:sz w:val="16"/>
          <w:lang w:val="en-GB"/>
        </w:rPr>
      </w:pPr>
      <w:r w:rsidRPr="009C48DA">
        <w:rPr>
          <w:rFonts w:eastAsia="Times New Roman"/>
          <w:b/>
          <w:color w:val="000000"/>
          <w:sz w:val="16"/>
          <w:lang w:val="en-GB"/>
        </w:rPr>
        <w:t>(f)</w:t>
      </w:r>
      <w:r w:rsidRPr="009C48DA">
        <w:rPr>
          <w:rFonts w:eastAsia="Times New Roman"/>
          <w:b/>
          <w:color w:val="000000"/>
          <w:sz w:val="16"/>
          <w:lang w:val="en-GB"/>
        </w:rPr>
        <w:tab/>
        <w:t>CLO purchases awaiting settlement</w:t>
      </w:r>
    </w:p>
    <w:p w:rsidRPr="009C48DA" w:rsidR="00661519" w:rsidP="00661519" w:rsidRDefault="00661519" w14:paraId="4CBE3584" w14:textId="77777777">
      <w:pPr>
        <w:spacing w:line="177" w:lineRule="exact"/>
        <w:jc w:val="both"/>
        <w:textAlignment w:val="baseline"/>
        <w:rPr>
          <w:rFonts w:eastAsia="Times New Roman"/>
          <w:color w:val="000000"/>
          <w:sz w:val="16"/>
          <w:lang w:val="en-GB"/>
        </w:rPr>
      </w:pPr>
    </w:p>
    <w:tbl>
      <w:tblPr>
        <w:tblStyle w:val="TableGrid30"/>
        <w:tblW w:w="92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29"/>
        <w:gridCol w:w="1305"/>
        <w:gridCol w:w="1306"/>
        <w:gridCol w:w="1307"/>
        <w:gridCol w:w="1306"/>
      </w:tblGrid>
      <w:tr w:rsidRPr="009C48DA" w:rsidR="00661519" w:rsidTr="00661519" w14:paraId="03A0D851" w14:textId="77777777">
        <w:trPr>
          <w:trHeight w:val="219"/>
        </w:trPr>
        <w:tc>
          <w:tcPr>
            <w:tcW w:w="4029" w:type="dxa"/>
            <w:vAlign w:val="bottom"/>
          </w:tcPr>
          <w:p w:rsidRPr="009C48DA" w:rsidR="00661519" w:rsidP="00661519" w:rsidRDefault="00661519" w14:paraId="3817F706" w14:textId="77777777">
            <w:pPr>
              <w:jc w:val="both"/>
              <w:textAlignment w:val="baseline"/>
              <w:rPr>
                <w:rFonts w:eastAsia="Times New Roman"/>
                <w:b/>
                <w:color w:val="000000"/>
                <w:sz w:val="16"/>
                <w:szCs w:val="16"/>
                <w:lang w:val="en-GB"/>
              </w:rPr>
            </w:pPr>
          </w:p>
        </w:tc>
        <w:tc>
          <w:tcPr>
            <w:tcW w:w="3918" w:type="dxa"/>
            <w:gridSpan w:val="3"/>
            <w:vAlign w:val="bottom"/>
          </w:tcPr>
          <w:p w:rsidRPr="009C48DA" w:rsidR="00661519" w:rsidP="00661519" w:rsidRDefault="00661519" w14:paraId="0A6C7481"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December</w:t>
            </w:r>
          </w:p>
        </w:tc>
        <w:tc>
          <w:tcPr>
            <w:tcW w:w="1306" w:type="dxa"/>
            <w:vAlign w:val="bottom"/>
          </w:tcPr>
          <w:p w:rsidRPr="009C48DA" w:rsidR="00661519" w:rsidP="00661519" w:rsidRDefault="00661519" w14:paraId="7DBE2BBC"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4C6626B5" w14:textId="77777777">
        <w:trPr>
          <w:trHeight w:val="384"/>
        </w:trPr>
        <w:tc>
          <w:tcPr>
            <w:tcW w:w="4029" w:type="dxa"/>
            <w:vAlign w:val="bottom"/>
          </w:tcPr>
          <w:p w:rsidRPr="009C48DA" w:rsidR="00661519" w:rsidP="00661519" w:rsidRDefault="00661519" w14:paraId="4C974935" w14:textId="77777777">
            <w:pPr>
              <w:jc w:val="both"/>
              <w:textAlignment w:val="baseline"/>
              <w:rPr>
                <w:rFonts w:eastAsia="Times New Roman"/>
                <w:b/>
                <w:color w:val="000000"/>
                <w:sz w:val="16"/>
                <w:lang w:val="en-GB"/>
              </w:rPr>
            </w:pPr>
          </w:p>
        </w:tc>
        <w:tc>
          <w:tcPr>
            <w:tcW w:w="1305" w:type="dxa"/>
            <w:vAlign w:val="bottom"/>
          </w:tcPr>
          <w:p w:rsidRPr="009C48DA" w:rsidR="00661519" w:rsidP="00661519" w:rsidRDefault="00661519" w14:paraId="62E04F6B"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52539B8E"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06" w:type="dxa"/>
            <w:vAlign w:val="bottom"/>
          </w:tcPr>
          <w:p w:rsidRPr="009C48DA" w:rsidR="00661519" w:rsidP="00661519" w:rsidRDefault="00661519" w14:paraId="6C836EB3"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093ABA3F"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06" w:type="dxa"/>
            <w:vAlign w:val="bottom"/>
          </w:tcPr>
          <w:p w:rsidRPr="009C48DA" w:rsidR="00661519" w:rsidP="00661519" w:rsidRDefault="00661519" w14:paraId="2D07C80C"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1E9240F0"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06" w:type="dxa"/>
            <w:vAlign w:val="bottom"/>
          </w:tcPr>
          <w:p w:rsidRPr="009C48DA" w:rsidR="00661519" w:rsidP="00661519" w:rsidRDefault="00661519" w14:paraId="6BD20316"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72CD6344"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54DBAE56" w14:textId="77777777">
        <w:trPr>
          <w:trHeight w:val="219"/>
        </w:trPr>
        <w:tc>
          <w:tcPr>
            <w:tcW w:w="0" w:type="auto"/>
            <w:vAlign w:val="center"/>
          </w:tcPr>
          <w:p w:rsidRPr="009C48DA" w:rsidR="00661519" w:rsidP="00661519" w:rsidRDefault="00661519" w14:paraId="05E7C31A" w14:textId="77777777">
            <w:pPr>
              <w:textAlignment w:val="baseline"/>
              <w:rPr>
                <w:rFonts w:eastAsia="Times New Roman"/>
                <w:color w:val="000000"/>
                <w:sz w:val="16"/>
                <w:lang w:val="en-GB"/>
              </w:rPr>
            </w:pPr>
            <w:r w:rsidRPr="009C48DA">
              <w:rPr>
                <w:rFonts w:eastAsia="Times New Roman"/>
                <w:color w:val="000000"/>
                <w:sz w:val="16"/>
                <w:lang w:val="en-GB"/>
              </w:rPr>
              <w:t>CLO purchases awaiting settlement</w:t>
            </w:r>
          </w:p>
        </w:tc>
        <w:tc>
          <w:tcPr>
            <w:tcW w:w="0" w:type="auto"/>
            <w:vAlign w:val="bottom"/>
          </w:tcPr>
          <w:p w:rsidRPr="009C48DA" w:rsidR="00661519" w:rsidP="00661519" w:rsidRDefault="00661519" w14:paraId="27346BA7"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bottom"/>
          </w:tcPr>
          <w:p w:rsidRPr="009C48DA" w:rsidR="00661519" w:rsidP="00661519" w:rsidRDefault="00661519" w14:paraId="2112A9C8"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bottom"/>
          </w:tcPr>
          <w:p w:rsidRPr="009C48DA" w:rsidR="00661519" w:rsidP="00661519" w:rsidRDefault="00661519" w14:paraId="64081567"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93,237</w:t>
            </w:r>
          </w:p>
        </w:tc>
        <w:tc>
          <w:tcPr>
            <w:tcW w:w="0" w:type="auto"/>
            <w:vAlign w:val="bottom"/>
          </w:tcPr>
          <w:p w:rsidRPr="009C48DA" w:rsidR="00661519" w:rsidP="00661519" w:rsidRDefault="00661519" w14:paraId="2529EFA7"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124,489</w:t>
            </w:r>
          </w:p>
        </w:tc>
      </w:tr>
      <w:tr w:rsidRPr="009C48DA" w:rsidR="00661519" w:rsidTr="00661519" w14:paraId="25136549" w14:textId="77777777">
        <w:trPr>
          <w:trHeight w:val="241"/>
        </w:trPr>
        <w:tc>
          <w:tcPr>
            <w:tcW w:w="0" w:type="auto"/>
            <w:vAlign w:val="center"/>
          </w:tcPr>
          <w:p w:rsidRPr="009C48DA" w:rsidR="00661519" w:rsidP="00661519" w:rsidRDefault="00661519" w14:paraId="0ABBFCD3" w14:textId="77777777">
            <w:pPr>
              <w:textAlignment w:val="baseline"/>
              <w:rPr>
                <w:rFonts w:eastAsia="Times New Roman"/>
                <w:color w:val="000000"/>
                <w:sz w:val="16"/>
                <w:lang w:val="en-GB"/>
              </w:rPr>
            </w:pPr>
          </w:p>
        </w:tc>
        <w:tc>
          <w:tcPr>
            <w:tcW w:w="0" w:type="auto"/>
            <w:vAlign w:val="bottom"/>
          </w:tcPr>
          <w:p w:rsidRPr="009C48DA" w:rsidR="00661519" w:rsidP="00661519" w:rsidRDefault="00661519" w14:paraId="68DEED7C"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bottom"/>
          </w:tcPr>
          <w:p w:rsidRPr="009C48DA" w:rsidR="00661519" w:rsidP="00661519" w:rsidRDefault="00661519" w14:paraId="4B49AF26"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bottom"/>
          </w:tcPr>
          <w:p w:rsidRPr="009C48DA" w:rsidR="00661519" w:rsidP="00661519" w:rsidRDefault="00661519" w14:paraId="64D11D5E"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93,237</w:t>
            </w:r>
          </w:p>
        </w:tc>
        <w:tc>
          <w:tcPr>
            <w:tcW w:w="0" w:type="auto"/>
            <w:vAlign w:val="bottom"/>
          </w:tcPr>
          <w:p w:rsidRPr="009C48DA" w:rsidR="00661519" w:rsidP="00661519" w:rsidRDefault="00661519" w14:paraId="456093D0"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124,489</w:t>
            </w:r>
          </w:p>
        </w:tc>
      </w:tr>
    </w:tbl>
    <w:p w:rsidRPr="009C48DA" w:rsidR="00661519" w:rsidP="00661519" w:rsidRDefault="00661519" w14:paraId="7421695F" w14:textId="77777777">
      <w:pPr>
        <w:spacing w:before="180" w:line="185" w:lineRule="exact"/>
        <w:textAlignment w:val="baseline"/>
        <w:rPr>
          <w:rFonts w:eastAsia="Times New Roman"/>
          <w:color w:val="000000"/>
          <w:sz w:val="16"/>
          <w:lang w:val="en-GB"/>
        </w:rPr>
      </w:pPr>
      <w:r w:rsidRPr="009C48DA">
        <w:rPr>
          <w:rFonts w:eastAsia="Times New Roman"/>
          <w:color w:val="000000"/>
          <w:sz w:val="16"/>
          <w:lang w:val="en-GB"/>
        </w:rPr>
        <w:t xml:space="preserve">CLO purchases awaiting settlement are amounts owed to trading counterparties for the acquisition of CLO assets. </w:t>
      </w:r>
    </w:p>
    <w:p w:rsidRPr="009C48DA" w:rsidR="00661519" w:rsidP="00661519" w:rsidRDefault="00661519" w14:paraId="40D46922" w14:textId="77777777">
      <w:pPr>
        <w:spacing w:line="177" w:lineRule="exact"/>
        <w:jc w:val="both"/>
        <w:textAlignment w:val="baseline"/>
        <w:rPr>
          <w:rFonts w:eastAsia="Times New Roman"/>
          <w:b/>
          <w:color w:val="000000"/>
          <w:sz w:val="16"/>
          <w:lang w:val="en-GB"/>
        </w:rPr>
      </w:pPr>
    </w:p>
    <w:p w:rsidRPr="009C48DA" w:rsidR="00661519" w:rsidP="00661519" w:rsidRDefault="00661519" w14:paraId="2FD20E80" w14:textId="77777777">
      <w:pPr>
        <w:spacing w:line="177" w:lineRule="exact"/>
        <w:jc w:val="both"/>
        <w:textAlignment w:val="baseline"/>
        <w:rPr>
          <w:rFonts w:eastAsia="Times New Roman"/>
          <w:b/>
          <w:color w:val="000000"/>
          <w:sz w:val="16"/>
          <w:lang w:val="en-GB"/>
        </w:rPr>
      </w:pPr>
    </w:p>
    <w:p w:rsidRPr="009C48DA" w:rsidR="00661519" w:rsidP="00661519" w:rsidRDefault="00661519" w14:paraId="2883137A" w14:textId="77777777">
      <w:pPr>
        <w:spacing w:line="177" w:lineRule="exact"/>
        <w:jc w:val="both"/>
        <w:textAlignment w:val="baseline"/>
        <w:rPr>
          <w:rFonts w:eastAsia="Times New Roman"/>
          <w:b/>
          <w:color w:val="000000"/>
          <w:sz w:val="16"/>
          <w:lang w:val="en-GB"/>
        </w:rPr>
      </w:pPr>
      <w:r w:rsidRPr="009C48DA">
        <w:rPr>
          <w:rFonts w:eastAsia="Times New Roman"/>
          <w:b/>
          <w:color w:val="000000"/>
          <w:sz w:val="16"/>
          <w:lang w:val="en-GB"/>
        </w:rPr>
        <w:t>(g)</w:t>
      </w:r>
      <w:r w:rsidRPr="009C48DA">
        <w:rPr>
          <w:rFonts w:eastAsia="Times New Roman"/>
          <w:b/>
          <w:color w:val="000000"/>
          <w:sz w:val="16"/>
          <w:lang w:val="en-GB"/>
        </w:rPr>
        <w:tab/>
        <w:t>Derivative financial liabilities</w:t>
      </w:r>
    </w:p>
    <w:p w:rsidRPr="009C48DA" w:rsidR="00661519" w:rsidP="00661519" w:rsidRDefault="00661519" w14:paraId="478EF408" w14:textId="77777777">
      <w:pPr>
        <w:spacing w:line="177" w:lineRule="exact"/>
        <w:jc w:val="both"/>
        <w:textAlignment w:val="baseline"/>
        <w:rPr>
          <w:rFonts w:eastAsia="Times New Roman"/>
          <w:b/>
          <w:color w:val="000000"/>
          <w:sz w:val="16"/>
          <w:lang w:val="en-GB"/>
        </w:rPr>
      </w:pPr>
    </w:p>
    <w:tbl>
      <w:tblPr>
        <w:tblStyle w:val="TableGrid30"/>
        <w:tblW w:w="92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39"/>
        <w:gridCol w:w="1308"/>
        <w:gridCol w:w="1309"/>
        <w:gridCol w:w="1310"/>
        <w:gridCol w:w="1309"/>
      </w:tblGrid>
      <w:tr w:rsidRPr="009C48DA" w:rsidR="00661519" w:rsidTr="00661519" w14:paraId="5D3D0A1D" w14:textId="77777777">
        <w:trPr>
          <w:trHeight w:val="237"/>
        </w:trPr>
        <w:tc>
          <w:tcPr>
            <w:tcW w:w="4039" w:type="dxa"/>
            <w:vAlign w:val="bottom"/>
          </w:tcPr>
          <w:p w:rsidRPr="009C48DA" w:rsidR="00661519" w:rsidP="00661519" w:rsidRDefault="00661519" w14:paraId="5234A009" w14:textId="77777777">
            <w:pPr>
              <w:jc w:val="both"/>
              <w:textAlignment w:val="baseline"/>
              <w:rPr>
                <w:rFonts w:eastAsia="Times New Roman"/>
                <w:b/>
                <w:color w:val="000000"/>
                <w:sz w:val="16"/>
                <w:szCs w:val="16"/>
                <w:lang w:val="en-GB"/>
              </w:rPr>
            </w:pPr>
          </w:p>
        </w:tc>
        <w:tc>
          <w:tcPr>
            <w:tcW w:w="3927" w:type="dxa"/>
            <w:gridSpan w:val="3"/>
            <w:vAlign w:val="bottom"/>
          </w:tcPr>
          <w:p w:rsidRPr="009C48DA" w:rsidR="00661519" w:rsidP="00661519" w:rsidRDefault="00661519" w14:paraId="47EC5DE6"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December</w:t>
            </w:r>
          </w:p>
        </w:tc>
        <w:tc>
          <w:tcPr>
            <w:tcW w:w="1309" w:type="dxa"/>
            <w:vAlign w:val="bottom"/>
          </w:tcPr>
          <w:p w:rsidRPr="009C48DA" w:rsidR="00661519" w:rsidP="00661519" w:rsidRDefault="00661519" w14:paraId="51DB1838"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7BE76CB0" w14:textId="77777777">
        <w:trPr>
          <w:trHeight w:val="414"/>
        </w:trPr>
        <w:tc>
          <w:tcPr>
            <w:tcW w:w="4039" w:type="dxa"/>
            <w:vAlign w:val="bottom"/>
          </w:tcPr>
          <w:p w:rsidRPr="009C48DA" w:rsidR="00661519" w:rsidP="00661519" w:rsidRDefault="00661519" w14:paraId="09B9D859" w14:textId="77777777">
            <w:pPr>
              <w:jc w:val="both"/>
              <w:textAlignment w:val="baseline"/>
              <w:rPr>
                <w:rFonts w:eastAsia="Times New Roman"/>
                <w:b/>
                <w:color w:val="000000"/>
                <w:sz w:val="16"/>
                <w:lang w:val="en-GB"/>
              </w:rPr>
            </w:pPr>
          </w:p>
        </w:tc>
        <w:tc>
          <w:tcPr>
            <w:tcW w:w="1308" w:type="dxa"/>
            <w:vAlign w:val="bottom"/>
          </w:tcPr>
          <w:p w:rsidRPr="009C48DA" w:rsidR="00661519" w:rsidP="00661519" w:rsidRDefault="00661519" w14:paraId="39AD91B1"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52BB1874"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09" w:type="dxa"/>
            <w:vAlign w:val="bottom"/>
          </w:tcPr>
          <w:p w:rsidRPr="009C48DA" w:rsidR="00661519" w:rsidP="00661519" w:rsidRDefault="00661519" w14:paraId="6EA5FC38"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70C9E7A0"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09" w:type="dxa"/>
            <w:vAlign w:val="bottom"/>
          </w:tcPr>
          <w:p w:rsidRPr="009C48DA" w:rsidR="00661519" w:rsidP="00661519" w:rsidRDefault="00661519" w14:paraId="0CC7EBED"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6CB28DE1"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09" w:type="dxa"/>
            <w:vAlign w:val="bottom"/>
          </w:tcPr>
          <w:p w:rsidRPr="009C48DA" w:rsidR="00661519" w:rsidP="00661519" w:rsidRDefault="00661519" w14:paraId="18F9E614"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45FC5220"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4CBDFCB9" w14:textId="77777777">
        <w:trPr>
          <w:trHeight w:val="201"/>
        </w:trPr>
        <w:tc>
          <w:tcPr>
            <w:tcW w:w="0" w:type="auto"/>
            <w:vAlign w:val="center"/>
          </w:tcPr>
          <w:p w:rsidRPr="009C48DA" w:rsidR="00661519" w:rsidP="00661519" w:rsidRDefault="00661519" w14:paraId="78419EAF" w14:textId="77777777">
            <w:pPr>
              <w:textAlignment w:val="baseline"/>
              <w:rPr>
                <w:rFonts w:eastAsia="Times New Roman"/>
                <w:i/>
                <w:color w:val="000000"/>
                <w:sz w:val="16"/>
                <w:lang w:val="en-GB"/>
              </w:rPr>
            </w:pPr>
            <w:r w:rsidRPr="009C48DA">
              <w:rPr>
                <w:rFonts w:eastAsia="Times New Roman"/>
                <w:b/>
                <w:i/>
                <w:color w:val="000000"/>
                <w:sz w:val="16"/>
                <w:lang w:val="en-GB"/>
              </w:rPr>
              <w:t>Derivative financial liabilities:</w:t>
            </w:r>
          </w:p>
        </w:tc>
        <w:tc>
          <w:tcPr>
            <w:tcW w:w="0" w:type="auto"/>
            <w:vAlign w:val="center"/>
          </w:tcPr>
          <w:p w:rsidRPr="009C48DA" w:rsidR="00661519" w:rsidP="00661519" w:rsidRDefault="00661519" w14:paraId="08719E6E"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09D7A95F"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318958F6"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7D2698B9" w14:textId="77777777">
            <w:pPr>
              <w:jc w:val="right"/>
              <w:textAlignment w:val="baseline"/>
              <w:rPr>
                <w:rFonts w:eastAsia="Times New Roman"/>
                <w:color w:val="000000"/>
                <w:sz w:val="16"/>
                <w:lang w:val="en-GB"/>
              </w:rPr>
            </w:pPr>
          </w:p>
        </w:tc>
      </w:tr>
      <w:tr w:rsidRPr="009C48DA" w:rsidR="00661519" w:rsidTr="00661519" w14:paraId="401BC8A3" w14:textId="77777777">
        <w:trPr>
          <w:trHeight w:val="201"/>
        </w:trPr>
        <w:tc>
          <w:tcPr>
            <w:tcW w:w="0" w:type="auto"/>
            <w:vAlign w:val="center"/>
          </w:tcPr>
          <w:p w:rsidRPr="009C48DA" w:rsidR="00661519" w:rsidP="00661519" w:rsidRDefault="00661519" w14:paraId="2F952770" w14:textId="77777777">
            <w:pPr>
              <w:textAlignment w:val="baseline"/>
              <w:rPr>
                <w:rFonts w:eastAsia="Times New Roman"/>
                <w:color w:val="000000"/>
                <w:sz w:val="16"/>
                <w:lang w:val="en-GB"/>
              </w:rPr>
            </w:pPr>
            <w:r w:rsidRPr="009C48DA">
              <w:rPr>
                <w:rFonts w:eastAsia="Times New Roman"/>
                <w:color w:val="000000"/>
                <w:sz w:val="16"/>
                <w:lang w:val="en-GB"/>
              </w:rPr>
              <w:t>Forward contracts</w:t>
            </w:r>
          </w:p>
        </w:tc>
        <w:tc>
          <w:tcPr>
            <w:tcW w:w="0" w:type="auto"/>
            <w:vAlign w:val="bottom"/>
          </w:tcPr>
          <w:p w:rsidRPr="009C48DA" w:rsidR="00661519" w:rsidP="00661519" w:rsidRDefault="00661519" w14:paraId="0816D28D" w14:textId="77777777">
            <w:pPr>
              <w:jc w:val="right"/>
              <w:textAlignment w:val="baseline"/>
              <w:rPr>
                <w:rFonts w:eastAsia="Times New Roman"/>
                <w:color w:val="000000"/>
                <w:sz w:val="16"/>
                <w:lang w:val="en-GB"/>
              </w:rPr>
            </w:pPr>
          </w:p>
        </w:tc>
        <w:tc>
          <w:tcPr>
            <w:tcW w:w="0" w:type="auto"/>
            <w:vAlign w:val="bottom"/>
          </w:tcPr>
          <w:p w:rsidRPr="009C48DA" w:rsidR="00661519" w:rsidP="00661519" w:rsidRDefault="00661519" w14:paraId="6E981D0C" w14:textId="77777777">
            <w:pPr>
              <w:jc w:val="right"/>
              <w:textAlignment w:val="baseline"/>
              <w:rPr>
                <w:rFonts w:eastAsia="Times New Roman"/>
                <w:color w:val="000000"/>
                <w:sz w:val="16"/>
                <w:lang w:val="en-GB"/>
              </w:rPr>
            </w:pPr>
          </w:p>
        </w:tc>
        <w:tc>
          <w:tcPr>
            <w:tcW w:w="0" w:type="auto"/>
            <w:vAlign w:val="bottom"/>
          </w:tcPr>
          <w:p w:rsidRPr="009C48DA" w:rsidR="00661519" w:rsidP="00661519" w:rsidRDefault="00661519" w14:paraId="5C9F4D8B" w14:textId="77777777">
            <w:pPr>
              <w:jc w:val="right"/>
              <w:textAlignment w:val="baseline"/>
              <w:rPr>
                <w:rFonts w:eastAsia="Times New Roman"/>
                <w:color w:val="000000"/>
                <w:sz w:val="16"/>
                <w:lang w:val="en-GB"/>
              </w:rPr>
            </w:pPr>
          </w:p>
        </w:tc>
        <w:tc>
          <w:tcPr>
            <w:tcW w:w="0" w:type="auto"/>
            <w:vAlign w:val="bottom"/>
          </w:tcPr>
          <w:p w:rsidRPr="009C48DA" w:rsidR="00661519" w:rsidP="00661519" w:rsidRDefault="00661519" w14:paraId="666EB4D2" w14:textId="77777777">
            <w:pPr>
              <w:jc w:val="right"/>
              <w:textAlignment w:val="baseline"/>
              <w:rPr>
                <w:rFonts w:eastAsia="Times New Roman"/>
                <w:color w:val="000000"/>
                <w:sz w:val="16"/>
                <w:lang w:val="en-GB"/>
              </w:rPr>
            </w:pPr>
          </w:p>
        </w:tc>
      </w:tr>
      <w:tr w:rsidRPr="009C48DA" w:rsidR="00661519" w:rsidTr="00661519" w14:paraId="1EAD07B2" w14:textId="77777777">
        <w:trPr>
          <w:trHeight w:val="260"/>
        </w:trPr>
        <w:tc>
          <w:tcPr>
            <w:tcW w:w="0" w:type="auto"/>
            <w:vAlign w:val="center"/>
          </w:tcPr>
          <w:p w:rsidRPr="009C48DA" w:rsidR="00661519" w:rsidP="00661519" w:rsidRDefault="00661519" w14:paraId="04ECE1B8" w14:textId="77777777">
            <w:pPr>
              <w:textAlignment w:val="baseline"/>
              <w:rPr>
                <w:rFonts w:eastAsia="Times New Roman"/>
                <w:color w:val="000000"/>
                <w:sz w:val="16"/>
                <w:lang w:val="en-GB"/>
              </w:rPr>
            </w:pPr>
          </w:p>
        </w:tc>
        <w:tc>
          <w:tcPr>
            <w:tcW w:w="0" w:type="auto"/>
            <w:vAlign w:val="bottom"/>
          </w:tcPr>
          <w:p w:rsidRPr="009C48DA" w:rsidR="00661519" w:rsidP="00661519" w:rsidRDefault="00661519" w14:paraId="0E9C14C8"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5,719</w:t>
            </w:r>
          </w:p>
        </w:tc>
        <w:tc>
          <w:tcPr>
            <w:tcW w:w="0" w:type="auto"/>
            <w:vAlign w:val="bottom"/>
          </w:tcPr>
          <w:p w:rsidRPr="009C48DA" w:rsidR="00661519" w:rsidP="00661519" w:rsidRDefault="00661519" w14:paraId="14D5F455"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0" w:type="auto"/>
            <w:vAlign w:val="bottom"/>
          </w:tcPr>
          <w:p w:rsidRPr="009C48DA" w:rsidR="00661519" w:rsidP="00661519" w:rsidRDefault="00661519" w14:paraId="6F0B12C7"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4,230</w:t>
            </w:r>
          </w:p>
        </w:tc>
        <w:tc>
          <w:tcPr>
            <w:tcW w:w="0" w:type="auto"/>
            <w:vAlign w:val="bottom"/>
          </w:tcPr>
          <w:p w:rsidRPr="009C48DA" w:rsidR="00661519" w:rsidP="00661519" w:rsidRDefault="00661519" w14:paraId="16DC5B73"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r>
    </w:tbl>
    <w:p w:rsidRPr="009C48DA" w:rsidR="00661519" w:rsidP="00661519" w:rsidRDefault="00661519" w14:paraId="6F0D04FD" w14:textId="77777777">
      <w:pPr>
        <w:spacing w:before="180" w:line="185" w:lineRule="exact"/>
        <w:textAlignment w:val="baseline"/>
        <w:rPr>
          <w:rFonts w:eastAsia="Times New Roman"/>
          <w:color w:val="000000"/>
          <w:sz w:val="16"/>
          <w:lang w:val="en-GB"/>
        </w:rPr>
      </w:pPr>
      <w:r w:rsidRPr="009C48DA">
        <w:rPr>
          <w:rFonts w:eastAsia="Times New Roman"/>
          <w:color w:val="000000"/>
          <w:sz w:val="16"/>
          <w:lang w:val="en-GB"/>
        </w:rPr>
        <w:t xml:space="preserve">The derivative financial liabilities relate to forward contracts that are used to hedge foreign exchange risk. Further detail on the </w:t>
      </w:r>
      <w:r w:rsidRPr="009C48DA">
        <w:rPr>
          <w:rFonts w:eastAsia="Times New Roman"/>
          <w:color w:val="000000"/>
          <w:sz w:val="16"/>
          <w:lang w:val="en-GB"/>
        </w:rPr>
        <w:br/>
        <w:t xml:space="preserve">hedging programme is set out in note 20(b). </w:t>
      </w:r>
    </w:p>
    <w:p w:rsidRPr="009C48DA" w:rsidR="00661519" w:rsidP="00661519" w:rsidRDefault="00661519" w14:paraId="61854921" w14:textId="77777777">
      <w:pPr>
        <w:ind w:right="72"/>
        <w:jc w:val="both"/>
        <w:textAlignment w:val="baseline"/>
        <w:rPr>
          <w:rFonts w:eastAsia="Times New Roman" w:cs="Times New Roman"/>
          <w:color w:val="000000"/>
          <w:sz w:val="16"/>
          <w:szCs w:val="16"/>
          <w:lang w:val="en-GB"/>
        </w:rPr>
      </w:pPr>
    </w:p>
    <w:p w:rsidRPr="009C48DA" w:rsidR="00661519" w:rsidP="00661519" w:rsidRDefault="00661519" w14:paraId="5153747E" w14:textId="77777777">
      <w:pPr>
        <w:ind w:right="72"/>
        <w:jc w:val="both"/>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19</w:t>
      </w:r>
      <w:r w:rsidRPr="009C48DA">
        <w:rPr>
          <w:rFonts w:eastAsia="Times New Roman" w:cs="Times New Roman"/>
          <w:b/>
          <w:color w:val="000000"/>
          <w:sz w:val="16"/>
          <w:szCs w:val="16"/>
          <w:lang w:val="en-GB"/>
        </w:rPr>
        <w:tab/>
        <w:t>Lease liabilities</w:t>
      </w:r>
    </w:p>
    <w:p w:rsidRPr="009C48DA" w:rsidR="00661519" w:rsidP="00661519" w:rsidRDefault="00661519" w14:paraId="09A8E922" w14:textId="77777777">
      <w:pPr>
        <w:ind w:right="72"/>
        <w:jc w:val="both"/>
        <w:textAlignment w:val="baseline"/>
        <w:rPr>
          <w:rFonts w:eastAsia="Times New Roman" w:cs="Times New Roman"/>
          <w:b/>
          <w:color w:val="000000"/>
          <w:sz w:val="16"/>
          <w:szCs w:val="16"/>
          <w:lang w:val="en-GB"/>
        </w:rPr>
      </w:pPr>
    </w:p>
    <w:tbl>
      <w:tblPr>
        <w:tblStyle w:val="TableGrid30"/>
        <w:tblW w:w="93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58"/>
        <w:gridCol w:w="1314"/>
        <w:gridCol w:w="1315"/>
        <w:gridCol w:w="1316"/>
        <w:gridCol w:w="1315"/>
      </w:tblGrid>
      <w:tr w:rsidRPr="009C48DA" w:rsidR="00661519" w:rsidTr="00661519" w14:paraId="3915E0BD" w14:textId="77777777">
        <w:trPr>
          <w:trHeight w:val="248"/>
        </w:trPr>
        <w:tc>
          <w:tcPr>
            <w:tcW w:w="4058" w:type="dxa"/>
            <w:vAlign w:val="bottom"/>
          </w:tcPr>
          <w:p w:rsidRPr="009C48DA" w:rsidR="00661519" w:rsidP="00661519" w:rsidRDefault="00661519" w14:paraId="30046B49" w14:textId="77777777">
            <w:pPr>
              <w:jc w:val="both"/>
              <w:textAlignment w:val="baseline"/>
              <w:rPr>
                <w:rFonts w:eastAsia="Times New Roman"/>
                <w:b/>
                <w:color w:val="000000"/>
                <w:sz w:val="16"/>
                <w:szCs w:val="16"/>
                <w:lang w:val="en-GB"/>
              </w:rPr>
            </w:pPr>
          </w:p>
        </w:tc>
        <w:tc>
          <w:tcPr>
            <w:tcW w:w="3945" w:type="dxa"/>
            <w:gridSpan w:val="3"/>
            <w:vAlign w:val="bottom"/>
          </w:tcPr>
          <w:p w:rsidRPr="009C48DA" w:rsidR="00661519" w:rsidP="00661519" w:rsidRDefault="00661519" w14:paraId="34949042"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December</w:t>
            </w:r>
          </w:p>
        </w:tc>
        <w:tc>
          <w:tcPr>
            <w:tcW w:w="1315" w:type="dxa"/>
            <w:vAlign w:val="bottom"/>
          </w:tcPr>
          <w:p w:rsidRPr="009C48DA" w:rsidR="00661519" w:rsidP="00661519" w:rsidRDefault="00661519" w14:paraId="426F0B6B"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3D1DA138" w14:textId="77777777">
        <w:trPr>
          <w:trHeight w:val="434"/>
        </w:trPr>
        <w:tc>
          <w:tcPr>
            <w:tcW w:w="4058" w:type="dxa"/>
            <w:vAlign w:val="bottom"/>
          </w:tcPr>
          <w:p w:rsidRPr="009C48DA" w:rsidR="00661519" w:rsidP="00661519" w:rsidRDefault="00661519" w14:paraId="175B7679" w14:textId="77777777">
            <w:pPr>
              <w:jc w:val="both"/>
              <w:textAlignment w:val="baseline"/>
              <w:rPr>
                <w:rFonts w:eastAsia="Times New Roman"/>
                <w:b/>
                <w:color w:val="000000"/>
                <w:sz w:val="16"/>
                <w:lang w:val="en-GB"/>
              </w:rPr>
            </w:pPr>
          </w:p>
        </w:tc>
        <w:tc>
          <w:tcPr>
            <w:tcW w:w="1314" w:type="dxa"/>
            <w:vAlign w:val="bottom"/>
          </w:tcPr>
          <w:p w:rsidRPr="009C48DA" w:rsidR="00661519" w:rsidP="00661519" w:rsidRDefault="00661519" w14:paraId="2ADCC232"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7212C184"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5" w:type="dxa"/>
            <w:vAlign w:val="bottom"/>
          </w:tcPr>
          <w:p w:rsidRPr="009C48DA" w:rsidR="00661519" w:rsidP="00661519" w:rsidRDefault="00661519" w14:paraId="5496DE7C"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3AE22CDD"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6" w:type="dxa"/>
            <w:vAlign w:val="bottom"/>
          </w:tcPr>
          <w:p w:rsidRPr="009C48DA" w:rsidR="00661519" w:rsidP="00661519" w:rsidRDefault="00661519" w14:paraId="11DFF0C1"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5723E71E"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5" w:type="dxa"/>
            <w:vAlign w:val="bottom"/>
          </w:tcPr>
          <w:p w:rsidRPr="009C48DA" w:rsidR="00661519" w:rsidP="00661519" w:rsidRDefault="00661519" w14:paraId="17663CEC"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483BE71A"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3537E66D" w14:textId="77777777">
        <w:trPr>
          <w:trHeight w:val="211"/>
        </w:trPr>
        <w:tc>
          <w:tcPr>
            <w:tcW w:w="0" w:type="auto"/>
            <w:vAlign w:val="center"/>
          </w:tcPr>
          <w:p w:rsidRPr="009C48DA" w:rsidR="00661519" w:rsidP="00661519" w:rsidRDefault="00661519" w14:paraId="34BEB3D7" w14:textId="77777777">
            <w:pPr>
              <w:textAlignment w:val="baseline"/>
              <w:rPr>
                <w:rFonts w:eastAsia="Times New Roman"/>
                <w:b/>
                <w:color w:val="000000"/>
                <w:sz w:val="16"/>
                <w:lang w:val="en-GB"/>
              </w:rPr>
            </w:pPr>
            <w:r w:rsidRPr="009C48DA">
              <w:rPr>
                <w:rFonts w:eastAsia="Times New Roman"/>
                <w:b/>
                <w:color w:val="000000"/>
                <w:sz w:val="16"/>
                <w:lang w:val="en-GB"/>
              </w:rPr>
              <w:t>Lease liabilities</w:t>
            </w:r>
          </w:p>
        </w:tc>
        <w:tc>
          <w:tcPr>
            <w:tcW w:w="0" w:type="auto"/>
            <w:vAlign w:val="center"/>
          </w:tcPr>
          <w:p w:rsidRPr="009C48DA" w:rsidR="00661519" w:rsidP="00661519" w:rsidRDefault="00661519" w14:paraId="1306186C"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6BE3AE7D"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18A9E7A6" w14:textId="77777777">
            <w:pPr>
              <w:jc w:val="right"/>
              <w:textAlignment w:val="baseline"/>
              <w:rPr>
                <w:rFonts w:eastAsia="Times New Roman"/>
                <w:color w:val="000000"/>
                <w:sz w:val="16"/>
                <w:lang w:val="en-GB"/>
              </w:rPr>
            </w:pPr>
          </w:p>
        </w:tc>
        <w:tc>
          <w:tcPr>
            <w:tcW w:w="0" w:type="auto"/>
            <w:vAlign w:val="center"/>
          </w:tcPr>
          <w:p w:rsidRPr="009C48DA" w:rsidR="00661519" w:rsidP="00661519" w:rsidRDefault="00661519" w14:paraId="4928970F" w14:textId="77777777">
            <w:pPr>
              <w:jc w:val="right"/>
              <w:textAlignment w:val="baseline"/>
              <w:rPr>
                <w:rFonts w:eastAsia="Times New Roman"/>
                <w:color w:val="000000"/>
                <w:sz w:val="16"/>
                <w:lang w:val="en-GB"/>
              </w:rPr>
            </w:pPr>
          </w:p>
        </w:tc>
      </w:tr>
      <w:tr w:rsidRPr="009C48DA" w:rsidR="00661519" w:rsidTr="00661519" w14:paraId="337F90CA" w14:textId="77777777">
        <w:trPr>
          <w:trHeight w:val="211"/>
        </w:trPr>
        <w:tc>
          <w:tcPr>
            <w:tcW w:w="0" w:type="auto"/>
          </w:tcPr>
          <w:p w:rsidRPr="009C48DA" w:rsidR="00661519" w:rsidP="00661519" w:rsidRDefault="00661519" w14:paraId="3C8FC47B" w14:textId="77777777">
            <w:pPr>
              <w:textAlignment w:val="baseline"/>
              <w:rPr>
                <w:rFonts w:eastAsia="Times New Roman"/>
                <w:color w:val="000000"/>
                <w:sz w:val="16"/>
                <w:lang w:val="en-GB"/>
              </w:rPr>
            </w:pPr>
            <w:r w:rsidRPr="009C48DA">
              <w:rPr>
                <w:rFonts w:eastAsia="Times New Roman"/>
                <w:color w:val="000000"/>
                <w:sz w:val="16"/>
                <w:lang w:val="en-GB"/>
              </w:rPr>
              <w:t>Current</w:t>
            </w:r>
          </w:p>
        </w:tc>
        <w:tc>
          <w:tcPr>
            <w:tcW w:w="0" w:type="auto"/>
          </w:tcPr>
          <w:p w:rsidRPr="009C48DA" w:rsidR="00661519" w:rsidP="00661519" w:rsidRDefault="00661519" w14:paraId="72717733" w14:textId="77777777">
            <w:pPr>
              <w:jc w:val="right"/>
              <w:textAlignment w:val="baseline"/>
              <w:rPr>
                <w:rFonts w:eastAsia="Times New Roman"/>
                <w:color w:val="000000"/>
                <w:sz w:val="16"/>
                <w:lang w:val="en-GB"/>
              </w:rPr>
            </w:pPr>
            <w:r w:rsidRPr="009C48DA">
              <w:rPr>
                <w:rFonts w:eastAsia="Times New Roman"/>
                <w:color w:val="000000"/>
                <w:sz w:val="16"/>
                <w:lang w:val="en-GB"/>
              </w:rPr>
              <w:t>4,120</w:t>
            </w:r>
          </w:p>
        </w:tc>
        <w:tc>
          <w:tcPr>
            <w:tcW w:w="0" w:type="auto"/>
          </w:tcPr>
          <w:p w:rsidRPr="009C48DA" w:rsidR="00661519" w:rsidP="00661519" w:rsidRDefault="00661519" w14:paraId="05F6DB8A" w14:textId="77777777">
            <w:pPr>
              <w:jc w:val="right"/>
              <w:textAlignment w:val="baseline"/>
              <w:rPr>
                <w:rFonts w:eastAsia="Times New Roman"/>
                <w:color w:val="000000"/>
                <w:sz w:val="16"/>
                <w:lang w:val="en-GB"/>
              </w:rPr>
            </w:pPr>
            <w:r w:rsidRPr="009C48DA">
              <w:rPr>
                <w:rFonts w:eastAsia="Times New Roman"/>
                <w:color w:val="000000"/>
                <w:sz w:val="16"/>
                <w:lang w:val="en-GB"/>
              </w:rPr>
              <w:t>5,893</w:t>
            </w:r>
          </w:p>
        </w:tc>
        <w:tc>
          <w:tcPr>
            <w:tcW w:w="0" w:type="auto"/>
          </w:tcPr>
          <w:p w:rsidRPr="009C48DA" w:rsidR="00661519" w:rsidP="00661519" w:rsidRDefault="00661519" w14:paraId="6A50E1EC" w14:textId="77777777">
            <w:pPr>
              <w:jc w:val="right"/>
              <w:textAlignment w:val="baseline"/>
              <w:rPr>
                <w:rFonts w:eastAsia="Times New Roman"/>
                <w:color w:val="000000"/>
                <w:sz w:val="16"/>
                <w:lang w:val="en-GB"/>
              </w:rPr>
            </w:pPr>
            <w:r w:rsidRPr="009C48DA">
              <w:rPr>
                <w:rFonts w:eastAsia="Times New Roman"/>
                <w:color w:val="000000"/>
                <w:sz w:val="16"/>
                <w:lang w:val="en-GB"/>
              </w:rPr>
              <w:t>6,087</w:t>
            </w:r>
          </w:p>
        </w:tc>
        <w:tc>
          <w:tcPr>
            <w:tcW w:w="0" w:type="auto"/>
          </w:tcPr>
          <w:p w:rsidRPr="009C48DA" w:rsidR="00661519" w:rsidP="00661519" w:rsidRDefault="00661519" w14:paraId="3BF7FBB1" w14:textId="77777777">
            <w:pPr>
              <w:jc w:val="right"/>
              <w:textAlignment w:val="baseline"/>
              <w:rPr>
                <w:rFonts w:eastAsia="Times New Roman"/>
                <w:color w:val="000000"/>
                <w:sz w:val="16"/>
                <w:lang w:val="en-GB"/>
              </w:rPr>
            </w:pPr>
            <w:r w:rsidRPr="009C48DA">
              <w:rPr>
                <w:rFonts w:eastAsia="Times New Roman"/>
                <w:color w:val="000000"/>
                <w:sz w:val="16"/>
                <w:lang w:val="en-GB"/>
              </w:rPr>
              <w:t>6,770</w:t>
            </w:r>
          </w:p>
        </w:tc>
      </w:tr>
      <w:tr w:rsidRPr="009C48DA" w:rsidR="00661519" w:rsidTr="00661519" w14:paraId="55A179CF" w14:textId="77777777">
        <w:trPr>
          <w:trHeight w:val="248"/>
        </w:trPr>
        <w:tc>
          <w:tcPr>
            <w:tcW w:w="0" w:type="auto"/>
          </w:tcPr>
          <w:p w:rsidRPr="009C48DA" w:rsidR="00661519" w:rsidP="00661519" w:rsidRDefault="00661519" w14:paraId="3FE266E8" w14:textId="77777777">
            <w:pPr>
              <w:textAlignment w:val="baseline"/>
              <w:rPr>
                <w:rFonts w:eastAsia="Times New Roman"/>
                <w:color w:val="000000"/>
                <w:sz w:val="16"/>
                <w:lang w:val="en-GB"/>
              </w:rPr>
            </w:pPr>
            <w:r w:rsidRPr="009C48DA">
              <w:rPr>
                <w:rFonts w:eastAsia="Times New Roman"/>
                <w:color w:val="000000"/>
                <w:sz w:val="16"/>
                <w:lang w:val="en-GB"/>
              </w:rPr>
              <w:t>Non-current</w:t>
            </w:r>
          </w:p>
        </w:tc>
        <w:tc>
          <w:tcPr>
            <w:tcW w:w="0" w:type="auto"/>
          </w:tcPr>
          <w:p w:rsidRPr="009C48DA" w:rsidR="00661519" w:rsidP="00661519" w:rsidRDefault="00661519" w14:paraId="6B929DBB"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44,671</w:t>
            </w:r>
          </w:p>
        </w:tc>
        <w:tc>
          <w:tcPr>
            <w:tcW w:w="0" w:type="auto"/>
          </w:tcPr>
          <w:p w:rsidRPr="009C48DA" w:rsidR="00661519" w:rsidP="00661519" w:rsidRDefault="00661519" w14:paraId="72BA0BC3"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42,267</w:t>
            </w:r>
          </w:p>
        </w:tc>
        <w:tc>
          <w:tcPr>
            <w:tcW w:w="0" w:type="auto"/>
          </w:tcPr>
          <w:p w:rsidRPr="009C48DA" w:rsidR="00661519" w:rsidP="00661519" w:rsidRDefault="00661519" w14:paraId="6662295B"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35,915</w:t>
            </w:r>
          </w:p>
        </w:tc>
        <w:tc>
          <w:tcPr>
            <w:tcW w:w="0" w:type="auto"/>
          </w:tcPr>
          <w:p w:rsidRPr="009C48DA" w:rsidR="00661519" w:rsidP="00661519" w:rsidRDefault="00661519" w14:paraId="5ED96917"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35,098</w:t>
            </w:r>
          </w:p>
        </w:tc>
      </w:tr>
      <w:tr w:rsidRPr="009C48DA" w:rsidR="00661519" w:rsidTr="00661519" w14:paraId="25DC07E5" w14:textId="77777777">
        <w:trPr>
          <w:trHeight w:val="272"/>
        </w:trPr>
        <w:tc>
          <w:tcPr>
            <w:tcW w:w="0" w:type="auto"/>
            <w:vAlign w:val="center"/>
          </w:tcPr>
          <w:p w:rsidRPr="009C48DA" w:rsidR="00661519" w:rsidP="00661519" w:rsidRDefault="00661519" w14:paraId="2ECAEDF7" w14:textId="77777777">
            <w:pPr>
              <w:textAlignment w:val="baseline"/>
              <w:rPr>
                <w:rFonts w:eastAsia="Times New Roman"/>
                <w:color w:val="000000"/>
                <w:sz w:val="16"/>
                <w:lang w:val="en-GB"/>
              </w:rPr>
            </w:pPr>
          </w:p>
        </w:tc>
        <w:tc>
          <w:tcPr>
            <w:tcW w:w="0" w:type="auto"/>
          </w:tcPr>
          <w:p w:rsidRPr="009C48DA" w:rsidR="00661519" w:rsidP="00661519" w:rsidRDefault="00661519" w14:paraId="3A17E88F"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48,791</w:t>
            </w:r>
          </w:p>
        </w:tc>
        <w:tc>
          <w:tcPr>
            <w:tcW w:w="0" w:type="auto"/>
          </w:tcPr>
          <w:p w:rsidRPr="009C48DA" w:rsidR="00661519" w:rsidP="00661519" w:rsidRDefault="00661519" w14:paraId="424188E5"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48,160</w:t>
            </w:r>
          </w:p>
        </w:tc>
        <w:tc>
          <w:tcPr>
            <w:tcW w:w="0" w:type="auto"/>
          </w:tcPr>
          <w:p w:rsidRPr="009C48DA" w:rsidR="00661519" w:rsidP="00661519" w:rsidRDefault="00661519" w14:paraId="672D95F3"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42,002</w:t>
            </w:r>
          </w:p>
        </w:tc>
        <w:tc>
          <w:tcPr>
            <w:tcW w:w="0" w:type="auto"/>
          </w:tcPr>
          <w:p w:rsidRPr="009C48DA" w:rsidR="00661519" w:rsidP="00661519" w:rsidRDefault="00661519" w14:paraId="5ADE8688"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41,868</w:t>
            </w:r>
          </w:p>
        </w:tc>
      </w:tr>
    </w:tbl>
    <w:p w:rsidRPr="009C48DA" w:rsidR="00661519" w:rsidP="00661519" w:rsidRDefault="00661519" w14:paraId="052792AB" w14:textId="77777777">
      <w:pPr>
        <w:ind w:right="72"/>
        <w:jc w:val="both"/>
        <w:textAlignment w:val="baseline"/>
        <w:rPr>
          <w:rFonts w:eastAsia="Times New Roman" w:cs="Times New Roman"/>
          <w:color w:val="000000"/>
          <w:sz w:val="16"/>
          <w:szCs w:val="22"/>
          <w:lang w:val="en-GB"/>
        </w:rPr>
      </w:pPr>
    </w:p>
    <w:p w:rsidRPr="009C48DA" w:rsidR="00661519" w:rsidP="00661519" w:rsidRDefault="00661519" w14:paraId="5A325F9E" w14:textId="77777777">
      <w:pPr>
        <w:spacing w:before="2" w:line="183" w:lineRule="exact"/>
        <w:jc w:val="both"/>
        <w:textAlignment w:val="baseline"/>
        <w:rPr>
          <w:rFonts w:eastAsia="Times New Roman"/>
          <w:color w:val="000000"/>
          <w:sz w:val="16"/>
          <w:lang w:val="en-GB"/>
        </w:rPr>
      </w:pPr>
      <w:r w:rsidRPr="009C48DA">
        <w:rPr>
          <w:rFonts w:eastAsia="Times New Roman"/>
          <w:color w:val="000000"/>
          <w:sz w:val="16"/>
          <w:lang w:val="en-GB"/>
        </w:rPr>
        <w:t xml:space="preserve">The lease liabilities relate to rental payments in respect of the Group’s rented offices. The lease contracts range from 5 to 15 years. The </w:t>
      </w:r>
      <w:r w:rsidRPr="009C48DA">
        <w:rPr>
          <w:rFonts w:eastAsia="Times New Roman"/>
          <w:color w:val="000000"/>
          <w:sz w:val="16"/>
          <w:lang w:val="en-GB"/>
        </w:rPr>
        <w:br/>
        <w:t>average remaining lease term at 31 March 2021 is 4.2 years and at 31 December 2020 is 4.5 years.</w:t>
      </w:r>
      <w:r w:rsidRPr="009C48DA">
        <w:rPr>
          <w:rFonts w:eastAsia="Times New Roman"/>
          <w:color w:val="000000"/>
          <w:sz w:val="16"/>
          <w:lang w:val="en-GB"/>
        </w:rPr>
        <w:br w:type="page"/>
      </w:r>
    </w:p>
    <w:p w:rsidRPr="009C48DA" w:rsidR="00661519" w:rsidP="00661519" w:rsidRDefault="00661519" w14:paraId="598B24C3" w14:textId="77777777">
      <w:pPr>
        <w:spacing w:before="99" w:line="184" w:lineRule="exact"/>
        <w:jc w:val="both"/>
        <w:textAlignment w:val="baseline"/>
        <w:rPr>
          <w:rFonts w:eastAsia="Times New Roman"/>
          <w:color w:val="000000"/>
          <w:sz w:val="16"/>
          <w:lang w:val="en-GB"/>
        </w:rPr>
      </w:pPr>
      <w:r w:rsidRPr="009C48DA">
        <w:rPr>
          <w:rFonts w:eastAsia="Times New Roman"/>
          <w:color w:val="000000"/>
          <w:sz w:val="16"/>
          <w:lang w:val="en-GB"/>
        </w:rPr>
        <w:lastRenderedPageBreak/>
        <w:t xml:space="preserve">The lease liability is initially measured at the net present value of future lease payments that are not paid at the commencement date </w:t>
      </w:r>
      <w:r w:rsidRPr="009C48DA">
        <w:rPr>
          <w:rFonts w:eastAsia="Times New Roman"/>
          <w:color w:val="000000"/>
          <w:sz w:val="16"/>
          <w:lang w:val="en-GB"/>
        </w:rPr>
        <w:br/>
        <w:t xml:space="preserve">discounted using the interest rate implicit in the lease or, if that rate cannot be readily determined, the Group’s IBR. Generally, the Group </w:t>
      </w:r>
      <w:r w:rsidRPr="009C48DA">
        <w:rPr>
          <w:rFonts w:eastAsia="Times New Roman"/>
          <w:color w:val="000000"/>
          <w:sz w:val="16"/>
          <w:lang w:val="en-GB"/>
        </w:rPr>
        <w:br/>
        <w:t xml:space="preserve">uses its IBR as the discount rate as the implicit rate is not readily determinable for the rented office premises. The lease liability is </w:t>
      </w:r>
      <w:r w:rsidRPr="009C48DA">
        <w:rPr>
          <w:rFonts w:eastAsia="Times New Roman"/>
          <w:color w:val="000000"/>
          <w:sz w:val="16"/>
          <w:lang w:val="en-GB"/>
        </w:rPr>
        <w:br/>
        <w:t>subsequently measured at amortised cost using the effective interest method.</w:t>
      </w:r>
    </w:p>
    <w:p w:rsidRPr="009C48DA" w:rsidR="00661519" w:rsidP="00661519" w:rsidRDefault="00661519" w14:paraId="4A0E2A0D" w14:textId="77777777">
      <w:pPr>
        <w:spacing w:before="96" w:line="187" w:lineRule="exact"/>
        <w:jc w:val="both"/>
        <w:textAlignment w:val="baseline"/>
        <w:rPr>
          <w:rFonts w:eastAsia="Times New Roman"/>
          <w:color w:val="000000"/>
          <w:sz w:val="16"/>
          <w:lang w:val="en-GB"/>
        </w:rPr>
      </w:pPr>
      <w:r w:rsidRPr="009C48DA">
        <w:rPr>
          <w:rFonts w:eastAsia="Times New Roman"/>
          <w:color w:val="000000"/>
          <w:sz w:val="16"/>
          <w:lang w:val="en-GB"/>
        </w:rPr>
        <w:t xml:space="preserve">The incremental borrowing rate is the rate that the individual lessee would have to pay to borrow the funds necessary to obtain an asset of </w:t>
      </w:r>
      <w:r w:rsidRPr="009C48DA">
        <w:rPr>
          <w:rFonts w:eastAsia="Times New Roman"/>
          <w:color w:val="000000"/>
          <w:sz w:val="16"/>
          <w:lang w:val="en-GB"/>
        </w:rPr>
        <w:br/>
        <w:t>similar value to the right-of-use asset in a similar economic environment within similar terms, security and conditions.</w:t>
      </w:r>
    </w:p>
    <w:p w:rsidRPr="009C48DA" w:rsidR="00661519" w:rsidP="00661519" w:rsidRDefault="00661519" w14:paraId="1C700D11" w14:textId="77777777">
      <w:pPr>
        <w:spacing w:before="101"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The lease contracts include either inflationary increases to the rent payable or periodic review of the rent payable. The liability has been </w:t>
      </w:r>
      <w:r w:rsidRPr="009C48DA">
        <w:rPr>
          <w:rFonts w:eastAsia="Times New Roman"/>
          <w:color w:val="000000"/>
          <w:sz w:val="16"/>
          <w:lang w:val="en-GB"/>
        </w:rPr>
        <w:br/>
        <w:t xml:space="preserve">determined at each period end, based upon expected changes in the contractual rent payable, as well as any planned exercise of any </w:t>
      </w:r>
      <w:r w:rsidRPr="009C48DA">
        <w:rPr>
          <w:rFonts w:eastAsia="Times New Roman"/>
          <w:color w:val="000000"/>
          <w:sz w:val="16"/>
          <w:lang w:val="en-GB"/>
        </w:rPr>
        <w:br/>
        <w:t>break/early exit.</w:t>
      </w:r>
    </w:p>
    <w:p w:rsidRPr="009C48DA" w:rsidR="00661519" w:rsidP="00661519" w:rsidRDefault="00661519" w14:paraId="11B1FE93" w14:textId="77777777">
      <w:pPr>
        <w:spacing w:before="101" w:line="184" w:lineRule="exact"/>
        <w:jc w:val="both"/>
        <w:textAlignment w:val="baseline"/>
        <w:rPr>
          <w:rFonts w:eastAsia="Times New Roman"/>
          <w:color w:val="000000"/>
          <w:sz w:val="16"/>
          <w:lang w:val="en-GB"/>
        </w:rPr>
      </w:pPr>
      <w:r w:rsidRPr="009C48DA">
        <w:rPr>
          <w:rFonts w:eastAsia="Times New Roman"/>
          <w:color w:val="000000"/>
          <w:sz w:val="16"/>
          <w:lang w:val="en-GB"/>
        </w:rPr>
        <w:t>A number of leases have extension options which have not been incorporated into the lease liability on the basis that they are not currently expected to be taken.</w:t>
      </w:r>
    </w:p>
    <w:p w:rsidRPr="009C48DA" w:rsidR="00661519" w:rsidP="00661519" w:rsidRDefault="00661519" w14:paraId="7480061F" w14:textId="77777777">
      <w:pPr>
        <w:spacing w:before="101"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The lease liability is therefore sensitive to assumptions relating to the selection and application of the IBR and those relating to the </w:t>
      </w:r>
      <w:r w:rsidRPr="009C48DA">
        <w:rPr>
          <w:rFonts w:eastAsia="Times New Roman"/>
          <w:color w:val="000000"/>
          <w:sz w:val="16"/>
          <w:lang w:val="en-GB"/>
        </w:rPr>
        <w:br/>
        <w:t>exercise/non-exercise of lease break clauses.</w:t>
      </w:r>
    </w:p>
    <w:p w:rsidRPr="009C48DA" w:rsidR="00661519" w:rsidP="00661519" w:rsidRDefault="00661519" w14:paraId="6E77C05B" w14:textId="77777777">
      <w:pPr>
        <w:spacing w:before="182" w:line="187" w:lineRule="exact"/>
        <w:jc w:val="both"/>
        <w:textAlignment w:val="baseline"/>
        <w:rPr>
          <w:rFonts w:eastAsia="Times New Roman"/>
          <w:color w:val="000000"/>
          <w:sz w:val="16"/>
          <w:lang w:val="en-GB"/>
        </w:rPr>
      </w:pPr>
      <w:r w:rsidRPr="009C48DA">
        <w:rPr>
          <w:rFonts w:eastAsia="Times New Roman"/>
          <w:color w:val="000000"/>
          <w:sz w:val="16"/>
          <w:lang w:val="en-GB"/>
        </w:rPr>
        <w:t xml:space="preserve">The Group periodically reassesses the lease term and whether it will exercise or not exercise the option. Should a change occur, the Group </w:t>
      </w:r>
      <w:r w:rsidRPr="009C48DA">
        <w:rPr>
          <w:rFonts w:eastAsia="Times New Roman"/>
          <w:color w:val="000000"/>
          <w:sz w:val="16"/>
          <w:lang w:val="en-GB"/>
        </w:rPr>
        <w:br/>
        <w:t>modifies the lease liability and associated right of use asset to reflect the remaining expected cash flows.</w:t>
      </w:r>
    </w:p>
    <w:p w:rsidRPr="009C48DA" w:rsidR="00661519" w:rsidP="00661519" w:rsidRDefault="00661519" w14:paraId="031B4EE2" w14:textId="77777777">
      <w:pPr>
        <w:ind w:right="72"/>
        <w:jc w:val="both"/>
        <w:textAlignment w:val="baseline"/>
        <w:rPr>
          <w:rFonts w:eastAsia="Times New Roman"/>
          <w:color w:val="000000"/>
          <w:sz w:val="16"/>
          <w:lang w:val="en-GB"/>
        </w:rPr>
      </w:pPr>
    </w:p>
    <w:p w:rsidRPr="009C48DA" w:rsidR="00661519" w:rsidP="00661519" w:rsidRDefault="00661519" w14:paraId="49ADF643" w14:textId="77777777">
      <w:pPr>
        <w:ind w:right="72"/>
        <w:jc w:val="both"/>
        <w:textAlignment w:val="baseline"/>
        <w:rPr>
          <w:rFonts w:eastAsia="Times New Roman" w:cs="Times New Roman"/>
          <w:color w:val="000000"/>
          <w:sz w:val="16"/>
          <w:szCs w:val="22"/>
          <w:lang w:val="en-GB"/>
        </w:rPr>
      </w:pPr>
      <w:r w:rsidRPr="009C48DA">
        <w:rPr>
          <w:rFonts w:eastAsia="Times New Roman"/>
          <w:color w:val="000000"/>
          <w:sz w:val="16"/>
          <w:lang w:val="en-GB"/>
        </w:rPr>
        <w:t xml:space="preserve">The IBR has determined by combining the relevant reference risk free rate for each currency, consideration of adjustments for country </w:t>
      </w:r>
      <w:r w:rsidRPr="009C48DA">
        <w:rPr>
          <w:rFonts w:eastAsia="Times New Roman"/>
          <w:color w:val="000000"/>
          <w:sz w:val="16"/>
          <w:lang w:val="en-GB"/>
        </w:rPr>
        <w:br/>
        <w:t xml:space="preserve">specific risks and applying a financing spread observable to comparable companies. In order to validate the reasonableness of the IBR, we </w:t>
      </w:r>
      <w:r w:rsidRPr="009C48DA">
        <w:rPr>
          <w:rFonts w:eastAsia="Times New Roman"/>
          <w:color w:val="000000"/>
          <w:sz w:val="16"/>
          <w:lang w:val="en-GB"/>
        </w:rPr>
        <w:br/>
        <w:t>have compared this to the margin payable on the Group’s Revolving Credit Facility, and found to be comparable. If the IBR had been 1% higher/lower, the impact on the lease liability would be:</w:t>
      </w:r>
    </w:p>
    <w:p w:rsidRPr="009C48DA" w:rsidR="00661519" w:rsidP="00661519" w:rsidRDefault="00661519" w14:paraId="31CD5118" w14:textId="77777777">
      <w:pPr>
        <w:ind w:right="72"/>
        <w:jc w:val="both"/>
        <w:textAlignment w:val="baseline"/>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681"/>
        <w:gridCol w:w="1111"/>
        <w:gridCol w:w="1112"/>
        <w:gridCol w:w="1179"/>
        <w:gridCol w:w="1045"/>
        <w:gridCol w:w="1112"/>
      </w:tblGrid>
      <w:tr w:rsidRPr="009C48DA" w:rsidR="00661519" w:rsidTr="00661519" w14:paraId="18A609FF" w14:textId="77777777">
        <w:tc>
          <w:tcPr>
            <w:tcW w:w="3681" w:type="dxa"/>
            <w:vAlign w:val="bottom"/>
          </w:tcPr>
          <w:p w:rsidRPr="009C48DA" w:rsidR="00661519" w:rsidP="00661519" w:rsidRDefault="00661519" w14:paraId="2CACCDA7" w14:textId="77777777">
            <w:pPr>
              <w:jc w:val="both"/>
              <w:textAlignment w:val="baseline"/>
              <w:rPr>
                <w:rFonts w:eastAsia="Times New Roman"/>
                <w:b/>
                <w:color w:val="000000"/>
                <w:sz w:val="16"/>
                <w:szCs w:val="16"/>
                <w:lang w:val="en-GB"/>
              </w:rPr>
            </w:pPr>
          </w:p>
        </w:tc>
        <w:tc>
          <w:tcPr>
            <w:tcW w:w="3402" w:type="dxa"/>
            <w:gridSpan w:val="3"/>
            <w:vAlign w:val="bottom"/>
          </w:tcPr>
          <w:p w:rsidRPr="009C48DA" w:rsidR="00661519" w:rsidP="00661519" w:rsidRDefault="00661519" w14:paraId="7C5A4187"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Year ended 31 December</w:t>
            </w:r>
          </w:p>
        </w:tc>
        <w:tc>
          <w:tcPr>
            <w:tcW w:w="2157" w:type="dxa"/>
            <w:gridSpan w:val="2"/>
            <w:vAlign w:val="bottom"/>
          </w:tcPr>
          <w:p w:rsidRPr="009C48DA" w:rsidR="00661519" w:rsidP="00661519" w:rsidRDefault="00661519" w14:paraId="2D90CB49"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 xml:space="preserve">Three month period ended </w:t>
            </w:r>
          </w:p>
          <w:p w:rsidRPr="009C48DA" w:rsidR="00661519" w:rsidP="00661519" w:rsidRDefault="00661519" w14:paraId="26D37115"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56261512" w14:textId="77777777">
        <w:tc>
          <w:tcPr>
            <w:tcW w:w="3681" w:type="dxa"/>
            <w:vAlign w:val="bottom"/>
          </w:tcPr>
          <w:p w:rsidRPr="009C48DA" w:rsidR="00661519" w:rsidP="00661519" w:rsidRDefault="00661519" w14:paraId="34DA4D89" w14:textId="77777777">
            <w:pPr>
              <w:jc w:val="both"/>
              <w:textAlignment w:val="baseline"/>
              <w:rPr>
                <w:rFonts w:eastAsia="Times New Roman"/>
                <w:b/>
                <w:color w:val="000000"/>
                <w:sz w:val="16"/>
                <w:lang w:val="en-GB"/>
              </w:rPr>
            </w:pPr>
          </w:p>
        </w:tc>
        <w:tc>
          <w:tcPr>
            <w:tcW w:w="1111" w:type="dxa"/>
            <w:vAlign w:val="bottom"/>
          </w:tcPr>
          <w:p w:rsidRPr="009C48DA" w:rsidR="00661519" w:rsidP="00661519" w:rsidRDefault="00661519" w14:paraId="35DD48B4"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053AE342"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112" w:type="dxa"/>
            <w:vAlign w:val="bottom"/>
          </w:tcPr>
          <w:p w:rsidRPr="009C48DA" w:rsidR="00661519" w:rsidP="00661519" w:rsidRDefault="00661519" w14:paraId="3F2D017D"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3C9F0030"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179" w:type="dxa"/>
            <w:vAlign w:val="bottom"/>
          </w:tcPr>
          <w:p w:rsidRPr="009C48DA" w:rsidR="00661519" w:rsidP="00661519" w:rsidRDefault="00661519" w14:paraId="3AD6FADE"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6462F0C9"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45" w:type="dxa"/>
            <w:vAlign w:val="bottom"/>
          </w:tcPr>
          <w:p w:rsidRPr="009C48DA" w:rsidR="00661519" w:rsidP="00661519" w:rsidRDefault="00661519" w14:paraId="42BC3C91" w14:textId="77777777">
            <w:pPr>
              <w:jc w:val="right"/>
              <w:textAlignment w:val="baseline"/>
              <w:rPr>
                <w:rFonts w:eastAsia="Times New Roman"/>
                <w:b/>
                <w:color w:val="000000"/>
                <w:sz w:val="16"/>
                <w:lang w:val="en-GB"/>
              </w:rPr>
            </w:pPr>
            <w:r w:rsidRPr="009C48DA">
              <w:rPr>
                <w:rFonts w:eastAsia="Times New Roman"/>
                <w:b/>
                <w:color w:val="000000"/>
                <w:sz w:val="16"/>
                <w:lang w:val="en-GB"/>
              </w:rPr>
              <w:t>Unaudited</w:t>
            </w:r>
          </w:p>
          <w:p w:rsidRPr="009C48DA" w:rsidR="00661519" w:rsidP="00661519" w:rsidRDefault="00661519" w14:paraId="4A6C4F95"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3835D6DA"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112" w:type="dxa"/>
            <w:vAlign w:val="bottom"/>
          </w:tcPr>
          <w:p w:rsidRPr="009C48DA" w:rsidR="00661519" w:rsidP="00661519" w:rsidRDefault="00661519" w14:paraId="04804D3B"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491F705A"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3E7408BA" w14:textId="77777777">
        <w:tc>
          <w:tcPr>
            <w:tcW w:w="3681" w:type="dxa"/>
          </w:tcPr>
          <w:p w:rsidRPr="009C48DA" w:rsidR="00661519" w:rsidP="00661519" w:rsidRDefault="00661519" w14:paraId="0E032E5B" w14:textId="77777777">
            <w:pPr>
              <w:textAlignment w:val="baseline"/>
              <w:rPr>
                <w:rFonts w:eastAsia="Times New Roman"/>
                <w:color w:val="000000"/>
                <w:sz w:val="16"/>
                <w:lang w:val="en-GB"/>
              </w:rPr>
            </w:pPr>
            <w:r w:rsidRPr="009C48DA">
              <w:rPr>
                <w:rFonts w:eastAsia="Times New Roman"/>
                <w:color w:val="000000"/>
                <w:sz w:val="16"/>
                <w:lang w:val="en-GB"/>
              </w:rPr>
              <w:t>Increase of 1%</w:t>
            </w:r>
          </w:p>
        </w:tc>
        <w:tc>
          <w:tcPr>
            <w:tcW w:w="1111" w:type="dxa"/>
            <w:vAlign w:val="center"/>
          </w:tcPr>
          <w:p w:rsidRPr="009C48DA" w:rsidR="00661519" w:rsidP="00661519" w:rsidRDefault="00661519" w14:paraId="2B16123B" w14:textId="77777777">
            <w:pPr>
              <w:jc w:val="right"/>
              <w:textAlignment w:val="baseline"/>
              <w:rPr>
                <w:rFonts w:eastAsia="Times New Roman"/>
                <w:color w:val="000000"/>
                <w:sz w:val="16"/>
                <w:lang w:val="en-GB"/>
              </w:rPr>
            </w:pPr>
            <w:r w:rsidRPr="009C48DA">
              <w:rPr>
                <w:rFonts w:eastAsia="Times New Roman"/>
                <w:color w:val="000000"/>
                <w:sz w:val="16"/>
                <w:lang w:val="en-GB"/>
              </w:rPr>
              <w:t>(1,931)</w:t>
            </w:r>
          </w:p>
        </w:tc>
        <w:tc>
          <w:tcPr>
            <w:tcW w:w="1112" w:type="dxa"/>
            <w:vAlign w:val="center"/>
          </w:tcPr>
          <w:p w:rsidRPr="009C48DA" w:rsidR="00661519" w:rsidP="00661519" w:rsidRDefault="00661519" w14:paraId="08C62B9E" w14:textId="77777777">
            <w:pPr>
              <w:jc w:val="right"/>
              <w:textAlignment w:val="baseline"/>
              <w:rPr>
                <w:rFonts w:eastAsia="Times New Roman"/>
                <w:color w:val="000000"/>
                <w:sz w:val="16"/>
                <w:lang w:val="en-GB"/>
              </w:rPr>
            </w:pPr>
            <w:r w:rsidRPr="009C48DA">
              <w:rPr>
                <w:rFonts w:eastAsia="Times New Roman"/>
                <w:color w:val="000000"/>
                <w:sz w:val="16"/>
                <w:lang w:val="en-GB"/>
              </w:rPr>
              <w:t>(1,630)</w:t>
            </w:r>
          </w:p>
        </w:tc>
        <w:tc>
          <w:tcPr>
            <w:tcW w:w="1179" w:type="dxa"/>
            <w:vAlign w:val="center"/>
          </w:tcPr>
          <w:p w:rsidRPr="009C48DA" w:rsidR="00661519" w:rsidP="00661519" w:rsidRDefault="00661519" w14:paraId="3583F922" w14:textId="77777777">
            <w:pPr>
              <w:jc w:val="right"/>
              <w:textAlignment w:val="baseline"/>
              <w:rPr>
                <w:rFonts w:eastAsia="Times New Roman"/>
                <w:color w:val="000000"/>
                <w:sz w:val="16"/>
                <w:lang w:val="en-GB"/>
              </w:rPr>
            </w:pPr>
            <w:r w:rsidRPr="009C48DA">
              <w:rPr>
                <w:rFonts w:eastAsia="Times New Roman"/>
                <w:color w:val="000000"/>
                <w:sz w:val="16"/>
                <w:lang w:val="en-GB"/>
              </w:rPr>
              <w:t>(1,263)</w:t>
            </w:r>
          </w:p>
        </w:tc>
        <w:tc>
          <w:tcPr>
            <w:tcW w:w="1045" w:type="dxa"/>
            <w:vAlign w:val="center"/>
          </w:tcPr>
          <w:p w:rsidRPr="009C48DA" w:rsidR="00661519" w:rsidP="00661519" w:rsidRDefault="00661519" w14:paraId="22F951B0" w14:textId="77777777">
            <w:pPr>
              <w:jc w:val="right"/>
              <w:textAlignment w:val="baseline"/>
              <w:rPr>
                <w:rFonts w:eastAsia="Times New Roman"/>
                <w:color w:val="000000"/>
                <w:sz w:val="16"/>
                <w:lang w:val="en-GB"/>
              </w:rPr>
            </w:pPr>
            <w:r w:rsidRPr="009C48DA">
              <w:rPr>
                <w:rFonts w:eastAsia="Times New Roman"/>
                <w:color w:val="000000"/>
                <w:sz w:val="16"/>
                <w:lang w:val="en-GB"/>
              </w:rPr>
              <w:t>(1,536)</w:t>
            </w:r>
          </w:p>
        </w:tc>
        <w:tc>
          <w:tcPr>
            <w:tcW w:w="1112" w:type="dxa"/>
            <w:vAlign w:val="center"/>
          </w:tcPr>
          <w:p w:rsidRPr="009C48DA" w:rsidR="00661519" w:rsidP="00661519" w:rsidRDefault="00661519" w14:paraId="51BF9997" w14:textId="77777777">
            <w:pPr>
              <w:jc w:val="right"/>
              <w:textAlignment w:val="baseline"/>
              <w:rPr>
                <w:rFonts w:eastAsia="Times New Roman"/>
                <w:color w:val="000000"/>
                <w:sz w:val="16"/>
                <w:lang w:val="en-GB"/>
              </w:rPr>
            </w:pPr>
            <w:r w:rsidRPr="009C48DA">
              <w:rPr>
                <w:rFonts w:eastAsia="Times New Roman"/>
                <w:color w:val="000000"/>
                <w:sz w:val="16"/>
                <w:lang w:val="en-GB"/>
              </w:rPr>
              <w:t>(1,208)</w:t>
            </w:r>
          </w:p>
        </w:tc>
      </w:tr>
      <w:tr w:rsidRPr="009C48DA" w:rsidR="00661519" w:rsidTr="00661519" w14:paraId="609B9328" w14:textId="77777777">
        <w:tc>
          <w:tcPr>
            <w:tcW w:w="3681" w:type="dxa"/>
          </w:tcPr>
          <w:p w:rsidRPr="009C48DA" w:rsidR="00661519" w:rsidP="00661519" w:rsidRDefault="00661519" w14:paraId="047F9D5E" w14:textId="77777777">
            <w:pPr>
              <w:textAlignment w:val="baseline"/>
              <w:rPr>
                <w:rFonts w:eastAsia="Times New Roman"/>
                <w:color w:val="000000"/>
                <w:sz w:val="16"/>
                <w:lang w:val="en-GB"/>
              </w:rPr>
            </w:pPr>
            <w:r w:rsidRPr="009C48DA">
              <w:rPr>
                <w:rFonts w:eastAsia="Times New Roman"/>
                <w:color w:val="000000"/>
                <w:sz w:val="16"/>
                <w:lang w:val="en-GB"/>
              </w:rPr>
              <w:t>Decrease of 1%</w:t>
            </w:r>
          </w:p>
        </w:tc>
        <w:tc>
          <w:tcPr>
            <w:tcW w:w="1111" w:type="dxa"/>
            <w:vAlign w:val="center"/>
          </w:tcPr>
          <w:p w:rsidRPr="009C48DA" w:rsidR="00661519" w:rsidP="00661519" w:rsidRDefault="00661519" w14:paraId="2EC4D1CD" w14:textId="77777777">
            <w:pPr>
              <w:jc w:val="right"/>
              <w:textAlignment w:val="baseline"/>
              <w:rPr>
                <w:rFonts w:eastAsia="Times New Roman"/>
                <w:color w:val="000000"/>
                <w:sz w:val="16"/>
                <w:lang w:val="en-GB"/>
              </w:rPr>
            </w:pPr>
            <w:r w:rsidRPr="009C48DA">
              <w:rPr>
                <w:rFonts w:eastAsia="Times New Roman"/>
                <w:color w:val="000000"/>
                <w:sz w:val="16"/>
                <w:lang w:val="en-GB"/>
              </w:rPr>
              <w:t>2,061</w:t>
            </w:r>
          </w:p>
        </w:tc>
        <w:tc>
          <w:tcPr>
            <w:tcW w:w="1112" w:type="dxa"/>
            <w:vAlign w:val="center"/>
          </w:tcPr>
          <w:p w:rsidRPr="009C48DA" w:rsidR="00661519" w:rsidP="00661519" w:rsidRDefault="00661519" w14:paraId="4FB17738" w14:textId="77777777">
            <w:pPr>
              <w:jc w:val="right"/>
              <w:textAlignment w:val="baseline"/>
              <w:rPr>
                <w:rFonts w:eastAsia="Times New Roman"/>
                <w:color w:val="000000"/>
                <w:sz w:val="16"/>
                <w:lang w:val="en-GB"/>
              </w:rPr>
            </w:pPr>
            <w:r w:rsidRPr="009C48DA">
              <w:rPr>
                <w:rFonts w:eastAsia="Times New Roman"/>
                <w:color w:val="000000"/>
                <w:sz w:val="16"/>
                <w:lang w:val="en-GB"/>
              </w:rPr>
              <w:t>1,728</w:t>
            </w:r>
          </w:p>
        </w:tc>
        <w:tc>
          <w:tcPr>
            <w:tcW w:w="1179" w:type="dxa"/>
            <w:vAlign w:val="center"/>
          </w:tcPr>
          <w:p w:rsidRPr="009C48DA" w:rsidR="00661519" w:rsidP="00661519" w:rsidRDefault="00661519" w14:paraId="66377FB3" w14:textId="77777777">
            <w:pPr>
              <w:jc w:val="right"/>
              <w:textAlignment w:val="baseline"/>
              <w:rPr>
                <w:rFonts w:eastAsia="Times New Roman"/>
                <w:color w:val="000000"/>
                <w:sz w:val="16"/>
                <w:lang w:val="en-GB"/>
              </w:rPr>
            </w:pPr>
            <w:r w:rsidRPr="009C48DA">
              <w:rPr>
                <w:rFonts w:eastAsia="Times New Roman"/>
                <w:color w:val="000000"/>
                <w:sz w:val="16"/>
                <w:lang w:val="en-GB"/>
              </w:rPr>
              <w:t>1,332</w:t>
            </w:r>
          </w:p>
        </w:tc>
        <w:tc>
          <w:tcPr>
            <w:tcW w:w="1045" w:type="dxa"/>
            <w:vAlign w:val="center"/>
          </w:tcPr>
          <w:p w:rsidRPr="009C48DA" w:rsidR="00661519" w:rsidP="00661519" w:rsidRDefault="00661519" w14:paraId="7A2AE67E" w14:textId="77777777">
            <w:pPr>
              <w:jc w:val="right"/>
              <w:textAlignment w:val="baseline"/>
              <w:rPr>
                <w:rFonts w:eastAsia="Times New Roman"/>
                <w:color w:val="000000"/>
                <w:sz w:val="16"/>
                <w:lang w:val="en-GB"/>
              </w:rPr>
            </w:pPr>
            <w:r w:rsidRPr="009C48DA">
              <w:rPr>
                <w:rFonts w:eastAsia="Times New Roman"/>
                <w:color w:val="000000"/>
                <w:sz w:val="16"/>
                <w:lang w:val="en-GB"/>
              </w:rPr>
              <w:t>1,626</w:t>
            </w:r>
          </w:p>
        </w:tc>
        <w:tc>
          <w:tcPr>
            <w:tcW w:w="1112" w:type="dxa"/>
            <w:vAlign w:val="center"/>
          </w:tcPr>
          <w:p w:rsidRPr="009C48DA" w:rsidR="00661519" w:rsidP="00661519" w:rsidRDefault="00661519" w14:paraId="5AD96243" w14:textId="77777777">
            <w:pPr>
              <w:jc w:val="right"/>
              <w:textAlignment w:val="baseline"/>
              <w:rPr>
                <w:rFonts w:eastAsia="Times New Roman"/>
                <w:color w:val="000000"/>
                <w:sz w:val="16"/>
                <w:lang w:val="en-GB"/>
              </w:rPr>
            </w:pPr>
            <w:r w:rsidRPr="009C48DA">
              <w:rPr>
                <w:rFonts w:eastAsia="Times New Roman"/>
                <w:color w:val="000000"/>
                <w:sz w:val="16"/>
                <w:lang w:val="en-GB"/>
              </w:rPr>
              <w:t>1,273</w:t>
            </w:r>
          </w:p>
        </w:tc>
      </w:tr>
    </w:tbl>
    <w:p w:rsidRPr="009C48DA" w:rsidR="00661519" w:rsidP="00661519" w:rsidRDefault="00661519" w14:paraId="4B69582C" w14:textId="77777777">
      <w:pPr>
        <w:ind w:right="72"/>
        <w:jc w:val="both"/>
        <w:textAlignment w:val="baseline"/>
        <w:rPr>
          <w:rFonts w:eastAsia="Times New Roman" w:cs="Times New Roman"/>
          <w:color w:val="000000"/>
          <w:sz w:val="16"/>
          <w:szCs w:val="22"/>
          <w:lang w:val="en-GB"/>
        </w:rPr>
      </w:pPr>
    </w:p>
    <w:p w:rsidRPr="009C48DA" w:rsidR="00661519" w:rsidP="00661519" w:rsidRDefault="00661519" w14:paraId="23686661" w14:textId="77777777">
      <w:pPr>
        <w:spacing w:before="231" w:line="187" w:lineRule="exact"/>
        <w:jc w:val="both"/>
        <w:textAlignment w:val="baseline"/>
        <w:rPr>
          <w:rFonts w:eastAsia="Times New Roman"/>
          <w:color w:val="000000"/>
          <w:sz w:val="16"/>
          <w:lang w:val="en-GB"/>
        </w:rPr>
      </w:pPr>
      <w:r w:rsidRPr="009C48DA">
        <w:rPr>
          <w:rFonts w:eastAsia="Times New Roman"/>
          <w:color w:val="000000"/>
          <w:sz w:val="16"/>
          <w:lang w:val="en-GB"/>
        </w:rPr>
        <w:t xml:space="preserve">All lease liabilities have been modelled to the end of their non-cancellable lease term, with no breaks assumed. Therefore the lease exposure </w:t>
      </w:r>
      <w:r w:rsidRPr="009C48DA">
        <w:rPr>
          <w:rFonts w:eastAsia="Times New Roman"/>
          <w:color w:val="000000"/>
          <w:sz w:val="16"/>
          <w:lang w:val="en-GB"/>
        </w:rPr>
        <w:br/>
        <w:t>stated is the maximum exposure, ignoring any extension options.</w:t>
      </w:r>
    </w:p>
    <w:p w:rsidRPr="009C48DA" w:rsidR="00661519" w:rsidP="00661519" w:rsidRDefault="00661519" w14:paraId="772C5B45" w14:textId="77777777">
      <w:pPr>
        <w:spacing w:before="91" w:line="187" w:lineRule="exact"/>
        <w:jc w:val="both"/>
        <w:textAlignment w:val="baseline"/>
        <w:rPr>
          <w:rFonts w:eastAsia="Times New Roman"/>
          <w:color w:val="000000"/>
          <w:sz w:val="16"/>
          <w:lang w:val="en-GB"/>
        </w:rPr>
      </w:pPr>
      <w:r w:rsidRPr="009C48DA">
        <w:rPr>
          <w:rFonts w:eastAsia="Times New Roman"/>
          <w:color w:val="000000"/>
          <w:sz w:val="16"/>
          <w:lang w:val="en-GB"/>
        </w:rPr>
        <w:t xml:space="preserve">The lease payments are allocated between principal and finance cost. The finance cost is charged to the profit or loss over the lease period so </w:t>
      </w:r>
      <w:r w:rsidRPr="009C48DA">
        <w:rPr>
          <w:rFonts w:eastAsia="Times New Roman"/>
          <w:color w:val="000000"/>
          <w:sz w:val="16"/>
          <w:lang w:val="en-GB"/>
        </w:rPr>
        <w:br/>
        <w:t>as to produce a constant periodic rate of interest on the remaining balance of the liability.</w:t>
      </w:r>
    </w:p>
    <w:p w:rsidRPr="009C48DA" w:rsidR="00661519" w:rsidP="00661519" w:rsidRDefault="00661519" w14:paraId="7BB66391" w14:textId="77777777">
      <w:pPr>
        <w:spacing w:before="91" w:line="187" w:lineRule="exact"/>
        <w:jc w:val="both"/>
        <w:textAlignment w:val="baseline"/>
        <w:rPr>
          <w:rFonts w:eastAsia="Times New Roman"/>
          <w:color w:val="000000"/>
          <w:sz w:val="16"/>
          <w:lang w:val="en-GB"/>
        </w:rPr>
      </w:pPr>
    </w:p>
    <w:p w:rsidRPr="009C48DA" w:rsidR="00661519" w:rsidP="00661519" w:rsidRDefault="00661519" w14:paraId="1F16BB79" w14:textId="77777777">
      <w:pPr>
        <w:ind w:right="72"/>
        <w:jc w:val="both"/>
        <w:textAlignment w:val="baseline"/>
        <w:rPr>
          <w:rFonts w:eastAsia="Times New Roman" w:cs="Times New Roman"/>
          <w:color w:val="000000"/>
          <w:sz w:val="16"/>
          <w:szCs w:val="22"/>
          <w:lang w:val="en-GB"/>
        </w:rPr>
      </w:pPr>
      <w:r w:rsidRPr="009C48DA">
        <w:rPr>
          <w:rFonts w:eastAsia="Times New Roman"/>
          <w:color w:val="000000"/>
          <w:sz w:val="16"/>
          <w:lang w:val="en-GB"/>
        </w:rPr>
        <w:t>The Income Statement includes the following amounts relating to the lease liabilities:</w:t>
      </w:r>
    </w:p>
    <w:p w:rsidRPr="009C48DA" w:rsidR="00661519" w:rsidP="00661519" w:rsidRDefault="00661519" w14:paraId="4622C5EE" w14:textId="77777777">
      <w:pPr>
        <w:ind w:right="72"/>
        <w:jc w:val="both"/>
        <w:textAlignment w:val="baseline"/>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681"/>
        <w:gridCol w:w="1105"/>
        <w:gridCol w:w="1106"/>
        <w:gridCol w:w="1105"/>
        <w:gridCol w:w="1106"/>
        <w:gridCol w:w="1106"/>
      </w:tblGrid>
      <w:tr w:rsidRPr="009C48DA" w:rsidR="00661519" w:rsidTr="00661519" w14:paraId="2E3C8DE6" w14:textId="77777777">
        <w:tc>
          <w:tcPr>
            <w:tcW w:w="3681" w:type="dxa"/>
            <w:vAlign w:val="bottom"/>
          </w:tcPr>
          <w:p w:rsidRPr="009C48DA" w:rsidR="00661519" w:rsidP="00661519" w:rsidRDefault="00661519" w14:paraId="3F102569" w14:textId="77777777">
            <w:pPr>
              <w:jc w:val="both"/>
              <w:textAlignment w:val="baseline"/>
              <w:rPr>
                <w:rFonts w:eastAsia="Times New Roman"/>
                <w:b/>
                <w:color w:val="000000"/>
                <w:sz w:val="16"/>
                <w:szCs w:val="16"/>
                <w:lang w:val="en-GB"/>
              </w:rPr>
            </w:pPr>
          </w:p>
        </w:tc>
        <w:tc>
          <w:tcPr>
            <w:tcW w:w="3316" w:type="dxa"/>
            <w:gridSpan w:val="3"/>
            <w:vAlign w:val="bottom"/>
          </w:tcPr>
          <w:p w:rsidRPr="009C48DA" w:rsidR="00661519" w:rsidP="00661519" w:rsidRDefault="00661519" w14:paraId="697800D6"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Year ended 31 December</w:t>
            </w:r>
          </w:p>
        </w:tc>
        <w:tc>
          <w:tcPr>
            <w:tcW w:w="2212" w:type="dxa"/>
            <w:gridSpan w:val="2"/>
            <w:vAlign w:val="bottom"/>
          </w:tcPr>
          <w:p w:rsidRPr="009C48DA" w:rsidR="00661519" w:rsidP="00661519" w:rsidRDefault="00661519" w14:paraId="3BC50DD3"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 xml:space="preserve">Three month period ended </w:t>
            </w:r>
          </w:p>
          <w:p w:rsidRPr="009C48DA" w:rsidR="00661519" w:rsidP="00661519" w:rsidRDefault="00661519" w14:paraId="11B029B4"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31 March</w:t>
            </w:r>
          </w:p>
        </w:tc>
      </w:tr>
      <w:tr w:rsidRPr="009C48DA" w:rsidR="00661519" w:rsidTr="00661519" w14:paraId="37D5C4B5" w14:textId="77777777">
        <w:tc>
          <w:tcPr>
            <w:tcW w:w="3681" w:type="dxa"/>
            <w:vAlign w:val="bottom"/>
          </w:tcPr>
          <w:p w:rsidRPr="009C48DA" w:rsidR="00661519" w:rsidP="00661519" w:rsidRDefault="00661519" w14:paraId="641C6A2C" w14:textId="77777777">
            <w:pPr>
              <w:jc w:val="both"/>
              <w:textAlignment w:val="baseline"/>
              <w:rPr>
                <w:rFonts w:eastAsia="Times New Roman"/>
                <w:b/>
                <w:color w:val="000000"/>
                <w:sz w:val="16"/>
                <w:lang w:val="en-GB"/>
              </w:rPr>
            </w:pPr>
          </w:p>
        </w:tc>
        <w:tc>
          <w:tcPr>
            <w:tcW w:w="1105" w:type="dxa"/>
            <w:vAlign w:val="bottom"/>
          </w:tcPr>
          <w:p w:rsidRPr="009C48DA" w:rsidR="00661519" w:rsidP="00661519" w:rsidRDefault="00661519" w14:paraId="31220DF9"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027EEA32"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106" w:type="dxa"/>
            <w:vAlign w:val="bottom"/>
          </w:tcPr>
          <w:p w:rsidRPr="009C48DA" w:rsidR="00661519" w:rsidP="00661519" w:rsidRDefault="00661519" w14:paraId="59EB2062"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2C462D7E"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105" w:type="dxa"/>
            <w:vAlign w:val="bottom"/>
          </w:tcPr>
          <w:p w:rsidRPr="009C48DA" w:rsidR="00661519" w:rsidP="00661519" w:rsidRDefault="00661519" w14:paraId="1B4BF5BF"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4C1F51FD"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106" w:type="dxa"/>
            <w:vAlign w:val="bottom"/>
          </w:tcPr>
          <w:p w:rsidRPr="009C48DA" w:rsidR="00661519" w:rsidP="00661519" w:rsidRDefault="00661519" w14:paraId="68993A30" w14:textId="77777777">
            <w:pPr>
              <w:jc w:val="right"/>
              <w:textAlignment w:val="baseline"/>
              <w:rPr>
                <w:rFonts w:eastAsia="Times New Roman"/>
                <w:b/>
                <w:color w:val="000000"/>
                <w:sz w:val="16"/>
                <w:lang w:val="en-GB"/>
              </w:rPr>
            </w:pPr>
            <w:r w:rsidRPr="009C48DA">
              <w:rPr>
                <w:rFonts w:eastAsia="Times New Roman"/>
                <w:b/>
                <w:color w:val="000000"/>
                <w:sz w:val="16"/>
                <w:lang w:val="en-GB"/>
              </w:rPr>
              <w:t>Unaudited</w:t>
            </w:r>
          </w:p>
          <w:p w:rsidRPr="009C48DA" w:rsidR="00661519" w:rsidP="00661519" w:rsidRDefault="00661519" w14:paraId="595A3720"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7501B1D8"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106" w:type="dxa"/>
            <w:vAlign w:val="bottom"/>
          </w:tcPr>
          <w:p w:rsidRPr="009C48DA" w:rsidR="00661519" w:rsidP="00661519" w:rsidRDefault="00661519" w14:paraId="5D10A8E6"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632C5C17"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748985AA" w14:textId="77777777">
        <w:tc>
          <w:tcPr>
            <w:tcW w:w="3681" w:type="dxa"/>
          </w:tcPr>
          <w:p w:rsidRPr="009C48DA" w:rsidR="00661519" w:rsidP="00661519" w:rsidRDefault="00661519" w14:paraId="1EE8323E" w14:textId="77777777">
            <w:pPr>
              <w:textAlignment w:val="baseline"/>
              <w:rPr>
                <w:rFonts w:eastAsia="Times New Roman"/>
                <w:color w:val="000000"/>
                <w:sz w:val="16"/>
                <w:lang w:val="en-GB"/>
              </w:rPr>
            </w:pPr>
            <w:r w:rsidRPr="009C48DA">
              <w:rPr>
                <w:rFonts w:eastAsia="Times New Roman"/>
                <w:color w:val="000000"/>
                <w:sz w:val="16"/>
                <w:lang w:val="en-GB"/>
              </w:rPr>
              <w:t>Interest on lease liability</w:t>
            </w:r>
          </w:p>
        </w:tc>
        <w:tc>
          <w:tcPr>
            <w:tcW w:w="1105" w:type="dxa"/>
          </w:tcPr>
          <w:p w:rsidRPr="009C48DA" w:rsidR="00661519" w:rsidP="00661519" w:rsidRDefault="00661519" w14:paraId="4CDC29DF"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1,996</w:t>
            </w:r>
          </w:p>
        </w:tc>
        <w:tc>
          <w:tcPr>
            <w:tcW w:w="1106" w:type="dxa"/>
          </w:tcPr>
          <w:p w:rsidRPr="009C48DA" w:rsidR="00661519" w:rsidP="00661519" w:rsidRDefault="00661519" w14:paraId="353F3671"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2,036</w:t>
            </w:r>
          </w:p>
        </w:tc>
        <w:tc>
          <w:tcPr>
            <w:tcW w:w="1105" w:type="dxa"/>
          </w:tcPr>
          <w:p w:rsidRPr="009C48DA" w:rsidR="00661519" w:rsidP="00661519" w:rsidRDefault="00661519" w14:paraId="55184C24"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1,849</w:t>
            </w:r>
          </w:p>
        </w:tc>
        <w:tc>
          <w:tcPr>
            <w:tcW w:w="1106" w:type="dxa"/>
          </w:tcPr>
          <w:p w:rsidRPr="009C48DA" w:rsidR="00661519" w:rsidP="00661519" w:rsidRDefault="00661519" w14:paraId="202DD8AC"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485</w:t>
            </w:r>
          </w:p>
        </w:tc>
        <w:tc>
          <w:tcPr>
            <w:tcW w:w="1106" w:type="dxa"/>
          </w:tcPr>
          <w:p w:rsidRPr="009C48DA" w:rsidR="00661519" w:rsidP="00661519" w:rsidRDefault="00661519" w14:paraId="19DDFEED"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435</w:t>
            </w:r>
          </w:p>
        </w:tc>
      </w:tr>
    </w:tbl>
    <w:p w:rsidRPr="009C48DA" w:rsidR="00661519" w:rsidP="00661519" w:rsidRDefault="00661519" w14:paraId="5AD9B41B" w14:textId="77777777">
      <w:pPr>
        <w:spacing w:before="294" w:line="186" w:lineRule="exact"/>
        <w:textAlignment w:val="baseline"/>
        <w:rPr>
          <w:rFonts w:eastAsia="Times New Roman"/>
          <w:color w:val="000000"/>
          <w:sz w:val="16"/>
          <w:lang w:val="en-GB"/>
        </w:rPr>
      </w:pPr>
      <w:r w:rsidRPr="009C48DA">
        <w:rPr>
          <w:rFonts w:eastAsia="Times New Roman"/>
          <w:color w:val="000000"/>
          <w:sz w:val="16"/>
          <w:lang w:val="en-GB"/>
        </w:rPr>
        <w:t>The lease liability excludes those leases which have not yet commenced, but the Group is committed.</w:t>
      </w:r>
    </w:p>
    <w:p w:rsidRPr="009C48DA" w:rsidR="00661519" w:rsidP="00661519" w:rsidRDefault="00661519" w14:paraId="6CDF58A2" w14:textId="77777777">
      <w:pPr>
        <w:spacing w:before="180" w:line="185" w:lineRule="exact"/>
        <w:jc w:val="both"/>
        <w:textAlignment w:val="baseline"/>
        <w:rPr>
          <w:rFonts w:eastAsia="Times New Roman"/>
          <w:color w:val="000000"/>
          <w:sz w:val="16"/>
          <w:lang w:val="en-GB"/>
        </w:rPr>
      </w:pPr>
      <w:r w:rsidRPr="009C48DA">
        <w:rPr>
          <w:rFonts w:eastAsia="Times New Roman"/>
          <w:color w:val="000000"/>
          <w:sz w:val="16"/>
          <w:lang w:val="en-GB"/>
        </w:rPr>
        <w:t>On 26 September 2019 the Group signed a property lease for premises which commenced on 25 June 2021. Using an indicative incremental borrowing rate of 3.5% will result in a right of use asset for £93.4m and a lease liability for the same amount, excluding the impact of any sub</w:t>
      </w:r>
      <w:r w:rsidRPr="009C48DA">
        <w:rPr>
          <w:rFonts w:eastAsia="Times New Roman"/>
          <w:color w:val="000000"/>
          <w:sz w:val="16"/>
          <w:lang w:val="en-GB"/>
        </w:rPr>
        <w:noBreakHyphen/>
        <w:t>letting.</w:t>
      </w:r>
    </w:p>
    <w:p w:rsidRPr="009C48DA" w:rsidR="00661519" w:rsidP="00661519" w:rsidRDefault="00661519" w14:paraId="4F581D1C" w14:textId="77777777">
      <w:pPr>
        <w:ind w:right="72"/>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br w:type="page"/>
      </w:r>
    </w:p>
    <w:p w:rsidRPr="009C48DA" w:rsidR="00661519" w:rsidP="00661519" w:rsidRDefault="00661519" w14:paraId="0261A87F" w14:textId="77777777">
      <w:pPr>
        <w:ind w:right="72"/>
        <w:jc w:val="both"/>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lastRenderedPageBreak/>
        <w:t>20</w:t>
      </w:r>
      <w:r w:rsidRPr="009C48DA">
        <w:rPr>
          <w:rFonts w:eastAsia="Times New Roman" w:cs="Times New Roman"/>
          <w:b/>
          <w:color w:val="000000"/>
          <w:sz w:val="16"/>
          <w:szCs w:val="22"/>
          <w:lang w:val="en-GB"/>
        </w:rPr>
        <w:tab/>
        <w:t>Financial risk management</w:t>
      </w:r>
    </w:p>
    <w:p w:rsidRPr="009C48DA" w:rsidR="00661519" w:rsidP="00661519" w:rsidRDefault="00661519" w14:paraId="7789C422" w14:textId="77777777">
      <w:pPr>
        <w:ind w:right="72"/>
        <w:jc w:val="both"/>
        <w:textAlignment w:val="baseline"/>
        <w:rPr>
          <w:rFonts w:eastAsia="Times New Roman" w:cs="Times New Roman"/>
          <w:b/>
          <w:color w:val="000000"/>
          <w:sz w:val="16"/>
          <w:szCs w:val="22"/>
          <w:lang w:val="en-GB"/>
        </w:rPr>
      </w:pPr>
    </w:p>
    <w:p w:rsidRPr="009C48DA" w:rsidR="00661519" w:rsidP="00661519" w:rsidRDefault="00661519" w14:paraId="7B364ECD" w14:textId="77777777">
      <w:pPr>
        <w:spacing w:before="105" w:line="185" w:lineRule="exact"/>
        <w:jc w:val="both"/>
        <w:textAlignment w:val="baseline"/>
        <w:rPr>
          <w:rFonts w:eastAsia="Times New Roman"/>
          <w:color w:val="000000"/>
          <w:sz w:val="16"/>
          <w:lang w:val="en-GB"/>
        </w:rPr>
      </w:pPr>
      <w:r w:rsidRPr="009C48DA">
        <w:rPr>
          <w:rFonts w:eastAsia="Times New Roman"/>
          <w:color w:val="000000"/>
          <w:sz w:val="16"/>
          <w:lang w:val="en-GB"/>
        </w:rPr>
        <w:t xml:space="preserve">In its activities, the Group is exposed to various financial risks: price/valuation risk, market risk (including exposure to interest rates and </w:t>
      </w:r>
      <w:r w:rsidRPr="009C48DA">
        <w:rPr>
          <w:rFonts w:eastAsia="Times New Roman"/>
          <w:color w:val="000000"/>
          <w:sz w:val="16"/>
          <w:lang w:val="en-GB"/>
        </w:rPr>
        <w:br/>
        <w:t xml:space="preserve">foreign currencies), liquidity risk and credit risk arising from financial instruments. The Group’s senior management is responsible for the </w:t>
      </w:r>
      <w:r w:rsidRPr="009C48DA">
        <w:rPr>
          <w:rFonts w:eastAsia="Times New Roman"/>
          <w:color w:val="000000"/>
          <w:sz w:val="16"/>
          <w:lang w:val="en-GB"/>
        </w:rPr>
        <w:br/>
        <w:t>creation and control of an overall risk management policy in the Group.</w:t>
      </w:r>
    </w:p>
    <w:p w:rsidRPr="009C48DA" w:rsidR="00661519" w:rsidP="00661519" w:rsidRDefault="00661519" w14:paraId="6D7A0861" w14:textId="77777777">
      <w:pPr>
        <w:spacing w:before="188" w:line="183" w:lineRule="exact"/>
        <w:jc w:val="both"/>
        <w:textAlignment w:val="baseline"/>
        <w:rPr>
          <w:rFonts w:eastAsia="Times New Roman"/>
          <w:color w:val="000000"/>
          <w:sz w:val="16"/>
          <w:lang w:val="en-GB"/>
        </w:rPr>
      </w:pPr>
      <w:r w:rsidRPr="009C48DA">
        <w:rPr>
          <w:rFonts w:eastAsia="Times New Roman"/>
          <w:color w:val="000000"/>
          <w:sz w:val="16"/>
          <w:lang w:val="en-GB"/>
        </w:rPr>
        <w:t xml:space="preserve">The Group’s balance sheet is made up predominately of investments into private equity and credit funds and consolidated CLO assets. The </w:t>
      </w:r>
      <w:r w:rsidRPr="009C48DA">
        <w:rPr>
          <w:rFonts w:eastAsia="Times New Roman"/>
          <w:color w:val="000000"/>
          <w:sz w:val="16"/>
          <w:lang w:val="en-GB"/>
        </w:rPr>
        <w:br/>
        <w:t xml:space="preserve">assets of a private equity fund are controlling or minority stakes, typically in private companies, and their debt. The assets of credit funds </w:t>
      </w:r>
      <w:r w:rsidRPr="009C48DA">
        <w:rPr>
          <w:rFonts w:eastAsia="Times New Roman"/>
          <w:color w:val="000000"/>
          <w:sz w:val="16"/>
          <w:lang w:val="en-GB"/>
        </w:rPr>
        <w:br/>
        <w:t xml:space="preserve">and the consolidated CLO vehicles are loans to private companies. The financial risks relating to such investment are inherently different, </w:t>
      </w:r>
      <w:r w:rsidRPr="009C48DA">
        <w:rPr>
          <w:rFonts w:eastAsia="Times New Roman"/>
          <w:color w:val="000000"/>
          <w:sz w:val="16"/>
          <w:lang w:val="en-GB"/>
        </w:rPr>
        <w:br/>
        <w:t xml:space="preserve">due to the nature of the investment as equity or debt and recovery and returns from capital invested will depend upon the financial health and prospects of each underlying investee entity. As part of their construction, each fund is constructed as a diversified portfolio of assets, </w:t>
      </w:r>
      <w:r w:rsidRPr="009C48DA">
        <w:rPr>
          <w:rFonts w:eastAsia="Times New Roman"/>
          <w:color w:val="000000"/>
          <w:sz w:val="16"/>
          <w:lang w:val="en-GB"/>
        </w:rPr>
        <w:br/>
        <w:t>diversified by the number of assets, their industry and geography.</w:t>
      </w:r>
    </w:p>
    <w:p w:rsidRPr="009C48DA" w:rsidR="00661519" w:rsidP="00661519" w:rsidRDefault="00661519" w14:paraId="7DA05F74" w14:textId="77777777">
      <w:pPr>
        <w:spacing w:before="188" w:line="183" w:lineRule="exact"/>
        <w:jc w:val="both"/>
        <w:textAlignment w:val="baseline"/>
        <w:rPr>
          <w:rFonts w:eastAsia="Times New Roman"/>
          <w:color w:val="000000"/>
          <w:sz w:val="16"/>
          <w:lang w:val="en-GB"/>
        </w:rPr>
      </w:pPr>
      <w:r w:rsidRPr="009C48DA">
        <w:rPr>
          <w:rFonts w:eastAsia="Times New Roman"/>
          <w:color w:val="000000"/>
          <w:sz w:val="16"/>
          <w:lang w:val="en-GB"/>
        </w:rPr>
        <w:t xml:space="preserve">Risk management policies are established to identify and analyse the risks faced by the Group and to set appropriate risk limits and controls. Risk management policies and systems are reviewed on a regular basis to reflect changes in the market conditions and the Group’s activities. The Group, through its training and management standards and procedures, aims to develop a disciplined and constructive control </w:t>
      </w:r>
    </w:p>
    <w:p w:rsidRPr="009C48DA" w:rsidR="00661519" w:rsidP="00661519" w:rsidRDefault="00661519" w14:paraId="0C7AECD7"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environment in which all employees understand their roles and obligations.</w:t>
      </w:r>
    </w:p>
    <w:p w:rsidRPr="009C48DA" w:rsidR="00661519" w:rsidP="00661519" w:rsidRDefault="00661519" w14:paraId="62DCA5C8" w14:textId="77777777">
      <w:pPr>
        <w:rPr>
          <w:rFonts w:eastAsia="Times New Roman"/>
          <w:color w:val="000000"/>
          <w:sz w:val="16"/>
          <w:lang w:val="en-GB"/>
        </w:rPr>
      </w:pPr>
    </w:p>
    <w:p w:rsidRPr="009C48DA" w:rsidR="00661519" w:rsidP="00661519" w:rsidRDefault="00661519" w14:paraId="45D0D3E8" w14:textId="77777777">
      <w:pPr>
        <w:rPr>
          <w:rFonts w:eastAsia="Times New Roman"/>
          <w:color w:val="000000"/>
          <w:sz w:val="16"/>
          <w:lang w:val="en-GB"/>
        </w:rPr>
      </w:pPr>
    </w:p>
    <w:p w:rsidRPr="009C48DA" w:rsidR="00661519" w:rsidP="00661519" w:rsidRDefault="00661519" w14:paraId="775E347C" w14:textId="77777777">
      <w:pPr>
        <w:ind w:right="72"/>
        <w:jc w:val="both"/>
        <w:textAlignment w:val="baseline"/>
        <w:rPr>
          <w:rFonts w:eastAsia="Times New Roman"/>
          <w:b/>
          <w:color w:val="000000"/>
          <w:spacing w:val="1"/>
          <w:sz w:val="16"/>
          <w:lang w:val="en-GB"/>
        </w:rPr>
      </w:pPr>
      <w:r w:rsidRPr="009C48DA">
        <w:rPr>
          <w:rFonts w:eastAsia="Times New Roman" w:cs="Times New Roman"/>
          <w:b/>
          <w:color w:val="000000"/>
          <w:sz w:val="16"/>
          <w:szCs w:val="22"/>
          <w:lang w:val="en-GB"/>
        </w:rPr>
        <w:t>(a)</w:t>
      </w:r>
      <w:r w:rsidRPr="009C48DA">
        <w:rPr>
          <w:rFonts w:eastAsia="Times New Roman" w:cs="Times New Roman"/>
          <w:b/>
          <w:color w:val="000000"/>
          <w:sz w:val="16"/>
          <w:szCs w:val="22"/>
          <w:lang w:val="en-GB"/>
        </w:rPr>
        <w:tab/>
        <w:t>Price</w:t>
      </w:r>
      <w:r w:rsidRPr="009C48DA">
        <w:rPr>
          <w:rFonts w:eastAsia="Times New Roman"/>
          <w:b/>
          <w:color w:val="000000"/>
          <w:spacing w:val="1"/>
          <w:sz w:val="16"/>
          <w:lang w:val="en-GB"/>
        </w:rPr>
        <w:t>/valuation risk</w:t>
      </w:r>
    </w:p>
    <w:p w:rsidRPr="009C48DA" w:rsidR="00661519" w:rsidP="00661519" w:rsidRDefault="00661519" w14:paraId="741064A4" w14:textId="77777777">
      <w:pPr>
        <w:spacing w:before="113"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Price/valuation risk is the uncertainty about the difference between the reported value and the price that could be obtained on exit or </w:t>
      </w:r>
      <w:r w:rsidRPr="009C48DA">
        <w:rPr>
          <w:rFonts w:eastAsia="Times New Roman"/>
          <w:color w:val="000000"/>
          <w:sz w:val="16"/>
          <w:lang w:val="en-GB"/>
        </w:rPr>
        <w:br/>
        <w:t>maturity. This relates to investments in funds, which hold portfolios of private equity and debt investments, and the investments held by consolidated CLOs.</w:t>
      </w:r>
    </w:p>
    <w:p w:rsidRPr="009C48DA" w:rsidR="00661519" w:rsidP="00661519" w:rsidRDefault="00661519" w14:paraId="33F1E17D" w14:textId="77777777">
      <w:pPr>
        <w:spacing w:before="181"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This uncertainty arises due to the use of unobservable inputs, such as EBITDA, in the calculation of fair value, the performance and </w:t>
      </w:r>
      <w:r w:rsidRPr="009C48DA">
        <w:rPr>
          <w:rFonts w:eastAsia="Times New Roman"/>
          <w:color w:val="000000"/>
          <w:sz w:val="16"/>
          <w:lang w:val="en-GB"/>
        </w:rPr>
        <w:br/>
        <w:t xml:space="preserve">financial health of portfolio companies, and ultimately - as it relates to investments in private equity - what a third party may be willing to </w:t>
      </w:r>
      <w:r w:rsidRPr="009C48DA">
        <w:rPr>
          <w:rFonts w:eastAsia="Times New Roman"/>
          <w:color w:val="000000"/>
          <w:sz w:val="16"/>
          <w:lang w:val="en-GB"/>
        </w:rPr>
        <w:br/>
        <w:t xml:space="preserve">pay for the business. There is less uncertainty for investments in debt as the upside is capped to the maximum of the principal and interest </w:t>
      </w:r>
      <w:r w:rsidRPr="009C48DA">
        <w:rPr>
          <w:rFonts w:eastAsia="Times New Roman"/>
          <w:color w:val="000000"/>
          <w:sz w:val="16"/>
          <w:lang w:val="en-GB"/>
        </w:rPr>
        <w:br/>
        <w:t>receipts, whereas private equity investments have greater potential for larger changes in their valuation as the upside is not capped.</w:t>
      </w:r>
    </w:p>
    <w:p w:rsidRPr="009C48DA" w:rsidR="00661519" w:rsidP="00661519" w:rsidRDefault="00661519" w14:paraId="61644044" w14:textId="77777777">
      <w:pPr>
        <w:spacing w:before="186"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The Group monitors the performance of each investment closely. Portfolio monitoring is embedded and maintains focus throughout the </w:t>
      </w:r>
      <w:r w:rsidRPr="009C48DA">
        <w:rPr>
          <w:rFonts w:eastAsia="Times New Roman"/>
          <w:color w:val="000000"/>
          <w:sz w:val="16"/>
          <w:lang w:val="en-GB"/>
        </w:rPr>
        <w:br/>
        <w:t xml:space="preserve">investment life of each company. All investments are formally reviewed through dedicated Portfolio Monitoring Committees. The review </w:t>
      </w:r>
      <w:r w:rsidRPr="009C48DA">
        <w:rPr>
          <w:rFonts w:eastAsia="Times New Roman"/>
          <w:color w:val="000000"/>
          <w:sz w:val="16"/>
          <w:lang w:val="en-GB"/>
        </w:rPr>
        <w:br/>
        <w:t>process involves a rigorous assessment of the company financial performance, financial health (including covenant coverage) and exit</w:t>
      </w:r>
      <w:r w:rsidRPr="009C48DA">
        <w:rPr>
          <w:rFonts w:eastAsia="Times New Roman"/>
          <w:color w:val="000000"/>
          <w:sz w:val="16"/>
          <w:lang w:val="en-GB"/>
        </w:rPr>
        <w:br/>
        <w:t>prospects.</w:t>
      </w:r>
    </w:p>
    <w:p w:rsidRPr="009C48DA" w:rsidR="00661519" w:rsidP="00661519" w:rsidRDefault="00661519" w14:paraId="5E0251F5" w14:textId="77777777">
      <w:pPr>
        <w:spacing w:before="185" w:line="184" w:lineRule="exact"/>
        <w:jc w:val="both"/>
        <w:textAlignment w:val="baseline"/>
        <w:rPr>
          <w:rFonts w:eastAsia="Times New Roman"/>
          <w:color w:val="000000"/>
          <w:spacing w:val="2"/>
          <w:sz w:val="16"/>
          <w:lang w:val="en-GB"/>
        </w:rPr>
      </w:pPr>
      <w:r w:rsidRPr="009C48DA">
        <w:rPr>
          <w:rFonts w:eastAsia="Times New Roman"/>
          <w:color w:val="000000"/>
          <w:spacing w:val="2"/>
          <w:sz w:val="16"/>
          <w:lang w:val="en-GB"/>
        </w:rPr>
        <w:t>The Group values all investments in line with the IPEV Guidelines at least twice a year, and in most cases quarterly. Each investment undergoes the same detailed valuation process, in accordance with the Group’s valuation policies. Completed valuations are presented and discussed at the relevant Bridgepoint Valuation Committee for approval. Further detail about the valuation process is included within Note 3.</w:t>
      </w:r>
    </w:p>
    <w:p w:rsidRPr="009C48DA" w:rsidR="00661519" w:rsidP="00661519" w:rsidRDefault="00661519" w14:paraId="1A0F1B5E" w14:textId="77777777">
      <w:pPr>
        <w:spacing w:before="185"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A reasonably possible change in the values of investments at fair value through profit or loss is shown in the table below. This is modelled </w:t>
      </w:r>
      <w:r w:rsidRPr="009C48DA">
        <w:rPr>
          <w:rFonts w:eastAsia="Times New Roman"/>
          <w:color w:val="000000"/>
          <w:sz w:val="16"/>
          <w:lang w:val="en-GB"/>
        </w:rPr>
        <w:br/>
        <w:t xml:space="preserve">as 10% of private equity fund investments and 1% of credit fund investments. As above, inherently investments in private equity have </w:t>
      </w:r>
      <w:r w:rsidRPr="009C48DA">
        <w:rPr>
          <w:rFonts w:eastAsia="Times New Roman"/>
          <w:color w:val="000000"/>
          <w:sz w:val="16"/>
          <w:lang w:val="en-GB"/>
        </w:rPr>
        <w:br/>
        <w:t xml:space="preserve">greater potential for larger changes in their valuation as the upside is not capped. The downside is limited to the amount invested in the </w:t>
      </w:r>
      <w:r w:rsidRPr="009C48DA">
        <w:rPr>
          <w:rFonts w:eastAsia="Times New Roman"/>
          <w:color w:val="000000"/>
          <w:sz w:val="16"/>
          <w:lang w:val="en-GB"/>
        </w:rPr>
        <w:br/>
        <w:t xml:space="preserve">funds. For credit investments, the upside is capped to the maximum of the principal and interest receipts, the downside is limited to the </w:t>
      </w:r>
      <w:r w:rsidRPr="009C48DA">
        <w:rPr>
          <w:rFonts w:eastAsia="Times New Roman"/>
          <w:color w:val="000000"/>
          <w:sz w:val="16"/>
          <w:lang w:val="en-GB"/>
        </w:rPr>
        <w:br/>
        <w:t>amount invested in the funds, but due to the investment strategy of the fund, losses are expected to be very small.</w:t>
      </w:r>
    </w:p>
    <w:p w:rsidRPr="009C48DA" w:rsidR="00661519" w:rsidP="00661519" w:rsidRDefault="00661519" w14:paraId="5099A62F" w14:textId="77777777">
      <w:pPr>
        <w:spacing w:before="185" w:line="184" w:lineRule="exact"/>
        <w:jc w:val="both"/>
        <w:textAlignment w:val="baseline"/>
        <w:rPr>
          <w:rFonts w:eastAsia="Times New Roman"/>
          <w:color w:val="000000"/>
          <w:sz w:val="16"/>
          <w:lang w:val="en-GB"/>
        </w:rPr>
      </w:pPr>
      <w:r w:rsidRPr="009C48DA">
        <w:rPr>
          <w:rFonts w:eastAsia="Times New Roman"/>
          <w:color w:val="000000"/>
          <w:sz w:val="16"/>
          <w:lang w:val="en-GB"/>
        </w:rPr>
        <w:t xml:space="preserve">The sensitivity analysis considers only the net impact on the Group from changes in the consolidated CLO portfolio, as the Group’s </w:t>
      </w:r>
    </w:p>
    <w:p w:rsidRPr="009C48DA" w:rsidR="00661519" w:rsidP="00661519" w:rsidRDefault="00661519" w14:paraId="31894C64" w14:textId="77777777">
      <w:pPr>
        <w:spacing w:line="184" w:lineRule="exact"/>
        <w:jc w:val="both"/>
        <w:textAlignment w:val="baseline"/>
        <w:rPr>
          <w:rFonts w:eastAsia="Times New Roman"/>
          <w:color w:val="000000"/>
          <w:sz w:val="16"/>
          <w:lang w:val="en-GB"/>
        </w:rPr>
      </w:pPr>
      <w:r w:rsidRPr="009C48DA">
        <w:rPr>
          <w:rFonts w:eastAsia="Times New Roman"/>
          <w:color w:val="000000"/>
          <w:sz w:val="16"/>
          <w:lang w:val="en-GB"/>
        </w:rPr>
        <w:t>exposure to price risk is limited to only to its interest within the CLO and not the gross assets and liabilities.</w:t>
      </w:r>
    </w:p>
    <w:p w:rsidRPr="009C48DA" w:rsidR="00661519" w:rsidP="00661519" w:rsidRDefault="00661519" w14:paraId="7B4460B5" w14:textId="77777777">
      <w:pPr>
        <w:ind w:right="72"/>
        <w:jc w:val="both"/>
        <w:textAlignment w:val="baseline"/>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211"/>
        <w:gridCol w:w="1211"/>
        <w:gridCol w:w="1211"/>
        <w:gridCol w:w="1212"/>
      </w:tblGrid>
      <w:tr w:rsidRPr="009C48DA" w:rsidR="00661519" w:rsidTr="00661519" w14:paraId="15E735B9" w14:textId="77777777">
        <w:tc>
          <w:tcPr>
            <w:tcW w:w="4395" w:type="dxa"/>
            <w:vAlign w:val="bottom"/>
          </w:tcPr>
          <w:p w:rsidRPr="009C48DA" w:rsidR="00661519" w:rsidP="00661519" w:rsidRDefault="00661519" w14:paraId="093EEB6E" w14:textId="77777777">
            <w:pPr>
              <w:jc w:val="both"/>
              <w:textAlignment w:val="baseline"/>
              <w:rPr>
                <w:rFonts w:eastAsia="Times New Roman"/>
                <w:b/>
                <w:color w:val="000000"/>
                <w:sz w:val="16"/>
                <w:szCs w:val="16"/>
                <w:lang w:val="en-GB"/>
              </w:rPr>
            </w:pPr>
          </w:p>
        </w:tc>
        <w:tc>
          <w:tcPr>
            <w:tcW w:w="3633" w:type="dxa"/>
            <w:gridSpan w:val="3"/>
            <w:vAlign w:val="bottom"/>
          </w:tcPr>
          <w:p w:rsidRPr="009C48DA" w:rsidR="00661519" w:rsidP="00661519" w:rsidRDefault="00661519" w14:paraId="4DDA8F2F"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31 December</w:t>
            </w:r>
          </w:p>
        </w:tc>
        <w:tc>
          <w:tcPr>
            <w:tcW w:w="1212" w:type="dxa"/>
            <w:vAlign w:val="bottom"/>
          </w:tcPr>
          <w:p w:rsidRPr="009C48DA" w:rsidR="00661519" w:rsidP="00661519" w:rsidRDefault="00661519" w14:paraId="54B3EF11"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553DD2D7" w14:textId="77777777">
        <w:tc>
          <w:tcPr>
            <w:tcW w:w="4395" w:type="dxa"/>
            <w:vAlign w:val="bottom"/>
          </w:tcPr>
          <w:p w:rsidRPr="009C48DA" w:rsidR="00661519" w:rsidP="00661519" w:rsidRDefault="00661519" w14:paraId="6204A5D0" w14:textId="77777777">
            <w:pPr>
              <w:jc w:val="both"/>
              <w:textAlignment w:val="baseline"/>
              <w:rPr>
                <w:rFonts w:eastAsia="Times New Roman"/>
                <w:b/>
                <w:color w:val="000000"/>
                <w:sz w:val="16"/>
                <w:lang w:val="en-GB"/>
              </w:rPr>
            </w:pPr>
          </w:p>
        </w:tc>
        <w:tc>
          <w:tcPr>
            <w:tcW w:w="1211" w:type="dxa"/>
            <w:vAlign w:val="bottom"/>
          </w:tcPr>
          <w:p w:rsidRPr="009C48DA" w:rsidR="00661519" w:rsidP="00661519" w:rsidRDefault="00661519" w14:paraId="675A11D3" w14:textId="77777777">
            <w:pPr>
              <w:jc w:val="center"/>
              <w:textAlignment w:val="baseline"/>
              <w:rPr>
                <w:rFonts w:eastAsia="Times New Roman"/>
                <w:b/>
                <w:color w:val="000000"/>
                <w:sz w:val="16"/>
                <w:lang w:val="en-GB"/>
              </w:rPr>
            </w:pPr>
            <w:r w:rsidRPr="009C48DA">
              <w:rPr>
                <w:rFonts w:eastAsia="Times New Roman"/>
                <w:b/>
                <w:color w:val="000000"/>
                <w:sz w:val="16"/>
                <w:lang w:val="en-GB"/>
              </w:rPr>
              <w:t>2018</w:t>
            </w:r>
          </w:p>
        </w:tc>
        <w:tc>
          <w:tcPr>
            <w:tcW w:w="1211" w:type="dxa"/>
            <w:vAlign w:val="bottom"/>
          </w:tcPr>
          <w:p w:rsidRPr="009C48DA" w:rsidR="00661519" w:rsidP="00661519" w:rsidRDefault="00661519" w14:paraId="056AAFC3" w14:textId="77777777">
            <w:pPr>
              <w:jc w:val="center"/>
              <w:textAlignment w:val="baseline"/>
              <w:rPr>
                <w:rFonts w:eastAsia="Times New Roman"/>
                <w:b/>
                <w:color w:val="000000"/>
                <w:sz w:val="16"/>
                <w:lang w:val="en-GB"/>
              </w:rPr>
            </w:pPr>
            <w:r w:rsidRPr="009C48DA">
              <w:rPr>
                <w:rFonts w:eastAsia="Times New Roman"/>
                <w:b/>
                <w:color w:val="000000"/>
                <w:sz w:val="16"/>
                <w:lang w:val="en-GB"/>
              </w:rPr>
              <w:t>2019</w:t>
            </w:r>
          </w:p>
        </w:tc>
        <w:tc>
          <w:tcPr>
            <w:tcW w:w="1211" w:type="dxa"/>
          </w:tcPr>
          <w:p w:rsidRPr="009C48DA" w:rsidR="00661519" w:rsidP="00661519" w:rsidRDefault="00661519" w14:paraId="68E572BA" w14:textId="77777777">
            <w:pPr>
              <w:jc w:val="center"/>
              <w:textAlignment w:val="baseline"/>
              <w:rPr>
                <w:rFonts w:eastAsia="Times New Roman"/>
                <w:b/>
                <w:color w:val="000000"/>
                <w:sz w:val="16"/>
                <w:lang w:val="en-GB"/>
              </w:rPr>
            </w:pPr>
            <w:r w:rsidRPr="009C48DA">
              <w:rPr>
                <w:rFonts w:eastAsia="Times New Roman"/>
                <w:b/>
                <w:color w:val="000000"/>
                <w:sz w:val="16"/>
                <w:lang w:val="en-GB"/>
              </w:rPr>
              <w:t>2020</w:t>
            </w:r>
          </w:p>
        </w:tc>
        <w:tc>
          <w:tcPr>
            <w:tcW w:w="1212" w:type="dxa"/>
            <w:vAlign w:val="bottom"/>
          </w:tcPr>
          <w:p w:rsidRPr="009C48DA" w:rsidR="00661519" w:rsidP="00661519" w:rsidRDefault="00661519" w14:paraId="456F2DD3" w14:textId="77777777">
            <w:pPr>
              <w:jc w:val="center"/>
              <w:textAlignment w:val="baseline"/>
              <w:rPr>
                <w:rFonts w:eastAsia="Times New Roman"/>
                <w:b/>
                <w:color w:val="000000"/>
                <w:sz w:val="16"/>
                <w:lang w:val="en-GB"/>
              </w:rPr>
            </w:pPr>
            <w:r w:rsidRPr="009C48DA">
              <w:rPr>
                <w:rFonts w:eastAsia="Times New Roman"/>
                <w:b/>
                <w:color w:val="000000"/>
                <w:sz w:val="16"/>
                <w:lang w:val="en-GB"/>
              </w:rPr>
              <w:t>2021</w:t>
            </w:r>
          </w:p>
        </w:tc>
      </w:tr>
      <w:tr w:rsidRPr="009C48DA" w:rsidR="00661519" w:rsidTr="00661519" w14:paraId="2D6E93F0" w14:textId="77777777">
        <w:tc>
          <w:tcPr>
            <w:tcW w:w="4395" w:type="dxa"/>
            <w:vAlign w:val="bottom"/>
          </w:tcPr>
          <w:p w:rsidRPr="009C48DA" w:rsidR="00661519" w:rsidP="00661519" w:rsidRDefault="00661519" w14:paraId="3FCE5E1E" w14:textId="77777777">
            <w:pPr>
              <w:jc w:val="both"/>
              <w:textAlignment w:val="baseline"/>
              <w:rPr>
                <w:rFonts w:eastAsia="Times New Roman"/>
                <w:b/>
                <w:color w:val="000000"/>
                <w:sz w:val="16"/>
                <w:lang w:val="en-GB"/>
              </w:rPr>
            </w:pPr>
          </w:p>
        </w:tc>
        <w:tc>
          <w:tcPr>
            <w:tcW w:w="1211" w:type="dxa"/>
            <w:vAlign w:val="bottom"/>
          </w:tcPr>
          <w:p w:rsidRPr="009C48DA" w:rsidR="00661519" w:rsidP="00661519" w:rsidRDefault="00661519" w14:paraId="6AFD80D5"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p w:rsidRPr="009C48DA" w:rsidR="00661519" w:rsidP="00661519" w:rsidRDefault="00661519" w14:paraId="1A4466B7" w14:textId="77777777">
            <w:pPr>
              <w:jc w:val="center"/>
              <w:textAlignment w:val="baseline"/>
              <w:rPr>
                <w:rFonts w:eastAsia="Times New Roman"/>
                <w:color w:val="000000"/>
                <w:sz w:val="16"/>
                <w:lang w:val="en-GB"/>
              </w:rPr>
            </w:pPr>
            <w:r w:rsidRPr="009C48DA">
              <w:rPr>
                <w:rFonts w:eastAsia="Times New Roman"/>
                <w:b/>
                <w:color w:val="000000"/>
                <w:sz w:val="16"/>
                <w:lang w:val="en-GB"/>
              </w:rPr>
              <w:t>(+/-)</w:t>
            </w:r>
          </w:p>
        </w:tc>
        <w:tc>
          <w:tcPr>
            <w:tcW w:w="1211" w:type="dxa"/>
            <w:vAlign w:val="bottom"/>
          </w:tcPr>
          <w:p w:rsidRPr="009C48DA" w:rsidR="00661519" w:rsidP="00661519" w:rsidRDefault="00661519" w14:paraId="4D252D5B"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p w:rsidRPr="009C48DA" w:rsidR="00661519" w:rsidP="00661519" w:rsidRDefault="00661519" w14:paraId="2649E2B6" w14:textId="77777777">
            <w:pPr>
              <w:jc w:val="center"/>
              <w:textAlignment w:val="baseline"/>
              <w:rPr>
                <w:rFonts w:eastAsia="Times New Roman"/>
                <w:color w:val="000000"/>
                <w:sz w:val="16"/>
                <w:lang w:val="en-GB"/>
              </w:rPr>
            </w:pPr>
            <w:r w:rsidRPr="009C48DA">
              <w:rPr>
                <w:rFonts w:eastAsia="Times New Roman"/>
                <w:b/>
                <w:color w:val="000000"/>
                <w:sz w:val="16"/>
                <w:lang w:val="en-GB"/>
              </w:rPr>
              <w:t>(+/-)</w:t>
            </w:r>
          </w:p>
        </w:tc>
        <w:tc>
          <w:tcPr>
            <w:tcW w:w="1211" w:type="dxa"/>
            <w:vAlign w:val="bottom"/>
          </w:tcPr>
          <w:p w:rsidRPr="009C48DA" w:rsidR="00661519" w:rsidP="00661519" w:rsidRDefault="00661519" w14:paraId="7B8B341C"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p w:rsidRPr="009C48DA" w:rsidR="00661519" w:rsidP="00661519" w:rsidRDefault="00661519" w14:paraId="265B07C4" w14:textId="77777777">
            <w:pPr>
              <w:jc w:val="center"/>
              <w:textAlignment w:val="baseline"/>
              <w:rPr>
                <w:rFonts w:eastAsia="Times New Roman"/>
                <w:color w:val="000000"/>
                <w:sz w:val="16"/>
                <w:lang w:val="en-GB"/>
              </w:rPr>
            </w:pPr>
            <w:r w:rsidRPr="009C48DA">
              <w:rPr>
                <w:rFonts w:eastAsia="Times New Roman"/>
                <w:b/>
                <w:color w:val="000000"/>
                <w:sz w:val="16"/>
                <w:lang w:val="en-GB"/>
              </w:rPr>
              <w:t>(+/-)</w:t>
            </w:r>
          </w:p>
        </w:tc>
        <w:tc>
          <w:tcPr>
            <w:tcW w:w="1212" w:type="dxa"/>
            <w:vAlign w:val="bottom"/>
          </w:tcPr>
          <w:p w:rsidRPr="009C48DA" w:rsidR="00661519" w:rsidP="00661519" w:rsidRDefault="00661519" w14:paraId="0D45ABC5" w14:textId="77777777">
            <w:pPr>
              <w:jc w:val="center"/>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p w:rsidRPr="009C48DA" w:rsidR="00661519" w:rsidP="00661519" w:rsidRDefault="00661519" w14:paraId="44DB5592" w14:textId="77777777">
            <w:pPr>
              <w:jc w:val="center"/>
              <w:textAlignment w:val="baseline"/>
              <w:rPr>
                <w:rFonts w:eastAsia="Times New Roman"/>
                <w:color w:val="000000"/>
                <w:sz w:val="16"/>
                <w:lang w:val="en-GB"/>
              </w:rPr>
            </w:pPr>
            <w:r w:rsidRPr="009C48DA">
              <w:rPr>
                <w:rFonts w:eastAsia="Times New Roman"/>
                <w:b/>
                <w:color w:val="000000"/>
                <w:sz w:val="16"/>
                <w:lang w:val="en-GB"/>
              </w:rPr>
              <w:t>(+/-)</w:t>
            </w:r>
          </w:p>
        </w:tc>
      </w:tr>
      <w:tr w:rsidRPr="009C48DA" w:rsidR="00661519" w:rsidTr="00661519" w14:paraId="4B9480D8" w14:textId="77777777">
        <w:tc>
          <w:tcPr>
            <w:tcW w:w="4395" w:type="dxa"/>
            <w:vAlign w:val="center"/>
          </w:tcPr>
          <w:p w:rsidRPr="009C48DA" w:rsidR="00661519" w:rsidP="00661519" w:rsidRDefault="00661519" w14:paraId="062E261F" w14:textId="77777777">
            <w:pPr>
              <w:textAlignment w:val="baseline"/>
              <w:rPr>
                <w:rFonts w:eastAsia="Times New Roman"/>
                <w:b/>
                <w:color w:val="000000"/>
                <w:sz w:val="16"/>
                <w:lang w:val="en-GB"/>
              </w:rPr>
            </w:pPr>
            <w:r w:rsidRPr="009C48DA">
              <w:rPr>
                <w:rFonts w:eastAsia="Times New Roman"/>
                <w:b/>
                <w:i/>
                <w:color w:val="000000"/>
                <w:sz w:val="16"/>
                <w:lang w:val="en-GB"/>
              </w:rPr>
              <w:t>Fair value sensitivity:</w:t>
            </w:r>
          </w:p>
        </w:tc>
        <w:tc>
          <w:tcPr>
            <w:tcW w:w="1211" w:type="dxa"/>
            <w:vAlign w:val="center"/>
          </w:tcPr>
          <w:p w:rsidRPr="009C48DA" w:rsidR="00661519" w:rsidP="00661519" w:rsidRDefault="00661519" w14:paraId="33793520" w14:textId="77777777">
            <w:pPr>
              <w:ind w:right="29"/>
              <w:jc w:val="right"/>
              <w:textAlignment w:val="baseline"/>
              <w:rPr>
                <w:rFonts w:eastAsia="Times New Roman"/>
                <w:b/>
                <w:color w:val="000000"/>
                <w:sz w:val="16"/>
                <w:lang w:val="en-GB"/>
              </w:rPr>
            </w:pPr>
          </w:p>
        </w:tc>
        <w:tc>
          <w:tcPr>
            <w:tcW w:w="1211" w:type="dxa"/>
            <w:vAlign w:val="center"/>
          </w:tcPr>
          <w:p w:rsidRPr="009C48DA" w:rsidR="00661519" w:rsidP="00661519" w:rsidRDefault="00661519" w14:paraId="4BF7D980" w14:textId="77777777">
            <w:pPr>
              <w:ind w:right="29"/>
              <w:jc w:val="right"/>
              <w:textAlignment w:val="baseline"/>
              <w:rPr>
                <w:rFonts w:eastAsia="Times New Roman"/>
                <w:b/>
                <w:color w:val="000000"/>
                <w:sz w:val="16"/>
                <w:lang w:val="en-GB"/>
              </w:rPr>
            </w:pPr>
          </w:p>
        </w:tc>
        <w:tc>
          <w:tcPr>
            <w:tcW w:w="1211" w:type="dxa"/>
            <w:vAlign w:val="center"/>
          </w:tcPr>
          <w:p w:rsidRPr="009C48DA" w:rsidR="00661519" w:rsidP="00661519" w:rsidRDefault="00661519" w14:paraId="7E5FEB46" w14:textId="77777777">
            <w:pPr>
              <w:ind w:right="29"/>
              <w:jc w:val="right"/>
              <w:textAlignment w:val="baseline"/>
              <w:rPr>
                <w:rFonts w:eastAsia="Times New Roman"/>
                <w:b/>
                <w:color w:val="000000"/>
                <w:sz w:val="16"/>
                <w:lang w:val="en-GB"/>
              </w:rPr>
            </w:pPr>
          </w:p>
        </w:tc>
        <w:tc>
          <w:tcPr>
            <w:tcW w:w="1212" w:type="dxa"/>
            <w:vAlign w:val="center"/>
          </w:tcPr>
          <w:p w:rsidRPr="009C48DA" w:rsidR="00661519" w:rsidP="00661519" w:rsidRDefault="00661519" w14:paraId="40D1CC39" w14:textId="77777777">
            <w:pPr>
              <w:ind w:right="29"/>
              <w:jc w:val="right"/>
              <w:textAlignment w:val="baseline"/>
              <w:rPr>
                <w:rFonts w:eastAsia="Times New Roman"/>
                <w:b/>
                <w:color w:val="000000"/>
                <w:sz w:val="16"/>
                <w:lang w:val="en-GB"/>
              </w:rPr>
            </w:pPr>
          </w:p>
        </w:tc>
      </w:tr>
      <w:tr w:rsidRPr="009C48DA" w:rsidR="00661519" w:rsidTr="00661519" w14:paraId="7AD45688" w14:textId="77777777">
        <w:tc>
          <w:tcPr>
            <w:tcW w:w="4395" w:type="dxa"/>
          </w:tcPr>
          <w:p w:rsidRPr="009C48DA" w:rsidR="00661519" w:rsidP="00661519" w:rsidRDefault="00661519" w14:paraId="1B1FCC04" w14:textId="77777777">
            <w:pPr>
              <w:textAlignment w:val="baseline"/>
              <w:rPr>
                <w:rFonts w:eastAsia="Times New Roman"/>
                <w:color w:val="000000"/>
                <w:sz w:val="16"/>
                <w:lang w:val="en-GB"/>
              </w:rPr>
            </w:pPr>
            <w:r w:rsidRPr="009C48DA">
              <w:rPr>
                <w:rFonts w:eastAsia="Times New Roman"/>
                <w:color w:val="000000"/>
                <w:sz w:val="16"/>
                <w:lang w:val="en-GB"/>
              </w:rPr>
              <w:t>10% private equity fund investments</w:t>
            </w:r>
          </w:p>
        </w:tc>
        <w:tc>
          <w:tcPr>
            <w:tcW w:w="1211" w:type="dxa"/>
            <w:vAlign w:val="center"/>
          </w:tcPr>
          <w:p w:rsidRPr="009C48DA" w:rsidR="00661519" w:rsidP="00661519" w:rsidRDefault="00661519" w14:paraId="2DE27E5C" w14:textId="77777777">
            <w:pPr>
              <w:jc w:val="right"/>
              <w:textAlignment w:val="baseline"/>
              <w:rPr>
                <w:rFonts w:eastAsia="Times New Roman"/>
                <w:color w:val="000000"/>
                <w:sz w:val="16"/>
                <w:lang w:val="en-GB"/>
              </w:rPr>
            </w:pPr>
            <w:r w:rsidRPr="009C48DA">
              <w:rPr>
                <w:rFonts w:eastAsia="Times New Roman"/>
                <w:color w:val="000000"/>
                <w:sz w:val="16"/>
                <w:lang w:val="en-GB"/>
              </w:rPr>
              <w:t>12,550</w:t>
            </w:r>
          </w:p>
        </w:tc>
        <w:tc>
          <w:tcPr>
            <w:tcW w:w="1211" w:type="dxa"/>
            <w:vAlign w:val="center"/>
          </w:tcPr>
          <w:p w:rsidRPr="009C48DA" w:rsidR="00661519" w:rsidP="00661519" w:rsidRDefault="00661519" w14:paraId="65165F25" w14:textId="77777777">
            <w:pPr>
              <w:jc w:val="right"/>
              <w:textAlignment w:val="baseline"/>
              <w:rPr>
                <w:rFonts w:eastAsia="Times New Roman"/>
                <w:color w:val="000000"/>
                <w:sz w:val="16"/>
                <w:lang w:val="en-GB"/>
              </w:rPr>
            </w:pPr>
            <w:r w:rsidRPr="009C48DA">
              <w:rPr>
                <w:rFonts w:eastAsia="Times New Roman"/>
                <w:color w:val="000000"/>
                <w:sz w:val="16"/>
                <w:lang w:val="en-GB"/>
              </w:rPr>
              <w:t>15,747</w:t>
            </w:r>
          </w:p>
        </w:tc>
        <w:tc>
          <w:tcPr>
            <w:tcW w:w="1211" w:type="dxa"/>
            <w:vAlign w:val="center"/>
          </w:tcPr>
          <w:p w:rsidRPr="009C48DA" w:rsidR="00661519" w:rsidP="00661519" w:rsidRDefault="00661519" w14:paraId="264CF279" w14:textId="77777777">
            <w:pPr>
              <w:jc w:val="right"/>
              <w:textAlignment w:val="baseline"/>
              <w:rPr>
                <w:rFonts w:eastAsia="Times New Roman"/>
                <w:color w:val="000000"/>
                <w:sz w:val="16"/>
                <w:lang w:val="en-GB"/>
              </w:rPr>
            </w:pPr>
            <w:r w:rsidRPr="009C48DA">
              <w:rPr>
                <w:rFonts w:eastAsia="Times New Roman"/>
                <w:color w:val="000000"/>
                <w:sz w:val="16"/>
                <w:lang w:val="en-GB"/>
              </w:rPr>
              <w:t>18,877</w:t>
            </w:r>
          </w:p>
        </w:tc>
        <w:tc>
          <w:tcPr>
            <w:tcW w:w="1212" w:type="dxa"/>
            <w:vAlign w:val="center"/>
          </w:tcPr>
          <w:p w:rsidRPr="009C48DA" w:rsidR="00661519" w:rsidP="00661519" w:rsidRDefault="00661519" w14:paraId="70FED23D" w14:textId="77777777">
            <w:pPr>
              <w:jc w:val="right"/>
              <w:textAlignment w:val="baseline"/>
              <w:rPr>
                <w:rFonts w:eastAsia="Times New Roman"/>
                <w:color w:val="000000"/>
                <w:sz w:val="16"/>
                <w:lang w:val="en-GB"/>
              </w:rPr>
            </w:pPr>
            <w:r w:rsidRPr="009C48DA">
              <w:rPr>
                <w:rFonts w:eastAsia="Times New Roman"/>
                <w:color w:val="000000"/>
                <w:sz w:val="16"/>
                <w:lang w:val="en-GB"/>
              </w:rPr>
              <w:t>18,610</w:t>
            </w:r>
          </w:p>
        </w:tc>
      </w:tr>
      <w:tr w:rsidRPr="009C48DA" w:rsidR="00661519" w:rsidTr="00661519" w14:paraId="21CEC87D" w14:textId="77777777">
        <w:tc>
          <w:tcPr>
            <w:tcW w:w="4395" w:type="dxa"/>
          </w:tcPr>
          <w:p w:rsidRPr="009C48DA" w:rsidR="00661519" w:rsidP="00661519" w:rsidRDefault="00661519" w14:paraId="3F08A0A8" w14:textId="77777777">
            <w:pPr>
              <w:textAlignment w:val="baseline"/>
              <w:rPr>
                <w:rFonts w:eastAsia="Times New Roman"/>
                <w:color w:val="000000"/>
                <w:sz w:val="16"/>
                <w:lang w:val="en-GB"/>
              </w:rPr>
            </w:pPr>
            <w:r w:rsidRPr="009C48DA">
              <w:rPr>
                <w:rFonts w:eastAsia="Times New Roman"/>
                <w:color w:val="000000"/>
                <w:sz w:val="16"/>
                <w:lang w:val="en-GB"/>
              </w:rPr>
              <w:t>1% credit fund investments</w:t>
            </w:r>
          </w:p>
        </w:tc>
        <w:tc>
          <w:tcPr>
            <w:tcW w:w="1211" w:type="dxa"/>
            <w:vAlign w:val="center"/>
          </w:tcPr>
          <w:p w:rsidRPr="009C48DA" w:rsidR="00661519" w:rsidP="00661519" w:rsidRDefault="00661519" w14:paraId="4908339C"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5AB0B4B2" w14:textId="77777777">
            <w:pPr>
              <w:jc w:val="right"/>
              <w:textAlignment w:val="baseline"/>
              <w:rPr>
                <w:rFonts w:eastAsia="Times New Roman"/>
                <w:color w:val="000000"/>
                <w:sz w:val="16"/>
                <w:lang w:val="en-GB"/>
              </w:rPr>
            </w:pPr>
            <w:r w:rsidRPr="009C48DA">
              <w:rPr>
                <w:rFonts w:eastAsia="Times New Roman"/>
                <w:color w:val="000000"/>
                <w:sz w:val="16"/>
                <w:lang w:val="en-GB"/>
              </w:rPr>
              <w:t>486</w:t>
            </w:r>
          </w:p>
        </w:tc>
        <w:tc>
          <w:tcPr>
            <w:tcW w:w="1211" w:type="dxa"/>
            <w:vAlign w:val="center"/>
          </w:tcPr>
          <w:p w:rsidRPr="009C48DA" w:rsidR="00661519" w:rsidP="00661519" w:rsidRDefault="00661519" w14:paraId="48110660" w14:textId="77777777">
            <w:pPr>
              <w:jc w:val="right"/>
              <w:textAlignment w:val="baseline"/>
              <w:rPr>
                <w:rFonts w:eastAsia="Times New Roman"/>
                <w:color w:val="000000"/>
                <w:sz w:val="16"/>
                <w:lang w:val="en-GB"/>
              </w:rPr>
            </w:pPr>
            <w:r w:rsidRPr="009C48DA">
              <w:rPr>
                <w:rFonts w:eastAsia="Times New Roman"/>
                <w:color w:val="000000"/>
                <w:sz w:val="16"/>
                <w:lang w:val="en-GB"/>
              </w:rPr>
              <w:t>642</w:t>
            </w:r>
          </w:p>
        </w:tc>
        <w:tc>
          <w:tcPr>
            <w:tcW w:w="1212" w:type="dxa"/>
            <w:vAlign w:val="center"/>
          </w:tcPr>
          <w:p w:rsidRPr="009C48DA" w:rsidR="00661519" w:rsidP="00661519" w:rsidRDefault="00661519" w14:paraId="502E786D" w14:textId="77777777">
            <w:pPr>
              <w:jc w:val="right"/>
              <w:textAlignment w:val="baseline"/>
              <w:rPr>
                <w:rFonts w:eastAsia="Times New Roman"/>
                <w:color w:val="000000"/>
                <w:sz w:val="16"/>
                <w:lang w:val="en-GB"/>
              </w:rPr>
            </w:pPr>
            <w:r w:rsidRPr="009C48DA">
              <w:rPr>
                <w:rFonts w:eastAsia="Times New Roman"/>
                <w:color w:val="000000"/>
                <w:sz w:val="16"/>
                <w:lang w:val="en-GB"/>
              </w:rPr>
              <w:t>679</w:t>
            </w:r>
          </w:p>
        </w:tc>
      </w:tr>
    </w:tbl>
    <w:p w:rsidRPr="009C48DA" w:rsidR="00661519" w:rsidP="00661519" w:rsidRDefault="00661519" w14:paraId="14EE238D" w14:textId="77777777">
      <w:pPr>
        <w:rPr>
          <w:rFonts w:eastAsia="Times New Roman" w:cs="Times New Roman"/>
          <w:b/>
          <w:color w:val="000000"/>
          <w:sz w:val="16"/>
          <w:szCs w:val="22"/>
          <w:lang w:val="en-GB"/>
        </w:rPr>
      </w:pPr>
    </w:p>
    <w:p w:rsidRPr="009C48DA" w:rsidR="00661519" w:rsidP="00661519" w:rsidRDefault="00661519" w14:paraId="0ED69E49" w14:textId="77777777">
      <w:pPr>
        <w:rPr>
          <w:rFonts w:eastAsia="Times New Roman" w:cs="Times New Roman"/>
          <w:b/>
          <w:color w:val="000000"/>
          <w:sz w:val="16"/>
          <w:szCs w:val="22"/>
          <w:lang w:val="en-GB"/>
        </w:rPr>
      </w:pPr>
    </w:p>
    <w:p w:rsidRPr="009C48DA" w:rsidR="00661519" w:rsidP="00661519" w:rsidRDefault="00661519" w14:paraId="5A8303A0"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(b)</w:t>
      </w:r>
      <w:r w:rsidRPr="009C48DA">
        <w:rPr>
          <w:rFonts w:eastAsia="Times New Roman" w:cs="Times New Roman"/>
          <w:b/>
          <w:color w:val="000000"/>
          <w:sz w:val="16"/>
          <w:szCs w:val="22"/>
          <w:lang w:val="en-GB"/>
        </w:rPr>
        <w:tab/>
        <w:t>Foreign currency risk</w:t>
      </w:r>
    </w:p>
    <w:p w:rsidRPr="009C48DA" w:rsidR="00661519" w:rsidP="00661519" w:rsidRDefault="00661519" w14:paraId="6F2EF84C" w14:textId="77777777">
      <w:pPr>
        <w:spacing w:before="117" w:line="183" w:lineRule="exact"/>
        <w:ind w:right="72"/>
        <w:jc w:val="both"/>
        <w:textAlignment w:val="baseline"/>
        <w:rPr>
          <w:rFonts w:eastAsia="Times New Roman"/>
          <w:color w:val="000000"/>
          <w:sz w:val="16"/>
          <w:lang w:val="en-GB"/>
        </w:rPr>
      </w:pPr>
      <w:r w:rsidRPr="009C48DA">
        <w:rPr>
          <w:rFonts w:eastAsia="Times New Roman"/>
          <w:color w:val="000000"/>
          <w:sz w:val="16"/>
          <w:lang w:val="en-GB"/>
        </w:rPr>
        <w:t>Foreign currency ('FX') risk is the risk of losses or other adverse effects resulting from a change in a foreign exchange rate, or from other unfavourable changes in relation to a foreign currency. The Group is primarily exposed to two types of FX risk:</w:t>
      </w:r>
    </w:p>
    <w:p w:rsidRPr="009C48DA" w:rsidR="00661519" w:rsidP="00661519" w:rsidRDefault="00661519" w14:paraId="77F88061" w14:textId="77777777">
      <w:pPr>
        <w:spacing w:before="117" w:line="183" w:lineRule="exact"/>
        <w:ind w:right="72"/>
        <w:jc w:val="both"/>
        <w:textAlignment w:val="baseline"/>
        <w:rPr>
          <w:rFonts w:eastAsia="Times New Roman"/>
          <w:color w:val="000000"/>
          <w:sz w:val="16"/>
          <w:lang w:val="en-GB"/>
        </w:rPr>
      </w:pPr>
      <w:r w:rsidRPr="009C48DA">
        <w:rPr>
          <w:rFonts w:eastAsia="Times New Roman"/>
          <w:color w:val="000000"/>
          <w:sz w:val="16"/>
          <w:lang w:val="en-GB"/>
        </w:rPr>
        <w:br w:type="page"/>
      </w:r>
    </w:p>
    <w:p w:rsidRPr="009C48DA" w:rsidR="00661519" w:rsidP="00661519" w:rsidRDefault="00661519" w14:paraId="13620459" w14:textId="77777777">
      <w:pPr>
        <w:numPr>
          <w:ilvl w:val="0"/>
          <w:numId w:val="36"/>
        </w:numPr>
        <w:tabs>
          <w:tab w:val="clear" w:pos="288"/>
          <w:tab w:val="left" w:pos="504"/>
          <w:tab w:val="left" w:pos="1140"/>
        </w:tabs>
        <w:spacing w:before="102" w:line="182" w:lineRule="exact"/>
        <w:ind w:left="426" w:right="72" w:hanging="426"/>
        <w:jc w:val="both"/>
        <w:textAlignment w:val="baseline"/>
        <w:rPr>
          <w:rFonts w:eastAsia="Times New Roman"/>
          <w:color w:val="000000"/>
          <w:sz w:val="16"/>
          <w:lang w:val="en-GB"/>
        </w:rPr>
      </w:pPr>
      <w:r w:rsidRPr="009C48DA">
        <w:rPr>
          <w:rFonts w:eastAsia="Times New Roman"/>
          <w:color w:val="000000"/>
          <w:sz w:val="16"/>
          <w:lang w:val="en-GB"/>
        </w:rPr>
        <w:lastRenderedPageBreak/>
        <w:t xml:space="preserve">Transaction risk: The adverse effect that foreign exchange rate fluctuations can have on a completed transaction prior to settlement. It is the exchange rate, or currency risk associated specifically with the time delay between entering into a trade or contract and then settling it. As the majority of the Group’s income is denominated in euro, this means that its income when recognised in GBP is subject to </w:t>
      </w:r>
    </w:p>
    <w:p w:rsidRPr="009C48DA" w:rsidR="00661519" w:rsidP="00661519" w:rsidRDefault="00661519" w14:paraId="324D8E98" w14:textId="77777777">
      <w:pPr>
        <w:tabs>
          <w:tab w:val="left" w:pos="504"/>
          <w:tab w:val="left" w:pos="1140"/>
        </w:tabs>
        <w:spacing w:line="182" w:lineRule="exact"/>
        <w:ind w:left="426" w:right="72"/>
        <w:jc w:val="both"/>
        <w:textAlignment w:val="baseline"/>
        <w:rPr>
          <w:rFonts w:eastAsia="Times New Roman"/>
          <w:color w:val="000000"/>
          <w:sz w:val="16"/>
          <w:lang w:val="en-GB"/>
        </w:rPr>
      </w:pPr>
      <w:r w:rsidRPr="009C48DA">
        <w:rPr>
          <w:rFonts w:eastAsia="Times New Roman"/>
          <w:color w:val="000000"/>
          <w:sz w:val="16"/>
          <w:lang w:val="en-GB"/>
        </w:rPr>
        <w:t>exposure to FX rate movements over time.</w:t>
      </w:r>
    </w:p>
    <w:p w:rsidRPr="009C48DA" w:rsidR="00661519" w:rsidP="00661519" w:rsidRDefault="00661519" w14:paraId="646422E6" w14:textId="77777777">
      <w:pPr>
        <w:numPr>
          <w:ilvl w:val="0"/>
          <w:numId w:val="36"/>
        </w:numPr>
        <w:tabs>
          <w:tab w:val="clear" w:pos="288"/>
          <w:tab w:val="left" w:pos="504"/>
          <w:tab w:val="left" w:pos="1140"/>
        </w:tabs>
        <w:spacing w:before="104" w:line="184" w:lineRule="exact"/>
        <w:ind w:left="426" w:right="72" w:hanging="426"/>
        <w:jc w:val="both"/>
        <w:textAlignment w:val="baseline"/>
        <w:rPr>
          <w:rFonts w:eastAsia="Times New Roman"/>
          <w:color w:val="000000"/>
          <w:sz w:val="16"/>
          <w:lang w:val="en-GB"/>
        </w:rPr>
      </w:pPr>
      <w:r w:rsidRPr="009C48DA">
        <w:rPr>
          <w:rFonts w:eastAsia="Times New Roman"/>
          <w:color w:val="000000"/>
          <w:sz w:val="16"/>
          <w:lang w:val="en-GB"/>
        </w:rPr>
        <w:t xml:space="preserve">Translation risk: Is the risk that changes in the rates at which assets, liabilities, income or costs in foreign currencies are translated into the reporting currency. The Group holds assets denominated in currencies other than pounds, the measurement currency of the Group. Consequently, the Group is exposed to currency risk since the value of investments denominated in other currencies will fluctuate due </w:t>
      </w:r>
      <w:r w:rsidRPr="009C48DA">
        <w:rPr>
          <w:rFonts w:eastAsia="Times New Roman"/>
          <w:color w:val="000000"/>
          <w:sz w:val="16"/>
          <w:lang w:val="en-GB"/>
        </w:rPr>
        <w:br/>
        <w:t>to change in exchange rate.</w:t>
      </w:r>
    </w:p>
    <w:p w:rsidRPr="009C48DA" w:rsidR="00661519" w:rsidP="00661519" w:rsidRDefault="00661519" w14:paraId="709BCEE8" w14:textId="77777777">
      <w:pPr>
        <w:spacing w:before="95" w:line="188" w:lineRule="exact"/>
        <w:ind w:right="72"/>
        <w:jc w:val="both"/>
        <w:textAlignment w:val="baseline"/>
        <w:rPr>
          <w:rFonts w:eastAsia="Times New Roman"/>
          <w:color w:val="000000"/>
          <w:sz w:val="16"/>
          <w:lang w:val="en-GB"/>
        </w:rPr>
      </w:pPr>
      <w:r w:rsidRPr="009C48DA">
        <w:rPr>
          <w:rFonts w:eastAsia="Times New Roman"/>
          <w:color w:val="000000"/>
          <w:sz w:val="16"/>
          <w:lang w:val="en-GB"/>
        </w:rPr>
        <w:t>In order to hedge EUR denominated income, the Group has entered into a series of forward trades and swap agreements to sell EUR and buy GBP at various dates in the future to reduce the currency exposure of EUR denominated income to future spot rate volatility.</w:t>
      </w:r>
    </w:p>
    <w:p w:rsidRPr="009C48DA" w:rsidR="00661519" w:rsidP="00661519" w:rsidRDefault="00661519" w14:paraId="245D9611" w14:textId="77777777">
      <w:pPr>
        <w:ind w:right="72"/>
        <w:jc w:val="both"/>
        <w:textAlignment w:val="baseline"/>
        <w:rPr>
          <w:rFonts w:eastAsia="Times New Roman"/>
          <w:color w:val="000000"/>
          <w:sz w:val="16"/>
          <w:lang w:val="en-GB"/>
        </w:rPr>
      </w:pPr>
    </w:p>
    <w:p w:rsidRPr="009C48DA" w:rsidR="00661519" w:rsidP="00661519" w:rsidRDefault="00661519" w14:paraId="3552C05A"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nominal value of open trades at the period end date to match certain expected future cash flows is shown in the table below, along with </w:t>
      </w:r>
      <w:r w:rsidRPr="009C48DA">
        <w:rPr>
          <w:rFonts w:eastAsia="Times New Roman"/>
          <w:color w:val="000000"/>
          <w:sz w:val="16"/>
          <w:lang w:val="en-GB"/>
        </w:rPr>
        <w:br/>
        <w:t>the aggregate mark-to market of the period end date.</w:t>
      </w:r>
    </w:p>
    <w:p w:rsidRPr="009C48DA" w:rsidR="00661519" w:rsidP="00661519" w:rsidRDefault="00661519" w14:paraId="42A9FCAF" w14:textId="77777777">
      <w:pPr>
        <w:ind w:right="72"/>
        <w:jc w:val="both"/>
        <w:textAlignment w:val="baseline"/>
        <w:rPr>
          <w:rFonts w:eastAsia="Times New Roman"/>
          <w:color w:val="000000"/>
          <w:sz w:val="16"/>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211"/>
        <w:gridCol w:w="1211"/>
        <w:gridCol w:w="1211"/>
        <w:gridCol w:w="1212"/>
      </w:tblGrid>
      <w:tr w:rsidRPr="009C48DA" w:rsidR="00661519" w:rsidTr="00661519" w14:paraId="7B1F953D" w14:textId="77777777">
        <w:tc>
          <w:tcPr>
            <w:tcW w:w="4395" w:type="dxa"/>
            <w:vAlign w:val="bottom"/>
          </w:tcPr>
          <w:p w:rsidRPr="009C48DA" w:rsidR="00661519" w:rsidP="00661519" w:rsidRDefault="00661519" w14:paraId="0E4FA410" w14:textId="77777777">
            <w:pPr>
              <w:jc w:val="both"/>
              <w:textAlignment w:val="baseline"/>
              <w:rPr>
                <w:rFonts w:eastAsia="Times New Roman"/>
                <w:b/>
                <w:color w:val="000000"/>
                <w:sz w:val="16"/>
                <w:szCs w:val="16"/>
                <w:lang w:val="en-GB"/>
              </w:rPr>
            </w:pPr>
          </w:p>
        </w:tc>
        <w:tc>
          <w:tcPr>
            <w:tcW w:w="3633" w:type="dxa"/>
            <w:gridSpan w:val="3"/>
            <w:vAlign w:val="bottom"/>
          </w:tcPr>
          <w:p w:rsidRPr="009C48DA" w:rsidR="00661519" w:rsidP="00661519" w:rsidRDefault="00661519" w14:paraId="2055AF2A"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Year ended 31 December</w:t>
            </w:r>
          </w:p>
        </w:tc>
        <w:tc>
          <w:tcPr>
            <w:tcW w:w="1212" w:type="dxa"/>
            <w:vAlign w:val="bottom"/>
          </w:tcPr>
          <w:p w:rsidRPr="009C48DA" w:rsidR="00661519" w:rsidP="00661519" w:rsidRDefault="00661519" w14:paraId="122D9E53"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Three month period ended 31 March</w:t>
            </w:r>
            <w:r w:rsidRPr="009C48DA">
              <w:rPr>
                <w:rFonts w:eastAsia="Times New Roman"/>
                <w:b/>
                <w:color w:val="000000"/>
                <w:sz w:val="16"/>
                <w:szCs w:val="16"/>
                <w:lang w:val="en-GB"/>
              </w:rPr>
              <w:t xml:space="preserve"> </w:t>
            </w:r>
          </w:p>
        </w:tc>
      </w:tr>
      <w:tr w:rsidRPr="009C48DA" w:rsidR="00661519" w:rsidTr="00661519" w14:paraId="6F425A9E" w14:textId="77777777">
        <w:tc>
          <w:tcPr>
            <w:tcW w:w="4395" w:type="dxa"/>
            <w:vAlign w:val="bottom"/>
          </w:tcPr>
          <w:p w:rsidRPr="009C48DA" w:rsidR="00661519" w:rsidP="00661519" w:rsidRDefault="00661519" w14:paraId="05AD431E" w14:textId="77777777">
            <w:pPr>
              <w:jc w:val="both"/>
              <w:textAlignment w:val="baseline"/>
              <w:rPr>
                <w:rFonts w:eastAsia="Times New Roman"/>
                <w:b/>
                <w:color w:val="000000"/>
                <w:sz w:val="16"/>
                <w:lang w:val="en-GB"/>
              </w:rPr>
            </w:pPr>
          </w:p>
        </w:tc>
        <w:tc>
          <w:tcPr>
            <w:tcW w:w="1211" w:type="dxa"/>
            <w:vAlign w:val="bottom"/>
          </w:tcPr>
          <w:p w:rsidRPr="009C48DA" w:rsidR="00661519" w:rsidP="00661519" w:rsidRDefault="00661519" w14:paraId="62F49669"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5C3B230B"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1" w:type="dxa"/>
            <w:vAlign w:val="bottom"/>
          </w:tcPr>
          <w:p w:rsidRPr="009C48DA" w:rsidR="00661519" w:rsidP="00661519" w:rsidRDefault="00661519" w14:paraId="63BC4239"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48456DC2"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1" w:type="dxa"/>
          </w:tcPr>
          <w:p w:rsidRPr="009C48DA" w:rsidR="00661519" w:rsidP="00661519" w:rsidRDefault="00661519" w14:paraId="2A907848"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03631C9B"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2" w:type="dxa"/>
            <w:vAlign w:val="bottom"/>
          </w:tcPr>
          <w:p w:rsidRPr="009C48DA" w:rsidR="00661519" w:rsidP="00661519" w:rsidRDefault="00661519" w14:paraId="0C4D0D80"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030B9AE8"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642A7AA4" w14:textId="77777777">
        <w:tc>
          <w:tcPr>
            <w:tcW w:w="4395" w:type="dxa"/>
            <w:vAlign w:val="center"/>
          </w:tcPr>
          <w:p w:rsidRPr="009C48DA" w:rsidR="00661519" w:rsidP="00661519" w:rsidRDefault="00661519" w14:paraId="5F9B6346" w14:textId="77777777">
            <w:pPr>
              <w:textAlignment w:val="baseline"/>
              <w:rPr>
                <w:rFonts w:eastAsia="Times New Roman"/>
                <w:color w:val="000000"/>
                <w:sz w:val="16"/>
                <w:lang w:val="en-GB"/>
              </w:rPr>
            </w:pPr>
            <w:r w:rsidRPr="009C48DA">
              <w:rPr>
                <w:rFonts w:eastAsia="Times New Roman"/>
                <w:color w:val="000000"/>
                <w:sz w:val="16"/>
                <w:lang w:val="en-GB"/>
              </w:rPr>
              <w:t>Nominal value of forward trades in GBP</w:t>
            </w:r>
          </w:p>
        </w:tc>
        <w:tc>
          <w:tcPr>
            <w:tcW w:w="1211" w:type="dxa"/>
            <w:vAlign w:val="center"/>
          </w:tcPr>
          <w:p w:rsidRPr="009C48DA" w:rsidR="00661519" w:rsidP="00661519" w:rsidRDefault="00661519" w14:paraId="673C595B" w14:textId="77777777">
            <w:pPr>
              <w:jc w:val="right"/>
              <w:textAlignment w:val="baseline"/>
              <w:rPr>
                <w:rFonts w:eastAsia="Times New Roman"/>
                <w:color w:val="000000"/>
                <w:sz w:val="16"/>
                <w:lang w:val="en-GB"/>
              </w:rPr>
            </w:pPr>
            <w:r w:rsidRPr="009C48DA">
              <w:rPr>
                <w:rFonts w:eastAsia="Times New Roman"/>
                <w:color w:val="000000"/>
                <w:sz w:val="16"/>
                <w:lang w:val="en-GB"/>
              </w:rPr>
              <w:t>55,000</w:t>
            </w:r>
          </w:p>
        </w:tc>
        <w:tc>
          <w:tcPr>
            <w:tcW w:w="1211" w:type="dxa"/>
            <w:vAlign w:val="center"/>
          </w:tcPr>
          <w:p w:rsidRPr="009C48DA" w:rsidR="00661519" w:rsidP="00661519" w:rsidRDefault="00661519" w14:paraId="113CEB9A" w14:textId="77777777">
            <w:pPr>
              <w:jc w:val="right"/>
              <w:textAlignment w:val="baseline"/>
              <w:rPr>
                <w:rFonts w:eastAsia="Times New Roman"/>
                <w:color w:val="000000"/>
                <w:sz w:val="16"/>
                <w:lang w:val="en-GB"/>
              </w:rPr>
            </w:pPr>
            <w:r w:rsidRPr="009C48DA">
              <w:rPr>
                <w:rFonts w:eastAsia="Times New Roman"/>
                <w:color w:val="000000"/>
                <w:sz w:val="16"/>
                <w:lang w:val="en-GB"/>
              </w:rPr>
              <w:t>156,500</w:t>
            </w:r>
          </w:p>
        </w:tc>
        <w:tc>
          <w:tcPr>
            <w:tcW w:w="1211" w:type="dxa"/>
            <w:vAlign w:val="center"/>
          </w:tcPr>
          <w:p w:rsidRPr="009C48DA" w:rsidR="00661519" w:rsidP="00661519" w:rsidRDefault="00661519" w14:paraId="692729DE" w14:textId="77777777">
            <w:pPr>
              <w:jc w:val="right"/>
              <w:textAlignment w:val="baseline"/>
              <w:rPr>
                <w:rFonts w:eastAsia="Times New Roman"/>
                <w:color w:val="000000"/>
                <w:sz w:val="16"/>
                <w:lang w:val="en-GB"/>
              </w:rPr>
            </w:pPr>
            <w:r w:rsidRPr="009C48DA">
              <w:rPr>
                <w:rFonts w:eastAsia="Times New Roman"/>
                <w:color w:val="000000"/>
                <w:sz w:val="16"/>
                <w:lang w:val="en-GB"/>
              </w:rPr>
              <w:t>197,400</w:t>
            </w:r>
          </w:p>
        </w:tc>
        <w:tc>
          <w:tcPr>
            <w:tcW w:w="1212" w:type="dxa"/>
            <w:vAlign w:val="center"/>
          </w:tcPr>
          <w:p w:rsidRPr="009C48DA" w:rsidR="00661519" w:rsidP="00661519" w:rsidRDefault="00661519" w14:paraId="1E7E08F6" w14:textId="77777777">
            <w:pPr>
              <w:jc w:val="right"/>
              <w:textAlignment w:val="baseline"/>
              <w:rPr>
                <w:rFonts w:eastAsia="Times New Roman"/>
                <w:color w:val="000000"/>
                <w:sz w:val="16"/>
                <w:lang w:val="en-GB"/>
              </w:rPr>
            </w:pPr>
            <w:r w:rsidRPr="009C48DA">
              <w:rPr>
                <w:rFonts w:eastAsia="Times New Roman"/>
                <w:color w:val="000000"/>
                <w:sz w:val="16"/>
                <w:lang w:val="en-GB"/>
              </w:rPr>
              <w:t>172,400</w:t>
            </w:r>
          </w:p>
        </w:tc>
      </w:tr>
      <w:tr w:rsidRPr="009C48DA" w:rsidR="00661519" w:rsidTr="00661519" w14:paraId="6852700C" w14:textId="77777777">
        <w:tc>
          <w:tcPr>
            <w:tcW w:w="4395" w:type="dxa"/>
            <w:vAlign w:val="center"/>
          </w:tcPr>
          <w:p w:rsidRPr="009C48DA" w:rsidR="00661519" w:rsidP="00661519" w:rsidRDefault="00661519" w14:paraId="4CAFC509" w14:textId="77777777">
            <w:pPr>
              <w:textAlignment w:val="baseline"/>
              <w:rPr>
                <w:rFonts w:eastAsia="Times New Roman"/>
                <w:color w:val="000000"/>
                <w:sz w:val="16"/>
                <w:lang w:val="en-GB"/>
              </w:rPr>
            </w:pPr>
            <w:r w:rsidRPr="009C48DA">
              <w:rPr>
                <w:rFonts w:eastAsia="Times New Roman"/>
                <w:color w:val="000000"/>
                <w:sz w:val="16"/>
                <w:lang w:val="en-GB"/>
              </w:rPr>
              <w:t>Market-to-market value at period end</w:t>
            </w:r>
          </w:p>
        </w:tc>
        <w:tc>
          <w:tcPr>
            <w:tcW w:w="1211" w:type="dxa"/>
            <w:vAlign w:val="center"/>
          </w:tcPr>
          <w:p w:rsidRPr="009C48DA" w:rsidR="00661519" w:rsidP="00661519" w:rsidRDefault="00661519" w14:paraId="0E26D3D9" w14:textId="77777777">
            <w:pPr>
              <w:jc w:val="right"/>
              <w:textAlignment w:val="baseline"/>
              <w:rPr>
                <w:rFonts w:eastAsia="Times New Roman"/>
                <w:color w:val="000000"/>
                <w:sz w:val="16"/>
                <w:lang w:val="en-GB"/>
              </w:rPr>
            </w:pPr>
            <w:r w:rsidRPr="009C48DA">
              <w:rPr>
                <w:rFonts w:eastAsia="Times New Roman"/>
                <w:color w:val="000000"/>
                <w:sz w:val="16"/>
                <w:lang w:val="en-GB"/>
              </w:rPr>
              <w:t>(5,719)</w:t>
            </w:r>
          </w:p>
        </w:tc>
        <w:tc>
          <w:tcPr>
            <w:tcW w:w="1211" w:type="dxa"/>
            <w:vAlign w:val="center"/>
          </w:tcPr>
          <w:p w:rsidRPr="009C48DA" w:rsidR="00661519" w:rsidP="00661519" w:rsidRDefault="00661519" w14:paraId="0299DCB0" w14:textId="77777777">
            <w:pPr>
              <w:jc w:val="right"/>
              <w:textAlignment w:val="baseline"/>
              <w:rPr>
                <w:rFonts w:eastAsia="Times New Roman"/>
                <w:color w:val="000000"/>
                <w:sz w:val="16"/>
                <w:lang w:val="en-GB"/>
              </w:rPr>
            </w:pPr>
            <w:r w:rsidRPr="009C48DA">
              <w:rPr>
                <w:rFonts w:eastAsia="Times New Roman"/>
                <w:color w:val="000000"/>
                <w:sz w:val="16"/>
                <w:lang w:val="en-GB"/>
              </w:rPr>
              <w:t>2,015</w:t>
            </w:r>
          </w:p>
        </w:tc>
        <w:tc>
          <w:tcPr>
            <w:tcW w:w="1211" w:type="dxa"/>
            <w:vAlign w:val="center"/>
          </w:tcPr>
          <w:p w:rsidRPr="009C48DA" w:rsidR="00661519" w:rsidP="00661519" w:rsidRDefault="00661519" w14:paraId="63B40FE5" w14:textId="77777777">
            <w:pPr>
              <w:jc w:val="right"/>
              <w:textAlignment w:val="baseline"/>
              <w:rPr>
                <w:rFonts w:eastAsia="Times New Roman"/>
                <w:color w:val="000000"/>
                <w:sz w:val="16"/>
                <w:lang w:val="en-GB"/>
              </w:rPr>
            </w:pPr>
            <w:r w:rsidRPr="009C48DA">
              <w:rPr>
                <w:rFonts w:eastAsia="Times New Roman"/>
                <w:color w:val="000000"/>
                <w:sz w:val="16"/>
                <w:lang w:val="en-GB"/>
              </w:rPr>
              <w:t>(4,230)</w:t>
            </w:r>
          </w:p>
        </w:tc>
        <w:tc>
          <w:tcPr>
            <w:tcW w:w="1212" w:type="dxa"/>
            <w:vAlign w:val="center"/>
          </w:tcPr>
          <w:p w:rsidRPr="009C48DA" w:rsidR="00661519" w:rsidP="00661519" w:rsidRDefault="00661519" w14:paraId="0DD2BABC" w14:textId="77777777">
            <w:pPr>
              <w:jc w:val="right"/>
              <w:textAlignment w:val="baseline"/>
              <w:rPr>
                <w:rFonts w:eastAsia="Times New Roman"/>
                <w:color w:val="000000"/>
                <w:sz w:val="16"/>
                <w:lang w:val="en-GB"/>
              </w:rPr>
            </w:pPr>
            <w:r w:rsidRPr="009C48DA">
              <w:rPr>
                <w:rFonts w:eastAsia="Times New Roman"/>
                <w:color w:val="000000"/>
                <w:sz w:val="16"/>
                <w:lang w:val="en-GB"/>
              </w:rPr>
              <w:t>5,841</w:t>
            </w:r>
          </w:p>
        </w:tc>
      </w:tr>
    </w:tbl>
    <w:p w:rsidRPr="009C48DA" w:rsidR="00661519" w:rsidP="00661519" w:rsidRDefault="00661519" w14:paraId="3DA16D94" w14:textId="77777777">
      <w:pPr>
        <w:spacing w:before="437" w:line="184" w:lineRule="exact"/>
        <w:ind w:right="144"/>
        <w:jc w:val="both"/>
        <w:textAlignment w:val="baseline"/>
        <w:rPr>
          <w:rFonts w:eastAsia="Times New Roman"/>
          <w:color w:val="000000"/>
          <w:sz w:val="16"/>
          <w:lang w:val="en-GB"/>
        </w:rPr>
      </w:pPr>
      <w:r w:rsidRPr="009C48DA">
        <w:rPr>
          <w:rFonts w:eastAsia="Times New Roman"/>
          <w:color w:val="000000"/>
          <w:sz w:val="16"/>
          <w:lang w:val="en-GB"/>
        </w:rPr>
        <w:t xml:space="preserve">These hedges are in place to match known future cash flows, and the Group has decided to use cash flow hedge accounting as allowed and determined under IFRS 9 “Financial instruments”. The effective portion of the gain or loss on these hedging instruments are recognised in the other comprehensive income in cash flow hedge reserves while any ineffective portion is recognised immediately in the Income Statement as gain or loss on cash flow hedges within operating expenses. When the hedge is settled all gains or losses relating to the hedge </w:t>
      </w:r>
    </w:p>
    <w:p w:rsidRPr="009C48DA" w:rsidR="00661519" w:rsidP="00661519" w:rsidRDefault="00661519" w14:paraId="74F58BD9" w14:textId="77777777">
      <w:pPr>
        <w:spacing w:line="184" w:lineRule="exact"/>
        <w:ind w:right="144"/>
        <w:jc w:val="both"/>
        <w:textAlignment w:val="baseline"/>
        <w:rPr>
          <w:rFonts w:eastAsia="Times New Roman"/>
          <w:color w:val="000000"/>
          <w:sz w:val="16"/>
          <w:lang w:val="en-GB"/>
        </w:rPr>
      </w:pPr>
      <w:r w:rsidRPr="009C48DA">
        <w:rPr>
          <w:rFonts w:eastAsia="Times New Roman"/>
          <w:color w:val="000000"/>
          <w:sz w:val="16"/>
          <w:lang w:val="en-GB"/>
        </w:rPr>
        <w:t>are transferred to the Income Statement.</w:t>
      </w:r>
    </w:p>
    <w:p w:rsidRPr="009C48DA" w:rsidR="00661519" w:rsidP="00661519" w:rsidRDefault="00661519" w14:paraId="0B02EFCF" w14:textId="77777777">
      <w:pPr>
        <w:spacing w:line="184" w:lineRule="exact"/>
        <w:ind w:right="144"/>
        <w:jc w:val="both"/>
        <w:textAlignment w:val="baseline"/>
        <w:rPr>
          <w:rFonts w:eastAsia="Times New Roman"/>
          <w:color w:val="000000"/>
          <w:sz w:val="16"/>
          <w:lang w:val="en-GB"/>
        </w:rPr>
      </w:pPr>
    </w:p>
    <w:p w:rsidRPr="009C48DA" w:rsidR="00661519" w:rsidP="00661519" w:rsidRDefault="00661519" w14:paraId="0AB681F0"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change in value that has been recognised as ineffective in the Income Statement, the amount of the effective portion recognised within </w:t>
      </w:r>
      <w:r w:rsidRPr="009C48DA">
        <w:rPr>
          <w:rFonts w:eastAsia="Times New Roman"/>
          <w:color w:val="000000"/>
          <w:sz w:val="16"/>
          <w:lang w:val="en-GB"/>
        </w:rPr>
        <w:br/>
        <w:t xml:space="preserve">the cash flow hedge reserve and amounts released to the Income Statement during the period is shown in the table below. There was no </w:t>
      </w:r>
      <w:r w:rsidRPr="009C48DA">
        <w:rPr>
          <w:rFonts w:eastAsia="Times New Roman"/>
          <w:color w:val="000000"/>
          <w:sz w:val="16"/>
          <w:lang w:val="en-GB"/>
        </w:rPr>
        <w:br/>
        <w:t>hedge ineffectiveness.</w:t>
      </w:r>
    </w:p>
    <w:p w:rsidRPr="009C48DA" w:rsidR="00661519" w:rsidP="00661519" w:rsidRDefault="00661519" w14:paraId="16A38E56" w14:textId="77777777">
      <w:pPr>
        <w:ind w:right="72"/>
        <w:jc w:val="both"/>
        <w:textAlignment w:val="baseline"/>
        <w:rPr>
          <w:rFonts w:eastAsia="Times New Roman"/>
          <w:color w:val="000000"/>
          <w:sz w:val="16"/>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981"/>
        <w:gridCol w:w="855"/>
        <w:gridCol w:w="855"/>
        <w:gridCol w:w="1077"/>
        <w:gridCol w:w="1077"/>
      </w:tblGrid>
      <w:tr w:rsidRPr="009C48DA" w:rsidR="00661519" w:rsidTr="00661519" w14:paraId="757AA80F" w14:textId="77777777">
        <w:tc>
          <w:tcPr>
            <w:tcW w:w="4395" w:type="dxa"/>
            <w:vAlign w:val="bottom"/>
          </w:tcPr>
          <w:p w:rsidRPr="009C48DA" w:rsidR="00661519" w:rsidP="00661519" w:rsidRDefault="00661519" w14:paraId="1B982AEC" w14:textId="77777777">
            <w:pPr>
              <w:jc w:val="both"/>
              <w:textAlignment w:val="baseline"/>
              <w:rPr>
                <w:rFonts w:eastAsia="Times New Roman"/>
                <w:b/>
                <w:color w:val="000000"/>
                <w:sz w:val="16"/>
                <w:szCs w:val="16"/>
                <w:lang w:val="en-GB"/>
              </w:rPr>
            </w:pPr>
          </w:p>
        </w:tc>
        <w:tc>
          <w:tcPr>
            <w:tcW w:w="2691" w:type="dxa"/>
            <w:gridSpan w:val="3"/>
            <w:vAlign w:val="bottom"/>
          </w:tcPr>
          <w:p w:rsidRPr="009C48DA" w:rsidR="00661519" w:rsidP="00661519" w:rsidRDefault="00661519" w14:paraId="37B3639F"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Year ended 31 December</w:t>
            </w:r>
          </w:p>
        </w:tc>
        <w:tc>
          <w:tcPr>
            <w:tcW w:w="2154" w:type="dxa"/>
            <w:gridSpan w:val="2"/>
          </w:tcPr>
          <w:p w:rsidRPr="009C48DA" w:rsidR="00661519" w:rsidP="00661519" w:rsidRDefault="00661519" w14:paraId="780193F7"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Three month period ended</w:t>
            </w:r>
          </w:p>
          <w:p w:rsidRPr="009C48DA" w:rsidR="00661519" w:rsidP="00661519" w:rsidRDefault="00661519" w14:paraId="6F965653"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15064FF0" w14:textId="77777777">
        <w:tc>
          <w:tcPr>
            <w:tcW w:w="4395" w:type="dxa"/>
            <w:vAlign w:val="bottom"/>
          </w:tcPr>
          <w:p w:rsidRPr="009C48DA" w:rsidR="00661519" w:rsidP="00661519" w:rsidRDefault="00661519" w14:paraId="7D8E35AA" w14:textId="77777777">
            <w:pPr>
              <w:jc w:val="both"/>
              <w:textAlignment w:val="baseline"/>
              <w:rPr>
                <w:rFonts w:eastAsia="Times New Roman"/>
                <w:b/>
                <w:color w:val="000000"/>
                <w:sz w:val="16"/>
                <w:lang w:val="en-GB"/>
              </w:rPr>
            </w:pPr>
          </w:p>
        </w:tc>
        <w:tc>
          <w:tcPr>
            <w:tcW w:w="981" w:type="dxa"/>
            <w:vAlign w:val="bottom"/>
          </w:tcPr>
          <w:p w:rsidRPr="009C48DA" w:rsidR="00661519" w:rsidP="00661519" w:rsidRDefault="00661519" w14:paraId="53ADC274"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4C09B42E"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855" w:type="dxa"/>
            <w:vAlign w:val="bottom"/>
          </w:tcPr>
          <w:p w:rsidRPr="009C48DA" w:rsidR="00661519" w:rsidP="00661519" w:rsidRDefault="00661519" w14:paraId="2B5232F6"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0B79D093"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855" w:type="dxa"/>
            <w:vAlign w:val="bottom"/>
          </w:tcPr>
          <w:p w:rsidRPr="009C48DA" w:rsidR="00661519" w:rsidP="00661519" w:rsidRDefault="00661519" w14:paraId="5B435CA2"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4245ACC3"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77" w:type="dxa"/>
            <w:vAlign w:val="bottom"/>
          </w:tcPr>
          <w:p w:rsidRPr="009C48DA" w:rsidR="00661519" w:rsidP="00661519" w:rsidRDefault="00661519" w14:paraId="06017CA0" w14:textId="77777777">
            <w:pPr>
              <w:jc w:val="right"/>
              <w:textAlignment w:val="baseline"/>
              <w:rPr>
                <w:rFonts w:eastAsia="Times New Roman"/>
                <w:b/>
                <w:color w:val="000000"/>
                <w:sz w:val="16"/>
                <w:lang w:val="en-GB"/>
              </w:rPr>
            </w:pPr>
            <w:r w:rsidRPr="009C48DA">
              <w:rPr>
                <w:rFonts w:eastAsia="Times New Roman"/>
                <w:b/>
                <w:color w:val="000000"/>
                <w:sz w:val="16"/>
                <w:lang w:val="en-GB"/>
              </w:rPr>
              <w:t>Unaudited</w:t>
            </w:r>
          </w:p>
          <w:p w:rsidRPr="009C48DA" w:rsidR="00661519" w:rsidP="00661519" w:rsidRDefault="00661519" w14:paraId="0216BA0E"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3CEC59D7"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077" w:type="dxa"/>
            <w:vAlign w:val="bottom"/>
          </w:tcPr>
          <w:p w:rsidRPr="009C48DA" w:rsidR="00661519" w:rsidP="00661519" w:rsidRDefault="00661519" w14:paraId="523F7422"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675723D3"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5EA05051" w14:textId="77777777">
        <w:tc>
          <w:tcPr>
            <w:tcW w:w="4395" w:type="dxa"/>
            <w:vAlign w:val="center"/>
          </w:tcPr>
          <w:p w:rsidRPr="009C48DA" w:rsidR="00661519" w:rsidP="00661519" w:rsidRDefault="00661519" w14:paraId="2E356E73" w14:textId="77777777">
            <w:pPr>
              <w:textAlignment w:val="baseline"/>
              <w:rPr>
                <w:rFonts w:eastAsia="Times New Roman"/>
                <w:color w:val="000000"/>
                <w:sz w:val="16"/>
                <w:lang w:val="en-GB"/>
              </w:rPr>
            </w:pPr>
            <w:r w:rsidRPr="009C48DA">
              <w:rPr>
                <w:rFonts w:eastAsia="Times New Roman"/>
                <w:color w:val="000000"/>
                <w:sz w:val="16"/>
                <w:lang w:val="en-GB"/>
              </w:rPr>
              <w:t>Ineffective portion recognised in the Income Statement</w:t>
            </w:r>
          </w:p>
        </w:tc>
        <w:tc>
          <w:tcPr>
            <w:tcW w:w="981" w:type="dxa"/>
            <w:vAlign w:val="center"/>
          </w:tcPr>
          <w:p w:rsidRPr="009C48DA" w:rsidR="00661519" w:rsidP="00661519" w:rsidRDefault="00661519" w14:paraId="52DAF77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855" w:type="dxa"/>
            <w:vAlign w:val="center"/>
          </w:tcPr>
          <w:p w:rsidRPr="009C48DA" w:rsidR="00661519" w:rsidP="00661519" w:rsidRDefault="00661519" w14:paraId="355440DC"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855" w:type="dxa"/>
            <w:vAlign w:val="center"/>
          </w:tcPr>
          <w:p w:rsidRPr="009C48DA" w:rsidR="00661519" w:rsidP="00661519" w:rsidRDefault="00661519" w14:paraId="7C490D5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077" w:type="dxa"/>
          </w:tcPr>
          <w:p w:rsidRPr="009C48DA" w:rsidR="00661519" w:rsidP="00661519" w:rsidRDefault="00661519" w14:paraId="19919F25"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077" w:type="dxa"/>
            <w:vAlign w:val="center"/>
          </w:tcPr>
          <w:p w:rsidRPr="009C48DA" w:rsidR="00661519" w:rsidP="00661519" w:rsidRDefault="00661519" w14:paraId="02930E82"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3257D48B" w14:textId="77777777">
        <w:tc>
          <w:tcPr>
            <w:tcW w:w="4395" w:type="dxa"/>
            <w:vAlign w:val="center"/>
          </w:tcPr>
          <w:p w:rsidRPr="009C48DA" w:rsidR="00661519" w:rsidP="00661519" w:rsidRDefault="00661519" w14:paraId="47360B05" w14:textId="77777777">
            <w:pPr>
              <w:textAlignment w:val="baseline"/>
              <w:rPr>
                <w:rFonts w:eastAsia="Times New Roman"/>
                <w:color w:val="000000"/>
                <w:sz w:val="16"/>
                <w:lang w:val="en-GB"/>
              </w:rPr>
            </w:pPr>
            <w:r w:rsidRPr="009C48DA">
              <w:rPr>
                <w:rFonts w:eastAsia="Times New Roman"/>
                <w:color w:val="000000"/>
                <w:sz w:val="16"/>
                <w:lang w:val="en-GB"/>
              </w:rPr>
              <w:t xml:space="preserve">Effective portion recognised in Other </w:t>
            </w:r>
          </w:p>
          <w:p w:rsidRPr="009C48DA" w:rsidR="00661519" w:rsidP="00661519" w:rsidRDefault="00661519" w14:paraId="7F519641" w14:textId="77777777">
            <w:pPr>
              <w:textAlignment w:val="baseline"/>
              <w:rPr>
                <w:rFonts w:eastAsia="Times New Roman"/>
                <w:color w:val="000000"/>
                <w:sz w:val="16"/>
                <w:lang w:val="en-GB"/>
              </w:rPr>
            </w:pPr>
            <w:r w:rsidRPr="009C48DA">
              <w:rPr>
                <w:rFonts w:eastAsia="Times New Roman"/>
                <w:color w:val="000000"/>
                <w:sz w:val="16"/>
                <w:lang w:val="en-GB"/>
              </w:rPr>
              <w:t>Comprehensive Income</w:t>
            </w:r>
          </w:p>
        </w:tc>
        <w:tc>
          <w:tcPr>
            <w:tcW w:w="981" w:type="dxa"/>
            <w:vAlign w:val="center"/>
          </w:tcPr>
          <w:p w:rsidRPr="009C48DA" w:rsidR="00661519" w:rsidP="00661519" w:rsidRDefault="00661519" w14:paraId="77FE3AD7" w14:textId="77777777">
            <w:pPr>
              <w:jc w:val="right"/>
              <w:textAlignment w:val="baseline"/>
              <w:rPr>
                <w:rFonts w:eastAsia="Times New Roman"/>
                <w:color w:val="000000"/>
                <w:sz w:val="16"/>
                <w:lang w:val="en-GB"/>
              </w:rPr>
            </w:pPr>
            <w:r w:rsidRPr="009C48DA">
              <w:rPr>
                <w:rFonts w:eastAsia="Times New Roman"/>
                <w:color w:val="000000"/>
                <w:sz w:val="16"/>
                <w:lang w:val="en-GB"/>
              </w:rPr>
              <w:t>(225)</w:t>
            </w:r>
          </w:p>
        </w:tc>
        <w:tc>
          <w:tcPr>
            <w:tcW w:w="855" w:type="dxa"/>
            <w:vAlign w:val="center"/>
          </w:tcPr>
          <w:p w:rsidRPr="009C48DA" w:rsidR="00661519" w:rsidP="00661519" w:rsidRDefault="00661519" w14:paraId="6F24346D" w14:textId="77777777">
            <w:pPr>
              <w:jc w:val="right"/>
              <w:textAlignment w:val="baseline"/>
              <w:rPr>
                <w:rFonts w:eastAsia="Times New Roman"/>
                <w:color w:val="000000"/>
                <w:sz w:val="16"/>
                <w:lang w:val="en-GB"/>
              </w:rPr>
            </w:pPr>
            <w:r w:rsidRPr="009C48DA">
              <w:rPr>
                <w:rFonts w:eastAsia="Times New Roman"/>
                <w:color w:val="000000"/>
                <w:sz w:val="16"/>
                <w:lang w:val="en-GB"/>
              </w:rPr>
              <w:t>4,025</w:t>
            </w:r>
          </w:p>
        </w:tc>
        <w:tc>
          <w:tcPr>
            <w:tcW w:w="855" w:type="dxa"/>
            <w:vAlign w:val="center"/>
          </w:tcPr>
          <w:p w:rsidRPr="009C48DA" w:rsidR="00661519" w:rsidP="00661519" w:rsidRDefault="00661519" w14:paraId="5AFC3035" w14:textId="77777777">
            <w:pPr>
              <w:jc w:val="right"/>
              <w:textAlignment w:val="baseline"/>
              <w:rPr>
                <w:rFonts w:eastAsia="Times New Roman"/>
                <w:color w:val="000000"/>
                <w:sz w:val="16"/>
                <w:lang w:val="en-GB"/>
              </w:rPr>
            </w:pPr>
            <w:r w:rsidRPr="009C48DA">
              <w:rPr>
                <w:rFonts w:eastAsia="Times New Roman"/>
                <w:color w:val="000000"/>
                <w:sz w:val="16"/>
                <w:lang w:val="en-GB"/>
              </w:rPr>
              <w:t>(4,859)</w:t>
            </w:r>
          </w:p>
        </w:tc>
        <w:tc>
          <w:tcPr>
            <w:tcW w:w="1077" w:type="dxa"/>
            <w:vAlign w:val="center"/>
          </w:tcPr>
          <w:p w:rsidRPr="009C48DA" w:rsidR="00661519" w:rsidP="00661519" w:rsidRDefault="00661519" w14:paraId="17D24FC7" w14:textId="77777777">
            <w:pPr>
              <w:jc w:val="right"/>
              <w:textAlignment w:val="baseline"/>
              <w:rPr>
                <w:rFonts w:eastAsia="Times New Roman"/>
                <w:color w:val="000000"/>
                <w:sz w:val="16"/>
                <w:lang w:val="en-GB"/>
              </w:rPr>
            </w:pPr>
            <w:r w:rsidRPr="009C48DA">
              <w:rPr>
                <w:rFonts w:eastAsia="Times New Roman"/>
                <w:color w:val="000000"/>
                <w:sz w:val="16"/>
                <w:lang w:val="en-GB"/>
              </w:rPr>
              <w:t>(5,514)</w:t>
            </w:r>
          </w:p>
        </w:tc>
        <w:tc>
          <w:tcPr>
            <w:tcW w:w="1077" w:type="dxa"/>
            <w:vAlign w:val="center"/>
          </w:tcPr>
          <w:p w:rsidRPr="009C48DA" w:rsidR="00661519" w:rsidP="00661519" w:rsidRDefault="00661519" w14:paraId="7A4B35B2" w14:textId="77777777">
            <w:pPr>
              <w:jc w:val="right"/>
              <w:textAlignment w:val="baseline"/>
              <w:rPr>
                <w:rFonts w:eastAsia="Times New Roman"/>
                <w:color w:val="000000"/>
                <w:sz w:val="16"/>
                <w:lang w:val="en-GB"/>
              </w:rPr>
            </w:pPr>
            <w:r w:rsidRPr="009C48DA">
              <w:rPr>
                <w:rFonts w:eastAsia="Times New Roman"/>
                <w:color w:val="000000"/>
                <w:sz w:val="16"/>
                <w:lang w:val="en-GB"/>
              </w:rPr>
              <w:t>8,961</w:t>
            </w:r>
          </w:p>
        </w:tc>
      </w:tr>
      <w:tr w:rsidRPr="009C48DA" w:rsidR="00661519" w:rsidTr="00661519" w14:paraId="7E3CF2F6" w14:textId="77777777">
        <w:tc>
          <w:tcPr>
            <w:tcW w:w="4395" w:type="dxa"/>
            <w:vAlign w:val="center"/>
          </w:tcPr>
          <w:p w:rsidRPr="009C48DA" w:rsidR="00661519" w:rsidP="00661519" w:rsidRDefault="00661519" w14:paraId="6E819B1B" w14:textId="77777777">
            <w:pPr>
              <w:textAlignment w:val="baseline"/>
              <w:rPr>
                <w:rFonts w:eastAsia="Times New Roman"/>
                <w:color w:val="000000"/>
                <w:sz w:val="16"/>
                <w:lang w:val="en-GB"/>
              </w:rPr>
            </w:pPr>
            <w:r w:rsidRPr="009C48DA">
              <w:rPr>
                <w:rFonts w:eastAsia="Times New Roman"/>
                <w:color w:val="000000"/>
                <w:sz w:val="16"/>
                <w:lang w:val="en-GB"/>
              </w:rPr>
              <w:t xml:space="preserve">Released to the Income Statement on settlement of </w:t>
            </w:r>
            <w:r w:rsidRPr="009C48DA">
              <w:rPr>
                <w:rFonts w:eastAsia="Times New Roman"/>
                <w:color w:val="000000"/>
                <w:sz w:val="16"/>
                <w:lang w:val="en-GB"/>
              </w:rPr>
              <w:br/>
              <w:t>hedges</w:t>
            </w:r>
          </w:p>
        </w:tc>
        <w:tc>
          <w:tcPr>
            <w:tcW w:w="981" w:type="dxa"/>
            <w:vAlign w:val="center"/>
          </w:tcPr>
          <w:p w:rsidRPr="009C48DA" w:rsidR="00661519" w:rsidP="00661519" w:rsidRDefault="00661519" w14:paraId="7D284700" w14:textId="77777777">
            <w:pPr>
              <w:jc w:val="right"/>
              <w:textAlignment w:val="baseline"/>
              <w:rPr>
                <w:rFonts w:eastAsia="Times New Roman"/>
                <w:color w:val="000000"/>
                <w:sz w:val="16"/>
                <w:lang w:val="en-GB"/>
              </w:rPr>
            </w:pPr>
            <w:r w:rsidRPr="009C48DA">
              <w:rPr>
                <w:rFonts w:eastAsia="Times New Roman"/>
                <w:color w:val="000000"/>
                <w:sz w:val="16"/>
                <w:lang w:val="en-GB"/>
              </w:rPr>
              <w:t>3,001</w:t>
            </w:r>
          </w:p>
        </w:tc>
        <w:tc>
          <w:tcPr>
            <w:tcW w:w="855" w:type="dxa"/>
            <w:vAlign w:val="center"/>
          </w:tcPr>
          <w:p w:rsidRPr="009C48DA" w:rsidR="00661519" w:rsidP="00661519" w:rsidRDefault="00661519" w14:paraId="0D38D64C" w14:textId="77777777">
            <w:pPr>
              <w:jc w:val="right"/>
              <w:textAlignment w:val="baseline"/>
              <w:rPr>
                <w:rFonts w:eastAsia="Times New Roman"/>
                <w:color w:val="000000"/>
                <w:sz w:val="16"/>
                <w:lang w:val="en-GB"/>
              </w:rPr>
            </w:pPr>
            <w:r w:rsidRPr="009C48DA">
              <w:rPr>
                <w:rFonts w:eastAsia="Times New Roman"/>
                <w:color w:val="000000"/>
                <w:sz w:val="16"/>
                <w:lang w:val="en-GB"/>
              </w:rPr>
              <w:t>3,712</w:t>
            </w:r>
          </w:p>
        </w:tc>
        <w:tc>
          <w:tcPr>
            <w:tcW w:w="855" w:type="dxa"/>
            <w:vAlign w:val="center"/>
          </w:tcPr>
          <w:p w:rsidRPr="009C48DA" w:rsidR="00661519" w:rsidP="00661519" w:rsidRDefault="00661519" w14:paraId="5881C87F" w14:textId="77777777">
            <w:pPr>
              <w:jc w:val="right"/>
              <w:textAlignment w:val="baseline"/>
              <w:rPr>
                <w:rFonts w:eastAsia="Times New Roman"/>
                <w:color w:val="000000"/>
                <w:sz w:val="16"/>
                <w:lang w:val="en-GB"/>
              </w:rPr>
            </w:pPr>
            <w:r w:rsidRPr="009C48DA">
              <w:rPr>
                <w:rFonts w:eastAsia="Times New Roman"/>
                <w:color w:val="000000"/>
                <w:sz w:val="16"/>
                <w:lang w:val="en-GB"/>
              </w:rPr>
              <w:t>(1,379)</w:t>
            </w:r>
          </w:p>
        </w:tc>
        <w:tc>
          <w:tcPr>
            <w:tcW w:w="1077" w:type="dxa"/>
            <w:vAlign w:val="center"/>
          </w:tcPr>
          <w:p w:rsidRPr="009C48DA" w:rsidR="00661519" w:rsidP="00661519" w:rsidRDefault="00661519" w14:paraId="05F59465" w14:textId="77777777">
            <w:pPr>
              <w:jc w:val="right"/>
              <w:textAlignment w:val="baseline"/>
              <w:rPr>
                <w:rFonts w:eastAsia="Times New Roman"/>
                <w:color w:val="000000"/>
                <w:sz w:val="16"/>
                <w:lang w:val="en-GB"/>
              </w:rPr>
            </w:pPr>
            <w:r w:rsidRPr="009C48DA">
              <w:rPr>
                <w:rFonts w:eastAsia="Times New Roman"/>
                <w:color w:val="000000"/>
                <w:sz w:val="16"/>
                <w:lang w:val="en-GB"/>
              </w:rPr>
              <w:t>(897)</w:t>
            </w:r>
          </w:p>
        </w:tc>
        <w:tc>
          <w:tcPr>
            <w:tcW w:w="1077" w:type="dxa"/>
            <w:vAlign w:val="center"/>
          </w:tcPr>
          <w:p w:rsidRPr="009C48DA" w:rsidR="00661519" w:rsidP="00661519" w:rsidRDefault="00661519" w14:paraId="394A9B84" w14:textId="77777777">
            <w:pPr>
              <w:jc w:val="right"/>
              <w:textAlignment w:val="baseline"/>
              <w:rPr>
                <w:rFonts w:eastAsia="Times New Roman"/>
                <w:color w:val="000000"/>
                <w:sz w:val="16"/>
                <w:lang w:val="en-GB"/>
              </w:rPr>
            </w:pPr>
            <w:r w:rsidRPr="009C48DA">
              <w:rPr>
                <w:rFonts w:eastAsia="Times New Roman"/>
                <w:color w:val="000000"/>
                <w:sz w:val="16"/>
                <w:lang w:val="en-GB"/>
              </w:rPr>
              <w:t>1,110</w:t>
            </w:r>
          </w:p>
        </w:tc>
      </w:tr>
    </w:tbl>
    <w:p w:rsidRPr="009C48DA" w:rsidR="00661519" w:rsidP="00661519" w:rsidRDefault="00661519" w14:paraId="0341C9AC" w14:textId="77777777">
      <w:pPr>
        <w:ind w:right="74"/>
        <w:jc w:val="both"/>
        <w:textAlignment w:val="baseline"/>
        <w:rPr>
          <w:rFonts w:eastAsia="Times New Roman" w:cs="Times New Roman"/>
          <w:color w:val="000000"/>
          <w:sz w:val="16"/>
          <w:szCs w:val="22"/>
          <w:lang w:val="en-GB"/>
        </w:rPr>
      </w:pPr>
    </w:p>
    <w:p w:rsidRPr="009C48DA" w:rsidR="00661519" w:rsidP="00661519" w:rsidRDefault="00661519" w14:paraId="0DE27A2B" w14:textId="77777777">
      <w:pPr>
        <w:ind w:right="74"/>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Hedge ineffectiveness could occur if the amount of hedging is more than the amount of the EUR denominated income and timing </w:t>
      </w:r>
      <w:r w:rsidRPr="009C48DA">
        <w:rPr>
          <w:rFonts w:eastAsia="Times New Roman" w:cs="Times New Roman"/>
          <w:color w:val="000000"/>
          <w:sz w:val="16"/>
          <w:szCs w:val="22"/>
          <w:lang w:val="en-GB"/>
        </w:rPr>
        <w:br/>
        <w:t>differences between receipt of the income and settlement of the hedge.</w:t>
      </w:r>
    </w:p>
    <w:p w:rsidRPr="009C48DA" w:rsidR="00661519" w:rsidP="00661519" w:rsidRDefault="00661519" w14:paraId="44757D51" w14:textId="77777777">
      <w:pPr>
        <w:ind w:right="74"/>
        <w:jc w:val="both"/>
        <w:textAlignment w:val="baseline"/>
        <w:rPr>
          <w:rFonts w:eastAsia="Times New Roman" w:cs="Times New Roman"/>
          <w:color w:val="000000"/>
          <w:sz w:val="16"/>
          <w:szCs w:val="22"/>
          <w:lang w:val="en-GB"/>
        </w:rPr>
      </w:pPr>
    </w:p>
    <w:p w:rsidRPr="009C48DA" w:rsidR="00661519" w:rsidP="00661519" w:rsidRDefault="00661519" w14:paraId="6A557805" w14:textId="77777777">
      <w:pPr>
        <w:ind w:right="74"/>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Group’s primary exposure to assets and liabilities in foreign currencies is to investments in funds and carried interest receivable, </w:t>
      </w:r>
      <w:r w:rsidRPr="009C48DA">
        <w:rPr>
          <w:rFonts w:eastAsia="Times New Roman" w:cs="Times New Roman"/>
          <w:color w:val="000000"/>
          <w:sz w:val="16"/>
          <w:szCs w:val="22"/>
          <w:lang w:val="en-GB"/>
        </w:rPr>
        <w:br/>
        <w:t xml:space="preserve">although Group borrowings in EUR provide a natural hedge. </w:t>
      </w:r>
    </w:p>
    <w:p w:rsidRPr="009C48DA" w:rsidR="00661519" w:rsidP="00661519" w:rsidRDefault="00661519" w14:paraId="6BEA51B9" w14:textId="77777777">
      <w:pPr>
        <w:ind w:right="74"/>
        <w:jc w:val="both"/>
        <w:textAlignment w:val="baseline"/>
        <w:rPr>
          <w:rFonts w:eastAsia="Times New Roman" w:cs="Times New Roman"/>
          <w:color w:val="000000"/>
          <w:sz w:val="16"/>
          <w:szCs w:val="22"/>
          <w:lang w:val="en-GB"/>
        </w:rPr>
      </w:pPr>
    </w:p>
    <w:p w:rsidRPr="009C48DA" w:rsidR="00661519" w:rsidP="00661519" w:rsidRDefault="00661519" w14:paraId="174E145B" w14:textId="77777777">
      <w:pPr>
        <w:ind w:right="74"/>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Group’s exposure to EUR investments and borrowings at each period end date is summarised below, along with a sensitivity of the impact of a 5% change in the FX rate. This analysis excludes the CLO assets, which are attributable to third party investors. </w:t>
      </w:r>
    </w:p>
    <w:p w:rsidRPr="009C48DA" w:rsidR="00661519" w:rsidP="00661519" w:rsidRDefault="00661519" w14:paraId="296F9B23" w14:textId="77777777">
      <w:pPr>
        <w:ind w:right="74"/>
        <w:jc w:val="both"/>
        <w:textAlignment w:val="baseline"/>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22"/>
        <w:gridCol w:w="854"/>
        <w:gridCol w:w="855"/>
        <w:gridCol w:w="855"/>
        <w:gridCol w:w="1077"/>
        <w:gridCol w:w="1077"/>
      </w:tblGrid>
      <w:tr w:rsidRPr="009C48DA" w:rsidR="00661519" w:rsidTr="00661519" w14:paraId="447AB917" w14:textId="77777777">
        <w:tc>
          <w:tcPr>
            <w:tcW w:w="4522" w:type="dxa"/>
            <w:vAlign w:val="bottom"/>
          </w:tcPr>
          <w:p w:rsidRPr="009C48DA" w:rsidR="00661519" w:rsidP="00661519" w:rsidRDefault="00661519" w14:paraId="399F4A68" w14:textId="77777777">
            <w:pPr>
              <w:jc w:val="both"/>
              <w:textAlignment w:val="baseline"/>
              <w:rPr>
                <w:rFonts w:eastAsia="Times New Roman"/>
                <w:b/>
                <w:color w:val="000000"/>
                <w:sz w:val="16"/>
                <w:szCs w:val="16"/>
                <w:lang w:val="en-GB"/>
              </w:rPr>
            </w:pPr>
            <w:r w:rsidRPr="009C48DA">
              <w:rPr>
                <w:rFonts w:eastAsia="Times New Roman"/>
                <w:color w:val="000000"/>
                <w:sz w:val="16"/>
                <w:lang w:val="en-GB"/>
              </w:rPr>
              <w:br w:type="page"/>
            </w:r>
          </w:p>
        </w:tc>
        <w:tc>
          <w:tcPr>
            <w:tcW w:w="2564" w:type="dxa"/>
            <w:gridSpan w:val="3"/>
            <w:vAlign w:val="bottom"/>
          </w:tcPr>
          <w:p w:rsidRPr="009C48DA" w:rsidR="00661519" w:rsidP="00661519" w:rsidRDefault="00661519" w14:paraId="2EF65691"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Year ended 31 December</w:t>
            </w:r>
          </w:p>
        </w:tc>
        <w:tc>
          <w:tcPr>
            <w:tcW w:w="2154" w:type="dxa"/>
            <w:gridSpan w:val="2"/>
          </w:tcPr>
          <w:p w:rsidRPr="009C48DA" w:rsidR="00661519" w:rsidP="00661519" w:rsidRDefault="00661519" w14:paraId="3B63C9E6"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Three month period ended</w:t>
            </w:r>
          </w:p>
          <w:p w:rsidRPr="009C48DA" w:rsidR="00661519" w:rsidP="00661519" w:rsidRDefault="00661519" w14:paraId="7E45527E"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1FF324C5" w14:textId="77777777">
        <w:tc>
          <w:tcPr>
            <w:tcW w:w="4522" w:type="dxa"/>
            <w:vAlign w:val="bottom"/>
          </w:tcPr>
          <w:p w:rsidRPr="009C48DA" w:rsidR="00661519" w:rsidP="00661519" w:rsidRDefault="00661519" w14:paraId="331B7103" w14:textId="77777777">
            <w:pPr>
              <w:jc w:val="both"/>
              <w:textAlignment w:val="baseline"/>
              <w:rPr>
                <w:rFonts w:eastAsia="Times New Roman"/>
                <w:b/>
                <w:color w:val="000000"/>
                <w:sz w:val="16"/>
                <w:lang w:val="en-GB"/>
              </w:rPr>
            </w:pPr>
          </w:p>
        </w:tc>
        <w:tc>
          <w:tcPr>
            <w:tcW w:w="854" w:type="dxa"/>
            <w:vAlign w:val="bottom"/>
          </w:tcPr>
          <w:p w:rsidRPr="009C48DA" w:rsidR="00661519" w:rsidP="00661519" w:rsidRDefault="00661519" w14:paraId="3ECB48C5" w14:textId="77777777">
            <w:pPr>
              <w:jc w:val="center"/>
              <w:textAlignment w:val="baseline"/>
              <w:rPr>
                <w:rFonts w:eastAsia="Times New Roman"/>
                <w:b/>
                <w:color w:val="000000"/>
                <w:sz w:val="16"/>
                <w:lang w:val="en-GB"/>
              </w:rPr>
            </w:pPr>
          </w:p>
        </w:tc>
        <w:tc>
          <w:tcPr>
            <w:tcW w:w="855" w:type="dxa"/>
            <w:vAlign w:val="bottom"/>
          </w:tcPr>
          <w:p w:rsidRPr="009C48DA" w:rsidR="00661519" w:rsidP="00661519" w:rsidRDefault="00661519" w14:paraId="17B38EC0" w14:textId="77777777">
            <w:pPr>
              <w:jc w:val="center"/>
              <w:textAlignment w:val="baseline"/>
              <w:rPr>
                <w:rFonts w:eastAsia="Times New Roman"/>
                <w:b/>
                <w:color w:val="000000"/>
                <w:sz w:val="16"/>
                <w:lang w:val="en-GB"/>
              </w:rPr>
            </w:pPr>
          </w:p>
        </w:tc>
        <w:tc>
          <w:tcPr>
            <w:tcW w:w="855" w:type="dxa"/>
          </w:tcPr>
          <w:p w:rsidRPr="009C48DA" w:rsidR="00661519" w:rsidP="00661519" w:rsidRDefault="00661519" w14:paraId="5E7825C7" w14:textId="77777777">
            <w:pPr>
              <w:jc w:val="center"/>
              <w:textAlignment w:val="baseline"/>
              <w:rPr>
                <w:rFonts w:eastAsia="Times New Roman"/>
                <w:b/>
                <w:color w:val="000000"/>
                <w:sz w:val="16"/>
                <w:lang w:val="en-GB"/>
              </w:rPr>
            </w:pPr>
          </w:p>
        </w:tc>
        <w:tc>
          <w:tcPr>
            <w:tcW w:w="1077" w:type="dxa"/>
            <w:vAlign w:val="bottom"/>
          </w:tcPr>
          <w:p w:rsidRPr="009C48DA" w:rsidR="00661519" w:rsidP="00661519" w:rsidRDefault="00661519" w14:paraId="424E2ED1" w14:textId="77777777">
            <w:pPr>
              <w:jc w:val="center"/>
              <w:textAlignment w:val="baseline"/>
              <w:rPr>
                <w:rFonts w:eastAsia="Times New Roman"/>
                <w:b/>
                <w:color w:val="000000"/>
                <w:sz w:val="16"/>
                <w:lang w:val="en-GB"/>
              </w:rPr>
            </w:pPr>
            <w:r w:rsidRPr="009C48DA">
              <w:rPr>
                <w:rFonts w:eastAsia="Times New Roman"/>
                <w:b/>
                <w:color w:val="000000"/>
                <w:sz w:val="16"/>
                <w:lang w:val="en-GB"/>
              </w:rPr>
              <w:t xml:space="preserve">   Unaudited</w:t>
            </w:r>
          </w:p>
        </w:tc>
        <w:tc>
          <w:tcPr>
            <w:tcW w:w="1077" w:type="dxa"/>
            <w:vAlign w:val="bottom"/>
          </w:tcPr>
          <w:p w:rsidRPr="009C48DA" w:rsidR="00661519" w:rsidP="00661519" w:rsidRDefault="00661519" w14:paraId="4C66D481" w14:textId="77777777">
            <w:pPr>
              <w:jc w:val="center"/>
              <w:textAlignment w:val="baseline"/>
              <w:rPr>
                <w:rFonts w:eastAsia="Times New Roman"/>
                <w:b/>
                <w:color w:val="000000"/>
                <w:sz w:val="16"/>
                <w:lang w:val="en-GB"/>
              </w:rPr>
            </w:pPr>
          </w:p>
        </w:tc>
      </w:tr>
      <w:tr w:rsidRPr="009C48DA" w:rsidR="00661519" w:rsidTr="00661519" w14:paraId="12DEA843" w14:textId="77777777">
        <w:tc>
          <w:tcPr>
            <w:tcW w:w="4522" w:type="dxa"/>
            <w:vAlign w:val="bottom"/>
          </w:tcPr>
          <w:p w:rsidRPr="009C48DA" w:rsidR="00661519" w:rsidP="00661519" w:rsidRDefault="00661519" w14:paraId="4DD64D1E" w14:textId="77777777">
            <w:pPr>
              <w:jc w:val="both"/>
              <w:textAlignment w:val="baseline"/>
              <w:rPr>
                <w:rFonts w:eastAsia="Times New Roman"/>
                <w:b/>
                <w:color w:val="000000"/>
                <w:sz w:val="16"/>
                <w:lang w:val="en-GB"/>
              </w:rPr>
            </w:pPr>
          </w:p>
        </w:tc>
        <w:tc>
          <w:tcPr>
            <w:tcW w:w="854" w:type="dxa"/>
            <w:vAlign w:val="bottom"/>
          </w:tcPr>
          <w:p w:rsidRPr="009C48DA" w:rsidR="00661519" w:rsidP="00661519" w:rsidRDefault="00661519" w14:paraId="3159508A"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4A739367" w14:textId="77777777">
            <w:pPr>
              <w:jc w:val="right"/>
              <w:textAlignment w:val="baseline"/>
              <w:rPr>
                <w:rFonts w:eastAsia="Times New Roman"/>
                <w:b/>
                <w:color w:val="000000"/>
                <w:sz w:val="16"/>
                <w:lang w:val="en-GB"/>
              </w:rPr>
            </w:pPr>
            <w:r w:rsidRPr="009C48DA">
              <w:rPr>
                <w:rFonts w:eastAsia="Times New Roman"/>
                <w:b/>
                <w:color w:val="000000"/>
                <w:sz w:val="17"/>
                <w:lang w:val="en-GB"/>
              </w:rPr>
              <w:t>000</w:t>
            </w:r>
          </w:p>
        </w:tc>
        <w:tc>
          <w:tcPr>
            <w:tcW w:w="855" w:type="dxa"/>
            <w:vAlign w:val="bottom"/>
          </w:tcPr>
          <w:p w:rsidRPr="009C48DA" w:rsidR="00661519" w:rsidP="00661519" w:rsidRDefault="00661519" w14:paraId="4EEAA504"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1AC9790D" w14:textId="77777777">
            <w:pPr>
              <w:jc w:val="right"/>
              <w:textAlignment w:val="baseline"/>
              <w:rPr>
                <w:rFonts w:eastAsia="Times New Roman"/>
                <w:b/>
                <w:color w:val="000000"/>
                <w:sz w:val="16"/>
                <w:lang w:val="en-GB"/>
              </w:rPr>
            </w:pPr>
            <w:r w:rsidRPr="009C48DA">
              <w:rPr>
                <w:rFonts w:eastAsia="Times New Roman"/>
                <w:b/>
                <w:color w:val="000000"/>
                <w:sz w:val="17"/>
                <w:lang w:val="en-GB"/>
              </w:rPr>
              <w:t>000</w:t>
            </w:r>
          </w:p>
        </w:tc>
        <w:tc>
          <w:tcPr>
            <w:tcW w:w="855" w:type="dxa"/>
            <w:vAlign w:val="bottom"/>
          </w:tcPr>
          <w:p w:rsidRPr="009C48DA" w:rsidR="00661519" w:rsidP="00661519" w:rsidRDefault="00661519" w14:paraId="3E359F18"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2A253E7A" w14:textId="77777777">
            <w:pPr>
              <w:jc w:val="right"/>
              <w:textAlignment w:val="baseline"/>
              <w:rPr>
                <w:rFonts w:eastAsia="Times New Roman"/>
                <w:b/>
                <w:color w:val="000000"/>
                <w:sz w:val="16"/>
                <w:lang w:val="en-GB"/>
              </w:rPr>
            </w:pPr>
            <w:r w:rsidRPr="009C48DA">
              <w:rPr>
                <w:rFonts w:eastAsia="Times New Roman"/>
                <w:b/>
                <w:color w:val="000000"/>
                <w:sz w:val="17"/>
                <w:lang w:val="en-GB"/>
              </w:rPr>
              <w:t>000</w:t>
            </w:r>
          </w:p>
        </w:tc>
        <w:tc>
          <w:tcPr>
            <w:tcW w:w="1077" w:type="dxa"/>
            <w:vAlign w:val="bottom"/>
          </w:tcPr>
          <w:p w:rsidRPr="009C48DA" w:rsidR="00661519" w:rsidP="00661519" w:rsidRDefault="00661519" w14:paraId="71DA913B"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69026623" w14:textId="77777777">
            <w:pPr>
              <w:jc w:val="right"/>
              <w:textAlignment w:val="baseline"/>
              <w:rPr>
                <w:rFonts w:eastAsia="Times New Roman"/>
                <w:b/>
                <w:color w:val="000000"/>
                <w:sz w:val="16"/>
                <w:lang w:val="en-GB"/>
              </w:rPr>
            </w:pPr>
            <w:r w:rsidRPr="009C48DA">
              <w:rPr>
                <w:rFonts w:eastAsia="Times New Roman"/>
                <w:b/>
                <w:color w:val="000000"/>
                <w:sz w:val="17"/>
                <w:lang w:val="en-GB"/>
              </w:rPr>
              <w:t>000</w:t>
            </w:r>
          </w:p>
        </w:tc>
        <w:tc>
          <w:tcPr>
            <w:tcW w:w="1077" w:type="dxa"/>
            <w:vAlign w:val="bottom"/>
          </w:tcPr>
          <w:p w:rsidRPr="009C48DA" w:rsidR="00661519" w:rsidP="00661519" w:rsidRDefault="00661519" w14:paraId="1C154786"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7765AE5A" w14:textId="77777777">
            <w:pPr>
              <w:jc w:val="right"/>
              <w:textAlignment w:val="baseline"/>
              <w:rPr>
                <w:rFonts w:eastAsia="Times New Roman"/>
                <w:b/>
                <w:color w:val="000000"/>
                <w:sz w:val="16"/>
                <w:lang w:val="en-GB"/>
              </w:rPr>
            </w:pPr>
            <w:r w:rsidRPr="009C48DA">
              <w:rPr>
                <w:rFonts w:eastAsia="Times New Roman"/>
                <w:b/>
                <w:color w:val="000000"/>
                <w:sz w:val="17"/>
                <w:lang w:val="en-GB"/>
              </w:rPr>
              <w:t>000</w:t>
            </w:r>
          </w:p>
        </w:tc>
      </w:tr>
      <w:tr w:rsidRPr="009C48DA" w:rsidR="00661519" w:rsidTr="00661519" w14:paraId="796BD322" w14:textId="77777777">
        <w:tc>
          <w:tcPr>
            <w:tcW w:w="4522" w:type="dxa"/>
            <w:vAlign w:val="center"/>
          </w:tcPr>
          <w:p w:rsidRPr="009C48DA" w:rsidR="00661519" w:rsidP="00661519" w:rsidRDefault="00661519" w14:paraId="02E9C5AB" w14:textId="77777777">
            <w:pPr>
              <w:textAlignment w:val="baseline"/>
              <w:rPr>
                <w:rFonts w:eastAsia="Times New Roman"/>
                <w:color w:val="000000"/>
                <w:sz w:val="16"/>
                <w:lang w:val="en-GB"/>
              </w:rPr>
            </w:pPr>
          </w:p>
          <w:p w:rsidRPr="009C48DA" w:rsidR="00661519" w:rsidP="00661519" w:rsidRDefault="00661519" w14:paraId="5D50F4DB" w14:textId="77777777">
            <w:pPr>
              <w:textAlignment w:val="baseline"/>
              <w:rPr>
                <w:rFonts w:eastAsia="Times New Roman"/>
                <w:color w:val="000000"/>
                <w:sz w:val="16"/>
                <w:lang w:val="en-GB"/>
              </w:rPr>
            </w:pPr>
            <w:r w:rsidRPr="009C48DA">
              <w:rPr>
                <w:rFonts w:eastAsia="Times New Roman"/>
                <w:color w:val="000000"/>
                <w:sz w:val="16"/>
                <w:lang w:val="en-GB"/>
              </w:rPr>
              <w:t>EUR denominated investments (EUR)</w:t>
            </w:r>
          </w:p>
        </w:tc>
        <w:tc>
          <w:tcPr>
            <w:tcW w:w="854" w:type="dxa"/>
            <w:vAlign w:val="center"/>
          </w:tcPr>
          <w:p w:rsidRPr="009C48DA" w:rsidR="00661519" w:rsidP="00661519" w:rsidRDefault="00661519" w14:paraId="05CE5732" w14:textId="77777777">
            <w:pPr>
              <w:jc w:val="right"/>
              <w:textAlignment w:val="baseline"/>
              <w:rPr>
                <w:rFonts w:eastAsia="Times New Roman"/>
                <w:color w:val="000000"/>
                <w:sz w:val="16"/>
                <w:lang w:val="en-GB"/>
              </w:rPr>
            </w:pPr>
            <w:r w:rsidRPr="009C48DA">
              <w:rPr>
                <w:rFonts w:eastAsia="Times New Roman"/>
                <w:color w:val="000000"/>
                <w:sz w:val="16"/>
                <w:lang w:val="en-GB"/>
              </w:rPr>
              <w:t>251,305</w:t>
            </w:r>
          </w:p>
        </w:tc>
        <w:tc>
          <w:tcPr>
            <w:tcW w:w="855" w:type="dxa"/>
            <w:vAlign w:val="center"/>
          </w:tcPr>
          <w:p w:rsidRPr="009C48DA" w:rsidR="00661519" w:rsidP="00661519" w:rsidRDefault="00661519" w14:paraId="57F3D747" w14:textId="77777777">
            <w:pPr>
              <w:jc w:val="right"/>
              <w:textAlignment w:val="baseline"/>
              <w:rPr>
                <w:rFonts w:eastAsia="Times New Roman"/>
                <w:color w:val="000000"/>
                <w:sz w:val="16"/>
                <w:lang w:val="en-GB"/>
              </w:rPr>
            </w:pPr>
            <w:r w:rsidRPr="009C48DA">
              <w:rPr>
                <w:rFonts w:eastAsia="Times New Roman"/>
                <w:color w:val="000000"/>
                <w:sz w:val="16"/>
                <w:lang w:val="en-GB"/>
              </w:rPr>
              <w:t>241,320</w:t>
            </w:r>
          </w:p>
        </w:tc>
        <w:tc>
          <w:tcPr>
            <w:tcW w:w="855" w:type="dxa"/>
            <w:vAlign w:val="center"/>
          </w:tcPr>
          <w:p w:rsidRPr="009C48DA" w:rsidR="00661519" w:rsidP="00661519" w:rsidRDefault="00661519" w14:paraId="4096AEE3" w14:textId="77777777">
            <w:pPr>
              <w:jc w:val="right"/>
              <w:textAlignment w:val="baseline"/>
              <w:rPr>
                <w:rFonts w:eastAsia="Times New Roman"/>
                <w:color w:val="000000"/>
                <w:sz w:val="16"/>
                <w:lang w:val="en-GB"/>
              </w:rPr>
            </w:pPr>
            <w:r w:rsidRPr="009C48DA">
              <w:rPr>
                <w:rFonts w:eastAsia="Times New Roman"/>
                <w:color w:val="000000"/>
                <w:sz w:val="16"/>
                <w:lang w:val="en-GB"/>
              </w:rPr>
              <w:t>304,728</w:t>
            </w:r>
          </w:p>
        </w:tc>
        <w:tc>
          <w:tcPr>
            <w:tcW w:w="1077" w:type="dxa"/>
          </w:tcPr>
          <w:p w:rsidRPr="009C48DA" w:rsidR="00661519" w:rsidP="00661519" w:rsidRDefault="00661519" w14:paraId="6FC00A1C" w14:textId="77777777">
            <w:pPr>
              <w:jc w:val="right"/>
              <w:textAlignment w:val="baseline"/>
              <w:rPr>
                <w:rFonts w:eastAsia="Times New Roman"/>
                <w:color w:val="000000"/>
                <w:sz w:val="16"/>
                <w:lang w:val="en-GB"/>
              </w:rPr>
            </w:pPr>
            <w:r w:rsidRPr="009C48DA">
              <w:rPr>
                <w:rFonts w:eastAsia="Times New Roman"/>
                <w:color w:val="000000"/>
                <w:sz w:val="16"/>
                <w:lang w:val="en-GB"/>
              </w:rPr>
              <w:t>237,803</w:t>
            </w:r>
          </w:p>
        </w:tc>
        <w:tc>
          <w:tcPr>
            <w:tcW w:w="1077" w:type="dxa"/>
            <w:vAlign w:val="center"/>
          </w:tcPr>
          <w:p w:rsidRPr="009C48DA" w:rsidR="00661519" w:rsidP="00661519" w:rsidRDefault="00661519" w14:paraId="3550D799" w14:textId="77777777">
            <w:pPr>
              <w:jc w:val="right"/>
              <w:textAlignment w:val="baseline"/>
              <w:rPr>
                <w:rFonts w:eastAsia="Times New Roman"/>
                <w:color w:val="000000"/>
                <w:sz w:val="16"/>
                <w:lang w:val="en-GB"/>
              </w:rPr>
            </w:pPr>
            <w:r w:rsidRPr="009C48DA">
              <w:rPr>
                <w:rFonts w:eastAsia="Times New Roman"/>
                <w:color w:val="000000"/>
                <w:sz w:val="16"/>
                <w:lang w:val="en-GB"/>
              </w:rPr>
              <w:t>333,856</w:t>
            </w:r>
          </w:p>
        </w:tc>
      </w:tr>
      <w:tr w:rsidRPr="009C48DA" w:rsidR="00661519" w:rsidTr="00661519" w14:paraId="63906E2B" w14:textId="77777777">
        <w:tc>
          <w:tcPr>
            <w:tcW w:w="4522" w:type="dxa"/>
            <w:vAlign w:val="center"/>
          </w:tcPr>
          <w:p w:rsidRPr="009C48DA" w:rsidR="00661519" w:rsidP="00661519" w:rsidRDefault="00661519" w14:paraId="388FB54A" w14:textId="77777777">
            <w:pPr>
              <w:textAlignment w:val="baseline"/>
              <w:rPr>
                <w:rFonts w:eastAsia="Times New Roman"/>
                <w:color w:val="000000"/>
                <w:sz w:val="16"/>
                <w:lang w:val="en-GB"/>
              </w:rPr>
            </w:pPr>
            <w:r w:rsidRPr="009C48DA">
              <w:rPr>
                <w:rFonts w:eastAsia="Times New Roman"/>
                <w:color w:val="000000"/>
                <w:sz w:val="16"/>
                <w:lang w:val="en-GB"/>
              </w:rPr>
              <w:t>EUR denominated borrowings (EUR)</w:t>
            </w:r>
          </w:p>
        </w:tc>
        <w:tc>
          <w:tcPr>
            <w:tcW w:w="854" w:type="dxa"/>
            <w:vAlign w:val="center"/>
          </w:tcPr>
          <w:p w:rsidRPr="009C48DA" w:rsidR="00661519" w:rsidP="00661519" w:rsidRDefault="00661519" w14:paraId="7C2AAE1F" w14:textId="77777777">
            <w:pPr>
              <w:jc w:val="right"/>
              <w:textAlignment w:val="baseline"/>
              <w:rPr>
                <w:rFonts w:eastAsia="Times New Roman"/>
                <w:color w:val="000000"/>
                <w:sz w:val="16"/>
                <w:lang w:val="en-GB"/>
              </w:rPr>
            </w:pPr>
            <w:r w:rsidRPr="009C48DA">
              <w:rPr>
                <w:rFonts w:eastAsia="Times New Roman"/>
                <w:color w:val="000000"/>
                <w:sz w:val="16"/>
                <w:lang w:val="en-GB"/>
              </w:rPr>
              <w:t>(68,582)</w:t>
            </w:r>
          </w:p>
        </w:tc>
        <w:tc>
          <w:tcPr>
            <w:tcW w:w="855" w:type="dxa"/>
            <w:vAlign w:val="center"/>
          </w:tcPr>
          <w:p w:rsidRPr="009C48DA" w:rsidR="00661519" w:rsidP="00661519" w:rsidRDefault="00661519" w14:paraId="0C66DE17" w14:textId="77777777">
            <w:pPr>
              <w:jc w:val="right"/>
              <w:textAlignment w:val="baseline"/>
              <w:rPr>
                <w:rFonts w:eastAsia="Times New Roman"/>
                <w:color w:val="000000"/>
                <w:sz w:val="16"/>
                <w:lang w:val="en-GB"/>
              </w:rPr>
            </w:pPr>
            <w:r w:rsidRPr="009C48DA">
              <w:rPr>
                <w:rFonts w:eastAsia="Times New Roman"/>
                <w:color w:val="000000"/>
                <w:sz w:val="16"/>
                <w:lang w:val="en-GB"/>
              </w:rPr>
              <w:t>(33,592)</w:t>
            </w:r>
          </w:p>
        </w:tc>
        <w:tc>
          <w:tcPr>
            <w:tcW w:w="855" w:type="dxa"/>
            <w:vAlign w:val="center"/>
          </w:tcPr>
          <w:p w:rsidRPr="009C48DA" w:rsidR="00661519" w:rsidP="00661519" w:rsidRDefault="00661519" w14:paraId="6162D186" w14:textId="77777777">
            <w:pPr>
              <w:jc w:val="right"/>
              <w:textAlignment w:val="baseline"/>
              <w:rPr>
                <w:rFonts w:eastAsia="Times New Roman"/>
                <w:color w:val="000000"/>
                <w:sz w:val="16"/>
                <w:lang w:val="en-GB"/>
              </w:rPr>
            </w:pPr>
            <w:r w:rsidRPr="009C48DA">
              <w:rPr>
                <w:rFonts w:eastAsia="Times New Roman"/>
                <w:color w:val="000000"/>
                <w:sz w:val="16"/>
                <w:lang w:val="en-GB"/>
              </w:rPr>
              <w:t>(100,218)</w:t>
            </w:r>
          </w:p>
        </w:tc>
        <w:tc>
          <w:tcPr>
            <w:tcW w:w="1077" w:type="dxa"/>
            <w:vAlign w:val="center"/>
          </w:tcPr>
          <w:p w:rsidRPr="009C48DA" w:rsidR="00661519" w:rsidP="00661519" w:rsidRDefault="00661519" w14:paraId="270CF239" w14:textId="77777777">
            <w:pPr>
              <w:jc w:val="right"/>
              <w:textAlignment w:val="baseline"/>
              <w:rPr>
                <w:rFonts w:eastAsia="Times New Roman"/>
                <w:color w:val="000000"/>
                <w:sz w:val="16"/>
                <w:lang w:val="en-GB"/>
              </w:rPr>
            </w:pPr>
            <w:r w:rsidRPr="009C48DA">
              <w:rPr>
                <w:rFonts w:eastAsia="Times New Roman"/>
                <w:color w:val="000000"/>
                <w:sz w:val="16"/>
                <w:lang w:val="en-GB"/>
              </w:rPr>
              <w:t>(52,692)</w:t>
            </w:r>
          </w:p>
        </w:tc>
        <w:tc>
          <w:tcPr>
            <w:tcW w:w="1077" w:type="dxa"/>
            <w:vAlign w:val="center"/>
          </w:tcPr>
          <w:p w:rsidRPr="009C48DA" w:rsidR="00661519" w:rsidP="00661519" w:rsidRDefault="00661519" w14:paraId="36B547CE" w14:textId="77777777">
            <w:pPr>
              <w:jc w:val="right"/>
              <w:textAlignment w:val="baseline"/>
              <w:rPr>
                <w:rFonts w:eastAsia="Times New Roman"/>
                <w:color w:val="000000"/>
                <w:sz w:val="16"/>
                <w:lang w:val="en-GB"/>
              </w:rPr>
            </w:pPr>
            <w:r w:rsidRPr="009C48DA">
              <w:rPr>
                <w:rFonts w:eastAsia="Times New Roman"/>
                <w:color w:val="000000"/>
                <w:sz w:val="16"/>
                <w:lang w:val="en-GB"/>
              </w:rPr>
              <w:t>(90,897)</w:t>
            </w:r>
          </w:p>
        </w:tc>
      </w:tr>
      <w:tr w:rsidRPr="009C48DA" w:rsidR="00661519" w:rsidTr="00661519" w14:paraId="650CABFD" w14:textId="77777777">
        <w:trPr>
          <w:trHeight w:val="68"/>
        </w:trPr>
        <w:tc>
          <w:tcPr>
            <w:tcW w:w="4522" w:type="dxa"/>
            <w:vAlign w:val="center"/>
          </w:tcPr>
          <w:p w:rsidRPr="009C48DA" w:rsidR="00661519" w:rsidP="00661519" w:rsidRDefault="00661519" w14:paraId="36DF5AA3" w14:textId="77777777">
            <w:pPr>
              <w:textAlignment w:val="baseline"/>
              <w:rPr>
                <w:rFonts w:eastAsia="Times New Roman"/>
                <w:color w:val="000000"/>
                <w:sz w:val="16"/>
                <w:lang w:val="en-GB"/>
              </w:rPr>
            </w:pPr>
            <w:r w:rsidRPr="009C48DA">
              <w:rPr>
                <w:rFonts w:eastAsia="Times New Roman"/>
                <w:color w:val="000000"/>
                <w:sz w:val="16"/>
                <w:lang w:val="en-GB"/>
              </w:rPr>
              <w:t>Net (EUR)</w:t>
            </w:r>
          </w:p>
          <w:p w:rsidRPr="009C48DA" w:rsidR="00661519" w:rsidP="00661519" w:rsidRDefault="00661519" w14:paraId="31A4F216" w14:textId="77777777">
            <w:pPr>
              <w:textAlignment w:val="baseline"/>
              <w:rPr>
                <w:rFonts w:eastAsia="Times New Roman"/>
                <w:color w:val="000000"/>
                <w:sz w:val="16"/>
                <w:lang w:val="en-GB"/>
              </w:rPr>
            </w:pPr>
          </w:p>
        </w:tc>
        <w:tc>
          <w:tcPr>
            <w:tcW w:w="854" w:type="dxa"/>
            <w:vAlign w:val="center"/>
          </w:tcPr>
          <w:p w:rsidRPr="009C48DA" w:rsidR="00661519" w:rsidP="00661519" w:rsidRDefault="00661519" w14:paraId="1FE80BCA" w14:textId="77777777">
            <w:pPr>
              <w:jc w:val="right"/>
              <w:textAlignment w:val="baseline"/>
              <w:rPr>
                <w:rFonts w:eastAsia="Times New Roman"/>
                <w:color w:val="000000"/>
                <w:sz w:val="16"/>
                <w:lang w:val="en-GB"/>
              </w:rPr>
            </w:pPr>
            <w:r w:rsidRPr="009C48DA">
              <w:rPr>
                <w:rFonts w:eastAsia="Times New Roman"/>
                <w:color w:val="000000"/>
                <w:sz w:val="16"/>
                <w:lang w:val="en-GB"/>
              </w:rPr>
              <w:t>182,723</w:t>
            </w:r>
          </w:p>
        </w:tc>
        <w:tc>
          <w:tcPr>
            <w:tcW w:w="855" w:type="dxa"/>
            <w:vAlign w:val="center"/>
          </w:tcPr>
          <w:p w:rsidRPr="009C48DA" w:rsidR="00661519" w:rsidP="00661519" w:rsidRDefault="00661519" w14:paraId="2418F709" w14:textId="77777777">
            <w:pPr>
              <w:jc w:val="right"/>
              <w:textAlignment w:val="baseline"/>
              <w:rPr>
                <w:rFonts w:eastAsia="Times New Roman"/>
                <w:color w:val="000000"/>
                <w:sz w:val="16"/>
                <w:lang w:val="en-GB"/>
              </w:rPr>
            </w:pPr>
            <w:r w:rsidRPr="009C48DA">
              <w:rPr>
                <w:rFonts w:eastAsia="Times New Roman"/>
                <w:color w:val="000000"/>
                <w:sz w:val="16"/>
                <w:lang w:val="en-GB"/>
              </w:rPr>
              <w:t>207,728</w:t>
            </w:r>
          </w:p>
        </w:tc>
        <w:tc>
          <w:tcPr>
            <w:tcW w:w="855" w:type="dxa"/>
            <w:vAlign w:val="center"/>
          </w:tcPr>
          <w:p w:rsidRPr="009C48DA" w:rsidR="00661519" w:rsidP="00661519" w:rsidRDefault="00661519" w14:paraId="6CC9E604" w14:textId="77777777">
            <w:pPr>
              <w:jc w:val="right"/>
              <w:textAlignment w:val="baseline"/>
              <w:rPr>
                <w:rFonts w:eastAsia="Times New Roman"/>
                <w:color w:val="000000"/>
                <w:sz w:val="16"/>
                <w:lang w:val="en-GB"/>
              </w:rPr>
            </w:pPr>
            <w:r w:rsidRPr="009C48DA">
              <w:rPr>
                <w:rFonts w:eastAsia="Times New Roman"/>
                <w:color w:val="000000"/>
                <w:sz w:val="16"/>
                <w:lang w:val="en-GB"/>
              </w:rPr>
              <w:t>204,510</w:t>
            </w:r>
          </w:p>
        </w:tc>
        <w:tc>
          <w:tcPr>
            <w:tcW w:w="1077" w:type="dxa"/>
            <w:vAlign w:val="center"/>
          </w:tcPr>
          <w:p w:rsidRPr="009C48DA" w:rsidR="00661519" w:rsidP="00661519" w:rsidRDefault="00661519" w14:paraId="188A07D0" w14:textId="77777777">
            <w:pPr>
              <w:jc w:val="right"/>
              <w:textAlignment w:val="baseline"/>
              <w:rPr>
                <w:rFonts w:eastAsia="Times New Roman"/>
                <w:color w:val="000000"/>
                <w:sz w:val="16"/>
                <w:lang w:val="en-GB"/>
              </w:rPr>
            </w:pPr>
            <w:r w:rsidRPr="009C48DA">
              <w:rPr>
                <w:rFonts w:eastAsia="Times New Roman"/>
                <w:color w:val="000000"/>
                <w:sz w:val="16"/>
                <w:lang w:val="en-GB"/>
              </w:rPr>
              <w:t>185,111</w:t>
            </w:r>
          </w:p>
        </w:tc>
        <w:tc>
          <w:tcPr>
            <w:tcW w:w="1077" w:type="dxa"/>
            <w:vAlign w:val="center"/>
          </w:tcPr>
          <w:p w:rsidRPr="009C48DA" w:rsidR="00661519" w:rsidP="00661519" w:rsidRDefault="00661519" w14:paraId="025A80D2" w14:textId="77777777">
            <w:pPr>
              <w:jc w:val="right"/>
              <w:textAlignment w:val="baseline"/>
              <w:rPr>
                <w:rFonts w:eastAsia="Times New Roman"/>
                <w:color w:val="000000"/>
                <w:sz w:val="16"/>
                <w:lang w:val="en-GB"/>
              </w:rPr>
            </w:pPr>
            <w:r w:rsidRPr="009C48DA">
              <w:rPr>
                <w:rFonts w:eastAsia="Times New Roman"/>
                <w:color w:val="000000"/>
                <w:sz w:val="16"/>
                <w:lang w:val="en-GB"/>
              </w:rPr>
              <w:t>242,959</w:t>
            </w:r>
          </w:p>
        </w:tc>
      </w:tr>
      <w:tr w:rsidRPr="009C48DA" w:rsidR="00661519" w:rsidTr="00661519" w14:paraId="06CD0389" w14:textId="77777777">
        <w:tc>
          <w:tcPr>
            <w:tcW w:w="4522" w:type="dxa"/>
            <w:vAlign w:val="center"/>
          </w:tcPr>
          <w:p w:rsidRPr="009C48DA" w:rsidR="00661519" w:rsidP="00661519" w:rsidRDefault="00661519" w14:paraId="322EEF7E" w14:textId="77777777">
            <w:pPr>
              <w:textAlignment w:val="baseline"/>
              <w:rPr>
                <w:rFonts w:eastAsia="Times New Roman"/>
                <w:b/>
                <w:color w:val="000000"/>
                <w:sz w:val="16"/>
                <w:lang w:val="en-GB"/>
              </w:rPr>
            </w:pPr>
            <w:r w:rsidRPr="009C48DA">
              <w:rPr>
                <w:rFonts w:eastAsia="Times New Roman"/>
                <w:b/>
                <w:color w:val="000000"/>
                <w:sz w:val="16"/>
                <w:lang w:val="en-GB"/>
              </w:rPr>
              <w:t>+/- 5% sensitivity (GBP)</w:t>
            </w:r>
          </w:p>
        </w:tc>
        <w:tc>
          <w:tcPr>
            <w:tcW w:w="854" w:type="dxa"/>
            <w:vAlign w:val="center"/>
          </w:tcPr>
          <w:p w:rsidRPr="009C48DA" w:rsidR="00661519" w:rsidP="00661519" w:rsidRDefault="00661519" w14:paraId="4DA67270" w14:textId="77777777">
            <w:pPr>
              <w:jc w:val="right"/>
              <w:textAlignment w:val="baseline"/>
              <w:rPr>
                <w:rFonts w:eastAsia="Times New Roman"/>
                <w:b/>
                <w:color w:val="000000"/>
                <w:sz w:val="16"/>
                <w:lang w:val="en-GB"/>
              </w:rPr>
            </w:pPr>
            <w:r w:rsidRPr="009C48DA">
              <w:rPr>
                <w:rFonts w:eastAsia="Times New Roman"/>
                <w:b/>
                <w:color w:val="000000"/>
                <w:sz w:val="16"/>
                <w:lang w:val="en-GB"/>
              </w:rPr>
              <w:t>7,810</w:t>
            </w:r>
          </w:p>
        </w:tc>
        <w:tc>
          <w:tcPr>
            <w:tcW w:w="855" w:type="dxa"/>
            <w:vAlign w:val="center"/>
          </w:tcPr>
          <w:p w:rsidRPr="009C48DA" w:rsidR="00661519" w:rsidP="00661519" w:rsidRDefault="00661519" w14:paraId="05811F56" w14:textId="77777777">
            <w:pPr>
              <w:jc w:val="right"/>
              <w:textAlignment w:val="baseline"/>
              <w:rPr>
                <w:rFonts w:eastAsia="Times New Roman"/>
                <w:b/>
                <w:color w:val="000000"/>
                <w:sz w:val="16"/>
                <w:lang w:val="en-GB"/>
              </w:rPr>
            </w:pPr>
            <w:r w:rsidRPr="009C48DA">
              <w:rPr>
                <w:rFonts w:eastAsia="Times New Roman"/>
                <w:b/>
                <w:color w:val="000000"/>
                <w:sz w:val="16"/>
                <w:lang w:val="en-GB"/>
              </w:rPr>
              <w:t>8,381</w:t>
            </w:r>
          </w:p>
        </w:tc>
        <w:tc>
          <w:tcPr>
            <w:tcW w:w="855" w:type="dxa"/>
            <w:vAlign w:val="center"/>
          </w:tcPr>
          <w:p w:rsidRPr="009C48DA" w:rsidR="00661519" w:rsidP="00661519" w:rsidRDefault="00661519" w14:paraId="459BE841" w14:textId="77777777">
            <w:pPr>
              <w:jc w:val="right"/>
              <w:textAlignment w:val="baseline"/>
              <w:rPr>
                <w:rFonts w:eastAsia="Times New Roman"/>
                <w:b/>
                <w:color w:val="000000"/>
                <w:sz w:val="16"/>
                <w:lang w:val="en-GB"/>
              </w:rPr>
            </w:pPr>
            <w:r w:rsidRPr="009C48DA">
              <w:rPr>
                <w:rFonts w:eastAsia="Times New Roman"/>
                <w:b/>
                <w:color w:val="000000"/>
                <w:sz w:val="16"/>
                <w:lang w:val="en-GB"/>
              </w:rPr>
              <w:t>8,717</w:t>
            </w:r>
          </w:p>
        </w:tc>
        <w:tc>
          <w:tcPr>
            <w:tcW w:w="1077" w:type="dxa"/>
            <w:vAlign w:val="center"/>
          </w:tcPr>
          <w:p w:rsidRPr="009C48DA" w:rsidR="00661519" w:rsidP="00661519" w:rsidRDefault="00661519" w14:paraId="0929E06E" w14:textId="77777777">
            <w:pPr>
              <w:jc w:val="right"/>
              <w:textAlignment w:val="baseline"/>
              <w:rPr>
                <w:rFonts w:eastAsia="Times New Roman"/>
                <w:b/>
                <w:color w:val="000000"/>
                <w:sz w:val="16"/>
                <w:lang w:val="en-GB"/>
              </w:rPr>
            </w:pPr>
            <w:r w:rsidRPr="009C48DA">
              <w:rPr>
                <w:rFonts w:eastAsia="Times New Roman"/>
                <w:b/>
                <w:color w:val="000000"/>
                <w:sz w:val="16"/>
                <w:lang w:val="en-GB"/>
              </w:rPr>
              <w:t>7,801</w:t>
            </w:r>
          </w:p>
        </w:tc>
        <w:tc>
          <w:tcPr>
            <w:tcW w:w="1077" w:type="dxa"/>
            <w:vAlign w:val="center"/>
          </w:tcPr>
          <w:p w:rsidRPr="009C48DA" w:rsidR="00661519" w:rsidP="00661519" w:rsidRDefault="00661519" w14:paraId="26939522" w14:textId="77777777">
            <w:pPr>
              <w:jc w:val="right"/>
              <w:textAlignment w:val="baseline"/>
              <w:rPr>
                <w:rFonts w:eastAsia="Times New Roman"/>
                <w:b/>
                <w:color w:val="000000"/>
                <w:sz w:val="16"/>
                <w:lang w:val="en-GB"/>
              </w:rPr>
            </w:pPr>
            <w:r w:rsidRPr="009C48DA">
              <w:rPr>
                <w:rFonts w:eastAsia="Times New Roman"/>
                <w:b/>
                <w:color w:val="000000"/>
                <w:sz w:val="16"/>
                <w:lang w:val="en-GB"/>
              </w:rPr>
              <w:t>9,897</w:t>
            </w:r>
          </w:p>
        </w:tc>
      </w:tr>
    </w:tbl>
    <w:p w:rsidRPr="009C48DA" w:rsidR="009854B2" w:rsidRDefault="009854B2" w14:paraId="623C0CE2" w14:textId="3C729A3C">
      <w:pPr>
        <w:rPr>
          <w:rFonts w:eastAsia="Times New Roman" w:cs="Times New Roman"/>
          <w:b/>
          <w:color w:val="000000" w:themeColor="text1"/>
          <w:sz w:val="16"/>
          <w:szCs w:val="22"/>
          <w:lang w:val="en-GB"/>
        </w:rPr>
      </w:pPr>
      <w:r w:rsidRPr="009C48DA">
        <w:rPr>
          <w:rFonts w:eastAsia="Times New Roman" w:cs="Times New Roman"/>
          <w:b/>
          <w:color w:val="000000" w:themeColor="text1"/>
          <w:sz w:val="16"/>
          <w:szCs w:val="22"/>
          <w:lang w:val="en-GB"/>
        </w:rPr>
        <w:br w:type="page"/>
      </w:r>
    </w:p>
    <w:p w:rsidRPr="009C48DA" w:rsidR="00661519" w:rsidP="00661519" w:rsidRDefault="00661519" w14:paraId="53165832" w14:textId="29A60C8C">
      <w:pPr>
        <w:ind w:right="74"/>
        <w:textAlignment w:val="baseline"/>
        <w:rPr>
          <w:rFonts w:eastAsia="Times New Roman" w:cs="Times New Roman"/>
          <w:b/>
          <w:color w:val="000000" w:themeColor="text1"/>
          <w:sz w:val="16"/>
          <w:szCs w:val="22"/>
          <w:lang w:val="en-GB"/>
        </w:rPr>
      </w:pPr>
      <w:r w:rsidRPr="009C48DA">
        <w:rPr>
          <w:rFonts w:eastAsia="Times New Roman" w:cs="Times New Roman"/>
          <w:b/>
          <w:color w:val="000000" w:themeColor="text1"/>
          <w:sz w:val="16"/>
          <w:szCs w:val="22"/>
          <w:lang w:val="en-GB"/>
        </w:rPr>
        <w:lastRenderedPageBreak/>
        <w:t>(c)</w:t>
      </w:r>
      <w:r w:rsidRPr="009C48DA">
        <w:rPr>
          <w:rFonts w:eastAsia="Times New Roman" w:cs="Times New Roman"/>
          <w:b/>
          <w:color w:val="000000" w:themeColor="text1"/>
          <w:sz w:val="16"/>
          <w:szCs w:val="22"/>
          <w:lang w:val="en-GB"/>
        </w:rPr>
        <w:tab/>
        <w:t>Interest rate risk</w:t>
      </w:r>
    </w:p>
    <w:p w:rsidRPr="009C48DA" w:rsidR="00661519" w:rsidP="00661519" w:rsidRDefault="00661519" w14:paraId="1B42692F" w14:textId="77777777">
      <w:pPr>
        <w:ind w:right="74"/>
        <w:textAlignment w:val="baseline"/>
        <w:rPr>
          <w:rFonts w:eastAsia="Times New Roman" w:cs="Times New Roman"/>
          <w:b/>
          <w:color w:val="000000"/>
          <w:sz w:val="16"/>
          <w:szCs w:val="22"/>
          <w:lang w:val="en-GB"/>
        </w:rPr>
      </w:pPr>
    </w:p>
    <w:p w:rsidRPr="009C48DA" w:rsidR="00661519" w:rsidP="00661519" w:rsidRDefault="00661519" w14:paraId="5DC9F395"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Group's income and operating cash flows are substantially independent of changes in market interest rates. The amounts drawn under </w:t>
      </w:r>
      <w:r w:rsidRPr="009C48DA">
        <w:rPr>
          <w:rFonts w:eastAsia="Times New Roman"/>
          <w:color w:val="000000"/>
          <w:sz w:val="16"/>
          <w:lang w:val="en-GB"/>
        </w:rPr>
        <w:br/>
        <w:t xml:space="preserve">the Group's Revolving Credit Agreements, however, bear interest at a floating rate that could rise and increase the Group's interest cost and </w:t>
      </w:r>
      <w:r w:rsidRPr="009C48DA">
        <w:rPr>
          <w:rFonts w:eastAsia="Times New Roman"/>
          <w:color w:val="000000"/>
          <w:sz w:val="16"/>
          <w:lang w:val="en-GB"/>
        </w:rPr>
        <w:br/>
        <w:t>debt.</w:t>
      </w:r>
    </w:p>
    <w:p w:rsidRPr="009C48DA" w:rsidR="00661519" w:rsidP="00661519" w:rsidRDefault="00661519" w14:paraId="27928E38" w14:textId="77777777">
      <w:pPr>
        <w:ind w:right="72"/>
        <w:jc w:val="both"/>
        <w:textAlignment w:val="baseline"/>
        <w:rPr>
          <w:rFonts w:eastAsia="Times New Roman"/>
          <w:color w:val="000000"/>
          <w:sz w:val="16"/>
          <w:lang w:val="en-GB"/>
        </w:rPr>
      </w:pPr>
    </w:p>
    <w:p w:rsidRPr="009C48DA" w:rsidR="00661519" w:rsidP="00661519" w:rsidRDefault="00661519" w14:paraId="4FE6E0BF" w14:textId="400DD840">
      <w:pPr>
        <w:ind w:right="72"/>
        <w:jc w:val="both"/>
        <w:textAlignment w:val="baseline"/>
        <w:rPr>
          <w:rFonts w:eastAsia="Times New Roman"/>
          <w:color w:val="000000"/>
          <w:sz w:val="16"/>
          <w:lang w:val="en-GB"/>
        </w:rPr>
      </w:pPr>
      <w:r w:rsidRPr="009C48DA">
        <w:rPr>
          <w:rFonts w:eastAsia="Times New Roman"/>
          <w:color w:val="000000"/>
          <w:sz w:val="16"/>
          <w:lang w:val="en-GB"/>
        </w:rPr>
        <w:t>If interest rates were to change by 1%, the Group’s finance cost would have increased/(decreased) by the amounts set out in the table below.</w:t>
      </w: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36"/>
        <w:gridCol w:w="1020"/>
        <w:gridCol w:w="1021"/>
        <w:gridCol w:w="1077"/>
        <w:gridCol w:w="964"/>
        <w:gridCol w:w="1162"/>
      </w:tblGrid>
      <w:tr w:rsidRPr="009C48DA" w:rsidR="00661519" w:rsidTr="00661519" w14:paraId="7352E897" w14:textId="77777777">
        <w:tc>
          <w:tcPr>
            <w:tcW w:w="3936" w:type="dxa"/>
            <w:vAlign w:val="bottom"/>
          </w:tcPr>
          <w:p w:rsidRPr="009C48DA" w:rsidR="00661519" w:rsidP="00661519" w:rsidRDefault="00661519" w14:paraId="6748D8C6" w14:textId="77777777">
            <w:pPr>
              <w:jc w:val="both"/>
              <w:textAlignment w:val="baseline"/>
              <w:rPr>
                <w:rFonts w:eastAsia="Times New Roman"/>
                <w:color w:val="000000"/>
                <w:sz w:val="16"/>
                <w:lang w:val="en-GB"/>
              </w:rPr>
            </w:pPr>
          </w:p>
        </w:tc>
        <w:tc>
          <w:tcPr>
            <w:tcW w:w="3118" w:type="dxa"/>
            <w:gridSpan w:val="3"/>
            <w:vAlign w:val="bottom"/>
          </w:tcPr>
          <w:p w:rsidRPr="009C48DA" w:rsidR="00661519" w:rsidP="00661519" w:rsidRDefault="00661519" w14:paraId="70B11884"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Year ended 31 December</w:t>
            </w:r>
          </w:p>
        </w:tc>
        <w:tc>
          <w:tcPr>
            <w:tcW w:w="2126" w:type="dxa"/>
            <w:gridSpan w:val="2"/>
            <w:vAlign w:val="bottom"/>
          </w:tcPr>
          <w:p w:rsidRPr="009C48DA" w:rsidR="00661519" w:rsidP="00661519" w:rsidRDefault="00661519" w14:paraId="55067211"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Three month period ended 31 March</w:t>
            </w:r>
          </w:p>
        </w:tc>
      </w:tr>
      <w:tr w:rsidRPr="009C48DA" w:rsidR="00661519" w:rsidTr="00661519" w14:paraId="40CE8E53" w14:textId="77777777">
        <w:tc>
          <w:tcPr>
            <w:tcW w:w="3936" w:type="dxa"/>
            <w:vAlign w:val="bottom"/>
          </w:tcPr>
          <w:p w:rsidRPr="009C48DA" w:rsidR="00661519" w:rsidP="00661519" w:rsidRDefault="00661519" w14:paraId="4EB1D0B5" w14:textId="77777777">
            <w:pPr>
              <w:jc w:val="both"/>
              <w:textAlignment w:val="baseline"/>
              <w:rPr>
                <w:rFonts w:eastAsia="Times New Roman"/>
                <w:color w:val="000000"/>
                <w:sz w:val="16"/>
                <w:lang w:val="en-GB"/>
              </w:rPr>
            </w:pPr>
          </w:p>
        </w:tc>
        <w:tc>
          <w:tcPr>
            <w:tcW w:w="1020" w:type="dxa"/>
            <w:vAlign w:val="bottom"/>
          </w:tcPr>
          <w:p w:rsidRPr="009C48DA" w:rsidR="00661519" w:rsidP="00661519" w:rsidRDefault="00661519" w14:paraId="16A0804E" w14:textId="77777777">
            <w:pPr>
              <w:jc w:val="right"/>
              <w:textAlignment w:val="baseline"/>
              <w:rPr>
                <w:rFonts w:eastAsia="Times New Roman"/>
                <w:b/>
                <w:color w:val="000000"/>
                <w:sz w:val="16"/>
                <w:lang w:val="en-GB"/>
              </w:rPr>
            </w:pPr>
          </w:p>
        </w:tc>
        <w:tc>
          <w:tcPr>
            <w:tcW w:w="1021" w:type="dxa"/>
            <w:vAlign w:val="bottom"/>
          </w:tcPr>
          <w:p w:rsidRPr="009C48DA" w:rsidR="00661519" w:rsidP="00661519" w:rsidRDefault="00661519" w14:paraId="2666EDEE" w14:textId="77777777">
            <w:pPr>
              <w:jc w:val="right"/>
              <w:textAlignment w:val="baseline"/>
              <w:rPr>
                <w:rFonts w:eastAsia="Times New Roman"/>
                <w:b/>
                <w:color w:val="000000"/>
                <w:sz w:val="16"/>
                <w:lang w:val="en-GB"/>
              </w:rPr>
            </w:pPr>
          </w:p>
        </w:tc>
        <w:tc>
          <w:tcPr>
            <w:tcW w:w="1077" w:type="dxa"/>
            <w:vAlign w:val="bottom"/>
          </w:tcPr>
          <w:p w:rsidRPr="009C48DA" w:rsidR="00661519" w:rsidP="00661519" w:rsidRDefault="00661519" w14:paraId="55C282C6" w14:textId="77777777">
            <w:pPr>
              <w:jc w:val="right"/>
              <w:textAlignment w:val="baseline"/>
              <w:rPr>
                <w:rFonts w:eastAsia="Times New Roman"/>
                <w:b/>
                <w:color w:val="000000"/>
                <w:sz w:val="16"/>
                <w:lang w:val="en-GB"/>
              </w:rPr>
            </w:pPr>
          </w:p>
        </w:tc>
        <w:tc>
          <w:tcPr>
            <w:tcW w:w="964" w:type="dxa"/>
            <w:vAlign w:val="bottom"/>
          </w:tcPr>
          <w:p w:rsidRPr="009C48DA" w:rsidR="00661519" w:rsidP="00661519" w:rsidRDefault="00661519" w14:paraId="221FD26E" w14:textId="77777777">
            <w:pPr>
              <w:jc w:val="right"/>
              <w:textAlignment w:val="baseline"/>
              <w:rPr>
                <w:rFonts w:eastAsia="Times New Roman"/>
                <w:b/>
                <w:color w:val="000000"/>
                <w:sz w:val="16"/>
                <w:lang w:val="en-GB"/>
              </w:rPr>
            </w:pPr>
            <w:r w:rsidRPr="009C48DA">
              <w:rPr>
                <w:rFonts w:eastAsia="Times New Roman"/>
                <w:b/>
                <w:color w:val="000000"/>
                <w:sz w:val="16"/>
                <w:lang w:val="en-GB"/>
              </w:rPr>
              <w:t>Unaudited</w:t>
            </w:r>
          </w:p>
        </w:tc>
        <w:tc>
          <w:tcPr>
            <w:tcW w:w="1162" w:type="dxa"/>
            <w:vAlign w:val="bottom"/>
          </w:tcPr>
          <w:p w:rsidRPr="009C48DA" w:rsidR="00661519" w:rsidP="00661519" w:rsidRDefault="00661519" w14:paraId="39D87A09" w14:textId="77777777">
            <w:pPr>
              <w:jc w:val="right"/>
              <w:textAlignment w:val="baseline"/>
              <w:rPr>
                <w:rFonts w:eastAsia="Times New Roman"/>
                <w:b/>
                <w:color w:val="000000"/>
                <w:sz w:val="16"/>
                <w:lang w:val="en-GB"/>
              </w:rPr>
            </w:pPr>
          </w:p>
        </w:tc>
      </w:tr>
      <w:tr w:rsidRPr="009C48DA" w:rsidR="00661519" w:rsidTr="00661519" w14:paraId="62DCCD24" w14:textId="77777777">
        <w:tc>
          <w:tcPr>
            <w:tcW w:w="3936" w:type="dxa"/>
            <w:vAlign w:val="bottom"/>
          </w:tcPr>
          <w:p w:rsidRPr="009C48DA" w:rsidR="00661519" w:rsidP="00661519" w:rsidRDefault="00661519" w14:paraId="4F36E4F0" w14:textId="77777777">
            <w:pPr>
              <w:jc w:val="both"/>
              <w:textAlignment w:val="baseline"/>
              <w:rPr>
                <w:rFonts w:eastAsia="Times New Roman"/>
                <w:color w:val="000000"/>
                <w:sz w:val="16"/>
                <w:lang w:val="en-GB"/>
              </w:rPr>
            </w:pPr>
          </w:p>
        </w:tc>
        <w:tc>
          <w:tcPr>
            <w:tcW w:w="1020" w:type="dxa"/>
            <w:vAlign w:val="bottom"/>
          </w:tcPr>
          <w:p w:rsidRPr="009C48DA" w:rsidR="00661519" w:rsidP="00661519" w:rsidRDefault="00661519" w14:paraId="07F99C6A"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0DF23E17"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021" w:type="dxa"/>
            <w:vAlign w:val="bottom"/>
          </w:tcPr>
          <w:p w:rsidRPr="009C48DA" w:rsidR="00661519" w:rsidP="00661519" w:rsidRDefault="00661519" w14:paraId="2144B8F2"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6477E56B"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077" w:type="dxa"/>
            <w:vAlign w:val="bottom"/>
          </w:tcPr>
          <w:p w:rsidRPr="009C48DA" w:rsidR="00661519" w:rsidP="00661519" w:rsidRDefault="00661519" w14:paraId="66A91AFA"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007CD240"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964" w:type="dxa"/>
            <w:vAlign w:val="bottom"/>
          </w:tcPr>
          <w:p w:rsidRPr="009C48DA" w:rsidR="00661519" w:rsidP="00661519" w:rsidRDefault="00661519" w14:paraId="4F9A842A"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75CD31D2"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62" w:type="dxa"/>
            <w:vAlign w:val="bottom"/>
          </w:tcPr>
          <w:p w:rsidRPr="009C48DA" w:rsidR="00661519" w:rsidP="00661519" w:rsidRDefault="00661519" w14:paraId="5BFD468A"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1E8802B6"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315B0786" w14:textId="77777777">
        <w:tc>
          <w:tcPr>
            <w:tcW w:w="3936" w:type="dxa"/>
            <w:vAlign w:val="bottom"/>
          </w:tcPr>
          <w:p w:rsidRPr="009C48DA" w:rsidR="00661519" w:rsidP="00661519" w:rsidRDefault="00661519" w14:paraId="4BB6D3CA" w14:textId="77777777">
            <w:pPr>
              <w:jc w:val="both"/>
              <w:textAlignment w:val="baseline"/>
              <w:rPr>
                <w:rFonts w:eastAsia="Times New Roman"/>
                <w:color w:val="000000"/>
                <w:sz w:val="16"/>
                <w:lang w:val="en-GB"/>
              </w:rPr>
            </w:pPr>
            <w:r w:rsidRPr="009C48DA">
              <w:rPr>
                <w:rFonts w:eastAsia="Times New Roman"/>
                <w:color w:val="000000"/>
                <w:sz w:val="16"/>
                <w:lang w:val="en-GB"/>
              </w:rPr>
              <w:t>Increase or decrease of 1%</w:t>
            </w:r>
          </w:p>
        </w:tc>
        <w:tc>
          <w:tcPr>
            <w:tcW w:w="1020" w:type="dxa"/>
            <w:vAlign w:val="bottom"/>
          </w:tcPr>
          <w:p w:rsidRPr="009C48DA" w:rsidR="00661519" w:rsidP="00661519" w:rsidRDefault="00661519" w14:paraId="3FE7D3EF" w14:textId="77777777">
            <w:pPr>
              <w:jc w:val="right"/>
              <w:textAlignment w:val="baseline"/>
              <w:rPr>
                <w:rFonts w:eastAsia="Times New Roman"/>
                <w:color w:val="000000"/>
                <w:sz w:val="16"/>
                <w:lang w:val="en-GB"/>
              </w:rPr>
            </w:pPr>
            <w:r w:rsidRPr="009C48DA">
              <w:rPr>
                <w:rFonts w:eastAsia="Times New Roman"/>
                <w:color w:val="000000"/>
                <w:sz w:val="16"/>
                <w:lang w:val="en-GB"/>
              </w:rPr>
              <w:t>574</w:t>
            </w:r>
          </w:p>
        </w:tc>
        <w:tc>
          <w:tcPr>
            <w:tcW w:w="1021" w:type="dxa"/>
            <w:vAlign w:val="bottom"/>
          </w:tcPr>
          <w:p w:rsidRPr="009C48DA" w:rsidR="00661519" w:rsidP="00661519" w:rsidRDefault="00661519" w14:paraId="3BBA52B6" w14:textId="77777777">
            <w:pPr>
              <w:jc w:val="right"/>
              <w:textAlignment w:val="baseline"/>
              <w:rPr>
                <w:rFonts w:eastAsia="Times New Roman"/>
                <w:color w:val="000000"/>
                <w:sz w:val="16"/>
                <w:lang w:val="en-GB"/>
              </w:rPr>
            </w:pPr>
            <w:r w:rsidRPr="009C48DA">
              <w:rPr>
                <w:rFonts w:eastAsia="Times New Roman"/>
                <w:color w:val="000000"/>
                <w:sz w:val="16"/>
                <w:lang w:val="en-GB"/>
              </w:rPr>
              <w:t>647</w:t>
            </w:r>
          </w:p>
        </w:tc>
        <w:tc>
          <w:tcPr>
            <w:tcW w:w="1077" w:type="dxa"/>
            <w:vAlign w:val="bottom"/>
          </w:tcPr>
          <w:p w:rsidRPr="009C48DA" w:rsidR="00661519" w:rsidP="00661519" w:rsidRDefault="00661519" w14:paraId="7603F69E" w14:textId="77777777">
            <w:pPr>
              <w:jc w:val="right"/>
              <w:textAlignment w:val="baseline"/>
              <w:rPr>
                <w:rFonts w:eastAsia="Times New Roman"/>
                <w:color w:val="000000"/>
                <w:sz w:val="16"/>
                <w:lang w:val="en-GB"/>
              </w:rPr>
            </w:pPr>
            <w:r w:rsidRPr="009C48DA">
              <w:rPr>
                <w:rFonts w:eastAsia="Times New Roman"/>
                <w:color w:val="000000"/>
                <w:sz w:val="16"/>
                <w:lang w:val="en-GB"/>
              </w:rPr>
              <w:t>502</w:t>
            </w:r>
          </w:p>
        </w:tc>
        <w:tc>
          <w:tcPr>
            <w:tcW w:w="964" w:type="dxa"/>
            <w:vAlign w:val="bottom"/>
          </w:tcPr>
          <w:p w:rsidRPr="009C48DA" w:rsidR="00661519" w:rsidP="00661519" w:rsidRDefault="00661519" w14:paraId="1118F7D3" w14:textId="77777777">
            <w:pPr>
              <w:jc w:val="right"/>
              <w:textAlignment w:val="baseline"/>
              <w:rPr>
                <w:rFonts w:eastAsia="Times New Roman"/>
                <w:color w:val="000000"/>
                <w:sz w:val="16"/>
                <w:lang w:val="en-GB"/>
              </w:rPr>
            </w:pPr>
            <w:r w:rsidRPr="009C48DA">
              <w:rPr>
                <w:rFonts w:eastAsia="Times New Roman"/>
                <w:color w:val="000000"/>
                <w:sz w:val="16"/>
                <w:lang w:val="en-GB"/>
              </w:rPr>
              <w:t>250</w:t>
            </w:r>
          </w:p>
        </w:tc>
        <w:tc>
          <w:tcPr>
            <w:tcW w:w="1162" w:type="dxa"/>
            <w:vAlign w:val="bottom"/>
          </w:tcPr>
          <w:p w:rsidRPr="009C48DA" w:rsidR="00661519" w:rsidP="00661519" w:rsidRDefault="00661519" w14:paraId="05E806D7" w14:textId="77777777">
            <w:pPr>
              <w:jc w:val="right"/>
              <w:textAlignment w:val="baseline"/>
              <w:rPr>
                <w:rFonts w:eastAsia="Times New Roman"/>
                <w:color w:val="000000"/>
                <w:sz w:val="16"/>
                <w:lang w:val="en-GB"/>
              </w:rPr>
            </w:pPr>
            <w:r w:rsidRPr="009C48DA">
              <w:rPr>
                <w:rFonts w:eastAsia="Times New Roman"/>
                <w:color w:val="000000"/>
                <w:sz w:val="16"/>
                <w:lang w:val="en-GB"/>
              </w:rPr>
              <w:t>735</w:t>
            </w:r>
          </w:p>
        </w:tc>
      </w:tr>
    </w:tbl>
    <w:p w:rsidRPr="009C48DA" w:rsidR="00661519" w:rsidP="00661519" w:rsidRDefault="00661519" w14:paraId="0C3C79F9" w14:textId="77777777">
      <w:pPr>
        <w:ind w:right="74"/>
        <w:jc w:val="both"/>
        <w:textAlignment w:val="baseline"/>
        <w:rPr>
          <w:rFonts w:eastAsia="Times New Roman" w:cs="Times New Roman"/>
          <w:color w:val="000000"/>
          <w:sz w:val="16"/>
          <w:szCs w:val="22"/>
          <w:lang w:val="en-GB"/>
        </w:rPr>
      </w:pPr>
    </w:p>
    <w:p w:rsidRPr="009C48DA" w:rsidR="00661519" w:rsidP="00661519" w:rsidRDefault="00661519" w14:paraId="071FF437" w14:textId="77777777">
      <w:pPr>
        <w:ind w:right="74"/>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(d)</w:t>
      </w:r>
      <w:r w:rsidRPr="009C48DA">
        <w:rPr>
          <w:rFonts w:eastAsia="Times New Roman" w:cs="Times New Roman"/>
          <w:b/>
          <w:color w:val="000000"/>
          <w:sz w:val="16"/>
          <w:szCs w:val="22"/>
          <w:lang w:val="en-GB"/>
        </w:rPr>
        <w:tab/>
        <w:t>Credit risk</w:t>
      </w:r>
    </w:p>
    <w:p w:rsidRPr="009C48DA" w:rsidR="00661519" w:rsidP="00661519" w:rsidRDefault="00661519" w14:paraId="6FE8A2A4" w14:textId="77777777">
      <w:pPr>
        <w:ind w:right="72"/>
        <w:jc w:val="both"/>
        <w:textAlignment w:val="baseline"/>
        <w:rPr>
          <w:rFonts w:eastAsia="Times New Roman" w:cs="Times New Roman"/>
          <w:color w:val="000000"/>
          <w:sz w:val="16"/>
          <w:szCs w:val="22"/>
          <w:lang w:val="en-GB"/>
        </w:rPr>
      </w:pPr>
    </w:p>
    <w:p w:rsidRPr="009C48DA" w:rsidR="00661519" w:rsidP="00661519" w:rsidRDefault="00661519" w14:paraId="4AB4646A"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Credit risk is the risk that a counterparty is unable to meet their contractual obligations in full, when due. Potential areas of credit risk </w:t>
      </w:r>
      <w:r w:rsidRPr="009C48DA">
        <w:rPr>
          <w:rFonts w:eastAsia="Times New Roman"/>
          <w:color w:val="000000"/>
          <w:sz w:val="16"/>
          <w:lang w:val="en-GB"/>
        </w:rPr>
        <w:br/>
        <w:t>consist of cash and cash equivalents, including deposits with banks and financial institutions, short-term receivables and derivative financial instruments. The Group has not experienced any significant defaults in prior periods.</w:t>
      </w:r>
    </w:p>
    <w:p w:rsidRPr="009C48DA" w:rsidR="00661519" w:rsidP="00661519" w:rsidRDefault="00661519" w14:paraId="057D13A6" w14:textId="77777777">
      <w:pPr>
        <w:ind w:right="72"/>
        <w:jc w:val="both"/>
        <w:textAlignment w:val="baseline"/>
        <w:rPr>
          <w:rFonts w:eastAsia="Times New Roman"/>
          <w:color w:val="000000"/>
          <w:sz w:val="16"/>
          <w:lang w:val="en-GB"/>
        </w:rPr>
      </w:pPr>
    </w:p>
    <w:p w:rsidRPr="009C48DA" w:rsidR="00661519" w:rsidP="00661519" w:rsidRDefault="00661519" w14:paraId="2A677251"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Group's exposure to credit risk is influenced mainly by the individual characteristics of each counterparty. Expected credit losses are calculated on all of the Group’s financial assets that are measured at amortised cost. Factors considered in determining whether a default has taken place include how many days past the due date a payment is, deterioration in the credit quality of a counterparty, and knowledge of </w:t>
      </w:r>
      <w:r w:rsidRPr="009C48DA">
        <w:rPr>
          <w:rFonts w:eastAsia="Times New Roman"/>
          <w:color w:val="000000"/>
          <w:sz w:val="16"/>
          <w:lang w:val="en-GB"/>
        </w:rPr>
        <w:br/>
        <w:t xml:space="preserve">specific events that could influence a counterparty’s ability to pay. </w:t>
      </w:r>
    </w:p>
    <w:p w:rsidRPr="009C48DA" w:rsidR="00661519" w:rsidP="00661519" w:rsidRDefault="00661519" w14:paraId="5D994AF1" w14:textId="77777777">
      <w:pPr>
        <w:ind w:right="72"/>
        <w:jc w:val="both"/>
        <w:textAlignment w:val="baseline"/>
        <w:rPr>
          <w:rFonts w:eastAsia="Times New Roman"/>
          <w:color w:val="000000"/>
          <w:sz w:val="16"/>
          <w:lang w:val="en-GB"/>
        </w:rPr>
      </w:pPr>
    </w:p>
    <w:p w:rsidRPr="009C48DA" w:rsidR="00661519" w:rsidP="00661519" w:rsidRDefault="00661519" w14:paraId="5CDCDE42"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IFRS 9 requires a three-stage model to be used to calculate expected credit losses, which requires financial assets to be assessed as: </w:t>
      </w:r>
    </w:p>
    <w:p w:rsidRPr="009C48DA" w:rsidR="00661519" w:rsidP="00661519" w:rsidRDefault="00661519" w14:paraId="20477A99" w14:textId="77777777">
      <w:pPr>
        <w:numPr>
          <w:ilvl w:val="0"/>
          <w:numId w:val="37"/>
        </w:numPr>
        <w:spacing w:line="276" w:lineRule="auto"/>
        <w:ind w:left="284" w:right="72" w:hanging="284"/>
        <w:jc w:val="both"/>
        <w:textAlignment w:val="baseline"/>
        <w:rPr>
          <w:rFonts w:eastAsia="Times New Roman"/>
          <w:color w:val="000000"/>
          <w:sz w:val="16"/>
          <w:lang w:val="en-GB"/>
        </w:rPr>
      </w:pPr>
      <w:r w:rsidRPr="009C48DA">
        <w:rPr>
          <w:rFonts w:eastAsia="Times New Roman"/>
          <w:color w:val="000000"/>
          <w:sz w:val="16"/>
          <w:lang w:val="en-GB"/>
        </w:rPr>
        <w:t>Performing (stage 1) – Financial assets where there has been no significant increase in credit risk since original recognition</w:t>
      </w:r>
    </w:p>
    <w:p w:rsidRPr="009C48DA" w:rsidR="00661519" w:rsidP="00661519" w:rsidRDefault="00661519" w14:paraId="7136F348" w14:textId="77777777">
      <w:pPr>
        <w:numPr>
          <w:ilvl w:val="0"/>
          <w:numId w:val="37"/>
        </w:numPr>
        <w:spacing w:line="276" w:lineRule="auto"/>
        <w:ind w:left="284" w:right="72" w:hanging="284"/>
        <w:jc w:val="both"/>
        <w:textAlignment w:val="baseline"/>
        <w:rPr>
          <w:rFonts w:eastAsia="Times New Roman"/>
          <w:color w:val="000000"/>
          <w:sz w:val="16"/>
          <w:lang w:val="en-GB"/>
        </w:rPr>
      </w:pPr>
      <w:r w:rsidRPr="009C48DA">
        <w:rPr>
          <w:rFonts w:eastAsia="Times New Roman"/>
          <w:color w:val="000000"/>
          <w:sz w:val="16"/>
          <w:lang w:val="en-GB"/>
        </w:rPr>
        <w:t>Under-performing (stage 2) – Financial assets where there has been a significant increase in credit risk since initial recognition, but no default</w:t>
      </w:r>
    </w:p>
    <w:p w:rsidRPr="009C48DA" w:rsidR="00661519" w:rsidP="00661519" w:rsidRDefault="00661519" w14:paraId="641FF7BB" w14:textId="77777777">
      <w:pPr>
        <w:numPr>
          <w:ilvl w:val="0"/>
          <w:numId w:val="37"/>
        </w:numPr>
        <w:spacing w:line="360" w:lineRule="auto"/>
        <w:ind w:left="284" w:right="72" w:hanging="284"/>
        <w:jc w:val="both"/>
        <w:textAlignment w:val="baseline"/>
        <w:rPr>
          <w:rFonts w:eastAsia="Times New Roman"/>
          <w:color w:val="000000"/>
          <w:sz w:val="16"/>
          <w:lang w:val="en-GB"/>
        </w:rPr>
      </w:pPr>
      <w:r w:rsidRPr="009C48DA">
        <w:rPr>
          <w:rFonts w:eastAsia="Times New Roman"/>
          <w:color w:val="000000"/>
          <w:sz w:val="16"/>
          <w:lang w:val="en-GB"/>
        </w:rPr>
        <w:t>Non-performing (stage 3) – Financial assets that are in default</w:t>
      </w:r>
    </w:p>
    <w:p w:rsidRPr="009C48DA" w:rsidR="00661519" w:rsidP="00661519" w:rsidRDefault="00661519" w14:paraId="396FB466"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maximum exposure to credit risk at the reporting date of these financial assets is their carrying amount. </w:t>
      </w:r>
    </w:p>
    <w:p w:rsidRPr="009C48DA" w:rsidR="00661519" w:rsidP="00661519" w:rsidRDefault="00661519" w14:paraId="0D688360" w14:textId="77777777">
      <w:pPr>
        <w:ind w:right="72"/>
        <w:jc w:val="both"/>
        <w:textAlignment w:val="baseline"/>
        <w:rPr>
          <w:rFonts w:eastAsia="Times New Roman"/>
          <w:color w:val="000000"/>
          <w:sz w:val="16"/>
          <w:lang w:val="en-GB"/>
        </w:rPr>
      </w:pPr>
    </w:p>
    <w:p w:rsidRPr="009C48DA" w:rsidR="00661519" w:rsidP="00661519" w:rsidRDefault="00661519" w14:paraId="7D84B6F0"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Group limits its exposure in relation to cash balances and derivative financial instruments by only dealing with well-established </w:t>
      </w:r>
      <w:r w:rsidRPr="009C48DA">
        <w:rPr>
          <w:rFonts w:eastAsia="Times New Roman"/>
          <w:color w:val="000000"/>
          <w:sz w:val="16"/>
          <w:lang w:val="en-GB"/>
        </w:rPr>
        <w:br/>
        <w:t xml:space="preserve">financial institutions of high-quality credit standing. At each period end, the Group’s cash was held with banks that were investment grade </w:t>
      </w:r>
      <w:r w:rsidRPr="009C48DA">
        <w:rPr>
          <w:rFonts w:eastAsia="Times New Roman"/>
          <w:color w:val="000000"/>
          <w:sz w:val="16"/>
          <w:lang w:val="en-GB"/>
        </w:rPr>
        <w:br/>
        <w:t xml:space="preserve">credit quality (BBB or higher). </w:t>
      </w:r>
    </w:p>
    <w:p w:rsidRPr="009C48DA" w:rsidR="00661519" w:rsidP="00661519" w:rsidRDefault="00661519" w14:paraId="676B16D0" w14:textId="77777777">
      <w:pPr>
        <w:ind w:right="72"/>
        <w:jc w:val="both"/>
        <w:textAlignment w:val="baseline"/>
        <w:rPr>
          <w:rFonts w:eastAsia="Times New Roman"/>
          <w:color w:val="000000"/>
          <w:sz w:val="16"/>
          <w:lang w:val="en-GB"/>
        </w:rPr>
      </w:pPr>
    </w:p>
    <w:p w:rsidRPr="009C48DA" w:rsidR="00661519" w:rsidP="00661519" w:rsidRDefault="00661519" w14:paraId="12570CB2"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Group fully consolidates CLO I, which was launched in November 2020 and CLO II, which was launched in June 2021. The Group’s interest in CLO I comprises an interest in subordinated notes which incur the first loss if there is any default within the portfolio of assets by an individual borrower. The Group’s interest in CLO II at 31 December 2020 and 31 March 2021 related to exposure in warehoused assets, which had been part funded by a banking facility with no recourse to the Group, pending the formal launch of the CLO. The Group is required to hold a 5% interest in such vehicles after they are launched under risk retention rules. Each CLO portfolio typically invests in 70-100 individual loans issued by private equity borrowers. The portfolios are highly diversified by geography, industry and sponsor. The Group’s maximum exposure to loss associated with its interest in the CLOs is limited to the carrying amounts of the notes held by the </w:t>
      </w:r>
    </w:p>
    <w:p w:rsidRPr="009C48DA" w:rsidR="00661519" w:rsidP="00661519" w:rsidRDefault="00661519" w14:paraId="308EC80E" w14:textId="77777777">
      <w:pPr>
        <w:ind w:right="72"/>
        <w:jc w:val="both"/>
        <w:textAlignment w:val="baseline"/>
        <w:rPr>
          <w:rFonts w:eastAsia="Times New Roman" w:cs="Times New Roman"/>
          <w:color w:val="000000"/>
          <w:sz w:val="16"/>
          <w:lang w:val="en-GB"/>
        </w:rPr>
      </w:pPr>
      <w:r w:rsidRPr="009C48DA">
        <w:rPr>
          <w:rFonts w:eastAsia="Times New Roman"/>
          <w:color w:val="000000"/>
          <w:sz w:val="16"/>
          <w:lang w:val="en-GB"/>
        </w:rPr>
        <w:t>Group, which as at 31 March 2021 was £21.0m and 31 December 2020 was £19.5m (2019: £Nil, 2018: £Nil).</w:t>
      </w:r>
    </w:p>
    <w:p w:rsidRPr="009C48DA" w:rsidR="00661519" w:rsidP="00661519" w:rsidRDefault="00661519" w14:paraId="709D8E2F" w14:textId="77777777">
      <w:pPr>
        <w:ind w:right="72"/>
        <w:jc w:val="both"/>
        <w:textAlignment w:val="baseline"/>
        <w:rPr>
          <w:rFonts w:eastAsia="Times New Roman" w:cs="Times New Roman"/>
          <w:color w:val="000000"/>
          <w:sz w:val="16"/>
          <w:lang w:val="en-GB"/>
        </w:rPr>
      </w:pPr>
    </w:p>
    <w:p w:rsidRPr="009C48DA" w:rsidR="00661519" w:rsidP="00661519" w:rsidRDefault="00661519" w14:paraId="67649DC1" w14:textId="77777777">
      <w:pPr>
        <w:ind w:right="72"/>
        <w:jc w:val="both"/>
        <w:textAlignment w:val="baseline"/>
        <w:rPr>
          <w:rFonts w:eastAsia="Times New Roman" w:cs="Times New Roman"/>
          <w:color w:val="000000"/>
          <w:sz w:val="16"/>
          <w:lang w:val="en-GB"/>
        </w:rPr>
      </w:pPr>
      <w:r w:rsidRPr="009C48DA">
        <w:rPr>
          <w:rFonts w:eastAsia="Times New Roman" w:cs="Times New Roman"/>
          <w:color w:val="000000"/>
          <w:sz w:val="16"/>
          <w:lang w:val="en-GB"/>
        </w:rPr>
        <w:t xml:space="preserve">The Group applies the simplified approach to calculate expected credit losses for trade and other receivables. Under this approach, </w:t>
      </w:r>
      <w:r w:rsidRPr="009C48DA">
        <w:rPr>
          <w:rFonts w:eastAsia="Times New Roman" w:cs="Times New Roman"/>
          <w:color w:val="000000"/>
          <w:sz w:val="16"/>
          <w:lang w:val="en-GB"/>
        </w:rPr>
        <w:br/>
        <w:t>instruments are not categorised into three stages and expected credit losses are calculated based on the life of the instrument.</w:t>
      </w:r>
    </w:p>
    <w:p w:rsidRPr="009C48DA" w:rsidR="00661519" w:rsidP="00661519" w:rsidRDefault="00661519" w14:paraId="1A04D88C" w14:textId="77777777">
      <w:pPr>
        <w:ind w:right="72"/>
        <w:jc w:val="both"/>
        <w:textAlignment w:val="baseline"/>
        <w:rPr>
          <w:rFonts w:eastAsia="Times New Roman" w:cs="Times New Roman"/>
          <w:color w:val="000000"/>
          <w:sz w:val="16"/>
          <w:lang w:val="en-GB"/>
        </w:rPr>
      </w:pPr>
    </w:p>
    <w:p w:rsidRPr="009C48DA" w:rsidR="00661519" w:rsidP="00661519" w:rsidRDefault="00661519" w14:paraId="46F427C2" w14:textId="50DDA7B2">
      <w:pPr>
        <w:ind w:right="72"/>
        <w:jc w:val="both"/>
        <w:textAlignment w:val="baseline"/>
        <w:rPr>
          <w:rFonts w:eastAsia="Times New Roman" w:cs="Times New Roman"/>
          <w:color w:val="000000"/>
          <w:sz w:val="16"/>
          <w:lang w:val="en-GB"/>
        </w:rPr>
      </w:pPr>
      <w:r w:rsidRPr="009C48DA">
        <w:rPr>
          <w:rFonts w:eastAsia="Times New Roman" w:cs="Times New Roman"/>
          <w:color w:val="000000"/>
          <w:sz w:val="16"/>
          <w:lang w:val="en-GB"/>
        </w:rPr>
        <w:t xml:space="preserve">The Group has deferred proceeds receivable from Dyal Capital Partners IV (C) LP, an investor in </w:t>
      </w:r>
      <w:r w:rsidRPr="00CD2359" w:rsidR="00CD2359">
        <w:rPr>
          <w:rFonts w:eastAsia="Times New Roman" w:cs="Times New Roman"/>
          <w:color w:val="000000"/>
          <w:sz w:val="16"/>
          <w:lang w:val="en-GB"/>
        </w:rPr>
        <w:t>Bridgepoint Group Holdings Limited</w:t>
      </w:r>
      <w:r w:rsidRPr="009C48DA">
        <w:rPr>
          <w:rFonts w:eastAsia="Times New Roman" w:cs="Times New Roman"/>
          <w:color w:val="000000"/>
          <w:sz w:val="16"/>
          <w:lang w:val="en-GB"/>
        </w:rPr>
        <w:t xml:space="preserve">. At 31 March </w:t>
      </w:r>
      <w:r w:rsidRPr="009C48DA">
        <w:rPr>
          <w:rFonts w:eastAsia="Times New Roman" w:cs="Times New Roman"/>
          <w:color w:val="000000"/>
          <w:sz w:val="16"/>
          <w:lang w:val="en-GB"/>
        </w:rPr>
        <w:br/>
        <w:t xml:space="preserve">2021 and 31 December 2020 the amount due was £114.3m (2019: £185.7m). These amounts are contractually due on 11 December 2021. </w:t>
      </w:r>
      <w:r w:rsidRPr="009C48DA">
        <w:rPr>
          <w:rFonts w:eastAsia="Times New Roman" w:cs="Times New Roman"/>
          <w:color w:val="000000"/>
          <w:sz w:val="16"/>
          <w:lang w:val="en-GB"/>
        </w:rPr>
        <w:br/>
        <w:t xml:space="preserve">The investor is a fund vehicle, whose investors are of a high quality and are dispersed in number and value. The Group therefore considers </w:t>
      </w:r>
      <w:r w:rsidRPr="009C48DA">
        <w:rPr>
          <w:rFonts w:eastAsia="Times New Roman" w:cs="Times New Roman"/>
          <w:color w:val="000000"/>
          <w:sz w:val="16"/>
          <w:lang w:val="en-GB"/>
        </w:rPr>
        <w:br/>
        <w:t xml:space="preserve">the probability of default to be remote. </w:t>
      </w:r>
    </w:p>
    <w:p w:rsidRPr="009C48DA" w:rsidR="00661519" w:rsidP="00661519" w:rsidRDefault="00661519" w14:paraId="1FA62076" w14:textId="77777777">
      <w:pPr>
        <w:ind w:right="72"/>
        <w:jc w:val="both"/>
        <w:textAlignment w:val="baseline"/>
        <w:rPr>
          <w:rFonts w:eastAsia="Times New Roman" w:cs="Times New Roman"/>
          <w:color w:val="000000"/>
          <w:sz w:val="16"/>
          <w:lang w:val="en-GB"/>
        </w:rPr>
      </w:pPr>
    </w:p>
    <w:p w:rsidRPr="009C48DA" w:rsidR="00661519" w:rsidP="00661519" w:rsidRDefault="00661519" w14:paraId="43380052" w14:textId="77777777">
      <w:pPr>
        <w:ind w:right="72"/>
        <w:jc w:val="both"/>
        <w:textAlignment w:val="baseline"/>
        <w:rPr>
          <w:rFonts w:eastAsia="Times New Roman" w:cs="Times New Roman"/>
          <w:color w:val="000000"/>
          <w:sz w:val="16"/>
          <w:lang w:val="en-GB"/>
        </w:rPr>
      </w:pPr>
      <w:r w:rsidRPr="009C48DA">
        <w:rPr>
          <w:rFonts w:eastAsia="Times New Roman" w:cs="Times New Roman"/>
          <w:color w:val="000000"/>
          <w:sz w:val="16"/>
          <w:lang w:val="en-GB"/>
        </w:rPr>
        <w:t xml:space="preserve">Other than the deferred proceeds receivable, trade and other receivables are primarily amounts due from funds or amounts due </w:t>
      </w:r>
      <w:r w:rsidRPr="009C48DA">
        <w:rPr>
          <w:rFonts w:eastAsia="Times New Roman" w:cs="Times New Roman"/>
          <w:color w:val="000000"/>
          <w:sz w:val="16"/>
          <w:lang w:val="en-GB"/>
        </w:rPr>
        <w:br/>
        <w:t xml:space="preserve">from portfolio companies, which are collected by the Group, for the benefit of the fund. The funds are managed by the Group on behalf of investors, who have made commitments to the funds. Therefore trade and other receivables with the funds are collaterised against unfunded investor commitments. These commitments can be drawn at any time. The Group therefore considers the probability of default to be remote. </w:t>
      </w:r>
    </w:p>
    <w:p w:rsidRPr="009C48DA" w:rsidR="00661519" w:rsidP="00661519" w:rsidRDefault="00661519" w14:paraId="56711F22" w14:textId="77777777">
      <w:pPr>
        <w:ind w:right="72"/>
        <w:jc w:val="both"/>
        <w:textAlignment w:val="baseline"/>
        <w:rPr>
          <w:rFonts w:eastAsia="Times New Roman" w:cs="Times New Roman"/>
          <w:color w:val="000000"/>
          <w:sz w:val="16"/>
          <w:lang w:val="en-GB"/>
        </w:rPr>
      </w:pPr>
    </w:p>
    <w:p w:rsidRPr="009C48DA" w:rsidR="00661519" w:rsidP="00661519" w:rsidRDefault="00661519" w14:paraId="4CC430EB" w14:textId="77777777">
      <w:pPr>
        <w:ind w:right="72"/>
        <w:jc w:val="both"/>
        <w:textAlignment w:val="baseline"/>
        <w:rPr>
          <w:rFonts w:eastAsia="Times New Roman" w:cs="Times New Roman"/>
          <w:color w:val="000000"/>
          <w:sz w:val="16"/>
          <w:lang w:val="en-GB"/>
        </w:rPr>
      </w:pPr>
      <w:r w:rsidRPr="009C48DA">
        <w:rPr>
          <w:rFonts w:eastAsia="Times New Roman" w:cs="Times New Roman"/>
          <w:color w:val="000000"/>
          <w:sz w:val="16"/>
          <w:lang w:val="en-GB"/>
        </w:rPr>
        <w:t>The Group’s carried interest receivable represents income expected from CIPs. The Group considers there to be no risk of default on these receivables on the basis that these amounts are due from the funds for the reasons set out above (e.g. investor commitments).</w:t>
      </w:r>
    </w:p>
    <w:p w:rsidRPr="009C48DA" w:rsidR="00661519" w:rsidP="00661519" w:rsidRDefault="00661519" w14:paraId="1D9591D9" w14:textId="77777777">
      <w:pPr>
        <w:ind w:right="72"/>
        <w:jc w:val="both"/>
        <w:textAlignment w:val="baseline"/>
        <w:rPr>
          <w:rFonts w:eastAsia="Times New Roman" w:cs="Times New Roman"/>
          <w:color w:val="000000"/>
          <w:sz w:val="16"/>
          <w:lang w:val="en-GB"/>
        </w:rPr>
      </w:pPr>
    </w:p>
    <w:p w:rsidRPr="009C48DA" w:rsidR="00661519" w:rsidP="00661519" w:rsidRDefault="00661519" w14:paraId="0E08E995" w14:textId="77777777">
      <w:pPr>
        <w:ind w:right="72"/>
        <w:jc w:val="both"/>
        <w:textAlignment w:val="baseline"/>
        <w:rPr>
          <w:rFonts w:eastAsia="Times New Roman" w:cs="Times New Roman"/>
          <w:color w:val="000000"/>
          <w:sz w:val="16"/>
          <w:lang w:val="en-GB"/>
        </w:rPr>
      </w:pPr>
      <w:r w:rsidRPr="009C48DA">
        <w:rPr>
          <w:rFonts w:eastAsia="Times New Roman" w:cs="Times New Roman"/>
          <w:color w:val="000000"/>
          <w:sz w:val="16"/>
          <w:lang w:val="en-GB"/>
        </w:rPr>
        <w:t xml:space="preserve">As a lessor the Group has exposure to payments by leasees. The Group considers these to be a low risk of default due to the quality of </w:t>
      </w:r>
      <w:r w:rsidRPr="009C48DA">
        <w:rPr>
          <w:rFonts w:eastAsia="Times New Roman" w:cs="Times New Roman"/>
          <w:color w:val="000000"/>
          <w:sz w:val="16"/>
          <w:lang w:val="en-GB"/>
        </w:rPr>
        <w:br/>
        <w:t xml:space="preserve">the counterparty. </w:t>
      </w:r>
    </w:p>
    <w:p w:rsidRPr="009C48DA" w:rsidR="00661519" w:rsidP="00661519" w:rsidRDefault="00661519" w14:paraId="06F5B201" w14:textId="77777777">
      <w:pPr>
        <w:ind w:right="72"/>
        <w:jc w:val="both"/>
        <w:textAlignment w:val="baseline"/>
        <w:rPr>
          <w:rFonts w:eastAsia="Times New Roman" w:cs="Times New Roman"/>
          <w:color w:val="000000"/>
          <w:sz w:val="16"/>
          <w:lang w:val="en-GB"/>
        </w:rPr>
      </w:pPr>
    </w:p>
    <w:p w:rsidRPr="009C48DA" w:rsidR="00661519" w:rsidP="00661519" w:rsidRDefault="00661519" w14:paraId="1ABA7EAC" w14:textId="77777777">
      <w:pPr>
        <w:ind w:right="72"/>
        <w:jc w:val="both"/>
        <w:textAlignment w:val="baseline"/>
        <w:rPr>
          <w:rFonts w:eastAsia="Times New Roman" w:cs="Times New Roman"/>
          <w:color w:val="000000"/>
          <w:sz w:val="16"/>
          <w:lang w:val="en-GB"/>
        </w:rPr>
      </w:pPr>
      <w:r w:rsidRPr="009C48DA">
        <w:rPr>
          <w:rFonts w:eastAsia="Times New Roman" w:cs="Times New Roman"/>
          <w:color w:val="000000"/>
          <w:sz w:val="16"/>
          <w:lang w:val="en-GB"/>
        </w:rPr>
        <w:t xml:space="preserve">Expected credit losses are not expected to be material and there are no financial assets that are impaired. </w:t>
      </w:r>
      <w:r w:rsidRPr="009C48DA">
        <w:rPr>
          <w:rFonts w:eastAsia="Times New Roman" w:cs="Times New Roman"/>
          <w:color w:val="000000"/>
          <w:sz w:val="16"/>
          <w:lang w:val="en-GB"/>
        </w:rPr>
        <w:br w:type="page"/>
      </w:r>
    </w:p>
    <w:p w:rsidRPr="009C48DA" w:rsidR="00661519" w:rsidP="00661519" w:rsidRDefault="00661519" w14:paraId="7F9A49B2" w14:textId="77777777">
      <w:pPr>
        <w:ind w:right="74"/>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lastRenderedPageBreak/>
        <w:t>(e)</w:t>
      </w:r>
      <w:r w:rsidRPr="009C48DA">
        <w:rPr>
          <w:rFonts w:eastAsia="Times New Roman" w:cs="Times New Roman"/>
          <w:b/>
          <w:color w:val="000000"/>
          <w:sz w:val="16"/>
          <w:szCs w:val="22"/>
          <w:lang w:val="en-GB"/>
        </w:rPr>
        <w:tab/>
        <w:t>Liquidity risk</w:t>
      </w:r>
    </w:p>
    <w:p w:rsidRPr="009C48DA" w:rsidR="00661519" w:rsidP="00661519" w:rsidRDefault="00661519" w14:paraId="5D0A413A" w14:textId="77777777">
      <w:pPr>
        <w:ind w:right="74"/>
        <w:textAlignment w:val="baseline"/>
        <w:rPr>
          <w:rFonts w:eastAsia="Times New Roman" w:cs="Times New Roman"/>
          <w:b/>
          <w:color w:val="000000"/>
          <w:sz w:val="16"/>
          <w:szCs w:val="22"/>
          <w:lang w:val="en-GB"/>
        </w:rPr>
      </w:pPr>
    </w:p>
    <w:p w:rsidRPr="009C48DA" w:rsidR="00661519" w:rsidP="00661519" w:rsidRDefault="00661519" w14:paraId="6D7528CE"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Liquidity risk is the risk that the Group will encounter difficulty in meeting the obligations associated with its financial liabilities that are </w:t>
      </w:r>
      <w:r w:rsidRPr="009C48DA">
        <w:rPr>
          <w:rFonts w:eastAsia="Times New Roman"/>
          <w:color w:val="000000"/>
          <w:sz w:val="16"/>
          <w:lang w:val="en-GB"/>
        </w:rPr>
        <w:br/>
        <w:t xml:space="preserve">settled by delivering cash or another financial asset. The Group’s approach to managing liquidity is to ensure, as far as possible, that it will always have sufficient liquidity to meet its liabilities when due, under both normal and stressed conditions, without incurring unacceptable </w:t>
      </w:r>
      <w:r w:rsidRPr="009C48DA">
        <w:rPr>
          <w:rFonts w:eastAsia="Times New Roman"/>
          <w:color w:val="000000"/>
          <w:sz w:val="16"/>
          <w:lang w:val="en-GB"/>
        </w:rPr>
        <w:br/>
        <w:t>losses or risking damage to the Group’s reputation.</w:t>
      </w:r>
    </w:p>
    <w:p w:rsidRPr="009C48DA" w:rsidR="00661519" w:rsidP="00661519" w:rsidRDefault="00661519" w14:paraId="42AB65C4" w14:textId="77777777">
      <w:pPr>
        <w:ind w:right="72"/>
        <w:jc w:val="both"/>
        <w:textAlignment w:val="baseline"/>
        <w:rPr>
          <w:rFonts w:eastAsia="Times New Roman"/>
          <w:color w:val="000000"/>
          <w:sz w:val="16"/>
          <w:lang w:val="en-GB"/>
        </w:rPr>
      </w:pPr>
    </w:p>
    <w:p w:rsidRPr="009C48DA" w:rsidR="00661519" w:rsidP="00661519" w:rsidRDefault="00661519" w14:paraId="446BDEA7"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Liquidity outlook is monitored at least monthly by management and regularly reviewed by the Board of Directors.</w:t>
      </w:r>
    </w:p>
    <w:p w:rsidRPr="009C48DA" w:rsidR="00661519" w:rsidP="00661519" w:rsidRDefault="00661519" w14:paraId="79498D53" w14:textId="77777777">
      <w:pPr>
        <w:ind w:right="72"/>
        <w:jc w:val="both"/>
        <w:textAlignment w:val="baseline"/>
        <w:rPr>
          <w:rFonts w:eastAsia="Times New Roman"/>
          <w:color w:val="000000"/>
          <w:sz w:val="16"/>
          <w:lang w:val="en-GB"/>
        </w:rPr>
      </w:pPr>
    </w:p>
    <w:p w:rsidRPr="009C48DA" w:rsidR="00661519" w:rsidP="00661519" w:rsidRDefault="00661519" w14:paraId="15BF8F22"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timing of the Group’s management fee receipts and operating expenditure are predictable. The timing, amount and profits from the </w:t>
      </w:r>
      <w:r w:rsidRPr="009C48DA">
        <w:rPr>
          <w:rFonts w:eastAsia="Times New Roman"/>
          <w:color w:val="000000"/>
          <w:sz w:val="16"/>
          <w:lang w:val="en-GB"/>
        </w:rPr>
        <w:br/>
        <w:t xml:space="preserve">Group’s investments into and divestments from the Funds are inherently less predictable, however a reasonable period of notice is given to </w:t>
      </w:r>
      <w:r w:rsidRPr="009C48DA">
        <w:rPr>
          <w:rFonts w:eastAsia="Times New Roman"/>
          <w:color w:val="000000"/>
          <w:sz w:val="16"/>
          <w:lang w:val="en-GB"/>
        </w:rPr>
        <w:br/>
        <w:t>all investors, including the Group, ahead of drawing of funds.</w:t>
      </w:r>
    </w:p>
    <w:p w:rsidRPr="009C48DA" w:rsidR="00661519" w:rsidP="00661519" w:rsidRDefault="00661519" w14:paraId="70E2C711" w14:textId="77777777">
      <w:pPr>
        <w:ind w:right="72"/>
        <w:jc w:val="both"/>
        <w:textAlignment w:val="baseline"/>
        <w:rPr>
          <w:rFonts w:eastAsia="Times New Roman"/>
          <w:color w:val="000000"/>
          <w:sz w:val="16"/>
          <w:lang w:val="en-GB"/>
        </w:rPr>
      </w:pPr>
    </w:p>
    <w:p w:rsidRPr="009C48DA" w:rsidR="00661519" w:rsidP="00661519" w:rsidRDefault="00661519" w14:paraId="46FBCE76"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Group’s policy is to maintain sufficient amounts of cash and cash equivalents to meet its commitments at a given date. The Group has </w:t>
      </w:r>
      <w:r w:rsidRPr="009C48DA">
        <w:rPr>
          <w:rFonts w:eastAsia="Times New Roman"/>
          <w:color w:val="000000"/>
          <w:sz w:val="16"/>
          <w:lang w:val="en-GB"/>
        </w:rPr>
        <w:br/>
        <w:t>the use of a Revolving Credit Facility to assist in managing liquidity. Due to the long-term nature of the Group’s assets, the Group seeks to ensure that the maturity of its debt instruments is matched to fee cash generated from the business.</w:t>
      </w:r>
    </w:p>
    <w:p w:rsidRPr="009C48DA" w:rsidR="00661519" w:rsidP="00661519" w:rsidRDefault="00661519" w14:paraId="452C654D" w14:textId="77777777">
      <w:pPr>
        <w:ind w:right="72"/>
        <w:jc w:val="both"/>
        <w:textAlignment w:val="baseline"/>
        <w:rPr>
          <w:rFonts w:eastAsia="Times New Roman"/>
          <w:color w:val="000000"/>
          <w:sz w:val="16"/>
          <w:lang w:val="en-GB"/>
        </w:rPr>
      </w:pPr>
    </w:p>
    <w:p w:rsidRPr="009C48DA" w:rsidR="00661519" w:rsidP="00661519" w:rsidRDefault="00661519" w14:paraId="53370C0B"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tables below summarise the Group's financial liabilities by the time frame they are contractually due to be settled, undiscounted and </w:t>
      </w:r>
      <w:r w:rsidRPr="009C48DA">
        <w:rPr>
          <w:rFonts w:eastAsia="Times New Roman"/>
          <w:color w:val="000000"/>
          <w:sz w:val="16"/>
          <w:lang w:val="en-GB"/>
        </w:rPr>
        <w:br/>
        <w:t>including interest payable. This also excludes liabilities which are not financial liabilities (for example, deferred income).</w:t>
      </w:r>
    </w:p>
    <w:p w:rsidRPr="009C48DA" w:rsidR="00661519" w:rsidP="00661519" w:rsidRDefault="00661519" w14:paraId="01D5F05F" w14:textId="77777777">
      <w:pPr>
        <w:ind w:right="72"/>
        <w:jc w:val="both"/>
        <w:textAlignment w:val="baseline"/>
        <w:rPr>
          <w:rFonts w:eastAsia="Times New Roman"/>
          <w:color w:val="000000"/>
          <w:sz w:val="16"/>
          <w:lang w:val="en-GB"/>
        </w:rPr>
      </w:pPr>
    </w:p>
    <w:p w:rsidRPr="009C48DA" w:rsidR="00661519" w:rsidP="00661519" w:rsidRDefault="00661519" w14:paraId="07730EFC" w14:textId="77777777">
      <w:pPr>
        <w:ind w:right="74"/>
        <w:textAlignment w:val="baseline"/>
        <w:rPr>
          <w:rFonts w:eastAsia="Times New Roman" w:cs="Times New Roman"/>
          <w:color w:val="000000"/>
          <w:sz w:val="12"/>
          <w:szCs w:val="1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27"/>
        <w:gridCol w:w="1190"/>
        <w:gridCol w:w="1191"/>
        <w:gridCol w:w="1190"/>
        <w:gridCol w:w="1191"/>
        <w:gridCol w:w="1191"/>
      </w:tblGrid>
      <w:tr w:rsidRPr="009C48DA" w:rsidR="00661519" w:rsidTr="00661519" w14:paraId="6E2E103D" w14:textId="77777777">
        <w:tc>
          <w:tcPr>
            <w:tcW w:w="3227" w:type="dxa"/>
            <w:vAlign w:val="bottom"/>
          </w:tcPr>
          <w:p w:rsidRPr="009C48DA" w:rsidR="00661519" w:rsidP="00661519" w:rsidRDefault="00661519" w14:paraId="64127BF0" w14:textId="77777777">
            <w:pPr>
              <w:jc w:val="both"/>
              <w:textAlignment w:val="baseline"/>
              <w:rPr>
                <w:rFonts w:eastAsia="Times New Roman"/>
                <w:color w:val="000000"/>
                <w:sz w:val="16"/>
                <w:lang w:val="en-GB"/>
              </w:rPr>
            </w:pPr>
            <w:r w:rsidRPr="009C48DA">
              <w:rPr>
                <w:rFonts w:eastAsia="Times New Roman"/>
                <w:b/>
                <w:color w:val="000000"/>
                <w:sz w:val="16"/>
                <w:lang w:val="en-GB"/>
              </w:rPr>
              <w:t>As at 31 December 2018</w:t>
            </w:r>
          </w:p>
        </w:tc>
        <w:tc>
          <w:tcPr>
            <w:tcW w:w="1190" w:type="dxa"/>
            <w:vAlign w:val="bottom"/>
          </w:tcPr>
          <w:p w:rsidRPr="009C48DA" w:rsidR="00661519" w:rsidP="00661519" w:rsidRDefault="00661519" w14:paraId="3429A555" w14:textId="77777777">
            <w:pPr>
              <w:jc w:val="center"/>
              <w:textAlignment w:val="baseline"/>
              <w:rPr>
                <w:rFonts w:eastAsia="Times New Roman"/>
                <w:b/>
                <w:color w:val="000000"/>
                <w:sz w:val="16"/>
                <w:lang w:val="en-GB"/>
              </w:rPr>
            </w:pPr>
            <w:r w:rsidRPr="009C48DA">
              <w:rPr>
                <w:rFonts w:eastAsia="Times New Roman"/>
                <w:b/>
                <w:color w:val="000000"/>
                <w:sz w:val="16"/>
                <w:lang w:val="en-GB"/>
              </w:rPr>
              <w:t>Due within 1 year</w:t>
            </w:r>
          </w:p>
          <w:p w:rsidRPr="009C48DA" w:rsidR="00661519" w:rsidP="00661519" w:rsidRDefault="00661519" w14:paraId="3CB881CD"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191" w:type="dxa"/>
            <w:vAlign w:val="bottom"/>
          </w:tcPr>
          <w:p w:rsidRPr="009C48DA" w:rsidR="00661519" w:rsidP="00661519" w:rsidRDefault="00661519" w14:paraId="0D5859BC" w14:textId="77777777">
            <w:pPr>
              <w:jc w:val="center"/>
              <w:textAlignment w:val="baseline"/>
              <w:rPr>
                <w:rFonts w:eastAsia="Times New Roman"/>
                <w:b/>
                <w:color w:val="000000"/>
                <w:sz w:val="16"/>
                <w:lang w:val="en-GB"/>
              </w:rPr>
            </w:pPr>
            <w:r w:rsidRPr="009C48DA">
              <w:rPr>
                <w:rFonts w:eastAsia="Times New Roman"/>
                <w:b/>
                <w:color w:val="000000"/>
                <w:sz w:val="16"/>
                <w:lang w:val="en-GB"/>
              </w:rPr>
              <w:t>Due between 1 and 2 years</w:t>
            </w:r>
          </w:p>
          <w:p w:rsidRPr="009C48DA" w:rsidR="00661519" w:rsidP="00661519" w:rsidRDefault="00661519" w14:paraId="117746FC"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190" w:type="dxa"/>
            <w:vAlign w:val="bottom"/>
          </w:tcPr>
          <w:p w:rsidRPr="009C48DA" w:rsidR="00661519" w:rsidP="00661519" w:rsidRDefault="00661519" w14:paraId="27EAE22D" w14:textId="77777777">
            <w:pPr>
              <w:jc w:val="center"/>
              <w:textAlignment w:val="baseline"/>
              <w:rPr>
                <w:rFonts w:eastAsia="Times New Roman"/>
                <w:b/>
                <w:color w:val="000000"/>
                <w:sz w:val="16"/>
                <w:lang w:val="en-GB"/>
              </w:rPr>
            </w:pPr>
            <w:r w:rsidRPr="009C48DA">
              <w:rPr>
                <w:rFonts w:eastAsia="Times New Roman"/>
                <w:b/>
                <w:color w:val="000000"/>
                <w:sz w:val="16"/>
                <w:lang w:val="en-GB"/>
              </w:rPr>
              <w:t>Due within 2 and 5 years</w:t>
            </w:r>
          </w:p>
          <w:p w:rsidRPr="009C48DA" w:rsidR="00661519" w:rsidP="00661519" w:rsidRDefault="00661519" w14:paraId="78F3ADC3" w14:textId="77777777">
            <w:pPr>
              <w:jc w:val="center"/>
              <w:textAlignment w:val="baseline"/>
              <w:rPr>
                <w:rFonts w:eastAsia="Times New Roman"/>
                <w:color w:val="000000"/>
                <w:sz w:val="16"/>
                <w:lang w:val="en-GB"/>
              </w:rPr>
            </w:pPr>
            <w:r w:rsidRPr="009C48DA">
              <w:rPr>
                <w:rFonts w:eastAsia="Times New Roman"/>
                <w:b/>
                <w:color w:val="000000"/>
                <w:sz w:val="16"/>
                <w:lang w:val="en-GB"/>
              </w:rPr>
              <w:t>£ 000</w:t>
            </w:r>
          </w:p>
        </w:tc>
        <w:tc>
          <w:tcPr>
            <w:tcW w:w="1191" w:type="dxa"/>
            <w:vAlign w:val="bottom"/>
          </w:tcPr>
          <w:p w:rsidRPr="009C48DA" w:rsidR="00661519" w:rsidP="00661519" w:rsidRDefault="00661519" w14:paraId="375E14BE" w14:textId="77777777">
            <w:pPr>
              <w:jc w:val="center"/>
              <w:textAlignment w:val="baseline"/>
              <w:rPr>
                <w:rFonts w:eastAsia="Times New Roman"/>
                <w:b/>
                <w:color w:val="000000"/>
                <w:sz w:val="16"/>
                <w:lang w:val="en-GB"/>
              </w:rPr>
            </w:pPr>
            <w:r w:rsidRPr="009C48DA">
              <w:rPr>
                <w:rFonts w:eastAsia="Times New Roman"/>
                <w:b/>
                <w:color w:val="000000"/>
                <w:sz w:val="16"/>
                <w:lang w:val="en-GB"/>
              </w:rPr>
              <w:t>Due more than 5 years</w:t>
            </w:r>
          </w:p>
          <w:p w:rsidRPr="009C48DA" w:rsidR="00661519" w:rsidP="00661519" w:rsidRDefault="00661519" w14:paraId="2F4E7D17" w14:textId="77777777">
            <w:pPr>
              <w:jc w:val="center"/>
              <w:textAlignment w:val="baseline"/>
              <w:rPr>
                <w:rFonts w:eastAsia="Times New Roman"/>
                <w:color w:val="000000"/>
                <w:sz w:val="16"/>
                <w:lang w:val="en-GB"/>
              </w:rPr>
            </w:pPr>
            <w:r w:rsidRPr="009C48DA">
              <w:rPr>
                <w:rFonts w:eastAsia="Times New Roman"/>
                <w:b/>
                <w:color w:val="000000"/>
                <w:sz w:val="16"/>
                <w:lang w:val="en-GB"/>
              </w:rPr>
              <w:t>£ 000</w:t>
            </w:r>
          </w:p>
        </w:tc>
        <w:tc>
          <w:tcPr>
            <w:tcW w:w="1191" w:type="dxa"/>
            <w:vAlign w:val="bottom"/>
          </w:tcPr>
          <w:p w:rsidRPr="009C48DA" w:rsidR="00661519" w:rsidP="00661519" w:rsidRDefault="00661519" w14:paraId="71219A71" w14:textId="77777777">
            <w:pPr>
              <w:jc w:val="center"/>
              <w:textAlignment w:val="baseline"/>
              <w:rPr>
                <w:rFonts w:eastAsia="Times New Roman"/>
                <w:b/>
                <w:color w:val="000000"/>
                <w:sz w:val="16"/>
                <w:lang w:val="en-GB"/>
              </w:rPr>
            </w:pPr>
            <w:r w:rsidRPr="009C48DA">
              <w:rPr>
                <w:rFonts w:eastAsia="Times New Roman"/>
                <w:b/>
                <w:color w:val="000000"/>
                <w:sz w:val="16"/>
                <w:lang w:val="en-GB"/>
              </w:rPr>
              <w:t>Total</w:t>
            </w:r>
          </w:p>
          <w:p w:rsidRPr="009C48DA" w:rsidR="00661519" w:rsidP="00661519" w:rsidRDefault="00661519" w14:paraId="312EDF02" w14:textId="77777777">
            <w:pPr>
              <w:jc w:val="center"/>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0FFEBC89" w14:textId="77777777">
        <w:tc>
          <w:tcPr>
            <w:tcW w:w="3227" w:type="dxa"/>
          </w:tcPr>
          <w:p w:rsidRPr="009C48DA" w:rsidR="00661519" w:rsidP="00661519" w:rsidRDefault="00661519" w14:paraId="7831DD0F"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Borrowings </w:t>
            </w:r>
          </w:p>
        </w:tc>
        <w:tc>
          <w:tcPr>
            <w:tcW w:w="1190" w:type="dxa"/>
            <w:vAlign w:val="bottom"/>
          </w:tcPr>
          <w:p w:rsidRPr="009C48DA" w:rsidR="00661519" w:rsidP="00661519" w:rsidRDefault="00661519" w14:paraId="2BFA6DAE"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414E6EF9" w14:textId="77777777">
            <w:pPr>
              <w:jc w:val="right"/>
              <w:textAlignment w:val="baseline"/>
              <w:rPr>
                <w:rFonts w:eastAsia="Times New Roman"/>
                <w:color w:val="000000"/>
                <w:sz w:val="16"/>
                <w:lang w:val="en-GB"/>
              </w:rPr>
            </w:pPr>
            <w:r w:rsidRPr="009C48DA">
              <w:rPr>
                <w:rFonts w:eastAsia="Times New Roman"/>
                <w:color w:val="000000"/>
                <w:sz w:val="16"/>
                <w:lang w:val="en-GB"/>
              </w:rPr>
              <w:t>77,316</w:t>
            </w:r>
          </w:p>
        </w:tc>
        <w:tc>
          <w:tcPr>
            <w:tcW w:w="1190" w:type="dxa"/>
            <w:vAlign w:val="bottom"/>
          </w:tcPr>
          <w:p w:rsidRPr="009C48DA" w:rsidR="00661519" w:rsidP="00661519" w:rsidRDefault="00661519" w14:paraId="79041A39"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2D6EFFC2"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1656837B" w14:textId="77777777">
            <w:pPr>
              <w:jc w:val="right"/>
              <w:textAlignment w:val="baseline"/>
              <w:rPr>
                <w:rFonts w:eastAsia="Times New Roman"/>
                <w:color w:val="000000"/>
                <w:sz w:val="16"/>
                <w:lang w:val="en-GB"/>
              </w:rPr>
            </w:pPr>
            <w:r w:rsidRPr="009C48DA">
              <w:rPr>
                <w:rFonts w:eastAsia="Times New Roman"/>
                <w:color w:val="000000"/>
                <w:sz w:val="16"/>
                <w:lang w:val="en-GB"/>
              </w:rPr>
              <w:t>77,316</w:t>
            </w:r>
          </w:p>
        </w:tc>
      </w:tr>
      <w:tr w:rsidRPr="009C48DA" w:rsidR="00661519" w:rsidTr="00661519" w14:paraId="1C3A6A50" w14:textId="77777777">
        <w:tc>
          <w:tcPr>
            <w:tcW w:w="3227" w:type="dxa"/>
          </w:tcPr>
          <w:p w:rsidRPr="009C48DA" w:rsidR="00661519" w:rsidP="00661519" w:rsidRDefault="00661519" w14:paraId="3A9385BF" w14:textId="77777777">
            <w:pPr>
              <w:jc w:val="both"/>
              <w:textAlignment w:val="baseline"/>
              <w:rPr>
                <w:rFonts w:eastAsia="Times New Roman"/>
                <w:color w:val="000000"/>
                <w:sz w:val="16"/>
                <w:lang w:val="en-GB"/>
              </w:rPr>
            </w:pPr>
            <w:r w:rsidRPr="009C48DA">
              <w:rPr>
                <w:rFonts w:eastAsia="Times New Roman"/>
                <w:color w:val="000000"/>
                <w:sz w:val="16"/>
                <w:lang w:val="en-GB"/>
              </w:rPr>
              <w:t>Other financial liabilities</w:t>
            </w:r>
          </w:p>
        </w:tc>
        <w:tc>
          <w:tcPr>
            <w:tcW w:w="1190" w:type="dxa"/>
            <w:vAlign w:val="bottom"/>
          </w:tcPr>
          <w:p w:rsidRPr="009C48DA" w:rsidR="00661519" w:rsidP="00661519" w:rsidRDefault="00661519" w14:paraId="487ED025"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4403FA87"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0" w:type="dxa"/>
            <w:vAlign w:val="bottom"/>
          </w:tcPr>
          <w:p w:rsidRPr="009C48DA" w:rsidR="00661519" w:rsidP="00661519" w:rsidRDefault="00661519" w14:paraId="67AED3C6" w14:textId="77777777">
            <w:pPr>
              <w:jc w:val="right"/>
              <w:textAlignment w:val="baseline"/>
              <w:rPr>
                <w:rFonts w:eastAsia="Times New Roman"/>
                <w:color w:val="000000"/>
                <w:sz w:val="16"/>
                <w:lang w:val="en-GB"/>
              </w:rPr>
            </w:pPr>
            <w:r w:rsidRPr="009C48DA">
              <w:rPr>
                <w:rFonts w:eastAsia="Times New Roman"/>
                <w:color w:val="000000"/>
                <w:sz w:val="16"/>
                <w:lang w:val="en-GB"/>
              </w:rPr>
              <w:t>2,096</w:t>
            </w:r>
          </w:p>
        </w:tc>
        <w:tc>
          <w:tcPr>
            <w:tcW w:w="1191" w:type="dxa"/>
            <w:vAlign w:val="bottom"/>
          </w:tcPr>
          <w:p w:rsidRPr="009C48DA" w:rsidR="00661519" w:rsidP="00661519" w:rsidRDefault="00661519" w14:paraId="38FF3EC1"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33173433" w14:textId="77777777">
            <w:pPr>
              <w:jc w:val="right"/>
              <w:textAlignment w:val="baseline"/>
              <w:rPr>
                <w:rFonts w:eastAsia="Times New Roman"/>
                <w:color w:val="000000"/>
                <w:sz w:val="16"/>
                <w:lang w:val="en-GB"/>
              </w:rPr>
            </w:pPr>
            <w:r w:rsidRPr="009C48DA">
              <w:rPr>
                <w:rFonts w:eastAsia="Times New Roman"/>
                <w:color w:val="000000"/>
                <w:sz w:val="16"/>
                <w:lang w:val="en-GB"/>
              </w:rPr>
              <w:t>2,096</w:t>
            </w:r>
          </w:p>
        </w:tc>
      </w:tr>
      <w:tr w:rsidRPr="009C48DA" w:rsidR="00661519" w:rsidTr="00661519" w14:paraId="072B7B60" w14:textId="77777777">
        <w:tc>
          <w:tcPr>
            <w:tcW w:w="3227" w:type="dxa"/>
          </w:tcPr>
          <w:p w:rsidRPr="009C48DA" w:rsidR="00661519" w:rsidP="00661519" w:rsidRDefault="00661519" w14:paraId="080D341E" w14:textId="77777777">
            <w:pPr>
              <w:jc w:val="both"/>
              <w:textAlignment w:val="baseline"/>
              <w:rPr>
                <w:rFonts w:eastAsia="Times New Roman"/>
                <w:color w:val="000000"/>
                <w:sz w:val="16"/>
                <w:lang w:val="en-GB"/>
              </w:rPr>
            </w:pPr>
            <w:r w:rsidRPr="009C48DA">
              <w:rPr>
                <w:rFonts w:eastAsia="Times New Roman"/>
                <w:color w:val="000000"/>
                <w:sz w:val="16"/>
                <w:lang w:val="en-GB"/>
              </w:rPr>
              <w:t>Derivative financial instruments</w:t>
            </w:r>
          </w:p>
        </w:tc>
        <w:tc>
          <w:tcPr>
            <w:tcW w:w="1190" w:type="dxa"/>
            <w:vAlign w:val="bottom"/>
          </w:tcPr>
          <w:p w:rsidRPr="009C48DA" w:rsidR="00661519" w:rsidP="00661519" w:rsidRDefault="00661519" w14:paraId="7D950716" w14:textId="77777777">
            <w:pPr>
              <w:jc w:val="right"/>
              <w:textAlignment w:val="baseline"/>
              <w:rPr>
                <w:rFonts w:eastAsia="Times New Roman"/>
                <w:color w:val="000000"/>
                <w:sz w:val="16"/>
                <w:lang w:val="en-GB"/>
              </w:rPr>
            </w:pPr>
            <w:r w:rsidRPr="009C48DA">
              <w:rPr>
                <w:rFonts w:eastAsia="Times New Roman"/>
                <w:color w:val="000000"/>
                <w:sz w:val="16"/>
                <w:lang w:val="en-GB"/>
              </w:rPr>
              <w:t>4,175</w:t>
            </w:r>
          </w:p>
        </w:tc>
        <w:tc>
          <w:tcPr>
            <w:tcW w:w="1191" w:type="dxa"/>
            <w:vAlign w:val="bottom"/>
          </w:tcPr>
          <w:p w:rsidRPr="009C48DA" w:rsidR="00661519" w:rsidP="00661519" w:rsidRDefault="00661519" w14:paraId="593DCCEE" w14:textId="77777777">
            <w:pPr>
              <w:jc w:val="right"/>
              <w:textAlignment w:val="baseline"/>
              <w:rPr>
                <w:rFonts w:eastAsia="Times New Roman"/>
                <w:color w:val="000000"/>
                <w:sz w:val="16"/>
                <w:lang w:val="en-GB"/>
              </w:rPr>
            </w:pPr>
            <w:r w:rsidRPr="009C48DA">
              <w:rPr>
                <w:rFonts w:eastAsia="Times New Roman"/>
                <w:color w:val="000000"/>
                <w:sz w:val="16"/>
                <w:lang w:val="en-GB"/>
              </w:rPr>
              <w:t>1,544</w:t>
            </w:r>
          </w:p>
        </w:tc>
        <w:tc>
          <w:tcPr>
            <w:tcW w:w="1190" w:type="dxa"/>
            <w:vAlign w:val="bottom"/>
          </w:tcPr>
          <w:p w:rsidRPr="009C48DA" w:rsidR="00661519" w:rsidP="00661519" w:rsidRDefault="00661519" w14:paraId="32EB9CB4"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13E781DB"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336D6795" w14:textId="77777777">
            <w:pPr>
              <w:jc w:val="right"/>
              <w:textAlignment w:val="baseline"/>
              <w:rPr>
                <w:rFonts w:eastAsia="Times New Roman"/>
                <w:color w:val="000000"/>
                <w:sz w:val="16"/>
                <w:lang w:val="en-GB"/>
              </w:rPr>
            </w:pPr>
            <w:r w:rsidRPr="009C48DA">
              <w:rPr>
                <w:rFonts w:eastAsia="Times New Roman"/>
                <w:color w:val="000000"/>
                <w:sz w:val="16"/>
                <w:lang w:val="en-GB"/>
              </w:rPr>
              <w:t>5,719</w:t>
            </w:r>
          </w:p>
        </w:tc>
      </w:tr>
      <w:tr w:rsidRPr="009C48DA" w:rsidR="00661519" w:rsidTr="00661519" w14:paraId="4AD4C154" w14:textId="77777777">
        <w:tc>
          <w:tcPr>
            <w:tcW w:w="3227" w:type="dxa"/>
          </w:tcPr>
          <w:p w:rsidRPr="009C48DA" w:rsidR="00661519" w:rsidP="00661519" w:rsidRDefault="00661519" w14:paraId="2A28C6DA" w14:textId="77777777">
            <w:pPr>
              <w:jc w:val="both"/>
              <w:textAlignment w:val="baseline"/>
              <w:rPr>
                <w:rFonts w:eastAsia="Times New Roman"/>
                <w:color w:val="000000"/>
                <w:sz w:val="16"/>
                <w:lang w:val="en-GB"/>
              </w:rPr>
            </w:pPr>
            <w:r w:rsidRPr="009C48DA">
              <w:rPr>
                <w:rFonts w:eastAsia="Times New Roman"/>
                <w:color w:val="000000"/>
                <w:sz w:val="16"/>
                <w:lang w:val="en-GB"/>
              </w:rPr>
              <w:t>Trade and other payables</w:t>
            </w:r>
          </w:p>
        </w:tc>
        <w:tc>
          <w:tcPr>
            <w:tcW w:w="1190" w:type="dxa"/>
            <w:vAlign w:val="bottom"/>
          </w:tcPr>
          <w:p w:rsidRPr="009C48DA" w:rsidR="00661519" w:rsidP="00661519" w:rsidRDefault="00661519" w14:paraId="79615CC7" w14:textId="77777777">
            <w:pPr>
              <w:jc w:val="right"/>
              <w:textAlignment w:val="baseline"/>
              <w:rPr>
                <w:rFonts w:eastAsia="Times New Roman"/>
                <w:color w:val="000000"/>
                <w:sz w:val="16"/>
                <w:lang w:val="en-GB"/>
              </w:rPr>
            </w:pPr>
            <w:r w:rsidRPr="009C48DA">
              <w:rPr>
                <w:rFonts w:eastAsia="Times New Roman"/>
                <w:color w:val="000000"/>
                <w:sz w:val="16"/>
                <w:lang w:val="en-GB"/>
              </w:rPr>
              <w:t>63,660</w:t>
            </w:r>
          </w:p>
        </w:tc>
        <w:tc>
          <w:tcPr>
            <w:tcW w:w="1191" w:type="dxa"/>
            <w:vAlign w:val="bottom"/>
          </w:tcPr>
          <w:p w:rsidRPr="009C48DA" w:rsidR="00661519" w:rsidP="00661519" w:rsidRDefault="00661519" w14:paraId="2731385A" w14:textId="77777777">
            <w:pPr>
              <w:jc w:val="right"/>
              <w:textAlignment w:val="baseline"/>
              <w:rPr>
                <w:rFonts w:eastAsia="Times New Roman"/>
                <w:color w:val="000000"/>
                <w:sz w:val="16"/>
                <w:lang w:val="en-GB"/>
              </w:rPr>
            </w:pPr>
            <w:r w:rsidRPr="009C48DA">
              <w:rPr>
                <w:rFonts w:eastAsia="Times New Roman"/>
                <w:color w:val="000000"/>
                <w:sz w:val="16"/>
                <w:lang w:val="en-GB"/>
              </w:rPr>
              <w:t>480</w:t>
            </w:r>
          </w:p>
        </w:tc>
        <w:tc>
          <w:tcPr>
            <w:tcW w:w="1190" w:type="dxa"/>
            <w:vAlign w:val="bottom"/>
          </w:tcPr>
          <w:p w:rsidRPr="009C48DA" w:rsidR="00661519" w:rsidP="00661519" w:rsidRDefault="00661519" w14:paraId="264BAA7D"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3FD8566D"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69786558" w14:textId="77777777">
            <w:pPr>
              <w:jc w:val="right"/>
              <w:textAlignment w:val="baseline"/>
              <w:rPr>
                <w:rFonts w:eastAsia="Times New Roman"/>
                <w:color w:val="000000"/>
                <w:sz w:val="16"/>
                <w:lang w:val="en-GB"/>
              </w:rPr>
            </w:pPr>
            <w:r w:rsidRPr="009C48DA">
              <w:rPr>
                <w:rFonts w:eastAsia="Times New Roman"/>
                <w:color w:val="000000"/>
                <w:sz w:val="16"/>
                <w:lang w:val="en-GB"/>
              </w:rPr>
              <w:t>64,140</w:t>
            </w:r>
          </w:p>
        </w:tc>
      </w:tr>
      <w:tr w:rsidRPr="009C48DA" w:rsidR="00661519" w:rsidTr="00661519" w14:paraId="33DD25B3" w14:textId="77777777">
        <w:tc>
          <w:tcPr>
            <w:tcW w:w="3227" w:type="dxa"/>
          </w:tcPr>
          <w:p w:rsidRPr="009C48DA" w:rsidR="00661519" w:rsidP="00661519" w:rsidRDefault="00661519" w14:paraId="5F097D9E" w14:textId="77777777">
            <w:pPr>
              <w:jc w:val="both"/>
              <w:textAlignment w:val="baseline"/>
              <w:rPr>
                <w:rFonts w:eastAsia="Times New Roman"/>
                <w:color w:val="000000"/>
                <w:sz w:val="16"/>
                <w:lang w:val="en-GB"/>
              </w:rPr>
            </w:pPr>
            <w:r w:rsidRPr="009C48DA">
              <w:rPr>
                <w:rFonts w:eastAsia="Times New Roman"/>
                <w:color w:val="000000"/>
                <w:sz w:val="16"/>
                <w:lang w:val="en-GB"/>
              </w:rPr>
              <w:t>Deferred contingent consideration</w:t>
            </w:r>
          </w:p>
        </w:tc>
        <w:tc>
          <w:tcPr>
            <w:tcW w:w="1190" w:type="dxa"/>
            <w:vAlign w:val="bottom"/>
          </w:tcPr>
          <w:p w:rsidRPr="009C48DA" w:rsidR="00661519" w:rsidP="00661519" w:rsidRDefault="00661519" w14:paraId="0A2508E4"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49D2DB49"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0" w:type="dxa"/>
            <w:vAlign w:val="bottom"/>
          </w:tcPr>
          <w:p w:rsidRPr="009C48DA" w:rsidR="00661519" w:rsidP="00661519" w:rsidRDefault="00661519" w14:paraId="39334BCC"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7FEFA780"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27F9C3E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2BD75776" w14:textId="77777777">
        <w:tc>
          <w:tcPr>
            <w:tcW w:w="3227" w:type="dxa"/>
          </w:tcPr>
          <w:p w:rsidRPr="009C48DA" w:rsidR="00661519" w:rsidP="00661519" w:rsidRDefault="00661519" w14:paraId="45FC0105" w14:textId="77777777">
            <w:pPr>
              <w:jc w:val="both"/>
              <w:textAlignment w:val="baseline"/>
              <w:rPr>
                <w:rFonts w:eastAsia="Times New Roman"/>
                <w:color w:val="000000"/>
                <w:sz w:val="16"/>
                <w:lang w:val="en-GB"/>
              </w:rPr>
            </w:pPr>
            <w:r w:rsidRPr="009C48DA">
              <w:rPr>
                <w:rFonts w:eastAsia="Times New Roman"/>
                <w:color w:val="000000"/>
                <w:sz w:val="16"/>
                <w:lang w:val="en-GB"/>
              </w:rPr>
              <w:t>Lease liabilities</w:t>
            </w:r>
          </w:p>
        </w:tc>
        <w:tc>
          <w:tcPr>
            <w:tcW w:w="1190" w:type="dxa"/>
            <w:vAlign w:val="bottom"/>
          </w:tcPr>
          <w:p w:rsidRPr="009C48DA" w:rsidR="00661519" w:rsidP="00661519" w:rsidRDefault="00661519" w14:paraId="6FBFF11C"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6,061</w:t>
            </w:r>
          </w:p>
        </w:tc>
        <w:tc>
          <w:tcPr>
            <w:tcW w:w="1191" w:type="dxa"/>
            <w:vAlign w:val="bottom"/>
          </w:tcPr>
          <w:p w:rsidRPr="009C48DA" w:rsidR="00661519" w:rsidP="00661519" w:rsidRDefault="00661519" w14:paraId="3191A646"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6,269</w:t>
            </w:r>
          </w:p>
        </w:tc>
        <w:tc>
          <w:tcPr>
            <w:tcW w:w="1190" w:type="dxa"/>
            <w:vAlign w:val="bottom"/>
          </w:tcPr>
          <w:p w:rsidRPr="009C48DA" w:rsidR="00661519" w:rsidP="00661519" w:rsidRDefault="00661519" w14:paraId="3BA4A2DF"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20,196</w:t>
            </w:r>
          </w:p>
        </w:tc>
        <w:tc>
          <w:tcPr>
            <w:tcW w:w="1191" w:type="dxa"/>
            <w:vAlign w:val="bottom"/>
          </w:tcPr>
          <w:p w:rsidRPr="009C48DA" w:rsidR="00661519" w:rsidP="00661519" w:rsidRDefault="00661519" w14:paraId="36091DE1"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25,956</w:t>
            </w:r>
          </w:p>
        </w:tc>
        <w:tc>
          <w:tcPr>
            <w:tcW w:w="1191" w:type="dxa"/>
            <w:vAlign w:val="bottom"/>
          </w:tcPr>
          <w:p w:rsidRPr="009C48DA" w:rsidR="00661519" w:rsidP="00661519" w:rsidRDefault="00661519" w14:paraId="16CC048D"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58,482</w:t>
            </w:r>
          </w:p>
        </w:tc>
      </w:tr>
      <w:tr w:rsidRPr="009C48DA" w:rsidR="00661519" w:rsidTr="00661519" w14:paraId="694AE0FB" w14:textId="77777777">
        <w:trPr>
          <w:trHeight w:val="387"/>
        </w:trPr>
        <w:tc>
          <w:tcPr>
            <w:tcW w:w="3227" w:type="dxa"/>
            <w:vAlign w:val="bottom"/>
          </w:tcPr>
          <w:p w:rsidRPr="009C48DA" w:rsidR="00661519" w:rsidP="00661519" w:rsidRDefault="00661519" w14:paraId="7F431338" w14:textId="77777777">
            <w:pPr>
              <w:jc w:val="both"/>
              <w:textAlignment w:val="baseline"/>
              <w:rPr>
                <w:rFonts w:eastAsia="Times New Roman"/>
                <w:color w:val="000000"/>
                <w:sz w:val="16"/>
                <w:lang w:val="en-GB"/>
              </w:rPr>
            </w:pPr>
          </w:p>
          <w:p w:rsidRPr="009C48DA" w:rsidR="00661519" w:rsidP="00661519" w:rsidRDefault="00661519" w14:paraId="4B4544E1" w14:textId="77777777">
            <w:pPr>
              <w:jc w:val="both"/>
              <w:textAlignment w:val="baseline"/>
              <w:rPr>
                <w:rFonts w:eastAsia="Times New Roman"/>
                <w:b/>
                <w:color w:val="000000"/>
                <w:sz w:val="16"/>
                <w:lang w:val="en-GB"/>
              </w:rPr>
            </w:pPr>
            <w:r w:rsidRPr="009C48DA">
              <w:rPr>
                <w:rFonts w:eastAsia="Times New Roman"/>
                <w:b/>
                <w:color w:val="000000"/>
                <w:sz w:val="16"/>
                <w:lang w:val="en-GB"/>
              </w:rPr>
              <w:t>Total</w:t>
            </w:r>
          </w:p>
        </w:tc>
        <w:tc>
          <w:tcPr>
            <w:tcW w:w="1190" w:type="dxa"/>
            <w:vAlign w:val="bottom"/>
          </w:tcPr>
          <w:p w:rsidRPr="009C48DA" w:rsidR="00661519" w:rsidP="00661519" w:rsidRDefault="00661519" w14:paraId="3B703731"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73,896</w:t>
            </w:r>
          </w:p>
        </w:tc>
        <w:tc>
          <w:tcPr>
            <w:tcW w:w="1191" w:type="dxa"/>
            <w:vAlign w:val="bottom"/>
          </w:tcPr>
          <w:p w:rsidRPr="009C48DA" w:rsidR="00661519" w:rsidP="00661519" w:rsidRDefault="00661519" w14:paraId="5B022944"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85,609</w:t>
            </w:r>
          </w:p>
        </w:tc>
        <w:tc>
          <w:tcPr>
            <w:tcW w:w="1190" w:type="dxa"/>
            <w:vAlign w:val="bottom"/>
          </w:tcPr>
          <w:p w:rsidRPr="009C48DA" w:rsidR="00661519" w:rsidP="00661519" w:rsidRDefault="00661519" w14:paraId="7CF60711"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22,292</w:t>
            </w:r>
          </w:p>
        </w:tc>
        <w:tc>
          <w:tcPr>
            <w:tcW w:w="1191" w:type="dxa"/>
            <w:vAlign w:val="bottom"/>
          </w:tcPr>
          <w:p w:rsidRPr="009C48DA" w:rsidR="00661519" w:rsidP="00661519" w:rsidRDefault="00661519" w14:paraId="057A1090"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25,956</w:t>
            </w:r>
          </w:p>
        </w:tc>
        <w:tc>
          <w:tcPr>
            <w:tcW w:w="1191" w:type="dxa"/>
            <w:vAlign w:val="bottom"/>
          </w:tcPr>
          <w:p w:rsidRPr="009C48DA" w:rsidR="00661519" w:rsidP="00661519" w:rsidRDefault="00661519" w14:paraId="36DA21AE"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207,753</w:t>
            </w:r>
          </w:p>
        </w:tc>
      </w:tr>
    </w:tbl>
    <w:p w:rsidRPr="009C48DA" w:rsidR="00661519" w:rsidP="00661519" w:rsidRDefault="00661519" w14:paraId="78A5F60A" w14:textId="77777777">
      <w:pPr>
        <w:ind w:right="74"/>
        <w:textAlignment w:val="baseline"/>
        <w:rPr>
          <w:rFonts w:eastAsia="Times New Roman" w:cs="Times New Roman"/>
          <w:color w:val="000000"/>
          <w:sz w:val="16"/>
          <w:szCs w:val="22"/>
          <w:lang w:val="en-GB"/>
        </w:rPr>
      </w:pPr>
    </w:p>
    <w:p w:rsidRPr="009C48DA" w:rsidR="00661519" w:rsidP="00661519" w:rsidRDefault="00661519" w14:paraId="11DCDD50" w14:textId="77777777">
      <w:pPr>
        <w:ind w:right="74"/>
        <w:textAlignment w:val="baseline"/>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27"/>
        <w:gridCol w:w="1190"/>
        <w:gridCol w:w="1191"/>
        <w:gridCol w:w="1190"/>
        <w:gridCol w:w="1191"/>
        <w:gridCol w:w="1191"/>
      </w:tblGrid>
      <w:tr w:rsidRPr="009C48DA" w:rsidR="00661519" w:rsidTr="00661519" w14:paraId="34E75E21" w14:textId="77777777">
        <w:tc>
          <w:tcPr>
            <w:tcW w:w="3227" w:type="dxa"/>
            <w:vAlign w:val="bottom"/>
          </w:tcPr>
          <w:p w:rsidRPr="009C48DA" w:rsidR="00661519" w:rsidP="00661519" w:rsidRDefault="00661519" w14:paraId="61230D51" w14:textId="77777777">
            <w:pPr>
              <w:jc w:val="both"/>
              <w:textAlignment w:val="baseline"/>
              <w:rPr>
                <w:rFonts w:eastAsia="Times New Roman"/>
                <w:color w:val="000000"/>
                <w:sz w:val="16"/>
                <w:lang w:val="en-GB"/>
              </w:rPr>
            </w:pPr>
            <w:r w:rsidRPr="009C48DA">
              <w:rPr>
                <w:rFonts w:eastAsia="Times New Roman"/>
                <w:b/>
                <w:color w:val="000000"/>
                <w:sz w:val="16"/>
                <w:lang w:val="en-GB"/>
              </w:rPr>
              <w:t>As at 31 December 2019</w:t>
            </w:r>
          </w:p>
        </w:tc>
        <w:tc>
          <w:tcPr>
            <w:tcW w:w="1190" w:type="dxa"/>
            <w:vAlign w:val="bottom"/>
          </w:tcPr>
          <w:p w:rsidRPr="009C48DA" w:rsidR="00661519" w:rsidP="00661519" w:rsidRDefault="00661519" w14:paraId="18C2D2AA" w14:textId="77777777">
            <w:pPr>
              <w:jc w:val="center"/>
              <w:textAlignment w:val="baseline"/>
              <w:rPr>
                <w:rFonts w:eastAsia="Times New Roman"/>
                <w:b/>
                <w:color w:val="000000"/>
                <w:sz w:val="16"/>
                <w:lang w:val="en-GB"/>
              </w:rPr>
            </w:pPr>
            <w:r w:rsidRPr="009C48DA">
              <w:rPr>
                <w:rFonts w:eastAsia="Times New Roman"/>
                <w:b/>
                <w:color w:val="000000"/>
                <w:sz w:val="16"/>
                <w:lang w:val="en-GB"/>
              </w:rPr>
              <w:t>Due within 1 year</w:t>
            </w:r>
          </w:p>
          <w:p w:rsidRPr="009C48DA" w:rsidR="00661519" w:rsidP="00661519" w:rsidRDefault="00661519" w14:paraId="05188F5D"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191" w:type="dxa"/>
            <w:vAlign w:val="bottom"/>
          </w:tcPr>
          <w:p w:rsidRPr="009C48DA" w:rsidR="00661519" w:rsidP="00661519" w:rsidRDefault="00661519" w14:paraId="1A40A0D4" w14:textId="77777777">
            <w:pPr>
              <w:jc w:val="center"/>
              <w:textAlignment w:val="baseline"/>
              <w:rPr>
                <w:rFonts w:eastAsia="Times New Roman"/>
                <w:b/>
                <w:color w:val="000000"/>
                <w:sz w:val="16"/>
                <w:lang w:val="en-GB"/>
              </w:rPr>
            </w:pPr>
            <w:r w:rsidRPr="009C48DA">
              <w:rPr>
                <w:rFonts w:eastAsia="Times New Roman"/>
                <w:b/>
                <w:color w:val="000000"/>
                <w:sz w:val="16"/>
                <w:lang w:val="en-GB"/>
              </w:rPr>
              <w:t>Due between 1 and 2 years</w:t>
            </w:r>
          </w:p>
          <w:p w:rsidRPr="009C48DA" w:rsidR="00661519" w:rsidP="00661519" w:rsidRDefault="00661519" w14:paraId="3C66A7C7"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190" w:type="dxa"/>
            <w:vAlign w:val="bottom"/>
          </w:tcPr>
          <w:p w:rsidRPr="009C48DA" w:rsidR="00661519" w:rsidP="00661519" w:rsidRDefault="00661519" w14:paraId="493F5110" w14:textId="77777777">
            <w:pPr>
              <w:jc w:val="center"/>
              <w:textAlignment w:val="baseline"/>
              <w:rPr>
                <w:rFonts w:eastAsia="Times New Roman"/>
                <w:b/>
                <w:color w:val="000000"/>
                <w:sz w:val="16"/>
                <w:lang w:val="en-GB"/>
              </w:rPr>
            </w:pPr>
            <w:r w:rsidRPr="009C48DA">
              <w:rPr>
                <w:rFonts w:eastAsia="Times New Roman"/>
                <w:b/>
                <w:color w:val="000000"/>
                <w:sz w:val="16"/>
                <w:lang w:val="en-GB"/>
              </w:rPr>
              <w:t>Due within 2 and 5 years</w:t>
            </w:r>
          </w:p>
          <w:p w:rsidRPr="009C48DA" w:rsidR="00661519" w:rsidP="00661519" w:rsidRDefault="00661519" w14:paraId="1D15AF80" w14:textId="77777777">
            <w:pPr>
              <w:jc w:val="center"/>
              <w:textAlignment w:val="baseline"/>
              <w:rPr>
                <w:rFonts w:eastAsia="Times New Roman"/>
                <w:color w:val="000000"/>
                <w:sz w:val="16"/>
                <w:lang w:val="en-GB"/>
              </w:rPr>
            </w:pPr>
            <w:r w:rsidRPr="009C48DA">
              <w:rPr>
                <w:rFonts w:eastAsia="Times New Roman"/>
                <w:b/>
                <w:color w:val="000000"/>
                <w:sz w:val="16"/>
                <w:lang w:val="en-GB"/>
              </w:rPr>
              <w:t>£ 000</w:t>
            </w:r>
          </w:p>
        </w:tc>
        <w:tc>
          <w:tcPr>
            <w:tcW w:w="1191" w:type="dxa"/>
            <w:vAlign w:val="bottom"/>
          </w:tcPr>
          <w:p w:rsidRPr="009C48DA" w:rsidR="00661519" w:rsidP="00661519" w:rsidRDefault="00661519" w14:paraId="63FA8F6C" w14:textId="77777777">
            <w:pPr>
              <w:jc w:val="center"/>
              <w:textAlignment w:val="baseline"/>
              <w:rPr>
                <w:rFonts w:eastAsia="Times New Roman"/>
                <w:b/>
                <w:color w:val="000000"/>
                <w:sz w:val="16"/>
                <w:lang w:val="en-GB"/>
              </w:rPr>
            </w:pPr>
            <w:r w:rsidRPr="009C48DA">
              <w:rPr>
                <w:rFonts w:eastAsia="Times New Roman"/>
                <w:b/>
                <w:color w:val="000000"/>
                <w:sz w:val="16"/>
                <w:lang w:val="en-GB"/>
              </w:rPr>
              <w:t>Due more than 5 years</w:t>
            </w:r>
          </w:p>
          <w:p w:rsidRPr="009C48DA" w:rsidR="00661519" w:rsidP="00661519" w:rsidRDefault="00661519" w14:paraId="1E5D1ED8" w14:textId="77777777">
            <w:pPr>
              <w:jc w:val="center"/>
              <w:textAlignment w:val="baseline"/>
              <w:rPr>
                <w:rFonts w:eastAsia="Times New Roman"/>
                <w:color w:val="000000"/>
                <w:sz w:val="16"/>
                <w:lang w:val="en-GB"/>
              </w:rPr>
            </w:pPr>
            <w:r w:rsidRPr="009C48DA">
              <w:rPr>
                <w:rFonts w:eastAsia="Times New Roman"/>
                <w:b/>
                <w:color w:val="000000"/>
                <w:sz w:val="16"/>
                <w:lang w:val="en-GB"/>
              </w:rPr>
              <w:t>£ 000</w:t>
            </w:r>
          </w:p>
        </w:tc>
        <w:tc>
          <w:tcPr>
            <w:tcW w:w="1191" w:type="dxa"/>
            <w:vAlign w:val="bottom"/>
          </w:tcPr>
          <w:p w:rsidRPr="009C48DA" w:rsidR="00661519" w:rsidP="00661519" w:rsidRDefault="00661519" w14:paraId="7574FA90" w14:textId="77777777">
            <w:pPr>
              <w:jc w:val="center"/>
              <w:textAlignment w:val="baseline"/>
              <w:rPr>
                <w:rFonts w:eastAsia="Times New Roman"/>
                <w:b/>
                <w:color w:val="000000"/>
                <w:sz w:val="16"/>
                <w:lang w:val="en-GB"/>
              </w:rPr>
            </w:pPr>
            <w:r w:rsidRPr="009C48DA">
              <w:rPr>
                <w:rFonts w:eastAsia="Times New Roman"/>
                <w:b/>
                <w:color w:val="000000"/>
                <w:sz w:val="16"/>
                <w:lang w:val="en-GB"/>
              </w:rPr>
              <w:t>Total</w:t>
            </w:r>
          </w:p>
          <w:p w:rsidRPr="009C48DA" w:rsidR="00661519" w:rsidP="00661519" w:rsidRDefault="00661519" w14:paraId="23BD6C10" w14:textId="77777777">
            <w:pPr>
              <w:jc w:val="center"/>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2C75B767" w14:textId="77777777">
        <w:tc>
          <w:tcPr>
            <w:tcW w:w="3227" w:type="dxa"/>
          </w:tcPr>
          <w:p w:rsidRPr="009C48DA" w:rsidR="00661519" w:rsidP="00661519" w:rsidRDefault="00661519" w14:paraId="2B12FA4C"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Borrowings </w:t>
            </w:r>
          </w:p>
        </w:tc>
        <w:tc>
          <w:tcPr>
            <w:tcW w:w="1190" w:type="dxa"/>
            <w:vAlign w:val="bottom"/>
          </w:tcPr>
          <w:p w:rsidRPr="009C48DA" w:rsidR="00661519" w:rsidP="00661519" w:rsidRDefault="00661519" w14:paraId="1218F514" w14:textId="77777777">
            <w:pPr>
              <w:jc w:val="right"/>
              <w:textAlignment w:val="baseline"/>
              <w:rPr>
                <w:rFonts w:eastAsia="Times New Roman"/>
                <w:color w:val="000000"/>
                <w:sz w:val="16"/>
                <w:lang w:val="en-GB"/>
              </w:rPr>
            </w:pPr>
            <w:r w:rsidRPr="009C48DA">
              <w:rPr>
                <w:rFonts w:eastAsia="Times New Roman"/>
                <w:color w:val="000000"/>
                <w:sz w:val="16"/>
                <w:lang w:val="en-GB"/>
              </w:rPr>
              <w:t>23,036</w:t>
            </w:r>
          </w:p>
        </w:tc>
        <w:tc>
          <w:tcPr>
            <w:tcW w:w="1191" w:type="dxa"/>
            <w:vAlign w:val="bottom"/>
          </w:tcPr>
          <w:p w:rsidRPr="009C48DA" w:rsidR="00661519" w:rsidP="00661519" w:rsidRDefault="00661519" w14:paraId="627EADF8" w14:textId="77777777">
            <w:pPr>
              <w:jc w:val="right"/>
              <w:textAlignment w:val="baseline"/>
              <w:rPr>
                <w:rFonts w:eastAsia="Times New Roman"/>
                <w:color w:val="000000"/>
                <w:sz w:val="16"/>
                <w:lang w:val="en-GB"/>
              </w:rPr>
            </w:pPr>
            <w:r w:rsidRPr="009C48DA">
              <w:rPr>
                <w:rFonts w:eastAsia="Times New Roman"/>
                <w:color w:val="000000"/>
                <w:sz w:val="16"/>
                <w:lang w:val="en-GB"/>
              </w:rPr>
              <w:t>19,226</w:t>
            </w:r>
          </w:p>
        </w:tc>
        <w:tc>
          <w:tcPr>
            <w:tcW w:w="1190" w:type="dxa"/>
            <w:vAlign w:val="bottom"/>
          </w:tcPr>
          <w:p w:rsidRPr="009C48DA" w:rsidR="00661519" w:rsidP="00661519" w:rsidRDefault="00661519" w14:paraId="30E4FBA8"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5B971979"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4EB90EB3" w14:textId="77777777">
            <w:pPr>
              <w:jc w:val="right"/>
              <w:textAlignment w:val="baseline"/>
              <w:rPr>
                <w:rFonts w:eastAsia="Times New Roman"/>
                <w:color w:val="000000"/>
                <w:sz w:val="16"/>
                <w:lang w:val="en-GB"/>
              </w:rPr>
            </w:pPr>
            <w:r w:rsidRPr="009C48DA">
              <w:rPr>
                <w:rFonts w:eastAsia="Times New Roman"/>
                <w:color w:val="000000"/>
                <w:sz w:val="16"/>
                <w:lang w:val="en-GB"/>
              </w:rPr>
              <w:t>42,262</w:t>
            </w:r>
          </w:p>
        </w:tc>
      </w:tr>
      <w:tr w:rsidRPr="009C48DA" w:rsidR="00661519" w:rsidTr="00661519" w14:paraId="5F785B65" w14:textId="77777777">
        <w:tc>
          <w:tcPr>
            <w:tcW w:w="3227" w:type="dxa"/>
          </w:tcPr>
          <w:p w:rsidRPr="009C48DA" w:rsidR="00661519" w:rsidP="00661519" w:rsidRDefault="00661519" w14:paraId="3B09C41C" w14:textId="77777777">
            <w:pPr>
              <w:jc w:val="both"/>
              <w:textAlignment w:val="baseline"/>
              <w:rPr>
                <w:rFonts w:eastAsia="Times New Roman"/>
                <w:color w:val="000000"/>
                <w:sz w:val="16"/>
                <w:lang w:val="en-GB"/>
              </w:rPr>
            </w:pPr>
            <w:r w:rsidRPr="009C48DA">
              <w:rPr>
                <w:rFonts w:eastAsia="Times New Roman"/>
                <w:color w:val="000000"/>
                <w:sz w:val="16"/>
                <w:lang w:val="en-GB"/>
              </w:rPr>
              <w:t>Other financial liabilities</w:t>
            </w:r>
          </w:p>
        </w:tc>
        <w:tc>
          <w:tcPr>
            <w:tcW w:w="1190" w:type="dxa"/>
            <w:vAlign w:val="bottom"/>
          </w:tcPr>
          <w:p w:rsidRPr="009C48DA" w:rsidR="00661519" w:rsidP="00661519" w:rsidRDefault="00661519" w14:paraId="00B529E9"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41158AEA" w14:textId="77777777">
            <w:pPr>
              <w:jc w:val="right"/>
              <w:textAlignment w:val="baseline"/>
              <w:rPr>
                <w:rFonts w:eastAsia="Times New Roman"/>
                <w:color w:val="000000"/>
                <w:sz w:val="16"/>
                <w:lang w:val="en-GB"/>
              </w:rPr>
            </w:pPr>
            <w:r w:rsidRPr="009C48DA">
              <w:rPr>
                <w:rFonts w:eastAsia="Times New Roman"/>
                <w:color w:val="000000"/>
                <w:sz w:val="16"/>
                <w:lang w:val="en-GB"/>
              </w:rPr>
              <w:t>2,840</w:t>
            </w:r>
          </w:p>
        </w:tc>
        <w:tc>
          <w:tcPr>
            <w:tcW w:w="1190" w:type="dxa"/>
            <w:vAlign w:val="bottom"/>
          </w:tcPr>
          <w:p w:rsidRPr="009C48DA" w:rsidR="00661519" w:rsidP="00661519" w:rsidRDefault="00661519" w14:paraId="727F007B"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0D42734F"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494E64A8" w14:textId="77777777">
            <w:pPr>
              <w:jc w:val="right"/>
              <w:textAlignment w:val="baseline"/>
              <w:rPr>
                <w:rFonts w:eastAsia="Times New Roman"/>
                <w:color w:val="000000"/>
                <w:sz w:val="16"/>
                <w:lang w:val="en-GB"/>
              </w:rPr>
            </w:pPr>
            <w:r w:rsidRPr="009C48DA">
              <w:rPr>
                <w:rFonts w:eastAsia="Times New Roman"/>
                <w:color w:val="000000"/>
                <w:sz w:val="16"/>
                <w:lang w:val="en-GB"/>
              </w:rPr>
              <w:t>2,840</w:t>
            </w:r>
          </w:p>
        </w:tc>
      </w:tr>
      <w:tr w:rsidRPr="009C48DA" w:rsidR="00661519" w:rsidTr="00661519" w14:paraId="06C82D2A" w14:textId="77777777">
        <w:tc>
          <w:tcPr>
            <w:tcW w:w="3227" w:type="dxa"/>
          </w:tcPr>
          <w:p w:rsidRPr="009C48DA" w:rsidR="00661519" w:rsidP="00661519" w:rsidRDefault="00661519" w14:paraId="27570DC8" w14:textId="77777777">
            <w:pPr>
              <w:jc w:val="both"/>
              <w:textAlignment w:val="baseline"/>
              <w:rPr>
                <w:rFonts w:eastAsia="Times New Roman"/>
                <w:color w:val="000000"/>
                <w:sz w:val="16"/>
                <w:lang w:val="en-GB"/>
              </w:rPr>
            </w:pPr>
            <w:r w:rsidRPr="009C48DA">
              <w:rPr>
                <w:rFonts w:eastAsia="Times New Roman"/>
                <w:color w:val="000000"/>
                <w:sz w:val="16"/>
                <w:lang w:val="en-GB"/>
              </w:rPr>
              <w:t>Derivative financial instruments</w:t>
            </w:r>
          </w:p>
        </w:tc>
        <w:tc>
          <w:tcPr>
            <w:tcW w:w="1190" w:type="dxa"/>
            <w:vAlign w:val="bottom"/>
          </w:tcPr>
          <w:p w:rsidRPr="009C48DA" w:rsidR="00661519" w:rsidP="00661519" w:rsidRDefault="00661519" w14:paraId="51B86E33" w14:textId="77777777">
            <w:pPr>
              <w:jc w:val="right"/>
              <w:textAlignment w:val="baseline"/>
              <w:rPr>
                <w:rFonts w:eastAsia="Times New Roman"/>
                <w:color w:val="000000"/>
                <w:sz w:val="16"/>
                <w:lang w:val="en-GB"/>
              </w:rPr>
            </w:pPr>
            <w:r w:rsidRPr="009C48DA">
              <w:rPr>
                <w:rFonts w:eastAsia="Times New Roman"/>
                <w:color w:val="000000"/>
                <w:sz w:val="16"/>
                <w:lang w:val="en-GB"/>
              </w:rPr>
              <w:t>234</w:t>
            </w:r>
          </w:p>
        </w:tc>
        <w:tc>
          <w:tcPr>
            <w:tcW w:w="1191" w:type="dxa"/>
            <w:vAlign w:val="bottom"/>
          </w:tcPr>
          <w:p w:rsidRPr="009C48DA" w:rsidR="00661519" w:rsidP="00661519" w:rsidRDefault="00661519" w14:paraId="2B686B60" w14:textId="77777777">
            <w:pPr>
              <w:jc w:val="right"/>
              <w:textAlignment w:val="baseline"/>
              <w:rPr>
                <w:rFonts w:eastAsia="Times New Roman"/>
                <w:color w:val="000000"/>
                <w:sz w:val="16"/>
                <w:lang w:val="en-GB"/>
              </w:rPr>
            </w:pPr>
            <w:r w:rsidRPr="009C48DA">
              <w:rPr>
                <w:rFonts w:eastAsia="Times New Roman"/>
                <w:color w:val="000000"/>
                <w:sz w:val="16"/>
                <w:lang w:val="en-GB"/>
              </w:rPr>
              <w:t>85</w:t>
            </w:r>
          </w:p>
        </w:tc>
        <w:tc>
          <w:tcPr>
            <w:tcW w:w="1190" w:type="dxa"/>
            <w:vAlign w:val="bottom"/>
          </w:tcPr>
          <w:p w:rsidRPr="009C48DA" w:rsidR="00661519" w:rsidP="00661519" w:rsidRDefault="00661519" w14:paraId="5FEC1B56" w14:textId="77777777">
            <w:pPr>
              <w:jc w:val="right"/>
              <w:textAlignment w:val="baseline"/>
              <w:rPr>
                <w:rFonts w:eastAsia="Times New Roman"/>
                <w:color w:val="000000"/>
                <w:sz w:val="16"/>
                <w:lang w:val="en-GB"/>
              </w:rPr>
            </w:pPr>
            <w:r w:rsidRPr="009C48DA">
              <w:rPr>
                <w:rFonts w:eastAsia="Times New Roman"/>
                <w:color w:val="000000"/>
                <w:sz w:val="16"/>
                <w:lang w:val="en-GB"/>
              </w:rPr>
              <w:t>46</w:t>
            </w:r>
          </w:p>
        </w:tc>
        <w:tc>
          <w:tcPr>
            <w:tcW w:w="1191" w:type="dxa"/>
            <w:vAlign w:val="bottom"/>
          </w:tcPr>
          <w:p w:rsidRPr="009C48DA" w:rsidR="00661519" w:rsidP="00661519" w:rsidRDefault="00661519" w14:paraId="7FE1ADCC"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0FD5591B" w14:textId="77777777">
            <w:pPr>
              <w:jc w:val="right"/>
              <w:textAlignment w:val="baseline"/>
              <w:rPr>
                <w:rFonts w:eastAsia="Times New Roman"/>
                <w:color w:val="000000"/>
                <w:sz w:val="16"/>
                <w:lang w:val="en-GB"/>
              </w:rPr>
            </w:pPr>
            <w:r w:rsidRPr="009C48DA">
              <w:rPr>
                <w:rFonts w:eastAsia="Times New Roman"/>
                <w:color w:val="000000"/>
                <w:sz w:val="16"/>
                <w:lang w:val="en-GB"/>
              </w:rPr>
              <w:t>365</w:t>
            </w:r>
          </w:p>
        </w:tc>
      </w:tr>
      <w:tr w:rsidRPr="009C48DA" w:rsidR="00661519" w:rsidTr="00661519" w14:paraId="5470A0DD" w14:textId="77777777">
        <w:tc>
          <w:tcPr>
            <w:tcW w:w="3227" w:type="dxa"/>
          </w:tcPr>
          <w:p w:rsidRPr="009C48DA" w:rsidR="00661519" w:rsidP="00661519" w:rsidRDefault="00661519" w14:paraId="48795B41" w14:textId="77777777">
            <w:pPr>
              <w:jc w:val="both"/>
              <w:textAlignment w:val="baseline"/>
              <w:rPr>
                <w:rFonts w:eastAsia="Times New Roman"/>
                <w:color w:val="000000"/>
                <w:sz w:val="16"/>
                <w:lang w:val="en-GB"/>
              </w:rPr>
            </w:pPr>
            <w:r w:rsidRPr="009C48DA">
              <w:rPr>
                <w:rFonts w:eastAsia="Times New Roman"/>
                <w:color w:val="000000"/>
                <w:sz w:val="16"/>
                <w:lang w:val="en-GB"/>
              </w:rPr>
              <w:t>Trade and other payables</w:t>
            </w:r>
          </w:p>
        </w:tc>
        <w:tc>
          <w:tcPr>
            <w:tcW w:w="1190" w:type="dxa"/>
            <w:vAlign w:val="bottom"/>
          </w:tcPr>
          <w:p w:rsidRPr="009C48DA" w:rsidR="00661519" w:rsidP="00661519" w:rsidRDefault="00661519" w14:paraId="72AEB2E3" w14:textId="77777777">
            <w:pPr>
              <w:jc w:val="right"/>
              <w:textAlignment w:val="baseline"/>
              <w:rPr>
                <w:rFonts w:eastAsia="Times New Roman"/>
                <w:color w:val="000000"/>
                <w:sz w:val="16"/>
                <w:lang w:val="en-GB"/>
              </w:rPr>
            </w:pPr>
            <w:r w:rsidRPr="009C48DA">
              <w:rPr>
                <w:rFonts w:eastAsia="Times New Roman"/>
                <w:color w:val="000000"/>
                <w:sz w:val="16"/>
                <w:lang w:val="en-GB"/>
              </w:rPr>
              <w:t>41,545</w:t>
            </w:r>
          </w:p>
        </w:tc>
        <w:tc>
          <w:tcPr>
            <w:tcW w:w="1191" w:type="dxa"/>
            <w:vAlign w:val="bottom"/>
          </w:tcPr>
          <w:p w:rsidRPr="009C48DA" w:rsidR="00661519" w:rsidP="00661519" w:rsidRDefault="00661519" w14:paraId="3311AC58" w14:textId="77777777">
            <w:pPr>
              <w:jc w:val="right"/>
              <w:textAlignment w:val="baseline"/>
              <w:rPr>
                <w:rFonts w:eastAsia="Times New Roman"/>
                <w:color w:val="000000"/>
                <w:sz w:val="16"/>
                <w:lang w:val="en-GB"/>
              </w:rPr>
            </w:pPr>
            <w:r w:rsidRPr="009C48DA">
              <w:rPr>
                <w:rFonts w:eastAsia="Times New Roman"/>
                <w:color w:val="000000"/>
                <w:sz w:val="16"/>
                <w:lang w:val="en-GB"/>
              </w:rPr>
              <w:t>515</w:t>
            </w:r>
          </w:p>
        </w:tc>
        <w:tc>
          <w:tcPr>
            <w:tcW w:w="1190" w:type="dxa"/>
            <w:vAlign w:val="bottom"/>
          </w:tcPr>
          <w:p w:rsidRPr="009C48DA" w:rsidR="00661519" w:rsidP="00661519" w:rsidRDefault="00661519" w14:paraId="480D8BCD"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4AB91D8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3AAE86A8" w14:textId="77777777">
            <w:pPr>
              <w:jc w:val="right"/>
              <w:textAlignment w:val="baseline"/>
              <w:rPr>
                <w:rFonts w:eastAsia="Times New Roman"/>
                <w:color w:val="000000"/>
                <w:sz w:val="16"/>
                <w:lang w:val="en-GB"/>
              </w:rPr>
            </w:pPr>
            <w:r w:rsidRPr="009C48DA">
              <w:rPr>
                <w:rFonts w:eastAsia="Times New Roman"/>
                <w:color w:val="000000"/>
                <w:sz w:val="16"/>
                <w:lang w:val="en-GB"/>
              </w:rPr>
              <w:t>42,060</w:t>
            </w:r>
          </w:p>
        </w:tc>
      </w:tr>
      <w:tr w:rsidRPr="009C48DA" w:rsidR="00661519" w:rsidTr="00661519" w14:paraId="796B08D6" w14:textId="77777777">
        <w:tc>
          <w:tcPr>
            <w:tcW w:w="3227" w:type="dxa"/>
          </w:tcPr>
          <w:p w:rsidRPr="009C48DA" w:rsidR="00661519" w:rsidP="00661519" w:rsidRDefault="00661519" w14:paraId="7FD82336" w14:textId="77777777">
            <w:pPr>
              <w:jc w:val="both"/>
              <w:textAlignment w:val="baseline"/>
              <w:rPr>
                <w:rFonts w:eastAsia="Times New Roman"/>
                <w:color w:val="000000"/>
                <w:sz w:val="16"/>
                <w:lang w:val="en-GB"/>
              </w:rPr>
            </w:pPr>
            <w:r w:rsidRPr="009C48DA">
              <w:rPr>
                <w:rFonts w:eastAsia="Times New Roman"/>
                <w:color w:val="000000"/>
                <w:sz w:val="16"/>
                <w:lang w:val="en-GB"/>
              </w:rPr>
              <w:t>Deferred contingent consideration</w:t>
            </w:r>
          </w:p>
        </w:tc>
        <w:tc>
          <w:tcPr>
            <w:tcW w:w="1190" w:type="dxa"/>
            <w:vAlign w:val="bottom"/>
          </w:tcPr>
          <w:p w:rsidRPr="009C48DA" w:rsidR="00661519" w:rsidP="00661519" w:rsidRDefault="00661519" w14:paraId="21CBC229"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20E455F8"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0" w:type="dxa"/>
            <w:vAlign w:val="bottom"/>
          </w:tcPr>
          <w:p w:rsidRPr="009C48DA" w:rsidR="00661519" w:rsidP="00661519" w:rsidRDefault="00661519" w14:paraId="72C2D1F9"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36FE3737"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51991943"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61D958B7" w14:textId="77777777">
        <w:tc>
          <w:tcPr>
            <w:tcW w:w="3227" w:type="dxa"/>
          </w:tcPr>
          <w:p w:rsidRPr="009C48DA" w:rsidR="00661519" w:rsidP="00661519" w:rsidRDefault="00661519" w14:paraId="1A3EF05B" w14:textId="77777777">
            <w:pPr>
              <w:jc w:val="both"/>
              <w:textAlignment w:val="baseline"/>
              <w:rPr>
                <w:rFonts w:eastAsia="Times New Roman"/>
                <w:color w:val="000000"/>
                <w:sz w:val="16"/>
                <w:lang w:val="en-GB"/>
              </w:rPr>
            </w:pPr>
            <w:r w:rsidRPr="009C48DA">
              <w:rPr>
                <w:rFonts w:eastAsia="Times New Roman"/>
                <w:color w:val="000000"/>
                <w:sz w:val="16"/>
                <w:lang w:val="en-GB"/>
              </w:rPr>
              <w:t>Lease liabilities</w:t>
            </w:r>
          </w:p>
        </w:tc>
        <w:tc>
          <w:tcPr>
            <w:tcW w:w="1190" w:type="dxa"/>
            <w:vAlign w:val="bottom"/>
          </w:tcPr>
          <w:p w:rsidRPr="009C48DA" w:rsidR="00661519" w:rsidP="00661519" w:rsidRDefault="00661519" w14:paraId="7B979B36"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7,748</w:t>
            </w:r>
          </w:p>
        </w:tc>
        <w:tc>
          <w:tcPr>
            <w:tcW w:w="1191" w:type="dxa"/>
            <w:vAlign w:val="bottom"/>
          </w:tcPr>
          <w:p w:rsidRPr="009C48DA" w:rsidR="00661519" w:rsidP="00661519" w:rsidRDefault="00661519" w14:paraId="022A63C0"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7,753</w:t>
            </w:r>
          </w:p>
        </w:tc>
        <w:tc>
          <w:tcPr>
            <w:tcW w:w="1190" w:type="dxa"/>
            <w:vAlign w:val="bottom"/>
          </w:tcPr>
          <w:p w:rsidRPr="009C48DA" w:rsidR="00661519" w:rsidP="00661519" w:rsidRDefault="00661519" w14:paraId="2F417D6A"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21,087</w:t>
            </w:r>
          </w:p>
        </w:tc>
        <w:tc>
          <w:tcPr>
            <w:tcW w:w="1191" w:type="dxa"/>
            <w:vAlign w:val="bottom"/>
          </w:tcPr>
          <w:p w:rsidRPr="009C48DA" w:rsidR="00661519" w:rsidP="00661519" w:rsidRDefault="00661519" w14:paraId="7E751BFB"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19,546</w:t>
            </w:r>
          </w:p>
        </w:tc>
        <w:tc>
          <w:tcPr>
            <w:tcW w:w="1191" w:type="dxa"/>
            <w:vAlign w:val="bottom"/>
          </w:tcPr>
          <w:p w:rsidRPr="009C48DA" w:rsidR="00661519" w:rsidP="00661519" w:rsidRDefault="00661519" w14:paraId="6DBF602C"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56,134</w:t>
            </w:r>
          </w:p>
        </w:tc>
      </w:tr>
      <w:tr w:rsidRPr="009C48DA" w:rsidR="00661519" w:rsidTr="00661519" w14:paraId="608E8485" w14:textId="77777777">
        <w:trPr>
          <w:trHeight w:val="74"/>
        </w:trPr>
        <w:tc>
          <w:tcPr>
            <w:tcW w:w="3227" w:type="dxa"/>
            <w:vAlign w:val="bottom"/>
          </w:tcPr>
          <w:p w:rsidRPr="009C48DA" w:rsidR="00661519" w:rsidP="00661519" w:rsidRDefault="00661519" w14:paraId="6A2D5180" w14:textId="77777777">
            <w:pPr>
              <w:jc w:val="both"/>
              <w:textAlignment w:val="baseline"/>
              <w:rPr>
                <w:rFonts w:eastAsia="Times New Roman"/>
                <w:color w:val="000000"/>
                <w:sz w:val="16"/>
                <w:lang w:val="en-GB"/>
              </w:rPr>
            </w:pPr>
          </w:p>
          <w:p w:rsidRPr="009C48DA" w:rsidR="00661519" w:rsidP="00661519" w:rsidRDefault="00661519" w14:paraId="679C805A" w14:textId="77777777">
            <w:pPr>
              <w:jc w:val="both"/>
              <w:textAlignment w:val="baseline"/>
              <w:rPr>
                <w:rFonts w:eastAsia="Times New Roman"/>
                <w:b/>
                <w:color w:val="000000"/>
                <w:sz w:val="16"/>
                <w:lang w:val="en-GB"/>
              </w:rPr>
            </w:pPr>
            <w:r w:rsidRPr="009C48DA">
              <w:rPr>
                <w:rFonts w:eastAsia="Times New Roman"/>
                <w:b/>
                <w:color w:val="000000"/>
                <w:sz w:val="16"/>
                <w:lang w:val="en-GB"/>
              </w:rPr>
              <w:t>Total</w:t>
            </w:r>
          </w:p>
        </w:tc>
        <w:tc>
          <w:tcPr>
            <w:tcW w:w="1190" w:type="dxa"/>
            <w:vAlign w:val="bottom"/>
          </w:tcPr>
          <w:p w:rsidRPr="009C48DA" w:rsidR="00661519" w:rsidP="00661519" w:rsidRDefault="00661519" w14:paraId="79F4E943"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72,563</w:t>
            </w:r>
          </w:p>
        </w:tc>
        <w:tc>
          <w:tcPr>
            <w:tcW w:w="1191" w:type="dxa"/>
            <w:vAlign w:val="bottom"/>
          </w:tcPr>
          <w:p w:rsidRPr="009C48DA" w:rsidR="00661519" w:rsidP="00661519" w:rsidRDefault="00661519" w14:paraId="43A5B71C"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30,419</w:t>
            </w:r>
          </w:p>
        </w:tc>
        <w:tc>
          <w:tcPr>
            <w:tcW w:w="1190" w:type="dxa"/>
            <w:vAlign w:val="bottom"/>
          </w:tcPr>
          <w:p w:rsidRPr="009C48DA" w:rsidR="00661519" w:rsidP="00661519" w:rsidRDefault="00661519" w14:paraId="476E8C1B"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21,133</w:t>
            </w:r>
          </w:p>
        </w:tc>
        <w:tc>
          <w:tcPr>
            <w:tcW w:w="1191" w:type="dxa"/>
            <w:vAlign w:val="bottom"/>
          </w:tcPr>
          <w:p w:rsidRPr="009C48DA" w:rsidR="00661519" w:rsidP="00661519" w:rsidRDefault="00661519" w14:paraId="7701C6F7"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19,546</w:t>
            </w:r>
          </w:p>
        </w:tc>
        <w:tc>
          <w:tcPr>
            <w:tcW w:w="1191" w:type="dxa"/>
            <w:vAlign w:val="bottom"/>
          </w:tcPr>
          <w:p w:rsidRPr="009C48DA" w:rsidR="00661519" w:rsidP="00661519" w:rsidRDefault="00661519" w14:paraId="1A3AE5CC"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143,661</w:t>
            </w:r>
          </w:p>
        </w:tc>
      </w:tr>
    </w:tbl>
    <w:p w:rsidRPr="009C48DA" w:rsidR="00661519" w:rsidP="00661519" w:rsidRDefault="00661519" w14:paraId="567ED21C" w14:textId="77777777">
      <w:pPr>
        <w:ind w:right="74"/>
        <w:textAlignment w:val="baseline"/>
        <w:rPr>
          <w:rFonts w:eastAsia="Times New Roman" w:cs="Times New Roman"/>
          <w:color w:val="000000"/>
          <w:sz w:val="16"/>
          <w:szCs w:val="22"/>
          <w:lang w:val="en-GB"/>
        </w:rPr>
      </w:pPr>
    </w:p>
    <w:p w:rsidRPr="009C48DA" w:rsidR="00661519" w:rsidP="00661519" w:rsidRDefault="00661519" w14:paraId="5A4F564F" w14:textId="77777777">
      <w:pPr>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27"/>
        <w:gridCol w:w="1190"/>
        <w:gridCol w:w="1191"/>
        <w:gridCol w:w="1190"/>
        <w:gridCol w:w="1191"/>
        <w:gridCol w:w="1191"/>
      </w:tblGrid>
      <w:tr w:rsidRPr="009C48DA" w:rsidR="00661519" w:rsidTr="00661519" w14:paraId="588E64C9" w14:textId="77777777">
        <w:tc>
          <w:tcPr>
            <w:tcW w:w="3227" w:type="dxa"/>
            <w:vAlign w:val="bottom"/>
          </w:tcPr>
          <w:p w:rsidRPr="009C48DA" w:rsidR="00661519" w:rsidP="00661519" w:rsidRDefault="00661519" w14:paraId="30AF023F" w14:textId="77777777">
            <w:pPr>
              <w:jc w:val="both"/>
              <w:textAlignment w:val="baseline"/>
              <w:rPr>
                <w:rFonts w:eastAsia="Times New Roman"/>
                <w:color w:val="000000"/>
                <w:sz w:val="16"/>
                <w:lang w:val="en-GB"/>
              </w:rPr>
            </w:pPr>
            <w:r w:rsidRPr="009C48DA">
              <w:rPr>
                <w:rFonts w:eastAsia="Times New Roman"/>
                <w:b/>
                <w:color w:val="000000"/>
                <w:sz w:val="16"/>
                <w:lang w:val="en-GB"/>
              </w:rPr>
              <w:t>As at 31 December 2020</w:t>
            </w:r>
          </w:p>
        </w:tc>
        <w:tc>
          <w:tcPr>
            <w:tcW w:w="1190" w:type="dxa"/>
            <w:vAlign w:val="bottom"/>
          </w:tcPr>
          <w:p w:rsidRPr="009C48DA" w:rsidR="00661519" w:rsidP="00661519" w:rsidRDefault="00661519" w14:paraId="44F5F3CB" w14:textId="77777777">
            <w:pPr>
              <w:jc w:val="center"/>
              <w:textAlignment w:val="baseline"/>
              <w:rPr>
                <w:rFonts w:eastAsia="Times New Roman"/>
                <w:b/>
                <w:color w:val="000000"/>
                <w:sz w:val="16"/>
                <w:lang w:val="en-GB"/>
              </w:rPr>
            </w:pPr>
            <w:r w:rsidRPr="009C48DA">
              <w:rPr>
                <w:rFonts w:eastAsia="Times New Roman"/>
                <w:b/>
                <w:color w:val="000000"/>
                <w:sz w:val="16"/>
                <w:lang w:val="en-GB"/>
              </w:rPr>
              <w:t>Due within 1 year</w:t>
            </w:r>
          </w:p>
          <w:p w:rsidRPr="009C48DA" w:rsidR="00661519" w:rsidP="00661519" w:rsidRDefault="00661519" w14:paraId="2A968279"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191" w:type="dxa"/>
            <w:vAlign w:val="bottom"/>
          </w:tcPr>
          <w:p w:rsidRPr="009C48DA" w:rsidR="00661519" w:rsidP="00661519" w:rsidRDefault="00661519" w14:paraId="6B18199F" w14:textId="77777777">
            <w:pPr>
              <w:jc w:val="center"/>
              <w:textAlignment w:val="baseline"/>
              <w:rPr>
                <w:rFonts w:eastAsia="Times New Roman"/>
                <w:b/>
                <w:color w:val="000000"/>
                <w:sz w:val="16"/>
                <w:lang w:val="en-GB"/>
              </w:rPr>
            </w:pPr>
            <w:r w:rsidRPr="009C48DA">
              <w:rPr>
                <w:rFonts w:eastAsia="Times New Roman"/>
                <w:b/>
                <w:color w:val="000000"/>
                <w:sz w:val="16"/>
                <w:lang w:val="en-GB"/>
              </w:rPr>
              <w:t>Due between 1 and 2 years</w:t>
            </w:r>
          </w:p>
          <w:p w:rsidRPr="009C48DA" w:rsidR="00661519" w:rsidP="00661519" w:rsidRDefault="00661519" w14:paraId="169BD569"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190" w:type="dxa"/>
            <w:vAlign w:val="bottom"/>
          </w:tcPr>
          <w:p w:rsidRPr="009C48DA" w:rsidR="00661519" w:rsidP="00661519" w:rsidRDefault="00661519" w14:paraId="7356DF4E" w14:textId="77777777">
            <w:pPr>
              <w:jc w:val="center"/>
              <w:textAlignment w:val="baseline"/>
              <w:rPr>
                <w:rFonts w:eastAsia="Times New Roman"/>
                <w:b/>
                <w:color w:val="000000"/>
                <w:sz w:val="16"/>
                <w:lang w:val="en-GB"/>
              </w:rPr>
            </w:pPr>
            <w:r w:rsidRPr="009C48DA">
              <w:rPr>
                <w:rFonts w:eastAsia="Times New Roman"/>
                <w:b/>
                <w:color w:val="000000"/>
                <w:sz w:val="16"/>
                <w:lang w:val="en-GB"/>
              </w:rPr>
              <w:t>Due within 2 and 5 years</w:t>
            </w:r>
          </w:p>
          <w:p w:rsidRPr="009C48DA" w:rsidR="00661519" w:rsidP="00661519" w:rsidRDefault="00661519" w14:paraId="66C19C15" w14:textId="77777777">
            <w:pPr>
              <w:jc w:val="center"/>
              <w:textAlignment w:val="baseline"/>
              <w:rPr>
                <w:rFonts w:eastAsia="Times New Roman"/>
                <w:color w:val="000000"/>
                <w:sz w:val="16"/>
                <w:lang w:val="en-GB"/>
              </w:rPr>
            </w:pPr>
            <w:r w:rsidRPr="009C48DA">
              <w:rPr>
                <w:rFonts w:eastAsia="Times New Roman"/>
                <w:b/>
                <w:color w:val="000000"/>
                <w:sz w:val="16"/>
                <w:lang w:val="en-GB"/>
              </w:rPr>
              <w:t>£ 000</w:t>
            </w:r>
          </w:p>
        </w:tc>
        <w:tc>
          <w:tcPr>
            <w:tcW w:w="1191" w:type="dxa"/>
            <w:vAlign w:val="bottom"/>
          </w:tcPr>
          <w:p w:rsidRPr="009C48DA" w:rsidR="00661519" w:rsidP="00661519" w:rsidRDefault="00661519" w14:paraId="2C8DCF6F" w14:textId="77777777">
            <w:pPr>
              <w:jc w:val="center"/>
              <w:textAlignment w:val="baseline"/>
              <w:rPr>
                <w:rFonts w:eastAsia="Times New Roman"/>
                <w:b/>
                <w:color w:val="000000"/>
                <w:sz w:val="16"/>
                <w:lang w:val="en-GB"/>
              </w:rPr>
            </w:pPr>
            <w:r w:rsidRPr="009C48DA">
              <w:rPr>
                <w:rFonts w:eastAsia="Times New Roman"/>
                <w:b/>
                <w:color w:val="000000"/>
                <w:sz w:val="16"/>
                <w:lang w:val="en-GB"/>
              </w:rPr>
              <w:t>Due more than 5 years</w:t>
            </w:r>
          </w:p>
          <w:p w:rsidRPr="009C48DA" w:rsidR="00661519" w:rsidP="00661519" w:rsidRDefault="00661519" w14:paraId="575BAE30" w14:textId="77777777">
            <w:pPr>
              <w:jc w:val="center"/>
              <w:textAlignment w:val="baseline"/>
              <w:rPr>
                <w:rFonts w:eastAsia="Times New Roman"/>
                <w:color w:val="000000"/>
                <w:sz w:val="16"/>
                <w:lang w:val="en-GB"/>
              </w:rPr>
            </w:pPr>
            <w:r w:rsidRPr="009C48DA">
              <w:rPr>
                <w:rFonts w:eastAsia="Times New Roman"/>
                <w:b/>
                <w:color w:val="000000"/>
                <w:sz w:val="16"/>
                <w:lang w:val="en-GB"/>
              </w:rPr>
              <w:t>£ 000</w:t>
            </w:r>
          </w:p>
        </w:tc>
        <w:tc>
          <w:tcPr>
            <w:tcW w:w="1191" w:type="dxa"/>
            <w:vAlign w:val="bottom"/>
          </w:tcPr>
          <w:p w:rsidRPr="009C48DA" w:rsidR="00661519" w:rsidP="00661519" w:rsidRDefault="00661519" w14:paraId="7336519C" w14:textId="77777777">
            <w:pPr>
              <w:jc w:val="center"/>
              <w:textAlignment w:val="baseline"/>
              <w:rPr>
                <w:rFonts w:eastAsia="Times New Roman"/>
                <w:b/>
                <w:color w:val="000000"/>
                <w:sz w:val="16"/>
                <w:lang w:val="en-GB"/>
              </w:rPr>
            </w:pPr>
            <w:r w:rsidRPr="009C48DA">
              <w:rPr>
                <w:rFonts w:eastAsia="Times New Roman"/>
                <w:b/>
                <w:color w:val="000000"/>
                <w:sz w:val="16"/>
                <w:lang w:val="en-GB"/>
              </w:rPr>
              <w:t>Total</w:t>
            </w:r>
          </w:p>
          <w:p w:rsidRPr="009C48DA" w:rsidR="00661519" w:rsidP="00661519" w:rsidRDefault="00661519" w14:paraId="05E5B647" w14:textId="77777777">
            <w:pPr>
              <w:jc w:val="center"/>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301DE606" w14:textId="77777777">
        <w:tc>
          <w:tcPr>
            <w:tcW w:w="3227" w:type="dxa"/>
          </w:tcPr>
          <w:p w:rsidRPr="009C48DA" w:rsidR="00661519" w:rsidP="00661519" w:rsidRDefault="00661519" w14:paraId="69BD4630"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Borrowings </w:t>
            </w:r>
          </w:p>
        </w:tc>
        <w:tc>
          <w:tcPr>
            <w:tcW w:w="1190" w:type="dxa"/>
            <w:vAlign w:val="bottom"/>
          </w:tcPr>
          <w:p w:rsidRPr="009C48DA" w:rsidR="00661519" w:rsidP="00661519" w:rsidRDefault="00661519" w14:paraId="1D3A911B" w14:textId="77777777">
            <w:pPr>
              <w:jc w:val="right"/>
              <w:textAlignment w:val="baseline"/>
              <w:rPr>
                <w:rFonts w:eastAsia="Times New Roman"/>
                <w:color w:val="000000"/>
                <w:sz w:val="16"/>
                <w:lang w:val="en-GB"/>
              </w:rPr>
            </w:pPr>
            <w:r w:rsidRPr="009C48DA">
              <w:rPr>
                <w:rFonts w:eastAsia="Times New Roman"/>
                <w:color w:val="000000"/>
                <w:sz w:val="16"/>
                <w:lang w:val="en-GB"/>
              </w:rPr>
              <w:t>99,708</w:t>
            </w:r>
          </w:p>
        </w:tc>
        <w:tc>
          <w:tcPr>
            <w:tcW w:w="1191" w:type="dxa"/>
            <w:vAlign w:val="bottom"/>
          </w:tcPr>
          <w:p w:rsidRPr="009C48DA" w:rsidR="00661519" w:rsidP="00661519" w:rsidRDefault="00661519" w14:paraId="6ADD815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0" w:type="dxa"/>
            <w:vAlign w:val="bottom"/>
          </w:tcPr>
          <w:p w:rsidRPr="009C48DA" w:rsidR="00661519" w:rsidP="00661519" w:rsidRDefault="00661519" w14:paraId="4EB7B9DA"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7961B28A"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340B49E0" w14:textId="77777777">
            <w:pPr>
              <w:jc w:val="right"/>
              <w:textAlignment w:val="baseline"/>
              <w:rPr>
                <w:rFonts w:eastAsia="Times New Roman"/>
                <w:color w:val="000000"/>
                <w:sz w:val="16"/>
                <w:lang w:val="en-GB"/>
              </w:rPr>
            </w:pPr>
            <w:r w:rsidRPr="009C48DA">
              <w:rPr>
                <w:rFonts w:eastAsia="Times New Roman"/>
                <w:color w:val="000000"/>
                <w:sz w:val="16"/>
                <w:lang w:val="en-GB"/>
              </w:rPr>
              <w:t>99,708</w:t>
            </w:r>
          </w:p>
        </w:tc>
      </w:tr>
      <w:tr w:rsidRPr="009C48DA" w:rsidR="00661519" w:rsidTr="00661519" w14:paraId="01F86745" w14:textId="77777777">
        <w:tc>
          <w:tcPr>
            <w:tcW w:w="3227" w:type="dxa"/>
          </w:tcPr>
          <w:p w:rsidRPr="009C48DA" w:rsidR="00661519" w:rsidP="00661519" w:rsidRDefault="00661519" w14:paraId="060E513F" w14:textId="77777777">
            <w:pPr>
              <w:jc w:val="both"/>
              <w:textAlignment w:val="baseline"/>
              <w:rPr>
                <w:rFonts w:eastAsia="Times New Roman"/>
                <w:color w:val="000000"/>
                <w:sz w:val="16"/>
                <w:lang w:val="en-GB"/>
              </w:rPr>
            </w:pPr>
            <w:r w:rsidRPr="009C48DA">
              <w:rPr>
                <w:rFonts w:eastAsia="Times New Roman"/>
                <w:color w:val="000000"/>
                <w:sz w:val="16"/>
                <w:lang w:val="en-GB"/>
              </w:rPr>
              <w:t>Other financial liabilities</w:t>
            </w:r>
          </w:p>
        </w:tc>
        <w:tc>
          <w:tcPr>
            <w:tcW w:w="1190" w:type="dxa"/>
            <w:vAlign w:val="bottom"/>
          </w:tcPr>
          <w:p w:rsidRPr="009C48DA" w:rsidR="00661519" w:rsidP="00661519" w:rsidRDefault="00661519" w14:paraId="6E4F81ED" w14:textId="77777777">
            <w:pPr>
              <w:jc w:val="right"/>
              <w:textAlignment w:val="baseline"/>
              <w:rPr>
                <w:rFonts w:eastAsia="Times New Roman"/>
                <w:color w:val="000000"/>
                <w:sz w:val="16"/>
                <w:lang w:val="en-GB"/>
              </w:rPr>
            </w:pPr>
            <w:r w:rsidRPr="009C48DA">
              <w:rPr>
                <w:rFonts w:eastAsia="Times New Roman"/>
                <w:color w:val="000000"/>
                <w:sz w:val="16"/>
                <w:lang w:val="en-GB"/>
              </w:rPr>
              <w:t>3821</w:t>
            </w:r>
          </w:p>
        </w:tc>
        <w:tc>
          <w:tcPr>
            <w:tcW w:w="1191" w:type="dxa"/>
            <w:vAlign w:val="bottom"/>
          </w:tcPr>
          <w:p w:rsidRPr="009C48DA" w:rsidR="00661519" w:rsidP="00661519" w:rsidRDefault="00661519" w14:paraId="7B384918"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0" w:type="dxa"/>
            <w:vAlign w:val="bottom"/>
          </w:tcPr>
          <w:p w:rsidRPr="009C48DA" w:rsidR="00661519" w:rsidP="00661519" w:rsidRDefault="00661519" w14:paraId="3959226B"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2B8A30B9"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6F7BF87B" w14:textId="77777777">
            <w:pPr>
              <w:jc w:val="right"/>
              <w:textAlignment w:val="baseline"/>
              <w:rPr>
                <w:rFonts w:eastAsia="Times New Roman"/>
                <w:color w:val="000000"/>
                <w:sz w:val="16"/>
                <w:lang w:val="en-GB"/>
              </w:rPr>
            </w:pPr>
            <w:r w:rsidRPr="009C48DA">
              <w:rPr>
                <w:rFonts w:eastAsia="Times New Roman"/>
                <w:color w:val="000000"/>
                <w:sz w:val="16"/>
                <w:lang w:val="en-GB"/>
              </w:rPr>
              <w:t>3,821</w:t>
            </w:r>
          </w:p>
        </w:tc>
      </w:tr>
      <w:tr w:rsidRPr="009C48DA" w:rsidR="00661519" w:rsidTr="00661519" w14:paraId="339343FD" w14:textId="77777777">
        <w:tc>
          <w:tcPr>
            <w:tcW w:w="3227" w:type="dxa"/>
          </w:tcPr>
          <w:p w:rsidRPr="009C48DA" w:rsidR="00661519" w:rsidP="00661519" w:rsidRDefault="00661519" w14:paraId="319E7ACA" w14:textId="77777777">
            <w:pPr>
              <w:jc w:val="both"/>
              <w:textAlignment w:val="baseline"/>
              <w:rPr>
                <w:rFonts w:eastAsia="Times New Roman"/>
                <w:color w:val="000000"/>
                <w:sz w:val="16"/>
                <w:lang w:val="en-GB"/>
              </w:rPr>
            </w:pPr>
            <w:r w:rsidRPr="009C48DA">
              <w:rPr>
                <w:rFonts w:eastAsia="Times New Roman"/>
                <w:color w:val="000000"/>
                <w:sz w:val="16"/>
                <w:lang w:val="en-GB"/>
              </w:rPr>
              <w:t>Derivative financial instruments</w:t>
            </w:r>
          </w:p>
        </w:tc>
        <w:tc>
          <w:tcPr>
            <w:tcW w:w="1190" w:type="dxa"/>
            <w:vAlign w:val="bottom"/>
          </w:tcPr>
          <w:p w:rsidRPr="009C48DA" w:rsidR="00661519" w:rsidP="00661519" w:rsidRDefault="00661519" w14:paraId="27D95E1F" w14:textId="77777777">
            <w:pPr>
              <w:jc w:val="right"/>
              <w:textAlignment w:val="baseline"/>
              <w:rPr>
                <w:rFonts w:eastAsia="Times New Roman"/>
                <w:color w:val="000000"/>
                <w:sz w:val="16"/>
                <w:lang w:val="en-GB"/>
              </w:rPr>
            </w:pPr>
            <w:r w:rsidRPr="009C48DA">
              <w:rPr>
                <w:rFonts w:eastAsia="Times New Roman"/>
                <w:color w:val="000000"/>
                <w:sz w:val="16"/>
                <w:lang w:val="en-GB"/>
              </w:rPr>
              <w:t>1,817</w:t>
            </w:r>
          </w:p>
        </w:tc>
        <w:tc>
          <w:tcPr>
            <w:tcW w:w="1191" w:type="dxa"/>
            <w:vAlign w:val="bottom"/>
          </w:tcPr>
          <w:p w:rsidRPr="009C48DA" w:rsidR="00661519" w:rsidP="00661519" w:rsidRDefault="00661519" w14:paraId="58FC815C" w14:textId="77777777">
            <w:pPr>
              <w:jc w:val="right"/>
              <w:textAlignment w:val="baseline"/>
              <w:rPr>
                <w:rFonts w:eastAsia="Times New Roman"/>
                <w:color w:val="000000"/>
                <w:sz w:val="16"/>
                <w:lang w:val="en-GB"/>
              </w:rPr>
            </w:pPr>
            <w:r w:rsidRPr="009C48DA">
              <w:rPr>
                <w:rFonts w:eastAsia="Times New Roman"/>
                <w:color w:val="000000"/>
                <w:sz w:val="16"/>
                <w:lang w:val="en-GB"/>
              </w:rPr>
              <w:t>1,548</w:t>
            </w:r>
          </w:p>
        </w:tc>
        <w:tc>
          <w:tcPr>
            <w:tcW w:w="1190" w:type="dxa"/>
            <w:vAlign w:val="bottom"/>
          </w:tcPr>
          <w:p w:rsidRPr="009C48DA" w:rsidR="00661519" w:rsidP="00661519" w:rsidRDefault="00661519" w14:paraId="69FB85CE" w14:textId="77777777">
            <w:pPr>
              <w:jc w:val="right"/>
              <w:textAlignment w:val="baseline"/>
              <w:rPr>
                <w:rFonts w:eastAsia="Times New Roman"/>
                <w:color w:val="000000"/>
                <w:sz w:val="16"/>
                <w:lang w:val="en-GB"/>
              </w:rPr>
            </w:pPr>
            <w:r w:rsidRPr="009C48DA">
              <w:rPr>
                <w:rFonts w:eastAsia="Times New Roman"/>
                <w:color w:val="000000"/>
                <w:sz w:val="16"/>
                <w:lang w:val="en-GB"/>
              </w:rPr>
              <w:t>1,536</w:t>
            </w:r>
          </w:p>
        </w:tc>
        <w:tc>
          <w:tcPr>
            <w:tcW w:w="1191" w:type="dxa"/>
            <w:vAlign w:val="bottom"/>
          </w:tcPr>
          <w:p w:rsidRPr="009C48DA" w:rsidR="00661519" w:rsidP="00661519" w:rsidRDefault="00661519" w14:paraId="71491270"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1B555464" w14:textId="77777777">
            <w:pPr>
              <w:jc w:val="right"/>
              <w:textAlignment w:val="baseline"/>
              <w:rPr>
                <w:rFonts w:eastAsia="Times New Roman"/>
                <w:color w:val="000000"/>
                <w:sz w:val="16"/>
                <w:lang w:val="en-GB"/>
              </w:rPr>
            </w:pPr>
            <w:r w:rsidRPr="009C48DA">
              <w:rPr>
                <w:rFonts w:eastAsia="Times New Roman"/>
                <w:color w:val="000000"/>
                <w:sz w:val="16"/>
                <w:lang w:val="en-GB"/>
              </w:rPr>
              <w:t>4,901</w:t>
            </w:r>
          </w:p>
        </w:tc>
      </w:tr>
      <w:tr w:rsidRPr="009C48DA" w:rsidR="00661519" w:rsidTr="00661519" w14:paraId="2A805096" w14:textId="77777777">
        <w:tc>
          <w:tcPr>
            <w:tcW w:w="3227" w:type="dxa"/>
          </w:tcPr>
          <w:p w:rsidRPr="009C48DA" w:rsidR="00661519" w:rsidP="00661519" w:rsidRDefault="00661519" w14:paraId="33A41B93" w14:textId="77777777">
            <w:pPr>
              <w:jc w:val="both"/>
              <w:textAlignment w:val="baseline"/>
              <w:rPr>
                <w:rFonts w:eastAsia="Times New Roman"/>
                <w:color w:val="000000"/>
                <w:sz w:val="16"/>
                <w:lang w:val="en-GB"/>
              </w:rPr>
            </w:pPr>
            <w:r w:rsidRPr="009C48DA">
              <w:rPr>
                <w:rFonts w:eastAsia="Times New Roman"/>
                <w:color w:val="000000"/>
                <w:sz w:val="16"/>
                <w:lang w:val="en-GB"/>
              </w:rPr>
              <w:t>Trade and other payables</w:t>
            </w:r>
          </w:p>
        </w:tc>
        <w:tc>
          <w:tcPr>
            <w:tcW w:w="1190" w:type="dxa"/>
            <w:vAlign w:val="bottom"/>
          </w:tcPr>
          <w:p w:rsidRPr="009C48DA" w:rsidR="00661519" w:rsidP="00661519" w:rsidRDefault="00661519" w14:paraId="39C2A800" w14:textId="77777777">
            <w:pPr>
              <w:jc w:val="right"/>
              <w:textAlignment w:val="baseline"/>
              <w:rPr>
                <w:rFonts w:eastAsia="Times New Roman"/>
                <w:color w:val="000000"/>
                <w:sz w:val="16"/>
                <w:lang w:val="en-GB"/>
              </w:rPr>
            </w:pPr>
            <w:r w:rsidRPr="009C48DA">
              <w:rPr>
                <w:rFonts w:eastAsia="Times New Roman"/>
                <w:color w:val="000000"/>
                <w:sz w:val="16"/>
                <w:lang w:val="en-GB"/>
              </w:rPr>
              <w:t>84,837</w:t>
            </w:r>
          </w:p>
        </w:tc>
        <w:tc>
          <w:tcPr>
            <w:tcW w:w="1191" w:type="dxa"/>
            <w:vAlign w:val="bottom"/>
          </w:tcPr>
          <w:p w:rsidRPr="009C48DA" w:rsidR="00661519" w:rsidP="00661519" w:rsidRDefault="00661519" w14:paraId="7BB3DA6B" w14:textId="77777777">
            <w:pPr>
              <w:jc w:val="right"/>
              <w:textAlignment w:val="baseline"/>
              <w:rPr>
                <w:rFonts w:eastAsia="Times New Roman"/>
                <w:color w:val="000000"/>
                <w:sz w:val="16"/>
                <w:lang w:val="en-GB"/>
              </w:rPr>
            </w:pPr>
            <w:r w:rsidRPr="009C48DA">
              <w:rPr>
                <w:rFonts w:eastAsia="Times New Roman"/>
                <w:color w:val="000000"/>
                <w:sz w:val="16"/>
                <w:lang w:val="en-GB"/>
              </w:rPr>
              <w:t>588</w:t>
            </w:r>
          </w:p>
        </w:tc>
        <w:tc>
          <w:tcPr>
            <w:tcW w:w="1190" w:type="dxa"/>
            <w:vAlign w:val="bottom"/>
          </w:tcPr>
          <w:p w:rsidRPr="009C48DA" w:rsidR="00661519" w:rsidP="00661519" w:rsidRDefault="00661519" w14:paraId="3DCF3395"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50FAA695"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3AD57899" w14:textId="77777777">
            <w:pPr>
              <w:jc w:val="right"/>
              <w:textAlignment w:val="baseline"/>
              <w:rPr>
                <w:rFonts w:eastAsia="Times New Roman"/>
                <w:color w:val="000000"/>
                <w:sz w:val="16"/>
                <w:lang w:val="en-GB"/>
              </w:rPr>
            </w:pPr>
            <w:r w:rsidRPr="009C48DA">
              <w:rPr>
                <w:rFonts w:eastAsia="Times New Roman"/>
                <w:color w:val="000000"/>
                <w:sz w:val="16"/>
                <w:lang w:val="en-GB"/>
              </w:rPr>
              <w:t>85,425</w:t>
            </w:r>
          </w:p>
        </w:tc>
      </w:tr>
      <w:tr w:rsidRPr="009C48DA" w:rsidR="00661519" w:rsidTr="00661519" w14:paraId="6E6336E5" w14:textId="77777777">
        <w:tc>
          <w:tcPr>
            <w:tcW w:w="3227" w:type="dxa"/>
          </w:tcPr>
          <w:p w:rsidRPr="009C48DA" w:rsidR="00661519" w:rsidP="00661519" w:rsidRDefault="00661519" w14:paraId="17A05D84" w14:textId="77777777">
            <w:pPr>
              <w:jc w:val="both"/>
              <w:textAlignment w:val="baseline"/>
              <w:rPr>
                <w:rFonts w:eastAsia="Times New Roman"/>
                <w:color w:val="000000"/>
                <w:sz w:val="16"/>
                <w:lang w:val="en-GB"/>
              </w:rPr>
            </w:pPr>
            <w:r w:rsidRPr="009C48DA">
              <w:rPr>
                <w:rFonts w:eastAsia="Times New Roman"/>
                <w:color w:val="000000"/>
                <w:sz w:val="16"/>
                <w:lang w:val="en-GB"/>
              </w:rPr>
              <w:t>Deferred contingent consideration</w:t>
            </w:r>
          </w:p>
        </w:tc>
        <w:tc>
          <w:tcPr>
            <w:tcW w:w="1190" w:type="dxa"/>
            <w:vAlign w:val="bottom"/>
          </w:tcPr>
          <w:p w:rsidRPr="009C48DA" w:rsidR="00661519" w:rsidP="00661519" w:rsidRDefault="00661519" w14:paraId="7E304E51"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1E397090" w14:textId="77777777">
            <w:pPr>
              <w:jc w:val="right"/>
              <w:textAlignment w:val="baseline"/>
              <w:rPr>
                <w:rFonts w:eastAsia="Times New Roman"/>
                <w:color w:val="000000"/>
                <w:sz w:val="16"/>
                <w:lang w:val="en-GB"/>
              </w:rPr>
            </w:pPr>
            <w:r w:rsidRPr="009C48DA">
              <w:rPr>
                <w:rFonts w:eastAsia="Times New Roman"/>
                <w:color w:val="000000"/>
                <w:sz w:val="16"/>
                <w:lang w:val="en-GB"/>
              </w:rPr>
              <w:t>33,244</w:t>
            </w:r>
          </w:p>
        </w:tc>
        <w:tc>
          <w:tcPr>
            <w:tcW w:w="1190" w:type="dxa"/>
            <w:vAlign w:val="bottom"/>
          </w:tcPr>
          <w:p w:rsidRPr="009C48DA" w:rsidR="00661519" w:rsidP="00661519" w:rsidRDefault="00661519" w14:paraId="1CA016F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449D9C41"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6D804EFD" w14:textId="77777777">
            <w:pPr>
              <w:jc w:val="right"/>
              <w:textAlignment w:val="baseline"/>
              <w:rPr>
                <w:rFonts w:eastAsia="Times New Roman"/>
                <w:color w:val="000000"/>
                <w:sz w:val="16"/>
                <w:lang w:val="en-GB"/>
              </w:rPr>
            </w:pPr>
            <w:r w:rsidRPr="009C48DA">
              <w:rPr>
                <w:rFonts w:eastAsia="Times New Roman"/>
                <w:color w:val="000000"/>
                <w:sz w:val="16"/>
                <w:lang w:val="en-GB"/>
              </w:rPr>
              <w:t>33,244</w:t>
            </w:r>
          </w:p>
        </w:tc>
      </w:tr>
      <w:tr w:rsidRPr="009C48DA" w:rsidR="00661519" w:rsidTr="00661519" w14:paraId="7ADC6784" w14:textId="77777777">
        <w:tc>
          <w:tcPr>
            <w:tcW w:w="3227" w:type="dxa"/>
          </w:tcPr>
          <w:p w:rsidRPr="009C48DA" w:rsidR="00661519" w:rsidP="00661519" w:rsidRDefault="00661519" w14:paraId="6F3DDA1D" w14:textId="77777777">
            <w:pPr>
              <w:jc w:val="both"/>
              <w:textAlignment w:val="baseline"/>
              <w:rPr>
                <w:rFonts w:eastAsia="Times New Roman"/>
                <w:color w:val="000000"/>
                <w:sz w:val="16"/>
                <w:lang w:val="en-GB"/>
              </w:rPr>
            </w:pPr>
            <w:r w:rsidRPr="009C48DA">
              <w:rPr>
                <w:rFonts w:eastAsia="Times New Roman"/>
                <w:color w:val="000000"/>
                <w:sz w:val="16"/>
                <w:lang w:val="en-GB"/>
              </w:rPr>
              <w:t>Lease liabilities</w:t>
            </w:r>
          </w:p>
        </w:tc>
        <w:tc>
          <w:tcPr>
            <w:tcW w:w="1190" w:type="dxa"/>
            <w:vAlign w:val="bottom"/>
          </w:tcPr>
          <w:p w:rsidRPr="009C48DA" w:rsidR="00661519" w:rsidP="00661519" w:rsidRDefault="00661519" w14:paraId="32E56C2B" w14:textId="77777777">
            <w:pPr>
              <w:jc w:val="right"/>
              <w:textAlignment w:val="baseline"/>
              <w:rPr>
                <w:rFonts w:eastAsia="Times New Roman"/>
                <w:color w:val="000000"/>
                <w:sz w:val="16"/>
                <w:lang w:val="en-GB"/>
              </w:rPr>
            </w:pPr>
            <w:r w:rsidRPr="009C48DA">
              <w:rPr>
                <w:rFonts w:eastAsia="Times New Roman"/>
                <w:color w:val="000000"/>
                <w:sz w:val="16"/>
                <w:lang w:val="en-GB"/>
              </w:rPr>
              <w:t>7,678</w:t>
            </w:r>
          </w:p>
        </w:tc>
        <w:tc>
          <w:tcPr>
            <w:tcW w:w="1191" w:type="dxa"/>
            <w:vAlign w:val="bottom"/>
          </w:tcPr>
          <w:p w:rsidRPr="009C48DA" w:rsidR="00661519" w:rsidP="00661519" w:rsidRDefault="00661519" w14:paraId="26737B2C" w14:textId="77777777">
            <w:pPr>
              <w:jc w:val="right"/>
              <w:textAlignment w:val="baseline"/>
              <w:rPr>
                <w:rFonts w:eastAsia="Times New Roman"/>
                <w:color w:val="000000"/>
                <w:sz w:val="16"/>
                <w:lang w:val="en-GB"/>
              </w:rPr>
            </w:pPr>
            <w:r w:rsidRPr="009C48DA">
              <w:rPr>
                <w:rFonts w:eastAsia="Times New Roman"/>
                <w:color w:val="000000"/>
                <w:sz w:val="16"/>
                <w:lang w:val="en-GB"/>
              </w:rPr>
              <w:t>7,393</w:t>
            </w:r>
          </w:p>
        </w:tc>
        <w:tc>
          <w:tcPr>
            <w:tcW w:w="1190" w:type="dxa"/>
            <w:vAlign w:val="bottom"/>
          </w:tcPr>
          <w:p w:rsidRPr="009C48DA" w:rsidR="00661519" w:rsidP="00661519" w:rsidRDefault="00661519" w14:paraId="374920C0" w14:textId="77777777">
            <w:pPr>
              <w:jc w:val="right"/>
              <w:textAlignment w:val="baseline"/>
              <w:rPr>
                <w:rFonts w:eastAsia="Times New Roman"/>
                <w:color w:val="000000"/>
                <w:sz w:val="16"/>
                <w:lang w:val="en-GB"/>
              </w:rPr>
            </w:pPr>
            <w:r w:rsidRPr="009C48DA">
              <w:rPr>
                <w:rFonts w:eastAsia="Times New Roman"/>
                <w:color w:val="000000"/>
                <w:sz w:val="16"/>
                <w:lang w:val="en-GB"/>
              </w:rPr>
              <w:t>19,953</w:t>
            </w:r>
          </w:p>
        </w:tc>
        <w:tc>
          <w:tcPr>
            <w:tcW w:w="1191" w:type="dxa"/>
            <w:vAlign w:val="bottom"/>
          </w:tcPr>
          <w:p w:rsidRPr="009C48DA" w:rsidR="00661519" w:rsidP="00661519" w:rsidRDefault="00661519" w14:paraId="0B7A3075" w14:textId="77777777">
            <w:pPr>
              <w:jc w:val="right"/>
              <w:textAlignment w:val="baseline"/>
              <w:rPr>
                <w:rFonts w:eastAsia="Times New Roman"/>
                <w:color w:val="000000"/>
                <w:sz w:val="16"/>
                <w:lang w:val="en-GB"/>
              </w:rPr>
            </w:pPr>
            <w:r w:rsidRPr="009C48DA">
              <w:rPr>
                <w:rFonts w:eastAsia="Times New Roman"/>
                <w:color w:val="000000"/>
                <w:sz w:val="16"/>
                <w:lang w:val="en-GB"/>
              </w:rPr>
              <w:t>13,079</w:t>
            </w:r>
          </w:p>
        </w:tc>
        <w:tc>
          <w:tcPr>
            <w:tcW w:w="1191" w:type="dxa"/>
            <w:vAlign w:val="bottom"/>
          </w:tcPr>
          <w:p w:rsidRPr="009C48DA" w:rsidR="00661519" w:rsidP="00661519" w:rsidRDefault="00661519" w14:paraId="69A1AFA6" w14:textId="77777777">
            <w:pPr>
              <w:jc w:val="right"/>
              <w:textAlignment w:val="baseline"/>
              <w:rPr>
                <w:rFonts w:eastAsia="Times New Roman"/>
                <w:color w:val="000000"/>
                <w:sz w:val="16"/>
                <w:lang w:val="en-GB"/>
              </w:rPr>
            </w:pPr>
            <w:r w:rsidRPr="009C48DA">
              <w:rPr>
                <w:rFonts w:eastAsia="Times New Roman"/>
                <w:color w:val="000000"/>
                <w:sz w:val="16"/>
                <w:lang w:val="en-GB"/>
              </w:rPr>
              <w:t>48,103</w:t>
            </w:r>
          </w:p>
        </w:tc>
      </w:tr>
      <w:tr w:rsidRPr="009C48DA" w:rsidR="00661519" w:rsidTr="00661519" w14:paraId="364C0E8E" w14:textId="77777777">
        <w:tc>
          <w:tcPr>
            <w:tcW w:w="3227" w:type="dxa"/>
          </w:tcPr>
          <w:p w:rsidRPr="009C48DA" w:rsidR="00661519" w:rsidP="00661519" w:rsidRDefault="00661519" w14:paraId="747C2896" w14:textId="77777777">
            <w:pPr>
              <w:jc w:val="both"/>
              <w:textAlignment w:val="baseline"/>
              <w:rPr>
                <w:rFonts w:eastAsia="Times New Roman"/>
                <w:color w:val="000000"/>
                <w:sz w:val="16"/>
                <w:lang w:val="en-GB"/>
              </w:rPr>
            </w:pPr>
            <w:r w:rsidRPr="009C48DA">
              <w:rPr>
                <w:rFonts w:eastAsia="Times New Roman"/>
                <w:color w:val="000000"/>
                <w:sz w:val="16"/>
                <w:lang w:val="en-GB"/>
              </w:rPr>
              <w:t>CLO liabilities</w:t>
            </w:r>
          </w:p>
        </w:tc>
        <w:tc>
          <w:tcPr>
            <w:tcW w:w="1190" w:type="dxa"/>
            <w:vAlign w:val="bottom"/>
          </w:tcPr>
          <w:p w:rsidRPr="009C48DA" w:rsidR="00661519" w:rsidP="00661519" w:rsidRDefault="00661519" w14:paraId="5A2E0996" w14:textId="77777777">
            <w:pPr>
              <w:jc w:val="right"/>
              <w:textAlignment w:val="baseline"/>
              <w:rPr>
                <w:rFonts w:eastAsia="Times New Roman"/>
                <w:color w:val="000000"/>
                <w:sz w:val="16"/>
                <w:lang w:val="en-GB"/>
              </w:rPr>
            </w:pPr>
            <w:r w:rsidRPr="009C48DA">
              <w:rPr>
                <w:rFonts w:eastAsia="Times New Roman"/>
                <w:color w:val="000000"/>
                <w:sz w:val="16"/>
                <w:lang w:val="en-GB"/>
              </w:rPr>
              <w:t>17,889</w:t>
            </w:r>
          </w:p>
        </w:tc>
        <w:tc>
          <w:tcPr>
            <w:tcW w:w="1191" w:type="dxa"/>
            <w:vAlign w:val="bottom"/>
          </w:tcPr>
          <w:p w:rsidRPr="009C48DA" w:rsidR="00661519" w:rsidP="00661519" w:rsidRDefault="00661519" w14:paraId="3332AC84"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0" w:type="dxa"/>
            <w:vAlign w:val="bottom"/>
          </w:tcPr>
          <w:p w:rsidRPr="009C48DA" w:rsidR="00661519" w:rsidP="00661519" w:rsidRDefault="00661519" w14:paraId="3A110272"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3997959F" w14:textId="77777777">
            <w:pPr>
              <w:jc w:val="right"/>
              <w:textAlignment w:val="baseline"/>
              <w:rPr>
                <w:rFonts w:eastAsia="Times New Roman"/>
                <w:color w:val="000000"/>
                <w:sz w:val="16"/>
                <w:lang w:val="en-GB"/>
              </w:rPr>
            </w:pPr>
            <w:r w:rsidRPr="009C48DA">
              <w:rPr>
                <w:rFonts w:eastAsia="Times New Roman"/>
                <w:color w:val="000000"/>
                <w:sz w:val="16"/>
                <w:lang w:val="en-GB"/>
              </w:rPr>
              <w:t>256,606</w:t>
            </w:r>
          </w:p>
        </w:tc>
        <w:tc>
          <w:tcPr>
            <w:tcW w:w="1191" w:type="dxa"/>
            <w:vAlign w:val="bottom"/>
          </w:tcPr>
          <w:p w:rsidRPr="009C48DA" w:rsidR="00661519" w:rsidP="00661519" w:rsidRDefault="00661519" w14:paraId="0753D62C" w14:textId="77777777">
            <w:pPr>
              <w:jc w:val="right"/>
              <w:textAlignment w:val="baseline"/>
              <w:rPr>
                <w:rFonts w:eastAsia="Times New Roman"/>
                <w:color w:val="000000"/>
                <w:sz w:val="16"/>
                <w:lang w:val="en-GB"/>
              </w:rPr>
            </w:pPr>
            <w:r w:rsidRPr="009C48DA">
              <w:rPr>
                <w:rFonts w:eastAsia="Times New Roman"/>
                <w:color w:val="000000"/>
                <w:sz w:val="16"/>
                <w:lang w:val="en-GB"/>
              </w:rPr>
              <w:t>274,495</w:t>
            </w:r>
          </w:p>
        </w:tc>
      </w:tr>
      <w:tr w:rsidRPr="009C48DA" w:rsidR="00661519" w:rsidTr="00661519" w14:paraId="57FA1912" w14:textId="77777777">
        <w:tc>
          <w:tcPr>
            <w:tcW w:w="3227" w:type="dxa"/>
          </w:tcPr>
          <w:p w:rsidRPr="009C48DA" w:rsidR="00661519" w:rsidP="00661519" w:rsidRDefault="00661519" w14:paraId="1ED73CBF" w14:textId="77777777">
            <w:pPr>
              <w:jc w:val="both"/>
              <w:textAlignment w:val="baseline"/>
              <w:rPr>
                <w:rFonts w:eastAsia="Times New Roman"/>
                <w:color w:val="000000"/>
                <w:sz w:val="16"/>
                <w:lang w:val="en-GB"/>
              </w:rPr>
            </w:pPr>
            <w:r w:rsidRPr="009C48DA">
              <w:rPr>
                <w:rFonts w:eastAsia="Times New Roman"/>
                <w:color w:val="000000"/>
                <w:sz w:val="16"/>
                <w:lang w:val="en-GB"/>
              </w:rPr>
              <w:t>CLO purchases awaiting settlement</w:t>
            </w:r>
          </w:p>
        </w:tc>
        <w:tc>
          <w:tcPr>
            <w:tcW w:w="1190" w:type="dxa"/>
            <w:vAlign w:val="bottom"/>
          </w:tcPr>
          <w:p w:rsidRPr="009C48DA" w:rsidR="00661519" w:rsidP="00661519" w:rsidRDefault="00661519" w14:paraId="42423916"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93,237</w:t>
            </w:r>
          </w:p>
        </w:tc>
        <w:tc>
          <w:tcPr>
            <w:tcW w:w="1191" w:type="dxa"/>
            <w:vAlign w:val="bottom"/>
          </w:tcPr>
          <w:p w:rsidRPr="009C48DA" w:rsidR="00661519" w:rsidP="00661519" w:rsidRDefault="00661519" w14:paraId="0194E8B2"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190" w:type="dxa"/>
            <w:vAlign w:val="bottom"/>
          </w:tcPr>
          <w:p w:rsidRPr="009C48DA" w:rsidR="00661519" w:rsidP="00661519" w:rsidRDefault="00661519" w14:paraId="48AFB720"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181124E4"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bottom"/>
          </w:tcPr>
          <w:p w:rsidRPr="009C48DA" w:rsidR="00661519" w:rsidP="00661519" w:rsidRDefault="00661519" w14:paraId="64C0EABC"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93,237</w:t>
            </w:r>
          </w:p>
        </w:tc>
      </w:tr>
      <w:tr w:rsidRPr="009C48DA" w:rsidR="00661519" w:rsidTr="00661519" w14:paraId="4C5548BF" w14:textId="77777777">
        <w:tc>
          <w:tcPr>
            <w:tcW w:w="3227" w:type="dxa"/>
            <w:vAlign w:val="bottom"/>
          </w:tcPr>
          <w:p w:rsidRPr="009C48DA" w:rsidR="00661519" w:rsidP="00661519" w:rsidRDefault="00661519" w14:paraId="30A09B29" w14:textId="77777777">
            <w:pPr>
              <w:jc w:val="both"/>
              <w:textAlignment w:val="baseline"/>
              <w:rPr>
                <w:rFonts w:eastAsia="Times New Roman"/>
                <w:color w:val="000000"/>
                <w:sz w:val="16"/>
                <w:lang w:val="en-GB"/>
              </w:rPr>
            </w:pPr>
          </w:p>
          <w:p w:rsidRPr="009C48DA" w:rsidR="00661519" w:rsidP="00661519" w:rsidRDefault="00661519" w14:paraId="1C6D42A6" w14:textId="77777777">
            <w:pPr>
              <w:jc w:val="both"/>
              <w:textAlignment w:val="baseline"/>
              <w:rPr>
                <w:rFonts w:eastAsia="Times New Roman"/>
                <w:b/>
                <w:color w:val="000000"/>
                <w:sz w:val="16"/>
                <w:lang w:val="en-GB"/>
              </w:rPr>
            </w:pPr>
            <w:r w:rsidRPr="009C48DA">
              <w:rPr>
                <w:rFonts w:eastAsia="Times New Roman"/>
                <w:b/>
                <w:color w:val="000000"/>
                <w:sz w:val="16"/>
                <w:lang w:val="en-GB"/>
              </w:rPr>
              <w:t>Total</w:t>
            </w:r>
          </w:p>
        </w:tc>
        <w:tc>
          <w:tcPr>
            <w:tcW w:w="1190" w:type="dxa"/>
            <w:vAlign w:val="bottom"/>
          </w:tcPr>
          <w:p w:rsidRPr="009C48DA" w:rsidR="00661519" w:rsidP="00661519" w:rsidRDefault="00661519" w14:paraId="26A28A1C"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308,987</w:t>
            </w:r>
          </w:p>
        </w:tc>
        <w:tc>
          <w:tcPr>
            <w:tcW w:w="1191" w:type="dxa"/>
            <w:vAlign w:val="bottom"/>
          </w:tcPr>
          <w:p w:rsidRPr="009C48DA" w:rsidR="00661519" w:rsidP="00661519" w:rsidRDefault="00661519" w14:paraId="449929AA"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42,773</w:t>
            </w:r>
          </w:p>
        </w:tc>
        <w:tc>
          <w:tcPr>
            <w:tcW w:w="1190" w:type="dxa"/>
            <w:vAlign w:val="bottom"/>
          </w:tcPr>
          <w:p w:rsidRPr="009C48DA" w:rsidR="00661519" w:rsidP="00661519" w:rsidRDefault="00661519" w14:paraId="42E04243"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21,489</w:t>
            </w:r>
          </w:p>
        </w:tc>
        <w:tc>
          <w:tcPr>
            <w:tcW w:w="1191" w:type="dxa"/>
            <w:vAlign w:val="bottom"/>
          </w:tcPr>
          <w:p w:rsidRPr="009C48DA" w:rsidR="00661519" w:rsidP="00661519" w:rsidRDefault="00661519" w14:paraId="305AE692"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269,685</w:t>
            </w:r>
          </w:p>
        </w:tc>
        <w:tc>
          <w:tcPr>
            <w:tcW w:w="1191" w:type="dxa"/>
            <w:vAlign w:val="bottom"/>
          </w:tcPr>
          <w:p w:rsidRPr="009C48DA" w:rsidR="00661519" w:rsidP="00661519" w:rsidRDefault="00661519" w14:paraId="2A4C4DE6"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642,934</w:t>
            </w:r>
          </w:p>
        </w:tc>
      </w:tr>
    </w:tbl>
    <w:p w:rsidRPr="009C48DA" w:rsidR="00661519" w:rsidP="00661519" w:rsidRDefault="00661519" w14:paraId="7ED49934" w14:textId="77777777">
      <w:pPr>
        <w:ind w:right="74"/>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br w:type="page"/>
      </w: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27"/>
        <w:gridCol w:w="1190"/>
        <w:gridCol w:w="1191"/>
        <w:gridCol w:w="1190"/>
        <w:gridCol w:w="1191"/>
        <w:gridCol w:w="1191"/>
      </w:tblGrid>
      <w:tr w:rsidRPr="009C48DA" w:rsidR="00661519" w:rsidTr="00661519" w14:paraId="6EE131BA" w14:textId="77777777">
        <w:tc>
          <w:tcPr>
            <w:tcW w:w="3227" w:type="dxa"/>
            <w:vAlign w:val="bottom"/>
          </w:tcPr>
          <w:p w:rsidRPr="009C48DA" w:rsidR="00661519" w:rsidP="00661519" w:rsidRDefault="00661519" w14:paraId="3D066D95" w14:textId="77777777">
            <w:pPr>
              <w:jc w:val="both"/>
              <w:textAlignment w:val="baseline"/>
              <w:rPr>
                <w:rFonts w:eastAsia="Times New Roman"/>
                <w:color w:val="000000"/>
                <w:sz w:val="16"/>
                <w:lang w:val="en-GB"/>
              </w:rPr>
            </w:pPr>
            <w:r w:rsidRPr="009C48DA">
              <w:rPr>
                <w:rFonts w:eastAsia="Times New Roman"/>
                <w:b/>
                <w:color w:val="000000"/>
                <w:sz w:val="16"/>
                <w:lang w:val="en-GB"/>
              </w:rPr>
              <w:lastRenderedPageBreak/>
              <w:br w:type="page"/>
              <w:t>As at 31 March 2021</w:t>
            </w:r>
          </w:p>
        </w:tc>
        <w:tc>
          <w:tcPr>
            <w:tcW w:w="1190" w:type="dxa"/>
            <w:vAlign w:val="bottom"/>
          </w:tcPr>
          <w:p w:rsidRPr="009C48DA" w:rsidR="00661519" w:rsidP="00661519" w:rsidRDefault="00661519" w14:paraId="3AA6B330" w14:textId="77777777">
            <w:pPr>
              <w:jc w:val="center"/>
              <w:textAlignment w:val="baseline"/>
              <w:rPr>
                <w:rFonts w:eastAsia="Times New Roman"/>
                <w:b/>
                <w:color w:val="000000"/>
                <w:sz w:val="16"/>
                <w:lang w:val="en-GB"/>
              </w:rPr>
            </w:pPr>
            <w:r w:rsidRPr="009C48DA">
              <w:rPr>
                <w:rFonts w:eastAsia="Times New Roman"/>
                <w:b/>
                <w:color w:val="000000"/>
                <w:sz w:val="16"/>
                <w:lang w:val="en-GB"/>
              </w:rPr>
              <w:t>Due within 1 year</w:t>
            </w:r>
          </w:p>
          <w:p w:rsidRPr="009C48DA" w:rsidR="00661519" w:rsidP="00661519" w:rsidRDefault="00661519" w14:paraId="28350BE9"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191" w:type="dxa"/>
            <w:vAlign w:val="bottom"/>
          </w:tcPr>
          <w:p w:rsidRPr="009C48DA" w:rsidR="00661519" w:rsidP="00661519" w:rsidRDefault="00661519" w14:paraId="1616AA76" w14:textId="77777777">
            <w:pPr>
              <w:textAlignment w:val="baseline"/>
              <w:rPr>
                <w:rFonts w:eastAsia="Times New Roman"/>
                <w:b/>
                <w:color w:val="000000"/>
                <w:sz w:val="16"/>
                <w:lang w:val="en-GB"/>
              </w:rPr>
            </w:pPr>
            <w:r w:rsidRPr="009C48DA">
              <w:rPr>
                <w:rFonts w:eastAsia="Times New Roman"/>
                <w:b/>
                <w:color w:val="000000"/>
                <w:sz w:val="16"/>
                <w:lang w:val="en-GB"/>
              </w:rPr>
              <w:t>Due betwee</w:t>
            </w:r>
            <w:r w:rsidRPr="009C48DA">
              <w:rPr>
                <w:rFonts w:eastAsia="Times New Roman"/>
                <w:b/>
                <w:color w:val="000000"/>
                <w:sz w:val="14"/>
                <w:szCs w:val="14"/>
                <w:lang w:val="en-GB"/>
              </w:rPr>
              <w:t>n 1</w:t>
            </w:r>
            <w:r w:rsidRPr="009C48DA">
              <w:rPr>
                <w:rFonts w:eastAsia="Times New Roman"/>
                <w:b/>
                <w:color w:val="000000"/>
                <w:sz w:val="16"/>
                <w:lang w:val="en-GB"/>
              </w:rPr>
              <w:t xml:space="preserve"> and 2 years</w:t>
            </w:r>
          </w:p>
          <w:p w:rsidRPr="009C48DA" w:rsidR="00661519" w:rsidP="00661519" w:rsidRDefault="00661519" w14:paraId="7E9628E9" w14:textId="77777777">
            <w:pPr>
              <w:jc w:val="center"/>
              <w:textAlignment w:val="baseline"/>
              <w:rPr>
                <w:rFonts w:eastAsia="Times New Roman"/>
                <w:b/>
                <w:color w:val="000000"/>
                <w:sz w:val="16"/>
                <w:lang w:val="en-GB"/>
              </w:rPr>
            </w:pPr>
            <w:r w:rsidRPr="009C48DA">
              <w:rPr>
                <w:rFonts w:eastAsia="Times New Roman"/>
                <w:b/>
                <w:color w:val="000000"/>
                <w:sz w:val="16"/>
                <w:lang w:val="en-GB"/>
              </w:rPr>
              <w:t>£ 000</w:t>
            </w:r>
          </w:p>
        </w:tc>
        <w:tc>
          <w:tcPr>
            <w:tcW w:w="1190" w:type="dxa"/>
            <w:vAlign w:val="bottom"/>
          </w:tcPr>
          <w:p w:rsidRPr="009C48DA" w:rsidR="00661519" w:rsidP="00661519" w:rsidRDefault="00661519" w14:paraId="61AC6DC0" w14:textId="77777777">
            <w:pPr>
              <w:jc w:val="center"/>
              <w:textAlignment w:val="baseline"/>
              <w:rPr>
                <w:rFonts w:eastAsia="Times New Roman"/>
                <w:b/>
                <w:color w:val="000000"/>
                <w:sz w:val="16"/>
                <w:lang w:val="en-GB"/>
              </w:rPr>
            </w:pPr>
            <w:r w:rsidRPr="009C48DA">
              <w:rPr>
                <w:rFonts w:eastAsia="Times New Roman"/>
                <w:b/>
                <w:color w:val="000000"/>
                <w:sz w:val="16"/>
                <w:lang w:val="en-GB"/>
              </w:rPr>
              <w:t>Due within 2 and 5 years</w:t>
            </w:r>
          </w:p>
          <w:p w:rsidRPr="009C48DA" w:rsidR="00661519" w:rsidP="00661519" w:rsidRDefault="00661519" w14:paraId="2EFB4960" w14:textId="77777777">
            <w:pPr>
              <w:jc w:val="center"/>
              <w:textAlignment w:val="baseline"/>
              <w:rPr>
                <w:rFonts w:eastAsia="Times New Roman"/>
                <w:color w:val="000000"/>
                <w:sz w:val="16"/>
                <w:lang w:val="en-GB"/>
              </w:rPr>
            </w:pPr>
            <w:r w:rsidRPr="009C48DA">
              <w:rPr>
                <w:rFonts w:eastAsia="Times New Roman"/>
                <w:b/>
                <w:color w:val="000000"/>
                <w:sz w:val="16"/>
                <w:lang w:val="en-GB"/>
              </w:rPr>
              <w:t>£ 000</w:t>
            </w:r>
          </w:p>
        </w:tc>
        <w:tc>
          <w:tcPr>
            <w:tcW w:w="1191" w:type="dxa"/>
            <w:vAlign w:val="bottom"/>
          </w:tcPr>
          <w:p w:rsidRPr="009C48DA" w:rsidR="00661519" w:rsidP="00661519" w:rsidRDefault="00661519" w14:paraId="793AAD8E" w14:textId="77777777">
            <w:pPr>
              <w:jc w:val="center"/>
              <w:textAlignment w:val="baseline"/>
              <w:rPr>
                <w:rFonts w:eastAsia="Times New Roman"/>
                <w:b/>
                <w:color w:val="000000"/>
                <w:sz w:val="16"/>
                <w:lang w:val="en-GB"/>
              </w:rPr>
            </w:pPr>
            <w:r w:rsidRPr="009C48DA">
              <w:rPr>
                <w:rFonts w:eastAsia="Times New Roman"/>
                <w:b/>
                <w:color w:val="000000"/>
                <w:sz w:val="16"/>
                <w:lang w:val="en-GB"/>
              </w:rPr>
              <w:t>Due more than 5 years</w:t>
            </w:r>
          </w:p>
          <w:p w:rsidRPr="009C48DA" w:rsidR="00661519" w:rsidP="00661519" w:rsidRDefault="00661519" w14:paraId="5B211DF1" w14:textId="77777777">
            <w:pPr>
              <w:jc w:val="center"/>
              <w:textAlignment w:val="baseline"/>
              <w:rPr>
                <w:rFonts w:eastAsia="Times New Roman"/>
                <w:color w:val="000000"/>
                <w:sz w:val="16"/>
                <w:lang w:val="en-GB"/>
              </w:rPr>
            </w:pPr>
            <w:r w:rsidRPr="009C48DA">
              <w:rPr>
                <w:rFonts w:eastAsia="Times New Roman"/>
                <w:b/>
                <w:color w:val="000000"/>
                <w:sz w:val="16"/>
                <w:lang w:val="en-GB"/>
              </w:rPr>
              <w:t>£ 000</w:t>
            </w:r>
          </w:p>
        </w:tc>
        <w:tc>
          <w:tcPr>
            <w:tcW w:w="1191" w:type="dxa"/>
            <w:vAlign w:val="bottom"/>
          </w:tcPr>
          <w:p w:rsidRPr="009C48DA" w:rsidR="00661519" w:rsidP="00661519" w:rsidRDefault="00661519" w14:paraId="20867C0C" w14:textId="77777777">
            <w:pPr>
              <w:jc w:val="center"/>
              <w:textAlignment w:val="baseline"/>
              <w:rPr>
                <w:rFonts w:eastAsia="Times New Roman"/>
                <w:b/>
                <w:color w:val="000000"/>
                <w:sz w:val="16"/>
                <w:lang w:val="en-GB"/>
              </w:rPr>
            </w:pPr>
            <w:r w:rsidRPr="009C48DA">
              <w:rPr>
                <w:rFonts w:eastAsia="Times New Roman"/>
                <w:b/>
                <w:color w:val="000000"/>
                <w:sz w:val="16"/>
                <w:lang w:val="en-GB"/>
              </w:rPr>
              <w:t>Total</w:t>
            </w:r>
          </w:p>
          <w:p w:rsidRPr="009C48DA" w:rsidR="00661519" w:rsidP="00661519" w:rsidRDefault="00661519" w14:paraId="62519580" w14:textId="77777777">
            <w:pPr>
              <w:jc w:val="center"/>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720D43D3" w14:textId="77777777">
        <w:tc>
          <w:tcPr>
            <w:tcW w:w="3227" w:type="dxa"/>
          </w:tcPr>
          <w:p w:rsidRPr="009C48DA" w:rsidR="00661519" w:rsidP="00661519" w:rsidRDefault="00661519" w14:paraId="503DB1CB"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Borrowings </w:t>
            </w:r>
          </w:p>
        </w:tc>
        <w:tc>
          <w:tcPr>
            <w:tcW w:w="1190" w:type="dxa"/>
            <w:vAlign w:val="center"/>
          </w:tcPr>
          <w:p w:rsidRPr="009C48DA" w:rsidR="00661519" w:rsidP="00661519" w:rsidRDefault="00661519" w14:paraId="69DA9116" w14:textId="77777777">
            <w:pPr>
              <w:jc w:val="right"/>
              <w:textAlignment w:val="baseline"/>
              <w:rPr>
                <w:rFonts w:eastAsia="Times New Roman"/>
                <w:color w:val="000000"/>
                <w:sz w:val="16"/>
                <w:lang w:val="en-GB"/>
              </w:rPr>
            </w:pPr>
            <w:r w:rsidRPr="009C48DA">
              <w:rPr>
                <w:rFonts w:eastAsia="Times New Roman"/>
                <w:color w:val="000000"/>
                <w:sz w:val="16"/>
                <w:lang w:val="en-GB"/>
              </w:rPr>
              <w:t>87,493</w:t>
            </w:r>
          </w:p>
        </w:tc>
        <w:tc>
          <w:tcPr>
            <w:tcW w:w="1191" w:type="dxa"/>
            <w:vAlign w:val="center"/>
          </w:tcPr>
          <w:p w:rsidRPr="009C48DA" w:rsidR="00661519" w:rsidP="00661519" w:rsidRDefault="00661519" w14:paraId="00FCD8C1"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0" w:type="dxa"/>
            <w:vAlign w:val="center"/>
          </w:tcPr>
          <w:p w:rsidRPr="009C48DA" w:rsidR="00661519" w:rsidP="00661519" w:rsidRDefault="00661519" w14:paraId="7F141CD5"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center"/>
          </w:tcPr>
          <w:p w:rsidRPr="009C48DA" w:rsidR="00661519" w:rsidP="00661519" w:rsidRDefault="00661519" w14:paraId="41A3047A"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center"/>
          </w:tcPr>
          <w:p w:rsidRPr="009C48DA" w:rsidR="00661519" w:rsidP="00661519" w:rsidRDefault="00661519" w14:paraId="25EF8D52" w14:textId="77777777">
            <w:pPr>
              <w:jc w:val="right"/>
              <w:textAlignment w:val="baseline"/>
              <w:rPr>
                <w:rFonts w:eastAsia="Times New Roman"/>
                <w:color w:val="000000"/>
                <w:sz w:val="16"/>
                <w:lang w:val="en-GB"/>
              </w:rPr>
            </w:pPr>
            <w:r w:rsidRPr="009C48DA">
              <w:rPr>
                <w:rFonts w:eastAsia="Times New Roman"/>
                <w:color w:val="000000"/>
                <w:sz w:val="16"/>
                <w:lang w:val="en-GB"/>
              </w:rPr>
              <w:t>87,493</w:t>
            </w:r>
          </w:p>
        </w:tc>
      </w:tr>
      <w:tr w:rsidRPr="009C48DA" w:rsidR="00661519" w:rsidTr="00661519" w14:paraId="2110A16D" w14:textId="77777777">
        <w:tc>
          <w:tcPr>
            <w:tcW w:w="3227" w:type="dxa"/>
          </w:tcPr>
          <w:p w:rsidRPr="009C48DA" w:rsidR="00661519" w:rsidP="00661519" w:rsidRDefault="00661519" w14:paraId="01EFE8F9" w14:textId="77777777">
            <w:pPr>
              <w:jc w:val="both"/>
              <w:textAlignment w:val="baseline"/>
              <w:rPr>
                <w:rFonts w:eastAsia="Times New Roman"/>
                <w:color w:val="000000"/>
                <w:sz w:val="16"/>
                <w:lang w:val="en-GB"/>
              </w:rPr>
            </w:pPr>
            <w:r w:rsidRPr="009C48DA">
              <w:rPr>
                <w:rFonts w:eastAsia="Times New Roman"/>
                <w:color w:val="000000"/>
                <w:sz w:val="16"/>
                <w:lang w:val="en-GB"/>
              </w:rPr>
              <w:t>Other financial liabilities</w:t>
            </w:r>
          </w:p>
        </w:tc>
        <w:tc>
          <w:tcPr>
            <w:tcW w:w="1190" w:type="dxa"/>
            <w:vAlign w:val="center"/>
          </w:tcPr>
          <w:p w:rsidRPr="009C48DA" w:rsidR="00661519" w:rsidP="00661519" w:rsidRDefault="00661519" w14:paraId="6BC93A8C" w14:textId="77777777">
            <w:pPr>
              <w:jc w:val="right"/>
              <w:textAlignment w:val="baseline"/>
              <w:rPr>
                <w:rFonts w:eastAsia="Times New Roman"/>
                <w:color w:val="000000"/>
                <w:sz w:val="16"/>
                <w:lang w:val="en-GB"/>
              </w:rPr>
            </w:pPr>
            <w:r w:rsidRPr="009C48DA">
              <w:rPr>
                <w:rFonts w:eastAsia="Times New Roman"/>
                <w:color w:val="000000"/>
                <w:sz w:val="16"/>
                <w:lang w:val="en-GB"/>
              </w:rPr>
              <w:t>5,762</w:t>
            </w:r>
          </w:p>
        </w:tc>
        <w:tc>
          <w:tcPr>
            <w:tcW w:w="1191" w:type="dxa"/>
            <w:vAlign w:val="center"/>
          </w:tcPr>
          <w:p w:rsidRPr="009C48DA" w:rsidR="00661519" w:rsidP="00661519" w:rsidRDefault="00661519" w14:paraId="21D7FF81"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0" w:type="dxa"/>
            <w:vAlign w:val="center"/>
          </w:tcPr>
          <w:p w:rsidRPr="009C48DA" w:rsidR="00661519" w:rsidP="00661519" w:rsidRDefault="00661519" w14:paraId="7671BEF8"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center"/>
          </w:tcPr>
          <w:p w:rsidRPr="009C48DA" w:rsidR="00661519" w:rsidP="00661519" w:rsidRDefault="00661519" w14:paraId="04B8186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center"/>
          </w:tcPr>
          <w:p w:rsidRPr="009C48DA" w:rsidR="00661519" w:rsidP="00661519" w:rsidRDefault="00661519" w14:paraId="258CAE8A" w14:textId="77777777">
            <w:pPr>
              <w:jc w:val="right"/>
              <w:textAlignment w:val="baseline"/>
              <w:rPr>
                <w:rFonts w:eastAsia="Times New Roman"/>
                <w:color w:val="000000"/>
                <w:sz w:val="16"/>
                <w:lang w:val="en-GB"/>
              </w:rPr>
            </w:pPr>
            <w:r w:rsidRPr="009C48DA">
              <w:rPr>
                <w:rFonts w:eastAsia="Times New Roman"/>
                <w:color w:val="000000"/>
                <w:sz w:val="16"/>
                <w:lang w:val="en-GB"/>
              </w:rPr>
              <w:t>5,762</w:t>
            </w:r>
          </w:p>
        </w:tc>
      </w:tr>
      <w:tr w:rsidRPr="009C48DA" w:rsidR="00661519" w:rsidTr="00661519" w14:paraId="621B3E21" w14:textId="77777777">
        <w:tc>
          <w:tcPr>
            <w:tcW w:w="3227" w:type="dxa"/>
          </w:tcPr>
          <w:p w:rsidRPr="009C48DA" w:rsidR="00661519" w:rsidP="00661519" w:rsidRDefault="00661519" w14:paraId="160D9C68" w14:textId="77777777">
            <w:pPr>
              <w:jc w:val="both"/>
              <w:textAlignment w:val="baseline"/>
              <w:rPr>
                <w:rFonts w:eastAsia="Times New Roman"/>
                <w:color w:val="000000"/>
                <w:sz w:val="16"/>
                <w:lang w:val="en-GB"/>
              </w:rPr>
            </w:pPr>
            <w:r w:rsidRPr="009C48DA">
              <w:rPr>
                <w:rFonts w:eastAsia="Times New Roman"/>
                <w:color w:val="000000"/>
                <w:sz w:val="16"/>
                <w:lang w:val="en-GB"/>
              </w:rPr>
              <w:t>Derivative financial instruments</w:t>
            </w:r>
          </w:p>
        </w:tc>
        <w:tc>
          <w:tcPr>
            <w:tcW w:w="1190" w:type="dxa"/>
            <w:vAlign w:val="center"/>
          </w:tcPr>
          <w:p w:rsidRPr="009C48DA" w:rsidR="00661519" w:rsidP="00661519" w:rsidRDefault="00661519" w14:paraId="2335F20A"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center"/>
          </w:tcPr>
          <w:p w:rsidRPr="009C48DA" w:rsidR="00661519" w:rsidP="00661519" w:rsidRDefault="00661519" w14:paraId="67931C35" w14:textId="77777777">
            <w:pPr>
              <w:jc w:val="right"/>
              <w:textAlignment w:val="baseline"/>
              <w:rPr>
                <w:rFonts w:eastAsia="Times New Roman"/>
                <w:color w:val="000000"/>
                <w:sz w:val="16"/>
                <w:lang w:val="en-GB"/>
              </w:rPr>
            </w:pPr>
            <w:r w:rsidRPr="009C48DA">
              <w:rPr>
                <w:rFonts w:eastAsia="Times New Roman"/>
                <w:color w:val="000000"/>
                <w:sz w:val="16"/>
                <w:lang w:val="en-GB"/>
              </w:rPr>
              <w:t>10</w:t>
            </w:r>
          </w:p>
        </w:tc>
        <w:tc>
          <w:tcPr>
            <w:tcW w:w="1190" w:type="dxa"/>
            <w:vAlign w:val="center"/>
          </w:tcPr>
          <w:p w:rsidRPr="009C48DA" w:rsidR="00661519" w:rsidP="00661519" w:rsidRDefault="00661519" w14:paraId="11AE0E6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center"/>
          </w:tcPr>
          <w:p w:rsidRPr="009C48DA" w:rsidR="00661519" w:rsidP="00661519" w:rsidRDefault="00661519" w14:paraId="5D6B1D2B"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center"/>
          </w:tcPr>
          <w:p w:rsidRPr="009C48DA" w:rsidR="00661519" w:rsidP="00661519" w:rsidRDefault="00661519" w14:paraId="714AEAB6" w14:textId="77777777">
            <w:pPr>
              <w:jc w:val="right"/>
              <w:textAlignment w:val="baseline"/>
              <w:rPr>
                <w:rFonts w:eastAsia="Times New Roman"/>
                <w:color w:val="000000"/>
                <w:sz w:val="16"/>
                <w:lang w:val="en-GB"/>
              </w:rPr>
            </w:pPr>
            <w:r w:rsidRPr="009C48DA">
              <w:rPr>
                <w:rFonts w:eastAsia="Times New Roman"/>
                <w:color w:val="000000"/>
                <w:sz w:val="16"/>
                <w:lang w:val="en-GB"/>
              </w:rPr>
              <w:t>10</w:t>
            </w:r>
          </w:p>
        </w:tc>
      </w:tr>
      <w:tr w:rsidRPr="009C48DA" w:rsidR="00661519" w:rsidTr="00661519" w14:paraId="3A8B9CF3" w14:textId="77777777">
        <w:tc>
          <w:tcPr>
            <w:tcW w:w="3227" w:type="dxa"/>
          </w:tcPr>
          <w:p w:rsidRPr="009C48DA" w:rsidR="00661519" w:rsidP="00661519" w:rsidRDefault="00661519" w14:paraId="4A2B5520" w14:textId="77777777">
            <w:pPr>
              <w:jc w:val="both"/>
              <w:textAlignment w:val="baseline"/>
              <w:rPr>
                <w:rFonts w:eastAsia="Times New Roman"/>
                <w:color w:val="000000"/>
                <w:sz w:val="16"/>
                <w:lang w:val="en-GB"/>
              </w:rPr>
            </w:pPr>
            <w:r w:rsidRPr="009C48DA">
              <w:rPr>
                <w:rFonts w:eastAsia="Times New Roman"/>
                <w:color w:val="000000"/>
                <w:sz w:val="16"/>
                <w:lang w:val="en-GB"/>
              </w:rPr>
              <w:t>Trade and other payables</w:t>
            </w:r>
          </w:p>
        </w:tc>
        <w:tc>
          <w:tcPr>
            <w:tcW w:w="1190" w:type="dxa"/>
            <w:vAlign w:val="center"/>
          </w:tcPr>
          <w:p w:rsidRPr="009C48DA" w:rsidR="00661519" w:rsidP="00661519" w:rsidRDefault="00661519" w14:paraId="7B6D7DFE" w14:textId="77777777">
            <w:pPr>
              <w:jc w:val="right"/>
              <w:textAlignment w:val="baseline"/>
              <w:rPr>
                <w:rFonts w:eastAsia="Times New Roman"/>
                <w:color w:val="000000"/>
                <w:sz w:val="16"/>
                <w:lang w:val="en-GB"/>
              </w:rPr>
            </w:pPr>
            <w:r w:rsidRPr="009C48DA">
              <w:rPr>
                <w:rFonts w:eastAsia="Times New Roman"/>
                <w:color w:val="000000"/>
                <w:sz w:val="16"/>
                <w:lang w:val="en-GB"/>
              </w:rPr>
              <w:t>41,861</w:t>
            </w:r>
          </w:p>
        </w:tc>
        <w:tc>
          <w:tcPr>
            <w:tcW w:w="1191" w:type="dxa"/>
            <w:vAlign w:val="center"/>
          </w:tcPr>
          <w:p w:rsidRPr="009C48DA" w:rsidR="00661519" w:rsidP="00661519" w:rsidRDefault="00661519" w14:paraId="32878384" w14:textId="77777777">
            <w:pPr>
              <w:jc w:val="right"/>
              <w:textAlignment w:val="baseline"/>
              <w:rPr>
                <w:rFonts w:eastAsia="Times New Roman"/>
                <w:color w:val="000000"/>
                <w:sz w:val="16"/>
                <w:lang w:val="en-GB"/>
              </w:rPr>
            </w:pPr>
            <w:r w:rsidRPr="009C48DA">
              <w:rPr>
                <w:rFonts w:eastAsia="Times New Roman"/>
                <w:color w:val="000000"/>
                <w:sz w:val="16"/>
                <w:lang w:val="en-GB"/>
              </w:rPr>
              <w:t>578</w:t>
            </w:r>
          </w:p>
        </w:tc>
        <w:tc>
          <w:tcPr>
            <w:tcW w:w="1190" w:type="dxa"/>
            <w:vAlign w:val="center"/>
          </w:tcPr>
          <w:p w:rsidRPr="009C48DA" w:rsidR="00661519" w:rsidP="00661519" w:rsidRDefault="00661519" w14:paraId="13CD3DBE"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center"/>
          </w:tcPr>
          <w:p w:rsidRPr="009C48DA" w:rsidR="00661519" w:rsidP="00661519" w:rsidRDefault="00661519" w14:paraId="43C64CE2"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center"/>
          </w:tcPr>
          <w:p w:rsidRPr="009C48DA" w:rsidR="00661519" w:rsidP="00661519" w:rsidRDefault="00661519" w14:paraId="2980500C" w14:textId="77777777">
            <w:pPr>
              <w:jc w:val="right"/>
              <w:textAlignment w:val="baseline"/>
              <w:rPr>
                <w:rFonts w:eastAsia="Times New Roman"/>
                <w:color w:val="000000"/>
                <w:sz w:val="16"/>
                <w:lang w:val="en-GB"/>
              </w:rPr>
            </w:pPr>
            <w:r w:rsidRPr="009C48DA">
              <w:rPr>
                <w:rFonts w:eastAsia="Times New Roman"/>
                <w:color w:val="000000"/>
                <w:sz w:val="16"/>
                <w:lang w:val="en-GB"/>
              </w:rPr>
              <w:t>42,439</w:t>
            </w:r>
          </w:p>
        </w:tc>
      </w:tr>
      <w:tr w:rsidRPr="009C48DA" w:rsidR="00661519" w:rsidTr="00661519" w14:paraId="397D3981" w14:textId="77777777">
        <w:tc>
          <w:tcPr>
            <w:tcW w:w="3227" w:type="dxa"/>
          </w:tcPr>
          <w:p w:rsidRPr="009C48DA" w:rsidR="00661519" w:rsidP="00661519" w:rsidRDefault="00661519" w14:paraId="1910DFC9" w14:textId="77777777">
            <w:pPr>
              <w:jc w:val="both"/>
              <w:textAlignment w:val="baseline"/>
              <w:rPr>
                <w:rFonts w:eastAsia="Times New Roman"/>
                <w:color w:val="000000"/>
                <w:sz w:val="16"/>
                <w:lang w:val="en-GB"/>
              </w:rPr>
            </w:pPr>
            <w:r w:rsidRPr="009C48DA">
              <w:rPr>
                <w:rFonts w:eastAsia="Times New Roman"/>
                <w:color w:val="000000"/>
                <w:sz w:val="16"/>
                <w:lang w:val="en-GB"/>
              </w:rPr>
              <w:t>Deferred contingent consideration</w:t>
            </w:r>
          </w:p>
        </w:tc>
        <w:tc>
          <w:tcPr>
            <w:tcW w:w="1190" w:type="dxa"/>
            <w:vAlign w:val="center"/>
          </w:tcPr>
          <w:p w:rsidRPr="009C48DA" w:rsidR="00661519" w:rsidP="00661519" w:rsidRDefault="00661519" w14:paraId="3765DCC4"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center"/>
          </w:tcPr>
          <w:p w:rsidRPr="009C48DA" w:rsidR="00661519" w:rsidP="00661519" w:rsidRDefault="00661519" w14:paraId="59D30E43" w14:textId="77777777">
            <w:pPr>
              <w:jc w:val="right"/>
              <w:textAlignment w:val="baseline"/>
              <w:rPr>
                <w:rFonts w:eastAsia="Times New Roman"/>
                <w:color w:val="000000"/>
                <w:sz w:val="16"/>
                <w:lang w:val="en-GB"/>
              </w:rPr>
            </w:pPr>
            <w:r w:rsidRPr="009C48DA">
              <w:rPr>
                <w:rFonts w:eastAsia="Times New Roman"/>
                <w:color w:val="000000"/>
                <w:sz w:val="16"/>
                <w:lang w:val="en-GB"/>
              </w:rPr>
              <w:t>31,717</w:t>
            </w:r>
          </w:p>
        </w:tc>
        <w:tc>
          <w:tcPr>
            <w:tcW w:w="1190" w:type="dxa"/>
            <w:vAlign w:val="center"/>
          </w:tcPr>
          <w:p w:rsidRPr="009C48DA" w:rsidR="00661519" w:rsidP="00661519" w:rsidRDefault="00661519" w14:paraId="10D70FFC"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center"/>
          </w:tcPr>
          <w:p w:rsidRPr="009C48DA" w:rsidR="00661519" w:rsidP="00661519" w:rsidRDefault="00661519" w14:paraId="258D02C0"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center"/>
          </w:tcPr>
          <w:p w:rsidRPr="009C48DA" w:rsidR="00661519" w:rsidP="00661519" w:rsidRDefault="00661519" w14:paraId="2DAF4F2D" w14:textId="77777777">
            <w:pPr>
              <w:jc w:val="right"/>
              <w:textAlignment w:val="baseline"/>
              <w:rPr>
                <w:rFonts w:eastAsia="Times New Roman"/>
                <w:color w:val="000000"/>
                <w:sz w:val="16"/>
                <w:lang w:val="en-GB"/>
              </w:rPr>
            </w:pPr>
            <w:r w:rsidRPr="009C48DA">
              <w:rPr>
                <w:rFonts w:eastAsia="Times New Roman"/>
                <w:color w:val="000000"/>
                <w:sz w:val="16"/>
                <w:lang w:val="en-GB"/>
              </w:rPr>
              <w:t>31,717</w:t>
            </w:r>
          </w:p>
        </w:tc>
      </w:tr>
      <w:tr w:rsidRPr="009C48DA" w:rsidR="00661519" w:rsidTr="00661519" w14:paraId="50F7BE7E" w14:textId="77777777">
        <w:tc>
          <w:tcPr>
            <w:tcW w:w="3227" w:type="dxa"/>
          </w:tcPr>
          <w:p w:rsidRPr="009C48DA" w:rsidR="00661519" w:rsidP="00661519" w:rsidRDefault="00661519" w14:paraId="1413E0A2" w14:textId="77777777">
            <w:pPr>
              <w:jc w:val="both"/>
              <w:textAlignment w:val="baseline"/>
              <w:rPr>
                <w:rFonts w:eastAsia="Times New Roman"/>
                <w:color w:val="000000"/>
                <w:sz w:val="16"/>
                <w:lang w:val="en-GB"/>
              </w:rPr>
            </w:pPr>
            <w:r w:rsidRPr="009C48DA">
              <w:rPr>
                <w:rFonts w:eastAsia="Times New Roman"/>
                <w:color w:val="000000"/>
                <w:sz w:val="16"/>
                <w:lang w:val="en-GB"/>
              </w:rPr>
              <w:t>Lease liabilities</w:t>
            </w:r>
          </w:p>
        </w:tc>
        <w:tc>
          <w:tcPr>
            <w:tcW w:w="1190" w:type="dxa"/>
            <w:vAlign w:val="center"/>
          </w:tcPr>
          <w:p w:rsidRPr="009C48DA" w:rsidR="00661519" w:rsidP="00661519" w:rsidRDefault="00661519" w14:paraId="599D675D" w14:textId="77777777">
            <w:pPr>
              <w:jc w:val="right"/>
              <w:textAlignment w:val="baseline"/>
              <w:rPr>
                <w:rFonts w:eastAsia="Times New Roman"/>
                <w:color w:val="000000"/>
                <w:sz w:val="16"/>
                <w:lang w:val="en-GB"/>
              </w:rPr>
            </w:pPr>
            <w:r w:rsidRPr="009C48DA">
              <w:rPr>
                <w:rFonts w:eastAsia="Times New Roman"/>
                <w:color w:val="000000"/>
                <w:sz w:val="16"/>
                <w:lang w:val="en-GB"/>
              </w:rPr>
              <w:t>8,341</w:t>
            </w:r>
          </w:p>
        </w:tc>
        <w:tc>
          <w:tcPr>
            <w:tcW w:w="1191" w:type="dxa"/>
            <w:vAlign w:val="center"/>
          </w:tcPr>
          <w:p w:rsidRPr="009C48DA" w:rsidR="00661519" w:rsidP="00661519" w:rsidRDefault="00661519" w14:paraId="069343B0" w14:textId="77777777">
            <w:pPr>
              <w:jc w:val="right"/>
              <w:textAlignment w:val="baseline"/>
              <w:rPr>
                <w:rFonts w:eastAsia="Times New Roman"/>
                <w:color w:val="000000"/>
                <w:sz w:val="16"/>
                <w:lang w:val="en-GB"/>
              </w:rPr>
            </w:pPr>
            <w:r w:rsidRPr="009C48DA">
              <w:rPr>
                <w:rFonts w:eastAsia="Times New Roman"/>
                <w:color w:val="000000"/>
                <w:sz w:val="16"/>
                <w:lang w:val="en-GB"/>
              </w:rPr>
              <w:t>7,570</w:t>
            </w:r>
          </w:p>
        </w:tc>
        <w:tc>
          <w:tcPr>
            <w:tcW w:w="1190" w:type="dxa"/>
            <w:vAlign w:val="center"/>
          </w:tcPr>
          <w:p w:rsidRPr="009C48DA" w:rsidR="00661519" w:rsidP="00661519" w:rsidRDefault="00661519" w14:paraId="5A9875CD" w14:textId="77777777">
            <w:pPr>
              <w:jc w:val="right"/>
              <w:textAlignment w:val="baseline"/>
              <w:rPr>
                <w:rFonts w:eastAsia="Times New Roman"/>
                <w:color w:val="000000"/>
                <w:sz w:val="16"/>
                <w:lang w:val="en-GB"/>
              </w:rPr>
            </w:pPr>
            <w:r w:rsidRPr="009C48DA">
              <w:rPr>
                <w:rFonts w:eastAsia="Times New Roman"/>
                <w:color w:val="000000"/>
                <w:sz w:val="16"/>
                <w:lang w:val="en-GB"/>
              </w:rPr>
              <w:t>19,878</w:t>
            </w:r>
          </w:p>
        </w:tc>
        <w:tc>
          <w:tcPr>
            <w:tcW w:w="1191" w:type="dxa"/>
            <w:vAlign w:val="center"/>
          </w:tcPr>
          <w:p w:rsidRPr="009C48DA" w:rsidR="00661519" w:rsidP="00661519" w:rsidRDefault="00661519" w14:paraId="25EC2286" w14:textId="77777777">
            <w:pPr>
              <w:jc w:val="right"/>
              <w:textAlignment w:val="baseline"/>
              <w:rPr>
                <w:rFonts w:eastAsia="Times New Roman"/>
                <w:color w:val="000000"/>
                <w:sz w:val="16"/>
                <w:lang w:val="en-GB"/>
              </w:rPr>
            </w:pPr>
            <w:r w:rsidRPr="009C48DA">
              <w:rPr>
                <w:rFonts w:eastAsia="Times New Roman"/>
                <w:color w:val="000000"/>
                <w:sz w:val="16"/>
                <w:lang w:val="en-GB"/>
              </w:rPr>
              <w:t>11,896</w:t>
            </w:r>
          </w:p>
        </w:tc>
        <w:tc>
          <w:tcPr>
            <w:tcW w:w="1191" w:type="dxa"/>
            <w:vAlign w:val="center"/>
          </w:tcPr>
          <w:p w:rsidRPr="009C48DA" w:rsidR="00661519" w:rsidP="00661519" w:rsidRDefault="00661519" w14:paraId="6EF53B7B" w14:textId="77777777">
            <w:pPr>
              <w:jc w:val="right"/>
              <w:textAlignment w:val="baseline"/>
              <w:rPr>
                <w:rFonts w:eastAsia="Times New Roman"/>
                <w:color w:val="000000"/>
                <w:sz w:val="16"/>
                <w:lang w:val="en-GB"/>
              </w:rPr>
            </w:pPr>
            <w:r w:rsidRPr="009C48DA">
              <w:rPr>
                <w:rFonts w:eastAsia="Times New Roman"/>
                <w:color w:val="000000"/>
                <w:sz w:val="16"/>
                <w:lang w:val="en-GB"/>
              </w:rPr>
              <w:t>47,685</w:t>
            </w:r>
          </w:p>
        </w:tc>
      </w:tr>
      <w:tr w:rsidRPr="009C48DA" w:rsidR="00661519" w:rsidTr="00661519" w14:paraId="6D96673F" w14:textId="77777777">
        <w:tc>
          <w:tcPr>
            <w:tcW w:w="3227" w:type="dxa"/>
          </w:tcPr>
          <w:p w:rsidRPr="009C48DA" w:rsidR="00661519" w:rsidP="00661519" w:rsidRDefault="00661519" w14:paraId="4B53B553" w14:textId="77777777">
            <w:pPr>
              <w:jc w:val="both"/>
              <w:textAlignment w:val="baseline"/>
              <w:rPr>
                <w:rFonts w:eastAsia="Times New Roman"/>
                <w:color w:val="000000"/>
                <w:sz w:val="16"/>
                <w:lang w:val="en-GB"/>
              </w:rPr>
            </w:pPr>
            <w:r w:rsidRPr="009C48DA">
              <w:rPr>
                <w:rFonts w:eastAsia="Times New Roman"/>
                <w:color w:val="000000"/>
                <w:sz w:val="16"/>
                <w:lang w:val="en-GB"/>
              </w:rPr>
              <w:t>CLO liabilities</w:t>
            </w:r>
          </w:p>
        </w:tc>
        <w:tc>
          <w:tcPr>
            <w:tcW w:w="1190" w:type="dxa"/>
            <w:vAlign w:val="center"/>
          </w:tcPr>
          <w:p w:rsidRPr="009C48DA" w:rsidR="00661519" w:rsidP="00661519" w:rsidRDefault="00661519" w14:paraId="65600AEA" w14:textId="77777777">
            <w:pPr>
              <w:jc w:val="right"/>
              <w:textAlignment w:val="baseline"/>
              <w:rPr>
                <w:rFonts w:eastAsia="Times New Roman"/>
                <w:color w:val="000000"/>
                <w:sz w:val="16"/>
                <w:lang w:val="en-GB"/>
              </w:rPr>
            </w:pPr>
            <w:r w:rsidRPr="009C48DA">
              <w:rPr>
                <w:rFonts w:eastAsia="Times New Roman"/>
                <w:color w:val="000000"/>
                <w:sz w:val="16"/>
                <w:lang w:val="en-GB"/>
              </w:rPr>
              <w:t>49,331</w:t>
            </w:r>
          </w:p>
        </w:tc>
        <w:tc>
          <w:tcPr>
            <w:tcW w:w="1191" w:type="dxa"/>
            <w:vAlign w:val="center"/>
          </w:tcPr>
          <w:p w:rsidRPr="009C48DA" w:rsidR="00661519" w:rsidP="00661519" w:rsidRDefault="00661519" w14:paraId="308FA413"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0" w:type="dxa"/>
            <w:vAlign w:val="center"/>
          </w:tcPr>
          <w:p w:rsidRPr="009C48DA" w:rsidR="00661519" w:rsidP="00661519" w:rsidRDefault="00661519" w14:paraId="11964A6A"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center"/>
          </w:tcPr>
          <w:p w:rsidRPr="009C48DA" w:rsidR="00661519" w:rsidP="00661519" w:rsidRDefault="00661519" w14:paraId="4DB1925C" w14:textId="77777777">
            <w:pPr>
              <w:jc w:val="right"/>
              <w:textAlignment w:val="baseline"/>
              <w:rPr>
                <w:rFonts w:eastAsia="Times New Roman"/>
                <w:color w:val="000000"/>
                <w:sz w:val="16"/>
                <w:lang w:val="en-GB"/>
              </w:rPr>
            </w:pPr>
            <w:r w:rsidRPr="009C48DA">
              <w:rPr>
                <w:rFonts w:eastAsia="Times New Roman"/>
                <w:color w:val="000000"/>
                <w:sz w:val="16"/>
                <w:lang w:val="en-GB"/>
              </w:rPr>
              <w:t>245,727</w:t>
            </w:r>
          </w:p>
        </w:tc>
        <w:tc>
          <w:tcPr>
            <w:tcW w:w="1191" w:type="dxa"/>
            <w:vAlign w:val="center"/>
          </w:tcPr>
          <w:p w:rsidRPr="009C48DA" w:rsidR="00661519" w:rsidP="00661519" w:rsidRDefault="00661519" w14:paraId="3048A2B3" w14:textId="77777777">
            <w:pPr>
              <w:jc w:val="right"/>
              <w:textAlignment w:val="baseline"/>
              <w:rPr>
                <w:rFonts w:eastAsia="Times New Roman"/>
                <w:color w:val="000000"/>
                <w:sz w:val="16"/>
                <w:lang w:val="en-GB"/>
              </w:rPr>
            </w:pPr>
            <w:r w:rsidRPr="009C48DA">
              <w:rPr>
                <w:rFonts w:eastAsia="Times New Roman"/>
                <w:color w:val="000000"/>
                <w:sz w:val="16"/>
                <w:lang w:val="en-GB"/>
              </w:rPr>
              <w:t>295,058</w:t>
            </w:r>
          </w:p>
        </w:tc>
      </w:tr>
      <w:tr w:rsidRPr="009C48DA" w:rsidR="00661519" w:rsidTr="00661519" w14:paraId="0C10B212" w14:textId="77777777">
        <w:tc>
          <w:tcPr>
            <w:tcW w:w="3227" w:type="dxa"/>
          </w:tcPr>
          <w:p w:rsidRPr="009C48DA" w:rsidR="00661519" w:rsidP="00661519" w:rsidRDefault="00661519" w14:paraId="3E03BAE5" w14:textId="77777777">
            <w:pPr>
              <w:jc w:val="both"/>
              <w:textAlignment w:val="baseline"/>
              <w:rPr>
                <w:rFonts w:eastAsia="Times New Roman"/>
                <w:color w:val="000000"/>
                <w:sz w:val="16"/>
                <w:lang w:val="en-GB"/>
              </w:rPr>
            </w:pPr>
            <w:r w:rsidRPr="009C48DA">
              <w:rPr>
                <w:rFonts w:eastAsia="Times New Roman"/>
                <w:color w:val="000000"/>
                <w:sz w:val="16"/>
                <w:lang w:val="en-GB"/>
              </w:rPr>
              <w:t>CLO purchases awaiting settlement</w:t>
            </w:r>
          </w:p>
        </w:tc>
        <w:tc>
          <w:tcPr>
            <w:tcW w:w="1190" w:type="dxa"/>
            <w:vAlign w:val="center"/>
          </w:tcPr>
          <w:p w:rsidRPr="009C48DA" w:rsidR="00661519" w:rsidP="00661519" w:rsidRDefault="00661519" w14:paraId="3025C952"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124,489</w:t>
            </w:r>
          </w:p>
        </w:tc>
        <w:tc>
          <w:tcPr>
            <w:tcW w:w="1191" w:type="dxa"/>
            <w:vAlign w:val="center"/>
          </w:tcPr>
          <w:p w:rsidRPr="009C48DA" w:rsidR="00661519" w:rsidP="00661519" w:rsidRDefault="00661519" w14:paraId="34A9185F"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190" w:type="dxa"/>
            <w:vAlign w:val="center"/>
          </w:tcPr>
          <w:p w:rsidRPr="009C48DA" w:rsidR="00661519" w:rsidP="00661519" w:rsidRDefault="00661519" w14:paraId="5618B639"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center"/>
          </w:tcPr>
          <w:p w:rsidRPr="009C48DA" w:rsidR="00661519" w:rsidP="00661519" w:rsidRDefault="00661519" w14:paraId="0D138E03"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191" w:type="dxa"/>
            <w:vAlign w:val="center"/>
          </w:tcPr>
          <w:p w:rsidRPr="009C48DA" w:rsidR="00661519" w:rsidP="00661519" w:rsidRDefault="00661519" w14:paraId="423BD2BF"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124,489</w:t>
            </w:r>
          </w:p>
        </w:tc>
      </w:tr>
      <w:tr w:rsidRPr="009C48DA" w:rsidR="00661519" w:rsidTr="00661519" w14:paraId="435EFA92" w14:textId="77777777">
        <w:tc>
          <w:tcPr>
            <w:tcW w:w="3227" w:type="dxa"/>
          </w:tcPr>
          <w:p w:rsidRPr="009C48DA" w:rsidR="00661519" w:rsidP="00661519" w:rsidRDefault="00661519" w14:paraId="778C175B" w14:textId="77777777">
            <w:pPr>
              <w:jc w:val="both"/>
              <w:textAlignment w:val="baseline"/>
              <w:rPr>
                <w:rFonts w:eastAsia="Times New Roman"/>
                <w:b/>
                <w:color w:val="000000"/>
                <w:sz w:val="16"/>
                <w:lang w:val="en-GB"/>
              </w:rPr>
            </w:pPr>
          </w:p>
          <w:p w:rsidRPr="009C48DA" w:rsidR="00661519" w:rsidP="00661519" w:rsidRDefault="00661519" w14:paraId="5468EE73" w14:textId="77777777">
            <w:pPr>
              <w:jc w:val="both"/>
              <w:textAlignment w:val="baseline"/>
              <w:rPr>
                <w:rFonts w:eastAsia="Times New Roman"/>
                <w:b/>
                <w:color w:val="000000"/>
                <w:sz w:val="16"/>
                <w:lang w:val="en-GB"/>
              </w:rPr>
            </w:pPr>
            <w:r w:rsidRPr="009C48DA">
              <w:rPr>
                <w:rFonts w:eastAsia="Times New Roman"/>
                <w:b/>
                <w:color w:val="000000"/>
                <w:sz w:val="16"/>
                <w:lang w:val="en-GB"/>
              </w:rPr>
              <w:t>Total</w:t>
            </w:r>
          </w:p>
        </w:tc>
        <w:tc>
          <w:tcPr>
            <w:tcW w:w="1190" w:type="dxa"/>
            <w:vAlign w:val="center"/>
          </w:tcPr>
          <w:p w:rsidRPr="009C48DA" w:rsidR="00661519" w:rsidP="00661519" w:rsidRDefault="00661519" w14:paraId="58909D4C"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317,277</w:t>
            </w:r>
          </w:p>
        </w:tc>
        <w:tc>
          <w:tcPr>
            <w:tcW w:w="1191" w:type="dxa"/>
            <w:vAlign w:val="center"/>
          </w:tcPr>
          <w:p w:rsidRPr="009C48DA" w:rsidR="00661519" w:rsidP="00661519" w:rsidRDefault="00661519" w14:paraId="3EEF5F8D"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39,875</w:t>
            </w:r>
          </w:p>
        </w:tc>
        <w:tc>
          <w:tcPr>
            <w:tcW w:w="1190" w:type="dxa"/>
            <w:vAlign w:val="center"/>
          </w:tcPr>
          <w:p w:rsidRPr="009C48DA" w:rsidR="00661519" w:rsidP="00661519" w:rsidRDefault="00661519" w14:paraId="00317021"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19,878</w:t>
            </w:r>
          </w:p>
        </w:tc>
        <w:tc>
          <w:tcPr>
            <w:tcW w:w="1191" w:type="dxa"/>
            <w:vAlign w:val="center"/>
          </w:tcPr>
          <w:p w:rsidRPr="009C48DA" w:rsidR="00661519" w:rsidP="00661519" w:rsidRDefault="00661519" w14:paraId="03A7558B"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257,623</w:t>
            </w:r>
          </w:p>
        </w:tc>
        <w:tc>
          <w:tcPr>
            <w:tcW w:w="1191" w:type="dxa"/>
            <w:vAlign w:val="center"/>
          </w:tcPr>
          <w:p w:rsidRPr="009C48DA" w:rsidR="00661519" w:rsidP="00661519" w:rsidRDefault="00661519" w14:paraId="458967C6"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634,653</w:t>
            </w:r>
          </w:p>
        </w:tc>
      </w:tr>
    </w:tbl>
    <w:p w:rsidRPr="009C48DA" w:rsidR="00661519" w:rsidP="00661519" w:rsidRDefault="00661519" w14:paraId="2DBF8C5B" w14:textId="77777777">
      <w:pPr>
        <w:rPr>
          <w:rFonts w:eastAsia="Times New Roman" w:cs="Times New Roman"/>
          <w:color w:val="000000"/>
          <w:sz w:val="16"/>
          <w:szCs w:val="22"/>
          <w:lang w:val="en-GB"/>
        </w:rPr>
      </w:pPr>
    </w:p>
    <w:p w:rsidRPr="009C48DA" w:rsidR="00661519" w:rsidP="00661519" w:rsidRDefault="00661519" w14:paraId="28784651" w14:textId="77777777">
      <w:pPr>
        <w:rPr>
          <w:rFonts w:eastAsia="Times New Roman" w:cs="Times New Roman"/>
          <w:color w:val="000000"/>
          <w:sz w:val="16"/>
          <w:szCs w:val="22"/>
          <w:lang w:val="en-GB"/>
        </w:rPr>
      </w:pPr>
    </w:p>
    <w:p w:rsidRPr="009C48DA" w:rsidR="00661519" w:rsidP="00661519" w:rsidRDefault="00661519" w14:paraId="292E614D"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(f)</w:t>
      </w:r>
      <w:r w:rsidRPr="009C48DA">
        <w:rPr>
          <w:rFonts w:eastAsia="Times New Roman" w:cs="Times New Roman"/>
          <w:b/>
          <w:color w:val="000000"/>
          <w:sz w:val="16"/>
          <w:szCs w:val="22"/>
          <w:lang w:val="en-GB"/>
        </w:rPr>
        <w:tab/>
        <w:t>Fair value measurement</w:t>
      </w:r>
    </w:p>
    <w:p w:rsidRPr="009C48DA" w:rsidR="00661519" w:rsidP="00661519" w:rsidRDefault="00661519" w14:paraId="73579293" w14:textId="77777777">
      <w:pPr>
        <w:textAlignment w:val="baseline"/>
        <w:rPr>
          <w:rFonts w:eastAsia="Times New Roman" w:cs="Times New Roman"/>
          <w:b/>
          <w:color w:val="000000"/>
          <w:sz w:val="16"/>
          <w:szCs w:val="22"/>
          <w:lang w:val="en-GB"/>
        </w:rPr>
      </w:pPr>
    </w:p>
    <w:p w:rsidRPr="009C48DA" w:rsidR="00661519" w:rsidP="00661519" w:rsidRDefault="00661519" w14:paraId="019EF5CF"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Fair value is the price that would be received to sell an asset or paid to transfer a liability in an orderly transaction between market </w:t>
      </w:r>
      <w:r w:rsidRPr="009C48DA">
        <w:rPr>
          <w:rFonts w:eastAsia="Times New Roman"/>
          <w:color w:val="000000"/>
          <w:sz w:val="16"/>
          <w:lang w:val="en-GB"/>
        </w:rPr>
        <w:br/>
        <w:t xml:space="preserve">participants at the measurement date in the principal, or in its absence, the most advantageous market to which the Group has access to at </w:t>
      </w:r>
      <w:r w:rsidRPr="009C48DA">
        <w:rPr>
          <w:rFonts w:eastAsia="Times New Roman"/>
          <w:color w:val="000000"/>
          <w:sz w:val="16"/>
          <w:lang w:val="en-GB"/>
        </w:rPr>
        <w:br/>
        <w:t>that date. The fair value of a liability reflects its non-performance risk.</w:t>
      </w:r>
    </w:p>
    <w:p w:rsidRPr="009C48DA" w:rsidR="00661519" w:rsidP="00661519" w:rsidRDefault="00661519" w14:paraId="4A48C8F6" w14:textId="77777777">
      <w:pPr>
        <w:ind w:right="72"/>
        <w:jc w:val="both"/>
        <w:textAlignment w:val="baseline"/>
        <w:rPr>
          <w:rFonts w:eastAsia="Times New Roman"/>
          <w:color w:val="000000"/>
          <w:sz w:val="16"/>
          <w:lang w:val="en-GB"/>
        </w:rPr>
      </w:pPr>
    </w:p>
    <w:p w:rsidRPr="009C48DA" w:rsidR="00661519" w:rsidP="00661519" w:rsidRDefault="00661519" w14:paraId="65525923"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The Group discloses fair values using the following fair value hierarchy that reflects the significance of the inputs used in making the measurements:</w:t>
      </w:r>
    </w:p>
    <w:p w:rsidRPr="009C48DA" w:rsidR="00661519" w:rsidP="00661519" w:rsidRDefault="00661519" w14:paraId="23327BDE" w14:textId="77777777">
      <w:pPr>
        <w:ind w:right="72"/>
        <w:jc w:val="both"/>
        <w:textAlignment w:val="baseline"/>
        <w:rPr>
          <w:rFonts w:eastAsia="Times New Roman"/>
          <w:color w:val="000000"/>
          <w:sz w:val="16"/>
          <w:lang w:val="en-GB"/>
        </w:rPr>
      </w:pPr>
    </w:p>
    <w:p w:rsidRPr="009C48DA" w:rsidR="00661519" w:rsidP="00661519" w:rsidRDefault="00661519" w14:paraId="62C6B98E" w14:textId="77777777">
      <w:pPr>
        <w:numPr>
          <w:ilvl w:val="0"/>
          <w:numId w:val="35"/>
        </w:numPr>
        <w:tabs>
          <w:tab w:val="clear" w:pos="288"/>
        </w:tabs>
        <w:textAlignment w:val="baseline"/>
        <w:rPr>
          <w:rFonts w:eastAsia="Times New Roman"/>
          <w:color w:val="000000"/>
          <w:sz w:val="16"/>
          <w:lang w:val="en-GB"/>
        </w:rPr>
      </w:pPr>
      <w:r w:rsidRPr="009C48DA">
        <w:rPr>
          <w:rFonts w:eastAsia="Times New Roman"/>
          <w:color w:val="000000"/>
          <w:sz w:val="16"/>
          <w:lang w:val="en-GB"/>
        </w:rPr>
        <w:t>Quoted prices (unadjusted) in active markets (level 1);</w:t>
      </w:r>
    </w:p>
    <w:p w:rsidRPr="009C48DA" w:rsidR="00661519" w:rsidP="00661519" w:rsidRDefault="00661519" w14:paraId="7CC9687B" w14:textId="77777777">
      <w:pPr>
        <w:textAlignment w:val="baseline"/>
        <w:rPr>
          <w:rFonts w:eastAsia="Times New Roman"/>
          <w:color w:val="000000"/>
          <w:sz w:val="16"/>
          <w:lang w:val="en-GB"/>
        </w:rPr>
      </w:pPr>
    </w:p>
    <w:p w:rsidRPr="009C48DA" w:rsidR="00661519" w:rsidP="00661519" w:rsidRDefault="00661519" w14:paraId="55BA261A" w14:textId="77777777">
      <w:pPr>
        <w:numPr>
          <w:ilvl w:val="1"/>
          <w:numId w:val="35"/>
        </w:numPr>
        <w:ind w:left="709" w:right="144" w:hanging="709"/>
        <w:jc w:val="both"/>
        <w:textAlignment w:val="baseline"/>
        <w:rPr>
          <w:rFonts w:eastAsia="Times New Roman"/>
          <w:color w:val="000000"/>
          <w:sz w:val="16"/>
          <w:lang w:val="en-GB"/>
        </w:rPr>
      </w:pPr>
      <w:r w:rsidRPr="009C48DA">
        <w:rPr>
          <w:rFonts w:eastAsia="Times New Roman"/>
          <w:color w:val="000000"/>
          <w:sz w:val="16"/>
          <w:lang w:val="en-GB"/>
        </w:rPr>
        <w:t>Inputs - other than quoted prices included within level 1 - that are observable for assets or liabilities, either directly (as prices) or indirectly (derived from prices) (level 2);</w:t>
      </w:r>
    </w:p>
    <w:p w:rsidRPr="009C48DA" w:rsidR="00661519" w:rsidP="00661519" w:rsidRDefault="00661519" w14:paraId="6154912E" w14:textId="77777777">
      <w:pPr>
        <w:ind w:right="144"/>
        <w:textAlignment w:val="baseline"/>
        <w:rPr>
          <w:rFonts w:eastAsia="Times New Roman"/>
          <w:color w:val="000000"/>
          <w:sz w:val="16"/>
          <w:lang w:val="en-GB"/>
        </w:rPr>
      </w:pPr>
    </w:p>
    <w:p w:rsidRPr="009C48DA" w:rsidR="00661519" w:rsidP="00661519" w:rsidRDefault="00661519" w14:paraId="04527478" w14:textId="77777777">
      <w:pPr>
        <w:numPr>
          <w:ilvl w:val="0"/>
          <w:numId w:val="35"/>
        </w:numPr>
        <w:tabs>
          <w:tab w:val="clear" w:pos="288"/>
        </w:tabs>
        <w:textAlignment w:val="baseline"/>
        <w:rPr>
          <w:rFonts w:eastAsia="Times New Roman"/>
          <w:color w:val="000000"/>
          <w:sz w:val="16"/>
          <w:lang w:val="en-GB"/>
        </w:rPr>
      </w:pPr>
      <w:r w:rsidRPr="009C48DA">
        <w:rPr>
          <w:rFonts w:eastAsia="Times New Roman"/>
          <w:color w:val="000000"/>
          <w:sz w:val="16"/>
          <w:lang w:val="en-GB"/>
        </w:rPr>
        <w:t>Inputs for assets or liabilities that are not based on observable market data (level 3).</w:t>
      </w:r>
    </w:p>
    <w:p w:rsidRPr="009C48DA" w:rsidR="00661519" w:rsidP="00661519" w:rsidRDefault="00661519" w14:paraId="6A4AE281" w14:textId="77777777">
      <w:pPr>
        <w:ind w:right="72"/>
        <w:jc w:val="both"/>
        <w:textAlignment w:val="baseline"/>
        <w:rPr>
          <w:rFonts w:eastAsia="Times New Roman"/>
          <w:color w:val="000000"/>
          <w:sz w:val="16"/>
          <w:lang w:val="en-GB"/>
        </w:rPr>
      </w:pPr>
    </w:p>
    <w:p w:rsidRPr="009C48DA" w:rsidR="00661519" w:rsidP="00661519" w:rsidRDefault="00661519" w14:paraId="55E05092"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Financial assets presented in the balance sheet as investments in funds through profit or loss use inputs based on unobservable market data </w:t>
      </w:r>
      <w:r w:rsidRPr="009C48DA">
        <w:rPr>
          <w:rFonts w:eastAsia="Times New Roman"/>
          <w:color w:val="000000"/>
          <w:sz w:val="16"/>
          <w:lang w:val="en-GB"/>
        </w:rPr>
        <w:br/>
        <w:t xml:space="preserve">and therefore classified as level 3 in the fair value hierarchy. Further details of the approach to the valuation of investments is set out within </w:t>
      </w:r>
      <w:r w:rsidRPr="009C48DA">
        <w:rPr>
          <w:rFonts w:eastAsia="Times New Roman"/>
          <w:color w:val="000000"/>
          <w:sz w:val="16"/>
          <w:lang w:val="en-GB"/>
        </w:rPr>
        <w:br/>
        <w:t>note 3. There have not been any transfers between levels in the fair value hierarchy during the period.</w:t>
      </w:r>
    </w:p>
    <w:p w:rsidRPr="009C48DA" w:rsidR="00661519" w:rsidP="00661519" w:rsidRDefault="00661519" w14:paraId="197FC57C" w14:textId="77777777">
      <w:pPr>
        <w:ind w:right="72"/>
        <w:jc w:val="both"/>
        <w:textAlignment w:val="baseline"/>
        <w:rPr>
          <w:rFonts w:eastAsia="Times New Roman"/>
          <w:color w:val="000000"/>
          <w:sz w:val="16"/>
          <w:lang w:val="en-GB"/>
        </w:rPr>
      </w:pPr>
    </w:p>
    <w:p w:rsidRPr="009C48DA" w:rsidR="00661519" w:rsidP="00661519" w:rsidRDefault="00661519" w14:paraId="55C7F4B8" w14:textId="77777777">
      <w:pPr>
        <w:ind w:right="72"/>
        <w:jc w:val="both"/>
        <w:textAlignment w:val="baseline"/>
        <w:rPr>
          <w:rFonts w:eastAsia="Times New Roman"/>
          <w:color w:val="000000"/>
          <w:sz w:val="16"/>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211"/>
        <w:gridCol w:w="1211"/>
        <w:gridCol w:w="1211"/>
        <w:gridCol w:w="1212"/>
      </w:tblGrid>
      <w:tr w:rsidRPr="009C48DA" w:rsidR="00661519" w:rsidTr="00661519" w14:paraId="7AD3320A" w14:textId="77777777">
        <w:tc>
          <w:tcPr>
            <w:tcW w:w="4395" w:type="dxa"/>
            <w:vAlign w:val="bottom"/>
          </w:tcPr>
          <w:p w:rsidRPr="009C48DA" w:rsidR="00661519" w:rsidP="00661519" w:rsidRDefault="00661519" w14:paraId="73042C67" w14:textId="77777777">
            <w:pPr>
              <w:jc w:val="both"/>
              <w:textAlignment w:val="baseline"/>
              <w:rPr>
                <w:rFonts w:eastAsia="Times New Roman"/>
                <w:b/>
                <w:color w:val="000000"/>
                <w:sz w:val="16"/>
                <w:szCs w:val="16"/>
                <w:lang w:val="en-GB"/>
              </w:rPr>
            </w:pPr>
          </w:p>
        </w:tc>
        <w:tc>
          <w:tcPr>
            <w:tcW w:w="3633" w:type="dxa"/>
            <w:gridSpan w:val="3"/>
            <w:vAlign w:val="bottom"/>
          </w:tcPr>
          <w:p w:rsidRPr="009C48DA" w:rsidR="00661519" w:rsidP="00661519" w:rsidRDefault="00661519" w14:paraId="02286B66" w14:textId="77777777">
            <w:pPr>
              <w:pBdr>
                <w:bottom w:val="single" w:color="auto" w:sz="12" w:space="1"/>
              </w:pBdr>
              <w:jc w:val="center"/>
              <w:textAlignment w:val="baseline"/>
              <w:rPr>
                <w:rFonts w:eastAsia="Times New Roman"/>
                <w:b/>
                <w:color w:val="000000"/>
                <w:sz w:val="16"/>
                <w:lang w:val="en-GB"/>
              </w:rPr>
            </w:pPr>
            <w:r w:rsidRPr="009C48DA">
              <w:rPr>
                <w:rFonts w:eastAsia="Times New Roman"/>
                <w:b/>
                <w:color w:val="000000"/>
                <w:sz w:val="16"/>
                <w:lang w:val="en-GB"/>
              </w:rPr>
              <w:t>Year ended 31 December</w:t>
            </w:r>
          </w:p>
        </w:tc>
        <w:tc>
          <w:tcPr>
            <w:tcW w:w="1212" w:type="dxa"/>
            <w:vAlign w:val="bottom"/>
          </w:tcPr>
          <w:p w:rsidRPr="009C48DA" w:rsidR="00661519" w:rsidP="00661519" w:rsidRDefault="00661519" w14:paraId="63ACE4D2" w14:textId="77777777">
            <w:pPr>
              <w:pBdr>
                <w:bottom w:val="single" w:color="auto" w:sz="12" w:space="1"/>
              </w:pBdr>
              <w:jc w:val="center"/>
              <w:textAlignment w:val="baseline"/>
              <w:rPr>
                <w:rFonts w:eastAsia="Times New Roman"/>
                <w:b/>
                <w:color w:val="000000"/>
                <w:sz w:val="16"/>
                <w:lang w:val="en-GB"/>
              </w:rPr>
            </w:pPr>
            <w:r w:rsidRPr="009C48DA">
              <w:rPr>
                <w:rFonts w:eastAsia="Times New Roman"/>
                <w:b/>
                <w:color w:val="000000"/>
                <w:sz w:val="16"/>
                <w:lang w:val="en-GB"/>
              </w:rPr>
              <w:t>Three month period ended 31 March</w:t>
            </w:r>
            <w:r w:rsidRPr="009C48DA">
              <w:rPr>
                <w:rFonts w:eastAsia="Times New Roman"/>
                <w:b/>
                <w:color w:val="000000"/>
                <w:sz w:val="16"/>
                <w:szCs w:val="16"/>
                <w:lang w:val="en-GB"/>
              </w:rPr>
              <w:t xml:space="preserve"> </w:t>
            </w:r>
          </w:p>
        </w:tc>
      </w:tr>
      <w:tr w:rsidRPr="009C48DA" w:rsidR="00661519" w:rsidTr="00661519" w14:paraId="06E80236" w14:textId="77777777">
        <w:tc>
          <w:tcPr>
            <w:tcW w:w="4395" w:type="dxa"/>
            <w:vAlign w:val="bottom"/>
          </w:tcPr>
          <w:p w:rsidRPr="009C48DA" w:rsidR="00661519" w:rsidP="00661519" w:rsidRDefault="00661519" w14:paraId="1333B41A" w14:textId="77777777">
            <w:pPr>
              <w:jc w:val="both"/>
              <w:textAlignment w:val="baseline"/>
              <w:rPr>
                <w:rFonts w:eastAsia="Times New Roman"/>
                <w:b/>
                <w:color w:val="000000"/>
                <w:sz w:val="16"/>
                <w:lang w:val="en-GB"/>
              </w:rPr>
            </w:pPr>
          </w:p>
        </w:tc>
        <w:tc>
          <w:tcPr>
            <w:tcW w:w="1211" w:type="dxa"/>
            <w:vAlign w:val="bottom"/>
          </w:tcPr>
          <w:p w:rsidRPr="009C48DA" w:rsidR="00661519" w:rsidP="00661519" w:rsidRDefault="00661519" w14:paraId="419116B2"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76208EEA"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1" w:type="dxa"/>
            <w:vAlign w:val="bottom"/>
          </w:tcPr>
          <w:p w:rsidRPr="009C48DA" w:rsidR="00661519" w:rsidP="00661519" w:rsidRDefault="00661519" w14:paraId="5A17A88F"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58AA5209"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1" w:type="dxa"/>
          </w:tcPr>
          <w:p w:rsidRPr="009C48DA" w:rsidR="00661519" w:rsidP="00661519" w:rsidRDefault="00661519" w14:paraId="191A062D"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166BBD33"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2" w:type="dxa"/>
            <w:vAlign w:val="bottom"/>
          </w:tcPr>
          <w:p w:rsidRPr="009C48DA" w:rsidR="00661519" w:rsidP="00661519" w:rsidRDefault="00661519" w14:paraId="3E4600A1"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1E92F5AF"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2772C111" w14:textId="77777777">
        <w:tc>
          <w:tcPr>
            <w:tcW w:w="4395" w:type="dxa"/>
            <w:vAlign w:val="center"/>
          </w:tcPr>
          <w:p w:rsidRPr="009C48DA" w:rsidR="00661519" w:rsidP="00661519" w:rsidRDefault="00661519" w14:paraId="0DA9779C" w14:textId="77777777">
            <w:pPr>
              <w:jc w:val="both"/>
              <w:textAlignment w:val="baseline"/>
              <w:rPr>
                <w:rFonts w:eastAsia="Times New Roman"/>
                <w:b/>
                <w:color w:val="000000"/>
                <w:sz w:val="16"/>
                <w:lang w:val="en-GB"/>
              </w:rPr>
            </w:pPr>
            <w:r w:rsidRPr="009C48DA">
              <w:rPr>
                <w:rFonts w:eastAsia="Times New Roman"/>
                <w:b/>
                <w:color w:val="000000"/>
                <w:sz w:val="16"/>
                <w:lang w:val="en-GB"/>
              </w:rPr>
              <w:t>Financial assets at fair value through profit or loss:</w:t>
            </w:r>
          </w:p>
        </w:tc>
        <w:tc>
          <w:tcPr>
            <w:tcW w:w="1211" w:type="dxa"/>
            <w:vAlign w:val="center"/>
          </w:tcPr>
          <w:p w:rsidRPr="009C48DA" w:rsidR="00661519" w:rsidP="00661519" w:rsidRDefault="00661519" w14:paraId="395E52AC" w14:textId="77777777">
            <w:pPr>
              <w:jc w:val="right"/>
              <w:textAlignment w:val="baseline"/>
              <w:rPr>
                <w:rFonts w:eastAsia="Times New Roman"/>
                <w:color w:val="000000"/>
                <w:sz w:val="16"/>
                <w:lang w:val="en-GB"/>
              </w:rPr>
            </w:pPr>
          </w:p>
        </w:tc>
        <w:tc>
          <w:tcPr>
            <w:tcW w:w="1211" w:type="dxa"/>
            <w:vAlign w:val="center"/>
          </w:tcPr>
          <w:p w:rsidRPr="009C48DA" w:rsidR="00661519" w:rsidP="00661519" w:rsidRDefault="00661519" w14:paraId="72965065" w14:textId="77777777">
            <w:pPr>
              <w:jc w:val="right"/>
              <w:textAlignment w:val="baseline"/>
              <w:rPr>
                <w:rFonts w:eastAsia="Times New Roman"/>
                <w:color w:val="000000"/>
                <w:sz w:val="16"/>
                <w:lang w:val="en-GB"/>
              </w:rPr>
            </w:pPr>
          </w:p>
        </w:tc>
        <w:tc>
          <w:tcPr>
            <w:tcW w:w="1211" w:type="dxa"/>
            <w:vAlign w:val="center"/>
          </w:tcPr>
          <w:p w:rsidRPr="009C48DA" w:rsidR="00661519" w:rsidP="00661519" w:rsidRDefault="00661519" w14:paraId="0B973093" w14:textId="77777777">
            <w:pPr>
              <w:jc w:val="right"/>
              <w:textAlignment w:val="baseline"/>
              <w:rPr>
                <w:rFonts w:eastAsia="Times New Roman"/>
                <w:color w:val="000000"/>
                <w:sz w:val="16"/>
                <w:lang w:val="en-GB"/>
              </w:rPr>
            </w:pPr>
          </w:p>
        </w:tc>
        <w:tc>
          <w:tcPr>
            <w:tcW w:w="1212" w:type="dxa"/>
            <w:vAlign w:val="center"/>
          </w:tcPr>
          <w:p w:rsidRPr="009C48DA" w:rsidR="00661519" w:rsidP="00661519" w:rsidRDefault="00661519" w14:paraId="422F30DF" w14:textId="77777777">
            <w:pPr>
              <w:jc w:val="right"/>
              <w:textAlignment w:val="baseline"/>
              <w:rPr>
                <w:rFonts w:eastAsia="Times New Roman"/>
                <w:color w:val="000000"/>
                <w:sz w:val="16"/>
                <w:lang w:val="en-GB"/>
              </w:rPr>
            </w:pPr>
          </w:p>
        </w:tc>
      </w:tr>
      <w:tr w:rsidRPr="009C48DA" w:rsidR="00661519" w:rsidTr="00661519" w14:paraId="44702AB6" w14:textId="77777777">
        <w:tc>
          <w:tcPr>
            <w:tcW w:w="4395" w:type="dxa"/>
            <w:vAlign w:val="center"/>
          </w:tcPr>
          <w:p w:rsidRPr="009C48DA" w:rsidR="00661519" w:rsidP="00661519" w:rsidRDefault="00661519" w14:paraId="78656BC9" w14:textId="77777777">
            <w:pPr>
              <w:jc w:val="both"/>
              <w:textAlignment w:val="baseline"/>
              <w:rPr>
                <w:rFonts w:eastAsia="Times New Roman"/>
                <w:color w:val="000000"/>
                <w:sz w:val="16"/>
                <w:lang w:val="en-GB"/>
              </w:rPr>
            </w:pPr>
            <w:r w:rsidRPr="009C48DA">
              <w:rPr>
                <w:rFonts w:eastAsia="Times New Roman"/>
                <w:color w:val="000000"/>
                <w:sz w:val="16"/>
                <w:lang w:val="en-GB"/>
              </w:rPr>
              <w:t>Level 1</w:t>
            </w:r>
          </w:p>
        </w:tc>
        <w:tc>
          <w:tcPr>
            <w:tcW w:w="1211" w:type="dxa"/>
            <w:vAlign w:val="center"/>
          </w:tcPr>
          <w:p w:rsidRPr="009C48DA" w:rsidR="00661519" w:rsidP="00661519" w:rsidRDefault="00661519" w14:paraId="65E4EA37"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19FA24E9"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2C66CBD2"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2" w:type="dxa"/>
            <w:vAlign w:val="center"/>
          </w:tcPr>
          <w:p w:rsidRPr="009C48DA" w:rsidR="00661519" w:rsidP="00661519" w:rsidRDefault="00661519" w14:paraId="7EA61492"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5329D693" w14:textId="77777777">
        <w:tc>
          <w:tcPr>
            <w:tcW w:w="4395" w:type="dxa"/>
            <w:vAlign w:val="center"/>
          </w:tcPr>
          <w:p w:rsidRPr="009C48DA" w:rsidR="00661519" w:rsidP="00661519" w:rsidRDefault="00661519" w14:paraId="1E2363C2" w14:textId="77777777">
            <w:pPr>
              <w:jc w:val="both"/>
              <w:textAlignment w:val="baseline"/>
              <w:rPr>
                <w:rFonts w:eastAsia="Times New Roman"/>
                <w:color w:val="000000"/>
                <w:sz w:val="16"/>
                <w:lang w:val="en-GB"/>
              </w:rPr>
            </w:pPr>
            <w:r w:rsidRPr="009C48DA">
              <w:rPr>
                <w:rFonts w:eastAsia="Times New Roman"/>
                <w:color w:val="000000"/>
                <w:sz w:val="16"/>
                <w:lang w:val="en-GB"/>
              </w:rPr>
              <w:t>Level 2</w:t>
            </w:r>
          </w:p>
        </w:tc>
        <w:tc>
          <w:tcPr>
            <w:tcW w:w="1211" w:type="dxa"/>
            <w:vAlign w:val="center"/>
          </w:tcPr>
          <w:p w:rsidRPr="009C48DA" w:rsidR="00661519" w:rsidP="00661519" w:rsidRDefault="00661519" w14:paraId="4EB6C292"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5453449D"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197C1241" w14:textId="77777777">
            <w:pPr>
              <w:jc w:val="right"/>
              <w:textAlignment w:val="baseline"/>
              <w:rPr>
                <w:rFonts w:eastAsia="Times New Roman"/>
                <w:color w:val="000000"/>
                <w:sz w:val="16"/>
                <w:lang w:val="en-GB"/>
              </w:rPr>
            </w:pPr>
            <w:r w:rsidRPr="009C48DA">
              <w:rPr>
                <w:rFonts w:eastAsia="Times New Roman"/>
                <w:color w:val="000000"/>
                <w:sz w:val="16"/>
                <w:lang w:val="en-GB"/>
              </w:rPr>
              <w:t>272,476</w:t>
            </w:r>
          </w:p>
        </w:tc>
        <w:tc>
          <w:tcPr>
            <w:tcW w:w="1212" w:type="dxa"/>
            <w:vAlign w:val="center"/>
          </w:tcPr>
          <w:p w:rsidRPr="009C48DA" w:rsidR="00661519" w:rsidP="00661519" w:rsidRDefault="00661519" w14:paraId="47D50B93" w14:textId="77777777">
            <w:pPr>
              <w:jc w:val="right"/>
              <w:textAlignment w:val="baseline"/>
              <w:rPr>
                <w:rFonts w:eastAsia="Times New Roman"/>
                <w:color w:val="000000"/>
                <w:sz w:val="16"/>
                <w:lang w:val="en-GB"/>
              </w:rPr>
            </w:pPr>
            <w:r w:rsidRPr="009C48DA">
              <w:rPr>
                <w:rFonts w:eastAsia="Times New Roman"/>
                <w:color w:val="000000"/>
                <w:sz w:val="16"/>
                <w:lang w:val="en-GB"/>
              </w:rPr>
              <w:t>380,534</w:t>
            </w:r>
          </w:p>
        </w:tc>
      </w:tr>
      <w:tr w:rsidRPr="009C48DA" w:rsidR="00661519" w:rsidTr="00661519" w14:paraId="2223E46B" w14:textId="77777777">
        <w:tc>
          <w:tcPr>
            <w:tcW w:w="4395" w:type="dxa"/>
            <w:vAlign w:val="center"/>
          </w:tcPr>
          <w:p w:rsidRPr="009C48DA" w:rsidR="00661519" w:rsidP="00661519" w:rsidRDefault="00661519" w14:paraId="0719ACE2" w14:textId="77777777">
            <w:pPr>
              <w:jc w:val="both"/>
              <w:textAlignment w:val="baseline"/>
              <w:rPr>
                <w:rFonts w:eastAsia="Times New Roman"/>
                <w:color w:val="000000"/>
                <w:sz w:val="16"/>
                <w:lang w:val="en-GB"/>
              </w:rPr>
            </w:pPr>
            <w:r w:rsidRPr="009C48DA">
              <w:rPr>
                <w:rFonts w:eastAsia="Times New Roman"/>
                <w:color w:val="000000"/>
                <w:sz w:val="16"/>
                <w:lang w:val="en-GB"/>
              </w:rPr>
              <w:t>Level 3</w:t>
            </w:r>
          </w:p>
        </w:tc>
        <w:tc>
          <w:tcPr>
            <w:tcW w:w="1211" w:type="dxa"/>
            <w:vAlign w:val="center"/>
          </w:tcPr>
          <w:p w:rsidRPr="009C48DA" w:rsidR="00661519" w:rsidP="00661519" w:rsidRDefault="00661519" w14:paraId="7F0A07A8"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125,497</w:t>
            </w:r>
          </w:p>
        </w:tc>
        <w:tc>
          <w:tcPr>
            <w:tcW w:w="1211" w:type="dxa"/>
            <w:vAlign w:val="center"/>
          </w:tcPr>
          <w:p w:rsidRPr="009C48DA" w:rsidR="00661519" w:rsidP="00661519" w:rsidRDefault="00661519" w14:paraId="3ED4A2A8"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206,079</w:t>
            </w:r>
          </w:p>
        </w:tc>
        <w:tc>
          <w:tcPr>
            <w:tcW w:w="1211" w:type="dxa"/>
            <w:vAlign w:val="center"/>
          </w:tcPr>
          <w:p w:rsidRPr="009C48DA" w:rsidR="00661519" w:rsidP="00661519" w:rsidRDefault="00661519" w14:paraId="7E70CCC9"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233,469</w:t>
            </w:r>
          </w:p>
        </w:tc>
        <w:tc>
          <w:tcPr>
            <w:tcW w:w="1212" w:type="dxa"/>
            <w:vAlign w:val="center"/>
          </w:tcPr>
          <w:p w:rsidRPr="009C48DA" w:rsidR="00661519" w:rsidP="00661519" w:rsidRDefault="00661519" w14:paraId="486D3F58"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232,933</w:t>
            </w:r>
          </w:p>
        </w:tc>
      </w:tr>
      <w:tr w:rsidRPr="009C48DA" w:rsidR="00661519" w:rsidTr="00661519" w14:paraId="54345E3D" w14:textId="77777777">
        <w:tc>
          <w:tcPr>
            <w:tcW w:w="4395" w:type="dxa"/>
            <w:vAlign w:val="center"/>
          </w:tcPr>
          <w:p w:rsidRPr="009C48DA" w:rsidR="00661519" w:rsidP="00661519" w:rsidRDefault="00661519" w14:paraId="55FEA15B" w14:textId="77777777">
            <w:pPr>
              <w:spacing w:before="120"/>
              <w:textAlignment w:val="baseline"/>
              <w:rPr>
                <w:rFonts w:eastAsia="Times New Roman"/>
                <w:b/>
                <w:color w:val="000000"/>
                <w:sz w:val="16"/>
                <w:lang w:val="en-GB"/>
              </w:rPr>
            </w:pPr>
            <w:r w:rsidRPr="009C48DA">
              <w:rPr>
                <w:rFonts w:eastAsia="Times New Roman"/>
                <w:b/>
                <w:color w:val="000000"/>
                <w:sz w:val="16"/>
                <w:lang w:val="en-GB"/>
              </w:rPr>
              <w:t>Total</w:t>
            </w:r>
          </w:p>
        </w:tc>
        <w:tc>
          <w:tcPr>
            <w:tcW w:w="1211" w:type="dxa"/>
            <w:vAlign w:val="center"/>
          </w:tcPr>
          <w:p w:rsidRPr="009C48DA" w:rsidR="00661519" w:rsidP="00661519" w:rsidRDefault="00661519" w14:paraId="2480FAA6"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125,497</w:t>
            </w:r>
          </w:p>
        </w:tc>
        <w:tc>
          <w:tcPr>
            <w:tcW w:w="1211" w:type="dxa"/>
            <w:vAlign w:val="center"/>
          </w:tcPr>
          <w:p w:rsidRPr="009C48DA" w:rsidR="00661519" w:rsidP="00661519" w:rsidRDefault="00661519" w14:paraId="031C7CF0"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206,079</w:t>
            </w:r>
          </w:p>
        </w:tc>
        <w:tc>
          <w:tcPr>
            <w:tcW w:w="1211" w:type="dxa"/>
            <w:vAlign w:val="center"/>
          </w:tcPr>
          <w:p w:rsidRPr="009C48DA" w:rsidR="00661519" w:rsidP="00661519" w:rsidRDefault="00661519" w14:paraId="76F1B35D"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505,945</w:t>
            </w:r>
          </w:p>
        </w:tc>
        <w:tc>
          <w:tcPr>
            <w:tcW w:w="1212" w:type="dxa"/>
            <w:vAlign w:val="center"/>
          </w:tcPr>
          <w:p w:rsidRPr="009C48DA" w:rsidR="00661519" w:rsidP="00661519" w:rsidRDefault="00661519" w14:paraId="317AEF20"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613,467</w:t>
            </w:r>
          </w:p>
        </w:tc>
      </w:tr>
    </w:tbl>
    <w:p w:rsidRPr="009C48DA" w:rsidR="00661519" w:rsidP="00661519" w:rsidRDefault="00661519" w14:paraId="78102C2A" w14:textId="77777777">
      <w:pPr>
        <w:ind w:right="72"/>
        <w:jc w:val="both"/>
        <w:textAlignment w:val="baseline"/>
        <w:rPr>
          <w:rFonts w:eastAsia="Times New Roman" w:cs="Times New Roman"/>
          <w:b/>
          <w:color w:val="000000"/>
          <w:sz w:val="16"/>
          <w:szCs w:val="22"/>
          <w:lang w:val="en-GB"/>
        </w:rPr>
      </w:pPr>
    </w:p>
    <w:p w:rsidRPr="009C48DA" w:rsidR="00661519" w:rsidP="00661519" w:rsidRDefault="00661519" w14:paraId="1F7B3794"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assets of the CLO vehicles, which are fully consolidated by the Group, are classified as level 2 fair values as they are priced using </w:t>
      </w:r>
      <w:r w:rsidRPr="009C48DA">
        <w:rPr>
          <w:rFonts w:eastAsia="Times New Roman"/>
          <w:color w:val="000000"/>
          <w:sz w:val="16"/>
          <w:lang w:val="en-GB"/>
        </w:rPr>
        <w:br/>
        <w:t>independent loan pricing sources.</w:t>
      </w:r>
    </w:p>
    <w:p w:rsidRPr="009C48DA" w:rsidR="00661519" w:rsidP="00661519" w:rsidRDefault="00661519" w14:paraId="550FE708" w14:textId="77777777">
      <w:pPr>
        <w:rPr>
          <w:rFonts w:eastAsia="Times New Roman"/>
          <w:color w:val="000000"/>
          <w:sz w:val="16"/>
          <w:lang w:val="en-GB"/>
        </w:rPr>
      </w:pPr>
      <w:r w:rsidRPr="009C48DA">
        <w:rPr>
          <w:rFonts w:eastAsia="Times New Roman"/>
          <w:color w:val="000000"/>
          <w:sz w:val="16"/>
          <w:lang w:val="en-GB"/>
        </w:rPr>
        <w:br w:type="page"/>
      </w:r>
    </w:p>
    <w:p w:rsidRPr="009C48DA" w:rsidR="00661519" w:rsidP="00661519" w:rsidRDefault="00661519" w14:paraId="5E1EF592" w14:textId="77777777">
      <w:pPr>
        <w:ind w:right="72"/>
        <w:jc w:val="both"/>
        <w:textAlignment w:val="baseline"/>
        <w:rPr>
          <w:rFonts w:eastAsia="Times New Roman"/>
          <w:color w:val="000000"/>
          <w:sz w:val="16"/>
          <w:lang w:val="en-GB"/>
        </w:rPr>
      </w:pPr>
      <w:r w:rsidRPr="009C48DA">
        <w:rPr>
          <w:rFonts w:eastAsia="Times New Roman"/>
          <w:color w:val="000000"/>
          <w:sz w:val="16"/>
          <w:lang w:val="en-GB"/>
        </w:rPr>
        <w:lastRenderedPageBreak/>
        <w:t xml:space="preserve">A reconciliation of level 3 fair values for financial assets which represent the Group’s interest in private equity and credit funds is set out in </w:t>
      </w:r>
      <w:r w:rsidRPr="009C48DA">
        <w:rPr>
          <w:rFonts w:eastAsia="Times New Roman"/>
          <w:color w:val="000000"/>
          <w:sz w:val="16"/>
          <w:lang w:val="en-GB"/>
        </w:rPr>
        <w:br/>
        <w:t>the table below:</w:t>
      </w:r>
    </w:p>
    <w:p w:rsidRPr="009C48DA" w:rsidR="00661519" w:rsidP="00661519" w:rsidRDefault="00661519" w14:paraId="64BFCFCF" w14:textId="77777777">
      <w:pPr>
        <w:rPr>
          <w:rFonts w:eastAsia="Times New Roman"/>
          <w:color w:val="000000"/>
          <w:sz w:val="16"/>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211"/>
        <w:gridCol w:w="1211"/>
        <w:gridCol w:w="1211"/>
        <w:gridCol w:w="1212"/>
      </w:tblGrid>
      <w:tr w:rsidRPr="009C48DA" w:rsidR="00661519" w:rsidTr="00661519" w14:paraId="6D34008A" w14:textId="77777777">
        <w:tc>
          <w:tcPr>
            <w:tcW w:w="4395" w:type="dxa"/>
            <w:vAlign w:val="bottom"/>
          </w:tcPr>
          <w:p w:rsidRPr="009C48DA" w:rsidR="00661519" w:rsidP="00661519" w:rsidRDefault="00661519" w14:paraId="2D941603" w14:textId="77777777">
            <w:pPr>
              <w:jc w:val="both"/>
              <w:textAlignment w:val="baseline"/>
              <w:rPr>
                <w:rFonts w:eastAsia="Times New Roman"/>
                <w:b/>
                <w:color w:val="000000"/>
                <w:sz w:val="16"/>
                <w:szCs w:val="16"/>
                <w:lang w:val="en-GB"/>
              </w:rPr>
            </w:pPr>
          </w:p>
        </w:tc>
        <w:tc>
          <w:tcPr>
            <w:tcW w:w="3633" w:type="dxa"/>
            <w:gridSpan w:val="3"/>
            <w:vAlign w:val="bottom"/>
          </w:tcPr>
          <w:p w:rsidRPr="009C48DA" w:rsidR="00661519" w:rsidP="00661519" w:rsidRDefault="00661519" w14:paraId="251D3474"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Year ended 31 December</w:t>
            </w:r>
          </w:p>
        </w:tc>
        <w:tc>
          <w:tcPr>
            <w:tcW w:w="1212" w:type="dxa"/>
            <w:vAlign w:val="bottom"/>
          </w:tcPr>
          <w:p w:rsidRPr="009C48DA" w:rsidR="00661519" w:rsidP="00661519" w:rsidRDefault="00661519" w14:paraId="6C7204EE"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Three month period ended 31 March</w:t>
            </w:r>
            <w:r w:rsidRPr="009C48DA">
              <w:rPr>
                <w:rFonts w:eastAsia="Times New Roman"/>
                <w:b/>
                <w:color w:val="000000"/>
                <w:sz w:val="16"/>
                <w:szCs w:val="16"/>
                <w:lang w:val="en-GB"/>
              </w:rPr>
              <w:t xml:space="preserve"> </w:t>
            </w:r>
          </w:p>
        </w:tc>
      </w:tr>
      <w:tr w:rsidRPr="009C48DA" w:rsidR="00661519" w:rsidTr="00661519" w14:paraId="53B5D74A" w14:textId="77777777">
        <w:tc>
          <w:tcPr>
            <w:tcW w:w="4395" w:type="dxa"/>
            <w:vAlign w:val="bottom"/>
          </w:tcPr>
          <w:p w:rsidRPr="009C48DA" w:rsidR="00661519" w:rsidP="00661519" w:rsidRDefault="00661519" w14:paraId="7F05A57D" w14:textId="77777777">
            <w:pPr>
              <w:jc w:val="both"/>
              <w:textAlignment w:val="baseline"/>
              <w:rPr>
                <w:rFonts w:eastAsia="Times New Roman"/>
                <w:b/>
                <w:color w:val="000000"/>
                <w:sz w:val="16"/>
                <w:lang w:val="en-GB"/>
              </w:rPr>
            </w:pPr>
          </w:p>
        </w:tc>
        <w:tc>
          <w:tcPr>
            <w:tcW w:w="1211" w:type="dxa"/>
            <w:vAlign w:val="bottom"/>
          </w:tcPr>
          <w:p w:rsidRPr="009C48DA" w:rsidR="00661519" w:rsidP="00661519" w:rsidRDefault="00661519" w14:paraId="16AABA41"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2EB7FD3F"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1" w:type="dxa"/>
            <w:vAlign w:val="bottom"/>
          </w:tcPr>
          <w:p w:rsidRPr="009C48DA" w:rsidR="00661519" w:rsidP="00661519" w:rsidRDefault="00661519" w14:paraId="637B251D"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064BB177"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1" w:type="dxa"/>
          </w:tcPr>
          <w:p w:rsidRPr="009C48DA" w:rsidR="00661519" w:rsidP="00661519" w:rsidRDefault="00661519" w14:paraId="20E3D33C"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5F2B76B1"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2" w:type="dxa"/>
            <w:vAlign w:val="bottom"/>
          </w:tcPr>
          <w:p w:rsidRPr="009C48DA" w:rsidR="00661519" w:rsidP="00661519" w:rsidRDefault="00661519" w14:paraId="21755299"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2CEE7972"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1DB8484B" w14:textId="77777777">
        <w:tc>
          <w:tcPr>
            <w:tcW w:w="4395" w:type="dxa"/>
            <w:vAlign w:val="center"/>
          </w:tcPr>
          <w:p w:rsidRPr="009C48DA" w:rsidR="00661519" w:rsidP="00661519" w:rsidRDefault="00661519" w14:paraId="021119AA" w14:textId="77777777">
            <w:pPr>
              <w:jc w:val="both"/>
              <w:textAlignment w:val="baseline"/>
              <w:rPr>
                <w:rFonts w:eastAsia="Times New Roman"/>
                <w:b/>
                <w:color w:val="000000"/>
                <w:sz w:val="16"/>
                <w:lang w:val="en-GB"/>
              </w:rPr>
            </w:pPr>
            <w:r w:rsidRPr="009C48DA">
              <w:rPr>
                <w:rFonts w:eastAsia="Times New Roman"/>
                <w:b/>
                <w:color w:val="000000"/>
                <w:sz w:val="16"/>
                <w:lang w:val="en-GB"/>
              </w:rPr>
              <w:t xml:space="preserve">Level 3 financial assets at fair value through </w:t>
            </w:r>
          </w:p>
          <w:p w:rsidRPr="009C48DA" w:rsidR="00661519" w:rsidP="00661519" w:rsidRDefault="00661519" w14:paraId="651231D3" w14:textId="77777777">
            <w:pPr>
              <w:jc w:val="both"/>
              <w:textAlignment w:val="baseline"/>
              <w:rPr>
                <w:rFonts w:eastAsia="Times New Roman"/>
                <w:b/>
                <w:color w:val="000000"/>
                <w:sz w:val="16"/>
                <w:lang w:val="en-GB"/>
              </w:rPr>
            </w:pPr>
            <w:r w:rsidRPr="009C48DA">
              <w:rPr>
                <w:rFonts w:eastAsia="Times New Roman"/>
                <w:b/>
                <w:color w:val="000000"/>
                <w:sz w:val="16"/>
                <w:lang w:val="en-GB"/>
              </w:rPr>
              <w:t>profit or loss:</w:t>
            </w:r>
          </w:p>
        </w:tc>
        <w:tc>
          <w:tcPr>
            <w:tcW w:w="1211" w:type="dxa"/>
            <w:vAlign w:val="center"/>
          </w:tcPr>
          <w:p w:rsidRPr="009C48DA" w:rsidR="00661519" w:rsidP="00661519" w:rsidRDefault="00661519" w14:paraId="060E45CC" w14:textId="77777777">
            <w:pPr>
              <w:jc w:val="right"/>
              <w:textAlignment w:val="baseline"/>
              <w:rPr>
                <w:rFonts w:eastAsia="Times New Roman"/>
                <w:color w:val="000000"/>
                <w:sz w:val="16"/>
                <w:lang w:val="en-GB"/>
              </w:rPr>
            </w:pPr>
          </w:p>
        </w:tc>
        <w:tc>
          <w:tcPr>
            <w:tcW w:w="1211" w:type="dxa"/>
            <w:vAlign w:val="center"/>
          </w:tcPr>
          <w:p w:rsidRPr="009C48DA" w:rsidR="00661519" w:rsidP="00661519" w:rsidRDefault="00661519" w14:paraId="6C985AEE" w14:textId="77777777">
            <w:pPr>
              <w:jc w:val="right"/>
              <w:textAlignment w:val="baseline"/>
              <w:rPr>
                <w:rFonts w:eastAsia="Times New Roman"/>
                <w:color w:val="000000"/>
                <w:sz w:val="16"/>
                <w:lang w:val="en-GB"/>
              </w:rPr>
            </w:pPr>
          </w:p>
        </w:tc>
        <w:tc>
          <w:tcPr>
            <w:tcW w:w="1211" w:type="dxa"/>
            <w:vAlign w:val="center"/>
          </w:tcPr>
          <w:p w:rsidRPr="009C48DA" w:rsidR="00661519" w:rsidP="00661519" w:rsidRDefault="00661519" w14:paraId="2BE542AA" w14:textId="77777777">
            <w:pPr>
              <w:jc w:val="right"/>
              <w:textAlignment w:val="baseline"/>
              <w:rPr>
                <w:rFonts w:eastAsia="Times New Roman"/>
                <w:color w:val="000000"/>
                <w:sz w:val="16"/>
                <w:lang w:val="en-GB"/>
              </w:rPr>
            </w:pPr>
          </w:p>
        </w:tc>
        <w:tc>
          <w:tcPr>
            <w:tcW w:w="1212" w:type="dxa"/>
            <w:vAlign w:val="center"/>
          </w:tcPr>
          <w:p w:rsidRPr="009C48DA" w:rsidR="00661519" w:rsidP="00661519" w:rsidRDefault="00661519" w14:paraId="153B444F" w14:textId="77777777">
            <w:pPr>
              <w:jc w:val="right"/>
              <w:textAlignment w:val="baseline"/>
              <w:rPr>
                <w:rFonts w:eastAsia="Times New Roman"/>
                <w:color w:val="000000"/>
                <w:sz w:val="16"/>
                <w:lang w:val="en-GB"/>
              </w:rPr>
            </w:pPr>
          </w:p>
        </w:tc>
      </w:tr>
      <w:tr w:rsidRPr="009C48DA" w:rsidR="00661519" w:rsidTr="00661519" w14:paraId="56ADBF3B" w14:textId="77777777">
        <w:tc>
          <w:tcPr>
            <w:tcW w:w="4395" w:type="dxa"/>
            <w:vAlign w:val="center"/>
          </w:tcPr>
          <w:p w:rsidRPr="009C48DA" w:rsidR="00661519" w:rsidP="00661519" w:rsidRDefault="00661519" w14:paraId="41BA2490" w14:textId="77777777">
            <w:pPr>
              <w:jc w:val="both"/>
              <w:textAlignment w:val="baseline"/>
              <w:rPr>
                <w:rFonts w:eastAsia="Times New Roman"/>
                <w:color w:val="000000"/>
                <w:sz w:val="16"/>
                <w:lang w:val="en-GB"/>
              </w:rPr>
            </w:pPr>
            <w:r w:rsidRPr="009C48DA">
              <w:rPr>
                <w:rFonts w:eastAsia="Times New Roman"/>
                <w:color w:val="000000"/>
                <w:sz w:val="16"/>
                <w:lang w:val="en-GB"/>
              </w:rPr>
              <w:t>Opening balance</w:t>
            </w:r>
          </w:p>
        </w:tc>
        <w:tc>
          <w:tcPr>
            <w:tcW w:w="1211" w:type="dxa"/>
            <w:vAlign w:val="center"/>
          </w:tcPr>
          <w:p w:rsidRPr="009C48DA" w:rsidR="00661519" w:rsidP="00661519" w:rsidRDefault="00661519" w14:paraId="1D196E73" w14:textId="77777777">
            <w:pPr>
              <w:jc w:val="right"/>
              <w:textAlignment w:val="baseline"/>
              <w:rPr>
                <w:rFonts w:eastAsia="Times New Roman"/>
                <w:color w:val="000000"/>
                <w:sz w:val="16"/>
                <w:lang w:val="en-GB"/>
              </w:rPr>
            </w:pPr>
            <w:r w:rsidRPr="009C48DA">
              <w:rPr>
                <w:rFonts w:eastAsia="Times New Roman"/>
                <w:color w:val="000000"/>
                <w:sz w:val="16"/>
                <w:lang w:val="en-GB"/>
              </w:rPr>
              <w:t>102,078</w:t>
            </w:r>
          </w:p>
        </w:tc>
        <w:tc>
          <w:tcPr>
            <w:tcW w:w="1211" w:type="dxa"/>
            <w:vAlign w:val="center"/>
          </w:tcPr>
          <w:p w:rsidRPr="009C48DA" w:rsidR="00661519" w:rsidP="00661519" w:rsidRDefault="00661519" w14:paraId="73AEE5DA" w14:textId="77777777">
            <w:pPr>
              <w:jc w:val="right"/>
              <w:textAlignment w:val="baseline"/>
              <w:rPr>
                <w:rFonts w:eastAsia="Times New Roman"/>
                <w:color w:val="000000"/>
                <w:sz w:val="16"/>
                <w:lang w:val="en-GB"/>
              </w:rPr>
            </w:pPr>
            <w:r w:rsidRPr="009C48DA">
              <w:rPr>
                <w:rFonts w:eastAsia="Times New Roman"/>
                <w:color w:val="000000"/>
                <w:sz w:val="16"/>
                <w:lang w:val="en-GB"/>
              </w:rPr>
              <w:t>125,497</w:t>
            </w:r>
          </w:p>
        </w:tc>
        <w:tc>
          <w:tcPr>
            <w:tcW w:w="1211" w:type="dxa"/>
            <w:vAlign w:val="center"/>
          </w:tcPr>
          <w:p w:rsidRPr="009C48DA" w:rsidR="00661519" w:rsidP="00661519" w:rsidRDefault="00661519" w14:paraId="17B4BF41" w14:textId="77777777">
            <w:pPr>
              <w:jc w:val="right"/>
              <w:textAlignment w:val="baseline"/>
              <w:rPr>
                <w:rFonts w:eastAsia="Times New Roman"/>
                <w:color w:val="000000"/>
                <w:sz w:val="16"/>
                <w:lang w:val="en-GB"/>
              </w:rPr>
            </w:pPr>
            <w:r w:rsidRPr="009C48DA">
              <w:rPr>
                <w:rFonts w:eastAsia="Times New Roman"/>
                <w:color w:val="000000"/>
                <w:sz w:val="16"/>
                <w:lang w:val="en-GB"/>
              </w:rPr>
              <w:t>206,079</w:t>
            </w:r>
          </w:p>
        </w:tc>
        <w:tc>
          <w:tcPr>
            <w:tcW w:w="1212" w:type="dxa"/>
            <w:vAlign w:val="center"/>
          </w:tcPr>
          <w:p w:rsidRPr="009C48DA" w:rsidR="00661519" w:rsidP="00661519" w:rsidRDefault="00661519" w14:paraId="0C19D930" w14:textId="77777777">
            <w:pPr>
              <w:jc w:val="right"/>
              <w:textAlignment w:val="baseline"/>
              <w:rPr>
                <w:rFonts w:eastAsia="Times New Roman"/>
                <w:color w:val="000000"/>
                <w:sz w:val="16"/>
                <w:lang w:val="en-GB"/>
              </w:rPr>
            </w:pPr>
            <w:r w:rsidRPr="009C48DA">
              <w:rPr>
                <w:rFonts w:eastAsia="Times New Roman"/>
                <w:color w:val="000000"/>
                <w:sz w:val="16"/>
                <w:lang w:val="en-GB"/>
              </w:rPr>
              <w:t>233,469</w:t>
            </w:r>
          </w:p>
        </w:tc>
      </w:tr>
      <w:tr w:rsidRPr="009C48DA" w:rsidR="00661519" w:rsidTr="00661519" w14:paraId="7B2B9B0F" w14:textId="77777777">
        <w:tc>
          <w:tcPr>
            <w:tcW w:w="4395" w:type="dxa"/>
            <w:vAlign w:val="center"/>
          </w:tcPr>
          <w:p w:rsidRPr="009C48DA" w:rsidR="00661519" w:rsidP="00661519" w:rsidRDefault="00661519" w14:paraId="628E2E7F" w14:textId="77777777">
            <w:pPr>
              <w:jc w:val="both"/>
              <w:textAlignment w:val="baseline"/>
              <w:rPr>
                <w:rFonts w:eastAsia="Times New Roman"/>
                <w:color w:val="000000"/>
                <w:sz w:val="16"/>
                <w:lang w:val="en-GB"/>
              </w:rPr>
            </w:pPr>
            <w:r w:rsidRPr="009C48DA">
              <w:rPr>
                <w:rFonts w:eastAsia="Times New Roman"/>
                <w:color w:val="000000"/>
                <w:sz w:val="16"/>
                <w:lang w:val="en-GB"/>
              </w:rPr>
              <w:t>Additions</w:t>
            </w:r>
          </w:p>
        </w:tc>
        <w:tc>
          <w:tcPr>
            <w:tcW w:w="1211" w:type="dxa"/>
            <w:vAlign w:val="center"/>
          </w:tcPr>
          <w:p w:rsidRPr="009C48DA" w:rsidR="00661519" w:rsidP="00661519" w:rsidRDefault="00661519" w14:paraId="039AA5D7" w14:textId="77777777">
            <w:pPr>
              <w:jc w:val="right"/>
              <w:textAlignment w:val="baseline"/>
              <w:rPr>
                <w:rFonts w:eastAsia="Times New Roman"/>
                <w:color w:val="000000"/>
                <w:sz w:val="16"/>
                <w:lang w:val="en-GB"/>
              </w:rPr>
            </w:pPr>
            <w:r w:rsidRPr="009C48DA">
              <w:rPr>
                <w:rFonts w:eastAsia="Times New Roman"/>
                <w:color w:val="000000"/>
                <w:sz w:val="16"/>
                <w:lang w:val="en-GB"/>
              </w:rPr>
              <w:t>49,843</w:t>
            </w:r>
          </w:p>
        </w:tc>
        <w:tc>
          <w:tcPr>
            <w:tcW w:w="1211" w:type="dxa"/>
            <w:vAlign w:val="center"/>
          </w:tcPr>
          <w:p w:rsidRPr="009C48DA" w:rsidR="00661519" w:rsidP="00661519" w:rsidRDefault="00661519" w14:paraId="5ED8EB91" w14:textId="77777777">
            <w:pPr>
              <w:jc w:val="right"/>
              <w:textAlignment w:val="baseline"/>
              <w:rPr>
                <w:rFonts w:eastAsia="Times New Roman"/>
                <w:color w:val="000000"/>
                <w:sz w:val="16"/>
                <w:lang w:val="en-GB"/>
              </w:rPr>
            </w:pPr>
            <w:r w:rsidRPr="009C48DA">
              <w:rPr>
                <w:rFonts w:eastAsia="Times New Roman"/>
                <w:color w:val="000000"/>
                <w:sz w:val="16"/>
                <w:lang w:val="en-GB"/>
              </w:rPr>
              <w:t>133,999</w:t>
            </w:r>
          </w:p>
        </w:tc>
        <w:tc>
          <w:tcPr>
            <w:tcW w:w="1211" w:type="dxa"/>
            <w:vAlign w:val="center"/>
          </w:tcPr>
          <w:p w:rsidRPr="009C48DA" w:rsidR="00661519" w:rsidP="00661519" w:rsidRDefault="00661519" w14:paraId="42D1F7F0" w14:textId="77777777">
            <w:pPr>
              <w:jc w:val="right"/>
              <w:textAlignment w:val="baseline"/>
              <w:rPr>
                <w:rFonts w:eastAsia="Times New Roman"/>
                <w:color w:val="000000"/>
                <w:sz w:val="16"/>
                <w:lang w:val="en-GB"/>
              </w:rPr>
            </w:pPr>
            <w:r w:rsidRPr="009C48DA">
              <w:rPr>
                <w:rFonts w:eastAsia="Times New Roman"/>
                <w:color w:val="000000"/>
                <w:sz w:val="16"/>
                <w:lang w:val="en-GB"/>
              </w:rPr>
              <w:t>47,908</w:t>
            </w:r>
          </w:p>
        </w:tc>
        <w:tc>
          <w:tcPr>
            <w:tcW w:w="1212" w:type="dxa"/>
            <w:vAlign w:val="center"/>
          </w:tcPr>
          <w:p w:rsidRPr="009C48DA" w:rsidR="00661519" w:rsidP="00661519" w:rsidRDefault="00661519" w14:paraId="0C217900" w14:textId="77777777">
            <w:pPr>
              <w:jc w:val="right"/>
              <w:textAlignment w:val="baseline"/>
              <w:rPr>
                <w:rFonts w:eastAsia="Times New Roman"/>
                <w:color w:val="000000"/>
                <w:sz w:val="16"/>
                <w:lang w:val="en-GB"/>
              </w:rPr>
            </w:pPr>
            <w:r w:rsidRPr="009C48DA">
              <w:rPr>
                <w:rFonts w:eastAsia="Times New Roman"/>
                <w:color w:val="000000"/>
                <w:sz w:val="16"/>
                <w:lang w:val="en-GB"/>
              </w:rPr>
              <w:t>9,914</w:t>
            </w:r>
          </w:p>
        </w:tc>
      </w:tr>
      <w:tr w:rsidRPr="009C48DA" w:rsidR="00661519" w:rsidTr="00661519" w14:paraId="627A17E1" w14:textId="77777777">
        <w:tc>
          <w:tcPr>
            <w:tcW w:w="4395" w:type="dxa"/>
            <w:vAlign w:val="center"/>
          </w:tcPr>
          <w:p w:rsidRPr="009C48DA" w:rsidR="00661519" w:rsidP="00661519" w:rsidRDefault="00661519" w14:paraId="52E89924" w14:textId="77777777">
            <w:pPr>
              <w:jc w:val="both"/>
              <w:textAlignment w:val="baseline"/>
              <w:rPr>
                <w:rFonts w:eastAsia="Times New Roman"/>
                <w:color w:val="000000"/>
                <w:sz w:val="16"/>
                <w:lang w:val="en-GB"/>
              </w:rPr>
            </w:pPr>
            <w:r w:rsidRPr="009C48DA">
              <w:rPr>
                <w:rFonts w:eastAsia="Times New Roman"/>
                <w:color w:val="000000"/>
                <w:sz w:val="16"/>
                <w:lang w:val="en-GB"/>
              </w:rPr>
              <w:t>Change in fair value</w:t>
            </w:r>
          </w:p>
        </w:tc>
        <w:tc>
          <w:tcPr>
            <w:tcW w:w="1211" w:type="dxa"/>
            <w:vAlign w:val="center"/>
          </w:tcPr>
          <w:p w:rsidRPr="009C48DA" w:rsidR="00661519" w:rsidP="00661519" w:rsidRDefault="00661519" w14:paraId="4047DC4F" w14:textId="77777777">
            <w:pPr>
              <w:jc w:val="right"/>
              <w:textAlignment w:val="baseline"/>
              <w:rPr>
                <w:rFonts w:eastAsia="Times New Roman"/>
                <w:color w:val="000000"/>
                <w:sz w:val="16"/>
                <w:lang w:val="en-GB"/>
              </w:rPr>
            </w:pPr>
            <w:r w:rsidRPr="009C48DA">
              <w:rPr>
                <w:rFonts w:eastAsia="Times New Roman"/>
                <w:color w:val="000000"/>
                <w:sz w:val="16"/>
                <w:lang w:val="en-GB"/>
              </w:rPr>
              <w:t>18,477</w:t>
            </w:r>
          </w:p>
        </w:tc>
        <w:tc>
          <w:tcPr>
            <w:tcW w:w="1211" w:type="dxa"/>
            <w:vAlign w:val="center"/>
          </w:tcPr>
          <w:p w:rsidRPr="009C48DA" w:rsidR="00661519" w:rsidP="00661519" w:rsidRDefault="00661519" w14:paraId="1FDBA190" w14:textId="77777777">
            <w:pPr>
              <w:jc w:val="right"/>
              <w:textAlignment w:val="baseline"/>
              <w:rPr>
                <w:rFonts w:eastAsia="Times New Roman"/>
                <w:color w:val="000000"/>
                <w:sz w:val="16"/>
                <w:lang w:val="en-GB"/>
              </w:rPr>
            </w:pPr>
            <w:r w:rsidRPr="009C48DA">
              <w:rPr>
                <w:rFonts w:eastAsia="Times New Roman"/>
                <w:color w:val="000000"/>
                <w:sz w:val="16"/>
                <w:lang w:val="en-GB"/>
              </w:rPr>
              <w:t>14,390</w:t>
            </w:r>
          </w:p>
        </w:tc>
        <w:tc>
          <w:tcPr>
            <w:tcW w:w="1211" w:type="dxa"/>
            <w:vAlign w:val="center"/>
          </w:tcPr>
          <w:p w:rsidRPr="009C48DA" w:rsidR="00661519" w:rsidP="00661519" w:rsidRDefault="00661519" w14:paraId="47D1C324" w14:textId="77777777">
            <w:pPr>
              <w:jc w:val="right"/>
              <w:textAlignment w:val="baseline"/>
              <w:rPr>
                <w:rFonts w:eastAsia="Times New Roman"/>
                <w:color w:val="000000"/>
                <w:sz w:val="16"/>
                <w:lang w:val="en-GB"/>
              </w:rPr>
            </w:pPr>
            <w:r w:rsidRPr="009C48DA">
              <w:rPr>
                <w:rFonts w:eastAsia="Times New Roman"/>
                <w:color w:val="000000"/>
                <w:sz w:val="16"/>
                <w:lang w:val="en-GB"/>
              </w:rPr>
              <w:t>19,387</w:t>
            </w:r>
          </w:p>
        </w:tc>
        <w:tc>
          <w:tcPr>
            <w:tcW w:w="1212" w:type="dxa"/>
            <w:vAlign w:val="center"/>
          </w:tcPr>
          <w:p w:rsidRPr="009C48DA" w:rsidR="00661519" w:rsidP="00661519" w:rsidRDefault="00661519" w14:paraId="55380DE6" w14:textId="77777777">
            <w:pPr>
              <w:jc w:val="right"/>
              <w:textAlignment w:val="baseline"/>
              <w:rPr>
                <w:rFonts w:eastAsia="Times New Roman"/>
                <w:color w:val="000000"/>
                <w:sz w:val="16"/>
                <w:lang w:val="en-GB"/>
              </w:rPr>
            </w:pPr>
            <w:r w:rsidRPr="009C48DA">
              <w:rPr>
                <w:rFonts w:eastAsia="Times New Roman"/>
                <w:color w:val="000000"/>
                <w:sz w:val="16"/>
                <w:lang w:val="en-GB"/>
              </w:rPr>
              <w:t>19,738</w:t>
            </w:r>
          </w:p>
        </w:tc>
      </w:tr>
      <w:tr w:rsidRPr="009C48DA" w:rsidR="00661519" w:rsidTr="00661519" w14:paraId="77953577" w14:textId="77777777">
        <w:tc>
          <w:tcPr>
            <w:tcW w:w="4395" w:type="dxa"/>
            <w:vAlign w:val="center"/>
          </w:tcPr>
          <w:p w:rsidRPr="009C48DA" w:rsidR="00661519" w:rsidP="00661519" w:rsidRDefault="00661519" w14:paraId="00F2FF17" w14:textId="77777777">
            <w:pPr>
              <w:jc w:val="both"/>
              <w:textAlignment w:val="baseline"/>
              <w:rPr>
                <w:rFonts w:eastAsia="Times New Roman"/>
                <w:color w:val="000000"/>
                <w:sz w:val="16"/>
                <w:lang w:val="en-GB"/>
              </w:rPr>
            </w:pPr>
            <w:r w:rsidRPr="009C48DA">
              <w:rPr>
                <w:rFonts w:eastAsia="Times New Roman"/>
                <w:color w:val="000000"/>
                <w:sz w:val="16"/>
                <w:lang w:val="en-GB"/>
              </w:rPr>
              <w:t>Foreign exchange movements</w:t>
            </w:r>
          </w:p>
        </w:tc>
        <w:tc>
          <w:tcPr>
            <w:tcW w:w="1211" w:type="dxa"/>
            <w:vAlign w:val="center"/>
          </w:tcPr>
          <w:p w:rsidRPr="009C48DA" w:rsidR="00661519" w:rsidP="00661519" w:rsidRDefault="00661519" w14:paraId="0530BB7F" w14:textId="77777777">
            <w:pPr>
              <w:jc w:val="right"/>
              <w:textAlignment w:val="baseline"/>
              <w:rPr>
                <w:rFonts w:eastAsia="Times New Roman"/>
                <w:color w:val="000000"/>
                <w:sz w:val="16"/>
                <w:lang w:val="en-GB"/>
              </w:rPr>
            </w:pPr>
            <w:r w:rsidRPr="009C48DA">
              <w:rPr>
                <w:rFonts w:eastAsia="Times New Roman"/>
                <w:color w:val="000000"/>
                <w:sz w:val="16"/>
                <w:lang w:val="en-GB"/>
              </w:rPr>
              <w:t>1,503</w:t>
            </w:r>
          </w:p>
        </w:tc>
        <w:tc>
          <w:tcPr>
            <w:tcW w:w="1211" w:type="dxa"/>
            <w:vAlign w:val="center"/>
          </w:tcPr>
          <w:p w:rsidRPr="009C48DA" w:rsidR="00661519" w:rsidP="00661519" w:rsidRDefault="00661519" w14:paraId="3995BC13" w14:textId="77777777">
            <w:pPr>
              <w:jc w:val="right"/>
              <w:textAlignment w:val="baseline"/>
              <w:rPr>
                <w:rFonts w:eastAsia="Times New Roman"/>
                <w:color w:val="000000"/>
                <w:sz w:val="16"/>
                <w:lang w:val="en-GB"/>
              </w:rPr>
            </w:pPr>
            <w:r w:rsidRPr="009C48DA">
              <w:rPr>
                <w:rFonts w:eastAsia="Times New Roman"/>
                <w:color w:val="000000"/>
                <w:sz w:val="16"/>
                <w:lang w:val="en-GB"/>
              </w:rPr>
              <w:t>(10,904)</w:t>
            </w:r>
          </w:p>
        </w:tc>
        <w:tc>
          <w:tcPr>
            <w:tcW w:w="1211" w:type="dxa"/>
            <w:vAlign w:val="center"/>
          </w:tcPr>
          <w:p w:rsidRPr="009C48DA" w:rsidR="00661519" w:rsidP="00661519" w:rsidRDefault="00661519" w14:paraId="405CE812" w14:textId="77777777">
            <w:pPr>
              <w:jc w:val="right"/>
              <w:textAlignment w:val="baseline"/>
              <w:rPr>
                <w:rFonts w:eastAsia="Times New Roman"/>
                <w:color w:val="000000"/>
                <w:sz w:val="16"/>
                <w:lang w:val="en-GB"/>
              </w:rPr>
            </w:pPr>
            <w:r w:rsidRPr="009C48DA">
              <w:rPr>
                <w:rFonts w:eastAsia="Times New Roman"/>
                <w:color w:val="000000"/>
                <w:sz w:val="16"/>
                <w:lang w:val="en-GB"/>
              </w:rPr>
              <w:t>11,247</w:t>
            </w:r>
          </w:p>
        </w:tc>
        <w:tc>
          <w:tcPr>
            <w:tcW w:w="1212" w:type="dxa"/>
            <w:vAlign w:val="center"/>
          </w:tcPr>
          <w:p w:rsidRPr="009C48DA" w:rsidR="00661519" w:rsidP="00661519" w:rsidRDefault="00661519" w14:paraId="473FD9D9" w14:textId="77777777">
            <w:pPr>
              <w:jc w:val="right"/>
              <w:textAlignment w:val="baseline"/>
              <w:rPr>
                <w:rFonts w:eastAsia="Times New Roman"/>
                <w:color w:val="000000"/>
                <w:sz w:val="16"/>
                <w:lang w:val="en-GB"/>
              </w:rPr>
            </w:pPr>
            <w:r w:rsidRPr="009C48DA">
              <w:rPr>
                <w:rFonts w:eastAsia="Times New Roman"/>
                <w:color w:val="000000"/>
                <w:sz w:val="16"/>
                <w:lang w:val="en-GB"/>
              </w:rPr>
              <w:t>(9,769)</w:t>
            </w:r>
          </w:p>
        </w:tc>
      </w:tr>
      <w:tr w:rsidRPr="009C48DA" w:rsidR="00661519" w:rsidTr="00661519" w14:paraId="12F0867E" w14:textId="77777777">
        <w:tc>
          <w:tcPr>
            <w:tcW w:w="4395" w:type="dxa"/>
            <w:vAlign w:val="center"/>
          </w:tcPr>
          <w:p w:rsidRPr="009C48DA" w:rsidR="00661519" w:rsidP="00661519" w:rsidRDefault="00661519" w14:paraId="32311C0E" w14:textId="77777777">
            <w:pPr>
              <w:jc w:val="both"/>
              <w:textAlignment w:val="baseline"/>
              <w:rPr>
                <w:rFonts w:eastAsia="Times New Roman"/>
                <w:color w:val="000000"/>
                <w:sz w:val="16"/>
                <w:lang w:val="en-GB"/>
              </w:rPr>
            </w:pPr>
            <w:r w:rsidRPr="009C48DA">
              <w:rPr>
                <w:rFonts w:eastAsia="Times New Roman"/>
                <w:color w:val="000000"/>
                <w:sz w:val="16"/>
                <w:lang w:val="en-GB"/>
              </w:rPr>
              <w:t>Receipts</w:t>
            </w:r>
          </w:p>
        </w:tc>
        <w:tc>
          <w:tcPr>
            <w:tcW w:w="1211" w:type="dxa"/>
            <w:vAlign w:val="center"/>
          </w:tcPr>
          <w:p w:rsidRPr="009C48DA" w:rsidR="00661519" w:rsidP="00661519" w:rsidRDefault="00661519" w14:paraId="210E0873" w14:textId="77777777">
            <w:pPr>
              <w:jc w:val="right"/>
              <w:textAlignment w:val="baseline"/>
              <w:rPr>
                <w:rFonts w:eastAsia="Times New Roman"/>
                <w:color w:val="000000"/>
                <w:sz w:val="16"/>
                <w:lang w:val="en-GB"/>
              </w:rPr>
            </w:pPr>
            <w:r w:rsidRPr="009C48DA">
              <w:rPr>
                <w:rFonts w:eastAsia="Times New Roman"/>
                <w:color w:val="000000"/>
                <w:sz w:val="16"/>
                <w:lang w:val="en-GB"/>
              </w:rPr>
              <w:t>(46,404)</w:t>
            </w:r>
          </w:p>
        </w:tc>
        <w:tc>
          <w:tcPr>
            <w:tcW w:w="1211" w:type="dxa"/>
            <w:vAlign w:val="center"/>
          </w:tcPr>
          <w:p w:rsidRPr="009C48DA" w:rsidR="00661519" w:rsidP="00661519" w:rsidRDefault="00661519" w14:paraId="3266E292" w14:textId="77777777">
            <w:pPr>
              <w:jc w:val="right"/>
              <w:textAlignment w:val="baseline"/>
              <w:rPr>
                <w:rFonts w:eastAsia="Times New Roman"/>
                <w:color w:val="000000"/>
                <w:sz w:val="16"/>
                <w:lang w:val="en-GB"/>
              </w:rPr>
            </w:pPr>
            <w:r w:rsidRPr="009C48DA">
              <w:rPr>
                <w:rFonts w:eastAsia="Times New Roman"/>
                <w:color w:val="000000"/>
                <w:sz w:val="16"/>
                <w:lang w:val="en-GB"/>
              </w:rPr>
              <w:t>(56,903)</w:t>
            </w:r>
          </w:p>
        </w:tc>
        <w:tc>
          <w:tcPr>
            <w:tcW w:w="1211" w:type="dxa"/>
            <w:vAlign w:val="center"/>
          </w:tcPr>
          <w:p w:rsidRPr="009C48DA" w:rsidR="00661519" w:rsidP="00661519" w:rsidRDefault="00661519" w14:paraId="300EB6C2" w14:textId="77777777">
            <w:pPr>
              <w:jc w:val="right"/>
              <w:textAlignment w:val="baseline"/>
              <w:rPr>
                <w:rFonts w:eastAsia="Times New Roman"/>
                <w:color w:val="000000"/>
                <w:sz w:val="16"/>
                <w:lang w:val="en-GB"/>
              </w:rPr>
            </w:pPr>
            <w:r w:rsidRPr="009C48DA">
              <w:rPr>
                <w:rFonts w:eastAsia="Times New Roman"/>
                <w:color w:val="000000"/>
                <w:sz w:val="16"/>
                <w:lang w:val="en-GB"/>
              </w:rPr>
              <w:t>(51,152)</w:t>
            </w:r>
          </w:p>
        </w:tc>
        <w:tc>
          <w:tcPr>
            <w:tcW w:w="1212" w:type="dxa"/>
            <w:vAlign w:val="center"/>
          </w:tcPr>
          <w:p w:rsidRPr="009C48DA" w:rsidR="00661519" w:rsidP="00661519" w:rsidRDefault="00661519" w14:paraId="3F860166" w14:textId="77777777">
            <w:pPr>
              <w:jc w:val="right"/>
              <w:textAlignment w:val="baseline"/>
              <w:rPr>
                <w:rFonts w:eastAsia="Times New Roman"/>
                <w:color w:val="000000"/>
                <w:sz w:val="16"/>
                <w:lang w:val="en-GB"/>
              </w:rPr>
            </w:pPr>
            <w:r w:rsidRPr="009C48DA">
              <w:rPr>
                <w:rFonts w:eastAsia="Times New Roman"/>
                <w:color w:val="000000"/>
                <w:sz w:val="16"/>
                <w:lang w:val="en-GB"/>
              </w:rPr>
              <w:t>(20,419)</w:t>
            </w:r>
          </w:p>
        </w:tc>
      </w:tr>
      <w:tr w:rsidRPr="009C48DA" w:rsidR="00661519" w:rsidTr="00661519" w14:paraId="2A54A334" w14:textId="77777777">
        <w:tc>
          <w:tcPr>
            <w:tcW w:w="4395" w:type="dxa"/>
            <w:vAlign w:val="center"/>
          </w:tcPr>
          <w:p w:rsidRPr="009C48DA" w:rsidR="00661519" w:rsidP="00661519" w:rsidRDefault="00661519" w14:paraId="30643A7C" w14:textId="77777777">
            <w:pPr>
              <w:jc w:val="both"/>
              <w:textAlignment w:val="baseline"/>
              <w:rPr>
                <w:rFonts w:eastAsia="Times New Roman"/>
                <w:color w:val="000000"/>
                <w:sz w:val="16"/>
                <w:lang w:val="en-GB"/>
              </w:rPr>
            </w:pPr>
            <w:r w:rsidRPr="009C48DA">
              <w:rPr>
                <w:rFonts w:eastAsia="Times New Roman"/>
                <w:color w:val="000000"/>
                <w:sz w:val="16"/>
                <w:lang w:val="en-GB"/>
              </w:rPr>
              <w:t>Transfers (to)/from Level 1 or 2</w:t>
            </w:r>
          </w:p>
        </w:tc>
        <w:tc>
          <w:tcPr>
            <w:tcW w:w="1211" w:type="dxa"/>
            <w:vAlign w:val="center"/>
          </w:tcPr>
          <w:p w:rsidRPr="009C48DA" w:rsidR="00661519" w:rsidP="00661519" w:rsidRDefault="00661519" w14:paraId="10246F0E"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60C534EA"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088BE421"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12" w:type="dxa"/>
            <w:vAlign w:val="center"/>
          </w:tcPr>
          <w:p w:rsidRPr="009C48DA" w:rsidR="00661519" w:rsidP="00661519" w:rsidRDefault="00661519" w14:paraId="79BB87C6"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44652463" w14:textId="77777777">
        <w:tc>
          <w:tcPr>
            <w:tcW w:w="4395" w:type="dxa"/>
            <w:vAlign w:val="center"/>
          </w:tcPr>
          <w:p w:rsidRPr="009C48DA" w:rsidR="00661519" w:rsidP="00661519" w:rsidRDefault="00661519" w14:paraId="0C05C781" w14:textId="77777777">
            <w:pPr>
              <w:spacing w:before="120"/>
              <w:textAlignment w:val="baseline"/>
              <w:rPr>
                <w:rFonts w:eastAsia="Times New Roman"/>
                <w:b/>
                <w:color w:val="000000"/>
                <w:sz w:val="16"/>
                <w:lang w:val="en-GB"/>
              </w:rPr>
            </w:pPr>
            <w:r w:rsidRPr="009C48DA">
              <w:rPr>
                <w:rFonts w:eastAsia="Times New Roman"/>
                <w:b/>
                <w:color w:val="000000"/>
                <w:sz w:val="16"/>
                <w:lang w:val="en-GB"/>
              </w:rPr>
              <w:t>Closing balance</w:t>
            </w:r>
          </w:p>
        </w:tc>
        <w:tc>
          <w:tcPr>
            <w:tcW w:w="1211" w:type="dxa"/>
            <w:vAlign w:val="center"/>
          </w:tcPr>
          <w:p w:rsidRPr="009C48DA" w:rsidR="00661519" w:rsidP="00661519" w:rsidRDefault="00661519" w14:paraId="54C34986"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125,497</w:t>
            </w:r>
          </w:p>
        </w:tc>
        <w:tc>
          <w:tcPr>
            <w:tcW w:w="1211" w:type="dxa"/>
            <w:vAlign w:val="center"/>
          </w:tcPr>
          <w:p w:rsidRPr="009C48DA" w:rsidR="00661519" w:rsidP="00661519" w:rsidRDefault="00661519" w14:paraId="62E87338"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206,079</w:t>
            </w:r>
          </w:p>
        </w:tc>
        <w:tc>
          <w:tcPr>
            <w:tcW w:w="1211" w:type="dxa"/>
            <w:vAlign w:val="center"/>
          </w:tcPr>
          <w:p w:rsidRPr="009C48DA" w:rsidR="00661519" w:rsidP="00661519" w:rsidRDefault="00661519" w14:paraId="0A990782"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233,469</w:t>
            </w:r>
          </w:p>
        </w:tc>
        <w:tc>
          <w:tcPr>
            <w:tcW w:w="1212" w:type="dxa"/>
            <w:vAlign w:val="center"/>
          </w:tcPr>
          <w:p w:rsidRPr="009C48DA" w:rsidR="00661519" w:rsidP="00661519" w:rsidRDefault="00661519" w14:paraId="2BC1C9BD"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232,933</w:t>
            </w:r>
          </w:p>
        </w:tc>
      </w:tr>
    </w:tbl>
    <w:p w:rsidRPr="009C48DA" w:rsidR="00661519" w:rsidP="00661519" w:rsidRDefault="00661519" w14:paraId="7731C3CD" w14:textId="77777777">
      <w:pPr>
        <w:ind w:right="72"/>
        <w:jc w:val="both"/>
        <w:textAlignment w:val="baseline"/>
        <w:rPr>
          <w:rFonts w:eastAsia="Times New Roman"/>
          <w:color w:val="000000"/>
          <w:sz w:val="16"/>
          <w:lang w:val="en-GB"/>
        </w:rPr>
      </w:pPr>
    </w:p>
    <w:p w:rsidRPr="009C48DA" w:rsidR="00661519" w:rsidP="00661519" w:rsidRDefault="00661519" w14:paraId="4B318782"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underlying assets in each fund consist of portfolios of investments in controlling or minority stakes, typically in private companies, and </w:t>
      </w:r>
      <w:r w:rsidRPr="009C48DA">
        <w:rPr>
          <w:rFonts w:eastAsia="Times New Roman" w:cs="Times New Roman"/>
          <w:color w:val="000000"/>
          <w:sz w:val="16"/>
          <w:szCs w:val="22"/>
          <w:lang w:val="en-GB"/>
        </w:rPr>
        <w:br/>
        <w:t xml:space="preserve">their debt. Due to the level of unobservable inputs within the determination of the valuation of individual assets within each fund, and no </w:t>
      </w:r>
      <w:r w:rsidRPr="009C48DA">
        <w:rPr>
          <w:rFonts w:eastAsia="Times New Roman" w:cs="Times New Roman"/>
          <w:color w:val="000000"/>
          <w:sz w:val="16"/>
          <w:szCs w:val="22"/>
          <w:lang w:val="en-GB"/>
        </w:rPr>
        <w:br/>
        <w:t xml:space="preserve">observable price for each investment, such investments are classified as level 3 financial assets under IFRS 13. </w:t>
      </w:r>
    </w:p>
    <w:p w:rsidRPr="009C48DA" w:rsidR="00661519" w:rsidP="00661519" w:rsidRDefault="00661519" w14:paraId="46285FC4" w14:textId="77777777">
      <w:pPr>
        <w:jc w:val="both"/>
        <w:textAlignment w:val="baseline"/>
        <w:rPr>
          <w:rFonts w:eastAsia="Times New Roman" w:cs="Times New Roman"/>
          <w:color w:val="000000"/>
          <w:sz w:val="16"/>
          <w:szCs w:val="22"/>
          <w:lang w:val="en-GB"/>
        </w:rPr>
      </w:pPr>
    </w:p>
    <w:p w:rsidRPr="009C48DA" w:rsidR="00661519" w:rsidP="00661519" w:rsidRDefault="00661519" w14:paraId="15EEBE5E" w14:textId="77777777">
      <w:pPr>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A sensitivity analysis of a change in the value of investments at fair value through profit or loss is set out in note 20 (a).</w:t>
      </w:r>
    </w:p>
    <w:p w:rsidRPr="009C48DA" w:rsidR="00661519" w:rsidP="00661519" w:rsidRDefault="00661519" w14:paraId="0309DFAA" w14:textId="77777777">
      <w:pPr>
        <w:jc w:val="both"/>
        <w:textAlignment w:val="baseline"/>
        <w:rPr>
          <w:rFonts w:eastAsia="Times New Roman" w:cs="Times New Roman"/>
          <w:color w:val="000000"/>
          <w:sz w:val="16"/>
          <w:szCs w:val="22"/>
          <w:lang w:val="en-GB"/>
        </w:rPr>
      </w:pPr>
    </w:p>
    <w:p w:rsidRPr="009C48DA" w:rsidR="00661519" w:rsidP="00661519" w:rsidRDefault="00661519" w14:paraId="2CD6231F" w14:textId="77777777">
      <w:pPr>
        <w:jc w:val="both"/>
        <w:textAlignment w:val="baseline"/>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211"/>
        <w:gridCol w:w="1211"/>
        <w:gridCol w:w="1211"/>
        <w:gridCol w:w="1212"/>
      </w:tblGrid>
      <w:tr w:rsidRPr="009C48DA" w:rsidR="00661519" w:rsidTr="00661519" w14:paraId="6497968A" w14:textId="77777777">
        <w:tc>
          <w:tcPr>
            <w:tcW w:w="4395" w:type="dxa"/>
            <w:vAlign w:val="bottom"/>
          </w:tcPr>
          <w:p w:rsidRPr="009C48DA" w:rsidR="00661519" w:rsidP="00661519" w:rsidRDefault="00661519" w14:paraId="2E0E361B" w14:textId="77777777">
            <w:pPr>
              <w:jc w:val="both"/>
              <w:textAlignment w:val="baseline"/>
              <w:rPr>
                <w:rFonts w:eastAsia="Times New Roman"/>
                <w:b/>
                <w:color w:val="000000"/>
                <w:sz w:val="16"/>
                <w:szCs w:val="16"/>
                <w:lang w:val="en-GB"/>
              </w:rPr>
            </w:pPr>
          </w:p>
        </w:tc>
        <w:tc>
          <w:tcPr>
            <w:tcW w:w="3633" w:type="dxa"/>
            <w:gridSpan w:val="3"/>
            <w:vAlign w:val="bottom"/>
          </w:tcPr>
          <w:p w:rsidRPr="009C48DA" w:rsidR="00661519" w:rsidP="00661519" w:rsidRDefault="00661519" w14:paraId="723E6C1E"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Year ended 31 December</w:t>
            </w:r>
          </w:p>
        </w:tc>
        <w:tc>
          <w:tcPr>
            <w:tcW w:w="1212" w:type="dxa"/>
            <w:vAlign w:val="bottom"/>
          </w:tcPr>
          <w:p w:rsidRPr="009C48DA" w:rsidR="00661519" w:rsidP="00661519" w:rsidRDefault="00661519" w14:paraId="5FC6B195"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Three month period ended 31 March</w:t>
            </w:r>
            <w:r w:rsidRPr="009C48DA">
              <w:rPr>
                <w:rFonts w:eastAsia="Times New Roman"/>
                <w:b/>
                <w:color w:val="000000"/>
                <w:sz w:val="16"/>
                <w:szCs w:val="16"/>
                <w:lang w:val="en-GB"/>
              </w:rPr>
              <w:t xml:space="preserve"> </w:t>
            </w:r>
          </w:p>
        </w:tc>
      </w:tr>
      <w:tr w:rsidRPr="009C48DA" w:rsidR="00661519" w:rsidTr="00661519" w14:paraId="11008D1E" w14:textId="77777777">
        <w:tc>
          <w:tcPr>
            <w:tcW w:w="4395" w:type="dxa"/>
            <w:vAlign w:val="bottom"/>
          </w:tcPr>
          <w:p w:rsidRPr="009C48DA" w:rsidR="00661519" w:rsidP="00661519" w:rsidRDefault="00661519" w14:paraId="26771E2D" w14:textId="77777777">
            <w:pPr>
              <w:jc w:val="both"/>
              <w:textAlignment w:val="baseline"/>
              <w:rPr>
                <w:rFonts w:eastAsia="Times New Roman"/>
                <w:b/>
                <w:color w:val="000000"/>
                <w:sz w:val="16"/>
                <w:lang w:val="en-GB"/>
              </w:rPr>
            </w:pPr>
          </w:p>
        </w:tc>
        <w:tc>
          <w:tcPr>
            <w:tcW w:w="1211" w:type="dxa"/>
            <w:vAlign w:val="bottom"/>
          </w:tcPr>
          <w:p w:rsidRPr="009C48DA" w:rsidR="00661519" w:rsidP="00661519" w:rsidRDefault="00661519" w14:paraId="42CD695B"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5D4FAD0F"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1" w:type="dxa"/>
            <w:vAlign w:val="bottom"/>
          </w:tcPr>
          <w:p w:rsidRPr="009C48DA" w:rsidR="00661519" w:rsidP="00661519" w:rsidRDefault="00661519" w14:paraId="54AF12F5"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5B771A2B"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1" w:type="dxa"/>
          </w:tcPr>
          <w:p w:rsidRPr="009C48DA" w:rsidR="00661519" w:rsidP="00661519" w:rsidRDefault="00661519" w14:paraId="0333C34F"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73D85F73"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2" w:type="dxa"/>
            <w:vAlign w:val="bottom"/>
          </w:tcPr>
          <w:p w:rsidRPr="009C48DA" w:rsidR="00661519" w:rsidP="00661519" w:rsidRDefault="00661519" w14:paraId="4ED2AFFF"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03B6A5BA"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576FD0A9" w14:textId="77777777">
        <w:tc>
          <w:tcPr>
            <w:tcW w:w="4395" w:type="dxa"/>
            <w:vAlign w:val="center"/>
          </w:tcPr>
          <w:p w:rsidRPr="009C48DA" w:rsidR="00661519" w:rsidP="00661519" w:rsidRDefault="00661519" w14:paraId="5D326262" w14:textId="77777777">
            <w:pPr>
              <w:jc w:val="both"/>
              <w:textAlignment w:val="baseline"/>
              <w:rPr>
                <w:rFonts w:eastAsia="Times New Roman"/>
                <w:b/>
                <w:color w:val="000000"/>
                <w:sz w:val="16"/>
                <w:lang w:val="en-GB"/>
              </w:rPr>
            </w:pPr>
            <w:r w:rsidRPr="009C48DA">
              <w:rPr>
                <w:rFonts w:eastAsia="Times New Roman"/>
                <w:b/>
                <w:color w:val="000000"/>
                <w:sz w:val="16"/>
                <w:lang w:val="en-GB"/>
              </w:rPr>
              <w:t xml:space="preserve">Financial liabilities at fair value through profit </w:t>
            </w:r>
          </w:p>
          <w:p w:rsidRPr="009C48DA" w:rsidR="00661519" w:rsidP="00661519" w:rsidRDefault="00661519" w14:paraId="70F52310" w14:textId="77777777">
            <w:pPr>
              <w:jc w:val="both"/>
              <w:textAlignment w:val="baseline"/>
              <w:rPr>
                <w:rFonts w:eastAsia="Times New Roman"/>
                <w:b/>
                <w:color w:val="000000"/>
                <w:sz w:val="16"/>
                <w:lang w:val="en-GB"/>
              </w:rPr>
            </w:pPr>
            <w:r w:rsidRPr="009C48DA">
              <w:rPr>
                <w:rFonts w:eastAsia="Times New Roman"/>
                <w:b/>
                <w:color w:val="000000"/>
                <w:sz w:val="16"/>
                <w:lang w:val="en-GB"/>
              </w:rPr>
              <w:t>or loss:</w:t>
            </w:r>
          </w:p>
        </w:tc>
        <w:tc>
          <w:tcPr>
            <w:tcW w:w="1211" w:type="dxa"/>
            <w:vAlign w:val="center"/>
          </w:tcPr>
          <w:p w:rsidRPr="009C48DA" w:rsidR="00661519" w:rsidP="00661519" w:rsidRDefault="00661519" w14:paraId="074F185F" w14:textId="77777777">
            <w:pPr>
              <w:jc w:val="right"/>
              <w:textAlignment w:val="baseline"/>
              <w:rPr>
                <w:rFonts w:eastAsia="Times New Roman"/>
                <w:color w:val="000000"/>
                <w:sz w:val="16"/>
                <w:lang w:val="en-GB"/>
              </w:rPr>
            </w:pPr>
          </w:p>
        </w:tc>
        <w:tc>
          <w:tcPr>
            <w:tcW w:w="1211" w:type="dxa"/>
            <w:vAlign w:val="center"/>
          </w:tcPr>
          <w:p w:rsidRPr="009C48DA" w:rsidR="00661519" w:rsidP="00661519" w:rsidRDefault="00661519" w14:paraId="0066BC39" w14:textId="77777777">
            <w:pPr>
              <w:jc w:val="right"/>
              <w:textAlignment w:val="baseline"/>
              <w:rPr>
                <w:rFonts w:eastAsia="Times New Roman"/>
                <w:color w:val="000000"/>
                <w:sz w:val="16"/>
                <w:lang w:val="en-GB"/>
              </w:rPr>
            </w:pPr>
          </w:p>
        </w:tc>
        <w:tc>
          <w:tcPr>
            <w:tcW w:w="1211" w:type="dxa"/>
            <w:vAlign w:val="center"/>
          </w:tcPr>
          <w:p w:rsidRPr="009C48DA" w:rsidR="00661519" w:rsidP="00661519" w:rsidRDefault="00661519" w14:paraId="004F83AB" w14:textId="77777777">
            <w:pPr>
              <w:jc w:val="right"/>
              <w:textAlignment w:val="baseline"/>
              <w:rPr>
                <w:rFonts w:eastAsia="Times New Roman"/>
                <w:color w:val="000000"/>
                <w:sz w:val="16"/>
                <w:lang w:val="en-GB"/>
              </w:rPr>
            </w:pPr>
          </w:p>
        </w:tc>
        <w:tc>
          <w:tcPr>
            <w:tcW w:w="1212" w:type="dxa"/>
            <w:vAlign w:val="center"/>
          </w:tcPr>
          <w:p w:rsidRPr="009C48DA" w:rsidR="00661519" w:rsidP="00661519" w:rsidRDefault="00661519" w14:paraId="057AEA01" w14:textId="77777777">
            <w:pPr>
              <w:jc w:val="right"/>
              <w:textAlignment w:val="baseline"/>
              <w:rPr>
                <w:rFonts w:eastAsia="Times New Roman"/>
                <w:color w:val="000000"/>
                <w:sz w:val="16"/>
                <w:lang w:val="en-GB"/>
              </w:rPr>
            </w:pPr>
          </w:p>
        </w:tc>
      </w:tr>
      <w:tr w:rsidRPr="009C48DA" w:rsidR="00661519" w:rsidTr="00661519" w14:paraId="5A9D948C" w14:textId="77777777">
        <w:tc>
          <w:tcPr>
            <w:tcW w:w="4395" w:type="dxa"/>
            <w:vAlign w:val="center"/>
          </w:tcPr>
          <w:p w:rsidRPr="009C48DA" w:rsidR="00661519" w:rsidP="00661519" w:rsidRDefault="00661519" w14:paraId="77A4D351" w14:textId="77777777">
            <w:pPr>
              <w:jc w:val="both"/>
              <w:textAlignment w:val="baseline"/>
              <w:rPr>
                <w:rFonts w:eastAsia="Times New Roman"/>
                <w:color w:val="000000"/>
                <w:sz w:val="16"/>
                <w:lang w:val="en-GB"/>
              </w:rPr>
            </w:pPr>
            <w:r w:rsidRPr="009C48DA">
              <w:rPr>
                <w:rFonts w:eastAsia="Times New Roman"/>
                <w:color w:val="000000"/>
                <w:sz w:val="16"/>
                <w:lang w:val="en-GB"/>
              </w:rPr>
              <w:t>Level 1</w:t>
            </w:r>
          </w:p>
        </w:tc>
        <w:tc>
          <w:tcPr>
            <w:tcW w:w="1211" w:type="dxa"/>
            <w:vAlign w:val="center"/>
          </w:tcPr>
          <w:p w:rsidRPr="009C48DA" w:rsidR="00661519" w:rsidP="00661519" w:rsidRDefault="00661519" w14:paraId="094BBA5F"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39399060"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70647FC0"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2" w:type="dxa"/>
            <w:vAlign w:val="center"/>
          </w:tcPr>
          <w:p w:rsidRPr="009C48DA" w:rsidR="00661519" w:rsidP="00661519" w:rsidRDefault="00661519" w14:paraId="5A85D086"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0CF10085" w14:textId="77777777">
        <w:tc>
          <w:tcPr>
            <w:tcW w:w="4395" w:type="dxa"/>
            <w:vAlign w:val="center"/>
          </w:tcPr>
          <w:p w:rsidRPr="009C48DA" w:rsidR="00661519" w:rsidP="00661519" w:rsidRDefault="00661519" w14:paraId="6A589FF7" w14:textId="77777777">
            <w:pPr>
              <w:jc w:val="both"/>
              <w:textAlignment w:val="baseline"/>
              <w:rPr>
                <w:rFonts w:eastAsia="Times New Roman"/>
                <w:color w:val="000000"/>
                <w:sz w:val="16"/>
                <w:lang w:val="en-GB"/>
              </w:rPr>
            </w:pPr>
            <w:r w:rsidRPr="009C48DA">
              <w:rPr>
                <w:rFonts w:eastAsia="Times New Roman"/>
                <w:color w:val="000000"/>
                <w:sz w:val="16"/>
                <w:lang w:val="en-GB"/>
              </w:rPr>
              <w:t>Level 2</w:t>
            </w:r>
          </w:p>
        </w:tc>
        <w:tc>
          <w:tcPr>
            <w:tcW w:w="1211" w:type="dxa"/>
            <w:vAlign w:val="center"/>
          </w:tcPr>
          <w:p w:rsidRPr="009C48DA" w:rsidR="00661519" w:rsidP="00661519" w:rsidRDefault="00661519" w14:paraId="64FDB027"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735BB7CF"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20A772C4" w14:textId="77777777">
            <w:pPr>
              <w:jc w:val="right"/>
              <w:textAlignment w:val="baseline"/>
              <w:rPr>
                <w:rFonts w:eastAsia="Times New Roman"/>
                <w:color w:val="000000"/>
                <w:sz w:val="16"/>
                <w:lang w:val="en-GB"/>
              </w:rPr>
            </w:pPr>
            <w:r w:rsidRPr="009C48DA">
              <w:rPr>
                <w:rFonts w:eastAsia="Times New Roman"/>
                <w:color w:val="000000"/>
                <w:sz w:val="16"/>
                <w:lang w:val="en-GB"/>
              </w:rPr>
              <w:t>236,682</w:t>
            </w:r>
          </w:p>
        </w:tc>
        <w:tc>
          <w:tcPr>
            <w:tcW w:w="1212" w:type="dxa"/>
            <w:vAlign w:val="center"/>
          </w:tcPr>
          <w:p w:rsidRPr="009C48DA" w:rsidR="00661519" w:rsidP="00661519" w:rsidRDefault="00661519" w14:paraId="52EA98B4" w14:textId="77777777">
            <w:pPr>
              <w:jc w:val="right"/>
              <w:textAlignment w:val="baseline"/>
              <w:rPr>
                <w:rFonts w:eastAsia="Times New Roman"/>
                <w:color w:val="000000"/>
                <w:sz w:val="16"/>
                <w:lang w:val="en-GB"/>
              </w:rPr>
            </w:pPr>
            <w:r w:rsidRPr="009C48DA">
              <w:rPr>
                <w:rFonts w:eastAsia="Times New Roman"/>
                <w:color w:val="000000"/>
                <w:sz w:val="16"/>
                <w:lang w:val="en-GB"/>
              </w:rPr>
              <w:t>256,412</w:t>
            </w:r>
          </w:p>
        </w:tc>
      </w:tr>
      <w:tr w:rsidRPr="009C48DA" w:rsidR="00661519" w:rsidTr="00661519" w14:paraId="618CBAEB" w14:textId="77777777">
        <w:tc>
          <w:tcPr>
            <w:tcW w:w="4395" w:type="dxa"/>
            <w:vAlign w:val="center"/>
          </w:tcPr>
          <w:p w:rsidRPr="009C48DA" w:rsidR="00661519" w:rsidP="00661519" w:rsidRDefault="00661519" w14:paraId="14AD9A9A" w14:textId="77777777">
            <w:pPr>
              <w:jc w:val="both"/>
              <w:textAlignment w:val="baseline"/>
              <w:rPr>
                <w:rFonts w:eastAsia="Times New Roman"/>
                <w:color w:val="000000"/>
                <w:sz w:val="16"/>
                <w:lang w:val="en-GB"/>
              </w:rPr>
            </w:pPr>
            <w:r w:rsidRPr="009C48DA">
              <w:rPr>
                <w:rFonts w:eastAsia="Times New Roman"/>
                <w:color w:val="000000"/>
                <w:sz w:val="16"/>
                <w:lang w:val="en-GB"/>
              </w:rPr>
              <w:t>Level 3</w:t>
            </w:r>
          </w:p>
        </w:tc>
        <w:tc>
          <w:tcPr>
            <w:tcW w:w="1211" w:type="dxa"/>
            <w:vAlign w:val="center"/>
          </w:tcPr>
          <w:p w:rsidRPr="009C48DA" w:rsidR="00661519" w:rsidP="00661519" w:rsidRDefault="00661519" w14:paraId="6310C6D5"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2,096</w:t>
            </w:r>
          </w:p>
        </w:tc>
        <w:tc>
          <w:tcPr>
            <w:tcW w:w="1211" w:type="dxa"/>
            <w:vAlign w:val="center"/>
          </w:tcPr>
          <w:p w:rsidRPr="009C48DA" w:rsidR="00661519" w:rsidP="00661519" w:rsidRDefault="00661519" w14:paraId="15A8BEC3"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2,840</w:t>
            </w:r>
          </w:p>
        </w:tc>
        <w:tc>
          <w:tcPr>
            <w:tcW w:w="1211" w:type="dxa"/>
            <w:vAlign w:val="center"/>
          </w:tcPr>
          <w:p w:rsidRPr="009C48DA" w:rsidR="00661519" w:rsidP="00661519" w:rsidRDefault="00661519" w14:paraId="05AAE91A"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73,197</w:t>
            </w:r>
          </w:p>
        </w:tc>
        <w:tc>
          <w:tcPr>
            <w:tcW w:w="1212" w:type="dxa"/>
            <w:vAlign w:val="center"/>
          </w:tcPr>
          <w:p w:rsidRPr="009C48DA" w:rsidR="00661519" w:rsidP="00661519" w:rsidRDefault="00661519" w14:paraId="08BD4F02"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74,831</w:t>
            </w:r>
          </w:p>
        </w:tc>
      </w:tr>
      <w:tr w:rsidRPr="009C48DA" w:rsidR="00661519" w:rsidTr="00661519" w14:paraId="13881850" w14:textId="77777777">
        <w:tc>
          <w:tcPr>
            <w:tcW w:w="4395" w:type="dxa"/>
            <w:vAlign w:val="center"/>
          </w:tcPr>
          <w:p w:rsidRPr="009C48DA" w:rsidR="00661519" w:rsidP="00661519" w:rsidRDefault="00661519" w14:paraId="6EEBB63D" w14:textId="77777777">
            <w:pPr>
              <w:spacing w:before="120"/>
              <w:textAlignment w:val="baseline"/>
              <w:rPr>
                <w:rFonts w:eastAsia="Times New Roman"/>
                <w:b/>
                <w:color w:val="000000"/>
                <w:sz w:val="16"/>
                <w:lang w:val="en-GB"/>
              </w:rPr>
            </w:pPr>
            <w:r w:rsidRPr="009C48DA">
              <w:rPr>
                <w:rFonts w:eastAsia="Times New Roman"/>
                <w:b/>
                <w:color w:val="000000"/>
                <w:sz w:val="16"/>
                <w:lang w:val="en-GB"/>
              </w:rPr>
              <w:t>Total</w:t>
            </w:r>
          </w:p>
        </w:tc>
        <w:tc>
          <w:tcPr>
            <w:tcW w:w="1211" w:type="dxa"/>
            <w:vAlign w:val="center"/>
          </w:tcPr>
          <w:p w:rsidRPr="009C48DA" w:rsidR="00661519" w:rsidP="00661519" w:rsidRDefault="00661519" w14:paraId="63BB3F70"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2,096</w:t>
            </w:r>
          </w:p>
        </w:tc>
        <w:tc>
          <w:tcPr>
            <w:tcW w:w="1211" w:type="dxa"/>
            <w:vAlign w:val="center"/>
          </w:tcPr>
          <w:p w:rsidRPr="009C48DA" w:rsidR="00661519" w:rsidP="00661519" w:rsidRDefault="00661519" w14:paraId="217DA081"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2,840</w:t>
            </w:r>
          </w:p>
        </w:tc>
        <w:tc>
          <w:tcPr>
            <w:tcW w:w="1211" w:type="dxa"/>
            <w:vAlign w:val="center"/>
          </w:tcPr>
          <w:p w:rsidRPr="009C48DA" w:rsidR="00661519" w:rsidP="00661519" w:rsidRDefault="00661519" w14:paraId="6B832F28"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309,879</w:t>
            </w:r>
          </w:p>
        </w:tc>
        <w:tc>
          <w:tcPr>
            <w:tcW w:w="1212" w:type="dxa"/>
            <w:vAlign w:val="center"/>
          </w:tcPr>
          <w:p w:rsidRPr="009C48DA" w:rsidR="00661519" w:rsidP="00661519" w:rsidRDefault="00661519" w14:paraId="22B4F783"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331,243</w:t>
            </w:r>
          </w:p>
        </w:tc>
      </w:tr>
    </w:tbl>
    <w:p w:rsidRPr="009C48DA" w:rsidR="00661519" w:rsidP="00661519" w:rsidRDefault="00661519" w14:paraId="67195F9F" w14:textId="77777777">
      <w:pPr>
        <w:jc w:val="both"/>
        <w:textAlignment w:val="baseline"/>
        <w:rPr>
          <w:rFonts w:eastAsia="Times New Roman" w:cs="Times New Roman"/>
          <w:color w:val="000000"/>
          <w:sz w:val="16"/>
          <w:szCs w:val="22"/>
          <w:lang w:val="en-GB"/>
        </w:rPr>
      </w:pPr>
    </w:p>
    <w:p w:rsidRPr="009C48DA" w:rsidR="00661519" w:rsidP="00661519" w:rsidRDefault="00661519" w14:paraId="53763732" w14:textId="77777777">
      <w:pPr>
        <w:spacing w:line="184" w:lineRule="exact"/>
        <w:ind w:left="144" w:right="144"/>
        <w:jc w:val="both"/>
        <w:textAlignment w:val="baseline"/>
        <w:rPr>
          <w:rFonts w:eastAsia="Times New Roman"/>
          <w:color w:val="000000"/>
          <w:sz w:val="16"/>
          <w:lang w:val="en-GB"/>
        </w:rPr>
      </w:pPr>
      <w:r w:rsidRPr="009C48DA">
        <w:rPr>
          <w:rFonts w:eastAsia="Times New Roman"/>
          <w:color w:val="000000"/>
          <w:sz w:val="16"/>
          <w:lang w:val="en-GB"/>
        </w:rPr>
        <w:t>The investment grade debt liabilities of consolidated CLOs are marked using broker quotes based on market-related discount spreads and are therefore classified as level 2 financial liabilities under IFRS 13 ‘Fair Value Measurement’.</w:t>
      </w:r>
    </w:p>
    <w:p w:rsidRPr="009C48DA" w:rsidR="00661519" w:rsidP="00661519" w:rsidRDefault="00661519" w14:paraId="79304A3C" w14:textId="77777777">
      <w:pPr>
        <w:spacing w:before="183" w:line="184" w:lineRule="exact"/>
        <w:ind w:left="144" w:right="144"/>
        <w:jc w:val="both"/>
        <w:textAlignment w:val="baseline"/>
        <w:rPr>
          <w:rFonts w:eastAsia="Times New Roman"/>
          <w:color w:val="000000"/>
          <w:sz w:val="16"/>
          <w:lang w:val="en-GB"/>
        </w:rPr>
      </w:pPr>
      <w:r w:rsidRPr="009C48DA">
        <w:rPr>
          <w:rFonts w:eastAsia="Times New Roman"/>
          <w:color w:val="000000"/>
          <w:sz w:val="16"/>
          <w:lang w:val="en-GB"/>
        </w:rPr>
        <w:t>Non-investment grade and subordinated debt liabilities of the consolidated CLOs are valued based upon broker prices, which use discounted cash flow analyses with unobservable market data inputs, such as constant annual default rates, prepayments rates, reinvestment rates, recovery rates and discount rates and are therefore considered level 3 financial liabilities.</w:t>
      </w:r>
    </w:p>
    <w:p w:rsidRPr="009C48DA" w:rsidR="00661519" w:rsidP="00661519" w:rsidRDefault="00661519" w14:paraId="4C9CCE2A" w14:textId="77777777">
      <w:pPr>
        <w:spacing w:before="99" w:line="184" w:lineRule="exact"/>
        <w:ind w:left="144" w:right="144"/>
        <w:jc w:val="both"/>
        <w:textAlignment w:val="baseline"/>
        <w:rPr>
          <w:rFonts w:eastAsia="Times New Roman"/>
          <w:color w:val="000000"/>
          <w:sz w:val="16"/>
          <w:lang w:val="en-GB"/>
        </w:rPr>
      </w:pPr>
      <w:r w:rsidRPr="009C48DA">
        <w:rPr>
          <w:rFonts w:eastAsia="Times New Roman"/>
          <w:color w:val="000000"/>
          <w:sz w:val="16"/>
          <w:lang w:val="en-GB"/>
        </w:rPr>
        <w:t>Financial liabilities classified as level 3 under the fair value hierarchy consist of the deferred contingent consideration, liabilities of CLOs consolidated by the Group and other financial liabilities, which represent a payable to related party investors in Opal Investments LP. The valuation of these liabilities is based on unobservable market data and therefore classified as level 3. There have been no transfers between levels in the fair value hierarchy during the periods.</w:t>
      </w:r>
    </w:p>
    <w:p w:rsidRPr="009C48DA" w:rsidR="00661519" w:rsidP="00661519" w:rsidRDefault="00661519" w14:paraId="369E1087" w14:textId="77777777">
      <w:pPr>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44"/>
        <w:gridCol w:w="2062"/>
        <w:gridCol w:w="1211"/>
        <w:gridCol w:w="1211"/>
        <w:gridCol w:w="1212"/>
      </w:tblGrid>
      <w:tr w:rsidRPr="009C48DA" w:rsidR="00661519" w:rsidTr="00661519" w14:paraId="76A5F8A3" w14:textId="77777777">
        <w:tc>
          <w:tcPr>
            <w:tcW w:w="3544" w:type="dxa"/>
            <w:vAlign w:val="bottom"/>
          </w:tcPr>
          <w:p w:rsidRPr="009C48DA" w:rsidR="00661519" w:rsidP="00661519" w:rsidRDefault="00661519" w14:paraId="68ECDAC4" w14:textId="77777777">
            <w:pPr>
              <w:jc w:val="both"/>
              <w:textAlignment w:val="baseline"/>
              <w:rPr>
                <w:rFonts w:eastAsia="Times New Roman"/>
                <w:b/>
                <w:color w:val="000000"/>
                <w:sz w:val="16"/>
                <w:szCs w:val="16"/>
                <w:lang w:val="en-GB"/>
              </w:rPr>
            </w:pPr>
          </w:p>
        </w:tc>
        <w:tc>
          <w:tcPr>
            <w:tcW w:w="4484" w:type="dxa"/>
            <w:gridSpan w:val="3"/>
            <w:vAlign w:val="bottom"/>
          </w:tcPr>
          <w:p w:rsidRPr="009C48DA" w:rsidR="00661519" w:rsidP="00661519" w:rsidRDefault="00661519" w14:paraId="6191753B"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Year ended 31 December</w:t>
            </w:r>
          </w:p>
        </w:tc>
        <w:tc>
          <w:tcPr>
            <w:tcW w:w="1212" w:type="dxa"/>
            <w:vAlign w:val="bottom"/>
          </w:tcPr>
          <w:p w:rsidRPr="009C48DA" w:rsidR="00661519" w:rsidP="00661519" w:rsidRDefault="00661519" w14:paraId="244B4515"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Three month period ended 31 March</w:t>
            </w:r>
            <w:r w:rsidRPr="009C48DA">
              <w:rPr>
                <w:rFonts w:eastAsia="Times New Roman"/>
                <w:b/>
                <w:color w:val="000000"/>
                <w:sz w:val="16"/>
                <w:szCs w:val="16"/>
                <w:lang w:val="en-GB"/>
              </w:rPr>
              <w:t xml:space="preserve"> </w:t>
            </w:r>
          </w:p>
        </w:tc>
      </w:tr>
      <w:tr w:rsidRPr="009C48DA" w:rsidR="00661519" w:rsidTr="00661519" w14:paraId="3C88F0C5" w14:textId="77777777">
        <w:tc>
          <w:tcPr>
            <w:tcW w:w="3544" w:type="dxa"/>
            <w:vAlign w:val="bottom"/>
          </w:tcPr>
          <w:p w:rsidRPr="009C48DA" w:rsidR="00661519" w:rsidP="00661519" w:rsidRDefault="00661519" w14:paraId="58408664" w14:textId="77777777">
            <w:pPr>
              <w:jc w:val="both"/>
              <w:textAlignment w:val="baseline"/>
              <w:rPr>
                <w:rFonts w:eastAsia="Times New Roman"/>
                <w:b/>
                <w:color w:val="000000"/>
                <w:sz w:val="16"/>
                <w:lang w:val="en-GB"/>
              </w:rPr>
            </w:pPr>
          </w:p>
        </w:tc>
        <w:tc>
          <w:tcPr>
            <w:tcW w:w="2062" w:type="dxa"/>
            <w:vAlign w:val="bottom"/>
          </w:tcPr>
          <w:p w:rsidRPr="009C48DA" w:rsidR="00661519" w:rsidP="00661519" w:rsidRDefault="00661519" w14:paraId="3E7089DD"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7E65AD76"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1" w:type="dxa"/>
            <w:vAlign w:val="bottom"/>
          </w:tcPr>
          <w:p w:rsidRPr="009C48DA" w:rsidR="00661519" w:rsidP="00661519" w:rsidRDefault="00661519" w14:paraId="1DBC8154"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63BA37EC"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1" w:type="dxa"/>
          </w:tcPr>
          <w:p w:rsidRPr="009C48DA" w:rsidR="00661519" w:rsidP="00661519" w:rsidRDefault="00661519" w14:paraId="7A0052B7"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79722B97"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2" w:type="dxa"/>
            <w:vAlign w:val="bottom"/>
          </w:tcPr>
          <w:p w:rsidRPr="009C48DA" w:rsidR="00661519" w:rsidP="00661519" w:rsidRDefault="00661519" w14:paraId="2BFF3C76"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79BF5767"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4D25DC98" w14:textId="77777777">
        <w:tc>
          <w:tcPr>
            <w:tcW w:w="3544" w:type="dxa"/>
            <w:vAlign w:val="center"/>
          </w:tcPr>
          <w:p w:rsidRPr="009C48DA" w:rsidR="00661519" w:rsidP="00661519" w:rsidRDefault="00661519" w14:paraId="6C899433" w14:textId="77777777">
            <w:pPr>
              <w:jc w:val="both"/>
              <w:textAlignment w:val="baseline"/>
              <w:rPr>
                <w:rFonts w:eastAsia="Times New Roman"/>
                <w:b/>
                <w:color w:val="000000"/>
                <w:sz w:val="16"/>
                <w:lang w:val="en-GB"/>
              </w:rPr>
            </w:pPr>
            <w:r w:rsidRPr="009C48DA">
              <w:rPr>
                <w:rFonts w:eastAsia="Times New Roman"/>
                <w:b/>
                <w:color w:val="000000"/>
                <w:sz w:val="16"/>
                <w:lang w:val="en-GB"/>
              </w:rPr>
              <w:t>Level 3 financial liabilities at fair value through profit or loss:</w:t>
            </w:r>
          </w:p>
        </w:tc>
        <w:tc>
          <w:tcPr>
            <w:tcW w:w="2062" w:type="dxa"/>
            <w:vAlign w:val="center"/>
          </w:tcPr>
          <w:p w:rsidRPr="009C48DA" w:rsidR="00661519" w:rsidP="00661519" w:rsidRDefault="00661519" w14:paraId="7507522C" w14:textId="77777777">
            <w:pPr>
              <w:jc w:val="right"/>
              <w:textAlignment w:val="baseline"/>
              <w:rPr>
                <w:rFonts w:eastAsia="Times New Roman"/>
                <w:color w:val="000000"/>
                <w:sz w:val="16"/>
                <w:lang w:val="en-GB"/>
              </w:rPr>
            </w:pPr>
          </w:p>
        </w:tc>
        <w:tc>
          <w:tcPr>
            <w:tcW w:w="1211" w:type="dxa"/>
            <w:vAlign w:val="center"/>
          </w:tcPr>
          <w:p w:rsidRPr="009C48DA" w:rsidR="00661519" w:rsidP="00661519" w:rsidRDefault="00661519" w14:paraId="34E866AF" w14:textId="77777777">
            <w:pPr>
              <w:jc w:val="right"/>
              <w:textAlignment w:val="baseline"/>
              <w:rPr>
                <w:rFonts w:eastAsia="Times New Roman"/>
                <w:color w:val="000000"/>
                <w:sz w:val="16"/>
                <w:lang w:val="en-GB"/>
              </w:rPr>
            </w:pPr>
          </w:p>
        </w:tc>
        <w:tc>
          <w:tcPr>
            <w:tcW w:w="1211" w:type="dxa"/>
            <w:vAlign w:val="center"/>
          </w:tcPr>
          <w:p w:rsidRPr="009C48DA" w:rsidR="00661519" w:rsidP="00661519" w:rsidRDefault="00661519" w14:paraId="52B8156D" w14:textId="77777777">
            <w:pPr>
              <w:jc w:val="right"/>
              <w:textAlignment w:val="baseline"/>
              <w:rPr>
                <w:rFonts w:eastAsia="Times New Roman"/>
                <w:color w:val="000000"/>
                <w:sz w:val="16"/>
                <w:lang w:val="en-GB"/>
              </w:rPr>
            </w:pPr>
          </w:p>
        </w:tc>
        <w:tc>
          <w:tcPr>
            <w:tcW w:w="1212" w:type="dxa"/>
            <w:vAlign w:val="center"/>
          </w:tcPr>
          <w:p w:rsidRPr="009C48DA" w:rsidR="00661519" w:rsidP="00661519" w:rsidRDefault="00661519" w14:paraId="7B1AC5DE" w14:textId="77777777">
            <w:pPr>
              <w:jc w:val="right"/>
              <w:textAlignment w:val="baseline"/>
              <w:rPr>
                <w:rFonts w:eastAsia="Times New Roman"/>
                <w:color w:val="000000"/>
                <w:sz w:val="16"/>
                <w:lang w:val="en-GB"/>
              </w:rPr>
            </w:pPr>
          </w:p>
        </w:tc>
      </w:tr>
      <w:tr w:rsidRPr="009C48DA" w:rsidR="00661519" w:rsidTr="00661519" w14:paraId="4083251B" w14:textId="77777777">
        <w:tc>
          <w:tcPr>
            <w:tcW w:w="3544" w:type="dxa"/>
            <w:vAlign w:val="center"/>
          </w:tcPr>
          <w:p w:rsidRPr="009C48DA" w:rsidR="00661519" w:rsidP="00661519" w:rsidRDefault="00661519" w14:paraId="408C924E" w14:textId="77777777">
            <w:pPr>
              <w:jc w:val="both"/>
              <w:textAlignment w:val="baseline"/>
              <w:rPr>
                <w:rFonts w:eastAsia="Times New Roman"/>
                <w:color w:val="000000"/>
                <w:sz w:val="16"/>
                <w:lang w:val="en-GB"/>
              </w:rPr>
            </w:pPr>
            <w:r w:rsidRPr="009C48DA">
              <w:rPr>
                <w:rFonts w:eastAsia="Times New Roman"/>
                <w:color w:val="000000"/>
                <w:sz w:val="16"/>
                <w:lang w:val="en-GB"/>
              </w:rPr>
              <w:t>Deferred contingent consideration</w:t>
            </w:r>
          </w:p>
        </w:tc>
        <w:tc>
          <w:tcPr>
            <w:tcW w:w="2062" w:type="dxa"/>
            <w:vAlign w:val="center"/>
          </w:tcPr>
          <w:p w:rsidRPr="009C48DA" w:rsidR="00661519" w:rsidP="00661519" w:rsidRDefault="00661519" w14:paraId="6BD58111"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78C554FF"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455AA329" w14:textId="77777777">
            <w:pPr>
              <w:jc w:val="right"/>
              <w:textAlignment w:val="baseline"/>
              <w:rPr>
                <w:rFonts w:eastAsia="Times New Roman"/>
                <w:color w:val="000000"/>
                <w:sz w:val="16"/>
                <w:lang w:val="en-GB"/>
              </w:rPr>
            </w:pPr>
            <w:r w:rsidRPr="009C48DA">
              <w:rPr>
                <w:rFonts w:eastAsia="Times New Roman"/>
                <w:color w:val="000000"/>
                <w:sz w:val="16"/>
                <w:lang w:val="en-GB"/>
              </w:rPr>
              <w:t>31,563</w:t>
            </w:r>
          </w:p>
        </w:tc>
        <w:tc>
          <w:tcPr>
            <w:tcW w:w="1212" w:type="dxa"/>
            <w:vAlign w:val="center"/>
          </w:tcPr>
          <w:p w:rsidRPr="009C48DA" w:rsidR="00661519" w:rsidP="00661519" w:rsidRDefault="00661519" w14:paraId="413244B8" w14:textId="77777777">
            <w:pPr>
              <w:jc w:val="right"/>
              <w:textAlignment w:val="baseline"/>
              <w:rPr>
                <w:rFonts w:eastAsia="Times New Roman"/>
                <w:color w:val="000000"/>
                <w:sz w:val="16"/>
                <w:lang w:val="en-GB"/>
              </w:rPr>
            </w:pPr>
            <w:r w:rsidRPr="009C48DA">
              <w:rPr>
                <w:rFonts w:eastAsia="Times New Roman"/>
                <w:color w:val="000000"/>
                <w:sz w:val="16"/>
                <w:lang w:val="en-GB"/>
              </w:rPr>
              <w:t>30,423</w:t>
            </w:r>
          </w:p>
        </w:tc>
      </w:tr>
      <w:tr w:rsidRPr="009C48DA" w:rsidR="00661519" w:rsidTr="00661519" w14:paraId="008CAD92" w14:textId="77777777">
        <w:tc>
          <w:tcPr>
            <w:tcW w:w="3544" w:type="dxa"/>
            <w:vAlign w:val="center"/>
          </w:tcPr>
          <w:p w:rsidRPr="009C48DA" w:rsidR="00661519" w:rsidP="00661519" w:rsidRDefault="00661519" w14:paraId="0233439F" w14:textId="77777777">
            <w:pPr>
              <w:jc w:val="both"/>
              <w:textAlignment w:val="baseline"/>
              <w:rPr>
                <w:rFonts w:eastAsia="Times New Roman"/>
                <w:color w:val="000000"/>
                <w:sz w:val="16"/>
                <w:lang w:val="en-GB"/>
              </w:rPr>
            </w:pPr>
            <w:r w:rsidRPr="009C48DA">
              <w:rPr>
                <w:rFonts w:eastAsia="Times New Roman"/>
                <w:color w:val="000000"/>
                <w:sz w:val="16"/>
                <w:lang w:val="en-GB"/>
              </w:rPr>
              <w:t>CLO liabilities</w:t>
            </w:r>
          </w:p>
        </w:tc>
        <w:tc>
          <w:tcPr>
            <w:tcW w:w="2062" w:type="dxa"/>
            <w:vAlign w:val="center"/>
          </w:tcPr>
          <w:p w:rsidRPr="009C48DA" w:rsidR="00661519" w:rsidP="00661519" w:rsidRDefault="00661519" w14:paraId="03B5D0D4"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711912FB"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69FA2055" w14:textId="77777777">
            <w:pPr>
              <w:jc w:val="right"/>
              <w:textAlignment w:val="baseline"/>
              <w:rPr>
                <w:rFonts w:eastAsia="Times New Roman"/>
                <w:color w:val="000000"/>
                <w:sz w:val="16"/>
                <w:lang w:val="en-GB"/>
              </w:rPr>
            </w:pPr>
            <w:r w:rsidRPr="009C48DA">
              <w:rPr>
                <w:rFonts w:eastAsia="Times New Roman"/>
                <w:color w:val="000000"/>
                <w:sz w:val="16"/>
                <w:lang w:val="en-GB"/>
              </w:rPr>
              <w:t>37,813</w:t>
            </w:r>
          </w:p>
        </w:tc>
        <w:tc>
          <w:tcPr>
            <w:tcW w:w="1212" w:type="dxa"/>
            <w:vAlign w:val="center"/>
          </w:tcPr>
          <w:p w:rsidRPr="009C48DA" w:rsidR="00661519" w:rsidP="00661519" w:rsidRDefault="00661519" w14:paraId="3BB742DB" w14:textId="77777777">
            <w:pPr>
              <w:jc w:val="right"/>
              <w:textAlignment w:val="baseline"/>
              <w:rPr>
                <w:rFonts w:eastAsia="Times New Roman"/>
                <w:color w:val="000000"/>
                <w:sz w:val="16"/>
                <w:lang w:val="en-GB"/>
              </w:rPr>
            </w:pPr>
            <w:r w:rsidRPr="009C48DA">
              <w:rPr>
                <w:rFonts w:eastAsia="Times New Roman"/>
                <w:color w:val="000000"/>
                <w:sz w:val="16"/>
                <w:lang w:val="en-GB"/>
              </w:rPr>
              <w:t>38,646</w:t>
            </w:r>
          </w:p>
        </w:tc>
      </w:tr>
      <w:tr w:rsidRPr="009C48DA" w:rsidR="00661519" w:rsidTr="00661519" w14:paraId="7D719600" w14:textId="77777777">
        <w:tc>
          <w:tcPr>
            <w:tcW w:w="3544" w:type="dxa"/>
            <w:vAlign w:val="center"/>
          </w:tcPr>
          <w:p w:rsidRPr="009C48DA" w:rsidR="00661519" w:rsidP="00661519" w:rsidRDefault="00661519" w14:paraId="2FEB5DA2" w14:textId="77777777">
            <w:pPr>
              <w:jc w:val="both"/>
              <w:textAlignment w:val="baseline"/>
              <w:rPr>
                <w:rFonts w:eastAsia="Times New Roman"/>
                <w:color w:val="000000"/>
                <w:sz w:val="16"/>
                <w:lang w:val="en-GB"/>
              </w:rPr>
            </w:pPr>
            <w:r w:rsidRPr="009C48DA">
              <w:rPr>
                <w:rFonts w:eastAsia="Times New Roman"/>
                <w:color w:val="000000"/>
                <w:sz w:val="16"/>
                <w:lang w:val="en-GB"/>
              </w:rPr>
              <w:t>Other financial liabilities</w:t>
            </w:r>
          </w:p>
        </w:tc>
        <w:tc>
          <w:tcPr>
            <w:tcW w:w="2062" w:type="dxa"/>
            <w:vAlign w:val="center"/>
          </w:tcPr>
          <w:p w:rsidRPr="009C48DA" w:rsidR="00661519" w:rsidP="00661519" w:rsidRDefault="00661519" w14:paraId="7373CE0A"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2,096</w:t>
            </w:r>
          </w:p>
        </w:tc>
        <w:tc>
          <w:tcPr>
            <w:tcW w:w="1211" w:type="dxa"/>
            <w:vAlign w:val="center"/>
          </w:tcPr>
          <w:p w:rsidRPr="009C48DA" w:rsidR="00661519" w:rsidP="00661519" w:rsidRDefault="00661519" w14:paraId="3CB45832"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2,840</w:t>
            </w:r>
          </w:p>
        </w:tc>
        <w:tc>
          <w:tcPr>
            <w:tcW w:w="1211" w:type="dxa"/>
            <w:vAlign w:val="center"/>
          </w:tcPr>
          <w:p w:rsidRPr="009C48DA" w:rsidR="00661519" w:rsidP="00661519" w:rsidRDefault="00661519" w14:paraId="6DA85073"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3,821</w:t>
            </w:r>
          </w:p>
        </w:tc>
        <w:tc>
          <w:tcPr>
            <w:tcW w:w="1212" w:type="dxa"/>
            <w:vAlign w:val="center"/>
          </w:tcPr>
          <w:p w:rsidRPr="009C48DA" w:rsidR="00661519" w:rsidP="00661519" w:rsidRDefault="00661519" w14:paraId="6D234742"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5,762</w:t>
            </w:r>
          </w:p>
        </w:tc>
      </w:tr>
      <w:tr w:rsidRPr="009C48DA" w:rsidR="00661519" w:rsidTr="00661519" w14:paraId="38F36A1E" w14:textId="77777777">
        <w:tc>
          <w:tcPr>
            <w:tcW w:w="3544" w:type="dxa"/>
            <w:vAlign w:val="center"/>
          </w:tcPr>
          <w:p w:rsidRPr="009C48DA" w:rsidR="00661519" w:rsidP="00661519" w:rsidRDefault="00661519" w14:paraId="099474EA" w14:textId="77777777">
            <w:pPr>
              <w:spacing w:before="120"/>
              <w:textAlignment w:val="baseline"/>
              <w:rPr>
                <w:rFonts w:eastAsia="Times New Roman"/>
                <w:b/>
                <w:color w:val="000000"/>
                <w:sz w:val="16"/>
                <w:lang w:val="en-GB"/>
              </w:rPr>
            </w:pPr>
            <w:r w:rsidRPr="009C48DA">
              <w:rPr>
                <w:rFonts w:eastAsia="Times New Roman"/>
                <w:b/>
                <w:color w:val="000000"/>
                <w:sz w:val="16"/>
                <w:lang w:val="en-GB"/>
              </w:rPr>
              <w:t>Total</w:t>
            </w:r>
          </w:p>
        </w:tc>
        <w:tc>
          <w:tcPr>
            <w:tcW w:w="2062" w:type="dxa"/>
            <w:vAlign w:val="center"/>
          </w:tcPr>
          <w:p w:rsidRPr="009C48DA" w:rsidR="00661519" w:rsidP="00661519" w:rsidRDefault="00661519" w14:paraId="1F55F2AD"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2,096</w:t>
            </w:r>
          </w:p>
        </w:tc>
        <w:tc>
          <w:tcPr>
            <w:tcW w:w="1211" w:type="dxa"/>
            <w:vAlign w:val="center"/>
          </w:tcPr>
          <w:p w:rsidRPr="009C48DA" w:rsidR="00661519" w:rsidP="00661519" w:rsidRDefault="00661519" w14:paraId="3F4B9D21"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2,840</w:t>
            </w:r>
          </w:p>
        </w:tc>
        <w:tc>
          <w:tcPr>
            <w:tcW w:w="1211" w:type="dxa"/>
            <w:vAlign w:val="center"/>
          </w:tcPr>
          <w:p w:rsidRPr="009C48DA" w:rsidR="00661519" w:rsidP="00661519" w:rsidRDefault="00661519" w14:paraId="52D7E35D"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73,197</w:t>
            </w:r>
          </w:p>
        </w:tc>
        <w:tc>
          <w:tcPr>
            <w:tcW w:w="1212" w:type="dxa"/>
            <w:vAlign w:val="center"/>
          </w:tcPr>
          <w:p w:rsidRPr="009C48DA" w:rsidR="00661519" w:rsidP="00661519" w:rsidRDefault="00661519" w14:paraId="3F3A4199"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74,831</w:t>
            </w:r>
          </w:p>
        </w:tc>
      </w:tr>
    </w:tbl>
    <w:p w:rsidRPr="009C48DA" w:rsidR="00661519" w:rsidP="00661519" w:rsidRDefault="00661519" w14:paraId="6D3ACB13" w14:textId="77777777">
      <w:pPr>
        <w:textAlignment w:val="baseline"/>
        <w:rPr>
          <w:rFonts w:eastAsia="Times New Roman" w:cs="Times New Roman"/>
          <w:color w:val="000000"/>
          <w:sz w:val="16"/>
          <w:szCs w:val="22"/>
          <w:lang w:val="en-GB"/>
        </w:rPr>
      </w:pPr>
    </w:p>
    <w:p w:rsidRPr="009C48DA" w:rsidR="00661519" w:rsidP="00661519" w:rsidRDefault="00661519" w14:paraId="690E6131"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lastRenderedPageBreak/>
        <w:t xml:space="preserve">A reconciliation of level 3 fair values for CLO liabilities at fair value through profit or loss is set out in the table below. A reconciliation is </w:t>
      </w:r>
      <w:r w:rsidRPr="009C48DA">
        <w:rPr>
          <w:rFonts w:eastAsia="Times New Roman" w:cs="Times New Roman"/>
          <w:color w:val="000000"/>
          <w:sz w:val="16"/>
          <w:szCs w:val="22"/>
          <w:lang w:val="en-GB"/>
        </w:rPr>
        <w:br/>
        <w:t xml:space="preserve">not provided for the deferred contingent consideration on the basis that the movement between 31 December 2020 and 31 March 2021 </w:t>
      </w:r>
      <w:r w:rsidRPr="009C48DA">
        <w:rPr>
          <w:rFonts w:eastAsia="Times New Roman" w:cs="Times New Roman"/>
          <w:color w:val="000000"/>
          <w:sz w:val="16"/>
          <w:szCs w:val="22"/>
          <w:lang w:val="en-GB"/>
        </w:rPr>
        <w:br/>
        <w:t xml:space="preserve">relates to foreign exchange movements and the other financial liabilities do not represent a material balance. </w:t>
      </w:r>
    </w:p>
    <w:p w:rsidRPr="009C48DA" w:rsidR="00661519" w:rsidP="00661519" w:rsidRDefault="00661519" w14:paraId="67B38EC8" w14:textId="77777777">
      <w:pPr>
        <w:textAlignment w:val="baseline"/>
        <w:rPr>
          <w:rFonts w:eastAsia="Times New Roman" w:cs="Times New Roman"/>
          <w:color w:val="000000"/>
          <w:sz w:val="16"/>
          <w:szCs w:val="22"/>
          <w:lang w:val="en-GB"/>
        </w:rPr>
      </w:pPr>
    </w:p>
    <w:tbl>
      <w:tblPr>
        <w:tblStyle w:val="TableGrid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544"/>
        <w:gridCol w:w="2062"/>
        <w:gridCol w:w="1211"/>
        <w:gridCol w:w="1211"/>
        <w:gridCol w:w="1212"/>
      </w:tblGrid>
      <w:tr w:rsidRPr="009C48DA" w:rsidR="00661519" w:rsidTr="00661519" w14:paraId="1D6447A2" w14:textId="77777777">
        <w:tc>
          <w:tcPr>
            <w:tcW w:w="3544" w:type="dxa"/>
            <w:vAlign w:val="bottom"/>
          </w:tcPr>
          <w:p w:rsidRPr="009C48DA" w:rsidR="00661519" w:rsidP="00661519" w:rsidRDefault="00661519" w14:paraId="6E7983C4" w14:textId="77777777">
            <w:pPr>
              <w:jc w:val="both"/>
              <w:textAlignment w:val="baseline"/>
              <w:rPr>
                <w:rFonts w:eastAsia="Times New Roman"/>
                <w:b/>
                <w:color w:val="000000"/>
                <w:sz w:val="16"/>
                <w:szCs w:val="16"/>
                <w:lang w:val="en-GB"/>
              </w:rPr>
            </w:pPr>
          </w:p>
        </w:tc>
        <w:tc>
          <w:tcPr>
            <w:tcW w:w="4484" w:type="dxa"/>
            <w:gridSpan w:val="3"/>
            <w:vAlign w:val="bottom"/>
          </w:tcPr>
          <w:p w:rsidRPr="009C48DA" w:rsidR="00661519" w:rsidP="00661519" w:rsidRDefault="00661519" w14:paraId="46C0F2BC"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Year ended 31 December</w:t>
            </w:r>
          </w:p>
        </w:tc>
        <w:tc>
          <w:tcPr>
            <w:tcW w:w="1212" w:type="dxa"/>
            <w:vAlign w:val="bottom"/>
          </w:tcPr>
          <w:p w:rsidRPr="009C48DA" w:rsidR="00661519" w:rsidP="00661519" w:rsidRDefault="00661519" w14:paraId="732CEBF0"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Three month period ended 31 March</w:t>
            </w:r>
            <w:r w:rsidRPr="009C48DA">
              <w:rPr>
                <w:rFonts w:eastAsia="Times New Roman"/>
                <w:b/>
                <w:color w:val="000000"/>
                <w:sz w:val="16"/>
                <w:szCs w:val="16"/>
                <w:lang w:val="en-GB"/>
              </w:rPr>
              <w:t xml:space="preserve"> </w:t>
            </w:r>
          </w:p>
        </w:tc>
      </w:tr>
      <w:tr w:rsidRPr="009C48DA" w:rsidR="00661519" w:rsidTr="00661519" w14:paraId="7BA62A7B" w14:textId="77777777">
        <w:tc>
          <w:tcPr>
            <w:tcW w:w="3544" w:type="dxa"/>
            <w:vAlign w:val="bottom"/>
          </w:tcPr>
          <w:p w:rsidRPr="009C48DA" w:rsidR="00661519" w:rsidP="00661519" w:rsidRDefault="00661519" w14:paraId="2B1CC5A1" w14:textId="77777777">
            <w:pPr>
              <w:jc w:val="both"/>
              <w:textAlignment w:val="baseline"/>
              <w:rPr>
                <w:rFonts w:eastAsia="Times New Roman"/>
                <w:b/>
                <w:color w:val="000000"/>
                <w:sz w:val="16"/>
                <w:lang w:val="en-GB"/>
              </w:rPr>
            </w:pPr>
          </w:p>
        </w:tc>
        <w:tc>
          <w:tcPr>
            <w:tcW w:w="2062" w:type="dxa"/>
            <w:vAlign w:val="bottom"/>
          </w:tcPr>
          <w:p w:rsidRPr="009C48DA" w:rsidR="00661519" w:rsidP="00661519" w:rsidRDefault="00661519" w14:paraId="09D678AC"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03E02765"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1" w:type="dxa"/>
            <w:vAlign w:val="bottom"/>
          </w:tcPr>
          <w:p w:rsidRPr="009C48DA" w:rsidR="00661519" w:rsidP="00661519" w:rsidRDefault="00661519" w14:paraId="4953F70D"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353991C1"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1" w:type="dxa"/>
          </w:tcPr>
          <w:p w:rsidRPr="009C48DA" w:rsidR="00661519" w:rsidP="00661519" w:rsidRDefault="00661519" w14:paraId="7C995F65"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22ED8E12"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212" w:type="dxa"/>
            <w:vAlign w:val="bottom"/>
          </w:tcPr>
          <w:p w:rsidRPr="009C48DA" w:rsidR="00661519" w:rsidP="00661519" w:rsidRDefault="00661519" w14:paraId="0E6FFD11"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794C3550" w14:textId="77777777">
            <w:pPr>
              <w:jc w:val="right"/>
              <w:textAlignment w:val="baseline"/>
              <w:rPr>
                <w:rFonts w:eastAsia="Times New Roman"/>
                <w:b/>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3C9B4E63" w14:textId="77777777">
        <w:tc>
          <w:tcPr>
            <w:tcW w:w="3544" w:type="dxa"/>
            <w:vAlign w:val="center"/>
          </w:tcPr>
          <w:p w:rsidRPr="009C48DA" w:rsidR="00661519" w:rsidP="00661519" w:rsidRDefault="00661519" w14:paraId="30B8AA98" w14:textId="77777777">
            <w:pPr>
              <w:jc w:val="both"/>
              <w:textAlignment w:val="baseline"/>
              <w:rPr>
                <w:rFonts w:eastAsia="Times New Roman"/>
                <w:b/>
                <w:color w:val="000000"/>
                <w:sz w:val="16"/>
                <w:lang w:val="en-GB"/>
              </w:rPr>
            </w:pPr>
            <w:r w:rsidRPr="009C48DA">
              <w:rPr>
                <w:rFonts w:eastAsia="Times New Roman"/>
                <w:b/>
                <w:color w:val="000000"/>
                <w:sz w:val="16"/>
                <w:lang w:val="en-GB"/>
              </w:rPr>
              <w:t xml:space="preserve">Movement in CLO liabilities at fair value through profit or loss which are level 3: </w:t>
            </w:r>
          </w:p>
        </w:tc>
        <w:tc>
          <w:tcPr>
            <w:tcW w:w="2062" w:type="dxa"/>
            <w:vAlign w:val="center"/>
          </w:tcPr>
          <w:p w:rsidRPr="009C48DA" w:rsidR="00661519" w:rsidP="00661519" w:rsidRDefault="00661519" w14:paraId="37755113" w14:textId="77777777">
            <w:pPr>
              <w:jc w:val="right"/>
              <w:textAlignment w:val="baseline"/>
              <w:rPr>
                <w:rFonts w:eastAsia="Times New Roman"/>
                <w:color w:val="000000"/>
                <w:sz w:val="16"/>
                <w:lang w:val="en-GB"/>
              </w:rPr>
            </w:pPr>
          </w:p>
        </w:tc>
        <w:tc>
          <w:tcPr>
            <w:tcW w:w="1211" w:type="dxa"/>
            <w:vAlign w:val="center"/>
          </w:tcPr>
          <w:p w:rsidRPr="009C48DA" w:rsidR="00661519" w:rsidP="00661519" w:rsidRDefault="00661519" w14:paraId="2AB42729" w14:textId="77777777">
            <w:pPr>
              <w:jc w:val="right"/>
              <w:textAlignment w:val="baseline"/>
              <w:rPr>
                <w:rFonts w:eastAsia="Times New Roman"/>
                <w:color w:val="000000"/>
                <w:sz w:val="16"/>
                <w:lang w:val="en-GB"/>
              </w:rPr>
            </w:pPr>
          </w:p>
        </w:tc>
        <w:tc>
          <w:tcPr>
            <w:tcW w:w="1211" w:type="dxa"/>
            <w:vAlign w:val="center"/>
          </w:tcPr>
          <w:p w:rsidRPr="009C48DA" w:rsidR="00661519" w:rsidP="00661519" w:rsidRDefault="00661519" w14:paraId="5C4F20E4" w14:textId="77777777">
            <w:pPr>
              <w:jc w:val="right"/>
              <w:textAlignment w:val="baseline"/>
              <w:rPr>
                <w:rFonts w:eastAsia="Times New Roman"/>
                <w:color w:val="000000"/>
                <w:sz w:val="16"/>
                <w:lang w:val="en-GB"/>
              </w:rPr>
            </w:pPr>
          </w:p>
        </w:tc>
        <w:tc>
          <w:tcPr>
            <w:tcW w:w="1212" w:type="dxa"/>
            <w:vAlign w:val="center"/>
          </w:tcPr>
          <w:p w:rsidRPr="009C48DA" w:rsidR="00661519" w:rsidP="00661519" w:rsidRDefault="00661519" w14:paraId="62ADB23A" w14:textId="77777777">
            <w:pPr>
              <w:jc w:val="right"/>
              <w:textAlignment w:val="baseline"/>
              <w:rPr>
                <w:rFonts w:eastAsia="Times New Roman"/>
                <w:color w:val="000000"/>
                <w:sz w:val="16"/>
                <w:lang w:val="en-GB"/>
              </w:rPr>
            </w:pPr>
          </w:p>
        </w:tc>
      </w:tr>
      <w:tr w:rsidRPr="009C48DA" w:rsidR="00661519" w:rsidTr="00661519" w14:paraId="5294B784" w14:textId="77777777">
        <w:tc>
          <w:tcPr>
            <w:tcW w:w="3544" w:type="dxa"/>
            <w:vAlign w:val="center"/>
          </w:tcPr>
          <w:p w:rsidRPr="009C48DA" w:rsidR="00661519" w:rsidP="00661519" w:rsidRDefault="00661519" w14:paraId="2D1AF459" w14:textId="77777777">
            <w:pPr>
              <w:jc w:val="both"/>
              <w:textAlignment w:val="baseline"/>
              <w:rPr>
                <w:rFonts w:eastAsia="Times New Roman"/>
                <w:color w:val="000000"/>
                <w:sz w:val="16"/>
                <w:lang w:val="en-GB"/>
              </w:rPr>
            </w:pPr>
            <w:r w:rsidRPr="009C48DA">
              <w:rPr>
                <w:rFonts w:eastAsia="Times New Roman"/>
                <w:color w:val="000000"/>
                <w:sz w:val="16"/>
                <w:lang w:val="en-GB"/>
              </w:rPr>
              <w:t>Opening balance</w:t>
            </w:r>
          </w:p>
        </w:tc>
        <w:tc>
          <w:tcPr>
            <w:tcW w:w="2062" w:type="dxa"/>
            <w:vAlign w:val="center"/>
          </w:tcPr>
          <w:p w:rsidRPr="009C48DA" w:rsidR="00661519" w:rsidP="00661519" w:rsidRDefault="00661519" w14:paraId="7E1CBFA3"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2FF0D118"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44924961"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2" w:type="dxa"/>
            <w:vAlign w:val="center"/>
          </w:tcPr>
          <w:p w:rsidRPr="009C48DA" w:rsidR="00661519" w:rsidP="00661519" w:rsidRDefault="00661519" w14:paraId="3B15E8E7" w14:textId="77777777">
            <w:pPr>
              <w:jc w:val="right"/>
              <w:textAlignment w:val="baseline"/>
              <w:rPr>
                <w:rFonts w:eastAsia="Times New Roman"/>
                <w:color w:val="000000"/>
                <w:sz w:val="16"/>
                <w:lang w:val="en-GB"/>
              </w:rPr>
            </w:pPr>
            <w:r w:rsidRPr="009C48DA">
              <w:rPr>
                <w:rFonts w:eastAsia="Times New Roman"/>
                <w:color w:val="000000"/>
                <w:sz w:val="16"/>
                <w:lang w:val="en-GB"/>
              </w:rPr>
              <w:t>37,813</w:t>
            </w:r>
          </w:p>
        </w:tc>
      </w:tr>
      <w:tr w:rsidRPr="009C48DA" w:rsidR="00661519" w:rsidTr="00661519" w14:paraId="4993A4FB" w14:textId="77777777">
        <w:tc>
          <w:tcPr>
            <w:tcW w:w="3544" w:type="dxa"/>
            <w:vAlign w:val="center"/>
          </w:tcPr>
          <w:p w:rsidRPr="009C48DA" w:rsidR="00661519" w:rsidP="00661519" w:rsidRDefault="00661519" w14:paraId="2E511560" w14:textId="77777777">
            <w:pPr>
              <w:jc w:val="both"/>
              <w:textAlignment w:val="baseline"/>
              <w:rPr>
                <w:rFonts w:eastAsia="Times New Roman"/>
                <w:color w:val="000000"/>
                <w:sz w:val="16"/>
                <w:lang w:val="en-GB"/>
              </w:rPr>
            </w:pPr>
            <w:r w:rsidRPr="009C48DA">
              <w:rPr>
                <w:rFonts w:eastAsia="Times New Roman"/>
                <w:color w:val="000000"/>
                <w:sz w:val="16"/>
                <w:lang w:val="en-GB"/>
              </w:rPr>
              <w:t>On acquisition</w:t>
            </w:r>
          </w:p>
        </w:tc>
        <w:tc>
          <w:tcPr>
            <w:tcW w:w="2062" w:type="dxa"/>
            <w:vAlign w:val="center"/>
          </w:tcPr>
          <w:p w:rsidRPr="009C48DA" w:rsidR="00661519" w:rsidP="00661519" w:rsidRDefault="00661519" w14:paraId="77ADD638"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63001415"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150F5FA5" w14:textId="77777777">
            <w:pPr>
              <w:jc w:val="right"/>
              <w:textAlignment w:val="baseline"/>
              <w:rPr>
                <w:rFonts w:eastAsia="Times New Roman"/>
                <w:color w:val="000000"/>
                <w:sz w:val="16"/>
                <w:lang w:val="en-GB"/>
              </w:rPr>
            </w:pPr>
            <w:r w:rsidRPr="009C48DA">
              <w:rPr>
                <w:rFonts w:eastAsia="Times New Roman"/>
                <w:color w:val="000000"/>
                <w:sz w:val="16"/>
                <w:lang w:val="en-GB"/>
              </w:rPr>
              <w:t>24,471</w:t>
            </w:r>
          </w:p>
        </w:tc>
        <w:tc>
          <w:tcPr>
            <w:tcW w:w="1212" w:type="dxa"/>
            <w:vAlign w:val="center"/>
          </w:tcPr>
          <w:p w:rsidRPr="009C48DA" w:rsidR="00661519" w:rsidP="00661519" w:rsidRDefault="00661519" w14:paraId="09D4F3A5"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52BAF6E0" w14:textId="77777777">
        <w:tc>
          <w:tcPr>
            <w:tcW w:w="3544" w:type="dxa"/>
            <w:vAlign w:val="center"/>
          </w:tcPr>
          <w:p w:rsidRPr="009C48DA" w:rsidR="00661519" w:rsidP="00661519" w:rsidRDefault="00661519" w14:paraId="402D192F" w14:textId="77777777">
            <w:pPr>
              <w:jc w:val="both"/>
              <w:textAlignment w:val="baseline"/>
              <w:rPr>
                <w:rFonts w:eastAsia="Times New Roman"/>
                <w:color w:val="000000"/>
                <w:sz w:val="16"/>
                <w:lang w:val="en-GB"/>
              </w:rPr>
            </w:pPr>
            <w:r w:rsidRPr="009C48DA">
              <w:rPr>
                <w:rFonts w:eastAsia="Times New Roman"/>
                <w:color w:val="000000"/>
                <w:sz w:val="16"/>
                <w:lang w:val="en-GB"/>
              </w:rPr>
              <w:t>Repayment</w:t>
            </w:r>
          </w:p>
        </w:tc>
        <w:tc>
          <w:tcPr>
            <w:tcW w:w="2062" w:type="dxa"/>
            <w:vAlign w:val="center"/>
          </w:tcPr>
          <w:p w:rsidRPr="009C48DA" w:rsidR="00661519" w:rsidP="00661519" w:rsidRDefault="00661519" w14:paraId="1D2BFE69"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3BCBCFEC"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14F4590B" w14:textId="77777777">
            <w:pPr>
              <w:jc w:val="right"/>
              <w:textAlignment w:val="baseline"/>
              <w:rPr>
                <w:rFonts w:eastAsia="Times New Roman"/>
                <w:color w:val="000000"/>
                <w:sz w:val="16"/>
                <w:lang w:val="en-GB"/>
              </w:rPr>
            </w:pPr>
            <w:r w:rsidRPr="009C48DA">
              <w:rPr>
                <w:rFonts w:eastAsia="Times New Roman"/>
                <w:color w:val="000000"/>
                <w:sz w:val="16"/>
                <w:lang w:val="en-GB"/>
              </w:rPr>
              <w:t>(18,713)</w:t>
            </w:r>
          </w:p>
        </w:tc>
        <w:tc>
          <w:tcPr>
            <w:tcW w:w="1212" w:type="dxa"/>
            <w:vAlign w:val="center"/>
          </w:tcPr>
          <w:p w:rsidRPr="009C48DA" w:rsidR="00661519" w:rsidP="00661519" w:rsidRDefault="00661519" w14:paraId="7D08B955"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33450917" w14:textId="77777777">
        <w:tc>
          <w:tcPr>
            <w:tcW w:w="3544" w:type="dxa"/>
            <w:vAlign w:val="center"/>
          </w:tcPr>
          <w:p w:rsidRPr="009C48DA" w:rsidR="00661519" w:rsidP="00661519" w:rsidRDefault="00661519" w14:paraId="699DD919" w14:textId="77777777">
            <w:pPr>
              <w:jc w:val="both"/>
              <w:textAlignment w:val="baseline"/>
              <w:rPr>
                <w:rFonts w:eastAsia="Times New Roman"/>
                <w:color w:val="000000"/>
                <w:sz w:val="16"/>
                <w:lang w:val="en-GB"/>
              </w:rPr>
            </w:pPr>
            <w:r w:rsidRPr="009C48DA">
              <w:rPr>
                <w:rFonts w:eastAsia="Times New Roman"/>
                <w:color w:val="000000"/>
                <w:sz w:val="16"/>
                <w:lang w:val="en-GB"/>
              </w:rPr>
              <w:t>Drawn</w:t>
            </w:r>
          </w:p>
        </w:tc>
        <w:tc>
          <w:tcPr>
            <w:tcW w:w="2062" w:type="dxa"/>
            <w:vAlign w:val="center"/>
          </w:tcPr>
          <w:p w:rsidRPr="009C48DA" w:rsidR="00661519" w:rsidP="00661519" w:rsidRDefault="00661519" w14:paraId="679E793C"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459DD4E1"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52FC8CA9" w14:textId="77777777">
            <w:pPr>
              <w:jc w:val="right"/>
              <w:textAlignment w:val="baseline"/>
              <w:rPr>
                <w:rFonts w:eastAsia="Times New Roman"/>
                <w:color w:val="000000"/>
                <w:sz w:val="16"/>
                <w:lang w:val="en-GB"/>
              </w:rPr>
            </w:pPr>
            <w:r w:rsidRPr="009C48DA">
              <w:rPr>
                <w:rFonts w:eastAsia="Times New Roman"/>
                <w:color w:val="000000"/>
                <w:sz w:val="16"/>
                <w:lang w:val="en-GB"/>
              </w:rPr>
              <w:t>31,832</w:t>
            </w:r>
          </w:p>
        </w:tc>
        <w:tc>
          <w:tcPr>
            <w:tcW w:w="1212" w:type="dxa"/>
            <w:vAlign w:val="center"/>
          </w:tcPr>
          <w:p w:rsidRPr="009C48DA" w:rsidR="00661519" w:rsidP="00661519" w:rsidRDefault="00661519" w14:paraId="3DAD0FD4" w14:textId="77777777">
            <w:pPr>
              <w:jc w:val="right"/>
              <w:textAlignment w:val="baseline"/>
              <w:rPr>
                <w:rFonts w:eastAsia="Times New Roman"/>
                <w:color w:val="000000"/>
                <w:sz w:val="16"/>
                <w:lang w:val="en-GB"/>
              </w:rPr>
            </w:pPr>
            <w:r w:rsidRPr="009C48DA">
              <w:rPr>
                <w:rFonts w:eastAsia="Times New Roman"/>
                <w:color w:val="000000"/>
                <w:sz w:val="16"/>
                <w:lang w:val="en-GB"/>
              </w:rPr>
              <w:t>1,469</w:t>
            </w:r>
          </w:p>
        </w:tc>
      </w:tr>
      <w:tr w:rsidRPr="009C48DA" w:rsidR="00661519" w:rsidTr="00661519" w14:paraId="565EE4A2" w14:textId="77777777">
        <w:tc>
          <w:tcPr>
            <w:tcW w:w="3544" w:type="dxa"/>
            <w:vAlign w:val="center"/>
          </w:tcPr>
          <w:p w:rsidRPr="009C48DA" w:rsidR="00661519" w:rsidP="00661519" w:rsidRDefault="00661519" w14:paraId="7A7A7F5C" w14:textId="77777777">
            <w:pPr>
              <w:jc w:val="both"/>
              <w:textAlignment w:val="baseline"/>
              <w:rPr>
                <w:rFonts w:eastAsia="Times New Roman"/>
                <w:color w:val="000000"/>
                <w:sz w:val="16"/>
                <w:lang w:val="en-GB"/>
              </w:rPr>
            </w:pPr>
            <w:r w:rsidRPr="009C48DA">
              <w:rPr>
                <w:rFonts w:eastAsia="Times New Roman"/>
                <w:color w:val="000000"/>
                <w:sz w:val="16"/>
                <w:lang w:val="en-GB"/>
              </w:rPr>
              <w:t>Foreign exchange movements</w:t>
            </w:r>
          </w:p>
        </w:tc>
        <w:tc>
          <w:tcPr>
            <w:tcW w:w="2062" w:type="dxa"/>
            <w:vAlign w:val="center"/>
          </w:tcPr>
          <w:p w:rsidRPr="009C48DA" w:rsidR="00661519" w:rsidP="00661519" w:rsidRDefault="00661519" w14:paraId="4874DB9E"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461A0527"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6F449151" w14:textId="77777777">
            <w:pPr>
              <w:jc w:val="right"/>
              <w:textAlignment w:val="baseline"/>
              <w:rPr>
                <w:rFonts w:eastAsia="Times New Roman"/>
                <w:color w:val="000000"/>
                <w:sz w:val="16"/>
                <w:lang w:val="en-GB"/>
              </w:rPr>
            </w:pPr>
            <w:r w:rsidRPr="009C48DA">
              <w:rPr>
                <w:rFonts w:eastAsia="Times New Roman"/>
                <w:color w:val="000000"/>
                <w:sz w:val="16"/>
                <w:lang w:val="en-GB"/>
              </w:rPr>
              <w:t>(198)</w:t>
            </w:r>
          </w:p>
        </w:tc>
        <w:tc>
          <w:tcPr>
            <w:tcW w:w="1212" w:type="dxa"/>
            <w:vAlign w:val="center"/>
          </w:tcPr>
          <w:p w:rsidRPr="009C48DA" w:rsidR="00661519" w:rsidP="00661519" w:rsidRDefault="00661519" w14:paraId="3487BCB3" w14:textId="77777777">
            <w:pPr>
              <w:jc w:val="right"/>
              <w:textAlignment w:val="baseline"/>
              <w:rPr>
                <w:rFonts w:eastAsia="Times New Roman"/>
                <w:color w:val="000000"/>
                <w:sz w:val="16"/>
                <w:lang w:val="en-GB"/>
              </w:rPr>
            </w:pPr>
            <w:r w:rsidRPr="009C48DA">
              <w:rPr>
                <w:rFonts w:eastAsia="Times New Roman"/>
                <w:color w:val="000000"/>
                <w:sz w:val="16"/>
                <w:lang w:val="en-GB"/>
              </w:rPr>
              <w:t>(1,734)</w:t>
            </w:r>
          </w:p>
        </w:tc>
      </w:tr>
      <w:tr w:rsidRPr="009C48DA" w:rsidR="00661519" w:rsidTr="00661519" w14:paraId="054DE002" w14:textId="77777777">
        <w:tc>
          <w:tcPr>
            <w:tcW w:w="3544" w:type="dxa"/>
            <w:vAlign w:val="center"/>
          </w:tcPr>
          <w:p w:rsidRPr="009C48DA" w:rsidR="00661519" w:rsidP="00661519" w:rsidRDefault="00661519" w14:paraId="1176113E" w14:textId="77777777">
            <w:pPr>
              <w:jc w:val="both"/>
              <w:textAlignment w:val="baseline"/>
              <w:rPr>
                <w:rFonts w:eastAsia="Times New Roman"/>
                <w:color w:val="000000"/>
                <w:sz w:val="16"/>
                <w:lang w:val="en-GB"/>
              </w:rPr>
            </w:pPr>
            <w:r w:rsidRPr="009C48DA">
              <w:rPr>
                <w:rFonts w:eastAsia="Times New Roman"/>
                <w:color w:val="000000"/>
                <w:sz w:val="16"/>
                <w:lang w:val="en-GB"/>
              </w:rPr>
              <w:t>Change in fair value</w:t>
            </w:r>
          </w:p>
        </w:tc>
        <w:tc>
          <w:tcPr>
            <w:tcW w:w="2062" w:type="dxa"/>
            <w:vAlign w:val="center"/>
          </w:tcPr>
          <w:p w:rsidRPr="009C48DA" w:rsidR="00661519" w:rsidP="00661519" w:rsidRDefault="00661519" w14:paraId="79802AB2"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44F2F130"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371BA876" w14:textId="77777777">
            <w:pPr>
              <w:jc w:val="right"/>
              <w:textAlignment w:val="baseline"/>
              <w:rPr>
                <w:rFonts w:eastAsia="Times New Roman"/>
                <w:color w:val="000000"/>
                <w:sz w:val="16"/>
                <w:lang w:val="en-GB"/>
              </w:rPr>
            </w:pPr>
            <w:r w:rsidRPr="009C48DA">
              <w:rPr>
                <w:rFonts w:eastAsia="Times New Roman"/>
                <w:color w:val="000000"/>
                <w:sz w:val="16"/>
                <w:lang w:val="en-GB"/>
              </w:rPr>
              <w:t>421</w:t>
            </w:r>
          </w:p>
        </w:tc>
        <w:tc>
          <w:tcPr>
            <w:tcW w:w="1212" w:type="dxa"/>
            <w:vAlign w:val="center"/>
          </w:tcPr>
          <w:p w:rsidRPr="009C48DA" w:rsidR="00661519" w:rsidP="00661519" w:rsidRDefault="00661519" w14:paraId="3B1A9188" w14:textId="77777777">
            <w:pPr>
              <w:jc w:val="right"/>
              <w:textAlignment w:val="baseline"/>
              <w:rPr>
                <w:rFonts w:eastAsia="Times New Roman"/>
                <w:color w:val="000000"/>
                <w:sz w:val="16"/>
                <w:lang w:val="en-GB"/>
              </w:rPr>
            </w:pPr>
            <w:r w:rsidRPr="009C48DA">
              <w:rPr>
                <w:rFonts w:eastAsia="Times New Roman"/>
                <w:color w:val="000000"/>
                <w:sz w:val="16"/>
                <w:lang w:val="en-GB"/>
              </w:rPr>
              <w:t>1,098</w:t>
            </w:r>
          </w:p>
        </w:tc>
      </w:tr>
      <w:tr w:rsidRPr="009C48DA" w:rsidR="00661519" w:rsidTr="00661519" w14:paraId="76F25568" w14:textId="77777777">
        <w:tc>
          <w:tcPr>
            <w:tcW w:w="3544" w:type="dxa"/>
            <w:vAlign w:val="center"/>
          </w:tcPr>
          <w:p w:rsidRPr="009C48DA" w:rsidR="00661519" w:rsidP="00661519" w:rsidRDefault="00661519" w14:paraId="179758CA" w14:textId="77777777">
            <w:pPr>
              <w:jc w:val="both"/>
              <w:textAlignment w:val="baseline"/>
              <w:rPr>
                <w:rFonts w:eastAsia="Times New Roman"/>
                <w:color w:val="000000"/>
                <w:sz w:val="16"/>
                <w:lang w:val="en-GB"/>
              </w:rPr>
            </w:pPr>
            <w:r w:rsidRPr="009C48DA">
              <w:rPr>
                <w:rFonts w:eastAsia="Times New Roman"/>
                <w:color w:val="000000"/>
                <w:sz w:val="16"/>
                <w:lang w:val="en-GB"/>
              </w:rPr>
              <w:t>Transfers (to)/from Level 1 or 2</w:t>
            </w:r>
          </w:p>
        </w:tc>
        <w:tc>
          <w:tcPr>
            <w:tcW w:w="2062" w:type="dxa"/>
            <w:vAlign w:val="center"/>
          </w:tcPr>
          <w:p w:rsidRPr="009C48DA" w:rsidR="00661519" w:rsidP="00661519" w:rsidRDefault="00661519" w14:paraId="2435E95E"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43468687"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03A3B88C"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12" w:type="dxa"/>
            <w:vAlign w:val="center"/>
          </w:tcPr>
          <w:p w:rsidRPr="009C48DA" w:rsidR="00661519" w:rsidP="00661519" w:rsidRDefault="00661519" w14:paraId="3AEB7B9F"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6E36D331" w14:textId="77777777">
        <w:tc>
          <w:tcPr>
            <w:tcW w:w="3544" w:type="dxa"/>
            <w:vAlign w:val="center"/>
          </w:tcPr>
          <w:p w:rsidRPr="009C48DA" w:rsidR="00661519" w:rsidP="00661519" w:rsidRDefault="00661519" w14:paraId="49C35E08" w14:textId="77777777">
            <w:pPr>
              <w:textAlignment w:val="baseline"/>
              <w:rPr>
                <w:rFonts w:eastAsia="Times New Roman"/>
                <w:b/>
                <w:color w:val="000000"/>
                <w:sz w:val="16"/>
                <w:lang w:val="en-GB"/>
              </w:rPr>
            </w:pPr>
            <w:r w:rsidRPr="009C48DA">
              <w:rPr>
                <w:rFonts w:eastAsia="Times New Roman"/>
                <w:b/>
                <w:color w:val="000000"/>
                <w:sz w:val="16"/>
                <w:lang w:val="en-GB"/>
              </w:rPr>
              <w:t>Closing balance</w:t>
            </w:r>
          </w:p>
        </w:tc>
        <w:tc>
          <w:tcPr>
            <w:tcW w:w="2062" w:type="dxa"/>
            <w:vAlign w:val="center"/>
          </w:tcPr>
          <w:p w:rsidRPr="009C48DA" w:rsidR="00661519" w:rsidP="00661519" w:rsidRDefault="00661519" w14:paraId="66FB3E6F"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4F9706E2"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211" w:type="dxa"/>
            <w:vAlign w:val="center"/>
          </w:tcPr>
          <w:p w:rsidRPr="009C48DA" w:rsidR="00661519" w:rsidP="00661519" w:rsidRDefault="00661519" w14:paraId="6FEFEEC8"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37,813</w:t>
            </w:r>
          </w:p>
        </w:tc>
        <w:tc>
          <w:tcPr>
            <w:tcW w:w="1212" w:type="dxa"/>
            <w:vAlign w:val="center"/>
          </w:tcPr>
          <w:p w:rsidRPr="009C48DA" w:rsidR="00661519" w:rsidP="00661519" w:rsidRDefault="00661519" w14:paraId="62A850F6"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6"/>
                <w:lang w:val="en-GB"/>
              </w:rPr>
              <w:t>38,646</w:t>
            </w:r>
          </w:p>
        </w:tc>
      </w:tr>
    </w:tbl>
    <w:p w:rsidRPr="009C48DA" w:rsidR="00661519" w:rsidP="00661519" w:rsidRDefault="00661519" w14:paraId="4850F93C" w14:textId="77777777">
      <w:pPr>
        <w:textAlignment w:val="baseline"/>
        <w:rPr>
          <w:rFonts w:eastAsia="Times New Roman" w:cs="Times New Roman"/>
          <w:color w:val="000000"/>
          <w:sz w:val="16"/>
          <w:szCs w:val="22"/>
          <w:lang w:val="en-GB"/>
        </w:rPr>
      </w:pPr>
    </w:p>
    <w:p w:rsidRPr="009C48DA" w:rsidR="00661519" w:rsidP="00661519" w:rsidRDefault="00661519" w14:paraId="65764524" w14:textId="77777777">
      <w:pPr>
        <w:spacing w:line="186" w:lineRule="exact"/>
        <w:ind w:right="144"/>
        <w:jc w:val="both"/>
        <w:textAlignment w:val="baseline"/>
        <w:rPr>
          <w:rFonts w:eastAsia="Times New Roman"/>
          <w:color w:val="000000"/>
          <w:sz w:val="16"/>
          <w:lang w:val="en-GB"/>
        </w:rPr>
      </w:pPr>
      <w:r w:rsidRPr="009C48DA">
        <w:rPr>
          <w:rFonts w:eastAsia="Times New Roman"/>
          <w:color w:val="000000"/>
          <w:sz w:val="16"/>
          <w:lang w:val="en-GB"/>
        </w:rPr>
        <w:t>A change in the value of the CLO liabilities is included in the table below. A sensitivity analysis for the deferred contingent consideration is included within note 18(b).</w:t>
      </w:r>
    </w:p>
    <w:p w:rsidRPr="009C48DA" w:rsidR="00661519" w:rsidP="00661519" w:rsidRDefault="00661519" w14:paraId="054767D3" w14:textId="77777777">
      <w:pPr>
        <w:spacing w:before="286" w:line="183" w:lineRule="exact"/>
        <w:ind w:left="6984"/>
        <w:textAlignment w:val="baseline"/>
        <w:rPr>
          <w:rFonts w:eastAsia="Times New Roman"/>
          <w:b/>
          <w:color w:val="000000"/>
          <w:sz w:val="16"/>
          <w:lang w:val="en-GB"/>
        </w:rPr>
      </w:pPr>
      <w:r w:rsidRPr="009C48DA">
        <w:rPr>
          <w:rFonts w:eastAsia="Times New Roman"/>
          <w:b/>
          <w:color w:val="000000"/>
          <w:sz w:val="16"/>
          <w:lang w:val="en-GB"/>
        </w:rPr>
        <w:t>Three month period ended</w:t>
      </w:r>
    </w:p>
    <w:p w:rsidRPr="009C48DA" w:rsidR="00661519" w:rsidP="00661519" w:rsidRDefault="00661519" w14:paraId="1F66B2CA" w14:textId="77777777">
      <w:pPr>
        <w:tabs>
          <w:tab w:val="left" w:pos="7560"/>
        </w:tabs>
        <w:spacing w:after="2" w:line="183" w:lineRule="exact"/>
        <w:ind w:left="3672"/>
        <w:textAlignment w:val="baseline"/>
        <w:rPr>
          <w:rFonts w:eastAsia="Times New Roman"/>
          <w:b/>
          <w:color w:val="000000"/>
          <w:sz w:val="16"/>
          <w:lang w:val="en-GB"/>
        </w:rPr>
      </w:pPr>
      <w:r w:rsidRPr="009C48DA">
        <w:rPr>
          <w:rFonts w:eastAsia="Times New Roman"/>
          <w:b/>
          <w:color w:val="000000"/>
          <w:sz w:val="16"/>
          <w:lang w:val="en-GB"/>
        </w:rPr>
        <w:t>Year ended 31 December</w:t>
      </w:r>
      <w:r w:rsidRPr="009C48DA">
        <w:rPr>
          <w:rFonts w:eastAsia="Times New Roman"/>
          <w:b/>
          <w:color w:val="000000"/>
          <w:sz w:val="16"/>
          <w:lang w:val="en-GB"/>
        </w:rPr>
        <w:tab/>
        <w:t>31 March</w:t>
      </w:r>
    </w:p>
    <w:tbl>
      <w:tblPr>
        <w:tblW w:w="0" w:type="auto"/>
        <w:tblInd w:w="2340" w:type="dxa"/>
        <w:tblLayout w:type="fixed"/>
        <w:tblCellMar>
          <w:left w:w="0" w:type="dxa"/>
          <w:right w:w="0" w:type="dxa"/>
        </w:tblCellMar>
        <w:tblLook w:val="0000" w:firstRow="0" w:lastRow="0" w:firstColumn="0" w:lastColumn="0" w:noHBand="0" w:noVBand="0"/>
      </w:tblPr>
      <w:tblGrid>
        <w:gridCol w:w="1886"/>
        <w:gridCol w:w="1358"/>
        <w:gridCol w:w="1186"/>
        <w:gridCol w:w="1536"/>
        <w:gridCol w:w="866"/>
      </w:tblGrid>
      <w:tr w:rsidRPr="009C48DA" w:rsidR="00661519" w:rsidTr="00661519" w14:paraId="6B7BBB27" w14:textId="77777777">
        <w:trPr>
          <w:trHeight w:val="187" w:hRule="exact"/>
        </w:trPr>
        <w:tc>
          <w:tcPr>
            <w:tcW w:w="1886" w:type="dxa"/>
            <w:tcBorders>
              <w:top w:val="single" w:color="000000" w:sz="5" w:space="0"/>
              <w:left w:val="none" w:color="020000" w:sz="0" w:space="0"/>
              <w:bottom w:val="none" w:color="020000" w:sz="0" w:space="0"/>
              <w:right w:val="none" w:color="020000" w:sz="0" w:space="0"/>
            </w:tcBorders>
          </w:tcPr>
          <w:p w:rsidRPr="009C48DA" w:rsidR="00661519" w:rsidP="00661519" w:rsidRDefault="00661519" w14:paraId="41E5BE82" w14:textId="77777777">
            <w:pPr>
              <w:textAlignment w:val="baseline"/>
              <w:rPr>
                <w:rFonts w:eastAsia="Times New Roman"/>
                <w:color w:val="000000"/>
                <w:sz w:val="24"/>
                <w:lang w:val="en-GB"/>
              </w:rPr>
            </w:pPr>
            <w:r w:rsidRPr="009C48DA">
              <w:rPr>
                <w:rFonts w:eastAsia="Times New Roman"/>
                <w:color w:val="000000"/>
                <w:sz w:val="24"/>
                <w:lang w:val="en-GB"/>
              </w:rPr>
              <w:t xml:space="preserve"> </w:t>
            </w:r>
          </w:p>
        </w:tc>
        <w:tc>
          <w:tcPr>
            <w:tcW w:w="1358" w:type="dxa"/>
            <w:tcBorders>
              <w:top w:val="single" w:color="000000" w:sz="5" w:space="0"/>
              <w:left w:val="none" w:color="020000" w:sz="0" w:space="0"/>
              <w:bottom w:val="none" w:color="020000" w:sz="0" w:space="0"/>
              <w:right w:val="none" w:color="020000" w:sz="0" w:space="0"/>
            </w:tcBorders>
          </w:tcPr>
          <w:p w:rsidRPr="009C48DA" w:rsidR="00661519" w:rsidP="00661519" w:rsidRDefault="00661519" w14:paraId="25CA53E0" w14:textId="77777777">
            <w:pPr>
              <w:textAlignment w:val="baseline"/>
              <w:rPr>
                <w:rFonts w:eastAsia="Times New Roman"/>
                <w:color w:val="000000"/>
                <w:sz w:val="24"/>
                <w:lang w:val="en-GB"/>
              </w:rPr>
            </w:pPr>
            <w:r w:rsidRPr="009C48DA">
              <w:rPr>
                <w:rFonts w:eastAsia="Times New Roman"/>
                <w:color w:val="000000"/>
                <w:sz w:val="24"/>
                <w:lang w:val="en-GB"/>
              </w:rPr>
              <w:t xml:space="preserve"> </w:t>
            </w:r>
          </w:p>
        </w:tc>
        <w:tc>
          <w:tcPr>
            <w:tcW w:w="1186" w:type="dxa"/>
            <w:tcBorders>
              <w:top w:val="single" w:color="000000" w:sz="5" w:space="0"/>
              <w:left w:val="none" w:color="020000" w:sz="0" w:space="0"/>
              <w:bottom w:val="none" w:color="020000" w:sz="0" w:space="0"/>
              <w:right w:val="none" w:color="020000" w:sz="0" w:space="0"/>
            </w:tcBorders>
          </w:tcPr>
          <w:p w:rsidRPr="009C48DA" w:rsidR="00661519" w:rsidP="00661519" w:rsidRDefault="00661519" w14:paraId="5E007943" w14:textId="77777777">
            <w:pPr>
              <w:textAlignment w:val="baseline"/>
              <w:rPr>
                <w:rFonts w:eastAsia="Times New Roman"/>
                <w:color w:val="000000"/>
                <w:sz w:val="24"/>
                <w:lang w:val="en-GB"/>
              </w:rPr>
            </w:pPr>
            <w:r w:rsidRPr="009C48DA">
              <w:rPr>
                <w:rFonts w:eastAsia="Times New Roman"/>
                <w:color w:val="000000"/>
                <w:sz w:val="24"/>
                <w:lang w:val="en-GB"/>
              </w:rPr>
              <w:t xml:space="preserve"> </w:t>
            </w:r>
          </w:p>
        </w:tc>
        <w:tc>
          <w:tcPr>
            <w:tcW w:w="1536" w:type="dxa"/>
            <w:tcBorders>
              <w:top w:val="single" w:color="000000" w:sz="5" w:space="0"/>
              <w:left w:val="none" w:color="020000" w:sz="0" w:space="0"/>
              <w:bottom w:val="none" w:color="020000" w:sz="0" w:space="0"/>
              <w:right w:val="none" w:color="020000" w:sz="0" w:space="0"/>
            </w:tcBorders>
            <w:vAlign w:val="center"/>
          </w:tcPr>
          <w:p w:rsidRPr="009C48DA" w:rsidR="00661519" w:rsidP="00661519" w:rsidRDefault="00661519" w14:paraId="5338E4B8" w14:textId="77777777">
            <w:pPr>
              <w:spacing w:line="178" w:lineRule="exact"/>
              <w:ind w:right="499"/>
              <w:jc w:val="right"/>
              <w:textAlignment w:val="baseline"/>
              <w:rPr>
                <w:rFonts w:eastAsia="Times New Roman"/>
                <w:b/>
                <w:color w:val="000000"/>
                <w:sz w:val="16"/>
                <w:lang w:val="en-GB"/>
              </w:rPr>
            </w:pPr>
            <w:r w:rsidRPr="009C48DA">
              <w:rPr>
                <w:rFonts w:eastAsia="Times New Roman"/>
                <w:b/>
                <w:color w:val="000000"/>
                <w:sz w:val="16"/>
                <w:lang w:val="en-GB"/>
              </w:rPr>
              <w:t>Unaudited</w:t>
            </w:r>
          </w:p>
        </w:tc>
        <w:tc>
          <w:tcPr>
            <w:tcW w:w="866" w:type="dxa"/>
            <w:tcBorders>
              <w:top w:val="single" w:color="000000" w:sz="5" w:space="0"/>
              <w:left w:val="none" w:color="020000" w:sz="0" w:space="0"/>
              <w:bottom w:val="none" w:color="020000" w:sz="0" w:space="0"/>
              <w:right w:val="none" w:color="020000" w:sz="0" w:space="0"/>
            </w:tcBorders>
          </w:tcPr>
          <w:p w:rsidRPr="009C48DA" w:rsidR="00661519" w:rsidP="00661519" w:rsidRDefault="00661519" w14:paraId="48AB3777" w14:textId="77777777">
            <w:pPr>
              <w:textAlignment w:val="baseline"/>
              <w:rPr>
                <w:rFonts w:eastAsia="Times New Roman"/>
                <w:color w:val="000000"/>
                <w:sz w:val="24"/>
                <w:lang w:val="en-GB"/>
              </w:rPr>
            </w:pPr>
            <w:r w:rsidRPr="009C48DA">
              <w:rPr>
                <w:rFonts w:eastAsia="Times New Roman"/>
                <w:color w:val="000000"/>
                <w:sz w:val="24"/>
                <w:lang w:val="en-GB"/>
              </w:rPr>
              <w:t xml:space="preserve"> </w:t>
            </w:r>
          </w:p>
        </w:tc>
      </w:tr>
      <w:tr w:rsidRPr="009C48DA" w:rsidR="00661519" w:rsidTr="00661519" w14:paraId="60B8F534" w14:textId="77777777">
        <w:trPr>
          <w:trHeight w:val="187" w:hRule="exact"/>
        </w:trPr>
        <w:tc>
          <w:tcPr>
            <w:tcW w:w="188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4C7A8BB" w14:textId="77777777">
            <w:pPr>
              <w:spacing w:line="178" w:lineRule="exact"/>
              <w:ind w:right="499"/>
              <w:jc w:val="right"/>
              <w:textAlignment w:val="baseline"/>
              <w:rPr>
                <w:rFonts w:eastAsia="Times New Roman"/>
                <w:b/>
                <w:color w:val="000000"/>
                <w:sz w:val="16"/>
                <w:lang w:val="en-GB"/>
              </w:rPr>
            </w:pPr>
            <w:r w:rsidRPr="009C48DA">
              <w:rPr>
                <w:rFonts w:eastAsia="Times New Roman"/>
                <w:b/>
                <w:color w:val="000000"/>
                <w:sz w:val="16"/>
                <w:lang w:val="en-GB"/>
              </w:rPr>
              <w:t>2018</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AA0AE39" w14:textId="77777777">
            <w:pPr>
              <w:spacing w:line="178" w:lineRule="exact"/>
              <w:ind w:right="499"/>
              <w:jc w:val="right"/>
              <w:textAlignment w:val="baseline"/>
              <w:rPr>
                <w:rFonts w:eastAsia="Times New Roman"/>
                <w:b/>
                <w:color w:val="000000"/>
                <w:sz w:val="16"/>
                <w:lang w:val="en-GB"/>
              </w:rPr>
            </w:pPr>
            <w:r w:rsidRPr="009C48DA">
              <w:rPr>
                <w:rFonts w:eastAsia="Times New Roman"/>
                <w:b/>
                <w:color w:val="000000"/>
                <w:sz w:val="16"/>
                <w:lang w:val="en-GB"/>
              </w:rPr>
              <w:t>2019</w:t>
            </w:r>
          </w:p>
        </w:tc>
        <w:tc>
          <w:tcPr>
            <w:tcW w:w="118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148CBEE" w14:textId="77777777">
            <w:pPr>
              <w:spacing w:line="178" w:lineRule="exact"/>
              <w:ind w:right="322"/>
              <w:jc w:val="right"/>
              <w:textAlignment w:val="baseline"/>
              <w:rPr>
                <w:rFonts w:eastAsia="Times New Roman"/>
                <w:b/>
                <w:color w:val="000000"/>
                <w:sz w:val="16"/>
                <w:lang w:val="en-GB"/>
              </w:rPr>
            </w:pPr>
            <w:r w:rsidRPr="009C48DA">
              <w:rPr>
                <w:rFonts w:eastAsia="Times New Roman"/>
                <w:b/>
                <w:color w:val="000000"/>
                <w:sz w:val="16"/>
                <w:lang w:val="en-GB"/>
              </w:rPr>
              <w:t>2020</w:t>
            </w:r>
          </w:p>
        </w:tc>
        <w:tc>
          <w:tcPr>
            <w:tcW w:w="153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0C40974" w14:textId="77777777">
            <w:pPr>
              <w:spacing w:line="178" w:lineRule="exact"/>
              <w:ind w:right="499"/>
              <w:jc w:val="right"/>
              <w:textAlignment w:val="baseline"/>
              <w:rPr>
                <w:rFonts w:eastAsia="Times New Roman"/>
                <w:b/>
                <w:color w:val="000000"/>
                <w:sz w:val="16"/>
                <w:lang w:val="en-GB"/>
              </w:rPr>
            </w:pPr>
            <w:r w:rsidRPr="009C48DA">
              <w:rPr>
                <w:rFonts w:eastAsia="Times New Roman"/>
                <w:b/>
                <w:color w:val="000000"/>
                <w:sz w:val="16"/>
                <w:lang w:val="en-GB"/>
              </w:rPr>
              <w:t>2020</w:t>
            </w:r>
          </w:p>
        </w:tc>
        <w:tc>
          <w:tcPr>
            <w:tcW w:w="86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BAB967C" w14:textId="77777777">
            <w:pPr>
              <w:spacing w:line="178" w:lineRule="exact"/>
              <w:ind w:right="7"/>
              <w:jc w:val="right"/>
              <w:textAlignment w:val="baseline"/>
              <w:rPr>
                <w:rFonts w:eastAsia="Times New Roman"/>
                <w:b/>
                <w:color w:val="000000"/>
                <w:sz w:val="16"/>
                <w:lang w:val="en-GB"/>
              </w:rPr>
            </w:pPr>
            <w:r w:rsidRPr="009C48DA">
              <w:rPr>
                <w:rFonts w:eastAsia="Times New Roman"/>
                <w:b/>
                <w:color w:val="000000"/>
                <w:sz w:val="16"/>
                <w:lang w:val="en-GB"/>
              </w:rPr>
              <w:t>2021</w:t>
            </w:r>
          </w:p>
        </w:tc>
      </w:tr>
      <w:tr w:rsidRPr="009C48DA" w:rsidR="00661519" w:rsidTr="00661519" w14:paraId="3248EB8F" w14:textId="77777777">
        <w:trPr>
          <w:trHeight w:val="225" w:hRule="exact"/>
        </w:trPr>
        <w:tc>
          <w:tcPr>
            <w:tcW w:w="188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2A3A3C8" w14:textId="77777777">
            <w:pPr>
              <w:spacing w:after="17" w:line="183" w:lineRule="exact"/>
              <w:ind w:right="499"/>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ACF0BF8" w14:textId="77777777">
            <w:pPr>
              <w:spacing w:after="17" w:line="183" w:lineRule="exact"/>
              <w:ind w:right="499"/>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18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40AFA8B" w14:textId="77777777">
            <w:pPr>
              <w:spacing w:after="17" w:line="183" w:lineRule="exact"/>
              <w:ind w:right="322"/>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53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43A6AFB" w14:textId="77777777">
            <w:pPr>
              <w:spacing w:after="17" w:line="183" w:lineRule="exact"/>
              <w:ind w:right="499"/>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86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026F9C6" w14:textId="77777777">
            <w:pPr>
              <w:spacing w:after="17" w:line="183" w:lineRule="exact"/>
              <w:ind w:right="7"/>
              <w:jc w:val="right"/>
              <w:textAlignment w:val="baseline"/>
              <w:rPr>
                <w:rFonts w:eastAsia="Times New Roman"/>
                <w:b/>
                <w:color w:val="000000"/>
                <w:sz w:val="16"/>
                <w:lang w:val="en-GB"/>
              </w:rPr>
            </w:pPr>
            <w:r w:rsidRPr="009C48DA">
              <w:rPr>
                <w:rFonts w:eastAsia="Times New Roman"/>
                <w:b/>
                <w:color w:val="000000"/>
                <w:sz w:val="16"/>
                <w:lang w:val="en-GB"/>
              </w:rPr>
              <w:t>£ 000</w:t>
            </w:r>
          </w:p>
        </w:tc>
      </w:tr>
    </w:tbl>
    <w:p w:rsidRPr="009C48DA" w:rsidR="00661519" w:rsidP="00661519" w:rsidRDefault="00661519" w14:paraId="3281A37E" w14:textId="77777777">
      <w:pPr>
        <w:tabs>
          <w:tab w:val="left" w:pos="3600"/>
          <w:tab w:val="left" w:pos="4968"/>
          <w:tab w:val="left" w:pos="6192"/>
          <w:tab w:val="left" w:pos="7704"/>
          <w:tab w:val="left" w:pos="8856"/>
        </w:tabs>
        <w:spacing w:line="185" w:lineRule="exact"/>
        <w:ind w:left="144"/>
        <w:textAlignment w:val="baseline"/>
        <w:rPr>
          <w:rFonts w:eastAsia="Times New Roman"/>
          <w:color w:val="000000"/>
          <w:sz w:val="16"/>
          <w:lang w:val="en-GB"/>
        </w:rPr>
      </w:pPr>
      <w:r w:rsidRPr="009C48DA">
        <w:rPr>
          <w:rFonts w:eastAsia="Times New Roman"/>
          <w:color w:val="000000"/>
          <w:sz w:val="16"/>
          <w:lang w:val="en-GB"/>
        </w:rPr>
        <w:t>Increase or decrease of 1%</w:t>
      </w:r>
      <w:r w:rsidRPr="009C48DA">
        <w:rPr>
          <w:rFonts w:eastAsia="Times New Roman"/>
          <w:color w:val="000000"/>
          <w:sz w:val="16"/>
          <w:lang w:val="en-GB"/>
        </w:rPr>
        <w:tab/>
        <w:t>-</w:t>
      </w:r>
      <w:r w:rsidRPr="009C48DA">
        <w:rPr>
          <w:rFonts w:eastAsia="Times New Roman"/>
          <w:color w:val="000000"/>
          <w:sz w:val="16"/>
          <w:lang w:val="en-GB"/>
        </w:rPr>
        <w:tab/>
        <w:t>-</w:t>
      </w:r>
      <w:r w:rsidRPr="009C48DA">
        <w:rPr>
          <w:rFonts w:eastAsia="Times New Roman"/>
          <w:color w:val="000000"/>
          <w:sz w:val="16"/>
          <w:lang w:val="en-GB"/>
        </w:rPr>
        <w:tab/>
        <w:t>378</w:t>
      </w:r>
      <w:r w:rsidRPr="009C48DA">
        <w:rPr>
          <w:rFonts w:eastAsia="Times New Roman"/>
          <w:color w:val="000000"/>
          <w:sz w:val="16"/>
          <w:lang w:val="en-GB"/>
        </w:rPr>
        <w:tab/>
        <w:t>-</w:t>
      </w:r>
      <w:r w:rsidRPr="009C48DA">
        <w:rPr>
          <w:rFonts w:eastAsia="Times New Roman"/>
          <w:color w:val="000000"/>
          <w:sz w:val="16"/>
          <w:lang w:val="en-GB"/>
        </w:rPr>
        <w:tab/>
        <w:t>386</w:t>
      </w:r>
    </w:p>
    <w:p w:rsidRPr="009C48DA" w:rsidR="00661519" w:rsidP="00661519" w:rsidRDefault="00661519" w14:paraId="3269EABF" w14:textId="77777777">
      <w:pPr>
        <w:textAlignment w:val="baseline"/>
        <w:rPr>
          <w:rFonts w:eastAsia="Times New Roman" w:cs="Times New Roman"/>
          <w:b/>
          <w:color w:val="000000"/>
          <w:sz w:val="16"/>
          <w:szCs w:val="22"/>
          <w:lang w:val="en-GB"/>
        </w:rPr>
      </w:pPr>
    </w:p>
    <w:p w:rsidRPr="009C48DA" w:rsidR="00661519" w:rsidP="00661519" w:rsidRDefault="00661519" w14:paraId="245F704A" w14:textId="77777777">
      <w:pPr>
        <w:textAlignment w:val="baseline"/>
        <w:rPr>
          <w:rFonts w:eastAsia="Times New Roman" w:cs="Times New Roman"/>
          <w:b/>
          <w:color w:val="000000"/>
          <w:sz w:val="16"/>
          <w:szCs w:val="22"/>
          <w:lang w:val="en-GB"/>
        </w:rPr>
      </w:pPr>
    </w:p>
    <w:p w:rsidRPr="009C48DA" w:rsidR="00661519" w:rsidP="00661519" w:rsidRDefault="00661519" w14:paraId="7C63849F"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21</w:t>
      </w:r>
      <w:r w:rsidRPr="009C48DA">
        <w:rPr>
          <w:rFonts w:eastAsia="Times New Roman" w:cs="Times New Roman"/>
          <w:b/>
          <w:color w:val="000000"/>
          <w:sz w:val="16"/>
          <w:szCs w:val="22"/>
          <w:lang w:val="en-GB"/>
        </w:rPr>
        <w:tab/>
        <w:t>Capital management</w:t>
      </w:r>
    </w:p>
    <w:p w:rsidRPr="009C48DA" w:rsidR="00661519" w:rsidP="00661519" w:rsidRDefault="00661519" w14:paraId="10E3BB61" w14:textId="77777777">
      <w:pPr>
        <w:ind w:right="72"/>
        <w:jc w:val="both"/>
        <w:textAlignment w:val="baseline"/>
        <w:rPr>
          <w:rFonts w:eastAsia="Times New Roman"/>
          <w:color w:val="000000"/>
          <w:sz w:val="16"/>
          <w:lang w:val="en-GB"/>
        </w:rPr>
      </w:pPr>
    </w:p>
    <w:p w:rsidRPr="009C48DA" w:rsidR="00661519" w:rsidP="00661519" w:rsidRDefault="00661519" w14:paraId="0B983635"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primary objectives of the Group’s capital management are to ensure that the Group complies with capital requirements imposed by the Financial Conduct Authority and other regulatory authorities on individual regulated entities and to manage returns to the Group’s </w:t>
      </w:r>
    </w:p>
    <w:p w:rsidRPr="009C48DA" w:rsidR="00661519" w:rsidP="00661519" w:rsidRDefault="00661519" w14:paraId="69644B0B"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shareholders.</w:t>
      </w:r>
    </w:p>
    <w:p w:rsidRPr="009C48DA" w:rsidR="00661519" w:rsidP="00661519" w:rsidRDefault="00661519" w14:paraId="479FE340" w14:textId="77777777">
      <w:pPr>
        <w:ind w:right="144"/>
        <w:jc w:val="both"/>
        <w:textAlignment w:val="baseline"/>
        <w:rPr>
          <w:rFonts w:eastAsia="Times New Roman"/>
          <w:color w:val="000000"/>
          <w:sz w:val="16"/>
          <w:lang w:val="en-GB"/>
        </w:rPr>
      </w:pPr>
    </w:p>
    <w:p w:rsidRPr="009C48DA" w:rsidR="00661519" w:rsidP="00661519" w:rsidRDefault="00661519" w14:paraId="5BDDEA8F"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capital structure comprises cash and cash equivalents, borrowings and the capital and reserves of the Company, comprising share </w:t>
      </w:r>
      <w:r w:rsidRPr="009C48DA">
        <w:rPr>
          <w:rFonts w:eastAsia="Times New Roman"/>
          <w:color w:val="000000"/>
          <w:sz w:val="16"/>
          <w:lang w:val="en-GB"/>
        </w:rPr>
        <w:br/>
        <w:t>capital, share premium, capital contributions, other reserves and retained earnings as set out below.</w:t>
      </w:r>
    </w:p>
    <w:p w:rsidRPr="009C48DA" w:rsidR="00661519" w:rsidP="00661519" w:rsidRDefault="00661519" w14:paraId="6B7C67C2" w14:textId="77777777">
      <w:pPr>
        <w:ind w:right="72"/>
        <w:jc w:val="both"/>
        <w:textAlignment w:val="baseline"/>
        <w:rPr>
          <w:rFonts w:eastAsia="Times New Roman"/>
          <w:color w:val="000000"/>
          <w:sz w:val="16"/>
          <w:lang w:val="en-GB"/>
        </w:rPr>
      </w:pPr>
    </w:p>
    <w:tbl>
      <w:tblPr>
        <w:tblStyle w:val="TableGrid30"/>
        <w:tblW w:w="92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46"/>
        <w:gridCol w:w="1310"/>
        <w:gridCol w:w="1311"/>
        <w:gridCol w:w="1313"/>
        <w:gridCol w:w="1311"/>
      </w:tblGrid>
      <w:tr w:rsidRPr="009C48DA" w:rsidR="00661519" w:rsidTr="00661519" w14:paraId="289A29FE" w14:textId="77777777">
        <w:trPr>
          <w:trHeight w:val="388"/>
        </w:trPr>
        <w:tc>
          <w:tcPr>
            <w:tcW w:w="4046" w:type="dxa"/>
            <w:vAlign w:val="bottom"/>
          </w:tcPr>
          <w:p w:rsidRPr="009C48DA" w:rsidR="00661519" w:rsidP="00661519" w:rsidRDefault="00661519" w14:paraId="1EA56854" w14:textId="77777777">
            <w:pPr>
              <w:jc w:val="both"/>
              <w:textAlignment w:val="baseline"/>
              <w:rPr>
                <w:rFonts w:eastAsia="Times New Roman"/>
                <w:color w:val="000000"/>
                <w:sz w:val="16"/>
                <w:lang w:val="en-GB"/>
              </w:rPr>
            </w:pPr>
          </w:p>
        </w:tc>
        <w:tc>
          <w:tcPr>
            <w:tcW w:w="3934" w:type="dxa"/>
            <w:gridSpan w:val="3"/>
            <w:vAlign w:val="bottom"/>
          </w:tcPr>
          <w:p w:rsidRPr="009C48DA" w:rsidR="00661519" w:rsidP="00661519" w:rsidRDefault="00661519" w14:paraId="4AA012E4"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Year ended 31 December</w:t>
            </w:r>
          </w:p>
        </w:tc>
        <w:tc>
          <w:tcPr>
            <w:tcW w:w="1311" w:type="dxa"/>
            <w:vAlign w:val="bottom"/>
          </w:tcPr>
          <w:p w:rsidRPr="009C48DA" w:rsidR="00661519" w:rsidP="00661519" w:rsidRDefault="00661519" w14:paraId="7A018D64"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Three month period ended 31 March</w:t>
            </w:r>
            <w:r w:rsidRPr="009C48DA">
              <w:rPr>
                <w:rFonts w:eastAsia="Times New Roman"/>
                <w:b/>
                <w:color w:val="000000"/>
                <w:sz w:val="16"/>
                <w:szCs w:val="16"/>
                <w:lang w:val="en-GB"/>
              </w:rPr>
              <w:t xml:space="preserve"> </w:t>
            </w:r>
          </w:p>
        </w:tc>
      </w:tr>
      <w:tr w:rsidRPr="009C48DA" w:rsidR="00661519" w:rsidTr="00661519" w14:paraId="746B9925" w14:textId="77777777">
        <w:trPr>
          <w:trHeight w:val="388"/>
        </w:trPr>
        <w:tc>
          <w:tcPr>
            <w:tcW w:w="4046" w:type="dxa"/>
            <w:vAlign w:val="bottom"/>
          </w:tcPr>
          <w:p w:rsidRPr="009C48DA" w:rsidR="00661519" w:rsidP="00661519" w:rsidRDefault="00661519" w14:paraId="3D49C812" w14:textId="77777777">
            <w:pPr>
              <w:jc w:val="both"/>
              <w:textAlignment w:val="baseline"/>
              <w:rPr>
                <w:rFonts w:eastAsia="Times New Roman"/>
                <w:color w:val="000000"/>
                <w:sz w:val="16"/>
                <w:lang w:val="en-GB"/>
              </w:rPr>
            </w:pPr>
          </w:p>
        </w:tc>
        <w:tc>
          <w:tcPr>
            <w:tcW w:w="1310" w:type="dxa"/>
            <w:vAlign w:val="bottom"/>
          </w:tcPr>
          <w:p w:rsidRPr="009C48DA" w:rsidR="00661519" w:rsidP="00661519" w:rsidRDefault="00661519" w14:paraId="528D295D"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0C78B1ED"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1" w:type="dxa"/>
            <w:vAlign w:val="bottom"/>
          </w:tcPr>
          <w:p w:rsidRPr="009C48DA" w:rsidR="00661519" w:rsidP="00661519" w:rsidRDefault="00661519" w14:paraId="0D4E7C1C"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16FBFBB1"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3" w:type="dxa"/>
            <w:vAlign w:val="bottom"/>
          </w:tcPr>
          <w:p w:rsidRPr="009C48DA" w:rsidR="00661519" w:rsidP="00661519" w:rsidRDefault="00661519" w14:paraId="5BF36DA5"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24C24390"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1" w:type="dxa"/>
            <w:vAlign w:val="bottom"/>
          </w:tcPr>
          <w:p w:rsidRPr="009C48DA" w:rsidR="00661519" w:rsidP="00661519" w:rsidRDefault="00661519" w14:paraId="4BA69F03"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522F1CAA"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11C09A3B" w14:textId="77777777">
        <w:trPr>
          <w:trHeight w:val="235"/>
        </w:trPr>
        <w:tc>
          <w:tcPr>
            <w:tcW w:w="4046" w:type="dxa"/>
            <w:vAlign w:val="center"/>
          </w:tcPr>
          <w:p w:rsidRPr="009C48DA" w:rsidR="00661519" w:rsidP="00661519" w:rsidRDefault="00661519" w14:paraId="5EDF1627" w14:textId="77777777">
            <w:pPr>
              <w:jc w:val="both"/>
              <w:textAlignment w:val="baseline"/>
              <w:rPr>
                <w:rFonts w:eastAsia="Times New Roman"/>
                <w:color w:val="000000"/>
                <w:sz w:val="16"/>
                <w:lang w:val="en-GB"/>
              </w:rPr>
            </w:pPr>
            <w:r w:rsidRPr="009C48DA">
              <w:rPr>
                <w:rFonts w:eastAsia="Times New Roman"/>
                <w:color w:val="000000"/>
                <w:sz w:val="16"/>
                <w:lang w:val="en-GB"/>
              </w:rPr>
              <w:t>Cash and cash equivalents</w:t>
            </w:r>
          </w:p>
        </w:tc>
        <w:tc>
          <w:tcPr>
            <w:tcW w:w="1310" w:type="dxa"/>
            <w:vAlign w:val="center"/>
          </w:tcPr>
          <w:p w:rsidRPr="009C48DA" w:rsidR="00661519" w:rsidP="00661519" w:rsidRDefault="00661519" w14:paraId="2F61BDCC" w14:textId="77777777">
            <w:pPr>
              <w:jc w:val="right"/>
              <w:textAlignment w:val="baseline"/>
              <w:rPr>
                <w:rFonts w:eastAsia="Times New Roman"/>
                <w:color w:val="000000"/>
                <w:sz w:val="16"/>
                <w:lang w:val="en-GB"/>
              </w:rPr>
            </w:pPr>
            <w:r w:rsidRPr="009C48DA">
              <w:rPr>
                <w:rFonts w:eastAsia="Times New Roman"/>
                <w:color w:val="000000"/>
                <w:sz w:val="16"/>
                <w:lang w:val="en-GB"/>
              </w:rPr>
              <w:t>37,075</w:t>
            </w:r>
          </w:p>
        </w:tc>
        <w:tc>
          <w:tcPr>
            <w:tcW w:w="1311" w:type="dxa"/>
            <w:vAlign w:val="center"/>
          </w:tcPr>
          <w:p w:rsidRPr="009C48DA" w:rsidR="00661519" w:rsidP="00661519" w:rsidRDefault="00661519" w14:paraId="53BAF69A" w14:textId="77777777">
            <w:pPr>
              <w:jc w:val="right"/>
              <w:textAlignment w:val="baseline"/>
              <w:rPr>
                <w:rFonts w:eastAsia="Times New Roman"/>
                <w:color w:val="000000"/>
                <w:sz w:val="16"/>
                <w:lang w:val="en-GB"/>
              </w:rPr>
            </w:pPr>
            <w:r w:rsidRPr="009C48DA">
              <w:rPr>
                <w:rFonts w:eastAsia="Times New Roman"/>
                <w:color w:val="000000"/>
                <w:sz w:val="16"/>
                <w:lang w:val="en-GB"/>
              </w:rPr>
              <w:t>12,083</w:t>
            </w:r>
          </w:p>
        </w:tc>
        <w:tc>
          <w:tcPr>
            <w:tcW w:w="1313" w:type="dxa"/>
            <w:vAlign w:val="center"/>
          </w:tcPr>
          <w:p w:rsidRPr="009C48DA" w:rsidR="00661519" w:rsidP="00661519" w:rsidRDefault="00661519" w14:paraId="46935453" w14:textId="77777777">
            <w:pPr>
              <w:jc w:val="right"/>
              <w:textAlignment w:val="baseline"/>
              <w:rPr>
                <w:rFonts w:eastAsia="Times New Roman"/>
                <w:color w:val="000000"/>
                <w:sz w:val="16"/>
                <w:lang w:val="en-GB"/>
              </w:rPr>
            </w:pPr>
            <w:r w:rsidRPr="009C48DA">
              <w:rPr>
                <w:rFonts w:eastAsia="Times New Roman"/>
                <w:color w:val="000000"/>
                <w:sz w:val="16"/>
                <w:lang w:val="en-GB"/>
              </w:rPr>
              <w:t>42,366</w:t>
            </w:r>
          </w:p>
        </w:tc>
        <w:tc>
          <w:tcPr>
            <w:tcW w:w="1311" w:type="dxa"/>
            <w:vAlign w:val="center"/>
          </w:tcPr>
          <w:p w:rsidRPr="009C48DA" w:rsidR="00661519" w:rsidP="00661519" w:rsidRDefault="00661519" w14:paraId="1D16E0F3" w14:textId="77777777">
            <w:pPr>
              <w:jc w:val="right"/>
              <w:textAlignment w:val="baseline"/>
              <w:rPr>
                <w:rFonts w:eastAsia="Times New Roman"/>
                <w:color w:val="000000"/>
                <w:sz w:val="16"/>
                <w:lang w:val="en-GB"/>
              </w:rPr>
            </w:pPr>
            <w:r w:rsidRPr="009C48DA">
              <w:rPr>
                <w:rFonts w:eastAsia="Times New Roman"/>
                <w:color w:val="000000"/>
                <w:sz w:val="16"/>
                <w:lang w:val="en-GB"/>
              </w:rPr>
              <w:t>67,762</w:t>
            </w:r>
          </w:p>
        </w:tc>
      </w:tr>
      <w:tr w:rsidRPr="009C48DA" w:rsidR="00661519" w:rsidTr="00661519" w14:paraId="21DE5ACA" w14:textId="77777777">
        <w:trPr>
          <w:trHeight w:val="235"/>
        </w:trPr>
        <w:tc>
          <w:tcPr>
            <w:tcW w:w="4046" w:type="dxa"/>
            <w:vAlign w:val="center"/>
          </w:tcPr>
          <w:p w:rsidRPr="009C48DA" w:rsidR="00661519" w:rsidP="00661519" w:rsidRDefault="00661519" w14:paraId="24E975A5" w14:textId="77777777">
            <w:pPr>
              <w:jc w:val="both"/>
              <w:textAlignment w:val="baseline"/>
              <w:rPr>
                <w:rFonts w:eastAsia="Times New Roman"/>
                <w:color w:val="000000"/>
                <w:sz w:val="16"/>
                <w:lang w:val="en-GB"/>
              </w:rPr>
            </w:pPr>
            <w:r w:rsidRPr="009C48DA">
              <w:rPr>
                <w:rFonts w:eastAsia="Times New Roman"/>
                <w:color w:val="000000"/>
                <w:sz w:val="16"/>
                <w:lang w:val="en-GB"/>
              </w:rPr>
              <w:t>Loans and borrowings</w:t>
            </w:r>
          </w:p>
        </w:tc>
        <w:tc>
          <w:tcPr>
            <w:tcW w:w="1310" w:type="dxa"/>
            <w:vAlign w:val="center"/>
          </w:tcPr>
          <w:p w:rsidRPr="009C48DA" w:rsidR="00661519" w:rsidP="00661519" w:rsidRDefault="00661519" w14:paraId="2B52F4DD"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(79,412)</w:t>
            </w:r>
          </w:p>
        </w:tc>
        <w:tc>
          <w:tcPr>
            <w:tcW w:w="1311" w:type="dxa"/>
            <w:vAlign w:val="center"/>
          </w:tcPr>
          <w:p w:rsidRPr="009C48DA" w:rsidR="00661519" w:rsidP="00661519" w:rsidRDefault="00661519" w14:paraId="2888856C"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(45,102)</w:t>
            </w:r>
          </w:p>
        </w:tc>
        <w:tc>
          <w:tcPr>
            <w:tcW w:w="1313" w:type="dxa"/>
            <w:vAlign w:val="center"/>
          </w:tcPr>
          <w:p w:rsidRPr="009C48DA" w:rsidR="00661519" w:rsidP="00661519" w:rsidRDefault="00661519" w14:paraId="1873507C"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(103,529)</w:t>
            </w:r>
          </w:p>
        </w:tc>
        <w:tc>
          <w:tcPr>
            <w:tcW w:w="1311" w:type="dxa"/>
            <w:vAlign w:val="center"/>
          </w:tcPr>
          <w:p w:rsidRPr="009C48DA" w:rsidR="00661519" w:rsidP="00661519" w:rsidRDefault="00661519" w14:paraId="1AE36D21"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(93,255)</w:t>
            </w:r>
          </w:p>
        </w:tc>
      </w:tr>
      <w:tr w:rsidRPr="009C48DA" w:rsidR="00661519" w:rsidTr="00661519" w14:paraId="56175B1A" w14:textId="77777777">
        <w:trPr>
          <w:trHeight w:val="235"/>
        </w:trPr>
        <w:tc>
          <w:tcPr>
            <w:tcW w:w="4046" w:type="dxa"/>
            <w:vAlign w:val="center"/>
          </w:tcPr>
          <w:p w:rsidRPr="009C48DA" w:rsidR="00661519" w:rsidP="00661519" w:rsidRDefault="00661519" w14:paraId="6A4DBC04" w14:textId="77777777">
            <w:pPr>
              <w:jc w:val="both"/>
              <w:textAlignment w:val="baseline"/>
              <w:rPr>
                <w:rFonts w:eastAsia="Times New Roman"/>
                <w:color w:val="000000"/>
                <w:sz w:val="16"/>
                <w:lang w:val="en-GB"/>
              </w:rPr>
            </w:pPr>
          </w:p>
          <w:p w:rsidRPr="009C48DA" w:rsidR="00661519" w:rsidP="00661519" w:rsidRDefault="00661519" w14:paraId="4332CDFA" w14:textId="77777777">
            <w:pPr>
              <w:jc w:val="both"/>
              <w:textAlignment w:val="baseline"/>
              <w:rPr>
                <w:rFonts w:eastAsia="Times New Roman"/>
                <w:color w:val="000000"/>
                <w:sz w:val="16"/>
                <w:lang w:val="en-GB"/>
              </w:rPr>
            </w:pPr>
          </w:p>
        </w:tc>
        <w:tc>
          <w:tcPr>
            <w:tcW w:w="1310" w:type="dxa"/>
            <w:vAlign w:val="center"/>
          </w:tcPr>
          <w:p w:rsidRPr="009C48DA" w:rsidR="00661519" w:rsidP="00661519" w:rsidRDefault="00661519" w14:paraId="0F14D893"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(42,337)</w:t>
            </w:r>
          </w:p>
        </w:tc>
        <w:tc>
          <w:tcPr>
            <w:tcW w:w="1311" w:type="dxa"/>
            <w:vAlign w:val="center"/>
          </w:tcPr>
          <w:p w:rsidRPr="009C48DA" w:rsidR="00661519" w:rsidP="00661519" w:rsidRDefault="00661519" w14:paraId="2DC53055"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(33,019)</w:t>
            </w:r>
          </w:p>
        </w:tc>
        <w:tc>
          <w:tcPr>
            <w:tcW w:w="1313" w:type="dxa"/>
            <w:vAlign w:val="center"/>
          </w:tcPr>
          <w:p w:rsidRPr="009C48DA" w:rsidR="00661519" w:rsidP="00661519" w:rsidRDefault="00661519" w14:paraId="00DBF7D0"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(61,163)</w:t>
            </w:r>
          </w:p>
        </w:tc>
        <w:tc>
          <w:tcPr>
            <w:tcW w:w="1311" w:type="dxa"/>
            <w:vAlign w:val="center"/>
          </w:tcPr>
          <w:p w:rsidRPr="009C48DA" w:rsidR="00661519" w:rsidP="00661519" w:rsidRDefault="00661519" w14:paraId="11BE8C41"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(25,493)</w:t>
            </w:r>
          </w:p>
        </w:tc>
      </w:tr>
      <w:tr w:rsidRPr="009C48DA" w:rsidR="00661519" w:rsidTr="00661519" w14:paraId="38792633" w14:textId="77777777">
        <w:trPr>
          <w:trHeight w:val="235"/>
        </w:trPr>
        <w:tc>
          <w:tcPr>
            <w:tcW w:w="4046" w:type="dxa"/>
            <w:vAlign w:val="center"/>
          </w:tcPr>
          <w:p w:rsidRPr="009C48DA" w:rsidR="00661519" w:rsidP="00661519" w:rsidRDefault="00661519" w14:paraId="590ED058" w14:textId="77777777">
            <w:pPr>
              <w:jc w:val="both"/>
              <w:textAlignment w:val="baseline"/>
              <w:rPr>
                <w:rFonts w:eastAsia="Times New Roman"/>
                <w:color w:val="000000"/>
                <w:sz w:val="16"/>
                <w:lang w:val="en-GB"/>
              </w:rPr>
            </w:pPr>
            <w:r w:rsidRPr="009C48DA">
              <w:rPr>
                <w:rFonts w:eastAsia="Times New Roman"/>
                <w:color w:val="000000"/>
                <w:sz w:val="16"/>
                <w:lang w:val="en-GB"/>
              </w:rPr>
              <w:t>Share capital and premium</w:t>
            </w:r>
          </w:p>
        </w:tc>
        <w:tc>
          <w:tcPr>
            <w:tcW w:w="1310" w:type="dxa"/>
            <w:vAlign w:val="center"/>
          </w:tcPr>
          <w:p w:rsidRPr="009C48DA" w:rsidR="00661519" w:rsidP="00661519" w:rsidRDefault="00661519" w14:paraId="285BA4AD" w14:textId="77777777">
            <w:pPr>
              <w:jc w:val="right"/>
              <w:textAlignment w:val="baseline"/>
              <w:rPr>
                <w:rFonts w:eastAsia="Times New Roman"/>
                <w:color w:val="000000"/>
                <w:sz w:val="16"/>
                <w:lang w:val="en-GB"/>
              </w:rPr>
            </w:pPr>
            <w:r w:rsidRPr="009C48DA">
              <w:rPr>
                <w:rFonts w:eastAsia="Times New Roman"/>
                <w:color w:val="000000"/>
                <w:sz w:val="16"/>
                <w:lang w:val="en-GB"/>
              </w:rPr>
              <w:t>240,867</w:t>
            </w:r>
          </w:p>
        </w:tc>
        <w:tc>
          <w:tcPr>
            <w:tcW w:w="1311" w:type="dxa"/>
            <w:vAlign w:val="center"/>
          </w:tcPr>
          <w:p w:rsidRPr="009C48DA" w:rsidR="00661519" w:rsidP="00661519" w:rsidRDefault="00661519" w14:paraId="5EC9391E" w14:textId="77777777">
            <w:pPr>
              <w:jc w:val="right"/>
              <w:textAlignment w:val="baseline"/>
              <w:rPr>
                <w:rFonts w:eastAsia="Times New Roman"/>
                <w:color w:val="000000"/>
                <w:sz w:val="16"/>
                <w:lang w:val="en-GB"/>
              </w:rPr>
            </w:pPr>
            <w:r w:rsidRPr="009C48DA">
              <w:rPr>
                <w:rFonts w:eastAsia="Times New Roman"/>
                <w:color w:val="000000"/>
                <w:sz w:val="16"/>
                <w:lang w:val="en-GB"/>
              </w:rPr>
              <w:t>241,419</w:t>
            </w:r>
          </w:p>
        </w:tc>
        <w:tc>
          <w:tcPr>
            <w:tcW w:w="1313" w:type="dxa"/>
            <w:vAlign w:val="center"/>
          </w:tcPr>
          <w:p w:rsidRPr="009C48DA" w:rsidR="00661519" w:rsidP="00661519" w:rsidRDefault="00661519" w14:paraId="68A11D8C" w14:textId="77777777">
            <w:pPr>
              <w:jc w:val="right"/>
              <w:textAlignment w:val="baseline"/>
              <w:rPr>
                <w:rFonts w:eastAsia="Times New Roman"/>
                <w:color w:val="000000"/>
                <w:sz w:val="16"/>
                <w:lang w:val="en-GB"/>
              </w:rPr>
            </w:pPr>
            <w:r w:rsidRPr="009C48DA">
              <w:rPr>
                <w:rFonts w:eastAsia="Times New Roman"/>
                <w:color w:val="000000"/>
                <w:sz w:val="16"/>
                <w:lang w:val="en-GB"/>
              </w:rPr>
              <w:t>241,419</w:t>
            </w:r>
          </w:p>
        </w:tc>
        <w:tc>
          <w:tcPr>
            <w:tcW w:w="1311" w:type="dxa"/>
            <w:vAlign w:val="center"/>
          </w:tcPr>
          <w:p w:rsidRPr="009C48DA" w:rsidR="00661519" w:rsidP="00661519" w:rsidRDefault="00661519" w14:paraId="07F7620C" w14:textId="77777777">
            <w:pPr>
              <w:jc w:val="right"/>
              <w:textAlignment w:val="baseline"/>
              <w:rPr>
                <w:rFonts w:eastAsia="Times New Roman"/>
                <w:color w:val="000000"/>
                <w:sz w:val="16"/>
                <w:lang w:val="en-GB"/>
              </w:rPr>
            </w:pPr>
            <w:r w:rsidRPr="009C48DA">
              <w:rPr>
                <w:rFonts w:eastAsia="Times New Roman"/>
                <w:color w:val="000000"/>
                <w:sz w:val="16"/>
                <w:lang w:val="en-GB"/>
              </w:rPr>
              <w:t>241,419</w:t>
            </w:r>
          </w:p>
        </w:tc>
      </w:tr>
      <w:tr w:rsidRPr="009C48DA" w:rsidR="00661519" w:rsidTr="00661519" w14:paraId="5D325617" w14:textId="77777777">
        <w:trPr>
          <w:trHeight w:val="235"/>
        </w:trPr>
        <w:tc>
          <w:tcPr>
            <w:tcW w:w="4046" w:type="dxa"/>
            <w:vAlign w:val="center"/>
          </w:tcPr>
          <w:p w:rsidRPr="009C48DA" w:rsidR="00661519" w:rsidP="00661519" w:rsidRDefault="00661519" w14:paraId="1ABB4314" w14:textId="77777777">
            <w:pPr>
              <w:jc w:val="both"/>
              <w:textAlignment w:val="baseline"/>
              <w:rPr>
                <w:rFonts w:eastAsia="Times New Roman"/>
                <w:color w:val="000000"/>
                <w:sz w:val="16"/>
                <w:lang w:val="en-GB"/>
              </w:rPr>
            </w:pPr>
            <w:r w:rsidRPr="009C48DA">
              <w:rPr>
                <w:rFonts w:eastAsia="Times New Roman"/>
                <w:color w:val="000000"/>
                <w:sz w:val="16"/>
                <w:lang w:val="en-GB"/>
              </w:rPr>
              <w:t>Capital redemption reserve</w:t>
            </w:r>
          </w:p>
        </w:tc>
        <w:tc>
          <w:tcPr>
            <w:tcW w:w="1310" w:type="dxa"/>
            <w:vAlign w:val="center"/>
          </w:tcPr>
          <w:p w:rsidRPr="009C48DA" w:rsidR="00661519" w:rsidP="00661519" w:rsidRDefault="00661519" w14:paraId="1D0913DC" w14:textId="77777777">
            <w:pPr>
              <w:jc w:val="right"/>
              <w:textAlignment w:val="baseline"/>
              <w:rPr>
                <w:rFonts w:eastAsia="Times New Roman"/>
                <w:color w:val="000000"/>
                <w:sz w:val="16"/>
                <w:lang w:val="en-GB"/>
              </w:rPr>
            </w:pPr>
            <w:r w:rsidRPr="009C48DA">
              <w:rPr>
                <w:rFonts w:eastAsia="Times New Roman"/>
                <w:color w:val="000000"/>
                <w:sz w:val="16"/>
                <w:lang w:val="en-GB"/>
              </w:rPr>
              <w:t>24,619</w:t>
            </w:r>
          </w:p>
        </w:tc>
        <w:tc>
          <w:tcPr>
            <w:tcW w:w="1311" w:type="dxa"/>
            <w:vAlign w:val="center"/>
          </w:tcPr>
          <w:p w:rsidRPr="009C48DA" w:rsidR="00661519" w:rsidP="00661519" w:rsidRDefault="00661519" w14:paraId="004B9E3E" w14:textId="77777777">
            <w:pPr>
              <w:jc w:val="right"/>
              <w:textAlignment w:val="baseline"/>
              <w:rPr>
                <w:rFonts w:eastAsia="Times New Roman"/>
                <w:color w:val="000000"/>
                <w:sz w:val="16"/>
                <w:lang w:val="en-GB"/>
              </w:rPr>
            </w:pPr>
            <w:r w:rsidRPr="009C48DA">
              <w:rPr>
                <w:rFonts w:eastAsia="Times New Roman"/>
                <w:color w:val="000000"/>
                <w:sz w:val="16"/>
                <w:lang w:val="en-GB"/>
              </w:rPr>
              <w:t>24,619</w:t>
            </w:r>
          </w:p>
        </w:tc>
        <w:tc>
          <w:tcPr>
            <w:tcW w:w="1313" w:type="dxa"/>
            <w:vAlign w:val="center"/>
          </w:tcPr>
          <w:p w:rsidRPr="009C48DA" w:rsidR="00661519" w:rsidP="00661519" w:rsidRDefault="00661519" w14:paraId="7002504A" w14:textId="77777777">
            <w:pPr>
              <w:jc w:val="right"/>
              <w:textAlignment w:val="baseline"/>
              <w:rPr>
                <w:rFonts w:eastAsia="Times New Roman"/>
                <w:color w:val="000000"/>
                <w:sz w:val="16"/>
                <w:lang w:val="en-GB"/>
              </w:rPr>
            </w:pPr>
            <w:r w:rsidRPr="009C48DA">
              <w:rPr>
                <w:rFonts w:eastAsia="Times New Roman"/>
                <w:color w:val="000000"/>
                <w:sz w:val="16"/>
                <w:lang w:val="en-GB"/>
              </w:rPr>
              <w:t>24,619</w:t>
            </w:r>
          </w:p>
        </w:tc>
        <w:tc>
          <w:tcPr>
            <w:tcW w:w="1311" w:type="dxa"/>
            <w:vAlign w:val="center"/>
          </w:tcPr>
          <w:p w:rsidRPr="009C48DA" w:rsidR="00661519" w:rsidP="00661519" w:rsidRDefault="00661519" w14:paraId="23CF27B0" w14:textId="77777777">
            <w:pPr>
              <w:jc w:val="right"/>
              <w:textAlignment w:val="baseline"/>
              <w:rPr>
                <w:rFonts w:eastAsia="Times New Roman"/>
                <w:color w:val="000000"/>
                <w:sz w:val="16"/>
                <w:lang w:val="en-GB"/>
              </w:rPr>
            </w:pPr>
            <w:r w:rsidRPr="009C48DA">
              <w:rPr>
                <w:rFonts w:eastAsia="Times New Roman"/>
                <w:color w:val="000000"/>
                <w:sz w:val="16"/>
                <w:lang w:val="en-GB"/>
              </w:rPr>
              <w:t>24,619</w:t>
            </w:r>
          </w:p>
        </w:tc>
      </w:tr>
      <w:tr w:rsidRPr="009C48DA" w:rsidR="00661519" w:rsidTr="00661519" w14:paraId="6E6CC19B" w14:textId="77777777">
        <w:trPr>
          <w:trHeight w:val="235"/>
        </w:trPr>
        <w:tc>
          <w:tcPr>
            <w:tcW w:w="4046" w:type="dxa"/>
            <w:vAlign w:val="center"/>
          </w:tcPr>
          <w:p w:rsidRPr="009C48DA" w:rsidR="00661519" w:rsidP="00661519" w:rsidRDefault="00661519" w14:paraId="6F1D914F" w14:textId="77777777">
            <w:pPr>
              <w:jc w:val="both"/>
              <w:textAlignment w:val="baseline"/>
              <w:rPr>
                <w:rFonts w:eastAsia="Times New Roman"/>
                <w:color w:val="000000"/>
                <w:sz w:val="16"/>
                <w:lang w:val="en-GB"/>
              </w:rPr>
            </w:pPr>
            <w:r w:rsidRPr="009C48DA">
              <w:rPr>
                <w:rFonts w:eastAsia="Times New Roman"/>
                <w:color w:val="000000"/>
                <w:sz w:val="16"/>
                <w:lang w:val="en-GB"/>
              </w:rPr>
              <w:t>Cash flow hedge reserve</w:t>
            </w:r>
          </w:p>
        </w:tc>
        <w:tc>
          <w:tcPr>
            <w:tcW w:w="1310" w:type="dxa"/>
            <w:vAlign w:val="center"/>
          </w:tcPr>
          <w:p w:rsidRPr="009C48DA" w:rsidR="00661519" w:rsidP="00661519" w:rsidRDefault="00661519" w14:paraId="5C5C858C" w14:textId="77777777">
            <w:pPr>
              <w:jc w:val="right"/>
              <w:textAlignment w:val="baseline"/>
              <w:rPr>
                <w:rFonts w:eastAsia="Times New Roman"/>
                <w:color w:val="000000"/>
                <w:sz w:val="16"/>
                <w:lang w:val="en-GB"/>
              </w:rPr>
            </w:pPr>
            <w:r w:rsidRPr="009C48DA">
              <w:rPr>
                <w:rFonts w:eastAsia="Times New Roman"/>
                <w:color w:val="000000"/>
                <w:sz w:val="16"/>
                <w:lang w:val="en-GB"/>
              </w:rPr>
              <w:t>(3,408)</w:t>
            </w:r>
          </w:p>
        </w:tc>
        <w:tc>
          <w:tcPr>
            <w:tcW w:w="1311" w:type="dxa"/>
            <w:vAlign w:val="center"/>
          </w:tcPr>
          <w:p w:rsidRPr="009C48DA" w:rsidR="00661519" w:rsidP="00661519" w:rsidRDefault="00661519" w14:paraId="647C43D1" w14:textId="77777777">
            <w:pPr>
              <w:jc w:val="right"/>
              <w:textAlignment w:val="baseline"/>
              <w:rPr>
                <w:rFonts w:eastAsia="Times New Roman"/>
                <w:color w:val="000000"/>
                <w:sz w:val="16"/>
                <w:lang w:val="en-GB"/>
              </w:rPr>
            </w:pPr>
            <w:r w:rsidRPr="009C48DA">
              <w:rPr>
                <w:rFonts w:eastAsia="Times New Roman"/>
                <w:color w:val="000000"/>
                <w:sz w:val="16"/>
                <w:lang w:val="en-GB"/>
              </w:rPr>
              <w:t>2,610</w:t>
            </w:r>
          </w:p>
        </w:tc>
        <w:tc>
          <w:tcPr>
            <w:tcW w:w="1313" w:type="dxa"/>
            <w:vAlign w:val="center"/>
          </w:tcPr>
          <w:p w:rsidRPr="009C48DA" w:rsidR="00661519" w:rsidP="00661519" w:rsidRDefault="00661519" w14:paraId="0E42A1B7" w14:textId="77777777">
            <w:pPr>
              <w:jc w:val="right"/>
              <w:textAlignment w:val="baseline"/>
              <w:rPr>
                <w:rFonts w:eastAsia="Times New Roman"/>
                <w:color w:val="000000"/>
                <w:sz w:val="16"/>
                <w:lang w:val="en-GB"/>
              </w:rPr>
            </w:pPr>
            <w:r w:rsidRPr="009C48DA">
              <w:rPr>
                <w:rFonts w:eastAsia="Times New Roman"/>
                <w:color w:val="000000"/>
                <w:sz w:val="16"/>
                <w:lang w:val="en-GB"/>
              </w:rPr>
              <w:t>(2,249)</w:t>
            </w:r>
          </w:p>
        </w:tc>
        <w:tc>
          <w:tcPr>
            <w:tcW w:w="1311" w:type="dxa"/>
            <w:vAlign w:val="center"/>
          </w:tcPr>
          <w:p w:rsidRPr="009C48DA" w:rsidR="00661519" w:rsidP="00661519" w:rsidRDefault="00661519" w14:paraId="2D429577" w14:textId="77777777">
            <w:pPr>
              <w:jc w:val="right"/>
              <w:textAlignment w:val="baseline"/>
              <w:rPr>
                <w:rFonts w:eastAsia="Times New Roman"/>
                <w:color w:val="000000"/>
                <w:sz w:val="16"/>
                <w:lang w:val="en-GB"/>
              </w:rPr>
            </w:pPr>
            <w:r w:rsidRPr="009C48DA">
              <w:rPr>
                <w:rFonts w:eastAsia="Times New Roman"/>
                <w:color w:val="000000"/>
                <w:sz w:val="16"/>
                <w:lang w:val="en-GB"/>
              </w:rPr>
              <w:t>5,585</w:t>
            </w:r>
          </w:p>
        </w:tc>
      </w:tr>
      <w:tr w:rsidRPr="009C48DA" w:rsidR="00661519" w:rsidTr="00661519" w14:paraId="0AD7F391" w14:textId="77777777">
        <w:trPr>
          <w:trHeight w:val="235"/>
        </w:trPr>
        <w:tc>
          <w:tcPr>
            <w:tcW w:w="4046" w:type="dxa"/>
            <w:vAlign w:val="center"/>
          </w:tcPr>
          <w:p w:rsidRPr="009C48DA" w:rsidR="00661519" w:rsidP="00661519" w:rsidRDefault="00661519" w14:paraId="5D4C4D2B" w14:textId="77777777">
            <w:pPr>
              <w:jc w:val="both"/>
              <w:textAlignment w:val="baseline"/>
              <w:rPr>
                <w:rFonts w:eastAsia="Times New Roman"/>
                <w:color w:val="000000"/>
                <w:sz w:val="16"/>
                <w:lang w:val="en-GB"/>
              </w:rPr>
            </w:pPr>
            <w:r w:rsidRPr="009C48DA">
              <w:rPr>
                <w:rFonts w:eastAsia="Times New Roman"/>
                <w:color w:val="000000"/>
                <w:sz w:val="16"/>
                <w:lang w:val="en-GB"/>
              </w:rPr>
              <w:t>Net exchange differences reserve</w:t>
            </w:r>
          </w:p>
        </w:tc>
        <w:tc>
          <w:tcPr>
            <w:tcW w:w="1310" w:type="dxa"/>
            <w:vAlign w:val="center"/>
          </w:tcPr>
          <w:p w:rsidRPr="009C48DA" w:rsidR="00661519" w:rsidP="00661519" w:rsidRDefault="00661519" w14:paraId="5339602F" w14:textId="77777777">
            <w:pPr>
              <w:jc w:val="right"/>
              <w:textAlignment w:val="baseline"/>
              <w:rPr>
                <w:rFonts w:eastAsia="Times New Roman"/>
                <w:color w:val="000000"/>
                <w:sz w:val="16"/>
                <w:lang w:val="en-GB"/>
              </w:rPr>
            </w:pPr>
            <w:r w:rsidRPr="009C48DA">
              <w:rPr>
                <w:rFonts w:eastAsia="Times New Roman"/>
                <w:color w:val="000000"/>
                <w:sz w:val="16"/>
                <w:lang w:val="en-GB"/>
              </w:rPr>
              <w:t>5,046</w:t>
            </w:r>
          </w:p>
        </w:tc>
        <w:tc>
          <w:tcPr>
            <w:tcW w:w="1311" w:type="dxa"/>
            <w:vAlign w:val="center"/>
          </w:tcPr>
          <w:p w:rsidRPr="009C48DA" w:rsidR="00661519" w:rsidP="00661519" w:rsidRDefault="00661519" w14:paraId="5B2BC4B0" w14:textId="77777777">
            <w:pPr>
              <w:jc w:val="right"/>
              <w:textAlignment w:val="baseline"/>
              <w:rPr>
                <w:rFonts w:eastAsia="Times New Roman"/>
                <w:color w:val="000000"/>
                <w:sz w:val="16"/>
                <w:lang w:val="en-GB"/>
              </w:rPr>
            </w:pPr>
            <w:r w:rsidRPr="009C48DA">
              <w:rPr>
                <w:rFonts w:eastAsia="Times New Roman"/>
                <w:color w:val="000000"/>
                <w:sz w:val="16"/>
                <w:lang w:val="en-GB"/>
              </w:rPr>
              <w:t>3,075</w:t>
            </w:r>
          </w:p>
        </w:tc>
        <w:tc>
          <w:tcPr>
            <w:tcW w:w="1313" w:type="dxa"/>
            <w:vAlign w:val="center"/>
          </w:tcPr>
          <w:p w:rsidRPr="009C48DA" w:rsidR="00661519" w:rsidP="00661519" w:rsidRDefault="00661519" w14:paraId="39257712" w14:textId="77777777">
            <w:pPr>
              <w:jc w:val="right"/>
              <w:textAlignment w:val="baseline"/>
              <w:rPr>
                <w:rFonts w:eastAsia="Times New Roman"/>
                <w:color w:val="000000"/>
                <w:sz w:val="16"/>
                <w:lang w:val="en-GB"/>
              </w:rPr>
            </w:pPr>
            <w:r w:rsidRPr="009C48DA">
              <w:rPr>
                <w:rFonts w:eastAsia="Times New Roman"/>
                <w:color w:val="000000"/>
                <w:sz w:val="16"/>
                <w:lang w:val="en-GB"/>
              </w:rPr>
              <w:t>5,344</w:t>
            </w:r>
          </w:p>
        </w:tc>
        <w:tc>
          <w:tcPr>
            <w:tcW w:w="1311" w:type="dxa"/>
            <w:vAlign w:val="center"/>
          </w:tcPr>
          <w:p w:rsidRPr="009C48DA" w:rsidR="00661519" w:rsidP="00661519" w:rsidRDefault="00661519" w14:paraId="6D55ACED" w14:textId="77777777">
            <w:pPr>
              <w:jc w:val="right"/>
              <w:textAlignment w:val="baseline"/>
              <w:rPr>
                <w:rFonts w:eastAsia="Times New Roman"/>
                <w:color w:val="000000"/>
                <w:sz w:val="16"/>
                <w:lang w:val="en-GB"/>
              </w:rPr>
            </w:pPr>
            <w:r w:rsidRPr="009C48DA">
              <w:rPr>
                <w:rFonts w:eastAsia="Times New Roman"/>
                <w:color w:val="000000"/>
                <w:sz w:val="16"/>
                <w:lang w:val="en-GB"/>
              </w:rPr>
              <w:t>3,152</w:t>
            </w:r>
          </w:p>
        </w:tc>
      </w:tr>
      <w:tr w:rsidRPr="009C48DA" w:rsidR="00661519" w:rsidTr="00661519" w14:paraId="4BC9486A" w14:textId="77777777">
        <w:trPr>
          <w:trHeight w:val="235"/>
        </w:trPr>
        <w:tc>
          <w:tcPr>
            <w:tcW w:w="4046" w:type="dxa"/>
            <w:vAlign w:val="center"/>
          </w:tcPr>
          <w:p w:rsidRPr="009C48DA" w:rsidR="00661519" w:rsidP="00661519" w:rsidRDefault="00661519" w14:paraId="19A7B1B5" w14:textId="77777777">
            <w:pPr>
              <w:jc w:val="both"/>
              <w:textAlignment w:val="baseline"/>
              <w:rPr>
                <w:rFonts w:eastAsia="Times New Roman"/>
                <w:color w:val="000000"/>
                <w:sz w:val="16"/>
                <w:lang w:val="en-GB"/>
              </w:rPr>
            </w:pPr>
            <w:r w:rsidRPr="009C48DA">
              <w:rPr>
                <w:rFonts w:eastAsia="Times New Roman"/>
                <w:color w:val="000000"/>
                <w:sz w:val="16"/>
                <w:lang w:val="en-GB"/>
              </w:rPr>
              <w:t>Retained earnings</w:t>
            </w:r>
          </w:p>
        </w:tc>
        <w:tc>
          <w:tcPr>
            <w:tcW w:w="1310" w:type="dxa"/>
            <w:vAlign w:val="center"/>
          </w:tcPr>
          <w:p w:rsidRPr="009C48DA" w:rsidR="00661519" w:rsidP="00661519" w:rsidRDefault="00661519" w14:paraId="515930CA"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(27,456)</w:t>
            </w:r>
          </w:p>
        </w:tc>
        <w:tc>
          <w:tcPr>
            <w:tcW w:w="1311" w:type="dxa"/>
            <w:vAlign w:val="center"/>
          </w:tcPr>
          <w:p w:rsidRPr="009C48DA" w:rsidR="00661519" w:rsidP="00661519" w:rsidRDefault="00661519" w14:paraId="65B18C86"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(6,242)</w:t>
            </w:r>
          </w:p>
        </w:tc>
        <w:tc>
          <w:tcPr>
            <w:tcW w:w="1313" w:type="dxa"/>
            <w:vAlign w:val="center"/>
          </w:tcPr>
          <w:p w:rsidRPr="009C48DA" w:rsidR="00661519" w:rsidP="00661519" w:rsidRDefault="00661519" w14:paraId="6768D408"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39,709</w:t>
            </w:r>
          </w:p>
        </w:tc>
        <w:tc>
          <w:tcPr>
            <w:tcW w:w="1311" w:type="dxa"/>
            <w:vAlign w:val="center"/>
          </w:tcPr>
          <w:p w:rsidRPr="009C48DA" w:rsidR="00661519" w:rsidP="00661519" w:rsidRDefault="00661519" w14:paraId="3B9B3191"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52,684</w:t>
            </w:r>
          </w:p>
        </w:tc>
      </w:tr>
      <w:tr w:rsidRPr="009C48DA" w:rsidR="00661519" w:rsidTr="00661519" w14:paraId="7B255A64" w14:textId="77777777">
        <w:trPr>
          <w:trHeight w:val="235"/>
        </w:trPr>
        <w:tc>
          <w:tcPr>
            <w:tcW w:w="4046" w:type="dxa"/>
          </w:tcPr>
          <w:p w:rsidRPr="009C48DA" w:rsidR="00661519" w:rsidP="00661519" w:rsidRDefault="00661519" w14:paraId="03EBE1F4"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 </w:t>
            </w:r>
          </w:p>
        </w:tc>
        <w:tc>
          <w:tcPr>
            <w:tcW w:w="1310" w:type="dxa"/>
          </w:tcPr>
          <w:p w:rsidRPr="009C48DA" w:rsidR="00661519" w:rsidP="00661519" w:rsidRDefault="00661519" w14:paraId="0B480025"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239,668</w:t>
            </w:r>
          </w:p>
        </w:tc>
        <w:tc>
          <w:tcPr>
            <w:tcW w:w="1311" w:type="dxa"/>
          </w:tcPr>
          <w:p w:rsidRPr="009C48DA" w:rsidR="00661519" w:rsidP="00661519" w:rsidRDefault="00661519" w14:paraId="643A4F40"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265,481</w:t>
            </w:r>
          </w:p>
        </w:tc>
        <w:tc>
          <w:tcPr>
            <w:tcW w:w="1313" w:type="dxa"/>
          </w:tcPr>
          <w:p w:rsidRPr="009C48DA" w:rsidR="00661519" w:rsidP="00661519" w:rsidRDefault="00661519" w14:paraId="2BFF32DA"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308,842</w:t>
            </w:r>
          </w:p>
        </w:tc>
        <w:tc>
          <w:tcPr>
            <w:tcW w:w="1311" w:type="dxa"/>
          </w:tcPr>
          <w:p w:rsidRPr="009C48DA" w:rsidR="00661519" w:rsidP="00661519" w:rsidRDefault="00661519" w14:paraId="784E9E8C"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327,459</w:t>
            </w:r>
          </w:p>
        </w:tc>
      </w:tr>
    </w:tbl>
    <w:p w:rsidRPr="009C48DA" w:rsidR="00661519" w:rsidP="00661519" w:rsidRDefault="00661519" w14:paraId="6309A024" w14:textId="77777777">
      <w:pPr>
        <w:spacing w:after="187" w:line="20" w:lineRule="exact"/>
        <w:rPr>
          <w:lang w:val="en-GB"/>
        </w:rPr>
      </w:pPr>
    </w:p>
    <w:p w:rsidRPr="009C48DA" w:rsidR="00661519" w:rsidP="00661519" w:rsidRDefault="00661519" w14:paraId="035181FD" w14:textId="77777777">
      <w:pPr>
        <w:spacing w:line="183" w:lineRule="exact"/>
        <w:ind w:right="144"/>
        <w:jc w:val="both"/>
        <w:textAlignment w:val="baseline"/>
        <w:rPr>
          <w:rFonts w:eastAsia="Times New Roman"/>
          <w:color w:val="000000"/>
          <w:sz w:val="16"/>
          <w:lang w:val="en-GB"/>
        </w:rPr>
      </w:pPr>
      <w:r w:rsidRPr="009C48DA">
        <w:rPr>
          <w:rFonts w:eastAsia="Times New Roman"/>
          <w:color w:val="000000"/>
          <w:sz w:val="16"/>
          <w:lang w:val="en-GB"/>
        </w:rPr>
        <w:t xml:space="preserve">The Group’s banking facilities are subject to financial covenants. The Bridgepoint Advisers Holdings Revolving Credit Agreement is subject to a ratio of adjusted EBITDA to net finance charges and ratio of total net debt to adjusted EBITDA on a rolling 12 month period. The Opal Investments LP Revolving Credit Agreement is subject to a ratio of total indebtedness to the fair value of it’s interest in </w:t>
      </w:r>
    </w:p>
    <w:p w:rsidRPr="009C48DA" w:rsidR="00661519" w:rsidP="00661519" w:rsidRDefault="00661519" w14:paraId="68F47284" w14:textId="77777777">
      <w:pPr>
        <w:spacing w:line="183" w:lineRule="exact"/>
        <w:ind w:right="144"/>
        <w:jc w:val="both"/>
        <w:textAlignment w:val="baseline"/>
        <w:rPr>
          <w:rFonts w:eastAsia="Times New Roman"/>
          <w:color w:val="000000"/>
          <w:sz w:val="16"/>
          <w:lang w:val="en-GB"/>
        </w:rPr>
      </w:pPr>
      <w:r w:rsidRPr="009C48DA">
        <w:rPr>
          <w:rFonts w:eastAsia="Times New Roman"/>
          <w:color w:val="000000"/>
          <w:sz w:val="16"/>
          <w:lang w:val="en-GB"/>
        </w:rPr>
        <w:t>investment in Bridgepoint Europe V fund partnerships.</w:t>
      </w:r>
    </w:p>
    <w:p w:rsidRPr="009C48DA" w:rsidR="00661519" w:rsidP="00661519" w:rsidRDefault="00661519" w14:paraId="04DA2739" w14:textId="77777777">
      <w:pPr>
        <w:jc w:val="both"/>
        <w:textAlignment w:val="baseline"/>
        <w:rPr>
          <w:rFonts w:eastAsia="Times New Roman"/>
          <w:color w:val="000000"/>
          <w:sz w:val="16"/>
          <w:lang w:val="en-GB"/>
        </w:rPr>
      </w:pPr>
    </w:p>
    <w:p w:rsidRPr="009C48DA" w:rsidR="00661519" w:rsidP="00661519" w:rsidRDefault="00661519" w14:paraId="401F6417"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During the periods the Group was fully compliant with regulatory capital requirements and banking covenants.</w:t>
      </w:r>
    </w:p>
    <w:p w:rsidRPr="009C48DA" w:rsidR="00661519" w:rsidP="00661519" w:rsidRDefault="00661519" w14:paraId="0F4F8A8B"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lastRenderedPageBreak/>
        <w:t>22</w:t>
      </w:r>
      <w:r w:rsidRPr="009C48DA">
        <w:rPr>
          <w:rFonts w:eastAsia="Times New Roman" w:cs="Times New Roman"/>
          <w:b/>
          <w:color w:val="000000"/>
          <w:sz w:val="16"/>
          <w:szCs w:val="22"/>
          <w:lang w:val="en-GB"/>
        </w:rPr>
        <w:tab/>
        <w:t>Deferred tax liabilities</w:t>
      </w:r>
    </w:p>
    <w:p w:rsidRPr="009C48DA" w:rsidR="00661519" w:rsidP="00661519" w:rsidRDefault="00661519" w14:paraId="7982B535" w14:textId="77777777">
      <w:pPr>
        <w:textAlignment w:val="baseline"/>
        <w:rPr>
          <w:rFonts w:eastAsia="Times New Roman" w:cs="Times New Roman"/>
          <w:b/>
          <w:color w:val="000000"/>
          <w:sz w:val="16"/>
          <w:szCs w:val="22"/>
          <w:lang w:val="en-GB"/>
        </w:rPr>
      </w:pPr>
    </w:p>
    <w:tbl>
      <w:tblPr>
        <w:tblStyle w:val="TableGrid30"/>
        <w:tblW w:w="92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46"/>
        <w:gridCol w:w="1310"/>
        <w:gridCol w:w="1311"/>
        <w:gridCol w:w="1313"/>
        <w:gridCol w:w="1311"/>
      </w:tblGrid>
      <w:tr w:rsidRPr="009C48DA" w:rsidR="00661519" w:rsidTr="00661519" w14:paraId="5C42737B" w14:textId="77777777">
        <w:trPr>
          <w:trHeight w:val="224"/>
        </w:trPr>
        <w:tc>
          <w:tcPr>
            <w:tcW w:w="4046" w:type="dxa"/>
            <w:vAlign w:val="bottom"/>
          </w:tcPr>
          <w:p w:rsidRPr="009C48DA" w:rsidR="00661519" w:rsidP="00661519" w:rsidRDefault="00661519" w14:paraId="266EB3BB" w14:textId="77777777">
            <w:pPr>
              <w:jc w:val="both"/>
              <w:textAlignment w:val="baseline"/>
              <w:rPr>
                <w:rFonts w:eastAsia="Times New Roman"/>
                <w:b/>
                <w:color w:val="000000"/>
                <w:sz w:val="16"/>
                <w:szCs w:val="16"/>
                <w:lang w:val="en-GB"/>
              </w:rPr>
            </w:pPr>
          </w:p>
        </w:tc>
        <w:tc>
          <w:tcPr>
            <w:tcW w:w="3934" w:type="dxa"/>
            <w:gridSpan w:val="3"/>
            <w:vAlign w:val="bottom"/>
          </w:tcPr>
          <w:p w:rsidRPr="009C48DA" w:rsidR="00661519" w:rsidP="00661519" w:rsidRDefault="00661519" w14:paraId="7FF1E1F9"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December</w:t>
            </w:r>
          </w:p>
        </w:tc>
        <w:tc>
          <w:tcPr>
            <w:tcW w:w="1311" w:type="dxa"/>
            <w:vAlign w:val="bottom"/>
          </w:tcPr>
          <w:p w:rsidRPr="009C48DA" w:rsidR="00661519" w:rsidP="00661519" w:rsidRDefault="00661519" w14:paraId="7D7713E0"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lang w:val="en-GB"/>
              </w:rPr>
              <w:t>31 March</w:t>
            </w:r>
            <w:r w:rsidRPr="009C48DA">
              <w:rPr>
                <w:rFonts w:eastAsia="Times New Roman"/>
                <w:b/>
                <w:color w:val="000000"/>
                <w:sz w:val="16"/>
                <w:szCs w:val="16"/>
                <w:lang w:val="en-GB"/>
              </w:rPr>
              <w:t xml:space="preserve"> </w:t>
            </w:r>
          </w:p>
        </w:tc>
      </w:tr>
      <w:tr w:rsidRPr="009C48DA" w:rsidR="00661519" w:rsidTr="00661519" w14:paraId="115F4342" w14:textId="77777777">
        <w:trPr>
          <w:trHeight w:val="388"/>
        </w:trPr>
        <w:tc>
          <w:tcPr>
            <w:tcW w:w="4046" w:type="dxa"/>
            <w:vAlign w:val="bottom"/>
          </w:tcPr>
          <w:p w:rsidRPr="009C48DA" w:rsidR="00661519" w:rsidP="00661519" w:rsidRDefault="00661519" w14:paraId="7C55204E" w14:textId="77777777">
            <w:pPr>
              <w:textAlignment w:val="baseline"/>
              <w:rPr>
                <w:rFonts w:eastAsia="Times New Roman"/>
                <w:color w:val="000000"/>
                <w:sz w:val="16"/>
                <w:lang w:val="en-GB"/>
              </w:rPr>
            </w:pPr>
          </w:p>
        </w:tc>
        <w:tc>
          <w:tcPr>
            <w:tcW w:w="1310" w:type="dxa"/>
            <w:vAlign w:val="bottom"/>
          </w:tcPr>
          <w:p w:rsidRPr="009C48DA" w:rsidR="00661519" w:rsidP="00661519" w:rsidRDefault="00661519" w14:paraId="68C53C61"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71AA52BE"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1" w:type="dxa"/>
            <w:vAlign w:val="bottom"/>
          </w:tcPr>
          <w:p w:rsidRPr="009C48DA" w:rsidR="00661519" w:rsidP="00661519" w:rsidRDefault="00661519" w14:paraId="2E352661"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480E2BAF"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3" w:type="dxa"/>
            <w:vAlign w:val="bottom"/>
          </w:tcPr>
          <w:p w:rsidRPr="009C48DA" w:rsidR="00661519" w:rsidP="00661519" w:rsidRDefault="00661519" w14:paraId="62AEA73F"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61531173"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c>
          <w:tcPr>
            <w:tcW w:w="1311" w:type="dxa"/>
            <w:vAlign w:val="bottom"/>
          </w:tcPr>
          <w:p w:rsidRPr="009C48DA" w:rsidR="00661519" w:rsidP="00661519" w:rsidRDefault="00661519" w14:paraId="4AD14264"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58ECD975" w14:textId="77777777">
            <w:pPr>
              <w:jc w:val="right"/>
              <w:textAlignment w:val="baseline"/>
              <w:rPr>
                <w:rFonts w:eastAsia="Times New Roman"/>
                <w:color w:val="000000"/>
                <w:sz w:val="16"/>
                <w:lang w:val="en-GB"/>
              </w:rPr>
            </w:pPr>
            <w:r w:rsidRPr="009C48DA">
              <w:rPr>
                <w:rFonts w:eastAsia="Times New Roman"/>
                <w:b/>
                <w:color w:val="000000"/>
                <w:sz w:val="16"/>
                <w:lang w:val="en-GB"/>
              </w:rPr>
              <w:t xml:space="preserve">£ </w:t>
            </w:r>
            <w:r w:rsidRPr="009C48DA">
              <w:rPr>
                <w:rFonts w:eastAsia="Times New Roman"/>
                <w:b/>
                <w:color w:val="000000"/>
                <w:sz w:val="17"/>
                <w:lang w:val="en-GB"/>
              </w:rPr>
              <w:t>000</w:t>
            </w:r>
          </w:p>
        </w:tc>
      </w:tr>
      <w:tr w:rsidRPr="009C48DA" w:rsidR="00661519" w:rsidTr="00661519" w14:paraId="0DB24867" w14:textId="77777777">
        <w:trPr>
          <w:trHeight w:val="235"/>
        </w:trPr>
        <w:tc>
          <w:tcPr>
            <w:tcW w:w="4046" w:type="dxa"/>
            <w:vAlign w:val="center"/>
          </w:tcPr>
          <w:p w:rsidRPr="009C48DA" w:rsidR="00661519" w:rsidP="00661519" w:rsidRDefault="00661519" w14:paraId="0EA40815" w14:textId="77777777">
            <w:pPr>
              <w:spacing w:before="48" w:line="183" w:lineRule="exact"/>
              <w:textAlignment w:val="baseline"/>
              <w:rPr>
                <w:rFonts w:eastAsia="Times New Roman"/>
                <w:color w:val="000000"/>
                <w:sz w:val="16"/>
                <w:lang w:val="en-GB"/>
              </w:rPr>
            </w:pPr>
            <w:r w:rsidRPr="009C48DA">
              <w:rPr>
                <w:rFonts w:eastAsia="Times New Roman"/>
                <w:color w:val="000000"/>
                <w:sz w:val="16"/>
                <w:lang w:val="en-GB"/>
              </w:rPr>
              <w:t>Deferred tax assets</w:t>
            </w:r>
          </w:p>
        </w:tc>
        <w:tc>
          <w:tcPr>
            <w:tcW w:w="1310" w:type="dxa"/>
            <w:vAlign w:val="center"/>
          </w:tcPr>
          <w:p w:rsidRPr="009C48DA" w:rsidR="00661519" w:rsidP="00661519" w:rsidRDefault="00661519" w14:paraId="45D6BD95" w14:textId="77777777">
            <w:pPr>
              <w:jc w:val="right"/>
              <w:textAlignment w:val="baseline"/>
              <w:rPr>
                <w:rFonts w:eastAsia="Times New Roman"/>
                <w:color w:val="000000"/>
                <w:sz w:val="16"/>
                <w:lang w:val="en-GB"/>
              </w:rPr>
            </w:pPr>
            <w:r w:rsidRPr="009C48DA">
              <w:rPr>
                <w:rFonts w:eastAsia="Times New Roman"/>
                <w:color w:val="000000"/>
                <w:sz w:val="16"/>
                <w:lang w:val="en-GB"/>
              </w:rPr>
              <w:t>23,109</w:t>
            </w:r>
          </w:p>
        </w:tc>
        <w:tc>
          <w:tcPr>
            <w:tcW w:w="1311" w:type="dxa"/>
            <w:vAlign w:val="center"/>
          </w:tcPr>
          <w:p w:rsidRPr="009C48DA" w:rsidR="00661519" w:rsidP="00661519" w:rsidRDefault="00661519" w14:paraId="5A33E08F" w14:textId="77777777">
            <w:pPr>
              <w:jc w:val="right"/>
              <w:textAlignment w:val="baseline"/>
              <w:rPr>
                <w:rFonts w:eastAsia="Times New Roman"/>
                <w:color w:val="000000"/>
                <w:sz w:val="16"/>
                <w:lang w:val="en-GB"/>
              </w:rPr>
            </w:pPr>
            <w:r w:rsidRPr="009C48DA">
              <w:rPr>
                <w:rFonts w:eastAsia="Times New Roman"/>
                <w:color w:val="000000"/>
                <w:sz w:val="16"/>
                <w:lang w:val="en-GB"/>
              </w:rPr>
              <w:t>24,414</w:t>
            </w:r>
          </w:p>
        </w:tc>
        <w:tc>
          <w:tcPr>
            <w:tcW w:w="1313" w:type="dxa"/>
            <w:vAlign w:val="center"/>
          </w:tcPr>
          <w:p w:rsidRPr="009C48DA" w:rsidR="00661519" w:rsidP="00661519" w:rsidRDefault="00661519" w14:paraId="133AA937" w14:textId="77777777">
            <w:pPr>
              <w:jc w:val="right"/>
              <w:textAlignment w:val="baseline"/>
              <w:rPr>
                <w:rFonts w:eastAsia="Times New Roman"/>
                <w:color w:val="000000"/>
                <w:sz w:val="16"/>
                <w:lang w:val="en-GB"/>
              </w:rPr>
            </w:pPr>
            <w:r w:rsidRPr="009C48DA">
              <w:rPr>
                <w:rFonts w:eastAsia="Times New Roman"/>
                <w:color w:val="000000"/>
                <w:sz w:val="16"/>
                <w:lang w:val="en-GB"/>
              </w:rPr>
              <w:t>25,988</w:t>
            </w:r>
          </w:p>
        </w:tc>
        <w:tc>
          <w:tcPr>
            <w:tcW w:w="1311" w:type="dxa"/>
            <w:vAlign w:val="center"/>
          </w:tcPr>
          <w:p w:rsidRPr="009C48DA" w:rsidR="00661519" w:rsidP="00661519" w:rsidRDefault="00661519" w14:paraId="4C7A5F99" w14:textId="77777777">
            <w:pPr>
              <w:jc w:val="right"/>
              <w:textAlignment w:val="baseline"/>
              <w:rPr>
                <w:rFonts w:eastAsia="Times New Roman"/>
                <w:color w:val="000000"/>
                <w:sz w:val="16"/>
                <w:lang w:val="en-GB"/>
              </w:rPr>
            </w:pPr>
            <w:r w:rsidRPr="009C48DA">
              <w:rPr>
                <w:rFonts w:eastAsia="Times New Roman"/>
                <w:color w:val="000000"/>
                <w:sz w:val="16"/>
                <w:lang w:val="en-GB"/>
              </w:rPr>
              <w:t>26,204</w:t>
            </w:r>
          </w:p>
        </w:tc>
      </w:tr>
      <w:tr w:rsidRPr="009C48DA" w:rsidR="00661519" w:rsidTr="00661519" w14:paraId="1D9FC8B3" w14:textId="77777777">
        <w:trPr>
          <w:trHeight w:val="235"/>
        </w:trPr>
        <w:tc>
          <w:tcPr>
            <w:tcW w:w="4046" w:type="dxa"/>
            <w:vAlign w:val="center"/>
          </w:tcPr>
          <w:p w:rsidRPr="009C48DA" w:rsidR="00661519" w:rsidP="00661519" w:rsidRDefault="00661519" w14:paraId="0B904667" w14:textId="77777777">
            <w:pPr>
              <w:spacing w:before="48" w:line="183" w:lineRule="exact"/>
              <w:textAlignment w:val="baseline"/>
              <w:rPr>
                <w:rFonts w:eastAsia="Times New Roman"/>
                <w:color w:val="000000"/>
                <w:sz w:val="16"/>
                <w:lang w:val="en-GB"/>
              </w:rPr>
            </w:pPr>
            <w:r w:rsidRPr="009C48DA">
              <w:rPr>
                <w:rFonts w:eastAsia="Times New Roman"/>
                <w:color w:val="000000"/>
                <w:sz w:val="16"/>
                <w:lang w:val="en-GB"/>
              </w:rPr>
              <w:t>Deferred tax liabilities</w:t>
            </w:r>
          </w:p>
        </w:tc>
        <w:tc>
          <w:tcPr>
            <w:tcW w:w="1310" w:type="dxa"/>
            <w:vAlign w:val="center"/>
          </w:tcPr>
          <w:p w:rsidRPr="009C48DA" w:rsidR="00661519" w:rsidP="00661519" w:rsidRDefault="00661519" w14:paraId="38E98CA0"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(32,478)</w:t>
            </w:r>
          </w:p>
        </w:tc>
        <w:tc>
          <w:tcPr>
            <w:tcW w:w="1311" w:type="dxa"/>
            <w:vAlign w:val="center"/>
          </w:tcPr>
          <w:p w:rsidRPr="009C48DA" w:rsidR="00661519" w:rsidP="00661519" w:rsidRDefault="00661519" w14:paraId="72C49A3B"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(38,309)</w:t>
            </w:r>
          </w:p>
        </w:tc>
        <w:tc>
          <w:tcPr>
            <w:tcW w:w="1313" w:type="dxa"/>
            <w:vAlign w:val="center"/>
          </w:tcPr>
          <w:p w:rsidRPr="009C48DA" w:rsidR="00661519" w:rsidP="00661519" w:rsidRDefault="00661519" w14:paraId="7B5DCDE7"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(41,891)</w:t>
            </w:r>
          </w:p>
        </w:tc>
        <w:tc>
          <w:tcPr>
            <w:tcW w:w="1311" w:type="dxa"/>
            <w:vAlign w:val="center"/>
          </w:tcPr>
          <w:p w:rsidRPr="009C48DA" w:rsidR="00661519" w:rsidP="00661519" w:rsidRDefault="00661519" w14:paraId="58B11C84"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(46,136)</w:t>
            </w:r>
          </w:p>
        </w:tc>
      </w:tr>
      <w:tr w:rsidRPr="009C48DA" w:rsidR="00661519" w:rsidTr="00661519" w14:paraId="649706B7" w14:textId="77777777">
        <w:trPr>
          <w:trHeight w:val="235"/>
        </w:trPr>
        <w:tc>
          <w:tcPr>
            <w:tcW w:w="4046" w:type="dxa"/>
            <w:vAlign w:val="center"/>
          </w:tcPr>
          <w:p w:rsidRPr="009C48DA" w:rsidR="00661519" w:rsidP="00661519" w:rsidRDefault="00661519" w14:paraId="15E33F37" w14:textId="77777777">
            <w:pPr>
              <w:spacing w:before="120"/>
              <w:textAlignment w:val="baseline"/>
              <w:rPr>
                <w:rFonts w:eastAsia="Times New Roman"/>
                <w:color w:val="000000"/>
                <w:sz w:val="16"/>
                <w:lang w:val="en-GB"/>
              </w:rPr>
            </w:pPr>
            <w:r w:rsidRPr="009C48DA">
              <w:rPr>
                <w:rFonts w:eastAsia="Times New Roman"/>
                <w:color w:val="000000"/>
                <w:sz w:val="16"/>
                <w:lang w:val="en-GB"/>
              </w:rPr>
              <w:t>Total</w:t>
            </w:r>
          </w:p>
        </w:tc>
        <w:tc>
          <w:tcPr>
            <w:tcW w:w="1310" w:type="dxa"/>
          </w:tcPr>
          <w:p w:rsidRPr="009C48DA" w:rsidR="00661519" w:rsidP="00661519" w:rsidRDefault="00661519" w14:paraId="49FCDFB2"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(9,369)</w:t>
            </w:r>
          </w:p>
        </w:tc>
        <w:tc>
          <w:tcPr>
            <w:tcW w:w="1311" w:type="dxa"/>
          </w:tcPr>
          <w:p w:rsidRPr="009C48DA" w:rsidR="00661519" w:rsidP="00661519" w:rsidRDefault="00661519" w14:paraId="051E8AC8"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(13,895)</w:t>
            </w:r>
          </w:p>
        </w:tc>
        <w:tc>
          <w:tcPr>
            <w:tcW w:w="1313" w:type="dxa"/>
          </w:tcPr>
          <w:p w:rsidRPr="009C48DA" w:rsidR="00661519" w:rsidP="00661519" w:rsidRDefault="00661519" w14:paraId="7FBEC955"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(15,903)</w:t>
            </w:r>
          </w:p>
        </w:tc>
        <w:tc>
          <w:tcPr>
            <w:tcW w:w="1311" w:type="dxa"/>
          </w:tcPr>
          <w:p w:rsidRPr="009C48DA" w:rsidR="00661519" w:rsidP="00661519" w:rsidRDefault="00661519" w14:paraId="553EC84D" w14:textId="77777777">
            <w:pPr>
              <w:pBdr>
                <w:bottom w:val="double" w:color="auto" w:sz="12" w:space="1"/>
              </w:pBdr>
              <w:spacing w:before="120"/>
              <w:jc w:val="right"/>
              <w:textAlignment w:val="baseline"/>
              <w:rPr>
                <w:rFonts w:eastAsia="Times New Roman"/>
                <w:color w:val="000000"/>
                <w:sz w:val="16"/>
                <w:lang w:val="en-GB"/>
              </w:rPr>
            </w:pPr>
            <w:r w:rsidRPr="009C48DA">
              <w:rPr>
                <w:rFonts w:eastAsia="Times New Roman"/>
                <w:color w:val="000000"/>
                <w:sz w:val="16"/>
                <w:lang w:val="en-GB"/>
              </w:rPr>
              <w:t>(19,932)</w:t>
            </w:r>
          </w:p>
        </w:tc>
      </w:tr>
    </w:tbl>
    <w:p w:rsidRPr="009C48DA" w:rsidR="00661519" w:rsidP="00661519" w:rsidRDefault="00661519" w14:paraId="10E98508" w14:textId="77777777">
      <w:pPr>
        <w:textAlignment w:val="baseline"/>
        <w:rPr>
          <w:rFonts w:eastAsia="Times New Roman" w:cs="Times New Roman"/>
          <w:b/>
          <w:color w:val="000000"/>
          <w:sz w:val="16"/>
          <w:szCs w:val="22"/>
          <w:lang w:val="en-GB"/>
        </w:rPr>
      </w:pPr>
    </w:p>
    <w:p w:rsidRPr="009C48DA" w:rsidR="00661519" w:rsidP="00661519" w:rsidRDefault="00661519" w14:paraId="69A1429E" w14:textId="77777777">
      <w:pPr>
        <w:ind w:right="72"/>
        <w:jc w:val="both"/>
        <w:textAlignment w:val="baseline"/>
        <w:rPr>
          <w:rFonts w:eastAsia="Times New Roman"/>
          <w:color w:val="000000"/>
          <w:sz w:val="16"/>
          <w:lang w:val="en-GB"/>
        </w:rPr>
      </w:pPr>
    </w:p>
    <w:p w:rsidRPr="009C48DA" w:rsidR="00661519" w:rsidP="00661519" w:rsidRDefault="00661519" w14:paraId="6A85A8DF"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Deferred tax liabilities primarily represent a future tax on the Group’s fee income and a timing difference arising on the remeasurement of </w:t>
      </w:r>
      <w:r w:rsidRPr="009C48DA">
        <w:rPr>
          <w:rFonts w:eastAsia="Times New Roman"/>
          <w:color w:val="000000"/>
          <w:sz w:val="16"/>
          <w:lang w:val="en-GB"/>
        </w:rPr>
        <w:br/>
        <w:t xml:space="preserve">the fair value of investments. They unwind as fees become taxable and investments are realised. </w:t>
      </w:r>
    </w:p>
    <w:p w:rsidRPr="009C48DA" w:rsidR="00661519" w:rsidP="00661519" w:rsidRDefault="00661519" w14:paraId="24AC6E6C" w14:textId="77777777">
      <w:pPr>
        <w:ind w:right="72"/>
        <w:jc w:val="both"/>
        <w:textAlignment w:val="baseline"/>
        <w:rPr>
          <w:rFonts w:eastAsia="Times New Roman"/>
          <w:color w:val="000000"/>
          <w:sz w:val="16"/>
          <w:lang w:val="en-GB"/>
        </w:rPr>
      </w:pPr>
    </w:p>
    <w:p w:rsidRPr="009C48DA" w:rsidR="00661519" w:rsidP="00661519" w:rsidRDefault="00661519" w14:paraId="0614DEEF"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Deferred tax assets primarily relate to tax losses carried forward, to the extent that they can be utilised under relevant tax legislation. </w:t>
      </w:r>
    </w:p>
    <w:p w:rsidRPr="009C48DA" w:rsidR="00661519" w:rsidP="00661519" w:rsidRDefault="00661519" w14:paraId="69B9250E" w14:textId="77777777">
      <w:pPr>
        <w:ind w:right="72"/>
        <w:jc w:val="both"/>
        <w:textAlignment w:val="baseline"/>
        <w:rPr>
          <w:rFonts w:eastAsia="Times New Roman"/>
          <w:color w:val="000000"/>
          <w:sz w:val="16"/>
          <w:lang w:val="en-GB"/>
        </w:rPr>
      </w:pPr>
    </w:p>
    <w:p w:rsidRPr="009C48DA" w:rsidR="00661519" w:rsidP="00661519" w:rsidRDefault="00661519" w14:paraId="7ECF66B2"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deferred tax asset and liabilities also includes deferred tax on right-of-use assets and lease liabilities which will unwind over the period </w:t>
      </w:r>
      <w:r w:rsidRPr="009C48DA">
        <w:rPr>
          <w:rFonts w:eastAsia="Times New Roman"/>
          <w:color w:val="000000"/>
          <w:sz w:val="16"/>
          <w:lang w:val="en-GB"/>
        </w:rPr>
        <w:br/>
        <w:t>of the lease.</w:t>
      </w:r>
    </w:p>
    <w:p w:rsidRPr="009C48DA" w:rsidR="00661519" w:rsidP="00661519" w:rsidRDefault="00661519" w14:paraId="75A3A7FB" w14:textId="77777777">
      <w:pPr>
        <w:ind w:right="72"/>
        <w:jc w:val="both"/>
        <w:textAlignment w:val="baseline"/>
        <w:rPr>
          <w:rFonts w:eastAsia="Times New Roman"/>
          <w:color w:val="000000"/>
          <w:sz w:val="16"/>
          <w:lang w:val="en-GB"/>
        </w:rPr>
      </w:pPr>
    </w:p>
    <w:p w:rsidRPr="009C48DA" w:rsidR="00661519" w:rsidP="00661519" w:rsidRDefault="00661519" w14:paraId="227048FD"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The deferred tax has been measured using the applicable tax rate expected at the point at which the income or cost will become taxable.</w:t>
      </w:r>
    </w:p>
    <w:p w:rsidRPr="009C48DA" w:rsidR="00661519" w:rsidP="00661519" w:rsidRDefault="00661519" w14:paraId="48ACCEAD" w14:textId="77777777">
      <w:pPr>
        <w:ind w:right="72"/>
        <w:jc w:val="both"/>
        <w:textAlignment w:val="baseline"/>
        <w:rPr>
          <w:rFonts w:eastAsia="Times New Roman"/>
          <w:color w:val="000000"/>
          <w:sz w:val="16"/>
          <w:lang w:val="en-GB"/>
        </w:rPr>
      </w:pPr>
    </w:p>
    <w:p w:rsidRPr="009C48DA" w:rsidR="00661519" w:rsidP="00661519" w:rsidRDefault="00661519" w14:paraId="2881A89A" w14:textId="77777777">
      <w:pPr>
        <w:ind w:right="72"/>
        <w:jc w:val="both"/>
        <w:textAlignment w:val="baseline"/>
        <w:rPr>
          <w:rFonts w:eastAsia="Times New Roman"/>
          <w:color w:val="000000"/>
          <w:sz w:val="16"/>
          <w:lang w:val="en-GB"/>
        </w:rPr>
      </w:pPr>
    </w:p>
    <w:p w:rsidRPr="009C48DA" w:rsidR="00661519" w:rsidP="00661519" w:rsidRDefault="00661519" w14:paraId="112DE90D"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23</w:t>
      </w:r>
      <w:r w:rsidRPr="009C48DA">
        <w:rPr>
          <w:rFonts w:eastAsia="Times New Roman" w:cs="Times New Roman"/>
          <w:b/>
          <w:color w:val="000000"/>
          <w:sz w:val="16"/>
          <w:szCs w:val="22"/>
          <w:lang w:val="en-GB"/>
        </w:rPr>
        <w:tab/>
        <w:t>Equity</w:t>
      </w:r>
    </w:p>
    <w:p w:rsidRPr="009C48DA" w:rsidR="00661519" w:rsidP="00661519" w:rsidRDefault="00661519" w14:paraId="295247AE" w14:textId="77777777">
      <w:pPr>
        <w:textAlignment w:val="baseline"/>
        <w:rPr>
          <w:rFonts w:eastAsia="Times New Roman" w:cs="Times New Roman"/>
          <w:b/>
          <w:color w:val="000000"/>
          <w:sz w:val="16"/>
          <w:szCs w:val="22"/>
          <w:lang w:val="en-GB"/>
        </w:rPr>
      </w:pPr>
    </w:p>
    <w:p w:rsidRPr="009C48DA" w:rsidR="00661519" w:rsidP="00661519" w:rsidRDefault="00661519" w14:paraId="54949B47"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(a)</w:t>
      </w:r>
      <w:r w:rsidRPr="009C48DA">
        <w:rPr>
          <w:rFonts w:eastAsia="Times New Roman" w:cs="Times New Roman"/>
          <w:b/>
          <w:color w:val="000000"/>
          <w:sz w:val="16"/>
          <w:szCs w:val="22"/>
          <w:lang w:val="en-GB"/>
        </w:rPr>
        <w:tab/>
        <w:t xml:space="preserve">Share capital and premium </w:t>
      </w:r>
      <w:r w:rsidRPr="009C48DA">
        <w:rPr>
          <w:rFonts w:eastAsia="Times New Roman" w:cs="Times New Roman"/>
          <w:b/>
          <w:color w:val="000000"/>
          <w:sz w:val="16"/>
          <w:szCs w:val="22"/>
          <w:lang w:val="en-GB"/>
        </w:rPr>
        <w:br/>
      </w:r>
    </w:p>
    <w:p w:rsidRPr="009C48DA" w:rsidR="00661519" w:rsidP="00661519" w:rsidRDefault="00661519" w14:paraId="6415CE0E" w14:textId="77777777">
      <w:pPr>
        <w:tabs>
          <w:tab w:val="left" w:pos="720"/>
        </w:tabs>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Authorised, allotted, called up and fully paid shares</w:t>
      </w:r>
    </w:p>
    <w:p w:rsidRPr="009C48DA" w:rsidR="00661519" w:rsidP="00661519" w:rsidRDefault="00661519" w14:paraId="338ED211" w14:textId="77777777">
      <w:pPr>
        <w:tabs>
          <w:tab w:val="left" w:pos="720"/>
        </w:tabs>
        <w:textAlignment w:val="baseline"/>
        <w:rPr>
          <w:rFonts w:eastAsia="Times New Roman" w:cs="Times New Roman"/>
          <w:b/>
          <w:color w:val="000000"/>
          <w:sz w:val="16"/>
          <w:szCs w:val="22"/>
          <w:lang w:val="en-GB"/>
        </w:rPr>
      </w:pPr>
    </w:p>
    <w:tbl>
      <w:tblPr>
        <w:tblW w:w="9121" w:type="dxa"/>
        <w:tblLayout w:type="fixed"/>
        <w:tblCellMar>
          <w:left w:w="0" w:type="dxa"/>
          <w:right w:w="0" w:type="dxa"/>
        </w:tblCellMar>
        <w:tblLook w:val="04A0" w:firstRow="1" w:lastRow="0" w:firstColumn="1" w:lastColumn="0" w:noHBand="0" w:noVBand="1"/>
      </w:tblPr>
      <w:tblGrid>
        <w:gridCol w:w="3969"/>
        <w:gridCol w:w="1276"/>
        <w:gridCol w:w="1276"/>
        <w:gridCol w:w="1276"/>
        <w:gridCol w:w="1324"/>
      </w:tblGrid>
      <w:tr w:rsidRPr="009C48DA" w:rsidR="00661519" w:rsidTr="00661519" w14:paraId="32EBE700" w14:textId="77777777">
        <w:trPr>
          <w:trHeight w:val="477"/>
        </w:trPr>
        <w:tc>
          <w:tcPr>
            <w:tcW w:w="3969" w:type="dxa"/>
            <w:vAlign w:val="bottom"/>
          </w:tcPr>
          <w:p w:rsidRPr="009C48DA" w:rsidR="00661519" w:rsidP="00661519" w:rsidRDefault="00661519" w14:paraId="091DADFF" w14:textId="77777777">
            <w:pPr>
              <w:textAlignment w:val="baseline"/>
              <w:rPr>
                <w:rFonts w:eastAsia="Times New Roman" w:cs="Times New Roman"/>
                <w:color w:val="000000"/>
                <w:sz w:val="24"/>
                <w:szCs w:val="22"/>
                <w:lang w:val="en-GB"/>
              </w:rPr>
            </w:pPr>
            <w:r w:rsidRPr="009C48DA">
              <w:rPr>
                <w:rFonts w:eastAsia="Times New Roman" w:cs="Times New Roman"/>
                <w:color w:val="000000"/>
                <w:sz w:val="24"/>
                <w:szCs w:val="22"/>
                <w:lang w:val="en-GB"/>
              </w:rPr>
              <w:t xml:space="preserve"> </w:t>
            </w:r>
          </w:p>
        </w:tc>
        <w:tc>
          <w:tcPr>
            <w:tcW w:w="2552" w:type="dxa"/>
            <w:gridSpan w:val="2"/>
            <w:vAlign w:val="bottom"/>
          </w:tcPr>
          <w:p w:rsidRPr="009C48DA" w:rsidR="00661519" w:rsidP="00661519" w:rsidRDefault="00661519" w14:paraId="52A8BE9E" w14:textId="77777777">
            <w:pPr>
              <w:ind w:right="138"/>
              <w:jc w:val="cente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31 December</w:t>
            </w:r>
          </w:p>
          <w:p w:rsidRPr="009C48DA" w:rsidR="00661519" w:rsidP="00661519" w:rsidRDefault="00661519" w14:paraId="2EA588F8" w14:textId="77777777">
            <w:pPr>
              <w:ind w:right="138"/>
              <w:jc w:val="cente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2018</w:t>
            </w:r>
          </w:p>
        </w:tc>
        <w:tc>
          <w:tcPr>
            <w:tcW w:w="2600" w:type="dxa"/>
            <w:gridSpan w:val="2"/>
            <w:vAlign w:val="bottom"/>
          </w:tcPr>
          <w:p w:rsidRPr="009C48DA" w:rsidR="00661519" w:rsidP="00661519" w:rsidRDefault="00661519" w14:paraId="1F845635" w14:textId="77777777">
            <w:pPr>
              <w:jc w:val="cente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31 December 2019, 31 December 2020 and 31 March 2021</w:t>
            </w:r>
          </w:p>
        </w:tc>
      </w:tr>
      <w:tr w:rsidRPr="009C48DA" w:rsidR="00661519" w:rsidTr="00661519" w14:paraId="03D9E551" w14:textId="77777777">
        <w:trPr>
          <w:trHeight w:val="239"/>
        </w:trPr>
        <w:tc>
          <w:tcPr>
            <w:tcW w:w="3969" w:type="dxa"/>
            <w:vAlign w:val="bottom"/>
          </w:tcPr>
          <w:p w:rsidRPr="009C48DA" w:rsidR="00661519" w:rsidP="00661519" w:rsidRDefault="00661519" w14:paraId="1F09CA3C" w14:textId="77777777">
            <w:pPr>
              <w:textAlignment w:val="baseline"/>
              <w:rPr>
                <w:rFonts w:eastAsia="Times New Roman" w:cs="Times New Roman"/>
                <w:color w:val="000000"/>
                <w:sz w:val="16"/>
                <w:szCs w:val="22"/>
                <w:lang w:val="en-GB"/>
              </w:rPr>
            </w:pPr>
          </w:p>
        </w:tc>
        <w:tc>
          <w:tcPr>
            <w:tcW w:w="1276" w:type="dxa"/>
            <w:vAlign w:val="center"/>
          </w:tcPr>
          <w:p w:rsidRPr="009C48DA" w:rsidR="00661519" w:rsidP="00661519" w:rsidRDefault="00661519" w14:paraId="55A03477" w14:textId="77777777">
            <w:pPr>
              <w:ind w:right="4"/>
              <w:jc w:val="center"/>
              <w:textAlignment w:val="baseline"/>
              <w:rPr>
                <w:rFonts w:eastAsia="Times New Roman" w:cs="Times New Roman"/>
                <w:color w:val="000000"/>
                <w:sz w:val="16"/>
                <w:szCs w:val="22"/>
                <w:lang w:val="en-GB"/>
              </w:rPr>
            </w:pPr>
            <w:r w:rsidRPr="009C48DA">
              <w:rPr>
                <w:rFonts w:eastAsia="Times New Roman" w:cs="Times New Roman"/>
                <w:b/>
                <w:color w:val="000000"/>
                <w:sz w:val="16"/>
                <w:szCs w:val="22"/>
                <w:lang w:val="en-GB"/>
              </w:rPr>
              <w:t>No.</w:t>
            </w:r>
          </w:p>
        </w:tc>
        <w:tc>
          <w:tcPr>
            <w:tcW w:w="1276" w:type="dxa"/>
            <w:vAlign w:val="center"/>
          </w:tcPr>
          <w:p w:rsidRPr="009C48DA" w:rsidR="00661519" w:rsidP="00661519" w:rsidRDefault="00661519" w14:paraId="7E099CCF" w14:textId="77777777">
            <w:pPr>
              <w:ind w:right="307"/>
              <w:jc w:val="center"/>
              <w:textAlignment w:val="baseline"/>
              <w:rPr>
                <w:rFonts w:eastAsia="Times New Roman" w:cs="Times New Roman"/>
                <w:color w:val="000000"/>
                <w:sz w:val="16"/>
                <w:szCs w:val="22"/>
                <w:lang w:val="en-GB"/>
              </w:rPr>
            </w:pPr>
            <w:r w:rsidRPr="009C48DA">
              <w:rPr>
                <w:rFonts w:eastAsia="Times New Roman" w:cs="Times New Roman"/>
                <w:b/>
                <w:color w:val="000000"/>
                <w:sz w:val="16"/>
                <w:szCs w:val="22"/>
                <w:lang w:val="en-GB"/>
              </w:rPr>
              <w:t>£</w:t>
            </w:r>
          </w:p>
        </w:tc>
        <w:tc>
          <w:tcPr>
            <w:tcW w:w="1276" w:type="dxa"/>
            <w:vAlign w:val="center"/>
          </w:tcPr>
          <w:p w:rsidRPr="009C48DA" w:rsidR="00661519" w:rsidP="00661519" w:rsidRDefault="00661519" w14:paraId="51D19A66" w14:textId="77777777">
            <w:pPr>
              <w:ind w:right="4"/>
              <w:jc w:val="center"/>
              <w:textAlignment w:val="baseline"/>
              <w:rPr>
                <w:rFonts w:eastAsia="Times New Roman" w:cs="Times New Roman"/>
                <w:color w:val="000000"/>
                <w:sz w:val="16"/>
                <w:szCs w:val="22"/>
                <w:lang w:val="en-GB"/>
              </w:rPr>
            </w:pPr>
            <w:r w:rsidRPr="009C48DA">
              <w:rPr>
                <w:rFonts w:eastAsia="Times New Roman" w:cs="Times New Roman"/>
                <w:b/>
                <w:color w:val="000000"/>
                <w:sz w:val="16"/>
                <w:szCs w:val="22"/>
                <w:lang w:val="en-GB"/>
              </w:rPr>
              <w:t>No.</w:t>
            </w:r>
          </w:p>
        </w:tc>
        <w:tc>
          <w:tcPr>
            <w:tcW w:w="1324" w:type="dxa"/>
            <w:vAlign w:val="center"/>
          </w:tcPr>
          <w:p w:rsidRPr="009C48DA" w:rsidR="00661519" w:rsidP="00661519" w:rsidRDefault="00661519" w14:paraId="711D15CA" w14:textId="77777777">
            <w:pPr>
              <w:ind w:right="307"/>
              <w:jc w:val="center"/>
              <w:textAlignment w:val="baseline"/>
              <w:rPr>
                <w:rFonts w:eastAsia="Times New Roman" w:cs="Times New Roman"/>
                <w:color w:val="000000"/>
                <w:sz w:val="16"/>
                <w:szCs w:val="22"/>
                <w:lang w:val="en-GB"/>
              </w:rPr>
            </w:pPr>
            <w:r w:rsidRPr="009C48DA">
              <w:rPr>
                <w:rFonts w:eastAsia="Times New Roman" w:cs="Times New Roman"/>
                <w:b/>
                <w:color w:val="000000"/>
                <w:sz w:val="16"/>
                <w:szCs w:val="22"/>
                <w:lang w:val="en-GB"/>
              </w:rPr>
              <w:t>£</w:t>
            </w:r>
          </w:p>
        </w:tc>
      </w:tr>
      <w:tr w:rsidRPr="009C48DA" w:rsidR="00661519" w:rsidTr="00661519" w14:paraId="4FCE3015" w14:textId="77777777">
        <w:trPr>
          <w:trHeight w:val="239"/>
        </w:trPr>
        <w:tc>
          <w:tcPr>
            <w:tcW w:w="3969" w:type="dxa"/>
            <w:vAlign w:val="bottom"/>
          </w:tcPr>
          <w:p w:rsidRPr="009C48DA" w:rsidR="00661519" w:rsidP="00661519" w:rsidRDefault="00661519" w14:paraId="593EFC83" w14:textId="77777777">
            <w:pPr>
              <w:textAlignment w:val="baseline"/>
              <w:rPr>
                <w:rFonts w:eastAsia="Times New Roman" w:cs="Times New Roman"/>
                <w:color w:val="000000"/>
                <w:sz w:val="16"/>
                <w:szCs w:val="22"/>
                <w:lang w:val="en-GB"/>
              </w:rPr>
            </w:pPr>
          </w:p>
        </w:tc>
        <w:tc>
          <w:tcPr>
            <w:tcW w:w="1276" w:type="dxa"/>
            <w:vAlign w:val="bottom"/>
          </w:tcPr>
          <w:p w:rsidRPr="009C48DA" w:rsidR="00661519" w:rsidP="00661519" w:rsidRDefault="00661519" w14:paraId="606A0E3F" w14:textId="77777777">
            <w:pPr>
              <w:jc w:val="right"/>
              <w:textAlignment w:val="baseline"/>
              <w:rPr>
                <w:rFonts w:eastAsia="Times New Roman" w:cs="Times New Roman"/>
                <w:color w:val="000000"/>
                <w:sz w:val="16"/>
                <w:szCs w:val="22"/>
                <w:lang w:val="en-GB"/>
              </w:rPr>
            </w:pPr>
          </w:p>
        </w:tc>
        <w:tc>
          <w:tcPr>
            <w:tcW w:w="1276" w:type="dxa"/>
            <w:vAlign w:val="bottom"/>
          </w:tcPr>
          <w:p w:rsidRPr="009C48DA" w:rsidR="00661519" w:rsidP="00661519" w:rsidRDefault="00661519" w14:paraId="5FB16CDD" w14:textId="77777777">
            <w:pPr>
              <w:jc w:val="right"/>
              <w:textAlignment w:val="baseline"/>
              <w:rPr>
                <w:rFonts w:eastAsia="Times New Roman" w:cs="Times New Roman"/>
                <w:color w:val="000000"/>
                <w:sz w:val="16"/>
                <w:szCs w:val="22"/>
                <w:lang w:val="en-GB"/>
              </w:rPr>
            </w:pPr>
          </w:p>
        </w:tc>
        <w:tc>
          <w:tcPr>
            <w:tcW w:w="1276" w:type="dxa"/>
            <w:vAlign w:val="bottom"/>
          </w:tcPr>
          <w:p w:rsidRPr="009C48DA" w:rsidR="00661519" w:rsidP="00661519" w:rsidRDefault="00661519" w14:paraId="34AA3C4B" w14:textId="77777777">
            <w:pPr>
              <w:jc w:val="right"/>
              <w:textAlignment w:val="baseline"/>
              <w:rPr>
                <w:rFonts w:eastAsia="Times New Roman" w:cs="Times New Roman"/>
                <w:color w:val="000000"/>
                <w:sz w:val="16"/>
                <w:szCs w:val="22"/>
                <w:lang w:val="en-GB"/>
              </w:rPr>
            </w:pPr>
          </w:p>
        </w:tc>
        <w:tc>
          <w:tcPr>
            <w:tcW w:w="1324" w:type="dxa"/>
            <w:vAlign w:val="bottom"/>
          </w:tcPr>
          <w:p w:rsidRPr="009C48DA" w:rsidR="00661519" w:rsidP="00661519" w:rsidRDefault="00661519" w14:paraId="01D7D334" w14:textId="77777777">
            <w:pPr>
              <w:jc w:val="right"/>
              <w:textAlignment w:val="baseline"/>
              <w:rPr>
                <w:rFonts w:eastAsia="Times New Roman" w:cs="Times New Roman"/>
                <w:color w:val="000000"/>
                <w:sz w:val="16"/>
                <w:szCs w:val="22"/>
                <w:lang w:val="en-GB"/>
              </w:rPr>
            </w:pPr>
          </w:p>
        </w:tc>
      </w:tr>
      <w:tr w:rsidRPr="009C48DA" w:rsidR="00661519" w:rsidTr="00661519" w14:paraId="7C59CFF9" w14:textId="77777777">
        <w:trPr>
          <w:trHeight w:val="252"/>
        </w:trPr>
        <w:tc>
          <w:tcPr>
            <w:tcW w:w="3969" w:type="dxa"/>
            <w:vAlign w:val="bottom"/>
          </w:tcPr>
          <w:p w:rsidRPr="009C48DA" w:rsidR="00661519" w:rsidP="00661519" w:rsidRDefault="00661519" w14:paraId="34176654"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A1 of £81 each</w:t>
            </w:r>
          </w:p>
        </w:tc>
        <w:tc>
          <w:tcPr>
            <w:tcW w:w="1276" w:type="dxa"/>
            <w:vAlign w:val="bottom"/>
          </w:tcPr>
          <w:p w:rsidRPr="009C48DA" w:rsidR="00661519" w:rsidP="00661519" w:rsidRDefault="00661519" w14:paraId="00BD870D"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2,280,000</w:t>
            </w:r>
          </w:p>
        </w:tc>
        <w:tc>
          <w:tcPr>
            <w:tcW w:w="1276" w:type="dxa"/>
            <w:vAlign w:val="bottom"/>
          </w:tcPr>
          <w:p w:rsidRPr="009C48DA" w:rsidR="00661519" w:rsidP="00661519" w:rsidRDefault="00661519" w14:paraId="01F2ABBC"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184,680,000</w:t>
            </w:r>
          </w:p>
        </w:tc>
        <w:tc>
          <w:tcPr>
            <w:tcW w:w="1276" w:type="dxa"/>
            <w:vAlign w:val="bottom"/>
          </w:tcPr>
          <w:p w:rsidRPr="009C48DA" w:rsidR="00661519" w:rsidP="00661519" w:rsidRDefault="00661519" w14:paraId="55B2ECA4"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2,280,000</w:t>
            </w:r>
          </w:p>
        </w:tc>
        <w:tc>
          <w:tcPr>
            <w:tcW w:w="1324" w:type="dxa"/>
            <w:vAlign w:val="bottom"/>
          </w:tcPr>
          <w:p w:rsidRPr="009C48DA" w:rsidR="00661519" w:rsidP="00661519" w:rsidRDefault="00661519" w14:paraId="4C2D2E66"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184,680,000</w:t>
            </w:r>
          </w:p>
        </w:tc>
      </w:tr>
      <w:tr w:rsidRPr="009C48DA" w:rsidR="00661519" w:rsidTr="00661519" w14:paraId="4BCAAB78" w14:textId="77777777">
        <w:trPr>
          <w:trHeight w:val="239"/>
        </w:trPr>
        <w:tc>
          <w:tcPr>
            <w:tcW w:w="3969" w:type="dxa"/>
            <w:vAlign w:val="bottom"/>
          </w:tcPr>
          <w:p w:rsidRPr="009C48DA" w:rsidR="00661519" w:rsidP="00661519" w:rsidRDefault="00661519" w14:paraId="1C8C8A41"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A2 of £0.01 each</w:t>
            </w:r>
          </w:p>
        </w:tc>
        <w:tc>
          <w:tcPr>
            <w:tcW w:w="1276" w:type="dxa"/>
            <w:vAlign w:val="bottom"/>
          </w:tcPr>
          <w:p w:rsidRPr="009C48DA" w:rsidR="00661519" w:rsidP="00661519" w:rsidRDefault="00661519" w14:paraId="56A0B0C2"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w:t>
            </w:r>
          </w:p>
        </w:tc>
        <w:tc>
          <w:tcPr>
            <w:tcW w:w="1276" w:type="dxa"/>
            <w:vAlign w:val="bottom"/>
          </w:tcPr>
          <w:p w:rsidRPr="009C48DA" w:rsidR="00661519" w:rsidP="00661519" w:rsidRDefault="00661519" w14:paraId="6DA9F7D0"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w:t>
            </w:r>
          </w:p>
        </w:tc>
        <w:tc>
          <w:tcPr>
            <w:tcW w:w="1276" w:type="dxa"/>
            <w:vAlign w:val="bottom"/>
          </w:tcPr>
          <w:p w:rsidRPr="009C48DA" w:rsidR="00661519" w:rsidP="00661519" w:rsidRDefault="00661519" w14:paraId="2C94D1A3"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552,000</w:t>
            </w:r>
          </w:p>
        </w:tc>
        <w:tc>
          <w:tcPr>
            <w:tcW w:w="1324" w:type="dxa"/>
            <w:vAlign w:val="bottom"/>
          </w:tcPr>
          <w:p w:rsidRPr="009C48DA" w:rsidR="00661519" w:rsidP="00661519" w:rsidRDefault="00661519" w14:paraId="643B236B"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5,520</w:t>
            </w:r>
          </w:p>
        </w:tc>
      </w:tr>
      <w:tr w:rsidRPr="009C48DA" w:rsidR="00661519" w:rsidTr="00661519" w14:paraId="0543CFA1" w14:textId="77777777">
        <w:trPr>
          <w:trHeight w:val="239"/>
        </w:trPr>
        <w:tc>
          <w:tcPr>
            <w:tcW w:w="3969" w:type="dxa"/>
            <w:vAlign w:val="bottom"/>
          </w:tcPr>
          <w:p w:rsidRPr="009C48DA" w:rsidR="00661519" w:rsidP="00661519" w:rsidRDefault="00661519" w14:paraId="3920EE24"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A4 of £0.01 each</w:t>
            </w:r>
          </w:p>
        </w:tc>
        <w:tc>
          <w:tcPr>
            <w:tcW w:w="1276" w:type="dxa"/>
            <w:vAlign w:val="bottom"/>
          </w:tcPr>
          <w:p w:rsidRPr="009C48DA" w:rsidR="00661519" w:rsidP="00661519" w:rsidRDefault="00661519" w14:paraId="3F5CA2DC"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235,540</w:t>
            </w:r>
          </w:p>
        </w:tc>
        <w:tc>
          <w:tcPr>
            <w:tcW w:w="1276" w:type="dxa"/>
            <w:vAlign w:val="bottom"/>
          </w:tcPr>
          <w:p w:rsidRPr="009C48DA" w:rsidR="00661519" w:rsidP="00661519" w:rsidRDefault="00661519" w14:paraId="5FE0AC35"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2,335</w:t>
            </w:r>
          </w:p>
        </w:tc>
        <w:tc>
          <w:tcPr>
            <w:tcW w:w="1276" w:type="dxa"/>
            <w:vAlign w:val="bottom"/>
          </w:tcPr>
          <w:p w:rsidRPr="009C48DA" w:rsidR="00661519" w:rsidP="00661519" w:rsidRDefault="00661519" w14:paraId="493B68BC"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235,540</w:t>
            </w:r>
          </w:p>
        </w:tc>
        <w:tc>
          <w:tcPr>
            <w:tcW w:w="1324" w:type="dxa"/>
            <w:vAlign w:val="bottom"/>
          </w:tcPr>
          <w:p w:rsidRPr="009C48DA" w:rsidR="00661519" w:rsidP="00661519" w:rsidRDefault="00661519" w14:paraId="072DDB54"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2,335</w:t>
            </w:r>
          </w:p>
        </w:tc>
      </w:tr>
      <w:tr w:rsidRPr="009C48DA" w:rsidR="00661519" w:rsidTr="00661519" w14:paraId="5A95C5D1" w14:textId="77777777">
        <w:trPr>
          <w:trHeight w:val="239"/>
        </w:trPr>
        <w:tc>
          <w:tcPr>
            <w:tcW w:w="3969" w:type="dxa"/>
            <w:vAlign w:val="bottom"/>
          </w:tcPr>
          <w:p w:rsidRPr="009C48DA" w:rsidR="00661519" w:rsidP="00661519" w:rsidRDefault="00661519" w14:paraId="15810A1D"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C1 of £170 each</w:t>
            </w:r>
          </w:p>
        </w:tc>
        <w:tc>
          <w:tcPr>
            <w:tcW w:w="1276" w:type="dxa"/>
            <w:vAlign w:val="bottom"/>
          </w:tcPr>
          <w:p w:rsidRPr="009C48DA" w:rsidR="00661519" w:rsidP="00661519" w:rsidRDefault="00661519" w14:paraId="126DBDF9"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59,460</w:t>
            </w:r>
          </w:p>
        </w:tc>
        <w:tc>
          <w:tcPr>
            <w:tcW w:w="1276" w:type="dxa"/>
            <w:vAlign w:val="bottom"/>
          </w:tcPr>
          <w:p w:rsidRPr="009C48DA" w:rsidR="00661519" w:rsidP="00661519" w:rsidRDefault="00661519" w14:paraId="171DBF38"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10,108,200</w:t>
            </w:r>
          </w:p>
        </w:tc>
        <w:tc>
          <w:tcPr>
            <w:tcW w:w="1276" w:type="dxa"/>
            <w:vAlign w:val="bottom"/>
          </w:tcPr>
          <w:p w:rsidRPr="009C48DA" w:rsidR="00661519" w:rsidP="00661519" w:rsidRDefault="00661519" w14:paraId="6B3D7EF0" w14:textId="77777777">
            <w:pPr>
              <w:ind w:left="144"/>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59,460</w:t>
            </w:r>
          </w:p>
        </w:tc>
        <w:tc>
          <w:tcPr>
            <w:tcW w:w="1324" w:type="dxa"/>
            <w:vAlign w:val="bottom"/>
          </w:tcPr>
          <w:p w:rsidRPr="009C48DA" w:rsidR="00661519" w:rsidP="00661519" w:rsidRDefault="00661519" w14:paraId="313BB4D9" w14:textId="77777777">
            <w:pPr>
              <w:ind w:left="45"/>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10,108,200</w:t>
            </w:r>
          </w:p>
        </w:tc>
      </w:tr>
      <w:tr w:rsidRPr="009C48DA" w:rsidR="00661519" w:rsidTr="00661519" w14:paraId="17625188" w14:textId="77777777">
        <w:trPr>
          <w:trHeight w:val="239"/>
        </w:trPr>
        <w:tc>
          <w:tcPr>
            <w:tcW w:w="3969" w:type="dxa"/>
            <w:vAlign w:val="bottom"/>
          </w:tcPr>
          <w:p w:rsidRPr="009C48DA" w:rsidR="00661519" w:rsidP="00661519" w:rsidRDefault="00661519" w14:paraId="3ED2CCBA"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C2 of £70 each</w:t>
            </w:r>
          </w:p>
        </w:tc>
        <w:tc>
          <w:tcPr>
            <w:tcW w:w="1276" w:type="dxa"/>
            <w:vAlign w:val="bottom"/>
          </w:tcPr>
          <w:p w:rsidRPr="009C48DA" w:rsidR="00661519" w:rsidP="00661519" w:rsidRDefault="00661519" w14:paraId="3804C154"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105,000</w:t>
            </w:r>
          </w:p>
        </w:tc>
        <w:tc>
          <w:tcPr>
            <w:tcW w:w="1276" w:type="dxa"/>
            <w:vAlign w:val="bottom"/>
          </w:tcPr>
          <w:p w:rsidRPr="009C48DA" w:rsidR="00661519" w:rsidP="00661519" w:rsidRDefault="00661519" w14:paraId="2979917A"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7,350,000</w:t>
            </w:r>
          </w:p>
        </w:tc>
        <w:tc>
          <w:tcPr>
            <w:tcW w:w="1276" w:type="dxa"/>
            <w:vAlign w:val="bottom"/>
          </w:tcPr>
          <w:p w:rsidRPr="009C48DA" w:rsidR="00661519" w:rsidP="00661519" w:rsidRDefault="00661519" w14:paraId="37CEC69E"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105,000</w:t>
            </w:r>
          </w:p>
        </w:tc>
        <w:tc>
          <w:tcPr>
            <w:tcW w:w="1324" w:type="dxa"/>
            <w:vAlign w:val="bottom"/>
          </w:tcPr>
          <w:p w:rsidRPr="009C48DA" w:rsidR="00661519" w:rsidP="00661519" w:rsidRDefault="00661519" w14:paraId="12A67850"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7,350,000</w:t>
            </w:r>
          </w:p>
        </w:tc>
      </w:tr>
      <w:tr w:rsidRPr="009C48DA" w:rsidR="00661519" w:rsidTr="00661519" w14:paraId="28C85042" w14:textId="77777777">
        <w:trPr>
          <w:trHeight w:val="239"/>
        </w:trPr>
        <w:tc>
          <w:tcPr>
            <w:tcW w:w="3969" w:type="dxa"/>
            <w:vAlign w:val="bottom"/>
          </w:tcPr>
          <w:p w:rsidRPr="009C48DA" w:rsidR="00661519" w:rsidP="00661519" w:rsidRDefault="00661519" w14:paraId="31DE9849"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C3 of £85 each</w:t>
            </w:r>
          </w:p>
        </w:tc>
        <w:tc>
          <w:tcPr>
            <w:tcW w:w="1276" w:type="dxa"/>
            <w:vAlign w:val="bottom"/>
          </w:tcPr>
          <w:p w:rsidRPr="009C48DA" w:rsidR="00661519" w:rsidP="00661519" w:rsidRDefault="00661519" w14:paraId="4385061B"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95,000</w:t>
            </w:r>
          </w:p>
        </w:tc>
        <w:tc>
          <w:tcPr>
            <w:tcW w:w="1276" w:type="dxa"/>
            <w:vAlign w:val="bottom"/>
          </w:tcPr>
          <w:p w:rsidRPr="009C48DA" w:rsidR="00661519" w:rsidP="00661519" w:rsidRDefault="00661519" w14:paraId="61480EA0"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8,075,000</w:t>
            </w:r>
          </w:p>
        </w:tc>
        <w:tc>
          <w:tcPr>
            <w:tcW w:w="1276" w:type="dxa"/>
            <w:vAlign w:val="bottom"/>
          </w:tcPr>
          <w:p w:rsidRPr="009C48DA" w:rsidR="00661519" w:rsidP="00661519" w:rsidRDefault="00661519" w14:paraId="246601A5"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95,000</w:t>
            </w:r>
          </w:p>
        </w:tc>
        <w:tc>
          <w:tcPr>
            <w:tcW w:w="1324" w:type="dxa"/>
            <w:vAlign w:val="bottom"/>
          </w:tcPr>
          <w:p w:rsidRPr="009C48DA" w:rsidR="00661519" w:rsidP="00661519" w:rsidRDefault="00661519" w14:paraId="7859D188"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8,075,000</w:t>
            </w:r>
          </w:p>
        </w:tc>
      </w:tr>
      <w:tr w:rsidRPr="009C48DA" w:rsidR="00661519" w:rsidTr="00661519" w14:paraId="6A81FB86" w14:textId="77777777">
        <w:trPr>
          <w:trHeight w:val="239"/>
        </w:trPr>
        <w:tc>
          <w:tcPr>
            <w:tcW w:w="3969" w:type="dxa"/>
            <w:vAlign w:val="bottom"/>
          </w:tcPr>
          <w:p w:rsidRPr="009C48DA" w:rsidR="00661519" w:rsidP="00661519" w:rsidRDefault="00661519" w14:paraId="27BBC593"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C4 of £165 each</w:t>
            </w:r>
          </w:p>
        </w:tc>
        <w:tc>
          <w:tcPr>
            <w:tcW w:w="1276" w:type="dxa"/>
            <w:vAlign w:val="bottom"/>
          </w:tcPr>
          <w:p w:rsidRPr="009C48DA" w:rsidR="00661519" w:rsidP="00661519" w:rsidRDefault="00661519" w14:paraId="69976AD2"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60,000</w:t>
            </w:r>
          </w:p>
        </w:tc>
        <w:tc>
          <w:tcPr>
            <w:tcW w:w="1276" w:type="dxa"/>
            <w:vAlign w:val="bottom"/>
          </w:tcPr>
          <w:p w:rsidRPr="009C48DA" w:rsidR="00661519" w:rsidP="00661519" w:rsidRDefault="00661519" w14:paraId="70E9F2FF"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9,900,000</w:t>
            </w:r>
          </w:p>
        </w:tc>
        <w:tc>
          <w:tcPr>
            <w:tcW w:w="1276" w:type="dxa"/>
            <w:vAlign w:val="bottom"/>
          </w:tcPr>
          <w:p w:rsidRPr="009C48DA" w:rsidR="00661519" w:rsidP="00661519" w:rsidRDefault="00661519" w14:paraId="5A1C1260"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60,000</w:t>
            </w:r>
          </w:p>
        </w:tc>
        <w:tc>
          <w:tcPr>
            <w:tcW w:w="1324" w:type="dxa"/>
            <w:vAlign w:val="bottom"/>
          </w:tcPr>
          <w:p w:rsidRPr="009C48DA" w:rsidR="00661519" w:rsidP="00661519" w:rsidRDefault="00661519" w14:paraId="01F9E2E4"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9,900,000</w:t>
            </w:r>
          </w:p>
        </w:tc>
      </w:tr>
      <w:tr w:rsidRPr="009C48DA" w:rsidR="00661519" w:rsidTr="00661519" w14:paraId="742834C9" w14:textId="77777777">
        <w:trPr>
          <w:trHeight w:val="239"/>
        </w:trPr>
        <w:tc>
          <w:tcPr>
            <w:tcW w:w="3969" w:type="dxa"/>
            <w:vAlign w:val="bottom"/>
          </w:tcPr>
          <w:p w:rsidRPr="009C48DA" w:rsidR="00661519" w:rsidP="00661519" w:rsidRDefault="00661519" w14:paraId="179B3474"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C5 of £150 each</w:t>
            </w:r>
          </w:p>
        </w:tc>
        <w:tc>
          <w:tcPr>
            <w:tcW w:w="1276" w:type="dxa"/>
            <w:vAlign w:val="bottom"/>
          </w:tcPr>
          <w:p w:rsidRPr="009C48DA" w:rsidR="00661519" w:rsidP="00661519" w:rsidRDefault="00661519" w14:paraId="3837F86B"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65,000</w:t>
            </w:r>
          </w:p>
        </w:tc>
        <w:tc>
          <w:tcPr>
            <w:tcW w:w="1276" w:type="dxa"/>
            <w:vAlign w:val="bottom"/>
          </w:tcPr>
          <w:p w:rsidRPr="009C48DA" w:rsidR="00661519" w:rsidP="00661519" w:rsidRDefault="00661519" w14:paraId="5641F623"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9,750,000</w:t>
            </w:r>
          </w:p>
        </w:tc>
        <w:tc>
          <w:tcPr>
            <w:tcW w:w="1276" w:type="dxa"/>
            <w:vAlign w:val="bottom"/>
          </w:tcPr>
          <w:p w:rsidRPr="009C48DA" w:rsidR="00661519" w:rsidP="00661519" w:rsidRDefault="00661519" w14:paraId="3B8C91AE"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65,000</w:t>
            </w:r>
          </w:p>
        </w:tc>
        <w:tc>
          <w:tcPr>
            <w:tcW w:w="1324" w:type="dxa"/>
            <w:vAlign w:val="bottom"/>
          </w:tcPr>
          <w:p w:rsidRPr="009C48DA" w:rsidR="00661519" w:rsidP="00661519" w:rsidRDefault="00661519" w14:paraId="1ABD8872"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9,750,000</w:t>
            </w:r>
          </w:p>
        </w:tc>
      </w:tr>
      <w:tr w:rsidRPr="009C48DA" w:rsidR="00661519" w:rsidTr="00661519" w14:paraId="4F65C548" w14:textId="77777777">
        <w:trPr>
          <w:trHeight w:val="252"/>
        </w:trPr>
        <w:tc>
          <w:tcPr>
            <w:tcW w:w="3969" w:type="dxa"/>
            <w:vAlign w:val="bottom"/>
          </w:tcPr>
          <w:p w:rsidRPr="009C48DA" w:rsidR="00661519" w:rsidP="00661519" w:rsidRDefault="00661519" w14:paraId="457DE5C6"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C6 of £275 each</w:t>
            </w:r>
          </w:p>
        </w:tc>
        <w:tc>
          <w:tcPr>
            <w:tcW w:w="1276" w:type="dxa"/>
            <w:vAlign w:val="bottom"/>
          </w:tcPr>
          <w:p w:rsidRPr="009C48DA" w:rsidR="00661519" w:rsidP="00661519" w:rsidRDefault="00661519" w14:paraId="09E4C65B"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40,000</w:t>
            </w:r>
          </w:p>
        </w:tc>
        <w:tc>
          <w:tcPr>
            <w:tcW w:w="1276" w:type="dxa"/>
            <w:vAlign w:val="bottom"/>
          </w:tcPr>
          <w:p w:rsidRPr="009C48DA" w:rsidR="00661519" w:rsidP="00661519" w:rsidRDefault="00661519" w14:paraId="289A5A57"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11,000,000</w:t>
            </w:r>
          </w:p>
        </w:tc>
        <w:tc>
          <w:tcPr>
            <w:tcW w:w="1276" w:type="dxa"/>
            <w:vAlign w:val="bottom"/>
          </w:tcPr>
          <w:p w:rsidRPr="009C48DA" w:rsidR="00661519" w:rsidP="00661519" w:rsidRDefault="00661519" w14:paraId="448887CF"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40,000</w:t>
            </w:r>
          </w:p>
        </w:tc>
        <w:tc>
          <w:tcPr>
            <w:tcW w:w="1324" w:type="dxa"/>
            <w:vAlign w:val="bottom"/>
          </w:tcPr>
          <w:p w:rsidRPr="009C48DA" w:rsidR="00661519" w:rsidP="00661519" w:rsidRDefault="00661519" w14:paraId="44CEDFA0" w14:textId="77777777">
            <w:pPr>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11,000,000</w:t>
            </w:r>
          </w:p>
        </w:tc>
      </w:tr>
      <w:tr w:rsidRPr="009C48DA" w:rsidR="00661519" w:rsidTr="00661519" w14:paraId="369F91EA" w14:textId="77777777">
        <w:trPr>
          <w:trHeight w:val="79"/>
        </w:trPr>
        <w:tc>
          <w:tcPr>
            <w:tcW w:w="3969" w:type="dxa"/>
            <w:vAlign w:val="bottom"/>
          </w:tcPr>
          <w:p w:rsidRPr="009C48DA" w:rsidR="00661519" w:rsidP="00661519" w:rsidRDefault="00661519" w14:paraId="0E4E31ED"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YY of £1 each</w:t>
            </w:r>
          </w:p>
        </w:tc>
        <w:tc>
          <w:tcPr>
            <w:tcW w:w="1276" w:type="dxa"/>
            <w:vAlign w:val="bottom"/>
          </w:tcPr>
          <w:p w:rsidRPr="009C48DA" w:rsidR="00661519" w:rsidP="00661519" w:rsidRDefault="00661519" w14:paraId="68DE119C" w14:textId="77777777">
            <w:pPr>
              <w:pBdr>
                <w:bottom w:val="single" w:color="auto" w:sz="12" w:space="1"/>
              </w:pBdr>
              <w:ind w:left="140"/>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w:t>
            </w:r>
          </w:p>
        </w:tc>
        <w:tc>
          <w:tcPr>
            <w:tcW w:w="1276" w:type="dxa"/>
            <w:vAlign w:val="bottom"/>
          </w:tcPr>
          <w:p w:rsidRPr="009C48DA" w:rsidR="00661519" w:rsidP="00661519" w:rsidRDefault="00661519" w14:paraId="2A567693" w14:textId="77777777">
            <w:pPr>
              <w:pBdr>
                <w:bottom w:val="single" w:color="auto" w:sz="12" w:space="1"/>
              </w:pBdr>
              <w:ind w:left="110"/>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w:t>
            </w:r>
          </w:p>
        </w:tc>
        <w:tc>
          <w:tcPr>
            <w:tcW w:w="1276" w:type="dxa"/>
            <w:vAlign w:val="bottom"/>
          </w:tcPr>
          <w:p w:rsidRPr="009C48DA" w:rsidR="00661519" w:rsidP="00661519" w:rsidRDefault="00661519" w14:paraId="520FA444" w14:textId="77777777">
            <w:pPr>
              <w:pBdr>
                <w:bottom w:val="single" w:color="auto" w:sz="12" w:space="1"/>
              </w:pBdr>
              <w:ind w:left="144"/>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w:t>
            </w:r>
          </w:p>
        </w:tc>
        <w:tc>
          <w:tcPr>
            <w:tcW w:w="1324" w:type="dxa"/>
            <w:vAlign w:val="bottom"/>
          </w:tcPr>
          <w:p w:rsidRPr="009C48DA" w:rsidR="00661519" w:rsidP="00661519" w:rsidRDefault="00661519" w14:paraId="3D1DADC1" w14:textId="77777777">
            <w:pPr>
              <w:pBdr>
                <w:bottom w:val="single" w:color="auto" w:sz="12" w:space="1"/>
              </w:pBdr>
              <w:ind w:left="187"/>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1</w:t>
            </w:r>
          </w:p>
        </w:tc>
      </w:tr>
      <w:tr w:rsidRPr="009C48DA" w:rsidR="00661519" w:rsidTr="00661519" w14:paraId="6BC606FA" w14:textId="77777777">
        <w:trPr>
          <w:trHeight w:val="79"/>
        </w:trPr>
        <w:tc>
          <w:tcPr>
            <w:tcW w:w="3969" w:type="dxa"/>
            <w:vAlign w:val="bottom"/>
          </w:tcPr>
          <w:p w:rsidRPr="009C48DA" w:rsidR="00661519" w:rsidP="00661519" w:rsidRDefault="00661519" w14:paraId="22AD9ED1" w14:textId="77777777">
            <w:pPr>
              <w:textAlignment w:val="baseline"/>
              <w:rPr>
                <w:rFonts w:eastAsia="Times New Roman" w:cs="Times New Roman"/>
                <w:color w:val="000000"/>
                <w:sz w:val="16"/>
                <w:szCs w:val="22"/>
                <w:lang w:val="en-GB"/>
              </w:rPr>
            </w:pPr>
          </w:p>
        </w:tc>
        <w:tc>
          <w:tcPr>
            <w:tcW w:w="1276" w:type="dxa"/>
            <w:vAlign w:val="bottom"/>
          </w:tcPr>
          <w:p w:rsidRPr="009C48DA" w:rsidR="00661519" w:rsidP="00661519" w:rsidRDefault="00661519" w14:paraId="79B28579" w14:textId="77777777">
            <w:pPr>
              <w:pBdr>
                <w:bottom w:val="double" w:color="auto" w:sz="12" w:space="1"/>
              </w:pBdr>
              <w:ind w:left="140"/>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2,940,001</w:t>
            </w:r>
          </w:p>
        </w:tc>
        <w:tc>
          <w:tcPr>
            <w:tcW w:w="1276" w:type="dxa"/>
            <w:vAlign w:val="bottom"/>
          </w:tcPr>
          <w:p w:rsidRPr="009C48DA" w:rsidR="00661519" w:rsidP="00661519" w:rsidRDefault="00661519" w14:paraId="50B77315" w14:textId="77777777">
            <w:pPr>
              <w:pBdr>
                <w:bottom w:val="double" w:color="auto" w:sz="12" w:space="1"/>
              </w:pBdr>
              <w:ind w:left="110"/>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240,865,536</w:t>
            </w:r>
          </w:p>
        </w:tc>
        <w:tc>
          <w:tcPr>
            <w:tcW w:w="1276" w:type="dxa"/>
            <w:vAlign w:val="bottom"/>
          </w:tcPr>
          <w:p w:rsidRPr="009C48DA" w:rsidR="00661519" w:rsidP="00661519" w:rsidRDefault="00661519" w14:paraId="28C6DDD9" w14:textId="77777777">
            <w:pPr>
              <w:pBdr>
                <w:bottom w:val="double" w:color="auto" w:sz="12" w:space="1"/>
              </w:pBdr>
              <w:ind w:left="144"/>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3,492,001</w:t>
            </w:r>
          </w:p>
        </w:tc>
        <w:tc>
          <w:tcPr>
            <w:tcW w:w="1324" w:type="dxa"/>
            <w:vAlign w:val="bottom"/>
          </w:tcPr>
          <w:p w:rsidRPr="009C48DA" w:rsidR="00661519" w:rsidP="00661519" w:rsidRDefault="00661519" w14:paraId="703992EA" w14:textId="77777777">
            <w:pPr>
              <w:pBdr>
                <w:bottom w:val="double" w:color="auto" w:sz="12" w:space="1"/>
              </w:pBdr>
              <w:ind w:left="187"/>
              <w:jc w:val="right"/>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240,871,056</w:t>
            </w:r>
          </w:p>
        </w:tc>
      </w:tr>
    </w:tbl>
    <w:p w:rsidRPr="009C48DA" w:rsidR="00661519" w:rsidP="00661519" w:rsidRDefault="00661519" w14:paraId="27069B49" w14:textId="77777777">
      <w:pPr>
        <w:textAlignment w:val="baseline"/>
        <w:rPr>
          <w:rFonts w:eastAsia="Times New Roman" w:cs="Times New Roman"/>
          <w:color w:val="000000"/>
          <w:sz w:val="16"/>
          <w:szCs w:val="22"/>
          <w:lang w:val="en-GB"/>
        </w:rPr>
      </w:pPr>
    </w:p>
    <w:p w:rsidRPr="009C48DA" w:rsidR="00661519" w:rsidP="00661519" w:rsidRDefault="00661519" w14:paraId="437FF9BD"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Company was incorporated on 2 July 2018. </w:t>
      </w:r>
    </w:p>
    <w:p w:rsidRPr="009C48DA" w:rsidR="00661519" w:rsidP="00661519" w:rsidRDefault="00661519" w14:paraId="1F9CA6AC" w14:textId="77777777">
      <w:pPr>
        <w:ind w:right="72"/>
        <w:jc w:val="both"/>
        <w:textAlignment w:val="baseline"/>
        <w:rPr>
          <w:rFonts w:eastAsia="Times New Roman"/>
          <w:color w:val="000000"/>
          <w:sz w:val="16"/>
          <w:lang w:val="en-GB"/>
        </w:rPr>
      </w:pPr>
    </w:p>
    <w:p w:rsidRPr="009C48DA" w:rsidR="00661519" w:rsidP="00661519" w:rsidRDefault="00661519" w14:paraId="57B2D43F" w14:textId="310F56B0">
      <w:pPr>
        <w:ind w:right="72"/>
        <w:jc w:val="both"/>
        <w:textAlignment w:val="baseline"/>
        <w:rPr>
          <w:rFonts w:eastAsia="Times New Roman"/>
          <w:color w:val="000000"/>
          <w:sz w:val="16"/>
          <w:lang w:val="en-GB"/>
        </w:rPr>
      </w:pPr>
      <w:r w:rsidRPr="009C48DA">
        <w:rPr>
          <w:rFonts w:eastAsia="Times New Roman"/>
          <w:color w:val="000000"/>
          <w:sz w:val="16"/>
          <w:lang w:val="en-GB"/>
        </w:rPr>
        <w:t xml:space="preserve">In October 2018 the Company issued A1, A4, B1, B2, C1, C2, C3, C4, C5 and C6 shares in exchange for equivalent share classes held by </w:t>
      </w:r>
      <w:r w:rsidRPr="009C48DA">
        <w:rPr>
          <w:rFonts w:eastAsia="Times New Roman"/>
          <w:color w:val="000000"/>
          <w:sz w:val="16"/>
          <w:lang w:val="en-GB"/>
        </w:rPr>
        <w:br/>
        <w:t xml:space="preserve">the shareholders of </w:t>
      </w:r>
      <w:r w:rsidRPr="00CD2359" w:rsidR="00CD2359">
        <w:rPr>
          <w:rFonts w:eastAsia="Times New Roman"/>
          <w:color w:val="000000"/>
          <w:sz w:val="16"/>
          <w:lang w:val="en-GB"/>
        </w:rPr>
        <w:t>Bridgepoint Group Holdings Limited</w:t>
      </w:r>
      <w:r w:rsidRPr="009C48DA">
        <w:rPr>
          <w:rFonts w:eastAsia="Times New Roman"/>
          <w:color w:val="000000"/>
          <w:sz w:val="16"/>
          <w:lang w:val="en-GB"/>
        </w:rPr>
        <w:t>. These were issued at range of nominals.</w:t>
      </w:r>
    </w:p>
    <w:p w:rsidRPr="009C48DA" w:rsidR="00661519" w:rsidP="00661519" w:rsidRDefault="00661519" w14:paraId="028564D5" w14:textId="77777777">
      <w:pPr>
        <w:ind w:right="72"/>
        <w:jc w:val="both"/>
        <w:textAlignment w:val="baseline"/>
        <w:rPr>
          <w:rFonts w:eastAsia="Times New Roman"/>
          <w:color w:val="000000"/>
          <w:sz w:val="16"/>
          <w:lang w:val="en-GB"/>
        </w:rPr>
      </w:pPr>
    </w:p>
    <w:p w:rsidRPr="009C48DA" w:rsidR="00661519" w:rsidP="00661519" w:rsidRDefault="00661519" w14:paraId="527A0117"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In December 2018 the B2 shares were cancelled under S.641(4)(b) solvency statement process under the Companies Act 2006. The capital was returned to B2 shareholders for an agreed amount per share. As this was less than the nominal value of each per share, the excess of </w:t>
      </w:r>
      <w:r w:rsidRPr="009C48DA">
        <w:rPr>
          <w:rFonts w:eastAsia="Times New Roman"/>
          <w:color w:val="000000"/>
          <w:sz w:val="16"/>
          <w:lang w:val="en-GB"/>
        </w:rPr>
        <w:br/>
      </w:r>
      <w:r w:rsidRPr="009C48DA">
        <w:rPr>
          <w:rFonts w:eastAsia="Times New Roman" w:cs="Times New Roman"/>
          <w:color w:val="000000"/>
          <w:sz w:val="16"/>
          <w:szCs w:val="22"/>
          <w:lang w:val="en-GB"/>
        </w:rPr>
        <w:t>£</w:t>
      </w:r>
      <w:r w:rsidRPr="009C48DA">
        <w:rPr>
          <w:rFonts w:eastAsia="Times New Roman"/>
          <w:color w:val="000000"/>
          <w:sz w:val="16"/>
          <w:lang w:val="en-GB"/>
        </w:rPr>
        <w:t xml:space="preserve">45.6m was transferred to retained earnings. In addition, the B1 shares were redeemed out of retained earnings and the value of the share </w:t>
      </w:r>
      <w:r w:rsidRPr="009C48DA">
        <w:rPr>
          <w:rFonts w:eastAsia="Times New Roman"/>
          <w:color w:val="000000"/>
          <w:sz w:val="16"/>
          <w:lang w:val="en-GB"/>
        </w:rPr>
        <w:br/>
        <w:t xml:space="preserve">capital of </w:t>
      </w:r>
      <w:r w:rsidRPr="009C48DA">
        <w:rPr>
          <w:rFonts w:eastAsia="Times New Roman" w:cs="Times New Roman"/>
          <w:color w:val="000000"/>
          <w:sz w:val="16"/>
          <w:szCs w:val="22"/>
          <w:lang w:val="en-GB"/>
        </w:rPr>
        <w:t xml:space="preserve">£24.6m </w:t>
      </w:r>
      <w:r w:rsidRPr="009C48DA">
        <w:rPr>
          <w:rFonts w:eastAsia="Times New Roman"/>
          <w:color w:val="000000"/>
          <w:sz w:val="16"/>
          <w:lang w:val="en-GB"/>
        </w:rPr>
        <w:t>was transferred to the capital redemption reserve.</w:t>
      </w:r>
    </w:p>
    <w:p w:rsidRPr="009C48DA" w:rsidR="00661519" w:rsidP="00661519" w:rsidRDefault="00661519" w14:paraId="2D88B4AA" w14:textId="77777777">
      <w:pPr>
        <w:ind w:right="72"/>
        <w:jc w:val="both"/>
        <w:textAlignment w:val="baseline"/>
        <w:rPr>
          <w:rFonts w:eastAsia="Times New Roman"/>
          <w:color w:val="000000"/>
          <w:sz w:val="16"/>
          <w:lang w:val="en-GB"/>
        </w:rPr>
      </w:pPr>
    </w:p>
    <w:p w:rsidRPr="009C48DA" w:rsidR="00661519" w:rsidP="00661519" w:rsidRDefault="00661519" w14:paraId="7087980D"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In January 2019 the Company issued A2 shares for cash consideration. Consideration in excess of the nominal value is recognised as share premium.</w:t>
      </w:r>
    </w:p>
    <w:p w:rsidRPr="009C48DA" w:rsidR="00661519" w:rsidP="00661519" w:rsidRDefault="00661519" w14:paraId="1CE110B4" w14:textId="77777777">
      <w:pPr>
        <w:ind w:right="72"/>
        <w:jc w:val="both"/>
        <w:textAlignment w:val="baseline"/>
        <w:rPr>
          <w:rFonts w:eastAsia="Times New Roman"/>
          <w:color w:val="000000"/>
          <w:sz w:val="16"/>
          <w:lang w:val="en-GB"/>
        </w:rPr>
      </w:pPr>
    </w:p>
    <w:p w:rsidRPr="009C48DA" w:rsidR="00661519" w:rsidP="00661519" w:rsidRDefault="00661519" w14:paraId="014A851D"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In May 2021 the Company passed resolutions to cancel 201,499 A1 shares held by Atlantic SAV Limited, cancel the capital redemption </w:t>
      </w:r>
    </w:p>
    <w:p w:rsidRPr="009C48DA" w:rsidR="00661519" w:rsidP="00661519" w:rsidRDefault="00661519" w14:paraId="22E15419"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reserve of the Company, reduce the nominal value of the A1, C1, C2, C3, C4, C5 and C6 shares to £0.01 per share, redesignate 500 A1 </w:t>
      </w:r>
    </w:p>
    <w:p w:rsidRPr="009C48DA" w:rsidR="00661519" w:rsidP="00661519" w:rsidRDefault="00661519" w14:paraId="3963FD27"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shares held by Atlantic SAV 2 Limited as deferred shares, redesignate all outstanding A4, C1, C2, C3, C4, C5 and C6 shares as A1 shares, </w:t>
      </w:r>
      <w:r w:rsidRPr="009C48DA">
        <w:rPr>
          <w:rFonts w:eastAsia="Times New Roman"/>
          <w:color w:val="000000"/>
          <w:sz w:val="16"/>
          <w:lang w:val="en-GB"/>
        </w:rPr>
        <w:br/>
        <w:t xml:space="preserve">and cancel 98,000 A1 shares and 72,500 A2 shares held by Atlantic SAV 2 Limited. In addition, resolutions were passed to enable A3 </w:t>
      </w:r>
      <w:r w:rsidRPr="009C48DA">
        <w:rPr>
          <w:rFonts w:eastAsia="Times New Roman"/>
          <w:color w:val="000000"/>
          <w:sz w:val="16"/>
          <w:lang w:val="en-GB"/>
        </w:rPr>
        <w:br/>
        <w:t xml:space="preserve">shares to be issued and enable up to 3,750,000 shares to be issued for the Company in aggregate. </w:t>
      </w:r>
    </w:p>
    <w:p w:rsidRPr="009C48DA" w:rsidR="00661519" w:rsidP="00661519" w:rsidRDefault="00661519" w14:paraId="4BF39DBE" w14:textId="77777777">
      <w:pPr>
        <w:ind w:right="72"/>
        <w:jc w:val="both"/>
        <w:textAlignment w:val="baseline"/>
        <w:rPr>
          <w:rFonts w:eastAsia="Times New Roman"/>
          <w:color w:val="000000"/>
          <w:sz w:val="16"/>
          <w:lang w:val="en-GB"/>
        </w:rPr>
      </w:pPr>
      <w:r w:rsidRPr="009C48DA">
        <w:rPr>
          <w:rFonts w:eastAsia="Times New Roman"/>
          <w:color w:val="000000"/>
          <w:sz w:val="16"/>
          <w:lang w:val="en-GB"/>
        </w:rPr>
        <w:lastRenderedPageBreak/>
        <w:t xml:space="preserve">The holders of the A1, A2, C1, C2, C3, C4, C5 and C6 ordinary shares have the right to receive notice of and to attend and vote at any </w:t>
      </w:r>
      <w:r w:rsidRPr="009C48DA">
        <w:rPr>
          <w:rFonts w:eastAsia="Times New Roman"/>
          <w:color w:val="000000"/>
          <w:sz w:val="16"/>
          <w:lang w:val="en-GB"/>
        </w:rPr>
        <w:br/>
        <w:t xml:space="preserve">general meeting of the Company. The A1 and A2 shares have one vote per share on a resolution, and the C1, C2, C3, C4, C5 and C6 share classes each have, in aggregate, such number of votes as it equal to 5% of the total number of eligible votes on a resolution. The holders of </w:t>
      </w:r>
      <w:r w:rsidRPr="009C48DA">
        <w:rPr>
          <w:rFonts w:eastAsia="Times New Roman"/>
          <w:color w:val="000000"/>
          <w:sz w:val="16"/>
          <w:lang w:val="en-GB"/>
        </w:rPr>
        <w:br/>
        <w:t xml:space="preserve">the A4 shares have the right to receive notice of and to attend any general meeting of the Company, but have no right to vote. The holder of </w:t>
      </w:r>
      <w:r w:rsidRPr="009C48DA">
        <w:rPr>
          <w:rFonts w:eastAsia="Times New Roman"/>
          <w:color w:val="000000"/>
          <w:sz w:val="16"/>
          <w:lang w:val="en-GB"/>
        </w:rPr>
        <w:br/>
        <w:t>the YY share has no right to receive notice of and to attend and vote at any general meeting of the Company.</w:t>
      </w:r>
    </w:p>
    <w:p w:rsidRPr="009C48DA" w:rsidR="00661519" w:rsidP="00661519" w:rsidRDefault="00661519" w14:paraId="5BF758A4" w14:textId="77777777">
      <w:pPr>
        <w:ind w:right="72"/>
        <w:jc w:val="both"/>
        <w:textAlignment w:val="baseline"/>
        <w:rPr>
          <w:rFonts w:eastAsia="Times New Roman"/>
          <w:color w:val="000000"/>
          <w:sz w:val="16"/>
          <w:lang w:val="en-GB"/>
        </w:rPr>
      </w:pPr>
    </w:p>
    <w:p w:rsidRPr="009C48DA" w:rsidR="00661519" w:rsidP="00661519" w:rsidRDefault="00661519" w14:paraId="3B106485"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Each A1, A2, A4, C1, C2, C3, C4, C5 and C6 share is eligible for ordinary course dividends (save that, in the case of A2 shares, they are not eligible for dividends until the second anniversary of their issue) and distributions on a liquidation, and is generally entitled to participate in a return of capital, in each case subject to the provisions set out in the articles of association of the Company. The YY share is not entitled to receive any dividends or distributions (including on a liquidation) or to participate in any return of capital.</w:t>
      </w:r>
    </w:p>
    <w:p w:rsidRPr="009C48DA" w:rsidR="00661519" w:rsidP="00661519" w:rsidRDefault="00661519" w14:paraId="7EED0D17" w14:textId="77777777">
      <w:pPr>
        <w:ind w:right="72"/>
        <w:jc w:val="both"/>
        <w:textAlignment w:val="baseline"/>
        <w:rPr>
          <w:rFonts w:eastAsia="Times New Roman"/>
          <w:color w:val="000000"/>
          <w:sz w:val="16"/>
          <w:lang w:val="en-GB"/>
        </w:rPr>
      </w:pPr>
    </w:p>
    <w:p w:rsidRPr="009C48DA" w:rsidR="00661519" w:rsidP="00661519" w:rsidRDefault="00661519" w14:paraId="671C3632" w14:textId="77777777">
      <w:pPr>
        <w:ind w:right="72"/>
        <w:jc w:val="both"/>
        <w:textAlignment w:val="baseline"/>
        <w:rPr>
          <w:rFonts w:eastAsia="Times New Roman"/>
          <w:color w:val="000000"/>
          <w:sz w:val="16"/>
          <w:lang w:val="en-GB"/>
        </w:rPr>
      </w:pPr>
      <w:r w:rsidRPr="009C48DA">
        <w:rPr>
          <w:rFonts w:eastAsia="Times New Roman"/>
          <w:color w:val="000000"/>
          <w:sz w:val="16"/>
          <w:lang w:val="en-GB"/>
        </w:rPr>
        <w:t xml:space="preserve">The A1, A2, A4, C1, C2, C3, C4, C5, C6 and YY shares are not redeemable. </w:t>
      </w:r>
    </w:p>
    <w:p w:rsidRPr="009C48DA" w:rsidR="00661519" w:rsidP="00661519" w:rsidRDefault="00661519" w14:paraId="40580C55" w14:textId="77777777">
      <w:pPr>
        <w:ind w:right="72"/>
        <w:jc w:val="both"/>
        <w:textAlignment w:val="baseline"/>
        <w:rPr>
          <w:rFonts w:eastAsia="Times New Roman"/>
          <w:color w:val="000000"/>
          <w:sz w:val="16"/>
          <w:lang w:val="en-GB"/>
        </w:rPr>
      </w:pPr>
    </w:p>
    <w:p w:rsidRPr="009C48DA" w:rsidR="00661519" w:rsidP="00661519" w:rsidRDefault="00661519" w14:paraId="0CDDEF80" w14:textId="77777777">
      <w:pPr>
        <w:ind w:right="72"/>
        <w:jc w:val="both"/>
        <w:textAlignment w:val="baseline"/>
        <w:rPr>
          <w:rFonts w:eastAsia="Times New Roman"/>
          <w:color w:val="000000"/>
          <w:sz w:val="16"/>
          <w:lang w:val="en-GB"/>
        </w:rPr>
      </w:pPr>
    </w:p>
    <w:p w:rsidRPr="009C48DA" w:rsidR="00661519" w:rsidP="00661519" w:rsidRDefault="00661519" w14:paraId="3939B414"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(b)</w:t>
      </w:r>
      <w:r w:rsidRPr="009C48DA">
        <w:rPr>
          <w:rFonts w:eastAsia="Times New Roman" w:cs="Times New Roman"/>
          <w:b/>
          <w:color w:val="000000"/>
          <w:sz w:val="16"/>
          <w:szCs w:val="22"/>
          <w:lang w:val="en-GB"/>
        </w:rPr>
        <w:tab/>
        <w:t>Own shares</w:t>
      </w:r>
    </w:p>
    <w:p w:rsidRPr="009C48DA" w:rsidR="00661519" w:rsidP="00661519" w:rsidRDefault="00661519" w14:paraId="75BE2E0B" w14:textId="77777777">
      <w:pPr>
        <w:textAlignment w:val="baseline"/>
        <w:rPr>
          <w:rFonts w:eastAsia="Times New Roman" w:cs="Times New Roman"/>
          <w:b/>
          <w:color w:val="000000"/>
          <w:sz w:val="16"/>
          <w:szCs w:val="22"/>
          <w:lang w:val="en-GB"/>
        </w:rPr>
      </w:pPr>
    </w:p>
    <w:p w:rsidRPr="009C48DA" w:rsidR="00661519" w:rsidP="00661519" w:rsidRDefault="00661519" w14:paraId="1BF9407A"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Company held 326,500 A1 shares and 55,000 A2 shares within retained earnings as at 31 December 2020 and 31 March 2021 at a cost </w:t>
      </w:r>
      <w:r w:rsidRPr="009C48DA">
        <w:rPr>
          <w:rFonts w:eastAsia="Times New Roman" w:cs="Times New Roman"/>
          <w:color w:val="000000"/>
          <w:sz w:val="16"/>
          <w:szCs w:val="22"/>
          <w:lang w:val="en-GB"/>
        </w:rPr>
        <w:br/>
        <w:t xml:space="preserve">of £256,609. </w:t>
      </w:r>
    </w:p>
    <w:p w:rsidRPr="009C48DA" w:rsidR="00661519" w:rsidP="00661519" w:rsidRDefault="00661519" w14:paraId="442B5220" w14:textId="77777777">
      <w:pPr>
        <w:textAlignment w:val="baseline"/>
        <w:rPr>
          <w:rFonts w:eastAsia="Times New Roman" w:cs="Times New Roman"/>
          <w:b/>
          <w:color w:val="000000"/>
          <w:sz w:val="16"/>
          <w:szCs w:val="22"/>
          <w:lang w:val="en-GB"/>
        </w:rPr>
      </w:pPr>
    </w:p>
    <w:p w:rsidRPr="009C48DA" w:rsidR="00661519" w:rsidP="00661519" w:rsidRDefault="00661519" w14:paraId="4CFA6C3E" w14:textId="77777777">
      <w:pPr>
        <w:textAlignment w:val="baseline"/>
        <w:rPr>
          <w:rFonts w:eastAsia="Times New Roman" w:cs="Times New Roman"/>
          <w:b/>
          <w:color w:val="000000"/>
          <w:sz w:val="16"/>
          <w:szCs w:val="22"/>
          <w:lang w:val="en-GB"/>
        </w:rPr>
      </w:pPr>
    </w:p>
    <w:p w:rsidRPr="009C48DA" w:rsidR="00661519" w:rsidP="00661519" w:rsidRDefault="00661519" w14:paraId="3E175F77"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(c)</w:t>
      </w:r>
      <w:r w:rsidRPr="009C48DA">
        <w:rPr>
          <w:rFonts w:eastAsia="Times New Roman" w:cs="Times New Roman"/>
          <w:b/>
          <w:color w:val="000000"/>
          <w:sz w:val="16"/>
          <w:szCs w:val="22"/>
          <w:lang w:val="en-GB"/>
        </w:rPr>
        <w:tab/>
        <w:t>Cash flow hedge reserve</w:t>
      </w:r>
    </w:p>
    <w:p w:rsidRPr="009C48DA" w:rsidR="00661519" w:rsidP="00661519" w:rsidRDefault="00661519" w14:paraId="21B62303" w14:textId="77777777">
      <w:pPr>
        <w:textAlignment w:val="baseline"/>
        <w:rPr>
          <w:rFonts w:eastAsia="Times New Roman" w:cs="Times New Roman"/>
          <w:b/>
          <w:color w:val="000000"/>
          <w:sz w:val="16"/>
          <w:szCs w:val="22"/>
          <w:lang w:val="en-GB"/>
        </w:rPr>
      </w:pPr>
    </w:p>
    <w:p w:rsidRPr="009C48DA" w:rsidR="00661519" w:rsidP="00661519" w:rsidRDefault="00661519" w14:paraId="6369E834" w14:textId="77777777">
      <w:pPr>
        <w:ind w:right="-12"/>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Other reserves consists of the cash flow hedge reserve and the costs of hedging reserve. The cash flow hedge reserve is used to recognise the effective portion of gains or losses on foreign exchange forward contracts that are designated and qualify as cash flow hedges, as described </w:t>
      </w:r>
      <w:r w:rsidRPr="009C48DA">
        <w:rPr>
          <w:rFonts w:eastAsia="Times New Roman" w:cs="Times New Roman"/>
          <w:color w:val="000000"/>
          <w:sz w:val="16"/>
          <w:szCs w:val="22"/>
          <w:lang w:val="en-GB"/>
        </w:rPr>
        <w:br/>
        <w:t>in note 20(b) amounts are subsequently either transferred to deferred income or reclassified to the income statement as appropriate.</w:t>
      </w:r>
    </w:p>
    <w:p w:rsidRPr="009C48DA" w:rsidR="00661519" w:rsidP="00661519" w:rsidRDefault="00661519" w14:paraId="70FE02FB" w14:textId="77777777">
      <w:pPr>
        <w:ind w:right="-12"/>
        <w:jc w:val="both"/>
        <w:textAlignment w:val="baseline"/>
        <w:rPr>
          <w:rFonts w:eastAsia="Times New Roman" w:cs="Times New Roman"/>
          <w:color w:val="000000"/>
          <w:sz w:val="16"/>
          <w:szCs w:val="22"/>
          <w:lang w:val="en-GB"/>
        </w:rPr>
      </w:pPr>
    </w:p>
    <w:p w:rsidRPr="009C48DA" w:rsidR="00661519" w:rsidP="00661519" w:rsidRDefault="00661519" w14:paraId="5BC54D32" w14:textId="77777777">
      <w:pPr>
        <w:ind w:right="-12"/>
        <w:jc w:val="both"/>
        <w:textAlignment w:val="baseline"/>
        <w:rPr>
          <w:rFonts w:eastAsia="Times New Roman" w:cs="Times New Roman"/>
          <w:color w:val="000000"/>
          <w:sz w:val="16"/>
          <w:szCs w:val="22"/>
          <w:lang w:val="en-GB"/>
        </w:rPr>
      </w:pPr>
    </w:p>
    <w:p w:rsidRPr="009C48DA" w:rsidR="00661519" w:rsidP="00661519" w:rsidRDefault="00661519" w14:paraId="3B2F544D"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(d)</w:t>
      </w:r>
      <w:r w:rsidRPr="009C48DA">
        <w:rPr>
          <w:rFonts w:eastAsia="Times New Roman" w:cs="Times New Roman"/>
          <w:b/>
          <w:color w:val="000000"/>
          <w:sz w:val="16"/>
          <w:szCs w:val="22"/>
          <w:lang w:val="en-GB"/>
        </w:rPr>
        <w:tab/>
        <w:t>Net exchange differences reserve</w:t>
      </w:r>
    </w:p>
    <w:p w:rsidRPr="009C48DA" w:rsidR="00661519" w:rsidP="00661519" w:rsidRDefault="00661519" w14:paraId="21C1DF59" w14:textId="77777777">
      <w:pPr>
        <w:textAlignment w:val="baseline"/>
        <w:rPr>
          <w:rFonts w:eastAsia="Times New Roman" w:cs="Times New Roman"/>
          <w:b/>
          <w:color w:val="000000"/>
          <w:sz w:val="16"/>
          <w:szCs w:val="22"/>
          <w:lang w:val="en-GB"/>
        </w:rPr>
      </w:pPr>
    </w:p>
    <w:p w:rsidRPr="009C48DA" w:rsidR="00661519" w:rsidP="00661519" w:rsidRDefault="00661519" w14:paraId="25A216DA" w14:textId="77777777">
      <w:pPr>
        <w:spacing w:before="110" w:line="183" w:lineRule="exact"/>
        <w:ind w:right="144"/>
        <w:jc w:val="both"/>
        <w:textAlignment w:val="baseline"/>
        <w:rPr>
          <w:rFonts w:eastAsia="Times New Roman"/>
          <w:color w:val="000000"/>
          <w:sz w:val="16"/>
          <w:lang w:val="en-GB"/>
        </w:rPr>
      </w:pPr>
      <w:r w:rsidRPr="009C48DA">
        <w:rPr>
          <w:rFonts w:eastAsia="Times New Roman"/>
          <w:color w:val="000000"/>
          <w:sz w:val="16"/>
          <w:lang w:val="en-GB"/>
        </w:rPr>
        <w:t xml:space="preserve">Other comprehensive income reported in the net exchange differences reserve comprises the net foreign exchange gain/(loss) on the </w:t>
      </w:r>
    </w:p>
    <w:p w:rsidRPr="009C48DA" w:rsidR="00661519" w:rsidP="00661519" w:rsidRDefault="00661519" w14:paraId="5653618A" w14:textId="77777777">
      <w:pPr>
        <w:spacing w:line="183" w:lineRule="exact"/>
        <w:ind w:right="144"/>
        <w:jc w:val="both"/>
        <w:textAlignment w:val="baseline"/>
        <w:rPr>
          <w:rFonts w:eastAsia="Times New Roman"/>
          <w:color w:val="000000"/>
          <w:sz w:val="16"/>
          <w:lang w:val="en-GB"/>
        </w:rPr>
      </w:pPr>
      <w:r w:rsidRPr="009C48DA">
        <w:rPr>
          <w:rFonts w:eastAsia="Times New Roman"/>
          <w:color w:val="000000"/>
          <w:sz w:val="16"/>
          <w:lang w:val="en-GB"/>
        </w:rPr>
        <w:t>translation of foreign operations.</w:t>
      </w:r>
    </w:p>
    <w:p w:rsidRPr="009C48DA" w:rsidR="00661519" w:rsidP="00661519" w:rsidRDefault="00661519" w14:paraId="57D1DBC0" w14:textId="77777777">
      <w:pPr>
        <w:textAlignment w:val="baseline"/>
        <w:rPr>
          <w:rFonts w:eastAsia="Times New Roman" w:cs="Times New Roman"/>
          <w:b/>
          <w:color w:val="000000"/>
          <w:sz w:val="16"/>
          <w:szCs w:val="22"/>
          <w:lang w:val="en-GB"/>
        </w:rPr>
      </w:pPr>
    </w:p>
    <w:p w:rsidRPr="009C48DA" w:rsidR="00661519" w:rsidP="00661519" w:rsidRDefault="00661519" w14:paraId="28E82ED1" w14:textId="77777777">
      <w:pPr>
        <w:ind w:right="72"/>
        <w:jc w:val="both"/>
        <w:textAlignment w:val="baseline"/>
        <w:rPr>
          <w:rFonts w:eastAsia="Times New Roman"/>
          <w:color w:val="000000"/>
          <w:sz w:val="16"/>
          <w:lang w:val="en-GB"/>
        </w:rPr>
      </w:pPr>
    </w:p>
    <w:p w:rsidRPr="009C48DA" w:rsidR="00661519" w:rsidP="00661519" w:rsidRDefault="00661519" w14:paraId="6E58C823" w14:textId="77777777">
      <w:pPr>
        <w:rPr>
          <w:rFonts w:eastAsia="Times New Roman" w:cs="Times New Roman"/>
          <w:b/>
          <w:color w:val="000000"/>
          <w:sz w:val="16"/>
          <w:szCs w:val="22"/>
          <w:lang w:val="en-GB"/>
        </w:rPr>
      </w:pPr>
      <w:r w:rsidRPr="009C48DA">
        <w:rPr>
          <w:rFonts w:eastAsia="Times New Roman" w:cs="Times New Roman"/>
          <w:b/>
          <w:color w:val="000000"/>
          <w:sz w:val="16"/>
          <w:szCs w:val="22"/>
          <w:lang w:val="en-GB"/>
        </w:rPr>
        <w:t>(e)</w:t>
      </w:r>
      <w:r w:rsidRPr="009C48DA">
        <w:rPr>
          <w:rFonts w:eastAsia="Times New Roman" w:cs="Times New Roman"/>
          <w:b/>
          <w:color w:val="000000"/>
          <w:sz w:val="16"/>
          <w:szCs w:val="22"/>
          <w:lang w:val="en-GB"/>
        </w:rPr>
        <w:tab/>
        <w:t xml:space="preserve">Group reconstruction and additional investment </w:t>
      </w:r>
    </w:p>
    <w:p w:rsidRPr="009C48DA" w:rsidR="00661519" w:rsidP="00661519" w:rsidRDefault="00661519" w14:paraId="5F02DA1A" w14:textId="77777777">
      <w:pPr>
        <w:rPr>
          <w:rFonts w:eastAsia="Times New Roman" w:cs="Times New Roman"/>
          <w:b/>
          <w:color w:val="000000"/>
          <w:sz w:val="16"/>
          <w:szCs w:val="22"/>
          <w:lang w:val="en-GB"/>
        </w:rPr>
      </w:pPr>
    </w:p>
    <w:p w:rsidRPr="009C48DA" w:rsidR="00661519" w:rsidP="00661519" w:rsidRDefault="00661519" w14:paraId="0B760D29" w14:textId="3660816F">
      <w:pPr>
        <w:spacing w:before="112" w:line="185" w:lineRule="exact"/>
        <w:ind w:left="72" w:right="144"/>
        <w:jc w:val="both"/>
        <w:textAlignment w:val="baseline"/>
        <w:rPr>
          <w:rFonts w:eastAsia="Times New Roman"/>
          <w:color w:val="000000"/>
          <w:sz w:val="16"/>
          <w:lang w:val="en-GB"/>
        </w:rPr>
      </w:pPr>
      <w:r w:rsidRPr="009C48DA">
        <w:rPr>
          <w:rFonts w:eastAsia="Times New Roman"/>
          <w:color w:val="000000"/>
          <w:sz w:val="16"/>
          <w:lang w:val="en-GB"/>
        </w:rPr>
        <w:t xml:space="preserve">In October 2018, as part of a group reconstruction, the Company issued equivalent share classes held by shareholder of </w:t>
      </w:r>
      <w:r w:rsidRPr="00CD2359" w:rsidR="00CD2359">
        <w:rPr>
          <w:rFonts w:eastAsia="Times New Roman"/>
          <w:color w:val="000000"/>
          <w:sz w:val="16"/>
          <w:lang w:val="en-GB"/>
        </w:rPr>
        <w:t>Bridgepoint Group Holdings Limited</w:t>
      </w:r>
      <w:r w:rsidRPr="009C48DA">
        <w:rPr>
          <w:rFonts w:eastAsia="Times New Roman"/>
          <w:color w:val="000000"/>
          <w:sz w:val="16"/>
          <w:lang w:val="en-GB"/>
        </w:rPr>
        <w:t>. The issued shares had a nominal in excess of the net assets of the Bridgepoint Group and the B shares were considered debt instruments.</w:t>
      </w:r>
    </w:p>
    <w:p w:rsidRPr="009C48DA" w:rsidR="00661519" w:rsidP="00661519" w:rsidRDefault="00661519" w14:paraId="4AE39F15" w14:textId="0D253EAB">
      <w:pPr>
        <w:spacing w:before="182" w:line="184" w:lineRule="exact"/>
        <w:ind w:left="72" w:right="144"/>
        <w:jc w:val="both"/>
        <w:textAlignment w:val="baseline"/>
        <w:rPr>
          <w:rFonts w:eastAsia="Times New Roman"/>
          <w:color w:val="000000"/>
          <w:sz w:val="16"/>
          <w:lang w:val="en-GB"/>
        </w:rPr>
      </w:pPr>
      <w:r w:rsidRPr="009C48DA">
        <w:rPr>
          <w:rFonts w:eastAsia="Times New Roman"/>
          <w:color w:val="000000"/>
          <w:sz w:val="16"/>
          <w:lang w:val="en-GB"/>
        </w:rPr>
        <w:t xml:space="preserve">In December 2018, under an Investment Agreement with Dyal, new share capital and capital consideration was injected into </w:t>
      </w:r>
      <w:r w:rsidRPr="00CD2359" w:rsidR="00CD2359">
        <w:rPr>
          <w:rFonts w:eastAsia="Times New Roman"/>
          <w:color w:val="000000"/>
          <w:sz w:val="16"/>
          <w:lang w:val="en-GB"/>
        </w:rPr>
        <w:t>Bridgepoint Group Holdings Limited</w:t>
      </w:r>
      <w:r w:rsidRPr="009C48DA">
        <w:rPr>
          <w:rFonts w:eastAsia="Times New Roman"/>
          <w:color w:val="000000"/>
          <w:sz w:val="16"/>
          <w:lang w:val="en-GB"/>
        </w:rPr>
        <w:t xml:space="preserve"> of which £142m was received in 2018 and £71.4m in 2019, as shown in the consolidated cash flow statement, </w:t>
      </w:r>
    </w:p>
    <w:p w:rsidRPr="009C48DA" w:rsidR="00661519" w:rsidP="00661519" w:rsidRDefault="00661519" w14:paraId="195AC385" w14:textId="77777777">
      <w:pPr>
        <w:spacing w:line="184" w:lineRule="exact"/>
        <w:ind w:left="72" w:right="144"/>
        <w:jc w:val="both"/>
        <w:textAlignment w:val="baseline"/>
        <w:rPr>
          <w:rFonts w:eastAsia="Times New Roman"/>
          <w:color w:val="000000"/>
          <w:sz w:val="16"/>
          <w:lang w:val="en-GB"/>
        </w:rPr>
      </w:pPr>
      <w:r w:rsidRPr="009C48DA">
        <w:rPr>
          <w:rFonts w:eastAsia="Times New Roman"/>
          <w:color w:val="000000"/>
          <w:sz w:val="16"/>
          <w:lang w:val="en-GB"/>
        </w:rPr>
        <w:t>and £114.3m is due to be paid in December 2021.</w:t>
      </w:r>
    </w:p>
    <w:p w:rsidRPr="009C48DA" w:rsidR="00661519" w:rsidP="00661519" w:rsidRDefault="00661519" w14:paraId="4A0B8574" w14:textId="77777777">
      <w:pPr>
        <w:spacing w:before="188" w:line="182" w:lineRule="exact"/>
        <w:ind w:left="72" w:right="144"/>
        <w:jc w:val="both"/>
        <w:textAlignment w:val="baseline"/>
        <w:rPr>
          <w:rFonts w:eastAsia="Times New Roman"/>
          <w:color w:val="000000"/>
          <w:sz w:val="16"/>
          <w:lang w:val="en-GB"/>
        </w:rPr>
      </w:pPr>
      <w:r w:rsidRPr="009C48DA">
        <w:rPr>
          <w:rFonts w:eastAsia="Times New Roman"/>
          <w:color w:val="000000"/>
          <w:sz w:val="16"/>
          <w:lang w:val="en-GB"/>
        </w:rPr>
        <w:t>In December 2018, the B1 shares were redeemed and the B2 shares were cancelled (see note 23(a), which resulted in a payment of £162m as shown in the consolidated cash flow statement.</w:t>
      </w:r>
    </w:p>
    <w:p w:rsidRPr="009C48DA" w:rsidR="00661519" w:rsidP="00661519" w:rsidRDefault="00661519" w14:paraId="370B9F90" w14:textId="77777777">
      <w:pPr>
        <w:spacing w:before="180" w:line="185" w:lineRule="exact"/>
        <w:ind w:left="72" w:right="144"/>
        <w:jc w:val="both"/>
        <w:textAlignment w:val="baseline"/>
        <w:rPr>
          <w:rFonts w:eastAsia="Times New Roman"/>
          <w:color w:val="000000"/>
          <w:spacing w:val="1"/>
          <w:sz w:val="16"/>
          <w:lang w:val="en-GB"/>
        </w:rPr>
      </w:pPr>
      <w:r w:rsidRPr="009C48DA">
        <w:rPr>
          <w:rFonts w:eastAsia="Times New Roman"/>
          <w:color w:val="000000"/>
          <w:spacing w:val="1"/>
          <w:sz w:val="16"/>
          <w:lang w:val="en-GB"/>
        </w:rPr>
        <w:t>Taken together, with other smaller movements, the impact of the group reconstruction and new investment by Dyal had the impact of increasing net assets of the Group by £155m as shown in the Statement of Changes in Movements in Equity in the year ended 31 December 2018.</w:t>
      </w:r>
    </w:p>
    <w:p w:rsidRPr="009C48DA" w:rsidR="00661519" w:rsidP="00661519" w:rsidRDefault="00661519" w14:paraId="53F52AC8" w14:textId="77777777">
      <w:pPr>
        <w:rPr>
          <w:rFonts w:eastAsia="Times New Roman" w:cs="Times New Roman"/>
          <w:color w:val="000000"/>
          <w:sz w:val="16"/>
          <w:szCs w:val="22"/>
          <w:lang w:val="en-GB"/>
        </w:rPr>
      </w:pPr>
      <w:r w:rsidRPr="009C48DA">
        <w:rPr>
          <w:rFonts w:eastAsia="Times New Roman" w:cs="Times New Roman"/>
          <w:color w:val="000000"/>
          <w:sz w:val="16"/>
          <w:szCs w:val="22"/>
          <w:lang w:val="en-GB"/>
        </w:rPr>
        <w:br w:type="page"/>
      </w:r>
    </w:p>
    <w:p w:rsidRPr="009C48DA" w:rsidR="00661519" w:rsidP="00661519" w:rsidRDefault="00661519" w14:paraId="7F7721D4" w14:textId="77777777">
      <w:pPr>
        <w:jc w:val="both"/>
        <w:rPr>
          <w:rFonts w:eastAsia="Times New Roman" w:cs="Times New Roman"/>
          <w:b/>
          <w:color w:val="000000"/>
          <w:sz w:val="16"/>
          <w:szCs w:val="22"/>
          <w:lang w:val="en-GB"/>
        </w:rPr>
      </w:pPr>
      <w:r w:rsidRPr="009C48DA">
        <w:rPr>
          <w:rFonts w:eastAsia="Times New Roman" w:cs="Times New Roman"/>
          <w:b/>
          <w:color w:val="000000"/>
          <w:sz w:val="16"/>
          <w:szCs w:val="22"/>
          <w:lang w:val="en-GB"/>
        </w:rPr>
        <w:lastRenderedPageBreak/>
        <w:t>(f)</w:t>
      </w:r>
      <w:r w:rsidRPr="009C48DA">
        <w:rPr>
          <w:rFonts w:eastAsia="Times New Roman" w:cs="Times New Roman"/>
          <w:b/>
          <w:color w:val="000000"/>
          <w:sz w:val="16"/>
          <w:szCs w:val="22"/>
          <w:lang w:val="en-GB"/>
        </w:rPr>
        <w:tab/>
        <w:t>Non-controlling interests</w:t>
      </w:r>
    </w:p>
    <w:p w:rsidRPr="009C48DA" w:rsidR="00661519" w:rsidP="00661519" w:rsidRDefault="00661519" w14:paraId="1859C6CB" w14:textId="77777777">
      <w:pPr>
        <w:jc w:val="both"/>
        <w:rPr>
          <w:rFonts w:eastAsia="Times New Roman" w:cs="Times New Roman"/>
          <w:b/>
          <w:color w:val="000000"/>
          <w:sz w:val="16"/>
          <w:szCs w:val="22"/>
          <w:lang w:val="en-GB"/>
        </w:rPr>
      </w:pPr>
    </w:p>
    <w:p w:rsidRPr="009C48DA" w:rsidR="00661519" w:rsidP="00661519" w:rsidRDefault="00661519" w14:paraId="472C0820" w14:textId="59F7056A">
      <w:pPr>
        <w:jc w:val="both"/>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Non-controlling interests include Dyal interest in </w:t>
      </w:r>
      <w:r w:rsidRPr="00CD2359" w:rsidR="00CD2359">
        <w:rPr>
          <w:rFonts w:eastAsia="Times New Roman" w:cs="Times New Roman"/>
          <w:color w:val="000000"/>
          <w:sz w:val="16"/>
          <w:szCs w:val="22"/>
          <w:lang w:val="en-GB"/>
        </w:rPr>
        <w:t>Bridgepoint Group Holdings Limited</w:t>
      </w:r>
      <w:r w:rsidRPr="009C48DA">
        <w:rPr>
          <w:rFonts w:eastAsia="Times New Roman" w:cs="Times New Roman"/>
          <w:color w:val="000000"/>
          <w:sz w:val="16"/>
          <w:szCs w:val="22"/>
          <w:lang w:val="en-GB"/>
        </w:rPr>
        <w:t xml:space="preserve">, a majority owned direct subsidiary of the </w:t>
      </w:r>
      <w:r w:rsidRPr="009C48DA">
        <w:rPr>
          <w:rFonts w:eastAsia="Times New Roman" w:cs="Times New Roman"/>
          <w:color w:val="000000"/>
          <w:sz w:val="16"/>
          <w:szCs w:val="22"/>
          <w:lang w:val="en-GB"/>
        </w:rPr>
        <w:br/>
        <w:t xml:space="preserve">Company. </w:t>
      </w:r>
    </w:p>
    <w:p w:rsidRPr="009C48DA" w:rsidR="00661519" w:rsidP="00661519" w:rsidRDefault="00661519" w14:paraId="7F409E2B" w14:textId="77777777">
      <w:pPr>
        <w:jc w:val="both"/>
        <w:rPr>
          <w:rFonts w:eastAsia="Times New Roman" w:cs="Times New Roman"/>
          <w:color w:val="000000"/>
          <w:sz w:val="16"/>
          <w:szCs w:val="22"/>
          <w:lang w:val="en-GB"/>
        </w:rPr>
      </w:pPr>
    </w:p>
    <w:p w:rsidRPr="009C48DA" w:rsidR="00661519" w:rsidP="00661519" w:rsidRDefault="00661519" w14:paraId="6D00E30F" w14:textId="77777777">
      <w:pPr>
        <w:jc w:val="both"/>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Non-controlling interests also included in the year ended 31 December 2018, 31 December 2019 and three months ended 31 March 2020, an amount equaling 85% of the accumulated profits of Opal Investments LP, which is an investor in the BE V Fund Partnerships. The Opal Investments LP related non-controlling interests were allocated to the equity holders of the Company during the year ended 31 December </w:t>
      </w:r>
      <w:r w:rsidRPr="009C48DA">
        <w:rPr>
          <w:rFonts w:eastAsia="Times New Roman" w:cs="Times New Roman"/>
          <w:color w:val="000000"/>
          <w:sz w:val="16"/>
          <w:szCs w:val="22"/>
          <w:lang w:val="en-GB"/>
        </w:rPr>
        <w:br/>
        <w:t xml:space="preserve">2020. 15% of the residual profits are classified as a financial liability payable to a related party, which were £3.8m at 31 December 2020 and </w:t>
      </w:r>
      <w:r w:rsidRPr="009C48DA">
        <w:rPr>
          <w:rFonts w:eastAsia="Times New Roman" w:cs="Times New Roman"/>
          <w:color w:val="000000"/>
          <w:sz w:val="16"/>
          <w:szCs w:val="22"/>
          <w:lang w:val="en-GB"/>
        </w:rPr>
        <w:br/>
        <w:t xml:space="preserve">£5.8m at 31 March 2021. </w:t>
      </w:r>
    </w:p>
    <w:p w:rsidRPr="009C48DA" w:rsidR="00661519" w:rsidP="00661519" w:rsidRDefault="00661519" w14:paraId="5613B800" w14:textId="77777777">
      <w:pPr>
        <w:jc w:val="both"/>
        <w:rPr>
          <w:rFonts w:eastAsia="Times New Roman" w:cs="Times New Roman"/>
          <w:color w:val="000000"/>
          <w:sz w:val="16"/>
          <w:szCs w:val="22"/>
          <w:lang w:val="en-GB"/>
        </w:rPr>
      </w:pPr>
    </w:p>
    <w:tbl>
      <w:tblPr>
        <w:tblStyle w:val="TableGrid30"/>
        <w:tblW w:w="92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11"/>
        <w:gridCol w:w="1178"/>
        <w:gridCol w:w="1178"/>
        <w:gridCol w:w="1179"/>
        <w:gridCol w:w="1178"/>
      </w:tblGrid>
      <w:tr w:rsidRPr="009C48DA" w:rsidR="00661519" w:rsidTr="00661519" w14:paraId="32123D72" w14:textId="77777777">
        <w:trPr>
          <w:trHeight w:val="778"/>
        </w:trPr>
        <w:tc>
          <w:tcPr>
            <w:tcW w:w="4511" w:type="dxa"/>
            <w:vAlign w:val="bottom"/>
          </w:tcPr>
          <w:p w:rsidRPr="009C48DA" w:rsidR="00661519" w:rsidP="00661519" w:rsidRDefault="00661519" w14:paraId="4D86B416" w14:textId="77777777">
            <w:pPr>
              <w:jc w:val="both"/>
              <w:textAlignment w:val="baseline"/>
              <w:rPr>
                <w:rFonts w:eastAsia="Times New Roman"/>
                <w:b/>
                <w:color w:val="000000"/>
                <w:sz w:val="16"/>
                <w:szCs w:val="16"/>
                <w:lang w:val="en-GB"/>
              </w:rPr>
            </w:pPr>
          </w:p>
        </w:tc>
        <w:tc>
          <w:tcPr>
            <w:tcW w:w="3535" w:type="dxa"/>
            <w:gridSpan w:val="3"/>
            <w:vAlign w:val="bottom"/>
          </w:tcPr>
          <w:p w:rsidRPr="009C48DA" w:rsidR="00661519" w:rsidP="00661519" w:rsidRDefault="00661519" w14:paraId="43B792E6"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szCs w:val="16"/>
                <w:lang w:val="en-GB"/>
              </w:rPr>
              <w:t>Year ended 31 December</w:t>
            </w:r>
          </w:p>
        </w:tc>
        <w:tc>
          <w:tcPr>
            <w:tcW w:w="1178" w:type="dxa"/>
          </w:tcPr>
          <w:p w:rsidRPr="009C48DA" w:rsidR="00661519" w:rsidP="00661519" w:rsidRDefault="00661519" w14:paraId="748B5266" w14:textId="77777777">
            <w:pPr>
              <w:pBdr>
                <w:bottom w:val="single" w:color="auto" w:sz="18" w:space="1"/>
              </w:pBdr>
              <w:jc w:val="center"/>
              <w:textAlignment w:val="baseline"/>
              <w:rPr>
                <w:rFonts w:eastAsia="Times New Roman"/>
                <w:b/>
                <w:color w:val="000000"/>
                <w:sz w:val="16"/>
                <w:szCs w:val="16"/>
                <w:lang w:val="en-GB"/>
              </w:rPr>
            </w:pPr>
          </w:p>
          <w:p w:rsidRPr="009C48DA" w:rsidR="00661519" w:rsidP="00661519" w:rsidRDefault="00661519" w14:paraId="1FE512E2"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szCs w:val="16"/>
                <w:lang w:val="en-GB"/>
              </w:rPr>
              <w:t>Three month period ended 31 March</w:t>
            </w:r>
          </w:p>
        </w:tc>
      </w:tr>
      <w:tr w:rsidRPr="009C48DA" w:rsidR="00661519" w:rsidTr="00661519" w14:paraId="209B2339" w14:textId="77777777">
        <w:trPr>
          <w:trHeight w:val="375"/>
        </w:trPr>
        <w:tc>
          <w:tcPr>
            <w:tcW w:w="4511" w:type="dxa"/>
            <w:vAlign w:val="bottom"/>
          </w:tcPr>
          <w:p w:rsidRPr="009C48DA" w:rsidR="00661519" w:rsidP="00661519" w:rsidRDefault="00661519" w14:paraId="00CC13FD" w14:textId="77777777">
            <w:pPr>
              <w:jc w:val="both"/>
              <w:textAlignment w:val="baseline"/>
              <w:rPr>
                <w:rFonts w:eastAsia="Times New Roman"/>
                <w:b/>
                <w:color w:val="000000"/>
                <w:sz w:val="16"/>
                <w:lang w:val="en-GB"/>
              </w:rPr>
            </w:pPr>
          </w:p>
        </w:tc>
        <w:tc>
          <w:tcPr>
            <w:tcW w:w="1178" w:type="dxa"/>
            <w:vAlign w:val="bottom"/>
          </w:tcPr>
          <w:p w:rsidRPr="009C48DA" w:rsidR="00661519" w:rsidP="00661519" w:rsidRDefault="00661519" w14:paraId="30276EA8"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2018</w:t>
            </w:r>
          </w:p>
          <w:p w:rsidRPr="009C48DA" w:rsidR="00661519" w:rsidP="00661519" w:rsidRDefault="00661519" w14:paraId="73CD0124"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178" w:type="dxa"/>
            <w:vAlign w:val="bottom"/>
          </w:tcPr>
          <w:p w:rsidRPr="009C48DA" w:rsidR="00661519" w:rsidP="00661519" w:rsidRDefault="00661519" w14:paraId="1AB1ACD1"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2019</w:t>
            </w:r>
          </w:p>
          <w:p w:rsidRPr="009C48DA" w:rsidR="00661519" w:rsidP="00661519" w:rsidRDefault="00661519" w14:paraId="2D3F8AFE"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178" w:type="dxa"/>
            <w:vAlign w:val="bottom"/>
          </w:tcPr>
          <w:p w:rsidRPr="009C48DA" w:rsidR="00661519" w:rsidP="00661519" w:rsidRDefault="00661519" w14:paraId="79C40D88"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2020</w:t>
            </w:r>
          </w:p>
          <w:p w:rsidRPr="009C48DA" w:rsidR="00661519" w:rsidP="00661519" w:rsidRDefault="00661519" w14:paraId="714823BF"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178" w:type="dxa"/>
            <w:vAlign w:val="bottom"/>
          </w:tcPr>
          <w:p w:rsidRPr="009C48DA" w:rsidR="00661519" w:rsidP="00661519" w:rsidRDefault="00661519" w14:paraId="779054A3"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2021</w:t>
            </w:r>
          </w:p>
          <w:p w:rsidRPr="009C48DA" w:rsidR="00661519" w:rsidP="00661519" w:rsidRDefault="00661519" w14:paraId="770BF3F6"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£ 000</w:t>
            </w:r>
          </w:p>
        </w:tc>
      </w:tr>
      <w:tr w:rsidRPr="009C48DA" w:rsidR="00661519" w:rsidTr="00661519" w14:paraId="617AFAA1" w14:textId="77777777">
        <w:trPr>
          <w:trHeight w:val="194"/>
        </w:trPr>
        <w:tc>
          <w:tcPr>
            <w:tcW w:w="4511" w:type="dxa"/>
            <w:vAlign w:val="bottom"/>
          </w:tcPr>
          <w:p w:rsidRPr="009C48DA" w:rsidR="00661519" w:rsidP="00661519" w:rsidRDefault="00661519" w14:paraId="7AA3091C"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Non-controlling interest in Opal</w:t>
            </w:r>
          </w:p>
        </w:tc>
        <w:tc>
          <w:tcPr>
            <w:tcW w:w="1178" w:type="dxa"/>
            <w:vAlign w:val="center"/>
          </w:tcPr>
          <w:p w:rsidRPr="009C48DA" w:rsidR="00661519" w:rsidP="00661519" w:rsidRDefault="00661519" w14:paraId="5BA17B58"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12,011</w:t>
            </w:r>
          </w:p>
        </w:tc>
        <w:tc>
          <w:tcPr>
            <w:tcW w:w="1178" w:type="dxa"/>
            <w:vAlign w:val="center"/>
          </w:tcPr>
          <w:p w:rsidRPr="009C48DA" w:rsidR="00661519" w:rsidP="00661519" w:rsidRDefault="00661519" w14:paraId="5D05C8B1"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15,356</w:t>
            </w:r>
          </w:p>
        </w:tc>
        <w:tc>
          <w:tcPr>
            <w:tcW w:w="1178" w:type="dxa"/>
            <w:vAlign w:val="center"/>
          </w:tcPr>
          <w:p w:rsidRPr="009C48DA" w:rsidR="00661519" w:rsidP="00661519" w:rsidRDefault="00661519" w14:paraId="41F11374"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58842B38"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w:t>
            </w:r>
          </w:p>
        </w:tc>
      </w:tr>
      <w:tr w:rsidRPr="009C48DA" w:rsidR="00661519" w:rsidTr="00661519" w14:paraId="54CECE9C" w14:textId="77777777">
        <w:trPr>
          <w:trHeight w:val="222"/>
        </w:trPr>
        <w:tc>
          <w:tcPr>
            <w:tcW w:w="4511" w:type="dxa"/>
            <w:vAlign w:val="center"/>
          </w:tcPr>
          <w:p w:rsidRPr="009C48DA" w:rsidR="00661519" w:rsidP="00661519" w:rsidRDefault="00661519" w14:paraId="45EDD2EC" w14:textId="3AA7FA65">
            <w:pPr>
              <w:jc w:val="both"/>
              <w:textAlignment w:val="baseline"/>
              <w:rPr>
                <w:rFonts w:eastAsia="Times New Roman"/>
                <w:color w:val="000000"/>
                <w:sz w:val="16"/>
                <w:szCs w:val="16"/>
                <w:lang w:val="en-GB"/>
              </w:rPr>
            </w:pPr>
            <w:r w:rsidRPr="009C48DA">
              <w:rPr>
                <w:rFonts w:eastAsia="Times New Roman"/>
                <w:color w:val="000000"/>
                <w:sz w:val="16"/>
                <w:szCs w:val="16"/>
                <w:lang w:val="en-GB"/>
              </w:rPr>
              <w:t xml:space="preserve">Non-controlling interest in </w:t>
            </w:r>
            <w:r w:rsidRPr="00CD2359" w:rsidR="00CD2359">
              <w:rPr>
                <w:rFonts w:eastAsia="Times New Roman"/>
                <w:color w:val="000000"/>
                <w:sz w:val="16"/>
                <w:szCs w:val="16"/>
                <w:lang w:val="en-GB"/>
              </w:rPr>
              <w:t>Bridgepoint Group Holdings Limited</w:t>
            </w:r>
          </w:p>
        </w:tc>
        <w:tc>
          <w:tcPr>
            <w:tcW w:w="1178" w:type="dxa"/>
            <w:vAlign w:val="center"/>
          </w:tcPr>
          <w:p w:rsidRPr="009C48DA" w:rsidR="00661519" w:rsidP="00661519" w:rsidRDefault="00661519" w14:paraId="4FC178CE"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68,556</w:t>
            </w:r>
          </w:p>
        </w:tc>
        <w:tc>
          <w:tcPr>
            <w:tcW w:w="1178" w:type="dxa"/>
            <w:vAlign w:val="center"/>
          </w:tcPr>
          <w:p w:rsidRPr="009C48DA" w:rsidR="00661519" w:rsidP="00661519" w:rsidRDefault="00661519" w14:paraId="4C446534"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75,502</w:t>
            </w:r>
          </w:p>
        </w:tc>
        <w:tc>
          <w:tcPr>
            <w:tcW w:w="1178" w:type="dxa"/>
            <w:vAlign w:val="center"/>
          </w:tcPr>
          <w:p w:rsidRPr="009C48DA" w:rsidR="00661519" w:rsidP="00661519" w:rsidRDefault="00661519" w14:paraId="76EB6B15"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81,714</w:t>
            </w:r>
          </w:p>
        </w:tc>
        <w:tc>
          <w:tcPr>
            <w:tcW w:w="1178" w:type="dxa"/>
            <w:vAlign w:val="center"/>
          </w:tcPr>
          <w:p w:rsidRPr="009C48DA" w:rsidR="00661519" w:rsidP="00661519" w:rsidRDefault="00661519" w14:paraId="4077F3BF"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87,084</w:t>
            </w:r>
          </w:p>
        </w:tc>
      </w:tr>
      <w:tr w:rsidRPr="009C48DA" w:rsidR="00661519" w:rsidTr="00661519" w14:paraId="55E50B90" w14:textId="77777777">
        <w:trPr>
          <w:trHeight w:val="415"/>
        </w:trPr>
        <w:tc>
          <w:tcPr>
            <w:tcW w:w="4511" w:type="dxa"/>
            <w:vAlign w:val="center"/>
          </w:tcPr>
          <w:p w:rsidRPr="009C48DA" w:rsidR="00661519" w:rsidP="00661519" w:rsidRDefault="00661519" w14:paraId="1CD929EA" w14:textId="77777777">
            <w:pPr>
              <w:spacing w:before="120"/>
              <w:textAlignment w:val="baseline"/>
              <w:rPr>
                <w:rFonts w:eastAsia="Times New Roman"/>
                <w:b/>
                <w:color w:val="000000"/>
                <w:sz w:val="16"/>
                <w:szCs w:val="16"/>
                <w:lang w:val="en-GB"/>
              </w:rPr>
            </w:pPr>
            <w:r w:rsidRPr="009C48DA">
              <w:rPr>
                <w:rFonts w:eastAsia="Times New Roman"/>
                <w:b/>
                <w:color w:val="000000"/>
                <w:sz w:val="16"/>
                <w:szCs w:val="16"/>
                <w:lang w:val="en-GB"/>
              </w:rPr>
              <w:t>Total</w:t>
            </w:r>
          </w:p>
        </w:tc>
        <w:tc>
          <w:tcPr>
            <w:tcW w:w="1178" w:type="dxa"/>
            <w:vAlign w:val="center"/>
          </w:tcPr>
          <w:p w:rsidRPr="009C48DA" w:rsidR="00661519" w:rsidP="00661519" w:rsidRDefault="00661519" w14:paraId="5229B76B" w14:textId="77777777">
            <w:pPr>
              <w:pBdr>
                <w:bottom w:val="double" w:color="auto" w:sz="12" w:space="1"/>
              </w:pBdr>
              <w:spacing w:before="120"/>
              <w:jc w:val="right"/>
              <w:textAlignment w:val="baseline"/>
              <w:rPr>
                <w:rFonts w:eastAsia="Times New Roman"/>
                <w:color w:val="000000"/>
                <w:sz w:val="16"/>
                <w:szCs w:val="16"/>
                <w:lang w:val="en-GB"/>
              </w:rPr>
            </w:pPr>
            <w:r w:rsidRPr="009C48DA">
              <w:rPr>
                <w:rFonts w:eastAsia="Times New Roman"/>
                <w:color w:val="000000"/>
                <w:sz w:val="16"/>
                <w:lang w:val="en-GB"/>
              </w:rPr>
              <w:t>80,567</w:t>
            </w:r>
          </w:p>
        </w:tc>
        <w:tc>
          <w:tcPr>
            <w:tcW w:w="1178" w:type="dxa"/>
            <w:vAlign w:val="center"/>
          </w:tcPr>
          <w:p w:rsidRPr="009C48DA" w:rsidR="00661519" w:rsidP="00661519" w:rsidRDefault="00661519" w14:paraId="256E73AB" w14:textId="77777777">
            <w:pPr>
              <w:pBdr>
                <w:bottom w:val="double" w:color="auto" w:sz="12" w:space="1"/>
              </w:pBdr>
              <w:spacing w:before="120"/>
              <w:jc w:val="right"/>
              <w:textAlignment w:val="baseline"/>
              <w:rPr>
                <w:rFonts w:eastAsia="Times New Roman"/>
                <w:color w:val="000000"/>
                <w:sz w:val="16"/>
                <w:szCs w:val="16"/>
                <w:lang w:val="en-GB"/>
              </w:rPr>
            </w:pPr>
            <w:r w:rsidRPr="009C48DA">
              <w:rPr>
                <w:rFonts w:eastAsia="Times New Roman"/>
                <w:color w:val="000000"/>
                <w:sz w:val="16"/>
                <w:lang w:val="en-GB"/>
              </w:rPr>
              <w:t>90,858</w:t>
            </w:r>
          </w:p>
        </w:tc>
        <w:tc>
          <w:tcPr>
            <w:tcW w:w="1178" w:type="dxa"/>
            <w:vAlign w:val="center"/>
          </w:tcPr>
          <w:p w:rsidRPr="009C48DA" w:rsidR="00661519" w:rsidP="00661519" w:rsidRDefault="00661519" w14:paraId="19581AE6" w14:textId="77777777">
            <w:pPr>
              <w:pBdr>
                <w:bottom w:val="double" w:color="auto" w:sz="12" w:space="1"/>
              </w:pBdr>
              <w:spacing w:before="120"/>
              <w:jc w:val="right"/>
              <w:textAlignment w:val="baseline"/>
              <w:rPr>
                <w:rFonts w:eastAsia="Times New Roman"/>
                <w:color w:val="000000"/>
                <w:sz w:val="16"/>
                <w:szCs w:val="16"/>
                <w:lang w:val="en-GB"/>
              </w:rPr>
            </w:pPr>
            <w:r w:rsidRPr="009C48DA">
              <w:rPr>
                <w:rFonts w:eastAsia="Times New Roman"/>
                <w:color w:val="000000"/>
                <w:sz w:val="16"/>
                <w:lang w:val="en-GB"/>
              </w:rPr>
              <w:t>81,714</w:t>
            </w:r>
          </w:p>
        </w:tc>
        <w:tc>
          <w:tcPr>
            <w:tcW w:w="1178" w:type="dxa"/>
            <w:vAlign w:val="center"/>
          </w:tcPr>
          <w:p w:rsidRPr="009C48DA" w:rsidR="00661519" w:rsidP="00661519" w:rsidRDefault="00661519" w14:paraId="640CB0BC" w14:textId="77777777">
            <w:pPr>
              <w:pBdr>
                <w:bottom w:val="double" w:color="auto" w:sz="12" w:space="1"/>
              </w:pBdr>
              <w:spacing w:before="120"/>
              <w:jc w:val="right"/>
              <w:textAlignment w:val="baseline"/>
              <w:rPr>
                <w:rFonts w:eastAsia="Times New Roman"/>
                <w:color w:val="000000"/>
                <w:sz w:val="16"/>
                <w:szCs w:val="16"/>
                <w:lang w:val="en-GB"/>
              </w:rPr>
            </w:pPr>
            <w:r w:rsidRPr="009C48DA">
              <w:rPr>
                <w:rFonts w:eastAsia="Times New Roman"/>
                <w:color w:val="000000"/>
                <w:sz w:val="16"/>
                <w:lang w:val="en-GB"/>
              </w:rPr>
              <w:t>87,084</w:t>
            </w:r>
          </w:p>
        </w:tc>
      </w:tr>
    </w:tbl>
    <w:p w:rsidRPr="009C48DA" w:rsidR="00661519" w:rsidP="00661519" w:rsidRDefault="00661519" w14:paraId="4EF98966" w14:textId="77777777">
      <w:pPr>
        <w:rPr>
          <w:rFonts w:eastAsia="Times New Roman" w:cs="Times New Roman"/>
          <w:color w:val="000000"/>
          <w:sz w:val="16"/>
          <w:szCs w:val="22"/>
          <w:lang w:val="en-GB"/>
        </w:rPr>
      </w:pPr>
    </w:p>
    <w:p w:rsidRPr="009C48DA" w:rsidR="00661519" w:rsidP="00661519" w:rsidRDefault="00661519" w14:paraId="5618F215" w14:textId="77777777">
      <w:pPr>
        <w:rPr>
          <w:rFonts w:eastAsia="Times New Roman" w:cs="Times New Roman"/>
          <w:color w:val="000000"/>
          <w:sz w:val="16"/>
          <w:szCs w:val="22"/>
          <w:lang w:val="en-GB"/>
        </w:rPr>
      </w:pPr>
    </w:p>
    <w:p w:rsidRPr="009C48DA" w:rsidR="00661519" w:rsidP="00661519" w:rsidRDefault="00661519" w14:paraId="160BFC47"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24</w:t>
      </w:r>
      <w:r w:rsidRPr="009C48DA">
        <w:rPr>
          <w:rFonts w:eastAsia="Times New Roman" w:cs="Times New Roman"/>
          <w:b/>
          <w:color w:val="000000"/>
          <w:sz w:val="16"/>
          <w:szCs w:val="22"/>
          <w:lang w:val="en-GB"/>
        </w:rPr>
        <w:tab/>
        <w:t>Dividends</w:t>
      </w:r>
    </w:p>
    <w:p w:rsidRPr="009C48DA" w:rsidR="00661519" w:rsidP="00661519" w:rsidRDefault="00661519" w14:paraId="64D9F1CE" w14:textId="77777777">
      <w:pPr>
        <w:textAlignment w:val="baseline"/>
        <w:rPr>
          <w:rFonts w:eastAsia="Times New Roman" w:cs="Times New Roman"/>
          <w:b/>
          <w:color w:val="000000"/>
          <w:sz w:val="16"/>
          <w:szCs w:val="22"/>
          <w:lang w:val="en-GB"/>
        </w:rPr>
      </w:pPr>
    </w:p>
    <w:p w:rsidRPr="009C48DA" w:rsidR="00661519" w:rsidP="00661519" w:rsidRDefault="00661519" w14:paraId="181E46A7"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In 2018 the Company paid no dividends.</w:t>
      </w:r>
    </w:p>
    <w:p w:rsidRPr="009C48DA" w:rsidR="00661519" w:rsidP="00661519" w:rsidRDefault="00661519" w14:paraId="5C892DD6" w14:textId="77777777">
      <w:pPr>
        <w:textAlignment w:val="baseline"/>
        <w:rPr>
          <w:rFonts w:eastAsia="Times New Roman" w:cs="Times New Roman"/>
          <w:color w:val="000000"/>
          <w:sz w:val="16"/>
          <w:szCs w:val="22"/>
          <w:lang w:val="en-GB"/>
        </w:rPr>
      </w:pPr>
    </w:p>
    <w:p w:rsidRPr="009C48DA" w:rsidR="00661519" w:rsidP="00661519" w:rsidRDefault="00661519" w14:paraId="15B05B4A"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In 2019 the Company paid dividends of £6.6m (£2.50 per share) to qualifying shareholders.</w:t>
      </w:r>
    </w:p>
    <w:p w:rsidRPr="009C48DA" w:rsidR="00661519" w:rsidP="00661519" w:rsidRDefault="00661519" w14:paraId="29AAD29E" w14:textId="77777777">
      <w:pPr>
        <w:textAlignment w:val="baseline"/>
        <w:rPr>
          <w:rFonts w:eastAsia="Times New Roman" w:cs="Times New Roman"/>
          <w:color w:val="000000"/>
          <w:sz w:val="16"/>
          <w:szCs w:val="22"/>
          <w:lang w:val="en-GB"/>
        </w:rPr>
      </w:pPr>
    </w:p>
    <w:p w:rsidRPr="009C48DA" w:rsidR="00661519" w:rsidP="00661519" w:rsidRDefault="00661519" w14:paraId="195EBBBC"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Company paid a dividend of £3.3m in July 2020 and £3.3m in December 2020 (December 2019: £6.6m) to qualifying shareholders, </w:t>
      </w:r>
    </w:p>
    <w:p w:rsidRPr="009C48DA" w:rsidR="00661519" w:rsidP="00661519" w:rsidRDefault="00661519" w14:paraId="6254E7F2"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which equates to £2.50 per share.</w:t>
      </w:r>
    </w:p>
    <w:p w:rsidRPr="009C48DA" w:rsidR="00661519" w:rsidP="00661519" w:rsidRDefault="00661519" w14:paraId="6E532825" w14:textId="77777777">
      <w:pPr>
        <w:textAlignment w:val="baseline"/>
        <w:rPr>
          <w:rFonts w:eastAsia="Times New Roman" w:cs="Times New Roman"/>
          <w:color w:val="000000"/>
          <w:sz w:val="16"/>
          <w:szCs w:val="22"/>
          <w:lang w:val="en-GB"/>
        </w:rPr>
      </w:pPr>
    </w:p>
    <w:p w:rsidRPr="009C48DA" w:rsidR="00661519" w:rsidP="00661519" w:rsidRDefault="00661519" w14:paraId="07380F9A"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In the three month period to 31 March 2021 the Company paid no dividends. </w:t>
      </w:r>
    </w:p>
    <w:p w:rsidRPr="009C48DA" w:rsidR="00661519" w:rsidP="00661519" w:rsidRDefault="00661519" w14:paraId="0CBB39AD" w14:textId="77777777">
      <w:pPr>
        <w:textAlignment w:val="baseline"/>
        <w:rPr>
          <w:rFonts w:eastAsia="Times New Roman" w:cs="Times New Roman"/>
          <w:b/>
          <w:color w:val="000000"/>
          <w:sz w:val="16"/>
          <w:szCs w:val="22"/>
          <w:lang w:val="en-GB"/>
        </w:rPr>
      </w:pPr>
    </w:p>
    <w:p w:rsidRPr="009C48DA" w:rsidR="00661519" w:rsidP="00661519" w:rsidRDefault="00661519" w14:paraId="05A05434" w14:textId="77777777">
      <w:pPr>
        <w:textAlignment w:val="baseline"/>
        <w:rPr>
          <w:rFonts w:eastAsia="Times New Roman" w:cs="Times New Roman"/>
          <w:b/>
          <w:color w:val="000000"/>
          <w:sz w:val="16"/>
          <w:szCs w:val="22"/>
          <w:lang w:val="en-GB"/>
        </w:rPr>
      </w:pPr>
    </w:p>
    <w:p w:rsidRPr="009C48DA" w:rsidR="00661519" w:rsidP="00661519" w:rsidRDefault="00661519" w14:paraId="72CB04C3"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25</w:t>
      </w:r>
      <w:r w:rsidRPr="009C48DA">
        <w:rPr>
          <w:rFonts w:eastAsia="Times New Roman" w:cs="Times New Roman"/>
          <w:b/>
          <w:color w:val="000000"/>
          <w:sz w:val="16"/>
          <w:szCs w:val="22"/>
          <w:lang w:val="en-GB"/>
        </w:rPr>
        <w:tab/>
        <w:t>Cash flow information</w:t>
      </w:r>
    </w:p>
    <w:p w:rsidRPr="009C48DA" w:rsidR="00661519" w:rsidP="00661519" w:rsidRDefault="00661519" w14:paraId="71829DAE" w14:textId="77777777">
      <w:pPr>
        <w:textAlignment w:val="baseline"/>
        <w:rPr>
          <w:rFonts w:eastAsia="Times New Roman" w:cs="Times New Roman"/>
          <w:b/>
          <w:color w:val="000000"/>
          <w:sz w:val="16"/>
          <w:szCs w:val="22"/>
          <w:lang w:val="en-GB"/>
        </w:rPr>
      </w:pPr>
    </w:p>
    <w:p w:rsidRPr="009C48DA" w:rsidR="00661519" w:rsidP="00661519" w:rsidRDefault="00661519" w14:paraId="3AE80B55" w14:textId="77777777">
      <w:pPr>
        <w:jc w:val="both"/>
        <w:rPr>
          <w:rFonts w:eastAsia="Times New Roman" w:cs="Times New Roman"/>
          <w:b/>
          <w:color w:val="000000"/>
          <w:sz w:val="16"/>
          <w:szCs w:val="22"/>
          <w:lang w:val="en-GB"/>
        </w:rPr>
      </w:pPr>
      <w:r w:rsidRPr="009C48DA">
        <w:rPr>
          <w:rFonts w:eastAsia="Times New Roman" w:cs="Times New Roman"/>
          <w:b/>
          <w:color w:val="000000"/>
          <w:sz w:val="16"/>
          <w:szCs w:val="22"/>
          <w:lang w:val="en-GB"/>
        </w:rPr>
        <w:t>(a)</w:t>
      </w:r>
      <w:r w:rsidRPr="009C48DA">
        <w:rPr>
          <w:rFonts w:eastAsia="Times New Roman" w:cs="Times New Roman"/>
          <w:b/>
          <w:color w:val="000000"/>
          <w:sz w:val="16"/>
          <w:szCs w:val="22"/>
          <w:lang w:val="en-GB"/>
        </w:rPr>
        <w:tab/>
        <w:t>Cash generated from operations</w:t>
      </w:r>
    </w:p>
    <w:tbl>
      <w:tblPr>
        <w:tblStyle w:val="TableGrid30"/>
        <w:tblW w:w="93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48"/>
        <w:gridCol w:w="1057"/>
        <w:gridCol w:w="1057"/>
        <w:gridCol w:w="1058"/>
        <w:gridCol w:w="1057"/>
        <w:gridCol w:w="1058"/>
      </w:tblGrid>
      <w:tr w:rsidRPr="009C48DA" w:rsidR="00661519" w:rsidTr="00661519" w14:paraId="70E2EAE0" w14:textId="77777777">
        <w:trPr>
          <w:trHeight w:val="492"/>
        </w:trPr>
        <w:tc>
          <w:tcPr>
            <w:tcW w:w="4048" w:type="dxa"/>
            <w:vAlign w:val="bottom"/>
          </w:tcPr>
          <w:p w:rsidRPr="009C48DA" w:rsidR="00661519" w:rsidP="00661519" w:rsidRDefault="00661519" w14:paraId="73077DBD" w14:textId="77777777">
            <w:pPr>
              <w:jc w:val="both"/>
              <w:textAlignment w:val="baseline"/>
              <w:rPr>
                <w:rFonts w:eastAsia="Times New Roman"/>
                <w:b/>
                <w:color w:val="000000"/>
                <w:sz w:val="16"/>
                <w:szCs w:val="16"/>
                <w:lang w:val="en-GB"/>
              </w:rPr>
            </w:pPr>
          </w:p>
        </w:tc>
        <w:tc>
          <w:tcPr>
            <w:tcW w:w="3172" w:type="dxa"/>
            <w:gridSpan w:val="3"/>
            <w:vAlign w:val="bottom"/>
          </w:tcPr>
          <w:p w:rsidRPr="009C48DA" w:rsidR="00661519" w:rsidP="00661519" w:rsidRDefault="00661519" w14:paraId="016FAEE7"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szCs w:val="16"/>
                <w:lang w:val="en-GB"/>
              </w:rPr>
              <w:t>Year ended 31 December</w:t>
            </w:r>
          </w:p>
        </w:tc>
        <w:tc>
          <w:tcPr>
            <w:tcW w:w="2115" w:type="dxa"/>
            <w:gridSpan w:val="2"/>
          </w:tcPr>
          <w:p w:rsidRPr="009C48DA" w:rsidR="00661519" w:rsidP="00661519" w:rsidRDefault="00661519" w14:paraId="3495957B" w14:textId="77777777">
            <w:pPr>
              <w:pBdr>
                <w:bottom w:val="single" w:color="auto" w:sz="18" w:space="1"/>
              </w:pBdr>
              <w:jc w:val="center"/>
              <w:textAlignment w:val="baseline"/>
              <w:rPr>
                <w:rFonts w:eastAsia="Times New Roman"/>
                <w:b/>
                <w:color w:val="000000"/>
                <w:sz w:val="16"/>
                <w:szCs w:val="16"/>
                <w:lang w:val="en-GB"/>
              </w:rPr>
            </w:pPr>
          </w:p>
          <w:p w:rsidRPr="009C48DA" w:rsidR="00661519" w:rsidP="00661519" w:rsidRDefault="00661519" w14:paraId="6994670D"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szCs w:val="16"/>
                <w:lang w:val="en-GB"/>
              </w:rPr>
              <w:t>Three month period ended</w:t>
            </w:r>
          </w:p>
          <w:p w:rsidRPr="009C48DA" w:rsidR="00661519" w:rsidP="00661519" w:rsidRDefault="00661519" w14:paraId="7D423B1E"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szCs w:val="16"/>
                <w:lang w:val="en-GB"/>
              </w:rPr>
              <w:t>31 March</w:t>
            </w:r>
          </w:p>
        </w:tc>
      </w:tr>
      <w:tr w:rsidRPr="009C48DA" w:rsidR="00661519" w:rsidTr="00661519" w14:paraId="07CBF2C1" w14:textId="77777777">
        <w:trPr>
          <w:trHeight w:val="225"/>
        </w:trPr>
        <w:tc>
          <w:tcPr>
            <w:tcW w:w="4048" w:type="dxa"/>
            <w:vAlign w:val="bottom"/>
          </w:tcPr>
          <w:p w:rsidRPr="009C48DA" w:rsidR="00661519" w:rsidP="00661519" w:rsidRDefault="00661519" w14:paraId="4C5992AE" w14:textId="77777777">
            <w:pPr>
              <w:jc w:val="both"/>
              <w:textAlignment w:val="baseline"/>
              <w:rPr>
                <w:rFonts w:eastAsia="Times New Roman"/>
                <w:b/>
                <w:color w:val="000000"/>
                <w:sz w:val="16"/>
                <w:lang w:val="en-GB"/>
              </w:rPr>
            </w:pPr>
          </w:p>
        </w:tc>
        <w:tc>
          <w:tcPr>
            <w:tcW w:w="1057" w:type="dxa"/>
            <w:vAlign w:val="bottom"/>
          </w:tcPr>
          <w:p w:rsidRPr="009C48DA" w:rsidR="00661519" w:rsidP="00661519" w:rsidRDefault="00661519" w14:paraId="235CE811" w14:textId="77777777">
            <w:pPr>
              <w:jc w:val="right"/>
              <w:textAlignment w:val="baseline"/>
              <w:rPr>
                <w:rFonts w:eastAsia="Times New Roman"/>
                <w:b/>
                <w:color w:val="000000"/>
                <w:sz w:val="16"/>
                <w:szCs w:val="16"/>
                <w:lang w:val="en-GB"/>
              </w:rPr>
            </w:pPr>
          </w:p>
        </w:tc>
        <w:tc>
          <w:tcPr>
            <w:tcW w:w="1057" w:type="dxa"/>
            <w:vAlign w:val="bottom"/>
          </w:tcPr>
          <w:p w:rsidRPr="009C48DA" w:rsidR="00661519" w:rsidP="00661519" w:rsidRDefault="00661519" w14:paraId="3E3F9943" w14:textId="77777777">
            <w:pPr>
              <w:jc w:val="right"/>
              <w:textAlignment w:val="baseline"/>
              <w:rPr>
                <w:rFonts w:eastAsia="Times New Roman"/>
                <w:b/>
                <w:color w:val="000000"/>
                <w:sz w:val="16"/>
                <w:szCs w:val="16"/>
                <w:lang w:val="en-GB"/>
              </w:rPr>
            </w:pPr>
          </w:p>
        </w:tc>
        <w:tc>
          <w:tcPr>
            <w:tcW w:w="1058" w:type="dxa"/>
            <w:vAlign w:val="bottom"/>
          </w:tcPr>
          <w:p w:rsidRPr="009C48DA" w:rsidR="00661519" w:rsidP="00661519" w:rsidRDefault="00661519" w14:paraId="28E764F3" w14:textId="77777777">
            <w:pPr>
              <w:jc w:val="right"/>
              <w:textAlignment w:val="baseline"/>
              <w:rPr>
                <w:rFonts w:eastAsia="Times New Roman"/>
                <w:b/>
                <w:color w:val="000000"/>
                <w:sz w:val="16"/>
                <w:szCs w:val="16"/>
                <w:lang w:val="en-GB"/>
              </w:rPr>
            </w:pPr>
          </w:p>
        </w:tc>
        <w:tc>
          <w:tcPr>
            <w:tcW w:w="1057" w:type="dxa"/>
            <w:vAlign w:val="bottom"/>
          </w:tcPr>
          <w:p w:rsidRPr="009C48DA" w:rsidR="00661519" w:rsidP="00661519" w:rsidRDefault="00661519" w14:paraId="50188E4D"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Unaudited</w:t>
            </w:r>
          </w:p>
        </w:tc>
        <w:tc>
          <w:tcPr>
            <w:tcW w:w="1058" w:type="dxa"/>
            <w:vAlign w:val="bottom"/>
          </w:tcPr>
          <w:p w:rsidRPr="009C48DA" w:rsidR="00661519" w:rsidP="00661519" w:rsidRDefault="00661519" w14:paraId="5917F983" w14:textId="77777777">
            <w:pPr>
              <w:jc w:val="right"/>
              <w:textAlignment w:val="baseline"/>
              <w:rPr>
                <w:rFonts w:eastAsia="Times New Roman"/>
                <w:b/>
                <w:color w:val="000000"/>
                <w:sz w:val="16"/>
                <w:szCs w:val="16"/>
                <w:lang w:val="en-GB"/>
              </w:rPr>
            </w:pPr>
          </w:p>
        </w:tc>
      </w:tr>
      <w:tr w:rsidRPr="009C48DA" w:rsidR="00661519" w:rsidTr="00661519" w14:paraId="13380F23" w14:textId="77777777">
        <w:trPr>
          <w:trHeight w:val="436"/>
        </w:trPr>
        <w:tc>
          <w:tcPr>
            <w:tcW w:w="4048" w:type="dxa"/>
            <w:vAlign w:val="bottom"/>
          </w:tcPr>
          <w:p w:rsidRPr="009C48DA" w:rsidR="00661519" w:rsidP="00661519" w:rsidRDefault="00661519" w14:paraId="362C99A0" w14:textId="77777777">
            <w:pPr>
              <w:jc w:val="both"/>
              <w:textAlignment w:val="baseline"/>
              <w:rPr>
                <w:rFonts w:eastAsia="Times New Roman"/>
                <w:color w:val="000000"/>
                <w:sz w:val="16"/>
                <w:lang w:val="en-GB"/>
              </w:rPr>
            </w:pPr>
          </w:p>
        </w:tc>
        <w:tc>
          <w:tcPr>
            <w:tcW w:w="1057" w:type="dxa"/>
            <w:vAlign w:val="bottom"/>
          </w:tcPr>
          <w:p w:rsidRPr="009C48DA" w:rsidR="00661519" w:rsidP="00661519" w:rsidRDefault="00661519" w14:paraId="680E5BD9"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2018</w:t>
            </w:r>
          </w:p>
          <w:p w:rsidRPr="009C48DA" w:rsidR="00661519" w:rsidP="00661519" w:rsidRDefault="00661519" w14:paraId="09E6940A"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057" w:type="dxa"/>
            <w:vAlign w:val="bottom"/>
          </w:tcPr>
          <w:p w:rsidRPr="009C48DA" w:rsidR="00661519" w:rsidP="00661519" w:rsidRDefault="00661519" w14:paraId="6DC9EEF0"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2019</w:t>
            </w:r>
          </w:p>
          <w:p w:rsidRPr="009C48DA" w:rsidR="00661519" w:rsidP="00661519" w:rsidRDefault="00661519" w14:paraId="76E06CF0"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058" w:type="dxa"/>
            <w:vAlign w:val="bottom"/>
          </w:tcPr>
          <w:p w:rsidRPr="009C48DA" w:rsidR="00661519" w:rsidP="00661519" w:rsidRDefault="00661519" w14:paraId="1AC027DA"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2020</w:t>
            </w:r>
          </w:p>
          <w:p w:rsidRPr="009C48DA" w:rsidR="00661519" w:rsidP="00661519" w:rsidRDefault="00661519" w14:paraId="58C5A8FD"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057" w:type="dxa"/>
            <w:vAlign w:val="bottom"/>
          </w:tcPr>
          <w:p w:rsidRPr="009C48DA" w:rsidR="00661519" w:rsidP="00661519" w:rsidRDefault="00661519" w14:paraId="31F0E719"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2020</w:t>
            </w:r>
          </w:p>
          <w:p w:rsidRPr="009C48DA" w:rsidR="00661519" w:rsidP="00661519" w:rsidRDefault="00661519" w14:paraId="01DE8739"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£ 000</w:t>
            </w:r>
          </w:p>
        </w:tc>
        <w:tc>
          <w:tcPr>
            <w:tcW w:w="1058" w:type="dxa"/>
            <w:vAlign w:val="bottom"/>
          </w:tcPr>
          <w:p w:rsidRPr="009C48DA" w:rsidR="00661519" w:rsidP="00661519" w:rsidRDefault="00661519" w14:paraId="50F640B7"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2021</w:t>
            </w:r>
          </w:p>
          <w:p w:rsidRPr="009C48DA" w:rsidR="00661519" w:rsidP="00661519" w:rsidRDefault="00661519" w14:paraId="121D905E"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£ 000</w:t>
            </w:r>
          </w:p>
        </w:tc>
      </w:tr>
      <w:tr w:rsidRPr="009C48DA" w:rsidR="00661519" w:rsidTr="00661519" w14:paraId="20E0164C" w14:textId="77777777">
        <w:trPr>
          <w:trHeight w:val="225"/>
        </w:trPr>
        <w:tc>
          <w:tcPr>
            <w:tcW w:w="4048" w:type="dxa"/>
            <w:vAlign w:val="bottom"/>
          </w:tcPr>
          <w:p w:rsidRPr="009C48DA" w:rsidR="00661519" w:rsidP="00661519" w:rsidRDefault="00661519" w14:paraId="68A972E6"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Profit before income tax</w:t>
            </w:r>
          </w:p>
        </w:tc>
        <w:tc>
          <w:tcPr>
            <w:tcW w:w="1057" w:type="dxa"/>
            <w:vAlign w:val="center"/>
          </w:tcPr>
          <w:p w:rsidRPr="009C48DA" w:rsidR="00661519" w:rsidP="00661519" w:rsidRDefault="00661519" w14:paraId="47A9E2CE"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12,541</w:t>
            </w:r>
          </w:p>
        </w:tc>
        <w:tc>
          <w:tcPr>
            <w:tcW w:w="1057" w:type="dxa"/>
            <w:vAlign w:val="center"/>
          </w:tcPr>
          <w:p w:rsidRPr="009C48DA" w:rsidR="00661519" w:rsidP="00661519" w:rsidRDefault="00661519" w14:paraId="5B6EDF56"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47,477</w:t>
            </w:r>
          </w:p>
        </w:tc>
        <w:tc>
          <w:tcPr>
            <w:tcW w:w="1058" w:type="dxa"/>
            <w:vAlign w:val="center"/>
          </w:tcPr>
          <w:p w:rsidRPr="009C48DA" w:rsidR="00661519" w:rsidP="00661519" w:rsidRDefault="00661519" w14:paraId="477AD2AA"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48,476</w:t>
            </w:r>
          </w:p>
        </w:tc>
        <w:tc>
          <w:tcPr>
            <w:tcW w:w="1057" w:type="dxa"/>
            <w:vAlign w:val="center"/>
          </w:tcPr>
          <w:p w:rsidRPr="009C48DA" w:rsidR="00661519" w:rsidP="00661519" w:rsidRDefault="00661519" w14:paraId="4DF0973A"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(1,228)</w:t>
            </w:r>
          </w:p>
        </w:tc>
        <w:tc>
          <w:tcPr>
            <w:tcW w:w="1058" w:type="dxa"/>
            <w:vAlign w:val="center"/>
          </w:tcPr>
          <w:p w:rsidRPr="009C48DA" w:rsidR="00661519" w:rsidP="00661519" w:rsidRDefault="00661519" w14:paraId="21E67340"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21,340</w:t>
            </w:r>
          </w:p>
        </w:tc>
      </w:tr>
      <w:tr w:rsidRPr="009C48DA" w:rsidR="00661519" w:rsidTr="00661519" w14:paraId="3B863BF9" w14:textId="77777777">
        <w:trPr>
          <w:trHeight w:val="225"/>
        </w:trPr>
        <w:tc>
          <w:tcPr>
            <w:tcW w:w="4048" w:type="dxa"/>
            <w:vAlign w:val="center"/>
          </w:tcPr>
          <w:p w:rsidRPr="009C48DA" w:rsidR="00661519" w:rsidP="00661519" w:rsidRDefault="00661519" w14:paraId="4FC4365A" w14:textId="77777777">
            <w:pPr>
              <w:jc w:val="both"/>
              <w:textAlignment w:val="baseline"/>
              <w:rPr>
                <w:rFonts w:eastAsia="Times New Roman"/>
                <w:color w:val="000000"/>
                <w:sz w:val="16"/>
                <w:szCs w:val="16"/>
                <w:lang w:val="en-GB"/>
              </w:rPr>
            </w:pPr>
            <w:r w:rsidRPr="009C48DA">
              <w:rPr>
                <w:rFonts w:eastAsia="Times New Roman"/>
                <w:b/>
                <w:color w:val="000000"/>
                <w:sz w:val="16"/>
                <w:szCs w:val="16"/>
                <w:lang w:val="en-GB"/>
              </w:rPr>
              <w:t>Adjustments for:</w:t>
            </w:r>
          </w:p>
        </w:tc>
        <w:tc>
          <w:tcPr>
            <w:tcW w:w="1057" w:type="dxa"/>
          </w:tcPr>
          <w:p w:rsidRPr="009C48DA" w:rsidR="00661519" w:rsidP="00661519" w:rsidRDefault="00661519" w14:paraId="3566053F" w14:textId="77777777">
            <w:pPr>
              <w:jc w:val="right"/>
              <w:textAlignment w:val="baseline"/>
              <w:rPr>
                <w:rFonts w:eastAsia="Times New Roman"/>
                <w:color w:val="000000"/>
                <w:sz w:val="16"/>
                <w:szCs w:val="16"/>
                <w:lang w:val="en-GB"/>
              </w:rPr>
            </w:pPr>
            <w:r w:rsidRPr="009C48DA">
              <w:rPr>
                <w:rFonts w:eastAsia="Times New Roman"/>
                <w:color w:val="000000"/>
                <w:sz w:val="24"/>
                <w:lang w:val="en-GB"/>
              </w:rPr>
              <w:t xml:space="preserve"> </w:t>
            </w:r>
          </w:p>
        </w:tc>
        <w:tc>
          <w:tcPr>
            <w:tcW w:w="1057" w:type="dxa"/>
          </w:tcPr>
          <w:p w:rsidRPr="009C48DA" w:rsidR="00661519" w:rsidP="00661519" w:rsidRDefault="00661519" w14:paraId="25E4009B" w14:textId="77777777">
            <w:pPr>
              <w:jc w:val="right"/>
              <w:textAlignment w:val="baseline"/>
              <w:rPr>
                <w:rFonts w:eastAsia="Times New Roman"/>
                <w:color w:val="000000"/>
                <w:sz w:val="16"/>
                <w:szCs w:val="16"/>
                <w:lang w:val="en-GB"/>
              </w:rPr>
            </w:pPr>
            <w:r w:rsidRPr="009C48DA">
              <w:rPr>
                <w:rFonts w:eastAsia="Times New Roman"/>
                <w:color w:val="000000"/>
                <w:sz w:val="24"/>
                <w:lang w:val="en-GB"/>
              </w:rPr>
              <w:t xml:space="preserve"> </w:t>
            </w:r>
          </w:p>
        </w:tc>
        <w:tc>
          <w:tcPr>
            <w:tcW w:w="1058" w:type="dxa"/>
          </w:tcPr>
          <w:p w:rsidRPr="009C48DA" w:rsidR="00661519" w:rsidP="00661519" w:rsidRDefault="00661519" w14:paraId="36F7EF0F" w14:textId="77777777">
            <w:pPr>
              <w:jc w:val="right"/>
              <w:textAlignment w:val="baseline"/>
              <w:rPr>
                <w:rFonts w:eastAsia="Times New Roman"/>
                <w:color w:val="000000"/>
                <w:sz w:val="16"/>
                <w:szCs w:val="16"/>
                <w:lang w:val="en-GB"/>
              </w:rPr>
            </w:pPr>
            <w:r w:rsidRPr="009C48DA">
              <w:rPr>
                <w:rFonts w:eastAsia="Times New Roman"/>
                <w:color w:val="000000"/>
                <w:sz w:val="24"/>
                <w:lang w:val="en-GB"/>
              </w:rPr>
              <w:t xml:space="preserve"> </w:t>
            </w:r>
          </w:p>
        </w:tc>
        <w:tc>
          <w:tcPr>
            <w:tcW w:w="1057" w:type="dxa"/>
          </w:tcPr>
          <w:p w:rsidRPr="009C48DA" w:rsidR="00661519" w:rsidP="00661519" w:rsidRDefault="00661519" w14:paraId="609AE77E" w14:textId="77777777">
            <w:pPr>
              <w:jc w:val="right"/>
              <w:textAlignment w:val="baseline"/>
              <w:rPr>
                <w:rFonts w:eastAsia="Times New Roman"/>
                <w:color w:val="000000"/>
                <w:sz w:val="16"/>
                <w:szCs w:val="16"/>
                <w:lang w:val="en-GB"/>
              </w:rPr>
            </w:pPr>
            <w:r w:rsidRPr="009C48DA">
              <w:rPr>
                <w:rFonts w:eastAsia="Times New Roman"/>
                <w:color w:val="000000"/>
                <w:sz w:val="24"/>
                <w:lang w:val="en-GB"/>
              </w:rPr>
              <w:t xml:space="preserve"> </w:t>
            </w:r>
          </w:p>
        </w:tc>
        <w:tc>
          <w:tcPr>
            <w:tcW w:w="1058" w:type="dxa"/>
          </w:tcPr>
          <w:p w:rsidRPr="009C48DA" w:rsidR="00661519" w:rsidP="00661519" w:rsidRDefault="00661519" w14:paraId="31AFACD5" w14:textId="77777777">
            <w:pPr>
              <w:jc w:val="right"/>
              <w:textAlignment w:val="baseline"/>
              <w:rPr>
                <w:rFonts w:eastAsia="Times New Roman"/>
                <w:color w:val="000000"/>
                <w:sz w:val="16"/>
                <w:szCs w:val="16"/>
                <w:lang w:val="en-GB"/>
              </w:rPr>
            </w:pPr>
            <w:r w:rsidRPr="009C48DA">
              <w:rPr>
                <w:rFonts w:eastAsia="Times New Roman"/>
                <w:color w:val="000000"/>
                <w:sz w:val="24"/>
                <w:lang w:val="en-GB"/>
              </w:rPr>
              <w:t xml:space="preserve"> </w:t>
            </w:r>
          </w:p>
        </w:tc>
      </w:tr>
      <w:tr w:rsidRPr="009C48DA" w:rsidR="00661519" w:rsidTr="00661519" w14:paraId="37CA8662" w14:textId="77777777">
        <w:trPr>
          <w:trHeight w:val="225"/>
        </w:trPr>
        <w:tc>
          <w:tcPr>
            <w:tcW w:w="4048" w:type="dxa"/>
            <w:vAlign w:val="center"/>
          </w:tcPr>
          <w:p w:rsidRPr="009C48DA" w:rsidR="00661519" w:rsidP="00661519" w:rsidRDefault="00661519" w14:paraId="27B79C12"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Exceptional transaction costs</w:t>
            </w:r>
          </w:p>
        </w:tc>
        <w:tc>
          <w:tcPr>
            <w:tcW w:w="1057" w:type="dxa"/>
            <w:vAlign w:val="center"/>
          </w:tcPr>
          <w:p w:rsidRPr="009C48DA" w:rsidR="00661519" w:rsidP="00661519" w:rsidRDefault="00661519" w14:paraId="49EB257F"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w:t>
            </w:r>
          </w:p>
        </w:tc>
        <w:tc>
          <w:tcPr>
            <w:tcW w:w="1057" w:type="dxa"/>
            <w:vAlign w:val="center"/>
          </w:tcPr>
          <w:p w:rsidRPr="009C48DA" w:rsidR="00661519" w:rsidP="00661519" w:rsidRDefault="00661519" w14:paraId="5D0A5380"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w:t>
            </w:r>
          </w:p>
        </w:tc>
        <w:tc>
          <w:tcPr>
            <w:tcW w:w="1058" w:type="dxa"/>
            <w:vAlign w:val="center"/>
          </w:tcPr>
          <w:p w:rsidRPr="009C48DA" w:rsidR="00661519" w:rsidP="00661519" w:rsidRDefault="00661519" w14:paraId="70323196"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7,377</w:t>
            </w:r>
          </w:p>
        </w:tc>
        <w:tc>
          <w:tcPr>
            <w:tcW w:w="1057" w:type="dxa"/>
            <w:vAlign w:val="center"/>
          </w:tcPr>
          <w:p w:rsidRPr="009C48DA" w:rsidR="00661519" w:rsidP="00661519" w:rsidRDefault="00661519" w14:paraId="50A52A66"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w:t>
            </w:r>
          </w:p>
        </w:tc>
        <w:tc>
          <w:tcPr>
            <w:tcW w:w="1058" w:type="dxa"/>
            <w:vAlign w:val="center"/>
          </w:tcPr>
          <w:p w:rsidRPr="009C48DA" w:rsidR="00661519" w:rsidP="00661519" w:rsidRDefault="00661519" w14:paraId="6B585BE6"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w:t>
            </w:r>
          </w:p>
        </w:tc>
      </w:tr>
      <w:tr w:rsidRPr="009C48DA" w:rsidR="00661519" w:rsidTr="00661519" w14:paraId="6C42C79F" w14:textId="77777777">
        <w:trPr>
          <w:trHeight w:val="225"/>
        </w:trPr>
        <w:tc>
          <w:tcPr>
            <w:tcW w:w="4048" w:type="dxa"/>
            <w:vAlign w:val="center"/>
          </w:tcPr>
          <w:p w:rsidRPr="009C48DA" w:rsidR="00661519" w:rsidP="00661519" w:rsidRDefault="00661519" w14:paraId="6F9232F1"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Profit on derecognition of right-of-use asset</w:t>
            </w:r>
          </w:p>
        </w:tc>
        <w:tc>
          <w:tcPr>
            <w:tcW w:w="1057" w:type="dxa"/>
            <w:vAlign w:val="center"/>
          </w:tcPr>
          <w:p w:rsidRPr="009C48DA" w:rsidR="00661519" w:rsidP="00661519" w:rsidRDefault="00661519" w14:paraId="56B9437B"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(673)</w:t>
            </w:r>
          </w:p>
        </w:tc>
        <w:tc>
          <w:tcPr>
            <w:tcW w:w="1057" w:type="dxa"/>
            <w:vAlign w:val="center"/>
          </w:tcPr>
          <w:p w:rsidRPr="009C48DA" w:rsidR="00661519" w:rsidP="00661519" w:rsidRDefault="00661519" w14:paraId="1C5EB04F"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w:t>
            </w:r>
          </w:p>
        </w:tc>
        <w:tc>
          <w:tcPr>
            <w:tcW w:w="1058" w:type="dxa"/>
            <w:vAlign w:val="center"/>
          </w:tcPr>
          <w:p w:rsidRPr="009C48DA" w:rsidR="00661519" w:rsidP="00661519" w:rsidRDefault="00661519" w14:paraId="779E8C61"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w:t>
            </w:r>
          </w:p>
        </w:tc>
        <w:tc>
          <w:tcPr>
            <w:tcW w:w="1057" w:type="dxa"/>
            <w:vAlign w:val="center"/>
          </w:tcPr>
          <w:p w:rsidRPr="009C48DA" w:rsidR="00661519" w:rsidP="00661519" w:rsidRDefault="00661519" w14:paraId="187C6299"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w:t>
            </w:r>
          </w:p>
        </w:tc>
        <w:tc>
          <w:tcPr>
            <w:tcW w:w="1058" w:type="dxa"/>
            <w:vAlign w:val="center"/>
          </w:tcPr>
          <w:p w:rsidRPr="009C48DA" w:rsidR="00661519" w:rsidP="00661519" w:rsidRDefault="00661519" w14:paraId="76DF36B5"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w:t>
            </w:r>
          </w:p>
        </w:tc>
      </w:tr>
      <w:tr w:rsidRPr="009C48DA" w:rsidR="00661519" w:rsidTr="00661519" w14:paraId="26D4C391" w14:textId="77777777">
        <w:trPr>
          <w:trHeight w:val="225"/>
        </w:trPr>
        <w:tc>
          <w:tcPr>
            <w:tcW w:w="4048" w:type="dxa"/>
            <w:vAlign w:val="bottom"/>
          </w:tcPr>
          <w:p w:rsidRPr="009C48DA" w:rsidR="00661519" w:rsidP="00661519" w:rsidRDefault="00661519" w14:paraId="58F100FE"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Depreciation and amortisation expense</w:t>
            </w:r>
          </w:p>
        </w:tc>
        <w:tc>
          <w:tcPr>
            <w:tcW w:w="1057" w:type="dxa"/>
            <w:vAlign w:val="bottom"/>
          </w:tcPr>
          <w:p w:rsidRPr="009C48DA" w:rsidR="00661519" w:rsidP="00661519" w:rsidRDefault="00661519" w14:paraId="30BFEF35"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6,765</w:t>
            </w:r>
          </w:p>
        </w:tc>
        <w:tc>
          <w:tcPr>
            <w:tcW w:w="1057" w:type="dxa"/>
            <w:vAlign w:val="bottom"/>
          </w:tcPr>
          <w:p w:rsidRPr="009C48DA" w:rsidR="00661519" w:rsidP="00661519" w:rsidRDefault="00661519" w14:paraId="4E48A36A"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7,757</w:t>
            </w:r>
          </w:p>
        </w:tc>
        <w:tc>
          <w:tcPr>
            <w:tcW w:w="1058" w:type="dxa"/>
            <w:vAlign w:val="bottom"/>
          </w:tcPr>
          <w:p w:rsidRPr="009C48DA" w:rsidR="00661519" w:rsidP="00661519" w:rsidRDefault="00661519" w14:paraId="53B1E735"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8,809</w:t>
            </w:r>
          </w:p>
        </w:tc>
        <w:tc>
          <w:tcPr>
            <w:tcW w:w="1057" w:type="dxa"/>
            <w:vAlign w:val="bottom"/>
          </w:tcPr>
          <w:p w:rsidRPr="009C48DA" w:rsidR="00661519" w:rsidP="00661519" w:rsidRDefault="00661519" w14:paraId="6AFFC3F4"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2,006</w:t>
            </w:r>
          </w:p>
        </w:tc>
        <w:tc>
          <w:tcPr>
            <w:tcW w:w="1058" w:type="dxa"/>
            <w:vAlign w:val="bottom"/>
          </w:tcPr>
          <w:p w:rsidRPr="009C48DA" w:rsidR="00661519" w:rsidP="00661519" w:rsidRDefault="00661519" w14:paraId="710D5076"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3,181</w:t>
            </w:r>
          </w:p>
        </w:tc>
      </w:tr>
      <w:tr w:rsidRPr="009C48DA" w:rsidR="00661519" w:rsidTr="00661519" w14:paraId="2E1BAF93" w14:textId="77777777">
        <w:trPr>
          <w:trHeight w:val="225"/>
        </w:trPr>
        <w:tc>
          <w:tcPr>
            <w:tcW w:w="4048" w:type="dxa"/>
            <w:vAlign w:val="center"/>
          </w:tcPr>
          <w:p w:rsidRPr="009C48DA" w:rsidR="00661519" w:rsidP="00661519" w:rsidRDefault="00661519" w14:paraId="4B5F5F87"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Net finance costs</w:t>
            </w:r>
          </w:p>
        </w:tc>
        <w:tc>
          <w:tcPr>
            <w:tcW w:w="1057" w:type="dxa"/>
            <w:vAlign w:val="bottom"/>
          </w:tcPr>
          <w:p w:rsidRPr="009C48DA" w:rsidR="00661519" w:rsidP="00661519" w:rsidRDefault="00661519" w14:paraId="24E08D52"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(123)</w:t>
            </w:r>
          </w:p>
        </w:tc>
        <w:tc>
          <w:tcPr>
            <w:tcW w:w="1057" w:type="dxa"/>
            <w:vAlign w:val="bottom"/>
          </w:tcPr>
          <w:p w:rsidRPr="009C48DA" w:rsidR="00661519" w:rsidP="00661519" w:rsidRDefault="00661519" w14:paraId="559A3D02"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(2,109)</w:t>
            </w:r>
          </w:p>
        </w:tc>
        <w:tc>
          <w:tcPr>
            <w:tcW w:w="1058" w:type="dxa"/>
            <w:vAlign w:val="bottom"/>
          </w:tcPr>
          <w:p w:rsidRPr="009C48DA" w:rsidR="00661519" w:rsidP="00661519" w:rsidRDefault="00661519" w14:paraId="192354BD"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1,413</w:t>
            </w:r>
          </w:p>
        </w:tc>
        <w:tc>
          <w:tcPr>
            <w:tcW w:w="1057" w:type="dxa"/>
            <w:vAlign w:val="bottom"/>
          </w:tcPr>
          <w:p w:rsidRPr="009C48DA" w:rsidR="00661519" w:rsidP="00661519" w:rsidRDefault="00661519" w14:paraId="7B76966C"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(1,260)</w:t>
            </w:r>
          </w:p>
        </w:tc>
        <w:tc>
          <w:tcPr>
            <w:tcW w:w="1058" w:type="dxa"/>
            <w:vAlign w:val="bottom"/>
          </w:tcPr>
          <w:p w:rsidRPr="009C48DA" w:rsidR="00661519" w:rsidP="00661519" w:rsidRDefault="00661519" w14:paraId="0F759D2E"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3,133</w:t>
            </w:r>
          </w:p>
        </w:tc>
      </w:tr>
      <w:tr w:rsidRPr="009C48DA" w:rsidR="00661519" w:rsidTr="00661519" w14:paraId="4354BEF3" w14:textId="77777777">
        <w:trPr>
          <w:trHeight w:val="225"/>
        </w:trPr>
        <w:tc>
          <w:tcPr>
            <w:tcW w:w="4048" w:type="dxa"/>
            <w:vAlign w:val="center"/>
          </w:tcPr>
          <w:p w:rsidRPr="009C48DA" w:rsidR="00661519" w:rsidP="00661519" w:rsidRDefault="00661519" w14:paraId="772B6747"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Carried interest</w:t>
            </w:r>
          </w:p>
        </w:tc>
        <w:tc>
          <w:tcPr>
            <w:tcW w:w="1057" w:type="dxa"/>
            <w:vAlign w:val="center"/>
          </w:tcPr>
          <w:p w:rsidRPr="009C48DA" w:rsidR="00661519" w:rsidP="00661519" w:rsidRDefault="00661519" w14:paraId="5725F691"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(4,768)</w:t>
            </w:r>
          </w:p>
        </w:tc>
        <w:tc>
          <w:tcPr>
            <w:tcW w:w="1057" w:type="dxa"/>
            <w:vAlign w:val="center"/>
          </w:tcPr>
          <w:p w:rsidRPr="009C48DA" w:rsidR="00661519" w:rsidP="00661519" w:rsidRDefault="00661519" w14:paraId="6671088B"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(9,582)</w:t>
            </w:r>
          </w:p>
        </w:tc>
        <w:tc>
          <w:tcPr>
            <w:tcW w:w="1058" w:type="dxa"/>
            <w:vAlign w:val="center"/>
          </w:tcPr>
          <w:p w:rsidRPr="009C48DA" w:rsidR="00661519" w:rsidP="00661519" w:rsidRDefault="00661519" w14:paraId="19619D9B"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(12,917)</w:t>
            </w:r>
          </w:p>
        </w:tc>
        <w:tc>
          <w:tcPr>
            <w:tcW w:w="1057" w:type="dxa"/>
            <w:vAlign w:val="center"/>
          </w:tcPr>
          <w:p w:rsidRPr="009C48DA" w:rsidR="00661519" w:rsidP="00661519" w:rsidRDefault="00661519" w14:paraId="50E8065E"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(614)</w:t>
            </w:r>
          </w:p>
        </w:tc>
        <w:tc>
          <w:tcPr>
            <w:tcW w:w="1058" w:type="dxa"/>
            <w:vAlign w:val="center"/>
          </w:tcPr>
          <w:p w:rsidRPr="009C48DA" w:rsidR="00661519" w:rsidP="00661519" w:rsidRDefault="00661519" w14:paraId="704933CA"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681</w:t>
            </w:r>
          </w:p>
        </w:tc>
      </w:tr>
      <w:tr w:rsidRPr="009C48DA" w:rsidR="00661519" w:rsidTr="00661519" w14:paraId="7D491FCD" w14:textId="77777777">
        <w:trPr>
          <w:trHeight w:val="225"/>
        </w:trPr>
        <w:tc>
          <w:tcPr>
            <w:tcW w:w="4048" w:type="dxa"/>
            <w:vAlign w:val="center"/>
          </w:tcPr>
          <w:p w:rsidRPr="009C48DA" w:rsidR="00661519" w:rsidP="00661519" w:rsidRDefault="00661519" w14:paraId="252E3FC7"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Fair value of remeasurement of investments</w:t>
            </w:r>
          </w:p>
        </w:tc>
        <w:tc>
          <w:tcPr>
            <w:tcW w:w="1057" w:type="dxa"/>
            <w:vAlign w:val="center"/>
          </w:tcPr>
          <w:p w:rsidRPr="009C48DA" w:rsidR="00661519" w:rsidP="00661519" w:rsidRDefault="00661519" w14:paraId="7A51846A" w14:textId="77777777">
            <w:pPr>
              <w:jc w:val="right"/>
              <w:textAlignment w:val="baseline"/>
              <w:rPr>
                <w:rFonts w:eastAsia="Times New Roman"/>
                <w:color w:val="000000"/>
                <w:sz w:val="16"/>
                <w:lang w:val="en-GB"/>
              </w:rPr>
            </w:pPr>
            <w:r w:rsidRPr="009C48DA">
              <w:rPr>
                <w:rFonts w:eastAsia="Times New Roman"/>
                <w:color w:val="000000"/>
                <w:sz w:val="16"/>
                <w:lang w:val="en-GB"/>
              </w:rPr>
              <w:t>(20,815)</w:t>
            </w:r>
          </w:p>
        </w:tc>
        <w:tc>
          <w:tcPr>
            <w:tcW w:w="1057" w:type="dxa"/>
            <w:vAlign w:val="center"/>
          </w:tcPr>
          <w:p w:rsidRPr="009C48DA" w:rsidR="00661519" w:rsidP="00661519" w:rsidRDefault="00661519" w14:paraId="2451CF85" w14:textId="77777777">
            <w:pPr>
              <w:jc w:val="right"/>
              <w:textAlignment w:val="baseline"/>
              <w:rPr>
                <w:rFonts w:eastAsia="Times New Roman"/>
                <w:color w:val="000000"/>
                <w:sz w:val="16"/>
                <w:lang w:val="en-GB"/>
              </w:rPr>
            </w:pPr>
            <w:r w:rsidRPr="009C48DA">
              <w:rPr>
                <w:rFonts w:eastAsia="Times New Roman"/>
                <w:color w:val="000000"/>
                <w:sz w:val="16"/>
                <w:lang w:val="en-GB"/>
              </w:rPr>
              <w:t>(14,467)</w:t>
            </w:r>
          </w:p>
        </w:tc>
        <w:tc>
          <w:tcPr>
            <w:tcW w:w="1058" w:type="dxa"/>
            <w:vAlign w:val="center"/>
          </w:tcPr>
          <w:p w:rsidRPr="009C48DA" w:rsidR="00661519" w:rsidP="00661519" w:rsidRDefault="00661519" w14:paraId="7192E247" w14:textId="77777777">
            <w:pPr>
              <w:jc w:val="right"/>
              <w:textAlignment w:val="baseline"/>
              <w:rPr>
                <w:rFonts w:eastAsia="Times New Roman"/>
                <w:color w:val="000000"/>
                <w:sz w:val="16"/>
                <w:lang w:val="en-GB"/>
              </w:rPr>
            </w:pPr>
            <w:r w:rsidRPr="009C48DA">
              <w:rPr>
                <w:rFonts w:eastAsia="Times New Roman"/>
                <w:color w:val="000000"/>
                <w:sz w:val="16"/>
                <w:lang w:val="en-GB"/>
              </w:rPr>
              <w:t>(29,397)</w:t>
            </w:r>
          </w:p>
        </w:tc>
        <w:tc>
          <w:tcPr>
            <w:tcW w:w="1057" w:type="dxa"/>
            <w:vAlign w:val="center"/>
          </w:tcPr>
          <w:p w:rsidRPr="009C48DA" w:rsidR="00661519" w:rsidP="00661519" w:rsidRDefault="00661519" w14:paraId="2AFFAA24" w14:textId="77777777">
            <w:pPr>
              <w:jc w:val="right"/>
              <w:textAlignment w:val="baseline"/>
              <w:rPr>
                <w:rFonts w:eastAsia="Times New Roman"/>
                <w:color w:val="000000"/>
                <w:sz w:val="16"/>
                <w:lang w:val="en-GB"/>
              </w:rPr>
            </w:pPr>
            <w:r w:rsidRPr="009C48DA">
              <w:rPr>
                <w:rFonts w:eastAsia="Times New Roman"/>
                <w:color w:val="000000"/>
                <w:sz w:val="16"/>
                <w:lang w:val="en-GB"/>
              </w:rPr>
              <w:t>7,934</w:t>
            </w:r>
          </w:p>
        </w:tc>
        <w:tc>
          <w:tcPr>
            <w:tcW w:w="1058" w:type="dxa"/>
            <w:vAlign w:val="center"/>
          </w:tcPr>
          <w:p w:rsidRPr="009C48DA" w:rsidR="00661519" w:rsidP="00661519" w:rsidRDefault="00661519" w14:paraId="2D2EF3BB" w14:textId="77777777">
            <w:pPr>
              <w:jc w:val="right"/>
              <w:textAlignment w:val="baseline"/>
              <w:rPr>
                <w:rFonts w:eastAsia="Times New Roman"/>
                <w:color w:val="000000"/>
                <w:sz w:val="16"/>
                <w:lang w:val="en-GB"/>
              </w:rPr>
            </w:pPr>
            <w:r w:rsidRPr="009C48DA">
              <w:rPr>
                <w:rFonts w:eastAsia="Times New Roman"/>
                <w:color w:val="000000"/>
                <w:sz w:val="16"/>
                <w:lang w:val="en-GB"/>
              </w:rPr>
              <w:t>(13,611)</w:t>
            </w:r>
          </w:p>
        </w:tc>
      </w:tr>
      <w:tr w:rsidRPr="009C48DA" w:rsidR="00661519" w:rsidTr="00661519" w14:paraId="48CF782B" w14:textId="77777777">
        <w:trPr>
          <w:trHeight w:val="225"/>
        </w:trPr>
        <w:tc>
          <w:tcPr>
            <w:tcW w:w="4048" w:type="dxa"/>
            <w:vAlign w:val="center"/>
          </w:tcPr>
          <w:p w:rsidRPr="009C48DA" w:rsidR="00661519" w:rsidP="00661519" w:rsidRDefault="00661519" w14:paraId="7955F7A0"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Net exchange (gains)/losses</w:t>
            </w:r>
          </w:p>
        </w:tc>
        <w:tc>
          <w:tcPr>
            <w:tcW w:w="1057" w:type="dxa"/>
            <w:vAlign w:val="center"/>
          </w:tcPr>
          <w:p w:rsidRPr="009C48DA" w:rsidR="00661519" w:rsidP="00661519" w:rsidRDefault="00661519" w14:paraId="7209B493" w14:textId="77777777">
            <w:pPr>
              <w:jc w:val="right"/>
              <w:textAlignment w:val="baseline"/>
              <w:rPr>
                <w:rFonts w:eastAsia="Times New Roman"/>
                <w:color w:val="000000"/>
                <w:sz w:val="16"/>
                <w:lang w:val="en-GB"/>
              </w:rPr>
            </w:pPr>
            <w:r w:rsidRPr="009C48DA">
              <w:rPr>
                <w:rFonts w:eastAsia="Times New Roman"/>
                <w:color w:val="000000"/>
                <w:sz w:val="16"/>
                <w:lang w:val="en-GB"/>
              </w:rPr>
              <w:t>2,338</w:t>
            </w:r>
          </w:p>
        </w:tc>
        <w:tc>
          <w:tcPr>
            <w:tcW w:w="1057" w:type="dxa"/>
            <w:vAlign w:val="center"/>
          </w:tcPr>
          <w:p w:rsidRPr="009C48DA" w:rsidR="00661519" w:rsidP="00661519" w:rsidRDefault="00661519" w14:paraId="79616A8D" w14:textId="77777777">
            <w:pPr>
              <w:jc w:val="right"/>
              <w:textAlignment w:val="baseline"/>
              <w:rPr>
                <w:rFonts w:eastAsia="Times New Roman"/>
                <w:color w:val="000000"/>
                <w:sz w:val="16"/>
                <w:lang w:val="en-GB"/>
              </w:rPr>
            </w:pPr>
            <w:r w:rsidRPr="009C48DA">
              <w:rPr>
                <w:rFonts w:eastAsia="Times New Roman"/>
                <w:color w:val="000000"/>
                <w:sz w:val="16"/>
                <w:lang w:val="en-GB"/>
              </w:rPr>
              <w:t>1,695</w:t>
            </w:r>
          </w:p>
        </w:tc>
        <w:tc>
          <w:tcPr>
            <w:tcW w:w="1058" w:type="dxa"/>
            <w:vAlign w:val="center"/>
          </w:tcPr>
          <w:p w:rsidRPr="009C48DA" w:rsidR="00661519" w:rsidP="00661519" w:rsidRDefault="00661519" w14:paraId="2941ACDE" w14:textId="77777777">
            <w:pPr>
              <w:jc w:val="right"/>
              <w:textAlignment w:val="baseline"/>
              <w:rPr>
                <w:rFonts w:eastAsia="Times New Roman"/>
                <w:color w:val="000000"/>
                <w:sz w:val="16"/>
                <w:lang w:val="en-GB"/>
              </w:rPr>
            </w:pPr>
            <w:r w:rsidRPr="009C48DA">
              <w:rPr>
                <w:rFonts w:eastAsia="Times New Roman"/>
                <w:color w:val="000000"/>
                <w:sz w:val="16"/>
                <w:lang w:val="en-GB"/>
              </w:rPr>
              <w:t>(554)</w:t>
            </w:r>
          </w:p>
        </w:tc>
        <w:tc>
          <w:tcPr>
            <w:tcW w:w="1057" w:type="dxa"/>
            <w:vAlign w:val="center"/>
          </w:tcPr>
          <w:p w:rsidRPr="009C48DA" w:rsidR="00661519" w:rsidP="00661519" w:rsidRDefault="00661519" w14:paraId="57918E0C" w14:textId="77777777">
            <w:pPr>
              <w:jc w:val="right"/>
              <w:textAlignment w:val="baseline"/>
              <w:rPr>
                <w:rFonts w:eastAsia="Times New Roman"/>
                <w:color w:val="000000"/>
                <w:sz w:val="16"/>
                <w:lang w:val="en-GB"/>
              </w:rPr>
            </w:pPr>
            <w:r w:rsidRPr="009C48DA">
              <w:rPr>
                <w:rFonts w:eastAsia="Times New Roman"/>
                <w:color w:val="000000"/>
                <w:sz w:val="16"/>
                <w:lang w:val="en-GB"/>
              </w:rPr>
              <w:t>(739)</w:t>
            </w:r>
          </w:p>
        </w:tc>
        <w:tc>
          <w:tcPr>
            <w:tcW w:w="1058" w:type="dxa"/>
            <w:vAlign w:val="center"/>
          </w:tcPr>
          <w:p w:rsidRPr="009C48DA" w:rsidR="00661519" w:rsidP="00661519" w:rsidRDefault="00661519" w14:paraId="0603548E" w14:textId="77777777">
            <w:pPr>
              <w:jc w:val="right"/>
              <w:textAlignment w:val="baseline"/>
              <w:rPr>
                <w:rFonts w:eastAsia="Times New Roman"/>
                <w:color w:val="000000"/>
                <w:sz w:val="16"/>
                <w:lang w:val="en-GB"/>
              </w:rPr>
            </w:pPr>
            <w:r w:rsidRPr="009C48DA">
              <w:rPr>
                <w:rFonts w:eastAsia="Times New Roman"/>
                <w:color w:val="000000"/>
                <w:sz w:val="16"/>
                <w:lang w:val="en-GB"/>
              </w:rPr>
              <w:t>(1,162)</w:t>
            </w:r>
          </w:p>
        </w:tc>
      </w:tr>
      <w:tr w:rsidRPr="009C48DA" w:rsidR="00661519" w:rsidTr="00661519" w14:paraId="798964CA" w14:textId="77777777">
        <w:trPr>
          <w:trHeight w:val="225"/>
        </w:trPr>
        <w:tc>
          <w:tcPr>
            <w:tcW w:w="4048" w:type="dxa"/>
            <w:vAlign w:val="center"/>
          </w:tcPr>
          <w:p w:rsidRPr="009C48DA" w:rsidR="00661519" w:rsidP="00661519" w:rsidRDefault="00661519" w14:paraId="5A41E662"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(Increase)/decrease in trade and other receivables</w:t>
            </w:r>
          </w:p>
        </w:tc>
        <w:tc>
          <w:tcPr>
            <w:tcW w:w="1057" w:type="dxa"/>
            <w:vAlign w:val="center"/>
          </w:tcPr>
          <w:p w:rsidRPr="009C48DA" w:rsidR="00661519" w:rsidP="00661519" w:rsidRDefault="00661519" w14:paraId="2D30127F" w14:textId="77777777">
            <w:pPr>
              <w:jc w:val="right"/>
              <w:textAlignment w:val="baseline"/>
              <w:rPr>
                <w:rFonts w:eastAsia="Times New Roman"/>
                <w:color w:val="000000"/>
                <w:sz w:val="16"/>
                <w:lang w:val="en-GB"/>
              </w:rPr>
            </w:pPr>
            <w:r w:rsidRPr="009C48DA">
              <w:rPr>
                <w:rFonts w:eastAsia="Times New Roman"/>
                <w:color w:val="000000"/>
                <w:sz w:val="16"/>
                <w:lang w:val="en-GB"/>
              </w:rPr>
              <w:t>10,905</w:t>
            </w:r>
          </w:p>
        </w:tc>
        <w:tc>
          <w:tcPr>
            <w:tcW w:w="1057" w:type="dxa"/>
            <w:vAlign w:val="center"/>
          </w:tcPr>
          <w:p w:rsidRPr="009C48DA" w:rsidR="00661519" w:rsidP="00661519" w:rsidRDefault="00661519" w14:paraId="28426443" w14:textId="77777777">
            <w:pPr>
              <w:jc w:val="right"/>
              <w:textAlignment w:val="baseline"/>
              <w:rPr>
                <w:rFonts w:eastAsia="Times New Roman"/>
                <w:color w:val="000000"/>
                <w:sz w:val="16"/>
                <w:lang w:val="en-GB"/>
              </w:rPr>
            </w:pPr>
            <w:r w:rsidRPr="009C48DA">
              <w:rPr>
                <w:rFonts w:eastAsia="Times New Roman"/>
                <w:color w:val="000000"/>
                <w:sz w:val="16"/>
                <w:lang w:val="en-GB"/>
              </w:rPr>
              <w:t>(4,322)</w:t>
            </w:r>
          </w:p>
        </w:tc>
        <w:tc>
          <w:tcPr>
            <w:tcW w:w="1058" w:type="dxa"/>
            <w:vAlign w:val="center"/>
          </w:tcPr>
          <w:p w:rsidRPr="009C48DA" w:rsidR="00661519" w:rsidP="00661519" w:rsidRDefault="00661519" w14:paraId="160D14D1" w14:textId="77777777">
            <w:pPr>
              <w:jc w:val="right"/>
              <w:textAlignment w:val="baseline"/>
              <w:rPr>
                <w:rFonts w:eastAsia="Times New Roman"/>
                <w:color w:val="000000"/>
                <w:sz w:val="16"/>
                <w:lang w:val="en-GB"/>
              </w:rPr>
            </w:pPr>
            <w:r w:rsidRPr="009C48DA">
              <w:rPr>
                <w:rFonts w:eastAsia="Times New Roman"/>
                <w:color w:val="000000"/>
                <w:sz w:val="16"/>
                <w:lang w:val="en-GB"/>
              </w:rPr>
              <w:t>(14,194)</w:t>
            </w:r>
          </w:p>
        </w:tc>
        <w:tc>
          <w:tcPr>
            <w:tcW w:w="1057" w:type="dxa"/>
            <w:vAlign w:val="center"/>
          </w:tcPr>
          <w:p w:rsidRPr="009C48DA" w:rsidR="00661519" w:rsidP="00661519" w:rsidRDefault="00661519" w14:paraId="0EE44B6E" w14:textId="77777777">
            <w:pPr>
              <w:jc w:val="right"/>
              <w:textAlignment w:val="baseline"/>
              <w:rPr>
                <w:rFonts w:eastAsia="Times New Roman"/>
                <w:color w:val="000000"/>
                <w:sz w:val="16"/>
                <w:lang w:val="en-GB"/>
              </w:rPr>
            </w:pPr>
            <w:r w:rsidRPr="009C48DA">
              <w:rPr>
                <w:rFonts w:eastAsia="Times New Roman"/>
                <w:color w:val="000000"/>
                <w:sz w:val="16"/>
                <w:lang w:val="en-GB"/>
              </w:rPr>
              <w:t>(3,277)</w:t>
            </w:r>
          </w:p>
        </w:tc>
        <w:tc>
          <w:tcPr>
            <w:tcW w:w="1058" w:type="dxa"/>
            <w:vAlign w:val="center"/>
          </w:tcPr>
          <w:p w:rsidRPr="009C48DA" w:rsidR="00661519" w:rsidP="00661519" w:rsidRDefault="00661519" w14:paraId="672E6299" w14:textId="77777777">
            <w:pPr>
              <w:jc w:val="right"/>
              <w:textAlignment w:val="baseline"/>
              <w:rPr>
                <w:rFonts w:eastAsia="Times New Roman"/>
                <w:color w:val="000000"/>
                <w:sz w:val="16"/>
                <w:lang w:val="en-GB"/>
              </w:rPr>
            </w:pPr>
            <w:r w:rsidRPr="009C48DA">
              <w:rPr>
                <w:rFonts w:eastAsia="Times New Roman"/>
                <w:color w:val="000000"/>
                <w:sz w:val="16"/>
                <w:lang w:val="en-GB"/>
              </w:rPr>
              <w:t>5,843</w:t>
            </w:r>
          </w:p>
        </w:tc>
      </w:tr>
      <w:tr w:rsidRPr="009C48DA" w:rsidR="00661519" w:rsidTr="00661519" w14:paraId="21B3919B" w14:textId="77777777">
        <w:trPr>
          <w:trHeight w:val="267"/>
        </w:trPr>
        <w:tc>
          <w:tcPr>
            <w:tcW w:w="4048" w:type="dxa"/>
            <w:vAlign w:val="center"/>
          </w:tcPr>
          <w:p w:rsidRPr="009C48DA" w:rsidR="00661519" w:rsidP="00661519" w:rsidRDefault="00661519" w14:paraId="26EC9817"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Increase/(decrease) in trade and other payables</w:t>
            </w:r>
          </w:p>
        </w:tc>
        <w:tc>
          <w:tcPr>
            <w:tcW w:w="1057" w:type="dxa"/>
            <w:vAlign w:val="center"/>
          </w:tcPr>
          <w:p w:rsidRPr="009C48DA" w:rsidR="00661519" w:rsidP="00661519" w:rsidRDefault="00661519" w14:paraId="5D9363D3"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25,104</w:t>
            </w:r>
          </w:p>
        </w:tc>
        <w:tc>
          <w:tcPr>
            <w:tcW w:w="1057" w:type="dxa"/>
            <w:vAlign w:val="center"/>
          </w:tcPr>
          <w:p w:rsidRPr="009C48DA" w:rsidR="00661519" w:rsidP="00661519" w:rsidRDefault="00661519" w14:paraId="7A697BB4"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(24,698)</w:t>
            </w:r>
          </w:p>
        </w:tc>
        <w:tc>
          <w:tcPr>
            <w:tcW w:w="1058" w:type="dxa"/>
            <w:vAlign w:val="center"/>
          </w:tcPr>
          <w:p w:rsidRPr="009C48DA" w:rsidR="00661519" w:rsidP="00661519" w:rsidRDefault="00661519" w14:paraId="3BBB915E"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23,378</w:t>
            </w:r>
          </w:p>
        </w:tc>
        <w:tc>
          <w:tcPr>
            <w:tcW w:w="1057" w:type="dxa"/>
            <w:vAlign w:val="center"/>
          </w:tcPr>
          <w:p w:rsidRPr="009C48DA" w:rsidR="00661519" w:rsidP="00661519" w:rsidRDefault="00661519" w14:paraId="25C4890F"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33,114</w:t>
            </w:r>
          </w:p>
        </w:tc>
        <w:tc>
          <w:tcPr>
            <w:tcW w:w="1058" w:type="dxa"/>
            <w:vAlign w:val="center"/>
          </w:tcPr>
          <w:p w:rsidRPr="009C48DA" w:rsidR="00661519" w:rsidP="00661519" w:rsidRDefault="00661519" w14:paraId="7FCAC9FB"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12,459</w:t>
            </w:r>
          </w:p>
        </w:tc>
      </w:tr>
      <w:tr w:rsidRPr="009C48DA" w:rsidR="00661519" w:rsidTr="00661519" w14:paraId="5B29D11C" w14:textId="77777777">
        <w:trPr>
          <w:trHeight w:val="410"/>
        </w:trPr>
        <w:tc>
          <w:tcPr>
            <w:tcW w:w="4048" w:type="dxa"/>
            <w:vAlign w:val="center"/>
          </w:tcPr>
          <w:p w:rsidRPr="009C48DA" w:rsidR="00661519" w:rsidP="00661519" w:rsidRDefault="00661519" w14:paraId="00E59EAF" w14:textId="77777777">
            <w:pPr>
              <w:textAlignment w:val="baseline"/>
              <w:rPr>
                <w:rFonts w:eastAsia="Times New Roman"/>
                <w:b/>
                <w:color w:val="000000"/>
                <w:sz w:val="16"/>
                <w:szCs w:val="16"/>
                <w:lang w:val="en-GB"/>
              </w:rPr>
            </w:pPr>
            <w:r w:rsidRPr="009C48DA">
              <w:rPr>
                <w:rFonts w:eastAsia="Times New Roman"/>
                <w:b/>
                <w:color w:val="000000"/>
                <w:sz w:val="16"/>
                <w:szCs w:val="16"/>
                <w:lang w:val="en-GB"/>
              </w:rPr>
              <w:t>Cash generated from operations</w:t>
            </w:r>
          </w:p>
        </w:tc>
        <w:tc>
          <w:tcPr>
            <w:tcW w:w="1057" w:type="dxa"/>
            <w:vAlign w:val="bottom"/>
          </w:tcPr>
          <w:p w:rsidRPr="009C48DA" w:rsidR="00661519" w:rsidP="00661519" w:rsidRDefault="00661519" w14:paraId="04055BF8" w14:textId="77777777">
            <w:pPr>
              <w:pBdr>
                <w:bottom w:val="doub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31,274</w:t>
            </w:r>
          </w:p>
        </w:tc>
        <w:tc>
          <w:tcPr>
            <w:tcW w:w="1057" w:type="dxa"/>
            <w:vAlign w:val="bottom"/>
          </w:tcPr>
          <w:p w:rsidRPr="009C48DA" w:rsidR="00661519" w:rsidP="00661519" w:rsidRDefault="00661519" w14:paraId="5CA5FC01" w14:textId="77777777">
            <w:pPr>
              <w:pBdr>
                <w:bottom w:val="double" w:color="auto" w:sz="12" w:space="1"/>
              </w:pBdr>
              <w:jc w:val="right"/>
              <w:textAlignment w:val="baseline"/>
              <w:rPr>
                <w:rFonts w:eastAsia="Times New Roman"/>
                <w:color w:val="000000"/>
                <w:sz w:val="16"/>
                <w:szCs w:val="16"/>
                <w:lang w:val="en-GB"/>
              </w:rPr>
            </w:pPr>
            <w:r w:rsidRPr="009C48DA">
              <w:rPr>
                <w:rFonts w:eastAsia="Times New Roman"/>
                <w:color w:val="000000"/>
                <w:sz w:val="16"/>
                <w:szCs w:val="16"/>
                <w:lang w:val="en-GB"/>
              </w:rPr>
              <w:t>1,751</w:t>
            </w:r>
          </w:p>
        </w:tc>
        <w:tc>
          <w:tcPr>
            <w:tcW w:w="1058" w:type="dxa"/>
            <w:vAlign w:val="bottom"/>
          </w:tcPr>
          <w:p w:rsidRPr="009C48DA" w:rsidR="00661519" w:rsidP="00661519" w:rsidRDefault="00661519" w14:paraId="66C19F91" w14:textId="77777777">
            <w:pPr>
              <w:pBdr>
                <w:bottom w:val="double" w:color="auto" w:sz="12" w:space="1"/>
              </w:pBdr>
              <w:jc w:val="right"/>
              <w:textAlignment w:val="baseline"/>
              <w:rPr>
                <w:rFonts w:eastAsia="Times New Roman"/>
                <w:color w:val="000000"/>
                <w:sz w:val="16"/>
                <w:szCs w:val="16"/>
                <w:lang w:val="en-GB"/>
              </w:rPr>
            </w:pPr>
            <w:r w:rsidRPr="009C48DA">
              <w:rPr>
                <w:rFonts w:eastAsia="Times New Roman"/>
                <w:color w:val="000000"/>
                <w:sz w:val="16"/>
                <w:szCs w:val="16"/>
                <w:lang w:val="en-GB"/>
              </w:rPr>
              <w:t>32,391</w:t>
            </w:r>
          </w:p>
        </w:tc>
        <w:tc>
          <w:tcPr>
            <w:tcW w:w="1057" w:type="dxa"/>
            <w:vAlign w:val="bottom"/>
          </w:tcPr>
          <w:p w:rsidRPr="009C48DA" w:rsidR="00661519" w:rsidP="00661519" w:rsidRDefault="00661519" w14:paraId="2D13592A" w14:textId="77777777">
            <w:pPr>
              <w:pBdr>
                <w:bottom w:val="double" w:color="auto" w:sz="12" w:space="1"/>
              </w:pBdr>
              <w:jc w:val="right"/>
              <w:textAlignment w:val="baseline"/>
              <w:rPr>
                <w:rFonts w:eastAsia="Times New Roman"/>
                <w:color w:val="000000"/>
                <w:sz w:val="16"/>
                <w:szCs w:val="16"/>
                <w:lang w:val="en-GB"/>
              </w:rPr>
            </w:pPr>
            <w:r w:rsidRPr="009C48DA">
              <w:rPr>
                <w:rFonts w:eastAsia="Times New Roman"/>
                <w:color w:val="000000"/>
                <w:sz w:val="16"/>
                <w:szCs w:val="16"/>
                <w:lang w:val="en-GB"/>
              </w:rPr>
              <w:t>35,936</w:t>
            </w:r>
          </w:p>
        </w:tc>
        <w:tc>
          <w:tcPr>
            <w:tcW w:w="1058" w:type="dxa"/>
            <w:vAlign w:val="bottom"/>
          </w:tcPr>
          <w:p w:rsidRPr="009C48DA" w:rsidR="00661519" w:rsidP="00661519" w:rsidRDefault="00661519" w14:paraId="5A5071C7" w14:textId="77777777">
            <w:pPr>
              <w:pBdr>
                <w:bottom w:val="double" w:color="auto" w:sz="12" w:space="1"/>
              </w:pBdr>
              <w:jc w:val="right"/>
              <w:textAlignment w:val="baseline"/>
              <w:rPr>
                <w:rFonts w:eastAsia="Times New Roman"/>
                <w:color w:val="000000"/>
                <w:sz w:val="16"/>
                <w:szCs w:val="16"/>
                <w:lang w:val="en-GB"/>
              </w:rPr>
            </w:pPr>
            <w:r w:rsidRPr="009C48DA">
              <w:rPr>
                <w:rFonts w:eastAsia="Times New Roman"/>
                <w:color w:val="000000"/>
                <w:sz w:val="16"/>
                <w:szCs w:val="16"/>
                <w:lang w:val="en-GB"/>
              </w:rPr>
              <w:t>31,864</w:t>
            </w:r>
          </w:p>
        </w:tc>
      </w:tr>
    </w:tbl>
    <w:p w:rsidRPr="009C48DA" w:rsidR="00661519" w:rsidP="00661519" w:rsidRDefault="00661519" w14:paraId="6E47F5A3" w14:textId="77777777">
      <w:pPr>
        <w:textAlignment w:val="baseline"/>
        <w:rPr>
          <w:rFonts w:eastAsia="Times New Roman" w:cs="Times New Roman"/>
          <w:b/>
          <w:color w:val="000000"/>
          <w:sz w:val="16"/>
          <w:szCs w:val="22"/>
          <w:lang w:val="en-GB"/>
        </w:rPr>
      </w:pPr>
    </w:p>
    <w:p w:rsidRPr="009C48DA" w:rsidR="00661519" w:rsidP="00661519" w:rsidRDefault="00661519" w14:paraId="59A75F95" w14:textId="77777777">
      <w:pPr>
        <w:rPr>
          <w:rFonts w:eastAsia="Times New Roman" w:cs="Times New Roman"/>
          <w:b/>
          <w:color w:val="000000"/>
          <w:sz w:val="16"/>
          <w:szCs w:val="22"/>
          <w:lang w:val="en-GB"/>
        </w:rPr>
      </w:pPr>
      <w:r w:rsidRPr="009C48DA">
        <w:rPr>
          <w:rFonts w:eastAsia="Times New Roman" w:cs="Times New Roman"/>
          <w:b/>
          <w:color w:val="000000"/>
          <w:sz w:val="16"/>
          <w:szCs w:val="22"/>
          <w:lang w:val="en-GB"/>
        </w:rPr>
        <w:br w:type="page"/>
      </w:r>
    </w:p>
    <w:p w:rsidRPr="009C48DA" w:rsidR="00661519" w:rsidP="00661519" w:rsidRDefault="00661519" w14:paraId="050AAA3A" w14:textId="77777777">
      <w:pPr>
        <w:jc w:val="both"/>
        <w:rPr>
          <w:rFonts w:eastAsia="Times New Roman" w:cs="Times New Roman"/>
          <w:b/>
          <w:color w:val="000000"/>
          <w:sz w:val="16"/>
          <w:szCs w:val="22"/>
          <w:lang w:val="en-GB"/>
        </w:rPr>
      </w:pPr>
      <w:r w:rsidRPr="009C48DA">
        <w:rPr>
          <w:rFonts w:eastAsia="Times New Roman" w:cs="Times New Roman"/>
          <w:b/>
          <w:color w:val="000000"/>
          <w:sz w:val="16"/>
          <w:szCs w:val="22"/>
          <w:lang w:val="en-GB"/>
        </w:rPr>
        <w:lastRenderedPageBreak/>
        <w:t>(b)</w:t>
      </w:r>
      <w:r w:rsidRPr="009C48DA">
        <w:rPr>
          <w:rFonts w:eastAsia="Times New Roman" w:cs="Times New Roman"/>
          <w:b/>
          <w:color w:val="000000"/>
          <w:sz w:val="16"/>
          <w:szCs w:val="22"/>
          <w:lang w:val="en-GB"/>
        </w:rPr>
        <w:tab/>
        <w:t>Cash outflows from leases</w:t>
      </w:r>
    </w:p>
    <w:tbl>
      <w:tblPr>
        <w:tblStyle w:val="TableGrid30"/>
        <w:tblW w:w="933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48"/>
        <w:gridCol w:w="1057"/>
        <w:gridCol w:w="1057"/>
        <w:gridCol w:w="1058"/>
        <w:gridCol w:w="1057"/>
        <w:gridCol w:w="1058"/>
      </w:tblGrid>
      <w:tr w:rsidRPr="009C48DA" w:rsidR="00661519" w:rsidTr="00661519" w14:paraId="25344291" w14:textId="77777777">
        <w:trPr>
          <w:trHeight w:val="492"/>
        </w:trPr>
        <w:tc>
          <w:tcPr>
            <w:tcW w:w="4048" w:type="dxa"/>
            <w:vAlign w:val="bottom"/>
          </w:tcPr>
          <w:p w:rsidRPr="009C48DA" w:rsidR="00661519" w:rsidP="00661519" w:rsidRDefault="00661519" w14:paraId="05313769" w14:textId="77777777">
            <w:pPr>
              <w:jc w:val="both"/>
              <w:textAlignment w:val="baseline"/>
              <w:rPr>
                <w:rFonts w:eastAsia="Times New Roman"/>
                <w:b/>
                <w:color w:val="000000"/>
                <w:sz w:val="16"/>
                <w:szCs w:val="16"/>
                <w:lang w:val="en-GB"/>
              </w:rPr>
            </w:pPr>
          </w:p>
        </w:tc>
        <w:tc>
          <w:tcPr>
            <w:tcW w:w="3172" w:type="dxa"/>
            <w:gridSpan w:val="3"/>
            <w:vAlign w:val="bottom"/>
          </w:tcPr>
          <w:p w:rsidRPr="009C48DA" w:rsidR="00661519" w:rsidP="00661519" w:rsidRDefault="00661519" w14:paraId="4C275D6F"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szCs w:val="16"/>
                <w:lang w:val="en-GB"/>
              </w:rPr>
              <w:t>Year ended 31 December</w:t>
            </w:r>
          </w:p>
        </w:tc>
        <w:tc>
          <w:tcPr>
            <w:tcW w:w="2115" w:type="dxa"/>
            <w:gridSpan w:val="2"/>
          </w:tcPr>
          <w:p w:rsidRPr="009C48DA" w:rsidR="00661519" w:rsidP="00661519" w:rsidRDefault="00661519" w14:paraId="1D383E33" w14:textId="77777777">
            <w:pPr>
              <w:pBdr>
                <w:bottom w:val="single" w:color="auto" w:sz="18" w:space="1"/>
              </w:pBdr>
              <w:jc w:val="center"/>
              <w:textAlignment w:val="baseline"/>
              <w:rPr>
                <w:rFonts w:eastAsia="Times New Roman"/>
                <w:b/>
                <w:color w:val="000000"/>
                <w:sz w:val="16"/>
                <w:szCs w:val="16"/>
                <w:lang w:val="en-GB"/>
              </w:rPr>
            </w:pPr>
          </w:p>
          <w:p w:rsidRPr="009C48DA" w:rsidR="00661519" w:rsidP="00661519" w:rsidRDefault="00661519" w14:paraId="11B6D9F6"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szCs w:val="16"/>
                <w:lang w:val="en-GB"/>
              </w:rPr>
              <w:t>Three month period ended</w:t>
            </w:r>
          </w:p>
          <w:p w:rsidRPr="009C48DA" w:rsidR="00661519" w:rsidP="00661519" w:rsidRDefault="00661519" w14:paraId="2ED46505"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szCs w:val="16"/>
                <w:lang w:val="en-GB"/>
              </w:rPr>
              <w:t>31 March</w:t>
            </w:r>
          </w:p>
        </w:tc>
      </w:tr>
      <w:tr w:rsidRPr="009C48DA" w:rsidR="00661519" w:rsidTr="00661519" w14:paraId="09ED9B63" w14:textId="77777777">
        <w:trPr>
          <w:trHeight w:val="225"/>
        </w:trPr>
        <w:tc>
          <w:tcPr>
            <w:tcW w:w="4048" w:type="dxa"/>
            <w:vAlign w:val="bottom"/>
          </w:tcPr>
          <w:p w:rsidRPr="009C48DA" w:rsidR="00661519" w:rsidP="00661519" w:rsidRDefault="00661519" w14:paraId="60EA6EAB" w14:textId="77777777">
            <w:pPr>
              <w:jc w:val="both"/>
              <w:textAlignment w:val="baseline"/>
              <w:rPr>
                <w:rFonts w:eastAsia="Times New Roman"/>
                <w:b/>
                <w:color w:val="000000"/>
                <w:sz w:val="16"/>
                <w:lang w:val="en-GB"/>
              </w:rPr>
            </w:pPr>
          </w:p>
        </w:tc>
        <w:tc>
          <w:tcPr>
            <w:tcW w:w="1057" w:type="dxa"/>
            <w:vAlign w:val="bottom"/>
          </w:tcPr>
          <w:p w:rsidRPr="009C48DA" w:rsidR="00661519" w:rsidP="00661519" w:rsidRDefault="00661519" w14:paraId="1CA48697" w14:textId="77777777">
            <w:pPr>
              <w:jc w:val="right"/>
              <w:textAlignment w:val="baseline"/>
              <w:rPr>
                <w:rFonts w:eastAsia="Times New Roman"/>
                <w:b/>
                <w:color w:val="000000"/>
                <w:sz w:val="16"/>
                <w:szCs w:val="16"/>
                <w:lang w:val="en-GB"/>
              </w:rPr>
            </w:pPr>
          </w:p>
        </w:tc>
        <w:tc>
          <w:tcPr>
            <w:tcW w:w="1057" w:type="dxa"/>
            <w:vAlign w:val="bottom"/>
          </w:tcPr>
          <w:p w:rsidRPr="009C48DA" w:rsidR="00661519" w:rsidP="00661519" w:rsidRDefault="00661519" w14:paraId="6ECC1AFB" w14:textId="77777777">
            <w:pPr>
              <w:jc w:val="right"/>
              <w:textAlignment w:val="baseline"/>
              <w:rPr>
                <w:rFonts w:eastAsia="Times New Roman"/>
                <w:b/>
                <w:color w:val="000000"/>
                <w:sz w:val="16"/>
                <w:szCs w:val="16"/>
                <w:lang w:val="en-GB"/>
              </w:rPr>
            </w:pPr>
          </w:p>
        </w:tc>
        <w:tc>
          <w:tcPr>
            <w:tcW w:w="1058" w:type="dxa"/>
            <w:vAlign w:val="bottom"/>
          </w:tcPr>
          <w:p w:rsidRPr="009C48DA" w:rsidR="00661519" w:rsidP="00661519" w:rsidRDefault="00661519" w14:paraId="2733FE01" w14:textId="77777777">
            <w:pPr>
              <w:jc w:val="right"/>
              <w:textAlignment w:val="baseline"/>
              <w:rPr>
                <w:rFonts w:eastAsia="Times New Roman"/>
                <w:b/>
                <w:color w:val="000000"/>
                <w:sz w:val="16"/>
                <w:szCs w:val="16"/>
                <w:lang w:val="en-GB"/>
              </w:rPr>
            </w:pPr>
          </w:p>
        </w:tc>
        <w:tc>
          <w:tcPr>
            <w:tcW w:w="1057" w:type="dxa"/>
            <w:vAlign w:val="bottom"/>
          </w:tcPr>
          <w:p w:rsidRPr="009C48DA" w:rsidR="00661519" w:rsidP="00661519" w:rsidRDefault="00661519" w14:paraId="10A438B8"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Unaudited</w:t>
            </w:r>
          </w:p>
        </w:tc>
        <w:tc>
          <w:tcPr>
            <w:tcW w:w="1058" w:type="dxa"/>
            <w:vAlign w:val="bottom"/>
          </w:tcPr>
          <w:p w:rsidRPr="009C48DA" w:rsidR="00661519" w:rsidP="00661519" w:rsidRDefault="00661519" w14:paraId="0720A1D8" w14:textId="77777777">
            <w:pPr>
              <w:jc w:val="right"/>
              <w:textAlignment w:val="baseline"/>
              <w:rPr>
                <w:rFonts w:eastAsia="Times New Roman"/>
                <w:b/>
                <w:color w:val="000000"/>
                <w:sz w:val="16"/>
                <w:szCs w:val="16"/>
                <w:lang w:val="en-GB"/>
              </w:rPr>
            </w:pPr>
          </w:p>
        </w:tc>
      </w:tr>
      <w:tr w:rsidRPr="009C48DA" w:rsidR="00661519" w:rsidTr="00661519" w14:paraId="338E81FC" w14:textId="77777777">
        <w:trPr>
          <w:trHeight w:val="436"/>
        </w:trPr>
        <w:tc>
          <w:tcPr>
            <w:tcW w:w="4048" w:type="dxa"/>
            <w:vAlign w:val="bottom"/>
          </w:tcPr>
          <w:p w:rsidRPr="009C48DA" w:rsidR="00661519" w:rsidP="00661519" w:rsidRDefault="00661519" w14:paraId="7B6ED61D" w14:textId="77777777">
            <w:pPr>
              <w:jc w:val="both"/>
              <w:textAlignment w:val="baseline"/>
              <w:rPr>
                <w:rFonts w:eastAsia="Times New Roman"/>
                <w:color w:val="000000"/>
                <w:sz w:val="16"/>
                <w:lang w:val="en-GB"/>
              </w:rPr>
            </w:pPr>
          </w:p>
        </w:tc>
        <w:tc>
          <w:tcPr>
            <w:tcW w:w="1057" w:type="dxa"/>
            <w:vAlign w:val="bottom"/>
          </w:tcPr>
          <w:p w:rsidRPr="009C48DA" w:rsidR="00661519" w:rsidP="00661519" w:rsidRDefault="00661519" w14:paraId="66191CBB"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2018</w:t>
            </w:r>
          </w:p>
          <w:p w:rsidRPr="009C48DA" w:rsidR="00661519" w:rsidP="00661519" w:rsidRDefault="00661519" w14:paraId="6C70180F"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057" w:type="dxa"/>
            <w:vAlign w:val="bottom"/>
          </w:tcPr>
          <w:p w:rsidRPr="009C48DA" w:rsidR="00661519" w:rsidP="00661519" w:rsidRDefault="00661519" w14:paraId="2357E765"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2019</w:t>
            </w:r>
          </w:p>
          <w:p w:rsidRPr="009C48DA" w:rsidR="00661519" w:rsidP="00661519" w:rsidRDefault="00661519" w14:paraId="7E54CF8D"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058" w:type="dxa"/>
            <w:vAlign w:val="bottom"/>
          </w:tcPr>
          <w:p w:rsidRPr="009C48DA" w:rsidR="00661519" w:rsidP="00661519" w:rsidRDefault="00661519" w14:paraId="16AB4777"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2020</w:t>
            </w:r>
          </w:p>
          <w:p w:rsidRPr="009C48DA" w:rsidR="00661519" w:rsidP="00661519" w:rsidRDefault="00661519" w14:paraId="43E161CB"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057" w:type="dxa"/>
            <w:vAlign w:val="bottom"/>
          </w:tcPr>
          <w:p w:rsidRPr="009C48DA" w:rsidR="00661519" w:rsidP="00661519" w:rsidRDefault="00661519" w14:paraId="3871801D"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2020</w:t>
            </w:r>
          </w:p>
          <w:p w:rsidRPr="009C48DA" w:rsidR="00661519" w:rsidP="00661519" w:rsidRDefault="00661519" w14:paraId="754CAA6E"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£ 000</w:t>
            </w:r>
          </w:p>
        </w:tc>
        <w:tc>
          <w:tcPr>
            <w:tcW w:w="1058" w:type="dxa"/>
            <w:vAlign w:val="bottom"/>
          </w:tcPr>
          <w:p w:rsidRPr="009C48DA" w:rsidR="00661519" w:rsidP="00661519" w:rsidRDefault="00661519" w14:paraId="19332C42"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2021</w:t>
            </w:r>
          </w:p>
          <w:p w:rsidRPr="009C48DA" w:rsidR="00661519" w:rsidP="00661519" w:rsidRDefault="00661519" w14:paraId="5B35A1D6"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£ 000</w:t>
            </w:r>
          </w:p>
        </w:tc>
      </w:tr>
      <w:tr w:rsidRPr="009C48DA" w:rsidR="00661519" w:rsidTr="00661519" w14:paraId="177309D7" w14:textId="77777777">
        <w:trPr>
          <w:trHeight w:val="225"/>
        </w:trPr>
        <w:tc>
          <w:tcPr>
            <w:tcW w:w="4048" w:type="dxa"/>
            <w:vAlign w:val="bottom"/>
          </w:tcPr>
          <w:p w:rsidRPr="009C48DA" w:rsidR="00661519" w:rsidP="00661519" w:rsidRDefault="00661519" w14:paraId="7D1D61F5"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Financing</w:t>
            </w:r>
          </w:p>
        </w:tc>
        <w:tc>
          <w:tcPr>
            <w:tcW w:w="1057" w:type="dxa"/>
            <w:vAlign w:val="center"/>
          </w:tcPr>
          <w:p w:rsidRPr="009C48DA" w:rsidR="00661519" w:rsidP="00661519" w:rsidRDefault="00661519" w14:paraId="6B43E3CB"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5,848</w:t>
            </w:r>
          </w:p>
        </w:tc>
        <w:tc>
          <w:tcPr>
            <w:tcW w:w="1057" w:type="dxa"/>
            <w:vAlign w:val="center"/>
          </w:tcPr>
          <w:p w:rsidRPr="009C48DA" w:rsidR="00661519" w:rsidP="00661519" w:rsidRDefault="00661519" w14:paraId="2686E340"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7,007</w:t>
            </w:r>
          </w:p>
        </w:tc>
        <w:tc>
          <w:tcPr>
            <w:tcW w:w="1058" w:type="dxa"/>
            <w:vAlign w:val="center"/>
          </w:tcPr>
          <w:p w:rsidRPr="009C48DA" w:rsidR="00661519" w:rsidP="00661519" w:rsidRDefault="00661519" w14:paraId="1FC8D582" w14:textId="77777777">
            <w:pPr>
              <w:jc w:val="right"/>
              <w:textAlignment w:val="baseline"/>
              <w:rPr>
                <w:rFonts w:eastAsia="Times New Roman"/>
                <w:color w:val="000000"/>
                <w:sz w:val="16"/>
                <w:szCs w:val="16"/>
                <w:lang w:val="en-GB"/>
              </w:rPr>
            </w:pPr>
            <w:r w:rsidRPr="009C48DA">
              <w:rPr>
                <w:rFonts w:eastAsia="Times New Roman"/>
                <w:color w:val="000000"/>
                <w:sz w:val="16"/>
                <w:szCs w:val="16"/>
                <w:lang w:val="en-GB"/>
              </w:rPr>
              <w:t>7,749</w:t>
            </w:r>
          </w:p>
        </w:tc>
        <w:tc>
          <w:tcPr>
            <w:tcW w:w="1057" w:type="dxa"/>
            <w:vAlign w:val="center"/>
          </w:tcPr>
          <w:p w:rsidRPr="009C48DA" w:rsidR="00661519" w:rsidP="00661519" w:rsidRDefault="00661519" w14:paraId="76B3AC19"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1,434</w:t>
            </w:r>
          </w:p>
        </w:tc>
        <w:tc>
          <w:tcPr>
            <w:tcW w:w="1058" w:type="dxa"/>
            <w:vAlign w:val="center"/>
          </w:tcPr>
          <w:p w:rsidRPr="009C48DA" w:rsidR="00661519" w:rsidP="00661519" w:rsidRDefault="00661519" w14:paraId="65DE2D0C"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2,310</w:t>
            </w:r>
          </w:p>
        </w:tc>
      </w:tr>
      <w:tr w:rsidRPr="009C48DA" w:rsidR="00661519" w:rsidTr="00661519" w14:paraId="2A51C4AC" w14:textId="77777777">
        <w:trPr>
          <w:trHeight w:val="225"/>
        </w:trPr>
        <w:tc>
          <w:tcPr>
            <w:tcW w:w="4048" w:type="dxa"/>
            <w:vAlign w:val="center"/>
          </w:tcPr>
          <w:p w:rsidRPr="009C48DA" w:rsidR="00661519" w:rsidP="00661519" w:rsidRDefault="00661519" w14:paraId="334D46D6"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Operating</w:t>
            </w:r>
          </w:p>
        </w:tc>
        <w:tc>
          <w:tcPr>
            <w:tcW w:w="1057" w:type="dxa"/>
            <w:vAlign w:val="center"/>
          </w:tcPr>
          <w:p w:rsidRPr="009C48DA" w:rsidR="00661519" w:rsidP="00661519" w:rsidRDefault="00661519" w14:paraId="36A34F64"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278</w:t>
            </w:r>
          </w:p>
        </w:tc>
        <w:tc>
          <w:tcPr>
            <w:tcW w:w="1057" w:type="dxa"/>
            <w:vAlign w:val="center"/>
          </w:tcPr>
          <w:p w:rsidRPr="009C48DA" w:rsidR="00661519" w:rsidP="00661519" w:rsidRDefault="00661519" w14:paraId="32298C64"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253</w:t>
            </w:r>
          </w:p>
        </w:tc>
        <w:tc>
          <w:tcPr>
            <w:tcW w:w="1058" w:type="dxa"/>
            <w:vAlign w:val="center"/>
          </w:tcPr>
          <w:p w:rsidRPr="009C48DA" w:rsidR="00661519" w:rsidP="00661519" w:rsidRDefault="00661519" w14:paraId="7EFBA2BA"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250</w:t>
            </w:r>
          </w:p>
        </w:tc>
        <w:tc>
          <w:tcPr>
            <w:tcW w:w="1057" w:type="dxa"/>
            <w:vAlign w:val="center"/>
          </w:tcPr>
          <w:p w:rsidRPr="009C48DA" w:rsidR="00661519" w:rsidP="00661519" w:rsidRDefault="00661519" w14:paraId="169EC7F0"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68</w:t>
            </w:r>
          </w:p>
        </w:tc>
        <w:tc>
          <w:tcPr>
            <w:tcW w:w="1058" w:type="dxa"/>
            <w:vAlign w:val="center"/>
          </w:tcPr>
          <w:p w:rsidRPr="009C48DA" w:rsidR="00661519" w:rsidP="00661519" w:rsidRDefault="00661519" w14:paraId="6468FA28"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szCs w:val="16"/>
                <w:lang w:val="en-GB"/>
              </w:rPr>
              <w:t>47</w:t>
            </w:r>
          </w:p>
        </w:tc>
      </w:tr>
      <w:tr w:rsidRPr="009C48DA" w:rsidR="00661519" w:rsidTr="00661519" w14:paraId="5734A736" w14:textId="77777777">
        <w:trPr>
          <w:trHeight w:val="410"/>
        </w:trPr>
        <w:tc>
          <w:tcPr>
            <w:tcW w:w="4048" w:type="dxa"/>
            <w:vAlign w:val="center"/>
          </w:tcPr>
          <w:p w:rsidRPr="009C48DA" w:rsidR="00661519" w:rsidP="00661519" w:rsidRDefault="00661519" w14:paraId="1DF2C2CB" w14:textId="77777777">
            <w:pPr>
              <w:textAlignment w:val="baseline"/>
              <w:rPr>
                <w:rFonts w:eastAsia="Times New Roman"/>
                <w:b/>
                <w:color w:val="000000"/>
                <w:sz w:val="16"/>
                <w:szCs w:val="16"/>
                <w:lang w:val="en-GB"/>
              </w:rPr>
            </w:pPr>
            <w:r w:rsidRPr="009C48DA">
              <w:rPr>
                <w:rFonts w:eastAsia="Times New Roman"/>
                <w:b/>
                <w:color w:val="000000"/>
                <w:sz w:val="16"/>
                <w:szCs w:val="16"/>
                <w:lang w:val="en-GB"/>
              </w:rPr>
              <w:t>Cash generated from leases</w:t>
            </w:r>
          </w:p>
        </w:tc>
        <w:tc>
          <w:tcPr>
            <w:tcW w:w="1057" w:type="dxa"/>
            <w:vAlign w:val="bottom"/>
          </w:tcPr>
          <w:p w:rsidRPr="009C48DA" w:rsidR="00661519" w:rsidP="00661519" w:rsidRDefault="00661519" w14:paraId="0527A417" w14:textId="77777777">
            <w:pPr>
              <w:pBdr>
                <w:bottom w:val="doub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6,126</w:t>
            </w:r>
          </w:p>
        </w:tc>
        <w:tc>
          <w:tcPr>
            <w:tcW w:w="1057" w:type="dxa"/>
            <w:vAlign w:val="bottom"/>
          </w:tcPr>
          <w:p w:rsidRPr="009C48DA" w:rsidR="00661519" w:rsidP="00661519" w:rsidRDefault="00661519" w14:paraId="5CCEBEA0" w14:textId="77777777">
            <w:pPr>
              <w:pBdr>
                <w:bottom w:val="double" w:color="auto" w:sz="12" w:space="1"/>
              </w:pBdr>
              <w:jc w:val="right"/>
              <w:textAlignment w:val="baseline"/>
              <w:rPr>
                <w:rFonts w:eastAsia="Times New Roman"/>
                <w:color w:val="000000"/>
                <w:sz w:val="16"/>
                <w:szCs w:val="16"/>
                <w:lang w:val="en-GB"/>
              </w:rPr>
            </w:pPr>
            <w:r w:rsidRPr="009C48DA">
              <w:rPr>
                <w:rFonts w:eastAsia="Times New Roman"/>
                <w:color w:val="000000"/>
                <w:sz w:val="16"/>
                <w:szCs w:val="16"/>
                <w:lang w:val="en-GB"/>
              </w:rPr>
              <w:t>7,260</w:t>
            </w:r>
          </w:p>
        </w:tc>
        <w:tc>
          <w:tcPr>
            <w:tcW w:w="1058" w:type="dxa"/>
            <w:vAlign w:val="bottom"/>
          </w:tcPr>
          <w:p w:rsidRPr="009C48DA" w:rsidR="00661519" w:rsidP="00661519" w:rsidRDefault="00661519" w14:paraId="0273E9C7" w14:textId="77777777">
            <w:pPr>
              <w:pBdr>
                <w:bottom w:val="double" w:color="auto" w:sz="12" w:space="1"/>
              </w:pBdr>
              <w:jc w:val="right"/>
              <w:textAlignment w:val="baseline"/>
              <w:rPr>
                <w:rFonts w:eastAsia="Times New Roman"/>
                <w:color w:val="000000"/>
                <w:sz w:val="16"/>
                <w:szCs w:val="16"/>
                <w:lang w:val="en-GB"/>
              </w:rPr>
            </w:pPr>
            <w:r w:rsidRPr="009C48DA">
              <w:rPr>
                <w:rFonts w:eastAsia="Times New Roman"/>
                <w:color w:val="000000"/>
                <w:sz w:val="16"/>
                <w:szCs w:val="16"/>
                <w:lang w:val="en-GB"/>
              </w:rPr>
              <w:t>7,999</w:t>
            </w:r>
          </w:p>
        </w:tc>
        <w:tc>
          <w:tcPr>
            <w:tcW w:w="1057" w:type="dxa"/>
            <w:vAlign w:val="bottom"/>
          </w:tcPr>
          <w:p w:rsidRPr="009C48DA" w:rsidR="00661519" w:rsidP="00661519" w:rsidRDefault="00661519" w14:paraId="33DC2F1E" w14:textId="77777777">
            <w:pPr>
              <w:pBdr>
                <w:bottom w:val="double" w:color="auto" w:sz="12" w:space="1"/>
              </w:pBdr>
              <w:jc w:val="right"/>
              <w:textAlignment w:val="baseline"/>
              <w:rPr>
                <w:rFonts w:eastAsia="Times New Roman"/>
                <w:color w:val="000000"/>
                <w:sz w:val="16"/>
                <w:szCs w:val="16"/>
                <w:lang w:val="en-GB"/>
              </w:rPr>
            </w:pPr>
            <w:r w:rsidRPr="009C48DA">
              <w:rPr>
                <w:rFonts w:eastAsia="Times New Roman"/>
                <w:color w:val="000000"/>
                <w:sz w:val="16"/>
                <w:szCs w:val="16"/>
                <w:lang w:val="en-GB"/>
              </w:rPr>
              <w:t>1,502</w:t>
            </w:r>
          </w:p>
        </w:tc>
        <w:tc>
          <w:tcPr>
            <w:tcW w:w="1058" w:type="dxa"/>
            <w:vAlign w:val="bottom"/>
          </w:tcPr>
          <w:p w:rsidRPr="009C48DA" w:rsidR="00661519" w:rsidP="00661519" w:rsidRDefault="00661519" w14:paraId="210851BE" w14:textId="77777777">
            <w:pPr>
              <w:pBdr>
                <w:bottom w:val="double" w:color="auto" w:sz="12" w:space="1"/>
              </w:pBdr>
              <w:jc w:val="right"/>
              <w:textAlignment w:val="baseline"/>
              <w:rPr>
                <w:rFonts w:eastAsia="Times New Roman"/>
                <w:color w:val="000000"/>
                <w:sz w:val="16"/>
                <w:szCs w:val="16"/>
                <w:lang w:val="en-GB"/>
              </w:rPr>
            </w:pPr>
            <w:r w:rsidRPr="009C48DA">
              <w:rPr>
                <w:rFonts w:eastAsia="Times New Roman"/>
                <w:color w:val="000000"/>
                <w:sz w:val="16"/>
                <w:szCs w:val="16"/>
                <w:lang w:val="en-GB"/>
              </w:rPr>
              <w:t>2,357</w:t>
            </w:r>
          </w:p>
        </w:tc>
      </w:tr>
    </w:tbl>
    <w:p w:rsidRPr="009C48DA" w:rsidR="00661519" w:rsidP="00661519" w:rsidRDefault="00661519" w14:paraId="19FF9D82" w14:textId="77777777">
      <w:pPr>
        <w:textAlignment w:val="baseline"/>
        <w:rPr>
          <w:rFonts w:eastAsia="Times New Roman" w:cs="Times New Roman"/>
          <w:b/>
          <w:color w:val="000000"/>
          <w:sz w:val="16"/>
          <w:szCs w:val="22"/>
          <w:lang w:val="en-GB"/>
        </w:rPr>
      </w:pPr>
    </w:p>
    <w:p w:rsidRPr="009C48DA" w:rsidR="00661519" w:rsidP="00661519" w:rsidRDefault="00661519" w14:paraId="7E4A445D" w14:textId="77777777">
      <w:pPr>
        <w:textAlignment w:val="baseline"/>
        <w:rPr>
          <w:rFonts w:eastAsia="Times New Roman" w:cs="Times New Roman"/>
          <w:b/>
          <w:color w:val="000000"/>
          <w:sz w:val="16"/>
          <w:szCs w:val="22"/>
          <w:lang w:val="en-GB"/>
        </w:rPr>
      </w:pPr>
    </w:p>
    <w:p w:rsidRPr="009C48DA" w:rsidR="00661519" w:rsidP="00661519" w:rsidRDefault="00661519" w14:paraId="022D9036" w14:textId="77777777">
      <w:pPr>
        <w:spacing w:line="188" w:lineRule="exact"/>
        <w:textAlignment w:val="baseline"/>
        <w:rPr>
          <w:rFonts w:eastAsia="Times New Roman" w:cs="Times New Roman"/>
          <w:b/>
          <w:color w:val="000000"/>
          <w:sz w:val="16"/>
          <w:szCs w:val="22"/>
          <w:u w:val="single"/>
          <w:lang w:val="en-GB"/>
        </w:rPr>
      </w:pPr>
      <w:r w:rsidRPr="009C48DA">
        <w:rPr>
          <w:rFonts w:eastAsia="Times New Roman" w:cs="Times New Roman"/>
          <w:b/>
          <w:color w:val="000000"/>
          <w:sz w:val="16"/>
          <w:szCs w:val="22"/>
          <w:lang w:val="en-GB"/>
        </w:rPr>
        <w:t>26</w:t>
      </w:r>
      <w:r w:rsidRPr="009C48DA">
        <w:rPr>
          <w:rFonts w:eastAsia="Times New Roman" w:cs="Times New Roman"/>
          <w:b/>
          <w:color w:val="000000"/>
          <w:sz w:val="16"/>
          <w:szCs w:val="22"/>
          <w:lang w:val="en-GB"/>
        </w:rPr>
        <w:tab/>
        <w:t>Related party transactions</w:t>
      </w:r>
      <w:r w:rsidRPr="009C48DA">
        <w:rPr>
          <w:rFonts w:eastAsia="Times New Roman" w:cs="Times New Roman"/>
          <w:b/>
          <w:color w:val="000000"/>
          <w:sz w:val="16"/>
          <w:szCs w:val="22"/>
          <w:u w:val="single"/>
          <w:lang w:val="en-GB"/>
        </w:rPr>
        <w:t xml:space="preserve"> </w:t>
      </w:r>
    </w:p>
    <w:p w:rsidRPr="009C48DA" w:rsidR="00661519" w:rsidP="00661519" w:rsidRDefault="00661519" w14:paraId="290214CD" w14:textId="77777777">
      <w:pPr>
        <w:textAlignment w:val="baseline"/>
        <w:rPr>
          <w:rFonts w:eastAsia="Times New Roman" w:cs="Times New Roman"/>
          <w:b/>
          <w:color w:val="000000"/>
          <w:sz w:val="16"/>
          <w:szCs w:val="22"/>
          <w:u w:val="single"/>
          <w:lang w:val="en-GB"/>
        </w:rPr>
      </w:pPr>
    </w:p>
    <w:p w:rsidRPr="009C48DA" w:rsidR="00661519" w:rsidP="00661519" w:rsidRDefault="00661519" w14:paraId="4FE4C441" w14:textId="77777777">
      <w:pPr>
        <w:textAlignment w:val="baseline"/>
        <w:rPr>
          <w:rFonts w:eastAsia="Times New Roman" w:cs="Times New Roman"/>
          <w:b/>
          <w:color w:val="000000"/>
          <w:sz w:val="16"/>
          <w:szCs w:val="22"/>
          <w:u w:val="single"/>
          <w:lang w:val="en-GB"/>
        </w:rPr>
      </w:pPr>
    </w:p>
    <w:p w:rsidRPr="009C48DA" w:rsidR="00661519" w:rsidP="00661519" w:rsidRDefault="00661519" w14:paraId="1649E2E8"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(a)</w:t>
      </w:r>
      <w:r w:rsidRPr="009C48DA">
        <w:rPr>
          <w:rFonts w:eastAsia="Times New Roman" w:cs="Times New Roman"/>
          <w:b/>
          <w:color w:val="000000"/>
          <w:sz w:val="16"/>
          <w:szCs w:val="22"/>
          <w:lang w:val="en-GB"/>
        </w:rPr>
        <w:tab/>
        <w:t>Key management compensation</w:t>
      </w:r>
    </w:p>
    <w:p w:rsidRPr="009C48DA" w:rsidR="00661519" w:rsidP="00661519" w:rsidRDefault="00661519" w14:paraId="2B92AA56" w14:textId="77777777">
      <w:pPr>
        <w:spacing w:line="185" w:lineRule="exact"/>
        <w:ind w:left="144" w:right="144"/>
        <w:jc w:val="both"/>
        <w:textAlignment w:val="baseline"/>
        <w:rPr>
          <w:rFonts w:eastAsia="Times New Roman"/>
          <w:color w:val="000000"/>
          <w:sz w:val="16"/>
          <w:lang w:val="en-GB"/>
        </w:rPr>
      </w:pPr>
    </w:p>
    <w:p w:rsidRPr="009C48DA" w:rsidR="00661519" w:rsidP="00661519" w:rsidRDefault="00661519" w14:paraId="349D66BB" w14:textId="77777777">
      <w:pPr>
        <w:ind w:right="-12"/>
        <w:jc w:val="both"/>
        <w:textAlignment w:val="baseline"/>
        <w:rPr>
          <w:rFonts w:eastAsia="Times New Roman"/>
          <w:color w:val="000000"/>
          <w:sz w:val="16"/>
          <w:lang w:val="en-GB"/>
        </w:rPr>
      </w:pPr>
      <w:r w:rsidRPr="009C48DA">
        <w:rPr>
          <w:rFonts w:eastAsia="Times New Roman" w:cs="Times New Roman"/>
          <w:color w:val="000000"/>
          <w:sz w:val="16"/>
          <w:szCs w:val="22"/>
          <w:lang w:val="en-GB"/>
        </w:rPr>
        <w:t>The</w:t>
      </w:r>
      <w:r w:rsidRPr="009C48DA">
        <w:rPr>
          <w:rFonts w:eastAsia="Times New Roman"/>
          <w:color w:val="000000"/>
          <w:sz w:val="16"/>
          <w:lang w:val="en-GB"/>
        </w:rPr>
        <w:t xml:space="preserve"> key management of the Group for the periods covered by the historical financial information was considered to be the directors of </w:t>
      </w:r>
      <w:r w:rsidRPr="009C48DA">
        <w:rPr>
          <w:rFonts w:eastAsia="Times New Roman"/>
          <w:color w:val="000000"/>
          <w:sz w:val="16"/>
          <w:lang w:val="en-GB"/>
        </w:rPr>
        <w:br/>
        <w:t>Bridgepoint Advisers Group Limited, a subsidiary company. The compensation paid or payable to the key management is as follows:</w:t>
      </w:r>
    </w:p>
    <w:p w:rsidRPr="009C48DA" w:rsidR="00661519" w:rsidP="00661519" w:rsidRDefault="00661519" w14:paraId="157AE456" w14:textId="77777777">
      <w:pPr>
        <w:textAlignment w:val="baseline"/>
        <w:rPr>
          <w:rFonts w:eastAsia="Times New Roman" w:cs="Times New Roman"/>
          <w:color w:val="000000"/>
          <w:sz w:val="16"/>
          <w:szCs w:val="22"/>
          <w:lang w:val="en-GB"/>
        </w:rPr>
      </w:pPr>
    </w:p>
    <w:tbl>
      <w:tblPr>
        <w:tblStyle w:val="TableGrid30"/>
        <w:tblW w:w="9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69"/>
        <w:gridCol w:w="1134"/>
        <w:gridCol w:w="993"/>
        <w:gridCol w:w="1134"/>
        <w:gridCol w:w="937"/>
        <w:gridCol w:w="1189"/>
      </w:tblGrid>
      <w:tr w:rsidRPr="009C48DA" w:rsidR="00661519" w:rsidTr="00661519" w14:paraId="470C4EEA" w14:textId="77777777">
        <w:tc>
          <w:tcPr>
            <w:tcW w:w="3969" w:type="dxa"/>
            <w:vAlign w:val="bottom"/>
          </w:tcPr>
          <w:p w:rsidRPr="009C48DA" w:rsidR="00661519" w:rsidP="00661519" w:rsidRDefault="00661519" w14:paraId="269666E6" w14:textId="77777777">
            <w:pPr>
              <w:jc w:val="both"/>
              <w:textAlignment w:val="baseline"/>
              <w:rPr>
                <w:rFonts w:eastAsia="Times New Roman"/>
                <w:color w:val="000000"/>
                <w:sz w:val="16"/>
                <w:lang w:val="en-GB"/>
              </w:rPr>
            </w:pPr>
          </w:p>
        </w:tc>
        <w:tc>
          <w:tcPr>
            <w:tcW w:w="3261" w:type="dxa"/>
            <w:gridSpan w:val="3"/>
            <w:vAlign w:val="bottom"/>
          </w:tcPr>
          <w:p w:rsidRPr="009C48DA" w:rsidR="00661519" w:rsidP="00661519" w:rsidRDefault="00661519" w14:paraId="72F64D1C"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Year ended 31 December</w:t>
            </w:r>
          </w:p>
        </w:tc>
        <w:tc>
          <w:tcPr>
            <w:tcW w:w="2126" w:type="dxa"/>
            <w:gridSpan w:val="2"/>
            <w:vAlign w:val="bottom"/>
          </w:tcPr>
          <w:p w:rsidRPr="009C48DA" w:rsidR="00661519" w:rsidP="00661519" w:rsidRDefault="00661519" w14:paraId="6DF916EB"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 xml:space="preserve">Three month period ended </w:t>
            </w:r>
          </w:p>
          <w:p w:rsidRPr="009C48DA" w:rsidR="00661519" w:rsidP="00661519" w:rsidRDefault="00661519" w14:paraId="07F11702"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31 March</w:t>
            </w:r>
          </w:p>
        </w:tc>
      </w:tr>
      <w:tr w:rsidRPr="009C48DA" w:rsidR="00661519" w:rsidTr="00661519" w14:paraId="560DED48" w14:textId="77777777">
        <w:tc>
          <w:tcPr>
            <w:tcW w:w="3969" w:type="dxa"/>
            <w:vAlign w:val="bottom"/>
          </w:tcPr>
          <w:p w:rsidRPr="009C48DA" w:rsidR="00661519" w:rsidP="00661519" w:rsidRDefault="00661519" w14:paraId="3E3C40C6" w14:textId="77777777">
            <w:pPr>
              <w:jc w:val="both"/>
              <w:textAlignment w:val="baseline"/>
              <w:rPr>
                <w:rFonts w:eastAsia="Times New Roman"/>
                <w:color w:val="000000"/>
                <w:sz w:val="16"/>
                <w:lang w:val="en-GB"/>
              </w:rPr>
            </w:pPr>
          </w:p>
        </w:tc>
        <w:tc>
          <w:tcPr>
            <w:tcW w:w="1134" w:type="dxa"/>
            <w:vAlign w:val="bottom"/>
          </w:tcPr>
          <w:p w:rsidRPr="009C48DA" w:rsidR="00661519" w:rsidP="00661519" w:rsidRDefault="00661519" w14:paraId="288DB6A3" w14:textId="77777777">
            <w:pPr>
              <w:jc w:val="right"/>
              <w:textAlignment w:val="baseline"/>
              <w:rPr>
                <w:rFonts w:eastAsia="Times New Roman"/>
                <w:b/>
                <w:color w:val="000000"/>
                <w:sz w:val="16"/>
                <w:lang w:val="en-GB"/>
              </w:rPr>
            </w:pPr>
          </w:p>
        </w:tc>
        <w:tc>
          <w:tcPr>
            <w:tcW w:w="993" w:type="dxa"/>
            <w:vAlign w:val="bottom"/>
          </w:tcPr>
          <w:p w:rsidRPr="009C48DA" w:rsidR="00661519" w:rsidP="00661519" w:rsidRDefault="00661519" w14:paraId="5FA4425C" w14:textId="77777777">
            <w:pPr>
              <w:jc w:val="right"/>
              <w:textAlignment w:val="baseline"/>
              <w:rPr>
                <w:rFonts w:eastAsia="Times New Roman"/>
                <w:b/>
                <w:color w:val="000000"/>
                <w:sz w:val="16"/>
                <w:lang w:val="en-GB"/>
              </w:rPr>
            </w:pPr>
          </w:p>
        </w:tc>
        <w:tc>
          <w:tcPr>
            <w:tcW w:w="1134" w:type="dxa"/>
            <w:vAlign w:val="bottom"/>
          </w:tcPr>
          <w:p w:rsidRPr="009C48DA" w:rsidR="00661519" w:rsidP="00661519" w:rsidRDefault="00661519" w14:paraId="3B92B7A3" w14:textId="77777777">
            <w:pPr>
              <w:jc w:val="right"/>
              <w:textAlignment w:val="baseline"/>
              <w:rPr>
                <w:rFonts w:eastAsia="Times New Roman"/>
                <w:b/>
                <w:color w:val="000000"/>
                <w:sz w:val="16"/>
                <w:lang w:val="en-GB"/>
              </w:rPr>
            </w:pPr>
          </w:p>
        </w:tc>
        <w:tc>
          <w:tcPr>
            <w:tcW w:w="937" w:type="dxa"/>
            <w:vAlign w:val="bottom"/>
          </w:tcPr>
          <w:p w:rsidRPr="009C48DA" w:rsidR="00661519" w:rsidP="00661519" w:rsidRDefault="00661519" w14:paraId="069BB77E" w14:textId="77777777">
            <w:pPr>
              <w:jc w:val="right"/>
              <w:textAlignment w:val="baseline"/>
              <w:rPr>
                <w:rFonts w:eastAsia="Times New Roman"/>
                <w:b/>
                <w:color w:val="000000"/>
                <w:sz w:val="16"/>
                <w:lang w:val="en-GB"/>
              </w:rPr>
            </w:pPr>
            <w:r w:rsidRPr="009C48DA">
              <w:rPr>
                <w:rFonts w:eastAsia="Times New Roman"/>
                <w:b/>
                <w:color w:val="000000"/>
                <w:sz w:val="16"/>
                <w:lang w:val="en-GB"/>
              </w:rPr>
              <w:t>Unaudited</w:t>
            </w:r>
          </w:p>
        </w:tc>
        <w:tc>
          <w:tcPr>
            <w:tcW w:w="1189" w:type="dxa"/>
            <w:vAlign w:val="bottom"/>
          </w:tcPr>
          <w:p w:rsidRPr="009C48DA" w:rsidR="00661519" w:rsidP="00661519" w:rsidRDefault="00661519" w14:paraId="1EDB16FF" w14:textId="77777777">
            <w:pPr>
              <w:jc w:val="right"/>
              <w:textAlignment w:val="baseline"/>
              <w:rPr>
                <w:rFonts w:eastAsia="Times New Roman"/>
                <w:b/>
                <w:color w:val="000000"/>
                <w:sz w:val="16"/>
                <w:lang w:val="en-GB"/>
              </w:rPr>
            </w:pPr>
          </w:p>
        </w:tc>
      </w:tr>
      <w:tr w:rsidRPr="009C48DA" w:rsidR="00661519" w:rsidTr="00661519" w14:paraId="74072C08" w14:textId="77777777">
        <w:tc>
          <w:tcPr>
            <w:tcW w:w="3969" w:type="dxa"/>
            <w:vAlign w:val="bottom"/>
          </w:tcPr>
          <w:p w:rsidRPr="009C48DA" w:rsidR="00661519" w:rsidP="00661519" w:rsidRDefault="00661519" w14:paraId="6F54C948" w14:textId="77777777">
            <w:pPr>
              <w:jc w:val="both"/>
              <w:textAlignment w:val="baseline"/>
              <w:rPr>
                <w:rFonts w:eastAsia="Times New Roman"/>
                <w:color w:val="000000"/>
                <w:sz w:val="16"/>
                <w:lang w:val="en-GB"/>
              </w:rPr>
            </w:pPr>
          </w:p>
        </w:tc>
        <w:tc>
          <w:tcPr>
            <w:tcW w:w="1134" w:type="dxa"/>
            <w:vAlign w:val="bottom"/>
          </w:tcPr>
          <w:p w:rsidRPr="009C48DA" w:rsidR="00661519" w:rsidP="00661519" w:rsidRDefault="00661519" w14:paraId="22BABF1A"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71420A4E"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993" w:type="dxa"/>
            <w:vAlign w:val="bottom"/>
          </w:tcPr>
          <w:p w:rsidRPr="009C48DA" w:rsidR="00661519" w:rsidP="00661519" w:rsidRDefault="00661519" w14:paraId="0D924594"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3F840054"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34" w:type="dxa"/>
            <w:vAlign w:val="bottom"/>
          </w:tcPr>
          <w:p w:rsidRPr="009C48DA" w:rsidR="00661519" w:rsidP="00661519" w:rsidRDefault="00661519" w14:paraId="460D6DE2"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0C3D4900"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937" w:type="dxa"/>
            <w:vAlign w:val="bottom"/>
          </w:tcPr>
          <w:p w:rsidRPr="009C48DA" w:rsidR="00661519" w:rsidP="00661519" w:rsidRDefault="00661519" w14:paraId="26264CEF"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26622EB0"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c>
          <w:tcPr>
            <w:tcW w:w="1189" w:type="dxa"/>
            <w:vAlign w:val="bottom"/>
          </w:tcPr>
          <w:p w:rsidRPr="009C48DA" w:rsidR="00661519" w:rsidP="00661519" w:rsidRDefault="00661519" w14:paraId="1FA5E2D1"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39FB2D57" w14:textId="77777777">
            <w:pPr>
              <w:jc w:val="right"/>
              <w:textAlignment w:val="baseline"/>
              <w:rPr>
                <w:rFonts w:eastAsia="Times New Roman"/>
                <w:color w:val="000000"/>
                <w:sz w:val="16"/>
                <w:lang w:val="en-GB"/>
              </w:rPr>
            </w:pPr>
            <w:r w:rsidRPr="009C48DA">
              <w:rPr>
                <w:rFonts w:eastAsia="Times New Roman"/>
                <w:b/>
                <w:color w:val="000000"/>
                <w:sz w:val="16"/>
                <w:lang w:val="en-GB"/>
              </w:rPr>
              <w:t>£ 000</w:t>
            </w:r>
          </w:p>
        </w:tc>
      </w:tr>
      <w:tr w:rsidRPr="009C48DA" w:rsidR="00661519" w:rsidTr="00661519" w14:paraId="272CA582" w14:textId="77777777">
        <w:tc>
          <w:tcPr>
            <w:tcW w:w="3969" w:type="dxa"/>
            <w:vAlign w:val="bottom"/>
          </w:tcPr>
          <w:p w:rsidRPr="009C48DA" w:rsidR="00661519" w:rsidP="00661519" w:rsidRDefault="00661519" w14:paraId="52312F68" w14:textId="77777777">
            <w:pPr>
              <w:jc w:val="both"/>
              <w:textAlignment w:val="baseline"/>
              <w:rPr>
                <w:rFonts w:eastAsia="Times New Roman"/>
                <w:color w:val="000000"/>
                <w:sz w:val="16"/>
                <w:lang w:val="en-GB"/>
              </w:rPr>
            </w:pPr>
            <w:r w:rsidRPr="009C48DA">
              <w:rPr>
                <w:rFonts w:eastAsia="Times New Roman"/>
                <w:color w:val="000000"/>
                <w:sz w:val="16"/>
                <w:lang w:val="en-GB"/>
              </w:rPr>
              <w:t>Salary, bonus and other benefits</w:t>
            </w:r>
          </w:p>
        </w:tc>
        <w:tc>
          <w:tcPr>
            <w:tcW w:w="1134" w:type="dxa"/>
          </w:tcPr>
          <w:p w:rsidRPr="009C48DA" w:rsidR="00661519" w:rsidP="00661519" w:rsidRDefault="00661519" w14:paraId="43F49667"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7"/>
                <w:lang w:val="en-GB"/>
              </w:rPr>
              <w:t>7,692</w:t>
            </w:r>
          </w:p>
        </w:tc>
        <w:tc>
          <w:tcPr>
            <w:tcW w:w="993" w:type="dxa"/>
          </w:tcPr>
          <w:p w:rsidRPr="009C48DA" w:rsidR="00661519" w:rsidP="00661519" w:rsidRDefault="00661519" w14:paraId="193ABD4B"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7"/>
                <w:lang w:val="en-GB"/>
              </w:rPr>
              <w:t>7,734</w:t>
            </w:r>
          </w:p>
        </w:tc>
        <w:tc>
          <w:tcPr>
            <w:tcW w:w="1134" w:type="dxa"/>
          </w:tcPr>
          <w:p w:rsidRPr="009C48DA" w:rsidR="00661519" w:rsidP="00661519" w:rsidRDefault="00661519" w14:paraId="7D7CB1D8"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7"/>
                <w:lang w:val="en-GB"/>
              </w:rPr>
              <w:t>7,966</w:t>
            </w:r>
          </w:p>
        </w:tc>
        <w:tc>
          <w:tcPr>
            <w:tcW w:w="937" w:type="dxa"/>
          </w:tcPr>
          <w:p w:rsidRPr="009C48DA" w:rsidR="00661519" w:rsidP="00661519" w:rsidRDefault="00661519" w14:paraId="33BFB63D"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7"/>
                <w:lang w:val="en-GB"/>
              </w:rPr>
              <w:t>1,081</w:t>
            </w:r>
          </w:p>
        </w:tc>
        <w:tc>
          <w:tcPr>
            <w:tcW w:w="1189" w:type="dxa"/>
          </w:tcPr>
          <w:p w:rsidRPr="009C48DA" w:rsidR="00661519" w:rsidP="00661519" w:rsidRDefault="00661519" w14:paraId="5CBF04EB" w14:textId="77777777">
            <w:pPr>
              <w:pBdr>
                <w:bottom w:val="double" w:color="auto" w:sz="12" w:space="1"/>
              </w:pBdr>
              <w:jc w:val="right"/>
              <w:textAlignment w:val="baseline"/>
              <w:rPr>
                <w:rFonts w:eastAsia="Times New Roman"/>
                <w:color w:val="000000"/>
                <w:sz w:val="16"/>
                <w:lang w:val="en-GB"/>
              </w:rPr>
            </w:pPr>
            <w:r w:rsidRPr="009C48DA">
              <w:rPr>
                <w:rFonts w:eastAsia="Times New Roman"/>
                <w:color w:val="000000"/>
                <w:sz w:val="17"/>
                <w:lang w:val="en-GB"/>
              </w:rPr>
              <w:t>1,084</w:t>
            </w:r>
          </w:p>
        </w:tc>
      </w:tr>
    </w:tbl>
    <w:p w:rsidRPr="009C48DA" w:rsidR="00661519" w:rsidP="00661519" w:rsidRDefault="00661519" w14:paraId="76D6228C" w14:textId="77777777">
      <w:pPr>
        <w:textAlignment w:val="baseline"/>
        <w:rPr>
          <w:rFonts w:eastAsia="Times New Roman" w:cs="Times New Roman"/>
          <w:color w:val="000000"/>
          <w:sz w:val="16"/>
          <w:szCs w:val="22"/>
          <w:lang w:val="en-GB"/>
        </w:rPr>
      </w:pPr>
    </w:p>
    <w:p w:rsidRPr="009C48DA" w:rsidR="00661519" w:rsidP="00661519" w:rsidRDefault="00661519" w14:paraId="0FF84927" w14:textId="77777777">
      <w:pPr>
        <w:ind w:right="-12"/>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In addition, payments amounting to £0.2m (2019: £3.7m, 2018: £Nil) were paid to key management during 2020, that related to amounts </w:t>
      </w:r>
      <w:r w:rsidRPr="009C48DA">
        <w:rPr>
          <w:rFonts w:eastAsia="Times New Roman" w:cs="Times New Roman"/>
          <w:color w:val="000000"/>
          <w:sz w:val="16"/>
          <w:szCs w:val="22"/>
          <w:lang w:val="en-GB"/>
        </w:rPr>
        <w:br/>
        <w:t>accrued in 2019 or 2018 and were compensation payments outside the normal remuneration process.</w:t>
      </w:r>
    </w:p>
    <w:p w:rsidRPr="009C48DA" w:rsidR="00661519" w:rsidP="00661519" w:rsidRDefault="00661519" w14:paraId="431B0D0C" w14:textId="77777777">
      <w:pPr>
        <w:ind w:right="-12"/>
        <w:jc w:val="both"/>
        <w:textAlignment w:val="baseline"/>
        <w:rPr>
          <w:rFonts w:eastAsia="Times New Roman" w:cs="Times New Roman"/>
          <w:color w:val="000000"/>
          <w:sz w:val="16"/>
          <w:szCs w:val="22"/>
          <w:lang w:val="en-GB"/>
        </w:rPr>
      </w:pPr>
    </w:p>
    <w:p w:rsidRPr="009C48DA" w:rsidR="00661519" w:rsidP="00661519" w:rsidRDefault="00661519" w14:paraId="7FD061D1" w14:textId="77777777">
      <w:pPr>
        <w:ind w:right="-12"/>
        <w:jc w:val="both"/>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In light of the COVID-19 pandemic in 2020, key management of the Group (as defined above) and Partners deferred the majority of their </w:t>
      </w:r>
      <w:r w:rsidRPr="009C48DA">
        <w:rPr>
          <w:rFonts w:eastAsia="Times New Roman" w:cs="Times New Roman"/>
          <w:color w:val="000000"/>
          <w:sz w:val="16"/>
          <w:szCs w:val="22"/>
          <w:lang w:val="en-GB"/>
        </w:rPr>
        <w:br/>
        <w:t>2019 bonuses, which under normal circumstances would have been paid on 31 March 2020. Subsequently, the Board members and Partners decided to forfeit a substantial portion of the 2019 deferred bonus to a newly created Bridgepoint Hardship Fund dedicated to frontline</w:t>
      </w:r>
      <w:r w:rsidRPr="009C48DA">
        <w:rPr>
          <w:rFonts w:eastAsia="Times New Roman" w:cs="Times New Roman"/>
          <w:color w:val="000000"/>
          <w:sz w:val="16"/>
          <w:szCs w:val="22"/>
          <w:lang w:val="en-GB"/>
        </w:rPr>
        <w:br/>
        <w:t>COVID</w:t>
      </w:r>
      <w:r w:rsidRPr="009C48DA">
        <w:rPr>
          <w:rFonts w:eastAsia="Times New Roman" w:cs="Times New Roman"/>
          <w:color w:val="000000"/>
          <w:sz w:val="16"/>
          <w:szCs w:val="22"/>
          <w:lang w:val="en-GB"/>
        </w:rPr>
        <w:noBreakHyphen/>
        <w:t xml:space="preserve">19 relief causes in local communities and in areas close to our portfolio companies. The directors’ of the Company’s remuneration </w:t>
      </w:r>
      <w:r w:rsidRPr="009C48DA">
        <w:rPr>
          <w:rFonts w:eastAsia="Times New Roman" w:cs="Times New Roman"/>
          <w:color w:val="000000"/>
          <w:sz w:val="16"/>
          <w:szCs w:val="22"/>
          <w:lang w:val="en-GB"/>
        </w:rPr>
        <w:br/>
        <w:t>and key management compensation of the Group for 2019 accordingly reduced on payment to £3.3m and £6.9m respectively.</w:t>
      </w:r>
    </w:p>
    <w:p w:rsidRPr="009C48DA" w:rsidR="00661519" w:rsidP="00661519" w:rsidRDefault="00661519" w14:paraId="784594AB" w14:textId="77777777">
      <w:pPr>
        <w:ind w:right="-12"/>
        <w:jc w:val="both"/>
        <w:textAlignment w:val="baseline"/>
        <w:rPr>
          <w:rFonts w:eastAsia="Times New Roman" w:cs="Times New Roman"/>
          <w:color w:val="000000"/>
          <w:sz w:val="16"/>
          <w:szCs w:val="22"/>
          <w:lang w:val="en-GB"/>
        </w:rPr>
      </w:pPr>
    </w:p>
    <w:p w:rsidRPr="009C48DA" w:rsidR="00661519" w:rsidP="00661519" w:rsidRDefault="00661519" w14:paraId="20656D2B" w14:textId="77777777">
      <w:pPr>
        <w:ind w:right="-12"/>
        <w:jc w:val="both"/>
        <w:textAlignment w:val="baseline"/>
        <w:rPr>
          <w:rFonts w:eastAsia="Times New Roman" w:cs="Times New Roman"/>
          <w:color w:val="000000"/>
          <w:sz w:val="16"/>
          <w:szCs w:val="22"/>
          <w:lang w:val="en-GB"/>
        </w:rPr>
      </w:pPr>
    </w:p>
    <w:p w:rsidRPr="009C48DA" w:rsidR="00661519" w:rsidP="00661519" w:rsidRDefault="00661519" w14:paraId="6E19C6A3"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(b)</w:t>
      </w:r>
      <w:r w:rsidRPr="009C48DA">
        <w:rPr>
          <w:rFonts w:eastAsia="Times New Roman" w:cs="Times New Roman"/>
          <w:b/>
          <w:color w:val="000000"/>
          <w:sz w:val="16"/>
          <w:szCs w:val="22"/>
          <w:lang w:val="en-GB"/>
        </w:rPr>
        <w:tab/>
        <w:t>Directors emoluments</w:t>
      </w:r>
    </w:p>
    <w:p w:rsidRPr="009C48DA" w:rsidR="00661519" w:rsidP="00661519" w:rsidRDefault="00661519" w14:paraId="6DE64802" w14:textId="77777777">
      <w:pPr>
        <w:textAlignment w:val="baseline"/>
        <w:rPr>
          <w:rFonts w:eastAsia="Times New Roman" w:cs="Times New Roman"/>
          <w:b/>
          <w:color w:val="000000"/>
          <w:sz w:val="16"/>
          <w:szCs w:val="22"/>
          <w:lang w:val="en-GB"/>
        </w:rPr>
      </w:pPr>
    </w:p>
    <w:p w:rsidRPr="009C48DA" w:rsidR="00661519" w:rsidP="00661519" w:rsidRDefault="00661519" w14:paraId="36656B0A" w14:textId="77777777">
      <w:pPr>
        <w:ind w:right="-12"/>
        <w:jc w:val="both"/>
        <w:textAlignment w:val="baseline"/>
        <w:rPr>
          <w:rFonts w:eastAsia="Times New Roman"/>
          <w:color w:val="000000"/>
          <w:sz w:val="16"/>
          <w:lang w:val="en-GB"/>
        </w:rPr>
      </w:pPr>
      <w:r w:rsidRPr="009C48DA">
        <w:rPr>
          <w:rFonts w:eastAsia="Times New Roman" w:cs="Times New Roman"/>
          <w:color w:val="000000"/>
          <w:sz w:val="16"/>
          <w:szCs w:val="22"/>
          <w:lang w:val="en-GB"/>
        </w:rPr>
        <w:t>Emoluments</w:t>
      </w:r>
      <w:r w:rsidRPr="009C48DA">
        <w:rPr>
          <w:rFonts w:eastAsia="Times New Roman"/>
          <w:color w:val="000000"/>
          <w:sz w:val="16"/>
          <w:lang w:val="en-GB"/>
        </w:rPr>
        <w:t xml:space="preserve"> of the directors of the Company, paid by Group entities are disclosed in the table below.</w:t>
      </w:r>
    </w:p>
    <w:p w:rsidRPr="009C48DA" w:rsidR="00661519" w:rsidP="00661519" w:rsidRDefault="00661519" w14:paraId="6BC83147" w14:textId="77777777">
      <w:pPr>
        <w:ind w:right="-12"/>
        <w:jc w:val="both"/>
        <w:textAlignment w:val="baseline"/>
        <w:rPr>
          <w:rFonts w:eastAsia="Times New Roman"/>
          <w:color w:val="000000"/>
          <w:sz w:val="16"/>
          <w:lang w:val="en-GB"/>
        </w:rPr>
      </w:pPr>
    </w:p>
    <w:tbl>
      <w:tblPr>
        <w:tblStyle w:val="TableGrid30"/>
        <w:tblW w:w="9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69"/>
        <w:gridCol w:w="1134"/>
        <w:gridCol w:w="993"/>
        <w:gridCol w:w="877"/>
        <w:gridCol w:w="937"/>
        <w:gridCol w:w="1446"/>
      </w:tblGrid>
      <w:tr w:rsidRPr="009C48DA" w:rsidR="00661519" w:rsidTr="00661519" w14:paraId="18F7EC2D" w14:textId="77777777">
        <w:tc>
          <w:tcPr>
            <w:tcW w:w="3969" w:type="dxa"/>
            <w:vAlign w:val="bottom"/>
          </w:tcPr>
          <w:p w:rsidRPr="009C48DA" w:rsidR="00661519" w:rsidP="00661519" w:rsidRDefault="00661519" w14:paraId="7A17580A" w14:textId="77777777">
            <w:pPr>
              <w:jc w:val="both"/>
              <w:textAlignment w:val="baseline"/>
              <w:rPr>
                <w:rFonts w:eastAsia="Times New Roman"/>
                <w:color w:val="000000"/>
                <w:sz w:val="16"/>
                <w:lang w:val="en-GB"/>
              </w:rPr>
            </w:pPr>
          </w:p>
        </w:tc>
        <w:tc>
          <w:tcPr>
            <w:tcW w:w="3004" w:type="dxa"/>
            <w:gridSpan w:val="3"/>
            <w:vAlign w:val="bottom"/>
          </w:tcPr>
          <w:p w:rsidRPr="009C48DA" w:rsidR="00661519" w:rsidP="00661519" w:rsidRDefault="00661519" w14:paraId="6C998386"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Year ended 31 December</w:t>
            </w:r>
          </w:p>
        </w:tc>
        <w:tc>
          <w:tcPr>
            <w:tcW w:w="2383" w:type="dxa"/>
            <w:gridSpan w:val="2"/>
            <w:vAlign w:val="bottom"/>
          </w:tcPr>
          <w:p w:rsidRPr="009C48DA" w:rsidR="00661519" w:rsidP="00661519" w:rsidRDefault="00661519" w14:paraId="58578A50"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Three month period ended</w:t>
            </w:r>
          </w:p>
          <w:p w:rsidRPr="009C48DA" w:rsidR="00661519" w:rsidP="00661519" w:rsidRDefault="00661519" w14:paraId="316208CA"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31 March</w:t>
            </w:r>
          </w:p>
        </w:tc>
      </w:tr>
      <w:tr w:rsidRPr="009C48DA" w:rsidR="00661519" w:rsidTr="00661519" w14:paraId="54E882D7" w14:textId="77777777">
        <w:tc>
          <w:tcPr>
            <w:tcW w:w="3969" w:type="dxa"/>
            <w:vAlign w:val="bottom"/>
          </w:tcPr>
          <w:p w:rsidRPr="009C48DA" w:rsidR="00661519" w:rsidP="00661519" w:rsidRDefault="00661519" w14:paraId="7A2C3610" w14:textId="77777777">
            <w:pPr>
              <w:jc w:val="both"/>
              <w:textAlignment w:val="baseline"/>
              <w:rPr>
                <w:rFonts w:eastAsia="Times New Roman"/>
                <w:color w:val="000000"/>
                <w:sz w:val="16"/>
                <w:lang w:val="en-GB"/>
              </w:rPr>
            </w:pPr>
          </w:p>
        </w:tc>
        <w:tc>
          <w:tcPr>
            <w:tcW w:w="1134" w:type="dxa"/>
            <w:vAlign w:val="bottom"/>
          </w:tcPr>
          <w:p w:rsidRPr="009C48DA" w:rsidR="00661519" w:rsidP="00661519" w:rsidRDefault="00661519" w14:paraId="0D22FB1A" w14:textId="77777777">
            <w:pPr>
              <w:jc w:val="right"/>
              <w:textAlignment w:val="baseline"/>
              <w:rPr>
                <w:rFonts w:eastAsia="Times New Roman"/>
                <w:b/>
                <w:color w:val="000000"/>
                <w:sz w:val="16"/>
                <w:lang w:val="en-GB"/>
              </w:rPr>
            </w:pPr>
          </w:p>
        </w:tc>
        <w:tc>
          <w:tcPr>
            <w:tcW w:w="993" w:type="dxa"/>
            <w:vAlign w:val="bottom"/>
          </w:tcPr>
          <w:p w:rsidRPr="009C48DA" w:rsidR="00661519" w:rsidP="00661519" w:rsidRDefault="00661519" w14:paraId="1207CE85" w14:textId="77777777">
            <w:pPr>
              <w:jc w:val="right"/>
              <w:textAlignment w:val="baseline"/>
              <w:rPr>
                <w:rFonts w:eastAsia="Times New Roman"/>
                <w:b/>
                <w:color w:val="000000"/>
                <w:sz w:val="16"/>
                <w:lang w:val="en-GB"/>
              </w:rPr>
            </w:pPr>
          </w:p>
        </w:tc>
        <w:tc>
          <w:tcPr>
            <w:tcW w:w="877" w:type="dxa"/>
            <w:vAlign w:val="bottom"/>
          </w:tcPr>
          <w:p w:rsidRPr="009C48DA" w:rsidR="00661519" w:rsidP="00661519" w:rsidRDefault="00661519" w14:paraId="508A6F06" w14:textId="77777777">
            <w:pPr>
              <w:jc w:val="right"/>
              <w:textAlignment w:val="baseline"/>
              <w:rPr>
                <w:rFonts w:eastAsia="Times New Roman"/>
                <w:b/>
                <w:color w:val="000000"/>
                <w:sz w:val="16"/>
                <w:lang w:val="en-GB"/>
              </w:rPr>
            </w:pPr>
          </w:p>
        </w:tc>
        <w:tc>
          <w:tcPr>
            <w:tcW w:w="937" w:type="dxa"/>
            <w:vAlign w:val="bottom"/>
          </w:tcPr>
          <w:p w:rsidRPr="009C48DA" w:rsidR="00661519" w:rsidP="00661519" w:rsidRDefault="00661519" w14:paraId="69D2278C" w14:textId="77777777">
            <w:pPr>
              <w:jc w:val="right"/>
              <w:textAlignment w:val="baseline"/>
              <w:rPr>
                <w:rFonts w:eastAsia="Times New Roman"/>
                <w:b/>
                <w:color w:val="000000"/>
                <w:sz w:val="16"/>
                <w:lang w:val="en-GB"/>
              </w:rPr>
            </w:pPr>
            <w:r w:rsidRPr="009C48DA">
              <w:rPr>
                <w:rFonts w:eastAsia="Times New Roman"/>
                <w:b/>
                <w:color w:val="000000"/>
                <w:sz w:val="16"/>
                <w:lang w:val="en-GB"/>
              </w:rPr>
              <w:t>Unaudited</w:t>
            </w:r>
          </w:p>
        </w:tc>
        <w:tc>
          <w:tcPr>
            <w:tcW w:w="1446" w:type="dxa"/>
            <w:vAlign w:val="bottom"/>
          </w:tcPr>
          <w:p w:rsidRPr="009C48DA" w:rsidR="00661519" w:rsidP="00661519" w:rsidRDefault="00661519" w14:paraId="3E44150E" w14:textId="77777777">
            <w:pPr>
              <w:jc w:val="right"/>
              <w:textAlignment w:val="baseline"/>
              <w:rPr>
                <w:rFonts w:eastAsia="Times New Roman"/>
                <w:b/>
                <w:color w:val="000000"/>
                <w:sz w:val="16"/>
                <w:lang w:val="en-GB"/>
              </w:rPr>
            </w:pPr>
          </w:p>
        </w:tc>
      </w:tr>
      <w:tr w:rsidRPr="009C48DA" w:rsidR="00661519" w:rsidTr="00661519" w14:paraId="0FECDB7B" w14:textId="77777777">
        <w:tc>
          <w:tcPr>
            <w:tcW w:w="3969" w:type="dxa"/>
            <w:vAlign w:val="bottom"/>
          </w:tcPr>
          <w:p w:rsidRPr="009C48DA" w:rsidR="00661519" w:rsidP="00661519" w:rsidRDefault="00661519" w14:paraId="76F05A41" w14:textId="77777777">
            <w:pPr>
              <w:jc w:val="both"/>
              <w:textAlignment w:val="baseline"/>
              <w:rPr>
                <w:rFonts w:eastAsia="Times New Roman"/>
                <w:b/>
                <w:color w:val="000000"/>
                <w:sz w:val="16"/>
                <w:lang w:val="en-GB"/>
              </w:rPr>
            </w:pPr>
            <w:r w:rsidRPr="009C48DA">
              <w:rPr>
                <w:rFonts w:eastAsia="Times New Roman"/>
                <w:b/>
                <w:color w:val="000000"/>
                <w:sz w:val="16"/>
                <w:lang w:val="en-GB"/>
              </w:rPr>
              <w:t>Emoluments of the directors:</w:t>
            </w:r>
          </w:p>
        </w:tc>
        <w:tc>
          <w:tcPr>
            <w:tcW w:w="1134" w:type="dxa"/>
            <w:vAlign w:val="bottom"/>
          </w:tcPr>
          <w:p w:rsidRPr="009C48DA" w:rsidR="00661519" w:rsidP="00661519" w:rsidRDefault="00661519" w14:paraId="7DC35BE2"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4AA8D913" w14:textId="77777777">
            <w:pPr>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993" w:type="dxa"/>
            <w:vAlign w:val="bottom"/>
          </w:tcPr>
          <w:p w:rsidRPr="009C48DA" w:rsidR="00661519" w:rsidP="00661519" w:rsidRDefault="00661519" w14:paraId="4A9C7E00"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709AA681" w14:textId="77777777">
            <w:pPr>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877" w:type="dxa"/>
            <w:vAlign w:val="bottom"/>
          </w:tcPr>
          <w:p w:rsidRPr="009C48DA" w:rsidR="00661519" w:rsidP="00661519" w:rsidRDefault="00661519" w14:paraId="77F2A144"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32219807" w14:textId="77777777">
            <w:pPr>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937" w:type="dxa"/>
            <w:vAlign w:val="bottom"/>
          </w:tcPr>
          <w:p w:rsidRPr="009C48DA" w:rsidR="00661519" w:rsidP="00661519" w:rsidRDefault="00661519" w14:paraId="4DD214CA"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0F7477D5" w14:textId="77777777">
            <w:pPr>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446" w:type="dxa"/>
            <w:vAlign w:val="bottom"/>
          </w:tcPr>
          <w:p w:rsidRPr="009C48DA" w:rsidR="00661519" w:rsidP="00661519" w:rsidRDefault="00661519" w14:paraId="0225CFD1"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7FA2498E" w14:textId="77777777">
            <w:pPr>
              <w:jc w:val="right"/>
              <w:textAlignment w:val="baseline"/>
              <w:rPr>
                <w:rFonts w:eastAsia="Times New Roman"/>
                <w:b/>
                <w:color w:val="000000"/>
                <w:sz w:val="16"/>
                <w:lang w:val="en-GB"/>
              </w:rPr>
            </w:pPr>
            <w:r w:rsidRPr="009C48DA">
              <w:rPr>
                <w:rFonts w:eastAsia="Times New Roman"/>
                <w:b/>
                <w:color w:val="000000"/>
                <w:sz w:val="16"/>
                <w:lang w:val="en-GB"/>
              </w:rPr>
              <w:t>£ 000</w:t>
            </w:r>
          </w:p>
        </w:tc>
      </w:tr>
      <w:tr w:rsidRPr="009C48DA" w:rsidR="00661519" w:rsidTr="00661519" w14:paraId="0C722454" w14:textId="77777777">
        <w:tc>
          <w:tcPr>
            <w:tcW w:w="3969" w:type="dxa"/>
            <w:vAlign w:val="center"/>
          </w:tcPr>
          <w:p w:rsidRPr="009C48DA" w:rsidR="00661519" w:rsidP="00661519" w:rsidRDefault="00661519" w14:paraId="0CACB0B7" w14:textId="77777777">
            <w:pPr>
              <w:jc w:val="both"/>
              <w:textAlignment w:val="baseline"/>
              <w:rPr>
                <w:rFonts w:eastAsia="Times New Roman"/>
                <w:color w:val="000000"/>
                <w:sz w:val="16"/>
                <w:lang w:val="en-GB"/>
              </w:rPr>
            </w:pPr>
            <w:r w:rsidRPr="009C48DA">
              <w:rPr>
                <w:rFonts w:eastAsia="Times New Roman"/>
                <w:color w:val="000000"/>
                <w:sz w:val="16"/>
                <w:lang w:val="en-GB"/>
              </w:rPr>
              <w:t>Aggregate emoluments</w:t>
            </w:r>
          </w:p>
        </w:tc>
        <w:tc>
          <w:tcPr>
            <w:tcW w:w="1134" w:type="dxa"/>
            <w:vAlign w:val="center"/>
          </w:tcPr>
          <w:p w:rsidRPr="009C48DA" w:rsidR="00661519" w:rsidP="00661519" w:rsidRDefault="00661519" w14:paraId="58040457" w14:textId="77777777">
            <w:pPr>
              <w:jc w:val="right"/>
              <w:textAlignment w:val="baseline"/>
              <w:rPr>
                <w:rFonts w:eastAsia="Times New Roman"/>
                <w:color w:val="000000"/>
                <w:sz w:val="16"/>
                <w:lang w:val="en-GB"/>
              </w:rPr>
            </w:pPr>
            <w:r w:rsidRPr="009C48DA">
              <w:rPr>
                <w:rFonts w:eastAsia="Times New Roman"/>
                <w:color w:val="000000"/>
                <w:sz w:val="16"/>
                <w:lang w:val="en-GB"/>
              </w:rPr>
              <w:t>770</w:t>
            </w:r>
          </w:p>
        </w:tc>
        <w:tc>
          <w:tcPr>
            <w:tcW w:w="993" w:type="dxa"/>
            <w:vAlign w:val="center"/>
          </w:tcPr>
          <w:p w:rsidRPr="009C48DA" w:rsidR="00661519" w:rsidP="00661519" w:rsidRDefault="00661519" w14:paraId="2D276FB9" w14:textId="77777777">
            <w:pPr>
              <w:jc w:val="right"/>
              <w:textAlignment w:val="baseline"/>
              <w:rPr>
                <w:rFonts w:eastAsia="Times New Roman"/>
                <w:color w:val="000000"/>
                <w:sz w:val="16"/>
                <w:lang w:val="en-GB"/>
              </w:rPr>
            </w:pPr>
            <w:r w:rsidRPr="009C48DA">
              <w:rPr>
                <w:rFonts w:eastAsia="Times New Roman"/>
                <w:color w:val="000000"/>
                <w:sz w:val="16"/>
                <w:lang w:val="en-GB"/>
              </w:rPr>
              <w:t>3,654</w:t>
            </w:r>
          </w:p>
        </w:tc>
        <w:tc>
          <w:tcPr>
            <w:tcW w:w="877" w:type="dxa"/>
            <w:vAlign w:val="center"/>
          </w:tcPr>
          <w:p w:rsidRPr="009C48DA" w:rsidR="00661519" w:rsidP="00661519" w:rsidRDefault="00661519" w14:paraId="5CF5D82F" w14:textId="77777777">
            <w:pPr>
              <w:jc w:val="right"/>
              <w:textAlignment w:val="baseline"/>
              <w:rPr>
                <w:rFonts w:eastAsia="Times New Roman"/>
                <w:color w:val="000000"/>
                <w:sz w:val="16"/>
                <w:lang w:val="en-GB"/>
              </w:rPr>
            </w:pPr>
            <w:r w:rsidRPr="009C48DA">
              <w:rPr>
                <w:rFonts w:eastAsia="Times New Roman"/>
                <w:color w:val="000000"/>
                <w:sz w:val="16"/>
                <w:lang w:val="en-GB"/>
              </w:rPr>
              <w:t>3,927</w:t>
            </w:r>
          </w:p>
        </w:tc>
        <w:tc>
          <w:tcPr>
            <w:tcW w:w="937" w:type="dxa"/>
            <w:vAlign w:val="center"/>
          </w:tcPr>
          <w:p w:rsidRPr="009C48DA" w:rsidR="00661519" w:rsidP="00661519" w:rsidRDefault="00661519" w14:paraId="5E7363F4" w14:textId="77777777">
            <w:pPr>
              <w:jc w:val="right"/>
              <w:textAlignment w:val="baseline"/>
              <w:rPr>
                <w:rFonts w:eastAsia="Times New Roman"/>
                <w:color w:val="000000"/>
                <w:sz w:val="16"/>
                <w:lang w:val="en-GB"/>
              </w:rPr>
            </w:pPr>
            <w:r w:rsidRPr="009C48DA">
              <w:rPr>
                <w:rFonts w:eastAsia="Times New Roman"/>
                <w:color w:val="000000"/>
                <w:sz w:val="16"/>
                <w:lang w:val="en-GB"/>
              </w:rPr>
              <w:t>516</w:t>
            </w:r>
          </w:p>
        </w:tc>
        <w:tc>
          <w:tcPr>
            <w:tcW w:w="1446" w:type="dxa"/>
            <w:vAlign w:val="center"/>
          </w:tcPr>
          <w:p w:rsidRPr="009C48DA" w:rsidR="00661519" w:rsidP="00661519" w:rsidRDefault="00661519" w14:paraId="0BCE8287" w14:textId="77777777">
            <w:pPr>
              <w:jc w:val="right"/>
              <w:textAlignment w:val="baseline"/>
              <w:rPr>
                <w:rFonts w:eastAsia="Times New Roman"/>
                <w:color w:val="000000"/>
                <w:sz w:val="16"/>
                <w:lang w:val="en-GB"/>
              </w:rPr>
            </w:pPr>
            <w:r w:rsidRPr="009C48DA">
              <w:rPr>
                <w:rFonts w:eastAsia="Times New Roman"/>
                <w:color w:val="000000"/>
                <w:sz w:val="16"/>
                <w:lang w:val="en-GB"/>
              </w:rPr>
              <w:t>518</w:t>
            </w:r>
          </w:p>
        </w:tc>
      </w:tr>
      <w:tr w:rsidRPr="009C48DA" w:rsidR="00661519" w:rsidTr="00661519" w14:paraId="3DE0B79F" w14:textId="77777777">
        <w:tc>
          <w:tcPr>
            <w:tcW w:w="3969" w:type="dxa"/>
            <w:vAlign w:val="center"/>
          </w:tcPr>
          <w:p w:rsidRPr="009C48DA" w:rsidR="00661519" w:rsidP="00661519" w:rsidRDefault="00661519" w14:paraId="11E84F3C" w14:textId="77777777">
            <w:pPr>
              <w:jc w:val="both"/>
              <w:textAlignment w:val="baseline"/>
              <w:rPr>
                <w:rFonts w:eastAsia="Times New Roman"/>
                <w:color w:val="000000"/>
                <w:sz w:val="16"/>
                <w:lang w:val="en-GB"/>
              </w:rPr>
            </w:pPr>
            <w:r w:rsidRPr="009C48DA">
              <w:rPr>
                <w:rFonts w:eastAsia="Times New Roman"/>
                <w:color w:val="000000"/>
                <w:sz w:val="16"/>
                <w:lang w:val="en-GB"/>
              </w:rPr>
              <w:t>Pension contributions</w:t>
            </w:r>
          </w:p>
        </w:tc>
        <w:tc>
          <w:tcPr>
            <w:tcW w:w="1134" w:type="dxa"/>
            <w:vAlign w:val="center"/>
          </w:tcPr>
          <w:p w:rsidRPr="009C48DA" w:rsidR="00661519" w:rsidP="00661519" w:rsidRDefault="00661519" w14:paraId="1834646D" w14:textId="77777777">
            <w:pPr>
              <w:jc w:val="right"/>
              <w:textAlignment w:val="baseline"/>
              <w:rPr>
                <w:rFonts w:eastAsia="Times New Roman"/>
                <w:color w:val="000000"/>
                <w:sz w:val="16"/>
                <w:lang w:val="en-GB"/>
              </w:rPr>
            </w:pPr>
            <w:r w:rsidRPr="009C48DA">
              <w:rPr>
                <w:rFonts w:eastAsia="Times New Roman"/>
                <w:color w:val="000000"/>
                <w:sz w:val="16"/>
                <w:lang w:val="en-GB"/>
              </w:rPr>
              <w:t>17</w:t>
            </w:r>
          </w:p>
        </w:tc>
        <w:tc>
          <w:tcPr>
            <w:tcW w:w="993" w:type="dxa"/>
            <w:vAlign w:val="center"/>
          </w:tcPr>
          <w:p w:rsidRPr="009C48DA" w:rsidR="00661519" w:rsidP="00661519" w:rsidRDefault="00661519" w14:paraId="2CFD62D8" w14:textId="77777777">
            <w:pPr>
              <w:jc w:val="right"/>
              <w:textAlignment w:val="baseline"/>
              <w:rPr>
                <w:rFonts w:eastAsia="Times New Roman"/>
                <w:color w:val="000000"/>
                <w:sz w:val="16"/>
                <w:lang w:val="en-GB"/>
              </w:rPr>
            </w:pPr>
            <w:r w:rsidRPr="009C48DA">
              <w:rPr>
                <w:rFonts w:eastAsia="Times New Roman"/>
                <w:color w:val="000000"/>
                <w:sz w:val="16"/>
                <w:lang w:val="en-GB"/>
              </w:rPr>
              <w:t>32</w:t>
            </w:r>
          </w:p>
        </w:tc>
        <w:tc>
          <w:tcPr>
            <w:tcW w:w="877" w:type="dxa"/>
            <w:vAlign w:val="center"/>
          </w:tcPr>
          <w:p w:rsidRPr="009C48DA" w:rsidR="00661519" w:rsidP="00661519" w:rsidRDefault="00661519" w14:paraId="0FC5C99F" w14:textId="77777777">
            <w:pPr>
              <w:jc w:val="right"/>
              <w:textAlignment w:val="baseline"/>
              <w:rPr>
                <w:rFonts w:eastAsia="Times New Roman"/>
                <w:color w:val="000000"/>
                <w:sz w:val="16"/>
                <w:lang w:val="en-GB"/>
              </w:rPr>
            </w:pPr>
            <w:r w:rsidRPr="009C48DA">
              <w:rPr>
                <w:rFonts w:eastAsia="Times New Roman"/>
                <w:color w:val="000000"/>
                <w:sz w:val="16"/>
                <w:lang w:val="en-GB"/>
              </w:rPr>
              <w:t>20</w:t>
            </w:r>
          </w:p>
        </w:tc>
        <w:tc>
          <w:tcPr>
            <w:tcW w:w="937" w:type="dxa"/>
            <w:vAlign w:val="center"/>
          </w:tcPr>
          <w:p w:rsidRPr="009C48DA" w:rsidR="00661519" w:rsidP="00661519" w:rsidRDefault="00661519" w14:paraId="31D48160" w14:textId="77777777">
            <w:pPr>
              <w:jc w:val="right"/>
              <w:textAlignment w:val="baseline"/>
              <w:rPr>
                <w:rFonts w:eastAsia="Times New Roman"/>
                <w:color w:val="000000"/>
                <w:sz w:val="16"/>
                <w:lang w:val="en-GB"/>
              </w:rPr>
            </w:pPr>
            <w:r w:rsidRPr="009C48DA">
              <w:rPr>
                <w:rFonts w:eastAsia="Times New Roman"/>
                <w:color w:val="000000"/>
                <w:sz w:val="16"/>
                <w:lang w:val="en-GB"/>
              </w:rPr>
              <w:t>5</w:t>
            </w:r>
          </w:p>
        </w:tc>
        <w:tc>
          <w:tcPr>
            <w:tcW w:w="1446" w:type="dxa"/>
            <w:vAlign w:val="center"/>
          </w:tcPr>
          <w:p w:rsidRPr="009C48DA" w:rsidR="00661519" w:rsidP="00661519" w:rsidRDefault="00661519" w14:paraId="40740496" w14:textId="77777777">
            <w:pPr>
              <w:jc w:val="right"/>
              <w:textAlignment w:val="baseline"/>
              <w:rPr>
                <w:rFonts w:eastAsia="Times New Roman"/>
                <w:color w:val="000000"/>
                <w:sz w:val="16"/>
                <w:lang w:val="en-GB"/>
              </w:rPr>
            </w:pPr>
            <w:r w:rsidRPr="009C48DA">
              <w:rPr>
                <w:rFonts w:eastAsia="Times New Roman"/>
                <w:color w:val="000000"/>
                <w:sz w:val="16"/>
                <w:lang w:val="en-GB"/>
              </w:rPr>
              <w:t>5</w:t>
            </w:r>
          </w:p>
        </w:tc>
      </w:tr>
      <w:tr w:rsidRPr="009C48DA" w:rsidR="00661519" w:rsidTr="00661519" w14:paraId="409EF435" w14:textId="77777777">
        <w:tc>
          <w:tcPr>
            <w:tcW w:w="3969" w:type="dxa"/>
            <w:vAlign w:val="bottom"/>
          </w:tcPr>
          <w:p w:rsidRPr="009C48DA" w:rsidR="00661519" w:rsidP="00661519" w:rsidRDefault="00661519" w14:paraId="70F13363" w14:textId="77777777">
            <w:pPr>
              <w:textAlignment w:val="baseline"/>
              <w:rPr>
                <w:rFonts w:eastAsia="Times New Roman"/>
                <w:color w:val="000000"/>
                <w:sz w:val="16"/>
                <w:lang w:val="en-GB"/>
              </w:rPr>
            </w:pPr>
            <w:r w:rsidRPr="009C48DA">
              <w:rPr>
                <w:rFonts w:eastAsia="Times New Roman"/>
                <w:color w:val="000000"/>
                <w:sz w:val="16"/>
                <w:lang w:val="en-GB"/>
              </w:rPr>
              <w:t xml:space="preserve">Total emoluments of highest paid director </w:t>
            </w:r>
            <w:r w:rsidRPr="009C48DA">
              <w:rPr>
                <w:rFonts w:eastAsia="Times New Roman"/>
                <w:color w:val="000000"/>
                <w:sz w:val="16"/>
                <w:lang w:val="en-GB"/>
              </w:rPr>
              <w:br/>
              <w:t>(including pension contributions)</w:t>
            </w:r>
          </w:p>
        </w:tc>
        <w:tc>
          <w:tcPr>
            <w:tcW w:w="1134" w:type="dxa"/>
            <w:vAlign w:val="bottom"/>
          </w:tcPr>
          <w:p w:rsidRPr="009C48DA" w:rsidR="00661519" w:rsidP="00661519" w:rsidRDefault="00661519" w14:paraId="704D5AFE" w14:textId="77777777">
            <w:pPr>
              <w:jc w:val="right"/>
              <w:textAlignment w:val="baseline"/>
              <w:rPr>
                <w:rFonts w:eastAsia="Times New Roman"/>
                <w:color w:val="000000"/>
                <w:sz w:val="16"/>
                <w:lang w:val="en-GB"/>
              </w:rPr>
            </w:pPr>
            <w:r w:rsidRPr="009C48DA">
              <w:rPr>
                <w:rFonts w:eastAsia="Times New Roman"/>
                <w:color w:val="000000"/>
                <w:sz w:val="16"/>
                <w:lang w:val="en-GB"/>
              </w:rPr>
              <w:t>394</w:t>
            </w:r>
          </w:p>
        </w:tc>
        <w:tc>
          <w:tcPr>
            <w:tcW w:w="993" w:type="dxa"/>
            <w:vAlign w:val="bottom"/>
          </w:tcPr>
          <w:p w:rsidRPr="009C48DA" w:rsidR="00661519" w:rsidP="00661519" w:rsidRDefault="00661519" w14:paraId="62A8B031" w14:textId="77777777">
            <w:pPr>
              <w:jc w:val="right"/>
              <w:textAlignment w:val="baseline"/>
              <w:rPr>
                <w:rFonts w:eastAsia="Times New Roman"/>
                <w:color w:val="000000"/>
                <w:sz w:val="16"/>
                <w:lang w:val="en-GB"/>
              </w:rPr>
            </w:pPr>
            <w:r w:rsidRPr="009C48DA">
              <w:rPr>
                <w:rFonts w:eastAsia="Times New Roman"/>
                <w:color w:val="000000"/>
                <w:sz w:val="16"/>
                <w:lang w:val="en-GB"/>
              </w:rPr>
              <w:t>1,080</w:t>
            </w:r>
          </w:p>
        </w:tc>
        <w:tc>
          <w:tcPr>
            <w:tcW w:w="877" w:type="dxa"/>
            <w:vAlign w:val="bottom"/>
          </w:tcPr>
          <w:p w:rsidRPr="009C48DA" w:rsidR="00661519" w:rsidP="00661519" w:rsidRDefault="00661519" w14:paraId="7C7C339F" w14:textId="77777777">
            <w:pPr>
              <w:jc w:val="right"/>
              <w:textAlignment w:val="baseline"/>
              <w:rPr>
                <w:rFonts w:eastAsia="Times New Roman"/>
                <w:color w:val="000000"/>
                <w:sz w:val="16"/>
                <w:lang w:val="en-GB"/>
              </w:rPr>
            </w:pPr>
            <w:r w:rsidRPr="009C48DA">
              <w:rPr>
                <w:rFonts w:eastAsia="Times New Roman"/>
                <w:color w:val="000000"/>
                <w:sz w:val="16"/>
                <w:lang w:val="en-GB"/>
              </w:rPr>
              <w:t>1,315</w:t>
            </w:r>
          </w:p>
        </w:tc>
        <w:tc>
          <w:tcPr>
            <w:tcW w:w="937" w:type="dxa"/>
            <w:vAlign w:val="bottom"/>
          </w:tcPr>
          <w:p w:rsidRPr="009C48DA" w:rsidR="00661519" w:rsidP="00661519" w:rsidRDefault="00661519" w14:paraId="43D54336" w14:textId="77777777">
            <w:pPr>
              <w:jc w:val="right"/>
              <w:textAlignment w:val="baseline"/>
              <w:rPr>
                <w:rFonts w:eastAsia="Times New Roman"/>
                <w:color w:val="000000"/>
                <w:sz w:val="16"/>
                <w:lang w:val="en-GB"/>
              </w:rPr>
            </w:pPr>
            <w:r w:rsidRPr="009C48DA">
              <w:rPr>
                <w:rFonts w:eastAsia="Times New Roman"/>
                <w:color w:val="000000"/>
                <w:sz w:val="16"/>
                <w:lang w:val="en-GB"/>
              </w:rPr>
              <w:t>177</w:t>
            </w:r>
          </w:p>
        </w:tc>
        <w:tc>
          <w:tcPr>
            <w:tcW w:w="1446" w:type="dxa"/>
            <w:vAlign w:val="bottom"/>
          </w:tcPr>
          <w:p w:rsidRPr="009C48DA" w:rsidR="00661519" w:rsidP="00661519" w:rsidRDefault="00661519" w14:paraId="6780508C" w14:textId="77777777">
            <w:pPr>
              <w:jc w:val="right"/>
              <w:textAlignment w:val="baseline"/>
              <w:rPr>
                <w:rFonts w:eastAsia="Times New Roman"/>
                <w:color w:val="000000"/>
                <w:sz w:val="16"/>
                <w:lang w:val="en-GB"/>
              </w:rPr>
            </w:pPr>
            <w:r w:rsidRPr="009C48DA">
              <w:rPr>
                <w:rFonts w:eastAsia="Times New Roman"/>
                <w:color w:val="000000"/>
                <w:sz w:val="16"/>
                <w:lang w:val="en-GB"/>
              </w:rPr>
              <w:t>177</w:t>
            </w:r>
          </w:p>
        </w:tc>
      </w:tr>
    </w:tbl>
    <w:p w:rsidRPr="009C48DA" w:rsidR="00661519" w:rsidP="00661519" w:rsidRDefault="00661519" w14:paraId="2D0B7DEE" w14:textId="77777777">
      <w:pPr>
        <w:rPr>
          <w:rFonts w:eastAsia="Times New Roman"/>
          <w:color w:val="000000"/>
          <w:sz w:val="16"/>
          <w:lang w:val="en-GB"/>
        </w:rPr>
      </w:pPr>
    </w:p>
    <w:p w:rsidRPr="009C48DA" w:rsidR="00661519" w:rsidP="00661519" w:rsidRDefault="00661519" w14:paraId="2CEAE3C9" w14:textId="77777777">
      <w:pPr>
        <w:rPr>
          <w:rFonts w:eastAsia="Times New Roman"/>
          <w:color w:val="000000"/>
          <w:sz w:val="16"/>
          <w:lang w:val="en-GB"/>
        </w:rPr>
      </w:pPr>
    </w:p>
    <w:p w:rsidRPr="009C48DA" w:rsidR="00661519" w:rsidP="00661519" w:rsidRDefault="00661519" w14:paraId="4A316512" w14:textId="77777777">
      <w:pPr>
        <w:jc w:val="both"/>
        <w:rPr>
          <w:rFonts w:eastAsia="Times New Roman"/>
          <w:color w:val="000000"/>
          <w:sz w:val="16"/>
          <w:lang w:val="en-GB"/>
        </w:rPr>
      </w:pPr>
      <w:r w:rsidRPr="009C48DA">
        <w:rPr>
          <w:rFonts w:eastAsia="Times New Roman"/>
          <w:color w:val="000000"/>
          <w:sz w:val="16"/>
          <w:lang w:val="en-GB"/>
        </w:rPr>
        <w:t xml:space="preserve">Fund investors expect certain members of the Group’s senior executive management to invest in carried interest and co-investment in the </w:t>
      </w:r>
      <w:r w:rsidRPr="009C48DA">
        <w:rPr>
          <w:rFonts w:eastAsia="Times New Roman"/>
          <w:color w:val="000000"/>
          <w:sz w:val="16"/>
          <w:lang w:val="en-GB"/>
        </w:rPr>
        <w:br/>
        <w:t xml:space="preserve">Group’s third-party funds to demonstrate alignment of interest, and as such the directors of the Company have made significant personal commitments from their own resources to some of these third-party funds. The funds and CIPs (which are entitled to the carry) are not </w:t>
      </w:r>
      <w:r w:rsidRPr="009C48DA">
        <w:rPr>
          <w:rFonts w:eastAsia="Times New Roman"/>
          <w:color w:val="000000"/>
          <w:sz w:val="16"/>
          <w:lang w:val="en-GB"/>
        </w:rPr>
        <w:br/>
        <w:t xml:space="preserve">consolidated by the Group. The returns (in the form of investment income and capital appreciation) are fully dependent on the performance </w:t>
      </w:r>
      <w:r w:rsidRPr="009C48DA">
        <w:rPr>
          <w:rFonts w:eastAsia="Times New Roman"/>
          <w:color w:val="000000"/>
          <w:sz w:val="16"/>
          <w:lang w:val="en-GB"/>
        </w:rPr>
        <w:br/>
        <w:t>of the relevant fund and its underlying investments.</w:t>
      </w:r>
    </w:p>
    <w:p w:rsidRPr="009C48DA" w:rsidR="00661519" w:rsidP="00661519" w:rsidRDefault="00661519" w14:paraId="63FF2F37" w14:textId="77777777">
      <w:pPr>
        <w:rPr>
          <w:rFonts w:eastAsia="Times New Roman"/>
          <w:color w:val="000000"/>
          <w:sz w:val="16"/>
          <w:lang w:val="en-GB"/>
        </w:rPr>
      </w:pPr>
      <w:r w:rsidRPr="009C48DA">
        <w:rPr>
          <w:rFonts w:eastAsia="Times New Roman"/>
          <w:color w:val="000000"/>
          <w:sz w:val="16"/>
          <w:lang w:val="en-GB"/>
        </w:rPr>
        <w:br/>
        <w:t>The directors of the Company have committed amounts from their personal resources totalling £18.9m at 31 December 2020 across multiple funds (2019: £18.2m, 2018: £7.8m).</w:t>
      </w:r>
    </w:p>
    <w:p w:rsidRPr="009C48DA" w:rsidR="00661519" w:rsidP="00661519" w:rsidRDefault="00661519" w14:paraId="4FC33C5A" w14:textId="77777777">
      <w:pPr>
        <w:rPr>
          <w:rFonts w:eastAsia="Times New Roman"/>
          <w:color w:val="000000"/>
          <w:sz w:val="16"/>
          <w:lang w:val="en-GB"/>
        </w:rPr>
      </w:pPr>
      <w:r w:rsidRPr="009C48DA">
        <w:rPr>
          <w:rFonts w:eastAsia="Times New Roman"/>
          <w:color w:val="000000"/>
          <w:sz w:val="16"/>
          <w:lang w:val="en-GB"/>
        </w:rPr>
        <w:br w:type="page"/>
      </w:r>
    </w:p>
    <w:p w:rsidRPr="009C48DA" w:rsidR="00661519" w:rsidP="00661519" w:rsidRDefault="00661519" w14:paraId="0FEF2DB4" w14:textId="77777777">
      <w:pPr>
        <w:rPr>
          <w:rFonts w:eastAsia="Times New Roman" w:cs="Times New Roman"/>
          <w:b/>
          <w:color w:val="000000"/>
          <w:sz w:val="16"/>
          <w:szCs w:val="22"/>
          <w:lang w:val="en-GB"/>
        </w:rPr>
      </w:pPr>
      <w:r w:rsidRPr="009C48DA">
        <w:rPr>
          <w:rFonts w:eastAsia="Times New Roman" w:cs="Times New Roman"/>
          <w:b/>
          <w:color w:val="000000"/>
          <w:sz w:val="16"/>
          <w:szCs w:val="22"/>
          <w:lang w:val="en-GB"/>
        </w:rPr>
        <w:lastRenderedPageBreak/>
        <w:t>(c)</w:t>
      </w:r>
      <w:r w:rsidRPr="009C48DA">
        <w:rPr>
          <w:rFonts w:eastAsia="Times New Roman" w:cs="Times New Roman"/>
          <w:b/>
          <w:color w:val="000000"/>
          <w:sz w:val="16"/>
          <w:szCs w:val="22"/>
          <w:lang w:val="en-GB"/>
        </w:rPr>
        <w:tab/>
        <w:t>Transactions with directors</w:t>
      </w:r>
    </w:p>
    <w:p w:rsidRPr="009C48DA" w:rsidR="00661519" w:rsidP="00661519" w:rsidRDefault="00661519" w14:paraId="65B9002B" w14:textId="77777777">
      <w:pPr>
        <w:jc w:val="both"/>
        <w:rPr>
          <w:rFonts w:eastAsia="Times New Roman" w:cs="Times New Roman"/>
          <w:b/>
          <w:color w:val="000000"/>
          <w:sz w:val="16"/>
          <w:szCs w:val="22"/>
          <w:lang w:val="en-GB"/>
        </w:rPr>
      </w:pPr>
    </w:p>
    <w:p w:rsidRPr="009C48DA" w:rsidR="00661519" w:rsidP="00661519" w:rsidRDefault="00661519" w14:paraId="05487127" w14:textId="77777777">
      <w:pPr>
        <w:jc w:val="both"/>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J R Hughes, a director of the Company, received a loan from a subsidiary company that totalled £0.6m at 31 December 2019 (2018: £0.4m). </w:t>
      </w:r>
      <w:r w:rsidRPr="009C48DA">
        <w:rPr>
          <w:rFonts w:eastAsia="Times New Roman" w:cs="Times New Roman"/>
          <w:color w:val="000000"/>
          <w:sz w:val="16"/>
          <w:szCs w:val="22"/>
          <w:lang w:val="en-GB"/>
        </w:rPr>
        <w:br/>
        <w:t xml:space="preserve">The loan was made on arms’ length terms. It was repaid in April 2020. </w:t>
      </w:r>
    </w:p>
    <w:p w:rsidRPr="009C48DA" w:rsidR="00661519" w:rsidP="00661519" w:rsidRDefault="00661519" w14:paraId="47299E7D" w14:textId="77777777">
      <w:pPr>
        <w:jc w:val="both"/>
        <w:rPr>
          <w:rFonts w:eastAsia="Times New Roman" w:cs="Times New Roman"/>
          <w:color w:val="000000"/>
          <w:sz w:val="16"/>
          <w:szCs w:val="22"/>
          <w:lang w:val="en-GB"/>
        </w:rPr>
      </w:pPr>
    </w:p>
    <w:p w:rsidRPr="009C48DA" w:rsidR="00661519" w:rsidP="00661519" w:rsidRDefault="00661519" w14:paraId="22B1F987" w14:textId="77777777">
      <w:pPr>
        <w:jc w:val="both"/>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In addition, A M Jones, a director of the Company, subscribed to 60,000 A2 shares issued by the Company in January 2019 for </w:t>
      </w:r>
      <w:r w:rsidRPr="009C48DA">
        <w:rPr>
          <w:rFonts w:eastAsia="Times New Roman" w:cs="Times New Roman"/>
          <w:color w:val="000000"/>
          <w:sz w:val="16"/>
          <w:szCs w:val="22"/>
          <w:lang w:val="en-GB"/>
        </w:rPr>
        <w:br/>
        <w:t xml:space="preserve">consideration of £1 per share. </w:t>
      </w:r>
    </w:p>
    <w:p w:rsidRPr="009C48DA" w:rsidR="00661519" w:rsidP="00661519" w:rsidRDefault="00661519" w14:paraId="20BE7AE6" w14:textId="77777777">
      <w:pPr>
        <w:rPr>
          <w:rFonts w:eastAsia="Times New Roman" w:cs="Times New Roman"/>
          <w:color w:val="000000"/>
          <w:sz w:val="16"/>
          <w:szCs w:val="22"/>
          <w:lang w:val="en-GB"/>
        </w:rPr>
      </w:pPr>
    </w:p>
    <w:p w:rsidRPr="009C48DA" w:rsidR="00661519" w:rsidP="00661519" w:rsidRDefault="00661519" w14:paraId="467D8EA3" w14:textId="77777777">
      <w:pPr>
        <w:rPr>
          <w:rFonts w:eastAsia="Times New Roman" w:cs="Times New Roman"/>
          <w:color w:val="000000"/>
          <w:sz w:val="16"/>
          <w:szCs w:val="22"/>
          <w:lang w:val="en-GB"/>
        </w:rPr>
      </w:pPr>
    </w:p>
    <w:p w:rsidRPr="009C48DA" w:rsidR="00661519" w:rsidP="00661519" w:rsidRDefault="00661519" w14:paraId="59D5EF2F" w14:textId="77777777">
      <w:pPr>
        <w:rPr>
          <w:rFonts w:eastAsia="Times New Roman" w:cs="Times New Roman"/>
          <w:b/>
          <w:color w:val="000000"/>
          <w:sz w:val="16"/>
          <w:szCs w:val="22"/>
          <w:lang w:val="en-GB"/>
        </w:rPr>
      </w:pPr>
      <w:r w:rsidRPr="009C48DA">
        <w:rPr>
          <w:rFonts w:eastAsia="Times New Roman" w:cs="Times New Roman"/>
          <w:b/>
          <w:color w:val="000000"/>
          <w:sz w:val="16"/>
          <w:szCs w:val="22"/>
          <w:lang w:val="en-GB"/>
        </w:rPr>
        <w:t>(d)</w:t>
      </w:r>
      <w:r w:rsidRPr="009C48DA">
        <w:rPr>
          <w:rFonts w:eastAsia="Times New Roman" w:cs="Times New Roman"/>
          <w:b/>
          <w:color w:val="000000"/>
          <w:sz w:val="16"/>
          <w:szCs w:val="22"/>
          <w:lang w:val="en-GB"/>
        </w:rPr>
        <w:tab/>
        <w:t>Carried interest</w:t>
      </w:r>
    </w:p>
    <w:p w:rsidRPr="009C48DA" w:rsidR="00661519" w:rsidP="00661519" w:rsidRDefault="00661519" w14:paraId="7F45D475" w14:textId="77777777">
      <w:pPr>
        <w:rPr>
          <w:rFonts w:eastAsia="Times New Roman" w:cs="Times New Roman"/>
          <w:color w:val="000000"/>
          <w:sz w:val="16"/>
          <w:szCs w:val="22"/>
          <w:lang w:val="en-GB"/>
        </w:rPr>
      </w:pPr>
    </w:p>
    <w:p w:rsidRPr="009C48DA" w:rsidR="00661519" w:rsidP="00661519" w:rsidRDefault="00661519" w14:paraId="34F48C68" w14:textId="77777777">
      <w:pPr>
        <w:rPr>
          <w:rFonts w:eastAsia="Times New Roman" w:cs="Times New Roman"/>
          <w:color w:val="000000"/>
          <w:sz w:val="16"/>
          <w:szCs w:val="22"/>
          <w:lang w:val="en-GB"/>
        </w:rPr>
      </w:pPr>
    </w:p>
    <w:p w:rsidRPr="009C48DA" w:rsidR="00661519" w:rsidP="00661519" w:rsidRDefault="00661519" w14:paraId="24BB4E05"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Amounts become payable to carried interest investors over time if, and when, specified performance targets are ultimately realised in cash by the funds and paid to the CIPs. The amounts paid by the CIPs to other participants (including employees and former employees) who had invested in the carried interest, aside from the Group, was £41m, £494m and £56m in each of the year ended 31 December 2020, 2019 and 2018. These amounts have not been included in the historical financial information as the CIPs have not been consolidated.</w:t>
      </w:r>
    </w:p>
    <w:p w:rsidRPr="009C48DA" w:rsidR="00661519" w:rsidP="00661519" w:rsidRDefault="00661519" w14:paraId="40ACE04C" w14:textId="77777777">
      <w:pPr>
        <w:textAlignment w:val="baseline"/>
        <w:rPr>
          <w:rFonts w:eastAsia="Times New Roman" w:cs="Times New Roman"/>
          <w:b/>
          <w:color w:val="000000"/>
          <w:sz w:val="16"/>
          <w:szCs w:val="22"/>
          <w:lang w:val="en-GB"/>
        </w:rPr>
      </w:pPr>
    </w:p>
    <w:p w:rsidRPr="009C48DA" w:rsidR="00661519" w:rsidP="00661519" w:rsidRDefault="00661519" w14:paraId="43258C37"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(e)</w:t>
      </w:r>
      <w:r w:rsidRPr="009C48DA">
        <w:rPr>
          <w:rFonts w:eastAsia="Times New Roman" w:cs="Times New Roman"/>
          <w:b/>
          <w:color w:val="000000"/>
          <w:sz w:val="16"/>
          <w:szCs w:val="22"/>
          <w:lang w:val="en-GB"/>
        </w:rPr>
        <w:tab/>
        <w:t>Transactions with funds</w:t>
      </w:r>
    </w:p>
    <w:p w:rsidRPr="009C48DA" w:rsidR="00661519" w:rsidP="00661519" w:rsidRDefault="00661519" w14:paraId="1280F432" w14:textId="77777777">
      <w:pPr>
        <w:textAlignment w:val="baseline"/>
        <w:rPr>
          <w:rFonts w:eastAsia="Times New Roman" w:cs="Times New Roman"/>
          <w:b/>
          <w:color w:val="000000"/>
          <w:sz w:val="16"/>
          <w:szCs w:val="22"/>
          <w:lang w:val="en-GB"/>
        </w:rPr>
      </w:pPr>
    </w:p>
    <w:p w:rsidRPr="009C48DA" w:rsidR="00661519" w:rsidP="00661519" w:rsidRDefault="00661519" w14:paraId="7824F050" w14:textId="77777777">
      <w:pPr>
        <w:textAlignment w:val="baseline"/>
        <w:rPr>
          <w:rFonts w:eastAsia="Times New Roman" w:cs="Times New Roman"/>
          <w:b/>
          <w:color w:val="000000"/>
          <w:sz w:val="16"/>
          <w:szCs w:val="22"/>
          <w:lang w:val="en-GB"/>
        </w:rPr>
      </w:pPr>
    </w:p>
    <w:p w:rsidRPr="009C48DA" w:rsidR="00661519" w:rsidP="00661519" w:rsidRDefault="00661519" w14:paraId="3C241836" w14:textId="77777777">
      <w:pPr>
        <w:ind w:right="-12"/>
        <w:jc w:val="both"/>
        <w:textAlignment w:val="baseline"/>
        <w:rPr>
          <w:rFonts w:eastAsia="Times New Roman"/>
          <w:color w:val="000000"/>
          <w:sz w:val="16"/>
          <w:lang w:val="en-GB"/>
        </w:rPr>
      </w:pPr>
      <w:r w:rsidRPr="009C48DA">
        <w:rPr>
          <w:rFonts w:eastAsia="Times New Roman"/>
          <w:color w:val="000000"/>
          <w:sz w:val="16"/>
          <w:lang w:val="en-GB"/>
        </w:rPr>
        <w:t xml:space="preserve">The Bridgepoint funds are related parties of the Group. Amounts received as fees from the funds during the period are shown in the table </w:t>
      </w:r>
      <w:r w:rsidRPr="009C48DA">
        <w:rPr>
          <w:rFonts w:eastAsia="Times New Roman"/>
          <w:color w:val="000000"/>
          <w:sz w:val="16"/>
          <w:lang w:val="en-GB"/>
        </w:rPr>
        <w:br/>
        <w:t>below, along with the amounts receivable at period end are shown in the table below, along with the amounts receivable at the period end.</w:t>
      </w:r>
    </w:p>
    <w:p w:rsidRPr="009C48DA" w:rsidR="00661519" w:rsidP="00661519" w:rsidRDefault="00661519" w14:paraId="4FC19FDD" w14:textId="77777777">
      <w:pPr>
        <w:textAlignment w:val="baseline"/>
        <w:rPr>
          <w:rFonts w:eastAsia="Times New Roman" w:cs="Times New Roman"/>
          <w:b/>
          <w:color w:val="000000"/>
          <w:sz w:val="16"/>
          <w:szCs w:val="22"/>
          <w:lang w:val="en-GB"/>
        </w:rPr>
      </w:pPr>
    </w:p>
    <w:tbl>
      <w:tblPr>
        <w:tblStyle w:val="TableGrid30"/>
        <w:tblW w:w="93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68"/>
        <w:gridCol w:w="1093"/>
        <w:gridCol w:w="1093"/>
        <w:gridCol w:w="1095"/>
        <w:gridCol w:w="1093"/>
        <w:gridCol w:w="1095"/>
      </w:tblGrid>
      <w:tr w:rsidRPr="009C48DA" w:rsidR="00661519" w:rsidTr="00661519" w14:paraId="1B7C654D" w14:textId="77777777">
        <w:trPr>
          <w:trHeight w:val="417"/>
        </w:trPr>
        <w:tc>
          <w:tcPr>
            <w:tcW w:w="3868" w:type="dxa"/>
            <w:vAlign w:val="bottom"/>
          </w:tcPr>
          <w:p w:rsidRPr="009C48DA" w:rsidR="00661519" w:rsidP="00661519" w:rsidRDefault="00661519" w14:paraId="521ECFBB" w14:textId="77777777">
            <w:pPr>
              <w:jc w:val="both"/>
              <w:textAlignment w:val="baseline"/>
              <w:rPr>
                <w:rFonts w:eastAsia="Times New Roman"/>
                <w:color w:val="000000"/>
                <w:sz w:val="16"/>
                <w:lang w:val="en-GB"/>
              </w:rPr>
            </w:pPr>
          </w:p>
        </w:tc>
        <w:tc>
          <w:tcPr>
            <w:tcW w:w="3281" w:type="dxa"/>
            <w:gridSpan w:val="3"/>
            <w:vAlign w:val="bottom"/>
          </w:tcPr>
          <w:p w:rsidRPr="009C48DA" w:rsidR="00661519" w:rsidP="00661519" w:rsidRDefault="00661519" w14:paraId="031408BC"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Year ended 31 December</w:t>
            </w:r>
          </w:p>
        </w:tc>
        <w:tc>
          <w:tcPr>
            <w:tcW w:w="2188" w:type="dxa"/>
            <w:gridSpan w:val="2"/>
            <w:vAlign w:val="bottom"/>
          </w:tcPr>
          <w:p w:rsidRPr="009C48DA" w:rsidR="00661519" w:rsidP="00661519" w:rsidRDefault="00661519" w14:paraId="329FD8EF" w14:textId="77777777">
            <w:pPr>
              <w:pBdr>
                <w:bottom w:val="single" w:color="auto" w:sz="18" w:space="1"/>
              </w:pBdr>
              <w:jc w:val="center"/>
              <w:textAlignment w:val="baseline"/>
              <w:rPr>
                <w:rFonts w:eastAsia="Times New Roman"/>
                <w:b/>
                <w:color w:val="000000"/>
                <w:sz w:val="16"/>
                <w:lang w:val="en-GB"/>
              </w:rPr>
            </w:pPr>
            <w:r w:rsidRPr="009C48DA">
              <w:rPr>
                <w:rFonts w:eastAsia="Times New Roman"/>
                <w:b/>
                <w:color w:val="000000"/>
                <w:sz w:val="16"/>
                <w:lang w:val="en-GB"/>
              </w:rPr>
              <w:t>Three month period ended</w:t>
            </w:r>
          </w:p>
          <w:p w:rsidRPr="009C48DA" w:rsidR="00661519" w:rsidP="00661519" w:rsidRDefault="00661519" w14:paraId="39520AFD" w14:textId="77777777">
            <w:pPr>
              <w:pBdr>
                <w:bottom w:val="single" w:color="auto" w:sz="18" w:space="1"/>
              </w:pBdr>
              <w:jc w:val="center"/>
              <w:textAlignment w:val="baseline"/>
              <w:rPr>
                <w:rFonts w:eastAsia="Times New Roman"/>
                <w:color w:val="000000"/>
                <w:sz w:val="16"/>
                <w:lang w:val="en-GB"/>
              </w:rPr>
            </w:pPr>
            <w:r w:rsidRPr="009C48DA">
              <w:rPr>
                <w:rFonts w:eastAsia="Times New Roman"/>
                <w:b/>
                <w:color w:val="000000"/>
                <w:sz w:val="16"/>
                <w:lang w:val="en-GB"/>
              </w:rPr>
              <w:t>31 March</w:t>
            </w:r>
          </w:p>
        </w:tc>
      </w:tr>
      <w:tr w:rsidRPr="009C48DA" w:rsidR="00661519" w:rsidTr="00661519" w14:paraId="5C2CB89E" w14:textId="77777777">
        <w:trPr>
          <w:trHeight w:val="202"/>
        </w:trPr>
        <w:tc>
          <w:tcPr>
            <w:tcW w:w="3868" w:type="dxa"/>
            <w:vAlign w:val="bottom"/>
          </w:tcPr>
          <w:p w:rsidRPr="009C48DA" w:rsidR="00661519" w:rsidP="00661519" w:rsidRDefault="00661519" w14:paraId="0E470933" w14:textId="77777777">
            <w:pPr>
              <w:jc w:val="both"/>
              <w:textAlignment w:val="baseline"/>
              <w:rPr>
                <w:rFonts w:eastAsia="Times New Roman"/>
                <w:color w:val="000000"/>
                <w:sz w:val="16"/>
                <w:lang w:val="en-GB"/>
              </w:rPr>
            </w:pPr>
          </w:p>
        </w:tc>
        <w:tc>
          <w:tcPr>
            <w:tcW w:w="1093" w:type="dxa"/>
            <w:vAlign w:val="bottom"/>
          </w:tcPr>
          <w:p w:rsidRPr="009C48DA" w:rsidR="00661519" w:rsidP="00661519" w:rsidRDefault="00661519" w14:paraId="5638B547" w14:textId="77777777">
            <w:pPr>
              <w:jc w:val="right"/>
              <w:textAlignment w:val="baseline"/>
              <w:rPr>
                <w:rFonts w:eastAsia="Times New Roman"/>
                <w:b/>
                <w:color w:val="000000"/>
                <w:sz w:val="16"/>
                <w:lang w:val="en-GB"/>
              </w:rPr>
            </w:pPr>
          </w:p>
        </w:tc>
        <w:tc>
          <w:tcPr>
            <w:tcW w:w="1093" w:type="dxa"/>
            <w:vAlign w:val="bottom"/>
          </w:tcPr>
          <w:p w:rsidRPr="009C48DA" w:rsidR="00661519" w:rsidP="00661519" w:rsidRDefault="00661519" w14:paraId="588F5722" w14:textId="77777777">
            <w:pPr>
              <w:jc w:val="right"/>
              <w:textAlignment w:val="baseline"/>
              <w:rPr>
                <w:rFonts w:eastAsia="Times New Roman"/>
                <w:b/>
                <w:color w:val="000000"/>
                <w:sz w:val="16"/>
                <w:lang w:val="en-GB"/>
              </w:rPr>
            </w:pPr>
          </w:p>
        </w:tc>
        <w:tc>
          <w:tcPr>
            <w:tcW w:w="1095" w:type="dxa"/>
            <w:vAlign w:val="bottom"/>
          </w:tcPr>
          <w:p w:rsidRPr="009C48DA" w:rsidR="00661519" w:rsidP="00661519" w:rsidRDefault="00661519" w14:paraId="0E0E943D" w14:textId="77777777">
            <w:pPr>
              <w:jc w:val="right"/>
              <w:textAlignment w:val="baseline"/>
              <w:rPr>
                <w:rFonts w:eastAsia="Times New Roman"/>
                <w:b/>
                <w:color w:val="000000"/>
                <w:sz w:val="16"/>
                <w:lang w:val="en-GB"/>
              </w:rPr>
            </w:pPr>
          </w:p>
        </w:tc>
        <w:tc>
          <w:tcPr>
            <w:tcW w:w="1093" w:type="dxa"/>
            <w:vAlign w:val="bottom"/>
          </w:tcPr>
          <w:p w:rsidRPr="009C48DA" w:rsidR="00661519" w:rsidP="00661519" w:rsidRDefault="00661519" w14:paraId="60599650" w14:textId="77777777">
            <w:pPr>
              <w:jc w:val="right"/>
              <w:textAlignment w:val="baseline"/>
              <w:rPr>
                <w:rFonts w:eastAsia="Times New Roman"/>
                <w:b/>
                <w:color w:val="000000"/>
                <w:sz w:val="16"/>
                <w:lang w:val="en-GB"/>
              </w:rPr>
            </w:pPr>
            <w:r w:rsidRPr="009C48DA">
              <w:rPr>
                <w:rFonts w:eastAsia="Times New Roman"/>
                <w:b/>
                <w:color w:val="000000"/>
                <w:sz w:val="16"/>
                <w:lang w:val="en-GB"/>
              </w:rPr>
              <w:t>Unaudited</w:t>
            </w:r>
          </w:p>
        </w:tc>
        <w:tc>
          <w:tcPr>
            <w:tcW w:w="1095" w:type="dxa"/>
            <w:vAlign w:val="bottom"/>
          </w:tcPr>
          <w:p w:rsidRPr="009C48DA" w:rsidR="00661519" w:rsidP="00661519" w:rsidRDefault="00661519" w14:paraId="67E87711" w14:textId="77777777">
            <w:pPr>
              <w:jc w:val="right"/>
              <w:textAlignment w:val="baseline"/>
              <w:rPr>
                <w:rFonts w:eastAsia="Times New Roman"/>
                <w:b/>
                <w:color w:val="000000"/>
                <w:sz w:val="16"/>
                <w:lang w:val="en-GB"/>
              </w:rPr>
            </w:pPr>
          </w:p>
        </w:tc>
      </w:tr>
      <w:tr w:rsidRPr="009C48DA" w:rsidR="00661519" w:rsidTr="00661519" w14:paraId="66E16AAC" w14:textId="77777777">
        <w:trPr>
          <w:trHeight w:val="417"/>
        </w:trPr>
        <w:tc>
          <w:tcPr>
            <w:tcW w:w="3868" w:type="dxa"/>
            <w:vAlign w:val="bottom"/>
          </w:tcPr>
          <w:p w:rsidRPr="009C48DA" w:rsidR="00661519" w:rsidP="00661519" w:rsidRDefault="00661519" w14:paraId="3AB35F63" w14:textId="77777777">
            <w:pPr>
              <w:jc w:val="both"/>
              <w:textAlignment w:val="baseline"/>
              <w:rPr>
                <w:rFonts w:eastAsia="Times New Roman"/>
                <w:color w:val="000000"/>
                <w:sz w:val="16"/>
                <w:lang w:val="en-GB"/>
              </w:rPr>
            </w:pPr>
          </w:p>
        </w:tc>
        <w:tc>
          <w:tcPr>
            <w:tcW w:w="1093" w:type="dxa"/>
            <w:vAlign w:val="bottom"/>
          </w:tcPr>
          <w:p w:rsidRPr="009C48DA" w:rsidR="00661519" w:rsidP="00661519" w:rsidRDefault="00661519" w14:paraId="0E5F3894" w14:textId="77777777">
            <w:pPr>
              <w:jc w:val="right"/>
              <w:textAlignment w:val="baseline"/>
              <w:rPr>
                <w:rFonts w:eastAsia="Times New Roman"/>
                <w:b/>
                <w:color w:val="000000"/>
                <w:sz w:val="16"/>
                <w:lang w:val="en-GB"/>
              </w:rPr>
            </w:pPr>
            <w:r w:rsidRPr="009C48DA">
              <w:rPr>
                <w:rFonts w:eastAsia="Times New Roman"/>
                <w:b/>
                <w:color w:val="000000"/>
                <w:sz w:val="16"/>
                <w:lang w:val="en-GB"/>
              </w:rPr>
              <w:t>2018</w:t>
            </w:r>
          </w:p>
          <w:p w:rsidRPr="009C48DA" w:rsidR="00661519" w:rsidP="00661519" w:rsidRDefault="00661519" w14:paraId="760A308C" w14:textId="77777777">
            <w:pPr>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093" w:type="dxa"/>
            <w:vAlign w:val="bottom"/>
          </w:tcPr>
          <w:p w:rsidRPr="009C48DA" w:rsidR="00661519" w:rsidP="00661519" w:rsidRDefault="00661519" w14:paraId="7FF56032" w14:textId="77777777">
            <w:pPr>
              <w:jc w:val="right"/>
              <w:textAlignment w:val="baseline"/>
              <w:rPr>
                <w:rFonts w:eastAsia="Times New Roman"/>
                <w:b/>
                <w:color w:val="000000"/>
                <w:sz w:val="16"/>
                <w:lang w:val="en-GB"/>
              </w:rPr>
            </w:pPr>
            <w:r w:rsidRPr="009C48DA">
              <w:rPr>
                <w:rFonts w:eastAsia="Times New Roman"/>
                <w:b/>
                <w:color w:val="000000"/>
                <w:sz w:val="16"/>
                <w:lang w:val="en-GB"/>
              </w:rPr>
              <w:t>2019</w:t>
            </w:r>
          </w:p>
          <w:p w:rsidRPr="009C48DA" w:rsidR="00661519" w:rsidP="00661519" w:rsidRDefault="00661519" w14:paraId="03784964" w14:textId="77777777">
            <w:pPr>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095" w:type="dxa"/>
            <w:vAlign w:val="bottom"/>
          </w:tcPr>
          <w:p w:rsidRPr="009C48DA" w:rsidR="00661519" w:rsidP="00661519" w:rsidRDefault="00661519" w14:paraId="38A4321B"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0E23192B" w14:textId="77777777">
            <w:pPr>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093" w:type="dxa"/>
            <w:vAlign w:val="bottom"/>
          </w:tcPr>
          <w:p w:rsidRPr="009C48DA" w:rsidR="00661519" w:rsidP="00661519" w:rsidRDefault="00661519" w14:paraId="7389348D" w14:textId="77777777">
            <w:pPr>
              <w:jc w:val="right"/>
              <w:textAlignment w:val="baseline"/>
              <w:rPr>
                <w:rFonts w:eastAsia="Times New Roman"/>
                <w:b/>
                <w:color w:val="000000"/>
                <w:sz w:val="16"/>
                <w:lang w:val="en-GB"/>
              </w:rPr>
            </w:pPr>
            <w:r w:rsidRPr="009C48DA">
              <w:rPr>
                <w:rFonts w:eastAsia="Times New Roman"/>
                <w:b/>
                <w:color w:val="000000"/>
                <w:sz w:val="16"/>
                <w:lang w:val="en-GB"/>
              </w:rPr>
              <w:t>2020</w:t>
            </w:r>
          </w:p>
          <w:p w:rsidRPr="009C48DA" w:rsidR="00661519" w:rsidP="00661519" w:rsidRDefault="00661519" w14:paraId="71B1EC52" w14:textId="77777777">
            <w:pPr>
              <w:jc w:val="right"/>
              <w:textAlignment w:val="baseline"/>
              <w:rPr>
                <w:rFonts w:eastAsia="Times New Roman"/>
                <w:b/>
                <w:color w:val="000000"/>
                <w:sz w:val="16"/>
                <w:lang w:val="en-GB"/>
              </w:rPr>
            </w:pPr>
            <w:r w:rsidRPr="009C48DA">
              <w:rPr>
                <w:rFonts w:eastAsia="Times New Roman"/>
                <w:b/>
                <w:color w:val="000000"/>
                <w:sz w:val="16"/>
                <w:lang w:val="en-GB"/>
              </w:rPr>
              <w:t>£ 000</w:t>
            </w:r>
          </w:p>
        </w:tc>
        <w:tc>
          <w:tcPr>
            <w:tcW w:w="1095" w:type="dxa"/>
            <w:vAlign w:val="bottom"/>
          </w:tcPr>
          <w:p w:rsidRPr="009C48DA" w:rsidR="00661519" w:rsidP="00661519" w:rsidRDefault="00661519" w14:paraId="51C40398" w14:textId="77777777">
            <w:pPr>
              <w:jc w:val="right"/>
              <w:textAlignment w:val="baseline"/>
              <w:rPr>
                <w:rFonts w:eastAsia="Times New Roman"/>
                <w:b/>
                <w:color w:val="000000"/>
                <w:sz w:val="16"/>
                <w:lang w:val="en-GB"/>
              </w:rPr>
            </w:pPr>
            <w:r w:rsidRPr="009C48DA">
              <w:rPr>
                <w:rFonts w:eastAsia="Times New Roman"/>
                <w:b/>
                <w:color w:val="000000"/>
                <w:sz w:val="16"/>
                <w:lang w:val="en-GB"/>
              </w:rPr>
              <w:t>2021</w:t>
            </w:r>
          </w:p>
          <w:p w:rsidRPr="009C48DA" w:rsidR="00661519" w:rsidP="00661519" w:rsidRDefault="00661519" w14:paraId="67CAB728" w14:textId="77777777">
            <w:pPr>
              <w:jc w:val="right"/>
              <w:textAlignment w:val="baseline"/>
              <w:rPr>
                <w:rFonts w:eastAsia="Times New Roman"/>
                <w:b/>
                <w:color w:val="000000"/>
                <w:sz w:val="16"/>
                <w:lang w:val="en-GB"/>
              </w:rPr>
            </w:pPr>
            <w:r w:rsidRPr="009C48DA">
              <w:rPr>
                <w:rFonts w:eastAsia="Times New Roman"/>
                <w:b/>
                <w:color w:val="000000"/>
                <w:sz w:val="16"/>
                <w:lang w:val="en-GB"/>
              </w:rPr>
              <w:t>£ 000</w:t>
            </w:r>
          </w:p>
        </w:tc>
      </w:tr>
      <w:tr w:rsidRPr="009C48DA" w:rsidR="00661519" w:rsidTr="00661519" w14:paraId="6CFDB87C" w14:textId="77777777">
        <w:trPr>
          <w:trHeight w:val="202"/>
        </w:trPr>
        <w:tc>
          <w:tcPr>
            <w:tcW w:w="3868" w:type="dxa"/>
            <w:vAlign w:val="center"/>
          </w:tcPr>
          <w:p w:rsidRPr="009C48DA" w:rsidR="00661519" w:rsidP="00661519" w:rsidRDefault="00661519" w14:paraId="70C62CF6" w14:textId="77777777">
            <w:pPr>
              <w:jc w:val="both"/>
              <w:textAlignment w:val="baseline"/>
              <w:rPr>
                <w:rFonts w:eastAsia="Times New Roman"/>
                <w:color w:val="000000"/>
                <w:sz w:val="16"/>
                <w:lang w:val="en-GB"/>
              </w:rPr>
            </w:pPr>
            <w:r w:rsidRPr="009C48DA">
              <w:rPr>
                <w:rFonts w:eastAsia="Times New Roman"/>
                <w:color w:val="000000"/>
                <w:sz w:val="16"/>
                <w:lang w:val="en-GB"/>
              </w:rPr>
              <w:t>Fees received from funds</w:t>
            </w:r>
          </w:p>
        </w:tc>
        <w:tc>
          <w:tcPr>
            <w:tcW w:w="1093" w:type="dxa"/>
          </w:tcPr>
          <w:p w:rsidRPr="009C48DA" w:rsidR="00661519" w:rsidP="00661519" w:rsidRDefault="00661519" w14:paraId="7DB7C975" w14:textId="77777777">
            <w:pPr>
              <w:jc w:val="right"/>
              <w:textAlignment w:val="baseline"/>
              <w:rPr>
                <w:rFonts w:eastAsia="Times New Roman"/>
                <w:color w:val="000000"/>
                <w:sz w:val="16"/>
                <w:lang w:val="en-GB"/>
              </w:rPr>
            </w:pPr>
            <w:r w:rsidRPr="009C48DA">
              <w:rPr>
                <w:rFonts w:eastAsia="Times New Roman"/>
                <w:color w:val="000000"/>
                <w:sz w:val="16"/>
                <w:lang w:val="en-GB"/>
              </w:rPr>
              <w:t>140,202</w:t>
            </w:r>
          </w:p>
        </w:tc>
        <w:tc>
          <w:tcPr>
            <w:tcW w:w="1093" w:type="dxa"/>
          </w:tcPr>
          <w:p w:rsidRPr="009C48DA" w:rsidR="00661519" w:rsidP="00661519" w:rsidRDefault="00661519" w14:paraId="0EB88385" w14:textId="77777777">
            <w:pPr>
              <w:jc w:val="right"/>
              <w:textAlignment w:val="baseline"/>
              <w:rPr>
                <w:rFonts w:eastAsia="Times New Roman"/>
                <w:color w:val="000000"/>
                <w:sz w:val="16"/>
                <w:lang w:val="en-GB"/>
              </w:rPr>
            </w:pPr>
            <w:r w:rsidRPr="009C48DA">
              <w:rPr>
                <w:rFonts w:eastAsia="Times New Roman"/>
                <w:color w:val="000000"/>
                <w:sz w:val="16"/>
                <w:lang w:val="en-GB"/>
              </w:rPr>
              <w:t>167,320</w:t>
            </w:r>
          </w:p>
        </w:tc>
        <w:tc>
          <w:tcPr>
            <w:tcW w:w="1095" w:type="dxa"/>
          </w:tcPr>
          <w:p w:rsidRPr="009C48DA" w:rsidR="00661519" w:rsidP="00661519" w:rsidRDefault="00661519" w14:paraId="579A3C16" w14:textId="77777777">
            <w:pPr>
              <w:jc w:val="right"/>
              <w:textAlignment w:val="baseline"/>
              <w:rPr>
                <w:rFonts w:eastAsia="Times New Roman"/>
                <w:color w:val="000000"/>
                <w:sz w:val="16"/>
                <w:lang w:val="en-GB"/>
              </w:rPr>
            </w:pPr>
            <w:r w:rsidRPr="009C48DA">
              <w:rPr>
                <w:rFonts w:eastAsia="Times New Roman"/>
                <w:color w:val="000000"/>
                <w:sz w:val="16"/>
                <w:lang w:val="en-GB"/>
              </w:rPr>
              <w:t>167,250</w:t>
            </w:r>
          </w:p>
        </w:tc>
        <w:tc>
          <w:tcPr>
            <w:tcW w:w="1093" w:type="dxa"/>
          </w:tcPr>
          <w:p w:rsidRPr="009C48DA" w:rsidR="00661519" w:rsidP="00661519" w:rsidRDefault="00661519" w14:paraId="53000FBA" w14:textId="77777777">
            <w:pPr>
              <w:jc w:val="right"/>
              <w:textAlignment w:val="baseline"/>
              <w:rPr>
                <w:rFonts w:eastAsia="Times New Roman"/>
                <w:color w:val="000000"/>
                <w:sz w:val="16"/>
                <w:lang w:val="en-GB"/>
              </w:rPr>
            </w:pPr>
            <w:r w:rsidRPr="009C48DA">
              <w:rPr>
                <w:rFonts w:eastAsia="Times New Roman"/>
                <w:color w:val="000000"/>
                <w:sz w:val="16"/>
                <w:lang w:val="en-GB"/>
              </w:rPr>
              <w:t>39,350</w:t>
            </w:r>
          </w:p>
        </w:tc>
        <w:tc>
          <w:tcPr>
            <w:tcW w:w="1095" w:type="dxa"/>
          </w:tcPr>
          <w:p w:rsidRPr="009C48DA" w:rsidR="00661519" w:rsidP="00661519" w:rsidRDefault="00661519" w14:paraId="44683673" w14:textId="77777777">
            <w:pPr>
              <w:jc w:val="right"/>
              <w:textAlignment w:val="baseline"/>
              <w:rPr>
                <w:rFonts w:eastAsia="Times New Roman"/>
                <w:color w:val="000000"/>
                <w:sz w:val="16"/>
                <w:lang w:val="en-GB"/>
              </w:rPr>
            </w:pPr>
            <w:r w:rsidRPr="009C48DA">
              <w:rPr>
                <w:rFonts w:eastAsia="Times New Roman"/>
                <w:color w:val="000000"/>
                <w:sz w:val="16"/>
                <w:lang w:val="en-GB"/>
              </w:rPr>
              <w:t>55,397</w:t>
            </w:r>
          </w:p>
        </w:tc>
      </w:tr>
      <w:tr w:rsidRPr="009C48DA" w:rsidR="00661519" w:rsidTr="00661519" w14:paraId="77D5402A" w14:textId="77777777">
        <w:trPr>
          <w:trHeight w:val="202"/>
        </w:trPr>
        <w:tc>
          <w:tcPr>
            <w:tcW w:w="3868" w:type="dxa"/>
            <w:vAlign w:val="center"/>
          </w:tcPr>
          <w:p w:rsidRPr="009C48DA" w:rsidR="00661519" w:rsidP="00661519" w:rsidRDefault="00661519" w14:paraId="5C9B5DAA" w14:textId="77777777">
            <w:pPr>
              <w:jc w:val="both"/>
              <w:textAlignment w:val="baseline"/>
              <w:rPr>
                <w:rFonts w:eastAsia="Times New Roman"/>
                <w:color w:val="000000"/>
                <w:sz w:val="16"/>
                <w:lang w:val="en-GB"/>
              </w:rPr>
            </w:pPr>
            <w:r w:rsidRPr="009C48DA">
              <w:rPr>
                <w:rFonts w:eastAsia="Times New Roman"/>
                <w:color w:val="000000"/>
                <w:sz w:val="16"/>
                <w:lang w:val="en-GB"/>
              </w:rPr>
              <w:t>Amounts receivable from funds</w:t>
            </w:r>
          </w:p>
        </w:tc>
        <w:tc>
          <w:tcPr>
            <w:tcW w:w="1093" w:type="dxa"/>
          </w:tcPr>
          <w:p w:rsidRPr="009C48DA" w:rsidR="00661519" w:rsidP="00661519" w:rsidRDefault="00661519" w14:paraId="4F651CE5" w14:textId="77777777">
            <w:pPr>
              <w:jc w:val="right"/>
              <w:textAlignment w:val="baseline"/>
              <w:rPr>
                <w:rFonts w:eastAsia="Times New Roman"/>
                <w:color w:val="000000"/>
                <w:sz w:val="16"/>
                <w:lang w:val="en-GB"/>
              </w:rPr>
            </w:pPr>
            <w:r w:rsidRPr="009C48DA">
              <w:rPr>
                <w:rFonts w:eastAsia="Times New Roman"/>
                <w:color w:val="000000"/>
                <w:sz w:val="16"/>
                <w:lang w:val="en-GB"/>
              </w:rPr>
              <w:t>16,251</w:t>
            </w:r>
          </w:p>
        </w:tc>
        <w:tc>
          <w:tcPr>
            <w:tcW w:w="1093" w:type="dxa"/>
          </w:tcPr>
          <w:p w:rsidRPr="009C48DA" w:rsidR="00661519" w:rsidP="00661519" w:rsidRDefault="00661519" w14:paraId="75126ABC" w14:textId="77777777">
            <w:pPr>
              <w:jc w:val="right"/>
              <w:textAlignment w:val="baseline"/>
              <w:rPr>
                <w:rFonts w:eastAsia="Times New Roman"/>
                <w:color w:val="000000"/>
                <w:sz w:val="16"/>
                <w:lang w:val="en-GB"/>
              </w:rPr>
            </w:pPr>
            <w:r w:rsidRPr="009C48DA">
              <w:rPr>
                <w:rFonts w:eastAsia="Times New Roman"/>
                <w:color w:val="000000"/>
                <w:sz w:val="16"/>
                <w:lang w:val="en-GB"/>
              </w:rPr>
              <w:t>28,753</w:t>
            </w:r>
          </w:p>
        </w:tc>
        <w:tc>
          <w:tcPr>
            <w:tcW w:w="1095" w:type="dxa"/>
          </w:tcPr>
          <w:p w:rsidRPr="009C48DA" w:rsidR="00661519" w:rsidP="00661519" w:rsidRDefault="00661519" w14:paraId="5E959D90" w14:textId="77777777">
            <w:pPr>
              <w:jc w:val="right"/>
              <w:textAlignment w:val="baseline"/>
              <w:rPr>
                <w:rFonts w:eastAsia="Times New Roman"/>
                <w:color w:val="000000"/>
                <w:sz w:val="16"/>
                <w:lang w:val="en-GB"/>
              </w:rPr>
            </w:pPr>
            <w:r w:rsidRPr="009C48DA">
              <w:rPr>
                <w:rFonts w:eastAsia="Times New Roman"/>
                <w:color w:val="000000"/>
                <w:sz w:val="16"/>
                <w:lang w:val="en-GB"/>
              </w:rPr>
              <w:t>27,682</w:t>
            </w:r>
          </w:p>
        </w:tc>
        <w:tc>
          <w:tcPr>
            <w:tcW w:w="1093" w:type="dxa"/>
          </w:tcPr>
          <w:p w:rsidRPr="009C48DA" w:rsidR="00661519" w:rsidP="00661519" w:rsidRDefault="00661519" w14:paraId="2CCA937A" w14:textId="77777777">
            <w:pPr>
              <w:jc w:val="right"/>
              <w:textAlignment w:val="baseline"/>
              <w:rPr>
                <w:rFonts w:eastAsia="Times New Roman"/>
                <w:color w:val="000000"/>
                <w:sz w:val="16"/>
                <w:lang w:val="en-GB"/>
              </w:rPr>
            </w:pPr>
            <w:r w:rsidRPr="009C48DA">
              <w:rPr>
                <w:rFonts w:eastAsia="Times New Roman"/>
                <w:color w:val="000000"/>
                <w:sz w:val="16"/>
                <w:lang w:val="en-GB"/>
              </w:rPr>
              <w:t>15,251</w:t>
            </w:r>
          </w:p>
        </w:tc>
        <w:tc>
          <w:tcPr>
            <w:tcW w:w="1095" w:type="dxa"/>
          </w:tcPr>
          <w:p w:rsidRPr="009C48DA" w:rsidR="00661519" w:rsidP="00661519" w:rsidRDefault="00661519" w14:paraId="728873F4" w14:textId="77777777">
            <w:pPr>
              <w:jc w:val="right"/>
              <w:textAlignment w:val="baseline"/>
              <w:rPr>
                <w:rFonts w:eastAsia="Times New Roman"/>
                <w:color w:val="000000"/>
                <w:sz w:val="16"/>
                <w:lang w:val="en-GB"/>
              </w:rPr>
            </w:pPr>
            <w:r w:rsidRPr="009C48DA">
              <w:rPr>
                <w:rFonts w:eastAsia="Times New Roman"/>
                <w:color w:val="000000"/>
                <w:sz w:val="16"/>
                <w:lang w:val="en-GB"/>
              </w:rPr>
              <w:t>12,974</w:t>
            </w:r>
          </w:p>
        </w:tc>
      </w:tr>
    </w:tbl>
    <w:p w:rsidRPr="009C48DA" w:rsidR="00661519" w:rsidP="00661519" w:rsidRDefault="00661519" w14:paraId="4B0B7415" w14:textId="77777777">
      <w:pPr>
        <w:textAlignment w:val="baseline"/>
        <w:rPr>
          <w:rFonts w:eastAsia="Times New Roman" w:cs="Times New Roman"/>
          <w:b/>
          <w:color w:val="000000"/>
          <w:sz w:val="16"/>
          <w:szCs w:val="22"/>
          <w:lang w:val="en-GB"/>
        </w:rPr>
      </w:pPr>
    </w:p>
    <w:p w:rsidRPr="009C48DA" w:rsidR="00661519" w:rsidP="00661519" w:rsidRDefault="00661519" w14:paraId="117127F7" w14:textId="77777777">
      <w:pPr>
        <w:textAlignment w:val="baseline"/>
        <w:rPr>
          <w:rFonts w:eastAsia="Times New Roman" w:cs="Times New Roman"/>
          <w:b/>
          <w:color w:val="000000"/>
          <w:sz w:val="16"/>
          <w:szCs w:val="22"/>
          <w:lang w:val="en-GB"/>
        </w:rPr>
      </w:pPr>
    </w:p>
    <w:p w:rsidRPr="009C48DA" w:rsidR="00661519" w:rsidP="00661519" w:rsidRDefault="00661519" w14:paraId="3D16FC82"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27</w:t>
      </w:r>
      <w:r w:rsidRPr="009C48DA">
        <w:rPr>
          <w:rFonts w:eastAsia="Times New Roman" w:cs="Times New Roman"/>
          <w:b/>
          <w:color w:val="000000"/>
          <w:sz w:val="16"/>
          <w:szCs w:val="22"/>
          <w:lang w:val="en-GB"/>
        </w:rPr>
        <w:tab/>
        <w:t>Parent and ultimate controlling party</w:t>
      </w:r>
    </w:p>
    <w:p w:rsidRPr="009C48DA" w:rsidR="00661519" w:rsidP="00661519" w:rsidRDefault="00661519" w14:paraId="35E1CF89" w14:textId="77777777">
      <w:pPr>
        <w:textAlignment w:val="baseline"/>
        <w:rPr>
          <w:rFonts w:eastAsia="Times New Roman" w:cs="Times New Roman"/>
          <w:b/>
          <w:color w:val="000000"/>
          <w:sz w:val="16"/>
          <w:szCs w:val="22"/>
          <w:lang w:val="en-GB"/>
        </w:rPr>
      </w:pPr>
    </w:p>
    <w:p w:rsidRPr="009C48DA" w:rsidR="00661519" w:rsidP="00661519" w:rsidRDefault="00661519" w14:paraId="32E3791C" w14:textId="77777777">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Company is owned by a number of private shareholders and companies, none of whom own more than 20% of the issued share capital </w:t>
      </w:r>
      <w:r w:rsidRPr="009C48DA">
        <w:rPr>
          <w:rFonts w:eastAsia="Times New Roman" w:cs="Times New Roman"/>
          <w:color w:val="000000"/>
          <w:sz w:val="16"/>
          <w:szCs w:val="22"/>
          <w:lang w:val="en-GB"/>
        </w:rPr>
        <w:br/>
        <w:t xml:space="preserve">of the Company. Accordingly, there is no parent entity nor ultimate controlling party. </w:t>
      </w:r>
      <w:r w:rsidRPr="009C48DA">
        <w:rPr>
          <w:rFonts w:eastAsia="Times New Roman" w:cs="Times New Roman"/>
          <w:color w:val="000000"/>
          <w:sz w:val="16"/>
          <w:szCs w:val="22"/>
          <w:lang w:val="en-GB"/>
        </w:rPr>
        <w:br w:type="page"/>
      </w:r>
    </w:p>
    <w:p w:rsidRPr="009C48DA" w:rsidR="00661519" w:rsidP="00661519" w:rsidRDefault="00661519" w14:paraId="5BAA05CE"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lastRenderedPageBreak/>
        <w:t>28</w:t>
      </w:r>
      <w:r w:rsidRPr="009C48DA">
        <w:rPr>
          <w:rFonts w:eastAsia="Times New Roman" w:cs="Times New Roman"/>
          <w:b/>
          <w:color w:val="000000"/>
          <w:sz w:val="16"/>
          <w:szCs w:val="22"/>
          <w:lang w:val="en-GB"/>
        </w:rPr>
        <w:tab/>
        <w:t>Subsidiaries</w:t>
      </w:r>
    </w:p>
    <w:p w:rsidRPr="009C48DA" w:rsidR="00661519" w:rsidP="00661519" w:rsidRDefault="00661519" w14:paraId="24AD997D" w14:textId="77777777">
      <w:pPr>
        <w:textAlignment w:val="baseline"/>
        <w:rPr>
          <w:rFonts w:eastAsia="Times New Roman" w:cs="Times New Roman"/>
          <w:b/>
          <w:color w:val="000000"/>
          <w:sz w:val="16"/>
          <w:szCs w:val="22"/>
          <w:lang w:val="en-GB"/>
        </w:rPr>
      </w:pPr>
    </w:p>
    <w:p w:rsidRPr="009C48DA" w:rsidR="00661519" w:rsidP="00661519" w:rsidRDefault="00661519" w14:paraId="32E6083C" w14:textId="77777777">
      <w:pPr>
        <w:ind w:right="-12"/>
        <w:jc w:val="both"/>
        <w:textAlignment w:val="baseline"/>
        <w:rPr>
          <w:rFonts w:eastAsia="Times New Roman"/>
          <w:color w:val="000000"/>
          <w:sz w:val="16"/>
          <w:lang w:val="en-GB"/>
        </w:rPr>
      </w:pPr>
      <w:r w:rsidRPr="009C48DA">
        <w:rPr>
          <w:rFonts w:eastAsia="Times New Roman"/>
          <w:color w:val="000000"/>
          <w:sz w:val="16"/>
          <w:lang w:val="en-GB"/>
        </w:rPr>
        <w:t xml:space="preserve">The Group consists of the Company and its entities controlled by the Company. This note sets out those subsidiary entities owned by the </w:t>
      </w:r>
      <w:r w:rsidRPr="009C48DA">
        <w:rPr>
          <w:rFonts w:eastAsia="Times New Roman"/>
          <w:color w:val="000000"/>
          <w:sz w:val="16"/>
          <w:lang w:val="en-GB"/>
        </w:rPr>
        <w:br/>
        <w:t xml:space="preserve">Company and are consolidated, those which are not, and those structured entities which are consolidated in the historical financial </w:t>
      </w:r>
      <w:r w:rsidRPr="009C48DA">
        <w:rPr>
          <w:rFonts w:eastAsia="Times New Roman"/>
          <w:color w:val="000000"/>
          <w:sz w:val="16"/>
          <w:lang w:val="en-GB"/>
        </w:rPr>
        <w:br/>
        <w:t xml:space="preserve">information. </w:t>
      </w:r>
    </w:p>
    <w:p w:rsidRPr="009C48DA" w:rsidR="00661519" w:rsidP="00661519" w:rsidRDefault="00661519" w14:paraId="3DD6A5A3" w14:textId="77777777">
      <w:pPr>
        <w:ind w:right="-12"/>
        <w:jc w:val="both"/>
        <w:textAlignment w:val="baseline"/>
        <w:rPr>
          <w:rFonts w:eastAsia="Times New Roman"/>
          <w:color w:val="000000"/>
          <w:sz w:val="16"/>
          <w:lang w:val="en-GB"/>
        </w:rPr>
      </w:pPr>
    </w:p>
    <w:p w:rsidRPr="009C48DA" w:rsidR="00661519" w:rsidP="00661519" w:rsidRDefault="00661519" w14:paraId="6E9D2EC3" w14:textId="77777777">
      <w:pPr>
        <w:textAlignment w:val="baseline"/>
        <w:rPr>
          <w:rFonts w:eastAsia="Times New Roman" w:cs="Times New Roman"/>
          <w:b/>
          <w:color w:val="000000"/>
          <w:sz w:val="16"/>
          <w:szCs w:val="22"/>
          <w:lang w:val="en-GB"/>
        </w:rPr>
      </w:pPr>
    </w:p>
    <w:p w:rsidRPr="009C48DA" w:rsidR="00661519" w:rsidP="00661519" w:rsidRDefault="00661519" w14:paraId="1F17D2CC"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t>(a)</w:t>
      </w:r>
      <w:r w:rsidRPr="009C48DA">
        <w:rPr>
          <w:rFonts w:eastAsia="Times New Roman" w:cs="Times New Roman"/>
          <w:b/>
          <w:color w:val="000000"/>
          <w:sz w:val="16"/>
          <w:szCs w:val="22"/>
          <w:lang w:val="en-GB"/>
        </w:rPr>
        <w:tab/>
        <w:t>List of subsidiaries</w:t>
      </w:r>
    </w:p>
    <w:p w:rsidRPr="009C48DA" w:rsidR="00661519" w:rsidP="00661519" w:rsidRDefault="00661519" w14:paraId="6FFE9B92" w14:textId="77777777">
      <w:pPr>
        <w:textAlignment w:val="baseline"/>
        <w:rPr>
          <w:rFonts w:eastAsia="Times New Roman" w:cs="Times New Roman"/>
          <w:b/>
          <w:color w:val="000000"/>
          <w:sz w:val="16"/>
          <w:szCs w:val="22"/>
          <w:lang w:val="en-GB"/>
        </w:rPr>
      </w:pPr>
    </w:p>
    <w:p w:rsidRPr="009C48DA" w:rsidR="00661519" w:rsidP="00661519" w:rsidRDefault="00661519" w14:paraId="15A32A7A" w14:textId="0346AE4C">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Group holds a direct interest in </w:t>
      </w:r>
      <w:r w:rsidRPr="00CD2359" w:rsidR="00CD2359">
        <w:rPr>
          <w:rFonts w:eastAsia="Times New Roman" w:cs="Times New Roman"/>
          <w:color w:val="000000"/>
          <w:sz w:val="16"/>
          <w:szCs w:val="22"/>
          <w:lang w:val="en-GB"/>
        </w:rPr>
        <w:t>Bridgepoint Group Holdings Limited</w:t>
      </w:r>
      <w:r w:rsidRPr="009C48DA">
        <w:rPr>
          <w:rFonts w:eastAsia="Times New Roman" w:cs="Times New Roman"/>
          <w:color w:val="000000"/>
          <w:sz w:val="16"/>
          <w:szCs w:val="22"/>
          <w:lang w:val="en-GB"/>
        </w:rPr>
        <w:t xml:space="preserve"> as at 31 December 2020 and 31 March 2021 representing 77.8%. Its </w:t>
      </w:r>
    </w:p>
    <w:p w:rsidRPr="009C48DA" w:rsidR="00661519" w:rsidP="00661519" w:rsidRDefault="00661519" w14:paraId="56AD19B6" w14:textId="5B1AE6D4">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registered office is referenced to a table below the list of subsidiaries.</w:t>
      </w:r>
    </w:p>
    <w:p w:rsidRPr="009C48DA" w:rsidR="00661519" w:rsidP="00661519" w:rsidRDefault="00661519" w14:paraId="49C050FB" w14:textId="77777777">
      <w:pPr>
        <w:spacing w:before="111" w:line="189" w:lineRule="exact"/>
        <w:ind w:left="8208" w:firstLine="72"/>
        <w:textAlignment w:val="baseline"/>
        <w:rPr>
          <w:rFonts w:eastAsia="Times New Roman"/>
          <w:b/>
          <w:color w:val="000000"/>
          <w:sz w:val="17"/>
          <w:lang w:val="en-GB"/>
        </w:rPr>
      </w:pPr>
      <w:r w:rsidRPr="009C48DA">
        <w:rPr>
          <w:rFonts w:eastAsia="Times New Roman"/>
          <w:b/>
          <w:color w:val="000000"/>
          <w:sz w:val="17"/>
          <w:lang w:val="en-GB"/>
        </w:rPr>
        <w:t>Company's proportion of</w:t>
      </w:r>
    </w:p>
    <w:p w:rsidRPr="009C48DA" w:rsidR="00661519" w:rsidP="00661519" w:rsidRDefault="00661519" w14:paraId="71EF7C4E" w14:textId="77777777">
      <w:pPr>
        <w:tabs>
          <w:tab w:val="left" w:pos="8208"/>
        </w:tabs>
        <w:spacing w:line="177" w:lineRule="exact"/>
        <w:ind w:left="3600"/>
        <w:textAlignment w:val="baseline"/>
        <w:rPr>
          <w:rFonts w:eastAsia="Times New Roman"/>
          <w:b/>
          <w:color w:val="000000"/>
          <w:spacing w:val="3"/>
          <w:sz w:val="17"/>
          <w:lang w:val="en-GB"/>
        </w:rPr>
      </w:pPr>
      <w:r w:rsidRPr="009C48DA">
        <w:rPr>
          <w:rFonts w:eastAsia="Times New Roman"/>
          <w:b/>
          <w:color w:val="000000"/>
          <w:spacing w:val="3"/>
          <w:sz w:val="17"/>
          <w:lang w:val="en-GB"/>
        </w:rPr>
        <w:t>Country of</w:t>
      </w:r>
      <w:r w:rsidRPr="009C48DA">
        <w:rPr>
          <w:rFonts w:eastAsia="Times New Roman"/>
          <w:b/>
          <w:color w:val="000000"/>
          <w:spacing w:val="3"/>
          <w:sz w:val="17"/>
          <w:lang w:val="en-GB"/>
        </w:rPr>
        <w:tab/>
        <w:t>ownership</w:t>
      </w:r>
    </w:p>
    <w:p w:rsidRPr="009C48DA" w:rsidR="00661519" w:rsidP="00661519" w:rsidRDefault="00661519" w14:paraId="0B80B559" w14:textId="77777777">
      <w:pPr>
        <w:tabs>
          <w:tab w:val="left" w:pos="2736"/>
          <w:tab w:val="left" w:pos="3528"/>
          <w:tab w:val="left" w:pos="5256"/>
          <w:tab w:val="left" w:pos="7200"/>
          <w:tab w:val="left" w:pos="8352"/>
        </w:tabs>
        <w:spacing w:before="5" w:line="189" w:lineRule="exact"/>
        <w:textAlignment w:val="baseline"/>
        <w:rPr>
          <w:rFonts w:eastAsia="Times New Roman"/>
          <w:b/>
          <w:color w:val="000000"/>
          <w:sz w:val="17"/>
          <w:lang w:val="en-GB"/>
        </w:rPr>
      </w:pPr>
      <w:r w:rsidRPr="009C48DA">
        <w:rPr>
          <w:rFonts w:eastAsia="Times New Roman"/>
          <w:b/>
          <w:color w:val="000000"/>
          <w:sz w:val="17"/>
          <w:lang w:val="en-GB"/>
        </w:rPr>
        <w:t>Name of subsidiary</w:t>
      </w:r>
      <w:r w:rsidRPr="009C48DA">
        <w:rPr>
          <w:rFonts w:eastAsia="Times New Roman"/>
          <w:b/>
          <w:color w:val="000000"/>
          <w:sz w:val="17"/>
          <w:lang w:val="en-GB"/>
        </w:rPr>
        <w:tab/>
        <w:t>Ref</w:t>
      </w:r>
      <w:r w:rsidRPr="009C48DA">
        <w:rPr>
          <w:rFonts w:eastAsia="Times New Roman"/>
          <w:b/>
          <w:color w:val="000000"/>
          <w:sz w:val="17"/>
          <w:lang w:val="en-GB"/>
        </w:rPr>
        <w:tab/>
        <w:t>incorporation</w:t>
      </w:r>
      <w:r w:rsidRPr="009C48DA">
        <w:rPr>
          <w:rFonts w:eastAsia="Times New Roman"/>
          <w:b/>
          <w:color w:val="000000"/>
          <w:sz w:val="17"/>
          <w:lang w:val="en-GB"/>
        </w:rPr>
        <w:tab/>
        <w:t>Principal activity</w:t>
      </w:r>
      <w:r w:rsidRPr="009C48DA">
        <w:rPr>
          <w:rFonts w:eastAsia="Times New Roman"/>
          <w:b/>
          <w:color w:val="000000"/>
          <w:sz w:val="17"/>
          <w:lang w:val="en-GB"/>
        </w:rPr>
        <w:tab/>
        <w:t>Share class</w:t>
      </w:r>
      <w:r w:rsidRPr="009C48DA">
        <w:rPr>
          <w:rFonts w:eastAsia="Times New Roman"/>
          <w:b/>
          <w:color w:val="000000"/>
          <w:sz w:val="17"/>
          <w:lang w:val="en-GB"/>
        </w:rPr>
        <w:tab/>
        <w:t>interest</w:t>
      </w:r>
    </w:p>
    <w:p w:rsidRPr="009C48DA" w:rsidR="00661519" w:rsidP="00661519" w:rsidRDefault="00CD2359" w14:paraId="63B9D84B" w14:textId="08140C7F">
      <w:pPr>
        <w:tabs>
          <w:tab w:val="left" w:pos="2880"/>
          <w:tab w:val="left" w:pos="3888"/>
          <w:tab w:val="left" w:pos="5256"/>
          <w:tab w:val="left" w:pos="7056"/>
          <w:tab w:val="left" w:pos="8424"/>
        </w:tabs>
        <w:spacing w:before="17" w:line="188" w:lineRule="exact"/>
        <w:textAlignment w:val="baseline"/>
        <w:rPr>
          <w:rFonts w:eastAsia="Times New Roman"/>
          <w:color w:val="000000"/>
          <w:sz w:val="16"/>
          <w:lang w:val="en-GB"/>
        </w:rPr>
      </w:pPr>
      <w:r w:rsidRPr="00CD2359">
        <w:rPr>
          <w:rFonts w:eastAsia="Times New Roman"/>
          <w:color w:val="000000"/>
          <w:sz w:val="16"/>
          <w:lang w:val="en-GB"/>
        </w:rPr>
        <w:t>Bridgepoint Group Holdings Limited</w:t>
      </w:r>
      <w:r w:rsidRPr="009C48DA" w:rsidR="00661519">
        <w:rPr>
          <w:rFonts w:eastAsia="Times New Roman"/>
          <w:color w:val="000000"/>
          <w:sz w:val="16"/>
          <w:lang w:val="en-GB"/>
        </w:rPr>
        <w:tab/>
        <w:t>1</w:t>
      </w:r>
      <w:r w:rsidRPr="009C48DA" w:rsidR="00661519">
        <w:rPr>
          <w:rFonts w:eastAsia="Times New Roman"/>
          <w:color w:val="000000"/>
          <w:sz w:val="16"/>
          <w:lang w:val="en-GB"/>
        </w:rPr>
        <w:tab/>
        <w:t>UK</w:t>
      </w:r>
      <w:r w:rsidRPr="009C48DA" w:rsidR="00661519">
        <w:rPr>
          <w:rFonts w:eastAsia="Times New Roman"/>
          <w:color w:val="000000"/>
          <w:sz w:val="16"/>
          <w:lang w:val="en-GB"/>
        </w:rPr>
        <w:tab/>
        <w:t>Holding company</w:t>
      </w:r>
      <w:r w:rsidRPr="009C48DA" w:rsidR="00661519">
        <w:rPr>
          <w:rFonts w:eastAsia="Times New Roman"/>
          <w:color w:val="000000"/>
          <w:sz w:val="16"/>
          <w:lang w:val="en-GB"/>
        </w:rPr>
        <w:tab/>
        <w:t>Ordinary shares</w:t>
      </w:r>
      <w:r w:rsidRPr="009C48DA" w:rsidR="00661519">
        <w:rPr>
          <w:rFonts w:eastAsia="Times New Roman"/>
          <w:color w:val="000000"/>
          <w:sz w:val="16"/>
          <w:lang w:val="en-GB"/>
        </w:rPr>
        <w:tab/>
        <w:t>77.8%</w:t>
      </w:r>
    </w:p>
    <w:p w:rsidRPr="009C48DA" w:rsidR="00661519" w:rsidP="00661519" w:rsidRDefault="00661519" w14:paraId="6BABA197" w14:textId="77777777">
      <w:pPr>
        <w:textAlignment w:val="baseline"/>
        <w:rPr>
          <w:rFonts w:eastAsia="Times New Roman" w:cs="Times New Roman"/>
          <w:b/>
          <w:color w:val="000000"/>
          <w:sz w:val="16"/>
          <w:szCs w:val="22"/>
          <w:lang w:val="en-GB"/>
        </w:rPr>
      </w:pPr>
    </w:p>
    <w:p w:rsidRPr="009C48DA" w:rsidR="00661519" w:rsidP="00661519" w:rsidRDefault="00661519" w14:paraId="326310B9" w14:textId="633F70AB">
      <w:pPr>
        <w:textAlignment w:val="baseline"/>
        <w:rPr>
          <w:rFonts w:eastAsia="Times New Roman" w:cs="Times New Roman"/>
          <w:color w:val="000000"/>
          <w:sz w:val="16"/>
          <w:szCs w:val="22"/>
          <w:lang w:val="en-GB"/>
        </w:rPr>
      </w:pPr>
      <w:r w:rsidRPr="009C48DA">
        <w:rPr>
          <w:rFonts w:eastAsia="Times New Roman" w:cs="Times New Roman"/>
          <w:color w:val="000000"/>
          <w:sz w:val="16"/>
          <w:szCs w:val="22"/>
          <w:lang w:val="en-GB"/>
        </w:rPr>
        <w:t xml:space="preserve">The table below shows details of subsidiaries owned directly or indirectly by </w:t>
      </w:r>
      <w:r w:rsidRPr="00CD2359" w:rsidR="00CD2359">
        <w:rPr>
          <w:rFonts w:eastAsia="Times New Roman" w:cs="Times New Roman"/>
          <w:color w:val="000000"/>
          <w:sz w:val="16"/>
          <w:szCs w:val="22"/>
          <w:lang w:val="en-GB"/>
        </w:rPr>
        <w:t>Bridgepoint Group Holdings Limited</w:t>
      </w:r>
      <w:r w:rsidRPr="009C48DA">
        <w:rPr>
          <w:rFonts w:eastAsia="Times New Roman" w:cs="Times New Roman"/>
          <w:color w:val="000000"/>
          <w:sz w:val="16"/>
          <w:szCs w:val="22"/>
          <w:lang w:val="en-GB"/>
        </w:rPr>
        <w:t xml:space="preserve"> as at 31 December 2020 and 31 March 2021 and its ownership interest in each entity. The registered office of each subsidiary is referenced to a table below the list of </w:t>
      </w:r>
    </w:p>
    <w:p w:rsidRPr="009C48DA" w:rsidR="00661519" w:rsidP="00661519" w:rsidRDefault="00661519" w14:paraId="1D854E38" w14:textId="77777777">
      <w:pPr>
        <w:textAlignment w:val="baseline"/>
        <w:rPr>
          <w:rFonts w:eastAsia="Times New Roman"/>
          <w:color w:val="000000"/>
          <w:sz w:val="16"/>
          <w:lang w:val="en-GB"/>
        </w:rPr>
      </w:pPr>
      <w:r w:rsidRPr="009C48DA">
        <w:rPr>
          <w:rFonts w:eastAsia="Times New Roman" w:cs="Times New Roman"/>
          <w:color w:val="000000"/>
          <w:sz w:val="16"/>
          <w:szCs w:val="22"/>
          <w:lang w:val="en-GB"/>
        </w:rPr>
        <w:t>subsidiaries.</w:t>
      </w:r>
    </w:p>
    <w:p w:rsidRPr="009C48DA" w:rsidR="00661519" w:rsidP="00661519" w:rsidRDefault="00661519" w14:paraId="1E1678FC" w14:textId="77777777">
      <w:pPr>
        <w:spacing w:before="111" w:line="189" w:lineRule="exact"/>
        <w:ind w:left="8208" w:firstLine="72"/>
        <w:textAlignment w:val="baseline"/>
        <w:rPr>
          <w:rFonts w:eastAsia="Times New Roman"/>
          <w:b/>
          <w:color w:val="000000"/>
          <w:sz w:val="17"/>
          <w:lang w:val="en-GB"/>
        </w:rPr>
      </w:pPr>
      <w:r w:rsidRPr="009C48DA">
        <w:rPr>
          <w:rFonts w:eastAsia="Times New Roman"/>
          <w:b/>
          <w:color w:val="000000"/>
          <w:sz w:val="17"/>
          <w:lang w:val="en-GB"/>
        </w:rPr>
        <w:t>Company's proportion of</w:t>
      </w:r>
    </w:p>
    <w:p w:rsidRPr="009C48DA" w:rsidR="00661519" w:rsidP="00661519" w:rsidRDefault="00661519" w14:paraId="5F2C2FB1" w14:textId="77777777">
      <w:pPr>
        <w:tabs>
          <w:tab w:val="left" w:pos="8208"/>
        </w:tabs>
        <w:spacing w:line="177" w:lineRule="exact"/>
        <w:ind w:left="3600"/>
        <w:textAlignment w:val="baseline"/>
        <w:rPr>
          <w:rFonts w:eastAsia="Times New Roman"/>
          <w:b/>
          <w:color w:val="000000"/>
          <w:spacing w:val="3"/>
          <w:sz w:val="17"/>
          <w:lang w:val="en-GB"/>
        </w:rPr>
      </w:pPr>
      <w:r w:rsidRPr="009C48DA">
        <w:rPr>
          <w:rFonts w:eastAsia="Times New Roman"/>
          <w:b/>
          <w:color w:val="000000"/>
          <w:spacing w:val="3"/>
          <w:sz w:val="17"/>
          <w:lang w:val="en-GB"/>
        </w:rPr>
        <w:t>Country of</w:t>
      </w:r>
      <w:r w:rsidRPr="009C48DA">
        <w:rPr>
          <w:rFonts w:eastAsia="Times New Roman"/>
          <w:b/>
          <w:color w:val="000000"/>
          <w:spacing w:val="3"/>
          <w:sz w:val="17"/>
          <w:lang w:val="en-GB"/>
        </w:rPr>
        <w:tab/>
        <w:t>ownership</w:t>
      </w:r>
    </w:p>
    <w:p w:rsidRPr="009C48DA" w:rsidR="00661519" w:rsidP="00661519" w:rsidRDefault="00661519" w14:paraId="3D2E7277" w14:textId="77777777">
      <w:pPr>
        <w:tabs>
          <w:tab w:val="left" w:pos="2736"/>
          <w:tab w:val="left" w:pos="3528"/>
          <w:tab w:val="left" w:pos="5256"/>
          <w:tab w:val="left" w:pos="7200"/>
          <w:tab w:val="left" w:pos="8352"/>
        </w:tabs>
        <w:spacing w:before="5" w:line="189" w:lineRule="exact"/>
        <w:textAlignment w:val="baseline"/>
        <w:rPr>
          <w:rFonts w:eastAsia="Times New Roman"/>
          <w:b/>
          <w:color w:val="000000"/>
          <w:sz w:val="17"/>
          <w:lang w:val="en-GB"/>
        </w:rPr>
      </w:pPr>
      <w:r w:rsidRPr="009C48DA">
        <w:rPr>
          <w:rFonts w:eastAsia="Times New Roman"/>
          <w:b/>
          <w:color w:val="000000"/>
          <w:sz w:val="17"/>
          <w:lang w:val="en-GB"/>
        </w:rPr>
        <w:t>Name of subsidiary</w:t>
      </w:r>
      <w:r w:rsidRPr="009C48DA">
        <w:rPr>
          <w:rFonts w:eastAsia="Times New Roman"/>
          <w:b/>
          <w:color w:val="000000"/>
          <w:sz w:val="17"/>
          <w:lang w:val="en-GB"/>
        </w:rPr>
        <w:tab/>
        <w:t>Ref</w:t>
      </w:r>
      <w:r w:rsidRPr="009C48DA">
        <w:rPr>
          <w:rFonts w:eastAsia="Times New Roman"/>
          <w:b/>
          <w:color w:val="000000"/>
          <w:sz w:val="17"/>
          <w:lang w:val="en-GB"/>
        </w:rPr>
        <w:tab/>
        <w:t>incorporation</w:t>
      </w:r>
      <w:r w:rsidRPr="009C48DA">
        <w:rPr>
          <w:rFonts w:eastAsia="Times New Roman"/>
          <w:b/>
          <w:color w:val="000000"/>
          <w:sz w:val="17"/>
          <w:lang w:val="en-GB"/>
        </w:rPr>
        <w:tab/>
        <w:t>Principal activity</w:t>
      </w:r>
      <w:r w:rsidRPr="009C48DA">
        <w:rPr>
          <w:rFonts w:eastAsia="Times New Roman"/>
          <w:b/>
          <w:color w:val="000000"/>
          <w:sz w:val="17"/>
          <w:lang w:val="en-GB"/>
        </w:rPr>
        <w:tab/>
        <w:t>Share class</w:t>
      </w:r>
      <w:r w:rsidRPr="009C48DA">
        <w:rPr>
          <w:rFonts w:eastAsia="Times New Roman"/>
          <w:b/>
          <w:color w:val="000000"/>
          <w:sz w:val="17"/>
          <w:lang w:val="en-GB"/>
        </w:rPr>
        <w:tab/>
        <w:t>interest</w:t>
      </w:r>
    </w:p>
    <w:tbl>
      <w:tblPr>
        <w:tblW w:w="9316" w:type="dxa"/>
        <w:tblLayout w:type="fixed"/>
        <w:tblCellMar>
          <w:left w:w="0" w:type="dxa"/>
          <w:right w:w="0" w:type="dxa"/>
        </w:tblCellMar>
        <w:tblLook w:val="0000" w:firstRow="0" w:lastRow="0" w:firstColumn="0" w:lastColumn="0" w:noHBand="0" w:noVBand="0"/>
      </w:tblPr>
      <w:tblGrid>
        <w:gridCol w:w="2608"/>
        <w:gridCol w:w="696"/>
        <w:gridCol w:w="1421"/>
        <w:gridCol w:w="2217"/>
        <w:gridCol w:w="1224"/>
        <w:gridCol w:w="1150"/>
      </w:tblGrid>
      <w:tr w:rsidRPr="009C48DA" w:rsidR="00661519" w:rsidTr="00661519" w14:paraId="66BAA70D" w14:textId="77777777">
        <w:trPr>
          <w:trHeight w:val="24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9EA1EEA" w14:textId="77777777">
            <w:pPr>
              <w:spacing w:after="26" w:line="188" w:lineRule="exact"/>
              <w:textAlignment w:val="baseline"/>
              <w:rPr>
                <w:rFonts w:eastAsia="Times New Roman"/>
                <w:color w:val="000000"/>
                <w:sz w:val="16"/>
                <w:lang w:val="en-GB"/>
              </w:rPr>
            </w:pPr>
            <w:r w:rsidRPr="009C48DA">
              <w:rPr>
                <w:rFonts w:eastAsia="Times New Roman"/>
                <w:color w:val="000000"/>
                <w:sz w:val="16"/>
                <w:lang w:val="en-GB"/>
              </w:rPr>
              <w:t>101 Investments (GP)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5B0CF1F" w14:textId="77777777">
            <w:pPr>
              <w:spacing w:after="26"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1</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B06C97A" w14:textId="77777777">
            <w:pPr>
              <w:spacing w:after="26"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E6C38C4" w14:textId="77777777">
            <w:pPr>
              <w:spacing w:after="26"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8CAA32C" w14:textId="77777777">
            <w:pPr>
              <w:spacing w:after="26"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0E2C560" w14:textId="77777777">
            <w:pPr>
              <w:spacing w:after="26"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BA5FA19" w14:textId="77777777">
        <w:trPr>
          <w:trHeight w:val="393" w:hRule="exact"/>
        </w:trPr>
        <w:tc>
          <w:tcPr>
            <w:tcW w:w="2608"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21A779E3" w14:textId="77777777">
            <w:pPr>
              <w:spacing w:after="13" w:line="187" w:lineRule="exact"/>
              <w:ind w:right="612"/>
              <w:textAlignment w:val="baseline"/>
              <w:rPr>
                <w:rFonts w:eastAsia="Times New Roman"/>
                <w:color w:val="000000"/>
                <w:sz w:val="16"/>
                <w:lang w:val="en-GB"/>
              </w:rPr>
            </w:pPr>
            <w:r w:rsidRPr="009C48DA">
              <w:rPr>
                <w:rFonts w:eastAsia="Times New Roman"/>
                <w:color w:val="000000"/>
                <w:sz w:val="16"/>
                <w:lang w:val="en-GB"/>
              </w:rPr>
              <w:t>101 Investments Nominees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0FBBCFA" w14:textId="77777777">
            <w:pPr>
              <w:spacing w:before="101" w:after="104"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1</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48D8F8C" w14:textId="77777777">
            <w:pPr>
              <w:spacing w:before="101" w:after="104"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5C8C7B4" w14:textId="77777777">
            <w:pPr>
              <w:spacing w:before="101" w:after="104" w:line="188" w:lineRule="exact"/>
              <w:jc w:val="center"/>
              <w:textAlignment w:val="baseline"/>
              <w:rPr>
                <w:rFonts w:eastAsia="Times New Roman"/>
                <w:color w:val="000000"/>
                <w:sz w:val="16"/>
                <w:lang w:val="en-GB"/>
              </w:rPr>
            </w:pPr>
            <w:r w:rsidRPr="009C48DA">
              <w:rPr>
                <w:rFonts w:eastAsia="Times New Roman"/>
                <w:color w:val="000000"/>
                <w:sz w:val="16"/>
                <w:lang w:val="en-GB"/>
              </w:rPr>
              <w:t>Nominee company</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2A1EFB4" w14:textId="77777777">
            <w:pPr>
              <w:spacing w:before="101" w:after="104"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9757F6B" w14:textId="77777777">
            <w:pPr>
              <w:spacing w:before="101" w:after="104"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46E57E2" w14:textId="77777777">
        <w:trPr>
          <w:trHeight w:val="231"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97873D7" w14:textId="77777777">
            <w:pPr>
              <w:spacing w:after="12" w:line="188" w:lineRule="exact"/>
              <w:textAlignment w:val="baseline"/>
              <w:rPr>
                <w:rFonts w:eastAsia="Times New Roman"/>
                <w:color w:val="000000"/>
                <w:sz w:val="16"/>
                <w:lang w:val="en-GB"/>
              </w:rPr>
            </w:pPr>
            <w:r w:rsidRPr="009C48DA">
              <w:rPr>
                <w:rFonts w:eastAsia="Times New Roman"/>
                <w:color w:val="000000"/>
                <w:sz w:val="16"/>
                <w:lang w:val="en-GB"/>
              </w:rPr>
              <w:t>Atlantic GP 1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D00C204" w14:textId="77777777">
            <w:pPr>
              <w:spacing w:after="12"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1</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11FF52A"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20CFA57"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6ECAA49"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04D66D2"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F6BF193" w14:textId="77777777">
        <w:trPr>
          <w:trHeight w:val="23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82E71E3" w14:textId="77777777">
            <w:pPr>
              <w:spacing w:before="34" w:after="7" w:line="188" w:lineRule="exact"/>
              <w:textAlignment w:val="baseline"/>
              <w:rPr>
                <w:rFonts w:eastAsia="Times New Roman"/>
                <w:color w:val="000000"/>
                <w:sz w:val="16"/>
                <w:lang w:val="en-GB"/>
              </w:rPr>
            </w:pPr>
            <w:r w:rsidRPr="009C48DA">
              <w:rPr>
                <w:rFonts w:eastAsia="Times New Roman"/>
                <w:color w:val="000000"/>
                <w:sz w:val="16"/>
                <w:lang w:val="en-GB"/>
              </w:rPr>
              <w:t>Atlantic GP 2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8D3E3D0" w14:textId="77777777">
            <w:pPr>
              <w:spacing w:before="34" w:after="7"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1</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3D76DF1"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AA1860C"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1A06FD9"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2EFAA7B"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AA87502" w14:textId="77777777">
        <w:trPr>
          <w:trHeight w:val="23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B1F536B" w14:textId="77777777">
            <w:pPr>
              <w:spacing w:before="34" w:after="3" w:line="188" w:lineRule="exact"/>
              <w:textAlignment w:val="baseline"/>
              <w:rPr>
                <w:rFonts w:eastAsia="Times New Roman"/>
                <w:color w:val="000000"/>
                <w:sz w:val="16"/>
                <w:lang w:val="en-GB"/>
              </w:rPr>
            </w:pPr>
            <w:r w:rsidRPr="009C48DA">
              <w:rPr>
                <w:rFonts w:eastAsia="Times New Roman"/>
                <w:color w:val="000000"/>
                <w:sz w:val="16"/>
                <w:lang w:val="en-GB"/>
              </w:rPr>
              <w:t>Atlantic GP LLP</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BD0007F" w14:textId="77777777">
            <w:pPr>
              <w:spacing w:before="34" w:after="3"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2</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5AFCCB2"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44CAA39"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C2B1336"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B8CFBE6"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0E340BC0" w14:textId="77777777">
        <w:trPr>
          <w:trHeight w:val="23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B9D8804" w14:textId="77777777">
            <w:pPr>
              <w:spacing w:before="34" w:after="13" w:line="188" w:lineRule="exact"/>
              <w:textAlignment w:val="baseline"/>
              <w:rPr>
                <w:rFonts w:eastAsia="Times New Roman"/>
                <w:color w:val="000000"/>
                <w:sz w:val="16"/>
                <w:lang w:val="en-GB"/>
              </w:rPr>
            </w:pPr>
            <w:r w:rsidRPr="009C48DA">
              <w:rPr>
                <w:rFonts w:eastAsia="Times New Roman"/>
                <w:color w:val="000000"/>
                <w:sz w:val="16"/>
                <w:lang w:val="en-GB"/>
              </w:rPr>
              <w:t>BBTPS (GP)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5780DCB" w14:textId="77777777">
            <w:pPr>
              <w:spacing w:before="34" w:after="13"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1</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9B606D4" w14:textId="77777777">
            <w:pPr>
              <w:spacing w:before="34" w:after="1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730C3F0" w14:textId="77777777">
            <w:pPr>
              <w:spacing w:before="34" w:after="1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4D9AE9F" w14:textId="77777777">
            <w:pPr>
              <w:spacing w:before="34" w:after="1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E0CDAD6" w14:textId="77777777">
            <w:pPr>
              <w:spacing w:before="34" w:after="13"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237B93F" w14:textId="77777777">
        <w:trPr>
          <w:trHeight w:val="231"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DB38D94" w14:textId="77777777">
            <w:pPr>
              <w:spacing w:after="12" w:line="188" w:lineRule="exact"/>
              <w:textAlignment w:val="baseline"/>
              <w:rPr>
                <w:rFonts w:eastAsia="Times New Roman"/>
                <w:color w:val="000000"/>
                <w:sz w:val="16"/>
                <w:lang w:val="en-GB"/>
              </w:rPr>
            </w:pPr>
            <w:r w:rsidRPr="009C48DA">
              <w:rPr>
                <w:rFonts w:eastAsia="Times New Roman"/>
                <w:color w:val="000000"/>
                <w:sz w:val="16"/>
                <w:lang w:val="en-GB"/>
              </w:rPr>
              <w:t>BBTPS FP GP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C4B55E2" w14:textId="77777777">
            <w:pPr>
              <w:spacing w:after="12"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2</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12AA754"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C620E77"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8D1D9F9"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5A41148"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8FC28FC" w14:textId="77777777">
        <w:trPr>
          <w:trHeight w:val="23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ECA614E" w14:textId="77777777">
            <w:pPr>
              <w:spacing w:before="34" w:after="7" w:line="188" w:lineRule="exact"/>
              <w:textAlignment w:val="baseline"/>
              <w:rPr>
                <w:rFonts w:eastAsia="Times New Roman"/>
                <w:color w:val="000000"/>
                <w:sz w:val="16"/>
                <w:lang w:val="en-GB"/>
              </w:rPr>
            </w:pPr>
            <w:r w:rsidRPr="009C48DA">
              <w:rPr>
                <w:rFonts w:eastAsia="Times New Roman"/>
                <w:color w:val="000000"/>
                <w:sz w:val="16"/>
                <w:lang w:val="en-GB"/>
              </w:rPr>
              <w:t>BBTPS Nominees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503C8C1" w14:textId="77777777">
            <w:pPr>
              <w:spacing w:before="34" w:after="7"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1</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D394F4F"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AA45035"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Nominee company</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CA5D82C"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162DE70"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2BC68DB" w14:textId="77777777">
        <w:trPr>
          <w:trHeight w:val="23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CBD0B2A" w14:textId="77777777">
            <w:pPr>
              <w:spacing w:before="34" w:after="3" w:line="188" w:lineRule="exact"/>
              <w:textAlignment w:val="baseline"/>
              <w:rPr>
                <w:rFonts w:eastAsia="Times New Roman"/>
                <w:color w:val="000000"/>
                <w:sz w:val="16"/>
                <w:lang w:val="en-GB"/>
              </w:rPr>
            </w:pPr>
            <w:r w:rsidRPr="009C48DA">
              <w:rPr>
                <w:rFonts w:eastAsia="Times New Roman"/>
                <w:color w:val="000000"/>
                <w:sz w:val="16"/>
                <w:lang w:val="en-GB"/>
              </w:rPr>
              <w:t>BC AD GP SCS</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B6205E7" w14:textId="77777777">
            <w:pPr>
              <w:spacing w:before="34" w:after="3"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8</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A8938E0"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France</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D57A791"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6C43660"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066CC66"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044F54E" w14:textId="77777777">
        <w:trPr>
          <w:trHeight w:val="230"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10F6085" w14:textId="77777777">
            <w:pPr>
              <w:spacing w:after="2" w:line="188" w:lineRule="exact"/>
              <w:textAlignment w:val="baseline"/>
              <w:rPr>
                <w:rFonts w:eastAsia="Times New Roman"/>
                <w:color w:val="000000"/>
                <w:sz w:val="16"/>
                <w:lang w:val="en-GB"/>
              </w:rPr>
            </w:pPr>
            <w:r w:rsidRPr="009C48DA">
              <w:rPr>
                <w:rFonts w:eastAsia="Times New Roman"/>
                <w:color w:val="000000"/>
                <w:sz w:val="16"/>
                <w:lang w:val="en-GB"/>
              </w:rPr>
              <w:t>BC BOCPIF GP SCS</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5F68251" w14:textId="77777777">
            <w:pPr>
              <w:spacing w:after="2"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8</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CF23984"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France</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39544F6"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0835A32"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A281F49"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A11D5A3" w14:textId="77777777">
        <w:trPr>
          <w:trHeight w:val="236"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0839D9B" w14:textId="77777777">
            <w:pPr>
              <w:spacing w:before="35" w:after="12" w:line="188" w:lineRule="exact"/>
              <w:textAlignment w:val="baseline"/>
              <w:rPr>
                <w:rFonts w:eastAsia="Times New Roman"/>
                <w:color w:val="000000"/>
                <w:sz w:val="16"/>
                <w:lang w:val="en-GB"/>
              </w:rPr>
            </w:pPr>
            <w:r w:rsidRPr="009C48DA">
              <w:rPr>
                <w:rFonts w:eastAsia="Times New Roman"/>
                <w:color w:val="000000"/>
                <w:sz w:val="16"/>
                <w:lang w:val="en-GB"/>
              </w:rPr>
              <w:t>BC Empire GP SCS</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4422F34" w14:textId="77777777">
            <w:pPr>
              <w:spacing w:before="35" w:after="12"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8</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A19CD4F"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France</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AE62D5C"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B66FE35"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93324A7"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443E520" w14:textId="77777777">
        <w:trPr>
          <w:trHeight w:val="23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93DA62D" w14:textId="77777777">
            <w:pPr>
              <w:spacing w:before="34" w:after="7" w:line="188" w:lineRule="exact"/>
              <w:textAlignment w:val="baseline"/>
              <w:rPr>
                <w:rFonts w:eastAsia="Times New Roman"/>
                <w:color w:val="000000"/>
                <w:sz w:val="16"/>
                <w:lang w:val="en-GB"/>
              </w:rPr>
            </w:pPr>
            <w:r w:rsidRPr="009C48DA">
              <w:rPr>
                <w:rFonts w:eastAsia="Times New Roman"/>
                <w:color w:val="000000"/>
                <w:sz w:val="16"/>
                <w:lang w:val="en-GB"/>
              </w:rPr>
              <w:t>BC II FP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D1D15FE" w14:textId="77777777">
            <w:pPr>
              <w:spacing w:before="34" w:after="7"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1</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FE17EAC"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8C57EAD"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B9985CC"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BAE9983"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6CBAB47" w14:textId="77777777">
        <w:trPr>
          <w:trHeight w:val="23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BB9A863" w14:textId="77777777">
            <w:pPr>
              <w:spacing w:before="34" w:after="3" w:line="188" w:lineRule="exact"/>
              <w:textAlignment w:val="baseline"/>
              <w:rPr>
                <w:rFonts w:eastAsia="Times New Roman"/>
                <w:color w:val="000000"/>
                <w:sz w:val="16"/>
                <w:lang w:val="en-GB"/>
              </w:rPr>
            </w:pPr>
            <w:r w:rsidRPr="009C48DA">
              <w:rPr>
                <w:rFonts w:eastAsia="Times New Roman"/>
                <w:color w:val="000000"/>
                <w:sz w:val="16"/>
                <w:lang w:val="en-GB"/>
              </w:rPr>
              <w:t>BC II FP SGP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C7D946F" w14:textId="77777777">
            <w:pPr>
              <w:spacing w:before="34" w:after="3"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2</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8B4688D"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C1BB760"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E56A2A9"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CAAFD7F"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C643F72" w14:textId="77777777">
        <w:trPr>
          <w:trHeight w:val="230"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E76C133" w14:textId="77777777">
            <w:pPr>
              <w:spacing w:after="2" w:line="188" w:lineRule="exact"/>
              <w:textAlignment w:val="baseline"/>
              <w:rPr>
                <w:rFonts w:eastAsia="Times New Roman"/>
                <w:color w:val="000000"/>
                <w:sz w:val="16"/>
                <w:lang w:val="en-GB"/>
              </w:rPr>
            </w:pPr>
            <w:r w:rsidRPr="009C48DA">
              <w:rPr>
                <w:rFonts w:eastAsia="Times New Roman"/>
                <w:color w:val="000000"/>
                <w:sz w:val="16"/>
                <w:lang w:val="en-GB"/>
              </w:rPr>
              <w:t>BC GP 1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CDE856A" w14:textId="77777777">
            <w:pPr>
              <w:spacing w:after="2"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1</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FB0FCB7"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3DBBDB6"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009E908"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73D7954"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6F0D723" w14:textId="77777777">
        <w:trPr>
          <w:trHeight w:val="236"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CE2B4D4" w14:textId="77777777">
            <w:pPr>
              <w:spacing w:before="35" w:after="12" w:line="188" w:lineRule="exact"/>
              <w:textAlignment w:val="baseline"/>
              <w:rPr>
                <w:rFonts w:eastAsia="Times New Roman"/>
                <w:color w:val="000000"/>
                <w:sz w:val="16"/>
                <w:lang w:val="en-GB"/>
              </w:rPr>
            </w:pPr>
            <w:r w:rsidRPr="009C48DA">
              <w:rPr>
                <w:rFonts w:eastAsia="Times New Roman"/>
                <w:color w:val="000000"/>
                <w:sz w:val="16"/>
                <w:lang w:val="en-GB"/>
              </w:rPr>
              <w:t>BC GP 2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03FE40F" w14:textId="77777777">
            <w:pPr>
              <w:spacing w:before="35" w:after="12"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1</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E1CF262"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78B78C2"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CA49EB0"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268BB94"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9AFAC91" w14:textId="77777777">
        <w:trPr>
          <w:trHeight w:val="23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07A204C" w14:textId="77777777">
            <w:pPr>
              <w:spacing w:before="34" w:after="7" w:line="188" w:lineRule="exact"/>
              <w:textAlignment w:val="baseline"/>
              <w:rPr>
                <w:rFonts w:eastAsia="Times New Roman"/>
                <w:color w:val="000000"/>
                <w:sz w:val="16"/>
                <w:lang w:val="en-GB"/>
              </w:rPr>
            </w:pPr>
            <w:r w:rsidRPr="009C48DA">
              <w:rPr>
                <w:rFonts w:eastAsia="Times New Roman"/>
                <w:color w:val="000000"/>
                <w:sz w:val="16"/>
                <w:lang w:val="en-GB"/>
              </w:rPr>
              <w:t>BC II GP LLP</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835F87D" w14:textId="77777777">
            <w:pPr>
              <w:spacing w:before="34" w:after="7"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2</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98AABC0"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7EBC482"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ADE8E4F"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70659CB"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3FA76C64" w14:textId="77777777">
        <w:trPr>
          <w:trHeight w:val="230"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37C1F33" w14:textId="77777777">
            <w:pPr>
              <w:spacing w:before="34" w:after="3" w:line="188" w:lineRule="exact"/>
              <w:textAlignment w:val="baseline"/>
              <w:rPr>
                <w:rFonts w:eastAsia="Times New Roman"/>
                <w:color w:val="000000"/>
                <w:sz w:val="16"/>
                <w:lang w:val="en-GB"/>
              </w:rPr>
            </w:pPr>
            <w:r w:rsidRPr="009C48DA">
              <w:rPr>
                <w:rFonts w:eastAsia="Times New Roman"/>
                <w:color w:val="000000"/>
                <w:sz w:val="16"/>
                <w:lang w:val="en-GB"/>
              </w:rPr>
              <w:t>BC II GP LP</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BC5D046" w14:textId="77777777">
            <w:pPr>
              <w:spacing w:before="34" w:after="3"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2</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ED40B3B"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7BFD5BC"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5777E83"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43D530A"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4C6A06F1" w14:textId="77777777">
        <w:trPr>
          <w:trHeight w:val="23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4F6164B" w14:textId="77777777">
            <w:pPr>
              <w:spacing w:before="35" w:after="2" w:line="188" w:lineRule="exact"/>
              <w:textAlignment w:val="baseline"/>
              <w:rPr>
                <w:rFonts w:eastAsia="Times New Roman"/>
                <w:color w:val="000000"/>
                <w:sz w:val="16"/>
                <w:lang w:val="en-GB"/>
              </w:rPr>
            </w:pPr>
            <w:r w:rsidRPr="009C48DA">
              <w:rPr>
                <w:rFonts w:eastAsia="Times New Roman"/>
                <w:color w:val="000000"/>
                <w:sz w:val="16"/>
                <w:lang w:val="en-GB"/>
              </w:rPr>
              <w:t>BC II MLP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FC1E62E" w14:textId="77777777">
            <w:pPr>
              <w:spacing w:before="35" w:after="2"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1</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CA84FA0"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0036998"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Managing Limited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DF6B61A"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CB4BAAB"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78620F1" w14:textId="77777777">
        <w:trPr>
          <w:trHeight w:val="236"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A9916B5" w14:textId="77777777">
            <w:pPr>
              <w:spacing w:before="35" w:after="12" w:line="188" w:lineRule="exact"/>
              <w:textAlignment w:val="baseline"/>
              <w:rPr>
                <w:rFonts w:eastAsia="Times New Roman"/>
                <w:color w:val="000000"/>
                <w:sz w:val="16"/>
                <w:lang w:val="en-GB"/>
              </w:rPr>
            </w:pPr>
            <w:r w:rsidRPr="009C48DA">
              <w:rPr>
                <w:rFonts w:eastAsia="Times New Roman"/>
                <w:color w:val="000000"/>
                <w:sz w:val="16"/>
                <w:lang w:val="en-GB"/>
              </w:rPr>
              <w:t>BC MLP UK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E08D858" w14:textId="77777777">
            <w:pPr>
              <w:spacing w:before="35" w:after="12"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1</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460A9D2"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B5FAEE2"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Managing Limited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0C50CE3"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28C32D0"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C417BB2" w14:textId="77777777">
        <w:trPr>
          <w:trHeight w:val="23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FAA8D0E" w14:textId="77777777">
            <w:pPr>
              <w:spacing w:before="34" w:after="7" w:line="188" w:lineRule="exact"/>
              <w:textAlignment w:val="baseline"/>
              <w:rPr>
                <w:rFonts w:eastAsia="Times New Roman"/>
                <w:color w:val="000000"/>
                <w:sz w:val="16"/>
                <w:lang w:val="en-GB"/>
              </w:rPr>
            </w:pPr>
            <w:r w:rsidRPr="009C48DA">
              <w:rPr>
                <w:rFonts w:eastAsia="Times New Roman"/>
                <w:color w:val="000000"/>
                <w:sz w:val="16"/>
                <w:lang w:val="en-GB"/>
              </w:rPr>
              <w:t>BC SMA Carry GP S.à r.l.</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CF1FAD9" w14:textId="77777777">
            <w:pPr>
              <w:spacing w:before="34" w:after="7"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3</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A31297B"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B111493"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94F0A6A"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84F7B7E"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8B0217F" w14:textId="77777777">
        <w:trPr>
          <w:trHeight w:val="23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7333D39" w14:textId="77777777">
            <w:pPr>
              <w:spacing w:before="34" w:after="3" w:line="188" w:lineRule="exact"/>
              <w:textAlignment w:val="baseline"/>
              <w:rPr>
                <w:rFonts w:eastAsia="Times New Roman"/>
                <w:color w:val="000000"/>
                <w:sz w:val="16"/>
                <w:lang w:val="en-GB"/>
              </w:rPr>
            </w:pPr>
            <w:r w:rsidRPr="009C48DA">
              <w:rPr>
                <w:rFonts w:eastAsia="Times New Roman"/>
                <w:color w:val="000000"/>
                <w:sz w:val="16"/>
                <w:lang w:val="en-GB"/>
              </w:rPr>
              <w:t>BCLO Credit Investments I S.àr.l.</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3C07A37" w14:textId="77777777">
            <w:pPr>
              <w:spacing w:before="34" w:after="3"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3</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A1D66E6"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5015400"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CLO management company</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F008B05"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2E224F1"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8F53CEC" w14:textId="77777777">
        <w:trPr>
          <w:trHeight w:val="230"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801C6DA" w14:textId="77777777">
            <w:pPr>
              <w:spacing w:after="2" w:line="188" w:lineRule="exact"/>
              <w:textAlignment w:val="baseline"/>
              <w:rPr>
                <w:rFonts w:eastAsia="Times New Roman"/>
                <w:color w:val="000000"/>
                <w:sz w:val="16"/>
                <w:lang w:val="en-GB"/>
              </w:rPr>
            </w:pPr>
            <w:r w:rsidRPr="009C48DA">
              <w:rPr>
                <w:rFonts w:eastAsia="Times New Roman"/>
                <w:color w:val="000000"/>
                <w:sz w:val="16"/>
                <w:lang w:val="en-GB"/>
              </w:rPr>
              <w:t>BCO II Carry GP LLP</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7365823" w14:textId="77777777">
            <w:pPr>
              <w:spacing w:after="2"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2</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AE0005F"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E7B0531"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08309FC"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E22D294"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614ABDA4" w14:textId="77777777">
        <w:trPr>
          <w:trHeight w:val="236"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32F1CAD" w14:textId="77777777">
            <w:pPr>
              <w:spacing w:before="35" w:after="12" w:line="188" w:lineRule="exact"/>
              <w:textAlignment w:val="baseline"/>
              <w:rPr>
                <w:rFonts w:eastAsia="Times New Roman"/>
                <w:color w:val="000000"/>
                <w:sz w:val="16"/>
                <w:lang w:val="en-GB"/>
              </w:rPr>
            </w:pPr>
            <w:r w:rsidRPr="009C48DA">
              <w:rPr>
                <w:rFonts w:eastAsia="Times New Roman"/>
                <w:color w:val="000000"/>
                <w:sz w:val="16"/>
                <w:lang w:val="en-GB"/>
              </w:rPr>
              <w:t>BCO III Carry GP LLP</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16BE4C0" w14:textId="77777777">
            <w:pPr>
              <w:spacing w:before="35" w:after="12"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2</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33373AB"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7E91965"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4803353"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53DDCC1"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289D3295" w14:textId="77777777">
        <w:trPr>
          <w:trHeight w:val="230"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B5A1B37" w14:textId="77777777">
            <w:pPr>
              <w:spacing w:after="12" w:line="188" w:lineRule="exact"/>
              <w:textAlignment w:val="baseline"/>
              <w:rPr>
                <w:rFonts w:eastAsia="Times New Roman"/>
                <w:color w:val="000000"/>
                <w:sz w:val="16"/>
                <w:lang w:val="en-GB"/>
              </w:rPr>
            </w:pPr>
            <w:r w:rsidRPr="009C48DA">
              <w:rPr>
                <w:rFonts w:eastAsia="Times New Roman"/>
                <w:color w:val="000000"/>
                <w:sz w:val="16"/>
                <w:lang w:val="en-GB"/>
              </w:rPr>
              <w:t>BDC GP LP</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AD2D045" w14:textId="77777777">
            <w:pPr>
              <w:spacing w:after="12"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2</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48C9EE4"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1B850AB"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6FB80AB"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9840414"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550E573F" w14:textId="77777777">
        <w:trPr>
          <w:trHeight w:val="23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1AA4443" w14:textId="77777777">
            <w:pPr>
              <w:spacing w:before="34" w:after="8" w:line="188" w:lineRule="exact"/>
              <w:textAlignment w:val="baseline"/>
              <w:rPr>
                <w:rFonts w:eastAsia="Times New Roman"/>
                <w:color w:val="000000"/>
                <w:sz w:val="16"/>
                <w:lang w:val="en-GB"/>
              </w:rPr>
            </w:pPr>
            <w:r w:rsidRPr="009C48DA">
              <w:rPr>
                <w:rFonts w:eastAsia="Times New Roman"/>
                <w:color w:val="000000"/>
                <w:sz w:val="16"/>
                <w:lang w:val="en-GB"/>
              </w:rPr>
              <w:t>BDC II (SGP)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C0998C7" w14:textId="77777777">
            <w:pPr>
              <w:spacing w:before="34" w:after="8"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2</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736ED59" w14:textId="77777777">
            <w:pPr>
              <w:spacing w:before="34" w:after="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13C4E45" w14:textId="77777777">
            <w:pPr>
              <w:spacing w:before="34" w:after="8"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19365DD" w14:textId="77777777">
            <w:pPr>
              <w:spacing w:before="34" w:after="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EB79CFD" w14:textId="77777777">
            <w:pPr>
              <w:spacing w:before="34" w:after="8"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795B674" w14:textId="77777777">
        <w:trPr>
          <w:trHeight w:val="23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235F4B7" w14:textId="77777777">
            <w:pPr>
              <w:spacing w:before="35" w:after="2" w:line="188" w:lineRule="exact"/>
              <w:textAlignment w:val="baseline"/>
              <w:rPr>
                <w:rFonts w:eastAsia="Times New Roman"/>
                <w:color w:val="000000"/>
                <w:sz w:val="16"/>
                <w:lang w:val="en-GB"/>
              </w:rPr>
            </w:pPr>
            <w:r w:rsidRPr="009C48DA">
              <w:rPr>
                <w:rFonts w:eastAsia="Times New Roman"/>
                <w:color w:val="000000"/>
                <w:sz w:val="16"/>
                <w:lang w:val="en-GB"/>
              </w:rPr>
              <w:t>BDC II FP GP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AF9C861" w14:textId="77777777">
            <w:pPr>
              <w:spacing w:before="35" w:after="2"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2</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B88F80C"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0A0B0C9"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FAAF359"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C467F7E"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55510A7" w14:textId="77777777">
        <w:trPr>
          <w:trHeight w:val="236"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5854407" w14:textId="77777777">
            <w:pPr>
              <w:spacing w:before="35" w:after="12" w:line="188" w:lineRule="exact"/>
              <w:textAlignment w:val="baseline"/>
              <w:rPr>
                <w:rFonts w:eastAsia="Times New Roman"/>
                <w:color w:val="000000"/>
                <w:sz w:val="16"/>
                <w:lang w:val="en-GB"/>
              </w:rPr>
            </w:pPr>
            <w:r w:rsidRPr="009C48DA">
              <w:rPr>
                <w:rFonts w:eastAsia="Times New Roman"/>
                <w:color w:val="000000"/>
                <w:sz w:val="16"/>
                <w:lang w:val="en-GB"/>
              </w:rPr>
              <w:t>BDC II GP LP</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48F89C0" w14:textId="77777777">
            <w:pPr>
              <w:spacing w:before="35" w:after="12"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2</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1A44FFD"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79D4A18"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8304281"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E740E4A"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1171F797" w14:textId="77777777">
        <w:trPr>
          <w:trHeight w:val="23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B6C97B5" w14:textId="77777777">
            <w:pPr>
              <w:spacing w:before="34" w:after="7" w:line="188" w:lineRule="exact"/>
              <w:textAlignment w:val="baseline"/>
              <w:rPr>
                <w:rFonts w:eastAsia="Times New Roman"/>
                <w:color w:val="000000"/>
                <w:sz w:val="16"/>
                <w:lang w:val="en-GB"/>
              </w:rPr>
            </w:pPr>
            <w:r w:rsidRPr="009C48DA">
              <w:rPr>
                <w:rFonts w:eastAsia="Times New Roman"/>
                <w:color w:val="000000"/>
                <w:sz w:val="16"/>
                <w:lang w:val="en-GB"/>
              </w:rPr>
              <w:t>BDC II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004C7B6" w14:textId="77777777">
            <w:pPr>
              <w:spacing w:before="34" w:after="7"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1</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26E3322"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8AC8B06"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E5E4D8E"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2D21B66" w14:textId="77777777">
            <w:pPr>
              <w:spacing w:before="34" w:after="7"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A160658" w14:textId="77777777">
        <w:trPr>
          <w:trHeight w:val="235"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C342608" w14:textId="77777777">
            <w:pPr>
              <w:spacing w:before="34" w:after="3" w:line="188" w:lineRule="exact"/>
              <w:textAlignment w:val="baseline"/>
              <w:rPr>
                <w:rFonts w:eastAsia="Times New Roman"/>
                <w:color w:val="000000"/>
                <w:sz w:val="16"/>
                <w:lang w:val="en-GB"/>
              </w:rPr>
            </w:pPr>
            <w:r w:rsidRPr="009C48DA">
              <w:rPr>
                <w:rFonts w:eastAsia="Times New Roman"/>
                <w:color w:val="000000"/>
                <w:sz w:val="16"/>
                <w:lang w:val="en-GB"/>
              </w:rPr>
              <w:t>BDC II Nominees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7A3FA5D" w14:textId="77777777">
            <w:pPr>
              <w:spacing w:before="34" w:after="3"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1</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8C8AC7C"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58DDDB3"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Nominee company</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E7EEEE6"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69FC359" w14:textId="77777777">
            <w:pPr>
              <w:spacing w:before="34" w:after="3"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248E9DC" w14:textId="77777777">
        <w:trPr>
          <w:trHeight w:val="230"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9FE5615" w14:textId="77777777">
            <w:pPr>
              <w:spacing w:after="2" w:line="188" w:lineRule="exact"/>
              <w:textAlignment w:val="baseline"/>
              <w:rPr>
                <w:rFonts w:eastAsia="Times New Roman"/>
                <w:color w:val="000000"/>
                <w:sz w:val="16"/>
                <w:lang w:val="en-GB"/>
              </w:rPr>
            </w:pPr>
            <w:r w:rsidRPr="009C48DA">
              <w:rPr>
                <w:rFonts w:eastAsia="Times New Roman"/>
                <w:color w:val="000000"/>
                <w:sz w:val="16"/>
                <w:lang w:val="en-GB"/>
              </w:rPr>
              <w:t>BDC III GP 1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D391D9F" w14:textId="77777777">
            <w:pPr>
              <w:spacing w:after="2"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1</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3324D3B"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BC99C8F"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08808C4"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DC539D8"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376CACC" w14:textId="77777777">
        <w:trPr>
          <w:trHeight w:val="289" w:hRule="exact"/>
        </w:trPr>
        <w:tc>
          <w:tcPr>
            <w:tcW w:w="260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2408751" w14:textId="77777777">
            <w:pPr>
              <w:spacing w:after="60" w:line="188" w:lineRule="exact"/>
              <w:textAlignment w:val="baseline"/>
              <w:rPr>
                <w:rFonts w:eastAsia="Times New Roman"/>
                <w:color w:val="000000"/>
                <w:sz w:val="16"/>
                <w:lang w:val="en-GB"/>
              </w:rPr>
            </w:pPr>
            <w:r w:rsidRPr="009C48DA">
              <w:rPr>
                <w:rFonts w:eastAsia="Times New Roman"/>
                <w:color w:val="000000"/>
                <w:sz w:val="16"/>
                <w:lang w:val="en-GB"/>
              </w:rPr>
              <w:t>BDC III GP 2 Limited</w:t>
            </w:r>
          </w:p>
        </w:tc>
        <w:tc>
          <w:tcPr>
            <w:tcW w:w="696"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0942BEF" w14:textId="77777777">
            <w:pPr>
              <w:spacing w:after="60" w:line="188" w:lineRule="exact"/>
              <w:ind w:right="148"/>
              <w:jc w:val="center"/>
              <w:textAlignment w:val="baseline"/>
              <w:rPr>
                <w:rFonts w:eastAsia="Times New Roman"/>
                <w:color w:val="000000"/>
                <w:sz w:val="16"/>
                <w:lang w:val="en-GB"/>
              </w:rPr>
            </w:pPr>
            <w:r w:rsidRPr="009C48DA">
              <w:rPr>
                <w:rFonts w:eastAsia="Times New Roman"/>
                <w:color w:val="000000"/>
                <w:sz w:val="16"/>
                <w:lang w:val="en-GB"/>
              </w:rPr>
              <w:t>1</w:t>
            </w:r>
          </w:p>
        </w:tc>
        <w:tc>
          <w:tcPr>
            <w:tcW w:w="142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F662CE4" w14:textId="77777777">
            <w:pPr>
              <w:spacing w:after="60"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17"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DD50217" w14:textId="77777777">
            <w:pPr>
              <w:spacing w:after="60"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22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FBE0F55" w14:textId="77777777">
            <w:pPr>
              <w:spacing w:after="60"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150"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95F2E0F" w14:textId="77777777">
            <w:pPr>
              <w:spacing w:after="60" w:line="188"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bl>
    <w:p w:rsidRPr="009C48DA" w:rsidR="00661519" w:rsidP="00661519" w:rsidRDefault="00661519" w14:paraId="4F4EA350" w14:textId="77777777">
      <w:pPr>
        <w:spacing w:before="111" w:line="189" w:lineRule="exact"/>
        <w:ind w:left="8208" w:firstLine="72"/>
        <w:textAlignment w:val="baseline"/>
        <w:rPr>
          <w:rFonts w:eastAsia="Times New Roman"/>
          <w:b/>
          <w:color w:val="000000"/>
          <w:sz w:val="17"/>
          <w:lang w:val="en-GB"/>
        </w:rPr>
      </w:pPr>
      <w:r w:rsidRPr="009C48DA">
        <w:rPr>
          <w:rFonts w:eastAsia="Times New Roman"/>
          <w:b/>
          <w:color w:val="000000"/>
          <w:sz w:val="17"/>
          <w:lang w:val="en-GB"/>
        </w:rPr>
        <w:lastRenderedPageBreak/>
        <w:t>Company's proportion of</w:t>
      </w:r>
    </w:p>
    <w:p w:rsidRPr="009C48DA" w:rsidR="00661519" w:rsidP="00661519" w:rsidRDefault="00661519" w14:paraId="16DC1E8A" w14:textId="77777777">
      <w:pPr>
        <w:tabs>
          <w:tab w:val="left" w:pos="8208"/>
        </w:tabs>
        <w:spacing w:line="177" w:lineRule="exact"/>
        <w:ind w:left="3600"/>
        <w:textAlignment w:val="baseline"/>
        <w:rPr>
          <w:rFonts w:eastAsia="Times New Roman"/>
          <w:b/>
          <w:color w:val="000000"/>
          <w:spacing w:val="3"/>
          <w:sz w:val="17"/>
          <w:lang w:val="en-GB"/>
        </w:rPr>
      </w:pPr>
      <w:r w:rsidRPr="009C48DA">
        <w:rPr>
          <w:rFonts w:eastAsia="Times New Roman"/>
          <w:b/>
          <w:color w:val="000000"/>
          <w:spacing w:val="3"/>
          <w:sz w:val="17"/>
          <w:lang w:val="en-GB"/>
        </w:rPr>
        <w:t>Country of</w:t>
      </w:r>
      <w:r w:rsidRPr="009C48DA">
        <w:rPr>
          <w:rFonts w:eastAsia="Times New Roman"/>
          <w:b/>
          <w:color w:val="000000"/>
          <w:spacing w:val="3"/>
          <w:sz w:val="17"/>
          <w:lang w:val="en-GB"/>
        </w:rPr>
        <w:tab/>
        <w:t>ownership</w:t>
      </w:r>
    </w:p>
    <w:p w:rsidRPr="009C48DA" w:rsidR="00661519" w:rsidP="00661519" w:rsidRDefault="00661519" w14:paraId="158C4BE2" w14:textId="77777777">
      <w:pPr>
        <w:tabs>
          <w:tab w:val="left" w:pos="2736"/>
          <w:tab w:val="left" w:pos="3528"/>
          <w:tab w:val="left" w:pos="5256"/>
          <w:tab w:val="left" w:pos="7200"/>
          <w:tab w:val="left" w:pos="8352"/>
        </w:tabs>
        <w:spacing w:before="5" w:line="189" w:lineRule="exact"/>
        <w:textAlignment w:val="baseline"/>
        <w:rPr>
          <w:rFonts w:eastAsia="Times New Roman"/>
          <w:b/>
          <w:color w:val="000000"/>
          <w:sz w:val="17"/>
          <w:lang w:val="en-GB"/>
        </w:rPr>
      </w:pPr>
      <w:r w:rsidRPr="009C48DA">
        <w:rPr>
          <w:rFonts w:eastAsia="Times New Roman"/>
          <w:b/>
          <w:color w:val="000000"/>
          <w:sz w:val="17"/>
          <w:lang w:val="en-GB"/>
        </w:rPr>
        <w:t>Name of subsidiary</w:t>
      </w:r>
      <w:r w:rsidRPr="009C48DA">
        <w:rPr>
          <w:rFonts w:eastAsia="Times New Roman"/>
          <w:b/>
          <w:color w:val="000000"/>
          <w:sz w:val="17"/>
          <w:lang w:val="en-GB"/>
        </w:rPr>
        <w:tab/>
        <w:t>Ref</w:t>
      </w:r>
      <w:r w:rsidRPr="009C48DA">
        <w:rPr>
          <w:rFonts w:eastAsia="Times New Roman"/>
          <w:b/>
          <w:color w:val="000000"/>
          <w:sz w:val="17"/>
          <w:lang w:val="en-GB"/>
        </w:rPr>
        <w:tab/>
        <w:t>incorporation</w:t>
      </w:r>
      <w:r w:rsidRPr="009C48DA">
        <w:rPr>
          <w:rFonts w:eastAsia="Times New Roman"/>
          <w:b/>
          <w:color w:val="000000"/>
          <w:sz w:val="17"/>
          <w:lang w:val="en-GB"/>
        </w:rPr>
        <w:tab/>
        <w:t>Principal activity</w:t>
      </w:r>
      <w:r w:rsidRPr="009C48DA">
        <w:rPr>
          <w:rFonts w:eastAsia="Times New Roman"/>
          <w:b/>
          <w:color w:val="000000"/>
          <w:sz w:val="17"/>
          <w:lang w:val="en-GB"/>
        </w:rPr>
        <w:tab/>
        <w:t>Share class</w:t>
      </w:r>
      <w:r w:rsidRPr="009C48DA">
        <w:rPr>
          <w:rFonts w:eastAsia="Times New Roman"/>
          <w:b/>
          <w:color w:val="000000"/>
          <w:sz w:val="17"/>
          <w:lang w:val="en-GB"/>
        </w:rPr>
        <w:tab/>
        <w:t>interest</w:t>
      </w:r>
    </w:p>
    <w:tbl>
      <w:tblPr>
        <w:tblW w:w="0" w:type="auto"/>
        <w:tblLayout w:type="fixed"/>
        <w:tblCellMar>
          <w:left w:w="0" w:type="dxa"/>
          <w:right w:w="0" w:type="dxa"/>
        </w:tblCellMar>
        <w:tblLook w:val="0000" w:firstRow="0" w:lastRow="0" w:firstColumn="0" w:lastColumn="0" w:noHBand="0" w:noVBand="0"/>
      </w:tblPr>
      <w:tblGrid>
        <w:gridCol w:w="2534"/>
        <w:gridCol w:w="759"/>
        <w:gridCol w:w="1358"/>
        <w:gridCol w:w="2343"/>
        <w:gridCol w:w="1161"/>
        <w:gridCol w:w="1265"/>
        <w:gridCol w:w="104"/>
      </w:tblGrid>
      <w:tr w:rsidRPr="009C48DA" w:rsidR="00661519" w:rsidTr="00661519" w14:paraId="6908B1D1" w14:textId="77777777">
        <w:trPr>
          <w:trHeight w:val="221"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247D5F9" w14:textId="77777777">
            <w:pPr>
              <w:spacing w:after="13" w:line="188" w:lineRule="exact"/>
              <w:textAlignment w:val="baseline"/>
              <w:rPr>
                <w:rFonts w:eastAsia="Times New Roman"/>
                <w:color w:val="000000"/>
                <w:sz w:val="16"/>
                <w:lang w:val="en-GB"/>
              </w:rPr>
            </w:pPr>
            <w:r w:rsidRPr="009C48DA">
              <w:rPr>
                <w:rFonts w:eastAsia="Times New Roman"/>
                <w:color w:val="000000"/>
                <w:sz w:val="16"/>
                <w:lang w:val="en-GB"/>
              </w:rPr>
              <w:t>BDC III GP LLP</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8E88620" w14:textId="77777777">
            <w:pPr>
              <w:spacing w:after="13"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B6E5D34" w14:textId="77777777">
            <w:pPr>
              <w:spacing w:after="1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3FA7D18" w14:textId="77777777">
            <w:pPr>
              <w:spacing w:after="1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B9DB618" w14:textId="77777777">
            <w:pPr>
              <w:spacing w:after="13"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5" w:type="dxa"/>
            <w:gridSpan w:val="2"/>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C5F8F49" w14:textId="77777777">
            <w:pPr>
              <w:spacing w:after="13"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7341B433" w14:textId="77777777">
        <w:trPr>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D9A9803" w14:textId="77777777">
            <w:pPr>
              <w:spacing w:before="35" w:after="7" w:line="188" w:lineRule="exact"/>
              <w:textAlignment w:val="baseline"/>
              <w:rPr>
                <w:rFonts w:eastAsia="Times New Roman"/>
                <w:color w:val="000000"/>
                <w:sz w:val="16"/>
                <w:lang w:val="en-GB"/>
              </w:rPr>
            </w:pPr>
            <w:r w:rsidRPr="009C48DA">
              <w:rPr>
                <w:rFonts w:eastAsia="Times New Roman"/>
                <w:color w:val="000000"/>
                <w:sz w:val="16"/>
                <w:lang w:val="en-GB"/>
              </w:rPr>
              <w:t>BDC III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EC672F1" w14:textId="77777777">
            <w:pPr>
              <w:spacing w:before="35" w:after="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E348F2C"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1655C21"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88C5354"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gridSpan w:val="2"/>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A65823A" w14:textId="77777777">
            <w:pPr>
              <w:spacing w:before="35" w:after="7" w:line="188" w:lineRule="exact"/>
              <w:ind w:right="517"/>
              <w:jc w:val="center"/>
              <w:textAlignment w:val="baseline"/>
              <w:rPr>
                <w:rFonts w:eastAsia="Times New Roman"/>
                <w:color w:val="000000"/>
                <w:sz w:val="16"/>
                <w:lang w:val="en-GB"/>
              </w:rPr>
            </w:pPr>
            <w:r w:rsidRPr="009C48DA">
              <w:rPr>
                <w:rFonts w:eastAsia="Times New Roman"/>
                <w:color w:val="000000"/>
                <w:sz w:val="16"/>
                <w:lang w:val="en-GB"/>
              </w:rPr>
              <w:t xml:space="preserve">       100%</w:t>
            </w:r>
          </w:p>
        </w:tc>
      </w:tr>
      <w:tr w:rsidRPr="009C48DA" w:rsidR="00661519" w:rsidTr="00661519" w14:paraId="4557DC93" w14:textId="77777777">
        <w:trPr>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AAAED28" w14:textId="77777777">
            <w:pPr>
              <w:spacing w:before="35" w:after="2" w:line="188" w:lineRule="exact"/>
              <w:textAlignment w:val="baseline"/>
              <w:rPr>
                <w:rFonts w:eastAsia="Times New Roman"/>
                <w:color w:val="000000"/>
                <w:sz w:val="16"/>
                <w:lang w:val="en-GB"/>
              </w:rPr>
            </w:pPr>
            <w:r w:rsidRPr="009C48DA">
              <w:rPr>
                <w:rFonts w:eastAsia="Times New Roman"/>
                <w:color w:val="000000"/>
                <w:sz w:val="16"/>
                <w:lang w:val="en-GB"/>
              </w:rPr>
              <w:t>BDC III Nominees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A58EF46" w14:textId="77777777">
            <w:pPr>
              <w:spacing w:before="35" w:after="2"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0E01ECE"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10A9E86"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Nominee 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F7064C7"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gridSpan w:val="2"/>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5D707ED" w14:textId="77777777">
            <w:pPr>
              <w:spacing w:before="35" w:after="2" w:line="188" w:lineRule="exact"/>
              <w:ind w:right="517"/>
              <w:jc w:val="center"/>
              <w:textAlignment w:val="baseline"/>
              <w:rPr>
                <w:rFonts w:eastAsia="Times New Roman"/>
                <w:color w:val="000000"/>
                <w:sz w:val="16"/>
                <w:lang w:val="en-GB"/>
              </w:rPr>
            </w:pPr>
            <w:r w:rsidRPr="009C48DA">
              <w:rPr>
                <w:rFonts w:eastAsia="Times New Roman"/>
                <w:color w:val="000000"/>
                <w:sz w:val="16"/>
                <w:lang w:val="en-GB"/>
              </w:rPr>
              <w:t xml:space="preserve">       100%</w:t>
            </w:r>
          </w:p>
        </w:tc>
      </w:tr>
      <w:tr w:rsidRPr="009C48DA" w:rsidR="00661519" w:rsidTr="00661519" w14:paraId="0E7D9870" w14:textId="77777777">
        <w:trPr>
          <w:gridAfter w:val="1"/>
          <w:wAfter w:w="104" w:type="dxa"/>
          <w:trHeight w:val="230"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6B5C632" w14:textId="77777777">
            <w:pPr>
              <w:spacing w:after="3" w:line="188" w:lineRule="exact"/>
              <w:textAlignment w:val="baseline"/>
              <w:rPr>
                <w:rFonts w:eastAsia="Times New Roman"/>
                <w:color w:val="000000"/>
                <w:sz w:val="16"/>
                <w:lang w:val="en-GB"/>
              </w:rPr>
            </w:pPr>
            <w:r w:rsidRPr="009C48DA">
              <w:rPr>
                <w:rFonts w:eastAsia="Times New Roman"/>
                <w:color w:val="000000"/>
                <w:sz w:val="16"/>
                <w:lang w:val="en-GB"/>
              </w:rPr>
              <w:t>BDC III SFP GP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681615B" w14:textId="77777777">
            <w:pPr>
              <w:spacing w:after="3"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2</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C8096D4" w14:textId="77777777">
            <w:pPr>
              <w:spacing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C273AC0" w14:textId="77777777">
            <w:pPr>
              <w:spacing w:after="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805BBC8" w14:textId="77777777">
            <w:pPr>
              <w:spacing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F01AE03" w14:textId="77777777">
            <w:pPr>
              <w:spacing w:after="3"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400D1FF" w14:textId="77777777">
        <w:trPr>
          <w:gridAfter w:val="1"/>
          <w:wAfter w:w="104" w:type="dxa"/>
          <w:trHeight w:val="236"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34DB105" w14:textId="77777777">
            <w:pPr>
              <w:spacing w:before="35" w:after="13" w:line="188" w:lineRule="exact"/>
              <w:textAlignment w:val="baseline"/>
              <w:rPr>
                <w:rFonts w:eastAsia="Times New Roman"/>
                <w:color w:val="000000"/>
                <w:sz w:val="16"/>
                <w:lang w:val="en-GB"/>
              </w:rPr>
            </w:pPr>
            <w:r w:rsidRPr="009C48DA">
              <w:rPr>
                <w:rFonts w:eastAsia="Times New Roman"/>
                <w:color w:val="000000"/>
                <w:sz w:val="16"/>
                <w:lang w:val="en-GB"/>
              </w:rPr>
              <w:t>BDC IV Nominees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68CC65C" w14:textId="77777777">
            <w:pPr>
              <w:spacing w:before="35" w:after="13"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1A2A471" w14:textId="77777777">
            <w:pPr>
              <w:spacing w:before="35" w:after="1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78B7EE9" w14:textId="77777777">
            <w:pPr>
              <w:spacing w:before="35" w:after="13" w:line="188" w:lineRule="exact"/>
              <w:jc w:val="center"/>
              <w:textAlignment w:val="baseline"/>
              <w:rPr>
                <w:rFonts w:eastAsia="Times New Roman"/>
                <w:color w:val="000000"/>
                <w:sz w:val="16"/>
                <w:lang w:val="en-GB"/>
              </w:rPr>
            </w:pPr>
            <w:r w:rsidRPr="009C48DA">
              <w:rPr>
                <w:rFonts w:eastAsia="Times New Roman"/>
                <w:color w:val="000000"/>
                <w:sz w:val="16"/>
                <w:lang w:val="en-GB"/>
              </w:rPr>
              <w:t>Nominee 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D906DDD" w14:textId="77777777">
            <w:pPr>
              <w:spacing w:before="35" w:after="1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8D37A1E" w14:textId="77777777">
            <w:pPr>
              <w:spacing w:before="35" w:after="13"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55935C6"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E8522A5" w14:textId="77777777">
            <w:pPr>
              <w:spacing w:before="35" w:after="7" w:line="188" w:lineRule="exact"/>
              <w:textAlignment w:val="baseline"/>
              <w:rPr>
                <w:rFonts w:eastAsia="Times New Roman"/>
                <w:color w:val="000000"/>
                <w:sz w:val="16"/>
                <w:lang w:val="en-GB"/>
              </w:rPr>
            </w:pPr>
            <w:r w:rsidRPr="009C48DA">
              <w:rPr>
                <w:rFonts w:eastAsia="Times New Roman"/>
                <w:color w:val="000000"/>
                <w:sz w:val="16"/>
                <w:lang w:val="en-GB"/>
              </w:rPr>
              <w:t>BDC IV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48EC2D9" w14:textId="77777777">
            <w:pPr>
              <w:spacing w:before="35" w:after="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3D5CD6F"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C36E38F"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0C49C53"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1ADD88C" w14:textId="77777777">
            <w:pPr>
              <w:spacing w:before="35" w:after="7"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BCB25C6"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A70A846" w14:textId="77777777">
            <w:pPr>
              <w:spacing w:after="7" w:line="188" w:lineRule="exact"/>
              <w:textAlignment w:val="baseline"/>
              <w:rPr>
                <w:rFonts w:eastAsia="Times New Roman"/>
                <w:color w:val="000000"/>
                <w:sz w:val="16"/>
                <w:lang w:val="en-GB"/>
              </w:rPr>
            </w:pPr>
            <w:r w:rsidRPr="009C48DA">
              <w:rPr>
                <w:rFonts w:eastAsia="Times New Roman"/>
                <w:color w:val="000000"/>
                <w:sz w:val="16"/>
                <w:lang w:val="en-GB"/>
              </w:rPr>
              <w:t>BDC IV GP 1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EF470DE" w14:textId="77777777">
            <w:pPr>
              <w:spacing w:after="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29AD155" w14:textId="77777777">
            <w:pPr>
              <w:spacing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85D9E2A" w14:textId="77777777">
            <w:pPr>
              <w:spacing w:after="7"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A89ADDC" w14:textId="77777777">
            <w:pPr>
              <w:spacing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EDFD3BF" w14:textId="77777777">
            <w:pPr>
              <w:spacing w:after="7"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A13B479"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B74D92C" w14:textId="77777777">
            <w:pPr>
              <w:spacing w:before="35" w:line="186" w:lineRule="exact"/>
              <w:textAlignment w:val="baseline"/>
              <w:rPr>
                <w:rFonts w:eastAsia="Times New Roman"/>
                <w:color w:val="000000"/>
                <w:sz w:val="16"/>
                <w:lang w:val="en-GB"/>
              </w:rPr>
            </w:pPr>
            <w:r w:rsidRPr="009C48DA">
              <w:rPr>
                <w:rFonts w:eastAsia="Times New Roman"/>
                <w:color w:val="000000"/>
                <w:sz w:val="16"/>
                <w:lang w:val="en-GB"/>
              </w:rPr>
              <w:t>BDC IV GP 2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CBC4853" w14:textId="77777777">
            <w:pPr>
              <w:spacing w:before="35" w:line="186"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E2F5BBD"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9DF355C"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30EB9C7"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6F9D958" w14:textId="77777777">
            <w:pPr>
              <w:spacing w:before="35" w:line="186"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3732E16" w14:textId="77777777">
        <w:trPr>
          <w:gridAfter w:val="1"/>
          <w:wAfter w:w="104" w:type="dxa"/>
          <w:trHeight w:val="231"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0FF65F1" w14:textId="77777777">
            <w:pPr>
              <w:spacing w:after="13" w:line="188" w:lineRule="exact"/>
              <w:textAlignment w:val="baseline"/>
              <w:rPr>
                <w:rFonts w:eastAsia="Times New Roman"/>
                <w:color w:val="000000"/>
                <w:sz w:val="16"/>
                <w:lang w:val="en-GB"/>
              </w:rPr>
            </w:pPr>
            <w:r w:rsidRPr="009C48DA">
              <w:rPr>
                <w:rFonts w:eastAsia="Times New Roman"/>
                <w:color w:val="000000"/>
                <w:sz w:val="16"/>
                <w:lang w:val="en-GB"/>
              </w:rPr>
              <w:t>BDC IV MLP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0F69C2E" w14:textId="77777777">
            <w:pPr>
              <w:spacing w:after="13"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FD24B15" w14:textId="77777777">
            <w:pPr>
              <w:spacing w:after="1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1972B37" w14:textId="77777777">
            <w:pPr>
              <w:spacing w:after="13" w:line="188" w:lineRule="exact"/>
              <w:jc w:val="center"/>
              <w:textAlignment w:val="baseline"/>
              <w:rPr>
                <w:rFonts w:eastAsia="Times New Roman"/>
                <w:color w:val="000000"/>
                <w:sz w:val="16"/>
                <w:lang w:val="en-GB"/>
              </w:rPr>
            </w:pPr>
            <w:r w:rsidRPr="009C48DA">
              <w:rPr>
                <w:rFonts w:eastAsia="Times New Roman"/>
                <w:color w:val="000000"/>
                <w:sz w:val="16"/>
                <w:lang w:val="en-GB"/>
              </w:rPr>
              <w:t>Managing Limited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F61A000" w14:textId="77777777">
            <w:pPr>
              <w:spacing w:after="1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F441F58" w14:textId="77777777">
            <w:pPr>
              <w:spacing w:after="13"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CC4D2CE"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4BBE7E5" w14:textId="77777777">
            <w:pPr>
              <w:spacing w:before="35" w:after="7" w:line="188" w:lineRule="exact"/>
              <w:textAlignment w:val="baseline"/>
              <w:rPr>
                <w:rFonts w:eastAsia="Times New Roman"/>
                <w:color w:val="000000"/>
                <w:sz w:val="16"/>
                <w:lang w:val="en-GB"/>
              </w:rPr>
            </w:pPr>
            <w:r w:rsidRPr="009C48DA">
              <w:rPr>
                <w:rFonts w:eastAsia="Times New Roman"/>
                <w:color w:val="000000"/>
                <w:sz w:val="16"/>
                <w:lang w:val="en-GB"/>
              </w:rPr>
              <w:t>BDC IV GP LLP</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7BC173B" w14:textId="77777777">
            <w:pPr>
              <w:spacing w:before="35" w:after="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2</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5D40082"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1245F67"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B6CED13"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CCFD901" w14:textId="77777777">
            <w:pPr>
              <w:spacing w:before="35" w:after="7"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1FEB1922" w14:textId="77777777">
        <w:trPr>
          <w:gridAfter w:val="1"/>
          <w:wAfter w:w="104" w:type="dxa"/>
          <w:trHeight w:val="230"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5D801B3" w14:textId="77777777">
            <w:pPr>
              <w:spacing w:before="35" w:after="2" w:line="188" w:lineRule="exact"/>
              <w:textAlignment w:val="baseline"/>
              <w:rPr>
                <w:rFonts w:eastAsia="Times New Roman"/>
                <w:color w:val="000000"/>
                <w:sz w:val="16"/>
                <w:lang w:val="en-GB"/>
              </w:rPr>
            </w:pPr>
            <w:r w:rsidRPr="009C48DA">
              <w:rPr>
                <w:rFonts w:eastAsia="Times New Roman"/>
                <w:color w:val="000000"/>
                <w:sz w:val="16"/>
                <w:lang w:val="en-GB"/>
              </w:rPr>
              <w:t>BDC IV GP LP</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AC61A34" w14:textId="77777777">
            <w:pPr>
              <w:spacing w:before="35" w:after="2"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2</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CE7FF21"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B335E58"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CB72924"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9B21561" w14:textId="77777777">
            <w:pPr>
              <w:spacing w:before="35" w:after="2"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20B15E50"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9300099" w14:textId="77777777">
            <w:pPr>
              <w:spacing w:before="35" w:after="3" w:line="188" w:lineRule="exact"/>
              <w:textAlignment w:val="baseline"/>
              <w:rPr>
                <w:rFonts w:eastAsia="Times New Roman"/>
                <w:color w:val="000000"/>
                <w:sz w:val="16"/>
                <w:lang w:val="en-GB"/>
              </w:rPr>
            </w:pPr>
            <w:r w:rsidRPr="009C48DA">
              <w:rPr>
                <w:rFonts w:eastAsia="Times New Roman"/>
                <w:color w:val="000000"/>
                <w:sz w:val="16"/>
                <w:lang w:val="en-GB"/>
              </w:rPr>
              <w:t>BDC IV SFP GP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193BFDA" w14:textId="77777777">
            <w:pPr>
              <w:spacing w:before="35" w:after="3"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2</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C33F8F7"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0E315B6"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2C4DC3B"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54199AD" w14:textId="77777777">
            <w:pPr>
              <w:spacing w:before="35" w:after="3"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EECA728" w14:textId="77777777">
        <w:trPr>
          <w:gridAfter w:val="1"/>
          <w:wAfter w:w="104" w:type="dxa"/>
          <w:trHeight w:val="236"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F7BDC15" w14:textId="77777777">
            <w:pPr>
              <w:spacing w:before="35" w:after="13" w:line="188" w:lineRule="exact"/>
              <w:textAlignment w:val="baseline"/>
              <w:rPr>
                <w:rFonts w:eastAsia="Times New Roman"/>
                <w:color w:val="000000"/>
                <w:sz w:val="16"/>
                <w:lang w:val="en-GB"/>
              </w:rPr>
            </w:pPr>
            <w:r w:rsidRPr="009C48DA">
              <w:rPr>
                <w:rFonts w:eastAsia="Times New Roman"/>
                <w:color w:val="000000"/>
                <w:sz w:val="16"/>
                <w:lang w:val="en-GB"/>
              </w:rPr>
              <w:t>BDC Special 1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DB6F43C" w14:textId="77777777">
            <w:pPr>
              <w:spacing w:before="35" w:after="13"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2</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EC47D22" w14:textId="77777777">
            <w:pPr>
              <w:spacing w:before="35" w:after="1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3016B4C" w14:textId="77777777">
            <w:pPr>
              <w:spacing w:before="35" w:after="13"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87E3CAB" w14:textId="77777777">
            <w:pPr>
              <w:spacing w:before="35" w:after="1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DEA41D7" w14:textId="77777777">
            <w:pPr>
              <w:spacing w:before="35" w:after="13"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9F8F554"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7D5590A" w14:textId="77777777">
            <w:pPr>
              <w:spacing w:before="35" w:after="7" w:line="188" w:lineRule="exact"/>
              <w:textAlignment w:val="baseline"/>
              <w:rPr>
                <w:rFonts w:eastAsia="Times New Roman"/>
                <w:color w:val="000000"/>
                <w:sz w:val="16"/>
                <w:lang w:val="en-GB"/>
              </w:rPr>
            </w:pPr>
            <w:r w:rsidRPr="009C48DA">
              <w:rPr>
                <w:rFonts w:eastAsia="Times New Roman"/>
                <w:color w:val="000000"/>
                <w:sz w:val="16"/>
                <w:lang w:val="en-GB"/>
              </w:rPr>
              <w:t>BDC Special 2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EC58E41" w14:textId="77777777">
            <w:pPr>
              <w:spacing w:before="35" w:after="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2</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BEF213D"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FDB01E4"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FE474C5"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A60ADD1" w14:textId="77777777">
            <w:pPr>
              <w:spacing w:before="35" w:after="7"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9D187BA" w14:textId="77777777">
        <w:trPr>
          <w:gridAfter w:val="1"/>
          <w:wAfter w:w="104" w:type="dxa"/>
          <w:trHeight w:val="230"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EE87F84" w14:textId="77777777">
            <w:pPr>
              <w:spacing w:after="7" w:line="188" w:lineRule="exact"/>
              <w:textAlignment w:val="baseline"/>
              <w:rPr>
                <w:rFonts w:eastAsia="Times New Roman"/>
                <w:color w:val="000000"/>
                <w:sz w:val="16"/>
                <w:lang w:val="en-GB"/>
              </w:rPr>
            </w:pPr>
            <w:r w:rsidRPr="009C48DA">
              <w:rPr>
                <w:rFonts w:eastAsia="Times New Roman"/>
                <w:color w:val="000000"/>
                <w:sz w:val="16"/>
                <w:lang w:val="en-GB"/>
              </w:rPr>
              <w:t>BDC Special GP LLP</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870C949" w14:textId="77777777">
            <w:pPr>
              <w:spacing w:after="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2</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9E6E9A9" w14:textId="77777777">
            <w:pPr>
              <w:spacing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A9EC0DA" w14:textId="77777777">
            <w:pPr>
              <w:spacing w:after="7"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7593779" w14:textId="77777777">
            <w:pPr>
              <w:spacing w:after="7"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4B1F359" w14:textId="77777777">
            <w:pPr>
              <w:spacing w:after="7"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1601BE15"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650E812" w14:textId="77777777">
            <w:pPr>
              <w:spacing w:before="35" w:after="3" w:line="188" w:lineRule="exact"/>
              <w:textAlignment w:val="baseline"/>
              <w:rPr>
                <w:rFonts w:eastAsia="Times New Roman"/>
                <w:color w:val="000000"/>
                <w:sz w:val="16"/>
                <w:lang w:val="en-GB"/>
              </w:rPr>
            </w:pPr>
            <w:r w:rsidRPr="009C48DA">
              <w:rPr>
                <w:rFonts w:eastAsia="Times New Roman"/>
                <w:color w:val="000000"/>
                <w:sz w:val="16"/>
                <w:lang w:val="en-GB"/>
              </w:rPr>
              <w:t>BDL I Carry GP LLP</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8E40456" w14:textId="77777777">
            <w:pPr>
              <w:spacing w:before="35" w:after="3"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2</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E870C37"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DEC83EE"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58E154F"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6D434FF" w14:textId="77777777">
            <w:pPr>
              <w:spacing w:before="35" w:after="3"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2B167B51" w14:textId="77777777">
        <w:trPr>
          <w:gridAfter w:val="1"/>
          <w:wAfter w:w="104" w:type="dxa"/>
          <w:trHeight w:val="236"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BE5DBE2" w14:textId="77777777">
            <w:pPr>
              <w:spacing w:before="35" w:after="13" w:line="188" w:lineRule="exact"/>
              <w:textAlignment w:val="baseline"/>
              <w:rPr>
                <w:rFonts w:eastAsia="Times New Roman"/>
                <w:color w:val="000000"/>
                <w:sz w:val="16"/>
                <w:lang w:val="en-GB"/>
              </w:rPr>
            </w:pPr>
            <w:r w:rsidRPr="009C48DA">
              <w:rPr>
                <w:rFonts w:eastAsia="Times New Roman"/>
                <w:color w:val="000000"/>
                <w:sz w:val="16"/>
                <w:lang w:val="en-GB"/>
              </w:rPr>
              <w:t>BDL II Carry GP S.à r.l.</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C31460B" w14:textId="77777777">
            <w:pPr>
              <w:spacing w:before="35" w:after="13"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3</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958DEC7" w14:textId="77777777">
            <w:pPr>
              <w:spacing w:before="35" w:after="13" w:line="188"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1673668" w14:textId="77777777">
            <w:pPr>
              <w:spacing w:before="35" w:after="1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F9F23DF" w14:textId="77777777">
            <w:pPr>
              <w:spacing w:before="35" w:after="1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7301807" w14:textId="77777777">
            <w:pPr>
              <w:spacing w:before="35" w:after="13"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64C9331"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885A3CD" w14:textId="77777777">
            <w:pPr>
              <w:spacing w:before="35" w:after="7" w:line="188" w:lineRule="exact"/>
              <w:textAlignment w:val="baseline"/>
              <w:rPr>
                <w:rFonts w:eastAsia="Times New Roman"/>
                <w:color w:val="000000"/>
                <w:sz w:val="16"/>
                <w:lang w:val="en-GB"/>
              </w:rPr>
            </w:pPr>
            <w:r w:rsidRPr="009C48DA">
              <w:rPr>
                <w:rFonts w:eastAsia="Times New Roman"/>
                <w:color w:val="000000"/>
                <w:sz w:val="16"/>
                <w:lang w:val="en-GB"/>
              </w:rPr>
              <w:t>BDL II GP SCS</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9E9ACFD" w14:textId="77777777">
            <w:pPr>
              <w:spacing w:before="35" w:after="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8</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49E449E"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France</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6BB5203"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B463D98"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0B5B77A" w14:textId="77777777">
            <w:pPr>
              <w:spacing w:before="35" w:after="7"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81AFC46" w14:textId="77777777">
        <w:trPr>
          <w:gridAfter w:val="1"/>
          <w:wAfter w:w="104" w:type="dxa"/>
          <w:trHeight w:val="230"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2B7B0C4" w14:textId="77777777">
            <w:pPr>
              <w:spacing w:after="7" w:line="188" w:lineRule="exact"/>
              <w:textAlignment w:val="baseline"/>
              <w:rPr>
                <w:rFonts w:eastAsia="Times New Roman"/>
                <w:color w:val="000000"/>
                <w:sz w:val="16"/>
                <w:lang w:val="en-GB"/>
              </w:rPr>
            </w:pPr>
            <w:r w:rsidRPr="009C48DA">
              <w:rPr>
                <w:rFonts w:eastAsia="Times New Roman"/>
                <w:color w:val="000000"/>
                <w:sz w:val="16"/>
                <w:lang w:val="en-GB"/>
              </w:rPr>
              <w:t>BE Advisers S.àr.L</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C0533AF" w14:textId="77777777">
            <w:pPr>
              <w:spacing w:after="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3</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E9C8A61" w14:textId="77777777">
            <w:pPr>
              <w:spacing w:after="7" w:line="188"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67581DC" w14:textId="77777777">
            <w:pPr>
              <w:spacing w:after="7"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5038780" w14:textId="77777777">
            <w:pPr>
              <w:spacing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3720447" w14:textId="77777777">
            <w:pPr>
              <w:spacing w:after="7"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A68E8C6"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E4CD329" w14:textId="77777777">
            <w:pPr>
              <w:spacing w:before="35" w:after="3" w:line="188" w:lineRule="exact"/>
              <w:textAlignment w:val="baseline"/>
              <w:rPr>
                <w:rFonts w:eastAsia="Times New Roman"/>
                <w:color w:val="000000"/>
                <w:sz w:val="16"/>
                <w:lang w:val="en-GB"/>
              </w:rPr>
            </w:pPr>
            <w:r w:rsidRPr="009C48DA">
              <w:rPr>
                <w:rFonts w:eastAsia="Times New Roman"/>
                <w:color w:val="000000"/>
                <w:sz w:val="16"/>
                <w:lang w:val="en-GB"/>
              </w:rPr>
              <w:t>BE II Investments (GP)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44D9B8B" w14:textId="77777777">
            <w:pPr>
              <w:spacing w:before="35" w:after="3"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055008F"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803385B"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E95BCB2"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174D6FF" w14:textId="77777777">
            <w:pPr>
              <w:spacing w:before="35" w:after="3"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DBEDB6C" w14:textId="77777777">
        <w:trPr>
          <w:gridAfter w:val="1"/>
          <w:wAfter w:w="104" w:type="dxa"/>
          <w:trHeight w:val="236"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5B6E29A" w14:textId="77777777">
            <w:pPr>
              <w:spacing w:before="35" w:after="13" w:line="188" w:lineRule="exact"/>
              <w:textAlignment w:val="baseline"/>
              <w:rPr>
                <w:rFonts w:eastAsia="Times New Roman"/>
                <w:color w:val="000000"/>
                <w:sz w:val="16"/>
                <w:lang w:val="en-GB"/>
              </w:rPr>
            </w:pPr>
            <w:r w:rsidRPr="009C48DA">
              <w:rPr>
                <w:rFonts w:eastAsia="Times New Roman"/>
                <w:color w:val="000000"/>
                <w:sz w:val="16"/>
                <w:lang w:val="en-GB"/>
              </w:rPr>
              <w:t>BEP IV (Nominees)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41FEC49" w14:textId="77777777">
            <w:pPr>
              <w:spacing w:before="35" w:after="13"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7B88B27" w14:textId="77777777">
            <w:pPr>
              <w:spacing w:before="35" w:after="1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DBF40D1" w14:textId="77777777">
            <w:pPr>
              <w:spacing w:before="35" w:after="13" w:line="188" w:lineRule="exact"/>
              <w:jc w:val="center"/>
              <w:textAlignment w:val="baseline"/>
              <w:rPr>
                <w:rFonts w:eastAsia="Times New Roman"/>
                <w:color w:val="000000"/>
                <w:sz w:val="16"/>
                <w:lang w:val="en-GB"/>
              </w:rPr>
            </w:pPr>
            <w:r w:rsidRPr="009C48DA">
              <w:rPr>
                <w:rFonts w:eastAsia="Times New Roman"/>
                <w:color w:val="000000"/>
                <w:sz w:val="16"/>
                <w:lang w:val="en-GB"/>
              </w:rPr>
              <w:t>Nominee 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D26701D" w14:textId="77777777">
            <w:pPr>
              <w:spacing w:before="35" w:after="1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6A7C85F" w14:textId="77777777">
            <w:pPr>
              <w:spacing w:before="35" w:after="13"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05C10D7"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DF4A231" w14:textId="77777777">
            <w:pPr>
              <w:spacing w:after="12" w:line="188" w:lineRule="exact"/>
              <w:textAlignment w:val="baseline"/>
              <w:rPr>
                <w:rFonts w:eastAsia="Times New Roman"/>
                <w:color w:val="000000"/>
                <w:sz w:val="16"/>
                <w:lang w:val="en-GB"/>
              </w:rPr>
            </w:pPr>
            <w:r w:rsidRPr="009C48DA">
              <w:rPr>
                <w:rFonts w:eastAsia="Times New Roman"/>
                <w:color w:val="000000"/>
                <w:sz w:val="16"/>
                <w:lang w:val="en-GB"/>
              </w:rPr>
              <w:t>BEP IV FP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CFEF11E" w14:textId="77777777">
            <w:pPr>
              <w:spacing w:after="12"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B74D207"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BAA5758"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Carried Interest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0E5AE19"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654DAD5" w14:textId="77777777">
            <w:pPr>
              <w:spacing w:after="12"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DB6C0B3"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6FF04C9" w14:textId="77777777">
            <w:pPr>
              <w:spacing w:before="35" w:after="2" w:line="188" w:lineRule="exact"/>
              <w:textAlignment w:val="baseline"/>
              <w:rPr>
                <w:rFonts w:eastAsia="Times New Roman"/>
                <w:color w:val="000000"/>
                <w:sz w:val="16"/>
                <w:lang w:val="en-GB"/>
              </w:rPr>
            </w:pPr>
            <w:r w:rsidRPr="009C48DA">
              <w:rPr>
                <w:rFonts w:eastAsia="Times New Roman"/>
                <w:color w:val="000000"/>
                <w:sz w:val="16"/>
                <w:lang w:val="en-GB"/>
              </w:rPr>
              <w:t>BEP IV FP SGP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0677673" w14:textId="77777777">
            <w:pPr>
              <w:spacing w:before="35" w:after="2"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2</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C37F50A"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9C0639C"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4BA55DB"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B7C618A" w14:textId="77777777">
            <w:pPr>
              <w:spacing w:before="35" w:after="2"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01FEF33" w14:textId="77777777">
        <w:trPr>
          <w:gridAfter w:val="1"/>
          <w:wAfter w:w="104" w:type="dxa"/>
          <w:trHeight w:val="230"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70B7D80" w14:textId="77777777">
            <w:pPr>
              <w:spacing w:after="3" w:line="188" w:lineRule="exact"/>
              <w:textAlignment w:val="baseline"/>
              <w:rPr>
                <w:rFonts w:eastAsia="Times New Roman"/>
                <w:color w:val="000000"/>
                <w:sz w:val="16"/>
                <w:lang w:val="en-GB"/>
              </w:rPr>
            </w:pPr>
            <w:r w:rsidRPr="009C48DA">
              <w:rPr>
                <w:rFonts w:eastAsia="Times New Roman"/>
                <w:color w:val="000000"/>
                <w:sz w:val="16"/>
                <w:lang w:val="en-GB"/>
              </w:rPr>
              <w:t>BEP IV GP 2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EDA75AF" w14:textId="77777777">
            <w:pPr>
              <w:spacing w:after="3"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DE1A0C6" w14:textId="77777777">
            <w:pPr>
              <w:spacing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3E1C2D8" w14:textId="77777777">
            <w:pPr>
              <w:spacing w:after="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6FC960F" w14:textId="77777777">
            <w:pPr>
              <w:spacing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315A320" w14:textId="77777777">
            <w:pPr>
              <w:spacing w:after="3"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8A4C1F0" w14:textId="77777777">
        <w:trPr>
          <w:gridAfter w:val="1"/>
          <w:wAfter w:w="104" w:type="dxa"/>
          <w:trHeight w:val="231"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4283292" w14:textId="77777777">
            <w:pPr>
              <w:spacing w:before="35" w:line="186" w:lineRule="exact"/>
              <w:textAlignment w:val="baseline"/>
              <w:rPr>
                <w:rFonts w:eastAsia="Times New Roman"/>
                <w:color w:val="000000"/>
                <w:sz w:val="16"/>
                <w:lang w:val="en-GB"/>
              </w:rPr>
            </w:pPr>
            <w:r w:rsidRPr="009C48DA">
              <w:rPr>
                <w:rFonts w:eastAsia="Times New Roman"/>
                <w:color w:val="000000"/>
                <w:sz w:val="16"/>
                <w:lang w:val="en-GB"/>
              </w:rPr>
              <w:t>BEP IV GP LLP</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528E9F9" w14:textId="77777777">
            <w:pPr>
              <w:spacing w:before="35" w:line="186" w:lineRule="exact"/>
              <w:ind w:right="211"/>
              <w:jc w:val="center"/>
              <w:textAlignment w:val="baseline"/>
              <w:rPr>
                <w:rFonts w:eastAsia="Times New Roman"/>
                <w:color w:val="000000"/>
                <w:sz w:val="16"/>
                <w:lang w:val="en-GB"/>
              </w:rPr>
            </w:pPr>
            <w:r w:rsidRPr="009C48DA">
              <w:rPr>
                <w:rFonts w:eastAsia="Times New Roman"/>
                <w:color w:val="000000"/>
                <w:sz w:val="16"/>
                <w:lang w:val="en-GB"/>
              </w:rPr>
              <w:t>2</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DA4E301"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9A5666A"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956F488"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7EFE157" w14:textId="77777777">
            <w:pPr>
              <w:spacing w:before="35" w:line="186"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2BBEA46F"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3B0ED6D" w14:textId="77777777">
            <w:pPr>
              <w:spacing w:before="35" w:line="186" w:lineRule="exact"/>
              <w:textAlignment w:val="baseline"/>
              <w:rPr>
                <w:rFonts w:eastAsia="Times New Roman"/>
                <w:color w:val="000000"/>
                <w:sz w:val="16"/>
                <w:lang w:val="en-GB"/>
              </w:rPr>
            </w:pPr>
            <w:r w:rsidRPr="009C48DA">
              <w:rPr>
                <w:rFonts w:eastAsia="Times New Roman"/>
                <w:color w:val="000000"/>
                <w:sz w:val="16"/>
                <w:lang w:val="en-GB"/>
              </w:rPr>
              <w:t>BEP IV GP LP</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591553F" w14:textId="77777777">
            <w:pPr>
              <w:spacing w:before="35" w:line="186" w:lineRule="exact"/>
              <w:ind w:right="211"/>
              <w:jc w:val="center"/>
              <w:textAlignment w:val="baseline"/>
              <w:rPr>
                <w:rFonts w:eastAsia="Times New Roman"/>
                <w:color w:val="000000"/>
                <w:sz w:val="16"/>
                <w:lang w:val="en-GB"/>
              </w:rPr>
            </w:pPr>
            <w:r w:rsidRPr="009C48DA">
              <w:rPr>
                <w:rFonts w:eastAsia="Times New Roman"/>
                <w:color w:val="000000"/>
                <w:sz w:val="16"/>
                <w:lang w:val="en-GB"/>
              </w:rPr>
              <w:t>2</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3804C66"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BFF97DB"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7718C3E"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A1DFEA4" w14:textId="77777777">
            <w:pPr>
              <w:spacing w:before="35" w:line="186"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6C7A3B9A"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BB6FB68" w14:textId="77777777">
            <w:pPr>
              <w:spacing w:before="35" w:after="7" w:line="188" w:lineRule="exact"/>
              <w:textAlignment w:val="baseline"/>
              <w:rPr>
                <w:rFonts w:eastAsia="Times New Roman"/>
                <w:color w:val="000000"/>
                <w:sz w:val="16"/>
                <w:lang w:val="en-GB"/>
              </w:rPr>
            </w:pPr>
            <w:r w:rsidRPr="009C48DA">
              <w:rPr>
                <w:rFonts w:eastAsia="Times New Roman"/>
                <w:color w:val="000000"/>
                <w:sz w:val="16"/>
                <w:lang w:val="en-GB"/>
              </w:rPr>
              <w:t>BEP IV MLP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5D7B0C1" w14:textId="77777777">
            <w:pPr>
              <w:spacing w:before="35" w:after="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EA4AC22"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E6C9442"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Managing Limited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6805DD9"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59D3EAD" w14:textId="77777777">
            <w:pPr>
              <w:spacing w:before="35" w:after="7"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C794B44"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84D6B19" w14:textId="77777777">
            <w:pPr>
              <w:spacing w:before="35" w:after="3" w:line="188" w:lineRule="exact"/>
              <w:textAlignment w:val="baseline"/>
              <w:rPr>
                <w:rFonts w:eastAsia="Times New Roman"/>
                <w:color w:val="000000"/>
                <w:sz w:val="16"/>
                <w:lang w:val="en-GB"/>
              </w:rPr>
            </w:pPr>
            <w:r w:rsidRPr="009C48DA">
              <w:rPr>
                <w:rFonts w:eastAsia="Times New Roman"/>
                <w:color w:val="000000"/>
                <w:sz w:val="16"/>
                <w:lang w:val="en-GB"/>
              </w:rPr>
              <w:t>BE V Germany GP Co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D126424" w14:textId="77777777">
            <w:pPr>
              <w:spacing w:before="35" w:after="3"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4</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5988C8D"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Guernsey</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854BE09"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60B3DAD"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84A10F5" w14:textId="77777777">
            <w:pPr>
              <w:spacing w:before="35" w:after="3"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7253D45" w14:textId="77777777">
        <w:trPr>
          <w:gridAfter w:val="1"/>
          <w:wAfter w:w="104" w:type="dxa"/>
          <w:trHeight w:val="231"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4493564" w14:textId="77777777">
            <w:pPr>
              <w:spacing w:before="31" w:after="2" w:line="188" w:lineRule="exact"/>
              <w:textAlignment w:val="baseline"/>
              <w:rPr>
                <w:rFonts w:eastAsia="Times New Roman"/>
                <w:color w:val="000000"/>
                <w:sz w:val="16"/>
                <w:lang w:val="en-GB"/>
              </w:rPr>
            </w:pPr>
            <w:r w:rsidRPr="009C48DA">
              <w:rPr>
                <w:rFonts w:eastAsia="Times New Roman"/>
                <w:color w:val="000000"/>
                <w:sz w:val="16"/>
                <w:lang w:val="en-GB"/>
              </w:rPr>
              <w:t>BEV FP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791EDF5" w14:textId="77777777">
            <w:pPr>
              <w:spacing w:before="31" w:after="2"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462A56D" w14:textId="77777777">
            <w:pPr>
              <w:spacing w:before="31" w:after="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770FCC6" w14:textId="77777777">
            <w:pPr>
              <w:spacing w:before="31" w:after="2" w:line="188" w:lineRule="exact"/>
              <w:jc w:val="center"/>
              <w:textAlignment w:val="baseline"/>
              <w:rPr>
                <w:rFonts w:eastAsia="Times New Roman"/>
                <w:color w:val="000000"/>
                <w:sz w:val="16"/>
                <w:lang w:val="en-GB"/>
              </w:rPr>
            </w:pPr>
            <w:r w:rsidRPr="009C48DA">
              <w:rPr>
                <w:rFonts w:eastAsia="Times New Roman"/>
                <w:color w:val="000000"/>
                <w:sz w:val="16"/>
                <w:lang w:val="en-GB"/>
              </w:rPr>
              <w:t>Carried Interest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49DF7EB" w14:textId="77777777">
            <w:pPr>
              <w:spacing w:before="31" w:after="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B3CD0DB" w14:textId="77777777">
            <w:pPr>
              <w:spacing w:before="31" w:after="2"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ADA69D9"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AAC667E" w14:textId="77777777">
            <w:pPr>
              <w:spacing w:before="35" w:line="186" w:lineRule="exact"/>
              <w:textAlignment w:val="baseline"/>
              <w:rPr>
                <w:rFonts w:eastAsia="Times New Roman"/>
                <w:color w:val="000000"/>
                <w:sz w:val="16"/>
                <w:lang w:val="en-GB"/>
              </w:rPr>
            </w:pPr>
            <w:r w:rsidRPr="009C48DA">
              <w:rPr>
                <w:rFonts w:eastAsia="Times New Roman"/>
                <w:color w:val="000000"/>
                <w:sz w:val="16"/>
                <w:lang w:val="en-GB"/>
              </w:rPr>
              <w:t>BEV GP LLP</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2E4D53A" w14:textId="77777777">
            <w:pPr>
              <w:spacing w:before="35" w:line="186"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FD4E9AA"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614DF33"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9C36319"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7BD7912" w14:textId="77777777">
            <w:pPr>
              <w:spacing w:before="35" w:line="186"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52560966"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81BA086" w14:textId="77777777">
            <w:pPr>
              <w:spacing w:before="35" w:after="7" w:line="188" w:lineRule="exact"/>
              <w:textAlignment w:val="baseline"/>
              <w:rPr>
                <w:rFonts w:eastAsia="Times New Roman"/>
                <w:color w:val="000000"/>
                <w:sz w:val="16"/>
                <w:lang w:val="en-GB"/>
              </w:rPr>
            </w:pPr>
            <w:r w:rsidRPr="009C48DA">
              <w:rPr>
                <w:rFonts w:eastAsia="Times New Roman"/>
                <w:color w:val="000000"/>
                <w:sz w:val="16"/>
                <w:lang w:val="en-GB"/>
              </w:rPr>
              <w:t>BEV FP SGP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6E9DD5E" w14:textId="77777777">
            <w:pPr>
              <w:spacing w:before="35" w:after="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2</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4DE2AD3"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A1DCC07"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428E742"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03CAA17" w14:textId="77777777">
            <w:pPr>
              <w:spacing w:before="35" w:after="7"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0758A6F"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9B36E1D" w14:textId="77777777">
            <w:pPr>
              <w:spacing w:before="35" w:after="3" w:line="188" w:lineRule="exact"/>
              <w:textAlignment w:val="baseline"/>
              <w:rPr>
                <w:rFonts w:eastAsia="Times New Roman"/>
                <w:color w:val="000000"/>
                <w:sz w:val="16"/>
                <w:lang w:val="en-GB"/>
              </w:rPr>
            </w:pPr>
            <w:r w:rsidRPr="009C48DA">
              <w:rPr>
                <w:rFonts w:eastAsia="Times New Roman"/>
                <w:color w:val="000000"/>
                <w:sz w:val="16"/>
                <w:lang w:val="en-GB"/>
              </w:rPr>
              <w:t>BEV GP 2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3942322" w14:textId="77777777">
            <w:pPr>
              <w:spacing w:before="35" w:after="3"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5148599"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F562BE7"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7DF1749"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48D013F" w14:textId="77777777">
            <w:pPr>
              <w:spacing w:before="35" w:after="3"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A88F030" w14:textId="77777777">
        <w:trPr>
          <w:gridAfter w:val="1"/>
          <w:wAfter w:w="104" w:type="dxa"/>
          <w:trHeight w:val="236"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84C6ECF" w14:textId="77777777">
            <w:pPr>
              <w:spacing w:before="31" w:after="17" w:line="188" w:lineRule="exact"/>
              <w:textAlignment w:val="baseline"/>
              <w:rPr>
                <w:rFonts w:eastAsia="Times New Roman"/>
                <w:color w:val="000000"/>
                <w:sz w:val="16"/>
                <w:lang w:val="en-GB"/>
              </w:rPr>
            </w:pPr>
            <w:r w:rsidRPr="009C48DA">
              <w:rPr>
                <w:rFonts w:eastAsia="Times New Roman"/>
                <w:color w:val="000000"/>
                <w:sz w:val="16"/>
                <w:lang w:val="en-GB"/>
              </w:rPr>
              <w:t>BEV GPC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743D4AA" w14:textId="77777777">
            <w:pPr>
              <w:spacing w:before="31" w:after="1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0425E6B" w14:textId="77777777">
            <w:pPr>
              <w:spacing w:before="31" w:after="1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D2CEE7B" w14:textId="77777777">
            <w:pPr>
              <w:spacing w:before="31" w:after="17"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FC5ED0E" w14:textId="77777777">
            <w:pPr>
              <w:spacing w:before="31" w:after="1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723FC0B" w14:textId="77777777">
            <w:pPr>
              <w:spacing w:before="31" w:after="17"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4893F8A"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2733222" w14:textId="77777777">
            <w:pPr>
              <w:spacing w:before="35" w:after="7" w:line="188" w:lineRule="exact"/>
              <w:textAlignment w:val="baseline"/>
              <w:rPr>
                <w:rFonts w:eastAsia="Times New Roman"/>
                <w:color w:val="000000"/>
                <w:sz w:val="16"/>
                <w:lang w:val="en-GB"/>
              </w:rPr>
            </w:pPr>
            <w:r w:rsidRPr="009C48DA">
              <w:rPr>
                <w:rFonts w:eastAsia="Times New Roman"/>
                <w:color w:val="000000"/>
                <w:sz w:val="16"/>
                <w:lang w:val="en-GB"/>
              </w:rPr>
              <w:t>BEV MLP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857343D" w14:textId="77777777">
            <w:pPr>
              <w:spacing w:before="35" w:after="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47C0BF6"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5E3A353"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Managing Limited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8FD8184"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05E810A" w14:textId="77777777">
            <w:pPr>
              <w:spacing w:before="35" w:after="7"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C36084E" w14:textId="77777777">
        <w:trPr>
          <w:gridAfter w:val="1"/>
          <w:wAfter w:w="104" w:type="dxa"/>
          <w:trHeight w:val="230"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05761FB" w14:textId="77777777">
            <w:pPr>
              <w:spacing w:after="7" w:line="188" w:lineRule="exact"/>
              <w:textAlignment w:val="baseline"/>
              <w:rPr>
                <w:rFonts w:eastAsia="Times New Roman"/>
                <w:color w:val="000000"/>
                <w:sz w:val="16"/>
                <w:lang w:val="en-GB"/>
              </w:rPr>
            </w:pPr>
            <w:r w:rsidRPr="009C48DA">
              <w:rPr>
                <w:rFonts w:eastAsia="Times New Roman"/>
                <w:color w:val="000000"/>
                <w:sz w:val="16"/>
                <w:lang w:val="en-GB"/>
              </w:rPr>
              <w:t>BEV Nominees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356B3A5" w14:textId="77777777">
            <w:pPr>
              <w:spacing w:after="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036BC7F" w14:textId="77777777">
            <w:pPr>
              <w:spacing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EEA4235" w14:textId="77777777">
            <w:pPr>
              <w:spacing w:after="7" w:line="188" w:lineRule="exact"/>
              <w:jc w:val="center"/>
              <w:textAlignment w:val="baseline"/>
              <w:rPr>
                <w:rFonts w:eastAsia="Times New Roman"/>
                <w:color w:val="000000"/>
                <w:sz w:val="16"/>
                <w:lang w:val="en-GB"/>
              </w:rPr>
            </w:pPr>
            <w:r w:rsidRPr="009C48DA">
              <w:rPr>
                <w:rFonts w:eastAsia="Times New Roman"/>
                <w:color w:val="000000"/>
                <w:sz w:val="16"/>
                <w:lang w:val="en-GB"/>
              </w:rPr>
              <w:t>Nominee 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BFABE92" w14:textId="77777777">
            <w:pPr>
              <w:spacing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D6DE6A5" w14:textId="77777777">
            <w:pPr>
              <w:spacing w:after="7"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8426AD8"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FE9734C" w14:textId="77777777">
            <w:pPr>
              <w:spacing w:before="35" w:after="3" w:line="188" w:lineRule="exact"/>
              <w:textAlignment w:val="baseline"/>
              <w:rPr>
                <w:rFonts w:eastAsia="Times New Roman"/>
                <w:color w:val="000000"/>
                <w:sz w:val="16"/>
                <w:lang w:val="en-GB"/>
              </w:rPr>
            </w:pPr>
            <w:r w:rsidRPr="009C48DA">
              <w:rPr>
                <w:rFonts w:eastAsia="Times New Roman"/>
                <w:color w:val="000000"/>
                <w:sz w:val="16"/>
                <w:lang w:val="en-GB"/>
              </w:rPr>
              <w:t>BEV Nominees II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9F91814" w14:textId="77777777">
            <w:pPr>
              <w:spacing w:before="35" w:after="3"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41D9F90"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F7F5186"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Nominee 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2673F0C"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DEA8023" w14:textId="77777777">
            <w:pPr>
              <w:spacing w:before="35" w:after="3"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E2077F5" w14:textId="77777777">
        <w:trPr>
          <w:gridAfter w:val="1"/>
          <w:wAfter w:w="104" w:type="dxa"/>
          <w:trHeight w:val="231"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709E026" w14:textId="77777777">
            <w:pPr>
              <w:spacing w:before="31" w:after="2" w:line="188" w:lineRule="exact"/>
              <w:textAlignment w:val="baseline"/>
              <w:rPr>
                <w:rFonts w:eastAsia="Times New Roman"/>
                <w:color w:val="000000"/>
                <w:sz w:val="16"/>
                <w:lang w:val="en-GB"/>
              </w:rPr>
            </w:pPr>
            <w:r w:rsidRPr="009C48DA">
              <w:rPr>
                <w:rFonts w:eastAsia="Times New Roman"/>
                <w:color w:val="000000"/>
                <w:sz w:val="16"/>
                <w:lang w:val="en-GB"/>
              </w:rPr>
              <w:t>BE VI FP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0E8D910" w14:textId="77777777">
            <w:pPr>
              <w:spacing w:before="31" w:after="2"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FDC0AB0" w14:textId="77777777">
            <w:pPr>
              <w:spacing w:before="31" w:after="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792CD89" w14:textId="77777777">
            <w:pPr>
              <w:spacing w:before="31" w:after="2"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5E40B89" w14:textId="77777777">
            <w:pPr>
              <w:spacing w:before="31" w:after="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89B6FE5" w14:textId="77777777">
            <w:pPr>
              <w:spacing w:before="31" w:after="2"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4933F70"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EA6F50D" w14:textId="77777777">
            <w:pPr>
              <w:spacing w:before="35" w:line="186" w:lineRule="exact"/>
              <w:textAlignment w:val="baseline"/>
              <w:rPr>
                <w:rFonts w:eastAsia="Times New Roman"/>
                <w:color w:val="000000"/>
                <w:sz w:val="16"/>
                <w:lang w:val="en-GB"/>
              </w:rPr>
            </w:pPr>
            <w:r w:rsidRPr="009C48DA">
              <w:rPr>
                <w:rFonts w:eastAsia="Times New Roman"/>
                <w:color w:val="000000"/>
                <w:sz w:val="16"/>
                <w:lang w:val="en-GB"/>
              </w:rPr>
              <w:t>BE VI FP SGP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613E817" w14:textId="77777777">
            <w:pPr>
              <w:spacing w:before="35" w:line="186" w:lineRule="exact"/>
              <w:ind w:right="211"/>
              <w:jc w:val="center"/>
              <w:textAlignment w:val="baseline"/>
              <w:rPr>
                <w:rFonts w:eastAsia="Times New Roman"/>
                <w:color w:val="000000"/>
                <w:sz w:val="16"/>
                <w:lang w:val="en-GB"/>
              </w:rPr>
            </w:pPr>
            <w:r w:rsidRPr="009C48DA">
              <w:rPr>
                <w:rFonts w:eastAsia="Times New Roman"/>
                <w:color w:val="000000"/>
                <w:sz w:val="16"/>
                <w:lang w:val="en-GB"/>
              </w:rPr>
              <w:t>2</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4BB7148"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5F59019"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8A61115"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5EA322A" w14:textId="77777777">
            <w:pPr>
              <w:spacing w:before="35" w:line="186"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1AF0850"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FF57EC8" w14:textId="77777777">
            <w:pPr>
              <w:spacing w:before="35" w:after="7" w:line="188" w:lineRule="exact"/>
              <w:textAlignment w:val="baseline"/>
              <w:rPr>
                <w:rFonts w:eastAsia="Times New Roman"/>
                <w:color w:val="000000"/>
                <w:sz w:val="16"/>
                <w:lang w:val="en-GB"/>
              </w:rPr>
            </w:pPr>
            <w:r w:rsidRPr="009C48DA">
              <w:rPr>
                <w:rFonts w:eastAsia="Times New Roman"/>
                <w:color w:val="000000"/>
                <w:sz w:val="16"/>
                <w:lang w:val="en-GB"/>
              </w:rPr>
              <w:t>BE VI GP 2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80DA95A" w14:textId="77777777">
            <w:pPr>
              <w:spacing w:before="35" w:after="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F26D4B5"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FBB1CFD"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853EBDB"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68BF126" w14:textId="77777777">
            <w:pPr>
              <w:spacing w:before="35" w:after="7"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E930AF5"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2DE9FCF" w14:textId="77777777">
            <w:pPr>
              <w:spacing w:before="35" w:after="3" w:line="188" w:lineRule="exact"/>
              <w:textAlignment w:val="baseline"/>
              <w:rPr>
                <w:rFonts w:eastAsia="Times New Roman"/>
                <w:color w:val="000000"/>
                <w:sz w:val="16"/>
                <w:lang w:val="en-GB"/>
              </w:rPr>
            </w:pPr>
            <w:r w:rsidRPr="009C48DA">
              <w:rPr>
                <w:rFonts w:eastAsia="Times New Roman"/>
                <w:color w:val="000000"/>
                <w:sz w:val="16"/>
                <w:lang w:val="en-GB"/>
              </w:rPr>
              <w:t>BE VI GP LLP</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1A58B43" w14:textId="77777777">
            <w:pPr>
              <w:spacing w:before="35" w:after="3"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2</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6DC529F"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D5A80F8"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4127073"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270DB1E" w14:textId="77777777">
            <w:pPr>
              <w:spacing w:before="35" w:after="3"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23C7FCD8" w14:textId="77777777">
        <w:trPr>
          <w:gridAfter w:val="1"/>
          <w:wAfter w:w="104" w:type="dxa"/>
          <w:trHeight w:val="231"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A18128D" w14:textId="77777777">
            <w:pPr>
              <w:spacing w:before="35" w:line="186" w:lineRule="exact"/>
              <w:textAlignment w:val="baseline"/>
              <w:rPr>
                <w:rFonts w:eastAsia="Times New Roman"/>
                <w:color w:val="000000"/>
                <w:sz w:val="16"/>
                <w:lang w:val="en-GB"/>
              </w:rPr>
            </w:pPr>
            <w:r w:rsidRPr="009C48DA">
              <w:rPr>
                <w:rFonts w:eastAsia="Times New Roman"/>
                <w:color w:val="000000"/>
                <w:sz w:val="16"/>
                <w:lang w:val="en-GB"/>
              </w:rPr>
              <w:t>BE VI GP LP</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88C71E1" w14:textId="77777777">
            <w:pPr>
              <w:spacing w:before="35" w:line="186" w:lineRule="exact"/>
              <w:ind w:right="211"/>
              <w:jc w:val="center"/>
              <w:textAlignment w:val="baseline"/>
              <w:rPr>
                <w:rFonts w:eastAsia="Times New Roman"/>
                <w:color w:val="000000"/>
                <w:sz w:val="16"/>
                <w:lang w:val="en-GB"/>
              </w:rPr>
            </w:pPr>
            <w:r w:rsidRPr="009C48DA">
              <w:rPr>
                <w:rFonts w:eastAsia="Times New Roman"/>
                <w:color w:val="000000"/>
                <w:sz w:val="16"/>
                <w:lang w:val="en-GB"/>
              </w:rPr>
              <w:t>2</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EF9A998"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AEBF26D"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8C02100"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DBF024B" w14:textId="77777777">
            <w:pPr>
              <w:spacing w:before="35" w:line="186"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2C44138D"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A3BBF36" w14:textId="77777777">
            <w:pPr>
              <w:spacing w:before="35" w:line="186" w:lineRule="exact"/>
              <w:textAlignment w:val="baseline"/>
              <w:rPr>
                <w:rFonts w:eastAsia="Times New Roman"/>
                <w:color w:val="000000"/>
                <w:sz w:val="16"/>
                <w:lang w:val="en-GB"/>
              </w:rPr>
            </w:pPr>
            <w:r w:rsidRPr="009C48DA">
              <w:rPr>
                <w:rFonts w:eastAsia="Times New Roman"/>
                <w:color w:val="000000"/>
                <w:sz w:val="16"/>
                <w:lang w:val="en-GB"/>
              </w:rPr>
              <w:t>BE VI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123652A" w14:textId="77777777">
            <w:pPr>
              <w:spacing w:before="35" w:line="186" w:lineRule="exact"/>
              <w:ind w:right="211"/>
              <w:jc w:val="center"/>
              <w:textAlignment w:val="baseline"/>
              <w:rPr>
                <w:rFonts w:eastAsia="Times New Roman"/>
                <w:color w:val="000000"/>
                <w:sz w:val="16"/>
                <w:lang w:val="en-GB"/>
              </w:rPr>
            </w:pPr>
            <w:r w:rsidRPr="009C48DA">
              <w:rPr>
                <w:rFonts w:eastAsia="Times New Roman"/>
                <w:color w:val="000000"/>
                <w:sz w:val="16"/>
                <w:lang w:val="en-GB"/>
              </w:rPr>
              <w:t>4</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5ECE155"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Guernsey</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B8D7B6F"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DC5070D"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AAC3A44" w14:textId="77777777">
            <w:pPr>
              <w:spacing w:before="35" w:line="186"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9821AC7"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AAEE1B0" w14:textId="77777777">
            <w:pPr>
              <w:spacing w:before="35" w:after="7" w:line="188" w:lineRule="exact"/>
              <w:textAlignment w:val="baseline"/>
              <w:rPr>
                <w:rFonts w:eastAsia="Times New Roman"/>
                <w:color w:val="000000"/>
                <w:sz w:val="16"/>
                <w:lang w:val="en-GB"/>
              </w:rPr>
            </w:pPr>
            <w:r w:rsidRPr="009C48DA">
              <w:rPr>
                <w:rFonts w:eastAsia="Times New Roman"/>
                <w:color w:val="000000"/>
                <w:sz w:val="16"/>
                <w:lang w:val="en-GB"/>
              </w:rPr>
              <w:t>BE VI MLP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214F222" w14:textId="77777777">
            <w:pPr>
              <w:spacing w:before="35" w:after="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899C9FB"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EE694E5"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Managing Limited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EEB18EB"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C27AF6F" w14:textId="77777777">
            <w:pPr>
              <w:spacing w:before="35" w:after="7"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5C9F4CE" w14:textId="77777777">
        <w:trPr>
          <w:gridAfter w:val="1"/>
          <w:wAfter w:w="104" w:type="dxa"/>
          <w:trHeight w:val="231"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F4A1BE2" w14:textId="77777777">
            <w:pPr>
              <w:spacing w:after="8" w:line="188" w:lineRule="exact"/>
              <w:textAlignment w:val="baseline"/>
              <w:rPr>
                <w:rFonts w:eastAsia="Times New Roman"/>
                <w:color w:val="000000"/>
                <w:sz w:val="16"/>
                <w:lang w:val="en-GB"/>
              </w:rPr>
            </w:pPr>
            <w:r w:rsidRPr="009C48DA">
              <w:rPr>
                <w:rFonts w:eastAsia="Times New Roman"/>
                <w:color w:val="000000"/>
                <w:sz w:val="16"/>
                <w:lang w:val="en-GB"/>
              </w:rPr>
              <w:t>BE VI Nominees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91C93E8" w14:textId="77777777">
            <w:pPr>
              <w:spacing w:after="8"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862E6DA" w14:textId="77777777">
            <w:pPr>
              <w:spacing w:after="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53EFC2E" w14:textId="77777777">
            <w:pPr>
              <w:spacing w:after="8" w:line="188" w:lineRule="exact"/>
              <w:jc w:val="center"/>
              <w:textAlignment w:val="baseline"/>
              <w:rPr>
                <w:rFonts w:eastAsia="Times New Roman"/>
                <w:color w:val="000000"/>
                <w:sz w:val="16"/>
                <w:lang w:val="en-GB"/>
              </w:rPr>
            </w:pPr>
            <w:r w:rsidRPr="009C48DA">
              <w:rPr>
                <w:rFonts w:eastAsia="Times New Roman"/>
                <w:color w:val="000000"/>
                <w:sz w:val="16"/>
                <w:lang w:val="en-GB"/>
              </w:rPr>
              <w:t>Nominee 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C5D5964" w14:textId="77777777">
            <w:pPr>
              <w:spacing w:after="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43AFB5C" w14:textId="77777777">
            <w:pPr>
              <w:spacing w:after="8"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05D2E32"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FC14A64" w14:textId="77777777">
            <w:pPr>
              <w:spacing w:before="35" w:after="2" w:line="188" w:lineRule="exact"/>
              <w:textAlignment w:val="baseline"/>
              <w:rPr>
                <w:rFonts w:eastAsia="Times New Roman"/>
                <w:color w:val="000000"/>
                <w:sz w:val="16"/>
                <w:lang w:val="en-GB"/>
              </w:rPr>
            </w:pPr>
            <w:r w:rsidRPr="009C48DA">
              <w:rPr>
                <w:rFonts w:eastAsia="Times New Roman"/>
                <w:color w:val="000000"/>
                <w:sz w:val="16"/>
                <w:lang w:val="en-GB"/>
              </w:rPr>
              <w:t>BG Holdco 1 Limited</w:t>
            </w:r>
          </w:p>
        </w:tc>
        <w:tc>
          <w:tcPr>
            <w:tcW w:w="75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354FCA13" w14:textId="77777777">
            <w:pPr>
              <w:jc w:val="center"/>
              <w:textAlignment w:val="baseline"/>
              <w:rPr>
                <w:rFonts w:eastAsia="Times New Roman"/>
                <w:color w:val="000000"/>
                <w:sz w:val="24"/>
                <w:lang w:val="en-GB"/>
              </w:rPr>
            </w:pP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1081C88"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Guernsey</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F3B813F"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8DA20AE"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324A867" w14:textId="77777777">
            <w:pPr>
              <w:spacing w:before="35" w:after="2"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FCF7B02" w14:textId="77777777">
        <w:trPr>
          <w:gridAfter w:val="1"/>
          <w:wAfter w:w="104" w:type="dxa"/>
          <w:trHeight w:val="235"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1C1DF2D" w14:textId="77777777">
            <w:pPr>
              <w:spacing w:before="35" w:line="186" w:lineRule="exact"/>
              <w:textAlignment w:val="baseline"/>
              <w:rPr>
                <w:rFonts w:eastAsia="Times New Roman"/>
                <w:color w:val="000000"/>
                <w:sz w:val="16"/>
                <w:lang w:val="en-GB"/>
              </w:rPr>
            </w:pPr>
            <w:r w:rsidRPr="009C48DA">
              <w:rPr>
                <w:rFonts w:eastAsia="Times New Roman"/>
                <w:color w:val="000000"/>
                <w:sz w:val="16"/>
                <w:lang w:val="en-GB"/>
              </w:rPr>
              <w:t>Bridgepoint AB</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59B7EDD" w14:textId="77777777">
            <w:pPr>
              <w:spacing w:before="35" w:line="186" w:lineRule="exact"/>
              <w:ind w:right="211"/>
              <w:jc w:val="center"/>
              <w:textAlignment w:val="baseline"/>
              <w:rPr>
                <w:rFonts w:eastAsia="Times New Roman"/>
                <w:color w:val="000000"/>
                <w:sz w:val="16"/>
                <w:lang w:val="en-GB"/>
              </w:rPr>
            </w:pPr>
            <w:r w:rsidRPr="009C48DA">
              <w:rPr>
                <w:rFonts w:eastAsia="Times New Roman"/>
                <w:color w:val="000000"/>
                <w:sz w:val="16"/>
                <w:lang w:val="en-GB"/>
              </w:rPr>
              <w:t>5</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95ED15D"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Sweden</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592AA1C"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Private equity advisory 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694DF64"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84AFCC2" w14:textId="77777777">
            <w:pPr>
              <w:spacing w:before="35" w:line="186"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C96E219" w14:textId="77777777">
        <w:trPr>
          <w:gridAfter w:val="1"/>
          <w:wAfter w:w="104" w:type="dxa"/>
          <w:trHeight w:val="259" w:hRule="exact"/>
        </w:trPr>
        <w:tc>
          <w:tcPr>
            <w:tcW w:w="253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5AF0871" w14:textId="77777777">
            <w:pPr>
              <w:spacing w:before="35" w:after="22" w:line="188" w:lineRule="exact"/>
              <w:textAlignment w:val="baseline"/>
              <w:rPr>
                <w:rFonts w:eastAsia="Times New Roman"/>
                <w:color w:val="000000"/>
                <w:sz w:val="16"/>
                <w:lang w:val="en-GB"/>
              </w:rPr>
            </w:pPr>
            <w:r w:rsidRPr="009C48DA">
              <w:rPr>
                <w:rFonts w:eastAsia="Times New Roman"/>
                <w:color w:val="000000"/>
                <w:sz w:val="16"/>
                <w:lang w:val="en-GB"/>
              </w:rPr>
              <w:t>Bridgepoint Advantage 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6E3B5B0" w14:textId="77777777">
            <w:pPr>
              <w:spacing w:before="35" w:after="22"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8BDE439" w14:textId="77777777">
            <w:pPr>
              <w:spacing w:before="35" w:after="2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7E93CE5" w14:textId="77777777">
            <w:pPr>
              <w:spacing w:before="35" w:after="22"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9D1DD08" w14:textId="77777777">
            <w:pPr>
              <w:spacing w:before="35" w:after="2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3194C75" w14:textId="77777777">
            <w:pPr>
              <w:spacing w:before="35" w:after="22"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3648FFE" w14:textId="77777777">
        <w:trPr>
          <w:gridAfter w:val="1"/>
          <w:wAfter w:w="104" w:type="dxa"/>
          <w:trHeight w:val="407" w:hRule="exact"/>
        </w:trPr>
        <w:tc>
          <w:tcPr>
            <w:tcW w:w="2534"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636C9865" w14:textId="77777777">
            <w:pPr>
              <w:spacing w:after="21" w:line="183" w:lineRule="exact"/>
              <w:textAlignment w:val="baseline"/>
              <w:rPr>
                <w:rFonts w:eastAsia="Times New Roman"/>
                <w:color w:val="000000"/>
                <w:sz w:val="16"/>
                <w:lang w:val="en-GB"/>
              </w:rPr>
            </w:pPr>
            <w:r w:rsidRPr="009C48DA">
              <w:rPr>
                <w:rFonts w:eastAsia="Times New Roman"/>
                <w:color w:val="000000"/>
                <w:sz w:val="16"/>
                <w:lang w:val="en-GB"/>
              </w:rPr>
              <w:t xml:space="preserve">Bridgepoint Advantage MLP </w:t>
            </w:r>
          </w:p>
          <w:p w:rsidRPr="009C48DA" w:rsidR="00661519" w:rsidP="00661519" w:rsidRDefault="00661519" w14:paraId="581F4730" w14:textId="77777777">
            <w:pPr>
              <w:spacing w:after="21" w:line="183" w:lineRule="exact"/>
              <w:textAlignment w:val="baseline"/>
              <w:rPr>
                <w:rFonts w:eastAsia="Times New Roman"/>
                <w:color w:val="000000"/>
                <w:sz w:val="16"/>
                <w:lang w:val="en-GB"/>
              </w:rPr>
            </w:pPr>
            <w:r w:rsidRPr="009C48DA">
              <w:rPr>
                <w:rFonts w:eastAsia="Times New Roman"/>
                <w:color w:val="000000"/>
                <w:sz w:val="16"/>
                <w:lang w:val="en-GB"/>
              </w:rPr>
              <w:t>Limited</w:t>
            </w:r>
          </w:p>
        </w:tc>
        <w:tc>
          <w:tcPr>
            <w:tcW w:w="75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2FAD6E0" w14:textId="77777777">
            <w:pPr>
              <w:spacing w:before="98" w:after="117" w:line="188" w:lineRule="exact"/>
              <w:ind w:right="211"/>
              <w:jc w:val="center"/>
              <w:textAlignment w:val="baseline"/>
              <w:rPr>
                <w:rFonts w:eastAsia="Times New Roman"/>
                <w:color w:val="000000"/>
                <w:sz w:val="16"/>
                <w:lang w:val="en-GB"/>
              </w:rPr>
            </w:pPr>
            <w:r w:rsidRPr="009C48DA">
              <w:rPr>
                <w:rFonts w:eastAsia="Times New Roman"/>
                <w:color w:val="000000"/>
                <w:sz w:val="16"/>
                <w:lang w:val="en-GB"/>
              </w:rPr>
              <w:t>1</w:t>
            </w:r>
          </w:p>
        </w:tc>
        <w:tc>
          <w:tcPr>
            <w:tcW w:w="1358"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C12326F" w14:textId="77777777">
            <w:pPr>
              <w:spacing w:before="98" w:after="11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4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12584BF" w14:textId="77777777">
            <w:pPr>
              <w:spacing w:before="98" w:after="117" w:line="188" w:lineRule="exact"/>
              <w:jc w:val="center"/>
              <w:textAlignment w:val="baseline"/>
              <w:rPr>
                <w:rFonts w:eastAsia="Times New Roman"/>
                <w:color w:val="000000"/>
                <w:sz w:val="16"/>
                <w:lang w:val="en-GB"/>
              </w:rPr>
            </w:pPr>
            <w:r w:rsidRPr="009C48DA">
              <w:rPr>
                <w:rFonts w:eastAsia="Times New Roman"/>
                <w:color w:val="000000"/>
                <w:sz w:val="16"/>
                <w:lang w:val="en-GB"/>
              </w:rPr>
              <w:t>Managing Limited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762649C" w14:textId="77777777">
            <w:pPr>
              <w:spacing w:before="98" w:after="11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5"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4BA8A9E" w14:textId="77777777">
            <w:pPr>
              <w:spacing w:before="98" w:after="117" w:line="188" w:lineRule="exact"/>
              <w:ind w:right="517"/>
              <w:jc w:val="right"/>
              <w:textAlignment w:val="baseline"/>
              <w:rPr>
                <w:rFonts w:eastAsia="Times New Roman"/>
                <w:color w:val="000000"/>
                <w:sz w:val="16"/>
                <w:lang w:val="en-GB"/>
              </w:rPr>
            </w:pPr>
            <w:r w:rsidRPr="009C48DA">
              <w:rPr>
                <w:rFonts w:eastAsia="Times New Roman"/>
                <w:color w:val="000000"/>
                <w:sz w:val="16"/>
                <w:lang w:val="en-GB"/>
              </w:rPr>
              <w:t>100%</w:t>
            </w:r>
          </w:p>
        </w:tc>
      </w:tr>
    </w:tbl>
    <w:p w:rsidRPr="009C48DA" w:rsidR="00661519" w:rsidP="00661519" w:rsidRDefault="00661519" w14:paraId="1BA1119E" w14:textId="77777777">
      <w:pPr>
        <w:spacing w:before="111" w:line="189" w:lineRule="exact"/>
        <w:ind w:left="8208" w:firstLine="72"/>
        <w:textAlignment w:val="baseline"/>
        <w:rPr>
          <w:rFonts w:eastAsia="Times New Roman"/>
          <w:b/>
          <w:color w:val="000000"/>
          <w:sz w:val="17"/>
          <w:lang w:val="en-GB"/>
        </w:rPr>
      </w:pPr>
      <w:r w:rsidRPr="009C48DA">
        <w:rPr>
          <w:rFonts w:eastAsia="Times New Roman"/>
          <w:b/>
          <w:color w:val="000000"/>
          <w:sz w:val="17"/>
          <w:lang w:val="en-GB"/>
        </w:rPr>
        <w:lastRenderedPageBreak/>
        <w:t>Company's proportion of</w:t>
      </w:r>
    </w:p>
    <w:p w:rsidRPr="009C48DA" w:rsidR="00661519" w:rsidP="00661519" w:rsidRDefault="00661519" w14:paraId="0D2D9D76" w14:textId="77777777">
      <w:pPr>
        <w:tabs>
          <w:tab w:val="left" w:pos="8208"/>
        </w:tabs>
        <w:spacing w:line="177" w:lineRule="exact"/>
        <w:ind w:left="3600"/>
        <w:textAlignment w:val="baseline"/>
        <w:rPr>
          <w:rFonts w:eastAsia="Times New Roman"/>
          <w:b/>
          <w:color w:val="000000"/>
          <w:spacing w:val="3"/>
          <w:sz w:val="17"/>
          <w:lang w:val="en-GB"/>
        </w:rPr>
      </w:pPr>
      <w:r w:rsidRPr="009C48DA">
        <w:rPr>
          <w:rFonts w:eastAsia="Times New Roman"/>
          <w:b/>
          <w:color w:val="000000"/>
          <w:spacing w:val="3"/>
          <w:sz w:val="17"/>
          <w:lang w:val="en-GB"/>
        </w:rPr>
        <w:t>Country of</w:t>
      </w:r>
      <w:r w:rsidRPr="009C48DA">
        <w:rPr>
          <w:rFonts w:eastAsia="Times New Roman"/>
          <w:b/>
          <w:color w:val="000000"/>
          <w:spacing w:val="3"/>
          <w:sz w:val="17"/>
          <w:lang w:val="en-GB"/>
        </w:rPr>
        <w:tab/>
        <w:t>ownership</w:t>
      </w:r>
    </w:p>
    <w:p w:rsidRPr="009C48DA" w:rsidR="00661519" w:rsidP="00661519" w:rsidRDefault="00661519" w14:paraId="29FE8126" w14:textId="77777777">
      <w:pPr>
        <w:tabs>
          <w:tab w:val="left" w:pos="2736"/>
          <w:tab w:val="left" w:pos="3528"/>
          <w:tab w:val="left" w:pos="5256"/>
          <w:tab w:val="left" w:pos="7200"/>
          <w:tab w:val="left" w:pos="8352"/>
        </w:tabs>
        <w:spacing w:before="5" w:line="189" w:lineRule="exact"/>
        <w:textAlignment w:val="baseline"/>
        <w:rPr>
          <w:rFonts w:eastAsia="Times New Roman"/>
          <w:b/>
          <w:color w:val="000000"/>
          <w:sz w:val="17"/>
          <w:lang w:val="en-GB"/>
        </w:rPr>
      </w:pPr>
      <w:r w:rsidRPr="009C48DA">
        <w:rPr>
          <w:rFonts w:eastAsia="Times New Roman"/>
          <w:b/>
          <w:color w:val="000000"/>
          <w:sz w:val="17"/>
          <w:lang w:val="en-GB"/>
        </w:rPr>
        <w:t>Name of subsidiary</w:t>
      </w:r>
      <w:r w:rsidRPr="009C48DA">
        <w:rPr>
          <w:rFonts w:eastAsia="Times New Roman"/>
          <w:b/>
          <w:color w:val="000000"/>
          <w:sz w:val="17"/>
          <w:lang w:val="en-GB"/>
        </w:rPr>
        <w:tab/>
        <w:t>Ref</w:t>
      </w:r>
      <w:r w:rsidRPr="009C48DA">
        <w:rPr>
          <w:rFonts w:eastAsia="Times New Roman"/>
          <w:b/>
          <w:color w:val="000000"/>
          <w:sz w:val="17"/>
          <w:lang w:val="en-GB"/>
        </w:rPr>
        <w:tab/>
        <w:t>incorporation</w:t>
      </w:r>
      <w:r w:rsidRPr="009C48DA">
        <w:rPr>
          <w:rFonts w:eastAsia="Times New Roman"/>
          <w:b/>
          <w:color w:val="000000"/>
          <w:sz w:val="17"/>
          <w:lang w:val="en-GB"/>
        </w:rPr>
        <w:tab/>
        <w:t>Principal activity</w:t>
      </w:r>
      <w:r w:rsidRPr="009C48DA">
        <w:rPr>
          <w:rFonts w:eastAsia="Times New Roman"/>
          <w:b/>
          <w:color w:val="000000"/>
          <w:sz w:val="17"/>
          <w:lang w:val="en-GB"/>
        </w:rPr>
        <w:tab/>
        <w:t>Share class</w:t>
      </w:r>
      <w:r w:rsidRPr="009C48DA">
        <w:rPr>
          <w:rFonts w:eastAsia="Times New Roman"/>
          <w:b/>
          <w:color w:val="000000"/>
          <w:sz w:val="17"/>
          <w:lang w:val="en-GB"/>
        </w:rPr>
        <w:tab/>
        <w:t>interest</w:t>
      </w:r>
    </w:p>
    <w:tbl>
      <w:tblPr>
        <w:tblW w:w="0" w:type="auto"/>
        <w:tblLayout w:type="fixed"/>
        <w:tblCellMar>
          <w:left w:w="0" w:type="dxa"/>
          <w:right w:w="0" w:type="dxa"/>
        </w:tblCellMar>
        <w:tblLook w:val="0000" w:firstRow="0" w:lastRow="0" w:firstColumn="0" w:lastColumn="0" w:noHBand="0" w:noVBand="0"/>
      </w:tblPr>
      <w:tblGrid>
        <w:gridCol w:w="2609"/>
        <w:gridCol w:w="663"/>
        <w:gridCol w:w="1411"/>
        <w:gridCol w:w="2314"/>
        <w:gridCol w:w="1161"/>
        <w:gridCol w:w="1262"/>
      </w:tblGrid>
      <w:tr w:rsidRPr="009C48DA" w:rsidR="00661519" w:rsidTr="00661519" w14:paraId="65C0B43F" w14:textId="77777777">
        <w:trPr>
          <w:trHeight w:val="408"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23AD5B02" w14:textId="77777777">
            <w:pPr>
              <w:spacing w:after="26" w:line="186" w:lineRule="exact"/>
              <w:ind w:right="648"/>
              <w:textAlignment w:val="baseline"/>
              <w:rPr>
                <w:rFonts w:eastAsia="Times New Roman"/>
                <w:color w:val="000000"/>
                <w:sz w:val="16"/>
                <w:lang w:val="en-GB"/>
              </w:rPr>
            </w:pPr>
            <w:r w:rsidRPr="009C48DA">
              <w:rPr>
                <w:rFonts w:eastAsia="Times New Roman"/>
                <w:color w:val="000000"/>
                <w:sz w:val="16"/>
                <w:lang w:val="en-GB"/>
              </w:rPr>
              <w:t>Bridgepoint Advantage FP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C892B26" w14:textId="77777777">
            <w:pPr>
              <w:spacing w:before="92" w:after="118"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5493F53" w14:textId="77777777">
            <w:pPr>
              <w:spacing w:before="9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60F29EC" w14:textId="77777777">
            <w:pPr>
              <w:spacing w:before="9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EC80340" w14:textId="77777777">
            <w:pPr>
              <w:spacing w:before="9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A3170C9" w14:textId="77777777">
            <w:pPr>
              <w:spacing w:before="92" w:after="118"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22897C3" w14:textId="77777777">
        <w:trPr>
          <w:trHeight w:val="413"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2CCFBDF0" w14:textId="77777777">
            <w:pPr>
              <w:spacing w:after="32" w:line="177" w:lineRule="exact"/>
              <w:textAlignment w:val="baseline"/>
              <w:rPr>
                <w:rFonts w:eastAsia="Times New Roman"/>
                <w:color w:val="000000"/>
                <w:sz w:val="16"/>
                <w:lang w:val="en-GB"/>
              </w:rPr>
            </w:pPr>
            <w:r w:rsidRPr="009C48DA">
              <w:rPr>
                <w:rFonts w:eastAsia="Times New Roman"/>
                <w:color w:val="000000"/>
                <w:sz w:val="16"/>
                <w:lang w:val="en-GB"/>
              </w:rPr>
              <w:t>Bridgepoint Advantage FP SGP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8B66CFD" w14:textId="77777777">
            <w:pPr>
              <w:spacing w:before="97" w:after="123"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2</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98006B8" w14:textId="77777777">
            <w:pPr>
              <w:spacing w:before="97" w:after="12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F8E8E65" w14:textId="77777777">
            <w:pPr>
              <w:spacing w:before="97" w:after="12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AF99275" w14:textId="77777777">
            <w:pPr>
              <w:spacing w:before="97" w:after="12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3745D35" w14:textId="77777777">
            <w:pPr>
              <w:spacing w:before="97" w:after="12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24424D0" w14:textId="77777777">
        <w:trPr>
          <w:trHeight w:val="398"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4A53080E" w14:textId="77777777">
            <w:pPr>
              <w:spacing w:line="186" w:lineRule="exact"/>
              <w:textAlignment w:val="baseline"/>
              <w:rPr>
                <w:rFonts w:eastAsia="Times New Roman"/>
                <w:color w:val="000000"/>
                <w:spacing w:val="1"/>
                <w:sz w:val="16"/>
                <w:lang w:val="en-GB"/>
              </w:rPr>
            </w:pPr>
            <w:r w:rsidRPr="009C48DA">
              <w:rPr>
                <w:rFonts w:eastAsia="Times New Roman"/>
                <w:color w:val="000000"/>
                <w:spacing w:val="1"/>
                <w:sz w:val="16"/>
                <w:lang w:val="en-GB"/>
              </w:rPr>
              <w:t>Bridgepoint Advantage GP 2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E68D05C" w14:textId="77777777">
            <w:pPr>
              <w:spacing w:before="102" w:after="94"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60E3A01" w14:textId="77777777">
            <w:pPr>
              <w:spacing w:before="102" w:after="94"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AD41773" w14:textId="77777777">
            <w:pPr>
              <w:spacing w:before="102" w:after="94"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5945D83" w14:textId="77777777">
            <w:pPr>
              <w:spacing w:before="102" w:after="94"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7D4300C" w14:textId="77777777">
            <w:pPr>
              <w:spacing w:before="102" w:after="94"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DD07498" w14:textId="77777777">
        <w:trPr>
          <w:trHeight w:val="230" w:hRule="exact"/>
        </w:trPr>
        <w:tc>
          <w:tcPr>
            <w:tcW w:w="260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B44FAFA" w14:textId="77777777">
            <w:pPr>
              <w:spacing w:line="186" w:lineRule="exact"/>
              <w:textAlignment w:val="baseline"/>
              <w:rPr>
                <w:rFonts w:eastAsia="Times New Roman"/>
                <w:color w:val="000000"/>
                <w:sz w:val="16"/>
                <w:lang w:val="en-GB"/>
              </w:rPr>
            </w:pPr>
            <w:r w:rsidRPr="009C48DA">
              <w:rPr>
                <w:rFonts w:eastAsia="Times New Roman"/>
                <w:color w:val="000000"/>
                <w:sz w:val="16"/>
                <w:lang w:val="en-GB"/>
              </w:rPr>
              <w:t>Bridgepoint Advantage GP LLP</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05D4A99" w14:textId="77777777">
            <w:pPr>
              <w:spacing w:line="186" w:lineRule="exact"/>
              <w:ind w:right="115"/>
              <w:jc w:val="center"/>
              <w:textAlignment w:val="baseline"/>
              <w:rPr>
                <w:rFonts w:eastAsia="Times New Roman"/>
                <w:color w:val="000000"/>
                <w:sz w:val="16"/>
                <w:lang w:val="en-GB"/>
              </w:rPr>
            </w:pPr>
            <w:r w:rsidRPr="009C48DA">
              <w:rPr>
                <w:rFonts w:eastAsia="Times New Roman"/>
                <w:color w:val="000000"/>
                <w:sz w:val="16"/>
                <w:lang w:val="en-GB"/>
              </w:rPr>
              <w:t>2</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6039A23" w14:textId="77777777">
            <w:pPr>
              <w:spacing w:line="186"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33D004A" w14:textId="77777777">
            <w:pPr>
              <w:spacing w:line="186"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640ECFA" w14:textId="77777777">
            <w:pPr>
              <w:spacing w:line="186"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3D00158" w14:textId="77777777">
            <w:pPr>
              <w:spacing w:line="186"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4840749F" w14:textId="77777777">
        <w:trPr>
          <w:trHeight w:val="260" w:hRule="exact"/>
        </w:trPr>
        <w:tc>
          <w:tcPr>
            <w:tcW w:w="260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115CD13" w14:textId="77777777">
            <w:pPr>
              <w:spacing w:before="35" w:after="37" w:line="188" w:lineRule="exact"/>
              <w:textAlignment w:val="baseline"/>
              <w:rPr>
                <w:rFonts w:eastAsia="Times New Roman"/>
                <w:color w:val="000000"/>
                <w:sz w:val="16"/>
                <w:lang w:val="en-GB"/>
              </w:rPr>
            </w:pPr>
            <w:r w:rsidRPr="009C48DA">
              <w:rPr>
                <w:rFonts w:eastAsia="Times New Roman"/>
                <w:color w:val="000000"/>
                <w:sz w:val="16"/>
                <w:lang w:val="en-GB"/>
              </w:rPr>
              <w:t>Bridgepoint Advantage GP LP</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C69346E" w14:textId="77777777">
            <w:pPr>
              <w:spacing w:before="35" w:after="37"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2</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B0D5AC5" w14:textId="77777777">
            <w:pPr>
              <w:spacing w:before="35" w:after="3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A600650" w14:textId="77777777">
            <w:pPr>
              <w:spacing w:before="35" w:after="37"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0DF2799" w14:textId="77777777">
            <w:pPr>
              <w:spacing w:before="35" w:after="37"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BFEC7B7" w14:textId="77777777">
            <w:pPr>
              <w:spacing w:before="35" w:after="37"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0D938D45" w14:textId="77777777">
        <w:trPr>
          <w:trHeight w:val="422"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6BC6E57E" w14:textId="77777777">
            <w:pPr>
              <w:spacing w:after="31" w:line="187" w:lineRule="exact"/>
              <w:textAlignment w:val="baseline"/>
              <w:rPr>
                <w:rFonts w:eastAsia="Times New Roman"/>
                <w:color w:val="000000"/>
                <w:sz w:val="16"/>
                <w:lang w:val="en-GB"/>
              </w:rPr>
            </w:pPr>
            <w:r w:rsidRPr="009C48DA">
              <w:rPr>
                <w:rFonts w:eastAsia="Times New Roman"/>
                <w:color w:val="000000"/>
                <w:sz w:val="16"/>
                <w:lang w:val="en-GB"/>
              </w:rPr>
              <w:t>Bridgepoint Advantage Nominees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85F0052" w14:textId="77777777">
            <w:pPr>
              <w:spacing w:before="102" w:after="127"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F9C12D7" w14:textId="77777777">
            <w:pPr>
              <w:spacing w:before="102" w:after="12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18BC622" w14:textId="77777777">
            <w:pPr>
              <w:spacing w:before="102" w:after="127" w:line="188" w:lineRule="exact"/>
              <w:jc w:val="center"/>
              <w:textAlignment w:val="baseline"/>
              <w:rPr>
                <w:rFonts w:eastAsia="Times New Roman"/>
                <w:color w:val="000000"/>
                <w:sz w:val="16"/>
                <w:lang w:val="en-GB"/>
              </w:rPr>
            </w:pPr>
            <w:r w:rsidRPr="009C48DA">
              <w:rPr>
                <w:rFonts w:eastAsia="Times New Roman"/>
                <w:color w:val="000000"/>
                <w:sz w:val="16"/>
                <w:lang w:val="en-GB"/>
              </w:rPr>
              <w:t>Nominee 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A3CBBEE" w14:textId="77777777">
            <w:pPr>
              <w:spacing w:before="102" w:after="12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7024811" w14:textId="77777777">
            <w:pPr>
              <w:spacing w:before="102" w:after="127"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A71D99A" w14:textId="77777777">
        <w:trPr>
          <w:trHeight w:val="418"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709F426A" w14:textId="77777777">
            <w:pPr>
              <w:spacing w:after="32" w:line="187" w:lineRule="exact"/>
              <w:textAlignment w:val="baseline"/>
              <w:rPr>
                <w:rFonts w:eastAsia="Times New Roman"/>
                <w:color w:val="000000"/>
                <w:spacing w:val="1"/>
                <w:sz w:val="16"/>
                <w:lang w:val="en-GB"/>
              </w:rPr>
            </w:pPr>
            <w:r w:rsidRPr="009C48DA">
              <w:rPr>
                <w:rFonts w:eastAsia="Times New Roman"/>
                <w:color w:val="000000"/>
                <w:spacing w:val="1"/>
                <w:sz w:val="16"/>
                <w:lang w:val="en-GB"/>
              </w:rPr>
              <w:t>Bridgepoint Advisers Europe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8C3DF1C" w14:textId="77777777">
            <w:pPr>
              <w:spacing w:before="97" w:after="128"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D52FFB9" w14:textId="77777777">
            <w:pPr>
              <w:spacing w:before="97" w:after="12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4295224" w14:textId="77777777">
            <w:pPr>
              <w:spacing w:before="97" w:after="128" w:line="188" w:lineRule="exact"/>
              <w:jc w:val="center"/>
              <w:textAlignment w:val="baseline"/>
              <w:rPr>
                <w:rFonts w:eastAsia="Times New Roman"/>
                <w:color w:val="000000"/>
                <w:sz w:val="16"/>
                <w:lang w:val="en-GB"/>
              </w:rPr>
            </w:pPr>
            <w:r w:rsidRPr="009C48DA">
              <w:rPr>
                <w:rFonts w:eastAsia="Times New Roman"/>
                <w:color w:val="000000"/>
                <w:sz w:val="16"/>
                <w:lang w:val="en-GB"/>
              </w:rPr>
              <w:t>Private equity advisory 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0412BAE" w14:textId="77777777">
            <w:pPr>
              <w:spacing w:before="97" w:after="12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F35B51D" w14:textId="77777777">
            <w:pPr>
              <w:spacing w:before="97" w:after="128"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25366BB" w14:textId="77777777">
        <w:trPr>
          <w:trHeight w:val="388"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1CB5A80A" w14:textId="77777777">
            <w:pPr>
              <w:spacing w:after="8" w:line="182" w:lineRule="exact"/>
              <w:ind w:right="540"/>
              <w:textAlignment w:val="baseline"/>
              <w:rPr>
                <w:rFonts w:eastAsia="Times New Roman"/>
                <w:color w:val="000000"/>
                <w:sz w:val="16"/>
                <w:lang w:val="en-GB"/>
              </w:rPr>
            </w:pPr>
            <w:r w:rsidRPr="009C48DA">
              <w:rPr>
                <w:rFonts w:eastAsia="Times New Roman"/>
                <w:color w:val="000000"/>
                <w:sz w:val="16"/>
                <w:lang w:val="en-GB"/>
              </w:rPr>
              <w:t>Bridgepoint Advisers Group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FFC38DB" w14:textId="77777777">
            <w:pPr>
              <w:spacing w:before="97" w:after="99"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A1E36BA" w14:textId="77777777">
            <w:pPr>
              <w:spacing w:before="97" w:after="99"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4263923" w14:textId="77777777">
            <w:pPr>
              <w:spacing w:before="97" w:after="99" w:line="188" w:lineRule="exact"/>
              <w:jc w:val="center"/>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96ADD11" w14:textId="77777777">
            <w:pPr>
              <w:spacing w:before="97" w:after="99"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3AF977C" w14:textId="77777777">
            <w:pPr>
              <w:spacing w:before="97" w:after="99"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0F1A9A0" w14:textId="77777777">
        <w:trPr>
          <w:trHeight w:val="236" w:hRule="exact"/>
        </w:trPr>
        <w:tc>
          <w:tcPr>
            <w:tcW w:w="260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4990959" w14:textId="77777777">
            <w:pPr>
              <w:spacing w:before="35" w:after="3" w:line="188" w:lineRule="exact"/>
              <w:textAlignment w:val="baseline"/>
              <w:rPr>
                <w:rFonts w:eastAsia="Times New Roman"/>
                <w:color w:val="000000"/>
                <w:sz w:val="16"/>
                <w:lang w:val="en-GB"/>
              </w:rPr>
            </w:pPr>
            <w:r w:rsidRPr="009C48DA">
              <w:rPr>
                <w:rFonts w:eastAsia="Times New Roman"/>
                <w:color w:val="000000"/>
                <w:sz w:val="16"/>
                <w:lang w:val="en-GB"/>
              </w:rPr>
              <w:t>Bridgepoint Advisers Holdings</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E086702" w14:textId="77777777">
            <w:pPr>
              <w:spacing w:before="35" w:after="3"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364A319"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6D1DB29"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BD18F02"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16814C5" w14:textId="77777777">
            <w:pPr>
              <w:spacing w:before="35" w:after="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496CD80" w14:textId="77777777">
        <w:trPr>
          <w:trHeight w:val="417" w:hRule="exact"/>
        </w:trPr>
        <w:tc>
          <w:tcPr>
            <w:tcW w:w="2609" w:type="dxa"/>
            <w:tcBorders>
              <w:top w:val="none" w:color="020000" w:sz="0" w:space="0"/>
              <w:left w:val="none" w:color="020000" w:sz="0" w:space="0"/>
              <w:bottom w:val="none" w:color="020000" w:sz="0" w:space="0"/>
              <w:right w:val="none" w:color="020000" w:sz="0" w:space="0"/>
            </w:tcBorders>
            <w:vAlign w:val="bottom"/>
          </w:tcPr>
          <w:p w:rsidRPr="009C48DA" w:rsidR="00661519" w:rsidP="00661519" w:rsidRDefault="00661519" w14:paraId="620533B8" w14:textId="77777777">
            <w:pPr>
              <w:spacing w:before="217" w:after="3" w:line="188" w:lineRule="exact"/>
              <w:textAlignment w:val="baseline"/>
              <w:rPr>
                <w:rFonts w:eastAsia="Times New Roman"/>
                <w:color w:val="000000"/>
                <w:sz w:val="16"/>
                <w:lang w:val="en-GB"/>
              </w:rPr>
            </w:pPr>
            <w:r w:rsidRPr="009C48DA">
              <w:rPr>
                <w:rFonts w:eastAsia="Times New Roman"/>
                <w:color w:val="000000"/>
                <w:sz w:val="16"/>
                <w:lang w:val="en-GB"/>
              </w:rPr>
              <w:t>Bridgepoint Advisers II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C9DF674" w14:textId="77777777">
            <w:pPr>
              <w:spacing w:before="126" w:after="94"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304AD76" w14:textId="77777777">
            <w:pPr>
              <w:spacing w:before="126" w:after="94"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757F624D" w14:textId="77777777">
            <w:pPr>
              <w:spacing w:before="41" w:after="3" w:line="182" w:lineRule="exact"/>
              <w:jc w:val="center"/>
              <w:textAlignment w:val="baseline"/>
              <w:rPr>
                <w:rFonts w:eastAsia="Times New Roman"/>
                <w:color w:val="000000"/>
                <w:sz w:val="16"/>
                <w:lang w:val="en-GB"/>
              </w:rPr>
            </w:pPr>
            <w:r w:rsidRPr="009C48DA">
              <w:rPr>
                <w:rFonts w:eastAsia="Times New Roman"/>
                <w:color w:val="000000"/>
                <w:sz w:val="16"/>
                <w:lang w:val="en-GB"/>
              </w:rPr>
              <w:t xml:space="preserve">Private equity management </w:t>
            </w:r>
            <w:r w:rsidRPr="009C48DA">
              <w:rPr>
                <w:rFonts w:eastAsia="Times New Roman"/>
                <w:color w:val="000000"/>
                <w:sz w:val="16"/>
                <w:lang w:val="en-GB"/>
              </w:rPr>
              <w:br/>
              <w:t>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2EB2D64" w14:textId="77777777">
            <w:pPr>
              <w:spacing w:before="126" w:after="94"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3393444" w14:textId="77777777">
            <w:pPr>
              <w:spacing w:before="126" w:after="94"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B0FFD00" w14:textId="77777777">
        <w:trPr>
          <w:trHeight w:val="418" w:hRule="exact"/>
        </w:trPr>
        <w:tc>
          <w:tcPr>
            <w:tcW w:w="2609" w:type="dxa"/>
            <w:tcBorders>
              <w:top w:val="none" w:color="020000" w:sz="0" w:space="0"/>
              <w:left w:val="none" w:color="020000" w:sz="0" w:space="0"/>
              <w:bottom w:val="none" w:color="020000" w:sz="0" w:space="0"/>
              <w:right w:val="none" w:color="020000" w:sz="0" w:space="0"/>
            </w:tcBorders>
            <w:vAlign w:val="bottom"/>
          </w:tcPr>
          <w:p w:rsidRPr="009C48DA" w:rsidR="00661519" w:rsidP="00661519" w:rsidRDefault="00661519" w14:paraId="68567533" w14:textId="77777777">
            <w:pPr>
              <w:spacing w:before="218" w:after="2" w:line="188" w:lineRule="exact"/>
              <w:textAlignment w:val="baseline"/>
              <w:rPr>
                <w:rFonts w:eastAsia="Times New Roman"/>
                <w:color w:val="000000"/>
                <w:sz w:val="16"/>
                <w:lang w:val="en-GB"/>
              </w:rPr>
            </w:pPr>
            <w:r w:rsidRPr="009C48DA">
              <w:rPr>
                <w:rFonts w:eastAsia="Times New Roman"/>
                <w:color w:val="000000"/>
                <w:sz w:val="16"/>
                <w:lang w:val="en-GB"/>
              </w:rPr>
              <w:t>Bridgepoint Advisers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7DB243B" w14:textId="77777777">
            <w:pPr>
              <w:spacing w:before="126" w:after="94"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D09CB32" w14:textId="77777777">
            <w:pPr>
              <w:spacing w:before="126" w:after="94"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4BC4F5E2" w14:textId="77777777">
            <w:pPr>
              <w:spacing w:before="40" w:after="2" w:line="183" w:lineRule="exact"/>
              <w:jc w:val="center"/>
              <w:textAlignment w:val="baseline"/>
              <w:rPr>
                <w:rFonts w:eastAsia="Times New Roman"/>
                <w:color w:val="000000"/>
                <w:sz w:val="16"/>
                <w:lang w:val="en-GB"/>
              </w:rPr>
            </w:pPr>
            <w:r w:rsidRPr="009C48DA">
              <w:rPr>
                <w:rFonts w:eastAsia="Times New Roman"/>
                <w:color w:val="000000"/>
                <w:sz w:val="16"/>
                <w:lang w:val="en-GB"/>
              </w:rPr>
              <w:t xml:space="preserve">Private equity management </w:t>
            </w:r>
            <w:r w:rsidRPr="009C48DA">
              <w:rPr>
                <w:rFonts w:eastAsia="Times New Roman"/>
                <w:color w:val="000000"/>
                <w:sz w:val="16"/>
                <w:lang w:val="en-GB"/>
              </w:rPr>
              <w:br/>
              <w:t>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E19CC32" w14:textId="77777777">
            <w:pPr>
              <w:spacing w:before="126" w:after="94"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EBB85FD" w14:textId="77777777">
            <w:pPr>
              <w:spacing w:before="126" w:after="94"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2CFB443" w14:textId="77777777">
        <w:trPr>
          <w:trHeight w:val="446" w:hRule="exact"/>
        </w:trPr>
        <w:tc>
          <w:tcPr>
            <w:tcW w:w="2609" w:type="dxa"/>
            <w:tcBorders>
              <w:top w:val="none" w:color="020000" w:sz="0" w:space="0"/>
              <w:left w:val="none" w:color="020000" w:sz="0" w:space="0"/>
              <w:bottom w:val="none" w:color="020000" w:sz="0" w:space="0"/>
              <w:right w:val="none" w:color="020000" w:sz="0" w:space="0"/>
            </w:tcBorders>
            <w:vAlign w:val="bottom"/>
          </w:tcPr>
          <w:p w:rsidRPr="009C48DA" w:rsidR="00661519" w:rsidP="00661519" w:rsidRDefault="00661519" w14:paraId="4F69A46B" w14:textId="77777777">
            <w:pPr>
              <w:spacing w:before="222" w:after="27" w:line="188" w:lineRule="exact"/>
              <w:textAlignment w:val="baseline"/>
              <w:rPr>
                <w:rFonts w:eastAsia="Times New Roman"/>
                <w:color w:val="000000"/>
                <w:sz w:val="16"/>
                <w:lang w:val="en-GB"/>
              </w:rPr>
            </w:pPr>
            <w:r w:rsidRPr="009C48DA">
              <w:rPr>
                <w:rFonts w:eastAsia="Times New Roman"/>
                <w:color w:val="000000"/>
                <w:sz w:val="16"/>
                <w:lang w:val="en-GB"/>
              </w:rPr>
              <w:t>Bridgepoint Advisers UK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2D57849" w14:textId="77777777">
            <w:pPr>
              <w:spacing w:before="126" w:after="123"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2745312" w14:textId="77777777">
            <w:pPr>
              <w:spacing w:before="126" w:after="12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73A3CF79" w14:textId="77777777">
            <w:pPr>
              <w:spacing w:before="36" w:after="27" w:line="187" w:lineRule="exact"/>
              <w:jc w:val="center"/>
              <w:textAlignment w:val="baseline"/>
              <w:rPr>
                <w:rFonts w:eastAsia="Times New Roman"/>
                <w:color w:val="000000"/>
                <w:sz w:val="16"/>
                <w:lang w:val="en-GB"/>
              </w:rPr>
            </w:pPr>
            <w:r w:rsidRPr="009C48DA">
              <w:rPr>
                <w:rFonts w:eastAsia="Times New Roman"/>
                <w:color w:val="000000"/>
                <w:sz w:val="16"/>
                <w:lang w:val="en-GB"/>
              </w:rPr>
              <w:t xml:space="preserve">Private equity management </w:t>
            </w:r>
            <w:r w:rsidRPr="009C48DA">
              <w:rPr>
                <w:rFonts w:eastAsia="Times New Roman"/>
                <w:color w:val="000000"/>
                <w:sz w:val="16"/>
                <w:lang w:val="en-GB"/>
              </w:rPr>
              <w:br/>
              <w:t>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E5B518F" w14:textId="77777777">
            <w:pPr>
              <w:spacing w:before="126" w:after="12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054DDD9" w14:textId="77777777">
            <w:pPr>
              <w:spacing w:before="126" w:after="12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E007DAD" w14:textId="77777777">
        <w:trPr>
          <w:trHeight w:val="389"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45432D6E" w14:textId="77777777">
            <w:pPr>
              <w:spacing w:after="2" w:line="183" w:lineRule="exact"/>
              <w:textAlignment w:val="baseline"/>
              <w:rPr>
                <w:rFonts w:eastAsia="Times New Roman"/>
                <w:color w:val="000000"/>
                <w:sz w:val="16"/>
                <w:lang w:val="en-GB"/>
              </w:rPr>
            </w:pPr>
            <w:r w:rsidRPr="009C48DA">
              <w:rPr>
                <w:rFonts w:eastAsia="Times New Roman"/>
                <w:color w:val="000000"/>
                <w:sz w:val="16"/>
                <w:lang w:val="en-GB"/>
              </w:rPr>
              <w:t>Bridgepoint Capital (Doolittle)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D32AC8D" w14:textId="77777777">
            <w:pPr>
              <w:spacing w:before="98" w:after="93"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C128406" w14:textId="77777777">
            <w:pPr>
              <w:spacing w:before="98" w:after="9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D5FBC1C" w14:textId="77777777">
            <w:pPr>
              <w:spacing w:before="98" w:after="93"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CC06785" w14:textId="77777777">
            <w:pPr>
              <w:spacing w:before="98" w:after="9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C5041FE" w14:textId="77777777">
            <w:pPr>
              <w:spacing w:before="98" w:after="9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9BC835E" w14:textId="77777777">
        <w:trPr>
          <w:trHeight w:val="259" w:hRule="exact"/>
        </w:trPr>
        <w:tc>
          <w:tcPr>
            <w:tcW w:w="260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3E20581" w14:textId="77777777">
            <w:pPr>
              <w:spacing w:before="35" w:after="27" w:line="188" w:lineRule="exact"/>
              <w:textAlignment w:val="baseline"/>
              <w:rPr>
                <w:rFonts w:eastAsia="Times New Roman"/>
                <w:color w:val="000000"/>
                <w:sz w:val="16"/>
                <w:lang w:val="en-GB"/>
              </w:rPr>
            </w:pPr>
            <w:r w:rsidRPr="009C48DA">
              <w:rPr>
                <w:rFonts w:eastAsia="Times New Roman"/>
                <w:color w:val="000000"/>
                <w:sz w:val="16"/>
                <w:lang w:val="en-GB"/>
              </w:rPr>
              <w:t>Bridgepoint Capital (GP)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0F9ED6B" w14:textId="77777777">
            <w:pPr>
              <w:spacing w:before="35" w:after="27"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F160D9E" w14:textId="77777777">
            <w:pPr>
              <w:spacing w:before="35" w:after="2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C1547E1" w14:textId="77777777">
            <w:pPr>
              <w:spacing w:before="35" w:after="27"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77368B8" w14:textId="77777777">
            <w:pPr>
              <w:spacing w:before="35" w:after="2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185167D" w14:textId="77777777">
            <w:pPr>
              <w:spacing w:before="35" w:after="27"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EDDCDF6" w14:textId="77777777">
        <w:trPr>
          <w:trHeight w:val="418"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40086B57" w14:textId="77777777">
            <w:pPr>
              <w:spacing w:after="26" w:line="183" w:lineRule="exact"/>
              <w:textAlignment w:val="baseline"/>
              <w:rPr>
                <w:rFonts w:eastAsia="Times New Roman"/>
                <w:color w:val="000000"/>
                <w:sz w:val="16"/>
                <w:lang w:val="en-GB"/>
              </w:rPr>
            </w:pPr>
            <w:r w:rsidRPr="009C48DA">
              <w:rPr>
                <w:rFonts w:eastAsia="Times New Roman"/>
                <w:color w:val="000000"/>
                <w:sz w:val="16"/>
                <w:lang w:val="en-GB"/>
              </w:rPr>
              <w:t>Bridgepoint Capital (Nominees)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E0AB94E" w14:textId="77777777">
            <w:pPr>
              <w:spacing w:before="102" w:after="118"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C73B0DE" w14:textId="77777777">
            <w:pPr>
              <w:spacing w:before="10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D54EBB9" w14:textId="77777777">
            <w:pPr>
              <w:spacing w:before="10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Nominee 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DE3DF16" w14:textId="77777777">
            <w:pPr>
              <w:spacing w:before="10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9F248C1" w14:textId="77777777">
            <w:pPr>
              <w:spacing w:before="102" w:after="118"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96D9043" w14:textId="77777777">
        <w:trPr>
          <w:trHeight w:val="393"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0E33128A" w14:textId="77777777">
            <w:pPr>
              <w:spacing w:line="181" w:lineRule="exact"/>
              <w:textAlignment w:val="baseline"/>
              <w:rPr>
                <w:rFonts w:eastAsia="Times New Roman"/>
                <w:color w:val="000000"/>
                <w:sz w:val="16"/>
                <w:lang w:val="en-GB"/>
              </w:rPr>
            </w:pPr>
            <w:r w:rsidRPr="009C48DA">
              <w:rPr>
                <w:rFonts w:eastAsia="Times New Roman"/>
                <w:color w:val="000000"/>
                <w:sz w:val="16"/>
                <w:lang w:val="en-GB"/>
              </w:rPr>
              <w:t>Bridgepoint Capital (Nominees) 2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85AE623" w14:textId="77777777">
            <w:pPr>
              <w:spacing w:before="102" w:after="89"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23BBAC9" w14:textId="77777777">
            <w:pPr>
              <w:spacing w:before="102" w:after="89"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8798457" w14:textId="77777777">
            <w:pPr>
              <w:spacing w:before="102" w:after="89" w:line="188" w:lineRule="exact"/>
              <w:jc w:val="center"/>
              <w:textAlignment w:val="baseline"/>
              <w:rPr>
                <w:rFonts w:eastAsia="Times New Roman"/>
                <w:color w:val="000000"/>
                <w:sz w:val="16"/>
                <w:lang w:val="en-GB"/>
              </w:rPr>
            </w:pPr>
            <w:r w:rsidRPr="009C48DA">
              <w:rPr>
                <w:rFonts w:eastAsia="Times New Roman"/>
                <w:color w:val="000000"/>
                <w:sz w:val="16"/>
                <w:lang w:val="en-GB"/>
              </w:rPr>
              <w:t>Nominee 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8D6D6D9" w14:textId="77777777">
            <w:pPr>
              <w:spacing w:before="102" w:after="89"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4FD031F" w14:textId="77777777">
            <w:pPr>
              <w:spacing w:before="102" w:after="89"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B58168C" w14:textId="77777777">
        <w:trPr>
          <w:trHeight w:val="442"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4B43FF34" w14:textId="77777777">
            <w:pPr>
              <w:spacing w:before="40" w:after="26" w:line="183" w:lineRule="exact"/>
              <w:ind w:right="216"/>
              <w:textAlignment w:val="baseline"/>
              <w:rPr>
                <w:rFonts w:eastAsia="Times New Roman"/>
                <w:color w:val="000000"/>
                <w:sz w:val="16"/>
                <w:lang w:val="en-GB"/>
              </w:rPr>
            </w:pPr>
            <w:r w:rsidRPr="009C48DA">
              <w:rPr>
                <w:rFonts w:eastAsia="Times New Roman"/>
                <w:color w:val="000000"/>
                <w:sz w:val="16"/>
                <w:lang w:val="en-GB"/>
              </w:rPr>
              <w:t>Bridgepoint Capital Delaware GP LP</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AA255D2" w14:textId="77777777">
            <w:pPr>
              <w:spacing w:before="127" w:after="117"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6</w:t>
            </w:r>
          </w:p>
        </w:tc>
        <w:tc>
          <w:tcPr>
            <w:tcW w:w="1411"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10C30A4C" w14:textId="77777777">
            <w:pPr>
              <w:spacing w:before="35" w:line="185" w:lineRule="exact"/>
              <w:jc w:val="center"/>
              <w:textAlignment w:val="baseline"/>
              <w:rPr>
                <w:rFonts w:eastAsia="Times New Roman"/>
                <w:color w:val="000000"/>
                <w:sz w:val="16"/>
                <w:lang w:val="en-GB"/>
              </w:rPr>
            </w:pPr>
            <w:r w:rsidRPr="009C48DA">
              <w:rPr>
                <w:rFonts w:eastAsia="Times New Roman"/>
                <w:color w:val="000000"/>
                <w:sz w:val="16"/>
                <w:lang w:val="en-GB"/>
              </w:rPr>
              <w:t>United States of</w:t>
            </w:r>
          </w:p>
          <w:p w:rsidRPr="009C48DA" w:rsidR="00661519" w:rsidP="00661519" w:rsidRDefault="00661519" w14:paraId="256EB125" w14:textId="77777777">
            <w:pPr>
              <w:spacing w:after="26" w:line="186" w:lineRule="exact"/>
              <w:jc w:val="center"/>
              <w:textAlignment w:val="baseline"/>
              <w:rPr>
                <w:rFonts w:eastAsia="Times New Roman"/>
                <w:color w:val="000000"/>
                <w:sz w:val="16"/>
                <w:lang w:val="en-GB"/>
              </w:rPr>
            </w:pPr>
            <w:r w:rsidRPr="009C48DA">
              <w:rPr>
                <w:rFonts w:eastAsia="Times New Roman"/>
                <w:color w:val="000000"/>
                <w:sz w:val="16"/>
                <w:lang w:val="en-GB"/>
              </w:rPr>
              <w:t>America</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28EA060" w14:textId="77777777">
            <w:pPr>
              <w:spacing w:before="127" w:after="117"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4AB44BC" w14:textId="77777777">
            <w:pPr>
              <w:spacing w:before="127" w:after="117"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978D389" w14:textId="77777777">
            <w:pPr>
              <w:spacing w:before="127" w:after="117"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3634A9E7" w14:textId="77777777">
        <w:trPr>
          <w:trHeight w:val="418"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3D65C24A" w14:textId="77777777">
            <w:pPr>
              <w:spacing w:after="22" w:line="187" w:lineRule="exact"/>
              <w:textAlignment w:val="baseline"/>
              <w:rPr>
                <w:rFonts w:eastAsia="Times New Roman"/>
                <w:color w:val="000000"/>
                <w:sz w:val="16"/>
                <w:lang w:val="en-GB"/>
              </w:rPr>
            </w:pPr>
            <w:r w:rsidRPr="009C48DA">
              <w:rPr>
                <w:rFonts w:eastAsia="Times New Roman"/>
                <w:color w:val="000000"/>
                <w:sz w:val="16"/>
                <w:lang w:val="en-GB"/>
              </w:rPr>
              <w:t>Bridgepoint Capital Directorships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3DB6B07" w14:textId="77777777">
            <w:pPr>
              <w:spacing w:before="102" w:after="118"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3A58C5D" w14:textId="77777777">
            <w:pPr>
              <w:spacing w:before="10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10694B1" w14:textId="77777777">
            <w:pPr>
              <w:spacing w:before="10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4831A07" w14:textId="77777777">
            <w:pPr>
              <w:spacing w:before="10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48A3C36" w14:textId="77777777">
            <w:pPr>
              <w:spacing w:before="102" w:after="118"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33F8614" w14:textId="77777777">
        <w:trPr>
          <w:trHeight w:val="412"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1D66C4EF" w14:textId="77777777">
            <w:pPr>
              <w:spacing w:after="27" w:line="182" w:lineRule="exact"/>
              <w:ind w:right="540"/>
              <w:textAlignment w:val="baseline"/>
              <w:rPr>
                <w:rFonts w:eastAsia="Times New Roman"/>
                <w:color w:val="000000"/>
                <w:sz w:val="16"/>
                <w:lang w:val="en-GB"/>
              </w:rPr>
            </w:pPr>
            <w:r w:rsidRPr="009C48DA">
              <w:rPr>
                <w:rFonts w:eastAsia="Times New Roman"/>
                <w:color w:val="000000"/>
                <w:sz w:val="16"/>
                <w:lang w:val="en-GB"/>
              </w:rPr>
              <w:t>Bridgepoint Capital General Partner LP</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A9DB947" w14:textId="77777777">
            <w:pPr>
              <w:spacing w:before="102" w:after="118"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2</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FD991F6" w14:textId="77777777">
            <w:pPr>
              <w:spacing w:before="10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8C17AE9" w14:textId="77777777">
            <w:pPr>
              <w:spacing w:before="10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1950FBD" w14:textId="77777777">
            <w:pPr>
              <w:spacing w:before="10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E89B05B" w14:textId="77777777">
            <w:pPr>
              <w:spacing w:before="102" w:after="118"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6C4912DF" w14:textId="77777777">
        <w:trPr>
          <w:trHeight w:val="418"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370759D9" w14:textId="77777777">
            <w:pPr>
              <w:spacing w:after="26" w:line="183" w:lineRule="exact"/>
              <w:ind w:right="540"/>
              <w:textAlignment w:val="baseline"/>
              <w:rPr>
                <w:rFonts w:eastAsia="Times New Roman"/>
                <w:color w:val="000000"/>
                <w:sz w:val="16"/>
                <w:lang w:val="en-GB"/>
              </w:rPr>
            </w:pPr>
            <w:r w:rsidRPr="009C48DA">
              <w:rPr>
                <w:rFonts w:eastAsia="Times New Roman"/>
                <w:color w:val="000000"/>
                <w:sz w:val="16"/>
                <w:lang w:val="en-GB"/>
              </w:rPr>
              <w:t>Bridgepoint Capital General Partner II LP</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00EB699" w14:textId="77777777">
            <w:pPr>
              <w:spacing w:before="107" w:after="118"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2</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F7FD11E" w14:textId="77777777">
            <w:pPr>
              <w:spacing w:before="107" w:after="11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58634F5" w14:textId="77777777">
            <w:pPr>
              <w:spacing w:before="107" w:after="118"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8AA524E" w14:textId="77777777">
            <w:pPr>
              <w:spacing w:before="107" w:after="118"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9242FC3" w14:textId="77777777">
            <w:pPr>
              <w:spacing w:before="107" w:after="118"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3398ADE3" w14:textId="77777777">
        <w:trPr>
          <w:trHeight w:val="427"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4A65D658" w14:textId="77777777">
            <w:pPr>
              <w:spacing w:after="22" w:line="187" w:lineRule="exact"/>
              <w:ind w:right="288"/>
              <w:textAlignment w:val="baseline"/>
              <w:rPr>
                <w:rFonts w:eastAsia="Times New Roman"/>
                <w:color w:val="000000"/>
                <w:spacing w:val="-1"/>
                <w:sz w:val="16"/>
                <w:lang w:val="en-GB"/>
              </w:rPr>
            </w:pPr>
            <w:r w:rsidRPr="009C48DA">
              <w:rPr>
                <w:rFonts w:eastAsia="Times New Roman"/>
                <w:color w:val="000000"/>
                <w:spacing w:val="-1"/>
                <w:sz w:val="16"/>
                <w:lang w:val="en-GB"/>
              </w:rPr>
              <w:t>Bridgepoint Capital Group Limited Employee Benefit Trust</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FDCC603" w14:textId="77777777">
            <w:pPr>
              <w:spacing w:before="107" w:after="118"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3A524FA" w14:textId="77777777">
            <w:pPr>
              <w:spacing w:before="107" w:after="11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1885407" w14:textId="77777777">
            <w:pPr>
              <w:spacing w:before="107" w:after="118" w:line="188" w:lineRule="exact"/>
              <w:jc w:val="center"/>
              <w:textAlignment w:val="baseline"/>
              <w:rPr>
                <w:rFonts w:eastAsia="Times New Roman"/>
                <w:color w:val="000000"/>
                <w:sz w:val="16"/>
                <w:lang w:val="en-GB"/>
              </w:rPr>
            </w:pPr>
            <w:r w:rsidRPr="009C48DA">
              <w:rPr>
                <w:rFonts w:eastAsia="Times New Roman"/>
                <w:color w:val="000000"/>
                <w:sz w:val="16"/>
                <w:lang w:val="en-GB"/>
              </w:rPr>
              <w:t>Employee Benefit Trust</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60C55C7" w14:textId="77777777">
            <w:pPr>
              <w:spacing w:before="107" w:after="118"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24386D7" w14:textId="77777777">
            <w:pPr>
              <w:spacing w:before="107" w:after="118"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3E75FE0A" w14:textId="77777777">
        <w:trPr>
          <w:trHeight w:val="413"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0353B7C2" w14:textId="77777777">
            <w:pPr>
              <w:spacing w:after="26" w:line="183" w:lineRule="exact"/>
              <w:textAlignment w:val="baseline"/>
              <w:rPr>
                <w:rFonts w:eastAsia="Times New Roman"/>
                <w:color w:val="000000"/>
                <w:sz w:val="16"/>
                <w:lang w:val="en-GB"/>
              </w:rPr>
            </w:pPr>
            <w:r w:rsidRPr="009C48DA">
              <w:rPr>
                <w:rFonts w:eastAsia="Times New Roman"/>
                <w:color w:val="000000"/>
                <w:sz w:val="16"/>
                <w:lang w:val="en-GB"/>
              </w:rPr>
              <w:t>Bridgepoint Capital Scottish GP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DBD3C3B" w14:textId="77777777">
            <w:pPr>
              <w:spacing w:before="102" w:after="113"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2</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FBC8A77" w14:textId="77777777">
            <w:pPr>
              <w:spacing w:before="102" w:after="11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F18B858" w14:textId="77777777">
            <w:pPr>
              <w:spacing w:before="102" w:after="11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264DBE4" w14:textId="77777777">
            <w:pPr>
              <w:spacing w:before="102" w:after="11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2547E17" w14:textId="77777777">
            <w:pPr>
              <w:spacing w:before="102" w:after="11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4C46532" w14:textId="77777777">
        <w:trPr>
          <w:trHeight w:val="422"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4F9F9CA0" w14:textId="77777777">
            <w:pPr>
              <w:spacing w:after="22" w:line="187" w:lineRule="exact"/>
              <w:textAlignment w:val="baseline"/>
              <w:rPr>
                <w:rFonts w:eastAsia="Times New Roman"/>
                <w:color w:val="000000"/>
                <w:sz w:val="16"/>
                <w:lang w:val="en-GB"/>
              </w:rPr>
            </w:pPr>
            <w:r w:rsidRPr="009C48DA">
              <w:rPr>
                <w:rFonts w:eastAsia="Times New Roman"/>
                <w:color w:val="000000"/>
                <w:sz w:val="16"/>
                <w:lang w:val="en-GB"/>
              </w:rPr>
              <w:t>Bridgepoint Capital Scottish GP II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9487B8B" w14:textId="77777777">
            <w:pPr>
              <w:spacing w:before="107" w:after="113"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2</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CB86009" w14:textId="77777777">
            <w:pPr>
              <w:spacing w:before="107" w:after="11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848F942" w14:textId="77777777">
            <w:pPr>
              <w:spacing w:before="107" w:after="11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28F3776" w14:textId="77777777">
            <w:pPr>
              <w:spacing w:before="107" w:after="11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B4F8595" w14:textId="77777777">
            <w:pPr>
              <w:spacing w:before="107" w:after="11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82CC233" w14:textId="77777777">
        <w:trPr>
          <w:trHeight w:val="413"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1D6AEE42" w14:textId="77777777">
            <w:pPr>
              <w:spacing w:after="27" w:line="178" w:lineRule="exact"/>
              <w:ind w:right="540"/>
              <w:textAlignment w:val="baseline"/>
              <w:rPr>
                <w:rFonts w:eastAsia="Times New Roman"/>
                <w:color w:val="000000"/>
                <w:sz w:val="16"/>
                <w:lang w:val="en-GB"/>
              </w:rPr>
            </w:pPr>
            <w:r w:rsidRPr="009C48DA">
              <w:rPr>
                <w:rFonts w:eastAsia="Times New Roman"/>
                <w:color w:val="000000"/>
                <w:sz w:val="16"/>
                <w:lang w:val="en-GB"/>
              </w:rPr>
              <w:t>Bridgepoint Capital Partners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A430B35" w14:textId="77777777">
            <w:pPr>
              <w:spacing w:before="98" w:after="118"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911B0B1" w14:textId="77777777">
            <w:pPr>
              <w:spacing w:before="98" w:after="11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6B4583B" w14:textId="77777777">
            <w:pPr>
              <w:spacing w:before="98" w:after="118"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FA9B8C9" w14:textId="77777777">
            <w:pPr>
              <w:spacing w:before="98" w:after="11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D22B955" w14:textId="77777777">
            <w:pPr>
              <w:spacing w:before="98" w:after="118"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FB6C222" w14:textId="77777777">
        <w:trPr>
          <w:trHeight w:val="423"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482313F1" w14:textId="77777777">
            <w:pPr>
              <w:spacing w:after="37" w:line="187" w:lineRule="exact"/>
              <w:ind w:right="576"/>
              <w:textAlignment w:val="baseline"/>
              <w:rPr>
                <w:rFonts w:eastAsia="Times New Roman"/>
                <w:color w:val="000000"/>
                <w:sz w:val="16"/>
                <w:lang w:val="en-GB"/>
              </w:rPr>
            </w:pPr>
            <w:r w:rsidRPr="009C48DA">
              <w:rPr>
                <w:rFonts w:eastAsia="Times New Roman"/>
                <w:color w:val="000000"/>
                <w:sz w:val="16"/>
                <w:lang w:val="en-GB"/>
              </w:rPr>
              <w:t>Bridgepoint Capital Trustee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4C0D03B" w14:textId="77777777">
            <w:pPr>
              <w:spacing w:before="102" w:after="133"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4012C71" w14:textId="77777777">
            <w:pPr>
              <w:spacing w:before="102" w:after="13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C12D00D" w14:textId="77777777">
            <w:pPr>
              <w:spacing w:before="102" w:after="133"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8C47D3B" w14:textId="77777777">
            <w:pPr>
              <w:spacing w:before="102" w:after="13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50519AD" w14:textId="77777777">
            <w:pPr>
              <w:spacing w:before="102" w:after="13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6406F0D" w14:textId="77777777">
        <w:trPr>
          <w:trHeight w:val="388"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21428CB6" w14:textId="77777777">
            <w:pPr>
              <w:spacing w:line="176" w:lineRule="exact"/>
              <w:textAlignment w:val="baseline"/>
              <w:rPr>
                <w:rFonts w:eastAsia="Times New Roman"/>
                <w:color w:val="000000"/>
                <w:sz w:val="16"/>
                <w:lang w:val="en-GB"/>
              </w:rPr>
            </w:pPr>
            <w:r w:rsidRPr="009C48DA">
              <w:rPr>
                <w:rFonts w:eastAsia="Times New Roman"/>
                <w:color w:val="000000"/>
                <w:sz w:val="16"/>
                <w:lang w:val="en-GB"/>
              </w:rPr>
              <w:t>Bridgepoint Capital Verwaltungs Gmbh</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11CED6C" w14:textId="77777777">
            <w:pPr>
              <w:spacing w:before="102" w:after="84"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7</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DCD10C4" w14:textId="77777777">
            <w:pPr>
              <w:spacing w:before="102" w:after="84" w:line="188" w:lineRule="exact"/>
              <w:jc w:val="center"/>
              <w:textAlignment w:val="baseline"/>
              <w:rPr>
                <w:rFonts w:eastAsia="Times New Roman"/>
                <w:color w:val="000000"/>
                <w:sz w:val="16"/>
                <w:lang w:val="en-GB"/>
              </w:rPr>
            </w:pPr>
            <w:r w:rsidRPr="009C48DA">
              <w:rPr>
                <w:rFonts w:eastAsia="Times New Roman"/>
                <w:color w:val="000000"/>
                <w:sz w:val="16"/>
                <w:lang w:val="en-GB"/>
              </w:rPr>
              <w:t>Germany</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F090272" w14:textId="77777777">
            <w:pPr>
              <w:spacing w:before="102" w:after="84"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7AFC80C" w14:textId="77777777">
            <w:pPr>
              <w:spacing w:before="102" w:after="84"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2D9A5F22" w14:textId="77777777">
            <w:pPr>
              <w:spacing w:before="102" w:after="84"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CC06FE5" w14:textId="77777777">
        <w:trPr>
          <w:trHeight w:val="260" w:hRule="exact"/>
        </w:trPr>
        <w:tc>
          <w:tcPr>
            <w:tcW w:w="2609"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0F0F514" w14:textId="77777777">
            <w:pPr>
              <w:spacing w:before="35" w:after="37" w:line="188" w:lineRule="exact"/>
              <w:textAlignment w:val="baseline"/>
              <w:rPr>
                <w:rFonts w:eastAsia="Times New Roman"/>
                <w:color w:val="000000"/>
                <w:sz w:val="16"/>
                <w:lang w:val="en-GB"/>
              </w:rPr>
            </w:pPr>
            <w:r w:rsidRPr="009C48DA">
              <w:rPr>
                <w:rFonts w:eastAsia="Times New Roman"/>
                <w:color w:val="000000"/>
                <w:sz w:val="16"/>
                <w:lang w:val="en-GB"/>
              </w:rPr>
              <w:t>Bridgepoint Credit AD GP S.à r.l.</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6F6D24F" w14:textId="77777777">
            <w:pPr>
              <w:spacing w:before="35" w:after="37"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3</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5EF1CED" w14:textId="77777777">
            <w:pPr>
              <w:spacing w:before="35" w:after="37" w:line="188"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135B697" w14:textId="77777777">
            <w:pPr>
              <w:spacing w:before="35" w:after="37"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34AAC0DB" w14:textId="77777777">
            <w:pPr>
              <w:spacing w:before="35" w:after="3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5B57118" w14:textId="77777777">
            <w:pPr>
              <w:spacing w:before="35" w:after="37"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A785C02" w14:textId="77777777">
        <w:trPr>
          <w:trHeight w:val="422"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2D919DA7" w14:textId="77777777">
            <w:pPr>
              <w:spacing w:after="31" w:line="187" w:lineRule="exact"/>
              <w:ind w:right="576"/>
              <w:textAlignment w:val="baseline"/>
              <w:rPr>
                <w:rFonts w:eastAsia="Times New Roman"/>
                <w:color w:val="000000"/>
                <w:sz w:val="16"/>
                <w:lang w:val="en-GB"/>
              </w:rPr>
            </w:pPr>
            <w:r w:rsidRPr="009C48DA">
              <w:rPr>
                <w:rFonts w:eastAsia="Times New Roman"/>
                <w:color w:val="000000"/>
                <w:sz w:val="16"/>
                <w:lang w:val="en-GB"/>
              </w:rPr>
              <w:t>Bridgepoint Credit Advisers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659D414" w14:textId="77777777">
            <w:pPr>
              <w:spacing w:before="102" w:after="127"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F29D6E2" w14:textId="77777777">
            <w:pPr>
              <w:spacing w:before="102" w:after="12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3259138" w14:textId="77777777">
            <w:pPr>
              <w:spacing w:before="102" w:after="127" w:line="188" w:lineRule="exact"/>
              <w:jc w:val="center"/>
              <w:textAlignment w:val="baseline"/>
              <w:rPr>
                <w:rFonts w:eastAsia="Times New Roman"/>
                <w:color w:val="000000"/>
                <w:sz w:val="16"/>
                <w:lang w:val="en-GB"/>
              </w:rPr>
            </w:pPr>
            <w:r w:rsidRPr="009C48DA">
              <w:rPr>
                <w:rFonts w:eastAsia="Times New Roman"/>
                <w:color w:val="000000"/>
                <w:sz w:val="16"/>
                <w:lang w:val="en-GB"/>
              </w:rPr>
              <w:t>Credit fund advisory 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340C139" w14:textId="77777777">
            <w:pPr>
              <w:spacing w:before="102" w:after="12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641842B" w14:textId="77777777">
            <w:pPr>
              <w:spacing w:before="102" w:after="127"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8B727F0" w14:textId="77777777">
        <w:trPr>
          <w:trHeight w:val="413"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066E9245" w14:textId="77777777">
            <w:pPr>
              <w:spacing w:after="21" w:line="183" w:lineRule="exact"/>
              <w:textAlignment w:val="baseline"/>
              <w:rPr>
                <w:rFonts w:eastAsia="Times New Roman"/>
                <w:color w:val="000000"/>
                <w:sz w:val="16"/>
                <w:lang w:val="en-GB"/>
              </w:rPr>
            </w:pPr>
            <w:r w:rsidRPr="009C48DA">
              <w:rPr>
                <w:rFonts w:eastAsia="Times New Roman"/>
                <w:color w:val="000000"/>
                <w:sz w:val="16"/>
                <w:lang w:val="en-GB"/>
              </w:rPr>
              <w:t>Bridgepoint Credit Advisers UK Limited</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AEE16DD" w14:textId="77777777">
            <w:pPr>
              <w:spacing w:before="102" w:after="108"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1</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AF00628" w14:textId="77777777">
            <w:pPr>
              <w:spacing w:before="102" w:after="10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65291F9F" w14:textId="77777777">
            <w:pPr>
              <w:spacing w:before="102" w:after="108" w:line="188" w:lineRule="exact"/>
              <w:jc w:val="center"/>
              <w:textAlignment w:val="baseline"/>
              <w:rPr>
                <w:rFonts w:eastAsia="Times New Roman"/>
                <w:color w:val="000000"/>
                <w:sz w:val="16"/>
                <w:lang w:val="en-GB"/>
              </w:rPr>
            </w:pPr>
            <w:r w:rsidRPr="009C48DA">
              <w:rPr>
                <w:rFonts w:eastAsia="Times New Roman"/>
                <w:color w:val="000000"/>
                <w:sz w:val="16"/>
                <w:lang w:val="en-GB"/>
              </w:rPr>
              <w:t>Credit fund advisory company</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5AEF099" w14:textId="77777777">
            <w:pPr>
              <w:spacing w:before="102" w:after="10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5351159E" w14:textId="77777777">
            <w:pPr>
              <w:spacing w:before="102" w:after="108"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BE9039C" w14:textId="77777777">
        <w:trPr>
          <w:trHeight w:val="421" w:hRule="exact"/>
        </w:trPr>
        <w:tc>
          <w:tcPr>
            <w:tcW w:w="2609" w:type="dxa"/>
            <w:tcBorders>
              <w:top w:val="none" w:color="020000" w:sz="0" w:space="0"/>
              <w:left w:val="none" w:color="020000" w:sz="0" w:space="0"/>
              <w:bottom w:val="none" w:color="020000" w:sz="0" w:space="0"/>
              <w:right w:val="none" w:color="020000" w:sz="0" w:space="0"/>
            </w:tcBorders>
          </w:tcPr>
          <w:p w:rsidRPr="009C48DA" w:rsidR="00661519" w:rsidP="00661519" w:rsidRDefault="00661519" w14:paraId="5583FE59" w14:textId="77777777">
            <w:pPr>
              <w:spacing w:after="36" w:line="182" w:lineRule="exact"/>
              <w:ind w:right="324"/>
              <w:textAlignment w:val="baseline"/>
              <w:rPr>
                <w:rFonts w:eastAsia="Times New Roman"/>
                <w:color w:val="000000"/>
                <w:sz w:val="16"/>
                <w:lang w:val="en-GB"/>
              </w:rPr>
            </w:pPr>
            <w:r w:rsidRPr="009C48DA">
              <w:rPr>
                <w:rFonts w:eastAsia="Times New Roman"/>
                <w:color w:val="000000"/>
                <w:sz w:val="16"/>
                <w:lang w:val="en-GB"/>
              </w:rPr>
              <w:t>Bridgepoint Credit BOCPIF GP S.à r.l.</w:t>
            </w:r>
          </w:p>
        </w:tc>
        <w:tc>
          <w:tcPr>
            <w:tcW w:w="663"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3C18635" w14:textId="77777777">
            <w:pPr>
              <w:spacing w:before="107" w:after="122" w:line="188" w:lineRule="exact"/>
              <w:ind w:right="115"/>
              <w:jc w:val="center"/>
              <w:textAlignment w:val="baseline"/>
              <w:rPr>
                <w:rFonts w:eastAsia="Times New Roman"/>
                <w:color w:val="000000"/>
                <w:sz w:val="16"/>
                <w:lang w:val="en-GB"/>
              </w:rPr>
            </w:pPr>
            <w:r w:rsidRPr="009C48DA">
              <w:rPr>
                <w:rFonts w:eastAsia="Times New Roman"/>
                <w:color w:val="000000"/>
                <w:sz w:val="16"/>
                <w:lang w:val="en-GB"/>
              </w:rPr>
              <w:t>3</w:t>
            </w:r>
          </w:p>
        </w:tc>
        <w:tc>
          <w:tcPr>
            <w:tcW w:w="141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72466BFA" w14:textId="77777777">
            <w:pPr>
              <w:spacing w:before="107" w:after="122" w:line="188"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314"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12A95607" w14:textId="77777777">
            <w:pPr>
              <w:spacing w:before="107" w:after="12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161"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0555F5EE" w14:textId="77777777">
            <w:pPr>
              <w:spacing w:before="107" w:after="12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62" w:type="dxa"/>
            <w:tcBorders>
              <w:top w:val="none" w:color="020000" w:sz="0" w:space="0"/>
              <w:left w:val="none" w:color="020000" w:sz="0" w:space="0"/>
              <w:bottom w:val="none" w:color="020000" w:sz="0" w:space="0"/>
              <w:right w:val="none" w:color="020000" w:sz="0" w:space="0"/>
            </w:tcBorders>
            <w:vAlign w:val="center"/>
          </w:tcPr>
          <w:p w:rsidRPr="009C48DA" w:rsidR="00661519" w:rsidP="00661519" w:rsidRDefault="00661519" w14:paraId="4DC86574" w14:textId="77777777">
            <w:pPr>
              <w:spacing w:before="107" w:after="12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bl>
    <w:tbl>
      <w:tblPr>
        <w:tblStyle w:val="TableGrid"/>
        <w:tblW w:w="9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410"/>
        <w:gridCol w:w="284"/>
        <w:gridCol w:w="571"/>
        <w:gridCol w:w="1413"/>
        <w:gridCol w:w="2268"/>
        <w:gridCol w:w="1376"/>
        <w:gridCol w:w="1413"/>
      </w:tblGrid>
      <w:tr w:rsidRPr="009C48DA" w:rsidR="00661519" w:rsidTr="00661519" w14:paraId="422B11D9" w14:textId="77777777">
        <w:trPr>
          <w:jc w:val="center"/>
        </w:trPr>
        <w:tc>
          <w:tcPr>
            <w:tcW w:w="2410" w:type="dxa"/>
            <w:vAlign w:val="bottom"/>
          </w:tcPr>
          <w:p w:rsidRPr="009C48DA" w:rsidR="00661519" w:rsidP="00661519" w:rsidRDefault="00661519" w14:paraId="553C43CC" w14:textId="77777777">
            <w:pPr>
              <w:ind w:right="-12"/>
              <w:textAlignment w:val="baseline"/>
              <w:rPr>
                <w:rFonts w:eastAsia="Times New Roman"/>
                <w:color w:val="000000"/>
                <w:sz w:val="16"/>
                <w:szCs w:val="16"/>
                <w:lang w:val="en-GB"/>
              </w:rPr>
            </w:pPr>
            <w:r w:rsidRPr="009C48DA">
              <w:rPr>
                <w:lang w:val="en-GB"/>
              </w:rPr>
              <w:lastRenderedPageBreak/>
              <w:br w:type="page"/>
            </w:r>
            <w:r w:rsidRPr="009C48DA">
              <w:rPr>
                <w:rFonts w:eastAsia="Times New Roman"/>
                <w:b/>
                <w:color w:val="000000"/>
                <w:sz w:val="16"/>
                <w:szCs w:val="16"/>
                <w:lang w:val="en-GB"/>
              </w:rPr>
              <w:t>Name of subsidiary</w:t>
            </w:r>
          </w:p>
        </w:tc>
        <w:tc>
          <w:tcPr>
            <w:tcW w:w="855" w:type="dxa"/>
            <w:gridSpan w:val="2"/>
            <w:vAlign w:val="bottom"/>
          </w:tcPr>
          <w:p w:rsidRPr="009C48DA" w:rsidR="00661519" w:rsidP="00661519" w:rsidRDefault="00661519" w14:paraId="0401D7EF" w14:textId="77777777">
            <w:pPr>
              <w:ind w:right="-12"/>
              <w:jc w:val="center"/>
              <w:textAlignment w:val="baseline"/>
              <w:rPr>
                <w:rFonts w:eastAsia="Times New Roman"/>
                <w:color w:val="000000"/>
                <w:sz w:val="16"/>
                <w:szCs w:val="16"/>
                <w:lang w:val="en-GB"/>
              </w:rPr>
            </w:pPr>
            <w:r w:rsidRPr="009C48DA">
              <w:rPr>
                <w:rFonts w:eastAsia="Times New Roman"/>
                <w:b/>
                <w:color w:val="000000"/>
                <w:sz w:val="16"/>
                <w:szCs w:val="16"/>
                <w:lang w:val="en-GB"/>
              </w:rPr>
              <w:t>Ref</w:t>
            </w:r>
          </w:p>
        </w:tc>
        <w:tc>
          <w:tcPr>
            <w:tcW w:w="1413" w:type="dxa"/>
            <w:vAlign w:val="bottom"/>
          </w:tcPr>
          <w:p w:rsidRPr="009C48DA" w:rsidR="00661519" w:rsidP="00661519" w:rsidRDefault="00661519" w14:paraId="55C591BD" w14:textId="77777777">
            <w:pPr>
              <w:ind w:right="-12"/>
              <w:jc w:val="center"/>
              <w:textAlignment w:val="baseline"/>
              <w:rPr>
                <w:rFonts w:eastAsia="Times New Roman"/>
                <w:color w:val="000000"/>
                <w:sz w:val="16"/>
                <w:szCs w:val="16"/>
                <w:lang w:val="en-GB"/>
              </w:rPr>
            </w:pPr>
            <w:r w:rsidRPr="009C48DA">
              <w:rPr>
                <w:rFonts w:eastAsia="Times New Roman"/>
                <w:b/>
                <w:color w:val="000000"/>
                <w:sz w:val="16"/>
                <w:szCs w:val="16"/>
                <w:lang w:val="en-GB"/>
              </w:rPr>
              <w:t>Country of incorporation</w:t>
            </w:r>
          </w:p>
        </w:tc>
        <w:tc>
          <w:tcPr>
            <w:tcW w:w="2268" w:type="dxa"/>
            <w:vAlign w:val="bottom"/>
          </w:tcPr>
          <w:p w:rsidRPr="009C48DA" w:rsidR="00661519" w:rsidP="00661519" w:rsidRDefault="00661519" w14:paraId="1774D60E" w14:textId="77777777">
            <w:pPr>
              <w:ind w:right="-12"/>
              <w:jc w:val="center"/>
              <w:textAlignment w:val="baseline"/>
              <w:rPr>
                <w:rFonts w:eastAsia="Times New Roman"/>
                <w:color w:val="000000"/>
                <w:sz w:val="16"/>
                <w:szCs w:val="16"/>
                <w:lang w:val="en-GB"/>
              </w:rPr>
            </w:pPr>
            <w:r w:rsidRPr="009C48DA">
              <w:rPr>
                <w:rFonts w:eastAsia="Times New Roman"/>
                <w:b/>
                <w:color w:val="000000"/>
                <w:sz w:val="16"/>
                <w:szCs w:val="16"/>
                <w:lang w:val="en-GB"/>
              </w:rPr>
              <w:t>Principal activity</w:t>
            </w:r>
          </w:p>
        </w:tc>
        <w:tc>
          <w:tcPr>
            <w:tcW w:w="1376" w:type="dxa"/>
            <w:vAlign w:val="bottom"/>
          </w:tcPr>
          <w:p w:rsidRPr="009C48DA" w:rsidR="00661519" w:rsidP="00661519" w:rsidRDefault="00661519" w14:paraId="78449B1E" w14:textId="77777777">
            <w:pPr>
              <w:ind w:right="-12"/>
              <w:jc w:val="center"/>
              <w:textAlignment w:val="baseline"/>
              <w:rPr>
                <w:rFonts w:eastAsia="Times New Roman"/>
                <w:color w:val="000000"/>
                <w:sz w:val="16"/>
                <w:szCs w:val="16"/>
                <w:lang w:val="en-GB"/>
              </w:rPr>
            </w:pPr>
            <w:r w:rsidRPr="009C48DA">
              <w:rPr>
                <w:rFonts w:eastAsia="Times New Roman"/>
                <w:b/>
                <w:color w:val="000000"/>
                <w:sz w:val="16"/>
                <w:szCs w:val="16"/>
                <w:lang w:val="en-GB"/>
              </w:rPr>
              <w:t>Share class</w:t>
            </w:r>
          </w:p>
        </w:tc>
        <w:tc>
          <w:tcPr>
            <w:tcW w:w="1413" w:type="dxa"/>
            <w:vAlign w:val="bottom"/>
          </w:tcPr>
          <w:p w:rsidRPr="009C48DA" w:rsidR="00661519" w:rsidP="00661519" w:rsidRDefault="00661519" w14:paraId="7AFFCB66" w14:textId="77777777">
            <w:pPr>
              <w:ind w:right="-12"/>
              <w:jc w:val="center"/>
              <w:textAlignment w:val="baseline"/>
              <w:rPr>
                <w:rFonts w:eastAsia="Times New Roman"/>
                <w:color w:val="000000"/>
                <w:sz w:val="16"/>
                <w:szCs w:val="16"/>
                <w:lang w:val="en-GB"/>
              </w:rPr>
            </w:pPr>
            <w:r w:rsidRPr="009C48DA">
              <w:rPr>
                <w:rFonts w:eastAsia="Times New Roman"/>
                <w:b/>
                <w:color w:val="000000"/>
                <w:sz w:val="16"/>
                <w:szCs w:val="16"/>
                <w:lang w:val="en-GB"/>
              </w:rPr>
              <w:t>Company’s proportion of ownership interest</w:t>
            </w:r>
          </w:p>
        </w:tc>
      </w:tr>
      <w:tr w:rsidRPr="009C48DA" w:rsidR="00661519" w:rsidTr="00661519" w14:paraId="44EF6F22" w14:textId="77777777">
        <w:trPr>
          <w:jc w:val="center"/>
        </w:trPr>
        <w:tc>
          <w:tcPr>
            <w:tcW w:w="2410" w:type="dxa"/>
            <w:vAlign w:val="center"/>
          </w:tcPr>
          <w:p w:rsidRPr="009C48DA" w:rsidR="00661519" w:rsidP="00661519" w:rsidRDefault="00661519" w14:paraId="09588D2C" w14:textId="77777777">
            <w:pPr>
              <w:spacing w:line="188" w:lineRule="exact"/>
              <w:textAlignment w:val="baseline"/>
              <w:rPr>
                <w:rFonts w:eastAsia="Times New Roman"/>
                <w:color w:val="000000"/>
                <w:sz w:val="16"/>
                <w:lang w:val="en-GB"/>
              </w:rPr>
            </w:pPr>
            <w:r w:rsidRPr="009C48DA">
              <w:rPr>
                <w:rFonts w:eastAsia="Times New Roman"/>
                <w:color w:val="000000"/>
                <w:sz w:val="16"/>
                <w:lang w:val="en-GB"/>
              </w:rPr>
              <w:t>Bridgepoint Credit Carry LP</w:t>
            </w:r>
          </w:p>
        </w:tc>
        <w:tc>
          <w:tcPr>
            <w:tcW w:w="855" w:type="dxa"/>
            <w:gridSpan w:val="2"/>
            <w:vAlign w:val="center"/>
          </w:tcPr>
          <w:p w:rsidRPr="009C48DA" w:rsidR="00661519" w:rsidP="00661519" w:rsidRDefault="00661519" w14:paraId="252C9492" w14:textId="77777777">
            <w:pPr>
              <w:spacing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2</w:t>
            </w:r>
          </w:p>
        </w:tc>
        <w:tc>
          <w:tcPr>
            <w:tcW w:w="1413" w:type="dxa"/>
            <w:vAlign w:val="center"/>
          </w:tcPr>
          <w:p w:rsidRPr="009C48DA" w:rsidR="00661519" w:rsidP="00661519" w:rsidRDefault="00661519" w14:paraId="3A4C78BC" w14:textId="77777777">
            <w:pPr>
              <w:spacing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22C09A04" w14:textId="77777777">
            <w:pPr>
              <w:spacing w:line="188" w:lineRule="exact"/>
              <w:ind w:right="81"/>
              <w:jc w:val="right"/>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376" w:type="dxa"/>
            <w:vAlign w:val="center"/>
          </w:tcPr>
          <w:p w:rsidRPr="009C48DA" w:rsidR="00661519" w:rsidP="00661519" w:rsidRDefault="00661519" w14:paraId="51E15D80" w14:textId="77777777">
            <w:pPr>
              <w:spacing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413" w:type="dxa"/>
            <w:vAlign w:val="center"/>
          </w:tcPr>
          <w:p w:rsidRPr="009C48DA" w:rsidR="00661519" w:rsidP="00661519" w:rsidRDefault="00661519" w14:paraId="4DCCCD5E" w14:textId="77777777">
            <w:pPr>
              <w:spacing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717F40DA" w14:textId="77777777">
        <w:trPr>
          <w:jc w:val="center"/>
        </w:trPr>
        <w:tc>
          <w:tcPr>
            <w:tcW w:w="2410" w:type="dxa"/>
            <w:vAlign w:val="center"/>
          </w:tcPr>
          <w:p w:rsidRPr="009C48DA" w:rsidR="00661519" w:rsidP="00661519" w:rsidRDefault="00661519" w14:paraId="308738FB" w14:textId="77777777">
            <w:pPr>
              <w:spacing w:before="35" w:line="188" w:lineRule="exact"/>
              <w:textAlignment w:val="baseline"/>
              <w:rPr>
                <w:rFonts w:eastAsia="Times New Roman"/>
                <w:color w:val="000000"/>
                <w:sz w:val="16"/>
                <w:lang w:val="en-GB"/>
              </w:rPr>
            </w:pPr>
            <w:r w:rsidRPr="009C48DA">
              <w:rPr>
                <w:rFonts w:eastAsia="Times New Roman"/>
                <w:color w:val="000000"/>
                <w:sz w:val="16"/>
                <w:lang w:val="en-GB"/>
              </w:rPr>
              <w:t>Bridgepoint Credit Carry GP LLP</w:t>
            </w:r>
          </w:p>
        </w:tc>
        <w:tc>
          <w:tcPr>
            <w:tcW w:w="855" w:type="dxa"/>
            <w:gridSpan w:val="2"/>
            <w:vAlign w:val="center"/>
          </w:tcPr>
          <w:p w:rsidRPr="009C48DA" w:rsidR="00661519" w:rsidP="00661519" w:rsidRDefault="00661519" w14:paraId="4EA1AF8D" w14:textId="77777777">
            <w:pPr>
              <w:spacing w:before="35"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2</w:t>
            </w:r>
          </w:p>
        </w:tc>
        <w:tc>
          <w:tcPr>
            <w:tcW w:w="1413" w:type="dxa"/>
            <w:vAlign w:val="center"/>
          </w:tcPr>
          <w:p w:rsidRPr="009C48DA" w:rsidR="00661519" w:rsidP="00661519" w:rsidRDefault="00661519" w14:paraId="2BD8A12C" w14:textId="77777777">
            <w:pPr>
              <w:spacing w:before="35"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30ABCC82" w14:textId="77777777">
            <w:pPr>
              <w:spacing w:before="35"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49D1618E" w14:textId="77777777">
            <w:pPr>
              <w:spacing w:before="35"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413" w:type="dxa"/>
            <w:vAlign w:val="center"/>
          </w:tcPr>
          <w:p w:rsidRPr="009C48DA" w:rsidR="00661519" w:rsidP="00661519" w:rsidRDefault="00661519" w14:paraId="0098659F" w14:textId="77777777">
            <w:pPr>
              <w:spacing w:before="35"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5D2FCE10" w14:textId="77777777">
        <w:trPr>
          <w:jc w:val="center"/>
        </w:trPr>
        <w:tc>
          <w:tcPr>
            <w:tcW w:w="2410" w:type="dxa"/>
          </w:tcPr>
          <w:p w:rsidRPr="009C48DA" w:rsidR="00661519" w:rsidP="00661519" w:rsidRDefault="00661519" w14:paraId="39E7DEF6" w14:textId="77777777">
            <w:pPr>
              <w:spacing w:line="182" w:lineRule="exact"/>
              <w:ind w:right="180"/>
              <w:textAlignment w:val="baseline"/>
              <w:rPr>
                <w:rFonts w:eastAsia="Times New Roman"/>
                <w:color w:val="000000"/>
                <w:sz w:val="16"/>
                <w:lang w:val="en-GB"/>
              </w:rPr>
            </w:pPr>
            <w:r w:rsidRPr="009C48DA">
              <w:rPr>
                <w:rFonts w:eastAsia="Times New Roman"/>
                <w:color w:val="000000"/>
                <w:sz w:val="16"/>
                <w:lang w:val="en-GB"/>
              </w:rPr>
              <w:t>Bridgepoint Credit Empire GP S.à r.l.</w:t>
            </w:r>
          </w:p>
        </w:tc>
        <w:tc>
          <w:tcPr>
            <w:tcW w:w="855" w:type="dxa"/>
            <w:gridSpan w:val="2"/>
            <w:vAlign w:val="center"/>
          </w:tcPr>
          <w:p w:rsidRPr="009C48DA" w:rsidR="00661519" w:rsidP="00661519" w:rsidRDefault="00661519" w14:paraId="0F615AD0" w14:textId="77777777">
            <w:pPr>
              <w:spacing w:before="102"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3</w:t>
            </w:r>
          </w:p>
        </w:tc>
        <w:tc>
          <w:tcPr>
            <w:tcW w:w="1413" w:type="dxa"/>
            <w:vAlign w:val="center"/>
          </w:tcPr>
          <w:p w:rsidRPr="009C48DA" w:rsidR="00661519" w:rsidP="00661519" w:rsidRDefault="00661519" w14:paraId="24E59011"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268" w:type="dxa"/>
            <w:vAlign w:val="center"/>
          </w:tcPr>
          <w:p w:rsidRPr="009C48DA" w:rsidR="00661519" w:rsidP="00661519" w:rsidRDefault="00661519" w14:paraId="15D49FFD" w14:textId="77777777">
            <w:pPr>
              <w:spacing w:before="102"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190A6F26"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4056CE29" w14:textId="77777777">
            <w:pPr>
              <w:spacing w:before="10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30F86AC" w14:textId="77777777">
        <w:trPr>
          <w:jc w:val="center"/>
        </w:trPr>
        <w:tc>
          <w:tcPr>
            <w:tcW w:w="2694" w:type="dxa"/>
            <w:gridSpan w:val="2"/>
          </w:tcPr>
          <w:p w:rsidRPr="009C48DA" w:rsidR="00661519" w:rsidP="00661519" w:rsidRDefault="00661519" w14:paraId="0E012D7B" w14:textId="77777777">
            <w:pPr>
              <w:spacing w:line="183" w:lineRule="exact"/>
              <w:textAlignment w:val="baseline"/>
              <w:rPr>
                <w:rFonts w:eastAsia="Times New Roman"/>
                <w:color w:val="000000"/>
                <w:sz w:val="16"/>
                <w:lang w:val="en-GB"/>
              </w:rPr>
            </w:pPr>
            <w:r w:rsidRPr="009C48DA">
              <w:rPr>
                <w:rFonts w:eastAsia="Times New Roman"/>
                <w:color w:val="000000"/>
                <w:sz w:val="16"/>
                <w:lang w:val="en-GB"/>
              </w:rPr>
              <w:t xml:space="preserve">Bridgepoint Credit Europe </w:t>
            </w:r>
            <w:r w:rsidRPr="009C48DA">
              <w:rPr>
                <w:rFonts w:eastAsia="Times New Roman"/>
                <w:color w:val="000000"/>
                <w:sz w:val="16"/>
                <w:lang w:val="en-GB"/>
              </w:rPr>
              <w:br/>
              <w:t>Limited</w:t>
            </w:r>
          </w:p>
        </w:tc>
        <w:tc>
          <w:tcPr>
            <w:tcW w:w="571" w:type="dxa"/>
            <w:vAlign w:val="center"/>
          </w:tcPr>
          <w:p w:rsidRPr="009C48DA" w:rsidR="00661519" w:rsidP="00661519" w:rsidRDefault="00661519" w14:paraId="5E3A9036" w14:textId="77777777">
            <w:pPr>
              <w:spacing w:before="103"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07BB613B" w14:textId="77777777">
            <w:pPr>
              <w:spacing w:before="10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3A8DC058" w14:textId="77777777">
            <w:pPr>
              <w:spacing w:before="103" w:line="188" w:lineRule="exact"/>
              <w:ind w:right="81"/>
              <w:jc w:val="right"/>
              <w:textAlignment w:val="baseline"/>
              <w:rPr>
                <w:rFonts w:eastAsia="Times New Roman"/>
                <w:color w:val="000000"/>
                <w:sz w:val="16"/>
                <w:lang w:val="en-GB"/>
              </w:rPr>
            </w:pPr>
            <w:r w:rsidRPr="009C48DA">
              <w:rPr>
                <w:rFonts w:eastAsia="Times New Roman"/>
                <w:color w:val="000000"/>
                <w:sz w:val="16"/>
                <w:lang w:val="en-GB"/>
              </w:rPr>
              <w:t>Credit fund advisory company</w:t>
            </w:r>
          </w:p>
        </w:tc>
        <w:tc>
          <w:tcPr>
            <w:tcW w:w="1376" w:type="dxa"/>
            <w:vAlign w:val="center"/>
          </w:tcPr>
          <w:p w:rsidRPr="009C48DA" w:rsidR="00661519" w:rsidP="00661519" w:rsidRDefault="00661519" w14:paraId="6B18B460" w14:textId="77777777">
            <w:pPr>
              <w:spacing w:before="10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2DCCC0DC" w14:textId="77777777">
            <w:pPr>
              <w:spacing w:before="10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FA256DC" w14:textId="77777777">
        <w:trPr>
          <w:jc w:val="center"/>
        </w:trPr>
        <w:tc>
          <w:tcPr>
            <w:tcW w:w="2410" w:type="dxa"/>
            <w:vAlign w:val="center"/>
          </w:tcPr>
          <w:p w:rsidRPr="009C48DA" w:rsidR="00661519" w:rsidP="00661519" w:rsidRDefault="00661519" w14:paraId="25AE4AA7" w14:textId="77777777">
            <w:pPr>
              <w:spacing w:before="35" w:line="188" w:lineRule="exact"/>
              <w:textAlignment w:val="baseline"/>
              <w:rPr>
                <w:rFonts w:eastAsia="Times New Roman"/>
                <w:color w:val="000000"/>
                <w:sz w:val="16"/>
                <w:lang w:val="en-GB"/>
              </w:rPr>
            </w:pPr>
            <w:r w:rsidRPr="009C48DA">
              <w:rPr>
                <w:rFonts w:eastAsia="Times New Roman"/>
                <w:color w:val="000000"/>
                <w:sz w:val="16"/>
                <w:lang w:val="en-GB"/>
              </w:rPr>
              <w:t>Bridgepoint Credit France SAS</w:t>
            </w:r>
          </w:p>
        </w:tc>
        <w:tc>
          <w:tcPr>
            <w:tcW w:w="855" w:type="dxa"/>
            <w:gridSpan w:val="2"/>
            <w:vAlign w:val="center"/>
          </w:tcPr>
          <w:p w:rsidRPr="009C48DA" w:rsidR="00661519" w:rsidP="00661519" w:rsidRDefault="00661519" w14:paraId="2A72BE2A" w14:textId="77777777">
            <w:pPr>
              <w:spacing w:before="35"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8</w:t>
            </w:r>
          </w:p>
        </w:tc>
        <w:tc>
          <w:tcPr>
            <w:tcW w:w="1413" w:type="dxa"/>
            <w:vAlign w:val="center"/>
          </w:tcPr>
          <w:p w:rsidRPr="009C48DA" w:rsidR="00661519" w:rsidP="00661519" w:rsidRDefault="00661519" w14:paraId="0EF60E67" w14:textId="77777777">
            <w:pPr>
              <w:spacing w:before="35" w:line="188" w:lineRule="exact"/>
              <w:jc w:val="center"/>
              <w:textAlignment w:val="baseline"/>
              <w:rPr>
                <w:rFonts w:eastAsia="Times New Roman"/>
                <w:color w:val="000000"/>
                <w:sz w:val="16"/>
                <w:lang w:val="en-GB"/>
              </w:rPr>
            </w:pPr>
            <w:r w:rsidRPr="009C48DA">
              <w:rPr>
                <w:rFonts w:eastAsia="Times New Roman"/>
                <w:color w:val="000000"/>
                <w:sz w:val="16"/>
                <w:lang w:val="en-GB"/>
              </w:rPr>
              <w:t>France</w:t>
            </w:r>
          </w:p>
        </w:tc>
        <w:tc>
          <w:tcPr>
            <w:tcW w:w="2268" w:type="dxa"/>
            <w:vAlign w:val="center"/>
          </w:tcPr>
          <w:p w:rsidRPr="009C48DA" w:rsidR="00661519" w:rsidP="00661519" w:rsidRDefault="00661519" w14:paraId="1093414A" w14:textId="77777777">
            <w:pPr>
              <w:spacing w:before="35" w:line="188" w:lineRule="exact"/>
              <w:ind w:right="81"/>
              <w:jc w:val="right"/>
              <w:textAlignment w:val="baseline"/>
              <w:rPr>
                <w:rFonts w:eastAsia="Times New Roman"/>
                <w:color w:val="000000"/>
                <w:sz w:val="16"/>
                <w:lang w:val="en-GB"/>
              </w:rPr>
            </w:pPr>
            <w:r w:rsidRPr="009C48DA">
              <w:rPr>
                <w:rFonts w:eastAsia="Times New Roman"/>
                <w:color w:val="000000"/>
                <w:sz w:val="16"/>
                <w:lang w:val="en-GB"/>
              </w:rPr>
              <w:t>Credit fund management company Ordinary shares</w:t>
            </w:r>
          </w:p>
        </w:tc>
        <w:tc>
          <w:tcPr>
            <w:tcW w:w="1376" w:type="dxa"/>
            <w:vAlign w:val="center"/>
          </w:tcPr>
          <w:p w:rsidRPr="009C48DA" w:rsidR="00661519" w:rsidP="00661519" w:rsidRDefault="00661519" w14:paraId="7C3C6C60" w14:textId="77777777">
            <w:pPr>
              <w:spacing w:before="35"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c>
          <w:tcPr>
            <w:tcW w:w="1413" w:type="dxa"/>
          </w:tcPr>
          <w:p w:rsidRPr="009C48DA" w:rsidR="00661519" w:rsidP="00661519" w:rsidRDefault="00661519" w14:paraId="35169D6E" w14:textId="77777777">
            <w:pPr>
              <w:ind w:right="-12"/>
              <w:jc w:val="center"/>
              <w:textAlignment w:val="baseline"/>
              <w:rPr>
                <w:rFonts w:eastAsia="Times New Roman"/>
                <w:color w:val="000000"/>
                <w:sz w:val="16"/>
                <w:szCs w:val="16"/>
                <w:lang w:val="en-GB"/>
              </w:rPr>
            </w:pPr>
          </w:p>
        </w:tc>
      </w:tr>
      <w:tr w:rsidRPr="009C48DA" w:rsidR="00661519" w:rsidTr="00661519" w14:paraId="54859D5F" w14:textId="77777777">
        <w:trPr>
          <w:jc w:val="center"/>
        </w:trPr>
        <w:tc>
          <w:tcPr>
            <w:tcW w:w="2410" w:type="dxa"/>
          </w:tcPr>
          <w:p w:rsidRPr="009C48DA" w:rsidR="00661519" w:rsidP="00661519" w:rsidRDefault="00661519" w14:paraId="51EAFDDA" w14:textId="77777777">
            <w:pPr>
              <w:spacing w:line="183" w:lineRule="exact"/>
              <w:textAlignment w:val="baseline"/>
              <w:rPr>
                <w:rFonts w:eastAsia="Times New Roman"/>
                <w:color w:val="000000"/>
                <w:sz w:val="16"/>
                <w:lang w:val="en-GB"/>
              </w:rPr>
            </w:pPr>
            <w:r w:rsidRPr="009C48DA">
              <w:rPr>
                <w:rFonts w:eastAsia="Times New Roman"/>
                <w:color w:val="000000"/>
                <w:sz w:val="16"/>
                <w:lang w:val="en-GB"/>
              </w:rPr>
              <w:t xml:space="preserve">Bridgepoint Credit GP </w:t>
            </w:r>
            <w:r w:rsidRPr="009C48DA">
              <w:rPr>
                <w:rFonts w:eastAsia="Times New Roman"/>
                <w:color w:val="000000"/>
                <w:sz w:val="16"/>
                <w:lang w:val="en-GB"/>
              </w:rPr>
              <w:br/>
              <w:t>Verwaltungs GmbH</w:t>
            </w:r>
          </w:p>
        </w:tc>
        <w:tc>
          <w:tcPr>
            <w:tcW w:w="855" w:type="dxa"/>
            <w:gridSpan w:val="2"/>
            <w:vAlign w:val="center"/>
          </w:tcPr>
          <w:p w:rsidRPr="009C48DA" w:rsidR="00661519" w:rsidP="00661519" w:rsidRDefault="00661519" w14:paraId="3F197C6C" w14:textId="77777777">
            <w:pPr>
              <w:spacing w:before="102"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7</w:t>
            </w:r>
          </w:p>
        </w:tc>
        <w:tc>
          <w:tcPr>
            <w:tcW w:w="1413" w:type="dxa"/>
            <w:vAlign w:val="center"/>
          </w:tcPr>
          <w:p w:rsidRPr="009C48DA" w:rsidR="00661519" w:rsidP="00661519" w:rsidRDefault="00661519" w14:paraId="4FC7081C"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Germany</w:t>
            </w:r>
          </w:p>
        </w:tc>
        <w:tc>
          <w:tcPr>
            <w:tcW w:w="2268" w:type="dxa"/>
            <w:vAlign w:val="center"/>
          </w:tcPr>
          <w:p w:rsidRPr="009C48DA" w:rsidR="00661519" w:rsidP="00661519" w:rsidRDefault="00661519" w14:paraId="218F01F3" w14:textId="77777777">
            <w:pPr>
              <w:spacing w:before="102"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064A90B6"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759E49E4" w14:textId="77777777">
            <w:pPr>
              <w:spacing w:before="10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A246485" w14:textId="77777777">
        <w:trPr>
          <w:jc w:val="center"/>
        </w:trPr>
        <w:tc>
          <w:tcPr>
            <w:tcW w:w="2410" w:type="dxa"/>
          </w:tcPr>
          <w:p w:rsidRPr="009C48DA" w:rsidR="00661519" w:rsidP="00661519" w:rsidRDefault="00661519" w14:paraId="24F334EF" w14:textId="77777777">
            <w:pPr>
              <w:spacing w:line="187" w:lineRule="exact"/>
              <w:ind w:right="540"/>
              <w:textAlignment w:val="baseline"/>
              <w:rPr>
                <w:rFonts w:eastAsia="Times New Roman"/>
                <w:color w:val="000000"/>
                <w:sz w:val="16"/>
                <w:lang w:val="en-GB"/>
              </w:rPr>
            </w:pPr>
            <w:r w:rsidRPr="009C48DA">
              <w:rPr>
                <w:rFonts w:eastAsia="Times New Roman"/>
                <w:color w:val="000000"/>
                <w:sz w:val="16"/>
                <w:lang w:val="en-GB"/>
              </w:rPr>
              <w:t>Bridgepoint Credit Holdings Limited</w:t>
            </w:r>
          </w:p>
        </w:tc>
        <w:tc>
          <w:tcPr>
            <w:tcW w:w="855" w:type="dxa"/>
            <w:gridSpan w:val="2"/>
            <w:vAlign w:val="center"/>
          </w:tcPr>
          <w:p w:rsidRPr="009C48DA" w:rsidR="00661519" w:rsidP="00661519" w:rsidRDefault="00661519" w14:paraId="21426C20" w14:textId="77777777">
            <w:pPr>
              <w:spacing w:before="102"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0C3ABD0D"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447362C1" w14:textId="77777777">
            <w:pPr>
              <w:spacing w:before="102" w:line="188" w:lineRule="exact"/>
              <w:ind w:right="81"/>
              <w:jc w:val="right"/>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376" w:type="dxa"/>
            <w:vAlign w:val="center"/>
          </w:tcPr>
          <w:p w:rsidRPr="009C48DA" w:rsidR="00661519" w:rsidP="00661519" w:rsidRDefault="00661519" w14:paraId="19A06773"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39AD5861" w14:textId="77777777">
            <w:pPr>
              <w:spacing w:before="10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BCFC22A" w14:textId="77777777">
        <w:trPr>
          <w:jc w:val="center"/>
        </w:trPr>
        <w:tc>
          <w:tcPr>
            <w:tcW w:w="2410" w:type="dxa"/>
            <w:vAlign w:val="center"/>
          </w:tcPr>
          <w:p w:rsidRPr="009C48DA" w:rsidR="00661519" w:rsidP="00661519" w:rsidRDefault="00661519" w14:paraId="71310FA4" w14:textId="77777777">
            <w:pPr>
              <w:spacing w:before="35" w:line="188" w:lineRule="exact"/>
              <w:textAlignment w:val="baseline"/>
              <w:rPr>
                <w:rFonts w:eastAsia="Times New Roman"/>
                <w:color w:val="000000"/>
                <w:sz w:val="16"/>
                <w:lang w:val="en-GB"/>
              </w:rPr>
            </w:pPr>
            <w:r w:rsidRPr="009C48DA">
              <w:rPr>
                <w:rFonts w:eastAsia="Times New Roman"/>
                <w:color w:val="000000"/>
                <w:sz w:val="16"/>
                <w:lang w:val="en-GB"/>
              </w:rPr>
              <w:t>Bridgepoint Credit Limited</w:t>
            </w:r>
          </w:p>
        </w:tc>
        <w:tc>
          <w:tcPr>
            <w:tcW w:w="855" w:type="dxa"/>
            <w:gridSpan w:val="2"/>
            <w:vAlign w:val="center"/>
          </w:tcPr>
          <w:p w:rsidRPr="009C48DA" w:rsidR="00661519" w:rsidP="00661519" w:rsidRDefault="00661519" w14:paraId="0231F1CE" w14:textId="77777777">
            <w:pPr>
              <w:spacing w:before="35"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51161C9D" w14:textId="77777777">
            <w:pPr>
              <w:spacing w:before="35"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58549664" w14:textId="77777777">
            <w:pPr>
              <w:spacing w:before="35" w:line="188" w:lineRule="exact"/>
              <w:ind w:right="81"/>
              <w:jc w:val="right"/>
              <w:textAlignment w:val="baseline"/>
              <w:rPr>
                <w:rFonts w:eastAsia="Times New Roman"/>
                <w:color w:val="000000"/>
                <w:sz w:val="16"/>
                <w:lang w:val="en-GB"/>
              </w:rPr>
            </w:pPr>
            <w:r w:rsidRPr="009C48DA">
              <w:rPr>
                <w:rFonts w:eastAsia="Times New Roman"/>
                <w:color w:val="000000"/>
                <w:sz w:val="16"/>
                <w:lang w:val="en-GB"/>
              </w:rPr>
              <w:t>Credit fund management company Ordinary shares</w:t>
            </w:r>
          </w:p>
        </w:tc>
        <w:tc>
          <w:tcPr>
            <w:tcW w:w="1376" w:type="dxa"/>
            <w:vAlign w:val="center"/>
          </w:tcPr>
          <w:p w:rsidRPr="009C48DA" w:rsidR="00661519" w:rsidP="00661519" w:rsidRDefault="00661519" w14:paraId="401A65A0" w14:textId="77777777">
            <w:pPr>
              <w:spacing w:before="35"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c>
          <w:tcPr>
            <w:tcW w:w="1413" w:type="dxa"/>
          </w:tcPr>
          <w:p w:rsidRPr="009C48DA" w:rsidR="00661519" w:rsidP="00661519" w:rsidRDefault="00661519" w14:paraId="4FB98929" w14:textId="77777777">
            <w:pPr>
              <w:ind w:right="-12"/>
              <w:jc w:val="center"/>
              <w:textAlignment w:val="baseline"/>
              <w:rPr>
                <w:rFonts w:eastAsia="Times New Roman"/>
                <w:color w:val="000000"/>
                <w:sz w:val="16"/>
                <w:szCs w:val="16"/>
                <w:lang w:val="en-GB"/>
              </w:rPr>
            </w:pPr>
          </w:p>
        </w:tc>
      </w:tr>
      <w:tr w:rsidRPr="009C48DA" w:rsidR="00661519" w:rsidTr="00661519" w14:paraId="11191072" w14:textId="77777777">
        <w:trPr>
          <w:jc w:val="center"/>
        </w:trPr>
        <w:tc>
          <w:tcPr>
            <w:tcW w:w="2410" w:type="dxa"/>
          </w:tcPr>
          <w:p w:rsidRPr="009C48DA" w:rsidR="00661519" w:rsidP="00661519" w:rsidRDefault="00661519" w14:paraId="0C5877B0" w14:textId="77777777">
            <w:pPr>
              <w:spacing w:line="187" w:lineRule="exact"/>
              <w:textAlignment w:val="baseline"/>
              <w:rPr>
                <w:rFonts w:eastAsia="Times New Roman"/>
                <w:color w:val="000000"/>
                <w:sz w:val="16"/>
                <w:lang w:val="en-GB"/>
              </w:rPr>
            </w:pPr>
            <w:r w:rsidRPr="009C48DA">
              <w:rPr>
                <w:rFonts w:eastAsia="Times New Roman"/>
                <w:color w:val="000000"/>
                <w:sz w:val="16"/>
                <w:lang w:val="en-GB"/>
              </w:rPr>
              <w:t>Bridgepoint Credit Management Limited</w:t>
            </w:r>
          </w:p>
        </w:tc>
        <w:tc>
          <w:tcPr>
            <w:tcW w:w="855" w:type="dxa"/>
            <w:gridSpan w:val="2"/>
            <w:vAlign w:val="center"/>
          </w:tcPr>
          <w:p w:rsidRPr="009C48DA" w:rsidR="00661519" w:rsidP="00661519" w:rsidRDefault="00661519" w14:paraId="38F457C8" w14:textId="77777777">
            <w:pPr>
              <w:spacing w:before="102"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10D85A04"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5702146F" w14:textId="77777777">
            <w:pPr>
              <w:spacing w:before="102" w:line="188" w:lineRule="exact"/>
              <w:ind w:right="81"/>
              <w:jc w:val="right"/>
              <w:textAlignment w:val="baseline"/>
              <w:rPr>
                <w:rFonts w:eastAsia="Times New Roman"/>
                <w:color w:val="000000"/>
                <w:sz w:val="16"/>
                <w:lang w:val="en-GB"/>
              </w:rPr>
            </w:pPr>
            <w:r w:rsidRPr="009C48DA">
              <w:rPr>
                <w:rFonts w:eastAsia="Times New Roman"/>
                <w:color w:val="000000"/>
                <w:sz w:val="16"/>
                <w:lang w:val="en-GB"/>
              </w:rPr>
              <w:t>Credit fund management company Ordinary shares</w:t>
            </w:r>
          </w:p>
        </w:tc>
        <w:tc>
          <w:tcPr>
            <w:tcW w:w="1376" w:type="dxa"/>
            <w:vAlign w:val="center"/>
          </w:tcPr>
          <w:p w:rsidRPr="009C48DA" w:rsidR="00661519" w:rsidP="00661519" w:rsidRDefault="00661519" w14:paraId="05D6BD05" w14:textId="77777777">
            <w:pPr>
              <w:spacing w:before="10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49%</w:t>
            </w:r>
          </w:p>
        </w:tc>
        <w:tc>
          <w:tcPr>
            <w:tcW w:w="1413" w:type="dxa"/>
          </w:tcPr>
          <w:p w:rsidRPr="009C48DA" w:rsidR="00661519" w:rsidP="00661519" w:rsidRDefault="00661519" w14:paraId="1A1E225D" w14:textId="77777777">
            <w:pPr>
              <w:ind w:right="-12"/>
              <w:jc w:val="center"/>
              <w:textAlignment w:val="baseline"/>
              <w:rPr>
                <w:rFonts w:eastAsia="Times New Roman"/>
                <w:color w:val="000000"/>
                <w:sz w:val="16"/>
                <w:szCs w:val="16"/>
                <w:lang w:val="en-GB"/>
              </w:rPr>
            </w:pPr>
          </w:p>
        </w:tc>
      </w:tr>
      <w:tr w:rsidRPr="009C48DA" w:rsidR="00661519" w:rsidTr="00661519" w14:paraId="63518D37" w14:textId="77777777">
        <w:trPr>
          <w:jc w:val="center"/>
        </w:trPr>
        <w:tc>
          <w:tcPr>
            <w:tcW w:w="2410" w:type="dxa"/>
          </w:tcPr>
          <w:p w:rsidRPr="009C48DA" w:rsidR="00661519" w:rsidP="00661519" w:rsidRDefault="00661519" w14:paraId="0998A3E8" w14:textId="77777777">
            <w:pPr>
              <w:spacing w:line="183" w:lineRule="exact"/>
              <w:textAlignment w:val="baseline"/>
              <w:rPr>
                <w:rFonts w:eastAsia="Times New Roman"/>
                <w:color w:val="000000"/>
                <w:sz w:val="16"/>
                <w:lang w:val="en-GB"/>
              </w:rPr>
            </w:pPr>
            <w:r w:rsidRPr="009C48DA">
              <w:rPr>
                <w:rFonts w:eastAsia="Times New Roman"/>
                <w:color w:val="000000"/>
                <w:sz w:val="16"/>
                <w:lang w:val="en-GB"/>
              </w:rPr>
              <w:t>Bridgepoint Credit Nominees Limited</w:t>
            </w:r>
          </w:p>
        </w:tc>
        <w:tc>
          <w:tcPr>
            <w:tcW w:w="855" w:type="dxa"/>
            <w:gridSpan w:val="2"/>
            <w:vAlign w:val="center"/>
          </w:tcPr>
          <w:p w:rsidRPr="009C48DA" w:rsidR="00661519" w:rsidP="00661519" w:rsidRDefault="00661519" w14:paraId="3FD4C17D" w14:textId="77777777">
            <w:pPr>
              <w:spacing w:before="98"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600FB9D1" w14:textId="77777777">
            <w:pPr>
              <w:spacing w:before="9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565865DC" w14:textId="77777777">
            <w:pPr>
              <w:spacing w:before="98" w:line="188" w:lineRule="exact"/>
              <w:ind w:right="441"/>
              <w:jc w:val="right"/>
              <w:textAlignment w:val="baseline"/>
              <w:rPr>
                <w:rFonts w:eastAsia="Times New Roman"/>
                <w:color w:val="000000"/>
                <w:sz w:val="16"/>
                <w:lang w:val="en-GB"/>
              </w:rPr>
            </w:pPr>
            <w:r w:rsidRPr="009C48DA">
              <w:rPr>
                <w:rFonts w:eastAsia="Times New Roman"/>
                <w:color w:val="000000"/>
                <w:sz w:val="16"/>
                <w:lang w:val="en-GB"/>
              </w:rPr>
              <w:t>Nominee company</w:t>
            </w:r>
          </w:p>
        </w:tc>
        <w:tc>
          <w:tcPr>
            <w:tcW w:w="1376" w:type="dxa"/>
            <w:vAlign w:val="center"/>
          </w:tcPr>
          <w:p w:rsidRPr="009C48DA" w:rsidR="00661519" w:rsidP="00661519" w:rsidRDefault="00661519" w14:paraId="18488815" w14:textId="77777777">
            <w:pPr>
              <w:spacing w:before="9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31995B55" w14:textId="77777777">
            <w:pPr>
              <w:spacing w:before="98"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80CFBD9" w14:textId="77777777">
        <w:trPr>
          <w:jc w:val="center"/>
        </w:trPr>
        <w:tc>
          <w:tcPr>
            <w:tcW w:w="2410" w:type="dxa"/>
          </w:tcPr>
          <w:p w:rsidRPr="009C48DA" w:rsidR="00661519" w:rsidP="00661519" w:rsidRDefault="00661519" w14:paraId="4AA35FCE" w14:textId="77777777">
            <w:pPr>
              <w:spacing w:line="182" w:lineRule="exact"/>
              <w:ind w:right="252"/>
              <w:textAlignment w:val="baseline"/>
              <w:rPr>
                <w:rFonts w:eastAsia="Times New Roman"/>
                <w:color w:val="000000"/>
                <w:spacing w:val="-1"/>
                <w:sz w:val="16"/>
                <w:lang w:val="en-GB"/>
              </w:rPr>
            </w:pPr>
            <w:r w:rsidRPr="009C48DA">
              <w:rPr>
                <w:rFonts w:eastAsia="Times New Roman"/>
                <w:color w:val="000000"/>
                <w:spacing w:val="-1"/>
                <w:sz w:val="16"/>
                <w:lang w:val="en-GB"/>
              </w:rPr>
              <w:t>Bridgepoint Credit Opportunities II GP GmbH &amp; Co. KG</w:t>
            </w:r>
          </w:p>
        </w:tc>
        <w:tc>
          <w:tcPr>
            <w:tcW w:w="855" w:type="dxa"/>
            <w:gridSpan w:val="2"/>
            <w:vAlign w:val="center"/>
          </w:tcPr>
          <w:p w:rsidRPr="009C48DA" w:rsidR="00661519" w:rsidP="00661519" w:rsidRDefault="00661519" w14:paraId="789F4018" w14:textId="77777777">
            <w:pPr>
              <w:spacing w:before="97"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7</w:t>
            </w:r>
          </w:p>
        </w:tc>
        <w:tc>
          <w:tcPr>
            <w:tcW w:w="1413" w:type="dxa"/>
            <w:vAlign w:val="center"/>
          </w:tcPr>
          <w:p w:rsidRPr="009C48DA" w:rsidR="00661519" w:rsidP="00661519" w:rsidRDefault="00661519" w14:paraId="106AC5E4" w14:textId="77777777">
            <w:pPr>
              <w:spacing w:before="97" w:line="188" w:lineRule="exact"/>
              <w:jc w:val="center"/>
              <w:textAlignment w:val="baseline"/>
              <w:rPr>
                <w:rFonts w:eastAsia="Times New Roman"/>
                <w:color w:val="000000"/>
                <w:sz w:val="16"/>
                <w:lang w:val="en-GB"/>
              </w:rPr>
            </w:pPr>
            <w:r w:rsidRPr="009C48DA">
              <w:rPr>
                <w:rFonts w:eastAsia="Times New Roman"/>
                <w:color w:val="000000"/>
                <w:sz w:val="16"/>
                <w:lang w:val="en-GB"/>
              </w:rPr>
              <w:t>Germany</w:t>
            </w:r>
          </w:p>
        </w:tc>
        <w:tc>
          <w:tcPr>
            <w:tcW w:w="2268" w:type="dxa"/>
            <w:vAlign w:val="center"/>
          </w:tcPr>
          <w:p w:rsidRPr="009C48DA" w:rsidR="00661519" w:rsidP="00661519" w:rsidRDefault="00661519" w14:paraId="6B368854" w14:textId="77777777">
            <w:pPr>
              <w:spacing w:before="97"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2618E9D1" w14:textId="77777777">
            <w:pPr>
              <w:spacing w:before="9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24CEAE99" w14:textId="77777777">
            <w:pPr>
              <w:spacing w:before="97"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AC6EA0B" w14:textId="77777777">
        <w:trPr>
          <w:jc w:val="center"/>
        </w:trPr>
        <w:tc>
          <w:tcPr>
            <w:tcW w:w="2410" w:type="dxa"/>
          </w:tcPr>
          <w:p w:rsidRPr="009C48DA" w:rsidR="00661519" w:rsidP="00661519" w:rsidRDefault="00661519" w14:paraId="15268CA0" w14:textId="77777777">
            <w:pPr>
              <w:spacing w:line="187" w:lineRule="exact"/>
              <w:textAlignment w:val="baseline"/>
              <w:rPr>
                <w:rFonts w:eastAsia="Times New Roman"/>
                <w:color w:val="000000"/>
                <w:sz w:val="16"/>
                <w:lang w:val="en-GB"/>
              </w:rPr>
            </w:pPr>
            <w:r w:rsidRPr="009C48DA">
              <w:rPr>
                <w:rFonts w:eastAsia="Times New Roman"/>
                <w:color w:val="000000"/>
                <w:sz w:val="16"/>
                <w:lang w:val="en-GB"/>
              </w:rPr>
              <w:t>Bridgepoint Credit Opportunities</w:t>
            </w:r>
          </w:p>
          <w:p w:rsidRPr="009C48DA" w:rsidR="00661519" w:rsidP="00661519" w:rsidRDefault="00661519" w14:paraId="02ED92F9" w14:textId="77777777">
            <w:pPr>
              <w:spacing w:line="188" w:lineRule="exact"/>
              <w:textAlignment w:val="baseline"/>
              <w:rPr>
                <w:rFonts w:eastAsia="Times New Roman"/>
                <w:color w:val="000000"/>
                <w:sz w:val="16"/>
                <w:lang w:val="en-GB"/>
              </w:rPr>
            </w:pPr>
            <w:r w:rsidRPr="009C48DA">
              <w:rPr>
                <w:rFonts w:eastAsia="Times New Roman"/>
                <w:color w:val="000000"/>
                <w:sz w:val="16"/>
                <w:lang w:val="en-GB"/>
              </w:rPr>
              <w:t>II GP Limited</w:t>
            </w:r>
          </w:p>
        </w:tc>
        <w:tc>
          <w:tcPr>
            <w:tcW w:w="855" w:type="dxa"/>
            <w:gridSpan w:val="2"/>
            <w:vAlign w:val="center"/>
          </w:tcPr>
          <w:p w:rsidRPr="009C48DA" w:rsidR="00661519" w:rsidP="00661519" w:rsidRDefault="00661519" w14:paraId="6F2BFA73" w14:textId="77777777">
            <w:pPr>
              <w:spacing w:before="107"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0533FD21" w14:textId="77777777">
            <w:pPr>
              <w:spacing w:before="10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36827C08" w14:textId="77777777">
            <w:pPr>
              <w:spacing w:before="107"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46DD1CB7" w14:textId="77777777">
            <w:pPr>
              <w:spacing w:before="10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2BA38235" w14:textId="77777777">
            <w:pPr>
              <w:spacing w:before="107"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3D92B81" w14:textId="77777777">
        <w:trPr>
          <w:jc w:val="center"/>
        </w:trPr>
        <w:tc>
          <w:tcPr>
            <w:tcW w:w="2410" w:type="dxa"/>
          </w:tcPr>
          <w:p w:rsidRPr="009C48DA" w:rsidR="00661519" w:rsidP="00661519" w:rsidRDefault="00661519" w14:paraId="7C0D8A13" w14:textId="77777777">
            <w:pPr>
              <w:spacing w:line="187" w:lineRule="exact"/>
              <w:textAlignment w:val="baseline"/>
              <w:rPr>
                <w:rFonts w:eastAsia="Times New Roman"/>
                <w:color w:val="000000"/>
                <w:sz w:val="16"/>
                <w:lang w:val="en-GB"/>
              </w:rPr>
            </w:pPr>
            <w:r w:rsidRPr="009C48DA">
              <w:rPr>
                <w:rFonts w:eastAsia="Times New Roman"/>
                <w:color w:val="000000"/>
                <w:sz w:val="16"/>
                <w:lang w:val="en-GB"/>
              </w:rPr>
              <w:t>Bridgepoint Credit Opportunities</w:t>
            </w:r>
          </w:p>
          <w:p w:rsidRPr="009C48DA" w:rsidR="00661519" w:rsidP="00661519" w:rsidRDefault="00661519" w14:paraId="2E76F231" w14:textId="77777777">
            <w:pPr>
              <w:spacing w:line="188" w:lineRule="exact"/>
              <w:textAlignment w:val="baseline"/>
              <w:rPr>
                <w:rFonts w:eastAsia="Times New Roman"/>
                <w:color w:val="000000"/>
                <w:sz w:val="16"/>
                <w:lang w:val="en-GB"/>
              </w:rPr>
            </w:pPr>
            <w:r w:rsidRPr="009C48DA">
              <w:rPr>
                <w:rFonts w:eastAsia="Times New Roman"/>
                <w:color w:val="000000"/>
                <w:sz w:val="16"/>
                <w:lang w:val="en-GB"/>
              </w:rPr>
              <w:t>II GP LP</w:t>
            </w:r>
          </w:p>
        </w:tc>
        <w:tc>
          <w:tcPr>
            <w:tcW w:w="855" w:type="dxa"/>
            <w:gridSpan w:val="2"/>
            <w:vAlign w:val="center"/>
          </w:tcPr>
          <w:p w:rsidRPr="009C48DA" w:rsidR="00661519" w:rsidP="00661519" w:rsidRDefault="00661519" w14:paraId="2435FBDF" w14:textId="77777777">
            <w:pPr>
              <w:spacing w:before="102"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2</w:t>
            </w:r>
          </w:p>
        </w:tc>
        <w:tc>
          <w:tcPr>
            <w:tcW w:w="1413" w:type="dxa"/>
            <w:vAlign w:val="center"/>
          </w:tcPr>
          <w:p w:rsidRPr="009C48DA" w:rsidR="00661519" w:rsidP="00661519" w:rsidRDefault="00661519" w14:paraId="460C6B16"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6574F2FF" w14:textId="77777777">
            <w:pPr>
              <w:spacing w:before="102"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529B0FD4"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413" w:type="dxa"/>
            <w:vAlign w:val="center"/>
          </w:tcPr>
          <w:p w:rsidRPr="009C48DA" w:rsidR="00661519" w:rsidP="00661519" w:rsidRDefault="00661519" w14:paraId="21BB2723" w14:textId="77777777">
            <w:pPr>
              <w:spacing w:before="102"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73288C07" w14:textId="77777777">
        <w:trPr>
          <w:jc w:val="center"/>
        </w:trPr>
        <w:tc>
          <w:tcPr>
            <w:tcW w:w="2410" w:type="dxa"/>
          </w:tcPr>
          <w:p w:rsidRPr="009C48DA" w:rsidR="00661519" w:rsidP="00661519" w:rsidRDefault="00661519" w14:paraId="5D66B9C5" w14:textId="77777777">
            <w:pPr>
              <w:spacing w:line="185" w:lineRule="exact"/>
              <w:textAlignment w:val="baseline"/>
              <w:rPr>
                <w:rFonts w:eastAsia="Times New Roman"/>
                <w:color w:val="000000"/>
                <w:sz w:val="16"/>
                <w:lang w:val="en-GB"/>
              </w:rPr>
            </w:pPr>
            <w:r w:rsidRPr="009C48DA">
              <w:rPr>
                <w:rFonts w:eastAsia="Times New Roman"/>
                <w:color w:val="000000"/>
                <w:sz w:val="16"/>
                <w:lang w:val="en-GB"/>
              </w:rPr>
              <w:t>Bridgepoint Credit Opportunities</w:t>
            </w:r>
          </w:p>
          <w:p w:rsidRPr="009C48DA" w:rsidR="00661519" w:rsidP="00661519" w:rsidRDefault="00661519" w14:paraId="48F1A677" w14:textId="77777777">
            <w:pPr>
              <w:spacing w:line="185" w:lineRule="exact"/>
              <w:textAlignment w:val="baseline"/>
              <w:rPr>
                <w:rFonts w:eastAsia="Times New Roman"/>
                <w:color w:val="000000"/>
                <w:sz w:val="16"/>
                <w:lang w:val="en-GB"/>
              </w:rPr>
            </w:pPr>
            <w:r w:rsidRPr="009C48DA">
              <w:rPr>
                <w:rFonts w:eastAsia="Times New Roman"/>
                <w:color w:val="000000"/>
                <w:sz w:val="16"/>
                <w:lang w:val="en-GB"/>
              </w:rPr>
              <w:t>III GP Limited</w:t>
            </w:r>
          </w:p>
        </w:tc>
        <w:tc>
          <w:tcPr>
            <w:tcW w:w="855" w:type="dxa"/>
            <w:gridSpan w:val="2"/>
            <w:vAlign w:val="center"/>
          </w:tcPr>
          <w:p w:rsidRPr="009C48DA" w:rsidR="00661519" w:rsidP="00661519" w:rsidRDefault="00661519" w14:paraId="798BEC48" w14:textId="77777777">
            <w:pPr>
              <w:spacing w:before="102"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07F48A2F"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4B65E2A6" w14:textId="77777777">
            <w:pPr>
              <w:spacing w:before="102"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1EB4CF47"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19808986" w14:textId="77777777">
            <w:pPr>
              <w:spacing w:before="10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0DD4091" w14:textId="77777777">
        <w:trPr>
          <w:jc w:val="center"/>
        </w:trPr>
        <w:tc>
          <w:tcPr>
            <w:tcW w:w="2410" w:type="dxa"/>
          </w:tcPr>
          <w:p w:rsidRPr="009C48DA" w:rsidR="00661519" w:rsidP="00661519" w:rsidRDefault="00661519" w14:paraId="7590EB24" w14:textId="77777777">
            <w:pPr>
              <w:spacing w:line="185" w:lineRule="exact"/>
              <w:textAlignment w:val="baseline"/>
              <w:rPr>
                <w:rFonts w:eastAsia="Times New Roman"/>
                <w:color w:val="000000"/>
                <w:sz w:val="16"/>
                <w:lang w:val="en-GB"/>
              </w:rPr>
            </w:pPr>
            <w:r w:rsidRPr="009C48DA">
              <w:rPr>
                <w:rFonts w:eastAsia="Times New Roman"/>
                <w:color w:val="000000"/>
                <w:sz w:val="16"/>
                <w:lang w:val="en-GB"/>
              </w:rPr>
              <w:t>Bridgepoint Credit Opportunities</w:t>
            </w:r>
          </w:p>
          <w:p w:rsidRPr="009C48DA" w:rsidR="00661519" w:rsidP="00661519" w:rsidRDefault="00661519" w14:paraId="5399B4FF" w14:textId="77777777">
            <w:pPr>
              <w:spacing w:line="186" w:lineRule="exact"/>
              <w:textAlignment w:val="baseline"/>
              <w:rPr>
                <w:rFonts w:eastAsia="Times New Roman"/>
                <w:color w:val="000000"/>
                <w:sz w:val="16"/>
                <w:lang w:val="en-GB"/>
              </w:rPr>
            </w:pPr>
            <w:r w:rsidRPr="009C48DA">
              <w:rPr>
                <w:rFonts w:eastAsia="Times New Roman"/>
                <w:color w:val="000000"/>
                <w:sz w:val="16"/>
                <w:lang w:val="en-GB"/>
              </w:rPr>
              <w:t>III GP LP</w:t>
            </w:r>
          </w:p>
        </w:tc>
        <w:tc>
          <w:tcPr>
            <w:tcW w:w="855" w:type="dxa"/>
            <w:gridSpan w:val="2"/>
            <w:vAlign w:val="center"/>
          </w:tcPr>
          <w:p w:rsidRPr="009C48DA" w:rsidR="00661519" w:rsidP="00661519" w:rsidRDefault="00661519" w14:paraId="4AC16A49" w14:textId="77777777">
            <w:pPr>
              <w:spacing w:before="102"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2</w:t>
            </w:r>
          </w:p>
        </w:tc>
        <w:tc>
          <w:tcPr>
            <w:tcW w:w="1413" w:type="dxa"/>
            <w:vAlign w:val="center"/>
          </w:tcPr>
          <w:p w:rsidRPr="009C48DA" w:rsidR="00661519" w:rsidP="00661519" w:rsidRDefault="00661519" w14:paraId="79174F94"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0E54D189" w14:textId="77777777">
            <w:pPr>
              <w:spacing w:before="102"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66F7367B"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413" w:type="dxa"/>
            <w:vAlign w:val="center"/>
          </w:tcPr>
          <w:p w:rsidRPr="009C48DA" w:rsidR="00661519" w:rsidP="00661519" w:rsidRDefault="00661519" w14:paraId="34F1F1FD" w14:textId="77777777">
            <w:pPr>
              <w:spacing w:before="102"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2E561446" w14:textId="77777777">
        <w:trPr>
          <w:jc w:val="center"/>
        </w:trPr>
        <w:tc>
          <w:tcPr>
            <w:tcW w:w="2410" w:type="dxa"/>
          </w:tcPr>
          <w:p w:rsidRPr="009C48DA" w:rsidR="00661519" w:rsidP="00661519" w:rsidRDefault="00661519" w14:paraId="0302C35C" w14:textId="77777777">
            <w:pPr>
              <w:spacing w:line="185" w:lineRule="exact"/>
              <w:textAlignment w:val="baseline"/>
              <w:rPr>
                <w:rFonts w:eastAsia="Times New Roman"/>
                <w:color w:val="000000"/>
                <w:sz w:val="16"/>
                <w:lang w:val="en-GB"/>
              </w:rPr>
            </w:pPr>
            <w:r w:rsidRPr="009C48DA">
              <w:rPr>
                <w:rFonts w:eastAsia="Times New Roman"/>
                <w:color w:val="000000"/>
                <w:sz w:val="16"/>
                <w:lang w:val="en-GB"/>
              </w:rPr>
              <w:t>Bridgepoint Credit Opportunities</w:t>
            </w:r>
          </w:p>
          <w:p w:rsidRPr="009C48DA" w:rsidR="00661519" w:rsidP="00661519" w:rsidRDefault="00661519" w14:paraId="1C0D5B3E" w14:textId="77777777">
            <w:pPr>
              <w:spacing w:line="185" w:lineRule="exact"/>
              <w:textAlignment w:val="baseline"/>
              <w:rPr>
                <w:rFonts w:eastAsia="Times New Roman"/>
                <w:color w:val="000000"/>
                <w:sz w:val="16"/>
                <w:lang w:val="en-GB"/>
              </w:rPr>
            </w:pPr>
            <w:r w:rsidRPr="009C48DA">
              <w:rPr>
                <w:rFonts w:eastAsia="Times New Roman"/>
                <w:color w:val="000000"/>
                <w:sz w:val="16"/>
                <w:lang w:val="en-GB"/>
              </w:rPr>
              <w:t>IV GP S.à r.l.</w:t>
            </w:r>
          </w:p>
        </w:tc>
        <w:tc>
          <w:tcPr>
            <w:tcW w:w="855" w:type="dxa"/>
            <w:gridSpan w:val="2"/>
            <w:vAlign w:val="center"/>
          </w:tcPr>
          <w:p w:rsidRPr="009C48DA" w:rsidR="00661519" w:rsidP="00661519" w:rsidRDefault="00661519" w14:paraId="4772238E" w14:textId="77777777">
            <w:pPr>
              <w:spacing w:before="102"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3</w:t>
            </w:r>
          </w:p>
        </w:tc>
        <w:tc>
          <w:tcPr>
            <w:tcW w:w="1413" w:type="dxa"/>
            <w:vAlign w:val="center"/>
          </w:tcPr>
          <w:p w:rsidRPr="009C48DA" w:rsidR="00661519" w:rsidP="00661519" w:rsidRDefault="00661519" w14:paraId="00CADAC0"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268" w:type="dxa"/>
            <w:vAlign w:val="center"/>
          </w:tcPr>
          <w:p w:rsidRPr="009C48DA" w:rsidR="00661519" w:rsidP="00661519" w:rsidRDefault="00661519" w14:paraId="0136BB44" w14:textId="77777777">
            <w:pPr>
              <w:spacing w:before="102"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2BBAC612"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374D5F84" w14:textId="77777777">
            <w:pPr>
              <w:spacing w:before="10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ED83DE2" w14:textId="77777777">
        <w:trPr>
          <w:jc w:val="center"/>
        </w:trPr>
        <w:tc>
          <w:tcPr>
            <w:tcW w:w="2410" w:type="dxa"/>
          </w:tcPr>
          <w:p w:rsidRPr="009C48DA" w:rsidR="00661519" w:rsidP="00661519" w:rsidRDefault="00661519" w14:paraId="37547DF9" w14:textId="77777777">
            <w:pPr>
              <w:spacing w:line="183" w:lineRule="exact"/>
              <w:textAlignment w:val="baseline"/>
              <w:rPr>
                <w:rFonts w:eastAsia="Times New Roman"/>
                <w:color w:val="000000"/>
                <w:sz w:val="16"/>
                <w:lang w:val="en-GB"/>
              </w:rPr>
            </w:pPr>
            <w:r w:rsidRPr="009C48DA">
              <w:rPr>
                <w:rFonts w:eastAsia="Times New Roman"/>
                <w:color w:val="000000"/>
                <w:sz w:val="16"/>
                <w:lang w:val="en-GB"/>
              </w:rPr>
              <w:t>Bridgepoint Credit Opportunities SICAV GP S.à r.l.</w:t>
            </w:r>
          </w:p>
        </w:tc>
        <w:tc>
          <w:tcPr>
            <w:tcW w:w="855" w:type="dxa"/>
            <w:gridSpan w:val="2"/>
            <w:vAlign w:val="center"/>
          </w:tcPr>
          <w:p w:rsidRPr="009C48DA" w:rsidR="00661519" w:rsidP="00661519" w:rsidRDefault="00661519" w14:paraId="3F718A4E" w14:textId="77777777">
            <w:pPr>
              <w:spacing w:before="103"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3</w:t>
            </w:r>
          </w:p>
        </w:tc>
        <w:tc>
          <w:tcPr>
            <w:tcW w:w="1413" w:type="dxa"/>
            <w:vAlign w:val="center"/>
          </w:tcPr>
          <w:p w:rsidRPr="009C48DA" w:rsidR="00661519" w:rsidP="00661519" w:rsidRDefault="00661519" w14:paraId="01D3ABCE" w14:textId="77777777">
            <w:pPr>
              <w:spacing w:before="103" w:line="188"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268" w:type="dxa"/>
            <w:vAlign w:val="center"/>
          </w:tcPr>
          <w:p w:rsidRPr="009C48DA" w:rsidR="00661519" w:rsidP="00661519" w:rsidRDefault="00661519" w14:paraId="3072ACAB" w14:textId="77777777">
            <w:pPr>
              <w:spacing w:before="103"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3A56E3C1" w14:textId="77777777">
            <w:pPr>
              <w:spacing w:before="10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326C4678" w14:textId="77777777">
            <w:pPr>
              <w:spacing w:before="10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A74FA34" w14:textId="77777777">
        <w:trPr>
          <w:jc w:val="center"/>
        </w:trPr>
        <w:tc>
          <w:tcPr>
            <w:tcW w:w="2410" w:type="dxa"/>
          </w:tcPr>
          <w:p w:rsidRPr="009C48DA" w:rsidR="00661519" w:rsidP="00661519" w:rsidRDefault="00661519" w14:paraId="48CB1491" w14:textId="77777777">
            <w:pPr>
              <w:spacing w:line="187" w:lineRule="exact"/>
              <w:ind w:right="612"/>
              <w:textAlignment w:val="baseline"/>
              <w:rPr>
                <w:rFonts w:eastAsia="Times New Roman"/>
                <w:color w:val="000000"/>
                <w:sz w:val="16"/>
                <w:lang w:val="en-GB"/>
              </w:rPr>
            </w:pPr>
            <w:r w:rsidRPr="009C48DA">
              <w:rPr>
                <w:rFonts w:eastAsia="Times New Roman"/>
                <w:color w:val="000000"/>
                <w:sz w:val="16"/>
                <w:lang w:val="en-GB"/>
              </w:rPr>
              <w:t>Bridgepoint Credit Partners Limited</w:t>
            </w:r>
          </w:p>
        </w:tc>
        <w:tc>
          <w:tcPr>
            <w:tcW w:w="855" w:type="dxa"/>
            <w:gridSpan w:val="2"/>
            <w:vAlign w:val="center"/>
          </w:tcPr>
          <w:p w:rsidRPr="009C48DA" w:rsidR="00661519" w:rsidP="00661519" w:rsidRDefault="00661519" w14:paraId="31E0D61E" w14:textId="77777777">
            <w:pPr>
              <w:spacing w:before="102"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198315C4"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54E6C403" w14:textId="77777777">
            <w:pPr>
              <w:spacing w:before="102"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33FA8FB1"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2E6742A8" w14:textId="77777777">
            <w:pPr>
              <w:spacing w:before="10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EDAF28C" w14:textId="77777777">
        <w:trPr>
          <w:jc w:val="center"/>
        </w:trPr>
        <w:tc>
          <w:tcPr>
            <w:tcW w:w="2410" w:type="dxa"/>
          </w:tcPr>
          <w:p w:rsidRPr="009C48DA" w:rsidR="00661519" w:rsidP="00661519" w:rsidRDefault="00661519" w14:paraId="04AF6833" w14:textId="77777777">
            <w:pPr>
              <w:spacing w:line="181" w:lineRule="exact"/>
              <w:ind w:right="324"/>
              <w:textAlignment w:val="baseline"/>
              <w:rPr>
                <w:rFonts w:eastAsia="Times New Roman"/>
                <w:color w:val="000000"/>
                <w:sz w:val="16"/>
                <w:lang w:val="en-GB"/>
              </w:rPr>
            </w:pPr>
            <w:r w:rsidRPr="009C48DA">
              <w:rPr>
                <w:rFonts w:eastAsia="Times New Roman"/>
                <w:color w:val="000000"/>
                <w:sz w:val="16"/>
                <w:lang w:val="en-GB"/>
              </w:rPr>
              <w:t>Bridgepoint Credit Services S.à r.l.</w:t>
            </w:r>
          </w:p>
        </w:tc>
        <w:tc>
          <w:tcPr>
            <w:tcW w:w="855" w:type="dxa"/>
            <w:gridSpan w:val="2"/>
            <w:vAlign w:val="center"/>
          </w:tcPr>
          <w:p w:rsidRPr="009C48DA" w:rsidR="00661519" w:rsidP="00661519" w:rsidRDefault="00661519" w14:paraId="583D0EB2" w14:textId="77777777">
            <w:pPr>
              <w:spacing w:before="98"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3</w:t>
            </w:r>
          </w:p>
        </w:tc>
        <w:tc>
          <w:tcPr>
            <w:tcW w:w="1413" w:type="dxa"/>
            <w:vAlign w:val="center"/>
          </w:tcPr>
          <w:p w:rsidRPr="009C48DA" w:rsidR="00661519" w:rsidP="00661519" w:rsidRDefault="00661519" w14:paraId="396995E9" w14:textId="77777777">
            <w:pPr>
              <w:spacing w:before="98" w:line="188"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268" w:type="dxa"/>
            <w:vAlign w:val="center"/>
          </w:tcPr>
          <w:p w:rsidRPr="009C48DA" w:rsidR="00661519" w:rsidP="00661519" w:rsidRDefault="00661519" w14:paraId="22A8DDEB" w14:textId="77777777">
            <w:pPr>
              <w:spacing w:before="98" w:line="188" w:lineRule="exact"/>
              <w:ind w:right="81"/>
              <w:jc w:val="right"/>
              <w:textAlignment w:val="baseline"/>
              <w:rPr>
                <w:rFonts w:eastAsia="Times New Roman"/>
                <w:color w:val="000000"/>
                <w:sz w:val="16"/>
                <w:lang w:val="en-GB"/>
              </w:rPr>
            </w:pPr>
            <w:r w:rsidRPr="009C48DA">
              <w:rPr>
                <w:rFonts w:eastAsia="Times New Roman"/>
                <w:color w:val="000000"/>
                <w:sz w:val="16"/>
                <w:lang w:val="en-GB"/>
              </w:rPr>
              <w:t>Credit fund advisory company</w:t>
            </w:r>
          </w:p>
        </w:tc>
        <w:tc>
          <w:tcPr>
            <w:tcW w:w="1376" w:type="dxa"/>
            <w:vAlign w:val="center"/>
          </w:tcPr>
          <w:p w:rsidRPr="009C48DA" w:rsidR="00661519" w:rsidP="00661519" w:rsidRDefault="00661519" w14:paraId="435644C8" w14:textId="77777777">
            <w:pPr>
              <w:spacing w:before="9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5F998046" w14:textId="77777777">
            <w:pPr>
              <w:spacing w:before="98"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41C0126" w14:textId="77777777">
        <w:trPr>
          <w:jc w:val="center"/>
        </w:trPr>
        <w:tc>
          <w:tcPr>
            <w:tcW w:w="2410" w:type="dxa"/>
            <w:vAlign w:val="center"/>
          </w:tcPr>
          <w:p w:rsidRPr="009C48DA" w:rsidR="00661519" w:rsidP="00661519" w:rsidRDefault="00661519" w14:paraId="509794AA" w14:textId="77777777">
            <w:pPr>
              <w:spacing w:before="35" w:line="188" w:lineRule="exact"/>
              <w:textAlignment w:val="baseline"/>
              <w:rPr>
                <w:rFonts w:eastAsia="Times New Roman"/>
                <w:color w:val="000000"/>
                <w:sz w:val="16"/>
                <w:lang w:val="en-GB"/>
              </w:rPr>
            </w:pPr>
            <w:r w:rsidRPr="009C48DA">
              <w:rPr>
                <w:rFonts w:eastAsia="Times New Roman"/>
                <w:color w:val="000000"/>
                <w:sz w:val="16"/>
                <w:lang w:val="en-GB"/>
              </w:rPr>
              <w:t>Bridgepoint Credit UK Limited</w:t>
            </w:r>
          </w:p>
        </w:tc>
        <w:tc>
          <w:tcPr>
            <w:tcW w:w="855" w:type="dxa"/>
            <w:gridSpan w:val="2"/>
            <w:vAlign w:val="center"/>
          </w:tcPr>
          <w:p w:rsidRPr="009C48DA" w:rsidR="00661519" w:rsidP="00661519" w:rsidRDefault="00661519" w14:paraId="622F1340" w14:textId="77777777">
            <w:pPr>
              <w:spacing w:before="35"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430261C1" w14:textId="77777777">
            <w:pPr>
              <w:spacing w:before="35"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4D6D0B58" w14:textId="77777777">
            <w:pPr>
              <w:spacing w:before="35" w:line="188" w:lineRule="exact"/>
              <w:ind w:right="81"/>
              <w:jc w:val="right"/>
              <w:textAlignment w:val="baseline"/>
              <w:rPr>
                <w:rFonts w:eastAsia="Times New Roman"/>
                <w:color w:val="000000"/>
                <w:sz w:val="16"/>
                <w:lang w:val="en-GB"/>
              </w:rPr>
            </w:pPr>
            <w:r w:rsidRPr="009C48DA">
              <w:rPr>
                <w:rFonts w:eastAsia="Times New Roman"/>
                <w:color w:val="000000"/>
                <w:sz w:val="16"/>
                <w:lang w:val="en-GB"/>
              </w:rPr>
              <w:t>Credit fund advisory company</w:t>
            </w:r>
          </w:p>
        </w:tc>
        <w:tc>
          <w:tcPr>
            <w:tcW w:w="1376" w:type="dxa"/>
            <w:vAlign w:val="center"/>
          </w:tcPr>
          <w:p w:rsidRPr="009C48DA" w:rsidR="00661519" w:rsidP="00661519" w:rsidRDefault="00661519" w14:paraId="6B590DD3" w14:textId="77777777">
            <w:pPr>
              <w:spacing w:before="35"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52745635" w14:textId="77777777">
            <w:pPr>
              <w:spacing w:before="35"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68DBA87" w14:textId="77777777">
        <w:trPr>
          <w:jc w:val="center"/>
        </w:trPr>
        <w:tc>
          <w:tcPr>
            <w:tcW w:w="2410" w:type="dxa"/>
          </w:tcPr>
          <w:p w:rsidRPr="009C48DA" w:rsidR="00661519" w:rsidP="00661519" w:rsidRDefault="00661519" w14:paraId="5164FD19" w14:textId="77777777">
            <w:pPr>
              <w:spacing w:line="183" w:lineRule="exact"/>
              <w:textAlignment w:val="baseline"/>
              <w:rPr>
                <w:rFonts w:eastAsia="Times New Roman"/>
                <w:color w:val="000000"/>
                <w:sz w:val="16"/>
                <w:lang w:val="en-GB"/>
              </w:rPr>
            </w:pPr>
            <w:r w:rsidRPr="009C48DA">
              <w:rPr>
                <w:rFonts w:eastAsia="Times New Roman"/>
                <w:color w:val="000000"/>
                <w:sz w:val="16"/>
                <w:lang w:val="en-GB"/>
              </w:rPr>
              <w:t xml:space="preserve">Bridgepoint Debt Funding </w:t>
            </w:r>
            <w:r w:rsidRPr="009C48DA">
              <w:rPr>
                <w:rFonts w:eastAsia="Times New Roman"/>
                <w:color w:val="000000"/>
                <w:sz w:val="16"/>
                <w:lang w:val="en-GB"/>
              </w:rPr>
              <w:br/>
              <w:t>Limited</w:t>
            </w:r>
          </w:p>
        </w:tc>
        <w:tc>
          <w:tcPr>
            <w:tcW w:w="855" w:type="dxa"/>
            <w:gridSpan w:val="2"/>
            <w:vAlign w:val="center"/>
          </w:tcPr>
          <w:p w:rsidRPr="009C48DA" w:rsidR="00661519" w:rsidP="00661519" w:rsidRDefault="00661519" w14:paraId="2A4E904F" w14:textId="77777777">
            <w:pPr>
              <w:spacing w:before="103"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2302F394" w14:textId="77777777">
            <w:pPr>
              <w:spacing w:before="10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4347362E" w14:textId="77777777">
            <w:pPr>
              <w:spacing w:before="103"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1DF64C25" w14:textId="77777777">
            <w:pPr>
              <w:spacing w:before="10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0CD3DB38" w14:textId="77777777">
            <w:pPr>
              <w:spacing w:before="10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2245169" w14:textId="77777777">
        <w:trPr>
          <w:jc w:val="center"/>
        </w:trPr>
        <w:tc>
          <w:tcPr>
            <w:tcW w:w="2410" w:type="dxa"/>
          </w:tcPr>
          <w:p w:rsidRPr="009C48DA" w:rsidR="00661519" w:rsidP="00661519" w:rsidRDefault="00661519" w14:paraId="763995F2" w14:textId="77777777">
            <w:pPr>
              <w:spacing w:line="182" w:lineRule="exact"/>
              <w:textAlignment w:val="baseline"/>
              <w:rPr>
                <w:rFonts w:eastAsia="Times New Roman"/>
                <w:color w:val="000000"/>
                <w:sz w:val="16"/>
                <w:lang w:val="en-GB"/>
              </w:rPr>
            </w:pPr>
            <w:r w:rsidRPr="009C48DA">
              <w:rPr>
                <w:rFonts w:eastAsia="Times New Roman"/>
                <w:color w:val="000000"/>
                <w:sz w:val="16"/>
                <w:lang w:val="en-GB"/>
              </w:rPr>
              <w:t>Bridgepoint Debt Management Limited</w:t>
            </w:r>
          </w:p>
        </w:tc>
        <w:tc>
          <w:tcPr>
            <w:tcW w:w="855" w:type="dxa"/>
            <w:gridSpan w:val="2"/>
            <w:vAlign w:val="center"/>
          </w:tcPr>
          <w:p w:rsidRPr="009C48DA" w:rsidR="00661519" w:rsidP="00661519" w:rsidRDefault="00661519" w14:paraId="1A3A5B01" w14:textId="77777777">
            <w:pPr>
              <w:spacing w:before="102"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4BC1F307"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6A954030" w14:textId="77777777">
            <w:pPr>
              <w:spacing w:before="102"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7ACC59CF"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0C9E5B61" w14:textId="77777777">
            <w:pPr>
              <w:spacing w:before="10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D6F3293" w14:textId="77777777">
        <w:trPr>
          <w:jc w:val="center"/>
        </w:trPr>
        <w:tc>
          <w:tcPr>
            <w:tcW w:w="2410" w:type="dxa"/>
          </w:tcPr>
          <w:p w:rsidRPr="009C48DA" w:rsidR="00661519" w:rsidP="00661519" w:rsidRDefault="00661519" w14:paraId="3653F353" w14:textId="77777777">
            <w:pPr>
              <w:spacing w:line="182" w:lineRule="exact"/>
              <w:ind w:right="576"/>
              <w:textAlignment w:val="baseline"/>
              <w:rPr>
                <w:rFonts w:eastAsia="Times New Roman"/>
                <w:color w:val="000000"/>
                <w:sz w:val="16"/>
                <w:lang w:val="en-GB"/>
              </w:rPr>
            </w:pPr>
            <w:r w:rsidRPr="009C48DA">
              <w:rPr>
                <w:rFonts w:eastAsia="Times New Roman"/>
                <w:color w:val="000000"/>
                <w:sz w:val="16"/>
                <w:lang w:val="en-GB"/>
              </w:rPr>
              <w:t>Bridgepoint Debt Managers Limited</w:t>
            </w:r>
          </w:p>
        </w:tc>
        <w:tc>
          <w:tcPr>
            <w:tcW w:w="855" w:type="dxa"/>
            <w:gridSpan w:val="2"/>
            <w:vAlign w:val="center"/>
          </w:tcPr>
          <w:p w:rsidRPr="009C48DA" w:rsidR="00661519" w:rsidP="00661519" w:rsidRDefault="00661519" w14:paraId="4DAA8A3F" w14:textId="77777777">
            <w:pPr>
              <w:spacing w:before="102"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22867D96"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1C8CB025" w14:textId="77777777">
            <w:pPr>
              <w:spacing w:before="102"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5C4E4E50"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431F28DB" w14:textId="77777777">
            <w:pPr>
              <w:spacing w:before="10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43F70C4" w14:textId="77777777">
        <w:trPr>
          <w:jc w:val="center"/>
        </w:trPr>
        <w:tc>
          <w:tcPr>
            <w:tcW w:w="2410" w:type="dxa"/>
          </w:tcPr>
          <w:p w:rsidRPr="009C48DA" w:rsidR="00661519" w:rsidP="00661519" w:rsidRDefault="00661519" w14:paraId="4DF40326" w14:textId="77777777">
            <w:pPr>
              <w:spacing w:line="187" w:lineRule="exact"/>
              <w:textAlignment w:val="baseline"/>
              <w:rPr>
                <w:rFonts w:eastAsia="Times New Roman"/>
                <w:color w:val="000000"/>
                <w:sz w:val="16"/>
                <w:lang w:val="en-GB"/>
              </w:rPr>
            </w:pPr>
            <w:r w:rsidRPr="009C48DA">
              <w:rPr>
                <w:rFonts w:eastAsia="Times New Roman"/>
                <w:color w:val="000000"/>
                <w:sz w:val="16"/>
                <w:lang w:val="en-GB"/>
              </w:rPr>
              <w:t>Bridgepoint Development Capital Limited</w:t>
            </w:r>
          </w:p>
        </w:tc>
        <w:tc>
          <w:tcPr>
            <w:tcW w:w="855" w:type="dxa"/>
            <w:gridSpan w:val="2"/>
            <w:vAlign w:val="center"/>
          </w:tcPr>
          <w:p w:rsidRPr="009C48DA" w:rsidR="00661519" w:rsidP="00661519" w:rsidRDefault="00661519" w14:paraId="2529A92A" w14:textId="77777777">
            <w:pPr>
              <w:spacing w:before="102"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4A4B7A5D"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4CA20DE9" w14:textId="77777777">
            <w:pPr>
              <w:spacing w:before="102"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7FFC9276"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178BAB83" w14:textId="77777777">
            <w:pPr>
              <w:spacing w:before="10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967F081" w14:textId="77777777">
        <w:trPr>
          <w:jc w:val="center"/>
        </w:trPr>
        <w:tc>
          <w:tcPr>
            <w:tcW w:w="2410" w:type="dxa"/>
          </w:tcPr>
          <w:p w:rsidRPr="009C48DA" w:rsidR="00661519" w:rsidP="00661519" w:rsidRDefault="00661519" w14:paraId="70D60789" w14:textId="77777777">
            <w:pPr>
              <w:spacing w:line="182" w:lineRule="exact"/>
              <w:ind w:right="216"/>
              <w:textAlignment w:val="baseline"/>
              <w:rPr>
                <w:rFonts w:eastAsia="Times New Roman"/>
                <w:color w:val="000000"/>
                <w:sz w:val="16"/>
                <w:lang w:val="en-GB"/>
              </w:rPr>
            </w:pPr>
            <w:r w:rsidRPr="009C48DA">
              <w:rPr>
                <w:rFonts w:eastAsia="Times New Roman"/>
                <w:color w:val="000000"/>
                <w:sz w:val="16"/>
                <w:lang w:val="en-GB"/>
              </w:rPr>
              <w:t>Bridgepoint Direct Lending II GP S.à r.l.</w:t>
            </w:r>
          </w:p>
        </w:tc>
        <w:tc>
          <w:tcPr>
            <w:tcW w:w="855" w:type="dxa"/>
            <w:gridSpan w:val="2"/>
            <w:vAlign w:val="center"/>
          </w:tcPr>
          <w:p w:rsidRPr="009C48DA" w:rsidR="00661519" w:rsidP="00661519" w:rsidRDefault="00661519" w14:paraId="5DEC0808" w14:textId="77777777">
            <w:pPr>
              <w:spacing w:before="97"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3</w:t>
            </w:r>
          </w:p>
        </w:tc>
        <w:tc>
          <w:tcPr>
            <w:tcW w:w="1413" w:type="dxa"/>
            <w:vAlign w:val="center"/>
          </w:tcPr>
          <w:p w:rsidRPr="009C48DA" w:rsidR="00661519" w:rsidP="00661519" w:rsidRDefault="00661519" w14:paraId="42FCFF16" w14:textId="77777777">
            <w:pPr>
              <w:spacing w:before="97" w:line="188"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268" w:type="dxa"/>
            <w:vAlign w:val="center"/>
          </w:tcPr>
          <w:p w:rsidRPr="009C48DA" w:rsidR="00661519" w:rsidP="00661519" w:rsidRDefault="00661519" w14:paraId="7ED2C335" w14:textId="77777777">
            <w:pPr>
              <w:spacing w:before="97"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7697CEBF" w14:textId="77777777">
            <w:pPr>
              <w:spacing w:before="9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38E37763" w14:textId="77777777">
            <w:pPr>
              <w:spacing w:before="97"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5342FD4" w14:textId="77777777">
        <w:trPr>
          <w:jc w:val="center"/>
        </w:trPr>
        <w:tc>
          <w:tcPr>
            <w:tcW w:w="2410" w:type="dxa"/>
          </w:tcPr>
          <w:p w:rsidRPr="009C48DA" w:rsidR="00661519" w:rsidP="00661519" w:rsidRDefault="00661519" w14:paraId="738228AD" w14:textId="77777777">
            <w:pPr>
              <w:spacing w:line="188" w:lineRule="exact"/>
              <w:textAlignment w:val="baseline"/>
              <w:rPr>
                <w:rFonts w:eastAsia="Times New Roman"/>
                <w:color w:val="000000"/>
                <w:sz w:val="16"/>
                <w:lang w:val="en-GB"/>
              </w:rPr>
            </w:pPr>
            <w:r w:rsidRPr="009C48DA">
              <w:rPr>
                <w:rFonts w:eastAsia="Times New Roman"/>
                <w:color w:val="000000"/>
                <w:sz w:val="16"/>
                <w:lang w:val="en-GB"/>
              </w:rPr>
              <w:t>Bridgepoint Direct Lending III GP S.à r.l.</w:t>
            </w:r>
          </w:p>
        </w:tc>
        <w:tc>
          <w:tcPr>
            <w:tcW w:w="855" w:type="dxa"/>
            <w:gridSpan w:val="2"/>
            <w:vAlign w:val="center"/>
          </w:tcPr>
          <w:p w:rsidRPr="009C48DA" w:rsidR="00661519" w:rsidP="00661519" w:rsidRDefault="00661519" w14:paraId="635F6E4E" w14:textId="77777777">
            <w:pPr>
              <w:spacing w:before="103"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3</w:t>
            </w:r>
          </w:p>
        </w:tc>
        <w:tc>
          <w:tcPr>
            <w:tcW w:w="1413" w:type="dxa"/>
            <w:vAlign w:val="center"/>
          </w:tcPr>
          <w:p w:rsidRPr="009C48DA" w:rsidR="00661519" w:rsidP="00661519" w:rsidRDefault="00661519" w14:paraId="5F17911B" w14:textId="77777777">
            <w:pPr>
              <w:spacing w:before="103" w:line="188"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268" w:type="dxa"/>
            <w:vAlign w:val="center"/>
          </w:tcPr>
          <w:p w:rsidRPr="009C48DA" w:rsidR="00661519" w:rsidP="00661519" w:rsidRDefault="00661519" w14:paraId="2626B2CB" w14:textId="77777777">
            <w:pPr>
              <w:spacing w:before="103"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35A5E47F" w14:textId="77777777">
            <w:pPr>
              <w:spacing w:before="10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383BB24E" w14:textId="77777777">
            <w:pPr>
              <w:spacing w:before="10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B8B9472" w14:textId="77777777">
        <w:trPr>
          <w:jc w:val="center"/>
        </w:trPr>
        <w:tc>
          <w:tcPr>
            <w:tcW w:w="2410" w:type="dxa"/>
          </w:tcPr>
          <w:p w:rsidRPr="009C48DA" w:rsidR="00661519" w:rsidP="00661519" w:rsidRDefault="00661519" w14:paraId="1E1BBB86" w14:textId="77777777">
            <w:pPr>
              <w:spacing w:line="182" w:lineRule="exact"/>
              <w:textAlignment w:val="baseline"/>
              <w:rPr>
                <w:rFonts w:eastAsia="Times New Roman"/>
                <w:color w:val="000000"/>
                <w:sz w:val="16"/>
                <w:lang w:val="en-GB"/>
              </w:rPr>
            </w:pPr>
            <w:r w:rsidRPr="009C48DA">
              <w:rPr>
                <w:rFonts w:eastAsia="Times New Roman"/>
                <w:color w:val="000000"/>
                <w:sz w:val="16"/>
                <w:lang w:val="en-GB"/>
              </w:rPr>
              <w:t xml:space="preserve">Bridgepoint Europe (SGP) </w:t>
            </w:r>
            <w:r w:rsidRPr="009C48DA">
              <w:rPr>
                <w:rFonts w:eastAsia="Times New Roman"/>
                <w:color w:val="000000"/>
                <w:sz w:val="16"/>
                <w:lang w:val="en-GB"/>
              </w:rPr>
              <w:br/>
              <w:t>Limited</w:t>
            </w:r>
          </w:p>
        </w:tc>
        <w:tc>
          <w:tcPr>
            <w:tcW w:w="855" w:type="dxa"/>
            <w:gridSpan w:val="2"/>
            <w:vAlign w:val="center"/>
          </w:tcPr>
          <w:p w:rsidRPr="009C48DA" w:rsidR="00661519" w:rsidP="00661519" w:rsidRDefault="00661519" w14:paraId="28F5BF8D" w14:textId="77777777">
            <w:pPr>
              <w:spacing w:before="102"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2</w:t>
            </w:r>
          </w:p>
        </w:tc>
        <w:tc>
          <w:tcPr>
            <w:tcW w:w="1413" w:type="dxa"/>
            <w:vAlign w:val="center"/>
          </w:tcPr>
          <w:p w:rsidRPr="009C48DA" w:rsidR="00661519" w:rsidP="00661519" w:rsidRDefault="00661519" w14:paraId="76C23CB7"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14A0370A" w14:textId="77777777">
            <w:pPr>
              <w:spacing w:before="102"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616C262A"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0D01078E" w14:textId="77777777">
            <w:pPr>
              <w:spacing w:before="10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D95BDA8" w14:textId="77777777">
        <w:trPr>
          <w:jc w:val="center"/>
        </w:trPr>
        <w:tc>
          <w:tcPr>
            <w:tcW w:w="2410" w:type="dxa"/>
          </w:tcPr>
          <w:p w:rsidRPr="009C48DA" w:rsidR="00661519" w:rsidP="00661519" w:rsidRDefault="00661519" w14:paraId="34CACCA8" w14:textId="77777777">
            <w:pPr>
              <w:spacing w:line="187" w:lineRule="exact"/>
              <w:textAlignment w:val="baseline"/>
              <w:rPr>
                <w:rFonts w:eastAsia="Times New Roman"/>
                <w:color w:val="000000"/>
                <w:sz w:val="16"/>
                <w:lang w:val="en-GB"/>
              </w:rPr>
            </w:pPr>
            <w:r w:rsidRPr="009C48DA">
              <w:rPr>
                <w:rFonts w:eastAsia="Times New Roman"/>
                <w:color w:val="000000"/>
                <w:sz w:val="16"/>
                <w:lang w:val="en-GB"/>
              </w:rPr>
              <w:t>Bridgepoint Europe III FP (GP) Limited</w:t>
            </w:r>
          </w:p>
        </w:tc>
        <w:tc>
          <w:tcPr>
            <w:tcW w:w="855" w:type="dxa"/>
            <w:gridSpan w:val="2"/>
            <w:vAlign w:val="center"/>
          </w:tcPr>
          <w:p w:rsidRPr="009C48DA" w:rsidR="00661519" w:rsidP="00661519" w:rsidRDefault="00661519" w14:paraId="631A0A97" w14:textId="77777777">
            <w:pPr>
              <w:spacing w:before="102"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2</w:t>
            </w:r>
          </w:p>
        </w:tc>
        <w:tc>
          <w:tcPr>
            <w:tcW w:w="1413" w:type="dxa"/>
            <w:vAlign w:val="center"/>
          </w:tcPr>
          <w:p w:rsidRPr="009C48DA" w:rsidR="00661519" w:rsidP="00661519" w:rsidRDefault="00661519" w14:paraId="79154095"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3F5B8C64" w14:textId="77777777">
            <w:pPr>
              <w:spacing w:before="102"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3625A056" w14:textId="77777777">
            <w:pPr>
              <w:spacing w:before="10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5C84CC12" w14:textId="77777777">
            <w:pPr>
              <w:spacing w:before="10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5DD4857" w14:textId="77777777">
        <w:trPr>
          <w:jc w:val="center"/>
        </w:trPr>
        <w:tc>
          <w:tcPr>
            <w:tcW w:w="2410" w:type="dxa"/>
          </w:tcPr>
          <w:p w:rsidRPr="009C48DA" w:rsidR="00661519" w:rsidP="00661519" w:rsidRDefault="00661519" w14:paraId="2499BE2F" w14:textId="77777777">
            <w:pPr>
              <w:spacing w:before="35" w:line="183" w:lineRule="exact"/>
              <w:ind w:right="576"/>
              <w:textAlignment w:val="baseline"/>
              <w:rPr>
                <w:rFonts w:eastAsia="Times New Roman"/>
                <w:color w:val="000000"/>
                <w:sz w:val="16"/>
                <w:lang w:val="en-GB"/>
              </w:rPr>
            </w:pPr>
            <w:r w:rsidRPr="009C48DA">
              <w:rPr>
                <w:rFonts w:eastAsia="Times New Roman"/>
                <w:color w:val="000000"/>
                <w:sz w:val="16"/>
                <w:lang w:val="en-GB"/>
              </w:rPr>
              <w:t>Bridgepoint Europe III (GP) Limited</w:t>
            </w:r>
          </w:p>
        </w:tc>
        <w:tc>
          <w:tcPr>
            <w:tcW w:w="855" w:type="dxa"/>
            <w:gridSpan w:val="2"/>
            <w:vAlign w:val="center"/>
          </w:tcPr>
          <w:p w:rsidRPr="009C48DA" w:rsidR="00661519" w:rsidP="00661519" w:rsidRDefault="00661519" w14:paraId="3921D722" w14:textId="77777777">
            <w:pPr>
              <w:spacing w:before="126"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2</w:t>
            </w:r>
          </w:p>
        </w:tc>
        <w:tc>
          <w:tcPr>
            <w:tcW w:w="1413" w:type="dxa"/>
            <w:vAlign w:val="center"/>
          </w:tcPr>
          <w:p w:rsidRPr="009C48DA" w:rsidR="00661519" w:rsidP="00661519" w:rsidRDefault="00661519" w14:paraId="624706D2" w14:textId="77777777">
            <w:pPr>
              <w:spacing w:before="126"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59DD8D77" w14:textId="77777777">
            <w:pPr>
              <w:spacing w:before="126"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2388ECA4" w14:textId="77777777">
            <w:pPr>
              <w:spacing w:before="126"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56EB2452" w14:textId="77777777">
            <w:pPr>
              <w:spacing w:before="126"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3FFC5AB" w14:textId="77777777">
        <w:trPr>
          <w:jc w:val="center"/>
        </w:trPr>
        <w:tc>
          <w:tcPr>
            <w:tcW w:w="2410" w:type="dxa"/>
          </w:tcPr>
          <w:p w:rsidRPr="009C48DA" w:rsidR="00661519" w:rsidP="00661519" w:rsidRDefault="00661519" w14:paraId="652CF052" w14:textId="77777777">
            <w:pPr>
              <w:spacing w:before="35" w:line="183" w:lineRule="exact"/>
              <w:ind w:right="576"/>
              <w:textAlignment w:val="baseline"/>
              <w:rPr>
                <w:rFonts w:eastAsia="Times New Roman"/>
                <w:color w:val="000000"/>
                <w:sz w:val="16"/>
                <w:lang w:val="en-GB"/>
              </w:rPr>
            </w:pPr>
            <w:r w:rsidRPr="009C48DA">
              <w:rPr>
                <w:rFonts w:eastAsia="Times New Roman"/>
                <w:color w:val="000000"/>
                <w:sz w:val="16"/>
                <w:lang w:val="en-GB"/>
              </w:rPr>
              <w:t>Bridgepoint Europe III GP LP</w:t>
            </w:r>
          </w:p>
          <w:p w:rsidRPr="009C48DA" w:rsidR="00661519" w:rsidP="00661519" w:rsidRDefault="00661519" w14:paraId="080C54E8" w14:textId="77777777">
            <w:pPr>
              <w:spacing w:before="35" w:line="183" w:lineRule="exact"/>
              <w:ind w:right="576"/>
              <w:textAlignment w:val="baseline"/>
              <w:rPr>
                <w:rFonts w:eastAsia="Times New Roman"/>
                <w:color w:val="000000"/>
                <w:sz w:val="16"/>
                <w:lang w:val="en-GB"/>
              </w:rPr>
            </w:pPr>
          </w:p>
        </w:tc>
        <w:tc>
          <w:tcPr>
            <w:tcW w:w="855" w:type="dxa"/>
            <w:gridSpan w:val="2"/>
            <w:vAlign w:val="center"/>
          </w:tcPr>
          <w:p w:rsidRPr="009C48DA" w:rsidR="00661519" w:rsidP="00661519" w:rsidRDefault="00661519" w14:paraId="5C21F6F6" w14:textId="77777777">
            <w:pPr>
              <w:spacing w:before="126" w:line="188" w:lineRule="exact"/>
              <w:ind w:right="134"/>
              <w:jc w:val="right"/>
              <w:textAlignment w:val="baseline"/>
              <w:rPr>
                <w:rFonts w:eastAsia="Times New Roman"/>
                <w:color w:val="000000"/>
                <w:sz w:val="16"/>
                <w:lang w:val="en-GB"/>
              </w:rPr>
            </w:pPr>
            <w:r w:rsidRPr="009C48DA">
              <w:rPr>
                <w:rFonts w:eastAsia="Times New Roman"/>
                <w:color w:val="000000"/>
                <w:sz w:val="16"/>
                <w:lang w:val="en-GB"/>
              </w:rPr>
              <w:t>2</w:t>
            </w:r>
          </w:p>
        </w:tc>
        <w:tc>
          <w:tcPr>
            <w:tcW w:w="1413" w:type="dxa"/>
            <w:vAlign w:val="center"/>
          </w:tcPr>
          <w:p w:rsidRPr="009C48DA" w:rsidR="00661519" w:rsidP="00661519" w:rsidRDefault="00661519" w14:paraId="1E0C1B6D" w14:textId="77777777">
            <w:pPr>
              <w:spacing w:before="126"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5184F931" w14:textId="77777777">
            <w:pPr>
              <w:spacing w:before="126" w:line="188" w:lineRule="exact"/>
              <w:ind w:right="531"/>
              <w:jc w:val="right"/>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7558A969" w14:textId="77777777">
            <w:pPr>
              <w:spacing w:before="126"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413" w:type="dxa"/>
            <w:vAlign w:val="center"/>
          </w:tcPr>
          <w:p w:rsidRPr="009C48DA" w:rsidR="00661519" w:rsidP="00661519" w:rsidRDefault="00661519" w14:paraId="65680E77" w14:textId="77777777">
            <w:pPr>
              <w:spacing w:before="126" w:line="188" w:lineRule="exact"/>
              <w:ind w:right="514"/>
              <w:jc w:val="right"/>
              <w:textAlignment w:val="baseline"/>
              <w:rPr>
                <w:rFonts w:eastAsia="Times New Roman"/>
                <w:color w:val="000000"/>
                <w:sz w:val="16"/>
                <w:lang w:val="en-GB"/>
              </w:rPr>
            </w:pPr>
          </w:p>
        </w:tc>
      </w:tr>
      <w:tr w:rsidRPr="009C48DA" w:rsidR="00661519" w:rsidTr="00661519" w14:paraId="7DAA49B3" w14:textId="77777777">
        <w:trPr>
          <w:trHeight w:val="680"/>
          <w:jc w:val="center"/>
        </w:trPr>
        <w:tc>
          <w:tcPr>
            <w:tcW w:w="2694" w:type="dxa"/>
            <w:gridSpan w:val="2"/>
            <w:vAlign w:val="bottom"/>
          </w:tcPr>
          <w:p w:rsidRPr="009C48DA" w:rsidR="00661519" w:rsidP="00661519" w:rsidRDefault="00661519" w14:paraId="664F142D" w14:textId="77777777">
            <w:pPr>
              <w:ind w:right="-12"/>
              <w:textAlignment w:val="baseline"/>
              <w:rPr>
                <w:rFonts w:eastAsia="Times New Roman"/>
                <w:color w:val="000000"/>
                <w:sz w:val="16"/>
                <w:szCs w:val="16"/>
                <w:lang w:val="en-GB"/>
              </w:rPr>
            </w:pPr>
            <w:r w:rsidRPr="009C48DA">
              <w:rPr>
                <w:lang w:val="en-GB"/>
              </w:rPr>
              <w:lastRenderedPageBreak/>
              <w:br w:type="page"/>
            </w:r>
            <w:r w:rsidRPr="009C48DA">
              <w:rPr>
                <w:lang w:val="en-GB"/>
              </w:rPr>
              <w:br w:type="page"/>
            </w:r>
            <w:r w:rsidRPr="009C48DA">
              <w:rPr>
                <w:lang w:val="en-GB"/>
              </w:rPr>
              <w:br w:type="page"/>
            </w:r>
            <w:r w:rsidRPr="009C48DA">
              <w:rPr>
                <w:rFonts w:eastAsia="Times New Roman"/>
                <w:b/>
                <w:color w:val="000000"/>
                <w:sz w:val="16"/>
                <w:szCs w:val="16"/>
                <w:lang w:val="en-GB"/>
              </w:rPr>
              <w:t>Name of subsidiary</w:t>
            </w:r>
          </w:p>
        </w:tc>
        <w:tc>
          <w:tcPr>
            <w:tcW w:w="571" w:type="dxa"/>
            <w:vAlign w:val="bottom"/>
          </w:tcPr>
          <w:p w:rsidRPr="009C48DA" w:rsidR="00661519" w:rsidP="00661519" w:rsidRDefault="00661519" w14:paraId="02C5E123" w14:textId="77777777">
            <w:pPr>
              <w:ind w:right="-12"/>
              <w:jc w:val="center"/>
              <w:textAlignment w:val="baseline"/>
              <w:rPr>
                <w:rFonts w:eastAsia="Times New Roman"/>
                <w:color w:val="000000"/>
                <w:sz w:val="16"/>
                <w:szCs w:val="16"/>
                <w:lang w:val="en-GB"/>
              </w:rPr>
            </w:pPr>
            <w:r w:rsidRPr="009C48DA">
              <w:rPr>
                <w:rFonts w:eastAsia="Times New Roman"/>
                <w:b/>
                <w:color w:val="000000"/>
                <w:sz w:val="16"/>
                <w:szCs w:val="16"/>
                <w:lang w:val="en-GB"/>
              </w:rPr>
              <w:t>Ref</w:t>
            </w:r>
          </w:p>
        </w:tc>
        <w:tc>
          <w:tcPr>
            <w:tcW w:w="1413" w:type="dxa"/>
            <w:vAlign w:val="bottom"/>
          </w:tcPr>
          <w:p w:rsidRPr="009C48DA" w:rsidR="00661519" w:rsidP="00661519" w:rsidRDefault="00661519" w14:paraId="7C5AA692" w14:textId="77777777">
            <w:pPr>
              <w:ind w:right="-12"/>
              <w:jc w:val="center"/>
              <w:textAlignment w:val="baseline"/>
              <w:rPr>
                <w:rFonts w:eastAsia="Times New Roman"/>
                <w:color w:val="000000"/>
                <w:sz w:val="16"/>
                <w:szCs w:val="16"/>
                <w:lang w:val="en-GB"/>
              </w:rPr>
            </w:pPr>
            <w:r w:rsidRPr="009C48DA">
              <w:rPr>
                <w:rFonts w:eastAsia="Times New Roman"/>
                <w:b/>
                <w:color w:val="000000"/>
                <w:sz w:val="16"/>
                <w:szCs w:val="16"/>
                <w:lang w:val="en-GB"/>
              </w:rPr>
              <w:t>Country of incorporation</w:t>
            </w:r>
          </w:p>
        </w:tc>
        <w:tc>
          <w:tcPr>
            <w:tcW w:w="2268" w:type="dxa"/>
            <w:vAlign w:val="bottom"/>
          </w:tcPr>
          <w:p w:rsidRPr="009C48DA" w:rsidR="00661519" w:rsidP="00661519" w:rsidRDefault="00661519" w14:paraId="3CB52B59" w14:textId="77777777">
            <w:pPr>
              <w:ind w:right="-12"/>
              <w:jc w:val="center"/>
              <w:textAlignment w:val="baseline"/>
              <w:rPr>
                <w:rFonts w:eastAsia="Times New Roman"/>
                <w:color w:val="000000"/>
                <w:sz w:val="16"/>
                <w:szCs w:val="16"/>
                <w:lang w:val="en-GB"/>
              </w:rPr>
            </w:pPr>
            <w:r w:rsidRPr="009C48DA">
              <w:rPr>
                <w:rFonts w:eastAsia="Times New Roman"/>
                <w:b/>
                <w:color w:val="000000"/>
                <w:sz w:val="16"/>
                <w:szCs w:val="16"/>
                <w:lang w:val="en-GB"/>
              </w:rPr>
              <w:t>Principal activity</w:t>
            </w:r>
          </w:p>
        </w:tc>
        <w:tc>
          <w:tcPr>
            <w:tcW w:w="1376" w:type="dxa"/>
            <w:vAlign w:val="bottom"/>
          </w:tcPr>
          <w:p w:rsidRPr="009C48DA" w:rsidR="00661519" w:rsidP="00661519" w:rsidRDefault="00661519" w14:paraId="0D4CCCED" w14:textId="77777777">
            <w:pPr>
              <w:ind w:right="-12"/>
              <w:jc w:val="center"/>
              <w:textAlignment w:val="baseline"/>
              <w:rPr>
                <w:rFonts w:eastAsia="Times New Roman"/>
                <w:color w:val="000000"/>
                <w:sz w:val="16"/>
                <w:szCs w:val="16"/>
                <w:lang w:val="en-GB"/>
              </w:rPr>
            </w:pPr>
            <w:r w:rsidRPr="009C48DA">
              <w:rPr>
                <w:rFonts w:eastAsia="Times New Roman"/>
                <w:b/>
                <w:color w:val="000000"/>
                <w:sz w:val="16"/>
                <w:szCs w:val="16"/>
                <w:lang w:val="en-GB"/>
              </w:rPr>
              <w:t>Share class</w:t>
            </w:r>
          </w:p>
        </w:tc>
        <w:tc>
          <w:tcPr>
            <w:tcW w:w="1413" w:type="dxa"/>
            <w:vAlign w:val="bottom"/>
          </w:tcPr>
          <w:p w:rsidRPr="009C48DA" w:rsidR="00661519" w:rsidP="00661519" w:rsidRDefault="00661519" w14:paraId="565E6089" w14:textId="77777777">
            <w:pPr>
              <w:ind w:right="-12"/>
              <w:jc w:val="center"/>
              <w:textAlignment w:val="baseline"/>
              <w:rPr>
                <w:rFonts w:eastAsia="Times New Roman"/>
                <w:color w:val="000000"/>
                <w:sz w:val="16"/>
                <w:szCs w:val="16"/>
                <w:lang w:val="en-GB"/>
              </w:rPr>
            </w:pPr>
            <w:r w:rsidRPr="009C48DA">
              <w:rPr>
                <w:rFonts w:eastAsia="Times New Roman"/>
                <w:b/>
                <w:color w:val="000000"/>
                <w:sz w:val="16"/>
                <w:szCs w:val="16"/>
                <w:lang w:val="en-GB"/>
              </w:rPr>
              <w:t>Company’s proportion of ownership interest</w:t>
            </w:r>
          </w:p>
        </w:tc>
      </w:tr>
      <w:tr w:rsidRPr="009C48DA" w:rsidR="00661519" w:rsidTr="00661519" w14:paraId="389043B6" w14:textId="77777777">
        <w:trPr>
          <w:jc w:val="center"/>
        </w:trPr>
        <w:tc>
          <w:tcPr>
            <w:tcW w:w="2694" w:type="dxa"/>
            <w:gridSpan w:val="2"/>
          </w:tcPr>
          <w:p w:rsidRPr="009C48DA" w:rsidR="00661519" w:rsidP="00661519" w:rsidRDefault="00661519" w14:paraId="08DA4161" w14:textId="77777777">
            <w:pPr>
              <w:spacing w:after="26" w:line="186" w:lineRule="exact"/>
              <w:textAlignment w:val="baseline"/>
              <w:rPr>
                <w:rFonts w:eastAsia="Times New Roman"/>
                <w:color w:val="000000"/>
                <w:sz w:val="16"/>
                <w:lang w:val="en-GB"/>
              </w:rPr>
            </w:pPr>
            <w:r w:rsidRPr="009C48DA">
              <w:rPr>
                <w:rFonts w:eastAsia="Times New Roman"/>
                <w:color w:val="000000"/>
                <w:sz w:val="16"/>
                <w:lang w:val="en-GB"/>
              </w:rPr>
              <w:t xml:space="preserve">Bridgepoint Europe IV </w:t>
            </w:r>
            <w:r w:rsidRPr="009C48DA">
              <w:rPr>
                <w:rFonts w:eastAsia="Times New Roman"/>
                <w:color w:val="000000"/>
                <w:sz w:val="16"/>
                <w:lang w:val="en-GB"/>
              </w:rPr>
              <w:br/>
              <w:t>(Nominees) 1 Limited</w:t>
            </w:r>
          </w:p>
        </w:tc>
        <w:tc>
          <w:tcPr>
            <w:tcW w:w="571" w:type="dxa"/>
            <w:vAlign w:val="center"/>
          </w:tcPr>
          <w:p w:rsidRPr="009C48DA" w:rsidR="00661519" w:rsidP="00661519" w:rsidRDefault="00661519" w14:paraId="380AE8B3" w14:textId="77777777">
            <w:pPr>
              <w:spacing w:before="92" w:after="118"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158DF94A" w14:textId="77777777">
            <w:pPr>
              <w:spacing w:before="9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02A152B2" w14:textId="77777777">
            <w:pPr>
              <w:spacing w:before="9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Nominee entity</w:t>
            </w:r>
          </w:p>
        </w:tc>
        <w:tc>
          <w:tcPr>
            <w:tcW w:w="1376" w:type="dxa"/>
            <w:vAlign w:val="center"/>
          </w:tcPr>
          <w:p w:rsidRPr="009C48DA" w:rsidR="00661519" w:rsidP="00661519" w:rsidRDefault="00661519" w14:paraId="01EE1CBB" w14:textId="77777777">
            <w:pPr>
              <w:spacing w:before="9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26D0EFE7" w14:textId="77777777">
            <w:pPr>
              <w:spacing w:before="92" w:after="118"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4578F74" w14:textId="77777777">
        <w:trPr>
          <w:jc w:val="center"/>
        </w:trPr>
        <w:tc>
          <w:tcPr>
            <w:tcW w:w="2694" w:type="dxa"/>
            <w:gridSpan w:val="2"/>
          </w:tcPr>
          <w:p w:rsidRPr="009C48DA" w:rsidR="00661519" w:rsidP="00661519" w:rsidRDefault="00661519" w14:paraId="1182644D" w14:textId="77777777">
            <w:pPr>
              <w:spacing w:after="32" w:line="177" w:lineRule="exact"/>
              <w:textAlignment w:val="baseline"/>
              <w:rPr>
                <w:rFonts w:eastAsia="Times New Roman"/>
                <w:color w:val="000000"/>
                <w:sz w:val="16"/>
                <w:lang w:val="en-GB"/>
              </w:rPr>
            </w:pPr>
            <w:r w:rsidRPr="009C48DA">
              <w:rPr>
                <w:rFonts w:eastAsia="Times New Roman"/>
                <w:color w:val="000000"/>
                <w:sz w:val="16"/>
                <w:lang w:val="en-GB"/>
              </w:rPr>
              <w:t xml:space="preserve">Bridgepoint Europe IV </w:t>
            </w:r>
            <w:r w:rsidRPr="009C48DA">
              <w:rPr>
                <w:rFonts w:eastAsia="Times New Roman"/>
                <w:color w:val="000000"/>
                <w:sz w:val="16"/>
                <w:lang w:val="en-GB"/>
              </w:rPr>
              <w:br/>
              <w:t>(Nominees) Limited</w:t>
            </w:r>
          </w:p>
        </w:tc>
        <w:tc>
          <w:tcPr>
            <w:tcW w:w="571" w:type="dxa"/>
            <w:vAlign w:val="center"/>
          </w:tcPr>
          <w:p w:rsidRPr="009C48DA" w:rsidR="00661519" w:rsidP="00661519" w:rsidRDefault="00661519" w14:paraId="524EA6E1" w14:textId="77777777">
            <w:pPr>
              <w:spacing w:before="97" w:after="123"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2E64D577" w14:textId="77777777">
            <w:pPr>
              <w:spacing w:before="97" w:after="12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6D5DF3E5" w14:textId="77777777">
            <w:pPr>
              <w:spacing w:before="97" w:after="123" w:line="188" w:lineRule="exact"/>
              <w:jc w:val="center"/>
              <w:textAlignment w:val="baseline"/>
              <w:rPr>
                <w:rFonts w:eastAsia="Times New Roman"/>
                <w:color w:val="000000"/>
                <w:sz w:val="16"/>
                <w:lang w:val="en-GB"/>
              </w:rPr>
            </w:pPr>
            <w:r w:rsidRPr="009C48DA">
              <w:rPr>
                <w:rFonts w:eastAsia="Times New Roman"/>
                <w:color w:val="000000"/>
                <w:sz w:val="16"/>
                <w:lang w:val="en-GB"/>
              </w:rPr>
              <w:t>Nominee entity</w:t>
            </w:r>
          </w:p>
        </w:tc>
        <w:tc>
          <w:tcPr>
            <w:tcW w:w="1376" w:type="dxa"/>
            <w:vAlign w:val="center"/>
          </w:tcPr>
          <w:p w:rsidRPr="009C48DA" w:rsidR="00661519" w:rsidP="00661519" w:rsidRDefault="00661519" w14:paraId="486284D6" w14:textId="77777777">
            <w:pPr>
              <w:spacing w:before="97" w:after="12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068EEE45" w14:textId="77777777">
            <w:pPr>
              <w:spacing w:before="97" w:after="12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7780982" w14:textId="77777777">
        <w:trPr>
          <w:jc w:val="center"/>
        </w:trPr>
        <w:tc>
          <w:tcPr>
            <w:tcW w:w="2694" w:type="dxa"/>
            <w:gridSpan w:val="2"/>
          </w:tcPr>
          <w:p w:rsidRPr="009C48DA" w:rsidR="00661519" w:rsidP="00661519" w:rsidRDefault="00661519" w14:paraId="1E272C6F" w14:textId="77777777">
            <w:pPr>
              <w:spacing w:after="26" w:line="187" w:lineRule="exact"/>
              <w:textAlignment w:val="baseline"/>
              <w:rPr>
                <w:rFonts w:eastAsia="Times New Roman"/>
                <w:color w:val="000000"/>
                <w:sz w:val="16"/>
                <w:lang w:val="en-GB"/>
              </w:rPr>
            </w:pPr>
            <w:r w:rsidRPr="009C48DA">
              <w:rPr>
                <w:rFonts w:eastAsia="Times New Roman"/>
                <w:color w:val="000000"/>
                <w:sz w:val="16"/>
                <w:lang w:val="en-GB"/>
              </w:rPr>
              <w:t>Bridgepoint Europe IV FP (GP) Limited</w:t>
            </w:r>
          </w:p>
        </w:tc>
        <w:tc>
          <w:tcPr>
            <w:tcW w:w="571" w:type="dxa"/>
            <w:vAlign w:val="center"/>
          </w:tcPr>
          <w:p w:rsidRPr="009C48DA" w:rsidR="00661519" w:rsidP="00661519" w:rsidRDefault="00661519" w14:paraId="5FE06940" w14:textId="77777777">
            <w:pPr>
              <w:spacing w:before="102" w:after="122"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2</w:t>
            </w:r>
          </w:p>
        </w:tc>
        <w:tc>
          <w:tcPr>
            <w:tcW w:w="1413" w:type="dxa"/>
            <w:vAlign w:val="center"/>
          </w:tcPr>
          <w:p w:rsidRPr="009C48DA" w:rsidR="00661519" w:rsidP="00661519" w:rsidRDefault="00661519" w14:paraId="3F32AEAA" w14:textId="77777777">
            <w:pPr>
              <w:spacing w:before="102" w:after="12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1663979C" w14:textId="77777777">
            <w:pPr>
              <w:spacing w:before="102" w:after="12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05BC0C13" w14:textId="77777777">
            <w:pPr>
              <w:spacing w:before="102" w:after="12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1A27E48F" w14:textId="77777777">
            <w:pPr>
              <w:spacing w:before="102" w:after="12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B6CF9BD" w14:textId="77777777">
        <w:trPr>
          <w:jc w:val="center"/>
        </w:trPr>
        <w:tc>
          <w:tcPr>
            <w:tcW w:w="2694" w:type="dxa"/>
            <w:gridSpan w:val="2"/>
          </w:tcPr>
          <w:p w:rsidRPr="009C48DA" w:rsidR="00661519" w:rsidP="00661519" w:rsidRDefault="00661519" w14:paraId="2311859D" w14:textId="77777777">
            <w:pPr>
              <w:spacing w:after="27" w:line="187" w:lineRule="exact"/>
              <w:textAlignment w:val="baseline"/>
              <w:rPr>
                <w:rFonts w:eastAsia="Times New Roman"/>
                <w:color w:val="000000"/>
                <w:sz w:val="16"/>
                <w:lang w:val="en-GB"/>
              </w:rPr>
            </w:pPr>
            <w:r w:rsidRPr="009C48DA">
              <w:rPr>
                <w:rFonts w:eastAsia="Times New Roman"/>
                <w:color w:val="000000"/>
                <w:sz w:val="16"/>
                <w:lang w:val="en-GB"/>
              </w:rPr>
              <w:t>Bridgepoint Europe IV General Partner LP</w:t>
            </w:r>
          </w:p>
        </w:tc>
        <w:tc>
          <w:tcPr>
            <w:tcW w:w="571" w:type="dxa"/>
            <w:vAlign w:val="center"/>
          </w:tcPr>
          <w:p w:rsidRPr="009C48DA" w:rsidR="00661519" w:rsidP="00661519" w:rsidRDefault="00661519" w14:paraId="723F9327" w14:textId="77777777">
            <w:pPr>
              <w:spacing w:before="102" w:after="118"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2</w:t>
            </w:r>
          </w:p>
        </w:tc>
        <w:tc>
          <w:tcPr>
            <w:tcW w:w="1413" w:type="dxa"/>
            <w:vAlign w:val="center"/>
          </w:tcPr>
          <w:p w:rsidRPr="009C48DA" w:rsidR="00661519" w:rsidP="00661519" w:rsidRDefault="00661519" w14:paraId="0BFD2513" w14:textId="77777777">
            <w:pPr>
              <w:spacing w:before="10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0983FE95" w14:textId="77777777">
            <w:pPr>
              <w:spacing w:before="10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27CA41D8" w14:textId="77777777">
            <w:pPr>
              <w:spacing w:before="10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413" w:type="dxa"/>
            <w:vAlign w:val="center"/>
          </w:tcPr>
          <w:p w:rsidRPr="009C48DA" w:rsidR="00661519" w:rsidP="00661519" w:rsidRDefault="00661519" w14:paraId="154CB94A" w14:textId="77777777">
            <w:pPr>
              <w:spacing w:before="102" w:after="118"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3AA994D0" w14:textId="77777777">
        <w:trPr>
          <w:jc w:val="center"/>
        </w:trPr>
        <w:tc>
          <w:tcPr>
            <w:tcW w:w="2694" w:type="dxa"/>
            <w:gridSpan w:val="2"/>
          </w:tcPr>
          <w:p w:rsidRPr="009C48DA" w:rsidR="00661519" w:rsidP="00661519" w:rsidRDefault="00661519" w14:paraId="5EB5A7CB" w14:textId="77777777">
            <w:pPr>
              <w:spacing w:line="181" w:lineRule="exact"/>
              <w:textAlignment w:val="baseline"/>
              <w:rPr>
                <w:rFonts w:eastAsia="Times New Roman"/>
                <w:color w:val="000000"/>
                <w:sz w:val="16"/>
                <w:lang w:val="en-GB"/>
              </w:rPr>
            </w:pPr>
            <w:r w:rsidRPr="009C48DA">
              <w:rPr>
                <w:rFonts w:eastAsia="Times New Roman"/>
                <w:color w:val="000000"/>
                <w:sz w:val="16"/>
                <w:lang w:val="en-GB"/>
              </w:rPr>
              <w:t>Bridgepoint Europe IV General Partner 'F' LP</w:t>
            </w:r>
          </w:p>
        </w:tc>
        <w:tc>
          <w:tcPr>
            <w:tcW w:w="571" w:type="dxa"/>
            <w:vAlign w:val="center"/>
          </w:tcPr>
          <w:p w:rsidRPr="009C48DA" w:rsidR="00661519" w:rsidP="00661519" w:rsidRDefault="00661519" w14:paraId="79F2F24E" w14:textId="77777777">
            <w:pPr>
              <w:spacing w:before="102" w:after="94"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2</w:t>
            </w:r>
          </w:p>
        </w:tc>
        <w:tc>
          <w:tcPr>
            <w:tcW w:w="1413" w:type="dxa"/>
            <w:vAlign w:val="center"/>
          </w:tcPr>
          <w:p w:rsidRPr="009C48DA" w:rsidR="00661519" w:rsidP="00661519" w:rsidRDefault="00661519" w14:paraId="78469930" w14:textId="77777777">
            <w:pPr>
              <w:spacing w:before="102" w:after="94"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476FB435" w14:textId="77777777">
            <w:pPr>
              <w:spacing w:before="102" w:after="94"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23613324" w14:textId="77777777">
            <w:pPr>
              <w:spacing w:before="102" w:after="94"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413" w:type="dxa"/>
            <w:vAlign w:val="center"/>
          </w:tcPr>
          <w:p w:rsidRPr="009C48DA" w:rsidR="00661519" w:rsidP="00661519" w:rsidRDefault="00661519" w14:paraId="62F3B668" w14:textId="77777777">
            <w:pPr>
              <w:spacing w:before="102" w:after="94"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68EDB524" w14:textId="77777777">
        <w:trPr>
          <w:jc w:val="center"/>
        </w:trPr>
        <w:tc>
          <w:tcPr>
            <w:tcW w:w="2694" w:type="dxa"/>
            <w:gridSpan w:val="2"/>
            <w:vAlign w:val="center"/>
          </w:tcPr>
          <w:p w:rsidRPr="009C48DA" w:rsidR="00661519" w:rsidP="00661519" w:rsidRDefault="00661519" w14:paraId="16BED205" w14:textId="77777777">
            <w:pPr>
              <w:spacing w:before="35" w:after="27" w:line="188" w:lineRule="exact"/>
              <w:textAlignment w:val="baseline"/>
              <w:rPr>
                <w:rFonts w:eastAsia="Times New Roman"/>
                <w:color w:val="000000"/>
                <w:sz w:val="16"/>
                <w:lang w:val="en-GB"/>
              </w:rPr>
            </w:pPr>
            <w:r w:rsidRPr="009C48DA">
              <w:rPr>
                <w:rFonts w:eastAsia="Times New Roman"/>
                <w:color w:val="000000"/>
                <w:sz w:val="16"/>
                <w:lang w:val="en-GB"/>
              </w:rPr>
              <w:t>Bridgepoint Europe Limited</w:t>
            </w:r>
          </w:p>
        </w:tc>
        <w:tc>
          <w:tcPr>
            <w:tcW w:w="571" w:type="dxa"/>
            <w:vAlign w:val="center"/>
          </w:tcPr>
          <w:p w:rsidRPr="009C48DA" w:rsidR="00661519" w:rsidP="00661519" w:rsidRDefault="00661519" w14:paraId="318BD738" w14:textId="77777777">
            <w:pPr>
              <w:spacing w:before="35" w:after="27"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5CCC4B2B" w14:textId="77777777">
            <w:pPr>
              <w:spacing w:before="35" w:after="2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246CA9EF" w14:textId="77777777">
            <w:pPr>
              <w:spacing w:before="35" w:after="27" w:line="188" w:lineRule="exact"/>
              <w:jc w:val="center"/>
              <w:textAlignment w:val="baseline"/>
              <w:rPr>
                <w:rFonts w:eastAsia="Times New Roman"/>
                <w:color w:val="000000"/>
                <w:sz w:val="16"/>
                <w:lang w:val="en-GB"/>
              </w:rPr>
            </w:pPr>
            <w:r w:rsidRPr="009C48DA">
              <w:rPr>
                <w:rFonts w:eastAsia="Times New Roman"/>
                <w:color w:val="000000"/>
                <w:sz w:val="16"/>
                <w:lang w:val="en-GB"/>
              </w:rPr>
              <w:t>Limited Partner</w:t>
            </w:r>
          </w:p>
        </w:tc>
        <w:tc>
          <w:tcPr>
            <w:tcW w:w="1376" w:type="dxa"/>
            <w:vAlign w:val="center"/>
          </w:tcPr>
          <w:p w:rsidRPr="009C48DA" w:rsidR="00661519" w:rsidP="00661519" w:rsidRDefault="00661519" w14:paraId="77BFEC38" w14:textId="77777777">
            <w:pPr>
              <w:spacing w:before="35" w:after="2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18D61B9A" w14:textId="77777777">
            <w:pPr>
              <w:spacing w:before="35" w:after="27"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477F8FC" w14:textId="77777777">
        <w:trPr>
          <w:jc w:val="center"/>
        </w:trPr>
        <w:tc>
          <w:tcPr>
            <w:tcW w:w="2694" w:type="dxa"/>
            <w:gridSpan w:val="2"/>
          </w:tcPr>
          <w:p w:rsidRPr="009C48DA" w:rsidR="00661519" w:rsidP="00661519" w:rsidRDefault="00661519" w14:paraId="024B09E3" w14:textId="77777777">
            <w:pPr>
              <w:spacing w:line="179" w:lineRule="exact"/>
              <w:ind w:right="324"/>
              <w:textAlignment w:val="baseline"/>
              <w:rPr>
                <w:rFonts w:eastAsia="Times New Roman"/>
                <w:color w:val="000000"/>
                <w:sz w:val="16"/>
                <w:lang w:val="en-GB"/>
              </w:rPr>
            </w:pPr>
            <w:r w:rsidRPr="009C48DA">
              <w:rPr>
                <w:rFonts w:eastAsia="Times New Roman"/>
                <w:color w:val="000000"/>
                <w:sz w:val="16"/>
                <w:lang w:val="en-GB"/>
              </w:rPr>
              <w:t>Bridgepoint Europe Managerial LLP</w:t>
            </w:r>
          </w:p>
        </w:tc>
        <w:tc>
          <w:tcPr>
            <w:tcW w:w="571" w:type="dxa"/>
            <w:vAlign w:val="center"/>
          </w:tcPr>
          <w:p w:rsidRPr="009C48DA" w:rsidR="00661519" w:rsidP="00661519" w:rsidRDefault="00661519" w14:paraId="13C6FAD8" w14:textId="77777777">
            <w:pPr>
              <w:spacing w:before="102" w:after="89"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5391FED8" w14:textId="77777777">
            <w:pPr>
              <w:spacing w:before="102" w:after="89"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22EA952A" w14:textId="77777777">
            <w:pPr>
              <w:spacing w:before="102" w:after="89" w:line="188" w:lineRule="exact"/>
              <w:jc w:val="center"/>
              <w:textAlignment w:val="baseline"/>
              <w:rPr>
                <w:rFonts w:eastAsia="Times New Roman"/>
                <w:color w:val="000000"/>
                <w:sz w:val="16"/>
                <w:lang w:val="en-GB"/>
              </w:rPr>
            </w:pPr>
            <w:r w:rsidRPr="009C48DA">
              <w:rPr>
                <w:rFonts w:eastAsia="Times New Roman"/>
                <w:color w:val="000000"/>
                <w:sz w:val="16"/>
                <w:lang w:val="en-GB"/>
              </w:rPr>
              <w:t>Limited Partner</w:t>
            </w:r>
          </w:p>
        </w:tc>
        <w:tc>
          <w:tcPr>
            <w:tcW w:w="1376" w:type="dxa"/>
            <w:vAlign w:val="center"/>
          </w:tcPr>
          <w:p w:rsidRPr="009C48DA" w:rsidR="00661519" w:rsidP="00661519" w:rsidRDefault="00661519" w14:paraId="1C6926EE" w14:textId="77777777">
            <w:pPr>
              <w:spacing w:before="102" w:after="89"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413" w:type="dxa"/>
            <w:vAlign w:val="center"/>
          </w:tcPr>
          <w:p w:rsidRPr="009C48DA" w:rsidR="00661519" w:rsidP="00661519" w:rsidRDefault="00661519" w14:paraId="0907348F" w14:textId="77777777">
            <w:pPr>
              <w:spacing w:before="102" w:after="89"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70CB211C" w14:textId="77777777">
        <w:trPr>
          <w:jc w:val="center"/>
        </w:trPr>
        <w:tc>
          <w:tcPr>
            <w:tcW w:w="2694" w:type="dxa"/>
            <w:gridSpan w:val="2"/>
            <w:vAlign w:val="center"/>
          </w:tcPr>
          <w:p w:rsidRPr="009C48DA" w:rsidR="00661519" w:rsidP="00661519" w:rsidRDefault="00661519" w14:paraId="3997CDBD" w14:textId="77777777">
            <w:pPr>
              <w:spacing w:before="35" w:after="8" w:line="188" w:lineRule="exact"/>
              <w:textAlignment w:val="baseline"/>
              <w:rPr>
                <w:rFonts w:eastAsia="Times New Roman"/>
                <w:color w:val="000000"/>
                <w:sz w:val="16"/>
                <w:lang w:val="en-GB"/>
              </w:rPr>
            </w:pPr>
            <w:r w:rsidRPr="009C48DA">
              <w:rPr>
                <w:rFonts w:eastAsia="Times New Roman"/>
                <w:color w:val="000000"/>
                <w:sz w:val="16"/>
                <w:lang w:val="en-GB"/>
              </w:rPr>
              <w:t>Bridgepoint Finance Limited</w:t>
            </w:r>
          </w:p>
        </w:tc>
        <w:tc>
          <w:tcPr>
            <w:tcW w:w="571" w:type="dxa"/>
            <w:vAlign w:val="center"/>
          </w:tcPr>
          <w:p w:rsidRPr="009C48DA" w:rsidR="00661519" w:rsidP="00661519" w:rsidRDefault="00661519" w14:paraId="0FBC9E9C" w14:textId="77777777">
            <w:pPr>
              <w:spacing w:before="35" w:after="8"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521D7D12" w14:textId="77777777">
            <w:pPr>
              <w:spacing w:before="35" w:after="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5053F06F" w14:textId="77777777">
            <w:pPr>
              <w:spacing w:before="35" w:after="8"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3F3BA472" w14:textId="77777777">
            <w:pPr>
              <w:spacing w:before="35" w:after="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6E20863F" w14:textId="77777777">
            <w:pPr>
              <w:spacing w:before="35" w:after="8"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CE8D36F" w14:textId="77777777">
        <w:trPr>
          <w:jc w:val="center"/>
        </w:trPr>
        <w:tc>
          <w:tcPr>
            <w:tcW w:w="2694" w:type="dxa"/>
            <w:gridSpan w:val="2"/>
            <w:vAlign w:val="bottom"/>
          </w:tcPr>
          <w:p w:rsidRPr="009C48DA" w:rsidR="00661519" w:rsidP="00661519" w:rsidRDefault="00661519" w14:paraId="3BC223B0" w14:textId="77777777">
            <w:pPr>
              <w:spacing w:before="223" w:after="2" w:line="188" w:lineRule="exact"/>
              <w:textAlignment w:val="baseline"/>
              <w:rPr>
                <w:rFonts w:eastAsia="Times New Roman"/>
                <w:color w:val="000000"/>
                <w:sz w:val="16"/>
                <w:lang w:val="en-GB"/>
              </w:rPr>
            </w:pPr>
            <w:r w:rsidRPr="009C48DA">
              <w:rPr>
                <w:rFonts w:eastAsia="Times New Roman"/>
                <w:color w:val="000000"/>
                <w:sz w:val="16"/>
                <w:lang w:val="en-GB"/>
              </w:rPr>
              <w:t>Bridgepoint France SAS</w:t>
            </w:r>
          </w:p>
        </w:tc>
        <w:tc>
          <w:tcPr>
            <w:tcW w:w="571" w:type="dxa"/>
            <w:vAlign w:val="center"/>
          </w:tcPr>
          <w:p w:rsidRPr="009C48DA" w:rsidR="00661519" w:rsidP="00661519" w:rsidRDefault="00661519" w14:paraId="21DFDBCC" w14:textId="77777777">
            <w:pPr>
              <w:spacing w:before="127" w:after="98"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8</w:t>
            </w:r>
          </w:p>
        </w:tc>
        <w:tc>
          <w:tcPr>
            <w:tcW w:w="1413" w:type="dxa"/>
            <w:vAlign w:val="center"/>
          </w:tcPr>
          <w:p w:rsidRPr="009C48DA" w:rsidR="00661519" w:rsidP="00661519" w:rsidRDefault="00661519" w14:paraId="23FFF82E" w14:textId="77777777">
            <w:pPr>
              <w:spacing w:before="127" w:after="98" w:line="188" w:lineRule="exact"/>
              <w:jc w:val="center"/>
              <w:textAlignment w:val="baseline"/>
              <w:rPr>
                <w:rFonts w:eastAsia="Times New Roman"/>
                <w:color w:val="000000"/>
                <w:sz w:val="16"/>
                <w:lang w:val="en-GB"/>
              </w:rPr>
            </w:pPr>
            <w:r w:rsidRPr="009C48DA">
              <w:rPr>
                <w:rFonts w:eastAsia="Times New Roman"/>
                <w:color w:val="000000"/>
                <w:sz w:val="16"/>
                <w:lang w:val="en-GB"/>
              </w:rPr>
              <w:t>France</w:t>
            </w:r>
          </w:p>
        </w:tc>
        <w:tc>
          <w:tcPr>
            <w:tcW w:w="2268" w:type="dxa"/>
          </w:tcPr>
          <w:p w:rsidRPr="009C48DA" w:rsidR="00661519" w:rsidP="00661519" w:rsidRDefault="00661519" w14:paraId="2DE0B2BC"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 xml:space="preserve">Private equity management </w:t>
            </w:r>
            <w:r w:rsidRPr="009C48DA">
              <w:rPr>
                <w:rFonts w:eastAsia="Times New Roman"/>
                <w:color w:val="000000"/>
                <w:sz w:val="16"/>
                <w:lang w:val="en-GB"/>
              </w:rPr>
              <w:br/>
              <w:t>company</w:t>
            </w:r>
          </w:p>
        </w:tc>
        <w:tc>
          <w:tcPr>
            <w:tcW w:w="1376" w:type="dxa"/>
            <w:vAlign w:val="center"/>
          </w:tcPr>
          <w:p w:rsidRPr="009C48DA" w:rsidR="00661519" w:rsidP="00661519" w:rsidRDefault="00661519" w14:paraId="2035AEB7" w14:textId="77777777">
            <w:pPr>
              <w:spacing w:before="127" w:after="9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467C62D8" w14:textId="77777777">
            <w:pPr>
              <w:spacing w:before="127" w:after="98"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65AF0BC" w14:textId="77777777">
        <w:trPr>
          <w:jc w:val="center"/>
        </w:trPr>
        <w:tc>
          <w:tcPr>
            <w:tcW w:w="2694" w:type="dxa"/>
            <w:gridSpan w:val="2"/>
            <w:vAlign w:val="center"/>
          </w:tcPr>
          <w:p w:rsidRPr="009C48DA" w:rsidR="00661519" w:rsidP="00661519" w:rsidRDefault="00661519" w14:paraId="7B04106E" w14:textId="77777777">
            <w:pPr>
              <w:spacing w:after="3" w:line="188" w:lineRule="exact"/>
              <w:textAlignment w:val="baseline"/>
              <w:rPr>
                <w:rFonts w:eastAsia="Times New Roman"/>
                <w:color w:val="000000"/>
                <w:sz w:val="16"/>
                <w:lang w:val="en-GB"/>
              </w:rPr>
            </w:pPr>
            <w:r w:rsidRPr="009C48DA">
              <w:rPr>
                <w:rFonts w:eastAsia="Times New Roman"/>
                <w:color w:val="000000"/>
                <w:sz w:val="16"/>
                <w:lang w:val="en-GB"/>
              </w:rPr>
              <w:t>Bridgepoint GmbH</w:t>
            </w:r>
          </w:p>
        </w:tc>
        <w:tc>
          <w:tcPr>
            <w:tcW w:w="571" w:type="dxa"/>
            <w:vAlign w:val="center"/>
          </w:tcPr>
          <w:p w:rsidRPr="009C48DA" w:rsidR="00661519" w:rsidP="00661519" w:rsidRDefault="00661519" w14:paraId="65F73442" w14:textId="77777777">
            <w:pPr>
              <w:spacing w:after="3"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7</w:t>
            </w:r>
          </w:p>
        </w:tc>
        <w:tc>
          <w:tcPr>
            <w:tcW w:w="1413" w:type="dxa"/>
            <w:vAlign w:val="center"/>
          </w:tcPr>
          <w:p w:rsidRPr="009C48DA" w:rsidR="00661519" w:rsidP="00661519" w:rsidRDefault="00661519" w14:paraId="579CC22F" w14:textId="77777777">
            <w:pPr>
              <w:spacing w:after="3" w:line="188" w:lineRule="exact"/>
              <w:jc w:val="center"/>
              <w:textAlignment w:val="baseline"/>
              <w:rPr>
                <w:rFonts w:eastAsia="Times New Roman"/>
                <w:color w:val="000000"/>
                <w:sz w:val="16"/>
                <w:lang w:val="en-GB"/>
              </w:rPr>
            </w:pPr>
            <w:r w:rsidRPr="009C48DA">
              <w:rPr>
                <w:rFonts w:eastAsia="Times New Roman"/>
                <w:color w:val="000000"/>
                <w:sz w:val="16"/>
                <w:lang w:val="en-GB"/>
              </w:rPr>
              <w:t>Germany</w:t>
            </w:r>
          </w:p>
        </w:tc>
        <w:tc>
          <w:tcPr>
            <w:tcW w:w="2268" w:type="dxa"/>
            <w:vAlign w:val="center"/>
          </w:tcPr>
          <w:p w:rsidRPr="009C48DA" w:rsidR="00661519" w:rsidP="00661519" w:rsidRDefault="00661519" w14:paraId="33D268BB" w14:textId="77777777">
            <w:pPr>
              <w:spacing w:after="3" w:line="188" w:lineRule="exact"/>
              <w:jc w:val="center"/>
              <w:textAlignment w:val="baseline"/>
              <w:rPr>
                <w:rFonts w:eastAsia="Times New Roman"/>
                <w:color w:val="000000"/>
                <w:sz w:val="16"/>
                <w:lang w:val="en-GB"/>
              </w:rPr>
            </w:pPr>
            <w:r w:rsidRPr="009C48DA">
              <w:rPr>
                <w:rFonts w:eastAsia="Times New Roman"/>
                <w:color w:val="000000"/>
                <w:sz w:val="16"/>
                <w:lang w:val="en-GB"/>
              </w:rPr>
              <w:t>Private equity advisory company</w:t>
            </w:r>
          </w:p>
        </w:tc>
        <w:tc>
          <w:tcPr>
            <w:tcW w:w="1376" w:type="dxa"/>
            <w:vAlign w:val="center"/>
          </w:tcPr>
          <w:p w:rsidRPr="009C48DA" w:rsidR="00661519" w:rsidP="00661519" w:rsidRDefault="00661519" w14:paraId="2A0897BD" w14:textId="77777777">
            <w:pPr>
              <w:spacing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26B20447" w14:textId="77777777">
            <w:pPr>
              <w:spacing w:after="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C814C82" w14:textId="77777777">
        <w:trPr>
          <w:jc w:val="center"/>
        </w:trPr>
        <w:tc>
          <w:tcPr>
            <w:tcW w:w="2694" w:type="dxa"/>
            <w:gridSpan w:val="2"/>
            <w:vAlign w:val="center"/>
          </w:tcPr>
          <w:p w:rsidRPr="009C48DA" w:rsidR="00661519" w:rsidP="00661519" w:rsidRDefault="00661519" w14:paraId="39D22713" w14:textId="77777777">
            <w:pPr>
              <w:spacing w:before="35" w:line="186" w:lineRule="exact"/>
              <w:textAlignment w:val="baseline"/>
              <w:rPr>
                <w:rFonts w:eastAsia="Times New Roman"/>
                <w:color w:val="000000"/>
                <w:sz w:val="16"/>
                <w:lang w:val="en-GB"/>
              </w:rPr>
            </w:pPr>
            <w:r w:rsidRPr="009C48DA">
              <w:rPr>
                <w:rFonts w:eastAsia="Times New Roman"/>
                <w:color w:val="000000"/>
                <w:sz w:val="16"/>
                <w:lang w:val="en-GB"/>
              </w:rPr>
              <w:t>Bridgepoint GP2 LLP</w:t>
            </w:r>
          </w:p>
        </w:tc>
        <w:tc>
          <w:tcPr>
            <w:tcW w:w="571" w:type="dxa"/>
            <w:vAlign w:val="center"/>
          </w:tcPr>
          <w:p w:rsidRPr="009C48DA" w:rsidR="00661519" w:rsidP="00661519" w:rsidRDefault="00661519" w14:paraId="4E31E861" w14:textId="77777777">
            <w:pPr>
              <w:spacing w:before="35" w:line="186" w:lineRule="exact"/>
              <w:ind w:right="129"/>
              <w:jc w:val="right"/>
              <w:textAlignment w:val="baseline"/>
              <w:rPr>
                <w:rFonts w:eastAsia="Times New Roman"/>
                <w:color w:val="000000"/>
                <w:sz w:val="16"/>
                <w:lang w:val="en-GB"/>
              </w:rPr>
            </w:pPr>
            <w:r w:rsidRPr="009C48DA">
              <w:rPr>
                <w:rFonts w:eastAsia="Times New Roman"/>
                <w:color w:val="000000"/>
                <w:sz w:val="16"/>
                <w:lang w:val="en-GB"/>
              </w:rPr>
              <w:t>2</w:t>
            </w:r>
          </w:p>
        </w:tc>
        <w:tc>
          <w:tcPr>
            <w:tcW w:w="1413" w:type="dxa"/>
            <w:vAlign w:val="center"/>
          </w:tcPr>
          <w:p w:rsidRPr="009C48DA" w:rsidR="00661519" w:rsidP="00661519" w:rsidRDefault="00661519" w14:paraId="6BACC154"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5D81A987"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52517D2E"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413" w:type="dxa"/>
            <w:vAlign w:val="center"/>
          </w:tcPr>
          <w:p w:rsidRPr="009C48DA" w:rsidR="00661519" w:rsidP="00661519" w:rsidRDefault="00661519" w14:paraId="1B3C1F16" w14:textId="77777777">
            <w:pPr>
              <w:spacing w:before="35" w:line="186"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62422CF2" w14:textId="77777777">
        <w:trPr>
          <w:jc w:val="center"/>
        </w:trPr>
        <w:tc>
          <w:tcPr>
            <w:tcW w:w="2694" w:type="dxa"/>
            <w:gridSpan w:val="2"/>
          </w:tcPr>
          <w:p w:rsidRPr="009C48DA" w:rsidR="00661519" w:rsidP="00661519" w:rsidRDefault="00661519" w14:paraId="3760F5F0" w14:textId="77777777">
            <w:pPr>
              <w:spacing w:after="12" w:line="177" w:lineRule="exact"/>
              <w:ind w:right="540"/>
              <w:textAlignment w:val="baseline"/>
              <w:rPr>
                <w:rFonts w:eastAsia="Times New Roman"/>
                <w:color w:val="000000"/>
                <w:sz w:val="16"/>
                <w:lang w:val="en-GB"/>
              </w:rPr>
            </w:pPr>
            <w:r w:rsidRPr="009C48DA">
              <w:rPr>
                <w:rFonts w:eastAsia="Times New Roman"/>
                <w:color w:val="000000"/>
                <w:sz w:val="16"/>
                <w:lang w:val="en-GB"/>
              </w:rPr>
              <w:t>Bridgepoint Infrastructure Advisers Limited</w:t>
            </w:r>
          </w:p>
        </w:tc>
        <w:tc>
          <w:tcPr>
            <w:tcW w:w="571" w:type="dxa"/>
            <w:vAlign w:val="center"/>
          </w:tcPr>
          <w:p w:rsidRPr="009C48DA" w:rsidR="00661519" w:rsidP="00661519" w:rsidRDefault="00661519" w14:paraId="1DC7C272" w14:textId="77777777">
            <w:pPr>
              <w:spacing w:before="102" w:after="98"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137B431E" w14:textId="77777777">
            <w:pPr>
              <w:spacing w:before="102" w:after="9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7ACA961C" w14:textId="77777777">
            <w:pPr>
              <w:spacing w:before="102" w:after="98"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48EDA390" w14:textId="77777777">
            <w:pPr>
              <w:spacing w:before="102" w:after="9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5FA89AA9" w14:textId="77777777">
            <w:pPr>
              <w:spacing w:before="102" w:after="98"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334DE42" w14:textId="77777777">
        <w:trPr>
          <w:jc w:val="center"/>
        </w:trPr>
        <w:tc>
          <w:tcPr>
            <w:tcW w:w="2694" w:type="dxa"/>
            <w:gridSpan w:val="2"/>
            <w:vAlign w:val="center"/>
          </w:tcPr>
          <w:p w:rsidRPr="009C48DA" w:rsidR="00661519" w:rsidP="00661519" w:rsidRDefault="00661519" w14:paraId="1FC31ACE" w14:textId="77777777">
            <w:pPr>
              <w:spacing w:before="35" w:after="3" w:line="188" w:lineRule="exact"/>
              <w:textAlignment w:val="baseline"/>
              <w:rPr>
                <w:rFonts w:eastAsia="Times New Roman"/>
                <w:color w:val="000000"/>
                <w:sz w:val="16"/>
                <w:lang w:val="en-GB"/>
              </w:rPr>
            </w:pPr>
            <w:r w:rsidRPr="009C48DA">
              <w:rPr>
                <w:rFonts w:eastAsia="Times New Roman"/>
                <w:color w:val="000000"/>
                <w:sz w:val="16"/>
                <w:lang w:val="en-GB"/>
              </w:rPr>
              <w:t>Bridgepoint Growth I GP LLP</w:t>
            </w:r>
          </w:p>
        </w:tc>
        <w:tc>
          <w:tcPr>
            <w:tcW w:w="571" w:type="dxa"/>
            <w:vAlign w:val="center"/>
          </w:tcPr>
          <w:p w:rsidRPr="009C48DA" w:rsidR="00661519" w:rsidP="00661519" w:rsidRDefault="00661519" w14:paraId="1AE810FA" w14:textId="77777777">
            <w:pPr>
              <w:spacing w:before="35" w:after="3"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53E00CE1"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555AE735"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1B64C36F"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413" w:type="dxa"/>
            <w:vAlign w:val="center"/>
          </w:tcPr>
          <w:p w:rsidRPr="009C48DA" w:rsidR="00661519" w:rsidP="00661519" w:rsidRDefault="00661519" w14:paraId="03AA3160" w14:textId="77777777">
            <w:pPr>
              <w:spacing w:before="35" w:after="3"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064B6AC3" w14:textId="77777777">
        <w:trPr>
          <w:jc w:val="center"/>
        </w:trPr>
        <w:tc>
          <w:tcPr>
            <w:tcW w:w="2694" w:type="dxa"/>
            <w:gridSpan w:val="2"/>
            <w:vAlign w:val="center"/>
          </w:tcPr>
          <w:p w:rsidRPr="009C48DA" w:rsidR="00661519" w:rsidP="00661519" w:rsidRDefault="00661519" w14:paraId="0E3F4E2A" w14:textId="77777777">
            <w:pPr>
              <w:spacing w:before="35" w:after="31" w:line="188" w:lineRule="exact"/>
              <w:textAlignment w:val="baseline"/>
              <w:rPr>
                <w:rFonts w:eastAsia="Times New Roman"/>
                <w:color w:val="000000"/>
                <w:sz w:val="16"/>
                <w:lang w:val="en-GB"/>
              </w:rPr>
            </w:pPr>
            <w:r w:rsidRPr="009C48DA">
              <w:rPr>
                <w:rFonts w:eastAsia="Times New Roman"/>
                <w:color w:val="000000"/>
                <w:sz w:val="16"/>
                <w:lang w:val="en-GB"/>
              </w:rPr>
              <w:t>Bridgepoint Growth Limited</w:t>
            </w:r>
          </w:p>
        </w:tc>
        <w:tc>
          <w:tcPr>
            <w:tcW w:w="571" w:type="dxa"/>
            <w:vAlign w:val="center"/>
          </w:tcPr>
          <w:p w:rsidRPr="009C48DA" w:rsidR="00661519" w:rsidP="00661519" w:rsidRDefault="00661519" w14:paraId="2DA65FF9" w14:textId="77777777">
            <w:pPr>
              <w:spacing w:before="35" w:after="31"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62BCAE91" w14:textId="77777777">
            <w:pPr>
              <w:spacing w:before="35" w:after="31"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7B81EC14" w14:textId="77777777">
            <w:pPr>
              <w:spacing w:before="35" w:after="31"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424AC1B0" w14:textId="77777777">
            <w:pPr>
              <w:spacing w:before="35" w:after="31"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48F551AE" w14:textId="77777777">
            <w:pPr>
              <w:spacing w:before="35" w:after="31"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D103554" w14:textId="77777777">
        <w:trPr>
          <w:jc w:val="center"/>
        </w:trPr>
        <w:tc>
          <w:tcPr>
            <w:tcW w:w="2694" w:type="dxa"/>
            <w:gridSpan w:val="2"/>
          </w:tcPr>
          <w:p w:rsidRPr="009C48DA" w:rsidR="00661519" w:rsidP="00661519" w:rsidRDefault="00661519" w14:paraId="164B798F" w14:textId="77777777">
            <w:pPr>
              <w:spacing w:after="3" w:line="182" w:lineRule="exact"/>
              <w:textAlignment w:val="baseline"/>
              <w:rPr>
                <w:rFonts w:eastAsia="Times New Roman"/>
                <w:color w:val="000000"/>
                <w:sz w:val="16"/>
                <w:lang w:val="en-GB"/>
              </w:rPr>
            </w:pPr>
            <w:r w:rsidRPr="009C48DA">
              <w:rPr>
                <w:rFonts w:eastAsia="Times New Roman"/>
                <w:color w:val="000000"/>
                <w:sz w:val="16"/>
                <w:lang w:val="en-GB"/>
              </w:rPr>
              <w:t>Bridgepoint Growth Nominees Limited</w:t>
            </w:r>
          </w:p>
        </w:tc>
        <w:tc>
          <w:tcPr>
            <w:tcW w:w="571" w:type="dxa"/>
            <w:vAlign w:val="center"/>
          </w:tcPr>
          <w:p w:rsidRPr="009C48DA" w:rsidR="00661519" w:rsidP="00661519" w:rsidRDefault="00661519" w14:paraId="688317B2" w14:textId="77777777">
            <w:pPr>
              <w:spacing w:before="102" w:after="94"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08310313" w14:textId="77777777">
            <w:pPr>
              <w:spacing w:before="102" w:after="94"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5B4FA999" w14:textId="77777777">
            <w:pPr>
              <w:spacing w:before="102" w:after="94" w:line="188" w:lineRule="exact"/>
              <w:jc w:val="center"/>
              <w:textAlignment w:val="baseline"/>
              <w:rPr>
                <w:rFonts w:eastAsia="Times New Roman"/>
                <w:color w:val="000000"/>
                <w:sz w:val="16"/>
                <w:lang w:val="en-GB"/>
              </w:rPr>
            </w:pPr>
            <w:r w:rsidRPr="009C48DA">
              <w:rPr>
                <w:rFonts w:eastAsia="Times New Roman"/>
                <w:color w:val="000000"/>
                <w:sz w:val="16"/>
                <w:lang w:val="en-GB"/>
              </w:rPr>
              <w:t>Nominee company</w:t>
            </w:r>
          </w:p>
        </w:tc>
        <w:tc>
          <w:tcPr>
            <w:tcW w:w="1376" w:type="dxa"/>
            <w:vAlign w:val="center"/>
          </w:tcPr>
          <w:p w:rsidRPr="009C48DA" w:rsidR="00661519" w:rsidP="00661519" w:rsidRDefault="00661519" w14:paraId="1A2A272E" w14:textId="77777777">
            <w:pPr>
              <w:spacing w:before="102" w:after="94"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5E2DC5F5" w14:textId="77777777">
            <w:pPr>
              <w:spacing w:before="102" w:after="94"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6A5FBF2" w14:textId="77777777">
        <w:trPr>
          <w:jc w:val="center"/>
        </w:trPr>
        <w:tc>
          <w:tcPr>
            <w:tcW w:w="2694" w:type="dxa"/>
            <w:gridSpan w:val="2"/>
            <w:vAlign w:val="center"/>
          </w:tcPr>
          <w:p w:rsidRPr="009C48DA" w:rsidR="00661519" w:rsidP="00661519" w:rsidRDefault="00661519" w14:paraId="11DA8B85" w14:textId="77777777">
            <w:pPr>
              <w:spacing w:before="35" w:after="27" w:line="188" w:lineRule="exact"/>
              <w:textAlignment w:val="baseline"/>
              <w:rPr>
                <w:rFonts w:eastAsia="Times New Roman"/>
                <w:color w:val="000000"/>
                <w:sz w:val="16"/>
                <w:lang w:val="en-GB"/>
              </w:rPr>
            </w:pPr>
            <w:r w:rsidRPr="009C48DA">
              <w:rPr>
                <w:rFonts w:eastAsia="Times New Roman"/>
                <w:color w:val="000000"/>
                <w:sz w:val="16"/>
                <w:lang w:val="en-GB"/>
              </w:rPr>
              <w:t>Bridgepoint Holdco 1 Limited</w:t>
            </w:r>
          </w:p>
        </w:tc>
        <w:tc>
          <w:tcPr>
            <w:tcW w:w="571" w:type="dxa"/>
            <w:vAlign w:val="center"/>
          </w:tcPr>
          <w:p w:rsidRPr="009C48DA" w:rsidR="00661519" w:rsidP="00661519" w:rsidRDefault="00661519" w14:paraId="0827230B" w14:textId="77777777">
            <w:pPr>
              <w:spacing w:before="35" w:after="27"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60781989" w14:textId="77777777">
            <w:pPr>
              <w:spacing w:before="35" w:after="2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7A7893FA" w14:textId="77777777">
            <w:pPr>
              <w:spacing w:before="35" w:after="27"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7ED1DDA5" w14:textId="77777777">
            <w:pPr>
              <w:spacing w:before="35" w:after="2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5430FEA6" w14:textId="77777777">
            <w:pPr>
              <w:spacing w:before="35" w:after="27"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2BEB773" w14:textId="77777777">
        <w:trPr>
          <w:jc w:val="center"/>
        </w:trPr>
        <w:tc>
          <w:tcPr>
            <w:tcW w:w="2694" w:type="dxa"/>
            <w:gridSpan w:val="2"/>
          </w:tcPr>
          <w:p w:rsidRPr="009C48DA" w:rsidR="00661519" w:rsidP="00661519" w:rsidRDefault="00661519" w14:paraId="58BF645B" w14:textId="77777777">
            <w:pPr>
              <w:spacing w:line="186" w:lineRule="exact"/>
              <w:ind w:right="540"/>
              <w:textAlignment w:val="baseline"/>
              <w:rPr>
                <w:rFonts w:eastAsia="Times New Roman"/>
                <w:color w:val="000000"/>
                <w:sz w:val="16"/>
                <w:lang w:val="en-GB"/>
              </w:rPr>
            </w:pPr>
            <w:r w:rsidRPr="009C48DA">
              <w:rPr>
                <w:rFonts w:eastAsia="Times New Roman"/>
                <w:color w:val="000000"/>
                <w:sz w:val="16"/>
                <w:lang w:val="en-GB"/>
              </w:rPr>
              <w:t>Bridgepoint Holdings Group Limited</w:t>
            </w:r>
          </w:p>
        </w:tc>
        <w:tc>
          <w:tcPr>
            <w:tcW w:w="571" w:type="dxa"/>
            <w:vAlign w:val="center"/>
          </w:tcPr>
          <w:p w:rsidRPr="009C48DA" w:rsidR="00661519" w:rsidP="00661519" w:rsidRDefault="00661519" w14:paraId="4179D133" w14:textId="77777777">
            <w:pPr>
              <w:spacing w:before="102" w:after="89"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795B58B5" w14:textId="77777777">
            <w:pPr>
              <w:spacing w:before="102" w:after="89"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40670706" w14:textId="77777777">
            <w:pPr>
              <w:spacing w:before="102" w:after="89"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4B8540FA" w14:textId="77777777">
            <w:pPr>
              <w:spacing w:before="102" w:after="89"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521AA1D1" w14:textId="77777777">
            <w:pPr>
              <w:spacing w:before="102" w:after="89"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7A8E66A" w14:textId="77777777">
        <w:trPr>
          <w:jc w:val="center"/>
        </w:trPr>
        <w:tc>
          <w:tcPr>
            <w:tcW w:w="2694" w:type="dxa"/>
            <w:gridSpan w:val="2"/>
            <w:vAlign w:val="center"/>
          </w:tcPr>
          <w:p w:rsidRPr="009C48DA" w:rsidR="00661519" w:rsidP="00661519" w:rsidRDefault="00661519" w14:paraId="49909F87" w14:textId="77777777">
            <w:pPr>
              <w:spacing w:before="35" w:after="22" w:line="188" w:lineRule="exact"/>
              <w:textAlignment w:val="baseline"/>
              <w:rPr>
                <w:rFonts w:eastAsia="Times New Roman"/>
                <w:color w:val="000000"/>
                <w:sz w:val="16"/>
                <w:lang w:val="en-GB"/>
              </w:rPr>
            </w:pPr>
            <w:r w:rsidRPr="009C48DA">
              <w:rPr>
                <w:rFonts w:eastAsia="Times New Roman"/>
                <w:color w:val="000000"/>
                <w:sz w:val="16"/>
                <w:lang w:val="en-GB"/>
              </w:rPr>
              <w:t>Bridgepoint Holdings Limited</w:t>
            </w:r>
          </w:p>
        </w:tc>
        <w:tc>
          <w:tcPr>
            <w:tcW w:w="571" w:type="dxa"/>
            <w:vAlign w:val="center"/>
          </w:tcPr>
          <w:p w:rsidRPr="009C48DA" w:rsidR="00661519" w:rsidP="00661519" w:rsidRDefault="00661519" w14:paraId="4C44D556" w14:textId="77777777">
            <w:pPr>
              <w:spacing w:before="35" w:after="22"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07B90F2D" w14:textId="77777777">
            <w:pPr>
              <w:spacing w:before="35" w:after="2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6187D709" w14:textId="77777777">
            <w:pPr>
              <w:spacing w:before="35" w:after="22"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33515C1F" w14:textId="77777777">
            <w:pPr>
              <w:spacing w:before="35" w:after="2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5347E1A9" w14:textId="77777777">
            <w:pPr>
              <w:spacing w:before="35" w:after="2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E3623FC" w14:textId="77777777">
        <w:trPr>
          <w:jc w:val="center"/>
        </w:trPr>
        <w:tc>
          <w:tcPr>
            <w:tcW w:w="2694" w:type="dxa"/>
            <w:gridSpan w:val="2"/>
          </w:tcPr>
          <w:p w:rsidRPr="009C48DA" w:rsidR="00661519" w:rsidP="00661519" w:rsidRDefault="00661519" w14:paraId="759C3810" w14:textId="77777777">
            <w:pPr>
              <w:spacing w:after="7" w:line="187" w:lineRule="exact"/>
              <w:textAlignment w:val="baseline"/>
              <w:rPr>
                <w:rFonts w:eastAsia="Times New Roman"/>
                <w:color w:val="000000"/>
                <w:sz w:val="16"/>
                <w:lang w:val="en-GB"/>
              </w:rPr>
            </w:pPr>
            <w:r w:rsidRPr="009C48DA">
              <w:rPr>
                <w:rFonts w:eastAsia="Times New Roman"/>
                <w:color w:val="000000"/>
                <w:sz w:val="16"/>
                <w:lang w:val="en-GB"/>
              </w:rPr>
              <w:t>Bridgepoint Infrastructure Development Limited</w:t>
            </w:r>
          </w:p>
        </w:tc>
        <w:tc>
          <w:tcPr>
            <w:tcW w:w="571" w:type="dxa"/>
            <w:vAlign w:val="center"/>
          </w:tcPr>
          <w:p w:rsidRPr="009C48DA" w:rsidR="00661519" w:rsidP="00661519" w:rsidRDefault="00661519" w14:paraId="051FA990" w14:textId="77777777">
            <w:pPr>
              <w:spacing w:before="103" w:after="98"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2AB8B495" w14:textId="77777777">
            <w:pPr>
              <w:spacing w:before="103" w:after="9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0AF4859C" w14:textId="77777777">
            <w:pPr>
              <w:spacing w:before="103" w:after="98"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61B65E1A" w14:textId="77777777">
            <w:pPr>
              <w:spacing w:before="103" w:after="9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2C4500A2" w14:textId="77777777">
            <w:pPr>
              <w:spacing w:before="103" w:after="98"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175B95B" w14:textId="77777777">
        <w:trPr>
          <w:jc w:val="center"/>
        </w:trPr>
        <w:tc>
          <w:tcPr>
            <w:tcW w:w="2694" w:type="dxa"/>
            <w:gridSpan w:val="2"/>
            <w:vAlign w:val="center"/>
          </w:tcPr>
          <w:p w:rsidRPr="009C48DA" w:rsidR="00661519" w:rsidP="00661519" w:rsidRDefault="00661519" w14:paraId="2E0F7249" w14:textId="77777777">
            <w:pPr>
              <w:spacing w:before="35" w:after="3" w:line="188" w:lineRule="exact"/>
              <w:textAlignment w:val="baseline"/>
              <w:rPr>
                <w:rFonts w:eastAsia="Times New Roman"/>
                <w:color w:val="000000"/>
                <w:sz w:val="16"/>
                <w:lang w:val="en-GB"/>
              </w:rPr>
            </w:pPr>
            <w:r w:rsidRPr="009C48DA">
              <w:rPr>
                <w:rFonts w:eastAsia="Times New Roman"/>
                <w:color w:val="000000"/>
                <w:sz w:val="16"/>
                <w:lang w:val="en-GB"/>
              </w:rPr>
              <w:t>Bridgepoint Infrastructure Limited</w:t>
            </w:r>
          </w:p>
        </w:tc>
        <w:tc>
          <w:tcPr>
            <w:tcW w:w="571" w:type="dxa"/>
            <w:vAlign w:val="center"/>
          </w:tcPr>
          <w:p w:rsidRPr="009C48DA" w:rsidR="00661519" w:rsidP="00661519" w:rsidRDefault="00661519" w14:paraId="21A01830" w14:textId="77777777">
            <w:pPr>
              <w:spacing w:before="35" w:after="3"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15CCAFB9"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687E0E37"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46F45528"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2673BF11" w14:textId="77777777">
            <w:pPr>
              <w:spacing w:before="35" w:after="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FD5B9CE" w14:textId="77777777">
        <w:trPr>
          <w:jc w:val="center"/>
        </w:trPr>
        <w:tc>
          <w:tcPr>
            <w:tcW w:w="2694" w:type="dxa"/>
            <w:gridSpan w:val="2"/>
            <w:vAlign w:val="center"/>
          </w:tcPr>
          <w:p w:rsidRPr="009C48DA" w:rsidR="00661519" w:rsidP="00661519" w:rsidRDefault="00661519" w14:paraId="5C54AB27" w14:textId="77777777">
            <w:pPr>
              <w:spacing w:after="32" w:line="188" w:lineRule="exact"/>
              <w:textAlignment w:val="baseline"/>
              <w:rPr>
                <w:rFonts w:eastAsia="Times New Roman"/>
                <w:color w:val="000000"/>
                <w:sz w:val="16"/>
                <w:lang w:val="en-GB"/>
              </w:rPr>
            </w:pPr>
            <w:r w:rsidRPr="009C48DA">
              <w:rPr>
                <w:rFonts w:eastAsia="Times New Roman"/>
                <w:color w:val="000000"/>
                <w:sz w:val="16"/>
                <w:lang w:val="en-GB"/>
              </w:rPr>
              <w:t>Bridgepoint International Limited</w:t>
            </w:r>
          </w:p>
        </w:tc>
        <w:tc>
          <w:tcPr>
            <w:tcW w:w="571" w:type="dxa"/>
            <w:vAlign w:val="center"/>
          </w:tcPr>
          <w:p w:rsidRPr="009C48DA" w:rsidR="00661519" w:rsidP="00661519" w:rsidRDefault="00661519" w14:paraId="3736E1DE" w14:textId="77777777">
            <w:pPr>
              <w:spacing w:after="32"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4F83CE4D" w14:textId="77777777">
            <w:pPr>
              <w:spacing w:after="3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0E8E32D9" w14:textId="77777777">
            <w:pPr>
              <w:spacing w:after="32"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00415E44" w14:textId="77777777">
            <w:pPr>
              <w:spacing w:after="3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66CA095A" w14:textId="77777777">
            <w:pPr>
              <w:spacing w:after="3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F3C6A58" w14:textId="77777777">
        <w:trPr>
          <w:jc w:val="center"/>
        </w:trPr>
        <w:tc>
          <w:tcPr>
            <w:tcW w:w="2694" w:type="dxa"/>
            <w:gridSpan w:val="2"/>
          </w:tcPr>
          <w:p w:rsidRPr="009C48DA" w:rsidR="00661519" w:rsidP="00661519" w:rsidRDefault="00661519" w14:paraId="75460294" w14:textId="77777777">
            <w:pPr>
              <w:spacing w:after="31" w:line="182" w:lineRule="exact"/>
              <w:ind w:right="396"/>
              <w:textAlignment w:val="baseline"/>
              <w:rPr>
                <w:rFonts w:eastAsia="Times New Roman"/>
                <w:color w:val="000000"/>
                <w:spacing w:val="-1"/>
                <w:sz w:val="16"/>
                <w:lang w:val="en-GB"/>
              </w:rPr>
            </w:pPr>
            <w:r w:rsidRPr="009C48DA">
              <w:rPr>
                <w:rFonts w:eastAsia="Times New Roman"/>
                <w:color w:val="000000"/>
                <w:spacing w:val="-1"/>
                <w:sz w:val="16"/>
                <w:lang w:val="en-GB"/>
              </w:rPr>
              <w:t>Bridgepoint Investment Consultants (Shanghai) Co Ltd</w:t>
            </w:r>
          </w:p>
        </w:tc>
        <w:tc>
          <w:tcPr>
            <w:tcW w:w="571" w:type="dxa"/>
            <w:vAlign w:val="center"/>
          </w:tcPr>
          <w:p w:rsidRPr="009C48DA" w:rsidR="00661519" w:rsidP="00661519" w:rsidRDefault="00661519" w14:paraId="19DDD397" w14:textId="77777777">
            <w:pPr>
              <w:spacing w:before="102" w:after="122"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9</w:t>
            </w:r>
          </w:p>
        </w:tc>
        <w:tc>
          <w:tcPr>
            <w:tcW w:w="1413" w:type="dxa"/>
            <w:vAlign w:val="center"/>
          </w:tcPr>
          <w:p w:rsidRPr="009C48DA" w:rsidR="00661519" w:rsidP="00661519" w:rsidRDefault="00661519" w14:paraId="6E0B0A04" w14:textId="77777777">
            <w:pPr>
              <w:spacing w:before="102" w:after="122" w:line="188" w:lineRule="exact"/>
              <w:jc w:val="center"/>
              <w:textAlignment w:val="baseline"/>
              <w:rPr>
                <w:rFonts w:eastAsia="Times New Roman"/>
                <w:color w:val="000000"/>
                <w:sz w:val="16"/>
                <w:lang w:val="en-GB"/>
              </w:rPr>
            </w:pPr>
            <w:r w:rsidRPr="009C48DA">
              <w:rPr>
                <w:rFonts w:eastAsia="Times New Roman"/>
                <w:color w:val="000000"/>
                <w:sz w:val="16"/>
                <w:lang w:val="en-GB"/>
              </w:rPr>
              <w:t>China</w:t>
            </w:r>
          </w:p>
        </w:tc>
        <w:tc>
          <w:tcPr>
            <w:tcW w:w="2268" w:type="dxa"/>
            <w:vAlign w:val="center"/>
          </w:tcPr>
          <w:p w:rsidRPr="009C48DA" w:rsidR="00661519" w:rsidP="00661519" w:rsidRDefault="00661519" w14:paraId="388C2434" w14:textId="77777777">
            <w:pPr>
              <w:spacing w:before="102" w:after="122" w:line="188" w:lineRule="exact"/>
              <w:jc w:val="center"/>
              <w:textAlignment w:val="baseline"/>
              <w:rPr>
                <w:rFonts w:eastAsia="Times New Roman"/>
                <w:color w:val="000000"/>
                <w:sz w:val="16"/>
                <w:lang w:val="en-GB"/>
              </w:rPr>
            </w:pPr>
            <w:r w:rsidRPr="009C48DA">
              <w:rPr>
                <w:rFonts w:eastAsia="Times New Roman"/>
                <w:color w:val="000000"/>
                <w:sz w:val="16"/>
                <w:lang w:val="en-GB"/>
              </w:rPr>
              <w:t>Private equity advisory company</w:t>
            </w:r>
          </w:p>
        </w:tc>
        <w:tc>
          <w:tcPr>
            <w:tcW w:w="1376" w:type="dxa"/>
            <w:vAlign w:val="center"/>
          </w:tcPr>
          <w:p w:rsidRPr="009C48DA" w:rsidR="00661519" w:rsidP="00661519" w:rsidRDefault="00661519" w14:paraId="7355B654" w14:textId="77777777">
            <w:pPr>
              <w:spacing w:before="102" w:after="12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3A40B3BF" w14:textId="77777777">
            <w:pPr>
              <w:spacing w:before="102" w:after="12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E975A9F" w14:textId="77777777">
        <w:trPr>
          <w:jc w:val="center"/>
        </w:trPr>
        <w:tc>
          <w:tcPr>
            <w:tcW w:w="2694" w:type="dxa"/>
            <w:gridSpan w:val="2"/>
          </w:tcPr>
          <w:p w:rsidRPr="009C48DA" w:rsidR="00661519" w:rsidP="00661519" w:rsidRDefault="00661519" w14:paraId="2BC8A882" w14:textId="77777777">
            <w:pPr>
              <w:spacing w:after="13" w:line="187" w:lineRule="exact"/>
              <w:ind w:right="144"/>
              <w:textAlignment w:val="baseline"/>
              <w:rPr>
                <w:rFonts w:eastAsia="Times New Roman"/>
                <w:color w:val="000000"/>
                <w:sz w:val="16"/>
                <w:lang w:val="en-GB"/>
              </w:rPr>
            </w:pPr>
            <w:r w:rsidRPr="009C48DA">
              <w:rPr>
                <w:rFonts w:eastAsia="Times New Roman"/>
                <w:color w:val="000000"/>
                <w:sz w:val="16"/>
                <w:lang w:val="en-GB"/>
              </w:rPr>
              <w:t>Bridgepoint Loan Fund GP GmbH &amp; Co. KG</w:t>
            </w:r>
          </w:p>
        </w:tc>
        <w:tc>
          <w:tcPr>
            <w:tcW w:w="571" w:type="dxa"/>
            <w:vAlign w:val="center"/>
          </w:tcPr>
          <w:p w:rsidRPr="009C48DA" w:rsidR="00661519" w:rsidP="00661519" w:rsidRDefault="00661519" w14:paraId="4BF54457" w14:textId="77777777">
            <w:pPr>
              <w:spacing w:before="102" w:after="109"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7</w:t>
            </w:r>
          </w:p>
        </w:tc>
        <w:tc>
          <w:tcPr>
            <w:tcW w:w="1413" w:type="dxa"/>
            <w:vAlign w:val="center"/>
          </w:tcPr>
          <w:p w:rsidRPr="009C48DA" w:rsidR="00661519" w:rsidP="00661519" w:rsidRDefault="00661519" w14:paraId="1B4B9187" w14:textId="77777777">
            <w:pPr>
              <w:spacing w:before="102" w:after="109" w:line="188" w:lineRule="exact"/>
              <w:jc w:val="center"/>
              <w:textAlignment w:val="baseline"/>
              <w:rPr>
                <w:rFonts w:eastAsia="Times New Roman"/>
                <w:color w:val="000000"/>
                <w:sz w:val="16"/>
                <w:lang w:val="en-GB"/>
              </w:rPr>
            </w:pPr>
            <w:r w:rsidRPr="009C48DA">
              <w:rPr>
                <w:rFonts w:eastAsia="Times New Roman"/>
                <w:color w:val="000000"/>
                <w:sz w:val="16"/>
                <w:lang w:val="en-GB"/>
              </w:rPr>
              <w:t>Germany</w:t>
            </w:r>
          </w:p>
        </w:tc>
        <w:tc>
          <w:tcPr>
            <w:tcW w:w="2268" w:type="dxa"/>
            <w:vAlign w:val="center"/>
          </w:tcPr>
          <w:p w:rsidRPr="009C48DA" w:rsidR="00661519" w:rsidP="00661519" w:rsidRDefault="00661519" w14:paraId="3D1AAC4E" w14:textId="77777777">
            <w:pPr>
              <w:spacing w:before="102" w:after="109"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4350F205" w14:textId="77777777">
            <w:pPr>
              <w:spacing w:before="102" w:after="109"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136180D0" w14:textId="77777777">
            <w:pPr>
              <w:spacing w:before="102" w:after="109"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51234C3" w14:textId="77777777">
        <w:trPr>
          <w:jc w:val="center"/>
        </w:trPr>
        <w:tc>
          <w:tcPr>
            <w:tcW w:w="2694" w:type="dxa"/>
            <w:gridSpan w:val="2"/>
            <w:vAlign w:val="center"/>
          </w:tcPr>
          <w:p w:rsidRPr="009C48DA" w:rsidR="00661519" w:rsidP="00661519" w:rsidRDefault="00661519" w14:paraId="2F7C3BF0" w14:textId="77777777">
            <w:pPr>
              <w:spacing w:line="186" w:lineRule="exact"/>
              <w:textAlignment w:val="baseline"/>
              <w:rPr>
                <w:rFonts w:eastAsia="Times New Roman"/>
                <w:color w:val="000000"/>
                <w:sz w:val="16"/>
                <w:lang w:val="en-GB"/>
              </w:rPr>
            </w:pPr>
            <w:r w:rsidRPr="009C48DA">
              <w:rPr>
                <w:rFonts w:eastAsia="Times New Roman"/>
                <w:color w:val="000000"/>
                <w:sz w:val="16"/>
                <w:lang w:val="en-GB"/>
              </w:rPr>
              <w:t>Bridgepoint Loan Fund GP S.à.r.l.</w:t>
            </w:r>
          </w:p>
        </w:tc>
        <w:tc>
          <w:tcPr>
            <w:tcW w:w="571" w:type="dxa"/>
            <w:vAlign w:val="center"/>
          </w:tcPr>
          <w:p w:rsidRPr="009C48DA" w:rsidR="00661519" w:rsidP="00661519" w:rsidRDefault="00661519" w14:paraId="4C14262D" w14:textId="77777777">
            <w:pPr>
              <w:spacing w:line="186" w:lineRule="exact"/>
              <w:ind w:right="129"/>
              <w:jc w:val="right"/>
              <w:textAlignment w:val="baseline"/>
              <w:rPr>
                <w:rFonts w:eastAsia="Times New Roman"/>
                <w:color w:val="000000"/>
                <w:sz w:val="16"/>
                <w:lang w:val="en-GB"/>
              </w:rPr>
            </w:pPr>
            <w:r w:rsidRPr="009C48DA">
              <w:rPr>
                <w:rFonts w:eastAsia="Times New Roman"/>
                <w:color w:val="000000"/>
                <w:sz w:val="16"/>
                <w:lang w:val="en-GB"/>
              </w:rPr>
              <w:t>3</w:t>
            </w:r>
          </w:p>
        </w:tc>
        <w:tc>
          <w:tcPr>
            <w:tcW w:w="1413" w:type="dxa"/>
            <w:vAlign w:val="center"/>
          </w:tcPr>
          <w:p w:rsidRPr="009C48DA" w:rsidR="00661519" w:rsidP="00661519" w:rsidRDefault="00661519" w14:paraId="3C096AD5" w14:textId="77777777">
            <w:pPr>
              <w:spacing w:line="186"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268" w:type="dxa"/>
            <w:vAlign w:val="center"/>
          </w:tcPr>
          <w:p w:rsidRPr="009C48DA" w:rsidR="00661519" w:rsidP="00661519" w:rsidRDefault="00661519" w14:paraId="50544917" w14:textId="77777777">
            <w:pPr>
              <w:spacing w:line="186"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4C84DDC8" w14:textId="77777777">
            <w:pPr>
              <w:spacing w:line="186"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203D271D" w14:textId="77777777">
            <w:pPr>
              <w:spacing w:line="186"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4125A08" w14:textId="77777777">
        <w:trPr>
          <w:jc w:val="center"/>
        </w:trPr>
        <w:tc>
          <w:tcPr>
            <w:tcW w:w="2694" w:type="dxa"/>
            <w:gridSpan w:val="2"/>
            <w:vAlign w:val="center"/>
          </w:tcPr>
          <w:p w:rsidRPr="009C48DA" w:rsidR="00661519" w:rsidP="00661519" w:rsidRDefault="00661519" w14:paraId="067F03A5" w14:textId="77777777">
            <w:pPr>
              <w:spacing w:after="12" w:line="188" w:lineRule="exact"/>
              <w:textAlignment w:val="baseline"/>
              <w:rPr>
                <w:rFonts w:eastAsia="Times New Roman"/>
                <w:color w:val="000000"/>
                <w:sz w:val="16"/>
                <w:lang w:val="en-GB"/>
              </w:rPr>
            </w:pPr>
            <w:r w:rsidRPr="009C48DA">
              <w:rPr>
                <w:rFonts w:eastAsia="Times New Roman"/>
                <w:color w:val="000000"/>
                <w:sz w:val="16"/>
                <w:lang w:val="en-GB"/>
              </w:rPr>
              <w:t>Bridgepoint Netherlands BV</w:t>
            </w:r>
          </w:p>
        </w:tc>
        <w:tc>
          <w:tcPr>
            <w:tcW w:w="571" w:type="dxa"/>
            <w:vAlign w:val="center"/>
          </w:tcPr>
          <w:p w:rsidRPr="009C48DA" w:rsidR="00661519" w:rsidP="00661519" w:rsidRDefault="00661519" w14:paraId="51BB8C82" w14:textId="77777777">
            <w:pPr>
              <w:spacing w:after="12"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10</w:t>
            </w:r>
          </w:p>
        </w:tc>
        <w:tc>
          <w:tcPr>
            <w:tcW w:w="1413" w:type="dxa"/>
            <w:vAlign w:val="center"/>
          </w:tcPr>
          <w:p w:rsidRPr="009C48DA" w:rsidR="00661519" w:rsidP="00661519" w:rsidRDefault="00661519" w14:paraId="230A4094"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268" w:type="dxa"/>
            <w:vAlign w:val="center"/>
          </w:tcPr>
          <w:p w:rsidRPr="009C48DA" w:rsidR="00661519" w:rsidP="00661519" w:rsidRDefault="00661519" w14:paraId="5B5C3013" w14:textId="77777777">
            <w:pPr>
              <w:spacing w:after="12" w:line="188" w:lineRule="exact"/>
              <w:ind w:hanging="107"/>
              <w:jc w:val="center"/>
              <w:textAlignment w:val="baseline"/>
              <w:rPr>
                <w:rFonts w:eastAsia="Times New Roman"/>
                <w:color w:val="000000"/>
                <w:sz w:val="16"/>
                <w:lang w:val="en-GB"/>
              </w:rPr>
            </w:pPr>
            <w:r w:rsidRPr="009C48DA">
              <w:rPr>
                <w:rFonts w:eastAsia="Times New Roman"/>
                <w:color w:val="000000"/>
                <w:sz w:val="16"/>
                <w:lang w:val="en-GB"/>
              </w:rPr>
              <w:t>Private equity advisory company</w:t>
            </w:r>
          </w:p>
        </w:tc>
        <w:tc>
          <w:tcPr>
            <w:tcW w:w="1376" w:type="dxa"/>
            <w:vAlign w:val="center"/>
          </w:tcPr>
          <w:p w:rsidRPr="009C48DA" w:rsidR="00661519" w:rsidP="00661519" w:rsidRDefault="00661519" w14:paraId="7AAD3F96" w14:textId="77777777">
            <w:pPr>
              <w:spacing w:after="1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636D52E7" w14:textId="77777777">
            <w:pPr>
              <w:spacing w:after="1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BFEA897" w14:textId="77777777">
        <w:trPr>
          <w:jc w:val="center"/>
        </w:trPr>
        <w:tc>
          <w:tcPr>
            <w:tcW w:w="2694" w:type="dxa"/>
            <w:gridSpan w:val="2"/>
            <w:vAlign w:val="center"/>
          </w:tcPr>
          <w:p w:rsidRPr="009C48DA" w:rsidR="00661519" w:rsidP="00661519" w:rsidRDefault="00661519" w14:paraId="7F14D73E" w14:textId="77777777">
            <w:pPr>
              <w:spacing w:before="35" w:after="3" w:line="188" w:lineRule="exact"/>
              <w:textAlignment w:val="baseline"/>
              <w:rPr>
                <w:rFonts w:eastAsia="Times New Roman"/>
                <w:color w:val="000000"/>
                <w:sz w:val="16"/>
                <w:lang w:val="en-GB"/>
              </w:rPr>
            </w:pPr>
            <w:r w:rsidRPr="009C48DA">
              <w:rPr>
                <w:rFonts w:eastAsia="Times New Roman"/>
                <w:color w:val="000000"/>
                <w:sz w:val="16"/>
                <w:lang w:val="en-GB"/>
              </w:rPr>
              <w:t>Bridgepoint Partners Limited</w:t>
            </w:r>
          </w:p>
        </w:tc>
        <w:tc>
          <w:tcPr>
            <w:tcW w:w="571" w:type="dxa"/>
            <w:vAlign w:val="center"/>
          </w:tcPr>
          <w:p w:rsidRPr="009C48DA" w:rsidR="00661519" w:rsidP="00661519" w:rsidRDefault="00661519" w14:paraId="5D926CEB" w14:textId="77777777">
            <w:pPr>
              <w:spacing w:before="35" w:after="3"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556955E7"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4511534A"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44B50597"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6FA4452C" w14:textId="77777777">
            <w:pPr>
              <w:spacing w:before="35" w:after="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9ED8764" w14:textId="77777777">
        <w:trPr>
          <w:jc w:val="center"/>
        </w:trPr>
        <w:tc>
          <w:tcPr>
            <w:tcW w:w="2694" w:type="dxa"/>
            <w:gridSpan w:val="2"/>
            <w:vAlign w:val="center"/>
          </w:tcPr>
          <w:p w:rsidRPr="009C48DA" w:rsidR="00661519" w:rsidP="00661519" w:rsidRDefault="00661519" w14:paraId="43966938" w14:textId="77777777">
            <w:pPr>
              <w:spacing w:before="31" w:after="31" w:line="188" w:lineRule="exact"/>
              <w:textAlignment w:val="baseline"/>
              <w:rPr>
                <w:rFonts w:eastAsia="Times New Roman"/>
                <w:color w:val="000000"/>
                <w:sz w:val="16"/>
                <w:lang w:val="en-GB"/>
              </w:rPr>
            </w:pPr>
            <w:r w:rsidRPr="009C48DA">
              <w:rPr>
                <w:rFonts w:eastAsia="Times New Roman"/>
                <w:color w:val="000000"/>
                <w:sz w:val="16"/>
                <w:lang w:val="en-GB"/>
              </w:rPr>
              <w:t>Bridgepoint SAS</w:t>
            </w:r>
          </w:p>
        </w:tc>
        <w:tc>
          <w:tcPr>
            <w:tcW w:w="571" w:type="dxa"/>
            <w:vAlign w:val="center"/>
          </w:tcPr>
          <w:p w:rsidRPr="009C48DA" w:rsidR="00661519" w:rsidP="00661519" w:rsidRDefault="00661519" w14:paraId="7C4F644E" w14:textId="77777777">
            <w:pPr>
              <w:spacing w:before="31" w:after="31"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8</w:t>
            </w:r>
          </w:p>
        </w:tc>
        <w:tc>
          <w:tcPr>
            <w:tcW w:w="1413" w:type="dxa"/>
            <w:vAlign w:val="center"/>
          </w:tcPr>
          <w:p w:rsidRPr="009C48DA" w:rsidR="00661519" w:rsidP="00661519" w:rsidRDefault="00661519" w14:paraId="0CC7F1CF" w14:textId="77777777">
            <w:pPr>
              <w:spacing w:before="31" w:after="31" w:line="188" w:lineRule="exact"/>
              <w:jc w:val="center"/>
              <w:textAlignment w:val="baseline"/>
              <w:rPr>
                <w:rFonts w:eastAsia="Times New Roman"/>
                <w:color w:val="000000"/>
                <w:sz w:val="16"/>
                <w:lang w:val="en-GB"/>
              </w:rPr>
            </w:pPr>
            <w:r w:rsidRPr="009C48DA">
              <w:rPr>
                <w:rFonts w:eastAsia="Times New Roman"/>
                <w:color w:val="000000"/>
                <w:sz w:val="16"/>
                <w:lang w:val="en-GB"/>
              </w:rPr>
              <w:t>France</w:t>
            </w:r>
          </w:p>
        </w:tc>
        <w:tc>
          <w:tcPr>
            <w:tcW w:w="2268" w:type="dxa"/>
            <w:vAlign w:val="center"/>
          </w:tcPr>
          <w:p w:rsidRPr="009C48DA" w:rsidR="00661519" w:rsidP="00661519" w:rsidRDefault="00661519" w14:paraId="6D945435" w14:textId="77777777">
            <w:pPr>
              <w:spacing w:before="31" w:after="31" w:line="188" w:lineRule="exact"/>
              <w:jc w:val="center"/>
              <w:textAlignment w:val="baseline"/>
              <w:rPr>
                <w:rFonts w:eastAsia="Times New Roman"/>
                <w:color w:val="000000"/>
                <w:sz w:val="16"/>
                <w:lang w:val="en-GB"/>
              </w:rPr>
            </w:pPr>
            <w:r w:rsidRPr="009C48DA">
              <w:rPr>
                <w:rFonts w:eastAsia="Times New Roman"/>
                <w:color w:val="000000"/>
                <w:sz w:val="16"/>
                <w:lang w:val="en-GB"/>
              </w:rPr>
              <w:t>Private equity advisory company</w:t>
            </w:r>
          </w:p>
        </w:tc>
        <w:tc>
          <w:tcPr>
            <w:tcW w:w="1376" w:type="dxa"/>
            <w:vAlign w:val="center"/>
          </w:tcPr>
          <w:p w:rsidRPr="009C48DA" w:rsidR="00661519" w:rsidP="00661519" w:rsidRDefault="00661519" w14:paraId="6E6F766E" w14:textId="77777777">
            <w:pPr>
              <w:spacing w:before="31" w:after="31"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451F397F" w14:textId="77777777">
            <w:pPr>
              <w:spacing w:before="31" w:after="31"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64835E9" w14:textId="77777777">
        <w:trPr>
          <w:jc w:val="center"/>
        </w:trPr>
        <w:tc>
          <w:tcPr>
            <w:tcW w:w="2694" w:type="dxa"/>
            <w:gridSpan w:val="2"/>
          </w:tcPr>
          <w:p w:rsidRPr="009C48DA" w:rsidR="00661519" w:rsidP="00661519" w:rsidRDefault="00661519" w14:paraId="086FE165" w14:textId="77777777">
            <w:pPr>
              <w:spacing w:after="27" w:line="187" w:lineRule="exact"/>
              <w:ind w:right="432"/>
              <w:textAlignment w:val="baseline"/>
              <w:rPr>
                <w:rFonts w:eastAsia="Times New Roman"/>
                <w:color w:val="000000"/>
                <w:spacing w:val="-4"/>
                <w:sz w:val="16"/>
                <w:lang w:val="en-GB"/>
              </w:rPr>
            </w:pPr>
            <w:r w:rsidRPr="009C48DA">
              <w:rPr>
                <w:rFonts w:eastAsia="Times New Roman"/>
                <w:color w:val="000000"/>
                <w:spacing w:val="-4"/>
                <w:sz w:val="16"/>
                <w:lang w:val="en-GB"/>
              </w:rPr>
              <w:t>Bridgepoint Portfolio Services SAS</w:t>
            </w:r>
          </w:p>
        </w:tc>
        <w:tc>
          <w:tcPr>
            <w:tcW w:w="571" w:type="dxa"/>
            <w:vAlign w:val="center"/>
          </w:tcPr>
          <w:p w:rsidRPr="009C48DA" w:rsidR="00661519" w:rsidP="00661519" w:rsidRDefault="00661519" w14:paraId="47269FE8" w14:textId="77777777">
            <w:pPr>
              <w:spacing w:before="102" w:after="123"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8</w:t>
            </w:r>
          </w:p>
        </w:tc>
        <w:tc>
          <w:tcPr>
            <w:tcW w:w="1413" w:type="dxa"/>
            <w:vAlign w:val="center"/>
          </w:tcPr>
          <w:p w:rsidRPr="009C48DA" w:rsidR="00661519" w:rsidP="00661519" w:rsidRDefault="00661519" w14:paraId="2FD1544F" w14:textId="77777777">
            <w:pPr>
              <w:spacing w:before="102" w:after="123" w:line="188" w:lineRule="exact"/>
              <w:jc w:val="center"/>
              <w:textAlignment w:val="baseline"/>
              <w:rPr>
                <w:rFonts w:eastAsia="Times New Roman"/>
                <w:color w:val="000000"/>
                <w:sz w:val="16"/>
                <w:lang w:val="en-GB"/>
              </w:rPr>
            </w:pPr>
            <w:r w:rsidRPr="009C48DA">
              <w:rPr>
                <w:rFonts w:eastAsia="Times New Roman"/>
                <w:color w:val="000000"/>
                <w:sz w:val="16"/>
                <w:lang w:val="en-GB"/>
              </w:rPr>
              <w:t>France</w:t>
            </w:r>
          </w:p>
        </w:tc>
        <w:tc>
          <w:tcPr>
            <w:tcW w:w="2268" w:type="dxa"/>
            <w:vAlign w:val="center"/>
          </w:tcPr>
          <w:p w:rsidRPr="009C48DA" w:rsidR="00661519" w:rsidP="00661519" w:rsidRDefault="00661519" w14:paraId="0C9C2A0D" w14:textId="77777777">
            <w:pPr>
              <w:spacing w:before="102" w:after="123" w:line="188" w:lineRule="exact"/>
              <w:jc w:val="center"/>
              <w:textAlignment w:val="baseline"/>
              <w:rPr>
                <w:rFonts w:eastAsia="Times New Roman"/>
                <w:color w:val="000000"/>
                <w:sz w:val="16"/>
                <w:lang w:val="en-GB"/>
              </w:rPr>
            </w:pPr>
            <w:r w:rsidRPr="009C48DA">
              <w:rPr>
                <w:rFonts w:eastAsia="Times New Roman"/>
                <w:color w:val="000000"/>
                <w:sz w:val="16"/>
                <w:lang w:val="en-GB"/>
              </w:rPr>
              <w:t>Private equity advisory company</w:t>
            </w:r>
          </w:p>
        </w:tc>
        <w:tc>
          <w:tcPr>
            <w:tcW w:w="1376" w:type="dxa"/>
            <w:vAlign w:val="center"/>
          </w:tcPr>
          <w:p w:rsidRPr="009C48DA" w:rsidR="00661519" w:rsidP="00661519" w:rsidRDefault="00661519" w14:paraId="5E05F5E9" w14:textId="77777777">
            <w:pPr>
              <w:spacing w:before="102" w:after="12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25B7C689" w14:textId="77777777">
            <w:pPr>
              <w:spacing w:before="102" w:after="12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3B0D751" w14:textId="77777777">
        <w:trPr>
          <w:jc w:val="center"/>
        </w:trPr>
        <w:tc>
          <w:tcPr>
            <w:tcW w:w="2694" w:type="dxa"/>
            <w:gridSpan w:val="2"/>
          </w:tcPr>
          <w:p w:rsidRPr="009C48DA" w:rsidR="00661519" w:rsidP="00661519" w:rsidRDefault="00661519" w14:paraId="6B48F1B3" w14:textId="77777777">
            <w:pPr>
              <w:spacing w:after="31" w:line="183" w:lineRule="exact"/>
              <w:textAlignment w:val="baseline"/>
              <w:rPr>
                <w:rFonts w:eastAsia="Times New Roman"/>
                <w:color w:val="000000"/>
                <w:sz w:val="16"/>
                <w:lang w:val="en-GB"/>
              </w:rPr>
            </w:pPr>
            <w:r w:rsidRPr="009C48DA">
              <w:rPr>
                <w:rFonts w:eastAsia="Times New Roman"/>
                <w:color w:val="000000"/>
                <w:sz w:val="16"/>
                <w:lang w:val="en-GB"/>
              </w:rPr>
              <w:t>Bridgepoint Private Equity Group Limited</w:t>
            </w:r>
          </w:p>
        </w:tc>
        <w:tc>
          <w:tcPr>
            <w:tcW w:w="571" w:type="dxa"/>
            <w:vAlign w:val="center"/>
          </w:tcPr>
          <w:p w:rsidRPr="009C48DA" w:rsidR="00661519" w:rsidP="00661519" w:rsidRDefault="00661519" w14:paraId="686D59DC" w14:textId="77777777">
            <w:pPr>
              <w:spacing w:before="98" w:after="122"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461D343F" w14:textId="77777777">
            <w:pPr>
              <w:spacing w:before="98" w:after="12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696A413B" w14:textId="77777777">
            <w:pPr>
              <w:spacing w:before="98" w:after="122"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2C55674D" w14:textId="77777777">
            <w:pPr>
              <w:spacing w:before="98" w:after="12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6368B9E8" w14:textId="77777777">
            <w:pPr>
              <w:spacing w:before="98" w:after="12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126BB02" w14:textId="77777777">
        <w:trPr>
          <w:jc w:val="center"/>
        </w:trPr>
        <w:tc>
          <w:tcPr>
            <w:tcW w:w="2694" w:type="dxa"/>
            <w:gridSpan w:val="2"/>
          </w:tcPr>
          <w:p w:rsidRPr="009C48DA" w:rsidR="00661519" w:rsidP="00661519" w:rsidRDefault="00661519" w14:paraId="724116B0" w14:textId="77777777">
            <w:pPr>
              <w:spacing w:after="27" w:line="187" w:lineRule="exact"/>
              <w:ind w:right="648"/>
              <w:textAlignment w:val="baseline"/>
              <w:rPr>
                <w:rFonts w:eastAsia="Times New Roman"/>
                <w:color w:val="000000"/>
                <w:sz w:val="16"/>
                <w:lang w:val="en-GB"/>
              </w:rPr>
            </w:pPr>
            <w:r w:rsidRPr="009C48DA">
              <w:rPr>
                <w:rFonts w:eastAsia="Times New Roman"/>
                <w:color w:val="000000"/>
                <w:sz w:val="16"/>
                <w:lang w:val="en-GB"/>
              </w:rPr>
              <w:t>Bridgepoint Private Equity Growth Fund Limited</w:t>
            </w:r>
          </w:p>
        </w:tc>
        <w:tc>
          <w:tcPr>
            <w:tcW w:w="571" w:type="dxa"/>
            <w:vAlign w:val="center"/>
          </w:tcPr>
          <w:p w:rsidRPr="009C48DA" w:rsidR="00661519" w:rsidP="00661519" w:rsidRDefault="00661519" w14:paraId="46105D17" w14:textId="77777777">
            <w:pPr>
              <w:spacing w:before="102" w:after="123"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7CD01EA2" w14:textId="77777777">
            <w:pPr>
              <w:spacing w:before="102" w:after="12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5734208A" w14:textId="77777777">
            <w:pPr>
              <w:spacing w:before="102" w:after="123"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05D1395C" w14:textId="77777777">
            <w:pPr>
              <w:spacing w:before="102" w:after="12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46922F20" w14:textId="77777777">
            <w:pPr>
              <w:spacing w:before="102" w:after="12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E3FD6EC" w14:textId="77777777">
        <w:trPr>
          <w:jc w:val="center"/>
        </w:trPr>
        <w:tc>
          <w:tcPr>
            <w:tcW w:w="2694" w:type="dxa"/>
            <w:gridSpan w:val="2"/>
          </w:tcPr>
          <w:p w:rsidRPr="009C48DA" w:rsidR="00661519" w:rsidP="00661519" w:rsidRDefault="00661519" w14:paraId="75E13A81" w14:textId="77777777">
            <w:pPr>
              <w:spacing w:after="27" w:line="187" w:lineRule="exact"/>
              <w:ind w:right="648"/>
              <w:textAlignment w:val="baseline"/>
              <w:rPr>
                <w:rFonts w:eastAsia="Times New Roman"/>
                <w:color w:val="000000"/>
                <w:sz w:val="16"/>
                <w:lang w:val="en-GB"/>
              </w:rPr>
            </w:pPr>
            <w:r w:rsidRPr="009C48DA">
              <w:rPr>
                <w:rFonts w:eastAsia="Times New Roman"/>
                <w:color w:val="000000"/>
                <w:sz w:val="16"/>
                <w:lang w:val="en-GB"/>
              </w:rPr>
              <w:t>Bridgepoint Private Equity Limited</w:t>
            </w:r>
          </w:p>
        </w:tc>
        <w:tc>
          <w:tcPr>
            <w:tcW w:w="571" w:type="dxa"/>
            <w:vAlign w:val="center"/>
          </w:tcPr>
          <w:p w:rsidRPr="009C48DA" w:rsidR="00661519" w:rsidP="00661519" w:rsidRDefault="00661519" w14:paraId="5C8E4D97" w14:textId="77777777">
            <w:pPr>
              <w:spacing w:before="98" w:after="122"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5A4374E4" w14:textId="77777777">
            <w:pPr>
              <w:spacing w:before="98" w:after="12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68E84344" w14:textId="77777777">
            <w:pPr>
              <w:spacing w:before="98" w:after="122"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31696BE2" w14:textId="77777777">
            <w:pPr>
              <w:spacing w:before="98" w:after="12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345C9152" w14:textId="77777777">
            <w:pPr>
              <w:spacing w:before="98" w:after="122"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132B73C" w14:textId="77777777">
        <w:trPr>
          <w:jc w:val="center"/>
        </w:trPr>
        <w:tc>
          <w:tcPr>
            <w:tcW w:w="2694" w:type="dxa"/>
            <w:gridSpan w:val="2"/>
          </w:tcPr>
          <w:p w:rsidRPr="009C48DA" w:rsidR="00661519" w:rsidP="00661519" w:rsidRDefault="00661519" w14:paraId="5224F74C" w14:textId="77777777">
            <w:pPr>
              <w:spacing w:after="27" w:line="187" w:lineRule="exact"/>
              <w:ind w:right="648"/>
              <w:textAlignment w:val="baseline"/>
              <w:rPr>
                <w:rFonts w:eastAsia="Times New Roman"/>
                <w:color w:val="000000"/>
                <w:sz w:val="16"/>
                <w:szCs w:val="16"/>
                <w:lang w:val="en-GB"/>
              </w:rPr>
            </w:pPr>
            <w:r w:rsidRPr="009C48DA">
              <w:rPr>
                <w:rFonts w:eastAsia="Times New Roman"/>
                <w:color w:val="000000"/>
                <w:sz w:val="16"/>
                <w:szCs w:val="16"/>
                <w:lang w:val="en-GB"/>
              </w:rPr>
              <w:t>Bridgepoint Property Advisers Limited</w:t>
            </w:r>
          </w:p>
        </w:tc>
        <w:tc>
          <w:tcPr>
            <w:tcW w:w="571" w:type="dxa"/>
            <w:vAlign w:val="center"/>
          </w:tcPr>
          <w:p w:rsidRPr="009C48DA" w:rsidR="00661519" w:rsidP="00661519" w:rsidRDefault="00661519" w14:paraId="6F2FF719" w14:textId="77777777">
            <w:pPr>
              <w:spacing w:before="102" w:after="123"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1E2767C8" w14:textId="77777777">
            <w:pPr>
              <w:spacing w:before="102" w:after="12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68C51422" w14:textId="77777777">
            <w:pPr>
              <w:spacing w:before="102" w:after="123"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6BA24A32" w14:textId="77777777">
            <w:pPr>
              <w:spacing w:before="102" w:after="12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4C0544F1" w14:textId="77777777">
            <w:pPr>
              <w:spacing w:before="102" w:after="123"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E839470" w14:textId="77777777">
        <w:trPr>
          <w:jc w:val="center"/>
        </w:trPr>
        <w:tc>
          <w:tcPr>
            <w:tcW w:w="2694" w:type="dxa"/>
            <w:gridSpan w:val="2"/>
          </w:tcPr>
          <w:p w:rsidRPr="009C48DA" w:rsidR="00661519" w:rsidP="00661519" w:rsidRDefault="00661519" w14:paraId="11AC1892" w14:textId="77777777">
            <w:pPr>
              <w:spacing w:after="27" w:line="187" w:lineRule="exact"/>
              <w:ind w:right="648"/>
              <w:textAlignment w:val="baseline"/>
              <w:rPr>
                <w:rFonts w:eastAsia="Times New Roman"/>
                <w:color w:val="000000"/>
                <w:sz w:val="16"/>
                <w:lang w:val="en-GB"/>
              </w:rPr>
            </w:pPr>
            <w:r w:rsidRPr="009C48DA">
              <w:rPr>
                <w:rFonts w:eastAsia="Times New Roman"/>
                <w:color w:val="000000"/>
                <w:sz w:val="16"/>
                <w:lang w:val="en-GB"/>
              </w:rPr>
              <w:t xml:space="preserve">Bridgepoint Property </w:t>
            </w:r>
            <w:r w:rsidRPr="009C48DA">
              <w:rPr>
                <w:rFonts w:eastAsia="Times New Roman"/>
                <w:color w:val="000000"/>
                <w:sz w:val="16"/>
                <w:lang w:val="en-GB"/>
              </w:rPr>
              <w:br/>
              <w:t>Development Limited</w:t>
            </w:r>
          </w:p>
        </w:tc>
        <w:tc>
          <w:tcPr>
            <w:tcW w:w="571" w:type="dxa"/>
            <w:vAlign w:val="center"/>
          </w:tcPr>
          <w:p w:rsidRPr="009C48DA" w:rsidR="00661519" w:rsidP="00661519" w:rsidRDefault="00661519" w14:paraId="12374D1E" w14:textId="77777777">
            <w:pPr>
              <w:spacing w:before="97" w:after="151" w:line="188" w:lineRule="exact"/>
              <w:ind w:right="129"/>
              <w:jc w:val="right"/>
              <w:textAlignment w:val="baseline"/>
              <w:rPr>
                <w:rFonts w:eastAsia="Times New Roman"/>
                <w:color w:val="000000"/>
                <w:sz w:val="16"/>
                <w:lang w:val="en-GB"/>
              </w:rPr>
            </w:pPr>
            <w:r w:rsidRPr="009C48DA">
              <w:rPr>
                <w:rFonts w:eastAsia="Times New Roman"/>
                <w:color w:val="000000"/>
                <w:sz w:val="16"/>
                <w:lang w:val="en-GB"/>
              </w:rPr>
              <w:t>1</w:t>
            </w:r>
          </w:p>
        </w:tc>
        <w:tc>
          <w:tcPr>
            <w:tcW w:w="1413" w:type="dxa"/>
            <w:vAlign w:val="center"/>
          </w:tcPr>
          <w:p w:rsidRPr="009C48DA" w:rsidR="00661519" w:rsidP="00661519" w:rsidRDefault="00661519" w14:paraId="6E964017" w14:textId="77777777">
            <w:pPr>
              <w:spacing w:before="97" w:after="151"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268" w:type="dxa"/>
            <w:vAlign w:val="center"/>
          </w:tcPr>
          <w:p w:rsidRPr="009C48DA" w:rsidR="00661519" w:rsidP="00661519" w:rsidRDefault="00661519" w14:paraId="15259FCB" w14:textId="77777777">
            <w:pPr>
              <w:spacing w:before="97" w:after="151"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5F6FDA21" w14:textId="77777777">
            <w:pPr>
              <w:spacing w:before="97" w:after="151"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413" w:type="dxa"/>
            <w:vAlign w:val="center"/>
          </w:tcPr>
          <w:p w:rsidRPr="009C48DA" w:rsidR="00661519" w:rsidP="00661519" w:rsidRDefault="00661519" w14:paraId="61100458" w14:textId="77777777">
            <w:pPr>
              <w:spacing w:before="97" w:after="151" w:line="188" w:lineRule="exact"/>
              <w:ind w:right="514"/>
              <w:jc w:val="right"/>
              <w:textAlignment w:val="baseline"/>
              <w:rPr>
                <w:rFonts w:eastAsia="Times New Roman"/>
                <w:color w:val="000000"/>
                <w:sz w:val="16"/>
                <w:lang w:val="en-GB"/>
              </w:rPr>
            </w:pPr>
            <w:r w:rsidRPr="009C48DA">
              <w:rPr>
                <w:rFonts w:eastAsia="Times New Roman"/>
                <w:color w:val="000000"/>
                <w:sz w:val="16"/>
                <w:lang w:val="en-GB"/>
              </w:rPr>
              <w:t>100%</w:t>
            </w:r>
          </w:p>
        </w:tc>
      </w:tr>
    </w:tbl>
    <w:p w:rsidRPr="009C48DA" w:rsidR="00661519" w:rsidP="000D6C1F" w:rsidRDefault="00661519" w14:paraId="58E258D0" w14:textId="77777777">
      <w:pPr>
        <w:textAlignment w:val="baseline"/>
        <w:rPr>
          <w:lang w:val="en-GB"/>
        </w:rPr>
      </w:pPr>
    </w:p>
    <w:tbl>
      <w:tblPr>
        <w:tblStyle w:val="TableGrid"/>
        <w:tblW w:w="94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410"/>
        <w:gridCol w:w="709"/>
        <w:gridCol w:w="1417"/>
        <w:gridCol w:w="2310"/>
        <w:gridCol w:w="1376"/>
        <w:gridCol w:w="1275"/>
      </w:tblGrid>
      <w:tr w:rsidRPr="009C48DA" w:rsidR="00661519" w:rsidTr="00661519" w14:paraId="26402539" w14:textId="77777777">
        <w:trPr>
          <w:jc w:val="center"/>
        </w:trPr>
        <w:tc>
          <w:tcPr>
            <w:tcW w:w="2410" w:type="dxa"/>
            <w:vAlign w:val="bottom"/>
          </w:tcPr>
          <w:p w:rsidRPr="009C48DA" w:rsidR="00661519" w:rsidP="00661519" w:rsidRDefault="00661519" w14:paraId="7E761261" w14:textId="77777777">
            <w:pPr>
              <w:ind w:right="-12"/>
              <w:textAlignment w:val="baseline"/>
              <w:rPr>
                <w:rFonts w:eastAsia="Times New Roman"/>
                <w:color w:val="000000"/>
                <w:sz w:val="16"/>
                <w:szCs w:val="16"/>
                <w:lang w:val="en-GB"/>
              </w:rPr>
            </w:pPr>
            <w:r w:rsidRPr="009C48DA">
              <w:rPr>
                <w:lang w:val="en-GB"/>
              </w:rPr>
              <w:lastRenderedPageBreak/>
              <w:br w:type="page"/>
            </w:r>
            <w:r w:rsidRPr="009C48DA">
              <w:rPr>
                <w:rFonts w:eastAsia="Times New Roman"/>
                <w:b/>
                <w:color w:val="000000"/>
                <w:sz w:val="16"/>
                <w:szCs w:val="16"/>
                <w:lang w:val="en-GB"/>
              </w:rPr>
              <w:t>Name of subsidiary</w:t>
            </w:r>
          </w:p>
        </w:tc>
        <w:tc>
          <w:tcPr>
            <w:tcW w:w="709" w:type="dxa"/>
            <w:vAlign w:val="bottom"/>
          </w:tcPr>
          <w:p w:rsidRPr="009C48DA" w:rsidR="00661519" w:rsidP="00661519" w:rsidRDefault="00661519" w14:paraId="12AC05E2" w14:textId="77777777">
            <w:pPr>
              <w:ind w:right="-12"/>
              <w:jc w:val="center"/>
              <w:textAlignment w:val="baseline"/>
              <w:rPr>
                <w:rFonts w:eastAsia="Times New Roman"/>
                <w:color w:val="000000"/>
                <w:sz w:val="16"/>
                <w:szCs w:val="16"/>
                <w:lang w:val="en-GB"/>
              </w:rPr>
            </w:pPr>
            <w:r w:rsidRPr="009C48DA">
              <w:rPr>
                <w:rFonts w:eastAsia="Times New Roman"/>
                <w:b/>
                <w:color w:val="000000"/>
                <w:sz w:val="16"/>
                <w:szCs w:val="16"/>
                <w:lang w:val="en-GB"/>
              </w:rPr>
              <w:t>Ref</w:t>
            </w:r>
          </w:p>
        </w:tc>
        <w:tc>
          <w:tcPr>
            <w:tcW w:w="1417" w:type="dxa"/>
            <w:vAlign w:val="bottom"/>
          </w:tcPr>
          <w:p w:rsidRPr="009C48DA" w:rsidR="00661519" w:rsidP="00661519" w:rsidRDefault="00661519" w14:paraId="6C6A5F47" w14:textId="77777777">
            <w:pPr>
              <w:ind w:right="-12"/>
              <w:jc w:val="center"/>
              <w:textAlignment w:val="baseline"/>
              <w:rPr>
                <w:rFonts w:eastAsia="Times New Roman"/>
                <w:color w:val="000000"/>
                <w:sz w:val="16"/>
                <w:szCs w:val="16"/>
                <w:lang w:val="en-GB"/>
              </w:rPr>
            </w:pPr>
            <w:r w:rsidRPr="009C48DA">
              <w:rPr>
                <w:rFonts w:eastAsia="Times New Roman"/>
                <w:b/>
                <w:color w:val="000000"/>
                <w:sz w:val="16"/>
                <w:szCs w:val="16"/>
                <w:lang w:val="en-GB"/>
              </w:rPr>
              <w:t>Country of incorporation</w:t>
            </w:r>
          </w:p>
        </w:tc>
        <w:tc>
          <w:tcPr>
            <w:tcW w:w="2310" w:type="dxa"/>
            <w:vAlign w:val="bottom"/>
          </w:tcPr>
          <w:p w:rsidRPr="009C48DA" w:rsidR="00661519" w:rsidP="00661519" w:rsidRDefault="00661519" w14:paraId="47D61F21" w14:textId="77777777">
            <w:pPr>
              <w:ind w:right="-12"/>
              <w:jc w:val="center"/>
              <w:textAlignment w:val="baseline"/>
              <w:rPr>
                <w:rFonts w:eastAsia="Times New Roman"/>
                <w:color w:val="000000"/>
                <w:sz w:val="16"/>
                <w:szCs w:val="16"/>
                <w:lang w:val="en-GB"/>
              </w:rPr>
            </w:pPr>
            <w:r w:rsidRPr="009C48DA">
              <w:rPr>
                <w:rFonts w:eastAsia="Times New Roman"/>
                <w:b/>
                <w:color w:val="000000"/>
                <w:sz w:val="16"/>
                <w:szCs w:val="16"/>
                <w:lang w:val="en-GB"/>
              </w:rPr>
              <w:t>Principal activity</w:t>
            </w:r>
          </w:p>
        </w:tc>
        <w:tc>
          <w:tcPr>
            <w:tcW w:w="1376" w:type="dxa"/>
            <w:vAlign w:val="bottom"/>
          </w:tcPr>
          <w:p w:rsidRPr="009C48DA" w:rsidR="00661519" w:rsidP="00661519" w:rsidRDefault="00661519" w14:paraId="7C750409" w14:textId="77777777">
            <w:pPr>
              <w:ind w:right="-12"/>
              <w:jc w:val="center"/>
              <w:textAlignment w:val="baseline"/>
              <w:rPr>
                <w:rFonts w:eastAsia="Times New Roman"/>
                <w:color w:val="000000"/>
                <w:sz w:val="16"/>
                <w:szCs w:val="16"/>
                <w:lang w:val="en-GB"/>
              </w:rPr>
            </w:pPr>
            <w:r w:rsidRPr="009C48DA">
              <w:rPr>
                <w:rFonts w:eastAsia="Times New Roman"/>
                <w:b/>
                <w:color w:val="000000"/>
                <w:sz w:val="16"/>
                <w:szCs w:val="16"/>
                <w:lang w:val="en-GB"/>
              </w:rPr>
              <w:t>Share class</w:t>
            </w:r>
          </w:p>
        </w:tc>
        <w:tc>
          <w:tcPr>
            <w:tcW w:w="1275" w:type="dxa"/>
            <w:vAlign w:val="bottom"/>
          </w:tcPr>
          <w:p w:rsidRPr="009C48DA" w:rsidR="00661519" w:rsidP="00661519" w:rsidRDefault="00661519" w14:paraId="3028BF50" w14:textId="77777777">
            <w:pPr>
              <w:ind w:right="-12"/>
              <w:jc w:val="center"/>
              <w:textAlignment w:val="baseline"/>
              <w:rPr>
                <w:rFonts w:eastAsia="Times New Roman"/>
                <w:color w:val="000000"/>
                <w:sz w:val="16"/>
                <w:szCs w:val="16"/>
                <w:lang w:val="en-GB"/>
              </w:rPr>
            </w:pPr>
            <w:r w:rsidRPr="009C48DA">
              <w:rPr>
                <w:rFonts w:eastAsia="Times New Roman"/>
                <w:b/>
                <w:color w:val="000000"/>
                <w:sz w:val="16"/>
                <w:szCs w:val="16"/>
                <w:lang w:val="en-GB"/>
              </w:rPr>
              <w:t>Company’s proportion of ownership interest</w:t>
            </w:r>
          </w:p>
        </w:tc>
      </w:tr>
      <w:tr w:rsidRPr="009C48DA" w:rsidR="00661519" w:rsidTr="00661519" w14:paraId="03715681" w14:textId="77777777">
        <w:trPr>
          <w:jc w:val="center"/>
        </w:trPr>
        <w:tc>
          <w:tcPr>
            <w:tcW w:w="2410" w:type="dxa"/>
          </w:tcPr>
          <w:p w:rsidRPr="009C48DA" w:rsidR="00661519" w:rsidP="00661519" w:rsidRDefault="00661519" w14:paraId="1B70646D" w14:textId="7F5B28A7">
            <w:pPr>
              <w:ind w:right="-12"/>
              <w:textAlignment w:val="baseline"/>
              <w:rPr>
                <w:rFonts w:eastAsia="Times New Roman"/>
                <w:color w:val="000000"/>
                <w:sz w:val="16"/>
                <w:szCs w:val="16"/>
                <w:lang w:val="en-GB"/>
              </w:rPr>
            </w:pPr>
            <w:r w:rsidRPr="009C48DA">
              <w:rPr>
                <w:rFonts w:eastAsia="Times New Roman"/>
                <w:color w:val="000000"/>
                <w:sz w:val="16"/>
                <w:szCs w:val="16"/>
                <w:lang w:val="en-GB"/>
              </w:rPr>
              <w:t>Bridgepoint Real Estate Advisers Limited</w:t>
            </w:r>
          </w:p>
        </w:tc>
        <w:tc>
          <w:tcPr>
            <w:tcW w:w="709" w:type="dxa"/>
          </w:tcPr>
          <w:p w:rsidRPr="009C48DA" w:rsidR="00661519" w:rsidP="00661519" w:rsidRDefault="00661519" w14:paraId="41C95D26" w14:textId="77777777">
            <w:pPr>
              <w:ind w:right="-12"/>
              <w:jc w:val="center"/>
              <w:textAlignment w:val="baseline"/>
              <w:rPr>
                <w:rFonts w:eastAsia="Times New Roman"/>
                <w:color w:val="000000"/>
                <w:sz w:val="16"/>
                <w:szCs w:val="16"/>
                <w:lang w:val="en-GB"/>
              </w:rPr>
            </w:pPr>
            <w:r w:rsidRPr="009C48DA">
              <w:rPr>
                <w:rFonts w:eastAsia="Times New Roman"/>
                <w:color w:val="000000"/>
                <w:sz w:val="16"/>
                <w:szCs w:val="16"/>
                <w:lang w:val="en-GB"/>
              </w:rPr>
              <w:t>1</w:t>
            </w:r>
          </w:p>
        </w:tc>
        <w:tc>
          <w:tcPr>
            <w:tcW w:w="1417" w:type="dxa"/>
          </w:tcPr>
          <w:p w:rsidRPr="009C48DA" w:rsidR="00661519" w:rsidP="00661519" w:rsidRDefault="00661519" w14:paraId="65075371" w14:textId="77777777">
            <w:pPr>
              <w:ind w:right="-12"/>
              <w:jc w:val="center"/>
              <w:textAlignment w:val="baseline"/>
              <w:rPr>
                <w:rFonts w:eastAsia="Times New Roman"/>
                <w:color w:val="000000"/>
                <w:sz w:val="16"/>
                <w:szCs w:val="16"/>
                <w:lang w:val="en-GB"/>
              </w:rPr>
            </w:pPr>
            <w:r w:rsidRPr="009C48DA">
              <w:rPr>
                <w:rFonts w:eastAsia="Times New Roman"/>
                <w:color w:val="000000"/>
                <w:sz w:val="16"/>
                <w:szCs w:val="16"/>
                <w:lang w:val="en-GB"/>
              </w:rPr>
              <w:t>UK</w:t>
            </w:r>
          </w:p>
        </w:tc>
        <w:tc>
          <w:tcPr>
            <w:tcW w:w="2310" w:type="dxa"/>
          </w:tcPr>
          <w:p w:rsidRPr="009C48DA" w:rsidR="00661519" w:rsidP="00661519" w:rsidRDefault="00661519" w14:paraId="651911AE" w14:textId="77777777">
            <w:pPr>
              <w:ind w:right="-12"/>
              <w:jc w:val="center"/>
              <w:textAlignment w:val="baseline"/>
              <w:rPr>
                <w:rFonts w:eastAsia="Times New Roman"/>
                <w:color w:val="000000"/>
                <w:sz w:val="16"/>
                <w:szCs w:val="16"/>
                <w:lang w:val="en-GB"/>
              </w:rPr>
            </w:pPr>
            <w:r w:rsidRPr="009C48DA">
              <w:rPr>
                <w:rFonts w:eastAsia="Times New Roman"/>
                <w:color w:val="000000"/>
                <w:sz w:val="16"/>
                <w:szCs w:val="16"/>
                <w:lang w:val="en-GB"/>
              </w:rPr>
              <w:t xml:space="preserve">Dormant entity </w:t>
            </w:r>
          </w:p>
        </w:tc>
        <w:tc>
          <w:tcPr>
            <w:tcW w:w="1376" w:type="dxa"/>
          </w:tcPr>
          <w:p w:rsidRPr="009C48DA" w:rsidR="00661519" w:rsidP="00661519" w:rsidRDefault="00661519" w14:paraId="0DC8352D" w14:textId="77777777">
            <w:pPr>
              <w:ind w:right="-12"/>
              <w:jc w:val="center"/>
              <w:textAlignment w:val="baseline"/>
              <w:rPr>
                <w:rFonts w:eastAsia="Times New Roman"/>
                <w:color w:val="000000"/>
                <w:sz w:val="16"/>
                <w:szCs w:val="16"/>
                <w:lang w:val="en-GB"/>
              </w:rPr>
            </w:pPr>
            <w:r w:rsidRPr="009C48DA">
              <w:rPr>
                <w:rFonts w:eastAsia="Times New Roman"/>
                <w:color w:val="000000"/>
                <w:sz w:val="16"/>
                <w:szCs w:val="16"/>
                <w:lang w:val="en-GB"/>
              </w:rPr>
              <w:t>Ordinary shares</w:t>
            </w:r>
          </w:p>
        </w:tc>
        <w:tc>
          <w:tcPr>
            <w:tcW w:w="1275" w:type="dxa"/>
          </w:tcPr>
          <w:p w:rsidRPr="009C48DA" w:rsidR="00661519" w:rsidP="00661519" w:rsidRDefault="00661519" w14:paraId="54ACC794" w14:textId="77777777">
            <w:pPr>
              <w:ind w:right="-12"/>
              <w:jc w:val="center"/>
              <w:textAlignment w:val="baseline"/>
              <w:rPr>
                <w:rFonts w:eastAsia="Times New Roman"/>
                <w:color w:val="000000"/>
                <w:sz w:val="16"/>
                <w:szCs w:val="16"/>
                <w:lang w:val="en-GB"/>
              </w:rPr>
            </w:pPr>
            <w:r w:rsidRPr="009C48DA">
              <w:rPr>
                <w:rFonts w:eastAsia="Times New Roman"/>
                <w:color w:val="000000"/>
                <w:sz w:val="16"/>
                <w:szCs w:val="16"/>
                <w:lang w:val="en-GB"/>
              </w:rPr>
              <w:t>100%</w:t>
            </w:r>
          </w:p>
        </w:tc>
      </w:tr>
      <w:tr w:rsidRPr="009C48DA" w:rsidR="00661519" w:rsidTr="00661519" w14:paraId="68AF5329" w14:textId="77777777">
        <w:trPr>
          <w:jc w:val="center"/>
        </w:trPr>
        <w:tc>
          <w:tcPr>
            <w:tcW w:w="2410" w:type="dxa"/>
          </w:tcPr>
          <w:p w:rsidRPr="009C48DA" w:rsidR="00661519" w:rsidP="00661519" w:rsidRDefault="00661519" w14:paraId="2E104F42" w14:textId="77777777">
            <w:pPr>
              <w:spacing w:after="26" w:line="186" w:lineRule="exact"/>
              <w:textAlignment w:val="baseline"/>
              <w:rPr>
                <w:rFonts w:eastAsia="Times New Roman"/>
                <w:color w:val="000000"/>
                <w:sz w:val="16"/>
                <w:lang w:val="en-GB"/>
              </w:rPr>
            </w:pPr>
            <w:r w:rsidRPr="009C48DA">
              <w:rPr>
                <w:rFonts w:eastAsia="Times New Roman"/>
                <w:color w:val="000000"/>
                <w:sz w:val="16"/>
                <w:lang w:val="en-GB"/>
              </w:rPr>
              <w:t>Bridgepoint Real Estate Advisers Limited</w:t>
            </w:r>
          </w:p>
        </w:tc>
        <w:tc>
          <w:tcPr>
            <w:tcW w:w="709" w:type="dxa"/>
            <w:vAlign w:val="center"/>
          </w:tcPr>
          <w:p w:rsidRPr="009C48DA" w:rsidR="00661519" w:rsidP="00661519" w:rsidRDefault="00661519" w14:paraId="42BD59E3" w14:textId="77777777">
            <w:pPr>
              <w:spacing w:before="92" w:after="118"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752E3B2B" w14:textId="77777777">
            <w:pPr>
              <w:spacing w:before="9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09A0DB6F" w14:textId="77777777">
            <w:pPr>
              <w:spacing w:before="9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7B0ED9B5" w14:textId="77777777">
            <w:pPr>
              <w:spacing w:before="92" w:after="11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03C2F14A" w14:textId="77777777">
            <w:pPr>
              <w:spacing w:before="92" w:after="118"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920524C" w14:textId="77777777">
        <w:trPr>
          <w:jc w:val="center"/>
        </w:trPr>
        <w:tc>
          <w:tcPr>
            <w:tcW w:w="2410" w:type="dxa"/>
          </w:tcPr>
          <w:p w:rsidRPr="009C48DA" w:rsidR="00661519" w:rsidP="00661519" w:rsidRDefault="00661519" w14:paraId="29163D56" w14:textId="77777777">
            <w:pPr>
              <w:spacing w:after="3" w:line="177" w:lineRule="exact"/>
              <w:textAlignment w:val="baseline"/>
              <w:rPr>
                <w:rFonts w:eastAsia="Times New Roman"/>
                <w:color w:val="000000"/>
                <w:sz w:val="16"/>
                <w:lang w:val="en-GB"/>
              </w:rPr>
            </w:pPr>
            <w:r w:rsidRPr="009C48DA">
              <w:rPr>
                <w:rFonts w:eastAsia="Times New Roman"/>
                <w:color w:val="000000"/>
                <w:sz w:val="16"/>
                <w:lang w:val="en-GB"/>
              </w:rPr>
              <w:t>Bridgepoint Real Estate Development Limited</w:t>
            </w:r>
          </w:p>
        </w:tc>
        <w:tc>
          <w:tcPr>
            <w:tcW w:w="709" w:type="dxa"/>
            <w:vAlign w:val="center"/>
          </w:tcPr>
          <w:p w:rsidRPr="009C48DA" w:rsidR="00661519" w:rsidP="00661519" w:rsidRDefault="00661519" w14:paraId="553BE63B" w14:textId="77777777">
            <w:pPr>
              <w:spacing w:before="97" w:after="94"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75FC450A" w14:textId="77777777">
            <w:pPr>
              <w:spacing w:before="97" w:after="94"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69F18824" w14:textId="77777777">
            <w:pPr>
              <w:spacing w:before="97" w:after="94"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7200C27D" w14:textId="77777777">
            <w:pPr>
              <w:spacing w:before="97" w:after="94"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22322774" w14:textId="77777777">
            <w:pPr>
              <w:spacing w:before="97" w:after="94"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DC62C1C" w14:textId="77777777">
        <w:trPr>
          <w:jc w:val="center"/>
        </w:trPr>
        <w:tc>
          <w:tcPr>
            <w:tcW w:w="2410" w:type="dxa"/>
            <w:vAlign w:val="center"/>
          </w:tcPr>
          <w:p w:rsidRPr="009C48DA" w:rsidR="00661519" w:rsidP="00661519" w:rsidRDefault="00661519" w14:paraId="6802208C" w14:textId="77777777">
            <w:pPr>
              <w:spacing w:before="35" w:line="185" w:lineRule="exact"/>
              <w:textAlignment w:val="baseline"/>
              <w:rPr>
                <w:rFonts w:eastAsia="Times New Roman"/>
                <w:color w:val="000000"/>
                <w:sz w:val="16"/>
                <w:lang w:val="en-GB"/>
              </w:rPr>
            </w:pPr>
            <w:r w:rsidRPr="009C48DA">
              <w:rPr>
                <w:rFonts w:eastAsia="Times New Roman"/>
                <w:color w:val="000000"/>
                <w:sz w:val="16"/>
                <w:lang w:val="en-GB"/>
              </w:rPr>
              <w:t>Bridgepoint Real Estate Limited</w:t>
            </w:r>
          </w:p>
        </w:tc>
        <w:tc>
          <w:tcPr>
            <w:tcW w:w="709" w:type="dxa"/>
            <w:vAlign w:val="center"/>
          </w:tcPr>
          <w:p w:rsidRPr="009C48DA" w:rsidR="00661519" w:rsidP="00661519" w:rsidRDefault="00661519" w14:paraId="34A78D47" w14:textId="77777777">
            <w:pPr>
              <w:spacing w:before="35" w:line="185"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1AE39E48" w14:textId="77777777">
            <w:pPr>
              <w:spacing w:before="35" w:line="185"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293C008E" w14:textId="77777777">
            <w:pPr>
              <w:spacing w:before="35" w:line="185"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7DEE1D9A" w14:textId="77777777">
            <w:pPr>
              <w:spacing w:before="35" w:line="185"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32F28ADE" w14:textId="77777777">
            <w:pPr>
              <w:spacing w:before="35" w:line="185"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BF24F93" w14:textId="77777777">
        <w:trPr>
          <w:jc w:val="center"/>
        </w:trPr>
        <w:tc>
          <w:tcPr>
            <w:tcW w:w="2410" w:type="dxa"/>
            <w:vAlign w:val="center"/>
          </w:tcPr>
          <w:p w:rsidRPr="009C48DA" w:rsidR="00661519" w:rsidP="00661519" w:rsidRDefault="00661519" w14:paraId="5696F042" w14:textId="77777777">
            <w:pPr>
              <w:spacing w:before="35" w:after="7" w:line="188" w:lineRule="exact"/>
              <w:textAlignment w:val="baseline"/>
              <w:rPr>
                <w:rFonts w:eastAsia="Times New Roman"/>
                <w:color w:val="000000"/>
                <w:sz w:val="16"/>
                <w:lang w:val="en-GB"/>
              </w:rPr>
            </w:pPr>
            <w:r w:rsidRPr="009C48DA">
              <w:rPr>
                <w:rFonts w:eastAsia="Times New Roman"/>
                <w:color w:val="000000"/>
                <w:sz w:val="16"/>
                <w:lang w:val="en-GB"/>
              </w:rPr>
              <w:t>Bridgepoint Real Limited</w:t>
            </w:r>
          </w:p>
        </w:tc>
        <w:tc>
          <w:tcPr>
            <w:tcW w:w="709" w:type="dxa"/>
            <w:vAlign w:val="center"/>
          </w:tcPr>
          <w:p w:rsidRPr="009C48DA" w:rsidR="00661519" w:rsidP="00661519" w:rsidRDefault="00661519" w14:paraId="778BF5C1" w14:textId="77777777">
            <w:pPr>
              <w:spacing w:before="35" w:after="7"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4F5FEEE3"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2E5C6B62"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2A905E2D"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7F79BA70" w14:textId="77777777">
            <w:pPr>
              <w:spacing w:before="35" w:after="7"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70541A0" w14:textId="77777777">
        <w:trPr>
          <w:jc w:val="center"/>
        </w:trPr>
        <w:tc>
          <w:tcPr>
            <w:tcW w:w="2410" w:type="dxa"/>
            <w:vAlign w:val="center"/>
          </w:tcPr>
          <w:p w:rsidRPr="009C48DA" w:rsidR="00661519" w:rsidP="00661519" w:rsidRDefault="00661519" w14:paraId="19E3A208" w14:textId="77777777">
            <w:pPr>
              <w:spacing w:before="35" w:after="3" w:line="188" w:lineRule="exact"/>
              <w:textAlignment w:val="baseline"/>
              <w:rPr>
                <w:rFonts w:eastAsia="Times New Roman"/>
                <w:color w:val="000000"/>
                <w:sz w:val="16"/>
                <w:lang w:val="en-GB"/>
              </w:rPr>
            </w:pPr>
            <w:r w:rsidRPr="009C48DA">
              <w:rPr>
                <w:rFonts w:eastAsia="Times New Roman"/>
                <w:color w:val="000000"/>
                <w:sz w:val="16"/>
                <w:lang w:val="en-GB"/>
              </w:rPr>
              <w:t>Bridgepoint SA</w:t>
            </w:r>
          </w:p>
        </w:tc>
        <w:tc>
          <w:tcPr>
            <w:tcW w:w="709" w:type="dxa"/>
            <w:vAlign w:val="center"/>
          </w:tcPr>
          <w:p w:rsidRPr="009C48DA" w:rsidR="00661519" w:rsidP="00661519" w:rsidRDefault="00661519" w14:paraId="4CCBC879" w14:textId="77777777">
            <w:pPr>
              <w:spacing w:before="35" w:after="3"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11</w:t>
            </w:r>
          </w:p>
        </w:tc>
        <w:tc>
          <w:tcPr>
            <w:tcW w:w="1417" w:type="dxa"/>
            <w:vAlign w:val="center"/>
          </w:tcPr>
          <w:p w:rsidRPr="009C48DA" w:rsidR="00661519" w:rsidP="00661519" w:rsidRDefault="00661519" w14:paraId="40D6B34E"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Spain</w:t>
            </w:r>
          </w:p>
        </w:tc>
        <w:tc>
          <w:tcPr>
            <w:tcW w:w="2310" w:type="dxa"/>
            <w:vAlign w:val="center"/>
          </w:tcPr>
          <w:p w:rsidRPr="009C48DA" w:rsidR="00661519" w:rsidP="00661519" w:rsidRDefault="00661519" w14:paraId="07A9A004"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Private equity advisory company</w:t>
            </w:r>
          </w:p>
        </w:tc>
        <w:tc>
          <w:tcPr>
            <w:tcW w:w="1376" w:type="dxa"/>
            <w:vAlign w:val="center"/>
          </w:tcPr>
          <w:p w:rsidRPr="009C48DA" w:rsidR="00661519" w:rsidP="00661519" w:rsidRDefault="00661519" w14:paraId="116C636B"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062EA890" w14:textId="77777777">
            <w:pPr>
              <w:spacing w:before="35" w:after="3"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56C6483" w14:textId="77777777">
        <w:trPr>
          <w:jc w:val="center"/>
        </w:trPr>
        <w:tc>
          <w:tcPr>
            <w:tcW w:w="2410" w:type="dxa"/>
            <w:vAlign w:val="center"/>
          </w:tcPr>
          <w:p w:rsidRPr="009C48DA" w:rsidR="00661519" w:rsidP="00661519" w:rsidRDefault="00661519" w14:paraId="2FB38280" w14:textId="77777777">
            <w:pPr>
              <w:spacing w:before="35" w:line="186" w:lineRule="exact"/>
              <w:textAlignment w:val="baseline"/>
              <w:rPr>
                <w:rFonts w:eastAsia="Times New Roman"/>
                <w:color w:val="000000"/>
                <w:sz w:val="16"/>
                <w:lang w:val="en-GB"/>
              </w:rPr>
            </w:pPr>
            <w:r w:rsidRPr="009C48DA">
              <w:rPr>
                <w:rFonts w:eastAsia="Times New Roman"/>
                <w:color w:val="000000"/>
                <w:sz w:val="16"/>
                <w:lang w:val="en-GB"/>
              </w:rPr>
              <w:t>Bridgepoint Services Sàrl</w:t>
            </w:r>
          </w:p>
        </w:tc>
        <w:tc>
          <w:tcPr>
            <w:tcW w:w="709" w:type="dxa"/>
            <w:vAlign w:val="center"/>
          </w:tcPr>
          <w:p w:rsidRPr="009C48DA" w:rsidR="00661519" w:rsidP="00661519" w:rsidRDefault="00661519" w14:paraId="14A22725" w14:textId="77777777">
            <w:pPr>
              <w:spacing w:before="35" w:line="186" w:lineRule="exact"/>
              <w:ind w:right="105"/>
              <w:jc w:val="right"/>
              <w:textAlignment w:val="baseline"/>
              <w:rPr>
                <w:rFonts w:eastAsia="Times New Roman"/>
                <w:color w:val="000000"/>
                <w:sz w:val="16"/>
                <w:lang w:val="en-GB"/>
              </w:rPr>
            </w:pPr>
            <w:r w:rsidRPr="009C48DA">
              <w:rPr>
                <w:rFonts w:eastAsia="Times New Roman"/>
                <w:color w:val="000000"/>
                <w:sz w:val="16"/>
                <w:lang w:val="en-GB"/>
              </w:rPr>
              <w:t>3</w:t>
            </w:r>
          </w:p>
        </w:tc>
        <w:tc>
          <w:tcPr>
            <w:tcW w:w="1417" w:type="dxa"/>
            <w:vAlign w:val="center"/>
          </w:tcPr>
          <w:p w:rsidRPr="009C48DA" w:rsidR="00661519" w:rsidP="00661519" w:rsidRDefault="00661519" w14:paraId="2BC46439"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310" w:type="dxa"/>
            <w:vAlign w:val="center"/>
          </w:tcPr>
          <w:p w:rsidRPr="009C48DA" w:rsidR="00661519" w:rsidP="00661519" w:rsidRDefault="00661519" w14:paraId="2845B7E0"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Private equity advisory company</w:t>
            </w:r>
          </w:p>
        </w:tc>
        <w:tc>
          <w:tcPr>
            <w:tcW w:w="1376" w:type="dxa"/>
            <w:vAlign w:val="center"/>
          </w:tcPr>
          <w:p w:rsidRPr="009C48DA" w:rsidR="00661519" w:rsidP="00661519" w:rsidRDefault="00661519" w14:paraId="15ABC5B3"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79CC15C7" w14:textId="77777777">
            <w:pPr>
              <w:spacing w:before="35" w:line="186"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0CF7F5B" w14:textId="77777777">
        <w:trPr>
          <w:jc w:val="center"/>
        </w:trPr>
        <w:tc>
          <w:tcPr>
            <w:tcW w:w="2410" w:type="dxa"/>
            <w:vAlign w:val="center"/>
          </w:tcPr>
          <w:p w:rsidRPr="009C48DA" w:rsidR="00661519" w:rsidP="00661519" w:rsidRDefault="00661519" w14:paraId="4A58BAC0" w14:textId="77777777">
            <w:pPr>
              <w:spacing w:before="35" w:after="8" w:line="188" w:lineRule="exact"/>
              <w:textAlignment w:val="baseline"/>
              <w:rPr>
                <w:rFonts w:eastAsia="Times New Roman"/>
                <w:color w:val="000000"/>
                <w:sz w:val="16"/>
                <w:lang w:val="en-GB"/>
              </w:rPr>
            </w:pPr>
            <w:r w:rsidRPr="009C48DA">
              <w:rPr>
                <w:rFonts w:eastAsia="Times New Roman"/>
                <w:color w:val="000000"/>
                <w:sz w:val="16"/>
                <w:lang w:val="en-GB"/>
              </w:rPr>
              <w:t>Bridgepoint Sp Zoo</w:t>
            </w:r>
          </w:p>
        </w:tc>
        <w:tc>
          <w:tcPr>
            <w:tcW w:w="709" w:type="dxa"/>
            <w:vAlign w:val="center"/>
          </w:tcPr>
          <w:p w:rsidRPr="009C48DA" w:rsidR="00661519" w:rsidP="00661519" w:rsidRDefault="00661519" w14:paraId="49012454" w14:textId="77777777">
            <w:pPr>
              <w:spacing w:before="35" w:after="8"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12</w:t>
            </w:r>
          </w:p>
        </w:tc>
        <w:tc>
          <w:tcPr>
            <w:tcW w:w="1417" w:type="dxa"/>
            <w:vAlign w:val="center"/>
          </w:tcPr>
          <w:p w:rsidRPr="009C48DA" w:rsidR="00661519" w:rsidP="00661519" w:rsidRDefault="00661519" w14:paraId="4BDB766B" w14:textId="77777777">
            <w:pPr>
              <w:spacing w:before="35" w:after="8" w:line="188" w:lineRule="exact"/>
              <w:jc w:val="center"/>
              <w:textAlignment w:val="baseline"/>
              <w:rPr>
                <w:rFonts w:eastAsia="Times New Roman"/>
                <w:color w:val="000000"/>
                <w:sz w:val="16"/>
                <w:lang w:val="en-GB"/>
              </w:rPr>
            </w:pPr>
            <w:r w:rsidRPr="009C48DA">
              <w:rPr>
                <w:rFonts w:eastAsia="Times New Roman"/>
                <w:color w:val="000000"/>
                <w:sz w:val="16"/>
                <w:lang w:val="en-GB"/>
              </w:rPr>
              <w:t>Poland</w:t>
            </w:r>
          </w:p>
        </w:tc>
        <w:tc>
          <w:tcPr>
            <w:tcW w:w="2310" w:type="dxa"/>
            <w:vAlign w:val="center"/>
          </w:tcPr>
          <w:p w:rsidRPr="009C48DA" w:rsidR="00661519" w:rsidP="00661519" w:rsidRDefault="00661519" w14:paraId="3D5AC0C9" w14:textId="77777777">
            <w:pPr>
              <w:spacing w:before="35" w:after="8" w:line="188" w:lineRule="exact"/>
              <w:jc w:val="center"/>
              <w:textAlignment w:val="baseline"/>
              <w:rPr>
                <w:rFonts w:eastAsia="Times New Roman"/>
                <w:color w:val="000000"/>
                <w:sz w:val="16"/>
                <w:lang w:val="en-GB"/>
              </w:rPr>
            </w:pPr>
            <w:r w:rsidRPr="009C48DA">
              <w:rPr>
                <w:rFonts w:eastAsia="Times New Roman"/>
                <w:color w:val="000000"/>
                <w:sz w:val="16"/>
                <w:lang w:val="en-GB"/>
              </w:rPr>
              <w:t>Private equity advisory company</w:t>
            </w:r>
          </w:p>
        </w:tc>
        <w:tc>
          <w:tcPr>
            <w:tcW w:w="1376" w:type="dxa"/>
            <w:vAlign w:val="center"/>
          </w:tcPr>
          <w:p w:rsidRPr="009C48DA" w:rsidR="00661519" w:rsidP="00661519" w:rsidRDefault="00661519" w14:paraId="5DA2B7A9" w14:textId="77777777">
            <w:pPr>
              <w:spacing w:before="35" w:after="8"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466CA3AA" w14:textId="77777777">
            <w:pPr>
              <w:spacing w:before="35" w:after="8"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90C707D" w14:textId="77777777">
        <w:trPr>
          <w:jc w:val="center"/>
        </w:trPr>
        <w:tc>
          <w:tcPr>
            <w:tcW w:w="2410" w:type="dxa"/>
            <w:vAlign w:val="center"/>
          </w:tcPr>
          <w:p w:rsidRPr="009C48DA" w:rsidR="00661519" w:rsidP="00661519" w:rsidRDefault="00661519" w14:paraId="4355B4A7" w14:textId="77777777">
            <w:pPr>
              <w:spacing w:after="22" w:line="188" w:lineRule="exact"/>
              <w:textAlignment w:val="baseline"/>
              <w:rPr>
                <w:rFonts w:eastAsia="Times New Roman"/>
                <w:color w:val="000000"/>
                <w:sz w:val="16"/>
                <w:lang w:val="en-GB"/>
              </w:rPr>
            </w:pPr>
            <w:r w:rsidRPr="009C48DA">
              <w:rPr>
                <w:rFonts w:eastAsia="Times New Roman"/>
                <w:color w:val="000000"/>
                <w:sz w:val="16"/>
                <w:lang w:val="en-GB"/>
              </w:rPr>
              <w:t>Bridgepoint Sp Zoo sp.k</w:t>
            </w:r>
          </w:p>
        </w:tc>
        <w:tc>
          <w:tcPr>
            <w:tcW w:w="709" w:type="dxa"/>
            <w:vAlign w:val="center"/>
          </w:tcPr>
          <w:p w:rsidRPr="009C48DA" w:rsidR="00661519" w:rsidP="00661519" w:rsidRDefault="00661519" w14:paraId="4A004867" w14:textId="77777777">
            <w:pPr>
              <w:spacing w:after="22"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12</w:t>
            </w:r>
          </w:p>
        </w:tc>
        <w:tc>
          <w:tcPr>
            <w:tcW w:w="1417" w:type="dxa"/>
            <w:vAlign w:val="center"/>
          </w:tcPr>
          <w:p w:rsidRPr="009C48DA" w:rsidR="00661519" w:rsidP="00661519" w:rsidRDefault="00661519" w14:paraId="07E67A2D" w14:textId="77777777">
            <w:pPr>
              <w:spacing w:after="22" w:line="188" w:lineRule="exact"/>
              <w:jc w:val="center"/>
              <w:textAlignment w:val="baseline"/>
              <w:rPr>
                <w:rFonts w:eastAsia="Times New Roman"/>
                <w:color w:val="000000"/>
                <w:sz w:val="16"/>
                <w:lang w:val="en-GB"/>
              </w:rPr>
            </w:pPr>
            <w:r w:rsidRPr="009C48DA">
              <w:rPr>
                <w:rFonts w:eastAsia="Times New Roman"/>
                <w:color w:val="000000"/>
                <w:sz w:val="16"/>
                <w:lang w:val="en-GB"/>
              </w:rPr>
              <w:t>Poland</w:t>
            </w:r>
          </w:p>
        </w:tc>
        <w:tc>
          <w:tcPr>
            <w:tcW w:w="2310" w:type="dxa"/>
            <w:vAlign w:val="center"/>
          </w:tcPr>
          <w:p w:rsidRPr="009C48DA" w:rsidR="00661519" w:rsidP="00661519" w:rsidRDefault="00661519" w14:paraId="2FE9D343" w14:textId="77777777">
            <w:pPr>
              <w:spacing w:after="22" w:line="188" w:lineRule="exact"/>
              <w:jc w:val="center"/>
              <w:textAlignment w:val="baseline"/>
              <w:rPr>
                <w:rFonts w:eastAsia="Times New Roman"/>
                <w:color w:val="000000"/>
                <w:sz w:val="16"/>
                <w:lang w:val="en-GB"/>
              </w:rPr>
            </w:pPr>
            <w:r w:rsidRPr="009C48DA">
              <w:rPr>
                <w:rFonts w:eastAsia="Times New Roman"/>
                <w:color w:val="000000"/>
                <w:sz w:val="16"/>
                <w:lang w:val="en-GB"/>
              </w:rPr>
              <w:t>Private equity advisory company</w:t>
            </w:r>
          </w:p>
        </w:tc>
        <w:tc>
          <w:tcPr>
            <w:tcW w:w="1376" w:type="dxa"/>
            <w:vAlign w:val="center"/>
          </w:tcPr>
          <w:p w:rsidRPr="009C48DA" w:rsidR="00661519" w:rsidP="00661519" w:rsidRDefault="00661519" w14:paraId="385A6CAF" w14:textId="77777777">
            <w:pPr>
              <w:spacing w:after="22"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75" w:type="dxa"/>
            <w:vAlign w:val="center"/>
          </w:tcPr>
          <w:p w:rsidRPr="009C48DA" w:rsidR="00661519" w:rsidP="00661519" w:rsidRDefault="00661519" w14:paraId="00084A06" w14:textId="77777777">
            <w:pPr>
              <w:spacing w:after="22"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06B5F57E" w14:textId="77777777">
        <w:trPr>
          <w:jc w:val="center"/>
        </w:trPr>
        <w:tc>
          <w:tcPr>
            <w:tcW w:w="2410" w:type="dxa"/>
          </w:tcPr>
          <w:p w:rsidRPr="009C48DA" w:rsidR="00661519" w:rsidP="00661519" w:rsidRDefault="00661519" w14:paraId="4D4460F9" w14:textId="77777777">
            <w:pPr>
              <w:spacing w:after="8" w:line="182" w:lineRule="exact"/>
              <w:textAlignment w:val="baseline"/>
              <w:rPr>
                <w:rFonts w:eastAsia="Times New Roman"/>
                <w:color w:val="000000"/>
                <w:sz w:val="16"/>
                <w:lang w:val="en-GB"/>
              </w:rPr>
            </w:pPr>
            <w:r w:rsidRPr="009C48DA">
              <w:rPr>
                <w:rFonts w:eastAsia="Times New Roman"/>
                <w:color w:val="000000"/>
                <w:sz w:val="16"/>
                <w:lang w:val="en-GB"/>
              </w:rPr>
              <w:t>Bridgepoint Structured Credit Limited</w:t>
            </w:r>
          </w:p>
        </w:tc>
        <w:tc>
          <w:tcPr>
            <w:tcW w:w="709" w:type="dxa"/>
            <w:vAlign w:val="center"/>
          </w:tcPr>
          <w:p w:rsidRPr="009C48DA" w:rsidR="00661519" w:rsidP="00661519" w:rsidRDefault="00661519" w14:paraId="534917B5" w14:textId="77777777">
            <w:pPr>
              <w:spacing w:before="102" w:after="99"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361F6022" w14:textId="77777777">
            <w:pPr>
              <w:spacing w:before="102" w:after="99"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6CB7C8F9" w14:textId="77777777">
            <w:pPr>
              <w:spacing w:before="102" w:after="99"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61A5E361" w14:textId="77777777">
            <w:pPr>
              <w:spacing w:before="102" w:after="99"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3410E1DF" w14:textId="77777777">
            <w:pPr>
              <w:spacing w:before="102" w:after="99"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75625FB" w14:textId="77777777">
        <w:trPr>
          <w:jc w:val="center"/>
        </w:trPr>
        <w:tc>
          <w:tcPr>
            <w:tcW w:w="2410" w:type="dxa"/>
            <w:vAlign w:val="center"/>
          </w:tcPr>
          <w:p w:rsidRPr="009C48DA" w:rsidR="00661519" w:rsidP="00661519" w:rsidRDefault="00661519" w14:paraId="0D978F36" w14:textId="77777777">
            <w:pPr>
              <w:spacing w:before="35" w:after="2" w:line="188" w:lineRule="exact"/>
              <w:textAlignment w:val="baseline"/>
              <w:rPr>
                <w:rFonts w:eastAsia="Times New Roman"/>
                <w:color w:val="000000"/>
                <w:sz w:val="16"/>
                <w:lang w:val="en-GB"/>
              </w:rPr>
            </w:pPr>
            <w:r w:rsidRPr="009C48DA">
              <w:rPr>
                <w:rFonts w:eastAsia="Times New Roman"/>
                <w:color w:val="000000"/>
                <w:sz w:val="16"/>
                <w:lang w:val="en-GB"/>
              </w:rPr>
              <w:t>Bridgepoint Team Paris S.à r.l.</w:t>
            </w:r>
          </w:p>
        </w:tc>
        <w:tc>
          <w:tcPr>
            <w:tcW w:w="709" w:type="dxa"/>
            <w:vAlign w:val="center"/>
          </w:tcPr>
          <w:p w:rsidRPr="009C48DA" w:rsidR="00661519" w:rsidP="00661519" w:rsidRDefault="00661519" w14:paraId="0A5DB315" w14:textId="77777777">
            <w:pPr>
              <w:spacing w:before="35" w:after="2"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14</w:t>
            </w:r>
          </w:p>
        </w:tc>
        <w:tc>
          <w:tcPr>
            <w:tcW w:w="1417" w:type="dxa"/>
            <w:vAlign w:val="center"/>
          </w:tcPr>
          <w:p w:rsidRPr="009C48DA" w:rsidR="00661519" w:rsidP="00661519" w:rsidRDefault="00661519" w14:paraId="47ABE367"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Luxembourg</w:t>
            </w:r>
          </w:p>
        </w:tc>
        <w:tc>
          <w:tcPr>
            <w:tcW w:w="2310" w:type="dxa"/>
            <w:vAlign w:val="center"/>
          </w:tcPr>
          <w:p w:rsidRPr="009C48DA" w:rsidR="00661519" w:rsidP="00661519" w:rsidRDefault="00661519" w14:paraId="283FB7CB"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2F7AA443" w14:textId="77777777">
            <w:pPr>
              <w:spacing w:before="35" w:after="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0EFC7D0D" w14:textId="77777777">
            <w:pPr>
              <w:spacing w:before="35" w:after="2"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9CD8236" w14:textId="77777777">
        <w:trPr>
          <w:jc w:val="center"/>
        </w:trPr>
        <w:tc>
          <w:tcPr>
            <w:tcW w:w="2410" w:type="dxa"/>
            <w:vAlign w:val="center"/>
          </w:tcPr>
          <w:p w:rsidRPr="009C48DA" w:rsidR="00661519" w:rsidP="00661519" w:rsidRDefault="00661519" w14:paraId="0EFBC1E3" w14:textId="77777777">
            <w:pPr>
              <w:spacing w:before="35" w:line="186" w:lineRule="exact"/>
              <w:textAlignment w:val="baseline"/>
              <w:rPr>
                <w:rFonts w:eastAsia="Times New Roman"/>
                <w:color w:val="000000"/>
                <w:sz w:val="16"/>
                <w:lang w:val="en-GB"/>
              </w:rPr>
            </w:pPr>
            <w:r w:rsidRPr="009C48DA">
              <w:rPr>
                <w:rFonts w:eastAsia="Times New Roman"/>
                <w:color w:val="000000"/>
                <w:sz w:val="16"/>
                <w:lang w:val="en-GB"/>
              </w:rPr>
              <w:t>Bridgepoint US Holdco Limited</w:t>
            </w:r>
          </w:p>
        </w:tc>
        <w:tc>
          <w:tcPr>
            <w:tcW w:w="709" w:type="dxa"/>
            <w:vAlign w:val="center"/>
          </w:tcPr>
          <w:p w:rsidRPr="009C48DA" w:rsidR="00661519" w:rsidP="00661519" w:rsidRDefault="00661519" w14:paraId="6B49E1AD" w14:textId="77777777">
            <w:pPr>
              <w:spacing w:before="35" w:line="186"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0C639D3E"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6493FC82"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1C4AEEC8"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01B7232F" w14:textId="77777777">
            <w:pPr>
              <w:spacing w:before="35" w:line="186"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A9278FF" w14:textId="77777777">
        <w:trPr>
          <w:jc w:val="center"/>
        </w:trPr>
        <w:tc>
          <w:tcPr>
            <w:tcW w:w="2410" w:type="dxa"/>
            <w:vAlign w:val="center"/>
          </w:tcPr>
          <w:p w:rsidRPr="009C48DA" w:rsidR="00661519" w:rsidP="00661519" w:rsidRDefault="00661519" w14:paraId="0C093E0B" w14:textId="77777777">
            <w:pPr>
              <w:spacing w:before="35" w:after="7" w:line="188" w:lineRule="exact"/>
              <w:textAlignment w:val="baseline"/>
              <w:rPr>
                <w:rFonts w:eastAsia="Times New Roman"/>
                <w:color w:val="000000"/>
                <w:sz w:val="16"/>
                <w:lang w:val="en-GB"/>
              </w:rPr>
            </w:pPr>
            <w:r w:rsidRPr="009C48DA">
              <w:rPr>
                <w:rFonts w:eastAsia="Times New Roman"/>
                <w:color w:val="000000"/>
                <w:sz w:val="16"/>
                <w:lang w:val="en-GB"/>
              </w:rPr>
              <w:t>Bridgepoint Ventures Limited</w:t>
            </w:r>
          </w:p>
        </w:tc>
        <w:tc>
          <w:tcPr>
            <w:tcW w:w="709" w:type="dxa"/>
            <w:vAlign w:val="center"/>
          </w:tcPr>
          <w:p w:rsidRPr="009C48DA" w:rsidR="00661519" w:rsidP="00661519" w:rsidRDefault="00661519" w14:paraId="599DF01B" w14:textId="77777777">
            <w:pPr>
              <w:spacing w:before="35" w:after="7"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1B1119EC"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7A1C2B9A"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25C1ADFB"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123C338E" w14:textId="77777777">
            <w:pPr>
              <w:spacing w:before="35" w:after="7"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63D9DCD7" w14:textId="77777777">
        <w:trPr>
          <w:jc w:val="center"/>
        </w:trPr>
        <w:tc>
          <w:tcPr>
            <w:tcW w:w="2410" w:type="dxa"/>
            <w:vAlign w:val="bottom"/>
          </w:tcPr>
          <w:p w:rsidRPr="009C48DA" w:rsidR="00661519" w:rsidP="00661519" w:rsidRDefault="00661519" w14:paraId="5038A122" w14:textId="77777777">
            <w:pPr>
              <w:spacing w:before="213" w:after="12" w:line="188" w:lineRule="exact"/>
              <w:textAlignment w:val="baseline"/>
              <w:rPr>
                <w:rFonts w:eastAsia="Times New Roman"/>
                <w:color w:val="000000"/>
                <w:sz w:val="16"/>
                <w:lang w:val="en-GB"/>
              </w:rPr>
            </w:pPr>
            <w:r w:rsidRPr="009C48DA">
              <w:rPr>
                <w:rFonts w:eastAsia="Times New Roman"/>
                <w:color w:val="000000"/>
                <w:sz w:val="16"/>
                <w:lang w:val="en-GB"/>
              </w:rPr>
              <w:t>Bridgepoint, LLC</w:t>
            </w:r>
          </w:p>
        </w:tc>
        <w:tc>
          <w:tcPr>
            <w:tcW w:w="709" w:type="dxa"/>
            <w:vAlign w:val="center"/>
          </w:tcPr>
          <w:p w:rsidRPr="009C48DA" w:rsidR="00661519" w:rsidP="00661519" w:rsidRDefault="00661519" w14:paraId="278A6EAB" w14:textId="77777777">
            <w:pPr>
              <w:spacing w:before="122" w:after="103"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15</w:t>
            </w:r>
          </w:p>
        </w:tc>
        <w:tc>
          <w:tcPr>
            <w:tcW w:w="1417" w:type="dxa"/>
          </w:tcPr>
          <w:p w:rsidRPr="009C48DA" w:rsidR="00661519" w:rsidP="00661519" w:rsidRDefault="00661519" w14:paraId="04C45D62" w14:textId="77777777">
            <w:pPr>
              <w:spacing w:line="185" w:lineRule="exact"/>
              <w:jc w:val="center"/>
              <w:textAlignment w:val="baseline"/>
              <w:rPr>
                <w:rFonts w:eastAsia="Times New Roman"/>
                <w:color w:val="000000"/>
                <w:sz w:val="16"/>
                <w:lang w:val="en-GB"/>
              </w:rPr>
            </w:pPr>
            <w:r w:rsidRPr="009C48DA">
              <w:rPr>
                <w:rFonts w:eastAsia="Times New Roman"/>
                <w:color w:val="000000"/>
                <w:sz w:val="16"/>
                <w:lang w:val="en-GB"/>
              </w:rPr>
              <w:t>United States of</w:t>
            </w:r>
          </w:p>
          <w:p w:rsidRPr="009C48DA" w:rsidR="00661519" w:rsidP="00661519" w:rsidRDefault="00661519" w14:paraId="7C3F221C" w14:textId="77777777">
            <w:pPr>
              <w:spacing w:after="12" w:line="186" w:lineRule="exact"/>
              <w:jc w:val="center"/>
              <w:textAlignment w:val="baseline"/>
              <w:rPr>
                <w:rFonts w:eastAsia="Times New Roman"/>
                <w:color w:val="000000"/>
                <w:sz w:val="16"/>
                <w:lang w:val="en-GB"/>
              </w:rPr>
            </w:pPr>
            <w:r w:rsidRPr="009C48DA">
              <w:rPr>
                <w:rFonts w:eastAsia="Times New Roman"/>
                <w:color w:val="000000"/>
                <w:sz w:val="16"/>
                <w:lang w:val="en-GB"/>
              </w:rPr>
              <w:t>America</w:t>
            </w:r>
          </w:p>
        </w:tc>
        <w:tc>
          <w:tcPr>
            <w:tcW w:w="2310" w:type="dxa"/>
            <w:vAlign w:val="center"/>
          </w:tcPr>
          <w:p w:rsidRPr="009C48DA" w:rsidR="00661519" w:rsidP="00661519" w:rsidRDefault="00661519" w14:paraId="1D0C7E24" w14:textId="77777777">
            <w:pPr>
              <w:spacing w:before="122" w:after="103" w:line="188" w:lineRule="exact"/>
              <w:jc w:val="center"/>
              <w:textAlignment w:val="baseline"/>
              <w:rPr>
                <w:rFonts w:eastAsia="Times New Roman"/>
                <w:color w:val="000000"/>
                <w:sz w:val="16"/>
                <w:lang w:val="en-GB"/>
              </w:rPr>
            </w:pPr>
            <w:r w:rsidRPr="009C48DA">
              <w:rPr>
                <w:rFonts w:eastAsia="Times New Roman"/>
                <w:color w:val="000000"/>
                <w:sz w:val="16"/>
                <w:lang w:val="en-GB"/>
              </w:rPr>
              <w:t>Private equity advisory company</w:t>
            </w:r>
          </w:p>
        </w:tc>
        <w:tc>
          <w:tcPr>
            <w:tcW w:w="1376" w:type="dxa"/>
            <w:vAlign w:val="center"/>
          </w:tcPr>
          <w:p w:rsidRPr="009C48DA" w:rsidR="00661519" w:rsidP="00661519" w:rsidRDefault="00661519" w14:paraId="034FE933" w14:textId="77777777">
            <w:pPr>
              <w:spacing w:before="122" w:after="10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2BB1ECE5" w14:textId="77777777">
            <w:pPr>
              <w:spacing w:before="122" w:after="103"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EAA2AF0" w14:textId="77777777">
        <w:trPr>
          <w:jc w:val="center"/>
        </w:trPr>
        <w:tc>
          <w:tcPr>
            <w:tcW w:w="2410" w:type="dxa"/>
            <w:vAlign w:val="center"/>
          </w:tcPr>
          <w:p w:rsidRPr="009C48DA" w:rsidR="00661519" w:rsidP="00661519" w:rsidRDefault="00661519" w14:paraId="37FA182C" w14:textId="77777777">
            <w:pPr>
              <w:spacing w:after="7" w:line="188" w:lineRule="exact"/>
              <w:textAlignment w:val="baseline"/>
              <w:rPr>
                <w:rFonts w:eastAsia="Times New Roman"/>
                <w:color w:val="000000"/>
                <w:sz w:val="16"/>
                <w:lang w:val="en-GB"/>
              </w:rPr>
            </w:pPr>
            <w:r w:rsidRPr="009C48DA">
              <w:rPr>
                <w:rFonts w:eastAsia="Times New Roman"/>
                <w:color w:val="000000"/>
                <w:sz w:val="16"/>
                <w:lang w:val="en-GB"/>
              </w:rPr>
              <w:t>George Town (Nominees) Limited</w:t>
            </w:r>
          </w:p>
        </w:tc>
        <w:tc>
          <w:tcPr>
            <w:tcW w:w="709" w:type="dxa"/>
            <w:vAlign w:val="center"/>
          </w:tcPr>
          <w:p w:rsidRPr="009C48DA" w:rsidR="00661519" w:rsidP="00661519" w:rsidRDefault="00661519" w14:paraId="107E1153" w14:textId="77777777">
            <w:pPr>
              <w:spacing w:after="7"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4F6B5F9D" w14:textId="77777777">
            <w:pPr>
              <w:spacing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653FE84B" w14:textId="77777777">
            <w:pPr>
              <w:spacing w:after="7"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5FBF726A" w14:textId="77777777">
            <w:pPr>
              <w:spacing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4E953F4C" w14:textId="77777777">
            <w:pPr>
              <w:spacing w:after="7"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8E80CA6" w14:textId="77777777">
        <w:trPr>
          <w:jc w:val="center"/>
        </w:trPr>
        <w:tc>
          <w:tcPr>
            <w:tcW w:w="2410" w:type="dxa"/>
            <w:vAlign w:val="center"/>
          </w:tcPr>
          <w:p w:rsidRPr="009C48DA" w:rsidR="00661519" w:rsidP="00661519" w:rsidRDefault="00661519" w14:paraId="713E1B57" w14:textId="77777777">
            <w:pPr>
              <w:spacing w:before="35" w:after="3" w:line="188" w:lineRule="exact"/>
              <w:textAlignment w:val="baseline"/>
              <w:rPr>
                <w:rFonts w:eastAsia="Times New Roman"/>
                <w:color w:val="000000"/>
                <w:sz w:val="16"/>
                <w:lang w:val="en-GB"/>
              </w:rPr>
            </w:pPr>
            <w:r w:rsidRPr="009C48DA">
              <w:rPr>
                <w:rFonts w:eastAsia="Times New Roman"/>
                <w:color w:val="000000"/>
                <w:sz w:val="16"/>
                <w:lang w:val="en-GB"/>
              </w:rPr>
              <w:t>Horninghaven Limited</w:t>
            </w:r>
          </w:p>
        </w:tc>
        <w:tc>
          <w:tcPr>
            <w:tcW w:w="709" w:type="dxa"/>
            <w:vAlign w:val="center"/>
          </w:tcPr>
          <w:p w:rsidRPr="009C48DA" w:rsidR="00661519" w:rsidP="00661519" w:rsidRDefault="00661519" w14:paraId="76ABD6DB" w14:textId="77777777">
            <w:pPr>
              <w:spacing w:before="35" w:after="3"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395E924F"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7C1FB930"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68105421"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55787331" w14:textId="77777777">
            <w:pPr>
              <w:spacing w:before="35" w:after="3"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A0E6934" w14:textId="77777777">
        <w:trPr>
          <w:jc w:val="center"/>
        </w:trPr>
        <w:tc>
          <w:tcPr>
            <w:tcW w:w="2410" w:type="dxa"/>
            <w:vAlign w:val="center"/>
          </w:tcPr>
          <w:p w:rsidRPr="009C48DA" w:rsidR="00661519" w:rsidP="00661519" w:rsidRDefault="00661519" w14:paraId="4939FAB8" w14:textId="77777777">
            <w:pPr>
              <w:spacing w:before="31" w:after="2" w:line="188" w:lineRule="exact"/>
              <w:textAlignment w:val="baseline"/>
              <w:rPr>
                <w:rFonts w:eastAsia="Times New Roman"/>
                <w:color w:val="000000"/>
                <w:sz w:val="16"/>
                <w:lang w:val="en-GB"/>
              </w:rPr>
            </w:pPr>
            <w:r w:rsidRPr="009C48DA">
              <w:rPr>
                <w:rFonts w:eastAsia="Times New Roman"/>
                <w:color w:val="000000"/>
                <w:sz w:val="16"/>
                <w:lang w:val="en-GB"/>
              </w:rPr>
              <w:t>Horningway Limited</w:t>
            </w:r>
          </w:p>
        </w:tc>
        <w:tc>
          <w:tcPr>
            <w:tcW w:w="709" w:type="dxa"/>
            <w:vAlign w:val="center"/>
          </w:tcPr>
          <w:p w:rsidRPr="009C48DA" w:rsidR="00661519" w:rsidP="00661519" w:rsidRDefault="00661519" w14:paraId="50544A72" w14:textId="77777777">
            <w:pPr>
              <w:spacing w:before="31" w:after="2"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4CB8DCF1" w14:textId="77777777">
            <w:pPr>
              <w:spacing w:before="31" w:after="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6B00E81C" w14:textId="77777777">
            <w:pPr>
              <w:spacing w:before="31" w:after="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1CD55CDB" w14:textId="77777777">
            <w:pPr>
              <w:spacing w:before="31" w:after="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4057F994" w14:textId="77777777">
            <w:pPr>
              <w:spacing w:before="31" w:after="2"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5384809" w14:textId="77777777">
        <w:trPr>
          <w:jc w:val="center"/>
        </w:trPr>
        <w:tc>
          <w:tcPr>
            <w:tcW w:w="2410" w:type="dxa"/>
            <w:vAlign w:val="center"/>
          </w:tcPr>
          <w:p w:rsidRPr="009C48DA" w:rsidR="00661519" w:rsidP="00661519" w:rsidRDefault="00661519" w14:paraId="65E69979" w14:textId="77777777">
            <w:pPr>
              <w:spacing w:before="35" w:line="186" w:lineRule="exact"/>
              <w:textAlignment w:val="baseline"/>
              <w:rPr>
                <w:rFonts w:eastAsia="Times New Roman"/>
                <w:color w:val="000000"/>
                <w:sz w:val="16"/>
                <w:lang w:val="en-GB"/>
              </w:rPr>
            </w:pPr>
            <w:r w:rsidRPr="009C48DA">
              <w:rPr>
                <w:rFonts w:eastAsia="Times New Roman"/>
                <w:color w:val="000000"/>
                <w:sz w:val="16"/>
                <w:lang w:val="en-GB"/>
              </w:rPr>
              <w:t>HPE II GP LP</w:t>
            </w:r>
          </w:p>
        </w:tc>
        <w:tc>
          <w:tcPr>
            <w:tcW w:w="709" w:type="dxa"/>
            <w:vAlign w:val="center"/>
          </w:tcPr>
          <w:p w:rsidRPr="009C48DA" w:rsidR="00661519" w:rsidP="00661519" w:rsidRDefault="00661519" w14:paraId="5A9AAFE4" w14:textId="77777777">
            <w:pPr>
              <w:spacing w:before="35" w:line="186" w:lineRule="exact"/>
              <w:ind w:right="105"/>
              <w:jc w:val="right"/>
              <w:textAlignment w:val="baseline"/>
              <w:rPr>
                <w:rFonts w:eastAsia="Times New Roman"/>
                <w:color w:val="000000"/>
                <w:sz w:val="16"/>
                <w:lang w:val="en-GB"/>
              </w:rPr>
            </w:pPr>
            <w:r w:rsidRPr="009C48DA">
              <w:rPr>
                <w:rFonts w:eastAsia="Times New Roman"/>
                <w:color w:val="000000"/>
                <w:sz w:val="16"/>
                <w:lang w:val="en-GB"/>
              </w:rPr>
              <w:t>2</w:t>
            </w:r>
          </w:p>
        </w:tc>
        <w:tc>
          <w:tcPr>
            <w:tcW w:w="1417" w:type="dxa"/>
            <w:vAlign w:val="center"/>
          </w:tcPr>
          <w:p w:rsidRPr="009C48DA" w:rsidR="00661519" w:rsidP="00661519" w:rsidRDefault="00661519" w14:paraId="7B5A9E1C"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5E7081AB"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1D2B73BC"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75" w:type="dxa"/>
            <w:vAlign w:val="center"/>
          </w:tcPr>
          <w:p w:rsidRPr="009C48DA" w:rsidR="00661519" w:rsidP="00661519" w:rsidRDefault="00661519" w14:paraId="2703BB61" w14:textId="77777777">
            <w:pPr>
              <w:spacing w:before="35" w:line="186"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334F68B9" w14:textId="77777777">
        <w:trPr>
          <w:jc w:val="center"/>
        </w:trPr>
        <w:tc>
          <w:tcPr>
            <w:tcW w:w="2410" w:type="dxa"/>
            <w:vAlign w:val="center"/>
          </w:tcPr>
          <w:p w:rsidRPr="009C48DA" w:rsidR="00661519" w:rsidP="00661519" w:rsidRDefault="00661519" w14:paraId="6B306C44" w14:textId="77777777">
            <w:pPr>
              <w:spacing w:before="35" w:after="7" w:line="188" w:lineRule="exact"/>
              <w:textAlignment w:val="baseline"/>
              <w:rPr>
                <w:rFonts w:eastAsia="Times New Roman"/>
                <w:color w:val="000000"/>
                <w:sz w:val="16"/>
                <w:lang w:val="en-GB"/>
              </w:rPr>
            </w:pPr>
            <w:r w:rsidRPr="009C48DA">
              <w:rPr>
                <w:rFonts w:eastAsia="Times New Roman"/>
                <w:color w:val="000000"/>
                <w:sz w:val="16"/>
                <w:lang w:val="en-GB"/>
              </w:rPr>
              <w:t>HPE SGP Limited</w:t>
            </w:r>
          </w:p>
        </w:tc>
        <w:tc>
          <w:tcPr>
            <w:tcW w:w="709" w:type="dxa"/>
            <w:vAlign w:val="center"/>
          </w:tcPr>
          <w:p w:rsidRPr="009C48DA" w:rsidR="00661519" w:rsidP="00661519" w:rsidRDefault="00661519" w14:paraId="3BB6553B" w14:textId="77777777">
            <w:pPr>
              <w:spacing w:before="35" w:after="7"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2</w:t>
            </w:r>
          </w:p>
        </w:tc>
        <w:tc>
          <w:tcPr>
            <w:tcW w:w="1417" w:type="dxa"/>
            <w:vAlign w:val="center"/>
          </w:tcPr>
          <w:p w:rsidRPr="009C48DA" w:rsidR="00661519" w:rsidP="00661519" w:rsidRDefault="00661519" w14:paraId="5CF07AE5"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10A78174"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051E05F4"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6BD707B4" w14:textId="77777777">
            <w:pPr>
              <w:spacing w:before="35" w:after="7"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C6D0921" w14:textId="77777777">
        <w:trPr>
          <w:jc w:val="center"/>
        </w:trPr>
        <w:tc>
          <w:tcPr>
            <w:tcW w:w="2410" w:type="dxa"/>
            <w:vAlign w:val="center"/>
          </w:tcPr>
          <w:p w:rsidRPr="009C48DA" w:rsidR="00661519" w:rsidP="00661519" w:rsidRDefault="00661519" w14:paraId="08713D14" w14:textId="77777777">
            <w:pPr>
              <w:spacing w:before="35" w:after="3" w:line="188" w:lineRule="exact"/>
              <w:textAlignment w:val="baseline"/>
              <w:rPr>
                <w:rFonts w:eastAsia="Times New Roman"/>
                <w:color w:val="000000"/>
                <w:sz w:val="16"/>
                <w:lang w:val="en-GB"/>
              </w:rPr>
            </w:pPr>
            <w:r w:rsidRPr="009C48DA">
              <w:rPr>
                <w:rFonts w:eastAsia="Times New Roman"/>
                <w:color w:val="000000"/>
                <w:sz w:val="16"/>
                <w:lang w:val="en-GB"/>
              </w:rPr>
              <w:t>LORAC 5 Limited</w:t>
            </w:r>
          </w:p>
        </w:tc>
        <w:tc>
          <w:tcPr>
            <w:tcW w:w="709" w:type="dxa"/>
            <w:vAlign w:val="center"/>
          </w:tcPr>
          <w:p w:rsidRPr="009C48DA" w:rsidR="00661519" w:rsidP="00661519" w:rsidRDefault="00661519" w14:paraId="7B40E0C2" w14:textId="77777777">
            <w:pPr>
              <w:spacing w:before="35" w:after="3"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02FB7109"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032C11CF"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376" w:type="dxa"/>
            <w:vAlign w:val="center"/>
          </w:tcPr>
          <w:p w:rsidRPr="009C48DA" w:rsidR="00661519" w:rsidP="00661519" w:rsidRDefault="00661519" w14:paraId="4CB3D3C5"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29D0056E" w14:textId="77777777">
            <w:pPr>
              <w:spacing w:before="35" w:after="3"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3BEF90B" w14:textId="77777777">
        <w:trPr>
          <w:jc w:val="center"/>
        </w:trPr>
        <w:tc>
          <w:tcPr>
            <w:tcW w:w="2410" w:type="dxa"/>
            <w:vAlign w:val="center"/>
          </w:tcPr>
          <w:p w:rsidRPr="009C48DA" w:rsidR="00661519" w:rsidP="00661519" w:rsidRDefault="00661519" w14:paraId="6E040B5B" w14:textId="77777777">
            <w:pPr>
              <w:spacing w:before="31" w:after="31" w:line="188" w:lineRule="exact"/>
              <w:textAlignment w:val="baseline"/>
              <w:rPr>
                <w:rFonts w:eastAsia="Times New Roman"/>
                <w:color w:val="000000"/>
                <w:sz w:val="16"/>
                <w:lang w:val="en-GB"/>
              </w:rPr>
            </w:pPr>
            <w:r w:rsidRPr="009C48DA">
              <w:rPr>
                <w:rFonts w:eastAsia="Times New Roman"/>
                <w:color w:val="000000"/>
                <w:sz w:val="16"/>
                <w:lang w:val="en-GB"/>
              </w:rPr>
              <w:t>LORAC 6 Limited</w:t>
            </w:r>
          </w:p>
        </w:tc>
        <w:tc>
          <w:tcPr>
            <w:tcW w:w="709" w:type="dxa"/>
            <w:vAlign w:val="center"/>
          </w:tcPr>
          <w:p w:rsidRPr="009C48DA" w:rsidR="00661519" w:rsidP="00661519" w:rsidRDefault="00661519" w14:paraId="2C349021" w14:textId="77777777">
            <w:pPr>
              <w:spacing w:before="31" w:after="31"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778A1561" w14:textId="77777777">
            <w:pPr>
              <w:spacing w:before="31" w:after="31"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076330D0" w14:textId="77777777">
            <w:pPr>
              <w:spacing w:before="31" w:after="31" w:line="188" w:lineRule="exact"/>
              <w:jc w:val="center"/>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376" w:type="dxa"/>
            <w:vAlign w:val="center"/>
          </w:tcPr>
          <w:p w:rsidRPr="009C48DA" w:rsidR="00661519" w:rsidP="00661519" w:rsidRDefault="00661519" w14:paraId="035457BC" w14:textId="77777777">
            <w:pPr>
              <w:spacing w:before="31" w:after="31"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55B6754D" w14:textId="77777777">
            <w:pPr>
              <w:spacing w:before="31" w:after="31"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D9FF321" w14:textId="77777777">
        <w:trPr>
          <w:jc w:val="center"/>
        </w:trPr>
        <w:tc>
          <w:tcPr>
            <w:tcW w:w="2410" w:type="dxa"/>
          </w:tcPr>
          <w:p w:rsidRPr="009C48DA" w:rsidR="00661519" w:rsidP="00661519" w:rsidRDefault="00661519" w14:paraId="60650551" w14:textId="77777777">
            <w:pPr>
              <w:spacing w:after="3" w:line="182" w:lineRule="exact"/>
              <w:ind w:right="576"/>
              <w:textAlignment w:val="baseline"/>
              <w:rPr>
                <w:rFonts w:eastAsia="Times New Roman"/>
                <w:color w:val="000000"/>
                <w:sz w:val="16"/>
                <w:lang w:val="en-GB"/>
              </w:rPr>
            </w:pPr>
            <w:r w:rsidRPr="009C48DA">
              <w:rPr>
                <w:rFonts w:eastAsia="Times New Roman"/>
                <w:color w:val="000000"/>
                <w:sz w:val="16"/>
                <w:lang w:val="en-GB"/>
              </w:rPr>
              <w:t>LORAC BC Co-Investment Limited</w:t>
            </w:r>
          </w:p>
        </w:tc>
        <w:tc>
          <w:tcPr>
            <w:tcW w:w="709" w:type="dxa"/>
            <w:vAlign w:val="center"/>
          </w:tcPr>
          <w:p w:rsidRPr="009C48DA" w:rsidR="00661519" w:rsidP="00661519" w:rsidRDefault="00661519" w14:paraId="1E89EAF7" w14:textId="77777777">
            <w:pPr>
              <w:spacing w:before="107" w:after="89"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2C07C6D8" w14:textId="77777777">
            <w:pPr>
              <w:spacing w:before="107" w:after="89"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41642064" w14:textId="77777777">
            <w:pPr>
              <w:spacing w:before="107" w:after="89" w:line="188" w:lineRule="exact"/>
              <w:jc w:val="center"/>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376" w:type="dxa"/>
            <w:vAlign w:val="center"/>
          </w:tcPr>
          <w:p w:rsidRPr="009C48DA" w:rsidR="00661519" w:rsidP="00661519" w:rsidRDefault="00661519" w14:paraId="393B6097" w14:textId="77777777">
            <w:pPr>
              <w:spacing w:before="107" w:after="89"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35F5468A" w14:textId="77777777">
            <w:pPr>
              <w:spacing w:before="107" w:after="89"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E2386D4" w14:textId="77777777">
        <w:trPr>
          <w:jc w:val="center"/>
        </w:trPr>
        <w:tc>
          <w:tcPr>
            <w:tcW w:w="2410" w:type="dxa"/>
            <w:vAlign w:val="center"/>
          </w:tcPr>
          <w:p w:rsidRPr="009C48DA" w:rsidR="00661519" w:rsidP="00661519" w:rsidRDefault="00661519" w14:paraId="1C3EE80C" w14:textId="77777777">
            <w:pPr>
              <w:spacing w:before="35" w:after="13" w:line="188" w:lineRule="exact"/>
              <w:textAlignment w:val="baseline"/>
              <w:rPr>
                <w:rFonts w:eastAsia="Times New Roman"/>
                <w:color w:val="000000"/>
                <w:sz w:val="16"/>
                <w:lang w:val="en-GB"/>
              </w:rPr>
            </w:pPr>
            <w:r w:rsidRPr="009C48DA">
              <w:rPr>
                <w:rFonts w:eastAsia="Times New Roman"/>
                <w:color w:val="000000"/>
                <w:sz w:val="16"/>
                <w:lang w:val="en-GB"/>
              </w:rPr>
              <w:t>LORAC BDC III Limited</w:t>
            </w:r>
          </w:p>
        </w:tc>
        <w:tc>
          <w:tcPr>
            <w:tcW w:w="709" w:type="dxa"/>
            <w:vAlign w:val="center"/>
          </w:tcPr>
          <w:p w:rsidRPr="009C48DA" w:rsidR="00661519" w:rsidP="00661519" w:rsidRDefault="00661519" w14:paraId="3458CA89" w14:textId="77777777">
            <w:pPr>
              <w:spacing w:before="35" w:after="13"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4D5EA9C2" w14:textId="77777777">
            <w:pPr>
              <w:spacing w:before="35" w:after="1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43A355F6" w14:textId="77777777">
            <w:pPr>
              <w:spacing w:before="35" w:after="13" w:line="188" w:lineRule="exact"/>
              <w:jc w:val="center"/>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376" w:type="dxa"/>
            <w:vAlign w:val="center"/>
          </w:tcPr>
          <w:p w:rsidRPr="009C48DA" w:rsidR="00661519" w:rsidP="00661519" w:rsidRDefault="00661519" w14:paraId="6C259A14" w14:textId="77777777">
            <w:pPr>
              <w:spacing w:before="35" w:after="1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7994D7B0" w14:textId="77777777">
            <w:pPr>
              <w:spacing w:before="35" w:after="13"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47B8385" w14:textId="77777777">
        <w:trPr>
          <w:jc w:val="center"/>
        </w:trPr>
        <w:tc>
          <w:tcPr>
            <w:tcW w:w="2410" w:type="dxa"/>
            <w:vAlign w:val="center"/>
          </w:tcPr>
          <w:p w:rsidRPr="009C48DA" w:rsidR="00661519" w:rsidP="00661519" w:rsidRDefault="00661519" w14:paraId="13F851A7" w14:textId="77777777">
            <w:pPr>
              <w:spacing w:before="35" w:after="7" w:line="188" w:lineRule="exact"/>
              <w:textAlignment w:val="baseline"/>
              <w:rPr>
                <w:rFonts w:eastAsia="Times New Roman"/>
                <w:color w:val="000000"/>
                <w:sz w:val="16"/>
                <w:lang w:val="en-GB"/>
              </w:rPr>
            </w:pPr>
            <w:r w:rsidRPr="009C48DA">
              <w:rPr>
                <w:rFonts w:eastAsia="Times New Roman"/>
                <w:color w:val="000000"/>
                <w:sz w:val="16"/>
                <w:lang w:val="en-GB"/>
              </w:rPr>
              <w:t>LORAC BDC Limited</w:t>
            </w:r>
          </w:p>
        </w:tc>
        <w:tc>
          <w:tcPr>
            <w:tcW w:w="709" w:type="dxa"/>
            <w:vAlign w:val="center"/>
          </w:tcPr>
          <w:p w:rsidRPr="009C48DA" w:rsidR="00661519" w:rsidP="00661519" w:rsidRDefault="00661519" w14:paraId="386136F4" w14:textId="77777777">
            <w:pPr>
              <w:spacing w:before="35" w:after="7"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04860CD4"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25A6E0DB"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376" w:type="dxa"/>
            <w:vAlign w:val="center"/>
          </w:tcPr>
          <w:p w:rsidRPr="009C48DA" w:rsidR="00661519" w:rsidP="00661519" w:rsidRDefault="00661519" w14:paraId="0E0D021C" w14:textId="77777777">
            <w:pPr>
              <w:spacing w:before="35" w:after="7"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2416A9C4" w14:textId="77777777">
            <w:pPr>
              <w:spacing w:before="35" w:after="7"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AAC6A88" w14:textId="77777777">
        <w:trPr>
          <w:jc w:val="center"/>
        </w:trPr>
        <w:tc>
          <w:tcPr>
            <w:tcW w:w="2410" w:type="dxa"/>
            <w:vAlign w:val="center"/>
          </w:tcPr>
          <w:p w:rsidRPr="009C48DA" w:rsidR="00661519" w:rsidP="00661519" w:rsidRDefault="00661519" w14:paraId="61714B73" w14:textId="77777777">
            <w:pPr>
              <w:spacing w:before="35" w:after="31" w:line="188" w:lineRule="exact"/>
              <w:textAlignment w:val="baseline"/>
              <w:rPr>
                <w:rFonts w:eastAsia="Times New Roman"/>
                <w:color w:val="000000"/>
                <w:sz w:val="16"/>
                <w:lang w:val="en-GB"/>
              </w:rPr>
            </w:pPr>
            <w:r w:rsidRPr="009C48DA">
              <w:rPr>
                <w:rFonts w:eastAsia="Times New Roman"/>
                <w:color w:val="000000"/>
                <w:sz w:val="16"/>
                <w:lang w:val="en-GB"/>
              </w:rPr>
              <w:t>LORAC BEP IV Limited</w:t>
            </w:r>
          </w:p>
        </w:tc>
        <w:tc>
          <w:tcPr>
            <w:tcW w:w="709" w:type="dxa"/>
            <w:vAlign w:val="center"/>
          </w:tcPr>
          <w:p w:rsidRPr="009C48DA" w:rsidR="00661519" w:rsidP="00661519" w:rsidRDefault="00661519" w14:paraId="52685537" w14:textId="77777777">
            <w:pPr>
              <w:spacing w:before="35" w:after="31"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079A020A" w14:textId="77777777">
            <w:pPr>
              <w:spacing w:before="35" w:after="31"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3A4CF20E" w14:textId="77777777">
            <w:pPr>
              <w:spacing w:before="35" w:after="31" w:line="188" w:lineRule="exact"/>
              <w:jc w:val="center"/>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376" w:type="dxa"/>
            <w:vAlign w:val="center"/>
          </w:tcPr>
          <w:p w:rsidRPr="009C48DA" w:rsidR="00661519" w:rsidP="00661519" w:rsidRDefault="00661519" w14:paraId="34EED44F" w14:textId="77777777">
            <w:pPr>
              <w:spacing w:before="35" w:after="31"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4953B0A4" w14:textId="77777777">
            <w:pPr>
              <w:spacing w:before="35" w:after="31"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31F11BA" w14:textId="77777777">
        <w:trPr>
          <w:jc w:val="center"/>
        </w:trPr>
        <w:tc>
          <w:tcPr>
            <w:tcW w:w="2410" w:type="dxa"/>
          </w:tcPr>
          <w:p w:rsidRPr="009C48DA" w:rsidR="00661519" w:rsidP="00661519" w:rsidRDefault="00661519" w14:paraId="337FACE9" w14:textId="77777777">
            <w:pPr>
              <w:spacing w:after="3" w:line="187" w:lineRule="exact"/>
              <w:textAlignment w:val="baseline"/>
              <w:rPr>
                <w:rFonts w:eastAsia="Times New Roman"/>
                <w:color w:val="000000"/>
                <w:sz w:val="16"/>
                <w:lang w:val="en-GB"/>
              </w:rPr>
            </w:pPr>
            <w:r w:rsidRPr="009C48DA">
              <w:rPr>
                <w:rFonts w:eastAsia="Times New Roman"/>
                <w:color w:val="000000"/>
                <w:sz w:val="16"/>
                <w:lang w:val="en-GB"/>
              </w:rPr>
              <w:t>LORAC BE VI Co-investment Limited</w:t>
            </w:r>
          </w:p>
        </w:tc>
        <w:tc>
          <w:tcPr>
            <w:tcW w:w="709" w:type="dxa"/>
            <w:vAlign w:val="center"/>
          </w:tcPr>
          <w:p w:rsidRPr="009C48DA" w:rsidR="00661519" w:rsidP="00661519" w:rsidRDefault="00661519" w14:paraId="441947C0" w14:textId="77777777">
            <w:pPr>
              <w:spacing w:before="102" w:after="94"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18E27A2D" w14:textId="77777777">
            <w:pPr>
              <w:spacing w:before="102" w:after="94"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4375D9A1" w14:textId="77777777">
            <w:pPr>
              <w:spacing w:before="102" w:after="94" w:line="188" w:lineRule="exact"/>
              <w:jc w:val="center"/>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376" w:type="dxa"/>
            <w:vAlign w:val="center"/>
          </w:tcPr>
          <w:p w:rsidRPr="009C48DA" w:rsidR="00661519" w:rsidP="00661519" w:rsidRDefault="00661519" w14:paraId="1B2AC1B1" w14:textId="77777777">
            <w:pPr>
              <w:spacing w:before="102" w:after="94"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525572B9" w14:textId="77777777">
            <w:pPr>
              <w:spacing w:before="102" w:after="94"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7A78122A" w14:textId="77777777">
        <w:trPr>
          <w:jc w:val="center"/>
        </w:trPr>
        <w:tc>
          <w:tcPr>
            <w:tcW w:w="2410" w:type="dxa"/>
            <w:vAlign w:val="center"/>
          </w:tcPr>
          <w:p w:rsidRPr="009C48DA" w:rsidR="00661519" w:rsidP="00661519" w:rsidRDefault="00661519" w14:paraId="49F7E356" w14:textId="77777777">
            <w:pPr>
              <w:spacing w:after="2" w:line="188" w:lineRule="exact"/>
              <w:textAlignment w:val="baseline"/>
              <w:rPr>
                <w:rFonts w:eastAsia="Times New Roman"/>
                <w:color w:val="000000"/>
                <w:sz w:val="16"/>
                <w:lang w:val="en-GB"/>
              </w:rPr>
            </w:pPr>
            <w:r w:rsidRPr="009C48DA">
              <w:rPr>
                <w:rFonts w:eastAsia="Times New Roman"/>
                <w:color w:val="000000"/>
                <w:sz w:val="16"/>
                <w:lang w:val="en-GB"/>
              </w:rPr>
              <w:t>LORAC Eagle Limited</w:t>
            </w:r>
          </w:p>
        </w:tc>
        <w:tc>
          <w:tcPr>
            <w:tcW w:w="709" w:type="dxa"/>
            <w:vAlign w:val="center"/>
          </w:tcPr>
          <w:p w:rsidRPr="009C48DA" w:rsidR="00661519" w:rsidP="00661519" w:rsidRDefault="00661519" w14:paraId="45D9411E" w14:textId="77777777">
            <w:pPr>
              <w:spacing w:after="2"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3AA404CC"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4158EB56"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376" w:type="dxa"/>
            <w:vAlign w:val="center"/>
          </w:tcPr>
          <w:p w:rsidRPr="009C48DA" w:rsidR="00661519" w:rsidP="00661519" w:rsidRDefault="00661519" w14:paraId="0B492B4C"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110EA90D" w14:textId="77777777">
            <w:pPr>
              <w:spacing w:after="2"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976C1B7" w14:textId="77777777">
        <w:trPr>
          <w:jc w:val="center"/>
        </w:trPr>
        <w:tc>
          <w:tcPr>
            <w:tcW w:w="2410" w:type="dxa"/>
            <w:vAlign w:val="center"/>
          </w:tcPr>
          <w:p w:rsidRPr="009C48DA" w:rsidR="00661519" w:rsidP="00661519" w:rsidRDefault="00661519" w14:paraId="6B5DC92B" w14:textId="77777777">
            <w:pPr>
              <w:spacing w:before="35" w:line="186" w:lineRule="exact"/>
              <w:textAlignment w:val="baseline"/>
              <w:rPr>
                <w:rFonts w:eastAsia="Times New Roman"/>
                <w:color w:val="000000"/>
                <w:sz w:val="16"/>
                <w:lang w:val="en-GB"/>
              </w:rPr>
            </w:pPr>
            <w:r w:rsidRPr="009C48DA">
              <w:rPr>
                <w:rFonts w:eastAsia="Times New Roman"/>
                <w:color w:val="000000"/>
                <w:sz w:val="16"/>
                <w:lang w:val="en-GB"/>
              </w:rPr>
              <w:t>LORAC KITE Limited</w:t>
            </w:r>
          </w:p>
        </w:tc>
        <w:tc>
          <w:tcPr>
            <w:tcW w:w="709" w:type="dxa"/>
            <w:vAlign w:val="center"/>
          </w:tcPr>
          <w:p w:rsidRPr="009C48DA" w:rsidR="00661519" w:rsidP="00661519" w:rsidRDefault="00661519" w14:paraId="07FB76D4" w14:textId="77777777">
            <w:pPr>
              <w:spacing w:before="35" w:line="186"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550A4E66"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076E7F6B"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376" w:type="dxa"/>
            <w:vAlign w:val="center"/>
          </w:tcPr>
          <w:p w:rsidRPr="009C48DA" w:rsidR="00661519" w:rsidP="00661519" w:rsidRDefault="00661519" w14:paraId="351ACF9D" w14:textId="77777777">
            <w:pPr>
              <w:spacing w:before="35" w:line="186"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609B8629" w14:textId="77777777">
            <w:pPr>
              <w:spacing w:before="35" w:line="186"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19C056AB" w14:textId="77777777">
        <w:trPr>
          <w:jc w:val="center"/>
        </w:trPr>
        <w:tc>
          <w:tcPr>
            <w:tcW w:w="2410" w:type="dxa"/>
            <w:vAlign w:val="center"/>
          </w:tcPr>
          <w:p w:rsidRPr="009C48DA" w:rsidR="00661519" w:rsidP="00661519" w:rsidRDefault="00661519" w14:paraId="6BF255C1" w14:textId="77777777">
            <w:pPr>
              <w:spacing w:before="35" w:after="8" w:line="188" w:lineRule="exact"/>
              <w:textAlignment w:val="baseline"/>
              <w:rPr>
                <w:rFonts w:eastAsia="Times New Roman"/>
                <w:color w:val="000000"/>
                <w:sz w:val="16"/>
                <w:lang w:val="en-GB"/>
              </w:rPr>
            </w:pPr>
            <w:r w:rsidRPr="009C48DA">
              <w:rPr>
                <w:rFonts w:eastAsia="Times New Roman"/>
                <w:color w:val="000000"/>
                <w:sz w:val="16"/>
                <w:lang w:val="en-GB"/>
              </w:rPr>
              <w:t>New HPE II GP LP</w:t>
            </w:r>
          </w:p>
        </w:tc>
        <w:tc>
          <w:tcPr>
            <w:tcW w:w="709" w:type="dxa"/>
            <w:vAlign w:val="center"/>
          </w:tcPr>
          <w:p w:rsidRPr="009C48DA" w:rsidR="00661519" w:rsidP="00661519" w:rsidRDefault="00661519" w14:paraId="4AD0C9DE" w14:textId="77777777">
            <w:pPr>
              <w:spacing w:before="35" w:after="8"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2</w:t>
            </w:r>
          </w:p>
        </w:tc>
        <w:tc>
          <w:tcPr>
            <w:tcW w:w="1417" w:type="dxa"/>
            <w:vAlign w:val="center"/>
          </w:tcPr>
          <w:p w:rsidRPr="009C48DA" w:rsidR="00661519" w:rsidP="00661519" w:rsidRDefault="00661519" w14:paraId="46DD341F" w14:textId="77777777">
            <w:pPr>
              <w:spacing w:before="35" w:after="8"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2F25675F" w14:textId="77777777">
            <w:pPr>
              <w:spacing w:before="35" w:after="8"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48FB86BF" w14:textId="77777777">
            <w:pPr>
              <w:spacing w:before="35" w:after="8"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75" w:type="dxa"/>
            <w:vAlign w:val="center"/>
          </w:tcPr>
          <w:p w:rsidRPr="009C48DA" w:rsidR="00661519" w:rsidP="00661519" w:rsidRDefault="00661519" w14:paraId="746D220E" w14:textId="77777777">
            <w:pPr>
              <w:spacing w:before="35" w:after="8"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04E1A178" w14:textId="77777777">
        <w:trPr>
          <w:jc w:val="center"/>
        </w:trPr>
        <w:tc>
          <w:tcPr>
            <w:tcW w:w="2410" w:type="dxa"/>
            <w:vAlign w:val="center"/>
          </w:tcPr>
          <w:p w:rsidRPr="009C48DA" w:rsidR="00661519" w:rsidP="00661519" w:rsidRDefault="00661519" w14:paraId="02C9A109" w14:textId="77777777">
            <w:pPr>
              <w:spacing w:before="35" w:after="3" w:line="188" w:lineRule="exact"/>
              <w:textAlignment w:val="baseline"/>
              <w:rPr>
                <w:rFonts w:eastAsia="Times New Roman"/>
                <w:color w:val="000000"/>
                <w:sz w:val="16"/>
                <w:lang w:val="en-GB"/>
              </w:rPr>
            </w:pPr>
            <w:r w:rsidRPr="009C48DA">
              <w:rPr>
                <w:rFonts w:eastAsia="Times New Roman"/>
                <w:color w:val="000000"/>
                <w:sz w:val="16"/>
                <w:lang w:val="en-GB"/>
              </w:rPr>
              <w:t>Opal Investments LP</w:t>
            </w:r>
          </w:p>
        </w:tc>
        <w:tc>
          <w:tcPr>
            <w:tcW w:w="709" w:type="dxa"/>
            <w:vAlign w:val="center"/>
          </w:tcPr>
          <w:p w:rsidRPr="009C48DA" w:rsidR="00661519" w:rsidP="00661519" w:rsidRDefault="00661519" w14:paraId="0C33919E" w14:textId="77777777">
            <w:pPr>
              <w:spacing w:before="35" w:after="3"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2</w:t>
            </w:r>
          </w:p>
        </w:tc>
        <w:tc>
          <w:tcPr>
            <w:tcW w:w="1417" w:type="dxa"/>
            <w:vAlign w:val="center"/>
          </w:tcPr>
          <w:p w:rsidRPr="009C48DA" w:rsidR="00661519" w:rsidP="00661519" w:rsidRDefault="00661519" w14:paraId="3166087C"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32603C5A"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Investment holding partnership</w:t>
            </w:r>
          </w:p>
        </w:tc>
        <w:tc>
          <w:tcPr>
            <w:tcW w:w="1376" w:type="dxa"/>
            <w:vAlign w:val="center"/>
          </w:tcPr>
          <w:p w:rsidRPr="009C48DA" w:rsidR="00661519" w:rsidP="00661519" w:rsidRDefault="00661519" w14:paraId="30F825F2" w14:textId="77777777">
            <w:pPr>
              <w:spacing w:before="35" w:after="3"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75" w:type="dxa"/>
            <w:vAlign w:val="center"/>
          </w:tcPr>
          <w:p w:rsidRPr="009C48DA" w:rsidR="00661519" w:rsidP="00661519" w:rsidRDefault="00661519" w14:paraId="3AD47D8F" w14:textId="77777777">
            <w:pPr>
              <w:spacing w:before="35" w:after="3"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2C86C148" w14:textId="77777777">
        <w:trPr>
          <w:jc w:val="center"/>
        </w:trPr>
        <w:tc>
          <w:tcPr>
            <w:tcW w:w="2410" w:type="dxa"/>
            <w:vAlign w:val="center"/>
          </w:tcPr>
          <w:p w:rsidRPr="009C48DA" w:rsidR="00661519" w:rsidP="00661519" w:rsidRDefault="00661519" w14:paraId="5EFC318A" w14:textId="77777777">
            <w:pPr>
              <w:spacing w:after="2" w:line="188" w:lineRule="exact"/>
              <w:textAlignment w:val="baseline"/>
              <w:rPr>
                <w:rFonts w:eastAsia="Times New Roman"/>
                <w:color w:val="000000"/>
                <w:sz w:val="16"/>
                <w:lang w:val="en-GB"/>
              </w:rPr>
            </w:pPr>
            <w:r w:rsidRPr="009C48DA">
              <w:rPr>
                <w:rFonts w:eastAsia="Times New Roman"/>
                <w:color w:val="000000"/>
                <w:sz w:val="16"/>
                <w:lang w:val="en-GB"/>
              </w:rPr>
              <w:t>PEPCO Services LLP</w:t>
            </w:r>
          </w:p>
        </w:tc>
        <w:tc>
          <w:tcPr>
            <w:tcW w:w="709" w:type="dxa"/>
            <w:vAlign w:val="center"/>
          </w:tcPr>
          <w:p w:rsidRPr="009C48DA" w:rsidR="00661519" w:rsidP="00661519" w:rsidRDefault="00661519" w14:paraId="0C0556C6" w14:textId="77777777">
            <w:pPr>
              <w:spacing w:after="2"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43DEA306"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4F2106C1"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Collective purchasing negotiator</w:t>
            </w:r>
          </w:p>
        </w:tc>
        <w:tc>
          <w:tcPr>
            <w:tcW w:w="1376" w:type="dxa"/>
            <w:vAlign w:val="center"/>
          </w:tcPr>
          <w:p w:rsidRPr="009C48DA" w:rsidR="00661519" w:rsidP="00661519" w:rsidRDefault="00661519" w14:paraId="410CF154" w14:textId="77777777">
            <w:pPr>
              <w:spacing w:after="2" w:line="188" w:lineRule="exact"/>
              <w:jc w:val="center"/>
              <w:textAlignment w:val="baseline"/>
              <w:rPr>
                <w:rFonts w:eastAsia="Times New Roman"/>
                <w:color w:val="000000"/>
                <w:sz w:val="16"/>
                <w:lang w:val="en-GB"/>
              </w:rPr>
            </w:pPr>
            <w:r w:rsidRPr="009C48DA">
              <w:rPr>
                <w:rFonts w:eastAsia="Times New Roman"/>
                <w:color w:val="000000"/>
                <w:sz w:val="16"/>
                <w:lang w:val="en-GB"/>
              </w:rPr>
              <w:t>N/A</w:t>
            </w:r>
          </w:p>
        </w:tc>
        <w:tc>
          <w:tcPr>
            <w:tcW w:w="1275" w:type="dxa"/>
            <w:vAlign w:val="center"/>
          </w:tcPr>
          <w:p w:rsidRPr="009C48DA" w:rsidR="00661519" w:rsidP="00661519" w:rsidRDefault="00661519" w14:paraId="28930DD7" w14:textId="77777777">
            <w:pPr>
              <w:spacing w:after="2" w:line="188" w:lineRule="exact"/>
              <w:ind w:left="447"/>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5E46321B" w14:textId="77777777">
        <w:trPr>
          <w:jc w:val="center"/>
        </w:trPr>
        <w:tc>
          <w:tcPr>
            <w:tcW w:w="2410" w:type="dxa"/>
            <w:vAlign w:val="center"/>
          </w:tcPr>
          <w:p w:rsidRPr="009C48DA" w:rsidR="00661519" w:rsidP="00661519" w:rsidRDefault="00661519" w14:paraId="48B1A845" w14:textId="77777777">
            <w:pPr>
              <w:spacing w:before="35" w:after="12" w:line="188" w:lineRule="exact"/>
              <w:textAlignment w:val="baseline"/>
              <w:rPr>
                <w:rFonts w:eastAsia="Times New Roman"/>
                <w:color w:val="000000"/>
                <w:sz w:val="16"/>
                <w:lang w:val="en-GB"/>
              </w:rPr>
            </w:pPr>
            <w:r w:rsidRPr="009C48DA">
              <w:rPr>
                <w:rFonts w:eastAsia="Times New Roman"/>
                <w:color w:val="000000"/>
                <w:sz w:val="16"/>
                <w:lang w:val="en-GB"/>
              </w:rPr>
              <w:t>Ruby Germany GP Limited</w:t>
            </w:r>
          </w:p>
        </w:tc>
        <w:tc>
          <w:tcPr>
            <w:tcW w:w="709" w:type="dxa"/>
            <w:vAlign w:val="center"/>
          </w:tcPr>
          <w:p w:rsidRPr="009C48DA" w:rsidR="00661519" w:rsidP="00661519" w:rsidRDefault="00661519" w14:paraId="629132FC" w14:textId="77777777">
            <w:pPr>
              <w:spacing w:before="35" w:after="12"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4</w:t>
            </w:r>
          </w:p>
        </w:tc>
        <w:tc>
          <w:tcPr>
            <w:tcW w:w="1417" w:type="dxa"/>
            <w:vAlign w:val="center"/>
          </w:tcPr>
          <w:p w:rsidRPr="009C48DA" w:rsidR="00661519" w:rsidP="00661519" w:rsidRDefault="00661519" w14:paraId="775DD82B"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Guernsey</w:t>
            </w:r>
          </w:p>
        </w:tc>
        <w:tc>
          <w:tcPr>
            <w:tcW w:w="2310" w:type="dxa"/>
            <w:vAlign w:val="center"/>
          </w:tcPr>
          <w:p w:rsidRPr="009C48DA" w:rsidR="00661519" w:rsidP="00661519" w:rsidRDefault="00661519" w14:paraId="663AD5AA"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General Partner</w:t>
            </w:r>
          </w:p>
        </w:tc>
        <w:tc>
          <w:tcPr>
            <w:tcW w:w="1376" w:type="dxa"/>
            <w:vAlign w:val="center"/>
          </w:tcPr>
          <w:p w:rsidRPr="009C48DA" w:rsidR="00661519" w:rsidP="00661519" w:rsidRDefault="00661519" w14:paraId="7A23D842" w14:textId="77777777">
            <w:pPr>
              <w:spacing w:before="35" w:after="1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4C2C65B2" w14:textId="77777777">
            <w:pPr>
              <w:spacing w:before="35" w:after="12"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0DEAE787" w14:textId="77777777">
        <w:trPr>
          <w:jc w:val="center"/>
        </w:trPr>
        <w:tc>
          <w:tcPr>
            <w:tcW w:w="2410" w:type="dxa"/>
            <w:vAlign w:val="center"/>
          </w:tcPr>
          <w:p w:rsidRPr="009C48DA" w:rsidR="00661519" w:rsidP="00661519" w:rsidRDefault="00661519" w14:paraId="45FD2AD9" w14:textId="77777777">
            <w:pPr>
              <w:spacing w:after="22" w:line="188" w:lineRule="exact"/>
              <w:textAlignment w:val="baseline"/>
              <w:rPr>
                <w:rFonts w:eastAsia="Times New Roman"/>
                <w:color w:val="000000"/>
                <w:sz w:val="16"/>
                <w:lang w:val="en-GB"/>
              </w:rPr>
            </w:pPr>
            <w:r w:rsidRPr="009C48DA">
              <w:rPr>
                <w:rFonts w:eastAsia="Times New Roman"/>
                <w:color w:val="000000"/>
                <w:sz w:val="16"/>
                <w:lang w:val="en-GB"/>
              </w:rPr>
              <w:t>Ruby Investments (UK) Limited</w:t>
            </w:r>
          </w:p>
        </w:tc>
        <w:tc>
          <w:tcPr>
            <w:tcW w:w="709" w:type="dxa"/>
            <w:vAlign w:val="center"/>
          </w:tcPr>
          <w:p w:rsidRPr="009C48DA" w:rsidR="00661519" w:rsidP="00661519" w:rsidRDefault="00661519" w14:paraId="1C619609" w14:textId="77777777">
            <w:pPr>
              <w:spacing w:after="22"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66C58A85" w14:textId="77777777">
            <w:pPr>
              <w:spacing w:after="2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435FF372" w14:textId="77777777">
            <w:pPr>
              <w:spacing w:after="22" w:line="188" w:lineRule="exact"/>
              <w:jc w:val="center"/>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376" w:type="dxa"/>
            <w:vAlign w:val="center"/>
          </w:tcPr>
          <w:p w:rsidRPr="009C48DA" w:rsidR="00661519" w:rsidP="00661519" w:rsidRDefault="00661519" w14:paraId="530B422A" w14:textId="77777777">
            <w:pPr>
              <w:spacing w:after="2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71F638B8" w14:textId="77777777">
            <w:pPr>
              <w:spacing w:after="22"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6DD6A02" w14:textId="77777777">
        <w:trPr>
          <w:jc w:val="center"/>
        </w:trPr>
        <w:tc>
          <w:tcPr>
            <w:tcW w:w="2410" w:type="dxa"/>
          </w:tcPr>
          <w:p w:rsidRPr="009C48DA" w:rsidR="00661519" w:rsidP="00661519" w:rsidRDefault="00661519" w14:paraId="07C0E31D" w14:textId="77777777">
            <w:pPr>
              <w:spacing w:after="22" w:line="183" w:lineRule="exact"/>
              <w:textAlignment w:val="baseline"/>
              <w:rPr>
                <w:rFonts w:eastAsia="Times New Roman"/>
                <w:color w:val="000000"/>
                <w:sz w:val="16"/>
                <w:lang w:val="en-GB"/>
              </w:rPr>
            </w:pPr>
            <w:r w:rsidRPr="009C48DA">
              <w:rPr>
                <w:rFonts w:eastAsia="Times New Roman"/>
                <w:color w:val="000000"/>
                <w:sz w:val="16"/>
                <w:lang w:val="en-GB"/>
              </w:rPr>
              <w:t>Sapphire Investments (Guernsey) Limited</w:t>
            </w:r>
          </w:p>
        </w:tc>
        <w:tc>
          <w:tcPr>
            <w:tcW w:w="709" w:type="dxa"/>
            <w:vAlign w:val="center"/>
          </w:tcPr>
          <w:p w:rsidRPr="009C48DA" w:rsidR="00661519" w:rsidP="00661519" w:rsidRDefault="00661519" w14:paraId="0DD58470" w14:textId="77777777">
            <w:pPr>
              <w:spacing w:before="103" w:after="113"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4</w:t>
            </w:r>
          </w:p>
        </w:tc>
        <w:tc>
          <w:tcPr>
            <w:tcW w:w="1417" w:type="dxa"/>
            <w:vAlign w:val="center"/>
          </w:tcPr>
          <w:p w:rsidRPr="009C48DA" w:rsidR="00661519" w:rsidP="00661519" w:rsidRDefault="00661519" w14:paraId="5346794E" w14:textId="77777777">
            <w:pPr>
              <w:spacing w:before="103" w:after="113" w:line="188" w:lineRule="exact"/>
              <w:jc w:val="center"/>
              <w:textAlignment w:val="baseline"/>
              <w:rPr>
                <w:rFonts w:eastAsia="Times New Roman"/>
                <w:color w:val="000000"/>
                <w:sz w:val="16"/>
                <w:lang w:val="en-GB"/>
              </w:rPr>
            </w:pPr>
            <w:r w:rsidRPr="009C48DA">
              <w:rPr>
                <w:rFonts w:eastAsia="Times New Roman"/>
                <w:color w:val="000000"/>
                <w:sz w:val="16"/>
                <w:lang w:val="en-GB"/>
              </w:rPr>
              <w:t>Guernsey</w:t>
            </w:r>
          </w:p>
        </w:tc>
        <w:tc>
          <w:tcPr>
            <w:tcW w:w="2310" w:type="dxa"/>
            <w:vAlign w:val="center"/>
          </w:tcPr>
          <w:p w:rsidRPr="009C48DA" w:rsidR="00661519" w:rsidP="00661519" w:rsidRDefault="00661519" w14:paraId="51A87D27" w14:textId="77777777">
            <w:pPr>
              <w:spacing w:before="103" w:after="113" w:line="188" w:lineRule="exact"/>
              <w:jc w:val="center"/>
              <w:textAlignment w:val="baseline"/>
              <w:rPr>
                <w:rFonts w:eastAsia="Times New Roman"/>
                <w:color w:val="000000"/>
                <w:sz w:val="16"/>
                <w:lang w:val="en-GB"/>
              </w:rPr>
            </w:pPr>
            <w:r w:rsidRPr="009C48DA">
              <w:rPr>
                <w:rFonts w:eastAsia="Times New Roman"/>
                <w:color w:val="000000"/>
                <w:sz w:val="16"/>
                <w:lang w:val="en-GB"/>
              </w:rPr>
              <w:t>Investment holding company</w:t>
            </w:r>
          </w:p>
        </w:tc>
        <w:tc>
          <w:tcPr>
            <w:tcW w:w="1376" w:type="dxa"/>
            <w:vAlign w:val="center"/>
          </w:tcPr>
          <w:p w:rsidRPr="009C48DA" w:rsidR="00661519" w:rsidP="00661519" w:rsidRDefault="00661519" w14:paraId="47D61683" w14:textId="77777777">
            <w:pPr>
              <w:spacing w:before="103" w:after="11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7B2A7528" w14:textId="77777777">
            <w:pPr>
              <w:spacing w:before="103" w:after="113"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36F223F" w14:textId="77777777">
        <w:trPr>
          <w:jc w:val="center"/>
        </w:trPr>
        <w:tc>
          <w:tcPr>
            <w:tcW w:w="2410" w:type="dxa"/>
            <w:vAlign w:val="center"/>
          </w:tcPr>
          <w:p w:rsidRPr="009C48DA" w:rsidR="00661519" w:rsidP="00661519" w:rsidRDefault="00661519" w14:paraId="1738868D" w14:textId="77777777">
            <w:pPr>
              <w:spacing w:before="50" w:after="2" w:line="188" w:lineRule="exact"/>
              <w:textAlignment w:val="baseline"/>
              <w:rPr>
                <w:rFonts w:eastAsia="Times New Roman"/>
                <w:color w:val="000000"/>
                <w:sz w:val="16"/>
                <w:lang w:val="en-GB"/>
              </w:rPr>
            </w:pPr>
            <w:r w:rsidRPr="009C48DA">
              <w:rPr>
                <w:rFonts w:eastAsia="Times New Roman"/>
                <w:color w:val="000000"/>
                <w:sz w:val="16"/>
                <w:lang w:val="en-GB"/>
              </w:rPr>
              <w:t>Throttle Nominees Limited</w:t>
            </w:r>
          </w:p>
        </w:tc>
        <w:tc>
          <w:tcPr>
            <w:tcW w:w="709" w:type="dxa"/>
            <w:vAlign w:val="center"/>
          </w:tcPr>
          <w:p w:rsidRPr="009C48DA" w:rsidR="00661519" w:rsidP="00661519" w:rsidRDefault="00661519" w14:paraId="6E8E8F0F" w14:textId="77777777">
            <w:pPr>
              <w:spacing w:before="50" w:after="2"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w:t>
            </w:r>
          </w:p>
        </w:tc>
        <w:tc>
          <w:tcPr>
            <w:tcW w:w="1417" w:type="dxa"/>
            <w:vAlign w:val="center"/>
          </w:tcPr>
          <w:p w:rsidRPr="009C48DA" w:rsidR="00661519" w:rsidP="00661519" w:rsidRDefault="00661519" w14:paraId="6E13295C" w14:textId="77777777">
            <w:pPr>
              <w:spacing w:before="50" w:after="2" w:line="188" w:lineRule="exact"/>
              <w:jc w:val="center"/>
              <w:textAlignment w:val="baseline"/>
              <w:rPr>
                <w:rFonts w:eastAsia="Times New Roman"/>
                <w:color w:val="000000"/>
                <w:sz w:val="16"/>
                <w:lang w:val="en-GB"/>
              </w:rPr>
            </w:pPr>
            <w:r w:rsidRPr="009C48DA">
              <w:rPr>
                <w:rFonts w:eastAsia="Times New Roman"/>
                <w:color w:val="000000"/>
                <w:sz w:val="16"/>
                <w:lang w:val="en-GB"/>
              </w:rPr>
              <w:t>UK</w:t>
            </w:r>
          </w:p>
        </w:tc>
        <w:tc>
          <w:tcPr>
            <w:tcW w:w="2310" w:type="dxa"/>
            <w:vAlign w:val="center"/>
          </w:tcPr>
          <w:p w:rsidRPr="009C48DA" w:rsidR="00661519" w:rsidP="00661519" w:rsidRDefault="00661519" w14:paraId="70269273" w14:textId="77777777">
            <w:pPr>
              <w:spacing w:before="50" w:after="2" w:line="188" w:lineRule="exact"/>
              <w:jc w:val="center"/>
              <w:textAlignment w:val="baseline"/>
              <w:rPr>
                <w:rFonts w:eastAsia="Times New Roman"/>
                <w:color w:val="000000"/>
                <w:sz w:val="16"/>
                <w:lang w:val="en-GB"/>
              </w:rPr>
            </w:pPr>
            <w:r w:rsidRPr="009C48DA">
              <w:rPr>
                <w:rFonts w:eastAsia="Times New Roman"/>
                <w:color w:val="000000"/>
                <w:sz w:val="16"/>
                <w:lang w:val="en-GB"/>
              </w:rPr>
              <w:t>Nominee company</w:t>
            </w:r>
          </w:p>
        </w:tc>
        <w:tc>
          <w:tcPr>
            <w:tcW w:w="1376" w:type="dxa"/>
            <w:vAlign w:val="center"/>
          </w:tcPr>
          <w:p w:rsidRPr="009C48DA" w:rsidR="00661519" w:rsidP="00661519" w:rsidRDefault="00661519" w14:paraId="12CD3280" w14:textId="77777777">
            <w:pPr>
              <w:spacing w:before="50" w:after="2"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6517218E" w14:textId="77777777">
            <w:pPr>
              <w:spacing w:before="50" w:after="2"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C13A24C" w14:textId="77777777">
        <w:trPr>
          <w:jc w:val="center"/>
        </w:trPr>
        <w:tc>
          <w:tcPr>
            <w:tcW w:w="2410" w:type="dxa"/>
            <w:vAlign w:val="center"/>
          </w:tcPr>
          <w:p w:rsidRPr="009C48DA" w:rsidR="00661519" w:rsidP="00661519" w:rsidRDefault="00661519" w14:paraId="1981A6AD" w14:textId="77777777">
            <w:pPr>
              <w:spacing w:after="3" w:line="188" w:lineRule="exact"/>
              <w:textAlignment w:val="baseline"/>
              <w:rPr>
                <w:rFonts w:eastAsia="Times New Roman"/>
                <w:color w:val="000000"/>
                <w:sz w:val="16"/>
                <w:lang w:val="en-GB"/>
              </w:rPr>
            </w:pPr>
            <w:r w:rsidRPr="009C48DA">
              <w:rPr>
                <w:rFonts w:eastAsia="Times New Roman"/>
                <w:color w:val="000000"/>
                <w:sz w:val="16"/>
                <w:lang w:val="en-GB"/>
              </w:rPr>
              <w:t>Vigny Advisory S.à r.l.</w:t>
            </w:r>
          </w:p>
        </w:tc>
        <w:tc>
          <w:tcPr>
            <w:tcW w:w="709" w:type="dxa"/>
            <w:vAlign w:val="center"/>
          </w:tcPr>
          <w:p w:rsidRPr="009C48DA" w:rsidR="00661519" w:rsidP="00661519" w:rsidRDefault="00661519" w14:paraId="1DE401E2" w14:textId="77777777">
            <w:pPr>
              <w:spacing w:after="3"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13</w:t>
            </w:r>
          </w:p>
        </w:tc>
        <w:tc>
          <w:tcPr>
            <w:tcW w:w="1417" w:type="dxa"/>
            <w:vAlign w:val="center"/>
          </w:tcPr>
          <w:p w:rsidRPr="009C48DA" w:rsidR="00661519" w:rsidP="00661519" w:rsidRDefault="00661519" w14:paraId="4F28F612" w14:textId="77777777">
            <w:pPr>
              <w:spacing w:after="3" w:line="188" w:lineRule="exact"/>
              <w:jc w:val="center"/>
              <w:textAlignment w:val="baseline"/>
              <w:rPr>
                <w:rFonts w:eastAsia="Times New Roman"/>
                <w:color w:val="000000"/>
                <w:sz w:val="16"/>
                <w:lang w:val="en-GB"/>
              </w:rPr>
            </w:pPr>
            <w:r w:rsidRPr="009C48DA">
              <w:rPr>
                <w:rFonts w:eastAsia="Times New Roman"/>
                <w:color w:val="000000"/>
                <w:sz w:val="16"/>
                <w:lang w:val="en-GB"/>
              </w:rPr>
              <w:t>France</w:t>
            </w:r>
          </w:p>
        </w:tc>
        <w:tc>
          <w:tcPr>
            <w:tcW w:w="2310" w:type="dxa"/>
            <w:vAlign w:val="center"/>
          </w:tcPr>
          <w:p w:rsidRPr="009C48DA" w:rsidR="00661519" w:rsidP="00661519" w:rsidRDefault="00661519" w14:paraId="7174E881" w14:textId="77777777">
            <w:pPr>
              <w:spacing w:after="3"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2D088025" w14:textId="77777777">
            <w:pPr>
              <w:spacing w:after="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3A28D8D8" w14:textId="77777777">
            <w:pPr>
              <w:spacing w:after="3"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502B445" w14:textId="77777777">
        <w:trPr>
          <w:jc w:val="center"/>
        </w:trPr>
        <w:tc>
          <w:tcPr>
            <w:tcW w:w="2410" w:type="dxa"/>
            <w:vAlign w:val="center"/>
          </w:tcPr>
          <w:p w:rsidRPr="009C48DA" w:rsidR="00661519" w:rsidP="00661519" w:rsidRDefault="00661519" w14:paraId="2846108F" w14:textId="77777777">
            <w:pPr>
              <w:spacing w:after="13" w:line="188" w:lineRule="exact"/>
              <w:textAlignment w:val="baseline"/>
              <w:rPr>
                <w:rFonts w:eastAsia="Times New Roman"/>
                <w:color w:val="000000"/>
                <w:sz w:val="16"/>
                <w:lang w:val="en-GB"/>
              </w:rPr>
            </w:pPr>
            <w:r w:rsidRPr="009C48DA">
              <w:rPr>
                <w:rFonts w:eastAsia="Times New Roman"/>
                <w:color w:val="000000"/>
                <w:sz w:val="16"/>
                <w:lang w:val="en-GB"/>
              </w:rPr>
              <w:t>Vigny Participation S.à r.l.</w:t>
            </w:r>
          </w:p>
        </w:tc>
        <w:tc>
          <w:tcPr>
            <w:tcW w:w="709" w:type="dxa"/>
            <w:vAlign w:val="center"/>
          </w:tcPr>
          <w:p w:rsidRPr="009C48DA" w:rsidR="00661519" w:rsidP="00661519" w:rsidRDefault="00661519" w14:paraId="22F5F459" w14:textId="77777777">
            <w:pPr>
              <w:spacing w:after="13"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13</w:t>
            </w:r>
          </w:p>
        </w:tc>
        <w:tc>
          <w:tcPr>
            <w:tcW w:w="1417" w:type="dxa"/>
            <w:vAlign w:val="center"/>
          </w:tcPr>
          <w:p w:rsidRPr="009C48DA" w:rsidR="00661519" w:rsidP="00661519" w:rsidRDefault="00661519" w14:paraId="50ABCF3A" w14:textId="77777777">
            <w:pPr>
              <w:spacing w:after="13" w:line="188" w:lineRule="exact"/>
              <w:jc w:val="center"/>
              <w:textAlignment w:val="baseline"/>
              <w:rPr>
                <w:rFonts w:eastAsia="Times New Roman"/>
                <w:color w:val="000000"/>
                <w:sz w:val="16"/>
                <w:lang w:val="en-GB"/>
              </w:rPr>
            </w:pPr>
            <w:r w:rsidRPr="009C48DA">
              <w:rPr>
                <w:rFonts w:eastAsia="Times New Roman"/>
                <w:color w:val="000000"/>
                <w:sz w:val="16"/>
                <w:lang w:val="en-GB"/>
              </w:rPr>
              <w:t>France</w:t>
            </w:r>
          </w:p>
        </w:tc>
        <w:tc>
          <w:tcPr>
            <w:tcW w:w="2310" w:type="dxa"/>
            <w:vAlign w:val="center"/>
          </w:tcPr>
          <w:p w:rsidRPr="009C48DA" w:rsidR="00661519" w:rsidP="00661519" w:rsidRDefault="00661519" w14:paraId="6A39B631" w14:textId="77777777">
            <w:pPr>
              <w:spacing w:after="13"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430F52A3" w14:textId="77777777">
            <w:pPr>
              <w:spacing w:after="13"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3DE21314" w14:textId="77777777">
            <w:pPr>
              <w:spacing w:after="13"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4FE94202" w14:textId="77777777">
        <w:trPr>
          <w:jc w:val="center"/>
        </w:trPr>
        <w:tc>
          <w:tcPr>
            <w:tcW w:w="2410" w:type="dxa"/>
            <w:vAlign w:val="center"/>
          </w:tcPr>
          <w:p w:rsidRPr="009C48DA" w:rsidR="00661519" w:rsidP="00661519" w:rsidRDefault="00661519" w14:paraId="73CA71E9" w14:textId="77777777">
            <w:pPr>
              <w:spacing w:after="41" w:line="188" w:lineRule="exact"/>
              <w:textAlignment w:val="baseline"/>
              <w:rPr>
                <w:rFonts w:eastAsia="Times New Roman"/>
                <w:color w:val="000000"/>
                <w:sz w:val="16"/>
                <w:lang w:val="en-GB"/>
              </w:rPr>
            </w:pPr>
            <w:r w:rsidRPr="009C48DA">
              <w:rPr>
                <w:rFonts w:eastAsia="Times New Roman"/>
                <w:color w:val="000000"/>
                <w:sz w:val="16"/>
                <w:lang w:val="en-GB"/>
              </w:rPr>
              <w:t>Vigny Holding S.à r.l.</w:t>
            </w:r>
          </w:p>
        </w:tc>
        <w:tc>
          <w:tcPr>
            <w:tcW w:w="709" w:type="dxa"/>
            <w:vAlign w:val="center"/>
          </w:tcPr>
          <w:p w:rsidRPr="009C48DA" w:rsidR="00661519" w:rsidP="00661519" w:rsidRDefault="00661519" w14:paraId="3880F659" w14:textId="77777777">
            <w:pPr>
              <w:spacing w:after="41" w:line="188" w:lineRule="exact"/>
              <w:ind w:right="105"/>
              <w:jc w:val="right"/>
              <w:textAlignment w:val="baseline"/>
              <w:rPr>
                <w:rFonts w:eastAsia="Times New Roman"/>
                <w:color w:val="000000"/>
                <w:sz w:val="16"/>
                <w:lang w:val="en-GB"/>
              </w:rPr>
            </w:pPr>
            <w:r w:rsidRPr="009C48DA">
              <w:rPr>
                <w:rFonts w:eastAsia="Times New Roman"/>
                <w:color w:val="000000"/>
                <w:sz w:val="16"/>
                <w:lang w:val="en-GB"/>
              </w:rPr>
              <w:t>13</w:t>
            </w:r>
          </w:p>
        </w:tc>
        <w:tc>
          <w:tcPr>
            <w:tcW w:w="1417" w:type="dxa"/>
            <w:vAlign w:val="center"/>
          </w:tcPr>
          <w:p w:rsidRPr="009C48DA" w:rsidR="00661519" w:rsidP="00661519" w:rsidRDefault="00661519" w14:paraId="4677942A" w14:textId="77777777">
            <w:pPr>
              <w:spacing w:after="41" w:line="188" w:lineRule="exact"/>
              <w:jc w:val="center"/>
              <w:textAlignment w:val="baseline"/>
              <w:rPr>
                <w:rFonts w:eastAsia="Times New Roman"/>
                <w:color w:val="000000"/>
                <w:sz w:val="16"/>
                <w:lang w:val="en-GB"/>
              </w:rPr>
            </w:pPr>
            <w:r w:rsidRPr="009C48DA">
              <w:rPr>
                <w:rFonts w:eastAsia="Times New Roman"/>
                <w:color w:val="000000"/>
                <w:sz w:val="16"/>
                <w:lang w:val="en-GB"/>
              </w:rPr>
              <w:t>France</w:t>
            </w:r>
          </w:p>
        </w:tc>
        <w:tc>
          <w:tcPr>
            <w:tcW w:w="2310" w:type="dxa"/>
            <w:vAlign w:val="center"/>
          </w:tcPr>
          <w:p w:rsidRPr="009C48DA" w:rsidR="00661519" w:rsidP="00661519" w:rsidRDefault="00661519" w14:paraId="747BF54F" w14:textId="77777777">
            <w:pPr>
              <w:spacing w:after="41" w:line="188" w:lineRule="exact"/>
              <w:jc w:val="center"/>
              <w:textAlignment w:val="baseline"/>
              <w:rPr>
                <w:rFonts w:eastAsia="Times New Roman"/>
                <w:color w:val="000000"/>
                <w:sz w:val="16"/>
                <w:lang w:val="en-GB"/>
              </w:rPr>
            </w:pPr>
            <w:r w:rsidRPr="009C48DA">
              <w:rPr>
                <w:rFonts w:eastAsia="Times New Roman"/>
                <w:color w:val="000000"/>
                <w:sz w:val="16"/>
                <w:lang w:val="en-GB"/>
              </w:rPr>
              <w:t>Dormant entity</w:t>
            </w:r>
          </w:p>
        </w:tc>
        <w:tc>
          <w:tcPr>
            <w:tcW w:w="1376" w:type="dxa"/>
            <w:vAlign w:val="center"/>
          </w:tcPr>
          <w:p w:rsidRPr="009C48DA" w:rsidR="00661519" w:rsidP="00661519" w:rsidRDefault="00661519" w14:paraId="527EC0AC" w14:textId="77777777">
            <w:pPr>
              <w:spacing w:after="41" w:line="188" w:lineRule="exact"/>
              <w:jc w:val="center"/>
              <w:textAlignment w:val="baseline"/>
              <w:rPr>
                <w:rFonts w:eastAsia="Times New Roman"/>
                <w:color w:val="000000"/>
                <w:sz w:val="16"/>
                <w:lang w:val="en-GB"/>
              </w:rPr>
            </w:pPr>
            <w:r w:rsidRPr="009C48DA">
              <w:rPr>
                <w:rFonts w:eastAsia="Times New Roman"/>
                <w:color w:val="000000"/>
                <w:sz w:val="16"/>
                <w:lang w:val="en-GB"/>
              </w:rPr>
              <w:t>Ordinary shares</w:t>
            </w:r>
          </w:p>
        </w:tc>
        <w:tc>
          <w:tcPr>
            <w:tcW w:w="1275" w:type="dxa"/>
            <w:vAlign w:val="center"/>
          </w:tcPr>
          <w:p w:rsidRPr="009C48DA" w:rsidR="00661519" w:rsidP="00661519" w:rsidRDefault="00661519" w14:paraId="63B272C1" w14:textId="77777777">
            <w:pPr>
              <w:spacing w:after="41" w:line="188" w:lineRule="exact"/>
              <w:ind w:right="511"/>
              <w:jc w:val="right"/>
              <w:textAlignment w:val="baseline"/>
              <w:rPr>
                <w:rFonts w:eastAsia="Times New Roman"/>
                <w:color w:val="000000"/>
                <w:sz w:val="16"/>
                <w:lang w:val="en-GB"/>
              </w:rPr>
            </w:pPr>
            <w:r w:rsidRPr="009C48DA">
              <w:rPr>
                <w:rFonts w:eastAsia="Times New Roman"/>
                <w:color w:val="000000"/>
                <w:sz w:val="16"/>
                <w:lang w:val="en-GB"/>
              </w:rPr>
              <w:t>100%</w:t>
            </w:r>
          </w:p>
        </w:tc>
      </w:tr>
    </w:tbl>
    <w:p w:rsidRPr="009C48DA" w:rsidR="00661519" w:rsidP="00661519" w:rsidRDefault="00661519" w14:paraId="42963625" w14:textId="77777777">
      <w:pPr>
        <w:rPr>
          <w:rFonts w:eastAsia="Times New Roman"/>
          <w:color w:val="000000"/>
          <w:sz w:val="16"/>
          <w:lang w:val="en-GB"/>
        </w:rPr>
      </w:pPr>
    </w:p>
    <w:p w:rsidRPr="009C48DA" w:rsidR="00661519" w:rsidP="00661519" w:rsidRDefault="00661519" w14:paraId="17A8071B" w14:textId="77777777">
      <w:pPr>
        <w:rPr>
          <w:rFonts w:eastAsia="Times New Roman"/>
          <w:color w:val="000000"/>
          <w:sz w:val="16"/>
          <w:lang w:val="en-GB"/>
        </w:rPr>
      </w:pPr>
      <w:r w:rsidRPr="009C48DA">
        <w:rPr>
          <w:rFonts w:eastAsia="Times New Roman"/>
          <w:color w:val="000000"/>
          <w:sz w:val="16"/>
          <w:lang w:val="en-GB"/>
        </w:rPr>
        <w:t>* The Group holds 49% of A Shares and 100% of B shares</w:t>
      </w:r>
      <w:r w:rsidRPr="009C48DA">
        <w:rPr>
          <w:rFonts w:eastAsia="Times New Roman"/>
          <w:color w:val="000000"/>
          <w:sz w:val="16"/>
          <w:lang w:val="en-GB"/>
        </w:rP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47"/>
        <w:gridCol w:w="6693"/>
      </w:tblGrid>
      <w:tr w:rsidRPr="009C48DA" w:rsidR="00661519" w:rsidTr="00661519" w14:paraId="4B918659" w14:textId="77777777">
        <w:tc>
          <w:tcPr>
            <w:tcW w:w="2547" w:type="dxa"/>
          </w:tcPr>
          <w:p w:rsidRPr="009C48DA" w:rsidR="00661519" w:rsidP="00661519" w:rsidRDefault="00661519" w14:paraId="24254C3C" w14:textId="77777777">
            <w:pPr>
              <w:spacing w:before="101" w:line="194" w:lineRule="exact"/>
              <w:textAlignment w:val="baseline"/>
              <w:rPr>
                <w:rFonts w:eastAsia="Times New Roman"/>
                <w:b/>
                <w:color w:val="000000"/>
                <w:spacing w:val="-1"/>
                <w:sz w:val="17"/>
                <w:lang w:val="en-GB"/>
              </w:rPr>
            </w:pPr>
            <w:r w:rsidRPr="009C48DA">
              <w:rPr>
                <w:rFonts w:eastAsia="Times New Roman"/>
                <w:b/>
                <w:color w:val="000000"/>
                <w:spacing w:val="-1"/>
                <w:sz w:val="17"/>
                <w:lang w:val="en-GB"/>
              </w:rPr>
              <w:lastRenderedPageBreak/>
              <w:t>Ref</w:t>
            </w:r>
          </w:p>
        </w:tc>
        <w:tc>
          <w:tcPr>
            <w:tcW w:w="6693" w:type="dxa"/>
          </w:tcPr>
          <w:p w:rsidRPr="009C48DA" w:rsidR="00661519" w:rsidP="00661519" w:rsidRDefault="00661519" w14:paraId="45EA60D4" w14:textId="77777777">
            <w:pPr>
              <w:spacing w:before="101" w:line="194" w:lineRule="exact"/>
              <w:jc w:val="center"/>
              <w:textAlignment w:val="baseline"/>
              <w:rPr>
                <w:rFonts w:eastAsia="Times New Roman"/>
                <w:b/>
                <w:color w:val="000000"/>
                <w:spacing w:val="-1"/>
                <w:sz w:val="17"/>
                <w:lang w:val="en-GB"/>
              </w:rPr>
            </w:pPr>
            <w:r w:rsidRPr="009C48DA">
              <w:rPr>
                <w:rFonts w:eastAsia="Times New Roman"/>
                <w:b/>
                <w:color w:val="000000"/>
                <w:spacing w:val="-1"/>
                <w:sz w:val="17"/>
                <w:lang w:val="en-GB"/>
              </w:rPr>
              <w:t>Registered office</w:t>
            </w:r>
          </w:p>
        </w:tc>
      </w:tr>
      <w:tr w:rsidRPr="009C48DA" w:rsidR="00661519" w:rsidTr="00661519" w14:paraId="17702228" w14:textId="77777777">
        <w:tc>
          <w:tcPr>
            <w:tcW w:w="2547" w:type="dxa"/>
          </w:tcPr>
          <w:p w:rsidRPr="009C48DA" w:rsidR="00661519" w:rsidP="00661519" w:rsidRDefault="00661519" w14:paraId="28DBDC4D" w14:textId="77777777">
            <w:pPr>
              <w:spacing w:before="13" w:line="186" w:lineRule="exact"/>
              <w:textAlignment w:val="baseline"/>
              <w:rPr>
                <w:rFonts w:eastAsia="Times New Roman"/>
                <w:color w:val="000000"/>
                <w:sz w:val="16"/>
                <w:lang w:val="en-GB"/>
              </w:rPr>
            </w:pPr>
            <w:r w:rsidRPr="009C48DA">
              <w:rPr>
                <w:rFonts w:eastAsia="Times New Roman"/>
                <w:color w:val="000000"/>
                <w:sz w:val="16"/>
                <w:lang w:val="en-GB"/>
              </w:rPr>
              <w:t>1</w:t>
            </w:r>
          </w:p>
        </w:tc>
        <w:tc>
          <w:tcPr>
            <w:tcW w:w="6693" w:type="dxa"/>
          </w:tcPr>
          <w:p w:rsidRPr="009C48DA" w:rsidR="00661519" w:rsidP="00661519" w:rsidRDefault="00661519" w14:paraId="159F32E4" w14:textId="77777777">
            <w:pPr>
              <w:spacing w:before="13" w:line="186" w:lineRule="exact"/>
              <w:textAlignment w:val="baseline"/>
              <w:rPr>
                <w:rFonts w:eastAsia="Times New Roman"/>
                <w:color w:val="000000"/>
                <w:sz w:val="16"/>
                <w:lang w:val="en-GB"/>
              </w:rPr>
            </w:pPr>
            <w:r w:rsidRPr="009C48DA">
              <w:rPr>
                <w:rFonts w:eastAsia="Times New Roman"/>
                <w:color w:val="000000"/>
                <w:sz w:val="16"/>
                <w:lang w:val="en-GB"/>
              </w:rPr>
              <w:t>95 Wigmore Street, London, W1U 1FB, UK</w:t>
            </w:r>
          </w:p>
        </w:tc>
      </w:tr>
      <w:tr w:rsidRPr="009C48DA" w:rsidR="00661519" w:rsidTr="00661519" w14:paraId="43FC6B14" w14:textId="77777777">
        <w:tc>
          <w:tcPr>
            <w:tcW w:w="2547" w:type="dxa"/>
          </w:tcPr>
          <w:p w:rsidRPr="009C48DA" w:rsidR="00661519" w:rsidP="00661519" w:rsidRDefault="00661519" w14:paraId="43DB1D64" w14:textId="77777777">
            <w:pPr>
              <w:spacing w:before="49" w:line="186" w:lineRule="exact"/>
              <w:textAlignment w:val="baseline"/>
              <w:rPr>
                <w:rFonts w:eastAsia="Times New Roman"/>
                <w:color w:val="000000"/>
                <w:sz w:val="16"/>
                <w:lang w:val="en-GB"/>
              </w:rPr>
            </w:pPr>
            <w:r w:rsidRPr="009C48DA">
              <w:rPr>
                <w:rFonts w:eastAsia="Times New Roman"/>
                <w:color w:val="000000"/>
                <w:sz w:val="16"/>
                <w:lang w:val="en-GB"/>
              </w:rPr>
              <w:t>2</w:t>
            </w:r>
          </w:p>
        </w:tc>
        <w:tc>
          <w:tcPr>
            <w:tcW w:w="6693" w:type="dxa"/>
          </w:tcPr>
          <w:p w:rsidRPr="009C48DA" w:rsidR="00661519" w:rsidP="00661519" w:rsidRDefault="00661519" w14:paraId="48035C65" w14:textId="77777777">
            <w:pPr>
              <w:spacing w:before="49" w:line="186" w:lineRule="exact"/>
              <w:textAlignment w:val="baseline"/>
              <w:rPr>
                <w:rFonts w:eastAsia="Times New Roman"/>
                <w:color w:val="000000"/>
                <w:sz w:val="16"/>
                <w:lang w:val="en-GB"/>
              </w:rPr>
            </w:pPr>
            <w:r w:rsidRPr="009C48DA">
              <w:rPr>
                <w:rFonts w:eastAsia="Times New Roman"/>
                <w:color w:val="000000"/>
                <w:sz w:val="16"/>
                <w:lang w:val="en-GB"/>
              </w:rPr>
              <w:t>50 Lothian Road, Edinburgh, EH3 9WJ, UK</w:t>
            </w:r>
          </w:p>
        </w:tc>
      </w:tr>
      <w:tr w:rsidRPr="009C48DA" w:rsidR="00661519" w:rsidTr="00661519" w14:paraId="54002D26" w14:textId="77777777">
        <w:tc>
          <w:tcPr>
            <w:tcW w:w="2547" w:type="dxa"/>
          </w:tcPr>
          <w:p w:rsidRPr="009C48DA" w:rsidR="00661519" w:rsidP="00661519" w:rsidRDefault="00661519" w14:paraId="45A4B6AE" w14:textId="77777777">
            <w:pPr>
              <w:spacing w:before="50" w:line="186" w:lineRule="exact"/>
              <w:textAlignment w:val="baseline"/>
              <w:rPr>
                <w:rFonts w:eastAsia="Times New Roman"/>
                <w:color w:val="000000"/>
                <w:sz w:val="16"/>
                <w:lang w:val="en-GB"/>
              </w:rPr>
            </w:pPr>
            <w:r w:rsidRPr="009C48DA">
              <w:rPr>
                <w:rFonts w:eastAsia="Times New Roman"/>
                <w:color w:val="000000"/>
                <w:sz w:val="16"/>
                <w:lang w:val="en-GB"/>
              </w:rPr>
              <w:t>3</w:t>
            </w:r>
          </w:p>
        </w:tc>
        <w:tc>
          <w:tcPr>
            <w:tcW w:w="6693" w:type="dxa"/>
          </w:tcPr>
          <w:p w:rsidRPr="009C48DA" w:rsidR="00661519" w:rsidP="00661519" w:rsidRDefault="00661519" w14:paraId="5B0117F0" w14:textId="77777777">
            <w:pPr>
              <w:spacing w:before="50" w:line="186" w:lineRule="exact"/>
              <w:textAlignment w:val="baseline"/>
              <w:rPr>
                <w:rFonts w:eastAsia="Times New Roman"/>
                <w:color w:val="000000"/>
                <w:sz w:val="16"/>
                <w:lang w:val="en-GB"/>
              </w:rPr>
            </w:pPr>
            <w:r w:rsidRPr="009C48DA">
              <w:rPr>
                <w:rFonts w:eastAsia="Times New Roman"/>
                <w:color w:val="000000"/>
                <w:sz w:val="16"/>
                <w:lang w:val="en-GB"/>
              </w:rPr>
              <w:t>1 Avenue Charles de Gaulle, L-1653, Luxembourg</w:t>
            </w:r>
          </w:p>
        </w:tc>
      </w:tr>
      <w:tr w:rsidRPr="009C48DA" w:rsidR="00661519" w:rsidTr="00661519" w14:paraId="6BD142C7" w14:textId="77777777">
        <w:tc>
          <w:tcPr>
            <w:tcW w:w="2547" w:type="dxa"/>
          </w:tcPr>
          <w:p w:rsidRPr="009C48DA" w:rsidR="00661519" w:rsidP="00661519" w:rsidRDefault="00661519" w14:paraId="25D0F847" w14:textId="77777777">
            <w:pPr>
              <w:spacing w:before="44" w:line="186" w:lineRule="exact"/>
              <w:textAlignment w:val="baseline"/>
              <w:rPr>
                <w:rFonts w:eastAsia="Times New Roman"/>
                <w:color w:val="000000"/>
                <w:sz w:val="16"/>
                <w:lang w:val="en-GB"/>
              </w:rPr>
            </w:pPr>
            <w:r w:rsidRPr="009C48DA">
              <w:rPr>
                <w:rFonts w:eastAsia="Times New Roman"/>
                <w:color w:val="000000"/>
                <w:sz w:val="16"/>
                <w:lang w:val="en-GB"/>
              </w:rPr>
              <w:t>4</w:t>
            </w:r>
          </w:p>
        </w:tc>
        <w:tc>
          <w:tcPr>
            <w:tcW w:w="6693" w:type="dxa"/>
          </w:tcPr>
          <w:p w:rsidRPr="009C48DA" w:rsidR="00661519" w:rsidP="00661519" w:rsidRDefault="00661519" w14:paraId="5CD17DBA" w14:textId="77777777">
            <w:pPr>
              <w:spacing w:before="44" w:line="186" w:lineRule="exact"/>
              <w:textAlignment w:val="baseline"/>
              <w:rPr>
                <w:rFonts w:eastAsia="Times New Roman"/>
                <w:color w:val="000000"/>
                <w:sz w:val="16"/>
                <w:lang w:val="en-GB"/>
              </w:rPr>
            </w:pPr>
            <w:r w:rsidRPr="009C48DA">
              <w:rPr>
                <w:rFonts w:eastAsia="Times New Roman"/>
                <w:color w:val="000000"/>
                <w:sz w:val="16"/>
                <w:lang w:val="en-GB"/>
              </w:rPr>
              <w:t>1 Royal Plaza, St. Peter Port, Guernsey, GY1 2HL</w:t>
            </w:r>
          </w:p>
        </w:tc>
      </w:tr>
      <w:tr w:rsidRPr="009C48DA" w:rsidR="00661519" w:rsidTr="00661519" w14:paraId="2D7D06FD" w14:textId="77777777">
        <w:tc>
          <w:tcPr>
            <w:tcW w:w="2547" w:type="dxa"/>
          </w:tcPr>
          <w:p w:rsidRPr="009C48DA" w:rsidR="00661519" w:rsidP="00661519" w:rsidRDefault="00661519" w14:paraId="55FBAFF2" w14:textId="77777777">
            <w:pPr>
              <w:spacing w:before="49" w:line="186" w:lineRule="exact"/>
              <w:textAlignment w:val="baseline"/>
              <w:rPr>
                <w:rFonts w:eastAsia="Times New Roman"/>
                <w:color w:val="000000"/>
                <w:sz w:val="16"/>
                <w:lang w:val="en-GB"/>
              </w:rPr>
            </w:pPr>
            <w:r w:rsidRPr="009C48DA">
              <w:rPr>
                <w:rFonts w:eastAsia="Times New Roman"/>
                <w:color w:val="000000"/>
                <w:sz w:val="16"/>
                <w:lang w:val="en-GB"/>
              </w:rPr>
              <w:t>5</w:t>
            </w:r>
          </w:p>
        </w:tc>
        <w:tc>
          <w:tcPr>
            <w:tcW w:w="6693" w:type="dxa"/>
          </w:tcPr>
          <w:p w:rsidRPr="009C48DA" w:rsidR="00661519" w:rsidP="00661519" w:rsidRDefault="00661519" w14:paraId="3399C73C" w14:textId="77777777">
            <w:pPr>
              <w:spacing w:before="49" w:line="186" w:lineRule="exact"/>
              <w:textAlignment w:val="baseline"/>
              <w:rPr>
                <w:rFonts w:eastAsia="Times New Roman"/>
                <w:color w:val="000000"/>
                <w:sz w:val="16"/>
                <w:lang w:val="en-GB"/>
              </w:rPr>
            </w:pPr>
            <w:r w:rsidRPr="009C48DA">
              <w:rPr>
                <w:rFonts w:eastAsia="Times New Roman"/>
                <w:color w:val="000000"/>
                <w:sz w:val="16"/>
                <w:lang w:val="en-GB"/>
              </w:rPr>
              <w:t xml:space="preserve">Mäster Samuelsgatan 1, 111 44 Stockholm, Sweden </w:t>
            </w:r>
          </w:p>
        </w:tc>
      </w:tr>
      <w:tr w:rsidRPr="009C48DA" w:rsidR="00661519" w:rsidTr="00661519" w14:paraId="7C76BB9D" w14:textId="77777777">
        <w:tc>
          <w:tcPr>
            <w:tcW w:w="2547" w:type="dxa"/>
          </w:tcPr>
          <w:p w:rsidRPr="009C48DA" w:rsidR="00661519" w:rsidP="00661519" w:rsidRDefault="00661519" w14:paraId="3081E89C" w14:textId="77777777">
            <w:pPr>
              <w:spacing w:line="184" w:lineRule="exact"/>
              <w:textAlignment w:val="baseline"/>
              <w:rPr>
                <w:rFonts w:eastAsia="Times New Roman"/>
                <w:color w:val="000000"/>
                <w:sz w:val="16"/>
                <w:lang w:val="en-GB"/>
              </w:rPr>
            </w:pPr>
            <w:r w:rsidRPr="009C48DA">
              <w:rPr>
                <w:rFonts w:eastAsia="Times New Roman"/>
                <w:color w:val="000000"/>
                <w:sz w:val="16"/>
                <w:lang w:val="en-GB"/>
              </w:rPr>
              <w:t>6</w:t>
            </w:r>
          </w:p>
        </w:tc>
        <w:tc>
          <w:tcPr>
            <w:tcW w:w="6693" w:type="dxa"/>
          </w:tcPr>
          <w:p w:rsidRPr="009C48DA" w:rsidR="00661519" w:rsidP="00661519" w:rsidRDefault="00661519" w14:paraId="02C57434" w14:textId="77777777">
            <w:pPr>
              <w:spacing w:line="184" w:lineRule="exact"/>
              <w:textAlignment w:val="baseline"/>
              <w:rPr>
                <w:rFonts w:eastAsia="Times New Roman"/>
                <w:color w:val="000000"/>
                <w:sz w:val="16"/>
                <w:lang w:val="en-GB"/>
              </w:rPr>
            </w:pPr>
            <w:r w:rsidRPr="009C48DA">
              <w:rPr>
                <w:rFonts w:eastAsia="Times New Roman"/>
                <w:color w:val="000000"/>
                <w:sz w:val="16"/>
                <w:lang w:val="en-GB"/>
              </w:rPr>
              <w:t xml:space="preserve">One Rodney Square, 10th Floor, Tenth and King Streets, Wilmington, New Castle </w:t>
            </w:r>
          </w:p>
          <w:p w:rsidRPr="009C48DA" w:rsidR="00661519" w:rsidP="00661519" w:rsidRDefault="00661519" w14:paraId="6C07A5F6" w14:textId="77777777">
            <w:pPr>
              <w:spacing w:line="184" w:lineRule="exact"/>
              <w:textAlignment w:val="baseline"/>
              <w:rPr>
                <w:rFonts w:eastAsia="Times New Roman"/>
                <w:color w:val="000000"/>
                <w:sz w:val="16"/>
                <w:lang w:val="en-GB"/>
              </w:rPr>
            </w:pPr>
            <w:r w:rsidRPr="009C48DA">
              <w:rPr>
                <w:rFonts w:eastAsia="Times New Roman"/>
                <w:color w:val="000000"/>
                <w:sz w:val="16"/>
                <w:lang w:val="en-GB"/>
              </w:rPr>
              <w:t>County, Delaware 19801, USA</w:t>
            </w:r>
          </w:p>
        </w:tc>
      </w:tr>
      <w:tr w:rsidRPr="009C48DA" w:rsidR="00661519" w:rsidTr="00661519" w14:paraId="1A86576D" w14:textId="77777777">
        <w:tc>
          <w:tcPr>
            <w:tcW w:w="2547" w:type="dxa"/>
          </w:tcPr>
          <w:p w:rsidRPr="009C48DA" w:rsidR="00661519" w:rsidP="00661519" w:rsidRDefault="00661519" w14:paraId="72086081" w14:textId="77777777">
            <w:pPr>
              <w:spacing w:before="54" w:line="186" w:lineRule="exact"/>
              <w:textAlignment w:val="baseline"/>
              <w:rPr>
                <w:rFonts w:eastAsia="Times New Roman"/>
                <w:color w:val="000000"/>
                <w:sz w:val="16"/>
                <w:lang w:val="en-GB"/>
              </w:rPr>
            </w:pPr>
            <w:r w:rsidRPr="009C48DA">
              <w:rPr>
                <w:rFonts w:eastAsia="Times New Roman"/>
                <w:color w:val="000000"/>
                <w:sz w:val="16"/>
                <w:lang w:val="en-GB"/>
              </w:rPr>
              <w:t>7</w:t>
            </w:r>
          </w:p>
        </w:tc>
        <w:tc>
          <w:tcPr>
            <w:tcW w:w="6693" w:type="dxa"/>
          </w:tcPr>
          <w:p w:rsidRPr="009C48DA" w:rsidR="00661519" w:rsidP="00661519" w:rsidRDefault="00661519" w14:paraId="466B3969" w14:textId="77777777">
            <w:pPr>
              <w:spacing w:before="54" w:line="186" w:lineRule="exact"/>
              <w:textAlignment w:val="baseline"/>
              <w:rPr>
                <w:rFonts w:eastAsia="Times New Roman"/>
                <w:color w:val="000000"/>
                <w:sz w:val="16"/>
                <w:lang w:val="en-GB"/>
              </w:rPr>
            </w:pPr>
            <w:r w:rsidRPr="009C48DA">
              <w:rPr>
                <w:rFonts w:eastAsia="Times New Roman"/>
                <w:color w:val="000000"/>
                <w:sz w:val="16"/>
                <w:lang w:val="en-GB"/>
              </w:rPr>
              <w:t>Neue Mainzer Strasse 28, 60311 Frankfurt am Main, Germany</w:t>
            </w:r>
          </w:p>
        </w:tc>
      </w:tr>
      <w:tr w:rsidRPr="009C48DA" w:rsidR="00661519" w:rsidTr="00661519" w14:paraId="0691942F" w14:textId="77777777">
        <w:tc>
          <w:tcPr>
            <w:tcW w:w="2547" w:type="dxa"/>
          </w:tcPr>
          <w:p w:rsidRPr="009C48DA" w:rsidR="00661519" w:rsidP="00661519" w:rsidRDefault="00661519" w14:paraId="2ED4A1C1" w14:textId="77777777">
            <w:pPr>
              <w:spacing w:before="49" w:line="186" w:lineRule="exact"/>
              <w:textAlignment w:val="baseline"/>
              <w:rPr>
                <w:rFonts w:eastAsia="Times New Roman"/>
                <w:color w:val="000000"/>
                <w:sz w:val="16"/>
                <w:lang w:val="en-GB"/>
              </w:rPr>
            </w:pPr>
            <w:r w:rsidRPr="009C48DA">
              <w:rPr>
                <w:rFonts w:eastAsia="Times New Roman"/>
                <w:color w:val="000000"/>
                <w:sz w:val="16"/>
                <w:lang w:val="en-GB"/>
              </w:rPr>
              <w:t>8</w:t>
            </w:r>
          </w:p>
        </w:tc>
        <w:tc>
          <w:tcPr>
            <w:tcW w:w="6693" w:type="dxa"/>
          </w:tcPr>
          <w:p w:rsidRPr="009C48DA" w:rsidR="00661519" w:rsidP="00661519" w:rsidRDefault="00661519" w14:paraId="2E4E2296" w14:textId="77777777">
            <w:pPr>
              <w:spacing w:before="49" w:line="186" w:lineRule="exact"/>
              <w:textAlignment w:val="baseline"/>
              <w:rPr>
                <w:rFonts w:eastAsia="Times New Roman"/>
                <w:color w:val="000000"/>
                <w:sz w:val="16"/>
                <w:lang w:val="en-GB"/>
              </w:rPr>
            </w:pPr>
            <w:r w:rsidRPr="009C48DA">
              <w:rPr>
                <w:rFonts w:eastAsia="Times New Roman"/>
                <w:color w:val="000000"/>
                <w:sz w:val="16"/>
                <w:lang w:val="en-GB"/>
              </w:rPr>
              <w:t>21 Avenue Kléber, 75116 Paris, France</w:t>
            </w:r>
          </w:p>
        </w:tc>
      </w:tr>
      <w:tr w:rsidRPr="009C48DA" w:rsidR="00661519" w:rsidTr="00661519" w14:paraId="743DB47E" w14:textId="77777777">
        <w:tc>
          <w:tcPr>
            <w:tcW w:w="2547" w:type="dxa"/>
          </w:tcPr>
          <w:p w:rsidRPr="009C48DA" w:rsidR="00661519" w:rsidP="00661519" w:rsidRDefault="00661519" w14:paraId="19EE91B0" w14:textId="77777777">
            <w:pPr>
              <w:spacing w:before="45" w:line="186" w:lineRule="exact"/>
              <w:textAlignment w:val="baseline"/>
              <w:rPr>
                <w:rFonts w:eastAsia="Times New Roman"/>
                <w:color w:val="000000"/>
                <w:sz w:val="16"/>
                <w:lang w:val="en-GB"/>
              </w:rPr>
            </w:pPr>
            <w:r w:rsidRPr="009C48DA">
              <w:rPr>
                <w:rFonts w:eastAsia="Times New Roman"/>
                <w:color w:val="000000"/>
                <w:sz w:val="16"/>
                <w:lang w:val="en-GB"/>
              </w:rPr>
              <w:t>9</w:t>
            </w:r>
          </w:p>
        </w:tc>
        <w:tc>
          <w:tcPr>
            <w:tcW w:w="6693" w:type="dxa"/>
          </w:tcPr>
          <w:p w:rsidRPr="009C48DA" w:rsidR="00661519" w:rsidP="00661519" w:rsidRDefault="00661519" w14:paraId="7057D2C5" w14:textId="77777777">
            <w:pPr>
              <w:spacing w:before="45" w:line="186" w:lineRule="exact"/>
              <w:textAlignment w:val="baseline"/>
              <w:rPr>
                <w:rFonts w:eastAsia="Times New Roman"/>
                <w:color w:val="000000"/>
                <w:sz w:val="16"/>
                <w:lang w:val="en-GB"/>
              </w:rPr>
            </w:pPr>
            <w:r w:rsidRPr="009C48DA">
              <w:rPr>
                <w:rFonts w:eastAsia="Times New Roman"/>
                <w:color w:val="000000"/>
                <w:sz w:val="16"/>
                <w:lang w:val="en-GB"/>
              </w:rPr>
              <w:t>Shanghai One ICC, 999 Huaihai Road (Middle), 20031 Shanghai, China</w:t>
            </w:r>
          </w:p>
        </w:tc>
      </w:tr>
      <w:tr w:rsidRPr="009C48DA" w:rsidR="00661519" w:rsidTr="00661519" w14:paraId="1EDA727B" w14:textId="77777777">
        <w:tc>
          <w:tcPr>
            <w:tcW w:w="2547" w:type="dxa"/>
          </w:tcPr>
          <w:p w:rsidRPr="009C48DA" w:rsidR="00661519" w:rsidP="00661519" w:rsidRDefault="00661519" w14:paraId="7E423962" w14:textId="77777777">
            <w:pPr>
              <w:spacing w:before="49" w:line="186" w:lineRule="exact"/>
              <w:textAlignment w:val="baseline"/>
              <w:rPr>
                <w:rFonts w:eastAsia="Times New Roman"/>
                <w:color w:val="000000"/>
                <w:sz w:val="16"/>
                <w:lang w:val="en-GB"/>
              </w:rPr>
            </w:pPr>
            <w:r w:rsidRPr="009C48DA">
              <w:rPr>
                <w:rFonts w:eastAsia="Times New Roman"/>
                <w:color w:val="000000"/>
                <w:sz w:val="16"/>
                <w:lang w:val="en-GB"/>
              </w:rPr>
              <w:t>10</w:t>
            </w:r>
          </w:p>
        </w:tc>
        <w:tc>
          <w:tcPr>
            <w:tcW w:w="6693" w:type="dxa"/>
          </w:tcPr>
          <w:p w:rsidRPr="009C48DA" w:rsidR="00661519" w:rsidP="00661519" w:rsidRDefault="00661519" w14:paraId="4DA06F4B" w14:textId="77777777">
            <w:pPr>
              <w:spacing w:before="49" w:line="186" w:lineRule="exact"/>
              <w:textAlignment w:val="baseline"/>
              <w:rPr>
                <w:rFonts w:eastAsia="Times New Roman"/>
                <w:color w:val="000000"/>
                <w:sz w:val="16"/>
                <w:lang w:val="en-GB"/>
              </w:rPr>
            </w:pPr>
            <w:r w:rsidRPr="009C48DA">
              <w:rPr>
                <w:rFonts w:eastAsia="Times New Roman"/>
                <w:color w:val="000000"/>
                <w:sz w:val="16"/>
                <w:lang w:val="en-GB"/>
              </w:rPr>
              <w:t>Honthorststraat 16H, 1071 DE Amsterdam, The Netherlands</w:t>
            </w:r>
          </w:p>
        </w:tc>
      </w:tr>
      <w:tr w:rsidRPr="009C48DA" w:rsidR="00661519" w:rsidTr="00661519" w14:paraId="7CD794BC" w14:textId="77777777">
        <w:tc>
          <w:tcPr>
            <w:tcW w:w="2547" w:type="dxa"/>
          </w:tcPr>
          <w:p w:rsidRPr="009C48DA" w:rsidR="00661519" w:rsidP="00661519" w:rsidRDefault="00661519" w14:paraId="3D66912E" w14:textId="77777777">
            <w:pPr>
              <w:spacing w:before="49" w:line="186" w:lineRule="exact"/>
              <w:textAlignment w:val="baseline"/>
              <w:rPr>
                <w:rFonts w:eastAsia="Times New Roman"/>
                <w:color w:val="000000"/>
                <w:sz w:val="16"/>
                <w:lang w:val="en-GB"/>
              </w:rPr>
            </w:pPr>
            <w:r w:rsidRPr="009C48DA">
              <w:rPr>
                <w:rFonts w:eastAsia="Times New Roman"/>
                <w:color w:val="000000"/>
                <w:sz w:val="16"/>
                <w:lang w:val="en-GB"/>
              </w:rPr>
              <w:t>11</w:t>
            </w:r>
          </w:p>
        </w:tc>
        <w:tc>
          <w:tcPr>
            <w:tcW w:w="6693" w:type="dxa"/>
          </w:tcPr>
          <w:p w:rsidRPr="009C48DA" w:rsidR="00661519" w:rsidP="00661519" w:rsidRDefault="00661519" w14:paraId="22DC69E7" w14:textId="77777777">
            <w:pPr>
              <w:spacing w:before="49" w:line="186" w:lineRule="exact"/>
              <w:textAlignment w:val="baseline"/>
              <w:rPr>
                <w:rFonts w:eastAsia="Times New Roman"/>
                <w:color w:val="000000"/>
                <w:sz w:val="16"/>
                <w:lang w:val="en-GB"/>
              </w:rPr>
            </w:pPr>
            <w:r w:rsidRPr="009C48DA">
              <w:rPr>
                <w:rFonts w:eastAsia="Times New Roman"/>
                <w:color w:val="000000"/>
                <w:sz w:val="16"/>
                <w:lang w:val="en-GB"/>
              </w:rPr>
              <w:t>Calle Rafael Calvo 39A-4 , 28010 Madrid, Spain</w:t>
            </w:r>
          </w:p>
        </w:tc>
      </w:tr>
      <w:tr w:rsidRPr="009C48DA" w:rsidR="00661519" w:rsidTr="00661519" w14:paraId="23DE35A4" w14:textId="77777777">
        <w:tc>
          <w:tcPr>
            <w:tcW w:w="2547" w:type="dxa"/>
          </w:tcPr>
          <w:p w:rsidRPr="009C48DA" w:rsidR="00661519" w:rsidP="00661519" w:rsidRDefault="00661519" w14:paraId="7571FDFC" w14:textId="77777777">
            <w:pPr>
              <w:spacing w:before="44" w:line="186" w:lineRule="exact"/>
              <w:textAlignment w:val="baseline"/>
              <w:rPr>
                <w:rFonts w:eastAsia="Times New Roman"/>
                <w:color w:val="000000"/>
                <w:sz w:val="16"/>
                <w:lang w:val="en-GB"/>
              </w:rPr>
            </w:pPr>
            <w:r w:rsidRPr="009C48DA">
              <w:rPr>
                <w:rFonts w:eastAsia="Times New Roman"/>
                <w:color w:val="000000"/>
                <w:sz w:val="16"/>
                <w:lang w:val="en-GB"/>
              </w:rPr>
              <w:t>12</w:t>
            </w:r>
          </w:p>
        </w:tc>
        <w:tc>
          <w:tcPr>
            <w:tcW w:w="6693" w:type="dxa"/>
          </w:tcPr>
          <w:p w:rsidRPr="009C48DA" w:rsidR="00661519" w:rsidP="00661519" w:rsidRDefault="00661519" w14:paraId="312998F8" w14:textId="77777777">
            <w:pPr>
              <w:spacing w:before="44" w:line="186" w:lineRule="exact"/>
              <w:textAlignment w:val="baseline"/>
              <w:rPr>
                <w:rFonts w:eastAsia="Times New Roman"/>
                <w:color w:val="000000"/>
                <w:sz w:val="16"/>
                <w:lang w:val="en-GB"/>
              </w:rPr>
            </w:pPr>
            <w:r w:rsidRPr="009C48DA">
              <w:rPr>
                <w:rFonts w:eastAsia="Times New Roman"/>
                <w:color w:val="000000"/>
                <w:sz w:val="16"/>
                <w:lang w:val="en-GB"/>
              </w:rPr>
              <w:t>Marsalkowska 126/134, 00-008 Warsaw, Poland</w:t>
            </w:r>
          </w:p>
        </w:tc>
      </w:tr>
      <w:tr w:rsidRPr="009C48DA" w:rsidR="00661519" w:rsidTr="00661519" w14:paraId="2D49CE3D" w14:textId="77777777">
        <w:tc>
          <w:tcPr>
            <w:tcW w:w="2547" w:type="dxa"/>
          </w:tcPr>
          <w:p w:rsidRPr="009C48DA" w:rsidR="00661519" w:rsidP="00661519" w:rsidRDefault="00661519" w14:paraId="1EBC9C5D" w14:textId="77777777">
            <w:pPr>
              <w:spacing w:before="50" w:line="186" w:lineRule="exact"/>
              <w:textAlignment w:val="baseline"/>
              <w:rPr>
                <w:rFonts w:eastAsia="Times New Roman"/>
                <w:color w:val="000000"/>
                <w:sz w:val="16"/>
                <w:lang w:val="en-GB"/>
              </w:rPr>
            </w:pPr>
            <w:r w:rsidRPr="009C48DA">
              <w:rPr>
                <w:rFonts w:eastAsia="Times New Roman"/>
                <w:color w:val="000000"/>
                <w:sz w:val="16"/>
                <w:lang w:val="en-GB"/>
              </w:rPr>
              <w:t>13</w:t>
            </w:r>
          </w:p>
        </w:tc>
        <w:tc>
          <w:tcPr>
            <w:tcW w:w="6693" w:type="dxa"/>
          </w:tcPr>
          <w:p w:rsidRPr="009C48DA" w:rsidR="00661519" w:rsidP="00661519" w:rsidRDefault="00661519" w14:paraId="44C74FB6" w14:textId="77777777">
            <w:pPr>
              <w:spacing w:before="50" w:line="186" w:lineRule="exact"/>
              <w:textAlignment w:val="baseline"/>
              <w:rPr>
                <w:rFonts w:eastAsia="Times New Roman"/>
                <w:color w:val="000000"/>
                <w:sz w:val="16"/>
                <w:lang w:val="en-GB"/>
              </w:rPr>
            </w:pPr>
            <w:r w:rsidRPr="009C48DA">
              <w:rPr>
                <w:rFonts w:eastAsia="Times New Roman"/>
                <w:color w:val="000000"/>
                <w:sz w:val="16"/>
                <w:lang w:val="en-GB"/>
              </w:rPr>
              <w:t>21 rue La Perouse, 75116 Paris, France</w:t>
            </w:r>
          </w:p>
        </w:tc>
      </w:tr>
      <w:tr w:rsidRPr="009C48DA" w:rsidR="00661519" w:rsidTr="00661519" w14:paraId="7195059C" w14:textId="77777777">
        <w:tc>
          <w:tcPr>
            <w:tcW w:w="2547" w:type="dxa"/>
          </w:tcPr>
          <w:p w:rsidRPr="009C48DA" w:rsidR="00661519" w:rsidP="00661519" w:rsidRDefault="00661519" w14:paraId="0379BAD4" w14:textId="77777777">
            <w:pPr>
              <w:spacing w:before="49" w:line="186" w:lineRule="exact"/>
              <w:textAlignment w:val="baseline"/>
              <w:rPr>
                <w:rFonts w:eastAsia="Times New Roman"/>
                <w:color w:val="000000"/>
                <w:spacing w:val="-1"/>
                <w:sz w:val="16"/>
                <w:lang w:val="en-GB"/>
              </w:rPr>
            </w:pPr>
            <w:r w:rsidRPr="009C48DA">
              <w:rPr>
                <w:rFonts w:eastAsia="Times New Roman"/>
                <w:color w:val="000000"/>
                <w:spacing w:val="-1"/>
                <w:sz w:val="16"/>
                <w:lang w:val="en-GB"/>
              </w:rPr>
              <w:t>14</w:t>
            </w:r>
          </w:p>
        </w:tc>
        <w:tc>
          <w:tcPr>
            <w:tcW w:w="6693" w:type="dxa"/>
          </w:tcPr>
          <w:p w:rsidRPr="009C48DA" w:rsidR="00661519" w:rsidP="00661519" w:rsidRDefault="00661519" w14:paraId="7001011F" w14:textId="77777777">
            <w:pPr>
              <w:spacing w:before="49" w:line="186" w:lineRule="exact"/>
              <w:textAlignment w:val="baseline"/>
              <w:rPr>
                <w:rFonts w:eastAsia="Times New Roman"/>
                <w:color w:val="000000"/>
                <w:spacing w:val="-1"/>
                <w:sz w:val="16"/>
                <w:lang w:val="en-GB"/>
              </w:rPr>
            </w:pPr>
            <w:r w:rsidRPr="009C48DA">
              <w:rPr>
                <w:rFonts w:eastAsia="Times New Roman"/>
                <w:color w:val="000000"/>
                <w:spacing w:val="-1"/>
                <w:sz w:val="16"/>
                <w:lang w:val="en-GB"/>
              </w:rPr>
              <w:t>153-155, rue du Kien, L-8030 Strassen, Luxembourg</w:t>
            </w:r>
          </w:p>
        </w:tc>
      </w:tr>
      <w:tr w:rsidRPr="009C48DA" w:rsidR="00661519" w:rsidTr="00661519" w14:paraId="0CE6B248" w14:textId="77777777">
        <w:tc>
          <w:tcPr>
            <w:tcW w:w="2547" w:type="dxa"/>
          </w:tcPr>
          <w:p w:rsidRPr="009C48DA" w:rsidR="00661519" w:rsidP="00661519" w:rsidRDefault="00661519" w14:paraId="7D051B8B" w14:textId="77777777">
            <w:pPr>
              <w:spacing w:before="49" w:line="186" w:lineRule="exact"/>
              <w:textAlignment w:val="baseline"/>
              <w:rPr>
                <w:rFonts w:eastAsia="Times New Roman"/>
                <w:color w:val="000000"/>
                <w:spacing w:val="-1"/>
                <w:sz w:val="16"/>
                <w:lang w:val="en-GB"/>
              </w:rPr>
            </w:pPr>
            <w:r w:rsidRPr="009C48DA">
              <w:rPr>
                <w:rFonts w:eastAsia="Times New Roman"/>
                <w:color w:val="000000"/>
                <w:spacing w:val="-1"/>
                <w:sz w:val="16"/>
                <w:lang w:val="en-GB"/>
              </w:rPr>
              <w:t>15</w:t>
            </w:r>
          </w:p>
        </w:tc>
        <w:tc>
          <w:tcPr>
            <w:tcW w:w="6693" w:type="dxa"/>
          </w:tcPr>
          <w:p w:rsidRPr="009C48DA" w:rsidR="00661519" w:rsidP="00661519" w:rsidRDefault="00661519" w14:paraId="47FE96A9" w14:textId="77777777">
            <w:pPr>
              <w:spacing w:before="49" w:line="186" w:lineRule="exact"/>
              <w:textAlignment w:val="baseline"/>
              <w:rPr>
                <w:rFonts w:eastAsia="Times New Roman"/>
                <w:color w:val="000000"/>
                <w:spacing w:val="-1"/>
                <w:sz w:val="16"/>
                <w:lang w:val="en-GB"/>
              </w:rPr>
            </w:pPr>
            <w:r w:rsidRPr="009C48DA">
              <w:rPr>
                <w:rFonts w:eastAsia="Times New Roman"/>
                <w:color w:val="000000"/>
                <w:spacing w:val="-1"/>
                <w:sz w:val="16"/>
                <w:lang w:val="en-GB"/>
              </w:rPr>
              <w:t>10 East 53rd St. 28th Floor, New York, NY 10022, USA</w:t>
            </w:r>
          </w:p>
        </w:tc>
      </w:tr>
    </w:tbl>
    <w:p w:rsidRPr="009C48DA" w:rsidR="00661519" w:rsidP="00661519" w:rsidRDefault="00661519" w14:paraId="09522251" w14:textId="77777777">
      <w:pPr>
        <w:rPr>
          <w:rFonts w:eastAsia="Times New Roman" w:cs="Times New Roman"/>
          <w:b/>
          <w:color w:val="000000"/>
          <w:sz w:val="16"/>
          <w:szCs w:val="22"/>
          <w:lang w:val="en-GB"/>
        </w:rPr>
      </w:pPr>
    </w:p>
    <w:p w:rsidRPr="009C48DA" w:rsidR="00661519" w:rsidP="00661519" w:rsidRDefault="00661519" w14:paraId="2EFB2CB5" w14:textId="77777777">
      <w:pPr>
        <w:rPr>
          <w:rFonts w:eastAsia="Times New Roman" w:cs="Times New Roman"/>
          <w:b/>
          <w:color w:val="000000"/>
          <w:sz w:val="16"/>
          <w:szCs w:val="22"/>
          <w:lang w:val="en-GB"/>
        </w:rPr>
      </w:pPr>
    </w:p>
    <w:p w:rsidRPr="009C48DA" w:rsidR="00661519" w:rsidP="00661519" w:rsidRDefault="00661519" w14:paraId="74EEE6D4" w14:textId="77777777">
      <w:pPr>
        <w:textAlignment w:val="baseline"/>
        <w:rPr>
          <w:rFonts w:eastAsia="Times New Roman"/>
          <w:b/>
          <w:color w:val="000000"/>
          <w:spacing w:val="1"/>
          <w:sz w:val="16"/>
          <w:lang w:val="en-GB"/>
        </w:rPr>
      </w:pPr>
      <w:r w:rsidRPr="009C48DA">
        <w:rPr>
          <w:rFonts w:eastAsia="Times New Roman"/>
          <w:b/>
          <w:color w:val="000000"/>
          <w:spacing w:val="1"/>
          <w:sz w:val="16"/>
          <w:lang w:val="en-GB"/>
        </w:rPr>
        <w:t>(b)</w:t>
      </w:r>
      <w:r w:rsidRPr="009C48DA">
        <w:rPr>
          <w:rFonts w:eastAsia="Times New Roman"/>
          <w:b/>
          <w:color w:val="000000"/>
          <w:spacing w:val="1"/>
          <w:sz w:val="16"/>
          <w:lang w:val="en-GB"/>
        </w:rPr>
        <w:tab/>
        <w:t>Entities not consolidated</w:t>
      </w:r>
    </w:p>
    <w:p w:rsidRPr="009C48DA" w:rsidR="00661519" w:rsidP="00661519" w:rsidRDefault="00661519" w14:paraId="0C1A535F" w14:textId="77777777">
      <w:pPr>
        <w:textAlignment w:val="baseline"/>
        <w:rPr>
          <w:rFonts w:eastAsia="Times New Roman"/>
          <w:color w:val="000000"/>
          <w:sz w:val="17"/>
          <w:lang w:val="en-GB"/>
        </w:rPr>
      </w:pPr>
    </w:p>
    <w:p w:rsidRPr="009C48DA" w:rsidR="00661519" w:rsidP="00661519" w:rsidRDefault="00661519" w14:paraId="68FD1CD4" w14:textId="77777777">
      <w:pPr>
        <w:textAlignment w:val="baseline"/>
        <w:rPr>
          <w:rFonts w:eastAsia="Times New Roman"/>
          <w:color w:val="000000"/>
          <w:sz w:val="17"/>
          <w:lang w:val="en-GB"/>
        </w:rPr>
      </w:pPr>
      <w:r w:rsidRPr="009C48DA">
        <w:rPr>
          <w:rFonts w:eastAsia="Times New Roman"/>
          <w:color w:val="000000"/>
          <w:sz w:val="17"/>
          <w:lang w:val="en-GB"/>
        </w:rPr>
        <w:t xml:space="preserve">The table below shows entities that are indirect subsidiaries of the Company, but the Group does not have the power to direct </w:t>
      </w:r>
      <w:r w:rsidRPr="009C48DA">
        <w:rPr>
          <w:rFonts w:eastAsia="Times New Roman"/>
          <w:color w:val="000000"/>
          <w:sz w:val="17"/>
          <w:lang w:val="en-GB"/>
        </w:rPr>
        <w:br/>
        <w:t>activities or rights to variable returns from the entity and are therefore not consolidated in the historical financial information.</w:t>
      </w:r>
    </w:p>
    <w:p w:rsidRPr="009C48DA" w:rsidR="00661519" w:rsidP="00661519" w:rsidRDefault="00661519" w14:paraId="5147EF7E" w14:textId="77777777">
      <w:pPr>
        <w:spacing w:before="110" w:line="194" w:lineRule="exact"/>
        <w:textAlignment w:val="baseline"/>
        <w:rPr>
          <w:rFonts w:eastAsia="Times New Roman"/>
          <w:color w:val="000000"/>
          <w:sz w:val="17"/>
          <w:lang w:val="en-GB"/>
        </w:rPr>
      </w:pPr>
    </w:p>
    <w:tbl>
      <w:tblPr>
        <w:tblStyle w:val="TableGrid"/>
        <w:tblW w:w="9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8"/>
        <w:gridCol w:w="471"/>
        <w:gridCol w:w="1218"/>
        <w:gridCol w:w="2280"/>
        <w:gridCol w:w="1418"/>
        <w:gridCol w:w="1701"/>
      </w:tblGrid>
      <w:tr w:rsidRPr="009C48DA" w:rsidR="00661519" w:rsidTr="00661519" w14:paraId="112B05F9" w14:textId="77777777">
        <w:tc>
          <w:tcPr>
            <w:tcW w:w="2268" w:type="dxa"/>
            <w:vAlign w:val="bottom"/>
          </w:tcPr>
          <w:p w:rsidRPr="009C48DA" w:rsidR="00661519" w:rsidP="00661519" w:rsidRDefault="00661519" w14:paraId="4FBBA5FD" w14:textId="77777777">
            <w:pPr>
              <w:textAlignment w:val="baseline"/>
              <w:rPr>
                <w:rFonts w:eastAsia="Times New Roman"/>
                <w:b/>
                <w:color w:val="000000"/>
                <w:sz w:val="17"/>
                <w:lang w:val="en-GB"/>
              </w:rPr>
            </w:pPr>
          </w:p>
        </w:tc>
        <w:tc>
          <w:tcPr>
            <w:tcW w:w="0" w:type="auto"/>
          </w:tcPr>
          <w:p w:rsidRPr="009C48DA" w:rsidR="00661519" w:rsidP="00661519" w:rsidRDefault="00661519" w14:paraId="6CDBC65B" w14:textId="77777777">
            <w:pPr>
              <w:jc w:val="center"/>
              <w:textAlignment w:val="baseline"/>
              <w:rPr>
                <w:rFonts w:eastAsia="Times New Roman"/>
                <w:b/>
                <w:color w:val="000000"/>
                <w:sz w:val="17"/>
                <w:lang w:val="en-GB"/>
              </w:rPr>
            </w:pPr>
            <w:r w:rsidRPr="009C48DA">
              <w:rPr>
                <w:rFonts w:eastAsia="Times New Roman"/>
                <w:b/>
                <w:color w:val="000000"/>
                <w:sz w:val="17"/>
                <w:lang w:val="en-GB"/>
              </w:rPr>
              <w:t>Ref</w:t>
            </w:r>
          </w:p>
        </w:tc>
        <w:tc>
          <w:tcPr>
            <w:tcW w:w="1218" w:type="dxa"/>
            <w:vAlign w:val="bottom"/>
          </w:tcPr>
          <w:p w:rsidRPr="009C48DA" w:rsidR="00661519" w:rsidP="00661519" w:rsidRDefault="00661519" w14:paraId="46557D08" w14:textId="77777777">
            <w:pPr>
              <w:jc w:val="center"/>
              <w:textAlignment w:val="baseline"/>
              <w:rPr>
                <w:rFonts w:eastAsia="Times New Roman"/>
                <w:b/>
                <w:color w:val="000000"/>
                <w:sz w:val="17"/>
                <w:lang w:val="en-GB"/>
              </w:rPr>
            </w:pPr>
            <w:r w:rsidRPr="009C48DA">
              <w:rPr>
                <w:rFonts w:eastAsia="Times New Roman"/>
                <w:b/>
                <w:color w:val="000000"/>
                <w:sz w:val="17"/>
                <w:lang w:val="en-GB"/>
              </w:rPr>
              <w:t>Country of incorporation</w:t>
            </w:r>
          </w:p>
        </w:tc>
        <w:tc>
          <w:tcPr>
            <w:tcW w:w="2280" w:type="dxa"/>
          </w:tcPr>
          <w:p w:rsidRPr="009C48DA" w:rsidR="00661519" w:rsidP="00661519" w:rsidRDefault="00661519" w14:paraId="58AA6C01" w14:textId="77777777">
            <w:pPr>
              <w:jc w:val="center"/>
              <w:textAlignment w:val="baseline"/>
              <w:rPr>
                <w:rFonts w:eastAsia="Times New Roman"/>
                <w:b/>
                <w:color w:val="000000"/>
                <w:sz w:val="17"/>
                <w:lang w:val="en-GB"/>
              </w:rPr>
            </w:pPr>
            <w:r w:rsidRPr="009C48DA">
              <w:rPr>
                <w:rFonts w:eastAsia="Times New Roman"/>
                <w:b/>
                <w:color w:val="000000"/>
                <w:sz w:val="17"/>
                <w:lang w:val="en-GB"/>
              </w:rPr>
              <w:t>Principal activity</w:t>
            </w:r>
          </w:p>
        </w:tc>
        <w:tc>
          <w:tcPr>
            <w:tcW w:w="1418" w:type="dxa"/>
          </w:tcPr>
          <w:p w:rsidRPr="009C48DA" w:rsidR="00661519" w:rsidP="00661519" w:rsidRDefault="00661519" w14:paraId="1CFE42E0" w14:textId="77777777">
            <w:pPr>
              <w:jc w:val="center"/>
              <w:textAlignment w:val="baseline"/>
              <w:rPr>
                <w:rFonts w:eastAsia="Times New Roman"/>
                <w:b/>
                <w:color w:val="000000"/>
                <w:sz w:val="17"/>
                <w:lang w:val="en-GB"/>
              </w:rPr>
            </w:pPr>
            <w:r w:rsidRPr="009C48DA">
              <w:rPr>
                <w:rFonts w:eastAsia="Times New Roman"/>
                <w:b/>
                <w:color w:val="000000"/>
                <w:sz w:val="17"/>
                <w:lang w:val="en-GB"/>
              </w:rPr>
              <w:t>Share class</w:t>
            </w:r>
          </w:p>
        </w:tc>
        <w:tc>
          <w:tcPr>
            <w:tcW w:w="1701" w:type="dxa"/>
            <w:vAlign w:val="bottom"/>
          </w:tcPr>
          <w:p w:rsidRPr="009C48DA" w:rsidR="00661519" w:rsidP="00661519" w:rsidRDefault="00661519" w14:paraId="61583D0D" w14:textId="77777777">
            <w:pPr>
              <w:jc w:val="center"/>
              <w:textAlignment w:val="baseline"/>
              <w:rPr>
                <w:rFonts w:eastAsia="Times New Roman"/>
                <w:b/>
                <w:color w:val="000000"/>
                <w:sz w:val="17"/>
                <w:lang w:val="en-GB"/>
              </w:rPr>
            </w:pPr>
            <w:r w:rsidRPr="009C48DA">
              <w:rPr>
                <w:rFonts w:eastAsia="Times New Roman"/>
                <w:b/>
                <w:color w:val="000000"/>
                <w:sz w:val="17"/>
                <w:lang w:val="en-GB"/>
              </w:rPr>
              <w:t>Proportion of ownership interest</w:t>
            </w:r>
          </w:p>
        </w:tc>
      </w:tr>
      <w:tr w:rsidRPr="009C48DA" w:rsidR="00661519" w:rsidTr="00661519" w14:paraId="12A6B062" w14:textId="77777777">
        <w:tc>
          <w:tcPr>
            <w:tcW w:w="2268" w:type="dxa"/>
            <w:vAlign w:val="bottom"/>
          </w:tcPr>
          <w:p w:rsidRPr="009C48DA" w:rsidR="00661519" w:rsidP="00661519" w:rsidRDefault="00661519" w14:paraId="3A90EAAA" w14:textId="77777777">
            <w:pPr>
              <w:textAlignment w:val="baseline"/>
              <w:rPr>
                <w:rFonts w:eastAsia="Times New Roman"/>
                <w:color w:val="000000"/>
                <w:sz w:val="17"/>
                <w:lang w:val="en-GB"/>
              </w:rPr>
            </w:pPr>
            <w:r w:rsidRPr="009C48DA">
              <w:rPr>
                <w:rFonts w:eastAsia="Times New Roman"/>
                <w:b/>
                <w:color w:val="000000"/>
                <w:sz w:val="17"/>
                <w:lang w:val="en-GB"/>
              </w:rPr>
              <w:t>Name of subsidiary:</w:t>
            </w:r>
          </w:p>
        </w:tc>
        <w:tc>
          <w:tcPr>
            <w:tcW w:w="0" w:type="auto"/>
          </w:tcPr>
          <w:p w:rsidRPr="009C48DA" w:rsidR="00661519" w:rsidP="00661519" w:rsidRDefault="00661519" w14:paraId="648740FD" w14:textId="77777777">
            <w:pPr>
              <w:jc w:val="center"/>
              <w:textAlignment w:val="baseline"/>
              <w:rPr>
                <w:rFonts w:eastAsia="Times New Roman"/>
                <w:color w:val="000000"/>
                <w:sz w:val="17"/>
                <w:lang w:val="en-GB"/>
              </w:rPr>
            </w:pPr>
          </w:p>
        </w:tc>
        <w:tc>
          <w:tcPr>
            <w:tcW w:w="1218" w:type="dxa"/>
            <w:vAlign w:val="bottom"/>
          </w:tcPr>
          <w:p w:rsidRPr="009C48DA" w:rsidR="00661519" w:rsidP="00661519" w:rsidRDefault="00661519" w14:paraId="33D523D2" w14:textId="77777777">
            <w:pPr>
              <w:jc w:val="center"/>
              <w:textAlignment w:val="baseline"/>
              <w:rPr>
                <w:rFonts w:eastAsia="Times New Roman"/>
                <w:color w:val="000000"/>
                <w:sz w:val="17"/>
                <w:lang w:val="en-GB"/>
              </w:rPr>
            </w:pPr>
          </w:p>
        </w:tc>
        <w:tc>
          <w:tcPr>
            <w:tcW w:w="2280" w:type="dxa"/>
          </w:tcPr>
          <w:p w:rsidRPr="009C48DA" w:rsidR="00661519" w:rsidP="00661519" w:rsidRDefault="00661519" w14:paraId="12CBF713" w14:textId="77777777">
            <w:pPr>
              <w:jc w:val="center"/>
              <w:textAlignment w:val="baseline"/>
              <w:rPr>
                <w:rFonts w:eastAsia="Times New Roman"/>
                <w:color w:val="000000"/>
                <w:sz w:val="17"/>
                <w:lang w:val="en-GB"/>
              </w:rPr>
            </w:pPr>
          </w:p>
        </w:tc>
        <w:tc>
          <w:tcPr>
            <w:tcW w:w="1418" w:type="dxa"/>
          </w:tcPr>
          <w:p w:rsidRPr="009C48DA" w:rsidR="00661519" w:rsidP="00661519" w:rsidRDefault="00661519" w14:paraId="35D247D4" w14:textId="77777777">
            <w:pPr>
              <w:jc w:val="center"/>
              <w:textAlignment w:val="baseline"/>
              <w:rPr>
                <w:rFonts w:eastAsia="Times New Roman"/>
                <w:color w:val="000000"/>
                <w:sz w:val="17"/>
                <w:lang w:val="en-GB"/>
              </w:rPr>
            </w:pPr>
          </w:p>
        </w:tc>
        <w:tc>
          <w:tcPr>
            <w:tcW w:w="1701" w:type="dxa"/>
            <w:vAlign w:val="bottom"/>
          </w:tcPr>
          <w:p w:rsidRPr="009C48DA" w:rsidR="00661519" w:rsidP="00661519" w:rsidRDefault="00661519" w14:paraId="5F1A6522" w14:textId="77777777">
            <w:pPr>
              <w:jc w:val="center"/>
              <w:textAlignment w:val="baseline"/>
              <w:rPr>
                <w:rFonts w:eastAsia="Times New Roman"/>
                <w:color w:val="000000"/>
                <w:sz w:val="17"/>
                <w:lang w:val="en-GB"/>
              </w:rPr>
            </w:pPr>
          </w:p>
        </w:tc>
      </w:tr>
      <w:tr w:rsidRPr="009C48DA" w:rsidR="00661519" w:rsidTr="00661519" w14:paraId="4884FBC8" w14:textId="77777777">
        <w:tc>
          <w:tcPr>
            <w:tcW w:w="2268" w:type="dxa"/>
            <w:vAlign w:val="bottom"/>
          </w:tcPr>
          <w:p w:rsidRPr="009C48DA" w:rsidR="00661519" w:rsidP="00661519" w:rsidRDefault="00661519" w14:paraId="1FC949B7" w14:textId="77777777">
            <w:pPr>
              <w:textAlignment w:val="baseline"/>
              <w:rPr>
                <w:rFonts w:eastAsia="Times New Roman"/>
                <w:color w:val="000000"/>
                <w:sz w:val="17"/>
                <w:lang w:val="en-GB"/>
              </w:rPr>
            </w:pPr>
            <w:r w:rsidRPr="009C48DA">
              <w:rPr>
                <w:rFonts w:eastAsia="Times New Roman"/>
                <w:color w:val="000000"/>
                <w:sz w:val="16"/>
                <w:lang w:val="en-GB"/>
              </w:rPr>
              <w:t>Sapphire Fund II South Limited</w:t>
            </w:r>
          </w:p>
        </w:tc>
        <w:tc>
          <w:tcPr>
            <w:tcW w:w="0" w:type="auto"/>
            <w:vAlign w:val="center"/>
          </w:tcPr>
          <w:p w:rsidRPr="009C48DA" w:rsidR="00661519" w:rsidP="00661519" w:rsidRDefault="00661519" w14:paraId="081DA81B" w14:textId="77777777">
            <w:pPr>
              <w:jc w:val="center"/>
              <w:textAlignment w:val="baseline"/>
              <w:rPr>
                <w:rFonts w:eastAsia="Times New Roman"/>
                <w:color w:val="000000"/>
                <w:sz w:val="17"/>
                <w:lang w:val="en-GB"/>
              </w:rPr>
            </w:pPr>
            <w:r w:rsidRPr="009C48DA">
              <w:rPr>
                <w:rFonts w:eastAsia="Times New Roman"/>
                <w:color w:val="000000"/>
                <w:sz w:val="17"/>
                <w:lang w:val="en-GB"/>
              </w:rPr>
              <w:t>4</w:t>
            </w:r>
          </w:p>
        </w:tc>
        <w:tc>
          <w:tcPr>
            <w:tcW w:w="1218" w:type="dxa"/>
            <w:vAlign w:val="center"/>
          </w:tcPr>
          <w:p w:rsidRPr="009C48DA" w:rsidR="00661519" w:rsidP="00661519" w:rsidRDefault="00661519" w14:paraId="74C6D73E" w14:textId="77777777">
            <w:pPr>
              <w:jc w:val="center"/>
              <w:textAlignment w:val="baseline"/>
              <w:rPr>
                <w:rFonts w:eastAsia="Times New Roman"/>
                <w:color w:val="000000"/>
                <w:sz w:val="17"/>
                <w:lang w:val="en-GB"/>
              </w:rPr>
            </w:pPr>
            <w:r w:rsidRPr="009C48DA">
              <w:rPr>
                <w:rFonts w:eastAsia="Times New Roman"/>
                <w:color w:val="000000"/>
                <w:sz w:val="17"/>
                <w:lang w:val="en-GB"/>
              </w:rPr>
              <w:t>Guernsey</w:t>
            </w:r>
          </w:p>
        </w:tc>
        <w:tc>
          <w:tcPr>
            <w:tcW w:w="2280" w:type="dxa"/>
            <w:vAlign w:val="center"/>
          </w:tcPr>
          <w:p w:rsidRPr="009C48DA" w:rsidR="00661519" w:rsidP="00661519" w:rsidRDefault="00661519" w14:paraId="0B3C51A6" w14:textId="77777777">
            <w:pPr>
              <w:jc w:val="center"/>
              <w:textAlignment w:val="baseline"/>
              <w:rPr>
                <w:rFonts w:eastAsia="Times New Roman"/>
                <w:color w:val="000000"/>
                <w:sz w:val="17"/>
                <w:lang w:val="en-GB"/>
              </w:rPr>
            </w:pPr>
            <w:r w:rsidRPr="009C48DA">
              <w:rPr>
                <w:rFonts w:eastAsia="Times New Roman"/>
                <w:color w:val="000000"/>
                <w:sz w:val="17"/>
                <w:lang w:val="en-GB"/>
              </w:rPr>
              <w:t>Investment holding company</w:t>
            </w:r>
          </w:p>
        </w:tc>
        <w:tc>
          <w:tcPr>
            <w:tcW w:w="1418" w:type="dxa"/>
            <w:vAlign w:val="center"/>
          </w:tcPr>
          <w:p w:rsidRPr="009C48DA" w:rsidR="00661519" w:rsidP="00661519" w:rsidRDefault="00661519" w14:paraId="241504FA" w14:textId="77777777">
            <w:pPr>
              <w:jc w:val="center"/>
              <w:textAlignment w:val="baseline"/>
              <w:rPr>
                <w:rFonts w:eastAsia="Times New Roman"/>
                <w:color w:val="000000"/>
                <w:sz w:val="17"/>
                <w:lang w:val="en-GB"/>
              </w:rPr>
            </w:pPr>
            <w:r w:rsidRPr="009C48DA">
              <w:rPr>
                <w:rFonts w:eastAsia="Times New Roman"/>
                <w:color w:val="000000"/>
                <w:sz w:val="17"/>
                <w:lang w:val="en-GB"/>
              </w:rPr>
              <w:t>Ordinary shares</w:t>
            </w:r>
          </w:p>
        </w:tc>
        <w:tc>
          <w:tcPr>
            <w:tcW w:w="1701" w:type="dxa"/>
            <w:vAlign w:val="center"/>
          </w:tcPr>
          <w:p w:rsidRPr="009C48DA" w:rsidR="00661519" w:rsidP="00661519" w:rsidRDefault="00661519" w14:paraId="556CC316" w14:textId="77777777">
            <w:pPr>
              <w:spacing w:after="14" w:line="186" w:lineRule="exact"/>
              <w:jc w:val="center"/>
              <w:textAlignment w:val="baseline"/>
              <w:rPr>
                <w:rFonts w:eastAsia="Times New Roman"/>
                <w:color w:val="000000"/>
                <w:sz w:val="16"/>
                <w:lang w:val="en-GB"/>
              </w:rPr>
            </w:pPr>
            <w:r w:rsidRPr="009C48DA">
              <w:rPr>
                <w:rFonts w:eastAsia="Times New Roman"/>
                <w:color w:val="000000"/>
                <w:sz w:val="16"/>
                <w:lang w:val="en-GB"/>
              </w:rPr>
              <w:t>25%</w:t>
            </w:r>
          </w:p>
        </w:tc>
      </w:tr>
      <w:tr w:rsidRPr="009C48DA" w:rsidR="00661519" w:rsidTr="00661519" w14:paraId="438330F5" w14:textId="77777777">
        <w:tc>
          <w:tcPr>
            <w:tcW w:w="2268" w:type="dxa"/>
            <w:vAlign w:val="bottom"/>
          </w:tcPr>
          <w:p w:rsidRPr="009C48DA" w:rsidR="00661519" w:rsidP="00661519" w:rsidRDefault="00661519" w14:paraId="30BC0ADD" w14:textId="77777777">
            <w:pPr>
              <w:textAlignment w:val="baseline"/>
              <w:rPr>
                <w:rFonts w:eastAsia="Times New Roman"/>
                <w:color w:val="000000"/>
                <w:sz w:val="16"/>
                <w:lang w:val="en-GB"/>
              </w:rPr>
            </w:pPr>
            <w:r w:rsidRPr="009C48DA">
              <w:rPr>
                <w:rFonts w:eastAsia="Times New Roman"/>
                <w:color w:val="000000"/>
                <w:sz w:val="16"/>
                <w:lang w:val="en-GB"/>
              </w:rPr>
              <w:t>Sapphire Sub II A Limited</w:t>
            </w:r>
          </w:p>
        </w:tc>
        <w:tc>
          <w:tcPr>
            <w:tcW w:w="0" w:type="auto"/>
            <w:vAlign w:val="center"/>
          </w:tcPr>
          <w:p w:rsidRPr="009C48DA" w:rsidR="00661519" w:rsidP="00661519" w:rsidRDefault="00661519" w14:paraId="38F986A5" w14:textId="77777777">
            <w:pPr>
              <w:jc w:val="center"/>
              <w:textAlignment w:val="baseline"/>
              <w:rPr>
                <w:rFonts w:eastAsia="Times New Roman"/>
                <w:color w:val="000000"/>
                <w:sz w:val="17"/>
                <w:lang w:val="en-GB"/>
              </w:rPr>
            </w:pPr>
            <w:r w:rsidRPr="009C48DA">
              <w:rPr>
                <w:rFonts w:eastAsia="Times New Roman"/>
                <w:color w:val="000000"/>
                <w:sz w:val="17"/>
                <w:lang w:val="en-GB"/>
              </w:rPr>
              <w:t>4</w:t>
            </w:r>
          </w:p>
        </w:tc>
        <w:tc>
          <w:tcPr>
            <w:tcW w:w="1218" w:type="dxa"/>
            <w:vAlign w:val="center"/>
          </w:tcPr>
          <w:p w:rsidRPr="009C48DA" w:rsidR="00661519" w:rsidP="00661519" w:rsidRDefault="00661519" w14:paraId="57AF30EC" w14:textId="77777777">
            <w:pPr>
              <w:jc w:val="center"/>
              <w:textAlignment w:val="baseline"/>
              <w:rPr>
                <w:rFonts w:eastAsia="Times New Roman"/>
                <w:color w:val="000000"/>
                <w:sz w:val="17"/>
                <w:lang w:val="en-GB"/>
              </w:rPr>
            </w:pPr>
            <w:r w:rsidRPr="009C48DA">
              <w:rPr>
                <w:rFonts w:eastAsia="Times New Roman"/>
                <w:color w:val="000000"/>
                <w:sz w:val="17"/>
                <w:lang w:val="en-GB"/>
              </w:rPr>
              <w:t>Guernsey</w:t>
            </w:r>
          </w:p>
        </w:tc>
        <w:tc>
          <w:tcPr>
            <w:tcW w:w="2280" w:type="dxa"/>
            <w:vAlign w:val="center"/>
          </w:tcPr>
          <w:p w:rsidRPr="009C48DA" w:rsidR="00661519" w:rsidP="00661519" w:rsidRDefault="00661519" w14:paraId="76F4A46C" w14:textId="77777777">
            <w:pPr>
              <w:jc w:val="center"/>
              <w:textAlignment w:val="baseline"/>
              <w:rPr>
                <w:rFonts w:eastAsia="Times New Roman"/>
                <w:color w:val="000000"/>
                <w:sz w:val="17"/>
                <w:lang w:val="en-GB"/>
              </w:rPr>
            </w:pPr>
            <w:r w:rsidRPr="009C48DA">
              <w:rPr>
                <w:rFonts w:eastAsia="Times New Roman"/>
                <w:color w:val="000000"/>
                <w:sz w:val="17"/>
                <w:lang w:val="en-GB"/>
              </w:rPr>
              <w:t>Investment holding company</w:t>
            </w:r>
          </w:p>
        </w:tc>
        <w:tc>
          <w:tcPr>
            <w:tcW w:w="1418" w:type="dxa"/>
            <w:vAlign w:val="center"/>
          </w:tcPr>
          <w:p w:rsidRPr="009C48DA" w:rsidR="00661519" w:rsidP="00661519" w:rsidRDefault="00661519" w14:paraId="2254C982" w14:textId="77777777">
            <w:pPr>
              <w:jc w:val="center"/>
              <w:textAlignment w:val="baseline"/>
              <w:rPr>
                <w:rFonts w:eastAsia="Times New Roman"/>
                <w:color w:val="000000"/>
                <w:sz w:val="17"/>
                <w:lang w:val="en-GB"/>
              </w:rPr>
            </w:pPr>
            <w:r w:rsidRPr="009C48DA">
              <w:rPr>
                <w:rFonts w:eastAsia="Times New Roman"/>
                <w:color w:val="000000"/>
                <w:sz w:val="17"/>
                <w:lang w:val="en-GB"/>
              </w:rPr>
              <w:t>Ordinary shares</w:t>
            </w:r>
          </w:p>
        </w:tc>
        <w:tc>
          <w:tcPr>
            <w:tcW w:w="1701" w:type="dxa"/>
            <w:vAlign w:val="center"/>
          </w:tcPr>
          <w:p w:rsidRPr="009C48DA" w:rsidR="00661519" w:rsidP="00661519" w:rsidRDefault="00661519" w14:paraId="29C346E3" w14:textId="77777777">
            <w:pPr>
              <w:spacing w:before="34" w:after="4" w:line="186"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720730D" w14:textId="77777777">
        <w:tc>
          <w:tcPr>
            <w:tcW w:w="2268" w:type="dxa"/>
            <w:vAlign w:val="bottom"/>
          </w:tcPr>
          <w:p w:rsidRPr="009C48DA" w:rsidR="00661519" w:rsidP="00661519" w:rsidRDefault="00661519" w14:paraId="1AF9ED37" w14:textId="77777777">
            <w:pPr>
              <w:textAlignment w:val="baseline"/>
              <w:rPr>
                <w:rFonts w:eastAsia="Times New Roman"/>
                <w:color w:val="000000"/>
                <w:sz w:val="16"/>
                <w:lang w:val="en-GB"/>
              </w:rPr>
            </w:pPr>
            <w:r w:rsidRPr="009C48DA">
              <w:rPr>
                <w:rFonts w:eastAsia="Times New Roman"/>
                <w:color w:val="000000"/>
                <w:sz w:val="16"/>
                <w:lang w:val="en-GB"/>
              </w:rPr>
              <w:t>Sapphire Sub II B Limited</w:t>
            </w:r>
          </w:p>
        </w:tc>
        <w:tc>
          <w:tcPr>
            <w:tcW w:w="0" w:type="auto"/>
            <w:vAlign w:val="center"/>
          </w:tcPr>
          <w:p w:rsidRPr="009C48DA" w:rsidR="00661519" w:rsidP="00661519" w:rsidRDefault="00661519" w14:paraId="010E1207" w14:textId="77777777">
            <w:pPr>
              <w:jc w:val="center"/>
              <w:textAlignment w:val="baseline"/>
              <w:rPr>
                <w:rFonts w:eastAsia="Times New Roman"/>
                <w:color w:val="000000"/>
                <w:sz w:val="17"/>
                <w:lang w:val="en-GB"/>
              </w:rPr>
            </w:pPr>
            <w:r w:rsidRPr="009C48DA">
              <w:rPr>
                <w:rFonts w:eastAsia="Times New Roman"/>
                <w:color w:val="000000"/>
                <w:sz w:val="17"/>
                <w:lang w:val="en-GB"/>
              </w:rPr>
              <w:t>4</w:t>
            </w:r>
          </w:p>
        </w:tc>
        <w:tc>
          <w:tcPr>
            <w:tcW w:w="1218" w:type="dxa"/>
            <w:vAlign w:val="center"/>
          </w:tcPr>
          <w:p w:rsidRPr="009C48DA" w:rsidR="00661519" w:rsidP="00661519" w:rsidRDefault="00661519" w14:paraId="13D64F1E" w14:textId="77777777">
            <w:pPr>
              <w:jc w:val="center"/>
              <w:textAlignment w:val="baseline"/>
              <w:rPr>
                <w:rFonts w:eastAsia="Times New Roman"/>
                <w:color w:val="000000"/>
                <w:sz w:val="17"/>
                <w:lang w:val="en-GB"/>
              </w:rPr>
            </w:pPr>
            <w:r w:rsidRPr="009C48DA">
              <w:rPr>
                <w:rFonts w:eastAsia="Times New Roman"/>
                <w:color w:val="000000"/>
                <w:sz w:val="17"/>
                <w:lang w:val="en-GB"/>
              </w:rPr>
              <w:t>Guernsey</w:t>
            </w:r>
          </w:p>
        </w:tc>
        <w:tc>
          <w:tcPr>
            <w:tcW w:w="2280" w:type="dxa"/>
            <w:vAlign w:val="center"/>
          </w:tcPr>
          <w:p w:rsidRPr="009C48DA" w:rsidR="00661519" w:rsidP="00661519" w:rsidRDefault="00661519" w14:paraId="1FA5EAB3" w14:textId="77777777">
            <w:pPr>
              <w:jc w:val="center"/>
              <w:textAlignment w:val="baseline"/>
              <w:rPr>
                <w:rFonts w:eastAsia="Times New Roman"/>
                <w:color w:val="000000"/>
                <w:sz w:val="17"/>
                <w:lang w:val="en-GB"/>
              </w:rPr>
            </w:pPr>
            <w:r w:rsidRPr="009C48DA">
              <w:rPr>
                <w:rFonts w:eastAsia="Times New Roman"/>
                <w:color w:val="000000"/>
                <w:sz w:val="17"/>
                <w:lang w:val="en-GB"/>
              </w:rPr>
              <w:t>Investment holding company</w:t>
            </w:r>
          </w:p>
        </w:tc>
        <w:tc>
          <w:tcPr>
            <w:tcW w:w="1418" w:type="dxa"/>
            <w:vAlign w:val="center"/>
          </w:tcPr>
          <w:p w:rsidRPr="009C48DA" w:rsidR="00661519" w:rsidP="00661519" w:rsidRDefault="00661519" w14:paraId="3B2987DE" w14:textId="77777777">
            <w:pPr>
              <w:jc w:val="center"/>
              <w:textAlignment w:val="baseline"/>
              <w:rPr>
                <w:rFonts w:eastAsia="Times New Roman"/>
                <w:color w:val="000000"/>
                <w:sz w:val="17"/>
                <w:lang w:val="en-GB"/>
              </w:rPr>
            </w:pPr>
            <w:r w:rsidRPr="009C48DA">
              <w:rPr>
                <w:rFonts w:eastAsia="Times New Roman"/>
                <w:color w:val="000000"/>
                <w:sz w:val="17"/>
                <w:lang w:val="en-GB"/>
              </w:rPr>
              <w:t>Ordinary shares</w:t>
            </w:r>
          </w:p>
        </w:tc>
        <w:tc>
          <w:tcPr>
            <w:tcW w:w="1701" w:type="dxa"/>
            <w:vAlign w:val="center"/>
          </w:tcPr>
          <w:p w:rsidRPr="009C48DA" w:rsidR="00661519" w:rsidP="00661519" w:rsidRDefault="00661519" w14:paraId="434E1FA2" w14:textId="77777777">
            <w:pPr>
              <w:spacing w:after="19" w:line="186"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EDBEB75" w14:textId="77777777">
        <w:tc>
          <w:tcPr>
            <w:tcW w:w="2268" w:type="dxa"/>
            <w:vAlign w:val="bottom"/>
          </w:tcPr>
          <w:p w:rsidRPr="009C48DA" w:rsidR="00661519" w:rsidP="00661519" w:rsidRDefault="00661519" w14:paraId="22EA9477" w14:textId="77777777">
            <w:pPr>
              <w:textAlignment w:val="baseline"/>
              <w:rPr>
                <w:rFonts w:eastAsia="Times New Roman"/>
                <w:color w:val="000000"/>
                <w:sz w:val="16"/>
                <w:lang w:val="en-GB"/>
              </w:rPr>
            </w:pPr>
            <w:r w:rsidRPr="009C48DA">
              <w:rPr>
                <w:rFonts w:eastAsia="Times New Roman"/>
                <w:color w:val="000000"/>
                <w:sz w:val="16"/>
                <w:lang w:val="en-GB"/>
              </w:rPr>
              <w:t>Sapphire Sub III A Limited</w:t>
            </w:r>
          </w:p>
        </w:tc>
        <w:tc>
          <w:tcPr>
            <w:tcW w:w="0" w:type="auto"/>
            <w:vAlign w:val="center"/>
          </w:tcPr>
          <w:p w:rsidRPr="009C48DA" w:rsidR="00661519" w:rsidP="00661519" w:rsidRDefault="00661519" w14:paraId="1C4E4B6F" w14:textId="77777777">
            <w:pPr>
              <w:jc w:val="center"/>
              <w:textAlignment w:val="baseline"/>
              <w:rPr>
                <w:rFonts w:eastAsia="Times New Roman"/>
                <w:color w:val="000000"/>
                <w:sz w:val="17"/>
                <w:lang w:val="en-GB"/>
              </w:rPr>
            </w:pPr>
            <w:r w:rsidRPr="009C48DA">
              <w:rPr>
                <w:rFonts w:eastAsia="Times New Roman"/>
                <w:color w:val="000000"/>
                <w:sz w:val="17"/>
                <w:lang w:val="en-GB"/>
              </w:rPr>
              <w:t>4</w:t>
            </w:r>
          </w:p>
        </w:tc>
        <w:tc>
          <w:tcPr>
            <w:tcW w:w="1218" w:type="dxa"/>
            <w:vAlign w:val="center"/>
          </w:tcPr>
          <w:p w:rsidRPr="009C48DA" w:rsidR="00661519" w:rsidP="00661519" w:rsidRDefault="00661519" w14:paraId="02B0AFA1" w14:textId="77777777">
            <w:pPr>
              <w:jc w:val="center"/>
              <w:textAlignment w:val="baseline"/>
              <w:rPr>
                <w:rFonts w:eastAsia="Times New Roman"/>
                <w:color w:val="000000"/>
                <w:sz w:val="17"/>
                <w:lang w:val="en-GB"/>
              </w:rPr>
            </w:pPr>
            <w:r w:rsidRPr="009C48DA">
              <w:rPr>
                <w:rFonts w:eastAsia="Times New Roman"/>
                <w:color w:val="000000"/>
                <w:sz w:val="17"/>
                <w:lang w:val="en-GB"/>
              </w:rPr>
              <w:t>Guernsey</w:t>
            </w:r>
          </w:p>
        </w:tc>
        <w:tc>
          <w:tcPr>
            <w:tcW w:w="2280" w:type="dxa"/>
            <w:vAlign w:val="center"/>
          </w:tcPr>
          <w:p w:rsidRPr="009C48DA" w:rsidR="00661519" w:rsidP="00661519" w:rsidRDefault="00661519" w14:paraId="4F4E5FD8" w14:textId="77777777">
            <w:pPr>
              <w:jc w:val="center"/>
              <w:textAlignment w:val="baseline"/>
              <w:rPr>
                <w:rFonts w:eastAsia="Times New Roman"/>
                <w:color w:val="000000"/>
                <w:sz w:val="17"/>
                <w:lang w:val="en-GB"/>
              </w:rPr>
            </w:pPr>
            <w:r w:rsidRPr="009C48DA">
              <w:rPr>
                <w:rFonts w:eastAsia="Times New Roman"/>
                <w:color w:val="000000"/>
                <w:sz w:val="17"/>
                <w:lang w:val="en-GB"/>
              </w:rPr>
              <w:t>Investment holding company</w:t>
            </w:r>
          </w:p>
        </w:tc>
        <w:tc>
          <w:tcPr>
            <w:tcW w:w="1418" w:type="dxa"/>
            <w:vAlign w:val="center"/>
          </w:tcPr>
          <w:p w:rsidRPr="009C48DA" w:rsidR="00661519" w:rsidP="00661519" w:rsidRDefault="00661519" w14:paraId="0CBFCFB2" w14:textId="77777777">
            <w:pPr>
              <w:jc w:val="center"/>
              <w:textAlignment w:val="baseline"/>
              <w:rPr>
                <w:rFonts w:eastAsia="Times New Roman"/>
                <w:color w:val="000000"/>
                <w:sz w:val="17"/>
                <w:lang w:val="en-GB"/>
              </w:rPr>
            </w:pPr>
            <w:r w:rsidRPr="009C48DA">
              <w:rPr>
                <w:rFonts w:eastAsia="Times New Roman"/>
                <w:color w:val="000000"/>
                <w:sz w:val="17"/>
                <w:lang w:val="en-GB"/>
              </w:rPr>
              <w:t>Ordinary shares</w:t>
            </w:r>
          </w:p>
        </w:tc>
        <w:tc>
          <w:tcPr>
            <w:tcW w:w="1701" w:type="dxa"/>
            <w:vAlign w:val="center"/>
          </w:tcPr>
          <w:p w:rsidRPr="009C48DA" w:rsidR="00661519" w:rsidP="00661519" w:rsidRDefault="00661519" w14:paraId="358F8B33" w14:textId="77777777">
            <w:pPr>
              <w:spacing w:after="15" w:line="186"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2E89877F" w14:textId="77777777">
        <w:tc>
          <w:tcPr>
            <w:tcW w:w="2268" w:type="dxa"/>
            <w:vAlign w:val="bottom"/>
          </w:tcPr>
          <w:p w:rsidRPr="009C48DA" w:rsidR="00661519" w:rsidP="00661519" w:rsidRDefault="00661519" w14:paraId="35E4CFBB" w14:textId="77777777">
            <w:pPr>
              <w:textAlignment w:val="baseline"/>
              <w:rPr>
                <w:rFonts w:eastAsia="Times New Roman"/>
                <w:color w:val="000000"/>
                <w:sz w:val="16"/>
                <w:lang w:val="en-GB"/>
              </w:rPr>
            </w:pPr>
            <w:r w:rsidRPr="009C48DA">
              <w:rPr>
                <w:rFonts w:eastAsia="Times New Roman"/>
                <w:color w:val="000000"/>
                <w:sz w:val="16"/>
                <w:lang w:val="en-GB"/>
              </w:rPr>
              <w:t>Sapphire Sub III B Limited</w:t>
            </w:r>
          </w:p>
        </w:tc>
        <w:tc>
          <w:tcPr>
            <w:tcW w:w="0" w:type="auto"/>
            <w:vAlign w:val="center"/>
          </w:tcPr>
          <w:p w:rsidRPr="009C48DA" w:rsidR="00661519" w:rsidP="00661519" w:rsidRDefault="00661519" w14:paraId="260205D0" w14:textId="77777777">
            <w:pPr>
              <w:jc w:val="center"/>
              <w:textAlignment w:val="baseline"/>
              <w:rPr>
                <w:rFonts w:eastAsia="Times New Roman"/>
                <w:color w:val="000000"/>
                <w:sz w:val="17"/>
                <w:lang w:val="en-GB"/>
              </w:rPr>
            </w:pPr>
            <w:r w:rsidRPr="009C48DA">
              <w:rPr>
                <w:rFonts w:eastAsia="Times New Roman"/>
                <w:color w:val="000000"/>
                <w:sz w:val="17"/>
                <w:lang w:val="en-GB"/>
              </w:rPr>
              <w:t>4</w:t>
            </w:r>
          </w:p>
        </w:tc>
        <w:tc>
          <w:tcPr>
            <w:tcW w:w="1218" w:type="dxa"/>
            <w:vAlign w:val="center"/>
          </w:tcPr>
          <w:p w:rsidRPr="009C48DA" w:rsidR="00661519" w:rsidP="00661519" w:rsidRDefault="00661519" w14:paraId="36A5BDFA" w14:textId="77777777">
            <w:pPr>
              <w:jc w:val="center"/>
              <w:textAlignment w:val="baseline"/>
              <w:rPr>
                <w:rFonts w:eastAsia="Times New Roman"/>
                <w:color w:val="000000"/>
                <w:sz w:val="17"/>
                <w:lang w:val="en-GB"/>
              </w:rPr>
            </w:pPr>
            <w:r w:rsidRPr="009C48DA">
              <w:rPr>
                <w:rFonts w:eastAsia="Times New Roman"/>
                <w:color w:val="000000"/>
                <w:sz w:val="17"/>
                <w:lang w:val="en-GB"/>
              </w:rPr>
              <w:t>Guernsey</w:t>
            </w:r>
          </w:p>
        </w:tc>
        <w:tc>
          <w:tcPr>
            <w:tcW w:w="2280" w:type="dxa"/>
            <w:vAlign w:val="center"/>
          </w:tcPr>
          <w:p w:rsidRPr="009C48DA" w:rsidR="00661519" w:rsidP="00661519" w:rsidRDefault="00661519" w14:paraId="0F75E941" w14:textId="77777777">
            <w:pPr>
              <w:jc w:val="center"/>
              <w:textAlignment w:val="baseline"/>
              <w:rPr>
                <w:rFonts w:eastAsia="Times New Roman"/>
                <w:color w:val="000000"/>
                <w:sz w:val="17"/>
                <w:lang w:val="en-GB"/>
              </w:rPr>
            </w:pPr>
            <w:r w:rsidRPr="009C48DA">
              <w:rPr>
                <w:rFonts w:eastAsia="Times New Roman"/>
                <w:color w:val="000000"/>
                <w:sz w:val="17"/>
                <w:lang w:val="en-GB"/>
              </w:rPr>
              <w:t>Investment holding company</w:t>
            </w:r>
          </w:p>
        </w:tc>
        <w:tc>
          <w:tcPr>
            <w:tcW w:w="1418" w:type="dxa"/>
            <w:vAlign w:val="center"/>
          </w:tcPr>
          <w:p w:rsidRPr="009C48DA" w:rsidR="00661519" w:rsidP="00661519" w:rsidRDefault="00661519" w14:paraId="39821664" w14:textId="77777777">
            <w:pPr>
              <w:jc w:val="center"/>
              <w:textAlignment w:val="baseline"/>
              <w:rPr>
                <w:rFonts w:eastAsia="Times New Roman"/>
                <w:color w:val="000000"/>
                <w:sz w:val="17"/>
                <w:lang w:val="en-GB"/>
              </w:rPr>
            </w:pPr>
            <w:r w:rsidRPr="009C48DA">
              <w:rPr>
                <w:rFonts w:eastAsia="Times New Roman"/>
                <w:color w:val="000000"/>
                <w:sz w:val="17"/>
                <w:lang w:val="en-GB"/>
              </w:rPr>
              <w:t>Ordinary shares</w:t>
            </w:r>
          </w:p>
        </w:tc>
        <w:tc>
          <w:tcPr>
            <w:tcW w:w="1701" w:type="dxa"/>
            <w:vAlign w:val="center"/>
          </w:tcPr>
          <w:p w:rsidRPr="009C48DA" w:rsidR="00661519" w:rsidP="00661519" w:rsidRDefault="00661519" w14:paraId="4EA1C182" w14:textId="77777777">
            <w:pPr>
              <w:spacing w:after="9" w:line="186"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3C5A1F61" w14:textId="77777777">
        <w:tc>
          <w:tcPr>
            <w:tcW w:w="2268" w:type="dxa"/>
            <w:vAlign w:val="bottom"/>
          </w:tcPr>
          <w:p w:rsidRPr="009C48DA" w:rsidR="00661519" w:rsidP="00661519" w:rsidRDefault="00661519" w14:paraId="6D1FE2DC" w14:textId="77777777">
            <w:pPr>
              <w:textAlignment w:val="baseline"/>
              <w:rPr>
                <w:rFonts w:eastAsia="Times New Roman"/>
                <w:color w:val="000000"/>
                <w:sz w:val="16"/>
                <w:lang w:val="en-GB"/>
              </w:rPr>
            </w:pPr>
            <w:r w:rsidRPr="009C48DA">
              <w:rPr>
                <w:rFonts w:eastAsia="Times New Roman"/>
                <w:color w:val="000000"/>
                <w:sz w:val="16"/>
                <w:lang w:val="en-GB"/>
              </w:rPr>
              <w:t>Sapphire Sub III C Limited</w:t>
            </w:r>
          </w:p>
        </w:tc>
        <w:tc>
          <w:tcPr>
            <w:tcW w:w="0" w:type="auto"/>
            <w:vAlign w:val="center"/>
          </w:tcPr>
          <w:p w:rsidRPr="009C48DA" w:rsidR="00661519" w:rsidP="00661519" w:rsidRDefault="00661519" w14:paraId="7B4EF5F3" w14:textId="77777777">
            <w:pPr>
              <w:jc w:val="center"/>
              <w:textAlignment w:val="baseline"/>
              <w:rPr>
                <w:rFonts w:eastAsia="Times New Roman"/>
                <w:color w:val="000000"/>
                <w:sz w:val="17"/>
                <w:lang w:val="en-GB"/>
              </w:rPr>
            </w:pPr>
            <w:r w:rsidRPr="009C48DA">
              <w:rPr>
                <w:rFonts w:eastAsia="Times New Roman"/>
                <w:color w:val="000000"/>
                <w:sz w:val="17"/>
                <w:lang w:val="en-GB"/>
              </w:rPr>
              <w:t>4</w:t>
            </w:r>
          </w:p>
        </w:tc>
        <w:tc>
          <w:tcPr>
            <w:tcW w:w="1218" w:type="dxa"/>
            <w:vAlign w:val="center"/>
          </w:tcPr>
          <w:p w:rsidRPr="009C48DA" w:rsidR="00661519" w:rsidP="00661519" w:rsidRDefault="00661519" w14:paraId="1F3E5800" w14:textId="77777777">
            <w:pPr>
              <w:jc w:val="center"/>
              <w:textAlignment w:val="baseline"/>
              <w:rPr>
                <w:rFonts w:eastAsia="Times New Roman"/>
                <w:color w:val="000000"/>
                <w:sz w:val="17"/>
                <w:lang w:val="en-GB"/>
              </w:rPr>
            </w:pPr>
            <w:r w:rsidRPr="009C48DA">
              <w:rPr>
                <w:rFonts w:eastAsia="Times New Roman"/>
                <w:color w:val="000000"/>
                <w:sz w:val="17"/>
                <w:lang w:val="en-GB"/>
              </w:rPr>
              <w:t>Guernsey</w:t>
            </w:r>
          </w:p>
        </w:tc>
        <w:tc>
          <w:tcPr>
            <w:tcW w:w="2280" w:type="dxa"/>
            <w:vAlign w:val="center"/>
          </w:tcPr>
          <w:p w:rsidRPr="009C48DA" w:rsidR="00661519" w:rsidP="00661519" w:rsidRDefault="00661519" w14:paraId="35C2C10E" w14:textId="77777777">
            <w:pPr>
              <w:jc w:val="center"/>
              <w:textAlignment w:val="baseline"/>
              <w:rPr>
                <w:rFonts w:eastAsia="Times New Roman"/>
                <w:color w:val="000000"/>
                <w:sz w:val="17"/>
                <w:lang w:val="en-GB"/>
              </w:rPr>
            </w:pPr>
            <w:r w:rsidRPr="009C48DA">
              <w:rPr>
                <w:rFonts w:eastAsia="Times New Roman"/>
                <w:color w:val="000000"/>
                <w:sz w:val="17"/>
                <w:lang w:val="en-GB"/>
              </w:rPr>
              <w:t>Investment holding company</w:t>
            </w:r>
          </w:p>
        </w:tc>
        <w:tc>
          <w:tcPr>
            <w:tcW w:w="1418" w:type="dxa"/>
            <w:vAlign w:val="center"/>
          </w:tcPr>
          <w:p w:rsidRPr="009C48DA" w:rsidR="00661519" w:rsidP="00661519" w:rsidRDefault="00661519" w14:paraId="0B7513C0" w14:textId="77777777">
            <w:pPr>
              <w:jc w:val="center"/>
              <w:textAlignment w:val="baseline"/>
              <w:rPr>
                <w:rFonts w:eastAsia="Times New Roman"/>
                <w:color w:val="000000"/>
                <w:sz w:val="17"/>
                <w:lang w:val="en-GB"/>
              </w:rPr>
            </w:pPr>
            <w:r w:rsidRPr="009C48DA">
              <w:rPr>
                <w:rFonts w:eastAsia="Times New Roman"/>
                <w:color w:val="000000"/>
                <w:sz w:val="17"/>
                <w:lang w:val="en-GB"/>
              </w:rPr>
              <w:t>Ordinary shares</w:t>
            </w:r>
          </w:p>
        </w:tc>
        <w:tc>
          <w:tcPr>
            <w:tcW w:w="1701" w:type="dxa"/>
            <w:vAlign w:val="center"/>
          </w:tcPr>
          <w:p w:rsidRPr="009C48DA" w:rsidR="00661519" w:rsidP="00661519" w:rsidRDefault="00661519" w14:paraId="2583622D" w14:textId="77777777">
            <w:pPr>
              <w:spacing w:after="9" w:line="186" w:lineRule="exact"/>
              <w:jc w:val="center"/>
              <w:textAlignment w:val="baseline"/>
              <w:rPr>
                <w:rFonts w:eastAsia="Times New Roman"/>
                <w:color w:val="000000"/>
                <w:sz w:val="16"/>
                <w:lang w:val="en-GB"/>
              </w:rPr>
            </w:pPr>
            <w:r w:rsidRPr="009C48DA">
              <w:rPr>
                <w:rFonts w:eastAsia="Times New Roman"/>
                <w:color w:val="000000"/>
                <w:sz w:val="16"/>
                <w:lang w:val="en-GB"/>
              </w:rPr>
              <w:t>100%</w:t>
            </w:r>
          </w:p>
        </w:tc>
      </w:tr>
      <w:tr w:rsidRPr="009C48DA" w:rsidR="00661519" w:rsidTr="00661519" w14:paraId="52748FA5" w14:textId="77777777">
        <w:trPr>
          <w:trHeight w:val="74"/>
        </w:trPr>
        <w:tc>
          <w:tcPr>
            <w:tcW w:w="2268" w:type="dxa"/>
            <w:vAlign w:val="bottom"/>
          </w:tcPr>
          <w:p w:rsidRPr="009C48DA" w:rsidR="00661519" w:rsidP="00661519" w:rsidRDefault="00661519" w14:paraId="6872AD91" w14:textId="77777777">
            <w:pPr>
              <w:textAlignment w:val="baseline"/>
              <w:rPr>
                <w:rFonts w:eastAsia="Times New Roman"/>
                <w:color w:val="000000"/>
                <w:sz w:val="16"/>
                <w:lang w:val="en-GB"/>
              </w:rPr>
            </w:pPr>
            <w:r w:rsidRPr="009C48DA">
              <w:rPr>
                <w:rFonts w:eastAsia="Times New Roman"/>
                <w:color w:val="000000"/>
                <w:sz w:val="16"/>
                <w:lang w:val="en-GB"/>
              </w:rPr>
              <w:t>Sapphire Sub South Limited</w:t>
            </w:r>
          </w:p>
        </w:tc>
        <w:tc>
          <w:tcPr>
            <w:tcW w:w="0" w:type="auto"/>
            <w:vAlign w:val="center"/>
          </w:tcPr>
          <w:p w:rsidRPr="009C48DA" w:rsidR="00661519" w:rsidP="00661519" w:rsidRDefault="00661519" w14:paraId="12799202" w14:textId="77777777">
            <w:pPr>
              <w:jc w:val="center"/>
              <w:textAlignment w:val="baseline"/>
              <w:rPr>
                <w:rFonts w:eastAsia="Times New Roman"/>
                <w:color w:val="000000"/>
                <w:sz w:val="17"/>
                <w:lang w:val="en-GB"/>
              </w:rPr>
            </w:pPr>
            <w:r w:rsidRPr="009C48DA">
              <w:rPr>
                <w:rFonts w:eastAsia="Times New Roman"/>
                <w:color w:val="000000"/>
                <w:sz w:val="17"/>
                <w:lang w:val="en-GB"/>
              </w:rPr>
              <w:t>4</w:t>
            </w:r>
          </w:p>
        </w:tc>
        <w:tc>
          <w:tcPr>
            <w:tcW w:w="1218" w:type="dxa"/>
            <w:vAlign w:val="center"/>
          </w:tcPr>
          <w:p w:rsidRPr="009C48DA" w:rsidR="00661519" w:rsidP="00661519" w:rsidRDefault="00661519" w14:paraId="5CE313A4" w14:textId="77777777">
            <w:pPr>
              <w:jc w:val="center"/>
              <w:textAlignment w:val="baseline"/>
              <w:rPr>
                <w:rFonts w:eastAsia="Times New Roman"/>
                <w:color w:val="000000"/>
                <w:sz w:val="17"/>
                <w:lang w:val="en-GB"/>
              </w:rPr>
            </w:pPr>
            <w:r w:rsidRPr="009C48DA">
              <w:rPr>
                <w:rFonts w:eastAsia="Times New Roman"/>
                <w:color w:val="000000"/>
                <w:sz w:val="17"/>
                <w:lang w:val="en-GB"/>
              </w:rPr>
              <w:t>Guernsey</w:t>
            </w:r>
          </w:p>
        </w:tc>
        <w:tc>
          <w:tcPr>
            <w:tcW w:w="2280" w:type="dxa"/>
            <w:vAlign w:val="center"/>
          </w:tcPr>
          <w:p w:rsidRPr="009C48DA" w:rsidR="00661519" w:rsidP="00661519" w:rsidRDefault="00661519" w14:paraId="0E756E45" w14:textId="77777777">
            <w:pPr>
              <w:jc w:val="center"/>
              <w:textAlignment w:val="baseline"/>
              <w:rPr>
                <w:rFonts w:eastAsia="Times New Roman"/>
                <w:color w:val="000000"/>
                <w:sz w:val="17"/>
                <w:lang w:val="en-GB"/>
              </w:rPr>
            </w:pPr>
            <w:r w:rsidRPr="009C48DA">
              <w:rPr>
                <w:rFonts w:eastAsia="Times New Roman"/>
                <w:color w:val="000000"/>
                <w:sz w:val="17"/>
                <w:lang w:val="en-GB"/>
              </w:rPr>
              <w:t>Investment holding company</w:t>
            </w:r>
          </w:p>
        </w:tc>
        <w:tc>
          <w:tcPr>
            <w:tcW w:w="1418" w:type="dxa"/>
            <w:vAlign w:val="center"/>
          </w:tcPr>
          <w:p w:rsidRPr="009C48DA" w:rsidR="00661519" w:rsidP="00661519" w:rsidRDefault="00661519" w14:paraId="4A1411ED" w14:textId="77777777">
            <w:pPr>
              <w:jc w:val="center"/>
              <w:textAlignment w:val="baseline"/>
              <w:rPr>
                <w:rFonts w:eastAsia="Times New Roman"/>
                <w:color w:val="000000"/>
                <w:sz w:val="17"/>
                <w:lang w:val="en-GB"/>
              </w:rPr>
            </w:pPr>
            <w:r w:rsidRPr="009C48DA">
              <w:rPr>
                <w:rFonts w:eastAsia="Times New Roman"/>
                <w:color w:val="000000"/>
                <w:sz w:val="17"/>
                <w:lang w:val="en-GB"/>
              </w:rPr>
              <w:t>Ordinary shares</w:t>
            </w:r>
          </w:p>
        </w:tc>
        <w:tc>
          <w:tcPr>
            <w:tcW w:w="1701" w:type="dxa"/>
            <w:vAlign w:val="center"/>
          </w:tcPr>
          <w:p w:rsidRPr="009C48DA" w:rsidR="00661519" w:rsidP="00661519" w:rsidRDefault="00661519" w14:paraId="7F008829" w14:textId="77777777">
            <w:pPr>
              <w:spacing w:after="48" w:line="186" w:lineRule="exact"/>
              <w:jc w:val="center"/>
              <w:textAlignment w:val="baseline"/>
              <w:rPr>
                <w:rFonts w:eastAsia="Times New Roman"/>
                <w:color w:val="000000"/>
                <w:sz w:val="16"/>
                <w:lang w:val="en-GB"/>
              </w:rPr>
            </w:pPr>
            <w:r w:rsidRPr="009C48DA">
              <w:rPr>
                <w:rFonts w:eastAsia="Times New Roman"/>
                <w:color w:val="000000"/>
                <w:sz w:val="16"/>
                <w:lang w:val="en-GB"/>
              </w:rPr>
              <w:t>25%</w:t>
            </w:r>
          </w:p>
        </w:tc>
      </w:tr>
    </w:tbl>
    <w:p w:rsidRPr="009C48DA" w:rsidR="00661519" w:rsidP="00661519" w:rsidRDefault="00661519" w14:paraId="5CB7856E" w14:textId="77777777">
      <w:pPr>
        <w:rPr>
          <w:rFonts w:eastAsia="Times New Roman" w:cs="Times New Roman"/>
          <w:b/>
          <w:color w:val="000000"/>
          <w:sz w:val="16"/>
          <w:szCs w:val="22"/>
          <w:lang w:val="en-GB"/>
        </w:rPr>
      </w:pPr>
    </w:p>
    <w:p w:rsidRPr="009C48DA" w:rsidR="00661519" w:rsidP="00661519" w:rsidRDefault="00661519" w14:paraId="0786BAA9" w14:textId="77777777">
      <w:pPr>
        <w:rPr>
          <w:rFonts w:eastAsia="Times New Roman" w:cs="Times New Roman"/>
          <w:b/>
          <w:color w:val="000000"/>
          <w:sz w:val="16"/>
          <w:szCs w:val="22"/>
          <w:lang w:val="en-GB"/>
        </w:rPr>
      </w:pPr>
      <w:r w:rsidRPr="009C48DA">
        <w:rPr>
          <w:rFonts w:eastAsia="Times New Roman" w:cs="Times New Roman"/>
          <w:color w:val="000000"/>
          <w:sz w:val="16"/>
          <w:szCs w:val="22"/>
          <w:lang w:val="en-GB"/>
        </w:rPr>
        <w:t>The profit and loss for the above entities are not material.</w:t>
      </w:r>
    </w:p>
    <w:p w:rsidRPr="009C48DA" w:rsidR="00661519" w:rsidP="00661519" w:rsidRDefault="00661519" w14:paraId="56B395DF" w14:textId="77777777">
      <w:pPr>
        <w:rPr>
          <w:rFonts w:eastAsia="Times New Roman" w:cs="Times New Roman"/>
          <w:b/>
          <w:color w:val="000000"/>
          <w:sz w:val="16"/>
          <w:szCs w:val="22"/>
          <w:lang w:val="en-GB"/>
        </w:rPr>
      </w:pPr>
    </w:p>
    <w:p w:rsidRPr="009C48DA" w:rsidR="00661519" w:rsidP="00661519" w:rsidRDefault="00661519" w14:paraId="428979DB" w14:textId="77777777">
      <w:pPr>
        <w:textAlignment w:val="baseline"/>
        <w:rPr>
          <w:rFonts w:eastAsia="Times New Roman"/>
          <w:b/>
          <w:color w:val="000000"/>
          <w:spacing w:val="1"/>
          <w:sz w:val="16"/>
          <w:lang w:val="en-GB"/>
        </w:rPr>
      </w:pPr>
      <w:r w:rsidRPr="009C48DA">
        <w:rPr>
          <w:rFonts w:eastAsia="Times New Roman"/>
          <w:b/>
          <w:color w:val="000000"/>
          <w:spacing w:val="1"/>
          <w:sz w:val="16"/>
          <w:lang w:val="en-GB"/>
        </w:rPr>
        <w:t>(c)</w:t>
      </w:r>
      <w:r w:rsidRPr="009C48DA">
        <w:rPr>
          <w:rFonts w:eastAsia="Times New Roman"/>
          <w:b/>
          <w:color w:val="000000"/>
          <w:spacing w:val="1"/>
          <w:sz w:val="16"/>
          <w:lang w:val="en-GB"/>
        </w:rPr>
        <w:tab/>
        <w:t>Consolidated structured entities</w:t>
      </w:r>
    </w:p>
    <w:p w:rsidRPr="009C48DA" w:rsidR="00661519" w:rsidP="00661519" w:rsidRDefault="00661519" w14:paraId="2F14AB57" w14:textId="77777777">
      <w:pPr>
        <w:textAlignment w:val="baseline"/>
        <w:rPr>
          <w:rFonts w:eastAsia="Times New Roman"/>
          <w:color w:val="000000"/>
          <w:sz w:val="17"/>
          <w:lang w:val="en-GB"/>
        </w:rPr>
      </w:pPr>
    </w:p>
    <w:p w:rsidRPr="009C48DA" w:rsidR="00661519" w:rsidP="00661519" w:rsidRDefault="00661519" w14:paraId="46FDE7D8" w14:textId="77777777">
      <w:pPr>
        <w:textAlignment w:val="baseline"/>
        <w:rPr>
          <w:rFonts w:eastAsia="Times New Roman"/>
          <w:color w:val="000000"/>
          <w:sz w:val="17"/>
          <w:szCs w:val="17"/>
          <w:lang w:val="en-GB"/>
        </w:rPr>
      </w:pPr>
      <w:r w:rsidRPr="009C48DA">
        <w:rPr>
          <w:rFonts w:eastAsia="Times New Roman"/>
          <w:color w:val="000000"/>
          <w:sz w:val="17"/>
          <w:szCs w:val="17"/>
          <w:lang w:val="en-GB"/>
        </w:rPr>
        <w:t xml:space="preserve">The table below shows details of structured entities that the Group has deemed to control and are consolidated within the historical financial information. </w:t>
      </w:r>
    </w:p>
    <w:p w:rsidRPr="009C48DA" w:rsidR="00661519" w:rsidP="00661519" w:rsidRDefault="00661519" w14:paraId="15B42F00" w14:textId="77777777">
      <w:pPr>
        <w:textAlignment w:val="baseline"/>
        <w:rPr>
          <w:rFonts w:eastAsia="Times New Roman"/>
          <w:color w:val="000000"/>
          <w:sz w:val="17"/>
          <w:lang w:val="en-GB"/>
        </w:rPr>
      </w:pPr>
    </w:p>
    <w:tbl>
      <w:tblPr>
        <w:tblStyle w:val="TableGrid"/>
        <w:tblW w:w="9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61"/>
        <w:gridCol w:w="1218"/>
        <w:gridCol w:w="1823"/>
        <w:gridCol w:w="1814"/>
        <w:gridCol w:w="1534"/>
      </w:tblGrid>
      <w:tr w:rsidRPr="009C48DA" w:rsidR="00661519" w:rsidTr="00661519" w14:paraId="73CAC30E" w14:textId="77777777">
        <w:tc>
          <w:tcPr>
            <w:tcW w:w="2861" w:type="dxa"/>
            <w:vAlign w:val="bottom"/>
          </w:tcPr>
          <w:p w:rsidRPr="009C48DA" w:rsidR="00661519" w:rsidP="00661519" w:rsidRDefault="00661519" w14:paraId="3C7BCB32" w14:textId="77777777">
            <w:pPr>
              <w:textAlignment w:val="baseline"/>
              <w:rPr>
                <w:rFonts w:eastAsia="Times New Roman"/>
                <w:b/>
                <w:color w:val="000000"/>
                <w:sz w:val="17"/>
                <w:lang w:val="en-GB"/>
              </w:rPr>
            </w:pPr>
          </w:p>
        </w:tc>
        <w:tc>
          <w:tcPr>
            <w:tcW w:w="1218" w:type="dxa"/>
            <w:vAlign w:val="bottom"/>
          </w:tcPr>
          <w:p w:rsidRPr="009C48DA" w:rsidR="00661519" w:rsidP="00661519" w:rsidRDefault="00661519" w14:paraId="742F1FD7" w14:textId="77777777">
            <w:pPr>
              <w:jc w:val="center"/>
              <w:textAlignment w:val="baseline"/>
              <w:rPr>
                <w:rFonts w:eastAsia="Times New Roman"/>
                <w:b/>
                <w:color w:val="000000"/>
                <w:sz w:val="17"/>
                <w:lang w:val="en-GB"/>
              </w:rPr>
            </w:pPr>
            <w:r w:rsidRPr="009C48DA">
              <w:rPr>
                <w:rFonts w:eastAsia="Times New Roman"/>
                <w:b/>
                <w:color w:val="000000"/>
                <w:sz w:val="17"/>
                <w:lang w:val="en-GB"/>
              </w:rPr>
              <w:t>Country of incorporation</w:t>
            </w:r>
          </w:p>
        </w:tc>
        <w:tc>
          <w:tcPr>
            <w:tcW w:w="1823" w:type="dxa"/>
            <w:vAlign w:val="bottom"/>
          </w:tcPr>
          <w:p w:rsidRPr="009C48DA" w:rsidR="00661519" w:rsidP="00661519" w:rsidRDefault="00661519" w14:paraId="4EE583C6" w14:textId="77777777">
            <w:pPr>
              <w:jc w:val="center"/>
              <w:textAlignment w:val="baseline"/>
              <w:rPr>
                <w:rFonts w:eastAsia="Times New Roman"/>
                <w:b/>
                <w:color w:val="000000"/>
                <w:sz w:val="17"/>
                <w:lang w:val="en-GB"/>
              </w:rPr>
            </w:pPr>
            <w:r w:rsidRPr="009C48DA">
              <w:rPr>
                <w:rFonts w:eastAsia="Times New Roman"/>
                <w:b/>
                <w:color w:val="000000"/>
                <w:sz w:val="17"/>
                <w:lang w:val="en-GB"/>
              </w:rPr>
              <w:t>Company’s proportion of ownership interest</w:t>
            </w:r>
          </w:p>
        </w:tc>
        <w:tc>
          <w:tcPr>
            <w:tcW w:w="1814" w:type="dxa"/>
            <w:vAlign w:val="bottom"/>
          </w:tcPr>
          <w:p w:rsidRPr="009C48DA" w:rsidR="00661519" w:rsidP="00661519" w:rsidRDefault="00661519" w14:paraId="55FD28C2" w14:textId="77777777">
            <w:pPr>
              <w:jc w:val="center"/>
              <w:textAlignment w:val="baseline"/>
              <w:rPr>
                <w:rFonts w:eastAsia="Times New Roman"/>
                <w:b/>
                <w:color w:val="000000"/>
                <w:sz w:val="17"/>
                <w:lang w:val="en-GB"/>
              </w:rPr>
            </w:pPr>
            <w:r w:rsidRPr="009C48DA">
              <w:rPr>
                <w:rFonts w:eastAsia="Times New Roman"/>
                <w:b/>
                <w:color w:val="000000"/>
                <w:sz w:val="17"/>
                <w:lang w:val="en-GB"/>
              </w:rPr>
              <w:t>Nature of interest</w:t>
            </w:r>
          </w:p>
        </w:tc>
        <w:tc>
          <w:tcPr>
            <w:tcW w:w="1534" w:type="dxa"/>
          </w:tcPr>
          <w:p w:rsidRPr="009C48DA" w:rsidR="00661519" w:rsidP="00661519" w:rsidRDefault="00661519" w14:paraId="6C116E8B" w14:textId="77777777">
            <w:pPr>
              <w:jc w:val="center"/>
              <w:textAlignment w:val="baseline"/>
              <w:rPr>
                <w:rFonts w:eastAsia="Times New Roman"/>
                <w:b/>
                <w:color w:val="000000"/>
                <w:sz w:val="17"/>
                <w:lang w:val="en-GB"/>
              </w:rPr>
            </w:pPr>
            <w:r w:rsidRPr="009C48DA">
              <w:rPr>
                <w:rFonts w:eastAsia="Times New Roman"/>
                <w:b/>
                <w:color w:val="000000"/>
                <w:sz w:val="17"/>
                <w:lang w:val="en-GB"/>
              </w:rPr>
              <w:t>Periods consolidated</w:t>
            </w:r>
          </w:p>
        </w:tc>
      </w:tr>
      <w:tr w:rsidRPr="009C48DA" w:rsidR="00661519" w:rsidTr="00661519" w14:paraId="7713CE3E" w14:textId="77777777">
        <w:tc>
          <w:tcPr>
            <w:tcW w:w="2861" w:type="dxa"/>
            <w:vAlign w:val="bottom"/>
          </w:tcPr>
          <w:p w:rsidRPr="009C48DA" w:rsidR="00661519" w:rsidP="00661519" w:rsidRDefault="00661519" w14:paraId="44A9D3F7" w14:textId="77777777">
            <w:pPr>
              <w:textAlignment w:val="baseline"/>
              <w:rPr>
                <w:rFonts w:eastAsia="Times New Roman"/>
                <w:color w:val="000000"/>
                <w:sz w:val="17"/>
                <w:lang w:val="en-GB"/>
              </w:rPr>
            </w:pPr>
            <w:r w:rsidRPr="009C48DA">
              <w:rPr>
                <w:rFonts w:eastAsia="Times New Roman"/>
                <w:b/>
                <w:color w:val="000000"/>
                <w:sz w:val="17"/>
                <w:lang w:val="en-GB"/>
              </w:rPr>
              <w:t>Name of subsidiary:</w:t>
            </w:r>
          </w:p>
        </w:tc>
        <w:tc>
          <w:tcPr>
            <w:tcW w:w="1218" w:type="dxa"/>
            <w:vAlign w:val="bottom"/>
          </w:tcPr>
          <w:p w:rsidRPr="009C48DA" w:rsidR="00661519" w:rsidP="00661519" w:rsidRDefault="00661519" w14:paraId="42358984" w14:textId="77777777">
            <w:pPr>
              <w:ind w:firstLine="1027"/>
              <w:jc w:val="center"/>
              <w:textAlignment w:val="baseline"/>
              <w:rPr>
                <w:rFonts w:eastAsia="Times New Roman"/>
                <w:color w:val="000000"/>
                <w:sz w:val="17"/>
                <w:lang w:val="en-GB"/>
              </w:rPr>
            </w:pPr>
          </w:p>
        </w:tc>
        <w:tc>
          <w:tcPr>
            <w:tcW w:w="1823" w:type="dxa"/>
            <w:vAlign w:val="bottom"/>
          </w:tcPr>
          <w:p w:rsidRPr="009C48DA" w:rsidR="00661519" w:rsidP="00661519" w:rsidRDefault="00661519" w14:paraId="1AE95E2E" w14:textId="77777777">
            <w:pPr>
              <w:jc w:val="center"/>
              <w:textAlignment w:val="baseline"/>
              <w:rPr>
                <w:rFonts w:eastAsia="Times New Roman"/>
                <w:color w:val="000000"/>
                <w:sz w:val="17"/>
                <w:lang w:val="en-GB"/>
              </w:rPr>
            </w:pPr>
          </w:p>
        </w:tc>
        <w:tc>
          <w:tcPr>
            <w:tcW w:w="1814" w:type="dxa"/>
            <w:vAlign w:val="bottom"/>
          </w:tcPr>
          <w:p w:rsidRPr="009C48DA" w:rsidR="00661519" w:rsidP="00661519" w:rsidRDefault="00661519" w14:paraId="05CEBA4B" w14:textId="77777777">
            <w:pPr>
              <w:jc w:val="center"/>
              <w:textAlignment w:val="baseline"/>
              <w:rPr>
                <w:rFonts w:eastAsia="Times New Roman"/>
                <w:color w:val="000000"/>
                <w:sz w:val="17"/>
                <w:lang w:val="en-GB"/>
              </w:rPr>
            </w:pPr>
          </w:p>
        </w:tc>
        <w:tc>
          <w:tcPr>
            <w:tcW w:w="1534" w:type="dxa"/>
            <w:vAlign w:val="center"/>
          </w:tcPr>
          <w:p w:rsidRPr="009C48DA" w:rsidR="00661519" w:rsidP="00661519" w:rsidRDefault="00661519" w14:paraId="66CD8FD5" w14:textId="77777777">
            <w:pPr>
              <w:jc w:val="center"/>
              <w:textAlignment w:val="baseline"/>
              <w:rPr>
                <w:rFonts w:eastAsia="Times New Roman"/>
                <w:color w:val="000000"/>
                <w:sz w:val="17"/>
                <w:lang w:val="en-GB"/>
              </w:rPr>
            </w:pPr>
          </w:p>
        </w:tc>
      </w:tr>
      <w:tr w:rsidRPr="009C48DA" w:rsidR="00661519" w:rsidTr="00661519" w14:paraId="015A3321" w14:textId="77777777">
        <w:tc>
          <w:tcPr>
            <w:tcW w:w="2861" w:type="dxa"/>
            <w:vAlign w:val="center"/>
          </w:tcPr>
          <w:p w:rsidRPr="009C48DA" w:rsidR="00661519" w:rsidP="00661519" w:rsidRDefault="00661519" w14:paraId="4DDC27FE" w14:textId="77777777">
            <w:pPr>
              <w:textAlignment w:val="baseline"/>
              <w:rPr>
                <w:rFonts w:eastAsia="Times New Roman"/>
                <w:color w:val="000000"/>
                <w:sz w:val="16"/>
                <w:lang w:val="en-GB"/>
              </w:rPr>
            </w:pPr>
            <w:r w:rsidRPr="009C48DA">
              <w:rPr>
                <w:rFonts w:eastAsia="Times New Roman"/>
                <w:color w:val="000000"/>
                <w:sz w:val="16"/>
                <w:lang w:val="en-GB"/>
              </w:rPr>
              <w:t>Bridgepoint CLO 1 DAC</w:t>
            </w:r>
          </w:p>
        </w:tc>
        <w:tc>
          <w:tcPr>
            <w:tcW w:w="1218" w:type="dxa"/>
            <w:vAlign w:val="bottom"/>
          </w:tcPr>
          <w:p w:rsidRPr="009C48DA" w:rsidR="00661519" w:rsidP="00661519" w:rsidRDefault="00661519" w14:paraId="11F724B3" w14:textId="77777777">
            <w:pPr>
              <w:jc w:val="center"/>
              <w:textAlignment w:val="baseline"/>
              <w:rPr>
                <w:rFonts w:eastAsia="Times New Roman"/>
                <w:color w:val="000000"/>
                <w:sz w:val="16"/>
                <w:lang w:val="en-GB"/>
              </w:rPr>
            </w:pPr>
            <w:r w:rsidRPr="009C48DA">
              <w:rPr>
                <w:rFonts w:eastAsia="Times New Roman"/>
                <w:color w:val="000000"/>
                <w:sz w:val="16"/>
                <w:lang w:val="en-GB"/>
              </w:rPr>
              <w:t>Ireland</w:t>
            </w:r>
          </w:p>
        </w:tc>
        <w:tc>
          <w:tcPr>
            <w:tcW w:w="1823" w:type="dxa"/>
            <w:vAlign w:val="bottom"/>
          </w:tcPr>
          <w:p w:rsidRPr="009C48DA" w:rsidR="00661519" w:rsidP="00661519" w:rsidRDefault="00661519" w14:paraId="5147B04E" w14:textId="77777777">
            <w:pPr>
              <w:jc w:val="center"/>
              <w:textAlignment w:val="baseline"/>
              <w:rPr>
                <w:rFonts w:eastAsia="Times New Roman"/>
                <w:color w:val="000000"/>
                <w:sz w:val="16"/>
                <w:lang w:val="en-GB"/>
              </w:rPr>
            </w:pPr>
            <w:r w:rsidRPr="009C48DA">
              <w:rPr>
                <w:rFonts w:eastAsia="Times New Roman"/>
                <w:color w:val="000000"/>
                <w:sz w:val="16"/>
                <w:lang w:val="en-GB"/>
              </w:rPr>
              <w:t>5%</w:t>
            </w:r>
          </w:p>
        </w:tc>
        <w:tc>
          <w:tcPr>
            <w:tcW w:w="1814" w:type="dxa"/>
            <w:vAlign w:val="bottom"/>
          </w:tcPr>
          <w:p w:rsidRPr="009C48DA" w:rsidR="00661519" w:rsidP="00661519" w:rsidRDefault="00661519" w14:paraId="464392E7" w14:textId="77777777">
            <w:pPr>
              <w:jc w:val="center"/>
              <w:textAlignment w:val="baseline"/>
              <w:rPr>
                <w:rFonts w:eastAsia="Times New Roman"/>
                <w:color w:val="000000"/>
                <w:sz w:val="16"/>
                <w:lang w:val="en-GB"/>
              </w:rPr>
            </w:pPr>
            <w:r w:rsidRPr="009C48DA">
              <w:rPr>
                <w:rFonts w:eastAsia="Times New Roman"/>
                <w:color w:val="000000"/>
                <w:sz w:val="16"/>
                <w:lang w:val="en-GB"/>
              </w:rPr>
              <w:t>Subordinated note in the residual class</w:t>
            </w:r>
          </w:p>
        </w:tc>
        <w:tc>
          <w:tcPr>
            <w:tcW w:w="1534" w:type="dxa"/>
            <w:vAlign w:val="center"/>
          </w:tcPr>
          <w:p w:rsidRPr="009C48DA" w:rsidR="00661519" w:rsidP="00661519" w:rsidRDefault="00661519" w14:paraId="29677758" w14:textId="77777777">
            <w:pPr>
              <w:jc w:val="center"/>
              <w:textAlignment w:val="baseline"/>
              <w:rPr>
                <w:rFonts w:eastAsia="Times New Roman"/>
                <w:color w:val="000000"/>
                <w:sz w:val="16"/>
                <w:lang w:val="en-GB"/>
              </w:rPr>
            </w:pPr>
            <w:r w:rsidRPr="009C48DA">
              <w:rPr>
                <w:rFonts w:eastAsia="Times New Roman"/>
                <w:color w:val="000000"/>
                <w:sz w:val="16"/>
                <w:lang w:val="en-GB"/>
              </w:rPr>
              <w:t>YE 2020, Q1 2021</w:t>
            </w:r>
          </w:p>
        </w:tc>
      </w:tr>
      <w:tr w:rsidRPr="009C48DA" w:rsidR="00661519" w:rsidTr="00661519" w14:paraId="612A5B70" w14:textId="77777777">
        <w:tc>
          <w:tcPr>
            <w:tcW w:w="2861" w:type="dxa"/>
            <w:vAlign w:val="center"/>
          </w:tcPr>
          <w:p w:rsidRPr="009C48DA" w:rsidR="00661519" w:rsidP="00661519" w:rsidRDefault="00661519" w14:paraId="7C682963" w14:textId="77777777">
            <w:pPr>
              <w:textAlignment w:val="baseline"/>
              <w:rPr>
                <w:rFonts w:eastAsia="Times New Roman"/>
                <w:color w:val="000000"/>
                <w:sz w:val="16"/>
                <w:lang w:val="en-GB"/>
              </w:rPr>
            </w:pPr>
            <w:r w:rsidRPr="009C48DA">
              <w:rPr>
                <w:rFonts w:eastAsia="Times New Roman"/>
                <w:color w:val="000000"/>
                <w:sz w:val="16"/>
                <w:lang w:val="en-GB"/>
              </w:rPr>
              <w:t>Bridgepoint CLO 2 DAC</w:t>
            </w:r>
          </w:p>
        </w:tc>
        <w:tc>
          <w:tcPr>
            <w:tcW w:w="1218" w:type="dxa"/>
            <w:vAlign w:val="bottom"/>
          </w:tcPr>
          <w:p w:rsidRPr="009C48DA" w:rsidR="00661519" w:rsidP="00661519" w:rsidRDefault="00661519" w14:paraId="4308C835" w14:textId="77777777">
            <w:pPr>
              <w:jc w:val="center"/>
              <w:textAlignment w:val="baseline"/>
              <w:rPr>
                <w:rFonts w:eastAsia="Times New Roman"/>
                <w:color w:val="000000"/>
                <w:sz w:val="16"/>
                <w:lang w:val="en-GB"/>
              </w:rPr>
            </w:pPr>
            <w:r w:rsidRPr="009C48DA">
              <w:rPr>
                <w:rFonts w:eastAsia="Times New Roman"/>
                <w:color w:val="000000"/>
                <w:sz w:val="16"/>
                <w:lang w:val="en-GB"/>
              </w:rPr>
              <w:t>Ireland</w:t>
            </w:r>
          </w:p>
        </w:tc>
        <w:tc>
          <w:tcPr>
            <w:tcW w:w="1823" w:type="dxa"/>
            <w:vAlign w:val="bottom"/>
          </w:tcPr>
          <w:p w:rsidRPr="009C48DA" w:rsidR="00661519" w:rsidP="00661519" w:rsidRDefault="00661519" w14:paraId="42F56767" w14:textId="77777777">
            <w:pPr>
              <w:jc w:val="center"/>
              <w:textAlignment w:val="baseline"/>
              <w:rPr>
                <w:rFonts w:eastAsia="Times New Roman"/>
                <w:color w:val="000000"/>
                <w:sz w:val="16"/>
                <w:lang w:val="en-GB"/>
              </w:rPr>
            </w:pPr>
            <w:r w:rsidRPr="009C48DA">
              <w:rPr>
                <w:rFonts w:eastAsia="Times New Roman"/>
                <w:color w:val="000000"/>
                <w:sz w:val="16"/>
                <w:lang w:val="en-GB"/>
              </w:rPr>
              <w:t>50%</w:t>
            </w:r>
          </w:p>
        </w:tc>
        <w:tc>
          <w:tcPr>
            <w:tcW w:w="1814" w:type="dxa"/>
            <w:vAlign w:val="bottom"/>
          </w:tcPr>
          <w:p w:rsidRPr="009C48DA" w:rsidR="00661519" w:rsidP="00661519" w:rsidRDefault="00661519" w14:paraId="5B8CC590" w14:textId="77777777">
            <w:pPr>
              <w:jc w:val="center"/>
              <w:textAlignment w:val="baseline"/>
              <w:rPr>
                <w:rFonts w:eastAsia="Times New Roman"/>
                <w:color w:val="000000"/>
                <w:sz w:val="16"/>
                <w:lang w:val="en-GB"/>
              </w:rPr>
            </w:pPr>
            <w:r w:rsidRPr="009C48DA">
              <w:rPr>
                <w:rFonts w:eastAsia="Times New Roman"/>
                <w:color w:val="000000"/>
                <w:sz w:val="16"/>
                <w:lang w:val="en-GB"/>
              </w:rPr>
              <w:t>Subordinated note in the residual class</w:t>
            </w:r>
          </w:p>
        </w:tc>
        <w:tc>
          <w:tcPr>
            <w:tcW w:w="1534" w:type="dxa"/>
            <w:vAlign w:val="center"/>
          </w:tcPr>
          <w:p w:rsidRPr="009C48DA" w:rsidR="00661519" w:rsidP="00661519" w:rsidRDefault="00661519" w14:paraId="42841BC6" w14:textId="77777777">
            <w:pPr>
              <w:jc w:val="center"/>
              <w:textAlignment w:val="baseline"/>
              <w:rPr>
                <w:rFonts w:eastAsia="Times New Roman"/>
                <w:color w:val="000000"/>
                <w:sz w:val="16"/>
                <w:lang w:val="en-GB"/>
              </w:rPr>
            </w:pPr>
            <w:r w:rsidRPr="009C48DA">
              <w:rPr>
                <w:rFonts w:eastAsia="Times New Roman"/>
                <w:color w:val="000000"/>
                <w:sz w:val="16"/>
                <w:lang w:val="en-GB"/>
              </w:rPr>
              <w:t>YE 2020, Q1 2021</w:t>
            </w:r>
          </w:p>
        </w:tc>
      </w:tr>
      <w:tr w:rsidRPr="009C48DA" w:rsidR="00661519" w:rsidTr="00661519" w14:paraId="5E652D3B" w14:textId="77777777">
        <w:trPr>
          <w:trHeight w:val="74"/>
        </w:trPr>
        <w:tc>
          <w:tcPr>
            <w:tcW w:w="2861" w:type="dxa"/>
            <w:vAlign w:val="center"/>
          </w:tcPr>
          <w:p w:rsidRPr="009C48DA" w:rsidR="00661519" w:rsidP="00661519" w:rsidRDefault="00661519" w14:paraId="3102AFBB" w14:textId="77777777">
            <w:pPr>
              <w:textAlignment w:val="baseline"/>
              <w:rPr>
                <w:rFonts w:eastAsia="Times New Roman"/>
                <w:color w:val="000000"/>
                <w:sz w:val="16"/>
                <w:lang w:val="en-GB"/>
              </w:rPr>
            </w:pPr>
            <w:r w:rsidRPr="009C48DA">
              <w:rPr>
                <w:rFonts w:eastAsia="Times New Roman"/>
                <w:color w:val="000000"/>
                <w:sz w:val="16"/>
                <w:lang w:val="en-GB"/>
              </w:rPr>
              <w:t>Opal Investments LP</w:t>
            </w:r>
          </w:p>
        </w:tc>
        <w:tc>
          <w:tcPr>
            <w:tcW w:w="1218" w:type="dxa"/>
            <w:vAlign w:val="bottom"/>
          </w:tcPr>
          <w:p w:rsidRPr="009C48DA" w:rsidR="00661519" w:rsidP="00661519" w:rsidRDefault="00661519" w14:paraId="4F1C5CD1" w14:textId="77777777">
            <w:pPr>
              <w:jc w:val="center"/>
              <w:textAlignment w:val="baseline"/>
              <w:rPr>
                <w:rFonts w:eastAsia="Times New Roman"/>
                <w:color w:val="000000"/>
                <w:sz w:val="16"/>
                <w:lang w:val="en-GB"/>
              </w:rPr>
            </w:pPr>
            <w:r w:rsidRPr="009C48DA">
              <w:rPr>
                <w:rFonts w:eastAsia="Times New Roman"/>
                <w:color w:val="000000"/>
                <w:sz w:val="16"/>
                <w:lang w:val="en-GB"/>
              </w:rPr>
              <w:t>United Kingdom</w:t>
            </w:r>
          </w:p>
        </w:tc>
        <w:tc>
          <w:tcPr>
            <w:tcW w:w="1823" w:type="dxa"/>
            <w:vAlign w:val="bottom"/>
          </w:tcPr>
          <w:p w:rsidRPr="009C48DA" w:rsidR="00661519" w:rsidP="00661519" w:rsidRDefault="00661519" w14:paraId="0E21AD7F" w14:textId="77777777">
            <w:pPr>
              <w:jc w:val="center"/>
              <w:textAlignment w:val="baseline"/>
              <w:rPr>
                <w:rFonts w:eastAsia="Times New Roman"/>
                <w:color w:val="000000"/>
                <w:sz w:val="16"/>
                <w:lang w:val="en-GB"/>
              </w:rPr>
            </w:pPr>
            <w:r w:rsidRPr="009C48DA">
              <w:rPr>
                <w:rFonts w:eastAsia="Times New Roman"/>
                <w:color w:val="000000"/>
                <w:sz w:val="16"/>
                <w:lang w:val="en-GB"/>
              </w:rPr>
              <w:t>85%</w:t>
            </w:r>
          </w:p>
        </w:tc>
        <w:tc>
          <w:tcPr>
            <w:tcW w:w="1814" w:type="dxa"/>
            <w:vAlign w:val="bottom"/>
          </w:tcPr>
          <w:p w:rsidRPr="009C48DA" w:rsidR="00661519" w:rsidP="00661519" w:rsidRDefault="00661519" w14:paraId="3D09A65F" w14:textId="77777777">
            <w:pPr>
              <w:jc w:val="center"/>
              <w:textAlignment w:val="baseline"/>
              <w:rPr>
                <w:rFonts w:eastAsia="Times New Roman"/>
                <w:color w:val="000000"/>
                <w:sz w:val="16"/>
                <w:lang w:val="en-GB"/>
              </w:rPr>
            </w:pPr>
            <w:r w:rsidRPr="009C48DA">
              <w:rPr>
                <w:rFonts w:eastAsia="Times New Roman"/>
                <w:color w:val="000000"/>
                <w:sz w:val="16"/>
                <w:lang w:val="en-GB"/>
              </w:rPr>
              <w:t>Limited partner</w:t>
            </w:r>
          </w:p>
        </w:tc>
        <w:tc>
          <w:tcPr>
            <w:tcW w:w="1534" w:type="dxa"/>
            <w:vAlign w:val="center"/>
          </w:tcPr>
          <w:p w:rsidRPr="009C48DA" w:rsidR="00661519" w:rsidP="00661519" w:rsidRDefault="00661519" w14:paraId="36405E0F" w14:textId="77777777">
            <w:pPr>
              <w:jc w:val="center"/>
              <w:textAlignment w:val="baseline"/>
              <w:rPr>
                <w:rFonts w:eastAsia="Times New Roman"/>
                <w:color w:val="000000"/>
                <w:sz w:val="16"/>
                <w:lang w:val="en-GB"/>
              </w:rPr>
            </w:pPr>
            <w:r w:rsidRPr="009C48DA">
              <w:rPr>
                <w:rFonts w:eastAsia="Times New Roman"/>
                <w:color w:val="000000"/>
                <w:sz w:val="16"/>
                <w:lang w:val="en-GB"/>
              </w:rPr>
              <w:t>All periods</w:t>
            </w:r>
          </w:p>
        </w:tc>
      </w:tr>
    </w:tbl>
    <w:p w:rsidRPr="009C48DA" w:rsidR="00661519" w:rsidP="00661519" w:rsidRDefault="00661519" w14:paraId="6A850AB8" w14:textId="77777777">
      <w:pPr>
        <w:textAlignment w:val="baseline"/>
        <w:rPr>
          <w:rFonts w:eastAsia="Times New Roman"/>
          <w:color w:val="000000"/>
          <w:sz w:val="17"/>
          <w:lang w:val="en-GB"/>
        </w:rPr>
      </w:pPr>
    </w:p>
    <w:p w:rsidRPr="009C48DA" w:rsidR="00661519" w:rsidP="00661519" w:rsidRDefault="00661519" w14:paraId="0CF93054" w14:textId="77777777">
      <w:pPr>
        <w:rPr>
          <w:rFonts w:eastAsia="Times New Roman"/>
          <w:color w:val="000000"/>
          <w:sz w:val="17"/>
          <w:lang w:val="en-GB"/>
        </w:rPr>
      </w:pPr>
      <w:r w:rsidRPr="009C48DA">
        <w:rPr>
          <w:rFonts w:eastAsia="Times New Roman"/>
          <w:color w:val="000000"/>
          <w:sz w:val="17"/>
          <w:lang w:val="en-GB"/>
        </w:rPr>
        <w:br w:type="page"/>
      </w:r>
    </w:p>
    <w:p w:rsidRPr="009C48DA" w:rsidR="00661519" w:rsidP="00661519" w:rsidRDefault="00661519" w14:paraId="4EBFC72E" w14:textId="77777777">
      <w:pPr>
        <w:textAlignment w:val="baseline"/>
        <w:rPr>
          <w:rFonts w:eastAsia="Times New Roman"/>
          <w:b/>
          <w:color w:val="000000"/>
          <w:sz w:val="17"/>
          <w:lang w:val="en-GB"/>
        </w:rPr>
      </w:pPr>
      <w:r w:rsidRPr="009C48DA">
        <w:rPr>
          <w:rFonts w:eastAsia="Times New Roman"/>
          <w:b/>
          <w:color w:val="000000"/>
          <w:sz w:val="17"/>
          <w:lang w:val="en-GB"/>
        </w:rPr>
        <w:lastRenderedPageBreak/>
        <w:t>(d)</w:t>
      </w:r>
      <w:r w:rsidRPr="009C48DA">
        <w:rPr>
          <w:rFonts w:eastAsia="Times New Roman"/>
          <w:b/>
          <w:color w:val="000000"/>
          <w:sz w:val="17"/>
          <w:lang w:val="en-GB"/>
        </w:rPr>
        <w:tab/>
        <w:t>Associates</w:t>
      </w:r>
    </w:p>
    <w:p w:rsidRPr="009C48DA" w:rsidR="00661519" w:rsidP="00661519" w:rsidRDefault="00661519" w14:paraId="2E49002F" w14:textId="77777777">
      <w:pPr>
        <w:textAlignment w:val="baseline"/>
        <w:rPr>
          <w:rFonts w:eastAsia="Times New Roman"/>
          <w:b/>
          <w:color w:val="000000"/>
          <w:sz w:val="17"/>
          <w:lang w:val="en-GB"/>
        </w:rPr>
      </w:pPr>
    </w:p>
    <w:p w:rsidRPr="009C48DA" w:rsidR="00661519" w:rsidP="00661519" w:rsidRDefault="00661519" w14:paraId="4198E80F" w14:textId="77777777">
      <w:pPr>
        <w:jc w:val="both"/>
        <w:textAlignment w:val="baseline"/>
        <w:rPr>
          <w:rFonts w:eastAsia="Times New Roman"/>
          <w:color w:val="000000"/>
          <w:sz w:val="17"/>
          <w:lang w:val="en-GB"/>
        </w:rPr>
      </w:pPr>
      <w:r w:rsidRPr="009C48DA">
        <w:rPr>
          <w:rFonts w:eastAsia="Times New Roman"/>
          <w:color w:val="000000"/>
          <w:sz w:val="17"/>
          <w:lang w:val="en-GB"/>
        </w:rPr>
        <w:t>Where the Group hold investments in funds or CIPs that give the Group significant influence, but not control, through participation in the financial and operating policy decisions, the Group measures investments in associates at fair value through profit or loss. Information about the Group’s associates measured at fair value is shown below. The investments are recorded as financial assets or carried interest receivable within the Group’s balance sheet.</w:t>
      </w:r>
    </w:p>
    <w:p w:rsidRPr="009C48DA" w:rsidR="00661519" w:rsidP="00661519" w:rsidRDefault="00661519" w14:paraId="220B7140" w14:textId="77777777">
      <w:pPr>
        <w:jc w:val="both"/>
        <w:textAlignment w:val="baseline"/>
        <w:rPr>
          <w:rFonts w:eastAsia="Times New Roman"/>
          <w:color w:val="000000"/>
          <w:sz w:val="17"/>
          <w:lang w:val="en-GB"/>
        </w:rPr>
      </w:pPr>
    </w:p>
    <w:p w:rsidRPr="009C48DA" w:rsidR="00661519" w:rsidP="00661519" w:rsidRDefault="00661519" w14:paraId="2C046A03" w14:textId="77777777">
      <w:pPr>
        <w:jc w:val="both"/>
        <w:textAlignment w:val="baseline"/>
        <w:rPr>
          <w:rFonts w:eastAsia="Times New Roman"/>
          <w:color w:val="000000"/>
          <w:sz w:val="17"/>
          <w:u w:val="single"/>
          <w:lang w:val="en-GB"/>
        </w:rPr>
      </w:pPr>
      <w:r w:rsidRPr="009C48DA">
        <w:rPr>
          <w:rFonts w:eastAsia="Times New Roman"/>
          <w:color w:val="000000"/>
          <w:sz w:val="17"/>
          <w:u w:val="single"/>
          <w:lang w:val="en-GB"/>
        </w:rPr>
        <w:t>Bridgepoint Credit II “C” LP</w:t>
      </w:r>
    </w:p>
    <w:p w:rsidRPr="009C48DA" w:rsidR="00661519" w:rsidP="00661519" w:rsidRDefault="00661519" w14:paraId="4063ACB0" w14:textId="77777777">
      <w:pPr>
        <w:jc w:val="both"/>
        <w:textAlignment w:val="baseline"/>
        <w:rPr>
          <w:rFonts w:eastAsia="Times New Roman"/>
          <w:color w:val="000000"/>
          <w:sz w:val="17"/>
          <w:lang w:val="en-GB"/>
        </w:rPr>
      </w:pPr>
      <w:r w:rsidRPr="009C48DA">
        <w:rPr>
          <w:rFonts w:eastAsia="Times New Roman"/>
          <w:color w:val="000000"/>
          <w:sz w:val="17"/>
          <w:lang w:val="en-GB"/>
        </w:rPr>
        <w:t xml:space="preserve">Within investments in funds, the Group has an investment that represents 27% of the total committed capital of Bridgepoint Credit II (C) LP, a fund that lends to private companies. Where the Group holds an interest that is greater than 20% the Group is considered to have significant influence, but not control. Accordingly, Bridgepoint Credit II is considered to be an associate of the Group. Key financial information about the fund is set out in the table below. </w:t>
      </w:r>
    </w:p>
    <w:tbl>
      <w:tblPr>
        <w:tblStyle w:val="TableGrid30"/>
        <w:tblW w:w="92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11"/>
        <w:gridCol w:w="1178"/>
        <w:gridCol w:w="1178"/>
        <w:gridCol w:w="1179"/>
        <w:gridCol w:w="1178"/>
      </w:tblGrid>
      <w:tr w:rsidRPr="009C48DA" w:rsidR="00661519" w:rsidTr="00661519" w14:paraId="1AEFDF1A" w14:textId="77777777">
        <w:trPr>
          <w:trHeight w:val="230"/>
        </w:trPr>
        <w:tc>
          <w:tcPr>
            <w:tcW w:w="4511" w:type="dxa"/>
            <w:vAlign w:val="bottom"/>
          </w:tcPr>
          <w:p w:rsidRPr="009C48DA" w:rsidR="00661519" w:rsidP="00661519" w:rsidRDefault="00661519" w14:paraId="4AE4AD3C" w14:textId="77777777">
            <w:pPr>
              <w:jc w:val="both"/>
              <w:textAlignment w:val="baseline"/>
              <w:rPr>
                <w:rFonts w:eastAsia="Times New Roman"/>
                <w:b/>
                <w:color w:val="000000"/>
                <w:sz w:val="16"/>
                <w:szCs w:val="16"/>
                <w:lang w:val="en-GB"/>
              </w:rPr>
            </w:pPr>
          </w:p>
        </w:tc>
        <w:tc>
          <w:tcPr>
            <w:tcW w:w="3535" w:type="dxa"/>
            <w:gridSpan w:val="3"/>
            <w:vAlign w:val="bottom"/>
          </w:tcPr>
          <w:p w:rsidRPr="009C48DA" w:rsidR="00661519" w:rsidP="00661519" w:rsidRDefault="00661519" w14:paraId="41D6B3B5"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szCs w:val="16"/>
                <w:lang w:val="en-GB"/>
              </w:rPr>
              <w:t>31 December</w:t>
            </w:r>
          </w:p>
        </w:tc>
        <w:tc>
          <w:tcPr>
            <w:tcW w:w="1178" w:type="dxa"/>
          </w:tcPr>
          <w:p w:rsidRPr="009C48DA" w:rsidR="00661519" w:rsidP="00661519" w:rsidRDefault="00661519" w14:paraId="64B90995" w14:textId="77777777">
            <w:pPr>
              <w:pBdr>
                <w:bottom w:val="single" w:color="auto" w:sz="18" w:space="1"/>
              </w:pBdr>
              <w:textAlignment w:val="baseline"/>
              <w:rPr>
                <w:rFonts w:eastAsia="Times New Roman"/>
                <w:b/>
                <w:color w:val="000000"/>
                <w:sz w:val="16"/>
                <w:szCs w:val="16"/>
                <w:lang w:val="en-GB"/>
              </w:rPr>
            </w:pPr>
          </w:p>
          <w:p w:rsidRPr="009C48DA" w:rsidR="00661519" w:rsidP="00661519" w:rsidRDefault="00661519" w14:paraId="29B18960"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szCs w:val="16"/>
                <w:lang w:val="en-GB"/>
              </w:rPr>
              <w:t>31 March</w:t>
            </w:r>
          </w:p>
        </w:tc>
      </w:tr>
      <w:tr w:rsidRPr="009C48DA" w:rsidR="00661519" w:rsidTr="00661519" w14:paraId="26AEE78E" w14:textId="77777777">
        <w:trPr>
          <w:trHeight w:val="375"/>
        </w:trPr>
        <w:tc>
          <w:tcPr>
            <w:tcW w:w="4511" w:type="dxa"/>
            <w:vAlign w:val="bottom"/>
          </w:tcPr>
          <w:p w:rsidRPr="009C48DA" w:rsidR="00661519" w:rsidP="00661519" w:rsidRDefault="00661519" w14:paraId="7F4E96E6" w14:textId="77777777">
            <w:pPr>
              <w:jc w:val="both"/>
              <w:textAlignment w:val="baseline"/>
              <w:rPr>
                <w:rFonts w:eastAsia="Times New Roman"/>
                <w:b/>
                <w:color w:val="000000"/>
                <w:sz w:val="16"/>
                <w:lang w:val="en-GB"/>
              </w:rPr>
            </w:pPr>
          </w:p>
        </w:tc>
        <w:tc>
          <w:tcPr>
            <w:tcW w:w="1178" w:type="dxa"/>
            <w:vAlign w:val="bottom"/>
          </w:tcPr>
          <w:p w:rsidRPr="009C48DA" w:rsidR="00661519" w:rsidP="00661519" w:rsidRDefault="00661519" w14:paraId="04FFE713"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2018</w:t>
            </w:r>
          </w:p>
          <w:p w:rsidRPr="009C48DA" w:rsidR="00661519" w:rsidP="00661519" w:rsidRDefault="00661519" w14:paraId="68507E92"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178" w:type="dxa"/>
            <w:vAlign w:val="bottom"/>
          </w:tcPr>
          <w:p w:rsidRPr="009C48DA" w:rsidR="00661519" w:rsidP="00661519" w:rsidRDefault="00661519" w14:paraId="7314897E"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2019</w:t>
            </w:r>
          </w:p>
          <w:p w:rsidRPr="009C48DA" w:rsidR="00661519" w:rsidP="00661519" w:rsidRDefault="00661519" w14:paraId="75EB9A89"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178" w:type="dxa"/>
            <w:vAlign w:val="bottom"/>
          </w:tcPr>
          <w:p w:rsidRPr="009C48DA" w:rsidR="00661519" w:rsidP="00661519" w:rsidRDefault="00661519" w14:paraId="6A946C08"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2020</w:t>
            </w:r>
          </w:p>
          <w:p w:rsidRPr="009C48DA" w:rsidR="00661519" w:rsidP="00661519" w:rsidRDefault="00661519" w14:paraId="5B016F42"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178" w:type="dxa"/>
            <w:vAlign w:val="bottom"/>
          </w:tcPr>
          <w:p w:rsidRPr="009C48DA" w:rsidR="00661519" w:rsidP="00661519" w:rsidRDefault="00661519" w14:paraId="61161695"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2021</w:t>
            </w:r>
          </w:p>
          <w:p w:rsidRPr="009C48DA" w:rsidR="00661519" w:rsidP="00661519" w:rsidRDefault="00661519" w14:paraId="276D49A4"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£ 000</w:t>
            </w:r>
          </w:p>
        </w:tc>
      </w:tr>
      <w:tr w:rsidRPr="009C48DA" w:rsidR="00661519" w:rsidTr="00661519" w14:paraId="16B5CE4D" w14:textId="77777777">
        <w:trPr>
          <w:trHeight w:val="194"/>
        </w:trPr>
        <w:tc>
          <w:tcPr>
            <w:tcW w:w="4511" w:type="dxa"/>
            <w:vAlign w:val="bottom"/>
          </w:tcPr>
          <w:p w:rsidRPr="009C48DA" w:rsidR="00661519" w:rsidP="00661519" w:rsidRDefault="00661519" w14:paraId="1EF5F74C"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Investments at fair value</w:t>
            </w:r>
          </w:p>
        </w:tc>
        <w:tc>
          <w:tcPr>
            <w:tcW w:w="1178" w:type="dxa"/>
            <w:vAlign w:val="center"/>
          </w:tcPr>
          <w:p w:rsidRPr="009C48DA" w:rsidR="00661519" w:rsidP="00661519" w:rsidRDefault="00661519" w14:paraId="5D1CE7BD"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38F3224A"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158,233</w:t>
            </w:r>
          </w:p>
        </w:tc>
        <w:tc>
          <w:tcPr>
            <w:tcW w:w="1178" w:type="dxa"/>
            <w:vAlign w:val="center"/>
          </w:tcPr>
          <w:p w:rsidRPr="009C48DA" w:rsidR="00661519" w:rsidP="00661519" w:rsidRDefault="00661519" w14:paraId="6277488C"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280,621</w:t>
            </w:r>
          </w:p>
        </w:tc>
        <w:tc>
          <w:tcPr>
            <w:tcW w:w="1178" w:type="dxa"/>
            <w:vAlign w:val="center"/>
          </w:tcPr>
          <w:p w:rsidRPr="009C48DA" w:rsidR="00661519" w:rsidP="00661519" w:rsidRDefault="00661519" w14:paraId="152710A2" w14:textId="77777777">
            <w:pPr>
              <w:jc w:val="right"/>
              <w:textAlignment w:val="baseline"/>
              <w:rPr>
                <w:rFonts w:eastAsia="Times New Roman"/>
                <w:color w:val="000000"/>
                <w:sz w:val="16"/>
                <w:szCs w:val="16"/>
                <w:lang w:val="en-GB"/>
              </w:rPr>
            </w:pPr>
            <w:r w:rsidRPr="009C48DA">
              <w:rPr>
                <w:rFonts w:eastAsia="Times New Roman"/>
                <w:color w:val="000000"/>
                <w:sz w:val="16"/>
                <w:lang w:val="en-GB"/>
              </w:rPr>
              <w:t>319,436</w:t>
            </w:r>
          </w:p>
        </w:tc>
      </w:tr>
      <w:tr w:rsidRPr="009C48DA" w:rsidR="00661519" w:rsidTr="00661519" w14:paraId="20E7D2A4" w14:textId="77777777">
        <w:trPr>
          <w:trHeight w:val="194"/>
        </w:trPr>
        <w:tc>
          <w:tcPr>
            <w:tcW w:w="4511" w:type="dxa"/>
            <w:vAlign w:val="bottom"/>
          </w:tcPr>
          <w:p w:rsidRPr="009C48DA" w:rsidR="00661519" w:rsidP="00661519" w:rsidRDefault="00661519" w14:paraId="57B82355"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Other assets</w:t>
            </w:r>
          </w:p>
        </w:tc>
        <w:tc>
          <w:tcPr>
            <w:tcW w:w="1178" w:type="dxa"/>
            <w:vAlign w:val="center"/>
          </w:tcPr>
          <w:p w:rsidRPr="009C48DA" w:rsidR="00661519" w:rsidP="00661519" w:rsidRDefault="00661519" w14:paraId="4E305908"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2FD469FD" w14:textId="77777777">
            <w:pPr>
              <w:jc w:val="right"/>
              <w:textAlignment w:val="baseline"/>
              <w:rPr>
                <w:rFonts w:eastAsia="Times New Roman"/>
                <w:color w:val="000000"/>
                <w:sz w:val="16"/>
                <w:lang w:val="en-GB"/>
              </w:rPr>
            </w:pPr>
            <w:r w:rsidRPr="009C48DA">
              <w:rPr>
                <w:rFonts w:eastAsia="Times New Roman"/>
                <w:color w:val="000000"/>
                <w:sz w:val="16"/>
                <w:lang w:val="en-GB"/>
              </w:rPr>
              <w:t>11,296</w:t>
            </w:r>
          </w:p>
        </w:tc>
        <w:tc>
          <w:tcPr>
            <w:tcW w:w="1178" w:type="dxa"/>
            <w:vAlign w:val="center"/>
          </w:tcPr>
          <w:p w:rsidRPr="009C48DA" w:rsidR="00661519" w:rsidP="00661519" w:rsidRDefault="00661519" w14:paraId="02F2DFD6" w14:textId="77777777">
            <w:pPr>
              <w:jc w:val="right"/>
              <w:textAlignment w:val="baseline"/>
              <w:rPr>
                <w:rFonts w:eastAsia="Times New Roman"/>
                <w:color w:val="000000"/>
                <w:sz w:val="16"/>
                <w:lang w:val="en-GB"/>
              </w:rPr>
            </w:pPr>
            <w:r w:rsidRPr="009C48DA">
              <w:rPr>
                <w:rFonts w:eastAsia="Times New Roman"/>
                <w:color w:val="000000"/>
                <w:sz w:val="16"/>
                <w:lang w:val="en-GB"/>
              </w:rPr>
              <w:t>11,791</w:t>
            </w:r>
          </w:p>
        </w:tc>
        <w:tc>
          <w:tcPr>
            <w:tcW w:w="1178" w:type="dxa"/>
            <w:vAlign w:val="center"/>
          </w:tcPr>
          <w:p w:rsidRPr="009C48DA" w:rsidR="00661519" w:rsidP="00661519" w:rsidRDefault="00661519" w14:paraId="3A81CED0" w14:textId="77777777">
            <w:pPr>
              <w:jc w:val="right"/>
              <w:textAlignment w:val="baseline"/>
              <w:rPr>
                <w:rFonts w:eastAsia="Times New Roman"/>
                <w:color w:val="000000"/>
                <w:sz w:val="16"/>
                <w:lang w:val="en-GB"/>
              </w:rPr>
            </w:pPr>
            <w:r w:rsidRPr="009C48DA">
              <w:rPr>
                <w:rFonts w:eastAsia="Times New Roman"/>
                <w:color w:val="000000"/>
                <w:sz w:val="16"/>
                <w:lang w:val="en-GB"/>
              </w:rPr>
              <w:t>37,355</w:t>
            </w:r>
          </w:p>
        </w:tc>
      </w:tr>
      <w:tr w:rsidRPr="009C48DA" w:rsidR="00661519" w:rsidTr="00661519" w14:paraId="6AB0DFC9" w14:textId="77777777">
        <w:trPr>
          <w:trHeight w:val="222"/>
        </w:trPr>
        <w:tc>
          <w:tcPr>
            <w:tcW w:w="4511" w:type="dxa"/>
            <w:vAlign w:val="center"/>
          </w:tcPr>
          <w:p w:rsidRPr="009C48DA" w:rsidR="00661519" w:rsidP="00661519" w:rsidRDefault="00661519" w14:paraId="78889639"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Total liabilities</w:t>
            </w:r>
          </w:p>
        </w:tc>
        <w:tc>
          <w:tcPr>
            <w:tcW w:w="1178" w:type="dxa"/>
            <w:vAlign w:val="center"/>
          </w:tcPr>
          <w:p w:rsidRPr="009C48DA" w:rsidR="00661519" w:rsidP="00661519" w:rsidRDefault="00661519" w14:paraId="2AF7EED6"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04925167"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(130,242)</w:t>
            </w:r>
          </w:p>
        </w:tc>
        <w:tc>
          <w:tcPr>
            <w:tcW w:w="1178" w:type="dxa"/>
            <w:vAlign w:val="center"/>
          </w:tcPr>
          <w:p w:rsidRPr="009C48DA" w:rsidR="00661519" w:rsidP="00661519" w:rsidRDefault="00661519" w14:paraId="7C497EBB"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(174,970)</w:t>
            </w:r>
          </w:p>
        </w:tc>
        <w:tc>
          <w:tcPr>
            <w:tcW w:w="1178" w:type="dxa"/>
            <w:vAlign w:val="center"/>
          </w:tcPr>
          <w:p w:rsidRPr="009C48DA" w:rsidR="00661519" w:rsidP="00661519" w:rsidRDefault="00661519" w14:paraId="2A8FD37B" w14:textId="77777777">
            <w:pPr>
              <w:pBdr>
                <w:bottom w:val="single" w:color="auto" w:sz="12" w:space="1"/>
              </w:pBdr>
              <w:jc w:val="right"/>
              <w:textAlignment w:val="baseline"/>
              <w:rPr>
                <w:rFonts w:eastAsia="Times New Roman"/>
                <w:color w:val="000000"/>
                <w:sz w:val="16"/>
                <w:szCs w:val="16"/>
                <w:lang w:val="en-GB"/>
              </w:rPr>
            </w:pPr>
            <w:r w:rsidRPr="009C48DA">
              <w:rPr>
                <w:rFonts w:eastAsia="Times New Roman"/>
                <w:color w:val="000000"/>
                <w:sz w:val="16"/>
                <w:lang w:val="en-GB"/>
              </w:rPr>
              <w:t>(237,657)</w:t>
            </w:r>
          </w:p>
        </w:tc>
      </w:tr>
      <w:tr w:rsidRPr="009C48DA" w:rsidR="00661519" w:rsidTr="00661519" w14:paraId="1B4FABE6" w14:textId="77777777">
        <w:trPr>
          <w:trHeight w:val="236"/>
        </w:trPr>
        <w:tc>
          <w:tcPr>
            <w:tcW w:w="4511" w:type="dxa"/>
            <w:vAlign w:val="center"/>
          </w:tcPr>
          <w:p w:rsidRPr="009C48DA" w:rsidR="00661519" w:rsidP="00661519" w:rsidRDefault="00661519" w14:paraId="1E861483" w14:textId="77777777">
            <w:pPr>
              <w:spacing w:before="120"/>
              <w:textAlignment w:val="baseline"/>
              <w:rPr>
                <w:rFonts w:eastAsia="Times New Roman"/>
                <w:b/>
                <w:color w:val="000000"/>
                <w:sz w:val="16"/>
                <w:szCs w:val="16"/>
                <w:lang w:val="en-GB"/>
              </w:rPr>
            </w:pPr>
            <w:r w:rsidRPr="009C48DA">
              <w:rPr>
                <w:rFonts w:eastAsia="Times New Roman"/>
                <w:b/>
                <w:color w:val="000000"/>
                <w:sz w:val="16"/>
                <w:szCs w:val="16"/>
                <w:lang w:val="en-GB"/>
              </w:rPr>
              <w:t>Total</w:t>
            </w:r>
          </w:p>
        </w:tc>
        <w:tc>
          <w:tcPr>
            <w:tcW w:w="1178" w:type="dxa"/>
            <w:vAlign w:val="center"/>
          </w:tcPr>
          <w:p w:rsidRPr="009C48DA" w:rsidR="00661519" w:rsidP="00661519" w:rsidRDefault="00661519" w14:paraId="18CDAE0C" w14:textId="77777777">
            <w:pPr>
              <w:pBdr>
                <w:bottom w:val="double" w:color="auto" w:sz="6" w:space="1"/>
              </w:pBdr>
              <w:spacing w:before="120"/>
              <w:jc w:val="right"/>
              <w:textAlignment w:val="baseline"/>
              <w:rPr>
                <w:rFonts w:eastAsia="Times New Roman"/>
                <w:color w:val="000000"/>
                <w:sz w:val="16"/>
                <w:szCs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259ACEA3" w14:textId="77777777">
            <w:pPr>
              <w:pBdr>
                <w:bottom w:val="double" w:color="auto" w:sz="6" w:space="1"/>
              </w:pBdr>
              <w:spacing w:before="120"/>
              <w:jc w:val="right"/>
              <w:textAlignment w:val="baseline"/>
              <w:rPr>
                <w:rFonts w:eastAsia="Times New Roman"/>
                <w:color w:val="000000"/>
                <w:sz w:val="16"/>
                <w:szCs w:val="16"/>
                <w:lang w:val="en-GB"/>
              </w:rPr>
            </w:pPr>
            <w:r w:rsidRPr="009C48DA">
              <w:rPr>
                <w:rFonts w:eastAsia="Times New Roman"/>
                <w:color w:val="000000"/>
                <w:sz w:val="16"/>
                <w:lang w:val="en-GB"/>
              </w:rPr>
              <w:t>39,287</w:t>
            </w:r>
          </w:p>
        </w:tc>
        <w:tc>
          <w:tcPr>
            <w:tcW w:w="1178" w:type="dxa"/>
            <w:vAlign w:val="center"/>
          </w:tcPr>
          <w:p w:rsidRPr="009C48DA" w:rsidR="00661519" w:rsidP="00661519" w:rsidRDefault="00661519" w14:paraId="3EF6199C" w14:textId="77777777">
            <w:pPr>
              <w:pBdr>
                <w:bottom w:val="double" w:color="auto" w:sz="6" w:space="1"/>
              </w:pBdr>
              <w:spacing w:before="120"/>
              <w:jc w:val="right"/>
              <w:textAlignment w:val="baseline"/>
              <w:rPr>
                <w:rFonts w:eastAsia="Times New Roman"/>
                <w:color w:val="000000"/>
                <w:sz w:val="16"/>
                <w:szCs w:val="16"/>
                <w:lang w:val="en-GB"/>
              </w:rPr>
            </w:pPr>
            <w:r w:rsidRPr="009C48DA">
              <w:rPr>
                <w:rFonts w:eastAsia="Times New Roman"/>
                <w:color w:val="000000"/>
                <w:sz w:val="16"/>
                <w:lang w:val="en-GB"/>
              </w:rPr>
              <w:t>117,442</w:t>
            </w:r>
          </w:p>
        </w:tc>
        <w:tc>
          <w:tcPr>
            <w:tcW w:w="1178" w:type="dxa"/>
            <w:vAlign w:val="center"/>
          </w:tcPr>
          <w:p w:rsidRPr="009C48DA" w:rsidR="00661519" w:rsidP="00661519" w:rsidRDefault="00661519" w14:paraId="024139B6" w14:textId="77777777">
            <w:pPr>
              <w:pBdr>
                <w:bottom w:val="double" w:color="auto" w:sz="6" w:space="1"/>
              </w:pBdr>
              <w:spacing w:before="120"/>
              <w:jc w:val="right"/>
              <w:textAlignment w:val="baseline"/>
              <w:rPr>
                <w:rFonts w:eastAsia="Times New Roman"/>
                <w:color w:val="000000"/>
                <w:sz w:val="16"/>
                <w:szCs w:val="16"/>
                <w:lang w:val="en-GB"/>
              </w:rPr>
            </w:pPr>
            <w:r w:rsidRPr="009C48DA">
              <w:rPr>
                <w:rFonts w:eastAsia="Times New Roman"/>
                <w:color w:val="000000"/>
                <w:sz w:val="16"/>
                <w:lang w:val="en-GB"/>
              </w:rPr>
              <w:t>119,134</w:t>
            </w:r>
          </w:p>
        </w:tc>
      </w:tr>
      <w:tr w:rsidRPr="009C48DA" w:rsidR="00661519" w:rsidTr="00661519" w14:paraId="0D65D5D0" w14:textId="77777777">
        <w:trPr>
          <w:trHeight w:val="236"/>
        </w:trPr>
        <w:tc>
          <w:tcPr>
            <w:tcW w:w="4511" w:type="dxa"/>
            <w:vAlign w:val="center"/>
          </w:tcPr>
          <w:p w:rsidRPr="009C48DA" w:rsidR="00661519" w:rsidP="00661519" w:rsidRDefault="00661519" w14:paraId="5A82538C" w14:textId="77777777">
            <w:pPr>
              <w:spacing w:before="120"/>
              <w:textAlignment w:val="baseline"/>
              <w:rPr>
                <w:rFonts w:eastAsia="Times New Roman"/>
                <w:b/>
                <w:color w:val="000000"/>
                <w:sz w:val="16"/>
                <w:szCs w:val="16"/>
                <w:lang w:val="en-GB"/>
              </w:rPr>
            </w:pPr>
            <w:r w:rsidRPr="009C48DA">
              <w:rPr>
                <w:rFonts w:eastAsia="Times New Roman"/>
                <w:b/>
                <w:color w:val="000000"/>
                <w:sz w:val="16"/>
                <w:szCs w:val="16"/>
                <w:lang w:val="en-GB"/>
              </w:rPr>
              <w:t>Profit for the period</w:t>
            </w:r>
          </w:p>
        </w:tc>
        <w:tc>
          <w:tcPr>
            <w:tcW w:w="1178" w:type="dxa"/>
            <w:vAlign w:val="center"/>
          </w:tcPr>
          <w:p w:rsidRPr="009C48DA" w:rsidR="00661519" w:rsidP="00661519" w:rsidRDefault="00661519" w14:paraId="54CC0D28" w14:textId="77777777">
            <w:pPr>
              <w:pBdr>
                <w:bottom w:val="double" w:color="auto" w:sz="6" w:space="1"/>
              </w:pBdr>
              <w:spacing w:before="120"/>
              <w:jc w:val="right"/>
              <w:textAlignment w:val="baseline"/>
              <w:rPr>
                <w:rFonts w:eastAsia="Times New Roman"/>
                <w:color w:val="000000"/>
                <w:sz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33219591" w14:textId="77777777">
            <w:pPr>
              <w:pBdr>
                <w:bottom w:val="double" w:color="auto" w:sz="6" w:space="1"/>
              </w:pBdr>
              <w:spacing w:before="120"/>
              <w:jc w:val="right"/>
              <w:textAlignment w:val="baseline"/>
              <w:rPr>
                <w:rFonts w:eastAsia="Times New Roman"/>
                <w:color w:val="000000"/>
                <w:sz w:val="16"/>
                <w:lang w:val="en-GB"/>
              </w:rPr>
            </w:pPr>
            <w:r w:rsidRPr="009C48DA">
              <w:rPr>
                <w:rFonts w:eastAsia="Times New Roman"/>
                <w:color w:val="000000"/>
                <w:sz w:val="16"/>
                <w:lang w:val="en-GB"/>
              </w:rPr>
              <w:t>910</w:t>
            </w:r>
          </w:p>
        </w:tc>
        <w:tc>
          <w:tcPr>
            <w:tcW w:w="1178" w:type="dxa"/>
            <w:vAlign w:val="center"/>
          </w:tcPr>
          <w:p w:rsidRPr="009C48DA" w:rsidR="00661519" w:rsidP="00661519" w:rsidRDefault="00661519" w14:paraId="2A73B3F1" w14:textId="77777777">
            <w:pPr>
              <w:pBdr>
                <w:bottom w:val="double" w:color="auto" w:sz="6" w:space="1"/>
              </w:pBdr>
              <w:spacing w:before="120"/>
              <w:jc w:val="right"/>
              <w:textAlignment w:val="baseline"/>
              <w:rPr>
                <w:rFonts w:eastAsia="Times New Roman"/>
                <w:color w:val="000000"/>
                <w:sz w:val="16"/>
                <w:lang w:val="en-GB"/>
              </w:rPr>
            </w:pPr>
            <w:r w:rsidRPr="009C48DA">
              <w:rPr>
                <w:rFonts w:eastAsia="Times New Roman"/>
                <w:color w:val="000000"/>
                <w:sz w:val="16"/>
                <w:lang w:val="en-GB"/>
              </w:rPr>
              <w:t>7,672</w:t>
            </w:r>
          </w:p>
        </w:tc>
        <w:tc>
          <w:tcPr>
            <w:tcW w:w="1178" w:type="dxa"/>
            <w:vAlign w:val="center"/>
          </w:tcPr>
          <w:p w:rsidRPr="009C48DA" w:rsidR="00661519" w:rsidP="00661519" w:rsidRDefault="00661519" w14:paraId="33CAFD58" w14:textId="77777777">
            <w:pPr>
              <w:pBdr>
                <w:bottom w:val="double" w:color="auto" w:sz="6" w:space="1"/>
              </w:pBdr>
              <w:spacing w:before="120"/>
              <w:jc w:val="right"/>
              <w:textAlignment w:val="baseline"/>
              <w:rPr>
                <w:rFonts w:eastAsia="Times New Roman"/>
                <w:color w:val="000000"/>
                <w:sz w:val="16"/>
                <w:lang w:val="en-GB"/>
              </w:rPr>
            </w:pPr>
            <w:r w:rsidRPr="009C48DA">
              <w:rPr>
                <w:rFonts w:eastAsia="Times New Roman"/>
                <w:color w:val="000000"/>
                <w:sz w:val="16"/>
                <w:lang w:val="en-GB"/>
              </w:rPr>
              <w:t>3,764</w:t>
            </w:r>
          </w:p>
        </w:tc>
      </w:tr>
      <w:tr w:rsidRPr="009C48DA" w:rsidR="00661519" w:rsidTr="00661519" w14:paraId="593C72AF" w14:textId="77777777">
        <w:trPr>
          <w:trHeight w:val="236"/>
        </w:trPr>
        <w:tc>
          <w:tcPr>
            <w:tcW w:w="4511" w:type="dxa"/>
            <w:vAlign w:val="center"/>
          </w:tcPr>
          <w:p w:rsidRPr="009C48DA" w:rsidR="00661519" w:rsidP="00661519" w:rsidRDefault="00661519" w14:paraId="16C852EC" w14:textId="77777777">
            <w:pPr>
              <w:spacing w:before="120"/>
              <w:textAlignment w:val="baseline"/>
              <w:rPr>
                <w:rFonts w:eastAsia="Times New Roman"/>
                <w:color w:val="000000"/>
                <w:sz w:val="16"/>
                <w:szCs w:val="16"/>
                <w:lang w:val="en-GB"/>
              </w:rPr>
            </w:pPr>
            <w:r w:rsidRPr="009C48DA">
              <w:rPr>
                <w:rFonts w:eastAsia="Times New Roman"/>
                <w:color w:val="000000"/>
                <w:sz w:val="16"/>
                <w:szCs w:val="16"/>
                <w:lang w:val="en-GB"/>
              </w:rPr>
              <w:t>Country of domicile</w:t>
            </w:r>
          </w:p>
        </w:tc>
        <w:tc>
          <w:tcPr>
            <w:tcW w:w="1178" w:type="dxa"/>
            <w:vAlign w:val="center"/>
          </w:tcPr>
          <w:p w:rsidRPr="009C48DA" w:rsidR="00661519" w:rsidP="00661519" w:rsidRDefault="00661519" w14:paraId="1E21F0B8" w14:textId="77777777">
            <w:pPr>
              <w:spacing w:before="120"/>
              <w:jc w:val="right"/>
              <w:textAlignment w:val="baseline"/>
              <w:rPr>
                <w:rFonts w:eastAsia="Times New Roman"/>
                <w:color w:val="000000"/>
                <w:sz w:val="16"/>
                <w:lang w:val="en-GB"/>
              </w:rPr>
            </w:pPr>
          </w:p>
        </w:tc>
        <w:tc>
          <w:tcPr>
            <w:tcW w:w="1178" w:type="dxa"/>
            <w:vAlign w:val="center"/>
          </w:tcPr>
          <w:p w:rsidRPr="009C48DA" w:rsidR="00661519" w:rsidP="00661519" w:rsidRDefault="00661519" w14:paraId="171C732D" w14:textId="77777777">
            <w:pPr>
              <w:spacing w:before="120"/>
              <w:jc w:val="right"/>
              <w:textAlignment w:val="baseline"/>
              <w:rPr>
                <w:rFonts w:eastAsia="Times New Roman"/>
                <w:color w:val="000000"/>
                <w:sz w:val="16"/>
                <w:lang w:val="en-GB"/>
              </w:rPr>
            </w:pPr>
            <w:r w:rsidRPr="009C48DA">
              <w:rPr>
                <w:rFonts w:eastAsia="Times New Roman"/>
                <w:color w:val="000000"/>
                <w:sz w:val="16"/>
                <w:lang w:val="en-GB"/>
              </w:rPr>
              <w:t>UK</w:t>
            </w:r>
          </w:p>
        </w:tc>
        <w:tc>
          <w:tcPr>
            <w:tcW w:w="1178" w:type="dxa"/>
            <w:vAlign w:val="center"/>
          </w:tcPr>
          <w:p w:rsidRPr="009C48DA" w:rsidR="00661519" w:rsidP="00661519" w:rsidRDefault="00661519" w14:paraId="397B3EE5" w14:textId="77777777">
            <w:pPr>
              <w:spacing w:before="120"/>
              <w:jc w:val="right"/>
              <w:textAlignment w:val="baseline"/>
              <w:rPr>
                <w:rFonts w:eastAsia="Times New Roman"/>
                <w:color w:val="000000"/>
                <w:sz w:val="16"/>
                <w:lang w:val="en-GB"/>
              </w:rPr>
            </w:pPr>
            <w:r w:rsidRPr="009C48DA">
              <w:rPr>
                <w:rFonts w:eastAsia="Times New Roman"/>
                <w:color w:val="000000"/>
                <w:sz w:val="16"/>
                <w:lang w:val="en-GB"/>
              </w:rPr>
              <w:t>UK</w:t>
            </w:r>
          </w:p>
        </w:tc>
        <w:tc>
          <w:tcPr>
            <w:tcW w:w="1178" w:type="dxa"/>
            <w:vAlign w:val="center"/>
          </w:tcPr>
          <w:p w:rsidRPr="009C48DA" w:rsidR="00661519" w:rsidP="00661519" w:rsidRDefault="00661519" w14:paraId="48289DD9" w14:textId="77777777">
            <w:pPr>
              <w:spacing w:before="120"/>
              <w:jc w:val="right"/>
              <w:textAlignment w:val="baseline"/>
              <w:rPr>
                <w:rFonts w:eastAsia="Times New Roman"/>
                <w:color w:val="000000"/>
                <w:sz w:val="16"/>
                <w:lang w:val="en-GB"/>
              </w:rPr>
            </w:pPr>
            <w:r w:rsidRPr="009C48DA">
              <w:rPr>
                <w:rFonts w:eastAsia="Times New Roman"/>
                <w:color w:val="000000"/>
                <w:sz w:val="16"/>
                <w:lang w:val="en-GB"/>
              </w:rPr>
              <w:t>UK</w:t>
            </w:r>
          </w:p>
        </w:tc>
      </w:tr>
      <w:tr w:rsidRPr="009C48DA" w:rsidR="00661519" w:rsidTr="00661519" w14:paraId="103B3EC1" w14:textId="77777777">
        <w:trPr>
          <w:trHeight w:val="236"/>
        </w:trPr>
        <w:tc>
          <w:tcPr>
            <w:tcW w:w="4511" w:type="dxa"/>
            <w:vAlign w:val="center"/>
          </w:tcPr>
          <w:p w:rsidRPr="009C48DA" w:rsidR="00661519" w:rsidP="00661519" w:rsidRDefault="00661519" w14:paraId="7F089024" w14:textId="77777777">
            <w:pPr>
              <w:textAlignment w:val="baseline"/>
              <w:rPr>
                <w:rFonts w:eastAsia="Times New Roman"/>
                <w:color w:val="000000"/>
                <w:sz w:val="16"/>
                <w:szCs w:val="16"/>
                <w:lang w:val="en-GB"/>
              </w:rPr>
            </w:pPr>
            <w:r w:rsidRPr="009C48DA">
              <w:rPr>
                <w:rFonts w:eastAsia="Times New Roman"/>
                <w:color w:val="000000"/>
                <w:sz w:val="16"/>
                <w:szCs w:val="16"/>
                <w:lang w:val="en-GB"/>
              </w:rPr>
              <w:t>Group’s interest in the associate</w:t>
            </w:r>
          </w:p>
        </w:tc>
        <w:tc>
          <w:tcPr>
            <w:tcW w:w="1178" w:type="dxa"/>
            <w:vAlign w:val="center"/>
          </w:tcPr>
          <w:p w:rsidRPr="009C48DA" w:rsidR="00661519" w:rsidP="00661519" w:rsidRDefault="00661519" w14:paraId="068EBCDA" w14:textId="77777777">
            <w:pPr>
              <w:jc w:val="right"/>
              <w:textAlignment w:val="baseline"/>
              <w:rPr>
                <w:rFonts w:eastAsia="Times New Roman"/>
                <w:color w:val="000000"/>
                <w:sz w:val="16"/>
                <w:lang w:val="en-GB"/>
              </w:rPr>
            </w:pPr>
          </w:p>
        </w:tc>
        <w:tc>
          <w:tcPr>
            <w:tcW w:w="1178" w:type="dxa"/>
            <w:vAlign w:val="center"/>
          </w:tcPr>
          <w:p w:rsidRPr="009C48DA" w:rsidR="00661519" w:rsidP="00661519" w:rsidRDefault="00661519" w14:paraId="2CEFAFC5" w14:textId="77777777">
            <w:pPr>
              <w:jc w:val="right"/>
              <w:textAlignment w:val="baseline"/>
              <w:rPr>
                <w:rFonts w:eastAsia="Times New Roman"/>
                <w:color w:val="000000"/>
                <w:sz w:val="16"/>
                <w:lang w:val="en-GB"/>
              </w:rPr>
            </w:pPr>
            <w:r w:rsidRPr="009C48DA">
              <w:rPr>
                <w:rFonts w:eastAsia="Times New Roman"/>
                <w:color w:val="000000"/>
                <w:sz w:val="16"/>
                <w:lang w:val="en-GB"/>
              </w:rPr>
              <w:t>29%</w:t>
            </w:r>
          </w:p>
        </w:tc>
        <w:tc>
          <w:tcPr>
            <w:tcW w:w="1178" w:type="dxa"/>
            <w:vAlign w:val="center"/>
          </w:tcPr>
          <w:p w:rsidRPr="009C48DA" w:rsidR="00661519" w:rsidP="00661519" w:rsidRDefault="00661519" w14:paraId="0236D15E" w14:textId="77777777">
            <w:pPr>
              <w:jc w:val="right"/>
              <w:textAlignment w:val="baseline"/>
              <w:rPr>
                <w:rFonts w:eastAsia="Times New Roman"/>
                <w:color w:val="000000"/>
                <w:sz w:val="16"/>
                <w:lang w:val="en-GB"/>
              </w:rPr>
            </w:pPr>
            <w:r w:rsidRPr="009C48DA">
              <w:rPr>
                <w:rFonts w:eastAsia="Times New Roman"/>
                <w:color w:val="000000"/>
                <w:sz w:val="16"/>
                <w:lang w:val="en-GB"/>
              </w:rPr>
              <w:t>27%</w:t>
            </w:r>
          </w:p>
        </w:tc>
        <w:tc>
          <w:tcPr>
            <w:tcW w:w="1178" w:type="dxa"/>
            <w:vAlign w:val="center"/>
          </w:tcPr>
          <w:p w:rsidRPr="009C48DA" w:rsidR="00661519" w:rsidP="00661519" w:rsidRDefault="00661519" w14:paraId="0C0AAA7D" w14:textId="77777777">
            <w:pPr>
              <w:jc w:val="right"/>
              <w:textAlignment w:val="baseline"/>
              <w:rPr>
                <w:rFonts w:eastAsia="Times New Roman"/>
                <w:color w:val="000000"/>
                <w:sz w:val="16"/>
                <w:lang w:val="en-GB"/>
              </w:rPr>
            </w:pPr>
            <w:r w:rsidRPr="009C48DA">
              <w:rPr>
                <w:rFonts w:eastAsia="Times New Roman"/>
                <w:color w:val="000000"/>
                <w:sz w:val="16"/>
                <w:lang w:val="en-GB"/>
              </w:rPr>
              <w:t>27%</w:t>
            </w:r>
          </w:p>
        </w:tc>
      </w:tr>
    </w:tbl>
    <w:p w:rsidRPr="009C48DA" w:rsidR="00661519" w:rsidP="00661519" w:rsidRDefault="00661519" w14:paraId="4BE32534" w14:textId="77777777">
      <w:pPr>
        <w:rPr>
          <w:rFonts w:eastAsia="Times New Roman"/>
          <w:color w:val="000000"/>
          <w:sz w:val="17"/>
          <w:lang w:val="en-GB"/>
        </w:rPr>
      </w:pPr>
    </w:p>
    <w:p w:rsidRPr="009C48DA" w:rsidR="00661519" w:rsidP="00661519" w:rsidRDefault="00661519" w14:paraId="64172833" w14:textId="77777777">
      <w:pPr>
        <w:jc w:val="both"/>
        <w:textAlignment w:val="baseline"/>
        <w:rPr>
          <w:rFonts w:eastAsia="Times New Roman"/>
          <w:color w:val="000000"/>
          <w:sz w:val="17"/>
          <w:lang w:val="en-GB"/>
        </w:rPr>
      </w:pPr>
      <w:r w:rsidRPr="009C48DA">
        <w:rPr>
          <w:rFonts w:eastAsia="Times New Roman"/>
          <w:color w:val="000000"/>
          <w:sz w:val="17"/>
          <w:lang w:val="en-GB"/>
        </w:rPr>
        <w:t>The Partnership’s registered address is 95 Wigmore Street, London, W1U 1FB, UK.</w:t>
      </w:r>
    </w:p>
    <w:p w:rsidRPr="009C48DA" w:rsidR="00661519" w:rsidP="00661519" w:rsidRDefault="00661519" w14:paraId="676E08B0" w14:textId="77777777">
      <w:pPr>
        <w:jc w:val="both"/>
        <w:textAlignment w:val="baseline"/>
        <w:rPr>
          <w:rFonts w:eastAsia="Times New Roman"/>
          <w:color w:val="000000"/>
          <w:sz w:val="17"/>
          <w:lang w:val="en-GB"/>
        </w:rPr>
      </w:pPr>
    </w:p>
    <w:p w:rsidRPr="009C48DA" w:rsidR="00661519" w:rsidP="00661519" w:rsidRDefault="00661519" w14:paraId="035031D1" w14:textId="77777777">
      <w:pPr>
        <w:jc w:val="both"/>
        <w:textAlignment w:val="baseline"/>
        <w:rPr>
          <w:rFonts w:eastAsia="Times New Roman"/>
          <w:color w:val="000000"/>
          <w:sz w:val="17"/>
          <w:u w:val="single"/>
          <w:lang w:val="en-GB"/>
        </w:rPr>
      </w:pPr>
      <w:r w:rsidRPr="009C48DA">
        <w:rPr>
          <w:rFonts w:eastAsia="Times New Roman"/>
          <w:color w:val="000000"/>
          <w:sz w:val="17"/>
          <w:u w:val="single"/>
          <w:lang w:val="en-GB"/>
        </w:rPr>
        <w:t xml:space="preserve">BDC III SFP LP </w:t>
      </w:r>
    </w:p>
    <w:p w:rsidRPr="009C48DA" w:rsidR="00661519" w:rsidP="00661519" w:rsidRDefault="00661519" w14:paraId="3693C54A" w14:textId="77777777">
      <w:pPr>
        <w:jc w:val="both"/>
        <w:textAlignment w:val="baseline"/>
        <w:rPr>
          <w:rFonts w:eastAsia="Times New Roman"/>
          <w:color w:val="000000"/>
          <w:sz w:val="17"/>
          <w:u w:val="single"/>
          <w:lang w:val="en-GB"/>
        </w:rPr>
      </w:pPr>
      <w:r w:rsidRPr="009C48DA">
        <w:rPr>
          <w:rFonts w:eastAsia="Times New Roman"/>
          <w:color w:val="000000"/>
          <w:sz w:val="17"/>
          <w:lang w:val="en-GB"/>
        </w:rPr>
        <w:t>The Group has an interest in a CIP which has a share of 20% of the rights to the carried interest from the BDC III fund partnerships and is therefore considered to have significant influence. Where the Group holds an interest that is greater than 20% the Group is considered to have significant influence, but not control. Accordingly, the BDC III carry scheme is considered an associate of the Group. Key financial information is set out in the table below.</w:t>
      </w:r>
      <w:r w:rsidRPr="009C48DA">
        <w:rPr>
          <w:rFonts w:eastAsia="Times New Roman"/>
          <w:color w:val="000000"/>
          <w:sz w:val="17"/>
          <w:u w:val="single"/>
          <w:lang w:val="en-GB"/>
        </w:rPr>
        <w:t xml:space="preserve"> </w:t>
      </w:r>
    </w:p>
    <w:tbl>
      <w:tblPr>
        <w:tblStyle w:val="TableGrid30"/>
        <w:tblW w:w="92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11"/>
        <w:gridCol w:w="1178"/>
        <w:gridCol w:w="1178"/>
        <w:gridCol w:w="1179"/>
        <w:gridCol w:w="1178"/>
      </w:tblGrid>
      <w:tr w:rsidRPr="009C48DA" w:rsidR="00661519" w:rsidTr="00661519" w14:paraId="27693F97" w14:textId="77777777">
        <w:trPr>
          <w:trHeight w:val="230"/>
        </w:trPr>
        <w:tc>
          <w:tcPr>
            <w:tcW w:w="4511" w:type="dxa"/>
            <w:vAlign w:val="bottom"/>
          </w:tcPr>
          <w:p w:rsidRPr="009C48DA" w:rsidR="00661519" w:rsidP="00661519" w:rsidRDefault="00661519" w14:paraId="5E0481B9" w14:textId="77777777">
            <w:pPr>
              <w:jc w:val="both"/>
              <w:textAlignment w:val="baseline"/>
              <w:rPr>
                <w:rFonts w:eastAsia="Times New Roman"/>
                <w:b/>
                <w:color w:val="000000"/>
                <w:sz w:val="16"/>
                <w:szCs w:val="16"/>
                <w:lang w:val="en-GB"/>
              </w:rPr>
            </w:pPr>
          </w:p>
        </w:tc>
        <w:tc>
          <w:tcPr>
            <w:tcW w:w="3535" w:type="dxa"/>
            <w:gridSpan w:val="3"/>
            <w:vAlign w:val="bottom"/>
          </w:tcPr>
          <w:p w:rsidRPr="009C48DA" w:rsidR="00661519" w:rsidP="00661519" w:rsidRDefault="00661519" w14:paraId="6DF17EE1"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szCs w:val="16"/>
                <w:lang w:val="en-GB"/>
              </w:rPr>
              <w:t>31 December</w:t>
            </w:r>
          </w:p>
        </w:tc>
        <w:tc>
          <w:tcPr>
            <w:tcW w:w="1178" w:type="dxa"/>
          </w:tcPr>
          <w:p w:rsidRPr="009C48DA" w:rsidR="00661519" w:rsidP="00661519" w:rsidRDefault="00661519" w14:paraId="649D746C" w14:textId="77777777">
            <w:pPr>
              <w:pBdr>
                <w:bottom w:val="single" w:color="auto" w:sz="18" w:space="1"/>
              </w:pBdr>
              <w:jc w:val="center"/>
              <w:textAlignment w:val="baseline"/>
              <w:rPr>
                <w:rFonts w:eastAsia="Times New Roman"/>
                <w:b/>
                <w:color w:val="000000"/>
                <w:sz w:val="16"/>
                <w:szCs w:val="16"/>
                <w:lang w:val="en-GB"/>
              </w:rPr>
            </w:pPr>
          </w:p>
          <w:p w:rsidRPr="009C48DA" w:rsidR="00661519" w:rsidP="00661519" w:rsidRDefault="00661519" w14:paraId="078848A7" w14:textId="77777777">
            <w:pPr>
              <w:pBdr>
                <w:bottom w:val="single" w:color="auto" w:sz="18" w:space="1"/>
              </w:pBdr>
              <w:jc w:val="center"/>
              <w:textAlignment w:val="baseline"/>
              <w:rPr>
                <w:rFonts w:eastAsia="Times New Roman"/>
                <w:b/>
                <w:color w:val="000000"/>
                <w:sz w:val="16"/>
                <w:szCs w:val="16"/>
                <w:lang w:val="en-GB"/>
              </w:rPr>
            </w:pPr>
          </w:p>
          <w:p w:rsidRPr="009C48DA" w:rsidR="00661519" w:rsidP="00661519" w:rsidRDefault="00661519" w14:paraId="1257D3FC" w14:textId="77777777">
            <w:pPr>
              <w:pBdr>
                <w:bottom w:val="single" w:color="auto" w:sz="18" w:space="1"/>
              </w:pBdr>
              <w:jc w:val="center"/>
              <w:textAlignment w:val="baseline"/>
              <w:rPr>
                <w:rFonts w:eastAsia="Times New Roman"/>
                <w:b/>
                <w:color w:val="000000"/>
                <w:sz w:val="16"/>
                <w:szCs w:val="16"/>
                <w:lang w:val="en-GB"/>
              </w:rPr>
            </w:pPr>
          </w:p>
          <w:p w:rsidRPr="009C48DA" w:rsidR="00661519" w:rsidP="00661519" w:rsidRDefault="00661519" w14:paraId="4E6C2F8E" w14:textId="77777777">
            <w:pPr>
              <w:pBdr>
                <w:bottom w:val="single" w:color="auto" w:sz="18" w:space="1"/>
              </w:pBdr>
              <w:jc w:val="center"/>
              <w:textAlignment w:val="baseline"/>
              <w:rPr>
                <w:rFonts w:eastAsia="Times New Roman"/>
                <w:b/>
                <w:color w:val="000000"/>
                <w:sz w:val="16"/>
                <w:szCs w:val="16"/>
                <w:lang w:val="en-GB"/>
              </w:rPr>
            </w:pPr>
            <w:r w:rsidRPr="009C48DA">
              <w:rPr>
                <w:rFonts w:eastAsia="Times New Roman"/>
                <w:b/>
                <w:color w:val="000000"/>
                <w:sz w:val="16"/>
                <w:szCs w:val="16"/>
                <w:lang w:val="en-GB"/>
              </w:rPr>
              <w:t>31 March</w:t>
            </w:r>
          </w:p>
        </w:tc>
      </w:tr>
      <w:tr w:rsidRPr="009C48DA" w:rsidR="00661519" w:rsidTr="00661519" w14:paraId="46C8E7D4" w14:textId="77777777">
        <w:trPr>
          <w:trHeight w:val="375"/>
        </w:trPr>
        <w:tc>
          <w:tcPr>
            <w:tcW w:w="4511" w:type="dxa"/>
            <w:vAlign w:val="bottom"/>
          </w:tcPr>
          <w:p w:rsidRPr="009C48DA" w:rsidR="00661519" w:rsidP="00661519" w:rsidRDefault="00661519" w14:paraId="0BB95801" w14:textId="77777777">
            <w:pPr>
              <w:jc w:val="both"/>
              <w:textAlignment w:val="baseline"/>
              <w:rPr>
                <w:rFonts w:eastAsia="Times New Roman"/>
                <w:b/>
                <w:color w:val="000000"/>
                <w:sz w:val="16"/>
                <w:lang w:val="en-GB"/>
              </w:rPr>
            </w:pPr>
          </w:p>
        </w:tc>
        <w:tc>
          <w:tcPr>
            <w:tcW w:w="1178" w:type="dxa"/>
            <w:vAlign w:val="bottom"/>
          </w:tcPr>
          <w:p w:rsidRPr="009C48DA" w:rsidR="00661519" w:rsidP="00661519" w:rsidRDefault="00661519" w14:paraId="6071D12A"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2018</w:t>
            </w:r>
          </w:p>
          <w:p w:rsidRPr="009C48DA" w:rsidR="00661519" w:rsidP="00661519" w:rsidRDefault="00661519" w14:paraId="097217F2"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178" w:type="dxa"/>
            <w:vAlign w:val="bottom"/>
          </w:tcPr>
          <w:p w:rsidRPr="009C48DA" w:rsidR="00661519" w:rsidP="00661519" w:rsidRDefault="00661519" w14:paraId="790D50AA"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2019</w:t>
            </w:r>
          </w:p>
          <w:p w:rsidRPr="009C48DA" w:rsidR="00661519" w:rsidP="00661519" w:rsidRDefault="00661519" w14:paraId="0EDC7AFA"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178" w:type="dxa"/>
            <w:vAlign w:val="bottom"/>
          </w:tcPr>
          <w:p w:rsidRPr="009C48DA" w:rsidR="00661519" w:rsidP="00661519" w:rsidRDefault="00661519" w14:paraId="3B668DFB"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2020</w:t>
            </w:r>
          </w:p>
          <w:p w:rsidRPr="009C48DA" w:rsidR="00661519" w:rsidP="00661519" w:rsidRDefault="00661519" w14:paraId="6861A2C2" w14:textId="77777777">
            <w:pPr>
              <w:jc w:val="right"/>
              <w:textAlignment w:val="baseline"/>
              <w:rPr>
                <w:rFonts w:eastAsia="Times New Roman"/>
                <w:color w:val="000000"/>
                <w:sz w:val="16"/>
                <w:szCs w:val="16"/>
                <w:lang w:val="en-GB"/>
              </w:rPr>
            </w:pPr>
            <w:r w:rsidRPr="009C48DA">
              <w:rPr>
                <w:rFonts w:eastAsia="Times New Roman"/>
                <w:b/>
                <w:color w:val="000000"/>
                <w:sz w:val="16"/>
                <w:szCs w:val="16"/>
                <w:lang w:val="en-GB"/>
              </w:rPr>
              <w:t>£ 000</w:t>
            </w:r>
          </w:p>
        </w:tc>
        <w:tc>
          <w:tcPr>
            <w:tcW w:w="1178" w:type="dxa"/>
            <w:vAlign w:val="bottom"/>
          </w:tcPr>
          <w:p w:rsidRPr="009C48DA" w:rsidR="00661519" w:rsidP="00661519" w:rsidRDefault="00661519" w14:paraId="04ADDEBF"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2021</w:t>
            </w:r>
          </w:p>
          <w:p w:rsidRPr="009C48DA" w:rsidR="00661519" w:rsidP="00661519" w:rsidRDefault="00661519" w14:paraId="1D46F8F1" w14:textId="77777777">
            <w:pPr>
              <w:jc w:val="right"/>
              <w:textAlignment w:val="baseline"/>
              <w:rPr>
                <w:rFonts w:eastAsia="Times New Roman"/>
                <w:b/>
                <w:color w:val="000000"/>
                <w:sz w:val="16"/>
                <w:szCs w:val="16"/>
                <w:lang w:val="en-GB"/>
              </w:rPr>
            </w:pPr>
            <w:r w:rsidRPr="009C48DA">
              <w:rPr>
                <w:rFonts w:eastAsia="Times New Roman"/>
                <w:b/>
                <w:color w:val="000000"/>
                <w:sz w:val="16"/>
                <w:szCs w:val="16"/>
                <w:lang w:val="en-GB"/>
              </w:rPr>
              <w:t>£ 000</w:t>
            </w:r>
          </w:p>
        </w:tc>
      </w:tr>
      <w:tr w:rsidRPr="009C48DA" w:rsidR="00661519" w:rsidTr="00661519" w14:paraId="461E7775" w14:textId="77777777">
        <w:trPr>
          <w:trHeight w:val="194"/>
        </w:trPr>
        <w:tc>
          <w:tcPr>
            <w:tcW w:w="4511" w:type="dxa"/>
            <w:vAlign w:val="bottom"/>
          </w:tcPr>
          <w:p w:rsidRPr="009C48DA" w:rsidR="00661519" w:rsidP="00661519" w:rsidRDefault="00661519" w14:paraId="24728549"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Carried interest receivable</w:t>
            </w:r>
          </w:p>
        </w:tc>
        <w:tc>
          <w:tcPr>
            <w:tcW w:w="1178" w:type="dxa"/>
            <w:vAlign w:val="center"/>
          </w:tcPr>
          <w:p w:rsidRPr="009C48DA" w:rsidR="00661519" w:rsidP="00661519" w:rsidRDefault="00661519" w14:paraId="5870101E"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5E273D7E"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226EE883" w14:textId="77777777">
            <w:pPr>
              <w:jc w:val="right"/>
              <w:textAlignment w:val="baseline"/>
              <w:rPr>
                <w:rFonts w:eastAsia="Times New Roman"/>
                <w:color w:val="000000"/>
                <w:sz w:val="16"/>
                <w:lang w:val="en-GB"/>
              </w:rPr>
            </w:pPr>
            <w:r w:rsidRPr="009C48DA">
              <w:rPr>
                <w:rFonts w:eastAsia="Times New Roman"/>
                <w:color w:val="000000"/>
                <w:sz w:val="16"/>
                <w:lang w:val="en-GB"/>
              </w:rPr>
              <w:t>93,558</w:t>
            </w:r>
          </w:p>
        </w:tc>
        <w:tc>
          <w:tcPr>
            <w:tcW w:w="1178" w:type="dxa"/>
            <w:vAlign w:val="center"/>
          </w:tcPr>
          <w:p w:rsidRPr="009C48DA" w:rsidR="00661519" w:rsidP="00661519" w:rsidRDefault="00661519" w14:paraId="13DAA5FC" w14:textId="77777777">
            <w:pPr>
              <w:jc w:val="right"/>
              <w:textAlignment w:val="baseline"/>
              <w:rPr>
                <w:rFonts w:eastAsia="Times New Roman"/>
                <w:color w:val="000000"/>
                <w:sz w:val="16"/>
                <w:lang w:val="en-GB"/>
              </w:rPr>
            </w:pPr>
            <w:r w:rsidRPr="009C48DA">
              <w:rPr>
                <w:rFonts w:eastAsia="Times New Roman"/>
                <w:color w:val="000000"/>
                <w:sz w:val="16"/>
                <w:lang w:val="en-GB"/>
              </w:rPr>
              <w:t>93,558</w:t>
            </w:r>
          </w:p>
        </w:tc>
      </w:tr>
      <w:tr w:rsidRPr="009C48DA" w:rsidR="00661519" w:rsidTr="00661519" w14:paraId="1720B0A7" w14:textId="77777777">
        <w:trPr>
          <w:trHeight w:val="194"/>
        </w:trPr>
        <w:tc>
          <w:tcPr>
            <w:tcW w:w="4511" w:type="dxa"/>
            <w:vAlign w:val="bottom"/>
          </w:tcPr>
          <w:p w:rsidRPr="009C48DA" w:rsidR="00661519" w:rsidP="00661519" w:rsidRDefault="00661519" w14:paraId="19D9A537"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Carried interest payable</w:t>
            </w:r>
          </w:p>
        </w:tc>
        <w:tc>
          <w:tcPr>
            <w:tcW w:w="1178" w:type="dxa"/>
            <w:vAlign w:val="center"/>
          </w:tcPr>
          <w:p w:rsidRPr="009C48DA" w:rsidR="00661519" w:rsidP="00661519" w:rsidRDefault="00661519" w14:paraId="4DA3DD10"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22647D7D" w14:textId="77777777">
            <w:pPr>
              <w:jc w:val="right"/>
              <w:textAlignment w:val="baseline"/>
              <w:rPr>
                <w:rFonts w:eastAsia="Times New Roman"/>
                <w:color w:val="000000"/>
                <w:sz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042EF39D" w14:textId="77777777">
            <w:pPr>
              <w:jc w:val="right"/>
              <w:textAlignment w:val="baseline"/>
              <w:rPr>
                <w:rFonts w:eastAsia="Times New Roman"/>
                <w:color w:val="000000"/>
                <w:sz w:val="16"/>
                <w:lang w:val="en-GB"/>
              </w:rPr>
            </w:pPr>
            <w:r w:rsidRPr="009C48DA">
              <w:rPr>
                <w:rFonts w:eastAsia="Times New Roman"/>
                <w:color w:val="000000"/>
                <w:sz w:val="16"/>
                <w:lang w:val="en-GB"/>
              </w:rPr>
              <w:t>(93,558)</w:t>
            </w:r>
          </w:p>
        </w:tc>
        <w:tc>
          <w:tcPr>
            <w:tcW w:w="1178" w:type="dxa"/>
            <w:vAlign w:val="center"/>
          </w:tcPr>
          <w:p w:rsidRPr="009C48DA" w:rsidR="00661519" w:rsidP="00661519" w:rsidRDefault="00661519" w14:paraId="1844814A" w14:textId="77777777">
            <w:pPr>
              <w:jc w:val="right"/>
              <w:textAlignment w:val="baseline"/>
              <w:rPr>
                <w:rFonts w:eastAsia="Times New Roman"/>
                <w:color w:val="000000"/>
                <w:sz w:val="16"/>
                <w:lang w:val="en-GB"/>
              </w:rPr>
            </w:pPr>
            <w:r w:rsidRPr="009C48DA">
              <w:rPr>
                <w:rFonts w:eastAsia="Times New Roman"/>
                <w:color w:val="000000"/>
                <w:sz w:val="16"/>
                <w:lang w:val="en-GB"/>
              </w:rPr>
              <w:t>(93,558)</w:t>
            </w:r>
          </w:p>
        </w:tc>
      </w:tr>
      <w:tr w:rsidRPr="009C48DA" w:rsidR="00661519" w:rsidTr="00661519" w14:paraId="56D73362" w14:textId="77777777">
        <w:trPr>
          <w:trHeight w:val="222"/>
        </w:trPr>
        <w:tc>
          <w:tcPr>
            <w:tcW w:w="4511" w:type="dxa"/>
            <w:vAlign w:val="center"/>
          </w:tcPr>
          <w:p w:rsidRPr="009C48DA" w:rsidR="00661519" w:rsidP="00661519" w:rsidRDefault="00661519" w14:paraId="5C25B60E" w14:textId="77777777">
            <w:pPr>
              <w:jc w:val="both"/>
              <w:textAlignment w:val="baseline"/>
              <w:rPr>
                <w:rFonts w:eastAsia="Times New Roman"/>
                <w:color w:val="000000"/>
                <w:sz w:val="16"/>
                <w:szCs w:val="16"/>
                <w:lang w:val="en-GB"/>
              </w:rPr>
            </w:pPr>
            <w:r w:rsidRPr="009C48DA">
              <w:rPr>
                <w:rFonts w:eastAsia="Times New Roman"/>
                <w:color w:val="000000"/>
                <w:sz w:val="16"/>
                <w:szCs w:val="16"/>
                <w:lang w:val="en-GB"/>
              </w:rPr>
              <w:t>Net assets</w:t>
            </w:r>
          </w:p>
        </w:tc>
        <w:tc>
          <w:tcPr>
            <w:tcW w:w="1178" w:type="dxa"/>
            <w:vAlign w:val="center"/>
          </w:tcPr>
          <w:p w:rsidRPr="009C48DA" w:rsidR="00661519" w:rsidP="00661519" w:rsidRDefault="00661519" w14:paraId="2DC62A8D"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265B398B"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14BB4691"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6F8EDD93" w14:textId="77777777">
            <w:pPr>
              <w:pBdr>
                <w:bottom w:val="single" w:color="auto" w:sz="12" w:space="1"/>
              </w:pBd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43A85E20" w14:textId="77777777">
        <w:trPr>
          <w:trHeight w:val="236"/>
        </w:trPr>
        <w:tc>
          <w:tcPr>
            <w:tcW w:w="4511" w:type="dxa"/>
            <w:vAlign w:val="center"/>
          </w:tcPr>
          <w:p w:rsidRPr="009C48DA" w:rsidR="00661519" w:rsidP="00661519" w:rsidRDefault="00661519" w14:paraId="18DB0E7F" w14:textId="77777777">
            <w:pPr>
              <w:spacing w:before="120"/>
              <w:textAlignment w:val="baseline"/>
              <w:rPr>
                <w:rFonts w:eastAsia="Times New Roman"/>
                <w:b/>
                <w:color w:val="000000"/>
                <w:sz w:val="16"/>
                <w:szCs w:val="16"/>
                <w:lang w:val="en-GB"/>
              </w:rPr>
            </w:pPr>
            <w:r w:rsidRPr="009C48DA">
              <w:rPr>
                <w:rFonts w:eastAsia="Times New Roman"/>
                <w:b/>
                <w:color w:val="000000"/>
                <w:sz w:val="16"/>
                <w:szCs w:val="16"/>
                <w:lang w:val="en-GB"/>
              </w:rPr>
              <w:t>Total</w:t>
            </w:r>
          </w:p>
        </w:tc>
        <w:tc>
          <w:tcPr>
            <w:tcW w:w="1178" w:type="dxa"/>
            <w:vAlign w:val="center"/>
          </w:tcPr>
          <w:p w:rsidRPr="009C48DA" w:rsidR="00661519" w:rsidP="00661519" w:rsidRDefault="00661519" w14:paraId="26C7D416" w14:textId="77777777">
            <w:pPr>
              <w:pBdr>
                <w:bottom w:val="double" w:color="auto" w:sz="6" w:space="1"/>
                <w:bar w:val="single" w:color="auto" w:sz="6"/>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5B202170" w14:textId="77777777">
            <w:pPr>
              <w:pBdr>
                <w:bottom w:val="double" w:color="auto" w:sz="6" w:space="1"/>
                <w:bar w:val="single" w:color="auto" w:sz="6"/>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7AAFB088" w14:textId="77777777">
            <w:pPr>
              <w:pBdr>
                <w:bottom w:val="double" w:color="auto" w:sz="6" w:space="1"/>
                <w:bar w:val="single" w:color="auto" w:sz="6"/>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4114525C" w14:textId="77777777">
            <w:pPr>
              <w:pBdr>
                <w:bottom w:val="double" w:color="auto" w:sz="6" w:space="1"/>
                <w:bar w:val="single" w:color="auto" w:sz="6"/>
              </w:pBd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297B8497" w14:textId="77777777">
        <w:trPr>
          <w:trHeight w:val="236"/>
        </w:trPr>
        <w:tc>
          <w:tcPr>
            <w:tcW w:w="4511" w:type="dxa"/>
            <w:vAlign w:val="center"/>
          </w:tcPr>
          <w:p w:rsidRPr="009C48DA" w:rsidR="00661519" w:rsidP="00661519" w:rsidRDefault="00661519" w14:paraId="2D2FCF23" w14:textId="77777777">
            <w:pPr>
              <w:spacing w:before="120"/>
              <w:textAlignment w:val="baseline"/>
              <w:rPr>
                <w:rFonts w:eastAsia="Times New Roman"/>
                <w:b/>
                <w:color w:val="000000"/>
                <w:sz w:val="16"/>
                <w:szCs w:val="16"/>
                <w:lang w:val="en-GB"/>
              </w:rPr>
            </w:pPr>
            <w:r w:rsidRPr="009C48DA">
              <w:rPr>
                <w:rFonts w:eastAsia="Times New Roman"/>
                <w:b/>
                <w:color w:val="000000"/>
                <w:sz w:val="16"/>
                <w:szCs w:val="16"/>
                <w:lang w:val="en-GB"/>
              </w:rPr>
              <w:t>Result for the period</w:t>
            </w:r>
          </w:p>
        </w:tc>
        <w:tc>
          <w:tcPr>
            <w:tcW w:w="1178" w:type="dxa"/>
            <w:vAlign w:val="center"/>
          </w:tcPr>
          <w:p w:rsidRPr="009C48DA" w:rsidR="00661519" w:rsidP="00661519" w:rsidRDefault="00661519" w14:paraId="1E2A3F91" w14:textId="77777777">
            <w:pPr>
              <w:pBdr>
                <w:bottom w:val="double" w:color="auto" w:sz="6" w:space="1"/>
                <w:bar w:val="single" w:color="auto" w:sz="6"/>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55D56CF3" w14:textId="77777777">
            <w:pPr>
              <w:pBdr>
                <w:bottom w:val="double" w:color="auto" w:sz="6" w:space="1"/>
                <w:bar w:val="single" w:color="auto" w:sz="6"/>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77C186DB" w14:textId="77777777">
            <w:pPr>
              <w:pBdr>
                <w:bottom w:val="double" w:color="auto" w:sz="6" w:space="1"/>
                <w:bar w:val="single" w:color="auto" w:sz="6"/>
              </w:pBdr>
              <w:jc w:val="right"/>
              <w:textAlignment w:val="baseline"/>
              <w:rPr>
                <w:rFonts w:eastAsia="Times New Roman"/>
                <w:color w:val="000000"/>
                <w:sz w:val="16"/>
                <w:lang w:val="en-GB"/>
              </w:rPr>
            </w:pPr>
            <w:r w:rsidRPr="009C48DA">
              <w:rPr>
                <w:rFonts w:eastAsia="Times New Roman"/>
                <w:color w:val="000000"/>
                <w:sz w:val="16"/>
                <w:lang w:val="en-GB"/>
              </w:rPr>
              <w:t>-</w:t>
            </w:r>
          </w:p>
        </w:tc>
        <w:tc>
          <w:tcPr>
            <w:tcW w:w="1178" w:type="dxa"/>
            <w:vAlign w:val="center"/>
          </w:tcPr>
          <w:p w:rsidRPr="009C48DA" w:rsidR="00661519" w:rsidP="00661519" w:rsidRDefault="00661519" w14:paraId="565F84EE" w14:textId="77777777">
            <w:pPr>
              <w:pBdr>
                <w:bottom w:val="double" w:color="auto" w:sz="6" w:space="1"/>
                <w:bar w:val="single" w:color="auto" w:sz="6"/>
              </w:pBdr>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6CA6B74A" w14:textId="77777777">
        <w:trPr>
          <w:trHeight w:val="236"/>
        </w:trPr>
        <w:tc>
          <w:tcPr>
            <w:tcW w:w="4511" w:type="dxa"/>
            <w:vAlign w:val="center"/>
          </w:tcPr>
          <w:p w:rsidRPr="009C48DA" w:rsidR="00661519" w:rsidP="00661519" w:rsidRDefault="00661519" w14:paraId="029A5E70" w14:textId="77777777">
            <w:pPr>
              <w:spacing w:after="120"/>
              <w:textAlignment w:val="baseline"/>
              <w:rPr>
                <w:rFonts w:eastAsia="Times New Roman"/>
                <w:color w:val="000000"/>
                <w:sz w:val="16"/>
                <w:szCs w:val="16"/>
                <w:lang w:val="en-GB"/>
              </w:rPr>
            </w:pPr>
            <w:r w:rsidRPr="009C48DA">
              <w:rPr>
                <w:rFonts w:eastAsia="Times New Roman"/>
                <w:color w:val="000000"/>
                <w:sz w:val="16"/>
                <w:szCs w:val="16"/>
                <w:lang w:val="en-GB"/>
              </w:rPr>
              <w:t>Country of domicile</w:t>
            </w:r>
          </w:p>
        </w:tc>
        <w:tc>
          <w:tcPr>
            <w:tcW w:w="1178" w:type="dxa"/>
            <w:vAlign w:val="center"/>
          </w:tcPr>
          <w:p w:rsidRPr="009C48DA" w:rsidR="00661519" w:rsidP="00661519" w:rsidRDefault="00661519" w14:paraId="7725B066" w14:textId="77777777">
            <w:pPr>
              <w:jc w:val="right"/>
              <w:textAlignment w:val="baseline"/>
              <w:rPr>
                <w:rFonts w:eastAsia="Times New Roman"/>
                <w:color w:val="000000"/>
                <w:sz w:val="16"/>
                <w:lang w:val="en-GB"/>
              </w:rPr>
            </w:pPr>
          </w:p>
        </w:tc>
        <w:tc>
          <w:tcPr>
            <w:tcW w:w="1178" w:type="dxa"/>
            <w:vAlign w:val="center"/>
          </w:tcPr>
          <w:p w:rsidRPr="009C48DA" w:rsidR="00661519" w:rsidP="00661519" w:rsidRDefault="00661519" w14:paraId="7BED1E5B" w14:textId="77777777">
            <w:pPr>
              <w:jc w:val="right"/>
              <w:textAlignment w:val="baseline"/>
              <w:rPr>
                <w:rFonts w:eastAsia="Times New Roman"/>
                <w:color w:val="000000"/>
                <w:sz w:val="16"/>
                <w:lang w:val="en-GB"/>
              </w:rPr>
            </w:pPr>
          </w:p>
        </w:tc>
        <w:tc>
          <w:tcPr>
            <w:tcW w:w="1178" w:type="dxa"/>
            <w:vAlign w:val="center"/>
          </w:tcPr>
          <w:p w:rsidRPr="009C48DA" w:rsidR="00661519" w:rsidP="00661519" w:rsidRDefault="00661519" w14:paraId="52B29027" w14:textId="77777777">
            <w:pPr>
              <w:jc w:val="right"/>
              <w:textAlignment w:val="baseline"/>
              <w:rPr>
                <w:rFonts w:eastAsia="Times New Roman"/>
                <w:color w:val="000000"/>
                <w:sz w:val="16"/>
                <w:lang w:val="en-GB"/>
              </w:rPr>
            </w:pPr>
            <w:r w:rsidRPr="009C48DA">
              <w:rPr>
                <w:rFonts w:eastAsia="Times New Roman"/>
                <w:color w:val="000000"/>
                <w:sz w:val="16"/>
                <w:lang w:val="en-GB"/>
              </w:rPr>
              <w:t>UK</w:t>
            </w:r>
          </w:p>
        </w:tc>
        <w:tc>
          <w:tcPr>
            <w:tcW w:w="1178" w:type="dxa"/>
            <w:vAlign w:val="center"/>
          </w:tcPr>
          <w:p w:rsidRPr="009C48DA" w:rsidR="00661519" w:rsidP="00661519" w:rsidRDefault="00661519" w14:paraId="27511531" w14:textId="77777777">
            <w:pPr>
              <w:jc w:val="right"/>
              <w:textAlignment w:val="baseline"/>
              <w:rPr>
                <w:rFonts w:eastAsia="Times New Roman"/>
                <w:color w:val="000000"/>
                <w:sz w:val="16"/>
                <w:lang w:val="en-GB"/>
              </w:rPr>
            </w:pPr>
            <w:r w:rsidRPr="009C48DA">
              <w:rPr>
                <w:rFonts w:eastAsia="Times New Roman"/>
                <w:color w:val="000000"/>
                <w:sz w:val="16"/>
                <w:lang w:val="en-GB"/>
              </w:rPr>
              <w:t>UK</w:t>
            </w:r>
          </w:p>
        </w:tc>
      </w:tr>
      <w:tr w:rsidRPr="009C48DA" w:rsidR="00661519" w:rsidTr="00661519" w14:paraId="7C81B966" w14:textId="77777777">
        <w:trPr>
          <w:trHeight w:val="236"/>
        </w:trPr>
        <w:tc>
          <w:tcPr>
            <w:tcW w:w="4511" w:type="dxa"/>
            <w:vAlign w:val="center"/>
          </w:tcPr>
          <w:p w:rsidRPr="009C48DA" w:rsidR="00661519" w:rsidP="00661519" w:rsidRDefault="00661519" w14:paraId="52D27E74" w14:textId="77777777">
            <w:pPr>
              <w:textAlignment w:val="baseline"/>
              <w:rPr>
                <w:rFonts w:eastAsia="Times New Roman"/>
                <w:color w:val="000000"/>
                <w:sz w:val="16"/>
                <w:szCs w:val="16"/>
                <w:lang w:val="en-GB"/>
              </w:rPr>
            </w:pPr>
            <w:r w:rsidRPr="009C48DA">
              <w:rPr>
                <w:rFonts w:eastAsia="Times New Roman"/>
                <w:color w:val="000000"/>
                <w:sz w:val="16"/>
                <w:szCs w:val="16"/>
                <w:lang w:val="en-GB"/>
              </w:rPr>
              <w:t>Group’s interest in the associate</w:t>
            </w:r>
          </w:p>
        </w:tc>
        <w:tc>
          <w:tcPr>
            <w:tcW w:w="1178" w:type="dxa"/>
            <w:vAlign w:val="center"/>
          </w:tcPr>
          <w:p w:rsidRPr="009C48DA" w:rsidR="00661519" w:rsidP="00661519" w:rsidRDefault="00661519" w14:paraId="704A099F" w14:textId="77777777">
            <w:pPr>
              <w:jc w:val="right"/>
              <w:textAlignment w:val="baseline"/>
              <w:rPr>
                <w:rFonts w:eastAsia="Times New Roman"/>
                <w:color w:val="000000"/>
                <w:sz w:val="16"/>
                <w:lang w:val="en-GB"/>
              </w:rPr>
            </w:pPr>
          </w:p>
        </w:tc>
        <w:tc>
          <w:tcPr>
            <w:tcW w:w="1178" w:type="dxa"/>
            <w:vAlign w:val="center"/>
          </w:tcPr>
          <w:p w:rsidRPr="009C48DA" w:rsidR="00661519" w:rsidP="00661519" w:rsidRDefault="00661519" w14:paraId="635FFEAA" w14:textId="77777777">
            <w:pPr>
              <w:jc w:val="right"/>
              <w:textAlignment w:val="baseline"/>
              <w:rPr>
                <w:rFonts w:eastAsia="Times New Roman"/>
                <w:color w:val="000000"/>
                <w:sz w:val="16"/>
                <w:lang w:val="en-GB"/>
              </w:rPr>
            </w:pPr>
          </w:p>
        </w:tc>
        <w:tc>
          <w:tcPr>
            <w:tcW w:w="1178" w:type="dxa"/>
            <w:vAlign w:val="center"/>
          </w:tcPr>
          <w:p w:rsidRPr="009C48DA" w:rsidR="00661519" w:rsidP="00661519" w:rsidRDefault="00661519" w14:paraId="74B99ACB" w14:textId="77777777">
            <w:pPr>
              <w:jc w:val="right"/>
              <w:textAlignment w:val="baseline"/>
              <w:rPr>
                <w:rFonts w:eastAsia="Times New Roman"/>
                <w:color w:val="000000"/>
                <w:sz w:val="16"/>
                <w:lang w:val="en-GB"/>
              </w:rPr>
            </w:pPr>
            <w:r w:rsidRPr="009C48DA">
              <w:rPr>
                <w:rFonts w:eastAsia="Times New Roman"/>
                <w:color w:val="000000"/>
                <w:sz w:val="16"/>
                <w:lang w:val="en-GB"/>
              </w:rPr>
              <w:t>25%</w:t>
            </w:r>
          </w:p>
        </w:tc>
        <w:tc>
          <w:tcPr>
            <w:tcW w:w="1178" w:type="dxa"/>
            <w:vAlign w:val="center"/>
          </w:tcPr>
          <w:p w:rsidRPr="009C48DA" w:rsidR="00661519" w:rsidP="00661519" w:rsidRDefault="00661519" w14:paraId="0F745230" w14:textId="77777777">
            <w:pPr>
              <w:jc w:val="right"/>
              <w:textAlignment w:val="baseline"/>
              <w:rPr>
                <w:rFonts w:eastAsia="Times New Roman"/>
                <w:color w:val="000000"/>
                <w:sz w:val="16"/>
                <w:lang w:val="en-GB"/>
              </w:rPr>
            </w:pPr>
            <w:r w:rsidRPr="009C48DA">
              <w:rPr>
                <w:rFonts w:eastAsia="Times New Roman"/>
                <w:color w:val="000000"/>
                <w:sz w:val="16"/>
                <w:lang w:val="en-GB"/>
              </w:rPr>
              <w:t>25%</w:t>
            </w:r>
          </w:p>
        </w:tc>
      </w:tr>
    </w:tbl>
    <w:p w:rsidRPr="009C48DA" w:rsidR="00661519" w:rsidP="00661519" w:rsidRDefault="00661519" w14:paraId="17B28694" w14:textId="77777777">
      <w:pPr>
        <w:jc w:val="both"/>
        <w:textAlignment w:val="baseline"/>
        <w:rPr>
          <w:rFonts w:eastAsia="Times New Roman"/>
          <w:color w:val="000000"/>
          <w:sz w:val="17"/>
          <w:u w:val="single"/>
          <w:lang w:val="en-GB"/>
        </w:rPr>
      </w:pPr>
    </w:p>
    <w:p w:rsidRPr="009C48DA" w:rsidR="00661519" w:rsidP="00661519" w:rsidRDefault="00661519" w14:paraId="36E18D72" w14:textId="77777777">
      <w:pPr>
        <w:jc w:val="both"/>
        <w:textAlignment w:val="baseline"/>
        <w:rPr>
          <w:rFonts w:eastAsia="Times New Roman"/>
          <w:color w:val="000000"/>
          <w:sz w:val="17"/>
          <w:lang w:val="en-GB"/>
        </w:rPr>
      </w:pPr>
      <w:r w:rsidRPr="009C48DA">
        <w:rPr>
          <w:rFonts w:eastAsia="Times New Roman"/>
          <w:color w:val="000000"/>
          <w:sz w:val="17"/>
          <w:lang w:val="en-GB"/>
        </w:rPr>
        <w:t>The Partnership’s registered address is 50 Lothian Road, Edinburgh, EH3 9WJ, UK</w:t>
      </w:r>
    </w:p>
    <w:p w:rsidRPr="009C48DA" w:rsidR="00661519" w:rsidP="00661519" w:rsidRDefault="00661519" w14:paraId="05FC124E" w14:textId="77777777">
      <w:pPr>
        <w:jc w:val="both"/>
        <w:textAlignment w:val="baseline"/>
        <w:rPr>
          <w:rFonts w:eastAsia="Times New Roman"/>
          <w:color w:val="000000"/>
          <w:sz w:val="17"/>
          <w:lang w:val="en-GB"/>
        </w:rPr>
      </w:pPr>
    </w:p>
    <w:p w:rsidRPr="009C48DA" w:rsidR="00661519" w:rsidP="00661519" w:rsidRDefault="00661519" w14:paraId="3256DD2E" w14:textId="77777777">
      <w:pPr>
        <w:jc w:val="both"/>
        <w:textAlignment w:val="baseline"/>
        <w:rPr>
          <w:rFonts w:eastAsia="Times New Roman"/>
          <w:color w:val="000000"/>
          <w:sz w:val="17"/>
          <w:lang w:val="en-GB"/>
        </w:rPr>
      </w:pPr>
      <w:r w:rsidRPr="009C48DA">
        <w:rPr>
          <w:rFonts w:eastAsia="Times New Roman"/>
          <w:color w:val="000000"/>
          <w:sz w:val="17"/>
          <w:lang w:val="en-GB"/>
        </w:rPr>
        <w:t xml:space="preserve">In addition to the associates listed above, there are four other entities where the Group considers itself to have significant influence with ownership above 20%. These are immaterial individually and in aggregate and have no balances or transactions associated with them for the periods presented. </w:t>
      </w:r>
    </w:p>
    <w:p w:rsidRPr="009C48DA" w:rsidR="00661519" w:rsidP="00661519" w:rsidRDefault="00661519" w14:paraId="496FF2F2" w14:textId="77777777">
      <w:pPr>
        <w:jc w:val="both"/>
        <w:textAlignment w:val="baseline"/>
        <w:rPr>
          <w:rFonts w:eastAsia="Times New Roman"/>
          <w:color w:val="000000"/>
          <w:sz w:val="17"/>
          <w:u w:val="single"/>
          <w:lang w:val="en-GB"/>
        </w:rPr>
      </w:pPr>
    </w:p>
    <w:p w:rsidRPr="009C48DA" w:rsidR="00661519" w:rsidP="00661519" w:rsidRDefault="00661519" w14:paraId="66C80175" w14:textId="77777777">
      <w:pPr>
        <w:jc w:val="both"/>
        <w:textAlignment w:val="baseline"/>
        <w:rPr>
          <w:rFonts w:eastAsia="Times New Roman"/>
          <w:color w:val="000000"/>
          <w:sz w:val="17"/>
          <w:u w:val="single"/>
          <w:lang w:val="en-GB"/>
        </w:rPr>
        <w:sectPr w:rsidRPr="009C48DA" w:rsidR="00661519" w:rsidSect="00661519">
          <w:headerReference w:type="default" r:id="rId73"/>
          <w:pgSz w:w="11910" w:h="16840"/>
          <w:pgMar w:top="2260" w:right="1320" w:bottom="1740" w:left="1340" w:header="1472" w:footer="1551" w:gutter="0"/>
          <w:cols w:space="720"/>
        </w:sectPr>
      </w:pPr>
    </w:p>
    <w:p w:rsidRPr="009C48DA" w:rsidR="00661519" w:rsidP="00661519" w:rsidRDefault="00661519" w14:paraId="21ECD3A7" w14:textId="77777777">
      <w:pPr>
        <w:textAlignment w:val="baseline"/>
        <w:rPr>
          <w:rFonts w:eastAsia="Times New Roman"/>
          <w:b/>
          <w:color w:val="000000"/>
          <w:spacing w:val="3"/>
          <w:sz w:val="16"/>
          <w:lang w:val="en-GB"/>
        </w:rPr>
      </w:pPr>
      <w:r w:rsidRPr="009C48DA">
        <w:rPr>
          <w:rFonts w:eastAsia="Times New Roman"/>
          <w:b/>
          <w:color w:val="000000"/>
          <w:spacing w:val="3"/>
          <w:sz w:val="16"/>
          <w:lang w:val="en-GB"/>
        </w:rPr>
        <w:lastRenderedPageBreak/>
        <w:t>29</w:t>
      </w:r>
      <w:r w:rsidRPr="009C48DA">
        <w:rPr>
          <w:rFonts w:eastAsia="Times New Roman"/>
          <w:b/>
          <w:color w:val="000000"/>
          <w:spacing w:val="3"/>
          <w:sz w:val="16"/>
          <w:lang w:val="en-GB"/>
        </w:rPr>
        <w:tab/>
        <w:t>Unconsolidated structured entities</w:t>
      </w:r>
    </w:p>
    <w:p w:rsidRPr="009C48DA" w:rsidR="00661519" w:rsidP="00661519" w:rsidRDefault="00661519" w14:paraId="15806199" w14:textId="77777777">
      <w:pPr>
        <w:textAlignment w:val="baseline"/>
        <w:rPr>
          <w:rFonts w:eastAsia="Times New Roman"/>
          <w:b/>
          <w:color w:val="000000"/>
          <w:spacing w:val="3"/>
          <w:sz w:val="12"/>
          <w:szCs w:val="12"/>
          <w:lang w:val="en-GB"/>
        </w:rPr>
      </w:pPr>
    </w:p>
    <w:p w:rsidRPr="009C48DA" w:rsidR="00661519" w:rsidP="00661519" w:rsidRDefault="00661519" w14:paraId="792CD956" w14:textId="77777777">
      <w:pPr>
        <w:textAlignment w:val="baseline"/>
        <w:rPr>
          <w:rFonts w:eastAsia="Times New Roman"/>
          <w:color w:val="000000"/>
          <w:sz w:val="16"/>
          <w:lang w:val="en-GB"/>
        </w:rPr>
      </w:pPr>
      <w:r w:rsidRPr="009C48DA">
        <w:rPr>
          <w:rFonts w:eastAsia="Times New Roman"/>
          <w:color w:val="000000"/>
          <w:sz w:val="16"/>
          <w:lang w:val="en-GB"/>
        </w:rPr>
        <w:t>A structured entity is an entity that has been designed so that voting or similar rights are not the dominant factor in deciding who controls the entity, such as when any voting rights relate to administrative tasks only and the relevant activities are directed by means of contractual arrangements.</w:t>
      </w:r>
    </w:p>
    <w:p w:rsidRPr="009C48DA" w:rsidR="00661519" w:rsidP="00661519" w:rsidRDefault="00661519" w14:paraId="489A9F45" w14:textId="77777777">
      <w:pPr>
        <w:textAlignment w:val="baseline"/>
        <w:rPr>
          <w:rFonts w:eastAsia="Times New Roman"/>
          <w:color w:val="000000"/>
          <w:sz w:val="12"/>
          <w:szCs w:val="12"/>
          <w:lang w:val="en-GB"/>
        </w:rPr>
      </w:pPr>
    </w:p>
    <w:p w:rsidRPr="009C48DA" w:rsidR="00661519" w:rsidP="00661519" w:rsidRDefault="00661519" w14:paraId="6EDCEA9D" w14:textId="77777777">
      <w:pPr>
        <w:textAlignment w:val="baseline"/>
        <w:rPr>
          <w:rFonts w:eastAsia="Times New Roman"/>
          <w:color w:val="000000"/>
          <w:sz w:val="16"/>
          <w:lang w:val="en-GB"/>
        </w:rPr>
      </w:pPr>
      <w:r w:rsidRPr="009C48DA">
        <w:rPr>
          <w:rFonts w:eastAsia="Times New Roman"/>
          <w:color w:val="000000"/>
          <w:sz w:val="16"/>
          <w:lang w:val="en-GB"/>
        </w:rPr>
        <w:t xml:space="preserve">The Group has determined that where the Group holds an investment, loan, fee receivable, commitment with an investment fund, CIP with a right to carried interest, that this represents an interest in a structured entity. Where the Group does not hold an investment in the structured entity, the Group has determined that the characteristics of control are not met. As set out in note 3(a), CIPs that currently have value are those where the Group is exposed to variable returns in the range of 5-25% with the main beneficiaries of the CIP being the other participants. </w:t>
      </w:r>
    </w:p>
    <w:p w:rsidRPr="009C48DA" w:rsidR="00661519" w:rsidP="00661519" w:rsidRDefault="00661519" w14:paraId="2C216CFE" w14:textId="77777777">
      <w:pPr>
        <w:textAlignment w:val="baseline"/>
        <w:rPr>
          <w:rFonts w:eastAsia="Times New Roman"/>
          <w:color w:val="000000"/>
          <w:sz w:val="12"/>
          <w:szCs w:val="12"/>
          <w:lang w:val="en-GB"/>
        </w:rPr>
      </w:pPr>
    </w:p>
    <w:p w:rsidRPr="009C48DA" w:rsidR="00661519" w:rsidP="00661519" w:rsidRDefault="00661519" w14:paraId="195F0BBE" w14:textId="77777777">
      <w:pPr>
        <w:textAlignment w:val="baseline"/>
        <w:rPr>
          <w:rFonts w:eastAsia="Times New Roman"/>
          <w:color w:val="000000"/>
          <w:sz w:val="16"/>
          <w:lang w:val="en-GB"/>
        </w:rPr>
      </w:pPr>
      <w:r w:rsidRPr="009C48DA">
        <w:rPr>
          <w:rFonts w:eastAsia="Times New Roman"/>
          <w:color w:val="000000"/>
          <w:sz w:val="16"/>
          <w:lang w:val="en-GB"/>
        </w:rPr>
        <w:t>The Group acts in accordance within pre-determined parameters set out in various agreements and the decision-making authority is well defined, including third-party rights in respect of the investment manager. The agreements include management fees that are commensurate with the services provided and performance fee arrangements that are industry standard. As such the Group is acting as agent on behalf of these investors and therefore these entities are not consolidated into the Group’s financial statements.</w:t>
      </w:r>
    </w:p>
    <w:p w:rsidRPr="009C48DA" w:rsidR="00661519" w:rsidP="00661519" w:rsidRDefault="00661519" w14:paraId="6E5225BA" w14:textId="77777777">
      <w:pPr>
        <w:rPr>
          <w:rFonts w:eastAsia="Times New Roman"/>
          <w:color w:val="000000"/>
          <w:sz w:val="12"/>
          <w:szCs w:val="12"/>
          <w:lang w:val="en-GB"/>
        </w:rPr>
      </w:pPr>
    </w:p>
    <w:p w:rsidRPr="009C48DA" w:rsidR="00661519" w:rsidP="00661519" w:rsidRDefault="00661519" w14:paraId="607E4921" w14:textId="77777777">
      <w:pPr>
        <w:rPr>
          <w:rFonts w:eastAsia="Times New Roman"/>
          <w:color w:val="000000"/>
          <w:sz w:val="16"/>
          <w:lang w:val="en-GB"/>
        </w:rPr>
      </w:pPr>
      <w:r w:rsidRPr="009C48DA">
        <w:rPr>
          <w:rFonts w:eastAsia="Times New Roman"/>
          <w:color w:val="000000"/>
          <w:sz w:val="16"/>
          <w:lang w:val="en-GB"/>
        </w:rPr>
        <w:t>The Group’s interest in and exposure to unconsolidated structured entities including outstanding management fees is detailed in the table below and recognised within trade and other receivables in the balance sheet. The carried interest receivable is included within the balance sheet.</w:t>
      </w:r>
    </w:p>
    <w:p w:rsidRPr="009C48DA" w:rsidR="00661519" w:rsidP="00661519" w:rsidRDefault="00661519" w14:paraId="67C85ADE" w14:textId="77777777">
      <w:pPr>
        <w:rPr>
          <w:rFonts w:eastAsia="Times New Roman"/>
          <w:color w:val="000000"/>
          <w:sz w:val="16"/>
          <w:lang w:val="en-GB"/>
        </w:rPr>
      </w:pPr>
    </w:p>
    <w:tbl>
      <w:tblPr>
        <w:tblW w:w="13892" w:type="dxa"/>
        <w:tblLayout w:type="fixed"/>
        <w:tblCellMar>
          <w:left w:w="0" w:type="dxa"/>
          <w:right w:w="0" w:type="dxa"/>
        </w:tblCellMar>
        <w:tblLook w:val="04A0" w:firstRow="1" w:lastRow="0" w:firstColumn="1" w:lastColumn="0" w:noHBand="0" w:noVBand="1"/>
      </w:tblPr>
      <w:tblGrid>
        <w:gridCol w:w="1418"/>
        <w:gridCol w:w="1276"/>
        <w:gridCol w:w="1275"/>
        <w:gridCol w:w="1134"/>
        <w:gridCol w:w="1389"/>
        <w:gridCol w:w="1163"/>
        <w:gridCol w:w="992"/>
        <w:gridCol w:w="1559"/>
        <w:gridCol w:w="1134"/>
        <w:gridCol w:w="1318"/>
        <w:gridCol w:w="1234"/>
      </w:tblGrid>
      <w:tr w:rsidRPr="009C48DA" w:rsidR="00661519" w:rsidTr="00661519" w14:paraId="1977D57D" w14:textId="77777777">
        <w:trPr>
          <w:trHeight w:val="930"/>
        </w:trPr>
        <w:tc>
          <w:tcPr>
            <w:tcW w:w="1418" w:type="dxa"/>
            <w:vAlign w:val="bottom"/>
          </w:tcPr>
          <w:p w:rsidRPr="009C48DA" w:rsidR="00661519" w:rsidP="00661519" w:rsidRDefault="00661519" w14:paraId="0C52D55C" w14:textId="77777777">
            <w:pPr>
              <w:textAlignment w:val="baseline"/>
              <w:rPr>
                <w:rFonts w:eastAsia="Times New Roman" w:cs="Times New Roman"/>
                <w:color w:val="000000"/>
                <w:sz w:val="16"/>
                <w:szCs w:val="16"/>
                <w:lang w:val="en-GB"/>
              </w:rPr>
            </w:pPr>
          </w:p>
        </w:tc>
        <w:tc>
          <w:tcPr>
            <w:tcW w:w="1276" w:type="dxa"/>
            <w:vAlign w:val="bottom"/>
          </w:tcPr>
          <w:p w:rsidRPr="009C48DA" w:rsidR="00661519" w:rsidP="00661519" w:rsidRDefault="00661519" w14:paraId="60CFF4AD" w14:textId="77777777">
            <w:pPr>
              <w:ind w:right="8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Value of the Group’s co</w:t>
            </w:r>
            <w:r w:rsidRPr="009C48DA">
              <w:rPr>
                <w:rFonts w:eastAsia="Times New Roman" w:cs="Times New Roman"/>
                <w:b/>
                <w:color w:val="000000"/>
                <w:sz w:val="16"/>
                <w:szCs w:val="16"/>
                <w:lang w:val="en-GB"/>
              </w:rPr>
              <w:noBreakHyphen/>
              <w:t>investments at period-end</w:t>
            </w:r>
          </w:p>
          <w:p w:rsidRPr="009C48DA" w:rsidR="00661519" w:rsidP="00661519" w:rsidRDefault="00661519" w14:paraId="24EA6AEA"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75" w:type="dxa"/>
            <w:vAlign w:val="bottom"/>
          </w:tcPr>
          <w:p w:rsidRPr="009C48DA" w:rsidR="00661519" w:rsidP="00661519" w:rsidRDefault="00661519" w14:paraId="50145339" w14:textId="77777777">
            <w:pPr>
              <w:ind w:right="13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Typical Group commitment to the fund as</w:t>
            </w:r>
          </w:p>
          <w:p w:rsidRPr="009C48DA" w:rsidR="00661519" w:rsidP="00661519" w:rsidRDefault="00661519" w14:paraId="36C97EBC" w14:textId="77777777">
            <w:pPr>
              <w:ind w:right="135"/>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w:t>
            </w:r>
          </w:p>
        </w:tc>
        <w:tc>
          <w:tcPr>
            <w:tcW w:w="1134" w:type="dxa"/>
            <w:vAlign w:val="bottom"/>
          </w:tcPr>
          <w:p w:rsidRPr="009C48DA" w:rsidR="00661519" w:rsidP="00661519" w:rsidRDefault="00661519" w14:paraId="6B0FC1A5" w14:textId="77777777">
            <w:pPr>
              <w:ind w:right="81"/>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investor commitments</w:t>
            </w:r>
          </w:p>
          <w:p w:rsidRPr="009C48DA" w:rsidR="00661519" w:rsidP="00661519" w:rsidRDefault="00661519" w14:paraId="5684BE7E" w14:textId="77777777">
            <w:pPr>
              <w:ind w:right="81"/>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389" w:type="dxa"/>
            <w:vAlign w:val="bottom"/>
          </w:tcPr>
          <w:p w:rsidRPr="009C48DA" w:rsidR="00661519" w:rsidP="00661519" w:rsidRDefault="00661519" w14:paraId="3D8CC2D0" w14:textId="77777777">
            <w:pPr>
              <w:ind w:right="12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Net asset </w:t>
            </w:r>
          </w:p>
          <w:p w:rsidRPr="009C48DA" w:rsidR="00661519" w:rsidP="00661519" w:rsidRDefault="00661519" w14:paraId="5C1A73A3" w14:textId="77777777">
            <w:pPr>
              <w:ind w:right="12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value of the funds at period</w:t>
            </w:r>
            <w:r w:rsidRPr="009C48DA">
              <w:rPr>
                <w:rFonts w:eastAsia="Times New Roman" w:cs="Times New Roman"/>
                <w:b/>
                <w:color w:val="000000"/>
                <w:sz w:val="16"/>
                <w:szCs w:val="16"/>
                <w:lang w:val="en-GB"/>
              </w:rPr>
              <w:noBreakHyphen/>
              <w:t>end</w:t>
            </w:r>
          </w:p>
          <w:p w:rsidRPr="009C48DA" w:rsidR="00661519" w:rsidP="00661519" w:rsidRDefault="00661519" w14:paraId="7DD31864" w14:textId="77777777">
            <w:pPr>
              <w:ind w:right="12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163" w:type="dxa"/>
            <w:vAlign w:val="bottom"/>
          </w:tcPr>
          <w:p w:rsidRPr="009C48DA" w:rsidR="00661519" w:rsidP="00661519" w:rsidRDefault="00661519" w14:paraId="265BAEEA" w14:textId="77777777">
            <w:pPr>
              <w:ind w:right="14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Management fees received by the Group</w:t>
            </w:r>
          </w:p>
          <w:p w:rsidRPr="009C48DA" w:rsidR="00661519" w:rsidP="00661519" w:rsidRDefault="00661519" w14:paraId="265200C8" w14:textId="77777777">
            <w:pPr>
              <w:ind w:right="144"/>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992" w:type="dxa"/>
            <w:vAlign w:val="bottom"/>
          </w:tcPr>
          <w:p w:rsidRPr="009C48DA" w:rsidR="00661519" w:rsidP="00661519" w:rsidRDefault="00661519" w14:paraId="32F4ADDB" w14:textId="77777777">
            <w:pPr>
              <w:ind w:right="7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Typical management fee range</w:t>
            </w:r>
          </w:p>
          <w:p w:rsidRPr="009C48DA" w:rsidR="00661519" w:rsidP="00661519" w:rsidRDefault="00661519" w14:paraId="6FBE830C" w14:textId="77777777">
            <w:pPr>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bottom"/>
          </w:tcPr>
          <w:p w:rsidRPr="009C48DA" w:rsidR="00661519" w:rsidP="00661519" w:rsidRDefault="00661519" w14:paraId="7AB6510D"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Carried interest rate</w:t>
            </w:r>
          </w:p>
          <w:p w:rsidRPr="009C48DA" w:rsidR="00661519" w:rsidP="00661519" w:rsidRDefault="00661519" w14:paraId="3F505CEE"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w:t>
            </w:r>
          </w:p>
        </w:tc>
        <w:tc>
          <w:tcPr>
            <w:tcW w:w="1134" w:type="dxa"/>
            <w:vAlign w:val="bottom"/>
          </w:tcPr>
          <w:p w:rsidRPr="009C48DA" w:rsidR="00661519" w:rsidP="00661519" w:rsidRDefault="00661519" w14:paraId="0909DE05"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Group share of carried interest</w:t>
            </w:r>
          </w:p>
          <w:p w:rsidRPr="009C48DA" w:rsidR="00661519" w:rsidP="00661519" w:rsidRDefault="00661519" w14:paraId="5A972B33"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w:t>
            </w:r>
          </w:p>
        </w:tc>
        <w:tc>
          <w:tcPr>
            <w:tcW w:w="1318" w:type="dxa"/>
            <w:vAlign w:val="bottom"/>
          </w:tcPr>
          <w:p w:rsidRPr="009C48DA" w:rsidR="00661519" w:rsidP="00661519" w:rsidRDefault="00661519" w14:paraId="74612502"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Group</w:t>
            </w:r>
          </w:p>
          <w:p w:rsidRPr="009C48DA" w:rsidR="00661519" w:rsidP="00661519" w:rsidRDefault="00661519" w14:paraId="4DD5A3A1"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accrued carried interest receivables at period-end</w:t>
            </w:r>
          </w:p>
          <w:p w:rsidRPr="009C48DA" w:rsidR="00661519" w:rsidP="00661519" w:rsidRDefault="00661519" w14:paraId="17F33287"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34" w:type="dxa"/>
            <w:vAlign w:val="bottom"/>
          </w:tcPr>
          <w:p w:rsidRPr="009C48DA" w:rsidR="00661519" w:rsidP="00661519" w:rsidRDefault="00661519" w14:paraId="67E6331E" w14:textId="77777777">
            <w:pPr>
              <w:ind w:right="20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Group maximum exposure to loss at period</w:t>
            </w:r>
            <w:r w:rsidRPr="009C48DA">
              <w:rPr>
                <w:rFonts w:eastAsia="Times New Roman" w:cs="Times New Roman"/>
                <w:b/>
                <w:color w:val="000000"/>
                <w:sz w:val="16"/>
                <w:szCs w:val="16"/>
                <w:lang w:val="en-GB"/>
              </w:rPr>
              <w:noBreakHyphen/>
              <w:t>end</w:t>
            </w:r>
          </w:p>
          <w:p w:rsidRPr="009C48DA" w:rsidR="00661519" w:rsidP="00661519" w:rsidRDefault="00661519" w14:paraId="0543EA15" w14:textId="77777777">
            <w:pPr>
              <w:ind w:right="203"/>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2E5A7613" w14:textId="77777777">
        <w:tc>
          <w:tcPr>
            <w:tcW w:w="1418" w:type="dxa"/>
            <w:vAlign w:val="bottom"/>
          </w:tcPr>
          <w:p w:rsidRPr="009C48DA" w:rsidR="00661519" w:rsidP="00661519" w:rsidRDefault="00661519" w14:paraId="2545D62F"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31 December 2018</w:t>
            </w:r>
          </w:p>
        </w:tc>
        <w:tc>
          <w:tcPr>
            <w:tcW w:w="1276" w:type="dxa"/>
            <w:vAlign w:val="bottom"/>
          </w:tcPr>
          <w:p w:rsidRPr="009C48DA" w:rsidR="00661519" w:rsidP="00661519" w:rsidRDefault="00661519" w14:paraId="03367E47" w14:textId="77777777">
            <w:pPr>
              <w:ind w:right="87"/>
              <w:jc w:val="right"/>
              <w:textAlignment w:val="baseline"/>
              <w:rPr>
                <w:rFonts w:eastAsia="Times New Roman" w:cs="Times New Roman"/>
                <w:color w:val="000000"/>
                <w:sz w:val="16"/>
                <w:szCs w:val="16"/>
                <w:lang w:val="en-GB"/>
              </w:rPr>
            </w:pPr>
          </w:p>
        </w:tc>
        <w:tc>
          <w:tcPr>
            <w:tcW w:w="1275" w:type="dxa"/>
            <w:vAlign w:val="bottom"/>
          </w:tcPr>
          <w:p w:rsidRPr="009C48DA" w:rsidR="00661519" w:rsidP="00661519" w:rsidRDefault="00661519" w14:paraId="5C971BEB" w14:textId="77777777">
            <w:pPr>
              <w:ind w:right="87"/>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2C16F412" w14:textId="77777777">
            <w:pPr>
              <w:ind w:right="87"/>
              <w:jc w:val="right"/>
              <w:textAlignment w:val="baseline"/>
              <w:rPr>
                <w:rFonts w:eastAsia="Times New Roman" w:cs="Times New Roman"/>
                <w:color w:val="000000"/>
                <w:sz w:val="16"/>
                <w:szCs w:val="16"/>
                <w:lang w:val="en-GB"/>
              </w:rPr>
            </w:pPr>
          </w:p>
        </w:tc>
        <w:tc>
          <w:tcPr>
            <w:tcW w:w="1389" w:type="dxa"/>
            <w:vAlign w:val="bottom"/>
          </w:tcPr>
          <w:p w:rsidRPr="009C48DA" w:rsidR="00661519" w:rsidP="00661519" w:rsidRDefault="00661519" w14:paraId="079E1E06" w14:textId="77777777">
            <w:pPr>
              <w:ind w:right="87"/>
              <w:jc w:val="right"/>
              <w:textAlignment w:val="baseline"/>
              <w:rPr>
                <w:rFonts w:eastAsia="Times New Roman" w:cs="Times New Roman"/>
                <w:color w:val="000000"/>
                <w:sz w:val="16"/>
                <w:szCs w:val="16"/>
                <w:lang w:val="en-GB"/>
              </w:rPr>
            </w:pPr>
          </w:p>
        </w:tc>
        <w:tc>
          <w:tcPr>
            <w:tcW w:w="1163" w:type="dxa"/>
            <w:vAlign w:val="bottom"/>
          </w:tcPr>
          <w:p w:rsidRPr="009C48DA" w:rsidR="00661519" w:rsidP="00661519" w:rsidRDefault="00661519" w14:paraId="57F28A98" w14:textId="77777777">
            <w:pPr>
              <w:ind w:right="87"/>
              <w:jc w:val="right"/>
              <w:textAlignment w:val="baseline"/>
              <w:rPr>
                <w:rFonts w:eastAsia="Times New Roman" w:cs="Times New Roman"/>
                <w:color w:val="000000"/>
                <w:sz w:val="16"/>
                <w:szCs w:val="16"/>
                <w:lang w:val="en-GB"/>
              </w:rPr>
            </w:pPr>
          </w:p>
        </w:tc>
        <w:tc>
          <w:tcPr>
            <w:tcW w:w="992" w:type="dxa"/>
            <w:vAlign w:val="bottom"/>
          </w:tcPr>
          <w:p w:rsidRPr="009C48DA" w:rsidR="00661519" w:rsidP="00661519" w:rsidRDefault="00661519" w14:paraId="0EBBCED3" w14:textId="77777777">
            <w:pPr>
              <w:ind w:right="87"/>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55FA33D1" w14:textId="77777777">
            <w:pPr>
              <w:ind w:right="87"/>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7AA2B77B" w14:textId="77777777">
            <w:pPr>
              <w:ind w:right="87"/>
              <w:jc w:val="right"/>
              <w:textAlignment w:val="baseline"/>
              <w:rPr>
                <w:rFonts w:eastAsia="Times New Roman" w:cs="Times New Roman"/>
                <w:color w:val="000000"/>
                <w:sz w:val="16"/>
                <w:szCs w:val="16"/>
                <w:lang w:val="en-GB"/>
              </w:rPr>
            </w:pPr>
          </w:p>
        </w:tc>
        <w:tc>
          <w:tcPr>
            <w:tcW w:w="1318" w:type="dxa"/>
            <w:vAlign w:val="bottom"/>
          </w:tcPr>
          <w:p w:rsidRPr="009C48DA" w:rsidR="00661519" w:rsidP="00661519" w:rsidRDefault="00661519" w14:paraId="4F65F2BA" w14:textId="77777777">
            <w:pPr>
              <w:ind w:right="87"/>
              <w:jc w:val="right"/>
              <w:textAlignment w:val="baseline"/>
              <w:rPr>
                <w:rFonts w:eastAsia="Times New Roman" w:cs="Times New Roman"/>
                <w:color w:val="000000"/>
                <w:sz w:val="16"/>
                <w:szCs w:val="16"/>
                <w:lang w:val="en-GB"/>
              </w:rPr>
            </w:pPr>
          </w:p>
        </w:tc>
        <w:tc>
          <w:tcPr>
            <w:tcW w:w="1234" w:type="dxa"/>
            <w:vAlign w:val="bottom"/>
          </w:tcPr>
          <w:p w:rsidRPr="009C48DA" w:rsidR="00661519" w:rsidP="00661519" w:rsidRDefault="00661519" w14:paraId="151DABF4" w14:textId="77777777">
            <w:pPr>
              <w:ind w:right="87"/>
              <w:jc w:val="right"/>
              <w:textAlignment w:val="baseline"/>
              <w:rPr>
                <w:rFonts w:eastAsia="Times New Roman" w:cs="Times New Roman"/>
                <w:color w:val="000000"/>
                <w:sz w:val="16"/>
                <w:szCs w:val="16"/>
                <w:lang w:val="en-GB"/>
              </w:rPr>
            </w:pPr>
          </w:p>
        </w:tc>
      </w:tr>
      <w:tr w:rsidRPr="009C48DA" w:rsidR="00661519" w:rsidTr="00661519" w14:paraId="2AAED09A" w14:textId="77777777">
        <w:tc>
          <w:tcPr>
            <w:tcW w:w="1418" w:type="dxa"/>
            <w:vAlign w:val="bottom"/>
          </w:tcPr>
          <w:p w:rsidRPr="009C48DA" w:rsidR="00661519" w:rsidP="00661519" w:rsidRDefault="00661519" w14:paraId="5F7086D9"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Private equity funds </w:t>
            </w:r>
          </w:p>
        </w:tc>
        <w:tc>
          <w:tcPr>
            <w:tcW w:w="1276" w:type="dxa"/>
            <w:vAlign w:val="bottom"/>
          </w:tcPr>
          <w:p w:rsidRPr="009C48DA" w:rsidR="00661519" w:rsidP="00661519" w:rsidRDefault="00661519" w14:paraId="7AF22BC3"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125,497</w:t>
            </w:r>
          </w:p>
        </w:tc>
        <w:tc>
          <w:tcPr>
            <w:tcW w:w="1275" w:type="dxa"/>
            <w:vAlign w:val="bottom"/>
          </w:tcPr>
          <w:p w:rsidRPr="009C48DA" w:rsidR="00661519" w:rsidP="00661519" w:rsidRDefault="00661519" w14:paraId="3785DE7D"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w:t>
            </w:r>
          </w:p>
        </w:tc>
        <w:tc>
          <w:tcPr>
            <w:tcW w:w="1134" w:type="dxa"/>
            <w:vAlign w:val="bottom"/>
          </w:tcPr>
          <w:p w:rsidRPr="009C48DA" w:rsidR="00661519" w:rsidP="00661519" w:rsidRDefault="00661519" w14:paraId="25B5249F"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21,308,112</w:t>
            </w:r>
          </w:p>
        </w:tc>
        <w:tc>
          <w:tcPr>
            <w:tcW w:w="1389" w:type="dxa"/>
            <w:vAlign w:val="bottom"/>
          </w:tcPr>
          <w:p w:rsidRPr="009C48DA" w:rsidR="00661519" w:rsidP="00661519" w:rsidRDefault="00661519" w14:paraId="314ABEFB"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9,960,595</w:t>
            </w:r>
          </w:p>
        </w:tc>
        <w:tc>
          <w:tcPr>
            <w:tcW w:w="1163" w:type="dxa"/>
            <w:vAlign w:val="bottom"/>
          </w:tcPr>
          <w:p w:rsidRPr="009C48DA" w:rsidR="00661519" w:rsidP="00661519" w:rsidRDefault="00661519" w14:paraId="1B8D6725"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115,775</w:t>
            </w:r>
          </w:p>
        </w:tc>
        <w:tc>
          <w:tcPr>
            <w:tcW w:w="992" w:type="dxa"/>
            <w:vAlign w:val="bottom"/>
          </w:tcPr>
          <w:p w:rsidRPr="009C48DA" w:rsidR="00661519" w:rsidP="00661519" w:rsidRDefault="00661519" w14:paraId="1ABAC69E"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0.75-2.00%</w:t>
            </w:r>
          </w:p>
        </w:tc>
        <w:tc>
          <w:tcPr>
            <w:tcW w:w="1559" w:type="dxa"/>
            <w:vAlign w:val="bottom"/>
          </w:tcPr>
          <w:p w:rsidRPr="009C48DA" w:rsidR="00661519" w:rsidP="00661519" w:rsidRDefault="00661519" w14:paraId="0A625C84"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Generally up to 20% of profits over threshold</w:t>
            </w:r>
          </w:p>
        </w:tc>
        <w:tc>
          <w:tcPr>
            <w:tcW w:w="1134" w:type="dxa"/>
            <w:vAlign w:val="bottom"/>
          </w:tcPr>
          <w:p w:rsidRPr="009C48DA" w:rsidR="00661519" w:rsidP="00661519" w:rsidRDefault="00661519" w14:paraId="7A83E182"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Up to 35%</w:t>
            </w:r>
          </w:p>
        </w:tc>
        <w:tc>
          <w:tcPr>
            <w:tcW w:w="1318" w:type="dxa"/>
            <w:vAlign w:val="bottom"/>
          </w:tcPr>
          <w:p w:rsidRPr="009C48DA" w:rsidR="00661519" w:rsidP="00661519" w:rsidRDefault="00661519" w14:paraId="306F22DA"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17,757</w:t>
            </w:r>
          </w:p>
        </w:tc>
        <w:tc>
          <w:tcPr>
            <w:tcW w:w="1234" w:type="dxa"/>
            <w:vAlign w:val="bottom"/>
          </w:tcPr>
          <w:p w:rsidRPr="009C48DA" w:rsidR="00661519" w:rsidP="00661519" w:rsidRDefault="00661519" w14:paraId="3298CAF4"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143,254</w:t>
            </w:r>
          </w:p>
        </w:tc>
      </w:tr>
      <w:tr w:rsidRPr="009C48DA" w:rsidR="00661519" w:rsidTr="00661519" w14:paraId="6D9D101F" w14:textId="77777777">
        <w:tc>
          <w:tcPr>
            <w:tcW w:w="1418" w:type="dxa"/>
            <w:vAlign w:val="bottom"/>
          </w:tcPr>
          <w:p w:rsidRPr="009C48DA" w:rsidR="00661519" w:rsidP="00661519" w:rsidRDefault="00661519" w14:paraId="0F85753F"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Credit funds</w:t>
            </w:r>
          </w:p>
        </w:tc>
        <w:tc>
          <w:tcPr>
            <w:tcW w:w="1276" w:type="dxa"/>
            <w:vAlign w:val="bottom"/>
          </w:tcPr>
          <w:p w:rsidRPr="009C48DA" w:rsidR="00661519" w:rsidP="00661519" w:rsidRDefault="00661519" w14:paraId="0DEFA870" w14:textId="77777777">
            <w:pPr>
              <w:pBdr>
                <w:bottom w:val="sing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86,363</w:t>
            </w:r>
          </w:p>
        </w:tc>
        <w:tc>
          <w:tcPr>
            <w:tcW w:w="1275" w:type="dxa"/>
            <w:vAlign w:val="bottom"/>
          </w:tcPr>
          <w:p w:rsidRPr="009C48DA" w:rsidR="00661519" w:rsidP="00661519" w:rsidRDefault="00661519" w14:paraId="3E1D8D28"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w:t>
            </w:r>
          </w:p>
        </w:tc>
        <w:tc>
          <w:tcPr>
            <w:tcW w:w="1134" w:type="dxa"/>
            <w:vAlign w:val="bottom"/>
          </w:tcPr>
          <w:p w:rsidRPr="009C48DA" w:rsidR="00661519" w:rsidP="00661519" w:rsidRDefault="00661519" w14:paraId="0EBD016A" w14:textId="77777777">
            <w:pPr>
              <w:pBdr>
                <w:bottom w:val="sing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389" w:type="dxa"/>
            <w:vAlign w:val="bottom"/>
          </w:tcPr>
          <w:p w:rsidRPr="009C48DA" w:rsidR="00661519" w:rsidP="00661519" w:rsidRDefault="00661519" w14:paraId="03EBF6BC" w14:textId="77777777">
            <w:pPr>
              <w:pBdr>
                <w:bottom w:val="sing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163" w:type="dxa"/>
            <w:vAlign w:val="bottom"/>
          </w:tcPr>
          <w:p w:rsidRPr="009C48DA" w:rsidR="00661519" w:rsidP="00661519" w:rsidRDefault="00661519" w14:paraId="0E6538C1" w14:textId="77777777">
            <w:pPr>
              <w:pBdr>
                <w:bottom w:val="sing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62</w:t>
            </w:r>
          </w:p>
        </w:tc>
        <w:tc>
          <w:tcPr>
            <w:tcW w:w="992" w:type="dxa"/>
            <w:vAlign w:val="bottom"/>
          </w:tcPr>
          <w:p w:rsidRPr="009C48DA" w:rsidR="00661519" w:rsidP="00661519" w:rsidRDefault="00661519" w14:paraId="5C3F0F44"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1.00-1.75%</w:t>
            </w:r>
          </w:p>
        </w:tc>
        <w:tc>
          <w:tcPr>
            <w:tcW w:w="1559" w:type="dxa"/>
            <w:vAlign w:val="bottom"/>
          </w:tcPr>
          <w:p w:rsidRPr="009C48DA" w:rsidR="00661519" w:rsidP="00661519" w:rsidRDefault="00661519" w14:paraId="7A3984A8"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Generally up to 20% of profits over threshold</w:t>
            </w:r>
          </w:p>
        </w:tc>
        <w:tc>
          <w:tcPr>
            <w:tcW w:w="1134" w:type="dxa"/>
            <w:vAlign w:val="bottom"/>
          </w:tcPr>
          <w:p w:rsidRPr="009C48DA" w:rsidR="00661519" w:rsidP="00661519" w:rsidRDefault="00661519" w14:paraId="0BA322E3"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Up to 35%</w:t>
            </w:r>
          </w:p>
        </w:tc>
        <w:tc>
          <w:tcPr>
            <w:tcW w:w="1318" w:type="dxa"/>
            <w:vAlign w:val="bottom"/>
          </w:tcPr>
          <w:p w:rsidRPr="009C48DA" w:rsidR="00661519" w:rsidP="00661519" w:rsidRDefault="00661519" w14:paraId="0C7E09B4" w14:textId="77777777">
            <w:pPr>
              <w:pBdr>
                <w:bottom w:val="sing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34" w:type="dxa"/>
            <w:vAlign w:val="bottom"/>
          </w:tcPr>
          <w:p w:rsidRPr="009C48DA" w:rsidR="00661519" w:rsidP="00661519" w:rsidRDefault="00661519" w14:paraId="5A46EA72" w14:textId="77777777">
            <w:pPr>
              <w:pBdr>
                <w:bottom w:val="sing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86,363</w:t>
            </w:r>
          </w:p>
        </w:tc>
      </w:tr>
      <w:tr w:rsidRPr="009C48DA" w:rsidR="00661519" w:rsidTr="00661519" w14:paraId="4A52B5B9" w14:textId="77777777">
        <w:tc>
          <w:tcPr>
            <w:tcW w:w="1418" w:type="dxa"/>
            <w:vAlign w:val="bottom"/>
          </w:tcPr>
          <w:p w:rsidRPr="009C48DA" w:rsidR="00661519" w:rsidP="00661519" w:rsidRDefault="00661519" w14:paraId="3D806701" w14:textId="77777777">
            <w:pPr>
              <w:textAlignment w:val="baseline"/>
              <w:rPr>
                <w:rFonts w:eastAsia="Times New Roman" w:cs="Times New Roman"/>
                <w:color w:val="000000"/>
                <w:sz w:val="16"/>
                <w:szCs w:val="16"/>
                <w:lang w:val="en-GB"/>
              </w:rPr>
            </w:pPr>
          </w:p>
        </w:tc>
        <w:tc>
          <w:tcPr>
            <w:tcW w:w="1276" w:type="dxa"/>
            <w:vAlign w:val="bottom"/>
          </w:tcPr>
          <w:p w:rsidRPr="009C48DA" w:rsidR="00661519" w:rsidP="00661519" w:rsidRDefault="00661519" w14:paraId="01FC6104" w14:textId="77777777">
            <w:pPr>
              <w:pBdr>
                <w:bottom w:val="doub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211,860</w:t>
            </w:r>
          </w:p>
        </w:tc>
        <w:tc>
          <w:tcPr>
            <w:tcW w:w="1275" w:type="dxa"/>
            <w:vAlign w:val="bottom"/>
          </w:tcPr>
          <w:p w:rsidRPr="009C48DA" w:rsidR="00661519" w:rsidP="00661519" w:rsidRDefault="00661519" w14:paraId="4A228D27" w14:textId="77777777">
            <w:pPr>
              <w:ind w:right="87"/>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2A8DDB93" w14:textId="77777777">
            <w:pPr>
              <w:pBdr>
                <w:bottom w:val="doub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21,308,112</w:t>
            </w:r>
          </w:p>
        </w:tc>
        <w:tc>
          <w:tcPr>
            <w:tcW w:w="1389" w:type="dxa"/>
            <w:vAlign w:val="bottom"/>
          </w:tcPr>
          <w:p w:rsidRPr="009C48DA" w:rsidR="00661519" w:rsidP="00661519" w:rsidRDefault="00661519" w14:paraId="1F2D6F0B" w14:textId="77777777">
            <w:pPr>
              <w:pBdr>
                <w:bottom w:val="doub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9,960,595</w:t>
            </w:r>
          </w:p>
        </w:tc>
        <w:tc>
          <w:tcPr>
            <w:tcW w:w="1163" w:type="dxa"/>
            <w:vAlign w:val="bottom"/>
          </w:tcPr>
          <w:p w:rsidRPr="009C48DA" w:rsidR="00661519" w:rsidP="00661519" w:rsidRDefault="00661519" w14:paraId="2D09CE44" w14:textId="77777777">
            <w:pPr>
              <w:pBdr>
                <w:bottom w:val="doub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115,837</w:t>
            </w:r>
          </w:p>
        </w:tc>
        <w:tc>
          <w:tcPr>
            <w:tcW w:w="992" w:type="dxa"/>
            <w:vAlign w:val="bottom"/>
          </w:tcPr>
          <w:p w:rsidRPr="009C48DA" w:rsidR="00661519" w:rsidP="00661519" w:rsidRDefault="00661519" w14:paraId="6C3AD54D" w14:textId="77777777">
            <w:pPr>
              <w:ind w:right="87"/>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2815D992" w14:textId="77777777">
            <w:pPr>
              <w:ind w:right="87"/>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69486D69" w14:textId="77777777">
            <w:pPr>
              <w:ind w:right="87"/>
              <w:jc w:val="right"/>
              <w:textAlignment w:val="baseline"/>
              <w:rPr>
                <w:rFonts w:eastAsia="Times New Roman" w:cs="Times New Roman"/>
                <w:color w:val="000000"/>
                <w:sz w:val="16"/>
                <w:szCs w:val="16"/>
                <w:lang w:val="en-GB"/>
              </w:rPr>
            </w:pPr>
          </w:p>
        </w:tc>
        <w:tc>
          <w:tcPr>
            <w:tcW w:w="1318" w:type="dxa"/>
            <w:vAlign w:val="bottom"/>
          </w:tcPr>
          <w:p w:rsidRPr="009C48DA" w:rsidR="00661519" w:rsidP="00661519" w:rsidRDefault="00661519" w14:paraId="1A9A37E7" w14:textId="77777777">
            <w:pPr>
              <w:pBdr>
                <w:bottom w:val="doub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17,757</w:t>
            </w:r>
          </w:p>
        </w:tc>
        <w:tc>
          <w:tcPr>
            <w:tcW w:w="1234" w:type="dxa"/>
            <w:vAlign w:val="bottom"/>
          </w:tcPr>
          <w:p w:rsidRPr="009C48DA" w:rsidR="00661519" w:rsidP="00661519" w:rsidRDefault="00661519" w14:paraId="295F5BD5" w14:textId="77777777">
            <w:pPr>
              <w:pBdr>
                <w:bottom w:val="doub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229,617</w:t>
            </w:r>
          </w:p>
        </w:tc>
      </w:tr>
      <w:tr w:rsidRPr="009C48DA" w:rsidR="00661519" w:rsidTr="00661519" w14:paraId="1581240B" w14:textId="77777777">
        <w:trPr>
          <w:trHeight w:val="567"/>
        </w:trPr>
        <w:tc>
          <w:tcPr>
            <w:tcW w:w="1418" w:type="dxa"/>
            <w:vAlign w:val="bottom"/>
          </w:tcPr>
          <w:p w:rsidRPr="009C48DA" w:rsidR="00661519" w:rsidP="00661519" w:rsidRDefault="00661519" w14:paraId="62124EA6" w14:textId="77777777">
            <w:pPr>
              <w:textAlignment w:val="baseline"/>
              <w:rPr>
                <w:rFonts w:eastAsia="Times New Roman" w:cs="Times New Roman"/>
                <w:color w:val="000000"/>
                <w:sz w:val="16"/>
                <w:szCs w:val="16"/>
                <w:lang w:val="en-GB"/>
              </w:rPr>
            </w:pPr>
          </w:p>
        </w:tc>
        <w:tc>
          <w:tcPr>
            <w:tcW w:w="1276" w:type="dxa"/>
            <w:vAlign w:val="bottom"/>
          </w:tcPr>
          <w:p w:rsidRPr="009C48DA" w:rsidR="00661519" w:rsidP="00661519" w:rsidRDefault="00661519" w14:paraId="73602B57" w14:textId="77777777">
            <w:pPr>
              <w:ind w:right="87"/>
              <w:jc w:val="right"/>
              <w:textAlignment w:val="baseline"/>
              <w:rPr>
                <w:rFonts w:eastAsia="Times New Roman" w:cs="Times New Roman"/>
                <w:color w:val="000000"/>
                <w:sz w:val="16"/>
                <w:szCs w:val="16"/>
                <w:lang w:val="en-GB"/>
              </w:rPr>
            </w:pPr>
          </w:p>
        </w:tc>
        <w:tc>
          <w:tcPr>
            <w:tcW w:w="1275" w:type="dxa"/>
            <w:vAlign w:val="bottom"/>
          </w:tcPr>
          <w:p w:rsidRPr="009C48DA" w:rsidR="00661519" w:rsidP="00661519" w:rsidRDefault="00661519" w14:paraId="4B6B9E2B" w14:textId="77777777">
            <w:pPr>
              <w:ind w:right="87"/>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7A9FB14F" w14:textId="77777777">
            <w:pPr>
              <w:ind w:right="87"/>
              <w:jc w:val="right"/>
              <w:textAlignment w:val="baseline"/>
              <w:rPr>
                <w:rFonts w:eastAsia="Times New Roman" w:cs="Times New Roman"/>
                <w:color w:val="000000"/>
                <w:sz w:val="16"/>
                <w:szCs w:val="16"/>
                <w:lang w:val="en-GB"/>
              </w:rPr>
            </w:pPr>
          </w:p>
        </w:tc>
        <w:tc>
          <w:tcPr>
            <w:tcW w:w="1389" w:type="dxa"/>
            <w:vAlign w:val="bottom"/>
          </w:tcPr>
          <w:p w:rsidRPr="009C48DA" w:rsidR="00661519" w:rsidP="00661519" w:rsidRDefault="00661519" w14:paraId="5B620DCC" w14:textId="77777777">
            <w:pPr>
              <w:ind w:right="87"/>
              <w:jc w:val="right"/>
              <w:textAlignment w:val="baseline"/>
              <w:rPr>
                <w:rFonts w:eastAsia="Times New Roman" w:cs="Times New Roman"/>
                <w:color w:val="000000"/>
                <w:sz w:val="16"/>
                <w:szCs w:val="16"/>
                <w:lang w:val="en-GB"/>
              </w:rPr>
            </w:pPr>
          </w:p>
        </w:tc>
        <w:tc>
          <w:tcPr>
            <w:tcW w:w="1163" w:type="dxa"/>
            <w:vAlign w:val="bottom"/>
          </w:tcPr>
          <w:p w:rsidRPr="009C48DA" w:rsidR="00661519" w:rsidP="00661519" w:rsidRDefault="00661519" w14:paraId="5BB82CBD" w14:textId="77777777">
            <w:pPr>
              <w:ind w:right="87"/>
              <w:jc w:val="right"/>
              <w:textAlignment w:val="baseline"/>
              <w:rPr>
                <w:rFonts w:eastAsia="Times New Roman" w:cs="Times New Roman"/>
                <w:color w:val="000000"/>
                <w:sz w:val="16"/>
                <w:szCs w:val="16"/>
                <w:lang w:val="en-GB"/>
              </w:rPr>
            </w:pPr>
          </w:p>
        </w:tc>
        <w:tc>
          <w:tcPr>
            <w:tcW w:w="992" w:type="dxa"/>
            <w:vAlign w:val="bottom"/>
          </w:tcPr>
          <w:p w:rsidRPr="009C48DA" w:rsidR="00661519" w:rsidP="00661519" w:rsidRDefault="00661519" w14:paraId="43994280" w14:textId="77777777">
            <w:pPr>
              <w:ind w:right="87"/>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6998FB4B" w14:textId="77777777">
            <w:pPr>
              <w:ind w:right="87"/>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2CED616F" w14:textId="77777777">
            <w:pPr>
              <w:ind w:right="87"/>
              <w:jc w:val="right"/>
              <w:textAlignment w:val="baseline"/>
              <w:rPr>
                <w:rFonts w:eastAsia="Times New Roman" w:cs="Times New Roman"/>
                <w:color w:val="000000"/>
                <w:sz w:val="16"/>
                <w:szCs w:val="16"/>
                <w:lang w:val="en-GB"/>
              </w:rPr>
            </w:pPr>
          </w:p>
        </w:tc>
        <w:tc>
          <w:tcPr>
            <w:tcW w:w="1318" w:type="dxa"/>
            <w:vAlign w:val="bottom"/>
          </w:tcPr>
          <w:p w:rsidRPr="009C48DA" w:rsidR="00661519" w:rsidP="00661519" w:rsidRDefault="00661519" w14:paraId="29BFBC76" w14:textId="77777777">
            <w:pPr>
              <w:ind w:right="87"/>
              <w:jc w:val="right"/>
              <w:textAlignment w:val="baseline"/>
              <w:rPr>
                <w:rFonts w:eastAsia="Times New Roman" w:cs="Times New Roman"/>
                <w:color w:val="000000"/>
                <w:sz w:val="16"/>
                <w:szCs w:val="16"/>
                <w:lang w:val="en-GB"/>
              </w:rPr>
            </w:pPr>
          </w:p>
        </w:tc>
        <w:tc>
          <w:tcPr>
            <w:tcW w:w="1234" w:type="dxa"/>
            <w:vAlign w:val="bottom"/>
          </w:tcPr>
          <w:p w:rsidRPr="009C48DA" w:rsidR="00661519" w:rsidP="00661519" w:rsidRDefault="00661519" w14:paraId="3BADCC3D" w14:textId="77777777">
            <w:pPr>
              <w:ind w:right="87"/>
              <w:jc w:val="right"/>
              <w:textAlignment w:val="baseline"/>
              <w:rPr>
                <w:rFonts w:eastAsia="Times New Roman" w:cs="Times New Roman"/>
                <w:color w:val="000000"/>
                <w:sz w:val="16"/>
                <w:szCs w:val="16"/>
                <w:lang w:val="en-GB"/>
              </w:rPr>
            </w:pPr>
          </w:p>
        </w:tc>
      </w:tr>
      <w:tr w:rsidRPr="009C48DA" w:rsidR="00661519" w:rsidTr="00661519" w14:paraId="12C6F677" w14:textId="77777777">
        <w:tc>
          <w:tcPr>
            <w:tcW w:w="1418" w:type="dxa"/>
            <w:vAlign w:val="bottom"/>
          </w:tcPr>
          <w:p w:rsidRPr="009C48DA" w:rsidR="00661519" w:rsidP="00661519" w:rsidRDefault="00661519" w14:paraId="16507258" w14:textId="77777777">
            <w:pP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31 December 2019</w:t>
            </w:r>
          </w:p>
        </w:tc>
        <w:tc>
          <w:tcPr>
            <w:tcW w:w="1276" w:type="dxa"/>
            <w:vAlign w:val="bottom"/>
          </w:tcPr>
          <w:p w:rsidRPr="009C48DA" w:rsidR="00661519" w:rsidP="00661519" w:rsidRDefault="00661519" w14:paraId="273F6439" w14:textId="77777777">
            <w:pPr>
              <w:ind w:right="87"/>
              <w:jc w:val="right"/>
              <w:textAlignment w:val="baseline"/>
              <w:rPr>
                <w:rFonts w:eastAsia="Times New Roman" w:cs="Times New Roman"/>
                <w:color w:val="000000"/>
                <w:sz w:val="16"/>
                <w:szCs w:val="16"/>
                <w:lang w:val="en-GB"/>
              </w:rPr>
            </w:pPr>
          </w:p>
        </w:tc>
        <w:tc>
          <w:tcPr>
            <w:tcW w:w="1275" w:type="dxa"/>
            <w:vAlign w:val="bottom"/>
          </w:tcPr>
          <w:p w:rsidRPr="009C48DA" w:rsidR="00661519" w:rsidP="00661519" w:rsidRDefault="00661519" w14:paraId="45F4B8C5" w14:textId="77777777">
            <w:pPr>
              <w:ind w:right="87"/>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58614424" w14:textId="77777777">
            <w:pPr>
              <w:ind w:right="87"/>
              <w:jc w:val="right"/>
              <w:textAlignment w:val="baseline"/>
              <w:rPr>
                <w:rFonts w:eastAsia="Times New Roman" w:cs="Times New Roman"/>
                <w:color w:val="000000"/>
                <w:sz w:val="16"/>
                <w:szCs w:val="16"/>
                <w:lang w:val="en-GB"/>
              </w:rPr>
            </w:pPr>
          </w:p>
        </w:tc>
        <w:tc>
          <w:tcPr>
            <w:tcW w:w="1389" w:type="dxa"/>
            <w:vAlign w:val="bottom"/>
          </w:tcPr>
          <w:p w:rsidRPr="009C48DA" w:rsidR="00661519" w:rsidP="00661519" w:rsidRDefault="00661519" w14:paraId="26800C78" w14:textId="77777777">
            <w:pPr>
              <w:ind w:right="87"/>
              <w:jc w:val="right"/>
              <w:textAlignment w:val="baseline"/>
              <w:rPr>
                <w:rFonts w:eastAsia="Times New Roman" w:cs="Times New Roman"/>
                <w:color w:val="000000"/>
                <w:sz w:val="16"/>
                <w:szCs w:val="16"/>
                <w:lang w:val="en-GB"/>
              </w:rPr>
            </w:pPr>
          </w:p>
        </w:tc>
        <w:tc>
          <w:tcPr>
            <w:tcW w:w="1163" w:type="dxa"/>
            <w:vAlign w:val="bottom"/>
          </w:tcPr>
          <w:p w:rsidRPr="009C48DA" w:rsidR="00661519" w:rsidP="00661519" w:rsidRDefault="00661519" w14:paraId="196B26F2" w14:textId="77777777">
            <w:pPr>
              <w:ind w:right="87"/>
              <w:jc w:val="right"/>
              <w:textAlignment w:val="baseline"/>
              <w:rPr>
                <w:rFonts w:eastAsia="Times New Roman" w:cs="Times New Roman"/>
                <w:color w:val="000000"/>
                <w:sz w:val="16"/>
                <w:szCs w:val="16"/>
                <w:lang w:val="en-GB"/>
              </w:rPr>
            </w:pPr>
          </w:p>
        </w:tc>
        <w:tc>
          <w:tcPr>
            <w:tcW w:w="992" w:type="dxa"/>
            <w:vAlign w:val="bottom"/>
          </w:tcPr>
          <w:p w:rsidRPr="009C48DA" w:rsidR="00661519" w:rsidP="00661519" w:rsidRDefault="00661519" w14:paraId="3EC1D31A" w14:textId="77777777">
            <w:pPr>
              <w:ind w:right="87"/>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2CCC6756" w14:textId="77777777">
            <w:pPr>
              <w:ind w:right="87"/>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38A50E62" w14:textId="77777777">
            <w:pPr>
              <w:ind w:right="87"/>
              <w:jc w:val="right"/>
              <w:textAlignment w:val="baseline"/>
              <w:rPr>
                <w:rFonts w:eastAsia="Times New Roman" w:cs="Times New Roman"/>
                <w:color w:val="000000"/>
                <w:sz w:val="16"/>
                <w:szCs w:val="16"/>
                <w:lang w:val="en-GB"/>
              </w:rPr>
            </w:pPr>
          </w:p>
        </w:tc>
        <w:tc>
          <w:tcPr>
            <w:tcW w:w="1318" w:type="dxa"/>
            <w:vAlign w:val="bottom"/>
          </w:tcPr>
          <w:p w:rsidRPr="009C48DA" w:rsidR="00661519" w:rsidP="00661519" w:rsidRDefault="00661519" w14:paraId="2F258BA9" w14:textId="77777777">
            <w:pPr>
              <w:ind w:right="87"/>
              <w:jc w:val="right"/>
              <w:textAlignment w:val="baseline"/>
              <w:rPr>
                <w:rFonts w:eastAsia="Times New Roman" w:cs="Times New Roman"/>
                <w:color w:val="000000"/>
                <w:sz w:val="16"/>
                <w:szCs w:val="16"/>
                <w:lang w:val="en-GB"/>
              </w:rPr>
            </w:pPr>
          </w:p>
        </w:tc>
        <w:tc>
          <w:tcPr>
            <w:tcW w:w="1234" w:type="dxa"/>
            <w:vAlign w:val="bottom"/>
          </w:tcPr>
          <w:p w:rsidRPr="009C48DA" w:rsidR="00661519" w:rsidP="00661519" w:rsidRDefault="00661519" w14:paraId="4E6BA5DD" w14:textId="77777777">
            <w:pPr>
              <w:ind w:right="87"/>
              <w:jc w:val="right"/>
              <w:textAlignment w:val="baseline"/>
              <w:rPr>
                <w:rFonts w:eastAsia="Times New Roman" w:cs="Times New Roman"/>
                <w:color w:val="000000"/>
                <w:sz w:val="16"/>
                <w:szCs w:val="16"/>
                <w:lang w:val="en-GB"/>
              </w:rPr>
            </w:pPr>
          </w:p>
        </w:tc>
      </w:tr>
      <w:tr w:rsidRPr="009C48DA" w:rsidR="00661519" w:rsidTr="00661519" w14:paraId="147EB758" w14:textId="77777777">
        <w:tc>
          <w:tcPr>
            <w:tcW w:w="1418" w:type="dxa"/>
            <w:vAlign w:val="bottom"/>
          </w:tcPr>
          <w:p w:rsidRPr="009C48DA" w:rsidR="00661519" w:rsidP="00661519" w:rsidRDefault="00661519" w14:paraId="75E9EB46"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Private equity funds </w:t>
            </w:r>
          </w:p>
        </w:tc>
        <w:tc>
          <w:tcPr>
            <w:tcW w:w="1276" w:type="dxa"/>
            <w:vAlign w:val="bottom"/>
          </w:tcPr>
          <w:p w:rsidRPr="009C48DA" w:rsidR="00661519" w:rsidP="00661519" w:rsidRDefault="00661519" w14:paraId="29F3D78A"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157,475</w:t>
            </w:r>
          </w:p>
        </w:tc>
        <w:tc>
          <w:tcPr>
            <w:tcW w:w="1275" w:type="dxa"/>
            <w:vAlign w:val="bottom"/>
          </w:tcPr>
          <w:p w:rsidRPr="009C48DA" w:rsidR="00661519" w:rsidP="00661519" w:rsidRDefault="00661519" w14:paraId="0AA08D65"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w:t>
            </w:r>
          </w:p>
        </w:tc>
        <w:tc>
          <w:tcPr>
            <w:tcW w:w="1134" w:type="dxa"/>
            <w:vAlign w:val="bottom"/>
          </w:tcPr>
          <w:p w:rsidRPr="009C48DA" w:rsidR="00661519" w:rsidP="00661519" w:rsidRDefault="00661519" w14:paraId="4C5D2160"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21,171,785</w:t>
            </w:r>
          </w:p>
        </w:tc>
        <w:tc>
          <w:tcPr>
            <w:tcW w:w="1389" w:type="dxa"/>
            <w:vAlign w:val="bottom"/>
          </w:tcPr>
          <w:p w:rsidRPr="009C48DA" w:rsidR="00661519" w:rsidP="00661519" w:rsidRDefault="00661519" w14:paraId="2BD636DE"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9,512,676</w:t>
            </w:r>
          </w:p>
        </w:tc>
        <w:tc>
          <w:tcPr>
            <w:tcW w:w="1163" w:type="dxa"/>
            <w:vAlign w:val="bottom"/>
          </w:tcPr>
          <w:p w:rsidRPr="009C48DA" w:rsidR="00661519" w:rsidP="00661519" w:rsidRDefault="00661519" w14:paraId="5403B811"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140,493</w:t>
            </w:r>
          </w:p>
        </w:tc>
        <w:tc>
          <w:tcPr>
            <w:tcW w:w="992" w:type="dxa"/>
            <w:vAlign w:val="bottom"/>
          </w:tcPr>
          <w:p w:rsidRPr="009C48DA" w:rsidR="00661519" w:rsidP="00661519" w:rsidRDefault="00661519" w14:paraId="2DB940B7"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0.75-2.00%</w:t>
            </w:r>
          </w:p>
        </w:tc>
        <w:tc>
          <w:tcPr>
            <w:tcW w:w="1559" w:type="dxa"/>
            <w:vAlign w:val="bottom"/>
          </w:tcPr>
          <w:p w:rsidRPr="009C48DA" w:rsidR="00661519" w:rsidP="00661519" w:rsidRDefault="00661519" w14:paraId="36F46C78"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Generally up to 20% of profits over threshold</w:t>
            </w:r>
          </w:p>
        </w:tc>
        <w:tc>
          <w:tcPr>
            <w:tcW w:w="1134" w:type="dxa"/>
            <w:vAlign w:val="bottom"/>
          </w:tcPr>
          <w:p w:rsidRPr="009C48DA" w:rsidR="00661519" w:rsidP="00661519" w:rsidRDefault="00661519" w14:paraId="59F21614"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Up to 35%</w:t>
            </w:r>
          </w:p>
        </w:tc>
        <w:tc>
          <w:tcPr>
            <w:tcW w:w="1318" w:type="dxa"/>
            <w:vAlign w:val="bottom"/>
          </w:tcPr>
          <w:p w:rsidRPr="009C48DA" w:rsidR="00661519" w:rsidP="00661519" w:rsidRDefault="00661519" w14:paraId="3745D8FB"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13,002</w:t>
            </w:r>
          </w:p>
        </w:tc>
        <w:tc>
          <w:tcPr>
            <w:tcW w:w="1234" w:type="dxa"/>
            <w:vAlign w:val="bottom"/>
          </w:tcPr>
          <w:p w:rsidRPr="009C48DA" w:rsidR="00661519" w:rsidP="00661519" w:rsidRDefault="00661519" w14:paraId="0DA1D540"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170,447</w:t>
            </w:r>
          </w:p>
        </w:tc>
      </w:tr>
      <w:tr w:rsidRPr="009C48DA" w:rsidR="00661519" w:rsidTr="00661519" w14:paraId="5AFA3DDD" w14:textId="77777777">
        <w:tc>
          <w:tcPr>
            <w:tcW w:w="1418" w:type="dxa"/>
            <w:vAlign w:val="bottom"/>
          </w:tcPr>
          <w:p w:rsidRPr="009C48DA" w:rsidR="00661519" w:rsidP="00661519" w:rsidRDefault="00661519" w14:paraId="5C4C5C32"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Credit funds</w:t>
            </w:r>
          </w:p>
        </w:tc>
        <w:tc>
          <w:tcPr>
            <w:tcW w:w="1276" w:type="dxa"/>
            <w:vAlign w:val="bottom"/>
          </w:tcPr>
          <w:p w:rsidRPr="009C48DA" w:rsidR="00661519" w:rsidP="00661519" w:rsidRDefault="00661519" w14:paraId="7879D0F6" w14:textId="77777777">
            <w:pPr>
              <w:pBdr>
                <w:bottom w:val="sing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48,604</w:t>
            </w:r>
          </w:p>
        </w:tc>
        <w:tc>
          <w:tcPr>
            <w:tcW w:w="1275" w:type="dxa"/>
            <w:vAlign w:val="bottom"/>
          </w:tcPr>
          <w:p w:rsidRPr="009C48DA" w:rsidR="00661519" w:rsidP="00661519" w:rsidRDefault="00661519" w14:paraId="745275A9"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w:t>
            </w:r>
          </w:p>
        </w:tc>
        <w:tc>
          <w:tcPr>
            <w:tcW w:w="1134" w:type="dxa"/>
            <w:vAlign w:val="bottom"/>
          </w:tcPr>
          <w:p w:rsidRPr="009C48DA" w:rsidR="00661519" w:rsidP="00661519" w:rsidRDefault="00661519" w14:paraId="1A78BDD2" w14:textId="77777777">
            <w:pPr>
              <w:pBdr>
                <w:bottom w:val="sing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260,276</w:t>
            </w:r>
          </w:p>
        </w:tc>
        <w:tc>
          <w:tcPr>
            <w:tcW w:w="1389" w:type="dxa"/>
            <w:vAlign w:val="bottom"/>
          </w:tcPr>
          <w:p w:rsidRPr="009C48DA" w:rsidR="00661519" w:rsidP="00661519" w:rsidRDefault="00661519" w14:paraId="2516EAA5" w14:textId="77777777">
            <w:pPr>
              <w:pBdr>
                <w:bottom w:val="sing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100,121</w:t>
            </w:r>
          </w:p>
        </w:tc>
        <w:tc>
          <w:tcPr>
            <w:tcW w:w="1163" w:type="dxa"/>
            <w:vAlign w:val="bottom"/>
          </w:tcPr>
          <w:p w:rsidRPr="009C48DA" w:rsidR="00661519" w:rsidP="00661519" w:rsidRDefault="00661519" w14:paraId="7B348F1C" w14:textId="77777777">
            <w:pPr>
              <w:pBdr>
                <w:bottom w:val="sing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1,369</w:t>
            </w:r>
          </w:p>
        </w:tc>
        <w:tc>
          <w:tcPr>
            <w:tcW w:w="992" w:type="dxa"/>
            <w:vAlign w:val="bottom"/>
          </w:tcPr>
          <w:p w:rsidRPr="009C48DA" w:rsidR="00661519" w:rsidP="00661519" w:rsidRDefault="00661519" w14:paraId="2A6316D7"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1.00-1.75%</w:t>
            </w:r>
          </w:p>
        </w:tc>
        <w:tc>
          <w:tcPr>
            <w:tcW w:w="1559" w:type="dxa"/>
            <w:vAlign w:val="bottom"/>
          </w:tcPr>
          <w:p w:rsidRPr="009C48DA" w:rsidR="00661519" w:rsidP="00661519" w:rsidRDefault="00661519" w14:paraId="366FFEB6"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Generally up to 20% of profits over threshold</w:t>
            </w:r>
          </w:p>
        </w:tc>
        <w:tc>
          <w:tcPr>
            <w:tcW w:w="1134" w:type="dxa"/>
            <w:vAlign w:val="bottom"/>
          </w:tcPr>
          <w:p w:rsidRPr="009C48DA" w:rsidR="00661519" w:rsidP="00661519" w:rsidRDefault="00661519" w14:paraId="018B6656"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Up to 35%</w:t>
            </w:r>
          </w:p>
        </w:tc>
        <w:tc>
          <w:tcPr>
            <w:tcW w:w="1318" w:type="dxa"/>
            <w:vAlign w:val="bottom"/>
          </w:tcPr>
          <w:p w:rsidRPr="009C48DA" w:rsidR="00661519" w:rsidP="00661519" w:rsidRDefault="00661519" w14:paraId="5BE19907" w14:textId="77777777">
            <w:pPr>
              <w:pBdr>
                <w:bottom w:val="sing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234" w:type="dxa"/>
            <w:vAlign w:val="bottom"/>
          </w:tcPr>
          <w:p w:rsidRPr="009C48DA" w:rsidR="00661519" w:rsidP="00661519" w:rsidRDefault="00661519" w14:paraId="78B88CB0" w14:textId="77777777">
            <w:pPr>
              <w:pBdr>
                <w:bottom w:val="sing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48,604</w:t>
            </w:r>
          </w:p>
        </w:tc>
      </w:tr>
      <w:tr w:rsidRPr="009C48DA" w:rsidR="00661519" w:rsidTr="00661519" w14:paraId="6D41279B" w14:textId="77777777">
        <w:tc>
          <w:tcPr>
            <w:tcW w:w="1418" w:type="dxa"/>
            <w:vAlign w:val="bottom"/>
          </w:tcPr>
          <w:p w:rsidRPr="009C48DA" w:rsidR="00661519" w:rsidP="00661519" w:rsidRDefault="00661519" w14:paraId="4D241FED" w14:textId="77777777">
            <w:pPr>
              <w:textAlignment w:val="baseline"/>
              <w:rPr>
                <w:rFonts w:eastAsia="Times New Roman" w:cs="Times New Roman"/>
                <w:color w:val="000000"/>
                <w:sz w:val="16"/>
                <w:szCs w:val="16"/>
                <w:lang w:val="en-GB"/>
              </w:rPr>
            </w:pPr>
          </w:p>
        </w:tc>
        <w:tc>
          <w:tcPr>
            <w:tcW w:w="1276" w:type="dxa"/>
            <w:vAlign w:val="bottom"/>
          </w:tcPr>
          <w:p w:rsidRPr="009C48DA" w:rsidR="00661519" w:rsidP="00661519" w:rsidRDefault="00661519" w14:paraId="7DE99C5D" w14:textId="77777777">
            <w:pPr>
              <w:pBdr>
                <w:bottom w:val="doub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206,079</w:t>
            </w:r>
          </w:p>
        </w:tc>
        <w:tc>
          <w:tcPr>
            <w:tcW w:w="1275" w:type="dxa"/>
            <w:vAlign w:val="bottom"/>
          </w:tcPr>
          <w:p w:rsidRPr="009C48DA" w:rsidR="00661519" w:rsidP="00661519" w:rsidRDefault="00661519" w14:paraId="062090C1" w14:textId="77777777">
            <w:pPr>
              <w:ind w:right="87"/>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2A5DDE0F" w14:textId="77777777">
            <w:pPr>
              <w:pBdr>
                <w:bottom w:val="doub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21,432,061</w:t>
            </w:r>
          </w:p>
        </w:tc>
        <w:tc>
          <w:tcPr>
            <w:tcW w:w="1389" w:type="dxa"/>
            <w:vAlign w:val="bottom"/>
          </w:tcPr>
          <w:p w:rsidRPr="009C48DA" w:rsidR="00661519" w:rsidP="00661519" w:rsidRDefault="00661519" w14:paraId="6E1CA3C9" w14:textId="77777777">
            <w:pPr>
              <w:pBdr>
                <w:bottom w:val="doub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9,612,797</w:t>
            </w:r>
          </w:p>
        </w:tc>
        <w:tc>
          <w:tcPr>
            <w:tcW w:w="1163" w:type="dxa"/>
            <w:vAlign w:val="bottom"/>
          </w:tcPr>
          <w:p w:rsidRPr="009C48DA" w:rsidR="00661519" w:rsidP="00661519" w:rsidRDefault="00661519" w14:paraId="5BC45B04" w14:textId="77777777">
            <w:pPr>
              <w:pBdr>
                <w:bottom w:val="doub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141,862</w:t>
            </w:r>
          </w:p>
        </w:tc>
        <w:tc>
          <w:tcPr>
            <w:tcW w:w="992" w:type="dxa"/>
            <w:vAlign w:val="bottom"/>
          </w:tcPr>
          <w:p w:rsidRPr="009C48DA" w:rsidR="00661519" w:rsidP="00661519" w:rsidRDefault="00661519" w14:paraId="16E4922E" w14:textId="77777777">
            <w:pPr>
              <w:ind w:right="87"/>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59C8AD80" w14:textId="77777777">
            <w:pPr>
              <w:ind w:right="87"/>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02B4E996" w14:textId="77777777">
            <w:pPr>
              <w:ind w:right="87"/>
              <w:jc w:val="right"/>
              <w:textAlignment w:val="baseline"/>
              <w:rPr>
                <w:rFonts w:eastAsia="Times New Roman" w:cs="Times New Roman"/>
                <w:color w:val="000000"/>
                <w:sz w:val="16"/>
                <w:szCs w:val="16"/>
                <w:lang w:val="en-GB"/>
              </w:rPr>
            </w:pPr>
          </w:p>
        </w:tc>
        <w:tc>
          <w:tcPr>
            <w:tcW w:w="1318" w:type="dxa"/>
            <w:vAlign w:val="bottom"/>
          </w:tcPr>
          <w:p w:rsidRPr="009C48DA" w:rsidR="00661519" w:rsidP="00661519" w:rsidRDefault="00661519" w14:paraId="7171CA0C" w14:textId="77777777">
            <w:pPr>
              <w:pBdr>
                <w:bottom w:val="doub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13,002</w:t>
            </w:r>
          </w:p>
        </w:tc>
        <w:tc>
          <w:tcPr>
            <w:tcW w:w="1234" w:type="dxa"/>
            <w:vAlign w:val="bottom"/>
          </w:tcPr>
          <w:p w:rsidRPr="009C48DA" w:rsidR="00661519" w:rsidP="00661519" w:rsidRDefault="00661519" w14:paraId="35613529" w14:textId="77777777">
            <w:pPr>
              <w:pBdr>
                <w:bottom w:val="doub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219,081</w:t>
            </w:r>
          </w:p>
        </w:tc>
      </w:tr>
      <w:tr w:rsidRPr="009C48DA" w:rsidR="00661519" w:rsidTr="00661519" w14:paraId="3E44209B" w14:textId="77777777">
        <w:trPr>
          <w:trHeight w:val="930"/>
        </w:trPr>
        <w:tc>
          <w:tcPr>
            <w:tcW w:w="1418" w:type="dxa"/>
            <w:vAlign w:val="bottom"/>
          </w:tcPr>
          <w:p w:rsidRPr="009C48DA" w:rsidR="00661519" w:rsidP="00661519" w:rsidRDefault="00661519" w14:paraId="77994A9C" w14:textId="77777777">
            <w:pPr>
              <w:textAlignment w:val="baseline"/>
              <w:rPr>
                <w:rFonts w:eastAsia="Times New Roman" w:cs="Times New Roman"/>
                <w:color w:val="000000"/>
                <w:sz w:val="16"/>
                <w:szCs w:val="16"/>
                <w:lang w:val="en-GB"/>
              </w:rPr>
            </w:pPr>
          </w:p>
        </w:tc>
        <w:tc>
          <w:tcPr>
            <w:tcW w:w="1276" w:type="dxa"/>
            <w:vAlign w:val="bottom"/>
          </w:tcPr>
          <w:p w:rsidRPr="009C48DA" w:rsidR="00661519" w:rsidP="00661519" w:rsidRDefault="00661519" w14:paraId="4ED032B0" w14:textId="77777777">
            <w:pPr>
              <w:ind w:right="87"/>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Value of the Group’s co</w:t>
            </w:r>
            <w:r w:rsidRPr="009C48DA">
              <w:rPr>
                <w:rFonts w:eastAsia="Times New Roman" w:cs="Times New Roman"/>
                <w:b/>
                <w:color w:val="000000"/>
                <w:sz w:val="16"/>
                <w:szCs w:val="16"/>
                <w:lang w:val="en-GB"/>
              </w:rPr>
              <w:noBreakHyphen/>
              <w:t>investments at period-end</w:t>
            </w:r>
          </w:p>
          <w:p w:rsidRPr="009C48DA" w:rsidR="00661519" w:rsidP="00661519" w:rsidRDefault="00661519" w14:paraId="2435790F"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1275" w:type="dxa"/>
            <w:vAlign w:val="bottom"/>
          </w:tcPr>
          <w:p w:rsidRPr="009C48DA" w:rsidR="00661519" w:rsidP="00661519" w:rsidRDefault="00661519" w14:paraId="3271F63D" w14:textId="77777777">
            <w:pPr>
              <w:ind w:right="13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Typical Group commitment to the fund as </w:t>
            </w:r>
          </w:p>
          <w:p w:rsidRPr="009C48DA" w:rsidR="00661519" w:rsidP="00661519" w:rsidRDefault="00661519" w14:paraId="59004811" w14:textId="77777777">
            <w:pPr>
              <w:ind w:right="135"/>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w:t>
            </w:r>
          </w:p>
        </w:tc>
        <w:tc>
          <w:tcPr>
            <w:tcW w:w="1134" w:type="dxa"/>
            <w:vAlign w:val="bottom"/>
          </w:tcPr>
          <w:p w:rsidRPr="009C48DA" w:rsidR="00661519" w:rsidP="00661519" w:rsidRDefault="00661519" w14:paraId="7AD9A012" w14:textId="77777777">
            <w:pPr>
              <w:ind w:right="81"/>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investor commitments</w:t>
            </w:r>
          </w:p>
          <w:p w:rsidRPr="009C48DA" w:rsidR="00661519" w:rsidP="00661519" w:rsidRDefault="00661519" w14:paraId="09DEC1F6" w14:textId="77777777">
            <w:pPr>
              <w:ind w:right="81"/>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389" w:type="dxa"/>
            <w:vAlign w:val="bottom"/>
          </w:tcPr>
          <w:p w:rsidRPr="009C48DA" w:rsidR="00661519" w:rsidP="00661519" w:rsidRDefault="00661519" w14:paraId="41C3B1BD" w14:textId="77777777">
            <w:pPr>
              <w:ind w:right="12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Net asset </w:t>
            </w:r>
          </w:p>
          <w:p w:rsidRPr="009C48DA" w:rsidR="00661519" w:rsidP="00661519" w:rsidRDefault="00661519" w14:paraId="0B86826B" w14:textId="77777777">
            <w:pPr>
              <w:ind w:right="12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value of the funds at </w:t>
            </w:r>
          </w:p>
          <w:p w:rsidRPr="009C48DA" w:rsidR="00661519" w:rsidP="00661519" w:rsidRDefault="00661519" w14:paraId="424605C8" w14:textId="77777777">
            <w:pPr>
              <w:ind w:right="12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period-end</w:t>
            </w:r>
          </w:p>
          <w:p w:rsidRPr="009C48DA" w:rsidR="00661519" w:rsidP="00661519" w:rsidRDefault="00661519" w14:paraId="1358AB5E" w14:textId="77777777">
            <w:pPr>
              <w:ind w:right="125"/>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163" w:type="dxa"/>
            <w:vAlign w:val="bottom"/>
          </w:tcPr>
          <w:p w:rsidRPr="009C48DA" w:rsidR="00661519" w:rsidP="00661519" w:rsidRDefault="00661519" w14:paraId="4BB2E33B" w14:textId="77777777">
            <w:pPr>
              <w:ind w:right="14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Management fees received by the Group</w:t>
            </w:r>
          </w:p>
          <w:p w:rsidRPr="009C48DA" w:rsidR="00661519" w:rsidP="00661519" w:rsidRDefault="00661519" w14:paraId="28C41D1C" w14:textId="77777777">
            <w:pPr>
              <w:ind w:right="144"/>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c>
          <w:tcPr>
            <w:tcW w:w="992" w:type="dxa"/>
            <w:vAlign w:val="bottom"/>
          </w:tcPr>
          <w:p w:rsidRPr="009C48DA" w:rsidR="00661519" w:rsidP="00661519" w:rsidRDefault="00661519" w14:paraId="069D8A60" w14:textId="77777777">
            <w:pPr>
              <w:ind w:right="7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Typical management fee range</w:t>
            </w:r>
          </w:p>
          <w:p w:rsidRPr="009C48DA" w:rsidR="00661519" w:rsidP="00661519" w:rsidRDefault="00661519" w14:paraId="64D23820" w14:textId="77777777">
            <w:pPr>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bottom"/>
          </w:tcPr>
          <w:p w:rsidRPr="009C48DA" w:rsidR="00661519" w:rsidP="00661519" w:rsidRDefault="00661519" w14:paraId="6FC006C1"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Carried interest rate</w:t>
            </w:r>
          </w:p>
          <w:p w:rsidRPr="009C48DA" w:rsidR="00661519" w:rsidP="00661519" w:rsidRDefault="00661519" w14:paraId="34CFFFDE"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w:t>
            </w:r>
          </w:p>
        </w:tc>
        <w:tc>
          <w:tcPr>
            <w:tcW w:w="1134" w:type="dxa"/>
            <w:vAlign w:val="bottom"/>
          </w:tcPr>
          <w:p w:rsidRPr="009C48DA" w:rsidR="00661519" w:rsidP="00661519" w:rsidRDefault="00661519" w14:paraId="2A97B4E7"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Group share of carried interest</w:t>
            </w:r>
          </w:p>
          <w:p w:rsidRPr="009C48DA" w:rsidR="00661519" w:rsidP="00661519" w:rsidRDefault="00661519" w14:paraId="1903BFD0"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w:t>
            </w:r>
          </w:p>
        </w:tc>
        <w:tc>
          <w:tcPr>
            <w:tcW w:w="1318" w:type="dxa"/>
            <w:vAlign w:val="bottom"/>
          </w:tcPr>
          <w:p w:rsidRPr="009C48DA" w:rsidR="00661519" w:rsidP="00661519" w:rsidRDefault="00661519" w14:paraId="3FE24363"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Group </w:t>
            </w:r>
          </w:p>
          <w:p w:rsidRPr="009C48DA" w:rsidR="00661519" w:rsidP="00661519" w:rsidRDefault="00661519" w14:paraId="664008FA"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accrued </w:t>
            </w:r>
          </w:p>
          <w:p w:rsidRPr="009C48DA" w:rsidR="00661519" w:rsidP="00661519" w:rsidRDefault="00661519" w14:paraId="41A53AC2"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carried </w:t>
            </w:r>
          </w:p>
          <w:p w:rsidRPr="009C48DA" w:rsidR="00661519" w:rsidP="00661519" w:rsidRDefault="00661519" w14:paraId="7ACBF971"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interest receivables at period-end</w:t>
            </w:r>
          </w:p>
          <w:p w:rsidRPr="009C48DA" w:rsidR="00661519" w:rsidP="00661519" w:rsidRDefault="00661519" w14:paraId="7E2D6380" w14:textId="77777777">
            <w:pPr>
              <w:ind w:right="11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234" w:type="dxa"/>
            <w:vAlign w:val="bottom"/>
          </w:tcPr>
          <w:p w:rsidRPr="009C48DA" w:rsidR="00661519" w:rsidP="00661519" w:rsidRDefault="00661519" w14:paraId="2E4F24A8" w14:textId="77777777">
            <w:pPr>
              <w:ind w:right="203"/>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Group maximum exposure to loss at period-end</w:t>
            </w:r>
          </w:p>
          <w:p w:rsidRPr="009C48DA" w:rsidR="00661519" w:rsidP="00661519" w:rsidRDefault="00661519" w14:paraId="2D3DFDF3" w14:textId="77777777">
            <w:pPr>
              <w:ind w:right="203"/>
              <w:jc w:val="right"/>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44555E02" w14:textId="77777777">
        <w:tc>
          <w:tcPr>
            <w:tcW w:w="1418" w:type="dxa"/>
            <w:vAlign w:val="bottom"/>
          </w:tcPr>
          <w:p w:rsidRPr="009C48DA" w:rsidR="00661519" w:rsidP="00661519" w:rsidRDefault="00661519" w14:paraId="56A39F2B"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31 December 2020</w:t>
            </w:r>
          </w:p>
        </w:tc>
        <w:tc>
          <w:tcPr>
            <w:tcW w:w="1276" w:type="dxa"/>
            <w:vAlign w:val="bottom"/>
          </w:tcPr>
          <w:p w:rsidRPr="009C48DA" w:rsidR="00661519" w:rsidP="00661519" w:rsidRDefault="00661519" w14:paraId="5E1E0BB0" w14:textId="77777777">
            <w:pPr>
              <w:ind w:right="87"/>
              <w:jc w:val="right"/>
              <w:textAlignment w:val="baseline"/>
              <w:rPr>
                <w:rFonts w:eastAsia="Times New Roman" w:cs="Times New Roman"/>
                <w:color w:val="000000"/>
                <w:sz w:val="16"/>
                <w:szCs w:val="16"/>
                <w:lang w:val="en-GB"/>
              </w:rPr>
            </w:pPr>
          </w:p>
        </w:tc>
        <w:tc>
          <w:tcPr>
            <w:tcW w:w="1275" w:type="dxa"/>
            <w:vAlign w:val="bottom"/>
          </w:tcPr>
          <w:p w:rsidRPr="009C48DA" w:rsidR="00661519" w:rsidP="00661519" w:rsidRDefault="00661519" w14:paraId="41B33B53" w14:textId="77777777">
            <w:pPr>
              <w:ind w:right="135"/>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13F7B792" w14:textId="77777777">
            <w:pPr>
              <w:ind w:right="81"/>
              <w:jc w:val="right"/>
              <w:textAlignment w:val="baseline"/>
              <w:rPr>
                <w:rFonts w:eastAsia="Times New Roman" w:cs="Times New Roman"/>
                <w:color w:val="000000"/>
                <w:sz w:val="16"/>
                <w:szCs w:val="16"/>
                <w:lang w:val="en-GB"/>
              </w:rPr>
            </w:pPr>
          </w:p>
        </w:tc>
        <w:tc>
          <w:tcPr>
            <w:tcW w:w="1389" w:type="dxa"/>
            <w:vAlign w:val="bottom"/>
          </w:tcPr>
          <w:p w:rsidRPr="009C48DA" w:rsidR="00661519" w:rsidP="00661519" w:rsidRDefault="00661519" w14:paraId="214A1C68" w14:textId="77777777">
            <w:pPr>
              <w:ind w:right="125"/>
              <w:jc w:val="right"/>
              <w:textAlignment w:val="baseline"/>
              <w:rPr>
                <w:rFonts w:eastAsia="Times New Roman" w:cs="Times New Roman"/>
                <w:color w:val="000000"/>
                <w:sz w:val="16"/>
                <w:szCs w:val="16"/>
                <w:lang w:val="en-GB"/>
              </w:rPr>
            </w:pPr>
          </w:p>
        </w:tc>
        <w:tc>
          <w:tcPr>
            <w:tcW w:w="1163" w:type="dxa"/>
            <w:vAlign w:val="bottom"/>
          </w:tcPr>
          <w:p w:rsidRPr="009C48DA" w:rsidR="00661519" w:rsidP="00661519" w:rsidRDefault="00661519" w14:paraId="33307662" w14:textId="77777777">
            <w:pPr>
              <w:ind w:right="144"/>
              <w:jc w:val="right"/>
              <w:textAlignment w:val="baseline"/>
              <w:rPr>
                <w:rFonts w:eastAsia="Times New Roman" w:cs="Times New Roman"/>
                <w:color w:val="000000"/>
                <w:sz w:val="16"/>
                <w:szCs w:val="16"/>
                <w:lang w:val="en-GB"/>
              </w:rPr>
            </w:pPr>
          </w:p>
        </w:tc>
        <w:tc>
          <w:tcPr>
            <w:tcW w:w="992" w:type="dxa"/>
            <w:vAlign w:val="bottom"/>
          </w:tcPr>
          <w:p w:rsidRPr="009C48DA" w:rsidR="00661519" w:rsidP="00661519" w:rsidRDefault="00661519" w14:paraId="653A54B5" w14:textId="77777777">
            <w:pPr>
              <w:ind w:right="78"/>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09D08C0F" w14:textId="77777777">
            <w:pPr>
              <w:ind w:right="139"/>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2099C8EF" w14:textId="77777777">
            <w:pPr>
              <w:ind w:right="113"/>
              <w:jc w:val="right"/>
              <w:textAlignment w:val="baseline"/>
              <w:rPr>
                <w:rFonts w:eastAsia="Times New Roman" w:cs="Times New Roman"/>
                <w:color w:val="000000"/>
                <w:sz w:val="16"/>
                <w:szCs w:val="16"/>
                <w:lang w:val="en-GB"/>
              </w:rPr>
            </w:pPr>
          </w:p>
        </w:tc>
        <w:tc>
          <w:tcPr>
            <w:tcW w:w="1318" w:type="dxa"/>
            <w:vAlign w:val="bottom"/>
          </w:tcPr>
          <w:p w:rsidRPr="009C48DA" w:rsidR="00661519" w:rsidP="00661519" w:rsidRDefault="00661519" w14:paraId="46BE361E" w14:textId="77777777">
            <w:pPr>
              <w:ind w:right="113"/>
              <w:jc w:val="right"/>
              <w:textAlignment w:val="baseline"/>
              <w:rPr>
                <w:rFonts w:eastAsia="Times New Roman" w:cs="Times New Roman"/>
                <w:color w:val="000000"/>
                <w:sz w:val="16"/>
                <w:szCs w:val="16"/>
                <w:lang w:val="en-GB"/>
              </w:rPr>
            </w:pPr>
          </w:p>
        </w:tc>
        <w:tc>
          <w:tcPr>
            <w:tcW w:w="1234" w:type="dxa"/>
            <w:vAlign w:val="bottom"/>
          </w:tcPr>
          <w:p w:rsidRPr="009C48DA" w:rsidR="00661519" w:rsidP="00661519" w:rsidRDefault="00661519" w14:paraId="0A2EE6B5" w14:textId="77777777">
            <w:pPr>
              <w:ind w:right="203"/>
              <w:jc w:val="right"/>
              <w:textAlignment w:val="baseline"/>
              <w:rPr>
                <w:rFonts w:eastAsia="Times New Roman" w:cs="Times New Roman"/>
                <w:color w:val="000000"/>
                <w:sz w:val="16"/>
                <w:szCs w:val="16"/>
                <w:lang w:val="en-GB"/>
              </w:rPr>
            </w:pPr>
          </w:p>
        </w:tc>
      </w:tr>
      <w:tr w:rsidRPr="009C48DA" w:rsidR="00661519" w:rsidTr="00661519" w14:paraId="72866786" w14:textId="77777777">
        <w:tc>
          <w:tcPr>
            <w:tcW w:w="1418" w:type="dxa"/>
            <w:vAlign w:val="bottom"/>
          </w:tcPr>
          <w:p w:rsidRPr="009C48DA" w:rsidR="00661519" w:rsidP="00661519" w:rsidRDefault="00661519" w14:paraId="1A044BAB"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Private equity funds </w:t>
            </w:r>
          </w:p>
        </w:tc>
        <w:tc>
          <w:tcPr>
            <w:tcW w:w="1276" w:type="dxa"/>
            <w:vAlign w:val="bottom"/>
          </w:tcPr>
          <w:p w:rsidRPr="009C48DA" w:rsidR="00661519" w:rsidP="00661519" w:rsidRDefault="00661519" w14:paraId="31D7A9E7"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188,772</w:t>
            </w:r>
          </w:p>
        </w:tc>
        <w:tc>
          <w:tcPr>
            <w:tcW w:w="1275" w:type="dxa"/>
            <w:vAlign w:val="bottom"/>
          </w:tcPr>
          <w:p w:rsidRPr="009C48DA" w:rsidR="00661519" w:rsidP="00661519" w:rsidRDefault="00661519" w14:paraId="399DC109" w14:textId="77777777">
            <w:pPr>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&lt;2%</w:t>
            </w:r>
          </w:p>
        </w:tc>
        <w:tc>
          <w:tcPr>
            <w:tcW w:w="1134" w:type="dxa"/>
            <w:vAlign w:val="bottom"/>
          </w:tcPr>
          <w:p w:rsidRPr="009C48DA" w:rsidR="00661519" w:rsidP="00661519" w:rsidRDefault="00661519" w14:paraId="74033FFF" w14:textId="77777777">
            <w:pPr>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23,911,929</w:t>
            </w:r>
          </w:p>
        </w:tc>
        <w:tc>
          <w:tcPr>
            <w:tcW w:w="1389" w:type="dxa"/>
            <w:vAlign w:val="bottom"/>
          </w:tcPr>
          <w:p w:rsidRPr="009C48DA" w:rsidR="00661519" w:rsidP="00661519" w:rsidRDefault="00661519" w14:paraId="3BBB0FA6" w14:textId="77777777">
            <w:pPr>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11,385,751</w:t>
            </w:r>
          </w:p>
        </w:tc>
        <w:tc>
          <w:tcPr>
            <w:tcW w:w="1163" w:type="dxa"/>
            <w:vAlign w:val="bottom"/>
          </w:tcPr>
          <w:p w:rsidRPr="009C48DA" w:rsidR="00661519" w:rsidP="00661519" w:rsidRDefault="00661519" w14:paraId="12543072" w14:textId="77777777">
            <w:pPr>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136,578</w:t>
            </w:r>
          </w:p>
        </w:tc>
        <w:tc>
          <w:tcPr>
            <w:tcW w:w="992" w:type="dxa"/>
            <w:vAlign w:val="bottom"/>
          </w:tcPr>
          <w:p w:rsidRPr="009C48DA" w:rsidR="00661519" w:rsidP="00661519" w:rsidRDefault="00661519" w14:paraId="42D3306C" w14:textId="77777777">
            <w:pPr>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0.75-2.00%</w:t>
            </w:r>
          </w:p>
        </w:tc>
        <w:tc>
          <w:tcPr>
            <w:tcW w:w="1559" w:type="dxa"/>
            <w:vAlign w:val="bottom"/>
          </w:tcPr>
          <w:p w:rsidRPr="009C48DA" w:rsidR="00661519" w:rsidP="00661519" w:rsidRDefault="00661519" w14:paraId="3AF5831D"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Generally up to 20% of profits over threshold</w:t>
            </w:r>
          </w:p>
        </w:tc>
        <w:tc>
          <w:tcPr>
            <w:tcW w:w="1134" w:type="dxa"/>
            <w:vAlign w:val="bottom"/>
          </w:tcPr>
          <w:p w:rsidRPr="009C48DA" w:rsidR="00661519" w:rsidP="00661519" w:rsidRDefault="00661519" w14:paraId="77B3CE3E" w14:textId="77777777">
            <w:pPr>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Up to 35%</w:t>
            </w:r>
          </w:p>
        </w:tc>
        <w:tc>
          <w:tcPr>
            <w:tcW w:w="1318" w:type="dxa"/>
            <w:vAlign w:val="bottom"/>
          </w:tcPr>
          <w:p w:rsidRPr="009C48DA" w:rsidR="00661519" w:rsidP="00661519" w:rsidRDefault="00661519" w14:paraId="47FC1124" w14:textId="77777777">
            <w:pPr>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24,929</w:t>
            </w:r>
          </w:p>
        </w:tc>
        <w:tc>
          <w:tcPr>
            <w:tcW w:w="1234" w:type="dxa"/>
            <w:vAlign w:val="bottom"/>
          </w:tcPr>
          <w:p w:rsidRPr="009C48DA" w:rsidR="00661519" w:rsidP="00661519" w:rsidRDefault="00661519" w14:paraId="2C2A6C38" w14:textId="77777777">
            <w:pPr>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213,701</w:t>
            </w:r>
          </w:p>
        </w:tc>
      </w:tr>
      <w:tr w:rsidRPr="009C48DA" w:rsidR="00661519" w:rsidTr="00661519" w14:paraId="49E984A0" w14:textId="77777777">
        <w:tc>
          <w:tcPr>
            <w:tcW w:w="1418" w:type="dxa"/>
            <w:vAlign w:val="bottom"/>
          </w:tcPr>
          <w:p w:rsidRPr="009C48DA" w:rsidR="00661519" w:rsidP="00661519" w:rsidRDefault="00661519" w14:paraId="293E6EF3"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Credit funds</w:t>
            </w:r>
          </w:p>
        </w:tc>
        <w:tc>
          <w:tcPr>
            <w:tcW w:w="1276" w:type="dxa"/>
            <w:vAlign w:val="bottom"/>
          </w:tcPr>
          <w:p w:rsidRPr="009C48DA" w:rsidR="00661519" w:rsidP="00661519" w:rsidRDefault="00661519" w14:paraId="5B333013" w14:textId="77777777">
            <w:pPr>
              <w:pBdr>
                <w:bottom w:val="sing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64,191</w:t>
            </w:r>
          </w:p>
        </w:tc>
        <w:tc>
          <w:tcPr>
            <w:tcW w:w="1275" w:type="dxa"/>
            <w:vAlign w:val="bottom"/>
          </w:tcPr>
          <w:p w:rsidRPr="009C48DA" w:rsidR="00661519" w:rsidP="00661519" w:rsidRDefault="00661519" w14:paraId="55C833E6" w14:textId="77777777">
            <w:pPr>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&lt;2%</w:t>
            </w:r>
          </w:p>
        </w:tc>
        <w:tc>
          <w:tcPr>
            <w:tcW w:w="1134" w:type="dxa"/>
            <w:vAlign w:val="bottom"/>
          </w:tcPr>
          <w:p w:rsidRPr="009C48DA" w:rsidR="00661519" w:rsidP="00661519" w:rsidRDefault="00661519" w14:paraId="7C7BE714" w14:textId="77777777">
            <w:pPr>
              <w:pBdr>
                <w:bottom w:val="single" w:color="auto" w:sz="12" w:space="1"/>
              </w:pBdr>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4,891,225</w:t>
            </w:r>
          </w:p>
        </w:tc>
        <w:tc>
          <w:tcPr>
            <w:tcW w:w="1389" w:type="dxa"/>
            <w:vAlign w:val="bottom"/>
          </w:tcPr>
          <w:p w:rsidRPr="009C48DA" w:rsidR="00661519" w:rsidP="00661519" w:rsidRDefault="00661519" w14:paraId="385CD304" w14:textId="77777777">
            <w:pPr>
              <w:pBdr>
                <w:bottom w:val="single" w:color="auto" w:sz="12" w:space="1"/>
              </w:pBdr>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2,779,360</w:t>
            </w:r>
          </w:p>
        </w:tc>
        <w:tc>
          <w:tcPr>
            <w:tcW w:w="1163" w:type="dxa"/>
            <w:vAlign w:val="bottom"/>
          </w:tcPr>
          <w:p w:rsidRPr="009C48DA" w:rsidR="00661519" w:rsidP="00661519" w:rsidRDefault="00661519" w14:paraId="5C1817E5" w14:textId="77777777">
            <w:pPr>
              <w:pBdr>
                <w:bottom w:val="single" w:color="auto" w:sz="12" w:space="1"/>
              </w:pBdr>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10,231</w:t>
            </w:r>
          </w:p>
        </w:tc>
        <w:tc>
          <w:tcPr>
            <w:tcW w:w="992" w:type="dxa"/>
            <w:vAlign w:val="bottom"/>
          </w:tcPr>
          <w:p w:rsidRPr="009C48DA" w:rsidR="00661519" w:rsidP="00661519" w:rsidRDefault="00661519" w14:paraId="2359850F" w14:textId="77777777">
            <w:pPr>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1.00-1.75%</w:t>
            </w:r>
          </w:p>
        </w:tc>
        <w:tc>
          <w:tcPr>
            <w:tcW w:w="1559" w:type="dxa"/>
            <w:vAlign w:val="bottom"/>
          </w:tcPr>
          <w:p w:rsidRPr="009C48DA" w:rsidR="00661519" w:rsidP="00661519" w:rsidRDefault="00661519" w14:paraId="3C525443"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Generally up to 20% of profits over threshold</w:t>
            </w:r>
          </w:p>
        </w:tc>
        <w:tc>
          <w:tcPr>
            <w:tcW w:w="1134" w:type="dxa"/>
            <w:vAlign w:val="bottom"/>
          </w:tcPr>
          <w:p w:rsidRPr="009C48DA" w:rsidR="00661519" w:rsidP="00661519" w:rsidRDefault="00661519" w14:paraId="3D775094" w14:textId="77777777">
            <w:pPr>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Up to 35%</w:t>
            </w:r>
          </w:p>
        </w:tc>
        <w:tc>
          <w:tcPr>
            <w:tcW w:w="1318" w:type="dxa"/>
            <w:vAlign w:val="bottom"/>
          </w:tcPr>
          <w:p w:rsidRPr="009C48DA" w:rsidR="00661519" w:rsidP="00661519" w:rsidRDefault="00661519" w14:paraId="255B071F" w14:textId="77777777">
            <w:pPr>
              <w:pBdr>
                <w:bottom w:val="single" w:color="auto" w:sz="12" w:space="1"/>
              </w:pBdr>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2,986</w:t>
            </w:r>
          </w:p>
        </w:tc>
        <w:tc>
          <w:tcPr>
            <w:tcW w:w="1234" w:type="dxa"/>
            <w:vAlign w:val="bottom"/>
          </w:tcPr>
          <w:p w:rsidRPr="009C48DA" w:rsidR="00661519" w:rsidP="00661519" w:rsidRDefault="00661519" w14:paraId="302D036F" w14:textId="77777777">
            <w:pPr>
              <w:pBdr>
                <w:bottom w:val="single" w:color="auto" w:sz="12" w:space="1"/>
              </w:pBdr>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67,177</w:t>
            </w:r>
          </w:p>
        </w:tc>
      </w:tr>
      <w:tr w:rsidRPr="009C48DA" w:rsidR="00661519" w:rsidTr="00661519" w14:paraId="06237169" w14:textId="77777777">
        <w:tc>
          <w:tcPr>
            <w:tcW w:w="1418" w:type="dxa"/>
            <w:vAlign w:val="bottom"/>
          </w:tcPr>
          <w:p w:rsidRPr="009C48DA" w:rsidR="00661519" w:rsidP="00661519" w:rsidRDefault="00661519" w14:paraId="1E91DD05" w14:textId="77777777">
            <w:pPr>
              <w:textAlignment w:val="baseline"/>
              <w:rPr>
                <w:rFonts w:eastAsia="Times New Roman" w:cs="Times New Roman"/>
                <w:color w:val="000000"/>
                <w:sz w:val="16"/>
                <w:szCs w:val="16"/>
                <w:lang w:val="en-GB"/>
              </w:rPr>
            </w:pPr>
          </w:p>
        </w:tc>
        <w:tc>
          <w:tcPr>
            <w:tcW w:w="1276" w:type="dxa"/>
            <w:vAlign w:val="bottom"/>
          </w:tcPr>
          <w:p w:rsidRPr="009C48DA" w:rsidR="00661519" w:rsidP="00661519" w:rsidRDefault="00661519" w14:paraId="5CD8DC0F" w14:textId="77777777">
            <w:pPr>
              <w:pBdr>
                <w:bottom w:val="doub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252,963</w:t>
            </w:r>
          </w:p>
        </w:tc>
        <w:tc>
          <w:tcPr>
            <w:tcW w:w="1275" w:type="dxa"/>
            <w:vAlign w:val="bottom"/>
          </w:tcPr>
          <w:p w:rsidRPr="009C48DA" w:rsidR="00661519" w:rsidP="00661519" w:rsidRDefault="00661519" w14:paraId="067F2416" w14:textId="77777777">
            <w:pPr>
              <w:ind w:right="135"/>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56982467" w14:textId="77777777">
            <w:pPr>
              <w:pBdr>
                <w:bottom w:val="double" w:color="auto" w:sz="12" w:space="1"/>
              </w:pBdr>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28,803,154</w:t>
            </w:r>
          </w:p>
        </w:tc>
        <w:tc>
          <w:tcPr>
            <w:tcW w:w="1389" w:type="dxa"/>
            <w:vAlign w:val="bottom"/>
          </w:tcPr>
          <w:p w:rsidRPr="009C48DA" w:rsidR="00661519" w:rsidP="00661519" w:rsidRDefault="00661519" w14:paraId="25B9570A" w14:textId="77777777">
            <w:pPr>
              <w:pBdr>
                <w:bottom w:val="double" w:color="auto" w:sz="12" w:space="1"/>
              </w:pBdr>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14,165,111</w:t>
            </w:r>
          </w:p>
        </w:tc>
        <w:tc>
          <w:tcPr>
            <w:tcW w:w="1163" w:type="dxa"/>
            <w:vAlign w:val="bottom"/>
          </w:tcPr>
          <w:p w:rsidRPr="009C48DA" w:rsidR="00661519" w:rsidP="00661519" w:rsidRDefault="00661519" w14:paraId="524CE962" w14:textId="77777777">
            <w:pPr>
              <w:pBdr>
                <w:bottom w:val="double" w:color="auto" w:sz="12" w:space="1"/>
              </w:pBdr>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146,809</w:t>
            </w:r>
          </w:p>
        </w:tc>
        <w:tc>
          <w:tcPr>
            <w:tcW w:w="992" w:type="dxa"/>
            <w:vAlign w:val="bottom"/>
          </w:tcPr>
          <w:p w:rsidRPr="009C48DA" w:rsidR="00661519" w:rsidP="00661519" w:rsidRDefault="00661519" w14:paraId="6BA22AC4" w14:textId="77777777">
            <w:pPr>
              <w:ind w:right="78"/>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474F9D0F" w14:textId="77777777">
            <w:pPr>
              <w:ind w:right="139"/>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54492C07" w14:textId="77777777">
            <w:pPr>
              <w:ind w:right="113"/>
              <w:jc w:val="right"/>
              <w:textAlignment w:val="baseline"/>
              <w:rPr>
                <w:rFonts w:eastAsia="Times New Roman" w:cs="Times New Roman"/>
                <w:color w:val="000000"/>
                <w:sz w:val="16"/>
                <w:szCs w:val="16"/>
                <w:lang w:val="en-GB"/>
              </w:rPr>
            </w:pPr>
          </w:p>
        </w:tc>
        <w:tc>
          <w:tcPr>
            <w:tcW w:w="1318" w:type="dxa"/>
            <w:vAlign w:val="bottom"/>
          </w:tcPr>
          <w:p w:rsidRPr="009C48DA" w:rsidR="00661519" w:rsidP="00661519" w:rsidRDefault="00661519" w14:paraId="162AF1BF" w14:textId="77777777">
            <w:pPr>
              <w:pBdr>
                <w:bottom w:val="double" w:color="auto" w:sz="12" w:space="1"/>
              </w:pBdr>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27,915</w:t>
            </w:r>
          </w:p>
        </w:tc>
        <w:tc>
          <w:tcPr>
            <w:tcW w:w="1234" w:type="dxa"/>
            <w:vAlign w:val="bottom"/>
          </w:tcPr>
          <w:p w:rsidRPr="009C48DA" w:rsidR="00661519" w:rsidP="00661519" w:rsidRDefault="00661519" w14:paraId="0888E0C4" w14:textId="77777777">
            <w:pPr>
              <w:pBdr>
                <w:bottom w:val="double" w:color="auto" w:sz="12" w:space="1"/>
              </w:pBdr>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280,878</w:t>
            </w:r>
          </w:p>
        </w:tc>
      </w:tr>
      <w:tr w:rsidRPr="009C48DA" w:rsidR="00661519" w:rsidTr="00661519" w14:paraId="0CD7AEBB" w14:textId="77777777">
        <w:tc>
          <w:tcPr>
            <w:tcW w:w="1418" w:type="dxa"/>
            <w:vAlign w:val="bottom"/>
          </w:tcPr>
          <w:p w:rsidRPr="009C48DA" w:rsidR="00661519" w:rsidP="00661519" w:rsidRDefault="00661519" w14:paraId="18C27116" w14:textId="77777777">
            <w:pPr>
              <w:textAlignment w:val="baseline"/>
              <w:rPr>
                <w:rFonts w:eastAsia="Times New Roman" w:cs="Times New Roman"/>
                <w:color w:val="000000"/>
                <w:sz w:val="16"/>
                <w:szCs w:val="16"/>
                <w:lang w:val="en-GB"/>
              </w:rPr>
            </w:pPr>
          </w:p>
        </w:tc>
        <w:tc>
          <w:tcPr>
            <w:tcW w:w="1276" w:type="dxa"/>
            <w:vAlign w:val="bottom"/>
          </w:tcPr>
          <w:p w:rsidRPr="009C48DA" w:rsidR="00661519" w:rsidP="00661519" w:rsidRDefault="00661519" w14:paraId="76790559" w14:textId="77777777">
            <w:pPr>
              <w:ind w:right="87"/>
              <w:jc w:val="right"/>
              <w:textAlignment w:val="baseline"/>
              <w:rPr>
                <w:rFonts w:eastAsia="Times New Roman" w:cs="Times New Roman"/>
                <w:b/>
                <w:color w:val="000000"/>
                <w:sz w:val="16"/>
                <w:szCs w:val="16"/>
                <w:lang w:val="en-GB"/>
              </w:rPr>
            </w:pPr>
          </w:p>
        </w:tc>
        <w:tc>
          <w:tcPr>
            <w:tcW w:w="1275" w:type="dxa"/>
            <w:vAlign w:val="bottom"/>
          </w:tcPr>
          <w:p w:rsidRPr="009C48DA" w:rsidR="00661519" w:rsidP="00661519" w:rsidRDefault="00661519" w14:paraId="1BCF158E" w14:textId="77777777">
            <w:pPr>
              <w:ind w:right="135"/>
              <w:jc w:val="right"/>
              <w:textAlignment w:val="baseline"/>
              <w:rPr>
                <w:rFonts w:eastAsia="Times New Roman" w:cs="Times New Roman"/>
                <w:b/>
                <w:color w:val="000000"/>
                <w:sz w:val="16"/>
                <w:szCs w:val="16"/>
                <w:lang w:val="en-GB"/>
              </w:rPr>
            </w:pPr>
          </w:p>
        </w:tc>
        <w:tc>
          <w:tcPr>
            <w:tcW w:w="1134" w:type="dxa"/>
            <w:vAlign w:val="bottom"/>
          </w:tcPr>
          <w:p w:rsidRPr="009C48DA" w:rsidR="00661519" w:rsidP="00661519" w:rsidRDefault="00661519" w14:paraId="727AA38D" w14:textId="77777777">
            <w:pPr>
              <w:ind w:right="81"/>
              <w:jc w:val="right"/>
              <w:textAlignment w:val="baseline"/>
              <w:rPr>
                <w:rFonts w:eastAsia="Times New Roman" w:cs="Times New Roman"/>
                <w:b/>
                <w:color w:val="000000"/>
                <w:sz w:val="16"/>
                <w:szCs w:val="16"/>
                <w:lang w:val="en-GB"/>
              </w:rPr>
            </w:pPr>
          </w:p>
        </w:tc>
        <w:tc>
          <w:tcPr>
            <w:tcW w:w="1389" w:type="dxa"/>
            <w:vAlign w:val="bottom"/>
          </w:tcPr>
          <w:p w:rsidRPr="009C48DA" w:rsidR="00661519" w:rsidP="00661519" w:rsidRDefault="00661519" w14:paraId="65E1568D" w14:textId="77777777">
            <w:pPr>
              <w:ind w:right="125"/>
              <w:jc w:val="right"/>
              <w:textAlignment w:val="baseline"/>
              <w:rPr>
                <w:rFonts w:eastAsia="Times New Roman" w:cs="Times New Roman"/>
                <w:b/>
                <w:color w:val="000000"/>
                <w:sz w:val="16"/>
                <w:szCs w:val="16"/>
                <w:lang w:val="en-GB"/>
              </w:rPr>
            </w:pPr>
          </w:p>
        </w:tc>
        <w:tc>
          <w:tcPr>
            <w:tcW w:w="1163" w:type="dxa"/>
            <w:vAlign w:val="bottom"/>
          </w:tcPr>
          <w:p w:rsidRPr="009C48DA" w:rsidR="00661519" w:rsidP="00661519" w:rsidRDefault="00661519" w14:paraId="10C242A8" w14:textId="77777777">
            <w:pPr>
              <w:ind w:right="144"/>
              <w:jc w:val="right"/>
              <w:textAlignment w:val="baseline"/>
              <w:rPr>
                <w:rFonts w:eastAsia="Times New Roman" w:cs="Times New Roman"/>
                <w:b/>
                <w:color w:val="000000"/>
                <w:sz w:val="16"/>
                <w:szCs w:val="16"/>
                <w:lang w:val="en-GB"/>
              </w:rPr>
            </w:pPr>
          </w:p>
        </w:tc>
        <w:tc>
          <w:tcPr>
            <w:tcW w:w="992" w:type="dxa"/>
            <w:vAlign w:val="bottom"/>
          </w:tcPr>
          <w:p w:rsidRPr="009C48DA" w:rsidR="00661519" w:rsidP="00661519" w:rsidRDefault="00661519" w14:paraId="0783DBEF" w14:textId="77777777">
            <w:pPr>
              <w:ind w:right="78"/>
              <w:jc w:val="right"/>
              <w:textAlignment w:val="baseline"/>
              <w:rPr>
                <w:rFonts w:eastAsia="Times New Roman" w:cs="Times New Roman"/>
                <w:b/>
                <w:color w:val="000000"/>
                <w:sz w:val="16"/>
                <w:szCs w:val="16"/>
                <w:lang w:val="en-GB"/>
              </w:rPr>
            </w:pPr>
          </w:p>
        </w:tc>
        <w:tc>
          <w:tcPr>
            <w:tcW w:w="1559" w:type="dxa"/>
            <w:vAlign w:val="bottom"/>
          </w:tcPr>
          <w:p w:rsidRPr="009C48DA" w:rsidR="00661519" w:rsidP="00661519" w:rsidRDefault="00661519" w14:paraId="68991C70" w14:textId="77777777">
            <w:pPr>
              <w:ind w:right="139"/>
              <w:jc w:val="right"/>
              <w:textAlignment w:val="baseline"/>
              <w:rPr>
                <w:rFonts w:eastAsia="Times New Roman" w:cs="Times New Roman"/>
                <w:b/>
                <w:color w:val="000000"/>
                <w:sz w:val="16"/>
                <w:szCs w:val="16"/>
                <w:lang w:val="en-GB"/>
              </w:rPr>
            </w:pPr>
          </w:p>
        </w:tc>
        <w:tc>
          <w:tcPr>
            <w:tcW w:w="1134" w:type="dxa"/>
            <w:vAlign w:val="bottom"/>
          </w:tcPr>
          <w:p w:rsidRPr="009C48DA" w:rsidR="00661519" w:rsidP="00661519" w:rsidRDefault="00661519" w14:paraId="54E4F2DE" w14:textId="77777777">
            <w:pPr>
              <w:ind w:right="113"/>
              <w:jc w:val="right"/>
              <w:textAlignment w:val="baseline"/>
              <w:rPr>
                <w:rFonts w:eastAsia="Times New Roman" w:cs="Times New Roman"/>
                <w:b/>
                <w:color w:val="000000"/>
                <w:sz w:val="16"/>
                <w:szCs w:val="16"/>
                <w:lang w:val="en-GB"/>
              </w:rPr>
            </w:pPr>
          </w:p>
        </w:tc>
        <w:tc>
          <w:tcPr>
            <w:tcW w:w="1318" w:type="dxa"/>
            <w:vAlign w:val="bottom"/>
          </w:tcPr>
          <w:p w:rsidRPr="009C48DA" w:rsidR="00661519" w:rsidP="00661519" w:rsidRDefault="00661519" w14:paraId="6E4603FD" w14:textId="77777777">
            <w:pPr>
              <w:ind w:right="113"/>
              <w:jc w:val="right"/>
              <w:textAlignment w:val="baseline"/>
              <w:rPr>
                <w:rFonts w:eastAsia="Times New Roman" w:cs="Times New Roman"/>
                <w:b/>
                <w:color w:val="000000"/>
                <w:sz w:val="16"/>
                <w:szCs w:val="16"/>
                <w:lang w:val="en-GB"/>
              </w:rPr>
            </w:pPr>
          </w:p>
        </w:tc>
        <w:tc>
          <w:tcPr>
            <w:tcW w:w="1234" w:type="dxa"/>
            <w:vAlign w:val="bottom"/>
          </w:tcPr>
          <w:p w:rsidRPr="009C48DA" w:rsidR="00661519" w:rsidP="00661519" w:rsidRDefault="00661519" w14:paraId="0F13FCD8" w14:textId="77777777">
            <w:pPr>
              <w:ind w:right="203"/>
              <w:jc w:val="right"/>
              <w:textAlignment w:val="baseline"/>
              <w:rPr>
                <w:rFonts w:eastAsia="Times New Roman" w:cs="Times New Roman"/>
                <w:b/>
                <w:color w:val="000000"/>
                <w:sz w:val="16"/>
                <w:szCs w:val="16"/>
                <w:lang w:val="en-GB"/>
              </w:rPr>
            </w:pPr>
          </w:p>
        </w:tc>
      </w:tr>
      <w:tr w:rsidRPr="009C48DA" w:rsidR="00661519" w:rsidTr="00661519" w14:paraId="4A82BAF0" w14:textId="77777777">
        <w:trPr>
          <w:trHeight w:val="567"/>
        </w:trPr>
        <w:tc>
          <w:tcPr>
            <w:tcW w:w="1418" w:type="dxa"/>
            <w:vAlign w:val="bottom"/>
          </w:tcPr>
          <w:p w:rsidRPr="009C48DA" w:rsidR="00661519" w:rsidP="00661519" w:rsidRDefault="00661519" w14:paraId="4957019E" w14:textId="77777777">
            <w:pPr>
              <w:textAlignment w:val="baseline"/>
              <w:rPr>
                <w:rFonts w:eastAsia="Times New Roman" w:cs="Times New Roman"/>
                <w:color w:val="000000"/>
                <w:sz w:val="16"/>
                <w:szCs w:val="16"/>
                <w:lang w:val="en-GB"/>
              </w:rPr>
            </w:pPr>
          </w:p>
        </w:tc>
        <w:tc>
          <w:tcPr>
            <w:tcW w:w="1276" w:type="dxa"/>
            <w:vAlign w:val="bottom"/>
          </w:tcPr>
          <w:p w:rsidRPr="009C48DA" w:rsidR="00661519" w:rsidP="00661519" w:rsidRDefault="00661519" w14:paraId="29E5E164" w14:textId="77777777">
            <w:pPr>
              <w:ind w:right="87"/>
              <w:jc w:val="right"/>
              <w:textAlignment w:val="baseline"/>
              <w:rPr>
                <w:rFonts w:eastAsia="Times New Roman" w:cs="Times New Roman"/>
                <w:color w:val="000000"/>
                <w:sz w:val="16"/>
                <w:szCs w:val="16"/>
                <w:lang w:val="en-GB"/>
              </w:rPr>
            </w:pPr>
          </w:p>
        </w:tc>
        <w:tc>
          <w:tcPr>
            <w:tcW w:w="1275" w:type="dxa"/>
            <w:vAlign w:val="bottom"/>
          </w:tcPr>
          <w:p w:rsidRPr="009C48DA" w:rsidR="00661519" w:rsidP="00661519" w:rsidRDefault="00661519" w14:paraId="73048EBE" w14:textId="77777777">
            <w:pPr>
              <w:ind w:right="135"/>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10E511ED" w14:textId="77777777">
            <w:pPr>
              <w:ind w:right="81"/>
              <w:jc w:val="right"/>
              <w:textAlignment w:val="baseline"/>
              <w:rPr>
                <w:rFonts w:eastAsia="Times New Roman" w:cs="Times New Roman"/>
                <w:b/>
                <w:color w:val="000000"/>
                <w:sz w:val="16"/>
                <w:szCs w:val="16"/>
                <w:lang w:val="en-GB"/>
              </w:rPr>
            </w:pPr>
          </w:p>
        </w:tc>
        <w:tc>
          <w:tcPr>
            <w:tcW w:w="1389" w:type="dxa"/>
            <w:vAlign w:val="bottom"/>
          </w:tcPr>
          <w:p w:rsidRPr="009C48DA" w:rsidR="00661519" w:rsidP="00661519" w:rsidRDefault="00661519" w14:paraId="3EED7129" w14:textId="77777777">
            <w:pPr>
              <w:ind w:right="125"/>
              <w:jc w:val="right"/>
              <w:textAlignment w:val="baseline"/>
              <w:rPr>
                <w:rFonts w:eastAsia="Times New Roman" w:cs="Times New Roman"/>
                <w:b/>
                <w:color w:val="000000"/>
                <w:sz w:val="16"/>
                <w:szCs w:val="16"/>
                <w:lang w:val="en-GB"/>
              </w:rPr>
            </w:pPr>
          </w:p>
        </w:tc>
        <w:tc>
          <w:tcPr>
            <w:tcW w:w="1163" w:type="dxa"/>
            <w:vAlign w:val="bottom"/>
          </w:tcPr>
          <w:p w:rsidRPr="009C48DA" w:rsidR="00661519" w:rsidP="00661519" w:rsidRDefault="00661519" w14:paraId="361B1759" w14:textId="77777777">
            <w:pPr>
              <w:ind w:right="144"/>
              <w:jc w:val="right"/>
              <w:textAlignment w:val="baseline"/>
              <w:rPr>
                <w:rFonts w:eastAsia="Times New Roman" w:cs="Times New Roman"/>
                <w:color w:val="000000"/>
                <w:sz w:val="16"/>
                <w:szCs w:val="16"/>
                <w:lang w:val="en-GB"/>
              </w:rPr>
            </w:pPr>
          </w:p>
        </w:tc>
        <w:tc>
          <w:tcPr>
            <w:tcW w:w="992" w:type="dxa"/>
            <w:vAlign w:val="bottom"/>
          </w:tcPr>
          <w:p w:rsidRPr="009C48DA" w:rsidR="00661519" w:rsidP="00661519" w:rsidRDefault="00661519" w14:paraId="485B88EC" w14:textId="77777777">
            <w:pPr>
              <w:ind w:right="78"/>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7AA0AC88" w14:textId="77777777">
            <w:pPr>
              <w:ind w:right="139"/>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0107E5B4" w14:textId="77777777">
            <w:pPr>
              <w:ind w:right="113"/>
              <w:jc w:val="right"/>
              <w:textAlignment w:val="baseline"/>
              <w:rPr>
                <w:rFonts w:eastAsia="Times New Roman" w:cs="Times New Roman"/>
                <w:b/>
                <w:color w:val="000000"/>
                <w:sz w:val="16"/>
                <w:szCs w:val="16"/>
                <w:lang w:val="en-GB"/>
              </w:rPr>
            </w:pPr>
          </w:p>
        </w:tc>
        <w:tc>
          <w:tcPr>
            <w:tcW w:w="1318" w:type="dxa"/>
            <w:vAlign w:val="bottom"/>
          </w:tcPr>
          <w:p w:rsidRPr="009C48DA" w:rsidR="00661519" w:rsidP="00661519" w:rsidRDefault="00661519" w14:paraId="2703ED74" w14:textId="77777777">
            <w:pPr>
              <w:ind w:right="113"/>
              <w:jc w:val="right"/>
              <w:textAlignment w:val="baseline"/>
              <w:rPr>
                <w:rFonts w:eastAsia="Times New Roman" w:cs="Times New Roman"/>
                <w:b/>
                <w:color w:val="000000"/>
                <w:sz w:val="16"/>
                <w:szCs w:val="16"/>
                <w:lang w:val="en-GB"/>
              </w:rPr>
            </w:pPr>
          </w:p>
        </w:tc>
        <w:tc>
          <w:tcPr>
            <w:tcW w:w="1234" w:type="dxa"/>
            <w:vAlign w:val="bottom"/>
          </w:tcPr>
          <w:p w:rsidRPr="009C48DA" w:rsidR="00661519" w:rsidP="00661519" w:rsidRDefault="00661519" w14:paraId="5CB9446C" w14:textId="77777777">
            <w:pPr>
              <w:ind w:right="203"/>
              <w:jc w:val="right"/>
              <w:textAlignment w:val="baseline"/>
              <w:rPr>
                <w:rFonts w:eastAsia="Times New Roman" w:cs="Times New Roman"/>
                <w:color w:val="000000"/>
                <w:sz w:val="16"/>
                <w:szCs w:val="16"/>
                <w:lang w:val="en-GB"/>
              </w:rPr>
            </w:pPr>
          </w:p>
        </w:tc>
      </w:tr>
      <w:tr w:rsidRPr="009C48DA" w:rsidR="00661519" w:rsidTr="00661519" w14:paraId="2CD94230" w14:textId="77777777">
        <w:tc>
          <w:tcPr>
            <w:tcW w:w="1418" w:type="dxa"/>
            <w:vAlign w:val="bottom"/>
          </w:tcPr>
          <w:p w:rsidRPr="009C48DA" w:rsidR="00661519" w:rsidP="00661519" w:rsidRDefault="00661519" w14:paraId="144A674D" w14:textId="77777777">
            <w:pP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31 March 2021</w:t>
            </w:r>
          </w:p>
        </w:tc>
        <w:tc>
          <w:tcPr>
            <w:tcW w:w="1276" w:type="dxa"/>
            <w:vAlign w:val="bottom"/>
          </w:tcPr>
          <w:p w:rsidRPr="009C48DA" w:rsidR="00661519" w:rsidP="00661519" w:rsidRDefault="00661519" w14:paraId="0569ADD9" w14:textId="77777777">
            <w:pPr>
              <w:ind w:right="87"/>
              <w:jc w:val="right"/>
              <w:textAlignment w:val="baseline"/>
              <w:rPr>
                <w:rFonts w:eastAsia="Times New Roman" w:cs="Times New Roman"/>
                <w:color w:val="000000"/>
                <w:sz w:val="16"/>
                <w:szCs w:val="16"/>
                <w:lang w:val="en-GB"/>
              </w:rPr>
            </w:pPr>
          </w:p>
        </w:tc>
        <w:tc>
          <w:tcPr>
            <w:tcW w:w="1275" w:type="dxa"/>
            <w:vAlign w:val="bottom"/>
          </w:tcPr>
          <w:p w:rsidRPr="009C48DA" w:rsidR="00661519" w:rsidP="00661519" w:rsidRDefault="00661519" w14:paraId="423F0C23" w14:textId="77777777">
            <w:pPr>
              <w:ind w:right="135"/>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07C17E4C" w14:textId="77777777">
            <w:pPr>
              <w:ind w:right="81"/>
              <w:jc w:val="right"/>
              <w:textAlignment w:val="baseline"/>
              <w:rPr>
                <w:rFonts w:eastAsia="Times New Roman" w:cs="Times New Roman"/>
                <w:color w:val="000000"/>
                <w:sz w:val="16"/>
                <w:szCs w:val="16"/>
                <w:lang w:val="en-GB"/>
              </w:rPr>
            </w:pPr>
          </w:p>
        </w:tc>
        <w:tc>
          <w:tcPr>
            <w:tcW w:w="1389" w:type="dxa"/>
            <w:vAlign w:val="bottom"/>
          </w:tcPr>
          <w:p w:rsidRPr="009C48DA" w:rsidR="00661519" w:rsidP="00661519" w:rsidRDefault="00661519" w14:paraId="2516EC73" w14:textId="77777777">
            <w:pPr>
              <w:ind w:right="125"/>
              <w:jc w:val="right"/>
              <w:textAlignment w:val="baseline"/>
              <w:rPr>
                <w:rFonts w:eastAsia="Times New Roman" w:cs="Times New Roman"/>
                <w:color w:val="000000"/>
                <w:sz w:val="16"/>
                <w:szCs w:val="16"/>
                <w:lang w:val="en-GB"/>
              </w:rPr>
            </w:pPr>
          </w:p>
        </w:tc>
        <w:tc>
          <w:tcPr>
            <w:tcW w:w="1163" w:type="dxa"/>
            <w:vAlign w:val="bottom"/>
          </w:tcPr>
          <w:p w:rsidRPr="009C48DA" w:rsidR="00661519" w:rsidP="00661519" w:rsidRDefault="00661519" w14:paraId="7B79AC26" w14:textId="77777777">
            <w:pPr>
              <w:ind w:right="144"/>
              <w:jc w:val="right"/>
              <w:textAlignment w:val="baseline"/>
              <w:rPr>
                <w:rFonts w:eastAsia="Times New Roman" w:cs="Times New Roman"/>
                <w:color w:val="000000"/>
                <w:sz w:val="16"/>
                <w:szCs w:val="16"/>
                <w:lang w:val="en-GB"/>
              </w:rPr>
            </w:pPr>
          </w:p>
        </w:tc>
        <w:tc>
          <w:tcPr>
            <w:tcW w:w="992" w:type="dxa"/>
            <w:vAlign w:val="bottom"/>
          </w:tcPr>
          <w:p w:rsidRPr="009C48DA" w:rsidR="00661519" w:rsidP="00661519" w:rsidRDefault="00661519" w14:paraId="05CE2CBD" w14:textId="77777777">
            <w:pPr>
              <w:ind w:right="78"/>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5196F6BF" w14:textId="77777777">
            <w:pPr>
              <w:ind w:right="139"/>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2784DE0C" w14:textId="77777777">
            <w:pPr>
              <w:ind w:right="113"/>
              <w:jc w:val="right"/>
              <w:textAlignment w:val="baseline"/>
              <w:rPr>
                <w:rFonts w:eastAsia="Times New Roman" w:cs="Times New Roman"/>
                <w:color w:val="000000"/>
                <w:sz w:val="16"/>
                <w:szCs w:val="16"/>
                <w:lang w:val="en-GB"/>
              </w:rPr>
            </w:pPr>
          </w:p>
        </w:tc>
        <w:tc>
          <w:tcPr>
            <w:tcW w:w="1318" w:type="dxa"/>
            <w:vAlign w:val="bottom"/>
          </w:tcPr>
          <w:p w:rsidRPr="009C48DA" w:rsidR="00661519" w:rsidP="00661519" w:rsidRDefault="00661519" w14:paraId="2F4731FA" w14:textId="77777777">
            <w:pPr>
              <w:ind w:right="113"/>
              <w:jc w:val="right"/>
              <w:textAlignment w:val="baseline"/>
              <w:rPr>
                <w:rFonts w:eastAsia="Times New Roman" w:cs="Times New Roman"/>
                <w:color w:val="000000"/>
                <w:sz w:val="16"/>
                <w:szCs w:val="16"/>
                <w:lang w:val="en-GB"/>
              </w:rPr>
            </w:pPr>
          </w:p>
        </w:tc>
        <w:tc>
          <w:tcPr>
            <w:tcW w:w="1234" w:type="dxa"/>
            <w:vAlign w:val="bottom"/>
          </w:tcPr>
          <w:p w:rsidRPr="009C48DA" w:rsidR="00661519" w:rsidP="00661519" w:rsidRDefault="00661519" w14:paraId="5954FF76" w14:textId="77777777">
            <w:pPr>
              <w:ind w:right="203"/>
              <w:jc w:val="right"/>
              <w:textAlignment w:val="baseline"/>
              <w:rPr>
                <w:rFonts w:eastAsia="Times New Roman" w:cs="Times New Roman"/>
                <w:color w:val="000000"/>
                <w:sz w:val="16"/>
                <w:szCs w:val="16"/>
                <w:lang w:val="en-GB"/>
              </w:rPr>
            </w:pPr>
          </w:p>
        </w:tc>
      </w:tr>
      <w:tr w:rsidRPr="009C48DA" w:rsidR="00661519" w:rsidTr="00661519" w14:paraId="772C010A" w14:textId="77777777">
        <w:tc>
          <w:tcPr>
            <w:tcW w:w="1418" w:type="dxa"/>
            <w:vAlign w:val="bottom"/>
          </w:tcPr>
          <w:p w:rsidRPr="009C48DA" w:rsidR="00661519" w:rsidP="00661519" w:rsidRDefault="00661519" w14:paraId="25CCE9A1"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Private equity funds </w:t>
            </w:r>
          </w:p>
        </w:tc>
        <w:tc>
          <w:tcPr>
            <w:tcW w:w="1276" w:type="dxa"/>
            <w:vAlign w:val="bottom"/>
          </w:tcPr>
          <w:p w:rsidRPr="009C48DA" w:rsidR="00661519" w:rsidP="00661519" w:rsidRDefault="00661519" w14:paraId="412B9630" w14:textId="77777777">
            <w:pP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186,105</w:t>
            </w:r>
          </w:p>
        </w:tc>
        <w:tc>
          <w:tcPr>
            <w:tcW w:w="1275" w:type="dxa"/>
            <w:vAlign w:val="bottom"/>
          </w:tcPr>
          <w:p w:rsidRPr="009C48DA" w:rsidR="00661519" w:rsidP="00661519" w:rsidRDefault="00661519" w14:paraId="402D7AF7" w14:textId="77777777">
            <w:pPr>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w:t>
            </w:r>
          </w:p>
        </w:tc>
        <w:tc>
          <w:tcPr>
            <w:tcW w:w="1134" w:type="dxa"/>
            <w:vAlign w:val="bottom"/>
          </w:tcPr>
          <w:p w:rsidRPr="009C48DA" w:rsidR="00661519" w:rsidP="00661519" w:rsidRDefault="00661519" w14:paraId="2BD3332B" w14:textId="77777777">
            <w:pPr>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23,255,332</w:t>
            </w:r>
          </w:p>
        </w:tc>
        <w:tc>
          <w:tcPr>
            <w:tcW w:w="1389" w:type="dxa"/>
            <w:vAlign w:val="bottom"/>
          </w:tcPr>
          <w:p w:rsidRPr="009C48DA" w:rsidR="00661519" w:rsidP="00661519" w:rsidRDefault="00661519" w14:paraId="605EBF80" w14:textId="77777777">
            <w:pPr>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11,309,328</w:t>
            </w:r>
          </w:p>
        </w:tc>
        <w:tc>
          <w:tcPr>
            <w:tcW w:w="1163" w:type="dxa"/>
            <w:vAlign w:val="bottom"/>
          </w:tcPr>
          <w:p w:rsidRPr="009C48DA" w:rsidR="00661519" w:rsidP="00661519" w:rsidRDefault="00661519" w14:paraId="2DE58B43" w14:textId="77777777">
            <w:pPr>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38,996</w:t>
            </w:r>
          </w:p>
        </w:tc>
        <w:tc>
          <w:tcPr>
            <w:tcW w:w="992" w:type="dxa"/>
            <w:vAlign w:val="bottom"/>
          </w:tcPr>
          <w:p w:rsidRPr="009C48DA" w:rsidR="00661519" w:rsidP="00661519" w:rsidRDefault="00661519" w14:paraId="5A1C432F" w14:textId="77777777">
            <w:pPr>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0.75-2.00%</w:t>
            </w:r>
          </w:p>
        </w:tc>
        <w:tc>
          <w:tcPr>
            <w:tcW w:w="1559" w:type="dxa"/>
            <w:vAlign w:val="bottom"/>
          </w:tcPr>
          <w:p w:rsidRPr="009C48DA" w:rsidR="00661519" w:rsidP="00661519" w:rsidRDefault="00661519" w14:paraId="094A449C"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Generally up to 20% of profits over threshold</w:t>
            </w:r>
          </w:p>
        </w:tc>
        <w:tc>
          <w:tcPr>
            <w:tcW w:w="1134" w:type="dxa"/>
            <w:vAlign w:val="bottom"/>
          </w:tcPr>
          <w:p w:rsidRPr="009C48DA" w:rsidR="00661519" w:rsidP="00661519" w:rsidRDefault="00661519" w14:paraId="0136C2AF" w14:textId="77777777">
            <w:pPr>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Up to 35%</w:t>
            </w:r>
          </w:p>
        </w:tc>
        <w:tc>
          <w:tcPr>
            <w:tcW w:w="1318" w:type="dxa"/>
            <w:vAlign w:val="bottom"/>
          </w:tcPr>
          <w:p w:rsidRPr="009C48DA" w:rsidR="00661519" w:rsidP="00661519" w:rsidRDefault="00661519" w14:paraId="2CD754EB" w14:textId="77777777">
            <w:pPr>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23,933</w:t>
            </w:r>
          </w:p>
        </w:tc>
        <w:tc>
          <w:tcPr>
            <w:tcW w:w="1234" w:type="dxa"/>
            <w:vAlign w:val="bottom"/>
          </w:tcPr>
          <w:p w:rsidRPr="009C48DA" w:rsidR="00661519" w:rsidP="00661519" w:rsidRDefault="00661519" w14:paraId="5BE18EB1" w14:textId="77777777">
            <w:pPr>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210,028</w:t>
            </w:r>
          </w:p>
        </w:tc>
      </w:tr>
      <w:tr w:rsidRPr="009C48DA" w:rsidR="00661519" w:rsidTr="00661519" w14:paraId="28B06FD7" w14:textId="77777777">
        <w:tc>
          <w:tcPr>
            <w:tcW w:w="1418" w:type="dxa"/>
            <w:vAlign w:val="bottom"/>
          </w:tcPr>
          <w:p w:rsidRPr="009C48DA" w:rsidR="00661519" w:rsidP="00661519" w:rsidRDefault="00661519" w14:paraId="6E30D1F8"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Credit funds</w:t>
            </w:r>
          </w:p>
        </w:tc>
        <w:tc>
          <w:tcPr>
            <w:tcW w:w="1276" w:type="dxa"/>
            <w:vAlign w:val="bottom"/>
          </w:tcPr>
          <w:p w:rsidRPr="009C48DA" w:rsidR="00661519" w:rsidP="00661519" w:rsidRDefault="00661519" w14:paraId="61F40250" w14:textId="77777777">
            <w:pPr>
              <w:pBdr>
                <w:bottom w:val="sing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67,851</w:t>
            </w:r>
          </w:p>
        </w:tc>
        <w:tc>
          <w:tcPr>
            <w:tcW w:w="1275" w:type="dxa"/>
            <w:vAlign w:val="bottom"/>
          </w:tcPr>
          <w:p w:rsidRPr="009C48DA" w:rsidR="00661519" w:rsidP="00661519" w:rsidRDefault="00661519" w14:paraId="6909B491" w14:textId="77777777">
            <w:pPr>
              <w:ind w:right="13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w:t>
            </w:r>
          </w:p>
        </w:tc>
        <w:tc>
          <w:tcPr>
            <w:tcW w:w="1134" w:type="dxa"/>
            <w:vAlign w:val="bottom"/>
          </w:tcPr>
          <w:p w:rsidRPr="009C48DA" w:rsidR="00661519" w:rsidP="00661519" w:rsidRDefault="00661519" w14:paraId="34610208" w14:textId="77777777">
            <w:pPr>
              <w:pBdr>
                <w:bottom w:val="single" w:color="auto" w:sz="12" w:space="1"/>
              </w:pBdr>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4,674,488</w:t>
            </w:r>
          </w:p>
        </w:tc>
        <w:tc>
          <w:tcPr>
            <w:tcW w:w="1389" w:type="dxa"/>
            <w:vAlign w:val="bottom"/>
          </w:tcPr>
          <w:p w:rsidRPr="009C48DA" w:rsidR="00661519" w:rsidP="00661519" w:rsidRDefault="00661519" w14:paraId="0897C134" w14:textId="77777777">
            <w:pPr>
              <w:pBdr>
                <w:bottom w:val="single" w:color="auto" w:sz="12" w:space="1"/>
              </w:pBdr>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2,870,986</w:t>
            </w:r>
          </w:p>
        </w:tc>
        <w:tc>
          <w:tcPr>
            <w:tcW w:w="1163" w:type="dxa"/>
            <w:vAlign w:val="bottom"/>
          </w:tcPr>
          <w:p w:rsidRPr="009C48DA" w:rsidR="00661519" w:rsidP="00661519" w:rsidRDefault="00661519" w14:paraId="40DBA8A1" w14:textId="77777777">
            <w:pPr>
              <w:pBdr>
                <w:bottom w:val="single" w:color="auto" w:sz="12" w:space="1"/>
              </w:pBdr>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8,850</w:t>
            </w:r>
          </w:p>
        </w:tc>
        <w:tc>
          <w:tcPr>
            <w:tcW w:w="992" w:type="dxa"/>
            <w:vAlign w:val="bottom"/>
          </w:tcPr>
          <w:p w:rsidRPr="009C48DA" w:rsidR="00661519" w:rsidP="00661519" w:rsidRDefault="00661519" w14:paraId="45E0FFEE" w14:textId="77777777">
            <w:pPr>
              <w:ind w:right="7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1.00-1.75%</w:t>
            </w:r>
          </w:p>
        </w:tc>
        <w:tc>
          <w:tcPr>
            <w:tcW w:w="1559" w:type="dxa"/>
            <w:vAlign w:val="bottom"/>
          </w:tcPr>
          <w:p w:rsidRPr="009C48DA" w:rsidR="00661519" w:rsidP="00661519" w:rsidRDefault="00661519" w14:paraId="63C72653"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Generally up to 20% of profits over threshold</w:t>
            </w:r>
          </w:p>
        </w:tc>
        <w:tc>
          <w:tcPr>
            <w:tcW w:w="1134" w:type="dxa"/>
            <w:vAlign w:val="bottom"/>
          </w:tcPr>
          <w:p w:rsidRPr="009C48DA" w:rsidR="00661519" w:rsidP="00661519" w:rsidRDefault="00661519" w14:paraId="6A162853" w14:textId="77777777">
            <w:pPr>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Up to 35%</w:t>
            </w:r>
          </w:p>
        </w:tc>
        <w:tc>
          <w:tcPr>
            <w:tcW w:w="1318" w:type="dxa"/>
            <w:vAlign w:val="bottom"/>
          </w:tcPr>
          <w:p w:rsidRPr="009C48DA" w:rsidR="00661519" w:rsidP="00661519" w:rsidRDefault="00661519" w14:paraId="6F15E0C0" w14:textId="77777777">
            <w:pPr>
              <w:pBdr>
                <w:bottom w:val="single" w:color="auto" w:sz="12" w:space="1"/>
              </w:pBdr>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3,151</w:t>
            </w:r>
          </w:p>
        </w:tc>
        <w:tc>
          <w:tcPr>
            <w:tcW w:w="1234" w:type="dxa"/>
            <w:vAlign w:val="bottom"/>
          </w:tcPr>
          <w:p w:rsidRPr="009C48DA" w:rsidR="00661519" w:rsidP="00661519" w:rsidRDefault="00661519" w14:paraId="355C1578" w14:textId="77777777">
            <w:pPr>
              <w:pBdr>
                <w:bottom w:val="single" w:color="auto" w:sz="12" w:space="1"/>
              </w:pBdr>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71,002</w:t>
            </w:r>
          </w:p>
        </w:tc>
      </w:tr>
      <w:tr w:rsidRPr="009C48DA" w:rsidR="00661519" w:rsidTr="00661519" w14:paraId="532F26CB" w14:textId="77777777">
        <w:tc>
          <w:tcPr>
            <w:tcW w:w="1418" w:type="dxa"/>
            <w:vAlign w:val="bottom"/>
          </w:tcPr>
          <w:p w:rsidRPr="009C48DA" w:rsidR="00661519" w:rsidP="00661519" w:rsidRDefault="00661519" w14:paraId="13BF5D61" w14:textId="77777777">
            <w:pPr>
              <w:textAlignment w:val="baseline"/>
              <w:rPr>
                <w:rFonts w:eastAsia="Times New Roman" w:cs="Times New Roman"/>
                <w:color w:val="000000"/>
                <w:sz w:val="16"/>
                <w:szCs w:val="16"/>
                <w:lang w:val="en-GB"/>
              </w:rPr>
            </w:pPr>
          </w:p>
        </w:tc>
        <w:tc>
          <w:tcPr>
            <w:tcW w:w="1276" w:type="dxa"/>
            <w:vAlign w:val="bottom"/>
          </w:tcPr>
          <w:p w:rsidRPr="009C48DA" w:rsidR="00661519" w:rsidP="00661519" w:rsidRDefault="00661519" w14:paraId="2F6E16A6" w14:textId="77777777">
            <w:pPr>
              <w:pBdr>
                <w:bottom w:val="double" w:color="auto" w:sz="12" w:space="1"/>
              </w:pBdr>
              <w:ind w:right="87"/>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253,956</w:t>
            </w:r>
          </w:p>
        </w:tc>
        <w:tc>
          <w:tcPr>
            <w:tcW w:w="1275" w:type="dxa"/>
            <w:vAlign w:val="bottom"/>
          </w:tcPr>
          <w:p w:rsidRPr="009C48DA" w:rsidR="00661519" w:rsidP="00661519" w:rsidRDefault="00661519" w14:paraId="2D67B1ED" w14:textId="77777777">
            <w:pPr>
              <w:ind w:right="135"/>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7E219FD8" w14:textId="77777777">
            <w:pPr>
              <w:pBdr>
                <w:bottom w:val="double" w:color="auto" w:sz="12" w:space="1"/>
              </w:pBdr>
              <w:ind w:right="81"/>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27,929,820</w:t>
            </w:r>
          </w:p>
        </w:tc>
        <w:tc>
          <w:tcPr>
            <w:tcW w:w="1389" w:type="dxa"/>
            <w:vAlign w:val="bottom"/>
          </w:tcPr>
          <w:p w:rsidRPr="009C48DA" w:rsidR="00661519" w:rsidP="00661519" w:rsidRDefault="00661519" w14:paraId="6AFE1DFF" w14:textId="77777777">
            <w:pPr>
              <w:pBdr>
                <w:bottom w:val="double" w:color="auto" w:sz="12" w:space="1"/>
              </w:pBdr>
              <w:ind w:right="125"/>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14,180,314</w:t>
            </w:r>
          </w:p>
        </w:tc>
        <w:tc>
          <w:tcPr>
            <w:tcW w:w="1163" w:type="dxa"/>
            <w:vAlign w:val="bottom"/>
          </w:tcPr>
          <w:p w:rsidRPr="009C48DA" w:rsidR="00661519" w:rsidP="00661519" w:rsidRDefault="00661519" w14:paraId="31D1BBA5" w14:textId="77777777">
            <w:pPr>
              <w:pBdr>
                <w:bottom w:val="double" w:color="auto" w:sz="12" w:space="1"/>
              </w:pBdr>
              <w:ind w:right="14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47,846</w:t>
            </w:r>
          </w:p>
        </w:tc>
        <w:tc>
          <w:tcPr>
            <w:tcW w:w="992" w:type="dxa"/>
            <w:vAlign w:val="bottom"/>
          </w:tcPr>
          <w:p w:rsidRPr="009C48DA" w:rsidR="00661519" w:rsidP="00661519" w:rsidRDefault="00661519" w14:paraId="56187418" w14:textId="77777777">
            <w:pPr>
              <w:ind w:right="78"/>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032A9DAE" w14:textId="77777777">
            <w:pPr>
              <w:ind w:right="139"/>
              <w:jc w:val="right"/>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14EFD157" w14:textId="77777777">
            <w:pPr>
              <w:ind w:right="113"/>
              <w:jc w:val="right"/>
              <w:textAlignment w:val="baseline"/>
              <w:rPr>
                <w:rFonts w:eastAsia="Times New Roman" w:cs="Times New Roman"/>
                <w:color w:val="000000"/>
                <w:sz w:val="16"/>
                <w:szCs w:val="16"/>
                <w:lang w:val="en-GB"/>
              </w:rPr>
            </w:pPr>
          </w:p>
        </w:tc>
        <w:tc>
          <w:tcPr>
            <w:tcW w:w="1318" w:type="dxa"/>
            <w:vAlign w:val="bottom"/>
          </w:tcPr>
          <w:p w:rsidRPr="009C48DA" w:rsidR="00661519" w:rsidP="00661519" w:rsidRDefault="00661519" w14:paraId="4F3EA1C4" w14:textId="77777777">
            <w:pPr>
              <w:pBdr>
                <w:bottom w:val="double" w:color="auto" w:sz="12" w:space="1"/>
              </w:pBdr>
              <w:ind w:right="11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27,084</w:t>
            </w:r>
          </w:p>
        </w:tc>
        <w:tc>
          <w:tcPr>
            <w:tcW w:w="1234" w:type="dxa"/>
            <w:vAlign w:val="bottom"/>
          </w:tcPr>
          <w:p w:rsidRPr="009C48DA" w:rsidR="00661519" w:rsidP="00661519" w:rsidRDefault="00661519" w14:paraId="30D0BEA9" w14:textId="77777777">
            <w:pPr>
              <w:pBdr>
                <w:bottom w:val="double" w:color="auto" w:sz="12" w:space="1"/>
              </w:pBdr>
              <w:ind w:right="203"/>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281,030</w:t>
            </w:r>
          </w:p>
        </w:tc>
      </w:tr>
    </w:tbl>
    <w:p w:rsidRPr="009C48DA" w:rsidR="00661519" w:rsidP="00661519" w:rsidRDefault="00661519" w14:paraId="52F02BF0" w14:textId="77777777">
      <w:pPr>
        <w:rPr>
          <w:rFonts w:eastAsia="Times New Roman"/>
          <w:color w:val="000000"/>
          <w:sz w:val="16"/>
          <w:lang w:val="en-GB"/>
        </w:rPr>
      </w:pPr>
    </w:p>
    <w:p w:rsidRPr="009C48DA" w:rsidR="00661519" w:rsidP="00661519" w:rsidRDefault="00661519" w14:paraId="62D26922" w14:textId="77777777">
      <w:pPr>
        <w:rPr>
          <w:rFonts w:eastAsia="Times New Roman" w:cs="Times New Roman"/>
          <w:b/>
          <w:color w:val="000000"/>
          <w:sz w:val="16"/>
          <w:szCs w:val="22"/>
          <w:lang w:val="en-GB"/>
        </w:rPr>
      </w:pPr>
    </w:p>
    <w:p w:rsidRPr="009C48DA" w:rsidR="00661519" w:rsidP="00661519" w:rsidRDefault="00661519" w14:paraId="3D181A1D" w14:textId="77777777">
      <w:pPr>
        <w:rPr>
          <w:rFonts w:eastAsia="Times New Roman" w:cs="Times New Roman"/>
          <w:b/>
          <w:color w:val="000000"/>
          <w:sz w:val="16"/>
          <w:szCs w:val="22"/>
          <w:lang w:val="en-GB"/>
        </w:rPr>
      </w:pPr>
    </w:p>
    <w:p w:rsidRPr="009C48DA" w:rsidR="00661519" w:rsidP="00661519" w:rsidRDefault="00661519" w14:paraId="60AE9F6D" w14:textId="77777777">
      <w:pPr>
        <w:textAlignment w:val="baseline"/>
        <w:rPr>
          <w:rFonts w:eastAsia="Times New Roman" w:cs="Times New Roman"/>
          <w:b/>
          <w:color w:val="000000"/>
          <w:sz w:val="16"/>
          <w:szCs w:val="22"/>
          <w:lang w:val="en-GB"/>
        </w:rPr>
        <w:sectPr w:rsidRPr="009C48DA" w:rsidR="00661519" w:rsidSect="00661519">
          <w:pgSz w:w="16840" w:h="11910" w:orient="landscape"/>
          <w:pgMar w:top="1440" w:right="1440" w:bottom="1440" w:left="1440" w:header="1472" w:footer="1551" w:gutter="0"/>
          <w:cols w:space="720"/>
          <w:docGrid w:linePitch="299"/>
        </w:sectPr>
      </w:pPr>
    </w:p>
    <w:p w:rsidRPr="009C48DA" w:rsidR="00661519" w:rsidP="00661519" w:rsidRDefault="00661519" w14:paraId="26271116" w14:textId="77777777">
      <w:pPr>
        <w:textAlignment w:val="baseline"/>
        <w:rPr>
          <w:rFonts w:eastAsia="Times New Roman" w:cs="Times New Roman"/>
          <w:b/>
          <w:color w:val="000000"/>
          <w:sz w:val="16"/>
          <w:szCs w:val="22"/>
          <w:lang w:val="en-GB"/>
        </w:rPr>
      </w:pPr>
      <w:r w:rsidRPr="009C48DA">
        <w:rPr>
          <w:rFonts w:eastAsia="Times New Roman" w:cs="Times New Roman"/>
          <w:b/>
          <w:color w:val="000000"/>
          <w:sz w:val="16"/>
          <w:szCs w:val="22"/>
          <w:lang w:val="en-GB"/>
        </w:rPr>
        <w:lastRenderedPageBreak/>
        <w:t>30</w:t>
      </w:r>
      <w:r w:rsidRPr="009C48DA">
        <w:rPr>
          <w:rFonts w:eastAsia="Times New Roman"/>
          <w:b/>
          <w:color w:val="000000"/>
          <w:spacing w:val="3"/>
          <w:sz w:val="16"/>
          <w:lang w:val="en-GB"/>
        </w:rPr>
        <w:tab/>
      </w:r>
      <w:r w:rsidRPr="009C48DA">
        <w:rPr>
          <w:rFonts w:eastAsia="Times New Roman" w:cs="Times New Roman"/>
          <w:b/>
          <w:color w:val="000000"/>
          <w:sz w:val="16"/>
          <w:szCs w:val="22"/>
          <w:lang w:val="en-GB"/>
        </w:rPr>
        <w:t>Transition to IFRS</w:t>
      </w:r>
    </w:p>
    <w:p w:rsidRPr="009C48DA" w:rsidR="00661519" w:rsidP="00661519" w:rsidRDefault="00661519" w14:paraId="43C72F77" w14:textId="77777777">
      <w:pPr>
        <w:tabs>
          <w:tab w:val="left" w:pos="720"/>
        </w:tabs>
        <w:textAlignment w:val="baseline"/>
        <w:rPr>
          <w:rFonts w:eastAsia="Times New Roman" w:cs="Times New Roman"/>
          <w:b/>
          <w:color w:val="000000"/>
          <w:sz w:val="16"/>
          <w:szCs w:val="22"/>
          <w:lang w:val="en-GB"/>
        </w:rPr>
      </w:pPr>
    </w:p>
    <w:p w:rsidRPr="009C48DA" w:rsidR="00661519" w:rsidP="00661519" w:rsidRDefault="00661519" w14:paraId="4B74C418" w14:textId="77777777">
      <w:pPr>
        <w:textAlignment w:val="baseline"/>
        <w:rPr>
          <w:rFonts w:eastAsia="Times New Roman" w:cs="Times New Roman"/>
          <w:b/>
          <w:color w:val="000000"/>
          <w:sz w:val="17"/>
          <w:szCs w:val="22"/>
          <w:lang w:val="en-GB"/>
        </w:rPr>
      </w:pPr>
      <w:r w:rsidRPr="009C48DA">
        <w:rPr>
          <w:rFonts w:eastAsia="Times New Roman" w:cs="Times New Roman"/>
          <w:b/>
          <w:color w:val="000000"/>
          <w:sz w:val="17"/>
          <w:szCs w:val="22"/>
          <w:lang w:val="en-GB"/>
        </w:rPr>
        <w:t>Consolidated Statement of Financial Position as at 1 January 2018</w:t>
      </w:r>
    </w:p>
    <w:p w:rsidRPr="009C48DA" w:rsidR="00661519" w:rsidP="00661519" w:rsidRDefault="00661519" w14:paraId="59939AB8" w14:textId="77777777">
      <w:pPr>
        <w:textAlignment w:val="baseline"/>
        <w:rPr>
          <w:rFonts w:eastAsia="Times New Roman" w:cs="Times New Roman"/>
          <w:b/>
          <w:color w:val="000000"/>
          <w:sz w:val="17"/>
          <w:szCs w:val="22"/>
          <w:lang w:val="en-GB"/>
        </w:rPr>
      </w:pPr>
    </w:p>
    <w:tbl>
      <w:tblPr>
        <w:tblW w:w="9262" w:type="dxa"/>
        <w:tblLayout w:type="fixed"/>
        <w:tblCellMar>
          <w:left w:w="0" w:type="dxa"/>
          <w:right w:w="0" w:type="dxa"/>
        </w:tblCellMar>
        <w:tblLook w:val="04A0" w:firstRow="1" w:lastRow="0" w:firstColumn="1" w:lastColumn="0" w:noHBand="0" w:noVBand="1"/>
      </w:tblPr>
      <w:tblGrid>
        <w:gridCol w:w="2127"/>
        <w:gridCol w:w="1276"/>
        <w:gridCol w:w="1464"/>
        <w:gridCol w:w="1465"/>
        <w:gridCol w:w="1465"/>
        <w:gridCol w:w="1465"/>
      </w:tblGrid>
      <w:tr w:rsidRPr="009C48DA" w:rsidR="00661519" w:rsidTr="00661519" w14:paraId="69D41AEB" w14:textId="77777777">
        <w:tc>
          <w:tcPr>
            <w:tcW w:w="2127" w:type="dxa"/>
            <w:vAlign w:val="bottom"/>
          </w:tcPr>
          <w:p w:rsidRPr="009C48DA" w:rsidR="00661519" w:rsidP="00661519" w:rsidRDefault="00661519" w14:paraId="0EA3620F" w14:textId="77777777">
            <w:pPr>
              <w:textAlignment w:val="baseline"/>
              <w:rPr>
                <w:rFonts w:eastAsia="Times New Roman" w:cs="Times New Roman"/>
                <w:b/>
                <w:color w:val="000000"/>
                <w:sz w:val="16"/>
                <w:szCs w:val="16"/>
                <w:lang w:val="en-GB"/>
              </w:rPr>
            </w:pPr>
          </w:p>
        </w:tc>
        <w:tc>
          <w:tcPr>
            <w:tcW w:w="1276" w:type="dxa"/>
            <w:vAlign w:val="bottom"/>
          </w:tcPr>
          <w:p w:rsidRPr="009C48DA" w:rsidR="00661519" w:rsidP="00661519" w:rsidRDefault="00661519" w14:paraId="2CF58B6E" w14:textId="77777777">
            <w:pPr>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Note</w:t>
            </w:r>
          </w:p>
        </w:tc>
        <w:tc>
          <w:tcPr>
            <w:tcW w:w="1464" w:type="dxa"/>
            <w:vAlign w:val="bottom"/>
          </w:tcPr>
          <w:p w:rsidRPr="009C48DA" w:rsidR="00661519" w:rsidP="00661519" w:rsidRDefault="00661519" w14:paraId="62F2B45B" w14:textId="77777777">
            <w:pPr>
              <w:ind w:right="10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UK GAAP</w:t>
            </w:r>
          </w:p>
          <w:p w:rsidRPr="009C48DA" w:rsidR="00661519" w:rsidP="00661519" w:rsidRDefault="00661519" w14:paraId="13FDE625" w14:textId="77777777">
            <w:pPr>
              <w:ind w:right="10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465" w:type="dxa"/>
            <w:vAlign w:val="bottom"/>
          </w:tcPr>
          <w:p w:rsidRPr="009C48DA" w:rsidR="00661519" w:rsidP="00661519" w:rsidRDefault="00661519" w14:paraId="0E72E02D" w14:textId="77777777">
            <w:pPr>
              <w:ind w:right="164"/>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Reclassification</w:t>
            </w:r>
          </w:p>
          <w:p w:rsidRPr="009C48DA" w:rsidR="00661519" w:rsidP="00661519" w:rsidRDefault="00661519" w14:paraId="680EE3CE" w14:textId="77777777">
            <w:pPr>
              <w:ind w:right="164"/>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465" w:type="dxa"/>
            <w:vAlign w:val="bottom"/>
          </w:tcPr>
          <w:p w:rsidRPr="009C48DA" w:rsidR="00661519" w:rsidP="00661519" w:rsidRDefault="00661519" w14:paraId="1E463E4A"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Recognition and measurement differences</w:t>
            </w:r>
          </w:p>
          <w:p w:rsidRPr="009C48DA" w:rsidR="00661519" w:rsidP="00661519" w:rsidRDefault="00661519" w14:paraId="07D0584E"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465" w:type="dxa"/>
            <w:vAlign w:val="bottom"/>
          </w:tcPr>
          <w:p w:rsidRPr="009C48DA" w:rsidR="00661519" w:rsidP="00661519" w:rsidRDefault="00661519" w14:paraId="5ED85D62" w14:textId="77777777">
            <w:pPr>
              <w:ind w:right="139"/>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       IFRS as at</w:t>
            </w:r>
          </w:p>
          <w:p w:rsidRPr="009C48DA" w:rsidR="00661519" w:rsidP="00661519" w:rsidRDefault="00661519" w14:paraId="2D836985" w14:textId="77777777">
            <w:pPr>
              <w:ind w:right="139"/>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1 January 2018</w:t>
            </w:r>
          </w:p>
          <w:p w:rsidRPr="009C48DA" w:rsidR="00661519" w:rsidP="00661519" w:rsidRDefault="00661519" w14:paraId="2573E2E4" w14:textId="77777777">
            <w:pPr>
              <w:ind w:right="139"/>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0D3DB048" w14:textId="77777777">
        <w:tc>
          <w:tcPr>
            <w:tcW w:w="2127" w:type="dxa"/>
            <w:vAlign w:val="bottom"/>
          </w:tcPr>
          <w:p w:rsidRPr="009C48DA" w:rsidR="00661519" w:rsidP="00661519" w:rsidRDefault="00661519" w14:paraId="09199E43"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Assets</w:t>
            </w:r>
          </w:p>
        </w:tc>
        <w:tc>
          <w:tcPr>
            <w:tcW w:w="1276" w:type="dxa"/>
            <w:vAlign w:val="bottom"/>
          </w:tcPr>
          <w:p w:rsidRPr="009C48DA" w:rsidR="00661519" w:rsidP="00661519" w:rsidRDefault="00661519" w14:paraId="36D9319A"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4550C2CD" w14:textId="77777777">
            <w:pPr>
              <w:spacing w:before="60"/>
              <w:ind w:right="109"/>
              <w:jc w:val="right"/>
              <w:textAlignment w:val="baseline"/>
              <w:rPr>
                <w:rFonts w:eastAsia="Times New Roman" w:cs="Times New Roman"/>
                <w:color w:val="000000"/>
                <w:sz w:val="16"/>
                <w:szCs w:val="16"/>
                <w:lang w:val="en-GB"/>
              </w:rPr>
            </w:pPr>
          </w:p>
        </w:tc>
        <w:tc>
          <w:tcPr>
            <w:tcW w:w="1465" w:type="dxa"/>
          </w:tcPr>
          <w:p w:rsidRPr="009C48DA" w:rsidR="00661519" w:rsidP="00661519" w:rsidRDefault="00661519" w14:paraId="464E14DA" w14:textId="77777777">
            <w:pPr>
              <w:spacing w:before="60"/>
              <w:ind w:right="109"/>
              <w:jc w:val="right"/>
              <w:textAlignment w:val="baseline"/>
              <w:rPr>
                <w:rFonts w:eastAsia="Times New Roman" w:cs="Times New Roman"/>
                <w:color w:val="000000"/>
                <w:sz w:val="16"/>
                <w:szCs w:val="16"/>
                <w:lang w:val="en-GB"/>
              </w:rPr>
            </w:pPr>
          </w:p>
        </w:tc>
        <w:tc>
          <w:tcPr>
            <w:tcW w:w="1465" w:type="dxa"/>
            <w:vAlign w:val="bottom"/>
          </w:tcPr>
          <w:p w:rsidRPr="009C48DA" w:rsidR="00661519" w:rsidP="00661519" w:rsidRDefault="00661519" w14:paraId="3C82DBFE" w14:textId="77777777">
            <w:pPr>
              <w:spacing w:before="60"/>
              <w:ind w:right="109"/>
              <w:jc w:val="right"/>
              <w:textAlignment w:val="baseline"/>
              <w:rPr>
                <w:rFonts w:eastAsia="Times New Roman" w:cs="Times New Roman"/>
                <w:color w:val="000000"/>
                <w:sz w:val="16"/>
                <w:szCs w:val="16"/>
                <w:lang w:val="en-GB"/>
              </w:rPr>
            </w:pPr>
          </w:p>
        </w:tc>
        <w:tc>
          <w:tcPr>
            <w:tcW w:w="1465" w:type="dxa"/>
            <w:vAlign w:val="bottom"/>
          </w:tcPr>
          <w:p w:rsidRPr="009C48DA" w:rsidR="00661519" w:rsidP="00661519" w:rsidRDefault="00661519" w14:paraId="033E6F3A" w14:textId="77777777">
            <w:pPr>
              <w:spacing w:before="60"/>
              <w:ind w:right="109"/>
              <w:jc w:val="right"/>
              <w:textAlignment w:val="baseline"/>
              <w:rPr>
                <w:rFonts w:eastAsia="Times New Roman" w:cs="Times New Roman"/>
                <w:color w:val="000000"/>
                <w:sz w:val="16"/>
                <w:szCs w:val="16"/>
                <w:lang w:val="en-GB"/>
              </w:rPr>
            </w:pPr>
          </w:p>
        </w:tc>
      </w:tr>
      <w:tr w:rsidRPr="009C48DA" w:rsidR="00661519" w:rsidTr="00661519" w14:paraId="7E40AE21" w14:textId="77777777">
        <w:tc>
          <w:tcPr>
            <w:tcW w:w="2127" w:type="dxa"/>
            <w:vAlign w:val="bottom"/>
          </w:tcPr>
          <w:p w:rsidRPr="009C48DA" w:rsidR="00661519" w:rsidP="00661519" w:rsidRDefault="00661519" w14:paraId="12A07415" w14:textId="77777777">
            <w:pP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Non-current assets</w:t>
            </w:r>
          </w:p>
        </w:tc>
        <w:tc>
          <w:tcPr>
            <w:tcW w:w="1276" w:type="dxa"/>
            <w:vAlign w:val="bottom"/>
          </w:tcPr>
          <w:p w:rsidRPr="009C48DA" w:rsidR="00661519" w:rsidP="00661519" w:rsidRDefault="00661519" w14:paraId="3091FD65"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6BB2E9FC" w14:textId="77777777">
            <w:pPr>
              <w:spacing w:before="60"/>
              <w:ind w:right="109"/>
              <w:jc w:val="right"/>
              <w:textAlignment w:val="baseline"/>
              <w:rPr>
                <w:rFonts w:eastAsia="Times New Roman" w:cs="Times New Roman"/>
                <w:color w:val="000000"/>
                <w:sz w:val="16"/>
                <w:szCs w:val="16"/>
                <w:lang w:val="en-GB"/>
              </w:rPr>
            </w:pPr>
          </w:p>
        </w:tc>
        <w:tc>
          <w:tcPr>
            <w:tcW w:w="1465" w:type="dxa"/>
          </w:tcPr>
          <w:p w:rsidRPr="009C48DA" w:rsidR="00661519" w:rsidP="00661519" w:rsidRDefault="00661519" w14:paraId="49C76C62" w14:textId="77777777">
            <w:pPr>
              <w:spacing w:before="60"/>
              <w:ind w:right="109"/>
              <w:jc w:val="right"/>
              <w:textAlignment w:val="baseline"/>
              <w:rPr>
                <w:rFonts w:eastAsia="Times New Roman" w:cs="Times New Roman"/>
                <w:color w:val="000000"/>
                <w:sz w:val="16"/>
                <w:szCs w:val="16"/>
                <w:lang w:val="en-GB"/>
              </w:rPr>
            </w:pPr>
          </w:p>
        </w:tc>
        <w:tc>
          <w:tcPr>
            <w:tcW w:w="1465" w:type="dxa"/>
            <w:vAlign w:val="bottom"/>
          </w:tcPr>
          <w:p w:rsidRPr="009C48DA" w:rsidR="00661519" w:rsidP="00661519" w:rsidRDefault="00661519" w14:paraId="0295C931" w14:textId="77777777">
            <w:pPr>
              <w:spacing w:before="60"/>
              <w:ind w:right="109"/>
              <w:jc w:val="right"/>
              <w:textAlignment w:val="baseline"/>
              <w:rPr>
                <w:rFonts w:eastAsia="Times New Roman" w:cs="Times New Roman"/>
                <w:color w:val="000000"/>
                <w:sz w:val="16"/>
                <w:szCs w:val="16"/>
                <w:lang w:val="en-GB"/>
              </w:rPr>
            </w:pPr>
          </w:p>
        </w:tc>
        <w:tc>
          <w:tcPr>
            <w:tcW w:w="1465" w:type="dxa"/>
            <w:vAlign w:val="bottom"/>
          </w:tcPr>
          <w:p w:rsidRPr="009C48DA" w:rsidR="00661519" w:rsidP="00661519" w:rsidRDefault="00661519" w14:paraId="47540B42" w14:textId="77777777">
            <w:pPr>
              <w:spacing w:before="60"/>
              <w:ind w:right="109"/>
              <w:jc w:val="right"/>
              <w:textAlignment w:val="baseline"/>
              <w:rPr>
                <w:rFonts w:eastAsia="Times New Roman" w:cs="Times New Roman"/>
                <w:color w:val="000000"/>
                <w:sz w:val="16"/>
                <w:szCs w:val="16"/>
                <w:lang w:val="en-GB"/>
              </w:rPr>
            </w:pPr>
          </w:p>
        </w:tc>
      </w:tr>
      <w:tr w:rsidRPr="009C48DA" w:rsidR="00661519" w:rsidTr="00661519" w14:paraId="7B4C76F2" w14:textId="77777777">
        <w:tc>
          <w:tcPr>
            <w:tcW w:w="2127" w:type="dxa"/>
            <w:vAlign w:val="bottom"/>
          </w:tcPr>
          <w:p w:rsidRPr="009C48DA" w:rsidR="00661519" w:rsidP="00661519" w:rsidRDefault="00661519" w14:paraId="12651FF4"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Property, plant and equipment</w:t>
            </w:r>
          </w:p>
        </w:tc>
        <w:tc>
          <w:tcPr>
            <w:tcW w:w="1276" w:type="dxa"/>
            <w:vAlign w:val="bottom"/>
          </w:tcPr>
          <w:p w:rsidRPr="009C48DA" w:rsidR="00661519" w:rsidP="00661519" w:rsidRDefault="00661519" w14:paraId="4C877FC6" w14:textId="77777777">
            <w:pPr>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w:t>
            </w:r>
          </w:p>
        </w:tc>
        <w:tc>
          <w:tcPr>
            <w:tcW w:w="1464" w:type="dxa"/>
            <w:vAlign w:val="bottom"/>
          </w:tcPr>
          <w:p w:rsidRPr="009C48DA" w:rsidR="00661519" w:rsidP="00661519" w:rsidRDefault="00661519" w14:paraId="053DA84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4,090</w:t>
            </w:r>
          </w:p>
        </w:tc>
        <w:tc>
          <w:tcPr>
            <w:tcW w:w="1465" w:type="dxa"/>
          </w:tcPr>
          <w:p w:rsidRPr="009C48DA" w:rsidR="00661519" w:rsidP="00661519" w:rsidRDefault="00661519" w14:paraId="296C402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38E59B5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49,066</w:t>
            </w:r>
          </w:p>
        </w:tc>
        <w:tc>
          <w:tcPr>
            <w:tcW w:w="1465" w:type="dxa"/>
            <w:vAlign w:val="bottom"/>
          </w:tcPr>
          <w:p w:rsidRPr="009C48DA" w:rsidR="00661519" w:rsidP="00661519" w:rsidRDefault="00661519" w14:paraId="5B843E0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53,156</w:t>
            </w:r>
          </w:p>
        </w:tc>
      </w:tr>
      <w:tr w:rsidRPr="009C48DA" w:rsidR="00661519" w:rsidTr="00661519" w14:paraId="0FAFD083" w14:textId="77777777">
        <w:tc>
          <w:tcPr>
            <w:tcW w:w="2127" w:type="dxa"/>
            <w:vAlign w:val="bottom"/>
          </w:tcPr>
          <w:p w:rsidRPr="009C48DA" w:rsidR="00661519" w:rsidP="00661519" w:rsidRDefault="00661519" w14:paraId="3F7C0B0A"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Carried interest receivable</w:t>
            </w:r>
          </w:p>
        </w:tc>
        <w:tc>
          <w:tcPr>
            <w:tcW w:w="1276" w:type="dxa"/>
            <w:vAlign w:val="bottom"/>
          </w:tcPr>
          <w:p w:rsidRPr="009C48DA" w:rsidR="00661519" w:rsidP="00661519" w:rsidRDefault="00661519" w14:paraId="14C0527B" w14:textId="77777777">
            <w:pPr>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w:t>
            </w:r>
          </w:p>
        </w:tc>
        <w:tc>
          <w:tcPr>
            <w:tcW w:w="1464" w:type="dxa"/>
            <w:vAlign w:val="bottom"/>
          </w:tcPr>
          <w:p w:rsidRPr="009C48DA" w:rsidR="00661519" w:rsidP="00661519" w:rsidRDefault="00661519" w14:paraId="3128F5F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2,572</w:t>
            </w:r>
          </w:p>
        </w:tc>
        <w:tc>
          <w:tcPr>
            <w:tcW w:w="1465" w:type="dxa"/>
          </w:tcPr>
          <w:p w:rsidRPr="009C48DA" w:rsidR="00661519" w:rsidP="00661519" w:rsidRDefault="00661519" w14:paraId="0B7141A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12EF6DB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13,488</w:t>
            </w:r>
          </w:p>
        </w:tc>
        <w:tc>
          <w:tcPr>
            <w:tcW w:w="1465" w:type="dxa"/>
            <w:vAlign w:val="bottom"/>
          </w:tcPr>
          <w:p w:rsidRPr="009C48DA" w:rsidR="00661519" w:rsidP="00661519" w:rsidRDefault="00661519" w14:paraId="0651EAF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16,060</w:t>
            </w:r>
          </w:p>
        </w:tc>
      </w:tr>
      <w:tr w:rsidRPr="009C48DA" w:rsidR="00661519" w:rsidTr="00661519" w14:paraId="250CCCD7" w14:textId="77777777">
        <w:tc>
          <w:tcPr>
            <w:tcW w:w="2127" w:type="dxa"/>
            <w:vAlign w:val="bottom"/>
          </w:tcPr>
          <w:p w:rsidRPr="009C48DA" w:rsidR="00661519" w:rsidP="00661519" w:rsidRDefault="00661519" w14:paraId="66DEEFB4"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Fair value of fund investments</w:t>
            </w:r>
          </w:p>
        </w:tc>
        <w:tc>
          <w:tcPr>
            <w:tcW w:w="1276" w:type="dxa"/>
            <w:vAlign w:val="bottom"/>
          </w:tcPr>
          <w:p w:rsidRPr="009C48DA" w:rsidR="00661519" w:rsidP="00661519" w:rsidRDefault="00661519" w14:paraId="119EBC7D"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11B1B0B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105,078</w:t>
            </w:r>
          </w:p>
        </w:tc>
        <w:tc>
          <w:tcPr>
            <w:tcW w:w="1465" w:type="dxa"/>
          </w:tcPr>
          <w:p w:rsidRPr="009C48DA" w:rsidR="00661519" w:rsidP="00661519" w:rsidRDefault="00661519" w14:paraId="68D479B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3A4E9EF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75359E7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105,078</w:t>
            </w:r>
          </w:p>
        </w:tc>
      </w:tr>
      <w:tr w:rsidRPr="009C48DA" w:rsidR="00661519" w:rsidTr="00661519" w14:paraId="3B8BF717" w14:textId="77777777">
        <w:tc>
          <w:tcPr>
            <w:tcW w:w="2127" w:type="dxa"/>
            <w:vAlign w:val="bottom"/>
          </w:tcPr>
          <w:p w:rsidRPr="009C48DA" w:rsidR="00661519" w:rsidP="00661519" w:rsidRDefault="00661519" w14:paraId="771B21F4"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Investments at amortised cost</w:t>
            </w:r>
          </w:p>
        </w:tc>
        <w:tc>
          <w:tcPr>
            <w:tcW w:w="1276" w:type="dxa"/>
            <w:vAlign w:val="bottom"/>
          </w:tcPr>
          <w:p w:rsidRPr="009C48DA" w:rsidR="00661519" w:rsidP="00661519" w:rsidRDefault="00661519" w14:paraId="66F28347"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00A31B88"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45,587</w:t>
            </w:r>
          </w:p>
        </w:tc>
        <w:tc>
          <w:tcPr>
            <w:tcW w:w="1465" w:type="dxa"/>
          </w:tcPr>
          <w:p w:rsidRPr="009C48DA" w:rsidR="00661519" w:rsidP="00661519" w:rsidRDefault="00661519" w14:paraId="0C63D0A1"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6C476802"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0A6E10EC"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45,587</w:t>
            </w:r>
          </w:p>
        </w:tc>
      </w:tr>
      <w:tr w:rsidRPr="009C48DA" w:rsidR="00661519" w:rsidTr="00661519" w14:paraId="45CA8E62" w14:textId="77777777">
        <w:tc>
          <w:tcPr>
            <w:tcW w:w="2127" w:type="dxa"/>
            <w:vAlign w:val="bottom"/>
          </w:tcPr>
          <w:p w:rsidRPr="009C48DA" w:rsidR="00661519" w:rsidP="00661519" w:rsidRDefault="00661519" w14:paraId="03930088"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non-current assets</w:t>
            </w:r>
          </w:p>
        </w:tc>
        <w:tc>
          <w:tcPr>
            <w:tcW w:w="1276" w:type="dxa"/>
            <w:vAlign w:val="bottom"/>
          </w:tcPr>
          <w:p w:rsidRPr="009C48DA" w:rsidR="00661519" w:rsidP="00661519" w:rsidRDefault="00661519" w14:paraId="39880659"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32684CDD"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157,327</w:t>
            </w:r>
          </w:p>
        </w:tc>
        <w:tc>
          <w:tcPr>
            <w:tcW w:w="1465" w:type="dxa"/>
          </w:tcPr>
          <w:p w:rsidRPr="009C48DA" w:rsidR="00661519" w:rsidP="00661519" w:rsidRDefault="00661519" w14:paraId="66598D87"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14976CAE"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62,554</w:t>
            </w:r>
          </w:p>
        </w:tc>
        <w:tc>
          <w:tcPr>
            <w:tcW w:w="1465" w:type="dxa"/>
            <w:vAlign w:val="bottom"/>
          </w:tcPr>
          <w:p w:rsidRPr="009C48DA" w:rsidR="00661519" w:rsidP="00661519" w:rsidRDefault="00661519" w14:paraId="103113A0"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219,881</w:t>
            </w:r>
          </w:p>
        </w:tc>
      </w:tr>
      <w:tr w:rsidRPr="009C48DA" w:rsidR="00661519" w:rsidTr="00661519" w14:paraId="293FA80F" w14:textId="77777777">
        <w:tc>
          <w:tcPr>
            <w:tcW w:w="2127" w:type="dxa"/>
            <w:vAlign w:val="bottom"/>
          </w:tcPr>
          <w:p w:rsidRPr="009C48DA" w:rsidR="00661519" w:rsidP="00661519" w:rsidRDefault="00661519" w14:paraId="06C5145B" w14:textId="77777777">
            <w:pPr>
              <w:textAlignment w:val="baseline"/>
              <w:rPr>
                <w:rFonts w:eastAsia="Times New Roman" w:cs="Times New Roman"/>
                <w:b/>
                <w:color w:val="000000"/>
                <w:sz w:val="16"/>
                <w:szCs w:val="16"/>
                <w:lang w:val="en-GB"/>
              </w:rPr>
            </w:pPr>
          </w:p>
          <w:p w:rsidRPr="009C48DA" w:rsidR="00661519" w:rsidP="00661519" w:rsidRDefault="00661519" w14:paraId="51AA96DD"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Current assets</w:t>
            </w:r>
          </w:p>
        </w:tc>
        <w:tc>
          <w:tcPr>
            <w:tcW w:w="1276" w:type="dxa"/>
            <w:vAlign w:val="bottom"/>
          </w:tcPr>
          <w:p w:rsidRPr="009C48DA" w:rsidR="00661519" w:rsidP="00661519" w:rsidRDefault="00661519" w14:paraId="186A71C8"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469BC2C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465" w:type="dxa"/>
          </w:tcPr>
          <w:p w:rsidRPr="009C48DA" w:rsidR="00661519" w:rsidP="00661519" w:rsidRDefault="00661519" w14:paraId="608CEE57" w14:textId="77777777">
            <w:pPr>
              <w:spacing w:before="60"/>
              <w:ind w:right="109"/>
              <w:jc w:val="right"/>
              <w:textAlignment w:val="baseline"/>
              <w:rPr>
                <w:rFonts w:eastAsia="Times New Roman" w:cs="Times New Roman"/>
                <w:color w:val="000000"/>
                <w:sz w:val="16"/>
                <w:szCs w:val="16"/>
                <w:lang w:val="en-GB"/>
              </w:rPr>
            </w:pPr>
          </w:p>
        </w:tc>
        <w:tc>
          <w:tcPr>
            <w:tcW w:w="1465" w:type="dxa"/>
            <w:vAlign w:val="bottom"/>
          </w:tcPr>
          <w:p w:rsidRPr="009C48DA" w:rsidR="00661519" w:rsidP="00661519" w:rsidRDefault="00661519" w14:paraId="19A05E78"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465" w:type="dxa"/>
            <w:vAlign w:val="bottom"/>
          </w:tcPr>
          <w:p w:rsidRPr="009C48DA" w:rsidR="00661519" w:rsidP="00661519" w:rsidRDefault="00661519" w14:paraId="3854D36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18751511" w14:textId="77777777">
        <w:tc>
          <w:tcPr>
            <w:tcW w:w="2127" w:type="dxa"/>
            <w:vAlign w:val="bottom"/>
          </w:tcPr>
          <w:p w:rsidRPr="009C48DA" w:rsidR="00661519" w:rsidP="00661519" w:rsidRDefault="00661519" w14:paraId="0A1F086A"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receivables</w:t>
            </w:r>
          </w:p>
        </w:tc>
        <w:tc>
          <w:tcPr>
            <w:tcW w:w="1276" w:type="dxa"/>
            <w:vAlign w:val="bottom"/>
          </w:tcPr>
          <w:p w:rsidRPr="009C48DA" w:rsidR="00661519" w:rsidP="00661519" w:rsidRDefault="00661519" w14:paraId="6392907D"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08BDFE4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47,515</w:t>
            </w:r>
          </w:p>
        </w:tc>
        <w:tc>
          <w:tcPr>
            <w:tcW w:w="1465" w:type="dxa"/>
          </w:tcPr>
          <w:p w:rsidRPr="009C48DA" w:rsidR="00661519" w:rsidP="00661519" w:rsidRDefault="00661519" w14:paraId="7BD0AEB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0FCBF39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1E4D59A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47,515</w:t>
            </w:r>
          </w:p>
        </w:tc>
      </w:tr>
      <w:tr w:rsidRPr="009C48DA" w:rsidR="00661519" w:rsidTr="00661519" w14:paraId="5ACEAE14" w14:textId="77777777">
        <w:tc>
          <w:tcPr>
            <w:tcW w:w="2127" w:type="dxa"/>
            <w:vAlign w:val="bottom"/>
          </w:tcPr>
          <w:p w:rsidRPr="009C48DA" w:rsidR="00661519" w:rsidP="00661519" w:rsidRDefault="00661519" w14:paraId="5EB5E5E5"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Cash and cash equivalents</w:t>
            </w:r>
          </w:p>
        </w:tc>
        <w:tc>
          <w:tcPr>
            <w:tcW w:w="1276" w:type="dxa"/>
            <w:vAlign w:val="bottom"/>
          </w:tcPr>
          <w:p w:rsidRPr="009C48DA" w:rsidR="00661519" w:rsidP="00661519" w:rsidRDefault="00661519" w14:paraId="03416F4B"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00572F58"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19,065</w:t>
            </w:r>
          </w:p>
        </w:tc>
        <w:tc>
          <w:tcPr>
            <w:tcW w:w="1465" w:type="dxa"/>
          </w:tcPr>
          <w:p w:rsidRPr="009C48DA" w:rsidR="00661519" w:rsidP="00661519" w:rsidRDefault="00661519" w14:paraId="2BC0050F"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008EE2DE"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04A220BD"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19,065</w:t>
            </w:r>
          </w:p>
        </w:tc>
      </w:tr>
      <w:tr w:rsidRPr="009C48DA" w:rsidR="00661519" w:rsidTr="00661519" w14:paraId="3E3D2404" w14:textId="77777777">
        <w:tc>
          <w:tcPr>
            <w:tcW w:w="2127" w:type="dxa"/>
            <w:vAlign w:val="bottom"/>
          </w:tcPr>
          <w:p w:rsidRPr="009C48DA" w:rsidR="00661519" w:rsidP="00661519" w:rsidRDefault="00661519" w14:paraId="45F91C2D"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current assets</w:t>
            </w:r>
          </w:p>
        </w:tc>
        <w:tc>
          <w:tcPr>
            <w:tcW w:w="1276" w:type="dxa"/>
            <w:vAlign w:val="bottom"/>
          </w:tcPr>
          <w:p w:rsidRPr="009C48DA" w:rsidR="00661519" w:rsidP="00661519" w:rsidRDefault="00661519" w14:paraId="00BABBF3"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16C90557"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66,580</w:t>
            </w:r>
          </w:p>
        </w:tc>
        <w:tc>
          <w:tcPr>
            <w:tcW w:w="1465" w:type="dxa"/>
          </w:tcPr>
          <w:p w:rsidRPr="009C48DA" w:rsidR="00661519" w:rsidP="00661519" w:rsidRDefault="00661519" w14:paraId="38DE8697"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4BDE25BC"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245A7B69"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66,580</w:t>
            </w:r>
          </w:p>
        </w:tc>
      </w:tr>
      <w:tr w:rsidRPr="009C48DA" w:rsidR="00661519" w:rsidTr="00661519" w14:paraId="2298ADAD" w14:textId="77777777">
        <w:tc>
          <w:tcPr>
            <w:tcW w:w="2127" w:type="dxa"/>
            <w:vAlign w:val="bottom"/>
          </w:tcPr>
          <w:p w:rsidRPr="009C48DA" w:rsidR="00661519" w:rsidP="00661519" w:rsidRDefault="00661519" w14:paraId="4A9B821F"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assets</w:t>
            </w:r>
          </w:p>
        </w:tc>
        <w:tc>
          <w:tcPr>
            <w:tcW w:w="1276" w:type="dxa"/>
            <w:vAlign w:val="bottom"/>
          </w:tcPr>
          <w:p w:rsidRPr="009C48DA" w:rsidR="00661519" w:rsidP="00661519" w:rsidRDefault="00661519" w14:paraId="4ADBC2D7"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6BCE9B4D"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223,907</w:t>
            </w:r>
          </w:p>
        </w:tc>
        <w:tc>
          <w:tcPr>
            <w:tcW w:w="1465" w:type="dxa"/>
          </w:tcPr>
          <w:p w:rsidRPr="009C48DA" w:rsidR="00661519" w:rsidP="00661519" w:rsidRDefault="00661519" w14:paraId="7028DA12"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6A42E38A"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62,554</w:t>
            </w:r>
          </w:p>
        </w:tc>
        <w:tc>
          <w:tcPr>
            <w:tcW w:w="1465" w:type="dxa"/>
            <w:vAlign w:val="bottom"/>
          </w:tcPr>
          <w:p w:rsidRPr="009C48DA" w:rsidR="00661519" w:rsidP="00661519" w:rsidRDefault="00661519" w14:paraId="232020D7"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286,461</w:t>
            </w:r>
          </w:p>
        </w:tc>
      </w:tr>
      <w:tr w:rsidRPr="009C48DA" w:rsidR="00661519" w:rsidTr="00661519" w14:paraId="44A9B325" w14:textId="77777777">
        <w:tc>
          <w:tcPr>
            <w:tcW w:w="2127" w:type="dxa"/>
            <w:vAlign w:val="bottom"/>
          </w:tcPr>
          <w:p w:rsidRPr="009C48DA" w:rsidR="00661519" w:rsidP="00661519" w:rsidRDefault="00661519" w14:paraId="564B89F5" w14:textId="77777777">
            <w:pPr>
              <w:textAlignment w:val="baseline"/>
              <w:rPr>
                <w:rFonts w:eastAsia="Times New Roman" w:cs="Times New Roman"/>
                <w:b/>
                <w:color w:val="000000"/>
                <w:sz w:val="16"/>
                <w:szCs w:val="16"/>
                <w:lang w:val="en-GB"/>
              </w:rPr>
            </w:pPr>
          </w:p>
          <w:p w:rsidRPr="009C48DA" w:rsidR="00661519" w:rsidP="00661519" w:rsidRDefault="00661519" w14:paraId="2AF85A1E"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Liabilities</w:t>
            </w:r>
          </w:p>
        </w:tc>
        <w:tc>
          <w:tcPr>
            <w:tcW w:w="1276" w:type="dxa"/>
            <w:vAlign w:val="bottom"/>
          </w:tcPr>
          <w:p w:rsidRPr="009C48DA" w:rsidR="00661519" w:rsidP="00661519" w:rsidRDefault="00661519" w14:paraId="14A5E9C6"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3C05FF3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465" w:type="dxa"/>
          </w:tcPr>
          <w:p w:rsidRPr="009C48DA" w:rsidR="00661519" w:rsidP="00661519" w:rsidRDefault="00661519" w14:paraId="4D1D8460" w14:textId="77777777">
            <w:pPr>
              <w:spacing w:before="60"/>
              <w:ind w:right="109"/>
              <w:jc w:val="right"/>
              <w:textAlignment w:val="baseline"/>
              <w:rPr>
                <w:rFonts w:eastAsia="Times New Roman" w:cs="Times New Roman"/>
                <w:color w:val="000000"/>
                <w:sz w:val="16"/>
                <w:szCs w:val="16"/>
                <w:lang w:val="en-GB"/>
              </w:rPr>
            </w:pPr>
          </w:p>
        </w:tc>
        <w:tc>
          <w:tcPr>
            <w:tcW w:w="1465" w:type="dxa"/>
            <w:vAlign w:val="bottom"/>
          </w:tcPr>
          <w:p w:rsidRPr="009C48DA" w:rsidR="00661519" w:rsidP="00661519" w:rsidRDefault="00661519" w14:paraId="006C401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465" w:type="dxa"/>
            <w:vAlign w:val="bottom"/>
          </w:tcPr>
          <w:p w:rsidRPr="009C48DA" w:rsidR="00661519" w:rsidP="00661519" w:rsidRDefault="00661519" w14:paraId="53E2F3A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46655B20" w14:textId="77777777">
        <w:tc>
          <w:tcPr>
            <w:tcW w:w="2127" w:type="dxa"/>
            <w:vAlign w:val="bottom"/>
          </w:tcPr>
          <w:p w:rsidRPr="009C48DA" w:rsidR="00661519" w:rsidP="00661519" w:rsidRDefault="00661519" w14:paraId="3D4A6C35"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Non-current liabilities</w:t>
            </w:r>
          </w:p>
        </w:tc>
        <w:tc>
          <w:tcPr>
            <w:tcW w:w="1276" w:type="dxa"/>
            <w:vAlign w:val="bottom"/>
          </w:tcPr>
          <w:p w:rsidRPr="009C48DA" w:rsidR="00661519" w:rsidP="00661519" w:rsidRDefault="00661519" w14:paraId="6B25F7F5"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2AA64F8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465" w:type="dxa"/>
          </w:tcPr>
          <w:p w:rsidRPr="009C48DA" w:rsidR="00661519" w:rsidP="00661519" w:rsidRDefault="00661519" w14:paraId="494548CE" w14:textId="77777777">
            <w:pPr>
              <w:spacing w:before="60"/>
              <w:ind w:right="109"/>
              <w:jc w:val="right"/>
              <w:textAlignment w:val="baseline"/>
              <w:rPr>
                <w:rFonts w:eastAsia="Times New Roman" w:cs="Times New Roman"/>
                <w:color w:val="000000"/>
                <w:sz w:val="16"/>
                <w:szCs w:val="16"/>
                <w:lang w:val="en-GB"/>
              </w:rPr>
            </w:pPr>
          </w:p>
        </w:tc>
        <w:tc>
          <w:tcPr>
            <w:tcW w:w="1465" w:type="dxa"/>
            <w:vAlign w:val="bottom"/>
          </w:tcPr>
          <w:p w:rsidRPr="009C48DA" w:rsidR="00661519" w:rsidP="00661519" w:rsidRDefault="00661519" w14:paraId="0206D61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465" w:type="dxa"/>
            <w:vAlign w:val="bottom"/>
          </w:tcPr>
          <w:p w:rsidRPr="009C48DA" w:rsidR="00661519" w:rsidP="00661519" w:rsidRDefault="00661519" w14:paraId="5B50D0C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48E29189" w14:textId="77777777">
        <w:tc>
          <w:tcPr>
            <w:tcW w:w="2127" w:type="dxa"/>
            <w:vAlign w:val="bottom"/>
          </w:tcPr>
          <w:p w:rsidRPr="009C48DA" w:rsidR="00661519" w:rsidP="00661519" w:rsidRDefault="00661519" w14:paraId="3965B165"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payables</w:t>
            </w:r>
          </w:p>
        </w:tc>
        <w:tc>
          <w:tcPr>
            <w:tcW w:w="1276" w:type="dxa"/>
            <w:vAlign w:val="bottom"/>
          </w:tcPr>
          <w:p w:rsidRPr="009C48DA" w:rsidR="00661519" w:rsidP="00661519" w:rsidRDefault="00661519" w14:paraId="0D533035" w14:textId="77777777">
            <w:pPr>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w:t>
            </w:r>
          </w:p>
        </w:tc>
        <w:tc>
          <w:tcPr>
            <w:tcW w:w="1464" w:type="dxa"/>
            <w:vAlign w:val="bottom"/>
          </w:tcPr>
          <w:p w:rsidRPr="009C48DA" w:rsidR="00661519" w:rsidP="00661519" w:rsidRDefault="00661519" w14:paraId="4B6D23CA"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tcPr>
          <w:p w:rsidRPr="009C48DA" w:rsidR="00661519" w:rsidP="00661519" w:rsidRDefault="00661519" w14:paraId="3502E19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42,637</w:t>
            </w:r>
          </w:p>
        </w:tc>
        <w:tc>
          <w:tcPr>
            <w:tcW w:w="1465" w:type="dxa"/>
            <w:vAlign w:val="bottom"/>
          </w:tcPr>
          <w:p w:rsidRPr="009C48DA" w:rsidR="00661519" w:rsidP="00661519" w:rsidRDefault="00661519" w14:paraId="4A9606B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222</w:t>
            </w:r>
          </w:p>
        </w:tc>
        <w:tc>
          <w:tcPr>
            <w:tcW w:w="1465" w:type="dxa"/>
            <w:vAlign w:val="bottom"/>
          </w:tcPr>
          <w:p w:rsidRPr="009C48DA" w:rsidR="00661519" w:rsidP="00661519" w:rsidRDefault="00661519" w14:paraId="788CB40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42,859</w:t>
            </w:r>
          </w:p>
        </w:tc>
      </w:tr>
      <w:tr w:rsidRPr="009C48DA" w:rsidR="00661519" w:rsidTr="00661519" w14:paraId="037A1C27" w14:textId="77777777">
        <w:tc>
          <w:tcPr>
            <w:tcW w:w="2127" w:type="dxa"/>
            <w:vAlign w:val="bottom"/>
          </w:tcPr>
          <w:p w:rsidRPr="009C48DA" w:rsidR="00661519" w:rsidP="00661519" w:rsidRDefault="00661519" w14:paraId="36F60252"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Borrowings </w:t>
            </w:r>
          </w:p>
        </w:tc>
        <w:tc>
          <w:tcPr>
            <w:tcW w:w="1276" w:type="dxa"/>
            <w:vAlign w:val="bottom"/>
          </w:tcPr>
          <w:p w:rsidRPr="009C48DA" w:rsidR="00661519" w:rsidP="00661519" w:rsidRDefault="00661519" w14:paraId="16C3DD8E"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73175B4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26,155</w:t>
            </w:r>
          </w:p>
        </w:tc>
        <w:tc>
          <w:tcPr>
            <w:tcW w:w="1465" w:type="dxa"/>
          </w:tcPr>
          <w:p w:rsidRPr="009C48DA" w:rsidR="00661519" w:rsidP="00661519" w:rsidRDefault="00661519" w14:paraId="6216036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018D078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1A672EC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26,155</w:t>
            </w:r>
          </w:p>
        </w:tc>
      </w:tr>
      <w:tr w:rsidRPr="009C48DA" w:rsidR="00661519" w:rsidTr="00661519" w14:paraId="69409CFB" w14:textId="77777777">
        <w:tc>
          <w:tcPr>
            <w:tcW w:w="2127" w:type="dxa"/>
            <w:vAlign w:val="bottom"/>
          </w:tcPr>
          <w:p w:rsidRPr="009C48DA" w:rsidR="00661519" w:rsidP="00661519" w:rsidRDefault="00661519" w14:paraId="7E96C850"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Other financial liabilities</w:t>
            </w:r>
          </w:p>
        </w:tc>
        <w:tc>
          <w:tcPr>
            <w:tcW w:w="1276" w:type="dxa"/>
            <w:vAlign w:val="bottom"/>
          </w:tcPr>
          <w:p w:rsidRPr="009C48DA" w:rsidR="00661519" w:rsidP="00661519" w:rsidRDefault="00661519" w14:paraId="798F99D6"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150D973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735</w:t>
            </w:r>
          </w:p>
        </w:tc>
        <w:tc>
          <w:tcPr>
            <w:tcW w:w="1465" w:type="dxa"/>
          </w:tcPr>
          <w:p w:rsidRPr="009C48DA" w:rsidR="00661519" w:rsidP="00661519" w:rsidRDefault="00661519" w14:paraId="456EBED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449B4DB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15012DA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735</w:t>
            </w:r>
          </w:p>
        </w:tc>
      </w:tr>
      <w:tr w:rsidRPr="009C48DA" w:rsidR="00661519" w:rsidTr="00661519" w14:paraId="09ABC27F" w14:textId="77777777">
        <w:tc>
          <w:tcPr>
            <w:tcW w:w="2127" w:type="dxa"/>
            <w:vAlign w:val="bottom"/>
          </w:tcPr>
          <w:p w:rsidRPr="009C48DA" w:rsidR="00661519" w:rsidP="00661519" w:rsidRDefault="00661519" w14:paraId="6ED3300F"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Lease liabilities</w:t>
            </w:r>
          </w:p>
        </w:tc>
        <w:tc>
          <w:tcPr>
            <w:tcW w:w="1276" w:type="dxa"/>
            <w:vAlign w:val="bottom"/>
          </w:tcPr>
          <w:p w:rsidRPr="009C48DA" w:rsidR="00661519" w:rsidP="00661519" w:rsidRDefault="00661519" w14:paraId="36E7985A" w14:textId="77777777">
            <w:pPr>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w:t>
            </w:r>
          </w:p>
        </w:tc>
        <w:tc>
          <w:tcPr>
            <w:tcW w:w="1464" w:type="dxa"/>
            <w:vAlign w:val="bottom"/>
          </w:tcPr>
          <w:p w:rsidRPr="009C48DA" w:rsidR="00661519" w:rsidP="00661519" w:rsidRDefault="00661519" w14:paraId="6DCC738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tcPr>
          <w:p w:rsidRPr="009C48DA" w:rsidR="00661519" w:rsidP="00661519" w:rsidRDefault="00661519" w14:paraId="577A1DF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02DDB2F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45,265</w:t>
            </w:r>
          </w:p>
        </w:tc>
        <w:tc>
          <w:tcPr>
            <w:tcW w:w="1465" w:type="dxa"/>
            <w:vAlign w:val="bottom"/>
          </w:tcPr>
          <w:p w:rsidRPr="009C48DA" w:rsidR="00661519" w:rsidP="00661519" w:rsidRDefault="00661519" w14:paraId="0E27030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45,265</w:t>
            </w:r>
          </w:p>
        </w:tc>
      </w:tr>
      <w:tr w:rsidRPr="009C48DA" w:rsidR="00661519" w:rsidTr="00661519" w14:paraId="3EFEB64E" w14:textId="77777777">
        <w:tc>
          <w:tcPr>
            <w:tcW w:w="2127" w:type="dxa"/>
            <w:vAlign w:val="bottom"/>
          </w:tcPr>
          <w:p w:rsidRPr="009C48DA" w:rsidR="00661519" w:rsidP="00661519" w:rsidRDefault="00661519" w14:paraId="1D5126EE"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Deferred tax liabilities</w:t>
            </w:r>
          </w:p>
        </w:tc>
        <w:tc>
          <w:tcPr>
            <w:tcW w:w="1276" w:type="dxa"/>
            <w:vAlign w:val="bottom"/>
          </w:tcPr>
          <w:p w:rsidRPr="009C48DA" w:rsidR="00661519" w:rsidP="00661519" w:rsidRDefault="00661519" w14:paraId="4D4F330E" w14:textId="77777777">
            <w:pPr>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(h)</w:t>
            </w:r>
          </w:p>
        </w:tc>
        <w:tc>
          <w:tcPr>
            <w:tcW w:w="1464" w:type="dxa"/>
            <w:vAlign w:val="bottom"/>
          </w:tcPr>
          <w:p w:rsidRPr="009C48DA" w:rsidR="00661519" w:rsidP="00661519" w:rsidRDefault="00661519" w14:paraId="72667B92"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tcPr>
          <w:p w:rsidRPr="009C48DA" w:rsidR="00661519" w:rsidP="00661519" w:rsidRDefault="00661519" w14:paraId="609F87EC"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632E5A8C"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675</w:t>
            </w:r>
          </w:p>
        </w:tc>
        <w:tc>
          <w:tcPr>
            <w:tcW w:w="1465" w:type="dxa"/>
            <w:vAlign w:val="bottom"/>
          </w:tcPr>
          <w:p w:rsidRPr="009C48DA" w:rsidR="00661519" w:rsidP="00661519" w:rsidRDefault="00661519" w14:paraId="0454A9B2"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675</w:t>
            </w:r>
          </w:p>
        </w:tc>
      </w:tr>
      <w:tr w:rsidRPr="009C48DA" w:rsidR="00661519" w:rsidTr="00661519" w14:paraId="6B8CB6A8" w14:textId="77777777">
        <w:tc>
          <w:tcPr>
            <w:tcW w:w="2127" w:type="dxa"/>
            <w:vAlign w:val="bottom"/>
          </w:tcPr>
          <w:p w:rsidRPr="009C48DA" w:rsidR="00661519" w:rsidP="00661519" w:rsidRDefault="00661519" w14:paraId="4CA4A15B"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non-current liabilities</w:t>
            </w:r>
          </w:p>
        </w:tc>
        <w:tc>
          <w:tcPr>
            <w:tcW w:w="1276" w:type="dxa"/>
            <w:vAlign w:val="bottom"/>
          </w:tcPr>
          <w:p w:rsidRPr="009C48DA" w:rsidR="00661519" w:rsidP="00661519" w:rsidRDefault="00661519" w14:paraId="62CF03C9"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3AD12D28"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26,890</w:t>
            </w:r>
          </w:p>
        </w:tc>
        <w:tc>
          <w:tcPr>
            <w:tcW w:w="1465" w:type="dxa"/>
          </w:tcPr>
          <w:p w:rsidRPr="009C48DA" w:rsidR="00661519" w:rsidP="00661519" w:rsidRDefault="00661519" w14:paraId="05BE2A08"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42,637</w:t>
            </w:r>
          </w:p>
        </w:tc>
        <w:tc>
          <w:tcPr>
            <w:tcW w:w="1465" w:type="dxa"/>
            <w:vAlign w:val="bottom"/>
          </w:tcPr>
          <w:p w:rsidRPr="009C48DA" w:rsidR="00661519" w:rsidP="00661519" w:rsidRDefault="00661519" w14:paraId="6B5F27DB"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46,162</w:t>
            </w:r>
          </w:p>
        </w:tc>
        <w:tc>
          <w:tcPr>
            <w:tcW w:w="1465" w:type="dxa"/>
            <w:vAlign w:val="bottom"/>
          </w:tcPr>
          <w:p w:rsidRPr="009C48DA" w:rsidR="00661519" w:rsidP="00661519" w:rsidRDefault="00661519" w14:paraId="3C88EA2E"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115,689</w:t>
            </w:r>
          </w:p>
        </w:tc>
      </w:tr>
      <w:tr w:rsidRPr="009C48DA" w:rsidR="00661519" w:rsidTr="00661519" w14:paraId="7CBFD487" w14:textId="77777777">
        <w:tc>
          <w:tcPr>
            <w:tcW w:w="2127" w:type="dxa"/>
            <w:vAlign w:val="bottom"/>
          </w:tcPr>
          <w:p w:rsidRPr="009C48DA" w:rsidR="00661519" w:rsidP="00661519" w:rsidRDefault="00661519" w14:paraId="104843F8" w14:textId="77777777">
            <w:pPr>
              <w:textAlignment w:val="baseline"/>
              <w:rPr>
                <w:rFonts w:eastAsia="Times New Roman" w:cs="Times New Roman"/>
                <w:b/>
                <w:color w:val="000000"/>
                <w:sz w:val="16"/>
                <w:szCs w:val="16"/>
                <w:lang w:val="en-GB"/>
              </w:rPr>
            </w:pPr>
          </w:p>
          <w:p w:rsidRPr="009C48DA" w:rsidR="00661519" w:rsidP="00661519" w:rsidRDefault="00661519" w14:paraId="3F643B2A"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Current liabilities</w:t>
            </w:r>
          </w:p>
        </w:tc>
        <w:tc>
          <w:tcPr>
            <w:tcW w:w="1276" w:type="dxa"/>
            <w:vAlign w:val="bottom"/>
          </w:tcPr>
          <w:p w:rsidRPr="009C48DA" w:rsidR="00661519" w:rsidP="00661519" w:rsidRDefault="00661519" w14:paraId="033E8B56"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117403E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465" w:type="dxa"/>
          </w:tcPr>
          <w:p w:rsidRPr="009C48DA" w:rsidR="00661519" w:rsidP="00661519" w:rsidRDefault="00661519" w14:paraId="2AC5E44D" w14:textId="77777777">
            <w:pPr>
              <w:spacing w:before="60"/>
              <w:ind w:right="109"/>
              <w:jc w:val="right"/>
              <w:textAlignment w:val="baseline"/>
              <w:rPr>
                <w:rFonts w:eastAsia="Times New Roman" w:cs="Times New Roman"/>
                <w:color w:val="000000"/>
                <w:sz w:val="16"/>
                <w:szCs w:val="16"/>
                <w:lang w:val="en-GB"/>
              </w:rPr>
            </w:pPr>
          </w:p>
        </w:tc>
        <w:tc>
          <w:tcPr>
            <w:tcW w:w="1465" w:type="dxa"/>
            <w:vAlign w:val="bottom"/>
          </w:tcPr>
          <w:p w:rsidRPr="009C48DA" w:rsidR="00661519" w:rsidP="00661519" w:rsidRDefault="00661519" w14:paraId="04D4175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465" w:type="dxa"/>
            <w:vAlign w:val="bottom"/>
          </w:tcPr>
          <w:p w:rsidRPr="009C48DA" w:rsidR="00661519" w:rsidP="00661519" w:rsidRDefault="00661519" w14:paraId="5791503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2CB8E830" w14:textId="77777777">
        <w:tc>
          <w:tcPr>
            <w:tcW w:w="2127" w:type="dxa"/>
            <w:vAlign w:val="bottom"/>
          </w:tcPr>
          <w:p w:rsidRPr="009C48DA" w:rsidR="00661519" w:rsidP="00661519" w:rsidRDefault="00661519" w14:paraId="66492ADD"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payables</w:t>
            </w:r>
          </w:p>
        </w:tc>
        <w:tc>
          <w:tcPr>
            <w:tcW w:w="1276" w:type="dxa"/>
            <w:vAlign w:val="bottom"/>
          </w:tcPr>
          <w:p w:rsidRPr="009C48DA" w:rsidR="00661519" w:rsidP="00661519" w:rsidRDefault="00661519" w14:paraId="1FFE48D0"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793C15F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42,637</w:t>
            </w:r>
          </w:p>
        </w:tc>
        <w:tc>
          <w:tcPr>
            <w:tcW w:w="1465" w:type="dxa"/>
          </w:tcPr>
          <w:p w:rsidRPr="009C48DA" w:rsidR="00661519" w:rsidP="00661519" w:rsidRDefault="00661519" w14:paraId="1122E29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(42,637)</w:t>
            </w:r>
          </w:p>
        </w:tc>
        <w:tc>
          <w:tcPr>
            <w:tcW w:w="1465" w:type="dxa"/>
            <w:vAlign w:val="bottom"/>
          </w:tcPr>
          <w:p w:rsidRPr="009C48DA" w:rsidR="00661519" w:rsidP="00661519" w:rsidRDefault="00661519" w14:paraId="025AC60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6F6C670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082B27D4" w14:textId="77777777">
        <w:tc>
          <w:tcPr>
            <w:tcW w:w="2127" w:type="dxa"/>
            <w:vAlign w:val="bottom"/>
          </w:tcPr>
          <w:p w:rsidRPr="009C48DA" w:rsidR="00661519" w:rsidP="00661519" w:rsidRDefault="00661519" w14:paraId="4CB03AD9"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Borrowings </w:t>
            </w:r>
          </w:p>
        </w:tc>
        <w:tc>
          <w:tcPr>
            <w:tcW w:w="1276" w:type="dxa"/>
            <w:vAlign w:val="bottom"/>
          </w:tcPr>
          <w:p w:rsidRPr="009C48DA" w:rsidR="00661519" w:rsidP="00661519" w:rsidRDefault="00661519" w14:paraId="1FCE86A1"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510F824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tcPr>
          <w:p w:rsidRPr="009C48DA" w:rsidR="00661519" w:rsidP="00661519" w:rsidRDefault="00661519" w14:paraId="5B0531E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71579A5E"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48C9FE3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2C70D619" w14:textId="77777777">
        <w:tc>
          <w:tcPr>
            <w:tcW w:w="2127" w:type="dxa"/>
            <w:vAlign w:val="bottom"/>
          </w:tcPr>
          <w:p w:rsidRPr="009C48DA" w:rsidR="00661519" w:rsidP="00661519" w:rsidRDefault="00661519" w14:paraId="7AA3B64C"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Lease liabilities</w:t>
            </w:r>
          </w:p>
        </w:tc>
        <w:tc>
          <w:tcPr>
            <w:tcW w:w="1276" w:type="dxa"/>
            <w:vAlign w:val="bottom"/>
          </w:tcPr>
          <w:p w:rsidRPr="009C48DA" w:rsidR="00661519" w:rsidP="00661519" w:rsidRDefault="00661519" w14:paraId="759569FB" w14:textId="77777777">
            <w:pPr>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w:t>
            </w:r>
          </w:p>
        </w:tc>
        <w:tc>
          <w:tcPr>
            <w:tcW w:w="1464" w:type="dxa"/>
            <w:vAlign w:val="bottom"/>
          </w:tcPr>
          <w:p w:rsidRPr="009C48DA" w:rsidR="00661519" w:rsidP="00661519" w:rsidRDefault="00661519" w14:paraId="000FC37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tcPr>
          <w:p w:rsidRPr="009C48DA" w:rsidR="00661519" w:rsidP="00661519" w:rsidRDefault="00661519" w14:paraId="77C95FE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0370EDF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3,579</w:t>
            </w:r>
          </w:p>
        </w:tc>
        <w:tc>
          <w:tcPr>
            <w:tcW w:w="1465" w:type="dxa"/>
            <w:vAlign w:val="bottom"/>
          </w:tcPr>
          <w:p w:rsidRPr="009C48DA" w:rsidR="00661519" w:rsidP="00661519" w:rsidRDefault="00661519" w14:paraId="1E653A0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3,579</w:t>
            </w:r>
          </w:p>
        </w:tc>
      </w:tr>
      <w:tr w:rsidRPr="009C48DA" w:rsidR="00661519" w:rsidTr="00661519" w14:paraId="09F86AC8" w14:textId="77777777">
        <w:tc>
          <w:tcPr>
            <w:tcW w:w="2127" w:type="dxa"/>
            <w:vAlign w:val="bottom"/>
          </w:tcPr>
          <w:p w:rsidRPr="009C48DA" w:rsidR="00661519" w:rsidP="00661519" w:rsidRDefault="00661519" w14:paraId="7FD23A98"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Financial liabilities</w:t>
            </w:r>
          </w:p>
        </w:tc>
        <w:tc>
          <w:tcPr>
            <w:tcW w:w="1276" w:type="dxa"/>
            <w:vAlign w:val="bottom"/>
          </w:tcPr>
          <w:p w:rsidRPr="009C48DA" w:rsidR="00661519" w:rsidP="00661519" w:rsidRDefault="00661519" w14:paraId="3F1EDE4B"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1E42AD81"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7,902</w:t>
            </w:r>
          </w:p>
        </w:tc>
        <w:tc>
          <w:tcPr>
            <w:tcW w:w="1465" w:type="dxa"/>
          </w:tcPr>
          <w:p w:rsidRPr="009C48DA" w:rsidR="00661519" w:rsidP="00661519" w:rsidRDefault="00661519" w14:paraId="7F06E18F"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460837E4"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4454F2EE"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7,902</w:t>
            </w:r>
          </w:p>
        </w:tc>
      </w:tr>
      <w:tr w:rsidRPr="009C48DA" w:rsidR="00661519" w:rsidTr="00661519" w14:paraId="149E5DEF" w14:textId="77777777">
        <w:tc>
          <w:tcPr>
            <w:tcW w:w="2127" w:type="dxa"/>
            <w:vAlign w:val="bottom"/>
          </w:tcPr>
          <w:p w:rsidRPr="009C48DA" w:rsidR="00661519" w:rsidP="00661519" w:rsidRDefault="00661519" w14:paraId="1A2537BA" w14:textId="77777777">
            <w:pPr>
              <w:textAlignment w:val="baseline"/>
              <w:rPr>
                <w:rFonts w:eastAsia="Times New Roman" w:cs="Times New Roman"/>
                <w:b/>
                <w:color w:val="000000"/>
                <w:sz w:val="16"/>
                <w:szCs w:val="16"/>
                <w:lang w:val="en-GB"/>
              </w:rPr>
            </w:pPr>
          </w:p>
          <w:p w:rsidRPr="009C48DA" w:rsidR="00661519" w:rsidP="00661519" w:rsidRDefault="00661519" w14:paraId="20D78F79"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current liabilities</w:t>
            </w:r>
          </w:p>
        </w:tc>
        <w:tc>
          <w:tcPr>
            <w:tcW w:w="1276" w:type="dxa"/>
            <w:vAlign w:val="bottom"/>
          </w:tcPr>
          <w:p w:rsidRPr="009C48DA" w:rsidR="00661519" w:rsidP="00661519" w:rsidRDefault="00661519" w14:paraId="08A7D194"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291FCC38"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50,539</w:t>
            </w:r>
          </w:p>
        </w:tc>
        <w:tc>
          <w:tcPr>
            <w:tcW w:w="1465" w:type="dxa"/>
          </w:tcPr>
          <w:p w:rsidRPr="009C48DA" w:rsidR="00661519" w:rsidP="00661519" w:rsidRDefault="00661519" w14:paraId="43EA55B0"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p>
          <w:p w:rsidRPr="009C48DA" w:rsidR="00661519" w:rsidP="00661519" w:rsidRDefault="00661519" w14:paraId="0FE61682"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(42,637)</w:t>
            </w:r>
          </w:p>
        </w:tc>
        <w:tc>
          <w:tcPr>
            <w:tcW w:w="1465" w:type="dxa"/>
            <w:vAlign w:val="bottom"/>
          </w:tcPr>
          <w:p w:rsidRPr="009C48DA" w:rsidR="00661519" w:rsidP="00661519" w:rsidRDefault="00661519" w14:paraId="08FA3D57"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3,579</w:t>
            </w:r>
          </w:p>
        </w:tc>
        <w:tc>
          <w:tcPr>
            <w:tcW w:w="1465" w:type="dxa"/>
            <w:vAlign w:val="bottom"/>
          </w:tcPr>
          <w:p w:rsidRPr="009C48DA" w:rsidR="00661519" w:rsidP="00661519" w:rsidRDefault="00661519" w14:paraId="030FEA5B"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11,481</w:t>
            </w:r>
          </w:p>
        </w:tc>
      </w:tr>
      <w:tr w:rsidRPr="009C48DA" w:rsidR="00661519" w:rsidTr="00661519" w14:paraId="168E1966" w14:textId="77777777">
        <w:tc>
          <w:tcPr>
            <w:tcW w:w="2127" w:type="dxa"/>
            <w:vAlign w:val="bottom"/>
          </w:tcPr>
          <w:p w:rsidRPr="009C48DA" w:rsidR="00661519" w:rsidP="00661519" w:rsidRDefault="00661519" w14:paraId="1A864823" w14:textId="77777777">
            <w:pPr>
              <w:textAlignment w:val="baseline"/>
              <w:rPr>
                <w:rFonts w:eastAsia="Times New Roman" w:cs="Times New Roman"/>
                <w:b/>
                <w:color w:val="000000"/>
                <w:sz w:val="16"/>
                <w:szCs w:val="16"/>
                <w:lang w:val="en-GB"/>
              </w:rPr>
            </w:pPr>
          </w:p>
          <w:p w:rsidRPr="009C48DA" w:rsidR="00661519" w:rsidP="00661519" w:rsidRDefault="00661519" w14:paraId="2C8A1493"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liabilities</w:t>
            </w:r>
          </w:p>
        </w:tc>
        <w:tc>
          <w:tcPr>
            <w:tcW w:w="1276" w:type="dxa"/>
            <w:vAlign w:val="bottom"/>
          </w:tcPr>
          <w:p w:rsidRPr="009C48DA" w:rsidR="00661519" w:rsidP="00661519" w:rsidRDefault="00661519" w14:paraId="4844052C"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7487448B"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77,429</w:t>
            </w:r>
          </w:p>
        </w:tc>
        <w:tc>
          <w:tcPr>
            <w:tcW w:w="1465" w:type="dxa"/>
          </w:tcPr>
          <w:p w:rsidRPr="009C48DA" w:rsidR="00661519" w:rsidP="00661519" w:rsidRDefault="00661519" w14:paraId="045D875B"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p>
          <w:p w:rsidRPr="009C48DA" w:rsidR="00661519" w:rsidP="00661519" w:rsidRDefault="00661519" w14:paraId="131E4F1B"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0CCD7642"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49,741</w:t>
            </w:r>
          </w:p>
        </w:tc>
        <w:tc>
          <w:tcPr>
            <w:tcW w:w="1465" w:type="dxa"/>
            <w:vAlign w:val="bottom"/>
          </w:tcPr>
          <w:p w:rsidRPr="009C48DA" w:rsidR="00661519" w:rsidP="00661519" w:rsidRDefault="00661519" w14:paraId="413E8556"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127,170</w:t>
            </w:r>
          </w:p>
        </w:tc>
      </w:tr>
      <w:tr w:rsidRPr="009C48DA" w:rsidR="00661519" w:rsidTr="00661519" w14:paraId="08272897" w14:textId="77777777">
        <w:tc>
          <w:tcPr>
            <w:tcW w:w="2127" w:type="dxa"/>
            <w:vAlign w:val="bottom"/>
          </w:tcPr>
          <w:p w:rsidRPr="009C48DA" w:rsidR="00661519" w:rsidP="00661519" w:rsidRDefault="00661519" w14:paraId="647119C5" w14:textId="77777777">
            <w:pPr>
              <w:textAlignment w:val="baseline"/>
              <w:rPr>
                <w:rFonts w:eastAsia="Times New Roman" w:cs="Times New Roman"/>
                <w:b/>
                <w:color w:val="000000"/>
                <w:sz w:val="16"/>
                <w:szCs w:val="16"/>
                <w:lang w:val="en-GB"/>
              </w:rPr>
            </w:pPr>
          </w:p>
          <w:p w:rsidRPr="009C48DA" w:rsidR="00661519" w:rsidP="00661519" w:rsidRDefault="00661519" w14:paraId="61F691DA"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Net assets</w:t>
            </w:r>
          </w:p>
        </w:tc>
        <w:tc>
          <w:tcPr>
            <w:tcW w:w="1276" w:type="dxa"/>
            <w:vAlign w:val="bottom"/>
          </w:tcPr>
          <w:p w:rsidRPr="009C48DA" w:rsidR="00661519" w:rsidP="00661519" w:rsidRDefault="00661519" w14:paraId="4B4638A1"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5FF7498F"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146,478</w:t>
            </w:r>
          </w:p>
        </w:tc>
        <w:tc>
          <w:tcPr>
            <w:tcW w:w="1465" w:type="dxa"/>
          </w:tcPr>
          <w:p w:rsidRPr="009C48DA" w:rsidR="00661519" w:rsidP="00661519" w:rsidRDefault="00661519" w14:paraId="2CCDE152"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p>
          <w:p w:rsidRPr="009C48DA" w:rsidR="00661519" w:rsidP="00661519" w:rsidRDefault="00661519" w14:paraId="7149CF9E"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37AECF85"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12,813</w:t>
            </w:r>
          </w:p>
        </w:tc>
        <w:tc>
          <w:tcPr>
            <w:tcW w:w="1465" w:type="dxa"/>
            <w:vAlign w:val="bottom"/>
          </w:tcPr>
          <w:p w:rsidRPr="009C48DA" w:rsidR="00661519" w:rsidP="00661519" w:rsidRDefault="00661519" w14:paraId="485BE32E"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159,291</w:t>
            </w:r>
          </w:p>
        </w:tc>
      </w:tr>
      <w:tr w:rsidRPr="009C48DA" w:rsidR="00661519" w:rsidTr="00661519" w14:paraId="40963947" w14:textId="77777777">
        <w:tc>
          <w:tcPr>
            <w:tcW w:w="2127" w:type="dxa"/>
            <w:vAlign w:val="bottom"/>
          </w:tcPr>
          <w:p w:rsidRPr="009C48DA" w:rsidR="00661519" w:rsidP="00661519" w:rsidRDefault="00661519" w14:paraId="614CEA44" w14:textId="77777777">
            <w:pPr>
              <w:textAlignment w:val="baseline"/>
              <w:rPr>
                <w:rFonts w:eastAsia="Times New Roman" w:cs="Times New Roman"/>
                <w:color w:val="000000"/>
                <w:sz w:val="16"/>
                <w:szCs w:val="16"/>
                <w:lang w:val="en-GB"/>
              </w:rPr>
            </w:pPr>
          </w:p>
        </w:tc>
        <w:tc>
          <w:tcPr>
            <w:tcW w:w="1276" w:type="dxa"/>
            <w:vAlign w:val="bottom"/>
          </w:tcPr>
          <w:p w:rsidRPr="009C48DA" w:rsidR="00661519" w:rsidP="00661519" w:rsidRDefault="00661519" w14:paraId="5EC4227F"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256C3C47" w14:textId="77777777">
            <w:pPr>
              <w:spacing w:before="60"/>
              <w:ind w:right="109"/>
              <w:jc w:val="right"/>
              <w:textAlignment w:val="baseline"/>
              <w:rPr>
                <w:rFonts w:eastAsia="Times New Roman" w:cs="Times New Roman"/>
                <w:color w:val="000000"/>
                <w:sz w:val="16"/>
                <w:szCs w:val="16"/>
                <w:lang w:val="en-GB"/>
              </w:rPr>
            </w:pPr>
          </w:p>
        </w:tc>
        <w:tc>
          <w:tcPr>
            <w:tcW w:w="1465" w:type="dxa"/>
          </w:tcPr>
          <w:p w:rsidRPr="009C48DA" w:rsidR="00661519" w:rsidP="00661519" w:rsidRDefault="00661519" w14:paraId="445136FA" w14:textId="77777777">
            <w:pPr>
              <w:spacing w:before="60"/>
              <w:ind w:right="109"/>
              <w:jc w:val="right"/>
              <w:textAlignment w:val="baseline"/>
              <w:rPr>
                <w:rFonts w:eastAsia="Times New Roman" w:cs="Times New Roman"/>
                <w:color w:val="000000"/>
                <w:sz w:val="16"/>
                <w:szCs w:val="16"/>
                <w:lang w:val="en-GB"/>
              </w:rPr>
            </w:pPr>
          </w:p>
        </w:tc>
        <w:tc>
          <w:tcPr>
            <w:tcW w:w="1465" w:type="dxa"/>
            <w:vAlign w:val="bottom"/>
          </w:tcPr>
          <w:p w:rsidRPr="009C48DA" w:rsidR="00661519" w:rsidP="00661519" w:rsidRDefault="00661519" w14:paraId="7AB6DDB9" w14:textId="77777777">
            <w:pPr>
              <w:spacing w:before="60"/>
              <w:ind w:right="109"/>
              <w:jc w:val="right"/>
              <w:textAlignment w:val="baseline"/>
              <w:rPr>
                <w:rFonts w:eastAsia="Times New Roman" w:cs="Times New Roman"/>
                <w:color w:val="000000"/>
                <w:sz w:val="16"/>
                <w:szCs w:val="16"/>
                <w:lang w:val="en-GB"/>
              </w:rPr>
            </w:pPr>
          </w:p>
        </w:tc>
        <w:tc>
          <w:tcPr>
            <w:tcW w:w="1465" w:type="dxa"/>
            <w:vAlign w:val="bottom"/>
          </w:tcPr>
          <w:p w:rsidRPr="009C48DA" w:rsidR="00661519" w:rsidP="00661519" w:rsidRDefault="00661519" w14:paraId="5464F84B" w14:textId="77777777">
            <w:pPr>
              <w:spacing w:before="60"/>
              <w:ind w:right="109"/>
              <w:jc w:val="right"/>
              <w:textAlignment w:val="baseline"/>
              <w:rPr>
                <w:rFonts w:eastAsia="Times New Roman" w:cs="Times New Roman"/>
                <w:color w:val="000000"/>
                <w:sz w:val="16"/>
                <w:szCs w:val="16"/>
                <w:lang w:val="en-GB"/>
              </w:rPr>
            </w:pPr>
          </w:p>
        </w:tc>
      </w:tr>
      <w:tr w:rsidRPr="009C48DA" w:rsidR="00661519" w:rsidTr="00661519" w14:paraId="701DB1C0" w14:textId="77777777">
        <w:tc>
          <w:tcPr>
            <w:tcW w:w="2127" w:type="dxa"/>
            <w:vAlign w:val="bottom"/>
          </w:tcPr>
          <w:p w:rsidRPr="009C48DA" w:rsidR="00661519" w:rsidP="00661519" w:rsidRDefault="00661519" w14:paraId="5E201F13"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Equity</w:t>
            </w:r>
          </w:p>
        </w:tc>
        <w:tc>
          <w:tcPr>
            <w:tcW w:w="1276" w:type="dxa"/>
            <w:vAlign w:val="bottom"/>
          </w:tcPr>
          <w:p w:rsidRPr="009C48DA" w:rsidR="00661519" w:rsidP="00661519" w:rsidRDefault="00661519" w14:paraId="11550448"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0591F29C" w14:textId="77777777">
            <w:pPr>
              <w:spacing w:before="60"/>
              <w:ind w:right="109"/>
              <w:jc w:val="right"/>
              <w:textAlignment w:val="baseline"/>
              <w:rPr>
                <w:rFonts w:eastAsia="Times New Roman" w:cs="Times New Roman"/>
                <w:color w:val="000000"/>
                <w:sz w:val="16"/>
                <w:szCs w:val="16"/>
                <w:lang w:val="en-GB"/>
              </w:rPr>
            </w:pPr>
          </w:p>
        </w:tc>
        <w:tc>
          <w:tcPr>
            <w:tcW w:w="1465" w:type="dxa"/>
          </w:tcPr>
          <w:p w:rsidRPr="009C48DA" w:rsidR="00661519" w:rsidP="00661519" w:rsidRDefault="00661519" w14:paraId="4B1503D8" w14:textId="77777777">
            <w:pPr>
              <w:spacing w:before="60"/>
              <w:ind w:right="109"/>
              <w:jc w:val="right"/>
              <w:textAlignment w:val="baseline"/>
              <w:rPr>
                <w:rFonts w:eastAsia="Times New Roman" w:cs="Times New Roman"/>
                <w:color w:val="000000"/>
                <w:sz w:val="16"/>
                <w:szCs w:val="16"/>
                <w:lang w:val="en-GB"/>
              </w:rPr>
            </w:pPr>
          </w:p>
        </w:tc>
        <w:tc>
          <w:tcPr>
            <w:tcW w:w="1465" w:type="dxa"/>
            <w:vAlign w:val="bottom"/>
          </w:tcPr>
          <w:p w:rsidRPr="009C48DA" w:rsidR="00661519" w:rsidP="00661519" w:rsidRDefault="00661519" w14:paraId="00413FA7" w14:textId="77777777">
            <w:pPr>
              <w:spacing w:before="60"/>
              <w:ind w:right="109"/>
              <w:jc w:val="right"/>
              <w:textAlignment w:val="baseline"/>
              <w:rPr>
                <w:rFonts w:eastAsia="Times New Roman" w:cs="Times New Roman"/>
                <w:color w:val="000000"/>
                <w:sz w:val="16"/>
                <w:szCs w:val="16"/>
                <w:lang w:val="en-GB"/>
              </w:rPr>
            </w:pPr>
          </w:p>
        </w:tc>
        <w:tc>
          <w:tcPr>
            <w:tcW w:w="1465" w:type="dxa"/>
            <w:vAlign w:val="bottom"/>
          </w:tcPr>
          <w:p w:rsidRPr="009C48DA" w:rsidR="00661519" w:rsidP="00661519" w:rsidRDefault="00661519" w14:paraId="62339666" w14:textId="77777777">
            <w:pPr>
              <w:spacing w:before="60"/>
              <w:ind w:right="109"/>
              <w:jc w:val="right"/>
              <w:textAlignment w:val="baseline"/>
              <w:rPr>
                <w:rFonts w:eastAsia="Times New Roman" w:cs="Times New Roman"/>
                <w:color w:val="000000"/>
                <w:sz w:val="16"/>
                <w:szCs w:val="16"/>
                <w:lang w:val="en-GB"/>
              </w:rPr>
            </w:pPr>
          </w:p>
        </w:tc>
      </w:tr>
      <w:tr w:rsidRPr="009C48DA" w:rsidR="00661519" w:rsidTr="00661519" w14:paraId="61426773" w14:textId="77777777">
        <w:tc>
          <w:tcPr>
            <w:tcW w:w="2127" w:type="dxa"/>
            <w:vAlign w:val="bottom"/>
          </w:tcPr>
          <w:p w:rsidRPr="009C48DA" w:rsidR="00661519" w:rsidP="00661519" w:rsidRDefault="00661519" w14:paraId="3E391427"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Share capital and premium</w:t>
            </w:r>
          </w:p>
        </w:tc>
        <w:tc>
          <w:tcPr>
            <w:tcW w:w="1276" w:type="dxa"/>
            <w:vAlign w:val="bottom"/>
          </w:tcPr>
          <w:p w:rsidRPr="009C48DA" w:rsidR="00661519" w:rsidP="00661519" w:rsidRDefault="00661519" w14:paraId="2EC6EA52"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2018109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3,676</w:t>
            </w:r>
          </w:p>
        </w:tc>
        <w:tc>
          <w:tcPr>
            <w:tcW w:w="1465" w:type="dxa"/>
          </w:tcPr>
          <w:p w:rsidRPr="009C48DA" w:rsidR="00661519" w:rsidP="00661519" w:rsidRDefault="00661519" w14:paraId="5640A780"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0966BA03"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44FAB6C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3,676</w:t>
            </w:r>
          </w:p>
        </w:tc>
      </w:tr>
      <w:tr w:rsidRPr="009C48DA" w:rsidR="00661519" w:rsidTr="00661519" w14:paraId="4C26A478" w14:textId="77777777">
        <w:tc>
          <w:tcPr>
            <w:tcW w:w="2127" w:type="dxa"/>
            <w:vAlign w:val="bottom"/>
          </w:tcPr>
          <w:p w:rsidRPr="009C48DA" w:rsidR="00661519" w:rsidP="00661519" w:rsidRDefault="00661519" w14:paraId="4B879658"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Capital redemption reserve</w:t>
            </w:r>
          </w:p>
        </w:tc>
        <w:tc>
          <w:tcPr>
            <w:tcW w:w="1276" w:type="dxa"/>
            <w:vAlign w:val="bottom"/>
          </w:tcPr>
          <w:p w:rsidRPr="009C48DA" w:rsidR="00661519" w:rsidP="00661519" w:rsidRDefault="00661519" w14:paraId="2B9F9991"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24D3233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25</w:t>
            </w:r>
          </w:p>
        </w:tc>
        <w:tc>
          <w:tcPr>
            <w:tcW w:w="1465" w:type="dxa"/>
          </w:tcPr>
          <w:p w:rsidRPr="009C48DA" w:rsidR="00661519" w:rsidP="00661519" w:rsidRDefault="00661519" w14:paraId="52FB097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03A7DAB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597DDA25"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25</w:t>
            </w:r>
          </w:p>
        </w:tc>
      </w:tr>
      <w:tr w:rsidRPr="009C48DA" w:rsidR="00661519" w:rsidTr="00661519" w14:paraId="39F5FCD9" w14:textId="77777777">
        <w:tc>
          <w:tcPr>
            <w:tcW w:w="2127" w:type="dxa"/>
            <w:vAlign w:val="bottom"/>
          </w:tcPr>
          <w:p w:rsidRPr="009C48DA" w:rsidR="00661519" w:rsidP="00661519" w:rsidRDefault="00661519" w14:paraId="01806012"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Cash flow hedge reserve</w:t>
            </w:r>
          </w:p>
        </w:tc>
        <w:tc>
          <w:tcPr>
            <w:tcW w:w="1276" w:type="dxa"/>
            <w:vAlign w:val="bottom"/>
          </w:tcPr>
          <w:p w:rsidRPr="009C48DA" w:rsidR="00661519" w:rsidP="00661519" w:rsidRDefault="00661519" w14:paraId="34F2492A"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4DED93B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(7,157)</w:t>
            </w:r>
          </w:p>
        </w:tc>
        <w:tc>
          <w:tcPr>
            <w:tcW w:w="1465" w:type="dxa"/>
          </w:tcPr>
          <w:p w:rsidRPr="009C48DA" w:rsidR="00661519" w:rsidP="00661519" w:rsidRDefault="00661519" w14:paraId="2E47E4E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17261E62"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2C68579D"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(7,157)</w:t>
            </w:r>
          </w:p>
        </w:tc>
      </w:tr>
      <w:tr w:rsidRPr="009C48DA" w:rsidR="00661519" w:rsidTr="00661519" w14:paraId="23A3BEC9" w14:textId="77777777">
        <w:tc>
          <w:tcPr>
            <w:tcW w:w="2127" w:type="dxa"/>
            <w:vAlign w:val="bottom"/>
          </w:tcPr>
          <w:p w:rsidRPr="009C48DA" w:rsidR="00661519" w:rsidP="00661519" w:rsidRDefault="00661519" w14:paraId="2CF1F05E"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Net exchange difference reserve</w:t>
            </w:r>
          </w:p>
        </w:tc>
        <w:tc>
          <w:tcPr>
            <w:tcW w:w="1276" w:type="dxa"/>
            <w:vAlign w:val="bottom"/>
          </w:tcPr>
          <w:p w:rsidRPr="009C48DA" w:rsidR="00661519" w:rsidP="00661519" w:rsidRDefault="00661519" w14:paraId="589F1054" w14:textId="77777777">
            <w:pPr>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(i)</w:t>
            </w:r>
          </w:p>
        </w:tc>
        <w:tc>
          <w:tcPr>
            <w:tcW w:w="1464" w:type="dxa"/>
            <w:vAlign w:val="bottom"/>
          </w:tcPr>
          <w:p w:rsidRPr="009C48DA" w:rsidR="00661519" w:rsidP="00661519" w:rsidRDefault="00661519" w14:paraId="6942399C"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tcPr>
          <w:p w:rsidRPr="009C48DA" w:rsidR="00661519" w:rsidP="00661519" w:rsidRDefault="00661519" w14:paraId="2CA9005F"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4,771</w:t>
            </w:r>
          </w:p>
        </w:tc>
        <w:tc>
          <w:tcPr>
            <w:tcW w:w="1465" w:type="dxa"/>
            <w:vAlign w:val="bottom"/>
          </w:tcPr>
          <w:p w:rsidRPr="009C48DA" w:rsidR="00661519" w:rsidP="00661519" w:rsidRDefault="00661519" w14:paraId="6A800929"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4CEC6321"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4771</w:t>
            </w:r>
          </w:p>
        </w:tc>
      </w:tr>
      <w:tr w:rsidRPr="009C48DA" w:rsidR="00661519" w:rsidTr="00661519" w14:paraId="5EC8BB5A" w14:textId="77777777">
        <w:tc>
          <w:tcPr>
            <w:tcW w:w="2127" w:type="dxa"/>
            <w:vAlign w:val="bottom"/>
          </w:tcPr>
          <w:p w:rsidRPr="009C48DA" w:rsidR="00661519" w:rsidP="00661519" w:rsidRDefault="00661519" w14:paraId="5BDAD7AB"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Retained earnings</w:t>
            </w:r>
          </w:p>
        </w:tc>
        <w:tc>
          <w:tcPr>
            <w:tcW w:w="1276" w:type="dxa"/>
            <w:vAlign w:val="bottom"/>
          </w:tcPr>
          <w:p w:rsidRPr="009C48DA" w:rsidR="00661519" w:rsidP="00661519" w:rsidRDefault="00661519" w14:paraId="7590B33A" w14:textId="77777777">
            <w:pPr>
              <w:jc w:val="cente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(i)</w:t>
            </w:r>
          </w:p>
        </w:tc>
        <w:tc>
          <w:tcPr>
            <w:tcW w:w="1464" w:type="dxa"/>
            <w:vAlign w:val="bottom"/>
          </w:tcPr>
          <w:p w:rsidRPr="009C48DA" w:rsidR="00661519" w:rsidP="00661519" w:rsidRDefault="00661519" w14:paraId="4B38BECB"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145,774</w:t>
            </w:r>
          </w:p>
        </w:tc>
        <w:tc>
          <w:tcPr>
            <w:tcW w:w="1465" w:type="dxa"/>
          </w:tcPr>
          <w:p w:rsidRPr="009C48DA" w:rsidR="00661519" w:rsidP="00661519" w:rsidRDefault="00661519" w14:paraId="5AFC3C00"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(4,771)</w:t>
            </w:r>
          </w:p>
        </w:tc>
        <w:tc>
          <w:tcPr>
            <w:tcW w:w="1465" w:type="dxa"/>
            <w:vAlign w:val="bottom"/>
          </w:tcPr>
          <w:p w:rsidRPr="009C48DA" w:rsidR="00661519" w:rsidP="00661519" w:rsidRDefault="00661519" w14:paraId="1996A611"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12,813</w:t>
            </w:r>
          </w:p>
        </w:tc>
        <w:tc>
          <w:tcPr>
            <w:tcW w:w="1465" w:type="dxa"/>
            <w:vAlign w:val="bottom"/>
          </w:tcPr>
          <w:p w:rsidRPr="009C48DA" w:rsidR="00661519" w:rsidP="00661519" w:rsidRDefault="00661519" w14:paraId="436D9A64" w14:textId="77777777">
            <w:pPr>
              <w:pBdr>
                <w:bottom w:val="sing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153,816</w:t>
            </w:r>
          </w:p>
        </w:tc>
      </w:tr>
      <w:tr w:rsidRPr="009C48DA" w:rsidR="00661519" w:rsidTr="00661519" w14:paraId="061824C9" w14:textId="77777777">
        <w:tc>
          <w:tcPr>
            <w:tcW w:w="2127" w:type="dxa"/>
            <w:vAlign w:val="bottom"/>
          </w:tcPr>
          <w:p w:rsidRPr="009C48DA" w:rsidR="00661519" w:rsidP="00661519" w:rsidRDefault="00661519" w14:paraId="55C86168" w14:textId="77777777">
            <w:pPr>
              <w:ind w:right="180"/>
              <w:textAlignment w:val="baseline"/>
              <w:rPr>
                <w:rFonts w:eastAsia="Times New Roman" w:cs="Times New Roman"/>
                <w:b/>
                <w:color w:val="000000"/>
                <w:sz w:val="16"/>
                <w:szCs w:val="16"/>
                <w:lang w:val="en-GB"/>
              </w:rPr>
            </w:pPr>
          </w:p>
          <w:p w:rsidRPr="009C48DA" w:rsidR="00661519" w:rsidP="00661519" w:rsidRDefault="00661519" w14:paraId="034DBA56" w14:textId="77777777">
            <w:pPr>
              <w:ind w:right="180"/>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Capital and reserves attributable to equity shareholders of the company</w:t>
            </w:r>
          </w:p>
        </w:tc>
        <w:tc>
          <w:tcPr>
            <w:tcW w:w="1276" w:type="dxa"/>
            <w:vAlign w:val="bottom"/>
          </w:tcPr>
          <w:p w:rsidRPr="009C48DA" w:rsidR="00661519" w:rsidP="00661519" w:rsidRDefault="00661519" w14:paraId="57F229C4"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00392AB6"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142,318</w:t>
            </w:r>
          </w:p>
        </w:tc>
        <w:tc>
          <w:tcPr>
            <w:tcW w:w="1465" w:type="dxa"/>
          </w:tcPr>
          <w:p w:rsidRPr="009C48DA" w:rsidR="00661519" w:rsidP="00661519" w:rsidRDefault="00661519" w14:paraId="2C283ED1" w14:textId="77777777">
            <w:pPr>
              <w:spacing w:before="60"/>
              <w:ind w:right="109"/>
              <w:jc w:val="right"/>
              <w:textAlignment w:val="baseline"/>
              <w:rPr>
                <w:rFonts w:eastAsia="Times New Roman" w:cs="Times New Roman"/>
                <w:color w:val="000000"/>
                <w:sz w:val="16"/>
                <w:szCs w:val="16"/>
                <w:lang w:val="en-GB"/>
              </w:rPr>
            </w:pPr>
          </w:p>
          <w:p w:rsidRPr="009C48DA" w:rsidR="00661519" w:rsidP="00661519" w:rsidRDefault="00661519" w14:paraId="1EFEA255" w14:textId="77777777">
            <w:pPr>
              <w:spacing w:before="60"/>
              <w:ind w:right="109"/>
              <w:jc w:val="right"/>
              <w:textAlignment w:val="baseline"/>
              <w:rPr>
                <w:rFonts w:eastAsia="Times New Roman" w:cs="Times New Roman"/>
                <w:color w:val="000000"/>
                <w:sz w:val="16"/>
                <w:szCs w:val="16"/>
                <w:lang w:val="en-GB"/>
              </w:rPr>
            </w:pPr>
          </w:p>
          <w:p w:rsidRPr="009C48DA" w:rsidR="00661519" w:rsidP="00661519" w:rsidRDefault="00661519" w14:paraId="29A666E7"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6FC68574"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12,813</w:t>
            </w:r>
          </w:p>
        </w:tc>
        <w:tc>
          <w:tcPr>
            <w:tcW w:w="1465" w:type="dxa"/>
            <w:vAlign w:val="bottom"/>
          </w:tcPr>
          <w:p w:rsidRPr="009C48DA" w:rsidR="00661519" w:rsidP="00661519" w:rsidRDefault="00661519" w14:paraId="2DFAB5AB" w14:textId="77777777">
            <w:pP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155,131</w:t>
            </w:r>
          </w:p>
        </w:tc>
      </w:tr>
      <w:tr w:rsidRPr="009C48DA" w:rsidR="00661519" w:rsidTr="00661519" w14:paraId="6AFEFC58" w14:textId="77777777">
        <w:tc>
          <w:tcPr>
            <w:tcW w:w="2127" w:type="dxa"/>
            <w:vAlign w:val="bottom"/>
          </w:tcPr>
          <w:p w:rsidRPr="009C48DA" w:rsidR="00661519" w:rsidP="00661519" w:rsidRDefault="00661519" w14:paraId="6747E751"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Non-controlling interests</w:t>
            </w:r>
          </w:p>
        </w:tc>
        <w:tc>
          <w:tcPr>
            <w:tcW w:w="1276" w:type="dxa"/>
            <w:vAlign w:val="bottom"/>
          </w:tcPr>
          <w:p w:rsidRPr="009C48DA" w:rsidR="00661519" w:rsidP="00661519" w:rsidRDefault="00661519" w14:paraId="4C820663"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333BD663"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4,160</w:t>
            </w:r>
          </w:p>
        </w:tc>
        <w:tc>
          <w:tcPr>
            <w:tcW w:w="1465" w:type="dxa"/>
          </w:tcPr>
          <w:p w:rsidRPr="009C48DA" w:rsidR="00661519" w:rsidP="00661519" w:rsidRDefault="00661519" w14:paraId="199C6650"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200DD671"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4DE87C8D" w14:textId="77777777">
            <w:pPr>
              <w:pBdr>
                <w:bottom w:val="single" w:color="auto" w:sz="8"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4,160</w:t>
            </w:r>
          </w:p>
        </w:tc>
      </w:tr>
      <w:tr w:rsidRPr="009C48DA" w:rsidR="00661519" w:rsidTr="00661519" w14:paraId="45CEBC6D" w14:textId="77777777">
        <w:tc>
          <w:tcPr>
            <w:tcW w:w="2127" w:type="dxa"/>
            <w:vAlign w:val="bottom"/>
          </w:tcPr>
          <w:p w:rsidRPr="009C48DA" w:rsidR="00661519" w:rsidP="00661519" w:rsidRDefault="00661519" w14:paraId="5323B4FA" w14:textId="77777777">
            <w:pPr>
              <w:textAlignment w:val="baseline"/>
              <w:rPr>
                <w:rFonts w:eastAsia="Times New Roman" w:cs="Times New Roman"/>
                <w:b/>
                <w:color w:val="000000"/>
                <w:sz w:val="16"/>
                <w:szCs w:val="16"/>
                <w:lang w:val="en-GB"/>
              </w:rPr>
            </w:pPr>
          </w:p>
          <w:p w:rsidRPr="009C48DA" w:rsidR="00661519" w:rsidP="00661519" w:rsidRDefault="00661519" w14:paraId="1BE2C226"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equity</w:t>
            </w:r>
          </w:p>
        </w:tc>
        <w:tc>
          <w:tcPr>
            <w:tcW w:w="1276" w:type="dxa"/>
            <w:vAlign w:val="bottom"/>
          </w:tcPr>
          <w:p w:rsidRPr="009C48DA" w:rsidR="00661519" w:rsidP="00661519" w:rsidRDefault="00661519" w14:paraId="653EF1C9" w14:textId="77777777">
            <w:pPr>
              <w:jc w:val="center"/>
              <w:textAlignment w:val="baseline"/>
              <w:rPr>
                <w:rFonts w:eastAsia="Times New Roman" w:cs="Times New Roman"/>
                <w:color w:val="000000"/>
                <w:sz w:val="16"/>
                <w:szCs w:val="16"/>
                <w:lang w:val="en-GB"/>
              </w:rPr>
            </w:pPr>
          </w:p>
        </w:tc>
        <w:tc>
          <w:tcPr>
            <w:tcW w:w="1464" w:type="dxa"/>
            <w:vAlign w:val="bottom"/>
          </w:tcPr>
          <w:p w:rsidRPr="009C48DA" w:rsidR="00661519" w:rsidP="00661519" w:rsidRDefault="00661519" w14:paraId="3ACE9EE3"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146,478</w:t>
            </w:r>
          </w:p>
        </w:tc>
        <w:tc>
          <w:tcPr>
            <w:tcW w:w="1465" w:type="dxa"/>
          </w:tcPr>
          <w:p w:rsidRPr="009C48DA" w:rsidR="00661519" w:rsidP="00661519" w:rsidRDefault="00661519" w14:paraId="23B22F67"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p>
          <w:p w:rsidRPr="009C48DA" w:rsidR="00661519" w:rsidP="00661519" w:rsidRDefault="00661519" w14:paraId="05D13A18"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65" w:type="dxa"/>
            <w:vAlign w:val="bottom"/>
          </w:tcPr>
          <w:p w:rsidRPr="009C48DA" w:rsidR="00661519" w:rsidP="00661519" w:rsidRDefault="00661519" w14:paraId="46AE5C9F"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12,813</w:t>
            </w:r>
          </w:p>
        </w:tc>
        <w:tc>
          <w:tcPr>
            <w:tcW w:w="1465" w:type="dxa"/>
            <w:vAlign w:val="bottom"/>
          </w:tcPr>
          <w:p w:rsidRPr="009C48DA" w:rsidR="00661519" w:rsidP="00661519" w:rsidRDefault="00661519" w14:paraId="2A24188E" w14:textId="77777777">
            <w:pPr>
              <w:pBdr>
                <w:bottom w:val="double" w:color="auto" w:sz="12" w:space="1"/>
              </w:pBdr>
              <w:spacing w:before="60"/>
              <w:ind w:right="10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159,291</w:t>
            </w:r>
          </w:p>
        </w:tc>
      </w:tr>
    </w:tbl>
    <w:p w:rsidRPr="009C48DA" w:rsidR="00661519" w:rsidP="00661519" w:rsidRDefault="00661519" w14:paraId="271F8E52" w14:textId="77777777">
      <w:pPr>
        <w:textAlignment w:val="baseline"/>
        <w:rPr>
          <w:rFonts w:eastAsia="Times New Roman" w:cs="Times New Roman"/>
          <w:b/>
          <w:color w:val="000000"/>
          <w:sz w:val="17"/>
          <w:szCs w:val="22"/>
          <w:lang w:val="en-GB"/>
        </w:rPr>
      </w:pPr>
      <w:r w:rsidRPr="009C48DA">
        <w:rPr>
          <w:rFonts w:eastAsia="Times New Roman" w:cs="Times New Roman"/>
          <w:b/>
          <w:color w:val="000000"/>
          <w:sz w:val="17"/>
          <w:szCs w:val="22"/>
          <w:lang w:val="en-GB"/>
        </w:rPr>
        <w:lastRenderedPageBreak/>
        <w:t>Consolidated Statement of Financial Position as at 31 December 2018</w:t>
      </w:r>
    </w:p>
    <w:p w:rsidRPr="009C48DA" w:rsidR="00661519" w:rsidP="00661519" w:rsidRDefault="00661519" w14:paraId="00A3A8C6" w14:textId="77777777">
      <w:pPr>
        <w:rPr>
          <w:rFonts w:eastAsia="Times New Roman" w:cs="Times New Roman"/>
          <w:b/>
          <w:color w:val="000000"/>
          <w:sz w:val="17"/>
          <w:szCs w:val="22"/>
          <w:lang w:val="en-GB"/>
        </w:rPr>
      </w:pPr>
    </w:p>
    <w:tbl>
      <w:tblPr>
        <w:tblW w:w="9072" w:type="dxa"/>
        <w:tblLayout w:type="fixed"/>
        <w:tblCellMar>
          <w:left w:w="0" w:type="dxa"/>
          <w:right w:w="0" w:type="dxa"/>
        </w:tblCellMar>
        <w:tblLook w:val="04A0" w:firstRow="1" w:lastRow="0" w:firstColumn="1" w:lastColumn="0" w:noHBand="0" w:noVBand="1"/>
      </w:tblPr>
      <w:tblGrid>
        <w:gridCol w:w="2127"/>
        <w:gridCol w:w="1275"/>
        <w:gridCol w:w="1134"/>
        <w:gridCol w:w="1418"/>
        <w:gridCol w:w="1559"/>
        <w:gridCol w:w="1559"/>
      </w:tblGrid>
      <w:tr w:rsidRPr="009C48DA" w:rsidR="00661519" w:rsidTr="00661519" w14:paraId="56ABAC51" w14:textId="77777777">
        <w:tc>
          <w:tcPr>
            <w:tcW w:w="2127" w:type="dxa"/>
            <w:vAlign w:val="bottom"/>
          </w:tcPr>
          <w:p w:rsidRPr="009C48DA" w:rsidR="00661519" w:rsidP="00661519" w:rsidRDefault="00661519" w14:paraId="218E6443"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6EA917E2" w14:textId="77777777">
            <w:pPr>
              <w:ind w:right="108"/>
              <w:jc w:val="center"/>
              <w:textAlignment w:val="baseline"/>
              <w:rPr>
                <w:rFonts w:eastAsia="Times New Roman" w:cs="Times New Roman"/>
                <w:b/>
                <w:color w:val="000000"/>
                <w:sz w:val="16"/>
                <w:szCs w:val="16"/>
                <w:lang w:val="en-GB"/>
              </w:rPr>
            </w:pPr>
          </w:p>
          <w:p w:rsidRPr="009C48DA" w:rsidR="00661519" w:rsidP="00661519" w:rsidRDefault="00661519" w14:paraId="6806319F" w14:textId="77777777">
            <w:pPr>
              <w:ind w:right="108"/>
              <w:jc w:val="center"/>
              <w:textAlignment w:val="baseline"/>
              <w:rPr>
                <w:rFonts w:eastAsia="Times New Roman" w:cs="Times New Roman"/>
                <w:b/>
                <w:color w:val="000000"/>
                <w:sz w:val="16"/>
                <w:szCs w:val="16"/>
                <w:lang w:val="en-GB"/>
              </w:rPr>
            </w:pPr>
          </w:p>
          <w:p w:rsidRPr="009C48DA" w:rsidR="00661519" w:rsidP="00661519" w:rsidRDefault="00661519" w14:paraId="50AA9460" w14:textId="77777777">
            <w:pPr>
              <w:ind w:right="10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Note</w:t>
            </w:r>
          </w:p>
        </w:tc>
        <w:tc>
          <w:tcPr>
            <w:tcW w:w="1134" w:type="dxa"/>
            <w:vAlign w:val="bottom"/>
          </w:tcPr>
          <w:p w:rsidRPr="009C48DA" w:rsidR="00661519" w:rsidP="00661519" w:rsidRDefault="00661519" w14:paraId="3B0B0B21" w14:textId="77777777">
            <w:pPr>
              <w:ind w:right="10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UK GAAP</w:t>
            </w:r>
          </w:p>
          <w:p w:rsidRPr="009C48DA" w:rsidR="00661519" w:rsidP="00661519" w:rsidRDefault="00661519" w14:paraId="31B6CC2D" w14:textId="77777777">
            <w:pPr>
              <w:ind w:right="10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418" w:type="dxa"/>
          </w:tcPr>
          <w:p w:rsidRPr="009C48DA" w:rsidR="00661519" w:rsidP="00661519" w:rsidRDefault="00661519" w14:paraId="4CC3B65C"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Reclassification</w:t>
            </w:r>
          </w:p>
          <w:p w:rsidRPr="009C48DA" w:rsidR="00661519" w:rsidP="00661519" w:rsidRDefault="00661519" w14:paraId="0B37C35D"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£ 000 </w:t>
            </w:r>
          </w:p>
        </w:tc>
        <w:tc>
          <w:tcPr>
            <w:tcW w:w="1559" w:type="dxa"/>
            <w:vAlign w:val="bottom"/>
          </w:tcPr>
          <w:p w:rsidRPr="009C48DA" w:rsidR="00661519" w:rsidP="00661519" w:rsidRDefault="00661519" w14:paraId="754E7563"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Recognition and measurement differences</w:t>
            </w:r>
          </w:p>
          <w:p w:rsidRPr="009C48DA" w:rsidR="00661519" w:rsidP="00661519" w:rsidRDefault="00661519" w14:paraId="5DFA566B"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559" w:type="dxa"/>
            <w:vAlign w:val="bottom"/>
          </w:tcPr>
          <w:p w:rsidRPr="009C48DA" w:rsidR="00661519" w:rsidP="00661519" w:rsidRDefault="00661519" w14:paraId="67D21FA9"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IFRS as at </w:t>
            </w:r>
          </w:p>
          <w:p w:rsidRPr="009C48DA" w:rsidR="00661519" w:rsidP="00661519" w:rsidRDefault="00661519" w14:paraId="0315799B"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31 December 2018</w:t>
            </w:r>
          </w:p>
          <w:p w:rsidRPr="009C48DA" w:rsidR="00661519" w:rsidP="00661519" w:rsidRDefault="00661519" w14:paraId="69E6CF4D"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620308D1" w14:textId="77777777">
        <w:tc>
          <w:tcPr>
            <w:tcW w:w="2127" w:type="dxa"/>
            <w:vAlign w:val="bottom"/>
          </w:tcPr>
          <w:p w:rsidRPr="009C48DA" w:rsidR="00661519" w:rsidP="00661519" w:rsidRDefault="00661519" w14:paraId="12FE8D20"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Assets</w:t>
            </w:r>
          </w:p>
        </w:tc>
        <w:tc>
          <w:tcPr>
            <w:tcW w:w="1275" w:type="dxa"/>
          </w:tcPr>
          <w:p w:rsidRPr="009C48DA" w:rsidR="00661519" w:rsidP="00661519" w:rsidRDefault="00661519" w14:paraId="4A78B51A" w14:textId="77777777">
            <w:pPr>
              <w:ind w:right="108"/>
              <w:jc w:val="center"/>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13C8944B" w14:textId="77777777">
            <w:pPr>
              <w:ind w:right="108"/>
              <w:jc w:val="right"/>
              <w:textAlignment w:val="baseline"/>
              <w:rPr>
                <w:rFonts w:eastAsia="Times New Roman" w:cs="Times New Roman"/>
                <w:color w:val="000000"/>
                <w:sz w:val="16"/>
                <w:szCs w:val="16"/>
                <w:lang w:val="en-GB"/>
              </w:rPr>
            </w:pPr>
          </w:p>
        </w:tc>
        <w:tc>
          <w:tcPr>
            <w:tcW w:w="1418" w:type="dxa"/>
          </w:tcPr>
          <w:p w:rsidRPr="009C48DA" w:rsidR="00661519" w:rsidP="00661519" w:rsidRDefault="00661519" w14:paraId="10EDBFAA"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0BDE9C00"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76136B29" w14:textId="77777777">
            <w:pPr>
              <w:ind w:right="139"/>
              <w:jc w:val="right"/>
              <w:textAlignment w:val="baseline"/>
              <w:rPr>
                <w:rFonts w:eastAsia="Times New Roman" w:cs="Times New Roman"/>
                <w:color w:val="000000"/>
                <w:sz w:val="16"/>
                <w:szCs w:val="16"/>
                <w:lang w:val="en-GB"/>
              </w:rPr>
            </w:pPr>
          </w:p>
        </w:tc>
      </w:tr>
      <w:tr w:rsidRPr="009C48DA" w:rsidR="00661519" w:rsidTr="00661519" w14:paraId="4EFB28CB" w14:textId="77777777">
        <w:tc>
          <w:tcPr>
            <w:tcW w:w="2127" w:type="dxa"/>
            <w:vAlign w:val="bottom"/>
          </w:tcPr>
          <w:p w:rsidRPr="009C48DA" w:rsidR="00661519" w:rsidP="00661519" w:rsidRDefault="00661519" w14:paraId="29761CC2" w14:textId="77777777">
            <w:pP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Non-current assets</w:t>
            </w:r>
          </w:p>
        </w:tc>
        <w:tc>
          <w:tcPr>
            <w:tcW w:w="1275" w:type="dxa"/>
          </w:tcPr>
          <w:p w:rsidRPr="009C48DA" w:rsidR="00661519" w:rsidP="00661519" w:rsidRDefault="00661519" w14:paraId="333A085B" w14:textId="77777777">
            <w:pPr>
              <w:ind w:right="108"/>
              <w:jc w:val="center"/>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545F68A5" w14:textId="77777777">
            <w:pPr>
              <w:ind w:right="108"/>
              <w:jc w:val="right"/>
              <w:textAlignment w:val="baseline"/>
              <w:rPr>
                <w:rFonts w:eastAsia="Times New Roman" w:cs="Times New Roman"/>
                <w:color w:val="000000"/>
                <w:sz w:val="16"/>
                <w:szCs w:val="16"/>
                <w:lang w:val="en-GB"/>
              </w:rPr>
            </w:pPr>
          </w:p>
        </w:tc>
        <w:tc>
          <w:tcPr>
            <w:tcW w:w="1418" w:type="dxa"/>
          </w:tcPr>
          <w:p w:rsidRPr="009C48DA" w:rsidR="00661519" w:rsidP="00661519" w:rsidRDefault="00661519" w14:paraId="6B3E56C2"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519341FE"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19578E4F" w14:textId="77777777">
            <w:pPr>
              <w:ind w:right="139"/>
              <w:jc w:val="right"/>
              <w:textAlignment w:val="baseline"/>
              <w:rPr>
                <w:rFonts w:eastAsia="Times New Roman" w:cs="Times New Roman"/>
                <w:color w:val="000000"/>
                <w:sz w:val="16"/>
                <w:szCs w:val="16"/>
                <w:lang w:val="en-GB"/>
              </w:rPr>
            </w:pPr>
          </w:p>
        </w:tc>
      </w:tr>
      <w:tr w:rsidRPr="009C48DA" w:rsidR="00661519" w:rsidTr="00661519" w14:paraId="57054220" w14:textId="77777777">
        <w:tc>
          <w:tcPr>
            <w:tcW w:w="2127" w:type="dxa"/>
            <w:vAlign w:val="bottom"/>
          </w:tcPr>
          <w:p w:rsidRPr="009C48DA" w:rsidR="00661519" w:rsidP="00661519" w:rsidRDefault="00661519" w14:paraId="1458C126"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Property, plant and equipment</w:t>
            </w:r>
          </w:p>
        </w:tc>
        <w:tc>
          <w:tcPr>
            <w:tcW w:w="1275" w:type="dxa"/>
          </w:tcPr>
          <w:p w:rsidRPr="009C48DA" w:rsidR="00661519" w:rsidP="00661519" w:rsidRDefault="00661519" w14:paraId="2BF69AA2"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center"/>
          </w:tcPr>
          <w:p w:rsidRPr="009C48DA" w:rsidR="00661519" w:rsidP="00661519" w:rsidRDefault="00661519" w14:paraId="2E970BCC"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5,780</w:t>
            </w:r>
          </w:p>
        </w:tc>
        <w:tc>
          <w:tcPr>
            <w:tcW w:w="1418" w:type="dxa"/>
          </w:tcPr>
          <w:p w:rsidRPr="009C48DA" w:rsidR="00661519" w:rsidP="00661519" w:rsidRDefault="00661519" w14:paraId="73AC6DDE"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38FFD8E8"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40,879</w:t>
            </w:r>
          </w:p>
        </w:tc>
        <w:tc>
          <w:tcPr>
            <w:tcW w:w="1559" w:type="dxa"/>
            <w:vAlign w:val="center"/>
          </w:tcPr>
          <w:p w:rsidRPr="009C48DA" w:rsidR="00661519" w:rsidP="00661519" w:rsidRDefault="00661519" w14:paraId="4A310E7A"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46,659</w:t>
            </w:r>
          </w:p>
        </w:tc>
      </w:tr>
      <w:tr w:rsidRPr="009C48DA" w:rsidR="00661519" w:rsidTr="00661519" w14:paraId="6AD17375" w14:textId="77777777">
        <w:tc>
          <w:tcPr>
            <w:tcW w:w="2127" w:type="dxa"/>
            <w:vAlign w:val="bottom"/>
          </w:tcPr>
          <w:p w:rsidRPr="009C48DA" w:rsidR="00661519" w:rsidP="00661519" w:rsidRDefault="00661519" w14:paraId="7FC69D5D"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Carried interest receivable</w:t>
            </w:r>
          </w:p>
        </w:tc>
        <w:tc>
          <w:tcPr>
            <w:tcW w:w="1275" w:type="dxa"/>
          </w:tcPr>
          <w:p w:rsidRPr="009C48DA" w:rsidR="00661519" w:rsidP="00661519" w:rsidRDefault="00661519" w14:paraId="018FED87"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(d)</w:t>
            </w:r>
          </w:p>
        </w:tc>
        <w:tc>
          <w:tcPr>
            <w:tcW w:w="1134" w:type="dxa"/>
            <w:vAlign w:val="center"/>
          </w:tcPr>
          <w:p w:rsidRPr="009C48DA" w:rsidR="00661519" w:rsidP="00661519" w:rsidRDefault="00661519" w14:paraId="09980786"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2,232</w:t>
            </w:r>
          </w:p>
        </w:tc>
        <w:tc>
          <w:tcPr>
            <w:tcW w:w="1418" w:type="dxa"/>
          </w:tcPr>
          <w:p w:rsidRPr="009C48DA" w:rsidR="00661519" w:rsidP="00661519" w:rsidRDefault="00661519" w14:paraId="28654AFE"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50FAB0CD"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15,525</w:t>
            </w:r>
          </w:p>
        </w:tc>
        <w:tc>
          <w:tcPr>
            <w:tcW w:w="1559" w:type="dxa"/>
            <w:vAlign w:val="center"/>
          </w:tcPr>
          <w:p w:rsidRPr="009C48DA" w:rsidR="00661519" w:rsidP="00661519" w:rsidRDefault="00661519" w14:paraId="3C5D8559"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17,757</w:t>
            </w:r>
          </w:p>
        </w:tc>
      </w:tr>
      <w:tr w:rsidRPr="009C48DA" w:rsidR="00661519" w:rsidTr="00661519" w14:paraId="7F6A26EC" w14:textId="77777777">
        <w:tc>
          <w:tcPr>
            <w:tcW w:w="2127" w:type="dxa"/>
            <w:vAlign w:val="bottom"/>
          </w:tcPr>
          <w:p w:rsidRPr="009C48DA" w:rsidR="00661519" w:rsidP="00661519" w:rsidRDefault="00661519" w14:paraId="00473E54"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Fair value of fund investments</w:t>
            </w:r>
          </w:p>
        </w:tc>
        <w:tc>
          <w:tcPr>
            <w:tcW w:w="1275" w:type="dxa"/>
          </w:tcPr>
          <w:p w:rsidRPr="009C48DA" w:rsidR="00661519" w:rsidP="00661519" w:rsidRDefault="00661519" w14:paraId="482EC281"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44E8AC3A"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125,497</w:t>
            </w:r>
          </w:p>
        </w:tc>
        <w:tc>
          <w:tcPr>
            <w:tcW w:w="1418" w:type="dxa"/>
          </w:tcPr>
          <w:p w:rsidRPr="009C48DA" w:rsidR="00661519" w:rsidP="00661519" w:rsidRDefault="00661519" w14:paraId="2D23FB5F"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586F3E3B"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3EB34BA7"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125,497</w:t>
            </w:r>
          </w:p>
        </w:tc>
      </w:tr>
      <w:tr w:rsidRPr="009C48DA" w:rsidR="00661519" w:rsidTr="00661519" w14:paraId="6FD4035C" w14:textId="77777777">
        <w:tc>
          <w:tcPr>
            <w:tcW w:w="2127" w:type="dxa"/>
            <w:vAlign w:val="bottom"/>
          </w:tcPr>
          <w:p w:rsidRPr="009C48DA" w:rsidR="00661519" w:rsidP="00661519" w:rsidRDefault="00661519" w14:paraId="26642319"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Investments at amortised cost</w:t>
            </w:r>
          </w:p>
        </w:tc>
        <w:tc>
          <w:tcPr>
            <w:tcW w:w="1275" w:type="dxa"/>
          </w:tcPr>
          <w:p w:rsidRPr="009C48DA" w:rsidR="00661519" w:rsidP="00661519" w:rsidRDefault="00661519" w14:paraId="6AA33731"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12894D16"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86,363</w:t>
            </w:r>
          </w:p>
        </w:tc>
        <w:tc>
          <w:tcPr>
            <w:tcW w:w="1418" w:type="dxa"/>
          </w:tcPr>
          <w:p w:rsidRPr="009C48DA" w:rsidR="00661519" w:rsidP="00661519" w:rsidRDefault="00661519" w14:paraId="385F0941"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30F2C84C"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6CFAE299"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86,363</w:t>
            </w:r>
          </w:p>
        </w:tc>
      </w:tr>
      <w:tr w:rsidRPr="009C48DA" w:rsidR="00661519" w:rsidTr="00661519" w14:paraId="0C9DE0BF" w14:textId="77777777">
        <w:tc>
          <w:tcPr>
            <w:tcW w:w="2127" w:type="dxa"/>
            <w:vAlign w:val="bottom"/>
          </w:tcPr>
          <w:p w:rsidRPr="009C48DA" w:rsidR="00661519" w:rsidP="00661519" w:rsidRDefault="00661519" w14:paraId="3391E353"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receivables</w:t>
            </w:r>
          </w:p>
        </w:tc>
        <w:tc>
          <w:tcPr>
            <w:tcW w:w="1275" w:type="dxa"/>
          </w:tcPr>
          <w:p w:rsidRPr="009C48DA" w:rsidR="00661519" w:rsidP="00661519" w:rsidRDefault="00661519" w14:paraId="7ECAA736"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(e), (f)</w:t>
            </w:r>
          </w:p>
        </w:tc>
        <w:tc>
          <w:tcPr>
            <w:tcW w:w="1134" w:type="dxa"/>
            <w:vAlign w:val="center"/>
          </w:tcPr>
          <w:p w:rsidRPr="009C48DA" w:rsidR="00661519" w:rsidP="00661519" w:rsidRDefault="00661519" w14:paraId="3F7DCE6F"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418" w:type="dxa"/>
          </w:tcPr>
          <w:p w:rsidRPr="009C48DA" w:rsidR="00661519" w:rsidP="00661519" w:rsidRDefault="00661519" w14:paraId="58655010"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176,177</w:t>
            </w:r>
          </w:p>
        </w:tc>
        <w:tc>
          <w:tcPr>
            <w:tcW w:w="1559" w:type="dxa"/>
            <w:vAlign w:val="center"/>
          </w:tcPr>
          <w:p w:rsidRPr="009C48DA" w:rsidR="00661519" w:rsidP="00661519" w:rsidRDefault="00661519" w14:paraId="41BD6A8D"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8,862</w:t>
            </w:r>
          </w:p>
        </w:tc>
        <w:tc>
          <w:tcPr>
            <w:tcW w:w="1559" w:type="dxa"/>
            <w:vAlign w:val="center"/>
          </w:tcPr>
          <w:p w:rsidRPr="009C48DA" w:rsidR="00661519" w:rsidP="00661519" w:rsidRDefault="00661519" w14:paraId="1AAD7CEA"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185,039</w:t>
            </w:r>
          </w:p>
        </w:tc>
      </w:tr>
      <w:tr w:rsidRPr="009C48DA" w:rsidR="00661519" w:rsidTr="00661519" w14:paraId="4B045059" w14:textId="77777777">
        <w:tc>
          <w:tcPr>
            <w:tcW w:w="2127" w:type="dxa"/>
            <w:vAlign w:val="bottom"/>
          </w:tcPr>
          <w:p w:rsidRPr="009C48DA" w:rsidR="00661519" w:rsidP="00661519" w:rsidRDefault="00661519" w14:paraId="1FC3BAA8" w14:textId="77777777">
            <w:pPr>
              <w:textAlignment w:val="baseline"/>
              <w:rPr>
                <w:rFonts w:eastAsia="Times New Roman" w:cs="Times New Roman"/>
                <w:b/>
                <w:color w:val="000000"/>
                <w:sz w:val="16"/>
                <w:szCs w:val="16"/>
                <w:lang w:val="en-GB"/>
              </w:rPr>
            </w:pPr>
          </w:p>
          <w:p w:rsidRPr="009C48DA" w:rsidR="00661519" w:rsidP="00661519" w:rsidRDefault="00661519" w14:paraId="32DC8C82"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non-current assets</w:t>
            </w:r>
          </w:p>
        </w:tc>
        <w:tc>
          <w:tcPr>
            <w:tcW w:w="1275" w:type="dxa"/>
          </w:tcPr>
          <w:p w:rsidRPr="009C48DA" w:rsidR="00661519" w:rsidP="00661519" w:rsidRDefault="00661519" w14:paraId="52072A06"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77E3F700" w14:textId="77777777">
            <w:pPr>
              <w:pBdr>
                <w:bottom w:val="single" w:color="auto" w:sz="8" w:space="1"/>
              </w:pBdr>
              <w:ind w:right="108"/>
              <w:jc w:val="right"/>
              <w:textAlignment w:val="baseline"/>
              <w:rPr>
                <w:rFonts w:eastAsia="Times New Roman"/>
                <w:color w:val="000000"/>
                <w:sz w:val="16"/>
                <w:lang w:val="en-GB"/>
              </w:rPr>
            </w:pPr>
          </w:p>
          <w:p w:rsidRPr="009C48DA" w:rsidR="00661519" w:rsidP="00661519" w:rsidRDefault="00661519" w14:paraId="7F87BE7F" w14:textId="77777777">
            <w:pPr>
              <w:pBdr>
                <w:bottom w:val="single" w:color="auto" w:sz="8" w:space="1"/>
              </w:pBd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219,872</w:t>
            </w:r>
          </w:p>
        </w:tc>
        <w:tc>
          <w:tcPr>
            <w:tcW w:w="1418" w:type="dxa"/>
            <w:vAlign w:val="center"/>
          </w:tcPr>
          <w:p w:rsidRPr="009C48DA" w:rsidR="00661519" w:rsidP="00661519" w:rsidRDefault="00661519" w14:paraId="15A405F3" w14:textId="77777777">
            <w:pPr>
              <w:pBdr>
                <w:bottom w:val="single" w:color="auto" w:sz="8" w:space="1"/>
              </w:pBdr>
              <w:ind w:right="164"/>
              <w:jc w:val="right"/>
              <w:textAlignment w:val="baseline"/>
              <w:rPr>
                <w:rFonts w:eastAsia="Times New Roman"/>
                <w:color w:val="000000"/>
                <w:sz w:val="16"/>
                <w:lang w:val="en-GB"/>
              </w:rPr>
            </w:pPr>
          </w:p>
          <w:p w:rsidRPr="009C48DA" w:rsidR="00661519" w:rsidP="00661519" w:rsidRDefault="00661519" w14:paraId="5084FFD6"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176,177</w:t>
            </w:r>
          </w:p>
        </w:tc>
        <w:tc>
          <w:tcPr>
            <w:tcW w:w="1559" w:type="dxa"/>
            <w:vAlign w:val="center"/>
          </w:tcPr>
          <w:p w:rsidRPr="009C48DA" w:rsidR="00661519" w:rsidP="00661519" w:rsidRDefault="00661519" w14:paraId="1957964D" w14:textId="77777777">
            <w:pPr>
              <w:pBdr>
                <w:bottom w:val="single" w:color="auto" w:sz="8" w:space="1"/>
              </w:pBdr>
              <w:ind w:right="164"/>
              <w:jc w:val="right"/>
              <w:textAlignment w:val="baseline"/>
              <w:rPr>
                <w:rFonts w:eastAsia="Times New Roman"/>
                <w:color w:val="000000"/>
                <w:sz w:val="16"/>
                <w:lang w:val="en-GB"/>
              </w:rPr>
            </w:pPr>
          </w:p>
          <w:p w:rsidRPr="009C48DA" w:rsidR="00661519" w:rsidP="00661519" w:rsidRDefault="00661519" w14:paraId="502DCE7B" w14:textId="77777777">
            <w:pPr>
              <w:pBdr>
                <w:bottom w:val="single" w:color="auto" w:sz="8" w:space="1"/>
              </w:pBd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65,266</w:t>
            </w:r>
          </w:p>
        </w:tc>
        <w:tc>
          <w:tcPr>
            <w:tcW w:w="1559" w:type="dxa"/>
            <w:vAlign w:val="center"/>
          </w:tcPr>
          <w:p w:rsidRPr="009C48DA" w:rsidR="00661519" w:rsidP="00661519" w:rsidRDefault="00661519" w14:paraId="08571B9B" w14:textId="77777777">
            <w:pPr>
              <w:pBdr>
                <w:bottom w:val="single" w:color="auto" w:sz="8" w:space="1"/>
              </w:pBdr>
              <w:ind w:right="139"/>
              <w:jc w:val="right"/>
              <w:textAlignment w:val="baseline"/>
              <w:rPr>
                <w:rFonts w:eastAsia="Times New Roman"/>
                <w:color w:val="000000"/>
                <w:sz w:val="16"/>
                <w:lang w:val="en-GB"/>
              </w:rPr>
            </w:pPr>
          </w:p>
          <w:p w:rsidRPr="009C48DA" w:rsidR="00661519" w:rsidP="00661519" w:rsidRDefault="00661519" w14:paraId="10CAB166" w14:textId="77777777">
            <w:pPr>
              <w:pBdr>
                <w:bottom w:val="single" w:color="auto" w:sz="8" w:space="1"/>
              </w:pBd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461,315</w:t>
            </w:r>
          </w:p>
        </w:tc>
      </w:tr>
      <w:tr w:rsidRPr="009C48DA" w:rsidR="00661519" w:rsidTr="00661519" w14:paraId="0E8DA591" w14:textId="77777777">
        <w:tc>
          <w:tcPr>
            <w:tcW w:w="2127" w:type="dxa"/>
            <w:vAlign w:val="bottom"/>
          </w:tcPr>
          <w:p w:rsidRPr="009C48DA" w:rsidR="00661519" w:rsidP="00661519" w:rsidRDefault="00661519" w14:paraId="7F8B4C4E"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Current assets</w:t>
            </w:r>
          </w:p>
        </w:tc>
        <w:tc>
          <w:tcPr>
            <w:tcW w:w="1275" w:type="dxa"/>
          </w:tcPr>
          <w:p w:rsidRPr="009C48DA" w:rsidR="00661519" w:rsidP="00661519" w:rsidRDefault="00661519" w14:paraId="1DFB54B5" w14:textId="77777777">
            <w:pPr>
              <w:ind w:right="108"/>
              <w:jc w:val="center"/>
              <w:textAlignment w:val="baseline"/>
              <w:rPr>
                <w:rFonts w:eastAsia="Times New Roman"/>
                <w:color w:val="000000"/>
                <w:sz w:val="24"/>
                <w:lang w:val="en-GB"/>
              </w:rPr>
            </w:pPr>
          </w:p>
        </w:tc>
        <w:tc>
          <w:tcPr>
            <w:tcW w:w="1134" w:type="dxa"/>
          </w:tcPr>
          <w:p w:rsidRPr="009C48DA" w:rsidR="00661519" w:rsidP="00661519" w:rsidRDefault="00661519" w14:paraId="4DED6DB5" w14:textId="77777777">
            <w:pPr>
              <w:ind w:right="108"/>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c>
          <w:tcPr>
            <w:tcW w:w="1418" w:type="dxa"/>
          </w:tcPr>
          <w:p w:rsidRPr="009C48DA" w:rsidR="00661519" w:rsidP="00661519" w:rsidRDefault="00661519" w14:paraId="28969D4F" w14:textId="77777777">
            <w:pPr>
              <w:ind w:right="164"/>
              <w:textAlignment w:val="baseline"/>
              <w:rPr>
                <w:rFonts w:eastAsia="Times New Roman"/>
                <w:color w:val="000000"/>
                <w:sz w:val="24"/>
                <w:lang w:val="en-GB"/>
              </w:rPr>
            </w:pPr>
          </w:p>
        </w:tc>
        <w:tc>
          <w:tcPr>
            <w:tcW w:w="1559" w:type="dxa"/>
          </w:tcPr>
          <w:p w:rsidRPr="009C48DA" w:rsidR="00661519" w:rsidP="00661519" w:rsidRDefault="00661519" w14:paraId="351DB066" w14:textId="77777777">
            <w:pPr>
              <w:ind w:right="164"/>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c>
          <w:tcPr>
            <w:tcW w:w="1559" w:type="dxa"/>
          </w:tcPr>
          <w:p w:rsidRPr="009C48DA" w:rsidR="00661519" w:rsidP="00661519" w:rsidRDefault="00661519" w14:paraId="4F050495" w14:textId="77777777">
            <w:pPr>
              <w:ind w:right="139"/>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r>
      <w:tr w:rsidRPr="009C48DA" w:rsidR="00661519" w:rsidTr="00661519" w14:paraId="118DBABA" w14:textId="77777777">
        <w:tc>
          <w:tcPr>
            <w:tcW w:w="2127" w:type="dxa"/>
            <w:vAlign w:val="bottom"/>
          </w:tcPr>
          <w:p w:rsidRPr="009C48DA" w:rsidR="00661519" w:rsidP="00661519" w:rsidRDefault="00661519" w14:paraId="6B15728E"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receivables</w:t>
            </w:r>
          </w:p>
        </w:tc>
        <w:tc>
          <w:tcPr>
            <w:tcW w:w="1275" w:type="dxa"/>
          </w:tcPr>
          <w:p w:rsidRPr="009C48DA" w:rsidR="00661519" w:rsidP="00661519" w:rsidRDefault="00661519" w14:paraId="30D8AB58"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(e), (f)</w:t>
            </w:r>
          </w:p>
        </w:tc>
        <w:tc>
          <w:tcPr>
            <w:tcW w:w="1134" w:type="dxa"/>
            <w:vAlign w:val="center"/>
          </w:tcPr>
          <w:p w:rsidRPr="009C48DA" w:rsidR="00661519" w:rsidP="00661519" w:rsidRDefault="00661519" w14:paraId="03322F41"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207,680</w:t>
            </w:r>
          </w:p>
        </w:tc>
        <w:tc>
          <w:tcPr>
            <w:tcW w:w="1418" w:type="dxa"/>
          </w:tcPr>
          <w:p w:rsidRPr="009C48DA" w:rsidR="00661519" w:rsidP="00661519" w:rsidRDefault="00661519" w14:paraId="374B93C0"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(176,177)</w:t>
            </w:r>
          </w:p>
        </w:tc>
        <w:tc>
          <w:tcPr>
            <w:tcW w:w="1559" w:type="dxa"/>
            <w:vAlign w:val="center"/>
          </w:tcPr>
          <w:p w:rsidRPr="009C48DA" w:rsidR="00661519" w:rsidP="00661519" w:rsidRDefault="00661519" w14:paraId="696FFD00"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1,845</w:t>
            </w:r>
          </w:p>
        </w:tc>
        <w:tc>
          <w:tcPr>
            <w:tcW w:w="1559" w:type="dxa"/>
            <w:vAlign w:val="center"/>
          </w:tcPr>
          <w:p w:rsidRPr="009C48DA" w:rsidR="00661519" w:rsidP="00661519" w:rsidRDefault="00661519" w14:paraId="0849C816"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33,348</w:t>
            </w:r>
          </w:p>
        </w:tc>
      </w:tr>
      <w:tr w:rsidRPr="009C48DA" w:rsidR="00661519" w:rsidTr="00661519" w14:paraId="4FF98B7D" w14:textId="77777777">
        <w:tc>
          <w:tcPr>
            <w:tcW w:w="2127" w:type="dxa"/>
            <w:vAlign w:val="bottom"/>
          </w:tcPr>
          <w:p w:rsidRPr="009C48DA" w:rsidR="00661519" w:rsidP="00661519" w:rsidRDefault="00661519" w14:paraId="05413708"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Cash and cash equivalents</w:t>
            </w:r>
          </w:p>
        </w:tc>
        <w:tc>
          <w:tcPr>
            <w:tcW w:w="1275" w:type="dxa"/>
          </w:tcPr>
          <w:p w:rsidRPr="009C48DA" w:rsidR="00661519" w:rsidP="00661519" w:rsidRDefault="00661519" w14:paraId="31E8EFFF"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504BC50E" w14:textId="77777777">
            <w:pPr>
              <w:pBdr>
                <w:bottom w:val="single" w:color="auto" w:sz="8" w:space="1"/>
              </w:pBd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37,075</w:t>
            </w:r>
          </w:p>
        </w:tc>
        <w:tc>
          <w:tcPr>
            <w:tcW w:w="1418" w:type="dxa"/>
          </w:tcPr>
          <w:p w:rsidRPr="009C48DA" w:rsidR="00661519" w:rsidP="00661519" w:rsidRDefault="00661519" w14:paraId="05D38581"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1EB54A0E" w14:textId="77777777">
            <w:pPr>
              <w:pBdr>
                <w:bottom w:val="single" w:color="auto" w:sz="8" w:space="1"/>
              </w:pBd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2BE6CAA9" w14:textId="77777777">
            <w:pPr>
              <w:pBdr>
                <w:bottom w:val="single" w:color="auto" w:sz="8" w:space="1"/>
              </w:pBd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37,075</w:t>
            </w:r>
          </w:p>
        </w:tc>
      </w:tr>
      <w:tr w:rsidRPr="009C48DA" w:rsidR="00661519" w:rsidTr="00661519" w14:paraId="0744C8A3" w14:textId="77777777">
        <w:tc>
          <w:tcPr>
            <w:tcW w:w="2127" w:type="dxa"/>
            <w:vAlign w:val="bottom"/>
          </w:tcPr>
          <w:p w:rsidRPr="009C48DA" w:rsidR="00661519" w:rsidP="00661519" w:rsidRDefault="00661519" w14:paraId="336908F0" w14:textId="77777777">
            <w:pPr>
              <w:textAlignment w:val="baseline"/>
              <w:rPr>
                <w:rFonts w:eastAsia="Times New Roman" w:cs="Times New Roman"/>
                <w:b/>
                <w:color w:val="000000"/>
                <w:sz w:val="16"/>
                <w:szCs w:val="16"/>
                <w:lang w:val="en-GB"/>
              </w:rPr>
            </w:pPr>
          </w:p>
          <w:p w:rsidRPr="009C48DA" w:rsidR="00661519" w:rsidP="00661519" w:rsidRDefault="00661519" w14:paraId="5F88A073"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current assets</w:t>
            </w:r>
          </w:p>
        </w:tc>
        <w:tc>
          <w:tcPr>
            <w:tcW w:w="1275" w:type="dxa"/>
          </w:tcPr>
          <w:p w:rsidRPr="009C48DA" w:rsidR="00661519" w:rsidP="00661519" w:rsidRDefault="00661519" w14:paraId="17803DA3"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2DC9523C" w14:textId="77777777">
            <w:pPr>
              <w:pBdr>
                <w:bottom w:val="single" w:color="auto" w:sz="8" w:space="1"/>
              </w:pBdr>
              <w:ind w:right="108"/>
              <w:jc w:val="right"/>
              <w:textAlignment w:val="baseline"/>
              <w:rPr>
                <w:rFonts w:eastAsia="Times New Roman"/>
                <w:color w:val="000000"/>
                <w:sz w:val="16"/>
                <w:lang w:val="en-GB"/>
              </w:rPr>
            </w:pPr>
          </w:p>
          <w:p w:rsidRPr="009C48DA" w:rsidR="00661519" w:rsidP="00661519" w:rsidRDefault="00661519" w14:paraId="1F648E3B" w14:textId="77777777">
            <w:pPr>
              <w:pBdr>
                <w:bottom w:val="single" w:color="auto" w:sz="8" w:space="1"/>
              </w:pBd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244,755</w:t>
            </w:r>
          </w:p>
        </w:tc>
        <w:tc>
          <w:tcPr>
            <w:tcW w:w="1418" w:type="dxa"/>
            <w:vAlign w:val="center"/>
          </w:tcPr>
          <w:p w:rsidRPr="009C48DA" w:rsidR="00661519" w:rsidP="00661519" w:rsidRDefault="00661519" w14:paraId="6FB13D61" w14:textId="77777777">
            <w:pPr>
              <w:pBdr>
                <w:bottom w:val="single" w:color="auto" w:sz="8" w:space="1"/>
              </w:pBdr>
              <w:ind w:right="164"/>
              <w:jc w:val="right"/>
              <w:textAlignment w:val="baseline"/>
              <w:rPr>
                <w:rFonts w:eastAsia="Times New Roman"/>
                <w:color w:val="000000"/>
                <w:sz w:val="16"/>
                <w:lang w:val="en-GB"/>
              </w:rPr>
            </w:pPr>
          </w:p>
          <w:p w:rsidRPr="009C48DA" w:rsidR="00661519" w:rsidP="00661519" w:rsidRDefault="00661519" w14:paraId="7D8CAB2B"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(176,177)</w:t>
            </w:r>
          </w:p>
        </w:tc>
        <w:tc>
          <w:tcPr>
            <w:tcW w:w="1559" w:type="dxa"/>
            <w:vAlign w:val="center"/>
          </w:tcPr>
          <w:p w:rsidRPr="009C48DA" w:rsidR="00661519" w:rsidP="00661519" w:rsidRDefault="00661519" w14:paraId="188F976B" w14:textId="77777777">
            <w:pPr>
              <w:pBdr>
                <w:bottom w:val="single" w:color="auto" w:sz="8" w:space="1"/>
              </w:pBdr>
              <w:ind w:right="164"/>
              <w:jc w:val="right"/>
              <w:textAlignment w:val="baseline"/>
              <w:rPr>
                <w:rFonts w:eastAsia="Times New Roman"/>
                <w:color w:val="000000"/>
                <w:sz w:val="16"/>
                <w:lang w:val="en-GB"/>
              </w:rPr>
            </w:pPr>
          </w:p>
          <w:p w:rsidRPr="009C48DA" w:rsidR="00661519" w:rsidP="00661519" w:rsidRDefault="00661519" w14:paraId="57B0B504" w14:textId="77777777">
            <w:pPr>
              <w:pBdr>
                <w:bottom w:val="single" w:color="auto" w:sz="8" w:space="1"/>
              </w:pBd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1,845</w:t>
            </w:r>
          </w:p>
        </w:tc>
        <w:tc>
          <w:tcPr>
            <w:tcW w:w="1559" w:type="dxa"/>
            <w:vAlign w:val="center"/>
          </w:tcPr>
          <w:p w:rsidRPr="009C48DA" w:rsidR="00661519" w:rsidP="00661519" w:rsidRDefault="00661519" w14:paraId="311D4FCB" w14:textId="77777777">
            <w:pPr>
              <w:pBdr>
                <w:bottom w:val="single" w:color="auto" w:sz="8" w:space="1"/>
              </w:pBdr>
              <w:ind w:right="139"/>
              <w:jc w:val="right"/>
              <w:textAlignment w:val="baseline"/>
              <w:rPr>
                <w:rFonts w:eastAsia="Times New Roman"/>
                <w:color w:val="000000"/>
                <w:sz w:val="16"/>
                <w:lang w:val="en-GB"/>
              </w:rPr>
            </w:pPr>
          </w:p>
          <w:p w:rsidRPr="009C48DA" w:rsidR="00661519" w:rsidP="00661519" w:rsidRDefault="00661519" w14:paraId="4C8AE374" w14:textId="77777777">
            <w:pPr>
              <w:pBdr>
                <w:bottom w:val="single" w:color="auto" w:sz="8" w:space="1"/>
              </w:pBdr>
              <w:ind w:right="139"/>
              <w:jc w:val="right"/>
              <w:textAlignment w:val="baseline"/>
              <w:rPr>
                <w:rFonts w:eastAsia="Times New Roman"/>
                <w:color w:val="000000"/>
                <w:sz w:val="16"/>
                <w:lang w:val="en-GB"/>
              </w:rPr>
            </w:pPr>
            <w:r w:rsidRPr="009C48DA">
              <w:rPr>
                <w:rFonts w:eastAsia="Times New Roman"/>
                <w:color w:val="000000"/>
                <w:sz w:val="16"/>
                <w:lang w:val="en-GB"/>
              </w:rPr>
              <w:t>70,423</w:t>
            </w:r>
          </w:p>
        </w:tc>
      </w:tr>
      <w:tr w:rsidRPr="009C48DA" w:rsidR="00661519" w:rsidTr="00661519" w14:paraId="6C923E91" w14:textId="77777777">
        <w:tc>
          <w:tcPr>
            <w:tcW w:w="2127" w:type="dxa"/>
            <w:vAlign w:val="bottom"/>
          </w:tcPr>
          <w:p w:rsidRPr="009C48DA" w:rsidR="00661519" w:rsidP="00661519" w:rsidRDefault="00661519" w14:paraId="74D1D37A" w14:textId="77777777">
            <w:pPr>
              <w:textAlignment w:val="baseline"/>
              <w:rPr>
                <w:rFonts w:eastAsia="Times New Roman" w:cs="Times New Roman"/>
                <w:b/>
                <w:color w:val="000000"/>
                <w:sz w:val="16"/>
                <w:szCs w:val="16"/>
                <w:lang w:val="en-GB"/>
              </w:rPr>
            </w:pPr>
          </w:p>
          <w:p w:rsidRPr="009C48DA" w:rsidR="00661519" w:rsidP="00661519" w:rsidRDefault="00661519" w14:paraId="30AAED5A"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assets</w:t>
            </w:r>
          </w:p>
        </w:tc>
        <w:tc>
          <w:tcPr>
            <w:tcW w:w="1275" w:type="dxa"/>
          </w:tcPr>
          <w:p w:rsidRPr="009C48DA" w:rsidR="00661519" w:rsidP="00661519" w:rsidRDefault="00661519" w14:paraId="28605D41"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13E64C00" w14:textId="77777777">
            <w:pPr>
              <w:pBdr>
                <w:bottom w:val="single" w:color="auto" w:sz="8" w:space="1"/>
              </w:pBdr>
              <w:ind w:right="108"/>
              <w:jc w:val="right"/>
              <w:textAlignment w:val="baseline"/>
              <w:rPr>
                <w:rFonts w:eastAsia="Times New Roman"/>
                <w:color w:val="000000"/>
                <w:sz w:val="16"/>
                <w:lang w:val="en-GB"/>
              </w:rPr>
            </w:pPr>
          </w:p>
          <w:p w:rsidRPr="009C48DA" w:rsidR="00661519" w:rsidP="00661519" w:rsidRDefault="00661519" w14:paraId="04FE571F" w14:textId="77777777">
            <w:pPr>
              <w:pBdr>
                <w:bottom w:val="single" w:color="auto" w:sz="8" w:space="1"/>
              </w:pBdr>
              <w:ind w:right="108"/>
              <w:jc w:val="right"/>
              <w:textAlignment w:val="baseline"/>
              <w:rPr>
                <w:rFonts w:eastAsia="Times New Roman"/>
                <w:color w:val="000000"/>
                <w:sz w:val="16"/>
                <w:lang w:val="en-GB"/>
              </w:rPr>
            </w:pPr>
            <w:r w:rsidRPr="009C48DA">
              <w:rPr>
                <w:rFonts w:eastAsia="Times New Roman"/>
                <w:color w:val="000000"/>
                <w:sz w:val="16"/>
                <w:lang w:val="en-GB"/>
              </w:rPr>
              <w:t>464,627</w:t>
            </w:r>
          </w:p>
        </w:tc>
        <w:tc>
          <w:tcPr>
            <w:tcW w:w="1418" w:type="dxa"/>
            <w:vAlign w:val="center"/>
          </w:tcPr>
          <w:p w:rsidRPr="009C48DA" w:rsidR="00661519" w:rsidP="00661519" w:rsidRDefault="00661519" w14:paraId="2C60FFCD" w14:textId="77777777">
            <w:pPr>
              <w:pBdr>
                <w:bottom w:val="single" w:color="auto" w:sz="8" w:space="1"/>
              </w:pBdr>
              <w:ind w:right="164"/>
              <w:jc w:val="right"/>
              <w:textAlignment w:val="baseline"/>
              <w:rPr>
                <w:rFonts w:eastAsia="Times New Roman"/>
                <w:color w:val="000000"/>
                <w:sz w:val="16"/>
                <w:lang w:val="en-GB"/>
              </w:rPr>
            </w:pPr>
          </w:p>
          <w:p w:rsidRPr="009C48DA" w:rsidR="00661519" w:rsidP="00661519" w:rsidRDefault="00661519" w14:paraId="20423683"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27320DAB" w14:textId="77777777">
            <w:pPr>
              <w:pBdr>
                <w:bottom w:val="single" w:color="auto" w:sz="8" w:space="1"/>
              </w:pBdr>
              <w:ind w:right="164"/>
              <w:jc w:val="right"/>
              <w:textAlignment w:val="baseline"/>
              <w:rPr>
                <w:rFonts w:eastAsia="Times New Roman"/>
                <w:color w:val="000000"/>
                <w:sz w:val="16"/>
                <w:lang w:val="en-GB"/>
              </w:rPr>
            </w:pPr>
          </w:p>
          <w:p w:rsidRPr="009C48DA" w:rsidR="00661519" w:rsidP="00661519" w:rsidRDefault="00661519" w14:paraId="464316F0"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67,111</w:t>
            </w:r>
          </w:p>
        </w:tc>
        <w:tc>
          <w:tcPr>
            <w:tcW w:w="1559" w:type="dxa"/>
            <w:vAlign w:val="center"/>
          </w:tcPr>
          <w:p w:rsidRPr="009C48DA" w:rsidR="00661519" w:rsidP="00661519" w:rsidRDefault="00661519" w14:paraId="16D3C969" w14:textId="77777777">
            <w:pPr>
              <w:pBdr>
                <w:bottom w:val="single" w:color="auto" w:sz="8" w:space="1"/>
              </w:pBdr>
              <w:ind w:right="139"/>
              <w:jc w:val="right"/>
              <w:textAlignment w:val="baseline"/>
              <w:rPr>
                <w:rFonts w:eastAsia="Times New Roman"/>
                <w:color w:val="000000"/>
                <w:sz w:val="16"/>
                <w:lang w:val="en-GB"/>
              </w:rPr>
            </w:pPr>
          </w:p>
          <w:p w:rsidRPr="009C48DA" w:rsidR="00661519" w:rsidP="00661519" w:rsidRDefault="00661519" w14:paraId="55E27AEA" w14:textId="77777777">
            <w:pPr>
              <w:pBdr>
                <w:bottom w:val="single" w:color="auto" w:sz="8" w:space="1"/>
              </w:pBdr>
              <w:ind w:right="139"/>
              <w:jc w:val="right"/>
              <w:textAlignment w:val="baseline"/>
              <w:rPr>
                <w:rFonts w:eastAsia="Times New Roman"/>
                <w:color w:val="000000"/>
                <w:sz w:val="16"/>
                <w:lang w:val="en-GB"/>
              </w:rPr>
            </w:pPr>
            <w:r w:rsidRPr="009C48DA">
              <w:rPr>
                <w:rFonts w:eastAsia="Times New Roman"/>
                <w:color w:val="000000"/>
                <w:sz w:val="16"/>
                <w:lang w:val="en-GB"/>
              </w:rPr>
              <w:t>531,738</w:t>
            </w:r>
          </w:p>
        </w:tc>
      </w:tr>
      <w:tr w:rsidRPr="009C48DA" w:rsidR="00661519" w:rsidTr="00661519" w14:paraId="34F0529E" w14:textId="77777777">
        <w:tc>
          <w:tcPr>
            <w:tcW w:w="2127" w:type="dxa"/>
            <w:vAlign w:val="bottom"/>
          </w:tcPr>
          <w:p w:rsidRPr="009C48DA" w:rsidR="00661519" w:rsidP="00661519" w:rsidRDefault="00661519" w14:paraId="41773F88" w14:textId="77777777">
            <w:pPr>
              <w:textAlignment w:val="baseline"/>
              <w:rPr>
                <w:rFonts w:eastAsia="Times New Roman" w:cs="Times New Roman"/>
                <w:b/>
                <w:color w:val="000000"/>
                <w:sz w:val="16"/>
                <w:szCs w:val="16"/>
                <w:lang w:val="en-GB"/>
              </w:rPr>
            </w:pPr>
          </w:p>
          <w:p w:rsidRPr="009C48DA" w:rsidR="00661519" w:rsidP="00661519" w:rsidRDefault="00661519" w14:paraId="16CD0BD1"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Liabilities</w:t>
            </w:r>
          </w:p>
        </w:tc>
        <w:tc>
          <w:tcPr>
            <w:tcW w:w="1275" w:type="dxa"/>
          </w:tcPr>
          <w:p w:rsidRPr="009C48DA" w:rsidR="00661519" w:rsidP="00661519" w:rsidRDefault="00661519" w14:paraId="534B085F" w14:textId="77777777">
            <w:pPr>
              <w:ind w:right="108"/>
              <w:jc w:val="center"/>
              <w:textAlignment w:val="baseline"/>
              <w:rPr>
                <w:rFonts w:eastAsia="Times New Roman"/>
                <w:color w:val="000000"/>
                <w:sz w:val="24"/>
                <w:lang w:val="en-GB"/>
              </w:rPr>
            </w:pPr>
          </w:p>
        </w:tc>
        <w:tc>
          <w:tcPr>
            <w:tcW w:w="1134" w:type="dxa"/>
          </w:tcPr>
          <w:p w:rsidRPr="009C48DA" w:rsidR="00661519" w:rsidP="00661519" w:rsidRDefault="00661519" w14:paraId="008D0E3D" w14:textId="77777777">
            <w:pPr>
              <w:ind w:right="108"/>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c>
          <w:tcPr>
            <w:tcW w:w="1418" w:type="dxa"/>
          </w:tcPr>
          <w:p w:rsidRPr="009C48DA" w:rsidR="00661519" w:rsidP="00661519" w:rsidRDefault="00661519" w14:paraId="3E67F8F3" w14:textId="77777777">
            <w:pPr>
              <w:ind w:right="164"/>
              <w:textAlignment w:val="baseline"/>
              <w:rPr>
                <w:rFonts w:eastAsia="Times New Roman"/>
                <w:color w:val="000000"/>
                <w:sz w:val="24"/>
                <w:lang w:val="en-GB"/>
              </w:rPr>
            </w:pPr>
          </w:p>
        </w:tc>
        <w:tc>
          <w:tcPr>
            <w:tcW w:w="1559" w:type="dxa"/>
          </w:tcPr>
          <w:p w:rsidRPr="009C48DA" w:rsidR="00661519" w:rsidP="00661519" w:rsidRDefault="00661519" w14:paraId="35C6645C" w14:textId="77777777">
            <w:pPr>
              <w:ind w:right="164"/>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c>
          <w:tcPr>
            <w:tcW w:w="1559" w:type="dxa"/>
          </w:tcPr>
          <w:p w:rsidRPr="009C48DA" w:rsidR="00661519" w:rsidP="00661519" w:rsidRDefault="00661519" w14:paraId="1704F9D0" w14:textId="77777777">
            <w:pPr>
              <w:ind w:right="139"/>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r>
      <w:tr w:rsidRPr="009C48DA" w:rsidR="00661519" w:rsidTr="00661519" w14:paraId="1A4FDB27" w14:textId="77777777">
        <w:tc>
          <w:tcPr>
            <w:tcW w:w="2127" w:type="dxa"/>
            <w:vAlign w:val="bottom"/>
          </w:tcPr>
          <w:p w:rsidRPr="009C48DA" w:rsidR="00661519" w:rsidP="00661519" w:rsidRDefault="00661519" w14:paraId="029E37C4"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Non-current liabilities</w:t>
            </w:r>
          </w:p>
        </w:tc>
        <w:tc>
          <w:tcPr>
            <w:tcW w:w="1275" w:type="dxa"/>
          </w:tcPr>
          <w:p w:rsidRPr="009C48DA" w:rsidR="00661519" w:rsidP="00661519" w:rsidRDefault="00661519" w14:paraId="0ACE0ECE" w14:textId="77777777">
            <w:pPr>
              <w:ind w:right="108"/>
              <w:jc w:val="center"/>
              <w:textAlignment w:val="baseline"/>
              <w:rPr>
                <w:rFonts w:eastAsia="Times New Roman"/>
                <w:color w:val="000000"/>
                <w:sz w:val="24"/>
                <w:lang w:val="en-GB"/>
              </w:rPr>
            </w:pPr>
          </w:p>
        </w:tc>
        <w:tc>
          <w:tcPr>
            <w:tcW w:w="1134" w:type="dxa"/>
          </w:tcPr>
          <w:p w:rsidRPr="009C48DA" w:rsidR="00661519" w:rsidP="00661519" w:rsidRDefault="00661519" w14:paraId="1E1ABBF3" w14:textId="77777777">
            <w:pPr>
              <w:ind w:right="108"/>
              <w:textAlignment w:val="baseline"/>
              <w:rPr>
                <w:rFonts w:eastAsia="Times New Roman"/>
                <w:color w:val="000000"/>
                <w:sz w:val="24"/>
                <w:lang w:val="en-GB"/>
              </w:rPr>
            </w:pPr>
          </w:p>
        </w:tc>
        <w:tc>
          <w:tcPr>
            <w:tcW w:w="1418" w:type="dxa"/>
          </w:tcPr>
          <w:p w:rsidRPr="009C48DA" w:rsidR="00661519" w:rsidP="00661519" w:rsidRDefault="00661519" w14:paraId="02A90BD9" w14:textId="77777777">
            <w:pPr>
              <w:ind w:right="164"/>
              <w:textAlignment w:val="baseline"/>
              <w:rPr>
                <w:rFonts w:eastAsia="Times New Roman"/>
                <w:color w:val="000000"/>
                <w:sz w:val="24"/>
                <w:lang w:val="en-GB"/>
              </w:rPr>
            </w:pPr>
          </w:p>
        </w:tc>
        <w:tc>
          <w:tcPr>
            <w:tcW w:w="1559" w:type="dxa"/>
          </w:tcPr>
          <w:p w:rsidRPr="009C48DA" w:rsidR="00661519" w:rsidP="00661519" w:rsidRDefault="00661519" w14:paraId="2A383F5D" w14:textId="77777777">
            <w:pPr>
              <w:ind w:right="164"/>
              <w:textAlignment w:val="baseline"/>
              <w:rPr>
                <w:rFonts w:eastAsia="Times New Roman"/>
                <w:color w:val="000000"/>
                <w:sz w:val="24"/>
                <w:lang w:val="en-GB"/>
              </w:rPr>
            </w:pPr>
          </w:p>
        </w:tc>
        <w:tc>
          <w:tcPr>
            <w:tcW w:w="1559" w:type="dxa"/>
          </w:tcPr>
          <w:p w:rsidRPr="009C48DA" w:rsidR="00661519" w:rsidP="00661519" w:rsidRDefault="00661519" w14:paraId="4AE3A578" w14:textId="77777777">
            <w:pPr>
              <w:ind w:right="139"/>
              <w:textAlignment w:val="baseline"/>
              <w:rPr>
                <w:rFonts w:eastAsia="Times New Roman"/>
                <w:color w:val="000000"/>
                <w:sz w:val="24"/>
                <w:lang w:val="en-GB"/>
              </w:rPr>
            </w:pPr>
          </w:p>
        </w:tc>
      </w:tr>
      <w:tr w:rsidRPr="009C48DA" w:rsidR="00661519" w:rsidTr="00661519" w14:paraId="341B9AAC" w14:textId="77777777">
        <w:tc>
          <w:tcPr>
            <w:tcW w:w="2127" w:type="dxa"/>
            <w:vAlign w:val="bottom"/>
          </w:tcPr>
          <w:p w:rsidRPr="009C48DA" w:rsidR="00661519" w:rsidP="00661519" w:rsidRDefault="00661519" w14:paraId="04972E34"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payables</w:t>
            </w:r>
          </w:p>
        </w:tc>
        <w:tc>
          <w:tcPr>
            <w:tcW w:w="1275" w:type="dxa"/>
          </w:tcPr>
          <w:p w:rsidRPr="009C48DA" w:rsidR="00661519" w:rsidP="00661519" w:rsidRDefault="00661519" w14:paraId="36D43BDC"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07093EE4"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480</w:t>
            </w:r>
          </w:p>
        </w:tc>
        <w:tc>
          <w:tcPr>
            <w:tcW w:w="1418" w:type="dxa"/>
          </w:tcPr>
          <w:p w:rsidRPr="009C48DA" w:rsidR="00661519" w:rsidP="00661519" w:rsidRDefault="00661519" w14:paraId="08BE6DC0"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0C8505B7"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66390256"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480</w:t>
            </w:r>
          </w:p>
        </w:tc>
      </w:tr>
      <w:tr w:rsidRPr="009C48DA" w:rsidR="00661519" w:rsidTr="00661519" w14:paraId="4786479A" w14:textId="77777777">
        <w:tc>
          <w:tcPr>
            <w:tcW w:w="2127" w:type="dxa"/>
            <w:vAlign w:val="bottom"/>
          </w:tcPr>
          <w:p w:rsidRPr="009C48DA" w:rsidR="00661519" w:rsidP="00661519" w:rsidRDefault="00661519" w14:paraId="220994E0"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Borrowings</w:t>
            </w:r>
          </w:p>
        </w:tc>
        <w:tc>
          <w:tcPr>
            <w:tcW w:w="1275" w:type="dxa"/>
          </w:tcPr>
          <w:p w:rsidRPr="009C48DA" w:rsidR="00661519" w:rsidP="00661519" w:rsidRDefault="00661519" w14:paraId="64A1076D"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10A6C754"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77,316</w:t>
            </w:r>
          </w:p>
        </w:tc>
        <w:tc>
          <w:tcPr>
            <w:tcW w:w="1418" w:type="dxa"/>
          </w:tcPr>
          <w:p w:rsidRPr="009C48DA" w:rsidR="00661519" w:rsidP="00661519" w:rsidRDefault="00661519" w14:paraId="6939961D"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6140C401"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0CAC42AB"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77,316</w:t>
            </w:r>
          </w:p>
        </w:tc>
      </w:tr>
      <w:tr w:rsidRPr="009C48DA" w:rsidR="00661519" w:rsidTr="00661519" w14:paraId="0280B81D" w14:textId="77777777">
        <w:tc>
          <w:tcPr>
            <w:tcW w:w="2127" w:type="dxa"/>
            <w:vAlign w:val="bottom"/>
          </w:tcPr>
          <w:p w:rsidRPr="009C48DA" w:rsidR="00661519" w:rsidP="00661519" w:rsidRDefault="00661519" w14:paraId="0575C29B"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Other financial liabilities</w:t>
            </w:r>
          </w:p>
        </w:tc>
        <w:tc>
          <w:tcPr>
            <w:tcW w:w="1275" w:type="dxa"/>
          </w:tcPr>
          <w:p w:rsidRPr="009C48DA" w:rsidR="00661519" w:rsidP="00661519" w:rsidRDefault="00661519" w14:paraId="11B757C1"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41AE375E"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2,096</w:t>
            </w:r>
          </w:p>
        </w:tc>
        <w:tc>
          <w:tcPr>
            <w:tcW w:w="1418" w:type="dxa"/>
          </w:tcPr>
          <w:p w:rsidRPr="009C48DA" w:rsidR="00661519" w:rsidP="00661519" w:rsidRDefault="00661519" w14:paraId="538EEA16"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2CB73F23"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0CFDDFD5"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2,096</w:t>
            </w:r>
          </w:p>
        </w:tc>
      </w:tr>
      <w:tr w:rsidRPr="009C48DA" w:rsidR="00661519" w:rsidTr="00661519" w14:paraId="4901EDD1" w14:textId="77777777">
        <w:tc>
          <w:tcPr>
            <w:tcW w:w="2127" w:type="dxa"/>
            <w:vAlign w:val="bottom"/>
          </w:tcPr>
          <w:p w:rsidRPr="009C48DA" w:rsidR="00661519" w:rsidP="00661519" w:rsidRDefault="00661519" w14:paraId="1F23D9D3"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Lease liabilities</w:t>
            </w:r>
          </w:p>
        </w:tc>
        <w:tc>
          <w:tcPr>
            <w:tcW w:w="1275" w:type="dxa"/>
          </w:tcPr>
          <w:p w:rsidRPr="009C48DA" w:rsidR="00661519" w:rsidP="00661519" w:rsidRDefault="00661519" w14:paraId="3D682A5A"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center"/>
          </w:tcPr>
          <w:p w:rsidRPr="009C48DA" w:rsidR="00661519" w:rsidP="00661519" w:rsidRDefault="00661519" w14:paraId="602DA01A"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w:t>
            </w:r>
          </w:p>
        </w:tc>
        <w:tc>
          <w:tcPr>
            <w:tcW w:w="1418" w:type="dxa"/>
          </w:tcPr>
          <w:p w:rsidRPr="009C48DA" w:rsidR="00661519" w:rsidP="00661519" w:rsidRDefault="00661519" w14:paraId="5163E461"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003D3C67"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44,671</w:t>
            </w:r>
          </w:p>
        </w:tc>
        <w:tc>
          <w:tcPr>
            <w:tcW w:w="1559" w:type="dxa"/>
            <w:vAlign w:val="center"/>
          </w:tcPr>
          <w:p w:rsidRPr="009C48DA" w:rsidR="00661519" w:rsidP="00661519" w:rsidRDefault="00661519" w14:paraId="4842E2C1"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44,671</w:t>
            </w:r>
          </w:p>
        </w:tc>
      </w:tr>
      <w:tr w:rsidRPr="009C48DA" w:rsidR="00661519" w:rsidTr="00661519" w14:paraId="0717ECDB" w14:textId="77777777">
        <w:tc>
          <w:tcPr>
            <w:tcW w:w="2127" w:type="dxa"/>
            <w:vAlign w:val="bottom"/>
          </w:tcPr>
          <w:p w:rsidRPr="009C48DA" w:rsidR="00661519" w:rsidP="00661519" w:rsidRDefault="00661519" w14:paraId="6A0D3BC5"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Deferred tax liabilities</w:t>
            </w:r>
          </w:p>
        </w:tc>
        <w:tc>
          <w:tcPr>
            <w:tcW w:w="1275" w:type="dxa"/>
          </w:tcPr>
          <w:p w:rsidRPr="009C48DA" w:rsidR="00661519" w:rsidP="00661519" w:rsidRDefault="00661519" w14:paraId="18BAF466"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(h)</w:t>
            </w:r>
          </w:p>
        </w:tc>
        <w:tc>
          <w:tcPr>
            <w:tcW w:w="1134" w:type="dxa"/>
            <w:vAlign w:val="center"/>
          </w:tcPr>
          <w:p w:rsidRPr="009C48DA" w:rsidR="00661519" w:rsidP="00661519" w:rsidRDefault="00661519" w14:paraId="573E9BE2" w14:textId="77777777">
            <w:pPr>
              <w:pBdr>
                <w:bottom w:val="single" w:color="auto" w:sz="8" w:space="1"/>
              </w:pBdr>
              <w:ind w:right="108"/>
              <w:jc w:val="right"/>
              <w:textAlignment w:val="baseline"/>
              <w:rPr>
                <w:rFonts w:eastAsia="Times New Roman"/>
                <w:color w:val="000000"/>
                <w:sz w:val="16"/>
                <w:lang w:val="en-GB"/>
              </w:rPr>
            </w:pPr>
            <w:r w:rsidRPr="009C48DA">
              <w:rPr>
                <w:rFonts w:eastAsia="Times New Roman"/>
                <w:color w:val="000000"/>
                <w:sz w:val="16"/>
                <w:lang w:val="en-GB"/>
              </w:rPr>
              <w:t>9,544</w:t>
            </w:r>
          </w:p>
        </w:tc>
        <w:tc>
          <w:tcPr>
            <w:tcW w:w="1418" w:type="dxa"/>
          </w:tcPr>
          <w:p w:rsidRPr="009C48DA" w:rsidR="00661519" w:rsidP="00661519" w:rsidRDefault="00661519" w14:paraId="17EF1B19"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4AEF5A6F"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(175)</w:t>
            </w:r>
          </w:p>
        </w:tc>
        <w:tc>
          <w:tcPr>
            <w:tcW w:w="1559" w:type="dxa"/>
            <w:vAlign w:val="center"/>
          </w:tcPr>
          <w:p w:rsidRPr="009C48DA" w:rsidR="00661519" w:rsidP="00661519" w:rsidRDefault="00661519" w14:paraId="5B6D31AF" w14:textId="77777777">
            <w:pPr>
              <w:pBdr>
                <w:bottom w:val="single" w:color="auto" w:sz="8" w:space="1"/>
              </w:pBdr>
              <w:ind w:right="139"/>
              <w:jc w:val="right"/>
              <w:textAlignment w:val="baseline"/>
              <w:rPr>
                <w:rFonts w:eastAsia="Times New Roman"/>
                <w:color w:val="000000"/>
                <w:sz w:val="16"/>
                <w:lang w:val="en-GB"/>
              </w:rPr>
            </w:pPr>
            <w:r w:rsidRPr="009C48DA">
              <w:rPr>
                <w:rFonts w:eastAsia="Times New Roman"/>
                <w:color w:val="000000"/>
                <w:sz w:val="16"/>
                <w:lang w:val="en-GB"/>
              </w:rPr>
              <w:t>9,369</w:t>
            </w:r>
          </w:p>
        </w:tc>
      </w:tr>
      <w:tr w:rsidRPr="009C48DA" w:rsidR="00661519" w:rsidTr="00661519" w14:paraId="28506D57" w14:textId="77777777">
        <w:tc>
          <w:tcPr>
            <w:tcW w:w="2127" w:type="dxa"/>
            <w:vAlign w:val="bottom"/>
          </w:tcPr>
          <w:p w:rsidRPr="009C48DA" w:rsidR="00661519" w:rsidP="00661519" w:rsidRDefault="00661519" w14:paraId="3BE63EB6"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non-current liabilities</w:t>
            </w:r>
          </w:p>
        </w:tc>
        <w:tc>
          <w:tcPr>
            <w:tcW w:w="1275" w:type="dxa"/>
          </w:tcPr>
          <w:p w:rsidRPr="009C48DA" w:rsidR="00661519" w:rsidP="00661519" w:rsidRDefault="00661519" w14:paraId="0B00ABF4"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33D16F55" w14:textId="77777777">
            <w:pPr>
              <w:pBdr>
                <w:bottom w:val="single" w:color="auto" w:sz="8" w:space="1"/>
              </w:pBdr>
              <w:ind w:right="108"/>
              <w:jc w:val="right"/>
              <w:textAlignment w:val="baseline"/>
              <w:rPr>
                <w:rFonts w:eastAsia="Times New Roman"/>
                <w:color w:val="000000"/>
                <w:sz w:val="16"/>
                <w:lang w:val="en-GB"/>
              </w:rPr>
            </w:pPr>
            <w:r w:rsidRPr="009C48DA">
              <w:rPr>
                <w:rFonts w:eastAsia="Times New Roman"/>
                <w:color w:val="000000"/>
                <w:sz w:val="16"/>
                <w:lang w:val="en-GB"/>
              </w:rPr>
              <w:t>89,436</w:t>
            </w:r>
          </w:p>
        </w:tc>
        <w:tc>
          <w:tcPr>
            <w:tcW w:w="1418" w:type="dxa"/>
          </w:tcPr>
          <w:p w:rsidRPr="009C48DA" w:rsidR="00661519" w:rsidP="00661519" w:rsidRDefault="00661519" w14:paraId="04A8D27E"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5B9FF19B"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44,496</w:t>
            </w:r>
          </w:p>
        </w:tc>
        <w:tc>
          <w:tcPr>
            <w:tcW w:w="1559" w:type="dxa"/>
            <w:vAlign w:val="center"/>
          </w:tcPr>
          <w:p w:rsidRPr="009C48DA" w:rsidR="00661519" w:rsidP="00661519" w:rsidRDefault="00661519" w14:paraId="2204AC3D" w14:textId="77777777">
            <w:pPr>
              <w:pBdr>
                <w:bottom w:val="single" w:color="auto" w:sz="8" w:space="1"/>
              </w:pBdr>
              <w:ind w:right="139"/>
              <w:jc w:val="right"/>
              <w:textAlignment w:val="baseline"/>
              <w:rPr>
                <w:rFonts w:eastAsia="Times New Roman"/>
                <w:color w:val="000000"/>
                <w:sz w:val="16"/>
                <w:lang w:val="en-GB"/>
              </w:rPr>
            </w:pPr>
            <w:r w:rsidRPr="009C48DA">
              <w:rPr>
                <w:rFonts w:eastAsia="Times New Roman"/>
                <w:color w:val="000000"/>
                <w:sz w:val="16"/>
                <w:lang w:val="en-GB"/>
              </w:rPr>
              <w:t>133,932</w:t>
            </w:r>
          </w:p>
        </w:tc>
      </w:tr>
      <w:tr w:rsidRPr="009C48DA" w:rsidR="00661519" w:rsidTr="00661519" w14:paraId="0443CA98" w14:textId="77777777">
        <w:tc>
          <w:tcPr>
            <w:tcW w:w="2127" w:type="dxa"/>
            <w:vAlign w:val="bottom"/>
          </w:tcPr>
          <w:p w:rsidRPr="009C48DA" w:rsidR="00661519" w:rsidP="00661519" w:rsidRDefault="00661519" w14:paraId="307F5987" w14:textId="77777777">
            <w:pPr>
              <w:textAlignment w:val="baseline"/>
              <w:rPr>
                <w:rFonts w:eastAsia="Times New Roman" w:cs="Times New Roman"/>
                <w:b/>
                <w:color w:val="000000"/>
                <w:sz w:val="16"/>
                <w:szCs w:val="16"/>
                <w:lang w:val="en-GB"/>
              </w:rPr>
            </w:pPr>
          </w:p>
          <w:p w:rsidRPr="009C48DA" w:rsidR="00661519" w:rsidP="00661519" w:rsidRDefault="00661519" w14:paraId="209A6F5B"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Current liabilities</w:t>
            </w:r>
          </w:p>
        </w:tc>
        <w:tc>
          <w:tcPr>
            <w:tcW w:w="1275" w:type="dxa"/>
          </w:tcPr>
          <w:p w:rsidRPr="009C48DA" w:rsidR="00661519" w:rsidP="00661519" w:rsidRDefault="00661519" w14:paraId="5FAEAB55"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4AEFBB56"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69F2BBD0" w14:textId="77777777">
            <w:pPr>
              <w:ind w:right="164"/>
              <w:textAlignment w:val="baseline"/>
              <w:rPr>
                <w:rFonts w:eastAsia="Times New Roman"/>
                <w:color w:val="000000"/>
                <w:sz w:val="16"/>
                <w:lang w:val="en-GB"/>
              </w:rPr>
            </w:pPr>
          </w:p>
        </w:tc>
        <w:tc>
          <w:tcPr>
            <w:tcW w:w="1559" w:type="dxa"/>
            <w:vAlign w:val="center"/>
          </w:tcPr>
          <w:p w:rsidRPr="009C48DA" w:rsidR="00661519" w:rsidP="00661519" w:rsidRDefault="00661519" w14:paraId="201C1825"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70D70766" w14:textId="77777777">
            <w:pPr>
              <w:ind w:right="139"/>
              <w:jc w:val="right"/>
              <w:textAlignment w:val="baseline"/>
              <w:rPr>
                <w:rFonts w:eastAsia="Times New Roman" w:cs="Times New Roman"/>
                <w:color w:val="000000"/>
                <w:sz w:val="16"/>
                <w:szCs w:val="16"/>
                <w:lang w:val="en-GB"/>
              </w:rPr>
            </w:pPr>
          </w:p>
        </w:tc>
      </w:tr>
      <w:tr w:rsidRPr="009C48DA" w:rsidR="00661519" w:rsidTr="00661519" w14:paraId="784731EB" w14:textId="77777777">
        <w:tc>
          <w:tcPr>
            <w:tcW w:w="2127" w:type="dxa"/>
            <w:vAlign w:val="bottom"/>
          </w:tcPr>
          <w:p w:rsidRPr="009C48DA" w:rsidR="00661519" w:rsidP="00661519" w:rsidRDefault="00661519" w14:paraId="37BFEA7B"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payables</w:t>
            </w:r>
          </w:p>
        </w:tc>
        <w:tc>
          <w:tcPr>
            <w:tcW w:w="1275" w:type="dxa"/>
          </w:tcPr>
          <w:p w:rsidRPr="009C48DA" w:rsidR="00661519" w:rsidP="00661519" w:rsidRDefault="00661519" w14:paraId="5893528A"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 (h)</w:t>
            </w:r>
          </w:p>
        </w:tc>
        <w:tc>
          <w:tcPr>
            <w:tcW w:w="1134" w:type="dxa"/>
            <w:vAlign w:val="center"/>
          </w:tcPr>
          <w:p w:rsidRPr="009C48DA" w:rsidR="00661519" w:rsidP="00661519" w:rsidRDefault="00661519" w14:paraId="26D25A84"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68,047</w:t>
            </w:r>
          </w:p>
        </w:tc>
        <w:tc>
          <w:tcPr>
            <w:tcW w:w="1418" w:type="dxa"/>
            <w:vAlign w:val="center"/>
          </w:tcPr>
          <w:p w:rsidRPr="009C48DA" w:rsidR="00661519" w:rsidP="00661519" w:rsidRDefault="00661519" w14:paraId="6EE74062"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389DE5EA"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(315)</w:t>
            </w:r>
          </w:p>
        </w:tc>
        <w:tc>
          <w:tcPr>
            <w:tcW w:w="1559" w:type="dxa"/>
            <w:vAlign w:val="center"/>
          </w:tcPr>
          <w:p w:rsidRPr="009C48DA" w:rsidR="00661519" w:rsidP="00661519" w:rsidRDefault="00661519" w14:paraId="1C8A14A8"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67,732</w:t>
            </w:r>
          </w:p>
        </w:tc>
      </w:tr>
      <w:tr w:rsidRPr="009C48DA" w:rsidR="00661519" w:rsidTr="00661519" w14:paraId="0366764A" w14:textId="77777777">
        <w:tc>
          <w:tcPr>
            <w:tcW w:w="2127" w:type="dxa"/>
            <w:vAlign w:val="bottom"/>
          </w:tcPr>
          <w:p w:rsidRPr="009C48DA" w:rsidR="00661519" w:rsidP="00661519" w:rsidRDefault="00661519" w14:paraId="5E52E9BF"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Lease liabilities</w:t>
            </w:r>
          </w:p>
        </w:tc>
        <w:tc>
          <w:tcPr>
            <w:tcW w:w="1275" w:type="dxa"/>
          </w:tcPr>
          <w:p w:rsidRPr="009C48DA" w:rsidR="00661519" w:rsidP="00661519" w:rsidRDefault="00661519" w14:paraId="2DDE3B73"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center"/>
          </w:tcPr>
          <w:p w:rsidRPr="009C48DA" w:rsidR="00661519" w:rsidP="00661519" w:rsidRDefault="00661519" w14:paraId="419B764E"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18" w:type="dxa"/>
            <w:vAlign w:val="center"/>
          </w:tcPr>
          <w:p w:rsidRPr="009C48DA" w:rsidR="00661519" w:rsidP="00661519" w:rsidRDefault="00661519" w14:paraId="04166BC7"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6B3151CF"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4,120</w:t>
            </w:r>
          </w:p>
        </w:tc>
        <w:tc>
          <w:tcPr>
            <w:tcW w:w="1559" w:type="dxa"/>
            <w:vAlign w:val="center"/>
          </w:tcPr>
          <w:p w:rsidRPr="009C48DA" w:rsidR="00661519" w:rsidP="00661519" w:rsidRDefault="00661519" w14:paraId="5E1C6BF5"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4,120</w:t>
            </w:r>
          </w:p>
        </w:tc>
      </w:tr>
      <w:tr w:rsidRPr="009C48DA" w:rsidR="00661519" w:rsidTr="00661519" w14:paraId="791F1995" w14:textId="77777777">
        <w:tc>
          <w:tcPr>
            <w:tcW w:w="2127" w:type="dxa"/>
            <w:vAlign w:val="bottom"/>
          </w:tcPr>
          <w:p w:rsidRPr="009C48DA" w:rsidR="00661519" w:rsidP="00661519" w:rsidRDefault="00661519" w14:paraId="0CD4B806"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Derivative financial instruments</w:t>
            </w:r>
          </w:p>
        </w:tc>
        <w:tc>
          <w:tcPr>
            <w:tcW w:w="1275" w:type="dxa"/>
          </w:tcPr>
          <w:p w:rsidRPr="009C48DA" w:rsidR="00661519" w:rsidP="00661519" w:rsidRDefault="00661519" w14:paraId="57A46810"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59391C41"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5,719</w:t>
            </w:r>
          </w:p>
        </w:tc>
        <w:tc>
          <w:tcPr>
            <w:tcW w:w="1418" w:type="dxa"/>
            <w:vAlign w:val="center"/>
          </w:tcPr>
          <w:p w:rsidRPr="009C48DA" w:rsidR="00661519" w:rsidP="00661519" w:rsidRDefault="00661519" w14:paraId="7EFDDFC6"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6C7E99ED"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4FE4019F"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5,719</w:t>
            </w:r>
          </w:p>
        </w:tc>
      </w:tr>
      <w:tr w:rsidRPr="009C48DA" w:rsidR="00661519" w:rsidTr="00661519" w14:paraId="7EAC3AC4" w14:textId="77777777">
        <w:tc>
          <w:tcPr>
            <w:tcW w:w="2127" w:type="dxa"/>
            <w:vAlign w:val="bottom"/>
          </w:tcPr>
          <w:p w:rsidRPr="009C48DA" w:rsidR="00661519" w:rsidP="00661519" w:rsidRDefault="00661519" w14:paraId="39256DC1"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6BF04C11"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7CA328E6"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1A650228" w14:textId="77777777">
            <w:pPr>
              <w:ind w:right="164"/>
              <w:jc w:val="right"/>
              <w:textAlignment w:val="baseline"/>
              <w:rPr>
                <w:rFonts w:eastAsia="Times New Roman"/>
                <w:color w:val="000000"/>
                <w:sz w:val="16"/>
                <w:lang w:val="en-GB"/>
              </w:rPr>
            </w:pPr>
          </w:p>
        </w:tc>
        <w:tc>
          <w:tcPr>
            <w:tcW w:w="1559" w:type="dxa"/>
            <w:vAlign w:val="center"/>
          </w:tcPr>
          <w:p w:rsidRPr="009C48DA" w:rsidR="00661519" w:rsidP="00661519" w:rsidRDefault="00661519" w14:paraId="30108316"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0481B292" w14:textId="77777777">
            <w:pPr>
              <w:ind w:right="139"/>
              <w:jc w:val="right"/>
              <w:textAlignment w:val="baseline"/>
              <w:rPr>
                <w:rFonts w:eastAsia="Times New Roman" w:cs="Times New Roman"/>
                <w:color w:val="000000"/>
                <w:sz w:val="16"/>
                <w:szCs w:val="16"/>
                <w:lang w:val="en-GB"/>
              </w:rPr>
            </w:pPr>
          </w:p>
        </w:tc>
      </w:tr>
      <w:tr w:rsidRPr="009C48DA" w:rsidR="00661519" w:rsidTr="00661519" w14:paraId="10958DEB" w14:textId="77777777">
        <w:tc>
          <w:tcPr>
            <w:tcW w:w="2127" w:type="dxa"/>
            <w:vAlign w:val="bottom"/>
          </w:tcPr>
          <w:p w:rsidRPr="009C48DA" w:rsidR="00661519" w:rsidP="00661519" w:rsidRDefault="00661519" w14:paraId="30576618"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current liabilities</w:t>
            </w:r>
          </w:p>
        </w:tc>
        <w:tc>
          <w:tcPr>
            <w:tcW w:w="1275" w:type="dxa"/>
          </w:tcPr>
          <w:p w:rsidRPr="009C48DA" w:rsidR="00661519" w:rsidP="00661519" w:rsidRDefault="00661519" w14:paraId="23F467FC"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7245EA0A"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73,766</w:t>
            </w:r>
          </w:p>
        </w:tc>
        <w:tc>
          <w:tcPr>
            <w:tcW w:w="1418" w:type="dxa"/>
            <w:vAlign w:val="center"/>
          </w:tcPr>
          <w:p w:rsidRPr="009C48DA" w:rsidR="00661519" w:rsidP="00661519" w:rsidRDefault="00661519" w14:paraId="7F306403"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7E79B3F5"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3,805</w:t>
            </w:r>
          </w:p>
        </w:tc>
        <w:tc>
          <w:tcPr>
            <w:tcW w:w="1559" w:type="dxa"/>
            <w:vAlign w:val="center"/>
          </w:tcPr>
          <w:p w:rsidRPr="009C48DA" w:rsidR="00661519" w:rsidP="00661519" w:rsidRDefault="00661519" w14:paraId="1DF9BB5D"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77,571</w:t>
            </w:r>
          </w:p>
        </w:tc>
      </w:tr>
      <w:tr w:rsidRPr="009C48DA" w:rsidR="00661519" w:rsidTr="00661519" w14:paraId="27911641" w14:textId="77777777">
        <w:tc>
          <w:tcPr>
            <w:tcW w:w="2127" w:type="dxa"/>
            <w:vAlign w:val="bottom"/>
          </w:tcPr>
          <w:p w:rsidRPr="009C48DA" w:rsidR="00661519" w:rsidP="00661519" w:rsidRDefault="00661519" w14:paraId="54722D83"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3B48DCD2"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754C4325"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09B8E100" w14:textId="77777777">
            <w:pPr>
              <w:ind w:right="164"/>
              <w:jc w:val="right"/>
              <w:textAlignment w:val="baseline"/>
              <w:rPr>
                <w:rFonts w:eastAsia="Times New Roman"/>
                <w:color w:val="000000"/>
                <w:sz w:val="16"/>
                <w:lang w:val="en-GB"/>
              </w:rPr>
            </w:pPr>
          </w:p>
        </w:tc>
        <w:tc>
          <w:tcPr>
            <w:tcW w:w="1559" w:type="dxa"/>
            <w:vAlign w:val="center"/>
          </w:tcPr>
          <w:p w:rsidRPr="009C48DA" w:rsidR="00661519" w:rsidP="00661519" w:rsidRDefault="00661519" w14:paraId="149C6889"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4F6317B3" w14:textId="77777777">
            <w:pPr>
              <w:ind w:right="139"/>
              <w:jc w:val="right"/>
              <w:textAlignment w:val="baseline"/>
              <w:rPr>
                <w:rFonts w:eastAsia="Times New Roman" w:cs="Times New Roman"/>
                <w:color w:val="000000"/>
                <w:sz w:val="16"/>
                <w:szCs w:val="16"/>
                <w:lang w:val="en-GB"/>
              </w:rPr>
            </w:pPr>
          </w:p>
        </w:tc>
      </w:tr>
      <w:tr w:rsidRPr="009C48DA" w:rsidR="00661519" w:rsidTr="00661519" w14:paraId="230AC599" w14:textId="77777777">
        <w:tc>
          <w:tcPr>
            <w:tcW w:w="2127" w:type="dxa"/>
            <w:vAlign w:val="bottom"/>
          </w:tcPr>
          <w:p w:rsidRPr="009C48DA" w:rsidR="00661519" w:rsidP="00661519" w:rsidRDefault="00661519" w14:paraId="040F887E"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liabilities</w:t>
            </w:r>
          </w:p>
        </w:tc>
        <w:tc>
          <w:tcPr>
            <w:tcW w:w="1275" w:type="dxa"/>
          </w:tcPr>
          <w:p w:rsidRPr="009C48DA" w:rsidR="00661519" w:rsidP="00661519" w:rsidRDefault="00661519" w14:paraId="62F40B2F"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475DF9DE"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163,202</w:t>
            </w:r>
          </w:p>
        </w:tc>
        <w:tc>
          <w:tcPr>
            <w:tcW w:w="1418" w:type="dxa"/>
            <w:vAlign w:val="center"/>
          </w:tcPr>
          <w:p w:rsidRPr="009C48DA" w:rsidR="00661519" w:rsidP="00661519" w:rsidRDefault="00661519" w14:paraId="7B4793C9"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03FD7392"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48,301</w:t>
            </w:r>
          </w:p>
        </w:tc>
        <w:tc>
          <w:tcPr>
            <w:tcW w:w="1559" w:type="dxa"/>
            <w:vAlign w:val="center"/>
          </w:tcPr>
          <w:p w:rsidRPr="009C48DA" w:rsidR="00661519" w:rsidP="00661519" w:rsidRDefault="00661519" w14:paraId="2D474ABB"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211,503</w:t>
            </w:r>
          </w:p>
        </w:tc>
      </w:tr>
      <w:tr w:rsidRPr="009C48DA" w:rsidR="00661519" w:rsidTr="00661519" w14:paraId="18BD9FBB" w14:textId="77777777">
        <w:tc>
          <w:tcPr>
            <w:tcW w:w="2127" w:type="dxa"/>
            <w:vAlign w:val="bottom"/>
          </w:tcPr>
          <w:p w:rsidRPr="009C48DA" w:rsidR="00661519" w:rsidP="00661519" w:rsidRDefault="00661519" w14:paraId="6F4B3401"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3316F7C2"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132BAED0"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0DDE132B" w14:textId="77777777">
            <w:pPr>
              <w:ind w:right="164"/>
              <w:jc w:val="right"/>
              <w:textAlignment w:val="baseline"/>
              <w:rPr>
                <w:rFonts w:eastAsia="Times New Roman"/>
                <w:color w:val="000000"/>
                <w:sz w:val="16"/>
                <w:lang w:val="en-GB"/>
              </w:rPr>
            </w:pPr>
          </w:p>
        </w:tc>
        <w:tc>
          <w:tcPr>
            <w:tcW w:w="1559" w:type="dxa"/>
            <w:vAlign w:val="center"/>
          </w:tcPr>
          <w:p w:rsidRPr="009C48DA" w:rsidR="00661519" w:rsidP="00661519" w:rsidRDefault="00661519" w14:paraId="1B92158A"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4E511C75" w14:textId="77777777">
            <w:pPr>
              <w:ind w:right="139"/>
              <w:jc w:val="right"/>
              <w:textAlignment w:val="baseline"/>
              <w:rPr>
                <w:rFonts w:eastAsia="Times New Roman" w:cs="Times New Roman"/>
                <w:color w:val="000000"/>
                <w:sz w:val="16"/>
                <w:szCs w:val="16"/>
                <w:lang w:val="en-GB"/>
              </w:rPr>
            </w:pPr>
          </w:p>
        </w:tc>
      </w:tr>
      <w:tr w:rsidRPr="009C48DA" w:rsidR="00661519" w:rsidTr="00661519" w14:paraId="2A9EB8C9" w14:textId="77777777">
        <w:tc>
          <w:tcPr>
            <w:tcW w:w="2127" w:type="dxa"/>
            <w:vAlign w:val="bottom"/>
          </w:tcPr>
          <w:p w:rsidRPr="009C48DA" w:rsidR="00661519" w:rsidP="00661519" w:rsidRDefault="00661519" w14:paraId="3DA579A3"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Net assets</w:t>
            </w:r>
          </w:p>
        </w:tc>
        <w:tc>
          <w:tcPr>
            <w:tcW w:w="1275" w:type="dxa"/>
          </w:tcPr>
          <w:p w:rsidRPr="009C48DA" w:rsidR="00661519" w:rsidP="00661519" w:rsidRDefault="00661519" w14:paraId="10383E9B"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58C6725C" w14:textId="77777777">
            <w:pPr>
              <w:pBdr>
                <w:bottom w:val="doub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301,425</w:t>
            </w:r>
          </w:p>
        </w:tc>
        <w:tc>
          <w:tcPr>
            <w:tcW w:w="1418" w:type="dxa"/>
            <w:vAlign w:val="center"/>
          </w:tcPr>
          <w:p w:rsidRPr="009C48DA" w:rsidR="00661519" w:rsidP="00661519" w:rsidRDefault="00661519" w14:paraId="501E1A26" w14:textId="77777777">
            <w:pPr>
              <w:pBdr>
                <w:bottom w:val="doub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2DDDFEC5" w14:textId="77777777">
            <w:pPr>
              <w:pBdr>
                <w:bottom w:val="doub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18,810</w:t>
            </w:r>
          </w:p>
        </w:tc>
        <w:tc>
          <w:tcPr>
            <w:tcW w:w="1559" w:type="dxa"/>
            <w:vAlign w:val="center"/>
          </w:tcPr>
          <w:p w:rsidRPr="009C48DA" w:rsidR="00661519" w:rsidP="00661519" w:rsidRDefault="00661519" w14:paraId="388392AD" w14:textId="77777777">
            <w:pPr>
              <w:pBdr>
                <w:bottom w:val="doub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320,235</w:t>
            </w:r>
          </w:p>
        </w:tc>
      </w:tr>
      <w:tr w:rsidRPr="009C48DA" w:rsidR="00661519" w:rsidTr="00661519" w14:paraId="5AD8013E" w14:textId="77777777">
        <w:tc>
          <w:tcPr>
            <w:tcW w:w="2127" w:type="dxa"/>
            <w:vAlign w:val="bottom"/>
          </w:tcPr>
          <w:p w:rsidRPr="009C48DA" w:rsidR="00661519" w:rsidP="00661519" w:rsidRDefault="00661519" w14:paraId="2623CADE"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462A63F1"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6348DE5A"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7D871FAC" w14:textId="77777777">
            <w:pPr>
              <w:ind w:right="164"/>
              <w:jc w:val="right"/>
              <w:textAlignment w:val="baseline"/>
              <w:rPr>
                <w:rFonts w:eastAsia="Times New Roman"/>
                <w:color w:val="000000"/>
                <w:sz w:val="16"/>
                <w:lang w:val="en-GB"/>
              </w:rPr>
            </w:pPr>
          </w:p>
        </w:tc>
        <w:tc>
          <w:tcPr>
            <w:tcW w:w="1559" w:type="dxa"/>
            <w:vAlign w:val="center"/>
          </w:tcPr>
          <w:p w:rsidRPr="009C48DA" w:rsidR="00661519" w:rsidP="00661519" w:rsidRDefault="00661519" w14:paraId="43D708CA"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2B78F83D" w14:textId="77777777">
            <w:pPr>
              <w:ind w:right="139"/>
              <w:jc w:val="right"/>
              <w:textAlignment w:val="baseline"/>
              <w:rPr>
                <w:rFonts w:eastAsia="Times New Roman" w:cs="Times New Roman"/>
                <w:color w:val="000000"/>
                <w:sz w:val="16"/>
                <w:szCs w:val="16"/>
                <w:lang w:val="en-GB"/>
              </w:rPr>
            </w:pPr>
          </w:p>
        </w:tc>
      </w:tr>
      <w:tr w:rsidRPr="009C48DA" w:rsidR="00661519" w:rsidTr="00661519" w14:paraId="210AB37D" w14:textId="77777777">
        <w:tc>
          <w:tcPr>
            <w:tcW w:w="2127" w:type="dxa"/>
            <w:vAlign w:val="bottom"/>
          </w:tcPr>
          <w:p w:rsidRPr="009C48DA" w:rsidR="00661519" w:rsidP="00661519" w:rsidRDefault="00661519" w14:paraId="2BB4937F"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Equity</w:t>
            </w:r>
          </w:p>
        </w:tc>
        <w:tc>
          <w:tcPr>
            <w:tcW w:w="1275" w:type="dxa"/>
          </w:tcPr>
          <w:p w:rsidRPr="009C48DA" w:rsidR="00661519" w:rsidP="00661519" w:rsidRDefault="00661519" w14:paraId="498B3F29"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7E02E16E"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4F8F3B7C" w14:textId="77777777">
            <w:pPr>
              <w:ind w:right="164"/>
              <w:jc w:val="right"/>
              <w:textAlignment w:val="baseline"/>
              <w:rPr>
                <w:rFonts w:eastAsia="Times New Roman"/>
                <w:color w:val="000000"/>
                <w:sz w:val="16"/>
                <w:lang w:val="en-GB"/>
              </w:rPr>
            </w:pPr>
          </w:p>
        </w:tc>
        <w:tc>
          <w:tcPr>
            <w:tcW w:w="1559" w:type="dxa"/>
            <w:vAlign w:val="center"/>
          </w:tcPr>
          <w:p w:rsidRPr="009C48DA" w:rsidR="00661519" w:rsidP="00661519" w:rsidRDefault="00661519" w14:paraId="44E9EE12"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5D5F0333" w14:textId="77777777">
            <w:pPr>
              <w:ind w:right="139"/>
              <w:jc w:val="right"/>
              <w:textAlignment w:val="baseline"/>
              <w:rPr>
                <w:rFonts w:eastAsia="Times New Roman" w:cs="Times New Roman"/>
                <w:color w:val="000000"/>
                <w:sz w:val="16"/>
                <w:szCs w:val="16"/>
                <w:lang w:val="en-GB"/>
              </w:rPr>
            </w:pPr>
          </w:p>
        </w:tc>
      </w:tr>
      <w:tr w:rsidRPr="009C48DA" w:rsidR="00661519" w:rsidTr="00661519" w14:paraId="5DCD44F7" w14:textId="77777777">
        <w:tc>
          <w:tcPr>
            <w:tcW w:w="2127" w:type="dxa"/>
            <w:vAlign w:val="bottom"/>
          </w:tcPr>
          <w:p w:rsidRPr="009C48DA" w:rsidR="00661519" w:rsidP="00661519" w:rsidRDefault="00661519" w14:paraId="329494D5"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Share capital and premium</w:t>
            </w:r>
          </w:p>
        </w:tc>
        <w:tc>
          <w:tcPr>
            <w:tcW w:w="1275" w:type="dxa"/>
          </w:tcPr>
          <w:p w:rsidRPr="009C48DA" w:rsidR="00661519" w:rsidP="00661519" w:rsidRDefault="00661519" w14:paraId="091E81BB"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726387F2"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240,867</w:t>
            </w:r>
          </w:p>
        </w:tc>
        <w:tc>
          <w:tcPr>
            <w:tcW w:w="1418" w:type="dxa"/>
            <w:vAlign w:val="center"/>
          </w:tcPr>
          <w:p w:rsidRPr="009C48DA" w:rsidR="00661519" w:rsidP="00661519" w:rsidRDefault="00661519" w14:paraId="6F6344C6"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4E52557E"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47A69C76"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240,867</w:t>
            </w:r>
          </w:p>
        </w:tc>
      </w:tr>
      <w:tr w:rsidRPr="009C48DA" w:rsidR="00661519" w:rsidTr="00661519" w14:paraId="56D2EF91" w14:textId="77777777">
        <w:tc>
          <w:tcPr>
            <w:tcW w:w="2127" w:type="dxa"/>
            <w:vAlign w:val="bottom"/>
          </w:tcPr>
          <w:p w:rsidRPr="009C48DA" w:rsidR="00661519" w:rsidP="00661519" w:rsidRDefault="00661519" w14:paraId="26DB995D"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Capital redemption reserve</w:t>
            </w:r>
          </w:p>
        </w:tc>
        <w:tc>
          <w:tcPr>
            <w:tcW w:w="1275" w:type="dxa"/>
          </w:tcPr>
          <w:p w:rsidRPr="009C48DA" w:rsidR="00661519" w:rsidP="00661519" w:rsidRDefault="00661519" w14:paraId="51975243"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353BA723"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c>
          <w:tcPr>
            <w:tcW w:w="1418" w:type="dxa"/>
            <w:vAlign w:val="center"/>
          </w:tcPr>
          <w:p w:rsidRPr="009C48DA" w:rsidR="00661519" w:rsidP="00661519" w:rsidRDefault="00661519" w14:paraId="4C87B88A"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0DBF6346"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02501F71"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r>
      <w:tr w:rsidRPr="009C48DA" w:rsidR="00661519" w:rsidTr="00661519" w14:paraId="1AAA1932" w14:textId="77777777">
        <w:tc>
          <w:tcPr>
            <w:tcW w:w="2127" w:type="dxa"/>
            <w:vAlign w:val="bottom"/>
          </w:tcPr>
          <w:p w:rsidRPr="009C48DA" w:rsidR="00661519" w:rsidP="00661519" w:rsidRDefault="00661519" w14:paraId="753D6C62"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Cash flow hedge reserve</w:t>
            </w:r>
          </w:p>
        </w:tc>
        <w:tc>
          <w:tcPr>
            <w:tcW w:w="1275" w:type="dxa"/>
          </w:tcPr>
          <w:p w:rsidRPr="009C48DA" w:rsidR="00661519" w:rsidP="00661519" w:rsidRDefault="00661519" w14:paraId="5073F339"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(i)</w:t>
            </w:r>
          </w:p>
        </w:tc>
        <w:tc>
          <w:tcPr>
            <w:tcW w:w="1134" w:type="dxa"/>
            <w:vAlign w:val="center"/>
          </w:tcPr>
          <w:p w:rsidRPr="009C48DA" w:rsidR="00661519" w:rsidP="00661519" w:rsidRDefault="00661519" w14:paraId="0B46A2DC"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(3,408)</w:t>
            </w:r>
          </w:p>
        </w:tc>
        <w:tc>
          <w:tcPr>
            <w:tcW w:w="1418" w:type="dxa"/>
            <w:vAlign w:val="center"/>
          </w:tcPr>
          <w:p w:rsidRPr="009C48DA" w:rsidR="00661519" w:rsidP="00661519" w:rsidRDefault="00661519" w14:paraId="2FE27A89"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1E839E7B"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3A639DD0"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(3,408)</w:t>
            </w:r>
          </w:p>
        </w:tc>
      </w:tr>
      <w:tr w:rsidRPr="009C48DA" w:rsidR="00661519" w:rsidTr="00661519" w14:paraId="6FA669C8" w14:textId="77777777">
        <w:tc>
          <w:tcPr>
            <w:tcW w:w="2127" w:type="dxa"/>
            <w:vAlign w:val="bottom"/>
          </w:tcPr>
          <w:p w:rsidRPr="009C48DA" w:rsidR="00661519" w:rsidP="00661519" w:rsidRDefault="00661519" w14:paraId="0A954478"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Net exchange difference exchange</w:t>
            </w:r>
          </w:p>
        </w:tc>
        <w:tc>
          <w:tcPr>
            <w:tcW w:w="1275" w:type="dxa"/>
          </w:tcPr>
          <w:p w:rsidRPr="009C48DA" w:rsidR="00661519" w:rsidP="00661519" w:rsidRDefault="00661519" w14:paraId="1B707701"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(i)</w:t>
            </w:r>
          </w:p>
        </w:tc>
        <w:tc>
          <w:tcPr>
            <w:tcW w:w="1134" w:type="dxa"/>
            <w:vAlign w:val="center"/>
          </w:tcPr>
          <w:p w:rsidRPr="009C48DA" w:rsidR="00661519" w:rsidP="00661519" w:rsidRDefault="00661519" w14:paraId="449218CF"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18" w:type="dxa"/>
            <w:vAlign w:val="center"/>
          </w:tcPr>
          <w:p w:rsidRPr="009C48DA" w:rsidR="00661519" w:rsidP="00661519" w:rsidRDefault="00661519" w14:paraId="33CEA6ED"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5,046</w:t>
            </w:r>
          </w:p>
        </w:tc>
        <w:tc>
          <w:tcPr>
            <w:tcW w:w="1559" w:type="dxa"/>
            <w:vAlign w:val="center"/>
          </w:tcPr>
          <w:p w:rsidRPr="009C48DA" w:rsidR="00661519" w:rsidP="00661519" w:rsidRDefault="00661519" w14:paraId="19E690E4"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3D51368C"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5,046</w:t>
            </w:r>
          </w:p>
        </w:tc>
      </w:tr>
      <w:tr w:rsidRPr="009C48DA" w:rsidR="00661519" w:rsidTr="00661519" w14:paraId="36E01E0A" w14:textId="77777777">
        <w:tc>
          <w:tcPr>
            <w:tcW w:w="2127" w:type="dxa"/>
            <w:vAlign w:val="bottom"/>
          </w:tcPr>
          <w:p w:rsidRPr="009C48DA" w:rsidR="00661519" w:rsidP="00661519" w:rsidRDefault="00661519" w14:paraId="5E34FE16"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Retained earnings</w:t>
            </w:r>
          </w:p>
        </w:tc>
        <w:tc>
          <w:tcPr>
            <w:tcW w:w="1275" w:type="dxa"/>
          </w:tcPr>
          <w:p w:rsidRPr="009C48DA" w:rsidR="00661519" w:rsidP="00661519" w:rsidRDefault="00661519" w14:paraId="32048981"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731BE8D6" w14:textId="77777777">
            <w:pPr>
              <w:pBdr>
                <w:bottom w:val="single" w:color="auto" w:sz="8"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(37,044)</w:t>
            </w:r>
          </w:p>
        </w:tc>
        <w:tc>
          <w:tcPr>
            <w:tcW w:w="1418" w:type="dxa"/>
            <w:vAlign w:val="center"/>
          </w:tcPr>
          <w:p w:rsidRPr="009C48DA" w:rsidR="00661519" w:rsidP="00661519" w:rsidRDefault="00661519" w14:paraId="10C044D1"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(5,046)</w:t>
            </w:r>
          </w:p>
        </w:tc>
        <w:tc>
          <w:tcPr>
            <w:tcW w:w="1559" w:type="dxa"/>
            <w:vAlign w:val="center"/>
          </w:tcPr>
          <w:p w:rsidRPr="009C48DA" w:rsidR="00661519" w:rsidP="00661519" w:rsidRDefault="00661519" w14:paraId="3B1CCF22" w14:textId="77777777">
            <w:pPr>
              <w:pBdr>
                <w:bottom w:val="single" w:color="auto" w:sz="8"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14,634</w:t>
            </w:r>
          </w:p>
        </w:tc>
        <w:tc>
          <w:tcPr>
            <w:tcW w:w="1559" w:type="dxa"/>
            <w:vAlign w:val="center"/>
          </w:tcPr>
          <w:p w:rsidRPr="009C48DA" w:rsidR="00661519" w:rsidP="00661519" w:rsidRDefault="00661519" w14:paraId="5B431095" w14:textId="77777777">
            <w:pPr>
              <w:pBdr>
                <w:bottom w:val="single" w:color="auto" w:sz="8"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(27,456)</w:t>
            </w:r>
          </w:p>
        </w:tc>
      </w:tr>
      <w:tr w:rsidRPr="009C48DA" w:rsidR="00661519" w:rsidTr="00661519" w14:paraId="2BE4A5D7" w14:textId="77777777">
        <w:tc>
          <w:tcPr>
            <w:tcW w:w="2127" w:type="dxa"/>
            <w:vAlign w:val="bottom"/>
          </w:tcPr>
          <w:p w:rsidRPr="009C48DA" w:rsidR="00661519" w:rsidP="00661519" w:rsidRDefault="00661519" w14:paraId="4EED2D6A"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7BF415CB"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5DF5083A"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1C498019" w14:textId="77777777">
            <w:pPr>
              <w:ind w:right="164"/>
              <w:jc w:val="right"/>
              <w:textAlignment w:val="baseline"/>
              <w:rPr>
                <w:rFonts w:eastAsia="Times New Roman"/>
                <w:color w:val="000000"/>
                <w:sz w:val="16"/>
                <w:lang w:val="en-GB"/>
              </w:rPr>
            </w:pPr>
          </w:p>
        </w:tc>
        <w:tc>
          <w:tcPr>
            <w:tcW w:w="1559" w:type="dxa"/>
            <w:vAlign w:val="center"/>
          </w:tcPr>
          <w:p w:rsidRPr="009C48DA" w:rsidR="00661519" w:rsidP="00661519" w:rsidRDefault="00661519" w14:paraId="4AC40F8E"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5E959792" w14:textId="77777777">
            <w:pPr>
              <w:ind w:right="139"/>
              <w:jc w:val="right"/>
              <w:textAlignment w:val="baseline"/>
              <w:rPr>
                <w:rFonts w:eastAsia="Times New Roman" w:cs="Times New Roman"/>
                <w:color w:val="000000"/>
                <w:sz w:val="16"/>
                <w:szCs w:val="16"/>
                <w:lang w:val="en-GB"/>
              </w:rPr>
            </w:pPr>
          </w:p>
        </w:tc>
      </w:tr>
      <w:tr w:rsidRPr="009C48DA" w:rsidR="00661519" w:rsidTr="00661519" w14:paraId="78BD7738" w14:textId="77777777">
        <w:tc>
          <w:tcPr>
            <w:tcW w:w="2127" w:type="dxa"/>
            <w:vAlign w:val="center"/>
          </w:tcPr>
          <w:p w:rsidRPr="009C48DA" w:rsidR="00661519" w:rsidP="00661519" w:rsidRDefault="00661519" w14:paraId="7DBAEEDC"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Capital and reserves attributable to equity shareholders of the company</w:t>
            </w:r>
          </w:p>
        </w:tc>
        <w:tc>
          <w:tcPr>
            <w:tcW w:w="1275" w:type="dxa"/>
          </w:tcPr>
          <w:p w:rsidRPr="009C48DA" w:rsidR="00661519" w:rsidP="00661519" w:rsidRDefault="00661519" w14:paraId="076A7240"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19ADAC56"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225,034</w:t>
            </w:r>
          </w:p>
        </w:tc>
        <w:tc>
          <w:tcPr>
            <w:tcW w:w="1418" w:type="dxa"/>
            <w:vAlign w:val="center"/>
          </w:tcPr>
          <w:p w:rsidRPr="009C48DA" w:rsidR="00661519" w:rsidP="00661519" w:rsidRDefault="00661519" w14:paraId="36B923BA"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779C7128"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14,634</w:t>
            </w:r>
          </w:p>
        </w:tc>
        <w:tc>
          <w:tcPr>
            <w:tcW w:w="1559" w:type="dxa"/>
            <w:vAlign w:val="center"/>
          </w:tcPr>
          <w:p w:rsidRPr="009C48DA" w:rsidR="00661519" w:rsidP="00661519" w:rsidRDefault="00661519" w14:paraId="47ADFC86"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239,668</w:t>
            </w:r>
          </w:p>
        </w:tc>
      </w:tr>
      <w:tr w:rsidRPr="009C48DA" w:rsidR="00661519" w:rsidTr="00661519" w14:paraId="73E51296" w14:textId="77777777">
        <w:tc>
          <w:tcPr>
            <w:tcW w:w="2127" w:type="dxa"/>
            <w:vAlign w:val="bottom"/>
          </w:tcPr>
          <w:p w:rsidRPr="009C48DA" w:rsidR="00661519" w:rsidP="00661519" w:rsidRDefault="00661519" w14:paraId="179397AE"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Non-controlling interests</w:t>
            </w:r>
          </w:p>
        </w:tc>
        <w:tc>
          <w:tcPr>
            <w:tcW w:w="1275" w:type="dxa"/>
          </w:tcPr>
          <w:p w:rsidRPr="009C48DA" w:rsidR="00661519" w:rsidP="00661519" w:rsidRDefault="00661519" w14:paraId="142EBD43"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601F7F04"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76,391</w:t>
            </w:r>
          </w:p>
        </w:tc>
        <w:tc>
          <w:tcPr>
            <w:tcW w:w="1418" w:type="dxa"/>
            <w:vAlign w:val="center"/>
          </w:tcPr>
          <w:p w:rsidRPr="009C48DA" w:rsidR="00661519" w:rsidP="00661519" w:rsidRDefault="00661519" w14:paraId="3358A7D4"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6B2B2EA7"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4,176</w:t>
            </w:r>
          </w:p>
        </w:tc>
        <w:tc>
          <w:tcPr>
            <w:tcW w:w="1559" w:type="dxa"/>
            <w:vAlign w:val="center"/>
          </w:tcPr>
          <w:p w:rsidRPr="009C48DA" w:rsidR="00661519" w:rsidP="00661519" w:rsidRDefault="00661519" w14:paraId="72A9B72C"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80,567</w:t>
            </w:r>
          </w:p>
        </w:tc>
      </w:tr>
      <w:tr w:rsidRPr="009C48DA" w:rsidR="00661519" w:rsidTr="00661519" w14:paraId="2DEA95E9" w14:textId="77777777">
        <w:tc>
          <w:tcPr>
            <w:tcW w:w="2127" w:type="dxa"/>
            <w:vAlign w:val="bottom"/>
          </w:tcPr>
          <w:p w:rsidRPr="009C48DA" w:rsidR="00661519" w:rsidP="00661519" w:rsidRDefault="00661519" w14:paraId="3606EB38"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427A9E62"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751AE3AD"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239D4807" w14:textId="77777777">
            <w:pPr>
              <w:ind w:right="164"/>
              <w:jc w:val="right"/>
              <w:textAlignment w:val="baseline"/>
              <w:rPr>
                <w:rFonts w:eastAsia="Times New Roman"/>
                <w:color w:val="000000"/>
                <w:sz w:val="16"/>
                <w:lang w:val="en-GB"/>
              </w:rPr>
            </w:pPr>
          </w:p>
        </w:tc>
        <w:tc>
          <w:tcPr>
            <w:tcW w:w="1559" w:type="dxa"/>
            <w:vAlign w:val="center"/>
          </w:tcPr>
          <w:p w:rsidRPr="009C48DA" w:rsidR="00661519" w:rsidP="00661519" w:rsidRDefault="00661519" w14:paraId="63E108D6"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4B1CE0D8" w14:textId="77777777">
            <w:pPr>
              <w:ind w:right="139"/>
              <w:jc w:val="right"/>
              <w:textAlignment w:val="baseline"/>
              <w:rPr>
                <w:rFonts w:eastAsia="Times New Roman" w:cs="Times New Roman"/>
                <w:color w:val="000000"/>
                <w:sz w:val="16"/>
                <w:szCs w:val="16"/>
                <w:lang w:val="en-GB"/>
              </w:rPr>
            </w:pPr>
          </w:p>
        </w:tc>
      </w:tr>
      <w:tr w:rsidRPr="009C48DA" w:rsidR="00661519" w:rsidTr="00661519" w14:paraId="6FB96F58" w14:textId="77777777">
        <w:tc>
          <w:tcPr>
            <w:tcW w:w="2127" w:type="dxa"/>
            <w:vAlign w:val="bottom"/>
          </w:tcPr>
          <w:p w:rsidRPr="009C48DA" w:rsidR="00661519" w:rsidP="00661519" w:rsidRDefault="00661519" w14:paraId="1B85E483"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equity</w:t>
            </w:r>
          </w:p>
        </w:tc>
        <w:tc>
          <w:tcPr>
            <w:tcW w:w="1275" w:type="dxa"/>
          </w:tcPr>
          <w:p w:rsidRPr="009C48DA" w:rsidR="00661519" w:rsidP="00661519" w:rsidRDefault="00661519" w14:paraId="7A9C3966"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5652E6A7" w14:textId="77777777">
            <w:pPr>
              <w:pBdr>
                <w:bottom w:val="doub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301,425</w:t>
            </w:r>
          </w:p>
        </w:tc>
        <w:tc>
          <w:tcPr>
            <w:tcW w:w="1418" w:type="dxa"/>
            <w:vAlign w:val="center"/>
          </w:tcPr>
          <w:p w:rsidRPr="009C48DA" w:rsidR="00661519" w:rsidP="00661519" w:rsidRDefault="00661519" w14:paraId="45678463" w14:textId="77777777">
            <w:pPr>
              <w:pBdr>
                <w:bottom w:val="doub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2F4E9D23" w14:textId="77777777">
            <w:pPr>
              <w:pBdr>
                <w:bottom w:val="doub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18,810</w:t>
            </w:r>
          </w:p>
        </w:tc>
        <w:tc>
          <w:tcPr>
            <w:tcW w:w="1559" w:type="dxa"/>
            <w:vAlign w:val="center"/>
          </w:tcPr>
          <w:p w:rsidRPr="009C48DA" w:rsidR="00661519" w:rsidP="00661519" w:rsidRDefault="00661519" w14:paraId="75EF1304" w14:textId="77777777">
            <w:pPr>
              <w:pBdr>
                <w:bottom w:val="doub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320,235</w:t>
            </w:r>
          </w:p>
        </w:tc>
      </w:tr>
    </w:tbl>
    <w:p w:rsidRPr="009C48DA" w:rsidR="00661519" w:rsidP="00661519" w:rsidRDefault="00661519" w14:paraId="37F17C94" w14:textId="77777777">
      <w:pPr>
        <w:rPr>
          <w:rFonts w:eastAsia="Times New Roman" w:cs="Times New Roman"/>
          <w:b/>
          <w:color w:val="000000"/>
          <w:sz w:val="17"/>
          <w:szCs w:val="22"/>
          <w:lang w:val="en-GB"/>
        </w:rPr>
      </w:pPr>
    </w:p>
    <w:p w:rsidRPr="009C48DA" w:rsidR="00661519" w:rsidP="00661519" w:rsidRDefault="00661519" w14:paraId="46450C1D" w14:textId="77777777">
      <w:pPr>
        <w:rPr>
          <w:rFonts w:eastAsia="Times New Roman" w:cs="Times New Roman"/>
          <w:b/>
          <w:color w:val="000000"/>
          <w:sz w:val="17"/>
          <w:szCs w:val="22"/>
          <w:lang w:val="en-GB"/>
        </w:rPr>
      </w:pPr>
      <w:r w:rsidRPr="009C48DA">
        <w:rPr>
          <w:rFonts w:eastAsia="Times New Roman" w:cs="Times New Roman"/>
          <w:b/>
          <w:color w:val="000000"/>
          <w:sz w:val="17"/>
          <w:szCs w:val="22"/>
          <w:lang w:val="en-GB"/>
        </w:rPr>
        <w:br w:type="page"/>
      </w:r>
    </w:p>
    <w:p w:rsidRPr="009C48DA" w:rsidR="00661519" w:rsidP="00661519" w:rsidRDefault="00661519" w14:paraId="61EE7FE9" w14:textId="77777777">
      <w:pPr>
        <w:textAlignment w:val="baseline"/>
        <w:rPr>
          <w:rFonts w:eastAsia="Times New Roman" w:cs="Times New Roman"/>
          <w:b/>
          <w:color w:val="000000"/>
          <w:sz w:val="17"/>
          <w:szCs w:val="22"/>
          <w:lang w:val="en-GB"/>
        </w:rPr>
      </w:pPr>
      <w:r w:rsidRPr="009C48DA">
        <w:rPr>
          <w:rFonts w:eastAsia="Times New Roman" w:cs="Times New Roman"/>
          <w:b/>
          <w:color w:val="000000"/>
          <w:sz w:val="17"/>
          <w:szCs w:val="22"/>
          <w:lang w:val="en-GB"/>
        </w:rPr>
        <w:lastRenderedPageBreak/>
        <w:t>Consolidated Statement of Financial Position as at 31 December 2019</w:t>
      </w:r>
    </w:p>
    <w:p w:rsidRPr="009C48DA" w:rsidR="00661519" w:rsidP="00661519" w:rsidRDefault="00661519" w14:paraId="15AE0382" w14:textId="77777777">
      <w:pPr>
        <w:rPr>
          <w:rFonts w:eastAsia="Times New Roman" w:cs="Times New Roman"/>
          <w:b/>
          <w:color w:val="000000"/>
          <w:sz w:val="17"/>
          <w:szCs w:val="22"/>
          <w:lang w:val="en-GB"/>
        </w:rPr>
      </w:pPr>
    </w:p>
    <w:tbl>
      <w:tblPr>
        <w:tblW w:w="9072" w:type="dxa"/>
        <w:tblLayout w:type="fixed"/>
        <w:tblCellMar>
          <w:left w:w="0" w:type="dxa"/>
          <w:right w:w="0" w:type="dxa"/>
        </w:tblCellMar>
        <w:tblLook w:val="04A0" w:firstRow="1" w:lastRow="0" w:firstColumn="1" w:lastColumn="0" w:noHBand="0" w:noVBand="1"/>
      </w:tblPr>
      <w:tblGrid>
        <w:gridCol w:w="2127"/>
        <w:gridCol w:w="1275"/>
        <w:gridCol w:w="1134"/>
        <w:gridCol w:w="1418"/>
        <w:gridCol w:w="1559"/>
        <w:gridCol w:w="1559"/>
      </w:tblGrid>
      <w:tr w:rsidRPr="009C48DA" w:rsidR="00661519" w:rsidTr="00661519" w14:paraId="69B9D15E" w14:textId="77777777">
        <w:tc>
          <w:tcPr>
            <w:tcW w:w="2127" w:type="dxa"/>
            <w:vAlign w:val="bottom"/>
          </w:tcPr>
          <w:p w:rsidRPr="009C48DA" w:rsidR="00661519" w:rsidP="00661519" w:rsidRDefault="00661519" w14:paraId="4FC9615A" w14:textId="77777777">
            <w:pPr>
              <w:textAlignment w:val="baseline"/>
              <w:rPr>
                <w:rFonts w:eastAsia="Times New Roman" w:cs="Times New Roman"/>
                <w:b/>
                <w:color w:val="000000"/>
                <w:sz w:val="16"/>
                <w:szCs w:val="16"/>
                <w:lang w:val="en-GB"/>
              </w:rPr>
            </w:pPr>
          </w:p>
        </w:tc>
        <w:tc>
          <w:tcPr>
            <w:tcW w:w="1275" w:type="dxa"/>
            <w:vAlign w:val="bottom"/>
          </w:tcPr>
          <w:p w:rsidRPr="009C48DA" w:rsidR="00661519" w:rsidP="00661519" w:rsidRDefault="00661519" w14:paraId="7BA88C57" w14:textId="77777777">
            <w:pPr>
              <w:ind w:right="108"/>
              <w:jc w:val="center"/>
              <w:textAlignment w:val="baseline"/>
              <w:rPr>
                <w:rFonts w:eastAsia="Times New Roman" w:cs="Times New Roman"/>
                <w:b/>
                <w:color w:val="000000"/>
                <w:sz w:val="16"/>
                <w:szCs w:val="16"/>
                <w:lang w:val="en-GB"/>
              </w:rPr>
            </w:pPr>
          </w:p>
          <w:p w:rsidRPr="009C48DA" w:rsidR="00661519" w:rsidP="00661519" w:rsidRDefault="00661519" w14:paraId="0C1CCCDC" w14:textId="77777777">
            <w:pPr>
              <w:ind w:right="108"/>
              <w:jc w:val="center"/>
              <w:textAlignment w:val="baseline"/>
              <w:rPr>
                <w:rFonts w:eastAsia="Times New Roman" w:cs="Times New Roman"/>
                <w:b/>
                <w:color w:val="000000"/>
                <w:sz w:val="16"/>
                <w:szCs w:val="16"/>
                <w:lang w:val="en-GB"/>
              </w:rPr>
            </w:pPr>
          </w:p>
          <w:p w:rsidRPr="009C48DA" w:rsidR="00661519" w:rsidP="00661519" w:rsidRDefault="00661519" w14:paraId="47EBD316" w14:textId="77777777">
            <w:pPr>
              <w:ind w:right="10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Note</w:t>
            </w:r>
          </w:p>
        </w:tc>
        <w:tc>
          <w:tcPr>
            <w:tcW w:w="1134" w:type="dxa"/>
            <w:vAlign w:val="bottom"/>
          </w:tcPr>
          <w:p w:rsidRPr="009C48DA" w:rsidR="00661519" w:rsidP="00661519" w:rsidRDefault="00661519" w14:paraId="3D0DD18D" w14:textId="77777777">
            <w:pPr>
              <w:ind w:right="10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UK GAAP</w:t>
            </w:r>
          </w:p>
          <w:p w:rsidRPr="009C48DA" w:rsidR="00661519" w:rsidP="00661519" w:rsidRDefault="00661519" w14:paraId="562CF0E7" w14:textId="77777777">
            <w:pPr>
              <w:ind w:right="10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418" w:type="dxa"/>
            <w:vAlign w:val="bottom"/>
          </w:tcPr>
          <w:p w:rsidRPr="009C48DA" w:rsidR="00661519" w:rsidP="00661519" w:rsidRDefault="00661519" w14:paraId="1522B03A"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Reclassification</w:t>
            </w:r>
          </w:p>
          <w:p w:rsidRPr="009C48DA" w:rsidR="00661519" w:rsidP="00661519" w:rsidRDefault="00661519" w14:paraId="6ECF6088"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£ 000 </w:t>
            </w:r>
          </w:p>
        </w:tc>
        <w:tc>
          <w:tcPr>
            <w:tcW w:w="1559" w:type="dxa"/>
            <w:vAlign w:val="bottom"/>
          </w:tcPr>
          <w:p w:rsidRPr="009C48DA" w:rsidR="00661519" w:rsidP="00661519" w:rsidRDefault="00661519" w14:paraId="24B73BD7"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Recognition and measurement differences</w:t>
            </w:r>
          </w:p>
          <w:p w:rsidRPr="009C48DA" w:rsidR="00661519" w:rsidP="00661519" w:rsidRDefault="00661519" w14:paraId="247F7974"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559" w:type="dxa"/>
            <w:vAlign w:val="bottom"/>
          </w:tcPr>
          <w:p w:rsidRPr="009C48DA" w:rsidR="00661519" w:rsidP="00661519" w:rsidRDefault="00661519" w14:paraId="49632285"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IFRS as at </w:t>
            </w:r>
          </w:p>
          <w:p w:rsidRPr="009C48DA" w:rsidR="00661519" w:rsidP="00661519" w:rsidRDefault="00661519" w14:paraId="7B3017D0"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31 December 2019</w:t>
            </w:r>
          </w:p>
          <w:p w:rsidRPr="009C48DA" w:rsidR="00661519" w:rsidP="00661519" w:rsidRDefault="00661519" w14:paraId="7F0E7C0C"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0D3748C2" w14:textId="77777777">
        <w:tc>
          <w:tcPr>
            <w:tcW w:w="2127" w:type="dxa"/>
            <w:vAlign w:val="bottom"/>
          </w:tcPr>
          <w:p w:rsidRPr="009C48DA" w:rsidR="00661519" w:rsidP="00661519" w:rsidRDefault="00661519" w14:paraId="18A1EA7A"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Assets</w:t>
            </w:r>
          </w:p>
        </w:tc>
        <w:tc>
          <w:tcPr>
            <w:tcW w:w="1275" w:type="dxa"/>
          </w:tcPr>
          <w:p w:rsidRPr="009C48DA" w:rsidR="00661519" w:rsidP="00661519" w:rsidRDefault="00661519" w14:paraId="16AD104E" w14:textId="77777777">
            <w:pPr>
              <w:ind w:right="108"/>
              <w:jc w:val="center"/>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08574CD7" w14:textId="77777777">
            <w:pPr>
              <w:ind w:right="108"/>
              <w:jc w:val="right"/>
              <w:textAlignment w:val="baseline"/>
              <w:rPr>
                <w:rFonts w:eastAsia="Times New Roman" w:cs="Times New Roman"/>
                <w:color w:val="000000"/>
                <w:sz w:val="16"/>
                <w:szCs w:val="16"/>
                <w:lang w:val="en-GB"/>
              </w:rPr>
            </w:pPr>
          </w:p>
        </w:tc>
        <w:tc>
          <w:tcPr>
            <w:tcW w:w="1418" w:type="dxa"/>
          </w:tcPr>
          <w:p w:rsidRPr="009C48DA" w:rsidR="00661519" w:rsidP="00661519" w:rsidRDefault="00661519" w14:paraId="182B990B"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5B9AF2AB"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625C6263" w14:textId="77777777">
            <w:pPr>
              <w:ind w:right="139"/>
              <w:jc w:val="right"/>
              <w:textAlignment w:val="baseline"/>
              <w:rPr>
                <w:rFonts w:eastAsia="Times New Roman" w:cs="Times New Roman"/>
                <w:color w:val="000000"/>
                <w:sz w:val="16"/>
                <w:szCs w:val="16"/>
                <w:lang w:val="en-GB"/>
              </w:rPr>
            </w:pPr>
          </w:p>
        </w:tc>
      </w:tr>
      <w:tr w:rsidRPr="009C48DA" w:rsidR="00661519" w:rsidTr="00661519" w14:paraId="49645861" w14:textId="77777777">
        <w:tc>
          <w:tcPr>
            <w:tcW w:w="2127" w:type="dxa"/>
            <w:vAlign w:val="bottom"/>
          </w:tcPr>
          <w:p w:rsidRPr="009C48DA" w:rsidR="00661519" w:rsidP="00661519" w:rsidRDefault="00661519" w14:paraId="1CEEF752" w14:textId="77777777">
            <w:pP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Non-current assets</w:t>
            </w:r>
          </w:p>
        </w:tc>
        <w:tc>
          <w:tcPr>
            <w:tcW w:w="1275" w:type="dxa"/>
          </w:tcPr>
          <w:p w:rsidRPr="009C48DA" w:rsidR="00661519" w:rsidP="00661519" w:rsidRDefault="00661519" w14:paraId="1692CB26" w14:textId="77777777">
            <w:pPr>
              <w:ind w:right="108"/>
              <w:jc w:val="center"/>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188839CA" w14:textId="77777777">
            <w:pPr>
              <w:ind w:right="108"/>
              <w:jc w:val="right"/>
              <w:textAlignment w:val="baseline"/>
              <w:rPr>
                <w:rFonts w:eastAsia="Times New Roman" w:cs="Times New Roman"/>
                <w:color w:val="000000"/>
                <w:sz w:val="16"/>
                <w:szCs w:val="16"/>
                <w:lang w:val="en-GB"/>
              </w:rPr>
            </w:pPr>
          </w:p>
        </w:tc>
        <w:tc>
          <w:tcPr>
            <w:tcW w:w="1418" w:type="dxa"/>
          </w:tcPr>
          <w:p w:rsidRPr="009C48DA" w:rsidR="00661519" w:rsidP="00661519" w:rsidRDefault="00661519" w14:paraId="3D1DAAB6"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362AE807"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27141B34" w14:textId="77777777">
            <w:pPr>
              <w:ind w:right="139"/>
              <w:jc w:val="right"/>
              <w:textAlignment w:val="baseline"/>
              <w:rPr>
                <w:rFonts w:eastAsia="Times New Roman" w:cs="Times New Roman"/>
                <w:color w:val="000000"/>
                <w:sz w:val="16"/>
                <w:szCs w:val="16"/>
                <w:lang w:val="en-GB"/>
              </w:rPr>
            </w:pPr>
          </w:p>
        </w:tc>
      </w:tr>
      <w:tr w:rsidRPr="009C48DA" w:rsidR="00661519" w:rsidTr="00661519" w14:paraId="2A0AD3D1" w14:textId="77777777">
        <w:tc>
          <w:tcPr>
            <w:tcW w:w="2127" w:type="dxa"/>
            <w:vAlign w:val="bottom"/>
          </w:tcPr>
          <w:p w:rsidRPr="009C48DA" w:rsidR="00661519" w:rsidP="00661519" w:rsidRDefault="00661519" w14:paraId="299F6DD0"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Property, plant and equipment</w:t>
            </w:r>
          </w:p>
        </w:tc>
        <w:tc>
          <w:tcPr>
            <w:tcW w:w="1275" w:type="dxa"/>
          </w:tcPr>
          <w:p w:rsidRPr="009C48DA" w:rsidR="00661519" w:rsidP="00661519" w:rsidRDefault="00661519" w14:paraId="64447F9B"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center"/>
          </w:tcPr>
          <w:p w:rsidRPr="009C48DA" w:rsidR="00661519" w:rsidP="00661519" w:rsidRDefault="00661519" w14:paraId="32E03C3E"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7,626</w:t>
            </w:r>
          </w:p>
        </w:tc>
        <w:tc>
          <w:tcPr>
            <w:tcW w:w="1418" w:type="dxa"/>
          </w:tcPr>
          <w:p w:rsidRPr="009C48DA" w:rsidR="00661519" w:rsidP="00661519" w:rsidRDefault="00661519" w14:paraId="5F73F5AE"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7EA50845"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39,134</w:t>
            </w:r>
          </w:p>
        </w:tc>
        <w:tc>
          <w:tcPr>
            <w:tcW w:w="1559" w:type="dxa"/>
            <w:vAlign w:val="center"/>
          </w:tcPr>
          <w:p w:rsidRPr="009C48DA" w:rsidR="00661519" w:rsidP="00661519" w:rsidRDefault="00661519" w14:paraId="1C3B4D22"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46,760</w:t>
            </w:r>
          </w:p>
        </w:tc>
      </w:tr>
      <w:tr w:rsidRPr="009C48DA" w:rsidR="00661519" w:rsidTr="00661519" w14:paraId="2BBBFEFE" w14:textId="77777777">
        <w:tc>
          <w:tcPr>
            <w:tcW w:w="2127" w:type="dxa"/>
            <w:vAlign w:val="bottom"/>
          </w:tcPr>
          <w:p w:rsidRPr="009C48DA" w:rsidR="00661519" w:rsidP="00661519" w:rsidRDefault="00661519" w14:paraId="7C6CB0D2"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Carried interest receivable</w:t>
            </w:r>
          </w:p>
        </w:tc>
        <w:tc>
          <w:tcPr>
            <w:tcW w:w="1275" w:type="dxa"/>
          </w:tcPr>
          <w:p w:rsidRPr="009C48DA" w:rsidR="00661519" w:rsidP="00661519" w:rsidRDefault="00661519" w14:paraId="70C85575"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(d)</w:t>
            </w:r>
          </w:p>
        </w:tc>
        <w:tc>
          <w:tcPr>
            <w:tcW w:w="1134" w:type="dxa"/>
            <w:vAlign w:val="center"/>
          </w:tcPr>
          <w:p w:rsidRPr="009C48DA" w:rsidR="00661519" w:rsidP="00661519" w:rsidRDefault="00661519" w14:paraId="50835C5E"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16,560</w:t>
            </w:r>
          </w:p>
        </w:tc>
        <w:tc>
          <w:tcPr>
            <w:tcW w:w="1418" w:type="dxa"/>
          </w:tcPr>
          <w:p w:rsidRPr="009C48DA" w:rsidR="00661519" w:rsidP="00661519" w:rsidRDefault="00661519" w14:paraId="5A7B6D85"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4C256C52"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(3,558)</w:t>
            </w:r>
          </w:p>
        </w:tc>
        <w:tc>
          <w:tcPr>
            <w:tcW w:w="1559" w:type="dxa"/>
            <w:vAlign w:val="center"/>
          </w:tcPr>
          <w:p w:rsidRPr="009C48DA" w:rsidR="00661519" w:rsidP="00661519" w:rsidRDefault="00661519" w14:paraId="52B959EF"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13,002</w:t>
            </w:r>
          </w:p>
        </w:tc>
      </w:tr>
      <w:tr w:rsidRPr="009C48DA" w:rsidR="00661519" w:rsidTr="00661519" w14:paraId="5FB767EA" w14:textId="77777777">
        <w:tc>
          <w:tcPr>
            <w:tcW w:w="2127" w:type="dxa"/>
            <w:vAlign w:val="bottom"/>
          </w:tcPr>
          <w:p w:rsidRPr="009C48DA" w:rsidR="00661519" w:rsidP="00661519" w:rsidRDefault="00661519" w14:paraId="66320F97"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Fair value of fund investments</w:t>
            </w:r>
          </w:p>
        </w:tc>
        <w:tc>
          <w:tcPr>
            <w:tcW w:w="1275" w:type="dxa"/>
          </w:tcPr>
          <w:p w:rsidRPr="009C48DA" w:rsidR="00661519" w:rsidP="00661519" w:rsidRDefault="00661519" w14:paraId="298D1256"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24053819"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206,079</w:t>
            </w:r>
          </w:p>
        </w:tc>
        <w:tc>
          <w:tcPr>
            <w:tcW w:w="1418" w:type="dxa"/>
          </w:tcPr>
          <w:p w:rsidRPr="009C48DA" w:rsidR="00661519" w:rsidP="00661519" w:rsidRDefault="00661519" w14:paraId="7745DC2A"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4E1C233B"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28805E89"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206,079</w:t>
            </w:r>
          </w:p>
        </w:tc>
      </w:tr>
      <w:tr w:rsidRPr="009C48DA" w:rsidR="00661519" w:rsidTr="00661519" w14:paraId="1D3D06EF" w14:textId="77777777">
        <w:tc>
          <w:tcPr>
            <w:tcW w:w="2127" w:type="dxa"/>
            <w:vAlign w:val="bottom"/>
          </w:tcPr>
          <w:p w:rsidRPr="009C48DA" w:rsidR="00661519" w:rsidP="00661519" w:rsidRDefault="00661519" w14:paraId="1A1A540D"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receivables</w:t>
            </w:r>
          </w:p>
        </w:tc>
        <w:tc>
          <w:tcPr>
            <w:tcW w:w="1275" w:type="dxa"/>
          </w:tcPr>
          <w:p w:rsidRPr="009C48DA" w:rsidR="00661519" w:rsidP="00661519" w:rsidRDefault="00661519" w14:paraId="7F173A9B"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(e), (f)</w:t>
            </w:r>
          </w:p>
        </w:tc>
        <w:tc>
          <w:tcPr>
            <w:tcW w:w="1134" w:type="dxa"/>
            <w:vAlign w:val="center"/>
          </w:tcPr>
          <w:p w:rsidRPr="009C48DA" w:rsidR="00661519" w:rsidP="00661519" w:rsidRDefault="00661519" w14:paraId="39303BE1"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18" w:type="dxa"/>
          </w:tcPr>
          <w:p w:rsidRPr="009C48DA" w:rsidR="00661519" w:rsidP="00661519" w:rsidRDefault="00661519" w14:paraId="0A75EC0D"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110,239</w:t>
            </w:r>
          </w:p>
        </w:tc>
        <w:tc>
          <w:tcPr>
            <w:tcW w:w="1559" w:type="dxa"/>
            <w:vAlign w:val="center"/>
          </w:tcPr>
          <w:p w:rsidRPr="009C48DA" w:rsidR="00661519" w:rsidP="00661519" w:rsidRDefault="00661519" w14:paraId="68ED62DF"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6,903</w:t>
            </w:r>
          </w:p>
        </w:tc>
        <w:tc>
          <w:tcPr>
            <w:tcW w:w="1559" w:type="dxa"/>
            <w:vAlign w:val="center"/>
          </w:tcPr>
          <w:p w:rsidRPr="009C48DA" w:rsidR="00661519" w:rsidP="00661519" w:rsidRDefault="00661519" w14:paraId="75F6EF08"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117,142</w:t>
            </w:r>
          </w:p>
        </w:tc>
      </w:tr>
      <w:tr w:rsidRPr="009C48DA" w:rsidR="00661519" w:rsidTr="00661519" w14:paraId="109D8AE6" w14:textId="77777777">
        <w:tc>
          <w:tcPr>
            <w:tcW w:w="2127" w:type="dxa"/>
            <w:vAlign w:val="bottom"/>
          </w:tcPr>
          <w:p w:rsidRPr="009C48DA" w:rsidR="00661519" w:rsidP="00661519" w:rsidRDefault="00661519" w14:paraId="493FD092" w14:textId="77777777">
            <w:pPr>
              <w:textAlignment w:val="baseline"/>
              <w:rPr>
                <w:rFonts w:eastAsia="Times New Roman" w:cs="Times New Roman"/>
                <w:b/>
                <w:color w:val="000000"/>
                <w:sz w:val="16"/>
                <w:szCs w:val="16"/>
                <w:lang w:val="en-GB"/>
              </w:rPr>
            </w:pPr>
          </w:p>
          <w:p w:rsidRPr="009C48DA" w:rsidR="00661519" w:rsidP="00661519" w:rsidRDefault="00661519" w14:paraId="30315166"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non-current assets</w:t>
            </w:r>
          </w:p>
        </w:tc>
        <w:tc>
          <w:tcPr>
            <w:tcW w:w="1275" w:type="dxa"/>
          </w:tcPr>
          <w:p w:rsidRPr="009C48DA" w:rsidR="00661519" w:rsidP="00661519" w:rsidRDefault="00661519" w14:paraId="6F0C8028"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4D9D7105" w14:textId="77777777">
            <w:pPr>
              <w:pBdr>
                <w:bottom w:val="single" w:color="auto" w:sz="12" w:space="1"/>
              </w:pBdr>
              <w:ind w:right="108"/>
              <w:jc w:val="right"/>
              <w:textAlignment w:val="baseline"/>
              <w:rPr>
                <w:rFonts w:eastAsia="Times New Roman" w:cs="Times New Roman"/>
                <w:color w:val="000000"/>
                <w:sz w:val="16"/>
                <w:szCs w:val="16"/>
                <w:lang w:val="en-GB"/>
              </w:rPr>
            </w:pPr>
          </w:p>
          <w:p w:rsidRPr="009C48DA" w:rsidR="00661519" w:rsidP="00661519" w:rsidRDefault="00661519" w14:paraId="2C05BBA3"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230,265</w:t>
            </w:r>
          </w:p>
        </w:tc>
        <w:tc>
          <w:tcPr>
            <w:tcW w:w="1418" w:type="dxa"/>
            <w:vAlign w:val="center"/>
          </w:tcPr>
          <w:p w:rsidRPr="009C48DA" w:rsidR="00661519" w:rsidP="00661519" w:rsidRDefault="00661519" w14:paraId="72FC287D" w14:textId="77777777">
            <w:pPr>
              <w:pBdr>
                <w:bottom w:val="single" w:color="auto" w:sz="12" w:space="1"/>
              </w:pBdr>
              <w:ind w:right="164"/>
              <w:jc w:val="right"/>
              <w:textAlignment w:val="baseline"/>
              <w:rPr>
                <w:rFonts w:eastAsia="Times New Roman" w:cs="Times New Roman"/>
                <w:color w:val="000000"/>
                <w:sz w:val="16"/>
                <w:szCs w:val="16"/>
                <w:lang w:val="en-GB"/>
              </w:rPr>
            </w:pPr>
          </w:p>
          <w:p w:rsidRPr="009C48DA" w:rsidR="00661519" w:rsidP="00661519" w:rsidRDefault="00661519" w14:paraId="4EAA402A"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110,239</w:t>
            </w:r>
          </w:p>
        </w:tc>
        <w:tc>
          <w:tcPr>
            <w:tcW w:w="1559" w:type="dxa"/>
            <w:vAlign w:val="center"/>
          </w:tcPr>
          <w:p w:rsidRPr="009C48DA" w:rsidR="00661519" w:rsidP="00661519" w:rsidRDefault="00661519" w14:paraId="746C75BA" w14:textId="77777777">
            <w:pPr>
              <w:pBdr>
                <w:bottom w:val="single" w:color="auto" w:sz="12" w:space="1"/>
              </w:pBdr>
              <w:ind w:right="164"/>
              <w:jc w:val="right"/>
              <w:textAlignment w:val="baseline"/>
              <w:rPr>
                <w:rFonts w:eastAsia="Times New Roman" w:cs="Times New Roman"/>
                <w:color w:val="000000"/>
                <w:sz w:val="16"/>
                <w:szCs w:val="16"/>
                <w:lang w:val="en-GB"/>
              </w:rPr>
            </w:pPr>
          </w:p>
          <w:p w:rsidRPr="009C48DA" w:rsidR="00661519" w:rsidP="00661519" w:rsidRDefault="00661519" w14:paraId="7FED650A"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42,479</w:t>
            </w:r>
          </w:p>
        </w:tc>
        <w:tc>
          <w:tcPr>
            <w:tcW w:w="1559" w:type="dxa"/>
            <w:vAlign w:val="center"/>
          </w:tcPr>
          <w:p w:rsidRPr="009C48DA" w:rsidR="00661519" w:rsidP="00661519" w:rsidRDefault="00661519" w14:paraId="514A363B" w14:textId="77777777">
            <w:pPr>
              <w:pBdr>
                <w:bottom w:val="single" w:color="auto" w:sz="12" w:space="1"/>
              </w:pBdr>
              <w:ind w:right="139"/>
              <w:jc w:val="right"/>
              <w:textAlignment w:val="baseline"/>
              <w:rPr>
                <w:rFonts w:eastAsia="Times New Roman" w:cs="Times New Roman"/>
                <w:color w:val="000000"/>
                <w:sz w:val="16"/>
                <w:szCs w:val="16"/>
                <w:lang w:val="en-GB"/>
              </w:rPr>
            </w:pPr>
          </w:p>
          <w:p w:rsidRPr="009C48DA" w:rsidR="00661519" w:rsidP="00661519" w:rsidRDefault="00661519" w14:paraId="270F4A2E"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382,983</w:t>
            </w:r>
          </w:p>
        </w:tc>
      </w:tr>
      <w:tr w:rsidRPr="009C48DA" w:rsidR="00661519" w:rsidTr="00661519" w14:paraId="7A37A531" w14:textId="77777777">
        <w:tc>
          <w:tcPr>
            <w:tcW w:w="2127" w:type="dxa"/>
            <w:vAlign w:val="bottom"/>
          </w:tcPr>
          <w:p w:rsidRPr="009C48DA" w:rsidR="00661519" w:rsidP="00661519" w:rsidRDefault="00661519" w14:paraId="06E65846"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Current assets</w:t>
            </w:r>
          </w:p>
        </w:tc>
        <w:tc>
          <w:tcPr>
            <w:tcW w:w="1275" w:type="dxa"/>
          </w:tcPr>
          <w:p w:rsidRPr="009C48DA" w:rsidR="00661519" w:rsidP="00661519" w:rsidRDefault="00661519" w14:paraId="4DD52A2E" w14:textId="77777777">
            <w:pPr>
              <w:ind w:right="108"/>
              <w:jc w:val="center"/>
              <w:textAlignment w:val="baseline"/>
              <w:rPr>
                <w:rFonts w:eastAsia="Times New Roman"/>
                <w:color w:val="000000"/>
                <w:sz w:val="24"/>
                <w:lang w:val="en-GB"/>
              </w:rPr>
            </w:pPr>
          </w:p>
        </w:tc>
        <w:tc>
          <w:tcPr>
            <w:tcW w:w="1134" w:type="dxa"/>
          </w:tcPr>
          <w:p w:rsidRPr="009C48DA" w:rsidR="00661519" w:rsidP="00661519" w:rsidRDefault="00661519" w14:paraId="05BFFBC2"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418" w:type="dxa"/>
          </w:tcPr>
          <w:p w:rsidRPr="009C48DA" w:rsidR="00661519" w:rsidP="00661519" w:rsidRDefault="00661519" w14:paraId="3129FB2C" w14:textId="77777777">
            <w:pPr>
              <w:ind w:right="164"/>
              <w:jc w:val="right"/>
              <w:textAlignment w:val="baseline"/>
              <w:rPr>
                <w:rFonts w:eastAsia="Times New Roman" w:cs="Times New Roman"/>
                <w:color w:val="000000"/>
                <w:sz w:val="16"/>
                <w:szCs w:val="16"/>
                <w:lang w:val="en-GB"/>
              </w:rPr>
            </w:pPr>
          </w:p>
        </w:tc>
        <w:tc>
          <w:tcPr>
            <w:tcW w:w="1559" w:type="dxa"/>
          </w:tcPr>
          <w:p w:rsidRPr="009C48DA" w:rsidR="00661519" w:rsidP="00661519" w:rsidRDefault="00661519" w14:paraId="32959B94"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559" w:type="dxa"/>
          </w:tcPr>
          <w:p w:rsidRPr="009C48DA" w:rsidR="00661519" w:rsidP="00661519" w:rsidRDefault="00661519" w14:paraId="307E5961"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7DAEC03C" w14:textId="77777777">
        <w:tc>
          <w:tcPr>
            <w:tcW w:w="2127" w:type="dxa"/>
            <w:vAlign w:val="bottom"/>
          </w:tcPr>
          <w:p w:rsidRPr="009C48DA" w:rsidR="00661519" w:rsidP="00661519" w:rsidRDefault="00661519" w14:paraId="43C94987"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Fair value of CLO assets</w:t>
            </w:r>
          </w:p>
        </w:tc>
        <w:tc>
          <w:tcPr>
            <w:tcW w:w="1275" w:type="dxa"/>
          </w:tcPr>
          <w:p w:rsidRPr="009C48DA" w:rsidR="00661519" w:rsidP="00661519" w:rsidRDefault="00661519" w14:paraId="1C169C48"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2A7640A3"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18" w:type="dxa"/>
          </w:tcPr>
          <w:p w:rsidRPr="009C48DA" w:rsidR="00661519" w:rsidP="00661519" w:rsidRDefault="00661519" w14:paraId="159A75D3"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61A6D380"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580CCA03"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r>
      <w:tr w:rsidRPr="009C48DA" w:rsidR="00661519" w:rsidTr="00661519" w14:paraId="29CB4513" w14:textId="77777777">
        <w:tc>
          <w:tcPr>
            <w:tcW w:w="2127" w:type="dxa"/>
            <w:vAlign w:val="bottom"/>
          </w:tcPr>
          <w:p w:rsidRPr="009C48DA" w:rsidR="00661519" w:rsidP="00661519" w:rsidRDefault="00661519" w14:paraId="3411B442"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receivables</w:t>
            </w:r>
          </w:p>
        </w:tc>
        <w:tc>
          <w:tcPr>
            <w:tcW w:w="1275" w:type="dxa"/>
          </w:tcPr>
          <w:p w:rsidRPr="009C48DA" w:rsidR="00661519" w:rsidP="00661519" w:rsidRDefault="00661519" w14:paraId="263D2890"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(e), (f)</w:t>
            </w:r>
          </w:p>
        </w:tc>
        <w:tc>
          <w:tcPr>
            <w:tcW w:w="1134" w:type="dxa"/>
            <w:vAlign w:val="center"/>
          </w:tcPr>
          <w:p w:rsidRPr="009C48DA" w:rsidR="00661519" w:rsidP="00661519" w:rsidRDefault="00661519" w14:paraId="1349D4F6"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218,067</w:t>
            </w:r>
          </w:p>
        </w:tc>
        <w:tc>
          <w:tcPr>
            <w:tcW w:w="1418" w:type="dxa"/>
          </w:tcPr>
          <w:p w:rsidRPr="009C48DA" w:rsidR="00661519" w:rsidP="00661519" w:rsidRDefault="00661519" w14:paraId="127BA122"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(110,239)</w:t>
            </w:r>
          </w:p>
        </w:tc>
        <w:tc>
          <w:tcPr>
            <w:tcW w:w="1559" w:type="dxa"/>
            <w:vAlign w:val="center"/>
          </w:tcPr>
          <w:p w:rsidRPr="009C48DA" w:rsidR="00661519" w:rsidP="00661519" w:rsidRDefault="00661519" w14:paraId="2BE15EEF"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2,315</w:t>
            </w:r>
          </w:p>
        </w:tc>
        <w:tc>
          <w:tcPr>
            <w:tcW w:w="1559" w:type="dxa"/>
            <w:vAlign w:val="center"/>
          </w:tcPr>
          <w:p w:rsidRPr="009C48DA" w:rsidR="00661519" w:rsidP="00661519" w:rsidRDefault="00661519" w14:paraId="0003B88A"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110,143</w:t>
            </w:r>
          </w:p>
        </w:tc>
      </w:tr>
      <w:tr w:rsidRPr="009C48DA" w:rsidR="00661519" w:rsidTr="00661519" w14:paraId="5C65DFBA" w14:textId="77777777">
        <w:tc>
          <w:tcPr>
            <w:tcW w:w="2127" w:type="dxa"/>
            <w:vAlign w:val="bottom"/>
          </w:tcPr>
          <w:p w:rsidRPr="009C48DA" w:rsidR="00661519" w:rsidP="00661519" w:rsidRDefault="00661519" w14:paraId="7625B38E"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Derivative financial instruments</w:t>
            </w:r>
          </w:p>
        </w:tc>
        <w:tc>
          <w:tcPr>
            <w:tcW w:w="1275" w:type="dxa"/>
          </w:tcPr>
          <w:p w:rsidRPr="009C48DA" w:rsidR="00661519" w:rsidP="00661519" w:rsidRDefault="00661519" w14:paraId="1F664B75"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326982EC"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2,015</w:t>
            </w:r>
          </w:p>
        </w:tc>
        <w:tc>
          <w:tcPr>
            <w:tcW w:w="1418" w:type="dxa"/>
          </w:tcPr>
          <w:p w:rsidRPr="009C48DA" w:rsidR="00661519" w:rsidP="00661519" w:rsidRDefault="00661519" w14:paraId="14D07326"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1BDE435C"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38CAEFFF"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2,015</w:t>
            </w:r>
          </w:p>
        </w:tc>
      </w:tr>
      <w:tr w:rsidRPr="009C48DA" w:rsidR="00661519" w:rsidTr="00661519" w14:paraId="7D6EB641" w14:textId="77777777">
        <w:tc>
          <w:tcPr>
            <w:tcW w:w="2127" w:type="dxa"/>
            <w:vAlign w:val="bottom"/>
          </w:tcPr>
          <w:p w:rsidRPr="009C48DA" w:rsidR="00661519" w:rsidP="00661519" w:rsidRDefault="00661519" w14:paraId="4B44D775"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Cash and cash equivalents</w:t>
            </w:r>
          </w:p>
        </w:tc>
        <w:tc>
          <w:tcPr>
            <w:tcW w:w="1275" w:type="dxa"/>
          </w:tcPr>
          <w:p w:rsidRPr="009C48DA" w:rsidR="00661519" w:rsidP="00661519" w:rsidRDefault="00661519" w14:paraId="2B0A8B22"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4E8852D8"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12,083</w:t>
            </w:r>
          </w:p>
        </w:tc>
        <w:tc>
          <w:tcPr>
            <w:tcW w:w="1418" w:type="dxa"/>
          </w:tcPr>
          <w:p w:rsidRPr="009C48DA" w:rsidR="00661519" w:rsidP="00661519" w:rsidRDefault="00661519" w14:paraId="5EDF0AD9"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2DB013A1"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56EDD770"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12,083</w:t>
            </w:r>
          </w:p>
        </w:tc>
      </w:tr>
      <w:tr w:rsidRPr="009C48DA" w:rsidR="00661519" w:rsidTr="00661519" w14:paraId="2A6278C2" w14:textId="77777777">
        <w:tc>
          <w:tcPr>
            <w:tcW w:w="2127" w:type="dxa"/>
            <w:vAlign w:val="bottom"/>
          </w:tcPr>
          <w:p w:rsidRPr="009C48DA" w:rsidR="00661519" w:rsidP="00661519" w:rsidRDefault="00661519" w14:paraId="1B52E243" w14:textId="77777777">
            <w:pPr>
              <w:textAlignment w:val="baseline"/>
              <w:rPr>
                <w:rFonts w:eastAsia="Times New Roman" w:cs="Times New Roman"/>
                <w:b/>
                <w:color w:val="000000"/>
                <w:sz w:val="16"/>
                <w:szCs w:val="16"/>
                <w:lang w:val="en-GB"/>
              </w:rPr>
            </w:pPr>
          </w:p>
          <w:p w:rsidRPr="009C48DA" w:rsidR="00661519" w:rsidP="00661519" w:rsidRDefault="00661519" w14:paraId="55BEE78D"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current assets</w:t>
            </w:r>
          </w:p>
        </w:tc>
        <w:tc>
          <w:tcPr>
            <w:tcW w:w="1275" w:type="dxa"/>
          </w:tcPr>
          <w:p w:rsidRPr="009C48DA" w:rsidR="00661519" w:rsidP="00661519" w:rsidRDefault="00661519" w14:paraId="17C5E371"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1DB32A03" w14:textId="77777777">
            <w:pPr>
              <w:pBdr>
                <w:bottom w:val="single" w:color="auto" w:sz="12" w:space="1"/>
              </w:pBdr>
              <w:ind w:right="108"/>
              <w:jc w:val="right"/>
              <w:textAlignment w:val="baseline"/>
              <w:rPr>
                <w:rFonts w:eastAsia="Times New Roman" w:cs="Times New Roman"/>
                <w:color w:val="000000"/>
                <w:sz w:val="16"/>
                <w:szCs w:val="16"/>
                <w:lang w:val="en-GB"/>
              </w:rPr>
            </w:pPr>
          </w:p>
          <w:p w:rsidRPr="009C48DA" w:rsidR="00661519" w:rsidP="00661519" w:rsidRDefault="00661519" w14:paraId="7D5F8542"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232,165</w:t>
            </w:r>
          </w:p>
        </w:tc>
        <w:tc>
          <w:tcPr>
            <w:tcW w:w="1418" w:type="dxa"/>
            <w:vAlign w:val="center"/>
          </w:tcPr>
          <w:p w:rsidRPr="009C48DA" w:rsidR="00661519" w:rsidP="00661519" w:rsidRDefault="00661519" w14:paraId="548842D1" w14:textId="77777777">
            <w:pPr>
              <w:pBdr>
                <w:bottom w:val="single" w:color="auto" w:sz="12" w:space="1"/>
              </w:pBdr>
              <w:ind w:right="164"/>
              <w:jc w:val="right"/>
              <w:textAlignment w:val="baseline"/>
              <w:rPr>
                <w:rFonts w:eastAsia="Times New Roman" w:cs="Times New Roman"/>
                <w:color w:val="000000"/>
                <w:sz w:val="16"/>
                <w:szCs w:val="16"/>
                <w:lang w:val="en-GB"/>
              </w:rPr>
            </w:pPr>
          </w:p>
          <w:p w:rsidRPr="009C48DA" w:rsidR="00661519" w:rsidP="00661519" w:rsidRDefault="00661519" w14:paraId="0A781FED"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(110,239)</w:t>
            </w:r>
          </w:p>
        </w:tc>
        <w:tc>
          <w:tcPr>
            <w:tcW w:w="1559" w:type="dxa"/>
            <w:vAlign w:val="center"/>
          </w:tcPr>
          <w:p w:rsidRPr="009C48DA" w:rsidR="00661519" w:rsidP="00661519" w:rsidRDefault="00661519" w14:paraId="3D6D6BF6" w14:textId="77777777">
            <w:pPr>
              <w:pBdr>
                <w:bottom w:val="single" w:color="auto" w:sz="12" w:space="1"/>
              </w:pBdr>
              <w:ind w:right="164"/>
              <w:jc w:val="right"/>
              <w:textAlignment w:val="baseline"/>
              <w:rPr>
                <w:rFonts w:eastAsia="Times New Roman" w:cs="Times New Roman"/>
                <w:color w:val="000000"/>
                <w:sz w:val="16"/>
                <w:szCs w:val="16"/>
                <w:lang w:val="en-GB"/>
              </w:rPr>
            </w:pPr>
          </w:p>
          <w:p w:rsidRPr="009C48DA" w:rsidR="00661519" w:rsidP="00661519" w:rsidRDefault="00661519" w14:paraId="29D3A44B"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2,315</w:t>
            </w:r>
          </w:p>
        </w:tc>
        <w:tc>
          <w:tcPr>
            <w:tcW w:w="1559" w:type="dxa"/>
            <w:vAlign w:val="center"/>
          </w:tcPr>
          <w:p w:rsidRPr="009C48DA" w:rsidR="00661519" w:rsidP="00661519" w:rsidRDefault="00661519" w14:paraId="3752A89D" w14:textId="77777777">
            <w:pPr>
              <w:pBdr>
                <w:bottom w:val="single" w:color="auto" w:sz="12" w:space="1"/>
              </w:pBdr>
              <w:ind w:right="139"/>
              <w:jc w:val="right"/>
              <w:textAlignment w:val="baseline"/>
              <w:rPr>
                <w:rFonts w:eastAsia="Times New Roman" w:cs="Times New Roman"/>
                <w:color w:val="000000"/>
                <w:sz w:val="16"/>
                <w:szCs w:val="16"/>
                <w:lang w:val="en-GB"/>
              </w:rPr>
            </w:pPr>
          </w:p>
          <w:p w:rsidRPr="009C48DA" w:rsidR="00661519" w:rsidP="00661519" w:rsidRDefault="00661519" w14:paraId="791B60EE"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124,241</w:t>
            </w:r>
          </w:p>
        </w:tc>
      </w:tr>
      <w:tr w:rsidRPr="009C48DA" w:rsidR="00661519" w:rsidTr="00661519" w14:paraId="67B3180C" w14:textId="77777777">
        <w:tc>
          <w:tcPr>
            <w:tcW w:w="2127" w:type="dxa"/>
            <w:vAlign w:val="bottom"/>
          </w:tcPr>
          <w:p w:rsidRPr="009C48DA" w:rsidR="00661519" w:rsidP="00661519" w:rsidRDefault="00661519" w14:paraId="1EBF6C57" w14:textId="77777777">
            <w:pPr>
              <w:textAlignment w:val="baseline"/>
              <w:rPr>
                <w:rFonts w:eastAsia="Times New Roman" w:cs="Times New Roman"/>
                <w:b/>
                <w:color w:val="000000"/>
                <w:sz w:val="16"/>
                <w:szCs w:val="16"/>
                <w:lang w:val="en-GB"/>
              </w:rPr>
            </w:pPr>
          </w:p>
          <w:p w:rsidRPr="009C48DA" w:rsidR="00661519" w:rsidP="00661519" w:rsidRDefault="00661519" w14:paraId="30AC127C"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assets</w:t>
            </w:r>
          </w:p>
        </w:tc>
        <w:tc>
          <w:tcPr>
            <w:tcW w:w="1275" w:type="dxa"/>
          </w:tcPr>
          <w:p w:rsidRPr="009C48DA" w:rsidR="00661519" w:rsidP="00661519" w:rsidRDefault="00661519" w14:paraId="544DE075"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4AA8D84C" w14:textId="77777777">
            <w:pPr>
              <w:pBdr>
                <w:bottom w:val="single" w:color="auto" w:sz="12" w:space="1"/>
              </w:pBdr>
              <w:ind w:right="108"/>
              <w:jc w:val="right"/>
              <w:textAlignment w:val="baseline"/>
              <w:rPr>
                <w:rFonts w:eastAsia="Times New Roman" w:cs="Times New Roman"/>
                <w:color w:val="000000"/>
                <w:sz w:val="16"/>
                <w:szCs w:val="16"/>
                <w:lang w:val="en-GB"/>
              </w:rPr>
            </w:pPr>
          </w:p>
          <w:p w:rsidRPr="009C48DA" w:rsidR="00661519" w:rsidP="00661519" w:rsidRDefault="00661519" w14:paraId="4A7EB5BF"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462,430</w:t>
            </w:r>
          </w:p>
        </w:tc>
        <w:tc>
          <w:tcPr>
            <w:tcW w:w="1418" w:type="dxa"/>
            <w:vAlign w:val="center"/>
          </w:tcPr>
          <w:p w:rsidRPr="009C48DA" w:rsidR="00661519" w:rsidP="00661519" w:rsidRDefault="00661519" w14:paraId="7A0F4DEE" w14:textId="77777777">
            <w:pPr>
              <w:pBdr>
                <w:bottom w:val="single" w:color="auto" w:sz="12" w:space="1"/>
              </w:pBdr>
              <w:ind w:right="164"/>
              <w:jc w:val="right"/>
              <w:textAlignment w:val="baseline"/>
              <w:rPr>
                <w:rFonts w:eastAsia="Times New Roman" w:cs="Times New Roman"/>
                <w:color w:val="000000"/>
                <w:sz w:val="16"/>
                <w:szCs w:val="16"/>
                <w:lang w:val="en-GB"/>
              </w:rPr>
            </w:pPr>
          </w:p>
          <w:p w:rsidRPr="009C48DA" w:rsidR="00661519" w:rsidP="00661519" w:rsidRDefault="00661519" w14:paraId="382D92BB"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4762DFBB" w14:textId="77777777">
            <w:pPr>
              <w:pBdr>
                <w:bottom w:val="single" w:color="auto" w:sz="12" w:space="1"/>
              </w:pBdr>
              <w:ind w:right="164"/>
              <w:jc w:val="right"/>
              <w:textAlignment w:val="baseline"/>
              <w:rPr>
                <w:rFonts w:eastAsia="Times New Roman" w:cs="Times New Roman"/>
                <w:color w:val="000000"/>
                <w:sz w:val="16"/>
                <w:szCs w:val="16"/>
                <w:lang w:val="en-GB"/>
              </w:rPr>
            </w:pPr>
          </w:p>
          <w:p w:rsidRPr="009C48DA" w:rsidR="00661519" w:rsidP="00661519" w:rsidRDefault="00661519" w14:paraId="372DF3EF"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44,794</w:t>
            </w:r>
          </w:p>
        </w:tc>
        <w:tc>
          <w:tcPr>
            <w:tcW w:w="1559" w:type="dxa"/>
            <w:vAlign w:val="center"/>
          </w:tcPr>
          <w:p w:rsidRPr="009C48DA" w:rsidR="00661519" w:rsidP="00661519" w:rsidRDefault="00661519" w14:paraId="78F3D9FC" w14:textId="77777777">
            <w:pPr>
              <w:pBdr>
                <w:bottom w:val="single" w:color="auto" w:sz="12" w:space="1"/>
              </w:pBdr>
              <w:ind w:right="139"/>
              <w:jc w:val="right"/>
              <w:textAlignment w:val="baseline"/>
              <w:rPr>
                <w:rFonts w:eastAsia="Times New Roman" w:cs="Times New Roman"/>
                <w:color w:val="000000"/>
                <w:sz w:val="16"/>
                <w:szCs w:val="16"/>
                <w:lang w:val="en-GB"/>
              </w:rPr>
            </w:pPr>
          </w:p>
          <w:p w:rsidRPr="009C48DA" w:rsidR="00661519" w:rsidP="00661519" w:rsidRDefault="00661519" w14:paraId="3DFE814C"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507,224</w:t>
            </w:r>
          </w:p>
        </w:tc>
      </w:tr>
      <w:tr w:rsidRPr="009C48DA" w:rsidR="00661519" w:rsidTr="00661519" w14:paraId="575DB538" w14:textId="77777777">
        <w:tc>
          <w:tcPr>
            <w:tcW w:w="2127" w:type="dxa"/>
            <w:vAlign w:val="bottom"/>
          </w:tcPr>
          <w:p w:rsidRPr="009C48DA" w:rsidR="00661519" w:rsidP="00661519" w:rsidRDefault="00661519" w14:paraId="5CAE8396" w14:textId="77777777">
            <w:pPr>
              <w:textAlignment w:val="baseline"/>
              <w:rPr>
                <w:rFonts w:eastAsia="Times New Roman" w:cs="Times New Roman"/>
                <w:b/>
                <w:color w:val="000000"/>
                <w:sz w:val="16"/>
                <w:szCs w:val="16"/>
                <w:lang w:val="en-GB"/>
              </w:rPr>
            </w:pPr>
          </w:p>
          <w:p w:rsidRPr="009C48DA" w:rsidR="00661519" w:rsidP="00661519" w:rsidRDefault="00661519" w14:paraId="2DFAFBAB"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Liabilities</w:t>
            </w:r>
          </w:p>
        </w:tc>
        <w:tc>
          <w:tcPr>
            <w:tcW w:w="1275" w:type="dxa"/>
          </w:tcPr>
          <w:p w:rsidRPr="009C48DA" w:rsidR="00661519" w:rsidP="00661519" w:rsidRDefault="00661519" w14:paraId="1095915C" w14:textId="77777777">
            <w:pPr>
              <w:ind w:right="108"/>
              <w:jc w:val="center"/>
              <w:textAlignment w:val="baseline"/>
              <w:rPr>
                <w:rFonts w:eastAsia="Times New Roman"/>
                <w:color w:val="000000"/>
                <w:sz w:val="24"/>
                <w:lang w:val="en-GB"/>
              </w:rPr>
            </w:pPr>
          </w:p>
        </w:tc>
        <w:tc>
          <w:tcPr>
            <w:tcW w:w="1134" w:type="dxa"/>
          </w:tcPr>
          <w:p w:rsidRPr="009C48DA" w:rsidR="00661519" w:rsidP="00661519" w:rsidRDefault="00661519" w14:paraId="54F63FC7"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418" w:type="dxa"/>
          </w:tcPr>
          <w:p w:rsidRPr="009C48DA" w:rsidR="00661519" w:rsidP="00661519" w:rsidRDefault="00661519" w14:paraId="05F98878" w14:textId="77777777">
            <w:pPr>
              <w:ind w:right="164"/>
              <w:jc w:val="right"/>
              <w:textAlignment w:val="baseline"/>
              <w:rPr>
                <w:rFonts w:eastAsia="Times New Roman" w:cs="Times New Roman"/>
                <w:color w:val="000000"/>
                <w:sz w:val="16"/>
                <w:szCs w:val="16"/>
                <w:lang w:val="en-GB"/>
              </w:rPr>
            </w:pPr>
          </w:p>
        </w:tc>
        <w:tc>
          <w:tcPr>
            <w:tcW w:w="1559" w:type="dxa"/>
          </w:tcPr>
          <w:p w:rsidRPr="009C48DA" w:rsidR="00661519" w:rsidP="00661519" w:rsidRDefault="00661519" w14:paraId="50F50888"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c>
          <w:tcPr>
            <w:tcW w:w="1559" w:type="dxa"/>
          </w:tcPr>
          <w:p w:rsidRPr="009C48DA" w:rsidR="00661519" w:rsidP="00661519" w:rsidRDefault="00661519" w14:paraId="6355384C"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 xml:space="preserve"> </w:t>
            </w:r>
          </w:p>
        </w:tc>
      </w:tr>
      <w:tr w:rsidRPr="009C48DA" w:rsidR="00661519" w:rsidTr="00661519" w14:paraId="5C32543C" w14:textId="77777777">
        <w:tc>
          <w:tcPr>
            <w:tcW w:w="2127" w:type="dxa"/>
            <w:vAlign w:val="bottom"/>
          </w:tcPr>
          <w:p w:rsidRPr="009C48DA" w:rsidR="00661519" w:rsidP="00661519" w:rsidRDefault="00661519" w14:paraId="40FDF79E"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Non-current liabilities</w:t>
            </w:r>
          </w:p>
        </w:tc>
        <w:tc>
          <w:tcPr>
            <w:tcW w:w="1275" w:type="dxa"/>
          </w:tcPr>
          <w:p w:rsidRPr="009C48DA" w:rsidR="00661519" w:rsidP="00661519" w:rsidRDefault="00661519" w14:paraId="6A112CCE" w14:textId="77777777">
            <w:pPr>
              <w:ind w:right="108"/>
              <w:jc w:val="center"/>
              <w:textAlignment w:val="baseline"/>
              <w:rPr>
                <w:rFonts w:eastAsia="Times New Roman"/>
                <w:color w:val="000000"/>
                <w:sz w:val="24"/>
                <w:lang w:val="en-GB"/>
              </w:rPr>
            </w:pPr>
          </w:p>
        </w:tc>
        <w:tc>
          <w:tcPr>
            <w:tcW w:w="1134" w:type="dxa"/>
          </w:tcPr>
          <w:p w:rsidRPr="009C48DA" w:rsidR="00661519" w:rsidP="00661519" w:rsidRDefault="00661519" w14:paraId="2FF0D4D2" w14:textId="77777777">
            <w:pPr>
              <w:ind w:right="108"/>
              <w:jc w:val="right"/>
              <w:textAlignment w:val="baseline"/>
              <w:rPr>
                <w:rFonts w:eastAsia="Times New Roman" w:cs="Times New Roman"/>
                <w:color w:val="000000"/>
                <w:sz w:val="16"/>
                <w:szCs w:val="16"/>
                <w:lang w:val="en-GB"/>
              </w:rPr>
            </w:pPr>
          </w:p>
        </w:tc>
        <w:tc>
          <w:tcPr>
            <w:tcW w:w="1418" w:type="dxa"/>
          </w:tcPr>
          <w:p w:rsidRPr="009C48DA" w:rsidR="00661519" w:rsidP="00661519" w:rsidRDefault="00661519" w14:paraId="45214B0A" w14:textId="77777777">
            <w:pPr>
              <w:ind w:right="164"/>
              <w:jc w:val="right"/>
              <w:textAlignment w:val="baseline"/>
              <w:rPr>
                <w:rFonts w:eastAsia="Times New Roman" w:cs="Times New Roman"/>
                <w:color w:val="000000"/>
                <w:sz w:val="16"/>
                <w:szCs w:val="16"/>
                <w:lang w:val="en-GB"/>
              </w:rPr>
            </w:pPr>
          </w:p>
        </w:tc>
        <w:tc>
          <w:tcPr>
            <w:tcW w:w="1559" w:type="dxa"/>
          </w:tcPr>
          <w:p w:rsidRPr="009C48DA" w:rsidR="00661519" w:rsidP="00661519" w:rsidRDefault="00661519" w14:paraId="294894CD" w14:textId="77777777">
            <w:pPr>
              <w:ind w:right="164"/>
              <w:jc w:val="right"/>
              <w:textAlignment w:val="baseline"/>
              <w:rPr>
                <w:rFonts w:eastAsia="Times New Roman" w:cs="Times New Roman"/>
                <w:color w:val="000000"/>
                <w:sz w:val="16"/>
                <w:szCs w:val="16"/>
                <w:lang w:val="en-GB"/>
              </w:rPr>
            </w:pPr>
          </w:p>
        </w:tc>
        <w:tc>
          <w:tcPr>
            <w:tcW w:w="1559" w:type="dxa"/>
          </w:tcPr>
          <w:p w:rsidRPr="009C48DA" w:rsidR="00661519" w:rsidP="00661519" w:rsidRDefault="00661519" w14:paraId="608151F7" w14:textId="77777777">
            <w:pPr>
              <w:ind w:right="139"/>
              <w:jc w:val="right"/>
              <w:textAlignment w:val="baseline"/>
              <w:rPr>
                <w:rFonts w:eastAsia="Times New Roman" w:cs="Times New Roman"/>
                <w:color w:val="000000"/>
                <w:sz w:val="16"/>
                <w:szCs w:val="16"/>
                <w:lang w:val="en-GB"/>
              </w:rPr>
            </w:pPr>
          </w:p>
        </w:tc>
      </w:tr>
      <w:tr w:rsidRPr="009C48DA" w:rsidR="00661519" w:rsidTr="00661519" w14:paraId="6CF97C76" w14:textId="77777777">
        <w:tc>
          <w:tcPr>
            <w:tcW w:w="2127" w:type="dxa"/>
            <w:vAlign w:val="bottom"/>
          </w:tcPr>
          <w:p w:rsidRPr="009C48DA" w:rsidR="00661519" w:rsidP="00661519" w:rsidRDefault="00661519" w14:paraId="11D66408"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payables</w:t>
            </w:r>
          </w:p>
        </w:tc>
        <w:tc>
          <w:tcPr>
            <w:tcW w:w="1275" w:type="dxa"/>
          </w:tcPr>
          <w:p w:rsidRPr="009C48DA" w:rsidR="00661519" w:rsidP="00661519" w:rsidRDefault="00661519" w14:paraId="68C83F66"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65352A9B"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515</w:t>
            </w:r>
          </w:p>
        </w:tc>
        <w:tc>
          <w:tcPr>
            <w:tcW w:w="1418" w:type="dxa"/>
          </w:tcPr>
          <w:p w:rsidRPr="009C48DA" w:rsidR="00661519" w:rsidP="00661519" w:rsidRDefault="00661519" w14:paraId="43B0747E"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6371ED19"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24A1C46E"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515</w:t>
            </w:r>
          </w:p>
        </w:tc>
      </w:tr>
      <w:tr w:rsidRPr="009C48DA" w:rsidR="00661519" w:rsidTr="00661519" w14:paraId="568881E9" w14:textId="77777777">
        <w:tc>
          <w:tcPr>
            <w:tcW w:w="2127" w:type="dxa"/>
            <w:vAlign w:val="bottom"/>
          </w:tcPr>
          <w:p w:rsidRPr="009C48DA" w:rsidR="00661519" w:rsidP="00661519" w:rsidRDefault="00661519" w14:paraId="3A28A62A"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Borrowings</w:t>
            </w:r>
          </w:p>
        </w:tc>
        <w:tc>
          <w:tcPr>
            <w:tcW w:w="1275" w:type="dxa"/>
          </w:tcPr>
          <w:p w:rsidRPr="009C48DA" w:rsidR="00661519" w:rsidP="00661519" w:rsidRDefault="00661519" w14:paraId="447B774B"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4F9C5083"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19,226</w:t>
            </w:r>
          </w:p>
        </w:tc>
        <w:tc>
          <w:tcPr>
            <w:tcW w:w="1418" w:type="dxa"/>
          </w:tcPr>
          <w:p w:rsidRPr="009C48DA" w:rsidR="00661519" w:rsidP="00661519" w:rsidRDefault="00661519" w14:paraId="3AC98A61"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60CE8E71"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6F3B71C5"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19,226</w:t>
            </w:r>
          </w:p>
        </w:tc>
      </w:tr>
      <w:tr w:rsidRPr="009C48DA" w:rsidR="00661519" w:rsidTr="00661519" w14:paraId="05518755" w14:textId="77777777">
        <w:tc>
          <w:tcPr>
            <w:tcW w:w="2127" w:type="dxa"/>
            <w:vAlign w:val="bottom"/>
          </w:tcPr>
          <w:p w:rsidRPr="009C48DA" w:rsidR="00661519" w:rsidP="00661519" w:rsidRDefault="00661519" w14:paraId="4DEC9E7C"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Other financial liabilities</w:t>
            </w:r>
          </w:p>
        </w:tc>
        <w:tc>
          <w:tcPr>
            <w:tcW w:w="1275" w:type="dxa"/>
          </w:tcPr>
          <w:p w:rsidRPr="009C48DA" w:rsidR="00661519" w:rsidP="00661519" w:rsidRDefault="00661519" w14:paraId="0988E8E5"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645B579B"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2,840</w:t>
            </w:r>
          </w:p>
        </w:tc>
        <w:tc>
          <w:tcPr>
            <w:tcW w:w="1418" w:type="dxa"/>
          </w:tcPr>
          <w:p w:rsidRPr="009C48DA" w:rsidR="00661519" w:rsidP="00661519" w:rsidRDefault="00661519" w14:paraId="1F3CBAEA"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77DB622B"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3652108B"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2,840</w:t>
            </w:r>
          </w:p>
        </w:tc>
      </w:tr>
      <w:tr w:rsidRPr="009C48DA" w:rsidR="00661519" w:rsidTr="00661519" w14:paraId="0FF5233C" w14:textId="77777777">
        <w:tc>
          <w:tcPr>
            <w:tcW w:w="2127" w:type="dxa"/>
            <w:vAlign w:val="bottom"/>
          </w:tcPr>
          <w:p w:rsidRPr="009C48DA" w:rsidR="00661519" w:rsidP="00661519" w:rsidRDefault="00661519" w14:paraId="23C16B66"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Lease liabilities</w:t>
            </w:r>
          </w:p>
        </w:tc>
        <w:tc>
          <w:tcPr>
            <w:tcW w:w="1275" w:type="dxa"/>
          </w:tcPr>
          <w:p w:rsidRPr="009C48DA" w:rsidR="00661519" w:rsidP="00661519" w:rsidRDefault="00661519" w14:paraId="4E41DF47"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center"/>
          </w:tcPr>
          <w:p w:rsidRPr="009C48DA" w:rsidR="00661519" w:rsidP="00661519" w:rsidRDefault="00661519" w14:paraId="501F7B9C"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18" w:type="dxa"/>
          </w:tcPr>
          <w:p w:rsidRPr="009C48DA" w:rsidR="00661519" w:rsidP="00661519" w:rsidRDefault="00661519" w14:paraId="62D60130"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46F86F65"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42,267</w:t>
            </w:r>
          </w:p>
        </w:tc>
        <w:tc>
          <w:tcPr>
            <w:tcW w:w="1559" w:type="dxa"/>
            <w:vAlign w:val="center"/>
          </w:tcPr>
          <w:p w:rsidRPr="009C48DA" w:rsidR="00661519" w:rsidP="00661519" w:rsidRDefault="00661519" w14:paraId="43D6512E"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42,267</w:t>
            </w:r>
          </w:p>
        </w:tc>
      </w:tr>
      <w:tr w:rsidRPr="009C48DA" w:rsidR="00661519" w:rsidTr="00661519" w14:paraId="21314883" w14:textId="77777777">
        <w:tc>
          <w:tcPr>
            <w:tcW w:w="2127" w:type="dxa"/>
            <w:vAlign w:val="bottom"/>
          </w:tcPr>
          <w:p w:rsidRPr="009C48DA" w:rsidR="00661519" w:rsidP="00661519" w:rsidRDefault="00661519" w14:paraId="4A558040"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Deferred tax liabilities</w:t>
            </w:r>
          </w:p>
        </w:tc>
        <w:tc>
          <w:tcPr>
            <w:tcW w:w="1275" w:type="dxa"/>
          </w:tcPr>
          <w:p w:rsidRPr="009C48DA" w:rsidR="00661519" w:rsidP="00661519" w:rsidRDefault="00661519" w14:paraId="4D25EDB7"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(h)</w:t>
            </w:r>
          </w:p>
        </w:tc>
        <w:tc>
          <w:tcPr>
            <w:tcW w:w="1134" w:type="dxa"/>
            <w:vAlign w:val="center"/>
          </w:tcPr>
          <w:p w:rsidRPr="009C48DA" w:rsidR="00661519" w:rsidP="00661519" w:rsidRDefault="00661519" w14:paraId="431D76D9"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15,457</w:t>
            </w:r>
          </w:p>
        </w:tc>
        <w:tc>
          <w:tcPr>
            <w:tcW w:w="1418" w:type="dxa"/>
          </w:tcPr>
          <w:p w:rsidRPr="009C48DA" w:rsidR="00661519" w:rsidP="00661519" w:rsidRDefault="00661519" w14:paraId="5C6535DA"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31CFCFED"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(1,562)</w:t>
            </w:r>
          </w:p>
        </w:tc>
        <w:tc>
          <w:tcPr>
            <w:tcW w:w="1559" w:type="dxa"/>
            <w:vAlign w:val="center"/>
          </w:tcPr>
          <w:p w:rsidRPr="009C48DA" w:rsidR="00661519" w:rsidP="00661519" w:rsidRDefault="00661519" w14:paraId="0C6887E0"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13,895</w:t>
            </w:r>
          </w:p>
        </w:tc>
      </w:tr>
      <w:tr w:rsidRPr="009C48DA" w:rsidR="00661519" w:rsidTr="00661519" w14:paraId="6F8CF565" w14:textId="77777777">
        <w:tc>
          <w:tcPr>
            <w:tcW w:w="2127" w:type="dxa"/>
            <w:vAlign w:val="bottom"/>
          </w:tcPr>
          <w:p w:rsidRPr="009C48DA" w:rsidR="00661519" w:rsidP="00661519" w:rsidRDefault="00661519" w14:paraId="7AB77C8A"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non-current liabilities</w:t>
            </w:r>
          </w:p>
        </w:tc>
        <w:tc>
          <w:tcPr>
            <w:tcW w:w="1275" w:type="dxa"/>
          </w:tcPr>
          <w:p w:rsidRPr="009C48DA" w:rsidR="00661519" w:rsidP="00661519" w:rsidRDefault="00661519" w14:paraId="6C31A7C0"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47FD6710"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38,038</w:t>
            </w:r>
          </w:p>
        </w:tc>
        <w:tc>
          <w:tcPr>
            <w:tcW w:w="1418" w:type="dxa"/>
          </w:tcPr>
          <w:p w:rsidRPr="009C48DA" w:rsidR="00661519" w:rsidP="00661519" w:rsidRDefault="00661519" w14:paraId="5F67A375"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25F6A6C2"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40,705</w:t>
            </w:r>
          </w:p>
        </w:tc>
        <w:tc>
          <w:tcPr>
            <w:tcW w:w="1559" w:type="dxa"/>
            <w:vAlign w:val="center"/>
          </w:tcPr>
          <w:p w:rsidRPr="009C48DA" w:rsidR="00661519" w:rsidP="00661519" w:rsidRDefault="00661519" w14:paraId="02681F7F"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78,743</w:t>
            </w:r>
          </w:p>
        </w:tc>
      </w:tr>
      <w:tr w:rsidRPr="009C48DA" w:rsidR="00661519" w:rsidTr="00661519" w14:paraId="79606372" w14:textId="77777777">
        <w:tc>
          <w:tcPr>
            <w:tcW w:w="2127" w:type="dxa"/>
            <w:vAlign w:val="bottom"/>
          </w:tcPr>
          <w:p w:rsidRPr="009C48DA" w:rsidR="00661519" w:rsidP="00661519" w:rsidRDefault="00661519" w14:paraId="0DAF0E9F" w14:textId="77777777">
            <w:pPr>
              <w:textAlignment w:val="baseline"/>
              <w:rPr>
                <w:rFonts w:eastAsia="Times New Roman" w:cs="Times New Roman"/>
                <w:b/>
                <w:color w:val="000000"/>
                <w:sz w:val="16"/>
                <w:szCs w:val="16"/>
                <w:lang w:val="en-GB"/>
              </w:rPr>
            </w:pPr>
          </w:p>
          <w:p w:rsidRPr="009C48DA" w:rsidR="00661519" w:rsidP="00661519" w:rsidRDefault="00661519" w14:paraId="0FD09599"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Current liabilities</w:t>
            </w:r>
          </w:p>
        </w:tc>
        <w:tc>
          <w:tcPr>
            <w:tcW w:w="1275" w:type="dxa"/>
          </w:tcPr>
          <w:p w:rsidRPr="009C48DA" w:rsidR="00661519" w:rsidP="00661519" w:rsidRDefault="00661519" w14:paraId="5007CC06"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562AD9EB"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44F7011C" w14:textId="77777777">
            <w:pPr>
              <w:ind w:right="164"/>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52F268DC"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38ADAA05" w14:textId="77777777">
            <w:pPr>
              <w:ind w:right="139"/>
              <w:jc w:val="right"/>
              <w:textAlignment w:val="baseline"/>
              <w:rPr>
                <w:rFonts w:eastAsia="Times New Roman" w:cs="Times New Roman"/>
                <w:color w:val="000000"/>
                <w:sz w:val="16"/>
                <w:szCs w:val="16"/>
                <w:lang w:val="en-GB"/>
              </w:rPr>
            </w:pPr>
          </w:p>
        </w:tc>
      </w:tr>
      <w:tr w:rsidRPr="009C48DA" w:rsidR="00661519" w:rsidTr="00661519" w14:paraId="4ACF7E40" w14:textId="77777777">
        <w:tc>
          <w:tcPr>
            <w:tcW w:w="2127" w:type="dxa"/>
            <w:vAlign w:val="bottom"/>
          </w:tcPr>
          <w:p w:rsidRPr="009C48DA" w:rsidR="00661519" w:rsidP="00661519" w:rsidRDefault="00661519" w14:paraId="01D40042"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payables</w:t>
            </w:r>
          </w:p>
        </w:tc>
        <w:tc>
          <w:tcPr>
            <w:tcW w:w="1275" w:type="dxa"/>
          </w:tcPr>
          <w:p w:rsidRPr="009C48DA" w:rsidR="00661519" w:rsidP="00661519" w:rsidRDefault="00661519" w14:paraId="3D1A908F"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 (h)</w:t>
            </w:r>
          </w:p>
        </w:tc>
        <w:tc>
          <w:tcPr>
            <w:tcW w:w="1134" w:type="dxa"/>
            <w:vAlign w:val="center"/>
          </w:tcPr>
          <w:p w:rsidRPr="009C48DA" w:rsidR="00661519" w:rsidP="00661519" w:rsidRDefault="00661519" w14:paraId="3F289AB7"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44,355</w:t>
            </w:r>
          </w:p>
        </w:tc>
        <w:tc>
          <w:tcPr>
            <w:tcW w:w="1418" w:type="dxa"/>
            <w:vAlign w:val="center"/>
          </w:tcPr>
          <w:p w:rsidRPr="009C48DA" w:rsidR="00661519" w:rsidP="00661519" w:rsidRDefault="00661519" w14:paraId="13C42404"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66A67682"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(1,142)</w:t>
            </w:r>
          </w:p>
        </w:tc>
        <w:tc>
          <w:tcPr>
            <w:tcW w:w="1559" w:type="dxa"/>
            <w:vAlign w:val="center"/>
          </w:tcPr>
          <w:p w:rsidRPr="009C48DA" w:rsidR="00661519" w:rsidP="00661519" w:rsidRDefault="00661519" w14:paraId="1B1D36E4"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43,213</w:t>
            </w:r>
          </w:p>
        </w:tc>
      </w:tr>
      <w:tr w:rsidRPr="009C48DA" w:rsidR="00661519" w:rsidTr="00661519" w14:paraId="48E901CE" w14:textId="77777777">
        <w:tc>
          <w:tcPr>
            <w:tcW w:w="2127" w:type="dxa"/>
            <w:vAlign w:val="bottom"/>
          </w:tcPr>
          <w:p w:rsidRPr="009C48DA" w:rsidR="00661519" w:rsidP="00661519" w:rsidRDefault="00661519" w14:paraId="152B4AA6"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Borrowings</w:t>
            </w:r>
          </w:p>
        </w:tc>
        <w:tc>
          <w:tcPr>
            <w:tcW w:w="1275" w:type="dxa"/>
          </w:tcPr>
          <w:p w:rsidRPr="009C48DA" w:rsidR="00661519" w:rsidP="00661519" w:rsidRDefault="00661519" w14:paraId="38DB7D46"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5761BE65"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23,036</w:t>
            </w:r>
          </w:p>
        </w:tc>
        <w:tc>
          <w:tcPr>
            <w:tcW w:w="1418" w:type="dxa"/>
            <w:vAlign w:val="center"/>
          </w:tcPr>
          <w:p w:rsidRPr="009C48DA" w:rsidR="00661519" w:rsidP="00661519" w:rsidRDefault="00661519" w14:paraId="5BD20BF8"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24221CC9"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4BB70FE1"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23,036</w:t>
            </w:r>
          </w:p>
        </w:tc>
      </w:tr>
      <w:tr w:rsidRPr="009C48DA" w:rsidR="00661519" w:rsidTr="00661519" w14:paraId="657F8B98" w14:textId="77777777">
        <w:tc>
          <w:tcPr>
            <w:tcW w:w="2127" w:type="dxa"/>
            <w:vAlign w:val="bottom"/>
          </w:tcPr>
          <w:p w:rsidRPr="009C48DA" w:rsidR="00661519" w:rsidP="00661519" w:rsidRDefault="00661519" w14:paraId="2DF71839"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Lease liabilities</w:t>
            </w:r>
          </w:p>
        </w:tc>
        <w:tc>
          <w:tcPr>
            <w:tcW w:w="1275" w:type="dxa"/>
          </w:tcPr>
          <w:p w:rsidRPr="009C48DA" w:rsidR="00661519" w:rsidP="00661519" w:rsidRDefault="00661519" w14:paraId="7B691B1E"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center"/>
          </w:tcPr>
          <w:p w:rsidRPr="009C48DA" w:rsidR="00661519" w:rsidP="00661519" w:rsidRDefault="00661519" w14:paraId="0A425AFE" w14:textId="77777777">
            <w:pPr>
              <w:pBdr>
                <w:bottom w:val="single" w:color="auto" w:sz="8"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18" w:type="dxa"/>
            <w:vAlign w:val="center"/>
          </w:tcPr>
          <w:p w:rsidRPr="009C48DA" w:rsidR="00661519" w:rsidP="00661519" w:rsidRDefault="00661519" w14:paraId="2EA976F3" w14:textId="77777777">
            <w:pPr>
              <w:pBdr>
                <w:bottom w:val="single" w:color="auto" w:sz="8"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3645165B" w14:textId="77777777">
            <w:pPr>
              <w:pBdr>
                <w:bottom w:val="single" w:color="auto" w:sz="8"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5,893</w:t>
            </w:r>
          </w:p>
        </w:tc>
        <w:tc>
          <w:tcPr>
            <w:tcW w:w="1559" w:type="dxa"/>
            <w:vAlign w:val="center"/>
          </w:tcPr>
          <w:p w:rsidRPr="009C48DA" w:rsidR="00661519" w:rsidP="00661519" w:rsidRDefault="00661519" w14:paraId="13775EE1" w14:textId="77777777">
            <w:pPr>
              <w:pBdr>
                <w:bottom w:val="single" w:color="auto" w:sz="8"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5,893</w:t>
            </w:r>
          </w:p>
        </w:tc>
      </w:tr>
      <w:tr w:rsidRPr="009C48DA" w:rsidR="00661519" w:rsidTr="00661519" w14:paraId="781F66D5" w14:textId="77777777">
        <w:tc>
          <w:tcPr>
            <w:tcW w:w="2127" w:type="dxa"/>
            <w:vAlign w:val="bottom"/>
          </w:tcPr>
          <w:p w:rsidRPr="009C48DA" w:rsidR="00661519" w:rsidP="00661519" w:rsidRDefault="00661519" w14:paraId="691B2659"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519B2642"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48178A77"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4A27E4ED"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77862EF0"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71C39B08" w14:textId="77777777">
            <w:pPr>
              <w:ind w:right="139"/>
              <w:jc w:val="right"/>
              <w:textAlignment w:val="baseline"/>
              <w:rPr>
                <w:rFonts w:eastAsia="Times New Roman" w:cs="Times New Roman"/>
                <w:color w:val="000000"/>
                <w:sz w:val="16"/>
                <w:szCs w:val="16"/>
                <w:lang w:val="en-GB"/>
              </w:rPr>
            </w:pPr>
          </w:p>
        </w:tc>
      </w:tr>
      <w:tr w:rsidRPr="009C48DA" w:rsidR="00661519" w:rsidTr="00661519" w14:paraId="00DDA0C2" w14:textId="77777777">
        <w:tc>
          <w:tcPr>
            <w:tcW w:w="2127" w:type="dxa"/>
            <w:vAlign w:val="bottom"/>
          </w:tcPr>
          <w:p w:rsidRPr="009C48DA" w:rsidR="00661519" w:rsidP="00661519" w:rsidRDefault="00661519" w14:paraId="67B8ECFE"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current liabilities</w:t>
            </w:r>
          </w:p>
        </w:tc>
        <w:tc>
          <w:tcPr>
            <w:tcW w:w="1275" w:type="dxa"/>
          </w:tcPr>
          <w:p w:rsidRPr="009C48DA" w:rsidR="00661519" w:rsidP="00661519" w:rsidRDefault="00661519" w14:paraId="3C68B09A"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174BE61B"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67,391</w:t>
            </w:r>
          </w:p>
        </w:tc>
        <w:tc>
          <w:tcPr>
            <w:tcW w:w="1418" w:type="dxa"/>
            <w:vAlign w:val="center"/>
          </w:tcPr>
          <w:p w:rsidRPr="009C48DA" w:rsidR="00661519" w:rsidP="00661519" w:rsidRDefault="00661519" w14:paraId="55C74B56"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59A1FE8D"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4,751</w:t>
            </w:r>
          </w:p>
        </w:tc>
        <w:tc>
          <w:tcPr>
            <w:tcW w:w="1559" w:type="dxa"/>
            <w:vAlign w:val="center"/>
          </w:tcPr>
          <w:p w:rsidRPr="009C48DA" w:rsidR="00661519" w:rsidP="00661519" w:rsidRDefault="00661519" w14:paraId="36AF5F09"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72,142</w:t>
            </w:r>
          </w:p>
        </w:tc>
      </w:tr>
      <w:tr w:rsidRPr="009C48DA" w:rsidR="00661519" w:rsidTr="00661519" w14:paraId="46FFF613" w14:textId="77777777">
        <w:tc>
          <w:tcPr>
            <w:tcW w:w="2127" w:type="dxa"/>
            <w:vAlign w:val="bottom"/>
          </w:tcPr>
          <w:p w:rsidRPr="009C48DA" w:rsidR="00661519" w:rsidP="00661519" w:rsidRDefault="00661519" w14:paraId="516CE6B3"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59DB5205"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4DE66BD2"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1BC3479C"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2D9EE9DD"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447E93FC" w14:textId="77777777">
            <w:pPr>
              <w:ind w:right="139"/>
              <w:jc w:val="right"/>
              <w:textAlignment w:val="baseline"/>
              <w:rPr>
                <w:rFonts w:eastAsia="Times New Roman" w:cs="Times New Roman"/>
                <w:color w:val="000000"/>
                <w:sz w:val="16"/>
                <w:szCs w:val="16"/>
                <w:lang w:val="en-GB"/>
              </w:rPr>
            </w:pPr>
          </w:p>
        </w:tc>
      </w:tr>
      <w:tr w:rsidRPr="009C48DA" w:rsidR="00661519" w:rsidTr="00661519" w14:paraId="3A191237" w14:textId="77777777">
        <w:tc>
          <w:tcPr>
            <w:tcW w:w="2127" w:type="dxa"/>
            <w:vAlign w:val="bottom"/>
          </w:tcPr>
          <w:p w:rsidRPr="009C48DA" w:rsidR="00661519" w:rsidP="00661519" w:rsidRDefault="00661519" w14:paraId="64901456"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liabilities</w:t>
            </w:r>
          </w:p>
        </w:tc>
        <w:tc>
          <w:tcPr>
            <w:tcW w:w="1275" w:type="dxa"/>
          </w:tcPr>
          <w:p w:rsidRPr="009C48DA" w:rsidR="00661519" w:rsidP="00661519" w:rsidRDefault="00661519" w14:paraId="0669147E"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0843D2CF"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105,429</w:t>
            </w:r>
          </w:p>
        </w:tc>
        <w:tc>
          <w:tcPr>
            <w:tcW w:w="1418" w:type="dxa"/>
            <w:vAlign w:val="center"/>
          </w:tcPr>
          <w:p w:rsidRPr="009C48DA" w:rsidR="00661519" w:rsidP="00661519" w:rsidRDefault="00661519" w14:paraId="2CFB090C"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3596CD87"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45,456</w:t>
            </w:r>
          </w:p>
        </w:tc>
        <w:tc>
          <w:tcPr>
            <w:tcW w:w="1559" w:type="dxa"/>
            <w:vAlign w:val="center"/>
          </w:tcPr>
          <w:p w:rsidRPr="009C48DA" w:rsidR="00661519" w:rsidP="00661519" w:rsidRDefault="00661519" w14:paraId="75578869"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150,885</w:t>
            </w:r>
          </w:p>
        </w:tc>
      </w:tr>
      <w:tr w:rsidRPr="009C48DA" w:rsidR="00661519" w:rsidTr="00661519" w14:paraId="53FDC857" w14:textId="77777777">
        <w:tc>
          <w:tcPr>
            <w:tcW w:w="2127" w:type="dxa"/>
            <w:vAlign w:val="bottom"/>
          </w:tcPr>
          <w:p w:rsidRPr="009C48DA" w:rsidR="00661519" w:rsidP="00661519" w:rsidRDefault="00661519" w14:paraId="6EDC9B60"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20419216"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0E8E122A"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7B5B8343"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00C78F6A"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02D5828B" w14:textId="77777777">
            <w:pPr>
              <w:ind w:right="139"/>
              <w:jc w:val="right"/>
              <w:textAlignment w:val="baseline"/>
              <w:rPr>
                <w:rFonts w:eastAsia="Times New Roman" w:cs="Times New Roman"/>
                <w:color w:val="000000"/>
                <w:sz w:val="16"/>
                <w:szCs w:val="16"/>
                <w:lang w:val="en-GB"/>
              </w:rPr>
            </w:pPr>
          </w:p>
        </w:tc>
      </w:tr>
      <w:tr w:rsidRPr="009C48DA" w:rsidR="00661519" w:rsidTr="00661519" w14:paraId="6319DF12" w14:textId="77777777">
        <w:tc>
          <w:tcPr>
            <w:tcW w:w="2127" w:type="dxa"/>
            <w:vAlign w:val="bottom"/>
          </w:tcPr>
          <w:p w:rsidRPr="009C48DA" w:rsidR="00661519" w:rsidP="00661519" w:rsidRDefault="00661519" w14:paraId="49FB9FA3"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Net assets</w:t>
            </w:r>
          </w:p>
        </w:tc>
        <w:tc>
          <w:tcPr>
            <w:tcW w:w="1275" w:type="dxa"/>
          </w:tcPr>
          <w:p w:rsidRPr="009C48DA" w:rsidR="00661519" w:rsidP="00661519" w:rsidRDefault="00661519" w14:paraId="5527FC44"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7A05A48D" w14:textId="77777777">
            <w:pPr>
              <w:pBdr>
                <w:bottom w:val="doub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357,001</w:t>
            </w:r>
          </w:p>
        </w:tc>
        <w:tc>
          <w:tcPr>
            <w:tcW w:w="1418" w:type="dxa"/>
            <w:vAlign w:val="center"/>
          </w:tcPr>
          <w:p w:rsidRPr="009C48DA" w:rsidR="00661519" w:rsidP="00661519" w:rsidRDefault="00661519" w14:paraId="4586ABFC" w14:textId="77777777">
            <w:pPr>
              <w:pBdr>
                <w:bottom w:val="doub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5A80B8A3" w14:textId="77777777">
            <w:pPr>
              <w:pBdr>
                <w:bottom w:val="doub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(662)</w:t>
            </w:r>
          </w:p>
        </w:tc>
        <w:tc>
          <w:tcPr>
            <w:tcW w:w="1559" w:type="dxa"/>
            <w:vAlign w:val="center"/>
          </w:tcPr>
          <w:p w:rsidRPr="009C48DA" w:rsidR="00661519" w:rsidP="00661519" w:rsidRDefault="00661519" w14:paraId="17383A1B" w14:textId="77777777">
            <w:pPr>
              <w:pBdr>
                <w:bottom w:val="doub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356,339</w:t>
            </w:r>
          </w:p>
        </w:tc>
      </w:tr>
      <w:tr w:rsidRPr="009C48DA" w:rsidR="00661519" w:rsidTr="00661519" w14:paraId="4209009D" w14:textId="77777777">
        <w:tc>
          <w:tcPr>
            <w:tcW w:w="2127" w:type="dxa"/>
            <w:vAlign w:val="bottom"/>
          </w:tcPr>
          <w:p w:rsidRPr="009C48DA" w:rsidR="00661519" w:rsidP="00661519" w:rsidRDefault="00661519" w14:paraId="728F9765"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09AFE013"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3B33FF69"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54DA360F"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5258D243"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34873500" w14:textId="77777777">
            <w:pPr>
              <w:ind w:right="139"/>
              <w:jc w:val="right"/>
              <w:textAlignment w:val="baseline"/>
              <w:rPr>
                <w:rFonts w:eastAsia="Times New Roman" w:cs="Times New Roman"/>
                <w:color w:val="000000"/>
                <w:sz w:val="16"/>
                <w:szCs w:val="16"/>
                <w:lang w:val="en-GB"/>
              </w:rPr>
            </w:pPr>
          </w:p>
        </w:tc>
      </w:tr>
      <w:tr w:rsidRPr="009C48DA" w:rsidR="00661519" w:rsidTr="00661519" w14:paraId="3236FA42" w14:textId="77777777">
        <w:tc>
          <w:tcPr>
            <w:tcW w:w="2127" w:type="dxa"/>
            <w:vAlign w:val="bottom"/>
          </w:tcPr>
          <w:p w:rsidRPr="009C48DA" w:rsidR="00661519" w:rsidP="00661519" w:rsidRDefault="00661519" w14:paraId="6E69690A"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Equity</w:t>
            </w:r>
          </w:p>
        </w:tc>
        <w:tc>
          <w:tcPr>
            <w:tcW w:w="1275" w:type="dxa"/>
          </w:tcPr>
          <w:p w:rsidRPr="009C48DA" w:rsidR="00661519" w:rsidP="00661519" w:rsidRDefault="00661519" w14:paraId="5CEF94F3"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6E3212E7"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120C25F3"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7718A2D5"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072BB121" w14:textId="77777777">
            <w:pPr>
              <w:ind w:right="139"/>
              <w:jc w:val="right"/>
              <w:textAlignment w:val="baseline"/>
              <w:rPr>
                <w:rFonts w:eastAsia="Times New Roman" w:cs="Times New Roman"/>
                <w:color w:val="000000"/>
                <w:sz w:val="16"/>
                <w:szCs w:val="16"/>
                <w:lang w:val="en-GB"/>
              </w:rPr>
            </w:pPr>
          </w:p>
        </w:tc>
      </w:tr>
      <w:tr w:rsidRPr="009C48DA" w:rsidR="00661519" w:rsidTr="00661519" w14:paraId="2E19B0B8" w14:textId="77777777">
        <w:tc>
          <w:tcPr>
            <w:tcW w:w="2127" w:type="dxa"/>
            <w:vAlign w:val="bottom"/>
          </w:tcPr>
          <w:p w:rsidRPr="009C48DA" w:rsidR="00661519" w:rsidP="00661519" w:rsidRDefault="00661519" w14:paraId="022B8375"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Share capital and premium</w:t>
            </w:r>
          </w:p>
        </w:tc>
        <w:tc>
          <w:tcPr>
            <w:tcW w:w="1275" w:type="dxa"/>
          </w:tcPr>
          <w:p w:rsidRPr="009C48DA" w:rsidR="00661519" w:rsidP="00661519" w:rsidRDefault="00661519" w14:paraId="5A5ECBEF"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01C28505"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241,419</w:t>
            </w:r>
          </w:p>
        </w:tc>
        <w:tc>
          <w:tcPr>
            <w:tcW w:w="1418" w:type="dxa"/>
            <w:vAlign w:val="center"/>
          </w:tcPr>
          <w:p w:rsidRPr="009C48DA" w:rsidR="00661519" w:rsidP="00661519" w:rsidRDefault="00661519" w14:paraId="1E75B83B"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252977BE"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42E3895E"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241,419</w:t>
            </w:r>
          </w:p>
        </w:tc>
      </w:tr>
      <w:tr w:rsidRPr="009C48DA" w:rsidR="00661519" w:rsidTr="00661519" w14:paraId="613AA87C" w14:textId="77777777">
        <w:tc>
          <w:tcPr>
            <w:tcW w:w="2127" w:type="dxa"/>
            <w:vAlign w:val="bottom"/>
          </w:tcPr>
          <w:p w:rsidRPr="009C48DA" w:rsidR="00661519" w:rsidP="00661519" w:rsidRDefault="00661519" w14:paraId="2A9D46F5"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Capital redemption reserve</w:t>
            </w:r>
          </w:p>
        </w:tc>
        <w:tc>
          <w:tcPr>
            <w:tcW w:w="1275" w:type="dxa"/>
          </w:tcPr>
          <w:p w:rsidRPr="009C48DA" w:rsidR="00661519" w:rsidP="00661519" w:rsidRDefault="00661519" w14:paraId="6EB7DCBF"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1E9C90FC"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c>
          <w:tcPr>
            <w:tcW w:w="1418" w:type="dxa"/>
            <w:vAlign w:val="center"/>
          </w:tcPr>
          <w:p w:rsidRPr="009C48DA" w:rsidR="00661519" w:rsidP="00661519" w:rsidRDefault="00661519" w14:paraId="7772E84A"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0E46496F"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397BE631"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r>
      <w:tr w:rsidRPr="009C48DA" w:rsidR="00661519" w:rsidTr="00661519" w14:paraId="70F9C89E" w14:textId="77777777">
        <w:tc>
          <w:tcPr>
            <w:tcW w:w="2127" w:type="dxa"/>
            <w:vAlign w:val="bottom"/>
          </w:tcPr>
          <w:p w:rsidRPr="009C48DA" w:rsidR="00661519" w:rsidP="00661519" w:rsidRDefault="00661519" w14:paraId="225E9037"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Cash flow hedge reserve</w:t>
            </w:r>
          </w:p>
        </w:tc>
        <w:tc>
          <w:tcPr>
            <w:tcW w:w="1275" w:type="dxa"/>
          </w:tcPr>
          <w:p w:rsidRPr="009C48DA" w:rsidR="00661519" w:rsidP="00661519" w:rsidRDefault="00661519" w14:paraId="20CF486D"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4B1A4B26"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2,610</w:t>
            </w:r>
          </w:p>
        </w:tc>
        <w:tc>
          <w:tcPr>
            <w:tcW w:w="1418" w:type="dxa"/>
            <w:vAlign w:val="center"/>
          </w:tcPr>
          <w:p w:rsidRPr="009C48DA" w:rsidR="00661519" w:rsidP="00661519" w:rsidRDefault="00661519" w14:paraId="4AC1CA92"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07850DBF"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166D0F89"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2,610</w:t>
            </w:r>
          </w:p>
        </w:tc>
      </w:tr>
      <w:tr w:rsidRPr="009C48DA" w:rsidR="00661519" w:rsidTr="00661519" w14:paraId="280B3452" w14:textId="77777777">
        <w:tc>
          <w:tcPr>
            <w:tcW w:w="2127" w:type="dxa"/>
            <w:vAlign w:val="bottom"/>
          </w:tcPr>
          <w:p w:rsidRPr="009C48DA" w:rsidR="00661519" w:rsidP="00661519" w:rsidRDefault="00661519" w14:paraId="39924B09"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Net exchange difference reserve</w:t>
            </w:r>
          </w:p>
        </w:tc>
        <w:tc>
          <w:tcPr>
            <w:tcW w:w="1275" w:type="dxa"/>
          </w:tcPr>
          <w:p w:rsidRPr="009C48DA" w:rsidR="00661519" w:rsidP="00661519" w:rsidRDefault="00661519" w14:paraId="3C557901"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(i)</w:t>
            </w:r>
          </w:p>
        </w:tc>
        <w:tc>
          <w:tcPr>
            <w:tcW w:w="1134" w:type="dxa"/>
            <w:vAlign w:val="center"/>
          </w:tcPr>
          <w:p w:rsidRPr="009C48DA" w:rsidR="00661519" w:rsidP="00661519" w:rsidRDefault="00661519" w14:paraId="360FE1F2"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18" w:type="dxa"/>
            <w:vAlign w:val="center"/>
          </w:tcPr>
          <w:p w:rsidRPr="009C48DA" w:rsidR="00661519" w:rsidP="00661519" w:rsidRDefault="00661519" w14:paraId="1A5BDECD"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3,075</w:t>
            </w:r>
          </w:p>
        </w:tc>
        <w:tc>
          <w:tcPr>
            <w:tcW w:w="1559" w:type="dxa"/>
            <w:vAlign w:val="center"/>
          </w:tcPr>
          <w:p w:rsidRPr="009C48DA" w:rsidR="00661519" w:rsidP="00661519" w:rsidRDefault="00661519" w14:paraId="517F28CD"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164D2182"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3,075</w:t>
            </w:r>
          </w:p>
        </w:tc>
      </w:tr>
      <w:tr w:rsidRPr="009C48DA" w:rsidR="00661519" w:rsidTr="00661519" w14:paraId="7B64DD32" w14:textId="77777777">
        <w:tc>
          <w:tcPr>
            <w:tcW w:w="2127" w:type="dxa"/>
            <w:vAlign w:val="bottom"/>
          </w:tcPr>
          <w:p w:rsidRPr="009C48DA" w:rsidR="00661519" w:rsidP="00661519" w:rsidRDefault="00661519" w14:paraId="50E2FB30"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Retained earnings</w:t>
            </w:r>
          </w:p>
        </w:tc>
        <w:tc>
          <w:tcPr>
            <w:tcW w:w="1275" w:type="dxa"/>
          </w:tcPr>
          <w:p w:rsidRPr="009C48DA" w:rsidR="00661519" w:rsidP="00661519" w:rsidRDefault="00661519" w14:paraId="2ECB52A1"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(i)</w:t>
            </w:r>
          </w:p>
        </w:tc>
        <w:tc>
          <w:tcPr>
            <w:tcW w:w="1134" w:type="dxa"/>
            <w:vAlign w:val="center"/>
          </w:tcPr>
          <w:p w:rsidRPr="009C48DA" w:rsidR="00661519" w:rsidP="00661519" w:rsidRDefault="00661519" w14:paraId="492DBD6F"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(2,649)</w:t>
            </w:r>
          </w:p>
        </w:tc>
        <w:tc>
          <w:tcPr>
            <w:tcW w:w="1418" w:type="dxa"/>
            <w:vAlign w:val="center"/>
          </w:tcPr>
          <w:p w:rsidRPr="009C48DA" w:rsidR="00661519" w:rsidP="00661519" w:rsidRDefault="00661519" w14:paraId="7AC92815"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(3,075)</w:t>
            </w:r>
          </w:p>
        </w:tc>
        <w:tc>
          <w:tcPr>
            <w:tcW w:w="1559" w:type="dxa"/>
            <w:vAlign w:val="center"/>
          </w:tcPr>
          <w:p w:rsidRPr="009C48DA" w:rsidR="00661519" w:rsidP="00661519" w:rsidRDefault="00661519" w14:paraId="1213A8E4"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(518)</w:t>
            </w:r>
          </w:p>
        </w:tc>
        <w:tc>
          <w:tcPr>
            <w:tcW w:w="1559" w:type="dxa"/>
            <w:vAlign w:val="center"/>
          </w:tcPr>
          <w:p w:rsidRPr="009C48DA" w:rsidR="00661519" w:rsidP="00661519" w:rsidRDefault="00661519" w14:paraId="1742DEAA"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(6,242)</w:t>
            </w:r>
          </w:p>
        </w:tc>
      </w:tr>
      <w:tr w:rsidRPr="009C48DA" w:rsidR="00661519" w:rsidTr="00661519" w14:paraId="17F01F02" w14:textId="77777777">
        <w:tc>
          <w:tcPr>
            <w:tcW w:w="2127" w:type="dxa"/>
            <w:vAlign w:val="bottom"/>
          </w:tcPr>
          <w:p w:rsidRPr="009C48DA" w:rsidR="00661519" w:rsidP="00661519" w:rsidRDefault="00661519" w14:paraId="6786C544"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384AB684"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2548C69D"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73F834A5"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1408A650"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2AE11505" w14:textId="77777777">
            <w:pPr>
              <w:ind w:right="139"/>
              <w:jc w:val="right"/>
              <w:textAlignment w:val="baseline"/>
              <w:rPr>
                <w:rFonts w:eastAsia="Times New Roman" w:cs="Times New Roman"/>
                <w:color w:val="000000"/>
                <w:sz w:val="16"/>
                <w:szCs w:val="16"/>
                <w:lang w:val="en-GB"/>
              </w:rPr>
            </w:pPr>
          </w:p>
        </w:tc>
      </w:tr>
      <w:tr w:rsidRPr="009C48DA" w:rsidR="00661519" w:rsidTr="00661519" w14:paraId="59B36858" w14:textId="77777777">
        <w:tc>
          <w:tcPr>
            <w:tcW w:w="2127" w:type="dxa"/>
            <w:vAlign w:val="center"/>
          </w:tcPr>
          <w:p w:rsidRPr="009C48DA" w:rsidR="00661519" w:rsidP="00661519" w:rsidRDefault="00661519" w14:paraId="71E2606C"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Capital and reserves attributable to equity shareholders of the company</w:t>
            </w:r>
          </w:p>
        </w:tc>
        <w:tc>
          <w:tcPr>
            <w:tcW w:w="1275" w:type="dxa"/>
          </w:tcPr>
          <w:p w:rsidRPr="009C48DA" w:rsidR="00661519" w:rsidP="00661519" w:rsidRDefault="00661519" w14:paraId="149A0121"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732A060F"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265,999</w:t>
            </w:r>
          </w:p>
        </w:tc>
        <w:tc>
          <w:tcPr>
            <w:tcW w:w="1418" w:type="dxa"/>
            <w:vAlign w:val="center"/>
          </w:tcPr>
          <w:p w:rsidRPr="009C48DA" w:rsidR="00661519" w:rsidP="00661519" w:rsidRDefault="00661519" w14:paraId="2E375AB2"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1C9F3236"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(518)</w:t>
            </w:r>
          </w:p>
        </w:tc>
        <w:tc>
          <w:tcPr>
            <w:tcW w:w="1559" w:type="dxa"/>
            <w:vAlign w:val="center"/>
          </w:tcPr>
          <w:p w:rsidRPr="009C48DA" w:rsidR="00661519" w:rsidP="00661519" w:rsidRDefault="00661519" w14:paraId="22560967"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265,481</w:t>
            </w:r>
          </w:p>
        </w:tc>
      </w:tr>
      <w:tr w:rsidRPr="009C48DA" w:rsidR="00661519" w:rsidTr="00661519" w14:paraId="74956BBA" w14:textId="77777777">
        <w:tc>
          <w:tcPr>
            <w:tcW w:w="2127" w:type="dxa"/>
            <w:vAlign w:val="bottom"/>
          </w:tcPr>
          <w:p w:rsidRPr="009C48DA" w:rsidR="00661519" w:rsidP="00661519" w:rsidRDefault="00661519" w14:paraId="52B6CD16"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Non-controlling interests</w:t>
            </w:r>
          </w:p>
        </w:tc>
        <w:tc>
          <w:tcPr>
            <w:tcW w:w="1275" w:type="dxa"/>
          </w:tcPr>
          <w:p w:rsidRPr="009C48DA" w:rsidR="00661519" w:rsidP="00661519" w:rsidRDefault="00661519" w14:paraId="49E6AC05"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31620C4A"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91,002</w:t>
            </w:r>
          </w:p>
        </w:tc>
        <w:tc>
          <w:tcPr>
            <w:tcW w:w="1418" w:type="dxa"/>
            <w:vAlign w:val="center"/>
          </w:tcPr>
          <w:p w:rsidRPr="009C48DA" w:rsidR="00661519" w:rsidP="00661519" w:rsidRDefault="00661519" w14:paraId="197E4FDF"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1DCAE173"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(144)</w:t>
            </w:r>
          </w:p>
        </w:tc>
        <w:tc>
          <w:tcPr>
            <w:tcW w:w="1559" w:type="dxa"/>
            <w:vAlign w:val="center"/>
          </w:tcPr>
          <w:p w:rsidRPr="009C48DA" w:rsidR="00661519" w:rsidP="00661519" w:rsidRDefault="00661519" w14:paraId="0B37BE8A"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90,858</w:t>
            </w:r>
          </w:p>
        </w:tc>
      </w:tr>
      <w:tr w:rsidRPr="009C48DA" w:rsidR="00661519" w:rsidTr="00661519" w14:paraId="37EF3AE1" w14:textId="77777777">
        <w:tc>
          <w:tcPr>
            <w:tcW w:w="2127" w:type="dxa"/>
            <w:vAlign w:val="bottom"/>
          </w:tcPr>
          <w:p w:rsidRPr="009C48DA" w:rsidR="00661519" w:rsidP="00661519" w:rsidRDefault="00661519" w14:paraId="2352B63C"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3725D26C"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41063CAC"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2752583F"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1D10207C"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0EBB0659" w14:textId="77777777">
            <w:pPr>
              <w:ind w:right="139"/>
              <w:jc w:val="right"/>
              <w:textAlignment w:val="baseline"/>
              <w:rPr>
                <w:rFonts w:eastAsia="Times New Roman" w:cs="Times New Roman"/>
                <w:color w:val="000000"/>
                <w:sz w:val="16"/>
                <w:szCs w:val="16"/>
                <w:lang w:val="en-GB"/>
              </w:rPr>
            </w:pPr>
          </w:p>
        </w:tc>
      </w:tr>
      <w:tr w:rsidRPr="009C48DA" w:rsidR="00661519" w:rsidTr="00661519" w14:paraId="640D02F8" w14:textId="77777777">
        <w:tc>
          <w:tcPr>
            <w:tcW w:w="2127" w:type="dxa"/>
            <w:vAlign w:val="bottom"/>
          </w:tcPr>
          <w:p w:rsidRPr="009C48DA" w:rsidR="00661519" w:rsidP="00661519" w:rsidRDefault="00661519" w14:paraId="6FB2AC91"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equity</w:t>
            </w:r>
          </w:p>
        </w:tc>
        <w:tc>
          <w:tcPr>
            <w:tcW w:w="1275" w:type="dxa"/>
          </w:tcPr>
          <w:p w:rsidRPr="009C48DA" w:rsidR="00661519" w:rsidP="00661519" w:rsidRDefault="00661519" w14:paraId="349326EB"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0C48E31C" w14:textId="77777777">
            <w:pPr>
              <w:pBdr>
                <w:bottom w:val="doub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357,001</w:t>
            </w:r>
          </w:p>
        </w:tc>
        <w:tc>
          <w:tcPr>
            <w:tcW w:w="1418" w:type="dxa"/>
            <w:vAlign w:val="center"/>
          </w:tcPr>
          <w:p w:rsidRPr="009C48DA" w:rsidR="00661519" w:rsidP="00661519" w:rsidRDefault="00661519" w14:paraId="633D6590" w14:textId="77777777">
            <w:pPr>
              <w:pBdr>
                <w:bottom w:val="doub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456E2E96" w14:textId="77777777">
            <w:pPr>
              <w:pBdr>
                <w:bottom w:val="doub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(662)</w:t>
            </w:r>
          </w:p>
        </w:tc>
        <w:tc>
          <w:tcPr>
            <w:tcW w:w="1559" w:type="dxa"/>
            <w:vAlign w:val="center"/>
          </w:tcPr>
          <w:p w:rsidRPr="009C48DA" w:rsidR="00661519" w:rsidP="00661519" w:rsidRDefault="00661519" w14:paraId="2EFE1233" w14:textId="77777777">
            <w:pPr>
              <w:pBdr>
                <w:bottom w:val="doub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356,339</w:t>
            </w:r>
          </w:p>
        </w:tc>
      </w:tr>
    </w:tbl>
    <w:p w:rsidRPr="009C48DA" w:rsidR="00661519" w:rsidP="00661519" w:rsidRDefault="00661519" w14:paraId="6237D921" w14:textId="77777777">
      <w:pPr>
        <w:rPr>
          <w:lang w:val="en-GB"/>
        </w:rPr>
      </w:pPr>
      <w:r w:rsidRPr="009C48DA">
        <w:rPr>
          <w:lang w:val="en-GB"/>
        </w:rPr>
        <w:br w:type="page"/>
      </w:r>
    </w:p>
    <w:p w:rsidRPr="009C48DA" w:rsidR="00661519" w:rsidP="00661519" w:rsidRDefault="00661519" w14:paraId="1391BC8E" w14:textId="77777777">
      <w:pPr>
        <w:textAlignment w:val="baseline"/>
        <w:rPr>
          <w:rFonts w:eastAsia="Times New Roman" w:cs="Times New Roman"/>
          <w:b/>
          <w:color w:val="000000"/>
          <w:sz w:val="17"/>
          <w:szCs w:val="22"/>
          <w:lang w:val="en-GB"/>
        </w:rPr>
      </w:pPr>
      <w:r w:rsidRPr="009C48DA">
        <w:rPr>
          <w:rFonts w:eastAsia="Times New Roman" w:cs="Times New Roman"/>
          <w:b/>
          <w:color w:val="000000"/>
          <w:sz w:val="17"/>
          <w:szCs w:val="22"/>
          <w:lang w:val="en-GB"/>
        </w:rPr>
        <w:lastRenderedPageBreak/>
        <w:t>Consolidated Statement of Financial Position as at 31 December 2020</w:t>
      </w:r>
    </w:p>
    <w:p w:rsidRPr="009C48DA" w:rsidR="00661519" w:rsidP="00661519" w:rsidRDefault="00661519" w14:paraId="58FB46D6" w14:textId="77777777">
      <w:pPr>
        <w:rPr>
          <w:rFonts w:eastAsia="Times New Roman" w:cs="Times New Roman"/>
          <w:b/>
          <w:color w:val="000000"/>
          <w:sz w:val="17"/>
          <w:szCs w:val="22"/>
          <w:lang w:val="en-GB"/>
        </w:rPr>
      </w:pPr>
    </w:p>
    <w:tbl>
      <w:tblPr>
        <w:tblW w:w="9072" w:type="dxa"/>
        <w:tblLayout w:type="fixed"/>
        <w:tblCellMar>
          <w:left w:w="0" w:type="dxa"/>
          <w:right w:w="0" w:type="dxa"/>
        </w:tblCellMar>
        <w:tblLook w:val="04A0" w:firstRow="1" w:lastRow="0" w:firstColumn="1" w:lastColumn="0" w:noHBand="0" w:noVBand="1"/>
      </w:tblPr>
      <w:tblGrid>
        <w:gridCol w:w="2127"/>
        <w:gridCol w:w="1275"/>
        <w:gridCol w:w="1134"/>
        <w:gridCol w:w="1418"/>
        <w:gridCol w:w="1559"/>
        <w:gridCol w:w="1559"/>
      </w:tblGrid>
      <w:tr w:rsidRPr="009C48DA" w:rsidR="00661519" w:rsidTr="00661519" w14:paraId="26D10B65" w14:textId="77777777">
        <w:tc>
          <w:tcPr>
            <w:tcW w:w="2127" w:type="dxa"/>
            <w:vAlign w:val="bottom"/>
          </w:tcPr>
          <w:p w:rsidRPr="009C48DA" w:rsidR="00661519" w:rsidP="00661519" w:rsidRDefault="00661519" w14:paraId="3AD962DF" w14:textId="77777777">
            <w:pPr>
              <w:textAlignment w:val="baseline"/>
              <w:rPr>
                <w:rFonts w:eastAsia="Times New Roman" w:cs="Times New Roman"/>
                <w:b/>
                <w:color w:val="000000"/>
                <w:sz w:val="16"/>
                <w:szCs w:val="16"/>
                <w:lang w:val="en-GB"/>
              </w:rPr>
            </w:pPr>
          </w:p>
        </w:tc>
        <w:tc>
          <w:tcPr>
            <w:tcW w:w="1275" w:type="dxa"/>
            <w:vAlign w:val="bottom"/>
          </w:tcPr>
          <w:p w:rsidRPr="009C48DA" w:rsidR="00661519" w:rsidP="00661519" w:rsidRDefault="00661519" w14:paraId="40B2EAC4" w14:textId="77777777">
            <w:pPr>
              <w:ind w:right="108"/>
              <w:jc w:val="center"/>
              <w:textAlignment w:val="baseline"/>
              <w:rPr>
                <w:rFonts w:eastAsia="Times New Roman" w:cs="Times New Roman"/>
                <w:b/>
                <w:color w:val="000000"/>
                <w:sz w:val="16"/>
                <w:szCs w:val="16"/>
                <w:lang w:val="en-GB"/>
              </w:rPr>
            </w:pPr>
          </w:p>
          <w:p w:rsidRPr="009C48DA" w:rsidR="00661519" w:rsidP="00661519" w:rsidRDefault="00661519" w14:paraId="2AE52E4E" w14:textId="77777777">
            <w:pPr>
              <w:ind w:right="108"/>
              <w:jc w:val="center"/>
              <w:textAlignment w:val="baseline"/>
              <w:rPr>
                <w:rFonts w:eastAsia="Times New Roman" w:cs="Times New Roman"/>
                <w:b/>
                <w:color w:val="000000"/>
                <w:sz w:val="16"/>
                <w:szCs w:val="16"/>
                <w:lang w:val="en-GB"/>
              </w:rPr>
            </w:pPr>
          </w:p>
          <w:p w:rsidRPr="009C48DA" w:rsidR="00661519" w:rsidP="00661519" w:rsidRDefault="00661519" w14:paraId="352E3CA8" w14:textId="77777777">
            <w:pPr>
              <w:ind w:right="10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Note</w:t>
            </w:r>
          </w:p>
        </w:tc>
        <w:tc>
          <w:tcPr>
            <w:tcW w:w="1134" w:type="dxa"/>
            <w:vAlign w:val="bottom"/>
          </w:tcPr>
          <w:p w:rsidRPr="009C48DA" w:rsidR="00661519" w:rsidP="00661519" w:rsidRDefault="00661519" w14:paraId="49D9B619" w14:textId="77777777">
            <w:pPr>
              <w:ind w:right="10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UK GAAP</w:t>
            </w:r>
          </w:p>
          <w:p w:rsidRPr="009C48DA" w:rsidR="00661519" w:rsidP="00661519" w:rsidRDefault="00661519" w14:paraId="402BB858" w14:textId="77777777">
            <w:pPr>
              <w:ind w:right="10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418" w:type="dxa"/>
            <w:vAlign w:val="bottom"/>
          </w:tcPr>
          <w:p w:rsidRPr="009C48DA" w:rsidR="00661519" w:rsidP="00661519" w:rsidRDefault="00661519" w14:paraId="684BEAF2"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Reclassification</w:t>
            </w:r>
          </w:p>
          <w:p w:rsidRPr="009C48DA" w:rsidR="00661519" w:rsidP="00661519" w:rsidRDefault="00661519" w14:paraId="43814418"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£ 000 </w:t>
            </w:r>
          </w:p>
        </w:tc>
        <w:tc>
          <w:tcPr>
            <w:tcW w:w="1559" w:type="dxa"/>
            <w:vAlign w:val="bottom"/>
          </w:tcPr>
          <w:p w:rsidRPr="009C48DA" w:rsidR="00661519" w:rsidP="00661519" w:rsidRDefault="00661519" w14:paraId="511E2210"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Recognition and measurement differences</w:t>
            </w:r>
          </w:p>
          <w:p w:rsidRPr="009C48DA" w:rsidR="00661519" w:rsidP="00661519" w:rsidRDefault="00661519" w14:paraId="0C0D9562"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559" w:type="dxa"/>
            <w:vAlign w:val="bottom"/>
          </w:tcPr>
          <w:p w:rsidRPr="009C48DA" w:rsidR="00661519" w:rsidP="00661519" w:rsidRDefault="00661519" w14:paraId="002894B7"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IFRS as at </w:t>
            </w:r>
          </w:p>
          <w:p w:rsidRPr="009C48DA" w:rsidR="00661519" w:rsidP="00661519" w:rsidRDefault="00661519" w14:paraId="2FDDE83A"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31 December 2020</w:t>
            </w:r>
          </w:p>
          <w:p w:rsidRPr="009C48DA" w:rsidR="00661519" w:rsidP="00661519" w:rsidRDefault="00661519" w14:paraId="6F22D84E"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5AF2D3F2" w14:textId="77777777">
        <w:tc>
          <w:tcPr>
            <w:tcW w:w="2127" w:type="dxa"/>
            <w:vAlign w:val="bottom"/>
          </w:tcPr>
          <w:p w:rsidRPr="009C48DA" w:rsidR="00661519" w:rsidP="00661519" w:rsidRDefault="00661519" w14:paraId="3CAEDA43"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Assets</w:t>
            </w:r>
          </w:p>
        </w:tc>
        <w:tc>
          <w:tcPr>
            <w:tcW w:w="1275" w:type="dxa"/>
          </w:tcPr>
          <w:p w:rsidRPr="009C48DA" w:rsidR="00661519" w:rsidP="00661519" w:rsidRDefault="00661519" w14:paraId="1AF81B80" w14:textId="77777777">
            <w:pPr>
              <w:ind w:right="108"/>
              <w:jc w:val="center"/>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3B43CB34" w14:textId="77777777">
            <w:pPr>
              <w:ind w:right="108"/>
              <w:jc w:val="right"/>
              <w:textAlignment w:val="baseline"/>
              <w:rPr>
                <w:rFonts w:eastAsia="Times New Roman" w:cs="Times New Roman"/>
                <w:color w:val="000000"/>
                <w:sz w:val="16"/>
                <w:szCs w:val="16"/>
                <w:lang w:val="en-GB"/>
              </w:rPr>
            </w:pPr>
          </w:p>
        </w:tc>
        <w:tc>
          <w:tcPr>
            <w:tcW w:w="1418" w:type="dxa"/>
          </w:tcPr>
          <w:p w:rsidRPr="009C48DA" w:rsidR="00661519" w:rsidP="00661519" w:rsidRDefault="00661519" w14:paraId="32D74B3B"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086DD8E6"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7926A773" w14:textId="77777777">
            <w:pPr>
              <w:ind w:right="139"/>
              <w:jc w:val="right"/>
              <w:textAlignment w:val="baseline"/>
              <w:rPr>
                <w:rFonts w:eastAsia="Times New Roman" w:cs="Times New Roman"/>
                <w:color w:val="000000"/>
                <w:sz w:val="16"/>
                <w:szCs w:val="16"/>
                <w:lang w:val="en-GB"/>
              </w:rPr>
            </w:pPr>
          </w:p>
        </w:tc>
      </w:tr>
      <w:tr w:rsidRPr="009C48DA" w:rsidR="00661519" w:rsidTr="00661519" w14:paraId="772EA28D" w14:textId="77777777">
        <w:tc>
          <w:tcPr>
            <w:tcW w:w="2127" w:type="dxa"/>
            <w:vAlign w:val="bottom"/>
          </w:tcPr>
          <w:p w:rsidRPr="009C48DA" w:rsidR="00661519" w:rsidP="00661519" w:rsidRDefault="00661519" w14:paraId="30B9DDC8" w14:textId="77777777">
            <w:pPr>
              <w:textAlignment w:val="baseline"/>
              <w:rPr>
                <w:rFonts w:eastAsia="Times New Roman" w:cs="Times New Roman"/>
                <w:color w:val="000000"/>
                <w:sz w:val="16"/>
                <w:szCs w:val="16"/>
                <w:lang w:val="en-GB"/>
              </w:rPr>
            </w:pPr>
            <w:r w:rsidRPr="009C48DA">
              <w:rPr>
                <w:rFonts w:eastAsia="Times New Roman" w:cs="Times New Roman"/>
                <w:b/>
                <w:color w:val="000000"/>
                <w:sz w:val="16"/>
                <w:szCs w:val="16"/>
                <w:lang w:val="en-GB"/>
              </w:rPr>
              <w:t>Non-current assets</w:t>
            </w:r>
          </w:p>
        </w:tc>
        <w:tc>
          <w:tcPr>
            <w:tcW w:w="1275" w:type="dxa"/>
          </w:tcPr>
          <w:p w:rsidRPr="009C48DA" w:rsidR="00661519" w:rsidP="00661519" w:rsidRDefault="00661519" w14:paraId="657E0697" w14:textId="77777777">
            <w:pPr>
              <w:ind w:right="108"/>
              <w:jc w:val="center"/>
              <w:textAlignment w:val="baseline"/>
              <w:rPr>
                <w:rFonts w:eastAsia="Times New Roman" w:cs="Times New Roman"/>
                <w:color w:val="000000"/>
                <w:sz w:val="16"/>
                <w:szCs w:val="16"/>
                <w:lang w:val="en-GB"/>
              </w:rPr>
            </w:pPr>
          </w:p>
        </w:tc>
        <w:tc>
          <w:tcPr>
            <w:tcW w:w="1134" w:type="dxa"/>
            <w:vAlign w:val="bottom"/>
          </w:tcPr>
          <w:p w:rsidRPr="009C48DA" w:rsidR="00661519" w:rsidP="00661519" w:rsidRDefault="00661519" w14:paraId="2ECFACE4" w14:textId="77777777">
            <w:pPr>
              <w:ind w:right="108"/>
              <w:jc w:val="right"/>
              <w:textAlignment w:val="baseline"/>
              <w:rPr>
                <w:rFonts w:eastAsia="Times New Roman" w:cs="Times New Roman"/>
                <w:color w:val="000000"/>
                <w:sz w:val="16"/>
                <w:szCs w:val="16"/>
                <w:lang w:val="en-GB"/>
              </w:rPr>
            </w:pPr>
          </w:p>
        </w:tc>
        <w:tc>
          <w:tcPr>
            <w:tcW w:w="1418" w:type="dxa"/>
          </w:tcPr>
          <w:p w:rsidRPr="009C48DA" w:rsidR="00661519" w:rsidP="00661519" w:rsidRDefault="00661519" w14:paraId="70287F17"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5CA09482"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176E2282" w14:textId="77777777">
            <w:pPr>
              <w:ind w:right="139"/>
              <w:jc w:val="right"/>
              <w:textAlignment w:val="baseline"/>
              <w:rPr>
                <w:rFonts w:eastAsia="Times New Roman" w:cs="Times New Roman"/>
                <w:color w:val="000000"/>
                <w:sz w:val="16"/>
                <w:szCs w:val="16"/>
                <w:lang w:val="en-GB"/>
              </w:rPr>
            </w:pPr>
          </w:p>
        </w:tc>
      </w:tr>
      <w:tr w:rsidRPr="009C48DA" w:rsidR="00661519" w:rsidTr="00661519" w14:paraId="1B773D8D" w14:textId="77777777">
        <w:tc>
          <w:tcPr>
            <w:tcW w:w="2127" w:type="dxa"/>
            <w:vAlign w:val="bottom"/>
          </w:tcPr>
          <w:p w:rsidRPr="009C48DA" w:rsidR="00661519" w:rsidP="00661519" w:rsidRDefault="00661519" w14:paraId="531EE672"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Property, plant and equipment</w:t>
            </w:r>
          </w:p>
        </w:tc>
        <w:tc>
          <w:tcPr>
            <w:tcW w:w="1275" w:type="dxa"/>
          </w:tcPr>
          <w:p w:rsidRPr="009C48DA" w:rsidR="00661519" w:rsidP="00661519" w:rsidRDefault="00661519" w14:paraId="637B7A8E"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center"/>
          </w:tcPr>
          <w:p w:rsidRPr="009C48DA" w:rsidR="00661519" w:rsidP="00661519" w:rsidRDefault="00661519" w14:paraId="13197CF2"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8,982</w:t>
            </w:r>
          </w:p>
        </w:tc>
        <w:tc>
          <w:tcPr>
            <w:tcW w:w="1418" w:type="dxa"/>
          </w:tcPr>
          <w:p w:rsidRPr="009C48DA" w:rsidR="00661519" w:rsidP="00661519" w:rsidRDefault="00661519" w14:paraId="53DAFDD8"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13492E93"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32,609</w:t>
            </w:r>
          </w:p>
        </w:tc>
        <w:tc>
          <w:tcPr>
            <w:tcW w:w="1559" w:type="dxa"/>
            <w:vAlign w:val="center"/>
          </w:tcPr>
          <w:p w:rsidRPr="009C48DA" w:rsidR="00661519" w:rsidP="00661519" w:rsidRDefault="00661519" w14:paraId="798C6E7A"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41,591</w:t>
            </w:r>
          </w:p>
        </w:tc>
      </w:tr>
      <w:tr w:rsidRPr="009C48DA" w:rsidR="00661519" w:rsidTr="00661519" w14:paraId="466160B5" w14:textId="77777777">
        <w:tc>
          <w:tcPr>
            <w:tcW w:w="2127" w:type="dxa"/>
            <w:vAlign w:val="bottom"/>
          </w:tcPr>
          <w:p w:rsidRPr="009C48DA" w:rsidR="00661519" w:rsidP="00661519" w:rsidRDefault="00661519" w14:paraId="48810E2F"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Goodwill and intangible assets</w:t>
            </w:r>
          </w:p>
        </w:tc>
        <w:tc>
          <w:tcPr>
            <w:tcW w:w="1275" w:type="dxa"/>
          </w:tcPr>
          <w:p w:rsidRPr="009C48DA" w:rsidR="00661519" w:rsidP="00661519" w:rsidRDefault="00661519" w14:paraId="1A09F140"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(g)</w:t>
            </w:r>
          </w:p>
        </w:tc>
        <w:tc>
          <w:tcPr>
            <w:tcW w:w="1134" w:type="dxa"/>
            <w:vAlign w:val="center"/>
          </w:tcPr>
          <w:p w:rsidRPr="009C48DA" w:rsidR="00661519" w:rsidP="00661519" w:rsidRDefault="00661519" w14:paraId="0A78E55E"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130,973</w:t>
            </w:r>
          </w:p>
        </w:tc>
        <w:tc>
          <w:tcPr>
            <w:tcW w:w="1418" w:type="dxa"/>
          </w:tcPr>
          <w:p w:rsidRPr="009C48DA" w:rsidR="00661519" w:rsidP="00661519" w:rsidRDefault="00661519" w14:paraId="5B03F4B4"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41CF8804"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(5,251)</w:t>
            </w:r>
          </w:p>
        </w:tc>
        <w:tc>
          <w:tcPr>
            <w:tcW w:w="1559" w:type="dxa"/>
            <w:vAlign w:val="center"/>
          </w:tcPr>
          <w:p w:rsidRPr="009C48DA" w:rsidR="00661519" w:rsidP="00661519" w:rsidRDefault="00661519" w14:paraId="51A1C723"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125,722</w:t>
            </w:r>
          </w:p>
        </w:tc>
      </w:tr>
      <w:tr w:rsidRPr="009C48DA" w:rsidR="00661519" w:rsidTr="00661519" w14:paraId="0E527EFB" w14:textId="77777777">
        <w:tc>
          <w:tcPr>
            <w:tcW w:w="2127" w:type="dxa"/>
            <w:vAlign w:val="bottom"/>
          </w:tcPr>
          <w:p w:rsidRPr="009C48DA" w:rsidR="00661519" w:rsidP="00661519" w:rsidRDefault="00661519" w14:paraId="20C7D52D"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Carried interest receivable</w:t>
            </w:r>
          </w:p>
        </w:tc>
        <w:tc>
          <w:tcPr>
            <w:tcW w:w="1275" w:type="dxa"/>
          </w:tcPr>
          <w:p w:rsidRPr="009C48DA" w:rsidR="00661519" w:rsidP="00661519" w:rsidRDefault="00661519" w14:paraId="2D49D586"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(d)</w:t>
            </w:r>
          </w:p>
        </w:tc>
        <w:tc>
          <w:tcPr>
            <w:tcW w:w="1134" w:type="dxa"/>
            <w:vAlign w:val="center"/>
          </w:tcPr>
          <w:p w:rsidRPr="009C48DA" w:rsidR="00661519" w:rsidP="00661519" w:rsidRDefault="00661519" w14:paraId="049135AC"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18,181</w:t>
            </w:r>
          </w:p>
        </w:tc>
        <w:tc>
          <w:tcPr>
            <w:tcW w:w="1418" w:type="dxa"/>
          </w:tcPr>
          <w:p w:rsidRPr="009C48DA" w:rsidR="00661519" w:rsidP="00661519" w:rsidRDefault="00661519" w14:paraId="51C4BF9B"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03F77906"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9,734</w:t>
            </w:r>
          </w:p>
        </w:tc>
        <w:tc>
          <w:tcPr>
            <w:tcW w:w="1559" w:type="dxa"/>
            <w:vAlign w:val="center"/>
          </w:tcPr>
          <w:p w:rsidRPr="009C48DA" w:rsidR="00661519" w:rsidP="00661519" w:rsidRDefault="00661519" w14:paraId="47EA9B3E"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27,915</w:t>
            </w:r>
          </w:p>
        </w:tc>
      </w:tr>
      <w:tr w:rsidRPr="009C48DA" w:rsidR="00661519" w:rsidTr="00661519" w14:paraId="5AD7DDE5" w14:textId="77777777">
        <w:tc>
          <w:tcPr>
            <w:tcW w:w="2127" w:type="dxa"/>
            <w:vAlign w:val="bottom"/>
          </w:tcPr>
          <w:p w:rsidRPr="009C48DA" w:rsidR="00661519" w:rsidP="00661519" w:rsidRDefault="00661519" w14:paraId="0DDE146A"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Fair value of fund investments</w:t>
            </w:r>
          </w:p>
        </w:tc>
        <w:tc>
          <w:tcPr>
            <w:tcW w:w="1275" w:type="dxa"/>
          </w:tcPr>
          <w:p w:rsidRPr="009C48DA" w:rsidR="00661519" w:rsidP="00661519" w:rsidRDefault="00661519" w14:paraId="1BC1E6F3"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78C5B3D8"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233,469</w:t>
            </w:r>
          </w:p>
        </w:tc>
        <w:tc>
          <w:tcPr>
            <w:tcW w:w="1418" w:type="dxa"/>
          </w:tcPr>
          <w:p w:rsidRPr="009C48DA" w:rsidR="00661519" w:rsidP="00661519" w:rsidRDefault="00661519" w14:paraId="53914ED1"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088990C1"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2082F403"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233,469</w:t>
            </w:r>
          </w:p>
        </w:tc>
      </w:tr>
      <w:tr w:rsidRPr="009C48DA" w:rsidR="00661519" w:rsidTr="00661519" w14:paraId="0C72D077" w14:textId="77777777">
        <w:tc>
          <w:tcPr>
            <w:tcW w:w="2127" w:type="dxa"/>
            <w:vAlign w:val="bottom"/>
          </w:tcPr>
          <w:p w:rsidRPr="009C48DA" w:rsidR="00661519" w:rsidP="00661519" w:rsidRDefault="00661519" w14:paraId="26688CFC"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receivables</w:t>
            </w:r>
          </w:p>
        </w:tc>
        <w:tc>
          <w:tcPr>
            <w:tcW w:w="1275" w:type="dxa"/>
          </w:tcPr>
          <w:p w:rsidRPr="009C48DA" w:rsidR="00661519" w:rsidP="00661519" w:rsidRDefault="00661519" w14:paraId="13F55D84"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center"/>
          </w:tcPr>
          <w:p w:rsidRPr="009C48DA" w:rsidR="00661519" w:rsidP="00661519" w:rsidRDefault="00661519" w14:paraId="47114CBF"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418" w:type="dxa"/>
          </w:tcPr>
          <w:p w:rsidRPr="009C48DA" w:rsidR="00661519" w:rsidP="00661519" w:rsidRDefault="00661519" w14:paraId="7DBA1346"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1,490</w:t>
            </w:r>
          </w:p>
        </w:tc>
        <w:tc>
          <w:tcPr>
            <w:tcW w:w="1559" w:type="dxa"/>
            <w:vAlign w:val="center"/>
          </w:tcPr>
          <w:p w:rsidRPr="009C48DA" w:rsidR="00661519" w:rsidP="00661519" w:rsidRDefault="00661519" w14:paraId="6682671A"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5,434</w:t>
            </w:r>
          </w:p>
        </w:tc>
        <w:tc>
          <w:tcPr>
            <w:tcW w:w="1559" w:type="dxa"/>
            <w:vAlign w:val="center"/>
          </w:tcPr>
          <w:p w:rsidRPr="009C48DA" w:rsidR="00661519" w:rsidP="00661519" w:rsidRDefault="00661519" w14:paraId="33BA4842"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6,924</w:t>
            </w:r>
          </w:p>
        </w:tc>
      </w:tr>
      <w:tr w:rsidRPr="009C48DA" w:rsidR="00661519" w:rsidTr="00661519" w14:paraId="594E31AF" w14:textId="77777777">
        <w:tc>
          <w:tcPr>
            <w:tcW w:w="2127" w:type="dxa"/>
            <w:vAlign w:val="bottom"/>
          </w:tcPr>
          <w:p w:rsidRPr="009C48DA" w:rsidR="00661519" w:rsidP="00661519" w:rsidRDefault="00661519" w14:paraId="2BB41975" w14:textId="77777777">
            <w:pPr>
              <w:textAlignment w:val="baseline"/>
              <w:rPr>
                <w:rFonts w:eastAsia="Times New Roman" w:cs="Times New Roman"/>
                <w:b/>
                <w:color w:val="000000"/>
                <w:sz w:val="16"/>
                <w:szCs w:val="16"/>
                <w:lang w:val="en-GB"/>
              </w:rPr>
            </w:pPr>
          </w:p>
          <w:p w:rsidRPr="009C48DA" w:rsidR="00661519" w:rsidP="00661519" w:rsidRDefault="00661519" w14:paraId="37416822"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non-current assets</w:t>
            </w:r>
          </w:p>
        </w:tc>
        <w:tc>
          <w:tcPr>
            <w:tcW w:w="1275" w:type="dxa"/>
          </w:tcPr>
          <w:p w:rsidRPr="009C48DA" w:rsidR="00661519" w:rsidP="00661519" w:rsidRDefault="00661519" w14:paraId="6344B6E4"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5E294129" w14:textId="77777777">
            <w:pPr>
              <w:pBdr>
                <w:bottom w:val="single" w:color="auto" w:sz="8" w:space="1"/>
              </w:pBdr>
              <w:ind w:right="108"/>
              <w:jc w:val="right"/>
              <w:textAlignment w:val="baseline"/>
              <w:rPr>
                <w:rFonts w:eastAsia="Times New Roman"/>
                <w:color w:val="000000"/>
                <w:sz w:val="16"/>
                <w:lang w:val="en-GB"/>
              </w:rPr>
            </w:pPr>
          </w:p>
          <w:p w:rsidRPr="009C48DA" w:rsidR="00661519" w:rsidP="00661519" w:rsidRDefault="00661519" w14:paraId="6FB5B728" w14:textId="77777777">
            <w:pPr>
              <w:pBdr>
                <w:bottom w:val="single" w:color="auto" w:sz="8" w:space="1"/>
              </w:pBd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391,605</w:t>
            </w:r>
          </w:p>
        </w:tc>
        <w:tc>
          <w:tcPr>
            <w:tcW w:w="1418" w:type="dxa"/>
            <w:vAlign w:val="center"/>
          </w:tcPr>
          <w:p w:rsidRPr="009C48DA" w:rsidR="00661519" w:rsidP="00661519" w:rsidRDefault="00661519" w14:paraId="29405DA3" w14:textId="77777777">
            <w:pPr>
              <w:pBdr>
                <w:bottom w:val="single" w:color="auto" w:sz="8" w:space="1"/>
              </w:pBdr>
              <w:ind w:right="164"/>
              <w:jc w:val="right"/>
              <w:textAlignment w:val="baseline"/>
              <w:rPr>
                <w:rFonts w:eastAsia="Times New Roman"/>
                <w:color w:val="000000"/>
                <w:sz w:val="16"/>
                <w:lang w:val="en-GB"/>
              </w:rPr>
            </w:pPr>
          </w:p>
          <w:p w:rsidRPr="009C48DA" w:rsidR="00661519" w:rsidP="00661519" w:rsidRDefault="00661519" w14:paraId="25550378"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1,490</w:t>
            </w:r>
          </w:p>
        </w:tc>
        <w:tc>
          <w:tcPr>
            <w:tcW w:w="1559" w:type="dxa"/>
            <w:vAlign w:val="center"/>
          </w:tcPr>
          <w:p w:rsidRPr="009C48DA" w:rsidR="00661519" w:rsidP="00661519" w:rsidRDefault="00661519" w14:paraId="4972D07C" w14:textId="77777777">
            <w:pPr>
              <w:pBdr>
                <w:bottom w:val="single" w:color="auto" w:sz="8" w:space="1"/>
              </w:pBdr>
              <w:ind w:right="164"/>
              <w:jc w:val="right"/>
              <w:textAlignment w:val="baseline"/>
              <w:rPr>
                <w:rFonts w:eastAsia="Times New Roman"/>
                <w:color w:val="000000"/>
                <w:sz w:val="16"/>
                <w:lang w:val="en-GB"/>
              </w:rPr>
            </w:pPr>
          </w:p>
          <w:p w:rsidRPr="009C48DA" w:rsidR="00661519" w:rsidP="00661519" w:rsidRDefault="00661519" w14:paraId="54B5003C" w14:textId="77777777">
            <w:pPr>
              <w:pBdr>
                <w:bottom w:val="single" w:color="auto" w:sz="8" w:space="1"/>
              </w:pBd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42,526</w:t>
            </w:r>
          </w:p>
        </w:tc>
        <w:tc>
          <w:tcPr>
            <w:tcW w:w="1559" w:type="dxa"/>
            <w:vAlign w:val="center"/>
          </w:tcPr>
          <w:p w:rsidRPr="009C48DA" w:rsidR="00661519" w:rsidP="00661519" w:rsidRDefault="00661519" w14:paraId="3ED6D9CF" w14:textId="77777777">
            <w:pPr>
              <w:pBdr>
                <w:bottom w:val="single" w:color="auto" w:sz="8" w:space="1"/>
              </w:pBdr>
              <w:ind w:right="139"/>
              <w:jc w:val="right"/>
              <w:textAlignment w:val="baseline"/>
              <w:rPr>
                <w:rFonts w:eastAsia="Times New Roman"/>
                <w:color w:val="000000"/>
                <w:sz w:val="16"/>
                <w:lang w:val="en-GB"/>
              </w:rPr>
            </w:pPr>
          </w:p>
          <w:p w:rsidRPr="009C48DA" w:rsidR="00661519" w:rsidP="00661519" w:rsidRDefault="00661519" w14:paraId="536EB623" w14:textId="77777777">
            <w:pPr>
              <w:pBdr>
                <w:bottom w:val="single" w:color="auto" w:sz="8" w:space="1"/>
              </w:pBd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435,621</w:t>
            </w:r>
          </w:p>
        </w:tc>
      </w:tr>
      <w:tr w:rsidRPr="009C48DA" w:rsidR="00661519" w:rsidTr="00661519" w14:paraId="22C264D6" w14:textId="77777777">
        <w:tc>
          <w:tcPr>
            <w:tcW w:w="2127" w:type="dxa"/>
            <w:vAlign w:val="bottom"/>
          </w:tcPr>
          <w:p w:rsidRPr="009C48DA" w:rsidR="00661519" w:rsidP="00661519" w:rsidRDefault="00661519" w14:paraId="27D4DFAA"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Current assets</w:t>
            </w:r>
          </w:p>
        </w:tc>
        <w:tc>
          <w:tcPr>
            <w:tcW w:w="1275" w:type="dxa"/>
          </w:tcPr>
          <w:p w:rsidRPr="009C48DA" w:rsidR="00661519" w:rsidP="00661519" w:rsidRDefault="00661519" w14:paraId="2C955579" w14:textId="77777777">
            <w:pPr>
              <w:ind w:right="108"/>
              <w:jc w:val="center"/>
              <w:textAlignment w:val="baseline"/>
              <w:rPr>
                <w:rFonts w:eastAsia="Times New Roman"/>
                <w:color w:val="000000"/>
                <w:sz w:val="24"/>
                <w:lang w:val="en-GB"/>
              </w:rPr>
            </w:pPr>
          </w:p>
        </w:tc>
        <w:tc>
          <w:tcPr>
            <w:tcW w:w="1134" w:type="dxa"/>
          </w:tcPr>
          <w:p w:rsidRPr="009C48DA" w:rsidR="00661519" w:rsidP="00661519" w:rsidRDefault="00661519" w14:paraId="77FCDF31" w14:textId="77777777">
            <w:pPr>
              <w:ind w:right="108"/>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c>
          <w:tcPr>
            <w:tcW w:w="1418" w:type="dxa"/>
          </w:tcPr>
          <w:p w:rsidRPr="009C48DA" w:rsidR="00661519" w:rsidP="00661519" w:rsidRDefault="00661519" w14:paraId="3B0B4BA5" w14:textId="77777777">
            <w:pPr>
              <w:ind w:right="164"/>
              <w:textAlignment w:val="baseline"/>
              <w:rPr>
                <w:rFonts w:eastAsia="Times New Roman"/>
                <w:color w:val="000000"/>
                <w:sz w:val="24"/>
                <w:lang w:val="en-GB"/>
              </w:rPr>
            </w:pPr>
          </w:p>
        </w:tc>
        <w:tc>
          <w:tcPr>
            <w:tcW w:w="1559" w:type="dxa"/>
          </w:tcPr>
          <w:p w:rsidRPr="009C48DA" w:rsidR="00661519" w:rsidP="00661519" w:rsidRDefault="00661519" w14:paraId="3B61C1B3" w14:textId="77777777">
            <w:pPr>
              <w:ind w:right="164"/>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c>
          <w:tcPr>
            <w:tcW w:w="1559" w:type="dxa"/>
          </w:tcPr>
          <w:p w:rsidRPr="009C48DA" w:rsidR="00661519" w:rsidP="00661519" w:rsidRDefault="00661519" w14:paraId="3050B1D1" w14:textId="77777777">
            <w:pPr>
              <w:ind w:right="139"/>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r>
      <w:tr w:rsidRPr="009C48DA" w:rsidR="00661519" w:rsidTr="00661519" w14:paraId="7EDEE403" w14:textId="77777777">
        <w:tc>
          <w:tcPr>
            <w:tcW w:w="2127" w:type="dxa"/>
            <w:vAlign w:val="bottom"/>
          </w:tcPr>
          <w:p w:rsidRPr="009C48DA" w:rsidR="00661519" w:rsidP="00661519" w:rsidRDefault="00661519" w14:paraId="16A32B47"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Fair value of CLO assets</w:t>
            </w:r>
          </w:p>
        </w:tc>
        <w:tc>
          <w:tcPr>
            <w:tcW w:w="1275" w:type="dxa"/>
          </w:tcPr>
          <w:p w:rsidRPr="009C48DA" w:rsidR="00661519" w:rsidP="00661519" w:rsidRDefault="00661519" w14:paraId="0CC00BDA"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3E93617E"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272,476</w:t>
            </w:r>
          </w:p>
        </w:tc>
        <w:tc>
          <w:tcPr>
            <w:tcW w:w="1418" w:type="dxa"/>
          </w:tcPr>
          <w:p w:rsidRPr="009C48DA" w:rsidR="00661519" w:rsidP="00661519" w:rsidRDefault="00661519" w14:paraId="370FFA90"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7B0C2D57"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1D346A4E"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272,476</w:t>
            </w:r>
          </w:p>
        </w:tc>
      </w:tr>
      <w:tr w:rsidRPr="009C48DA" w:rsidR="00661519" w:rsidTr="00661519" w14:paraId="4A788720" w14:textId="77777777">
        <w:tc>
          <w:tcPr>
            <w:tcW w:w="2127" w:type="dxa"/>
            <w:vAlign w:val="bottom"/>
          </w:tcPr>
          <w:p w:rsidRPr="009C48DA" w:rsidR="00661519" w:rsidP="00661519" w:rsidRDefault="00661519" w14:paraId="47DE3157"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receivables</w:t>
            </w:r>
          </w:p>
        </w:tc>
        <w:tc>
          <w:tcPr>
            <w:tcW w:w="1275" w:type="dxa"/>
          </w:tcPr>
          <w:p w:rsidRPr="009C48DA" w:rsidR="00661519" w:rsidP="00661519" w:rsidRDefault="00661519" w14:paraId="32179FF6"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(e), (f)</w:t>
            </w:r>
          </w:p>
        </w:tc>
        <w:tc>
          <w:tcPr>
            <w:tcW w:w="1134" w:type="dxa"/>
            <w:vAlign w:val="center"/>
          </w:tcPr>
          <w:p w:rsidRPr="009C48DA" w:rsidR="00661519" w:rsidP="00661519" w:rsidRDefault="00661519" w14:paraId="4F607389"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176,182</w:t>
            </w:r>
          </w:p>
        </w:tc>
        <w:tc>
          <w:tcPr>
            <w:tcW w:w="1418" w:type="dxa"/>
          </w:tcPr>
          <w:p w:rsidRPr="009C48DA" w:rsidR="00661519" w:rsidP="00661519" w:rsidRDefault="00661519" w14:paraId="423D4070"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(1,490)</w:t>
            </w:r>
          </w:p>
        </w:tc>
        <w:tc>
          <w:tcPr>
            <w:tcW w:w="1559" w:type="dxa"/>
            <w:vAlign w:val="center"/>
          </w:tcPr>
          <w:p w:rsidRPr="009C48DA" w:rsidR="00661519" w:rsidP="00661519" w:rsidRDefault="00661519" w14:paraId="42DDD138"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2,069</w:t>
            </w:r>
          </w:p>
        </w:tc>
        <w:tc>
          <w:tcPr>
            <w:tcW w:w="1559" w:type="dxa"/>
            <w:vAlign w:val="center"/>
          </w:tcPr>
          <w:p w:rsidRPr="009C48DA" w:rsidR="00661519" w:rsidP="00661519" w:rsidRDefault="00661519" w14:paraId="52B02497"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176,761</w:t>
            </w:r>
          </w:p>
        </w:tc>
      </w:tr>
      <w:tr w:rsidRPr="009C48DA" w:rsidR="00661519" w:rsidTr="00661519" w14:paraId="67AD96C6" w14:textId="77777777">
        <w:tc>
          <w:tcPr>
            <w:tcW w:w="2127" w:type="dxa"/>
            <w:vAlign w:val="bottom"/>
          </w:tcPr>
          <w:p w:rsidRPr="009C48DA" w:rsidR="00661519" w:rsidP="00661519" w:rsidRDefault="00661519" w14:paraId="0CE4C167"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Cash and cash equivalents</w:t>
            </w:r>
          </w:p>
        </w:tc>
        <w:tc>
          <w:tcPr>
            <w:tcW w:w="1275" w:type="dxa"/>
          </w:tcPr>
          <w:p w:rsidRPr="009C48DA" w:rsidR="00661519" w:rsidP="00661519" w:rsidRDefault="00661519" w14:paraId="3EDC39AD"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219D7099"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42,366</w:t>
            </w:r>
          </w:p>
        </w:tc>
        <w:tc>
          <w:tcPr>
            <w:tcW w:w="1418" w:type="dxa"/>
          </w:tcPr>
          <w:p w:rsidRPr="009C48DA" w:rsidR="00661519" w:rsidP="00661519" w:rsidRDefault="00661519" w14:paraId="2FF573C0"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7666623D"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50D3C807"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42,366</w:t>
            </w:r>
          </w:p>
        </w:tc>
      </w:tr>
      <w:tr w:rsidRPr="009C48DA" w:rsidR="00661519" w:rsidTr="00661519" w14:paraId="23F8C0D6" w14:textId="77777777">
        <w:tc>
          <w:tcPr>
            <w:tcW w:w="2127" w:type="dxa"/>
            <w:vAlign w:val="bottom"/>
          </w:tcPr>
          <w:p w:rsidRPr="009C48DA" w:rsidR="00661519" w:rsidP="00661519" w:rsidRDefault="00661519" w14:paraId="097E08CB"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CLO cash</w:t>
            </w:r>
          </w:p>
        </w:tc>
        <w:tc>
          <w:tcPr>
            <w:tcW w:w="1275" w:type="dxa"/>
          </w:tcPr>
          <w:p w:rsidRPr="009C48DA" w:rsidR="00661519" w:rsidP="00661519" w:rsidRDefault="00661519" w14:paraId="43240593"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57F6AA39" w14:textId="77777777">
            <w:pPr>
              <w:pBdr>
                <w:bottom w:val="single" w:color="auto" w:sz="8" w:space="1"/>
              </w:pBdr>
              <w:ind w:right="108"/>
              <w:jc w:val="right"/>
              <w:textAlignment w:val="baseline"/>
              <w:rPr>
                <w:rFonts w:eastAsia="Times New Roman"/>
                <w:color w:val="000000"/>
                <w:sz w:val="16"/>
                <w:lang w:val="en-GB"/>
              </w:rPr>
            </w:pPr>
            <w:r w:rsidRPr="009C48DA">
              <w:rPr>
                <w:rFonts w:eastAsia="Times New Roman"/>
                <w:color w:val="000000"/>
                <w:sz w:val="16"/>
                <w:lang w:val="en-GB"/>
              </w:rPr>
              <w:t>114,750</w:t>
            </w:r>
          </w:p>
        </w:tc>
        <w:tc>
          <w:tcPr>
            <w:tcW w:w="1418" w:type="dxa"/>
          </w:tcPr>
          <w:p w:rsidRPr="009C48DA" w:rsidR="00661519" w:rsidP="00661519" w:rsidRDefault="00661519" w14:paraId="2CED3409"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22F20341"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3973A11E" w14:textId="77777777">
            <w:pPr>
              <w:pBdr>
                <w:bottom w:val="single" w:color="auto" w:sz="8" w:space="1"/>
              </w:pBdr>
              <w:ind w:right="139"/>
              <w:jc w:val="right"/>
              <w:textAlignment w:val="baseline"/>
              <w:rPr>
                <w:rFonts w:eastAsia="Times New Roman"/>
                <w:color w:val="000000"/>
                <w:sz w:val="16"/>
                <w:lang w:val="en-GB"/>
              </w:rPr>
            </w:pPr>
            <w:r w:rsidRPr="009C48DA">
              <w:rPr>
                <w:rFonts w:eastAsia="Times New Roman"/>
                <w:color w:val="000000"/>
                <w:sz w:val="16"/>
                <w:lang w:val="en-GB"/>
              </w:rPr>
              <w:t>114,750</w:t>
            </w:r>
          </w:p>
        </w:tc>
      </w:tr>
      <w:tr w:rsidRPr="009C48DA" w:rsidR="00661519" w:rsidTr="00661519" w14:paraId="7EFD45F3" w14:textId="77777777">
        <w:tc>
          <w:tcPr>
            <w:tcW w:w="2127" w:type="dxa"/>
            <w:vAlign w:val="bottom"/>
          </w:tcPr>
          <w:p w:rsidRPr="009C48DA" w:rsidR="00661519" w:rsidP="00661519" w:rsidRDefault="00661519" w14:paraId="190A896B" w14:textId="77777777">
            <w:pPr>
              <w:textAlignment w:val="baseline"/>
              <w:rPr>
                <w:rFonts w:eastAsia="Times New Roman" w:cs="Times New Roman"/>
                <w:b/>
                <w:color w:val="000000"/>
                <w:sz w:val="16"/>
                <w:szCs w:val="16"/>
                <w:lang w:val="en-GB"/>
              </w:rPr>
            </w:pPr>
          </w:p>
          <w:p w:rsidRPr="009C48DA" w:rsidR="00661519" w:rsidP="00661519" w:rsidRDefault="00661519" w14:paraId="44467FC6"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current assets</w:t>
            </w:r>
          </w:p>
        </w:tc>
        <w:tc>
          <w:tcPr>
            <w:tcW w:w="1275" w:type="dxa"/>
          </w:tcPr>
          <w:p w:rsidRPr="009C48DA" w:rsidR="00661519" w:rsidP="00661519" w:rsidRDefault="00661519" w14:paraId="5FA0A7B8"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314F210D" w14:textId="77777777">
            <w:pPr>
              <w:pBdr>
                <w:bottom w:val="single" w:color="auto" w:sz="8" w:space="1"/>
              </w:pBdr>
              <w:ind w:right="108"/>
              <w:jc w:val="right"/>
              <w:textAlignment w:val="baseline"/>
              <w:rPr>
                <w:rFonts w:eastAsia="Times New Roman"/>
                <w:color w:val="000000"/>
                <w:sz w:val="16"/>
                <w:lang w:val="en-GB"/>
              </w:rPr>
            </w:pPr>
          </w:p>
          <w:p w:rsidRPr="009C48DA" w:rsidR="00661519" w:rsidP="00661519" w:rsidRDefault="00661519" w14:paraId="43B3B615" w14:textId="77777777">
            <w:pPr>
              <w:pBdr>
                <w:bottom w:val="single" w:color="auto" w:sz="8" w:space="1"/>
              </w:pBdr>
              <w:ind w:right="108"/>
              <w:jc w:val="right"/>
              <w:textAlignment w:val="baseline"/>
              <w:rPr>
                <w:rFonts w:eastAsia="Times New Roman"/>
                <w:color w:val="000000"/>
                <w:sz w:val="16"/>
                <w:lang w:val="en-GB"/>
              </w:rPr>
            </w:pPr>
            <w:r w:rsidRPr="009C48DA">
              <w:rPr>
                <w:rFonts w:eastAsia="Times New Roman"/>
                <w:color w:val="000000"/>
                <w:sz w:val="16"/>
                <w:lang w:val="en-GB"/>
              </w:rPr>
              <w:t>605,774</w:t>
            </w:r>
          </w:p>
        </w:tc>
        <w:tc>
          <w:tcPr>
            <w:tcW w:w="1418" w:type="dxa"/>
            <w:vAlign w:val="center"/>
          </w:tcPr>
          <w:p w:rsidRPr="009C48DA" w:rsidR="00661519" w:rsidP="00661519" w:rsidRDefault="00661519" w14:paraId="605D0C9B" w14:textId="77777777">
            <w:pPr>
              <w:pBdr>
                <w:bottom w:val="single" w:color="auto" w:sz="8" w:space="1"/>
              </w:pBdr>
              <w:ind w:right="164"/>
              <w:jc w:val="right"/>
              <w:textAlignment w:val="baseline"/>
              <w:rPr>
                <w:rFonts w:eastAsia="Times New Roman"/>
                <w:color w:val="000000"/>
                <w:sz w:val="16"/>
                <w:lang w:val="en-GB"/>
              </w:rPr>
            </w:pPr>
          </w:p>
          <w:p w:rsidRPr="009C48DA" w:rsidR="00661519" w:rsidP="00661519" w:rsidRDefault="00661519" w14:paraId="6CB9935D"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(1,490)</w:t>
            </w:r>
          </w:p>
        </w:tc>
        <w:tc>
          <w:tcPr>
            <w:tcW w:w="1559" w:type="dxa"/>
            <w:vAlign w:val="center"/>
          </w:tcPr>
          <w:p w:rsidRPr="009C48DA" w:rsidR="00661519" w:rsidP="00661519" w:rsidRDefault="00661519" w14:paraId="265736B2" w14:textId="77777777">
            <w:pPr>
              <w:pBdr>
                <w:bottom w:val="single" w:color="auto" w:sz="8" w:space="1"/>
              </w:pBdr>
              <w:ind w:right="164"/>
              <w:jc w:val="right"/>
              <w:textAlignment w:val="baseline"/>
              <w:rPr>
                <w:rFonts w:eastAsia="Times New Roman"/>
                <w:color w:val="000000"/>
                <w:sz w:val="16"/>
                <w:lang w:val="en-GB"/>
              </w:rPr>
            </w:pPr>
          </w:p>
          <w:p w:rsidRPr="009C48DA" w:rsidR="00661519" w:rsidP="00661519" w:rsidRDefault="00661519" w14:paraId="7ADA1151"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2,069</w:t>
            </w:r>
          </w:p>
        </w:tc>
        <w:tc>
          <w:tcPr>
            <w:tcW w:w="1559" w:type="dxa"/>
            <w:vAlign w:val="center"/>
          </w:tcPr>
          <w:p w:rsidRPr="009C48DA" w:rsidR="00661519" w:rsidP="00661519" w:rsidRDefault="00661519" w14:paraId="1AD75BA5" w14:textId="77777777">
            <w:pPr>
              <w:pBdr>
                <w:bottom w:val="single" w:color="auto" w:sz="8" w:space="1"/>
              </w:pBdr>
              <w:ind w:right="139"/>
              <w:jc w:val="right"/>
              <w:textAlignment w:val="baseline"/>
              <w:rPr>
                <w:rFonts w:eastAsia="Times New Roman"/>
                <w:color w:val="000000"/>
                <w:sz w:val="16"/>
                <w:lang w:val="en-GB"/>
              </w:rPr>
            </w:pPr>
          </w:p>
          <w:p w:rsidRPr="009C48DA" w:rsidR="00661519" w:rsidP="00661519" w:rsidRDefault="00661519" w14:paraId="52E38F4C" w14:textId="77777777">
            <w:pPr>
              <w:pBdr>
                <w:bottom w:val="single" w:color="auto" w:sz="8" w:space="1"/>
              </w:pBd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606,353</w:t>
            </w:r>
          </w:p>
        </w:tc>
      </w:tr>
      <w:tr w:rsidRPr="009C48DA" w:rsidR="00661519" w:rsidTr="00661519" w14:paraId="674658E6" w14:textId="77777777">
        <w:tc>
          <w:tcPr>
            <w:tcW w:w="2127" w:type="dxa"/>
            <w:vAlign w:val="bottom"/>
          </w:tcPr>
          <w:p w:rsidRPr="009C48DA" w:rsidR="00661519" w:rsidP="00661519" w:rsidRDefault="00661519" w14:paraId="55717855" w14:textId="77777777">
            <w:pPr>
              <w:textAlignment w:val="baseline"/>
              <w:rPr>
                <w:rFonts w:eastAsia="Times New Roman" w:cs="Times New Roman"/>
                <w:b/>
                <w:color w:val="000000"/>
                <w:sz w:val="16"/>
                <w:szCs w:val="16"/>
                <w:lang w:val="en-GB"/>
              </w:rPr>
            </w:pPr>
          </w:p>
          <w:p w:rsidRPr="009C48DA" w:rsidR="00661519" w:rsidP="00661519" w:rsidRDefault="00661519" w14:paraId="7D2234DC"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assets</w:t>
            </w:r>
          </w:p>
        </w:tc>
        <w:tc>
          <w:tcPr>
            <w:tcW w:w="1275" w:type="dxa"/>
          </w:tcPr>
          <w:p w:rsidRPr="009C48DA" w:rsidR="00661519" w:rsidP="00661519" w:rsidRDefault="00661519" w14:paraId="2452CFEA"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17FEFE61" w14:textId="77777777">
            <w:pPr>
              <w:pBdr>
                <w:bottom w:val="single" w:color="auto" w:sz="8" w:space="1"/>
              </w:pBdr>
              <w:ind w:right="108"/>
              <w:jc w:val="right"/>
              <w:textAlignment w:val="baseline"/>
              <w:rPr>
                <w:rFonts w:eastAsia="Times New Roman"/>
                <w:color w:val="000000"/>
                <w:sz w:val="16"/>
                <w:lang w:val="en-GB"/>
              </w:rPr>
            </w:pPr>
          </w:p>
          <w:p w:rsidRPr="009C48DA" w:rsidR="00661519" w:rsidP="00661519" w:rsidRDefault="00661519" w14:paraId="2C7195D2" w14:textId="77777777">
            <w:pPr>
              <w:pBdr>
                <w:bottom w:val="single" w:color="auto" w:sz="8" w:space="1"/>
              </w:pBdr>
              <w:ind w:right="108"/>
              <w:jc w:val="right"/>
              <w:textAlignment w:val="baseline"/>
              <w:rPr>
                <w:rFonts w:eastAsia="Times New Roman"/>
                <w:color w:val="000000"/>
                <w:sz w:val="16"/>
                <w:lang w:val="en-GB"/>
              </w:rPr>
            </w:pPr>
            <w:r w:rsidRPr="009C48DA">
              <w:rPr>
                <w:rFonts w:eastAsia="Times New Roman"/>
                <w:color w:val="000000"/>
                <w:sz w:val="16"/>
                <w:lang w:val="en-GB"/>
              </w:rPr>
              <w:t>997,379</w:t>
            </w:r>
          </w:p>
        </w:tc>
        <w:tc>
          <w:tcPr>
            <w:tcW w:w="1418" w:type="dxa"/>
            <w:vAlign w:val="center"/>
          </w:tcPr>
          <w:p w:rsidRPr="009C48DA" w:rsidR="00661519" w:rsidP="00661519" w:rsidRDefault="00661519" w14:paraId="1C8D772D" w14:textId="77777777">
            <w:pPr>
              <w:pBdr>
                <w:bottom w:val="single" w:color="auto" w:sz="8" w:space="1"/>
              </w:pBdr>
              <w:ind w:right="164"/>
              <w:jc w:val="right"/>
              <w:textAlignment w:val="baseline"/>
              <w:rPr>
                <w:rFonts w:eastAsia="Times New Roman"/>
                <w:color w:val="000000"/>
                <w:sz w:val="16"/>
                <w:lang w:val="en-GB"/>
              </w:rPr>
            </w:pPr>
          </w:p>
          <w:p w:rsidRPr="009C48DA" w:rsidR="00661519" w:rsidP="00661519" w:rsidRDefault="00661519" w14:paraId="7A21C3AC"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7C5CA4E0" w14:textId="77777777">
            <w:pPr>
              <w:pBdr>
                <w:bottom w:val="single" w:color="auto" w:sz="8" w:space="1"/>
              </w:pBdr>
              <w:ind w:right="164"/>
              <w:jc w:val="right"/>
              <w:textAlignment w:val="baseline"/>
              <w:rPr>
                <w:rFonts w:eastAsia="Times New Roman"/>
                <w:color w:val="000000"/>
                <w:sz w:val="16"/>
                <w:lang w:val="en-GB"/>
              </w:rPr>
            </w:pPr>
          </w:p>
          <w:p w:rsidRPr="009C48DA" w:rsidR="00661519" w:rsidP="00661519" w:rsidRDefault="00661519" w14:paraId="092E2E46"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44,595</w:t>
            </w:r>
          </w:p>
        </w:tc>
        <w:tc>
          <w:tcPr>
            <w:tcW w:w="1559" w:type="dxa"/>
            <w:vAlign w:val="center"/>
          </w:tcPr>
          <w:p w:rsidRPr="009C48DA" w:rsidR="00661519" w:rsidP="00661519" w:rsidRDefault="00661519" w14:paraId="4BB1E183" w14:textId="77777777">
            <w:pPr>
              <w:pBdr>
                <w:bottom w:val="single" w:color="auto" w:sz="8" w:space="1"/>
              </w:pBdr>
              <w:ind w:right="139"/>
              <w:jc w:val="right"/>
              <w:textAlignment w:val="baseline"/>
              <w:rPr>
                <w:rFonts w:eastAsia="Times New Roman"/>
                <w:color w:val="000000"/>
                <w:sz w:val="16"/>
                <w:lang w:val="en-GB"/>
              </w:rPr>
            </w:pPr>
          </w:p>
          <w:p w:rsidRPr="009C48DA" w:rsidR="00661519" w:rsidP="00661519" w:rsidRDefault="00661519" w14:paraId="02252D45" w14:textId="77777777">
            <w:pPr>
              <w:pBdr>
                <w:bottom w:val="single" w:color="auto" w:sz="8" w:space="1"/>
              </w:pBdr>
              <w:ind w:right="139"/>
              <w:jc w:val="right"/>
              <w:textAlignment w:val="baseline"/>
              <w:rPr>
                <w:rFonts w:eastAsia="Times New Roman"/>
                <w:color w:val="000000"/>
                <w:sz w:val="16"/>
                <w:lang w:val="en-GB"/>
              </w:rPr>
            </w:pPr>
            <w:r w:rsidRPr="009C48DA">
              <w:rPr>
                <w:rFonts w:eastAsia="Times New Roman"/>
                <w:color w:val="000000"/>
                <w:sz w:val="16"/>
                <w:lang w:val="en-GB"/>
              </w:rPr>
              <w:t>1,041,974</w:t>
            </w:r>
          </w:p>
        </w:tc>
      </w:tr>
      <w:tr w:rsidRPr="009C48DA" w:rsidR="00661519" w:rsidTr="00661519" w14:paraId="4BFA9EF8" w14:textId="77777777">
        <w:tc>
          <w:tcPr>
            <w:tcW w:w="2127" w:type="dxa"/>
            <w:vAlign w:val="bottom"/>
          </w:tcPr>
          <w:p w:rsidRPr="009C48DA" w:rsidR="00661519" w:rsidP="00661519" w:rsidRDefault="00661519" w14:paraId="10CD6F8A" w14:textId="77777777">
            <w:pPr>
              <w:textAlignment w:val="baseline"/>
              <w:rPr>
                <w:rFonts w:eastAsia="Times New Roman" w:cs="Times New Roman"/>
                <w:b/>
                <w:color w:val="000000"/>
                <w:sz w:val="16"/>
                <w:szCs w:val="16"/>
                <w:lang w:val="en-GB"/>
              </w:rPr>
            </w:pPr>
          </w:p>
          <w:p w:rsidRPr="009C48DA" w:rsidR="00661519" w:rsidP="00661519" w:rsidRDefault="00661519" w14:paraId="343CAE8A"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Liabilities</w:t>
            </w:r>
          </w:p>
        </w:tc>
        <w:tc>
          <w:tcPr>
            <w:tcW w:w="1275" w:type="dxa"/>
          </w:tcPr>
          <w:p w:rsidRPr="009C48DA" w:rsidR="00661519" w:rsidP="00661519" w:rsidRDefault="00661519" w14:paraId="1700C0D2" w14:textId="77777777">
            <w:pPr>
              <w:ind w:right="108"/>
              <w:jc w:val="center"/>
              <w:textAlignment w:val="baseline"/>
              <w:rPr>
                <w:rFonts w:eastAsia="Times New Roman"/>
                <w:color w:val="000000"/>
                <w:sz w:val="24"/>
                <w:lang w:val="en-GB"/>
              </w:rPr>
            </w:pPr>
          </w:p>
        </w:tc>
        <w:tc>
          <w:tcPr>
            <w:tcW w:w="1134" w:type="dxa"/>
          </w:tcPr>
          <w:p w:rsidRPr="009C48DA" w:rsidR="00661519" w:rsidP="00661519" w:rsidRDefault="00661519" w14:paraId="12F20638" w14:textId="77777777">
            <w:pPr>
              <w:ind w:right="108"/>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c>
          <w:tcPr>
            <w:tcW w:w="1418" w:type="dxa"/>
          </w:tcPr>
          <w:p w:rsidRPr="009C48DA" w:rsidR="00661519" w:rsidP="00661519" w:rsidRDefault="00661519" w14:paraId="69E54238" w14:textId="77777777">
            <w:pPr>
              <w:ind w:right="164"/>
              <w:textAlignment w:val="baseline"/>
              <w:rPr>
                <w:rFonts w:eastAsia="Times New Roman"/>
                <w:color w:val="000000"/>
                <w:sz w:val="24"/>
                <w:lang w:val="en-GB"/>
              </w:rPr>
            </w:pPr>
          </w:p>
        </w:tc>
        <w:tc>
          <w:tcPr>
            <w:tcW w:w="1559" w:type="dxa"/>
          </w:tcPr>
          <w:p w:rsidRPr="009C48DA" w:rsidR="00661519" w:rsidP="00661519" w:rsidRDefault="00661519" w14:paraId="1B2A612C" w14:textId="77777777">
            <w:pPr>
              <w:ind w:right="164"/>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c>
          <w:tcPr>
            <w:tcW w:w="1559" w:type="dxa"/>
          </w:tcPr>
          <w:p w:rsidRPr="009C48DA" w:rsidR="00661519" w:rsidP="00661519" w:rsidRDefault="00661519" w14:paraId="43DE8E01" w14:textId="77777777">
            <w:pPr>
              <w:ind w:right="139"/>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r>
      <w:tr w:rsidRPr="009C48DA" w:rsidR="00661519" w:rsidTr="00661519" w14:paraId="294EE3E1" w14:textId="77777777">
        <w:tc>
          <w:tcPr>
            <w:tcW w:w="2127" w:type="dxa"/>
            <w:vAlign w:val="bottom"/>
          </w:tcPr>
          <w:p w:rsidRPr="009C48DA" w:rsidR="00661519" w:rsidP="00661519" w:rsidRDefault="00661519" w14:paraId="68B16B6E"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Non-current liabilities</w:t>
            </w:r>
          </w:p>
        </w:tc>
        <w:tc>
          <w:tcPr>
            <w:tcW w:w="1275" w:type="dxa"/>
          </w:tcPr>
          <w:p w:rsidRPr="009C48DA" w:rsidR="00661519" w:rsidP="00661519" w:rsidRDefault="00661519" w14:paraId="797344E8" w14:textId="77777777">
            <w:pPr>
              <w:ind w:right="108"/>
              <w:jc w:val="center"/>
              <w:textAlignment w:val="baseline"/>
              <w:rPr>
                <w:rFonts w:eastAsia="Times New Roman"/>
                <w:color w:val="000000"/>
                <w:sz w:val="24"/>
                <w:lang w:val="en-GB"/>
              </w:rPr>
            </w:pPr>
          </w:p>
        </w:tc>
        <w:tc>
          <w:tcPr>
            <w:tcW w:w="1134" w:type="dxa"/>
          </w:tcPr>
          <w:p w:rsidRPr="009C48DA" w:rsidR="00661519" w:rsidP="00661519" w:rsidRDefault="00661519" w14:paraId="56277257" w14:textId="77777777">
            <w:pPr>
              <w:ind w:right="108"/>
              <w:textAlignment w:val="baseline"/>
              <w:rPr>
                <w:rFonts w:eastAsia="Times New Roman"/>
                <w:color w:val="000000"/>
                <w:sz w:val="24"/>
                <w:lang w:val="en-GB"/>
              </w:rPr>
            </w:pPr>
          </w:p>
        </w:tc>
        <w:tc>
          <w:tcPr>
            <w:tcW w:w="1418" w:type="dxa"/>
          </w:tcPr>
          <w:p w:rsidRPr="009C48DA" w:rsidR="00661519" w:rsidP="00661519" w:rsidRDefault="00661519" w14:paraId="425A4966" w14:textId="77777777">
            <w:pPr>
              <w:ind w:right="164"/>
              <w:textAlignment w:val="baseline"/>
              <w:rPr>
                <w:rFonts w:eastAsia="Times New Roman"/>
                <w:color w:val="000000"/>
                <w:sz w:val="24"/>
                <w:lang w:val="en-GB"/>
              </w:rPr>
            </w:pPr>
          </w:p>
        </w:tc>
        <w:tc>
          <w:tcPr>
            <w:tcW w:w="1559" w:type="dxa"/>
          </w:tcPr>
          <w:p w:rsidRPr="009C48DA" w:rsidR="00661519" w:rsidP="00661519" w:rsidRDefault="00661519" w14:paraId="1CBEA712" w14:textId="77777777">
            <w:pPr>
              <w:ind w:right="164"/>
              <w:textAlignment w:val="baseline"/>
              <w:rPr>
                <w:rFonts w:eastAsia="Times New Roman"/>
                <w:color w:val="000000"/>
                <w:sz w:val="24"/>
                <w:lang w:val="en-GB"/>
              </w:rPr>
            </w:pPr>
          </w:p>
        </w:tc>
        <w:tc>
          <w:tcPr>
            <w:tcW w:w="1559" w:type="dxa"/>
          </w:tcPr>
          <w:p w:rsidRPr="009C48DA" w:rsidR="00661519" w:rsidP="00661519" w:rsidRDefault="00661519" w14:paraId="591C2F49" w14:textId="77777777">
            <w:pPr>
              <w:ind w:right="139"/>
              <w:textAlignment w:val="baseline"/>
              <w:rPr>
                <w:rFonts w:eastAsia="Times New Roman"/>
                <w:color w:val="000000"/>
                <w:sz w:val="24"/>
                <w:lang w:val="en-GB"/>
              </w:rPr>
            </w:pPr>
          </w:p>
        </w:tc>
      </w:tr>
      <w:tr w:rsidRPr="009C48DA" w:rsidR="00661519" w:rsidTr="00661519" w14:paraId="0357CE8B" w14:textId="77777777">
        <w:tc>
          <w:tcPr>
            <w:tcW w:w="2127" w:type="dxa"/>
            <w:vAlign w:val="bottom"/>
          </w:tcPr>
          <w:p w:rsidRPr="009C48DA" w:rsidR="00661519" w:rsidP="00661519" w:rsidRDefault="00661519" w14:paraId="5288F8D7"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payables</w:t>
            </w:r>
          </w:p>
        </w:tc>
        <w:tc>
          <w:tcPr>
            <w:tcW w:w="1275" w:type="dxa"/>
          </w:tcPr>
          <w:p w:rsidRPr="009C48DA" w:rsidR="00661519" w:rsidP="00661519" w:rsidRDefault="00661519" w14:paraId="6BBF4298"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236AB00A"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32,151</w:t>
            </w:r>
          </w:p>
        </w:tc>
        <w:tc>
          <w:tcPr>
            <w:tcW w:w="1418" w:type="dxa"/>
          </w:tcPr>
          <w:p w:rsidRPr="009C48DA" w:rsidR="00661519" w:rsidP="00661519" w:rsidRDefault="00661519" w14:paraId="4EF03BFC"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713A0FE8"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5B811D8F"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32,151</w:t>
            </w:r>
          </w:p>
        </w:tc>
      </w:tr>
      <w:tr w:rsidRPr="009C48DA" w:rsidR="00661519" w:rsidTr="00661519" w14:paraId="2CBC6049" w14:textId="77777777">
        <w:tc>
          <w:tcPr>
            <w:tcW w:w="2127" w:type="dxa"/>
            <w:vAlign w:val="bottom"/>
          </w:tcPr>
          <w:p w:rsidRPr="009C48DA" w:rsidR="00661519" w:rsidP="00661519" w:rsidRDefault="00661519" w14:paraId="5A9B6AEF"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Other financial liabilities</w:t>
            </w:r>
          </w:p>
        </w:tc>
        <w:tc>
          <w:tcPr>
            <w:tcW w:w="1275" w:type="dxa"/>
          </w:tcPr>
          <w:p w:rsidRPr="009C48DA" w:rsidR="00661519" w:rsidP="00661519" w:rsidRDefault="00661519" w14:paraId="176234C2"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2D8EB977"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3,821</w:t>
            </w:r>
          </w:p>
        </w:tc>
        <w:tc>
          <w:tcPr>
            <w:tcW w:w="1418" w:type="dxa"/>
          </w:tcPr>
          <w:p w:rsidRPr="009C48DA" w:rsidR="00661519" w:rsidP="00661519" w:rsidRDefault="00661519" w14:paraId="576DCC8A"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2A4CC0D2"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5D8E0756"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3,821</w:t>
            </w:r>
          </w:p>
        </w:tc>
      </w:tr>
      <w:tr w:rsidRPr="009C48DA" w:rsidR="00661519" w:rsidTr="00661519" w14:paraId="3BE7C04B" w14:textId="77777777">
        <w:tc>
          <w:tcPr>
            <w:tcW w:w="2127" w:type="dxa"/>
            <w:vAlign w:val="bottom"/>
          </w:tcPr>
          <w:p w:rsidRPr="009C48DA" w:rsidR="00661519" w:rsidP="00661519" w:rsidRDefault="00661519" w14:paraId="51C69587"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CLO liabilities</w:t>
            </w:r>
          </w:p>
        </w:tc>
        <w:tc>
          <w:tcPr>
            <w:tcW w:w="1275" w:type="dxa"/>
          </w:tcPr>
          <w:p w:rsidRPr="009C48DA" w:rsidR="00661519" w:rsidP="00661519" w:rsidRDefault="00661519" w14:paraId="4A63410C"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5CC33D81"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256,606</w:t>
            </w:r>
          </w:p>
        </w:tc>
        <w:tc>
          <w:tcPr>
            <w:tcW w:w="1418" w:type="dxa"/>
          </w:tcPr>
          <w:p w:rsidRPr="009C48DA" w:rsidR="00661519" w:rsidP="00661519" w:rsidRDefault="00661519" w14:paraId="491B5707"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38E6873A"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7EDE942F"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256,606</w:t>
            </w:r>
          </w:p>
        </w:tc>
      </w:tr>
      <w:tr w:rsidRPr="009C48DA" w:rsidR="00661519" w:rsidTr="00661519" w14:paraId="2640BEEA" w14:textId="77777777">
        <w:tc>
          <w:tcPr>
            <w:tcW w:w="2127" w:type="dxa"/>
            <w:vAlign w:val="bottom"/>
          </w:tcPr>
          <w:p w:rsidRPr="009C48DA" w:rsidR="00661519" w:rsidP="00661519" w:rsidRDefault="00661519" w14:paraId="44C8C268"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Lease liabilities</w:t>
            </w:r>
          </w:p>
        </w:tc>
        <w:tc>
          <w:tcPr>
            <w:tcW w:w="1275" w:type="dxa"/>
          </w:tcPr>
          <w:p w:rsidRPr="009C48DA" w:rsidR="00661519" w:rsidP="00661519" w:rsidRDefault="00661519" w14:paraId="64D6DC5B"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center"/>
          </w:tcPr>
          <w:p w:rsidRPr="009C48DA" w:rsidR="00661519" w:rsidP="00661519" w:rsidRDefault="00661519" w14:paraId="21D08154"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w:t>
            </w:r>
          </w:p>
        </w:tc>
        <w:tc>
          <w:tcPr>
            <w:tcW w:w="1418" w:type="dxa"/>
          </w:tcPr>
          <w:p w:rsidRPr="009C48DA" w:rsidR="00661519" w:rsidP="00661519" w:rsidRDefault="00661519" w14:paraId="56FE2711"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6F2D8FD0"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35,915</w:t>
            </w:r>
          </w:p>
        </w:tc>
        <w:tc>
          <w:tcPr>
            <w:tcW w:w="1559" w:type="dxa"/>
            <w:vAlign w:val="center"/>
          </w:tcPr>
          <w:p w:rsidRPr="009C48DA" w:rsidR="00661519" w:rsidP="00661519" w:rsidRDefault="00661519" w14:paraId="41F31A32"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35,915</w:t>
            </w:r>
          </w:p>
        </w:tc>
      </w:tr>
      <w:tr w:rsidRPr="009C48DA" w:rsidR="00661519" w:rsidTr="00661519" w14:paraId="400CD59C" w14:textId="77777777">
        <w:tc>
          <w:tcPr>
            <w:tcW w:w="2127" w:type="dxa"/>
            <w:vAlign w:val="bottom"/>
          </w:tcPr>
          <w:p w:rsidRPr="009C48DA" w:rsidR="00661519" w:rsidP="00661519" w:rsidRDefault="00661519" w14:paraId="1CE8ED2E"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Deferred tax liabilities</w:t>
            </w:r>
          </w:p>
        </w:tc>
        <w:tc>
          <w:tcPr>
            <w:tcW w:w="1275" w:type="dxa"/>
          </w:tcPr>
          <w:p w:rsidRPr="009C48DA" w:rsidR="00661519" w:rsidP="00661519" w:rsidRDefault="00661519" w14:paraId="2EDFACD8"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(h)</w:t>
            </w:r>
          </w:p>
        </w:tc>
        <w:tc>
          <w:tcPr>
            <w:tcW w:w="1134" w:type="dxa"/>
            <w:vAlign w:val="center"/>
          </w:tcPr>
          <w:p w:rsidRPr="009C48DA" w:rsidR="00661519" w:rsidP="00661519" w:rsidRDefault="00661519" w14:paraId="55F6979C" w14:textId="77777777">
            <w:pPr>
              <w:pBdr>
                <w:bottom w:val="single" w:color="auto" w:sz="8" w:space="1"/>
              </w:pBdr>
              <w:ind w:right="108"/>
              <w:jc w:val="right"/>
              <w:textAlignment w:val="baseline"/>
              <w:rPr>
                <w:rFonts w:eastAsia="Times New Roman"/>
                <w:color w:val="000000"/>
                <w:sz w:val="16"/>
                <w:lang w:val="en-GB"/>
              </w:rPr>
            </w:pPr>
            <w:r w:rsidRPr="009C48DA">
              <w:rPr>
                <w:rFonts w:eastAsia="Times New Roman"/>
                <w:color w:val="000000"/>
                <w:sz w:val="16"/>
                <w:lang w:val="en-GB"/>
              </w:rPr>
              <w:t>17,176</w:t>
            </w:r>
          </w:p>
        </w:tc>
        <w:tc>
          <w:tcPr>
            <w:tcW w:w="1418" w:type="dxa"/>
          </w:tcPr>
          <w:p w:rsidRPr="009C48DA" w:rsidR="00661519" w:rsidP="00661519" w:rsidRDefault="00661519" w14:paraId="70231DE6"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0E3F05C8"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(1,273)</w:t>
            </w:r>
          </w:p>
        </w:tc>
        <w:tc>
          <w:tcPr>
            <w:tcW w:w="1559" w:type="dxa"/>
            <w:vAlign w:val="center"/>
          </w:tcPr>
          <w:p w:rsidRPr="009C48DA" w:rsidR="00661519" w:rsidP="00661519" w:rsidRDefault="00661519" w14:paraId="22CD7BA3" w14:textId="77777777">
            <w:pPr>
              <w:pBdr>
                <w:bottom w:val="single" w:color="auto" w:sz="8" w:space="1"/>
              </w:pBdr>
              <w:ind w:right="139"/>
              <w:jc w:val="right"/>
              <w:textAlignment w:val="baseline"/>
              <w:rPr>
                <w:rFonts w:eastAsia="Times New Roman"/>
                <w:color w:val="000000"/>
                <w:sz w:val="16"/>
                <w:lang w:val="en-GB"/>
              </w:rPr>
            </w:pPr>
            <w:r w:rsidRPr="009C48DA">
              <w:rPr>
                <w:rFonts w:eastAsia="Times New Roman"/>
                <w:color w:val="000000"/>
                <w:sz w:val="16"/>
                <w:lang w:val="en-GB"/>
              </w:rPr>
              <w:t>15,903</w:t>
            </w:r>
          </w:p>
        </w:tc>
      </w:tr>
      <w:tr w:rsidRPr="009C48DA" w:rsidR="00661519" w:rsidTr="00661519" w14:paraId="6A6B32D9" w14:textId="77777777">
        <w:tc>
          <w:tcPr>
            <w:tcW w:w="2127" w:type="dxa"/>
            <w:vAlign w:val="bottom"/>
          </w:tcPr>
          <w:p w:rsidRPr="009C48DA" w:rsidR="00661519" w:rsidP="00661519" w:rsidRDefault="00661519" w14:paraId="476BA0C1"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non-current liabilities</w:t>
            </w:r>
          </w:p>
        </w:tc>
        <w:tc>
          <w:tcPr>
            <w:tcW w:w="1275" w:type="dxa"/>
          </w:tcPr>
          <w:p w:rsidRPr="009C48DA" w:rsidR="00661519" w:rsidP="00661519" w:rsidRDefault="00661519" w14:paraId="0702F936"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181F5214" w14:textId="77777777">
            <w:pPr>
              <w:pBdr>
                <w:bottom w:val="single" w:color="auto" w:sz="8" w:space="1"/>
              </w:pBdr>
              <w:ind w:right="108"/>
              <w:jc w:val="right"/>
              <w:textAlignment w:val="baseline"/>
              <w:rPr>
                <w:rFonts w:eastAsia="Times New Roman"/>
                <w:color w:val="000000"/>
                <w:sz w:val="16"/>
                <w:lang w:val="en-GB"/>
              </w:rPr>
            </w:pPr>
            <w:r w:rsidRPr="009C48DA">
              <w:rPr>
                <w:rFonts w:eastAsia="Times New Roman"/>
                <w:color w:val="000000"/>
                <w:sz w:val="16"/>
                <w:lang w:val="en-GB"/>
              </w:rPr>
              <w:t>309,754</w:t>
            </w:r>
          </w:p>
        </w:tc>
        <w:tc>
          <w:tcPr>
            <w:tcW w:w="1418" w:type="dxa"/>
          </w:tcPr>
          <w:p w:rsidRPr="009C48DA" w:rsidR="00661519" w:rsidP="00661519" w:rsidRDefault="00661519" w14:paraId="049C8B5B"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049ADD7B"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34,642</w:t>
            </w:r>
          </w:p>
        </w:tc>
        <w:tc>
          <w:tcPr>
            <w:tcW w:w="1559" w:type="dxa"/>
            <w:vAlign w:val="center"/>
          </w:tcPr>
          <w:p w:rsidRPr="009C48DA" w:rsidR="00661519" w:rsidP="00661519" w:rsidRDefault="00661519" w14:paraId="442F6CBC" w14:textId="77777777">
            <w:pPr>
              <w:pBdr>
                <w:bottom w:val="single" w:color="auto" w:sz="8" w:space="1"/>
              </w:pBdr>
              <w:ind w:right="139"/>
              <w:jc w:val="right"/>
              <w:textAlignment w:val="baseline"/>
              <w:rPr>
                <w:rFonts w:eastAsia="Times New Roman"/>
                <w:color w:val="000000"/>
                <w:sz w:val="16"/>
                <w:lang w:val="en-GB"/>
              </w:rPr>
            </w:pPr>
            <w:r w:rsidRPr="009C48DA">
              <w:rPr>
                <w:rFonts w:eastAsia="Times New Roman"/>
                <w:color w:val="000000"/>
                <w:sz w:val="16"/>
                <w:lang w:val="en-GB"/>
              </w:rPr>
              <w:t>344,396</w:t>
            </w:r>
          </w:p>
        </w:tc>
      </w:tr>
      <w:tr w:rsidRPr="009C48DA" w:rsidR="00661519" w:rsidTr="00661519" w14:paraId="08FD9977" w14:textId="77777777">
        <w:tc>
          <w:tcPr>
            <w:tcW w:w="2127" w:type="dxa"/>
            <w:vAlign w:val="bottom"/>
          </w:tcPr>
          <w:p w:rsidRPr="009C48DA" w:rsidR="00661519" w:rsidP="00661519" w:rsidRDefault="00661519" w14:paraId="2D8AA4C5" w14:textId="77777777">
            <w:pPr>
              <w:textAlignment w:val="baseline"/>
              <w:rPr>
                <w:rFonts w:eastAsia="Times New Roman" w:cs="Times New Roman"/>
                <w:b/>
                <w:color w:val="000000"/>
                <w:sz w:val="16"/>
                <w:szCs w:val="16"/>
                <w:lang w:val="en-GB"/>
              </w:rPr>
            </w:pPr>
          </w:p>
          <w:p w:rsidRPr="009C48DA" w:rsidR="00661519" w:rsidP="00661519" w:rsidRDefault="00661519" w14:paraId="3ADFEFA9"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Current liabilities</w:t>
            </w:r>
          </w:p>
        </w:tc>
        <w:tc>
          <w:tcPr>
            <w:tcW w:w="1275" w:type="dxa"/>
          </w:tcPr>
          <w:p w:rsidRPr="009C48DA" w:rsidR="00661519" w:rsidP="00661519" w:rsidRDefault="00661519" w14:paraId="3BF9F4EC"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7F35C2FE"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4C86927E" w14:textId="77777777">
            <w:pPr>
              <w:ind w:right="164"/>
              <w:textAlignment w:val="baseline"/>
              <w:rPr>
                <w:rFonts w:eastAsia="Times New Roman"/>
                <w:color w:val="000000"/>
                <w:sz w:val="16"/>
                <w:lang w:val="en-GB"/>
              </w:rPr>
            </w:pPr>
          </w:p>
        </w:tc>
        <w:tc>
          <w:tcPr>
            <w:tcW w:w="1559" w:type="dxa"/>
            <w:vAlign w:val="center"/>
          </w:tcPr>
          <w:p w:rsidRPr="009C48DA" w:rsidR="00661519" w:rsidP="00661519" w:rsidRDefault="00661519" w14:paraId="61AECE4D"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0A2D5AB5" w14:textId="77777777">
            <w:pPr>
              <w:ind w:right="139"/>
              <w:jc w:val="right"/>
              <w:textAlignment w:val="baseline"/>
              <w:rPr>
                <w:rFonts w:eastAsia="Times New Roman" w:cs="Times New Roman"/>
                <w:color w:val="000000"/>
                <w:sz w:val="16"/>
                <w:szCs w:val="16"/>
                <w:lang w:val="en-GB"/>
              </w:rPr>
            </w:pPr>
          </w:p>
        </w:tc>
      </w:tr>
      <w:tr w:rsidRPr="009C48DA" w:rsidR="00661519" w:rsidTr="00661519" w14:paraId="147A51E4" w14:textId="77777777">
        <w:tc>
          <w:tcPr>
            <w:tcW w:w="2127" w:type="dxa"/>
            <w:vAlign w:val="bottom"/>
          </w:tcPr>
          <w:p w:rsidRPr="009C48DA" w:rsidR="00661519" w:rsidP="00661519" w:rsidRDefault="00661519" w14:paraId="03F51731"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Trade and other payables</w:t>
            </w:r>
          </w:p>
        </w:tc>
        <w:tc>
          <w:tcPr>
            <w:tcW w:w="1275" w:type="dxa"/>
          </w:tcPr>
          <w:p w:rsidRPr="009C48DA" w:rsidR="00661519" w:rsidP="00661519" w:rsidRDefault="00661519" w14:paraId="6C8765AD"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(d), (f), (h)</w:t>
            </w:r>
          </w:p>
        </w:tc>
        <w:tc>
          <w:tcPr>
            <w:tcW w:w="1134" w:type="dxa"/>
            <w:vAlign w:val="center"/>
          </w:tcPr>
          <w:p w:rsidRPr="009C48DA" w:rsidR="00661519" w:rsidP="00661519" w:rsidRDefault="00661519" w14:paraId="21548480"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86,163</w:t>
            </w:r>
          </w:p>
        </w:tc>
        <w:tc>
          <w:tcPr>
            <w:tcW w:w="1418" w:type="dxa"/>
            <w:vAlign w:val="center"/>
          </w:tcPr>
          <w:p w:rsidRPr="009C48DA" w:rsidR="00661519" w:rsidP="00661519" w:rsidRDefault="00661519" w14:paraId="426BF6A5"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42E1F11B"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(292)</w:t>
            </w:r>
          </w:p>
        </w:tc>
        <w:tc>
          <w:tcPr>
            <w:tcW w:w="1559" w:type="dxa"/>
            <w:vAlign w:val="center"/>
          </w:tcPr>
          <w:p w:rsidRPr="009C48DA" w:rsidR="00661519" w:rsidP="00661519" w:rsidRDefault="00661519" w14:paraId="70EB787D"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85,871</w:t>
            </w:r>
          </w:p>
        </w:tc>
      </w:tr>
      <w:tr w:rsidRPr="009C48DA" w:rsidR="00661519" w:rsidTr="00661519" w14:paraId="7CE0D2EC" w14:textId="77777777">
        <w:tc>
          <w:tcPr>
            <w:tcW w:w="2127" w:type="dxa"/>
            <w:vAlign w:val="bottom"/>
          </w:tcPr>
          <w:p w:rsidRPr="009C48DA" w:rsidR="00661519" w:rsidP="00661519" w:rsidRDefault="00661519" w14:paraId="33A462AF"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Borrowings</w:t>
            </w:r>
          </w:p>
        </w:tc>
        <w:tc>
          <w:tcPr>
            <w:tcW w:w="1275" w:type="dxa"/>
          </w:tcPr>
          <w:p w:rsidRPr="009C48DA" w:rsidR="00661519" w:rsidP="00661519" w:rsidRDefault="00661519" w14:paraId="446A98A8"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486F5101"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99,708</w:t>
            </w:r>
          </w:p>
        </w:tc>
        <w:tc>
          <w:tcPr>
            <w:tcW w:w="1418" w:type="dxa"/>
            <w:vAlign w:val="center"/>
          </w:tcPr>
          <w:p w:rsidRPr="009C48DA" w:rsidR="00661519" w:rsidP="00661519" w:rsidRDefault="00661519" w14:paraId="71836362"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5888A681"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0D687F1A"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99,708</w:t>
            </w:r>
          </w:p>
        </w:tc>
      </w:tr>
      <w:tr w:rsidRPr="009C48DA" w:rsidR="00661519" w:rsidTr="00661519" w14:paraId="0095CDE3" w14:textId="77777777">
        <w:tc>
          <w:tcPr>
            <w:tcW w:w="2127" w:type="dxa"/>
            <w:vAlign w:val="bottom"/>
          </w:tcPr>
          <w:p w:rsidRPr="009C48DA" w:rsidR="00661519" w:rsidP="00661519" w:rsidRDefault="00661519" w14:paraId="580896B4"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Lease liabilities</w:t>
            </w:r>
          </w:p>
        </w:tc>
        <w:tc>
          <w:tcPr>
            <w:tcW w:w="1275" w:type="dxa"/>
          </w:tcPr>
          <w:p w:rsidRPr="009C48DA" w:rsidR="00661519" w:rsidP="00661519" w:rsidRDefault="00661519" w14:paraId="5C8A51AE"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center"/>
          </w:tcPr>
          <w:p w:rsidRPr="009C48DA" w:rsidR="00661519" w:rsidP="00661519" w:rsidRDefault="00661519" w14:paraId="416C5554"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18" w:type="dxa"/>
            <w:vAlign w:val="center"/>
          </w:tcPr>
          <w:p w:rsidRPr="009C48DA" w:rsidR="00661519" w:rsidP="00661519" w:rsidRDefault="00661519" w14:paraId="74125E8A"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7FC1CAF7"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6,087</w:t>
            </w:r>
          </w:p>
        </w:tc>
        <w:tc>
          <w:tcPr>
            <w:tcW w:w="1559" w:type="dxa"/>
            <w:vAlign w:val="center"/>
          </w:tcPr>
          <w:p w:rsidRPr="009C48DA" w:rsidR="00661519" w:rsidP="00661519" w:rsidRDefault="00661519" w14:paraId="4894693B"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6,087</w:t>
            </w:r>
          </w:p>
        </w:tc>
      </w:tr>
      <w:tr w:rsidRPr="009C48DA" w:rsidR="00661519" w:rsidTr="00661519" w14:paraId="5D4C8EAB" w14:textId="77777777">
        <w:tc>
          <w:tcPr>
            <w:tcW w:w="2127" w:type="dxa"/>
            <w:vAlign w:val="bottom"/>
          </w:tcPr>
          <w:p w:rsidRPr="009C48DA" w:rsidR="00661519" w:rsidP="00661519" w:rsidRDefault="00661519" w14:paraId="0E081B97"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Derivative financial instruments</w:t>
            </w:r>
          </w:p>
        </w:tc>
        <w:tc>
          <w:tcPr>
            <w:tcW w:w="1275" w:type="dxa"/>
          </w:tcPr>
          <w:p w:rsidRPr="009C48DA" w:rsidR="00661519" w:rsidP="00661519" w:rsidRDefault="00661519" w14:paraId="68172414"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5AD00FC2"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4,230</w:t>
            </w:r>
          </w:p>
        </w:tc>
        <w:tc>
          <w:tcPr>
            <w:tcW w:w="1418" w:type="dxa"/>
            <w:vAlign w:val="center"/>
          </w:tcPr>
          <w:p w:rsidRPr="009C48DA" w:rsidR="00661519" w:rsidP="00661519" w:rsidRDefault="00661519" w14:paraId="7AF96AA0"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4D7C8492"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3CF6A609"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4,230</w:t>
            </w:r>
          </w:p>
        </w:tc>
      </w:tr>
      <w:tr w:rsidRPr="009C48DA" w:rsidR="00661519" w:rsidTr="00661519" w14:paraId="3923ABEF" w14:textId="77777777">
        <w:tc>
          <w:tcPr>
            <w:tcW w:w="2127" w:type="dxa"/>
            <w:vAlign w:val="bottom"/>
          </w:tcPr>
          <w:p w:rsidRPr="009C48DA" w:rsidR="00661519" w:rsidP="00661519" w:rsidRDefault="00661519" w14:paraId="5D0A296F"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CLO liabilities</w:t>
            </w:r>
          </w:p>
        </w:tc>
        <w:tc>
          <w:tcPr>
            <w:tcW w:w="1275" w:type="dxa"/>
          </w:tcPr>
          <w:p w:rsidRPr="009C48DA" w:rsidR="00661519" w:rsidP="00661519" w:rsidRDefault="00661519" w14:paraId="69E47611"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7C9255D8"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17,889</w:t>
            </w:r>
          </w:p>
        </w:tc>
        <w:tc>
          <w:tcPr>
            <w:tcW w:w="1418" w:type="dxa"/>
            <w:vAlign w:val="center"/>
          </w:tcPr>
          <w:p w:rsidRPr="009C48DA" w:rsidR="00661519" w:rsidP="00661519" w:rsidRDefault="00661519" w14:paraId="14F44059"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795559FD"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5A6A3FEF"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17,889</w:t>
            </w:r>
          </w:p>
        </w:tc>
      </w:tr>
      <w:tr w:rsidRPr="009C48DA" w:rsidR="00661519" w:rsidTr="00661519" w14:paraId="064F274A" w14:textId="77777777">
        <w:tc>
          <w:tcPr>
            <w:tcW w:w="2127" w:type="dxa"/>
            <w:vAlign w:val="bottom"/>
          </w:tcPr>
          <w:p w:rsidRPr="009C48DA" w:rsidR="00661519" w:rsidP="00661519" w:rsidRDefault="00661519" w14:paraId="2887D02F"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CLO purchases awaiting settlement</w:t>
            </w:r>
          </w:p>
        </w:tc>
        <w:tc>
          <w:tcPr>
            <w:tcW w:w="1275" w:type="dxa"/>
          </w:tcPr>
          <w:p w:rsidRPr="009C48DA" w:rsidR="00661519" w:rsidP="00661519" w:rsidRDefault="00661519" w14:paraId="7D4A652D"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2A1861D7"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93,237</w:t>
            </w:r>
          </w:p>
        </w:tc>
        <w:tc>
          <w:tcPr>
            <w:tcW w:w="1418" w:type="dxa"/>
            <w:vAlign w:val="center"/>
          </w:tcPr>
          <w:p w:rsidRPr="009C48DA" w:rsidR="00661519" w:rsidP="00661519" w:rsidRDefault="00661519" w14:paraId="046E3D91"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143C8998"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71773C3F"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93,237</w:t>
            </w:r>
          </w:p>
        </w:tc>
      </w:tr>
      <w:tr w:rsidRPr="009C48DA" w:rsidR="00661519" w:rsidTr="00661519" w14:paraId="3D4508F3" w14:textId="77777777">
        <w:tc>
          <w:tcPr>
            <w:tcW w:w="2127" w:type="dxa"/>
            <w:vAlign w:val="bottom"/>
          </w:tcPr>
          <w:p w:rsidRPr="009C48DA" w:rsidR="00661519" w:rsidP="00661519" w:rsidRDefault="00661519" w14:paraId="25A2F2AA"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774420BF"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0BA93A0C"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76249F2B" w14:textId="77777777">
            <w:pPr>
              <w:ind w:right="164"/>
              <w:jc w:val="right"/>
              <w:textAlignment w:val="baseline"/>
              <w:rPr>
                <w:rFonts w:eastAsia="Times New Roman"/>
                <w:color w:val="000000"/>
                <w:sz w:val="16"/>
                <w:lang w:val="en-GB"/>
              </w:rPr>
            </w:pPr>
          </w:p>
        </w:tc>
        <w:tc>
          <w:tcPr>
            <w:tcW w:w="1559" w:type="dxa"/>
            <w:vAlign w:val="center"/>
          </w:tcPr>
          <w:p w:rsidRPr="009C48DA" w:rsidR="00661519" w:rsidP="00661519" w:rsidRDefault="00661519" w14:paraId="75FB3964"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41D5AC6F" w14:textId="77777777">
            <w:pPr>
              <w:ind w:right="139"/>
              <w:jc w:val="right"/>
              <w:textAlignment w:val="baseline"/>
              <w:rPr>
                <w:rFonts w:eastAsia="Times New Roman" w:cs="Times New Roman"/>
                <w:color w:val="000000"/>
                <w:sz w:val="16"/>
                <w:szCs w:val="16"/>
                <w:lang w:val="en-GB"/>
              </w:rPr>
            </w:pPr>
          </w:p>
        </w:tc>
      </w:tr>
      <w:tr w:rsidRPr="009C48DA" w:rsidR="00661519" w:rsidTr="00661519" w14:paraId="25E4CDB4" w14:textId="77777777">
        <w:tc>
          <w:tcPr>
            <w:tcW w:w="2127" w:type="dxa"/>
            <w:vAlign w:val="bottom"/>
          </w:tcPr>
          <w:p w:rsidRPr="009C48DA" w:rsidR="00661519" w:rsidP="00661519" w:rsidRDefault="00661519" w14:paraId="1C7517F7"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current liabilities</w:t>
            </w:r>
          </w:p>
        </w:tc>
        <w:tc>
          <w:tcPr>
            <w:tcW w:w="1275" w:type="dxa"/>
          </w:tcPr>
          <w:p w:rsidRPr="009C48DA" w:rsidR="00661519" w:rsidP="00661519" w:rsidRDefault="00661519" w14:paraId="53250F5C"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4FCB11D7"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301,227</w:t>
            </w:r>
          </w:p>
        </w:tc>
        <w:tc>
          <w:tcPr>
            <w:tcW w:w="1418" w:type="dxa"/>
            <w:vAlign w:val="center"/>
          </w:tcPr>
          <w:p w:rsidRPr="009C48DA" w:rsidR="00661519" w:rsidP="00661519" w:rsidRDefault="00661519" w14:paraId="3C7841A4"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6C7B16EE"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5,795</w:t>
            </w:r>
          </w:p>
        </w:tc>
        <w:tc>
          <w:tcPr>
            <w:tcW w:w="1559" w:type="dxa"/>
            <w:vAlign w:val="center"/>
          </w:tcPr>
          <w:p w:rsidRPr="009C48DA" w:rsidR="00661519" w:rsidP="00661519" w:rsidRDefault="00661519" w14:paraId="492B86F2"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307,022</w:t>
            </w:r>
          </w:p>
        </w:tc>
      </w:tr>
      <w:tr w:rsidRPr="009C48DA" w:rsidR="00661519" w:rsidTr="00661519" w14:paraId="0045A3A6" w14:textId="77777777">
        <w:tc>
          <w:tcPr>
            <w:tcW w:w="2127" w:type="dxa"/>
            <w:vAlign w:val="bottom"/>
          </w:tcPr>
          <w:p w:rsidRPr="009C48DA" w:rsidR="00661519" w:rsidP="00661519" w:rsidRDefault="00661519" w14:paraId="55B4396C"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7E0BC590"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24A723A5" w14:textId="77777777">
            <w:pPr>
              <w:pBdr>
                <w:bottom w:val="single" w:color="auto" w:sz="12" w:space="1"/>
              </w:pBd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3B0F2E02" w14:textId="77777777">
            <w:pPr>
              <w:pBdr>
                <w:bottom w:val="single" w:color="auto" w:sz="12" w:space="1"/>
              </w:pBdr>
              <w:ind w:right="164"/>
              <w:jc w:val="right"/>
              <w:textAlignment w:val="baseline"/>
              <w:rPr>
                <w:rFonts w:eastAsia="Times New Roman"/>
                <w:color w:val="000000"/>
                <w:sz w:val="16"/>
                <w:lang w:val="en-GB"/>
              </w:rPr>
            </w:pPr>
          </w:p>
        </w:tc>
        <w:tc>
          <w:tcPr>
            <w:tcW w:w="1559" w:type="dxa"/>
            <w:vAlign w:val="center"/>
          </w:tcPr>
          <w:p w:rsidRPr="009C48DA" w:rsidR="00661519" w:rsidP="00661519" w:rsidRDefault="00661519" w14:paraId="5064DDFD" w14:textId="77777777">
            <w:pPr>
              <w:pBdr>
                <w:bottom w:val="single" w:color="auto" w:sz="12" w:space="1"/>
              </w:pBd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48A515E4" w14:textId="77777777">
            <w:pPr>
              <w:pBdr>
                <w:bottom w:val="single" w:color="auto" w:sz="12" w:space="1"/>
              </w:pBdr>
              <w:ind w:right="139"/>
              <w:jc w:val="right"/>
              <w:textAlignment w:val="baseline"/>
              <w:rPr>
                <w:rFonts w:eastAsia="Times New Roman" w:cs="Times New Roman"/>
                <w:color w:val="000000"/>
                <w:sz w:val="16"/>
                <w:szCs w:val="16"/>
                <w:lang w:val="en-GB"/>
              </w:rPr>
            </w:pPr>
          </w:p>
        </w:tc>
      </w:tr>
      <w:tr w:rsidRPr="009C48DA" w:rsidR="00661519" w:rsidTr="00661519" w14:paraId="52301A5C" w14:textId="77777777">
        <w:tc>
          <w:tcPr>
            <w:tcW w:w="2127" w:type="dxa"/>
            <w:vAlign w:val="bottom"/>
          </w:tcPr>
          <w:p w:rsidRPr="009C48DA" w:rsidR="00661519" w:rsidP="00661519" w:rsidRDefault="00661519" w14:paraId="0AA3C64A"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liabilities</w:t>
            </w:r>
          </w:p>
        </w:tc>
        <w:tc>
          <w:tcPr>
            <w:tcW w:w="1275" w:type="dxa"/>
          </w:tcPr>
          <w:p w:rsidRPr="009C48DA" w:rsidR="00661519" w:rsidP="00661519" w:rsidRDefault="00661519" w14:paraId="47FAB417"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77DBA8D7"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610,981</w:t>
            </w:r>
          </w:p>
        </w:tc>
        <w:tc>
          <w:tcPr>
            <w:tcW w:w="1418" w:type="dxa"/>
            <w:vAlign w:val="center"/>
          </w:tcPr>
          <w:p w:rsidRPr="009C48DA" w:rsidR="00661519" w:rsidP="00661519" w:rsidRDefault="00661519" w14:paraId="40E93080"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4CF663A9"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40,437</w:t>
            </w:r>
          </w:p>
        </w:tc>
        <w:tc>
          <w:tcPr>
            <w:tcW w:w="1559" w:type="dxa"/>
            <w:vAlign w:val="center"/>
          </w:tcPr>
          <w:p w:rsidRPr="009C48DA" w:rsidR="00661519" w:rsidP="00661519" w:rsidRDefault="00661519" w14:paraId="235A16F9"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651,418</w:t>
            </w:r>
          </w:p>
        </w:tc>
      </w:tr>
      <w:tr w:rsidRPr="009C48DA" w:rsidR="00661519" w:rsidTr="00661519" w14:paraId="2B35B5D6" w14:textId="77777777">
        <w:tc>
          <w:tcPr>
            <w:tcW w:w="2127" w:type="dxa"/>
            <w:vAlign w:val="bottom"/>
          </w:tcPr>
          <w:p w:rsidRPr="009C48DA" w:rsidR="00661519" w:rsidP="00661519" w:rsidRDefault="00661519" w14:paraId="1A701557"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58EF5CE2"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71CB1F5E"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187F4E1D" w14:textId="77777777">
            <w:pPr>
              <w:ind w:right="164"/>
              <w:jc w:val="right"/>
              <w:textAlignment w:val="baseline"/>
              <w:rPr>
                <w:rFonts w:eastAsia="Times New Roman"/>
                <w:color w:val="000000"/>
                <w:sz w:val="16"/>
                <w:lang w:val="en-GB"/>
              </w:rPr>
            </w:pPr>
          </w:p>
        </w:tc>
        <w:tc>
          <w:tcPr>
            <w:tcW w:w="1559" w:type="dxa"/>
            <w:vAlign w:val="center"/>
          </w:tcPr>
          <w:p w:rsidRPr="009C48DA" w:rsidR="00661519" w:rsidP="00661519" w:rsidRDefault="00661519" w14:paraId="66E476D7"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65AFFACF" w14:textId="77777777">
            <w:pPr>
              <w:ind w:right="139"/>
              <w:jc w:val="right"/>
              <w:textAlignment w:val="baseline"/>
              <w:rPr>
                <w:rFonts w:eastAsia="Times New Roman" w:cs="Times New Roman"/>
                <w:color w:val="000000"/>
                <w:sz w:val="16"/>
                <w:szCs w:val="16"/>
                <w:lang w:val="en-GB"/>
              </w:rPr>
            </w:pPr>
          </w:p>
        </w:tc>
      </w:tr>
      <w:tr w:rsidRPr="009C48DA" w:rsidR="00661519" w:rsidTr="00661519" w14:paraId="59E5044E" w14:textId="77777777">
        <w:tc>
          <w:tcPr>
            <w:tcW w:w="2127" w:type="dxa"/>
            <w:vAlign w:val="bottom"/>
          </w:tcPr>
          <w:p w:rsidRPr="009C48DA" w:rsidR="00661519" w:rsidP="00661519" w:rsidRDefault="00661519" w14:paraId="468D9607"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Net assets</w:t>
            </w:r>
          </w:p>
        </w:tc>
        <w:tc>
          <w:tcPr>
            <w:tcW w:w="1275" w:type="dxa"/>
          </w:tcPr>
          <w:p w:rsidRPr="009C48DA" w:rsidR="00661519" w:rsidP="00661519" w:rsidRDefault="00661519" w14:paraId="40C168BA"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56DB8DC5" w14:textId="77777777">
            <w:pPr>
              <w:pBdr>
                <w:bottom w:val="doub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386,398</w:t>
            </w:r>
          </w:p>
        </w:tc>
        <w:tc>
          <w:tcPr>
            <w:tcW w:w="1418" w:type="dxa"/>
            <w:vAlign w:val="center"/>
          </w:tcPr>
          <w:p w:rsidRPr="009C48DA" w:rsidR="00661519" w:rsidP="00661519" w:rsidRDefault="00661519" w14:paraId="3FDAB57A" w14:textId="77777777">
            <w:pPr>
              <w:pBdr>
                <w:bottom w:val="doub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4470ED46" w14:textId="77777777">
            <w:pPr>
              <w:pBdr>
                <w:bottom w:val="doub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4,158</w:t>
            </w:r>
          </w:p>
        </w:tc>
        <w:tc>
          <w:tcPr>
            <w:tcW w:w="1559" w:type="dxa"/>
            <w:vAlign w:val="center"/>
          </w:tcPr>
          <w:p w:rsidRPr="009C48DA" w:rsidR="00661519" w:rsidP="00661519" w:rsidRDefault="00661519" w14:paraId="3B4B7C1C" w14:textId="77777777">
            <w:pPr>
              <w:pBdr>
                <w:bottom w:val="doub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390,556</w:t>
            </w:r>
          </w:p>
        </w:tc>
      </w:tr>
      <w:tr w:rsidRPr="009C48DA" w:rsidR="00661519" w:rsidTr="00661519" w14:paraId="4B896BE0" w14:textId="77777777">
        <w:tc>
          <w:tcPr>
            <w:tcW w:w="2127" w:type="dxa"/>
            <w:vAlign w:val="bottom"/>
          </w:tcPr>
          <w:p w:rsidRPr="009C48DA" w:rsidR="00661519" w:rsidP="00661519" w:rsidRDefault="00661519" w14:paraId="41E2FEC6"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3C54D4FC"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1D7BA655"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2BA8DC1A" w14:textId="77777777">
            <w:pPr>
              <w:ind w:right="164"/>
              <w:jc w:val="right"/>
              <w:textAlignment w:val="baseline"/>
              <w:rPr>
                <w:rFonts w:eastAsia="Times New Roman"/>
                <w:color w:val="000000"/>
                <w:sz w:val="16"/>
                <w:lang w:val="en-GB"/>
              </w:rPr>
            </w:pPr>
          </w:p>
        </w:tc>
        <w:tc>
          <w:tcPr>
            <w:tcW w:w="1559" w:type="dxa"/>
            <w:vAlign w:val="center"/>
          </w:tcPr>
          <w:p w:rsidRPr="009C48DA" w:rsidR="00661519" w:rsidP="00661519" w:rsidRDefault="00661519" w14:paraId="0810A764"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01F267EC" w14:textId="77777777">
            <w:pPr>
              <w:ind w:right="139"/>
              <w:jc w:val="right"/>
              <w:textAlignment w:val="baseline"/>
              <w:rPr>
                <w:rFonts w:eastAsia="Times New Roman" w:cs="Times New Roman"/>
                <w:color w:val="000000"/>
                <w:sz w:val="16"/>
                <w:szCs w:val="16"/>
                <w:lang w:val="en-GB"/>
              </w:rPr>
            </w:pPr>
          </w:p>
        </w:tc>
      </w:tr>
      <w:tr w:rsidRPr="009C48DA" w:rsidR="00661519" w:rsidTr="00661519" w14:paraId="326301D1" w14:textId="77777777">
        <w:tc>
          <w:tcPr>
            <w:tcW w:w="2127" w:type="dxa"/>
            <w:vAlign w:val="bottom"/>
          </w:tcPr>
          <w:p w:rsidRPr="009C48DA" w:rsidR="00661519" w:rsidP="00661519" w:rsidRDefault="00661519" w14:paraId="71FC517B"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Equity</w:t>
            </w:r>
          </w:p>
        </w:tc>
        <w:tc>
          <w:tcPr>
            <w:tcW w:w="1275" w:type="dxa"/>
          </w:tcPr>
          <w:p w:rsidRPr="009C48DA" w:rsidR="00661519" w:rsidP="00661519" w:rsidRDefault="00661519" w14:paraId="77CEDC1C"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55DF04E6"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67CBC697" w14:textId="77777777">
            <w:pPr>
              <w:ind w:right="164"/>
              <w:jc w:val="right"/>
              <w:textAlignment w:val="baseline"/>
              <w:rPr>
                <w:rFonts w:eastAsia="Times New Roman"/>
                <w:color w:val="000000"/>
                <w:sz w:val="16"/>
                <w:lang w:val="en-GB"/>
              </w:rPr>
            </w:pPr>
          </w:p>
        </w:tc>
        <w:tc>
          <w:tcPr>
            <w:tcW w:w="1559" w:type="dxa"/>
            <w:vAlign w:val="center"/>
          </w:tcPr>
          <w:p w:rsidRPr="009C48DA" w:rsidR="00661519" w:rsidP="00661519" w:rsidRDefault="00661519" w14:paraId="0F8E834C"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694FB86C" w14:textId="77777777">
            <w:pPr>
              <w:ind w:right="139"/>
              <w:jc w:val="right"/>
              <w:textAlignment w:val="baseline"/>
              <w:rPr>
                <w:rFonts w:eastAsia="Times New Roman" w:cs="Times New Roman"/>
                <w:color w:val="000000"/>
                <w:sz w:val="16"/>
                <w:szCs w:val="16"/>
                <w:lang w:val="en-GB"/>
              </w:rPr>
            </w:pPr>
          </w:p>
        </w:tc>
      </w:tr>
      <w:tr w:rsidRPr="009C48DA" w:rsidR="00661519" w:rsidTr="00661519" w14:paraId="39100090" w14:textId="77777777">
        <w:tc>
          <w:tcPr>
            <w:tcW w:w="2127" w:type="dxa"/>
            <w:vAlign w:val="bottom"/>
          </w:tcPr>
          <w:p w:rsidRPr="009C48DA" w:rsidR="00661519" w:rsidP="00661519" w:rsidRDefault="00661519" w14:paraId="1B498F10"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Share capital and premium</w:t>
            </w:r>
          </w:p>
        </w:tc>
        <w:tc>
          <w:tcPr>
            <w:tcW w:w="1275" w:type="dxa"/>
          </w:tcPr>
          <w:p w:rsidRPr="009C48DA" w:rsidR="00661519" w:rsidP="00661519" w:rsidRDefault="00661519" w14:paraId="70020E02"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19E06195"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241,419</w:t>
            </w:r>
          </w:p>
        </w:tc>
        <w:tc>
          <w:tcPr>
            <w:tcW w:w="1418" w:type="dxa"/>
            <w:vAlign w:val="center"/>
          </w:tcPr>
          <w:p w:rsidRPr="009C48DA" w:rsidR="00661519" w:rsidP="00661519" w:rsidRDefault="00661519" w14:paraId="500C5889"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04AD5D95"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09EBE07E"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241,419</w:t>
            </w:r>
          </w:p>
        </w:tc>
      </w:tr>
      <w:tr w:rsidRPr="009C48DA" w:rsidR="00661519" w:rsidTr="00661519" w14:paraId="1CE4D743" w14:textId="77777777">
        <w:tc>
          <w:tcPr>
            <w:tcW w:w="2127" w:type="dxa"/>
            <w:vAlign w:val="bottom"/>
          </w:tcPr>
          <w:p w:rsidRPr="009C48DA" w:rsidR="00661519" w:rsidP="00661519" w:rsidRDefault="00661519" w14:paraId="35F27665"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Capital redemption reserve</w:t>
            </w:r>
          </w:p>
        </w:tc>
        <w:tc>
          <w:tcPr>
            <w:tcW w:w="1275" w:type="dxa"/>
          </w:tcPr>
          <w:p w:rsidRPr="009C48DA" w:rsidR="00661519" w:rsidP="00661519" w:rsidRDefault="00661519" w14:paraId="31B4D19D"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22</w:t>
            </w:r>
          </w:p>
        </w:tc>
        <w:tc>
          <w:tcPr>
            <w:tcW w:w="1134" w:type="dxa"/>
            <w:vAlign w:val="center"/>
          </w:tcPr>
          <w:p w:rsidRPr="009C48DA" w:rsidR="00661519" w:rsidP="00661519" w:rsidRDefault="00661519" w14:paraId="00DA5479"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c>
          <w:tcPr>
            <w:tcW w:w="1418" w:type="dxa"/>
            <w:vAlign w:val="center"/>
          </w:tcPr>
          <w:p w:rsidRPr="009C48DA" w:rsidR="00661519" w:rsidP="00661519" w:rsidRDefault="00661519" w14:paraId="52E750AA"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0F0E7822"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39235E49"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24,619</w:t>
            </w:r>
          </w:p>
        </w:tc>
      </w:tr>
      <w:tr w:rsidRPr="009C48DA" w:rsidR="00661519" w:rsidTr="00661519" w14:paraId="0F610B2E" w14:textId="77777777">
        <w:tc>
          <w:tcPr>
            <w:tcW w:w="2127" w:type="dxa"/>
            <w:vAlign w:val="bottom"/>
          </w:tcPr>
          <w:p w:rsidRPr="009C48DA" w:rsidR="00661519" w:rsidP="00661519" w:rsidRDefault="00661519" w14:paraId="1222D66C"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Cash flow hedge reserve</w:t>
            </w:r>
          </w:p>
        </w:tc>
        <w:tc>
          <w:tcPr>
            <w:tcW w:w="1275" w:type="dxa"/>
          </w:tcPr>
          <w:p w:rsidRPr="009C48DA" w:rsidR="00661519" w:rsidP="00661519" w:rsidRDefault="00661519" w14:paraId="5D889FBC"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5D64D978"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(2,249)</w:t>
            </w:r>
          </w:p>
        </w:tc>
        <w:tc>
          <w:tcPr>
            <w:tcW w:w="1418" w:type="dxa"/>
            <w:vAlign w:val="center"/>
          </w:tcPr>
          <w:p w:rsidRPr="009C48DA" w:rsidR="00661519" w:rsidP="00661519" w:rsidRDefault="00661519" w14:paraId="00F7B933"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3A887C85"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211DCD7D"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(2,249)</w:t>
            </w:r>
          </w:p>
        </w:tc>
      </w:tr>
      <w:tr w:rsidRPr="009C48DA" w:rsidR="00661519" w:rsidTr="00661519" w14:paraId="6AC966CE" w14:textId="77777777">
        <w:tc>
          <w:tcPr>
            <w:tcW w:w="2127" w:type="dxa"/>
            <w:vAlign w:val="bottom"/>
          </w:tcPr>
          <w:p w:rsidRPr="009C48DA" w:rsidR="00661519" w:rsidP="00661519" w:rsidRDefault="00661519" w14:paraId="18F6A43A"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Net exchange difference reserve</w:t>
            </w:r>
          </w:p>
        </w:tc>
        <w:tc>
          <w:tcPr>
            <w:tcW w:w="1275" w:type="dxa"/>
          </w:tcPr>
          <w:p w:rsidRPr="009C48DA" w:rsidR="00661519" w:rsidP="00661519" w:rsidRDefault="00661519" w14:paraId="4907079B"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(i)</w:t>
            </w:r>
          </w:p>
        </w:tc>
        <w:tc>
          <w:tcPr>
            <w:tcW w:w="1134" w:type="dxa"/>
            <w:vAlign w:val="center"/>
          </w:tcPr>
          <w:p w:rsidRPr="009C48DA" w:rsidR="00661519" w:rsidP="00661519" w:rsidRDefault="00661519" w14:paraId="2DBBAA8A"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418" w:type="dxa"/>
            <w:vAlign w:val="center"/>
          </w:tcPr>
          <w:p w:rsidRPr="009C48DA" w:rsidR="00661519" w:rsidP="00661519" w:rsidRDefault="00661519" w14:paraId="138A32D2"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5,344</w:t>
            </w:r>
          </w:p>
        </w:tc>
        <w:tc>
          <w:tcPr>
            <w:tcW w:w="1559" w:type="dxa"/>
            <w:vAlign w:val="center"/>
          </w:tcPr>
          <w:p w:rsidRPr="009C48DA" w:rsidR="00661519" w:rsidP="00661519" w:rsidRDefault="00661519" w14:paraId="37CC6F17"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w:t>
            </w:r>
          </w:p>
        </w:tc>
        <w:tc>
          <w:tcPr>
            <w:tcW w:w="1559" w:type="dxa"/>
            <w:vAlign w:val="center"/>
          </w:tcPr>
          <w:p w:rsidRPr="009C48DA" w:rsidR="00661519" w:rsidP="00661519" w:rsidRDefault="00661519" w14:paraId="38CEA62A"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5,344</w:t>
            </w:r>
          </w:p>
        </w:tc>
      </w:tr>
      <w:tr w:rsidRPr="009C48DA" w:rsidR="00661519" w:rsidTr="00661519" w14:paraId="4F3D13E1" w14:textId="77777777">
        <w:tc>
          <w:tcPr>
            <w:tcW w:w="2127" w:type="dxa"/>
            <w:vAlign w:val="bottom"/>
          </w:tcPr>
          <w:p w:rsidRPr="009C48DA" w:rsidR="00661519" w:rsidP="00661519" w:rsidRDefault="00661519" w14:paraId="4B79ECF7"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Retained earnings</w:t>
            </w:r>
          </w:p>
        </w:tc>
        <w:tc>
          <w:tcPr>
            <w:tcW w:w="1275" w:type="dxa"/>
          </w:tcPr>
          <w:p w:rsidRPr="009C48DA" w:rsidR="00661519" w:rsidP="00661519" w:rsidRDefault="00661519" w14:paraId="1F848A96"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(i)</w:t>
            </w:r>
          </w:p>
        </w:tc>
        <w:tc>
          <w:tcPr>
            <w:tcW w:w="1134" w:type="dxa"/>
            <w:vAlign w:val="center"/>
          </w:tcPr>
          <w:p w:rsidRPr="009C48DA" w:rsidR="00661519" w:rsidP="00661519" w:rsidRDefault="00661519" w14:paraId="3AC56194"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41,808</w:t>
            </w:r>
          </w:p>
        </w:tc>
        <w:tc>
          <w:tcPr>
            <w:tcW w:w="1418" w:type="dxa"/>
            <w:vAlign w:val="center"/>
          </w:tcPr>
          <w:p w:rsidRPr="009C48DA" w:rsidR="00661519" w:rsidP="00661519" w:rsidRDefault="00661519" w14:paraId="413D3060"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(5,344)</w:t>
            </w:r>
          </w:p>
        </w:tc>
        <w:tc>
          <w:tcPr>
            <w:tcW w:w="1559" w:type="dxa"/>
            <w:vAlign w:val="center"/>
          </w:tcPr>
          <w:p w:rsidRPr="009C48DA" w:rsidR="00661519" w:rsidP="00661519" w:rsidRDefault="00661519" w14:paraId="6375A2E6"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3,245</w:t>
            </w:r>
          </w:p>
        </w:tc>
        <w:tc>
          <w:tcPr>
            <w:tcW w:w="1559" w:type="dxa"/>
            <w:vAlign w:val="center"/>
          </w:tcPr>
          <w:p w:rsidRPr="009C48DA" w:rsidR="00661519" w:rsidP="00661519" w:rsidRDefault="00661519" w14:paraId="32F72B18"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39,709</w:t>
            </w:r>
          </w:p>
        </w:tc>
      </w:tr>
      <w:tr w:rsidRPr="009C48DA" w:rsidR="00661519" w:rsidTr="00661519" w14:paraId="77C3AFC0" w14:textId="77777777">
        <w:tc>
          <w:tcPr>
            <w:tcW w:w="2127" w:type="dxa"/>
            <w:vAlign w:val="bottom"/>
          </w:tcPr>
          <w:p w:rsidRPr="009C48DA" w:rsidR="00661519" w:rsidP="00661519" w:rsidRDefault="00661519" w14:paraId="7530889C"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61F5BBC3"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2B3101AE" w14:textId="77777777">
            <w:pPr>
              <w:ind w:right="108"/>
              <w:jc w:val="right"/>
              <w:textAlignment w:val="baseline"/>
              <w:rPr>
                <w:rFonts w:eastAsia="Times New Roman" w:cs="Times New Roman"/>
                <w:color w:val="000000"/>
                <w:sz w:val="16"/>
                <w:szCs w:val="16"/>
                <w:lang w:val="en-GB"/>
              </w:rPr>
            </w:pPr>
          </w:p>
        </w:tc>
        <w:tc>
          <w:tcPr>
            <w:tcW w:w="1418" w:type="dxa"/>
            <w:vAlign w:val="center"/>
          </w:tcPr>
          <w:p w:rsidRPr="009C48DA" w:rsidR="00661519" w:rsidP="00661519" w:rsidRDefault="00661519" w14:paraId="121A41E3" w14:textId="77777777">
            <w:pPr>
              <w:ind w:right="164"/>
              <w:jc w:val="right"/>
              <w:textAlignment w:val="baseline"/>
              <w:rPr>
                <w:rFonts w:eastAsia="Times New Roman"/>
                <w:color w:val="000000"/>
                <w:sz w:val="16"/>
                <w:lang w:val="en-GB"/>
              </w:rPr>
            </w:pPr>
          </w:p>
        </w:tc>
        <w:tc>
          <w:tcPr>
            <w:tcW w:w="1559" w:type="dxa"/>
            <w:vAlign w:val="center"/>
          </w:tcPr>
          <w:p w:rsidRPr="009C48DA" w:rsidR="00661519" w:rsidP="00661519" w:rsidRDefault="00661519" w14:paraId="145E547E" w14:textId="77777777">
            <w:pPr>
              <w:ind w:right="164"/>
              <w:jc w:val="right"/>
              <w:textAlignment w:val="baseline"/>
              <w:rPr>
                <w:rFonts w:eastAsia="Times New Roman" w:cs="Times New Roman"/>
                <w:color w:val="000000"/>
                <w:sz w:val="16"/>
                <w:szCs w:val="16"/>
                <w:lang w:val="en-GB"/>
              </w:rPr>
            </w:pPr>
          </w:p>
        </w:tc>
        <w:tc>
          <w:tcPr>
            <w:tcW w:w="1559" w:type="dxa"/>
            <w:vAlign w:val="center"/>
          </w:tcPr>
          <w:p w:rsidRPr="009C48DA" w:rsidR="00661519" w:rsidP="00661519" w:rsidRDefault="00661519" w14:paraId="01DC3401" w14:textId="77777777">
            <w:pPr>
              <w:ind w:right="139"/>
              <w:jc w:val="right"/>
              <w:textAlignment w:val="baseline"/>
              <w:rPr>
                <w:rFonts w:eastAsia="Times New Roman" w:cs="Times New Roman"/>
                <w:color w:val="000000"/>
                <w:sz w:val="16"/>
                <w:szCs w:val="16"/>
                <w:lang w:val="en-GB"/>
              </w:rPr>
            </w:pPr>
          </w:p>
        </w:tc>
      </w:tr>
      <w:tr w:rsidRPr="009C48DA" w:rsidR="00661519" w:rsidTr="00661519" w14:paraId="6A999AAE" w14:textId="77777777">
        <w:tc>
          <w:tcPr>
            <w:tcW w:w="2127" w:type="dxa"/>
            <w:vAlign w:val="center"/>
          </w:tcPr>
          <w:p w:rsidRPr="009C48DA" w:rsidR="00661519" w:rsidP="00661519" w:rsidRDefault="00661519" w14:paraId="293A4B18"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Capital and reserves attributable to equity shareholders of the company</w:t>
            </w:r>
          </w:p>
        </w:tc>
        <w:tc>
          <w:tcPr>
            <w:tcW w:w="1275" w:type="dxa"/>
          </w:tcPr>
          <w:p w:rsidRPr="009C48DA" w:rsidR="00661519" w:rsidP="00661519" w:rsidRDefault="00661519" w14:paraId="3C5FA951"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3CEF5AD9"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305,597</w:t>
            </w:r>
          </w:p>
        </w:tc>
        <w:tc>
          <w:tcPr>
            <w:tcW w:w="1418" w:type="dxa"/>
            <w:vAlign w:val="center"/>
          </w:tcPr>
          <w:p w:rsidRPr="009C48DA" w:rsidR="00661519" w:rsidP="00661519" w:rsidRDefault="00661519" w14:paraId="457D092E"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68D5F516"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3,245</w:t>
            </w:r>
          </w:p>
        </w:tc>
        <w:tc>
          <w:tcPr>
            <w:tcW w:w="1559" w:type="dxa"/>
            <w:vAlign w:val="center"/>
          </w:tcPr>
          <w:p w:rsidRPr="009C48DA" w:rsidR="00661519" w:rsidP="00661519" w:rsidRDefault="00661519" w14:paraId="732842DA"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308,842</w:t>
            </w:r>
          </w:p>
        </w:tc>
      </w:tr>
      <w:tr w:rsidRPr="009C48DA" w:rsidR="00661519" w:rsidTr="00661519" w14:paraId="1DD3A0C6" w14:textId="77777777">
        <w:tc>
          <w:tcPr>
            <w:tcW w:w="2127" w:type="dxa"/>
            <w:vAlign w:val="bottom"/>
          </w:tcPr>
          <w:p w:rsidRPr="009C48DA" w:rsidR="00661519" w:rsidP="00661519" w:rsidRDefault="00661519" w14:paraId="21CFFE39" w14:textId="77777777">
            <w:pPr>
              <w:textAlignment w:val="baseline"/>
              <w:rPr>
                <w:rFonts w:eastAsia="Times New Roman" w:cs="Times New Roman"/>
                <w:b/>
                <w:color w:val="000000"/>
                <w:sz w:val="16"/>
                <w:szCs w:val="16"/>
                <w:lang w:val="en-GB"/>
              </w:rPr>
            </w:pPr>
            <w:r w:rsidRPr="009C48DA">
              <w:rPr>
                <w:rFonts w:eastAsia="Times New Roman" w:cs="Times New Roman"/>
                <w:color w:val="000000"/>
                <w:sz w:val="16"/>
                <w:szCs w:val="16"/>
                <w:lang w:val="en-GB"/>
              </w:rPr>
              <w:t>Non-controlling interests</w:t>
            </w:r>
          </w:p>
        </w:tc>
        <w:tc>
          <w:tcPr>
            <w:tcW w:w="1275" w:type="dxa"/>
          </w:tcPr>
          <w:p w:rsidRPr="009C48DA" w:rsidR="00661519" w:rsidP="00661519" w:rsidRDefault="00661519" w14:paraId="43589198"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37D65999" w14:textId="77777777">
            <w:pPr>
              <w:pBdr>
                <w:bottom w:val="single" w:color="auto" w:sz="8"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80,801</w:t>
            </w:r>
          </w:p>
        </w:tc>
        <w:tc>
          <w:tcPr>
            <w:tcW w:w="1418" w:type="dxa"/>
            <w:vAlign w:val="center"/>
          </w:tcPr>
          <w:p w:rsidRPr="009C48DA" w:rsidR="00661519" w:rsidP="00661519" w:rsidRDefault="00661519" w14:paraId="35381335"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43459CD0" w14:textId="77777777">
            <w:pPr>
              <w:pBdr>
                <w:bottom w:val="single" w:color="auto" w:sz="8"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913</w:t>
            </w:r>
          </w:p>
        </w:tc>
        <w:tc>
          <w:tcPr>
            <w:tcW w:w="1559" w:type="dxa"/>
            <w:vAlign w:val="center"/>
          </w:tcPr>
          <w:p w:rsidRPr="009C48DA" w:rsidR="00661519" w:rsidP="00661519" w:rsidRDefault="00661519" w14:paraId="609DB91E" w14:textId="77777777">
            <w:pPr>
              <w:pBdr>
                <w:bottom w:val="single" w:color="auto" w:sz="8"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81,714</w:t>
            </w:r>
          </w:p>
        </w:tc>
      </w:tr>
      <w:tr w:rsidRPr="009C48DA" w:rsidR="00661519" w:rsidTr="00661519" w14:paraId="3215B374" w14:textId="77777777">
        <w:tc>
          <w:tcPr>
            <w:tcW w:w="2127" w:type="dxa"/>
            <w:vAlign w:val="bottom"/>
          </w:tcPr>
          <w:p w:rsidRPr="009C48DA" w:rsidR="00661519" w:rsidP="00661519" w:rsidRDefault="00661519" w14:paraId="5ACB7C7B"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equity</w:t>
            </w:r>
          </w:p>
        </w:tc>
        <w:tc>
          <w:tcPr>
            <w:tcW w:w="1275" w:type="dxa"/>
          </w:tcPr>
          <w:p w:rsidRPr="009C48DA" w:rsidR="00661519" w:rsidP="00661519" w:rsidRDefault="00661519" w14:paraId="4B736F7F" w14:textId="77777777">
            <w:pPr>
              <w:ind w:right="108"/>
              <w:jc w:val="center"/>
              <w:textAlignment w:val="baseline"/>
              <w:rPr>
                <w:rFonts w:eastAsia="Times New Roman"/>
                <w:color w:val="000000"/>
                <w:sz w:val="16"/>
                <w:lang w:val="en-GB"/>
              </w:rPr>
            </w:pPr>
          </w:p>
        </w:tc>
        <w:tc>
          <w:tcPr>
            <w:tcW w:w="1134" w:type="dxa"/>
            <w:vAlign w:val="center"/>
          </w:tcPr>
          <w:p w:rsidRPr="009C48DA" w:rsidR="00661519" w:rsidP="00661519" w:rsidRDefault="00661519" w14:paraId="26893BCC" w14:textId="77777777">
            <w:pPr>
              <w:pBdr>
                <w:bottom w:val="doub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386,398</w:t>
            </w:r>
          </w:p>
        </w:tc>
        <w:tc>
          <w:tcPr>
            <w:tcW w:w="1418" w:type="dxa"/>
            <w:vAlign w:val="center"/>
          </w:tcPr>
          <w:p w:rsidRPr="009C48DA" w:rsidR="00661519" w:rsidP="00661519" w:rsidRDefault="00661519" w14:paraId="79C7C0B8" w14:textId="77777777">
            <w:pPr>
              <w:pBdr>
                <w:bottom w:val="doub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center"/>
          </w:tcPr>
          <w:p w:rsidRPr="009C48DA" w:rsidR="00661519" w:rsidP="00661519" w:rsidRDefault="00661519" w14:paraId="7F395B36" w14:textId="77777777">
            <w:pPr>
              <w:pBdr>
                <w:bottom w:val="doub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4,158</w:t>
            </w:r>
          </w:p>
        </w:tc>
        <w:tc>
          <w:tcPr>
            <w:tcW w:w="1559" w:type="dxa"/>
            <w:vAlign w:val="center"/>
          </w:tcPr>
          <w:p w:rsidRPr="009C48DA" w:rsidR="00661519" w:rsidP="00661519" w:rsidRDefault="00661519" w14:paraId="566D16EF" w14:textId="77777777">
            <w:pPr>
              <w:pBdr>
                <w:bottom w:val="doub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390,556</w:t>
            </w:r>
          </w:p>
        </w:tc>
      </w:tr>
    </w:tbl>
    <w:p w:rsidRPr="009C48DA" w:rsidR="00661519" w:rsidP="00661519" w:rsidRDefault="00661519" w14:paraId="059240D0" w14:textId="77777777">
      <w:pPr>
        <w:textAlignment w:val="baseline"/>
        <w:rPr>
          <w:rFonts w:eastAsia="Times New Roman" w:cs="Times New Roman"/>
          <w:b/>
          <w:color w:val="000000"/>
          <w:sz w:val="17"/>
          <w:szCs w:val="22"/>
          <w:lang w:val="en-GB"/>
        </w:rPr>
      </w:pPr>
    </w:p>
    <w:p w:rsidRPr="009C48DA" w:rsidR="00661519" w:rsidP="00661519" w:rsidRDefault="00661519" w14:paraId="56CD0C9B" w14:textId="77777777">
      <w:pPr>
        <w:rPr>
          <w:rFonts w:eastAsia="Times New Roman" w:cs="Times New Roman"/>
          <w:b/>
          <w:color w:val="000000"/>
          <w:sz w:val="17"/>
          <w:szCs w:val="22"/>
          <w:lang w:val="en-GB"/>
        </w:rPr>
      </w:pPr>
      <w:r w:rsidRPr="009C48DA">
        <w:rPr>
          <w:rFonts w:eastAsia="Times New Roman" w:cs="Times New Roman"/>
          <w:b/>
          <w:color w:val="000000"/>
          <w:sz w:val="17"/>
          <w:szCs w:val="22"/>
          <w:lang w:val="en-GB"/>
        </w:rPr>
        <w:br w:type="page"/>
      </w:r>
    </w:p>
    <w:p w:rsidRPr="009C48DA" w:rsidR="00661519" w:rsidP="00661519" w:rsidRDefault="00661519" w14:paraId="1369741F" w14:textId="77777777">
      <w:pPr>
        <w:rPr>
          <w:rFonts w:eastAsia="Times New Roman" w:cs="Times New Roman"/>
          <w:b/>
          <w:color w:val="000000"/>
          <w:sz w:val="17"/>
          <w:szCs w:val="22"/>
          <w:lang w:val="en-GB"/>
        </w:rPr>
      </w:pPr>
      <w:r w:rsidRPr="009C48DA">
        <w:rPr>
          <w:rFonts w:eastAsia="Times New Roman" w:cs="Times New Roman"/>
          <w:b/>
          <w:color w:val="000000"/>
          <w:sz w:val="17"/>
          <w:szCs w:val="22"/>
          <w:lang w:val="en-GB"/>
        </w:rPr>
        <w:lastRenderedPageBreak/>
        <w:t>Consolidated Income Statement for the year ended 31 December 2018</w:t>
      </w:r>
    </w:p>
    <w:p w:rsidRPr="009C48DA" w:rsidR="00661519" w:rsidP="00661519" w:rsidRDefault="00661519" w14:paraId="4F988C9F" w14:textId="77777777">
      <w:pPr>
        <w:rPr>
          <w:rFonts w:eastAsia="Times New Roman" w:cs="Times New Roman"/>
          <w:b/>
          <w:color w:val="000000"/>
          <w:sz w:val="17"/>
          <w:szCs w:val="22"/>
          <w:lang w:val="en-GB"/>
        </w:rPr>
      </w:pPr>
    </w:p>
    <w:tbl>
      <w:tblPr>
        <w:tblW w:w="9072" w:type="dxa"/>
        <w:tblLayout w:type="fixed"/>
        <w:tblCellMar>
          <w:left w:w="0" w:type="dxa"/>
          <w:right w:w="0" w:type="dxa"/>
        </w:tblCellMar>
        <w:tblLook w:val="04A0" w:firstRow="1" w:lastRow="0" w:firstColumn="1" w:lastColumn="0" w:noHBand="0" w:noVBand="1"/>
      </w:tblPr>
      <w:tblGrid>
        <w:gridCol w:w="2127"/>
        <w:gridCol w:w="1275"/>
        <w:gridCol w:w="1134"/>
        <w:gridCol w:w="1418"/>
        <w:gridCol w:w="1559"/>
        <w:gridCol w:w="1559"/>
      </w:tblGrid>
      <w:tr w:rsidRPr="009C48DA" w:rsidR="00661519" w:rsidTr="00661519" w14:paraId="54F2734C" w14:textId="77777777">
        <w:tc>
          <w:tcPr>
            <w:tcW w:w="2127" w:type="dxa"/>
            <w:vAlign w:val="bottom"/>
          </w:tcPr>
          <w:p w:rsidRPr="009C48DA" w:rsidR="00661519" w:rsidP="00661519" w:rsidRDefault="00661519" w14:paraId="2A5794EB" w14:textId="77777777">
            <w:pPr>
              <w:textAlignment w:val="baseline"/>
              <w:rPr>
                <w:rFonts w:eastAsia="Times New Roman" w:cs="Times New Roman"/>
                <w:b/>
                <w:color w:val="000000"/>
                <w:sz w:val="16"/>
                <w:szCs w:val="16"/>
                <w:lang w:val="en-GB"/>
              </w:rPr>
            </w:pPr>
          </w:p>
        </w:tc>
        <w:tc>
          <w:tcPr>
            <w:tcW w:w="1275" w:type="dxa"/>
            <w:vAlign w:val="bottom"/>
          </w:tcPr>
          <w:p w:rsidRPr="009C48DA" w:rsidR="00661519" w:rsidP="00661519" w:rsidRDefault="00661519" w14:paraId="7CF8B716" w14:textId="77777777">
            <w:pPr>
              <w:ind w:right="108"/>
              <w:jc w:val="center"/>
              <w:textAlignment w:val="baseline"/>
              <w:rPr>
                <w:rFonts w:eastAsia="Times New Roman" w:cs="Times New Roman"/>
                <w:b/>
                <w:color w:val="000000"/>
                <w:sz w:val="16"/>
                <w:szCs w:val="16"/>
                <w:lang w:val="en-GB"/>
              </w:rPr>
            </w:pPr>
          </w:p>
          <w:p w:rsidRPr="009C48DA" w:rsidR="00661519" w:rsidP="00661519" w:rsidRDefault="00661519" w14:paraId="6C94BE47" w14:textId="77777777">
            <w:pPr>
              <w:ind w:right="108"/>
              <w:jc w:val="center"/>
              <w:textAlignment w:val="baseline"/>
              <w:rPr>
                <w:rFonts w:eastAsia="Times New Roman" w:cs="Times New Roman"/>
                <w:b/>
                <w:color w:val="000000"/>
                <w:sz w:val="16"/>
                <w:szCs w:val="16"/>
                <w:lang w:val="en-GB"/>
              </w:rPr>
            </w:pPr>
          </w:p>
          <w:p w:rsidRPr="009C48DA" w:rsidR="00661519" w:rsidP="00661519" w:rsidRDefault="00661519" w14:paraId="21548A3A" w14:textId="77777777">
            <w:pPr>
              <w:ind w:right="10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Note</w:t>
            </w:r>
          </w:p>
        </w:tc>
        <w:tc>
          <w:tcPr>
            <w:tcW w:w="1134" w:type="dxa"/>
            <w:vAlign w:val="bottom"/>
          </w:tcPr>
          <w:p w:rsidRPr="009C48DA" w:rsidR="00661519" w:rsidP="00661519" w:rsidRDefault="00661519" w14:paraId="4347A438" w14:textId="77777777">
            <w:pPr>
              <w:ind w:right="10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UK GAAP</w:t>
            </w:r>
          </w:p>
          <w:p w:rsidRPr="009C48DA" w:rsidR="00661519" w:rsidP="00661519" w:rsidRDefault="00661519" w14:paraId="2E73C752" w14:textId="77777777">
            <w:pPr>
              <w:ind w:right="10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418" w:type="dxa"/>
            <w:vAlign w:val="bottom"/>
          </w:tcPr>
          <w:p w:rsidRPr="009C48DA" w:rsidR="00661519" w:rsidP="00661519" w:rsidRDefault="00661519" w14:paraId="2AB25980"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Reclassification</w:t>
            </w:r>
          </w:p>
          <w:p w:rsidRPr="009C48DA" w:rsidR="00661519" w:rsidP="00661519" w:rsidRDefault="00661519" w14:paraId="17204CA2"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£ 000 </w:t>
            </w:r>
          </w:p>
        </w:tc>
        <w:tc>
          <w:tcPr>
            <w:tcW w:w="1559" w:type="dxa"/>
            <w:vAlign w:val="bottom"/>
          </w:tcPr>
          <w:p w:rsidRPr="009C48DA" w:rsidR="00661519" w:rsidP="00661519" w:rsidRDefault="00661519" w14:paraId="4D28A11E"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Recognition and measurement differences</w:t>
            </w:r>
          </w:p>
          <w:p w:rsidRPr="009C48DA" w:rsidR="00661519" w:rsidP="00661519" w:rsidRDefault="00661519" w14:paraId="2AB9D391"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559" w:type="dxa"/>
            <w:vAlign w:val="bottom"/>
          </w:tcPr>
          <w:p w:rsidRPr="009C48DA" w:rsidR="00661519" w:rsidP="00661519" w:rsidRDefault="00661519" w14:paraId="35F62915"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IFRS for the year ended </w:t>
            </w:r>
          </w:p>
          <w:p w:rsidRPr="009C48DA" w:rsidR="00661519" w:rsidP="00661519" w:rsidRDefault="00661519" w14:paraId="3F92E871"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31 December 2018</w:t>
            </w:r>
          </w:p>
          <w:p w:rsidRPr="009C48DA" w:rsidR="00661519" w:rsidP="00661519" w:rsidRDefault="00661519" w14:paraId="01EBFA6A"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196B8C1E" w14:textId="77777777">
        <w:tc>
          <w:tcPr>
            <w:tcW w:w="2127" w:type="dxa"/>
            <w:vAlign w:val="bottom"/>
          </w:tcPr>
          <w:p w:rsidRPr="009C48DA" w:rsidR="00661519" w:rsidP="00661519" w:rsidRDefault="00661519" w14:paraId="743E0CB1"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Management fees</w:t>
            </w:r>
          </w:p>
        </w:tc>
        <w:tc>
          <w:tcPr>
            <w:tcW w:w="1275" w:type="dxa"/>
          </w:tcPr>
          <w:p w:rsidRPr="009C48DA" w:rsidR="00661519" w:rsidP="00661519" w:rsidRDefault="00661519" w14:paraId="0B79CA3B"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5A4FEA83"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418" w:type="dxa"/>
            <w:vAlign w:val="bottom"/>
          </w:tcPr>
          <w:p w:rsidRPr="009C48DA" w:rsidR="00661519" w:rsidP="00661519" w:rsidRDefault="00661519" w14:paraId="46E47C74"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117,367</w:t>
            </w:r>
          </w:p>
        </w:tc>
        <w:tc>
          <w:tcPr>
            <w:tcW w:w="1559" w:type="dxa"/>
            <w:vAlign w:val="bottom"/>
          </w:tcPr>
          <w:p w:rsidRPr="009C48DA" w:rsidR="00661519" w:rsidP="00661519" w:rsidRDefault="00661519" w14:paraId="46875850"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5153DDA9"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117,367</w:t>
            </w:r>
          </w:p>
        </w:tc>
      </w:tr>
      <w:tr w:rsidRPr="009C48DA" w:rsidR="00661519" w:rsidTr="00661519" w14:paraId="711EA1F2" w14:textId="77777777">
        <w:tc>
          <w:tcPr>
            <w:tcW w:w="2127" w:type="dxa"/>
            <w:vAlign w:val="bottom"/>
          </w:tcPr>
          <w:p w:rsidRPr="009C48DA" w:rsidR="00661519" w:rsidP="00661519" w:rsidRDefault="00661519" w14:paraId="4DEB07B4"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Carried interest</w:t>
            </w:r>
          </w:p>
        </w:tc>
        <w:tc>
          <w:tcPr>
            <w:tcW w:w="1275" w:type="dxa"/>
          </w:tcPr>
          <w:p w:rsidRPr="009C48DA" w:rsidR="00661519" w:rsidP="00661519" w:rsidRDefault="00661519" w14:paraId="4C93760E"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(d)</w:t>
            </w:r>
          </w:p>
        </w:tc>
        <w:tc>
          <w:tcPr>
            <w:tcW w:w="1134" w:type="dxa"/>
            <w:vAlign w:val="bottom"/>
          </w:tcPr>
          <w:p w:rsidRPr="009C48DA" w:rsidR="00661519" w:rsidP="00661519" w:rsidRDefault="00661519" w14:paraId="5024E5FB"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w:t>
            </w:r>
          </w:p>
        </w:tc>
        <w:tc>
          <w:tcPr>
            <w:tcW w:w="1418" w:type="dxa"/>
            <w:vAlign w:val="bottom"/>
          </w:tcPr>
          <w:p w:rsidRPr="009C48DA" w:rsidR="00661519" w:rsidP="00661519" w:rsidRDefault="00661519" w14:paraId="3297A16E"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2,731</w:t>
            </w:r>
          </w:p>
        </w:tc>
        <w:tc>
          <w:tcPr>
            <w:tcW w:w="1559" w:type="dxa"/>
            <w:vAlign w:val="bottom"/>
          </w:tcPr>
          <w:p w:rsidRPr="009C48DA" w:rsidR="00661519" w:rsidP="00661519" w:rsidRDefault="00661519" w14:paraId="7E18CB3B"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2,037</w:t>
            </w:r>
          </w:p>
        </w:tc>
        <w:tc>
          <w:tcPr>
            <w:tcW w:w="1559" w:type="dxa"/>
            <w:vAlign w:val="bottom"/>
          </w:tcPr>
          <w:p w:rsidRPr="009C48DA" w:rsidR="00661519" w:rsidP="00661519" w:rsidRDefault="00661519" w14:paraId="18398136"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4,768</w:t>
            </w:r>
          </w:p>
        </w:tc>
      </w:tr>
      <w:tr w:rsidRPr="009C48DA" w:rsidR="00661519" w:rsidTr="00661519" w14:paraId="704DFBAD" w14:textId="77777777">
        <w:tc>
          <w:tcPr>
            <w:tcW w:w="2127" w:type="dxa"/>
            <w:vAlign w:val="bottom"/>
          </w:tcPr>
          <w:p w:rsidRPr="009C48DA" w:rsidR="00661519" w:rsidP="00661519" w:rsidRDefault="00661519" w14:paraId="3F37BCFF"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Fair value remeasurement of investments</w:t>
            </w:r>
          </w:p>
        </w:tc>
        <w:tc>
          <w:tcPr>
            <w:tcW w:w="1275" w:type="dxa"/>
          </w:tcPr>
          <w:p w:rsidRPr="009C48DA" w:rsidR="00661519" w:rsidP="00661519" w:rsidRDefault="00661519" w14:paraId="585A54AF"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1C6F9372"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418" w:type="dxa"/>
            <w:vAlign w:val="bottom"/>
          </w:tcPr>
          <w:p w:rsidRPr="009C48DA" w:rsidR="00661519" w:rsidP="00661519" w:rsidRDefault="00661519" w14:paraId="7F783608"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20,815</w:t>
            </w:r>
          </w:p>
        </w:tc>
        <w:tc>
          <w:tcPr>
            <w:tcW w:w="1559" w:type="dxa"/>
            <w:vAlign w:val="bottom"/>
          </w:tcPr>
          <w:p w:rsidRPr="009C48DA" w:rsidR="00661519" w:rsidP="00661519" w:rsidRDefault="00661519" w14:paraId="41BDC4E5"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283765ED"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20,815</w:t>
            </w:r>
          </w:p>
        </w:tc>
      </w:tr>
      <w:tr w:rsidRPr="009C48DA" w:rsidR="00661519" w:rsidTr="00661519" w14:paraId="033DF823" w14:textId="77777777">
        <w:tc>
          <w:tcPr>
            <w:tcW w:w="2127" w:type="dxa"/>
            <w:vAlign w:val="bottom"/>
          </w:tcPr>
          <w:p w:rsidRPr="009C48DA" w:rsidR="00661519" w:rsidP="00661519" w:rsidRDefault="00661519" w14:paraId="7ABD2018"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Other operating income</w:t>
            </w:r>
          </w:p>
        </w:tc>
        <w:tc>
          <w:tcPr>
            <w:tcW w:w="1275" w:type="dxa"/>
          </w:tcPr>
          <w:p w:rsidRPr="009C48DA" w:rsidR="00661519" w:rsidP="00661519" w:rsidRDefault="00661519" w14:paraId="4485297C"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4395621F" w14:textId="77777777">
            <w:pPr>
              <w:pBdr>
                <w:bottom w:val="single" w:color="auto" w:sz="8" w:space="1"/>
              </w:pBd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418" w:type="dxa"/>
            <w:vAlign w:val="bottom"/>
          </w:tcPr>
          <w:p w:rsidRPr="009C48DA" w:rsidR="00661519" w:rsidP="00661519" w:rsidRDefault="00661519" w14:paraId="54E22490"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1,861</w:t>
            </w:r>
          </w:p>
        </w:tc>
        <w:tc>
          <w:tcPr>
            <w:tcW w:w="1559" w:type="dxa"/>
            <w:vAlign w:val="bottom"/>
          </w:tcPr>
          <w:p w:rsidRPr="009C48DA" w:rsidR="00661519" w:rsidP="00661519" w:rsidRDefault="00661519" w14:paraId="02A19856" w14:textId="77777777">
            <w:pPr>
              <w:pBdr>
                <w:bottom w:val="single" w:color="auto" w:sz="8" w:space="1"/>
              </w:pBd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0C5DBD90" w14:textId="77777777">
            <w:pPr>
              <w:pBdr>
                <w:bottom w:val="single" w:color="auto" w:sz="8" w:space="1"/>
              </w:pBd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1,861</w:t>
            </w:r>
          </w:p>
        </w:tc>
      </w:tr>
      <w:tr w:rsidRPr="009C48DA" w:rsidR="00661519" w:rsidTr="00661519" w14:paraId="57D5FF3E" w14:textId="77777777">
        <w:tc>
          <w:tcPr>
            <w:tcW w:w="2127" w:type="dxa"/>
            <w:vAlign w:val="bottom"/>
          </w:tcPr>
          <w:p w:rsidRPr="009C48DA" w:rsidR="00661519" w:rsidP="00661519" w:rsidRDefault="00661519" w14:paraId="7B65115F"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operating income</w:t>
            </w:r>
          </w:p>
        </w:tc>
        <w:tc>
          <w:tcPr>
            <w:tcW w:w="1275" w:type="dxa"/>
            <w:vAlign w:val="bottom"/>
          </w:tcPr>
          <w:p w:rsidRPr="009C48DA" w:rsidR="00661519" w:rsidP="00661519" w:rsidRDefault="00661519" w14:paraId="6F586313" w14:textId="77777777">
            <w:pPr>
              <w:ind w:right="108"/>
              <w:jc w:val="right"/>
              <w:textAlignment w:val="baseline"/>
              <w:rPr>
                <w:rFonts w:eastAsia="Times New Roman"/>
                <w:color w:val="000000"/>
                <w:sz w:val="16"/>
                <w:lang w:val="en-GB"/>
              </w:rPr>
            </w:pPr>
          </w:p>
        </w:tc>
        <w:tc>
          <w:tcPr>
            <w:tcW w:w="1134" w:type="dxa"/>
            <w:vAlign w:val="bottom"/>
          </w:tcPr>
          <w:p w:rsidRPr="009C48DA" w:rsidR="00661519" w:rsidP="00661519" w:rsidRDefault="00661519" w14:paraId="2CDDB9A1"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418" w:type="dxa"/>
            <w:vAlign w:val="bottom"/>
          </w:tcPr>
          <w:p w:rsidRPr="009C48DA" w:rsidR="00661519" w:rsidP="00661519" w:rsidRDefault="00661519" w14:paraId="5127145A"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142,774</w:t>
            </w:r>
          </w:p>
        </w:tc>
        <w:tc>
          <w:tcPr>
            <w:tcW w:w="1559" w:type="dxa"/>
            <w:vAlign w:val="bottom"/>
          </w:tcPr>
          <w:p w:rsidRPr="009C48DA" w:rsidR="00661519" w:rsidP="00661519" w:rsidRDefault="00661519" w14:paraId="6344A9BE"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2,037</w:t>
            </w:r>
          </w:p>
        </w:tc>
        <w:tc>
          <w:tcPr>
            <w:tcW w:w="1559" w:type="dxa"/>
            <w:vAlign w:val="bottom"/>
          </w:tcPr>
          <w:p w:rsidRPr="009C48DA" w:rsidR="00661519" w:rsidP="00661519" w:rsidRDefault="00661519" w14:paraId="5C30D130"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144,811</w:t>
            </w:r>
          </w:p>
        </w:tc>
      </w:tr>
      <w:tr w:rsidRPr="009C48DA" w:rsidR="00661519" w:rsidTr="00661519" w14:paraId="60999648" w14:textId="77777777">
        <w:tc>
          <w:tcPr>
            <w:tcW w:w="2127" w:type="dxa"/>
            <w:vAlign w:val="bottom"/>
          </w:tcPr>
          <w:p w:rsidRPr="009C48DA" w:rsidR="00661519" w:rsidP="00661519" w:rsidRDefault="00661519" w14:paraId="47ADE170"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74AE5F73" w14:textId="77777777">
            <w:pPr>
              <w:ind w:right="108"/>
              <w:jc w:val="center"/>
              <w:textAlignment w:val="baseline"/>
              <w:rPr>
                <w:rFonts w:eastAsia="Times New Roman"/>
                <w:color w:val="000000"/>
                <w:sz w:val="24"/>
                <w:lang w:val="en-GB"/>
              </w:rPr>
            </w:pPr>
          </w:p>
        </w:tc>
        <w:tc>
          <w:tcPr>
            <w:tcW w:w="1134" w:type="dxa"/>
            <w:vAlign w:val="bottom"/>
          </w:tcPr>
          <w:p w:rsidRPr="009C48DA" w:rsidR="00661519" w:rsidP="00661519" w:rsidRDefault="00661519" w14:paraId="6090AFD8"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c>
          <w:tcPr>
            <w:tcW w:w="1418" w:type="dxa"/>
            <w:vAlign w:val="bottom"/>
          </w:tcPr>
          <w:p w:rsidRPr="009C48DA" w:rsidR="00661519" w:rsidP="00661519" w:rsidRDefault="00661519" w14:paraId="29B6CF0E" w14:textId="77777777">
            <w:pPr>
              <w:ind w:right="164"/>
              <w:jc w:val="right"/>
              <w:textAlignment w:val="baseline"/>
              <w:rPr>
                <w:rFonts w:eastAsia="Times New Roman"/>
                <w:color w:val="000000"/>
                <w:sz w:val="24"/>
                <w:lang w:val="en-GB"/>
              </w:rPr>
            </w:pPr>
          </w:p>
        </w:tc>
        <w:tc>
          <w:tcPr>
            <w:tcW w:w="1559" w:type="dxa"/>
            <w:vAlign w:val="bottom"/>
          </w:tcPr>
          <w:p w:rsidRPr="009C48DA" w:rsidR="00661519" w:rsidP="00661519" w:rsidRDefault="00661519" w14:paraId="653220E7"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c>
          <w:tcPr>
            <w:tcW w:w="1559" w:type="dxa"/>
            <w:vAlign w:val="bottom"/>
          </w:tcPr>
          <w:p w:rsidRPr="009C48DA" w:rsidR="00661519" w:rsidP="00661519" w:rsidRDefault="00661519" w14:paraId="4F252F6F"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r>
      <w:tr w:rsidRPr="009C48DA" w:rsidR="00661519" w:rsidTr="00661519" w14:paraId="53880D8C" w14:textId="77777777">
        <w:trPr>
          <w:trHeight w:val="79"/>
        </w:trPr>
        <w:tc>
          <w:tcPr>
            <w:tcW w:w="2127" w:type="dxa"/>
            <w:vAlign w:val="bottom"/>
          </w:tcPr>
          <w:p w:rsidRPr="009C48DA" w:rsidR="00661519" w:rsidP="00661519" w:rsidRDefault="00661519" w14:paraId="7F2723A4"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Turnover</w:t>
            </w:r>
          </w:p>
        </w:tc>
        <w:tc>
          <w:tcPr>
            <w:tcW w:w="1275" w:type="dxa"/>
          </w:tcPr>
          <w:p w:rsidRPr="009C48DA" w:rsidR="00661519" w:rsidP="00661519" w:rsidRDefault="00661519" w14:paraId="1B8F4277"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61F59AAE"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123,958</w:t>
            </w:r>
          </w:p>
        </w:tc>
        <w:tc>
          <w:tcPr>
            <w:tcW w:w="1418" w:type="dxa"/>
            <w:vAlign w:val="bottom"/>
          </w:tcPr>
          <w:p w:rsidRPr="009C48DA" w:rsidR="00661519" w:rsidP="00661519" w:rsidRDefault="00661519" w14:paraId="263C020B"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(123,958)</w:t>
            </w:r>
          </w:p>
        </w:tc>
        <w:tc>
          <w:tcPr>
            <w:tcW w:w="1559" w:type="dxa"/>
            <w:vAlign w:val="bottom"/>
          </w:tcPr>
          <w:p w:rsidRPr="009C48DA" w:rsidR="00661519" w:rsidP="00661519" w:rsidRDefault="00661519" w14:paraId="67272AFF"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64A97205"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1D543BC8" w14:textId="77777777">
        <w:tc>
          <w:tcPr>
            <w:tcW w:w="2127" w:type="dxa"/>
            <w:vAlign w:val="bottom"/>
          </w:tcPr>
          <w:p w:rsidRPr="009C48DA" w:rsidR="00661519" w:rsidP="00661519" w:rsidRDefault="00661519" w14:paraId="257C84A2"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Personnel expenses</w:t>
            </w:r>
          </w:p>
        </w:tc>
        <w:tc>
          <w:tcPr>
            <w:tcW w:w="1275" w:type="dxa"/>
          </w:tcPr>
          <w:p w:rsidRPr="009C48DA" w:rsidR="00661519" w:rsidP="00661519" w:rsidRDefault="00661519" w14:paraId="34F90D59"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5181E8A5"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(91,447)</w:t>
            </w:r>
          </w:p>
        </w:tc>
        <w:tc>
          <w:tcPr>
            <w:tcW w:w="1418" w:type="dxa"/>
            <w:vAlign w:val="bottom"/>
          </w:tcPr>
          <w:p w:rsidRPr="009C48DA" w:rsidR="00661519" w:rsidP="00661519" w:rsidRDefault="00661519" w14:paraId="7FC6EF8F"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0DE13731"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140EF831"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(91,447)</w:t>
            </w:r>
          </w:p>
        </w:tc>
      </w:tr>
      <w:tr w:rsidRPr="009C48DA" w:rsidR="00661519" w:rsidTr="00661519" w14:paraId="1C3FDD16" w14:textId="77777777">
        <w:tc>
          <w:tcPr>
            <w:tcW w:w="2127" w:type="dxa"/>
            <w:vAlign w:val="bottom"/>
          </w:tcPr>
          <w:p w:rsidRPr="009C48DA" w:rsidR="00661519" w:rsidP="00661519" w:rsidRDefault="00661519" w14:paraId="4386222D"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Other expenses</w:t>
            </w:r>
          </w:p>
        </w:tc>
        <w:tc>
          <w:tcPr>
            <w:tcW w:w="1275" w:type="dxa"/>
          </w:tcPr>
          <w:p w:rsidRPr="009C48DA" w:rsidR="00661519" w:rsidP="00661519" w:rsidRDefault="00661519" w14:paraId="0BD9ECDF"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(e), (f)</w:t>
            </w:r>
          </w:p>
        </w:tc>
        <w:tc>
          <w:tcPr>
            <w:tcW w:w="1134" w:type="dxa"/>
            <w:vAlign w:val="bottom"/>
          </w:tcPr>
          <w:p w:rsidRPr="009C48DA" w:rsidR="00661519" w:rsidP="00661519" w:rsidRDefault="00661519" w14:paraId="4260D64B"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(45,689)</w:t>
            </w:r>
          </w:p>
        </w:tc>
        <w:tc>
          <w:tcPr>
            <w:tcW w:w="1418" w:type="dxa"/>
            <w:vAlign w:val="bottom"/>
          </w:tcPr>
          <w:p w:rsidRPr="009C48DA" w:rsidR="00661519" w:rsidP="00661519" w:rsidRDefault="00661519" w14:paraId="1809C654"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(33)</w:t>
            </w:r>
          </w:p>
        </w:tc>
        <w:tc>
          <w:tcPr>
            <w:tcW w:w="1559" w:type="dxa"/>
            <w:vAlign w:val="bottom"/>
          </w:tcPr>
          <w:p w:rsidRPr="009C48DA" w:rsidR="00661519" w:rsidP="00661519" w:rsidRDefault="00661519" w14:paraId="4A0A3824"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10,017</w:t>
            </w:r>
          </w:p>
        </w:tc>
        <w:tc>
          <w:tcPr>
            <w:tcW w:w="1559" w:type="dxa"/>
            <w:vAlign w:val="bottom"/>
          </w:tcPr>
          <w:p w:rsidRPr="009C48DA" w:rsidR="00661519" w:rsidP="00661519" w:rsidRDefault="00661519" w14:paraId="05189CB1"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(35,705)</w:t>
            </w:r>
          </w:p>
        </w:tc>
      </w:tr>
      <w:tr w:rsidRPr="009C48DA" w:rsidR="00661519" w:rsidTr="00661519" w14:paraId="227C14A7" w14:textId="77777777">
        <w:tc>
          <w:tcPr>
            <w:tcW w:w="2127" w:type="dxa"/>
            <w:vAlign w:val="bottom"/>
          </w:tcPr>
          <w:p w:rsidRPr="009C48DA" w:rsidR="00661519" w:rsidP="00661519" w:rsidRDefault="00661519" w14:paraId="591163F7"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Foreign exchange gains/(losses)</w:t>
            </w:r>
          </w:p>
        </w:tc>
        <w:tc>
          <w:tcPr>
            <w:tcW w:w="1275" w:type="dxa"/>
          </w:tcPr>
          <w:p w:rsidRPr="009C48DA" w:rsidR="00661519" w:rsidP="00661519" w:rsidRDefault="00661519" w14:paraId="0B34E5CE"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0760D8F8"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(1,737)</w:t>
            </w:r>
          </w:p>
        </w:tc>
        <w:tc>
          <w:tcPr>
            <w:tcW w:w="1418" w:type="dxa"/>
            <w:vAlign w:val="bottom"/>
          </w:tcPr>
          <w:p w:rsidRPr="009C48DA" w:rsidR="00661519" w:rsidP="00661519" w:rsidRDefault="00661519" w14:paraId="2970605C"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3,261</w:t>
            </w:r>
          </w:p>
        </w:tc>
        <w:tc>
          <w:tcPr>
            <w:tcW w:w="1559" w:type="dxa"/>
            <w:vAlign w:val="bottom"/>
          </w:tcPr>
          <w:p w:rsidRPr="009C48DA" w:rsidR="00661519" w:rsidP="00661519" w:rsidRDefault="00661519" w14:paraId="572D8116"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07BE16C4"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1,524</w:t>
            </w:r>
          </w:p>
        </w:tc>
      </w:tr>
      <w:tr w:rsidRPr="009C48DA" w:rsidR="00661519" w:rsidTr="00661519" w14:paraId="36820A9B" w14:textId="77777777">
        <w:tc>
          <w:tcPr>
            <w:tcW w:w="2127" w:type="dxa"/>
            <w:vAlign w:val="bottom"/>
          </w:tcPr>
          <w:p w:rsidRPr="009C48DA" w:rsidR="00661519" w:rsidP="00661519" w:rsidRDefault="00661519" w14:paraId="0D310E08"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Profits on investments</w:t>
            </w:r>
          </w:p>
        </w:tc>
        <w:tc>
          <w:tcPr>
            <w:tcW w:w="1275" w:type="dxa"/>
          </w:tcPr>
          <w:p w:rsidRPr="009C48DA" w:rsidR="00661519" w:rsidP="00661519" w:rsidRDefault="00661519" w14:paraId="2DF407B3"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05D819C0"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22,044</w:t>
            </w:r>
          </w:p>
        </w:tc>
        <w:tc>
          <w:tcPr>
            <w:tcW w:w="1418" w:type="dxa"/>
            <w:vAlign w:val="bottom"/>
          </w:tcPr>
          <w:p w:rsidRPr="009C48DA" w:rsidR="00661519" w:rsidP="00661519" w:rsidRDefault="00661519" w14:paraId="4E60854F"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(22,044)</w:t>
            </w:r>
          </w:p>
        </w:tc>
        <w:tc>
          <w:tcPr>
            <w:tcW w:w="1559" w:type="dxa"/>
            <w:vAlign w:val="bottom"/>
          </w:tcPr>
          <w:p w:rsidRPr="009C48DA" w:rsidR="00661519" w:rsidP="00661519" w:rsidRDefault="00661519" w14:paraId="67E70821"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252FD16D"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r>
      <w:tr w:rsidRPr="009C48DA" w:rsidR="00661519" w:rsidTr="00661519" w14:paraId="76812606" w14:textId="77777777">
        <w:tc>
          <w:tcPr>
            <w:tcW w:w="2127" w:type="dxa"/>
            <w:vAlign w:val="bottom"/>
          </w:tcPr>
          <w:p w:rsidRPr="009C48DA" w:rsidR="00661519" w:rsidP="00661519" w:rsidRDefault="00661519" w14:paraId="35DDA524"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EBITDA</w:t>
            </w:r>
          </w:p>
        </w:tc>
        <w:tc>
          <w:tcPr>
            <w:tcW w:w="1275" w:type="dxa"/>
          </w:tcPr>
          <w:p w:rsidRPr="009C48DA" w:rsidR="00661519" w:rsidP="00661519" w:rsidRDefault="00661519" w14:paraId="13151ED6"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2C4CB988" w14:textId="77777777">
            <w:pPr>
              <w:ind w:right="108"/>
              <w:jc w:val="right"/>
              <w:textAlignment w:val="baseline"/>
              <w:rPr>
                <w:rFonts w:eastAsia="Times New Roman"/>
                <w:color w:val="000000"/>
                <w:sz w:val="16"/>
                <w:lang w:val="en-GB"/>
              </w:rPr>
            </w:pPr>
          </w:p>
          <w:p w:rsidRPr="009C48DA" w:rsidR="00661519" w:rsidP="00661519" w:rsidRDefault="00661519" w14:paraId="16765C51"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7,129</w:t>
            </w:r>
          </w:p>
        </w:tc>
        <w:tc>
          <w:tcPr>
            <w:tcW w:w="1418" w:type="dxa"/>
            <w:vAlign w:val="bottom"/>
          </w:tcPr>
          <w:p w:rsidRPr="009C48DA" w:rsidR="00661519" w:rsidP="00661519" w:rsidRDefault="00661519" w14:paraId="55C054F5" w14:textId="77777777">
            <w:pPr>
              <w:ind w:right="164"/>
              <w:jc w:val="right"/>
              <w:textAlignment w:val="baseline"/>
              <w:rPr>
                <w:rFonts w:eastAsia="Times New Roman"/>
                <w:color w:val="000000"/>
                <w:sz w:val="16"/>
                <w:lang w:val="en-GB"/>
              </w:rPr>
            </w:pPr>
          </w:p>
          <w:p w:rsidRPr="009C48DA" w:rsidR="00661519" w:rsidP="00661519" w:rsidRDefault="00661519" w14:paraId="4E882A6C"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58D04EE5" w14:textId="77777777">
            <w:pPr>
              <w:ind w:right="164"/>
              <w:jc w:val="right"/>
              <w:textAlignment w:val="baseline"/>
              <w:rPr>
                <w:rFonts w:eastAsia="Times New Roman"/>
                <w:color w:val="000000"/>
                <w:sz w:val="16"/>
                <w:lang w:val="en-GB"/>
              </w:rPr>
            </w:pPr>
          </w:p>
          <w:p w:rsidRPr="009C48DA" w:rsidR="00661519" w:rsidP="00661519" w:rsidRDefault="00661519" w14:paraId="4A6F82FA"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12,054</w:t>
            </w:r>
          </w:p>
        </w:tc>
        <w:tc>
          <w:tcPr>
            <w:tcW w:w="1559" w:type="dxa"/>
            <w:vAlign w:val="bottom"/>
          </w:tcPr>
          <w:p w:rsidRPr="009C48DA" w:rsidR="00661519" w:rsidP="00661519" w:rsidRDefault="00661519" w14:paraId="33009E37" w14:textId="77777777">
            <w:pPr>
              <w:ind w:right="139"/>
              <w:jc w:val="right"/>
              <w:textAlignment w:val="baseline"/>
              <w:rPr>
                <w:rFonts w:eastAsia="Times New Roman"/>
                <w:color w:val="000000"/>
                <w:sz w:val="16"/>
                <w:lang w:val="en-GB"/>
              </w:rPr>
            </w:pPr>
          </w:p>
          <w:p w:rsidRPr="009C48DA" w:rsidR="00661519" w:rsidP="00661519" w:rsidRDefault="00661519" w14:paraId="39C28550"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19,183</w:t>
            </w:r>
          </w:p>
        </w:tc>
      </w:tr>
      <w:tr w:rsidRPr="009C48DA" w:rsidR="00661519" w:rsidTr="00661519" w14:paraId="427D8613" w14:textId="77777777">
        <w:tc>
          <w:tcPr>
            <w:tcW w:w="2127" w:type="dxa"/>
            <w:vAlign w:val="bottom"/>
          </w:tcPr>
          <w:p w:rsidRPr="009C48DA" w:rsidR="00661519" w:rsidP="00661519" w:rsidRDefault="00661519" w14:paraId="539CBDD2"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Depreciation and amortisation expense</w:t>
            </w:r>
          </w:p>
        </w:tc>
        <w:tc>
          <w:tcPr>
            <w:tcW w:w="1275" w:type="dxa"/>
            <w:vAlign w:val="bottom"/>
          </w:tcPr>
          <w:p w:rsidRPr="009C48DA" w:rsidR="00661519" w:rsidP="00661519" w:rsidRDefault="00661519" w14:paraId="3F2B150E"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 (g)</w:t>
            </w:r>
          </w:p>
        </w:tc>
        <w:tc>
          <w:tcPr>
            <w:tcW w:w="1134" w:type="dxa"/>
            <w:vAlign w:val="bottom"/>
          </w:tcPr>
          <w:p w:rsidRPr="009C48DA" w:rsidR="00661519" w:rsidP="00661519" w:rsidRDefault="00661519" w14:paraId="72D385E9" w14:textId="77777777">
            <w:pPr>
              <w:pBdr>
                <w:bottom w:val="single" w:color="auto" w:sz="12" w:space="1"/>
              </w:pBdr>
              <w:ind w:right="108"/>
              <w:jc w:val="right"/>
              <w:textAlignment w:val="baseline"/>
              <w:rPr>
                <w:rFonts w:eastAsia="Times New Roman"/>
                <w:color w:val="000000"/>
                <w:sz w:val="16"/>
                <w:lang w:val="en-GB"/>
              </w:rPr>
            </w:pPr>
            <w:r w:rsidRPr="009C48DA">
              <w:rPr>
                <w:rFonts w:eastAsia="Times New Roman"/>
                <w:color w:val="000000"/>
                <w:sz w:val="16"/>
                <w:lang w:val="en-GB"/>
              </w:rPr>
              <w:t>(1,545)</w:t>
            </w:r>
          </w:p>
        </w:tc>
        <w:tc>
          <w:tcPr>
            <w:tcW w:w="1418" w:type="dxa"/>
            <w:vAlign w:val="bottom"/>
          </w:tcPr>
          <w:p w:rsidRPr="009C48DA" w:rsidR="00661519" w:rsidP="00661519" w:rsidRDefault="00661519" w14:paraId="37C534F4"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238D517B"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(5,220)</w:t>
            </w:r>
          </w:p>
        </w:tc>
        <w:tc>
          <w:tcPr>
            <w:tcW w:w="1559" w:type="dxa"/>
            <w:vAlign w:val="bottom"/>
          </w:tcPr>
          <w:p w:rsidRPr="009C48DA" w:rsidR="00661519" w:rsidP="00661519" w:rsidRDefault="00661519" w14:paraId="7F7B912E" w14:textId="77777777">
            <w:pPr>
              <w:pBdr>
                <w:bottom w:val="single" w:color="auto" w:sz="12" w:space="1"/>
              </w:pBdr>
              <w:ind w:right="139"/>
              <w:jc w:val="right"/>
              <w:textAlignment w:val="baseline"/>
              <w:rPr>
                <w:rFonts w:eastAsia="Times New Roman"/>
                <w:color w:val="000000"/>
                <w:sz w:val="16"/>
                <w:lang w:val="en-GB"/>
              </w:rPr>
            </w:pPr>
            <w:r w:rsidRPr="009C48DA">
              <w:rPr>
                <w:rFonts w:eastAsia="Times New Roman"/>
                <w:color w:val="000000"/>
                <w:sz w:val="16"/>
                <w:lang w:val="en-GB"/>
              </w:rPr>
              <w:t>(6,765)</w:t>
            </w:r>
          </w:p>
        </w:tc>
      </w:tr>
      <w:tr w:rsidRPr="009C48DA" w:rsidR="00661519" w:rsidTr="00661519" w14:paraId="727B3B58" w14:textId="77777777">
        <w:tc>
          <w:tcPr>
            <w:tcW w:w="2127" w:type="dxa"/>
            <w:vAlign w:val="bottom"/>
          </w:tcPr>
          <w:p w:rsidRPr="009C48DA" w:rsidR="00661519" w:rsidP="00661519" w:rsidRDefault="00661519" w14:paraId="648D6430" w14:textId="77777777">
            <w:pPr>
              <w:textAlignment w:val="baseline"/>
              <w:rPr>
                <w:rFonts w:eastAsia="Times New Roman" w:cs="Times New Roman"/>
                <w:color w:val="000000"/>
                <w:sz w:val="16"/>
                <w:szCs w:val="16"/>
                <w:lang w:val="en-GB"/>
              </w:rPr>
            </w:pPr>
          </w:p>
          <w:p w:rsidRPr="009C48DA" w:rsidR="00661519" w:rsidP="00661519" w:rsidRDefault="00661519" w14:paraId="1F4964C0"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operating profit</w:t>
            </w:r>
          </w:p>
        </w:tc>
        <w:tc>
          <w:tcPr>
            <w:tcW w:w="1275" w:type="dxa"/>
          </w:tcPr>
          <w:p w:rsidRPr="009C48DA" w:rsidR="00661519" w:rsidP="00661519" w:rsidRDefault="00661519" w14:paraId="5DAACF06"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7CD4F8A3"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5,584</w:t>
            </w:r>
          </w:p>
        </w:tc>
        <w:tc>
          <w:tcPr>
            <w:tcW w:w="1418" w:type="dxa"/>
            <w:vAlign w:val="bottom"/>
          </w:tcPr>
          <w:p w:rsidRPr="009C48DA" w:rsidR="00661519" w:rsidP="00661519" w:rsidRDefault="00661519" w14:paraId="11536ECB"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48CE12AD"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6,834</w:t>
            </w:r>
          </w:p>
        </w:tc>
        <w:tc>
          <w:tcPr>
            <w:tcW w:w="1559" w:type="dxa"/>
            <w:vAlign w:val="bottom"/>
          </w:tcPr>
          <w:p w:rsidRPr="009C48DA" w:rsidR="00661519" w:rsidP="00661519" w:rsidRDefault="00661519" w14:paraId="24AF41C7"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12,418</w:t>
            </w:r>
          </w:p>
        </w:tc>
      </w:tr>
      <w:tr w:rsidRPr="009C48DA" w:rsidR="00661519" w:rsidTr="00661519" w14:paraId="70C7BE86" w14:textId="77777777">
        <w:tc>
          <w:tcPr>
            <w:tcW w:w="2127" w:type="dxa"/>
            <w:vAlign w:val="bottom"/>
          </w:tcPr>
          <w:p w:rsidRPr="009C48DA" w:rsidR="00661519" w:rsidP="00661519" w:rsidRDefault="00661519" w14:paraId="7CA086D1"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Finance income</w:t>
            </w:r>
          </w:p>
        </w:tc>
        <w:tc>
          <w:tcPr>
            <w:tcW w:w="1275" w:type="dxa"/>
          </w:tcPr>
          <w:p w:rsidRPr="009C48DA" w:rsidR="00661519" w:rsidP="00661519" w:rsidRDefault="00661519" w14:paraId="3560F6D7"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bottom"/>
          </w:tcPr>
          <w:p w:rsidRPr="009C48DA" w:rsidR="00661519" w:rsidP="00661519" w:rsidRDefault="00661519" w14:paraId="63EA53C5"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5,226</w:t>
            </w:r>
          </w:p>
        </w:tc>
        <w:tc>
          <w:tcPr>
            <w:tcW w:w="1418" w:type="dxa"/>
            <w:vAlign w:val="bottom"/>
          </w:tcPr>
          <w:p w:rsidRPr="009C48DA" w:rsidR="00661519" w:rsidP="00661519" w:rsidRDefault="00661519" w14:paraId="2F9C9937"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114</w:t>
            </w:r>
          </w:p>
        </w:tc>
        <w:tc>
          <w:tcPr>
            <w:tcW w:w="1559" w:type="dxa"/>
            <w:vAlign w:val="bottom"/>
          </w:tcPr>
          <w:p w:rsidRPr="009C48DA" w:rsidR="00661519" w:rsidP="00661519" w:rsidRDefault="00661519" w14:paraId="25AE94FF"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141</w:t>
            </w:r>
          </w:p>
        </w:tc>
        <w:tc>
          <w:tcPr>
            <w:tcW w:w="1559" w:type="dxa"/>
            <w:vAlign w:val="bottom"/>
          </w:tcPr>
          <w:p w:rsidRPr="009C48DA" w:rsidR="00661519" w:rsidP="00661519" w:rsidRDefault="00661519" w14:paraId="3596AF16"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5,481</w:t>
            </w:r>
          </w:p>
        </w:tc>
      </w:tr>
      <w:tr w:rsidRPr="009C48DA" w:rsidR="00661519" w:rsidTr="00661519" w14:paraId="1D4FEDDA" w14:textId="77777777">
        <w:tc>
          <w:tcPr>
            <w:tcW w:w="2127" w:type="dxa"/>
            <w:vAlign w:val="bottom"/>
          </w:tcPr>
          <w:p w:rsidRPr="009C48DA" w:rsidR="00661519" w:rsidP="00661519" w:rsidRDefault="00661519" w14:paraId="39E50B39"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Finance expense</w:t>
            </w:r>
          </w:p>
        </w:tc>
        <w:tc>
          <w:tcPr>
            <w:tcW w:w="1275" w:type="dxa"/>
          </w:tcPr>
          <w:p w:rsidRPr="009C48DA" w:rsidR="00661519" w:rsidP="00661519" w:rsidRDefault="00661519" w14:paraId="22EC5CF4"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bottom"/>
          </w:tcPr>
          <w:p w:rsidRPr="009C48DA" w:rsidR="00661519" w:rsidP="00661519" w:rsidRDefault="00661519" w14:paraId="60B6CEE9" w14:textId="77777777">
            <w:pPr>
              <w:pBdr>
                <w:bottom w:val="single" w:color="auto" w:sz="6" w:space="1"/>
              </w:pBd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(3,250)</w:t>
            </w:r>
          </w:p>
        </w:tc>
        <w:tc>
          <w:tcPr>
            <w:tcW w:w="1418" w:type="dxa"/>
            <w:vAlign w:val="bottom"/>
          </w:tcPr>
          <w:p w:rsidRPr="009C48DA" w:rsidR="00661519" w:rsidP="00661519" w:rsidRDefault="00661519" w14:paraId="602CAB6A" w14:textId="77777777">
            <w:pPr>
              <w:pBdr>
                <w:bottom w:val="single" w:color="auto" w:sz="6" w:space="1"/>
              </w:pBdr>
              <w:ind w:right="164"/>
              <w:jc w:val="right"/>
              <w:textAlignment w:val="baseline"/>
              <w:rPr>
                <w:rFonts w:eastAsia="Times New Roman"/>
                <w:color w:val="000000"/>
                <w:sz w:val="16"/>
                <w:lang w:val="en-GB"/>
              </w:rPr>
            </w:pPr>
            <w:r w:rsidRPr="009C48DA">
              <w:rPr>
                <w:rFonts w:eastAsia="Times New Roman"/>
                <w:color w:val="000000"/>
                <w:sz w:val="16"/>
                <w:lang w:val="en-GB"/>
              </w:rPr>
              <w:t>(114)</w:t>
            </w:r>
          </w:p>
        </w:tc>
        <w:tc>
          <w:tcPr>
            <w:tcW w:w="1559" w:type="dxa"/>
            <w:vAlign w:val="bottom"/>
          </w:tcPr>
          <w:p w:rsidRPr="009C48DA" w:rsidR="00661519" w:rsidP="00661519" w:rsidRDefault="00661519" w14:paraId="2CB8FB7E" w14:textId="77777777">
            <w:pPr>
              <w:pBdr>
                <w:bottom w:val="single" w:color="auto" w:sz="6" w:space="1"/>
              </w:pBd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(1,994)</w:t>
            </w:r>
          </w:p>
        </w:tc>
        <w:tc>
          <w:tcPr>
            <w:tcW w:w="1559" w:type="dxa"/>
            <w:vAlign w:val="bottom"/>
          </w:tcPr>
          <w:p w:rsidRPr="009C48DA" w:rsidR="00661519" w:rsidP="00661519" w:rsidRDefault="00661519" w14:paraId="4F94DF86" w14:textId="77777777">
            <w:pPr>
              <w:pBdr>
                <w:bottom w:val="single" w:color="auto" w:sz="6" w:space="1"/>
              </w:pBd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(5,358)</w:t>
            </w:r>
          </w:p>
        </w:tc>
      </w:tr>
      <w:tr w:rsidRPr="009C48DA" w:rsidR="00661519" w:rsidTr="00661519" w14:paraId="1E86EF16" w14:textId="77777777">
        <w:tc>
          <w:tcPr>
            <w:tcW w:w="2127" w:type="dxa"/>
            <w:vAlign w:val="bottom"/>
          </w:tcPr>
          <w:p w:rsidRPr="009C48DA" w:rsidR="00661519" w:rsidP="00661519" w:rsidRDefault="00661519" w14:paraId="1E647354"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0EA91AA9"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08708144" w14:textId="77777777">
            <w:pPr>
              <w:ind w:right="108"/>
              <w:jc w:val="right"/>
              <w:textAlignment w:val="baseline"/>
              <w:rPr>
                <w:rFonts w:eastAsia="Times New Roman" w:cs="Times New Roman"/>
                <w:color w:val="000000"/>
                <w:sz w:val="16"/>
                <w:szCs w:val="16"/>
                <w:lang w:val="en-GB"/>
              </w:rPr>
            </w:pPr>
          </w:p>
        </w:tc>
        <w:tc>
          <w:tcPr>
            <w:tcW w:w="1418" w:type="dxa"/>
            <w:vAlign w:val="bottom"/>
          </w:tcPr>
          <w:p w:rsidRPr="009C48DA" w:rsidR="00661519" w:rsidP="00661519" w:rsidRDefault="00661519" w14:paraId="5F1BC633" w14:textId="77777777">
            <w:pPr>
              <w:ind w:right="164"/>
              <w:jc w:val="right"/>
              <w:textAlignment w:val="baseline"/>
              <w:rPr>
                <w:rFonts w:eastAsia="Times New Roman"/>
                <w:color w:val="000000"/>
                <w:sz w:val="16"/>
                <w:lang w:val="en-GB"/>
              </w:rPr>
            </w:pPr>
          </w:p>
        </w:tc>
        <w:tc>
          <w:tcPr>
            <w:tcW w:w="1559" w:type="dxa"/>
            <w:vAlign w:val="bottom"/>
          </w:tcPr>
          <w:p w:rsidRPr="009C48DA" w:rsidR="00661519" w:rsidP="00661519" w:rsidRDefault="00661519" w14:paraId="478F6AB8"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63FDE6AA" w14:textId="77777777">
            <w:pPr>
              <w:ind w:right="139"/>
              <w:jc w:val="right"/>
              <w:textAlignment w:val="baseline"/>
              <w:rPr>
                <w:rFonts w:eastAsia="Times New Roman" w:cs="Times New Roman"/>
                <w:color w:val="000000"/>
                <w:sz w:val="16"/>
                <w:szCs w:val="16"/>
                <w:lang w:val="en-GB"/>
              </w:rPr>
            </w:pPr>
          </w:p>
        </w:tc>
      </w:tr>
      <w:tr w:rsidRPr="009C48DA" w:rsidR="00661519" w:rsidTr="00661519" w14:paraId="0F247C1E" w14:textId="77777777">
        <w:tc>
          <w:tcPr>
            <w:tcW w:w="2127" w:type="dxa"/>
            <w:vAlign w:val="bottom"/>
          </w:tcPr>
          <w:p w:rsidRPr="009C48DA" w:rsidR="00661519" w:rsidP="00661519" w:rsidRDefault="00661519" w14:paraId="398EE4FA"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Profit before income tax</w:t>
            </w:r>
          </w:p>
        </w:tc>
        <w:tc>
          <w:tcPr>
            <w:tcW w:w="1275" w:type="dxa"/>
          </w:tcPr>
          <w:p w:rsidRPr="009C48DA" w:rsidR="00661519" w:rsidP="00661519" w:rsidRDefault="00661519" w14:paraId="39F31753"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3DD29016"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7,560</w:t>
            </w:r>
          </w:p>
        </w:tc>
        <w:tc>
          <w:tcPr>
            <w:tcW w:w="1418" w:type="dxa"/>
            <w:vAlign w:val="bottom"/>
          </w:tcPr>
          <w:p w:rsidRPr="009C48DA" w:rsidR="00661519" w:rsidP="00661519" w:rsidRDefault="00661519" w14:paraId="51EE7A07"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44CC36CF"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4,981</w:t>
            </w:r>
          </w:p>
        </w:tc>
        <w:tc>
          <w:tcPr>
            <w:tcW w:w="1559" w:type="dxa"/>
            <w:vAlign w:val="bottom"/>
          </w:tcPr>
          <w:p w:rsidRPr="009C48DA" w:rsidR="00661519" w:rsidP="00661519" w:rsidRDefault="00661519" w14:paraId="695F7BFD"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12,541</w:t>
            </w:r>
          </w:p>
        </w:tc>
      </w:tr>
      <w:tr w:rsidRPr="009C48DA" w:rsidR="00661519" w:rsidTr="00661519" w14:paraId="1DFE468C" w14:textId="77777777">
        <w:tc>
          <w:tcPr>
            <w:tcW w:w="2127" w:type="dxa"/>
            <w:vAlign w:val="bottom"/>
          </w:tcPr>
          <w:p w:rsidRPr="009C48DA" w:rsidR="00661519" w:rsidP="00661519" w:rsidRDefault="00661519" w14:paraId="05BA5143"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Income tax (charge)/credit</w:t>
            </w:r>
          </w:p>
        </w:tc>
        <w:tc>
          <w:tcPr>
            <w:tcW w:w="1275" w:type="dxa"/>
          </w:tcPr>
          <w:p w:rsidRPr="009C48DA" w:rsidR="00661519" w:rsidP="00661519" w:rsidRDefault="00661519" w14:paraId="57CC19F5"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(h)</w:t>
            </w:r>
          </w:p>
        </w:tc>
        <w:tc>
          <w:tcPr>
            <w:tcW w:w="1134" w:type="dxa"/>
            <w:vAlign w:val="bottom"/>
          </w:tcPr>
          <w:p w:rsidRPr="009C48DA" w:rsidR="00661519" w:rsidP="00661519" w:rsidRDefault="00661519" w14:paraId="4C0CA2B2" w14:textId="77777777">
            <w:pPr>
              <w:pBdr>
                <w:bottom w:val="single" w:color="auto" w:sz="6"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(10,493)</w:t>
            </w:r>
          </w:p>
        </w:tc>
        <w:tc>
          <w:tcPr>
            <w:tcW w:w="1418" w:type="dxa"/>
            <w:vAlign w:val="bottom"/>
          </w:tcPr>
          <w:p w:rsidRPr="009C48DA" w:rsidR="00661519" w:rsidP="00661519" w:rsidRDefault="00661519" w14:paraId="1BCA6693" w14:textId="77777777">
            <w:pPr>
              <w:pBdr>
                <w:bottom w:val="single" w:color="auto" w:sz="6"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3ECDDC0F" w14:textId="77777777">
            <w:pPr>
              <w:pBdr>
                <w:bottom w:val="single" w:color="auto" w:sz="6"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1,017</w:t>
            </w:r>
          </w:p>
        </w:tc>
        <w:tc>
          <w:tcPr>
            <w:tcW w:w="1559" w:type="dxa"/>
            <w:vAlign w:val="bottom"/>
          </w:tcPr>
          <w:p w:rsidRPr="009C48DA" w:rsidR="00661519" w:rsidP="00661519" w:rsidRDefault="00661519" w14:paraId="7A80104D" w14:textId="77777777">
            <w:pPr>
              <w:pBdr>
                <w:bottom w:val="single" w:color="auto" w:sz="6"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(9,476)</w:t>
            </w:r>
          </w:p>
        </w:tc>
      </w:tr>
      <w:tr w:rsidRPr="009C48DA" w:rsidR="00661519" w:rsidTr="00661519" w14:paraId="45778C9A" w14:textId="77777777">
        <w:tc>
          <w:tcPr>
            <w:tcW w:w="2127" w:type="dxa"/>
            <w:vAlign w:val="bottom"/>
          </w:tcPr>
          <w:p w:rsidRPr="009C48DA" w:rsidR="00661519" w:rsidP="00661519" w:rsidRDefault="00661519" w14:paraId="3EE523FA"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77A213B8"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1FDB7B3F" w14:textId="77777777">
            <w:pPr>
              <w:ind w:right="108"/>
              <w:jc w:val="right"/>
              <w:textAlignment w:val="baseline"/>
              <w:rPr>
                <w:rFonts w:eastAsia="Times New Roman" w:cs="Times New Roman"/>
                <w:color w:val="000000"/>
                <w:sz w:val="16"/>
                <w:szCs w:val="16"/>
                <w:lang w:val="en-GB"/>
              </w:rPr>
            </w:pPr>
          </w:p>
        </w:tc>
        <w:tc>
          <w:tcPr>
            <w:tcW w:w="1418" w:type="dxa"/>
            <w:vAlign w:val="bottom"/>
          </w:tcPr>
          <w:p w:rsidRPr="009C48DA" w:rsidR="00661519" w:rsidP="00661519" w:rsidRDefault="00661519" w14:paraId="4213EE0A" w14:textId="77777777">
            <w:pPr>
              <w:ind w:right="164"/>
              <w:jc w:val="right"/>
              <w:textAlignment w:val="baseline"/>
              <w:rPr>
                <w:rFonts w:eastAsia="Times New Roman"/>
                <w:color w:val="000000"/>
                <w:sz w:val="16"/>
                <w:lang w:val="en-GB"/>
              </w:rPr>
            </w:pPr>
          </w:p>
        </w:tc>
        <w:tc>
          <w:tcPr>
            <w:tcW w:w="1559" w:type="dxa"/>
            <w:vAlign w:val="bottom"/>
          </w:tcPr>
          <w:p w:rsidRPr="009C48DA" w:rsidR="00661519" w:rsidP="00661519" w:rsidRDefault="00661519" w14:paraId="119FBA6C"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37BF6AF8" w14:textId="77777777">
            <w:pPr>
              <w:ind w:right="139"/>
              <w:jc w:val="right"/>
              <w:textAlignment w:val="baseline"/>
              <w:rPr>
                <w:rFonts w:eastAsia="Times New Roman" w:cs="Times New Roman"/>
                <w:color w:val="000000"/>
                <w:sz w:val="16"/>
                <w:szCs w:val="16"/>
                <w:lang w:val="en-GB"/>
              </w:rPr>
            </w:pPr>
          </w:p>
        </w:tc>
      </w:tr>
      <w:tr w:rsidRPr="009C48DA" w:rsidR="00661519" w:rsidTr="00661519" w14:paraId="4606092B" w14:textId="77777777">
        <w:tc>
          <w:tcPr>
            <w:tcW w:w="2127" w:type="dxa"/>
            <w:vAlign w:val="bottom"/>
          </w:tcPr>
          <w:p w:rsidRPr="009C48DA" w:rsidR="00661519" w:rsidP="00661519" w:rsidRDefault="00661519" w14:paraId="1659C7FD"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(Loss)/profit after income tax</w:t>
            </w:r>
          </w:p>
        </w:tc>
        <w:tc>
          <w:tcPr>
            <w:tcW w:w="1275" w:type="dxa"/>
          </w:tcPr>
          <w:p w:rsidRPr="009C48DA" w:rsidR="00661519" w:rsidP="00661519" w:rsidRDefault="00661519" w14:paraId="0D59F8CC"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4FAA7350" w14:textId="77777777">
            <w:pPr>
              <w:pBdr>
                <w:bottom w:val="doub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(2,933)</w:t>
            </w:r>
          </w:p>
        </w:tc>
        <w:tc>
          <w:tcPr>
            <w:tcW w:w="1418" w:type="dxa"/>
            <w:vAlign w:val="bottom"/>
          </w:tcPr>
          <w:p w:rsidRPr="009C48DA" w:rsidR="00661519" w:rsidP="00661519" w:rsidRDefault="00661519" w14:paraId="5916AFA9" w14:textId="77777777">
            <w:pPr>
              <w:pBdr>
                <w:bottom w:val="doub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565DB9F0" w14:textId="77777777">
            <w:pPr>
              <w:pBdr>
                <w:bottom w:val="doub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5,998</w:t>
            </w:r>
          </w:p>
        </w:tc>
        <w:tc>
          <w:tcPr>
            <w:tcW w:w="1559" w:type="dxa"/>
            <w:vAlign w:val="bottom"/>
          </w:tcPr>
          <w:p w:rsidRPr="009C48DA" w:rsidR="00661519" w:rsidP="00661519" w:rsidRDefault="00661519" w14:paraId="64B31A55" w14:textId="77777777">
            <w:pPr>
              <w:pBdr>
                <w:bottom w:val="doub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3,065</w:t>
            </w:r>
          </w:p>
        </w:tc>
      </w:tr>
      <w:tr w:rsidRPr="009C48DA" w:rsidR="00661519" w:rsidTr="00661519" w14:paraId="156AE19D" w14:textId="77777777">
        <w:tc>
          <w:tcPr>
            <w:tcW w:w="2127" w:type="dxa"/>
            <w:vAlign w:val="bottom"/>
          </w:tcPr>
          <w:p w:rsidRPr="009C48DA" w:rsidR="00661519" w:rsidP="00661519" w:rsidRDefault="00661519" w14:paraId="709A8BBD"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73EFB8AF"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4E8D087C" w14:textId="77777777">
            <w:pPr>
              <w:ind w:right="108"/>
              <w:jc w:val="right"/>
              <w:textAlignment w:val="baseline"/>
              <w:rPr>
                <w:rFonts w:eastAsia="Times New Roman" w:cs="Times New Roman"/>
                <w:color w:val="000000"/>
                <w:sz w:val="16"/>
                <w:szCs w:val="16"/>
                <w:lang w:val="en-GB"/>
              </w:rPr>
            </w:pPr>
          </w:p>
        </w:tc>
        <w:tc>
          <w:tcPr>
            <w:tcW w:w="1418" w:type="dxa"/>
            <w:vAlign w:val="bottom"/>
          </w:tcPr>
          <w:p w:rsidRPr="009C48DA" w:rsidR="00661519" w:rsidP="00661519" w:rsidRDefault="00661519" w14:paraId="138B6114" w14:textId="77777777">
            <w:pPr>
              <w:ind w:right="164"/>
              <w:jc w:val="right"/>
              <w:textAlignment w:val="baseline"/>
              <w:rPr>
                <w:rFonts w:eastAsia="Times New Roman"/>
                <w:color w:val="000000"/>
                <w:sz w:val="16"/>
                <w:lang w:val="en-GB"/>
              </w:rPr>
            </w:pPr>
          </w:p>
        </w:tc>
        <w:tc>
          <w:tcPr>
            <w:tcW w:w="1559" w:type="dxa"/>
            <w:vAlign w:val="bottom"/>
          </w:tcPr>
          <w:p w:rsidRPr="009C48DA" w:rsidR="00661519" w:rsidP="00661519" w:rsidRDefault="00661519" w14:paraId="6518028C"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65269D3C" w14:textId="77777777">
            <w:pPr>
              <w:ind w:right="139"/>
              <w:jc w:val="right"/>
              <w:textAlignment w:val="baseline"/>
              <w:rPr>
                <w:rFonts w:eastAsia="Times New Roman" w:cs="Times New Roman"/>
                <w:color w:val="000000"/>
                <w:sz w:val="16"/>
                <w:szCs w:val="16"/>
                <w:lang w:val="en-GB"/>
              </w:rPr>
            </w:pPr>
          </w:p>
        </w:tc>
      </w:tr>
      <w:tr w:rsidRPr="009C48DA" w:rsidR="00661519" w:rsidTr="00661519" w14:paraId="569F000E" w14:textId="77777777">
        <w:tc>
          <w:tcPr>
            <w:tcW w:w="2127" w:type="dxa"/>
            <w:vAlign w:val="bottom"/>
          </w:tcPr>
          <w:p w:rsidRPr="009C48DA" w:rsidR="00661519" w:rsidP="00661519" w:rsidRDefault="00661519" w14:paraId="405DFD35"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Attributable to:</w:t>
            </w:r>
          </w:p>
        </w:tc>
        <w:tc>
          <w:tcPr>
            <w:tcW w:w="1275" w:type="dxa"/>
          </w:tcPr>
          <w:p w:rsidRPr="009C48DA" w:rsidR="00661519" w:rsidP="00661519" w:rsidRDefault="00661519" w14:paraId="70C7A46E"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35FC096C" w14:textId="77777777">
            <w:pPr>
              <w:ind w:right="108"/>
              <w:jc w:val="right"/>
              <w:textAlignment w:val="baseline"/>
              <w:rPr>
                <w:rFonts w:eastAsia="Times New Roman" w:cs="Times New Roman"/>
                <w:color w:val="000000"/>
                <w:sz w:val="16"/>
                <w:szCs w:val="16"/>
                <w:lang w:val="en-GB"/>
              </w:rPr>
            </w:pPr>
          </w:p>
        </w:tc>
        <w:tc>
          <w:tcPr>
            <w:tcW w:w="1418" w:type="dxa"/>
            <w:vAlign w:val="bottom"/>
          </w:tcPr>
          <w:p w:rsidRPr="009C48DA" w:rsidR="00661519" w:rsidP="00661519" w:rsidRDefault="00661519" w14:paraId="210238A5" w14:textId="77777777">
            <w:pPr>
              <w:ind w:right="164"/>
              <w:jc w:val="right"/>
              <w:textAlignment w:val="baseline"/>
              <w:rPr>
                <w:rFonts w:eastAsia="Times New Roman"/>
                <w:color w:val="000000"/>
                <w:sz w:val="16"/>
                <w:lang w:val="en-GB"/>
              </w:rPr>
            </w:pPr>
          </w:p>
        </w:tc>
        <w:tc>
          <w:tcPr>
            <w:tcW w:w="1559" w:type="dxa"/>
            <w:vAlign w:val="bottom"/>
          </w:tcPr>
          <w:p w:rsidRPr="009C48DA" w:rsidR="00661519" w:rsidP="00661519" w:rsidRDefault="00661519" w14:paraId="6D43E58F"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60CA940F" w14:textId="77777777">
            <w:pPr>
              <w:ind w:right="139"/>
              <w:jc w:val="right"/>
              <w:textAlignment w:val="baseline"/>
              <w:rPr>
                <w:rFonts w:eastAsia="Times New Roman" w:cs="Times New Roman"/>
                <w:color w:val="000000"/>
                <w:sz w:val="16"/>
                <w:szCs w:val="16"/>
                <w:lang w:val="en-GB"/>
              </w:rPr>
            </w:pPr>
          </w:p>
        </w:tc>
      </w:tr>
      <w:tr w:rsidRPr="009C48DA" w:rsidR="00661519" w:rsidTr="00661519" w14:paraId="74F200AF" w14:textId="77777777">
        <w:tc>
          <w:tcPr>
            <w:tcW w:w="2127" w:type="dxa"/>
            <w:vAlign w:val="bottom"/>
          </w:tcPr>
          <w:p w:rsidRPr="009C48DA" w:rsidR="00661519" w:rsidP="00661519" w:rsidRDefault="00661519" w14:paraId="2CD1F58D"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Equity holders of the parent</w:t>
            </w:r>
          </w:p>
        </w:tc>
        <w:tc>
          <w:tcPr>
            <w:tcW w:w="1275" w:type="dxa"/>
          </w:tcPr>
          <w:p w:rsidRPr="009C48DA" w:rsidR="00661519" w:rsidP="00661519" w:rsidRDefault="00661519" w14:paraId="0DC5DB3F"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7A78BC20"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(9,326)</w:t>
            </w:r>
          </w:p>
        </w:tc>
        <w:tc>
          <w:tcPr>
            <w:tcW w:w="1418" w:type="dxa"/>
            <w:vAlign w:val="bottom"/>
          </w:tcPr>
          <w:p w:rsidRPr="009C48DA" w:rsidR="00661519" w:rsidP="00661519" w:rsidRDefault="00661519" w14:paraId="04D61954"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24966F2E"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4,667</w:t>
            </w:r>
          </w:p>
        </w:tc>
        <w:tc>
          <w:tcPr>
            <w:tcW w:w="1559" w:type="dxa"/>
            <w:vAlign w:val="bottom"/>
          </w:tcPr>
          <w:p w:rsidRPr="009C48DA" w:rsidR="00661519" w:rsidP="00661519" w:rsidRDefault="00661519" w14:paraId="3A33EC03"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(4,659)</w:t>
            </w:r>
          </w:p>
        </w:tc>
      </w:tr>
      <w:tr w:rsidRPr="009C48DA" w:rsidR="00661519" w:rsidTr="00661519" w14:paraId="6B543BA3" w14:textId="77777777">
        <w:tc>
          <w:tcPr>
            <w:tcW w:w="2127" w:type="dxa"/>
            <w:vAlign w:val="bottom"/>
          </w:tcPr>
          <w:p w:rsidRPr="009C48DA" w:rsidR="00661519" w:rsidP="00661519" w:rsidRDefault="00661519" w14:paraId="0311325D"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Non-controlling interests</w:t>
            </w:r>
          </w:p>
        </w:tc>
        <w:tc>
          <w:tcPr>
            <w:tcW w:w="1275" w:type="dxa"/>
          </w:tcPr>
          <w:p w:rsidRPr="009C48DA" w:rsidR="00661519" w:rsidP="00661519" w:rsidRDefault="00661519" w14:paraId="45C5C5C5"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4F40E1F2"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6,393</w:t>
            </w:r>
          </w:p>
        </w:tc>
        <w:tc>
          <w:tcPr>
            <w:tcW w:w="1418" w:type="dxa"/>
            <w:vAlign w:val="bottom"/>
          </w:tcPr>
          <w:p w:rsidRPr="009C48DA" w:rsidR="00661519" w:rsidP="00661519" w:rsidRDefault="00661519" w14:paraId="0728E76B"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4742B9EE"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1,331</w:t>
            </w:r>
          </w:p>
        </w:tc>
        <w:tc>
          <w:tcPr>
            <w:tcW w:w="1559" w:type="dxa"/>
            <w:vAlign w:val="bottom"/>
          </w:tcPr>
          <w:p w:rsidRPr="009C48DA" w:rsidR="00661519" w:rsidP="00661519" w:rsidRDefault="00661519" w14:paraId="65E3B2EE"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7,724</w:t>
            </w:r>
          </w:p>
        </w:tc>
      </w:tr>
      <w:tr w:rsidRPr="009C48DA" w:rsidR="00661519" w:rsidTr="00661519" w14:paraId="55209970" w14:textId="77777777">
        <w:tc>
          <w:tcPr>
            <w:tcW w:w="2127" w:type="dxa"/>
            <w:vAlign w:val="bottom"/>
          </w:tcPr>
          <w:p w:rsidRPr="009C48DA" w:rsidR="00661519" w:rsidP="00661519" w:rsidRDefault="00661519" w14:paraId="1980BAA1"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7A8460DE"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43850F32" w14:textId="77777777">
            <w:pPr>
              <w:pBdr>
                <w:bottom w:val="doub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(2,933)</w:t>
            </w:r>
          </w:p>
        </w:tc>
        <w:tc>
          <w:tcPr>
            <w:tcW w:w="1418" w:type="dxa"/>
            <w:vAlign w:val="bottom"/>
          </w:tcPr>
          <w:p w:rsidRPr="009C48DA" w:rsidR="00661519" w:rsidP="00661519" w:rsidRDefault="00661519" w14:paraId="62A4D664" w14:textId="77777777">
            <w:pPr>
              <w:pBdr>
                <w:bottom w:val="doub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68C1A360" w14:textId="77777777">
            <w:pPr>
              <w:pBdr>
                <w:bottom w:val="doub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5,998</w:t>
            </w:r>
          </w:p>
        </w:tc>
        <w:tc>
          <w:tcPr>
            <w:tcW w:w="1559" w:type="dxa"/>
            <w:vAlign w:val="bottom"/>
          </w:tcPr>
          <w:p w:rsidRPr="009C48DA" w:rsidR="00661519" w:rsidP="00661519" w:rsidRDefault="00661519" w14:paraId="67A58D0A" w14:textId="77777777">
            <w:pPr>
              <w:pBdr>
                <w:bottom w:val="doub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3,065</w:t>
            </w:r>
          </w:p>
        </w:tc>
      </w:tr>
    </w:tbl>
    <w:p w:rsidRPr="009C48DA" w:rsidR="00661519" w:rsidP="00661519" w:rsidRDefault="00661519" w14:paraId="5EAB519A" w14:textId="77777777">
      <w:pPr>
        <w:textAlignment w:val="baseline"/>
        <w:rPr>
          <w:rFonts w:eastAsia="Times New Roman" w:cs="Times New Roman"/>
          <w:b/>
          <w:color w:val="000000"/>
          <w:sz w:val="17"/>
          <w:szCs w:val="22"/>
          <w:lang w:val="en-GB"/>
        </w:rPr>
      </w:pPr>
    </w:p>
    <w:p w:rsidRPr="009C48DA" w:rsidR="00661519" w:rsidP="00661519" w:rsidRDefault="00661519" w14:paraId="6D665AB5" w14:textId="77777777">
      <w:pPr>
        <w:textAlignment w:val="baseline"/>
        <w:rPr>
          <w:rFonts w:eastAsia="Times New Roman" w:cs="Times New Roman"/>
          <w:b/>
          <w:color w:val="000000"/>
          <w:sz w:val="17"/>
          <w:szCs w:val="22"/>
          <w:lang w:val="en-GB"/>
        </w:rPr>
      </w:pPr>
      <w:r w:rsidRPr="009C48DA">
        <w:rPr>
          <w:lang w:val="en-GB"/>
        </w:rPr>
        <w:br w:type="page"/>
      </w:r>
      <w:r w:rsidRPr="009C48DA">
        <w:rPr>
          <w:rFonts w:eastAsia="Times New Roman" w:cs="Times New Roman"/>
          <w:b/>
          <w:color w:val="000000"/>
          <w:sz w:val="17"/>
          <w:szCs w:val="22"/>
          <w:lang w:val="en-GB"/>
        </w:rPr>
        <w:lastRenderedPageBreak/>
        <w:t>Consolidated Income Statement for the year ended 31 December 2019</w:t>
      </w:r>
    </w:p>
    <w:p w:rsidRPr="009C48DA" w:rsidR="00661519" w:rsidP="00661519" w:rsidRDefault="00661519" w14:paraId="0AB2C2D3" w14:textId="77777777">
      <w:pPr>
        <w:rPr>
          <w:lang w:val="en-GB"/>
        </w:rPr>
      </w:pPr>
    </w:p>
    <w:tbl>
      <w:tblPr>
        <w:tblW w:w="9072" w:type="dxa"/>
        <w:tblLayout w:type="fixed"/>
        <w:tblCellMar>
          <w:left w:w="0" w:type="dxa"/>
          <w:right w:w="0" w:type="dxa"/>
        </w:tblCellMar>
        <w:tblLook w:val="04A0" w:firstRow="1" w:lastRow="0" w:firstColumn="1" w:lastColumn="0" w:noHBand="0" w:noVBand="1"/>
      </w:tblPr>
      <w:tblGrid>
        <w:gridCol w:w="2127"/>
        <w:gridCol w:w="1275"/>
        <w:gridCol w:w="1134"/>
        <w:gridCol w:w="1418"/>
        <w:gridCol w:w="1559"/>
        <w:gridCol w:w="1559"/>
      </w:tblGrid>
      <w:tr w:rsidRPr="009C48DA" w:rsidR="00661519" w:rsidTr="00661519" w14:paraId="3B8A4F8F" w14:textId="77777777">
        <w:tc>
          <w:tcPr>
            <w:tcW w:w="2127" w:type="dxa"/>
          </w:tcPr>
          <w:p w:rsidRPr="009C48DA" w:rsidR="00661519" w:rsidP="00661519" w:rsidRDefault="00661519" w14:paraId="06E8CFE1" w14:textId="77777777">
            <w:pPr>
              <w:textAlignment w:val="baseline"/>
              <w:rPr>
                <w:rFonts w:eastAsia="Times New Roman" w:cs="Times New Roman"/>
                <w:b/>
                <w:color w:val="000000"/>
                <w:sz w:val="16"/>
                <w:szCs w:val="16"/>
                <w:lang w:val="en-GB"/>
              </w:rPr>
            </w:pPr>
          </w:p>
        </w:tc>
        <w:tc>
          <w:tcPr>
            <w:tcW w:w="1275" w:type="dxa"/>
            <w:vAlign w:val="bottom"/>
          </w:tcPr>
          <w:p w:rsidRPr="009C48DA" w:rsidR="00661519" w:rsidP="00661519" w:rsidRDefault="00661519" w14:paraId="2C7B9932" w14:textId="77777777">
            <w:pPr>
              <w:ind w:right="108"/>
              <w:jc w:val="center"/>
              <w:textAlignment w:val="baseline"/>
              <w:rPr>
                <w:rFonts w:eastAsia="Times New Roman" w:cs="Times New Roman"/>
                <w:b/>
                <w:color w:val="000000"/>
                <w:sz w:val="16"/>
                <w:szCs w:val="16"/>
                <w:lang w:val="en-GB"/>
              </w:rPr>
            </w:pPr>
          </w:p>
          <w:p w:rsidRPr="009C48DA" w:rsidR="00661519" w:rsidP="00661519" w:rsidRDefault="00661519" w14:paraId="1CB0DE52" w14:textId="77777777">
            <w:pPr>
              <w:ind w:right="108"/>
              <w:jc w:val="center"/>
              <w:textAlignment w:val="baseline"/>
              <w:rPr>
                <w:rFonts w:eastAsia="Times New Roman" w:cs="Times New Roman"/>
                <w:b/>
                <w:color w:val="000000"/>
                <w:sz w:val="16"/>
                <w:szCs w:val="16"/>
                <w:lang w:val="en-GB"/>
              </w:rPr>
            </w:pPr>
          </w:p>
          <w:p w:rsidRPr="009C48DA" w:rsidR="00661519" w:rsidP="00661519" w:rsidRDefault="00661519" w14:paraId="484DAA62" w14:textId="77777777">
            <w:pPr>
              <w:ind w:right="10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Note</w:t>
            </w:r>
          </w:p>
        </w:tc>
        <w:tc>
          <w:tcPr>
            <w:tcW w:w="1134" w:type="dxa"/>
            <w:vAlign w:val="bottom"/>
          </w:tcPr>
          <w:p w:rsidRPr="009C48DA" w:rsidR="00661519" w:rsidP="00661519" w:rsidRDefault="00661519" w14:paraId="668E4D16" w14:textId="77777777">
            <w:pPr>
              <w:ind w:right="10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UK GAAP</w:t>
            </w:r>
          </w:p>
          <w:p w:rsidRPr="009C48DA" w:rsidR="00661519" w:rsidP="00661519" w:rsidRDefault="00661519" w14:paraId="7C303CE0" w14:textId="77777777">
            <w:pPr>
              <w:ind w:right="10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418" w:type="dxa"/>
            <w:vAlign w:val="bottom"/>
          </w:tcPr>
          <w:p w:rsidRPr="009C48DA" w:rsidR="00661519" w:rsidP="00661519" w:rsidRDefault="00661519" w14:paraId="619C4F30"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Reclassification</w:t>
            </w:r>
          </w:p>
          <w:p w:rsidRPr="009C48DA" w:rsidR="00661519" w:rsidP="00661519" w:rsidRDefault="00661519" w14:paraId="4496E158"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£ 000 </w:t>
            </w:r>
          </w:p>
        </w:tc>
        <w:tc>
          <w:tcPr>
            <w:tcW w:w="1559" w:type="dxa"/>
            <w:vAlign w:val="bottom"/>
          </w:tcPr>
          <w:p w:rsidRPr="009C48DA" w:rsidR="00661519" w:rsidP="00661519" w:rsidRDefault="00661519" w14:paraId="6B4FBEF0"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Recognition and measurement differences</w:t>
            </w:r>
          </w:p>
          <w:p w:rsidRPr="009C48DA" w:rsidR="00661519" w:rsidP="00661519" w:rsidRDefault="00661519" w14:paraId="6D5CF273"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559" w:type="dxa"/>
            <w:vAlign w:val="bottom"/>
          </w:tcPr>
          <w:p w:rsidRPr="009C48DA" w:rsidR="00661519" w:rsidP="00661519" w:rsidRDefault="00661519" w14:paraId="21CE09F5"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xml:space="preserve">IFRS for the year ended </w:t>
            </w:r>
          </w:p>
          <w:p w:rsidRPr="009C48DA" w:rsidR="00661519" w:rsidP="00661519" w:rsidRDefault="00661519" w14:paraId="7860D04C"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31 December 2019</w:t>
            </w:r>
          </w:p>
          <w:p w:rsidRPr="009C48DA" w:rsidR="00661519" w:rsidP="00661519" w:rsidRDefault="00661519" w14:paraId="3523DAB6"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411DE40A" w14:textId="77777777">
        <w:tc>
          <w:tcPr>
            <w:tcW w:w="2127" w:type="dxa"/>
            <w:vAlign w:val="bottom"/>
          </w:tcPr>
          <w:p w:rsidRPr="009C48DA" w:rsidR="00661519" w:rsidP="00661519" w:rsidRDefault="00661519" w14:paraId="441AF9D0"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Management fees</w:t>
            </w:r>
          </w:p>
        </w:tc>
        <w:tc>
          <w:tcPr>
            <w:tcW w:w="1275" w:type="dxa"/>
          </w:tcPr>
          <w:p w:rsidRPr="009C48DA" w:rsidR="00661519" w:rsidP="00661519" w:rsidRDefault="00661519" w14:paraId="59EE8ABC"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2F4D36E6"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418" w:type="dxa"/>
            <w:vAlign w:val="bottom"/>
          </w:tcPr>
          <w:p w:rsidRPr="009C48DA" w:rsidR="00661519" w:rsidP="00661519" w:rsidRDefault="00661519" w14:paraId="403FDEE9"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143,893</w:t>
            </w:r>
          </w:p>
        </w:tc>
        <w:tc>
          <w:tcPr>
            <w:tcW w:w="1559" w:type="dxa"/>
            <w:vAlign w:val="bottom"/>
          </w:tcPr>
          <w:p w:rsidRPr="009C48DA" w:rsidR="00661519" w:rsidP="00661519" w:rsidRDefault="00661519" w14:paraId="6D5763D0"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4C9D143A"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143,893</w:t>
            </w:r>
          </w:p>
        </w:tc>
      </w:tr>
      <w:tr w:rsidRPr="009C48DA" w:rsidR="00661519" w:rsidTr="00661519" w14:paraId="4746F3BA" w14:textId="77777777">
        <w:tc>
          <w:tcPr>
            <w:tcW w:w="2127" w:type="dxa"/>
            <w:vAlign w:val="bottom"/>
          </w:tcPr>
          <w:p w:rsidRPr="009C48DA" w:rsidR="00661519" w:rsidP="00661519" w:rsidRDefault="00661519" w14:paraId="32C22DD9"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Carried interest</w:t>
            </w:r>
          </w:p>
        </w:tc>
        <w:tc>
          <w:tcPr>
            <w:tcW w:w="1275" w:type="dxa"/>
          </w:tcPr>
          <w:p w:rsidRPr="009C48DA" w:rsidR="00661519" w:rsidP="00661519" w:rsidRDefault="00661519" w14:paraId="5E65ABFB"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(d)</w:t>
            </w:r>
          </w:p>
        </w:tc>
        <w:tc>
          <w:tcPr>
            <w:tcW w:w="1134" w:type="dxa"/>
            <w:vAlign w:val="bottom"/>
          </w:tcPr>
          <w:p w:rsidRPr="009C48DA" w:rsidR="00661519" w:rsidP="00661519" w:rsidRDefault="00661519" w14:paraId="7D83A754"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w:t>
            </w:r>
          </w:p>
        </w:tc>
        <w:tc>
          <w:tcPr>
            <w:tcW w:w="1418" w:type="dxa"/>
            <w:vAlign w:val="bottom"/>
          </w:tcPr>
          <w:p w:rsidRPr="009C48DA" w:rsidR="00661519" w:rsidP="00661519" w:rsidRDefault="00661519" w14:paraId="3EB737FA"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28,667</w:t>
            </w:r>
          </w:p>
        </w:tc>
        <w:tc>
          <w:tcPr>
            <w:tcW w:w="1559" w:type="dxa"/>
            <w:vAlign w:val="bottom"/>
          </w:tcPr>
          <w:p w:rsidRPr="009C48DA" w:rsidR="00661519" w:rsidP="00661519" w:rsidRDefault="00661519" w14:paraId="15EB5268"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(19,085)</w:t>
            </w:r>
          </w:p>
        </w:tc>
        <w:tc>
          <w:tcPr>
            <w:tcW w:w="1559" w:type="dxa"/>
            <w:vAlign w:val="bottom"/>
          </w:tcPr>
          <w:p w:rsidRPr="009C48DA" w:rsidR="00661519" w:rsidP="00661519" w:rsidRDefault="00661519" w14:paraId="7FC5186C"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9,582</w:t>
            </w:r>
          </w:p>
        </w:tc>
      </w:tr>
      <w:tr w:rsidRPr="009C48DA" w:rsidR="00661519" w:rsidTr="00661519" w14:paraId="4D4C4123" w14:textId="77777777">
        <w:tc>
          <w:tcPr>
            <w:tcW w:w="2127" w:type="dxa"/>
            <w:vAlign w:val="bottom"/>
          </w:tcPr>
          <w:p w:rsidRPr="009C48DA" w:rsidR="00661519" w:rsidP="00661519" w:rsidRDefault="00661519" w14:paraId="0800F03B"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Fair value remeasurement of investments</w:t>
            </w:r>
          </w:p>
        </w:tc>
        <w:tc>
          <w:tcPr>
            <w:tcW w:w="1275" w:type="dxa"/>
          </w:tcPr>
          <w:p w:rsidRPr="009C48DA" w:rsidR="00661519" w:rsidP="00661519" w:rsidRDefault="00661519" w14:paraId="270CA9C1"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2BD90BEF"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418" w:type="dxa"/>
            <w:vAlign w:val="bottom"/>
          </w:tcPr>
          <w:p w:rsidRPr="009C48DA" w:rsidR="00661519" w:rsidP="00661519" w:rsidRDefault="00661519" w14:paraId="40AB99DB"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14,467</w:t>
            </w:r>
          </w:p>
        </w:tc>
        <w:tc>
          <w:tcPr>
            <w:tcW w:w="1559" w:type="dxa"/>
            <w:vAlign w:val="bottom"/>
          </w:tcPr>
          <w:p w:rsidRPr="009C48DA" w:rsidR="00661519" w:rsidP="00661519" w:rsidRDefault="00661519" w14:paraId="123A2BB8"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5CABFE6B"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14,467</w:t>
            </w:r>
          </w:p>
        </w:tc>
      </w:tr>
      <w:tr w:rsidRPr="009C48DA" w:rsidR="00661519" w:rsidTr="00661519" w14:paraId="02F68A76" w14:textId="77777777">
        <w:tc>
          <w:tcPr>
            <w:tcW w:w="2127" w:type="dxa"/>
            <w:vAlign w:val="bottom"/>
          </w:tcPr>
          <w:p w:rsidRPr="009C48DA" w:rsidR="00661519" w:rsidP="00661519" w:rsidRDefault="00661519" w14:paraId="016BB5A2"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Other operating income</w:t>
            </w:r>
          </w:p>
        </w:tc>
        <w:tc>
          <w:tcPr>
            <w:tcW w:w="1275" w:type="dxa"/>
          </w:tcPr>
          <w:p w:rsidRPr="009C48DA" w:rsidR="00661519" w:rsidP="00661519" w:rsidRDefault="00661519" w14:paraId="1C23BA22"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21A85943" w14:textId="77777777">
            <w:pPr>
              <w:pBdr>
                <w:bottom w:val="single" w:color="auto" w:sz="8" w:space="1"/>
              </w:pBd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418" w:type="dxa"/>
            <w:vAlign w:val="bottom"/>
          </w:tcPr>
          <w:p w:rsidRPr="009C48DA" w:rsidR="00661519" w:rsidP="00661519" w:rsidRDefault="00661519" w14:paraId="52751314" w14:textId="77777777">
            <w:pPr>
              <w:pBdr>
                <w:bottom w:val="single" w:color="auto" w:sz="8" w:space="1"/>
              </w:pBdr>
              <w:ind w:right="164"/>
              <w:jc w:val="right"/>
              <w:textAlignment w:val="baseline"/>
              <w:rPr>
                <w:rFonts w:eastAsia="Times New Roman"/>
                <w:color w:val="000000"/>
                <w:sz w:val="16"/>
                <w:lang w:val="en-GB"/>
              </w:rPr>
            </w:pPr>
            <w:r w:rsidRPr="009C48DA">
              <w:rPr>
                <w:rFonts w:eastAsia="Times New Roman"/>
                <w:color w:val="000000"/>
                <w:sz w:val="16"/>
                <w:lang w:val="en-GB"/>
              </w:rPr>
              <w:t>1,895</w:t>
            </w:r>
          </w:p>
        </w:tc>
        <w:tc>
          <w:tcPr>
            <w:tcW w:w="1559" w:type="dxa"/>
            <w:vAlign w:val="bottom"/>
          </w:tcPr>
          <w:p w:rsidRPr="009C48DA" w:rsidR="00661519" w:rsidP="00661519" w:rsidRDefault="00661519" w14:paraId="7069BD24" w14:textId="77777777">
            <w:pPr>
              <w:pBdr>
                <w:bottom w:val="single" w:color="auto" w:sz="8" w:space="1"/>
              </w:pBd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238A128E" w14:textId="77777777">
            <w:pPr>
              <w:pBdr>
                <w:bottom w:val="single" w:color="auto" w:sz="8" w:space="1"/>
              </w:pBd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1,895</w:t>
            </w:r>
          </w:p>
        </w:tc>
      </w:tr>
      <w:tr w:rsidRPr="009C48DA" w:rsidR="00661519" w:rsidTr="00661519" w14:paraId="2AACD136" w14:textId="77777777">
        <w:tc>
          <w:tcPr>
            <w:tcW w:w="2127" w:type="dxa"/>
            <w:vAlign w:val="bottom"/>
          </w:tcPr>
          <w:p w:rsidRPr="009C48DA" w:rsidR="00661519" w:rsidP="00661519" w:rsidRDefault="00661519" w14:paraId="472A7F2C" w14:textId="77777777">
            <w:pPr>
              <w:textAlignment w:val="baseline"/>
              <w:rPr>
                <w:rFonts w:eastAsia="Times New Roman" w:cs="Times New Roman"/>
                <w:b/>
                <w:color w:val="000000"/>
                <w:sz w:val="16"/>
                <w:szCs w:val="16"/>
                <w:lang w:val="en-GB"/>
              </w:rPr>
            </w:pPr>
          </w:p>
          <w:p w:rsidRPr="009C48DA" w:rsidR="00661519" w:rsidP="00661519" w:rsidRDefault="00661519" w14:paraId="445D9E91"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operating income</w:t>
            </w:r>
          </w:p>
        </w:tc>
        <w:tc>
          <w:tcPr>
            <w:tcW w:w="1275" w:type="dxa"/>
          </w:tcPr>
          <w:p w:rsidRPr="009C48DA" w:rsidR="00661519" w:rsidP="00661519" w:rsidRDefault="00661519" w14:paraId="5698FA84"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45CF6BA0"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418" w:type="dxa"/>
            <w:vAlign w:val="bottom"/>
          </w:tcPr>
          <w:p w:rsidRPr="009C48DA" w:rsidR="00661519" w:rsidP="00661519" w:rsidRDefault="00661519" w14:paraId="4160B284"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188,922</w:t>
            </w:r>
          </w:p>
        </w:tc>
        <w:tc>
          <w:tcPr>
            <w:tcW w:w="1559" w:type="dxa"/>
            <w:vAlign w:val="bottom"/>
          </w:tcPr>
          <w:p w:rsidRPr="009C48DA" w:rsidR="00661519" w:rsidP="00661519" w:rsidRDefault="00661519" w14:paraId="35AD402E"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(19,085)</w:t>
            </w:r>
          </w:p>
        </w:tc>
        <w:tc>
          <w:tcPr>
            <w:tcW w:w="1559" w:type="dxa"/>
            <w:vAlign w:val="bottom"/>
          </w:tcPr>
          <w:p w:rsidRPr="009C48DA" w:rsidR="00661519" w:rsidP="00661519" w:rsidRDefault="00661519" w14:paraId="5283F076"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169,837</w:t>
            </w:r>
          </w:p>
        </w:tc>
      </w:tr>
      <w:tr w:rsidRPr="009C48DA" w:rsidR="00661519" w:rsidTr="00661519" w14:paraId="5FA1111B" w14:textId="77777777">
        <w:tc>
          <w:tcPr>
            <w:tcW w:w="2127" w:type="dxa"/>
            <w:vAlign w:val="bottom"/>
          </w:tcPr>
          <w:p w:rsidRPr="009C48DA" w:rsidR="00661519" w:rsidP="00661519" w:rsidRDefault="00661519" w14:paraId="42E2BF23"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0FCB763D" w14:textId="77777777">
            <w:pPr>
              <w:ind w:right="108"/>
              <w:jc w:val="center"/>
              <w:textAlignment w:val="baseline"/>
              <w:rPr>
                <w:rFonts w:eastAsia="Times New Roman"/>
                <w:color w:val="000000"/>
                <w:sz w:val="24"/>
                <w:lang w:val="en-GB"/>
              </w:rPr>
            </w:pPr>
          </w:p>
        </w:tc>
        <w:tc>
          <w:tcPr>
            <w:tcW w:w="1134" w:type="dxa"/>
            <w:vAlign w:val="bottom"/>
          </w:tcPr>
          <w:p w:rsidRPr="009C48DA" w:rsidR="00661519" w:rsidP="00661519" w:rsidRDefault="00661519" w14:paraId="0B83B172"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c>
          <w:tcPr>
            <w:tcW w:w="1418" w:type="dxa"/>
            <w:vAlign w:val="bottom"/>
          </w:tcPr>
          <w:p w:rsidRPr="009C48DA" w:rsidR="00661519" w:rsidP="00661519" w:rsidRDefault="00661519" w14:paraId="563B0721" w14:textId="77777777">
            <w:pPr>
              <w:ind w:right="164"/>
              <w:jc w:val="right"/>
              <w:textAlignment w:val="baseline"/>
              <w:rPr>
                <w:rFonts w:eastAsia="Times New Roman"/>
                <w:color w:val="000000"/>
                <w:sz w:val="24"/>
                <w:lang w:val="en-GB"/>
              </w:rPr>
            </w:pPr>
          </w:p>
        </w:tc>
        <w:tc>
          <w:tcPr>
            <w:tcW w:w="1559" w:type="dxa"/>
            <w:vAlign w:val="bottom"/>
          </w:tcPr>
          <w:p w:rsidRPr="009C48DA" w:rsidR="00661519" w:rsidP="00661519" w:rsidRDefault="00661519" w14:paraId="318D56FA"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c>
          <w:tcPr>
            <w:tcW w:w="1559" w:type="dxa"/>
            <w:vAlign w:val="bottom"/>
          </w:tcPr>
          <w:p w:rsidRPr="009C48DA" w:rsidR="00661519" w:rsidP="00661519" w:rsidRDefault="00661519" w14:paraId="164E946F"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r>
      <w:tr w:rsidRPr="009C48DA" w:rsidR="00661519" w:rsidTr="00661519" w14:paraId="0FC99D30" w14:textId="77777777">
        <w:tc>
          <w:tcPr>
            <w:tcW w:w="2127" w:type="dxa"/>
            <w:vAlign w:val="bottom"/>
          </w:tcPr>
          <w:p w:rsidRPr="009C48DA" w:rsidR="00661519" w:rsidP="00661519" w:rsidRDefault="00661519" w14:paraId="411A2E26"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Turnover</w:t>
            </w:r>
          </w:p>
        </w:tc>
        <w:tc>
          <w:tcPr>
            <w:tcW w:w="1275" w:type="dxa"/>
          </w:tcPr>
          <w:p w:rsidRPr="009C48DA" w:rsidR="00661519" w:rsidP="00661519" w:rsidRDefault="00661519" w14:paraId="24692C84"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71DD8D15"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147,885</w:t>
            </w:r>
          </w:p>
        </w:tc>
        <w:tc>
          <w:tcPr>
            <w:tcW w:w="1418" w:type="dxa"/>
            <w:vAlign w:val="bottom"/>
          </w:tcPr>
          <w:p w:rsidRPr="009C48DA" w:rsidR="00661519" w:rsidP="00661519" w:rsidRDefault="00661519" w14:paraId="5B7A4342"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(147,885)</w:t>
            </w:r>
          </w:p>
        </w:tc>
        <w:tc>
          <w:tcPr>
            <w:tcW w:w="1559" w:type="dxa"/>
            <w:vAlign w:val="bottom"/>
          </w:tcPr>
          <w:p w:rsidRPr="009C48DA" w:rsidR="00661519" w:rsidP="00661519" w:rsidRDefault="00661519" w14:paraId="7C7312B7"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65A1EB37"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7B7B9342" w14:textId="77777777">
        <w:tc>
          <w:tcPr>
            <w:tcW w:w="2127" w:type="dxa"/>
            <w:vAlign w:val="bottom"/>
          </w:tcPr>
          <w:p w:rsidRPr="009C48DA" w:rsidR="00661519" w:rsidP="00661519" w:rsidRDefault="00661519" w14:paraId="449FE5BF"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Personnel expenses</w:t>
            </w:r>
          </w:p>
        </w:tc>
        <w:tc>
          <w:tcPr>
            <w:tcW w:w="1275" w:type="dxa"/>
          </w:tcPr>
          <w:p w:rsidRPr="009C48DA" w:rsidR="00661519" w:rsidP="00661519" w:rsidRDefault="00661519" w14:paraId="453DA9C7"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69A70584"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(87,095)</w:t>
            </w:r>
          </w:p>
        </w:tc>
        <w:tc>
          <w:tcPr>
            <w:tcW w:w="1418" w:type="dxa"/>
            <w:vAlign w:val="bottom"/>
          </w:tcPr>
          <w:p w:rsidRPr="009C48DA" w:rsidR="00661519" w:rsidP="00661519" w:rsidRDefault="00661519" w14:paraId="478B8B12"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(1,787)</w:t>
            </w:r>
          </w:p>
        </w:tc>
        <w:tc>
          <w:tcPr>
            <w:tcW w:w="1559" w:type="dxa"/>
            <w:vAlign w:val="bottom"/>
          </w:tcPr>
          <w:p w:rsidRPr="009C48DA" w:rsidR="00661519" w:rsidP="00661519" w:rsidRDefault="00661519" w14:paraId="4F62FD84"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23A491D6"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(88,882)</w:t>
            </w:r>
          </w:p>
        </w:tc>
      </w:tr>
      <w:tr w:rsidRPr="009C48DA" w:rsidR="00661519" w:rsidTr="00661519" w14:paraId="3DB6FA12" w14:textId="77777777">
        <w:tc>
          <w:tcPr>
            <w:tcW w:w="2127" w:type="dxa"/>
            <w:vAlign w:val="bottom"/>
          </w:tcPr>
          <w:p w:rsidRPr="009C48DA" w:rsidR="00661519" w:rsidP="00661519" w:rsidRDefault="00661519" w14:paraId="4ECD46FB"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Other expenses</w:t>
            </w:r>
          </w:p>
        </w:tc>
        <w:tc>
          <w:tcPr>
            <w:tcW w:w="1275" w:type="dxa"/>
          </w:tcPr>
          <w:p w:rsidRPr="009C48DA" w:rsidR="00661519" w:rsidP="00661519" w:rsidRDefault="00661519" w14:paraId="3428FCB3"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(e), (f)</w:t>
            </w:r>
          </w:p>
        </w:tc>
        <w:tc>
          <w:tcPr>
            <w:tcW w:w="1134" w:type="dxa"/>
            <w:vAlign w:val="bottom"/>
          </w:tcPr>
          <w:p w:rsidRPr="009C48DA" w:rsidR="00661519" w:rsidP="00661519" w:rsidRDefault="00661519" w14:paraId="23733FFD"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(33,814)</w:t>
            </w:r>
          </w:p>
        </w:tc>
        <w:tc>
          <w:tcPr>
            <w:tcW w:w="1418" w:type="dxa"/>
            <w:vAlign w:val="bottom"/>
          </w:tcPr>
          <w:p w:rsidRPr="009C48DA" w:rsidR="00661519" w:rsidP="00661519" w:rsidRDefault="00661519" w14:paraId="176A820A"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(8)</w:t>
            </w:r>
          </w:p>
        </w:tc>
        <w:tc>
          <w:tcPr>
            <w:tcW w:w="1559" w:type="dxa"/>
            <w:vAlign w:val="bottom"/>
          </w:tcPr>
          <w:p w:rsidRPr="009C48DA" w:rsidR="00661519" w:rsidP="00661519" w:rsidRDefault="00661519" w14:paraId="6C0B64CA"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6,050</w:t>
            </w:r>
          </w:p>
        </w:tc>
        <w:tc>
          <w:tcPr>
            <w:tcW w:w="1559" w:type="dxa"/>
            <w:vAlign w:val="bottom"/>
          </w:tcPr>
          <w:p w:rsidRPr="009C48DA" w:rsidR="00661519" w:rsidP="00661519" w:rsidRDefault="00661519" w14:paraId="0C268B34"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(27,772)</w:t>
            </w:r>
          </w:p>
        </w:tc>
      </w:tr>
      <w:tr w:rsidRPr="009C48DA" w:rsidR="00661519" w:rsidTr="00661519" w14:paraId="38713F80" w14:textId="77777777">
        <w:tc>
          <w:tcPr>
            <w:tcW w:w="2127" w:type="dxa"/>
            <w:vAlign w:val="bottom"/>
          </w:tcPr>
          <w:p w:rsidRPr="009C48DA" w:rsidR="00661519" w:rsidP="00661519" w:rsidRDefault="00661519" w14:paraId="2FA45683"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Foreign exchange gains/(losses)</w:t>
            </w:r>
          </w:p>
        </w:tc>
        <w:tc>
          <w:tcPr>
            <w:tcW w:w="1275" w:type="dxa"/>
          </w:tcPr>
          <w:p w:rsidRPr="009C48DA" w:rsidR="00661519" w:rsidP="00661519" w:rsidRDefault="00661519" w14:paraId="4E97AE7D"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2C0DD584"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(11,748)</w:t>
            </w:r>
          </w:p>
        </w:tc>
        <w:tc>
          <w:tcPr>
            <w:tcW w:w="1418" w:type="dxa"/>
            <w:vAlign w:val="bottom"/>
          </w:tcPr>
          <w:p w:rsidRPr="009C48DA" w:rsidR="00661519" w:rsidP="00661519" w:rsidRDefault="00661519" w14:paraId="29C4F635"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11,690</w:t>
            </w:r>
          </w:p>
        </w:tc>
        <w:tc>
          <w:tcPr>
            <w:tcW w:w="1559" w:type="dxa"/>
            <w:vAlign w:val="bottom"/>
          </w:tcPr>
          <w:p w:rsidRPr="009C48DA" w:rsidR="00661519" w:rsidP="00661519" w:rsidRDefault="00661519" w14:paraId="04260D26"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42D31FA1"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(58)</w:t>
            </w:r>
          </w:p>
        </w:tc>
      </w:tr>
      <w:tr w:rsidRPr="009C48DA" w:rsidR="00661519" w:rsidTr="00661519" w14:paraId="192F66CF" w14:textId="77777777">
        <w:tc>
          <w:tcPr>
            <w:tcW w:w="2127" w:type="dxa"/>
            <w:vAlign w:val="bottom"/>
          </w:tcPr>
          <w:p w:rsidRPr="009C48DA" w:rsidR="00661519" w:rsidP="00661519" w:rsidRDefault="00661519" w14:paraId="6B9DED6F"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Profits on investments</w:t>
            </w:r>
          </w:p>
        </w:tc>
        <w:tc>
          <w:tcPr>
            <w:tcW w:w="1275" w:type="dxa"/>
          </w:tcPr>
          <w:p w:rsidRPr="009C48DA" w:rsidR="00661519" w:rsidP="00661519" w:rsidRDefault="00661519" w14:paraId="24AAB6A8"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442E2445"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50,932</w:t>
            </w:r>
          </w:p>
        </w:tc>
        <w:tc>
          <w:tcPr>
            <w:tcW w:w="1418" w:type="dxa"/>
            <w:vAlign w:val="bottom"/>
          </w:tcPr>
          <w:p w:rsidRPr="009C48DA" w:rsidR="00661519" w:rsidP="00661519" w:rsidRDefault="00661519" w14:paraId="393251B8"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(50,932)</w:t>
            </w:r>
          </w:p>
        </w:tc>
        <w:tc>
          <w:tcPr>
            <w:tcW w:w="1559" w:type="dxa"/>
            <w:vAlign w:val="bottom"/>
          </w:tcPr>
          <w:p w:rsidRPr="009C48DA" w:rsidR="00661519" w:rsidP="00661519" w:rsidRDefault="00661519" w14:paraId="5A75D3D6"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754CAA55"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r>
      <w:tr w:rsidRPr="009C48DA" w:rsidR="00661519" w:rsidTr="00661519" w14:paraId="06ED3F23" w14:textId="77777777">
        <w:tc>
          <w:tcPr>
            <w:tcW w:w="2127" w:type="dxa"/>
            <w:vAlign w:val="bottom"/>
          </w:tcPr>
          <w:p w:rsidRPr="009C48DA" w:rsidR="00661519" w:rsidP="00661519" w:rsidRDefault="00661519" w14:paraId="4A87C447" w14:textId="77777777">
            <w:pPr>
              <w:textAlignment w:val="baseline"/>
              <w:rPr>
                <w:rFonts w:eastAsia="Times New Roman" w:cs="Times New Roman"/>
                <w:b/>
                <w:color w:val="000000"/>
                <w:sz w:val="16"/>
                <w:szCs w:val="16"/>
                <w:lang w:val="en-GB"/>
              </w:rPr>
            </w:pPr>
          </w:p>
          <w:p w:rsidRPr="009C48DA" w:rsidR="00661519" w:rsidP="00661519" w:rsidRDefault="00661519" w14:paraId="5581B0A8"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EBITDA</w:t>
            </w:r>
          </w:p>
        </w:tc>
        <w:tc>
          <w:tcPr>
            <w:tcW w:w="1275" w:type="dxa"/>
          </w:tcPr>
          <w:p w:rsidRPr="009C48DA" w:rsidR="00661519" w:rsidP="00661519" w:rsidRDefault="00661519" w14:paraId="6B630734"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51183E7D"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66,160</w:t>
            </w:r>
          </w:p>
        </w:tc>
        <w:tc>
          <w:tcPr>
            <w:tcW w:w="1418" w:type="dxa"/>
            <w:vAlign w:val="bottom"/>
          </w:tcPr>
          <w:p w:rsidRPr="009C48DA" w:rsidR="00661519" w:rsidP="00661519" w:rsidRDefault="00661519" w14:paraId="2A223121"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7CC39228"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(13,035)</w:t>
            </w:r>
          </w:p>
        </w:tc>
        <w:tc>
          <w:tcPr>
            <w:tcW w:w="1559" w:type="dxa"/>
            <w:vAlign w:val="bottom"/>
          </w:tcPr>
          <w:p w:rsidRPr="009C48DA" w:rsidR="00661519" w:rsidP="00661519" w:rsidRDefault="00661519" w14:paraId="75CAFA32"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53,125</w:t>
            </w:r>
          </w:p>
        </w:tc>
      </w:tr>
      <w:tr w:rsidRPr="009C48DA" w:rsidR="00661519" w:rsidTr="00661519" w14:paraId="4BC0FEBD" w14:textId="77777777">
        <w:tc>
          <w:tcPr>
            <w:tcW w:w="2127" w:type="dxa"/>
            <w:vAlign w:val="bottom"/>
          </w:tcPr>
          <w:p w:rsidRPr="009C48DA" w:rsidR="00661519" w:rsidP="00661519" w:rsidRDefault="00661519" w14:paraId="569BD5A4"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Depreciation and amortisation expense</w:t>
            </w:r>
          </w:p>
        </w:tc>
        <w:tc>
          <w:tcPr>
            <w:tcW w:w="1275" w:type="dxa"/>
            <w:vAlign w:val="bottom"/>
          </w:tcPr>
          <w:p w:rsidRPr="009C48DA" w:rsidR="00661519" w:rsidP="00661519" w:rsidRDefault="00661519" w14:paraId="335FC9B3"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 (g)</w:t>
            </w:r>
          </w:p>
        </w:tc>
        <w:tc>
          <w:tcPr>
            <w:tcW w:w="1134" w:type="dxa"/>
            <w:vAlign w:val="bottom"/>
          </w:tcPr>
          <w:p w:rsidRPr="009C48DA" w:rsidR="00661519" w:rsidP="00661519" w:rsidRDefault="00661519" w14:paraId="7CC998B0" w14:textId="77777777">
            <w:pPr>
              <w:pBdr>
                <w:bottom w:val="single" w:color="auto" w:sz="12" w:space="1"/>
              </w:pBdr>
              <w:ind w:right="108"/>
              <w:jc w:val="right"/>
              <w:textAlignment w:val="baseline"/>
              <w:rPr>
                <w:rFonts w:eastAsia="Times New Roman"/>
                <w:color w:val="000000"/>
                <w:sz w:val="16"/>
                <w:lang w:val="en-GB"/>
              </w:rPr>
            </w:pPr>
            <w:r w:rsidRPr="009C48DA">
              <w:rPr>
                <w:rFonts w:eastAsia="Times New Roman"/>
                <w:color w:val="000000"/>
                <w:sz w:val="16"/>
                <w:lang w:val="en-GB"/>
              </w:rPr>
              <w:t>(1,672)</w:t>
            </w:r>
          </w:p>
        </w:tc>
        <w:tc>
          <w:tcPr>
            <w:tcW w:w="1418" w:type="dxa"/>
            <w:vAlign w:val="bottom"/>
          </w:tcPr>
          <w:p w:rsidRPr="009C48DA" w:rsidR="00661519" w:rsidP="00661519" w:rsidRDefault="00661519" w14:paraId="5CF38EC6"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06B91F12"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(6,085)</w:t>
            </w:r>
          </w:p>
        </w:tc>
        <w:tc>
          <w:tcPr>
            <w:tcW w:w="1559" w:type="dxa"/>
            <w:vAlign w:val="bottom"/>
          </w:tcPr>
          <w:p w:rsidRPr="009C48DA" w:rsidR="00661519" w:rsidP="00661519" w:rsidRDefault="00661519" w14:paraId="06E9A08D" w14:textId="77777777">
            <w:pPr>
              <w:pBdr>
                <w:bottom w:val="single" w:color="auto" w:sz="12" w:space="1"/>
              </w:pBdr>
              <w:ind w:right="139"/>
              <w:jc w:val="right"/>
              <w:textAlignment w:val="baseline"/>
              <w:rPr>
                <w:rFonts w:eastAsia="Times New Roman"/>
                <w:color w:val="000000"/>
                <w:sz w:val="16"/>
                <w:lang w:val="en-GB"/>
              </w:rPr>
            </w:pPr>
            <w:r w:rsidRPr="009C48DA">
              <w:rPr>
                <w:rFonts w:eastAsia="Times New Roman"/>
                <w:color w:val="000000"/>
                <w:sz w:val="16"/>
                <w:lang w:val="en-GB"/>
              </w:rPr>
              <w:t>(7,757)</w:t>
            </w:r>
          </w:p>
        </w:tc>
      </w:tr>
      <w:tr w:rsidRPr="009C48DA" w:rsidR="00661519" w:rsidTr="00661519" w14:paraId="60B6F9E8" w14:textId="77777777">
        <w:tc>
          <w:tcPr>
            <w:tcW w:w="2127" w:type="dxa"/>
            <w:vAlign w:val="bottom"/>
          </w:tcPr>
          <w:p w:rsidRPr="009C48DA" w:rsidR="00661519" w:rsidP="00661519" w:rsidRDefault="00661519" w14:paraId="45F9775F" w14:textId="77777777">
            <w:pPr>
              <w:textAlignment w:val="baseline"/>
              <w:rPr>
                <w:rFonts w:eastAsia="Times New Roman" w:cs="Times New Roman"/>
                <w:color w:val="000000"/>
                <w:sz w:val="16"/>
                <w:szCs w:val="16"/>
                <w:lang w:val="en-GB"/>
              </w:rPr>
            </w:pPr>
          </w:p>
          <w:p w:rsidRPr="009C48DA" w:rsidR="00661519" w:rsidP="00661519" w:rsidRDefault="00661519" w14:paraId="0E6541C5"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operating profit/(loss)</w:t>
            </w:r>
          </w:p>
        </w:tc>
        <w:tc>
          <w:tcPr>
            <w:tcW w:w="1275" w:type="dxa"/>
          </w:tcPr>
          <w:p w:rsidRPr="009C48DA" w:rsidR="00661519" w:rsidP="00661519" w:rsidRDefault="00661519" w14:paraId="5D98D644"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4B60D548"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64,488</w:t>
            </w:r>
          </w:p>
        </w:tc>
        <w:tc>
          <w:tcPr>
            <w:tcW w:w="1418" w:type="dxa"/>
            <w:vAlign w:val="bottom"/>
          </w:tcPr>
          <w:p w:rsidRPr="009C48DA" w:rsidR="00661519" w:rsidP="00661519" w:rsidRDefault="00661519" w14:paraId="5CE2F82E"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0A57F26D"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(19,120)</w:t>
            </w:r>
          </w:p>
        </w:tc>
        <w:tc>
          <w:tcPr>
            <w:tcW w:w="1559" w:type="dxa"/>
            <w:vAlign w:val="bottom"/>
          </w:tcPr>
          <w:p w:rsidRPr="009C48DA" w:rsidR="00661519" w:rsidP="00661519" w:rsidRDefault="00661519" w14:paraId="6AFC00C8"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45,368</w:t>
            </w:r>
          </w:p>
        </w:tc>
      </w:tr>
      <w:tr w:rsidRPr="009C48DA" w:rsidR="00661519" w:rsidTr="00661519" w14:paraId="7FAEB087" w14:textId="77777777">
        <w:tc>
          <w:tcPr>
            <w:tcW w:w="2127" w:type="dxa"/>
            <w:vAlign w:val="bottom"/>
          </w:tcPr>
          <w:p w:rsidRPr="009C48DA" w:rsidR="00661519" w:rsidP="00661519" w:rsidRDefault="00661519" w14:paraId="669E1FDB"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Finance income</w:t>
            </w:r>
          </w:p>
        </w:tc>
        <w:tc>
          <w:tcPr>
            <w:tcW w:w="1275" w:type="dxa"/>
          </w:tcPr>
          <w:p w:rsidRPr="009C48DA" w:rsidR="00661519" w:rsidP="00661519" w:rsidRDefault="00661519" w14:paraId="5B3907F2"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bottom"/>
          </w:tcPr>
          <w:p w:rsidRPr="009C48DA" w:rsidR="00661519" w:rsidP="00661519" w:rsidRDefault="00661519" w14:paraId="35F2C4A1"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7,387</w:t>
            </w:r>
          </w:p>
        </w:tc>
        <w:tc>
          <w:tcPr>
            <w:tcW w:w="1418" w:type="dxa"/>
            <w:vAlign w:val="bottom"/>
          </w:tcPr>
          <w:p w:rsidRPr="009C48DA" w:rsidR="00661519" w:rsidP="00661519" w:rsidRDefault="00661519" w14:paraId="3D6E15AD"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434268BC"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278</w:t>
            </w:r>
          </w:p>
        </w:tc>
        <w:tc>
          <w:tcPr>
            <w:tcW w:w="1559" w:type="dxa"/>
            <w:vAlign w:val="bottom"/>
          </w:tcPr>
          <w:p w:rsidRPr="009C48DA" w:rsidR="00661519" w:rsidP="00661519" w:rsidRDefault="00661519" w14:paraId="65B8DACC"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7,665</w:t>
            </w:r>
          </w:p>
        </w:tc>
      </w:tr>
      <w:tr w:rsidRPr="009C48DA" w:rsidR="00661519" w:rsidTr="00661519" w14:paraId="6C6A51BA" w14:textId="77777777">
        <w:tc>
          <w:tcPr>
            <w:tcW w:w="2127" w:type="dxa"/>
            <w:vAlign w:val="bottom"/>
          </w:tcPr>
          <w:p w:rsidRPr="009C48DA" w:rsidR="00661519" w:rsidP="00661519" w:rsidRDefault="00661519" w14:paraId="6BB724E0"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Finance expense</w:t>
            </w:r>
          </w:p>
        </w:tc>
        <w:tc>
          <w:tcPr>
            <w:tcW w:w="1275" w:type="dxa"/>
          </w:tcPr>
          <w:p w:rsidRPr="009C48DA" w:rsidR="00661519" w:rsidP="00661519" w:rsidRDefault="00661519" w14:paraId="6C0E8CB3"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bottom"/>
          </w:tcPr>
          <w:p w:rsidRPr="009C48DA" w:rsidR="00661519" w:rsidP="00661519" w:rsidRDefault="00661519" w14:paraId="05389B74"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(3,520)</w:t>
            </w:r>
          </w:p>
        </w:tc>
        <w:tc>
          <w:tcPr>
            <w:tcW w:w="1418" w:type="dxa"/>
            <w:vAlign w:val="bottom"/>
          </w:tcPr>
          <w:p w:rsidRPr="009C48DA" w:rsidR="00661519" w:rsidP="00661519" w:rsidRDefault="00661519" w14:paraId="67B05E52"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741F5DEE"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(2,036)</w:t>
            </w:r>
          </w:p>
        </w:tc>
        <w:tc>
          <w:tcPr>
            <w:tcW w:w="1559" w:type="dxa"/>
            <w:vAlign w:val="bottom"/>
          </w:tcPr>
          <w:p w:rsidRPr="009C48DA" w:rsidR="00661519" w:rsidP="00661519" w:rsidRDefault="00661519" w14:paraId="7263741C"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(5,556)</w:t>
            </w:r>
          </w:p>
        </w:tc>
      </w:tr>
      <w:tr w:rsidRPr="009C48DA" w:rsidR="00661519" w:rsidTr="00661519" w14:paraId="3500051C" w14:textId="77777777">
        <w:tc>
          <w:tcPr>
            <w:tcW w:w="2127" w:type="dxa"/>
            <w:vAlign w:val="bottom"/>
          </w:tcPr>
          <w:p w:rsidRPr="009C48DA" w:rsidR="00661519" w:rsidP="00661519" w:rsidRDefault="00661519" w14:paraId="45CE3AA4"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13AC78FA"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5AA9C8AA" w14:textId="77777777">
            <w:pPr>
              <w:ind w:right="108"/>
              <w:jc w:val="right"/>
              <w:textAlignment w:val="baseline"/>
              <w:rPr>
                <w:rFonts w:eastAsia="Times New Roman" w:cs="Times New Roman"/>
                <w:color w:val="000000"/>
                <w:sz w:val="16"/>
                <w:szCs w:val="16"/>
                <w:lang w:val="en-GB"/>
              </w:rPr>
            </w:pPr>
          </w:p>
        </w:tc>
        <w:tc>
          <w:tcPr>
            <w:tcW w:w="1418" w:type="dxa"/>
            <w:vAlign w:val="bottom"/>
          </w:tcPr>
          <w:p w:rsidRPr="009C48DA" w:rsidR="00661519" w:rsidP="00661519" w:rsidRDefault="00661519" w14:paraId="3E84044A" w14:textId="77777777">
            <w:pPr>
              <w:ind w:right="164"/>
              <w:jc w:val="right"/>
              <w:textAlignment w:val="baseline"/>
              <w:rPr>
                <w:rFonts w:eastAsia="Times New Roman"/>
                <w:color w:val="000000"/>
                <w:sz w:val="16"/>
                <w:lang w:val="en-GB"/>
              </w:rPr>
            </w:pPr>
          </w:p>
        </w:tc>
        <w:tc>
          <w:tcPr>
            <w:tcW w:w="1559" w:type="dxa"/>
            <w:vAlign w:val="bottom"/>
          </w:tcPr>
          <w:p w:rsidRPr="009C48DA" w:rsidR="00661519" w:rsidP="00661519" w:rsidRDefault="00661519" w14:paraId="69A55F40"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08440853" w14:textId="77777777">
            <w:pPr>
              <w:ind w:right="139"/>
              <w:jc w:val="right"/>
              <w:textAlignment w:val="baseline"/>
              <w:rPr>
                <w:rFonts w:eastAsia="Times New Roman" w:cs="Times New Roman"/>
                <w:color w:val="000000"/>
                <w:sz w:val="16"/>
                <w:szCs w:val="16"/>
                <w:lang w:val="en-GB"/>
              </w:rPr>
            </w:pPr>
          </w:p>
        </w:tc>
      </w:tr>
      <w:tr w:rsidRPr="009C48DA" w:rsidR="00661519" w:rsidTr="00661519" w14:paraId="4DB40C4D" w14:textId="77777777">
        <w:tc>
          <w:tcPr>
            <w:tcW w:w="2127" w:type="dxa"/>
            <w:vAlign w:val="bottom"/>
          </w:tcPr>
          <w:p w:rsidRPr="009C48DA" w:rsidR="00661519" w:rsidP="00661519" w:rsidRDefault="00661519" w14:paraId="5CD0DC69"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Profit/(loss) before income tax</w:t>
            </w:r>
          </w:p>
        </w:tc>
        <w:tc>
          <w:tcPr>
            <w:tcW w:w="1275" w:type="dxa"/>
          </w:tcPr>
          <w:p w:rsidRPr="009C48DA" w:rsidR="00661519" w:rsidP="00661519" w:rsidRDefault="00661519" w14:paraId="53A48ECC"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6B06FC1A"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68,355</w:t>
            </w:r>
          </w:p>
        </w:tc>
        <w:tc>
          <w:tcPr>
            <w:tcW w:w="1418" w:type="dxa"/>
            <w:vAlign w:val="bottom"/>
          </w:tcPr>
          <w:p w:rsidRPr="009C48DA" w:rsidR="00661519" w:rsidP="00661519" w:rsidRDefault="00661519" w14:paraId="0602630A"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249E3832"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(20,878)</w:t>
            </w:r>
          </w:p>
        </w:tc>
        <w:tc>
          <w:tcPr>
            <w:tcW w:w="1559" w:type="dxa"/>
            <w:vAlign w:val="bottom"/>
          </w:tcPr>
          <w:p w:rsidRPr="009C48DA" w:rsidR="00661519" w:rsidP="00661519" w:rsidRDefault="00661519" w14:paraId="64DEAD87"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47,477</w:t>
            </w:r>
          </w:p>
        </w:tc>
      </w:tr>
      <w:tr w:rsidRPr="009C48DA" w:rsidR="00661519" w:rsidTr="00661519" w14:paraId="74904E21" w14:textId="77777777">
        <w:tc>
          <w:tcPr>
            <w:tcW w:w="2127" w:type="dxa"/>
            <w:vAlign w:val="bottom"/>
          </w:tcPr>
          <w:p w:rsidRPr="009C48DA" w:rsidR="00661519" w:rsidP="00661519" w:rsidRDefault="00661519" w14:paraId="0F48D445"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Income tax (charge)/credit</w:t>
            </w:r>
          </w:p>
        </w:tc>
        <w:tc>
          <w:tcPr>
            <w:tcW w:w="1275" w:type="dxa"/>
          </w:tcPr>
          <w:p w:rsidRPr="009C48DA" w:rsidR="00661519" w:rsidP="00661519" w:rsidRDefault="00661519" w14:paraId="78041CED"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(h)</w:t>
            </w:r>
          </w:p>
        </w:tc>
        <w:tc>
          <w:tcPr>
            <w:tcW w:w="1134" w:type="dxa"/>
            <w:vAlign w:val="bottom"/>
          </w:tcPr>
          <w:p w:rsidRPr="009C48DA" w:rsidR="00661519" w:rsidP="00661519" w:rsidRDefault="00661519" w14:paraId="50D6A356"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(6,951)</w:t>
            </w:r>
          </w:p>
        </w:tc>
        <w:tc>
          <w:tcPr>
            <w:tcW w:w="1418" w:type="dxa"/>
            <w:vAlign w:val="bottom"/>
          </w:tcPr>
          <w:p w:rsidRPr="009C48DA" w:rsidR="00661519" w:rsidP="00661519" w:rsidRDefault="00661519" w14:paraId="5545022B"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537102FD"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1,404</w:t>
            </w:r>
          </w:p>
        </w:tc>
        <w:tc>
          <w:tcPr>
            <w:tcW w:w="1559" w:type="dxa"/>
            <w:vAlign w:val="bottom"/>
          </w:tcPr>
          <w:p w:rsidRPr="009C48DA" w:rsidR="00661519" w:rsidP="00661519" w:rsidRDefault="00661519" w14:paraId="318C75CF"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(5,547)</w:t>
            </w:r>
          </w:p>
        </w:tc>
      </w:tr>
      <w:tr w:rsidRPr="009C48DA" w:rsidR="00661519" w:rsidTr="00661519" w14:paraId="39756067" w14:textId="77777777">
        <w:tc>
          <w:tcPr>
            <w:tcW w:w="2127" w:type="dxa"/>
            <w:vAlign w:val="bottom"/>
          </w:tcPr>
          <w:p w:rsidRPr="009C48DA" w:rsidR="00661519" w:rsidP="00661519" w:rsidRDefault="00661519" w14:paraId="5F123036"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57D07AEE"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7408EB34" w14:textId="77777777">
            <w:pPr>
              <w:ind w:right="108"/>
              <w:jc w:val="right"/>
              <w:textAlignment w:val="baseline"/>
              <w:rPr>
                <w:rFonts w:eastAsia="Times New Roman" w:cs="Times New Roman"/>
                <w:color w:val="000000"/>
                <w:sz w:val="16"/>
                <w:szCs w:val="16"/>
                <w:lang w:val="en-GB"/>
              </w:rPr>
            </w:pPr>
          </w:p>
        </w:tc>
        <w:tc>
          <w:tcPr>
            <w:tcW w:w="1418" w:type="dxa"/>
            <w:vAlign w:val="bottom"/>
          </w:tcPr>
          <w:p w:rsidRPr="009C48DA" w:rsidR="00661519" w:rsidP="00661519" w:rsidRDefault="00661519" w14:paraId="15341591" w14:textId="77777777">
            <w:pPr>
              <w:ind w:right="164"/>
              <w:jc w:val="right"/>
              <w:textAlignment w:val="baseline"/>
              <w:rPr>
                <w:rFonts w:eastAsia="Times New Roman"/>
                <w:color w:val="000000"/>
                <w:sz w:val="16"/>
                <w:lang w:val="en-GB"/>
              </w:rPr>
            </w:pPr>
          </w:p>
        </w:tc>
        <w:tc>
          <w:tcPr>
            <w:tcW w:w="1559" w:type="dxa"/>
            <w:vAlign w:val="bottom"/>
          </w:tcPr>
          <w:p w:rsidRPr="009C48DA" w:rsidR="00661519" w:rsidP="00661519" w:rsidRDefault="00661519" w14:paraId="0A2C0FE8"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576ADB8C" w14:textId="77777777">
            <w:pPr>
              <w:ind w:right="139"/>
              <w:jc w:val="right"/>
              <w:textAlignment w:val="baseline"/>
              <w:rPr>
                <w:rFonts w:eastAsia="Times New Roman" w:cs="Times New Roman"/>
                <w:color w:val="000000"/>
                <w:sz w:val="16"/>
                <w:szCs w:val="16"/>
                <w:lang w:val="en-GB"/>
              </w:rPr>
            </w:pPr>
          </w:p>
        </w:tc>
      </w:tr>
      <w:tr w:rsidRPr="009C48DA" w:rsidR="00661519" w:rsidTr="00661519" w14:paraId="6823DF79" w14:textId="77777777">
        <w:tc>
          <w:tcPr>
            <w:tcW w:w="2127" w:type="dxa"/>
            <w:vAlign w:val="bottom"/>
          </w:tcPr>
          <w:p w:rsidRPr="009C48DA" w:rsidR="00661519" w:rsidP="00661519" w:rsidRDefault="00661519" w14:paraId="67002163"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Profit/(loss) after income tax</w:t>
            </w:r>
          </w:p>
        </w:tc>
        <w:tc>
          <w:tcPr>
            <w:tcW w:w="1275" w:type="dxa"/>
          </w:tcPr>
          <w:p w:rsidRPr="009C48DA" w:rsidR="00661519" w:rsidP="00661519" w:rsidRDefault="00661519" w14:paraId="0B0DC83B"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2AC73D2D" w14:textId="77777777">
            <w:pPr>
              <w:pBdr>
                <w:bottom w:val="doub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61,404</w:t>
            </w:r>
          </w:p>
        </w:tc>
        <w:tc>
          <w:tcPr>
            <w:tcW w:w="1418" w:type="dxa"/>
            <w:vAlign w:val="bottom"/>
          </w:tcPr>
          <w:p w:rsidRPr="009C48DA" w:rsidR="00661519" w:rsidP="00661519" w:rsidRDefault="00661519" w14:paraId="3882B499" w14:textId="77777777">
            <w:pPr>
              <w:pBdr>
                <w:bottom w:val="doub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095735D7" w14:textId="77777777">
            <w:pPr>
              <w:pBdr>
                <w:bottom w:val="doub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(19,474)</w:t>
            </w:r>
          </w:p>
        </w:tc>
        <w:tc>
          <w:tcPr>
            <w:tcW w:w="1559" w:type="dxa"/>
            <w:vAlign w:val="bottom"/>
          </w:tcPr>
          <w:p w:rsidRPr="009C48DA" w:rsidR="00661519" w:rsidP="00661519" w:rsidRDefault="00661519" w14:paraId="71B92DED" w14:textId="77777777">
            <w:pPr>
              <w:pBdr>
                <w:bottom w:val="doub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41,930</w:t>
            </w:r>
          </w:p>
        </w:tc>
      </w:tr>
      <w:tr w:rsidRPr="009C48DA" w:rsidR="00661519" w:rsidTr="00661519" w14:paraId="7272AE7D" w14:textId="77777777">
        <w:tc>
          <w:tcPr>
            <w:tcW w:w="2127" w:type="dxa"/>
            <w:vAlign w:val="bottom"/>
          </w:tcPr>
          <w:p w:rsidRPr="009C48DA" w:rsidR="00661519" w:rsidP="00661519" w:rsidRDefault="00661519" w14:paraId="434100E5"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2FCC2629"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45E0CBFC" w14:textId="77777777">
            <w:pPr>
              <w:ind w:right="108"/>
              <w:jc w:val="right"/>
              <w:textAlignment w:val="baseline"/>
              <w:rPr>
                <w:rFonts w:eastAsia="Times New Roman" w:cs="Times New Roman"/>
                <w:color w:val="000000"/>
                <w:sz w:val="16"/>
                <w:szCs w:val="16"/>
                <w:lang w:val="en-GB"/>
              </w:rPr>
            </w:pPr>
          </w:p>
        </w:tc>
        <w:tc>
          <w:tcPr>
            <w:tcW w:w="1418" w:type="dxa"/>
            <w:vAlign w:val="bottom"/>
          </w:tcPr>
          <w:p w:rsidRPr="009C48DA" w:rsidR="00661519" w:rsidP="00661519" w:rsidRDefault="00661519" w14:paraId="5BFE5B43" w14:textId="77777777">
            <w:pPr>
              <w:ind w:right="164"/>
              <w:jc w:val="right"/>
              <w:textAlignment w:val="baseline"/>
              <w:rPr>
                <w:rFonts w:eastAsia="Times New Roman"/>
                <w:color w:val="000000"/>
                <w:sz w:val="16"/>
                <w:lang w:val="en-GB"/>
              </w:rPr>
            </w:pPr>
          </w:p>
        </w:tc>
        <w:tc>
          <w:tcPr>
            <w:tcW w:w="1559" w:type="dxa"/>
            <w:vAlign w:val="bottom"/>
          </w:tcPr>
          <w:p w:rsidRPr="009C48DA" w:rsidR="00661519" w:rsidP="00661519" w:rsidRDefault="00661519" w14:paraId="47FFF594"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417CF93F" w14:textId="77777777">
            <w:pPr>
              <w:ind w:right="139"/>
              <w:jc w:val="right"/>
              <w:textAlignment w:val="baseline"/>
              <w:rPr>
                <w:rFonts w:eastAsia="Times New Roman" w:cs="Times New Roman"/>
                <w:color w:val="000000"/>
                <w:sz w:val="16"/>
                <w:szCs w:val="16"/>
                <w:lang w:val="en-GB"/>
              </w:rPr>
            </w:pPr>
          </w:p>
        </w:tc>
      </w:tr>
      <w:tr w:rsidRPr="009C48DA" w:rsidR="00661519" w:rsidTr="00661519" w14:paraId="4BB55B3D" w14:textId="77777777">
        <w:tc>
          <w:tcPr>
            <w:tcW w:w="2127" w:type="dxa"/>
            <w:vAlign w:val="bottom"/>
          </w:tcPr>
          <w:p w:rsidRPr="009C48DA" w:rsidR="00661519" w:rsidP="00661519" w:rsidRDefault="00661519" w14:paraId="349CF1FD"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Attributable to:</w:t>
            </w:r>
          </w:p>
        </w:tc>
        <w:tc>
          <w:tcPr>
            <w:tcW w:w="1275" w:type="dxa"/>
          </w:tcPr>
          <w:p w:rsidRPr="009C48DA" w:rsidR="00661519" w:rsidP="00661519" w:rsidRDefault="00661519" w14:paraId="03FC4510"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7FF23B98" w14:textId="77777777">
            <w:pPr>
              <w:ind w:right="108"/>
              <w:jc w:val="right"/>
              <w:textAlignment w:val="baseline"/>
              <w:rPr>
                <w:rFonts w:eastAsia="Times New Roman" w:cs="Times New Roman"/>
                <w:color w:val="000000"/>
                <w:sz w:val="16"/>
                <w:szCs w:val="16"/>
                <w:lang w:val="en-GB"/>
              </w:rPr>
            </w:pPr>
          </w:p>
        </w:tc>
        <w:tc>
          <w:tcPr>
            <w:tcW w:w="1418" w:type="dxa"/>
            <w:vAlign w:val="bottom"/>
          </w:tcPr>
          <w:p w:rsidRPr="009C48DA" w:rsidR="00661519" w:rsidP="00661519" w:rsidRDefault="00661519" w14:paraId="0AE52CAF" w14:textId="77777777">
            <w:pPr>
              <w:ind w:right="164"/>
              <w:jc w:val="right"/>
              <w:textAlignment w:val="baseline"/>
              <w:rPr>
                <w:rFonts w:eastAsia="Times New Roman"/>
                <w:color w:val="000000"/>
                <w:sz w:val="16"/>
                <w:lang w:val="en-GB"/>
              </w:rPr>
            </w:pPr>
          </w:p>
        </w:tc>
        <w:tc>
          <w:tcPr>
            <w:tcW w:w="1559" w:type="dxa"/>
            <w:vAlign w:val="bottom"/>
          </w:tcPr>
          <w:p w:rsidRPr="009C48DA" w:rsidR="00661519" w:rsidP="00661519" w:rsidRDefault="00661519" w14:paraId="14EFEFCC"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53CF1DC1" w14:textId="77777777">
            <w:pPr>
              <w:ind w:right="139"/>
              <w:jc w:val="right"/>
              <w:textAlignment w:val="baseline"/>
              <w:rPr>
                <w:rFonts w:eastAsia="Times New Roman" w:cs="Times New Roman"/>
                <w:color w:val="000000"/>
                <w:sz w:val="16"/>
                <w:szCs w:val="16"/>
                <w:lang w:val="en-GB"/>
              </w:rPr>
            </w:pPr>
          </w:p>
        </w:tc>
      </w:tr>
      <w:tr w:rsidRPr="009C48DA" w:rsidR="00661519" w:rsidTr="00661519" w14:paraId="2737BAD0" w14:textId="77777777">
        <w:tc>
          <w:tcPr>
            <w:tcW w:w="2127" w:type="dxa"/>
            <w:vAlign w:val="bottom"/>
          </w:tcPr>
          <w:p w:rsidRPr="009C48DA" w:rsidR="00661519" w:rsidP="00661519" w:rsidRDefault="00661519" w14:paraId="077A231B"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Equity holders of the parent</w:t>
            </w:r>
          </w:p>
        </w:tc>
        <w:tc>
          <w:tcPr>
            <w:tcW w:w="1275" w:type="dxa"/>
          </w:tcPr>
          <w:p w:rsidRPr="009C48DA" w:rsidR="00661519" w:rsidP="00661519" w:rsidRDefault="00661519" w14:paraId="73A18485"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1665C79F"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44,049</w:t>
            </w:r>
          </w:p>
        </w:tc>
        <w:tc>
          <w:tcPr>
            <w:tcW w:w="1418" w:type="dxa"/>
            <w:vAlign w:val="bottom"/>
          </w:tcPr>
          <w:p w:rsidRPr="009C48DA" w:rsidR="00661519" w:rsidP="00661519" w:rsidRDefault="00661519" w14:paraId="59A7E86A"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198C198E"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(15,148)</w:t>
            </w:r>
          </w:p>
        </w:tc>
        <w:tc>
          <w:tcPr>
            <w:tcW w:w="1559" w:type="dxa"/>
            <w:vAlign w:val="bottom"/>
          </w:tcPr>
          <w:p w:rsidRPr="009C48DA" w:rsidR="00661519" w:rsidP="00661519" w:rsidRDefault="00661519" w14:paraId="2EBD1768"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28,901</w:t>
            </w:r>
          </w:p>
        </w:tc>
      </w:tr>
      <w:tr w:rsidRPr="009C48DA" w:rsidR="00661519" w:rsidTr="00661519" w14:paraId="319F56AD" w14:textId="77777777">
        <w:tc>
          <w:tcPr>
            <w:tcW w:w="2127" w:type="dxa"/>
            <w:vAlign w:val="bottom"/>
          </w:tcPr>
          <w:p w:rsidRPr="009C48DA" w:rsidR="00661519" w:rsidP="00661519" w:rsidRDefault="00661519" w14:paraId="200682B9"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Non-controlling interests</w:t>
            </w:r>
          </w:p>
        </w:tc>
        <w:tc>
          <w:tcPr>
            <w:tcW w:w="1275" w:type="dxa"/>
          </w:tcPr>
          <w:p w:rsidRPr="009C48DA" w:rsidR="00661519" w:rsidP="00661519" w:rsidRDefault="00661519" w14:paraId="34D1BFC9"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6DB74DEB"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17,355</w:t>
            </w:r>
          </w:p>
        </w:tc>
        <w:tc>
          <w:tcPr>
            <w:tcW w:w="1418" w:type="dxa"/>
            <w:vAlign w:val="bottom"/>
          </w:tcPr>
          <w:p w:rsidRPr="009C48DA" w:rsidR="00661519" w:rsidP="00661519" w:rsidRDefault="00661519" w14:paraId="2C3530A6"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0F9828F3"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(4,326)</w:t>
            </w:r>
          </w:p>
        </w:tc>
        <w:tc>
          <w:tcPr>
            <w:tcW w:w="1559" w:type="dxa"/>
            <w:vAlign w:val="bottom"/>
          </w:tcPr>
          <w:p w:rsidRPr="009C48DA" w:rsidR="00661519" w:rsidP="00661519" w:rsidRDefault="00661519" w14:paraId="5B67A12E"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13,029</w:t>
            </w:r>
          </w:p>
        </w:tc>
      </w:tr>
      <w:tr w:rsidRPr="009C48DA" w:rsidR="00661519" w:rsidTr="00661519" w14:paraId="15A3B98B" w14:textId="77777777">
        <w:tc>
          <w:tcPr>
            <w:tcW w:w="2127" w:type="dxa"/>
            <w:vAlign w:val="bottom"/>
          </w:tcPr>
          <w:p w:rsidRPr="009C48DA" w:rsidR="00661519" w:rsidP="00661519" w:rsidRDefault="00661519" w14:paraId="48CCF314"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799623FF"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0FEFF6C2" w14:textId="77777777">
            <w:pPr>
              <w:pBdr>
                <w:bottom w:val="doub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61,404</w:t>
            </w:r>
          </w:p>
        </w:tc>
        <w:tc>
          <w:tcPr>
            <w:tcW w:w="1418" w:type="dxa"/>
            <w:vAlign w:val="bottom"/>
          </w:tcPr>
          <w:p w:rsidRPr="009C48DA" w:rsidR="00661519" w:rsidP="00661519" w:rsidRDefault="00661519" w14:paraId="03DA338B" w14:textId="77777777">
            <w:pPr>
              <w:pBdr>
                <w:bottom w:val="doub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64F7FE69" w14:textId="77777777">
            <w:pPr>
              <w:pBdr>
                <w:bottom w:val="doub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(19,474)</w:t>
            </w:r>
          </w:p>
        </w:tc>
        <w:tc>
          <w:tcPr>
            <w:tcW w:w="1559" w:type="dxa"/>
            <w:vAlign w:val="bottom"/>
          </w:tcPr>
          <w:p w:rsidRPr="009C48DA" w:rsidR="00661519" w:rsidP="00661519" w:rsidRDefault="00661519" w14:paraId="18E7F4B6" w14:textId="77777777">
            <w:pPr>
              <w:pBdr>
                <w:bottom w:val="doub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41,930</w:t>
            </w:r>
          </w:p>
        </w:tc>
      </w:tr>
    </w:tbl>
    <w:p w:rsidRPr="009C48DA" w:rsidR="00661519" w:rsidP="00661519" w:rsidRDefault="00661519" w14:paraId="4511D1A7" w14:textId="77777777">
      <w:pPr>
        <w:textAlignment w:val="baseline"/>
        <w:rPr>
          <w:rFonts w:eastAsia="Times New Roman" w:cs="Times New Roman"/>
          <w:b/>
          <w:color w:val="000000"/>
          <w:sz w:val="16"/>
          <w:szCs w:val="22"/>
          <w:lang w:val="en-GB"/>
        </w:rPr>
      </w:pPr>
    </w:p>
    <w:p w:rsidRPr="009C48DA" w:rsidR="00661519" w:rsidP="00661519" w:rsidRDefault="00661519" w14:paraId="57A4CA6F" w14:textId="77777777">
      <w:pPr>
        <w:rPr>
          <w:rFonts w:eastAsia="Times New Roman" w:cs="Times New Roman"/>
          <w:b/>
          <w:color w:val="000000"/>
          <w:sz w:val="16"/>
          <w:szCs w:val="22"/>
          <w:lang w:val="en-GB"/>
        </w:rPr>
      </w:pPr>
      <w:r w:rsidRPr="009C48DA">
        <w:rPr>
          <w:rFonts w:eastAsia="Times New Roman" w:cs="Times New Roman"/>
          <w:b/>
          <w:color w:val="000000"/>
          <w:sz w:val="16"/>
          <w:szCs w:val="22"/>
          <w:lang w:val="en-GB"/>
        </w:rPr>
        <w:br w:type="page"/>
      </w:r>
    </w:p>
    <w:p w:rsidRPr="009C48DA" w:rsidR="00661519" w:rsidP="00661519" w:rsidRDefault="00661519" w14:paraId="67F6EB33" w14:textId="77777777">
      <w:pPr>
        <w:textAlignment w:val="baseline"/>
        <w:rPr>
          <w:rFonts w:eastAsia="Times New Roman" w:cs="Times New Roman"/>
          <w:b/>
          <w:color w:val="000000"/>
          <w:sz w:val="17"/>
          <w:szCs w:val="22"/>
          <w:lang w:val="en-GB"/>
        </w:rPr>
      </w:pPr>
      <w:r w:rsidRPr="009C48DA">
        <w:rPr>
          <w:rFonts w:eastAsia="Times New Roman" w:cs="Times New Roman"/>
          <w:b/>
          <w:color w:val="000000"/>
          <w:sz w:val="17"/>
          <w:szCs w:val="22"/>
          <w:lang w:val="en-GB"/>
        </w:rPr>
        <w:lastRenderedPageBreak/>
        <w:t>Consolidated Income Statement for the year ended 31 December 2020</w:t>
      </w:r>
    </w:p>
    <w:p w:rsidRPr="009C48DA" w:rsidR="00661519" w:rsidP="00661519" w:rsidRDefault="00661519" w14:paraId="06A9EC6E" w14:textId="77777777">
      <w:pPr>
        <w:textAlignment w:val="baseline"/>
        <w:rPr>
          <w:rFonts w:eastAsia="Times New Roman" w:cs="Times New Roman"/>
          <w:b/>
          <w:color w:val="000000"/>
          <w:sz w:val="17"/>
          <w:szCs w:val="22"/>
          <w:lang w:val="en-GB"/>
        </w:rPr>
      </w:pPr>
    </w:p>
    <w:tbl>
      <w:tblPr>
        <w:tblW w:w="9072" w:type="dxa"/>
        <w:tblLayout w:type="fixed"/>
        <w:tblCellMar>
          <w:left w:w="0" w:type="dxa"/>
          <w:right w:w="0" w:type="dxa"/>
        </w:tblCellMar>
        <w:tblLook w:val="04A0" w:firstRow="1" w:lastRow="0" w:firstColumn="1" w:lastColumn="0" w:noHBand="0" w:noVBand="1"/>
      </w:tblPr>
      <w:tblGrid>
        <w:gridCol w:w="2127"/>
        <w:gridCol w:w="1275"/>
        <w:gridCol w:w="1134"/>
        <w:gridCol w:w="1418"/>
        <w:gridCol w:w="1559"/>
        <w:gridCol w:w="1559"/>
      </w:tblGrid>
      <w:tr w:rsidRPr="009C48DA" w:rsidR="00661519" w:rsidTr="00661519" w14:paraId="13AA3B56" w14:textId="77777777">
        <w:tc>
          <w:tcPr>
            <w:tcW w:w="2127" w:type="dxa"/>
            <w:vAlign w:val="bottom"/>
          </w:tcPr>
          <w:p w:rsidRPr="009C48DA" w:rsidR="00661519" w:rsidP="00661519" w:rsidRDefault="00661519" w14:paraId="3FDFF6D3" w14:textId="77777777">
            <w:pPr>
              <w:textAlignment w:val="baseline"/>
              <w:rPr>
                <w:rFonts w:eastAsia="Times New Roman" w:cs="Times New Roman"/>
                <w:b/>
                <w:color w:val="000000"/>
                <w:sz w:val="16"/>
                <w:szCs w:val="16"/>
                <w:lang w:val="en-GB"/>
              </w:rPr>
            </w:pPr>
          </w:p>
        </w:tc>
        <w:tc>
          <w:tcPr>
            <w:tcW w:w="1275" w:type="dxa"/>
            <w:vAlign w:val="bottom"/>
          </w:tcPr>
          <w:p w:rsidRPr="009C48DA" w:rsidR="00661519" w:rsidP="00661519" w:rsidRDefault="00661519" w14:paraId="0E0CE5B5" w14:textId="77777777">
            <w:pPr>
              <w:ind w:right="108"/>
              <w:jc w:val="center"/>
              <w:textAlignment w:val="baseline"/>
              <w:rPr>
                <w:rFonts w:eastAsia="Times New Roman" w:cs="Times New Roman"/>
                <w:b/>
                <w:color w:val="000000"/>
                <w:sz w:val="16"/>
                <w:szCs w:val="16"/>
                <w:lang w:val="en-GB"/>
              </w:rPr>
            </w:pPr>
          </w:p>
          <w:p w:rsidRPr="009C48DA" w:rsidR="00661519" w:rsidP="00661519" w:rsidRDefault="00661519" w14:paraId="1FD4F732" w14:textId="77777777">
            <w:pPr>
              <w:ind w:right="108"/>
              <w:jc w:val="center"/>
              <w:textAlignment w:val="baseline"/>
              <w:rPr>
                <w:rFonts w:eastAsia="Times New Roman" w:cs="Times New Roman"/>
                <w:b/>
                <w:color w:val="000000"/>
                <w:sz w:val="16"/>
                <w:szCs w:val="16"/>
                <w:lang w:val="en-GB"/>
              </w:rPr>
            </w:pPr>
          </w:p>
          <w:p w:rsidRPr="009C48DA" w:rsidR="00661519" w:rsidP="00661519" w:rsidRDefault="00661519" w14:paraId="481BF39C" w14:textId="77777777">
            <w:pPr>
              <w:ind w:right="108"/>
              <w:jc w:val="cente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Note</w:t>
            </w:r>
          </w:p>
        </w:tc>
        <w:tc>
          <w:tcPr>
            <w:tcW w:w="1134" w:type="dxa"/>
            <w:vAlign w:val="bottom"/>
          </w:tcPr>
          <w:p w:rsidRPr="009C48DA" w:rsidR="00661519" w:rsidP="00661519" w:rsidRDefault="00661519" w14:paraId="735D7538" w14:textId="77777777">
            <w:pPr>
              <w:ind w:right="10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UK GAAP</w:t>
            </w:r>
          </w:p>
          <w:p w:rsidRPr="009C48DA" w:rsidR="00661519" w:rsidP="00661519" w:rsidRDefault="00661519" w14:paraId="6366E578" w14:textId="77777777">
            <w:pPr>
              <w:ind w:right="108"/>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418" w:type="dxa"/>
            <w:vAlign w:val="bottom"/>
          </w:tcPr>
          <w:p w:rsidRPr="009C48DA" w:rsidR="00661519" w:rsidP="00661519" w:rsidRDefault="00661519" w14:paraId="7D7E1DCF"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Reclassification</w:t>
            </w:r>
          </w:p>
          <w:p w:rsidRPr="009C48DA" w:rsidR="00661519" w:rsidP="00661519" w:rsidRDefault="00661519" w14:paraId="6A4A79A5"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559" w:type="dxa"/>
            <w:vAlign w:val="bottom"/>
          </w:tcPr>
          <w:p w:rsidRPr="009C48DA" w:rsidR="00661519" w:rsidP="00661519" w:rsidRDefault="00661519" w14:paraId="46299B10"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Recognition and measurement differences</w:t>
            </w:r>
          </w:p>
          <w:p w:rsidRPr="009C48DA" w:rsidR="00661519" w:rsidP="00661519" w:rsidRDefault="00661519" w14:paraId="452E92C6" w14:textId="77777777">
            <w:pPr>
              <w:ind w:right="164"/>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c>
          <w:tcPr>
            <w:tcW w:w="1559" w:type="dxa"/>
            <w:vAlign w:val="bottom"/>
          </w:tcPr>
          <w:p w:rsidRPr="009C48DA" w:rsidR="00661519" w:rsidP="00661519" w:rsidRDefault="00661519" w14:paraId="26C1873B"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IFRS for the year ended</w:t>
            </w:r>
          </w:p>
          <w:p w:rsidRPr="009C48DA" w:rsidR="00661519" w:rsidP="00661519" w:rsidRDefault="00661519" w14:paraId="696D98FB"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31 December 2020</w:t>
            </w:r>
          </w:p>
          <w:p w:rsidRPr="009C48DA" w:rsidR="00661519" w:rsidP="00661519" w:rsidRDefault="00661519" w14:paraId="2C92B804" w14:textId="77777777">
            <w:pPr>
              <w:ind w:right="139"/>
              <w:jc w:val="right"/>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£ 000</w:t>
            </w:r>
          </w:p>
        </w:tc>
      </w:tr>
      <w:tr w:rsidRPr="009C48DA" w:rsidR="00661519" w:rsidTr="00661519" w14:paraId="38999EF0" w14:textId="77777777">
        <w:tc>
          <w:tcPr>
            <w:tcW w:w="2127" w:type="dxa"/>
            <w:vAlign w:val="bottom"/>
          </w:tcPr>
          <w:p w:rsidRPr="009C48DA" w:rsidR="00661519" w:rsidP="00661519" w:rsidRDefault="00661519" w14:paraId="04B30978"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Management fees</w:t>
            </w:r>
          </w:p>
        </w:tc>
        <w:tc>
          <w:tcPr>
            <w:tcW w:w="1275" w:type="dxa"/>
          </w:tcPr>
          <w:p w:rsidRPr="009C48DA" w:rsidR="00661519" w:rsidP="00661519" w:rsidRDefault="00661519" w14:paraId="637EEF0C"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17A590E1"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418" w:type="dxa"/>
            <w:vAlign w:val="bottom"/>
          </w:tcPr>
          <w:p w:rsidRPr="009C48DA" w:rsidR="00661519" w:rsidP="00661519" w:rsidRDefault="00661519" w14:paraId="45B3C255"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148,624</w:t>
            </w:r>
          </w:p>
        </w:tc>
        <w:tc>
          <w:tcPr>
            <w:tcW w:w="1559" w:type="dxa"/>
            <w:vAlign w:val="bottom"/>
          </w:tcPr>
          <w:p w:rsidRPr="009C48DA" w:rsidR="00661519" w:rsidP="00661519" w:rsidRDefault="00661519" w14:paraId="1C33125E"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6E5471AB"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148,624</w:t>
            </w:r>
          </w:p>
        </w:tc>
      </w:tr>
      <w:tr w:rsidRPr="009C48DA" w:rsidR="00661519" w:rsidTr="00661519" w14:paraId="1F691013" w14:textId="77777777">
        <w:tc>
          <w:tcPr>
            <w:tcW w:w="2127" w:type="dxa"/>
            <w:vAlign w:val="bottom"/>
          </w:tcPr>
          <w:p w:rsidRPr="009C48DA" w:rsidR="00661519" w:rsidP="00661519" w:rsidRDefault="00661519" w14:paraId="787333BA"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Carried interest</w:t>
            </w:r>
          </w:p>
        </w:tc>
        <w:tc>
          <w:tcPr>
            <w:tcW w:w="1275" w:type="dxa"/>
          </w:tcPr>
          <w:p w:rsidRPr="009C48DA" w:rsidR="00661519" w:rsidP="00661519" w:rsidRDefault="00661519" w14:paraId="76945EE7"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(d)</w:t>
            </w:r>
          </w:p>
        </w:tc>
        <w:tc>
          <w:tcPr>
            <w:tcW w:w="1134" w:type="dxa"/>
            <w:vAlign w:val="bottom"/>
          </w:tcPr>
          <w:p w:rsidRPr="009C48DA" w:rsidR="00661519" w:rsidP="00661519" w:rsidRDefault="00661519" w14:paraId="3509B955"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w:t>
            </w:r>
          </w:p>
        </w:tc>
        <w:tc>
          <w:tcPr>
            <w:tcW w:w="1418" w:type="dxa"/>
            <w:vAlign w:val="bottom"/>
          </w:tcPr>
          <w:p w:rsidRPr="009C48DA" w:rsidR="00661519" w:rsidP="00661519" w:rsidRDefault="00661519" w14:paraId="5117BDA1"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(376)</w:t>
            </w:r>
          </w:p>
        </w:tc>
        <w:tc>
          <w:tcPr>
            <w:tcW w:w="1559" w:type="dxa"/>
            <w:vAlign w:val="bottom"/>
          </w:tcPr>
          <w:p w:rsidRPr="009C48DA" w:rsidR="00661519" w:rsidP="00661519" w:rsidRDefault="00661519" w14:paraId="16D2BBD5"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13,293</w:t>
            </w:r>
          </w:p>
        </w:tc>
        <w:tc>
          <w:tcPr>
            <w:tcW w:w="1559" w:type="dxa"/>
            <w:vAlign w:val="bottom"/>
          </w:tcPr>
          <w:p w:rsidRPr="009C48DA" w:rsidR="00661519" w:rsidP="00661519" w:rsidRDefault="00661519" w14:paraId="2D7C94E6"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12,917</w:t>
            </w:r>
          </w:p>
        </w:tc>
      </w:tr>
      <w:tr w:rsidRPr="009C48DA" w:rsidR="00661519" w:rsidTr="00661519" w14:paraId="6EA854C3" w14:textId="77777777">
        <w:tc>
          <w:tcPr>
            <w:tcW w:w="2127" w:type="dxa"/>
            <w:vAlign w:val="bottom"/>
          </w:tcPr>
          <w:p w:rsidRPr="009C48DA" w:rsidR="00661519" w:rsidP="00661519" w:rsidRDefault="00661519" w14:paraId="1C9A7E8C"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Fair value remeasurement of investments</w:t>
            </w:r>
          </w:p>
        </w:tc>
        <w:tc>
          <w:tcPr>
            <w:tcW w:w="1275" w:type="dxa"/>
          </w:tcPr>
          <w:p w:rsidRPr="009C48DA" w:rsidR="00661519" w:rsidP="00661519" w:rsidRDefault="00661519" w14:paraId="6DF58BEF"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0006502E"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418" w:type="dxa"/>
            <w:vAlign w:val="bottom"/>
          </w:tcPr>
          <w:p w:rsidRPr="009C48DA" w:rsidR="00661519" w:rsidP="00661519" w:rsidRDefault="00661519" w14:paraId="0D3EAE09"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29,397</w:t>
            </w:r>
          </w:p>
        </w:tc>
        <w:tc>
          <w:tcPr>
            <w:tcW w:w="1559" w:type="dxa"/>
            <w:vAlign w:val="bottom"/>
          </w:tcPr>
          <w:p w:rsidRPr="009C48DA" w:rsidR="00661519" w:rsidP="00661519" w:rsidRDefault="00661519" w14:paraId="38A74106"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03765BB1"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29,397</w:t>
            </w:r>
          </w:p>
        </w:tc>
      </w:tr>
      <w:tr w:rsidRPr="009C48DA" w:rsidR="00661519" w:rsidTr="00661519" w14:paraId="194C283E" w14:textId="77777777">
        <w:tc>
          <w:tcPr>
            <w:tcW w:w="2127" w:type="dxa"/>
            <w:vAlign w:val="bottom"/>
          </w:tcPr>
          <w:p w:rsidRPr="009C48DA" w:rsidR="00661519" w:rsidP="00661519" w:rsidRDefault="00661519" w14:paraId="4AC8B746"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Other operating income</w:t>
            </w:r>
          </w:p>
        </w:tc>
        <w:tc>
          <w:tcPr>
            <w:tcW w:w="1275" w:type="dxa"/>
          </w:tcPr>
          <w:p w:rsidRPr="009C48DA" w:rsidR="00661519" w:rsidP="00661519" w:rsidRDefault="00661519" w14:paraId="112BCAC7"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580EFFAB"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418" w:type="dxa"/>
            <w:vAlign w:val="bottom"/>
          </w:tcPr>
          <w:p w:rsidRPr="009C48DA" w:rsidR="00661519" w:rsidP="00661519" w:rsidRDefault="00661519" w14:paraId="527338FC"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873</w:t>
            </w:r>
          </w:p>
        </w:tc>
        <w:tc>
          <w:tcPr>
            <w:tcW w:w="1559" w:type="dxa"/>
            <w:vAlign w:val="bottom"/>
          </w:tcPr>
          <w:p w:rsidRPr="009C48DA" w:rsidR="00661519" w:rsidP="00661519" w:rsidRDefault="00661519" w14:paraId="295DEAAC"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13009B22"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873</w:t>
            </w:r>
          </w:p>
        </w:tc>
      </w:tr>
      <w:tr w:rsidRPr="009C48DA" w:rsidR="00661519" w:rsidTr="00661519" w14:paraId="436BB608" w14:textId="77777777">
        <w:tc>
          <w:tcPr>
            <w:tcW w:w="2127" w:type="dxa"/>
            <w:vAlign w:val="bottom"/>
          </w:tcPr>
          <w:p w:rsidRPr="009C48DA" w:rsidR="00661519" w:rsidP="00661519" w:rsidRDefault="00661519" w14:paraId="19B0918A"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operating income</w:t>
            </w:r>
          </w:p>
        </w:tc>
        <w:tc>
          <w:tcPr>
            <w:tcW w:w="1275" w:type="dxa"/>
          </w:tcPr>
          <w:p w:rsidRPr="009C48DA" w:rsidR="00661519" w:rsidP="00661519" w:rsidRDefault="00661519" w14:paraId="25CC2BC2"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24B7760A"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418" w:type="dxa"/>
            <w:vAlign w:val="bottom"/>
          </w:tcPr>
          <w:p w:rsidRPr="009C48DA" w:rsidR="00661519" w:rsidP="00661519" w:rsidRDefault="00661519" w14:paraId="2D3818D4"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178,518</w:t>
            </w:r>
          </w:p>
        </w:tc>
        <w:tc>
          <w:tcPr>
            <w:tcW w:w="1559" w:type="dxa"/>
            <w:vAlign w:val="bottom"/>
          </w:tcPr>
          <w:p w:rsidRPr="009C48DA" w:rsidR="00661519" w:rsidP="00661519" w:rsidRDefault="00661519" w14:paraId="5C1D4386"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13,293</w:t>
            </w:r>
          </w:p>
        </w:tc>
        <w:tc>
          <w:tcPr>
            <w:tcW w:w="1559" w:type="dxa"/>
            <w:vAlign w:val="bottom"/>
          </w:tcPr>
          <w:p w:rsidRPr="009C48DA" w:rsidR="00661519" w:rsidP="00661519" w:rsidRDefault="00661519" w14:paraId="69B44298"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191,811</w:t>
            </w:r>
          </w:p>
        </w:tc>
      </w:tr>
      <w:tr w:rsidRPr="009C48DA" w:rsidR="00661519" w:rsidTr="00661519" w14:paraId="1328B2F5" w14:textId="77777777">
        <w:tc>
          <w:tcPr>
            <w:tcW w:w="2127" w:type="dxa"/>
            <w:vAlign w:val="bottom"/>
          </w:tcPr>
          <w:p w:rsidRPr="009C48DA" w:rsidR="00661519" w:rsidP="00661519" w:rsidRDefault="00661519" w14:paraId="16333191"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4501474A" w14:textId="77777777">
            <w:pPr>
              <w:ind w:right="108"/>
              <w:jc w:val="center"/>
              <w:textAlignment w:val="baseline"/>
              <w:rPr>
                <w:rFonts w:eastAsia="Times New Roman"/>
                <w:color w:val="000000"/>
                <w:sz w:val="24"/>
                <w:lang w:val="en-GB"/>
              </w:rPr>
            </w:pPr>
          </w:p>
        </w:tc>
        <w:tc>
          <w:tcPr>
            <w:tcW w:w="1134" w:type="dxa"/>
            <w:vAlign w:val="bottom"/>
          </w:tcPr>
          <w:p w:rsidRPr="009C48DA" w:rsidR="00661519" w:rsidP="00661519" w:rsidRDefault="00661519" w14:paraId="5D18C3E3"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c>
          <w:tcPr>
            <w:tcW w:w="1418" w:type="dxa"/>
            <w:vAlign w:val="bottom"/>
          </w:tcPr>
          <w:p w:rsidRPr="009C48DA" w:rsidR="00661519" w:rsidP="00661519" w:rsidRDefault="00661519" w14:paraId="1A1FCBC9" w14:textId="77777777">
            <w:pPr>
              <w:ind w:right="164"/>
              <w:jc w:val="right"/>
              <w:textAlignment w:val="baseline"/>
              <w:rPr>
                <w:rFonts w:eastAsia="Times New Roman"/>
                <w:color w:val="000000"/>
                <w:sz w:val="24"/>
                <w:lang w:val="en-GB"/>
              </w:rPr>
            </w:pPr>
          </w:p>
        </w:tc>
        <w:tc>
          <w:tcPr>
            <w:tcW w:w="1559" w:type="dxa"/>
            <w:vAlign w:val="bottom"/>
          </w:tcPr>
          <w:p w:rsidRPr="009C48DA" w:rsidR="00661519" w:rsidP="00661519" w:rsidRDefault="00661519" w14:paraId="50D99C36"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474A9451"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24"/>
                <w:lang w:val="en-GB"/>
              </w:rPr>
              <w:t xml:space="preserve"> </w:t>
            </w:r>
          </w:p>
        </w:tc>
      </w:tr>
      <w:tr w:rsidRPr="009C48DA" w:rsidR="00661519" w:rsidTr="00661519" w14:paraId="0539FFAD" w14:textId="77777777">
        <w:tc>
          <w:tcPr>
            <w:tcW w:w="2127" w:type="dxa"/>
            <w:vAlign w:val="bottom"/>
          </w:tcPr>
          <w:p w:rsidRPr="009C48DA" w:rsidR="00661519" w:rsidP="00661519" w:rsidRDefault="00661519" w14:paraId="1B661814"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Turnover</w:t>
            </w:r>
          </w:p>
        </w:tc>
        <w:tc>
          <w:tcPr>
            <w:tcW w:w="1275" w:type="dxa"/>
          </w:tcPr>
          <w:p w:rsidRPr="009C48DA" w:rsidR="00661519" w:rsidP="00661519" w:rsidRDefault="00661519" w14:paraId="36B67E26"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12124B34"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148,670</w:t>
            </w:r>
          </w:p>
        </w:tc>
        <w:tc>
          <w:tcPr>
            <w:tcW w:w="1418" w:type="dxa"/>
            <w:vAlign w:val="bottom"/>
          </w:tcPr>
          <w:p w:rsidRPr="009C48DA" w:rsidR="00661519" w:rsidP="00661519" w:rsidRDefault="00661519" w14:paraId="62DBC3BC"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(148,670)</w:t>
            </w:r>
          </w:p>
        </w:tc>
        <w:tc>
          <w:tcPr>
            <w:tcW w:w="1559" w:type="dxa"/>
            <w:vAlign w:val="bottom"/>
          </w:tcPr>
          <w:p w:rsidRPr="009C48DA" w:rsidR="00661519" w:rsidP="00661519" w:rsidRDefault="00661519" w14:paraId="23F0E5D4"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6BADCA62"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w:t>
            </w:r>
          </w:p>
        </w:tc>
      </w:tr>
      <w:tr w:rsidRPr="009C48DA" w:rsidR="00661519" w:rsidTr="00661519" w14:paraId="7B0531B7" w14:textId="77777777">
        <w:tc>
          <w:tcPr>
            <w:tcW w:w="2127" w:type="dxa"/>
            <w:vAlign w:val="bottom"/>
          </w:tcPr>
          <w:p w:rsidRPr="009C48DA" w:rsidR="00661519" w:rsidP="00661519" w:rsidRDefault="00661519" w14:paraId="1D123CE2"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Personnel expenses</w:t>
            </w:r>
          </w:p>
        </w:tc>
        <w:tc>
          <w:tcPr>
            <w:tcW w:w="1275" w:type="dxa"/>
          </w:tcPr>
          <w:p w:rsidRPr="009C48DA" w:rsidR="00661519" w:rsidP="00661519" w:rsidRDefault="00661519" w14:paraId="5FB663F2"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73251D71"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(95,245)</w:t>
            </w:r>
          </w:p>
        </w:tc>
        <w:tc>
          <w:tcPr>
            <w:tcW w:w="1418" w:type="dxa"/>
            <w:vAlign w:val="bottom"/>
          </w:tcPr>
          <w:p w:rsidRPr="009C48DA" w:rsidR="00661519" w:rsidP="00661519" w:rsidRDefault="00661519" w14:paraId="71E772C8"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(86)</w:t>
            </w:r>
          </w:p>
        </w:tc>
        <w:tc>
          <w:tcPr>
            <w:tcW w:w="1559" w:type="dxa"/>
            <w:vAlign w:val="bottom"/>
          </w:tcPr>
          <w:p w:rsidRPr="009C48DA" w:rsidR="00661519" w:rsidP="00661519" w:rsidRDefault="00661519" w14:paraId="572B50E0"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(929)</w:t>
            </w:r>
          </w:p>
        </w:tc>
        <w:tc>
          <w:tcPr>
            <w:tcW w:w="1559" w:type="dxa"/>
            <w:vAlign w:val="bottom"/>
          </w:tcPr>
          <w:p w:rsidRPr="009C48DA" w:rsidR="00661519" w:rsidP="00661519" w:rsidRDefault="00661519" w14:paraId="33CA82B5"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(96,260)</w:t>
            </w:r>
          </w:p>
        </w:tc>
      </w:tr>
      <w:tr w:rsidRPr="009C48DA" w:rsidR="00661519" w:rsidTr="00661519" w14:paraId="242D7072" w14:textId="77777777">
        <w:tc>
          <w:tcPr>
            <w:tcW w:w="2127" w:type="dxa"/>
            <w:vAlign w:val="bottom"/>
          </w:tcPr>
          <w:p w:rsidRPr="009C48DA" w:rsidR="00661519" w:rsidP="00661519" w:rsidRDefault="00661519" w14:paraId="11514320"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Other expenses</w:t>
            </w:r>
          </w:p>
        </w:tc>
        <w:tc>
          <w:tcPr>
            <w:tcW w:w="1275" w:type="dxa"/>
          </w:tcPr>
          <w:p w:rsidRPr="009C48DA" w:rsidR="00661519" w:rsidP="00661519" w:rsidRDefault="00661519" w14:paraId="7588F006"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(e), (f)</w:t>
            </w:r>
          </w:p>
        </w:tc>
        <w:tc>
          <w:tcPr>
            <w:tcW w:w="1134" w:type="dxa"/>
            <w:vAlign w:val="bottom"/>
          </w:tcPr>
          <w:p w:rsidRPr="009C48DA" w:rsidR="00661519" w:rsidP="00661519" w:rsidRDefault="00661519" w14:paraId="216D085F"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(34,983)</w:t>
            </w:r>
          </w:p>
        </w:tc>
        <w:tc>
          <w:tcPr>
            <w:tcW w:w="1418" w:type="dxa"/>
            <w:vAlign w:val="bottom"/>
          </w:tcPr>
          <w:p w:rsidRPr="009C48DA" w:rsidR="00661519" w:rsidP="00661519" w:rsidRDefault="00661519" w14:paraId="6EE6F774"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(201)</w:t>
            </w:r>
          </w:p>
        </w:tc>
        <w:tc>
          <w:tcPr>
            <w:tcW w:w="1559" w:type="dxa"/>
            <w:vAlign w:val="bottom"/>
          </w:tcPr>
          <w:p w:rsidRPr="009C48DA" w:rsidR="00661519" w:rsidP="00661519" w:rsidRDefault="00661519" w14:paraId="2DB02044"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(1,440)</w:t>
            </w:r>
          </w:p>
        </w:tc>
        <w:tc>
          <w:tcPr>
            <w:tcW w:w="1559" w:type="dxa"/>
            <w:vAlign w:val="bottom"/>
          </w:tcPr>
          <w:p w:rsidRPr="009C48DA" w:rsidR="00661519" w:rsidP="00661519" w:rsidRDefault="00661519" w14:paraId="58D2A5BF"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(36,624)</w:t>
            </w:r>
          </w:p>
        </w:tc>
      </w:tr>
      <w:tr w:rsidRPr="009C48DA" w:rsidR="00661519" w:rsidTr="00661519" w14:paraId="1286DAC9" w14:textId="77777777">
        <w:tc>
          <w:tcPr>
            <w:tcW w:w="2127" w:type="dxa"/>
            <w:vAlign w:val="bottom"/>
          </w:tcPr>
          <w:p w:rsidRPr="009C48DA" w:rsidR="00661519" w:rsidP="00661519" w:rsidRDefault="00661519" w14:paraId="7E3F9A01"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Foreign exchange gains/(losses)</w:t>
            </w:r>
          </w:p>
        </w:tc>
        <w:tc>
          <w:tcPr>
            <w:tcW w:w="1275" w:type="dxa"/>
          </w:tcPr>
          <w:p w:rsidRPr="009C48DA" w:rsidR="00661519" w:rsidP="00661519" w:rsidRDefault="00661519" w14:paraId="69041B56"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5D999F90"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8,644</w:t>
            </w:r>
          </w:p>
        </w:tc>
        <w:tc>
          <w:tcPr>
            <w:tcW w:w="1418" w:type="dxa"/>
            <w:vAlign w:val="bottom"/>
          </w:tcPr>
          <w:p w:rsidRPr="009C48DA" w:rsidR="00661519" w:rsidP="00661519" w:rsidRDefault="00661519" w14:paraId="698B31AC"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(8,873)</w:t>
            </w:r>
          </w:p>
        </w:tc>
        <w:tc>
          <w:tcPr>
            <w:tcW w:w="1559" w:type="dxa"/>
            <w:vAlign w:val="bottom"/>
          </w:tcPr>
          <w:p w:rsidRPr="009C48DA" w:rsidR="00661519" w:rsidP="00661519" w:rsidRDefault="00661519" w14:paraId="1BFD95F0"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6A6DD4BA"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(229)</w:t>
            </w:r>
          </w:p>
        </w:tc>
      </w:tr>
      <w:tr w:rsidRPr="009C48DA" w:rsidR="00661519" w:rsidTr="00661519" w14:paraId="68F1E7E0" w14:textId="77777777">
        <w:tc>
          <w:tcPr>
            <w:tcW w:w="2127" w:type="dxa"/>
            <w:vAlign w:val="bottom"/>
          </w:tcPr>
          <w:p w:rsidRPr="009C48DA" w:rsidR="00661519" w:rsidP="00661519" w:rsidRDefault="00661519" w14:paraId="5A84041F"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Profits on investments</w:t>
            </w:r>
          </w:p>
        </w:tc>
        <w:tc>
          <w:tcPr>
            <w:tcW w:w="1275" w:type="dxa"/>
          </w:tcPr>
          <w:p w:rsidRPr="009C48DA" w:rsidR="00661519" w:rsidP="00661519" w:rsidRDefault="00661519" w14:paraId="159EEE75"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0D2EC624"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20,688</w:t>
            </w:r>
          </w:p>
        </w:tc>
        <w:tc>
          <w:tcPr>
            <w:tcW w:w="1418" w:type="dxa"/>
            <w:vAlign w:val="bottom"/>
          </w:tcPr>
          <w:p w:rsidRPr="009C48DA" w:rsidR="00661519" w:rsidP="00661519" w:rsidRDefault="00661519" w14:paraId="5673F911"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(20,688)</w:t>
            </w:r>
          </w:p>
        </w:tc>
        <w:tc>
          <w:tcPr>
            <w:tcW w:w="1559" w:type="dxa"/>
            <w:vAlign w:val="bottom"/>
          </w:tcPr>
          <w:p w:rsidRPr="009C48DA" w:rsidR="00661519" w:rsidP="00661519" w:rsidRDefault="00661519" w14:paraId="3A26DE8A"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0034140D"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w:t>
            </w:r>
          </w:p>
        </w:tc>
      </w:tr>
      <w:tr w:rsidRPr="009C48DA" w:rsidR="00661519" w:rsidTr="00661519" w14:paraId="175A5E03" w14:textId="77777777">
        <w:tc>
          <w:tcPr>
            <w:tcW w:w="2127" w:type="dxa"/>
            <w:vAlign w:val="bottom"/>
          </w:tcPr>
          <w:p w:rsidRPr="009C48DA" w:rsidR="00661519" w:rsidP="00661519" w:rsidRDefault="00661519" w14:paraId="23595C36"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EBITDA</w:t>
            </w:r>
          </w:p>
        </w:tc>
        <w:tc>
          <w:tcPr>
            <w:tcW w:w="1275" w:type="dxa"/>
          </w:tcPr>
          <w:p w:rsidRPr="009C48DA" w:rsidR="00661519" w:rsidP="00661519" w:rsidRDefault="00661519" w14:paraId="363351B2"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69D1D77A" w14:textId="77777777">
            <w:pPr>
              <w:ind w:right="108"/>
              <w:jc w:val="right"/>
              <w:textAlignment w:val="baseline"/>
              <w:rPr>
                <w:rFonts w:eastAsia="Times New Roman"/>
                <w:color w:val="000000"/>
                <w:sz w:val="16"/>
                <w:lang w:val="en-GB"/>
              </w:rPr>
            </w:pPr>
            <w:r w:rsidRPr="009C48DA">
              <w:rPr>
                <w:rFonts w:eastAsia="Times New Roman"/>
                <w:color w:val="000000"/>
                <w:sz w:val="16"/>
                <w:lang w:val="en-GB"/>
              </w:rPr>
              <w:t>47,774</w:t>
            </w:r>
          </w:p>
        </w:tc>
        <w:tc>
          <w:tcPr>
            <w:tcW w:w="1418" w:type="dxa"/>
            <w:vAlign w:val="bottom"/>
          </w:tcPr>
          <w:p w:rsidRPr="009C48DA" w:rsidR="00661519" w:rsidP="00661519" w:rsidRDefault="00661519" w14:paraId="32445DE7"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r w:rsidRPr="009C48DA" w:rsidDel="00914955">
              <w:rPr>
                <w:rFonts w:eastAsia="Times New Roman"/>
                <w:color w:val="000000"/>
                <w:sz w:val="16"/>
                <w:lang w:val="en-GB"/>
              </w:rPr>
              <w:t xml:space="preserve"> </w:t>
            </w:r>
          </w:p>
        </w:tc>
        <w:tc>
          <w:tcPr>
            <w:tcW w:w="1559" w:type="dxa"/>
            <w:vAlign w:val="bottom"/>
          </w:tcPr>
          <w:p w:rsidRPr="009C48DA" w:rsidR="00661519" w:rsidP="00661519" w:rsidRDefault="00661519" w14:paraId="03D3470E"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10,924</w:t>
            </w:r>
          </w:p>
        </w:tc>
        <w:tc>
          <w:tcPr>
            <w:tcW w:w="1559" w:type="dxa"/>
            <w:vAlign w:val="bottom"/>
          </w:tcPr>
          <w:p w:rsidRPr="009C48DA" w:rsidR="00661519" w:rsidP="00661519" w:rsidRDefault="00661519" w14:paraId="5B599949"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58,698</w:t>
            </w:r>
          </w:p>
        </w:tc>
      </w:tr>
      <w:tr w:rsidRPr="009C48DA" w:rsidR="00661519" w:rsidTr="00661519" w14:paraId="04EDE288" w14:textId="77777777">
        <w:tc>
          <w:tcPr>
            <w:tcW w:w="2127" w:type="dxa"/>
            <w:vAlign w:val="bottom"/>
          </w:tcPr>
          <w:p w:rsidRPr="009C48DA" w:rsidR="00661519" w:rsidP="00661519" w:rsidRDefault="00661519" w14:paraId="00D5606D"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Depreciation and amortisation expense</w:t>
            </w:r>
          </w:p>
        </w:tc>
        <w:tc>
          <w:tcPr>
            <w:tcW w:w="1275" w:type="dxa"/>
            <w:vAlign w:val="bottom"/>
          </w:tcPr>
          <w:p w:rsidRPr="009C48DA" w:rsidR="00661519" w:rsidP="00661519" w:rsidRDefault="00661519" w14:paraId="14E0E614"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 (g)</w:t>
            </w:r>
          </w:p>
        </w:tc>
        <w:tc>
          <w:tcPr>
            <w:tcW w:w="1134" w:type="dxa"/>
            <w:vAlign w:val="bottom"/>
          </w:tcPr>
          <w:p w:rsidRPr="009C48DA" w:rsidR="00661519" w:rsidP="00661519" w:rsidRDefault="00661519" w14:paraId="12E754C0" w14:textId="77777777">
            <w:pPr>
              <w:pBdr>
                <w:bottom w:val="single" w:color="auto" w:sz="12" w:space="1"/>
              </w:pBdr>
              <w:ind w:right="108"/>
              <w:jc w:val="right"/>
              <w:textAlignment w:val="baseline"/>
              <w:rPr>
                <w:rFonts w:eastAsia="Times New Roman"/>
                <w:color w:val="000000"/>
                <w:sz w:val="16"/>
                <w:lang w:val="en-GB"/>
              </w:rPr>
            </w:pPr>
            <w:r w:rsidRPr="009C48DA">
              <w:rPr>
                <w:rFonts w:eastAsia="Times New Roman"/>
                <w:color w:val="000000"/>
                <w:sz w:val="16"/>
                <w:lang w:val="en-GB"/>
              </w:rPr>
              <w:t>(4,670)</w:t>
            </w:r>
          </w:p>
        </w:tc>
        <w:tc>
          <w:tcPr>
            <w:tcW w:w="1418" w:type="dxa"/>
            <w:vAlign w:val="bottom"/>
          </w:tcPr>
          <w:p w:rsidRPr="009C48DA" w:rsidR="00661519" w:rsidP="00661519" w:rsidRDefault="00661519" w14:paraId="4FAB13AB"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711E5502"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(4,139)</w:t>
            </w:r>
          </w:p>
        </w:tc>
        <w:tc>
          <w:tcPr>
            <w:tcW w:w="1559" w:type="dxa"/>
            <w:vAlign w:val="bottom"/>
          </w:tcPr>
          <w:p w:rsidRPr="009C48DA" w:rsidR="00661519" w:rsidP="00661519" w:rsidRDefault="00661519" w14:paraId="33B013A1" w14:textId="77777777">
            <w:pPr>
              <w:pBdr>
                <w:bottom w:val="single" w:color="auto" w:sz="12" w:space="1"/>
              </w:pBdr>
              <w:ind w:right="139"/>
              <w:jc w:val="right"/>
              <w:textAlignment w:val="baseline"/>
              <w:rPr>
                <w:rFonts w:eastAsia="Times New Roman"/>
                <w:color w:val="000000"/>
                <w:sz w:val="16"/>
                <w:lang w:val="en-GB"/>
              </w:rPr>
            </w:pPr>
            <w:r w:rsidRPr="009C48DA">
              <w:rPr>
                <w:rFonts w:eastAsia="Times New Roman"/>
                <w:color w:val="000000"/>
                <w:sz w:val="16"/>
                <w:lang w:val="en-GB"/>
              </w:rPr>
              <w:t>(8,809)</w:t>
            </w:r>
          </w:p>
        </w:tc>
      </w:tr>
      <w:tr w:rsidRPr="009C48DA" w:rsidR="00661519" w:rsidTr="00661519" w14:paraId="78FD23CE" w14:textId="77777777">
        <w:tc>
          <w:tcPr>
            <w:tcW w:w="2127" w:type="dxa"/>
            <w:vAlign w:val="bottom"/>
          </w:tcPr>
          <w:p w:rsidRPr="009C48DA" w:rsidR="00661519" w:rsidP="00661519" w:rsidRDefault="00661519" w14:paraId="3518231F"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Total operating profit</w:t>
            </w:r>
          </w:p>
        </w:tc>
        <w:tc>
          <w:tcPr>
            <w:tcW w:w="1275" w:type="dxa"/>
          </w:tcPr>
          <w:p w:rsidRPr="009C48DA" w:rsidR="00661519" w:rsidP="00661519" w:rsidRDefault="00661519" w14:paraId="7A081A13"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23DD457D"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43,104</w:t>
            </w:r>
          </w:p>
        </w:tc>
        <w:tc>
          <w:tcPr>
            <w:tcW w:w="1418" w:type="dxa"/>
            <w:vAlign w:val="bottom"/>
          </w:tcPr>
          <w:p w:rsidRPr="009C48DA" w:rsidR="00661519" w:rsidP="00661519" w:rsidRDefault="00661519" w14:paraId="7ABF862D"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r w:rsidRPr="009C48DA" w:rsidDel="00914955">
              <w:rPr>
                <w:rFonts w:eastAsia="Times New Roman"/>
                <w:color w:val="000000"/>
                <w:sz w:val="16"/>
                <w:lang w:val="en-GB"/>
              </w:rPr>
              <w:t xml:space="preserve"> </w:t>
            </w:r>
          </w:p>
        </w:tc>
        <w:tc>
          <w:tcPr>
            <w:tcW w:w="1559" w:type="dxa"/>
            <w:vAlign w:val="bottom"/>
          </w:tcPr>
          <w:p w:rsidRPr="009C48DA" w:rsidR="00661519" w:rsidP="00661519" w:rsidRDefault="00661519" w14:paraId="208B6E47"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6,785</w:t>
            </w:r>
          </w:p>
        </w:tc>
        <w:tc>
          <w:tcPr>
            <w:tcW w:w="1559" w:type="dxa"/>
            <w:vAlign w:val="bottom"/>
          </w:tcPr>
          <w:p w:rsidRPr="009C48DA" w:rsidR="00661519" w:rsidP="00661519" w:rsidRDefault="00661519" w14:paraId="20124C12" w14:textId="77777777">
            <w:pPr>
              <w:ind w:right="139"/>
              <w:jc w:val="right"/>
              <w:textAlignment w:val="baseline"/>
              <w:rPr>
                <w:rFonts w:eastAsia="Times New Roman"/>
                <w:color w:val="000000"/>
                <w:sz w:val="16"/>
                <w:lang w:val="en-GB"/>
              </w:rPr>
            </w:pPr>
            <w:r w:rsidRPr="009C48DA">
              <w:rPr>
                <w:rFonts w:eastAsia="Times New Roman"/>
                <w:color w:val="000000"/>
                <w:sz w:val="16"/>
                <w:lang w:val="en-GB"/>
              </w:rPr>
              <w:t>49,889</w:t>
            </w:r>
          </w:p>
        </w:tc>
      </w:tr>
      <w:tr w:rsidRPr="009C48DA" w:rsidR="00661519" w:rsidTr="00661519" w14:paraId="055A3AB5" w14:textId="77777777">
        <w:tc>
          <w:tcPr>
            <w:tcW w:w="2127" w:type="dxa"/>
            <w:vAlign w:val="bottom"/>
          </w:tcPr>
          <w:p w:rsidRPr="009C48DA" w:rsidR="00661519" w:rsidP="00661519" w:rsidRDefault="00661519" w14:paraId="22538ACD"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Finance income</w:t>
            </w:r>
          </w:p>
        </w:tc>
        <w:tc>
          <w:tcPr>
            <w:tcW w:w="1275" w:type="dxa"/>
          </w:tcPr>
          <w:p w:rsidRPr="009C48DA" w:rsidR="00661519" w:rsidP="00661519" w:rsidRDefault="00661519" w14:paraId="7A00A2C6"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bottom"/>
          </w:tcPr>
          <w:p w:rsidRPr="009C48DA" w:rsidR="00661519" w:rsidP="00661519" w:rsidRDefault="00661519" w14:paraId="05719100"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4,486</w:t>
            </w:r>
          </w:p>
        </w:tc>
        <w:tc>
          <w:tcPr>
            <w:tcW w:w="1418" w:type="dxa"/>
            <w:vAlign w:val="bottom"/>
          </w:tcPr>
          <w:p w:rsidRPr="009C48DA" w:rsidR="00661519" w:rsidP="00661519" w:rsidRDefault="00661519" w14:paraId="70D46545"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1F3DF1B8"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250</w:t>
            </w:r>
          </w:p>
        </w:tc>
        <w:tc>
          <w:tcPr>
            <w:tcW w:w="1559" w:type="dxa"/>
            <w:vAlign w:val="bottom"/>
          </w:tcPr>
          <w:p w:rsidRPr="009C48DA" w:rsidR="00661519" w:rsidP="00661519" w:rsidRDefault="00661519" w14:paraId="266ED7D1"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4,736</w:t>
            </w:r>
          </w:p>
        </w:tc>
      </w:tr>
      <w:tr w:rsidRPr="009C48DA" w:rsidR="00661519" w:rsidTr="00661519" w14:paraId="3A9F0725" w14:textId="77777777">
        <w:tc>
          <w:tcPr>
            <w:tcW w:w="2127" w:type="dxa"/>
            <w:vAlign w:val="bottom"/>
          </w:tcPr>
          <w:p w:rsidRPr="009C48DA" w:rsidR="00661519" w:rsidP="00661519" w:rsidRDefault="00661519" w14:paraId="718AD3B2"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Finance expense</w:t>
            </w:r>
          </w:p>
        </w:tc>
        <w:tc>
          <w:tcPr>
            <w:tcW w:w="1275" w:type="dxa"/>
          </w:tcPr>
          <w:p w:rsidRPr="009C48DA" w:rsidR="00661519" w:rsidP="00661519" w:rsidRDefault="00661519" w14:paraId="75E8385D"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(f)</w:t>
            </w:r>
          </w:p>
        </w:tc>
        <w:tc>
          <w:tcPr>
            <w:tcW w:w="1134" w:type="dxa"/>
            <w:vAlign w:val="bottom"/>
          </w:tcPr>
          <w:p w:rsidRPr="009C48DA" w:rsidR="00661519" w:rsidP="00661519" w:rsidRDefault="00661519" w14:paraId="68C74CC8" w14:textId="77777777">
            <w:pPr>
              <w:ind w:right="108"/>
              <w:jc w:val="right"/>
              <w:textAlignment w:val="baseline"/>
              <w:rPr>
                <w:rFonts w:eastAsia="Times New Roman" w:cs="Times New Roman"/>
                <w:color w:val="000000"/>
                <w:sz w:val="16"/>
                <w:szCs w:val="16"/>
                <w:lang w:val="en-GB"/>
              </w:rPr>
            </w:pPr>
            <w:r w:rsidRPr="009C48DA">
              <w:rPr>
                <w:rFonts w:eastAsia="Times New Roman"/>
                <w:color w:val="000000"/>
                <w:sz w:val="16"/>
                <w:lang w:val="en-GB"/>
              </w:rPr>
              <w:t>(4,300)</w:t>
            </w:r>
          </w:p>
        </w:tc>
        <w:tc>
          <w:tcPr>
            <w:tcW w:w="1418" w:type="dxa"/>
            <w:vAlign w:val="bottom"/>
          </w:tcPr>
          <w:p w:rsidRPr="009C48DA" w:rsidR="00661519" w:rsidP="00661519" w:rsidRDefault="00661519" w14:paraId="40D97E61"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72D23464" w14:textId="77777777">
            <w:pPr>
              <w:ind w:right="164"/>
              <w:jc w:val="right"/>
              <w:textAlignment w:val="baseline"/>
              <w:rPr>
                <w:rFonts w:eastAsia="Times New Roman" w:cs="Times New Roman"/>
                <w:color w:val="000000"/>
                <w:sz w:val="16"/>
                <w:szCs w:val="16"/>
                <w:lang w:val="en-GB"/>
              </w:rPr>
            </w:pPr>
            <w:r w:rsidRPr="009C48DA">
              <w:rPr>
                <w:rFonts w:eastAsia="Times New Roman"/>
                <w:color w:val="000000"/>
                <w:sz w:val="16"/>
                <w:lang w:val="en-GB"/>
              </w:rPr>
              <w:t>(1,849)</w:t>
            </w:r>
          </w:p>
        </w:tc>
        <w:tc>
          <w:tcPr>
            <w:tcW w:w="1559" w:type="dxa"/>
            <w:vAlign w:val="bottom"/>
          </w:tcPr>
          <w:p w:rsidRPr="009C48DA" w:rsidR="00661519" w:rsidP="00661519" w:rsidRDefault="00661519" w14:paraId="0530C26A" w14:textId="77777777">
            <w:pPr>
              <w:ind w:right="139"/>
              <w:jc w:val="right"/>
              <w:textAlignment w:val="baseline"/>
              <w:rPr>
                <w:rFonts w:eastAsia="Times New Roman" w:cs="Times New Roman"/>
                <w:color w:val="000000"/>
                <w:sz w:val="16"/>
                <w:szCs w:val="16"/>
                <w:lang w:val="en-GB"/>
              </w:rPr>
            </w:pPr>
            <w:r w:rsidRPr="009C48DA">
              <w:rPr>
                <w:rFonts w:eastAsia="Times New Roman"/>
                <w:color w:val="000000"/>
                <w:sz w:val="16"/>
                <w:lang w:val="en-GB"/>
              </w:rPr>
              <w:t>(6,149)</w:t>
            </w:r>
          </w:p>
        </w:tc>
      </w:tr>
      <w:tr w:rsidRPr="009C48DA" w:rsidR="00661519" w:rsidTr="00661519" w14:paraId="7435BA8C" w14:textId="77777777">
        <w:tc>
          <w:tcPr>
            <w:tcW w:w="2127" w:type="dxa"/>
            <w:vAlign w:val="bottom"/>
          </w:tcPr>
          <w:p w:rsidRPr="009C48DA" w:rsidR="00661519" w:rsidP="00661519" w:rsidRDefault="00661519" w14:paraId="01E1D77C"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501456A2"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374C7399" w14:textId="77777777">
            <w:pPr>
              <w:ind w:right="108"/>
              <w:jc w:val="right"/>
              <w:textAlignment w:val="baseline"/>
              <w:rPr>
                <w:rFonts w:eastAsia="Times New Roman" w:cs="Times New Roman"/>
                <w:color w:val="000000"/>
                <w:sz w:val="16"/>
                <w:szCs w:val="16"/>
                <w:lang w:val="en-GB"/>
              </w:rPr>
            </w:pPr>
          </w:p>
        </w:tc>
        <w:tc>
          <w:tcPr>
            <w:tcW w:w="1418" w:type="dxa"/>
            <w:vAlign w:val="bottom"/>
          </w:tcPr>
          <w:p w:rsidRPr="009C48DA" w:rsidR="00661519" w:rsidP="00661519" w:rsidRDefault="00661519" w14:paraId="0AFB90E6"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6FF272A3"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4324C210" w14:textId="77777777">
            <w:pPr>
              <w:ind w:right="139"/>
              <w:jc w:val="right"/>
              <w:textAlignment w:val="baseline"/>
              <w:rPr>
                <w:rFonts w:eastAsia="Times New Roman" w:cs="Times New Roman"/>
                <w:color w:val="000000"/>
                <w:sz w:val="16"/>
                <w:szCs w:val="16"/>
                <w:lang w:val="en-GB"/>
              </w:rPr>
            </w:pPr>
          </w:p>
        </w:tc>
      </w:tr>
      <w:tr w:rsidRPr="009C48DA" w:rsidR="00661519" w:rsidTr="00661519" w14:paraId="1EAB91FF" w14:textId="77777777">
        <w:tc>
          <w:tcPr>
            <w:tcW w:w="2127" w:type="dxa"/>
            <w:vAlign w:val="bottom"/>
          </w:tcPr>
          <w:p w:rsidRPr="009C48DA" w:rsidR="00661519" w:rsidP="00661519" w:rsidRDefault="00661519" w14:paraId="4C428BCA"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Profit before income tax</w:t>
            </w:r>
          </w:p>
        </w:tc>
        <w:tc>
          <w:tcPr>
            <w:tcW w:w="1275" w:type="dxa"/>
          </w:tcPr>
          <w:p w:rsidRPr="009C48DA" w:rsidR="00661519" w:rsidP="00661519" w:rsidRDefault="00661519" w14:paraId="2FF992D6"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1482D60A"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43,290</w:t>
            </w:r>
          </w:p>
        </w:tc>
        <w:tc>
          <w:tcPr>
            <w:tcW w:w="1418" w:type="dxa"/>
            <w:vAlign w:val="bottom"/>
          </w:tcPr>
          <w:p w:rsidRPr="009C48DA" w:rsidR="00661519" w:rsidP="00661519" w:rsidRDefault="00661519" w14:paraId="7A59FD3E"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69553BE4"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5,186</w:t>
            </w:r>
          </w:p>
        </w:tc>
        <w:tc>
          <w:tcPr>
            <w:tcW w:w="1559" w:type="dxa"/>
            <w:vAlign w:val="bottom"/>
          </w:tcPr>
          <w:p w:rsidRPr="009C48DA" w:rsidR="00661519" w:rsidP="00661519" w:rsidRDefault="00661519" w14:paraId="05E78A26"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48,476</w:t>
            </w:r>
          </w:p>
        </w:tc>
      </w:tr>
      <w:tr w:rsidRPr="009C48DA" w:rsidR="00661519" w:rsidTr="00661519" w14:paraId="69CF6684" w14:textId="77777777">
        <w:tc>
          <w:tcPr>
            <w:tcW w:w="2127" w:type="dxa"/>
            <w:vAlign w:val="bottom"/>
          </w:tcPr>
          <w:p w:rsidRPr="009C48DA" w:rsidR="00661519" w:rsidP="00661519" w:rsidRDefault="00661519" w14:paraId="370CB456"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Income tax charge</w:t>
            </w:r>
          </w:p>
        </w:tc>
        <w:tc>
          <w:tcPr>
            <w:tcW w:w="1275" w:type="dxa"/>
          </w:tcPr>
          <w:p w:rsidRPr="009C48DA" w:rsidR="00661519" w:rsidP="00661519" w:rsidRDefault="00661519" w14:paraId="7D6F12C4" w14:textId="77777777">
            <w:pPr>
              <w:ind w:right="108"/>
              <w:jc w:val="center"/>
              <w:textAlignment w:val="baseline"/>
              <w:rPr>
                <w:rFonts w:eastAsia="Times New Roman"/>
                <w:color w:val="000000"/>
                <w:sz w:val="16"/>
                <w:lang w:val="en-GB"/>
              </w:rPr>
            </w:pPr>
            <w:r w:rsidRPr="009C48DA">
              <w:rPr>
                <w:rFonts w:eastAsia="Times New Roman"/>
                <w:color w:val="000000"/>
                <w:sz w:val="16"/>
                <w:lang w:val="en-GB"/>
              </w:rPr>
              <w:t>(h)</w:t>
            </w:r>
          </w:p>
        </w:tc>
        <w:tc>
          <w:tcPr>
            <w:tcW w:w="1134" w:type="dxa"/>
            <w:vAlign w:val="bottom"/>
          </w:tcPr>
          <w:p w:rsidRPr="009C48DA" w:rsidR="00661519" w:rsidP="00661519" w:rsidRDefault="00661519" w14:paraId="292FED01"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(466)</w:t>
            </w:r>
          </w:p>
        </w:tc>
        <w:tc>
          <w:tcPr>
            <w:tcW w:w="1418" w:type="dxa"/>
            <w:vAlign w:val="bottom"/>
          </w:tcPr>
          <w:p w:rsidRPr="009C48DA" w:rsidR="00661519" w:rsidP="00661519" w:rsidRDefault="00661519" w14:paraId="2EA40652"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65935227"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(339)</w:t>
            </w:r>
          </w:p>
        </w:tc>
        <w:tc>
          <w:tcPr>
            <w:tcW w:w="1559" w:type="dxa"/>
            <w:vAlign w:val="bottom"/>
          </w:tcPr>
          <w:p w:rsidRPr="009C48DA" w:rsidR="00661519" w:rsidP="00661519" w:rsidRDefault="00661519" w14:paraId="5FC37E41"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(805)</w:t>
            </w:r>
          </w:p>
        </w:tc>
      </w:tr>
      <w:tr w:rsidRPr="009C48DA" w:rsidR="00661519" w:rsidTr="00661519" w14:paraId="4E325F9E" w14:textId="77777777">
        <w:tc>
          <w:tcPr>
            <w:tcW w:w="2127" w:type="dxa"/>
            <w:vAlign w:val="bottom"/>
          </w:tcPr>
          <w:p w:rsidRPr="009C48DA" w:rsidR="00661519" w:rsidP="00661519" w:rsidRDefault="00661519" w14:paraId="549CCD2A"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1E779DB9"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6DEA9766" w14:textId="77777777">
            <w:pPr>
              <w:ind w:right="108"/>
              <w:jc w:val="right"/>
              <w:textAlignment w:val="baseline"/>
              <w:rPr>
                <w:rFonts w:eastAsia="Times New Roman" w:cs="Times New Roman"/>
                <w:color w:val="000000"/>
                <w:sz w:val="16"/>
                <w:szCs w:val="16"/>
                <w:lang w:val="en-GB"/>
              </w:rPr>
            </w:pPr>
          </w:p>
        </w:tc>
        <w:tc>
          <w:tcPr>
            <w:tcW w:w="1418" w:type="dxa"/>
            <w:vAlign w:val="bottom"/>
          </w:tcPr>
          <w:p w:rsidRPr="009C48DA" w:rsidR="00661519" w:rsidP="00661519" w:rsidRDefault="00661519" w14:paraId="5BBF120C" w14:textId="77777777">
            <w:pPr>
              <w:ind w:right="164"/>
              <w:jc w:val="right"/>
              <w:textAlignment w:val="baseline"/>
              <w:rPr>
                <w:rFonts w:eastAsia="Times New Roman"/>
                <w:color w:val="000000"/>
                <w:sz w:val="16"/>
                <w:lang w:val="en-GB"/>
              </w:rPr>
            </w:pPr>
          </w:p>
        </w:tc>
        <w:tc>
          <w:tcPr>
            <w:tcW w:w="1559" w:type="dxa"/>
            <w:vAlign w:val="bottom"/>
          </w:tcPr>
          <w:p w:rsidRPr="009C48DA" w:rsidR="00661519" w:rsidP="00661519" w:rsidRDefault="00661519" w14:paraId="4C244913"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27143B44" w14:textId="77777777">
            <w:pPr>
              <w:ind w:right="139"/>
              <w:jc w:val="right"/>
              <w:textAlignment w:val="baseline"/>
              <w:rPr>
                <w:rFonts w:eastAsia="Times New Roman" w:cs="Times New Roman"/>
                <w:color w:val="000000"/>
                <w:sz w:val="16"/>
                <w:szCs w:val="16"/>
                <w:lang w:val="en-GB"/>
              </w:rPr>
            </w:pPr>
          </w:p>
        </w:tc>
      </w:tr>
      <w:tr w:rsidRPr="009C48DA" w:rsidR="00661519" w:rsidTr="00661519" w14:paraId="73872AC8" w14:textId="77777777">
        <w:tc>
          <w:tcPr>
            <w:tcW w:w="2127" w:type="dxa"/>
            <w:vAlign w:val="bottom"/>
          </w:tcPr>
          <w:p w:rsidRPr="009C48DA" w:rsidR="00661519" w:rsidP="00661519" w:rsidRDefault="00661519" w14:paraId="7D8B07E9"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Profit after income tax</w:t>
            </w:r>
          </w:p>
        </w:tc>
        <w:tc>
          <w:tcPr>
            <w:tcW w:w="1275" w:type="dxa"/>
          </w:tcPr>
          <w:p w:rsidRPr="009C48DA" w:rsidR="00661519" w:rsidP="00661519" w:rsidRDefault="00661519" w14:paraId="59BB7BD7"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088ACD3D" w14:textId="77777777">
            <w:pPr>
              <w:pBdr>
                <w:bottom w:val="doub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42,824</w:t>
            </w:r>
          </w:p>
        </w:tc>
        <w:tc>
          <w:tcPr>
            <w:tcW w:w="1418" w:type="dxa"/>
            <w:vAlign w:val="bottom"/>
          </w:tcPr>
          <w:p w:rsidRPr="009C48DA" w:rsidR="00661519" w:rsidP="00661519" w:rsidRDefault="00661519" w14:paraId="4FF04060" w14:textId="77777777">
            <w:pPr>
              <w:pBdr>
                <w:bottom w:val="doub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r w:rsidRPr="009C48DA" w:rsidDel="00914955">
              <w:rPr>
                <w:rFonts w:eastAsia="Times New Roman"/>
                <w:color w:val="000000"/>
                <w:sz w:val="16"/>
                <w:lang w:val="en-GB"/>
              </w:rPr>
              <w:t xml:space="preserve"> </w:t>
            </w:r>
          </w:p>
        </w:tc>
        <w:tc>
          <w:tcPr>
            <w:tcW w:w="1559" w:type="dxa"/>
            <w:vAlign w:val="bottom"/>
          </w:tcPr>
          <w:p w:rsidRPr="009C48DA" w:rsidR="00661519" w:rsidP="00661519" w:rsidRDefault="00661519" w14:paraId="4EE28AF3" w14:textId="77777777">
            <w:pPr>
              <w:pBdr>
                <w:bottom w:val="doub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4,847</w:t>
            </w:r>
          </w:p>
        </w:tc>
        <w:tc>
          <w:tcPr>
            <w:tcW w:w="1559" w:type="dxa"/>
            <w:vAlign w:val="bottom"/>
          </w:tcPr>
          <w:p w:rsidRPr="009C48DA" w:rsidR="00661519" w:rsidP="00661519" w:rsidRDefault="00661519" w14:paraId="63F97194" w14:textId="77777777">
            <w:pPr>
              <w:pBdr>
                <w:bottom w:val="doub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47,671</w:t>
            </w:r>
          </w:p>
        </w:tc>
      </w:tr>
      <w:tr w:rsidRPr="009C48DA" w:rsidR="00661519" w:rsidTr="00661519" w14:paraId="7ECD2A2B" w14:textId="77777777">
        <w:tc>
          <w:tcPr>
            <w:tcW w:w="2127" w:type="dxa"/>
            <w:vAlign w:val="bottom"/>
          </w:tcPr>
          <w:p w:rsidRPr="009C48DA" w:rsidR="00661519" w:rsidP="00661519" w:rsidRDefault="00661519" w14:paraId="238129B4" w14:textId="77777777">
            <w:pPr>
              <w:textAlignment w:val="baseline"/>
              <w:rPr>
                <w:rFonts w:eastAsia="Times New Roman" w:cs="Times New Roman"/>
                <w:b/>
                <w:color w:val="000000"/>
                <w:sz w:val="16"/>
                <w:szCs w:val="16"/>
                <w:lang w:val="en-GB"/>
              </w:rPr>
            </w:pPr>
          </w:p>
        </w:tc>
        <w:tc>
          <w:tcPr>
            <w:tcW w:w="1275" w:type="dxa"/>
          </w:tcPr>
          <w:p w:rsidRPr="009C48DA" w:rsidR="00661519" w:rsidP="00661519" w:rsidRDefault="00661519" w14:paraId="2D29995C"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2FED3664" w14:textId="77777777">
            <w:pPr>
              <w:ind w:right="108"/>
              <w:jc w:val="right"/>
              <w:textAlignment w:val="baseline"/>
              <w:rPr>
                <w:rFonts w:eastAsia="Times New Roman" w:cs="Times New Roman"/>
                <w:color w:val="000000"/>
                <w:sz w:val="16"/>
                <w:szCs w:val="16"/>
                <w:lang w:val="en-GB"/>
              </w:rPr>
            </w:pPr>
          </w:p>
        </w:tc>
        <w:tc>
          <w:tcPr>
            <w:tcW w:w="1418" w:type="dxa"/>
            <w:vAlign w:val="bottom"/>
          </w:tcPr>
          <w:p w:rsidRPr="009C48DA" w:rsidR="00661519" w:rsidP="00661519" w:rsidRDefault="00661519" w14:paraId="3A4C573F" w14:textId="77777777">
            <w:pPr>
              <w:ind w:right="164"/>
              <w:jc w:val="right"/>
              <w:textAlignment w:val="baseline"/>
              <w:rPr>
                <w:rFonts w:eastAsia="Times New Roman"/>
                <w:color w:val="000000"/>
                <w:sz w:val="16"/>
                <w:lang w:val="en-GB"/>
              </w:rPr>
            </w:pPr>
          </w:p>
        </w:tc>
        <w:tc>
          <w:tcPr>
            <w:tcW w:w="1559" w:type="dxa"/>
            <w:vAlign w:val="bottom"/>
          </w:tcPr>
          <w:p w:rsidRPr="009C48DA" w:rsidR="00661519" w:rsidP="00661519" w:rsidRDefault="00661519" w14:paraId="1DBBD937"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4A88D7D7" w14:textId="77777777">
            <w:pPr>
              <w:ind w:right="139"/>
              <w:jc w:val="right"/>
              <w:textAlignment w:val="baseline"/>
              <w:rPr>
                <w:rFonts w:eastAsia="Times New Roman" w:cs="Times New Roman"/>
                <w:color w:val="000000"/>
                <w:sz w:val="16"/>
                <w:szCs w:val="16"/>
                <w:lang w:val="en-GB"/>
              </w:rPr>
            </w:pPr>
          </w:p>
        </w:tc>
      </w:tr>
      <w:tr w:rsidRPr="009C48DA" w:rsidR="00661519" w:rsidTr="00661519" w14:paraId="3BCB8FD3" w14:textId="77777777">
        <w:tc>
          <w:tcPr>
            <w:tcW w:w="2127" w:type="dxa"/>
            <w:vAlign w:val="bottom"/>
          </w:tcPr>
          <w:p w:rsidRPr="009C48DA" w:rsidR="00661519" w:rsidP="00661519" w:rsidRDefault="00661519" w14:paraId="1FD7B660" w14:textId="77777777">
            <w:pPr>
              <w:textAlignment w:val="baseline"/>
              <w:rPr>
                <w:rFonts w:eastAsia="Times New Roman" w:cs="Times New Roman"/>
                <w:b/>
                <w:color w:val="000000"/>
                <w:sz w:val="16"/>
                <w:szCs w:val="16"/>
                <w:lang w:val="en-GB"/>
              </w:rPr>
            </w:pPr>
            <w:r w:rsidRPr="009C48DA">
              <w:rPr>
                <w:rFonts w:eastAsia="Times New Roman" w:cs="Times New Roman"/>
                <w:b/>
                <w:color w:val="000000"/>
                <w:sz w:val="16"/>
                <w:szCs w:val="16"/>
                <w:lang w:val="en-GB"/>
              </w:rPr>
              <w:t>Attributable to:</w:t>
            </w:r>
          </w:p>
        </w:tc>
        <w:tc>
          <w:tcPr>
            <w:tcW w:w="1275" w:type="dxa"/>
          </w:tcPr>
          <w:p w:rsidRPr="009C48DA" w:rsidR="00661519" w:rsidP="00661519" w:rsidRDefault="00661519" w14:paraId="317C3301"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04BD74B3" w14:textId="77777777">
            <w:pPr>
              <w:ind w:right="108"/>
              <w:jc w:val="right"/>
              <w:textAlignment w:val="baseline"/>
              <w:rPr>
                <w:rFonts w:eastAsia="Times New Roman" w:cs="Times New Roman"/>
                <w:color w:val="000000"/>
                <w:sz w:val="16"/>
                <w:szCs w:val="16"/>
                <w:lang w:val="en-GB"/>
              </w:rPr>
            </w:pPr>
          </w:p>
        </w:tc>
        <w:tc>
          <w:tcPr>
            <w:tcW w:w="1418" w:type="dxa"/>
            <w:vAlign w:val="bottom"/>
          </w:tcPr>
          <w:p w:rsidRPr="009C48DA" w:rsidR="00661519" w:rsidP="00661519" w:rsidRDefault="00661519" w14:paraId="7332A781" w14:textId="77777777">
            <w:pPr>
              <w:ind w:right="164"/>
              <w:jc w:val="right"/>
              <w:textAlignment w:val="baseline"/>
              <w:rPr>
                <w:rFonts w:eastAsia="Times New Roman"/>
                <w:color w:val="000000"/>
                <w:sz w:val="16"/>
                <w:lang w:val="en-GB"/>
              </w:rPr>
            </w:pPr>
          </w:p>
        </w:tc>
        <w:tc>
          <w:tcPr>
            <w:tcW w:w="1559" w:type="dxa"/>
            <w:vAlign w:val="bottom"/>
          </w:tcPr>
          <w:p w:rsidRPr="009C48DA" w:rsidR="00661519" w:rsidP="00661519" w:rsidRDefault="00661519" w14:paraId="7950EDB4" w14:textId="77777777">
            <w:pPr>
              <w:ind w:right="164"/>
              <w:jc w:val="right"/>
              <w:textAlignment w:val="baseline"/>
              <w:rPr>
                <w:rFonts w:eastAsia="Times New Roman" w:cs="Times New Roman"/>
                <w:color w:val="000000"/>
                <w:sz w:val="16"/>
                <w:szCs w:val="16"/>
                <w:lang w:val="en-GB"/>
              </w:rPr>
            </w:pPr>
          </w:p>
        </w:tc>
        <w:tc>
          <w:tcPr>
            <w:tcW w:w="1559" w:type="dxa"/>
            <w:vAlign w:val="bottom"/>
          </w:tcPr>
          <w:p w:rsidRPr="009C48DA" w:rsidR="00661519" w:rsidP="00661519" w:rsidRDefault="00661519" w14:paraId="30BC1DAF" w14:textId="77777777">
            <w:pPr>
              <w:ind w:right="139"/>
              <w:jc w:val="right"/>
              <w:textAlignment w:val="baseline"/>
              <w:rPr>
                <w:rFonts w:eastAsia="Times New Roman" w:cs="Times New Roman"/>
                <w:color w:val="000000"/>
                <w:sz w:val="16"/>
                <w:szCs w:val="16"/>
                <w:lang w:val="en-GB"/>
              </w:rPr>
            </w:pPr>
          </w:p>
        </w:tc>
      </w:tr>
      <w:tr w:rsidRPr="009C48DA" w:rsidR="00661519" w:rsidTr="00661519" w14:paraId="42103974" w14:textId="77777777">
        <w:tc>
          <w:tcPr>
            <w:tcW w:w="2127" w:type="dxa"/>
            <w:vAlign w:val="bottom"/>
          </w:tcPr>
          <w:p w:rsidRPr="009C48DA" w:rsidR="00661519" w:rsidP="00661519" w:rsidRDefault="00661519" w14:paraId="0B5975E9"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Equity holders of the parent</w:t>
            </w:r>
          </w:p>
        </w:tc>
        <w:tc>
          <w:tcPr>
            <w:tcW w:w="1275" w:type="dxa"/>
          </w:tcPr>
          <w:p w:rsidRPr="009C48DA" w:rsidR="00661519" w:rsidP="00661519" w:rsidRDefault="00661519" w14:paraId="020D2079"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4CA3779B" w14:textId="77777777">
            <w:pP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32,709</w:t>
            </w:r>
          </w:p>
        </w:tc>
        <w:tc>
          <w:tcPr>
            <w:tcW w:w="1418" w:type="dxa"/>
            <w:vAlign w:val="bottom"/>
          </w:tcPr>
          <w:p w:rsidRPr="009C48DA" w:rsidR="00661519" w:rsidP="00661519" w:rsidRDefault="00661519" w14:paraId="36305140" w14:textId="77777777">
            <w:pP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76A9C9DB" w14:textId="77777777">
            <w:pP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3,772</w:t>
            </w:r>
          </w:p>
        </w:tc>
        <w:tc>
          <w:tcPr>
            <w:tcW w:w="1559" w:type="dxa"/>
            <w:vAlign w:val="bottom"/>
          </w:tcPr>
          <w:p w:rsidRPr="009C48DA" w:rsidR="00661519" w:rsidP="00661519" w:rsidRDefault="00661519" w14:paraId="6AB1CCF1" w14:textId="77777777">
            <w:pP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36,481</w:t>
            </w:r>
          </w:p>
        </w:tc>
      </w:tr>
      <w:tr w:rsidRPr="009C48DA" w:rsidR="00661519" w:rsidTr="00661519" w14:paraId="6458C58B" w14:textId="77777777">
        <w:tc>
          <w:tcPr>
            <w:tcW w:w="2127" w:type="dxa"/>
            <w:vAlign w:val="bottom"/>
          </w:tcPr>
          <w:p w:rsidRPr="009C48DA" w:rsidR="00661519" w:rsidP="00661519" w:rsidRDefault="00661519" w14:paraId="0378F34E" w14:textId="77777777">
            <w:pPr>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Non-controlling interests</w:t>
            </w:r>
          </w:p>
        </w:tc>
        <w:tc>
          <w:tcPr>
            <w:tcW w:w="1275" w:type="dxa"/>
          </w:tcPr>
          <w:p w:rsidRPr="009C48DA" w:rsidR="00661519" w:rsidP="00661519" w:rsidRDefault="00661519" w14:paraId="521ABAD8"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667EE38E" w14:textId="77777777">
            <w:pPr>
              <w:pBdr>
                <w:bottom w:val="sing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10,115</w:t>
            </w:r>
          </w:p>
        </w:tc>
        <w:tc>
          <w:tcPr>
            <w:tcW w:w="1418" w:type="dxa"/>
            <w:vAlign w:val="bottom"/>
          </w:tcPr>
          <w:p w:rsidRPr="009C48DA" w:rsidR="00661519" w:rsidP="00661519" w:rsidRDefault="00661519" w14:paraId="2CECBECA" w14:textId="77777777">
            <w:pPr>
              <w:pBdr>
                <w:bottom w:val="sing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11601D0F" w14:textId="77777777">
            <w:pPr>
              <w:pBdr>
                <w:bottom w:val="sing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1,075</w:t>
            </w:r>
          </w:p>
        </w:tc>
        <w:tc>
          <w:tcPr>
            <w:tcW w:w="1559" w:type="dxa"/>
            <w:vAlign w:val="bottom"/>
          </w:tcPr>
          <w:p w:rsidRPr="009C48DA" w:rsidR="00661519" w:rsidP="00661519" w:rsidRDefault="00661519" w14:paraId="2F477B7A" w14:textId="77777777">
            <w:pPr>
              <w:pBdr>
                <w:bottom w:val="sing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11,190</w:t>
            </w:r>
          </w:p>
        </w:tc>
      </w:tr>
      <w:tr w:rsidRPr="009C48DA" w:rsidR="00661519" w:rsidTr="00661519" w14:paraId="327F15E7" w14:textId="77777777">
        <w:tc>
          <w:tcPr>
            <w:tcW w:w="2127" w:type="dxa"/>
            <w:vAlign w:val="bottom"/>
          </w:tcPr>
          <w:p w:rsidRPr="009C48DA" w:rsidR="00661519" w:rsidP="00661519" w:rsidRDefault="00661519" w14:paraId="3C9F579D" w14:textId="77777777">
            <w:pPr>
              <w:textAlignment w:val="baseline"/>
              <w:rPr>
                <w:rFonts w:eastAsia="Times New Roman" w:cs="Times New Roman"/>
                <w:color w:val="000000"/>
                <w:sz w:val="16"/>
                <w:szCs w:val="16"/>
                <w:lang w:val="en-GB"/>
              </w:rPr>
            </w:pPr>
          </w:p>
        </w:tc>
        <w:tc>
          <w:tcPr>
            <w:tcW w:w="1275" w:type="dxa"/>
          </w:tcPr>
          <w:p w:rsidRPr="009C48DA" w:rsidR="00661519" w:rsidP="00661519" w:rsidRDefault="00661519" w14:paraId="47F0EE03" w14:textId="77777777">
            <w:pPr>
              <w:ind w:right="108"/>
              <w:jc w:val="center"/>
              <w:textAlignment w:val="baseline"/>
              <w:rPr>
                <w:rFonts w:eastAsia="Times New Roman"/>
                <w:color w:val="000000"/>
                <w:sz w:val="16"/>
                <w:lang w:val="en-GB"/>
              </w:rPr>
            </w:pPr>
          </w:p>
        </w:tc>
        <w:tc>
          <w:tcPr>
            <w:tcW w:w="1134" w:type="dxa"/>
            <w:vAlign w:val="bottom"/>
          </w:tcPr>
          <w:p w:rsidRPr="009C48DA" w:rsidR="00661519" w:rsidP="00661519" w:rsidRDefault="00661519" w14:paraId="00E7C9FA" w14:textId="77777777">
            <w:pPr>
              <w:pBdr>
                <w:bottom w:val="double" w:color="auto" w:sz="12" w:space="1"/>
              </w:pBdr>
              <w:ind w:right="108"/>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42,824</w:t>
            </w:r>
          </w:p>
        </w:tc>
        <w:tc>
          <w:tcPr>
            <w:tcW w:w="1418" w:type="dxa"/>
            <w:vAlign w:val="bottom"/>
          </w:tcPr>
          <w:p w:rsidRPr="009C48DA" w:rsidR="00661519" w:rsidP="00661519" w:rsidRDefault="00661519" w14:paraId="573C29FA" w14:textId="77777777">
            <w:pPr>
              <w:pBdr>
                <w:bottom w:val="double" w:color="auto" w:sz="12" w:space="1"/>
              </w:pBdr>
              <w:ind w:right="164"/>
              <w:jc w:val="right"/>
              <w:textAlignment w:val="baseline"/>
              <w:rPr>
                <w:rFonts w:eastAsia="Times New Roman"/>
                <w:color w:val="000000"/>
                <w:sz w:val="16"/>
                <w:lang w:val="en-GB"/>
              </w:rPr>
            </w:pPr>
            <w:r w:rsidRPr="009C48DA">
              <w:rPr>
                <w:rFonts w:eastAsia="Times New Roman"/>
                <w:color w:val="000000"/>
                <w:sz w:val="16"/>
                <w:lang w:val="en-GB"/>
              </w:rPr>
              <w:t>-</w:t>
            </w:r>
          </w:p>
        </w:tc>
        <w:tc>
          <w:tcPr>
            <w:tcW w:w="1559" w:type="dxa"/>
            <w:vAlign w:val="bottom"/>
          </w:tcPr>
          <w:p w:rsidRPr="009C48DA" w:rsidR="00661519" w:rsidP="00661519" w:rsidRDefault="00661519" w14:paraId="3A233177" w14:textId="77777777">
            <w:pPr>
              <w:pBdr>
                <w:bottom w:val="double" w:color="auto" w:sz="12" w:space="1"/>
              </w:pBdr>
              <w:ind w:right="164"/>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4,847</w:t>
            </w:r>
          </w:p>
        </w:tc>
        <w:tc>
          <w:tcPr>
            <w:tcW w:w="1559" w:type="dxa"/>
            <w:vAlign w:val="bottom"/>
          </w:tcPr>
          <w:p w:rsidRPr="009C48DA" w:rsidR="00661519" w:rsidP="00661519" w:rsidRDefault="00661519" w14:paraId="732D78C5" w14:textId="77777777">
            <w:pPr>
              <w:pBdr>
                <w:bottom w:val="double" w:color="auto" w:sz="12" w:space="1"/>
              </w:pBdr>
              <w:ind w:right="139"/>
              <w:jc w:val="right"/>
              <w:textAlignment w:val="baseline"/>
              <w:rPr>
                <w:rFonts w:eastAsia="Times New Roman" w:cs="Times New Roman"/>
                <w:color w:val="000000"/>
                <w:sz w:val="16"/>
                <w:szCs w:val="16"/>
                <w:lang w:val="en-GB"/>
              </w:rPr>
            </w:pPr>
            <w:r w:rsidRPr="009C48DA">
              <w:rPr>
                <w:rFonts w:eastAsia="Times New Roman" w:cs="Times New Roman"/>
                <w:color w:val="000000"/>
                <w:sz w:val="16"/>
                <w:szCs w:val="16"/>
                <w:lang w:val="en-GB"/>
              </w:rPr>
              <w:t>47,671</w:t>
            </w:r>
          </w:p>
        </w:tc>
      </w:tr>
    </w:tbl>
    <w:p w:rsidRPr="009C48DA" w:rsidR="00661519" w:rsidP="00661519" w:rsidRDefault="00661519" w14:paraId="50780DF7" w14:textId="77777777">
      <w:pPr>
        <w:textAlignment w:val="baseline"/>
        <w:rPr>
          <w:rFonts w:eastAsia="Times New Roman" w:cs="Times New Roman"/>
          <w:b/>
          <w:color w:val="000000"/>
          <w:sz w:val="17"/>
          <w:szCs w:val="22"/>
          <w:lang w:val="en-GB"/>
        </w:rPr>
      </w:pPr>
    </w:p>
    <w:p w:rsidRPr="009C48DA" w:rsidR="00661519" w:rsidP="00661519" w:rsidRDefault="00661519" w14:paraId="28BCAEC6" w14:textId="77777777">
      <w:pPr>
        <w:rPr>
          <w:rFonts w:eastAsia="Times New Roman" w:cs="Times New Roman"/>
          <w:b/>
          <w:color w:val="000000"/>
          <w:sz w:val="17"/>
          <w:szCs w:val="22"/>
          <w:lang w:val="en-GB"/>
        </w:rPr>
      </w:pPr>
      <w:r w:rsidRPr="009C48DA">
        <w:rPr>
          <w:rFonts w:eastAsia="Times New Roman" w:cs="Times New Roman"/>
          <w:b/>
          <w:color w:val="000000"/>
          <w:sz w:val="17"/>
          <w:szCs w:val="22"/>
          <w:lang w:val="en-GB"/>
        </w:rPr>
        <w:t>(a)</w:t>
      </w:r>
      <w:r w:rsidRPr="009C48DA">
        <w:rPr>
          <w:rFonts w:eastAsia="Times New Roman" w:cs="Times New Roman"/>
          <w:b/>
          <w:color w:val="000000"/>
          <w:sz w:val="17"/>
          <w:szCs w:val="22"/>
          <w:lang w:val="en-GB"/>
        </w:rPr>
        <w:tab/>
        <w:t>Reclassification</w:t>
      </w:r>
      <w:r w:rsidRPr="009C48DA">
        <w:rPr>
          <w:rFonts w:eastAsia="Times New Roman"/>
          <w:b/>
          <w:color w:val="000000"/>
          <w:sz w:val="16"/>
          <w:lang w:val="en-GB"/>
        </w:rPr>
        <w:t xml:space="preserve"> of items reported within the primary statements</w:t>
      </w:r>
    </w:p>
    <w:p w:rsidRPr="009C48DA" w:rsidR="00661519" w:rsidP="00661519" w:rsidRDefault="00661519" w14:paraId="6989A6F0" w14:textId="77777777">
      <w:pPr>
        <w:textAlignment w:val="baseline"/>
        <w:rPr>
          <w:rFonts w:eastAsia="Times New Roman"/>
          <w:color w:val="000000"/>
          <w:sz w:val="16"/>
          <w:lang w:val="en-GB"/>
        </w:rPr>
      </w:pPr>
    </w:p>
    <w:p w:rsidRPr="009C48DA" w:rsidR="00661519" w:rsidP="00661519" w:rsidRDefault="00661519" w14:paraId="60D62A30"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Under UK GAAP the consolidated income statement and balance sheet were presented in a different format. Certain assets, liabilities, </w:t>
      </w:r>
      <w:r w:rsidRPr="009C48DA">
        <w:rPr>
          <w:rFonts w:eastAsia="Times New Roman"/>
          <w:color w:val="000000"/>
          <w:sz w:val="16"/>
          <w:lang w:val="en-GB"/>
        </w:rPr>
        <w:br/>
        <w:t>revenues and costs reported under UK GAAP were reclassified to align with the presentation format under IFRS. These reclassifications did not impact profit for the year or equity.</w:t>
      </w:r>
    </w:p>
    <w:p w:rsidRPr="009C48DA" w:rsidR="00661519" w:rsidP="00661519" w:rsidRDefault="00661519" w14:paraId="131D6DF3" w14:textId="77777777">
      <w:pPr>
        <w:jc w:val="both"/>
        <w:textAlignment w:val="baseline"/>
        <w:rPr>
          <w:rFonts w:eastAsia="Times New Roman"/>
          <w:color w:val="000000"/>
          <w:sz w:val="16"/>
          <w:lang w:val="en-GB"/>
        </w:rPr>
      </w:pPr>
    </w:p>
    <w:p w:rsidRPr="009C48DA" w:rsidR="00661519" w:rsidP="00661519" w:rsidRDefault="00661519" w14:paraId="6B0FB614" w14:textId="77777777">
      <w:pPr>
        <w:jc w:val="both"/>
        <w:textAlignment w:val="baseline"/>
        <w:rPr>
          <w:rFonts w:eastAsia="Times New Roman"/>
          <w:color w:val="000000"/>
          <w:sz w:val="16"/>
          <w:lang w:val="en-GB"/>
        </w:rPr>
      </w:pPr>
    </w:p>
    <w:p w:rsidRPr="009C48DA" w:rsidR="00661519" w:rsidP="00661519" w:rsidRDefault="00661519" w14:paraId="54C8FCF3" w14:textId="77777777">
      <w:pPr>
        <w:jc w:val="both"/>
        <w:textAlignment w:val="baseline"/>
        <w:rPr>
          <w:rFonts w:eastAsia="Times New Roman"/>
          <w:b/>
          <w:color w:val="000000"/>
          <w:sz w:val="16"/>
          <w:lang w:val="en-GB"/>
        </w:rPr>
      </w:pPr>
      <w:r w:rsidRPr="009C48DA">
        <w:rPr>
          <w:rFonts w:eastAsia="Times New Roman"/>
          <w:b/>
          <w:color w:val="000000"/>
          <w:sz w:val="16"/>
          <w:lang w:val="en-GB"/>
        </w:rPr>
        <w:t>(b)</w:t>
      </w:r>
      <w:r w:rsidRPr="009C48DA">
        <w:rPr>
          <w:rFonts w:eastAsia="Times New Roman"/>
          <w:b/>
          <w:color w:val="000000"/>
          <w:sz w:val="16"/>
          <w:lang w:val="en-GB"/>
        </w:rPr>
        <w:tab/>
        <w:t>Cash flow statement and other comprehensive income</w:t>
      </w:r>
    </w:p>
    <w:p w:rsidRPr="009C48DA" w:rsidR="00661519" w:rsidP="00661519" w:rsidRDefault="00661519" w14:paraId="3D9CCE78" w14:textId="77777777">
      <w:pPr>
        <w:jc w:val="both"/>
        <w:textAlignment w:val="baseline"/>
        <w:rPr>
          <w:rFonts w:eastAsia="Times New Roman"/>
          <w:b/>
          <w:color w:val="000000"/>
          <w:sz w:val="16"/>
          <w:lang w:val="en-GB"/>
        </w:rPr>
      </w:pPr>
    </w:p>
    <w:p w:rsidRPr="009C48DA" w:rsidR="00661519" w:rsidP="00661519" w:rsidRDefault="00661519" w14:paraId="43A9A36A"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The transition to IFRS from UK GAAP has had no material impact on the Group’s presented consolidated cash position and cash flows, </w:t>
      </w:r>
      <w:r w:rsidRPr="009C48DA">
        <w:rPr>
          <w:rFonts w:eastAsia="Times New Roman"/>
          <w:color w:val="000000"/>
          <w:sz w:val="16"/>
          <w:lang w:val="en-GB"/>
        </w:rPr>
        <w:br/>
        <w:t xml:space="preserve">with the exception of the treatment of payments under lease payments, which have been reclassified from operating activities to financing activities. Therefore, no reconciliations of the cash flow statement have been included. </w:t>
      </w:r>
    </w:p>
    <w:p w:rsidRPr="009C48DA" w:rsidR="00661519" w:rsidP="00661519" w:rsidRDefault="00661519" w14:paraId="5DEF00D5" w14:textId="77777777">
      <w:pPr>
        <w:jc w:val="both"/>
        <w:textAlignment w:val="baseline"/>
        <w:rPr>
          <w:rFonts w:eastAsia="Times New Roman"/>
          <w:color w:val="000000"/>
          <w:sz w:val="16"/>
          <w:lang w:val="en-GB"/>
        </w:rPr>
      </w:pPr>
    </w:p>
    <w:p w:rsidRPr="009C48DA" w:rsidR="00661519" w:rsidP="00661519" w:rsidRDefault="00661519" w14:paraId="34FFD7BA"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No adjustments were required through other comprehensive income and therefore no reconciliations have been included. </w:t>
      </w:r>
    </w:p>
    <w:p w:rsidRPr="009C48DA" w:rsidR="00661519" w:rsidP="00661519" w:rsidRDefault="00661519" w14:paraId="5603C712" w14:textId="77777777">
      <w:pPr>
        <w:textAlignment w:val="baseline"/>
        <w:rPr>
          <w:rFonts w:eastAsia="Times New Roman"/>
          <w:b/>
          <w:color w:val="000000"/>
          <w:spacing w:val="1"/>
          <w:sz w:val="16"/>
          <w:lang w:val="en-GB"/>
        </w:rPr>
      </w:pPr>
    </w:p>
    <w:p w:rsidRPr="009C48DA" w:rsidR="00661519" w:rsidP="00661519" w:rsidRDefault="00661519" w14:paraId="69F8E8D6" w14:textId="77777777">
      <w:pPr>
        <w:textAlignment w:val="baseline"/>
        <w:rPr>
          <w:rFonts w:eastAsia="Times New Roman"/>
          <w:b/>
          <w:color w:val="000000"/>
          <w:spacing w:val="1"/>
          <w:sz w:val="16"/>
          <w:lang w:val="en-GB"/>
        </w:rPr>
      </w:pPr>
    </w:p>
    <w:p w:rsidRPr="009C48DA" w:rsidR="00661519" w:rsidP="00661519" w:rsidRDefault="00661519" w14:paraId="0D0937C8" w14:textId="77777777">
      <w:pPr>
        <w:textAlignment w:val="baseline"/>
        <w:rPr>
          <w:rFonts w:eastAsia="Times New Roman"/>
          <w:b/>
          <w:color w:val="000000"/>
          <w:spacing w:val="1"/>
          <w:sz w:val="16"/>
          <w:lang w:val="en-GB"/>
        </w:rPr>
      </w:pPr>
      <w:r w:rsidRPr="009C48DA">
        <w:rPr>
          <w:rFonts w:eastAsia="Times New Roman"/>
          <w:b/>
          <w:color w:val="000000"/>
          <w:spacing w:val="1"/>
          <w:sz w:val="16"/>
          <w:lang w:val="en-GB"/>
        </w:rPr>
        <w:t>(c)</w:t>
      </w:r>
      <w:r w:rsidRPr="009C48DA">
        <w:rPr>
          <w:rFonts w:eastAsia="Times New Roman"/>
          <w:b/>
          <w:color w:val="000000"/>
          <w:spacing w:val="1"/>
          <w:sz w:val="16"/>
          <w:lang w:val="en-GB"/>
        </w:rPr>
        <w:tab/>
        <w:t>Transition exemptions</w:t>
      </w:r>
    </w:p>
    <w:p w:rsidRPr="009C48DA" w:rsidR="00661519" w:rsidP="00661519" w:rsidRDefault="00661519" w14:paraId="35ADA58F" w14:textId="77777777">
      <w:pPr>
        <w:jc w:val="both"/>
        <w:textAlignment w:val="baseline"/>
        <w:rPr>
          <w:rFonts w:eastAsia="Times New Roman"/>
          <w:b/>
          <w:color w:val="000000"/>
          <w:sz w:val="16"/>
          <w:lang w:val="en-GB"/>
        </w:rPr>
      </w:pPr>
    </w:p>
    <w:p w:rsidRPr="009C48DA" w:rsidR="00661519" w:rsidP="00661519" w:rsidRDefault="00661519" w14:paraId="61B537BD" w14:textId="77777777">
      <w:pPr>
        <w:jc w:val="both"/>
        <w:textAlignment w:val="baseline"/>
        <w:rPr>
          <w:rFonts w:eastAsia="Times New Roman"/>
          <w:color w:val="000000"/>
          <w:sz w:val="16"/>
          <w:lang w:val="en-GB"/>
        </w:rPr>
      </w:pPr>
      <w:r w:rsidRPr="009C48DA">
        <w:rPr>
          <w:rFonts w:eastAsia="Times New Roman"/>
          <w:color w:val="000000"/>
          <w:sz w:val="16"/>
          <w:lang w:val="en-GB"/>
        </w:rPr>
        <w:t>The Group has taken the following exemptions on transition to IFRS:</w:t>
      </w:r>
    </w:p>
    <w:p w:rsidRPr="009C48DA" w:rsidR="00661519" w:rsidP="00661519" w:rsidRDefault="00661519" w14:paraId="002830DF" w14:textId="77777777">
      <w:pPr>
        <w:jc w:val="both"/>
        <w:textAlignment w:val="baseline"/>
        <w:rPr>
          <w:rFonts w:eastAsia="Times New Roman"/>
          <w:color w:val="000000"/>
          <w:sz w:val="16"/>
          <w:lang w:val="en-GB"/>
        </w:rPr>
      </w:pPr>
    </w:p>
    <w:p w:rsidRPr="009C48DA" w:rsidR="00661519" w:rsidP="00661519" w:rsidRDefault="00661519" w14:paraId="20E77B02" w14:textId="77777777">
      <w:pPr>
        <w:numPr>
          <w:ilvl w:val="0"/>
          <w:numId w:val="38"/>
        </w:numPr>
        <w:spacing w:after="240"/>
        <w:jc w:val="both"/>
        <w:textAlignment w:val="baseline"/>
        <w:rPr>
          <w:rFonts w:eastAsia="Times New Roman"/>
          <w:color w:val="000000"/>
          <w:sz w:val="16"/>
          <w:lang w:val="en-GB"/>
        </w:rPr>
      </w:pPr>
      <w:r w:rsidRPr="009C48DA">
        <w:rPr>
          <w:rFonts w:eastAsia="Times New Roman"/>
          <w:color w:val="000000"/>
          <w:sz w:val="16"/>
          <w:lang w:val="en-GB"/>
        </w:rPr>
        <w:t>Revenue recognition: The Group has elected to use the transition exemption not to restate contracts that were completed before 1 January 2018 (being the date of transition) and elected to use the practical expedient within IFRS 15:4 and analyse the impact of applying IFRS 15 “Revenue from contracts with customers” using a portfolio approach.</w:t>
      </w:r>
    </w:p>
    <w:p w:rsidRPr="009C48DA" w:rsidR="00661519" w:rsidP="00661519" w:rsidRDefault="00661519" w14:paraId="6B66C4B5" w14:textId="77777777">
      <w:pPr>
        <w:numPr>
          <w:ilvl w:val="0"/>
          <w:numId w:val="38"/>
        </w:numPr>
        <w:spacing w:after="240"/>
        <w:jc w:val="both"/>
        <w:textAlignment w:val="baseline"/>
        <w:rPr>
          <w:rFonts w:eastAsia="Times New Roman"/>
          <w:color w:val="000000"/>
          <w:sz w:val="16"/>
          <w:lang w:val="en-GB"/>
        </w:rPr>
      </w:pPr>
      <w:r w:rsidRPr="009C48DA">
        <w:rPr>
          <w:rFonts w:eastAsia="Times New Roman"/>
          <w:color w:val="000000"/>
          <w:sz w:val="16"/>
          <w:lang w:val="en-GB"/>
        </w:rPr>
        <w:t xml:space="preserve">Leases: The Group has taken the transition provision that allows early adoption of IFRS 16 “Leases” as long as IFRS 15 “Revenue from contracts with customers” has been adopted at 1 January 2018. In addition, the Group has elected to apply the guidance under which the asset is set to equal to the liability for each lease. The Group has also elected to use the practical expedient for short term leases and also the practical expedient for leases of immaterial amount. </w:t>
      </w:r>
    </w:p>
    <w:p w:rsidRPr="009C48DA" w:rsidR="00661519" w:rsidP="00661519" w:rsidRDefault="00661519" w14:paraId="609538D5" w14:textId="77777777">
      <w:pPr>
        <w:numPr>
          <w:ilvl w:val="0"/>
          <w:numId w:val="38"/>
        </w:numPr>
        <w:spacing w:after="240"/>
        <w:jc w:val="both"/>
        <w:textAlignment w:val="baseline"/>
        <w:rPr>
          <w:rFonts w:eastAsia="Times New Roman"/>
          <w:color w:val="000000"/>
          <w:sz w:val="16"/>
          <w:lang w:val="en-GB"/>
        </w:rPr>
      </w:pPr>
      <w:r w:rsidRPr="009C48DA">
        <w:rPr>
          <w:rFonts w:eastAsia="Times New Roman"/>
          <w:color w:val="000000"/>
          <w:sz w:val="16"/>
          <w:lang w:val="en-GB"/>
        </w:rPr>
        <w:t>Business combinations: The Group has elected not to apply IFRS 3 “Business Combinations” to past business combinations prior to 1 January 2018 (i.e. before the date of transition)</w:t>
      </w:r>
    </w:p>
    <w:p w:rsidRPr="009C48DA" w:rsidR="00661519" w:rsidP="00661519" w:rsidRDefault="00661519" w14:paraId="57B21E91" w14:textId="77777777">
      <w:pPr>
        <w:rPr>
          <w:rFonts w:eastAsia="Times New Roman"/>
          <w:color w:val="000000"/>
          <w:sz w:val="16"/>
          <w:lang w:val="en-GB"/>
        </w:rPr>
      </w:pPr>
      <w:r w:rsidRPr="009C48DA">
        <w:rPr>
          <w:rFonts w:eastAsia="Times New Roman"/>
          <w:color w:val="000000"/>
          <w:sz w:val="16"/>
          <w:lang w:val="en-GB"/>
        </w:rPr>
        <w:br w:type="page"/>
      </w:r>
      <w:r w:rsidRPr="009C48DA">
        <w:rPr>
          <w:rFonts w:eastAsia="Times New Roman"/>
          <w:b/>
          <w:color w:val="000000"/>
          <w:spacing w:val="1"/>
          <w:sz w:val="16"/>
          <w:lang w:val="en-GB"/>
        </w:rPr>
        <w:lastRenderedPageBreak/>
        <w:t>(d)</w:t>
      </w:r>
      <w:r w:rsidRPr="009C48DA">
        <w:rPr>
          <w:rFonts w:eastAsia="Times New Roman"/>
          <w:b/>
          <w:color w:val="000000"/>
          <w:spacing w:val="1"/>
          <w:sz w:val="16"/>
          <w:lang w:val="en-GB"/>
        </w:rPr>
        <w:tab/>
        <w:t xml:space="preserve">Revenue </w:t>
      </w:r>
      <w:r w:rsidRPr="009C48DA">
        <w:rPr>
          <w:rFonts w:eastAsia="Times New Roman" w:cs="Times New Roman"/>
          <w:b/>
          <w:color w:val="000000"/>
          <w:sz w:val="17"/>
          <w:szCs w:val="22"/>
          <w:lang w:val="en-GB"/>
        </w:rPr>
        <w:t>recognition</w:t>
      </w:r>
    </w:p>
    <w:p w:rsidRPr="009C48DA" w:rsidR="00661519" w:rsidP="00661519" w:rsidRDefault="00661519" w14:paraId="674B7CB0" w14:textId="77777777">
      <w:pPr>
        <w:textAlignment w:val="baseline"/>
        <w:rPr>
          <w:rFonts w:eastAsia="Times New Roman"/>
          <w:color w:val="000000"/>
          <w:sz w:val="16"/>
          <w:lang w:val="en-GB"/>
        </w:rPr>
      </w:pPr>
    </w:p>
    <w:p w:rsidRPr="009C48DA" w:rsidR="00661519" w:rsidP="00661519" w:rsidRDefault="00661519" w14:paraId="55FB47E0"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Carried interest is a share of profits that the Group receives as variable compensation based on the returns on the investments of the funds. Under UK GAAP income from carried interest was recognised initially only once the hurdle level had been cleared by distributions to </w:t>
      </w:r>
      <w:r w:rsidRPr="009C48DA">
        <w:rPr>
          <w:rFonts w:eastAsia="Times New Roman"/>
          <w:color w:val="000000"/>
          <w:sz w:val="16"/>
          <w:lang w:val="en-GB"/>
        </w:rPr>
        <w:br/>
        <w:t>investors and subsequently remeasured based upon the value of the expected carried interest payable based upon the current value of the remaining fund assets. Under IFRS, the income from carried interest is recognised in accordance with IFRS 15 “Revenue from contracts with customers” and the guidance relating to variable consideration subject to constraints. See note 2 Accounting Policies for further details.</w:t>
      </w:r>
    </w:p>
    <w:p w:rsidRPr="009C48DA" w:rsidR="00661519" w:rsidP="00661519" w:rsidRDefault="00661519" w14:paraId="24013159" w14:textId="77777777">
      <w:pPr>
        <w:textAlignment w:val="baseline"/>
        <w:rPr>
          <w:rFonts w:eastAsia="Times New Roman"/>
          <w:b/>
          <w:color w:val="000000"/>
          <w:spacing w:val="1"/>
          <w:sz w:val="16"/>
          <w:lang w:val="en-GB"/>
        </w:rPr>
      </w:pPr>
    </w:p>
    <w:p w:rsidRPr="009C48DA" w:rsidR="00661519" w:rsidP="00661519" w:rsidRDefault="00661519" w14:paraId="5CCED60F" w14:textId="77777777">
      <w:pPr>
        <w:textAlignment w:val="baseline"/>
        <w:rPr>
          <w:rFonts w:eastAsia="Times New Roman"/>
          <w:b/>
          <w:color w:val="000000"/>
          <w:spacing w:val="1"/>
          <w:sz w:val="16"/>
          <w:lang w:val="en-GB"/>
        </w:rPr>
      </w:pPr>
    </w:p>
    <w:p w:rsidRPr="009C48DA" w:rsidR="00661519" w:rsidP="00661519" w:rsidRDefault="00661519" w14:paraId="05F6D62B" w14:textId="77777777">
      <w:pPr>
        <w:textAlignment w:val="baseline"/>
        <w:rPr>
          <w:rFonts w:eastAsia="Times New Roman"/>
          <w:b/>
          <w:color w:val="000000"/>
          <w:spacing w:val="1"/>
          <w:sz w:val="16"/>
          <w:lang w:val="en-GB"/>
        </w:rPr>
      </w:pPr>
      <w:r w:rsidRPr="009C48DA">
        <w:rPr>
          <w:rFonts w:eastAsia="Times New Roman"/>
          <w:b/>
          <w:color w:val="000000"/>
          <w:spacing w:val="1"/>
          <w:sz w:val="16"/>
          <w:lang w:val="en-GB"/>
        </w:rPr>
        <w:t>(e)</w:t>
      </w:r>
      <w:r w:rsidRPr="009C48DA">
        <w:rPr>
          <w:rFonts w:eastAsia="Times New Roman"/>
          <w:b/>
          <w:color w:val="000000"/>
          <w:spacing w:val="1"/>
          <w:sz w:val="16"/>
          <w:lang w:val="en-GB"/>
        </w:rPr>
        <w:tab/>
        <w:t>Cost of obtaining a contract</w:t>
      </w:r>
    </w:p>
    <w:p w:rsidRPr="009C48DA" w:rsidR="00661519" w:rsidP="00661519" w:rsidRDefault="00661519" w14:paraId="6982E57E" w14:textId="77777777">
      <w:pPr>
        <w:textAlignment w:val="baseline"/>
        <w:rPr>
          <w:rFonts w:eastAsia="Times New Roman"/>
          <w:color w:val="000000"/>
          <w:sz w:val="16"/>
          <w:lang w:val="en-GB"/>
        </w:rPr>
      </w:pPr>
    </w:p>
    <w:p w:rsidRPr="009C48DA" w:rsidR="00661519" w:rsidP="00661519" w:rsidRDefault="00661519" w14:paraId="5DAB039D" w14:textId="77777777">
      <w:pPr>
        <w:jc w:val="both"/>
        <w:textAlignment w:val="baseline"/>
        <w:rPr>
          <w:rFonts w:eastAsia="Times New Roman"/>
          <w:color w:val="000000"/>
          <w:sz w:val="16"/>
          <w:lang w:val="en-GB"/>
        </w:rPr>
      </w:pPr>
      <w:r w:rsidRPr="009C48DA">
        <w:rPr>
          <w:rFonts w:eastAsia="Times New Roman"/>
          <w:color w:val="000000"/>
          <w:sz w:val="16"/>
          <w:lang w:val="en-GB"/>
        </w:rPr>
        <w:t>Under UK GAAP fundraising costs incurred by the Group were recognised in the year that the fund begins earning management fees. Under IFRS, such costs are capitalised and are spread over the commitment period, which is typically between three and five years.</w:t>
      </w:r>
    </w:p>
    <w:p w:rsidRPr="009C48DA" w:rsidR="00661519" w:rsidP="00661519" w:rsidRDefault="00661519" w14:paraId="04B68D02" w14:textId="77777777">
      <w:pPr>
        <w:textAlignment w:val="baseline"/>
        <w:rPr>
          <w:rFonts w:eastAsia="Times New Roman" w:cs="Times New Roman"/>
          <w:b/>
          <w:color w:val="000000"/>
          <w:sz w:val="17"/>
          <w:szCs w:val="22"/>
          <w:lang w:val="en-GB"/>
        </w:rPr>
      </w:pPr>
    </w:p>
    <w:p w:rsidRPr="009C48DA" w:rsidR="00661519" w:rsidP="00661519" w:rsidRDefault="00661519" w14:paraId="6A4C3993" w14:textId="77777777">
      <w:pPr>
        <w:textAlignment w:val="baseline"/>
        <w:rPr>
          <w:rFonts w:eastAsia="Times New Roman" w:cs="Times New Roman"/>
          <w:b/>
          <w:color w:val="000000"/>
          <w:sz w:val="17"/>
          <w:szCs w:val="22"/>
          <w:lang w:val="en-GB"/>
        </w:rPr>
      </w:pPr>
    </w:p>
    <w:p w:rsidRPr="009C48DA" w:rsidR="00661519" w:rsidP="00661519" w:rsidRDefault="00661519" w14:paraId="0949B0EB" w14:textId="77777777">
      <w:pPr>
        <w:textAlignment w:val="baseline"/>
        <w:rPr>
          <w:rFonts w:eastAsia="Times New Roman" w:cs="Times New Roman"/>
          <w:b/>
          <w:color w:val="000000"/>
          <w:sz w:val="17"/>
          <w:szCs w:val="22"/>
          <w:lang w:val="en-GB"/>
        </w:rPr>
      </w:pPr>
      <w:r w:rsidRPr="009C48DA">
        <w:rPr>
          <w:rFonts w:eastAsia="Times New Roman" w:cs="Times New Roman"/>
          <w:b/>
          <w:color w:val="000000"/>
          <w:sz w:val="17"/>
          <w:szCs w:val="22"/>
          <w:lang w:val="en-GB"/>
        </w:rPr>
        <w:t>(f)</w:t>
      </w:r>
      <w:r w:rsidRPr="009C48DA">
        <w:rPr>
          <w:rFonts w:eastAsia="Times New Roman" w:cs="Times New Roman"/>
          <w:b/>
          <w:color w:val="000000"/>
          <w:sz w:val="17"/>
          <w:szCs w:val="22"/>
          <w:lang w:val="en-GB"/>
        </w:rPr>
        <w:tab/>
        <w:t>Leasing</w:t>
      </w:r>
    </w:p>
    <w:p w:rsidRPr="009C48DA" w:rsidR="00661519" w:rsidP="00661519" w:rsidRDefault="00661519" w14:paraId="6B14EC27" w14:textId="77777777">
      <w:pPr>
        <w:textAlignment w:val="baseline"/>
        <w:rPr>
          <w:rFonts w:eastAsia="Times New Roman"/>
          <w:b/>
          <w:color w:val="000000"/>
          <w:spacing w:val="3"/>
          <w:sz w:val="16"/>
          <w:lang w:val="en-GB"/>
        </w:rPr>
      </w:pPr>
    </w:p>
    <w:p w:rsidRPr="009C48DA" w:rsidR="00661519" w:rsidP="00661519" w:rsidRDefault="00661519" w14:paraId="1CB48AA2"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Under UK GAAP, all leases were classified as operating leases, where the lease payments were recognised as an expense in the income statement over the lease-term on a straight-line basis. Where the Group was an intermediate lessor by entering into a sublease agreement, </w:t>
      </w:r>
      <w:r w:rsidRPr="009C48DA">
        <w:rPr>
          <w:rFonts w:eastAsia="Times New Roman"/>
          <w:color w:val="000000"/>
          <w:sz w:val="16"/>
          <w:lang w:val="en-GB"/>
        </w:rPr>
        <w:br/>
        <w:t xml:space="preserve">rental income was recognised over the lease-term on a straight-line basis. </w:t>
      </w:r>
    </w:p>
    <w:p w:rsidRPr="009C48DA" w:rsidR="00661519" w:rsidP="00661519" w:rsidRDefault="00661519" w14:paraId="55372312" w14:textId="77777777">
      <w:pPr>
        <w:jc w:val="both"/>
        <w:textAlignment w:val="baseline"/>
        <w:rPr>
          <w:rFonts w:eastAsia="Times New Roman"/>
          <w:color w:val="000000"/>
          <w:sz w:val="16"/>
          <w:lang w:val="en-GB"/>
        </w:rPr>
      </w:pPr>
    </w:p>
    <w:p w:rsidRPr="009C48DA" w:rsidR="00661519" w:rsidP="00661519" w:rsidRDefault="00661519" w14:paraId="3F49488C"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Under IFRS 16 “Leases”, where the Group acts as a lessee the Group recognises a right-of-use asset and a lease liability at the lease commencement date. Where the Group acts as an intermediate lessor, the Group derecognises the right-of-use asset relating to the head lease and recognises the net investments in the sublease as a receivable. Further details of the accounting policy under IFRS 16 “Leases” are described in note 2 Accounting Policies. </w:t>
      </w:r>
    </w:p>
    <w:p w:rsidRPr="009C48DA" w:rsidR="00661519" w:rsidP="00661519" w:rsidRDefault="00661519" w14:paraId="797108FC" w14:textId="77777777">
      <w:pPr>
        <w:jc w:val="both"/>
        <w:textAlignment w:val="baseline"/>
        <w:rPr>
          <w:rFonts w:eastAsia="Times New Roman"/>
          <w:color w:val="000000"/>
          <w:sz w:val="16"/>
          <w:lang w:val="en-GB"/>
        </w:rPr>
      </w:pPr>
    </w:p>
    <w:p w:rsidRPr="009C48DA" w:rsidR="00661519" w:rsidP="00661519" w:rsidRDefault="00661519" w14:paraId="00729B7E"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As a first-time adopter of IFRS, the Group has, in line with IFRS 1 “First-time Adoption of International Financial Reporting Standards”, </w:t>
      </w:r>
      <w:r w:rsidRPr="009C48DA">
        <w:rPr>
          <w:rFonts w:eastAsia="Times New Roman"/>
          <w:color w:val="000000"/>
          <w:sz w:val="16"/>
          <w:lang w:val="en-GB"/>
        </w:rPr>
        <w:br/>
        <w:t xml:space="preserve">assessed where a contract existing at the date of transition to IFRS contains a lease by applying the requirements in IFRS 16 to those </w:t>
      </w:r>
      <w:r w:rsidRPr="009C48DA">
        <w:rPr>
          <w:rFonts w:eastAsia="Times New Roman"/>
          <w:color w:val="000000"/>
          <w:sz w:val="16"/>
          <w:lang w:val="en-GB"/>
        </w:rPr>
        <w:br/>
        <w:t xml:space="preserve">contracts on the basis of facts and circumstances existing at that date. The Group measured a lease liability at the date of transition to IFRS </w:t>
      </w:r>
      <w:r w:rsidRPr="009C48DA">
        <w:rPr>
          <w:rFonts w:eastAsia="Times New Roman"/>
          <w:color w:val="000000"/>
          <w:sz w:val="16"/>
          <w:lang w:val="en-GB"/>
        </w:rPr>
        <w:br/>
        <w:t xml:space="preserve">at the present value of the remaining lease payments, discounted using the incremental borrowing rate at the date of transition to IFRS. An IBR range of 2.36%-5.30% was used and the weighted average IBR was 4.24%. The right-of-use asset was measured at an amount equal to the lease liability, adjusted by the amount of any prepaid or accrued lease payments relating to that lease recognised in the balance sheet immediately before the date of transition to IFRS. </w:t>
      </w:r>
    </w:p>
    <w:p w:rsidRPr="009C48DA" w:rsidR="00661519" w:rsidP="00661519" w:rsidRDefault="00661519" w14:paraId="47C3F2A3" w14:textId="77777777">
      <w:pPr>
        <w:jc w:val="both"/>
        <w:textAlignment w:val="baseline"/>
        <w:rPr>
          <w:rFonts w:eastAsia="Times New Roman"/>
          <w:color w:val="000000"/>
          <w:sz w:val="16"/>
          <w:lang w:val="en-GB"/>
        </w:rPr>
      </w:pPr>
    </w:p>
    <w:p w:rsidRPr="009C48DA" w:rsidR="00661519" w:rsidP="00661519" w:rsidRDefault="00661519" w14:paraId="43402418"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The Group has used practical expedients that allow excluding initial direct costs from the measurement of the right-to-use asset at the date of transition to IFRS and relied on the assessment of whether leases are onerous by applying IAS 37 “Provision Contingent Liabilities and Contingent Assets” immediately before the date of initial application as an alternative to performing an impairment review. Short-term leases, including leases with a remaining lease of 12 months or less on the date of transition to IFRS, and leases of low value assets have been excluded from the lease liability. On the date of transition the Group had not entered into any sublease agreements. </w:t>
      </w:r>
    </w:p>
    <w:p w:rsidRPr="009C48DA" w:rsidR="00661519" w:rsidP="00661519" w:rsidRDefault="00661519" w14:paraId="0EB57999" w14:textId="77777777">
      <w:pPr>
        <w:jc w:val="both"/>
        <w:textAlignment w:val="baseline"/>
        <w:rPr>
          <w:rFonts w:eastAsia="Times New Roman"/>
          <w:color w:val="000000"/>
          <w:sz w:val="16"/>
          <w:lang w:val="en-GB"/>
        </w:rPr>
      </w:pPr>
    </w:p>
    <w:p w:rsidRPr="009C48DA" w:rsidR="00661519" w:rsidP="00661519" w:rsidRDefault="00661519" w14:paraId="6306A3FE" w14:textId="47C1959E">
      <w:pPr>
        <w:jc w:val="both"/>
        <w:textAlignment w:val="baseline"/>
        <w:rPr>
          <w:rFonts w:eastAsia="Times New Roman"/>
          <w:color w:val="000000"/>
          <w:sz w:val="16"/>
          <w:lang w:val="en-GB"/>
        </w:rPr>
      </w:pPr>
      <w:r w:rsidRPr="009C48DA">
        <w:rPr>
          <w:rFonts w:eastAsia="Times New Roman"/>
          <w:color w:val="000000"/>
          <w:sz w:val="16"/>
          <w:lang w:val="en-GB"/>
        </w:rPr>
        <w:t>On the date of transition to IFRS the Group recognised a lease liability of £48.84m, on the same date under UK GAAP the Group had opera</w:t>
      </w:r>
      <w:r w:rsidR="002D3E52">
        <w:rPr>
          <w:rFonts w:eastAsia="Times New Roman"/>
          <w:color w:val="000000"/>
          <w:sz w:val="16"/>
          <w:lang w:val="en-GB"/>
        </w:rPr>
        <w:t>ting lease commitments of £33.79</w:t>
      </w:r>
      <w:r w:rsidRPr="009C48DA">
        <w:rPr>
          <w:rFonts w:eastAsia="Times New Roman"/>
          <w:color w:val="000000"/>
          <w:sz w:val="16"/>
          <w:lang w:val="en-GB"/>
        </w:rPr>
        <w:t>m. The difference is due to the discounting of future lease payments and exclusion of leases with a remaining lease of 12 months or less and leases of low value assets from IFRS balances, as well as only including leases where the lease term has commenced as at transition date. UK GAAP includes leases that we have committed to but where the lease term has not yet commenced.</w:t>
      </w:r>
      <w:r w:rsidRPr="009C48DA">
        <w:rPr>
          <w:rFonts w:eastAsia="Times New Roman"/>
          <w:color w:val="000000"/>
          <w:sz w:val="16"/>
          <w:lang w:val="en-GB"/>
        </w:rPr>
        <w:cr/>
      </w:r>
    </w:p>
    <w:p w:rsidRPr="009C48DA" w:rsidR="00661519" w:rsidP="00661519" w:rsidRDefault="00661519" w14:paraId="10CE3712" w14:textId="77777777">
      <w:pPr>
        <w:jc w:val="both"/>
        <w:textAlignment w:val="baseline"/>
        <w:rPr>
          <w:rFonts w:eastAsia="Times New Roman"/>
          <w:color w:val="000000"/>
          <w:sz w:val="16"/>
          <w:lang w:val="en-GB"/>
        </w:rPr>
      </w:pPr>
    </w:p>
    <w:p w:rsidRPr="009C48DA" w:rsidR="00661519" w:rsidP="00661519" w:rsidRDefault="00661519" w14:paraId="52236150" w14:textId="77777777">
      <w:pPr>
        <w:textAlignment w:val="baseline"/>
        <w:rPr>
          <w:rFonts w:eastAsia="Times New Roman" w:cs="Times New Roman"/>
          <w:b/>
          <w:color w:val="000000"/>
          <w:sz w:val="17"/>
          <w:szCs w:val="22"/>
          <w:lang w:val="en-GB"/>
        </w:rPr>
      </w:pPr>
      <w:r w:rsidRPr="009C48DA">
        <w:rPr>
          <w:rFonts w:eastAsia="Times New Roman" w:cs="Times New Roman"/>
          <w:b/>
          <w:color w:val="000000"/>
          <w:sz w:val="17"/>
          <w:szCs w:val="22"/>
          <w:lang w:val="en-GB"/>
        </w:rPr>
        <w:t>(g)</w:t>
      </w:r>
      <w:r w:rsidRPr="009C48DA">
        <w:rPr>
          <w:rFonts w:eastAsia="Times New Roman" w:cs="Times New Roman"/>
          <w:b/>
          <w:color w:val="000000"/>
          <w:sz w:val="17"/>
          <w:szCs w:val="22"/>
          <w:lang w:val="en-GB"/>
        </w:rPr>
        <w:tab/>
        <w:t>Goodwill and business combination</w:t>
      </w:r>
    </w:p>
    <w:p w:rsidRPr="009C48DA" w:rsidR="00661519" w:rsidP="00661519" w:rsidRDefault="00661519" w14:paraId="3259279C" w14:textId="77777777">
      <w:pPr>
        <w:textAlignment w:val="baseline"/>
        <w:rPr>
          <w:rFonts w:eastAsia="Times New Roman"/>
          <w:color w:val="000000"/>
          <w:sz w:val="16"/>
          <w:lang w:val="en-GB"/>
        </w:rPr>
      </w:pPr>
    </w:p>
    <w:p w:rsidRPr="009C48DA" w:rsidR="00661519" w:rsidP="00661519" w:rsidRDefault="00661519" w14:paraId="21515494" w14:textId="77777777">
      <w:pPr>
        <w:jc w:val="both"/>
        <w:textAlignment w:val="baseline"/>
        <w:rPr>
          <w:rFonts w:eastAsia="Times New Roman"/>
          <w:color w:val="000000"/>
          <w:sz w:val="16"/>
          <w:lang w:val="en-GB"/>
        </w:rPr>
      </w:pPr>
      <w:r w:rsidRPr="009C48DA">
        <w:rPr>
          <w:rFonts w:eastAsia="Times New Roman"/>
          <w:color w:val="000000"/>
          <w:sz w:val="16"/>
          <w:lang w:val="en-GB"/>
        </w:rPr>
        <w:t>Under UK GAAP, goodwill was required to be amortised over its useful life. Under IFRS goodwill is not amortised. Amortisation has been reversed on transition to IFRS.</w:t>
      </w:r>
    </w:p>
    <w:p w:rsidRPr="009C48DA" w:rsidR="00661519" w:rsidP="00661519" w:rsidRDefault="00661519" w14:paraId="4826817D" w14:textId="77777777">
      <w:pPr>
        <w:jc w:val="both"/>
        <w:textAlignment w:val="baseline"/>
        <w:rPr>
          <w:rFonts w:eastAsia="Times New Roman"/>
          <w:color w:val="000000"/>
          <w:sz w:val="16"/>
          <w:lang w:val="en-GB"/>
        </w:rPr>
      </w:pPr>
    </w:p>
    <w:p w:rsidRPr="009C48DA" w:rsidR="00661519" w:rsidP="00661519" w:rsidRDefault="00661519" w14:paraId="08427C71"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In addition, transaction costs relating to a business combination cannot be capitalised as part of the acquisition cost as part of the goodwill. </w:t>
      </w:r>
      <w:r w:rsidRPr="009C48DA">
        <w:rPr>
          <w:rFonts w:eastAsia="Times New Roman"/>
          <w:color w:val="000000"/>
          <w:sz w:val="16"/>
          <w:lang w:val="en-GB"/>
        </w:rPr>
        <w:br/>
        <w:t>On transition to IFRS these costs have been expensed within the consolidated income statement and treated as an exceptional cost.</w:t>
      </w:r>
    </w:p>
    <w:p w:rsidRPr="009C48DA" w:rsidR="00661519" w:rsidP="00661519" w:rsidRDefault="00661519" w14:paraId="79ACC155" w14:textId="77777777">
      <w:pPr>
        <w:jc w:val="both"/>
        <w:textAlignment w:val="baseline"/>
        <w:rPr>
          <w:rFonts w:eastAsia="Times New Roman"/>
          <w:color w:val="000000"/>
          <w:sz w:val="16"/>
          <w:lang w:val="en-GB"/>
        </w:rPr>
      </w:pPr>
    </w:p>
    <w:p w:rsidRPr="009C48DA" w:rsidR="00661519" w:rsidP="00661519" w:rsidRDefault="00661519" w14:paraId="7381C240" w14:textId="77777777">
      <w:pPr>
        <w:jc w:val="both"/>
        <w:textAlignment w:val="baseline"/>
        <w:rPr>
          <w:rFonts w:eastAsia="Times New Roman"/>
          <w:color w:val="000000"/>
          <w:sz w:val="16"/>
          <w:lang w:val="en-GB"/>
        </w:rPr>
      </w:pPr>
    </w:p>
    <w:p w:rsidRPr="009C48DA" w:rsidR="00661519" w:rsidP="00661519" w:rsidRDefault="00661519" w14:paraId="54061280" w14:textId="77777777">
      <w:pPr>
        <w:jc w:val="both"/>
        <w:textAlignment w:val="baseline"/>
        <w:rPr>
          <w:rFonts w:eastAsia="Times New Roman"/>
          <w:b/>
          <w:color w:val="000000"/>
          <w:sz w:val="16"/>
          <w:lang w:val="en-GB"/>
        </w:rPr>
      </w:pPr>
      <w:r w:rsidRPr="009C48DA">
        <w:rPr>
          <w:rFonts w:eastAsia="Times New Roman"/>
          <w:b/>
          <w:color w:val="000000"/>
          <w:sz w:val="16"/>
          <w:lang w:val="en-GB"/>
        </w:rPr>
        <w:t>(h)</w:t>
      </w:r>
      <w:r w:rsidRPr="009C48DA">
        <w:rPr>
          <w:rFonts w:eastAsia="Times New Roman"/>
          <w:b/>
          <w:color w:val="000000"/>
          <w:sz w:val="16"/>
          <w:lang w:val="en-GB"/>
        </w:rPr>
        <w:tab/>
        <w:t>Taxation</w:t>
      </w:r>
    </w:p>
    <w:p w:rsidRPr="009C48DA" w:rsidR="00661519" w:rsidP="00661519" w:rsidRDefault="00661519" w14:paraId="08009F15" w14:textId="77777777">
      <w:pPr>
        <w:jc w:val="both"/>
        <w:textAlignment w:val="baseline"/>
        <w:rPr>
          <w:rFonts w:eastAsia="Times New Roman"/>
          <w:b/>
          <w:color w:val="000000"/>
          <w:sz w:val="16"/>
          <w:lang w:val="en-GB"/>
        </w:rPr>
      </w:pPr>
    </w:p>
    <w:p w:rsidRPr="009C48DA" w:rsidR="00661519" w:rsidP="00661519" w:rsidRDefault="00661519" w14:paraId="1AE38F4B" w14:textId="77777777">
      <w:pPr>
        <w:jc w:val="both"/>
        <w:textAlignment w:val="baseline"/>
        <w:rPr>
          <w:rFonts w:eastAsia="Times New Roman"/>
          <w:color w:val="000000"/>
          <w:sz w:val="16"/>
          <w:lang w:val="en-GB"/>
        </w:rPr>
      </w:pPr>
      <w:r w:rsidRPr="009C48DA">
        <w:rPr>
          <w:rFonts w:eastAsia="Times New Roman"/>
          <w:color w:val="000000"/>
          <w:sz w:val="16"/>
          <w:lang w:val="en-GB"/>
        </w:rPr>
        <w:t xml:space="preserve">On transition to IFRS, the Group recognised a deferred tax in respect of costs of obtaining contracts and leasing as noted in (d) and (e) </w:t>
      </w:r>
      <w:r w:rsidRPr="009C48DA">
        <w:rPr>
          <w:rFonts w:eastAsia="Times New Roman"/>
          <w:color w:val="000000"/>
          <w:sz w:val="16"/>
          <w:lang w:val="en-GB"/>
        </w:rPr>
        <w:br/>
        <w:t>above. The adjustments to deferred tax and income tax reflect the impact of transitional adjustments and are calculated in line with the accounting policy set out in note 2.</w:t>
      </w:r>
    </w:p>
    <w:p w:rsidRPr="009C48DA" w:rsidR="00661519" w:rsidP="00661519" w:rsidRDefault="00661519" w14:paraId="26FCFF99" w14:textId="77777777">
      <w:pPr>
        <w:jc w:val="both"/>
        <w:textAlignment w:val="baseline"/>
        <w:rPr>
          <w:rFonts w:eastAsia="Times New Roman"/>
          <w:color w:val="000000"/>
          <w:sz w:val="16"/>
          <w:lang w:val="en-GB"/>
        </w:rPr>
      </w:pPr>
    </w:p>
    <w:p w:rsidRPr="009C48DA" w:rsidR="00661519" w:rsidP="00661519" w:rsidRDefault="00661519" w14:paraId="52E651C5" w14:textId="77777777">
      <w:pPr>
        <w:jc w:val="both"/>
        <w:textAlignment w:val="baseline"/>
        <w:rPr>
          <w:rFonts w:eastAsia="Times New Roman"/>
          <w:color w:val="000000"/>
          <w:sz w:val="16"/>
          <w:lang w:val="en-GB"/>
        </w:rPr>
      </w:pPr>
    </w:p>
    <w:p w:rsidRPr="009C48DA" w:rsidR="00661519" w:rsidP="00661519" w:rsidRDefault="00661519" w14:paraId="68DBCD74" w14:textId="77777777">
      <w:pPr>
        <w:jc w:val="both"/>
        <w:textAlignment w:val="baseline"/>
        <w:rPr>
          <w:rFonts w:eastAsia="Times New Roman"/>
          <w:b/>
          <w:color w:val="000000"/>
          <w:sz w:val="16"/>
          <w:lang w:val="en-GB"/>
        </w:rPr>
      </w:pPr>
      <w:r w:rsidRPr="009C48DA">
        <w:rPr>
          <w:rFonts w:eastAsia="Times New Roman"/>
          <w:b/>
          <w:color w:val="000000"/>
          <w:sz w:val="16"/>
          <w:lang w:val="en-GB"/>
        </w:rPr>
        <w:t xml:space="preserve">(i) </w:t>
      </w:r>
      <w:r w:rsidRPr="009C48DA">
        <w:rPr>
          <w:rFonts w:eastAsia="Times New Roman"/>
          <w:b/>
          <w:color w:val="000000"/>
          <w:sz w:val="16"/>
          <w:lang w:val="en-GB"/>
        </w:rPr>
        <w:tab/>
        <w:t>Net exchange difference reserve</w:t>
      </w:r>
    </w:p>
    <w:p w:rsidRPr="009C48DA" w:rsidR="00661519" w:rsidP="00661519" w:rsidRDefault="00661519" w14:paraId="5365C1A4" w14:textId="77777777">
      <w:pPr>
        <w:jc w:val="both"/>
        <w:textAlignment w:val="baseline"/>
        <w:rPr>
          <w:rFonts w:eastAsia="Times New Roman"/>
          <w:b/>
          <w:color w:val="000000"/>
          <w:sz w:val="16"/>
          <w:lang w:val="en-GB"/>
        </w:rPr>
      </w:pPr>
    </w:p>
    <w:p w:rsidRPr="009C48DA" w:rsidR="00661519" w:rsidP="00661519" w:rsidRDefault="00661519" w14:paraId="01C29D01" w14:textId="3A49D986">
      <w:pPr>
        <w:jc w:val="both"/>
        <w:textAlignment w:val="baseline"/>
        <w:rPr>
          <w:rFonts w:eastAsia="Times New Roman"/>
          <w:color w:val="000000"/>
          <w:sz w:val="16"/>
          <w:lang w:val="en-GB"/>
        </w:rPr>
      </w:pPr>
      <w:r w:rsidRPr="009C48DA">
        <w:rPr>
          <w:rFonts w:eastAsia="Times New Roman"/>
          <w:color w:val="000000"/>
          <w:sz w:val="16"/>
          <w:lang w:val="en-GB"/>
        </w:rPr>
        <w:t xml:space="preserve">On transition to IFRS, exchange difference on the translation of foreign operations have been reclassified from </w:t>
      </w:r>
      <w:r w:rsidRPr="009C48DA" w:rsidR="00BB4FC4">
        <w:rPr>
          <w:rFonts w:eastAsia="Times New Roman"/>
          <w:color w:val="000000"/>
          <w:sz w:val="16"/>
          <w:lang w:val="en-GB"/>
        </w:rPr>
        <w:t xml:space="preserve">retained earning to a </w:t>
      </w:r>
      <w:r w:rsidRPr="009C48DA" w:rsidR="00BB4FC4">
        <w:rPr>
          <w:rFonts w:eastAsia="Times New Roman"/>
          <w:color w:val="000000"/>
          <w:sz w:val="16"/>
          <w:lang w:val="en-GB"/>
        </w:rPr>
        <w:br/>
      </w:r>
      <w:r w:rsidRPr="009C48DA">
        <w:rPr>
          <w:rFonts w:eastAsia="Times New Roman"/>
          <w:color w:val="000000"/>
          <w:sz w:val="16"/>
          <w:lang w:val="en-GB"/>
        </w:rPr>
        <w:t>separate note.</w:t>
      </w:r>
    </w:p>
    <w:p w:rsidRPr="009C48DA" w:rsidR="00143D62" w:rsidRDefault="00143D62" w14:paraId="313B9ECA" w14:textId="535036D8">
      <w:pPr>
        <w:rPr>
          <w:rFonts w:eastAsia="SimSun" w:cs="Times New Roman"/>
          <w:b/>
          <w:bCs/>
          <w:lang w:val="en-GB"/>
        </w:rPr>
      </w:pPr>
    </w:p>
    <w:p w:rsidRPr="009C48DA" w:rsidR="003F7555" w:rsidP="00FF68E4" w:rsidRDefault="003F7555" w14:paraId="1A2EF56A" w14:textId="77777777">
      <w:pPr>
        <w:rPr>
          <w:rFonts w:eastAsia="SimSun" w:cs="Times New Roman"/>
          <w:b/>
          <w:bCs/>
          <w:lang w:val="en-GB"/>
        </w:rPr>
        <w:sectPr w:rsidRPr="009C48DA" w:rsidR="003F7555" w:rsidSect="00C82FFD">
          <w:headerReference w:type="default" r:id="rId74"/>
          <w:footerReference w:type="default" r:id="rId75"/>
          <w:pgSz w:w="11909" w:h="16838"/>
          <w:pgMar w:top="1440" w:right="1440" w:bottom="1440" w:left="1440" w:header="720" w:footer="720" w:gutter="0"/>
          <w:cols w:space="720"/>
          <w:docGrid w:linePitch="299"/>
        </w:sectPr>
      </w:pPr>
    </w:p>
    <w:p w:rsidRPr="009C48DA" w:rsidR="00DA7B9D" w:rsidP="00F172AB" w:rsidRDefault="00F02DE2" w14:paraId="71527CB3" w14:textId="212A212C">
      <w:pPr>
        <w:pStyle w:val="Heading1"/>
        <w:rPr>
          <w:lang w:val="en-GB"/>
        </w:rPr>
      </w:pPr>
      <w:bookmarkStart w:name="Cover_page" w:id="733"/>
      <w:bookmarkStart w:name="RANGE!A1:H40" w:id="734"/>
      <w:bookmarkStart w:name="_Toc4171258" w:id="735"/>
      <w:bookmarkStart w:name="_Toc67956040" w:id="736"/>
      <w:bookmarkStart w:name="_Ref67961554" w:id="737"/>
      <w:bookmarkStart w:name="_Ref67961582" w:id="738"/>
      <w:bookmarkStart w:name="_Ref67961596" w:id="739"/>
      <w:bookmarkStart w:name="_Toc67963002" w:id="740"/>
      <w:bookmarkStart w:name="_Toc67963383" w:id="741"/>
      <w:bookmarkStart w:name="_Ref68015902" w:id="742"/>
      <w:bookmarkEnd w:id="733"/>
      <w:bookmarkEnd w:id="734"/>
      <w:r w:rsidRPr="009C48DA">
        <w:rPr>
          <w:lang w:val="en-GB"/>
        </w:rPr>
        <w:lastRenderedPageBreak/>
        <w:br/>
      </w:r>
      <w:r w:rsidRPr="009C48DA">
        <w:rPr>
          <w:lang w:val="en-GB"/>
        </w:rPr>
        <w:br/>
      </w:r>
      <w:bookmarkStart w:name="_Ref71144215" w:id="743"/>
      <w:bookmarkStart w:name="_Ref71146232" w:id="744"/>
      <w:bookmarkStart w:name="_Ref71146281" w:id="745"/>
      <w:bookmarkStart w:name="_Ref71146433" w:id="746"/>
      <w:bookmarkStart w:name="_Ref71146450" w:id="747"/>
      <w:bookmarkStart w:name="_Toc71147114" w:id="748"/>
      <w:bookmarkStart w:name="_Toc71147154" w:id="749"/>
      <w:bookmarkStart w:name="_Toc71147166" w:id="750"/>
      <w:bookmarkStart w:name="_Toc71167152" w:id="751"/>
      <w:bookmarkStart w:name="_Toc71187621" w:id="752"/>
      <w:bookmarkStart w:name="_Toc71188683" w:id="753"/>
      <w:bookmarkStart w:name="_Toc75831929" w:id="754"/>
      <w:r w:rsidRPr="009C48DA" w:rsidR="00F172AB">
        <w:rPr>
          <w:lang w:val="en-GB"/>
        </w:rPr>
        <w:t>Additional Information</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p w:rsidRPr="009C48DA" w:rsidR="00DA7B9D" w:rsidRDefault="00427CB5" w14:paraId="0486E23B" w14:textId="4EC1FC9D">
      <w:pPr>
        <w:pStyle w:val="Heading3"/>
        <w:rPr>
          <w:lang w:val="en-GB"/>
        </w:rPr>
      </w:pPr>
      <w:r w:rsidRPr="009C48DA">
        <w:rPr>
          <w:lang w:val="en-GB"/>
        </w:rPr>
        <w:t>RESPONSIBILITY STATEMENT</w:t>
      </w:r>
    </w:p>
    <w:p w:rsidRPr="009C48DA" w:rsidR="00DA7B9D" w:rsidRDefault="00427CB5" w14:paraId="45A1A702" w14:textId="08934E98">
      <w:pPr>
        <w:pStyle w:val="BlockText5SglJ"/>
        <w:rPr>
          <w:color w:val="000000"/>
          <w:lang w:val="en-GB"/>
        </w:rPr>
      </w:pPr>
      <w:r w:rsidRPr="009C48DA">
        <w:rPr>
          <w:color w:val="000000"/>
          <w:lang w:val="en-GB"/>
        </w:rPr>
        <w:t xml:space="preserve">The Directors, whose names appear in </w:t>
      </w:r>
      <w:r w:rsidRPr="009C48DA" w:rsidR="0098054A">
        <w:rPr>
          <w:color w:val="000000"/>
          <w:lang w:val="en-GB"/>
        </w:rPr>
        <w:fldChar w:fldCharType="begin"/>
      </w:r>
      <w:r w:rsidRPr="009C48DA" w:rsidR="0098054A">
        <w:rPr>
          <w:color w:val="000000"/>
          <w:lang w:val="en-GB"/>
        </w:rPr>
        <w:instrText xml:space="preserve"> REF _Ref71144380 \n \h </w:instrText>
      </w:r>
      <w:r w:rsidRPr="009C48DA" w:rsidR="00F10B04">
        <w:rPr>
          <w:color w:val="000000"/>
          <w:lang w:val="en-GB"/>
        </w:rPr>
        <w:instrText xml:space="preserve"> \* MERGEFORMAT </w:instrText>
      </w:r>
      <w:r w:rsidRPr="009C48DA" w:rsidR="0098054A">
        <w:rPr>
          <w:color w:val="000000"/>
          <w:lang w:val="en-GB"/>
        </w:rPr>
      </w:r>
      <w:r w:rsidRPr="009C48DA" w:rsidR="0098054A">
        <w:rPr>
          <w:color w:val="000000"/>
          <w:lang w:val="en-GB"/>
        </w:rPr>
        <w:fldChar w:fldCharType="separate"/>
      </w:r>
      <w:r w:rsidR="007C3D19">
        <w:rPr>
          <w:color w:val="000000"/>
          <w:lang w:val="en-GB"/>
        </w:rPr>
        <w:t>Part VII</w:t>
      </w:r>
      <w:r w:rsidRPr="009C48DA" w:rsidR="0098054A">
        <w:rPr>
          <w:color w:val="000000"/>
          <w:lang w:val="en-GB"/>
        </w:rPr>
        <w:fldChar w:fldCharType="end"/>
      </w:r>
      <w:r w:rsidRPr="009C48DA">
        <w:rPr>
          <w:color w:val="000000"/>
          <w:lang w:val="en-GB"/>
        </w:rPr>
        <w:t xml:space="preserve"> (</w:t>
      </w:r>
      <w:r w:rsidRPr="009C48DA" w:rsidR="001B45EC">
        <w:rPr>
          <w:rFonts w:eastAsia="Times New Roman" w:cs="Times New Roman"/>
          <w:i/>
          <w:szCs w:val="22"/>
          <w:lang w:val="en-GB"/>
        </w:rPr>
      </w:r>
      <w:r w:rsidRPr="007C3D19" w:rsidR="007C3D19">
        <w:rPr>
          <w:i/>
          <w:lang w:val="en-GB"/>
        </w:rPr>
        <w:t>Directors, Senior Management, Employees And Corporate Governance</w:t>
      </w:r>
      <w:r w:rsidRPr="009C48DA">
        <w:rPr>
          <w:color w:val="000000"/>
          <w:lang w:val="en-GB"/>
        </w:rPr>
        <w:t>)</w:t>
      </w:r>
      <w:r w:rsidRPr="009C48DA" w:rsidR="009854B2">
        <w:rPr>
          <w:color w:val="000000"/>
          <w:lang w:val="en-GB"/>
        </w:rPr>
        <w:t xml:space="preserve"> of this Registration Document</w:t>
      </w:r>
      <w:r w:rsidRPr="009C48DA">
        <w:rPr>
          <w:color w:val="000000"/>
          <w:lang w:val="en-GB"/>
        </w:rPr>
        <w:t xml:space="preserve">, and the Company accept responsibility for the information contained in this Registration Document. To the best of the knowledge of the Directors and the Company, </w:t>
      </w:r>
      <w:r w:rsidRPr="009C48DA">
        <w:rPr>
          <w:lang w:val="en-GB"/>
        </w:rPr>
        <w:t>the</w:t>
      </w:r>
      <w:r w:rsidRPr="009C48DA">
        <w:rPr>
          <w:color w:val="000000"/>
          <w:lang w:val="en-GB"/>
        </w:rPr>
        <w:t xml:space="preserve"> information contained in this Registration Document is in accordance with the facts and this Registration Document makes no omission likely to affect its import.</w:t>
      </w:r>
    </w:p>
    <w:p w:rsidRPr="009C48DA" w:rsidR="00DA7B9D" w:rsidRDefault="00427CB5" w14:paraId="6590CCB1" w14:textId="4AEB88AC">
      <w:pPr>
        <w:pStyle w:val="Heading3"/>
        <w:rPr>
          <w:lang w:val="en-GB"/>
        </w:rPr>
      </w:pPr>
      <w:r w:rsidRPr="009C48DA">
        <w:rPr>
          <w:lang w:val="en-GB"/>
        </w:rPr>
        <w:t>INCORPORATION AND ACTIVITY OF THE COMPANY</w:t>
      </w:r>
    </w:p>
    <w:p w:rsidRPr="009C48DA" w:rsidR="00641439" w:rsidP="0060161D" w:rsidRDefault="00641439" w14:paraId="7F09A1C0" w14:textId="3B5EED98">
      <w:pPr>
        <w:pStyle w:val="BlockText5SglJ"/>
        <w:rPr>
          <w:lang w:val="en-GB" w:eastAsia="en-GB"/>
        </w:rPr>
      </w:pPr>
      <w:r w:rsidRPr="009C48DA">
        <w:rPr>
          <w:lang w:val="en-GB" w:eastAsia="en-GB"/>
        </w:rPr>
        <w:t xml:space="preserve">On </w:t>
      </w:r>
      <w:r w:rsidRPr="009C48DA" w:rsidR="00BE1C88">
        <w:rPr>
          <w:lang w:val="en-GB" w:eastAsia="en-GB"/>
        </w:rPr>
        <w:t>2 July 2018</w:t>
      </w:r>
      <w:r w:rsidRPr="009C48DA">
        <w:rPr>
          <w:lang w:val="en-GB" w:eastAsia="en-GB"/>
        </w:rPr>
        <w:t>, the Company was incorporated and registered in England and Wales under the Companies Act 2006 as a p</w:t>
      </w:r>
      <w:r w:rsidRPr="009C48DA" w:rsidR="00BE1C88">
        <w:rPr>
          <w:lang w:val="en-GB" w:eastAsia="en-GB"/>
        </w:rPr>
        <w:t>rivate</w:t>
      </w:r>
      <w:r w:rsidRPr="009C48DA">
        <w:rPr>
          <w:lang w:val="en-GB" w:eastAsia="en-GB"/>
        </w:rPr>
        <w:t xml:space="preserve"> limited company under the name </w:t>
      </w:r>
      <w:r w:rsidRPr="009C48DA" w:rsidR="006A633E">
        <w:rPr>
          <w:lang w:val="en-GB" w:eastAsia="en-GB"/>
        </w:rPr>
        <w:t>Atlantic Investment Holdings Limited</w:t>
      </w:r>
      <w:r w:rsidRPr="009C48DA">
        <w:rPr>
          <w:lang w:val="en-GB" w:eastAsia="en-GB"/>
        </w:rPr>
        <w:t xml:space="preserve"> with registered number </w:t>
      </w:r>
      <w:r w:rsidRPr="009C48DA" w:rsidR="007F4EB7">
        <w:rPr>
          <w:lang w:val="en-GB" w:eastAsia="en-GB"/>
        </w:rPr>
        <w:t>11443992</w:t>
      </w:r>
      <w:r w:rsidRPr="009C48DA">
        <w:rPr>
          <w:lang w:val="en-GB" w:eastAsia="en-GB"/>
        </w:rPr>
        <w:t xml:space="preserve">. </w:t>
      </w:r>
      <w:r w:rsidRPr="009C48DA" w:rsidR="006A633E">
        <w:rPr>
          <w:lang w:val="en-GB" w:eastAsia="en-GB"/>
        </w:rPr>
        <w:t>On 18 Sep</w:t>
      </w:r>
      <w:r w:rsidRPr="009C48DA" w:rsidR="005611CA">
        <w:rPr>
          <w:lang w:val="en-GB" w:eastAsia="en-GB"/>
        </w:rPr>
        <w:t>tember 2018, the Company changed</w:t>
      </w:r>
      <w:r w:rsidRPr="009C48DA" w:rsidR="006A633E">
        <w:rPr>
          <w:lang w:val="en-GB" w:eastAsia="en-GB"/>
        </w:rPr>
        <w:t xml:space="preserve"> its name to Atlantic Investments Holdings Limited. </w:t>
      </w:r>
      <w:r w:rsidRPr="009C48DA">
        <w:rPr>
          <w:lang w:val="en-GB" w:eastAsia="en-GB"/>
        </w:rPr>
        <w:t xml:space="preserve">The commercial name of the Company (and the Group as a whole) is </w:t>
      </w:r>
      <w:r w:rsidRPr="009C48DA" w:rsidR="00684D00">
        <w:rPr>
          <w:lang w:val="en-GB" w:eastAsia="en-GB"/>
        </w:rPr>
        <w:t>“</w:t>
      </w:r>
      <w:r w:rsidRPr="009C48DA" w:rsidR="007F7AA9">
        <w:rPr>
          <w:lang w:val="en-GB"/>
        </w:rPr>
        <w:t>Bridgepoint</w:t>
      </w:r>
      <w:r w:rsidRPr="009C48DA">
        <w:rPr>
          <w:lang w:val="en-GB" w:eastAsia="en-GB"/>
        </w:rPr>
        <w:t>.</w:t>
      </w:r>
      <w:r w:rsidRPr="009C48DA" w:rsidR="00BE7AE4">
        <w:rPr>
          <w:lang w:val="en-GB" w:eastAsia="en-GB"/>
        </w:rPr>
        <w:t>”</w:t>
      </w:r>
      <w:r w:rsidRPr="009C48DA">
        <w:rPr>
          <w:lang w:val="en-GB" w:eastAsia="en-GB"/>
        </w:rPr>
        <w:t xml:space="preserve"> </w:t>
      </w:r>
    </w:p>
    <w:p w:rsidRPr="009C48DA" w:rsidR="00641439" w:rsidP="0060161D" w:rsidRDefault="00641439" w14:paraId="2F8F41D4" w14:textId="42B98D58">
      <w:pPr>
        <w:pStyle w:val="BlockText5SglJ"/>
        <w:rPr>
          <w:lang w:val="en-GB" w:eastAsia="en-GB"/>
        </w:rPr>
      </w:pPr>
      <w:r w:rsidRPr="009C48DA">
        <w:rPr>
          <w:lang w:val="en-GB" w:eastAsia="en-GB"/>
        </w:rPr>
        <w:t xml:space="preserve">The principal activity of the Company </w:t>
      </w:r>
      <w:r w:rsidRPr="009C48DA" w:rsidR="00B10F5E">
        <w:rPr>
          <w:lang w:val="en-GB" w:eastAsia="en-GB"/>
        </w:rPr>
        <w:t xml:space="preserve">is </w:t>
      </w:r>
      <w:r w:rsidRPr="009C48DA">
        <w:rPr>
          <w:lang w:val="en-GB"/>
        </w:rPr>
        <w:t>to act as the holding compan</w:t>
      </w:r>
      <w:r w:rsidRPr="009C48DA" w:rsidR="00D4615A">
        <w:rPr>
          <w:lang w:val="en-GB"/>
        </w:rPr>
        <w:t>y of the Group</w:t>
      </w:r>
      <w:r w:rsidRPr="009C48DA">
        <w:rPr>
          <w:lang w:val="en-GB" w:eastAsia="en-GB"/>
        </w:rPr>
        <w:t xml:space="preserve">. The principal legislation under which the Company operates is the Companies Act 2006 and regulations made thereunder. The Company operates in conformity with its Articles. </w:t>
      </w:r>
    </w:p>
    <w:p w:rsidRPr="009C48DA" w:rsidR="00DA7B9D" w:rsidP="0060161D" w:rsidRDefault="00641439" w14:paraId="25DD3E41" w14:textId="3343AEA0">
      <w:pPr>
        <w:pStyle w:val="BlockText5SglJ"/>
        <w:rPr>
          <w:lang w:val="en-GB" w:eastAsia="en-GB"/>
        </w:rPr>
      </w:pPr>
      <w:r w:rsidRPr="009C48DA">
        <w:rPr>
          <w:lang w:val="en-GB" w:eastAsia="en-GB"/>
        </w:rPr>
        <w:t xml:space="preserve">The Company is domiciled in England and Wales with its registered office at </w:t>
      </w:r>
      <w:r w:rsidRPr="009C48DA" w:rsidR="006A633E">
        <w:rPr>
          <w:lang w:val="en-GB" w:eastAsia="en-GB"/>
        </w:rPr>
        <w:t>95 Wigmore Street, London W1U 1FB</w:t>
      </w:r>
      <w:r w:rsidRPr="009C48DA">
        <w:rPr>
          <w:lang w:val="en-GB" w:eastAsia="en-GB"/>
        </w:rPr>
        <w:t xml:space="preserve">. The telephone number of the Company’s registered office is </w:t>
      </w:r>
      <w:r w:rsidRPr="009C48DA" w:rsidR="006A633E">
        <w:rPr>
          <w:lang w:val="en-GB" w:eastAsia="en-GB"/>
        </w:rPr>
        <w:t>+44 (0)20 7034 3500</w:t>
      </w:r>
      <w:r w:rsidRPr="009C48DA">
        <w:rPr>
          <w:lang w:val="en-GB" w:eastAsia="en-GB"/>
        </w:rPr>
        <w:t xml:space="preserve">. The Company’s LEI number is </w:t>
      </w:r>
      <w:r w:rsidRPr="009C48DA" w:rsidR="00296584">
        <w:rPr>
          <w:lang w:val="en-GB" w:eastAsia="en-GB"/>
        </w:rPr>
        <w:t>213800KFNMVI8PDZX472</w:t>
      </w:r>
      <w:r w:rsidRPr="009C48DA">
        <w:rPr>
          <w:lang w:val="en-GB" w:eastAsia="en-GB"/>
        </w:rPr>
        <w:t>.</w:t>
      </w:r>
    </w:p>
    <w:p w:rsidRPr="009C48DA" w:rsidR="00DA7B9D" w:rsidRDefault="00427CB5" w14:paraId="33AA0E18" w14:textId="30E08168">
      <w:pPr>
        <w:pStyle w:val="Heading3"/>
        <w:rPr>
          <w:lang w:val="en-GB"/>
        </w:rPr>
      </w:pPr>
      <w:bookmarkStart w:name="_Ref72443125" w:id="755"/>
      <w:r w:rsidRPr="009C48DA">
        <w:rPr>
          <w:lang w:val="en-GB"/>
        </w:rPr>
        <w:t>SHARE CAPITAL OF THE COMPANY</w:t>
      </w:r>
      <w:bookmarkEnd w:id="755"/>
    </w:p>
    <w:p w:rsidRPr="009C48DA" w:rsidR="00DA7B9D" w:rsidRDefault="00427CB5" w14:paraId="1DEB7754" w14:textId="77777777">
      <w:pPr>
        <w:pStyle w:val="Heading4"/>
        <w:rPr>
          <w:b/>
          <w:i/>
          <w:lang w:val="en-GB"/>
        </w:rPr>
      </w:pPr>
      <w:r w:rsidRPr="009C48DA">
        <w:rPr>
          <w:b/>
          <w:i/>
          <w:lang w:val="en-GB"/>
        </w:rPr>
        <w:t>Issued Share Capital of the Company</w:t>
      </w:r>
    </w:p>
    <w:p w:rsidRPr="009C48DA" w:rsidR="00DA7B9D" w:rsidP="00641439" w:rsidRDefault="0024570B" w14:paraId="6D4D855D" w14:textId="67DA76DC">
      <w:pPr>
        <w:pStyle w:val="BlockText5SglJ"/>
        <w:rPr>
          <w:color w:val="000000"/>
          <w:lang w:val="en-GB"/>
        </w:rPr>
      </w:pPr>
      <w:r w:rsidRPr="009C48DA">
        <w:rPr>
          <w:color w:val="000000"/>
          <w:lang w:val="en-GB"/>
        </w:rPr>
        <w:t>As of</w:t>
      </w:r>
      <w:r w:rsidRPr="009C48DA" w:rsidR="00641439">
        <w:rPr>
          <w:color w:val="000000"/>
          <w:lang w:val="en-GB"/>
        </w:rPr>
        <w:t xml:space="preserve"> the date of this Registration Document, the issued share capital of the Company </w:t>
      </w:r>
      <w:r w:rsidRPr="009C48DA" w:rsidR="00590789">
        <w:rPr>
          <w:color w:val="000000"/>
          <w:lang w:val="en-GB"/>
        </w:rPr>
        <w:t xml:space="preserve">is </w:t>
      </w:r>
      <w:r w:rsidRPr="009C48DA" w:rsidR="00FA7BBF">
        <w:rPr>
          <w:color w:val="000000"/>
          <w:lang w:val="en-GB"/>
        </w:rPr>
        <w:t>£</w:t>
      </w:r>
      <w:r w:rsidRPr="009C48DA" w:rsidR="00265583">
        <w:rPr>
          <w:color w:val="000000"/>
          <w:lang w:val="en-GB"/>
        </w:rPr>
        <w:t>79,521</w:t>
      </w:r>
      <w:r w:rsidRPr="009C48DA" w:rsidR="00FA7BBF">
        <w:rPr>
          <w:color w:val="000000"/>
          <w:lang w:val="en-GB"/>
        </w:rPr>
        <w:t>.01</w:t>
      </w:r>
      <w:r w:rsidRPr="009C48DA" w:rsidR="00590789">
        <w:rPr>
          <w:color w:val="000000"/>
          <w:lang w:val="en-GB"/>
        </w:rPr>
        <w:t xml:space="preserve"> comprising </w:t>
      </w:r>
      <w:r w:rsidRPr="009C48DA" w:rsidR="00265583">
        <w:rPr>
          <w:color w:val="000000"/>
          <w:lang w:val="en-GB"/>
        </w:rPr>
        <w:t>2,738,001</w:t>
      </w:r>
      <w:r w:rsidRPr="009C48DA" w:rsidR="00CC08F7">
        <w:rPr>
          <w:color w:val="000000"/>
          <w:lang w:val="en-GB"/>
        </w:rPr>
        <w:t xml:space="preserve"> A1</w:t>
      </w:r>
      <w:r w:rsidRPr="009C48DA" w:rsidR="00265583">
        <w:rPr>
          <w:color w:val="000000"/>
          <w:lang w:val="en-GB"/>
        </w:rPr>
        <w:t xml:space="preserve"> ordinary</w:t>
      </w:r>
      <w:r w:rsidRPr="009C48DA" w:rsidR="00CC08F7">
        <w:rPr>
          <w:color w:val="000000"/>
          <w:lang w:val="en-GB"/>
        </w:rPr>
        <w:t xml:space="preserve"> shares of £0.01 each, </w:t>
      </w:r>
      <w:r w:rsidRPr="009C48DA" w:rsidR="00265583">
        <w:rPr>
          <w:color w:val="000000"/>
          <w:lang w:val="en-GB"/>
        </w:rPr>
        <w:t>552,000</w:t>
      </w:r>
      <w:r w:rsidRPr="009C48DA" w:rsidR="00CC08F7">
        <w:rPr>
          <w:color w:val="000000"/>
          <w:lang w:val="en-GB"/>
        </w:rPr>
        <w:t xml:space="preserve"> A2</w:t>
      </w:r>
      <w:r w:rsidRPr="009C48DA" w:rsidR="00265583">
        <w:rPr>
          <w:color w:val="000000"/>
          <w:lang w:val="en-GB"/>
        </w:rPr>
        <w:t xml:space="preserve"> ordinary</w:t>
      </w:r>
      <w:r w:rsidRPr="009C48DA" w:rsidR="00CC08F7">
        <w:rPr>
          <w:color w:val="000000"/>
          <w:lang w:val="en-GB"/>
        </w:rPr>
        <w:t xml:space="preserve"> shares of £0.01 each, 612,000 A3</w:t>
      </w:r>
      <w:r w:rsidRPr="009C48DA" w:rsidR="00265583">
        <w:rPr>
          <w:color w:val="000000"/>
          <w:lang w:val="en-GB"/>
        </w:rPr>
        <w:t xml:space="preserve"> ordinary</w:t>
      </w:r>
      <w:r w:rsidRPr="009C48DA" w:rsidR="00CC08F7">
        <w:rPr>
          <w:color w:val="000000"/>
          <w:lang w:val="en-GB"/>
        </w:rPr>
        <w:t xml:space="preserve"> shares of £0.01 each, 1 YY share of £1.00 each and 500 deferred shares </w:t>
      </w:r>
      <w:r w:rsidRPr="009C48DA" w:rsidR="00590789">
        <w:rPr>
          <w:color w:val="000000"/>
          <w:lang w:val="en-GB"/>
        </w:rPr>
        <w:t>of £</w:t>
      </w:r>
      <w:r w:rsidRPr="009C48DA" w:rsidR="00CC08F7">
        <w:rPr>
          <w:color w:val="000000"/>
          <w:lang w:val="en-GB"/>
        </w:rPr>
        <w:t>81.00</w:t>
      </w:r>
      <w:r w:rsidRPr="009C48DA" w:rsidR="00590789">
        <w:rPr>
          <w:color w:val="000000"/>
          <w:lang w:val="en-GB"/>
        </w:rPr>
        <w:t xml:space="preserve"> each (which are paid or credited as fully paid)</w:t>
      </w:r>
      <w:r w:rsidRPr="009C48DA" w:rsidR="00641439">
        <w:rPr>
          <w:color w:val="000000"/>
          <w:lang w:val="en-GB"/>
        </w:rPr>
        <w:t xml:space="preserve">. </w:t>
      </w:r>
      <w:r w:rsidRPr="009C48DA" w:rsidR="00265583">
        <w:rPr>
          <w:color w:val="000000"/>
          <w:lang w:val="en-GB"/>
        </w:rPr>
        <w:t xml:space="preserve">The Company has also passed a resolution for the cancellation of 98,000 A1 ordinary shares and 72,500 A2 ordinary shares which is in the process of being registered at Companies House. </w:t>
      </w:r>
      <w:r w:rsidRPr="009C48DA" w:rsidR="00641439">
        <w:rPr>
          <w:color w:val="000000"/>
          <w:lang w:val="en-GB"/>
        </w:rPr>
        <w:t>The Company has no convertible securities, exchangeable securities or securities with warrants in issue.</w:t>
      </w:r>
    </w:p>
    <w:p w:rsidRPr="009C48DA" w:rsidR="00DA7B9D" w:rsidRDefault="00427CB5" w14:paraId="5202354C" w14:textId="0608763C">
      <w:pPr>
        <w:pStyle w:val="Heading4"/>
        <w:rPr>
          <w:b/>
          <w:i/>
          <w:lang w:val="en-GB"/>
        </w:rPr>
      </w:pPr>
      <w:r w:rsidRPr="009C48DA">
        <w:rPr>
          <w:b/>
          <w:i/>
          <w:lang w:val="en-GB"/>
        </w:rPr>
        <w:t>History of the Share Capital</w:t>
      </w:r>
    </w:p>
    <w:p w:rsidRPr="009C48DA" w:rsidR="006A633E" w:rsidP="00264E3B" w:rsidRDefault="000B4014" w14:paraId="58AC5CD2" w14:textId="7F1C2F62">
      <w:pPr>
        <w:pStyle w:val="Heading5"/>
        <w:rPr>
          <w:lang w:val="en-GB"/>
        </w:rPr>
      </w:pPr>
      <w:r w:rsidRPr="009C48DA">
        <w:rPr>
          <w:lang w:val="en-GB"/>
        </w:rPr>
        <w:t>On 2</w:t>
      </w:r>
      <w:r w:rsidRPr="009C48DA" w:rsidR="006A633E">
        <w:rPr>
          <w:lang w:val="en-GB"/>
        </w:rPr>
        <w:t xml:space="preserve"> July 2018, the Company was incorporated with the name Atlantic Investment Holdings Limited with two ordinary shares each of £1 nominal value. </w:t>
      </w:r>
    </w:p>
    <w:p w:rsidRPr="009C48DA" w:rsidR="006A633E" w:rsidP="00264E3B" w:rsidRDefault="006A633E" w14:paraId="125B40DE" w14:textId="77777777">
      <w:pPr>
        <w:pStyle w:val="Heading5"/>
        <w:rPr>
          <w:lang w:val="en-GB"/>
        </w:rPr>
      </w:pPr>
      <w:r w:rsidRPr="009C48DA">
        <w:rPr>
          <w:lang w:val="en-GB"/>
        </w:rPr>
        <w:t xml:space="preserve">On 11 October 2018, the Company allotted 149 ordinary shares each of £1 nominal value. </w:t>
      </w:r>
    </w:p>
    <w:p w:rsidRPr="009C48DA" w:rsidR="006A633E" w:rsidP="00264E3B" w:rsidRDefault="006A633E" w14:paraId="51D45259" w14:textId="2753B255">
      <w:pPr>
        <w:pStyle w:val="Heading5"/>
        <w:rPr>
          <w:lang w:val="en-GB"/>
        </w:rPr>
      </w:pPr>
      <w:r w:rsidRPr="009C48DA">
        <w:rPr>
          <w:lang w:val="en-GB"/>
        </w:rPr>
        <w:t>On 11 October 2018, the Company consolidated and redesignated 81 ordinary shares each of £1 nominal v</w:t>
      </w:r>
      <w:r w:rsidRPr="009C48DA" w:rsidR="00590789">
        <w:rPr>
          <w:lang w:val="en-GB"/>
        </w:rPr>
        <w:t>alue into one A1 ordinary share</w:t>
      </w:r>
      <w:r w:rsidRPr="009C48DA">
        <w:rPr>
          <w:lang w:val="en-GB"/>
        </w:rPr>
        <w:t xml:space="preserve"> of £81 nominal value and 70 ordinary shares each of £1 nominal value into one C2 ordinar</w:t>
      </w:r>
      <w:r w:rsidRPr="009C48DA" w:rsidR="00590789">
        <w:rPr>
          <w:lang w:val="en-GB"/>
        </w:rPr>
        <w:t>y share</w:t>
      </w:r>
      <w:r w:rsidRPr="009C48DA" w:rsidR="00A7038F">
        <w:rPr>
          <w:lang w:val="en-GB"/>
        </w:rPr>
        <w:t xml:space="preserve"> of £70 nominal value. </w:t>
      </w:r>
    </w:p>
    <w:p w:rsidRPr="009C48DA" w:rsidR="006A633E" w:rsidP="00264E3B" w:rsidRDefault="006A633E" w14:paraId="59680808" w14:textId="51298E8D">
      <w:pPr>
        <w:pStyle w:val="Heading5"/>
        <w:rPr>
          <w:lang w:val="en-GB"/>
        </w:rPr>
      </w:pPr>
      <w:r w:rsidRPr="009C48DA">
        <w:rPr>
          <w:lang w:val="en-GB"/>
        </w:rPr>
        <w:t>On 11 October 2018, the Company allotted: (</w:t>
      </w:r>
      <w:r w:rsidRPr="009C48DA" w:rsidR="000836B3">
        <w:rPr>
          <w:lang w:val="en-GB"/>
        </w:rPr>
        <w:t>i</w:t>
      </w:r>
      <w:r w:rsidRPr="009C48DA">
        <w:rPr>
          <w:lang w:val="en-GB"/>
        </w:rPr>
        <w:t>) 6 A1 ordinary s</w:t>
      </w:r>
      <w:r w:rsidRPr="009C48DA" w:rsidR="007B1351">
        <w:rPr>
          <w:lang w:val="en-GB"/>
        </w:rPr>
        <w:t>hares each of £81 nominal value;</w:t>
      </w:r>
      <w:r w:rsidRPr="009C48DA">
        <w:rPr>
          <w:lang w:val="en-GB"/>
        </w:rPr>
        <w:t xml:space="preserve"> (</w:t>
      </w:r>
      <w:r w:rsidRPr="009C48DA" w:rsidR="000836B3">
        <w:rPr>
          <w:lang w:val="en-GB"/>
        </w:rPr>
        <w:t>ii</w:t>
      </w:r>
      <w:r w:rsidRPr="009C48DA">
        <w:rPr>
          <w:lang w:val="en-GB"/>
        </w:rPr>
        <w:t>) 1</w:t>
      </w:r>
      <w:r w:rsidRPr="009C48DA" w:rsidR="007B1351">
        <w:rPr>
          <w:lang w:val="en-GB"/>
        </w:rPr>
        <w:t xml:space="preserve"> C1 share of £170 nominal value;</w:t>
      </w:r>
      <w:r w:rsidRPr="009C48DA">
        <w:rPr>
          <w:lang w:val="en-GB"/>
        </w:rPr>
        <w:t xml:space="preserve"> (</w:t>
      </w:r>
      <w:r w:rsidRPr="009C48DA" w:rsidR="000836B3">
        <w:rPr>
          <w:lang w:val="en-GB"/>
        </w:rPr>
        <w:t>iii</w:t>
      </w:r>
      <w:r w:rsidRPr="009C48DA">
        <w:rPr>
          <w:lang w:val="en-GB"/>
        </w:rPr>
        <w:t>) 1 C3 share of £85 nominal value and (</w:t>
      </w:r>
      <w:r w:rsidRPr="009C48DA" w:rsidR="000836B3">
        <w:rPr>
          <w:lang w:val="en-GB"/>
        </w:rPr>
        <w:t>iv</w:t>
      </w:r>
      <w:r w:rsidRPr="009C48DA">
        <w:rPr>
          <w:lang w:val="en-GB"/>
        </w:rPr>
        <w:t xml:space="preserve">) 1 C5 share of £150 nominal value. </w:t>
      </w:r>
    </w:p>
    <w:p w:rsidRPr="009C48DA" w:rsidR="006A633E" w:rsidP="00264E3B" w:rsidRDefault="006A633E" w14:paraId="070903BC" w14:textId="2C8DABF9">
      <w:pPr>
        <w:pStyle w:val="Heading5"/>
        <w:rPr>
          <w:lang w:val="en-GB"/>
        </w:rPr>
      </w:pPr>
      <w:r w:rsidRPr="009C48DA">
        <w:rPr>
          <w:lang w:val="en-GB"/>
        </w:rPr>
        <w:t>On 11 October 2018, the issued share capital of the Company was £1,042 comprising: (</w:t>
      </w:r>
      <w:r w:rsidRPr="009C48DA" w:rsidR="000836B3">
        <w:rPr>
          <w:lang w:val="en-GB"/>
        </w:rPr>
        <w:t>i</w:t>
      </w:r>
      <w:r w:rsidRPr="009C48DA">
        <w:rPr>
          <w:lang w:val="en-GB"/>
        </w:rPr>
        <w:t>) 7 A1 ordinary shares of £567 aggregate nominal value; (</w:t>
      </w:r>
      <w:r w:rsidRPr="009C48DA" w:rsidR="000836B3">
        <w:rPr>
          <w:lang w:val="en-GB"/>
        </w:rPr>
        <w:t>ii</w:t>
      </w:r>
      <w:r w:rsidRPr="009C48DA">
        <w:rPr>
          <w:lang w:val="en-GB"/>
        </w:rPr>
        <w:t>) 1 C1 share of £170 aggregate nominal value; (</w:t>
      </w:r>
      <w:r w:rsidRPr="009C48DA" w:rsidR="000836B3">
        <w:rPr>
          <w:lang w:val="en-GB"/>
        </w:rPr>
        <w:t>iii</w:t>
      </w:r>
      <w:r w:rsidRPr="009C48DA">
        <w:rPr>
          <w:lang w:val="en-GB"/>
        </w:rPr>
        <w:t>) 1 C2 share of £70 aggregate nominal value; (</w:t>
      </w:r>
      <w:r w:rsidRPr="009C48DA" w:rsidR="000836B3">
        <w:rPr>
          <w:lang w:val="en-GB"/>
        </w:rPr>
        <w:t>iv</w:t>
      </w:r>
      <w:r w:rsidRPr="009C48DA">
        <w:rPr>
          <w:lang w:val="en-GB"/>
        </w:rPr>
        <w:t>) 1 C3 share</w:t>
      </w:r>
      <w:r w:rsidRPr="009C48DA" w:rsidR="0069087B">
        <w:rPr>
          <w:lang w:val="en-GB"/>
        </w:rPr>
        <w:t xml:space="preserve"> of £85 aggregate nominal value</w:t>
      </w:r>
      <w:r w:rsidRPr="009C48DA" w:rsidR="00D62BDA">
        <w:rPr>
          <w:lang w:val="en-GB"/>
        </w:rPr>
        <w:t>;</w:t>
      </w:r>
      <w:r w:rsidRPr="009C48DA">
        <w:rPr>
          <w:lang w:val="en-GB"/>
        </w:rPr>
        <w:t xml:space="preserve"> and (</w:t>
      </w:r>
      <w:r w:rsidRPr="009C48DA" w:rsidR="000B2AFD">
        <w:rPr>
          <w:lang w:val="en-GB"/>
        </w:rPr>
        <w:t>v</w:t>
      </w:r>
      <w:r w:rsidRPr="009C48DA">
        <w:rPr>
          <w:lang w:val="en-GB"/>
        </w:rPr>
        <w:t xml:space="preserve">) 1 C5 share of £150 aggregate nominal value. </w:t>
      </w:r>
    </w:p>
    <w:p w:rsidRPr="009C48DA" w:rsidR="006A633E" w:rsidP="00264E3B" w:rsidRDefault="006A633E" w14:paraId="7FE0FB31" w14:textId="7D4A4E14">
      <w:pPr>
        <w:pStyle w:val="Heading5"/>
        <w:rPr>
          <w:lang w:val="en-GB"/>
        </w:rPr>
      </w:pPr>
      <w:r w:rsidRPr="009C48DA">
        <w:rPr>
          <w:lang w:val="en-GB"/>
        </w:rPr>
        <w:lastRenderedPageBreak/>
        <w:t>On 15 October 2018, the Company allotted: (</w:t>
      </w:r>
      <w:r w:rsidRPr="009C48DA" w:rsidR="000836B3">
        <w:rPr>
          <w:lang w:val="en-GB"/>
        </w:rPr>
        <w:t>i</w:t>
      </w:r>
      <w:r w:rsidRPr="009C48DA">
        <w:rPr>
          <w:lang w:val="en-GB"/>
        </w:rPr>
        <w:t>) 424,460 B1 shares each of £58 nominal value; (</w:t>
      </w:r>
      <w:r w:rsidRPr="009C48DA" w:rsidR="000836B3">
        <w:rPr>
          <w:lang w:val="en-GB"/>
        </w:rPr>
        <w:t>ii</w:t>
      </w:r>
      <w:r w:rsidRPr="009C48DA">
        <w:rPr>
          <w:lang w:val="en-GB"/>
        </w:rPr>
        <w:t>) 2,515,540 B2 shares each of £72.56 nominal value; (</w:t>
      </w:r>
      <w:r w:rsidRPr="009C48DA" w:rsidR="000836B3">
        <w:rPr>
          <w:lang w:val="en-GB"/>
        </w:rPr>
        <w:t>iii</w:t>
      </w:r>
      <w:r w:rsidRPr="009C48DA">
        <w:rPr>
          <w:lang w:val="en-GB"/>
        </w:rPr>
        <w:t>) 2,279,993 A1 ordinary shares each of £81 nominal value; (</w:t>
      </w:r>
      <w:r w:rsidRPr="009C48DA" w:rsidR="000836B3">
        <w:rPr>
          <w:lang w:val="en-GB"/>
        </w:rPr>
        <w:t>iv</w:t>
      </w:r>
      <w:r w:rsidRPr="009C48DA">
        <w:rPr>
          <w:lang w:val="en-GB"/>
        </w:rPr>
        <w:t>) 235,540 A4 ordinary shares each of £0.01 nominal value; (</w:t>
      </w:r>
      <w:r w:rsidRPr="009C48DA" w:rsidR="000836B3">
        <w:rPr>
          <w:lang w:val="en-GB"/>
        </w:rPr>
        <w:t>v</w:t>
      </w:r>
      <w:r w:rsidRPr="009C48DA">
        <w:rPr>
          <w:lang w:val="en-GB"/>
        </w:rPr>
        <w:t>) 59,459 C1 shares each of £170 nominal value; (</w:t>
      </w:r>
      <w:r w:rsidRPr="009C48DA" w:rsidR="000836B3">
        <w:rPr>
          <w:lang w:val="en-GB"/>
        </w:rPr>
        <w:t>vi</w:t>
      </w:r>
      <w:r w:rsidRPr="009C48DA">
        <w:rPr>
          <w:lang w:val="en-GB"/>
        </w:rPr>
        <w:t>) 104,999 C2 shares each of £70 nominal value; (</w:t>
      </w:r>
      <w:r w:rsidRPr="009C48DA" w:rsidR="000836B3">
        <w:rPr>
          <w:lang w:val="en-GB"/>
        </w:rPr>
        <w:t>vii</w:t>
      </w:r>
      <w:r w:rsidRPr="009C48DA">
        <w:rPr>
          <w:lang w:val="en-GB"/>
        </w:rPr>
        <w:t>) 94,999 C3 shares each of £85 nominal value; (</w:t>
      </w:r>
      <w:r w:rsidRPr="009C48DA" w:rsidR="000836B3">
        <w:rPr>
          <w:lang w:val="en-GB"/>
        </w:rPr>
        <w:t>viii</w:t>
      </w:r>
      <w:r w:rsidRPr="009C48DA">
        <w:rPr>
          <w:lang w:val="en-GB"/>
        </w:rPr>
        <w:t>) 60,000 C4 shares each of £165 nominal value; (</w:t>
      </w:r>
      <w:r w:rsidRPr="009C48DA" w:rsidR="000836B3">
        <w:rPr>
          <w:lang w:val="en-GB"/>
        </w:rPr>
        <w:t>ix</w:t>
      </w:r>
      <w:r w:rsidRPr="009C48DA">
        <w:rPr>
          <w:lang w:val="en-GB"/>
        </w:rPr>
        <w:t>) 64,999 C5 shares each of £150 nominal value; (</w:t>
      </w:r>
      <w:r w:rsidRPr="009C48DA" w:rsidR="000836B3">
        <w:rPr>
          <w:lang w:val="en-GB"/>
        </w:rPr>
        <w:t>x</w:t>
      </w:r>
      <w:r w:rsidRPr="009C48DA">
        <w:rPr>
          <w:lang w:val="en-GB"/>
        </w:rPr>
        <w:t>) 40,000 C6 sh</w:t>
      </w:r>
      <w:r w:rsidRPr="009C48DA" w:rsidR="0069087B">
        <w:rPr>
          <w:lang w:val="en-GB"/>
        </w:rPr>
        <w:t>ares each of £275 nominal value</w:t>
      </w:r>
      <w:r w:rsidRPr="009C48DA" w:rsidR="00D62BDA">
        <w:rPr>
          <w:lang w:val="en-GB"/>
        </w:rPr>
        <w:t>;</w:t>
      </w:r>
      <w:r w:rsidRPr="009C48DA">
        <w:rPr>
          <w:lang w:val="en-GB"/>
        </w:rPr>
        <w:t xml:space="preserve"> and (</w:t>
      </w:r>
      <w:r w:rsidRPr="009C48DA" w:rsidR="000836B3">
        <w:rPr>
          <w:lang w:val="en-GB"/>
        </w:rPr>
        <w:t>xi</w:t>
      </w:r>
      <w:r w:rsidRPr="009C48DA">
        <w:rPr>
          <w:lang w:val="en-GB"/>
        </w:rPr>
        <w:t xml:space="preserve">) 1 YY share of £1 nominal value. </w:t>
      </w:r>
    </w:p>
    <w:p w:rsidRPr="009C48DA" w:rsidR="006A633E" w:rsidP="00264E3B" w:rsidRDefault="006A633E" w14:paraId="751173F8" w14:textId="2C341ECC">
      <w:pPr>
        <w:pStyle w:val="Heading5"/>
        <w:rPr>
          <w:lang w:val="en-GB"/>
        </w:rPr>
      </w:pPr>
      <w:r w:rsidRPr="009C48DA">
        <w:rPr>
          <w:lang w:val="en-GB"/>
        </w:rPr>
        <w:t>On 15 October 2018, the issued share capital of the Company was £448,011,818.80 comprising: (</w:t>
      </w:r>
      <w:r w:rsidRPr="009C48DA" w:rsidR="000836B3">
        <w:rPr>
          <w:lang w:val="en-GB"/>
        </w:rPr>
        <w:t>i</w:t>
      </w:r>
      <w:r w:rsidRPr="009C48DA">
        <w:rPr>
          <w:lang w:val="en-GB"/>
        </w:rPr>
        <w:t>) 2,280,000 A1 ordinary shares of £184,680,000 aggregate nominal value; (</w:t>
      </w:r>
      <w:r w:rsidRPr="009C48DA" w:rsidR="000836B3">
        <w:rPr>
          <w:lang w:val="en-GB"/>
        </w:rPr>
        <w:t>ii</w:t>
      </w:r>
      <w:r w:rsidRPr="009C48DA">
        <w:rPr>
          <w:lang w:val="en-GB"/>
        </w:rPr>
        <w:t>) 235,540 A4 ordinary shares of £2,355.40 aggregate nominal value; (</w:t>
      </w:r>
      <w:r w:rsidRPr="009C48DA" w:rsidR="000836B3">
        <w:rPr>
          <w:lang w:val="en-GB"/>
        </w:rPr>
        <w:t>iii</w:t>
      </w:r>
      <w:r w:rsidRPr="009C48DA">
        <w:rPr>
          <w:lang w:val="en-GB"/>
        </w:rPr>
        <w:t>) 59,460 C1 shares of £10,108,200 aggregate nominal value; (</w:t>
      </w:r>
      <w:r w:rsidRPr="009C48DA" w:rsidR="000836B3">
        <w:rPr>
          <w:lang w:val="en-GB"/>
        </w:rPr>
        <w:t>iv</w:t>
      </w:r>
      <w:r w:rsidRPr="009C48DA">
        <w:rPr>
          <w:lang w:val="en-GB"/>
        </w:rPr>
        <w:t>) 105,000 C2 shares of £7,350,000 aggregate nominal value; (</w:t>
      </w:r>
      <w:r w:rsidRPr="009C48DA" w:rsidR="000836B3">
        <w:rPr>
          <w:lang w:val="en-GB"/>
        </w:rPr>
        <w:t>v</w:t>
      </w:r>
      <w:r w:rsidRPr="009C48DA">
        <w:rPr>
          <w:lang w:val="en-GB"/>
        </w:rPr>
        <w:t>) 95,000 C3 shares of £8,075,000 aggregate nominal value; (</w:t>
      </w:r>
      <w:r w:rsidRPr="009C48DA" w:rsidR="000836B3">
        <w:rPr>
          <w:lang w:val="en-GB"/>
        </w:rPr>
        <w:t>vi</w:t>
      </w:r>
      <w:r w:rsidRPr="009C48DA">
        <w:rPr>
          <w:lang w:val="en-GB"/>
        </w:rPr>
        <w:t>) 60,000 C4 shares of £9,900,000 aggregate nominal value; (</w:t>
      </w:r>
      <w:r w:rsidRPr="009C48DA" w:rsidR="000836B3">
        <w:rPr>
          <w:lang w:val="en-GB"/>
        </w:rPr>
        <w:t>vii</w:t>
      </w:r>
      <w:r w:rsidRPr="009C48DA">
        <w:rPr>
          <w:lang w:val="en-GB"/>
        </w:rPr>
        <w:t>) 65,000 C5 shares of £9,750,000 aggregate nominal value</w:t>
      </w:r>
      <w:r w:rsidRPr="009C48DA" w:rsidR="007B1351">
        <w:rPr>
          <w:lang w:val="en-GB"/>
        </w:rPr>
        <w:t>;</w:t>
      </w:r>
      <w:r w:rsidRPr="009C48DA">
        <w:rPr>
          <w:lang w:val="en-GB"/>
        </w:rPr>
        <w:t xml:space="preserve"> (</w:t>
      </w:r>
      <w:r w:rsidRPr="009C48DA" w:rsidR="000836B3">
        <w:rPr>
          <w:lang w:val="en-GB"/>
        </w:rPr>
        <w:t>viii</w:t>
      </w:r>
      <w:r w:rsidRPr="009C48DA">
        <w:rPr>
          <w:lang w:val="en-GB"/>
        </w:rPr>
        <w:t>) 40,000 C6 shares of £11,000,000 aggregate nominal value; (</w:t>
      </w:r>
      <w:r w:rsidRPr="009C48DA" w:rsidR="000836B3">
        <w:rPr>
          <w:lang w:val="en-GB"/>
        </w:rPr>
        <w:t>ix</w:t>
      </w:r>
      <w:r w:rsidRPr="009C48DA">
        <w:rPr>
          <w:lang w:val="en-GB"/>
        </w:rPr>
        <w:t>) 424,460 B1 shares of £24,618,680 aggregate nominal value; (</w:t>
      </w:r>
      <w:r w:rsidRPr="009C48DA" w:rsidR="000836B3">
        <w:rPr>
          <w:lang w:val="en-GB"/>
        </w:rPr>
        <w:t>x</w:t>
      </w:r>
      <w:r w:rsidRPr="009C48DA">
        <w:rPr>
          <w:lang w:val="en-GB"/>
        </w:rPr>
        <w:t>) 2,515,540 B2 shares of £182,527</w:t>
      </w:r>
      <w:r w:rsidRPr="009C48DA" w:rsidR="0069087B">
        <w:rPr>
          <w:lang w:val="en-GB"/>
        </w:rPr>
        <w:t>,582.40 aggregate nominal value</w:t>
      </w:r>
      <w:r w:rsidRPr="009C48DA" w:rsidR="00D62BDA">
        <w:rPr>
          <w:lang w:val="en-GB"/>
        </w:rPr>
        <w:t>;</w:t>
      </w:r>
      <w:r w:rsidRPr="009C48DA">
        <w:rPr>
          <w:lang w:val="en-GB"/>
        </w:rPr>
        <w:t xml:space="preserve"> and (</w:t>
      </w:r>
      <w:r w:rsidRPr="009C48DA" w:rsidR="000836B3">
        <w:rPr>
          <w:lang w:val="en-GB"/>
        </w:rPr>
        <w:t>xi</w:t>
      </w:r>
      <w:r w:rsidRPr="009C48DA">
        <w:rPr>
          <w:lang w:val="en-GB"/>
        </w:rPr>
        <w:t xml:space="preserve">) 1 YY </w:t>
      </w:r>
      <w:r w:rsidRPr="009C48DA" w:rsidR="00765795">
        <w:rPr>
          <w:lang w:val="en-GB"/>
        </w:rPr>
        <w:t>s</w:t>
      </w:r>
      <w:r w:rsidRPr="009C48DA">
        <w:rPr>
          <w:lang w:val="en-GB"/>
        </w:rPr>
        <w:t xml:space="preserve">hare of £1 nominal value. </w:t>
      </w:r>
    </w:p>
    <w:p w:rsidRPr="009C48DA" w:rsidR="006A633E" w:rsidP="00ED0A20" w:rsidRDefault="006A633E" w14:paraId="399AE3F6" w14:textId="1D7E5BB7">
      <w:pPr>
        <w:pStyle w:val="Heading5"/>
        <w:rPr>
          <w:lang w:val="en-GB"/>
        </w:rPr>
      </w:pPr>
      <w:r w:rsidRPr="009C48DA">
        <w:rPr>
          <w:lang w:val="en-GB"/>
        </w:rPr>
        <w:t xml:space="preserve">On 14 December 2018, the Company </w:t>
      </w:r>
      <w:r w:rsidRPr="009C48DA" w:rsidR="00ED0A20">
        <w:rPr>
          <w:lang w:val="en-GB"/>
        </w:rPr>
        <w:t>redeemed</w:t>
      </w:r>
      <w:r w:rsidRPr="009C48DA">
        <w:rPr>
          <w:lang w:val="en-GB"/>
        </w:rPr>
        <w:t xml:space="preserve"> </w:t>
      </w:r>
      <w:r w:rsidRPr="009C48DA" w:rsidR="00ED0A20">
        <w:rPr>
          <w:lang w:val="en-GB"/>
        </w:rPr>
        <w:t>t</w:t>
      </w:r>
      <w:r w:rsidRPr="009C48DA">
        <w:rPr>
          <w:lang w:val="en-GB"/>
        </w:rPr>
        <w:t>he 424,460 B1 shares at £58 each and the 2,515,540 B2 shares were redeemed at £72.56 e</w:t>
      </w:r>
      <w:r w:rsidRPr="009C48DA" w:rsidR="00A7038F">
        <w:rPr>
          <w:lang w:val="en-GB"/>
        </w:rPr>
        <w:t xml:space="preserve">ach. </w:t>
      </w:r>
      <w:r w:rsidRPr="009C48DA">
        <w:rPr>
          <w:lang w:val="en-GB"/>
        </w:rPr>
        <w:t>These shares were cancelled and extinguished such that, on 14 December 2018</w:t>
      </w:r>
      <w:r w:rsidRPr="009C48DA" w:rsidR="00182418">
        <w:rPr>
          <w:lang w:val="en-GB"/>
        </w:rPr>
        <w:t>,</w:t>
      </w:r>
      <w:r w:rsidRPr="009C48DA">
        <w:rPr>
          <w:lang w:val="en-GB"/>
        </w:rPr>
        <w:t xml:space="preserve"> the issued share capital of the Company was £240,865,556.40 compromising: (</w:t>
      </w:r>
      <w:r w:rsidRPr="009C48DA" w:rsidR="000836B3">
        <w:rPr>
          <w:lang w:val="en-GB"/>
        </w:rPr>
        <w:t>i</w:t>
      </w:r>
      <w:r w:rsidRPr="009C48DA">
        <w:rPr>
          <w:lang w:val="en-GB"/>
        </w:rPr>
        <w:t>) 2,280,000 A1 ordinary shares of £184,680,000 aggregate nominal value; (</w:t>
      </w:r>
      <w:r w:rsidRPr="009C48DA" w:rsidR="000836B3">
        <w:rPr>
          <w:lang w:val="en-GB"/>
        </w:rPr>
        <w:t>ii</w:t>
      </w:r>
      <w:r w:rsidRPr="009C48DA">
        <w:rPr>
          <w:lang w:val="en-GB"/>
        </w:rPr>
        <w:t>) 235,540 A4 ordinary shares of £2,355.40 aggregate nominal value; (</w:t>
      </w:r>
      <w:r w:rsidRPr="009C48DA" w:rsidR="000836B3">
        <w:rPr>
          <w:lang w:val="en-GB"/>
        </w:rPr>
        <w:t>iii</w:t>
      </w:r>
      <w:r w:rsidRPr="009C48DA">
        <w:rPr>
          <w:lang w:val="en-GB"/>
        </w:rPr>
        <w:t>) 59,460 C1 shares of £10,108,200 aggregate nominal value; (</w:t>
      </w:r>
      <w:r w:rsidRPr="009C48DA" w:rsidR="000836B3">
        <w:rPr>
          <w:lang w:val="en-GB"/>
        </w:rPr>
        <w:t>iv</w:t>
      </w:r>
      <w:r w:rsidRPr="009C48DA">
        <w:rPr>
          <w:lang w:val="en-GB"/>
        </w:rPr>
        <w:t>) 105,000 C2 shares of £7,350,000 aggregate nominal value; (</w:t>
      </w:r>
      <w:r w:rsidRPr="009C48DA" w:rsidR="000B2AFD">
        <w:rPr>
          <w:lang w:val="en-GB"/>
        </w:rPr>
        <w:t>i</w:t>
      </w:r>
      <w:r w:rsidRPr="009C48DA" w:rsidR="000836B3">
        <w:rPr>
          <w:lang w:val="en-GB"/>
        </w:rPr>
        <w:t>v</w:t>
      </w:r>
      <w:r w:rsidRPr="009C48DA">
        <w:rPr>
          <w:lang w:val="en-GB"/>
        </w:rPr>
        <w:t>) 95,000 C3 shares of £8,075,000 aggregate nominal value; (</w:t>
      </w:r>
      <w:r w:rsidRPr="009C48DA" w:rsidR="000B2AFD">
        <w:rPr>
          <w:lang w:val="en-GB"/>
        </w:rPr>
        <w:t>v</w:t>
      </w:r>
      <w:r w:rsidRPr="009C48DA">
        <w:rPr>
          <w:lang w:val="en-GB"/>
        </w:rPr>
        <w:t>) 60,000 C4 shares of £9,900,000 aggregate nominal value; (</w:t>
      </w:r>
      <w:r w:rsidRPr="009C48DA" w:rsidR="000836B3">
        <w:rPr>
          <w:lang w:val="en-GB"/>
        </w:rPr>
        <w:t>vii</w:t>
      </w:r>
      <w:r w:rsidRPr="009C48DA">
        <w:rPr>
          <w:lang w:val="en-GB"/>
        </w:rPr>
        <w:t>) 65,000 C5 shares of £9,750,000 aggregate nominal value; (</w:t>
      </w:r>
      <w:r w:rsidRPr="009C48DA" w:rsidR="000B2AFD">
        <w:rPr>
          <w:lang w:val="en-GB"/>
        </w:rPr>
        <w:t>vi</w:t>
      </w:r>
      <w:r w:rsidRPr="009C48DA">
        <w:rPr>
          <w:lang w:val="en-GB"/>
        </w:rPr>
        <w:t>) 40,000 C6 shares of £11,</w:t>
      </w:r>
      <w:r w:rsidRPr="009C48DA" w:rsidR="0069087B">
        <w:rPr>
          <w:lang w:val="en-GB"/>
        </w:rPr>
        <w:t>000,000 aggregate nominal value</w:t>
      </w:r>
      <w:r w:rsidRPr="009C48DA" w:rsidR="00D62BDA">
        <w:rPr>
          <w:lang w:val="en-GB"/>
        </w:rPr>
        <w:t>;</w:t>
      </w:r>
      <w:r w:rsidRPr="009C48DA">
        <w:rPr>
          <w:lang w:val="en-GB"/>
        </w:rPr>
        <w:t xml:space="preserve"> and (</w:t>
      </w:r>
      <w:r w:rsidRPr="009C48DA" w:rsidR="000B2AFD">
        <w:rPr>
          <w:lang w:val="en-GB"/>
        </w:rPr>
        <w:t>vii</w:t>
      </w:r>
      <w:r w:rsidRPr="009C48DA">
        <w:rPr>
          <w:lang w:val="en-GB"/>
        </w:rPr>
        <w:t>) 1 YY Share of £1 nominal value.</w:t>
      </w:r>
    </w:p>
    <w:p w:rsidRPr="009C48DA" w:rsidR="006A633E" w:rsidP="00264E3B" w:rsidRDefault="006A633E" w14:paraId="06281961" w14:textId="4AFF79F8">
      <w:pPr>
        <w:pStyle w:val="Heading5"/>
        <w:rPr>
          <w:lang w:val="en-GB"/>
        </w:rPr>
      </w:pPr>
      <w:r w:rsidRPr="009C48DA">
        <w:rPr>
          <w:lang w:val="en-GB"/>
        </w:rPr>
        <w:t>On 31 January 2019, the Company allotted 544,500 A2 ordinary shares of £0.01 each such that, on 31 January 2019, the issued share capital of the Company was £240,871,001.40 comprising: (</w:t>
      </w:r>
      <w:r w:rsidRPr="009C48DA" w:rsidR="000836B3">
        <w:rPr>
          <w:lang w:val="en-GB"/>
        </w:rPr>
        <w:t>i</w:t>
      </w:r>
      <w:r w:rsidRPr="009C48DA">
        <w:rPr>
          <w:lang w:val="en-GB"/>
        </w:rPr>
        <w:t>) 2,280,000 A1 ordinary shares of £184,680,000 aggregate nominal value; (</w:t>
      </w:r>
      <w:r w:rsidRPr="009C48DA" w:rsidR="000836B3">
        <w:rPr>
          <w:lang w:val="en-GB"/>
        </w:rPr>
        <w:t>ii</w:t>
      </w:r>
      <w:r w:rsidRPr="009C48DA">
        <w:rPr>
          <w:lang w:val="en-GB"/>
        </w:rPr>
        <w:t>) 544,500 A2 ordinary shares of £5445 aggregate nominal value; (</w:t>
      </w:r>
      <w:r w:rsidRPr="009C48DA" w:rsidR="000836B3">
        <w:rPr>
          <w:lang w:val="en-GB"/>
        </w:rPr>
        <w:t>iii</w:t>
      </w:r>
      <w:r w:rsidRPr="009C48DA">
        <w:rPr>
          <w:lang w:val="en-GB"/>
        </w:rPr>
        <w:t>) 235,540 A4 ordinary shares of £2,355.40 aggregate nominal value; (</w:t>
      </w:r>
      <w:r w:rsidRPr="009C48DA" w:rsidR="000836B3">
        <w:rPr>
          <w:lang w:val="en-GB"/>
        </w:rPr>
        <w:t>iv</w:t>
      </w:r>
      <w:r w:rsidRPr="009C48DA">
        <w:rPr>
          <w:lang w:val="en-GB"/>
        </w:rPr>
        <w:t>) 59,460 C1 shares of £10,108,200 aggregate nominal value; (</w:t>
      </w:r>
      <w:r w:rsidRPr="009C48DA" w:rsidR="000836B3">
        <w:rPr>
          <w:lang w:val="en-GB"/>
        </w:rPr>
        <w:t>v</w:t>
      </w:r>
      <w:r w:rsidRPr="009C48DA">
        <w:rPr>
          <w:lang w:val="en-GB"/>
        </w:rPr>
        <w:t>) 105,000 C2 shares of £7,350,000 aggregate nominal value; (</w:t>
      </w:r>
      <w:r w:rsidRPr="009C48DA" w:rsidR="000836B3">
        <w:rPr>
          <w:lang w:val="en-GB"/>
        </w:rPr>
        <w:t>vi</w:t>
      </w:r>
      <w:r w:rsidRPr="009C48DA">
        <w:rPr>
          <w:lang w:val="en-GB"/>
        </w:rPr>
        <w:t>) 95,000 C3 shares of £8,075,000 aggregate nominal value; (</w:t>
      </w:r>
      <w:r w:rsidRPr="009C48DA" w:rsidR="000836B3">
        <w:rPr>
          <w:lang w:val="en-GB"/>
        </w:rPr>
        <w:t>vii</w:t>
      </w:r>
      <w:r w:rsidRPr="009C48DA">
        <w:rPr>
          <w:lang w:val="en-GB"/>
        </w:rPr>
        <w:t>) 60,000 C4 shares of £9,900,000 aggregate nominal value; (</w:t>
      </w:r>
      <w:r w:rsidRPr="009C48DA" w:rsidR="000836B3">
        <w:rPr>
          <w:lang w:val="en-GB"/>
        </w:rPr>
        <w:t>viii</w:t>
      </w:r>
      <w:r w:rsidRPr="009C48DA">
        <w:rPr>
          <w:lang w:val="en-GB"/>
        </w:rPr>
        <w:t>) 65,000 C5 shares of £9,750,000 aggregate nominal value; (</w:t>
      </w:r>
      <w:r w:rsidRPr="009C48DA" w:rsidR="000836B3">
        <w:rPr>
          <w:lang w:val="en-GB"/>
        </w:rPr>
        <w:t>ix</w:t>
      </w:r>
      <w:r w:rsidRPr="009C48DA">
        <w:rPr>
          <w:lang w:val="en-GB"/>
        </w:rPr>
        <w:t>) 40,000 C6 shares of £11,000,000 aggre</w:t>
      </w:r>
      <w:r w:rsidRPr="009C48DA" w:rsidR="0069087B">
        <w:rPr>
          <w:lang w:val="en-GB"/>
        </w:rPr>
        <w:t>gate nominal value</w:t>
      </w:r>
      <w:r w:rsidRPr="009C48DA" w:rsidR="00D62BDA">
        <w:rPr>
          <w:lang w:val="en-GB"/>
        </w:rPr>
        <w:t>;</w:t>
      </w:r>
      <w:r w:rsidRPr="009C48DA">
        <w:rPr>
          <w:lang w:val="en-GB"/>
        </w:rPr>
        <w:t xml:space="preserve"> and (</w:t>
      </w:r>
      <w:r w:rsidRPr="009C48DA" w:rsidR="000836B3">
        <w:rPr>
          <w:lang w:val="en-GB"/>
        </w:rPr>
        <w:t>x</w:t>
      </w:r>
      <w:r w:rsidRPr="009C48DA">
        <w:rPr>
          <w:lang w:val="en-GB"/>
        </w:rPr>
        <w:t>) 1 YY share of £1 nominal value.</w:t>
      </w:r>
    </w:p>
    <w:p w:rsidRPr="009C48DA" w:rsidR="00ED0A20" w:rsidP="00264E3B" w:rsidRDefault="006A633E" w14:paraId="48D01CD9" w14:textId="5C8AEBB4">
      <w:pPr>
        <w:pStyle w:val="Heading5"/>
        <w:rPr>
          <w:lang w:val="en-GB"/>
        </w:rPr>
      </w:pPr>
      <w:r w:rsidRPr="009C48DA">
        <w:rPr>
          <w:lang w:val="en-GB"/>
        </w:rPr>
        <w:t>On 29 March 2019, the Company allotted 7,500 A2 ordinary shares of £0.01 each such that, on 29 March 2019, the issued share capital of the Company was £240,871,076.40 comprising: (</w:t>
      </w:r>
      <w:r w:rsidRPr="009C48DA" w:rsidR="000836B3">
        <w:rPr>
          <w:lang w:val="en-GB"/>
        </w:rPr>
        <w:t>i</w:t>
      </w:r>
      <w:r w:rsidRPr="009C48DA">
        <w:rPr>
          <w:lang w:val="en-GB"/>
        </w:rPr>
        <w:t>) 2,280,000 A1 ordinary shares of £184,680,000 aggregate nominal value; (</w:t>
      </w:r>
      <w:r w:rsidRPr="009C48DA" w:rsidR="000836B3">
        <w:rPr>
          <w:lang w:val="en-GB"/>
        </w:rPr>
        <w:t>ii</w:t>
      </w:r>
      <w:r w:rsidRPr="009C48DA">
        <w:rPr>
          <w:lang w:val="en-GB"/>
        </w:rPr>
        <w:t>) 552,000 A2 ordinary shares of £5520 aggregate nominal value; (</w:t>
      </w:r>
      <w:r w:rsidRPr="009C48DA" w:rsidR="000836B3">
        <w:rPr>
          <w:lang w:val="en-GB"/>
        </w:rPr>
        <w:t>iii</w:t>
      </w:r>
      <w:r w:rsidRPr="009C48DA">
        <w:rPr>
          <w:lang w:val="en-GB"/>
        </w:rPr>
        <w:t>) 235,540 A4 ordinary shares of £2,355.40 aggregate nominal value; (</w:t>
      </w:r>
      <w:r w:rsidRPr="009C48DA" w:rsidR="000836B3">
        <w:rPr>
          <w:lang w:val="en-GB"/>
        </w:rPr>
        <w:t>iv</w:t>
      </w:r>
      <w:r w:rsidRPr="009C48DA">
        <w:rPr>
          <w:lang w:val="en-GB"/>
        </w:rPr>
        <w:t>) 59,460 C1 shares of £10,108,200 aggregate nominal value; (</w:t>
      </w:r>
      <w:r w:rsidRPr="009C48DA" w:rsidR="000836B3">
        <w:rPr>
          <w:lang w:val="en-GB"/>
        </w:rPr>
        <w:t>v</w:t>
      </w:r>
      <w:r w:rsidRPr="009C48DA">
        <w:rPr>
          <w:lang w:val="en-GB"/>
        </w:rPr>
        <w:t>) 105,000 C2 shares of £7,350,000 aggregate nominal value; (</w:t>
      </w:r>
      <w:r w:rsidRPr="009C48DA" w:rsidR="000836B3">
        <w:rPr>
          <w:lang w:val="en-GB"/>
        </w:rPr>
        <w:t>vi</w:t>
      </w:r>
      <w:r w:rsidRPr="009C48DA">
        <w:rPr>
          <w:lang w:val="en-GB"/>
        </w:rPr>
        <w:t>) 95,000 C3 shares of £8,075,000 aggregate nominal value; (</w:t>
      </w:r>
      <w:r w:rsidRPr="009C48DA" w:rsidR="000836B3">
        <w:rPr>
          <w:lang w:val="en-GB"/>
        </w:rPr>
        <w:t>vii</w:t>
      </w:r>
      <w:r w:rsidRPr="009C48DA">
        <w:rPr>
          <w:lang w:val="en-GB"/>
        </w:rPr>
        <w:t>) 60,000 C4 shares of £9,900,000 aggregate nominal value; (</w:t>
      </w:r>
      <w:r w:rsidRPr="009C48DA" w:rsidR="000836B3">
        <w:rPr>
          <w:lang w:val="en-GB"/>
        </w:rPr>
        <w:t>viii</w:t>
      </w:r>
      <w:r w:rsidRPr="009C48DA">
        <w:rPr>
          <w:lang w:val="en-GB"/>
        </w:rPr>
        <w:t>) 65,000 C5 shares of £9,750,000 aggregate nominal value; (</w:t>
      </w:r>
      <w:r w:rsidRPr="009C48DA" w:rsidR="000836B3">
        <w:rPr>
          <w:lang w:val="en-GB"/>
        </w:rPr>
        <w:t>ix</w:t>
      </w:r>
      <w:r w:rsidRPr="009C48DA">
        <w:rPr>
          <w:lang w:val="en-GB"/>
        </w:rPr>
        <w:t>) 40,000 C6 shares of £11,</w:t>
      </w:r>
      <w:r w:rsidRPr="009C48DA" w:rsidR="0069087B">
        <w:rPr>
          <w:lang w:val="en-GB"/>
        </w:rPr>
        <w:t>000,000 aggregate nominal value</w:t>
      </w:r>
      <w:r w:rsidRPr="009C48DA" w:rsidR="00D62BDA">
        <w:rPr>
          <w:lang w:val="en-GB"/>
        </w:rPr>
        <w:t>;</w:t>
      </w:r>
      <w:r w:rsidRPr="009C48DA">
        <w:rPr>
          <w:lang w:val="en-GB"/>
        </w:rPr>
        <w:t xml:space="preserve"> and (</w:t>
      </w:r>
      <w:r w:rsidRPr="009C48DA" w:rsidR="000836B3">
        <w:rPr>
          <w:lang w:val="en-GB"/>
        </w:rPr>
        <w:t>x</w:t>
      </w:r>
      <w:r w:rsidRPr="009C48DA">
        <w:rPr>
          <w:lang w:val="en-GB"/>
        </w:rPr>
        <w:t>) 1 YY Share of £1 nominal value.</w:t>
      </w:r>
    </w:p>
    <w:p w:rsidRPr="009C48DA" w:rsidR="00641439" w:rsidP="00265583" w:rsidRDefault="00ED0A20" w14:paraId="39C38FD5" w14:textId="4124D83F">
      <w:pPr>
        <w:pStyle w:val="Heading5"/>
        <w:rPr>
          <w:b/>
          <w:lang w:val="en-GB" w:eastAsia="en-GB"/>
        </w:rPr>
      </w:pPr>
      <w:r w:rsidRPr="009C48DA">
        <w:rPr>
          <w:lang w:val="en-GB" w:eastAsia="en-GB"/>
        </w:rPr>
        <w:t xml:space="preserve">On </w:t>
      </w:r>
      <w:r w:rsidRPr="009C48DA" w:rsidR="00590789">
        <w:rPr>
          <w:lang w:val="en-GB" w:eastAsia="en-GB"/>
        </w:rPr>
        <w:t>7</w:t>
      </w:r>
      <w:r w:rsidRPr="009C48DA">
        <w:rPr>
          <w:lang w:val="en-GB" w:eastAsia="en-GB"/>
        </w:rPr>
        <w:t xml:space="preserve"> June 2021, the Company</w:t>
      </w:r>
      <w:r w:rsidRPr="009C48DA" w:rsidR="007B1351">
        <w:rPr>
          <w:lang w:val="en-GB" w:eastAsia="en-GB"/>
        </w:rPr>
        <w:t>:</w:t>
      </w:r>
      <w:r w:rsidRPr="009C48DA">
        <w:rPr>
          <w:lang w:val="en-GB" w:eastAsia="en-GB"/>
        </w:rPr>
        <w:t xml:space="preserve"> (i) reduced its share capital by cancelling 201,499 A1 ordinary shares each of £81.00 nominal value; (ii) redesignated 500 A1 ordinary shares each of £81.00 nominal value as deferred shares each of £81.00 nominal value; (iii) reduced to £0.01 the nominal value of each remaining A1 ordinary share of £81.00 nominal value and each C1 ordinary share of £170.00 nominal value, C2 ordinary share of £70.00 nominal value, C3 ordinary share of £85.00 nominal value, C4 ordinary share of £165.00 nominal value, C5 ordinary share of £150.00 nominal value and C6 ordinary share of £275.00 nominal value; (iv) redesignated each A4 ordinary share of £0.01 nominal value, C1 ordinary share of £0.01 nominal value, C2 ordinary share of £0.01 nominal value, C3 ordinary share of £0.01 nominal value, C4 ordinary share of £0.01 nominal value, C5 ordinary share of £0.01 nominal value and C6 ordinary share of £0.01 nominal value as an A1 ordinary share of £0.0</w:t>
      </w:r>
      <w:r w:rsidRPr="009C48DA" w:rsidR="007B1351">
        <w:rPr>
          <w:lang w:val="en-GB" w:eastAsia="en-GB"/>
        </w:rPr>
        <w:t xml:space="preserve">1 nominal value; </w:t>
      </w:r>
      <w:r w:rsidRPr="009C48DA" w:rsidR="00265583">
        <w:rPr>
          <w:lang w:val="en-GB" w:eastAsia="en-GB"/>
        </w:rPr>
        <w:t>and (v</w:t>
      </w:r>
      <w:r w:rsidRPr="009C48DA">
        <w:rPr>
          <w:lang w:val="en-GB" w:eastAsia="en-GB"/>
        </w:rPr>
        <w:t xml:space="preserve">) </w:t>
      </w:r>
      <w:r w:rsidRPr="009C48DA">
        <w:rPr>
          <w:lang w:val="en-GB" w:eastAsia="en-GB"/>
        </w:rPr>
        <w:lastRenderedPageBreak/>
        <w:t xml:space="preserve">issued </w:t>
      </w:r>
      <w:r w:rsidRPr="009C48DA" w:rsidR="00CC08F7">
        <w:rPr>
          <w:lang w:val="en-GB" w:eastAsia="en-GB"/>
        </w:rPr>
        <w:t>612,000</w:t>
      </w:r>
      <w:r w:rsidRPr="009C48DA">
        <w:rPr>
          <w:lang w:val="en-GB" w:eastAsia="en-GB"/>
        </w:rPr>
        <w:t xml:space="preserve"> A3 ordinary shares of £0.01 nominal value</w:t>
      </w:r>
      <w:r w:rsidRPr="009C48DA" w:rsidR="000E7078">
        <w:rPr>
          <w:lang w:val="en-GB" w:eastAsia="en-GB"/>
        </w:rPr>
        <w:t xml:space="preserve">. </w:t>
      </w:r>
      <w:r w:rsidRPr="009C48DA" w:rsidR="00265583">
        <w:rPr>
          <w:lang w:val="en-GB" w:eastAsia="en-GB"/>
        </w:rPr>
        <w:t>The Company has also passed a resolution for the cancellation of 98,000 A1 ordinary shares and 72,500 A2 ordinary shares which is in the process of being registered at Companies House and once this resolution is registered at Companies House, the</w:t>
      </w:r>
      <w:r w:rsidRPr="009C48DA">
        <w:rPr>
          <w:lang w:val="en-GB" w:eastAsia="en-GB"/>
        </w:rPr>
        <w:t xml:space="preserve"> issued share capital of the Company </w:t>
      </w:r>
      <w:r w:rsidRPr="009C48DA" w:rsidR="00265583">
        <w:rPr>
          <w:lang w:val="en-GB" w:eastAsia="en-GB"/>
        </w:rPr>
        <w:t>will be</w:t>
      </w:r>
      <w:r w:rsidRPr="009C48DA">
        <w:rPr>
          <w:lang w:val="en-GB" w:eastAsia="en-GB"/>
        </w:rPr>
        <w:t xml:space="preserve"> £77,891.01 divided into 2,640,001 A1 ordinary shares of £0.01 each, 479,500 A2 ordinary shares of £0.01 each, </w:t>
      </w:r>
      <w:r w:rsidRPr="009C48DA" w:rsidR="004353FA">
        <w:rPr>
          <w:lang w:val="en-GB" w:eastAsia="en-GB"/>
        </w:rPr>
        <w:t>612,000</w:t>
      </w:r>
      <w:r w:rsidRPr="009C48DA">
        <w:rPr>
          <w:lang w:val="en-GB" w:eastAsia="en-GB"/>
        </w:rPr>
        <w:t xml:space="preserve"> A3 ordinary shares of £0.01 each, 500 deferred shares of £81.00 each and 1 YY share of £1.00.</w:t>
      </w:r>
      <w:r w:rsidRPr="009C48DA">
        <w:rPr>
          <w:lang w:val="en-GB"/>
        </w:rPr>
        <w:t xml:space="preserve"> </w:t>
      </w:r>
    </w:p>
    <w:p w:rsidRPr="009C48DA" w:rsidR="00264E3B" w:rsidP="00264E3B" w:rsidRDefault="00264E3B" w14:paraId="77794045" w14:textId="6E0A20C9">
      <w:pPr>
        <w:pStyle w:val="Heading4"/>
        <w:rPr>
          <w:b/>
          <w:i/>
          <w:lang w:val="en-GB"/>
        </w:rPr>
      </w:pPr>
      <w:r w:rsidRPr="009C48DA">
        <w:rPr>
          <w:b/>
          <w:i/>
          <w:lang w:val="en-GB"/>
        </w:rPr>
        <w:t xml:space="preserve">Confirmations </w:t>
      </w:r>
    </w:p>
    <w:p w:rsidRPr="009C48DA" w:rsidR="00264E3B" w:rsidP="00264E3B" w:rsidRDefault="00B172FA" w14:paraId="1D41B3FD" w14:textId="594AAD1D">
      <w:pPr>
        <w:pStyle w:val="BlockTextSglJIndent"/>
        <w:rPr>
          <w:sz w:val="20"/>
          <w:lang w:val="en-GB"/>
        </w:rPr>
      </w:pPr>
      <w:r w:rsidRPr="009C48DA">
        <w:rPr>
          <w:sz w:val="20"/>
          <w:lang w:val="en-GB"/>
        </w:rPr>
        <w:t>As of</w:t>
      </w:r>
      <w:r w:rsidRPr="009C48DA" w:rsidR="00264E3B">
        <w:rPr>
          <w:sz w:val="20"/>
          <w:lang w:val="en-GB"/>
        </w:rPr>
        <w:t xml:space="preserve"> the date of this Registration Document</w:t>
      </w:r>
      <w:r w:rsidRPr="009C48DA" w:rsidR="00A503E4">
        <w:rPr>
          <w:sz w:val="20"/>
          <w:lang w:val="en-GB"/>
        </w:rPr>
        <w:t xml:space="preserve"> and save as otherwise disclosed in this section </w:t>
      </w:r>
      <w:r w:rsidRPr="009C48DA" w:rsidR="00A503E4">
        <w:rPr>
          <w:sz w:val="20"/>
          <w:lang w:val="en-GB"/>
        </w:rPr>
        <w:fldChar w:fldCharType="begin"/>
      </w:r>
      <w:r w:rsidRPr="009C48DA" w:rsidR="00A503E4">
        <w:rPr>
          <w:sz w:val="20"/>
          <w:lang w:val="en-GB"/>
        </w:rPr>
        <w:instrText xml:space="preserve"> REF _Ref72443125 \r \h </w:instrText>
      </w:r>
      <w:r w:rsidRPr="009C48DA" w:rsidR="00F10B04">
        <w:rPr>
          <w:sz w:val="20"/>
          <w:lang w:val="en-GB"/>
        </w:rPr>
        <w:instrText xml:space="preserve"> \* MERGEFORMAT </w:instrText>
      </w:r>
      <w:r w:rsidRPr="009C48DA" w:rsidR="00A503E4">
        <w:rPr>
          <w:sz w:val="20"/>
          <w:lang w:val="en-GB"/>
        </w:rPr>
      </w:r>
      <w:r w:rsidRPr="009C48DA" w:rsidR="00A503E4">
        <w:rPr>
          <w:sz w:val="20"/>
          <w:lang w:val="en-GB"/>
        </w:rPr>
        <w:fldChar w:fldCharType="separate"/>
      </w:r>
      <w:r w:rsidR="007C3D19">
        <w:rPr>
          <w:sz w:val="20"/>
          <w:lang w:val="en-GB"/>
        </w:rPr>
        <w:t>3</w:t>
      </w:r>
      <w:r w:rsidRPr="009C48DA" w:rsidR="00A503E4">
        <w:rPr>
          <w:sz w:val="20"/>
          <w:lang w:val="en-GB"/>
        </w:rPr>
        <w:fldChar w:fldCharType="end"/>
      </w:r>
      <w:r w:rsidRPr="009C48DA" w:rsidR="00A503E4">
        <w:rPr>
          <w:sz w:val="20"/>
          <w:lang w:val="en-GB"/>
        </w:rPr>
        <w:t xml:space="preserve"> of this </w:t>
      </w:r>
      <w:r w:rsidRPr="009C48DA" w:rsidR="00A503E4">
        <w:rPr>
          <w:sz w:val="20"/>
          <w:lang w:val="en-GB"/>
        </w:rPr>
        <w:fldChar w:fldCharType="begin"/>
      </w:r>
      <w:r w:rsidRPr="009C48DA" w:rsidR="00A503E4">
        <w:rPr>
          <w:sz w:val="20"/>
          <w:lang w:val="en-GB"/>
        </w:rPr>
        <w:instrText xml:space="preserve"> REF _Ref71144215 \r \h </w:instrText>
      </w:r>
      <w:r w:rsidRPr="009C48DA" w:rsidR="00F10B04">
        <w:rPr>
          <w:sz w:val="20"/>
          <w:lang w:val="en-GB"/>
        </w:rPr>
        <w:instrText xml:space="preserve"> \* MERGEFORMAT </w:instrText>
      </w:r>
      <w:r w:rsidRPr="009C48DA" w:rsidR="00A503E4">
        <w:rPr>
          <w:sz w:val="20"/>
          <w:lang w:val="en-GB"/>
        </w:rPr>
      </w:r>
      <w:r w:rsidRPr="009C48DA" w:rsidR="00A503E4">
        <w:rPr>
          <w:sz w:val="20"/>
          <w:lang w:val="en-GB"/>
        </w:rPr>
        <w:fldChar w:fldCharType="separate"/>
      </w:r>
      <w:r w:rsidR="007C3D19">
        <w:rPr>
          <w:sz w:val="20"/>
          <w:lang w:val="en-GB"/>
        </w:rPr>
        <w:t>Part XI</w:t>
      </w:r>
      <w:r w:rsidRPr="009C48DA" w:rsidR="00A503E4">
        <w:rPr>
          <w:sz w:val="20"/>
          <w:lang w:val="en-GB"/>
        </w:rPr>
        <w:fldChar w:fldCharType="end"/>
      </w:r>
      <w:r w:rsidRPr="009C48DA" w:rsidR="00A503E4">
        <w:rPr>
          <w:sz w:val="20"/>
          <w:lang w:val="en-GB"/>
        </w:rPr>
        <w:t xml:space="preserve"> (</w:t>
      </w:r>
      <w:r w:rsidRPr="009C48DA" w:rsidR="001B45EC">
        <w:rPr>
          <w:i/>
          <w:color w:val="000000"/>
          <w:sz w:val="20"/>
          <w:szCs w:val="20"/>
          <w:lang w:val="en-GB"/>
        </w:rPr>
      </w:r>
      <w:r w:rsidRPr="007C3D19" w:rsidR="007C3D19">
        <w:rPr>
          <w:i/>
          <w:sz w:val="20"/>
          <w:szCs w:val="20"/>
          <w:lang w:val="en-GB"/>
        </w:rPr>
        <w:t>Additional Information</w:t>
      </w:r>
      <w:r w:rsidRPr="009C48DA" w:rsidR="00A503E4">
        <w:rPr>
          <w:sz w:val="20"/>
          <w:lang w:val="en-GB"/>
        </w:rPr>
        <w:t>)</w:t>
      </w:r>
      <w:r w:rsidRPr="009C48DA" w:rsidR="00264E3B">
        <w:rPr>
          <w:sz w:val="20"/>
          <w:lang w:val="en-GB"/>
        </w:rPr>
        <w:t>:</w:t>
      </w:r>
    </w:p>
    <w:p w:rsidRPr="009C48DA" w:rsidR="00264E3B" w:rsidP="0060161D" w:rsidRDefault="00264E3B" w14:paraId="1FA94B4C" w14:textId="78F3C227">
      <w:pPr>
        <w:pStyle w:val="Heading5"/>
        <w:rPr>
          <w:lang w:val="en-GB" w:eastAsia="en-GB"/>
        </w:rPr>
      </w:pPr>
      <w:r w:rsidRPr="009C48DA">
        <w:rPr>
          <w:lang w:val="en-GB" w:eastAsia="en-GB"/>
        </w:rPr>
        <w:t>no share or loan capital of the Company has, since its incorporation, been issued or agreed to be issued, or is now proposed to be issued, fully or partly paid, either for cash or for a consideration other than cash, to any person;</w:t>
      </w:r>
    </w:p>
    <w:p w:rsidRPr="009C48DA" w:rsidR="00264E3B" w:rsidP="0060161D" w:rsidRDefault="00264E3B" w14:paraId="3CBA6E96" w14:textId="77777777">
      <w:pPr>
        <w:pStyle w:val="Heading5"/>
        <w:rPr>
          <w:lang w:val="en-GB" w:eastAsia="en-GB"/>
        </w:rPr>
      </w:pPr>
      <w:r w:rsidRPr="009C48DA">
        <w:rPr>
          <w:lang w:val="en-GB" w:eastAsia="en-GB"/>
        </w:rPr>
        <w:t>there has been no change in the amount of the issued share or loan capital of the Company since its incorporation;</w:t>
      </w:r>
    </w:p>
    <w:p w:rsidRPr="009C48DA" w:rsidR="00264E3B" w:rsidP="0060161D" w:rsidRDefault="00264E3B" w14:paraId="57315160" w14:textId="77777777">
      <w:pPr>
        <w:pStyle w:val="Heading5"/>
        <w:rPr>
          <w:lang w:val="en-GB" w:eastAsia="en-GB"/>
        </w:rPr>
      </w:pPr>
      <w:r w:rsidRPr="009C48DA">
        <w:rPr>
          <w:lang w:val="en-GB" w:eastAsia="en-GB"/>
        </w:rPr>
        <w:t>no commissions, discounts, brokerages or other special terms have been granted by the Company in connection with the issue or sale of any share or loan capital of the Company, since its incorporation;</w:t>
      </w:r>
    </w:p>
    <w:p w:rsidRPr="009C48DA" w:rsidR="00264E3B" w:rsidP="0060161D" w:rsidRDefault="00264E3B" w14:paraId="1A0BA466" w14:textId="77777777">
      <w:pPr>
        <w:pStyle w:val="Heading5"/>
        <w:rPr>
          <w:lang w:val="en-GB" w:eastAsia="en-GB"/>
        </w:rPr>
      </w:pPr>
      <w:r w:rsidRPr="009C48DA">
        <w:rPr>
          <w:lang w:val="en-GB" w:eastAsia="en-GB"/>
        </w:rPr>
        <w:t>no share or loan capital of the Company is under option or agreed, conditionally or unconditionally, to be put under option; and</w:t>
      </w:r>
    </w:p>
    <w:p w:rsidRPr="009C48DA" w:rsidR="00264E3B" w:rsidP="0060161D" w:rsidRDefault="00264E3B" w14:paraId="674BA58B" w14:textId="4B74D8EE">
      <w:pPr>
        <w:pStyle w:val="Heading5"/>
        <w:rPr>
          <w:lang w:val="en-GB" w:eastAsia="en-GB"/>
        </w:rPr>
      </w:pPr>
      <w:r w:rsidRPr="009C48DA">
        <w:rPr>
          <w:lang w:val="en-GB" w:eastAsia="en-GB"/>
        </w:rPr>
        <w:t>the Company holds no treasury shares (as defined in the Companies Act 2006).</w:t>
      </w:r>
    </w:p>
    <w:p w:rsidRPr="009C48DA" w:rsidR="00DA7B9D" w:rsidRDefault="00427CB5" w14:paraId="1E71B573" w14:textId="2629BA2A">
      <w:pPr>
        <w:pStyle w:val="Heading3"/>
        <w:rPr>
          <w:lang w:val="en-GB"/>
        </w:rPr>
      </w:pPr>
      <w:r w:rsidRPr="009C48DA">
        <w:rPr>
          <w:lang w:val="en-GB"/>
        </w:rPr>
        <w:t>OBJECTS AND PURPOSE OF THE COMPANY</w:t>
      </w:r>
    </w:p>
    <w:p w:rsidRPr="009C48DA" w:rsidR="00DA7B9D" w:rsidRDefault="00427CB5" w14:paraId="0B4AB2CE" w14:textId="77777777">
      <w:pPr>
        <w:pStyle w:val="BlockTextSglJIndent"/>
        <w:rPr>
          <w:sz w:val="20"/>
          <w:lang w:val="en-GB"/>
        </w:rPr>
      </w:pPr>
      <w:r w:rsidRPr="009C48DA">
        <w:rPr>
          <w:sz w:val="20"/>
          <w:lang w:val="en-GB"/>
        </w:rPr>
        <w:t>The objects of the Company, in accordance with section 31(1) of the Companies Act 2006, are unrestricted.</w:t>
      </w:r>
    </w:p>
    <w:p w:rsidRPr="009C48DA" w:rsidR="00DA7B9D" w:rsidP="001C532B" w:rsidRDefault="00427CB5" w14:paraId="4BBA3AE3" w14:textId="1E52AE2E">
      <w:pPr>
        <w:pStyle w:val="Heading3"/>
        <w:keepNext/>
        <w:rPr>
          <w:lang w:val="en-GB"/>
        </w:rPr>
      </w:pPr>
      <w:r w:rsidRPr="009C48DA">
        <w:rPr>
          <w:lang w:val="en-GB"/>
        </w:rPr>
        <w:t>DIVIDEND POLICY</w:t>
      </w:r>
    </w:p>
    <w:p w:rsidRPr="009C48DA" w:rsidR="00DA7B9D" w:rsidP="00AA219A" w:rsidRDefault="000865FF" w14:paraId="4271FD31" w14:textId="6226EB5C">
      <w:pPr>
        <w:pStyle w:val="BlockTextSglJIndent"/>
        <w:rPr>
          <w:sz w:val="20"/>
          <w:lang w:val="en-GB"/>
        </w:rPr>
      </w:pPr>
      <w:r w:rsidRPr="009C48DA">
        <w:rPr>
          <w:sz w:val="20"/>
          <w:lang w:val="en-GB"/>
        </w:rPr>
        <w:t>Should the Company proceed with an application to admission to trading on a regulated market, the Company shall aim to grow its dividend policy progressively</w:t>
      </w:r>
      <w:r w:rsidRPr="009C48DA" w:rsidR="00AA219A">
        <w:rPr>
          <w:sz w:val="20"/>
          <w:lang w:val="en-GB"/>
        </w:rPr>
        <w:t xml:space="preserve"> in absolute terms</w:t>
      </w:r>
      <w:r w:rsidRPr="009C48DA">
        <w:rPr>
          <w:sz w:val="20"/>
          <w:lang w:val="en-GB"/>
        </w:rPr>
        <w:t xml:space="preserve"> over time as its business scales</w:t>
      </w:r>
      <w:r w:rsidRPr="009C48DA" w:rsidR="00AA219A">
        <w:rPr>
          <w:sz w:val="20"/>
          <w:lang w:val="en-GB"/>
        </w:rPr>
        <w:t xml:space="preserve">, with its first dividend </w:t>
      </w:r>
      <w:r w:rsidRPr="009C48DA">
        <w:rPr>
          <w:sz w:val="20"/>
          <w:lang w:val="en-GB"/>
        </w:rPr>
        <w:t>expected to be £30 million in respect of the second half of 2021.</w:t>
      </w:r>
    </w:p>
    <w:p w:rsidRPr="009C48DA" w:rsidR="00DA7B9D" w:rsidP="001C532B" w:rsidRDefault="00427CB5" w14:paraId="2A0B1BC4" w14:textId="461865E1">
      <w:pPr>
        <w:pStyle w:val="Heading3"/>
        <w:keepNext/>
        <w:rPr>
          <w:lang w:val="en-GB"/>
        </w:rPr>
      </w:pPr>
      <w:r w:rsidRPr="009C48DA">
        <w:rPr>
          <w:lang w:val="en-GB"/>
        </w:rPr>
        <w:t>ORGANISATIONAL STRUCTURE</w:t>
      </w:r>
    </w:p>
    <w:p w:rsidRPr="009C48DA" w:rsidR="00A503E4" w:rsidP="00557473" w:rsidRDefault="00A503E4" w14:paraId="194C5DF1" w14:textId="7ACBE599">
      <w:pPr>
        <w:spacing w:after="240"/>
        <w:ind w:left="720"/>
        <w:jc w:val="both"/>
        <w:rPr>
          <w:rFonts w:cs="Times New Roman"/>
          <w:lang w:val="en-GB"/>
        </w:rPr>
      </w:pPr>
      <w:r w:rsidRPr="009C48DA">
        <w:rPr>
          <w:rFonts w:cs="Times New Roman"/>
          <w:sz w:val="20"/>
          <w:lang w:val="en-GB"/>
        </w:rPr>
        <w:t xml:space="preserve">The Company is the holding company of the Group. The significant subsidiaries of the Company </w:t>
      </w:r>
      <w:r w:rsidRPr="009C48DA">
        <w:rPr>
          <w:rFonts w:eastAsia="Times New Roman" w:cs="Times New Roman"/>
          <w:color w:val="000000"/>
          <w:sz w:val="20"/>
          <w:lang w:val="en-GB"/>
        </w:rPr>
        <w:t>as of the date of this Registration Document</w:t>
      </w:r>
      <w:r w:rsidRPr="009C48DA">
        <w:rPr>
          <w:rFonts w:cs="Times New Roman"/>
          <w:sz w:val="20"/>
          <w:lang w:val="en-GB"/>
        </w:rPr>
        <w:t xml:space="preserve"> are as follows. </w:t>
      </w:r>
    </w:p>
    <w:tbl>
      <w:tblPr>
        <w:tblW w:w="8476" w:type="dxa"/>
        <w:tblInd w:w="738" w:type="dxa"/>
        <w:tblBorders>
          <w:insideH w:val="single" w:color="auto" w:sz="4" w:space="0"/>
        </w:tblBorders>
        <w:tblLook w:val="04A0" w:firstRow="1" w:lastRow="0" w:firstColumn="1" w:lastColumn="0" w:noHBand="0" w:noVBand="1"/>
      </w:tblPr>
      <w:tblGrid>
        <w:gridCol w:w="2970"/>
        <w:gridCol w:w="1998"/>
        <w:gridCol w:w="1937"/>
        <w:gridCol w:w="1571"/>
      </w:tblGrid>
      <w:tr w:rsidRPr="009C48DA" w:rsidR="00A503E4" w:rsidTr="00AE5EEE" w14:paraId="4B64F0D9" w14:textId="77777777">
        <w:trPr>
          <w:tblHeader/>
        </w:trPr>
        <w:tc>
          <w:tcPr>
            <w:tcW w:w="2970" w:type="dxa"/>
            <w:tcBorders>
              <w:top w:val="nil"/>
              <w:left w:val="nil"/>
              <w:bottom w:val="single" w:color="auto" w:sz="12" w:space="0"/>
              <w:right w:val="nil"/>
            </w:tcBorders>
            <w:vAlign w:val="center"/>
            <w:hideMark/>
          </w:tcPr>
          <w:p w:rsidRPr="009C48DA" w:rsidR="00A503E4" w:rsidP="00AE5EEE" w:rsidRDefault="00A503E4" w14:paraId="21BCB0A8" w14:textId="77777777">
            <w:pPr>
              <w:spacing w:after="120"/>
              <w:rPr>
                <w:rFonts w:cs="Times New Roman"/>
                <w:b/>
                <w:sz w:val="16"/>
                <w:szCs w:val="16"/>
                <w:lang w:val="en-GB"/>
              </w:rPr>
            </w:pPr>
            <w:r w:rsidRPr="009C48DA">
              <w:rPr>
                <w:rFonts w:cs="Times New Roman"/>
                <w:b/>
                <w:sz w:val="16"/>
                <w:szCs w:val="16"/>
                <w:lang w:val="en-GB"/>
              </w:rPr>
              <w:t xml:space="preserve">Company/entity name </w:t>
            </w:r>
          </w:p>
        </w:tc>
        <w:tc>
          <w:tcPr>
            <w:tcW w:w="1998" w:type="dxa"/>
            <w:tcBorders>
              <w:top w:val="nil"/>
              <w:left w:val="nil"/>
              <w:bottom w:val="single" w:color="auto" w:sz="12" w:space="0"/>
              <w:right w:val="nil"/>
            </w:tcBorders>
            <w:vAlign w:val="center"/>
            <w:hideMark/>
          </w:tcPr>
          <w:p w:rsidRPr="009C48DA" w:rsidR="00A503E4" w:rsidP="00AE5EEE" w:rsidRDefault="00A503E4" w14:paraId="5ED1E928" w14:textId="77777777">
            <w:pPr>
              <w:rPr>
                <w:rFonts w:cs="Times New Roman"/>
                <w:b/>
                <w:sz w:val="16"/>
                <w:szCs w:val="16"/>
                <w:lang w:val="en-GB"/>
              </w:rPr>
            </w:pPr>
            <w:r w:rsidRPr="009C48DA">
              <w:rPr>
                <w:rFonts w:cs="Times New Roman"/>
                <w:b/>
                <w:sz w:val="16"/>
                <w:szCs w:val="16"/>
                <w:lang w:val="en-GB"/>
              </w:rPr>
              <w:t>Place of incorporation/ formation</w:t>
            </w:r>
          </w:p>
        </w:tc>
        <w:tc>
          <w:tcPr>
            <w:tcW w:w="1937" w:type="dxa"/>
            <w:tcBorders>
              <w:top w:val="nil"/>
              <w:left w:val="nil"/>
              <w:bottom w:val="single" w:color="auto" w:sz="12" w:space="0"/>
              <w:right w:val="nil"/>
            </w:tcBorders>
            <w:vAlign w:val="center"/>
            <w:hideMark/>
          </w:tcPr>
          <w:p w:rsidRPr="009C48DA" w:rsidR="00A503E4" w:rsidP="00AE5EEE" w:rsidRDefault="00A503E4" w14:paraId="35EA925A" w14:textId="121465A4">
            <w:pPr>
              <w:rPr>
                <w:rFonts w:cs="Times New Roman"/>
                <w:b/>
                <w:sz w:val="16"/>
                <w:szCs w:val="16"/>
                <w:lang w:val="en-GB"/>
              </w:rPr>
            </w:pPr>
            <w:r w:rsidRPr="009C48DA">
              <w:rPr>
                <w:rFonts w:cs="Times New Roman"/>
                <w:b/>
                <w:sz w:val="16"/>
                <w:szCs w:val="16"/>
                <w:lang w:val="en-GB"/>
              </w:rPr>
              <w:t xml:space="preserve">Percentage of </w:t>
            </w:r>
            <w:r w:rsidRPr="009C48DA" w:rsidR="00442926">
              <w:rPr>
                <w:rFonts w:cs="Times New Roman"/>
                <w:b/>
                <w:sz w:val="16"/>
                <w:szCs w:val="16"/>
                <w:lang w:val="en-GB"/>
              </w:rPr>
              <w:t xml:space="preserve">(direct/indirect) </w:t>
            </w:r>
            <w:r w:rsidRPr="009C48DA">
              <w:rPr>
                <w:rFonts w:cs="Times New Roman"/>
                <w:b/>
                <w:sz w:val="16"/>
                <w:szCs w:val="16"/>
                <w:lang w:val="en-GB"/>
              </w:rPr>
              <w:t>ownership</w:t>
            </w:r>
            <w:r w:rsidRPr="009C48DA" w:rsidR="00D90671">
              <w:rPr>
                <w:rFonts w:cs="Times New Roman"/>
                <w:b/>
                <w:sz w:val="16"/>
                <w:szCs w:val="16"/>
                <w:lang w:val="en-GB"/>
              </w:rPr>
              <w:t xml:space="preserve"> interests</w:t>
            </w:r>
          </w:p>
        </w:tc>
        <w:tc>
          <w:tcPr>
            <w:tcW w:w="1571" w:type="dxa"/>
            <w:tcBorders>
              <w:top w:val="nil"/>
              <w:left w:val="nil"/>
              <w:bottom w:val="single" w:color="auto" w:sz="12" w:space="0"/>
              <w:right w:val="nil"/>
            </w:tcBorders>
          </w:tcPr>
          <w:p w:rsidRPr="009C48DA" w:rsidR="00A503E4" w:rsidDel="00375D91" w:rsidP="00AE5EEE" w:rsidRDefault="00A503E4" w14:paraId="02FD52FA" w14:textId="665AB333">
            <w:pPr>
              <w:rPr>
                <w:rFonts w:cs="Times New Roman"/>
                <w:b/>
                <w:sz w:val="16"/>
                <w:szCs w:val="16"/>
                <w:lang w:val="en-GB"/>
              </w:rPr>
            </w:pPr>
            <w:r w:rsidRPr="009C48DA">
              <w:rPr>
                <w:rFonts w:cs="Times New Roman"/>
                <w:b/>
                <w:sz w:val="16"/>
                <w:szCs w:val="16"/>
                <w:lang w:val="en-GB"/>
              </w:rPr>
              <w:t xml:space="preserve">Percentage of </w:t>
            </w:r>
            <w:r w:rsidRPr="009C48DA" w:rsidR="00442926">
              <w:rPr>
                <w:rFonts w:cs="Times New Roman"/>
                <w:b/>
                <w:sz w:val="16"/>
                <w:szCs w:val="16"/>
                <w:lang w:val="en-GB"/>
              </w:rPr>
              <w:t xml:space="preserve">(direct/indirect) </w:t>
            </w:r>
            <w:r w:rsidRPr="009C48DA">
              <w:rPr>
                <w:rFonts w:cs="Times New Roman"/>
                <w:b/>
                <w:sz w:val="16"/>
                <w:szCs w:val="16"/>
                <w:lang w:val="en-GB"/>
              </w:rPr>
              <w:t>voting interest</w:t>
            </w:r>
            <w:r w:rsidRPr="009C48DA" w:rsidR="00D90671">
              <w:rPr>
                <w:rFonts w:cs="Times New Roman"/>
                <w:b/>
                <w:sz w:val="16"/>
                <w:szCs w:val="16"/>
                <w:lang w:val="en-GB"/>
              </w:rPr>
              <w:t>s</w:t>
            </w:r>
          </w:p>
        </w:tc>
      </w:tr>
      <w:tr w:rsidRPr="009C48DA" w:rsidR="00CC08F7" w:rsidTr="00AE5EEE" w14:paraId="7392F731" w14:textId="77777777">
        <w:tc>
          <w:tcPr>
            <w:tcW w:w="2970" w:type="dxa"/>
            <w:tcBorders>
              <w:top w:val="single" w:color="auto" w:sz="12" w:space="0"/>
              <w:left w:val="nil"/>
              <w:bottom w:val="single" w:color="auto" w:sz="4" w:space="0"/>
              <w:right w:val="nil"/>
            </w:tcBorders>
          </w:tcPr>
          <w:p w:rsidRPr="009C48DA" w:rsidR="00CC08F7" w:rsidP="00AE5EEE" w:rsidRDefault="00CD2359" w14:paraId="7A789F3B" w14:textId="3F4E45CC">
            <w:pPr>
              <w:spacing w:after="120"/>
              <w:rPr>
                <w:rFonts w:cs="Times New Roman"/>
                <w:sz w:val="16"/>
                <w:szCs w:val="16"/>
                <w:lang w:val="en-GB"/>
              </w:rPr>
            </w:pPr>
            <w:r w:rsidRPr="00CD2359">
              <w:rPr>
                <w:sz w:val="16"/>
                <w:szCs w:val="16"/>
                <w:lang w:val="en-GB"/>
              </w:rPr>
              <w:t>Bridgepoint Group Holdings Limited</w:t>
            </w:r>
          </w:p>
        </w:tc>
        <w:tc>
          <w:tcPr>
            <w:tcW w:w="1998" w:type="dxa"/>
            <w:tcBorders>
              <w:top w:val="single" w:color="auto" w:sz="12" w:space="0"/>
              <w:left w:val="nil"/>
              <w:bottom w:val="single" w:color="auto" w:sz="4" w:space="0"/>
              <w:right w:val="nil"/>
            </w:tcBorders>
          </w:tcPr>
          <w:p w:rsidRPr="009C48DA" w:rsidR="00CC08F7" w:rsidP="00AE5EEE" w:rsidRDefault="00CC08F7" w14:paraId="00818895" w14:textId="77777777">
            <w:pPr>
              <w:rPr>
                <w:rFonts w:cs="Times New Roman"/>
                <w:sz w:val="16"/>
                <w:szCs w:val="16"/>
                <w:lang w:val="en-GB"/>
              </w:rPr>
            </w:pPr>
            <w:r w:rsidRPr="009C48DA">
              <w:rPr>
                <w:sz w:val="16"/>
                <w:szCs w:val="16"/>
                <w:lang w:val="en-GB"/>
              </w:rPr>
              <w:t>England and Wales</w:t>
            </w:r>
          </w:p>
        </w:tc>
        <w:tc>
          <w:tcPr>
            <w:tcW w:w="1937" w:type="dxa"/>
            <w:tcBorders>
              <w:top w:val="single" w:color="auto" w:sz="12" w:space="0"/>
              <w:left w:val="nil"/>
              <w:bottom w:val="single" w:color="auto" w:sz="4" w:space="0"/>
              <w:right w:val="nil"/>
            </w:tcBorders>
          </w:tcPr>
          <w:p w:rsidRPr="009C48DA" w:rsidR="00CC08F7" w:rsidP="00AE5EEE" w:rsidRDefault="00CC08F7" w14:paraId="04617035" w14:textId="7992773E">
            <w:pPr>
              <w:rPr>
                <w:rFonts w:cs="Times New Roman"/>
                <w:sz w:val="16"/>
                <w:szCs w:val="16"/>
                <w:lang w:val="en-GB"/>
              </w:rPr>
            </w:pPr>
            <w:r w:rsidRPr="009C48DA">
              <w:rPr>
                <w:rFonts w:cs="Times New Roman"/>
                <w:sz w:val="16"/>
                <w:szCs w:val="16"/>
                <w:lang w:val="en-GB"/>
              </w:rPr>
              <w:t>77.778%</w:t>
            </w:r>
          </w:p>
        </w:tc>
        <w:tc>
          <w:tcPr>
            <w:tcW w:w="1571" w:type="dxa"/>
            <w:tcBorders>
              <w:top w:val="single" w:color="auto" w:sz="12" w:space="0"/>
              <w:left w:val="nil"/>
              <w:bottom w:val="single" w:color="auto" w:sz="4" w:space="0"/>
              <w:right w:val="nil"/>
            </w:tcBorders>
          </w:tcPr>
          <w:p w:rsidRPr="009C48DA" w:rsidR="00CC08F7" w:rsidP="00AE5EEE" w:rsidRDefault="00CC08F7" w14:paraId="291A5DF3" w14:textId="3CD22875">
            <w:pPr>
              <w:rPr>
                <w:rFonts w:cs="Times New Roman"/>
                <w:sz w:val="16"/>
                <w:szCs w:val="16"/>
                <w:lang w:val="en-GB"/>
              </w:rPr>
            </w:pPr>
            <w:r w:rsidRPr="009C48DA">
              <w:rPr>
                <w:rFonts w:cs="Times New Roman"/>
                <w:sz w:val="16"/>
                <w:szCs w:val="16"/>
                <w:lang w:val="en-GB"/>
              </w:rPr>
              <w:t>77.778%</w:t>
            </w:r>
          </w:p>
        </w:tc>
      </w:tr>
      <w:tr w:rsidRPr="009C48DA" w:rsidR="00CC08F7" w:rsidTr="00AE5EEE" w14:paraId="05950AED" w14:textId="77777777">
        <w:tc>
          <w:tcPr>
            <w:tcW w:w="2970" w:type="dxa"/>
            <w:tcBorders>
              <w:top w:val="single" w:color="auto" w:sz="4" w:space="0"/>
              <w:left w:val="nil"/>
              <w:bottom w:val="single" w:color="auto" w:sz="4" w:space="0"/>
              <w:right w:val="nil"/>
            </w:tcBorders>
          </w:tcPr>
          <w:p w:rsidRPr="009C48DA" w:rsidR="00CC08F7" w:rsidP="00AE5EEE" w:rsidRDefault="007F7AA9" w14:paraId="68221164" w14:textId="03395E23">
            <w:pPr>
              <w:spacing w:after="120"/>
              <w:rPr>
                <w:rFonts w:cs="Times New Roman"/>
                <w:i/>
                <w:sz w:val="16"/>
                <w:szCs w:val="16"/>
                <w:lang w:val="en-GB"/>
              </w:rPr>
            </w:pPr>
            <w:r w:rsidRPr="009C48DA">
              <w:rPr>
                <w:sz w:val="16"/>
                <w:szCs w:val="16"/>
                <w:lang w:val="en-GB"/>
              </w:rPr>
              <w:t xml:space="preserve">Bridgepoint </w:t>
            </w:r>
            <w:r w:rsidRPr="009C48DA" w:rsidR="00CC08F7">
              <w:rPr>
                <w:sz w:val="16"/>
                <w:szCs w:val="16"/>
                <w:lang w:val="en-GB"/>
              </w:rPr>
              <w:t>Advisers Group Limited</w:t>
            </w:r>
          </w:p>
        </w:tc>
        <w:tc>
          <w:tcPr>
            <w:tcW w:w="1998" w:type="dxa"/>
            <w:tcBorders>
              <w:top w:val="single" w:color="auto" w:sz="4" w:space="0"/>
              <w:left w:val="nil"/>
              <w:bottom w:val="single" w:color="auto" w:sz="4" w:space="0"/>
              <w:right w:val="nil"/>
            </w:tcBorders>
          </w:tcPr>
          <w:p w:rsidRPr="009C48DA" w:rsidR="00CC08F7" w:rsidP="00AE5EEE" w:rsidRDefault="00CC08F7" w14:paraId="7E0211DA" w14:textId="77777777">
            <w:pPr>
              <w:rPr>
                <w:rFonts w:cs="Times New Roman"/>
                <w:sz w:val="16"/>
                <w:szCs w:val="16"/>
                <w:lang w:val="en-GB"/>
              </w:rPr>
            </w:pPr>
            <w:r w:rsidRPr="009C48DA">
              <w:rPr>
                <w:sz w:val="16"/>
                <w:szCs w:val="16"/>
                <w:lang w:val="en-GB"/>
              </w:rPr>
              <w:t>England and Wales</w:t>
            </w:r>
          </w:p>
        </w:tc>
        <w:tc>
          <w:tcPr>
            <w:tcW w:w="1937" w:type="dxa"/>
            <w:tcBorders>
              <w:top w:val="single" w:color="auto" w:sz="4" w:space="0"/>
              <w:left w:val="nil"/>
              <w:bottom w:val="single" w:color="auto" w:sz="4" w:space="0"/>
              <w:right w:val="nil"/>
            </w:tcBorders>
          </w:tcPr>
          <w:p w:rsidRPr="009C48DA" w:rsidR="00CC08F7" w:rsidP="00AE5EEE" w:rsidRDefault="00CC08F7" w14:paraId="3073C0F2" w14:textId="1ECA9152">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63BDDB5B" w14:textId="35B240BD">
            <w:pPr>
              <w:rPr>
                <w:rFonts w:cs="Times New Roman"/>
                <w:sz w:val="16"/>
                <w:szCs w:val="16"/>
                <w:lang w:val="en-GB"/>
              </w:rPr>
            </w:pPr>
            <w:r w:rsidRPr="009C48DA">
              <w:rPr>
                <w:rFonts w:cs="Times New Roman"/>
                <w:sz w:val="16"/>
                <w:szCs w:val="16"/>
                <w:lang w:val="en-GB"/>
              </w:rPr>
              <w:t>77.778%</w:t>
            </w:r>
          </w:p>
        </w:tc>
      </w:tr>
      <w:tr w:rsidRPr="009C48DA" w:rsidR="00CC08F7" w:rsidTr="00BE7AE4" w14:paraId="4C377B26" w14:textId="77777777">
        <w:tc>
          <w:tcPr>
            <w:tcW w:w="2970" w:type="dxa"/>
            <w:tcBorders>
              <w:top w:val="single" w:color="auto" w:sz="4" w:space="0"/>
              <w:left w:val="nil"/>
              <w:bottom w:val="single" w:color="auto" w:sz="4" w:space="0"/>
              <w:right w:val="nil"/>
            </w:tcBorders>
          </w:tcPr>
          <w:p w:rsidRPr="009C48DA" w:rsidR="00CC08F7" w:rsidP="00AE5EEE" w:rsidRDefault="007F7AA9" w14:paraId="41D0E9E8" w14:textId="024D1D81">
            <w:pPr>
              <w:spacing w:after="120"/>
              <w:rPr>
                <w:rFonts w:cs="Times New Roman"/>
                <w:i/>
                <w:sz w:val="16"/>
                <w:szCs w:val="16"/>
                <w:lang w:val="en-GB"/>
              </w:rPr>
            </w:pPr>
            <w:r w:rsidRPr="009C48DA">
              <w:rPr>
                <w:sz w:val="16"/>
                <w:szCs w:val="16"/>
                <w:lang w:val="en-GB"/>
              </w:rPr>
              <w:t xml:space="preserve">Bridgepoint </w:t>
            </w:r>
            <w:r w:rsidRPr="009C48DA" w:rsidR="00CC08F7">
              <w:rPr>
                <w:sz w:val="16"/>
                <w:szCs w:val="16"/>
                <w:lang w:val="en-GB"/>
              </w:rPr>
              <w:t>Advisers Holdings</w:t>
            </w:r>
          </w:p>
        </w:tc>
        <w:tc>
          <w:tcPr>
            <w:tcW w:w="1998" w:type="dxa"/>
            <w:tcBorders>
              <w:top w:val="single" w:color="auto" w:sz="4" w:space="0"/>
              <w:left w:val="nil"/>
              <w:bottom w:val="single" w:color="auto" w:sz="4" w:space="0"/>
              <w:right w:val="nil"/>
            </w:tcBorders>
          </w:tcPr>
          <w:p w:rsidRPr="009C48DA" w:rsidR="00CC08F7" w:rsidP="00AE5EEE" w:rsidRDefault="00CC08F7" w14:paraId="06AA51E3" w14:textId="77777777">
            <w:pPr>
              <w:rPr>
                <w:rFonts w:cs="Times New Roman"/>
                <w:sz w:val="16"/>
                <w:szCs w:val="16"/>
                <w:lang w:val="en-GB"/>
              </w:rPr>
            </w:pPr>
            <w:r w:rsidRPr="009C48DA">
              <w:rPr>
                <w:sz w:val="16"/>
                <w:szCs w:val="16"/>
                <w:lang w:val="en-GB"/>
              </w:rPr>
              <w:t>England and Wales</w:t>
            </w:r>
          </w:p>
        </w:tc>
        <w:tc>
          <w:tcPr>
            <w:tcW w:w="1937" w:type="dxa"/>
            <w:tcBorders>
              <w:top w:val="single" w:color="auto" w:sz="4" w:space="0"/>
              <w:left w:val="nil"/>
              <w:bottom w:val="single" w:color="auto" w:sz="4" w:space="0"/>
              <w:right w:val="nil"/>
            </w:tcBorders>
            <w:hideMark/>
          </w:tcPr>
          <w:p w:rsidRPr="009C48DA" w:rsidR="00CC08F7" w:rsidP="00AE5EEE" w:rsidRDefault="00CC08F7" w14:paraId="4F141475" w14:textId="1572519C">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50619FAC" w14:textId="18BA11B3">
            <w:pPr>
              <w:rPr>
                <w:rFonts w:cs="Times New Roman"/>
                <w:sz w:val="16"/>
                <w:szCs w:val="16"/>
                <w:lang w:val="en-GB"/>
              </w:rPr>
            </w:pPr>
            <w:r w:rsidRPr="009C48DA">
              <w:rPr>
                <w:rFonts w:cs="Times New Roman"/>
                <w:sz w:val="16"/>
                <w:szCs w:val="16"/>
                <w:lang w:val="en-GB"/>
              </w:rPr>
              <w:t>77.778%</w:t>
            </w:r>
          </w:p>
        </w:tc>
      </w:tr>
      <w:tr w:rsidRPr="009C48DA" w:rsidR="00CC08F7" w:rsidTr="00BE7AE4" w14:paraId="1E04F92C" w14:textId="77777777">
        <w:tc>
          <w:tcPr>
            <w:tcW w:w="2970" w:type="dxa"/>
            <w:tcBorders>
              <w:top w:val="single" w:color="auto" w:sz="4" w:space="0"/>
              <w:left w:val="nil"/>
              <w:bottom w:val="single" w:color="auto" w:sz="4" w:space="0"/>
              <w:right w:val="nil"/>
            </w:tcBorders>
          </w:tcPr>
          <w:p w:rsidRPr="009C48DA" w:rsidR="00CC08F7" w:rsidP="00AE5EEE" w:rsidRDefault="00AE5EEE" w14:paraId="077C4FB4" w14:textId="741D4495">
            <w:pPr>
              <w:spacing w:after="120"/>
              <w:rPr>
                <w:rFonts w:cs="Times New Roman"/>
                <w:sz w:val="16"/>
                <w:szCs w:val="16"/>
                <w:lang w:val="en-GB"/>
              </w:rPr>
            </w:pPr>
            <w:r w:rsidRPr="009C48DA">
              <w:rPr>
                <w:sz w:val="16"/>
                <w:szCs w:val="16"/>
                <w:lang w:val="en-GB"/>
              </w:rPr>
              <w:t xml:space="preserve">Bridgepoint </w:t>
            </w:r>
            <w:r w:rsidRPr="009C48DA" w:rsidR="00CC08F7">
              <w:rPr>
                <w:sz w:val="16"/>
                <w:szCs w:val="16"/>
                <w:lang w:val="en-GB"/>
              </w:rPr>
              <w:t>Advisers Limited</w:t>
            </w:r>
          </w:p>
        </w:tc>
        <w:tc>
          <w:tcPr>
            <w:tcW w:w="1998" w:type="dxa"/>
            <w:tcBorders>
              <w:top w:val="single" w:color="auto" w:sz="4" w:space="0"/>
              <w:left w:val="nil"/>
              <w:bottom w:val="single" w:color="auto" w:sz="4" w:space="0"/>
              <w:right w:val="nil"/>
            </w:tcBorders>
          </w:tcPr>
          <w:p w:rsidRPr="009C48DA" w:rsidR="00CC08F7" w:rsidP="00AE5EEE" w:rsidRDefault="00CC08F7" w14:paraId="470A5946" w14:textId="77777777">
            <w:pPr>
              <w:rPr>
                <w:rFonts w:cs="Times New Roman"/>
                <w:sz w:val="16"/>
                <w:szCs w:val="16"/>
                <w:lang w:val="en-GB"/>
              </w:rPr>
            </w:pPr>
            <w:r w:rsidRPr="009C48DA">
              <w:rPr>
                <w:sz w:val="16"/>
                <w:szCs w:val="16"/>
                <w:lang w:val="en-GB"/>
              </w:rPr>
              <w:t>England and Wales</w:t>
            </w:r>
          </w:p>
        </w:tc>
        <w:tc>
          <w:tcPr>
            <w:tcW w:w="1937" w:type="dxa"/>
            <w:tcBorders>
              <w:top w:val="single" w:color="auto" w:sz="4" w:space="0"/>
              <w:left w:val="nil"/>
              <w:bottom w:val="single" w:color="auto" w:sz="4" w:space="0"/>
              <w:right w:val="nil"/>
            </w:tcBorders>
          </w:tcPr>
          <w:p w:rsidRPr="009C48DA" w:rsidR="00CC08F7" w:rsidP="00AE5EEE" w:rsidRDefault="00CC08F7" w14:paraId="730FA4B3" w14:textId="7E04DCDA">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3A2E51CD" w14:textId="4FAABA86">
            <w:pPr>
              <w:rPr>
                <w:rFonts w:cs="Times New Roman"/>
                <w:sz w:val="16"/>
                <w:szCs w:val="16"/>
                <w:lang w:val="en-GB"/>
              </w:rPr>
            </w:pPr>
            <w:r w:rsidRPr="009C48DA">
              <w:rPr>
                <w:rFonts w:cs="Times New Roman"/>
                <w:sz w:val="16"/>
                <w:szCs w:val="16"/>
                <w:lang w:val="en-GB"/>
              </w:rPr>
              <w:t>77.778%</w:t>
            </w:r>
          </w:p>
        </w:tc>
      </w:tr>
      <w:tr w:rsidRPr="009C48DA" w:rsidR="00CC08F7" w:rsidTr="00BE7AE4" w14:paraId="7B19A3D0" w14:textId="77777777">
        <w:tc>
          <w:tcPr>
            <w:tcW w:w="2970" w:type="dxa"/>
            <w:tcBorders>
              <w:top w:val="single" w:color="auto" w:sz="4" w:space="0"/>
              <w:left w:val="nil"/>
              <w:bottom w:val="single" w:color="auto" w:sz="4" w:space="0"/>
              <w:right w:val="nil"/>
            </w:tcBorders>
          </w:tcPr>
          <w:p w:rsidRPr="009C48DA" w:rsidR="00CC08F7" w:rsidP="00AE5EEE" w:rsidRDefault="00AE5EEE" w14:paraId="3FD7BC57" w14:textId="0451EE4E">
            <w:pPr>
              <w:spacing w:after="120"/>
              <w:rPr>
                <w:rFonts w:cs="Times New Roman"/>
                <w:sz w:val="16"/>
                <w:szCs w:val="16"/>
                <w:lang w:val="en-GB"/>
              </w:rPr>
            </w:pPr>
            <w:r w:rsidRPr="009C48DA">
              <w:rPr>
                <w:sz w:val="16"/>
                <w:szCs w:val="16"/>
                <w:lang w:val="en-GB"/>
              </w:rPr>
              <w:t xml:space="preserve">Bridgepoint </w:t>
            </w:r>
            <w:r w:rsidRPr="009C48DA" w:rsidR="00CC08F7">
              <w:rPr>
                <w:sz w:val="16"/>
                <w:szCs w:val="16"/>
                <w:lang w:val="en-GB"/>
              </w:rPr>
              <w:t>Advisers II Limited</w:t>
            </w:r>
          </w:p>
        </w:tc>
        <w:tc>
          <w:tcPr>
            <w:tcW w:w="1998" w:type="dxa"/>
            <w:tcBorders>
              <w:top w:val="single" w:color="auto" w:sz="4" w:space="0"/>
              <w:left w:val="nil"/>
              <w:bottom w:val="single" w:color="auto" w:sz="4" w:space="0"/>
              <w:right w:val="nil"/>
            </w:tcBorders>
          </w:tcPr>
          <w:p w:rsidRPr="009C48DA" w:rsidR="00CC08F7" w:rsidP="00AE5EEE" w:rsidRDefault="00CC08F7" w14:paraId="526127A7" w14:textId="77777777">
            <w:pPr>
              <w:rPr>
                <w:rFonts w:cs="Times New Roman"/>
                <w:sz w:val="16"/>
                <w:szCs w:val="16"/>
                <w:lang w:val="en-GB"/>
              </w:rPr>
            </w:pPr>
            <w:r w:rsidRPr="009C48DA">
              <w:rPr>
                <w:sz w:val="16"/>
                <w:szCs w:val="16"/>
                <w:lang w:val="en-GB"/>
              </w:rPr>
              <w:t>England and Wales</w:t>
            </w:r>
          </w:p>
        </w:tc>
        <w:tc>
          <w:tcPr>
            <w:tcW w:w="1937" w:type="dxa"/>
            <w:tcBorders>
              <w:top w:val="single" w:color="auto" w:sz="4" w:space="0"/>
              <w:left w:val="nil"/>
              <w:bottom w:val="single" w:color="auto" w:sz="4" w:space="0"/>
              <w:right w:val="nil"/>
            </w:tcBorders>
          </w:tcPr>
          <w:p w:rsidRPr="009C48DA" w:rsidR="00CC08F7" w:rsidP="00AE5EEE" w:rsidRDefault="00CC08F7" w14:paraId="743B0788" w14:textId="6E353718">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179CF2C1" w14:textId="38EB92ED">
            <w:pPr>
              <w:rPr>
                <w:rFonts w:cs="Times New Roman"/>
                <w:sz w:val="16"/>
                <w:szCs w:val="16"/>
                <w:lang w:val="en-GB"/>
              </w:rPr>
            </w:pPr>
            <w:r w:rsidRPr="009C48DA">
              <w:rPr>
                <w:rFonts w:cs="Times New Roman"/>
                <w:sz w:val="16"/>
                <w:szCs w:val="16"/>
                <w:lang w:val="en-GB"/>
              </w:rPr>
              <w:t>77.778%</w:t>
            </w:r>
          </w:p>
        </w:tc>
      </w:tr>
      <w:tr w:rsidRPr="009C48DA" w:rsidR="00CC08F7" w:rsidTr="00BE7AE4" w14:paraId="6C7CB30D" w14:textId="77777777">
        <w:tc>
          <w:tcPr>
            <w:tcW w:w="2970" w:type="dxa"/>
            <w:tcBorders>
              <w:top w:val="single" w:color="auto" w:sz="4" w:space="0"/>
              <w:left w:val="nil"/>
              <w:bottom w:val="single" w:color="auto" w:sz="4" w:space="0"/>
              <w:right w:val="nil"/>
            </w:tcBorders>
          </w:tcPr>
          <w:p w:rsidRPr="009C48DA" w:rsidR="00CC08F7" w:rsidP="00AE5EEE" w:rsidRDefault="00AE5EEE" w14:paraId="21AE4A44" w14:textId="547D8C17">
            <w:pPr>
              <w:spacing w:after="120"/>
              <w:rPr>
                <w:rFonts w:cs="Times New Roman"/>
                <w:sz w:val="16"/>
                <w:szCs w:val="16"/>
                <w:lang w:val="en-GB"/>
              </w:rPr>
            </w:pPr>
            <w:r w:rsidRPr="009C48DA">
              <w:rPr>
                <w:sz w:val="16"/>
                <w:szCs w:val="16"/>
                <w:lang w:val="en-GB"/>
              </w:rPr>
              <w:t xml:space="preserve">Bridgepoint </w:t>
            </w:r>
            <w:r w:rsidRPr="009C48DA" w:rsidR="00CC08F7">
              <w:rPr>
                <w:sz w:val="16"/>
                <w:szCs w:val="16"/>
                <w:lang w:val="en-GB"/>
              </w:rPr>
              <w:t>Advisers Europe Limited</w:t>
            </w:r>
          </w:p>
        </w:tc>
        <w:tc>
          <w:tcPr>
            <w:tcW w:w="1998" w:type="dxa"/>
            <w:tcBorders>
              <w:top w:val="single" w:color="auto" w:sz="4" w:space="0"/>
              <w:left w:val="nil"/>
              <w:bottom w:val="single" w:color="auto" w:sz="4" w:space="0"/>
              <w:right w:val="nil"/>
            </w:tcBorders>
          </w:tcPr>
          <w:p w:rsidRPr="009C48DA" w:rsidR="00CC08F7" w:rsidP="00AE5EEE" w:rsidRDefault="00CC08F7" w14:paraId="3663D52A" w14:textId="77777777">
            <w:pPr>
              <w:rPr>
                <w:rFonts w:cs="Times New Roman"/>
                <w:sz w:val="16"/>
                <w:szCs w:val="16"/>
                <w:lang w:val="en-GB"/>
              </w:rPr>
            </w:pPr>
            <w:r w:rsidRPr="009C48DA">
              <w:rPr>
                <w:sz w:val="16"/>
                <w:szCs w:val="16"/>
                <w:lang w:val="en-GB"/>
              </w:rPr>
              <w:t>England and Wales</w:t>
            </w:r>
          </w:p>
        </w:tc>
        <w:tc>
          <w:tcPr>
            <w:tcW w:w="1937" w:type="dxa"/>
            <w:tcBorders>
              <w:top w:val="single" w:color="auto" w:sz="4" w:space="0"/>
              <w:left w:val="nil"/>
              <w:bottom w:val="single" w:color="auto" w:sz="4" w:space="0"/>
              <w:right w:val="nil"/>
            </w:tcBorders>
          </w:tcPr>
          <w:p w:rsidRPr="009C48DA" w:rsidR="00CC08F7" w:rsidP="00AE5EEE" w:rsidRDefault="00CC08F7" w14:paraId="2EF58A85" w14:textId="14B9877D">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1CCFD720" w14:textId="5DB38877">
            <w:pPr>
              <w:rPr>
                <w:rFonts w:cs="Times New Roman"/>
                <w:sz w:val="16"/>
                <w:szCs w:val="16"/>
                <w:lang w:val="en-GB"/>
              </w:rPr>
            </w:pPr>
            <w:r w:rsidRPr="009C48DA">
              <w:rPr>
                <w:rFonts w:cs="Times New Roman"/>
                <w:sz w:val="16"/>
                <w:szCs w:val="16"/>
                <w:lang w:val="en-GB"/>
              </w:rPr>
              <w:t>77.778%</w:t>
            </w:r>
          </w:p>
        </w:tc>
      </w:tr>
      <w:tr w:rsidRPr="009C48DA" w:rsidR="00CC08F7" w:rsidTr="00BE7AE4" w14:paraId="55E4CEDD" w14:textId="77777777">
        <w:tc>
          <w:tcPr>
            <w:tcW w:w="2970" w:type="dxa"/>
            <w:tcBorders>
              <w:top w:val="single" w:color="auto" w:sz="4" w:space="0"/>
              <w:left w:val="nil"/>
              <w:bottom w:val="single" w:color="auto" w:sz="4" w:space="0"/>
              <w:right w:val="nil"/>
            </w:tcBorders>
          </w:tcPr>
          <w:p w:rsidRPr="009C48DA" w:rsidR="00CC08F7" w:rsidP="00AE5EEE" w:rsidRDefault="00AE5EEE" w14:paraId="06EDDE0E" w14:textId="7F058E6C">
            <w:pPr>
              <w:spacing w:after="120"/>
              <w:rPr>
                <w:rFonts w:cs="Times New Roman"/>
                <w:sz w:val="16"/>
                <w:szCs w:val="16"/>
                <w:lang w:val="en-GB"/>
              </w:rPr>
            </w:pPr>
            <w:r w:rsidRPr="009C48DA">
              <w:rPr>
                <w:sz w:val="16"/>
                <w:szCs w:val="16"/>
                <w:lang w:val="en-GB"/>
              </w:rPr>
              <w:t xml:space="preserve">Bridgepoint </w:t>
            </w:r>
            <w:r w:rsidRPr="009C48DA" w:rsidR="00CC08F7">
              <w:rPr>
                <w:sz w:val="16"/>
                <w:szCs w:val="16"/>
                <w:lang w:val="en-GB"/>
              </w:rPr>
              <w:t>Advisers UK Limited</w:t>
            </w:r>
          </w:p>
        </w:tc>
        <w:tc>
          <w:tcPr>
            <w:tcW w:w="1998" w:type="dxa"/>
            <w:tcBorders>
              <w:top w:val="single" w:color="auto" w:sz="4" w:space="0"/>
              <w:left w:val="nil"/>
              <w:bottom w:val="single" w:color="auto" w:sz="4" w:space="0"/>
              <w:right w:val="nil"/>
            </w:tcBorders>
          </w:tcPr>
          <w:p w:rsidRPr="009C48DA" w:rsidR="00CC08F7" w:rsidP="00AE5EEE" w:rsidRDefault="00CC08F7" w14:paraId="6E6C7AF3" w14:textId="77777777">
            <w:pPr>
              <w:rPr>
                <w:rFonts w:cs="Times New Roman"/>
                <w:sz w:val="16"/>
                <w:szCs w:val="16"/>
                <w:lang w:val="en-GB"/>
              </w:rPr>
            </w:pPr>
            <w:r w:rsidRPr="009C48DA">
              <w:rPr>
                <w:sz w:val="16"/>
                <w:szCs w:val="16"/>
                <w:lang w:val="en-GB"/>
              </w:rPr>
              <w:t>England and Wales</w:t>
            </w:r>
          </w:p>
        </w:tc>
        <w:tc>
          <w:tcPr>
            <w:tcW w:w="1937" w:type="dxa"/>
            <w:tcBorders>
              <w:top w:val="single" w:color="auto" w:sz="4" w:space="0"/>
              <w:left w:val="nil"/>
              <w:bottom w:val="single" w:color="auto" w:sz="4" w:space="0"/>
              <w:right w:val="nil"/>
            </w:tcBorders>
          </w:tcPr>
          <w:p w:rsidRPr="009C48DA" w:rsidR="00CC08F7" w:rsidP="00AE5EEE" w:rsidRDefault="00CC08F7" w14:paraId="52B5C180" w14:textId="190716D6">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21CD23D8" w14:textId="1D6F46F5">
            <w:pPr>
              <w:rPr>
                <w:rFonts w:cs="Times New Roman"/>
                <w:sz w:val="16"/>
                <w:szCs w:val="16"/>
                <w:lang w:val="en-GB"/>
              </w:rPr>
            </w:pPr>
            <w:r w:rsidRPr="009C48DA">
              <w:rPr>
                <w:rFonts w:cs="Times New Roman"/>
                <w:sz w:val="16"/>
                <w:szCs w:val="16"/>
                <w:lang w:val="en-GB"/>
              </w:rPr>
              <w:t>77.778%</w:t>
            </w:r>
          </w:p>
        </w:tc>
      </w:tr>
      <w:tr w:rsidRPr="009C48DA" w:rsidR="00CC08F7" w:rsidTr="00BE7AE4" w14:paraId="43C65AA7" w14:textId="77777777">
        <w:tc>
          <w:tcPr>
            <w:tcW w:w="2970" w:type="dxa"/>
            <w:tcBorders>
              <w:top w:val="single" w:color="auto" w:sz="4" w:space="0"/>
              <w:left w:val="nil"/>
              <w:bottom w:val="single" w:color="auto" w:sz="4" w:space="0"/>
              <w:right w:val="nil"/>
            </w:tcBorders>
          </w:tcPr>
          <w:p w:rsidRPr="009C48DA" w:rsidR="00CC08F7" w:rsidP="00AE5EEE" w:rsidRDefault="00AE5EEE" w14:paraId="45E0D35E" w14:textId="4A40C660">
            <w:pPr>
              <w:spacing w:after="120"/>
              <w:rPr>
                <w:rFonts w:cs="Times New Roman"/>
                <w:sz w:val="16"/>
                <w:szCs w:val="16"/>
                <w:lang w:val="en-GB"/>
              </w:rPr>
            </w:pPr>
            <w:r w:rsidRPr="009C48DA">
              <w:rPr>
                <w:sz w:val="16"/>
                <w:szCs w:val="16"/>
                <w:lang w:val="en-GB"/>
              </w:rPr>
              <w:t xml:space="preserve">Bridgepoint </w:t>
            </w:r>
            <w:r w:rsidRPr="009C48DA" w:rsidR="00CC08F7">
              <w:rPr>
                <w:sz w:val="16"/>
                <w:szCs w:val="16"/>
                <w:lang w:val="en-GB"/>
              </w:rPr>
              <w:t>Credit Limited</w:t>
            </w:r>
          </w:p>
        </w:tc>
        <w:tc>
          <w:tcPr>
            <w:tcW w:w="1998" w:type="dxa"/>
            <w:tcBorders>
              <w:top w:val="single" w:color="auto" w:sz="4" w:space="0"/>
              <w:left w:val="nil"/>
              <w:bottom w:val="single" w:color="auto" w:sz="4" w:space="0"/>
              <w:right w:val="nil"/>
            </w:tcBorders>
          </w:tcPr>
          <w:p w:rsidRPr="009C48DA" w:rsidR="00CC08F7" w:rsidP="00AE5EEE" w:rsidRDefault="00CC08F7" w14:paraId="5D19AA3E" w14:textId="77777777">
            <w:pPr>
              <w:rPr>
                <w:rFonts w:cs="Times New Roman"/>
                <w:sz w:val="16"/>
                <w:szCs w:val="16"/>
                <w:lang w:val="en-GB"/>
              </w:rPr>
            </w:pPr>
            <w:r w:rsidRPr="009C48DA">
              <w:rPr>
                <w:sz w:val="16"/>
                <w:szCs w:val="16"/>
                <w:lang w:val="en-GB"/>
              </w:rPr>
              <w:t>England and Wales</w:t>
            </w:r>
          </w:p>
        </w:tc>
        <w:tc>
          <w:tcPr>
            <w:tcW w:w="1937" w:type="dxa"/>
            <w:tcBorders>
              <w:top w:val="single" w:color="auto" w:sz="4" w:space="0"/>
              <w:left w:val="nil"/>
              <w:bottom w:val="single" w:color="auto" w:sz="4" w:space="0"/>
              <w:right w:val="nil"/>
            </w:tcBorders>
          </w:tcPr>
          <w:p w:rsidRPr="009C48DA" w:rsidR="00CC08F7" w:rsidP="00AE5EEE" w:rsidRDefault="00CC08F7" w14:paraId="3CA4F859" w14:textId="6C1A24DE">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1FD8306C" w14:textId="50590728">
            <w:pPr>
              <w:rPr>
                <w:rFonts w:cs="Times New Roman"/>
                <w:sz w:val="16"/>
                <w:szCs w:val="16"/>
                <w:lang w:val="en-GB"/>
              </w:rPr>
            </w:pPr>
            <w:r w:rsidRPr="009C48DA">
              <w:rPr>
                <w:rFonts w:cs="Times New Roman"/>
                <w:sz w:val="16"/>
                <w:szCs w:val="16"/>
                <w:lang w:val="en-GB"/>
              </w:rPr>
              <w:t>77.778%</w:t>
            </w:r>
          </w:p>
        </w:tc>
      </w:tr>
      <w:tr w:rsidRPr="009C48DA" w:rsidR="00D42EDF" w:rsidTr="00BE7AE4" w14:paraId="28BFE395" w14:textId="77777777">
        <w:tc>
          <w:tcPr>
            <w:tcW w:w="2970" w:type="dxa"/>
            <w:tcBorders>
              <w:top w:val="single" w:color="auto" w:sz="4" w:space="0"/>
              <w:left w:val="nil"/>
              <w:bottom w:val="single" w:color="auto" w:sz="4" w:space="0"/>
              <w:right w:val="nil"/>
            </w:tcBorders>
          </w:tcPr>
          <w:p w:rsidRPr="009C48DA" w:rsidR="00D42EDF" w:rsidP="00AE5EEE" w:rsidRDefault="00AE5EEE" w14:paraId="2B909415" w14:textId="0D54C62C">
            <w:pPr>
              <w:spacing w:after="120"/>
              <w:rPr>
                <w:rFonts w:cs="Times New Roman"/>
                <w:sz w:val="16"/>
                <w:szCs w:val="16"/>
                <w:lang w:val="en-GB"/>
              </w:rPr>
            </w:pPr>
            <w:r w:rsidRPr="009C48DA">
              <w:rPr>
                <w:sz w:val="16"/>
                <w:szCs w:val="16"/>
                <w:lang w:val="en-GB"/>
              </w:rPr>
              <w:t xml:space="preserve">Bridgepoint </w:t>
            </w:r>
            <w:r w:rsidRPr="009C48DA" w:rsidR="00D42EDF">
              <w:rPr>
                <w:sz w:val="16"/>
                <w:szCs w:val="16"/>
                <w:lang w:val="en-GB"/>
              </w:rPr>
              <w:t>Credit Management Limited</w:t>
            </w:r>
          </w:p>
        </w:tc>
        <w:tc>
          <w:tcPr>
            <w:tcW w:w="1998" w:type="dxa"/>
            <w:tcBorders>
              <w:top w:val="single" w:color="auto" w:sz="4" w:space="0"/>
              <w:left w:val="nil"/>
              <w:bottom w:val="single" w:color="auto" w:sz="4" w:space="0"/>
              <w:right w:val="nil"/>
            </w:tcBorders>
          </w:tcPr>
          <w:p w:rsidRPr="009C48DA" w:rsidR="00D42EDF" w:rsidP="00AE5EEE" w:rsidRDefault="00D42EDF" w14:paraId="648DB42E" w14:textId="77777777">
            <w:pPr>
              <w:rPr>
                <w:rFonts w:cs="Times New Roman"/>
                <w:sz w:val="16"/>
                <w:szCs w:val="16"/>
                <w:lang w:val="en-GB"/>
              </w:rPr>
            </w:pPr>
            <w:r w:rsidRPr="009C48DA">
              <w:rPr>
                <w:sz w:val="16"/>
                <w:szCs w:val="16"/>
                <w:lang w:val="en-GB"/>
              </w:rPr>
              <w:t>England and Wales</w:t>
            </w:r>
          </w:p>
        </w:tc>
        <w:tc>
          <w:tcPr>
            <w:tcW w:w="1937" w:type="dxa"/>
            <w:tcBorders>
              <w:top w:val="single" w:color="auto" w:sz="4" w:space="0"/>
              <w:left w:val="nil"/>
              <w:bottom w:val="single" w:color="auto" w:sz="4" w:space="0"/>
              <w:right w:val="nil"/>
            </w:tcBorders>
          </w:tcPr>
          <w:p w:rsidRPr="009C48DA" w:rsidR="00D42EDF" w:rsidP="00AE5EEE" w:rsidRDefault="00D42EDF" w14:paraId="2B463EA6" w14:textId="7166D2C1">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D42EDF" w:rsidP="00AE5EEE" w:rsidRDefault="00D42EDF" w14:paraId="40DE3C66" w14:textId="317D3FCF">
            <w:pPr>
              <w:rPr>
                <w:rFonts w:cs="Times New Roman"/>
                <w:sz w:val="16"/>
                <w:szCs w:val="16"/>
                <w:lang w:val="en-GB"/>
              </w:rPr>
            </w:pPr>
            <w:r w:rsidRPr="009C48DA">
              <w:rPr>
                <w:rFonts w:cs="Times New Roman"/>
                <w:sz w:val="16"/>
                <w:szCs w:val="16"/>
                <w:lang w:val="en-GB"/>
              </w:rPr>
              <w:t>38.111%</w:t>
            </w:r>
          </w:p>
        </w:tc>
      </w:tr>
      <w:tr w:rsidRPr="009C48DA" w:rsidR="00442926" w:rsidTr="00BE7AE4" w14:paraId="5AD0D422" w14:textId="77777777">
        <w:tc>
          <w:tcPr>
            <w:tcW w:w="2970" w:type="dxa"/>
            <w:tcBorders>
              <w:top w:val="single" w:color="auto" w:sz="4" w:space="0"/>
              <w:left w:val="nil"/>
              <w:bottom w:val="single" w:color="auto" w:sz="4" w:space="0"/>
              <w:right w:val="nil"/>
            </w:tcBorders>
          </w:tcPr>
          <w:p w:rsidRPr="009C48DA" w:rsidR="00442926" w:rsidP="00AE5EEE" w:rsidRDefault="00AE5EEE" w14:paraId="648A8C64" w14:textId="4B85F7A7">
            <w:pPr>
              <w:spacing w:after="120"/>
              <w:rPr>
                <w:rFonts w:cs="Times New Roman"/>
                <w:sz w:val="16"/>
                <w:szCs w:val="16"/>
                <w:lang w:val="en-GB"/>
              </w:rPr>
            </w:pPr>
            <w:r w:rsidRPr="009C48DA">
              <w:rPr>
                <w:sz w:val="16"/>
                <w:szCs w:val="16"/>
                <w:lang w:val="en-GB"/>
              </w:rPr>
              <w:lastRenderedPageBreak/>
              <w:t xml:space="preserve">Bridgepoint </w:t>
            </w:r>
            <w:r w:rsidRPr="009C48DA" w:rsidR="00442926">
              <w:rPr>
                <w:sz w:val="16"/>
                <w:szCs w:val="16"/>
                <w:lang w:val="en-GB"/>
              </w:rPr>
              <w:t>Credit Holdings Limited</w:t>
            </w:r>
          </w:p>
        </w:tc>
        <w:tc>
          <w:tcPr>
            <w:tcW w:w="1998" w:type="dxa"/>
            <w:tcBorders>
              <w:top w:val="single" w:color="auto" w:sz="4" w:space="0"/>
              <w:left w:val="nil"/>
              <w:bottom w:val="single" w:color="auto" w:sz="4" w:space="0"/>
              <w:right w:val="nil"/>
            </w:tcBorders>
          </w:tcPr>
          <w:p w:rsidRPr="009C48DA" w:rsidR="00442926" w:rsidP="00AE5EEE" w:rsidRDefault="00442926" w14:paraId="3238BA30" w14:textId="77777777">
            <w:pPr>
              <w:rPr>
                <w:rFonts w:cs="Times New Roman"/>
                <w:sz w:val="16"/>
                <w:szCs w:val="16"/>
                <w:lang w:val="en-GB"/>
              </w:rPr>
            </w:pPr>
            <w:r w:rsidRPr="009C48DA">
              <w:rPr>
                <w:sz w:val="16"/>
                <w:szCs w:val="16"/>
                <w:lang w:val="en-GB"/>
              </w:rPr>
              <w:t>England and Wales</w:t>
            </w:r>
          </w:p>
        </w:tc>
        <w:tc>
          <w:tcPr>
            <w:tcW w:w="1937" w:type="dxa"/>
            <w:tcBorders>
              <w:top w:val="single" w:color="auto" w:sz="4" w:space="0"/>
              <w:left w:val="nil"/>
              <w:bottom w:val="single" w:color="auto" w:sz="4" w:space="0"/>
              <w:right w:val="nil"/>
            </w:tcBorders>
          </w:tcPr>
          <w:p w:rsidRPr="009C48DA" w:rsidR="00442926" w:rsidP="00AE5EEE" w:rsidRDefault="00D42EDF" w14:paraId="454B7F74" w14:textId="33D362F5">
            <w:pPr>
              <w:rPr>
                <w:rFonts w:cs="Times New Roman"/>
                <w:sz w:val="16"/>
                <w:szCs w:val="16"/>
                <w:vertAlign w:val="superscript"/>
                <w:lang w:val="en-GB"/>
              </w:rPr>
            </w:pPr>
            <w:r w:rsidRPr="009C48DA">
              <w:rPr>
                <w:rFonts w:cs="Times New Roman"/>
                <w:sz w:val="16"/>
                <w:szCs w:val="16"/>
                <w:lang w:val="en-GB"/>
              </w:rPr>
              <w:t>77.778%</w:t>
            </w:r>
            <w:r w:rsidRPr="009C48DA" w:rsidR="00C10F88">
              <w:rPr>
                <w:rFonts w:cs="Times New Roman"/>
                <w:sz w:val="16"/>
                <w:szCs w:val="16"/>
                <w:vertAlign w:val="superscript"/>
                <w:lang w:val="en-GB"/>
              </w:rPr>
              <w:t>(</w:t>
            </w:r>
            <w:r w:rsidRPr="009C48DA">
              <w:rPr>
                <w:rFonts w:cs="Times New Roman"/>
                <w:sz w:val="16"/>
                <w:szCs w:val="16"/>
                <w:vertAlign w:val="superscript"/>
                <w:lang w:val="en-GB"/>
              </w:rPr>
              <w:t>1</w:t>
            </w:r>
            <w:r w:rsidRPr="009C48DA" w:rsidR="00C10F88">
              <w:rPr>
                <w:rFonts w:cs="Times New Roman"/>
                <w:sz w:val="16"/>
                <w:szCs w:val="16"/>
                <w:vertAlign w:val="superscript"/>
                <w:lang w:val="en-GB"/>
              </w:rPr>
              <w:t>)</w:t>
            </w:r>
          </w:p>
        </w:tc>
        <w:tc>
          <w:tcPr>
            <w:tcW w:w="1571" w:type="dxa"/>
            <w:tcBorders>
              <w:top w:val="single" w:color="auto" w:sz="4" w:space="0"/>
              <w:left w:val="nil"/>
              <w:bottom w:val="single" w:color="auto" w:sz="4" w:space="0"/>
              <w:right w:val="nil"/>
            </w:tcBorders>
          </w:tcPr>
          <w:p w:rsidRPr="009C48DA" w:rsidR="00442926" w:rsidP="00AE5EEE" w:rsidRDefault="00D42EDF" w14:paraId="7C6571EF" w14:textId="182139E5">
            <w:pPr>
              <w:rPr>
                <w:rFonts w:cs="Times New Roman"/>
                <w:sz w:val="16"/>
                <w:szCs w:val="16"/>
                <w:vertAlign w:val="superscript"/>
                <w:lang w:val="en-GB"/>
              </w:rPr>
            </w:pPr>
            <w:r w:rsidRPr="009C48DA">
              <w:rPr>
                <w:rFonts w:cs="Times New Roman"/>
                <w:sz w:val="16"/>
                <w:szCs w:val="16"/>
                <w:lang w:val="en-GB"/>
              </w:rPr>
              <w:t>77.778%</w:t>
            </w:r>
            <w:r w:rsidRPr="009C48DA" w:rsidR="00AE5EEE">
              <w:rPr>
                <w:rFonts w:cs="Times New Roman"/>
                <w:sz w:val="16"/>
                <w:szCs w:val="16"/>
                <w:vertAlign w:val="superscript"/>
                <w:lang w:val="en-GB"/>
              </w:rPr>
              <w:t>(</w:t>
            </w:r>
            <w:r w:rsidRPr="009C48DA">
              <w:rPr>
                <w:rFonts w:cs="Times New Roman"/>
                <w:sz w:val="16"/>
                <w:szCs w:val="16"/>
                <w:vertAlign w:val="superscript"/>
                <w:lang w:val="en-GB"/>
              </w:rPr>
              <w:t>1</w:t>
            </w:r>
            <w:r w:rsidRPr="009C48DA" w:rsidR="00AE5EEE">
              <w:rPr>
                <w:rFonts w:cs="Times New Roman"/>
                <w:sz w:val="16"/>
                <w:szCs w:val="16"/>
                <w:vertAlign w:val="superscript"/>
                <w:lang w:val="en-GB"/>
              </w:rPr>
              <w:t>)</w:t>
            </w:r>
          </w:p>
        </w:tc>
      </w:tr>
      <w:tr w:rsidRPr="009C48DA" w:rsidR="00D42EDF" w:rsidTr="00BE7AE4" w14:paraId="356EFD34" w14:textId="77777777">
        <w:tc>
          <w:tcPr>
            <w:tcW w:w="2970" w:type="dxa"/>
            <w:tcBorders>
              <w:top w:val="single" w:color="auto" w:sz="4" w:space="0"/>
              <w:left w:val="nil"/>
              <w:bottom w:val="single" w:color="auto" w:sz="4" w:space="0"/>
              <w:right w:val="nil"/>
            </w:tcBorders>
          </w:tcPr>
          <w:p w:rsidRPr="009C48DA" w:rsidR="00D42EDF" w:rsidP="00AE5EEE" w:rsidRDefault="00AE5EEE" w14:paraId="1867155D" w14:textId="6F695046">
            <w:pPr>
              <w:spacing w:after="120"/>
              <w:rPr>
                <w:rFonts w:cs="Times New Roman"/>
                <w:sz w:val="16"/>
                <w:szCs w:val="16"/>
                <w:lang w:val="en-GB"/>
              </w:rPr>
            </w:pPr>
            <w:r w:rsidRPr="009C48DA">
              <w:rPr>
                <w:sz w:val="16"/>
                <w:szCs w:val="16"/>
                <w:lang w:val="en-GB"/>
              </w:rPr>
              <w:t xml:space="preserve">Bridgepoint </w:t>
            </w:r>
            <w:r w:rsidRPr="009C48DA" w:rsidR="00D42EDF">
              <w:rPr>
                <w:sz w:val="16"/>
                <w:szCs w:val="16"/>
                <w:lang w:val="en-GB"/>
              </w:rPr>
              <w:t>Credit Advisers UK Limited</w:t>
            </w:r>
          </w:p>
        </w:tc>
        <w:tc>
          <w:tcPr>
            <w:tcW w:w="1998" w:type="dxa"/>
            <w:tcBorders>
              <w:top w:val="single" w:color="auto" w:sz="4" w:space="0"/>
              <w:left w:val="nil"/>
              <w:bottom w:val="single" w:color="auto" w:sz="4" w:space="0"/>
              <w:right w:val="nil"/>
            </w:tcBorders>
          </w:tcPr>
          <w:p w:rsidRPr="009C48DA" w:rsidR="00D42EDF" w:rsidP="00AE5EEE" w:rsidRDefault="00D42EDF" w14:paraId="45AB51AC" w14:textId="77777777">
            <w:pPr>
              <w:rPr>
                <w:rFonts w:cs="Times New Roman"/>
                <w:sz w:val="16"/>
                <w:szCs w:val="16"/>
                <w:lang w:val="en-GB"/>
              </w:rPr>
            </w:pPr>
            <w:r w:rsidRPr="009C48DA">
              <w:rPr>
                <w:sz w:val="16"/>
                <w:szCs w:val="16"/>
                <w:lang w:val="en-GB"/>
              </w:rPr>
              <w:t>England and Wales</w:t>
            </w:r>
          </w:p>
        </w:tc>
        <w:tc>
          <w:tcPr>
            <w:tcW w:w="1937" w:type="dxa"/>
            <w:tcBorders>
              <w:top w:val="single" w:color="auto" w:sz="4" w:space="0"/>
              <w:left w:val="nil"/>
              <w:bottom w:val="single" w:color="auto" w:sz="4" w:space="0"/>
              <w:right w:val="nil"/>
            </w:tcBorders>
          </w:tcPr>
          <w:p w:rsidRPr="009C48DA" w:rsidR="00D42EDF" w:rsidP="00AE5EEE" w:rsidRDefault="00D42EDF" w14:paraId="586918DC" w14:textId="55B39060">
            <w:pPr>
              <w:rPr>
                <w:rFonts w:cs="Times New Roman"/>
                <w:sz w:val="16"/>
                <w:szCs w:val="16"/>
                <w:lang w:val="en-GB"/>
              </w:rPr>
            </w:pPr>
            <w:r w:rsidRPr="009C48DA">
              <w:rPr>
                <w:rFonts w:cs="Times New Roman"/>
                <w:sz w:val="16"/>
                <w:szCs w:val="16"/>
                <w:lang w:val="en-GB"/>
              </w:rPr>
              <w:t>77.778%</w:t>
            </w:r>
            <w:r w:rsidRPr="009C48DA" w:rsidR="00C10F88">
              <w:rPr>
                <w:rFonts w:cs="Times New Roman"/>
                <w:sz w:val="16"/>
                <w:szCs w:val="16"/>
                <w:vertAlign w:val="superscript"/>
                <w:lang w:val="en-GB"/>
              </w:rPr>
              <w:t>(</w:t>
            </w:r>
            <w:r w:rsidRPr="009C48DA">
              <w:rPr>
                <w:rFonts w:cs="Times New Roman"/>
                <w:sz w:val="16"/>
                <w:szCs w:val="16"/>
                <w:vertAlign w:val="superscript"/>
                <w:lang w:val="en-GB"/>
              </w:rPr>
              <w:t>2</w:t>
            </w:r>
            <w:r w:rsidRPr="009C48DA" w:rsidR="00C10F88">
              <w:rPr>
                <w:rFonts w:cs="Times New Roman"/>
                <w:sz w:val="16"/>
                <w:szCs w:val="16"/>
                <w:vertAlign w:val="superscript"/>
                <w:lang w:val="en-GB"/>
              </w:rPr>
              <w:t>)</w:t>
            </w:r>
          </w:p>
        </w:tc>
        <w:tc>
          <w:tcPr>
            <w:tcW w:w="1571" w:type="dxa"/>
            <w:tcBorders>
              <w:top w:val="single" w:color="auto" w:sz="4" w:space="0"/>
              <w:left w:val="nil"/>
              <w:bottom w:val="single" w:color="auto" w:sz="4" w:space="0"/>
              <w:right w:val="nil"/>
            </w:tcBorders>
          </w:tcPr>
          <w:p w:rsidRPr="009C48DA" w:rsidR="00D42EDF" w:rsidP="00AE5EEE" w:rsidRDefault="00D42EDF" w14:paraId="52EBA6E8" w14:textId="35DDF3C5">
            <w:pPr>
              <w:rPr>
                <w:rFonts w:cs="Times New Roman"/>
                <w:sz w:val="16"/>
                <w:szCs w:val="16"/>
                <w:lang w:val="en-GB"/>
              </w:rPr>
            </w:pPr>
            <w:r w:rsidRPr="009C48DA">
              <w:rPr>
                <w:rFonts w:cs="Times New Roman"/>
                <w:sz w:val="16"/>
                <w:szCs w:val="16"/>
                <w:lang w:val="en-GB"/>
              </w:rPr>
              <w:t>77.778%</w:t>
            </w:r>
            <w:r w:rsidRPr="009C48DA" w:rsidR="00AE5EEE">
              <w:rPr>
                <w:rFonts w:cs="Times New Roman"/>
                <w:sz w:val="16"/>
                <w:szCs w:val="16"/>
                <w:vertAlign w:val="superscript"/>
                <w:lang w:val="en-GB"/>
              </w:rPr>
              <w:t>(</w:t>
            </w:r>
            <w:r w:rsidRPr="009C48DA">
              <w:rPr>
                <w:rFonts w:cs="Times New Roman"/>
                <w:sz w:val="16"/>
                <w:szCs w:val="16"/>
                <w:vertAlign w:val="superscript"/>
                <w:lang w:val="en-GB"/>
              </w:rPr>
              <w:t>2</w:t>
            </w:r>
            <w:r w:rsidRPr="009C48DA" w:rsidR="00AE5EEE">
              <w:rPr>
                <w:rFonts w:cs="Times New Roman"/>
                <w:sz w:val="16"/>
                <w:szCs w:val="16"/>
                <w:vertAlign w:val="superscript"/>
                <w:lang w:val="en-GB"/>
              </w:rPr>
              <w:t>)</w:t>
            </w:r>
          </w:p>
        </w:tc>
      </w:tr>
      <w:tr w:rsidRPr="009C48DA" w:rsidR="00CC08F7" w:rsidTr="00BE7AE4" w14:paraId="0FDF5244" w14:textId="77777777">
        <w:tc>
          <w:tcPr>
            <w:tcW w:w="2970" w:type="dxa"/>
            <w:tcBorders>
              <w:top w:val="single" w:color="auto" w:sz="4" w:space="0"/>
              <w:left w:val="nil"/>
              <w:bottom w:val="single" w:color="auto" w:sz="4" w:space="0"/>
              <w:right w:val="nil"/>
            </w:tcBorders>
          </w:tcPr>
          <w:p w:rsidRPr="009C48DA" w:rsidR="00CC08F7" w:rsidP="00AE5EEE" w:rsidRDefault="00AE5EEE" w14:paraId="7DF49572" w14:textId="53140BC9">
            <w:pPr>
              <w:spacing w:after="120"/>
              <w:rPr>
                <w:rFonts w:cs="Times New Roman"/>
                <w:sz w:val="16"/>
                <w:szCs w:val="16"/>
                <w:lang w:val="en-GB"/>
              </w:rPr>
            </w:pPr>
            <w:r w:rsidRPr="009C48DA">
              <w:rPr>
                <w:sz w:val="16"/>
                <w:szCs w:val="16"/>
                <w:lang w:val="en-GB"/>
              </w:rPr>
              <w:t xml:space="preserve">Bridgepoint </w:t>
            </w:r>
            <w:r w:rsidRPr="009C48DA" w:rsidR="00CC08F7">
              <w:rPr>
                <w:sz w:val="16"/>
                <w:szCs w:val="16"/>
                <w:lang w:val="en-GB"/>
              </w:rPr>
              <w:t>Investments Consultants (Shanghai) Co. Ltd</w:t>
            </w:r>
          </w:p>
        </w:tc>
        <w:tc>
          <w:tcPr>
            <w:tcW w:w="1998" w:type="dxa"/>
            <w:tcBorders>
              <w:top w:val="single" w:color="auto" w:sz="4" w:space="0"/>
              <w:left w:val="nil"/>
              <w:bottom w:val="single" w:color="auto" w:sz="4" w:space="0"/>
              <w:right w:val="nil"/>
            </w:tcBorders>
          </w:tcPr>
          <w:p w:rsidRPr="009C48DA" w:rsidR="00CC08F7" w:rsidP="00AE5EEE" w:rsidRDefault="00CC08F7" w14:paraId="2B162349" w14:textId="77777777">
            <w:pPr>
              <w:rPr>
                <w:rFonts w:cs="Times New Roman"/>
                <w:sz w:val="16"/>
                <w:szCs w:val="16"/>
                <w:lang w:val="en-GB"/>
              </w:rPr>
            </w:pPr>
            <w:r w:rsidRPr="009C48DA">
              <w:rPr>
                <w:sz w:val="16"/>
                <w:szCs w:val="16"/>
                <w:lang w:val="en-GB"/>
              </w:rPr>
              <w:t>China</w:t>
            </w:r>
          </w:p>
        </w:tc>
        <w:tc>
          <w:tcPr>
            <w:tcW w:w="1937" w:type="dxa"/>
            <w:tcBorders>
              <w:top w:val="single" w:color="auto" w:sz="4" w:space="0"/>
              <w:left w:val="nil"/>
              <w:bottom w:val="single" w:color="auto" w:sz="4" w:space="0"/>
              <w:right w:val="nil"/>
            </w:tcBorders>
          </w:tcPr>
          <w:p w:rsidRPr="009C48DA" w:rsidR="00CC08F7" w:rsidP="00AE5EEE" w:rsidRDefault="00CC08F7" w14:paraId="0B547E84" w14:textId="3FF07D63">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43863D02" w14:textId="093DA6D4">
            <w:pPr>
              <w:rPr>
                <w:rFonts w:cs="Times New Roman"/>
                <w:sz w:val="16"/>
                <w:szCs w:val="16"/>
                <w:lang w:val="en-GB"/>
              </w:rPr>
            </w:pPr>
            <w:r w:rsidRPr="009C48DA">
              <w:rPr>
                <w:rFonts w:cs="Times New Roman"/>
                <w:sz w:val="16"/>
                <w:szCs w:val="16"/>
                <w:lang w:val="en-GB"/>
              </w:rPr>
              <w:t>77.778%</w:t>
            </w:r>
          </w:p>
        </w:tc>
      </w:tr>
      <w:tr w:rsidRPr="009C48DA" w:rsidR="00CC08F7" w:rsidTr="00BE7AE4" w14:paraId="217682F4" w14:textId="77777777">
        <w:tc>
          <w:tcPr>
            <w:tcW w:w="2970" w:type="dxa"/>
            <w:tcBorders>
              <w:top w:val="single" w:color="auto" w:sz="4" w:space="0"/>
              <w:left w:val="nil"/>
              <w:bottom w:val="single" w:color="auto" w:sz="4" w:space="0"/>
              <w:right w:val="nil"/>
            </w:tcBorders>
          </w:tcPr>
          <w:p w:rsidRPr="009C48DA" w:rsidR="00CC08F7" w:rsidP="00AE5EEE" w:rsidRDefault="00AE5EEE" w14:paraId="0563BAB2" w14:textId="6F49A85E">
            <w:pPr>
              <w:spacing w:after="120"/>
              <w:rPr>
                <w:rFonts w:cs="Times New Roman"/>
                <w:sz w:val="16"/>
                <w:szCs w:val="16"/>
                <w:lang w:val="en-GB"/>
              </w:rPr>
            </w:pPr>
            <w:r w:rsidRPr="009C48DA">
              <w:rPr>
                <w:sz w:val="16"/>
                <w:szCs w:val="16"/>
                <w:lang w:val="en-GB"/>
              </w:rPr>
              <w:t xml:space="preserve">Bridgepoint </w:t>
            </w:r>
            <w:r w:rsidRPr="009C48DA" w:rsidR="00CC08F7">
              <w:rPr>
                <w:sz w:val="16"/>
                <w:szCs w:val="16"/>
                <w:lang w:val="en-GB"/>
              </w:rPr>
              <w:t>Netherlands B.V.</w:t>
            </w:r>
          </w:p>
        </w:tc>
        <w:tc>
          <w:tcPr>
            <w:tcW w:w="1998" w:type="dxa"/>
            <w:tcBorders>
              <w:top w:val="single" w:color="auto" w:sz="4" w:space="0"/>
              <w:left w:val="nil"/>
              <w:bottom w:val="single" w:color="auto" w:sz="4" w:space="0"/>
              <w:right w:val="nil"/>
            </w:tcBorders>
          </w:tcPr>
          <w:p w:rsidRPr="009C48DA" w:rsidR="00CC08F7" w:rsidP="00AE5EEE" w:rsidRDefault="00CC08F7" w14:paraId="5DFDF6C9" w14:textId="77777777">
            <w:pPr>
              <w:rPr>
                <w:rFonts w:cs="Times New Roman"/>
                <w:sz w:val="16"/>
                <w:szCs w:val="16"/>
                <w:lang w:val="en-GB"/>
              </w:rPr>
            </w:pPr>
            <w:r w:rsidRPr="009C48DA">
              <w:rPr>
                <w:sz w:val="16"/>
                <w:szCs w:val="16"/>
                <w:lang w:val="en-GB"/>
              </w:rPr>
              <w:t>Netherlands</w:t>
            </w:r>
          </w:p>
        </w:tc>
        <w:tc>
          <w:tcPr>
            <w:tcW w:w="1937" w:type="dxa"/>
            <w:tcBorders>
              <w:top w:val="single" w:color="auto" w:sz="4" w:space="0"/>
              <w:left w:val="nil"/>
              <w:bottom w:val="single" w:color="auto" w:sz="4" w:space="0"/>
              <w:right w:val="nil"/>
            </w:tcBorders>
          </w:tcPr>
          <w:p w:rsidRPr="009C48DA" w:rsidR="00CC08F7" w:rsidP="00AE5EEE" w:rsidRDefault="00CC08F7" w14:paraId="72F158BB" w14:textId="146BFBB5">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2FE5E45D" w14:textId="31F5CDFE">
            <w:pPr>
              <w:rPr>
                <w:rFonts w:cs="Times New Roman"/>
                <w:sz w:val="16"/>
                <w:szCs w:val="16"/>
                <w:lang w:val="en-GB"/>
              </w:rPr>
            </w:pPr>
            <w:r w:rsidRPr="009C48DA">
              <w:rPr>
                <w:rFonts w:cs="Times New Roman"/>
                <w:sz w:val="16"/>
                <w:szCs w:val="16"/>
                <w:lang w:val="en-GB"/>
              </w:rPr>
              <w:t>77.778%</w:t>
            </w:r>
          </w:p>
        </w:tc>
      </w:tr>
      <w:tr w:rsidRPr="009C48DA" w:rsidR="00CC08F7" w:rsidTr="00BE7AE4" w14:paraId="08785784" w14:textId="77777777">
        <w:tc>
          <w:tcPr>
            <w:tcW w:w="2970" w:type="dxa"/>
            <w:tcBorders>
              <w:top w:val="single" w:color="auto" w:sz="4" w:space="0"/>
              <w:left w:val="nil"/>
              <w:bottom w:val="single" w:color="auto" w:sz="4" w:space="0"/>
              <w:right w:val="nil"/>
            </w:tcBorders>
          </w:tcPr>
          <w:p w:rsidRPr="009C48DA" w:rsidR="00CC08F7" w:rsidP="00AE5EEE" w:rsidRDefault="00AE5EEE" w14:paraId="5A8A82D6" w14:textId="659F8379">
            <w:pPr>
              <w:spacing w:after="120"/>
              <w:rPr>
                <w:rFonts w:cs="Times New Roman"/>
                <w:sz w:val="16"/>
                <w:szCs w:val="16"/>
                <w:lang w:val="en-GB"/>
              </w:rPr>
            </w:pPr>
            <w:r w:rsidRPr="009C48DA">
              <w:rPr>
                <w:sz w:val="16"/>
                <w:szCs w:val="16"/>
                <w:lang w:val="en-GB"/>
              </w:rPr>
              <w:t>Bridgepoint</w:t>
            </w:r>
            <w:r w:rsidRPr="009C48DA" w:rsidR="00CC08F7">
              <w:rPr>
                <w:sz w:val="16"/>
                <w:szCs w:val="16"/>
                <w:lang w:val="en-GB"/>
              </w:rPr>
              <w:t>, LLC</w:t>
            </w:r>
          </w:p>
        </w:tc>
        <w:tc>
          <w:tcPr>
            <w:tcW w:w="1998" w:type="dxa"/>
            <w:tcBorders>
              <w:top w:val="single" w:color="auto" w:sz="4" w:space="0"/>
              <w:left w:val="nil"/>
              <w:bottom w:val="single" w:color="auto" w:sz="4" w:space="0"/>
              <w:right w:val="nil"/>
            </w:tcBorders>
          </w:tcPr>
          <w:p w:rsidRPr="009C48DA" w:rsidR="00CC08F7" w:rsidP="00AE5EEE" w:rsidRDefault="00CC08F7" w14:paraId="0ECA2E6D" w14:textId="3577BA93">
            <w:pPr>
              <w:rPr>
                <w:rFonts w:cs="Times New Roman"/>
                <w:sz w:val="16"/>
                <w:szCs w:val="16"/>
                <w:lang w:val="en-GB"/>
              </w:rPr>
            </w:pPr>
            <w:r w:rsidRPr="009C48DA">
              <w:rPr>
                <w:sz w:val="16"/>
                <w:szCs w:val="16"/>
                <w:lang w:val="en-GB"/>
              </w:rPr>
              <w:t>United States</w:t>
            </w:r>
          </w:p>
        </w:tc>
        <w:tc>
          <w:tcPr>
            <w:tcW w:w="1937" w:type="dxa"/>
            <w:tcBorders>
              <w:top w:val="single" w:color="auto" w:sz="4" w:space="0"/>
              <w:left w:val="nil"/>
              <w:bottom w:val="single" w:color="auto" w:sz="4" w:space="0"/>
              <w:right w:val="nil"/>
            </w:tcBorders>
          </w:tcPr>
          <w:p w:rsidRPr="009C48DA" w:rsidR="00CC08F7" w:rsidP="00AE5EEE" w:rsidRDefault="00CC08F7" w14:paraId="7D63C789" w14:textId="69FEABB2">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77EADEF5" w14:textId="2D3C2865">
            <w:pPr>
              <w:rPr>
                <w:rFonts w:cs="Times New Roman"/>
                <w:sz w:val="16"/>
                <w:szCs w:val="16"/>
                <w:lang w:val="en-GB"/>
              </w:rPr>
            </w:pPr>
            <w:r w:rsidRPr="009C48DA">
              <w:rPr>
                <w:rFonts w:cs="Times New Roman"/>
                <w:sz w:val="16"/>
                <w:szCs w:val="16"/>
                <w:lang w:val="en-GB"/>
              </w:rPr>
              <w:t>77.778%</w:t>
            </w:r>
          </w:p>
        </w:tc>
      </w:tr>
      <w:tr w:rsidRPr="009C48DA" w:rsidR="00CC08F7" w:rsidTr="00BE7AE4" w14:paraId="7088258C" w14:textId="77777777">
        <w:tc>
          <w:tcPr>
            <w:tcW w:w="2970" w:type="dxa"/>
            <w:tcBorders>
              <w:top w:val="single" w:color="auto" w:sz="4" w:space="0"/>
              <w:left w:val="nil"/>
              <w:bottom w:val="single" w:color="auto" w:sz="4" w:space="0"/>
              <w:right w:val="nil"/>
            </w:tcBorders>
          </w:tcPr>
          <w:p w:rsidRPr="009C48DA" w:rsidR="00CC08F7" w:rsidP="00AE5EEE" w:rsidRDefault="00AE5EEE" w14:paraId="0BC215D5" w14:textId="49035602">
            <w:pPr>
              <w:spacing w:after="120"/>
              <w:rPr>
                <w:rFonts w:cs="Times New Roman"/>
                <w:sz w:val="16"/>
                <w:szCs w:val="16"/>
                <w:lang w:val="en-GB"/>
              </w:rPr>
            </w:pPr>
            <w:r w:rsidRPr="009C48DA">
              <w:rPr>
                <w:sz w:val="16"/>
                <w:szCs w:val="16"/>
                <w:lang w:val="en-GB"/>
              </w:rPr>
              <w:t xml:space="preserve">Bridgepoint </w:t>
            </w:r>
            <w:r w:rsidRPr="009C48DA" w:rsidR="00CC08F7">
              <w:rPr>
                <w:sz w:val="16"/>
                <w:szCs w:val="16"/>
                <w:lang w:val="en-GB"/>
              </w:rPr>
              <w:t>AB</w:t>
            </w:r>
          </w:p>
        </w:tc>
        <w:tc>
          <w:tcPr>
            <w:tcW w:w="1998" w:type="dxa"/>
            <w:tcBorders>
              <w:top w:val="single" w:color="auto" w:sz="4" w:space="0"/>
              <w:left w:val="nil"/>
              <w:bottom w:val="single" w:color="auto" w:sz="4" w:space="0"/>
              <w:right w:val="nil"/>
            </w:tcBorders>
          </w:tcPr>
          <w:p w:rsidRPr="009C48DA" w:rsidR="00CC08F7" w:rsidP="00AE5EEE" w:rsidRDefault="00CC08F7" w14:paraId="2FCC4CAB" w14:textId="77777777">
            <w:pPr>
              <w:rPr>
                <w:rFonts w:cs="Times New Roman"/>
                <w:sz w:val="16"/>
                <w:szCs w:val="16"/>
                <w:lang w:val="en-GB"/>
              </w:rPr>
            </w:pPr>
            <w:r w:rsidRPr="009C48DA">
              <w:rPr>
                <w:sz w:val="16"/>
                <w:szCs w:val="16"/>
                <w:lang w:val="en-GB"/>
              </w:rPr>
              <w:t>Sweden</w:t>
            </w:r>
          </w:p>
        </w:tc>
        <w:tc>
          <w:tcPr>
            <w:tcW w:w="1937" w:type="dxa"/>
            <w:tcBorders>
              <w:top w:val="single" w:color="auto" w:sz="4" w:space="0"/>
              <w:left w:val="nil"/>
              <w:bottom w:val="single" w:color="auto" w:sz="4" w:space="0"/>
              <w:right w:val="nil"/>
            </w:tcBorders>
          </w:tcPr>
          <w:p w:rsidRPr="009C48DA" w:rsidR="00CC08F7" w:rsidP="00AE5EEE" w:rsidRDefault="00CC08F7" w14:paraId="4BA6101E" w14:textId="2BB51374">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3CC51A21" w14:textId="5ECDE5BA">
            <w:pPr>
              <w:rPr>
                <w:rFonts w:cs="Times New Roman"/>
                <w:sz w:val="16"/>
                <w:szCs w:val="16"/>
                <w:lang w:val="en-GB"/>
              </w:rPr>
            </w:pPr>
            <w:r w:rsidRPr="009C48DA">
              <w:rPr>
                <w:rFonts w:cs="Times New Roman"/>
                <w:sz w:val="16"/>
                <w:szCs w:val="16"/>
                <w:lang w:val="en-GB"/>
              </w:rPr>
              <w:t>77.778%</w:t>
            </w:r>
          </w:p>
        </w:tc>
      </w:tr>
      <w:tr w:rsidRPr="009C48DA" w:rsidR="00CC08F7" w:rsidTr="00BE7AE4" w14:paraId="582E94BB" w14:textId="77777777">
        <w:tc>
          <w:tcPr>
            <w:tcW w:w="2970" w:type="dxa"/>
            <w:tcBorders>
              <w:top w:val="single" w:color="auto" w:sz="4" w:space="0"/>
              <w:left w:val="nil"/>
              <w:bottom w:val="single" w:color="auto" w:sz="4" w:space="0"/>
              <w:right w:val="nil"/>
            </w:tcBorders>
          </w:tcPr>
          <w:p w:rsidRPr="009C48DA" w:rsidR="00CC08F7" w:rsidP="00AE5EEE" w:rsidRDefault="00AE5EEE" w14:paraId="32156997" w14:textId="489D108D">
            <w:pPr>
              <w:spacing w:after="120"/>
              <w:rPr>
                <w:rFonts w:cs="Times New Roman"/>
                <w:sz w:val="16"/>
                <w:szCs w:val="16"/>
                <w:lang w:val="en-GB"/>
              </w:rPr>
            </w:pPr>
            <w:r w:rsidRPr="009C48DA">
              <w:rPr>
                <w:sz w:val="16"/>
                <w:szCs w:val="16"/>
                <w:lang w:val="en-GB"/>
              </w:rPr>
              <w:t xml:space="preserve">Bridgepoint </w:t>
            </w:r>
            <w:r w:rsidRPr="009C48DA" w:rsidR="00CC08F7">
              <w:rPr>
                <w:sz w:val="16"/>
                <w:szCs w:val="16"/>
                <w:lang w:val="en-GB"/>
              </w:rPr>
              <w:t>SA</w:t>
            </w:r>
          </w:p>
        </w:tc>
        <w:tc>
          <w:tcPr>
            <w:tcW w:w="1998" w:type="dxa"/>
            <w:tcBorders>
              <w:top w:val="single" w:color="auto" w:sz="4" w:space="0"/>
              <w:left w:val="nil"/>
              <w:bottom w:val="single" w:color="auto" w:sz="4" w:space="0"/>
              <w:right w:val="nil"/>
            </w:tcBorders>
          </w:tcPr>
          <w:p w:rsidRPr="009C48DA" w:rsidR="00CC08F7" w:rsidP="00AE5EEE" w:rsidRDefault="00CC08F7" w14:paraId="7A8097E6" w14:textId="54752458">
            <w:pPr>
              <w:rPr>
                <w:rFonts w:cs="Times New Roman"/>
                <w:sz w:val="16"/>
                <w:szCs w:val="16"/>
                <w:lang w:val="en-GB"/>
              </w:rPr>
            </w:pPr>
            <w:r w:rsidRPr="009C48DA">
              <w:rPr>
                <w:sz w:val="16"/>
                <w:szCs w:val="16"/>
                <w:lang w:val="en-GB"/>
              </w:rPr>
              <w:t>Spain</w:t>
            </w:r>
          </w:p>
        </w:tc>
        <w:tc>
          <w:tcPr>
            <w:tcW w:w="1937" w:type="dxa"/>
            <w:tcBorders>
              <w:top w:val="single" w:color="auto" w:sz="4" w:space="0"/>
              <w:left w:val="nil"/>
              <w:bottom w:val="single" w:color="auto" w:sz="4" w:space="0"/>
              <w:right w:val="nil"/>
            </w:tcBorders>
          </w:tcPr>
          <w:p w:rsidRPr="009C48DA" w:rsidR="00CC08F7" w:rsidP="00AE5EEE" w:rsidRDefault="00CC08F7" w14:paraId="32504EC9" w14:textId="1F3CA7B2">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4DEB5527" w14:textId="53ACB212">
            <w:pPr>
              <w:rPr>
                <w:rFonts w:cs="Times New Roman"/>
                <w:sz w:val="16"/>
                <w:szCs w:val="16"/>
                <w:lang w:val="en-GB"/>
              </w:rPr>
            </w:pPr>
            <w:r w:rsidRPr="009C48DA">
              <w:rPr>
                <w:rFonts w:cs="Times New Roman"/>
                <w:sz w:val="16"/>
                <w:szCs w:val="16"/>
                <w:lang w:val="en-GB"/>
              </w:rPr>
              <w:t>77.778%</w:t>
            </w:r>
          </w:p>
        </w:tc>
      </w:tr>
      <w:tr w:rsidRPr="009C48DA" w:rsidR="00CC08F7" w:rsidTr="00BE7AE4" w14:paraId="22FB88B5" w14:textId="77777777">
        <w:tc>
          <w:tcPr>
            <w:tcW w:w="2970" w:type="dxa"/>
            <w:tcBorders>
              <w:top w:val="single" w:color="auto" w:sz="4" w:space="0"/>
              <w:left w:val="nil"/>
              <w:bottom w:val="single" w:color="auto" w:sz="4" w:space="0"/>
              <w:right w:val="nil"/>
            </w:tcBorders>
          </w:tcPr>
          <w:p w:rsidRPr="009C48DA" w:rsidR="00CC08F7" w:rsidP="00AE5EEE" w:rsidRDefault="00AE5EEE" w14:paraId="0E0CA26D" w14:textId="3D7A678F">
            <w:pPr>
              <w:spacing w:after="120"/>
              <w:rPr>
                <w:rFonts w:cs="Times New Roman"/>
                <w:sz w:val="16"/>
                <w:szCs w:val="16"/>
                <w:lang w:val="en-GB"/>
              </w:rPr>
            </w:pPr>
            <w:r w:rsidRPr="009C48DA">
              <w:rPr>
                <w:sz w:val="16"/>
                <w:szCs w:val="16"/>
                <w:lang w:val="en-GB"/>
              </w:rPr>
              <w:t xml:space="preserve">Bridgepoint </w:t>
            </w:r>
            <w:r w:rsidRPr="009C48DA" w:rsidR="00CC08F7">
              <w:rPr>
                <w:sz w:val="16"/>
                <w:szCs w:val="16"/>
                <w:lang w:val="en-GB"/>
              </w:rPr>
              <w:t>sp zoo spk</w:t>
            </w:r>
          </w:p>
        </w:tc>
        <w:tc>
          <w:tcPr>
            <w:tcW w:w="1998" w:type="dxa"/>
            <w:tcBorders>
              <w:top w:val="single" w:color="auto" w:sz="4" w:space="0"/>
              <w:left w:val="nil"/>
              <w:bottom w:val="single" w:color="auto" w:sz="4" w:space="0"/>
              <w:right w:val="nil"/>
            </w:tcBorders>
          </w:tcPr>
          <w:p w:rsidRPr="009C48DA" w:rsidR="00CC08F7" w:rsidP="00AE5EEE" w:rsidRDefault="00CC08F7" w14:paraId="15BFF6EF" w14:textId="77777777">
            <w:pPr>
              <w:rPr>
                <w:rFonts w:cs="Times New Roman"/>
                <w:sz w:val="16"/>
                <w:szCs w:val="16"/>
                <w:lang w:val="en-GB"/>
              </w:rPr>
            </w:pPr>
            <w:r w:rsidRPr="009C48DA">
              <w:rPr>
                <w:sz w:val="16"/>
                <w:szCs w:val="16"/>
                <w:lang w:val="en-GB"/>
              </w:rPr>
              <w:t>Poland</w:t>
            </w:r>
          </w:p>
        </w:tc>
        <w:tc>
          <w:tcPr>
            <w:tcW w:w="1937" w:type="dxa"/>
            <w:tcBorders>
              <w:top w:val="single" w:color="auto" w:sz="4" w:space="0"/>
              <w:left w:val="nil"/>
              <w:bottom w:val="single" w:color="auto" w:sz="4" w:space="0"/>
              <w:right w:val="nil"/>
            </w:tcBorders>
          </w:tcPr>
          <w:p w:rsidRPr="009C48DA" w:rsidR="00CC08F7" w:rsidP="00AE5EEE" w:rsidRDefault="00CC08F7" w14:paraId="0070DF4F" w14:textId="37A9D454">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05337AD2" w14:textId="4028E64A">
            <w:pPr>
              <w:rPr>
                <w:rFonts w:cs="Times New Roman"/>
                <w:sz w:val="16"/>
                <w:szCs w:val="16"/>
                <w:lang w:val="en-GB"/>
              </w:rPr>
            </w:pPr>
            <w:r w:rsidRPr="009C48DA">
              <w:rPr>
                <w:rFonts w:cs="Times New Roman"/>
                <w:sz w:val="16"/>
                <w:szCs w:val="16"/>
                <w:lang w:val="en-GB"/>
              </w:rPr>
              <w:t>77.778%</w:t>
            </w:r>
          </w:p>
        </w:tc>
      </w:tr>
      <w:tr w:rsidRPr="009C48DA" w:rsidR="00CC08F7" w:rsidTr="00BE7AE4" w14:paraId="0A7E427B" w14:textId="77777777">
        <w:tc>
          <w:tcPr>
            <w:tcW w:w="2970" w:type="dxa"/>
            <w:tcBorders>
              <w:top w:val="single" w:color="auto" w:sz="4" w:space="0"/>
              <w:left w:val="nil"/>
              <w:bottom w:val="single" w:color="auto" w:sz="4" w:space="0"/>
              <w:right w:val="nil"/>
            </w:tcBorders>
          </w:tcPr>
          <w:p w:rsidRPr="009C48DA" w:rsidR="00CC08F7" w:rsidP="00AE5EEE" w:rsidRDefault="00AE5EEE" w14:paraId="26B8527E" w14:textId="1B904465">
            <w:pPr>
              <w:spacing w:after="120"/>
              <w:rPr>
                <w:rFonts w:cs="Times New Roman"/>
                <w:sz w:val="16"/>
                <w:szCs w:val="16"/>
                <w:lang w:val="en-GB"/>
              </w:rPr>
            </w:pPr>
            <w:r w:rsidRPr="009C48DA">
              <w:rPr>
                <w:sz w:val="16"/>
                <w:szCs w:val="16"/>
                <w:lang w:val="en-GB"/>
              </w:rPr>
              <w:t xml:space="preserve">Bridgepoint </w:t>
            </w:r>
            <w:r w:rsidRPr="009C48DA" w:rsidR="00CC08F7">
              <w:rPr>
                <w:sz w:val="16"/>
                <w:szCs w:val="16"/>
                <w:lang w:val="en-GB"/>
              </w:rPr>
              <w:t xml:space="preserve">GmbH </w:t>
            </w:r>
          </w:p>
        </w:tc>
        <w:tc>
          <w:tcPr>
            <w:tcW w:w="1998" w:type="dxa"/>
            <w:tcBorders>
              <w:top w:val="single" w:color="auto" w:sz="4" w:space="0"/>
              <w:left w:val="nil"/>
              <w:bottom w:val="single" w:color="auto" w:sz="4" w:space="0"/>
              <w:right w:val="nil"/>
            </w:tcBorders>
          </w:tcPr>
          <w:p w:rsidRPr="009C48DA" w:rsidR="00CC08F7" w:rsidP="00AE5EEE" w:rsidRDefault="00CC08F7" w14:paraId="084171F3" w14:textId="77777777">
            <w:pPr>
              <w:rPr>
                <w:rFonts w:cs="Times New Roman"/>
                <w:sz w:val="16"/>
                <w:szCs w:val="16"/>
                <w:lang w:val="en-GB"/>
              </w:rPr>
            </w:pPr>
            <w:r w:rsidRPr="009C48DA">
              <w:rPr>
                <w:sz w:val="16"/>
                <w:szCs w:val="16"/>
                <w:lang w:val="en-GB"/>
              </w:rPr>
              <w:t>Germany</w:t>
            </w:r>
          </w:p>
        </w:tc>
        <w:tc>
          <w:tcPr>
            <w:tcW w:w="1937" w:type="dxa"/>
            <w:tcBorders>
              <w:top w:val="single" w:color="auto" w:sz="4" w:space="0"/>
              <w:left w:val="nil"/>
              <w:bottom w:val="single" w:color="auto" w:sz="4" w:space="0"/>
              <w:right w:val="nil"/>
            </w:tcBorders>
          </w:tcPr>
          <w:p w:rsidRPr="009C48DA" w:rsidR="00CC08F7" w:rsidP="00AE5EEE" w:rsidRDefault="00CC08F7" w14:paraId="51BD1BA7" w14:textId="7AB9E567">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5EDAC9D8" w14:textId="29A230B2">
            <w:pPr>
              <w:rPr>
                <w:rFonts w:cs="Times New Roman"/>
                <w:sz w:val="16"/>
                <w:szCs w:val="16"/>
                <w:lang w:val="en-GB"/>
              </w:rPr>
            </w:pPr>
            <w:r w:rsidRPr="009C48DA">
              <w:rPr>
                <w:rFonts w:cs="Times New Roman"/>
                <w:sz w:val="16"/>
                <w:szCs w:val="16"/>
                <w:lang w:val="en-GB"/>
              </w:rPr>
              <w:t>77.778%</w:t>
            </w:r>
          </w:p>
        </w:tc>
      </w:tr>
      <w:tr w:rsidRPr="009C48DA" w:rsidR="00CC08F7" w:rsidTr="00BE7AE4" w14:paraId="0782C3B1" w14:textId="77777777">
        <w:tc>
          <w:tcPr>
            <w:tcW w:w="2970" w:type="dxa"/>
            <w:tcBorders>
              <w:top w:val="single" w:color="auto" w:sz="4" w:space="0"/>
              <w:left w:val="nil"/>
              <w:bottom w:val="single" w:color="auto" w:sz="4" w:space="0"/>
              <w:right w:val="nil"/>
            </w:tcBorders>
          </w:tcPr>
          <w:p w:rsidRPr="009C48DA" w:rsidR="00CC08F7" w:rsidP="00AE5EEE" w:rsidRDefault="00AE5EEE" w14:paraId="28C92873" w14:textId="4F4ADEF0">
            <w:pPr>
              <w:spacing w:after="120"/>
              <w:rPr>
                <w:rFonts w:cs="Times New Roman"/>
                <w:sz w:val="16"/>
                <w:szCs w:val="16"/>
                <w:lang w:val="en-GB"/>
              </w:rPr>
            </w:pPr>
            <w:r w:rsidRPr="009C48DA">
              <w:rPr>
                <w:sz w:val="16"/>
                <w:szCs w:val="16"/>
                <w:lang w:val="en-GB"/>
              </w:rPr>
              <w:t xml:space="preserve">Bridgepoint </w:t>
            </w:r>
            <w:r w:rsidRPr="009C48DA" w:rsidR="00CC08F7">
              <w:rPr>
                <w:sz w:val="16"/>
                <w:szCs w:val="16"/>
                <w:lang w:val="en-GB"/>
              </w:rPr>
              <w:t>Credit France SAS</w:t>
            </w:r>
          </w:p>
        </w:tc>
        <w:tc>
          <w:tcPr>
            <w:tcW w:w="1998" w:type="dxa"/>
            <w:tcBorders>
              <w:top w:val="single" w:color="auto" w:sz="4" w:space="0"/>
              <w:left w:val="nil"/>
              <w:bottom w:val="single" w:color="auto" w:sz="4" w:space="0"/>
              <w:right w:val="nil"/>
            </w:tcBorders>
          </w:tcPr>
          <w:p w:rsidRPr="009C48DA" w:rsidR="00CC08F7" w:rsidP="00AE5EEE" w:rsidRDefault="00CC08F7" w14:paraId="48218D5B" w14:textId="77777777">
            <w:pPr>
              <w:rPr>
                <w:rFonts w:cs="Times New Roman"/>
                <w:sz w:val="16"/>
                <w:szCs w:val="16"/>
                <w:lang w:val="en-GB"/>
              </w:rPr>
            </w:pPr>
            <w:r w:rsidRPr="009C48DA">
              <w:rPr>
                <w:sz w:val="16"/>
                <w:szCs w:val="16"/>
                <w:lang w:val="en-GB"/>
              </w:rPr>
              <w:t>France</w:t>
            </w:r>
          </w:p>
        </w:tc>
        <w:tc>
          <w:tcPr>
            <w:tcW w:w="1937" w:type="dxa"/>
            <w:tcBorders>
              <w:top w:val="single" w:color="auto" w:sz="4" w:space="0"/>
              <w:left w:val="nil"/>
              <w:bottom w:val="single" w:color="auto" w:sz="4" w:space="0"/>
              <w:right w:val="nil"/>
            </w:tcBorders>
          </w:tcPr>
          <w:p w:rsidRPr="009C48DA" w:rsidR="00CC08F7" w:rsidP="00AE5EEE" w:rsidRDefault="00CC08F7" w14:paraId="4A38C422" w14:textId="1F2FE595">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7EC931A7" w14:textId="10C92B56">
            <w:pPr>
              <w:rPr>
                <w:rFonts w:cs="Times New Roman"/>
                <w:sz w:val="16"/>
                <w:szCs w:val="16"/>
                <w:lang w:val="en-GB"/>
              </w:rPr>
            </w:pPr>
            <w:r w:rsidRPr="009C48DA">
              <w:rPr>
                <w:rFonts w:cs="Times New Roman"/>
                <w:sz w:val="16"/>
                <w:szCs w:val="16"/>
                <w:lang w:val="en-GB"/>
              </w:rPr>
              <w:t>77.778%</w:t>
            </w:r>
          </w:p>
        </w:tc>
      </w:tr>
      <w:tr w:rsidRPr="009C48DA" w:rsidR="00CC08F7" w:rsidTr="00BE7AE4" w14:paraId="75FC4207" w14:textId="77777777">
        <w:tc>
          <w:tcPr>
            <w:tcW w:w="2970" w:type="dxa"/>
            <w:tcBorders>
              <w:top w:val="single" w:color="auto" w:sz="4" w:space="0"/>
              <w:left w:val="nil"/>
              <w:bottom w:val="single" w:color="auto" w:sz="4" w:space="0"/>
              <w:right w:val="nil"/>
            </w:tcBorders>
          </w:tcPr>
          <w:p w:rsidRPr="009C48DA" w:rsidR="00CC08F7" w:rsidP="00AE5EEE" w:rsidRDefault="00AE5EEE" w14:paraId="3E99FFB1" w14:textId="7BF15600">
            <w:pPr>
              <w:spacing w:after="120"/>
              <w:rPr>
                <w:sz w:val="16"/>
                <w:szCs w:val="16"/>
                <w:lang w:val="en-GB"/>
              </w:rPr>
            </w:pPr>
            <w:r w:rsidRPr="009C48DA">
              <w:rPr>
                <w:sz w:val="16"/>
                <w:szCs w:val="16"/>
                <w:lang w:val="en-GB"/>
              </w:rPr>
              <w:t xml:space="preserve">Bridgepoint </w:t>
            </w:r>
            <w:r w:rsidRPr="009C48DA" w:rsidR="00CC08F7">
              <w:rPr>
                <w:sz w:val="16"/>
                <w:szCs w:val="16"/>
                <w:lang w:val="en-GB"/>
              </w:rPr>
              <w:t>France SAS</w:t>
            </w:r>
          </w:p>
        </w:tc>
        <w:tc>
          <w:tcPr>
            <w:tcW w:w="1998" w:type="dxa"/>
            <w:tcBorders>
              <w:top w:val="single" w:color="auto" w:sz="4" w:space="0"/>
              <w:left w:val="nil"/>
              <w:bottom w:val="single" w:color="auto" w:sz="4" w:space="0"/>
              <w:right w:val="nil"/>
            </w:tcBorders>
          </w:tcPr>
          <w:p w:rsidRPr="009C48DA" w:rsidR="00CC08F7" w:rsidP="00AE5EEE" w:rsidRDefault="00CC08F7" w14:paraId="34F31174" w14:textId="77777777">
            <w:pPr>
              <w:rPr>
                <w:rFonts w:cs="Times New Roman"/>
                <w:sz w:val="16"/>
                <w:szCs w:val="16"/>
                <w:lang w:val="en-GB"/>
              </w:rPr>
            </w:pPr>
            <w:r w:rsidRPr="009C48DA">
              <w:rPr>
                <w:sz w:val="16"/>
                <w:szCs w:val="16"/>
                <w:lang w:val="en-GB"/>
              </w:rPr>
              <w:t>France</w:t>
            </w:r>
          </w:p>
        </w:tc>
        <w:tc>
          <w:tcPr>
            <w:tcW w:w="1937" w:type="dxa"/>
            <w:tcBorders>
              <w:top w:val="single" w:color="auto" w:sz="4" w:space="0"/>
              <w:left w:val="nil"/>
              <w:bottom w:val="single" w:color="auto" w:sz="4" w:space="0"/>
              <w:right w:val="nil"/>
            </w:tcBorders>
          </w:tcPr>
          <w:p w:rsidRPr="009C48DA" w:rsidR="00CC08F7" w:rsidP="00AE5EEE" w:rsidRDefault="00CC08F7" w14:paraId="6BF1550C" w14:textId="623C4E4F">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24589942" w14:textId="08A5D74B">
            <w:pPr>
              <w:rPr>
                <w:rFonts w:cs="Times New Roman"/>
                <w:sz w:val="16"/>
                <w:szCs w:val="16"/>
                <w:lang w:val="en-GB"/>
              </w:rPr>
            </w:pPr>
            <w:r w:rsidRPr="009C48DA">
              <w:rPr>
                <w:rFonts w:cs="Times New Roman"/>
                <w:sz w:val="16"/>
                <w:szCs w:val="16"/>
                <w:lang w:val="en-GB"/>
              </w:rPr>
              <w:t>77.778%</w:t>
            </w:r>
          </w:p>
        </w:tc>
      </w:tr>
      <w:tr w:rsidRPr="009C48DA" w:rsidR="00CC08F7" w:rsidTr="00BE7AE4" w14:paraId="6CF231EE" w14:textId="77777777">
        <w:tc>
          <w:tcPr>
            <w:tcW w:w="2970" w:type="dxa"/>
            <w:tcBorders>
              <w:top w:val="single" w:color="auto" w:sz="4" w:space="0"/>
              <w:left w:val="nil"/>
              <w:bottom w:val="single" w:color="auto" w:sz="4" w:space="0"/>
              <w:right w:val="nil"/>
            </w:tcBorders>
          </w:tcPr>
          <w:p w:rsidRPr="009C48DA" w:rsidR="00CC08F7" w:rsidP="00AE5EEE" w:rsidRDefault="00AE5EEE" w14:paraId="697E0A90" w14:textId="16422183">
            <w:pPr>
              <w:spacing w:after="120"/>
              <w:rPr>
                <w:sz w:val="16"/>
                <w:szCs w:val="16"/>
                <w:lang w:val="en-GB"/>
              </w:rPr>
            </w:pPr>
            <w:r w:rsidRPr="009C48DA">
              <w:rPr>
                <w:sz w:val="16"/>
                <w:szCs w:val="16"/>
                <w:lang w:val="en-GB"/>
              </w:rPr>
              <w:t xml:space="preserve">Bridgepoint </w:t>
            </w:r>
            <w:r w:rsidRPr="009C48DA" w:rsidR="00CC08F7">
              <w:rPr>
                <w:sz w:val="16"/>
                <w:szCs w:val="16"/>
                <w:lang w:val="en-GB"/>
              </w:rPr>
              <w:t>sp zoo</w:t>
            </w:r>
          </w:p>
        </w:tc>
        <w:tc>
          <w:tcPr>
            <w:tcW w:w="1998" w:type="dxa"/>
            <w:tcBorders>
              <w:top w:val="single" w:color="auto" w:sz="4" w:space="0"/>
              <w:left w:val="nil"/>
              <w:bottom w:val="single" w:color="auto" w:sz="4" w:space="0"/>
              <w:right w:val="nil"/>
            </w:tcBorders>
          </w:tcPr>
          <w:p w:rsidRPr="009C48DA" w:rsidR="00CC08F7" w:rsidP="00AE5EEE" w:rsidRDefault="00CC08F7" w14:paraId="2368389D" w14:textId="77777777">
            <w:pPr>
              <w:rPr>
                <w:rFonts w:cs="Times New Roman"/>
                <w:sz w:val="16"/>
                <w:szCs w:val="16"/>
                <w:lang w:val="en-GB"/>
              </w:rPr>
            </w:pPr>
            <w:r w:rsidRPr="009C48DA">
              <w:rPr>
                <w:sz w:val="16"/>
                <w:szCs w:val="16"/>
                <w:lang w:val="en-GB"/>
              </w:rPr>
              <w:t>Poland</w:t>
            </w:r>
          </w:p>
        </w:tc>
        <w:tc>
          <w:tcPr>
            <w:tcW w:w="1937" w:type="dxa"/>
            <w:tcBorders>
              <w:top w:val="single" w:color="auto" w:sz="4" w:space="0"/>
              <w:left w:val="nil"/>
              <w:bottom w:val="single" w:color="auto" w:sz="4" w:space="0"/>
              <w:right w:val="nil"/>
            </w:tcBorders>
          </w:tcPr>
          <w:p w:rsidRPr="009C48DA" w:rsidR="00CC08F7" w:rsidP="00AE5EEE" w:rsidRDefault="00CC08F7" w14:paraId="7050B400" w14:textId="788172C6">
            <w:pPr>
              <w:rPr>
                <w:rFonts w:cs="Times New Roman"/>
                <w:sz w:val="16"/>
                <w:szCs w:val="16"/>
                <w:lang w:val="en-GB"/>
              </w:rPr>
            </w:pPr>
            <w:r w:rsidRPr="009C48DA">
              <w:rPr>
                <w:rFonts w:cs="Times New Roman"/>
                <w:sz w:val="16"/>
                <w:szCs w:val="16"/>
                <w:lang w:val="en-GB"/>
              </w:rPr>
              <w:t>77.778%</w:t>
            </w:r>
          </w:p>
        </w:tc>
        <w:tc>
          <w:tcPr>
            <w:tcW w:w="1571" w:type="dxa"/>
            <w:tcBorders>
              <w:top w:val="single" w:color="auto" w:sz="4" w:space="0"/>
              <w:left w:val="nil"/>
              <w:bottom w:val="single" w:color="auto" w:sz="4" w:space="0"/>
              <w:right w:val="nil"/>
            </w:tcBorders>
          </w:tcPr>
          <w:p w:rsidRPr="009C48DA" w:rsidR="00CC08F7" w:rsidP="00AE5EEE" w:rsidRDefault="00CC08F7" w14:paraId="63166374" w14:textId="24687E80">
            <w:pPr>
              <w:rPr>
                <w:rFonts w:cs="Times New Roman"/>
                <w:sz w:val="16"/>
                <w:szCs w:val="16"/>
                <w:lang w:val="en-GB"/>
              </w:rPr>
            </w:pPr>
            <w:r w:rsidRPr="009C48DA">
              <w:rPr>
                <w:rFonts w:cs="Times New Roman"/>
                <w:sz w:val="16"/>
                <w:szCs w:val="16"/>
                <w:lang w:val="en-GB"/>
              </w:rPr>
              <w:t>77.778%</w:t>
            </w:r>
          </w:p>
        </w:tc>
      </w:tr>
    </w:tbl>
    <w:p w:rsidRPr="009C48DA" w:rsidR="00AE5EEE" w:rsidP="00AE5EEE" w:rsidRDefault="00AE5EEE" w14:paraId="6D9E3062" w14:textId="77777777">
      <w:pPr>
        <w:pBdr>
          <w:bottom w:val="single" w:color="auto" w:sz="4" w:space="1"/>
        </w:pBdr>
        <w:ind w:left="709" w:right="7200"/>
        <w:rPr>
          <w:lang w:val="en-GB"/>
        </w:rPr>
      </w:pPr>
    </w:p>
    <w:p w:rsidRPr="009C48DA" w:rsidR="00BE7AE4" w:rsidP="00AE5EEE" w:rsidRDefault="00AE5EEE" w14:paraId="1A288B04" w14:textId="30C36A70">
      <w:pPr>
        <w:ind w:left="720"/>
        <w:jc w:val="both"/>
        <w:rPr>
          <w:sz w:val="16"/>
          <w:szCs w:val="16"/>
          <w:lang w:val="en-GB"/>
        </w:rPr>
      </w:pPr>
      <w:r w:rsidRPr="009C48DA">
        <w:rPr>
          <w:rFonts w:cs="Times New Roman"/>
          <w:sz w:val="18"/>
          <w:szCs w:val="18"/>
          <w:vertAlign w:val="superscript"/>
          <w:lang w:val="en-GB"/>
        </w:rPr>
        <w:t xml:space="preserve">(1) </w:t>
      </w:r>
      <w:r w:rsidRPr="009C48DA">
        <w:rPr>
          <w:sz w:val="16"/>
          <w:szCs w:val="16"/>
          <w:lang w:val="en-GB"/>
        </w:rPr>
        <w:t xml:space="preserve">Bridgepoint </w:t>
      </w:r>
      <w:r w:rsidRPr="009C48DA" w:rsidR="00BE7AE4">
        <w:rPr>
          <w:sz w:val="16"/>
          <w:szCs w:val="16"/>
          <w:lang w:val="en-GB"/>
        </w:rPr>
        <w:t xml:space="preserve">Credit Holdings Limited has both ordinary shares and “Z shares” </w:t>
      </w:r>
      <w:r w:rsidRPr="009C48DA" w:rsidR="00590789">
        <w:rPr>
          <w:sz w:val="16"/>
          <w:szCs w:val="16"/>
          <w:lang w:val="en-GB"/>
        </w:rPr>
        <w:t>in</w:t>
      </w:r>
      <w:r w:rsidRPr="009C48DA" w:rsidR="00BE7AE4">
        <w:rPr>
          <w:sz w:val="16"/>
          <w:szCs w:val="16"/>
          <w:lang w:val="en-GB"/>
        </w:rPr>
        <w:t xml:space="preserve"> issue. </w:t>
      </w:r>
      <w:r w:rsidRPr="009C48DA">
        <w:rPr>
          <w:sz w:val="16"/>
          <w:szCs w:val="16"/>
          <w:lang w:val="en-GB"/>
        </w:rPr>
        <w:t>Bridgepoint</w:t>
      </w:r>
      <w:r w:rsidRPr="009C48DA" w:rsidR="00BE7AE4">
        <w:rPr>
          <w:sz w:val="16"/>
          <w:szCs w:val="16"/>
          <w:lang w:val="en-GB"/>
        </w:rPr>
        <w:t xml:space="preserve"> Advisers Holdings, the sole holder of the ordinary shares</w:t>
      </w:r>
      <w:r w:rsidRPr="009C48DA" w:rsidR="00970636">
        <w:rPr>
          <w:sz w:val="16"/>
          <w:szCs w:val="16"/>
          <w:lang w:val="en-GB"/>
        </w:rPr>
        <w:t xml:space="preserve"> of </w:t>
      </w:r>
      <w:r w:rsidRPr="009C48DA">
        <w:rPr>
          <w:sz w:val="16"/>
          <w:szCs w:val="16"/>
          <w:lang w:val="en-GB"/>
        </w:rPr>
        <w:t xml:space="preserve">Bridgepoint </w:t>
      </w:r>
      <w:r w:rsidRPr="009C48DA" w:rsidR="00BE7AE4">
        <w:rPr>
          <w:sz w:val="16"/>
          <w:szCs w:val="16"/>
          <w:lang w:val="en-GB"/>
        </w:rPr>
        <w:t>Credit Holdings Limited, has entered into a put and call option with the holders of the “Z share</w:t>
      </w:r>
      <w:r w:rsidRPr="009C48DA" w:rsidR="00D83066">
        <w:rPr>
          <w:sz w:val="16"/>
          <w:szCs w:val="16"/>
          <w:lang w:val="en-GB"/>
        </w:rPr>
        <w:t>s</w:t>
      </w:r>
      <w:r w:rsidRPr="009C48DA" w:rsidR="00BE7AE4">
        <w:rPr>
          <w:sz w:val="16"/>
          <w:szCs w:val="16"/>
          <w:lang w:val="en-GB"/>
        </w:rPr>
        <w:t>” (who are not members of the Group) in respect of their shares. The “Z shares” do</w:t>
      </w:r>
      <w:r w:rsidRPr="009C48DA" w:rsidR="00390345">
        <w:rPr>
          <w:sz w:val="16"/>
          <w:szCs w:val="16"/>
          <w:lang w:val="en-GB"/>
        </w:rPr>
        <w:t xml:space="preserve"> not carry any voting rights</w:t>
      </w:r>
      <w:r w:rsidRPr="009C48DA" w:rsidR="00D83066">
        <w:rPr>
          <w:sz w:val="16"/>
          <w:szCs w:val="16"/>
          <w:lang w:val="en-GB"/>
        </w:rPr>
        <w:t xml:space="preserve"> (other than in respect of any resolution to vary, amend or modify any of the rights attached to the “Z shares”)</w:t>
      </w:r>
      <w:r w:rsidRPr="009C48DA" w:rsidR="00390345">
        <w:rPr>
          <w:sz w:val="16"/>
          <w:szCs w:val="16"/>
          <w:lang w:val="en-GB"/>
        </w:rPr>
        <w:t xml:space="preserve"> but do carry </w:t>
      </w:r>
      <w:r w:rsidRPr="009C48DA" w:rsidR="00D83066">
        <w:rPr>
          <w:sz w:val="16"/>
          <w:szCs w:val="16"/>
          <w:lang w:val="en-GB"/>
        </w:rPr>
        <w:t>certain</w:t>
      </w:r>
      <w:r w:rsidRPr="009C48DA" w:rsidR="00BE7AE4">
        <w:rPr>
          <w:sz w:val="16"/>
          <w:szCs w:val="16"/>
          <w:lang w:val="en-GB"/>
        </w:rPr>
        <w:t xml:space="preserve"> economic rights on liquidation.</w:t>
      </w:r>
    </w:p>
    <w:p w:rsidRPr="009C48DA" w:rsidR="00A503E4" w:rsidP="00AE5EEE" w:rsidRDefault="00AE5EEE" w14:paraId="4970EFAA" w14:textId="25184350">
      <w:pPr>
        <w:ind w:left="720"/>
        <w:jc w:val="both"/>
        <w:rPr>
          <w:sz w:val="16"/>
          <w:szCs w:val="16"/>
          <w:lang w:val="en-GB"/>
        </w:rPr>
      </w:pPr>
      <w:r w:rsidRPr="009C48DA">
        <w:rPr>
          <w:rFonts w:cs="Times New Roman"/>
          <w:sz w:val="18"/>
          <w:szCs w:val="18"/>
          <w:vertAlign w:val="superscript"/>
          <w:lang w:val="en-GB"/>
        </w:rPr>
        <w:t xml:space="preserve">(2) </w:t>
      </w:r>
      <w:r w:rsidRPr="009C48DA">
        <w:rPr>
          <w:sz w:val="16"/>
          <w:szCs w:val="16"/>
          <w:lang w:val="en-GB"/>
        </w:rPr>
        <w:t xml:space="preserve">Bridgepoint </w:t>
      </w:r>
      <w:r w:rsidRPr="009C48DA" w:rsidR="00BE7AE4">
        <w:rPr>
          <w:sz w:val="16"/>
          <w:szCs w:val="16"/>
          <w:lang w:val="en-GB"/>
        </w:rPr>
        <w:t xml:space="preserve">Credit Holdings Limited is the sole shareholder of </w:t>
      </w:r>
      <w:r w:rsidRPr="009C48DA">
        <w:rPr>
          <w:sz w:val="16"/>
          <w:szCs w:val="16"/>
          <w:lang w:val="en-GB"/>
        </w:rPr>
        <w:t xml:space="preserve">Bridgepoint </w:t>
      </w:r>
      <w:r w:rsidRPr="009C48DA" w:rsidR="00BE7AE4">
        <w:rPr>
          <w:sz w:val="16"/>
          <w:szCs w:val="16"/>
          <w:lang w:val="en-GB"/>
        </w:rPr>
        <w:t>Credit Advisers UK Limited.</w:t>
      </w:r>
    </w:p>
    <w:p w:rsidRPr="009C48DA" w:rsidR="000D3E7A" w:rsidP="00AE5EEE" w:rsidRDefault="000D3E7A" w14:paraId="2EDB1BC5" w14:textId="77777777">
      <w:pPr>
        <w:ind w:left="720"/>
        <w:jc w:val="both"/>
        <w:rPr>
          <w:rFonts w:cs="Times New Roman"/>
          <w:lang w:val="en-GB"/>
        </w:rPr>
      </w:pPr>
    </w:p>
    <w:p w:rsidRPr="009C48DA" w:rsidR="00D66DFD" w:rsidP="006876CA" w:rsidRDefault="008E46C4" w14:paraId="09A76846" w14:textId="7056C1C4">
      <w:pPr>
        <w:pStyle w:val="BlockText5SglJ"/>
        <w:keepNext/>
        <w:rPr>
          <w:lang w:val="en-GB"/>
        </w:rPr>
      </w:pPr>
      <w:r w:rsidRPr="009C48DA">
        <w:rPr>
          <w:lang w:val="en-GB"/>
        </w:rPr>
        <w:t xml:space="preserve">The following simplified structure chart sets out the </w:t>
      </w:r>
      <w:r w:rsidRPr="009C48DA" w:rsidR="00B172FA">
        <w:rPr>
          <w:lang w:val="en-GB"/>
        </w:rPr>
        <w:t>simplified Group structure as of</w:t>
      </w:r>
      <w:r w:rsidRPr="009C48DA">
        <w:rPr>
          <w:lang w:val="en-GB"/>
        </w:rPr>
        <w:t xml:space="preserve"> the date of this </w:t>
      </w:r>
      <w:r w:rsidRPr="009C48DA" w:rsidR="00B86BA4">
        <w:rPr>
          <w:rFonts w:eastAsia="Times New Roman"/>
          <w:color w:val="000000"/>
          <w:lang w:val="en-GB"/>
        </w:rPr>
        <w:t>Registration Document</w:t>
      </w:r>
      <w:r w:rsidRPr="009C48DA">
        <w:rPr>
          <w:lang w:val="en-GB"/>
        </w:rPr>
        <w:t>.</w:t>
      </w:r>
    </w:p>
    <w:p w:rsidRPr="009C48DA" w:rsidR="00C925C2" w:rsidP="000D3E7A" w:rsidRDefault="00116BD1" w14:paraId="5C8FCC08" w14:textId="4B545CEF">
      <w:pPr>
        <w:pStyle w:val="BlockText5SglJ"/>
        <w:jc w:val="center"/>
        <w:rPr>
          <w:lang w:val="en-GB"/>
        </w:rPr>
      </w:pPr>
      <w:r>
        <w:rPr>
          <w:noProof/>
        </w:rPr>
        <w:drawing>
          <wp:inline distT="0" distB="0" distL="0" distR="0" wp14:anchorId="3785C78B" wp14:editId="5510789A">
            <wp:extent cx="4986635" cy="4469314"/>
            <wp:effectExtent l="0" t="0" r="5080" b="7620"/>
            <wp:docPr id="1" name="Pictur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025490" cy="4504138"/>
                    </a:xfrm>
                    <a:prstGeom prst="rect">
                      <a:avLst/>
                    </a:prstGeom>
                  </pic:spPr>
                </pic:pic>
              </a:graphicData>
            </a:graphic>
          </wp:inline>
        </w:drawing>
      </w:r>
    </w:p>
    <w:p w:rsidRPr="009C48DA" w:rsidR="00DA7B9D" w:rsidP="00C925C2" w:rsidRDefault="00905A0E" w14:paraId="25EFD42B" w14:textId="68600F04">
      <w:pPr>
        <w:pStyle w:val="Heading3"/>
        <w:keepNext/>
        <w:rPr>
          <w:lang w:val="en-GB"/>
        </w:rPr>
      </w:pPr>
      <w:r w:rsidRPr="009C48DA">
        <w:rPr>
          <w:lang w:val="en-GB"/>
        </w:rPr>
        <w:lastRenderedPageBreak/>
        <w:t>SIGNIFICANT</w:t>
      </w:r>
      <w:r w:rsidRPr="009C48DA" w:rsidR="002D7E34">
        <w:rPr>
          <w:lang w:val="en-GB"/>
        </w:rPr>
        <w:t xml:space="preserve"> SHAREHOLDERS</w:t>
      </w:r>
      <w:r w:rsidRPr="009C48DA" w:rsidR="00956A2E">
        <w:rPr>
          <w:lang w:val="en-GB"/>
        </w:rPr>
        <w:t xml:space="preserve"> </w:t>
      </w:r>
    </w:p>
    <w:p w:rsidRPr="009C48DA" w:rsidR="00641439" w:rsidP="00261E8C" w:rsidRDefault="00430AAD" w14:paraId="7CAB2B7E" w14:textId="1E640F43">
      <w:pPr>
        <w:pStyle w:val="BlockText5SglJ"/>
        <w:rPr>
          <w:lang w:val="en-GB"/>
        </w:rPr>
      </w:pPr>
      <w:r w:rsidRPr="009C48DA">
        <w:rPr>
          <w:lang w:val="en-GB"/>
        </w:rPr>
        <w:t>As of</w:t>
      </w:r>
      <w:r w:rsidRPr="009C48DA" w:rsidR="00641439">
        <w:rPr>
          <w:lang w:val="en-GB"/>
        </w:rPr>
        <w:t xml:space="preserve"> the date of this </w:t>
      </w:r>
      <w:r w:rsidRPr="009C48DA" w:rsidR="00772A50">
        <w:rPr>
          <w:lang w:val="en-GB"/>
        </w:rPr>
        <w:t>Registration Document</w:t>
      </w:r>
      <w:r w:rsidRPr="009C48DA" w:rsidR="00641439">
        <w:rPr>
          <w:lang w:val="en-GB"/>
        </w:rPr>
        <w:t xml:space="preserve"> and insofar as it is known to the Company, the following </w:t>
      </w:r>
      <w:r w:rsidRPr="009C48DA" w:rsidR="0041285E">
        <w:rPr>
          <w:lang w:val="en-GB"/>
        </w:rPr>
        <w:t>shareholder</w:t>
      </w:r>
      <w:r w:rsidRPr="009C48DA" w:rsidR="00574DB5">
        <w:rPr>
          <w:lang w:val="en-GB"/>
        </w:rPr>
        <w:t>s</w:t>
      </w:r>
      <w:r w:rsidRPr="009C48DA" w:rsidR="0041285E">
        <w:rPr>
          <w:lang w:val="en-GB"/>
        </w:rPr>
        <w:t xml:space="preserve"> </w:t>
      </w:r>
      <w:r w:rsidRPr="009C48DA" w:rsidR="003D69BF">
        <w:rPr>
          <w:lang w:val="en-GB"/>
        </w:rPr>
        <w:t>are</w:t>
      </w:r>
      <w:r w:rsidRPr="009C48DA" w:rsidR="0041285E">
        <w:rPr>
          <w:lang w:val="en-GB"/>
        </w:rPr>
        <w:t xml:space="preserve"> the only </w:t>
      </w:r>
      <w:r w:rsidRPr="009C48DA" w:rsidR="00641439">
        <w:rPr>
          <w:lang w:val="en-GB"/>
        </w:rPr>
        <w:t>person</w:t>
      </w:r>
      <w:r w:rsidRPr="009C48DA" w:rsidR="003D69BF">
        <w:rPr>
          <w:lang w:val="en-GB"/>
        </w:rPr>
        <w:t>(s)</w:t>
      </w:r>
      <w:r w:rsidRPr="009C48DA" w:rsidR="0041285E">
        <w:rPr>
          <w:lang w:val="en-GB"/>
        </w:rPr>
        <w:t xml:space="preserve"> or entity</w:t>
      </w:r>
      <w:r w:rsidRPr="009C48DA" w:rsidR="003D69BF">
        <w:rPr>
          <w:lang w:val="en-GB"/>
        </w:rPr>
        <w:t>(ies)</w:t>
      </w:r>
      <w:r w:rsidRPr="009C48DA" w:rsidR="00772A50">
        <w:rPr>
          <w:lang w:val="en-GB"/>
        </w:rPr>
        <w:t xml:space="preserve"> </w:t>
      </w:r>
      <w:r w:rsidRPr="009C48DA" w:rsidR="00641439">
        <w:rPr>
          <w:lang w:val="en-GB"/>
        </w:rPr>
        <w:t xml:space="preserve">directly or indirectly interested in </w:t>
      </w:r>
      <w:r w:rsidRPr="009C48DA" w:rsidR="00917735">
        <w:rPr>
          <w:lang w:val="en-GB"/>
        </w:rPr>
        <w:t>three per cent</w:t>
      </w:r>
      <w:r w:rsidRPr="009C48DA" w:rsidR="00641439">
        <w:rPr>
          <w:lang w:val="en-GB"/>
        </w:rPr>
        <w:t xml:space="preserve"> or more of the voting rights of the Company:</w:t>
      </w:r>
    </w:p>
    <w:tbl>
      <w:tblPr>
        <w:tblW w:w="4464" w:type="pct"/>
        <w:tblInd w:w="918" w:type="dxa"/>
        <w:tblLook w:val="04A0" w:firstRow="1" w:lastRow="0" w:firstColumn="1" w:lastColumn="0" w:noHBand="0" w:noVBand="1"/>
      </w:tblPr>
      <w:tblGrid>
        <w:gridCol w:w="2060"/>
        <w:gridCol w:w="1105"/>
        <w:gridCol w:w="1639"/>
        <w:gridCol w:w="1639"/>
        <w:gridCol w:w="1637"/>
      </w:tblGrid>
      <w:tr w:rsidRPr="009C48DA" w:rsidR="00513F3A" w:rsidTr="00513F3A" w14:paraId="5434B092" w14:textId="77777777">
        <w:tc>
          <w:tcPr>
            <w:tcW w:w="1275" w:type="pct"/>
            <w:tcBorders>
              <w:top w:val="nil"/>
              <w:left w:val="nil"/>
              <w:bottom w:val="single" w:color="auto" w:sz="4" w:space="0"/>
              <w:right w:val="nil"/>
            </w:tcBorders>
          </w:tcPr>
          <w:p w:rsidRPr="009C48DA" w:rsidR="00513F3A" w:rsidP="00513F3A" w:rsidRDefault="00513F3A" w14:paraId="7DE1AAB2" w14:textId="77777777">
            <w:pPr>
              <w:keepNext/>
              <w:tabs>
                <w:tab w:val="right" w:leader="dot" w:pos="4842"/>
              </w:tabs>
              <w:ind w:left="162" w:hanging="162"/>
              <w:jc w:val="center"/>
              <w:rPr>
                <w:rFonts w:cs="Times New Roman"/>
                <w:sz w:val="20"/>
                <w:szCs w:val="20"/>
                <w:lang w:val="en-GB"/>
              </w:rPr>
            </w:pPr>
          </w:p>
        </w:tc>
        <w:tc>
          <w:tcPr>
            <w:tcW w:w="684" w:type="pct"/>
            <w:tcBorders>
              <w:top w:val="nil"/>
              <w:left w:val="nil"/>
              <w:bottom w:val="single" w:color="auto" w:sz="4" w:space="0"/>
              <w:right w:val="nil"/>
            </w:tcBorders>
            <w:hideMark/>
          </w:tcPr>
          <w:p w:rsidRPr="009C48DA" w:rsidR="00513F3A" w:rsidP="00513F3A" w:rsidRDefault="00513F3A" w14:paraId="555E5AA2" w14:textId="73A055D8">
            <w:pPr>
              <w:keepNext/>
              <w:jc w:val="center"/>
              <w:rPr>
                <w:rFonts w:cs="Times New Roman"/>
                <w:b/>
                <w:sz w:val="20"/>
                <w:szCs w:val="20"/>
                <w:lang w:val="en-GB"/>
              </w:rPr>
            </w:pPr>
            <w:r w:rsidRPr="009C48DA">
              <w:rPr>
                <w:rFonts w:eastAsia="Times New Roman" w:cs="Times New Roman"/>
                <w:b/>
                <w:color w:val="000000"/>
                <w:sz w:val="20"/>
                <w:szCs w:val="20"/>
                <w:lang w:val="en-GB"/>
              </w:rPr>
              <w:t>Number of A1 ordinary shares</w:t>
            </w:r>
          </w:p>
        </w:tc>
        <w:tc>
          <w:tcPr>
            <w:tcW w:w="1014" w:type="pct"/>
            <w:tcBorders>
              <w:top w:val="nil"/>
              <w:left w:val="nil"/>
              <w:bottom w:val="single" w:color="auto" w:sz="4" w:space="0"/>
              <w:right w:val="nil"/>
            </w:tcBorders>
          </w:tcPr>
          <w:p w:rsidRPr="009C48DA" w:rsidR="00513F3A" w:rsidP="00513F3A" w:rsidRDefault="00513F3A" w14:paraId="7F8D7FBE" w14:textId="58AD1FF9">
            <w:pPr>
              <w:keepNext/>
              <w:jc w:val="center"/>
              <w:rPr>
                <w:rFonts w:eastAsia="Times New Roman" w:cs="Times New Roman"/>
                <w:b/>
                <w:color w:val="000000"/>
                <w:sz w:val="20"/>
                <w:szCs w:val="20"/>
                <w:lang w:val="en-GB"/>
              </w:rPr>
            </w:pPr>
            <w:r w:rsidRPr="009C48DA">
              <w:rPr>
                <w:rFonts w:eastAsia="Times New Roman" w:cs="Times New Roman"/>
                <w:b/>
                <w:color w:val="000000"/>
                <w:sz w:val="20"/>
                <w:szCs w:val="20"/>
                <w:lang w:val="en-GB"/>
              </w:rPr>
              <w:t xml:space="preserve">Number of </w:t>
            </w:r>
            <w:r w:rsidRPr="009C48DA">
              <w:rPr>
                <w:rFonts w:eastAsia="Times New Roman" w:cs="Times New Roman"/>
                <w:b/>
                <w:color w:val="000000"/>
                <w:sz w:val="20"/>
                <w:szCs w:val="20"/>
                <w:lang w:val="en-GB"/>
              </w:rPr>
              <w:br/>
              <w:t>A2 ordinary shares</w:t>
            </w:r>
          </w:p>
        </w:tc>
        <w:tc>
          <w:tcPr>
            <w:tcW w:w="1014" w:type="pct"/>
            <w:tcBorders>
              <w:top w:val="nil"/>
              <w:left w:val="nil"/>
              <w:bottom w:val="single" w:color="auto" w:sz="4" w:space="0"/>
              <w:right w:val="nil"/>
            </w:tcBorders>
          </w:tcPr>
          <w:p w:rsidRPr="009C48DA" w:rsidR="00513F3A" w:rsidP="00513F3A" w:rsidRDefault="00513F3A" w14:paraId="1127A9E1" w14:textId="59CD8551">
            <w:pPr>
              <w:keepNext/>
              <w:jc w:val="center"/>
              <w:rPr>
                <w:rFonts w:eastAsia="Times New Roman" w:cs="Times New Roman"/>
                <w:b/>
                <w:color w:val="000000"/>
                <w:sz w:val="20"/>
                <w:szCs w:val="20"/>
                <w:lang w:val="en-GB"/>
              </w:rPr>
            </w:pPr>
            <w:r w:rsidRPr="009C48DA">
              <w:rPr>
                <w:rFonts w:eastAsia="Times New Roman" w:cs="Times New Roman"/>
                <w:b/>
                <w:color w:val="000000"/>
                <w:sz w:val="20"/>
                <w:szCs w:val="20"/>
                <w:lang w:val="en-GB"/>
              </w:rPr>
              <w:t xml:space="preserve">Number of </w:t>
            </w:r>
            <w:r w:rsidRPr="009C48DA">
              <w:rPr>
                <w:rFonts w:eastAsia="Times New Roman" w:cs="Times New Roman"/>
                <w:b/>
                <w:color w:val="000000"/>
                <w:sz w:val="20"/>
                <w:szCs w:val="20"/>
                <w:lang w:val="en-GB"/>
              </w:rPr>
              <w:br/>
              <w:t>A3 ordinary shares</w:t>
            </w:r>
          </w:p>
        </w:tc>
        <w:tc>
          <w:tcPr>
            <w:tcW w:w="1013" w:type="pct"/>
            <w:tcBorders>
              <w:top w:val="nil"/>
              <w:left w:val="nil"/>
              <w:bottom w:val="single" w:color="auto" w:sz="4" w:space="0"/>
              <w:right w:val="nil"/>
            </w:tcBorders>
            <w:hideMark/>
          </w:tcPr>
          <w:p w:rsidRPr="009C48DA" w:rsidR="00513F3A" w:rsidP="00513F3A" w:rsidRDefault="00513F3A" w14:paraId="1FC7EF51" w14:textId="0C311C5D">
            <w:pPr>
              <w:keepNext/>
              <w:jc w:val="center"/>
              <w:rPr>
                <w:rFonts w:cs="Times New Roman"/>
                <w:b/>
                <w:sz w:val="20"/>
                <w:szCs w:val="20"/>
                <w:lang w:val="en-GB"/>
              </w:rPr>
            </w:pPr>
            <w:r w:rsidRPr="009C48DA">
              <w:rPr>
                <w:rFonts w:eastAsia="Times New Roman" w:cs="Times New Roman"/>
                <w:b/>
                <w:color w:val="000000"/>
                <w:sz w:val="20"/>
                <w:szCs w:val="20"/>
                <w:lang w:val="en-GB"/>
              </w:rPr>
              <w:t xml:space="preserve">Percentage of </w:t>
            </w:r>
            <w:r w:rsidRPr="009C48DA">
              <w:rPr>
                <w:rFonts w:eastAsia="Times New Roman" w:cs="Times New Roman"/>
                <w:b/>
                <w:color w:val="000000"/>
                <w:sz w:val="20"/>
                <w:szCs w:val="20"/>
                <w:lang w:val="en-GB"/>
              </w:rPr>
              <w:br/>
              <w:t>voting rights</w:t>
            </w:r>
          </w:p>
        </w:tc>
      </w:tr>
      <w:tr w:rsidRPr="009C48DA" w:rsidR="00CC08F7" w:rsidTr="00D8221B" w14:paraId="35F9D534" w14:textId="77777777">
        <w:tc>
          <w:tcPr>
            <w:tcW w:w="1275" w:type="pct"/>
            <w:tcBorders>
              <w:top w:val="single" w:color="auto" w:sz="4" w:space="0"/>
              <w:left w:val="nil"/>
              <w:bottom w:val="nil"/>
              <w:right w:val="nil"/>
            </w:tcBorders>
          </w:tcPr>
          <w:p w:rsidRPr="009C48DA" w:rsidR="00CC08F7" w:rsidP="00CC08F7" w:rsidRDefault="00CC08F7" w14:paraId="0466A915" w14:textId="5FC33868">
            <w:pPr>
              <w:keepNext/>
              <w:tabs>
                <w:tab w:val="right" w:leader="dot" w:pos="4842"/>
              </w:tabs>
              <w:ind w:left="162" w:hanging="162"/>
              <w:rPr>
                <w:rFonts w:cs="Times New Roman"/>
                <w:sz w:val="20"/>
                <w:szCs w:val="20"/>
                <w:lang w:val="en-GB"/>
              </w:rPr>
            </w:pPr>
            <w:r w:rsidRPr="009C48DA">
              <w:rPr>
                <w:rFonts w:cs="Times New Roman"/>
                <w:sz w:val="20"/>
                <w:szCs w:val="20"/>
                <w:lang w:val="en-GB"/>
              </w:rPr>
              <w:t>Frederic Pescatori</w:t>
            </w:r>
          </w:p>
        </w:tc>
        <w:tc>
          <w:tcPr>
            <w:tcW w:w="684" w:type="pct"/>
          </w:tcPr>
          <w:p w:rsidRPr="009C48DA" w:rsidR="00CC08F7" w:rsidP="00CC08F7" w:rsidRDefault="00CC08F7" w14:paraId="71714E83" w14:textId="27BE83DD">
            <w:pPr>
              <w:keepNext/>
              <w:jc w:val="center"/>
              <w:rPr>
                <w:rFonts w:cs="Times New Roman"/>
                <w:sz w:val="20"/>
                <w:szCs w:val="20"/>
                <w:lang w:val="en-GB"/>
              </w:rPr>
            </w:pPr>
            <w:r w:rsidRPr="009C48DA">
              <w:rPr>
                <w:rFonts w:cs="Times New Roman"/>
                <w:sz w:val="20"/>
                <w:szCs w:val="20"/>
                <w:lang w:val="en-GB"/>
              </w:rPr>
              <w:t>125,000</w:t>
            </w:r>
          </w:p>
        </w:tc>
        <w:tc>
          <w:tcPr>
            <w:tcW w:w="1014" w:type="pct"/>
          </w:tcPr>
          <w:p w:rsidRPr="009C48DA" w:rsidR="00CC08F7" w:rsidP="00CC08F7" w:rsidRDefault="00E53776" w14:paraId="7BDBF2B6" w14:textId="53F3F99A">
            <w:pPr>
              <w:keepNext/>
              <w:jc w:val="center"/>
              <w:rPr>
                <w:rFonts w:cs="Times New Roman"/>
                <w:sz w:val="20"/>
                <w:szCs w:val="20"/>
                <w:lang w:val="en-GB"/>
              </w:rPr>
            </w:pPr>
            <w:r w:rsidRPr="009C48DA">
              <w:rPr>
                <w:rFonts w:cs="Times New Roman"/>
                <w:sz w:val="20"/>
                <w:szCs w:val="20"/>
                <w:lang w:val="en-GB"/>
              </w:rPr>
              <w:t>—</w:t>
            </w:r>
          </w:p>
        </w:tc>
        <w:tc>
          <w:tcPr>
            <w:tcW w:w="1014" w:type="pct"/>
          </w:tcPr>
          <w:p w:rsidRPr="009C48DA" w:rsidR="00CC08F7" w:rsidP="00CC08F7" w:rsidRDefault="00E53776" w14:paraId="355DC3EC" w14:textId="4537FD9E">
            <w:pPr>
              <w:keepNext/>
              <w:jc w:val="center"/>
              <w:rPr>
                <w:rFonts w:cs="Times New Roman"/>
                <w:sz w:val="20"/>
                <w:szCs w:val="20"/>
                <w:lang w:val="en-GB"/>
              </w:rPr>
            </w:pPr>
            <w:r w:rsidRPr="009C48DA">
              <w:rPr>
                <w:rFonts w:cs="Times New Roman"/>
                <w:sz w:val="20"/>
                <w:szCs w:val="20"/>
                <w:lang w:val="en-GB"/>
              </w:rPr>
              <w:t>—</w:t>
            </w:r>
          </w:p>
        </w:tc>
        <w:tc>
          <w:tcPr>
            <w:tcW w:w="1013" w:type="pct"/>
          </w:tcPr>
          <w:p w:rsidRPr="009C48DA" w:rsidR="00CC08F7" w:rsidP="00CC08F7" w:rsidRDefault="00E26B5C" w14:paraId="22DDE729" w14:textId="2DFDCCAA">
            <w:pPr>
              <w:keepNext/>
              <w:jc w:val="center"/>
              <w:rPr>
                <w:rFonts w:cs="Times New Roman"/>
                <w:sz w:val="20"/>
                <w:szCs w:val="20"/>
                <w:lang w:val="en-GB"/>
              </w:rPr>
            </w:pPr>
            <w:r w:rsidRPr="009C48DA">
              <w:rPr>
                <w:rFonts w:cs="Times New Roman"/>
                <w:sz w:val="20"/>
                <w:szCs w:val="20"/>
                <w:lang w:val="en-GB"/>
              </w:rPr>
              <w:t>3.80%</w:t>
            </w:r>
          </w:p>
        </w:tc>
      </w:tr>
      <w:tr w:rsidRPr="009C48DA" w:rsidR="00CC08F7" w:rsidTr="00CC08F7" w14:paraId="5BC04213" w14:textId="77777777">
        <w:tc>
          <w:tcPr>
            <w:tcW w:w="1275" w:type="pct"/>
          </w:tcPr>
          <w:p w:rsidRPr="009C48DA" w:rsidR="00CC08F7" w:rsidP="00CC08F7" w:rsidRDefault="00CC08F7" w14:paraId="4C750667" w14:textId="5D773060">
            <w:pPr>
              <w:keepNext/>
              <w:tabs>
                <w:tab w:val="right" w:leader="dot" w:pos="4842"/>
              </w:tabs>
              <w:ind w:left="162" w:hanging="162"/>
              <w:rPr>
                <w:rFonts w:cs="Times New Roman"/>
                <w:sz w:val="20"/>
                <w:szCs w:val="20"/>
                <w:lang w:val="en-GB"/>
              </w:rPr>
            </w:pPr>
            <w:r w:rsidRPr="009C48DA">
              <w:rPr>
                <w:rFonts w:cs="Times New Roman"/>
                <w:sz w:val="20"/>
                <w:szCs w:val="20"/>
                <w:lang w:val="en-GB"/>
              </w:rPr>
              <w:t>Michael Black</w:t>
            </w:r>
          </w:p>
        </w:tc>
        <w:tc>
          <w:tcPr>
            <w:tcW w:w="684" w:type="pct"/>
            <w:vAlign w:val="bottom"/>
          </w:tcPr>
          <w:p w:rsidRPr="009C48DA" w:rsidR="00CC08F7" w:rsidP="00CC08F7" w:rsidRDefault="00CC08F7" w14:paraId="40838771" w14:textId="7FA553E4">
            <w:pPr>
              <w:keepNext/>
              <w:jc w:val="center"/>
              <w:rPr>
                <w:rFonts w:cs="Times New Roman"/>
                <w:sz w:val="20"/>
                <w:szCs w:val="20"/>
                <w:lang w:val="en-GB"/>
              </w:rPr>
            </w:pPr>
            <w:r w:rsidRPr="009C48DA">
              <w:rPr>
                <w:rFonts w:cs="Times New Roman"/>
                <w:sz w:val="20"/>
                <w:szCs w:val="20"/>
                <w:lang w:val="en-GB"/>
              </w:rPr>
              <w:t>115,000</w:t>
            </w:r>
          </w:p>
        </w:tc>
        <w:tc>
          <w:tcPr>
            <w:tcW w:w="1014" w:type="pct"/>
          </w:tcPr>
          <w:p w:rsidRPr="009C48DA" w:rsidR="00CC08F7" w:rsidP="00CC08F7" w:rsidRDefault="00E53776" w14:paraId="231A844C" w14:textId="63ABE2DA">
            <w:pPr>
              <w:keepNext/>
              <w:jc w:val="center"/>
              <w:rPr>
                <w:rFonts w:cs="Times New Roman"/>
                <w:sz w:val="20"/>
                <w:szCs w:val="20"/>
                <w:lang w:val="en-GB"/>
              </w:rPr>
            </w:pPr>
            <w:r w:rsidRPr="009C48DA">
              <w:rPr>
                <w:rFonts w:cs="Times New Roman"/>
                <w:sz w:val="20"/>
                <w:szCs w:val="20"/>
                <w:lang w:val="en-GB"/>
              </w:rPr>
              <w:t>—</w:t>
            </w:r>
          </w:p>
        </w:tc>
        <w:tc>
          <w:tcPr>
            <w:tcW w:w="1014" w:type="pct"/>
          </w:tcPr>
          <w:p w:rsidRPr="009C48DA" w:rsidR="00CC08F7" w:rsidP="00CC08F7" w:rsidRDefault="00E53776" w14:paraId="3DB6EDFC" w14:textId="2C56DB1D">
            <w:pPr>
              <w:keepNext/>
              <w:jc w:val="center"/>
              <w:rPr>
                <w:rFonts w:cs="Times New Roman"/>
                <w:sz w:val="20"/>
                <w:szCs w:val="20"/>
                <w:lang w:val="en-GB"/>
              </w:rPr>
            </w:pPr>
            <w:r w:rsidRPr="009C48DA">
              <w:rPr>
                <w:rFonts w:cs="Times New Roman"/>
                <w:sz w:val="20"/>
                <w:szCs w:val="20"/>
                <w:lang w:val="en-GB"/>
              </w:rPr>
              <w:t>—</w:t>
            </w:r>
          </w:p>
        </w:tc>
        <w:tc>
          <w:tcPr>
            <w:tcW w:w="1013" w:type="pct"/>
            <w:vAlign w:val="bottom"/>
          </w:tcPr>
          <w:p w:rsidRPr="009C48DA" w:rsidR="00CC08F7" w:rsidP="00CC08F7" w:rsidRDefault="00E26B5C" w14:paraId="10EFD4B8" w14:textId="0138693A">
            <w:pPr>
              <w:keepNext/>
              <w:jc w:val="center"/>
              <w:rPr>
                <w:rFonts w:cs="Times New Roman"/>
                <w:sz w:val="20"/>
                <w:szCs w:val="20"/>
                <w:lang w:val="en-GB"/>
              </w:rPr>
            </w:pPr>
            <w:r w:rsidRPr="009C48DA">
              <w:rPr>
                <w:rFonts w:cs="Times New Roman"/>
                <w:sz w:val="20"/>
                <w:szCs w:val="20"/>
                <w:lang w:val="en-GB"/>
              </w:rPr>
              <w:t>3.50%</w:t>
            </w:r>
          </w:p>
        </w:tc>
      </w:tr>
      <w:tr w:rsidRPr="009C48DA" w:rsidR="00CC08F7" w:rsidTr="00945C37" w14:paraId="1F1DE361" w14:textId="77777777">
        <w:tc>
          <w:tcPr>
            <w:tcW w:w="1275" w:type="pct"/>
          </w:tcPr>
          <w:p w:rsidRPr="009C48DA" w:rsidR="00CC08F7" w:rsidP="00CC08F7" w:rsidRDefault="00CC08F7" w14:paraId="068FDB18" w14:textId="56A15FE3">
            <w:pPr>
              <w:keepNext/>
              <w:tabs>
                <w:tab w:val="right" w:leader="dot" w:pos="4842"/>
              </w:tabs>
              <w:ind w:left="162" w:hanging="162"/>
              <w:rPr>
                <w:rFonts w:cs="Times New Roman"/>
                <w:sz w:val="20"/>
                <w:szCs w:val="20"/>
                <w:lang w:val="en-GB"/>
              </w:rPr>
            </w:pPr>
            <w:r w:rsidRPr="009C48DA">
              <w:rPr>
                <w:rFonts w:cs="Times New Roman"/>
                <w:sz w:val="20"/>
                <w:szCs w:val="20"/>
                <w:lang w:val="en-GB"/>
              </w:rPr>
              <w:t>Nicola Barber</w:t>
            </w:r>
          </w:p>
        </w:tc>
        <w:tc>
          <w:tcPr>
            <w:tcW w:w="684" w:type="pct"/>
          </w:tcPr>
          <w:p w:rsidRPr="009C48DA" w:rsidR="00CC08F7" w:rsidP="00CC08F7" w:rsidRDefault="00E26B5C" w14:paraId="57D4EB01" w14:textId="36D5456C">
            <w:pPr>
              <w:keepNext/>
              <w:jc w:val="center"/>
              <w:rPr>
                <w:rFonts w:cs="Times New Roman"/>
                <w:sz w:val="20"/>
                <w:szCs w:val="20"/>
                <w:lang w:val="en-GB"/>
              </w:rPr>
            </w:pPr>
            <w:r w:rsidRPr="009C48DA">
              <w:rPr>
                <w:rFonts w:cs="Times New Roman"/>
                <w:sz w:val="20"/>
                <w:szCs w:val="20"/>
                <w:lang w:val="en-GB"/>
              </w:rPr>
              <w:t>105</w:t>
            </w:r>
            <w:r w:rsidRPr="009C48DA" w:rsidR="00CC08F7">
              <w:rPr>
                <w:rFonts w:cs="Times New Roman"/>
                <w:sz w:val="20"/>
                <w:szCs w:val="20"/>
                <w:lang w:val="en-GB"/>
              </w:rPr>
              <w:t>,000</w:t>
            </w:r>
          </w:p>
        </w:tc>
        <w:tc>
          <w:tcPr>
            <w:tcW w:w="1014" w:type="pct"/>
          </w:tcPr>
          <w:p w:rsidRPr="009C48DA" w:rsidR="00CC08F7" w:rsidP="00CC08F7" w:rsidRDefault="00E53776" w14:paraId="1E48638D" w14:textId="49348091">
            <w:pPr>
              <w:keepNext/>
              <w:jc w:val="center"/>
              <w:rPr>
                <w:rFonts w:cs="Times New Roman"/>
                <w:sz w:val="20"/>
                <w:szCs w:val="20"/>
                <w:lang w:val="en-GB"/>
              </w:rPr>
            </w:pPr>
            <w:r w:rsidRPr="009C48DA">
              <w:rPr>
                <w:rFonts w:cs="Times New Roman"/>
                <w:sz w:val="20"/>
                <w:szCs w:val="20"/>
                <w:lang w:val="en-GB"/>
              </w:rPr>
              <w:t>—</w:t>
            </w:r>
          </w:p>
        </w:tc>
        <w:tc>
          <w:tcPr>
            <w:tcW w:w="1014" w:type="pct"/>
          </w:tcPr>
          <w:p w:rsidRPr="009C48DA" w:rsidR="00CC08F7" w:rsidP="00CC08F7" w:rsidRDefault="00E53776" w14:paraId="5A1FD80F" w14:textId="2E48DA29">
            <w:pPr>
              <w:keepNext/>
              <w:jc w:val="center"/>
              <w:rPr>
                <w:rFonts w:cs="Times New Roman"/>
                <w:sz w:val="20"/>
                <w:szCs w:val="20"/>
                <w:lang w:val="en-GB"/>
              </w:rPr>
            </w:pPr>
            <w:r w:rsidRPr="009C48DA">
              <w:rPr>
                <w:rFonts w:cs="Times New Roman"/>
                <w:sz w:val="20"/>
                <w:szCs w:val="20"/>
                <w:lang w:val="en-GB"/>
              </w:rPr>
              <w:t>—</w:t>
            </w:r>
          </w:p>
        </w:tc>
        <w:tc>
          <w:tcPr>
            <w:tcW w:w="1013" w:type="pct"/>
          </w:tcPr>
          <w:p w:rsidRPr="009C48DA" w:rsidR="00CC08F7" w:rsidP="00CC08F7" w:rsidRDefault="00E26B5C" w14:paraId="12B0AE5D" w14:textId="74E4374B">
            <w:pPr>
              <w:keepNext/>
              <w:jc w:val="center"/>
              <w:rPr>
                <w:rFonts w:cs="Times New Roman"/>
                <w:sz w:val="20"/>
                <w:szCs w:val="20"/>
                <w:lang w:val="en-GB"/>
              </w:rPr>
            </w:pPr>
            <w:r w:rsidRPr="009C48DA">
              <w:rPr>
                <w:rFonts w:cs="Times New Roman"/>
                <w:sz w:val="20"/>
                <w:szCs w:val="20"/>
                <w:lang w:val="en-GB"/>
              </w:rPr>
              <w:t>3.19%</w:t>
            </w:r>
          </w:p>
        </w:tc>
      </w:tr>
    </w:tbl>
    <w:p w:rsidRPr="009C48DA" w:rsidR="00DA7B9D" w:rsidP="00261E8C" w:rsidRDefault="00772A50" w14:paraId="0199F14A" w14:textId="69B4A247">
      <w:pPr>
        <w:pStyle w:val="BlockText5SglJ"/>
        <w:spacing w:before="240"/>
        <w:rPr>
          <w:lang w:val="en-GB"/>
        </w:rPr>
      </w:pPr>
      <w:r w:rsidRPr="009C48DA">
        <w:rPr>
          <w:lang w:val="en-GB"/>
        </w:rPr>
        <w:t xml:space="preserve">Other than as described above, the Company is not aware of any persons who, directly or indirectly, jointly or severally, exercise or could exercise control over the Company. </w:t>
      </w:r>
      <w:r w:rsidRPr="009C48DA" w:rsidR="00590789">
        <w:rPr>
          <w:lang w:val="en-GB"/>
        </w:rPr>
        <w:t xml:space="preserve">Other than the holders of A3 ordinary shares, who </w:t>
      </w:r>
      <w:r w:rsidRPr="009C48DA" w:rsidR="006C731C">
        <w:rPr>
          <w:lang w:val="en-GB"/>
        </w:rPr>
        <w:t>s</w:t>
      </w:r>
      <w:r w:rsidRPr="009C48DA" w:rsidR="00590789">
        <w:rPr>
          <w:lang w:val="en-GB"/>
        </w:rPr>
        <w:t>hall not be entitled to vote until such time as the A3 ordinary shares held by such holders are eligible for dividends in accordance with the Articles,</w:t>
      </w:r>
      <w:r w:rsidRPr="009C48DA" w:rsidR="00CE4FB4">
        <w:rPr>
          <w:lang w:val="en-GB"/>
        </w:rPr>
        <w:t xml:space="preserve"> and the holders of the deferred shares and YY shares, who shall not be entitled to vote,</w:t>
      </w:r>
      <w:r w:rsidRPr="009C48DA" w:rsidR="00590789">
        <w:rPr>
          <w:lang w:val="en-GB"/>
        </w:rPr>
        <w:t xml:space="preserve"> n</w:t>
      </w:r>
      <w:r w:rsidRPr="009C48DA" w:rsidR="001F5107">
        <w:rPr>
          <w:lang w:val="en-GB"/>
        </w:rPr>
        <w:t xml:space="preserve">o </w:t>
      </w:r>
      <w:r w:rsidRPr="009C48DA" w:rsidR="000B592D">
        <w:rPr>
          <w:lang w:val="en-GB"/>
        </w:rPr>
        <w:t>s</w:t>
      </w:r>
      <w:r w:rsidRPr="009C48DA" w:rsidR="001F5107">
        <w:rPr>
          <w:lang w:val="en-GB"/>
        </w:rPr>
        <w:t>hareholders have, and will not have, different voting rights attached to the</w:t>
      </w:r>
      <w:r w:rsidRPr="009C48DA" w:rsidR="00A977CF">
        <w:rPr>
          <w:lang w:val="en-GB"/>
        </w:rPr>
        <w:t xml:space="preserve"> s</w:t>
      </w:r>
      <w:r w:rsidRPr="009C48DA" w:rsidR="001F5107">
        <w:rPr>
          <w:lang w:val="en-GB"/>
        </w:rPr>
        <w:t>hares they hold in the Company.</w:t>
      </w:r>
    </w:p>
    <w:p w:rsidRPr="009C48DA" w:rsidR="00DA7B9D" w:rsidRDefault="00427CB5" w14:paraId="09CA48FA" w14:textId="1742F5A7">
      <w:pPr>
        <w:pStyle w:val="Heading3"/>
        <w:keepNext/>
        <w:rPr>
          <w:lang w:val="en-GB"/>
        </w:rPr>
      </w:pPr>
      <w:r w:rsidRPr="009C48DA">
        <w:rPr>
          <w:lang w:val="en-GB"/>
        </w:rPr>
        <w:t xml:space="preserve">DIRECTORS </w:t>
      </w:r>
    </w:p>
    <w:p w:rsidRPr="009C48DA" w:rsidR="00DA7B9D" w:rsidRDefault="00427CB5" w14:paraId="305E4EED" w14:textId="1E83A959">
      <w:pPr>
        <w:pStyle w:val="Heading4"/>
        <w:rPr>
          <w:b/>
          <w:i/>
          <w:lang w:val="en-GB"/>
        </w:rPr>
      </w:pPr>
      <w:bookmarkStart w:name="_Ref67961518" w:id="756"/>
      <w:r w:rsidRPr="009C48DA">
        <w:rPr>
          <w:b/>
          <w:i/>
          <w:lang w:val="en-GB"/>
        </w:rPr>
        <w:t>Directorships</w:t>
      </w:r>
      <w:r w:rsidRPr="009C48DA" w:rsidR="00920EBC">
        <w:rPr>
          <w:b/>
          <w:i/>
          <w:lang w:val="en-GB"/>
        </w:rPr>
        <w:t xml:space="preserve"> and partnerships outside </w:t>
      </w:r>
      <w:r w:rsidRPr="009C48DA" w:rsidR="00B10F5E">
        <w:rPr>
          <w:b/>
          <w:i/>
          <w:lang w:val="en-GB"/>
        </w:rPr>
        <w:t>the Group</w:t>
      </w:r>
      <w:bookmarkEnd w:id="756"/>
    </w:p>
    <w:p w:rsidRPr="009C48DA" w:rsidR="00772A50" w:rsidP="00261E8C" w:rsidRDefault="00772A50" w14:paraId="2D06B09B" w14:textId="616C6C35">
      <w:pPr>
        <w:pStyle w:val="BlockText5SglJ"/>
        <w:rPr>
          <w:lang w:val="en-GB"/>
        </w:rPr>
      </w:pPr>
      <w:r w:rsidRPr="009C48DA">
        <w:rPr>
          <w:lang w:val="en-GB"/>
        </w:rPr>
        <w:t>Set out below are the details of those companies and partnerships outside the Group of which the Directors are currently directors, partners or members of any administrative, management or supervisory body, or have been directors, partners or members of any administrative, management or supervisory body at any time during the five years prior to the publication of this Registration Document:</w:t>
      </w:r>
    </w:p>
    <w:tbl>
      <w:tblPr>
        <w:tblW w:w="8342" w:type="dxa"/>
        <w:tblInd w:w="714" w:type="dxa"/>
        <w:tblBorders>
          <w:insideH w:val="single" w:color="auto" w:sz="4" w:space="0"/>
        </w:tblBorders>
        <w:tblLayout w:type="fixed"/>
        <w:tblLook w:val="04A0" w:firstRow="1" w:lastRow="0" w:firstColumn="1" w:lastColumn="0" w:noHBand="0" w:noVBand="1"/>
      </w:tblPr>
      <w:tblGrid>
        <w:gridCol w:w="2036"/>
        <w:gridCol w:w="3067"/>
        <w:gridCol w:w="3239"/>
      </w:tblGrid>
      <w:tr w:rsidRPr="009C48DA" w:rsidR="001413B4" w:rsidTr="00AE5EEE" w14:paraId="0CD43CD3" w14:textId="77777777">
        <w:trPr>
          <w:tblHeader/>
        </w:trPr>
        <w:tc>
          <w:tcPr>
            <w:tcW w:w="2036" w:type="dxa"/>
            <w:tcBorders>
              <w:top w:val="nil"/>
              <w:left w:val="nil"/>
              <w:bottom w:val="single" w:color="auto" w:sz="12" w:space="0"/>
              <w:right w:val="nil"/>
            </w:tcBorders>
            <w:hideMark/>
          </w:tcPr>
          <w:p w:rsidRPr="009C48DA" w:rsidR="001413B4" w:rsidP="00AE5EEE" w:rsidRDefault="001413B4" w14:paraId="6A66C8B2" w14:textId="77777777">
            <w:pPr>
              <w:spacing w:after="120"/>
              <w:rPr>
                <w:rFonts w:cs="Times New Roman"/>
                <w:b/>
                <w:sz w:val="16"/>
                <w:szCs w:val="16"/>
                <w:lang w:val="en-GB"/>
              </w:rPr>
            </w:pPr>
            <w:r w:rsidRPr="009C48DA">
              <w:rPr>
                <w:rFonts w:cs="Times New Roman"/>
                <w:b/>
                <w:sz w:val="16"/>
                <w:szCs w:val="16"/>
                <w:lang w:val="en-GB"/>
              </w:rPr>
              <w:t>Name</w:t>
            </w:r>
          </w:p>
        </w:tc>
        <w:tc>
          <w:tcPr>
            <w:tcW w:w="3067" w:type="dxa"/>
            <w:tcBorders>
              <w:top w:val="nil"/>
              <w:left w:val="nil"/>
              <w:bottom w:val="single" w:color="auto" w:sz="12" w:space="0"/>
              <w:right w:val="nil"/>
            </w:tcBorders>
            <w:hideMark/>
          </w:tcPr>
          <w:p w:rsidRPr="009C48DA" w:rsidR="001413B4" w:rsidP="00AE5EEE" w:rsidRDefault="001413B4" w14:paraId="042E3C72" w14:textId="77777777">
            <w:pPr>
              <w:rPr>
                <w:rFonts w:cs="Times New Roman"/>
                <w:b/>
                <w:sz w:val="16"/>
                <w:szCs w:val="16"/>
                <w:lang w:val="en-GB"/>
              </w:rPr>
            </w:pPr>
            <w:r w:rsidRPr="009C48DA">
              <w:rPr>
                <w:rFonts w:cs="Times New Roman"/>
                <w:b/>
                <w:sz w:val="16"/>
                <w:szCs w:val="16"/>
                <w:lang w:val="en-GB"/>
              </w:rPr>
              <w:t>Current directorships and partnerships</w:t>
            </w:r>
          </w:p>
        </w:tc>
        <w:tc>
          <w:tcPr>
            <w:tcW w:w="3239" w:type="dxa"/>
            <w:tcBorders>
              <w:top w:val="nil"/>
              <w:left w:val="nil"/>
              <w:bottom w:val="single" w:color="auto" w:sz="12" w:space="0"/>
              <w:right w:val="nil"/>
            </w:tcBorders>
            <w:hideMark/>
          </w:tcPr>
          <w:p w:rsidRPr="009C48DA" w:rsidR="001413B4" w:rsidP="00AE5EEE" w:rsidRDefault="001413B4" w14:paraId="7CD1847A" w14:textId="77777777">
            <w:pPr>
              <w:rPr>
                <w:rFonts w:cs="Times New Roman"/>
                <w:b/>
                <w:sz w:val="16"/>
                <w:szCs w:val="16"/>
                <w:lang w:val="en-GB"/>
              </w:rPr>
            </w:pPr>
            <w:r w:rsidRPr="009C48DA">
              <w:rPr>
                <w:rFonts w:cs="Times New Roman"/>
                <w:b/>
                <w:sz w:val="16"/>
                <w:szCs w:val="16"/>
                <w:lang w:val="en-GB"/>
              </w:rPr>
              <w:t>Previous directorships</w:t>
            </w:r>
            <w:r w:rsidRPr="009C48DA">
              <w:rPr>
                <w:rFonts w:cs="Times New Roman"/>
                <w:b/>
                <w:sz w:val="16"/>
                <w:szCs w:val="16"/>
                <w:lang w:val="en-GB"/>
              </w:rPr>
              <w:br/>
              <w:t>and partnerships</w:t>
            </w:r>
          </w:p>
        </w:tc>
      </w:tr>
      <w:tr w:rsidRPr="009C48DA" w:rsidR="001413B4" w:rsidTr="00AE5EEE" w14:paraId="53A18C5B" w14:textId="77777777">
        <w:tc>
          <w:tcPr>
            <w:tcW w:w="2036" w:type="dxa"/>
            <w:tcBorders>
              <w:top w:val="single" w:color="auto" w:sz="4" w:space="0"/>
              <w:left w:val="nil"/>
              <w:bottom w:val="single" w:color="auto" w:sz="4" w:space="0"/>
              <w:right w:val="nil"/>
            </w:tcBorders>
            <w:hideMark/>
          </w:tcPr>
          <w:p w:rsidRPr="009C48DA" w:rsidR="001413B4" w:rsidP="00AE5EEE" w:rsidRDefault="001413B4" w14:paraId="452E31E9" w14:textId="77777777">
            <w:pPr>
              <w:spacing w:after="120"/>
              <w:rPr>
                <w:rFonts w:cs="Times New Roman"/>
                <w:sz w:val="16"/>
                <w:szCs w:val="16"/>
                <w:lang w:val="en-GB"/>
              </w:rPr>
            </w:pPr>
            <w:r w:rsidRPr="009C48DA">
              <w:rPr>
                <w:rFonts w:cs="Times New Roman"/>
                <w:sz w:val="16"/>
                <w:szCs w:val="16"/>
                <w:lang w:val="en-GB"/>
              </w:rPr>
              <w:t>William Jackson</w:t>
            </w:r>
          </w:p>
        </w:tc>
        <w:tc>
          <w:tcPr>
            <w:tcW w:w="3067" w:type="dxa"/>
            <w:tcBorders>
              <w:top w:val="single" w:color="auto" w:sz="4" w:space="0"/>
              <w:left w:val="nil"/>
              <w:bottom w:val="single" w:color="auto" w:sz="4" w:space="0"/>
              <w:right w:val="nil"/>
            </w:tcBorders>
            <w:hideMark/>
          </w:tcPr>
          <w:p w:rsidRPr="009C48DA" w:rsidR="004C30FB" w:rsidP="00AE5EEE" w:rsidRDefault="004C30FB" w14:paraId="475E6E66" w14:textId="77777777">
            <w:pPr>
              <w:rPr>
                <w:rFonts w:cs="Times New Roman"/>
                <w:sz w:val="16"/>
                <w:szCs w:val="16"/>
                <w:lang w:val="en-GB"/>
              </w:rPr>
            </w:pPr>
            <w:r w:rsidRPr="009C48DA">
              <w:rPr>
                <w:rFonts w:cs="Times New Roman"/>
                <w:sz w:val="16"/>
                <w:szCs w:val="16"/>
                <w:lang w:val="en-GB"/>
              </w:rPr>
              <w:t>Dorna Sports, S.L.</w:t>
            </w:r>
          </w:p>
          <w:p w:rsidRPr="009C48DA" w:rsidR="004C30FB" w:rsidP="00AE5EEE" w:rsidRDefault="004C30FB" w14:paraId="0CBE15E6" w14:textId="77777777">
            <w:pPr>
              <w:rPr>
                <w:rFonts w:cs="Times New Roman"/>
                <w:sz w:val="16"/>
                <w:szCs w:val="16"/>
                <w:lang w:val="en-GB"/>
              </w:rPr>
            </w:pPr>
            <w:r w:rsidRPr="009C48DA">
              <w:rPr>
                <w:rFonts w:cs="Times New Roman"/>
                <w:sz w:val="16"/>
                <w:szCs w:val="16"/>
                <w:lang w:val="en-GB"/>
              </w:rPr>
              <w:t>LORAC (1998) Limited</w:t>
            </w:r>
          </w:p>
          <w:p w:rsidRPr="009C48DA" w:rsidR="004C30FB" w:rsidP="00AE5EEE" w:rsidRDefault="004C30FB" w14:paraId="735AE009" w14:textId="77777777">
            <w:pPr>
              <w:rPr>
                <w:rFonts w:cs="Times New Roman"/>
                <w:sz w:val="16"/>
                <w:szCs w:val="16"/>
                <w:lang w:val="en-GB"/>
              </w:rPr>
            </w:pPr>
            <w:r w:rsidRPr="009C48DA">
              <w:rPr>
                <w:rFonts w:cs="Times New Roman"/>
                <w:sz w:val="16"/>
                <w:szCs w:val="16"/>
                <w:lang w:val="en-GB"/>
              </w:rPr>
              <w:t>LORAC 3 Limited</w:t>
            </w:r>
          </w:p>
          <w:p w:rsidRPr="009C48DA" w:rsidR="004C30FB" w:rsidP="00AE5EEE" w:rsidRDefault="004C30FB" w14:paraId="00519E0D" w14:textId="77777777">
            <w:pPr>
              <w:rPr>
                <w:rFonts w:cs="Times New Roman"/>
                <w:sz w:val="16"/>
                <w:szCs w:val="16"/>
                <w:lang w:val="en-GB"/>
              </w:rPr>
            </w:pPr>
            <w:r w:rsidRPr="009C48DA">
              <w:rPr>
                <w:rFonts w:cs="Times New Roman"/>
                <w:sz w:val="16"/>
                <w:szCs w:val="16"/>
                <w:lang w:val="en-GB"/>
              </w:rPr>
              <w:t>LORAC 4 Limited</w:t>
            </w:r>
          </w:p>
          <w:p w:rsidRPr="009C48DA" w:rsidR="004C30FB" w:rsidP="00AE5EEE" w:rsidRDefault="004C30FB" w14:paraId="56291809" w14:textId="77777777">
            <w:pPr>
              <w:rPr>
                <w:rFonts w:cs="Times New Roman"/>
                <w:sz w:val="16"/>
                <w:szCs w:val="16"/>
                <w:lang w:val="en-GB"/>
              </w:rPr>
            </w:pPr>
            <w:r w:rsidRPr="009C48DA">
              <w:rPr>
                <w:rFonts w:cs="Times New Roman"/>
                <w:sz w:val="16"/>
                <w:szCs w:val="16"/>
                <w:lang w:val="en-GB"/>
              </w:rPr>
              <w:t>LORAC 5991 Limited</w:t>
            </w:r>
          </w:p>
          <w:p w:rsidRPr="009C48DA" w:rsidR="004C30FB" w:rsidP="00AE5EEE" w:rsidRDefault="004C30FB" w14:paraId="018BFDC5" w14:textId="77777777">
            <w:pPr>
              <w:rPr>
                <w:rFonts w:cs="Times New Roman"/>
                <w:sz w:val="16"/>
                <w:szCs w:val="16"/>
                <w:lang w:val="en-GB"/>
              </w:rPr>
            </w:pPr>
            <w:r w:rsidRPr="009C48DA">
              <w:rPr>
                <w:rFonts w:cs="Times New Roman"/>
                <w:sz w:val="16"/>
                <w:szCs w:val="16"/>
                <w:lang w:val="en-GB"/>
              </w:rPr>
              <w:t>Thompson Trustees Limited</w:t>
            </w:r>
          </w:p>
          <w:p w:rsidRPr="009C48DA" w:rsidR="004C30FB" w:rsidP="00AE5EEE" w:rsidRDefault="004C30FB" w14:paraId="72933106" w14:textId="77777777">
            <w:pPr>
              <w:rPr>
                <w:rFonts w:cs="Times New Roman"/>
                <w:sz w:val="16"/>
                <w:szCs w:val="16"/>
                <w:lang w:val="en-GB"/>
              </w:rPr>
            </w:pPr>
            <w:r w:rsidRPr="009C48DA">
              <w:rPr>
                <w:rFonts w:cs="Times New Roman"/>
                <w:sz w:val="16"/>
                <w:szCs w:val="16"/>
                <w:lang w:val="en-GB"/>
              </w:rPr>
              <w:t>Sparkes Developments Limited</w:t>
            </w:r>
          </w:p>
          <w:p w:rsidRPr="009C48DA" w:rsidR="001413B4" w:rsidP="00AE5EEE" w:rsidRDefault="004C30FB" w14:paraId="71F87292" w14:textId="13CCB7CF">
            <w:pPr>
              <w:rPr>
                <w:sz w:val="16"/>
                <w:szCs w:val="16"/>
                <w:lang w:val="en-GB"/>
              </w:rPr>
            </w:pPr>
            <w:r w:rsidRPr="009C48DA">
              <w:rPr>
                <w:rFonts w:cs="Times New Roman"/>
                <w:sz w:val="16"/>
                <w:szCs w:val="16"/>
                <w:lang w:val="en-GB"/>
              </w:rPr>
              <w:t>The Berkeley Group Holdings plc</w:t>
            </w:r>
          </w:p>
        </w:tc>
        <w:tc>
          <w:tcPr>
            <w:tcW w:w="3239" w:type="dxa"/>
            <w:tcBorders>
              <w:top w:val="single" w:color="auto" w:sz="4" w:space="0"/>
              <w:left w:val="nil"/>
              <w:bottom w:val="single" w:color="auto" w:sz="4" w:space="0"/>
              <w:right w:val="nil"/>
            </w:tcBorders>
            <w:hideMark/>
          </w:tcPr>
          <w:p w:rsidRPr="009C48DA" w:rsidR="001413B4" w:rsidP="00AE5EEE" w:rsidRDefault="001413B4" w14:paraId="635043E6" w14:textId="49800439">
            <w:pPr>
              <w:spacing w:after="40"/>
              <w:rPr>
                <w:rFonts w:cs="Times New Roman"/>
                <w:sz w:val="16"/>
                <w:szCs w:val="16"/>
                <w:lang w:val="en-GB"/>
              </w:rPr>
            </w:pPr>
            <w:r w:rsidRPr="009C48DA">
              <w:rPr>
                <w:rFonts w:cs="Times New Roman"/>
                <w:sz w:val="16"/>
                <w:szCs w:val="16"/>
                <w:lang w:val="en-GB"/>
              </w:rPr>
              <w:t>British Land Company plc</w:t>
            </w:r>
          </w:p>
          <w:p w:rsidRPr="009C48DA" w:rsidR="001413B4" w:rsidP="00AE5EEE" w:rsidRDefault="001413B4" w14:paraId="1949A7F2" w14:textId="77777777">
            <w:pPr>
              <w:spacing w:after="40"/>
              <w:rPr>
                <w:rFonts w:cs="Times New Roman"/>
                <w:sz w:val="16"/>
                <w:szCs w:val="16"/>
                <w:lang w:val="en-GB"/>
              </w:rPr>
            </w:pPr>
            <w:r w:rsidRPr="009C48DA">
              <w:rPr>
                <w:rFonts w:cs="Times New Roman"/>
                <w:sz w:val="16"/>
                <w:szCs w:val="16"/>
                <w:lang w:val="en-GB"/>
              </w:rPr>
              <w:t>Pam Group Limited</w:t>
            </w:r>
          </w:p>
          <w:p w:rsidRPr="009C48DA" w:rsidR="001413B4" w:rsidP="00AE5EEE" w:rsidRDefault="00AE5EEE" w14:paraId="39BCBD24" w14:textId="67324700">
            <w:pPr>
              <w:spacing w:after="40"/>
              <w:rPr>
                <w:rFonts w:cs="Times New Roman"/>
                <w:sz w:val="16"/>
                <w:szCs w:val="16"/>
                <w:lang w:val="en-GB"/>
              </w:rPr>
            </w:pPr>
            <w:r w:rsidRPr="009C48DA">
              <w:rPr>
                <w:rFonts w:cs="Times New Roman"/>
                <w:sz w:val="16"/>
                <w:szCs w:val="16"/>
                <w:lang w:val="en-GB"/>
              </w:rPr>
              <w:t xml:space="preserve">Bridgepoint </w:t>
            </w:r>
            <w:r w:rsidRPr="009C48DA" w:rsidR="001413B4">
              <w:rPr>
                <w:rFonts w:cs="Times New Roman"/>
                <w:sz w:val="16"/>
                <w:szCs w:val="16"/>
                <w:lang w:val="en-GB"/>
              </w:rPr>
              <w:t>Capital (Nominees) Limited</w:t>
            </w:r>
          </w:p>
          <w:p w:rsidRPr="009C48DA" w:rsidR="001413B4" w:rsidP="00AE5EEE" w:rsidRDefault="00AE5EEE" w14:paraId="18B0D9D5" w14:textId="5605ED55">
            <w:pPr>
              <w:spacing w:after="40"/>
              <w:rPr>
                <w:sz w:val="16"/>
                <w:szCs w:val="16"/>
                <w:lang w:val="en-GB"/>
              </w:rPr>
            </w:pPr>
            <w:r w:rsidRPr="009C48DA">
              <w:rPr>
                <w:rFonts w:cs="Times New Roman"/>
                <w:sz w:val="16"/>
                <w:szCs w:val="16"/>
                <w:lang w:val="en-GB"/>
              </w:rPr>
              <w:t xml:space="preserve">Bridgepoint </w:t>
            </w:r>
            <w:r w:rsidRPr="009C48DA" w:rsidR="001413B4">
              <w:rPr>
                <w:rFonts w:cs="Times New Roman"/>
                <w:sz w:val="16"/>
                <w:szCs w:val="16"/>
                <w:lang w:val="en-GB"/>
              </w:rPr>
              <w:t>Europe IV (Nominees) Limited</w:t>
            </w:r>
          </w:p>
        </w:tc>
      </w:tr>
      <w:tr w:rsidRPr="009C48DA" w:rsidR="001413B4" w:rsidTr="00AE5EEE" w14:paraId="3102955A" w14:textId="77777777">
        <w:tc>
          <w:tcPr>
            <w:tcW w:w="2036" w:type="dxa"/>
            <w:tcBorders>
              <w:top w:val="single" w:color="auto" w:sz="4" w:space="0"/>
              <w:left w:val="nil"/>
              <w:bottom w:val="single" w:color="auto" w:sz="4" w:space="0"/>
              <w:right w:val="nil"/>
            </w:tcBorders>
          </w:tcPr>
          <w:p w:rsidRPr="009C48DA" w:rsidR="001413B4" w:rsidP="00AE5EEE" w:rsidRDefault="001413B4" w14:paraId="77925FF0" w14:textId="77777777">
            <w:pPr>
              <w:spacing w:after="120"/>
              <w:rPr>
                <w:rFonts w:cs="Times New Roman"/>
                <w:sz w:val="16"/>
                <w:szCs w:val="16"/>
                <w:lang w:val="en-GB"/>
              </w:rPr>
            </w:pPr>
            <w:r w:rsidRPr="009C48DA">
              <w:rPr>
                <w:rFonts w:cs="Times New Roman"/>
                <w:sz w:val="16"/>
                <w:szCs w:val="16"/>
                <w:lang w:val="en-GB"/>
              </w:rPr>
              <w:t>Adam Jones</w:t>
            </w:r>
          </w:p>
        </w:tc>
        <w:tc>
          <w:tcPr>
            <w:tcW w:w="3067" w:type="dxa"/>
            <w:tcBorders>
              <w:top w:val="single" w:color="auto" w:sz="4" w:space="0"/>
              <w:left w:val="nil"/>
              <w:bottom w:val="single" w:color="auto" w:sz="4" w:space="0"/>
              <w:right w:val="nil"/>
            </w:tcBorders>
            <w:hideMark/>
          </w:tcPr>
          <w:p w:rsidRPr="009C48DA" w:rsidR="001413B4" w:rsidP="00AE5EEE" w:rsidRDefault="001413B4" w14:paraId="45777512" w14:textId="4387E3DD">
            <w:pPr>
              <w:rPr>
                <w:rFonts w:cs="Times New Roman"/>
                <w:sz w:val="16"/>
                <w:szCs w:val="16"/>
                <w:lang w:val="en-GB"/>
              </w:rPr>
            </w:pPr>
            <w:r w:rsidRPr="009C48DA">
              <w:rPr>
                <w:rFonts w:cs="Times New Roman"/>
                <w:sz w:val="16"/>
                <w:szCs w:val="16"/>
                <w:lang w:val="en-GB"/>
              </w:rPr>
              <w:t>Azzuri Group Limited</w:t>
            </w:r>
          </w:p>
          <w:p w:rsidRPr="009C48DA" w:rsidR="001413B4" w:rsidP="00AE5EEE" w:rsidRDefault="001413B4" w14:paraId="12D3092F" w14:textId="77777777">
            <w:pPr>
              <w:rPr>
                <w:rFonts w:cs="Times New Roman"/>
                <w:sz w:val="16"/>
                <w:szCs w:val="16"/>
                <w:lang w:val="en-GB"/>
              </w:rPr>
            </w:pPr>
            <w:r w:rsidRPr="009C48DA">
              <w:rPr>
                <w:rFonts w:cs="Times New Roman"/>
                <w:sz w:val="16"/>
                <w:szCs w:val="16"/>
                <w:lang w:val="en-GB"/>
              </w:rPr>
              <w:t>Hampstead Theatre Limited</w:t>
            </w:r>
          </w:p>
          <w:p w:rsidRPr="009C48DA" w:rsidR="001413B4" w:rsidP="00AE5EEE" w:rsidRDefault="001413B4" w14:paraId="45141B27" w14:textId="6612BA98">
            <w:pPr>
              <w:spacing w:after="40"/>
              <w:rPr>
                <w:rFonts w:cs="Times New Roman"/>
                <w:sz w:val="16"/>
                <w:szCs w:val="16"/>
                <w:lang w:val="en-GB"/>
              </w:rPr>
            </w:pPr>
            <w:r w:rsidRPr="009C48DA">
              <w:rPr>
                <w:rFonts w:cs="Times New Roman"/>
                <w:sz w:val="16"/>
                <w:szCs w:val="16"/>
                <w:lang w:val="en-GB"/>
              </w:rPr>
              <w:t>Proud Trade Limited</w:t>
            </w:r>
          </w:p>
        </w:tc>
        <w:tc>
          <w:tcPr>
            <w:tcW w:w="3239" w:type="dxa"/>
            <w:tcBorders>
              <w:top w:val="single" w:color="auto" w:sz="4" w:space="0"/>
              <w:left w:val="nil"/>
              <w:bottom w:val="single" w:color="auto" w:sz="4" w:space="0"/>
              <w:right w:val="nil"/>
            </w:tcBorders>
            <w:hideMark/>
          </w:tcPr>
          <w:p w:rsidRPr="009C48DA" w:rsidR="001413B4" w:rsidP="00AE5EEE" w:rsidRDefault="001413B4" w14:paraId="2F628128" w14:textId="5E01CA7B">
            <w:pPr>
              <w:spacing w:after="40"/>
              <w:rPr>
                <w:rFonts w:cs="Times New Roman"/>
                <w:sz w:val="16"/>
                <w:szCs w:val="16"/>
                <w:lang w:val="en-GB"/>
              </w:rPr>
            </w:pPr>
            <w:r w:rsidRPr="009C48DA">
              <w:rPr>
                <w:rFonts w:cs="Times New Roman"/>
                <w:sz w:val="16"/>
                <w:szCs w:val="16"/>
                <w:lang w:val="en-GB"/>
              </w:rPr>
              <w:t>Prochaine Limited</w:t>
            </w:r>
          </w:p>
          <w:p w:rsidRPr="009C48DA" w:rsidR="001413B4" w:rsidP="00AE5EEE" w:rsidRDefault="001413B4" w14:paraId="7101BB23" w14:textId="77777777">
            <w:pPr>
              <w:spacing w:after="40"/>
              <w:rPr>
                <w:rFonts w:cs="Times New Roman"/>
                <w:sz w:val="16"/>
                <w:szCs w:val="16"/>
                <w:lang w:val="en-GB"/>
              </w:rPr>
            </w:pPr>
            <w:r w:rsidRPr="009C48DA">
              <w:rPr>
                <w:rFonts w:cs="Times New Roman"/>
                <w:sz w:val="16"/>
                <w:szCs w:val="16"/>
                <w:lang w:val="en-GB"/>
              </w:rPr>
              <w:t>Pret A Manger (Netherlands) Limited</w:t>
            </w:r>
          </w:p>
          <w:p w:rsidRPr="009C48DA" w:rsidR="001413B4" w:rsidP="00AE5EEE" w:rsidRDefault="001413B4" w14:paraId="6A752539" w14:textId="77777777">
            <w:pPr>
              <w:spacing w:after="40"/>
              <w:rPr>
                <w:rFonts w:cs="Times New Roman"/>
                <w:sz w:val="16"/>
                <w:szCs w:val="16"/>
                <w:lang w:val="en-GB"/>
              </w:rPr>
            </w:pPr>
            <w:r w:rsidRPr="009C48DA">
              <w:rPr>
                <w:rFonts w:cs="Times New Roman"/>
                <w:sz w:val="16"/>
                <w:szCs w:val="16"/>
                <w:lang w:val="en-GB"/>
              </w:rPr>
              <w:t>Pret A Manger Holdings Limited</w:t>
            </w:r>
          </w:p>
          <w:p w:rsidRPr="009C48DA" w:rsidR="001413B4" w:rsidP="00AE5EEE" w:rsidRDefault="00E43396" w14:paraId="2B21F11F" w14:textId="767816A7">
            <w:pPr>
              <w:spacing w:after="40"/>
              <w:rPr>
                <w:rFonts w:cs="Times New Roman"/>
                <w:sz w:val="16"/>
                <w:szCs w:val="16"/>
                <w:lang w:val="en-GB"/>
              </w:rPr>
            </w:pPr>
            <w:r w:rsidRPr="009C48DA">
              <w:rPr>
                <w:rFonts w:cs="Times New Roman"/>
                <w:sz w:val="16"/>
                <w:szCs w:val="16"/>
                <w:lang w:val="en-GB"/>
              </w:rPr>
              <w:t>Pret A Manger (U</w:t>
            </w:r>
            <w:r w:rsidRPr="009C48DA" w:rsidR="006876CA">
              <w:rPr>
                <w:rFonts w:cs="Times New Roman"/>
                <w:sz w:val="16"/>
                <w:szCs w:val="16"/>
                <w:lang w:val="en-GB"/>
              </w:rPr>
              <w:t>.</w:t>
            </w:r>
            <w:r w:rsidRPr="009C48DA">
              <w:rPr>
                <w:rFonts w:cs="Times New Roman"/>
                <w:sz w:val="16"/>
                <w:szCs w:val="16"/>
                <w:lang w:val="en-GB"/>
              </w:rPr>
              <w:t>K</w:t>
            </w:r>
            <w:r w:rsidRPr="009C48DA" w:rsidR="006876CA">
              <w:rPr>
                <w:rFonts w:cs="Times New Roman"/>
                <w:sz w:val="16"/>
                <w:szCs w:val="16"/>
                <w:lang w:val="en-GB"/>
              </w:rPr>
              <w:t>.</w:t>
            </w:r>
            <w:r w:rsidRPr="009C48DA" w:rsidR="001413B4">
              <w:rPr>
                <w:rFonts w:cs="Times New Roman"/>
                <w:sz w:val="16"/>
                <w:szCs w:val="16"/>
                <w:lang w:val="en-GB"/>
              </w:rPr>
              <w:t>) Limited</w:t>
            </w:r>
          </w:p>
          <w:p w:rsidRPr="009C48DA" w:rsidR="001413B4" w:rsidP="00AE5EEE" w:rsidRDefault="001413B4" w14:paraId="502BFDF0" w14:textId="3098E3AC">
            <w:pPr>
              <w:spacing w:after="40"/>
              <w:rPr>
                <w:rFonts w:cs="Times New Roman"/>
                <w:sz w:val="16"/>
                <w:szCs w:val="16"/>
                <w:lang w:val="en-GB"/>
              </w:rPr>
            </w:pPr>
            <w:r w:rsidRPr="009C48DA">
              <w:rPr>
                <w:rFonts w:cs="Times New Roman"/>
                <w:sz w:val="16"/>
                <w:szCs w:val="16"/>
                <w:lang w:val="en-GB"/>
              </w:rPr>
              <w:t>Pret A Manger Limited</w:t>
            </w:r>
          </w:p>
          <w:p w:rsidRPr="009C48DA" w:rsidR="004353FA" w:rsidP="00AE5EEE" w:rsidRDefault="004353FA" w14:paraId="77C0A36F" w14:textId="77777777">
            <w:pPr>
              <w:spacing w:after="40"/>
              <w:rPr>
                <w:rFonts w:cs="Times New Roman"/>
                <w:sz w:val="16"/>
                <w:szCs w:val="16"/>
                <w:lang w:val="en-GB"/>
              </w:rPr>
            </w:pPr>
            <w:r w:rsidRPr="009C48DA">
              <w:rPr>
                <w:rFonts w:cs="Times New Roman"/>
                <w:sz w:val="16"/>
                <w:szCs w:val="16"/>
                <w:lang w:val="en-GB"/>
              </w:rPr>
              <w:t>Pret (France) SAS</w:t>
            </w:r>
          </w:p>
          <w:p w:rsidRPr="009C48DA" w:rsidR="004353FA" w:rsidP="00AE5EEE" w:rsidRDefault="004353FA" w14:paraId="746306E9" w14:textId="344ADBA0">
            <w:pPr>
              <w:spacing w:after="40"/>
              <w:rPr>
                <w:rFonts w:cs="Times New Roman"/>
                <w:sz w:val="16"/>
                <w:szCs w:val="16"/>
                <w:lang w:val="en-GB"/>
              </w:rPr>
            </w:pPr>
            <w:r w:rsidRPr="009C48DA">
              <w:rPr>
                <w:rFonts w:cs="Times New Roman"/>
                <w:sz w:val="16"/>
                <w:szCs w:val="16"/>
                <w:lang w:val="en-GB"/>
              </w:rPr>
              <w:t>Shanghai Pret Food and Beverages Service Management Co. Ltd</w:t>
            </w:r>
          </w:p>
          <w:p w:rsidRPr="009C48DA" w:rsidR="001413B4" w:rsidP="00AE5EEE" w:rsidRDefault="001413B4" w14:paraId="42B9CB8F" w14:textId="77777777">
            <w:pPr>
              <w:spacing w:after="40"/>
              <w:rPr>
                <w:rFonts w:cs="Times New Roman"/>
                <w:sz w:val="16"/>
                <w:szCs w:val="16"/>
                <w:lang w:val="en-GB"/>
              </w:rPr>
            </w:pPr>
            <w:r w:rsidRPr="009C48DA">
              <w:rPr>
                <w:rFonts w:cs="Times New Roman"/>
                <w:sz w:val="16"/>
                <w:szCs w:val="16"/>
                <w:lang w:val="en-GB"/>
              </w:rPr>
              <w:t>Pret Limited</w:t>
            </w:r>
          </w:p>
          <w:p w:rsidRPr="009C48DA" w:rsidR="001413B4" w:rsidP="00AE5EEE" w:rsidRDefault="001413B4" w14:paraId="6CC311F3" w14:textId="77777777">
            <w:pPr>
              <w:spacing w:after="40"/>
              <w:rPr>
                <w:rFonts w:cs="Times New Roman"/>
                <w:sz w:val="16"/>
                <w:szCs w:val="16"/>
                <w:lang w:val="en-GB"/>
              </w:rPr>
            </w:pPr>
            <w:r w:rsidRPr="009C48DA">
              <w:rPr>
                <w:rFonts w:cs="Times New Roman"/>
                <w:sz w:val="16"/>
                <w:szCs w:val="16"/>
                <w:lang w:val="en-GB"/>
              </w:rPr>
              <w:t>Shire Cape Limited</w:t>
            </w:r>
          </w:p>
          <w:p w:rsidRPr="009C48DA" w:rsidR="001413B4" w:rsidP="00AE5EEE" w:rsidRDefault="001413B4" w14:paraId="129491CA" w14:textId="77777777">
            <w:pPr>
              <w:spacing w:after="40"/>
              <w:rPr>
                <w:rFonts w:cs="Times New Roman"/>
                <w:sz w:val="16"/>
                <w:szCs w:val="16"/>
                <w:lang w:val="en-GB"/>
              </w:rPr>
            </w:pPr>
            <w:r w:rsidRPr="009C48DA">
              <w:rPr>
                <w:rFonts w:cs="Times New Roman"/>
                <w:sz w:val="16"/>
                <w:szCs w:val="16"/>
                <w:lang w:val="en-GB"/>
              </w:rPr>
              <w:t>Arriveobtain Limited</w:t>
            </w:r>
          </w:p>
          <w:p w:rsidRPr="009C48DA" w:rsidR="001413B4" w:rsidP="00AE5EEE" w:rsidRDefault="001413B4" w14:paraId="68A9A542" w14:textId="77777777">
            <w:pPr>
              <w:spacing w:after="40"/>
              <w:rPr>
                <w:rFonts w:cs="Times New Roman"/>
                <w:sz w:val="16"/>
                <w:szCs w:val="16"/>
                <w:lang w:val="en-GB"/>
              </w:rPr>
            </w:pPr>
            <w:r w:rsidRPr="009C48DA">
              <w:rPr>
                <w:rFonts w:cs="Times New Roman"/>
                <w:sz w:val="16"/>
                <w:szCs w:val="16"/>
                <w:lang w:val="en-GB"/>
              </w:rPr>
              <w:t>Peartree Green Limited</w:t>
            </w:r>
          </w:p>
          <w:p w:rsidRPr="009C48DA" w:rsidR="001413B4" w:rsidP="00AE5EEE" w:rsidRDefault="001413B4" w14:paraId="4F35BBA1" w14:textId="77777777">
            <w:pPr>
              <w:spacing w:after="40"/>
              <w:rPr>
                <w:rFonts w:cs="Times New Roman"/>
                <w:sz w:val="16"/>
                <w:szCs w:val="16"/>
                <w:lang w:val="en-GB"/>
              </w:rPr>
            </w:pPr>
            <w:r w:rsidRPr="009C48DA">
              <w:rPr>
                <w:rFonts w:cs="Times New Roman"/>
                <w:sz w:val="16"/>
                <w:szCs w:val="16"/>
                <w:lang w:val="en-GB"/>
              </w:rPr>
              <w:t>Pret A Manger (G.B.) Limited</w:t>
            </w:r>
          </w:p>
          <w:p w:rsidRPr="009C48DA" w:rsidR="001413B4" w:rsidP="00AE5EEE" w:rsidRDefault="001413B4" w14:paraId="5B6BE37B" w14:textId="77777777">
            <w:pPr>
              <w:spacing w:after="40"/>
              <w:rPr>
                <w:rFonts w:cs="Times New Roman"/>
                <w:sz w:val="16"/>
                <w:szCs w:val="16"/>
                <w:lang w:val="en-GB"/>
              </w:rPr>
            </w:pPr>
            <w:r w:rsidRPr="009C48DA">
              <w:rPr>
                <w:rFonts w:cs="Times New Roman"/>
                <w:sz w:val="16"/>
                <w:szCs w:val="16"/>
                <w:lang w:val="en-GB"/>
              </w:rPr>
              <w:t>Action Rock Limited</w:t>
            </w:r>
          </w:p>
          <w:p w:rsidRPr="009C48DA" w:rsidR="001413B4" w:rsidP="00AE5EEE" w:rsidRDefault="001413B4" w14:paraId="5502D746" w14:textId="77777777">
            <w:pPr>
              <w:spacing w:after="40"/>
              <w:rPr>
                <w:rFonts w:cs="Times New Roman"/>
                <w:sz w:val="16"/>
                <w:szCs w:val="16"/>
                <w:lang w:val="en-GB"/>
              </w:rPr>
            </w:pPr>
            <w:r w:rsidRPr="009C48DA">
              <w:rPr>
                <w:rFonts w:cs="Times New Roman"/>
                <w:sz w:val="16"/>
                <w:szCs w:val="16"/>
                <w:lang w:val="en-GB"/>
              </w:rPr>
              <w:t>PAM Subco Limited</w:t>
            </w:r>
          </w:p>
          <w:p w:rsidRPr="009C48DA" w:rsidR="001413B4" w:rsidP="00AE5EEE" w:rsidRDefault="001413B4" w14:paraId="6909805A" w14:textId="77777777">
            <w:pPr>
              <w:spacing w:after="40"/>
              <w:rPr>
                <w:rFonts w:cs="Times New Roman"/>
                <w:sz w:val="16"/>
                <w:szCs w:val="16"/>
                <w:lang w:val="en-GB"/>
              </w:rPr>
            </w:pPr>
            <w:r w:rsidRPr="009C48DA">
              <w:rPr>
                <w:rFonts w:cs="Times New Roman"/>
                <w:sz w:val="16"/>
                <w:szCs w:val="16"/>
                <w:lang w:val="en-GB"/>
              </w:rPr>
              <w:t>PAM Group Limited</w:t>
            </w:r>
          </w:p>
          <w:p w:rsidRPr="009C48DA" w:rsidR="001413B4" w:rsidP="00AE5EEE" w:rsidRDefault="001413B4" w14:paraId="2C8DFA6D" w14:textId="77777777">
            <w:pPr>
              <w:spacing w:after="40"/>
              <w:rPr>
                <w:rFonts w:cs="Times New Roman"/>
                <w:sz w:val="16"/>
                <w:szCs w:val="16"/>
                <w:lang w:val="en-GB"/>
              </w:rPr>
            </w:pPr>
            <w:r w:rsidRPr="009C48DA">
              <w:rPr>
                <w:rFonts w:cs="Times New Roman"/>
                <w:sz w:val="16"/>
                <w:szCs w:val="16"/>
                <w:lang w:val="en-GB"/>
              </w:rPr>
              <w:t>Pret A Manger (Europe) Limited</w:t>
            </w:r>
          </w:p>
          <w:p w:rsidRPr="009C48DA" w:rsidR="001413B4" w:rsidP="00AE5EEE" w:rsidRDefault="001413B4" w14:paraId="5DCCF97E" w14:textId="77777777">
            <w:pPr>
              <w:spacing w:after="40"/>
              <w:rPr>
                <w:rFonts w:cs="Times New Roman"/>
                <w:sz w:val="16"/>
                <w:szCs w:val="16"/>
                <w:lang w:val="en-GB"/>
              </w:rPr>
            </w:pPr>
            <w:r w:rsidRPr="009C48DA">
              <w:rPr>
                <w:rFonts w:cs="Times New Roman"/>
                <w:sz w:val="16"/>
                <w:szCs w:val="16"/>
                <w:lang w:val="en-GB"/>
              </w:rPr>
              <w:t>Pret A Manger (USA) Limited</w:t>
            </w:r>
          </w:p>
          <w:p w:rsidRPr="009C48DA" w:rsidR="001413B4" w:rsidP="00AE5EEE" w:rsidRDefault="001413B4" w14:paraId="1B8C4512" w14:textId="77777777">
            <w:pPr>
              <w:spacing w:after="40"/>
              <w:rPr>
                <w:rFonts w:cs="Times New Roman"/>
                <w:sz w:val="16"/>
                <w:szCs w:val="16"/>
                <w:lang w:val="en-GB"/>
              </w:rPr>
            </w:pPr>
            <w:r w:rsidRPr="009C48DA">
              <w:rPr>
                <w:rFonts w:cs="Times New Roman"/>
                <w:sz w:val="16"/>
                <w:szCs w:val="16"/>
                <w:lang w:val="en-GB"/>
              </w:rPr>
              <w:t>Pret A Manger (Hong Kong) Limited</w:t>
            </w:r>
          </w:p>
          <w:p w:rsidRPr="009C48DA" w:rsidR="001413B4" w:rsidP="00AE5EEE" w:rsidRDefault="004353FA" w14:paraId="6F428566" w14:textId="77907430">
            <w:pPr>
              <w:spacing w:after="40"/>
              <w:rPr>
                <w:rFonts w:cs="Times New Roman"/>
                <w:sz w:val="16"/>
                <w:szCs w:val="16"/>
                <w:lang w:val="en-GB"/>
              </w:rPr>
            </w:pPr>
            <w:r w:rsidRPr="009C48DA">
              <w:rPr>
                <w:rFonts w:cs="Times New Roman"/>
                <w:sz w:val="16"/>
                <w:szCs w:val="16"/>
                <w:lang w:val="en-GB"/>
              </w:rPr>
              <w:t>PAM AcquisitionC</w:t>
            </w:r>
            <w:r w:rsidRPr="009C48DA" w:rsidR="001413B4">
              <w:rPr>
                <w:rFonts w:cs="Times New Roman"/>
                <w:sz w:val="16"/>
                <w:szCs w:val="16"/>
                <w:lang w:val="en-GB"/>
              </w:rPr>
              <w:t>o Limited</w:t>
            </w:r>
          </w:p>
          <w:p w:rsidRPr="009C48DA" w:rsidR="001413B4" w:rsidP="00AE5EEE" w:rsidRDefault="001413B4" w14:paraId="66048D4B" w14:textId="77777777">
            <w:pPr>
              <w:spacing w:after="40"/>
              <w:rPr>
                <w:rFonts w:cs="Times New Roman"/>
                <w:sz w:val="16"/>
                <w:szCs w:val="16"/>
                <w:lang w:val="en-GB"/>
              </w:rPr>
            </w:pPr>
            <w:r w:rsidRPr="009C48DA">
              <w:rPr>
                <w:rFonts w:cs="Times New Roman"/>
                <w:sz w:val="16"/>
                <w:szCs w:val="16"/>
                <w:lang w:val="en-GB"/>
              </w:rPr>
              <w:t>Pret UK Limited</w:t>
            </w:r>
          </w:p>
          <w:p w:rsidRPr="009C48DA" w:rsidR="001413B4" w:rsidP="00AE5EEE" w:rsidRDefault="001413B4" w14:paraId="713DA78B" w14:textId="77777777">
            <w:pPr>
              <w:spacing w:after="40"/>
              <w:rPr>
                <w:rFonts w:cs="Times New Roman"/>
                <w:sz w:val="16"/>
                <w:szCs w:val="16"/>
                <w:lang w:val="en-GB"/>
              </w:rPr>
            </w:pPr>
            <w:r w:rsidRPr="009C48DA">
              <w:rPr>
                <w:rFonts w:cs="Times New Roman"/>
                <w:sz w:val="16"/>
                <w:szCs w:val="16"/>
                <w:lang w:val="en-GB"/>
              </w:rPr>
              <w:t>Stoker Foods Limited</w:t>
            </w:r>
          </w:p>
          <w:p w:rsidRPr="009C48DA" w:rsidR="004353FA" w:rsidP="00AE5EEE" w:rsidRDefault="004353FA" w14:paraId="6D976A22" w14:textId="77777777">
            <w:pPr>
              <w:spacing w:after="40"/>
              <w:rPr>
                <w:bCs/>
                <w:sz w:val="16"/>
                <w:szCs w:val="16"/>
                <w:lang w:val="en-GB"/>
              </w:rPr>
            </w:pPr>
            <w:r w:rsidRPr="009C48DA">
              <w:rPr>
                <w:bCs/>
                <w:sz w:val="16"/>
                <w:szCs w:val="16"/>
                <w:lang w:val="en-GB"/>
              </w:rPr>
              <w:lastRenderedPageBreak/>
              <w:t>Pret (Hong Kong) Limited</w:t>
            </w:r>
          </w:p>
          <w:p w:rsidRPr="009C48DA" w:rsidR="004353FA" w:rsidP="00AE5EEE" w:rsidRDefault="004353FA" w14:paraId="64CF8E44" w14:textId="77777777">
            <w:pPr>
              <w:spacing w:after="40"/>
              <w:rPr>
                <w:bCs/>
                <w:sz w:val="16"/>
                <w:szCs w:val="16"/>
                <w:lang w:val="en-GB"/>
              </w:rPr>
            </w:pPr>
            <w:r w:rsidRPr="009C48DA">
              <w:rPr>
                <w:bCs/>
                <w:sz w:val="16"/>
                <w:szCs w:val="16"/>
                <w:lang w:val="en-GB"/>
              </w:rPr>
              <w:t>Pret 100 Central Park South Inc.</w:t>
            </w:r>
          </w:p>
          <w:p w:rsidRPr="009C48DA" w:rsidR="004353FA" w:rsidP="00AE5EEE" w:rsidRDefault="004353FA" w14:paraId="0991A08C" w14:textId="77777777">
            <w:pPr>
              <w:spacing w:after="40"/>
              <w:rPr>
                <w:bCs/>
                <w:sz w:val="16"/>
                <w:szCs w:val="16"/>
                <w:lang w:val="en-GB"/>
              </w:rPr>
            </w:pPr>
            <w:r w:rsidRPr="009C48DA">
              <w:rPr>
                <w:bCs/>
                <w:sz w:val="16"/>
                <w:szCs w:val="16"/>
                <w:lang w:val="en-GB"/>
              </w:rPr>
              <w:t>Pret 100 Church Street, Inc.</w:t>
            </w:r>
          </w:p>
          <w:p w:rsidRPr="009C48DA" w:rsidR="004353FA" w:rsidP="00AE5EEE" w:rsidRDefault="004353FA" w14:paraId="32C8C62B" w14:textId="77777777">
            <w:pPr>
              <w:spacing w:after="40"/>
              <w:rPr>
                <w:bCs/>
                <w:sz w:val="16"/>
                <w:szCs w:val="16"/>
                <w:lang w:val="en-GB"/>
              </w:rPr>
            </w:pPr>
            <w:r w:rsidRPr="009C48DA">
              <w:rPr>
                <w:bCs/>
                <w:sz w:val="16"/>
                <w:szCs w:val="16"/>
                <w:lang w:val="en-GB"/>
              </w:rPr>
              <w:t>Pret 100 North LaSalle, Inc.</w:t>
            </w:r>
          </w:p>
          <w:p w:rsidRPr="009C48DA" w:rsidR="004353FA" w:rsidP="00AE5EEE" w:rsidRDefault="004353FA" w14:paraId="5B673902" w14:textId="77777777">
            <w:pPr>
              <w:spacing w:after="40"/>
              <w:rPr>
                <w:bCs/>
                <w:sz w:val="16"/>
                <w:szCs w:val="16"/>
                <w:lang w:val="en-GB"/>
              </w:rPr>
            </w:pPr>
            <w:r w:rsidRPr="009C48DA">
              <w:rPr>
                <w:bCs/>
                <w:sz w:val="16"/>
                <w:szCs w:val="16"/>
                <w:lang w:val="en-GB"/>
              </w:rPr>
              <w:t>Pret 101 Arch Street, Inc.</w:t>
            </w:r>
          </w:p>
          <w:p w:rsidRPr="009C48DA" w:rsidR="004353FA" w:rsidP="00AE5EEE" w:rsidRDefault="004353FA" w14:paraId="2202F651" w14:textId="77777777">
            <w:pPr>
              <w:spacing w:after="40"/>
              <w:rPr>
                <w:bCs/>
                <w:sz w:val="16"/>
                <w:szCs w:val="16"/>
                <w:lang w:val="en-GB"/>
              </w:rPr>
            </w:pPr>
            <w:r w:rsidRPr="009C48DA">
              <w:rPr>
                <w:bCs/>
                <w:sz w:val="16"/>
                <w:szCs w:val="16"/>
                <w:lang w:val="en-GB"/>
              </w:rPr>
              <w:t>Pret 1020 Sixth Avenue, Inc.</w:t>
            </w:r>
          </w:p>
          <w:p w:rsidRPr="009C48DA" w:rsidR="004353FA" w:rsidP="00AE5EEE" w:rsidRDefault="004353FA" w14:paraId="66B04D2D" w14:textId="77777777">
            <w:pPr>
              <w:spacing w:after="40"/>
              <w:rPr>
                <w:bCs/>
                <w:sz w:val="16"/>
                <w:szCs w:val="16"/>
                <w:lang w:val="en-GB"/>
              </w:rPr>
            </w:pPr>
            <w:r w:rsidRPr="009C48DA">
              <w:rPr>
                <w:bCs/>
                <w:sz w:val="16"/>
                <w:szCs w:val="16"/>
                <w:lang w:val="en-GB"/>
              </w:rPr>
              <w:t>Pret 104 South Michigan Inc.</w:t>
            </w:r>
          </w:p>
          <w:p w:rsidRPr="009C48DA" w:rsidR="004353FA" w:rsidP="00AE5EEE" w:rsidRDefault="004353FA" w14:paraId="148DA9B1" w14:textId="77777777">
            <w:pPr>
              <w:spacing w:after="40"/>
              <w:rPr>
                <w:bCs/>
                <w:sz w:val="16"/>
                <w:szCs w:val="16"/>
                <w:lang w:val="en-GB"/>
              </w:rPr>
            </w:pPr>
            <w:r w:rsidRPr="009C48DA">
              <w:rPr>
                <w:bCs/>
                <w:sz w:val="16"/>
                <w:szCs w:val="16"/>
                <w:lang w:val="en-GB"/>
              </w:rPr>
              <w:t>Pret 106 West 32nd Street Inc.</w:t>
            </w:r>
          </w:p>
          <w:p w:rsidRPr="009C48DA" w:rsidR="004353FA" w:rsidP="00AE5EEE" w:rsidRDefault="004353FA" w14:paraId="19B3A5D3" w14:textId="77777777">
            <w:pPr>
              <w:spacing w:after="40"/>
              <w:rPr>
                <w:bCs/>
                <w:sz w:val="16"/>
                <w:szCs w:val="16"/>
                <w:lang w:val="en-GB"/>
              </w:rPr>
            </w:pPr>
            <w:r w:rsidRPr="009C48DA">
              <w:rPr>
                <w:bCs/>
                <w:sz w:val="16"/>
                <w:szCs w:val="16"/>
                <w:lang w:val="en-GB"/>
              </w:rPr>
              <w:t>Pret 1071 Avenue of the Americas Inc.</w:t>
            </w:r>
          </w:p>
          <w:p w:rsidRPr="009C48DA" w:rsidR="004353FA" w:rsidP="00AE5EEE" w:rsidRDefault="004353FA" w14:paraId="1BED3DD0" w14:textId="77777777">
            <w:pPr>
              <w:spacing w:after="40"/>
              <w:rPr>
                <w:bCs/>
                <w:sz w:val="16"/>
                <w:szCs w:val="16"/>
                <w:lang w:val="en-GB"/>
              </w:rPr>
            </w:pPr>
            <w:r w:rsidRPr="009C48DA">
              <w:rPr>
                <w:bCs/>
                <w:sz w:val="16"/>
                <w:szCs w:val="16"/>
                <w:lang w:val="en-GB"/>
              </w:rPr>
              <w:t>Pret 11 West 42, Inc.</w:t>
            </w:r>
          </w:p>
          <w:p w:rsidRPr="009C48DA" w:rsidR="004353FA" w:rsidP="00AE5EEE" w:rsidRDefault="004353FA" w14:paraId="776903D7" w14:textId="77777777">
            <w:pPr>
              <w:spacing w:after="40"/>
              <w:rPr>
                <w:bCs/>
                <w:sz w:val="16"/>
                <w:szCs w:val="16"/>
                <w:lang w:val="en-GB"/>
              </w:rPr>
            </w:pPr>
            <w:r w:rsidRPr="009C48DA">
              <w:rPr>
                <w:bCs/>
                <w:sz w:val="16"/>
                <w:szCs w:val="16"/>
                <w:lang w:val="en-GB"/>
              </w:rPr>
              <w:t>Pret 1153 Broadway Inc.</w:t>
            </w:r>
          </w:p>
          <w:p w:rsidRPr="009C48DA" w:rsidR="004353FA" w:rsidP="00AE5EEE" w:rsidRDefault="004353FA" w14:paraId="12C5408D" w14:textId="77777777">
            <w:pPr>
              <w:spacing w:after="40"/>
              <w:rPr>
                <w:bCs/>
                <w:sz w:val="16"/>
                <w:szCs w:val="16"/>
                <w:lang w:val="en-GB"/>
              </w:rPr>
            </w:pPr>
            <w:r w:rsidRPr="009C48DA">
              <w:rPr>
                <w:bCs/>
                <w:sz w:val="16"/>
                <w:szCs w:val="16"/>
                <w:lang w:val="en-GB"/>
              </w:rPr>
              <w:t>Pret 11th and F Street DC, Inc.</w:t>
            </w:r>
          </w:p>
          <w:p w:rsidRPr="009C48DA" w:rsidR="004353FA" w:rsidP="00AE5EEE" w:rsidRDefault="004353FA" w14:paraId="344A1500" w14:textId="77777777">
            <w:pPr>
              <w:spacing w:after="40"/>
              <w:rPr>
                <w:bCs/>
                <w:sz w:val="16"/>
                <w:szCs w:val="16"/>
                <w:lang w:val="en-GB"/>
              </w:rPr>
            </w:pPr>
            <w:r w:rsidRPr="009C48DA">
              <w:rPr>
                <w:bCs/>
                <w:sz w:val="16"/>
                <w:szCs w:val="16"/>
                <w:lang w:val="en-GB"/>
              </w:rPr>
              <w:t>Pret 120 South Riverside Inc.</w:t>
            </w:r>
          </w:p>
          <w:p w:rsidRPr="009C48DA" w:rsidR="004353FA" w:rsidP="00AE5EEE" w:rsidRDefault="004353FA" w14:paraId="1914682F" w14:textId="77777777">
            <w:pPr>
              <w:spacing w:after="40"/>
              <w:rPr>
                <w:bCs/>
                <w:sz w:val="16"/>
                <w:szCs w:val="16"/>
                <w:lang w:val="en-GB"/>
              </w:rPr>
            </w:pPr>
            <w:r w:rsidRPr="009C48DA">
              <w:rPr>
                <w:bCs/>
                <w:sz w:val="16"/>
                <w:szCs w:val="16"/>
                <w:lang w:val="en-GB"/>
              </w:rPr>
              <w:t>Pret 1200 Avenue of the Americas Inc.</w:t>
            </w:r>
          </w:p>
          <w:p w:rsidRPr="009C48DA" w:rsidR="004353FA" w:rsidP="00AE5EEE" w:rsidRDefault="004353FA" w14:paraId="3EED9BFB" w14:textId="77777777">
            <w:pPr>
              <w:spacing w:after="40"/>
              <w:rPr>
                <w:bCs/>
                <w:sz w:val="16"/>
                <w:szCs w:val="16"/>
                <w:lang w:val="en-GB"/>
              </w:rPr>
            </w:pPr>
            <w:r w:rsidRPr="009C48DA">
              <w:rPr>
                <w:bCs/>
                <w:sz w:val="16"/>
                <w:szCs w:val="16"/>
                <w:lang w:val="en-GB"/>
              </w:rPr>
              <w:t>Pret 122 East 42, Inc.</w:t>
            </w:r>
          </w:p>
          <w:p w:rsidRPr="009C48DA" w:rsidR="004353FA" w:rsidP="00AE5EEE" w:rsidRDefault="004353FA" w14:paraId="3C85BBE8" w14:textId="77777777">
            <w:pPr>
              <w:spacing w:after="40"/>
              <w:rPr>
                <w:bCs/>
                <w:sz w:val="16"/>
                <w:szCs w:val="16"/>
                <w:lang w:val="en-GB"/>
              </w:rPr>
            </w:pPr>
            <w:r w:rsidRPr="009C48DA">
              <w:rPr>
                <w:bCs/>
                <w:sz w:val="16"/>
                <w:szCs w:val="16"/>
                <w:lang w:val="en-GB"/>
              </w:rPr>
              <w:t>Pret 125 Chambers Street Inc.</w:t>
            </w:r>
          </w:p>
          <w:p w:rsidRPr="009C48DA" w:rsidR="004353FA" w:rsidP="00AE5EEE" w:rsidRDefault="004353FA" w14:paraId="7186974F" w14:textId="77777777">
            <w:pPr>
              <w:spacing w:after="40"/>
              <w:rPr>
                <w:bCs/>
                <w:sz w:val="16"/>
                <w:szCs w:val="16"/>
                <w:lang w:val="en-GB"/>
              </w:rPr>
            </w:pPr>
            <w:r w:rsidRPr="009C48DA">
              <w:rPr>
                <w:bCs/>
                <w:sz w:val="16"/>
                <w:szCs w:val="16"/>
                <w:lang w:val="en-GB"/>
              </w:rPr>
              <w:t>Pret 1275 Pennsylvania Avenue Inc.</w:t>
            </w:r>
          </w:p>
          <w:p w:rsidRPr="009C48DA" w:rsidR="004353FA" w:rsidP="00AE5EEE" w:rsidRDefault="004353FA" w14:paraId="53679E58" w14:textId="77777777">
            <w:pPr>
              <w:spacing w:after="40"/>
              <w:rPr>
                <w:bCs/>
                <w:sz w:val="16"/>
                <w:szCs w:val="16"/>
                <w:lang w:val="en-GB"/>
              </w:rPr>
            </w:pPr>
            <w:r w:rsidRPr="009C48DA">
              <w:rPr>
                <w:bCs/>
                <w:sz w:val="16"/>
                <w:szCs w:val="16"/>
                <w:lang w:val="en-GB"/>
              </w:rPr>
              <w:t>Pret 1350 Sixth, Inc.</w:t>
            </w:r>
          </w:p>
          <w:p w:rsidRPr="009C48DA" w:rsidR="004353FA" w:rsidP="00AE5EEE" w:rsidRDefault="004353FA" w14:paraId="49327E7E" w14:textId="77777777">
            <w:pPr>
              <w:spacing w:after="40"/>
              <w:rPr>
                <w:bCs/>
                <w:sz w:val="16"/>
                <w:szCs w:val="16"/>
                <w:lang w:val="en-GB"/>
              </w:rPr>
            </w:pPr>
            <w:r w:rsidRPr="009C48DA">
              <w:rPr>
                <w:bCs/>
                <w:sz w:val="16"/>
                <w:szCs w:val="16"/>
                <w:lang w:val="en-GB"/>
              </w:rPr>
              <w:t>Pret 1399 New York Avenue, Inc.</w:t>
            </w:r>
          </w:p>
          <w:p w:rsidRPr="009C48DA" w:rsidR="004353FA" w:rsidP="00AE5EEE" w:rsidRDefault="004353FA" w14:paraId="312B9086" w14:textId="77777777">
            <w:pPr>
              <w:spacing w:after="40"/>
              <w:rPr>
                <w:bCs/>
                <w:sz w:val="16"/>
                <w:szCs w:val="16"/>
                <w:lang w:val="en-GB"/>
              </w:rPr>
            </w:pPr>
            <w:r w:rsidRPr="009C48DA">
              <w:rPr>
                <w:bCs/>
                <w:sz w:val="16"/>
                <w:szCs w:val="16"/>
                <w:lang w:val="en-GB"/>
              </w:rPr>
              <w:t>Pret 1410 Broadway, Inc.</w:t>
            </w:r>
          </w:p>
          <w:p w:rsidRPr="009C48DA" w:rsidR="004353FA" w:rsidP="00AE5EEE" w:rsidRDefault="004353FA" w14:paraId="6F543BF8" w14:textId="77777777">
            <w:pPr>
              <w:spacing w:after="40"/>
              <w:rPr>
                <w:bCs/>
                <w:sz w:val="16"/>
                <w:szCs w:val="16"/>
                <w:lang w:val="en-GB"/>
              </w:rPr>
            </w:pPr>
            <w:r w:rsidRPr="009C48DA">
              <w:rPr>
                <w:bCs/>
                <w:sz w:val="16"/>
                <w:szCs w:val="16"/>
                <w:lang w:val="en-GB"/>
              </w:rPr>
              <w:t>Pret 1432 K Street, Inc</w:t>
            </w:r>
          </w:p>
          <w:p w:rsidRPr="009C48DA" w:rsidR="004353FA" w:rsidP="00AE5EEE" w:rsidRDefault="004353FA" w14:paraId="0D8D8A64" w14:textId="77777777">
            <w:pPr>
              <w:spacing w:after="40"/>
              <w:rPr>
                <w:bCs/>
                <w:sz w:val="16"/>
                <w:szCs w:val="16"/>
                <w:lang w:val="en-GB"/>
              </w:rPr>
            </w:pPr>
            <w:r w:rsidRPr="009C48DA">
              <w:rPr>
                <w:bCs/>
                <w:sz w:val="16"/>
                <w:szCs w:val="16"/>
                <w:lang w:val="en-GB"/>
              </w:rPr>
              <w:t>Pret 1700 Broadway Inc.</w:t>
            </w:r>
          </w:p>
          <w:p w:rsidRPr="009C48DA" w:rsidR="004353FA" w:rsidP="00AE5EEE" w:rsidRDefault="004353FA" w14:paraId="0A02C405" w14:textId="77777777">
            <w:pPr>
              <w:spacing w:after="40"/>
              <w:rPr>
                <w:bCs/>
                <w:sz w:val="16"/>
                <w:szCs w:val="16"/>
                <w:lang w:val="en-GB"/>
              </w:rPr>
            </w:pPr>
            <w:r w:rsidRPr="009C48DA">
              <w:rPr>
                <w:bCs/>
                <w:sz w:val="16"/>
                <w:szCs w:val="16"/>
                <w:lang w:val="en-GB"/>
              </w:rPr>
              <w:t>Pret 1701 K Street Inc.</w:t>
            </w:r>
          </w:p>
          <w:p w:rsidRPr="009C48DA" w:rsidR="004353FA" w:rsidP="00AE5EEE" w:rsidRDefault="004353FA" w14:paraId="2726B54E" w14:textId="77777777">
            <w:pPr>
              <w:spacing w:after="40"/>
              <w:rPr>
                <w:bCs/>
                <w:sz w:val="16"/>
                <w:szCs w:val="16"/>
                <w:lang w:val="en-GB"/>
              </w:rPr>
            </w:pPr>
            <w:r w:rsidRPr="009C48DA">
              <w:rPr>
                <w:bCs/>
                <w:sz w:val="16"/>
                <w:szCs w:val="16"/>
                <w:lang w:val="en-GB"/>
              </w:rPr>
              <w:t>Pret 1756 Broadway, Inc.</w:t>
            </w:r>
          </w:p>
          <w:p w:rsidRPr="009C48DA" w:rsidR="004353FA" w:rsidP="00AE5EEE" w:rsidRDefault="004353FA" w14:paraId="130641BD" w14:textId="77777777">
            <w:pPr>
              <w:spacing w:after="40"/>
              <w:rPr>
                <w:bCs/>
                <w:sz w:val="16"/>
                <w:szCs w:val="16"/>
                <w:lang w:val="en-GB"/>
              </w:rPr>
            </w:pPr>
            <w:r w:rsidRPr="009C48DA">
              <w:rPr>
                <w:bCs/>
                <w:sz w:val="16"/>
                <w:szCs w:val="16"/>
                <w:lang w:val="en-GB"/>
              </w:rPr>
              <w:t>Pret 176 Federal Street Inc</w:t>
            </w:r>
          </w:p>
          <w:p w:rsidRPr="009C48DA" w:rsidR="004353FA" w:rsidP="00AE5EEE" w:rsidRDefault="004353FA" w14:paraId="72149F50" w14:textId="77777777">
            <w:pPr>
              <w:spacing w:after="40"/>
              <w:rPr>
                <w:bCs/>
                <w:sz w:val="16"/>
                <w:szCs w:val="16"/>
                <w:lang w:val="en-GB"/>
              </w:rPr>
            </w:pPr>
            <w:r w:rsidRPr="009C48DA">
              <w:rPr>
                <w:bCs/>
                <w:sz w:val="16"/>
                <w:szCs w:val="16"/>
                <w:lang w:val="en-GB"/>
              </w:rPr>
              <w:t>Pret 179 Broadway, Inc.</w:t>
            </w:r>
          </w:p>
          <w:p w:rsidRPr="009C48DA" w:rsidR="004353FA" w:rsidP="00AE5EEE" w:rsidRDefault="004353FA" w14:paraId="1C30ADFC" w14:textId="77777777">
            <w:pPr>
              <w:spacing w:after="40"/>
              <w:rPr>
                <w:bCs/>
                <w:sz w:val="16"/>
                <w:szCs w:val="16"/>
                <w:lang w:val="en-GB"/>
              </w:rPr>
            </w:pPr>
            <w:r w:rsidRPr="009C48DA">
              <w:rPr>
                <w:bCs/>
                <w:sz w:val="16"/>
                <w:szCs w:val="16"/>
                <w:lang w:val="en-GB"/>
              </w:rPr>
              <w:t>Pret 1800 M Street Inc.</w:t>
            </w:r>
          </w:p>
          <w:p w:rsidRPr="009C48DA" w:rsidR="004353FA" w:rsidP="00AE5EEE" w:rsidRDefault="004353FA" w14:paraId="128F6202" w14:textId="77777777">
            <w:pPr>
              <w:spacing w:after="40"/>
              <w:rPr>
                <w:bCs/>
                <w:sz w:val="16"/>
                <w:szCs w:val="16"/>
                <w:lang w:val="en-GB"/>
              </w:rPr>
            </w:pPr>
            <w:r w:rsidRPr="009C48DA">
              <w:rPr>
                <w:bCs/>
                <w:sz w:val="16"/>
                <w:szCs w:val="16"/>
                <w:lang w:val="en-GB"/>
              </w:rPr>
              <w:t>Pret 1825 Eye Street, Inc.</w:t>
            </w:r>
          </w:p>
          <w:p w:rsidRPr="009C48DA" w:rsidR="004353FA" w:rsidP="00AE5EEE" w:rsidRDefault="004353FA" w14:paraId="21AFA8D1" w14:textId="77777777">
            <w:pPr>
              <w:spacing w:after="40"/>
              <w:rPr>
                <w:bCs/>
                <w:sz w:val="16"/>
                <w:szCs w:val="16"/>
                <w:lang w:val="en-GB"/>
              </w:rPr>
            </w:pPr>
            <w:r w:rsidRPr="009C48DA">
              <w:rPr>
                <w:bCs/>
                <w:sz w:val="16"/>
                <w:szCs w:val="16"/>
                <w:lang w:val="en-GB"/>
              </w:rPr>
              <w:t>Pret 1828 L Street Inc</w:t>
            </w:r>
          </w:p>
          <w:p w:rsidRPr="009C48DA" w:rsidR="004353FA" w:rsidP="00AE5EEE" w:rsidRDefault="004353FA" w14:paraId="6AEC1557" w14:textId="77777777">
            <w:pPr>
              <w:spacing w:after="40"/>
              <w:rPr>
                <w:bCs/>
                <w:sz w:val="16"/>
                <w:szCs w:val="16"/>
                <w:lang w:val="en-GB"/>
              </w:rPr>
            </w:pPr>
            <w:r w:rsidRPr="009C48DA">
              <w:rPr>
                <w:bCs/>
                <w:sz w:val="16"/>
                <w:szCs w:val="16"/>
                <w:lang w:val="en-GB"/>
              </w:rPr>
              <w:t>Pret 185 Franklin Street, Inc.</w:t>
            </w:r>
          </w:p>
          <w:p w:rsidRPr="009C48DA" w:rsidR="004353FA" w:rsidP="00AE5EEE" w:rsidRDefault="004353FA" w14:paraId="7DFBAC61" w14:textId="77777777">
            <w:pPr>
              <w:spacing w:after="40"/>
              <w:rPr>
                <w:bCs/>
                <w:sz w:val="16"/>
                <w:szCs w:val="16"/>
                <w:lang w:val="en-GB"/>
              </w:rPr>
            </w:pPr>
            <w:r w:rsidRPr="009C48DA">
              <w:rPr>
                <w:bCs/>
                <w:sz w:val="16"/>
                <w:szCs w:val="16"/>
                <w:lang w:val="en-GB"/>
              </w:rPr>
              <w:t>Pret 190 West Madison Inc.</w:t>
            </w:r>
          </w:p>
          <w:p w:rsidRPr="009C48DA" w:rsidR="004353FA" w:rsidP="00AE5EEE" w:rsidRDefault="004353FA" w14:paraId="3B10F628" w14:textId="77777777">
            <w:pPr>
              <w:spacing w:after="40"/>
              <w:rPr>
                <w:bCs/>
                <w:sz w:val="16"/>
                <w:szCs w:val="16"/>
                <w:lang w:val="en-GB"/>
              </w:rPr>
            </w:pPr>
            <w:r w:rsidRPr="009C48DA">
              <w:rPr>
                <w:bCs/>
                <w:sz w:val="16"/>
                <w:szCs w:val="16"/>
                <w:lang w:val="en-GB"/>
              </w:rPr>
              <w:t>Pret 2 Park Avenue, Inc.</w:t>
            </w:r>
          </w:p>
          <w:p w:rsidRPr="009C48DA" w:rsidR="004353FA" w:rsidP="00AE5EEE" w:rsidRDefault="004353FA" w14:paraId="14C02C2F" w14:textId="77777777">
            <w:pPr>
              <w:spacing w:after="40"/>
              <w:rPr>
                <w:bCs/>
                <w:sz w:val="16"/>
                <w:szCs w:val="16"/>
                <w:lang w:val="en-GB"/>
              </w:rPr>
            </w:pPr>
            <w:r w:rsidRPr="009C48DA">
              <w:rPr>
                <w:bCs/>
                <w:sz w:val="16"/>
                <w:szCs w:val="16"/>
                <w:lang w:val="en-GB"/>
              </w:rPr>
              <w:t>Pret 201 Pearl, Inc.</w:t>
            </w:r>
          </w:p>
          <w:p w:rsidRPr="009C48DA" w:rsidR="004353FA" w:rsidP="00AE5EEE" w:rsidRDefault="004353FA" w14:paraId="2B6BBDC6" w14:textId="77777777">
            <w:pPr>
              <w:spacing w:after="40"/>
              <w:rPr>
                <w:bCs/>
                <w:sz w:val="16"/>
                <w:szCs w:val="16"/>
                <w:lang w:val="en-GB"/>
              </w:rPr>
            </w:pPr>
            <w:r w:rsidRPr="009C48DA">
              <w:rPr>
                <w:bCs/>
                <w:sz w:val="16"/>
                <w:szCs w:val="16"/>
                <w:lang w:val="en-GB"/>
              </w:rPr>
              <w:t>Pret 205 East 42nd Street Inc.</w:t>
            </w:r>
          </w:p>
          <w:p w:rsidRPr="009C48DA" w:rsidR="004353FA" w:rsidP="00AE5EEE" w:rsidRDefault="004353FA" w14:paraId="5F5C1F55" w14:textId="77777777">
            <w:pPr>
              <w:spacing w:after="40"/>
              <w:rPr>
                <w:bCs/>
                <w:sz w:val="16"/>
                <w:szCs w:val="16"/>
                <w:lang w:val="en-GB"/>
              </w:rPr>
            </w:pPr>
            <w:r w:rsidRPr="009C48DA">
              <w:rPr>
                <w:bCs/>
                <w:sz w:val="16"/>
                <w:szCs w:val="16"/>
                <w:lang w:val="en-GB"/>
              </w:rPr>
              <w:t>Pret 222 Broadway Inc.</w:t>
            </w:r>
          </w:p>
          <w:p w:rsidRPr="009C48DA" w:rsidR="004353FA" w:rsidP="00AE5EEE" w:rsidRDefault="004353FA" w14:paraId="6C2AE7E1" w14:textId="77777777">
            <w:pPr>
              <w:spacing w:after="40"/>
              <w:rPr>
                <w:bCs/>
                <w:sz w:val="16"/>
                <w:szCs w:val="16"/>
                <w:lang w:val="en-GB"/>
              </w:rPr>
            </w:pPr>
            <w:r w:rsidRPr="009C48DA">
              <w:rPr>
                <w:bCs/>
                <w:sz w:val="16"/>
                <w:szCs w:val="16"/>
                <w:lang w:val="en-GB"/>
              </w:rPr>
              <w:t>Pret 225 North Michigan Inc.</w:t>
            </w:r>
          </w:p>
          <w:p w:rsidRPr="009C48DA" w:rsidR="004353FA" w:rsidP="00AE5EEE" w:rsidRDefault="004353FA" w14:paraId="450E8113" w14:textId="77777777">
            <w:pPr>
              <w:spacing w:after="40"/>
              <w:rPr>
                <w:bCs/>
                <w:sz w:val="16"/>
                <w:szCs w:val="16"/>
                <w:lang w:val="en-GB"/>
              </w:rPr>
            </w:pPr>
            <w:r w:rsidRPr="009C48DA">
              <w:rPr>
                <w:bCs/>
                <w:sz w:val="16"/>
                <w:szCs w:val="16"/>
                <w:lang w:val="en-GB"/>
              </w:rPr>
              <w:t>Pret 24 West 23rd, Inc.</w:t>
            </w:r>
          </w:p>
          <w:p w:rsidRPr="009C48DA" w:rsidR="004353FA" w:rsidP="00AE5EEE" w:rsidRDefault="004353FA" w14:paraId="587A83C0" w14:textId="77777777">
            <w:pPr>
              <w:spacing w:after="40"/>
              <w:rPr>
                <w:bCs/>
                <w:sz w:val="16"/>
                <w:szCs w:val="16"/>
                <w:lang w:val="en-GB"/>
              </w:rPr>
            </w:pPr>
            <w:r w:rsidRPr="009C48DA">
              <w:rPr>
                <w:bCs/>
                <w:sz w:val="16"/>
                <w:szCs w:val="16"/>
                <w:lang w:val="en-GB"/>
              </w:rPr>
              <w:t>Pret 265 Madison Avenue Inc.</w:t>
            </w:r>
          </w:p>
          <w:p w:rsidRPr="009C48DA" w:rsidR="004353FA" w:rsidP="00AE5EEE" w:rsidRDefault="004353FA" w14:paraId="6F1D5263" w14:textId="77777777">
            <w:pPr>
              <w:spacing w:after="40"/>
              <w:rPr>
                <w:bCs/>
                <w:sz w:val="16"/>
                <w:szCs w:val="16"/>
                <w:lang w:val="en-GB"/>
              </w:rPr>
            </w:pPr>
            <w:r w:rsidRPr="009C48DA">
              <w:rPr>
                <w:bCs/>
                <w:sz w:val="16"/>
                <w:szCs w:val="16"/>
                <w:lang w:val="en-GB"/>
              </w:rPr>
              <w:t xml:space="preserve">Pret 287 Madison, Inc. </w:t>
            </w:r>
          </w:p>
          <w:p w:rsidRPr="009C48DA" w:rsidR="004353FA" w:rsidP="00AE5EEE" w:rsidRDefault="004353FA" w14:paraId="52EE808C" w14:textId="77777777">
            <w:pPr>
              <w:spacing w:after="40"/>
              <w:rPr>
                <w:bCs/>
                <w:sz w:val="16"/>
                <w:szCs w:val="16"/>
                <w:lang w:val="en-GB"/>
              </w:rPr>
            </w:pPr>
            <w:r w:rsidRPr="009C48DA">
              <w:rPr>
                <w:bCs/>
                <w:sz w:val="16"/>
                <w:szCs w:val="16"/>
                <w:lang w:val="en-GB"/>
              </w:rPr>
              <w:t>Pret 2955 Broadway Inc.</w:t>
            </w:r>
          </w:p>
          <w:p w:rsidRPr="009C48DA" w:rsidR="004353FA" w:rsidP="00AE5EEE" w:rsidRDefault="004353FA" w14:paraId="22C659F2" w14:textId="77777777">
            <w:pPr>
              <w:spacing w:after="40"/>
              <w:rPr>
                <w:bCs/>
                <w:sz w:val="16"/>
                <w:szCs w:val="16"/>
                <w:lang w:val="en-GB"/>
              </w:rPr>
            </w:pPr>
            <w:r w:rsidRPr="009C48DA">
              <w:rPr>
                <w:bCs/>
                <w:sz w:val="16"/>
                <w:szCs w:val="16"/>
                <w:lang w:val="en-GB"/>
              </w:rPr>
              <w:t>Pret 299 Seventh Avenue Inc.</w:t>
            </w:r>
          </w:p>
          <w:p w:rsidRPr="009C48DA" w:rsidR="004353FA" w:rsidP="00AE5EEE" w:rsidRDefault="004353FA" w14:paraId="2E755FA6" w14:textId="77777777">
            <w:pPr>
              <w:spacing w:after="40"/>
              <w:rPr>
                <w:bCs/>
                <w:sz w:val="16"/>
                <w:szCs w:val="16"/>
                <w:lang w:val="en-GB"/>
              </w:rPr>
            </w:pPr>
            <w:r w:rsidRPr="009C48DA">
              <w:rPr>
                <w:bCs/>
                <w:sz w:val="16"/>
                <w:szCs w:val="16"/>
                <w:lang w:val="en-GB"/>
              </w:rPr>
              <w:t>Pret 300 Park Avenue, Inc.</w:t>
            </w:r>
          </w:p>
          <w:p w:rsidRPr="009C48DA" w:rsidR="004353FA" w:rsidP="00AE5EEE" w:rsidRDefault="004353FA" w14:paraId="67E328C3" w14:textId="77777777">
            <w:pPr>
              <w:spacing w:after="40"/>
              <w:rPr>
                <w:bCs/>
                <w:sz w:val="16"/>
                <w:szCs w:val="16"/>
                <w:lang w:val="en-GB"/>
              </w:rPr>
            </w:pPr>
            <w:r w:rsidRPr="009C48DA">
              <w:rPr>
                <w:bCs/>
                <w:sz w:val="16"/>
                <w:szCs w:val="16"/>
                <w:lang w:val="en-GB"/>
              </w:rPr>
              <w:t>Pret 301 Pennsylvania Avenue Inc.</w:t>
            </w:r>
          </w:p>
          <w:p w:rsidRPr="009C48DA" w:rsidR="004353FA" w:rsidP="00AE5EEE" w:rsidRDefault="004353FA" w14:paraId="109FA94B" w14:textId="77777777">
            <w:pPr>
              <w:spacing w:after="40"/>
              <w:rPr>
                <w:bCs/>
                <w:sz w:val="16"/>
                <w:szCs w:val="16"/>
                <w:lang w:val="en-GB"/>
              </w:rPr>
            </w:pPr>
            <w:r w:rsidRPr="009C48DA">
              <w:rPr>
                <w:bCs/>
                <w:sz w:val="16"/>
                <w:szCs w:val="16"/>
                <w:lang w:val="en-GB"/>
              </w:rPr>
              <w:t>Pret 303 Park Avenue South Inc.</w:t>
            </w:r>
          </w:p>
          <w:p w:rsidRPr="009C48DA" w:rsidR="004353FA" w:rsidP="00AE5EEE" w:rsidRDefault="004353FA" w14:paraId="582E5DAA" w14:textId="77777777">
            <w:pPr>
              <w:spacing w:after="40"/>
              <w:rPr>
                <w:bCs/>
                <w:sz w:val="16"/>
                <w:szCs w:val="16"/>
                <w:lang w:val="en-GB"/>
              </w:rPr>
            </w:pPr>
            <w:r w:rsidRPr="009C48DA">
              <w:rPr>
                <w:bCs/>
                <w:sz w:val="16"/>
                <w:szCs w:val="16"/>
                <w:lang w:val="en-GB"/>
              </w:rPr>
              <w:t>Pret 30th Street Station Inc.</w:t>
            </w:r>
          </w:p>
          <w:p w:rsidRPr="009C48DA" w:rsidR="004353FA" w:rsidP="00AE5EEE" w:rsidRDefault="004353FA" w14:paraId="05CC1E2D" w14:textId="77777777">
            <w:pPr>
              <w:spacing w:after="40"/>
              <w:rPr>
                <w:bCs/>
                <w:sz w:val="16"/>
                <w:szCs w:val="16"/>
                <w:lang w:val="en-GB"/>
              </w:rPr>
            </w:pPr>
            <w:r w:rsidRPr="009C48DA">
              <w:rPr>
                <w:bCs/>
                <w:sz w:val="16"/>
                <w:szCs w:val="16"/>
                <w:lang w:val="en-GB"/>
              </w:rPr>
              <w:t>Pret 319 Broadway Inc.</w:t>
            </w:r>
          </w:p>
          <w:p w:rsidRPr="009C48DA" w:rsidR="004353FA" w:rsidP="00AE5EEE" w:rsidRDefault="004353FA" w14:paraId="02AE488B" w14:textId="77777777">
            <w:pPr>
              <w:spacing w:after="40"/>
              <w:rPr>
                <w:bCs/>
                <w:sz w:val="16"/>
                <w:szCs w:val="16"/>
                <w:lang w:val="en-GB"/>
              </w:rPr>
            </w:pPr>
            <w:r w:rsidRPr="009C48DA">
              <w:rPr>
                <w:bCs/>
                <w:sz w:val="16"/>
                <w:szCs w:val="16"/>
                <w:lang w:val="en-GB"/>
              </w:rPr>
              <w:t>Pret 342 7th Inc</w:t>
            </w:r>
          </w:p>
          <w:p w:rsidRPr="009C48DA" w:rsidR="004353FA" w:rsidP="00AE5EEE" w:rsidRDefault="004353FA" w14:paraId="7321A5B4" w14:textId="77777777">
            <w:pPr>
              <w:spacing w:after="40"/>
              <w:rPr>
                <w:bCs/>
                <w:sz w:val="16"/>
                <w:szCs w:val="16"/>
                <w:lang w:val="en-GB"/>
              </w:rPr>
            </w:pPr>
            <w:r w:rsidRPr="009C48DA">
              <w:rPr>
                <w:bCs/>
                <w:sz w:val="16"/>
                <w:szCs w:val="16"/>
                <w:lang w:val="en-GB"/>
              </w:rPr>
              <w:t>Pret 350 Hudson, Inc.</w:t>
            </w:r>
          </w:p>
          <w:p w:rsidRPr="009C48DA" w:rsidR="004353FA" w:rsidP="00AE5EEE" w:rsidRDefault="004353FA" w14:paraId="6CDEE6D9" w14:textId="77777777">
            <w:pPr>
              <w:spacing w:after="40"/>
              <w:rPr>
                <w:bCs/>
                <w:sz w:val="16"/>
                <w:szCs w:val="16"/>
                <w:lang w:val="en-GB"/>
              </w:rPr>
            </w:pPr>
            <w:r w:rsidRPr="009C48DA">
              <w:rPr>
                <w:bCs/>
                <w:sz w:val="16"/>
                <w:szCs w:val="16"/>
                <w:lang w:val="en-GB"/>
              </w:rPr>
              <w:t>Pret 350 Park Avenue Inc.</w:t>
            </w:r>
          </w:p>
          <w:p w:rsidRPr="009C48DA" w:rsidR="004353FA" w:rsidP="00AE5EEE" w:rsidRDefault="004353FA" w14:paraId="3E4AF85C" w14:textId="77777777">
            <w:pPr>
              <w:spacing w:after="40"/>
              <w:rPr>
                <w:bCs/>
                <w:sz w:val="16"/>
                <w:szCs w:val="16"/>
                <w:lang w:val="en-GB"/>
              </w:rPr>
            </w:pPr>
            <w:r w:rsidRPr="009C48DA">
              <w:rPr>
                <w:bCs/>
                <w:sz w:val="16"/>
                <w:szCs w:val="16"/>
                <w:lang w:val="en-GB"/>
              </w:rPr>
              <w:t>Pret 350 West 14th Street Inc.</w:t>
            </w:r>
          </w:p>
          <w:p w:rsidRPr="009C48DA" w:rsidR="004353FA" w:rsidP="00AE5EEE" w:rsidRDefault="004353FA" w14:paraId="5D26C00E" w14:textId="77777777">
            <w:pPr>
              <w:spacing w:after="40"/>
              <w:rPr>
                <w:bCs/>
                <w:sz w:val="16"/>
                <w:szCs w:val="16"/>
                <w:lang w:val="en-GB"/>
              </w:rPr>
            </w:pPr>
            <w:r w:rsidRPr="009C48DA">
              <w:rPr>
                <w:bCs/>
                <w:sz w:val="16"/>
                <w:szCs w:val="16"/>
                <w:lang w:val="en-GB"/>
              </w:rPr>
              <w:t>Pret 360 Longwood Avenue Inc.</w:t>
            </w:r>
          </w:p>
          <w:p w:rsidRPr="009C48DA" w:rsidR="004353FA" w:rsidP="00AE5EEE" w:rsidRDefault="004353FA" w14:paraId="32A2C2BC" w14:textId="77777777">
            <w:pPr>
              <w:spacing w:after="40"/>
              <w:rPr>
                <w:bCs/>
                <w:sz w:val="16"/>
                <w:szCs w:val="16"/>
                <w:lang w:val="en-GB"/>
              </w:rPr>
            </w:pPr>
            <w:r w:rsidRPr="009C48DA">
              <w:rPr>
                <w:bCs/>
                <w:sz w:val="16"/>
                <w:szCs w:val="16"/>
                <w:lang w:val="en-GB"/>
              </w:rPr>
              <w:t>Pret 38 West 48th Street Inc.</w:t>
            </w:r>
          </w:p>
          <w:p w:rsidRPr="009C48DA" w:rsidR="004353FA" w:rsidP="00AE5EEE" w:rsidRDefault="004353FA" w14:paraId="2915847C" w14:textId="77777777">
            <w:pPr>
              <w:spacing w:after="40"/>
              <w:rPr>
                <w:bCs/>
                <w:sz w:val="16"/>
                <w:szCs w:val="16"/>
                <w:lang w:val="en-GB"/>
              </w:rPr>
            </w:pPr>
            <w:r w:rsidRPr="009C48DA">
              <w:rPr>
                <w:bCs/>
                <w:sz w:val="16"/>
                <w:szCs w:val="16"/>
                <w:lang w:val="en-GB"/>
              </w:rPr>
              <w:t>Pret 389 Fifth, Inc.</w:t>
            </w:r>
          </w:p>
          <w:p w:rsidRPr="009C48DA" w:rsidR="004353FA" w:rsidP="00AE5EEE" w:rsidRDefault="004353FA" w14:paraId="398848E3" w14:textId="77777777">
            <w:pPr>
              <w:spacing w:after="40"/>
              <w:rPr>
                <w:bCs/>
                <w:sz w:val="16"/>
                <w:szCs w:val="16"/>
                <w:lang w:val="en-GB"/>
              </w:rPr>
            </w:pPr>
            <w:r w:rsidRPr="009C48DA">
              <w:rPr>
                <w:bCs/>
                <w:sz w:val="16"/>
                <w:szCs w:val="16"/>
                <w:lang w:val="en-GB"/>
              </w:rPr>
              <w:t>Pret 399 Park, Inc.</w:t>
            </w:r>
          </w:p>
          <w:p w:rsidRPr="009C48DA" w:rsidR="004353FA" w:rsidP="00AE5EEE" w:rsidRDefault="004353FA" w14:paraId="3C60FD03" w14:textId="77777777">
            <w:pPr>
              <w:spacing w:after="40"/>
              <w:rPr>
                <w:bCs/>
                <w:sz w:val="16"/>
                <w:szCs w:val="16"/>
                <w:lang w:val="en-GB"/>
              </w:rPr>
            </w:pPr>
            <w:r w:rsidRPr="009C48DA">
              <w:rPr>
                <w:bCs/>
                <w:sz w:val="16"/>
                <w:szCs w:val="16"/>
                <w:lang w:val="en-GB"/>
              </w:rPr>
              <w:t>Pret 400 Park Avenue South Inc.</w:t>
            </w:r>
          </w:p>
          <w:p w:rsidRPr="009C48DA" w:rsidR="004353FA" w:rsidP="00AE5EEE" w:rsidRDefault="004353FA" w14:paraId="6FD7400B" w14:textId="77777777">
            <w:pPr>
              <w:spacing w:after="40"/>
              <w:rPr>
                <w:bCs/>
                <w:sz w:val="16"/>
                <w:szCs w:val="16"/>
                <w:lang w:val="en-GB"/>
              </w:rPr>
            </w:pPr>
            <w:r w:rsidRPr="009C48DA">
              <w:rPr>
                <w:bCs/>
                <w:sz w:val="16"/>
                <w:szCs w:val="16"/>
                <w:lang w:val="en-GB"/>
              </w:rPr>
              <w:t>Pret 425 Lex, Inc.</w:t>
            </w:r>
          </w:p>
          <w:p w:rsidRPr="009C48DA" w:rsidR="004353FA" w:rsidP="00AE5EEE" w:rsidRDefault="004353FA" w14:paraId="2FC0CBAD" w14:textId="77777777">
            <w:pPr>
              <w:spacing w:after="40"/>
              <w:rPr>
                <w:bCs/>
                <w:sz w:val="16"/>
                <w:szCs w:val="16"/>
                <w:lang w:val="en-GB"/>
              </w:rPr>
            </w:pPr>
            <w:r w:rsidRPr="009C48DA">
              <w:rPr>
                <w:bCs/>
                <w:sz w:val="16"/>
                <w:szCs w:val="16"/>
                <w:lang w:val="en-GB"/>
              </w:rPr>
              <w:t>Pret 425 Madison Inc.</w:t>
            </w:r>
          </w:p>
          <w:p w:rsidRPr="009C48DA" w:rsidR="004353FA" w:rsidP="00AE5EEE" w:rsidRDefault="004353FA" w14:paraId="1252720F" w14:textId="77777777">
            <w:pPr>
              <w:spacing w:after="40"/>
              <w:rPr>
                <w:bCs/>
                <w:sz w:val="16"/>
                <w:szCs w:val="16"/>
                <w:lang w:val="en-GB"/>
              </w:rPr>
            </w:pPr>
            <w:r w:rsidRPr="009C48DA">
              <w:rPr>
                <w:bCs/>
                <w:sz w:val="16"/>
                <w:szCs w:val="16"/>
                <w:lang w:val="en-GB"/>
              </w:rPr>
              <w:t>Pret 437 Fifth Avenue Inc.</w:t>
            </w:r>
          </w:p>
          <w:p w:rsidRPr="009C48DA" w:rsidR="004353FA" w:rsidP="00AE5EEE" w:rsidRDefault="004353FA" w14:paraId="7FEE647D" w14:textId="77777777">
            <w:pPr>
              <w:spacing w:after="40"/>
              <w:rPr>
                <w:bCs/>
                <w:sz w:val="16"/>
                <w:szCs w:val="16"/>
                <w:lang w:val="en-GB"/>
              </w:rPr>
            </w:pPr>
            <w:r w:rsidRPr="009C48DA">
              <w:rPr>
                <w:bCs/>
                <w:sz w:val="16"/>
                <w:szCs w:val="16"/>
                <w:lang w:val="en-GB"/>
              </w:rPr>
              <w:t>Pret 485 7th Avenue, Inc.</w:t>
            </w:r>
          </w:p>
          <w:p w:rsidRPr="009C48DA" w:rsidR="004353FA" w:rsidP="00AE5EEE" w:rsidRDefault="004353FA" w14:paraId="779214B4" w14:textId="77777777">
            <w:pPr>
              <w:spacing w:after="40"/>
              <w:rPr>
                <w:bCs/>
                <w:sz w:val="16"/>
                <w:szCs w:val="16"/>
                <w:lang w:val="en-GB"/>
              </w:rPr>
            </w:pPr>
            <w:r w:rsidRPr="009C48DA">
              <w:rPr>
                <w:bCs/>
                <w:sz w:val="16"/>
                <w:szCs w:val="16"/>
                <w:lang w:val="en-GB"/>
              </w:rPr>
              <w:t>Pret 485 Lexington, Inc.</w:t>
            </w:r>
          </w:p>
          <w:p w:rsidRPr="009C48DA" w:rsidR="004353FA" w:rsidP="00AE5EEE" w:rsidRDefault="004353FA" w14:paraId="3A3142FD" w14:textId="77777777">
            <w:pPr>
              <w:spacing w:after="40"/>
              <w:rPr>
                <w:bCs/>
                <w:sz w:val="16"/>
                <w:szCs w:val="16"/>
                <w:lang w:val="en-GB"/>
              </w:rPr>
            </w:pPr>
            <w:r w:rsidRPr="009C48DA">
              <w:rPr>
                <w:bCs/>
                <w:sz w:val="16"/>
                <w:szCs w:val="16"/>
                <w:lang w:val="en-GB"/>
              </w:rPr>
              <w:lastRenderedPageBreak/>
              <w:t>Pret 50 Broadway, Inc.</w:t>
            </w:r>
          </w:p>
          <w:p w:rsidRPr="009C48DA" w:rsidR="004353FA" w:rsidP="00AE5EEE" w:rsidRDefault="004353FA" w14:paraId="0EE3B8A8" w14:textId="77777777">
            <w:pPr>
              <w:spacing w:after="40"/>
              <w:rPr>
                <w:bCs/>
                <w:sz w:val="16"/>
                <w:szCs w:val="16"/>
                <w:lang w:val="en-GB"/>
              </w:rPr>
            </w:pPr>
            <w:r w:rsidRPr="009C48DA">
              <w:rPr>
                <w:bCs/>
                <w:sz w:val="16"/>
                <w:szCs w:val="16"/>
                <w:lang w:val="en-GB"/>
              </w:rPr>
              <w:t>Pret 500 West Madison Street Inc.</w:t>
            </w:r>
          </w:p>
          <w:p w:rsidRPr="009C48DA" w:rsidR="004353FA" w:rsidP="00AE5EEE" w:rsidRDefault="004353FA" w14:paraId="512FC937" w14:textId="77777777">
            <w:pPr>
              <w:spacing w:after="40"/>
              <w:rPr>
                <w:bCs/>
                <w:sz w:val="16"/>
                <w:szCs w:val="16"/>
                <w:lang w:val="en-GB"/>
              </w:rPr>
            </w:pPr>
            <w:r w:rsidRPr="009C48DA">
              <w:rPr>
                <w:bCs/>
                <w:sz w:val="16"/>
                <w:szCs w:val="16"/>
                <w:lang w:val="en-GB"/>
              </w:rPr>
              <w:t>Pret 501 Boylston Street, Inc.</w:t>
            </w:r>
          </w:p>
          <w:p w:rsidRPr="009C48DA" w:rsidR="004353FA" w:rsidP="00AE5EEE" w:rsidRDefault="004353FA" w14:paraId="3147280F" w14:textId="77777777">
            <w:pPr>
              <w:spacing w:after="40"/>
              <w:rPr>
                <w:bCs/>
                <w:sz w:val="16"/>
                <w:szCs w:val="16"/>
                <w:lang w:val="en-GB"/>
              </w:rPr>
            </w:pPr>
            <w:r w:rsidRPr="009C48DA">
              <w:rPr>
                <w:bCs/>
                <w:sz w:val="16"/>
                <w:szCs w:val="16"/>
                <w:lang w:val="en-GB"/>
              </w:rPr>
              <w:t>Pret 600 Lexington Avenue Inc.</w:t>
            </w:r>
          </w:p>
          <w:p w:rsidRPr="009C48DA" w:rsidR="004353FA" w:rsidP="00AE5EEE" w:rsidRDefault="004353FA" w14:paraId="11D8A291" w14:textId="77777777">
            <w:pPr>
              <w:spacing w:after="40"/>
              <w:rPr>
                <w:bCs/>
                <w:sz w:val="16"/>
                <w:szCs w:val="16"/>
                <w:lang w:val="en-GB"/>
              </w:rPr>
            </w:pPr>
            <w:r w:rsidRPr="009C48DA">
              <w:rPr>
                <w:bCs/>
                <w:sz w:val="16"/>
                <w:szCs w:val="16"/>
                <w:lang w:val="en-GB"/>
              </w:rPr>
              <w:t>Pret 601 Eighth Avenue Inc.</w:t>
            </w:r>
          </w:p>
          <w:p w:rsidRPr="009C48DA" w:rsidR="004353FA" w:rsidP="00AE5EEE" w:rsidRDefault="004353FA" w14:paraId="3EE1435B" w14:textId="77777777">
            <w:pPr>
              <w:spacing w:after="40"/>
              <w:rPr>
                <w:bCs/>
                <w:sz w:val="16"/>
                <w:szCs w:val="16"/>
                <w:lang w:val="en-GB"/>
              </w:rPr>
            </w:pPr>
            <w:r w:rsidRPr="009C48DA">
              <w:rPr>
                <w:bCs/>
                <w:sz w:val="16"/>
                <w:szCs w:val="16"/>
                <w:lang w:val="en-GB"/>
              </w:rPr>
              <w:t>Pret 62 West 45th Inc.</w:t>
            </w:r>
          </w:p>
          <w:p w:rsidRPr="009C48DA" w:rsidR="004353FA" w:rsidP="00AE5EEE" w:rsidRDefault="004353FA" w14:paraId="62E1DA1D" w14:textId="77777777">
            <w:pPr>
              <w:spacing w:after="40"/>
              <w:rPr>
                <w:bCs/>
                <w:sz w:val="16"/>
                <w:szCs w:val="16"/>
                <w:lang w:val="en-GB"/>
              </w:rPr>
            </w:pPr>
            <w:r w:rsidRPr="009C48DA">
              <w:rPr>
                <w:bCs/>
                <w:sz w:val="16"/>
                <w:szCs w:val="16"/>
                <w:lang w:val="en-GB"/>
              </w:rPr>
              <w:t>Pret 655 Sixth Avenue Inc.</w:t>
            </w:r>
          </w:p>
          <w:p w:rsidRPr="009C48DA" w:rsidR="004353FA" w:rsidP="00AE5EEE" w:rsidRDefault="004353FA" w14:paraId="0D79857F" w14:textId="77777777">
            <w:pPr>
              <w:spacing w:after="40"/>
              <w:rPr>
                <w:bCs/>
                <w:sz w:val="16"/>
                <w:szCs w:val="16"/>
                <w:lang w:val="en-GB"/>
              </w:rPr>
            </w:pPr>
            <w:r w:rsidRPr="009C48DA">
              <w:rPr>
                <w:bCs/>
                <w:sz w:val="16"/>
                <w:szCs w:val="16"/>
                <w:lang w:val="en-GB"/>
              </w:rPr>
              <w:t xml:space="preserve">Pret 655 Third Avenue, Inc. </w:t>
            </w:r>
          </w:p>
          <w:p w:rsidRPr="009C48DA" w:rsidR="004353FA" w:rsidP="00AE5EEE" w:rsidRDefault="004353FA" w14:paraId="0A030F63" w14:textId="77777777">
            <w:pPr>
              <w:spacing w:after="40"/>
              <w:rPr>
                <w:bCs/>
                <w:sz w:val="16"/>
                <w:szCs w:val="16"/>
                <w:lang w:val="en-GB"/>
              </w:rPr>
            </w:pPr>
            <w:r w:rsidRPr="009C48DA">
              <w:rPr>
                <w:bCs/>
                <w:sz w:val="16"/>
                <w:szCs w:val="16"/>
                <w:lang w:val="en-GB"/>
              </w:rPr>
              <w:t>Pret 73 West Monroe, Inc.</w:t>
            </w:r>
          </w:p>
          <w:p w:rsidRPr="009C48DA" w:rsidR="004353FA" w:rsidP="00AE5EEE" w:rsidRDefault="004353FA" w14:paraId="32720FEC" w14:textId="5B4DCCD2">
            <w:pPr>
              <w:spacing w:after="40"/>
              <w:rPr>
                <w:bCs/>
                <w:sz w:val="16"/>
                <w:szCs w:val="16"/>
                <w:lang w:val="en-GB"/>
              </w:rPr>
            </w:pPr>
            <w:r w:rsidRPr="009C48DA">
              <w:rPr>
                <w:bCs/>
                <w:sz w:val="16"/>
                <w:szCs w:val="16"/>
                <w:lang w:val="en-GB"/>
              </w:rPr>
              <w:t>Pret 750 Eigth Avenue Inc.</w:t>
            </w:r>
          </w:p>
          <w:p w:rsidRPr="009C48DA" w:rsidR="004353FA" w:rsidP="00AE5EEE" w:rsidRDefault="004353FA" w14:paraId="5CD9AB19" w14:textId="77777777">
            <w:pPr>
              <w:spacing w:after="40"/>
              <w:rPr>
                <w:bCs/>
                <w:sz w:val="16"/>
                <w:szCs w:val="16"/>
                <w:lang w:val="en-GB"/>
              </w:rPr>
            </w:pPr>
            <w:r w:rsidRPr="009C48DA">
              <w:rPr>
                <w:bCs/>
                <w:sz w:val="16"/>
                <w:szCs w:val="16"/>
                <w:lang w:val="en-GB"/>
              </w:rPr>
              <w:t>Pret 757 Third Inc.</w:t>
            </w:r>
          </w:p>
          <w:p w:rsidRPr="009C48DA" w:rsidR="004353FA" w:rsidP="00AE5EEE" w:rsidRDefault="004353FA" w14:paraId="2585BA2C" w14:textId="77777777">
            <w:pPr>
              <w:spacing w:after="40"/>
              <w:rPr>
                <w:bCs/>
                <w:sz w:val="16"/>
                <w:szCs w:val="16"/>
                <w:lang w:val="en-GB"/>
              </w:rPr>
            </w:pPr>
            <w:r w:rsidRPr="009C48DA">
              <w:rPr>
                <w:bCs/>
                <w:sz w:val="16"/>
                <w:szCs w:val="16"/>
                <w:lang w:val="en-GB"/>
              </w:rPr>
              <w:t>Pret 821 Broadway, Inc.</w:t>
            </w:r>
          </w:p>
          <w:p w:rsidRPr="009C48DA" w:rsidR="004353FA" w:rsidP="00AE5EEE" w:rsidRDefault="004353FA" w14:paraId="1643E688" w14:textId="77777777">
            <w:pPr>
              <w:spacing w:after="40"/>
              <w:rPr>
                <w:bCs/>
                <w:sz w:val="16"/>
                <w:szCs w:val="16"/>
                <w:lang w:val="en-GB"/>
              </w:rPr>
            </w:pPr>
            <w:r w:rsidRPr="009C48DA">
              <w:rPr>
                <w:bCs/>
                <w:sz w:val="16"/>
                <w:szCs w:val="16"/>
                <w:lang w:val="en-GB"/>
              </w:rPr>
              <w:t>Pret 825 Eighth Avenue Inc.</w:t>
            </w:r>
          </w:p>
          <w:p w:rsidRPr="009C48DA" w:rsidR="004353FA" w:rsidP="00AE5EEE" w:rsidRDefault="004353FA" w14:paraId="45EF99E4" w14:textId="77777777">
            <w:pPr>
              <w:spacing w:after="40"/>
              <w:rPr>
                <w:bCs/>
                <w:sz w:val="16"/>
                <w:szCs w:val="16"/>
                <w:lang w:val="en-GB"/>
              </w:rPr>
            </w:pPr>
            <w:r w:rsidRPr="009C48DA">
              <w:rPr>
                <w:bCs/>
                <w:sz w:val="16"/>
                <w:szCs w:val="16"/>
                <w:lang w:val="en-GB"/>
              </w:rPr>
              <w:t>Pret 853 Broadway, Inc</w:t>
            </w:r>
          </w:p>
          <w:p w:rsidRPr="009C48DA" w:rsidR="004353FA" w:rsidP="00AE5EEE" w:rsidRDefault="004353FA" w14:paraId="13EF994C" w14:textId="77777777">
            <w:pPr>
              <w:spacing w:after="40"/>
              <w:rPr>
                <w:bCs/>
                <w:sz w:val="16"/>
                <w:szCs w:val="16"/>
                <w:lang w:val="en-GB"/>
              </w:rPr>
            </w:pPr>
            <w:r w:rsidRPr="009C48DA">
              <w:rPr>
                <w:bCs/>
                <w:sz w:val="16"/>
                <w:szCs w:val="16"/>
                <w:lang w:val="en-GB"/>
              </w:rPr>
              <w:t>Pret 855 Boylston Street Inc.</w:t>
            </w:r>
          </w:p>
          <w:p w:rsidRPr="009C48DA" w:rsidR="004353FA" w:rsidP="00AE5EEE" w:rsidRDefault="004353FA" w14:paraId="69D8A770" w14:textId="77777777">
            <w:pPr>
              <w:spacing w:after="40"/>
              <w:rPr>
                <w:bCs/>
                <w:sz w:val="16"/>
                <w:szCs w:val="16"/>
                <w:lang w:val="en-GB"/>
              </w:rPr>
            </w:pPr>
            <w:r w:rsidRPr="009C48DA">
              <w:rPr>
                <w:bCs/>
                <w:sz w:val="16"/>
                <w:szCs w:val="16"/>
                <w:lang w:val="en-GB"/>
              </w:rPr>
              <w:t>Pret 857 Broadway, Inc.</w:t>
            </w:r>
          </w:p>
          <w:p w:rsidRPr="009C48DA" w:rsidR="004353FA" w:rsidP="00AE5EEE" w:rsidRDefault="004353FA" w14:paraId="379C61AF" w14:textId="77777777">
            <w:pPr>
              <w:spacing w:after="40"/>
              <w:rPr>
                <w:bCs/>
                <w:sz w:val="16"/>
                <w:szCs w:val="16"/>
                <w:lang w:val="en-GB"/>
              </w:rPr>
            </w:pPr>
            <w:r w:rsidRPr="009C48DA">
              <w:rPr>
                <w:bCs/>
                <w:sz w:val="16"/>
                <w:szCs w:val="16"/>
                <w:lang w:val="en-GB"/>
              </w:rPr>
              <w:t>Pret 880 Third Avenue, Inc.</w:t>
            </w:r>
          </w:p>
          <w:p w:rsidRPr="009C48DA" w:rsidR="004353FA" w:rsidP="00AE5EEE" w:rsidRDefault="004353FA" w14:paraId="055C42EE" w14:textId="77777777">
            <w:pPr>
              <w:spacing w:after="40"/>
              <w:rPr>
                <w:bCs/>
                <w:sz w:val="16"/>
                <w:szCs w:val="16"/>
                <w:lang w:val="en-GB"/>
              </w:rPr>
            </w:pPr>
            <w:r w:rsidRPr="009C48DA">
              <w:rPr>
                <w:bCs/>
                <w:sz w:val="16"/>
                <w:szCs w:val="16"/>
                <w:lang w:val="en-GB"/>
              </w:rPr>
              <w:t>Pret 99 Park Avenue Inc.</w:t>
            </w:r>
          </w:p>
          <w:p w:rsidRPr="009C48DA" w:rsidR="004353FA" w:rsidP="00AE5EEE" w:rsidRDefault="004353FA" w14:paraId="3F805B75" w14:textId="77777777">
            <w:pPr>
              <w:spacing w:after="40"/>
              <w:rPr>
                <w:bCs/>
                <w:sz w:val="16"/>
                <w:szCs w:val="16"/>
                <w:lang w:val="en-GB"/>
              </w:rPr>
            </w:pPr>
            <w:r w:rsidRPr="009C48DA">
              <w:rPr>
                <w:bCs/>
                <w:sz w:val="16"/>
                <w:szCs w:val="16"/>
                <w:lang w:val="en-GB"/>
              </w:rPr>
              <w:t>Pret Adams Street Inc.</w:t>
            </w:r>
          </w:p>
          <w:p w:rsidRPr="009C48DA" w:rsidR="004353FA" w:rsidP="00AE5EEE" w:rsidRDefault="004353FA" w14:paraId="3A417DC8" w14:textId="77777777">
            <w:pPr>
              <w:spacing w:after="40"/>
              <w:rPr>
                <w:bCs/>
                <w:sz w:val="16"/>
                <w:szCs w:val="16"/>
                <w:lang w:val="en-GB"/>
              </w:rPr>
            </w:pPr>
            <w:r w:rsidRPr="009C48DA">
              <w:rPr>
                <w:bCs/>
                <w:sz w:val="16"/>
                <w:szCs w:val="16"/>
                <w:lang w:val="en-GB"/>
              </w:rPr>
              <w:t>Pret Astor Place, Inc</w:t>
            </w:r>
          </w:p>
          <w:p w:rsidRPr="009C48DA" w:rsidR="004353FA" w:rsidP="00AE5EEE" w:rsidRDefault="004353FA" w14:paraId="7D83392B" w14:textId="77777777">
            <w:pPr>
              <w:spacing w:after="40"/>
              <w:rPr>
                <w:bCs/>
                <w:sz w:val="16"/>
                <w:szCs w:val="16"/>
                <w:lang w:val="en-GB"/>
              </w:rPr>
            </w:pPr>
            <w:r w:rsidRPr="009C48DA">
              <w:rPr>
                <w:bCs/>
                <w:sz w:val="16"/>
                <w:szCs w:val="16"/>
                <w:lang w:val="en-GB"/>
              </w:rPr>
              <w:t>Pret Block 37 Inc.</w:t>
            </w:r>
          </w:p>
          <w:p w:rsidRPr="009C48DA" w:rsidR="004353FA" w:rsidP="00AE5EEE" w:rsidRDefault="004353FA" w14:paraId="2E352CD2" w14:textId="77777777">
            <w:pPr>
              <w:spacing w:after="40"/>
              <w:rPr>
                <w:bCs/>
                <w:sz w:val="16"/>
                <w:szCs w:val="16"/>
                <w:lang w:val="en-GB"/>
              </w:rPr>
            </w:pPr>
            <w:r w:rsidRPr="009C48DA">
              <w:rPr>
                <w:bCs/>
                <w:sz w:val="16"/>
                <w:szCs w:val="16"/>
                <w:lang w:val="en-GB"/>
              </w:rPr>
              <w:t xml:space="preserve">Pret Chicago Union Station Inc. </w:t>
            </w:r>
          </w:p>
          <w:p w:rsidRPr="009C48DA" w:rsidR="004353FA" w:rsidP="00AE5EEE" w:rsidRDefault="004353FA" w14:paraId="4905340E" w14:textId="77777777">
            <w:pPr>
              <w:spacing w:after="40"/>
              <w:rPr>
                <w:bCs/>
                <w:sz w:val="16"/>
                <w:szCs w:val="16"/>
                <w:lang w:val="en-GB"/>
              </w:rPr>
            </w:pPr>
            <w:r w:rsidRPr="009C48DA">
              <w:rPr>
                <w:bCs/>
                <w:sz w:val="16"/>
                <w:szCs w:val="16"/>
                <w:lang w:val="en-GB"/>
              </w:rPr>
              <w:t>Pret Merchandise Mart, Inc.</w:t>
            </w:r>
          </w:p>
          <w:p w:rsidRPr="009C48DA" w:rsidR="004353FA" w:rsidP="00AE5EEE" w:rsidRDefault="004353FA" w14:paraId="67AAC6AA" w14:textId="77777777">
            <w:pPr>
              <w:spacing w:after="40"/>
              <w:rPr>
                <w:bCs/>
                <w:sz w:val="16"/>
                <w:szCs w:val="16"/>
                <w:lang w:val="en-GB"/>
              </w:rPr>
            </w:pPr>
            <w:r w:rsidRPr="009C48DA">
              <w:rPr>
                <w:bCs/>
                <w:sz w:val="16"/>
                <w:szCs w:val="16"/>
                <w:lang w:val="en-GB"/>
              </w:rPr>
              <w:t>Pret Newport, Inc.</w:t>
            </w:r>
          </w:p>
          <w:p w:rsidRPr="009C48DA" w:rsidR="004353FA" w:rsidP="00AE5EEE" w:rsidRDefault="004353FA" w14:paraId="1D944FD6" w14:textId="77777777">
            <w:pPr>
              <w:spacing w:after="40"/>
              <w:rPr>
                <w:bCs/>
                <w:sz w:val="16"/>
                <w:szCs w:val="16"/>
                <w:lang w:val="en-GB"/>
              </w:rPr>
            </w:pPr>
            <w:r w:rsidRPr="009C48DA">
              <w:rPr>
                <w:bCs/>
                <w:sz w:val="16"/>
                <w:szCs w:val="16"/>
                <w:lang w:val="en-GB"/>
              </w:rPr>
              <w:t>Pret One Penn Plaza Inc.</w:t>
            </w:r>
          </w:p>
          <w:p w:rsidRPr="009C48DA" w:rsidR="004353FA" w:rsidP="00AE5EEE" w:rsidRDefault="004353FA" w14:paraId="5DC783AE" w14:textId="77777777">
            <w:pPr>
              <w:spacing w:after="40"/>
              <w:rPr>
                <w:bCs/>
                <w:sz w:val="16"/>
                <w:szCs w:val="16"/>
                <w:lang w:val="en-GB"/>
              </w:rPr>
            </w:pPr>
            <w:r w:rsidRPr="009C48DA">
              <w:rPr>
                <w:bCs/>
                <w:sz w:val="16"/>
                <w:szCs w:val="16"/>
                <w:lang w:val="en-GB"/>
              </w:rPr>
              <w:t>Pret One State Street Inc.</w:t>
            </w:r>
          </w:p>
          <w:p w:rsidRPr="009C48DA" w:rsidR="004353FA" w:rsidP="00AE5EEE" w:rsidRDefault="004353FA" w14:paraId="4A139A3A" w14:textId="77777777">
            <w:pPr>
              <w:spacing w:after="40"/>
              <w:rPr>
                <w:bCs/>
                <w:sz w:val="16"/>
                <w:szCs w:val="16"/>
                <w:lang w:val="en-GB"/>
              </w:rPr>
            </w:pPr>
            <w:r w:rsidRPr="009C48DA">
              <w:rPr>
                <w:bCs/>
                <w:sz w:val="16"/>
                <w:szCs w:val="16"/>
                <w:lang w:val="en-GB"/>
              </w:rPr>
              <w:t>Pret Penn Station 2 Inc.</w:t>
            </w:r>
          </w:p>
          <w:p w:rsidRPr="009C48DA" w:rsidR="004353FA" w:rsidP="00AE5EEE" w:rsidRDefault="004353FA" w14:paraId="6D10921D" w14:textId="77777777">
            <w:pPr>
              <w:spacing w:after="40"/>
              <w:rPr>
                <w:bCs/>
                <w:sz w:val="16"/>
                <w:szCs w:val="16"/>
                <w:lang w:val="en-GB"/>
              </w:rPr>
            </w:pPr>
            <w:r w:rsidRPr="009C48DA">
              <w:rPr>
                <w:bCs/>
                <w:sz w:val="16"/>
                <w:szCs w:val="16"/>
                <w:lang w:val="en-GB"/>
              </w:rPr>
              <w:t>Pret Penn Station 3 Inc.</w:t>
            </w:r>
          </w:p>
          <w:p w:rsidRPr="009C48DA" w:rsidR="004353FA" w:rsidP="00AE5EEE" w:rsidRDefault="004353FA" w14:paraId="2FC243B8" w14:textId="77777777">
            <w:pPr>
              <w:spacing w:after="40"/>
              <w:rPr>
                <w:bCs/>
                <w:sz w:val="16"/>
                <w:szCs w:val="16"/>
                <w:lang w:val="en-GB"/>
              </w:rPr>
            </w:pPr>
            <w:r w:rsidRPr="009C48DA">
              <w:rPr>
                <w:bCs/>
                <w:sz w:val="16"/>
                <w:szCs w:val="16"/>
                <w:lang w:val="en-GB"/>
              </w:rPr>
              <w:t>Pret Port Inc.</w:t>
            </w:r>
          </w:p>
          <w:p w:rsidRPr="009C48DA" w:rsidR="004353FA" w:rsidP="00AE5EEE" w:rsidRDefault="004353FA" w14:paraId="4AACB3F3" w14:textId="77777777">
            <w:pPr>
              <w:spacing w:after="40"/>
              <w:rPr>
                <w:bCs/>
                <w:sz w:val="16"/>
                <w:szCs w:val="16"/>
                <w:lang w:val="en-GB"/>
              </w:rPr>
            </w:pPr>
            <w:r w:rsidRPr="009C48DA">
              <w:rPr>
                <w:bCs/>
                <w:sz w:val="16"/>
                <w:szCs w:val="16"/>
                <w:lang w:val="en-GB"/>
              </w:rPr>
              <w:t>Pret Rock, Inc.</w:t>
            </w:r>
          </w:p>
          <w:p w:rsidRPr="009C48DA" w:rsidR="004353FA" w:rsidP="00AE5EEE" w:rsidRDefault="004353FA" w14:paraId="5E803D67" w14:textId="77777777">
            <w:pPr>
              <w:spacing w:after="40"/>
              <w:rPr>
                <w:bCs/>
                <w:sz w:val="16"/>
                <w:szCs w:val="16"/>
                <w:lang w:val="en-GB"/>
              </w:rPr>
            </w:pPr>
            <w:r w:rsidRPr="009C48DA">
              <w:rPr>
                <w:bCs/>
                <w:sz w:val="16"/>
                <w:szCs w:val="16"/>
                <w:lang w:val="en-GB"/>
              </w:rPr>
              <w:t>Pret Sherman Avenue Inc.</w:t>
            </w:r>
          </w:p>
          <w:p w:rsidRPr="009C48DA" w:rsidR="004353FA" w:rsidP="00AE5EEE" w:rsidRDefault="004353FA" w14:paraId="78C0873C" w14:textId="77777777">
            <w:pPr>
              <w:spacing w:after="40"/>
              <w:rPr>
                <w:bCs/>
                <w:sz w:val="16"/>
                <w:szCs w:val="16"/>
                <w:lang w:val="en-GB"/>
              </w:rPr>
            </w:pPr>
            <w:r w:rsidRPr="009C48DA">
              <w:rPr>
                <w:bCs/>
                <w:sz w:val="16"/>
                <w:szCs w:val="16"/>
                <w:lang w:val="en-GB"/>
              </w:rPr>
              <w:t>Pret South Station Inc.</w:t>
            </w:r>
          </w:p>
          <w:p w:rsidRPr="009C48DA" w:rsidR="004353FA" w:rsidP="00AE5EEE" w:rsidRDefault="004353FA" w14:paraId="0D10FB71" w14:textId="38D9B9F9">
            <w:pPr>
              <w:spacing w:after="40"/>
              <w:rPr>
                <w:bCs/>
                <w:sz w:val="16"/>
                <w:szCs w:val="16"/>
                <w:lang w:val="en-GB"/>
              </w:rPr>
            </w:pPr>
            <w:r w:rsidRPr="009C48DA">
              <w:rPr>
                <w:bCs/>
                <w:sz w:val="16"/>
                <w:szCs w:val="16"/>
                <w:lang w:val="en-GB"/>
              </w:rPr>
              <w:t>Pret Stat Street Inc.</w:t>
            </w:r>
          </w:p>
          <w:p w:rsidRPr="009C48DA" w:rsidR="004353FA" w:rsidP="00AE5EEE" w:rsidRDefault="004353FA" w14:paraId="5F8ACE3A" w14:textId="77777777">
            <w:pPr>
              <w:spacing w:after="40"/>
              <w:rPr>
                <w:bCs/>
                <w:sz w:val="16"/>
                <w:szCs w:val="16"/>
                <w:lang w:val="en-GB"/>
              </w:rPr>
            </w:pPr>
            <w:r w:rsidRPr="009C48DA">
              <w:rPr>
                <w:bCs/>
                <w:sz w:val="16"/>
                <w:szCs w:val="16"/>
                <w:lang w:val="en-GB"/>
              </w:rPr>
              <w:t>Pret Union Station, Inc</w:t>
            </w:r>
          </w:p>
          <w:p w:rsidRPr="009C48DA" w:rsidR="004353FA" w:rsidP="00AE5EEE" w:rsidRDefault="004353FA" w14:paraId="6B167F67" w14:textId="77777777">
            <w:pPr>
              <w:spacing w:after="40"/>
              <w:rPr>
                <w:bCs/>
                <w:sz w:val="16"/>
                <w:szCs w:val="16"/>
                <w:lang w:val="en-GB"/>
              </w:rPr>
            </w:pPr>
            <w:r w:rsidRPr="009C48DA">
              <w:rPr>
                <w:bCs/>
                <w:sz w:val="16"/>
                <w:szCs w:val="16"/>
                <w:lang w:val="en-GB"/>
              </w:rPr>
              <w:t>Pret West Street Tower One Inc.</w:t>
            </w:r>
          </w:p>
          <w:p w:rsidRPr="009C48DA" w:rsidR="004353FA" w:rsidP="00AE5EEE" w:rsidRDefault="004353FA" w14:paraId="57AD5E2C" w14:textId="15C1E2FC">
            <w:pPr>
              <w:spacing w:after="40"/>
              <w:rPr>
                <w:bCs/>
                <w:sz w:val="16"/>
                <w:szCs w:val="16"/>
                <w:lang w:val="en-GB"/>
              </w:rPr>
            </w:pPr>
            <w:r w:rsidRPr="009C48DA">
              <w:rPr>
                <w:bCs/>
                <w:sz w:val="16"/>
                <w:szCs w:val="16"/>
                <w:lang w:val="en-GB"/>
              </w:rPr>
              <w:t>Pret Woodbury Commons Inc.</w:t>
            </w:r>
          </w:p>
        </w:tc>
      </w:tr>
      <w:tr w:rsidRPr="009C48DA" w:rsidR="0083180E" w:rsidTr="00AE5EEE" w14:paraId="7FAC63C7" w14:textId="77777777">
        <w:tc>
          <w:tcPr>
            <w:tcW w:w="2036" w:type="dxa"/>
            <w:tcBorders>
              <w:top w:val="single" w:color="auto" w:sz="4" w:space="0"/>
              <w:left w:val="nil"/>
              <w:bottom w:val="nil"/>
              <w:right w:val="nil"/>
            </w:tcBorders>
          </w:tcPr>
          <w:p w:rsidRPr="009C48DA" w:rsidR="0083180E" w:rsidP="00AE5EEE" w:rsidRDefault="0083180E" w14:paraId="4B286F97" w14:textId="3B56AAEC">
            <w:pPr>
              <w:spacing w:after="40"/>
              <w:rPr>
                <w:bCs/>
                <w:sz w:val="16"/>
                <w:szCs w:val="16"/>
                <w:lang w:val="en-GB"/>
              </w:rPr>
            </w:pPr>
            <w:r w:rsidRPr="009C48DA">
              <w:rPr>
                <w:bCs/>
                <w:sz w:val="16"/>
                <w:szCs w:val="16"/>
                <w:lang w:val="en-GB"/>
              </w:rPr>
              <w:lastRenderedPageBreak/>
              <w:t>Archie Norman</w:t>
            </w:r>
          </w:p>
        </w:tc>
        <w:tc>
          <w:tcPr>
            <w:tcW w:w="3067" w:type="dxa"/>
            <w:tcBorders>
              <w:top w:val="single" w:color="auto" w:sz="4" w:space="0"/>
              <w:left w:val="nil"/>
              <w:bottom w:val="nil"/>
              <w:right w:val="nil"/>
            </w:tcBorders>
          </w:tcPr>
          <w:p w:rsidRPr="009C48DA" w:rsidR="0083180E" w:rsidP="00AE5EEE" w:rsidRDefault="009A7419" w14:paraId="66D8EF88" w14:textId="77777777">
            <w:pPr>
              <w:spacing w:after="40"/>
              <w:rPr>
                <w:bCs/>
                <w:sz w:val="16"/>
                <w:szCs w:val="16"/>
                <w:lang w:val="en-GB"/>
              </w:rPr>
            </w:pPr>
            <w:r w:rsidRPr="009C48DA">
              <w:rPr>
                <w:bCs/>
                <w:sz w:val="16"/>
                <w:szCs w:val="16"/>
                <w:lang w:val="en-GB"/>
              </w:rPr>
              <w:t>Marks and Spencer Group P.L.C</w:t>
            </w:r>
          </w:p>
          <w:p w:rsidRPr="009C48DA" w:rsidR="009A7419" w:rsidP="00AE5EEE" w:rsidRDefault="009A7419" w14:paraId="5AA1A549" w14:textId="77777777">
            <w:pPr>
              <w:spacing w:after="40"/>
              <w:rPr>
                <w:bCs/>
                <w:sz w:val="16"/>
                <w:szCs w:val="16"/>
                <w:lang w:val="en-GB"/>
              </w:rPr>
            </w:pPr>
            <w:r w:rsidRPr="009C48DA">
              <w:rPr>
                <w:bCs/>
                <w:sz w:val="16"/>
                <w:szCs w:val="16"/>
                <w:lang w:val="en-GB"/>
              </w:rPr>
              <w:t>Signal Media Limited</w:t>
            </w:r>
          </w:p>
          <w:p w:rsidRPr="009C48DA" w:rsidR="009A7419" w:rsidP="00AE5EEE" w:rsidRDefault="009A7419" w14:paraId="694DE226" w14:textId="7E9799DA">
            <w:pPr>
              <w:spacing w:after="40"/>
              <w:rPr>
                <w:bCs/>
                <w:sz w:val="16"/>
                <w:szCs w:val="16"/>
                <w:lang w:val="en-GB"/>
              </w:rPr>
            </w:pPr>
            <w:r w:rsidRPr="009C48DA">
              <w:rPr>
                <w:bCs/>
                <w:sz w:val="16"/>
                <w:szCs w:val="16"/>
                <w:lang w:val="en-GB"/>
              </w:rPr>
              <w:t>Nameco (No. 1069) Limited</w:t>
            </w:r>
          </w:p>
        </w:tc>
        <w:tc>
          <w:tcPr>
            <w:tcW w:w="3239" w:type="dxa"/>
            <w:tcBorders>
              <w:top w:val="single" w:color="auto" w:sz="4" w:space="0"/>
              <w:left w:val="nil"/>
              <w:bottom w:val="nil"/>
              <w:right w:val="nil"/>
            </w:tcBorders>
          </w:tcPr>
          <w:p w:rsidRPr="009C48DA" w:rsidR="009A7419" w:rsidP="00AE5EEE" w:rsidRDefault="009A7419" w14:paraId="53DAFB5C" w14:textId="4E421FC3">
            <w:pPr>
              <w:spacing w:after="40"/>
              <w:rPr>
                <w:bCs/>
                <w:sz w:val="16"/>
                <w:szCs w:val="16"/>
                <w:lang w:val="en-GB"/>
              </w:rPr>
            </w:pPr>
            <w:r w:rsidRPr="009C48DA">
              <w:rPr>
                <w:bCs/>
                <w:sz w:val="16"/>
                <w:szCs w:val="16"/>
                <w:lang w:val="en-GB"/>
              </w:rPr>
              <w:t>Lazard &amp; Co., Limited</w:t>
            </w:r>
          </w:p>
          <w:p w:rsidRPr="009C48DA" w:rsidR="009A7419" w:rsidP="00AE5EEE" w:rsidRDefault="009A7419" w14:paraId="2B49386C" w14:textId="2C57FB6F">
            <w:pPr>
              <w:spacing w:after="40"/>
              <w:rPr>
                <w:bCs/>
                <w:sz w:val="16"/>
                <w:szCs w:val="16"/>
                <w:lang w:val="en-GB"/>
              </w:rPr>
            </w:pPr>
            <w:r w:rsidRPr="009C48DA">
              <w:rPr>
                <w:bCs/>
                <w:sz w:val="16"/>
                <w:szCs w:val="16"/>
                <w:lang w:val="en-GB"/>
              </w:rPr>
              <w:t>Lazard &amp; Co</w:t>
            </w:r>
            <w:r w:rsidRPr="009C48DA" w:rsidR="00F31EE0">
              <w:rPr>
                <w:bCs/>
                <w:sz w:val="16"/>
                <w:szCs w:val="16"/>
                <w:lang w:val="en-GB"/>
              </w:rPr>
              <w:t>.</w:t>
            </w:r>
            <w:r w:rsidRPr="009C48DA">
              <w:rPr>
                <w:bCs/>
                <w:sz w:val="16"/>
                <w:szCs w:val="16"/>
                <w:lang w:val="en-GB"/>
              </w:rPr>
              <w:t>, Services Limited</w:t>
            </w:r>
          </w:p>
          <w:p w:rsidRPr="009C48DA" w:rsidR="009A7419" w:rsidP="00AE5EEE" w:rsidRDefault="009A7419" w14:paraId="2CA387F8" w14:textId="00AC533D">
            <w:pPr>
              <w:spacing w:after="40"/>
              <w:rPr>
                <w:bCs/>
                <w:sz w:val="16"/>
                <w:szCs w:val="16"/>
                <w:lang w:val="en-GB"/>
              </w:rPr>
            </w:pPr>
            <w:r w:rsidRPr="009C48DA">
              <w:rPr>
                <w:bCs/>
                <w:sz w:val="16"/>
                <w:szCs w:val="16"/>
                <w:lang w:val="en-GB"/>
              </w:rPr>
              <w:t>Lazard &amp; Co., Holdings Limited</w:t>
            </w:r>
          </w:p>
          <w:p w:rsidRPr="009C48DA" w:rsidR="009A7419" w:rsidP="00AE5EEE" w:rsidRDefault="009A7419" w14:paraId="6E01F74A" w14:textId="75322AA5">
            <w:pPr>
              <w:spacing w:after="40"/>
              <w:rPr>
                <w:bCs/>
                <w:sz w:val="16"/>
                <w:szCs w:val="16"/>
                <w:lang w:val="en-GB"/>
              </w:rPr>
            </w:pPr>
            <w:r w:rsidRPr="009C48DA">
              <w:rPr>
                <w:bCs/>
                <w:sz w:val="16"/>
                <w:szCs w:val="16"/>
                <w:lang w:val="en-GB"/>
              </w:rPr>
              <w:t>Hobbycraft Group Limited</w:t>
            </w:r>
          </w:p>
          <w:p w:rsidRPr="009C48DA" w:rsidR="009A7419" w:rsidP="00AE5EEE" w:rsidRDefault="009A7419" w14:paraId="209AF5DA" w14:textId="793FDF2D">
            <w:pPr>
              <w:spacing w:after="40"/>
              <w:rPr>
                <w:bCs/>
                <w:sz w:val="16"/>
                <w:szCs w:val="16"/>
                <w:lang w:val="en-GB"/>
              </w:rPr>
            </w:pPr>
            <w:r w:rsidRPr="009C48DA">
              <w:rPr>
                <w:bCs/>
                <w:sz w:val="16"/>
                <w:szCs w:val="16"/>
                <w:lang w:val="en-GB"/>
              </w:rPr>
              <w:t>Coles Limited</w:t>
            </w:r>
          </w:p>
          <w:p w:rsidRPr="009C48DA" w:rsidR="000B150A" w:rsidP="00AE5EEE" w:rsidRDefault="000B150A" w14:paraId="2261CD3E" w14:textId="333DA916">
            <w:pPr>
              <w:spacing w:after="40"/>
              <w:rPr>
                <w:bCs/>
                <w:sz w:val="16"/>
                <w:szCs w:val="16"/>
                <w:lang w:val="en-GB"/>
              </w:rPr>
            </w:pPr>
            <w:r w:rsidRPr="009C48DA">
              <w:rPr>
                <w:bCs/>
                <w:sz w:val="16"/>
                <w:szCs w:val="16"/>
                <w:lang w:val="en-GB"/>
              </w:rPr>
              <w:t>Wesfarmers Limited</w:t>
            </w:r>
          </w:p>
          <w:p w:rsidRPr="009C48DA" w:rsidR="00F11C65" w:rsidP="00AE5EEE" w:rsidRDefault="00F11C65" w14:paraId="6BE9B407" w14:textId="6CA232EE">
            <w:pPr>
              <w:spacing w:after="40"/>
              <w:rPr>
                <w:bCs/>
                <w:sz w:val="16"/>
                <w:szCs w:val="16"/>
                <w:lang w:val="en-GB"/>
              </w:rPr>
            </w:pPr>
            <w:r w:rsidRPr="009C48DA">
              <w:rPr>
                <w:bCs/>
                <w:sz w:val="16"/>
                <w:szCs w:val="16"/>
                <w:lang w:val="en-GB"/>
              </w:rPr>
              <w:t>Department for Business, Energy and Industrial Strategy</w:t>
            </w:r>
          </w:p>
        </w:tc>
      </w:tr>
      <w:tr w:rsidRPr="009C48DA" w:rsidR="0083180E" w:rsidTr="00AE5EEE" w14:paraId="1706B318" w14:textId="77777777">
        <w:tc>
          <w:tcPr>
            <w:tcW w:w="2036" w:type="dxa"/>
            <w:tcBorders>
              <w:top w:val="single" w:color="auto" w:sz="4" w:space="0"/>
              <w:left w:val="nil"/>
              <w:bottom w:val="nil"/>
              <w:right w:val="nil"/>
            </w:tcBorders>
          </w:tcPr>
          <w:p w:rsidRPr="009C48DA" w:rsidR="0083180E" w:rsidP="00AE5EEE" w:rsidRDefault="0083180E" w14:paraId="137CD796" w14:textId="0ABAA0F6">
            <w:pPr>
              <w:spacing w:after="40"/>
              <w:rPr>
                <w:bCs/>
                <w:sz w:val="16"/>
                <w:szCs w:val="16"/>
                <w:lang w:val="en-GB"/>
              </w:rPr>
            </w:pPr>
            <w:r w:rsidRPr="009C48DA">
              <w:rPr>
                <w:bCs/>
                <w:sz w:val="16"/>
                <w:szCs w:val="16"/>
                <w:lang w:val="en-GB"/>
              </w:rPr>
              <w:t>Angeles Garcia-Poveda</w:t>
            </w:r>
          </w:p>
        </w:tc>
        <w:tc>
          <w:tcPr>
            <w:tcW w:w="3067" w:type="dxa"/>
            <w:tcBorders>
              <w:top w:val="single" w:color="auto" w:sz="4" w:space="0"/>
              <w:left w:val="nil"/>
              <w:bottom w:val="nil"/>
              <w:right w:val="nil"/>
            </w:tcBorders>
          </w:tcPr>
          <w:p w:rsidRPr="009C48DA" w:rsidR="0083180E" w:rsidP="00AE5EEE" w:rsidRDefault="00F357F3" w14:paraId="06AEFD96" w14:textId="77777777">
            <w:pPr>
              <w:spacing w:after="40"/>
              <w:rPr>
                <w:bCs/>
                <w:sz w:val="16"/>
                <w:szCs w:val="16"/>
                <w:lang w:val="en-GB"/>
              </w:rPr>
            </w:pPr>
            <w:r w:rsidRPr="009C48DA">
              <w:rPr>
                <w:bCs/>
                <w:sz w:val="16"/>
                <w:szCs w:val="16"/>
                <w:lang w:val="en-GB"/>
              </w:rPr>
              <w:t>Advini SA</w:t>
            </w:r>
          </w:p>
          <w:p w:rsidRPr="009C48DA" w:rsidR="00F357F3" w:rsidP="00AE5EEE" w:rsidRDefault="00F357F3" w14:paraId="25710523" w14:textId="77777777">
            <w:pPr>
              <w:spacing w:after="40"/>
              <w:rPr>
                <w:bCs/>
                <w:sz w:val="16"/>
                <w:szCs w:val="16"/>
                <w:lang w:val="en-GB"/>
              </w:rPr>
            </w:pPr>
            <w:r w:rsidRPr="009C48DA">
              <w:rPr>
                <w:bCs/>
                <w:sz w:val="16"/>
                <w:szCs w:val="16"/>
                <w:lang w:val="en-GB"/>
              </w:rPr>
              <w:t>Edenred SA</w:t>
            </w:r>
          </w:p>
          <w:p w:rsidRPr="009C48DA" w:rsidR="00F357F3" w:rsidP="00AE5EEE" w:rsidRDefault="00F357F3" w14:paraId="37674692" w14:textId="5C3AD5D1">
            <w:pPr>
              <w:spacing w:after="40"/>
              <w:rPr>
                <w:bCs/>
                <w:sz w:val="16"/>
                <w:szCs w:val="16"/>
                <w:lang w:val="en-GB"/>
              </w:rPr>
            </w:pPr>
            <w:r w:rsidRPr="009C48DA">
              <w:rPr>
                <w:bCs/>
                <w:sz w:val="16"/>
                <w:szCs w:val="16"/>
                <w:lang w:val="en-GB"/>
              </w:rPr>
              <w:t>Legrand SA</w:t>
            </w:r>
          </w:p>
        </w:tc>
        <w:tc>
          <w:tcPr>
            <w:tcW w:w="3239" w:type="dxa"/>
            <w:tcBorders>
              <w:top w:val="single" w:color="auto" w:sz="4" w:space="0"/>
              <w:left w:val="nil"/>
              <w:bottom w:val="nil"/>
              <w:right w:val="nil"/>
            </w:tcBorders>
          </w:tcPr>
          <w:p w:rsidRPr="009C48DA" w:rsidR="0083180E" w:rsidP="00AE5EEE" w:rsidRDefault="00F357F3" w14:paraId="100B27E8" w14:textId="750023EF">
            <w:pPr>
              <w:spacing w:after="40"/>
              <w:rPr>
                <w:bCs/>
                <w:sz w:val="16"/>
                <w:szCs w:val="16"/>
                <w:lang w:val="en-GB"/>
              </w:rPr>
            </w:pPr>
            <w:r w:rsidRPr="009C48DA">
              <w:rPr>
                <w:bCs/>
                <w:sz w:val="16"/>
                <w:szCs w:val="16"/>
                <w:lang w:val="en-GB"/>
              </w:rPr>
              <w:t>Spencer Stuart</w:t>
            </w:r>
          </w:p>
        </w:tc>
      </w:tr>
      <w:tr w:rsidRPr="009C48DA" w:rsidR="0083180E" w:rsidTr="00AE5EEE" w14:paraId="241F9AA3" w14:textId="77777777">
        <w:tc>
          <w:tcPr>
            <w:tcW w:w="2036" w:type="dxa"/>
            <w:tcBorders>
              <w:top w:val="single" w:color="auto" w:sz="4" w:space="0"/>
              <w:left w:val="nil"/>
              <w:bottom w:val="nil"/>
              <w:right w:val="nil"/>
            </w:tcBorders>
            <w:hideMark/>
          </w:tcPr>
          <w:p w:rsidRPr="009C48DA" w:rsidR="0083180E" w:rsidP="00AE5EEE" w:rsidRDefault="0083180E" w14:paraId="05415DFA" w14:textId="47FDCDC1">
            <w:pPr>
              <w:spacing w:after="40"/>
              <w:rPr>
                <w:bCs/>
                <w:sz w:val="16"/>
                <w:szCs w:val="16"/>
                <w:lang w:val="en-GB"/>
              </w:rPr>
            </w:pPr>
            <w:r w:rsidRPr="009C48DA">
              <w:rPr>
                <w:bCs/>
                <w:sz w:val="16"/>
                <w:szCs w:val="16"/>
                <w:lang w:val="en-GB"/>
              </w:rPr>
              <w:t>Tim Score</w:t>
            </w:r>
          </w:p>
        </w:tc>
        <w:tc>
          <w:tcPr>
            <w:tcW w:w="3067" w:type="dxa"/>
            <w:tcBorders>
              <w:top w:val="single" w:color="auto" w:sz="4" w:space="0"/>
              <w:left w:val="nil"/>
              <w:bottom w:val="nil"/>
              <w:right w:val="nil"/>
            </w:tcBorders>
            <w:hideMark/>
          </w:tcPr>
          <w:p w:rsidRPr="009C48DA" w:rsidR="0083180E" w:rsidP="00AE5EEE" w:rsidRDefault="004577C0" w14:paraId="6CFD688E" w14:textId="77777777">
            <w:pPr>
              <w:spacing w:after="40"/>
              <w:rPr>
                <w:bCs/>
                <w:sz w:val="16"/>
                <w:szCs w:val="16"/>
                <w:lang w:val="en-GB"/>
              </w:rPr>
            </w:pPr>
            <w:r w:rsidRPr="009C48DA">
              <w:rPr>
                <w:bCs/>
                <w:sz w:val="16"/>
                <w:szCs w:val="16"/>
                <w:lang w:val="en-GB"/>
              </w:rPr>
              <w:t>The British Land Company Public Company Limited</w:t>
            </w:r>
          </w:p>
          <w:p w:rsidRPr="009C48DA" w:rsidR="004577C0" w:rsidP="00AE5EEE" w:rsidRDefault="004577C0" w14:paraId="5373CB00" w14:textId="77777777">
            <w:pPr>
              <w:spacing w:after="40"/>
              <w:rPr>
                <w:bCs/>
                <w:sz w:val="16"/>
                <w:szCs w:val="16"/>
                <w:lang w:val="en-GB"/>
              </w:rPr>
            </w:pPr>
            <w:r w:rsidRPr="009C48DA">
              <w:rPr>
                <w:bCs/>
                <w:sz w:val="16"/>
                <w:szCs w:val="16"/>
                <w:lang w:val="en-GB"/>
              </w:rPr>
              <w:t>Pearson PLC</w:t>
            </w:r>
          </w:p>
          <w:p w:rsidRPr="009C48DA" w:rsidR="00F11C65" w:rsidP="00AE5EEE" w:rsidRDefault="00F11C65" w14:paraId="6FC5A821" w14:textId="77777777">
            <w:pPr>
              <w:spacing w:after="40"/>
              <w:rPr>
                <w:bCs/>
                <w:sz w:val="16"/>
                <w:szCs w:val="16"/>
                <w:lang w:val="en-GB"/>
              </w:rPr>
            </w:pPr>
            <w:r w:rsidRPr="009C48DA">
              <w:rPr>
                <w:bCs/>
                <w:sz w:val="16"/>
                <w:szCs w:val="16"/>
                <w:lang w:val="en-GB"/>
              </w:rPr>
              <w:t xml:space="preserve">HM Treasury </w:t>
            </w:r>
          </w:p>
          <w:p w:rsidRPr="009C48DA" w:rsidR="00F11C65" w:rsidP="00AE5EEE" w:rsidRDefault="00F11C65" w14:paraId="6CF97F25" w14:textId="4579E151">
            <w:pPr>
              <w:spacing w:after="40"/>
              <w:rPr>
                <w:bCs/>
                <w:sz w:val="16"/>
                <w:szCs w:val="16"/>
                <w:lang w:val="en-GB"/>
              </w:rPr>
            </w:pPr>
            <w:r w:rsidRPr="009C48DA">
              <w:rPr>
                <w:bCs/>
                <w:sz w:val="16"/>
                <w:szCs w:val="16"/>
                <w:lang w:val="en-GB"/>
              </w:rPr>
              <w:t>The Royal National Theatre</w:t>
            </w:r>
          </w:p>
          <w:p w:rsidRPr="009C48DA" w:rsidR="004577C0" w:rsidP="00AE5EEE" w:rsidRDefault="00F11C65" w14:paraId="37BEE8F5" w14:textId="6F70120A">
            <w:pPr>
              <w:spacing w:after="40"/>
              <w:rPr>
                <w:bCs/>
                <w:sz w:val="16"/>
                <w:szCs w:val="16"/>
                <w:lang w:val="en-GB"/>
              </w:rPr>
            </w:pPr>
            <w:r w:rsidRPr="009C48DA">
              <w:rPr>
                <w:bCs/>
                <w:sz w:val="16"/>
                <w:szCs w:val="16"/>
                <w:lang w:val="en-GB"/>
              </w:rPr>
              <w:t>National Theatre Productions Limited</w:t>
            </w:r>
          </w:p>
        </w:tc>
        <w:tc>
          <w:tcPr>
            <w:tcW w:w="3239" w:type="dxa"/>
            <w:tcBorders>
              <w:top w:val="single" w:color="auto" w:sz="4" w:space="0"/>
              <w:left w:val="nil"/>
              <w:bottom w:val="nil"/>
              <w:right w:val="nil"/>
            </w:tcBorders>
            <w:hideMark/>
          </w:tcPr>
          <w:p w:rsidRPr="009C48DA" w:rsidR="0083180E" w:rsidP="00AE5EEE" w:rsidRDefault="00F11C65" w14:paraId="31FBCE21" w14:textId="52B84CCF">
            <w:pPr>
              <w:spacing w:after="40"/>
              <w:rPr>
                <w:bCs/>
                <w:sz w:val="16"/>
                <w:szCs w:val="16"/>
                <w:lang w:val="en-GB"/>
              </w:rPr>
            </w:pPr>
            <w:r w:rsidRPr="009C48DA">
              <w:rPr>
                <w:bCs/>
                <w:sz w:val="16"/>
                <w:szCs w:val="16"/>
                <w:lang w:val="en-GB"/>
              </w:rPr>
              <w:t>–</w:t>
            </w:r>
          </w:p>
        </w:tc>
      </w:tr>
    </w:tbl>
    <w:p w:rsidRPr="009C48DA" w:rsidR="00DA7B9D" w:rsidP="00261E8C" w:rsidRDefault="007514BE" w14:paraId="48832BBB" w14:textId="1780091E">
      <w:pPr>
        <w:pStyle w:val="BlockText5SglJ"/>
        <w:spacing w:before="240"/>
        <w:rPr>
          <w:lang w:val="en-GB"/>
        </w:rPr>
      </w:pPr>
      <w:r w:rsidRPr="009C48DA">
        <w:rPr>
          <w:lang w:val="en-GB"/>
        </w:rPr>
        <w:t>Save as set out above, none of the Directors has any business interests, or performs any activities, outside the Group, which are significant with respect to the Group.</w:t>
      </w:r>
    </w:p>
    <w:p w:rsidRPr="009C48DA" w:rsidR="00DA7B9D" w:rsidP="00447D95" w:rsidRDefault="00427CB5" w14:paraId="6B318A16" w14:textId="3423DA68">
      <w:pPr>
        <w:pStyle w:val="Heading4"/>
        <w:keepNext/>
        <w:rPr>
          <w:b/>
          <w:i/>
          <w:lang w:val="en-GB"/>
        </w:rPr>
      </w:pPr>
      <w:r w:rsidRPr="009C48DA">
        <w:rPr>
          <w:b/>
          <w:i/>
          <w:lang w:val="en-GB"/>
        </w:rPr>
        <w:lastRenderedPageBreak/>
        <w:t>Conflicts of interest</w:t>
      </w:r>
    </w:p>
    <w:p w:rsidRPr="009C48DA" w:rsidR="002D7E34" w:rsidP="00261E8C" w:rsidRDefault="004C30FB" w14:paraId="4AFAD0A1" w14:textId="1E0A5ACB">
      <w:pPr>
        <w:pStyle w:val="BlockText5SglJ"/>
        <w:rPr>
          <w:lang w:val="en-GB"/>
        </w:rPr>
      </w:pPr>
      <w:r w:rsidRPr="009C48DA">
        <w:rPr>
          <w:lang w:val="en-GB"/>
        </w:rPr>
        <w:t>T</w:t>
      </w:r>
      <w:r w:rsidRPr="009C48DA" w:rsidR="00772A50">
        <w:rPr>
          <w:lang w:val="en-GB"/>
        </w:rPr>
        <w:t>here are no actual or potential conflicts of interest between the duties owed by the Directors, or members of any administrative, management or supervisory body of the Company to the Group, and the private interests and/or other duties that they may also have.</w:t>
      </w:r>
    </w:p>
    <w:p w:rsidRPr="009C48DA" w:rsidR="00DA7B9D" w:rsidP="00541287" w:rsidRDefault="00427CB5" w14:paraId="506793F4" w14:textId="67A28082">
      <w:pPr>
        <w:pStyle w:val="Heading4"/>
        <w:keepNext/>
        <w:rPr>
          <w:b/>
          <w:i/>
          <w:lang w:val="en-GB"/>
        </w:rPr>
      </w:pPr>
      <w:r w:rsidRPr="009C48DA">
        <w:rPr>
          <w:b/>
          <w:i/>
          <w:lang w:val="en-GB"/>
        </w:rPr>
        <w:t>Directors’ confirmations</w:t>
      </w:r>
    </w:p>
    <w:p w:rsidRPr="009C48DA" w:rsidR="00772A50" w:rsidP="003F7555" w:rsidRDefault="00B172FA" w14:paraId="30A3EAF5" w14:textId="68E0EF5B">
      <w:pPr>
        <w:pStyle w:val="Heading5"/>
        <w:numPr>
          <w:ilvl w:val="4"/>
          <w:numId w:val="33"/>
        </w:numPr>
        <w:tabs>
          <w:tab w:val="clear" w:pos="21600"/>
        </w:tabs>
        <w:ind w:left="1440"/>
        <w:rPr>
          <w:b/>
          <w:lang w:val="en-GB" w:eastAsia="en-GB"/>
        </w:rPr>
      </w:pPr>
      <w:r w:rsidRPr="009C48DA">
        <w:rPr>
          <w:lang w:val="en-GB" w:eastAsia="en-GB"/>
        </w:rPr>
        <w:t>As of</w:t>
      </w:r>
      <w:r w:rsidRPr="009C48DA" w:rsidR="00772A50">
        <w:rPr>
          <w:lang w:val="en-GB" w:eastAsia="en-GB"/>
        </w:rPr>
        <w:t xml:space="preserve"> the date of this Reg</w:t>
      </w:r>
      <w:r w:rsidRPr="009C48DA" w:rsidR="00927EA9">
        <w:rPr>
          <w:lang w:val="en-GB" w:eastAsia="en-GB"/>
        </w:rPr>
        <w:t>istration Document, no Director</w:t>
      </w:r>
      <w:r w:rsidRPr="009C48DA" w:rsidR="00EF5CA6">
        <w:rPr>
          <w:lang w:val="en-GB" w:eastAsia="en-GB"/>
        </w:rPr>
        <w:t xml:space="preserve"> </w:t>
      </w:r>
      <w:r w:rsidRPr="009C48DA" w:rsidR="00772A50">
        <w:rPr>
          <w:lang w:val="en-GB" w:eastAsia="en-GB"/>
        </w:rPr>
        <w:t>has</w:t>
      </w:r>
      <w:r w:rsidRPr="009C48DA" w:rsidR="00772A50">
        <w:rPr>
          <w:lang w:val="en-GB"/>
        </w:rPr>
        <w:t xml:space="preserve"> </w:t>
      </w:r>
      <w:r w:rsidRPr="009C48DA" w:rsidR="00772A50">
        <w:rPr>
          <w:lang w:val="en-GB" w:eastAsia="en-GB"/>
        </w:rPr>
        <w:t>during the last five years:</w:t>
      </w:r>
    </w:p>
    <w:p w:rsidRPr="009C48DA" w:rsidR="00772A50" w:rsidP="003F7555" w:rsidRDefault="00772A50" w14:paraId="1B798163" w14:textId="77777777">
      <w:pPr>
        <w:pStyle w:val="Heading6"/>
        <w:numPr>
          <w:ilvl w:val="5"/>
          <w:numId w:val="33"/>
        </w:numPr>
        <w:ind w:left="2160"/>
        <w:rPr>
          <w:sz w:val="20"/>
          <w:lang w:val="en-GB"/>
        </w:rPr>
      </w:pPr>
      <w:r w:rsidRPr="009C48DA">
        <w:rPr>
          <w:sz w:val="20"/>
          <w:lang w:val="en-GB"/>
        </w:rPr>
        <w:t>been convicted in relation to fraudulent offences;</w:t>
      </w:r>
    </w:p>
    <w:p w:rsidRPr="009C48DA" w:rsidR="00772A50" w:rsidP="003F7555" w:rsidRDefault="00772A50" w14:paraId="1F657847" w14:textId="77777777">
      <w:pPr>
        <w:pStyle w:val="Heading6"/>
        <w:numPr>
          <w:ilvl w:val="5"/>
          <w:numId w:val="33"/>
        </w:numPr>
        <w:ind w:left="2160"/>
        <w:rPr>
          <w:sz w:val="20"/>
          <w:lang w:val="en-GB"/>
        </w:rPr>
      </w:pPr>
      <w:r w:rsidRPr="009C48DA">
        <w:rPr>
          <w:sz w:val="20"/>
          <w:lang w:val="en-GB"/>
        </w:rPr>
        <w:t>been associated with any bankruptcy, receivership or liquidation, or any company being put into administration, while acting in the capacity of a member of the administrative, management or supervisory body or of senior manager of any company;</w:t>
      </w:r>
    </w:p>
    <w:p w:rsidRPr="009C48DA" w:rsidR="00772A50" w:rsidP="003F7555" w:rsidRDefault="00772A50" w14:paraId="12C3EFF2" w14:textId="77777777">
      <w:pPr>
        <w:pStyle w:val="Heading6"/>
        <w:numPr>
          <w:ilvl w:val="5"/>
          <w:numId w:val="33"/>
        </w:numPr>
        <w:ind w:left="2160"/>
        <w:rPr>
          <w:sz w:val="20"/>
          <w:lang w:val="en-GB"/>
        </w:rPr>
      </w:pPr>
      <w:r w:rsidRPr="009C48DA">
        <w:rPr>
          <w:sz w:val="20"/>
          <w:lang w:val="en-GB"/>
        </w:rPr>
        <w:t>been subject to any official public incrimination and/or sanctions by any statutory or regulatory authorities (including designated professional bodies); or</w:t>
      </w:r>
    </w:p>
    <w:p w:rsidRPr="009C48DA" w:rsidR="00772A50" w:rsidP="003F7555" w:rsidRDefault="00772A50" w14:paraId="01D8DA94" w14:textId="77777777">
      <w:pPr>
        <w:pStyle w:val="Heading6"/>
        <w:numPr>
          <w:ilvl w:val="5"/>
          <w:numId w:val="33"/>
        </w:numPr>
        <w:ind w:left="2160"/>
        <w:rPr>
          <w:sz w:val="20"/>
          <w:lang w:val="en-GB"/>
        </w:rPr>
      </w:pPr>
      <w:r w:rsidRPr="009C48DA">
        <w:rPr>
          <w:sz w:val="20"/>
          <w:lang w:val="en-GB"/>
        </w:rPr>
        <w:t>been disqualified by a court from acting as a member of the administrative, management or supervisory body of a company or from acting in the management or conduct of the affairs of any company.</w:t>
      </w:r>
    </w:p>
    <w:p w:rsidRPr="009C48DA" w:rsidR="00772A50" w:rsidP="003F7555" w:rsidRDefault="00772A50" w14:paraId="77461410" w14:textId="47BF7DC2">
      <w:pPr>
        <w:pStyle w:val="Heading5"/>
        <w:numPr>
          <w:ilvl w:val="4"/>
          <w:numId w:val="33"/>
        </w:numPr>
        <w:tabs>
          <w:tab w:val="clear" w:pos="21600"/>
        </w:tabs>
        <w:ind w:left="1440"/>
        <w:rPr>
          <w:b/>
          <w:lang w:val="en-GB" w:eastAsia="en-GB"/>
        </w:rPr>
      </w:pPr>
      <w:r w:rsidRPr="009C48DA">
        <w:rPr>
          <w:lang w:val="en-GB" w:eastAsia="en-GB"/>
        </w:rPr>
        <w:t>There are no family relationships between any of the Directors.</w:t>
      </w:r>
      <w:r w:rsidRPr="009C48DA" w:rsidR="000F1DAF">
        <w:rPr>
          <w:lang w:val="en-GB" w:eastAsia="en-GB"/>
        </w:rPr>
        <w:t xml:space="preserve"> </w:t>
      </w:r>
    </w:p>
    <w:p w:rsidRPr="009C48DA" w:rsidR="00772A50" w:rsidP="003F7555" w:rsidRDefault="00004F21" w14:paraId="567CA1C6" w14:textId="1848674D">
      <w:pPr>
        <w:pStyle w:val="Heading5"/>
        <w:numPr>
          <w:ilvl w:val="4"/>
          <w:numId w:val="33"/>
        </w:numPr>
        <w:tabs>
          <w:tab w:val="clear" w:pos="21600"/>
        </w:tabs>
        <w:ind w:left="1440"/>
        <w:rPr>
          <w:b/>
          <w:lang w:val="en-GB" w:eastAsia="en-GB"/>
        </w:rPr>
      </w:pPr>
      <w:r w:rsidRPr="009C48DA">
        <w:rPr>
          <w:lang w:val="en-GB" w:eastAsia="en-GB"/>
        </w:rPr>
        <w:t>T</w:t>
      </w:r>
      <w:r w:rsidRPr="009C48DA" w:rsidR="00772A50">
        <w:rPr>
          <w:lang w:val="en-GB" w:eastAsia="en-GB"/>
        </w:rPr>
        <w:t>here are no outstanding loans or guarantees granted or provided by any member of the Group for the benefit of any of the Directors</w:t>
      </w:r>
      <w:r w:rsidRPr="009C48DA" w:rsidR="009A5717">
        <w:rPr>
          <w:lang w:val="en-GB" w:eastAsia="en-GB"/>
        </w:rPr>
        <w:t xml:space="preserve"> </w:t>
      </w:r>
      <w:r w:rsidRPr="009C48DA" w:rsidR="00772A50">
        <w:rPr>
          <w:lang w:val="en-GB" w:eastAsia="en-GB"/>
        </w:rPr>
        <w:t xml:space="preserve">or members of any administrative, management or supervisory body of the Company. </w:t>
      </w:r>
    </w:p>
    <w:p w:rsidRPr="009C48DA" w:rsidR="00DA7B9D" w:rsidRDefault="00427CB5" w14:paraId="0657125C" w14:textId="2809A3C9">
      <w:pPr>
        <w:pStyle w:val="Heading4"/>
        <w:rPr>
          <w:b/>
          <w:i/>
          <w:lang w:val="en-GB"/>
        </w:rPr>
      </w:pPr>
      <w:r w:rsidRPr="009C48DA">
        <w:rPr>
          <w:b/>
          <w:i/>
          <w:lang w:val="en-GB"/>
        </w:rPr>
        <w:t>Interests of Directors in the share capital of the Company</w:t>
      </w:r>
    </w:p>
    <w:p w:rsidRPr="009C48DA" w:rsidR="00194674" w:rsidP="00261E8C" w:rsidRDefault="00430AAD" w14:paraId="5567F656" w14:textId="078C5EDA">
      <w:pPr>
        <w:pStyle w:val="BlockText5SglJ"/>
        <w:rPr>
          <w:lang w:val="en-GB"/>
        </w:rPr>
      </w:pPr>
      <w:r w:rsidRPr="009C48DA">
        <w:rPr>
          <w:lang w:val="en-GB"/>
        </w:rPr>
        <w:t>As of</w:t>
      </w:r>
      <w:r w:rsidRPr="009C48DA" w:rsidR="00C36606">
        <w:rPr>
          <w:lang w:val="en-GB"/>
        </w:rPr>
        <w:t xml:space="preserve"> the date of this Registration Document, </w:t>
      </w:r>
      <w:r w:rsidRPr="009C48DA" w:rsidR="00567155">
        <w:rPr>
          <w:lang w:val="en-GB"/>
        </w:rPr>
        <w:t>each</w:t>
      </w:r>
      <w:r w:rsidRPr="009C48DA" w:rsidR="00C36606">
        <w:rPr>
          <w:lang w:val="en-GB"/>
        </w:rPr>
        <w:t xml:space="preserve"> Director </w:t>
      </w:r>
      <w:r w:rsidRPr="009C48DA" w:rsidR="00567155">
        <w:rPr>
          <w:lang w:val="en-GB"/>
        </w:rPr>
        <w:t>has the following</w:t>
      </w:r>
      <w:r w:rsidRPr="009C48DA" w:rsidR="00C36606">
        <w:rPr>
          <w:lang w:val="en-GB"/>
        </w:rPr>
        <w:t xml:space="preserve"> interest</w:t>
      </w:r>
      <w:r w:rsidRPr="009C48DA" w:rsidR="00567155">
        <w:rPr>
          <w:lang w:val="en-GB"/>
        </w:rPr>
        <w:t>s</w:t>
      </w:r>
      <w:r w:rsidRPr="009C48DA" w:rsidR="00C36606">
        <w:rPr>
          <w:lang w:val="en-GB"/>
        </w:rPr>
        <w:t xml:space="preserve"> in the Company. </w:t>
      </w:r>
    </w:p>
    <w:tbl>
      <w:tblPr>
        <w:tblW w:w="4464" w:type="pct"/>
        <w:tblInd w:w="918" w:type="dxa"/>
        <w:tblLook w:val="04A0" w:firstRow="1" w:lastRow="0" w:firstColumn="1" w:lastColumn="0" w:noHBand="0" w:noVBand="1"/>
      </w:tblPr>
      <w:tblGrid>
        <w:gridCol w:w="2060"/>
        <w:gridCol w:w="1105"/>
        <w:gridCol w:w="1639"/>
        <w:gridCol w:w="1639"/>
        <w:gridCol w:w="1637"/>
      </w:tblGrid>
      <w:tr w:rsidRPr="009C48DA" w:rsidR="00513F3A" w:rsidTr="00331ED2" w14:paraId="79CE15DA" w14:textId="77777777">
        <w:tc>
          <w:tcPr>
            <w:tcW w:w="1275" w:type="pct"/>
            <w:tcBorders>
              <w:top w:val="nil"/>
              <w:left w:val="nil"/>
              <w:right w:val="nil"/>
            </w:tcBorders>
            <w:vAlign w:val="bottom"/>
          </w:tcPr>
          <w:p w:rsidRPr="009C48DA" w:rsidR="00513F3A" w:rsidP="00331ED2" w:rsidRDefault="00513F3A" w14:paraId="26A0AC30" w14:textId="106F06AE">
            <w:pPr>
              <w:keepNext/>
              <w:pBdr>
                <w:bottom w:val="single" w:color="auto" w:sz="4" w:space="1"/>
              </w:pBdr>
              <w:tabs>
                <w:tab w:val="right" w:leader="dot" w:pos="4842"/>
              </w:tabs>
              <w:ind w:left="162" w:hanging="162"/>
              <w:rPr>
                <w:rFonts w:cs="Times New Roman"/>
                <w:b/>
                <w:sz w:val="20"/>
                <w:szCs w:val="20"/>
                <w:lang w:val="en-GB"/>
              </w:rPr>
            </w:pPr>
            <w:bookmarkStart w:name="_Ref74462578" w:id="757"/>
            <w:r w:rsidRPr="009C48DA">
              <w:rPr>
                <w:rFonts w:cs="Times New Roman"/>
                <w:b/>
                <w:sz w:val="20"/>
                <w:szCs w:val="20"/>
                <w:lang w:val="en-GB"/>
              </w:rPr>
              <w:t>Director</w:t>
            </w:r>
          </w:p>
        </w:tc>
        <w:tc>
          <w:tcPr>
            <w:tcW w:w="684" w:type="pct"/>
            <w:tcBorders>
              <w:top w:val="nil"/>
              <w:left w:val="nil"/>
              <w:right w:val="nil"/>
            </w:tcBorders>
            <w:vAlign w:val="bottom"/>
            <w:hideMark/>
          </w:tcPr>
          <w:p w:rsidRPr="009C48DA" w:rsidR="00513F3A" w:rsidP="00331ED2" w:rsidRDefault="00513F3A" w14:paraId="7CFA628F" w14:textId="77777777">
            <w:pPr>
              <w:keepNext/>
              <w:pBdr>
                <w:bottom w:val="single" w:color="auto" w:sz="4" w:space="1"/>
              </w:pBdr>
              <w:jc w:val="center"/>
              <w:rPr>
                <w:rFonts w:cs="Times New Roman"/>
                <w:b/>
                <w:sz w:val="20"/>
                <w:szCs w:val="20"/>
                <w:lang w:val="en-GB"/>
              </w:rPr>
            </w:pPr>
            <w:r w:rsidRPr="009C48DA">
              <w:rPr>
                <w:rFonts w:eastAsia="Times New Roman" w:cs="Times New Roman"/>
                <w:b/>
                <w:color w:val="000000"/>
                <w:sz w:val="20"/>
                <w:szCs w:val="20"/>
                <w:lang w:val="en-GB"/>
              </w:rPr>
              <w:t>Number of A1 ordinary shares</w:t>
            </w:r>
          </w:p>
        </w:tc>
        <w:tc>
          <w:tcPr>
            <w:tcW w:w="1014" w:type="pct"/>
            <w:tcBorders>
              <w:top w:val="nil"/>
              <w:left w:val="nil"/>
              <w:right w:val="nil"/>
            </w:tcBorders>
            <w:vAlign w:val="bottom"/>
          </w:tcPr>
          <w:p w:rsidRPr="009C48DA" w:rsidR="00513F3A" w:rsidP="00331ED2" w:rsidRDefault="00513F3A" w14:paraId="2CA3FFD6" w14:textId="77777777">
            <w:pPr>
              <w:keepNext/>
              <w:pBdr>
                <w:bottom w:val="single" w:color="auto" w:sz="4" w:space="1"/>
              </w:pBdr>
              <w:jc w:val="center"/>
              <w:rPr>
                <w:rFonts w:eastAsia="Times New Roman" w:cs="Times New Roman"/>
                <w:b/>
                <w:color w:val="000000"/>
                <w:sz w:val="20"/>
                <w:szCs w:val="20"/>
                <w:lang w:val="en-GB"/>
              </w:rPr>
            </w:pPr>
            <w:r w:rsidRPr="009C48DA">
              <w:rPr>
                <w:rFonts w:eastAsia="Times New Roman" w:cs="Times New Roman"/>
                <w:b/>
                <w:color w:val="000000"/>
                <w:sz w:val="20"/>
                <w:szCs w:val="20"/>
                <w:lang w:val="en-GB"/>
              </w:rPr>
              <w:t xml:space="preserve">Number of </w:t>
            </w:r>
            <w:r w:rsidRPr="009C48DA">
              <w:rPr>
                <w:rFonts w:eastAsia="Times New Roman" w:cs="Times New Roman"/>
                <w:b/>
                <w:color w:val="000000"/>
                <w:sz w:val="20"/>
                <w:szCs w:val="20"/>
                <w:lang w:val="en-GB"/>
              </w:rPr>
              <w:br/>
              <w:t>A2 ordinary shares</w:t>
            </w:r>
          </w:p>
        </w:tc>
        <w:tc>
          <w:tcPr>
            <w:tcW w:w="1014" w:type="pct"/>
            <w:tcBorders>
              <w:top w:val="nil"/>
              <w:left w:val="nil"/>
              <w:right w:val="nil"/>
            </w:tcBorders>
            <w:vAlign w:val="bottom"/>
          </w:tcPr>
          <w:p w:rsidRPr="009C48DA" w:rsidR="00513F3A" w:rsidP="00331ED2" w:rsidRDefault="00513F3A" w14:paraId="2A9A8032" w14:textId="77777777">
            <w:pPr>
              <w:keepNext/>
              <w:pBdr>
                <w:bottom w:val="single" w:color="auto" w:sz="4" w:space="1"/>
              </w:pBdr>
              <w:jc w:val="center"/>
              <w:rPr>
                <w:rFonts w:eastAsia="Times New Roman" w:cs="Times New Roman"/>
                <w:b/>
                <w:color w:val="000000"/>
                <w:sz w:val="20"/>
                <w:szCs w:val="20"/>
                <w:lang w:val="en-GB"/>
              </w:rPr>
            </w:pPr>
            <w:r w:rsidRPr="009C48DA">
              <w:rPr>
                <w:rFonts w:eastAsia="Times New Roman" w:cs="Times New Roman"/>
                <w:b/>
                <w:color w:val="000000"/>
                <w:sz w:val="20"/>
                <w:szCs w:val="20"/>
                <w:lang w:val="en-GB"/>
              </w:rPr>
              <w:t xml:space="preserve">Number of </w:t>
            </w:r>
            <w:r w:rsidRPr="009C48DA">
              <w:rPr>
                <w:rFonts w:eastAsia="Times New Roman" w:cs="Times New Roman"/>
                <w:b/>
                <w:color w:val="000000"/>
                <w:sz w:val="20"/>
                <w:szCs w:val="20"/>
                <w:lang w:val="en-GB"/>
              </w:rPr>
              <w:br/>
              <w:t>A3 ordinary shares</w:t>
            </w:r>
          </w:p>
        </w:tc>
        <w:tc>
          <w:tcPr>
            <w:tcW w:w="1013" w:type="pct"/>
            <w:tcBorders>
              <w:top w:val="nil"/>
              <w:left w:val="nil"/>
              <w:right w:val="nil"/>
            </w:tcBorders>
            <w:vAlign w:val="bottom"/>
            <w:hideMark/>
          </w:tcPr>
          <w:p w:rsidRPr="009C48DA" w:rsidR="00513F3A" w:rsidP="00331ED2" w:rsidRDefault="00513F3A" w14:paraId="0434D4A3" w14:textId="77777777">
            <w:pPr>
              <w:keepNext/>
              <w:pBdr>
                <w:bottom w:val="single" w:color="auto" w:sz="4" w:space="1"/>
              </w:pBdr>
              <w:jc w:val="center"/>
              <w:rPr>
                <w:rFonts w:cs="Times New Roman"/>
                <w:b/>
                <w:sz w:val="20"/>
                <w:szCs w:val="20"/>
                <w:lang w:val="en-GB"/>
              </w:rPr>
            </w:pPr>
            <w:r w:rsidRPr="009C48DA">
              <w:rPr>
                <w:rFonts w:eastAsia="Times New Roman" w:cs="Times New Roman"/>
                <w:b/>
                <w:color w:val="000000"/>
                <w:sz w:val="20"/>
                <w:szCs w:val="20"/>
                <w:lang w:val="en-GB"/>
              </w:rPr>
              <w:t xml:space="preserve">Percentage of </w:t>
            </w:r>
            <w:r w:rsidRPr="009C48DA">
              <w:rPr>
                <w:rFonts w:eastAsia="Times New Roman" w:cs="Times New Roman"/>
                <w:b/>
                <w:color w:val="000000"/>
                <w:sz w:val="20"/>
                <w:szCs w:val="20"/>
                <w:lang w:val="en-GB"/>
              </w:rPr>
              <w:br/>
              <w:t>voting rights</w:t>
            </w:r>
          </w:p>
        </w:tc>
      </w:tr>
      <w:tr w:rsidRPr="009C48DA" w:rsidR="0083180E" w:rsidTr="00331ED2" w14:paraId="7BF91F26" w14:textId="77777777">
        <w:tc>
          <w:tcPr>
            <w:tcW w:w="1275" w:type="pct"/>
            <w:tcBorders>
              <w:left w:val="nil"/>
              <w:bottom w:val="nil"/>
              <w:right w:val="nil"/>
            </w:tcBorders>
          </w:tcPr>
          <w:p w:rsidRPr="009C48DA" w:rsidR="0083180E" w:rsidP="0083180E" w:rsidRDefault="0083180E" w14:paraId="72294594" w14:textId="29734E0D">
            <w:pPr>
              <w:keepNext/>
              <w:tabs>
                <w:tab w:val="right" w:leader="dot" w:pos="4842"/>
              </w:tabs>
              <w:ind w:left="162" w:hanging="162"/>
              <w:rPr>
                <w:rFonts w:cs="Times New Roman"/>
                <w:sz w:val="20"/>
                <w:szCs w:val="20"/>
                <w:lang w:val="en-GB"/>
              </w:rPr>
            </w:pPr>
            <w:r w:rsidRPr="009C48DA">
              <w:rPr>
                <w:sz w:val="20"/>
                <w:szCs w:val="20"/>
                <w:lang w:val="en-GB"/>
              </w:rPr>
              <w:t>William Jackson</w:t>
            </w:r>
          </w:p>
        </w:tc>
        <w:tc>
          <w:tcPr>
            <w:tcW w:w="684" w:type="pct"/>
            <w:vAlign w:val="bottom"/>
          </w:tcPr>
          <w:p w:rsidRPr="009C48DA" w:rsidR="0083180E" w:rsidP="00331ED2" w:rsidRDefault="0083180E" w14:paraId="345F227F" w14:textId="11F402CE">
            <w:pPr>
              <w:keepNext/>
              <w:jc w:val="center"/>
              <w:rPr>
                <w:rFonts w:cs="Times New Roman"/>
                <w:sz w:val="20"/>
                <w:szCs w:val="20"/>
                <w:lang w:val="en-GB"/>
              </w:rPr>
            </w:pPr>
            <w:r w:rsidRPr="009C48DA">
              <w:rPr>
                <w:sz w:val="20"/>
                <w:szCs w:val="20"/>
                <w:lang w:val="en-GB"/>
              </w:rPr>
              <w:t>59,460</w:t>
            </w:r>
          </w:p>
        </w:tc>
        <w:tc>
          <w:tcPr>
            <w:tcW w:w="1014" w:type="pct"/>
            <w:vAlign w:val="bottom"/>
          </w:tcPr>
          <w:p w:rsidRPr="009C48DA" w:rsidR="0083180E" w:rsidP="00331ED2" w:rsidRDefault="00E53776" w14:paraId="40BB32FC" w14:textId="698075FD">
            <w:pPr>
              <w:keepNext/>
              <w:jc w:val="center"/>
              <w:rPr>
                <w:rFonts w:eastAsia="Times New Roman" w:cs="Times New Roman"/>
                <w:color w:val="000000"/>
                <w:sz w:val="20"/>
                <w:szCs w:val="20"/>
                <w:lang w:val="en-GB"/>
              </w:rPr>
            </w:pPr>
            <w:r w:rsidRPr="009C48DA">
              <w:rPr>
                <w:sz w:val="20"/>
                <w:szCs w:val="20"/>
                <w:lang w:val="en-GB"/>
              </w:rPr>
              <w:t>—</w:t>
            </w:r>
          </w:p>
        </w:tc>
        <w:tc>
          <w:tcPr>
            <w:tcW w:w="1014" w:type="pct"/>
            <w:vAlign w:val="bottom"/>
          </w:tcPr>
          <w:p w:rsidRPr="009C48DA" w:rsidR="0083180E" w:rsidP="00331ED2" w:rsidRDefault="0083180E" w14:paraId="689FC702" w14:textId="19EB9584">
            <w:pPr>
              <w:keepNext/>
              <w:jc w:val="center"/>
              <w:rPr>
                <w:rFonts w:eastAsia="Times New Roman" w:cs="Times New Roman"/>
                <w:color w:val="000000"/>
                <w:sz w:val="20"/>
                <w:szCs w:val="20"/>
                <w:lang w:val="en-GB"/>
              </w:rPr>
            </w:pPr>
            <w:r w:rsidRPr="009C48DA">
              <w:rPr>
                <w:sz w:val="20"/>
                <w:szCs w:val="20"/>
                <w:lang w:val="en-GB"/>
              </w:rPr>
              <w:t>10,000</w:t>
            </w:r>
          </w:p>
        </w:tc>
        <w:tc>
          <w:tcPr>
            <w:tcW w:w="1013" w:type="pct"/>
            <w:vAlign w:val="bottom"/>
          </w:tcPr>
          <w:p w:rsidRPr="009C48DA" w:rsidR="0083180E" w:rsidP="00331ED2" w:rsidRDefault="0083180E" w14:paraId="54A29348" w14:textId="4CA084D7">
            <w:pPr>
              <w:keepNext/>
              <w:jc w:val="center"/>
              <w:rPr>
                <w:rFonts w:cs="Times New Roman"/>
                <w:sz w:val="20"/>
                <w:szCs w:val="20"/>
                <w:lang w:val="en-GB"/>
              </w:rPr>
            </w:pPr>
            <w:r w:rsidRPr="009C48DA">
              <w:rPr>
                <w:sz w:val="20"/>
                <w:szCs w:val="20"/>
                <w:lang w:val="en-GB"/>
              </w:rPr>
              <w:t>1.</w:t>
            </w:r>
            <w:r w:rsidRPr="009C48DA" w:rsidR="00E26B5C">
              <w:rPr>
                <w:sz w:val="20"/>
                <w:szCs w:val="20"/>
                <w:lang w:val="en-GB"/>
              </w:rPr>
              <w:t>81</w:t>
            </w:r>
            <w:r w:rsidRPr="009C48DA">
              <w:rPr>
                <w:sz w:val="20"/>
                <w:szCs w:val="20"/>
                <w:lang w:val="en-GB"/>
              </w:rPr>
              <w:t>%</w:t>
            </w:r>
          </w:p>
        </w:tc>
      </w:tr>
      <w:tr w:rsidRPr="009C48DA" w:rsidR="0083180E" w:rsidTr="00331ED2" w14:paraId="65FE0C10" w14:textId="77777777">
        <w:tc>
          <w:tcPr>
            <w:tcW w:w="1275" w:type="pct"/>
          </w:tcPr>
          <w:p w:rsidRPr="009C48DA" w:rsidR="0083180E" w:rsidP="0083180E" w:rsidRDefault="0083180E" w14:paraId="1F2CE786" w14:textId="042A6E43">
            <w:pPr>
              <w:keepNext/>
              <w:tabs>
                <w:tab w:val="right" w:leader="dot" w:pos="4842"/>
              </w:tabs>
              <w:ind w:left="162" w:hanging="162"/>
              <w:rPr>
                <w:rFonts w:eastAsia="Times New Roman" w:cs="Times New Roman"/>
                <w:color w:val="000000"/>
                <w:sz w:val="20"/>
                <w:szCs w:val="20"/>
                <w:lang w:val="en-GB"/>
              </w:rPr>
            </w:pPr>
            <w:r w:rsidRPr="009C48DA">
              <w:rPr>
                <w:sz w:val="20"/>
                <w:szCs w:val="20"/>
                <w:lang w:val="en-GB"/>
              </w:rPr>
              <w:t>Adam Jones</w:t>
            </w:r>
          </w:p>
        </w:tc>
        <w:tc>
          <w:tcPr>
            <w:tcW w:w="684" w:type="pct"/>
            <w:vAlign w:val="bottom"/>
            <w:hideMark/>
          </w:tcPr>
          <w:p w:rsidRPr="009C48DA" w:rsidR="0083180E" w:rsidP="00331ED2" w:rsidRDefault="00E53776" w14:paraId="18BAB6C1" w14:textId="65858A49">
            <w:pPr>
              <w:keepNext/>
              <w:jc w:val="center"/>
              <w:rPr>
                <w:rFonts w:eastAsia="Times New Roman" w:cs="Times New Roman"/>
                <w:color w:val="000000"/>
                <w:sz w:val="20"/>
                <w:szCs w:val="20"/>
                <w:lang w:val="en-GB"/>
              </w:rPr>
            </w:pPr>
            <w:r w:rsidRPr="009C48DA">
              <w:rPr>
                <w:sz w:val="20"/>
                <w:szCs w:val="20"/>
                <w:lang w:val="en-GB"/>
              </w:rPr>
              <w:t>—</w:t>
            </w:r>
          </w:p>
        </w:tc>
        <w:tc>
          <w:tcPr>
            <w:tcW w:w="1014" w:type="pct"/>
            <w:vAlign w:val="bottom"/>
          </w:tcPr>
          <w:p w:rsidRPr="009C48DA" w:rsidR="0083180E" w:rsidP="00331ED2" w:rsidRDefault="0083180E" w14:paraId="4E01D0FF" w14:textId="63A59D24">
            <w:pPr>
              <w:keepNext/>
              <w:jc w:val="center"/>
              <w:rPr>
                <w:rFonts w:eastAsia="Times New Roman" w:cs="Times New Roman"/>
                <w:color w:val="000000"/>
                <w:sz w:val="20"/>
                <w:szCs w:val="20"/>
                <w:lang w:val="en-GB"/>
              </w:rPr>
            </w:pPr>
            <w:r w:rsidRPr="009C48DA">
              <w:rPr>
                <w:sz w:val="20"/>
                <w:szCs w:val="20"/>
                <w:lang w:val="en-GB"/>
              </w:rPr>
              <w:t>60,000</w:t>
            </w:r>
          </w:p>
        </w:tc>
        <w:tc>
          <w:tcPr>
            <w:tcW w:w="1014" w:type="pct"/>
            <w:vAlign w:val="bottom"/>
          </w:tcPr>
          <w:p w:rsidRPr="009C48DA" w:rsidR="0083180E" w:rsidP="00331ED2" w:rsidRDefault="0083180E" w14:paraId="36BB9A08" w14:textId="4B071344">
            <w:pPr>
              <w:keepNext/>
              <w:jc w:val="center"/>
              <w:rPr>
                <w:rFonts w:eastAsia="Times New Roman" w:cs="Times New Roman"/>
                <w:color w:val="000000"/>
                <w:sz w:val="20"/>
                <w:szCs w:val="20"/>
                <w:lang w:val="en-GB"/>
              </w:rPr>
            </w:pPr>
            <w:r w:rsidRPr="009C48DA">
              <w:rPr>
                <w:sz w:val="20"/>
                <w:szCs w:val="20"/>
                <w:lang w:val="en-GB"/>
              </w:rPr>
              <w:t>10,000</w:t>
            </w:r>
          </w:p>
        </w:tc>
        <w:tc>
          <w:tcPr>
            <w:tcW w:w="1013" w:type="pct"/>
            <w:vAlign w:val="bottom"/>
            <w:hideMark/>
          </w:tcPr>
          <w:p w:rsidRPr="009C48DA" w:rsidR="0083180E" w:rsidP="00331ED2" w:rsidRDefault="0083180E" w14:paraId="5611051D" w14:textId="13EF997F">
            <w:pPr>
              <w:keepNext/>
              <w:jc w:val="center"/>
              <w:rPr>
                <w:rFonts w:eastAsia="Times New Roman" w:cs="Times New Roman"/>
                <w:color w:val="000000"/>
                <w:sz w:val="20"/>
                <w:szCs w:val="20"/>
                <w:lang w:val="en-GB"/>
              </w:rPr>
            </w:pPr>
            <w:r w:rsidRPr="009C48DA">
              <w:rPr>
                <w:sz w:val="20"/>
                <w:szCs w:val="20"/>
                <w:lang w:val="en-GB"/>
              </w:rPr>
              <w:t>1.</w:t>
            </w:r>
            <w:r w:rsidRPr="009C48DA" w:rsidR="00E26B5C">
              <w:rPr>
                <w:sz w:val="20"/>
                <w:szCs w:val="20"/>
                <w:lang w:val="en-GB"/>
              </w:rPr>
              <w:t>8</w:t>
            </w:r>
            <w:r w:rsidRPr="009C48DA">
              <w:rPr>
                <w:sz w:val="20"/>
                <w:szCs w:val="20"/>
                <w:lang w:val="en-GB"/>
              </w:rPr>
              <w:t>2%</w:t>
            </w:r>
          </w:p>
        </w:tc>
      </w:tr>
      <w:tr w:rsidRPr="009C48DA" w:rsidR="001B7256" w:rsidTr="00331ED2" w14:paraId="0AA66E8B" w14:textId="77777777">
        <w:tc>
          <w:tcPr>
            <w:tcW w:w="1275" w:type="pct"/>
          </w:tcPr>
          <w:p w:rsidRPr="009C48DA" w:rsidR="001B7256" w:rsidP="001B7256" w:rsidRDefault="001B7256" w14:paraId="5E21BC8B" w14:textId="1B3EDBA0">
            <w:pPr>
              <w:keepNext/>
              <w:tabs>
                <w:tab w:val="right" w:leader="dot" w:pos="4842"/>
              </w:tabs>
              <w:ind w:left="162" w:hanging="162"/>
              <w:rPr>
                <w:rFonts w:eastAsia="Times New Roman" w:cs="Times New Roman"/>
                <w:color w:val="000000"/>
                <w:sz w:val="20"/>
                <w:szCs w:val="20"/>
                <w:lang w:val="en-GB"/>
              </w:rPr>
            </w:pPr>
            <w:r w:rsidRPr="009C48DA">
              <w:rPr>
                <w:bCs/>
                <w:sz w:val="20"/>
                <w:szCs w:val="20"/>
                <w:lang w:val="en-GB"/>
              </w:rPr>
              <w:t>Archie Norman</w:t>
            </w:r>
          </w:p>
        </w:tc>
        <w:tc>
          <w:tcPr>
            <w:tcW w:w="684" w:type="pct"/>
            <w:vAlign w:val="bottom"/>
          </w:tcPr>
          <w:p w:rsidRPr="009C48DA" w:rsidR="001B7256" w:rsidP="00331ED2" w:rsidRDefault="00E53776" w14:paraId="4F4B0E91" w14:textId="23347B9D">
            <w:pPr>
              <w:keepNext/>
              <w:jc w:val="center"/>
              <w:rPr>
                <w:rFonts w:eastAsia="Times New Roman" w:cs="Times New Roman"/>
                <w:color w:val="000000"/>
                <w:sz w:val="20"/>
                <w:szCs w:val="20"/>
                <w:lang w:val="en-GB"/>
              </w:rPr>
            </w:pPr>
            <w:r w:rsidRPr="009C48DA">
              <w:rPr>
                <w:sz w:val="20"/>
                <w:szCs w:val="20"/>
                <w:lang w:val="en-GB"/>
              </w:rPr>
              <w:t>—</w:t>
            </w:r>
          </w:p>
        </w:tc>
        <w:tc>
          <w:tcPr>
            <w:tcW w:w="1014" w:type="pct"/>
            <w:vAlign w:val="bottom"/>
          </w:tcPr>
          <w:p w:rsidRPr="009C48DA" w:rsidR="001B7256" w:rsidP="00331ED2" w:rsidRDefault="00E53776" w14:paraId="0D7AA400" w14:textId="626D102A">
            <w:pPr>
              <w:keepNext/>
              <w:jc w:val="center"/>
              <w:rPr>
                <w:rFonts w:eastAsia="Times New Roman" w:cs="Times New Roman"/>
                <w:color w:val="000000"/>
                <w:sz w:val="20"/>
                <w:szCs w:val="20"/>
                <w:lang w:val="en-GB"/>
              </w:rPr>
            </w:pPr>
            <w:r w:rsidRPr="009C48DA">
              <w:rPr>
                <w:sz w:val="20"/>
                <w:szCs w:val="20"/>
                <w:lang w:val="en-GB"/>
              </w:rPr>
              <w:t>—</w:t>
            </w:r>
          </w:p>
        </w:tc>
        <w:tc>
          <w:tcPr>
            <w:tcW w:w="1014" w:type="pct"/>
            <w:vAlign w:val="bottom"/>
          </w:tcPr>
          <w:p w:rsidRPr="009C48DA" w:rsidR="001B7256" w:rsidP="00331ED2" w:rsidRDefault="00E53776" w14:paraId="34F246E1" w14:textId="38F3FF0E">
            <w:pPr>
              <w:keepNext/>
              <w:jc w:val="center"/>
              <w:rPr>
                <w:rFonts w:eastAsia="Times New Roman" w:cs="Times New Roman"/>
                <w:color w:val="000000"/>
                <w:sz w:val="20"/>
                <w:szCs w:val="20"/>
                <w:lang w:val="en-GB"/>
              </w:rPr>
            </w:pPr>
            <w:r w:rsidRPr="009C48DA">
              <w:rPr>
                <w:sz w:val="20"/>
                <w:szCs w:val="20"/>
                <w:lang w:val="en-GB"/>
              </w:rPr>
              <w:t>—</w:t>
            </w:r>
          </w:p>
        </w:tc>
        <w:tc>
          <w:tcPr>
            <w:tcW w:w="1013" w:type="pct"/>
            <w:vAlign w:val="bottom"/>
          </w:tcPr>
          <w:p w:rsidRPr="009C48DA" w:rsidR="001B7256" w:rsidP="00331ED2" w:rsidRDefault="00E53776" w14:paraId="4D95E607" w14:textId="2FAFA684">
            <w:pPr>
              <w:keepNext/>
              <w:jc w:val="center"/>
              <w:rPr>
                <w:rFonts w:eastAsia="Times New Roman" w:cs="Times New Roman"/>
                <w:color w:val="000000"/>
                <w:sz w:val="20"/>
                <w:szCs w:val="20"/>
                <w:lang w:val="en-GB"/>
              </w:rPr>
            </w:pPr>
            <w:r w:rsidRPr="009C48DA">
              <w:rPr>
                <w:sz w:val="20"/>
                <w:szCs w:val="20"/>
                <w:lang w:val="en-GB"/>
              </w:rPr>
              <w:t>—</w:t>
            </w:r>
          </w:p>
        </w:tc>
      </w:tr>
      <w:tr w:rsidRPr="009C48DA" w:rsidR="001B7256" w:rsidTr="00331ED2" w14:paraId="033B79C6" w14:textId="77777777">
        <w:tc>
          <w:tcPr>
            <w:tcW w:w="1275" w:type="pct"/>
          </w:tcPr>
          <w:p w:rsidRPr="009C48DA" w:rsidR="001B7256" w:rsidP="001B7256" w:rsidRDefault="001B7256" w14:paraId="2DEB6F5D" w14:textId="19505B94">
            <w:pPr>
              <w:keepNext/>
              <w:tabs>
                <w:tab w:val="right" w:leader="dot" w:pos="4842"/>
              </w:tabs>
              <w:rPr>
                <w:rFonts w:eastAsia="Times New Roman" w:cs="Times New Roman"/>
                <w:color w:val="000000"/>
                <w:sz w:val="20"/>
                <w:szCs w:val="20"/>
                <w:lang w:val="en-GB"/>
              </w:rPr>
            </w:pPr>
            <w:r w:rsidRPr="009C48DA">
              <w:rPr>
                <w:bCs/>
                <w:sz w:val="20"/>
                <w:szCs w:val="20"/>
                <w:lang w:val="en-GB"/>
              </w:rPr>
              <w:t>Angeles Garcia-Poveda</w:t>
            </w:r>
          </w:p>
        </w:tc>
        <w:tc>
          <w:tcPr>
            <w:tcW w:w="684" w:type="pct"/>
            <w:vAlign w:val="bottom"/>
          </w:tcPr>
          <w:p w:rsidRPr="009C48DA" w:rsidR="001B7256" w:rsidP="00331ED2" w:rsidRDefault="00E53776" w14:paraId="3C1C0459" w14:textId="0024EBF8">
            <w:pPr>
              <w:keepNext/>
              <w:jc w:val="center"/>
              <w:rPr>
                <w:rFonts w:eastAsia="Times New Roman" w:cs="Times New Roman"/>
                <w:color w:val="000000"/>
                <w:sz w:val="20"/>
                <w:szCs w:val="20"/>
                <w:lang w:val="en-GB"/>
              </w:rPr>
            </w:pPr>
            <w:r w:rsidRPr="009C48DA">
              <w:rPr>
                <w:sz w:val="20"/>
                <w:szCs w:val="20"/>
                <w:lang w:val="en-GB"/>
              </w:rPr>
              <w:t>—</w:t>
            </w:r>
          </w:p>
        </w:tc>
        <w:tc>
          <w:tcPr>
            <w:tcW w:w="1014" w:type="pct"/>
            <w:vAlign w:val="bottom"/>
          </w:tcPr>
          <w:p w:rsidRPr="009C48DA" w:rsidR="001B7256" w:rsidP="00331ED2" w:rsidRDefault="00E53776" w14:paraId="19DFA1B3" w14:textId="622938B6">
            <w:pPr>
              <w:keepNext/>
              <w:jc w:val="center"/>
              <w:rPr>
                <w:rFonts w:eastAsia="Times New Roman" w:cs="Times New Roman"/>
                <w:color w:val="000000"/>
                <w:sz w:val="20"/>
                <w:szCs w:val="20"/>
                <w:lang w:val="en-GB"/>
              </w:rPr>
            </w:pPr>
            <w:r w:rsidRPr="009C48DA">
              <w:rPr>
                <w:sz w:val="20"/>
                <w:szCs w:val="20"/>
                <w:lang w:val="en-GB"/>
              </w:rPr>
              <w:t>—</w:t>
            </w:r>
          </w:p>
        </w:tc>
        <w:tc>
          <w:tcPr>
            <w:tcW w:w="1014" w:type="pct"/>
            <w:vAlign w:val="bottom"/>
          </w:tcPr>
          <w:p w:rsidRPr="009C48DA" w:rsidR="001B7256" w:rsidP="00331ED2" w:rsidRDefault="00E53776" w14:paraId="334B21ED" w14:textId="7F6C2ED0">
            <w:pPr>
              <w:keepNext/>
              <w:jc w:val="center"/>
              <w:rPr>
                <w:rFonts w:eastAsia="Times New Roman" w:cs="Times New Roman"/>
                <w:color w:val="000000"/>
                <w:sz w:val="20"/>
                <w:szCs w:val="20"/>
                <w:lang w:val="en-GB"/>
              </w:rPr>
            </w:pPr>
            <w:r w:rsidRPr="009C48DA">
              <w:rPr>
                <w:sz w:val="20"/>
                <w:szCs w:val="20"/>
                <w:lang w:val="en-GB"/>
              </w:rPr>
              <w:t>—</w:t>
            </w:r>
          </w:p>
        </w:tc>
        <w:tc>
          <w:tcPr>
            <w:tcW w:w="1013" w:type="pct"/>
            <w:vAlign w:val="bottom"/>
          </w:tcPr>
          <w:p w:rsidRPr="009C48DA" w:rsidR="001B7256" w:rsidP="00331ED2" w:rsidRDefault="00E53776" w14:paraId="64614907" w14:textId="4B4E9983">
            <w:pPr>
              <w:keepNext/>
              <w:jc w:val="center"/>
              <w:rPr>
                <w:rFonts w:eastAsia="Times New Roman" w:cs="Times New Roman"/>
                <w:color w:val="000000"/>
                <w:sz w:val="20"/>
                <w:szCs w:val="20"/>
                <w:lang w:val="en-GB"/>
              </w:rPr>
            </w:pPr>
            <w:r w:rsidRPr="009C48DA">
              <w:rPr>
                <w:sz w:val="20"/>
                <w:szCs w:val="20"/>
                <w:lang w:val="en-GB"/>
              </w:rPr>
              <w:t>—</w:t>
            </w:r>
          </w:p>
        </w:tc>
      </w:tr>
      <w:tr w:rsidRPr="009C48DA" w:rsidR="001B7256" w:rsidTr="00331ED2" w14:paraId="213CA68E" w14:textId="77777777">
        <w:tc>
          <w:tcPr>
            <w:tcW w:w="1275" w:type="pct"/>
          </w:tcPr>
          <w:p w:rsidRPr="009C48DA" w:rsidR="001B7256" w:rsidP="001B7256" w:rsidRDefault="001B7256" w14:paraId="18E941E9" w14:textId="41CB07C7">
            <w:pPr>
              <w:keepNext/>
              <w:tabs>
                <w:tab w:val="right" w:leader="dot" w:pos="4842"/>
              </w:tabs>
              <w:ind w:left="162" w:hanging="162"/>
              <w:rPr>
                <w:rFonts w:eastAsia="Times New Roman" w:cs="Times New Roman"/>
                <w:color w:val="000000"/>
                <w:sz w:val="20"/>
                <w:szCs w:val="20"/>
                <w:lang w:val="en-GB"/>
              </w:rPr>
            </w:pPr>
            <w:r w:rsidRPr="009C48DA">
              <w:rPr>
                <w:bCs/>
                <w:sz w:val="20"/>
                <w:szCs w:val="20"/>
                <w:lang w:val="en-GB"/>
              </w:rPr>
              <w:t>Tim Score</w:t>
            </w:r>
          </w:p>
        </w:tc>
        <w:tc>
          <w:tcPr>
            <w:tcW w:w="684" w:type="pct"/>
            <w:vAlign w:val="bottom"/>
          </w:tcPr>
          <w:p w:rsidRPr="009C48DA" w:rsidR="001B7256" w:rsidP="00331ED2" w:rsidRDefault="00E53776" w14:paraId="47923DAB" w14:textId="72619ADB">
            <w:pPr>
              <w:keepNext/>
              <w:jc w:val="center"/>
              <w:rPr>
                <w:rFonts w:eastAsia="Times New Roman" w:cs="Times New Roman"/>
                <w:color w:val="000000"/>
                <w:sz w:val="20"/>
                <w:szCs w:val="20"/>
                <w:lang w:val="en-GB"/>
              </w:rPr>
            </w:pPr>
            <w:r w:rsidRPr="009C48DA">
              <w:rPr>
                <w:sz w:val="20"/>
                <w:szCs w:val="20"/>
                <w:lang w:val="en-GB"/>
              </w:rPr>
              <w:t>—</w:t>
            </w:r>
          </w:p>
        </w:tc>
        <w:tc>
          <w:tcPr>
            <w:tcW w:w="1014" w:type="pct"/>
            <w:vAlign w:val="bottom"/>
          </w:tcPr>
          <w:p w:rsidRPr="009C48DA" w:rsidR="001B7256" w:rsidP="00331ED2" w:rsidRDefault="00E53776" w14:paraId="5054A189" w14:textId="19BCB453">
            <w:pPr>
              <w:keepNext/>
              <w:jc w:val="center"/>
              <w:rPr>
                <w:rFonts w:eastAsia="Times New Roman" w:cs="Times New Roman"/>
                <w:color w:val="000000"/>
                <w:sz w:val="20"/>
                <w:szCs w:val="20"/>
                <w:lang w:val="en-GB"/>
              </w:rPr>
            </w:pPr>
            <w:r w:rsidRPr="009C48DA">
              <w:rPr>
                <w:sz w:val="20"/>
                <w:szCs w:val="20"/>
                <w:lang w:val="en-GB"/>
              </w:rPr>
              <w:t>—</w:t>
            </w:r>
          </w:p>
        </w:tc>
        <w:tc>
          <w:tcPr>
            <w:tcW w:w="1014" w:type="pct"/>
            <w:vAlign w:val="bottom"/>
          </w:tcPr>
          <w:p w:rsidRPr="009C48DA" w:rsidR="001B7256" w:rsidP="00331ED2" w:rsidRDefault="00E53776" w14:paraId="59C5EB7F" w14:textId="5EE56188">
            <w:pPr>
              <w:keepNext/>
              <w:jc w:val="center"/>
              <w:rPr>
                <w:rFonts w:eastAsia="Times New Roman" w:cs="Times New Roman"/>
                <w:color w:val="000000"/>
                <w:sz w:val="20"/>
                <w:szCs w:val="20"/>
                <w:lang w:val="en-GB"/>
              </w:rPr>
            </w:pPr>
            <w:r w:rsidRPr="009C48DA">
              <w:rPr>
                <w:sz w:val="20"/>
                <w:szCs w:val="20"/>
                <w:lang w:val="en-GB"/>
              </w:rPr>
              <w:t>—</w:t>
            </w:r>
          </w:p>
        </w:tc>
        <w:tc>
          <w:tcPr>
            <w:tcW w:w="1013" w:type="pct"/>
            <w:vAlign w:val="bottom"/>
          </w:tcPr>
          <w:p w:rsidRPr="009C48DA" w:rsidR="001B7256" w:rsidP="00331ED2" w:rsidRDefault="00E53776" w14:paraId="18E8421A" w14:textId="48DE46F3">
            <w:pPr>
              <w:keepNext/>
              <w:jc w:val="center"/>
              <w:rPr>
                <w:rFonts w:eastAsia="Times New Roman" w:cs="Times New Roman"/>
                <w:color w:val="000000"/>
                <w:sz w:val="20"/>
                <w:szCs w:val="20"/>
                <w:lang w:val="en-GB"/>
              </w:rPr>
            </w:pPr>
            <w:r w:rsidRPr="009C48DA">
              <w:rPr>
                <w:sz w:val="20"/>
                <w:szCs w:val="20"/>
                <w:lang w:val="en-GB"/>
              </w:rPr>
              <w:t>—</w:t>
            </w:r>
          </w:p>
        </w:tc>
      </w:tr>
    </w:tbl>
    <w:p w:rsidRPr="009C48DA" w:rsidR="00513F3A" w:rsidP="006876CA" w:rsidRDefault="00513F3A" w14:paraId="0D5C46AF" w14:textId="720D3D2B">
      <w:pPr>
        <w:pStyle w:val="BlockText1SglJ"/>
        <w:ind w:left="720"/>
        <w:rPr>
          <w:sz w:val="20"/>
          <w:lang w:val="en-GB"/>
        </w:rPr>
      </w:pPr>
    </w:p>
    <w:p w:rsidRPr="009C48DA" w:rsidR="00DA7B9D" w:rsidP="00C15AF3" w:rsidRDefault="00427CB5" w14:paraId="4FBFA419" w14:textId="1221AB84">
      <w:pPr>
        <w:pStyle w:val="Heading3"/>
        <w:keepNext/>
        <w:rPr>
          <w:lang w:val="en-GB"/>
        </w:rPr>
      </w:pPr>
      <w:r w:rsidRPr="009C48DA">
        <w:rPr>
          <w:lang w:val="en-GB"/>
        </w:rPr>
        <w:t>DIRECTORS’ SERVICE CONTRACTS AND TERMS OF APPOINTMENT</w:t>
      </w:r>
      <w:bookmarkEnd w:id="757"/>
    </w:p>
    <w:p w:rsidRPr="009C48DA" w:rsidR="00842B6F" w:rsidP="00842B6F" w:rsidRDefault="00842B6F" w14:paraId="63A6EE6F" w14:textId="29E69F69">
      <w:pPr>
        <w:pStyle w:val="BlockText5SglJ"/>
        <w:rPr>
          <w:lang w:val="en-GB"/>
        </w:rPr>
      </w:pPr>
      <w:r w:rsidRPr="009C48DA">
        <w:rPr>
          <w:lang w:val="en-GB"/>
        </w:rPr>
        <w:t xml:space="preserve">The Directors and their functions are set out in </w:t>
      </w:r>
      <w:r w:rsidRPr="009C48DA">
        <w:rPr>
          <w:lang w:val="en-GB"/>
        </w:rPr>
        <w:fldChar w:fldCharType="begin"/>
      </w:r>
      <w:r w:rsidRPr="009C48DA">
        <w:rPr>
          <w:lang w:val="en-GB"/>
        </w:rPr>
        <w:instrText xml:space="preserve"> REF _Ref71144380 \r \h </w:instrText>
      </w:r>
      <w:r w:rsidRPr="009C48DA">
        <w:rPr>
          <w:lang w:val="en-GB"/>
        </w:rPr>
      </w:r>
      <w:r w:rsidRPr="009C48DA">
        <w:rPr>
          <w:lang w:val="en-GB"/>
        </w:rPr>
        <w:fldChar w:fldCharType="separate"/>
      </w:r>
      <w:r w:rsidR="007C3D19">
        <w:rPr>
          <w:lang w:val="en-GB"/>
        </w:rPr>
        <w:t>Part VII</w:t>
      </w:r>
      <w:r w:rsidRPr="009C48DA">
        <w:rPr>
          <w:lang w:val="en-GB"/>
        </w:rPr>
        <w:fldChar w:fldCharType="end"/>
      </w:r>
      <w:r w:rsidRPr="009C48DA">
        <w:rPr>
          <w:lang w:val="en-GB"/>
        </w:rPr>
        <w:t xml:space="preserve"> (</w:t>
      </w:r>
      <w:r w:rsidRPr="009C48DA">
        <w:rPr>
          <w:i/>
          <w:lang w:val="en-GB"/>
        </w:rPr>
        <w:fldChar w:fldCharType="begin"/>
      </w:r>
      <w:r w:rsidRPr="009C48DA">
        <w:rPr>
          <w:i/>
          <w:lang w:val="en-GB"/>
        </w:rPr>
        <w:instrText xml:space="preserve"> REF _Ref71144380 \h </w:instrText>
      </w:r>
      <w:r w:rsidRPr="009C48DA" w:rsidR="00541287">
        <w:rPr>
          <w:i/>
          <w:lang w:val="en-GB"/>
        </w:rPr>
        <w:instrText xml:space="preserve"> \* MERGEFORMAT </w:instrText>
      </w:r>
      <w:r w:rsidRPr="009C48DA">
        <w:rPr>
          <w:i/>
          <w:lang w:val="en-GB"/>
        </w:rPr>
      </w:r>
      <w:r w:rsidRPr="009C48DA">
        <w:rPr>
          <w:i/>
          <w:lang w:val="en-GB"/>
        </w:rPr>
        <w:fldChar w:fldCharType="separate"/>
      </w:r>
      <w:r w:rsidRPr="007C3D19" w:rsidR="007C3D19">
        <w:rPr>
          <w:i/>
          <w:lang w:val="en-GB"/>
        </w:rPr>
        <w:t>Directors, Senior Management, Employees and Corporate Governance</w:t>
      </w:r>
      <w:r w:rsidRPr="009C48DA">
        <w:rPr>
          <w:i/>
          <w:lang w:val="en-GB"/>
        </w:rPr>
        <w:fldChar w:fldCharType="end"/>
      </w:r>
      <w:r w:rsidRPr="009C48DA">
        <w:rPr>
          <w:lang w:val="en-GB"/>
        </w:rPr>
        <w:t xml:space="preserve">). Each of the Executive Directors has entered into a new service agreement with the Company, which came into effect on </w:t>
      </w:r>
      <w:r w:rsidRPr="009C48DA" w:rsidR="0073260B">
        <w:rPr>
          <w:lang w:val="en-GB"/>
        </w:rPr>
        <w:t>25</w:t>
      </w:r>
      <w:r w:rsidRPr="009C48DA">
        <w:rPr>
          <w:lang w:val="en-GB"/>
        </w:rPr>
        <w:t xml:space="preserve"> June 2021, and each of the Non-Executive Directors has entered into letters of engagement with the Company as provided for below. The business address of each of the Directors is 95 Wigmore Street, London, W1U 1FB. </w:t>
      </w:r>
    </w:p>
    <w:p w:rsidRPr="009C48DA" w:rsidR="00DA7B9D" w:rsidRDefault="00427CB5" w14:paraId="060721E9" w14:textId="2108A56B">
      <w:pPr>
        <w:pStyle w:val="Heading4"/>
        <w:rPr>
          <w:b/>
          <w:i/>
          <w:lang w:val="en-GB"/>
        </w:rPr>
      </w:pPr>
      <w:r w:rsidRPr="009C48DA">
        <w:rPr>
          <w:b/>
          <w:i/>
          <w:lang w:val="en-GB"/>
        </w:rPr>
        <w:t>Executive Directors</w:t>
      </w:r>
    </w:p>
    <w:p w:rsidRPr="009C48DA" w:rsidR="00842B6F" w:rsidP="00A26C47" w:rsidRDefault="00842B6F" w14:paraId="4F5CEC8A" w14:textId="68A7BA93">
      <w:pPr>
        <w:pStyle w:val="Heading5"/>
        <w:numPr>
          <w:ilvl w:val="4"/>
          <w:numId w:val="39"/>
        </w:numPr>
        <w:tabs>
          <w:tab w:val="clear" w:pos="21600"/>
        </w:tabs>
        <w:ind w:left="1440"/>
        <w:rPr>
          <w:lang w:val="en-GB" w:eastAsia="en-GB"/>
        </w:rPr>
      </w:pPr>
      <w:r w:rsidRPr="009C48DA">
        <w:rPr>
          <w:lang w:val="en-GB" w:eastAsia="en-GB"/>
        </w:rPr>
        <w:t>William Jackson and Adam Jones have been employed by the group since 6 October 1986 and 10 December 2018 respectively.</w:t>
      </w:r>
    </w:p>
    <w:p w:rsidRPr="009C48DA" w:rsidR="00842B6F" w:rsidP="00A26C47" w:rsidRDefault="00842B6F" w14:paraId="3AEB3895" w14:textId="77777777">
      <w:pPr>
        <w:pStyle w:val="Heading5"/>
        <w:numPr>
          <w:ilvl w:val="4"/>
          <w:numId w:val="39"/>
        </w:numPr>
        <w:tabs>
          <w:tab w:val="clear" w:pos="21600"/>
        </w:tabs>
        <w:ind w:left="1440"/>
        <w:rPr>
          <w:lang w:val="en-GB" w:eastAsia="en-GB"/>
        </w:rPr>
      </w:pPr>
      <w:r w:rsidRPr="009C48DA">
        <w:rPr>
          <w:lang w:val="en-GB" w:eastAsia="en-GB"/>
        </w:rPr>
        <w:lastRenderedPageBreak/>
        <w:t xml:space="preserve">William Jackson and Adam Jones will receive base salaries of £890,000 and £500,000, respectively, per annum. Their salaries will normally be reviewed annually. There is no obligation to increase the relevant Executive Director’s salary following a salary review. </w:t>
      </w:r>
    </w:p>
    <w:p w:rsidRPr="009C48DA" w:rsidR="00842B6F" w:rsidP="00A26C47" w:rsidRDefault="00842B6F" w14:paraId="6CE68CC9" w14:textId="7F11E53A">
      <w:pPr>
        <w:pStyle w:val="Heading5"/>
        <w:numPr>
          <w:ilvl w:val="4"/>
          <w:numId w:val="39"/>
        </w:numPr>
        <w:tabs>
          <w:tab w:val="clear" w:pos="21600"/>
        </w:tabs>
        <w:ind w:left="1440"/>
        <w:rPr>
          <w:lang w:val="en-GB" w:eastAsia="en-GB"/>
        </w:rPr>
      </w:pPr>
      <w:r w:rsidRPr="009C48DA">
        <w:rPr>
          <w:lang w:val="en-GB" w:eastAsia="en-GB"/>
        </w:rPr>
        <w:t xml:space="preserve">With effect from 1 January 2022, each Executive Director will be eligible for a discretionary annual bonus and will be entitled to participate in such long-term incentive plans as the Company may establish from time to time, at the discretion of the Remuneration Committee and subject always to the </w:t>
      </w:r>
      <w:r w:rsidRPr="009C48DA" w:rsidR="00F414A3">
        <w:rPr>
          <w:lang w:val="en-GB" w:eastAsia="en-GB"/>
        </w:rPr>
        <w:t>Company’s remuneration policy.</w:t>
      </w:r>
    </w:p>
    <w:p w:rsidRPr="009C48DA" w:rsidR="00842B6F" w:rsidP="00842B6F" w:rsidRDefault="00842B6F" w14:paraId="63B3E0FF" w14:textId="77777777">
      <w:pPr>
        <w:pStyle w:val="Heading5"/>
        <w:numPr>
          <w:ilvl w:val="0"/>
          <w:numId w:val="0"/>
        </w:numPr>
        <w:ind w:left="720"/>
        <w:rPr>
          <w:rFonts w:cs="Times New Roman"/>
          <w:i/>
          <w:szCs w:val="22"/>
          <w:lang w:val="en-GB"/>
        </w:rPr>
      </w:pPr>
      <w:r w:rsidRPr="009C48DA">
        <w:rPr>
          <w:rFonts w:cs="Times New Roman"/>
          <w:i/>
          <w:szCs w:val="22"/>
          <w:lang w:val="en-GB"/>
        </w:rPr>
        <w:t>General terms</w:t>
      </w:r>
    </w:p>
    <w:p w:rsidRPr="009C48DA" w:rsidR="00842B6F" w:rsidP="00A26C47" w:rsidRDefault="00842B6F" w14:paraId="06CB78B9" w14:textId="681B2BE8">
      <w:pPr>
        <w:pStyle w:val="Heading5"/>
        <w:numPr>
          <w:ilvl w:val="4"/>
          <w:numId w:val="39"/>
        </w:numPr>
        <w:tabs>
          <w:tab w:val="clear" w:pos="21600"/>
        </w:tabs>
        <w:ind w:left="1440"/>
        <w:rPr>
          <w:lang w:val="en-GB"/>
        </w:rPr>
      </w:pPr>
      <w:r w:rsidRPr="009C48DA">
        <w:rPr>
          <w:lang w:val="en-GB"/>
        </w:rPr>
        <w:t>Each Executive Director will be entitled to receive the company-wi</w:t>
      </w:r>
      <w:r w:rsidRPr="009C48DA" w:rsidR="00970636">
        <w:rPr>
          <w:lang w:val="en-GB"/>
        </w:rPr>
        <w:t xml:space="preserve">de pension contribution to the </w:t>
      </w:r>
      <w:r w:rsidRPr="009C48DA" w:rsidR="00AE5EEE">
        <w:rPr>
          <w:lang w:val="en-GB"/>
        </w:rPr>
        <w:t xml:space="preserve">Bridgepoint </w:t>
      </w:r>
      <w:r w:rsidRPr="009C48DA">
        <w:rPr>
          <w:lang w:val="en-GB"/>
        </w:rPr>
        <w:t>pension plan (the “</w:t>
      </w:r>
      <w:r w:rsidRPr="009C48DA">
        <w:rPr>
          <w:b/>
          <w:lang w:val="en-GB"/>
        </w:rPr>
        <w:t>Plan</w:t>
      </w:r>
      <w:r w:rsidRPr="009C48DA">
        <w:rPr>
          <w:lang w:val="en-GB"/>
        </w:rPr>
        <w:t>”) equal to 10% of their basic salary (subject to a maximum pe</w:t>
      </w:r>
      <w:r w:rsidRPr="009C48DA" w:rsidR="00F414A3">
        <w:rPr>
          <w:lang w:val="en-GB"/>
        </w:rPr>
        <w:t xml:space="preserve">nsionable salary of £112,500). </w:t>
      </w:r>
      <w:r w:rsidRPr="009C48DA">
        <w:rPr>
          <w:lang w:val="en-GB"/>
        </w:rPr>
        <w:t>In the event that either Executive Director elects at their discretion to opt out of t</w:t>
      </w:r>
      <w:r w:rsidRPr="009C48DA" w:rsidR="00970636">
        <w:rPr>
          <w:lang w:val="en-GB"/>
        </w:rPr>
        <w:t xml:space="preserve">he Plan, and subject always to </w:t>
      </w:r>
      <w:r w:rsidRPr="009C48DA" w:rsidR="00AF0B9A">
        <w:rPr>
          <w:lang w:val="en-GB"/>
        </w:rPr>
        <w:t>Bridgepoint</w:t>
      </w:r>
      <w:r w:rsidRPr="009C48DA" w:rsidR="00970636">
        <w:rPr>
          <w:lang w:val="en-GB"/>
        </w:rPr>
        <w:t>’s</w:t>
      </w:r>
      <w:r w:rsidRPr="009C48DA">
        <w:rPr>
          <w:lang w:val="en-GB"/>
        </w:rPr>
        <w:t xml:space="preserve"> obligations in relation to pensions auto-enrolment, they are each entitled to receive a monthly cash allowance of £823.81 instea</w:t>
      </w:r>
      <w:r w:rsidRPr="009C48DA" w:rsidR="00970636">
        <w:rPr>
          <w:lang w:val="en-GB"/>
        </w:rPr>
        <w:t xml:space="preserve">d, being the sum determined by </w:t>
      </w:r>
      <w:r w:rsidRPr="009C48DA" w:rsidR="00AE5EEE">
        <w:rPr>
          <w:lang w:val="en-GB"/>
        </w:rPr>
        <w:t xml:space="preserve">Bridgepoint </w:t>
      </w:r>
      <w:r w:rsidRPr="009C48DA">
        <w:rPr>
          <w:lang w:val="en-GB"/>
        </w:rPr>
        <w:t>as a broadly cost neutral benefit</w:t>
      </w:r>
      <w:r w:rsidRPr="009C48DA" w:rsidR="00F414A3">
        <w:rPr>
          <w:lang w:val="en-GB"/>
        </w:rPr>
        <w:t xml:space="preserve"> to such pension contribution.</w:t>
      </w:r>
    </w:p>
    <w:p w:rsidRPr="009C48DA" w:rsidR="00842B6F" w:rsidP="00A26C47" w:rsidRDefault="00842B6F" w14:paraId="46E2FBC4" w14:textId="1B873840">
      <w:pPr>
        <w:pStyle w:val="Heading5"/>
        <w:numPr>
          <w:ilvl w:val="4"/>
          <w:numId w:val="39"/>
        </w:numPr>
        <w:tabs>
          <w:tab w:val="clear" w:pos="21600"/>
        </w:tabs>
        <w:ind w:left="1440"/>
        <w:rPr>
          <w:rFonts w:cs="Times New Roman"/>
          <w:bCs/>
          <w:iCs/>
          <w:szCs w:val="22"/>
          <w:lang w:val="en-GB"/>
        </w:rPr>
      </w:pPr>
      <w:r w:rsidRPr="009C48DA">
        <w:rPr>
          <w:rFonts w:cs="Times New Roman"/>
          <w:bCs/>
          <w:iCs/>
          <w:szCs w:val="22"/>
          <w:lang w:val="en-GB"/>
        </w:rPr>
        <w:t>Each Execut</w:t>
      </w:r>
      <w:r w:rsidRPr="009C48DA" w:rsidR="00970636">
        <w:rPr>
          <w:rFonts w:cs="Times New Roman"/>
          <w:bCs/>
          <w:iCs/>
          <w:szCs w:val="22"/>
          <w:lang w:val="en-GB"/>
        </w:rPr>
        <w:t xml:space="preserve">ive Director will benefit from </w:t>
      </w:r>
      <w:r w:rsidRPr="009C48DA" w:rsidR="00AF0B9A">
        <w:rPr>
          <w:lang w:val="en-GB"/>
        </w:rPr>
        <w:t>Bridgepoint</w:t>
      </w:r>
      <w:r w:rsidRPr="009C48DA" w:rsidR="00970636">
        <w:rPr>
          <w:rFonts w:cs="Times New Roman"/>
          <w:bCs/>
          <w:iCs/>
          <w:szCs w:val="22"/>
          <w:lang w:val="en-GB"/>
        </w:rPr>
        <w:t>’s</w:t>
      </w:r>
      <w:r w:rsidRPr="009C48DA">
        <w:rPr>
          <w:rFonts w:cs="Times New Roman"/>
          <w:bCs/>
          <w:iCs/>
          <w:szCs w:val="22"/>
          <w:lang w:val="en-GB"/>
        </w:rPr>
        <w:t xml:space="preserve"> company-wide private medical scheme (save as provided for below), group income protection sch</w:t>
      </w:r>
      <w:r w:rsidRPr="009C48DA" w:rsidR="00F414A3">
        <w:rPr>
          <w:rFonts w:cs="Times New Roman"/>
          <w:bCs/>
          <w:iCs/>
          <w:szCs w:val="22"/>
          <w:lang w:val="en-GB"/>
        </w:rPr>
        <w:t xml:space="preserve">eme and life assurance scheme. </w:t>
      </w:r>
      <w:r w:rsidRPr="009C48DA">
        <w:rPr>
          <w:rFonts w:cs="Times New Roman"/>
          <w:bCs/>
          <w:iCs/>
          <w:szCs w:val="22"/>
          <w:lang w:val="en-GB"/>
        </w:rPr>
        <w:t>Ad</w:t>
      </w:r>
      <w:r w:rsidRPr="009C48DA" w:rsidR="00970636">
        <w:rPr>
          <w:rFonts w:cs="Times New Roman"/>
          <w:bCs/>
          <w:iCs/>
          <w:szCs w:val="22"/>
          <w:lang w:val="en-GB"/>
        </w:rPr>
        <w:t xml:space="preserve">am Jones will not benefit from </w:t>
      </w:r>
      <w:r w:rsidRPr="009C48DA" w:rsidR="00AF0B9A">
        <w:rPr>
          <w:lang w:val="en-GB"/>
        </w:rPr>
        <w:t>Bridgepoint</w:t>
      </w:r>
      <w:r w:rsidRPr="009C48DA" w:rsidR="00970636">
        <w:rPr>
          <w:rFonts w:cs="Times New Roman"/>
          <w:bCs/>
          <w:iCs/>
          <w:szCs w:val="22"/>
          <w:lang w:val="en-GB"/>
        </w:rPr>
        <w:t>’s</w:t>
      </w:r>
      <w:r w:rsidRPr="009C48DA">
        <w:rPr>
          <w:rFonts w:cs="Times New Roman"/>
          <w:bCs/>
          <w:iCs/>
          <w:szCs w:val="22"/>
          <w:lang w:val="en-GB"/>
        </w:rPr>
        <w:t xml:space="preserve"> private medical scheme until O</w:t>
      </w:r>
      <w:r w:rsidRPr="009C48DA" w:rsidR="00970636">
        <w:rPr>
          <w:rFonts w:cs="Times New Roman"/>
          <w:bCs/>
          <w:iCs/>
          <w:szCs w:val="22"/>
          <w:lang w:val="en-GB"/>
        </w:rPr>
        <w:t xml:space="preserve">ctober 2021, during which time </w:t>
      </w:r>
      <w:r w:rsidRPr="009C48DA" w:rsidR="00AE5EEE">
        <w:rPr>
          <w:lang w:val="en-GB"/>
        </w:rPr>
        <w:t xml:space="preserve">Bridgepoint </w:t>
      </w:r>
      <w:r w:rsidRPr="009C48DA">
        <w:rPr>
          <w:rFonts w:cs="Times New Roman"/>
          <w:bCs/>
          <w:iCs/>
          <w:szCs w:val="22"/>
          <w:lang w:val="en-GB"/>
        </w:rPr>
        <w:t>will reimburse him the costs (up to a maximum of £30,000 per year) for any health insurance premiums paid by him for the benefit of him, his wife and dependents conditional upon provision of app</w:t>
      </w:r>
      <w:r w:rsidRPr="009C48DA" w:rsidR="00F414A3">
        <w:rPr>
          <w:rFonts w:cs="Times New Roman"/>
          <w:bCs/>
          <w:iCs/>
          <w:szCs w:val="22"/>
          <w:lang w:val="en-GB"/>
        </w:rPr>
        <w:t xml:space="preserve">ropriate documentary evidence. </w:t>
      </w:r>
      <w:r w:rsidRPr="009C48DA">
        <w:rPr>
          <w:rFonts w:cs="Times New Roman"/>
          <w:bCs/>
          <w:iCs/>
          <w:szCs w:val="22"/>
          <w:lang w:val="en-GB"/>
        </w:rPr>
        <w:t xml:space="preserve">Between </w:t>
      </w:r>
      <w:r w:rsidRPr="009C48DA" w:rsidR="00970636">
        <w:rPr>
          <w:rFonts w:cs="Times New Roman"/>
          <w:bCs/>
          <w:iCs/>
          <w:szCs w:val="22"/>
          <w:lang w:val="en-GB"/>
        </w:rPr>
        <w:t xml:space="preserve">October 2021 and October 2022, </w:t>
      </w:r>
      <w:r w:rsidRPr="009C48DA" w:rsidR="00AE5EEE">
        <w:rPr>
          <w:lang w:val="en-GB"/>
        </w:rPr>
        <w:t xml:space="preserve">Bridgepoint </w:t>
      </w:r>
      <w:r w:rsidRPr="009C48DA">
        <w:rPr>
          <w:rFonts w:cs="Times New Roman"/>
          <w:bCs/>
          <w:iCs/>
          <w:szCs w:val="22"/>
          <w:lang w:val="en-GB"/>
        </w:rPr>
        <w:t>will reimburse him the costs (up to a maximum of £20,000 per year) for any health insurance premiums for the benefit of his wife conditional upon provision of appropriate documentary evidence; and during such time Adam Jones and his othe</w:t>
      </w:r>
      <w:r w:rsidRPr="009C48DA" w:rsidR="00970636">
        <w:rPr>
          <w:rFonts w:cs="Times New Roman"/>
          <w:bCs/>
          <w:iCs/>
          <w:szCs w:val="22"/>
          <w:lang w:val="en-GB"/>
        </w:rPr>
        <w:t xml:space="preserve">r dependents will benefit from </w:t>
      </w:r>
      <w:r w:rsidRPr="009C48DA" w:rsidR="00AF0B9A">
        <w:rPr>
          <w:lang w:val="en-GB"/>
        </w:rPr>
        <w:t>Bridgepoint</w:t>
      </w:r>
      <w:r w:rsidRPr="009C48DA" w:rsidR="00970636">
        <w:rPr>
          <w:rFonts w:cs="Times New Roman"/>
          <w:bCs/>
          <w:iCs/>
          <w:szCs w:val="22"/>
          <w:lang w:val="en-GB"/>
        </w:rPr>
        <w:t>’s</w:t>
      </w:r>
      <w:r w:rsidRPr="009C48DA">
        <w:rPr>
          <w:rFonts w:cs="Times New Roman"/>
          <w:bCs/>
          <w:iCs/>
          <w:szCs w:val="22"/>
          <w:lang w:val="en-GB"/>
        </w:rPr>
        <w:t xml:space="preserve"> company-wide private medical scheme.</w:t>
      </w:r>
    </w:p>
    <w:p w:rsidRPr="009C48DA" w:rsidR="00842B6F" w:rsidP="00A26C47" w:rsidRDefault="00842B6F" w14:paraId="0CE16EA4" w14:textId="3DD56C91">
      <w:pPr>
        <w:pStyle w:val="Heading5"/>
        <w:numPr>
          <w:ilvl w:val="4"/>
          <w:numId w:val="39"/>
        </w:numPr>
        <w:tabs>
          <w:tab w:val="clear" w:pos="21600"/>
        </w:tabs>
        <w:ind w:left="1440"/>
        <w:rPr>
          <w:rFonts w:cs="Times New Roman"/>
          <w:iCs/>
          <w:szCs w:val="22"/>
          <w:lang w:val="en-GB"/>
        </w:rPr>
      </w:pPr>
      <w:r w:rsidRPr="009C48DA">
        <w:rPr>
          <w:rFonts w:cs="Times New Roman"/>
          <w:bCs/>
          <w:iCs/>
          <w:szCs w:val="22"/>
          <w:lang w:val="en-GB"/>
        </w:rPr>
        <w:t xml:space="preserve">The Executive Directors will have the benefit of a qualifying third party indemnity from the Company (the terms of which are in accordance with the Companies Act 2006) and appropriate directors’ and </w:t>
      </w:r>
      <w:r w:rsidRPr="009C48DA" w:rsidR="00F414A3">
        <w:rPr>
          <w:rFonts w:cs="Times New Roman"/>
          <w:bCs/>
          <w:iCs/>
          <w:szCs w:val="22"/>
          <w:lang w:val="en-GB"/>
        </w:rPr>
        <w:t>officers’ liability insurance.</w:t>
      </w:r>
    </w:p>
    <w:p w:rsidRPr="009C48DA" w:rsidR="00842B6F" w:rsidP="00842B6F" w:rsidRDefault="00842B6F" w14:paraId="3F5E344A" w14:textId="77777777">
      <w:pPr>
        <w:pStyle w:val="Heading5"/>
        <w:numPr>
          <w:ilvl w:val="0"/>
          <w:numId w:val="0"/>
        </w:numPr>
        <w:ind w:left="1440" w:hanging="720"/>
        <w:rPr>
          <w:rFonts w:cs="Times New Roman"/>
          <w:i/>
          <w:szCs w:val="22"/>
          <w:lang w:val="en-GB"/>
        </w:rPr>
      </w:pPr>
      <w:r w:rsidRPr="009C48DA">
        <w:rPr>
          <w:rFonts w:cs="Times New Roman"/>
          <w:i/>
          <w:szCs w:val="22"/>
          <w:lang w:val="en-GB"/>
        </w:rPr>
        <w:t>Termination provisions</w:t>
      </w:r>
    </w:p>
    <w:p w:rsidRPr="009C48DA" w:rsidR="00842B6F" w:rsidP="00A26C47" w:rsidRDefault="00842B6F" w14:paraId="1C08C2E4" w14:textId="4C1A1118">
      <w:pPr>
        <w:pStyle w:val="Heading5"/>
        <w:numPr>
          <w:ilvl w:val="4"/>
          <w:numId w:val="39"/>
        </w:numPr>
        <w:tabs>
          <w:tab w:val="clear" w:pos="21600"/>
        </w:tabs>
        <w:ind w:left="1440"/>
        <w:rPr>
          <w:rFonts w:cs="Times New Roman"/>
          <w:bCs/>
          <w:iCs/>
          <w:szCs w:val="22"/>
          <w:lang w:val="en-GB"/>
        </w:rPr>
      </w:pPr>
      <w:r w:rsidRPr="009C48DA">
        <w:rPr>
          <w:rFonts w:cs="Times New Roman"/>
          <w:bCs/>
          <w:iCs/>
          <w:szCs w:val="22"/>
          <w:lang w:val="en-GB"/>
        </w:rPr>
        <w:t>Each of the Executive Director’s service a</w:t>
      </w:r>
      <w:r w:rsidRPr="009C48DA" w:rsidR="00970636">
        <w:rPr>
          <w:rFonts w:cs="Times New Roman"/>
          <w:bCs/>
          <w:iCs/>
          <w:szCs w:val="22"/>
          <w:lang w:val="en-GB"/>
        </w:rPr>
        <w:t xml:space="preserve">greement </w:t>
      </w:r>
      <w:r w:rsidRPr="009C48DA" w:rsidR="00BE4262">
        <w:rPr>
          <w:rFonts w:cs="Times New Roman"/>
          <w:bCs/>
          <w:iCs/>
          <w:szCs w:val="22"/>
          <w:lang w:val="en-GB"/>
        </w:rPr>
        <w:t>is</w:t>
      </w:r>
      <w:r w:rsidRPr="009C48DA" w:rsidR="00970636">
        <w:rPr>
          <w:rFonts w:cs="Times New Roman"/>
          <w:bCs/>
          <w:iCs/>
          <w:szCs w:val="22"/>
          <w:lang w:val="en-GB"/>
        </w:rPr>
        <w:t xml:space="preserve"> terminable by </w:t>
      </w:r>
      <w:r w:rsidRPr="009C48DA" w:rsidR="00AE5EEE">
        <w:rPr>
          <w:lang w:val="en-GB"/>
        </w:rPr>
        <w:t xml:space="preserve">Bridgepoint </w:t>
      </w:r>
      <w:r w:rsidRPr="009C48DA" w:rsidR="00970636">
        <w:rPr>
          <w:rFonts w:cs="Times New Roman"/>
          <w:bCs/>
          <w:iCs/>
          <w:szCs w:val="22"/>
          <w:lang w:val="en-GB"/>
        </w:rPr>
        <w:t>on 12 </w:t>
      </w:r>
      <w:r w:rsidRPr="009C48DA">
        <w:rPr>
          <w:rFonts w:cs="Times New Roman"/>
          <w:bCs/>
          <w:iCs/>
          <w:szCs w:val="22"/>
          <w:lang w:val="en-GB"/>
        </w:rPr>
        <w:t xml:space="preserve">months’ written notice. </w:t>
      </w:r>
    </w:p>
    <w:p w:rsidRPr="009C48DA" w:rsidR="00842B6F" w:rsidP="00A26C47" w:rsidRDefault="00AE5EEE" w14:paraId="17296DA9" w14:textId="5D4881F7">
      <w:pPr>
        <w:pStyle w:val="Heading5"/>
        <w:numPr>
          <w:ilvl w:val="4"/>
          <w:numId w:val="39"/>
        </w:numPr>
        <w:tabs>
          <w:tab w:val="clear" w:pos="21600"/>
        </w:tabs>
        <w:ind w:left="1440"/>
        <w:rPr>
          <w:rFonts w:cs="Times New Roman"/>
          <w:bCs/>
          <w:iCs/>
          <w:szCs w:val="22"/>
          <w:lang w:val="en-GB"/>
        </w:rPr>
      </w:pPr>
      <w:r w:rsidRPr="009C48DA">
        <w:rPr>
          <w:lang w:val="en-GB"/>
        </w:rPr>
        <w:t xml:space="preserve">Bridgepoint </w:t>
      </w:r>
      <w:r w:rsidRPr="009C48DA" w:rsidR="00842B6F">
        <w:rPr>
          <w:rFonts w:cs="Times New Roman"/>
          <w:bCs/>
          <w:iCs/>
          <w:szCs w:val="22"/>
          <w:lang w:val="en-GB"/>
        </w:rPr>
        <w:t xml:space="preserve">is </w:t>
      </w:r>
      <w:r w:rsidRPr="009C48DA" w:rsidR="00BE4262">
        <w:rPr>
          <w:rFonts w:cs="Times New Roman"/>
          <w:bCs/>
          <w:iCs/>
          <w:szCs w:val="22"/>
          <w:lang w:val="en-GB"/>
        </w:rPr>
        <w:t xml:space="preserve">also </w:t>
      </w:r>
      <w:r w:rsidRPr="009C48DA" w:rsidR="00842B6F">
        <w:rPr>
          <w:rFonts w:cs="Times New Roman"/>
          <w:bCs/>
          <w:iCs/>
          <w:szCs w:val="22"/>
          <w:lang w:val="en-GB"/>
        </w:rPr>
        <w:t>entitled to terminate an Executive Director’s employment with immediate effect in certain circumstances, including if the Executive Director: (i) is guilty of any gross misconduct; (ii) becomes insolvent or bankrupt; or (iii) is found guilty of any criminal offences punishable by imprisonment (whether or not such sentence is actually imposed).</w:t>
      </w:r>
    </w:p>
    <w:p w:rsidRPr="009C48DA" w:rsidR="00842B6F" w:rsidP="00A26C47" w:rsidRDefault="00AE5EEE" w14:paraId="2B60B527" w14:textId="0B798F91">
      <w:pPr>
        <w:pStyle w:val="Heading5"/>
        <w:numPr>
          <w:ilvl w:val="4"/>
          <w:numId w:val="39"/>
        </w:numPr>
        <w:tabs>
          <w:tab w:val="clear" w:pos="21600"/>
        </w:tabs>
        <w:ind w:left="1440"/>
        <w:rPr>
          <w:rFonts w:cs="Times New Roman"/>
          <w:bCs/>
          <w:iCs/>
          <w:szCs w:val="22"/>
          <w:lang w:val="en-GB"/>
        </w:rPr>
      </w:pPr>
      <w:r w:rsidRPr="009C48DA">
        <w:rPr>
          <w:lang w:val="en-GB"/>
        </w:rPr>
        <w:t xml:space="preserve">Bridgepoint </w:t>
      </w:r>
      <w:r w:rsidRPr="009C48DA" w:rsidR="00842B6F">
        <w:rPr>
          <w:rFonts w:cs="Times New Roman"/>
          <w:bCs/>
          <w:iCs/>
          <w:szCs w:val="22"/>
          <w:lang w:val="en-GB"/>
        </w:rPr>
        <w:t>in its discretion will also be entitled to terminate an Executive Director’s service agreement with immediate effect by payment in lieu of notice, equal to (i) the basic annual salary that would have been payable during the notice period, and (ii) the cost that would</w:t>
      </w:r>
      <w:r w:rsidRPr="009C48DA" w:rsidR="00970636">
        <w:rPr>
          <w:rFonts w:cs="Times New Roman"/>
          <w:bCs/>
          <w:iCs/>
          <w:szCs w:val="22"/>
          <w:lang w:val="en-GB"/>
        </w:rPr>
        <w:t xml:space="preserve"> have been incurred by </w:t>
      </w:r>
      <w:r w:rsidRPr="009C48DA">
        <w:rPr>
          <w:lang w:val="en-GB"/>
        </w:rPr>
        <w:t xml:space="preserve">Bridgepoint </w:t>
      </w:r>
      <w:r w:rsidRPr="009C48DA" w:rsidR="00842B6F">
        <w:rPr>
          <w:rFonts w:cs="Times New Roman"/>
          <w:bCs/>
          <w:iCs/>
          <w:szCs w:val="22"/>
          <w:lang w:val="en-GB"/>
        </w:rPr>
        <w:t>in providing the Executive Director with the contractual benefits which the Executive Director would have been entitled to receive during the notice period</w:t>
      </w:r>
      <w:r w:rsidRPr="009C48DA" w:rsidR="00BE4262">
        <w:rPr>
          <w:rFonts w:cs="Times New Roman"/>
          <w:bCs/>
          <w:iCs/>
          <w:szCs w:val="22"/>
          <w:lang w:val="en-GB"/>
        </w:rPr>
        <w:t xml:space="preserve"> subject always to a duty on the Executive Director to mitigate their loss</w:t>
      </w:r>
      <w:r w:rsidRPr="009C48DA" w:rsidR="00842B6F">
        <w:rPr>
          <w:rFonts w:cs="Times New Roman"/>
          <w:bCs/>
          <w:iCs/>
          <w:szCs w:val="22"/>
          <w:lang w:val="en-GB"/>
        </w:rPr>
        <w:t xml:space="preserve">. </w:t>
      </w:r>
    </w:p>
    <w:p w:rsidRPr="009C48DA" w:rsidR="00842B6F" w:rsidP="00A26C47" w:rsidRDefault="00842B6F" w14:paraId="38125AF5" w14:textId="038B7E22">
      <w:pPr>
        <w:pStyle w:val="Heading5"/>
        <w:numPr>
          <w:ilvl w:val="4"/>
          <w:numId w:val="39"/>
        </w:numPr>
        <w:tabs>
          <w:tab w:val="clear" w:pos="21600"/>
        </w:tabs>
        <w:ind w:left="1440"/>
        <w:rPr>
          <w:rFonts w:cs="Times New Roman"/>
          <w:bCs/>
          <w:iCs/>
          <w:szCs w:val="22"/>
          <w:lang w:val="en-GB"/>
        </w:rPr>
      </w:pPr>
      <w:r w:rsidRPr="009C48DA">
        <w:rPr>
          <w:rFonts w:cs="Times New Roman"/>
          <w:bCs/>
          <w:iCs/>
          <w:szCs w:val="22"/>
          <w:lang w:val="en-GB"/>
        </w:rPr>
        <w:t>Each of the Executive Directors is subject to a confidentiality undertaking without limitation in time and non-solicitation, non-dealing and non-hiring restrictive covenants for a period of twelve months after the termination of their respective employment arrangem</w:t>
      </w:r>
      <w:r w:rsidRPr="009C48DA" w:rsidR="00F414A3">
        <w:rPr>
          <w:rFonts w:cs="Times New Roman"/>
          <w:bCs/>
          <w:iCs/>
          <w:szCs w:val="22"/>
          <w:lang w:val="en-GB"/>
        </w:rPr>
        <w:t>ents.</w:t>
      </w:r>
    </w:p>
    <w:p w:rsidRPr="009C48DA" w:rsidR="00DA7B9D" w:rsidP="00A357F1" w:rsidRDefault="00430AAD" w14:paraId="50B7D496" w14:textId="013F26D3">
      <w:pPr>
        <w:pStyle w:val="Heading4"/>
        <w:keepNext/>
        <w:rPr>
          <w:b/>
          <w:i/>
          <w:lang w:val="en-GB"/>
        </w:rPr>
      </w:pPr>
      <w:r w:rsidRPr="009C48DA">
        <w:rPr>
          <w:b/>
          <w:i/>
          <w:lang w:val="en-GB"/>
        </w:rPr>
        <w:lastRenderedPageBreak/>
        <w:t>Non-E</w:t>
      </w:r>
      <w:r w:rsidRPr="009C48DA" w:rsidR="00427CB5">
        <w:rPr>
          <w:b/>
          <w:i/>
          <w:lang w:val="en-GB"/>
        </w:rPr>
        <w:t>xecutive Directors</w:t>
      </w:r>
    </w:p>
    <w:p w:rsidRPr="009C48DA" w:rsidR="009772EC" w:rsidP="00A357F1" w:rsidRDefault="009772EC" w14:paraId="37636512" w14:textId="70DB568D">
      <w:pPr>
        <w:pStyle w:val="BlockText1SglJ"/>
        <w:keepNext/>
        <w:ind w:left="720"/>
        <w:rPr>
          <w:rFonts w:cs="Times New Roman"/>
          <w:sz w:val="20"/>
          <w:lang w:val="en-GB"/>
        </w:rPr>
      </w:pPr>
      <w:r w:rsidRPr="009C48DA">
        <w:rPr>
          <w:rFonts w:cs="Times New Roman"/>
          <w:sz w:val="20"/>
          <w:lang w:val="en-GB"/>
        </w:rPr>
        <w:t xml:space="preserve">The Company has </w:t>
      </w:r>
      <w:r w:rsidRPr="009C48DA" w:rsidR="00FB63DB">
        <w:rPr>
          <w:color w:val="000000"/>
          <w:sz w:val="20"/>
          <w:lang w:val="en-GB"/>
        </w:rPr>
        <w:t xml:space="preserve">three </w:t>
      </w:r>
      <w:r w:rsidRPr="009C48DA">
        <w:rPr>
          <w:rFonts w:cs="Times New Roman"/>
          <w:sz w:val="20"/>
          <w:lang w:val="en-GB"/>
        </w:rPr>
        <w:t xml:space="preserve">Non-Executive Directors. The details of the principal terms of appointment of the Non-Executive Directors are set out below. </w:t>
      </w:r>
    </w:p>
    <w:tbl>
      <w:tblPr>
        <w:tblW w:w="8289" w:type="dxa"/>
        <w:tblInd w:w="783" w:type="dxa"/>
        <w:tblBorders>
          <w:insideH w:val="single" w:color="auto" w:sz="4" w:space="0"/>
        </w:tblBorders>
        <w:tblLook w:val="04A0" w:firstRow="1" w:lastRow="0" w:firstColumn="1" w:lastColumn="0" w:noHBand="0" w:noVBand="1"/>
      </w:tblPr>
      <w:tblGrid>
        <w:gridCol w:w="2478"/>
        <w:gridCol w:w="2835"/>
        <w:gridCol w:w="2976"/>
      </w:tblGrid>
      <w:tr w:rsidRPr="009C48DA" w:rsidR="009772EC" w:rsidTr="00D92C78" w14:paraId="64EB83C4" w14:textId="77777777">
        <w:trPr>
          <w:trHeight w:val="438"/>
        </w:trPr>
        <w:tc>
          <w:tcPr>
            <w:tcW w:w="2478" w:type="dxa"/>
            <w:tcBorders>
              <w:top w:val="nil"/>
              <w:left w:val="nil"/>
              <w:bottom w:val="single" w:color="auto" w:sz="12" w:space="0"/>
              <w:right w:val="nil"/>
            </w:tcBorders>
            <w:hideMark/>
          </w:tcPr>
          <w:p w:rsidRPr="009C48DA" w:rsidR="009772EC" w:rsidP="00A357F1" w:rsidRDefault="009772EC" w14:paraId="7B293090" w14:textId="77777777">
            <w:pPr>
              <w:keepNext/>
              <w:rPr>
                <w:b/>
                <w:sz w:val="20"/>
                <w:szCs w:val="20"/>
                <w:lang w:val="en-GB"/>
              </w:rPr>
            </w:pPr>
            <w:r w:rsidRPr="009C48DA">
              <w:rPr>
                <w:b/>
                <w:sz w:val="20"/>
                <w:szCs w:val="20"/>
                <w:lang w:val="en-GB"/>
              </w:rPr>
              <w:t>Name</w:t>
            </w:r>
          </w:p>
        </w:tc>
        <w:tc>
          <w:tcPr>
            <w:tcW w:w="2835" w:type="dxa"/>
            <w:tcBorders>
              <w:top w:val="nil"/>
              <w:left w:val="nil"/>
              <w:bottom w:val="single" w:color="auto" w:sz="12" w:space="0"/>
              <w:right w:val="nil"/>
            </w:tcBorders>
            <w:hideMark/>
          </w:tcPr>
          <w:p w:rsidRPr="009C48DA" w:rsidR="009772EC" w:rsidP="00A357F1" w:rsidRDefault="009772EC" w14:paraId="7638FA06" w14:textId="77777777">
            <w:pPr>
              <w:keepNext/>
              <w:rPr>
                <w:b/>
                <w:sz w:val="20"/>
                <w:szCs w:val="20"/>
                <w:lang w:val="en-GB"/>
              </w:rPr>
            </w:pPr>
            <w:r w:rsidRPr="009C48DA">
              <w:rPr>
                <w:b/>
                <w:sz w:val="20"/>
                <w:szCs w:val="20"/>
                <w:lang w:val="en-GB"/>
              </w:rPr>
              <w:t>Position</w:t>
            </w:r>
          </w:p>
        </w:tc>
        <w:tc>
          <w:tcPr>
            <w:tcW w:w="2976" w:type="dxa"/>
            <w:tcBorders>
              <w:top w:val="nil"/>
              <w:left w:val="nil"/>
              <w:bottom w:val="single" w:color="auto" w:sz="12" w:space="0"/>
              <w:right w:val="nil"/>
            </w:tcBorders>
            <w:hideMark/>
          </w:tcPr>
          <w:p w:rsidRPr="009C48DA" w:rsidR="009772EC" w:rsidP="00A357F1" w:rsidRDefault="009772EC" w14:paraId="02DC9FCF" w14:textId="685AC198">
            <w:pPr>
              <w:keepNext/>
              <w:rPr>
                <w:b/>
                <w:sz w:val="20"/>
                <w:szCs w:val="20"/>
                <w:lang w:val="en-GB"/>
              </w:rPr>
            </w:pPr>
            <w:r w:rsidRPr="009C48DA">
              <w:rPr>
                <w:b/>
                <w:sz w:val="20"/>
                <w:szCs w:val="20"/>
                <w:lang w:val="en-GB"/>
              </w:rPr>
              <w:t>Method of appointment</w:t>
            </w:r>
          </w:p>
        </w:tc>
      </w:tr>
      <w:tr w:rsidRPr="009C48DA" w:rsidR="00842B6F" w:rsidTr="00D92C78" w14:paraId="51C2BA38" w14:textId="77777777">
        <w:trPr>
          <w:trHeight w:val="467"/>
        </w:trPr>
        <w:tc>
          <w:tcPr>
            <w:tcW w:w="2478" w:type="dxa"/>
            <w:tcBorders>
              <w:top w:val="single" w:color="auto" w:sz="12" w:space="0"/>
              <w:left w:val="nil"/>
              <w:bottom w:val="single" w:color="auto" w:sz="4" w:space="0"/>
              <w:right w:val="nil"/>
            </w:tcBorders>
          </w:tcPr>
          <w:p w:rsidRPr="009C48DA" w:rsidR="00842B6F" w:rsidP="00842B6F" w:rsidRDefault="00842B6F" w14:paraId="3A2ADF8E" w14:textId="2B0745C7">
            <w:pPr>
              <w:keepNext/>
              <w:rPr>
                <w:color w:val="000000"/>
                <w:sz w:val="20"/>
                <w:szCs w:val="20"/>
                <w:lang w:val="en-GB"/>
              </w:rPr>
            </w:pPr>
            <w:r w:rsidRPr="009C48DA">
              <w:rPr>
                <w:color w:val="000000"/>
                <w:sz w:val="20"/>
                <w:szCs w:val="20"/>
                <w:lang w:val="en-GB"/>
              </w:rPr>
              <w:t>Archie Norman</w:t>
            </w:r>
          </w:p>
        </w:tc>
        <w:tc>
          <w:tcPr>
            <w:tcW w:w="2835" w:type="dxa"/>
            <w:tcBorders>
              <w:top w:val="single" w:color="auto" w:sz="12" w:space="0"/>
              <w:left w:val="nil"/>
              <w:bottom w:val="single" w:color="auto" w:sz="4" w:space="0"/>
              <w:right w:val="nil"/>
            </w:tcBorders>
          </w:tcPr>
          <w:p w:rsidRPr="009C48DA" w:rsidR="00842B6F" w:rsidP="00842B6F" w:rsidRDefault="00842B6F" w14:paraId="19CF23E7" w14:textId="5E593DE9">
            <w:pPr>
              <w:keepNext/>
              <w:rPr>
                <w:color w:val="000000"/>
                <w:sz w:val="20"/>
                <w:szCs w:val="20"/>
                <w:lang w:val="en-GB"/>
              </w:rPr>
            </w:pPr>
            <w:r w:rsidRPr="009C48DA">
              <w:rPr>
                <w:color w:val="000000"/>
                <w:sz w:val="20"/>
                <w:szCs w:val="20"/>
                <w:lang w:val="en-GB"/>
              </w:rPr>
              <w:t>Senior Independent Director</w:t>
            </w:r>
          </w:p>
        </w:tc>
        <w:tc>
          <w:tcPr>
            <w:tcW w:w="2976" w:type="dxa"/>
            <w:tcBorders>
              <w:top w:val="single" w:color="auto" w:sz="12" w:space="0"/>
              <w:left w:val="nil"/>
              <w:bottom w:val="single" w:color="auto" w:sz="4" w:space="0"/>
              <w:right w:val="nil"/>
            </w:tcBorders>
            <w:hideMark/>
          </w:tcPr>
          <w:p w:rsidRPr="009C48DA" w:rsidR="00842B6F" w:rsidP="00842B6F" w:rsidRDefault="00842B6F" w14:paraId="3AA11C2D" w14:textId="53688645">
            <w:pPr>
              <w:keepNext/>
              <w:rPr>
                <w:color w:val="000000"/>
                <w:sz w:val="20"/>
                <w:szCs w:val="20"/>
                <w:lang w:val="en-GB"/>
              </w:rPr>
            </w:pPr>
            <w:r w:rsidRPr="009C48DA">
              <w:rPr>
                <w:color w:val="000000"/>
                <w:sz w:val="20"/>
                <w:szCs w:val="20"/>
                <w:lang w:val="en-GB"/>
              </w:rPr>
              <w:t>Le</w:t>
            </w:r>
            <w:r w:rsidRPr="009C48DA" w:rsidR="00E53776">
              <w:rPr>
                <w:color w:val="000000"/>
                <w:sz w:val="20"/>
                <w:szCs w:val="20"/>
                <w:lang w:val="en-GB"/>
              </w:rPr>
              <w:t>tter of appointment dated 7 </w:t>
            </w:r>
            <w:r w:rsidRPr="009C48DA">
              <w:rPr>
                <w:color w:val="000000"/>
                <w:sz w:val="20"/>
                <w:szCs w:val="20"/>
                <w:lang w:val="en-GB"/>
              </w:rPr>
              <w:t>June 2021</w:t>
            </w:r>
          </w:p>
        </w:tc>
      </w:tr>
      <w:tr w:rsidRPr="009C48DA" w:rsidR="00842B6F" w:rsidTr="00D92C78" w14:paraId="69B5E5CF" w14:textId="77777777">
        <w:trPr>
          <w:trHeight w:val="467"/>
        </w:trPr>
        <w:tc>
          <w:tcPr>
            <w:tcW w:w="2478" w:type="dxa"/>
            <w:tcBorders>
              <w:top w:val="single" w:color="auto" w:sz="4" w:space="0"/>
              <w:left w:val="nil"/>
              <w:bottom w:val="single" w:color="auto" w:sz="4" w:space="0"/>
              <w:right w:val="nil"/>
            </w:tcBorders>
          </w:tcPr>
          <w:p w:rsidRPr="009C48DA" w:rsidR="00842B6F" w:rsidP="00842B6F" w:rsidRDefault="00842B6F" w14:paraId="366EE850" w14:textId="6DC3F56C">
            <w:pPr>
              <w:keepNext/>
              <w:rPr>
                <w:color w:val="000000"/>
                <w:sz w:val="20"/>
                <w:szCs w:val="20"/>
                <w:lang w:val="en-GB"/>
              </w:rPr>
            </w:pPr>
            <w:r w:rsidRPr="009C48DA">
              <w:rPr>
                <w:color w:val="000000"/>
                <w:sz w:val="20"/>
                <w:szCs w:val="20"/>
                <w:lang w:val="en-GB"/>
              </w:rPr>
              <w:t>Angeles Garcia-Poveda</w:t>
            </w:r>
          </w:p>
        </w:tc>
        <w:tc>
          <w:tcPr>
            <w:tcW w:w="2835" w:type="dxa"/>
            <w:tcBorders>
              <w:top w:val="single" w:color="auto" w:sz="4" w:space="0"/>
              <w:left w:val="nil"/>
              <w:bottom w:val="single" w:color="auto" w:sz="4" w:space="0"/>
              <w:right w:val="nil"/>
            </w:tcBorders>
          </w:tcPr>
          <w:p w:rsidRPr="009C48DA" w:rsidR="00842B6F" w:rsidP="00842B6F" w:rsidRDefault="00842B6F" w14:paraId="57D3031A" w14:textId="3D30F009">
            <w:pPr>
              <w:keepNext/>
              <w:rPr>
                <w:color w:val="000000"/>
                <w:sz w:val="20"/>
                <w:szCs w:val="20"/>
                <w:lang w:val="en-GB"/>
              </w:rPr>
            </w:pPr>
            <w:r w:rsidRPr="009C48DA">
              <w:rPr>
                <w:color w:val="000000"/>
                <w:sz w:val="20"/>
                <w:szCs w:val="20"/>
                <w:lang w:val="en-GB"/>
              </w:rPr>
              <w:t>Independent Non-Executive Director</w:t>
            </w:r>
          </w:p>
        </w:tc>
        <w:tc>
          <w:tcPr>
            <w:tcW w:w="2976" w:type="dxa"/>
            <w:tcBorders>
              <w:top w:val="single" w:color="auto" w:sz="4" w:space="0"/>
              <w:left w:val="nil"/>
              <w:bottom w:val="single" w:color="auto" w:sz="4" w:space="0"/>
              <w:right w:val="nil"/>
            </w:tcBorders>
            <w:hideMark/>
          </w:tcPr>
          <w:p w:rsidRPr="009C48DA" w:rsidR="00842B6F" w:rsidP="00842B6F" w:rsidRDefault="00E53776" w14:paraId="552AE592" w14:textId="3182A03E">
            <w:pPr>
              <w:keepNext/>
              <w:rPr>
                <w:color w:val="000000"/>
                <w:sz w:val="20"/>
                <w:szCs w:val="20"/>
                <w:lang w:val="en-GB"/>
              </w:rPr>
            </w:pPr>
            <w:r w:rsidRPr="009C48DA">
              <w:rPr>
                <w:color w:val="000000"/>
                <w:sz w:val="20"/>
                <w:szCs w:val="20"/>
                <w:lang w:val="en-GB"/>
              </w:rPr>
              <w:t>Letter of appointment dated 7 </w:t>
            </w:r>
            <w:r w:rsidRPr="009C48DA" w:rsidR="00842B6F">
              <w:rPr>
                <w:color w:val="000000"/>
                <w:sz w:val="20"/>
                <w:szCs w:val="20"/>
                <w:lang w:val="en-GB"/>
              </w:rPr>
              <w:t>June 2021</w:t>
            </w:r>
          </w:p>
        </w:tc>
      </w:tr>
      <w:tr w:rsidRPr="009C48DA" w:rsidR="00842B6F" w:rsidTr="00D92C78" w14:paraId="697CD5DC" w14:textId="77777777">
        <w:trPr>
          <w:trHeight w:val="467"/>
        </w:trPr>
        <w:tc>
          <w:tcPr>
            <w:tcW w:w="2478" w:type="dxa"/>
            <w:tcBorders>
              <w:top w:val="single" w:color="auto" w:sz="4" w:space="0"/>
              <w:left w:val="nil"/>
              <w:bottom w:val="single" w:color="auto" w:sz="4" w:space="0"/>
              <w:right w:val="nil"/>
            </w:tcBorders>
          </w:tcPr>
          <w:p w:rsidRPr="009C48DA" w:rsidR="00842B6F" w:rsidP="00842B6F" w:rsidRDefault="00842B6F" w14:paraId="6305DD41" w14:textId="242CEA69">
            <w:pPr>
              <w:keepNext/>
              <w:rPr>
                <w:color w:val="000000"/>
                <w:sz w:val="20"/>
                <w:szCs w:val="20"/>
                <w:lang w:val="en-GB"/>
              </w:rPr>
            </w:pPr>
            <w:r w:rsidRPr="009C48DA">
              <w:rPr>
                <w:color w:val="000000"/>
                <w:sz w:val="20"/>
                <w:szCs w:val="20"/>
                <w:lang w:val="en-GB"/>
              </w:rPr>
              <w:t>Tim Score</w:t>
            </w:r>
          </w:p>
        </w:tc>
        <w:tc>
          <w:tcPr>
            <w:tcW w:w="2835" w:type="dxa"/>
            <w:tcBorders>
              <w:top w:val="single" w:color="auto" w:sz="4" w:space="0"/>
              <w:left w:val="nil"/>
              <w:bottom w:val="single" w:color="auto" w:sz="4" w:space="0"/>
              <w:right w:val="nil"/>
            </w:tcBorders>
          </w:tcPr>
          <w:p w:rsidRPr="009C48DA" w:rsidR="00842B6F" w:rsidP="00842B6F" w:rsidRDefault="00842B6F" w14:paraId="7305F102" w14:textId="4B5E9332">
            <w:pPr>
              <w:keepNext/>
              <w:rPr>
                <w:color w:val="000000"/>
                <w:sz w:val="20"/>
                <w:szCs w:val="20"/>
                <w:lang w:val="en-GB"/>
              </w:rPr>
            </w:pPr>
            <w:r w:rsidRPr="009C48DA">
              <w:rPr>
                <w:color w:val="000000"/>
                <w:sz w:val="20"/>
                <w:szCs w:val="20"/>
                <w:lang w:val="en-GB"/>
              </w:rPr>
              <w:t>Independent Non-Executive Director</w:t>
            </w:r>
          </w:p>
        </w:tc>
        <w:tc>
          <w:tcPr>
            <w:tcW w:w="2976" w:type="dxa"/>
            <w:tcBorders>
              <w:top w:val="single" w:color="auto" w:sz="4" w:space="0"/>
              <w:left w:val="nil"/>
              <w:bottom w:val="single" w:color="auto" w:sz="4" w:space="0"/>
              <w:right w:val="nil"/>
            </w:tcBorders>
          </w:tcPr>
          <w:p w:rsidRPr="009C48DA" w:rsidR="00842B6F" w:rsidP="00842B6F" w:rsidRDefault="00E53776" w14:paraId="45FBD73B" w14:textId="3781D03E">
            <w:pPr>
              <w:keepNext/>
              <w:rPr>
                <w:color w:val="000000"/>
                <w:sz w:val="20"/>
                <w:szCs w:val="20"/>
                <w:lang w:val="en-GB"/>
              </w:rPr>
            </w:pPr>
            <w:r w:rsidRPr="009C48DA">
              <w:rPr>
                <w:color w:val="000000"/>
                <w:sz w:val="20"/>
                <w:szCs w:val="20"/>
                <w:lang w:val="en-GB"/>
              </w:rPr>
              <w:t>Letter of appointment dated 7 </w:t>
            </w:r>
            <w:r w:rsidRPr="009C48DA" w:rsidR="00842B6F">
              <w:rPr>
                <w:color w:val="000000"/>
                <w:sz w:val="20"/>
                <w:szCs w:val="20"/>
                <w:lang w:val="en-GB"/>
              </w:rPr>
              <w:t>June 2021</w:t>
            </w:r>
          </w:p>
        </w:tc>
      </w:tr>
    </w:tbl>
    <w:p w:rsidRPr="009C48DA" w:rsidR="009772EC" w:rsidP="009772EC" w:rsidRDefault="009772EC" w14:paraId="75255A8B" w14:textId="77777777">
      <w:pPr>
        <w:spacing w:after="120"/>
        <w:ind w:left="720"/>
        <w:jc w:val="both"/>
        <w:rPr>
          <w:rFonts w:cs="Times New Roman"/>
          <w:lang w:val="en-GB"/>
        </w:rPr>
      </w:pPr>
    </w:p>
    <w:p w:rsidRPr="009C48DA" w:rsidR="00842B6F" w:rsidP="00842B6F" w:rsidRDefault="00842B6F" w14:paraId="53FA96DA" w14:textId="1D03EDD1">
      <w:pPr>
        <w:pStyle w:val="BlockText5SglJ"/>
        <w:rPr>
          <w:lang w:val="en-GB"/>
        </w:rPr>
      </w:pPr>
      <w:r w:rsidRPr="009C48DA">
        <w:rPr>
          <w:lang w:val="en-GB"/>
        </w:rPr>
        <w:t xml:space="preserve">Each appointment is effective from </w:t>
      </w:r>
      <w:r w:rsidRPr="009C48DA" w:rsidR="00E26B5C">
        <w:rPr>
          <w:lang w:val="en-GB"/>
        </w:rPr>
        <w:t>25 June</w:t>
      </w:r>
      <w:r w:rsidRPr="009C48DA">
        <w:rPr>
          <w:lang w:val="en-GB"/>
        </w:rPr>
        <w:t xml:space="preserve"> 2</w:t>
      </w:r>
      <w:r w:rsidRPr="009C48DA" w:rsidR="00970636">
        <w:rPr>
          <w:lang w:val="en-GB"/>
        </w:rPr>
        <w:t xml:space="preserve">021 for a fixed term ending on </w:t>
      </w:r>
      <w:r w:rsidRPr="009C48DA" w:rsidR="00AF0B9A">
        <w:rPr>
          <w:lang w:val="en-GB"/>
        </w:rPr>
        <w:t>Bridgepoint</w:t>
      </w:r>
      <w:r w:rsidRPr="009C48DA" w:rsidR="00970636">
        <w:rPr>
          <w:lang w:val="en-GB"/>
        </w:rPr>
        <w:t>’s</w:t>
      </w:r>
      <w:r w:rsidRPr="009C48DA">
        <w:rPr>
          <w:lang w:val="en-GB"/>
        </w:rPr>
        <w:t xml:space="preserve"> third annual general meeting following Admission, but ea</w:t>
      </w:r>
      <w:r w:rsidRPr="009C48DA" w:rsidR="00970636">
        <w:rPr>
          <w:lang w:val="en-GB"/>
        </w:rPr>
        <w:t xml:space="preserve">ch appointee may be invited by </w:t>
      </w:r>
      <w:r w:rsidRPr="009C48DA" w:rsidR="00AE5EEE">
        <w:rPr>
          <w:lang w:val="en-GB"/>
        </w:rPr>
        <w:t xml:space="preserve">Bridgepoint </w:t>
      </w:r>
      <w:r w:rsidRPr="009C48DA">
        <w:rPr>
          <w:lang w:val="en-GB"/>
        </w:rPr>
        <w:t xml:space="preserve">to serve for a further period or periods. In any event, each appointment is subject to annual re-election by the Company at </w:t>
      </w:r>
      <w:r w:rsidRPr="009C48DA" w:rsidR="00970636">
        <w:rPr>
          <w:lang w:val="en-GB"/>
        </w:rPr>
        <w:t xml:space="preserve">each annual general meeting of </w:t>
      </w:r>
      <w:r w:rsidRPr="009C48DA" w:rsidR="00AE5EEE">
        <w:rPr>
          <w:lang w:val="en-GB"/>
        </w:rPr>
        <w:t>Bridgepoint</w:t>
      </w:r>
      <w:r w:rsidRPr="009C48DA">
        <w:rPr>
          <w:lang w:val="en-GB"/>
        </w:rPr>
        <w:t xml:space="preserve">. </w:t>
      </w:r>
    </w:p>
    <w:p w:rsidRPr="009C48DA" w:rsidR="00842B6F" w:rsidP="00842B6F" w:rsidRDefault="00842B6F" w14:paraId="4F7A01D6" w14:textId="5C06C80B">
      <w:pPr>
        <w:pStyle w:val="BlockText5SglJ"/>
        <w:rPr>
          <w:lang w:val="en-GB"/>
        </w:rPr>
      </w:pPr>
      <w:r w:rsidRPr="009C48DA">
        <w:rPr>
          <w:lang w:val="en-GB"/>
        </w:rPr>
        <w:t>The Non-Executive Directors will be entitled to a fee (the “</w:t>
      </w:r>
      <w:r w:rsidRPr="009C48DA" w:rsidR="00AA219A">
        <w:rPr>
          <w:b/>
          <w:lang w:val="en-GB"/>
        </w:rPr>
        <w:t xml:space="preserve">Initial </w:t>
      </w:r>
      <w:r w:rsidRPr="009C48DA" w:rsidR="00A26C47">
        <w:rPr>
          <w:b/>
          <w:lang w:val="en-GB"/>
        </w:rPr>
        <w:t>Fee</w:t>
      </w:r>
      <w:r w:rsidRPr="009C48DA">
        <w:rPr>
          <w:lang w:val="en-GB"/>
        </w:rPr>
        <w:t>”) in the terms set out below.</w:t>
      </w:r>
      <w:r w:rsidRPr="009C48DA" w:rsidR="008B175F">
        <w:rPr>
          <w:lang w:val="en-GB"/>
        </w:rPr>
        <w:t xml:space="preserve"> </w:t>
      </w:r>
      <w:r w:rsidRPr="009C48DA" w:rsidR="00DF5468">
        <w:rPr>
          <w:lang w:val="en-GB"/>
        </w:rPr>
        <w:t>All</w:t>
      </w:r>
      <w:r w:rsidRPr="009C48DA" w:rsidR="00FF640E">
        <w:rPr>
          <w:lang w:val="en-GB"/>
        </w:rPr>
        <w:t xml:space="preserve"> of</w:t>
      </w:r>
      <w:r w:rsidRPr="009C48DA" w:rsidR="00DF5468">
        <w:rPr>
          <w:lang w:val="en-GB"/>
        </w:rPr>
        <w:t xml:space="preserve"> the Non-Executive Directors have agreed that the after-tax amount of the Initial Fee will be used by them to invest in shareholdings in the Company at Admission.</w:t>
      </w:r>
    </w:p>
    <w:p w:rsidRPr="009C48DA" w:rsidR="00842B6F" w:rsidP="00842B6F" w:rsidRDefault="00842B6F" w14:paraId="16A54403" w14:textId="45B5717F">
      <w:pPr>
        <w:pStyle w:val="BlockText5SglJ"/>
        <w:numPr>
          <w:ilvl w:val="4"/>
          <w:numId w:val="27"/>
        </w:numPr>
        <w:rPr>
          <w:lang w:val="en-GB"/>
        </w:rPr>
      </w:pPr>
      <w:r w:rsidRPr="009C48DA">
        <w:rPr>
          <w:lang w:val="en-GB"/>
        </w:rPr>
        <w:t>Archie Norman is entitled to a</w:t>
      </w:r>
      <w:r w:rsidRPr="009C48DA" w:rsidR="00AA219A">
        <w:rPr>
          <w:lang w:val="en-GB"/>
        </w:rPr>
        <w:t>n</w:t>
      </w:r>
      <w:r w:rsidRPr="009C48DA">
        <w:rPr>
          <w:lang w:val="en-GB"/>
        </w:rPr>
        <w:t xml:space="preserve"> </w:t>
      </w:r>
      <w:r w:rsidRPr="009C48DA" w:rsidR="00AA219A">
        <w:rPr>
          <w:lang w:val="en-GB"/>
        </w:rPr>
        <w:t xml:space="preserve">Initial </w:t>
      </w:r>
      <w:r w:rsidRPr="009C48DA" w:rsidR="00AE7155">
        <w:rPr>
          <w:lang w:val="en-GB"/>
        </w:rPr>
        <w:t>Fee</w:t>
      </w:r>
      <w:r w:rsidRPr="009C48DA">
        <w:rPr>
          <w:lang w:val="en-GB"/>
        </w:rPr>
        <w:t xml:space="preserve"> of £1,750,000.</w:t>
      </w:r>
    </w:p>
    <w:p w:rsidRPr="009C48DA" w:rsidR="00842B6F" w:rsidP="00842B6F" w:rsidRDefault="00842B6F" w14:paraId="5D2EF5B0" w14:textId="3F2AD4F4">
      <w:pPr>
        <w:pStyle w:val="BlockText5SglJ"/>
        <w:numPr>
          <w:ilvl w:val="4"/>
          <w:numId w:val="27"/>
        </w:numPr>
        <w:rPr>
          <w:lang w:val="en-GB"/>
        </w:rPr>
      </w:pPr>
      <w:r w:rsidRPr="009C48DA">
        <w:rPr>
          <w:lang w:val="en-GB"/>
        </w:rPr>
        <w:t xml:space="preserve">Angeles Garcia-Poveda is entitled to </w:t>
      </w:r>
      <w:r w:rsidRPr="009C48DA" w:rsidR="00AA219A">
        <w:rPr>
          <w:lang w:val="en-GB"/>
        </w:rPr>
        <w:t xml:space="preserve">an Initial </w:t>
      </w:r>
      <w:r w:rsidRPr="009C48DA" w:rsidR="00AE7155">
        <w:rPr>
          <w:lang w:val="en-GB"/>
        </w:rPr>
        <w:t>Fee</w:t>
      </w:r>
      <w:r w:rsidRPr="009C48DA" w:rsidR="00AA219A">
        <w:rPr>
          <w:lang w:val="en-GB"/>
        </w:rPr>
        <w:t xml:space="preserve"> </w:t>
      </w:r>
      <w:r w:rsidRPr="009C48DA">
        <w:rPr>
          <w:lang w:val="en-GB"/>
        </w:rPr>
        <w:t>of £500,000.</w:t>
      </w:r>
    </w:p>
    <w:p w:rsidRPr="009C48DA" w:rsidR="00842B6F" w:rsidP="00842B6F" w:rsidRDefault="00842B6F" w14:paraId="6D944F87" w14:textId="322A51E7">
      <w:pPr>
        <w:pStyle w:val="BlockText5SglJ"/>
        <w:numPr>
          <w:ilvl w:val="4"/>
          <w:numId w:val="27"/>
        </w:numPr>
        <w:rPr>
          <w:lang w:val="en-GB"/>
        </w:rPr>
      </w:pPr>
      <w:r w:rsidRPr="009C48DA">
        <w:rPr>
          <w:lang w:val="en-GB"/>
        </w:rPr>
        <w:t xml:space="preserve">Tim Score is entitled to </w:t>
      </w:r>
      <w:r w:rsidRPr="009C48DA" w:rsidR="00AA219A">
        <w:rPr>
          <w:lang w:val="en-GB"/>
        </w:rPr>
        <w:t xml:space="preserve">an Initial </w:t>
      </w:r>
      <w:r w:rsidRPr="009C48DA" w:rsidR="00AE7155">
        <w:rPr>
          <w:lang w:val="en-GB"/>
        </w:rPr>
        <w:t>Fee</w:t>
      </w:r>
      <w:r w:rsidRPr="009C48DA" w:rsidR="00AA219A">
        <w:rPr>
          <w:lang w:val="en-GB"/>
        </w:rPr>
        <w:t xml:space="preserve"> </w:t>
      </w:r>
      <w:r w:rsidRPr="009C48DA">
        <w:rPr>
          <w:lang w:val="en-GB"/>
        </w:rPr>
        <w:t>of £500,000.</w:t>
      </w:r>
    </w:p>
    <w:p w:rsidRPr="009C48DA" w:rsidR="00842B6F" w:rsidP="00842B6F" w:rsidRDefault="00842B6F" w14:paraId="1F98819A" w14:textId="77777777">
      <w:pPr>
        <w:pStyle w:val="BlockText5SglJ"/>
        <w:rPr>
          <w:lang w:val="en-GB"/>
        </w:rPr>
      </w:pPr>
      <w:r w:rsidRPr="009C48DA">
        <w:rPr>
          <w:lang w:val="en-GB"/>
        </w:rPr>
        <w:t>On commencement of the appointment, the Non-Executive Directors will be entitled to a fee of £75,000 per annum plus an additional fee as follows:</w:t>
      </w:r>
    </w:p>
    <w:p w:rsidRPr="00500C4A" w:rsidR="00842B6F" w:rsidP="00500C4A" w:rsidRDefault="00842B6F" w14:paraId="38B0AF23" w14:textId="77777777">
      <w:pPr>
        <w:pStyle w:val="Heading5"/>
        <w:numPr>
          <w:ilvl w:val="4"/>
          <w:numId w:val="44"/>
        </w:numPr>
        <w:rPr>
          <w:lang w:val="en-GB"/>
        </w:rPr>
      </w:pPr>
      <w:r w:rsidRPr="00500C4A">
        <w:rPr>
          <w:lang w:val="en-GB"/>
        </w:rPr>
        <w:t>the Senior Independent Director will receive an additional fee of £125,000 per annum for this role; and</w:t>
      </w:r>
    </w:p>
    <w:p w:rsidRPr="009C48DA" w:rsidR="00842B6F" w:rsidP="00842B6F" w:rsidRDefault="00AA219A" w14:paraId="6D3BA269" w14:textId="4ADF5E87">
      <w:pPr>
        <w:pStyle w:val="BlockText5SglJ"/>
        <w:numPr>
          <w:ilvl w:val="4"/>
          <w:numId w:val="27"/>
        </w:numPr>
        <w:rPr>
          <w:lang w:val="en-GB"/>
        </w:rPr>
      </w:pPr>
      <w:r w:rsidRPr="009C48DA">
        <w:rPr>
          <w:lang w:val="en-GB"/>
        </w:rPr>
        <w:t xml:space="preserve">additional fees will be payable for </w:t>
      </w:r>
      <w:r w:rsidRPr="009C48DA" w:rsidR="00D4580F">
        <w:rPr>
          <w:lang w:val="en-GB"/>
        </w:rPr>
        <w:t xml:space="preserve">the role of </w:t>
      </w:r>
      <w:r w:rsidRPr="009C48DA">
        <w:rPr>
          <w:lang w:val="en-GB"/>
        </w:rPr>
        <w:t>chair of certain board committees</w:t>
      </w:r>
      <w:r w:rsidRPr="009C48DA" w:rsidR="00842B6F">
        <w:rPr>
          <w:lang w:val="en-GB"/>
        </w:rPr>
        <w:t xml:space="preserve">. </w:t>
      </w:r>
    </w:p>
    <w:p w:rsidRPr="009C48DA" w:rsidR="00842B6F" w:rsidP="00842B6F" w:rsidRDefault="00842B6F" w14:paraId="23D2880A" w14:textId="77777777">
      <w:pPr>
        <w:pStyle w:val="BlockText5SglJ"/>
        <w:rPr>
          <w:lang w:val="en-GB"/>
        </w:rPr>
      </w:pPr>
      <w:r w:rsidRPr="009C48DA">
        <w:rPr>
          <w:lang w:val="en-GB"/>
        </w:rPr>
        <w:t>The Non-Executive Directors shall not participate in any of the Company’s incentive arrangements or receive any pension provision.</w:t>
      </w:r>
    </w:p>
    <w:p w:rsidRPr="009C48DA" w:rsidR="00842B6F" w:rsidP="00447D95" w:rsidRDefault="00842B6F" w14:paraId="5EB99EB4" w14:textId="77777777">
      <w:pPr>
        <w:pStyle w:val="BlockText5SglJ"/>
        <w:keepNext/>
        <w:rPr>
          <w:i/>
          <w:lang w:val="en-GB"/>
        </w:rPr>
      </w:pPr>
      <w:r w:rsidRPr="009C48DA">
        <w:rPr>
          <w:i/>
          <w:lang w:val="en-GB"/>
        </w:rPr>
        <w:t>General terms</w:t>
      </w:r>
    </w:p>
    <w:p w:rsidRPr="009C48DA" w:rsidR="00842B6F" w:rsidP="00842B6F" w:rsidRDefault="00842B6F" w14:paraId="120A4CA4" w14:textId="77777777">
      <w:pPr>
        <w:pStyle w:val="BlockText5SglJ"/>
        <w:rPr>
          <w:lang w:val="en-GB"/>
        </w:rPr>
      </w:pPr>
      <w:r w:rsidRPr="009C48DA">
        <w:rPr>
          <w:lang w:val="en-GB"/>
        </w:rPr>
        <w:t xml:space="preserve">Each Non-Executive Director will also be entitled to reimbursement of reasonable expenses. </w:t>
      </w:r>
    </w:p>
    <w:p w:rsidRPr="009C48DA" w:rsidR="00842B6F" w:rsidP="00842B6F" w:rsidRDefault="00842B6F" w14:paraId="302ADC9C" w14:textId="77777777">
      <w:pPr>
        <w:pStyle w:val="BlockText5SglJ"/>
        <w:rPr>
          <w:lang w:val="en-GB"/>
        </w:rPr>
      </w:pPr>
      <w:r w:rsidRPr="009C48DA">
        <w:rPr>
          <w:lang w:val="en-GB"/>
        </w:rPr>
        <w:t xml:space="preserve">The Non-Executive Directors will have the benefit of a qualifying third party indemnity from the Company (the terms of which are in accordance with the Companies Act 2006) and appropriate directors’ and officers’ liability insurance. </w:t>
      </w:r>
    </w:p>
    <w:p w:rsidRPr="009C48DA" w:rsidR="00842B6F" w:rsidP="00447D95" w:rsidRDefault="00842B6F" w14:paraId="775E2CE0" w14:textId="77777777">
      <w:pPr>
        <w:pStyle w:val="BlockText5SglJ"/>
        <w:keepNext/>
        <w:rPr>
          <w:i/>
          <w:lang w:val="en-GB"/>
        </w:rPr>
      </w:pPr>
      <w:r w:rsidRPr="009C48DA">
        <w:rPr>
          <w:i/>
          <w:lang w:val="en-GB"/>
        </w:rPr>
        <w:t>Termination provisions</w:t>
      </w:r>
    </w:p>
    <w:p w:rsidRPr="009C48DA" w:rsidR="00842B6F" w:rsidP="00842B6F" w:rsidRDefault="00842B6F" w14:paraId="72EC9644" w14:textId="77777777">
      <w:pPr>
        <w:pStyle w:val="BlockText5SglJ"/>
        <w:rPr>
          <w:lang w:val="en-GB"/>
        </w:rPr>
      </w:pPr>
      <w:r w:rsidRPr="009C48DA">
        <w:rPr>
          <w:lang w:val="en-GB"/>
        </w:rPr>
        <w:t>The Non-Executive Directors’ appointments may be terminated at any time by either party giving the other three months’ written notice or in accordance with the Articles.</w:t>
      </w:r>
    </w:p>
    <w:p w:rsidRPr="009C48DA" w:rsidR="00842B6F" w:rsidP="00842B6F" w:rsidRDefault="00842B6F" w14:paraId="794DA982" w14:textId="77777777">
      <w:pPr>
        <w:pStyle w:val="BlockText5SglJ"/>
        <w:rPr>
          <w:lang w:val="en-GB"/>
        </w:rPr>
      </w:pPr>
      <w:r w:rsidRPr="009C48DA">
        <w:rPr>
          <w:lang w:val="en-GB"/>
        </w:rPr>
        <w:t>The Non-Executive Directors will not be entitled to receive any compensation on termination of their appointment.</w:t>
      </w:r>
    </w:p>
    <w:p w:rsidRPr="009C48DA" w:rsidR="00842B6F" w:rsidP="00842B6F" w:rsidRDefault="00842B6F" w14:paraId="336CD557" w14:textId="77777777">
      <w:pPr>
        <w:pStyle w:val="BlockText5SglJ"/>
        <w:rPr>
          <w:lang w:val="en-GB"/>
        </w:rPr>
      </w:pPr>
      <w:r w:rsidRPr="009C48DA">
        <w:rPr>
          <w:lang w:val="en-GB"/>
        </w:rPr>
        <w:t xml:space="preserve">The Non-Executive Directors are subject to confidentiality undertakings without limitation in time. </w:t>
      </w:r>
    </w:p>
    <w:p w:rsidRPr="009C48DA" w:rsidR="00823672" w:rsidP="00842B6F" w:rsidRDefault="00842B6F" w14:paraId="47EAA8BB" w14:textId="604600C7">
      <w:pPr>
        <w:pStyle w:val="BlockText5SglJ"/>
        <w:rPr>
          <w:b/>
          <w:bCs/>
          <w:i/>
          <w:iCs/>
          <w:lang w:val="en-GB"/>
        </w:rPr>
      </w:pPr>
      <w:r w:rsidRPr="009C48DA">
        <w:rPr>
          <w:lang w:val="en-GB"/>
        </w:rPr>
        <w:lastRenderedPageBreak/>
        <w:t>Save as set out above, there are no existing or proposed service agreements or letters of appointment between any Director and any member of the Group providing for benefits upon termination of employment.</w:t>
      </w:r>
    </w:p>
    <w:p w:rsidRPr="009C48DA" w:rsidR="00DA7B9D" w:rsidRDefault="00427CB5" w14:paraId="6AE457B9" w14:textId="173AAA42">
      <w:pPr>
        <w:pStyle w:val="Heading4"/>
        <w:rPr>
          <w:b/>
          <w:i/>
          <w:lang w:val="en-GB"/>
        </w:rPr>
      </w:pPr>
      <w:bookmarkStart w:name="_Ref74464369" w:id="758"/>
      <w:r w:rsidRPr="009C48DA">
        <w:rPr>
          <w:b/>
          <w:i/>
          <w:lang w:val="en-GB"/>
        </w:rPr>
        <w:t>Directors’ Remuneration</w:t>
      </w:r>
      <w:bookmarkEnd w:id="758"/>
    </w:p>
    <w:p w:rsidRPr="009C48DA" w:rsidR="00E93730" w:rsidP="00261E8C" w:rsidRDefault="00E93730" w14:paraId="080E13DF" w14:textId="2F4AF94C">
      <w:pPr>
        <w:pStyle w:val="BlockText5SglJ"/>
        <w:rPr>
          <w:lang w:val="en-GB"/>
        </w:rPr>
      </w:pPr>
      <w:r w:rsidRPr="009C48DA">
        <w:rPr>
          <w:lang w:val="en-GB"/>
        </w:rPr>
        <w:t xml:space="preserve">The aggregate remuneration paid (including any contingent or deferred compensation), and all benefits in kind granted to the Directors for services in all capacities for the year ended </w:t>
      </w:r>
      <w:r w:rsidRPr="009C48DA">
        <w:rPr>
          <w:rFonts w:eastAsia="Times New Roman"/>
          <w:color w:val="000000"/>
          <w:szCs w:val="22"/>
          <w:lang w:val="en-GB"/>
        </w:rPr>
        <w:t>31 December 2020</w:t>
      </w:r>
      <w:r w:rsidRPr="009C48DA">
        <w:rPr>
          <w:lang w:val="en-GB"/>
        </w:rPr>
        <w:t xml:space="preserve"> (who served the Group during such time) was </w:t>
      </w:r>
      <w:r w:rsidRPr="009C48DA">
        <w:rPr>
          <w:szCs w:val="22"/>
          <w:lang w:val="en-GB"/>
        </w:rPr>
        <w:t>£</w:t>
      </w:r>
      <w:r w:rsidRPr="009C48DA" w:rsidR="00FC44EE">
        <w:rPr>
          <w:rFonts w:eastAsia="Times New Roman"/>
          <w:color w:val="000000"/>
          <w:szCs w:val="22"/>
          <w:lang w:val="en-GB"/>
        </w:rPr>
        <w:t>2,123,196.79 (as set out below)</w:t>
      </w:r>
      <w:r w:rsidRPr="009C48DA">
        <w:rPr>
          <w:szCs w:val="22"/>
          <w:lang w:val="en-GB"/>
        </w:rPr>
        <w:t xml:space="preserve">. </w:t>
      </w:r>
    </w:p>
    <w:p w:rsidRPr="009C48DA" w:rsidR="006C47BE" w:rsidP="00261E8C" w:rsidRDefault="006C47BE" w14:paraId="6BADE236" w14:textId="5A89AAF8">
      <w:pPr>
        <w:pStyle w:val="BlockText5SglJ"/>
        <w:rPr>
          <w:lang w:val="en-GB"/>
        </w:rPr>
      </w:pPr>
      <w:r w:rsidRPr="009C48DA">
        <w:rPr>
          <w:lang w:val="en-GB"/>
        </w:rPr>
        <w:t>Set out in the table below is the remuneration paid and benefits in kind granted to the Directors in the year ended 3</w:t>
      </w:r>
      <w:r w:rsidRPr="009C48DA" w:rsidR="002D7E34">
        <w:rPr>
          <w:lang w:val="en-GB"/>
        </w:rPr>
        <w:t>1</w:t>
      </w:r>
      <w:r w:rsidRPr="009C48DA">
        <w:rPr>
          <w:lang w:val="en-GB"/>
        </w:rPr>
        <w:t xml:space="preserve"> </w:t>
      </w:r>
      <w:r w:rsidRPr="009C48DA" w:rsidR="002D7E34">
        <w:rPr>
          <w:lang w:val="en-GB"/>
        </w:rPr>
        <w:t>December</w:t>
      </w:r>
      <w:r w:rsidRPr="009C48DA">
        <w:rPr>
          <w:lang w:val="en-GB"/>
        </w:rPr>
        <w:t xml:space="preserve"> 202</w:t>
      </w:r>
      <w:r w:rsidRPr="009C48DA" w:rsidR="00596711">
        <w:rPr>
          <w:lang w:val="en-GB"/>
        </w:rPr>
        <w:t>0</w:t>
      </w:r>
      <w:r w:rsidRPr="009C48DA">
        <w:rPr>
          <w:lang w:val="en-GB"/>
        </w:rPr>
        <w:t xml:space="preserve">: </w:t>
      </w:r>
    </w:p>
    <w:tbl>
      <w:tblPr>
        <w:tblW w:w="8460" w:type="dxa"/>
        <w:tblInd w:w="612" w:type="dxa"/>
        <w:tblBorders>
          <w:insideH w:val="single" w:color="auto" w:sz="4" w:space="0"/>
        </w:tblBorders>
        <w:tblLook w:val="04A0" w:firstRow="1" w:lastRow="0" w:firstColumn="1" w:lastColumn="0" w:noHBand="0" w:noVBand="1"/>
      </w:tblPr>
      <w:tblGrid>
        <w:gridCol w:w="2223"/>
        <w:gridCol w:w="1843"/>
        <w:gridCol w:w="1134"/>
        <w:gridCol w:w="3260"/>
      </w:tblGrid>
      <w:tr w:rsidRPr="009C48DA" w:rsidR="00D62A11" w:rsidTr="008F552D" w14:paraId="544B4476" w14:textId="77777777">
        <w:trPr>
          <w:trHeight w:val="438"/>
        </w:trPr>
        <w:tc>
          <w:tcPr>
            <w:tcW w:w="2223" w:type="dxa"/>
            <w:tcBorders>
              <w:top w:val="nil"/>
              <w:left w:val="nil"/>
              <w:bottom w:val="single" w:color="auto" w:sz="12" w:space="0"/>
              <w:right w:val="nil"/>
            </w:tcBorders>
            <w:hideMark/>
          </w:tcPr>
          <w:p w:rsidRPr="009C48DA" w:rsidR="00D62A11" w:rsidP="002F479E" w:rsidRDefault="00D62A11" w14:paraId="08CC2190" w14:textId="77777777">
            <w:pPr>
              <w:keepNext/>
              <w:jc w:val="center"/>
              <w:rPr>
                <w:rFonts w:cs="Times New Roman"/>
                <w:b/>
                <w:sz w:val="20"/>
                <w:szCs w:val="20"/>
                <w:lang w:val="en-GB"/>
              </w:rPr>
            </w:pPr>
            <w:r w:rsidRPr="009C48DA">
              <w:rPr>
                <w:rFonts w:cs="Times New Roman"/>
                <w:b/>
                <w:sz w:val="20"/>
                <w:szCs w:val="20"/>
                <w:lang w:val="en-GB"/>
              </w:rPr>
              <w:t>Name</w:t>
            </w:r>
          </w:p>
        </w:tc>
        <w:tc>
          <w:tcPr>
            <w:tcW w:w="1843" w:type="dxa"/>
            <w:tcBorders>
              <w:top w:val="nil"/>
              <w:left w:val="nil"/>
              <w:bottom w:val="single" w:color="auto" w:sz="12" w:space="0"/>
              <w:right w:val="nil"/>
            </w:tcBorders>
            <w:hideMark/>
          </w:tcPr>
          <w:p w:rsidRPr="009C48DA" w:rsidR="00D62A11" w:rsidP="002F479E" w:rsidRDefault="00D62A11" w14:paraId="1A30532D" w14:textId="77777777">
            <w:pPr>
              <w:keepNext/>
              <w:jc w:val="center"/>
              <w:rPr>
                <w:rFonts w:cs="Times New Roman"/>
                <w:b/>
                <w:sz w:val="20"/>
                <w:szCs w:val="20"/>
                <w:lang w:val="en-GB"/>
              </w:rPr>
            </w:pPr>
            <w:r w:rsidRPr="009C48DA">
              <w:rPr>
                <w:rFonts w:cs="Times New Roman"/>
                <w:b/>
                <w:sz w:val="20"/>
                <w:szCs w:val="20"/>
                <w:lang w:val="en-GB"/>
              </w:rPr>
              <w:t>Position</w:t>
            </w:r>
          </w:p>
        </w:tc>
        <w:tc>
          <w:tcPr>
            <w:tcW w:w="1134" w:type="dxa"/>
            <w:tcBorders>
              <w:top w:val="nil"/>
              <w:left w:val="nil"/>
              <w:bottom w:val="single" w:color="auto" w:sz="12" w:space="0"/>
              <w:right w:val="nil"/>
            </w:tcBorders>
            <w:hideMark/>
          </w:tcPr>
          <w:p w:rsidRPr="009C48DA" w:rsidR="00D62A11" w:rsidP="002F479E" w:rsidRDefault="00D62A11" w14:paraId="4AF3B239" w14:textId="77777777">
            <w:pPr>
              <w:keepNext/>
              <w:jc w:val="center"/>
              <w:rPr>
                <w:rFonts w:cs="Times New Roman"/>
                <w:b/>
                <w:sz w:val="20"/>
                <w:szCs w:val="20"/>
                <w:lang w:val="en-GB"/>
              </w:rPr>
            </w:pPr>
            <w:r w:rsidRPr="009C48DA">
              <w:rPr>
                <w:rFonts w:cs="Times New Roman"/>
                <w:b/>
                <w:sz w:val="20"/>
                <w:szCs w:val="20"/>
                <w:lang w:val="en-GB"/>
              </w:rPr>
              <w:t>Annual salary (£)</w:t>
            </w:r>
          </w:p>
        </w:tc>
        <w:tc>
          <w:tcPr>
            <w:tcW w:w="3260" w:type="dxa"/>
            <w:tcBorders>
              <w:top w:val="nil"/>
              <w:left w:val="nil"/>
              <w:bottom w:val="single" w:color="auto" w:sz="12" w:space="0"/>
              <w:right w:val="nil"/>
            </w:tcBorders>
            <w:hideMark/>
          </w:tcPr>
          <w:p w:rsidRPr="009C48DA" w:rsidR="00D62A11" w:rsidP="002F479E" w:rsidRDefault="00D62A11" w14:paraId="02091C7D" w14:textId="77777777">
            <w:pPr>
              <w:keepNext/>
              <w:jc w:val="center"/>
              <w:rPr>
                <w:rFonts w:cs="Times New Roman"/>
                <w:b/>
                <w:sz w:val="20"/>
                <w:szCs w:val="20"/>
                <w:lang w:val="en-GB"/>
              </w:rPr>
            </w:pPr>
            <w:r w:rsidRPr="009C48DA">
              <w:rPr>
                <w:rFonts w:cs="Times New Roman"/>
                <w:b/>
                <w:sz w:val="20"/>
                <w:szCs w:val="20"/>
                <w:lang w:val="en-GB"/>
              </w:rPr>
              <w:t>Other benefits (£)</w:t>
            </w:r>
          </w:p>
        </w:tc>
      </w:tr>
      <w:tr w:rsidRPr="009C48DA" w:rsidR="00066F2F" w:rsidTr="008F552D" w14:paraId="5116A709" w14:textId="77777777">
        <w:trPr>
          <w:trHeight w:val="467"/>
        </w:trPr>
        <w:tc>
          <w:tcPr>
            <w:tcW w:w="2223" w:type="dxa"/>
            <w:tcBorders>
              <w:top w:val="single" w:color="auto" w:sz="12" w:space="0"/>
              <w:left w:val="nil"/>
              <w:bottom w:val="single" w:color="auto" w:sz="4" w:space="0"/>
              <w:right w:val="nil"/>
            </w:tcBorders>
          </w:tcPr>
          <w:p w:rsidRPr="009C48DA" w:rsidR="00066F2F" w:rsidP="00066F2F" w:rsidRDefault="00066F2F" w14:paraId="668E410D" w14:textId="16820773">
            <w:pPr>
              <w:jc w:val="center"/>
              <w:rPr>
                <w:rFonts w:cs="Times New Roman"/>
                <w:sz w:val="20"/>
                <w:szCs w:val="20"/>
                <w:lang w:val="en-GB"/>
              </w:rPr>
            </w:pPr>
            <w:r w:rsidRPr="009C48DA">
              <w:rPr>
                <w:sz w:val="20"/>
                <w:szCs w:val="20"/>
                <w:lang w:val="en-GB"/>
              </w:rPr>
              <w:t>William Jackson</w:t>
            </w:r>
          </w:p>
        </w:tc>
        <w:tc>
          <w:tcPr>
            <w:tcW w:w="1843" w:type="dxa"/>
            <w:tcBorders>
              <w:top w:val="single" w:color="auto" w:sz="12" w:space="0"/>
              <w:left w:val="nil"/>
              <w:bottom w:val="single" w:color="auto" w:sz="4" w:space="0"/>
              <w:right w:val="nil"/>
            </w:tcBorders>
          </w:tcPr>
          <w:p w:rsidRPr="009C48DA" w:rsidR="00066F2F" w:rsidP="00066F2F" w:rsidRDefault="00066F2F" w14:paraId="7A6275EC" w14:textId="4BD11065">
            <w:pPr>
              <w:jc w:val="center"/>
              <w:rPr>
                <w:rFonts w:cs="Times New Roman"/>
                <w:sz w:val="20"/>
                <w:szCs w:val="20"/>
                <w:lang w:val="en-GB"/>
              </w:rPr>
            </w:pPr>
            <w:r w:rsidRPr="009C48DA">
              <w:rPr>
                <w:rFonts w:eastAsia="Times New Roman" w:cs="Times New Roman"/>
                <w:color w:val="000000"/>
                <w:sz w:val="20"/>
                <w:szCs w:val="20"/>
                <w:lang w:val="en-GB"/>
              </w:rPr>
              <w:t>Executive Chairman</w:t>
            </w:r>
          </w:p>
        </w:tc>
        <w:tc>
          <w:tcPr>
            <w:tcW w:w="1134" w:type="dxa"/>
            <w:tcBorders>
              <w:top w:val="single" w:color="auto" w:sz="12" w:space="0"/>
              <w:left w:val="nil"/>
              <w:bottom w:val="single" w:color="auto" w:sz="4" w:space="0"/>
              <w:right w:val="nil"/>
            </w:tcBorders>
            <w:hideMark/>
          </w:tcPr>
          <w:p w:rsidRPr="009C48DA" w:rsidR="00066F2F" w:rsidP="00066F2F" w:rsidRDefault="00066F2F" w14:paraId="2E52D5A6" w14:textId="141BA1C7">
            <w:pPr>
              <w:jc w:val="center"/>
              <w:rPr>
                <w:rFonts w:cs="Times New Roman"/>
                <w:sz w:val="20"/>
                <w:szCs w:val="20"/>
                <w:lang w:val="en-GB"/>
              </w:rPr>
            </w:pPr>
            <w:r w:rsidRPr="009C48DA">
              <w:rPr>
                <w:rFonts w:eastAsia="Times New Roman" w:cs="Times New Roman"/>
                <w:color w:val="000000"/>
                <w:sz w:val="20"/>
                <w:szCs w:val="20"/>
                <w:lang w:val="en-GB"/>
              </w:rPr>
              <w:t>£700,000</w:t>
            </w:r>
          </w:p>
        </w:tc>
        <w:tc>
          <w:tcPr>
            <w:tcW w:w="3260" w:type="dxa"/>
            <w:tcBorders>
              <w:top w:val="single" w:color="auto" w:sz="12" w:space="0"/>
              <w:left w:val="nil"/>
              <w:bottom w:val="single" w:color="auto" w:sz="4" w:space="0"/>
              <w:right w:val="nil"/>
            </w:tcBorders>
            <w:hideMark/>
          </w:tcPr>
          <w:p w:rsidRPr="009C48DA" w:rsidR="00066F2F" w:rsidP="00066F2F" w:rsidRDefault="00066F2F" w14:paraId="1570B6A8" w14:textId="5DBC4C23">
            <w:pPr>
              <w:jc w:val="center"/>
              <w:rPr>
                <w:rFonts w:eastAsia="Times New Roman" w:cs="Times New Roman"/>
                <w:color w:val="000000"/>
                <w:sz w:val="20"/>
                <w:szCs w:val="20"/>
                <w:vertAlign w:val="superscript"/>
                <w:lang w:val="en-GB"/>
              </w:rPr>
            </w:pPr>
            <w:r w:rsidRPr="009C48DA">
              <w:rPr>
                <w:rFonts w:eastAsia="Times New Roman" w:cs="Times New Roman"/>
                <w:color w:val="000000"/>
                <w:sz w:val="20"/>
                <w:szCs w:val="20"/>
                <w:lang w:val="en-GB"/>
              </w:rPr>
              <w:t>£630,000 annual bonus</w:t>
            </w:r>
            <w:r w:rsidRPr="009C48DA" w:rsidR="000D3E7A">
              <w:rPr>
                <w:rFonts w:eastAsia="Times New Roman" w:cs="Times New Roman"/>
                <w:color w:val="000000"/>
                <w:sz w:val="20"/>
                <w:szCs w:val="20"/>
                <w:vertAlign w:val="superscript"/>
                <w:lang w:val="en-GB"/>
              </w:rPr>
              <w:t>(</w:t>
            </w:r>
            <w:r w:rsidRPr="009C48DA">
              <w:rPr>
                <w:rFonts w:eastAsia="Times New Roman" w:cs="Times New Roman"/>
                <w:color w:val="000000"/>
                <w:sz w:val="20"/>
                <w:szCs w:val="20"/>
                <w:vertAlign w:val="superscript"/>
                <w:lang w:val="en-GB"/>
              </w:rPr>
              <w:t>1</w:t>
            </w:r>
            <w:r w:rsidRPr="009C48DA" w:rsidR="000D3E7A">
              <w:rPr>
                <w:rFonts w:eastAsia="Times New Roman" w:cs="Times New Roman"/>
                <w:color w:val="000000"/>
                <w:sz w:val="20"/>
                <w:szCs w:val="20"/>
                <w:vertAlign w:val="superscript"/>
                <w:lang w:val="en-GB"/>
              </w:rPr>
              <w:t>)</w:t>
            </w:r>
          </w:p>
          <w:p w:rsidRPr="009C48DA" w:rsidR="00066F2F" w:rsidP="00066F2F" w:rsidRDefault="00066F2F" w14:paraId="3ADAFEF9" w14:textId="7DFC3C4C">
            <w:pPr>
              <w:jc w:val="center"/>
              <w:rPr>
                <w:rFonts w:cs="Times New Roman"/>
                <w:sz w:val="20"/>
                <w:szCs w:val="20"/>
                <w:lang w:val="en-GB"/>
              </w:rPr>
            </w:pPr>
            <w:r w:rsidRPr="009C48DA">
              <w:rPr>
                <w:rFonts w:cs="Times New Roman"/>
                <w:sz w:val="20"/>
                <w:szCs w:val="20"/>
                <w:lang w:val="en-GB"/>
              </w:rPr>
              <w:t>£5,275.46 private medical insurance</w:t>
            </w:r>
          </w:p>
        </w:tc>
      </w:tr>
      <w:tr w:rsidRPr="009C48DA" w:rsidR="00066F2F" w:rsidTr="008F552D" w14:paraId="3B8FCD9E" w14:textId="77777777">
        <w:trPr>
          <w:trHeight w:val="467"/>
        </w:trPr>
        <w:tc>
          <w:tcPr>
            <w:tcW w:w="2223" w:type="dxa"/>
            <w:tcBorders>
              <w:top w:val="single" w:color="auto" w:sz="4" w:space="0"/>
              <w:left w:val="nil"/>
              <w:bottom w:val="single" w:color="auto" w:sz="4" w:space="0"/>
              <w:right w:val="nil"/>
            </w:tcBorders>
          </w:tcPr>
          <w:p w:rsidRPr="009C48DA" w:rsidR="00066F2F" w:rsidP="00066F2F" w:rsidRDefault="00066F2F" w14:paraId="6D12DF28" w14:textId="4D50A327">
            <w:pPr>
              <w:jc w:val="center"/>
              <w:rPr>
                <w:rFonts w:cs="Times New Roman"/>
                <w:sz w:val="20"/>
                <w:szCs w:val="20"/>
                <w:lang w:val="en-GB"/>
              </w:rPr>
            </w:pPr>
            <w:r w:rsidRPr="009C48DA">
              <w:rPr>
                <w:sz w:val="20"/>
                <w:szCs w:val="20"/>
                <w:lang w:val="en-GB"/>
              </w:rPr>
              <w:t>Adam Jones</w:t>
            </w:r>
          </w:p>
        </w:tc>
        <w:tc>
          <w:tcPr>
            <w:tcW w:w="1843" w:type="dxa"/>
            <w:tcBorders>
              <w:top w:val="single" w:color="auto" w:sz="4" w:space="0"/>
              <w:left w:val="nil"/>
              <w:bottom w:val="single" w:color="auto" w:sz="4" w:space="0"/>
              <w:right w:val="nil"/>
            </w:tcBorders>
          </w:tcPr>
          <w:p w:rsidRPr="009C48DA" w:rsidR="00066F2F" w:rsidP="00066F2F" w:rsidRDefault="00066F2F" w14:paraId="0807E809" w14:textId="2B5BD11F">
            <w:pPr>
              <w:jc w:val="center"/>
              <w:rPr>
                <w:rFonts w:cs="Times New Roman"/>
                <w:sz w:val="20"/>
                <w:szCs w:val="20"/>
                <w:lang w:val="en-GB"/>
              </w:rPr>
            </w:pPr>
            <w:r w:rsidRPr="009C48DA">
              <w:rPr>
                <w:rFonts w:eastAsia="Times New Roman" w:cs="Times New Roman"/>
                <w:color w:val="000000"/>
                <w:sz w:val="20"/>
                <w:szCs w:val="20"/>
                <w:lang w:val="en-GB"/>
              </w:rPr>
              <w:t>Group Chief Financial Officer</w:t>
            </w:r>
          </w:p>
        </w:tc>
        <w:tc>
          <w:tcPr>
            <w:tcW w:w="1134" w:type="dxa"/>
            <w:tcBorders>
              <w:top w:val="single" w:color="auto" w:sz="4" w:space="0"/>
              <w:left w:val="nil"/>
              <w:bottom w:val="single" w:color="auto" w:sz="4" w:space="0"/>
              <w:right w:val="nil"/>
            </w:tcBorders>
            <w:hideMark/>
          </w:tcPr>
          <w:p w:rsidRPr="009C48DA" w:rsidR="00066F2F" w:rsidP="00066F2F" w:rsidRDefault="00066F2F" w14:paraId="325D6754" w14:textId="7294D36D">
            <w:pPr>
              <w:jc w:val="center"/>
              <w:rPr>
                <w:rFonts w:cs="Times New Roman"/>
                <w:sz w:val="20"/>
                <w:szCs w:val="20"/>
                <w:lang w:val="en-GB"/>
              </w:rPr>
            </w:pPr>
            <w:r w:rsidRPr="009C48DA">
              <w:rPr>
                <w:rFonts w:eastAsia="Times New Roman" w:cs="Times New Roman"/>
                <w:color w:val="000000"/>
                <w:sz w:val="20"/>
                <w:szCs w:val="20"/>
                <w:lang w:val="en-GB"/>
              </w:rPr>
              <w:t>£325,000</w:t>
            </w:r>
            <w:r w:rsidRPr="009C48DA" w:rsidR="000D3E7A">
              <w:rPr>
                <w:rFonts w:eastAsia="Times New Roman" w:cs="Times New Roman"/>
                <w:color w:val="000000"/>
                <w:sz w:val="20"/>
                <w:szCs w:val="20"/>
                <w:vertAlign w:val="superscript"/>
                <w:lang w:val="en-GB"/>
              </w:rPr>
              <w:t>(</w:t>
            </w:r>
            <w:r w:rsidRPr="009C48DA" w:rsidR="00776A1E">
              <w:rPr>
                <w:sz w:val="20"/>
                <w:szCs w:val="20"/>
                <w:vertAlign w:val="superscript"/>
                <w:lang w:val="en-GB"/>
              </w:rPr>
              <w:t>2</w:t>
            </w:r>
            <w:r w:rsidRPr="009C48DA" w:rsidR="000D3E7A">
              <w:rPr>
                <w:sz w:val="20"/>
                <w:szCs w:val="20"/>
                <w:vertAlign w:val="superscript"/>
                <w:lang w:val="en-GB"/>
              </w:rPr>
              <w:t>)</w:t>
            </w:r>
          </w:p>
        </w:tc>
        <w:tc>
          <w:tcPr>
            <w:tcW w:w="3260" w:type="dxa"/>
            <w:tcBorders>
              <w:top w:val="single" w:color="auto" w:sz="4" w:space="0"/>
              <w:left w:val="nil"/>
              <w:bottom w:val="single" w:color="auto" w:sz="4" w:space="0"/>
              <w:right w:val="nil"/>
            </w:tcBorders>
            <w:hideMark/>
          </w:tcPr>
          <w:p w:rsidRPr="009C48DA" w:rsidR="00066F2F" w:rsidP="00066F2F" w:rsidRDefault="00066F2F" w14:paraId="35E1021B" w14:textId="3BECF303">
            <w:pPr>
              <w:jc w:val="center"/>
              <w:rPr>
                <w:rFonts w:eastAsia="Times New Roman" w:cs="Times New Roman"/>
                <w:color w:val="000000"/>
                <w:sz w:val="20"/>
                <w:szCs w:val="20"/>
                <w:lang w:val="en-GB"/>
              </w:rPr>
            </w:pPr>
            <w:r w:rsidRPr="009C48DA">
              <w:rPr>
                <w:rFonts w:eastAsia="Times New Roman" w:cs="Times New Roman"/>
                <w:color w:val="000000"/>
                <w:sz w:val="20"/>
                <w:szCs w:val="20"/>
                <w:lang w:val="en-GB"/>
              </w:rPr>
              <w:t>£</w:t>
            </w:r>
            <w:r w:rsidRPr="009C48DA" w:rsidR="00682965">
              <w:rPr>
                <w:rFonts w:eastAsia="Times New Roman" w:cs="Times New Roman"/>
                <w:color w:val="000000"/>
                <w:sz w:val="20"/>
                <w:szCs w:val="20"/>
                <w:lang w:val="en-GB"/>
              </w:rPr>
              <w:t>442</w:t>
            </w:r>
            <w:r w:rsidRPr="009C48DA">
              <w:rPr>
                <w:rFonts w:eastAsia="Times New Roman" w:cs="Times New Roman"/>
                <w:color w:val="000000"/>
                <w:sz w:val="20"/>
                <w:szCs w:val="20"/>
                <w:lang w:val="en-GB"/>
              </w:rPr>
              <w:t>,500 annual bonus</w:t>
            </w:r>
          </w:p>
          <w:p w:rsidRPr="009C48DA" w:rsidR="00066F2F" w:rsidP="00066F2F" w:rsidRDefault="00066F2F" w14:paraId="4451D4FC" w14:textId="096BF49B">
            <w:pPr>
              <w:jc w:val="center"/>
              <w:rPr>
                <w:rFonts w:cs="Times New Roman"/>
                <w:sz w:val="20"/>
                <w:szCs w:val="20"/>
                <w:lang w:val="en-GB"/>
              </w:rPr>
            </w:pPr>
            <w:r w:rsidRPr="009C48DA">
              <w:rPr>
                <w:rFonts w:cs="Times New Roman"/>
                <w:sz w:val="20"/>
                <w:szCs w:val="20"/>
                <w:lang w:val="en-GB"/>
              </w:rPr>
              <w:t>£20,421.33 private medical insurance</w:t>
            </w:r>
          </w:p>
        </w:tc>
      </w:tr>
      <w:tr w:rsidRPr="009C48DA" w:rsidR="00066F2F" w:rsidTr="008F552D" w14:paraId="276533EB" w14:textId="77777777">
        <w:trPr>
          <w:trHeight w:val="467"/>
        </w:trPr>
        <w:tc>
          <w:tcPr>
            <w:tcW w:w="2223" w:type="dxa"/>
            <w:tcBorders>
              <w:top w:val="single" w:color="auto" w:sz="4" w:space="0"/>
              <w:left w:val="nil"/>
              <w:bottom w:val="single" w:color="auto" w:sz="4" w:space="0"/>
              <w:right w:val="nil"/>
            </w:tcBorders>
          </w:tcPr>
          <w:p w:rsidRPr="009C48DA" w:rsidR="00066F2F" w:rsidP="00066F2F" w:rsidRDefault="00066F2F" w14:paraId="16CFFB25" w14:textId="10AE661E">
            <w:pPr>
              <w:jc w:val="center"/>
              <w:rPr>
                <w:rFonts w:cs="Times New Roman"/>
                <w:sz w:val="20"/>
                <w:szCs w:val="20"/>
                <w:lang w:val="en-GB"/>
              </w:rPr>
            </w:pPr>
            <w:r w:rsidRPr="009C48DA">
              <w:rPr>
                <w:bCs/>
                <w:sz w:val="20"/>
                <w:szCs w:val="20"/>
                <w:lang w:val="en-GB"/>
              </w:rPr>
              <w:t>Archie Norman</w:t>
            </w:r>
          </w:p>
        </w:tc>
        <w:tc>
          <w:tcPr>
            <w:tcW w:w="1843" w:type="dxa"/>
            <w:tcBorders>
              <w:top w:val="single" w:color="auto" w:sz="4" w:space="0"/>
              <w:left w:val="nil"/>
              <w:bottom w:val="single" w:color="auto" w:sz="4" w:space="0"/>
              <w:right w:val="nil"/>
            </w:tcBorders>
          </w:tcPr>
          <w:p w:rsidRPr="009C48DA" w:rsidR="00066F2F" w:rsidP="00066F2F" w:rsidRDefault="00FC44EE" w14:paraId="43E27EA0" w14:textId="2A184185">
            <w:pPr>
              <w:jc w:val="center"/>
              <w:rPr>
                <w:rFonts w:cs="Times New Roman"/>
                <w:sz w:val="20"/>
                <w:szCs w:val="20"/>
                <w:lang w:val="en-GB"/>
              </w:rPr>
            </w:pPr>
            <w:r w:rsidRPr="009C48DA">
              <w:rPr>
                <w:rFonts w:eastAsia="Times New Roman" w:cs="Times New Roman"/>
                <w:color w:val="000000"/>
                <w:sz w:val="20"/>
                <w:szCs w:val="20"/>
                <w:lang w:val="en-GB"/>
              </w:rPr>
              <w:t>Senior Independent Director</w:t>
            </w:r>
          </w:p>
        </w:tc>
        <w:tc>
          <w:tcPr>
            <w:tcW w:w="1134" w:type="dxa"/>
            <w:tcBorders>
              <w:top w:val="single" w:color="auto" w:sz="4" w:space="0"/>
              <w:left w:val="nil"/>
              <w:bottom w:val="single" w:color="auto" w:sz="4" w:space="0"/>
              <w:right w:val="nil"/>
            </w:tcBorders>
            <w:hideMark/>
          </w:tcPr>
          <w:p w:rsidRPr="009C48DA" w:rsidR="00066F2F" w:rsidP="00066F2F" w:rsidRDefault="00E53776" w14:paraId="6320A534" w14:textId="53872E5E">
            <w:pPr>
              <w:jc w:val="center"/>
              <w:rPr>
                <w:rFonts w:cs="Times New Roman"/>
                <w:sz w:val="20"/>
                <w:szCs w:val="20"/>
                <w:lang w:val="en-GB"/>
              </w:rPr>
            </w:pPr>
            <w:r w:rsidRPr="009C48DA">
              <w:rPr>
                <w:sz w:val="20"/>
                <w:szCs w:val="20"/>
                <w:lang w:val="en-GB"/>
              </w:rPr>
              <w:t>—</w:t>
            </w:r>
          </w:p>
        </w:tc>
        <w:tc>
          <w:tcPr>
            <w:tcW w:w="3260" w:type="dxa"/>
            <w:tcBorders>
              <w:top w:val="single" w:color="auto" w:sz="4" w:space="0"/>
              <w:left w:val="nil"/>
              <w:bottom w:val="single" w:color="auto" w:sz="4" w:space="0"/>
              <w:right w:val="nil"/>
            </w:tcBorders>
            <w:hideMark/>
          </w:tcPr>
          <w:p w:rsidRPr="009C48DA" w:rsidR="00066F2F" w:rsidP="00066F2F" w:rsidRDefault="00E53776" w14:paraId="766E9700" w14:textId="3951D9EF">
            <w:pPr>
              <w:jc w:val="center"/>
              <w:rPr>
                <w:rFonts w:cs="Times New Roman"/>
                <w:sz w:val="20"/>
                <w:szCs w:val="20"/>
                <w:lang w:val="en-GB"/>
              </w:rPr>
            </w:pPr>
            <w:r w:rsidRPr="009C48DA">
              <w:rPr>
                <w:sz w:val="20"/>
                <w:szCs w:val="20"/>
                <w:lang w:val="en-GB"/>
              </w:rPr>
              <w:t>—</w:t>
            </w:r>
          </w:p>
        </w:tc>
      </w:tr>
      <w:tr w:rsidRPr="009C48DA" w:rsidR="00066F2F" w:rsidTr="008F552D" w14:paraId="077C09F4" w14:textId="77777777">
        <w:trPr>
          <w:trHeight w:val="467"/>
        </w:trPr>
        <w:tc>
          <w:tcPr>
            <w:tcW w:w="2223" w:type="dxa"/>
            <w:tcBorders>
              <w:top w:val="single" w:color="auto" w:sz="4" w:space="0"/>
              <w:left w:val="nil"/>
              <w:bottom w:val="single" w:color="auto" w:sz="4" w:space="0"/>
              <w:right w:val="nil"/>
            </w:tcBorders>
          </w:tcPr>
          <w:p w:rsidRPr="009C48DA" w:rsidR="00066F2F" w:rsidP="00066F2F" w:rsidRDefault="00066F2F" w14:paraId="70857391" w14:textId="7369C461">
            <w:pPr>
              <w:jc w:val="center"/>
              <w:rPr>
                <w:rFonts w:cs="Times New Roman"/>
                <w:sz w:val="20"/>
                <w:szCs w:val="20"/>
                <w:lang w:val="en-GB"/>
              </w:rPr>
            </w:pPr>
            <w:r w:rsidRPr="009C48DA">
              <w:rPr>
                <w:bCs/>
                <w:sz w:val="20"/>
                <w:szCs w:val="20"/>
                <w:lang w:val="en-GB"/>
              </w:rPr>
              <w:t>Angeles Garcia-Poveda</w:t>
            </w:r>
          </w:p>
        </w:tc>
        <w:tc>
          <w:tcPr>
            <w:tcW w:w="1843" w:type="dxa"/>
            <w:tcBorders>
              <w:top w:val="single" w:color="auto" w:sz="4" w:space="0"/>
              <w:left w:val="nil"/>
              <w:bottom w:val="single" w:color="auto" w:sz="4" w:space="0"/>
              <w:right w:val="nil"/>
            </w:tcBorders>
          </w:tcPr>
          <w:p w:rsidRPr="009C48DA" w:rsidR="00066F2F" w:rsidP="00066F2F" w:rsidRDefault="004D153E" w14:paraId="4AAF8087" w14:textId="158D3389">
            <w:pPr>
              <w:jc w:val="center"/>
              <w:rPr>
                <w:rFonts w:cs="Times New Roman"/>
                <w:sz w:val="20"/>
                <w:szCs w:val="20"/>
                <w:lang w:val="en-GB"/>
              </w:rPr>
            </w:pPr>
            <w:r w:rsidRPr="009C48DA">
              <w:rPr>
                <w:color w:val="000000"/>
                <w:sz w:val="20"/>
                <w:szCs w:val="20"/>
                <w:lang w:val="en-GB"/>
              </w:rPr>
              <w:t xml:space="preserve">Independent </w:t>
            </w:r>
            <w:r w:rsidRPr="009C48DA" w:rsidR="00FC44EE">
              <w:rPr>
                <w:rFonts w:eastAsia="Times New Roman" w:cs="Times New Roman"/>
                <w:color w:val="000000"/>
                <w:sz w:val="20"/>
                <w:szCs w:val="20"/>
                <w:lang w:val="en-GB"/>
              </w:rPr>
              <w:t>Non-Executive Director</w:t>
            </w:r>
          </w:p>
        </w:tc>
        <w:tc>
          <w:tcPr>
            <w:tcW w:w="1134" w:type="dxa"/>
            <w:tcBorders>
              <w:top w:val="single" w:color="auto" w:sz="4" w:space="0"/>
              <w:left w:val="nil"/>
              <w:bottom w:val="single" w:color="auto" w:sz="4" w:space="0"/>
              <w:right w:val="nil"/>
            </w:tcBorders>
            <w:hideMark/>
          </w:tcPr>
          <w:p w:rsidRPr="009C48DA" w:rsidR="00066F2F" w:rsidP="00066F2F" w:rsidRDefault="00E53776" w14:paraId="49E2A8D0" w14:textId="02065E17">
            <w:pPr>
              <w:jc w:val="center"/>
              <w:rPr>
                <w:rFonts w:cs="Times New Roman"/>
                <w:sz w:val="20"/>
                <w:szCs w:val="20"/>
                <w:lang w:val="en-GB"/>
              </w:rPr>
            </w:pPr>
            <w:r w:rsidRPr="009C48DA">
              <w:rPr>
                <w:sz w:val="20"/>
                <w:szCs w:val="20"/>
                <w:lang w:val="en-GB"/>
              </w:rPr>
              <w:t>—</w:t>
            </w:r>
          </w:p>
        </w:tc>
        <w:tc>
          <w:tcPr>
            <w:tcW w:w="3260" w:type="dxa"/>
            <w:tcBorders>
              <w:top w:val="single" w:color="auto" w:sz="4" w:space="0"/>
              <w:left w:val="nil"/>
              <w:bottom w:val="single" w:color="auto" w:sz="4" w:space="0"/>
              <w:right w:val="nil"/>
            </w:tcBorders>
            <w:hideMark/>
          </w:tcPr>
          <w:p w:rsidRPr="009C48DA" w:rsidR="00066F2F" w:rsidP="00066F2F" w:rsidRDefault="00E53776" w14:paraId="17731160" w14:textId="15807476">
            <w:pPr>
              <w:jc w:val="center"/>
              <w:rPr>
                <w:rFonts w:cs="Times New Roman"/>
                <w:sz w:val="20"/>
                <w:szCs w:val="20"/>
                <w:lang w:val="en-GB"/>
              </w:rPr>
            </w:pPr>
            <w:r w:rsidRPr="009C48DA">
              <w:rPr>
                <w:sz w:val="20"/>
                <w:szCs w:val="20"/>
                <w:lang w:val="en-GB"/>
              </w:rPr>
              <w:t>—</w:t>
            </w:r>
          </w:p>
        </w:tc>
      </w:tr>
      <w:tr w:rsidRPr="009C48DA" w:rsidR="00066F2F" w:rsidTr="008F552D" w14:paraId="48BB25F8" w14:textId="77777777">
        <w:trPr>
          <w:trHeight w:val="467"/>
        </w:trPr>
        <w:tc>
          <w:tcPr>
            <w:tcW w:w="2223" w:type="dxa"/>
            <w:tcBorders>
              <w:top w:val="single" w:color="auto" w:sz="4" w:space="0"/>
              <w:left w:val="nil"/>
              <w:bottom w:val="single" w:color="auto" w:sz="4" w:space="0"/>
              <w:right w:val="nil"/>
            </w:tcBorders>
          </w:tcPr>
          <w:p w:rsidRPr="009C48DA" w:rsidR="00066F2F" w:rsidP="00066F2F" w:rsidRDefault="00066F2F" w14:paraId="70C16D1B" w14:textId="32E98D1E">
            <w:pPr>
              <w:jc w:val="center"/>
              <w:rPr>
                <w:rFonts w:cs="Times New Roman"/>
                <w:sz w:val="20"/>
                <w:szCs w:val="20"/>
                <w:lang w:val="en-GB"/>
              </w:rPr>
            </w:pPr>
            <w:r w:rsidRPr="009C48DA">
              <w:rPr>
                <w:bCs/>
                <w:sz w:val="20"/>
                <w:szCs w:val="20"/>
                <w:lang w:val="en-GB"/>
              </w:rPr>
              <w:t>Tim Score</w:t>
            </w:r>
          </w:p>
        </w:tc>
        <w:tc>
          <w:tcPr>
            <w:tcW w:w="1843" w:type="dxa"/>
            <w:tcBorders>
              <w:top w:val="single" w:color="auto" w:sz="4" w:space="0"/>
              <w:left w:val="nil"/>
              <w:bottom w:val="single" w:color="auto" w:sz="4" w:space="0"/>
              <w:right w:val="nil"/>
            </w:tcBorders>
          </w:tcPr>
          <w:p w:rsidRPr="009C48DA" w:rsidR="00066F2F" w:rsidP="00066F2F" w:rsidRDefault="004D153E" w14:paraId="4783A78F" w14:textId="1D46720A">
            <w:pPr>
              <w:jc w:val="center"/>
              <w:rPr>
                <w:rFonts w:cs="Times New Roman"/>
                <w:sz w:val="20"/>
                <w:szCs w:val="20"/>
                <w:lang w:val="en-GB"/>
              </w:rPr>
            </w:pPr>
            <w:r w:rsidRPr="009C48DA">
              <w:rPr>
                <w:color w:val="000000"/>
                <w:sz w:val="20"/>
                <w:szCs w:val="20"/>
                <w:lang w:val="en-GB"/>
              </w:rPr>
              <w:t xml:space="preserve">Independent </w:t>
            </w:r>
            <w:r w:rsidRPr="009C48DA" w:rsidR="00FC44EE">
              <w:rPr>
                <w:rFonts w:eastAsia="Times New Roman" w:cs="Times New Roman"/>
                <w:color w:val="000000"/>
                <w:sz w:val="20"/>
                <w:szCs w:val="20"/>
                <w:lang w:val="en-GB"/>
              </w:rPr>
              <w:t>Non-Executive Director</w:t>
            </w:r>
          </w:p>
        </w:tc>
        <w:tc>
          <w:tcPr>
            <w:tcW w:w="1134" w:type="dxa"/>
            <w:tcBorders>
              <w:top w:val="single" w:color="auto" w:sz="4" w:space="0"/>
              <w:left w:val="nil"/>
              <w:bottom w:val="single" w:color="auto" w:sz="4" w:space="0"/>
              <w:right w:val="nil"/>
            </w:tcBorders>
            <w:hideMark/>
          </w:tcPr>
          <w:p w:rsidRPr="009C48DA" w:rsidR="00066F2F" w:rsidP="00066F2F" w:rsidRDefault="00E53776" w14:paraId="20BFF171" w14:textId="14771802">
            <w:pPr>
              <w:jc w:val="center"/>
              <w:rPr>
                <w:rFonts w:cs="Times New Roman"/>
                <w:sz w:val="20"/>
                <w:szCs w:val="20"/>
                <w:lang w:val="en-GB"/>
              </w:rPr>
            </w:pPr>
            <w:r w:rsidRPr="009C48DA">
              <w:rPr>
                <w:sz w:val="20"/>
                <w:szCs w:val="20"/>
                <w:lang w:val="en-GB"/>
              </w:rPr>
              <w:t>—</w:t>
            </w:r>
          </w:p>
        </w:tc>
        <w:tc>
          <w:tcPr>
            <w:tcW w:w="3260" w:type="dxa"/>
            <w:tcBorders>
              <w:top w:val="single" w:color="auto" w:sz="4" w:space="0"/>
              <w:left w:val="nil"/>
              <w:bottom w:val="single" w:color="auto" w:sz="4" w:space="0"/>
              <w:right w:val="nil"/>
            </w:tcBorders>
            <w:hideMark/>
          </w:tcPr>
          <w:p w:rsidRPr="009C48DA" w:rsidR="00066F2F" w:rsidP="00066F2F" w:rsidRDefault="00E53776" w14:paraId="7E9E4361" w14:textId="670A2914">
            <w:pPr>
              <w:jc w:val="center"/>
              <w:rPr>
                <w:rFonts w:cs="Times New Roman"/>
                <w:sz w:val="20"/>
                <w:szCs w:val="20"/>
                <w:lang w:val="en-GB"/>
              </w:rPr>
            </w:pPr>
            <w:r w:rsidRPr="009C48DA">
              <w:rPr>
                <w:sz w:val="20"/>
                <w:szCs w:val="20"/>
                <w:lang w:val="en-GB"/>
              </w:rPr>
              <w:t>—</w:t>
            </w:r>
          </w:p>
        </w:tc>
      </w:tr>
    </w:tbl>
    <w:p w:rsidRPr="009C48DA" w:rsidR="000D3E7A" w:rsidP="000D3E7A" w:rsidRDefault="000D3E7A" w14:paraId="5D5B1A52" w14:textId="77777777">
      <w:pPr>
        <w:pBdr>
          <w:bottom w:val="single" w:color="auto" w:sz="4" w:space="1"/>
        </w:pBdr>
        <w:ind w:left="709" w:right="7200"/>
        <w:rPr>
          <w:lang w:val="en-GB"/>
        </w:rPr>
      </w:pPr>
    </w:p>
    <w:p w:rsidRPr="009C48DA" w:rsidR="00066F2F" w:rsidP="000D3E7A" w:rsidRDefault="000D3E7A" w14:paraId="5C5B826F" w14:textId="2697874B">
      <w:pPr>
        <w:tabs>
          <w:tab w:val="left" w:pos="1134"/>
        </w:tabs>
        <w:ind w:firstLine="709"/>
        <w:rPr>
          <w:sz w:val="18"/>
          <w:szCs w:val="18"/>
          <w:lang w:val="en-GB"/>
        </w:rPr>
      </w:pPr>
      <w:r w:rsidRPr="009C48DA">
        <w:rPr>
          <w:sz w:val="18"/>
          <w:szCs w:val="18"/>
          <w:vertAlign w:val="superscript"/>
          <w:lang w:val="en-GB"/>
        </w:rPr>
        <w:t>(</w:t>
      </w:r>
      <w:r w:rsidRPr="009C48DA" w:rsidR="00066F2F">
        <w:rPr>
          <w:sz w:val="18"/>
          <w:szCs w:val="18"/>
          <w:vertAlign w:val="superscript"/>
          <w:lang w:val="en-GB"/>
        </w:rPr>
        <w:t>1</w:t>
      </w:r>
      <w:r w:rsidRPr="009C48DA">
        <w:rPr>
          <w:sz w:val="18"/>
          <w:szCs w:val="18"/>
          <w:vertAlign w:val="superscript"/>
          <w:lang w:val="en-GB"/>
        </w:rPr>
        <w:t>)</w:t>
      </w:r>
      <w:r w:rsidRPr="009C48DA">
        <w:rPr>
          <w:sz w:val="18"/>
          <w:szCs w:val="18"/>
          <w:vertAlign w:val="superscript"/>
          <w:lang w:val="en-GB"/>
        </w:rPr>
        <w:tab/>
      </w:r>
      <w:r w:rsidRPr="009C48DA" w:rsidR="00066F2F">
        <w:rPr>
          <w:sz w:val="18"/>
          <w:szCs w:val="18"/>
          <w:lang w:val="en-GB"/>
        </w:rPr>
        <w:t>£300,000 of this annual bonus was directed to be paid to a C</w:t>
      </w:r>
      <w:r w:rsidRPr="009C48DA" w:rsidR="00D83066">
        <w:rPr>
          <w:sz w:val="18"/>
          <w:szCs w:val="18"/>
          <w:lang w:val="en-GB"/>
        </w:rPr>
        <w:t>OVID-19</w:t>
      </w:r>
      <w:r w:rsidRPr="009C48DA" w:rsidR="00066F2F">
        <w:rPr>
          <w:sz w:val="18"/>
          <w:szCs w:val="18"/>
          <w:lang w:val="en-GB"/>
        </w:rPr>
        <w:t xml:space="preserve"> hardship fund.</w:t>
      </w:r>
    </w:p>
    <w:p w:rsidRPr="009C48DA" w:rsidR="00776A1E" w:rsidP="000D3E7A" w:rsidRDefault="000D3E7A" w14:paraId="3C491291" w14:textId="30FB525D">
      <w:pPr>
        <w:tabs>
          <w:tab w:val="left" w:pos="1134"/>
        </w:tabs>
        <w:ind w:firstLine="709"/>
        <w:rPr>
          <w:sz w:val="18"/>
          <w:szCs w:val="18"/>
          <w:vertAlign w:val="superscript"/>
          <w:lang w:val="en-GB"/>
        </w:rPr>
      </w:pPr>
      <w:r w:rsidRPr="009C48DA">
        <w:rPr>
          <w:sz w:val="18"/>
          <w:szCs w:val="18"/>
          <w:vertAlign w:val="superscript"/>
          <w:lang w:val="en-GB"/>
        </w:rPr>
        <w:t>(</w:t>
      </w:r>
      <w:r w:rsidRPr="009C48DA" w:rsidR="00FC44EE">
        <w:rPr>
          <w:sz w:val="18"/>
          <w:szCs w:val="18"/>
          <w:vertAlign w:val="superscript"/>
          <w:lang w:val="en-GB"/>
        </w:rPr>
        <w:t>2</w:t>
      </w:r>
      <w:r w:rsidRPr="009C48DA">
        <w:rPr>
          <w:sz w:val="18"/>
          <w:szCs w:val="18"/>
          <w:vertAlign w:val="superscript"/>
          <w:lang w:val="en-GB"/>
        </w:rPr>
        <w:t>)</w:t>
      </w:r>
      <w:r w:rsidRPr="009C48DA">
        <w:rPr>
          <w:sz w:val="18"/>
          <w:szCs w:val="18"/>
          <w:vertAlign w:val="superscript"/>
          <w:lang w:val="en-GB"/>
        </w:rPr>
        <w:tab/>
      </w:r>
      <w:r w:rsidRPr="009C48DA" w:rsidR="00776A1E">
        <w:rPr>
          <w:sz w:val="18"/>
          <w:szCs w:val="18"/>
          <w:lang w:val="en-GB"/>
        </w:rPr>
        <w:t xml:space="preserve">£65,000 of this base salary was directed to be paid to a </w:t>
      </w:r>
      <w:r w:rsidRPr="009C48DA" w:rsidR="00D83066">
        <w:rPr>
          <w:sz w:val="18"/>
          <w:szCs w:val="18"/>
          <w:lang w:val="en-GB"/>
        </w:rPr>
        <w:t>COVID-19</w:t>
      </w:r>
      <w:r w:rsidRPr="009C48DA" w:rsidR="00776A1E">
        <w:rPr>
          <w:sz w:val="18"/>
          <w:szCs w:val="18"/>
          <w:lang w:val="en-GB"/>
        </w:rPr>
        <w:t xml:space="preserve"> hardship fund.</w:t>
      </w:r>
    </w:p>
    <w:p w:rsidRPr="009C48DA" w:rsidR="00FC44EE" w:rsidP="00120027" w:rsidRDefault="00FC44EE" w14:paraId="2ED7C379" w14:textId="77777777">
      <w:pPr>
        <w:pStyle w:val="BlockText5SglJ"/>
        <w:rPr>
          <w:lang w:val="en-GB"/>
        </w:rPr>
      </w:pPr>
    </w:p>
    <w:p w:rsidRPr="009C48DA" w:rsidR="00DA7B9D" w:rsidP="001C532B" w:rsidRDefault="00427CB5" w14:paraId="5850D681" w14:textId="47139B8D">
      <w:pPr>
        <w:pStyle w:val="Heading3"/>
        <w:keepNext/>
        <w:rPr>
          <w:lang w:val="en-GB"/>
        </w:rPr>
      </w:pPr>
      <w:r w:rsidRPr="009C48DA">
        <w:rPr>
          <w:lang w:val="en-GB"/>
        </w:rPr>
        <w:t>SHARE-BASED INCENTIVE ARRANGEMENTS</w:t>
      </w:r>
    </w:p>
    <w:p w:rsidRPr="009C48DA" w:rsidR="00DA7B9D" w:rsidP="00F951B6" w:rsidRDefault="00F951B6" w14:paraId="3041EA4E" w14:textId="631353F8">
      <w:pPr>
        <w:pStyle w:val="BlockText5SglJ"/>
        <w:rPr>
          <w:color w:val="000000"/>
          <w:lang w:val="en-GB"/>
        </w:rPr>
      </w:pPr>
      <w:r w:rsidRPr="009C48DA">
        <w:rPr>
          <w:lang w:val="en-GB"/>
        </w:rPr>
        <w:t>There are no share-based incentives arrangements within the Group.</w:t>
      </w:r>
    </w:p>
    <w:p w:rsidRPr="009C48DA" w:rsidR="00DA7B9D" w:rsidP="001C532B" w:rsidRDefault="00427CB5" w14:paraId="6BC68B33" w14:textId="3D5024A1">
      <w:pPr>
        <w:pStyle w:val="Heading3"/>
        <w:keepNext/>
        <w:rPr>
          <w:color w:val="000000"/>
          <w:lang w:val="en-GB"/>
        </w:rPr>
      </w:pPr>
      <w:r w:rsidRPr="009C48DA">
        <w:rPr>
          <w:color w:val="000000"/>
          <w:lang w:val="en-GB"/>
        </w:rPr>
        <w:t>PENSIONS</w:t>
      </w:r>
    </w:p>
    <w:p w:rsidRPr="009C48DA" w:rsidR="00DA7B9D" w:rsidRDefault="00F951B6" w14:paraId="3AD70DB4" w14:textId="666AF9EA">
      <w:pPr>
        <w:pStyle w:val="BlockText5SglJ"/>
        <w:rPr>
          <w:color w:val="000000"/>
          <w:lang w:val="en-GB"/>
        </w:rPr>
      </w:pPr>
      <w:r w:rsidRPr="009C48DA">
        <w:rPr>
          <w:color w:val="000000"/>
          <w:lang w:val="en-GB"/>
        </w:rPr>
        <w:t>Details of the Company’s pensi</w:t>
      </w:r>
      <w:r w:rsidRPr="009C48DA" w:rsidR="00970636">
        <w:rPr>
          <w:color w:val="000000"/>
          <w:lang w:val="en-GB"/>
        </w:rPr>
        <w:t>on schemes are set out in Note 6</w:t>
      </w:r>
      <w:r w:rsidRPr="009C48DA">
        <w:rPr>
          <w:color w:val="000000"/>
          <w:lang w:val="en-GB"/>
        </w:rPr>
        <w:t xml:space="preserve"> of </w:t>
      </w:r>
      <w:r w:rsidRPr="009C48DA" w:rsidR="00641458">
        <w:rPr>
          <w:rFonts w:eastAsia="Calibri" w:cs="Arial"/>
          <w:lang w:val="en-GB"/>
        </w:rPr>
        <w:fldChar w:fldCharType="begin"/>
      </w:r>
      <w:r w:rsidRPr="009C48DA" w:rsidR="00641458">
        <w:rPr>
          <w:rFonts w:eastAsia="Calibri" w:cs="Arial"/>
          <w:lang w:val="en-GB"/>
        </w:rPr>
        <w:instrText xml:space="preserve"> REF _Ref72800070 \n \h  \* MERGEFORMAT </w:instrText>
      </w:r>
      <w:r w:rsidRPr="009C48DA" w:rsidR="00641458">
        <w:rPr>
          <w:rFonts w:eastAsia="Calibri" w:cs="Arial"/>
          <w:lang w:val="en-GB"/>
        </w:rPr>
      </w:r>
      <w:r w:rsidRPr="009C48DA" w:rsidR="00641458">
        <w:rPr>
          <w:rFonts w:eastAsia="Calibri" w:cs="Arial"/>
          <w:lang w:val="en-GB"/>
        </w:rPr>
        <w:fldChar w:fldCharType="separate"/>
      </w:r>
      <w:r w:rsidR="007C3D19">
        <w:rPr>
          <w:rFonts w:eastAsia="Calibri" w:cs="Arial"/>
          <w:lang w:val="en-GB"/>
        </w:rPr>
        <w:t>Part B</w:t>
      </w:r>
      <w:r w:rsidRPr="009C48DA" w:rsidR="00641458">
        <w:rPr>
          <w:rFonts w:eastAsia="Calibri" w:cs="Arial"/>
          <w:lang w:val="en-GB"/>
        </w:rPr>
        <w:fldChar w:fldCharType="end"/>
      </w:r>
      <w:r w:rsidRPr="009C48DA" w:rsidR="00641458">
        <w:rPr>
          <w:rFonts w:eastAsia="Calibri" w:cs="Arial"/>
          <w:lang w:val="en-GB"/>
        </w:rPr>
        <w:t xml:space="preserve"> of </w:t>
      </w:r>
      <w:r w:rsidRPr="009C48DA" w:rsidR="00641458">
        <w:rPr>
          <w:rFonts w:eastAsia="Calibri" w:cs="Arial"/>
          <w:lang w:val="en-GB"/>
        </w:rPr>
        <w:fldChar w:fldCharType="begin"/>
      </w:r>
      <w:r w:rsidRPr="009C48DA" w:rsidR="00641458">
        <w:rPr>
          <w:rFonts w:eastAsia="Calibri" w:cs="Arial"/>
          <w:lang w:val="en-GB"/>
        </w:rPr>
        <w:instrText xml:space="preserve"> REF _Ref72800077 \n \h  \* MERGEFORMAT </w:instrText>
      </w:r>
      <w:r w:rsidRPr="009C48DA" w:rsidR="00641458">
        <w:rPr>
          <w:rFonts w:eastAsia="Calibri" w:cs="Arial"/>
          <w:lang w:val="en-GB"/>
        </w:rPr>
      </w:r>
      <w:r w:rsidRPr="009C48DA" w:rsidR="00641458">
        <w:rPr>
          <w:rFonts w:eastAsia="Calibri" w:cs="Arial"/>
          <w:lang w:val="en-GB"/>
        </w:rPr>
        <w:fldChar w:fldCharType="separate"/>
      </w:r>
      <w:r w:rsidR="007C3D19">
        <w:rPr>
          <w:rFonts w:eastAsia="Calibri" w:cs="Arial"/>
          <w:lang w:val="en-GB"/>
        </w:rPr>
        <w:t>Part X</w:t>
      </w:r>
      <w:r w:rsidRPr="009C48DA" w:rsidR="00641458">
        <w:rPr>
          <w:rFonts w:eastAsia="Calibri" w:cs="Arial"/>
          <w:lang w:val="en-GB"/>
        </w:rPr>
        <w:fldChar w:fldCharType="end"/>
      </w:r>
      <w:r w:rsidRPr="009C48DA" w:rsidR="00641458">
        <w:rPr>
          <w:rFonts w:eastAsia="Calibri" w:cs="Arial"/>
          <w:lang w:val="en-GB"/>
        </w:rPr>
        <w:t xml:space="preserve"> </w:t>
      </w:r>
      <w:r w:rsidRPr="009C48DA">
        <w:rPr>
          <w:color w:val="000000"/>
          <w:lang w:val="en-GB"/>
        </w:rPr>
        <w:t>(</w:t>
      </w:r>
      <w:r w:rsidRPr="009C48DA" w:rsidR="006320D1">
        <w:rPr>
          <w:i/>
          <w:szCs w:val="20"/>
          <w:lang w:val="en-GB"/>
        </w:rPr>
      </w:r>
      <w:r w:rsidRPr="007C3D19" w:rsidR="007C3D19">
        <w:rPr>
          <w:i/>
          <w:lang w:val="en-GB"/>
        </w:rPr>
        <w:t>Historical Financial Information</w:t>
      </w:r>
      <w:r w:rsidRPr="009C48DA">
        <w:rPr>
          <w:color w:val="000000"/>
          <w:lang w:val="en-GB"/>
        </w:rPr>
        <w:t>). The total amounts set aside or accrued by the Company or its subsidiaries to provide pension, retirement o</w:t>
      </w:r>
      <w:r w:rsidRPr="009C48DA" w:rsidR="00E43396">
        <w:rPr>
          <w:color w:val="000000"/>
          <w:lang w:val="en-GB"/>
        </w:rPr>
        <w:t xml:space="preserve">r similar benefits was </w:t>
      </w:r>
      <w:r w:rsidRPr="009C48DA" w:rsidR="00E754E9">
        <w:rPr>
          <w:color w:val="000000"/>
          <w:lang w:val="en-GB"/>
        </w:rPr>
        <w:t>£0.6 million</w:t>
      </w:r>
      <w:r w:rsidRPr="009C48DA" w:rsidR="00E43396">
        <w:rPr>
          <w:color w:val="000000"/>
          <w:lang w:val="en-GB"/>
        </w:rPr>
        <w:t xml:space="preserve"> as of</w:t>
      </w:r>
      <w:r w:rsidRPr="009C48DA">
        <w:rPr>
          <w:color w:val="000000"/>
          <w:lang w:val="en-GB"/>
        </w:rPr>
        <w:t xml:space="preserve"> </w:t>
      </w:r>
      <w:r w:rsidRPr="009C48DA" w:rsidR="00E754E9">
        <w:rPr>
          <w:color w:val="000000"/>
          <w:lang w:val="en-GB"/>
        </w:rPr>
        <w:t>31 March</w:t>
      </w:r>
      <w:r w:rsidRPr="009C48DA">
        <w:rPr>
          <w:color w:val="000000"/>
          <w:lang w:val="en-GB"/>
        </w:rPr>
        <w:t xml:space="preserve"> 2021.</w:t>
      </w:r>
    </w:p>
    <w:p w:rsidRPr="009C48DA" w:rsidR="00390EF9" w:rsidP="001C532B" w:rsidRDefault="00427CB5" w14:paraId="08CAEDB8" w14:textId="30051D01">
      <w:pPr>
        <w:pStyle w:val="Heading3"/>
        <w:keepNext/>
        <w:rPr>
          <w:lang w:val="en-GB"/>
        </w:rPr>
      </w:pPr>
      <w:r w:rsidRPr="009C48DA">
        <w:rPr>
          <w:lang w:val="en-GB"/>
        </w:rPr>
        <w:t>LITIGATION</w:t>
      </w:r>
    </w:p>
    <w:p w:rsidRPr="009C48DA" w:rsidR="00574C22" w:rsidP="00261E8C" w:rsidRDefault="00E0374D" w14:paraId="6C0E5487" w14:textId="02799C80">
      <w:pPr>
        <w:pStyle w:val="BlockText5SglJ"/>
        <w:rPr>
          <w:lang w:val="en-GB"/>
        </w:rPr>
      </w:pPr>
      <w:r w:rsidRPr="009C48DA">
        <w:rPr>
          <w:lang w:val="en-GB"/>
        </w:rPr>
        <w:t>T</w:t>
      </w:r>
      <w:r w:rsidRPr="009C48DA" w:rsidR="00574C22">
        <w:rPr>
          <w:lang w:val="en-GB"/>
        </w:rPr>
        <w:t>here are no governmental, legal or arbitration proceedings (including any such proceedings which are pending or threatened of which the Company is aware) during the 12 months preceding the date of this Registration Document, which may have, or have had in the recent past, significant effects on the Company’s and/or the Group’s finan</w:t>
      </w:r>
      <w:r w:rsidRPr="009C48DA">
        <w:rPr>
          <w:lang w:val="en-GB"/>
        </w:rPr>
        <w:t>cial position or profitability.</w:t>
      </w:r>
    </w:p>
    <w:p w:rsidRPr="009C48DA" w:rsidR="00DA7B9D" w:rsidP="001C532B" w:rsidRDefault="00427CB5" w14:paraId="7CCDB115" w14:textId="449D171F">
      <w:pPr>
        <w:pStyle w:val="Heading3"/>
        <w:keepNext/>
        <w:rPr>
          <w:lang w:val="en-GB"/>
        </w:rPr>
      </w:pPr>
      <w:r w:rsidRPr="009C48DA">
        <w:rPr>
          <w:lang w:val="en-GB"/>
        </w:rPr>
        <w:t>RELATED PARTY TRANSACTIONS</w:t>
      </w:r>
    </w:p>
    <w:p w:rsidRPr="009C48DA" w:rsidR="00DA7B9D" w:rsidRDefault="00CD3B44" w14:paraId="7A0F5E26" w14:textId="1F55E078">
      <w:pPr>
        <w:pStyle w:val="BlockText5SglJ"/>
        <w:rPr>
          <w:lang w:val="en-GB"/>
        </w:rPr>
      </w:pPr>
      <w:r w:rsidRPr="009C48DA">
        <w:rPr>
          <w:lang w:val="en-GB"/>
        </w:rPr>
        <w:t>Save as disclosed in Note 26</w:t>
      </w:r>
      <w:r w:rsidRPr="009C48DA" w:rsidR="00427CB5">
        <w:rPr>
          <w:lang w:val="en-GB"/>
        </w:rPr>
        <w:t xml:space="preserve"> to the Historical Financial Informa</w:t>
      </w:r>
      <w:r w:rsidRPr="009C48DA" w:rsidR="00430AAD">
        <w:rPr>
          <w:lang w:val="en-GB"/>
        </w:rPr>
        <w:t xml:space="preserve">tion (set out in </w:t>
      </w:r>
      <w:r w:rsidRPr="009C48DA" w:rsidR="008058C8">
        <w:rPr>
          <w:lang w:val="en-GB"/>
        </w:rPr>
        <w:fldChar w:fldCharType="begin"/>
      </w:r>
      <w:r w:rsidRPr="009C48DA" w:rsidR="008058C8">
        <w:rPr>
          <w:lang w:val="en-GB"/>
        </w:rPr>
        <w:instrText xml:space="preserve"> REF _Ref71146151 \n \h </w:instrText>
      </w:r>
      <w:r w:rsidRPr="009C48DA" w:rsidR="00F10B04">
        <w:rPr>
          <w:lang w:val="en-GB"/>
        </w:rPr>
        <w:instrText xml:space="preserve"> \* MERGEFORMAT </w:instrText>
      </w:r>
      <w:r w:rsidRPr="009C48DA" w:rsidR="008058C8">
        <w:rPr>
          <w:lang w:val="en-GB"/>
        </w:rPr>
      </w:r>
      <w:r w:rsidRPr="009C48DA" w:rsidR="008058C8">
        <w:rPr>
          <w:lang w:val="en-GB"/>
        </w:rPr>
        <w:fldChar w:fldCharType="separate"/>
      </w:r>
      <w:r w:rsidR="007C3D19">
        <w:rPr>
          <w:lang w:val="en-GB"/>
        </w:rPr>
        <w:t>Part B</w:t>
      </w:r>
      <w:r w:rsidRPr="009C48DA" w:rsidR="008058C8">
        <w:rPr>
          <w:lang w:val="en-GB"/>
        </w:rPr>
        <w:fldChar w:fldCharType="end"/>
      </w:r>
      <w:r w:rsidRPr="009C48DA" w:rsidR="00430AAD">
        <w:rPr>
          <w:lang w:val="en-GB"/>
        </w:rPr>
        <w:t xml:space="preserve"> of </w:t>
      </w:r>
      <w:r w:rsidRPr="009C48DA" w:rsidR="008058C8">
        <w:rPr>
          <w:lang w:val="en-GB"/>
        </w:rPr>
        <w:fldChar w:fldCharType="begin"/>
      </w:r>
      <w:r w:rsidRPr="009C48DA" w:rsidR="008058C8">
        <w:rPr>
          <w:lang w:val="en-GB"/>
        </w:rPr>
        <w:instrText xml:space="preserve"> REF _Ref71146161 \n \h </w:instrText>
      </w:r>
      <w:r w:rsidRPr="009C48DA" w:rsidR="00F10B04">
        <w:rPr>
          <w:lang w:val="en-GB"/>
        </w:rPr>
        <w:instrText xml:space="preserve"> \* MERGEFORMAT </w:instrText>
      </w:r>
      <w:r w:rsidRPr="009C48DA" w:rsidR="008058C8">
        <w:rPr>
          <w:lang w:val="en-GB"/>
        </w:rPr>
      </w:r>
      <w:r w:rsidRPr="009C48DA" w:rsidR="008058C8">
        <w:rPr>
          <w:lang w:val="en-GB"/>
        </w:rPr>
        <w:fldChar w:fldCharType="separate"/>
      </w:r>
      <w:r w:rsidR="007C3D19">
        <w:rPr>
          <w:lang w:val="en-GB"/>
        </w:rPr>
        <w:t>Part X</w:t>
      </w:r>
      <w:r w:rsidRPr="009C48DA" w:rsidR="008058C8">
        <w:rPr>
          <w:lang w:val="en-GB"/>
        </w:rPr>
        <w:fldChar w:fldCharType="end"/>
      </w:r>
      <w:r w:rsidRPr="009C48DA" w:rsidR="00430AAD">
        <w:rPr>
          <w:lang w:val="en-GB"/>
        </w:rPr>
        <w:t xml:space="preserve"> </w:t>
      </w:r>
      <w:r w:rsidRPr="009C48DA" w:rsidR="00427CB5">
        <w:rPr>
          <w:lang w:val="en-GB"/>
        </w:rPr>
        <w:t>(</w:t>
      </w:r>
      <w:r w:rsidRPr="009C48DA" w:rsidR="006320D1">
        <w:rPr>
          <w:i/>
          <w:szCs w:val="20"/>
          <w:lang w:val="en-GB"/>
        </w:rPr>
      </w:r>
      <w:r w:rsidRPr="007C3D19" w:rsidR="007C3D19">
        <w:rPr>
          <w:i/>
          <w:lang w:val="en-GB"/>
        </w:rPr>
        <w:t>Historical Financial Information</w:t>
      </w:r>
      <w:r w:rsidRPr="009C48DA" w:rsidR="00427CB5">
        <w:rPr>
          <w:lang w:val="en-GB"/>
        </w:rPr>
        <w:t xml:space="preserve">)), no member of the Group entered into any related party transactions </w:t>
      </w:r>
      <w:r w:rsidRPr="009C48DA" w:rsidR="001D0D01">
        <w:rPr>
          <w:lang w:val="en-GB"/>
        </w:rPr>
        <w:t>from</w:t>
      </w:r>
      <w:r w:rsidRPr="009C48DA" w:rsidR="00427CB5">
        <w:rPr>
          <w:lang w:val="en-GB"/>
        </w:rPr>
        <w:t xml:space="preserve"> </w:t>
      </w:r>
      <w:r w:rsidRPr="009C48DA" w:rsidR="00596711">
        <w:rPr>
          <w:lang w:val="en-GB"/>
        </w:rPr>
        <w:t>1 January 2018</w:t>
      </w:r>
      <w:r w:rsidRPr="009C48DA" w:rsidR="006C47BE">
        <w:rPr>
          <w:lang w:val="en-GB"/>
        </w:rPr>
        <w:t xml:space="preserve"> </w:t>
      </w:r>
      <w:r w:rsidRPr="009C48DA" w:rsidR="001D0D01">
        <w:rPr>
          <w:lang w:val="en-GB"/>
        </w:rPr>
        <w:t>to</w:t>
      </w:r>
      <w:r w:rsidRPr="009C48DA" w:rsidR="00427CB5">
        <w:rPr>
          <w:lang w:val="en-GB"/>
        </w:rPr>
        <w:t xml:space="preserve"> the date of this Registration Document.</w:t>
      </w:r>
    </w:p>
    <w:p w:rsidRPr="009C48DA" w:rsidR="00DA7B9D" w:rsidP="00A357F1" w:rsidRDefault="00427CB5" w14:paraId="3A9BCAD2" w14:textId="5D8A49A5">
      <w:pPr>
        <w:pStyle w:val="Heading3"/>
        <w:keepNext/>
        <w:rPr>
          <w:lang w:val="en-GB"/>
        </w:rPr>
      </w:pPr>
      <w:bookmarkStart w:name="_Ref67961641" w:id="759"/>
      <w:r w:rsidRPr="009C48DA">
        <w:rPr>
          <w:lang w:val="en-GB"/>
        </w:rPr>
        <w:t>MATERIAL CONTRACTS</w:t>
      </w:r>
      <w:bookmarkEnd w:id="759"/>
    </w:p>
    <w:p w:rsidRPr="009C48DA" w:rsidR="00DA7B9D" w:rsidRDefault="00427CB5" w14:paraId="05C0AD3D" w14:textId="28D7F845">
      <w:pPr>
        <w:pStyle w:val="BlockText5SglJ"/>
        <w:rPr>
          <w:lang w:val="en-GB"/>
        </w:rPr>
      </w:pPr>
      <w:r w:rsidRPr="009C48DA">
        <w:rPr>
          <w:lang w:val="en-GB"/>
        </w:rPr>
        <w:t>Save as disclosed below, there are no contracts (other than contracts entered into in the ordinary course of business) to which the Company or another member of the Group is a party: (i) for the two years immediately preceding publication of this Registration Document, which are</w:t>
      </w:r>
      <w:r w:rsidRPr="009C48DA" w:rsidR="003B6EF5">
        <w:rPr>
          <w:lang w:val="en-GB"/>
        </w:rPr>
        <w:t>, or may be,</w:t>
      </w:r>
      <w:r w:rsidRPr="009C48DA">
        <w:rPr>
          <w:lang w:val="en-GB"/>
        </w:rPr>
        <w:t xml:space="preserve"> material to the</w:t>
      </w:r>
      <w:r w:rsidRPr="009C48DA" w:rsidR="006C47BE">
        <w:rPr>
          <w:lang w:val="en-GB"/>
        </w:rPr>
        <w:t xml:space="preserve"> Company or any member of </w:t>
      </w:r>
      <w:r w:rsidRPr="009C48DA" w:rsidR="00CE6E74">
        <w:rPr>
          <w:lang w:val="en-GB"/>
        </w:rPr>
        <w:t>the Group</w:t>
      </w:r>
      <w:r w:rsidRPr="009C48DA">
        <w:rPr>
          <w:lang w:val="en-GB"/>
        </w:rPr>
        <w:t>; or (ii) at any time, which contain any provision under which the</w:t>
      </w:r>
      <w:r w:rsidRPr="009C48DA" w:rsidR="006C47BE">
        <w:rPr>
          <w:lang w:val="en-GB"/>
        </w:rPr>
        <w:t xml:space="preserve"> </w:t>
      </w:r>
      <w:r w:rsidRPr="009C48DA" w:rsidR="006C47BE">
        <w:rPr>
          <w:lang w:val="en-GB"/>
        </w:rPr>
        <w:lastRenderedPageBreak/>
        <w:t xml:space="preserve">Company or any member of </w:t>
      </w:r>
      <w:r w:rsidRPr="009C48DA" w:rsidR="003B6EF5">
        <w:rPr>
          <w:lang w:val="en-GB"/>
        </w:rPr>
        <w:t>the Group</w:t>
      </w:r>
      <w:r w:rsidRPr="009C48DA">
        <w:rPr>
          <w:lang w:val="en-GB"/>
        </w:rPr>
        <w:t xml:space="preserve"> has any obligation or entitlement which is, or may b</w:t>
      </w:r>
      <w:r w:rsidRPr="009C48DA" w:rsidR="006C47BE">
        <w:rPr>
          <w:lang w:val="en-GB"/>
        </w:rPr>
        <w:t xml:space="preserve">e, material to </w:t>
      </w:r>
      <w:r w:rsidRPr="009C48DA" w:rsidR="003B6EF5">
        <w:rPr>
          <w:lang w:val="en-GB"/>
        </w:rPr>
        <w:t>the Group</w:t>
      </w:r>
      <w:r w:rsidRPr="009C48DA" w:rsidR="00430AAD">
        <w:rPr>
          <w:lang w:val="en-GB"/>
        </w:rPr>
        <w:t xml:space="preserve"> as of</w:t>
      </w:r>
      <w:r w:rsidRPr="009C48DA">
        <w:rPr>
          <w:lang w:val="en-GB"/>
        </w:rPr>
        <w:t xml:space="preserve"> the date of this Registration Document:</w:t>
      </w:r>
    </w:p>
    <w:p w:rsidRPr="009C48DA" w:rsidR="00E97923" w:rsidP="00E97923" w:rsidRDefault="00E97923" w14:paraId="098E3944" w14:textId="5D4E5D86">
      <w:pPr>
        <w:pStyle w:val="Heading4"/>
        <w:rPr>
          <w:rFonts w:cs="Times New Roman"/>
          <w:b/>
          <w:i/>
          <w:lang w:val="en-GB"/>
        </w:rPr>
      </w:pPr>
      <w:bookmarkStart w:name="_Ref74461431" w:id="760"/>
      <w:r w:rsidRPr="009C48DA">
        <w:rPr>
          <w:rFonts w:cs="Times New Roman"/>
          <w:b/>
          <w:i/>
          <w:lang w:val="en-GB"/>
        </w:rPr>
        <w:t>Dyal Investment Agreement</w:t>
      </w:r>
      <w:bookmarkEnd w:id="760"/>
    </w:p>
    <w:p w:rsidRPr="009C48DA" w:rsidR="00E97923" w:rsidP="00E97923" w:rsidRDefault="00E97923" w14:paraId="60F66021" w14:textId="72D4267D">
      <w:pPr>
        <w:pStyle w:val="BlockText5SglJ"/>
        <w:rPr>
          <w:lang w:val="en-GB"/>
        </w:rPr>
      </w:pPr>
      <w:r w:rsidRPr="009C48DA">
        <w:rPr>
          <w:lang w:val="en-GB"/>
        </w:rPr>
        <w:t xml:space="preserve">On 2 August 2018, </w:t>
      </w:r>
      <w:r w:rsidRPr="00CD2359" w:rsidR="00CD2359">
        <w:rPr>
          <w:lang w:val="en-GB"/>
        </w:rPr>
        <w:t>Bridgepoint Group Holdings Limited</w:t>
      </w:r>
      <w:r w:rsidRPr="009C48DA">
        <w:rPr>
          <w:lang w:val="en-GB"/>
        </w:rPr>
        <w:t xml:space="preserve"> (</w:t>
      </w:r>
      <w:r w:rsidRPr="009C48DA" w:rsidR="00684D00">
        <w:rPr>
          <w:lang w:val="en-GB"/>
        </w:rPr>
        <w:t>“</w:t>
      </w:r>
      <w:r w:rsidRPr="009C48DA">
        <w:rPr>
          <w:b/>
          <w:lang w:val="en-GB"/>
        </w:rPr>
        <w:t>BG</w:t>
      </w:r>
      <w:r w:rsidR="00CD2359">
        <w:rPr>
          <w:b/>
          <w:lang w:val="en-GB"/>
        </w:rPr>
        <w:t>H</w:t>
      </w:r>
      <w:r w:rsidRPr="009C48DA">
        <w:rPr>
          <w:b/>
          <w:lang w:val="en-GB"/>
        </w:rPr>
        <w:t>L</w:t>
      </w:r>
      <w:r w:rsidRPr="009C48DA" w:rsidR="00684D00">
        <w:rPr>
          <w:lang w:val="en-GB"/>
        </w:rPr>
        <w:t>”</w:t>
      </w:r>
      <w:r w:rsidRPr="009C48DA">
        <w:rPr>
          <w:lang w:val="en-GB"/>
        </w:rPr>
        <w:t>), the Company</w:t>
      </w:r>
      <w:r w:rsidRPr="009C48DA" w:rsidR="008616CC">
        <w:rPr>
          <w:lang w:val="en-GB"/>
        </w:rPr>
        <w:t>;</w:t>
      </w:r>
      <w:r w:rsidRPr="009C48DA">
        <w:rPr>
          <w:lang w:val="en-GB"/>
        </w:rPr>
        <w:t xml:space="preserve"> Atlantic Carry Investment LP (</w:t>
      </w:r>
      <w:r w:rsidRPr="009C48DA" w:rsidR="00684D00">
        <w:rPr>
          <w:lang w:val="en-GB"/>
        </w:rPr>
        <w:t>“</w:t>
      </w:r>
      <w:r w:rsidRPr="009C48DA">
        <w:rPr>
          <w:b/>
          <w:lang w:val="en-GB"/>
        </w:rPr>
        <w:t>Carry LP</w:t>
      </w:r>
      <w:r w:rsidRPr="009C48DA" w:rsidR="00684D00">
        <w:rPr>
          <w:lang w:val="en-GB"/>
        </w:rPr>
        <w:t>”</w:t>
      </w:r>
      <w:r w:rsidRPr="009C48DA" w:rsidR="008616CC">
        <w:rPr>
          <w:lang w:val="en-GB"/>
        </w:rPr>
        <w:t>);</w:t>
      </w:r>
      <w:r w:rsidRPr="009C48DA">
        <w:rPr>
          <w:lang w:val="en-GB"/>
        </w:rPr>
        <w:t xml:space="preserve"> </w:t>
      </w:r>
      <w:r w:rsidRPr="009C48DA" w:rsidR="008616CC">
        <w:rPr>
          <w:lang w:val="en-GB"/>
        </w:rPr>
        <w:t>Dyal Capital Partners IV (B) LP, as assigned to Dyal Capital Partners IV (C) LP (“</w:t>
      </w:r>
      <w:r w:rsidRPr="009C48DA" w:rsidR="008616CC">
        <w:rPr>
          <w:b/>
          <w:lang w:val="en-GB"/>
        </w:rPr>
        <w:t>D</w:t>
      </w:r>
      <w:r w:rsidRPr="009C48DA" w:rsidR="00EE2752">
        <w:rPr>
          <w:b/>
          <w:lang w:val="en-GB"/>
        </w:rPr>
        <w:t>yal </w:t>
      </w:r>
      <w:r w:rsidRPr="009C48DA" w:rsidR="008616CC">
        <w:rPr>
          <w:b/>
          <w:lang w:val="en-GB"/>
        </w:rPr>
        <w:t>(C)</w:t>
      </w:r>
      <w:r w:rsidRPr="009C48DA" w:rsidR="008616CC">
        <w:rPr>
          <w:lang w:val="en-GB"/>
        </w:rPr>
        <w:t xml:space="preserve">”) on 11 October 2018; </w:t>
      </w:r>
      <w:r w:rsidRPr="009C48DA">
        <w:rPr>
          <w:lang w:val="en-GB"/>
        </w:rPr>
        <w:t>and Dyal Capital Partners IV Holdings (B) LP</w:t>
      </w:r>
      <w:r w:rsidRPr="009C48DA" w:rsidR="008616CC">
        <w:rPr>
          <w:lang w:val="en-GB"/>
        </w:rPr>
        <w:t>, as assigned to Dyal IV Atlantic CI LLC (“</w:t>
      </w:r>
      <w:r w:rsidRPr="009C48DA" w:rsidR="008616CC">
        <w:rPr>
          <w:b/>
          <w:lang w:val="en-GB"/>
        </w:rPr>
        <w:t>Dyal Atlantic</w:t>
      </w:r>
      <w:r w:rsidRPr="009C48DA" w:rsidR="008616CC">
        <w:rPr>
          <w:lang w:val="en-GB"/>
        </w:rPr>
        <w:t xml:space="preserve">” and </w:t>
      </w:r>
      <w:r w:rsidRPr="009C48DA">
        <w:rPr>
          <w:lang w:val="en-GB"/>
        </w:rPr>
        <w:t>together</w:t>
      </w:r>
      <w:r w:rsidRPr="009C48DA" w:rsidR="008616CC">
        <w:rPr>
          <w:lang w:val="en-GB"/>
        </w:rPr>
        <w:t xml:space="preserve"> with Dyal (C),</w:t>
      </w:r>
      <w:r w:rsidRPr="009C48DA">
        <w:rPr>
          <w:lang w:val="en-GB"/>
        </w:rPr>
        <w:t xml:space="preserve"> </w:t>
      </w:r>
      <w:r w:rsidRPr="009C48DA" w:rsidR="00684D00">
        <w:rPr>
          <w:lang w:val="en-GB"/>
        </w:rPr>
        <w:t>“</w:t>
      </w:r>
      <w:r w:rsidRPr="009C48DA">
        <w:rPr>
          <w:b/>
          <w:lang w:val="en-GB"/>
        </w:rPr>
        <w:t>Dyal</w:t>
      </w:r>
      <w:r w:rsidRPr="009C48DA" w:rsidR="00684D00">
        <w:rPr>
          <w:lang w:val="en-GB"/>
        </w:rPr>
        <w:t>”</w:t>
      </w:r>
      <w:r w:rsidRPr="009C48DA">
        <w:rPr>
          <w:lang w:val="en-GB"/>
        </w:rPr>
        <w:t>)</w:t>
      </w:r>
      <w:r w:rsidRPr="009C48DA" w:rsidR="008616CC">
        <w:rPr>
          <w:lang w:val="en-GB"/>
        </w:rPr>
        <w:t xml:space="preserve"> on 10 December 2018,</w:t>
      </w:r>
      <w:r w:rsidRPr="009C48DA">
        <w:rPr>
          <w:lang w:val="en-GB"/>
        </w:rPr>
        <w:t xml:space="preserve"> entered into an Equity Subscription and Investment Agreement, as amended on 11 October 2018 </w:t>
      </w:r>
      <w:r w:rsidRPr="009C48DA" w:rsidR="008616CC">
        <w:rPr>
          <w:lang w:val="en-GB"/>
        </w:rPr>
        <w:t xml:space="preserve">and 10 December 2018 </w:t>
      </w:r>
      <w:r w:rsidRPr="009C48DA">
        <w:rPr>
          <w:lang w:val="en-GB"/>
        </w:rPr>
        <w:t xml:space="preserve">(the </w:t>
      </w:r>
      <w:r w:rsidRPr="009C48DA" w:rsidR="00684D00">
        <w:rPr>
          <w:lang w:val="en-GB"/>
        </w:rPr>
        <w:t>“</w:t>
      </w:r>
      <w:r w:rsidRPr="009C48DA">
        <w:rPr>
          <w:b/>
          <w:lang w:val="en-GB"/>
        </w:rPr>
        <w:t>Dyal Investment Agreement</w:t>
      </w:r>
      <w:r w:rsidRPr="009C48DA" w:rsidR="00684D00">
        <w:rPr>
          <w:lang w:val="en-GB"/>
        </w:rPr>
        <w:t>”</w:t>
      </w:r>
      <w:r w:rsidRPr="009C48DA">
        <w:rPr>
          <w:lang w:val="en-GB"/>
        </w:rPr>
        <w:t xml:space="preserve">). </w:t>
      </w:r>
    </w:p>
    <w:p w:rsidRPr="009C48DA" w:rsidR="00A364F3" w:rsidP="00E97923" w:rsidRDefault="00E97923" w14:paraId="6BFCBB2C" w14:textId="1000DC6E">
      <w:pPr>
        <w:pStyle w:val="BlockText5SglJ"/>
        <w:rPr>
          <w:lang w:val="en-GB"/>
        </w:rPr>
      </w:pPr>
      <w:r w:rsidRPr="009C48DA">
        <w:rPr>
          <w:lang w:val="en-GB"/>
        </w:rPr>
        <w:t>Under</w:t>
      </w:r>
      <w:r w:rsidRPr="009C48DA" w:rsidR="00A364F3">
        <w:rPr>
          <w:lang w:val="en-GB"/>
        </w:rPr>
        <w:t xml:space="preserve"> the Dyal Investment Agreement, Dyal agreed to subscribe for certain ordinary shares in </w:t>
      </w:r>
      <w:r w:rsidR="00CD2359">
        <w:rPr>
          <w:lang w:val="en-GB"/>
        </w:rPr>
        <w:t>BGHL</w:t>
      </w:r>
      <w:r w:rsidRPr="009C48DA" w:rsidR="00A364F3">
        <w:rPr>
          <w:lang w:val="en-GB"/>
        </w:rPr>
        <w:t xml:space="preserve"> representing 22.222 per cent of the issued share capital of </w:t>
      </w:r>
      <w:r w:rsidR="00CD2359">
        <w:rPr>
          <w:lang w:val="en-GB"/>
        </w:rPr>
        <w:t>BGHL</w:t>
      </w:r>
      <w:r w:rsidRPr="009C48DA" w:rsidR="00A364F3">
        <w:rPr>
          <w:lang w:val="en-GB"/>
        </w:rPr>
        <w:t xml:space="preserve"> and certain LP interests in Carry LP (“</w:t>
      </w:r>
      <w:r w:rsidRPr="009C48DA" w:rsidR="00A364F3">
        <w:rPr>
          <w:b/>
          <w:lang w:val="en-GB"/>
        </w:rPr>
        <w:t>Carry LP Interests</w:t>
      </w:r>
      <w:r w:rsidRPr="009C48DA" w:rsidR="00A364F3">
        <w:rPr>
          <w:lang w:val="en-GB"/>
        </w:rPr>
        <w:t>”), in eac</w:t>
      </w:r>
      <w:r w:rsidRPr="009C48DA" w:rsidR="00EA4A90">
        <w:rPr>
          <w:lang w:val="en-GB"/>
        </w:rPr>
        <w:t xml:space="preserve">h case for cash consideration. </w:t>
      </w:r>
      <w:r w:rsidRPr="009C48DA" w:rsidR="00A364F3">
        <w:rPr>
          <w:lang w:val="en-GB"/>
        </w:rPr>
        <w:t>The Carry LP Interests g</w:t>
      </w:r>
      <w:r w:rsidRPr="009C48DA" w:rsidR="00346105">
        <w:rPr>
          <w:lang w:val="en-GB"/>
        </w:rPr>
        <w:t>i</w:t>
      </w:r>
      <w:r w:rsidRPr="009C48DA" w:rsidR="00A364F3">
        <w:rPr>
          <w:lang w:val="en-GB"/>
        </w:rPr>
        <w:t xml:space="preserve">ve Dyal the right to receive 8.889 per cent of the aggregate </w:t>
      </w:r>
      <w:r w:rsidRPr="009C48DA" w:rsidR="00CC08F7">
        <w:rPr>
          <w:lang w:val="en-GB"/>
        </w:rPr>
        <w:t>c</w:t>
      </w:r>
      <w:r w:rsidRPr="009C48DA" w:rsidR="00A364F3">
        <w:rPr>
          <w:lang w:val="en-GB"/>
        </w:rPr>
        <w:t xml:space="preserve">arried </w:t>
      </w:r>
      <w:r w:rsidRPr="009C48DA" w:rsidR="00CC08F7">
        <w:rPr>
          <w:lang w:val="en-GB"/>
        </w:rPr>
        <w:t>i</w:t>
      </w:r>
      <w:r w:rsidRPr="009C48DA" w:rsidR="00A364F3">
        <w:rPr>
          <w:lang w:val="en-GB"/>
        </w:rPr>
        <w:t xml:space="preserve">nterest </w:t>
      </w:r>
      <w:r w:rsidRPr="009C48DA" w:rsidR="00CC08F7">
        <w:rPr>
          <w:lang w:val="en-GB"/>
        </w:rPr>
        <w:t>p</w:t>
      </w:r>
      <w:r w:rsidRPr="009C48DA" w:rsidR="00A364F3">
        <w:rPr>
          <w:lang w:val="en-GB"/>
        </w:rPr>
        <w:t>roceeds in</w:t>
      </w:r>
      <w:r w:rsidRPr="009C48DA" w:rsidR="00970636">
        <w:rPr>
          <w:lang w:val="en-GB"/>
        </w:rPr>
        <w:t xml:space="preserve"> </w:t>
      </w:r>
      <w:r w:rsidRPr="009C48DA" w:rsidR="00AE5EEE">
        <w:rPr>
          <w:lang w:val="en-GB"/>
        </w:rPr>
        <w:t xml:space="preserve">Bridgepoint </w:t>
      </w:r>
      <w:r w:rsidRPr="009C48DA" w:rsidR="00970636">
        <w:rPr>
          <w:lang w:val="en-GB"/>
        </w:rPr>
        <w:t xml:space="preserve">Europe IV, </w:t>
      </w:r>
      <w:r w:rsidRPr="009C48DA" w:rsidR="00AE5EEE">
        <w:rPr>
          <w:lang w:val="en-GB"/>
        </w:rPr>
        <w:t xml:space="preserve">Bridgepoint </w:t>
      </w:r>
      <w:r w:rsidRPr="009C48DA" w:rsidR="00970636">
        <w:rPr>
          <w:lang w:val="en-GB"/>
        </w:rPr>
        <w:t xml:space="preserve">Growth I, </w:t>
      </w:r>
      <w:r w:rsidRPr="009C48DA" w:rsidR="00AE5EEE">
        <w:rPr>
          <w:lang w:val="en-GB"/>
        </w:rPr>
        <w:t xml:space="preserve">Bridgepoint </w:t>
      </w:r>
      <w:r w:rsidRPr="009C48DA" w:rsidR="00970636">
        <w:rPr>
          <w:lang w:val="en-GB"/>
        </w:rPr>
        <w:t xml:space="preserve">Europe V and </w:t>
      </w:r>
      <w:r w:rsidRPr="009C48DA" w:rsidR="00AE5EEE">
        <w:rPr>
          <w:lang w:val="en-GB"/>
        </w:rPr>
        <w:t xml:space="preserve">Bridgepoint </w:t>
      </w:r>
      <w:r w:rsidRPr="009C48DA" w:rsidR="00A364F3">
        <w:rPr>
          <w:lang w:val="en-GB"/>
        </w:rPr>
        <w:t xml:space="preserve">Development Capital III as well as 8.889 per cent of the </w:t>
      </w:r>
      <w:r w:rsidRPr="009C48DA" w:rsidR="00CC08F7">
        <w:rPr>
          <w:lang w:val="en-GB"/>
        </w:rPr>
        <w:t xml:space="preserve">carried interest proceeds </w:t>
      </w:r>
      <w:r w:rsidRPr="009C48DA" w:rsidR="00A364F3">
        <w:rPr>
          <w:lang w:val="en-GB"/>
        </w:rPr>
        <w:t xml:space="preserve">of </w:t>
      </w:r>
      <w:r w:rsidRPr="009C48DA" w:rsidR="00970636">
        <w:rPr>
          <w:lang w:val="en-GB"/>
        </w:rPr>
        <w:t xml:space="preserve">future </w:t>
      </w:r>
      <w:r w:rsidRPr="009C48DA" w:rsidR="00AE5EEE">
        <w:rPr>
          <w:lang w:val="en-GB"/>
        </w:rPr>
        <w:t xml:space="preserve">Bridgepoint </w:t>
      </w:r>
      <w:r w:rsidRPr="009C48DA" w:rsidR="00A364F3">
        <w:rPr>
          <w:lang w:val="en-GB"/>
        </w:rPr>
        <w:t>Funds</w:t>
      </w:r>
      <w:r w:rsidRPr="009C48DA" w:rsidR="00EA4A90">
        <w:rPr>
          <w:lang w:val="en-GB"/>
        </w:rPr>
        <w:t xml:space="preserve">. </w:t>
      </w:r>
      <w:r w:rsidRPr="009C48DA" w:rsidR="00A364F3">
        <w:rPr>
          <w:lang w:val="en-GB"/>
        </w:rPr>
        <w:t>£114,300,000 of the cash consideration remains outstanding and is due to be p</w:t>
      </w:r>
      <w:r w:rsidRPr="009C48DA" w:rsidR="008616CC">
        <w:rPr>
          <w:lang w:val="en-GB"/>
        </w:rPr>
        <w:t xml:space="preserve">aid in full on 12 December 2021 (of which £30,000,000 was originally intended to be paid to the existing shareholders of the Company). Prior to any potential Admission, it is expected that </w:t>
      </w:r>
      <w:r w:rsidR="00CD2359">
        <w:rPr>
          <w:lang w:val="en-GB"/>
        </w:rPr>
        <w:t>BGHL</w:t>
      </w:r>
      <w:r w:rsidRPr="009C48DA" w:rsidR="008616CC">
        <w:rPr>
          <w:lang w:val="en-GB"/>
        </w:rPr>
        <w:t xml:space="preserve"> will distribute to the Company £30,000,000, to be sourced from the BAH Revolving Credit </w:t>
      </w:r>
      <w:r w:rsidRPr="009C48DA" w:rsidR="00CF42AF">
        <w:rPr>
          <w:lang w:val="en-GB"/>
        </w:rPr>
        <w:t xml:space="preserve">Facility and/or existing cash. </w:t>
      </w:r>
      <w:r w:rsidRPr="009C48DA" w:rsidR="008616CC">
        <w:rPr>
          <w:lang w:val="en-GB"/>
        </w:rPr>
        <w:t>In turn, the Company is expected to use and/or distribute such funds to its existing shareholders on or prior to such potential Admission.</w:t>
      </w:r>
    </w:p>
    <w:p w:rsidRPr="009C48DA" w:rsidR="00E97923" w:rsidP="00E97923" w:rsidRDefault="00E97923" w14:paraId="6024B762" w14:textId="77777777">
      <w:pPr>
        <w:pStyle w:val="BlockText5SglJ"/>
        <w:rPr>
          <w:lang w:val="en-GB"/>
        </w:rPr>
      </w:pPr>
      <w:r w:rsidRPr="009C48DA">
        <w:rPr>
          <w:lang w:val="en-GB"/>
        </w:rPr>
        <w:t xml:space="preserve">The Dyal Investment Agreement contains, among others, the following provisions: </w:t>
      </w:r>
    </w:p>
    <w:p w:rsidRPr="009C48DA" w:rsidR="00E97923" w:rsidP="008616CC" w:rsidRDefault="00E97923" w14:paraId="7B9C0436" w14:textId="2B6FB18C">
      <w:pPr>
        <w:pStyle w:val="Heading5"/>
        <w:numPr>
          <w:ilvl w:val="4"/>
          <w:numId w:val="30"/>
        </w:numPr>
        <w:rPr>
          <w:lang w:val="en-GB"/>
        </w:rPr>
      </w:pPr>
      <w:r w:rsidRPr="009C48DA">
        <w:rPr>
          <w:lang w:val="en-GB"/>
        </w:rPr>
        <w:t xml:space="preserve">a pre-emptive right for Dyal, should any </w:t>
      </w:r>
      <w:r w:rsidRPr="009C48DA" w:rsidR="00AE5EEE">
        <w:rPr>
          <w:lang w:val="en-GB"/>
        </w:rPr>
        <w:t xml:space="preserve">Bridgepoint </w:t>
      </w:r>
      <w:r w:rsidRPr="009C48DA">
        <w:rPr>
          <w:lang w:val="en-GB"/>
        </w:rPr>
        <w:t xml:space="preserve">company or founder partner </w:t>
      </w:r>
      <w:r w:rsidRPr="009C48DA" w:rsidR="008616CC">
        <w:rPr>
          <w:lang w:val="en-GB"/>
        </w:rPr>
        <w:t xml:space="preserve">propose to </w:t>
      </w:r>
      <w:r w:rsidRPr="009C48DA">
        <w:rPr>
          <w:lang w:val="en-GB"/>
        </w:rPr>
        <w:t xml:space="preserve">issue any equity interest to any person (other than a </w:t>
      </w:r>
      <w:r w:rsidRPr="009C48DA" w:rsidR="00AE5EEE">
        <w:rPr>
          <w:lang w:val="en-GB"/>
        </w:rPr>
        <w:t xml:space="preserve">Bridgepoint </w:t>
      </w:r>
      <w:r w:rsidRPr="009C48DA">
        <w:rPr>
          <w:lang w:val="en-GB"/>
        </w:rPr>
        <w:t xml:space="preserve">company), to maintain its equity percentage holding in </w:t>
      </w:r>
      <w:r w:rsidR="00CD2359">
        <w:rPr>
          <w:lang w:val="en-GB"/>
        </w:rPr>
        <w:t>BGHL</w:t>
      </w:r>
      <w:r w:rsidRPr="009C48DA">
        <w:rPr>
          <w:lang w:val="en-GB"/>
        </w:rPr>
        <w:t>;</w:t>
      </w:r>
    </w:p>
    <w:p w:rsidRPr="009C48DA" w:rsidR="00E97923" w:rsidP="006B1C94" w:rsidRDefault="00E97923" w14:paraId="2B5A951D" w14:textId="0019D53B">
      <w:pPr>
        <w:pStyle w:val="Heading5"/>
        <w:numPr>
          <w:ilvl w:val="4"/>
          <w:numId w:val="30"/>
        </w:numPr>
        <w:rPr>
          <w:lang w:val="en-GB"/>
        </w:rPr>
      </w:pPr>
      <w:r w:rsidRPr="009C48DA">
        <w:rPr>
          <w:lang w:val="en-GB"/>
        </w:rPr>
        <w:t xml:space="preserve">a tag-along right for Dyal to participate on the same terms and conditions in respect of (i) </w:t>
      </w:r>
      <w:r w:rsidRPr="009C48DA" w:rsidR="008616CC">
        <w:rPr>
          <w:lang w:val="en-GB"/>
        </w:rPr>
        <w:t>a proposed</w:t>
      </w:r>
      <w:r w:rsidRPr="009C48DA">
        <w:rPr>
          <w:lang w:val="en-GB"/>
        </w:rPr>
        <w:t xml:space="preserve"> transfer by the Company or any other holder of </w:t>
      </w:r>
      <w:r w:rsidR="00CD2359">
        <w:rPr>
          <w:lang w:val="en-GB"/>
        </w:rPr>
        <w:t>BGHL</w:t>
      </w:r>
      <w:r w:rsidRPr="009C48DA">
        <w:rPr>
          <w:lang w:val="en-GB"/>
        </w:rPr>
        <w:t xml:space="preserve"> shares or other equity interests; or (ii) the transfer of the Company</w:t>
      </w:r>
      <w:r w:rsidRPr="009C48DA" w:rsidR="000737A5">
        <w:rPr>
          <w:lang w:val="en-GB"/>
        </w:rPr>
        <w:t>’</w:t>
      </w:r>
      <w:r w:rsidRPr="009C48DA">
        <w:rPr>
          <w:lang w:val="en-GB"/>
        </w:rPr>
        <w:t>s shares to a third party. A transfer or series of transfers that would result in the Compan</w:t>
      </w:r>
      <w:r w:rsidRPr="009C48DA" w:rsidR="00917735">
        <w:rPr>
          <w:lang w:val="en-GB"/>
        </w:rPr>
        <w:t>y no longer holding at least 50 per cent</w:t>
      </w:r>
      <w:r w:rsidRPr="009C48DA">
        <w:rPr>
          <w:lang w:val="en-GB"/>
        </w:rPr>
        <w:t xml:space="preserve"> of the </w:t>
      </w:r>
      <w:r w:rsidR="00CD2359">
        <w:rPr>
          <w:lang w:val="en-GB"/>
        </w:rPr>
        <w:t>BGHL</w:t>
      </w:r>
      <w:r w:rsidRPr="009C48DA">
        <w:rPr>
          <w:lang w:val="en-GB"/>
        </w:rPr>
        <w:t xml:space="preserve"> shares </w:t>
      </w:r>
      <w:r w:rsidRPr="009C48DA" w:rsidR="008616CC">
        <w:rPr>
          <w:lang w:val="en-GB"/>
        </w:rPr>
        <w:t xml:space="preserve">then in issue </w:t>
      </w:r>
      <w:r w:rsidRPr="009C48DA">
        <w:rPr>
          <w:lang w:val="en-GB"/>
        </w:rPr>
        <w:t>shall grant</w:t>
      </w:r>
      <w:r w:rsidRPr="009C48DA" w:rsidR="00917735">
        <w:rPr>
          <w:lang w:val="en-GB"/>
        </w:rPr>
        <w:t xml:space="preserve"> Dyal the right to </w:t>
      </w:r>
      <w:r w:rsidRPr="009C48DA" w:rsidR="008616CC">
        <w:rPr>
          <w:lang w:val="en-GB"/>
        </w:rPr>
        <w:t>sell</w:t>
      </w:r>
      <w:r w:rsidRPr="009C48DA" w:rsidR="00917735">
        <w:rPr>
          <w:lang w:val="en-GB"/>
        </w:rPr>
        <w:t xml:space="preserve"> 100 per cent</w:t>
      </w:r>
      <w:r w:rsidRPr="009C48DA">
        <w:rPr>
          <w:lang w:val="en-GB"/>
        </w:rPr>
        <w:t xml:space="preserve"> of the shares Dyal holds in </w:t>
      </w:r>
      <w:r w:rsidR="00CD2359">
        <w:rPr>
          <w:lang w:val="en-GB"/>
        </w:rPr>
        <w:t>BGHL</w:t>
      </w:r>
      <w:r w:rsidRPr="009C48DA">
        <w:rPr>
          <w:lang w:val="en-GB"/>
        </w:rPr>
        <w:t xml:space="preserve"> and Carry LP Interests in such tag-along sale.</w:t>
      </w:r>
      <w:r w:rsidRPr="009C48DA" w:rsidR="00561C09">
        <w:rPr>
          <w:lang w:val="en-GB"/>
        </w:rPr>
        <w:t xml:space="preserve"> Otherwise the sale is on a </w:t>
      </w:r>
      <w:r w:rsidRPr="009C48DA" w:rsidR="00561C09">
        <w:rPr>
          <w:i/>
          <w:lang w:val="en-GB"/>
        </w:rPr>
        <w:t xml:space="preserve">pro </w:t>
      </w:r>
      <w:r w:rsidRPr="009C48DA">
        <w:rPr>
          <w:i/>
          <w:lang w:val="en-GB"/>
        </w:rPr>
        <w:t>rata</w:t>
      </w:r>
      <w:r w:rsidRPr="009C48DA">
        <w:rPr>
          <w:lang w:val="en-GB"/>
        </w:rPr>
        <w:t xml:space="preserve"> basis; </w:t>
      </w:r>
    </w:p>
    <w:p w:rsidRPr="009C48DA" w:rsidR="00E97923" w:rsidP="006B1C94" w:rsidRDefault="00E97923" w14:paraId="4D173900" w14:textId="5AF89B0C">
      <w:pPr>
        <w:pStyle w:val="Heading5"/>
        <w:numPr>
          <w:ilvl w:val="4"/>
          <w:numId w:val="30"/>
        </w:numPr>
        <w:rPr>
          <w:lang w:val="en-GB"/>
        </w:rPr>
      </w:pPr>
      <w:r w:rsidRPr="009C48DA">
        <w:rPr>
          <w:lang w:val="en-GB"/>
        </w:rPr>
        <w:t xml:space="preserve">a drag-along right for </w:t>
      </w:r>
      <w:r w:rsidR="00CD2359">
        <w:rPr>
          <w:lang w:val="en-GB"/>
        </w:rPr>
        <w:t>BGHL</w:t>
      </w:r>
      <w:r w:rsidRPr="009C48DA">
        <w:rPr>
          <w:lang w:val="en-GB"/>
        </w:rPr>
        <w:t xml:space="preserve"> to drag Dyal into a sale in the same proportion and on the same terms and conditions as a seller of </w:t>
      </w:r>
      <w:r w:rsidR="00CD2359">
        <w:rPr>
          <w:lang w:val="en-GB"/>
        </w:rPr>
        <w:t>BGHL</w:t>
      </w:r>
      <w:r w:rsidRPr="009C48DA">
        <w:rPr>
          <w:lang w:val="en-GB"/>
        </w:rPr>
        <w:t xml:space="preserve"> shares if the Company or any other holder of </w:t>
      </w:r>
      <w:r w:rsidR="00CD2359">
        <w:rPr>
          <w:lang w:val="en-GB"/>
        </w:rPr>
        <w:t>BGHL</w:t>
      </w:r>
      <w:r w:rsidRPr="009C48DA">
        <w:rPr>
          <w:lang w:val="en-GB"/>
        </w:rPr>
        <w:t xml:space="preserve"> shares decides to transfer </w:t>
      </w:r>
      <w:r w:rsidR="00CD2359">
        <w:rPr>
          <w:lang w:val="en-GB"/>
        </w:rPr>
        <w:t>BGHL</w:t>
      </w:r>
      <w:r w:rsidRPr="009C48DA">
        <w:rPr>
          <w:lang w:val="en-GB"/>
        </w:rPr>
        <w:t xml:space="preserve"> shares or other equity interests to a third party which results in such third party having the right, directly or ind</w:t>
      </w:r>
      <w:r w:rsidRPr="009C48DA" w:rsidR="00917735">
        <w:rPr>
          <w:lang w:val="en-GB"/>
        </w:rPr>
        <w:t>irectly, to receive at least 25 per cent</w:t>
      </w:r>
      <w:r w:rsidRPr="009C48DA">
        <w:rPr>
          <w:lang w:val="en-GB"/>
        </w:rPr>
        <w:t xml:space="preserve"> of the </w:t>
      </w:r>
      <w:r w:rsidR="00CD2359">
        <w:rPr>
          <w:lang w:val="en-GB"/>
        </w:rPr>
        <w:t>BGHL</w:t>
      </w:r>
      <w:r w:rsidRPr="009C48DA">
        <w:rPr>
          <w:lang w:val="en-GB"/>
        </w:rPr>
        <w:t xml:space="preserve"> shares </w:t>
      </w:r>
      <w:r w:rsidRPr="009C48DA" w:rsidR="008616CC">
        <w:rPr>
          <w:lang w:val="en-GB"/>
        </w:rPr>
        <w:t xml:space="preserve">then </w:t>
      </w:r>
      <w:r w:rsidRPr="009C48DA">
        <w:rPr>
          <w:lang w:val="en-GB"/>
        </w:rPr>
        <w:t xml:space="preserve">in issue; </w:t>
      </w:r>
    </w:p>
    <w:p w:rsidRPr="009C48DA" w:rsidR="00E97923" w:rsidP="008616CC" w:rsidRDefault="00E97923" w14:paraId="0EF28913" w14:textId="3DBC6A92">
      <w:pPr>
        <w:pStyle w:val="Heading5"/>
        <w:rPr>
          <w:lang w:val="en-GB"/>
        </w:rPr>
      </w:pPr>
      <w:r w:rsidRPr="009C48DA">
        <w:rPr>
          <w:lang w:val="en-GB"/>
        </w:rPr>
        <w:t>an obligation (subject to law</w:t>
      </w:r>
      <w:r w:rsidRPr="009C48DA" w:rsidR="008616CC">
        <w:rPr>
          <w:lang w:val="en-GB"/>
        </w:rPr>
        <w:t xml:space="preserve">, the </w:t>
      </w:r>
      <w:r w:rsidR="00CD2359">
        <w:rPr>
          <w:lang w:val="en-GB"/>
        </w:rPr>
        <w:t>BGHL</w:t>
      </w:r>
      <w:r w:rsidRPr="009C48DA" w:rsidR="008616CC">
        <w:rPr>
          <w:lang w:val="en-GB"/>
        </w:rPr>
        <w:t xml:space="preserve"> board’s fiduciary duties and the availability of distributable reserves in accordance with the U.K. Companies Act 2006</w:t>
      </w:r>
      <w:r w:rsidRPr="009C48DA">
        <w:rPr>
          <w:lang w:val="en-GB"/>
        </w:rPr>
        <w:t xml:space="preserve">) for </w:t>
      </w:r>
      <w:r w:rsidR="00CD2359">
        <w:rPr>
          <w:lang w:val="en-GB"/>
        </w:rPr>
        <w:t>BGHL</w:t>
      </w:r>
      <w:r w:rsidRPr="009C48DA">
        <w:rPr>
          <w:lang w:val="en-GB"/>
        </w:rPr>
        <w:t xml:space="preserve"> to distribute cash twice yearly to shareholders;</w:t>
      </w:r>
    </w:p>
    <w:p w:rsidRPr="009C48DA" w:rsidR="00E97923" w:rsidP="00AE0D88" w:rsidRDefault="00A7038F" w14:paraId="098149BD" w14:textId="2CE6E519">
      <w:pPr>
        <w:pStyle w:val="Heading5"/>
        <w:rPr>
          <w:lang w:val="en-GB"/>
        </w:rPr>
      </w:pPr>
      <w:r w:rsidRPr="009C48DA">
        <w:rPr>
          <w:lang w:val="en-GB"/>
        </w:rPr>
        <w:t xml:space="preserve">an obligation on Dyal </w:t>
      </w:r>
      <w:r w:rsidRPr="009C48DA" w:rsidR="008616CC">
        <w:rPr>
          <w:lang w:val="en-GB"/>
        </w:rPr>
        <w:t xml:space="preserve">Atlantic </w:t>
      </w:r>
      <w:r w:rsidRPr="009C48DA">
        <w:rPr>
          <w:lang w:val="en-GB"/>
        </w:rPr>
        <w:t xml:space="preserve">to fund </w:t>
      </w:r>
      <w:r w:rsidRPr="009C48DA" w:rsidR="00917735">
        <w:rPr>
          <w:lang w:val="en-GB"/>
        </w:rPr>
        <w:t>8.889 per cent</w:t>
      </w:r>
      <w:r w:rsidRPr="009C48DA" w:rsidR="00E97923">
        <w:rPr>
          <w:lang w:val="en-GB"/>
        </w:rPr>
        <w:t xml:space="preserve"> of carried inte</w:t>
      </w:r>
      <w:r w:rsidR="00500C4A">
        <w:rPr>
          <w:lang w:val="en-GB"/>
        </w:rPr>
        <w:t>rest contributions by partners;</w:t>
      </w:r>
    </w:p>
    <w:p w:rsidRPr="009C48DA" w:rsidR="00E97923" w:rsidP="00AE0D88" w:rsidRDefault="00E97923" w14:paraId="3FF6951A" w14:textId="28B54ABB">
      <w:pPr>
        <w:pStyle w:val="Heading5"/>
        <w:rPr>
          <w:lang w:val="en-GB"/>
        </w:rPr>
      </w:pPr>
      <w:r w:rsidRPr="009C48DA">
        <w:rPr>
          <w:lang w:val="en-GB"/>
        </w:rPr>
        <w:t>certain</w:t>
      </w:r>
      <w:r w:rsidRPr="009C48DA" w:rsidR="00805D67">
        <w:rPr>
          <w:lang w:val="en-GB"/>
        </w:rPr>
        <w:t xml:space="preserve"> consent rights to protect Dyal’</w:t>
      </w:r>
      <w:r w:rsidRPr="009C48DA">
        <w:rPr>
          <w:lang w:val="en-GB"/>
        </w:rPr>
        <w:t xml:space="preserve">s interests in </w:t>
      </w:r>
      <w:r w:rsidR="00CD2359">
        <w:rPr>
          <w:lang w:val="en-GB"/>
        </w:rPr>
        <w:t>BGHL</w:t>
      </w:r>
      <w:r w:rsidRPr="009C48DA">
        <w:rPr>
          <w:lang w:val="en-GB"/>
        </w:rPr>
        <w:t xml:space="preserve"> and Carry LP;</w:t>
      </w:r>
    </w:p>
    <w:p w:rsidRPr="009C48DA" w:rsidR="00E97923" w:rsidP="00AE0D88" w:rsidRDefault="00E97923" w14:paraId="71C2DE2F" w14:textId="3C6358DA">
      <w:pPr>
        <w:pStyle w:val="Heading5"/>
        <w:rPr>
          <w:lang w:val="en-GB"/>
        </w:rPr>
      </w:pPr>
      <w:r w:rsidRPr="009C48DA">
        <w:rPr>
          <w:lang w:val="en-GB"/>
        </w:rPr>
        <w:t>information rights for Dyal</w:t>
      </w:r>
      <w:r w:rsidRPr="009C48DA" w:rsidR="00EC2ED5">
        <w:rPr>
          <w:lang w:val="en-GB"/>
        </w:rPr>
        <w:t>;</w:t>
      </w:r>
    </w:p>
    <w:p w:rsidRPr="009C48DA" w:rsidR="00E97923" w:rsidP="00AE0D88" w:rsidRDefault="00E97923" w14:paraId="5BD2A5D0" w14:textId="54F60859">
      <w:pPr>
        <w:pStyle w:val="Heading5"/>
        <w:rPr>
          <w:lang w:val="en-GB"/>
        </w:rPr>
      </w:pPr>
      <w:r w:rsidRPr="009C48DA">
        <w:rPr>
          <w:lang w:val="en-GB"/>
        </w:rPr>
        <w:t xml:space="preserve">warranties and indemnities in favour of Dyal relating to the </w:t>
      </w:r>
      <w:r w:rsidRPr="009C48DA" w:rsidR="00AE5EEE">
        <w:rPr>
          <w:lang w:val="en-GB"/>
        </w:rPr>
        <w:t xml:space="preserve">Bridgepoint </w:t>
      </w:r>
      <w:r w:rsidRPr="009C48DA">
        <w:rPr>
          <w:lang w:val="en-GB"/>
        </w:rPr>
        <w:t>business;</w:t>
      </w:r>
    </w:p>
    <w:p w:rsidRPr="009C48DA" w:rsidR="00E97923" w:rsidP="00AE0D88" w:rsidRDefault="00E97923" w14:paraId="3B2FF667" w14:textId="3772C210">
      <w:pPr>
        <w:pStyle w:val="Heading5"/>
        <w:rPr>
          <w:lang w:val="en-GB"/>
        </w:rPr>
      </w:pPr>
      <w:r w:rsidRPr="009C48DA">
        <w:rPr>
          <w:lang w:val="en-GB"/>
        </w:rPr>
        <w:t xml:space="preserve">limitations on the remuneration of </w:t>
      </w:r>
      <w:r w:rsidRPr="009C48DA" w:rsidR="00AE5EEE">
        <w:rPr>
          <w:lang w:val="en-GB"/>
        </w:rPr>
        <w:t xml:space="preserve">Bridgepoint </w:t>
      </w:r>
      <w:r w:rsidRPr="009C48DA">
        <w:rPr>
          <w:lang w:val="en-GB"/>
        </w:rPr>
        <w:t>partners; and</w:t>
      </w:r>
    </w:p>
    <w:p w:rsidRPr="009C48DA" w:rsidR="00D63FC9" w:rsidP="00AE0D88" w:rsidRDefault="00E97923" w14:paraId="5AFF3015" w14:textId="6E9A3FC3">
      <w:pPr>
        <w:pStyle w:val="Heading5"/>
        <w:rPr>
          <w:lang w:val="en-GB"/>
        </w:rPr>
      </w:pPr>
      <w:r w:rsidRPr="009C48DA">
        <w:rPr>
          <w:lang w:val="en-GB"/>
        </w:rPr>
        <w:t xml:space="preserve">restrictions on the transfer of </w:t>
      </w:r>
      <w:r w:rsidR="00CD2359">
        <w:rPr>
          <w:lang w:val="en-GB"/>
        </w:rPr>
        <w:t>BGHL</w:t>
      </w:r>
      <w:r w:rsidRPr="009C48DA">
        <w:rPr>
          <w:lang w:val="en-GB"/>
        </w:rPr>
        <w:t xml:space="preserve"> shares and Carry LP interests by Dyal.</w:t>
      </w:r>
    </w:p>
    <w:p w:rsidRPr="009C48DA" w:rsidR="00EF1E72" w:rsidP="00EF1E72" w:rsidRDefault="00EF1E72" w14:paraId="705C4A72" w14:textId="5962D894">
      <w:pPr>
        <w:pStyle w:val="Heading5"/>
        <w:numPr>
          <w:ilvl w:val="0"/>
          <w:numId w:val="0"/>
        </w:numPr>
        <w:ind w:left="720"/>
        <w:rPr>
          <w:lang w:val="en-GB"/>
        </w:rPr>
      </w:pPr>
      <w:r w:rsidRPr="009C48DA">
        <w:rPr>
          <w:lang w:val="en-GB"/>
        </w:rPr>
        <w:lastRenderedPageBreak/>
        <w:t>Should the Company proceed with a potential Admission, this arrangement is expected to be appropriately amended.</w:t>
      </w:r>
    </w:p>
    <w:p w:rsidRPr="009C48DA" w:rsidR="001413B4" w:rsidP="001413B4" w:rsidRDefault="001413B4" w14:paraId="04DD6E4A" w14:textId="77777777">
      <w:pPr>
        <w:pStyle w:val="Heading4"/>
        <w:keepNext/>
        <w:tabs>
          <w:tab w:val="clear" w:pos="720"/>
        </w:tabs>
        <w:rPr>
          <w:b/>
          <w:lang w:val="en-GB"/>
        </w:rPr>
      </w:pPr>
      <w:bookmarkStart w:name="_Ref75093144" w:id="761"/>
      <w:bookmarkStart w:name="_Ref71146289" w:id="762"/>
      <w:r w:rsidRPr="009C48DA">
        <w:rPr>
          <w:b/>
          <w:lang w:val="en-GB"/>
        </w:rPr>
        <w:t>EQT Share Purchase Agreement</w:t>
      </w:r>
      <w:bookmarkEnd w:id="761"/>
    </w:p>
    <w:p w:rsidRPr="009C48DA" w:rsidR="00EC2ED5" w:rsidP="00261E8C" w:rsidRDefault="00EC2ED5" w14:paraId="09B00476" w14:textId="380B3307">
      <w:pPr>
        <w:pStyle w:val="BlockText5SglJ"/>
        <w:rPr>
          <w:lang w:val="en-GB"/>
        </w:rPr>
      </w:pPr>
      <w:r w:rsidRPr="009C48DA">
        <w:rPr>
          <w:lang w:val="en-GB"/>
        </w:rPr>
        <w:t xml:space="preserve">On 14 June 2020, </w:t>
      </w:r>
      <w:r w:rsidRPr="009C48DA" w:rsidR="00AE5EEE">
        <w:rPr>
          <w:lang w:val="en-GB"/>
        </w:rPr>
        <w:t xml:space="preserve">Bridgepoint </w:t>
      </w:r>
      <w:r w:rsidRPr="009C48DA">
        <w:rPr>
          <w:lang w:val="en-GB"/>
        </w:rPr>
        <w:t>Advisers Holdings (as purchaser) entered into a sale and purchase agreement with various companies affiliated with or managed or advised by EQT (“</w:t>
      </w:r>
      <w:r w:rsidRPr="009C48DA">
        <w:rPr>
          <w:b/>
          <w:lang w:val="en-GB"/>
        </w:rPr>
        <w:t>EQT Sellers</w:t>
      </w:r>
      <w:r w:rsidRPr="009C48DA">
        <w:rPr>
          <w:lang w:val="en-GB"/>
        </w:rPr>
        <w:t>”) in relation to the acquisition of various shares, partnership interests and asset backed notes which together comprise the businesses and assets of EQT’s credit funds business (“</w:t>
      </w:r>
      <w:r w:rsidRPr="009C48DA">
        <w:rPr>
          <w:b/>
          <w:lang w:val="en-GB"/>
        </w:rPr>
        <w:t>EQT Credit SPA</w:t>
      </w:r>
      <w:r w:rsidRPr="009C48DA">
        <w:rPr>
          <w:lang w:val="en-GB"/>
        </w:rPr>
        <w:t>”). The acquisition was completed on 23 October 2020 (the “</w:t>
      </w:r>
      <w:r w:rsidRPr="009C48DA">
        <w:rPr>
          <w:b/>
          <w:lang w:val="en-GB"/>
        </w:rPr>
        <w:t>EQT Completion Date</w:t>
      </w:r>
      <w:r w:rsidRPr="009C48DA">
        <w:rPr>
          <w:lang w:val="en-GB"/>
        </w:rPr>
        <w:t>”).</w:t>
      </w:r>
    </w:p>
    <w:p w:rsidRPr="009C48DA" w:rsidR="00EC2ED5" w:rsidP="00261E8C" w:rsidRDefault="00EC2ED5" w14:paraId="0116284F" w14:textId="514084B7">
      <w:pPr>
        <w:pStyle w:val="BlockText5SglJ"/>
        <w:rPr>
          <w:lang w:val="en-GB"/>
        </w:rPr>
      </w:pPr>
      <w:r w:rsidRPr="009C48DA">
        <w:rPr>
          <w:lang w:val="en-GB"/>
        </w:rPr>
        <w:t xml:space="preserve">The consideration payable by </w:t>
      </w:r>
      <w:r w:rsidRPr="009C48DA" w:rsidR="00AE5EEE">
        <w:rPr>
          <w:lang w:val="en-GB"/>
        </w:rPr>
        <w:t xml:space="preserve">Bridgepoint </w:t>
      </w:r>
      <w:r w:rsidRPr="009C48DA">
        <w:rPr>
          <w:lang w:val="en-GB"/>
        </w:rPr>
        <w:t>Advisers Holdings pursuant to the EQT Credit SPA comprised: (i) £107.5 million (including liabilities incurred) paid on the EQT Completion Date; and</w:t>
      </w:r>
      <w:r w:rsidRPr="009C48DA" w:rsidR="000865FF">
        <w:rPr>
          <w:lang w:val="en-GB"/>
        </w:rPr>
        <w:t xml:space="preserve"> (ii)</w:t>
      </w:r>
      <w:r w:rsidRPr="009C48DA">
        <w:rPr>
          <w:lang w:val="en-GB"/>
        </w:rPr>
        <w:t xml:space="preserve"> a deferred consideration element of up to €50 million, which is payable to EQT </w:t>
      </w:r>
      <w:r w:rsidRPr="009C48DA" w:rsidR="00F9528B">
        <w:rPr>
          <w:lang w:val="en-GB"/>
        </w:rPr>
        <w:t>Sellers</w:t>
      </w:r>
      <w:r w:rsidRPr="009C48DA">
        <w:rPr>
          <w:lang w:val="en-GB"/>
        </w:rPr>
        <w:t xml:space="preserve"> based on the outcome of fundraising </w:t>
      </w:r>
      <w:r w:rsidRPr="009C48DA" w:rsidR="008643D6">
        <w:rPr>
          <w:lang w:val="en-GB"/>
        </w:rPr>
        <w:t xml:space="preserve">for </w:t>
      </w:r>
      <w:r w:rsidRPr="009C48DA" w:rsidR="00AE5EEE">
        <w:rPr>
          <w:lang w:val="en-GB"/>
        </w:rPr>
        <w:t xml:space="preserve">Bridgepoint </w:t>
      </w:r>
      <w:r w:rsidRPr="009C48DA" w:rsidR="008643D6">
        <w:rPr>
          <w:lang w:val="en-GB"/>
        </w:rPr>
        <w:t xml:space="preserve">Direct Lending III and </w:t>
      </w:r>
      <w:r w:rsidRPr="009C48DA" w:rsidR="00AE5EEE">
        <w:rPr>
          <w:lang w:val="en-GB"/>
        </w:rPr>
        <w:t xml:space="preserve">Bridgepoint </w:t>
      </w:r>
      <w:r w:rsidRPr="009C48DA" w:rsidR="008643D6">
        <w:rPr>
          <w:lang w:val="en-GB"/>
        </w:rPr>
        <w:t>Credit Opportunities IV. A</w:t>
      </w:r>
      <w:r w:rsidRPr="009C48DA" w:rsidR="000F0321">
        <w:rPr>
          <w:lang w:val="en-GB"/>
        </w:rPr>
        <w:t xml:space="preserve">s of </w:t>
      </w:r>
      <w:r w:rsidRPr="009C48DA" w:rsidR="00C21D3F">
        <w:rPr>
          <w:lang w:val="en-GB"/>
        </w:rPr>
        <w:t>the date of this Registration Document</w:t>
      </w:r>
      <w:r w:rsidRPr="009C48DA" w:rsidR="008643D6">
        <w:rPr>
          <w:lang w:val="en-GB"/>
        </w:rPr>
        <w:t>, no such deferred consideration has been paid, with the completion of both relevant fundraisings e</w:t>
      </w:r>
      <w:r w:rsidRPr="009C48DA" w:rsidR="00EA4A90">
        <w:rPr>
          <w:lang w:val="en-GB"/>
        </w:rPr>
        <w:t xml:space="preserve">xpected to take place in 2022. </w:t>
      </w:r>
      <w:r w:rsidRPr="009C48DA" w:rsidR="008643D6">
        <w:rPr>
          <w:lang w:val="en-GB"/>
        </w:rPr>
        <w:t>The deferred consideration, if payable, would be due within 30 days following the final closing of the relevant fund.</w:t>
      </w:r>
    </w:p>
    <w:p w:rsidRPr="009C48DA" w:rsidR="00EC2ED5" w:rsidP="00261E8C" w:rsidRDefault="00EC2ED5" w14:paraId="26782DBD" w14:textId="764F4005">
      <w:pPr>
        <w:pStyle w:val="BlockText5SglJ"/>
        <w:rPr>
          <w:lang w:val="en-GB"/>
        </w:rPr>
      </w:pPr>
      <w:r w:rsidRPr="009C48DA">
        <w:rPr>
          <w:lang w:val="en-GB"/>
        </w:rPr>
        <w:t>Customary fundamental warranties and tax covenants, which are typical for a transaction of this nature, were provided by the EQT Sellers under the EQT Credit SPA. In addition, other “business warranties” were provided by certain warrantors (“</w:t>
      </w:r>
      <w:r w:rsidRPr="009C48DA">
        <w:rPr>
          <w:b/>
          <w:lang w:val="en-GB"/>
        </w:rPr>
        <w:t>Warrantors</w:t>
      </w:r>
      <w:r w:rsidRPr="009C48DA">
        <w:rPr>
          <w:lang w:val="en-GB"/>
        </w:rPr>
        <w:t>”) under a sep</w:t>
      </w:r>
      <w:r w:rsidRPr="009C48DA" w:rsidR="00E939CB">
        <w:rPr>
          <w:lang w:val="en-GB"/>
        </w:rPr>
        <w:t xml:space="preserve">arate management warranty deed. </w:t>
      </w:r>
      <w:r w:rsidRPr="009C48DA">
        <w:rPr>
          <w:lang w:val="en-GB"/>
        </w:rPr>
        <w:t xml:space="preserve">Broadly, all such warranties and tax covenants given by the EQT Sellers and the Warrantors were given on an insured basis. </w:t>
      </w:r>
    </w:p>
    <w:p w:rsidRPr="009C48DA" w:rsidR="00EC2ED5" w:rsidP="00261E8C" w:rsidRDefault="00EC2ED5" w14:paraId="10EA4DF5" w14:textId="00A0798C">
      <w:pPr>
        <w:pStyle w:val="BlockText5SglJ"/>
        <w:rPr>
          <w:lang w:val="en-GB"/>
        </w:rPr>
      </w:pPr>
      <w:r w:rsidRPr="009C48DA">
        <w:rPr>
          <w:lang w:val="en-GB"/>
        </w:rPr>
        <w:t xml:space="preserve">The EQT Sellers agreed to certain post-completion restrictive covenants, which prevent the EQT Sellers and their affiliates from competing with, or soliciting certain persons from, the EQT Credit Platform for a period of </w:t>
      </w:r>
      <w:r w:rsidRPr="009C48DA" w:rsidR="00CC3DE1">
        <w:rPr>
          <w:lang w:val="en-GB"/>
        </w:rPr>
        <w:t>five</w:t>
      </w:r>
      <w:r w:rsidRPr="009C48DA">
        <w:rPr>
          <w:lang w:val="en-GB"/>
        </w:rPr>
        <w:t xml:space="preserve"> years following the EQT Completion Date.</w:t>
      </w:r>
    </w:p>
    <w:p w:rsidRPr="009C48DA" w:rsidR="00F64369" w:rsidP="00261E8C" w:rsidRDefault="00FD288A" w14:paraId="7C43B246" w14:textId="0F5B63B2">
      <w:pPr>
        <w:pStyle w:val="Heading4"/>
        <w:keepNext/>
        <w:rPr>
          <w:b/>
          <w:i/>
          <w:lang w:val="en-GB"/>
        </w:rPr>
      </w:pPr>
      <w:bookmarkStart w:name="_Ref74672707" w:id="763"/>
      <w:r w:rsidRPr="009C48DA">
        <w:rPr>
          <w:b/>
          <w:i/>
          <w:lang w:val="en-GB"/>
        </w:rPr>
        <w:t xml:space="preserve">BAH </w:t>
      </w:r>
      <w:r w:rsidRPr="009C48DA" w:rsidR="00F64369">
        <w:rPr>
          <w:b/>
          <w:i/>
          <w:lang w:val="en-GB"/>
        </w:rPr>
        <w:t xml:space="preserve">Revolving </w:t>
      </w:r>
      <w:r w:rsidRPr="009C48DA" w:rsidR="00F01EF8">
        <w:rPr>
          <w:b/>
          <w:i/>
          <w:lang w:val="en-GB"/>
        </w:rPr>
        <w:t>Facility Agreement</w:t>
      </w:r>
      <w:bookmarkEnd w:id="762"/>
      <w:bookmarkEnd w:id="763"/>
    </w:p>
    <w:p w:rsidRPr="009C48DA" w:rsidR="00DD7A30" w:rsidP="00261E8C" w:rsidRDefault="00DD7A30" w14:paraId="625D6449" w14:textId="4F39CBE7">
      <w:pPr>
        <w:pStyle w:val="BlockText5SglJ"/>
        <w:rPr>
          <w:lang w:val="en-GB"/>
        </w:rPr>
      </w:pPr>
      <w:r w:rsidRPr="009C48DA">
        <w:rPr>
          <w:lang w:val="en-GB"/>
        </w:rPr>
        <w:t>On 19 October 2020</w:t>
      </w:r>
      <w:r w:rsidRPr="009C48DA" w:rsidR="00CC3DE1">
        <w:rPr>
          <w:lang w:val="en-GB"/>
        </w:rPr>
        <w:t>,</w:t>
      </w:r>
      <w:r w:rsidRPr="009C48DA">
        <w:rPr>
          <w:lang w:val="en-GB"/>
        </w:rPr>
        <w:t xml:space="preserve"> </w:t>
      </w:r>
      <w:r w:rsidRPr="009C48DA" w:rsidR="00BB773E">
        <w:rPr>
          <w:rFonts w:eastAsia="Calibri" w:cs="Arial"/>
          <w:szCs w:val="20"/>
          <w:lang w:val="en-GB"/>
        </w:rPr>
        <w:t xml:space="preserve">Bridgepoint </w:t>
      </w:r>
      <w:r w:rsidRPr="009C48DA">
        <w:rPr>
          <w:lang w:val="en-GB"/>
        </w:rPr>
        <w:t xml:space="preserve">Advisers Holdings (as original borrower and an original guarantor), </w:t>
      </w:r>
      <w:r w:rsidRPr="009C48DA" w:rsidR="00BB773E">
        <w:rPr>
          <w:rFonts w:eastAsia="Calibri" w:cs="Arial"/>
          <w:szCs w:val="20"/>
          <w:lang w:val="en-GB"/>
        </w:rPr>
        <w:t xml:space="preserve">Bridgepoint </w:t>
      </w:r>
      <w:r w:rsidRPr="009C48DA">
        <w:rPr>
          <w:lang w:val="en-GB"/>
        </w:rPr>
        <w:t xml:space="preserve">Advisers Limited, </w:t>
      </w:r>
      <w:r w:rsidRPr="009C48DA" w:rsidR="00BB773E">
        <w:rPr>
          <w:rFonts w:eastAsia="Calibri" w:cs="Arial"/>
          <w:szCs w:val="20"/>
          <w:lang w:val="en-GB"/>
        </w:rPr>
        <w:t xml:space="preserve">Bridgepoint </w:t>
      </w:r>
      <w:r w:rsidRPr="009C48DA">
        <w:rPr>
          <w:lang w:val="en-GB"/>
        </w:rPr>
        <w:t xml:space="preserve">Advisers II Limited and </w:t>
      </w:r>
      <w:r w:rsidRPr="009C48DA" w:rsidR="00BB773E">
        <w:rPr>
          <w:rFonts w:eastAsia="Calibri" w:cs="Arial"/>
          <w:szCs w:val="20"/>
          <w:lang w:val="en-GB"/>
        </w:rPr>
        <w:t xml:space="preserve">Bridgepoint </w:t>
      </w:r>
      <w:r w:rsidRPr="009C48DA">
        <w:rPr>
          <w:lang w:val="en-GB"/>
        </w:rPr>
        <w:t>Credit Limited (as original guarantors), Lloyds Bank Corporate Markets plc (as mandated lead arranger, agent and security agent), and Natixis London Branch, Sumitomo Mitsui Banking Corporation London Branch and HSBC Bank plc (as mandated lead arrangers) entered into a revolving facility agreement (the “</w:t>
      </w:r>
      <w:r w:rsidRPr="009C48DA" w:rsidR="00FD288A">
        <w:rPr>
          <w:b/>
          <w:lang w:val="en-GB"/>
        </w:rPr>
        <w:t xml:space="preserve">BAH </w:t>
      </w:r>
      <w:r w:rsidRPr="009C48DA">
        <w:rPr>
          <w:b/>
          <w:lang w:val="en-GB"/>
        </w:rPr>
        <w:t>Revolving Facility Agreement</w:t>
      </w:r>
      <w:r w:rsidRPr="009C48DA" w:rsidR="00A7038F">
        <w:rPr>
          <w:lang w:val="en-GB"/>
        </w:rPr>
        <w:t xml:space="preserve">”). </w:t>
      </w:r>
    </w:p>
    <w:p w:rsidRPr="009C48DA" w:rsidR="00DD7A30" w:rsidP="00261E8C" w:rsidRDefault="00DD7A30" w14:paraId="33DD3A88" w14:textId="37B42924">
      <w:pPr>
        <w:pStyle w:val="BlockText5SglJ"/>
        <w:rPr>
          <w:lang w:val="en-GB"/>
        </w:rPr>
      </w:pPr>
      <w:r w:rsidRPr="009C48DA">
        <w:rPr>
          <w:lang w:val="en-GB"/>
        </w:rPr>
        <w:t xml:space="preserve">Pursuant to the </w:t>
      </w:r>
      <w:r w:rsidRPr="009C48DA" w:rsidR="00E43396">
        <w:rPr>
          <w:lang w:val="en-GB"/>
        </w:rPr>
        <w:t xml:space="preserve">BAH </w:t>
      </w:r>
      <w:r w:rsidRPr="009C48DA">
        <w:rPr>
          <w:lang w:val="en-GB"/>
        </w:rPr>
        <w:t>Revolving Facility Agreement, a multicurrency revolving credit facility of £125 million was made available</w:t>
      </w:r>
      <w:r w:rsidRPr="009C48DA" w:rsidR="00A357F1">
        <w:rPr>
          <w:lang w:val="en-GB"/>
        </w:rPr>
        <w:t xml:space="preserve"> to </w:t>
      </w:r>
      <w:r w:rsidRPr="009C48DA" w:rsidR="00961BEE">
        <w:rPr>
          <w:lang w:val="en-GB"/>
        </w:rPr>
        <w:t xml:space="preserve">Bridgepoint </w:t>
      </w:r>
      <w:r w:rsidRPr="009C48DA" w:rsidR="00A357F1">
        <w:rPr>
          <w:lang w:val="en-GB"/>
        </w:rPr>
        <w:t>Advisers Holdings (</w:t>
      </w:r>
      <w:r w:rsidRPr="009C48DA" w:rsidR="00BB773E">
        <w:rPr>
          <w:rFonts w:eastAsia="Calibri" w:cs="Arial"/>
          <w:szCs w:val="20"/>
          <w:lang w:val="en-GB"/>
        </w:rPr>
        <w:t xml:space="preserve">Bridgepoint </w:t>
      </w:r>
      <w:r w:rsidRPr="009C48DA">
        <w:rPr>
          <w:lang w:val="en-GB"/>
        </w:rPr>
        <w:t>Advisers Holdings together with its subsidiaries, the “</w:t>
      </w:r>
      <w:r w:rsidRPr="009C48DA" w:rsidR="00BB773E">
        <w:rPr>
          <w:rFonts w:eastAsia="Calibri" w:cs="Arial"/>
          <w:b/>
          <w:szCs w:val="20"/>
          <w:lang w:val="en-GB"/>
        </w:rPr>
        <w:t>Bridgepoint</w:t>
      </w:r>
      <w:r w:rsidRPr="009C48DA" w:rsidR="00BB773E">
        <w:rPr>
          <w:rFonts w:eastAsia="Calibri" w:cs="Arial"/>
          <w:szCs w:val="20"/>
          <w:lang w:val="en-GB"/>
        </w:rPr>
        <w:t xml:space="preserve"> </w:t>
      </w:r>
      <w:r w:rsidRPr="009C48DA" w:rsidR="00E26A71">
        <w:rPr>
          <w:b/>
          <w:lang w:val="en-GB"/>
        </w:rPr>
        <w:t xml:space="preserve">Advisers </w:t>
      </w:r>
      <w:r w:rsidRPr="009C48DA">
        <w:rPr>
          <w:b/>
          <w:lang w:val="en-GB"/>
        </w:rPr>
        <w:t>Group</w:t>
      </w:r>
      <w:r w:rsidRPr="009C48DA">
        <w:rPr>
          <w:lang w:val="en-GB"/>
        </w:rPr>
        <w:t>”) (the “</w:t>
      </w:r>
      <w:r w:rsidRPr="009C48DA" w:rsidR="00FD288A">
        <w:rPr>
          <w:b/>
          <w:lang w:val="en-GB"/>
        </w:rPr>
        <w:t xml:space="preserve">BAH </w:t>
      </w:r>
      <w:r w:rsidRPr="009C48DA">
        <w:rPr>
          <w:b/>
          <w:lang w:val="en-GB"/>
        </w:rPr>
        <w:t>Revolving Credit Facility</w:t>
      </w:r>
      <w:r w:rsidRPr="009C48DA" w:rsidR="00A7038F">
        <w:rPr>
          <w:lang w:val="en-GB"/>
        </w:rPr>
        <w:t xml:space="preserve">”). </w:t>
      </w:r>
      <w:r w:rsidRPr="009C48DA" w:rsidR="00E43396">
        <w:rPr>
          <w:lang w:val="en-GB"/>
        </w:rPr>
        <w:t>As of</w:t>
      </w:r>
      <w:r w:rsidRPr="009C48DA" w:rsidR="00FD288A">
        <w:rPr>
          <w:lang w:val="en-GB"/>
        </w:rPr>
        <w:t xml:space="preserve"> the last practicable date prior</w:t>
      </w:r>
      <w:r w:rsidRPr="009C48DA" w:rsidR="00051C27">
        <w:rPr>
          <w:lang w:val="en-GB"/>
        </w:rPr>
        <w:t xml:space="preserve"> to the date of this </w:t>
      </w:r>
      <w:r w:rsidRPr="009C48DA" w:rsidR="00B209E0">
        <w:rPr>
          <w:lang w:val="en-GB"/>
        </w:rPr>
        <w:t xml:space="preserve">Registration Document, which is </w:t>
      </w:r>
      <w:r w:rsidRPr="009C48DA" w:rsidR="00B209E0">
        <w:rPr>
          <w:szCs w:val="20"/>
          <w:lang w:val="en-GB"/>
        </w:rPr>
        <w:t>25 June 2021</w:t>
      </w:r>
      <w:r w:rsidRPr="009C48DA" w:rsidR="00051C27">
        <w:rPr>
          <w:lang w:val="en-GB"/>
        </w:rPr>
        <w:t xml:space="preserve">, </w:t>
      </w:r>
      <w:r w:rsidRPr="009C48DA" w:rsidR="00A357F1">
        <w:rPr>
          <w:szCs w:val="20"/>
          <w:lang w:val="en-GB"/>
        </w:rPr>
        <w:t xml:space="preserve">£105.9 </w:t>
      </w:r>
      <w:r w:rsidRPr="009C48DA" w:rsidR="00FD288A">
        <w:rPr>
          <w:lang w:val="en-GB"/>
        </w:rPr>
        <w:t>million had been drawn down and was outstanding under the BAH Revolving Credit Facility.</w:t>
      </w:r>
    </w:p>
    <w:p w:rsidRPr="009C48DA" w:rsidR="00DD7A30" w:rsidP="00261E8C" w:rsidRDefault="00DD7A30" w14:paraId="491B5078" w14:textId="09664A3D">
      <w:pPr>
        <w:pStyle w:val="BlockText5SglJ"/>
        <w:rPr>
          <w:lang w:val="en-GB"/>
        </w:rPr>
      </w:pPr>
      <w:r w:rsidRPr="009C48DA">
        <w:rPr>
          <w:lang w:val="en-GB"/>
        </w:rPr>
        <w:t>Amounts drawn down under the</w:t>
      </w:r>
      <w:r w:rsidRPr="009C48DA" w:rsidR="00FD288A">
        <w:rPr>
          <w:lang w:val="en-GB"/>
        </w:rPr>
        <w:t xml:space="preserve"> BAH</w:t>
      </w:r>
      <w:r w:rsidRPr="009C48DA">
        <w:rPr>
          <w:lang w:val="en-GB"/>
        </w:rPr>
        <w:t xml:space="preserve"> Revolving Credit Facility can be used in connection with the financing or refinancing of amounts payable in connection with the acquisition of EQT’s credit platform, for financing or refinancing general corporate purposes or and/or the working capital purposes, refinancing existing indebtedness and the payment of fees, interest, costs and expenses payable under the </w:t>
      </w:r>
      <w:r w:rsidRPr="009C48DA" w:rsidR="00FD288A">
        <w:rPr>
          <w:bCs/>
          <w:lang w:val="en-GB"/>
        </w:rPr>
        <w:t>BAH</w:t>
      </w:r>
      <w:r w:rsidRPr="009C48DA" w:rsidR="00FD288A">
        <w:rPr>
          <w:lang w:val="en-GB"/>
        </w:rPr>
        <w:t xml:space="preserve"> </w:t>
      </w:r>
      <w:r w:rsidRPr="009C48DA">
        <w:rPr>
          <w:lang w:val="en-GB"/>
        </w:rPr>
        <w:t>Revolving Facility Agreement.</w:t>
      </w:r>
    </w:p>
    <w:p w:rsidRPr="009C48DA" w:rsidR="00DD7A30" w:rsidP="00261E8C" w:rsidRDefault="00DD7A30" w14:paraId="37EAD600" w14:textId="463D317E">
      <w:pPr>
        <w:pStyle w:val="BlockText5SglJ"/>
        <w:rPr>
          <w:lang w:val="en-GB"/>
        </w:rPr>
      </w:pPr>
      <w:r w:rsidRPr="009C48DA">
        <w:rPr>
          <w:lang w:val="en-GB"/>
        </w:rPr>
        <w:t xml:space="preserve">Each loan borrowed under the </w:t>
      </w:r>
      <w:r w:rsidRPr="009C48DA" w:rsidR="00FD288A">
        <w:rPr>
          <w:bCs/>
          <w:lang w:val="en-GB"/>
        </w:rPr>
        <w:t>BAH</w:t>
      </w:r>
      <w:r w:rsidRPr="009C48DA" w:rsidR="00FD288A">
        <w:rPr>
          <w:lang w:val="en-GB"/>
        </w:rPr>
        <w:t xml:space="preserve"> </w:t>
      </w:r>
      <w:r w:rsidRPr="009C48DA">
        <w:rPr>
          <w:lang w:val="en-GB"/>
        </w:rPr>
        <w:t xml:space="preserve">Revolving Credit Facility is repayable on the last day of its interest period. The interest period of a loan may be one, three or six months or any other period agreed by the Agent </w:t>
      </w:r>
      <w:r w:rsidRPr="009C48DA" w:rsidR="006842E5">
        <w:rPr>
          <w:lang w:val="en-GB"/>
        </w:rPr>
        <w:t>(as defined in the BAH Revolving Credit Facility)</w:t>
      </w:r>
      <w:r w:rsidRPr="009C48DA" w:rsidR="00C04217">
        <w:rPr>
          <w:lang w:val="en-GB"/>
        </w:rPr>
        <w:t xml:space="preserve"> (the “</w:t>
      </w:r>
      <w:r w:rsidRPr="009C48DA" w:rsidR="00C04217">
        <w:rPr>
          <w:b/>
          <w:lang w:val="en-GB"/>
        </w:rPr>
        <w:t>Agent</w:t>
      </w:r>
      <w:r w:rsidRPr="009C48DA" w:rsidR="00C04217">
        <w:rPr>
          <w:lang w:val="en-GB"/>
        </w:rPr>
        <w:t>”)</w:t>
      </w:r>
      <w:r w:rsidRPr="009C48DA" w:rsidR="006842E5">
        <w:rPr>
          <w:lang w:val="en-GB"/>
        </w:rPr>
        <w:t xml:space="preserve"> </w:t>
      </w:r>
      <w:r w:rsidRPr="009C48DA">
        <w:rPr>
          <w:lang w:val="en-GB"/>
        </w:rPr>
        <w:t xml:space="preserve">(acting on the instructions of all lenders participating in the </w:t>
      </w:r>
      <w:r w:rsidRPr="009C48DA" w:rsidR="00A7038F">
        <w:rPr>
          <w:lang w:val="en-GB"/>
        </w:rPr>
        <w:t xml:space="preserve">relevant loan). </w:t>
      </w:r>
      <w:r w:rsidRPr="009C48DA">
        <w:rPr>
          <w:lang w:val="en-GB"/>
        </w:rPr>
        <w:t xml:space="preserve">The termination date of the </w:t>
      </w:r>
      <w:r w:rsidRPr="009C48DA" w:rsidR="00FD288A">
        <w:rPr>
          <w:bCs/>
          <w:lang w:val="en-GB"/>
        </w:rPr>
        <w:t>BAH</w:t>
      </w:r>
      <w:r w:rsidRPr="009C48DA" w:rsidR="00FD288A">
        <w:rPr>
          <w:lang w:val="en-GB"/>
        </w:rPr>
        <w:t xml:space="preserve"> </w:t>
      </w:r>
      <w:r w:rsidRPr="009C48DA">
        <w:rPr>
          <w:lang w:val="en-GB"/>
        </w:rPr>
        <w:t xml:space="preserve">Revolving Credit Facility is </w:t>
      </w:r>
      <w:r w:rsidRPr="009C48DA" w:rsidR="00A7038F">
        <w:rPr>
          <w:lang w:val="en-GB"/>
        </w:rPr>
        <w:t xml:space="preserve">19 October 2023. </w:t>
      </w:r>
      <w:r w:rsidRPr="009C48DA">
        <w:rPr>
          <w:lang w:val="en-GB"/>
        </w:rPr>
        <w:t>Each amount drawn down under the</w:t>
      </w:r>
      <w:r w:rsidRPr="009C48DA" w:rsidR="00FD288A">
        <w:rPr>
          <w:bCs/>
          <w:lang w:val="en-GB"/>
        </w:rPr>
        <w:t xml:space="preserve"> BAH</w:t>
      </w:r>
      <w:r w:rsidRPr="009C48DA">
        <w:rPr>
          <w:lang w:val="en-GB"/>
        </w:rPr>
        <w:t xml:space="preserve"> Revolving Credit Facility bears interest at a floating rate which is a base rate (being EURIBOR or LIBOR, subject to a floor of 0 per cent.) plus a margin of 3.50 per cent. per annum. Additionally, a commitment fee is payable on unutilised amounts of the </w:t>
      </w:r>
      <w:r w:rsidRPr="009C48DA" w:rsidR="00FD288A">
        <w:rPr>
          <w:bCs/>
          <w:lang w:val="en-GB"/>
        </w:rPr>
        <w:t>BAH</w:t>
      </w:r>
      <w:r w:rsidRPr="009C48DA" w:rsidR="00FD288A">
        <w:rPr>
          <w:lang w:val="en-GB"/>
        </w:rPr>
        <w:t xml:space="preserve"> </w:t>
      </w:r>
      <w:r w:rsidRPr="009C48DA">
        <w:rPr>
          <w:lang w:val="en-GB"/>
        </w:rPr>
        <w:t>Revolving Credit Facility at a rat</w:t>
      </w:r>
      <w:r w:rsidRPr="009C48DA" w:rsidR="00805D67">
        <w:rPr>
          <w:lang w:val="en-GB"/>
        </w:rPr>
        <w:t>e of 1.00 per cent</w:t>
      </w:r>
      <w:r w:rsidRPr="009C48DA" w:rsidR="00A7038F">
        <w:rPr>
          <w:lang w:val="en-GB"/>
        </w:rPr>
        <w:t xml:space="preserve"> per annum. </w:t>
      </w:r>
      <w:r w:rsidRPr="009C48DA">
        <w:rPr>
          <w:lang w:val="en-GB"/>
        </w:rPr>
        <w:t>Customary fees are payable to the Facility Agent</w:t>
      </w:r>
      <w:r w:rsidRPr="009C48DA" w:rsidR="006842E5">
        <w:rPr>
          <w:lang w:val="en-GB"/>
        </w:rPr>
        <w:t xml:space="preserve"> (as defined in the BAH Revolving Credit Facility)</w:t>
      </w:r>
      <w:r w:rsidRPr="009C48DA">
        <w:rPr>
          <w:lang w:val="en-GB"/>
        </w:rPr>
        <w:t xml:space="preserve"> and the Security Agent</w:t>
      </w:r>
      <w:r w:rsidRPr="009C48DA" w:rsidR="006842E5">
        <w:rPr>
          <w:lang w:val="en-GB"/>
        </w:rPr>
        <w:t xml:space="preserve"> (as defined in the BAH Revolving Credit Facility)</w:t>
      </w:r>
      <w:r w:rsidRPr="009C48DA">
        <w:rPr>
          <w:lang w:val="en-GB"/>
        </w:rPr>
        <w:t xml:space="preserve">. </w:t>
      </w:r>
    </w:p>
    <w:p w:rsidRPr="009C48DA" w:rsidR="00DD7A30" w:rsidP="00261E8C" w:rsidRDefault="00DD7A30" w14:paraId="47207FA3" w14:textId="00900679">
      <w:pPr>
        <w:pStyle w:val="BlockText5SglJ"/>
        <w:rPr>
          <w:lang w:val="en-GB"/>
        </w:rPr>
      </w:pPr>
      <w:r w:rsidRPr="009C48DA">
        <w:rPr>
          <w:lang w:val="en-GB"/>
        </w:rPr>
        <w:lastRenderedPageBreak/>
        <w:t xml:space="preserve">The </w:t>
      </w:r>
      <w:r w:rsidRPr="009C48DA" w:rsidR="00FD288A">
        <w:rPr>
          <w:bCs/>
          <w:lang w:val="en-GB"/>
        </w:rPr>
        <w:t>BAH</w:t>
      </w:r>
      <w:r w:rsidRPr="009C48DA" w:rsidR="00FD288A">
        <w:rPr>
          <w:lang w:val="en-GB"/>
        </w:rPr>
        <w:t xml:space="preserve"> </w:t>
      </w:r>
      <w:r w:rsidRPr="009C48DA">
        <w:rPr>
          <w:lang w:val="en-GB"/>
        </w:rPr>
        <w:t>Revolving Facility Agreement also contains customary prepayment, cancellation and default provisions and customary representations and warranties (subject to certain exceptions and qualifications) and two financial covenants, including:</w:t>
      </w:r>
    </w:p>
    <w:p w:rsidRPr="009C48DA" w:rsidR="00DD7A30" w:rsidP="006B1C94" w:rsidRDefault="00DD7A30" w14:paraId="44CD6E8D" w14:textId="77777777">
      <w:pPr>
        <w:pStyle w:val="ListParagraph"/>
        <w:numPr>
          <w:ilvl w:val="0"/>
          <w:numId w:val="31"/>
        </w:numPr>
        <w:jc w:val="both"/>
        <w:rPr>
          <w:rFonts w:eastAsia="Calibri" w:cs="Arial"/>
          <w:sz w:val="20"/>
          <w:lang w:val="en-GB"/>
        </w:rPr>
      </w:pPr>
      <w:r w:rsidRPr="009C48DA">
        <w:rPr>
          <w:rFonts w:eastAsia="Calibri" w:cs="Arial"/>
          <w:sz w:val="20"/>
          <w:lang w:val="en-GB"/>
        </w:rPr>
        <w:t xml:space="preserve">mandatory prepayment and cancellation of available commitments on a change of control; </w:t>
      </w:r>
    </w:p>
    <w:p w:rsidRPr="009C48DA" w:rsidR="00DD7A30" w:rsidP="006B1C94" w:rsidRDefault="00DD7A30" w14:paraId="1816E500" w14:textId="77777777">
      <w:pPr>
        <w:pStyle w:val="ListParagraph"/>
        <w:numPr>
          <w:ilvl w:val="0"/>
          <w:numId w:val="31"/>
        </w:numPr>
        <w:jc w:val="both"/>
        <w:rPr>
          <w:rFonts w:eastAsia="Calibri" w:cs="Arial"/>
          <w:sz w:val="20"/>
          <w:lang w:val="en-GB"/>
        </w:rPr>
      </w:pPr>
      <w:r w:rsidRPr="009C48DA">
        <w:rPr>
          <w:rFonts w:eastAsia="Calibri" w:cs="Arial"/>
          <w:sz w:val="20"/>
          <w:lang w:val="en-GB"/>
        </w:rPr>
        <w:t xml:space="preserve">financial covenants (tested quarterly on a rolling 12 month basis) which require that: </w:t>
      </w:r>
    </w:p>
    <w:p w:rsidRPr="009C48DA" w:rsidR="00DD7A30" w:rsidP="006B1C94" w:rsidRDefault="00DD7A30" w14:paraId="415BF94E" w14:textId="77777777">
      <w:pPr>
        <w:pStyle w:val="ListParagraph"/>
        <w:numPr>
          <w:ilvl w:val="1"/>
          <w:numId w:val="31"/>
        </w:numPr>
        <w:jc w:val="both"/>
        <w:rPr>
          <w:rFonts w:eastAsia="Calibri" w:cs="Arial"/>
          <w:sz w:val="20"/>
          <w:lang w:val="en-GB"/>
        </w:rPr>
      </w:pPr>
      <w:r w:rsidRPr="009C48DA">
        <w:rPr>
          <w:rFonts w:eastAsia="Calibri" w:cs="Arial"/>
          <w:sz w:val="20"/>
          <w:lang w:val="en-GB"/>
        </w:rPr>
        <w:t xml:space="preserve">the ratio of adjusted EBITDA to net finance charges for each relevant period shall not be less than 4.00:1; and </w:t>
      </w:r>
    </w:p>
    <w:p w:rsidRPr="009C48DA" w:rsidR="00DD7A30" w:rsidP="006B1C94" w:rsidRDefault="00DD7A30" w14:paraId="00780A0B" w14:textId="77777777">
      <w:pPr>
        <w:pStyle w:val="ListParagraph"/>
        <w:numPr>
          <w:ilvl w:val="1"/>
          <w:numId w:val="31"/>
        </w:numPr>
        <w:jc w:val="both"/>
        <w:rPr>
          <w:rFonts w:eastAsia="Calibri" w:cs="Arial"/>
          <w:sz w:val="20"/>
          <w:lang w:val="en-GB"/>
        </w:rPr>
      </w:pPr>
      <w:r w:rsidRPr="009C48DA">
        <w:rPr>
          <w:rFonts w:eastAsia="Calibri" w:cs="Arial"/>
          <w:sz w:val="20"/>
          <w:lang w:val="en-GB"/>
        </w:rPr>
        <w:t xml:space="preserve">the ratio of total net debt to adjusted EBITDA for each relevant period shall not exceed 3.00:1; </w:t>
      </w:r>
    </w:p>
    <w:p w:rsidRPr="009C48DA" w:rsidR="00DD7A30" w:rsidP="006B1C94" w:rsidRDefault="00DD7A30" w14:paraId="18260045" w14:textId="77777777">
      <w:pPr>
        <w:pStyle w:val="ListParagraph"/>
        <w:numPr>
          <w:ilvl w:val="0"/>
          <w:numId w:val="31"/>
        </w:numPr>
        <w:jc w:val="both"/>
        <w:rPr>
          <w:rFonts w:eastAsia="Calibri" w:cs="Arial"/>
          <w:sz w:val="20"/>
          <w:lang w:val="en-GB"/>
        </w:rPr>
      </w:pPr>
      <w:r w:rsidRPr="009C48DA">
        <w:rPr>
          <w:rFonts w:eastAsia="Calibri" w:cs="Arial"/>
          <w:sz w:val="20"/>
          <w:lang w:val="en-GB"/>
        </w:rPr>
        <w:t xml:space="preserve">covenants that impose limitations on the ability to undertake a merger or other corporate reconstruction, change the general nature of business, make acquisitions, grant or permit to subsist security over assets, dispose of assets or pay dividends (subject to certain exceptions); </w:t>
      </w:r>
    </w:p>
    <w:p w:rsidRPr="009C48DA" w:rsidR="00DD7A30" w:rsidP="00772C37" w:rsidRDefault="00DD7A30" w14:paraId="04E51A5B" w14:textId="35125ED0">
      <w:pPr>
        <w:pStyle w:val="ListParagraph"/>
        <w:numPr>
          <w:ilvl w:val="0"/>
          <w:numId w:val="31"/>
        </w:numPr>
        <w:jc w:val="both"/>
        <w:rPr>
          <w:rFonts w:eastAsia="Calibri" w:cs="Arial"/>
          <w:sz w:val="20"/>
          <w:lang w:val="en-GB"/>
        </w:rPr>
      </w:pPr>
      <w:r w:rsidRPr="009C48DA">
        <w:rPr>
          <w:rFonts w:eastAsia="Calibri" w:cs="Arial"/>
          <w:sz w:val="20"/>
          <w:lang w:val="en-GB"/>
        </w:rPr>
        <w:t xml:space="preserve">covenants that require the delivery of financial and other information to the Agent, notice to the Agent upon the occurrence of certain material events (including any default), obtaining and maintenance of authorisations, compliance with laws, payment of taxes and maintenance of customary insurances (subject to certain thresholds, qualifications and exceptions); </w:t>
      </w:r>
    </w:p>
    <w:p w:rsidRPr="009C48DA" w:rsidR="00DD7A30" w:rsidP="006B1C94" w:rsidRDefault="00A7038F" w14:paraId="6430D861" w14:textId="5FB7A9FB">
      <w:pPr>
        <w:pStyle w:val="ListParagraph"/>
        <w:numPr>
          <w:ilvl w:val="0"/>
          <w:numId w:val="31"/>
        </w:numPr>
        <w:jc w:val="both"/>
        <w:rPr>
          <w:rFonts w:eastAsia="Calibri" w:cs="Arial"/>
          <w:sz w:val="20"/>
          <w:lang w:val="en-GB"/>
        </w:rPr>
      </w:pPr>
      <w:r w:rsidRPr="009C48DA">
        <w:rPr>
          <w:rFonts w:eastAsia="Calibri" w:cs="Arial"/>
          <w:sz w:val="20"/>
          <w:lang w:val="en-GB"/>
        </w:rPr>
        <w:t xml:space="preserve">events of default including </w:t>
      </w:r>
      <w:r w:rsidRPr="009C48DA" w:rsidR="00DD7A30">
        <w:rPr>
          <w:rFonts w:eastAsia="Calibri" w:cs="Arial"/>
          <w:sz w:val="20"/>
          <w:lang w:val="en-GB"/>
        </w:rPr>
        <w:t xml:space="preserve">non-payment of amounts owing to the lenders, non-compliance with financial covenant or other obligations, cross-payment default and cross-acceleration in respect of other indebtedness, commencement of certain voluntary and involuntary insolvency and similar proceedings, unlawfulness and invalidity of obligations, and inaccuracies of representations (subject to certain exceptions, grace periods and thresholds); and </w:t>
      </w:r>
    </w:p>
    <w:p w:rsidRPr="009C48DA" w:rsidR="00DD7A30" w:rsidP="006B1C94" w:rsidRDefault="00DD7A30" w14:paraId="40E9F617" w14:textId="77777777">
      <w:pPr>
        <w:pStyle w:val="ListParagraph"/>
        <w:numPr>
          <w:ilvl w:val="0"/>
          <w:numId w:val="31"/>
        </w:numPr>
        <w:jc w:val="both"/>
        <w:rPr>
          <w:rFonts w:eastAsia="Calibri" w:cs="Arial"/>
          <w:sz w:val="20"/>
          <w:lang w:val="en-GB"/>
        </w:rPr>
      </w:pPr>
      <w:r w:rsidRPr="009C48DA">
        <w:rPr>
          <w:rFonts w:eastAsia="Calibri" w:cs="Arial"/>
          <w:sz w:val="20"/>
          <w:lang w:val="en-GB"/>
        </w:rPr>
        <w:t xml:space="preserve">voluntary prepayment of loans (subject to minimum amounts and prior notice). </w:t>
      </w:r>
    </w:p>
    <w:p w:rsidRPr="009C48DA" w:rsidR="00DD7A30" w:rsidP="00261E8C" w:rsidRDefault="00DD7A30" w14:paraId="1642013B" w14:textId="5FBA287A">
      <w:pPr>
        <w:pStyle w:val="BlockText5SglJ"/>
        <w:rPr>
          <w:lang w:val="en-GB"/>
        </w:rPr>
      </w:pPr>
      <w:r w:rsidRPr="009C48DA">
        <w:rPr>
          <w:lang w:val="en-GB"/>
        </w:rPr>
        <w:t xml:space="preserve">The obligations of the obligors regarding the </w:t>
      </w:r>
      <w:r w:rsidRPr="009C48DA" w:rsidR="00FD288A">
        <w:rPr>
          <w:bCs/>
          <w:lang w:val="en-GB"/>
        </w:rPr>
        <w:t>BAH</w:t>
      </w:r>
      <w:r w:rsidRPr="009C48DA" w:rsidR="00FD288A">
        <w:rPr>
          <w:lang w:val="en-GB"/>
        </w:rPr>
        <w:t xml:space="preserve"> </w:t>
      </w:r>
      <w:r w:rsidRPr="009C48DA">
        <w:rPr>
          <w:lang w:val="en-GB"/>
        </w:rPr>
        <w:t xml:space="preserve">Revolving Credit Facility are guaranteed by certain members of the </w:t>
      </w:r>
      <w:r w:rsidRPr="009C48DA" w:rsidR="00BB773E">
        <w:rPr>
          <w:rFonts w:eastAsia="Calibri" w:cs="Arial"/>
          <w:szCs w:val="20"/>
          <w:lang w:val="en-GB"/>
        </w:rPr>
        <w:t xml:space="preserve">Bridgepoint </w:t>
      </w:r>
      <w:r w:rsidRPr="009C48DA" w:rsidR="00CB4D62">
        <w:rPr>
          <w:lang w:val="en-GB"/>
        </w:rPr>
        <w:t xml:space="preserve">Advisers </w:t>
      </w:r>
      <w:r w:rsidRPr="009C48DA">
        <w:rPr>
          <w:lang w:val="en-GB"/>
        </w:rPr>
        <w:t xml:space="preserve">Group and secured by a security over certain bank </w:t>
      </w:r>
      <w:r w:rsidRPr="009C48DA" w:rsidR="00A357F1">
        <w:rPr>
          <w:lang w:val="en-GB"/>
        </w:rPr>
        <w:t xml:space="preserve">accounts of </w:t>
      </w:r>
      <w:r w:rsidRPr="009C48DA" w:rsidR="00BB773E">
        <w:rPr>
          <w:rFonts w:eastAsia="Calibri" w:cs="Arial"/>
          <w:szCs w:val="20"/>
          <w:lang w:val="en-GB"/>
        </w:rPr>
        <w:t xml:space="preserve">Bridgepoint </w:t>
      </w:r>
      <w:r w:rsidRPr="009C48DA">
        <w:rPr>
          <w:lang w:val="en-GB"/>
        </w:rPr>
        <w:t xml:space="preserve">Advisers Holdings and other members of the </w:t>
      </w:r>
      <w:r w:rsidRPr="009C48DA" w:rsidR="00BB773E">
        <w:rPr>
          <w:rFonts w:eastAsia="Calibri" w:cs="Arial"/>
          <w:szCs w:val="20"/>
          <w:lang w:val="en-GB"/>
        </w:rPr>
        <w:t xml:space="preserve">Bridgepoint </w:t>
      </w:r>
      <w:r w:rsidRPr="009C48DA" w:rsidR="00CB4D62">
        <w:rPr>
          <w:lang w:val="en-GB"/>
        </w:rPr>
        <w:t xml:space="preserve">Advisers </w:t>
      </w:r>
      <w:r w:rsidRPr="009C48DA">
        <w:rPr>
          <w:lang w:val="en-GB"/>
        </w:rPr>
        <w:t>Group.</w:t>
      </w:r>
    </w:p>
    <w:p w:rsidRPr="009C48DA" w:rsidR="00DA7B9D" w:rsidP="00261E8C" w:rsidRDefault="00DD7A30" w14:paraId="16859EE3" w14:textId="1F5F81A9">
      <w:pPr>
        <w:pStyle w:val="BlockText5SglJ"/>
        <w:rPr>
          <w:lang w:val="en-GB"/>
        </w:rPr>
      </w:pPr>
      <w:r w:rsidRPr="009C48DA">
        <w:rPr>
          <w:lang w:val="en-GB"/>
        </w:rPr>
        <w:t xml:space="preserve">The </w:t>
      </w:r>
      <w:r w:rsidRPr="009C48DA" w:rsidR="00FD288A">
        <w:rPr>
          <w:lang w:val="en-GB"/>
        </w:rPr>
        <w:t xml:space="preserve">BAH </w:t>
      </w:r>
      <w:r w:rsidRPr="009C48DA">
        <w:rPr>
          <w:lang w:val="en-GB"/>
        </w:rPr>
        <w:t>Revolving Facility Agreement is governed by English law.</w:t>
      </w:r>
    </w:p>
    <w:p w:rsidRPr="009C48DA" w:rsidR="00DA7B9D" w:rsidP="001C532B" w:rsidRDefault="00427CB5" w14:paraId="1F2D2955" w14:textId="77777777">
      <w:pPr>
        <w:pStyle w:val="Heading3"/>
        <w:keepNext/>
        <w:rPr>
          <w:lang w:val="en-GB"/>
        </w:rPr>
      </w:pPr>
      <w:r w:rsidRPr="009C48DA">
        <w:rPr>
          <w:lang w:val="en-GB"/>
        </w:rPr>
        <w:t>SIGNIFICANT CHANGE</w:t>
      </w:r>
    </w:p>
    <w:p w:rsidRPr="009C48DA" w:rsidR="00DA7B9D" w:rsidRDefault="007A47D8" w14:paraId="22976491" w14:textId="52788128">
      <w:pPr>
        <w:pStyle w:val="BlockText5SglJ"/>
        <w:rPr>
          <w:color w:val="000000"/>
          <w:lang w:val="en-GB"/>
        </w:rPr>
      </w:pPr>
      <w:r w:rsidRPr="009C48DA">
        <w:rPr>
          <w:color w:val="000000"/>
          <w:lang w:val="en-GB"/>
        </w:rPr>
        <w:t>T</w:t>
      </w:r>
      <w:r w:rsidRPr="009C48DA" w:rsidR="00427CB5">
        <w:rPr>
          <w:color w:val="000000"/>
          <w:lang w:val="en-GB"/>
        </w:rPr>
        <w:t xml:space="preserve">here has been no significant change in the financial position or financial performance of </w:t>
      </w:r>
      <w:r w:rsidRPr="009C48DA" w:rsidR="00CA73E8">
        <w:rPr>
          <w:lang w:val="en-GB"/>
        </w:rPr>
        <w:t>the Group</w:t>
      </w:r>
      <w:r w:rsidRPr="009C48DA" w:rsidR="00427CB5">
        <w:rPr>
          <w:color w:val="000000"/>
          <w:lang w:val="en-GB"/>
        </w:rPr>
        <w:t xml:space="preserve"> since</w:t>
      </w:r>
      <w:r w:rsidRPr="009C48DA" w:rsidR="00CA73E8">
        <w:rPr>
          <w:color w:val="000000"/>
          <w:lang w:val="en-GB"/>
        </w:rPr>
        <w:t xml:space="preserve"> 3</w:t>
      </w:r>
      <w:r w:rsidRPr="009C48DA" w:rsidR="00AE0991">
        <w:rPr>
          <w:color w:val="000000"/>
          <w:lang w:val="en-GB"/>
        </w:rPr>
        <w:t>1 </w:t>
      </w:r>
      <w:r w:rsidRPr="009C48DA" w:rsidR="00596711">
        <w:rPr>
          <w:color w:val="000000"/>
          <w:lang w:val="en-GB"/>
        </w:rPr>
        <w:t>March 2021</w:t>
      </w:r>
      <w:r w:rsidRPr="009C48DA" w:rsidR="00427CB5">
        <w:rPr>
          <w:color w:val="000000"/>
          <w:lang w:val="en-GB"/>
        </w:rPr>
        <w:t xml:space="preserve">, </w:t>
      </w:r>
      <w:r w:rsidRPr="009C48DA" w:rsidR="007F399F">
        <w:rPr>
          <w:color w:val="000000"/>
          <w:lang w:val="en-GB"/>
        </w:rPr>
        <w:t xml:space="preserve">being the end of the last financial period for which interim financial information has been published as set out in </w:t>
      </w:r>
      <w:r w:rsidRPr="009C48DA" w:rsidR="007F399F">
        <w:rPr>
          <w:color w:val="000000"/>
          <w:lang w:val="en-GB"/>
        </w:rPr>
        <w:fldChar w:fldCharType="begin"/>
      </w:r>
      <w:r w:rsidRPr="009C48DA" w:rsidR="007F399F">
        <w:rPr>
          <w:color w:val="000000"/>
          <w:lang w:val="en-GB"/>
        </w:rPr>
        <w:instrText xml:space="preserve"> REF _Ref71146177 \n \h </w:instrText>
      </w:r>
      <w:r w:rsidRPr="009C48DA" w:rsidR="00F10B04">
        <w:rPr>
          <w:color w:val="000000"/>
          <w:lang w:val="en-GB"/>
        </w:rPr>
        <w:instrText xml:space="preserve"> \* MERGEFORMAT </w:instrText>
      </w:r>
      <w:r w:rsidRPr="009C48DA" w:rsidR="007F399F">
        <w:rPr>
          <w:color w:val="000000"/>
          <w:lang w:val="en-GB"/>
        </w:rPr>
      </w:r>
      <w:r w:rsidRPr="009C48DA" w:rsidR="007F399F">
        <w:rPr>
          <w:color w:val="000000"/>
          <w:lang w:val="en-GB"/>
        </w:rPr>
        <w:fldChar w:fldCharType="separate"/>
      </w:r>
      <w:r w:rsidR="007C3D19">
        <w:rPr>
          <w:color w:val="000000"/>
          <w:lang w:val="en-GB"/>
        </w:rPr>
        <w:t>Part B</w:t>
      </w:r>
      <w:r w:rsidRPr="009C48DA" w:rsidR="007F399F">
        <w:rPr>
          <w:color w:val="000000"/>
          <w:lang w:val="en-GB"/>
        </w:rPr>
        <w:fldChar w:fldCharType="end"/>
      </w:r>
      <w:r w:rsidRPr="009C48DA" w:rsidR="007F399F">
        <w:rPr>
          <w:color w:val="000000"/>
          <w:lang w:val="en-GB"/>
        </w:rPr>
        <w:t xml:space="preserve"> of </w:t>
      </w:r>
      <w:r w:rsidRPr="009C48DA" w:rsidR="007F399F">
        <w:rPr>
          <w:color w:val="000000"/>
          <w:lang w:val="en-GB"/>
        </w:rPr>
        <w:fldChar w:fldCharType="begin"/>
      </w:r>
      <w:r w:rsidRPr="009C48DA" w:rsidR="007F399F">
        <w:rPr>
          <w:color w:val="000000"/>
          <w:lang w:val="en-GB"/>
        </w:rPr>
        <w:instrText xml:space="preserve"> REF _Ref71146182 \n \h </w:instrText>
      </w:r>
      <w:r w:rsidRPr="009C48DA" w:rsidR="00F10B04">
        <w:rPr>
          <w:color w:val="000000"/>
          <w:lang w:val="en-GB"/>
        </w:rPr>
        <w:instrText xml:space="preserve"> \* MERGEFORMAT </w:instrText>
      </w:r>
      <w:r w:rsidRPr="009C48DA" w:rsidR="007F399F">
        <w:rPr>
          <w:color w:val="000000"/>
          <w:lang w:val="en-GB"/>
        </w:rPr>
      </w:r>
      <w:r w:rsidRPr="009C48DA" w:rsidR="007F399F">
        <w:rPr>
          <w:color w:val="000000"/>
          <w:lang w:val="en-GB"/>
        </w:rPr>
        <w:fldChar w:fldCharType="separate"/>
      </w:r>
      <w:r w:rsidR="007C3D19">
        <w:rPr>
          <w:color w:val="000000"/>
          <w:lang w:val="en-GB"/>
        </w:rPr>
        <w:t>Part X</w:t>
      </w:r>
      <w:r w:rsidRPr="009C48DA" w:rsidR="007F399F">
        <w:rPr>
          <w:color w:val="000000"/>
          <w:lang w:val="en-GB"/>
        </w:rPr>
        <w:fldChar w:fldCharType="end"/>
      </w:r>
      <w:r w:rsidRPr="009C48DA" w:rsidR="007F399F">
        <w:rPr>
          <w:color w:val="000000"/>
          <w:lang w:val="en-GB"/>
        </w:rPr>
        <w:t xml:space="preserve"> (</w:t>
      </w:r>
      <w:r w:rsidRPr="009C48DA" w:rsidR="006320D1">
        <w:rPr>
          <w:i/>
          <w:szCs w:val="20"/>
          <w:lang w:val="en-GB"/>
        </w:rPr>
      </w:r>
      <w:r w:rsidRPr="007C3D19" w:rsidR="007C3D19">
        <w:rPr>
          <w:i/>
          <w:lang w:val="en-GB"/>
        </w:rPr>
        <w:t>Historical Financial Information</w:t>
      </w:r>
      <w:r w:rsidRPr="009C48DA" w:rsidR="007F399F">
        <w:rPr>
          <w:color w:val="000000"/>
          <w:lang w:val="en-GB"/>
        </w:rPr>
        <w:t>)</w:t>
      </w:r>
      <w:r w:rsidRPr="009C48DA" w:rsidR="00427CB5">
        <w:rPr>
          <w:color w:val="000000"/>
          <w:lang w:val="en-GB"/>
        </w:rPr>
        <w:t>.</w:t>
      </w:r>
    </w:p>
    <w:p w:rsidRPr="009C48DA" w:rsidR="00EE2752" w:rsidP="00EE2752" w:rsidRDefault="00EE2752" w14:paraId="29D93C9E" w14:textId="2DBF97C2">
      <w:pPr>
        <w:pStyle w:val="Heading3"/>
        <w:rPr>
          <w:lang w:val="en-GB"/>
        </w:rPr>
      </w:pPr>
      <w:r w:rsidRPr="009C48DA">
        <w:rPr>
          <w:lang w:val="en-GB"/>
        </w:rPr>
        <w:t>INDEPENDENT AUDITOR AND REPORTING ACCOUNTANT</w:t>
      </w:r>
    </w:p>
    <w:p w:rsidRPr="009C48DA" w:rsidR="00DA7B9D" w:rsidP="00794BFF" w:rsidRDefault="00CA73E8" w14:paraId="2065B821" w14:textId="497508A3">
      <w:pPr>
        <w:pStyle w:val="BlockText5SglJ"/>
        <w:rPr>
          <w:lang w:val="en-GB"/>
        </w:rPr>
      </w:pPr>
      <w:r w:rsidRPr="009C48DA">
        <w:rPr>
          <w:lang w:val="en-GB"/>
        </w:rPr>
        <w:t>The auditor of the Group f</w:t>
      </w:r>
      <w:r w:rsidRPr="009C48DA" w:rsidR="000F0321">
        <w:rPr>
          <w:lang w:val="en-GB"/>
        </w:rPr>
        <w:t xml:space="preserve">or the financial years ended 31 </w:t>
      </w:r>
      <w:r w:rsidRPr="009C48DA" w:rsidR="00FE0340">
        <w:rPr>
          <w:lang w:val="en-GB"/>
        </w:rPr>
        <w:t>December</w:t>
      </w:r>
      <w:r w:rsidRPr="009C48DA">
        <w:rPr>
          <w:lang w:val="en-GB"/>
        </w:rPr>
        <w:t xml:space="preserve"> 201</w:t>
      </w:r>
      <w:r w:rsidRPr="009C48DA" w:rsidR="00F01EF8">
        <w:rPr>
          <w:lang w:val="en-GB"/>
        </w:rPr>
        <w:t>8</w:t>
      </w:r>
      <w:r w:rsidRPr="009C48DA">
        <w:rPr>
          <w:lang w:val="en-GB"/>
        </w:rPr>
        <w:t>, 20</w:t>
      </w:r>
      <w:r w:rsidRPr="009C48DA" w:rsidR="00F01EF8">
        <w:rPr>
          <w:lang w:val="en-GB"/>
        </w:rPr>
        <w:t>19</w:t>
      </w:r>
      <w:r w:rsidRPr="009C48DA">
        <w:rPr>
          <w:lang w:val="en-GB"/>
        </w:rPr>
        <w:t xml:space="preserve"> and 202</w:t>
      </w:r>
      <w:r w:rsidRPr="009C48DA" w:rsidR="00F01EF8">
        <w:rPr>
          <w:lang w:val="en-GB"/>
        </w:rPr>
        <w:t>0</w:t>
      </w:r>
      <w:r w:rsidRPr="009C48DA">
        <w:rPr>
          <w:lang w:val="en-GB"/>
        </w:rPr>
        <w:t xml:space="preserve"> was </w:t>
      </w:r>
      <w:r w:rsidRPr="009C48DA" w:rsidR="007D2E1B">
        <w:rPr>
          <w:lang w:val="en-GB"/>
        </w:rPr>
        <w:t>PricewaterhouseCoopers</w:t>
      </w:r>
      <w:r w:rsidRPr="009C48DA">
        <w:rPr>
          <w:lang w:val="en-GB"/>
        </w:rPr>
        <w:t xml:space="preserve"> LLP, whose registered office is at</w:t>
      </w:r>
      <w:r w:rsidRPr="009C48DA" w:rsidR="007D2E1B">
        <w:rPr>
          <w:lang w:val="en-GB"/>
        </w:rPr>
        <w:t xml:space="preserve"> </w:t>
      </w:r>
      <w:r w:rsidRPr="009C48DA" w:rsidR="000F0321">
        <w:rPr>
          <w:lang w:val="en-GB"/>
        </w:rPr>
        <w:t xml:space="preserve">1 Embankment Place, </w:t>
      </w:r>
      <w:r w:rsidRPr="009C48DA" w:rsidR="00794BFF">
        <w:rPr>
          <w:lang w:val="en-GB"/>
        </w:rPr>
        <w:t>London</w:t>
      </w:r>
      <w:r w:rsidRPr="009C48DA" w:rsidR="000F0321">
        <w:rPr>
          <w:lang w:val="en-GB"/>
        </w:rPr>
        <w:t>,</w:t>
      </w:r>
      <w:r w:rsidRPr="009C48DA" w:rsidR="00794BFF">
        <w:rPr>
          <w:lang w:val="en-GB"/>
        </w:rPr>
        <w:t xml:space="preserve"> WC2N 6RH</w:t>
      </w:r>
      <w:r w:rsidRPr="009C48DA">
        <w:rPr>
          <w:lang w:val="en-GB"/>
        </w:rPr>
        <w:t xml:space="preserve">. </w:t>
      </w:r>
      <w:r w:rsidRPr="009C48DA" w:rsidR="007D2E1B">
        <w:rPr>
          <w:lang w:val="en-GB"/>
        </w:rPr>
        <w:t>PricewaterhouseCoopers</w:t>
      </w:r>
      <w:r w:rsidRPr="009C48DA">
        <w:rPr>
          <w:lang w:val="en-GB"/>
        </w:rPr>
        <w:t xml:space="preserve"> LLP is a member of the Institute of Chartered Accountants in England and Wales.</w:t>
      </w:r>
    </w:p>
    <w:p w:rsidRPr="009C48DA" w:rsidR="000D6A7E" w:rsidP="00794BFF" w:rsidRDefault="000D6A7E" w14:paraId="77BE3584" w14:textId="2C356EF7">
      <w:pPr>
        <w:pStyle w:val="BlockText5SglJ"/>
        <w:rPr>
          <w:lang w:val="en-GB"/>
        </w:rPr>
      </w:pPr>
      <w:r w:rsidRPr="009C48DA">
        <w:rPr>
          <w:lang w:val="en-GB"/>
        </w:rPr>
        <w:t>The reporting accountant of the Group as of and for the financial years ended 31 December 2018, 2019 and 2020 and as of and for the three months ended 31 March 2021 was PricewaterhouseCoopers LLP, whose registered office is at 1 Embankment Place, London, WC2N 6RH. PricewaterhouseCoopers LLP is a member of the Institute of Chartered Accountants in England and Wales.</w:t>
      </w:r>
    </w:p>
    <w:p w:rsidRPr="009C48DA" w:rsidR="00EE2752" w:rsidP="000D3E7A" w:rsidRDefault="00EE2752" w14:paraId="6A916795" w14:textId="16E28558">
      <w:pPr>
        <w:pStyle w:val="Heading3"/>
        <w:keepNext/>
        <w:rPr>
          <w:lang w:val="en-GB"/>
        </w:rPr>
      </w:pPr>
      <w:bookmarkStart w:name="_Ref75563539" w:id="764"/>
      <w:r w:rsidRPr="009C48DA">
        <w:rPr>
          <w:lang w:val="en-GB"/>
        </w:rPr>
        <w:t>CONSENTS</w:t>
      </w:r>
      <w:bookmarkEnd w:id="764"/>
    </w:p>
    <w:p w:rsidRPr="009C48DA" w:rsidR="00DA7B9D" w:rsidRDefault="00A56A12" w14:paraId="63A362E5" w14:textId="52F7CD2A">
      <w:pPr>
        <w:pStyle w:val="BlockText5SglJ"/>
        <w:rPr>
          <w:lang w:val="en-GB"/>
        </w:rPr>
      </w:pPr>
      <w:r w:rsidRPr="009C48DA">
        <w:rPr>
          <w:lang w:val="en-GB"/>
        </w:rPr>
        <w:t>PricewaterhouseCoopers LLP has given and not withdrawn its written consent to the inclusion in this Registration Document of its Accountant’s Report on Historical Financial Information set out in</w:t>
      </w:r>
      <w:r w:rsidRPr="009C48DA" w:rsidR="00E205F0">
        <w:rPr>
          <w:lang w:val="en-GB"/>
        </w:rPr>
        <w:t xml:space="preserve"> </w:t>
      </w:r>
      <w:r w:rsidRPr="009C48DA" w:rsidR="008058C8">
        <w:rPr>
          <w:lang w:val="en-GB"/>
        </w:rPr>
        <w:fldChar w:fldCharType="begin"/>
      </w:r>
      <w:r w:rsidRPr="009C48DA" w:rsidR="008058C8">
        <w:rPr>
          <w:lang w:val="en-GB"/>
        </w:rPr>
        <w:instrText xml:space="preserve"> REF _Ref71146193 \n \h </w:instrText>
      </w:r>
      <w:r w:rsidRPr="009C48DA" w:rsidR="00F10B04">
        <w:rPr>
          <w:lang w:val="en-GB"/>
        </w:rPr>
        <w:instrText xml:space="preserve"> \* MERGEFORMAT </w:instrText>
      </w:r>
      <w:r w:rsidRPr="009C48DA" w:rsidR="008058C8">
        <w:rPr>
          <w:lang w:val="en-GB"/>
        </w:rPr>
      </w:r>
      <w:r w:rsidRPr="009C48DA" w:rsidR="008058C8">
        <w:rPr>
          <w:lang w:val="en-GB"/>
        </w:rPr>
        <w:fldChar w:fldCharType="separate"/>
      </w:r>
      <w:r w:rsidR="007C3D19">
        <w:rPr>
          <w:lang w:val="en-GB"/>
        </w:rPr>
        <w:t>Part A</w:t>
      </w:r>
      <w:r w:rsidRPr="009C48DA" w:rsidR="008058C8">
        <w:rPr>
          <w:lang w:val="en-GB"/>
        </w:rPr>
        <w:fldChar w:fldCharType="end"/>
      </w:r>
      <w:r w:rsidRPr="009C48DA" w:rsidR="00E205F0">
        <w:rPr>
          <w:lang w:val="en-GB"/>
        </w:rPr>
        <w:t xml:space="preserve"> </w:t>
      </w:r>
      <w:r w:rsidRPr="009C48DA" w:rsidR="00E205F0">
        <w:rPr>
          <w:lang w:val="en-GB"/>
        </w:rPr>
        <w:lastRenderedPageBreak/>
        <w:t xml:space="preserve">of </w:t>
      </w:r>
      <w:r w:rsidRPr="009C48DA" w:rsidR="008058C8">
        <w:rPr>
          <w:lang w:val="en-GB"/>
        </w:rPr>
        <w:fldChar w:fldCharType="begin"/>
      </w:r>
      <w:r w:rsidRPr="009C48DA" w:rsidR="008058C8">
        <w:rPr>
          <w:lang w:val="en-GB"/>
        </w:rPr>
        <w:instrText xml:space="preserve"> REF _Ref71146201 \n \h </w:instrText>
      </w:r>
      <w:r w:rsidRPr="009C48DA" w:rsidR="00F10B04">
        <w:rPr>
          <w:lang w:val="en-GB"/>
        </w:rPr>
        <w:instrText xml:space="preserve"> \* MERGEFORMAT </w:instrText>
      </w:r>
      <w:r w:rsidRPr="009C48DA" w:rsidR="008058C8">
        <w:rPr>
          <w:lang w:val="en-GB"/>
        </w:rPr>
      </w:r>
      <w:r w:rsidRPr="009C48DA" w:rsidR="008058C8">
        <w:rPr>
          <w:lang w:val="en-GB"/>
        </w:rPr>
        <w:fldChar w:fldCharType="separate"/>
      </w:r>
      <w:r w:rsidR="007C3D19">
        <w:rPr>
          <w:lang w:val="en-GB"/>
        </w:rPr>
        <w:t>Part X</w:t>
      </w:r>
      <w:r w:rsidRPr="009C48DA" w:rsidR="008058C8">
        <w:rPr>
          <w:lang w:val="en-GB"/>
        </w:rPr>
        <w:fldChar w:fldCharType="end"/>
      </w:r>
      <w:r w:rsidRPr="009C48DA" w:rsidR="008058C8">
        <w:rPr>
          <w:lang w:val="en-GB"/>
        </w:rPr>
        <w:t xml:space="preserve"> </w:t>
      </w:r>
      <w:r w:rsidRPr="009C48DA" w:rsidR="00E205F0">
        <w:rPr>
          <w:lang w:val="en-GB"/>
        </w:rPr>
        <w:t>(</w:t>
      </w:r>
      <w:r w:rsidRPr="009C48DA" w:rsidR="006320D1">
        <w:rPr>
          <w:i/>
          <w:szCs w:val="20"/>
          <w:lang w:val="en-GB"/>
        </w:rPr>
      </w:r>
      <w:r w:rsidRPr="007C3D19" w:rsidR="007C3D19">
        <w:rPr>
          <w:i/>
          <w:lang w:val="en-GB"/>
        </w:rPr>
        <w:t>Historical Financial Information</w:t>
      </w:r>
      <w:r w:rsidRPr="009C48DA" w:rsidR="00E205F0">
        <w:rPr>
          <w:lang w:val="en-GB"/>
        </w:rPr>
        <w:t>), and has</w:t>
      </w:r>
      <w:r w:rsidRPr="009C48DA" w:rsidR="00E93730">
        <w:rPr>
          <w:lang w:val="en-GB"/>
        </w:rPr>
        <w:t xml:space="preserve"> authorised the contents of that</w:t>
      </w:r>
      <w:r w:rsidRPr="009C48DA" w:rsidR="00E205F0">
        <w:rPr>
          <w:lang w:val="en-GB"/>
        </w:rPr>
        <w:t xml:space="preserve"> report as part of this Registration Document for the purposes of </w:t>
      </w:r>
      <w:r w:rsidRPr="009C48DA" w:rsidR="006F4DC9">
        <w:rPr>
          <w:lang w:val="en-GB"/>
        </w:rPr>
        <w:t>i</w:t>
      </w:r>
      <w:r w:rsidRPr="009C48DA" w:rsidR="00EE2752">
        <w:rPr>
          <w:lang w:val="en-GB"/>
        </w:rPr>
        <w:t>tem 1.3 of Annex 1</w:t>
      </w:r>
      <w:r w:rsidRPr="009C48DA" w:rsidR="00E93730">
        <w:rPr>
          <w:lang w:val="en-GB"/>
        </w:rPr>
        <w:t xml:space="preserve"> of </w:t>
      </w:r>
      <w:r w:rsidRPr="009C48DA" w:rsidR="00CB0E12">
        <w:rPr>
          <w:lang w:val="en-GB"/>
        </w:rPr>
        <w:t xml:space="preserve">the </w:t>
      </w:r>
      <w:r w:rsidRPr="009C48DA" w:rsidR="00A92879">
        <w:rPr>
          <w:lang w:val="en-GB"/>
        </w:rPr>
        <w:t>PR</w:t>
      </w:r>
      <w:r w:rsidRPr="009C48DA" w:rsidR="00CB0E12">
        <w:rPr>
          <w:lang w:val="en-GB"/>
        </w:rPr>
        <w:t xml:space="preserve"> Regulation.</w:t>
      </w:r>
    </w:p>
    <w:p w:rsidRPr="009C48DA" w:rsidR="00DA7B9D" w:rsidRDefault="00427CB5" w14:paraId="0E15DC69" w14:textId="77777777">
      <w:pPr>
        <w:pStyle w:val="Heading3"/>
        <w:rPr>
          <w:lang w:val="en-GB"/>
        </w:rPr>
      </w:pPr>
      <w:r w:rsidRPr="009C48DA">
        <w:rPr>
          <w:lang w:val="en-GB"/>
        </w:rPr>
        <w:t>NON-STATUTORY ACCOUNTS</w:t>
      </w:r>
    </w:p>
    <w:p w:rsidRPr="009C48DA" w:rsidR="00DA7B9D" w:rsidRDefault="00427CB5" w14:paraId="77B56D3A" w14:textId="77777777">
      <w:pPr>
        <w:pStyle w:val="BlockText5SglJ"/>
        <w:rPr>
          <w:lang w:val="en-GB"/>
        </w:rPr>
      </w:pPr>
      <w:r w:rsidRPr="009C48DA">
        <w:rPr>
          <w:lang w:val="en-GB"/>
        </w:rPr>
        <w:t xml:space="preserve">The financial information contained in this Registration Document which relates to the Group does not constitute statutory accounts as referred to in section 434(3) of the Companies Act 2006. </w:t>
      </w:r>
    </w:p>
    <w:p w:rsidRPr="009C48DA" w:rsidR="00DA7B9D" w:rsidRDefault="00427CB5" w14:paraId="062C360C" w14:textId="45C8F626">
      <w:pPr>
        <w:pStyle w:val="Heading3"/>
        <w:rPr>
          <w:lang w:val="en-GB"/>
        </w:rPr>
      </w:pPr>
      <w:r w:rsidRPr="009C48DA">
        <w:rPr>
          <w:lang w:val="en-GB"/>
        </w:rPr>
        <w:t>NO INCORPORATION OF WEBSITE INFORMATION</w:t>
      </w:r>
    </w:p>
    <w:p w:rsidRPr="009C48DA" w:rsidR="00DA7B9D" w:rsidRDefault="00427CB5" w14:paraId="69221418" w14:textId="5BCBB5A3">
      <w:pPr>
        <w:pStyle w:val="BlockText5SglJ"/>
        <w:rPr>
          <w:color w:val="000000"/>
          <w:lang w:val="en-GB"/>
        </w:rPr>
      </w:pPr>
      <w:r w:rsidRPr="009C48DA">
        <w:rPr>
          <w:color w:val="000000"/>
          <w:lang w:val="en-GB"/>
        </w:rPr>
        <w:t>The c</w:t>
      </w:r>
      <w:r w:rsidRPr="009C48DA" w:rsidR="0061313C">
        <w:rPr>
          <w:color w:val="000000"/>
          <w:lang w:val="en-GB"/>
        </w:rPr>
        <w:t>ontents of the Group</w:t>
      </w:r>
      <w:r w:rsidRPr="009C48DA">
        <w:rPr>
          <w:color w:val="000000"/>
          <w:lang w:val="en-GB"/>
        </w:rPr>
        <w:t xml:space="preserve">’s </w:t>
      </w:r>
      <w:r w:rsidRPr="009C48DA">
        <w:rPr>
          <w:lang w:val="en-GB"/>
        </w:rPr>
        <w:t>website</w:t>
      </w:r>
      <w:r w:rsidRPr="009C48DA">
        <w:rPr>
          <w:color w:val="000000"/>
          <w:lang w:val="en-GB"/>
        </w:rPr>
        <w:t xml:space="preserve"> do not form part of this Registration Document.</w:t>
      </w:r>
    </w:p>
    <w:p w:rsidRPr="009C48DA" w:rsidR="00DA7B9D" w:rsidRDefault="00427CB5" w14:paraId="5B69BD3A" w14:textId="7B0A04D2">
      <w:pPr>
        <w:pStyle w:val="Heading3"/>
        <w:keepNext/>
        <w:rPr>
          <w:lang w:val="en-GB"/>
        </w:rPr>
      </w:pPr>
      <w:r w:rsidRPr="009C48DA">
        <w:rPr>
          <w:lang w:val="en-GB"/>
        </w:rPr>
        <w:t>DOCUMENTS AVAILABLE FOR INSPECTION</w:t>
      </w:r>
    </w:p>
    <w:p w:rsidRPr="009C48DA" w:rsidR="00DA7B9D" w:rsidRDefault="00427CB5" w14:paraId="028D321D" w14:textId="0786B16F">
      <w:pPr>
        <w:pStyle w:val="BlockText5SglJ"/>
        <w:rPr>
          <w:color w:val="000000"/>
          <w:lang w:val="en-GB"/>
        </w:rPr>
      </w:pPr>
      <w:r w:rsidRPr="009C48DA">
        <w:rPr>
          <w:color w:val="000000"/>
          <w:lang w:val="en-GB"/>
        </w:rPr>
        <w:t xml:space="preserve">Copies of the following documents will be published in electronic form and will be available on </w:t>
      </w:r>
      <w:r w:rsidRPr="009C48DA" w:rsidR="00D70949">
        <w:rPr>
          <w:color w:val="000000"/>
          <w:lang w:val="en-GB"/>
        </w:rPr>
        <w:t xml:space="preserve">the Group’s </w:t>
      </w:r>
      <w:r w:rsidRPr="009C48DA">
        <w:rPr>
          <w:color w:val="000000"/>
          <w:lang w:val="en-GB"/>
        </w:rPr>
        <w:t xml:space="preserve">website at </w:t>
      </w:r>
      <w:hyperlink w:history="1" r:id="rId77">
        <w:r w:rsidRPr="009C48DA" w:rsidR="00E754E9">
          <w:rPr>
            <w:rStyle w:val="Hyperlink"/>
            <w:rFonts w:eastAsia="Times New Roman"/>
            <w:lang w:val="en-GB"/>
          </w:rPr>
          <w:t>https://www.bridgepoint.eu/</w:t>
        </w:r>
      </w:hyperlink>
      <w:r w:rsidRPr="009C48DA" w:rsidR="00E754E9">
        <w:rPr>
          <w:rFonts w:eastAsia="Times New Roman"/>
          <w:color w:val="000000"/>
          <w:lang w:val="en-GB"/>
        </w:rPr>
        <w:t xml:space="preserve"> </w:t>
      </w:r>
      <w:r w:rsidRPr="009C48DA" w:rsidR="00D70949">
        <w:rPr>
          <w:color w:val="000000"/>
          <w:lang w:val="en-GB"/>
        </w:rPr>
        <w:t xml:space="preserve">for a period of </w:t>
      </w:r>
      <w:r w:rsidRPr="009C48DA">
        <w:rPr>
          <w:color w:val="000000"/>
          <w:lang w:val="en-GB"/>
        </w:rPr>
        <w:t>12 months from the date of publication of this Registration Document:</w:t>
      </w:r>
    </w:p>
    <w:p w:rsidRPr="009C48DA" w:rsidR="00DA7B9D" w:rsidP="00177777" w:rsidRDefault="00427CB5" w14:paraId="7DC8466B" w14:textId="77777777">
      <w:pPr>
        <w:pStyle w:val="Heading5"/>
        <w:numPr>
          <w:ilvl w:val="4"/>
          <w:numId w:val="28"/>
        </w:numPr>
        <w:rPr>
          <w:lang w:val="en-GB"/>
        </w:rPr>
      </w:pPr>
      <w:r w:rsidRPr="009C48DA">
        <w:rPr>
          <w:lang w:val="en-GB"/>
        </w:rPr>
        <w:t>the Articles;</w:t>
      </w:r>
    </w:p>
    <w:p w:rsidRPr="009C48DA" w:rsidR="00DA7B9D" w:rsidP="00177777" w:rsidRDefault="00427CB5" w14:paraId="07426672" w14:textId="42E9D495">
      <w:pPr>
        <w:pStyle w:val="Heading5"/>
        <w:numPr>
          <w:ilvl w:val="4"/>
          <w:numId w:val="28"/>
        </w:numPr>
        <w:rPr>
          <w:lang w:val="en-GB"/>
        </w:rPr>
      </w:pPr>
      <w:r w:rsidRPr="009C48DA">
        <w:rPr>
          <w:lang w:val="en-GB"/>
        </w:rPr>
        <w:t xml:space="preserve">the Reporting Accountant’s report on the Historical Financial Information, as set forth in </w:t>
      </w:r>
      <w:r w:rsidRPr="009C48DA" w:rsidR="008058C8">
        <w:rPr>
          <w:lang w:val="en-GB"/>
        </w:rPr>
        <w:fldChar w:fldCharType="begin"/>
      </w:r>
      <w:r w:rsidRPr="009C48DA" w:rsidR="008058C8">
        <w:rPr>
          <w:lang w:val="en-GB"/>
        </w:rPr>
        <w:instrText xml:space="preserve"> REF _Ref71146211 \n \h </w:instrText>
      </w:r>
      <w:r w:rsidRPr="009C48DA" w:rsidR="00F10B04">
        <w:rPr>
          <w:lang w:val="en-GB"/>
        </w:rPr>
        <w:instrText xml:space="preserve"> \* MERGEFORMAT </w:instrText>
      </w:r>
      <w:r w:rsidRPr="009C48DA" w:rsidR="008058C8">
        <w:rPr>
          <w:lang w:val="en-GB"/>
        </w:rPr>
      </w:r>
      <w:r w:rsidRPr="009C48DA" w:rsidR="008058C8">
        <w:rPr>
          <w:lang w:val="en-GB"/>
        </w:rPr>
        <w:fldChar w:fldCharType="separate"/>
      </w:r>
      <w:r w:rsidR="007C3D19">
        <w:rPr>
          <w:lang w:val="en-GB"/>
        </w:rPr>
        <w:t>Part A</w:t>
      </w:r>
      <w:r w:rsidRPr="009C48DA" w:rsidR="008058C8">
        <w:rPr>
          <w:lang w:val="en-GB"/>
        </w:rPr>
        <w:fldChar w:fldCharType="end"/>
      </w:r>
      <w:r w:rsidRPr="009C48DA">
        <w:rPr>
          <w:lang w:val="en-GB"/>
        </w:rPr>
        <w:t xml:space="preserve"> of </w:t>
      </w:r>
      <w:r w:rsidRPr="009C48DA" w:rsidR="008058C8">
        <w:rPr>
          <w:lang w:val="en-GB"/>
        </w:rPr>
        <w:fldChar w:fldCharType="begin"/>
      </w:r>
      <w:r w:rsidRPr="009C48DA" w:rsidR="008058C8">
        <w:rPr>
          <w:lang w:val="en-GB"/>
        </w:rPr>
        <w:instrText xml:space="preserve"> REF _Ref71146218 \n \h </w:instrText>
      </w:r>
      <w:r w:rsidRPr="009C48DA" w:rsidR="00F10B04">
        <w:rPr>
          <w:lang w:val="en-GB"/>
        </w:rPr>
        <w:instrText xml:space="preserve"> \* MERGEFORMAT </w:instrText>
      </w:r>
      <w:r w:rsidRPr="009C48DA" w:rsidR="008058C8">
        <w:rPr>
          <w:lang w:val="en-GB"/>
        </w:rPr>
      </w:r>
      <w:r w:rsidRPr="009C48DA" w:rsidR="008058C8">
        <w:rPr>
          <w:lang w:val="en-GB"/>
        </w:rPr>
        <w:fldChar w:fldCharType="separate"/>
      </w:r>
      <w:r w:rsidR="007C3D19">
        <w:rPr>
          <w:lang w:val="en-GB"/>
        </w:rPr>
        <w:t>Part X</w:t>
      </w:r>
      <w:r w:rsidRPr="009C48DA" w:rsidR="008058C8">
        <w:rPr>
          <w:lang w:val="en-GB"/>
        </w:rPr>
        <w:fldChar w:fldCharType="end"/>
      </w:r>
      <w:r w:rsidRPr="009C48DA">
        <w:rPr>
          <w:lang w:val="en-GB"/>
        </w:rPr>
        <w:t xml:space="preserve"> (</w:t>
      </w:r>
      <w:r w:rsidRPr="009C48DA" w:rsidR="006320D1">
        <w:rPr>
          <w:i/>
          <w:szCs w:val="20"/>
          <w:lang w:val="en-GB"/>
        </w:rPr>
      </w:r>
      <w:r w:rsidRPr="007C3D19" w:rsidR="007C3D19">
        <w:rPr>
          <w:i/>
          <w:lang w:val="en-GB"/>
        </w:rPr>
        <w:t>Historical Financial Information</w:t>
      </w:r>
      <w:r w:rsidRPr="009C48DA">
        <w:rPr>
          <w:lang w:val="en-GB"/>
        </w:rPr>
        <w:t>);</w:t>
      </w:r>
    </w:p>
    <w:p w:rsidRPr="009C48DA" w:rsidR="00DA7B9D" w:rsidP="002C2E6C" w:rsidRDefault="00427CB5" w14:paraId="1960D94A" w14:textId="0EB314BD">
      <w:pPr>
        <w:pStyle w:val="Heading5"/>
        <w:rPr>
          <w:lang w:val="en-GB"/>
        </w:rPr>
      </w:pPr>
      <w:r w:rsidRPr="009C48DA">
        <w:rPr>
          <w:lang w:val="en-GB"/>
        </w:rPr>
        <w:t>the consent letter referred to</w:t>
      </w:r>
      <w:r w:rsidRPr="009C48DA" w:rsidR="00430AAD">
        <w:rPr>
          <w:lang w:val="en-GB"/>
        </w:rPr>
        <w:t xml:space="preserve"> in section </w:t>
      </w:r>
      <w:r w:rsidRPr="009C48DA" w:rsidR="00C925C2">
        <w:rPr>
          <w:lang w:val="en-GB"/>
        </w:rPr>
        <w:fldChar w:fldCharType="begin"/>
      </w:r>
      <w:r w:rsidRPr="009C48DA" w:rsidR="00C925C2">
        <w:rPr>
          <w:lang w:val="en-GB"/>
        </w:rPr>
        <w:instrText xml:space="preserve"> REF _Ref75563539 \r \h </w:instrText>
      </w:r>
      <w:r w:rsidRPr="009C48DA" w:rsidR="00C925C2">
        <w:rPr>
          <w:lang w:val="en-GB"/>
        </w:rPr>
      </w:r>
      <w:r w:rsidRPr="009C48DA" w:rsidR="00C925C2">
        <w:rPr>
          <w:lang w:val="en-GB"/>
        </w:rPr>
        <w:fldChar w:fldCharType="separate"/>
      </w:r>
      <w:r w:rsidR="007C3D19">
        <w:rPr>
          <w:lang w:val="en-GB"/>
        </w:rPr>
        <w:t>17</w:t>
      </w:r>
      <w:r w:rsidRPr="009C48DA" w:rsidR="00C925C2">
        <w:rPr>
          <w:lang w:val="en-GB"/>
        </w:rPr>
        <w:fldChar w:fldCharType="end"/>
      </w:r>
      <w:r w:rsidRPr="009C48DA" w:rsidR="00C925C2">
        <w:rPr>
          <w:lang w:val="en-GB"/>
        </w:rPr>
        <w:t xml:space="preserve"> </w:t>
      </w:r>
      <w:r w:rsidRPr="009C48DA" w:rsidR="00C2218D">
        <w:rPr>
          <w:i/>
          <w:lang w:val="en-GB"/>
        </w:rPr>
        <w:t>(</w:t>
      </w:r>
      <w:r w:rsidRPr="009C48DA" w:rsidR="00C925C2">
        <w:rPr>
          <w:i/>
          <w:lang w:val="en-GB"/>
        </w:rPr>
        <w:t>Consents</w:t>
      </w:r>
      <w:r w:rsidRPr="009C48DA" w:rsidR="00C2218D">
        <w:rPr>
          <w:i/>
          <w:lang w:val="en-GB"/>
        </w:rPr>
        <w:t>)</w:t>
      </w:r>
      <w:r w:rsidRPr="009C48DA" w:rsidR="00F04F82">
        <w:rPr>
          <w:lang w:val="en-GB"/>
        </w:rPr>
        <w:t xml:space="preserve">of this </w:t>
      </w:r>
      <w:r w:rsidRPr="009C48DA" w:rsidR="008058C8">
        <w:rPr>
          <w:lang w:val="en-GB"/>
        </w:rPr>
        <w:fldChar w:fldCharType="begin"/>
      </w:r>
      <w:r w:rsidRPr="009C48DA" w:rsidR="008058C8">
        <w:rPr>
          <w:lang w:val="en-GB"/>
        </w:rPr>
        <w:instrText xml:space="preserve"> REF _Ref71146232 \n \h </w:instrText>
      </w:r>
      <w:r w:rsidRPr="009C48DA" w:rsidR="00F10B04">
        <w:rPr>
          <w:lang w:val="en-GB"/>
        </w:rPr>
        <w:instrText xml:space="preserve"> \* MERGEFORMAT </w:instrText>
      </w:r>
      <w:r w:rsidRPr="009C48DA" w:rsidR="008058C8">
        <w:rPr>
          <w:lang w:val="en-GB"/>
        </w:rPr>
      </w:r>
      <w:r w:rsidRPr="009C48DA" w:rsidR="008058C8">
        <w:rPr>
          <w:lang w:val="en-GB"/>
        </w:rPr>
        <w:fldChar w:fldCharType="separate"/>
      </w:r>
      <w:r w:rsidR="007C3D19">
        <w:rPr>
          <w:lang w:val="en-GB"/>
        </w:rPr>
        <w:t>Part XI</w:t>
      </w:r>
      <w:r w:rsidRPr="009C48DA" w:rsidR="008058C8">
        <w:rPr>
          <w:lang w:val="en-GB"/>
        </w:rPr>
        <w:fldChar w:fldCharType="end"/>
      </w:r>
      <w:r w:rsidRPr="009C48DA">
        <w:rPr>
          <w:lang w:val="en-GB"/>
        </w:rPr>
        <w:t xml:space="preserve"> (</w:t>
      </w:r>
      <w:r w:rsidRPr="009C48DA" w:rsidR="001B45EC">
        <w:rPr>
          <w:i/>
          <w:color w:val="000000"/>
          <w:lang w:val="en-GB"/>
        </w:rPr>
      </w:r>
      <w:r w:rsidRPr="007C3D19" w:rsidR="007C3D19">
        <w:rPr>
          <w:i/>
          <w:lang w:val="en-GB"/>
        </w:rPr>
        <w:t>Additional Information</w:t>
      </w:r>
      <w:r w:rsidRPr="009C48DA">
        <w:rPr>
          <w:lang w:val="en-GB"/>
        </w:rPr>
        <w:t>); and</w:t>
      </w:r>
    </w:p>
    <w:p w:rsidRPr="009C48DA" w:rsidR="00DA7B9D" w:rsidRDefault="00427CB5" w14:paraId="337CB65D" w14:textId="0F2E2807">
      <w:pPr>
        <w:pStyle w:val="Heading5"/>
        <w:rPr>
          <w:lang w:val="en-GB"/>
        </w:rPr>
      </w:pPr>
      <w:r w:rsidRPr="009C48DA">
        <w:rPr>
          <w:lang w:val="en-GB"/>
        </w:rPr>
        <w:t>a copy of this Registration Document.</w:t>
      </w:r>
    </w:p>
    <w:p w:rsidRPr="009C48DA" w:rsidR="00CD6132" w:rsidP="00CD6132" w:rsidRDefault="00CD6132" w14:paraId="78C24911" w14:textId="1079DD7B">
      <w:pPr>
        <w:pStyle w:val="Heading5"/>
        <w:numPr>
          <w:ilvl w:val="0"/>
          <w:numId w:val="0"/>
        </w:numPr>
        <w:ind w:left="720"/>
        <w:rPr>
          <w:lang w:val="en-GB"/>
        </w:rPr>
      </w:pPr>
      <w:r w:rsidRPr="009C48DA">
        <w:rPr>
          <w:lang w:val="en-GB"/>
        </w:rPr>
        <w:t xml:space="preserve">Dated: </w:t>
      </w:r>
      <w:r w:rsidR="00B56A37">
        <w:rPr>
          <w:lang w:val="en-GB"/>
        </w:rPr>
        <w:t xml:space="preserve">29 June </w:t>
      </w:r>
      <w:r w:rsidRPr="009C48DA" w:rsidR="00D07543">
        <w:rPr>
          <w:lang w:val="en-GB"/>
        </w:rPr>
        <w:t>2021.</w:t>
      </w:r>
    </w:p>
    <w:p w:rsidRPr="009C48DA" w:rsidR="00DA7B9D" w:rsidRDefault="00427CB5" w14:paraId="526CD664" w14:textId="77777777">
      <w:pPr>
        <w:rPr>
          <w:b/>
          <w:color w:val="000000"/>
          <w:lang w:val="en-GB"/>
        </w:rPr>
      </w:pPr>
      <w:r w:rsidRPr="009C48DA">
        <w:rPr>
          <w:color w:val="000000"/>
          <w:lang w:val="en-GB"/>
        </w:rPr>
        <w:br w:type="page"/>
      </w:r>
    </w:p>
    <w:p w:rsidRPr="009C48DA" w:rsidR="00DA7B9D" w:rsidP="00F172AB" w:rsidRDefault="00F02DE2" w14:paraId="3469948B" w14:textId="6E2C20D9">
      <w:pPr>
        <w:pStyle w:val="Heading1"/>
        <w:rPr>
          <w:lang w:val="en-GB"/>
        </w:rPr>
      </w:pPr>
      <w:bookmarkStart w:name="_Toc4171259" w:id="765"/>
      <w:r w:rsidRPr="009C48DA">
        <w:rPr>
          <w:lang w:val="en-GB"/>
        </w:rPr>
        <w:lastRenderedPageBreak/>
        <w:br/>
      </w:r>
      <w:r w:rsidRPr="009C48DA">
        <w:rPr>
          <w:lang w:val="en-GB"/>
        </w:rPr>
        <w:br/>
      </w:r>
      <w:bookmarkStart w:name="_Toc67956041" w:id="766"/>
      <w:bookmarkStart w:name="_Toc67963003" w:id="767"/>
      <w:bookmarkStart w:name="_Toc67963384" w:id="768"/>
      <w:bookmarkStart w:name="_Ref71140974" w:id="769"/>
      <w:bookmarkStart w:name="_Ref71141009" w:id="770"/>
      <w:bookmarkStart w:name="_Ref71145980" w:id="771"/>
      <w:bookmarkStart w:name="_Toc71147115" w:id="772"/>
      <w:bookmarkStart w:name="_Toc71147155" w:id="773"/>
      <w:bookmarkStart w:name="_Toc71147167" w:id="774"/>
      <w:bookmarkStart w:name="_Toc71167153" w:id="775"/>
      <w:bookmarkStart w:name="_Toc71187622" w:id="776"/>
      <w:bookmarkStart w:name="_Toc71188684" w:id="777"/>
      <w:bookmarkStart w:name="_Ref74555747" w:id="778"/>
      <w:bookmarkStart w:name="_Toc75831930" w:id="779"/>
      <w:r w:rsidRPr="009C48DA" w:rsidR="00F172AB">
        <w:rPr>
          <w:lang w:val="en-GB"/>
        </w:rPr>
        <w:t>Definitions</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rsidRPr="009C48DA" w:rsidR="00904A27" w:rsidP="00261E8C" w:rsidRDefault="00904A27" w14:paraId="30A56670" w14:textId="28D05112">
      <w:pPr>
        <w:pStyle w:val="BlockTextSglJ"/>
        <w:rPr>
          <w:lang w:val="en-GB"/>
        </w:rPr>
      </w:pPr>
      <w:r w:rsidRPr="009C48DA">
        <w:rPr>
          <w:lang w:val="en-GB"/>
        </w:rPr>
        <w:t>The following definitions apply throughout this Registration Document unless the context otherwise requires:</w:t>
      </w:r>
    </w:p>
    <w:tbl>
      <w:tblPr>
        <w:tblStyle w:val="TableGrid"/>
        <w:tblW w:w="5085" w:type="pct"/>
        <w:tblInd w:w="-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511"/>
        <w:gridCol w:w="6693"/>
      </w:tblGrid>
      <w:tr w:rsidRPr="009C48DA" w:rsidR="00AA219A" w:rsidTr="00FA0364" w14:paraId="0338F538" w14:textId="77777777">
        <w:tc>
          <w:tcPr>
            <w:tcW w:w="2511" w:type="dxa"/>
          </w:tcPr>
          <w:p w:rsidRPr="009C48DA" w:rsidR="00AA219A" w:rsidP="0087688D" w:rsidRDefault="00AA219A" w14:paraId="318A063F" w14:textId="0809E6D9">
            <w:pPr>
              <w:spacing w:after="240"/>
              <w:ind w:right="72"/>
              <w:textAlignment w:val="baseline"/>
              <w:rPr>
                <w:b/>
                <w:color w:val="000000"/>
                <w:sz w:val="20"/>
                <w:szCs w:val="20"/>
                <w:lang w:val="en-GB"/>
              </w:rPr>
            </w:pPr>
            <w:r w:rsidRPr="009C48DA">
              <w:rPr>
                <w:b/>
                <w:color w:val="000000"/>
                <w:sz w:val="20"/>
                <w:szCs w:val="20"/>
                <w:lang w:val="en-GB"/>
              </w:rPr>
              <w:t>Admission</w:t>
            </w:r>
          </w:p>
        </w:tc>
        <w:tc>
          <w:tcPr>
            <w:tcW w:w="6693" w:type="dxa"/>
          </w:tcPr>
          <w:p w:rsidRPr="009C48DA" w:rsidR="00AA219A" w:rsidP="00AA219A" w:rsidRDefault="00AA219A" w14:paraId="171E5F41" w14:textId="175544F2">
            <w:pPr>
              <w:spacing w:after="240"/>
              <w:jc w:val="both"/>
              <w:textAlignment w:val="baseline"/>
              <w:rPr>
                <w:color w:val="000000"/>
                <w:sz w:val="20"/>
                <w:szCs w:val="20"/>
                <w:lang w:val="en-GB"/>
              </w:rPr>
            </w:pPr>
            <w:r w:rsidRPr="009C48DA">
              <w:rPr>
                <w:color w:val="000000"/>
                <w:sz w:val="20"/>
                <w:szCs w:val="20"/>
                <w:lang w:val="en-GB"/>
              </w:rPr>
              <w:t>means the potential admission of shares in the Company to the premium listing segment of the Official List of the FCA and to trading on the main market for listed securities of the London Stock Exchange becoming effective which would require the publication of a prospectus in accordance with the Prospectus Regulation Rules;</w:t>
            </w:r>
          </w:p>
        </w:tc>
      </w:tr>
      <w:tr w:rsidRPr="009C48DA" w:rsidR="009B574A" w:rsidTr="00FA0364" w14:paraId="623702D2" w14:textId="77777777">
        <w:tc>
          <w:tcPr>
            <w:tcW w:w="2511" w:type="dxa"/>
          </w:tcPr>
          <w:p w:rsidRPr="009C48DA" w:rsidR="009B574A" w:rsidP="0087688D" w:rsidRDefault="009B574A" w14:paraId="2702F6E8" w14:textId="25B9E7DA">
            <w:pPr>
              <w:spacing w:after="240"/>
              <w:ind w:right="72"/>
              <w:textAlignment w:val="baseline"/>
              <w:rPr>
                <w:b/>
                <w:color w:val="000000"/>
                <w:sz w:val="20"/>
                <w:szCs w:val="20"/>
                <w:lang w:val="en-GB"/>
              </w:rPr>
            </w:pPr>
            <w:r w:rsidRPr="009C48DA">
              <w:rPr>
                <w:b/>
                <w:color w:val="000000"/>
                <w:sz w:val="20"/>
                <w:szCs w:val="20"/>
                <w:lang w:val="en-GB"/>
              </w:rPr>
              <w:t>Advisers Act</w:t>
            </w:r>
          </w:p>
        </w:tc>
        <w:tc>
          <w:tcPr>
            <w:tcW w:w="6693" w:type="dxa"/>
          </w:tcPr>
          <w:p w:rsidRPr="009C48DA" w:rsidR="009B574A" w:rsidP="0087688D" w:rsidRDefault="00FD3548" w14:paraId="37C6D71B" w14:textId="484EA04A">
            <w:pPr>
              <w:spacing w:after="240"/>
              <w:jc w:val="both"/>
              <w:textAlignment w:val="baseline"/>
              <w:rPr>
                <w:color w:val="000000"/>
                <w:sz w:val="20"/>
                <w:szCs w:val="20"/>
                <w:lang w:val="en-GB"/>
              </w:rPr>
            </w:pPr>
            <w:r w:rsidRPr="009C48DA">
              <w:rPr>
                <w:color w:val="000000"/>
                <w:sz w:val="20"/>
                <w:szCs w:val="20"/>
                <w:lang w:val="en-GB"/>
              </w:rPr>
              <w:t>means the Investment Advisers Act of 1940;</w:t>
            </w:r>
          </w:p>
        </w:tc>
      </w:tr>
      <w:tr w:rsidRPr="009C48DA" w:rsidR="0056750B" w:rsidTr="00FA0364" w14:paraId="536840A3" w14:textId="77777777">
        <w:tc>
          <w:tcPr>
            <w:tcW w:w="2511" w:type="dxa"/>
          </w:tcPr>
          <w:p w:rsidRPr="009C48DA" w:rsidR="0056750B" w:rsidP="0087688D" w:rsidRDefault="0056750B" w14:paraId="510DE77A" w14:textId="59C253A1">
            <w:pPr>
              <w:spacing w:after="240"/>
              <w:ind w:right="72"/>
              <w:textAlignment w:val="baseline"/>
              <w:rPr>
                <w:b/>
                <w:color w:val="000000"/>
                <w:sz w:val="20"/>
                <w:szCs w:val="20"/>
                <w:lang w:val="en-GB"/>
              </w:rPr>
            </w:pPr>
            <w:r w:rsidRPr="009C48DA">
              <w:rPr>
                <w:b/>
                <w:color w:val="000000"/>
                <w:sz w:val="20"/>
                <w:szCs w:val="20"/>
                <w:lang w:val="en-GB"/>
              </w:rPr>
              <w:t>Agent</w:t>
            </w:r>
          </w:p>
        </w:tc>
        <w:tc>
          <w:tcPr>
            <w:tcW w:w="6693" w:type="dxa"/>
          </w:tcPr>
          <w:p w:rsidRPr="009C48DA" w:rsidR="0056750B" w:rsidP="00CA1F8F" w:rsidRDefault="0056750B" w14:paraId="1D760345" w14:textId="35B5B951">
            <w:pPr>
              <w:spacing w:after="240"/>
              <w:jc w:val="both"/>
              <w:textAlignment w:val="baseline"/>
              <w:rPr>
                <w:color w:val="000000"/>
                <w:sz w:val="20"/>
                <w:szCs w:val="20"/>
                <w:lang w:val="en-GB"/>
              </w:rPr>
            </w:pPr>
            <w:r w:rsidRPr="009C48DA">
              <w:rPr>
                <w:color w:val="000000"/>
                <w:sz w:val="20"/>
                <w:szCs w:val="20"/>
                <w:lang w:val="en-GB"/>
              </w:rPr>
              <w:t xml:space="preserve">has the meaning given in section </w:t>
            </w:r>
            <w:r w:rsidRPr="009C48DA" w:rsidR="00CA1F8F">
              <w:rPr>
                <w:sz w:val="20"/>
                <w:szCs w:val="20"/>
                <w:lang w:val="en-GB"/>
              </w:rPr>
              <w:fldChar w:fldCharType="begin"/>
            </w:r>
            <w:r w:rsidRPr="009C48DA" w:rsidR="00CA1F8F">
              <w:rPr>
                <w:color w:val="000000"/>
                <w:sz w:val="20"/>
                <w:szCs w:val="20"/>
                <w:lang w:val="en-GB"/>
              </w:rPr>
              <w:instrText xml:space="preserve"> REF _Ref74672707 \n \h </w:instrText>
            </w:r>
            <w:r w:rsidRPr="009C48DA" w:rsidR="00CA1F8F">
              <w:rPr>
                <w:sz w:val="20"/>
                <w:szCs w:val="20"/>
                <w:lang w:val="en-GB"/>
              </w:rPr>
            </w:r>
            <w:r w:rsidRPr="009C48DA" w:rsidR="00CA1F8F">
              <w:rPr>
                <w:sz w:val="20"/>
                <w:szCs w:val="20"/>
                <w:lang w:val="en-GB"/>
              </w:rPr>
              <w:fldChar w:fldCharType="separate"/>
            </w:r>
            <w:r w:rsidR="007C3D19">
              <w:rPr>
                <w:color w:val="000000"/>
                <w:sz w:val="20"/>
                <w:szCs w:val="20"/>
                <w:lang w:val="en-GB"/>
              </w:rPr>
              <w:t>14.3</w:t>
            </w:r>
            <w:r w:rsidRPr="009C48DA" w:rsidR="00CA1F8F">
              <w:rPr>
                <w:sz w:val="20"/>
                <w:szCs w:val="20"/>
                <w:lang w:val="en-GB"/>
              </w:rPr>
              <w:fldChar w:fldCharType="end"/>
            </w:r>
            <w:r w:rsidRPr="009C48DA">
              <w:rPr>
                <w:sz w:val="20"/>
                <w:szCs w:val="20"/>
                <w:lang w:val="en-GB"/>
              </w:rPr>
              <w:t xml:space="preserve"> </w:t>
            </w:r>
            <w:r w:rsidRPr="009C48DA">
              <w:rPr>
                <w:color w:val="000000"/>
                <w:sz w:val="20"/>
                <w:szCs w:val="20"/>
                <w:lang w:val="en-GB"/>
              </w:rPr>
              <w:t>(</w:t>
            </w:r>
            <w:r w:rsidRPr="009C48DA">
              <w:rPr>
                <w:i/>
                <w:color w:val="000000"/>
                <w:sz w:val="20"/>
                <w:szCs w:val="20"/>
                <w:lang w:val="en-GB"/>
              </w:rPr>
              <w:t>BAH Revolving Facility Agreement)</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_Ref71146433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XI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r>
            <w:r w:rsidRPr="007C3D19" w:rsidR="007C3D19">
              <w:rPr>
                <w:i/>
                <w:sz w:val="20"/>
                <w:szCs w:val="20"/>
                <w:lang w:val="en-GB"/>
              </w:rPr>
              <w:t>Additional Information</w:t>
            </w:r>
            <w:r w:rsidRPr="009C48DA">
              <w:rPr>
                <w:i/>
                <w:color w:val="000000"/>
                <w:sz w:val="20"/>
                <w:szCs w:val="20"/>
                <w:lang w:val="en-GB"/>
              </w:rPr>
              <w:t>)</w:t>
            </w:r>
            <w:r w:rsidRPr="009C48DA">
              <w:rPr>
                <w:color w:val="000000"/>
                <w:sz w:val="20"/>
                <w:szCs w:val="20"/>
                <w:lang w:val="en-GB"/>
              </w:rPr>
              <w:t>;</w:t>
            </w:r>
          </w:p>
        </w:tc>
      </w:tr>
      <w:tr w:rsidRPr="009C48DA" w:rsidR="00FD3548" w:rsidTr="00FA0364" w14:paraId="6BB6EC47" w14:textId="77777777">
        <w:tc>
          <w:tcPr>
            <w:tcW w:w="2511" w:type="dxa"/>
          </w:tcPr>
          <w:p w:rsidRPr="009C48DA" w:rsidR="00FD3548" w:rsidP="0087688D" w:rsidRDefault="00FD3548" w14:paraId="3F756D64" w14:textId="2D01BA3E">
            <w:pPr>
              <w:spacing w:after="240"/>
              <w:ind w:right="72"/>
              <w:textAlignment w:val="baseline"/>
              <w:rPr>
                <w:b/>
                <w:color w:val="000000"/>
                <w:sz w:val="20"/>
                <w:szCs w:val="20"/>
                <w:lang w:val="en-GB"/>
              </w:rPr>
            </w:pPr>
            <w:r w:rsidRPr="009C48DA">
              <w:rPr>
                <w:b/>
                <w:color w:val="000000"/>
                <w:sz w:val="20"/>
                <w:szCs w:val="20"/>
                <w:lang w:val="en-GB"/>
              </w:rPr>
              <w:t>AIFM</w:t>
            </w:r>
          </w:p>
        </w:tc>
        <w:tc>
          <w:tcPr>
            <w:tcW w:w="6693" w:type="dxa"/>
          </w:tcPr>
          <w:p w:rsidRPr="009C48DA" w:rsidR="00FD3548" w:rsidP="0087688D" w:rsidRDefault="00611834" w14:paraId="16F2626F" w14:textId="3B79B80E">
            <w:pPr>
              <w:spacing w:after="240"/>
              <w:jc w:val="both"/>
              <w:textAlignment w:val="baseline"/>
              <w:rPr>
                <w:color w:val="000000"/>
                <w:sz w:val="20"/>
                <w:szCs w:val="20"/>
                <w:lang w:val="en-GB"/>
              </w:rPr>
            </w:pPr>
            <w:r w:rsidRPr="009C48DA">
              <w:rPr>
                <w:color w:val="000000"/>
                <w:sz w:val="20"/>
                <w:szCs w:val="20"/>
                <w:lang w:val="en-GB"/>
              </w:rPr>
              <w:t xml:space="preserve">means </w:t>
            </w:r>
            <w:r w:rsidRPr="009C48DA" w:rsidR="00FD3548">
              <w:rPr>
                <w:color w:val="000000"/>
                <w:sz w:val="20"/>
                <w:szCs w:val="20"/>
                <w:lang w:val="en-GB"/>
              </w:rPr>
              <w:t>alternative investment fund managers;</w:t>
            </w:r>
          </w:p>
        </w:tc>
      </w:tr>
      <w:tr w:rsidRPr="009C48DA" w:rsidR="00FD3548" w:rsidTr="00FA0364" w14:paraId="3F882460" w14:textId="77777777">
        <w:tc>
          <w:tcPr>
            <w:tcW w:w="2511" w:type="dxa"/>
          </w:tcPr>
          <w:p w:rsidRPr="009C48DA" w:rsidR="00FD3548" w:rsidP="0087688D" w:rsidRDefault="00FD3548" w14:paraId="18FE8107" w14:textId="4DE152FF">
            <w:pPr>
              <w:spacing w:after="240"/>
              <w:ind w:right="72"/>
              <w:textAlignment w:val="baseline"/>
              <w:rPr>
                <w:b/>
                <w:color w:val="000000"/>
                <w:sz w:val="20"/>
                <w:szCs w:val="20"/>
                <w:lang w:val="en-GB"/>
              </w:rPr>
            </w:pPr>
            <w:r w:rsidRPr="009C48DA">
              <w:rPr>
                <w:b/>
                <w:color w:val="000000"/>
                <w:sz w:val="20"/>
                <w:szCs w:val="20"/>
                <w:lang w:val="en-GB"/>
              </w:rPr>
              <w:t>AIFM Directive</w:t>
            </w:r>
          </w:p>
        </w:tc>
        <w:tc>
          <w:tcPr>
            <w:tcW w:w="6693" w:type="dxa"/>
          </w:tcPr>
          <w:p w:rsidRPr="009C48DA" w:rsidR="00FD3548" w:rsidP="0087688D" w:rsidRDefault="00FD3548" w14:paraId="76A8A9D4" w14:textId="20B1DFF8">
            <w:pPr>
              <w:spacing w:after="240"/>
              <w:jc w:val="both"/>
              <w:textAlignment w:val="baseline"/>
              <w:rPr>
                <w:color w:val="000000"/>
                <w:sz w:val="20"/>
                <w:szCs w:val="20"/>
                <w:lang w:val="en-GB"/>
              </w:rPr>
            </w:pPr>
            <w:r w:rsidRPr="009C48DA">
              <w:rPr>
                <w:color w:val="000000"/>
                <w:sz w:val="20"/>
                <w:szCs w:val="20"/>
                <w:lang w:val="en-GB"/>
              </w:rPr>
              <w:t>means the Alternative Investment Fund Managers Directive (2011/61/EU);</w:t>
            </w:r>
          </w:p>
        </w:tc>
      </w:tr>
      <w:tr w:rsidRPr="009C48DA" w:rsidR="00FD3548" w:rsidTr="00FA0364" w14:paraId="4984DC57" w14:textId="77777777">
        <w:tc>
          <w:tcPr>
            <w:tcW w:w="2511" w:type="dxa"/>
          </w:tcPr>
          <w:p w:rsidRPr="009C48DA" w:rsidR="00FD3548" w:rsidP="0087688D" w:rsidRDefault="00FD3548" w14:paraId="5774276C" w14:textId="2053EF40">
            <w:pPr>
              <w:spacing w:after="240"/>
              <w:ind w:right="72"/>
              <w:textAlignment w:val="baseline"/>
              <w:rPr>
                <w:b/>
                <w:color w:val="000000"/>
                <w:sz w:val="20"/>
                <w:szCs w:val="20"/>
                <w:lang w:val="en-GB"/>
              </w:rPr>
            </w:pPr>
            <w:r w:rsidRPr="009C48DA">
              <w:rPr>
                <w:b/>
                <w:color w:val="000000"/>
                <w:sz w:val="20"/>
                <w:szCs w:val="20"/>
                <w:lang w:val="en-GB"/>
              </w:rPr>
              <w:t>AIFs</w:t>
            </w:r>
          </w:p>
        </w:tc>
        <w:tc>
          <w:tcPr>
            <w:tcW w:w="6693" w:type="dxa"/>
          </w:tcPr>
          <w:p w:rsidRPr="009C48DA" w:rsidR="00FD3548" w:rsidP="0087688D" w:rsidRDefault="00FD3548" w14:paraId="1E193EA4" w14:textId="4F0E3434">
            <w:pPr>
              <w:spacing w:after="240"/>
              <w:jc w:val="both"/>
              <w:textAlignment w:val="baseline"/>
              <w:rPr>
                <w:color w:val="000000"/>
                <w:sz w:val="20"/>
                <w:szCs w:val="20"/>
                <w:lang w:val="en-GB"/>
              </w:rPr>
            </w:pPr>
            <w:r w:rsidRPr="009C48DA">
              <w:rPr>
                <w:color w:val="000000"/>
                <w:sz w:val="20"/>
                <w:szCs w:val="20"/>
                <w:lang w:val="en-GB"/>
              </w:rPr>
              <w:t>means alternative investment funds;</w:t>
            </w:r>
          </w:p>
        </w:tc>
      </w:tr>
      <w:tr w:rsidRPr="009C48DA" w:rsidR="00FD3548" w:rsidTr="00FA0364" w14:paraId="00B0129C" w14:textId="77777777">
        <w:tc>
          <w:tcPr>
            <w:tcW w:w="2511" w:type="dxa"/>
          </w:tcPr>
          <w:p w:rsidRPr="009C48DA" w:rsidR="00FD3548" w:rsidP="0087688D" w:rsidRDefault="00FD3548" w14:paraId="64C08EF2" w14:textId="2EF684D0">
            <w:pPr>
              <w:spacing w:after="240"/>
              <w:ind w:right="72"/>
              <w:textAlignment w:val="baseline"/>
              <w:rPr>
                <w:b/>
                <w:color w:val="000000"/>
                <w:sz w:val="20"/>
                <w:szCs w:val="20"/>
                <w:lang w:val="en-GB"/>
              </w:rPr>
            </w:pPr>
            <w:r w:rsidRPr="009C48DA">
              <w:rPr>
                <w:b/>
                <w:color w:val="000000"/>
                <w:sz w:val="20"/>
                <w:szCs w:val="20"/>
                <w:lang w:val="en-GB"/>
              </w:rPr>
              <w:t>APMs</w:t>
            </w:r>
          </w:p>
        </w:tc>
        <w:tc>
          <w:tcPr>
            <w:tcW w:w="6693" w:type="dxa"/>
          </w:tcPr>
          <w:p w:rsidRPr="009C48DA" w:rsidR="00FD3548" w:rsidP="00BE7AE4" w:rsidRDefault="00FD3548" w14:paraId="4A38D0D3" w14:textId="7CA8EFF5">
            <w:pPr>
              <w:spacing w:after="240"/>
              <w:jc w:val="both"/>
              <w:textAlignment w:val="baseline"/>
              <w:rPr>
                <w:color w:val="000000"/>
                <w:sz w:val="20"/>
                <w:szCs w:val="20"/>
                <w:lang w:val="en-GB"/>
              </w:rPr>
            </w:pPr>
            <w:r w:rsidRPr="009C48DA">
              <w:rPr>
                <w:color w:val="000000"/>
                <w:sz w:val="20"/>
                <w:szCs w:val="20"/>
                <w:lang w:val="en-GB"/>
              </w:rPr>
              <w:t xml:space="preserve">means alternative performance measures, being a financial </w:t>
            </w:r>
            <w:r w:rsidRPr="009C48DA" w:rsidR="00BE7AE4">
              <w:rPr>
                <w:color w:val="000000"/>
                <w:sz w:val="20"/>
                <w:szCs w:val="20"/>
                <w:lang w:val="en-GB"/>
              </w:rPr>
              <w:t xml:space="preserve">or operating </w:t>
            </w:r>
            <w:r w:rsidRPr="009C48DA">
              <w:rPr>
                <w:color w:val="000000"/>
                <w:sz w:val="20"/>
                <w:szCs w:val="20"/>
                <w:lang w:val="en-GB"/>
              </w:rPr>
              <w:t>measure not defined or recognised under IFRS;</w:t>
            </w:r>
          </w:p>
        </w:tc>
      </w:tr>
      <w:tr w:rsidRPr="009C48DA" w:rsidR="00FD3548" w:rsidTr="00FA0364" w14:paraId="3030F6FE" w14:textId="77777777">
        <w:tc>
          <w:tcPr>
            <w:tcW w:w="2511" w:type="dxa"/>
          </w:tcPr>
          <w:p w:rsidRPr="009C48DA" w:rsidR="00FD3548" w:rsidP="0087688D" w:rsidRDefault="00FD3548" w14:paraId="0C7FAEDD" w14:textId="77777777">
            <w:pPr>
              <w:spacing w:after="240"/>
              <w:ind w:right="72"/>
              <w:textAlignment w:val="baseline"/>
              <w:rPr>
                <w:color w:val="000000"/>
                <w:sz w:val="20"/>
                <w:szCs w:val="20"/>
                <w:lang w:val="en-GB"/>
              </w:rPr>
            </w:pPr>
            <w:r w:rsidRPr="009C48DA">
              <w:rPr>
                <w:b/>
                <w:color w:val="000000"/>
                <w:sz w:val="20"/>
                <w:szCs w:val="20"/>
                <w:lang w:val="en-GB"/>
              </w:rPr>
              <w:t>Articles</w:t>
            </w:r>
          </w:p>
        </w:tc>
        <w:tc>
          <w:tcPr>
            <w:tcW w:w="6693" w:type="dxa"/>
          </w:tcPr>
          <w:p w:rsidRPr="009C48DA" w:rsidR="00FD3548" w:rsidP="0087688D" w:rsidRDefault="00FD3548" w14:paraId="19641972" w14:textId="75A11C2A">
            <w:pPr>
              <w:spacing w:after="240"/>
              <w:jc w:val="both"/>
              <w:textAlignment w:val="baseline"/>
              <w:rPr>
                <w:color w:val="000000"/>
                <w:sz w:val="20"/>
                <w:szCs w:val="20"/>
                <w:lang w:val="en-GB"/>
              </w:rPr>
            </w:pPr>
            <w:r w:rsidRPr="009C48DA">
              <w:rPr>
                <w:color w:val="000000"/>
                <w:sz w:val="20"/>
                <w:szCs w:val="20"/>
                <w:lang w:val="en-GB"/>
              </w:rPr>
              <w:t>means the articles of association of the Company in force as of the date of this Registration Document;</w:t>
            </w:r>
          </w:p>
        </w:tc>
      </w:tr>
      <w:tr w:rsidRPr="009C48DA" w:rsidR="00B23F18" w:rsidTr="00FA0364" w14:paraId="297C7F1F" w14:textId="77777777">
        <w:tc>
          <w:tcPr>
            <w:tcW w:w="2511" w:type="dxa"/>
          </w:tcPr>
          <w:p w:rsidRPr="009C48DA" w:rsidR="00B23F18" w:rsidP="00B23F18" w:rsidRDefault="00B23F18" w14:paraId="78A9C164" w14:textId="51F98B6D">
            <w:pPr>
              <w:spacing w:after="240"/>
              <w:ind w:right="72"/>
              <w:textAlignment w:val="baseline"/>
              <w:rPr>
                <w:b/>
                <w:color w:val="000000"/>
                <w:sz w:val="20"/>
                <w:szCs w:val="20"/>
                <w:lang w:val="en-GB"/>
              </w:rPr>
            </w:pPr>
            <w:r w:rsidRPr="009C48DA">
              <w:rPr>
                <w:b/>
                <w:color w:val="000000"/>
                <w:sz w:val="20"/>
                <w:szCs w:val="20"/>
                <w:lang w:val="en-GB"/>
              </w:rPr>
              <w:t>AUM</w:t>
            </w:r>
          </w:p>
        </w:tc>
        <w:tc>
          <w:tcPr>
            <w:tcW w:w="6693" w:type="dxa"/>
          </w:tcPr>
          <w:p w:rsidRPr="009C48DA" w:rsidR="00B23F18" w:rsidP="00B23F18" w:rsidRDefault="00B23F18" w14:paraId="236D0C45" w14:textId="3BCD5682">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Alternative Performance Measures and Key Performance Indicators—AUM and Total AUM</w:t>
            </w:r>
            <w:r w:rsidRPr="009C48DA">
              <w:rPr>
                <w:color w:val="000000"/>
                <w:sz w:val="20"/>
                <w:szCs w:val="20"/>
                <w:lang w:val="en-GB"/>
              </w:rPr>
              <w:t xml:space="preserve">” of </w:t>
            </w:r>
            <w:r w:rsidRPr="009C48DA">
              <w:rPr>
                <w:sz w:val="20"/>
                <w:szCs w:val="20"/>
                <w:lang w:val="en-GB"/>
              </w:rPr>
              <w:fldChar w:fldCharType="begin"/>
            </w:r>
            <w:r w:rsidRPr="009C48DA">
              <w:rPr>
                <w:sz w:val="20"/>
                <w:szCs w:val="20"/>
                <w:lang w:val="en-GB"/>
              </w:rPr>
              <w:instrText xml:space="preserve"> REF _Ref71144174 \n \h  \* MERGEFORMAT </w:instrText>
            </w:r>
            <w:r w:rsidRPr="009C48DA">
              <w:rPr>
                <w:sz w:val="20"/>
                <w:szCs w:val="20"/>
                <w:lang w:val="en-GB"/>
              </w:rPr>
            </w:r>
            <w:r w:rsidRPr="009C48DA">
              <w:rPr>
                <w:sz w:val="20"/>
                <w:szCs w:val="20"/>
                <w:lang w:val="en-GB"/>
              </w:rPr>
              <w:fldChar w:fldCharType="separate"/>
            </w:r>
            <w:r w:rsidR="007C3D19">
              <w:rPr>
                <w:sz w:val="20"/>
                <w:szCs w:val="20"/>
                <w:lang w:val="en-GB"/>
              </w:rPr>
              <w:t>Part IX</w:t>
            </w:r>
            <w:r w:rsidRPr="009C48DA">
              <w:rPr>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_Ref75191226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Operating and Financial Review</w:t>
            </w:r>
            <w:r w:rsidRPr="009C48DA">
              <w:rPr>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007910F6" w14:textId="77777777">
        <w:tc>
          <w:tcPr>
            <w:tcW w:w="2511" w:type="dxa"/>
          </w:tcPr>
          <w:p w:rsidRPr="009C48DA" w:rsidR="00B23F18" w:rsidP="00B23F18" w:rsidRDefault="00B23F18" w14:paraId="455286D7" w14:textId="59500394">
            <w:pPr>
              <w:spacing w:after="240"/>
              <w:ind w:right="72"/>
              <w:textAlignment w:val="baseline"/>
              <w:rPr>
                <w:b/>
                <w:color w:val="000000"/>
                <w:sz w:val="20"/>
                <w:szCs w:val="20"/>
                <w:lang w:val="en-GB"/>
              </w:rPr>
            </w:pPr>
            <w:r w:rsidRPr="009C48DA">
              <w:rPr>
                <w:b/>
                <w:color w:val="000000"/>
                <w:sz w:val="20"/>
                <w:szCs w:val="20"/>
                <w:lang w:val="en-GB"/>
              </w:rPr>
              <w:t>BA II</w:t>
            </w:r>
          </w:p>
        </w:tc>
        <w:tc>
          <w:tcPr>
            <w:tcW w:w="6693" w:type="dxa"/>
          </w:tcPr>
          <w:p w:rsidRPr="009C48DA" w:rsidR="00B23F18" w:rsidP="00B23F18" w:rsidRDefault="00B23F18" w14:paraId="0A0BC45E" w14:textId="4F0E9F8C">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United Kingdom—Applicable Regulatory Framework for Bridgepoint Entities</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_Ref71146307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fldChar w:fldCharType="begin"/>
            </w:r>
            <w:r w:rsidRPr="009C48DA">
              <w:rPr>
                <w:i/>
                <w:color w:val="000000"/>
                <w:sz w:val="20"/>
                <w:szCs w:val="20"/>
                <w:lang w:val="en-GB"/>
              </w:rPr>
              <w:instrText xml:space="preserve"> REF _Ref75192095 \h  \* MERGEFORMAT </w:instrText>
            </w:r>
            <w:r w:rsidRPr="009C48DA">
              <w:rPr>
                <w:i/>
                <w:color w:val="000000"/>
                <w:sz w:val="20"/>
                <w:szCs w:val="20"/>
                <w:lang w:val="en-GB"/>
              </w:rPr>
            </w:r>
            <w:r w:rsidRPr="009C48DA">
              <w:rPr>
                <w:i/>
                <w:color w:val="000000"/>
                <w:sz w:val="20"/>
                <w:szCs w:val="20"/>
                <w:lang w:val="en-GB"/>
              </w:rPr>
              <w:fldChar w:fldCharType="separate"/>
            </w:r>
            <w:r w:rsidRPr="007C3D19" w:rsidR="007C3D19">
              <w:rPr>
                <w:i/>
                <w:sz w:val="20"/>
                <w:szCs w:val="20"/>
                <w:lang w:val="en-GB"/>
              </w:rPr>
              <w:t>Regulatory Overview</w:t>
            </w:r>
            <w:r w:rsidRPr="009C48DA">
              <w:rPr>
                <w:i/>
                <w:color w:val="000000"/>
                <w:sz w:val="20"/>
                <w:szCs w:val="20"/>
                <w:lang w:val="en-GB"/>
              </w:rPr>
              <w:fldChar w:fldCharType="end"/>
            </w:r>
            <w:r w:rsidRPr="009C48DA">
              <w:rPr>
                <w:color w:val="000000"/>
                <w:sz w:val="20"/>
                <w:szCs w:val="20"/>
                <w:lang w:val="en-GB"/>
              </w:rPr>
              <w:t>);</w:t>
            </w:r>
          </w:p>
        </w:tc>
      </w:tr>
      <w:tr w:rsidRPr="009C48DA" w:rsidR="00B23F18" w:rsidTr="00FA0364" w14:paraId="6FCAAE99" w14:textId="77777777">
        <w:tc>
          <w:tcPr>
            <w:tcW w:w="2511" w:type="dxa"/>
          </w:tcPr>
          <w:p w:rsidRPr="009C48DA" w:rsidR="00B23F18" w:rsidP="00B23F18" w:rsidRDefault="00B23F18" w14:paraId="61C28ED3" w14:textId="1A3443D2">
            <w:pPr>
              <w:spacing w:after="240"/>
              <w:ind w:right="72"/>
              <w:textAlignment w:val="baseline"/>
              <w:rPr>
                <w:b/>
                <w:color w:val="000000"/>
                <w:sz w:val="20"/>
                <w:szCs w:val="20"/>
                <w:lang w:val="en-GB"/>
              </w:rPr>
            </w:pPr>
            <w:r w:rsidRPr="009C48DA">
              <w:rPr>
                <w:b/>
                <w:color w:val="000000"/>
                <w:sz w:val="20"/>
                <w:szCs w:val="20"/>
                <w:lang w:val="en-GB"/>
              </w:rPr>
              <w:t xml:space="preserve">BAH Revolving Credit Facility </w:t>
            </w:r>
          </w:p>
        </w:tc>
        <w:tc>
          <w:tcPr>
            <w:tcW w:w="6693" w:type="dxa"/>
          </w:tcPr>
          <w:p w:rsidRPr="009C48DA" w:rsidR="00B23F18" w:rsidP="00B23F18" w:rsidRDefault="00B23F18" w14:paraId="7FEE3095" w14:textId="15C61596">
            <w:pPr>
              <w:spacing w:after="240"/>
              <w:jc w:val="both"/>
              <w:textAlignment w:val="baseline"/>
              <w:rPr>
                <w:color w:val="000000"/>
                <w:sz w:val="20"/>
                <w:szCs w:val="20"/>
                <w:lang w:val="en-GB"/>
              </w:rPr>
            </w:pPr>
            <w:r w:rsidRPr="009C48DA">
              <w:rPr>
                <w:color w:val="000000"/>
                <w:sz w:val="20"/>
                <w:szCs w:val="20"/>
                <w:lang w:val="en-GB"/>
              </w:rPr>
              <w:t xml:space="preserve">has the meaning given in section </w:t>
            </w:r>
            <w:r w:rsidRPr="009C48DA">
              <w:rPr>
                <w:sz w:val="20"/>
                <w:szCs w:val="20"/>
                <w:lang w:val="en-GB"/>
              </w:rPr>
              <w:fldChar w:fldCharType="begin"/>
            </w:r>
            <w:r w:rsidRPr="009C48DA">
              <w:rPr>
                <w:color w:val="000000"/>
                <w:sz w:val="20"/>
                <w:szCs w:val="20"/>
                <w:lang w:val="en-GB"/>
              </w:rPr>
              <w:instrText xml:space="preserve"> REF _Ref74672707 \n \h </w:instrText>
            </w:r>
            <w:r w:rsidRPr="009C48DA">
              <w:rPr>
                <w:sz w:val="20"/>
                <w:szCs w:val="20"/>
                <w:lang w:val="en-GB"/>
              </w:rPr>
            </w:r>
            <w:r w:rsidRPr="009C48DA">
              <w:rPr>
                <w:sz w:val="20"/>
                <w:szCs w:val="20"/>
                <w:lang w:val="en-GB"/>
              </w:rPr>
              <w:fldChar w:fldCharType="separate"/>
            </w:r>
            <w:r w:rsidR="007C3D19">
              <w:rPr>
                <w:color w:val="000000"/>
                <w:sz w:val="20"/>
                <w:szCs w:val="20"/>
                <w:lang w:val="en-GB"/>
              </w:rPr>
              <w:t>14.3</w:t>
            </w:r>
            <w:r w:rsidRPr="009C48DA">
              <w:rPr>
                <w:sz w:val="20"/>
                <w:szCs w:val="20"/>
                <w:lang w:val="en-GB"/>
              </w:rPr>
              <w:fldChar w:fldCharType="end"/>
            </w:r>
            <w:r w:rsidRPr="009C48DA">
              <w:rPr>
                <w:sz w:val="20"/>
                <w:szCs w:val="20"/>
                <w:lang w:val="en-GB"/>
              </w:rPr>
              <w:t xml:space="preserve"> </w:t>
            </w:r>
            <w:r w:rsidRPr="009C48DA">
              <w:rPr>
                <w:color w:val="000000"/>
                <w:sz w:val="20"/>
                <w:szCs w:val="20"/>
                <w:lang w:val="en-GB"/>
              </w:rPr>
              <w:t>(</w:t>
            </w:r>
            <w:r w:rsidRPr="009C48DA">
              <w:rPr>
                <w:i/>
                <w:color w:val="000000"/>
                <w:sz w:val="20"/>
                <w:szCs w:val="20"/>
                <w:lang w:val="en-GB"/>
              </w:rPr>
              <w:t>BAH Revolving Facility Agreement)</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_Ref71146433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XI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r>
            <w:r w:rsidRPr="007C3D19" w:rsidR="007C3D19">
              <w:rPr>
                <w:i/>
                <w:sz w:val="20"/>
                <w:szCs w:val="20"/>
                <w:lang w:val="en-GB"/>
              </w:rPr>
              <w:t>Additional Information</w:t>
            </w:r>
            <w:r w:rsidRPr="009C48DA">
              <w:rPr>
                <w:i/>
                <w:color w:val="000000"/>
                <w:sz w:val="20"/>
                <w:szCs w:val="20"/>
                <w:lang w:val="en-GB"/>
              </w:rPr>
              <w:t>)</w:t>
            </w:r>
            <w:r w:rsidRPr="009C48DA">
              <w:rPr>
                <w:color w:val="000000"/>
                <w:sz w:val="20"/>
                <w:szCs w:val="20"/>
                <w:lang w:val="en-GB"/>
              </w:rPr>
              <w:t xml:space="preserve">; </w:t>
            </w:r>
          </w:p>
        </w:tc>
      </w:tr>
      <w:tr w:rsidRPr="009C48DA" w:rsidR="00B23F18" w:rsidTr="00FA0364" w14:paraId="6E6AE838" w14:textId="77777777">
        <w:tc>
          <w:tcPr>
            <w:tcW w:w="2511" w:type="dxa"/>
          </w:tcPr>
          <w:p w:rsidRPr="009C48DA" w:rsidR="00B23F18" w:rsidP="00B23F18" w:rsidRDefault="00B23F18" w14:paraId="4D992821" w14:textId="343E7C51">
            <w:pPr>
              <w:spacing w:after="240"/>
              <w:ind w:right="72"/>
              <w:textAlignment w:val="baseline"/>
              <w:rPr>
                <w:b/>
                <w:color w:val="000000"/>
                <w:sz w:val="20"/>
                <w:szCs w:val="20"/>
                <w:lang w:val="en-GB"/>
              </w:rPr>
            </w:pPr>
            <w:r w:rsidRPr="009C48DA">
              <w:rPr>
                <w:b/>
                <w:color w:val="000000"/>
                <w:sz w:val="20"/>
                <w:szCs w:val="20"/>
                <w:lang w:val="en-GB"/>
              </w:rPr>
              <w:t>BAH Revolving Facility Agreement</w:t>
            </w:r>
          </w:p>
        </w:tc>
        <w:tc>
          <w:tcPr>
            <w:tcW w:w="6693" w:type="dxa"/>
          </w:tcPr>
          <w:p w:rsidRPr="009C48DA" w:rsidR="00B23F18" w:rsidP="00B23F18" w:rsidRDefault="00B23F18" w14:paraId="07A56045" w14:textId="05610328">
            <w:pPr>
              <w:spacing w:after="240"/>
              <w:jc w:val="both"/>
              <w:textAlignment w:val="baseline"/>
              <w:rPr>
                <w:color w:val="000000"/>
                <w:sz w:val="20"/>
                <w:szCs w:val="20"/>
                <w:lang w:val="en-GB"/>
              </w:rPr>
            </w:pPr>
            <w:r w:rsidRPr="009C48DA">
              <w:rPr>
                <w:color w:val="000000"/>
                <w:sz w:val="20"/>
                <w:szCs w:val="20"/>
                <w:lang w:val="en-GB"/>
              </w:rPr>
              <w:t xml:space="preserve">has the meaning given in section </w:t>
            </w:r>
            <w:r w:rsidRPr="009C48DA">
              <w:rPr>
                <w:sz w:val="20"/>
                <w:szCs w:val="20"/>
                <w:lang w:val="en-GB"/>
              </w:rPr>
              <w:fldChar w:fldCharType="begin"/>
            </w:r>
            <w:r w:rsidRPr="009C48DA">
              <w:rPr>
                <w:color w:val="000000"/>
                <w:sz w:val="20"/>
                <w:szCs w:val="20"/>
                <w:lang w:val="en-GB"/>
              </w:rPr>
              <w:instrText xml:space="preserve"> REF _Ref74672707 \n \h </w:instrText>
            </w:r>
            <w:r w:rsidRPr="009C48DA">
              <w:rPr>
                <w:sz w:val="20"/>
                <w:szCs w:val="20"/>
                <w:lang w:val="en-GB"/>
              </w:rPr>
            </w:r>
            <w:r w:rsidRPr="009C48DA">
              <w:rPr>
                <w:sz w:val="20"/>
                <w:szCs w:val="20"/>
                <w:lang w:val="en-GB"/>
              </w:rPr>
              <w:fldChar w:fldCharType="separate"/>
            </w:r>
            <w:r w:rsidR="007C3D19">
              <w:rPr>
                <w:color w:val="000000"/>
                <w:sz w:val="20"/>
                <w:szCs w:val="20"/>
                <w:lang w:val="en-GB"/>
              </w:rPr>
              <w:t>14.3</w:t>
            </w:r>
            <w:r w:rsidRPr="009C48DA">
              <w:rPr>
                <w:sz w:val="20"/>
                <w:szCs w:val="20"/>
                <w:lang w:val="en-GB"/>
              </w:rPr>
              <w:fldChar w:fldCharType="end"/>
            </w:r>
            <w:r w:rsidRPr="009C48DA">
              <w:rPr>
                <w:sz w:val="20"/>
                <w:szCs w:val="20"/>
                <w:lang w:val="en-GB"/>
              </w:rPr>
              <w:t xml:space="preserve"> </w:t>
            </w:r>
            <w:r w:rsidRPr="009C48DA">
              <w:rPr>
                <w:color w:val="000000"/>
                <w:sz w:val="20"/>
                <w:szCs w:val="20"/>
                <w:lang w:val="en-GB"/>
              </w:rPr>
              <w:t>(</w:t>
            </w:r>
            <w:r w:rsidRPr="009C48DA">
              <w:rPr>
                <w:i/>
                <w:color w:val="000000"/>
                <w:sz w:val="20"/>
                <w:szCs w:val="20"/>
                <w:lang w:val="en-GB"/>
              </w:rPr>
              <w:t>BAH Revolving Facility Agreement)</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_Ref71146450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XI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r>
            <w:r w:rsidRPr="007C3D19" w:rsidR="007C3D19">
              <w:rPr>
                <w:i/>
                <w:sz w:val="20"/>
                <w:szCs w:val="20"/>
                <w:lang w:val="en-GB"/>
              </w:rPr>
              <w:t>Additional Information</w:t>
            </w:r>
            <w:r w:rsidRPr="009C48DA">
              <w:rPr>
                <w:color w:val="000000"/>
                <w:sz w:val="20"/>
                <w:szCs w:val="20"/>
                <w:lang w:val="en-GB"/>
              </w:rPr>
              <w:t xml:space="preserve">); </w:t>
            </w:r>
          </w:p>
        </w:tc>
      </w:tr>
      <w:tr w:rsidRPr="009C48DA" w:rsidR="00B23F18" w:rsidTr="00FA0364" w14:paraId="04124DB0" w14:textId="77777777">
        <w:tc>
          <w:tcPr>
            <w:tcW w:w="2511" w:type="dxa"/>
          </w:tcPr>
          <w:p w:rsidRPr="009C48DA" w:rsidR="00B23F18" w:rsidP="00B23F18" w:rsidRDefault="00B23F18" w14:paraId="06D76ABB" w14:textId="1345A647">
            <w:pPr>
              <w:spacing w:after="240"/>
              <w:ind w:right="72"/>
              <w:textAlignment w:val="baseline"/>
              <w:rPr>
                <w:b/>
                <w:color w:val="000000"/>
                <w:sz w:val="20"/>
                <w:szCs w:val="20"/>
                <w:lang w:val="en-GB"/>
              </w:rPr>
            </w:pPr>
            <w:r w:rsidRPr="009C48DA">
              <w:rPr>
                <w:b/>
                <w:color w:val="000000"/>
                <w:sz w:val="20"/>
                <w:szCs w:val="20"/>
                <w:lang w:val="en-GB"/>
              </w:rPr>
              <w:t>BAL</w:t>
            </w:r>
          </w:p>
        </w:tc>
        <w:tc>
          <w:tcPr>
            <w:tcW w:w="6693" w:type="dxa"/>
          </w:tcPr>
          <w:p w:rsidRPr="009C48DA" w:rsidR="00B23F18" w:rsidP="00B23F18" w:rsidRDefault="00B23F18" w14:paraId="1126442E" w14:textId="47013E5E">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United Kingdom—Applicable Regulatory Framework for Bridgepoint Entities</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_Ref71146307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fldChar w:fldCharType="begin"/>
            </w:r>
            <w:r w:rsidRPr="009C48DA">
              <w:rPr>
                <w:i/>
                <w:color w:val="000000"/>
                <w:sz w:val="20"/>
                <w:szCs w:val="20"/>
                <w:lang w:val="en-GB"/>
              </w:rPr>
              <w:instrText xml:space="preserve"> REF _Ref75192095 \h  \* MERGEFORMAT </w:instrText>
            </w:r>
            <w:r w:rsidRPr="009C48DA">
              <w:rPr>
                <w:i/>
                <w:color w:val="000000"/>
                <w:sz w:val="20"/>
                <w:szCs w:val="20"/>
                <w:lang w:val="en-GB"/>
              </w:rPr>
            </w:r>
            <w:r w:rsidRPr="009C48DA">
              <w:rPr>
                <w:i/>
                <w:color w:val="000000"/>
                <w:sz w:val="20"/>
                <w:szCs w:val="20"/>
                <w:lang w:val="en-GB"/>
              </w:rPr>
              <w:fldChar w:fldCharType="separate"/>
            </w:r>
            <w:r w:rsidRPr="007C3D19" w:rsidR="007C3D19">
              <w:rPr>
                <w:i/>
                <w:sz w:val="20"/>
                <w:szCs w:val="20"/>
                <w:lang w:val="en-GB"/>
              </w:rPr>
              <w:t>Regulatory Overview</w:t>
            </w:r>
            <w:r w:rsidRPr="009C48DA">
              <w:rPr>
                <w:i/>
                <w:color w:val="000000"/>
                <w:sz w:val="20"/>
                <w:szCs w:val="20"/>
                <w:lang w:val="en-GB"/>
              </w:rPr>
              <w:fldChar w:fldCharType="end"/>
            </w:r>
            <w:r w:rsidRPr="009C48DA">
              <w:rPr>
                <w:color w:val="000000"/>
                <w:sz w:val="20"/>
                <w:szCs w:val="20"/>
                <w:lang w:val="en-GB"/>
              </w:rPr>
              <w:t>);</w:t>
            </w:r>
          </w:p>
        </w:tc>
      </w:tr>
      <w:tr w:rsidRPr="009C48DA" w:rsidR="00B23F18" w:rsidTr="00FA0364" w14:paraId="5FD32792" w14:textId="77777777">
        <w:tc>
          <w:tcPr>
            <w:tcW w:w="2511" w:type="dxa"/>
          </w:tcPr>
          <w:p w:rsidRPr="009C48DA" w:rsidR="00B23F18" w:rsidP="00B23F18" w:rsidRDefault="00B23F18" w14:paraId="37A296F1" w14:textId="3CA5A981">
            <w:pPr>
              <w:spacing w:after="240"/>
              <w:ind w:right="72"/>
              <w:textAlignment w:val="baseline"/>
              <w:rPr>
                <w:b/>
                <w:color w:val="000000"/>
                <w:sz w:val="20"/>
                <w:szCs w:val="20"/>
                <w:lang w:val="en-GB"/>
              </w:rPr>
            </w:pPr>
            <w:r w:rsidRPr="009C48DA">
              <w:rPr>
                <w:b/>
                <w:color w:val="000000"/>
                <w:sz w:val="20"/>
                <w:szCs w:val="20"/>
                <w:lang w:val="en-GB"/>
              </w:rPr>
              <w:t>BA UK</w:t>
            </w:r>
          </w:p>
        </w:tc>
        <w:tc>
          <w:tcPr>
            <w:tcW w:w="6693" w:type="dxa"/>
          </w:tcPr>
          <w:p w:rsidRPr="009C48DA" w:rsidR="00B23F18" w:rsidP="00B23F18" w:rsidRDefault="00B23F18" w14:paraId="73856727" w14:textId="6A5C3C0D">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United Kingdom—Applicable Regulatory Framework for Bridgepoint Entities</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_Ref71146307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fldChar w:fldCharType="begin"/>
            </w:r>
            <w:r w:rsidRPr="009C48DA">
              <w:rPr>
                <w:i/>
                <w:color w:val="000000"/>
                <w:sz w:val="20"/>
                <w:szCs w:val="20"/>
                <w:lang w:val="en-GB"/>
              </w:rPr>
              <w:instrText xml:space="preserve"> REF _Ref75192095 \h  \* MERGEFORMAT </w:instrText>
            </w:r>
            <w:r w:rsidRPr="009C48DA">
              <w:rPr>
                <w:i/>
                <w:color w:val="000000"/>
                <w:sz w:val="20"/>
                <w:szCs w:val="20"/>
                <w:lang w:val="en-GB"/>
              </w:rPr>
            </w:r>
            <w:r w:rsidRPr="009C48DA">
              <w:rPr>
                <w:i/>
                <w:color w:val="000000"/>
                <w:sz w:val="20"/>
                <w:szCs w:val="20"/>
                <w:lang w:val="en-GB"/>
              </w:rPr>
              <w:fldChar w:fldCharType="separate"/>
            </w:r>
            <w:r w:rsidRPr="007C3D19" w:rsidR="007C3D19">
              <w:rPr>
                <w:i/>
                <w:sz w:val="20"/>
                <w:szCs w:val="20"/>
                <w:lang w:val="en-GB"/>
              </w:rPr>
              <w:t>Regulatory Overview</w:t>
            </w:r>
            <w:r w:rsidRPr="009C48DA">
              <w:rPr>
                <w:i/>
                <w:color w:val="000000"/>
                <w:sz w:val="20"/>
                <w:szCs w:val="20"/>
                <w:lang w:val="en-GB"/>
              </w:rPr>
              <w:fldChar w:fldCharType="end"/>
            </w:r>
            <w:r w:rsidRPr="009C48DA">
              <w:rPr>
                <w:i/>
                <w:color w:val="000000"/>
                <w:sz w:val="20"/>
                <w:szCs w:val="20"/>
                <w:lang w:val="en-GB"/>
              </w:rPr>
              <w:t>)</w:t>
            </w:r>
            <w:r w:rsidRPr="009C48DA">
              <w:rPr>
                <w:color w:val="000000"/>
                <w:sz w:val="20"/>
                <w:szCs w:val="20"/>
                <w:lang w:val="en-GB"/>
              </w:rPr>
              <w:t>;</w:t>
            </w:r>
          </w:p>
        </w:tc>
      </w:tr>
      <w:tr w:rsidRPr="009C48DA" w:rsidR="00B23F18" w:rsidTr="00FA0364" w14:paraId="0BB0D32B" w14:textId="77777777">
        <w:tc>
          <w:tcPr>
            <w:tcW w:w="2511" w:type="dxa"/>
          </w:tcPr>
          <w:p w:rsidRPr="009C48DA" w:rsidR="00B23F18" w:rsidP="00B23F18" w:rsidRDefault="00B23F18" w14:paraId="2A896F2E" w14:textId="5D9A597E">
            <w:pPr>
              <w:spacing w:after="240"/>
              <w:ind w:right="72"/>
              <w:textAlignment w:val="baseline"/>
              <w:rPr>
                <w:b/>
                <w:color w:val="000000"/>
                <w:sz w:val="20"/>
                <w:szCs w:val="20"/>
                <w:lang w:val="en-GB"/>
              </w:rPr>
            </w:pPr>
            <w:r w:rsidRPr="009C48DA">
              <w:rPr>
                <w:b/>
                <w:color w:val="000000"/>
                <w:sz w:val="20"/>
                <w:szCs w:val="20"/>
                <w:lang w:val="en-GB"/>
              </w:rPr>
              <w:t>BCA</w:t>
            </w:r>
          </w:p>
        </w:tc>
        <w:tc>
          <w:tcPr>
            <w:tcW w:w="6693" w:type="dxa"/>
          </w:tcPr>
          <w:p w:rsidRPr="009C48DA" w:rsidR="00B23F18" w:rsidP="00B23F18" w:rsidRDefault="00B23F18" w14:paraId="757B0662" w14:textId="3F0C678F">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United Kingdom—Applicable Regulatory Framework for Bridgepoint Entities</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_Ref71146307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fldChar w:fldCharType="begin"/>
            </w:r>
            <w:r w:rsidRPr="009C48DA">
              <w:rPr>
                <w:i/>
                <w:color w:val="000000"/>
                <w:sz w:val="20"/>
                <w:szCs w:val="20"/>
                <w:lang w:val="en-GB"/>
              </w:rPr>
              <w:instrText xml:space="preserve"> REF _Ref75192095 \h  \* MERGEFORMAT </w:instrText>
            </w:r>
            <w:r w:rsidRPr="009C48DA">
              <w:rPr>
                <w:i/>
                <w:color w:val="000000"/>
                <w:sz w:val="20"/>
                <w:szCs w:val="20"/>
                <w:lang w:val="en-GB"/>
              </w:rPr>
            </w:r>
            <w:r w:rsidRPr="009C48DA">
              <w:rPr>
                <w:i/>
                <w:color w:val="000000"/>
                <w:sz w:val="20"/>
                <w:szCs w:val="20"/>
                <w:lang w:val="en-GB"/>
              </w:rPr>
              <w:fldChar w:fldCharType="separate"/>
            </w:r>
            <w:r w:rsidRPr="007C3D19" w:rsidR="007C3D19">
              <w:rPr>
                <w:i/>
                <w:sz w:val="20"/>
                <w:szCs w:val="20"/>
                <w:lang w:val="en-GB"/>
              </w:rPr>
              <w:t>Regulatory Overview</w:t>
            </w:r>
            <w:r w:rsidRPr="009C48DA">
              <w:rPr>
                <w:i/>
                <w:color w:val="000000"/>
                <w:sz w:val="20"/>
                <w:szCs w:val="20"/>
                <w:lang w:val="en-GB"/>
              </w:rPr>
              <w:fldChar w:fldCharType="end"/>
            </w:r>
            <w:r w:rsidRPr="009C48DA">
              <w:rPr>
                <w:color w:val="000000"/>
                <w:sz w:val="20"/>
                <w:szCs w:val="20"/>
                <w:lang w:val="en-GB"/>
              </w:rPr>
              <w:t>);</w:t>
            </w:r>
          </w:p>
        </w:tc>
      </w:tr>
      <w:tr w:rsidRPr="009C48DA" w:rsidR="00B23F18" w:rsidTr="00FA0364" w14:paraId="57BA810B" w14:textId="77777777">
        <w:tc>
          <w:tcPr>
            <w:tcW w:w="2511" w:type="dxa"/>
          </w:tcPr>
          <w:p w:rsidRPr="009C48DA" w:rsidR="00B23F18" w:rsidP="00B23F18" w:rsidRDefault="00B23F18" w14:paraId="0AD05BC0" w14:textId="606900BA">
            <w:pPr>
              <w:spacing w:after="240"/>
              <w:ind w:right="72"/>
              <w:textAlignment w:val="baseline"/>
              <w:rPr>
                <w:b/>
                <w:color w:val="000000"/>
                <w:sz w:val="20"/>
                <w:szCs w:val="20"/>
                <w:lang w:val="en-GB"/>
              </w:rPr>
            </w:pPr>
            <w:r w:rsidRPr="009C48DA">
              <w:rPr>
                <w:b/>
                <w:color w:val="000000"/>
                <w:sz w:val="20"/>
                <w:szCs w:val="20"/>
                <w:lang w:val="en-GB"/>
              </w:rPr>
              <w:t>BCA UK</w:t>
            </w:r>
          </w:p>
        </w:tc>
        <w:tc>
          <w:tcPr>
            <w:tcW w:w="6693" w:type="dxa"/>
          </w:tcPr>
          <w:p w:rsidRPr="009C48DA" w:rsidR="00B23F18" w:rsidP="00B23F18" w:rsidRDefault="00B23F18" w14:paraId="765C8DD8" w14:textId="395F7A5F">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United Kingdom—Applicable Regulatory Framework for Bridgepoint Entities</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_Ref71146307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fldChar w:fldCharType="begin"/>
            </w:r>
            <w:r w:rsidRPr="009C48DA">
              <w:rPr>
                <w:i/>
                <w:color w:val="000000"/>
                <w:sz w:val="20"/>
                <w:szCs w:val="20"/>
                <w:lang w:val="en-GB"/>
              </w:rPr>
              <w:instrText xml:space="preserve"> REF _Ref75192095 \h  \* MERGEFORMAT </w:instrText>
            </w:r>
            <w:r w:rsidRPr="009C48DA">
              <w:rPr>
                <w:i/>
                <w:color w:val="000000"/>
                <w:sz w:val="20"/>
                <w:szCs w:val="20"/>
                <w:lang w:val="en-GB"/>
              </w:rPr>
            </w:r>
            <w:r w:rsidRPr="009C48DA">
              <w:rPr>
                <w:i/>
                <w:color w:val="000000"/>
                <w:sz w:val="20"/>
                <w:szCs w:val="20"/>
                <w:lang w:val="en-GB"/>
              </w:rPr>
              <w:fldChar w:fldCharType="separate"/>
            </w:r>
            <w:r w:rsidRPr="007C3D19" w:rsidR="007C3D19">
              <w:rPr>
                <w:i/>
                <w:sz w:val="20"/>
                <w:szCs w:val="20"/>
                <w:lang w:val="en-GB"/>
              </w:rPr>
              <w:t>Regulatory Overview</w:t>
            </w:r>
            <w:r w:rsidRPr="009C48DA">
              <w:rPr>
                <w:i/>
                <w:color w:val="000000"/>
                <w:sz w:val="20"/>
                <w:szCs w:val="20"/>
                <w:lang w:val="en-GB"/>
              </w:rPr>
              <w:fldChar w:fldCharType="end"/>
            </w:r>
            <w:r w:rsidRPr="009C48DA">
              <w:rPr>
                <w:color w:val="000000"/>
                <w:sz w:val="20"/>
                <w:szCs w:val="20"/>
                <w:lang w:val="en-GB"/>
              </w:rPr>
              <w:t>);</w:t>
            </w:r>
          </w:p>
        </w:tc>
      </w:tr>
      <w:tr w:rsidRPr="009C48DA" w:rsidR="00B23F18" w:rsidTr="00FA0364" w14:paraId="5692F372" w14:textId="77777777">
        <w:tc>
          <w:tcPr>
            <w:tcW w:w="2511" w:type="dxa"/>
          </w:tcPr>
          <w:p w:rsidRPr="009C48DA" w:rsidR="00B23F18" w:rsidP="00B23F18" w:rsidRDefault="00B23F18" w14:paraId="0EA759CB" w14:textId="22DB8B3E">
            <w:pPr>
              <w:spacing w:after="240"/>
              <w:ind w:right="72"/>
              <w:textAlignment w:val="baseline"/>
              <w:rPr>
                <w:b/>
                <w:color w:val="000000"/>
                <w:sz w:val="20"/>
                <w:szCs w:val="20"/>
                <w:lang w:val="en-GB"/>
              </w:rPr>
            </w:pPr>
            <w:r w:rsidRPr="009C48DA">
              <w:rPr>
                <w:b/>
                <w:color w:val="000000"/>
                <w:sz w:val="20"/>
                <w:szCs w:val="20"/>
                <w:lang w:val="en-GB"/>
              </w:rPr>
              <w:t>BCL</w:t>
            </w:r>
          </w:p>
        </w:tc>
        <w:tc>
          <w:tcPr>
            <w:tcW w:w="6693" w:type="dxa"/>
          </w:tcPr>
          <w:p w:rsidRPr="009C48DA" w:rsidR="00B23F18" w:rsidP="00B23F18" w:rsidRDefault="00B23F18" w14:paraId="452C7BB7" w14:textId="12DDCA37">
            <w:pPr>
              <w:spacing w:after="240"/>
              <w:jc w:val="both"/>
              <w:textAlignment w:val="baseline"/>
              <w:rPr>
                <w:color w:val="000000"/>
                <w:sz w:val="20"/>
                <w:szCs w:val="20"/>
                <w:lang w:val="en-GB"/>
              </w:rPr>
            </w:pPr>
            <w:r w:rsidRPr="009C48DA">
              <w:rPr>
                <w:color w:val="000000"/>
                <w:sz w:val="20"/>
                <w:szCs w:val="20"/>
                <w:lang w:val="en-GB"/>
              </w:rPr>
              <w:t>means Bridgepoint Credit Limited;</w:t>
            </w:r>
          </w:p>
        </w:tc>
      </w:tr>
      <w:tr w:rsidRPr="009C48DA" w:rsidR="00B23F18" w:rsidTr="00FA0364" w14:paraId="27C56DE8" w14:textId="77777777">
        <w:tc>
          <w:tcPr>
            <w:tcW w:w="2511" w:type="dxa"/>
          </w:tcPr>
          <w:p w:rsidRPr="009C48DA" w:rsidR="00B23F18" w:rsidP="00B23F18" w:rsidRDefault="00B23F18" w14:paraId="2AAC96DE" w14:textId="5C309E8F">
            <w:pPr>
              <w:spacing w:after="240"/>
              <w:ind w:right="72"/>
              <w:textAlignment w:val="baseline"/>
              <w:rPr>
                <w:b/>
                <w:color w:val="000000"/>
                <w:sz w:val="20"/>
                <w:szCs w:val="20"/>
                <w:lang w:val="en-GB"/>
              </w:rPr>
            </w:pPr>
            <w:r w:rsidRPr="009C48DA">
              <w:rPr>
                <w:b/>
                <w:color w:val="000000"/>
                <w:sz w:val="20"/>
                <w:szCs w:val="20"/>
                <w:lang w:val="en-GB"/>
              </w:rPr>
              <w:t>BCM</w:t>
            </w:r>
          </w:p>
        </w:tc>
        <w:tc>
          <w:tcPr>
            <w:tcW w:w="6693" w:type="dxa"/>
          </w:tcPr>
          <w:p w:rsidRPr="009C48DA" w:rsidR="00B23F18" w:rsidP="00B23F18" w:rsidRDefault="00B23F18" w14:paraId="3A24906D" w14:textId="62345D57">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United Kingdom—Applicable Regulatory Framework for Bridgepoint Entities</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_Ref71146307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fldChar w:fldCharType="begin"/>
            </w:r>
            <w:r w:rsidRPr="009C48DA">
              <w:rPr>
                <w:i/>
                <w:color w:val="000000"/>
                <w:sz w:val="20"/>
                <w:szCs w:val="20"/>
                <w:lang w:val="en-GB"/>
              </w:rPr>
              <w:instrText xml:space="preserve"> REF _Ref75192095 \h  \* MERGEFORMAT </w:instrText>
            </w:r>
            <w:r w:rsidRPr="009C48DA">
              <w:rPr>
                <w:i/>
                <w:color w:val="000000"/>
                <w:sz w:val="20"/>
                <w:szCs w:val="20"/>
                <w:lang w:val="en-GB"/>
              </w:rPr>
            </w:r>
            <w:r w:rsidRPr="009C48DA">
              <w:rPr>
                <w:i/>
                <w:color w:val="000000"/>
                <w:sz w:val="20"/>
                <w:szCs w:val="20"/>
                <w:lang w:val="en-GB"/>
              </w:rPr>
              <w:fldChar w:fldCharType="separate"/>
            </w:r>
            <w:r w:rsidRPr="007C3D19" w:rsidR="007C3D19">
              <w:rPr>
                <w:i/>
                <w:sz w:val="20"/>
                <w:szCs w:val="20"/>
                <w:lang w:val="en-GB"/>
              </w:rPr>
              <w:t>Regulatory Overview</w:t>
            </w:r>
            <w:r w:rsidRPr="009C48DA">
              <w:rPr>
                <w:i/>
                <w:color w:val="000000"/>
                <w:sz w:val="20"/>
                <w:szCs w:val="20"/>
                <w:lang w:val="en-GB"/>
              </w:rPr>
              <w:fldChar w:fldCharType="end"/>
            </w:r>
            <w:r w:rsidRPr="009C48DA">
              <w:rPr>
                <w:color w:val="000000"/>
                <w:sz w:val="20"/>
                <w:szCs w:val="20"/>
                <w:lang w:val="en-GB"/>
              </w:rPr>
              <w:t>);</w:t>
            </w:r>
          </w:p>
        </w:tc>
      </w:tr>
      <w:tr w:rsidRPr="009C48DA" w:rsidR="00B23F18" w:rsidTr="00FA0364" w14:paraId="22909A5F" w14:textId="77777777">
        <w:tc>
          <w:tcPr>
            <w:tcW w:w="2511" w:type="dxa"/>
          </w:tcPr>
          <w:p w:rsidRPr="009C48DA" w:rsidR="00B23F18" w:rsidP="00B23F18" w:rsidRDefault="00B23F18" w14:paraId="1972D549" w14:textId="7AABFD02">
            <w:pPr>
              <w:spacing w:after="240"/>
              <w:ind w:right="72"/>
              <w:textAlignment w:val="baseline"/>
              <w:rPr>
                <w:b/>
                <w:color w:val="000000"/>
                <w:sz w:val="20"/>
                <w:szCs w:val="20"/>
                <w:lang w:val="en-GB"/>
              </w:rPr>
            </w:pPr>
            <w:r w:rsidRPr="009C48DA">
              <w:rPr>
                <w:b/>
                <w:color w:val="000000"/>
                <w:sz w:val="20"/>
                <w:szCs w:val="20"/>
                <w:lang w:val="en-GB"/>
              </w:rPr>
              <w:lastRenderedPageBreak/>
              <w:t>BG</w:t>
            </w:r>
            <w:r w:rsidR="00CD2359">
              <w:rPr>
                <w:b/>
                <w:color w:val="000000"/>
                <w:sz w:val="20"/>
                <w:szCs w:val="20"/>
                <w:lang w:val="en-GB"/>
              </w:rPr>
              <w:t>H</w:t>
            </w:r>
            <w:r w:rsidRPr="009C48DA">
              <w:rPr>
                <w:b/>
                <w:color w:val="000000"/>
                <w:sz w:val="20"/>
                <w:szCs w:val="20"/>
                <w:lang w:val="en-GB"/>
              </w:rPr>
              <w:t>L</w:t>
            </w:r>
          </w:p>
        </w:tc>
        <w:tc>
          <w:tcPr>
            <w:tcW w:w="6693" w:type="dxa"/>
          </w:tcPr>
          <w:p w:rsidRPr="009C48DA" w:rsidR="00B23F18" w:rsidP="00B23F18" w:rsidRDefault="00B23F18" w14:paraId="656D061E" w14:textId="28B6E406">
            <w:pPr>
              <w:spacing w:after="240"/>
              <w:jc w:val="both"/>
              <w:textAlignment w:val="baseline"/>
              <w:rPr>
                <w:color w:val="000000"/>
                <w:sz w:val="20"/>
                <w:szCs w:val="20"/>
                <w:lang w:val="en-GB"/>
              </w:rPr>
            </w:pPr>
            <w:r w:rsidRPr="009C48DA">
              <w:rPr>
                <w:color w:val="000000"/>
                <w:sz w:val="20"/>
                <w:szCs w:val="20"/>
                <w:lang w:val="en-GB"/>
              </w:rPr>
              <w:t xml:space="preserve">has the meaning given in section </w:t>
            </w:r>
            <w:r w:rsidRPr="009C48DA">
              <w:rPr>
                <w:color w:val="000000"/>
                <w:sz w:val="20"/>
                <w:szCs w:val="20"/>
                <w:lang w:val="en-GB"/>
              </w:rPr>
              <w:fldChar w:fldCharType="begin"/>
            </w:r>
            <w:r w:rsidRPr="009C48DA">
              <w:rPr>
                <w:color w:val="000000"/>
                <w:sz w:val="20"/>
                <w:szCs w:val="20"/>
                <w:lang w:val="en-GB"/>
              </w:rPr>
              <w:instrText xml:space="preserve"> REF _Ref74461431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14.1</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t>Dyal Investment Agreement</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_Ref71146450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XI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r>
            <w:r w:rsidRPr="007C3D19" w:rsidR="007C3D19">
              <w:rPr>
                <w:i/>
                <w:sz w:val="20"/>
                <w:szCs w:val="20"/>
                <w:lang w:val="en-GB"/>
              </w:rPr>
              <w:t>Additional Information</w:t>
            </w:r>
            <w:r w:rsidRPr="009C48DA">
              <w:rPr>
                <w:color w:val="000000"/>
                <w:sz w:val="20"/>
                <w:szCs w:val="20"/>
                <w:lang w:val="en-GB"/>
              </w:rPr>
              <w:t>);</w:t>
            </w:r>
          </w:p>
        </w:tc>
      </w:tr>
      <w:tr w:rsidRPr="009C48DA" w:rsidR="00B23F18" w:rsidTr="00FA0364" w14:paraId="1C7D6742" w14:textId="77777777">
        <w:tc>
          <w:tcPr>
            <w:tcW w:w="2511" w:type="dxa"/>
          </w:tcPr>
          <w:p w:rsidRPr="009C48DA" w:rsidR="00B23F18" w:rsidP="00B23F18" w:rsidRDefault="00B23F18" w14:paraId="5C7A0673" w14:textId="77777777">
            <w:pPr>
              <w:spacing w:after="240"/>
              <w:ind w:right="72"/>
              <w:textAlignment w:val="baseline"/>
              <w:rPr>
                <w:color w:val="000000"/>
                <w:sz w:val="20"/>
                <w:szCs w:val="20"/>
                <w:lang w:val="en-GB"/>
              </w:rPr>
            </w:pPr>
            <w:r w:rsidRPr="009C48DA">
              <w:rPr>
                <w:b/>
                <w:color w:val="000000"/>
                <w:sz w:val="20"/>
                <w:szCs w:val="20"/>
                <w:lang w:val="en-GB"/>
              </w:rPr>
              <w:t>Board</w:t>
            </w:r>
          </w:p>
        </w:tc>
        <w:tc>
          <w:tcPr>
            <w:tcW w:w="6693" w:type="dxa"/>
          </w:tcPr>
          <w:p w:rsidRPr="009C48DA" w:rsidR="00B23F18" w:rsidP="00B23F18" w:rsidRDefault="00B23F18" w14:paraId="50565EBD" w14:textId="74FA060A">
            <w:pPr>
              <w:spacing w:after="240"/>
              <w:jc w:val="both"/>
              <w:textAlignment w:val="baseline"/>
              <w:rPr>
                <w:color w:val="000000"/>
                <w:sz w:val="20"/>
                <w:szCs w:val="20"/>
                <w:lang w:val="en-GB"/>
              </w:rPr>
            </w:pPr>
            <w:r w:rsidRPr="009C48DA">
              <w:rPr>
                <w:color w:val="000000"/>
                <w:sz w:val="20"/>
                <w:szCs w:val="20"/>
                <w:lang w:val="en-GB"/>
              </w:rPr>
              <w:t>means the board of directors of the Company from time to time;</w:t>
            </w:r>
          </w:p>
        </w:tc>
      </w:tr>
      <w:tr w:rsidRPr="009C48DA" w:rsidR="00B23F18" w:rsidTr="00FA0364" w14:paraId="7B365DF0" w14:textId="77777777">
        <w:tc>
          <w:tcPr>
            <w:tcW w:w="2511" w:type="dxa"/>
          </w:tcPr>
          <w:p w:rsidRPr="009C48DA" w:rsidR="00B23F18" w:rsidP="00B23F18" w:rsidRDefault="00B23F18" w14:paraId="2E3EF346" w14:textId="01E2C34E">
            <w:pPr>
              <w:spacing w:after="240"/>
              <w:ind w:right="72"/>
              <w:textAlignment w:val="baseline"/>
              <w:rPr>
                <w:b/>
                <w:color w:val="000000"/>
                <w:sz w:val="20"/>
                <w:szCs w:val="20"/>
                <w:lang w:val="en-GB"/>
              </w:rPr>
            </w:pPr>
            <w:r w:rsidRPr="009C48DA">
              <w:rPr>
                <w:b/>
                <w:color w:val="000000"/>
                <w:sz w:val="20"/>
                <w:szCs w:val="20"/>
                <w:lang w:val="en-GB"/>
              </w:rPr>
              <w:t>Brexit</w:t>
            </w:r>
          </w:p>
        </w:tc>
        <w:tc>
          <w:tcPr>
            <w:tcW w:w="6693" w:type="dxa"/>
          </w:tcPr>
          <w:p w:rsidRPr="009C48DA" w:rsidR="00B23F18" w:rsidP="00B23F18" w:rsidRDefault="00B23F18" w14:paraId="400782EC" w14:textId="5DF4458B">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Risks Related to the Group’s Business, Industry and Markets</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_Ref71136204 \r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w:t>
            </w:r>
            <w:r w:rsidRPr="009C48DA">
              <w:rPr>
                <w:color w:val="000000"/>
                <w:sz w:val="20"/>
                <w:szCs w:val="20"/>
                <w:lang w:val="en-GB"/>
              </w:rPr>
              <w:fldChar w:fldCharType="end"/>
            </w:r>
            <w:r w:rsidRPr="009C48DA">
              <w:rPr>
                <w:sz w:val="20"/>
                <w:szCs w:val="20"/>
                <w:lang w:val="en-GB"/>
              </w:rPr>
              <w:t xml:space="preserve"> (</w:t>
            </w:r>
            <w:r w:rsidRPr="009C48DA">
              <w:rPr>
                <w:rFonts w:eastAsia="Calibri" w:cs="Arial"/>
                <w:i/>
                <w:sz w:val="20"/>
                <w:szCs w:val="20"/>
                <w:lang w:val="en-GB"/>
              </w:rPr>
              <w:fldChar w:fldCharType="begin"/>
            </w:r>
            <w:r w:rsidRPr="009C48DA">
              <w:rPr>
                <w:i/>
                <w:sz w:val="20"/>
                <w:szCs w:val="20"/>
                <w:lang w:val="en-GB"/>
              </w:rPr>
              <w:instrText xml:space="preserve"> REF _Ref75190583 \h </w:instrText>
            </w:r>
            <w:r w:rsidRPr="009C48DA">
              <w:rPr>
                <w:rFonts w:eastAsia="Calibri" w:cs="Arial"/>
                <w:i/>
                <w:sz w:val="20"/>
                <w:szCs w:val="20"/>
                <w:lang w:val="en-GB"/>
              </w:rPr>
              <w:instrText xml:space="preserve"> \* MERGEFORMAT </w:instrText>
            </w:r>
            <w:r w:rsidRPr="009C48DA">
              <w:rPr>
                <w:rFonts w:eastAsia="Calibri" w:cs="Arial"/>
                <w:i/>
                <w:sz w:val="20"/>
                <w:szCs w:val="20"/>
                <w:lang w:val="en-GB"/>
              </w:rPr>
            </w:r>
            <w:r w:rsidRPr="009C48DA">
              <w:rPr>
                <w:rFonts w:eastAsia="Calibri" w:cs="Arial"/>
                <w:i/>
                <w:sz w:val="20"/>
                <w:szCs w:val="20"/>
                <w:lang w:val="en-GB"/>
              </w:rPr>
              <w:fldChar w:fldCharType="separate"/>
            </w:r>
            <w:r w:rsidRPr="007C3D19" w:rsidR="007C3D19">
              <w:rPr>
                <w:i/>
                <w:sz w:val="20"/>
                <w:szCs w:val="20"/>
                <w:lang w:val="en-GB"/>
              </w:rPr>
              <w:t>Risk Factors</w:t>
            </w:r>
            <w:r w:rsidRPr="009C48DA">
              <w:rPr>
                <w:rFonts w:eastAsia="Calibri" w:cs="Arial"/>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2AE9E290" w14:textId="77777777">
        <w:tc>
          <w:tcPr>
            <w:tcW w:w="2511" w:type="dxa"/>
          </w:tcPr>
          <w:p w:rsidRPr="009C48DA" w:rsidR="00B23F18" w:rsidP="00B23F18" w:rsidRDefault="00B23F18" w14:paraId="33D7CFAC" w14:textId="35965CB2">
            <w:pPr>
              <w:spacing w:after="240"/>
              <w:ind w:right="72"/>
              <w:textAlignment w:val="baseline"/>
              <w:rPr>
                <w:b/>
                <w:color w:val="000000"/>
                <w:sz w:val="20"/>
                <w:szCs w:val="20"/>
                <w:lang w:val="en-GB"/>
              </w:rPr>
            </w:pPr>
            <w:r w:rsidRPr="009C48DA">
              <w:rPr>
                <w:rFonts w:eastAsia="Calibri" w:cs="Arial"/>
                <w:b/>
                <w:sz w:val="20"/>
                <w:szCs w:val="20"/>
                <w:lang w:val="en-GB"/>
              </w:rPr>
              <w:t>Bridgepoint</w:t>
            </w:r>
            <w:r w:rsidRPr="009C48DA">
              <w:rPr>
                <w:rFonts w:eastAsia="Calibri" w:cs="Arial"/>
                <w:sz w:val="20"/>
                <w:szCs w:val="20"/>
                <w:lang w:val="en-GB"/>
              </w:rPr>
              <w:t xml:space="preserve"> </w:t>
            </w:r>
            <w:r w:rsidRPr="009C48DA">
              <w:rPr>
                <w:b/>
                <w:color w:val="000000"/>
                <w:sz w:val="20"/>
                <w:szCs w:val="20"/>
                <w:lang w:val="en-GB"/>
              </w:rPr>
              <w:t>Advisers Group</w:t>
            </w:r>
          </w:p>
        </w:tc>
        <w:tc>
          <w:tcPr>
            <w:tcW w:w="6693" w:type="dxa"/>
          </w:tcPr>
          <w:p w:rsidRPr="009C48DA" w:rsidR="00B23F18" w:rsidP="00B23F18" w:rsidRDefault="00B23F18" w14:paraId="7946C469" w14:textId="3DEA69B5">
            <w:pPr>
              <w:spacing w:after="240"/>
              <w:jc w:val="both"/>
              <w:textAlignment w:val="baseline"/>
              <w:rPr>
                <w:color w:val="000000"/>
                <w:sz w:val="20"/>
                <w:szCs w:val="20"/>
                <w:lang w:val="en-GB"/>
              </w:rPr>
            </w:pPr>
            <w:r w:rsidRPr="009C48DA">
              <w:rPr>
                <w:color w:val="000000"/>
                <w:sz w:val="20"/>
                <w:szCs w:val="20"/>
                <w:lang w:val="en-GB"/>
              </w:rPr>
              <w:t xml:space="preserve">has the meaning given in section </w:t>
            </w:r>
            <w:r w:rsidRPr="009C48DA">
              <w:rPr>
                <w:sz w:val="20"/>
                <w:szCs w:val="20"/>
                <w:lang w:val="en-GB"/>
              </w:rPr>
              <w:fldChar w:fldCharType="begin"/>
            </w:r>
            <w:r w:rsidRPr="009C48DA">
              <w:rPr>
                <w:color w:val="000000"/>
                <w:sz w:val="20"/>
                <w:szCs w:val="20"/>
                <w:lang w:val="en-GB"/>
              </w:rPr>
              <w:instrText xml:space="preserve"> REF _Ref74672707 \n \h </w:instrText>
            </w:r>
            <w:r w:rsidRPr="009C48DA">
              <w:rPr>
                <w:sz w:val="20"/>
                <w:szCs w:val="20"/>
                <w:lang w:val="en-GB"/>
              </w:rPr>
            </w:r>
            <w:r w:rsidRPr="009C48DA">
              <w:rPr>
                <w:sz w:val="20"/>
                <w:szCs w:val="20"/>
                <w:lang w:val="en-GB"/>
              </w:rPr>
              <w:fldChar w:fldCharType="separate"/>
            </w:r>
            <w:r w:rsidR="007C3D19">
              <w:rPr>
                <w:color w:val="000000"/>
                <w:sz w:val="20"/>
                <w:szCs w:val="20"/>
                <w:lang w:val="en-GB"/>
              </w:rPr>
              <w:t>14.3</w:t>
            </w:r>
            <w:r w:rsidRPr="009C48DA">
              <w:rPr>
                <w:sz w:val="20"/>
                <w:szCs w:val="20"/>
                <w:lang w:val="en-GB"/>
              </w:rPr>
              <w:fldChar w:fldCharType="end"/>
            </w:r>
            <w:r w:rsidRPr="009C48DA">
              <w:rPr>
                <w:sz w:val="20"/>
                <w:szCs w:val="20"/>
                <w:lang w:val="en-GB"/>
              </w:rPr>
              <w:t xml:space="preserve"> </w:t>
            </w:r>
            <w:r w:rsidRPr="009C48DA">
              <w:rPr>
                <w:color w:val="000000"/>
                <w:sz w:val="20"/>
                <w:szCs w:val="20"/>
                <w:lang w:val="en-GB"/>
              </w:rPr>
              <w:t>(</w:t>
            </w:r>
            <w:r w:rsidRPr="009C48DA">
              <w:rPr>
                <w:i/>
                <w:color w:val="000000"/>
                <w:sz w:val="20"/>
                <w:szCs w:val="20"/>
                <w:lang w:val="en-GB"/>
              </w:rPr>
              <w:t>BAH Revolving Facility Agreement)</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_Ref71146281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XI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r>
            <w:r w:rsidRPr="007C3D19" w:rsidR="007C3D19">
              <w:rPr>
                <w:i/>
                <w:sz w:val="20"/>
                <w:szCs w:val="20"/>
                <w:lang w:val="en-GB"/>
              </w:rPr>
              <w:t>Additional Information</w:t>
            </w:r>
            <w:r w:rsidRPr="009C48DA">
              <w:rPr>
                <w:color w:val="000000"/>
                <w:sz w:val="20"/>
                <w:szCs w:val="20"/>
                <w:lang w:val="en-GB"/>
              </w:rPr>
              <w:t xml:space="preserve">); </w:t>
            </w:r>
          </w:p>
        </w:tc>
      </w:tr>
      <w:tr w:rsidRPr="009C48DA" w:rsidR="00B23F18" w:rsidTr="00FA0364" w14:paraId="605163E8" w14:textId="77777777">
        <w:tc>
          <w:tcPr>
            <w:tcW w:w="2511" w:type="dxa"/>
          </w:tcPr>
          <w:p w:rsidRPr="009C48DA" w:rsidR="00B23F18" w:rsidP="00B23F18" w:rsidRDefault="00B23F18" w14:paraId="6BC638A8" w14:textId="64CA0C9E">
            <w:pPr>
              <w:spacing w:after="240"/>
              <w:ind w:right="74"/>
              <w:textAlignment w:val="baseline"/>
              <w:rPr>
                <w:b/>
                <w:color w:val="000000"/>
                <w:sz w:val="20"/>
                <w:szCs w:val="20"/>
                <w:lang w:val="en-GB"/>
              </w:rPr>
            </w:pPr>
            <w:r w:rsidRPr="009C48DA">
              <w:rPr>
                <w:rFonts w:eastAsia="Calibri" w:cs="Arial"/>
                <w:b/>
                <w:sz w:val="20"/>
                <w:szCs w:val="20"/>
                <w:lang w:val="en-GB"/>
              </w:rPr>
              <w:t>Bridgepoint</w:t>
            </w:r>
            <w:r w:rsidRPr="009C48DA">
              <w:rPr>
                <w:rFonts w:eastAsia="Calibri" w:cs="Arial"/>
                <w:sz w:val="20"/>
                <w:szCs w:val="20"/>
                <w:lang w:val="en-GB"/>
              </w:rPr>
              <w:t xml:space="preserve"> </w:t>
            </w:r>
            <w:r w:rsidRPr="009C48DA">
              <w:rPr>
                <w:b/>
                <w:color w:val="000000"/>
                <w:sz w:val="20"/>
                <w:szCs w:val="20"/>
                <w:lang w:val="en-GB"/>
              </w:rPr>
              <w:t>Credit Opportunities</w:t>
            </w:r>
          </w:p>
        </w:tc>
        <w:tc>
          <w:tcPr>
            <w:tcW w:w="6693" w:type="dxa"/>
          </w:tcPr>
          <w:p w:rsidRPr="009C48DA" w:rsidR="00B23F18" w:rsidP="00B23F18" w:rsidRDefault="00B23F18" w14:paraId="2E788349" w14:textId="016A6B8F">
            <w:pPr>
              <w:spacing w:after="240"/>
              <w:jc w:val="both"/>
              <w:textAlignment w:val="baseline"/>
              <w:rPr>
                <w:color w:val="000000"/>
                <w:sz w:val="20"/>
                <w:szCs w:val="20"/>
                <w:lang w:val="en-GB"/>
              </w:rPr>
            </w:pPr>
            <w:r w:rsidRPr="009C48DA">
              <w:rPr>
                <w:color w:val="000000"/>
                <w:sz w:val="20"/>
                <w:szCs w:val="20"/>
                <w:lang w:val="en-GB"/>
              </w:rPr>
              <w:t xml:space="preserve">has the meaning given in </w:t>
            </w:r>
            <w:r w:rsidRPr="009C48DA">
              <w:rPr>
                <w:color w:val="000000"/>
                <w:sz w:val="20"/>
                <w:szCs w:val="20"/>
                <w:lang w:val="en-GB"/>
              </w:rPr>
              <w:fldChar w:fldCharType="begin"/>
            </w:r>
            <w:r w:rsidRPr="009C48DA">
              <w:rPr>
                <w:color w:val="000000"/>
                <w:sz w:val="20"/>
                <w:szCs w:val="20"/>
                <w:lang w:val="en-GB"/>
              </w:rPr>
              <w:instrText xml:space="preserve"> REF _Ref72799527 \r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r>
            <w:r w:rsidRPr="007C3D19" w:rsidR="007C3D19">
              <w:rPr>
                <w:i/>
                <w:sz w:val="20"/>
                <w:szCs w:val="20"/>
                <w:lang w:val="en-GB"/>
              </w:rPr>
              <w:t>The Business</w:t>
            </w:r>
            <w:r w:rsidRPr="009C48DA">
              <w:rPr>
                <w:sz w:val="20"/>
                <w:szCs w:val="20"/>
                <w:lang w:val="en-GB"/>
              </w:rPr>
              <w:t>)</w:t>
            </w:r>
            <w:r w:rsidRPr="009C48DA">
              <w:rPr>
                <w:color w:val="000000"/>
                <w:sz w:val="20"/>
                <w:szCs w:val="20"/>
                <w:lang w:val="en-GB"/>
              </w:rPr>
              <w:t>;</w:t>
            </w:r>
          </w:p>
        </w:tc>
      </w:tr>
      <w:tr w:rsidRPr="009C48DA" w:rsidR="00B23F18" w:rsidTr="00FA0364" w14:paraId="2520207F" w14:textId="77777777">
        <w:tc>
          <w:tcPr>
            <w:tcW w:w="2511" w:type="dxa"/>
          </w:tcPr>
          <w:p w:rsidRPr="009C48DA" w:rsidR="00B23F18" w:rsidP="00B23F18" w:rsidRDefault="00B23F18" w14:paraId="07CA6D56" w14:textId="002AD62F">
            <w:pPr>
              <w:spacing w:after="240"/>
              <w:ind w:right="74"/>
              <w:textAlignment w:val="baseline"/>
              <w:rPr>
                <w:b/>
                <w:color w:val="000000"/>
                <w:sz w:val="20"/>
                <w:szCs w:val="20"/>
                <w:lang w:val="en-GB"/>
              </w:rPr>
            </w:pPr>
            <w:r w:rsidRPr="009C48DA">
              <w:rPr>
                <w:rFonts w:eastAsia="Calibri" w:cs="Arial"/>
                <w:b/>
                <w:sz w:val="20"/>
                <w:szCs w:val="20"/>
                <w:lang w:val="en-GB"/>
              </w:rPr>
              <w:t>Bridgepoint</w:t>
            </w:r>
            <w:r w:rsidRPr="009C48DA">
              <w:rPr>
                <w:rFonts w:eastAsia="Calibri" w:cs="Arial"/>
                <w:sz w:val="20"/>
                <w:szCs w:val="20"/>
                <w:lang w:val="en-GB"/>
              </w:rPr>
              <w:t xml:space="preserve"> </w:t>
            </w:r>
            <w:r w:rsidRPr="009C48DA">
              <w:rPr>
                <w:b/>
                <w:color w:val="000000"/>
                <w:sz w:val="20"/>
                <w:szCs w:val="20"/>
                <w:lang w:val="en-GB"/>
              </w:rPr>
              <w:t>Development Capital</w:t>
            </w:r>
          </w:p>
        </w:tc>
        <w:tc>
          <w:tcPr>
            <w:tcW w:w="6693" w:type="dxa"/>
          </w:tcPr>
          <w:p w:rsidRPr="009C48DA" w:rsidR="00B23F18" w:rsidP="00B23F18" w:rsidRDefault="00B23F18" w14:paraId="7BD13D0D" w14:textId="570F77DF">
            <w:pPr>
              <w:spacing w:after="240"/>
              <w:jc w:val="both"/>
              <w:textAlignment w:val="baseline"/>
              <w:rPr>
                <w:color w:val="000000"/>
                <w:sz w:val="20"/>
                <w:szCs w:val="20"/>
                <w:lang w:val="en-GB"/>
              </w:rPr>
            </w:pPr>
            <w:r w:rsidRPr="009C48DA">
              <w:rPr>
                <w:color w:val="000000"/>
                <w:sz w:val="20"/>
                <w:szCs w:val="20"/>
                <w:lang w:val="en-GB"/>
              </w:rPr>
              <w:t xml:space="preserve">has the meaning given in </w:t>
            </w:r>
            <w:r w:rsidRPr="009C48DA">
              <w:rPr>
                <w:color w:val="000000"/>
                <w:sz w:val="20"/>
                <w:szCs w:val="20"/>
                <w:lang w:val="en-GB"/>
              </w:rPr>
              <w:fldChar w:fldCharType="begin"/>
            </w:r>
            <w:r w:rsidRPr="009C48DA">
              <w:rPr>
                <w:color w:val="000000"/>
                <w:sz w:val="20"/>
                <w:szCs w:val="20"/>
                <w:lang w:val="en-GB"/>
              </w:rPr>
              <w:instrText xml:space="preserve"> REF _Ref72799527 \r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r>
            <w:r w:rsidRPr="007C3D19" w:rsidR="007C3D19">
              <w:rPr>
                <w:i/>
                <w:sz w:val="20"/>
                <w:szCs w:val="20"/>
                <w:lang w:val="en-GB"/>
              </w:rPr>
              <w:t>The Business</w:t>
            </w:r>
            <w:r w:rsidRPr="009C48DA">
              <w:rPr>
                <w:sz w:val="20"/>
                <w:szCs w:val="20"/>
                <w:lang w:val="en-GB"/>
              </w:rPr>
              <w:t>)</w:t>
            </w:r>
            <w:r w:rsidRPr="009C48DA">
              <w:rPr>
                <w:color w:val="000000"/>
                <w:sz w:val="20"/>
                <w:szCs w:val="20"/>
                <w:lang w:val="en-GB"/>
              </w:rPr>
              <w:t>;</w:t>
            </w:r>
          </w:p>
        </w:tc>
      </w:tr>
      <w:tr w:rsidRPr="009C48DA" w:rsidR="00B23F18" w:rsidTr="00FA0364" w14:paraId="6CBA0F63" w14:textId="77777777">
        <w:tc>
          <w:tcPr>
            <w:tcW w:w="2511" w:type="dxa"/>
          </w:tcPr>
          <w:p w:rsidRPr="009C48DA" w:rsidR="00B23F18" w:rsidP="00B23F18" w:rsidRDefault="00B23F18" w14:paraId="4E26FEAF" w14:textId="0DA8494A">
            <w:pPr>
              <w:spacing w:after="240"/>
              <w:ind w:right="74"/>
              <w:textAlignment w:val="baseline"/>
              <w:rPr>
                <w:b/>
                <w:color w:val="000000"/>
                <w:sz w:val="20"/>
                <w:szCs w:val="20"/>
                <w:lang w:val="en-GB"/>
              </w:rPr>
            </w:pPr>
            <w:r w:rsidRPr="009C48DA">
              <w:rPr>
                <w:rFonts w:eastAsia="Calibri" w:cs="Arial"/>
                <w:b/>
                <w:sz w:val="20"/>
                <w:szCs w:val="20"/>
                <w:lang w:val="en-GB"/>
              </w:rPr>
              <w:t>Bridgepoint</w:t>
            </w:r>
            <w:r w:rsidRPr="009C48DA">
              <w:rPr>
                <w:rFonts w:eastAsia="Calibri" w:cs="Arial"/>
                <w:sz w:val="20"/>
                <w:szCs w:val="20"/>
                <w:lang w:val="en-GB"/>
              </w:rPr>
              <w:t xml:space="preserve"> </w:t>
            </w:r>
            <w:r w:rsidRPr="009C48DA">
              <w:rPr>
                <w:b/>
                <w:color w:val="000000"/>
                <w:sz w:val="20"/>
                <w:szCs w:val="20"/>
                <w:lang w:val="en-GB"/>
              </w:rPr>
              <w:t>Direct Lending</w:t>
            </w:r>
          </w:p>
        </w:tc>
        <w:tc>
          <w:tcPr>
            <w:tcW w:w="6693" w:type="dxa"/>
          </w:tcPr>
          <w:p w:rsidRPr="009C48DA" w:rsidR="00B23F18" w:rsidP="00B23F18" w:rsidRDefault="00B23F18" w14:paraId="490555D1" w14:textId="013F21A5">
            <w:pPr>
              <w:spacing w:after="240"/>
              <w:jc w:val="both"/>
              <w:textAlignment w:val="baseline"/>
              <w:rPr>
                <w:color w:val="000000"/>
                <w:sz w:val="20"/>
                <w:szCs w:val="20"/>
                <w:lang w:val="en-GB"/>
              </w:rPr>
            </w:pPr>
            <w:r w:rsidRPr="009C48DA">
              <w:rPr>
                <w:color w:val="000000"/>
                <w:sz w:val="20"/>
                <w:szCs w:val="20"/>
                <w:lang w:val="en-GB"/>
              </w:rPr>
              <w:t xml:space="preserve">has the meaning given in </w:t>
            </w:r>
            <w:r w:rsidRPr="009C48DA">
              <w:rPr>
                <w:color w:val="000000"/>
                <w:sz w:val="20"/>
                <w:szCs w:val="20"/>
                <w:lang w:val="en-GB"/>
              </w:rPr>
              <w:fldChar w:fldCharType="begin"/>
            </w:r>
            <w:r w:rsidRPr="009C48DA">
              <w:rPr>
                <w:color w:val="000000"/>
                <w:sz w:val="20"/>
                <w:szCs w:val="20"/>
                <w:lang w:val="en-GB"/>
              </w:rPr>
              <w:instrText xml:space="preserve"> REF _Ref72799527 \r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r>
            <w:r w:rsidRPr="007C3D19" w:rsidR="007C3D19">
              <w:rPr>
                <w:i/>
                <w:sz w:val="20"/>
                <w:szCs w:val="20"/>
                <w:lang w:val="en-GB"/>
              </w:rPr>
              <w:t>The Business</w:t>
            </w:r>
            <w:r w:rsidRPr="009C48DA">
              <w:rPr>
                <w:sz w:val="20"/>
                <w:szCs w:val="20"/>
                <w:lang w:val="en-GB"/>
              </w:rPr>
              <w:t>)</w:t>
            </w:r>
            <w:r w:rsidRPr="009C48DA">
              <w:rPr>
                <w:color w:val="000000"/>
                <w:sz w:val="20"/>
                <w:szCs w:val="20"/>
                <w:lang w:val="en-GB"/>
              </w:rPr>
              <w:t>;</w:t>
            </w:r>
          </w:p>
        </w:tc>
      </w:tr>
      <w:tr w:rsidRPr="009C48DA" w:rsidR="00B23F18" w:rsidTr="00FA0364" w14:paraId="1CBFAB38" w14:textId="77777777">
        <w:tc>
          <w:tcPr>
            <w:tcW w:w="2511" w:type="dxa"/>
          </w:tcPr>
          <w:p w:rsidRPr="009C48DA" w:rsidR="00B23F18" w:rsidP="00B23F18" w:rsidRDefault="00B23F18" w14:paraId="20EF0242" w14:textId="4E921074">
            <w:pPr>
              <w:spacing w:after="240"/>
              <w:ind w:right="72"/>
              <w:textAlignment w:val="baseline"/>
              <w:rPr>
                <w:b/>
                <w:color w:val="000000"/>
                <w:sz w:val="20"/>
                <w:szCs w:val="20"/>
                <w:lang w:val="en-GB"/>
              </w:rPr>
            </w:pPr>
            <w:r w:rsidRPr="009C48DA">
              <w:rPr>
                <w:rFonts w:eastAsia="Calibri" w:cs="Arial"/>
                <w:b/>
                <w:sz w:val="20"/>
                <w:szCs w:val="20"/>
                <w:lang w:val="en-GB"/>
              </w:rPr>
              <w:t>Bridgepoint</w:t>
            </w:r>
            <w:r w:rsidRPr="009C48DA">
              <w:rPr>
                <w:rFonts w:eastAsia="Calibri" w:cs="Arial"/>
                <w:sz w:val="20"/>
                <w:szCs w:val="20"/>
                <w:lang w:val="en-GB"/>
              </w:rPr>
              <w:t xml:space="preserve"> </w:t>
            </w:r>
            <w:r w:rsidRPr="009C48DA">
              <w:rPr>
                <w:b/>
                <w:color w:val="000000"/>
                <w:sz w:val="20"/>
                <w:szCs w:val="20"/>
                <w:lang w:val="en-GB"/>
              </w:rPr>
              <w:t>Europe</w:t>
            </w:r>
          </w:p>
        </w:tc>
        <w:tc>
          <w:tcPr>
            <w:tcW w:w="6693" w:type="dxa"/>
          </w:tcPr>
          <w:p w:rsidRPr="009C48DA" w:rsidR="00B23F18" w:rsidP="00B23F18" w:rsidRDefault="00B23F18" w14:paraId="0C365DF8" w14:textId="07FDFBF2">
            <w:pPr>
              <w:spacing w:after="240"/>
              <w:jc w:val="both"/>
              <w:textAlignment w:val="baseline"/>
              <w:rPr>
                <w:color w:val="000000"/>
                <w:sz w:val="20"/>
                <w:szCs w:val="20"/>
                <w:lang w:val="en-GB"/>
              </w:rPr>
            </w:pPr>
            <w:r w:rsidRPr="009C48DA">
              <w:rPr>
                <w:color w:val="000000"/>
                <w:sz w:val="20"/>
                <w:szCs w:val="20"/>
                <w:lang w:val="en-GB"/>
              </w:rPr>
              <w:t xml:space="preserve">has the meaning given in </w:t>
            </w:r>
            <w:r w:rsidRPr="009C48DA">
              <w:rPr>
                <w:color w:val="000000"/>
                <w:sz w:val="20"/>
                <w:szCs w:val="20"/>
                <w:lang w:val="en-GB"/>
              </w:rPr>
              <w:fldChar w:fldCharType="begin"/>
            </w:r>
            <w:r w:rsidRPr="009C48DA">
              <w:rPr>
                <w:color w:val="000000"/>
                <w:sz w:val="20"/>
                <w:szCs w:val="20"/>
                <w:lang w:val="en-GB"/>
              </w:rPr>
              <w:instrText xml:space="preserve"> REF _Ref72799527 \r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r>
            <w:r w:rsidRPr="007C3D19" w:rsidR="007C3D19">
              <w:rPr>
                <w:i/>
                <w:sz w:val="20"/>
                <w:szCs w:val="20"/>
                <w:lang w:val="en-GB"/>
              </w:rPr>
              <w:t>The Business</w:t>
            </w:r>
            <w:r w:rsidRPr="009C48DA">
              <w:rPr>
                <w:sz w:val="20"/>
                <w:szCs w:val="20"/>
                <w:lang w:val="en-GB"/>
              </w:rPr>
              <w:t>)</w:t>
            </w:r>
            <w:r w:rsidRPr="009C48DA">
              <w:rPr>
                <w:color w:val="000000"/>
                <w:sz w:val="20"/>
                <w:szCs w:val="20"/>
                <w:lang w:val="en-GB"/>
              </w:rPr>
              <w:t>;</w:t>
            </w:r>
          </w:p>
        </w:tc>
      </w:tr>
      <w:tr w:rsidRPr="009C48DA" w:rsidR="00B23F18" w:rsidTr="00FA0364" w14:paraId="4AE5D927" w14:textId="77777777">
        <w:tc>
          <w:tcPr>
            <w:tcW w:w="2511" w:type="dxa"/>
          </w:tcPr>
          <w:p w:rsidRPr="009C48DA" w:rsidR="00B23F18" w:rsidP="00B23F18" w:rsidRDefault="00B23F18" w14:paraId="2C6D0DAC" w14:textId="15AA94CD">
            <w:pPr>
              <w:spacing w:after="240"/>
              <w:ind w:right="72"/>
              <w:textAlignment w:val="baseline"/>
              <w:rPr>
                <w:b/>
                <w:color w:val="000000"/>
                <w:sz w:val="20"/>
                <w:szCs w:val="20"/>
                <w:lang w:val="en-GB"/>
              </w:rPr>
            </w:pPr>
            <w:r w:rsidRPr="009C48DA">
              <w:rPr>
                <w:rFonts w:eastAsia="Calibri" w:cs="Arial"/>
                <w:b/>
                <w:sz w:val="20"/>
                <w:szCs w:val="20"/>
                <w:lang w:val="en-GB"/>
              </w:rPr>
              <w:t>Bridgepoint</w:t>
            </w:r>
            <w:r w:rsidRPr="009C48DA">
              <w:rPr>
                <w:rFonts w:eastAsia="Calibri" w:cs="Arial"/>
                <w:sz w:val="20"/>
                <w:szCs w:val="20"/>
                <w:lang w:val="en-GB"/>
              </w:rPr>
              <w:t xml:space="preserve"> </w:t>
            </w:r>
            <w:r w:rsidRPr="009C48DA">
              <w:rPr>
                <w:b/>
                <w:color w:val="000000"/>
                <w:sz w:val="20"/>
                <w:szCs w:val="20"/>
                <w:lang w:val="en-GB"/>
              </w:rPr>
              <w:t>ERAs</w:t>
            </w:r>
          </w:p>
        </w:tc>
        <w:tc>
          <w:tcPr>
            <w:tcW w:w="6693" w:type="dxa"/>
          </w:tcPr>
          <w:p w:rsidRPr="009C48DA" w:rsidR="00B23F18" w:rsidP="00B23F18" w:rsidRDefault="00B23F18" w14:paraId="6EB257F9" w14:textId="7A56D7A1">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The United States of America—The Advisers Act</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_Ref71146307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fldChar w:fldCharType="begin"/>
            </w:r>
            <w:r w:rsidRPr="009C48DA">
              <w:rPr>
                <w:i/>
                <w:color w:val="000000"/>
                <w:sz w:val="20"/>
                <w:szCs w:val="20"/>
                <w:lang w:val="en-GB"/>
              </w:rPr>
              <w:instrText xml:space="preserve"> REF _Ref75192095 \h  \* MERGEFORMAT </w:instrText>
            </w:r>
            <w:r w:rsidRPr="009C48DA">
              <w:rPr>
                <w:i/>
                <w:color w:val="000000"/>
                <w:sz w:val="20"/>
                <w:szCs w:val="20"/>
                <w:lang w:val="en-GB"/>
              </w:rPr>
            </w:r>
            <w:r w:rsidRPr="009C48DA">
              <w:rPr>
                <w:i/>
                <w:color w:val="000000"/>
                <w:sz w:val="20"/>
                <w:szCs w:val="20"/>
                <w:lang w:val="en-GB"/>
              </w:rPr>
              <w:fldChar w:fldCharType="separate"/>
            </w:r>
            <w:r w:rsidRPr="007C3D19" w:rsidR="007C3D19">
              <w:rPr>
                <w:i/>
                <w:sz w:val="20"/>
                <w:szCs w:val="20"/>
                <w:lang w:val="en-GB"/>
              </w:rPr>
              <w:t>Regulatory Overview</w:t>
            </w:r>
            <w:r w:rsidRPr="009C48DA">
              <w:rPr>
                <w:i/>
                <w:color w:val="000000"/>
                <w:sz w:val="20"/>
                <w:szCs w:val="20"/>
                <w:lang w:val="en-GB"/>
              </w:rPr>
              <w:fldChar w:fldCharType="end"/>
            </w:r>
            <w:r w:rsidRPr="009C48DA">
              <w:rPr>
                <w:color w:val="000000"/>
                <w:sz w:val="20"/>
                <w:szCs w:val="20"/>
                <w:lang w:val="en-GB"/>
              </w:rPr>
              <w:t>);</w:t>
            </w:r>
          </w:p>
        </w:tc>
      </w:tr>
      <w:tr w:rsidRPr="009C48DA" w:rsidR="00B23F18" w:rsidTr="00FA0364" w14:paraId="1EA8AF2E" w14:textId="77777777">
        <w:tc>
          <w:tcPr>
            <w:tcW w:w="2511" w:type="dxa"/>
          </w:tcPr>
          <w:p w:rsidRPr="009C48DA" w:rsidR="00B23F18" w:rsidP="00B23F18" w:rsidRDefault="00B23F18" w14:paraId="3717AE20" w14:textId="2D0CFE38">
            <w:pPr>
              <w:spacing w:after="240"/>
              <w:ind w:right="72"/>
              <w:textAlignment w:val="baseline"/>
              <w:rPr>
                <w:b/>
                <w:color w:val="000000"/>
                <w:sz w:val="20"/>
                <w:szCs w:val="20"/>
                <w:lang w:val="en-GB"/>
              </w:rPr>
            </w:pPr>
            <w:r w:rsidRPr="009C48DA">
              <w:rPr>
                <w:rFonts w:eastAsia="Calibri" w:cs="Arial"/>
                <w:b/>
                <w:sz w:val="20"/>
                <w:szCs w:val="20"/>
                <w:lang w:val="en-GB"/>
              </w:rPr>
              <w:t>Bridgepoint</w:t>
            </w:r>
            <w:r w:rsidRPr="009C48DA">
              <w:rPr>
                <w:rFonts w:eastAsia="Calibri" w:cs="Arial"/>
                <w:sz w:val="20"/>
                <w:szCs w:val="20"/>
                <w:lang w:val="en-GB"/>
              </w:rPr>
              <w:t xml:space="preserve"> </w:t>
            </w:r>
            <w:r w:rsidRPr="009C48DA">
              <w:rPr>
                <w:b/>
                <w:color w:val="000000"/>
                <w:sz w:val="20"/>
                <w:szCs w:val="20"/>
                <w:lang w:val="en-GB"/>
              </w:rPr>
              <w:t>Funds</w:t>
            </w:r>
          </w:p>
        </w:tc>
        <w:tc>
          <w:tcPr>
            <w:tcW w:w="6693" w:type="dxa"/>
          </w:tcPr>
          <w:p w:rsidRPr="009C48DA" w:rsidR="00B23F18" w:rsidP="00B23F18" w:rsidRDefault="00B23F18" w14:paraId="227FDF5D" w14:textId="41DCB4A5">
            <w:pPr>
              <w:spacing w:after="240"/>
              <w:jc w:val="both"/>
              <w:textAlignment w:val="baseline"/>
              <w:rPr>
                <w:color w:val="000000"/>
                <w:sz w:val="20"/>
                <w:szCs w:val="20"/>
                <w:lang w:val="en-GB"/>
              </w:rPr>
            </w:pPr>
            <w:r w:rsidRPr="009C48DA">
              <w:rPr>
                <w:color w:val="000000"/>
                <w:sz w:val="20"/>
                <w:szCs w:val="20"/>
                <w:lang w:val="en-GB"/>
              </w:rPr>
              <w:t>means all Bridgepoint</w:t>
            </w:r>
            <w:r w:rsidRPr="009C48DA">
              <w:rPr>
                <w:i/>
                <w:color w:val="000000"/>
                <w:sz w:val="20"/>
                <w:szCs w:val="20"/>
                <w:lang w:val="en-GB"/>
              </w:rPr>
              <w:t xml:space="preserve"> </w:t>
            </w:r>
            <w:r w:rsidRPr="009C48DA">
              <w:rPr>
                <w:color w:val="000000"/>
                <w:sz w:val="20"/>
                <w:szCs w:val="20"/>
                <w:lang w:val="en-GB"/>
              </w:rPr>
              <w:t xml:space="preserve">funds together, </w:t>
            </w:r>
            <w:r w:rsidRPr="009C48DA">
              <w:rPr>
                <w:sz w:val="20"/>
                <w:szCs w:val="20"/>
                <w:lang w:val="en-GB"/>
              </w:rPr>
              <w:t>and “</w:t>
            </w:r>
            <w:r w:rsidRPr="009C48DA">
              <w:rPr>
                <w:b/>
                <w:sz w:val="20"/>
                <w:szCs w:val="20"/>
                <w:lang w:val="en-GB"/>
              </w:rPr>
              <w:t>Bridgepoint Fund</w:t>
            </w:r>
            <w:r w:rsidRPr="009C48DA">
              <w:rPr>
                <w:sz w:val="20"/>
                <w:szCs w:val="20"/>
                <w:lang w:val="en-GB"/>
              </w:rPr>
              <w:t>” means any one of them</w:t>
            </w:r>
            <w:r w:rsidRPr="009C48DA">
              <w:rPr>
                <w:color w:val="000000"/>
                <w:sz w:val="20"/>
                <w:szCs w:val="20"/>
                <w:lang w:val="en-GB"/>
              </w:rPr>
              <w:t>;</w:t>
            </w:r>
          </w:p>
        </w:tc>
      </w:tr>
      <w:tr w:rsidRPr="009C48DA" w:rsidR="00B23F18" w:rsidTr="00FA0364" w14:paraId="6CB5DB05" w14:textId="77777777">
        <w:tc>
          <w:tcPr>
            <w:tcW w:w="2511" w:type="dxa"/>
          </w:tcPr>
          <w:p w:rsidRPr="009C48DA" w:rsidR="00B23F18" w:rsidP="00B23F18" w:rsidRDefault="00B23F18" w14:paraId="0BABAC3D" w14:textId="7F1A1E57">
            <w:pPr>
              <w:spacing w:after="240"/>
              <w:ind w:right="72"/>
              <w:textAlignment w:val="baseline"/>
              <w:rPr>
                <w:b/>
                <w:color w:val="000000"/>
                <w:sz w:val="20"/>
                <w:szCs w:val="20"/>
                <w:lang w:val="en-GB"/>
              </w:rPr>
            </w:pPr>
            <w:r w:rsidRPr="009C48DA">
              <w:rPr>
                <w:rFonts w:eastAsia="Calibri" w:cs="Arial"/>
                <w:b/>
                <w:sz w:val="20"/>
                <w:szCs w:val="20"/>
                <w:lang w:val="en-GB"/>
              </w:rPr>
              <w:t>Bridgepoint</w:t>
            </w:r>
            <w:r w:rsidRPr="009C48DA">
              <w:rPr>
                <w:rFonts w:eastAsia="Calibri" w:cs="Arial"/>
                <w:sz w:val="20"/>
                <w:szCs w:val="20"/>
                <w:lang w:val="en-GB"/>
              </w:rPr>
              <w:t xml:space="preserve"> </w:t>
            </w:r>
            <w:r w:rsidRPr="009C48DA">
              <w:rPr>
                <w:b/>
                <w:color w:val="000000"/>
                <w:sz w:val="20"/>
                <w:szCs w:val="20"/>
                <w:lang w:val="en-GB"/>
              </w:rPr>
              <w:t>Growth</w:t>
            </w:r>
          </w:p>
        </w:tc>
        <w:tc>
          <w:tcPr>
            <w:tcW w:w="6693" w:type="dxa"/>
          </w:tcPr>
          <w:p w:rsidRPr="009C48DA" w:rsidR="00B23F18" w:rsidP="00B23F18" w:rsidRDefault="00B23F18" w14:paraId="53FB59EE" w14:textId="73274771">
            <w:pPr>
              <w:spacing w:after="240"/>
              <w:jc w:val="both"/>
              <w:textAlignment w:val="baseline"/>
              <w:rPr>
                <w:color w:val="000000"/>
                <w:sz w:val="20"/>
                <w:szCs w:val="20"/>
                <w:lang w:val="en-GB"/>
              </w:rPr>
            </w:pPr>
            <w:r w:rsidRPr="009C48DA">
              <w:rPr>
                <w:color w:val="000000"/>
                <w:sz w:val="20"/>
                <w:szCs w:val="20"/>
                <w:lang w:val="en-GB"/>
              </w:rPr>
              <w:t xml:space="preserve">has the meaning given in </w:t>
            </w:r>
            <w:r w:rsidRPr="009C48DA">
              <w:rPr>
                <w:color w:val="000000"/>
                <w:sz w:val="20"/>
                <w:szCs w:val="20"/>
                <w:lang w:val="en-GB"/>
              </w:rPr>
              <w:fldChar w:fldCharType="begin"/>
            </w:r>
            <w:r w:rsidRPr="009C48DA">
              <w:rPr>
                <w:color w:val="000000"/>
                <w:sz w:val="20"/>
                <w:szCs w:val="20"/>
                <w:lang w:val="en-GB"/>
              </w:rPr>
              <w:instrText xml:space="preserve"> REF _Ref72799527 \r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r>
            <w:r w:rsidRPr="007C3D19" w:rsidR="007C3D19">
              <w:rPr>
                <w:i/>
                <w:sz w:val="20"/>
                <w:szCs w:val="20"/>
                <w:lang w:val="en-GB"/>
              </w:rPr>
              <w:t>The Business</w:t>
            </w:r>
            <w:r w:rsidRPr="009C48DA">
              <w:rPr>
                <w:sz w:val="20"/>
                <w:szCs w:val="20"/>
                <w:lang w:val="en-GB"/>
              </w:rPr>
              <w:t>)</w:t>
            </w:r>
            <w:r w:rsidRPr="009C48DA">
              <w:rPr>
                <w:color w:val="000000"/>
                <w:sz w:val="20"/>
                <w:szCs w:val="20"/>
                <w:lang w:val="en-GB"/>
              </w:rPr>
              <w:t>;</w:t>
            </w:r>
          </w:p>
        </w:tc>
      </w:tr>
      <w:tr w:rsidRPr="009C48DA" w:rsidR="00B23F18" w:rsidTr="00FA0364" w14:paraId="706EA367" w14:textId="77777777">
        <w:tc>
          <w:tcPr>
            <w:tcW w:w="2511" w:type="dxa"/>
          </w:tcPr>
          <w:p w:rsidRPr="009C48DA" w:rsidR="00B23F18" w:rsidP="00B23F18" w:rsidRDefault="00B23F18" w14:paraId="0F94859C" w14:textId="0FC8804E">
            <w:pPr>
              <w:spacing w:after="240"/>
              <w:ind w:right="74"/>
              <w:textAlignment w:val="baseline"/>
              <w:rPr>
                <w:b/>
                <w:color w:val="000000"/>
                <w:sz w:val="20"/>
                <w:szCs w:val="20"/>
                <w:lang w:val="en-GB"/>
              </w:rPr>
            </w:pPr>
            <w:r w:rsidRPr="009C48DA">
              <w:rPr>
                <w:rFonts w:eastAsia="Calibri" w:cs="Arial"/>
                <w:b/>
                <w:sz w:val="20"/>
                <w:szCs w:val="20"/>
                <w:lang w:val="en-GB"/>
              </w:rPr>
              <w:t>Bridgepoint</w:t>
            </w:r>
            <w:r w:rsidRPr="009C48DA">
              <w:rPr>
                <w:rFonts w:eastAsia="Calibri" w:cs="Arial"/>
                <w:sz w:val="20"/>
                <w:szCs w:val="20"/>
                <w:lang w:val="en-GB"/>
              </w:rPr>
              <w:t xml:space="preserve"> </w:t>
            </w:r>
            <w:r w:rsidRPr="009C48DA">
              <w:rPr>
                <w:b/>
                <w:color w:val="000000"/>
                <w:sz w:val="20"/>
                <w:szCs w:val="20"/>
                <w:lang w:val="en-GB"/>
              </w:rPr>
              <w:t>Syndicated Debt</w:t>
            </w:r>
          </w:p>
        </w:tc>
        <w:tc>
          <w:tcPr>
            <w:tcW w:w="6693" w:type="dxa"/>
          </w:tcPr>
          <w:p w:rsidRPr="009C48DA" w:rsidR="00B23F18" w:rsidP="00B23F18" w:rsidRDefault="00B23F18" w14:paraId="4FD66F0A" w14:textId="60F6DA0A">
            <w:pPr>
              <w:spacing w:after="240"/>
              <w:jc w:val="both"/>
              <w:textAlignment w:val="baseline"/>
              <w:rPr>
                <w:color w:val="000000"/>
                <w:sz w:val="20"/>
                <w:szCs w:val="20"/>
                <w:lang w:val="en-GB"/>
              </w:rPr>
            </w:pPr>
            <w:r w:rsidRPr="009C48DA">
              <w:rPr>
                <w:color w:val="000000"/>
                <w:sz w:val="20"/>
                <w:szCs w:val="20"/>
                <w:lang w:val="en-GB"/>
              </w:rPr>
              <w:t xml:space="preserve">has the meaning given in </w:t>
            </w:r>
            <w:r w:rsidRPr="009C48DA">
              <w:rPr>
                <w:color w:val="000000"/>
                <w:sz w:val="20"/>
                <w:szCs w:val="20"/>
                <w:lang w:val="en-GB"/>
              </w:rPr>
              <w:fldChar w:fldCharType="begin"/>
            </w:r>
            <w:r w:rsidRPr="009C48DA">
              <w:rPr>
                <w:color w:val="000000"/>
                <w:sz w:val="20"/>
                <w:szCs w:val="20"/>
                <w:lang w:val="en-GB"/>
              </w:rPr>
              <w:instrText xml:space="preserve"> REF _Ref72799527 \r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r>
            <w:r w:rsidRPr="007C3D19" w:rsidR="007C3D19">
              <w:rPr>
                <w:i/>
                <w:sz w:val="20"/>
                <w:szCs w:val="20"/>
                <w:lang w:val="en-GB"/>
              </w:rPr>
              <w:t>The Business</w:t>
            </w:r>
            <w:r w:rsidRPr="009C48DA">
              <w:rPr>
                <w:sz w:val="20"/>
                <w:szCs w:val="20"/>
                <w:lang w:val="en-GB"/>
              </w:rPr>
              <w:t>)</w:t>
            </w:r>
            <w:r w:rsidRPr="009C48DA">
              <w:rPr>
                <w:color w:val="000000"/>
                <w:sz w:val="20"/>
                <w:szCs w:val="20"/>
                <w:lang w:val="en-GB"/>
              </w:rPr>
              <w:t>;</w:t>
            </w:r>
          </w:p>
        </w:tc>
      </w:tr>
      <w:tr w:rsidRPr="009C48DA" w:rsidR="00B23F18" w:rsidTr="00FA0364" w14:paraId="14BCFEE2" w14:textId="77777777">
        <w:tc>
          <w:tcPr>
            <w:tcW w:w="2511" w:type="dxa"/>
          </w:tcPr>
          <w:p w:rsidRPr="009C48DA" w:rsidR="00B23F18" w:rsidP="00B23F18" w:rsidRDefault="00B23F18" w14:paraId="0510A56B" w14:textId="21926882">
            <w:pPr>
              <w:spacing w:after="240"/>
              <w:ind w:right="72"/>
              <w:textAlignment w:val="baseline"/>
              <w:rPr>
                <w:b/>
                <w:color w:val="000000"/>
                <w:sz w:val="20"/>
                <w:szCs w:val="20"/>
                <w:lang w:val="en-GB"/>
              </w:rPr>
            </w:pPr>
            <w:r w:rsidRPr="009C48DA">
              <w:rPr>
                <w:b/>
                <w:color w:val="000000"/>
                <w:sz w:val="20"/>
                <w:szCs w:val="20"/>
                <w:lang w:val="en-GB"/>
              </w:rPr>
              <w:t xml:space="preserve">CAGR </w:t>
            </w:r>
          </w:p>
        </w:tc>
        <w:tc>
          <w:tcPr>
            <w:tcW w:w="6693" w:type="dxa"/>
          </w:tcPr>
          <w:p w:rsidRPr="009C48DA" w:rsidR="00B23F18" w:rsidP="00B23F18" w:rsidRDefault="00B23F18" w14:paraId="6AA69C09" w14:textId="20378606">
            <w:pPr>
              <w:spacing w:after="240"/>
              <w:jc w:val="both"/>
              <w:textAlignment w:val="baseline"/>
              <w:rPr>
                <w:color w:val="000000"/>
                <w:sz w:val="20"/>
                <w:szCs w:val="20"/>
                <w:lang w:val="en-GB"/>
              </w:rPr>
            </w:pPr>
            <w:r w:rsidRPr="009C48DA">
              <w:rPr>
                <w:color w:val="000000"/>
                <w:sz w:val="20"/>
                <w:szCs w:val="20"/>
                <w:lang w:val="en-GB"/>
              </w:rPr>
              <w:t>means compound annualised growth rate;</w:t>
            </w:r>
          </w:p>
        </w:tc>
      </w:tr>
      <w:tr w:rsidRPr="009C48DA" w:rsidR="00B23F18" w:rsidTr="00FA0364" w14:paraId="583D197D" w14:textId="77777777">
        <w:tc>
          <w:tcPr>
            <w:tcW w:w="2511" w:type="dxa"/>
          </w:tcPr>
          <w:p w:rsidRPr="009C48DA" w:rsidR="00B23F18" w:rsidP="00B23F18" w:rsidRDefault="00B23F18" w14:paraId="78EF4D29" w14:textId="3D80670E">
            <w:pPr>
              <w:spacing w:after="240"/>
              <w:ind w:right="74"/>
              <w:textAlignment w:val="baseline"/>
              <w:rPr>
                <w:b/>
                <w:color w:val="000000"/>
                <w:sz w:val="20"/>
                <w:szCs w:val="20"/>
                <w:lang w:val="en-GB"/>
              </w:rPr>
            </w:pPr>
            <w:r w:rsidRPr="009C48DA">
              <w:rPr>
                <w:b/>
                <w:color w:val="000000"/>
                <w:sz w:val="20"/>
                <w:szCs w:val="20"/>
                <w:lang w:val="en-GB"/>
              </w:rPr>
              <w:t>Carried Interest Participants</w:t>
            </w:r>
          </w:p>
        </w:tc>
        <w:tc>
          <w:tcPr>
            <w:tcW w:w="6693" w:type="dxa"/>
          </w:tcPr>
          <w:p w:rsidRPr="009C48DA" w:rsidR="00B23F18" w:rsidP="00B23F18" w:rsidRDefault="00B23F18" w14:paraId="0F700A05" w14:textId="2C43917C">
            <w:pPr>
              <w:spacing w:after="240"/>
              <w:jc w:val="both"/>
              <w:textAlignment w:val="baseline"/>
              <w:rPr>
                <w:color w:val="000000"/>
                <w:sz w:val="20"/>
                <w:szCs w:val="20"/>
                <w:lang w:val="en-GB"/>
              </w:rPr>
            </w:pPr>
            <w:r w:rsidRPr="009C48DA">
              <w:rPr>
                <w:color w:val="000000"/>
                <w:sz w:val="20"/>
                <w:szCs w:val="20"/>
                <w:lang w:val="en-GB"/>
              </w:rPr>
              <w:t xml:space="preserve">means </w:t>
            </w:r>
            <w:r w:rsidRPr="009C48DA">
              <w:rPr>
                <w:rFonts w:eastAsia="Calibri" w:cs="Arial"/>
                <w:sz w:val="20"/>
                <w:szCs w:val="20"/>
                <w:lang w:val="en-GB"/>
              </w:rPr>
              <w:t>participants entitled to carried interest in the Bridgepoint Funds</w:t>
            </w:r>
            <w:r w:rsidRPr="009C48DA">
              <w:rPr>
                <w:color w:val="000000"/>
                <w:sz w:val="20"/>
                <w:szCs w:val="20"/>
                <w:lang w:val="en-GB"/>
              </w:rPr>
              <w:t>;</w:t>
            </w:r>
            <w:r w:rsidRPr="009C48DA">
              <w:rPr>
                <w:sz w:val="20"/>
                <w:szCs w:val="20"/>
                <w:lang w:val="en-GB"/>
              </w:rPr>
              <w:t xml:space="preserve"> </w:t>
            </w:r>
            <w:r w:rsidRPr="009C48DA">
              <w:rPr>
                <w:color w:val="000000"/>
                <w:sz w:val="20"/>
                <w:szCs w:val="20"/>
                <w:lang w:val="en-GB"/>
              </w:rPr>
              <w:t xml:space="preserve">with such entitlement indirectly being held through vehicles which are entitled to receive carried interest under the governing documents of the </w:t>
            </w:r>
            <w:r w:rsidRPr="009C48DA">
              <w:rPr>
                <w:rFonts w:eastAsia="Calibri" w:cs="Arial"/>
                <w:sz w:val="20"/>
                <w:szCs w:val="20"/>
                <w:lang w:val="en-GB"/>
              </w:rPr>
              <w:t xml:space="preserve">Bridgepoint </w:t>
            </w:r>
            <w:r w:rsidRPr="009C48DA">
              <w:rPr>
                <w:color w:val="000000"/>
                <w:sz w:val="20"/>
                <w:szCs w:val="20"/>
                <w:lang w:val="en-GB"/>
              </w:rPr>
              <w:t>Funds;</w:t>
            </w:r>
          </w:p>
        </w:tc>
      </w:tr>
      <w:tr w:rsidRPr="009C48DA" w:rsidR="00B23F18" w:rsidTr="00FA0364" w14:paraId="57A8ECF8" w14:textId="77777777">
        <w:tc>
          <w:tcPr>
            <w:tcW w:w="2511" w:type="dxa"/>
          </w:tcPr>
          <w:p w:rsidRPr="009C48DA" w:rsidR="00B23F18" w:rsidP="00B23F18" w:rsidRDefault="00B23F18" w14:paraId="07748D3F" w14:textId="00388D56">
            <w:pPr>
              <w:spacing w:after="240"/>
              <w:ind w:right="74"/>
              <w:textAlignment w:val="baseline"/>
              <w:rPr>
                <w:b/>
                <w:color w:val="000000"/>
                <w:sz w:val="20"/>
                <w:szCs w:val="20"/>
                <w:lang w:val="en-GB"/>
              </w:rPr>
            </w:pPr>
            <w:r w:rsidRPr="009C48DA">
              <w:rPr>
                <w:b/>
                <w:color w:val="000000"/>
                <w:sz w:val="20"/>
                <w:szCs w:val="20"/>
                <w:lang w:val="en-GB"/>
              </w:rPr>
              <w:t>Carry LP</w:t>
            </w:r>
          </w:p>
        </w:tc>
        <w:tc>
          <w:tcPr>
            <w:tcW w:w="6693" w:type="dxa"/>
          </w:tcPr>
          <w:p w:rsidRPr="009C48DA" w:rsidR="00B23F18" w:rsidP="00B23F18" w:rsidRDefault="00B23F18" w14:paraId="1D5B6E73" w14:textId="72753566">
            <w:pPr>
              <w:spacing w:after="240"/>
              <w:jc w:val="both"/>
              <w:textAlignment w:val="baseline"/>
              <w:rPr>
                <w:color w:val="000000"/>
                <w:sz w:val="20"/>
                <w:szCs w:val="20"/>
                <w:lang w:val="en-GB"/>
              </w:rPr>
            </w:pPr>
            <w:r w:rsidRPr="009C48DA">
              <w:rPr>
                <w:color w:val="000000"/>
                <w:sz w:val="20"/>
                <w:szCs w:val="20"/>
                <w:lang w:val="en-GB"/>
              </w:rPr>
              <w:t xml:space="preserve">has the meaning given in section </w:t>
            </w:r>
            <w:r w:rsidRPr="009C48DA">
              <w:rPr>
                <w:color w:val="000000"/>
                <w:sz w:val="20"/>
                <w:szCs w:val="20"/>
                <w:lang w:val="en-GB"/>
              </w:rPr>
              <w:fldChar w:fldCharType="begin"/>
            </w:r>
            <w:r w:rsidRPr="009C48DA">
              <w:rPr>
                <w:color w:val="000000"/>
                <w:sz w:val="20"/>
                <w:szCs w:val="20"/>
                <w:lang w:val="en-GB"/>
              </w:rPr>
              <w:instrText xml:space="preserve"> REF _Ref74461431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14.1</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t>Dyal Investment Agreement</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_Ref71146450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XI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r>
            <w:r w:rsidRPr="007C3D19" w:rsidR="007C3D19">
              <w:rPr>
                <w:i/>
                <w:sz w:val="20"/>
                <w:szCs w:val="20"/>
                <w:lang w:val="en-GB"/>
              </w:rPr>
              <w:t>Additional Information</w:t>
            </w:r>
            <w:r w:rsidRPr="009C48DA">
              <w:rPr>
                <w:color w:val="000000"/>
                <w:sz w:val="20"/>
                <w:szCs w:val="20"/>
                <w:lang w:val="en-GB"/>
              </w:rPr>
              <w:t>);</w:t>
            </w:r>
          </w:p>
        </w:tc>
      </w:tr>
      <w:tr w:rsidRPr="009C48DA" w:rsidR="00B23F18" w:rsidTr="00FA0364" w14:paraId="7E627D69" w14:textId="77777777">
        <w:tc>
          <w:tcPr>
            <w:tcW w:w="2511" w:type="dxa"/>
          </w:tcPr>
          <w:p w:rsidRPr="009C48DA" w:rsidR="00B23F18" w:rsidP="00B23F18" w:rsidRDefault="00B23F18" w14:paraId="7EA280BD" w14:textId="7684E6FC">
            <w:pPr>
              <w:spacing w:after="240"/>
              <w:ind w:right="72"/>
              <w:textAlignment w:val="baseline"/>
              <w:rPr>
                <w:b/>
                <w:color w:val="000000"/>
                <w:sz w:val="20"/>
                <w:szCs w:val="20"/>
                <w:lang w:val="en-GB"/>
              </w:rPr>
            </w:pPr>
            <w:r w:rsidRPr="009C48DA">
              <w:rPr>
                <w:b/>
                <w:color w:val="000000"/>
                <w:sz w:val="20"/>
                <w:szCs w:val="20"/>
                <w:lang w:val="en-GB"/>
              </w:rPr>
              <w:t>CCPA</w:t>
            </w:r>
          </w:p>
        </w:tc>
        <w:tc>
          <w:tcPr>
            <w:tcW w:w="6693" w:type="dxa"/>
          </w:tcPr>
          <w:p w:rsidRPr="009C48DA" w:rsidR="00B23F18" w:rsidP="00B23F18" w:rsidRDefault="00B23F18" w14:paraId="3B31BE68" w14:textId="253970C8">
            <w:pPr>
              <w:spacing w:after="240"/>
              <w:jc w:val="both"/>
              <w:textAlignment w:val="baseline"/>
              <w:rPr>
                <w:color w:val="000000"/>
                <w:sz w:val="20"/>
                <w:szCs w:val="20"/>
                <w:lang w:val="en-GB"/>
              </w:rPr>
            </w:pPr>
            <w:r w:rsidRPr="009C48DA">
              <w:rPr>
                <w:color w:val="000000"/>
                <w:sz w:val="20"/>
                <w:szCs w:val="20"/>
                <w:lang w:val="en-GB"/>
              </w:rPr>
              <w:t>means the California Consumer Privacy Act;</w:t>
            </w:r>
          </w:p>
        </w:tc>
      </w:tr>
      <w:tr w:rsidRPr="009C48DA" w:rsidR="00B23F18" w:rsidTr="00FA0364" w14:paraId="067262D6" w14:textId="77777777">
        <w:tc>
          <w:tcPr>
            <w:tcW w:w="2511" w:type="dxa"/>
          </w:tcPr>
          <w:p w:rsidRPr="009C48DA" w:rsidR="00B23F18" w:rsidP="00B23F18" w:rsidRDefault="00B23F18" w14:paraId="2B0ED265" w14:textId="232D5A14">
            <w:pPr>
              <w:spacing w:after="240"/>
              <w:ind w:right="72"/>
              <w:textAlignment w:val="baseline"/>
              <w:rPr>
                <w:b/>
                <w:color w:val="000000"/>
                <w:sz w:val="20"/>
                <w:szCs w:val="20"/>
                <w:lang w:val="en-GB"/>
              </w:rPr>
            </w:pPr>
            <w:r w:rsidRPr="009C48DA">
              <w:rPr>
                <w:b/>
                <w:color w:val="000000"/>
                <w:sz w:val="20"/>
                <w:szCs w:val="20"/>
                <w:lang w:val="en-GB"/>
              </w:rPr>
              <w:t>CFIUS</w:t>
            </w:r>
          </w:p>
        </w:tc>
        <w:tc>
          <w:tcPr>
            <w:tcW w:w="6693" w:type="dxa"/>
          </w:tcPr>
          <w:p w:rsidRPr="009C48DA" w:rsidR="00B23F18" w:rsidP="00B23F18" w:rsidRDefault="00B23F18" w14:paraId="72AA32F9" w14:textId="1FBE37DA">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Risks Related to the Group’s Business, Industry and Markets</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_Ref71136204 \r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w:t>
            </w:r>
            <w:r w:rsidRPr="009C48DA">
              <w:rPr>
                <w:color w:val="000000"/>
                <w:sz w:val="20"/>
                <w:szCs w:val="20"/>
                <w:lang w:val="en-GB"/>
              </w:rPr>
              <w:fldChar w:fldCharType="end"/>
            </w:r>
            <w:r w:rsidRPr="009C48DA">
              <w:rPr>
                <w:color w:val="000000"/>
                <w:sz w:val="20"/>
                <w:szCs w:val="20"/>
                <w:lang w:val="en-GB"/>
              </w:rPr>
              <w:t xml:space="preserve"> (</w:t>
            </w:r>
            <w:r w:rsidRPr="009C48DA">
              <w:rPr>
                <w:rFonts w:eastAsia="Calibri" w:cs="Arial"/>
                <w:i/>
                <w:sz w:val="20"/>
                <w:szCs w:val="20"/>
                <w:lang w:val="en-GB"/>
              </w:rPr>
              <w:fldChar w:fldCharType="begin"/>
            </w:r>
            <w:r w:rsidRPr="009C48DA">
              <w:rPr>
                <w:i/>
                <w:color w:val="000000"/>
                <w:sz w:val="20"/>
                <w:szCs w:val="20"/>
                <w:lang w:val="en-GB"/>
              </w:rPr>
              <w:instrText xml:space="preserve"> REF _Ref75190583 \h </w:instrText>
            </w:r>
            <w:r w:rsidRPr="009C48DA">
              <w:rPr>
                <w:rFonts w:eastAsia="Calibri" w:cs="Arial"/>
                <w:i/>
                <w:sz w:val="20"/>
                <w:szCs w:val="20"/>
                <w:lang w:val="en-GB"/>
              </w:rPr>
              <w:instrText xml:space="preserve"> \* MERGEFORMAT </w:instrText>
            </w:r>
            <w:r w:rsidRPr="009C48DA">
              <w:rPr>
                <w:rFonts w:eastAsia="Calibri" w:cs="Arial"/>
                <w:i/>
                <w:sz w:val="20"/>
                <w:szCs w:val="20"/>
                <w:lang w:val="en-GB"/>
              </w:rPr>
            </w:r>
            <w:r w:rsidRPr="009C48DA">
              <w:rPr>
                <w:rFonts w:eastAsia="Calibri" w:cs="Arial"/>
                <w:i/>
                <w:sz w:val="20"/>
                <w:szCs w:val="20"/>
                <w:lang w:val="en-GB"/>
              </w:rPr>
              <w:fldChar w:fldCharType="separate"/>
            </w:r>
            <w:r w:rsidRPr="007C3D19" w:rsidR="007C3D19">
              <w:rPr>
                <w:i/>
                <w:sz w:val="20"/>
                <w:szCs w:val="20"/>
                <w:lang w:val="en-GB"/>
              </w:rPr>
              <w:t>Risk Factors</w:t>
            </w:r>
            <w:r w:rsidRPr="009C48DA">
              <w:rPr>
                <w:rFonts w:eastAsia="Calibri" w:cs="Arial"/>
                <w:i/>
                <w:sz w:val="20"/>
                <w:szCs w:val="20"/>
                <w:lang w:val="en-GB"/>
              </w:rPr>
              <w:fldChar w:fldCharType="end"/>
            </w:r>
            <w:r w:rsidRPr="009C48DA">
              <w:rPr>
                <w:color w:val="000000"/>
                <w:sz w:val="20"/>
                <w:szCs w:val="20"/>
                <w:lang w:val="en-GB"/>
              </w:rPr>
              <w:t>);</w:t>
            </w:r>
          </w:p>
        </w:tc>
      </w:tr>
      <w:tr w:rsidRPr="009C48DA" w:rsidR="00B23F18" w:rsidTr="00FA0364" w14:paraId="510C0188" w14:textId="77777777">
        <w:tc>
          <w:tcPr>
            <w:tcW w:w="2511" w:type="dxa"/>
          </w:tcPr>
          <w:p w:rsidRPr="009C48DA" w:rsidR="00B23F18" w:rsidP="00B23F18" w:rsidRDefault="00B23F18" w14:paraId="0ADF326A" w14:textId="77777777">
            <w:pPr>
              <w:spacing w:after="240"/>
              <w:ind w:right="72"/>
              <w:textAlignment w:val="baseline"/>
              <w:rPr>
                <w:b/>
                <w:color w:val="000000"/>
                <w:sz w:val="20"/>
                <w:szCs w:val="20"/>
                <w:lang w:val="en-GB"/>
              </w:rPr>
            </w:pPr>
            <w:r w:rsidRPr="009C48DA">
              <w:rPr>
                <w:b/>
                <w:color w:val="000000"/>
                <w:sz w:val="20"/>
                <w:szCs w:val="20"/>
                <w:lang w:val="en-GB"/>
              </w:rPr>
              <w:t>CFO</w:t>
            </w:r>
          </w:p>
        </w:tc>
        <w:tc>
          <w:tcPr>
            <w:tcW w:w="6693" w:type="dxa"/>
          </w:tcPr>
          <w:p w:rsidRPr="009C48DA" w:rsidR="00B23F18" w:rsidP="00B23F18" w:rsidRDefault="00B23F18" w14:paraId="2F9DBA97" w14:textId="77777777">
            <w:pPr>
              <w:spacing w:after="240"/>
              <w:jc w:val="both"/>
              <w:textAlignment w:val="baseline"/>
              <w:rPr>
                <w:color w:val="000000"/>
                <w:sz w:val="20"/>
                <w:szCs w:val="20"/>
                <w:lang w:val="en-GB"/>
              </w:rPr>
            </w:pPr>
            <w:r w:rsidRPr="009C48DA">
              <w:rPr>
                <w:color w:val="000000"/>
                <w:sz w:val="20"/>
                <w:szCs w:val="20"/>
                <w:lang w:val="en-GB"/>
              </w:rPr>
              <w:t>means chief financial officer;</w:t>
            </w:r>
          </w:p>
        </w:tc>
      </w:tr>
      <w:tr w:rsidRPr="009C48DA" w:rsidR="00B23F18" w:rsidTr="00FA0364" w14:paraId="68AC5EC7" w14:textId="77777777">
        <w:tc>
          <w:tcPr>
            <w:tcW w:w="2511" w:type="dxa"/>
          </w:tcPr>
          <w:p w:rsidRPr="009C48DA" w:rsidR="00B23F18" w:rsidP="00B23F18" w:rsidRDefault="00B23F18" w14:paraId="4EBF4EC0" w14:textId="7226C1EC">
            <w:pPr>
              <w:spacing w:after="240"/>
              <w:ind w:right="72"/>
              <w:textAlignment w:val="baseline"/>
              <w:rPr>
                <w:b/>
                <w:color w:val="000000"/>
                <w:sz w:val="20"/>
                <w:szCs w:val="20"/>
                <w:lang w:val="en-GB"/>
              </w:rPr>
            </w:pPr>
            <w:r w:rsidRPr="009C48DA">
              <w:rPr>
                <w:b/>
                <w:color w:val="000000"/>
                <w:sz w:val="20"/>
                <w:szCs w:val="20"/>
                <w:lang w:val="en-GB"/>
              </w:rPr>
              <w:t>Chairman</w:t>
            </w:r>
          </w:p>
        </w:tc>
        <w:tc>
          <w:tcPr>
            <w:tcW w:w="6693" w:type="dxa"/>
          </w:tcPr>
          <w:p w:rsidRPr="009C48DA" w:rsidR="00B23F18" w:rsidP="004C2810" w:rsidRDefault="00B23F18" w14:paraId="1C3CEF13" w14:textId="19BE9623">
            <w:pPr>
              <w:spacing w:after="240"/>
              <w:jc w:val="both"/>
              <w:textAlignment w:val="baseline"/>
              <w:rPr>
                <w:color w:val="000000"/>
                <w:sz w:val="20"/>
                <w:szCs w:val="20"/>
                <w:lang w:val="en-GB"/>
              </w:rPr>
            </w:pPr>
            <w:r w:rsidRPr="009C48DA">
              <w:rPr>
                <w:color w:val="000000"/>
                <w:sz w:val="20"/>
                <w:szCs w:val="20"/>
                <w:lang w:val="en-GB"/>
              </w:rPr>
              <w:t xml:space="preserve">means the Executive Chairman of the Company as of the date of this Registration Document, whose details are set out in </w:t>
            </w:r>
            <w:r w:rsidR="004C2810">
              <w:rPr>
                <w:color w:val="000000"/>
                <w:sz w:val="20"/>
                <w:szCs w:val="20"/>
                <w:lang w:val="en-GB"/>
              </w:rPr>
              <w:t>“</w:t>
            </w:r>
            <w:r w:rsidRPr="009C48DA">
              <w:rPr>
                <w:i/>
                <w:color w:val="000000"/>
                <w:sz w:val="20"/>
                <w:szCs w:val="20"/>
                <w:lang w:val="en-GB"/>
              </w:rPr>
            </w:r>
            <w:r w:rsidRPr="007C3D19" w:rsidR="007C3D19">
              <w:rPr>
                <w:i/>
                <w:sz w:val="20"/>
                <w:szCs w:val="20"/>
                <w:lang w:val="en-GB"/>
              </w:rPr>
              <w:t>Directors</w:t>
            </w:r>
            <w:r w:rsidR="004C2810">
              <w:rPr>
                <w:color w:val="000000"/>
                <w:sz w:val="20"/>
                <w:szCs w:val="20"/>
                <w:lang w:val="en-GB"/>
              </w:rPr>
              <w:t>”</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_Ref67962107 \r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VII</w:t>
            </w:r>
            <w:r w:rsidRPr="009C48DA">
              <w:rPr>
                <w:color w:val="000000"/>
                <w:sz w:val="20"/>
                <w:szCs w:val="20"/>
                <w:lang w:val="en-GB"/>
              </w:rPr>
              <w:fldChar w:fldCharType="end"/>
            </w:r>
            <w:bookmarkStart w:name="here" w:id="780"/>
            <w:bookmarkEnd w:id="780"/>
            <w:r w:rsidRPr="009C48DA">
              <w:rPr>
                <w:color w:val="000000"/>
                <w:sz w:val="20"/>
                <w:szCs w:val="20"/>
                <w:lang w:val="en-GB"/>
              </w:rPr>
              <w:t xml:space="preserve"> (</w:t>
            </w:r>
            <w:r w:rsidRPr="009C48DA">
              <w:rPr>
                <w:i/>
                <w:color w:val="000000"/>
                <w:sz w:val="20"/>
                <w:szCs w:val="20"/>
                <w:lang w:val="en-GB"/>
              </w:rPr>
            </w:r>
            <w:r w:rsidRPr="007C3D19" w:rsidR="007C3D19">
              <w:rPr>
                <w:i/>
                <w:sz w:val="20"/>
                <w:lang w:val="en-GB"/>
              </w:rPr>
              <w:t>Directors, Senior Management, Employees And Corporate Governance</w:t>
            </w:r>
            <w:r w:rsidRPr="009C48DA">
              <w:rPr>
                <w:color w:val="000000"/>
                <w:sz w:val="20"/>
                <w:szCs w:val="20"/>
                <w:lang w:val="en-GB"/>
              </w:rPr>
              <w:t>);</w:t>
            </w:r>
          </w:p>
        </w:tc>
      </w:tr>
      <w:tr w:rsidRPr="009C48DA" w:rsidR="00B23F18" w:rsidTr="00FA0364" w14:paraId="22BF4030" w14:textId="77777777">
        <w:tc>
          <w:tcPr>
            <w:tcW w:w="2511" w:type="dxa"/>
          </w:tcPr>
          <w:p w:rsidRPr="009C48DA" w:rsidR="00B23F18" w:rsidP="00B23F18" w:rsidRDefault="00B23F18" w14:paraId="4FCE0688" w14:textId="5C14BDCA">
            <w:pPr>
              <w:spacing w:after="240"/>
              <w:ind w:right="72"/>
              <w:textAlignment w:val="baseline"/>
              <w:rPr>
                <w:b/>
                <w:color w:val="000000"/>
                <w:sz w:val="20"/>
                <w:szCs w:val="20"/>
                <w:lang w:val="en-GB"/>
              </w:rPr>
            </w:pPr>
            <w:r w:rsidRPr="009C48DA">
              <w:rPr>
                <w:b/>
                <w:color w:val="000000"/>
                <w:sz w:val="20"/>
                <w:szCs w:val="20"/>
                <w:lang w:val="en-GB"/>
              </w:rPr>
              <w:t>Citco</w:t>
            </w:r>
          </w:p>
        </w:tc>
        <w:tc>
          <w:tcPr>
            <w:tcW w:w="6693" w:type="dxa"/>
          </w:tcPr>
          <w:p w:rsidRPr="009C48DA" w:rsidR="00B23F18" w:rsidP="00B23F18" w:rsidRDefault="00B23F18" w14:paraId="2DDD6D85" w14:textId="60E279DF">
            <w:pPr>
              <w:spacing w:after="240"/>
              <w:jc w:val="both"/>
              <w:textAlignment w:val="baseline"/>
              <w:rPr>
                <w:color w:val="000000"/>
                <w:sz w:val="20"/>
                <w:szCs w:val="20"/>
                <w:lang w:val="en-GB"/>
              </w:rPr>
            </w:pPr>
            <w:r w:rsidRPr="009C48DA">
              <w:rPr>
                <w:color w:val="000000"/>
                <w:sz w:val="20"/>
                <w:szCs w:val="20"/>
                <w:lang w:val="en-GB"/>
              </w:rPr>
              <w:t xml:space="preserve">means </w:t>
            </w:r>
            <w:r w:rsidRPr="009C48DA">
              <w:rPr>
                <w:rFonts w:eastAsia="Calibri" w:cs="Arial"/>
                <w:sz w:val="20"/>
                <w:szCs w:val="20"/>
                <w:lang w:val="en-GB"/>
              </w:rPr>
              <w:t>Citco Funds Services (Luxembourg) S.A;</w:t>
            </w:r>
          </w:p>
        </w:tc>
      </w:tr>
      <w:tr w:rsidRPr="009C48DA" w:rsidR="00B23F18" w:rsidTr="00FA0364" w14:paraId="4624C5DC" w14:textId="77777777">
        <w:tc>
          <w:tcPr>
            <w:tcW w:w="2511" w:type="dxa"/>
          </w:tcPr>
          <w:p w:rsidRPr="009C48DA" w:rsidR="00B23F18" w:rsidP="00B23F18" w:rsidRDefault="00B23F18" w14:paraId="6405B2AD" w14:textId="5D2B9C16">
            <w:pPr>
              <w:spacing w:after="240"/>
              <w:ind w:right="72"/>
              <w:textAlignment w:val="baseline"/>
              <w:rPr>
                <w:b/>
                <w:color w:val="000000"/>
                <w:sz w:val="20"/>
                <w:szCs w:val="20"/>
                <w:lang w:val="en-GB"/>
              </w:rPr>
            </w:pPr>
            <w:r w:rsidRPr="009C48DA">
              <w:rPr>
                <w:b/>
                <w:color w:val="000000"/>
                <w:sz w:val="20"/>
                <w:szCs w:val="20"/>
                <w:lang w:val="en-GB"/>
              </w:rPr>
              <w:t>CLO</w:t>
            </w:r>
          </w:p>
        </w:tc>
        <w:tc>
          <w:tcPr>
            <w:tcW w:w="6693" w:type="dxa"/>
          </w:tcPr>
          <w:p w:rsidRPr="009C48DA" w:rsidR="00B23F18" w:rsidP="00B23F18" w:rsidRDefault="00B23F18" w14:paraId="49A47B8E" w14:textId="3ECDDED4">
            <w:pPr>
              <w:spacing w:after="240"/>
              <w:jc w:val="both"/>
              <w:textAlignment w:val="baseline"/>
              <w:rPr>
                <w:color w:val="000000"/>
                <w:sz w:val="20"/>
                <w:szCs w:val="20"/>
                <w:lang w:val="en-GB"/>
              </w:rPr>
            </w:pPr>
            <w:r w:rsidRPr="009C48DA">
              <w:rPr>
                <w:color w:val="000000"/>
                <w:sz w:val="20"/>
                <w:szCs w:val="20"/>
                <w:lang w:val="en-GB"/>
              </w:rPr>
              <w:t>means collateralised loan obligation;</w:t>
            </w:r>
          </w:p>
        </w:tc>
      </w:tr>
      <w:tr w:rsidRPr="009C48DA" w:rsidR="00B23F18" w:rsidTr="00FA0364" w14:paraId="2DB70E9E" w14:textId="77777777">
        <w:tc>
          <w:tcPr>
            <w:tcW w:w="2511" w:type="dxa"/>
          </w:tcPr>
          <w:p w:rsidRPr="009C48DA" w:rsidR="00B23F18" w:rsidP="00B23F18" w:rsidRDefault="00B23F18" w14:paraId="67E8F009" w14:textId="77777777">
            <w:pPr>
              <w:spacing w:after="240"/>
              <w:ind w:right="72"/>
              <w:textAlignment w:val="baseline"/>
              <w:rPr>
                <w:color w:val="000000"/>
                <w:sz w:val="20"/>
                <w:szCs w:val="20"/>
                <w:lang w:val="en-GB"/>
              </w:rPr>
            </w:pPr>
            <w:r w:rsidRPr="009C48DA">
              <w:rPr>
                <w:b/>
                <w:color w:val="000000"/>
                <w:sz w:val="20"/>
                <w:szCs w:val="20"/>
                <w:lang w:val="en-GB"/>
              </w:rPr>
              <w:lastRenderedPageBreak/>
              <w:t>Companies Act 2006</w:t>
            </w:r>
          </w:p>
        </w:tc>
        <w:tc>
          <w:tcPr>
            <w:tcW w:w="6693" w:type="dxa"/>
          </w:tcPr>
          <w:p w:rsidRPr="009C48DA" w:rsidR="00B23F18" w:rsidP="00B23F18" w:rsidRDefault="00B23F18" w14:paraId="6E4D7CBB" w14:textId="77777777">
            <w:pPr>
              <w:spacing w:after="240"/>
              <w:jc w:val="both"/>
              <w:textAlignment w:val="baseline"/>
              <w:rPr>
                <w:color w:val="000000"/>
                <w:sz w:val="20"/>
                <w:szCs w:val="20"/>
                <w:lang w:val="en-GB"/>
              </w:rPr>
            </w:pPr>
            <w:r w:rsidRPr="009C48DA">
              <w:rPr>
                <w:color w:val="000000"/>
                <w:sz w:val="20"/>
                <w:szCs w:val="20"/>
                <w:lang w:val="en-GB"/>
              </w:rPr>
              <w:t>means the Companies Act 2006 of England and Wales, as amended from time to time;</w:t>
            </w:r>
          </w:p>
        </w:tc>
      </w:tr>
      <w:tr w:rsidRPr="009C48DA" w:rsidR="00B23F18" w:rsidTr="00FA0364" w14:paraId="702FE067" w14:textId="77777777">
        <w:tc>
          <w:tcPr>
            <w:tcW w:w="2511" w:type="dxa"/>
          </w:tcPr>
          <w:p w:rsidRPr="009C48DA" w:rsidR="00B23F18" w:rsidP="00B23F18" w:rsidRDefault="00B23F18" w14:paraId="7D1911A3" w14:textId="49259489">
            <w:pPr>
              <w:spacing w:after="240"/>
              <w:ind w:right="72"/>
              <w:textAlignment w:val="baseline"/>
              <w:rPr>
                <w:b/>
                <w:color w:val="000000"/>
                <w:sz w:val="20"/>
                <w:szCs w:val="20"/>
                <w:lang w:val="en-GB"/>
              </w:rPr>
            </w:pPr>
            <w:r w:rsidRPr="009C48DA">
              <w:rPr>
                <w:b/>
                <w:color w:val="000000"/>
                <w:sz w:val="20"/>
                <w:szCs w:val="20"/>
                <w:lang w:val="en-GB"/>
              </w:rPr>
              <w:t>Company</w:t>
            </w:r>
          </w:p>
        </w:tc>
        <w:tc>
          <w:tcPr>
            <w:tcW w:w="6693" w:type="dxa"/>
          </w:tcPr>
          <w:p w:rsidRPr="009C48DA" w:rsidR="00B23F18" w:rsidP="00B23F18" w:rsidRDefault="00B23F18" w14:paraId="45C6A189" w14:textId="67268F54">
            <w:pPr>
              <w:spacing w:after="240"/>
              <w:jc w:val="both"/>
              <w:textAlignment w:val="baseline"/>
              <w:rPr>
                <w:color w:val="000000"/>
                <w:sz w:val="20"/>
                <w:szCs w:val="20"/>
                <w:lang w:val="en-GB"/>
              </w:rPr>
            </w:pPr>
            <w:r w:rsidRPr="009C48DA">
              <w:rPr>
                <w:color w:val="000000"/>
                <w:sz w:val="20"/>
                <w:szCs w:val="20"/>
                <w:lang w:val="en-GB"/>
              </w:rPr>
              <w:t>means Atlantic Investments Holdings Limited;</w:t>
            </w:r>
          </w:p>
        </w:tc>
      </w:tr>
      <w:tr w:rsidRPr="009C48DA" w:rsidR="00B23F18" w:rsidTr="00FA0364" w14:paraId="016EA7EF" w14:textId="77777777">
        <w:tc>
          <w:tcPr>
            <w:tcW w:w="2511" w:type="dxa"/>
          </w:tcPr>
          <w:p w:rsidRPr="009C48DA" w:rsidR="00B23F18" w:rsidP="00B23F18" w:rsidRDefault="00B23F18" w14:paraId="5B25307E" w14:textId="2C187814">
            <w:pPr>
              <w:spacing w:after="240"/>
              <w:ind w:right="72"/>
              <w:textAlignment w:val="baseline"/>
              <w:rPr>
                <w:b/>
                <w:color w:val="000000"/>
                <w:sz w:val="20"/>
                <w:szCs w:val="20"/>
                <w:lang w:val="en-GB"/>
              </w:rPr>
            </w:pPr>
            <w:r w:rsidRPr="009C48DA">
              <w:rPr>
                <w:b/>
                <w:color w:val="000000"/>
                <w:sz w:val="20"/>
                <w:szCs w:val="20"/>
                <w:lang w:val="en-GB"/>
              </w:rPr>
              <w:t>Corporate Governance Code</w:t>
            </w:r>
          </w:p>
        </w:tc>
        <w:tc>
          <w:tcPr>
            <w:tcW w:w="6693" w:type="dxa"/>
          </w:tcPr>
          <w:p w:rsidRPr="009C48DA" w:rsidR="00B23F18" w:rsidP="00B23F18" w:rsidRDefault="00B23F18" w14:paraId="3CC234C1" w14:textId="77777777">
            <w:pPr>
              <w:spacing w:after="240"/>
              <w:jc w:val="both"/>
              <w:textAlignment w:val="baseline"/>
              <w:rPr>
                <w:color w:val="000000"/>
                <w:sz w:val="20"/>
                <w:szCs w:val="20"/>
                <w:lang w:val="en-GB"/>
              </w:rPr>
            </w:pPr>
            <w:r w:rsidRPr="009C48DA">
              <w:rPr>
                <w:color w:val="000000"/>
                <w:sz w:val="20"/>
                <w:szCs w:val="20"/>
                <w:lang w:val="en-GB"/>
              </w:rPr>
              <w:t>means the UK Corporate Governance Code published in July 2018 by the Financial Reporting Council, as amended from time to time;</w:t>
            </w:r>
          </w:p>
        </w:tc>
      </w:tr>
      <w:tr w:rsidRPr="009C48DA" w:rsidR="00B23F18" w:rsidTr="00FA0364" w14:paraId="207A9DF9" w14:textId="77777777">
        <w:tc>
          <w:tcPr>
            <w:tcW w:w="2511" w:type="dxa"/>
          </w:tcPr>
          <w:p w:rsidRPr="009C48DA" w:rsidR="00B23F18" w:rsidP="00B23F18" w:rsidRDefault="00B23F18" w14:paraId="2FCB5790" w14:textId="7D23D97D">
            <w:pPr>
              <w:spacing w:after="240"/>
              <w:ind w:right="72"/>
              <w:textAlignment w:val="baseline"/>
              <w:rPr>
                <w:b/>
                <w:color w:val="000000"/>
                <w:sz w:val="20"/>
                <w:szCs w:val="20"/>
                <w:lang w:val="en-GB"/>
              </w:rPr>
            </w:pPr>
            <w:r w:rsidRPr="009C48DA">
              <w:rPr>
                <w:b/>
                <w:color w:val="000000"/>
                <w:sz w:val="20"/>
                <w:szCs w:val="20"/>
                <w:lang w:val="en-GB"/>
              </w:rPr>
              <w:t>COVID-19</w:t>
            </w:r>
          </w:p>
        </w:tc>
        <w:tc>
          <w:tcPr>
            <w:tcW w:w="6693" w:type="dxa"/>
          </w:tcPr>
          <w:p w:rsidRPr="009C48DA" w:rsidR="00B23F18" w:rsidP="00B23F18" w:rsidRDefault="00B23F18" w14:paraId="26EB0063" w14:textId="33BD9A7C">
            <w:pPr>
              <w:spacing w:after="240"/>
              <w:jc w:val="both"/>
              <w:textAlignment w:val="baseline"/>
              <w:rPr>
                <w:color w:val="000000"/>
                <w:sz w:val="20"/>
                <w:szCs w:val="20"/>
                <w:lang w:val="en-GB"/>
              </w:rPr>
            </w:pPr>
            <w:r w:rsidRPr="009C48DA">
              <w:rPr>
                <w:color w:val="000000"/>
                <w:sz w:val="20"/>
                <w:szCs w:val="20"/>
                <w:lang w:val="en-GB"/>
              </w:rPr>
              <w:t>means the novel strain of coronavirus identified in late 2019;</w:t>
            </w:r>
          </w:p>
        </w:tc>
      </w:tr>
      <w:tr w:rsidRPr="009C48DA" w:rsidR="00B23F18" w:rsidTr="00FA0364" w14:paraId="7A44AA6B" w14:textId="77777777">
        <w:tc>
          <w:tcPr>
            <w:tcW w:w="2511" w:type="dxa"/>
          </w:tcPr>
          <w:p w:rsidRPr="009C48DA" w:rsidR="00B23F18" w:rsidP="00B23F18" w:rsidRDefault="00B23F18" w14:paraId="2A100293" w14:textId="34131D5D">
            <w:pPr>
              <w:spacing w:after="240"/>
              <w:ind w:right="72"/>
              <w:textAlignment w:val="baseline"/>
              <w:rPr>
                <w:b/>
                <w:color w:val="000000"/>
                <w:sz w:val="20"/>
                <w:szCs w:val="20"/>
                <w:lang w:val="en-GB"/>
              </w:rPr>
            </w:pPr>
            <w:r w:rsidRPr="009C48DA">
              <w:rPr>
                <w:b/>
                <w:color w:val="000000"/>
                <w:sz w:val="20"/>
                <w:szCs w:val="20"/>
                <w:lang w:val="en-GB"/>
              </w:rPr>
              <w:t>CPRA</w:t>
            </w:r>
          </w:p>
        </w:tc>
        <w:tc>
          <w:tcPr>
            <w:tcW w:w="6693" w:type="dxa"/>
          </w:tcPr>
          <w:p w:rsidRPr="009C48DA" w:rsidR="00B23F18" w:rsidP="00B23F18" w:rsidRDefault="00B23F18" w14:paraId="433F9BB1" w14:textId="3FBF9E23">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Legal, Regulatory and Governance Risks</w:t>
            </w:r>
            <w:r w:rsidRPr="009C48DA">
              <w:rPr>
                <w:color w:val="000000"/>
                <w:sz w:val="20"/>
                <w:szCs w:val="20"/>
                <w:lang w:val="en-GB"/>
              </w:rPr>
              <w:t xml:space="preserve">” of </w:t>
            </w:r>
            <w:r w:rsidR="00B74D38">
              <w:rPr>
                <w:color w:val="000000"/>
                <w:sz w:val="20"/>
                <w:szCs w:val="20"/>
                <w:lang w:val="en-GB"/>
              </w:rPr>
              <w:br/>
            </w:r>
            <w:r w:rsidRPr="009C48DA">
              <w:rPr>
                <w:color w:val="000000"/>
                <w:sz w:val="20"/>
                <w:szCs w:val="20"/>
                <w:lang w:val="en-GB"/>
              </w:rPr>
              <w:fldChar w:fldCharType="begin"/>
            </w:r>
            <w:r w:rsidRPr="009C48DA">
              <w:rPr>
                <w:color w:val="000000"/>
                <w:sz w:val="20"/>
                <w:szCs w:val="20"/>
                <w:lang w:val="en-GB"/>
              </w:rPr>
              <w:instrText xml:space="preserve"> REF _Ref71136204 \r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w:t>
            </w:r>
            <w:r w:rsidRPr="009C48DA">
              <w:rPr>
                <w:color w:val="000000"/>
                <w:sz w:val="20"/>
                <w:szCs w:val="20"/>
                <w:lang w:val="en-GB"/>
              </w:rPr>
              <w:fldChar w:fldCharType="end"/>
            </w:r>
            <w:r w:rsidRPr="009C48DA">
              <w:rPr>
                <w:color w:val="000000"/>
                <w:sz w:val="20"/>
                <w:szCs w:val="20"/>
                <w:lang w:val="en-GB"/>
              </w:rPr>
              <w:t xml:space="preserve"> (</w:t>
            </w:r>
            <w:r w:rsidRPr="009C48DA">
              <w:rPr>
                <w:rFonts w:eastAsia="Calibri" w:cs="Arial"/>
                <w:iCs/>
                <w:sz w:val="20"/>
                <w:szCs w:val="20"/>
                <w:lang w:val="en-GB"/>
              </w:rPr>
              <w:fldChar w:fldCharType="begin"/>
            </w:r>
            <w:r w:rsidRPr="009C48DA">
              <w:rPr>
                <w:iCs/>
                <w:color w:val="000000"/>
                <w:sz w:val="20"/>
                <w:szCs w:val="20"/>
                <w:lang w:val="en-GB"/>
              </w:rPr>
              <w:instrText xml:space="preserve"> REF _Ref75190583 \h </w:instrText>
            </w:r>
            <w:r w:rsidRPr="009C48DA">
              <w:rPr>
                <w:rFonts w:eastAsia="Calibri" w:cs="Arial"/>
                <w:iCs/>
                <w:sz w:val="20"/>
                <w:szCs w:val="20"/>
                <w:lang w:val="en-GB"/>
              </w:rPr>
              <w:instrText xml:space="preserve"> \* MERGEFORMAT </w:instrText>
            </w:r>
            <w:r w:rsidRPr="009C48DA">
              <w:rPr>
                <w:rFonts w:eastAsia="Calibri" w:cs="Arial"/>
                <w:iCs/>
                <w:sz w:val="20"/>
                <w:szCs w:val="20"/>
                <w:lang w:val="en-GB"/>
              </w:rPr>
            </w:r>
            <w:r w:rsidRPr="009C48DA">
              <w:rPr>
                <w:rFonts w:eastAsia="Calibri" w:cs="Arial"/>
                <w:iCs/>
                <w:sz w:val="20"/>
                <w:szCs w:val="20"/>
                <w:lang w:val="en-GB"/>
              </w:rPr>
              <w:fldChar w:fldCharType="separate"/>
            </w:r>
            <w:r w:rsidRPr="007C3D19" w:rsidR="007C3D19">
              <w:rPr>
                <w:iCs/>
                <w:sz w:val="20"/>
                <w:szCs w:val="20"/>
                <w:lang w:val="en-GB"/>
              </w:rPr>
              <w:t>Risk Factors</w:t>
            </w:r>
            <w:r w:rsidRPr="009C48DA">
              <w:rPr>
                <w:rFonts w:eastAsia="Calibri" w:cs="Arial"/>
                <w:iCs/>
                <w:sz w:val="20"/>
                <w:szCs w:val="20"/>
                <w:lang w:val="en-GB"/>
              </w:rPr>
              <w:fldChar w:fldCharType="end"/>
            </w:r>
            <w:r w:rsidRPr="009C48DA">
              <w:rPr>
                <w:color w:val="000000"/>
                <w:sz w:val="20"/>
                <w:szCs w:val="20"/>
                <w:lang w:val="en-GB"/>
              </w:rPr>
              <w:t>);</w:t>
            </w:r>
          </w:p>
        </w:tc>
      </w:tr>
      <w:tr w:rsidRPr="009C48DA" w:rsidR="00B23F18" w:rsidTr="00FA0364" w14:paraId="6EA76591" w14:textId="77777777">
        <w:tc>
          <w:tcPr>
            <w:tcW w:w="2511" w:type="dxa"/>
          </w:tcPr>
          <w:p w:rsidRPr="009C48DA" w:rsidR="00B23F18" w:rsidP="00B23F18" w:rsidRDefault="00B23F18" w14:paraId="30D66B75" w14:textId="53F6BDD7">
            <w:pPr>
              <w:spacing w:after="240"/>
              <w:ind w:right="72"/>
              <w:textAlignment w:val="baseline"/>
              <w:rPr>
                <w:b/>
                <w:color w:val="000000"/>
                <w:sz w:val="20"/>
                <w:szCs w:val="20"/>
                <w:lang w:val="en-GB"/>
              </w:rPr>
            </w:pPr>
            <w:r w:rsidRPr="009C48DA">
              <w:rPr>
                <w:b/>
                <w:color w:val="000000"/>
                <w:sz w:val="20"/>
                <w:szCs w:val="20"/>
                <w:lang w:val="en-GB"/>
              </w:rPr>
              <w:t>CRD IV</w:t>
            </w:r>
          </w:p>
        </w:tc>
        <w:tc>
          <w:tcPr>
            <w:tcW w:w="6693" w:type="dxa"/>
          </w:tcPr>
          <w:p w:rsidRPr="009C48DA" w:rsidR="00B23F18" w:rsidP="00B23F18" w:rsidRDefault="00B23F18" w14:paraId="2CE52ACA" w14:textId="2D116150">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Legal, Regulatory and Governance Risks</w:t>
            </w:r>
            <w:r w:rsidRPr="009C48DA">
              <w:rPr>
                <w:color w:val="000000"/>
                <w:sz w:val="20"/>
                <w:szCs w:val="20"/>
                <w:lang w:val="en-GB"/>
              </w:rPr>
              <w:t xml:space="preserve">” of </w:t>
            </w:r>
            <w:r w:rsidR="00B74D38">
              <w:rPr>
                <w:color w:val="000000"/>
                <w:sz w:val="20"/>
                <w:szCs w:val="20"/>
                <w:lang w:val="en-GB"/>
              </w:rPr>
              <w:br/>
            </w:r>
            <w:r w:rsidRPr="009C48DA">
              <w:rPr>
                <w:color w:val="000000"/>
                <w:sz w:val="20"/>
                <w:szCs w:val="20"/>
                <w:lang w:val="en-GB"/>
              </w:rPr>
              <w:fldChar w:fldCharType="begin"/>
            </w:r>
            <w:r w:rsidRPr="009C48DA">
              <w:rPr>
                <w:color w:val="000000"/>
                <w:sz w:val="20"/>
                <w:szCs w:val="20"/>
                <w:lang w:val="en-GB"/>
              </w:rPr>
              <w:instrText xml:space="preserve"> REF _Ref71136204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_Ref75190583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Risk Factors</w:t>
            </w:r>
            <w:r w:rsidRPr="009C48DA">
              <w:rPr>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7F920BF2" w14:textId="77777777">
        <w:tc>
          <w:tcPr>
            <w:tcW w:w="2511" w:type="dxa"/>
          </w:tcPr>
          <w:p w:rsidRPr="009C48DA" w:rsidR="00B23F18" w:rsidP="00B23F18" w:rsidRDefault="00B23F18" w14:paraId="194EFEC7" w14:textId="6C950070">
            <w:pPr>
              <w:spacing w:after="240"/>
              <w:ind w:right="72"/>
              <w:textAlignment w:val="baseline"/>
              <w:rPr>
                <w:b/>
                <w:color w:val="000000"/>
                <w:sz w:val="20"/>
                <w:szCs w:val="20"/>
                <w:lang w:val="en-GB"/>
              </w:rPr>
            </w:pPr>
            <w:r w:rsidRPr="009C48DA">
              <w:rPr>
                <w:b/>
                <w:color w:val="000000"/>
                <w:sz w:val="20"/>
                <w:szCs w:val="20"/>
                <w:lang w:val="en-GB"/>
              </w:rPr>
              <w:t xml:space="preserve">CRM </w:t>
            </w:r>
          </w:p>
        </w:tc>
        <w:tc>
          <w:tcPr>
            <w:tcW w:w="6693" w:type="dxa"/>
          </w:tcPr>
          <w:p w:rsidRPr="009C48DA" w:rsidR="00B23F18" w:rsidP="00B23F18" w:rsidRDefault="00B23F18" w14:paraId="0690E446" w14:textId="7E25B8D3">
            <w:pPr>
              <w:spacing w:after="240"/>
              <w:jc w:val="both"/>
              <w:textAlignment w:val="baseline"/>
              <w:rPr>
                <w:color w:val="000000"/>
                <w:sz w:val="20"/>
                <w:szCs w:val="20"/>
                <w:lang w:val="en-GB"/>
              </w:rPr>
            </w:pPr>
            <w:r w:rsidRPr="009C48DA">
              <w:rPr>
                <w:color w:val="000000"/>
                <w:sz w:val="20"/>
                <w:szCs w:val="20"/>
                <w:lang w:val="en-GB"/>
              </w:rPr>
              <w:t>means customer relationship management;</w:t>
            </w:r>
          </w:p>
        </w:tc>
      </w:tr>
      <w:tr w:rsidRPr="009C48DA" w:rsidR="00B23F18" w:rsidTr="00FA0364" w14:paraId="102CA8DB" w14:textId="77777777">
        <w:tc>
          <w:tcPr>
            <w:tcW w:w="2511" w:type="dxa"/>
          </w:tcPr>
          <w:p w:rsidRPr="009C48DA" w:rsidR="00B23F18" w:rsidP="00B23F18" w:rsidRDefault="00B23F18" w14:paraId="796FA05C" w14:textId="653E9D84">
            <w:pPr>
              <w:spacing w:after="240"/>
              <w:ind w:right="72"/>
              <w:textAlignment w:val="baseline"/>
              <w:rPr>
                <w:b/>
                <w:color w:val="000000"/>
                <w:sz w:val="20"/>
                <w:szCs w:val="20"/>
                <w:lang w:val="en-GB"/>
              </w:rPr>
            </w:pPr>
            <w:r w:rsidRPr="009C48DA">
              <w:rPr>
                <w:b/>
                <w:color w:val="000000"/>
                <w:sz w:val="20"/>
                <w:szCs w:val="20"/>
                <w:lang w:val="en-GB"/>
              </w:rPr>
              <w:t>CRR</w:t>
            </w:r>
          </w:p>
        </w:tc>
        <w:tc>
          <w:tcPr>
            <w:tcW w:w="6693" w:type="dxa"/>
          </w:tcPr>
          <w:p w:rsidRPr="009C48DA" w:rsidR="00B23F18" w:rsidP="00B23F18" w:rsidRDefault="00B23F18" w14:paraId="4A67EE45" w14:textId="1A9F839A">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Legal, Regulatory and Governance Risks</w:t>
            </w:r>
            <w:r w:rsidRPr="009C48DA">
              <w:rPr>
                <w:color w:val="000000"/>
                <w:sz w:val="20"/>
                <w:szCs w:val="20"/>
                <w:lang w:val="en-GB"/>
              </w:rPr>
              <w:t xml:space="preserve">” of </w:t>
            </w:r>
            <w:r w:rsidR="00B74D38">
              <w:rPr>
                <w:color w:val="000000"/>
                <w:sz w:val="20"/>
                <w:szCs w:val="20"/>
                <w:lang w:val="en-GB"/>
              </w:rPr>
              <w:br/>
            </w:r>
            <w:r w:rsidRPr="009C48DA">
              <w:rPr>
                <w:color w:val="000000"/>
                <w:sz w:val="20"/>
                <w:szCs w:val="20"/>
                <w:lang w:val="en-GB"/>
              </w:rPr>
              <w:fldChar w:fldCharType="begin"/>
            </w:r>
            <w:r w:rsidRPr="009C48DA">
              <w:rPr>
                <w:color w:val="000000"/>
                <w:sz w:val="20"/>
                <w:szCs w:val="20"/>
                <w:lang w:val="en-GB"/>
              </w:rPr>
              <w:instrText xml:space="preserve"> REF _Ref71136204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_Ref75190583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Risk Factors</w:t>
            </w:r>
            <w:r w:rsidRPr="009C48DA">
              <w:rPr>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7D2CC364" w14:textId="77777777">
        <w:tc>
          <w:tcPr>
            <w:tcW w:w="2511" w:type="dxa"/>
          </w:tcPr>
          <w:p w:rsidRPr="009C48DA" w:rsidR="00B23F18" w:rsidP="00B23F18" w:rsidRDefault="00B23F18" w14:paraId="0D2D2ACF" w14:textId="77777777">
            <w:pPr>
              <w:spacing w:after="240"/>
              <w:ind w:right="72"/>
              <w:textAlignment w:val="baseline"/>
              <w:rPr>
                <w:b/>
                <w:color w:val="000000"/>
                <w:sz w:val="20"/>
                <w:szCs w:val="20"/>
                <w:lang w:val="en-GB"/>
              </w:rPr>
            </w:pPr>
            <w:r w:rsidRPr="009C48DA">
              <w:rPr>
                <w:b/>
                <w:color w:val="000000"/>
                <w:sz w:val="20"/>
                <w:szCs w:val="20"/>
                <w:lang w:val="en-GB"/>
              </w:rPr>
              <w:t>Directors</w:t>
            </w:r>
          </w:p>
        </w:tc>
        <w:tc>
          <w:tcPr>
            <w:tcW w:w="6693" w:type="dxa"/>
          </w:tcPr>
          <w:p w:rsidRPr="009C48DA" w:rsidR="00B23F18" w:rsidP="00B23F18" w:rsidRDefault="00B23F18" w14:paraId="18CFF668" w14:textId="2E226C57">
            <w:pPr>
              <w:spacing w:after="240"/>
              <w:jc w:val="both"/>
              <w:textAlignment w:val="baseline"/>
              <w:rPr>
                <w:color w:val="000000"/>
                <w:sz w:val="20"/>
                <w:szCs w:val="20"/>
                <w:lang w:val="en-GB"/>
              </w:rPr>
            </w:pPr>
            <w:r w:rsidRPr="009C48DA">
              <w:rPr>
                <w:color w:val="000000"/>
                <w:sz w:val="20"/>
                <w:szCs w:val="20"/>
                <w:lang w:val="en-GB"/>
              </w:rPr>
              <w:t xml:space="preserve">means the directors of the Company as of the date of this Registration Document, whose details are set out in </w:t>
            </w:r>
            <w:r w:rsidRPr="009C48DA">
              <w:rPr>
                <w:color w:val="000000"/>
                <w:sz w:val="20"/>
                <w:szCs w:val="20"/>
                <w:lang w:val="en-GB"/>
              </w:rPr>
              <w:fldChar w:fldCharType="begin"/>
            </w:r>
            <w:r w:rsidRPr="009C48DA">
              <w:rPr>
                <w:color w:val="000000"/>
                <w:sz w:val="20"/>
                <w:szCs w:val="20"/>
                <w:lang w:val="en-GB"/>
              </w:rPr>
              <w:instrText xml:space="preserve"> REF _Ref71146364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III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t>Directors, Senior Management, Employees and Corporate Governance</w:t>
            </w:r>
            <w:r w:rsidRPr="009C48DA">
              <w:rPr>
                <w:color w:val="000000"/>
                <w:sz w:val="20"/>
                <w:szCs w:val="20"/>
                <w:lang w:val="en-GB"/>
              </w:rPr>
              <w:t>), and “</w:t>
            </w:r>
            <w:r w:rsidRPr="009C48DA">
              <w:rPr>
                <w:b/>
                <w:color w:val="000000"/>
                <w:sz w:val="20"/>
                <w:szCs w:val="20"/>
                <w:lang w:val="en-GB"/>
              </w:rPr>
              <w:t>Director</w:t>
            </w:r>
            <w:r w:rsidRPr="009C48DA">
              <w:rPr>
                <w:color w:val="000000"/>
                <w:sz w:val="20"/>
                <w:szCs w:val="20"/>
                <w:lang w:val="en-GB"/>
              </w:rPr>
              <w:t>” means any one of them;</w:t>
            </w:r>
          </w:p>
        </w:tc>
      </w:tr>
      <w:tr w:rsidRPr="009C48DA" w:rsidR="00B23F18" w:rsidTr="00FA0364" w14:paraId="1136C302" w14:textId="77777777">
        <w:tc>
          <w:tcPr>
            <w:tcW w:w="2511" w:type="dxa"/>
          </w:tcPr>
          <w:p w:rsidRPr="009C48DA" w:rsidR="00B23F18" w:rsidP="00B23F18" w:rsidRDefault="00B23F18" w14:paraId="70907BF0" w14:textId="329A03C8">
            <w:pPr>
              <w:spacing w:after="240"/>
              <w:ind w:right="72"/>
              <w:textAlignment w:val="baseline"/>
              <w:rPr>
                <w:b/>
                <w:color w:val="000000"/>
                <w:sz w:val="20"/>
                <w:szCs w:val="20"/>
                <w:lang w:val="en-GB"/>
              </w:rPr>
            </w:pPr>
            <w:r w:rsidRPr="009C48DA">
              <w:rPr>
                <w:b/>
                <w:sz w:val="20"/>
                <w:szCs w:val="20"/>
                <w:lang w:val="en-GB"/>
              </w:rPr>
              <w:t>Disclosure Guidance and Transparency Rules</w:t>
            </w:r>
          </w:p>
        </w:tc>
        <w:tc>
          <w:tcPr>
            <w:tcW w:w="6693" w:type="dxa"/>
          </w:tcPr>
          <w:p w:rsidRPr="009C48DA" w:rsidR="00B23F18" w:rsidP="00B23F18" w:rsidRDefault="00B23F18" w14:paraId="71EFA26A" w14:textId="598FCB26">
            <w:pPr>
              <w:spacing w:after="240"/>
              <w:jc w:val="both"/>
              <w:textAlignment w:val="baseline"/>
              <w:rPr>
                <w:color w:val="000000"/>
                <w:sz w:val="20"/>
                <w:szCs w:val="20"/>
                <w:lang w:val="en-GB"/>
              </w:rPr>
            </w:pPr>
            <w:r w:rsidRPr="009C48DA">
              <w:rPr>
                <w:sz w:val="20"/>
                <w:szCs w:val="20"/>
                <w:lang w:val="en-GB"/>
              </w:rPr>
              <w:t>means the disclosure guidance and transparency rules made by the FCA under Part VI of FSMA (as set out in the FCA Handbook), as, from time to time, amended;</w:t>
            </w:r>
          </w:p>
        </w:tc>
      </w:tr>
      <w:tr w:rsidRPr="009C48DA" w:rsidR="00B23F18" w:rsidTr="00FA0364" w14:paraId="4924C1FD" w14:textId="77777777">
        <w:tc>
          <w:tcPr>
            <w:tcW w:w="2511" w:type="dxa"/>
          </w:tcPr>
          <w:p w:rsidRPr="009C48DA" w:rsidR="00B23F18" w:rsidP="00B23F18" w:rsidRDefault="00B23F18" w14:paraId="7CE04FAB" w14:textId="6D4D733D">
            <w:pPr>
              <w:spacing w:after="240"/>
              <w:ind w:right="72"/>
              <w:textAlignment w:val="baseline"/>
              <w:rPr>
                <w:b/>
                <w:sz w:val="20"/>
                <w:szCs w:val="20"/>
                <w:lang w:val="en-GB"/>
              </w:rPr>
            </w:pPr>
            <w:r w:rsidRPr="009C48DA">
              <w:rPr>
                <w:b/>
                <w:sz w:val="20"/>
                <w:szCs w:val="20"/>
                <w:lang w:val="en-GB"/>
              </w:rPr>
              <w:t>Dyal</w:t>
            </w:r>
          </w:p>
        </w:tc>
        <w:tc>
          <w:tcPr>
            <w:tcW w:w="6693" w:type="dxa"/>
          </w:tcPr>
          <w:p w:rsidRPr="009C48DA" w:rsidR="00B23F18" w:rsidP="00B23F18" w:rsidRDefault="00B23F18" w14:paraId="445D44CA" w14:textId="743DFFA2">
            <w:pPr>
              <w:spacing w:after="240"/>
              <w:jc w:val="both"/>
              <w:textAlignment w:val="baseline"/>
              <w:rPr>
                <w:sz w:val="20"/>
                <w:szCs w:val="20"/>
                <w:lang w:val="en-GB"/>
              </w:rPr>
            </w:pPr>
            <w:r w:rsidRPr="009C48DA">
              <w:rPr>
                <w:color w:val="000000"/>
                <w:sz w:val="20"/>
                <w:szCs w:val="20"/>
                <w:lang w:val="en-GB"/>
              </w:rPr>
              <w:t xml:space="preserve">has the meaning given in section </w:t>
            </w:r>
            <w:r w:rsidRPr="009C48DA">
              <w:rPr>
                <w:color w:val="000000"/>
                <w:sz w:val="20"/>
                <w:szCs w:val="20"/>
                <w:lang w:val="en-GB"/>
              </w:rPr>
              <w:fldChar w:fldCharType="begin"/>
            </w:r>
            <w:r w:rsidRPr="009C48DA">
              <w:rPr>
                <w:color w:val="000000"/>
                <w:sz w:val="20"/>
                <w:szCs w:val="20"/>
                <w:lang w:val="en-GB"/>
              </w:rPr>
              <w:instrText xml:space="preserve"> REF _Ref74461431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14.1</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t>Dyal Investment Agreement</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_Ref71146450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XI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r>
            <w:r w:rsidRPr="007C3D19" w:rsidR="007C3D19">
              <w:rPr>
                <w:i/>
                <w:sz w:val="20"/>
                <w:szCs w:val="20"/>
                <w:lang w:val="en-GB"/>
              </w:rPr>
              <w:t>Additional Information</w:t>
            </w:r>
            <w:r w:rsidRPr="009C48DA">
              <w:rPr>
                <w:color w:val="000000"/>
                <w:sz w:val="20"/>
                <w:szCs w:val="20"/>
                <w:lang w:val="en-GB"/>
              </w:rPr>
              <w:t>);</w:t>
            </w:r>
          </w:p>
        </w:tc>
      </w:tr>
      <w:tr w:rsidRPr="009C48DA" w:rsidR="00B23F18" w:rsidTr="00FA0364" w14:paraId="1B083352" w14:textId="77777777">
        <w:tc>
          <w:tcPr>
            <w:tcW w:w="2511" w:type="dxa"/>
          </w:tcPr>
          <w:p w:rsidRPr="009C48DA" w:rsidR="00B23F18" w:rsidP="00B23F18" w:rsidRDefault="00B23F18" w14:paraId="3E0BF608" w14:textId="68BF904F">
            <w:pPr>
              <w:spacing w:after="240"/>
              <w:ind w:right="72"/>
              <w:textAlignment w:val="baseline"/>
              <w:rPr>
                <w:b/>
                <w:sz w:val="20"/>
                <w:szCs w:val="20"/>
                <w:lang w:val="en-GB"/>
              </w:rPr>
            </w:pPr>
            <w:r w:rsidRPr="009C48DA">
              <w:rPr>
                <w:rFonts w:eastAsia="Microsoft JhengHei"/>
                <w:b/>
                <w:color w:val="000000"/>
                <w:sz w:val="20"/>
                <w:szCs w:val="20"/>
                <w:lang w:val="en-GB"/>
              </w:rPr>
              <w:t>Dyal Equity Funds</w:t>
            </w:r>
          </w:p>
        </w:tc>
        <w:tc>
          <w:tcPr>
            <w:tcW w:w="6693" w:type="dxa"/>
          </w:tcPr>
          <w:p w:rsidRPr="009C48DA" w:rsidR="00B23F18" w:rsidP="00B23F18" w:rsidRDefault="00B23F18" w14:paraId="6BEA6A98" w14:textId="05F45116">
            <w:pPr>
              <w:spacing w:after="240"/>
              <w:jc w:val="both"/>
              <w:textAlignment w:val="baseline"/>
              <w:rPr>
                <w:sz w:val="20"/>
                <w:szCs w:val="20"/>
                <w:lang w:val="en-GB"/>
              </w:rPr>
            </w:pPr>
            <w:r w:rsidRPr="009C48DA">
              <w:rPr>
                <w:color w:val="000000"/>
                <w:sz w:val="20"/>
                <w:szCs w:val="20"/>
                <w:lang w:val="en-GB"/>
              </w:rPr>
              <w:t>means Dyal Capital Partners IV (A) LP, Dyal Capital Partners IV (B) LP, Dyal Capital Partners IV (C) LP and Dyal IV Atlantic CI LLC and their related feeder, blocker, parallel, alternative investment, subsidiary and holding entities;;</w:t>
            </w:r>
          </w:p>
        </w:tc>
      </w:tr>
      <w:tr w:rsidRPr="009C48DA" w:rsidR="00B23F18" w:rsidTr="00FA0364" w14:paraId="64D165FE" w14:textId="77777777">
        <w:tc>
          <w:tcPr>
            <w:tcW w:w="2511" w:type="dxa"/>
          </w:tcPr>
          <w:p w:rsidRPr="009C48DA" w:rsidR="00B23F18" w:rsidP="00B23F18" w:rsidRDefault="00B23F18" w14:paraId="1BFC3BD8" w14:textId="2977DEB0">
            <w:pPr>
              <w:spacing w:after="240"/>
              <w:ind w:right="72"/>
              <w:textAlignment w:val="baseline"/>
              <w:rPr>
                <w:rFonts w:eastAsia="Microsoft JhengHei"/>
                <w:b/>
                <w:color w:val="000000"/>
                <w:sz w:val="20"/>
                <w:szCs w:val="20"/>
                <w:lang w:val="en-GB"/>
              </w:rPr>
            </w:pPr>
            <w:r w:rsidRPr="009C48DA">
              <w:rPr>
                <w:rFonts w:eastAsia="Microsoft JhengHei"/>
                <w:b/>
                <w:color w:val="000000"/>
                <w:sz w:val="20"/>
                <w:szCs w:val="20"/>
                <w:lang w:val="en-GB"/>
              </w:rPr>
              <w:t>Dyal Investment</w:t>
            </w:r>
          </w:p>
        </w:tc>
        <w:tc>
          <w:tcPr>
            <w:tcW w:w="6693" w:type="dxa"/>
          </w:tcPr>
          <w:p w:rsidRPr="009C48DA" w:rsidR="00B23F18" w:rsidP="00B23F18" w:rsidRDefault="00B23F18" w14:paraId="36909C85" w14:textId="32194697">
            <w:pPr>
              <w:spacing w:after="240"/>
              <w:jc w:val="both"/>
              <w:textAlignment w:val="baseline"/>
              <w:rPr>
                <w:color w:val="000000"/>
                <w:sz w:val="20"/>
                <w:szCs w:val="20"/>
                <w:lang w:val="en-GB"/>
              </w:rPr>
            </w:pPr>
            <w:r w:rsidRPr="009C48DA">
              <w:rPr>
                <w:sz w:val="20"/>
                <w:szCs w:val="20"/>
                <w:lang w:val="en-GB"/>
              </w:rPr>
              <w:t>has the meaning given in “</w:t>
            </w:r>
            <w:r w:rsidRPr="009C48DA">
              <w:rPr>
                <w:i/>
                <w:sz w:val="20"/>
                <w:szCs w:val="20"/>
                <w:lang w:val="en-GB"/>
              </w:rPr>
              <w:t>Factors Affecting Comparability of Results of Operations—Investment by Dyal Capital Partners</w:t>
            </w:r>
            <w:r w:rsidRPr="009C48DA">
              <w:rPr>
                <w:sz w:val="20"/>
                <w:szCs w:val="20"/>
                <w:lang w:val="en-GB"/>
              </w:rPr>
              <w:t xml:space="preserve">” of </w:t>
            </w:r>
            <w:r w:rsidRPr="009C48DA">
              <w:rPr>
                <w:sz w:val="20"/>
                <w:szCs w:val="20"/>
                <w:lang w:val="en-GB"/>
              </w:rPr>
              <w:fldChar w:fldCharType="begin"/>
            </w:r>
            <w:r w:rsidRPr="009C48DA">
              <w:rPr>
                <w:sz w:val="20"/>
                <w:szCs w:val="20"/>
                <w:lang w:val="en-GB"/>
              </w:rPr>
              <w:instrText xml:space="preserve"> REF _Ref71144174 \n \h  \* MERGEFORMAT </w:instrText>
            </w:r>
            <w:r w:rsidRPr="009C48DA">
              <w:rPr>
                <w:sz w:val="20"/>
                <w:szCs w:val="20"/>
                <w:lang w:val="en-GB"/>
              </w:rPr>
            </w:r>
            <w:r w:rsidRPr="009C48DA">
              <w:rPr>
                <w:sz w:val="20"/>
                <w:szCs w:val="20"/>
                <w:lang w:val="en-GB"/>
              </w:rPr>
              <w:fldChar w:fldCharType="separate"/>
            </w:r>
            <w:r w:rsidR="007C3D19">
              <w:rPr>
                <w:sz w:val="20"/>
                <w:szCs w:val="20"/>
                <w:lang w:val="en-GB"/>
              </w:rPr>
              <w:t>Part IX</w:t>
            </w:r>
            <w:r w:rsidRPr="009C48DA">
              <w:rPr>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_Ref75191226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Operating and Financial Review</w:t>
            </w:r>
            <w:r w:rsidRPr="009C48DA">
              <w:rPr>
                <w:i/>
                <w:sz w:val="20"/>
                <w:szCs w:val="20"/>
                <w:lang w:val="en-GB"/>
              </w:rPr>
              <w:fldChar w:fldCharType="end"/>
            </w:r>
            <w:r w:rsidRPr="009C48DA">
              <w:rPr>
                <w:sz w:val="20"/>
                <w:szCs w:val="20"/>
                <w:lang w:val="en-GB"/>
              </w:rPr>
              <w:t>);</w:t>
            </w:r>
          </w:p>
        </w:tc>
      </w:tr>
      <w:tr w:rsidRPr="009C48DA" w:rsidR="00B23F18" w:rsidTr="00FA0364" w14:paraId="65ED5B6A" w14:textId="77777777">
        <w:tc>
          <w:tcPr>
            <w:tcW w:w="2511" w:type="dxa"/>
          </w:tcPr>
          <w:p w:rsidRPr="009C48DA" w:rsidR="00B23F18" w:rsidP="00B23F18" w:rsidRDefault="00B23F18" w14:paraId="6B8721BD" w14:textId="10C04D38">
            <w:pPr>
              <w:spacing w:after="240"/>
              <w:ind w:right="72"/>
              <w:textAlignment w:val="baseline"/>
              <w:rPr>
                <w:rFonts w:eastAsia="Microsoft JhengHei"/>
                <w:b/>
                <w:color w:val="000000"/>
                <w:sz w:val="20"/>
                <w:szCs w:val="20"/>
                <w:lang w:val="en-GB"/>
              </w:rPr>
            </w:pPr>
            <w:r w:rsidRPr="009C48DA">
              <w:rPr>
                <w:rFonts w:eastAsia="Microsoft JhengHei"/>
                <w:b/>
                <w:color w:val="000000"/>
                <w:sz w:val="20"/>
                <w:szCs w:val="20"/>
                <w:lang w:val="en-GB"/>
              </w:rPr>
              <w:t>Dyal Investment Agreement</w:t>
            </w:r>
          </w:p>
        </w:tc>
        <w:tc>
          <w:tcPr>
            <w:tcW w:w="6693" w:type="dxa"/>
          </w:tcPr>
          <w:p w:rsidRPr="009C48DA" w:rsidR="00B23F18" w:rsidP="00B23F18" w:rsidRDefault="00B23F18" w14:paraId="3A262F32" w14:textId="20219EE0">
            <w:pPr>
              <w:spacing w:after="240"/>
              <w:jc w:val="both"/>
              <w:textAlignment w:val="baseline"/>
              <w:rPr>
                <w:color w:val="000000"/>
                <w:sz w:val="20"/>
                <w:szCs w:val="20"/>
                <w:lang w:val="en-GB"/>
              </w:rPr>
            </w:pPr>
            <w:r w:rsidRPr="009C48DA">
              <w:rPr>
                <w:color w:val="000000"/>
                <w:sz w:val="20"/>
                <w:szCs w:val="20"/>
                <w:lang w:val="en-GB"/>
              </w:rPr>
              <w:t xml:space="preserve">has the meaning given in section </w:t>
            </w:r>
            <w:r w:rsidRPr="009C48DA">
              <w:rPr>
                <w:color w:val="000000"/>
                <w:sz w:val="20"/>
                <w:szCs w:val="20"/>
                <w:lang w:val="en-GB"/>
              </w:rPr>
              <w:fldChar w:fldCharType="begin"/>
            </w:r>
            <w:r w:rsidRPr="009C48DA">
              <w:rPr>
                <w:color w:val="000000"/>
                <w:sz w:val="20"/>
                <w:szCs w:val="20"/>
                <w:lang w:val="en-GB"/>
              </w:rPr>
              <w:instrText xml:space="preserve"> REF _Ref74461431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14.1</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t>Dyal Investment Agreement</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_Ref71146450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XI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r>
            <w:r w:rsidRPr="007C3D19" w:rsidR="007C3D19">
              <w:rPr>
                <w:i/>
                <w:sz w:val="20"/>
                <w:szCs w:val="20"/>
                <w:lang w:val="en-GB"/>
              </w:rPr>
              <w:t>Additional Information</w:t>
            </w:r>
            <w:r w:rsidRPr="009C48DA">
              <w:rPr>
                <w:color w:val="000000"/>
                <w:sz w:val="20"/>
                <w:szCs w:val="20"/>
                <w:lang w:val="en-GB"/>
              </w:rPr>
              <w:t>);</w:t>
            </w:r>
          </w:p>
        </w:tc>
      </w:tr>
      <w:tr w:rsidRPr="009C48DA" w:rsidR="00B23F18" w:rsidTr="00FA0364" w14:paraId="46355E6C" w14:textId="77777777">
        <w:tc>
          <w:tcPr>
            <w:tcW w:w="2511" w:type="dxa"/>
          </w:tcPr>
          <w:p w:rsidRPr="009C48DA" w:rsidR="00B23F18" w:rsidP="00B23F18" w:rsidRDefault="00B23F18" w14:paraId="5EB59168" w14:textId="45BF3577">
            <w:pPr>
              <w:spacing w:after="240"/>
              <w:ind w:right="72"/>
              <w:textAlignment w:val="baseline"/>
              <w:rPr>
                <w:b/>
                <w:color w:val="000000"/>
                <w:sz w:val="20"/>
                <w:szCs w:val="20"/>
                <w:lang w:val="en-GB"/>
              </w:rPr>
            </w:pPr>
            <w:r w:rsidRPr="009C48DA">
              <w:rPr>
                <w:b/>
                <w:sz w:val="20"/>
                <w:szCs w:val="20"/>
                <w:lang w:val="en-GB"/>
              </w:rPr>
              <w:t>EBITDA</w:t>
            </w:r>
          </w:p>
        </w:tc>
        <w:tc>
          <w:tcPr>
            <w:tcW w:w="6693" w:type="dxa"/>
          </w:tcPr>
          <w:p w:rsidRPr="009C48DA" w:rsidR="00B23F18" w:rsidP="00B23F18" w:rsidRDefault="00B23F18" w14:paraId="769827A2" w14:textId="7E00A489">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Alternative Performance Measures and Key Performance Indicators—</w:t>
            </w:r>
            <w:r w:rsidRPr="009C48DA">
              <w:rPr>
                <w:rFonts w:eastAsia="Calibri" w:cs="Arial"/>
                <w:i/>
                <w:sz w:val="20"/>
                <w:szCs w:val="20"/>
                <w:lang w:val="en-GB"/>
              </w:rPr>
              <w:t xml:space="preserve">EBITDA, </w:t>
            </w:r>
            <w:r w:rsidRPr="009C48DA">
              <w:rPr>
                <w:i/>
                <w:color w:val="000000"/>
                <w:sz w:val="20"/>
                <w:szCs w:val="20"/>
                <w:lang w:val="en-GB"/>
              </w:rPr>
              <w:t>Underlying EBITDA and Underlying EBITDA Margin</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_Ref74476668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IX</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_Ref75191226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Operating and Financial Review</w:t>
            </w:r>
            <w:r w:rsidRPr="009C48DA">
              <w:rPr>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57B4C17E" w14:textId="77777777">
        <w:tc>
          <w:tcPr>
            <w:tcW w:w="2511" w:type="dxa"/>
          </w:tcPr>
          <w:p w:rsidRPr="009C48DA" w:rsidR="00B23F18" w:rsidP="00B23F18" w:rsidRDefault="00B23F18" w14:paraId="4AA2A041" w14:textId="61DD7BB6">
            <w:pPr>
              <w:spacing w:after="240"/>
              <w:ind w:right="72"/>
              <w:textAlignment w:val="baseline"/>
              <w:rPr>
                <w:b/>
                <w:color w:val="000000"/>
                <w:sz w:val="20"/>
                <w:szCs w:val="20"/>
                <w:lang w:val="en-GB"/>
              </w:rPr>
            </w:pPr>
            <w:r w:rsidRPr="009C48DA">
              <w:rPr>
                <w:b/>
                <w:color w:val="000000"/>
                <w:sz w:val="20"/>
                <w:szCs w:val="20"/>
                <w:lang w:val="en-GB"/>
              </w:rPr>
              <w:t>EEA</w:t>
            </w:r>
          </w:p>
        </w:tc>
        <w:tc>
          <w:tcPr>
            <w:tcW w:w="6693" w:type="dxa"/>
          </w:tcPr>
          <w:p w:rsidRPr="009C48DA" w:rsidR="00B23F18" w:rsidP="00B23F18" w:rsidRDefault="00B23F18" w14:paraId="5BEABF2B" w14:textId="6DD3F502">
            <w:pPr>
              <w:spacing w:after="240"/>
              <w:jc w:val="both"/>
              <w:textAlignment w:val="baseline"/>
              <w:rPr>
                <w:color w:val="000000"/>
                <w:sz w:val="20"/>
                <w:szCs w:val="20"/>
                <w:lang w:val="en-GB"/>
              </w:rPr>
            </w:pPr>
            <w:r w:rsidRPr="009C48DA">
              <w:rPr>
                <w:color w:val="000000"/>
                <w:sz w:val="20"/>
                <w:szCs w:val="20"/>
                <w:lang w:val="en-GB"/>
              </w:rPr>
              <w:t>means the European Economic Area;</w:t>
            </w:r>
          </w:p>
        </w:tc>
      </w:tr>
      <w:tr w:rsidRPr="009C48DA" w:rsidR="00B23F18" w:rsidTr="00FA0364" w14:paraId="0652B820" w14:textId="77777777">
        <w:tc>
          <w:tcPr>
            <w:tcW w:w="2511" w:type="dxa"/>
          </w:tcPr>
          <w:p w:rsidRPr="009C48DA" w:rsidR="00B23F18" w:rsidP="00B23F18" w:rsidRDefault="00B23F18" w14:paraId="7EF44BD0" w14:textId="7ABB8C51">
            <w:pPr>
              <w:spacing w:after="240"/>
              <w:ind w:right="72"/>
              <w:textAlignment w:val="baseline"/>
              <w:rPr>
                <w:b/>
                <w:color w:val="000000"/>
                <w:sz w:val="20"/>
                <w:szCs w:val="20"/>
                <w:lang w:val="en-GB"/>
              </w:rPr>
            </w:pPr>
            <w:r w:rsidRPr="009C48DA">
              <w:rPr>
                <w:b/>
                <w:color w:val="000000"/>
                <w:sz w:val="20"/>
                <w:szCs w:val="20"/>
                <w:lang w:val="en-GB"/>
              </w:rPr>
              <w:t>Effective Management Fee Rate</w:t>
            </w:r>
          </w:p>
        </w:tc>
        <w:tc>
          <w:tcPr>
            <w:tcW w:w="6693" w:type="dxa"/>
          </w:tcPr>
          <w:p w:rsidRPr="009C48DA" w:rsidR="00B23F18" w:rsidP="00B23F18" w:rsidRDefault="00B23F18" w14:paraId="7D0D67C4" w14:textId="719A1E23">
            <w:pPr>
              <w:spacing w:after="240"/>
              <w:jc w:val="both"/>
              <w:textAlignment w:val="baseline"/>
              <w:rPr>
                <w:color w:val="000000"/>
                <w:sz w:val="20"/>
                <w:szCs w:val="20"/>
                <w:lang w:val="en-GB"/>
              </w:rPr>
            </w:pPr>
            <w:r w:rsidRPr="009C48DA">
              <w:rPr>
                <w:sz w:val="20"/>
                <w:szCs w:val="20"/>
                <w:lang w:val="en-GB"/>
              </w:rPr>
              <w:t>has the meaning given in “</w:t>
            </w:r>
            <w:r w:rsidRPr="009C48DA">
              <w:rPr>
                <w:i/>
                <w:sz w:val="20"/>
                <w:szCs w:val="20"/>
                <w:lang w:val="en-GB"/>
              </w:rPr>
              <w:t>Financial Model—Generation of Management Fees</w:t>
            </w:r>
            <w:r w:rsidRPr="009C48DA">
              <w:rPr>
                <w:sz w:val="20"/>
                <w:szCs w:val="20"/>
                <w:lang w:val="en-GB"/>
              </w:rPr>
              <w:t xml:space="preserve">” of </w:t>
            </w:r>
            <w:r w:rsidRPr="009C48DA">
              <w:rPr>
                <w:sz w:val="20"/>
                <w:szCs w:val="20"/>
                <w:lang w:val="en-GB"/>
              </w:rPr>
              <w:fldChar w:fldCharType="begin"/>
            </w:r>
            <w:r w:rsidRPr="009C48DA">
              <w:rPr>
                <w:sz w:val="20"/>
                <w:szCs w:val="20"/>
                <w:lang w:val="en-GB"/>
              </w:rPr>
              <w:instrText xml:space="preserve"> REF _Ref71144174 \n \h  \* MERGEFORMAT </w:instrText>
            </w:r>
            <w:r w:rsidRPr="009C48DA">
              <w:rPr>
                <w:sz w:val="20"/>
                <w:szCs w:val="20"/>
                <w:lang w:val="en-GB"/>
              </w:rPr>
            </w:r>
            <w:r w:rsidRPr="009C48DA">
              <w:rPr>
                <w:sz w:val="20"/>
                <w:szCs w:val="20"/>
                <w:lang w:val="en-GB"/>
              </w:rPr>
              <w:fldChar w:fldCharType="separate"/>
            </w:r>
            <w:r w:rsidR="007C3D19">
              <w:rPr>
                <w:sz w:val="20"/>
                <w:szCs w:val="20"/>
                <w:lang w:val="en-GB"/>
              </w:rPr>
              <w:t>Part IX</w:t>
            </w:r>
            <w:r w:rsidRPr="009C48DA">
              <w:rPr>
                <w:sz w:val="20"/>
                <w:szCs w:val="20"/>
                <w:lang w:val="en-GB"/>
              </w:rPr>
              <w:fldChar w:fldCharType="end"/>
            </w:r>
            <w:r w:rsidRPr="009C48DA">
              <w:rPr>
                <w:sz w:val="20"/>
                <w:szCs w:val="20"/>
                <w:lang w:val="en-GB"/>
              </w:rPr>
              <w:t xml:space="preserve"> (</w:t>
            </w:r>
            <w:r w:rsidRPr="009C48DA">
              <w:rPr>
                <w:i/>
                <w:sz w:val="18"/>
                <w:szCs w:val="18"/>
                <w:lang w:val="en-GB"/>
              </w:rPr>
              <w:fldChar w:fldCharType="begin"/>
            </w:r>
            <w:r w:rsidRPr="009C48DA">
              <w:rPr>
                <w:i/>
                <w:sz w:val="18"/>
                <w:szCs w:val="18"/>
                <w:lang w:val="en-GB"/>
              </w:rPr>
              <w:instrText xml:space="preserve"> REF _Ref75191226 \h  \* MERGEFORMAT </w:instrText>
            </w:r>
            <w:r w:rsidRPr="009C48DA">
              <w:rPr>
                <w:i/>
                <w:sz w:val="18"/>
                <w:szCs w:val="18"/>
                <w:lang w:val="en-GB"/>
              </w:rPr>
            </w:r>
            <w:r w:rsidRPr="009C48DA">
              <w:rPr>
                <w:i/>
                <w:sz w:val="18"/>
                <w:szCs w:val="18"/>
                <w:lang w:val="en-GB"/>
              </w:rPr>
              <w:fldChar w:fldCharType="separate"/>
            </w:r>
            <w:r w:rsidRPr="007C3D19" w:rsidR="007C3D19">
              <w:rPr>
                <w:i/>
                <w:sz w:val="18"/>
                <w:szCs w:val="18"/>
                <w:lang w:val="en-GB"/>
              </w:rPr>
              <w:t>Operating and Financial Review</w:t>
            </w:r>
            <w:r w:rsidRPr="009C48DA">
              <w:rPr>
                <w:i/>
                <w:sz w:val="18"/>
                <w:szCs w:val="18"/>
                <w:lang w:val="en-GB"/>
              </w:rPr>
              <w:fldChar w:fldCharType="end"/>
            </w:r>
            <w:r w:rsidRPr="009C48DA">
              <w:rPr>
                <w:sz w:val="20"/>
                <w:szCs w:val="20"/>
                <w:lang w:val="en-GB"/>
              </w:rPr>
              <w:t>);</w:t>
            </w:r>
          </w:p>
        </w:tc>
      </w:tr>
      <w:tr w:rsidRPr="009C48DA" w:rsidR="00B23F18" w:rsidTr="00FA0364" w14:paraId="11C4C03A" w14:textId="77777777">
        <w:tc>
          <w:tcPr>
            <w:tcW w:w="2511" w:type="dxa"/>
          </w:tcPr>
          <w:p w:rsidRPr="009C48DA" w:rsidR="00B23F18" w:rsidP="00B23F18" w:rsidRDefault="00B23F18" w14:paraId="5167387E" w14:textId="07029127">
            <w:pPr>
              <w:spacing w:after="240"/>
              <w:ind w:right="72"/>
              <w:textAlignment w:val="baseline"/>
              <w:rPr>
                <w:b/>
                <w:color w:val="000000"/>
                <w:sz w:val="20"/>
                <w:szCs w:val="20"/>
                <w:lang w:val="en-GB"/>
              </w:rPr>
            </w:pPr>
            <w:r w:rsidRPr="009C48DA">
              <w:rPr>
                <w:b/>
                <w:color w:val="000000"/>
                <w:sz w:val="20"/>
                <w:szCs w:val="20"/>
                <w:lang w:val="en-GB"/>
              </w:rPr>
              <w:t>EQT AB</w:t>
            </w:r>
          </w:p>
        </w:tc>
        <w:tc>
          <w:tcPr>
            <w:tcW w:w="6693" w:type="dxa"/>
          </w:tcPr>
          <w:p w:rsidRPr="009C48DA" w:rsidR="00B23F18" w:rsidP="00B23F18" w:rsidRDefault="00B23F18" w14:paraId="7FEF134F" w14:textId="6986E939">
            <w:pPr>
              <w:spacing w:after="240"/>
              <w:jc w:val="both"/>
              <w:textAlignment w:val="baseline"/>
              <w:rPr>
                <w:color w:val="000000"/>
                <w:sz w:val="20"/>
                <w:szCs w:val="20"/>
                <w:lang w:val="en-GB"/>
              </w:rPr>
            </w:pPr>
            <w:r w:rsidRPr="009C48DA">
              <w:rPr>
                <w:color w:val="000000"/>
                <w:sz w:val="20"/>
                <w:szCs w:val="20"/>
                <w:lang w:val="en-GB"/>
              </w:rPr>
              <w:t>means the EQT AB Group;</w:t>
            </w:r>
          </w:p>
        </w:tc>
      </w:tr>
      <w:tr w:rsidRPr="009C48DA" w:rsidR="00B23F18" w:rsidTr="00FA0364" w14:paraId="1300D2A3" w14:textId="77777777">
        <w:tc>
          <w:tcPr>
            <w:tcW w:w="2511" w:type="dxa"/>
          </w:tcPr>
          <w:p w:rsidRPr="009C48DA" w:rsidR="00B23F18" w:rsidP="00B23F18" w:rsidRDefault="00B23F18" w14:paraId="626111FB" w14:textId="2C4AE012">
            <w:pPr>
              <w:spacing w:after="240"/>
              <w:ind w:right="72"/>
              <w:textAlignment w:val="baseline"/>
              <w:rPr>
                <w:b/>
                <w:color w:val="000000"/>
                <w:sz w:val="20"/>
                <w:szCs w:val="20"/>
                <w:lang w:val="en-GB"/>
              </w:rPr>
            </w:pPr>
            <w:r w:rsidRPr="009C48DA">
              <w:rPr>
                <w:b/>
                <w:color w:val="000000"/>
                <w:sz w:val="20"/>
                <w:szCs w:val="20"/>
                <w:lang w:val="en-GB"/>
              </w:rPr>
              <w:t>EQT Completion Date</w:t>
            </w:r>
          </w:p>
        </w:tc>
        <w:tc>
          <w:tcPr>
            <w:tcW w:w="6693" w:type="dxa"/>
          </w:tcPr>
          <w:p w:rsidRPr="009C48DA" w:rsidR="00B23F18" w:rsidP="00B23F18" w:rsidRDefault="00B23F18" w14:paraId="40FBB2A2" w14:textId="4FAF13D0">
            <w:pPr>
              <w:spacing w:after="240"/>
              <w:jc w:val="both"/>
              <w:textAlignment w:val="baseline"/>
              <w:rPr>
                <w:color w:val="000000"/>
                <w:sz w:val="20"/>
                <w:szCs w:val="20"/>
                <w:lang w:val="en-GB"/>
              </w:rPr>
            </w:pPr>
            <w:r w:rsidRPr="009C48DA">
              <w:rPr>
                <w:color w:val="000000"/>
                <w:sz w:val="20"/>
                <w:szCs w:val="20"/>
                <w:lang w:val="en-GB"/>
              </w:rPr>
              <w:t xml:space="preserve">has the meaning given in section </w:t>
            </w:r>
            <w:r w:rsidRPr="009C48DA">
              <w:rPr>
                <w:color w:val="000000"/>
                <w:sz w:val="20"/>
                <w:szCs w:val="20"/>
                <w:lang w:val="en-GB"/>
              </w:rPr>
              <w:fldChar w:fldCharType="begin"/>
            </w:r>
            <w:r w:rsidRPr="009C48DA">
              <w:rPr>
                <w:color w:val="000000"/>
                <w:sz w:val="20"/>
                <w:szCs w:val="20"/>
                <w:lang w:val="en-GB"/>
              </w:rPr>
              <w:instrText xml:space="preserve"> REF _Ref75093144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14.2</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t>EQT Share Purchase Agreement</w:t>
            </w:r>
            <w:r w:rsidRPr="009C48DA">
              <w:rPr>
                <w:color w:val="000000"/>
                <w:sz w:val="20"/>
                <w:szCs w:val="20"/>
                <w:lang w:val="en-GB"/>
              </w:rPr>
              <w:t xml:space="preserve">) of </w:t>
            </w:r>
            <w:r w:rsidR="00B74D38">
              <w:rPr>
                <w:color w:val="000000"/>
                <w:sz w:val="20"/>
                <w:szCs w:val="20"/>
                <w:lang w:val="en-GB"/>
              </w:rPr>
              <w:br/>
            </w:r>
            <w:r w:rsidRPr="009C48DA">
              <w:rPr>
                <w:color w:val="000000"/>
                <w:sz w:val="20"/>
                <w:szCs w:val="20"/>
                <w:lang w:val="en-GB"/>
              </w:rPr>
              <w:fldChar w:fldCharType="begin"/>
            </w:r>
            <w:r w:rsidRPr="009C48DA">
              <w:rPr>
                <w:color w:val="000000"/>
                <w:sz w:val="20"/>
                <w:szCs w:val="20"/>
                <w:lang w:val="en-GB"/>
              </w:rPr>
              <w:instrText xml:space="preserve"> REF _Ref71146450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XI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r>
            <w:r w:rsidRPr="007C3D19" w:rsidR="007C3D19">
              <w:rPr>
                <w:i/>
                <w:sz w:val="20"/>
                <w:szCs w:val="20"/>
                <w:lang w:val="en-GB"/>
              </w:rPr>
              <w:t>Additional Information</w:t>
            </w:r>
            <w:r w:rsidRPr="009C48DA">
              <w:rPr>
                <w:color w:val="000000"/>
                <w:sz w:val="20"/>
                <w:szCs w:val="20"/>
                <w:lang w:val="en-GB"/>
              </w:rPr>
              <w:t>);</w:t>
            </w:r>
          </w:p>
        </w:tc>
      </w:tr>
      <w:tr w:rsidRPr="009C48DA" w:rsidR="00B23F18" w:rsidTr="00FA0364" w14:paraId="678EA1BD" w14:textId="77777777">
        <w:tc>
          <w:tcPr>
            <w:tcW w:w="2511" w:type="dxa"/>
          </w:tcPr>
          <w:p w:rsidRPr="009C48DA" w:rsidR="00B23F18" w:rsidP="00B23F18" w:rsidRDefault="00B23F18" w14:paraId="77124330" w14:textId="08E4D8F2">
            <w:pPr>
              <w:spacing w:after="240"/>
              <w:ind w:right="72"/>
              <w:textAlignment w:val="baseline"/>
              <w:rPr>
                <w:b/>
                <w:color w:val="000000"/>
                <w:sz w:val="20"/>
                <w:szCs w:val="20"/>
                <w:lang w:val="en-GB"/>
              </w:rPr>
            </w:pPr>
            <w:r w:rsidRPr="009C48DA">
              <w:rPr>
                <w:b/>
                <w:color w:val="000000"/>
                <w:sz w:val="20"/>
                <w:szCs w:val="20"/>
                <w:lang w:val="en-GB"/>
              </w:rPr>
              <w:t>EQT Credit</w:t>
            </w:r>
          </w:p>
        </w:tc>
        <w:tc>
          <w:tcPr>
            <w:tcW w:w="6693" w:type="dxa"/>
          </w:tcPr>
          <w:p w:rsidRPr="009C48DA" w:rsidR="00B23F18" w:rsidP="00B23F18" w:rsidRDefault="00B23F18" w14:paraId="12A88F50" w14:textId="64D483CB">
            <w:pPr>
              <w:spacing w:after="240"/>
              <w:jc w:val="both"/>
              <w:textAlignment w:val="baseline"/>
              <w:rPr>
                <w:color w:val="000000"/>
                <w:sz w:val="20"/>
                <w:szCs w:val="20"/>
                <w:lang w:val="en-GB"/>
              </w:rPr>
            </w:pPr>
            <w:r w:rsidRPr="009C48DA">
              <w:rPr>
                <w:color w:val="000000"/>
                <w:sz w:val="20"/>
                <w:szCs w:val="20"/>
                <w:lang w:val="en-GB"/>
              </w:rPr>
              <w:t>means the private credit business of EQT Partners;</w:t>
            </w:r>
          </w:p>
        </w:tc>
      </w:tr>
      <w:tr w:rsidRPr="009C48DA" w:rsidR="00B23F18" w:rsidTr="00FA0364" w14:paraId="01F93A7D" w14:textId="77777777">
        <w:tc>
          <w:tcPr>
            <w:tcW w:w="2511" w:type="dxa"/>
          </w:tcPr>
          <w:p w:rsidRPr="009C48DA" w:rsidR="00B23F18" w:rsidP="00B23F18" w:rsidRDefault="00B23F18" w14:paraId="1ED68805" w14:textId="71FBA0A9">
            <w:pPr>
              <w:spacing w:after="240"/>
              <w:ind w:right="72"/>
              <w:textAlignment w:val="baseline"/>
              <w:rPr>
                <w:b/>
                <w:color w:val="000000"/>
                <w:sz w:val="20"/>
                <w:szCs w:val="20"/>
                <w:lang w:val="en-GB"/>
              </w:rPr>
            </w:pPr>
            <w:r w:rsidRPr="009C48DA">
              <w:rPr>
                <w:b/>
                <w:color w:val="000000"/>
                <w:sz w:val="20"/>
                <w:szCs w:val="20"/>
                <w:lang w:val="en-GB"/>
              </w:rPr>
              <w:lastRenderedPageBreak/>
              <w:t>EQT Credit SPA</w:t>
            </w:r>
          </w:p>
        </w:tc>
        <w:tc>
          <w:tcPr>
            <w:tcW w:w="6693" w:type="dxa"/>
          </w:tcPr>
          <w:p w:rsidRPr="009C48DA" w:rsidR="00B23F18" w:rsidP="00B23F18" w:rsidRDefault="00B23F18" w14:paraId="272CEFD3" w14:textId="7FE6C54A">
            <w:pPr>
              <w:spacing w:after="240"/>
              <w:jc w:val="both"/>
              <w:textAlignment w:val="baseline"/>
              <w:rPr>
                <w:color w:val="000000"/>
                <w:sz w:val="20"/>
                <w:szCs w:val="20"/>
                <w:lang w:val="en-GB"/>
              </w:rPr>
            </w:pPr>
            <w:r w:rsidRPr="009C48DA">
              <w:rPr>
                <w:color w:val="000000"/>
                <w:sz w:val="20"/>
                <w:szCs w:val="20"/>
                <w:lang w:val="en-GB"/>
              </w:rPr>
              <w:t xml:space="preserve">has the meaning given in section </w:t>
            </w:r>
            <w:r w:rsidRPr="009C48DA">
              <w:rPr>
                <w:color w:val="000000"/>
                <w:sz w:val="20"/>
                <w:szCs w:val="20"/>
                <w:lang w:val="en-GB"/>
              </w:rPr>
              <w:fldChar w:fldCharType="begin"/>
            </w:r>
            <w:r w:rsidRPr="009C48DA">
              <w:rPr>
                <w:color w:val="000000"/>
                <w:sz w:val="20"/>
                <w:szCs w:val="20"/>
                <w:lang w:val="en-GB"/>
              </w:rPr>
              <w:instrText xml:space="preserve"> REF _Ref75093144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14.2</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t>EQT Share Purchase Agreement</w:t>
            </w:r>
            <w:r w:rsidRPr="009C48DA">
              <w:rPr>
                <w:color w:val="000000"/>
                <w:sz w:val="20"/>
                <w:szCs w:val="20"/>
                <w:lang w:val="en-GB"/>
              </w:rPr>
              <w:t xml:space="preserve">) of </w:t>
            </w:r>
            <w:r w:rsidR="00B74D38">
              <w:rPr>
                <w:color w:val="000000"/>
                <w:sz w:val="20"/>
                <w:szCs w:val="20"/>
                <w:lang w:val="en-GB"/>
              </w:rPr>
              <w:br/>
            </w:r>
            <w:r w:rsidRPr="009C48DA">
              <w:rPr>
                <w:color w:val="000000"/>
                <w:sz w:val="20"/>
                <w:szCs w:val="20"/>
                <w:lang w:val="en-GB"/>
              </w:rPr>
              <w:fldChar w:fldCharType="begin"/>
            </w:r>
            <w:r w:rsidRPr="009C48DA">
              <w:rPr>
                <w:color w:val="000000"/>
                <w:sz w:val="20"/>
                <w:szCs w:val="20"/>
                <w:lang w:val="en-GB"/>
              </w:rPr>
              <w:instrText xml:space="preserve"> REF _Ref71146450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XI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r>
            <w:r w:rsidRPr="007C3D19" w:rsidR="007C3D19">
              <w:rPr>
                <w:i/>
                <w:sz w:val="20"/>
                <w:szCs w:val="20"/>
                <w:lang w:val="en-GB"/>
              </w:rPr>
              <w:t>Additional Information</w:t>
            </w:r>
            <w:r w:rsidRPr="009C48DA">
              <w:rPr>
                <w:color w:val="000000"/>
                <w:sz w:val="20"/>
                <w:szCs w:val="20"/>
                <w:lang w:val="en-GB"/>
              </w:rPr>
              <w:t>);</w:t>
            </w:r>
          </w:p>
        </w:tc>
      </w:tr>
      <w:tr w:rsidRPr="009C48DA" w:rsidR="00B23F18" w:rsidTr="00FA0364" w14:paraId="30AD40D3" w14:textId="77777777">
        <w:tc>
          <w:tcPr>
            <w:tcW w:w="2511" w:type="dxa"/>
          </w:tcPr>
          <w:p w:rsidRPr="009C48DA" w:rsidR="00B23F18" w:rsidP="00B23F18" w:rsidRDefault="00B23F18" w14:paraId="57B73E29" w14:textId="0EA2A59F">
            <w:pPr>
              <w:spacing w:after="240"/>
              <w:ind w:right="72"/>
              <w:textAlignment w:val="baseline"/>
              <w:rPr>
                <w:b/>
                <w:color w:val="000000"/>
                <w:sz w:val="20"/>
                <w:szCs w:val="20"/>
                <w:lang w:val="en-GB"/>
              </w:rPr>
            </w:pPr>
            <w:r w:rsidRPr="009C48DA">
              <w:rPr>
                <w:b/>
                <w:color w:val="000000"/>
                <w:sz w:val="20"/>
                <w:szCs w:val="20"/>
                <w:lang w:val="en-GB"/>
              </w:rPr>
              <w:t>EQT Sellers</w:t>
            </w:r>
          </w:p>
        </w:tc>
        <w:tc>
          <w:tcPr>
            <w:tcW w:w="6693" w:type="dxa"/>
          </w:tcPr>
          <w:p w:rsidRPr="009C48DA" w:rsidR="00B23F18" w:rsidP="00B23F18" w:rsidRDefault="00B23F18" w14:paraId="2BD8A135" w14:textId="27C42A82">
            <w:pPr>
              <w:spacing w:after="240"/>
              <w:jc w:val="both"/>
              <w:textAlignment w:val="baseline"/>
              <w:rPr>
                <w:color w:val="000000"/>
                <w:sz w:val="20"/>
                <w:szCs w:val="20"/>
                <w:lang w:val="en-GB"/>
              </w:rPr>
            </w:pPr>
            <w:r w:rsidRPr="009C48DA">
              <w:rPr>
                <w:color w:val="000000"/>
                <w:sz w:val="20"/>
                <w:szCs w:val="20"/>
                <w:lang w:val="en-GB"/>
              </w:rPr>
              <w:t xml:space="preserve">has the meaning given in section </w:t>
            </w:r>
            <w:r w:rsidRPr="009C48DA">
              <w:rPr>
                <w:color w:val="000000"/>
                <w:sz w:val="20"/>
                <w:szCs w:val="20"/>
                <w:lang w:val="en-GB"/>
              </w:rPr>
              <w:fldChar w:fldCharType="begin"/>
            </w:r>
            <w:r w:rsidRPr="009C48DA">
              <w:rPr>
                <w:color w:val="000000"/>
                <w:sz w:val="20"/>
                <w:szCs w:val="20"/>
                <w:lang w:val="en-GB"/>
              </w:rPr>
              <w:instrText xml:space="preserve"> REF _Ref75093144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14.2</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t>EQT Share Purchase Agreement</w:t>
            </w:r>
            <w:r w:rsidRPr="009C48DA">
              <w:rPr>
                <w:color w:val="000000"/>
                <w:sz w:val="20"/>
                <w:szCs w:val="20"/>
                <w:lang w:val="en-GB"/>
              </w:rPr>
              <w:t xml:space="preserve">) of </w:t>
            </w:r>
            <w:r w:rsidR="00B74D38">
              <w:rPr>
                <w:color w:val="000000"/>
                <w:sz w:val="20"/>
                <w:szCs w:val="20"/>
                <w:lang w:val="en-GB"/>
              </w:rPr>
              <w:br/>
            </w:r>
            <w:r w:rsidRPr="009C48DA">
              <w:rPr>
                <w:color w:val="000000"/>
                <w:sz w:val="20"/>
                <w:szCs w:val="20"/>
                <w:lang w:val="en-GB"/>
              </w:rPr>
              <w:fldChar w:fldCharType="begin"/>
            </w:r>
            <w:r w:rsidRPr="009C48DA">
              <w:rPr>
                <w:color w:val="000000"/>
                <w:sz w:val="20"/>
                <w:szCs w:val="20"/>
                <w:lang w:val="en-GB"/>
              </w:rPr>
              <w:instrText xml:space="preserve"> REF _Ref71146450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XI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r>
            <w:r w:rsidRPr="007C3D19" w:rsidR="007C3D19">
              <w:rPr>
                <w:i/>
                <w:sz w:val="20"/>
                <w:szCs w:val="20"/>
                <w:lang w:val="en-GB"/>
              </w:rPr>
              <w:t>Additional Information</w:t>
            </w:r>
            <w:r w:rsidRPr="009C48DA">
              <w:rPr>
                <w:color w:val="000000"/>
                <w:sz w:val="20"/>
                <w:szCs w:val="20"/>
                <w:lang w:val="en-GB"/>
              </w:rPr>
              <w:t>);</w:t>
            </w:r>
          </w:p>
        </w:tc>
      </w:tr>
      <w:tr w:rsidRPr="009C48DA" w:rsidR="00B23F18" w:rsidTr="00FA0364" w14:paraId="202EBF3A" w14:textId="77777777">
        <w:tc>
          <w:tcPr>
            <w:tcW w:w="2511" w:type="dxa"/>
          </w:tcPr>
          <w:p w:rsidRPr="009C48DA" w:rsidR="00B23F18" w:rsidP="00B23F18" w:rsidRDefault="00B23F18" w14:paraId="38314D67" w14:textId="73EC021F">
            <w:pPr>
              <w:spacing w:after="240"/>
              <w:ind w:right="72"/>
              <w:textAlignment w:val="baseline"/>
              <w:rPr>
                <w:b/>
                <w:color w:val="000000"/>
                <w:sz w:val="20"/>
                <w:szCs w:val="20"/>
                <w:lang w:val="en-GB"/>
              </w:rPr>
            </w:pPr>
            <w:r w:rsidRPr="009C48DA">
              <w:rPr>
                <w:b/>
                <w:color w:val="000000"/>
                <w:sz w:val="20"/>
                <w:szCs w:val="20"/>
                <w:lang w:val="en-GB"/>
              </w:rPr>
              <w:t>ERISA</w:t>
            </w:r>
          </w:p>
        </w:tc>
        <w:tc>
          <w:tcPr>
            <w:tcW w:w="6693" w:type="dxa"/>
          </w:tcPr>
          <w:p w:rsidRPr="009C48DA" w:rsidR="00B23F18" w:rsidP="00B23F18" w:rsidRDefault="00B23F18" w14:paraId="56734BC6" w14:textId="1A5E9F7B">
            <w:pPr>
              <w:spacing w:after="240"/>
              <w:jc w:val="both"/>
              <w:textAlignment w:val="baseline"/>
              <w:rPr>
                <w:color w:val="000000"/>
                <w:sz w:val="20"/>
                <w:szCs w:val="20"/>
                <w:lang w:val="en-GB"/>
              </w:rPr>
            </w:pPr>
            <w:r w:rsidRPr="009C48DA">
              <w:rPr>
                <w:color w:val="000000"/>
                <w:sz w:val="20"/>
                <w:szCs w:val="20"/>
                <w:lang w:val="en-GB"/>
              </w:rPr>
              <w:t>means the U.S. Employee Retirement Income Security Act of 1974;</w:t>
            </w:r>
          </w:p>
        </w:tc>
      </w:tr>
      <w:tr w:rsidRPr="009C48DA" w:rsidR="00B23F18" w:rsidTr="00FA0364" w14:paraId="379162FB" w14:textId="77777777">
        <w:tc>
          <w:tcPr>
            <w:tcW w:w="2511" w:type="dxa"/>
          </w:tcPr>
          <w:p w:rsidRPr="009C48DA" w:rsidR="00B23F18" w:rsidP="00B23F18" w:rsidRDefault="00B23F18" w14:paraId="51995BA4" w14:textId="45F7DC26">
            <w:pPr>
              <w:spacing w:after="240"/>
              <w:ind w:right="72"/>
              <w:textAlignment w:val="baseline"/>
              <w:rPr>
                <w:b/>
                <w:color w:val="000000"/>
                <w:sz w:val="20"/>
                <w:szCs w:val="20"/>
                <w:lang w:val="en-GB"/>
              </w:rPr>
            </w:pPr>
            <w:r w:rsidRPr="009C48DA">
              <w:rPr>
                <w:b/>
                <w:color w:val="000000"/>
                <w:sz w:val="20"/>
                <w:szCs w:val="20"/>
                <w:lang w:val="en-GB"/>
              </w:rPr>
              <w:t>ESG</w:t>
            </w:r>
          </w:p>
        </w:tc>
        <w:tc>
          <w:tcPr>
            <w:tcW w:w="6693" w:type="dxa"/>
          </w:tcPr>
          <w:p w:rsidRPr="009C48DA" w:rsidR="00B23F18" w:rsidP="00B23F18" w:rsidRDefault="00B23F18" w14:paraId="035D9107" w14:textId="310E73C9">
            <w:pPr>
              <w:spacing w:after="240"/>
              <w:jc w:val="both"/>
              <w:textAlignment w:val="baseline"/>
              <w:rPr>
                <w:color w:val="000000"/>
                <w:sz w:val="20"/>
                <w:szCs w:val="20"/>
                <w:lang w:val="en-GB"/>
              </w:rPr>
            </w:pPr>
            <w:r w:rsidRPr="009C48DA">
              <w:rPr>
                <w:color w:val="000000"/>
                <w:sz w:val="20"/>
                <w:szCs w:val="20"/>
                <w:lang w:val="en-GB"/>
              </w:rPr>
              <w:t xml:space="preserve">means environmental, social and governance; </w:t>
            </w:r>
          </w:p>
        </w:tc>
      </w:tr>
      <w:tr w:rsidRPr="009C48DA" w:rsidR="00B23F18" w:rsidTr="00FA0364" w14:paraId="623F1219" w14:textId="77777777">
        <w:tc>
          <w:tcPr>
            <w:tcW w:w="2511" w:type="dxa"/>
          </w:tcPr>
          <w:p w:rsidRPr="009C48DA" w:rsidR="00B23F18" w:rsidP="00B23F18" w:rsidRDefault="00B23F18" w14:paraId="341D0CE9" w14:textId="238EBE7D">
            <w:pPr>
              <w:spacing w:after="240"/>
              <w:ind w:right="72"/>
              <w:textAlignment w:val="baseline"/>
              <w:rPr>
                <w:b/>
                <w:color w:val="000000"/>
                <w:sz w:val="20"/>
                <w:szCs w:val="20"/>
                <w:lang w:val="en-GB"/>
              </w:rPr>
            </w:pPr>
            <w:r w:rsidRPr="009C48DA">
              <w:rPr>
                <w:b/>
                <w:color w:val="000000"/>
                <w:sz w:val="20"/>
                <w:szCs w:val="20"/>
                <w:lang w:val="en-GB"/>
              </w:rPr>
              <w:t>EU</w:t>
            </w:r>
          </w:p>
        </w:tc>
        <w:tc>
          <w:tcPr>
            <w:tcW w:w="6693" w:type="dxa"/>
          </w:tcPr>
          <w:p w:rsidRPr="009C48DA" w:rsidR="00B23F18" w:rsidP="00B23F18" w:rsidRDefault="00B23F18" w14:paraId="598519E3" w14:textId="55C96EC2">
            <w:pPr>
              <w:spacing w:after="240"/>
              <w:jc w:val="both"/>
              <w:textAlignment w:val="baseline"/>
              <w:rPr>
                <w:color w:val="000000"/>
                <w:sz w:val="20"/>
                <w:szCs w:val="20"/>
                <w:lang w:val="en-GB"/>
              </w:rPr>
            </w:pPr>
            <w:r w:rsidRPr="009C48DA">
              <w:rPr>
                <w:color w:val="000000"/>
                <w:sz w:val="20"/>
                <w:szCs w:val="20"/>
                <w:lang w:val="en-GB"/>
              </w:rPr>
              <w:t xml:space="preserve">means the European Union; </w:t>
            </w:r>
          </w:p>
        </w:tc>
      </w:tr>
      <w:tr w:rsidRPr="009C48DA" w:rsidR="00B23F18" w:rsidTr="00FA0364" w14:paraId="53D80C6B" w14:textId="77777777">
        <w:tc>
          <w:tcPr>
            <w:tcW w:w="2511" w:type="dxa"/>
          </w:tcPr>
          <w:p w:rsidRPr="009C48DA" w:rsidR="00B23F18" w:rsidP="00B23F18" w:rsidRDefault="00B23F18" w14:paraId="4D0317E2" w14:textId="320256B1">
            <w:pPr>
              <w:spacing w:after="240"/>
              <w:ind w:right="72"/>
              <w:textAlignment w:val="baseline"/>
              <w:rPr>
                <w:b/>
                <w:color w:val="000000"/>
                <w:sz w:val="20"/>
                <w:szCs w:val="20"/>
                <w:lang w:val="en-GB"/>
              </w:rPr>
            </w:pPr>
            <w:r w:rsidRPr="009C48DA">
              <w:rPr>
                <w:b/>
                <w:color w:val="000000"/>
                <w:sz w:val="20"/>
                <w:szCs w:val="20"/>
                <w:lang w:val="en-GB"/>
              </w:rPr>
              <w:t>EU AIFMD</w:t>
            </w:r>
          </w:p>
        </w:tc>
        <w:tc>
          <w:tcPr>
            <w:tcW w:w="6693" w:type="dxa"/>
          </w:tcPr>
          <w:p w:rsidRPr="009C48DA" w:rsidR="00B23F18" w:rsidP="00B23F18" w:rsidRDefault="00B23F18" w14:paraId="0AB81A5D" w14:textId="1892E0F7">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France—Applicable Regulatory Framework for Bridgepoint Entities</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_Ref71146307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fldChar w:fldCharType="begin"/>
            </w:r>
            <w:r w:rsidRPr="009C48DA">
              <w:rPr>
                <w:i/>
                <w:color w:val="000000"/>
                <w:sz w:val="20"/>
                <w:szCs w:val="20"/>
                <w:lang w:val="en-GB"/>
              </w:rPr>
              <w:instrText xml:space="preserve"> REF _Ref75192095 \h  \* MERGEFORMAT </w:instrText>
            </w:r>
            <w:r w:rsidRPr="009C48DA">
              <w:rPr>
                <w:i/>
                <w:color w:val="000000"/>
                <w:sz w:val="20"/>
                <w:szCs w:val="20"/>
                <w:lang w:val="en-GB"/>
              </w:rPr>
            </w:r>
            <w:r w:rsidRPr="009C48DA">
              <w:rPr>
                <w:i/>
                <w:color w:val="000000"/>
                <w:sz w:val="20"/>
                <w:szCs w:val="20"/>
                <w:lang w:val="en-GB"/>
              </w:rPr>
              <w:fldChar w:fldCharType="separate"/>
            </w:r>
            <w:r w:rsidRPr="007C3D19" w:rsidR="007C3D19">
              <w:rPr>
                <w:i/>
                <w:sz w:val="20"/>
                <w:szCs w:val="20"/>
                <w:lang w:val="en-GB"/>
              </w:rPr>
              <w:t>Regulatory Overview</w:t>
            </w:r>
            <w:r w:rsidRPr="009C48DA">
              <w:rPr>
                <w:i/>
                <w:color w:val="000000"/>
                <w:sz w:val="20"/>
                <w:szCs w:val="20"/>
                <w:lang w:val="en-GB"/>
              </w:rPr>
              <w:fldChar w:fldCharType="end"/>
            </w:r>
            <w:r w:rsidRPr="009C48DA">
              <w:rPr>
                <w:color w:val="000000"/>
                <w:sz w:val="20"/>
                <w:szCs w:val="20"/>
                <w:lang w:val="en-GB"/>
              </w:rPr>
              <w:t>);</w:t>
            </w:r>
          </w:p>
        </w:tc>
      </w:tr>
      <w:tr w:rsidRPr="009C48DA" w:rsidR="00B23F18" w:rsidTr="00FA0364" w14:paraId="79B3C466" w14:textId="77777777">
        <w:tc>
          <w:tcPr>
            <w:tcW w:w="2511" w:type="dxa"/>
          </w:tcPr>
          <w:p w:rsidRPr="009C48DA" w:rsidR="00B23F18" w:rsidP="00B23F18" w:rsidRDefault="00B23F18" w14:paraId="674BCFFA" w14:textId="4BD42113">
            <w:pPr>
              <w:spacing w:after="240"/>
              <w:ind w:right="72"/>
              <w:textAlignment w:val="baseline"/>
              <w:rPr>
                <w:b/>
                <w:color w:val="000000"/>
                <w:sz w:val="20"/>
                <w:szCs w:val="20"/>
                <w:lang w:val="en-GB"/>
              </w:rPr>
            </w:pPr>
            <w:r w:rsidRPr="009C48DA">
              <w:rPr>
                <w:b/>
                <w:color w:val="000000"/>
                <w:sz w:val="20"/>
                <w:szCs w:val="20"/>
                <w:lang w:val="en-GB"/>
              </w:rPr>
              <w:t>EURIBOR</w:t>
            </w:r>
          </w:p>
        </w:tc>
        <w:tc>
          <w:tcPr>
            <w:tcW w:w="6693" w:type="dxa"/>
          </w:tcPr>
          <w:p w:rsidRPr="009C48DA" w:rsidR="00B23F18" w:rsidP="00B23F18" w:rsidRDefault="00B23F18" w14:paraId="6276915F" w14:textId="50948254">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Financial Risks</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_Ref71136204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_Ref75190583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Risk Factors</w:t>
            </w:r>
            <w:r w:rsidRPr="009C48DA">
              <w:rPr>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2BDF0F21" w14:textId="77777777">
        <w:tc>
          <w:tcPr>
            <w:tcW w:w="2511" w:type="dxa"/>
          </w:tcPr>
          <w:p w:rsidRPr="009C48DA" w:rsidR="00B23F18" w:rsidP="00B23F18" w:rsidRDefault="00B23F18" w14:paraId="5B331C04" w14:textId="77777777">
            <w:pPr>
              <w:spacing w:after="240"/>
              <w:ind w:right="72"/>
              <w:textAlignment w:val="baseline"/>
              <w:rPr>
                <w:b/>
                <w:color w:val="000000"/>
                <w:sz w:val="20"/>
                <w:szCs w:val="20"/>
                <w:lang w:val="en-GB"/>
              </w:rPr>
            </w:pPr>
            <w:r w:rsidRPr="009C48DA">
              <w:rPr>
                <w:b/>
                <w:color w:val="000000"/>
                <w:sz w:val="20"/>
                <w:szCs w:val="20"/>
                <w:lang w:val="en-GB"/>
              </w:rPr>
              <w:t>EUWA</w:t>
            </w:r>
          </w:p>
        </w:tc>
        <w:tc>
          <w:tcPr>
            <w:tcW w:w="6693" w:type="dxa"/>
          </w:tcPr>
          <w:p w:rsidRPr="009C48DA" w:rsidR="00B23F18" w:rsidP="00B23F18" w:rsidRDefault="00B23F18" w14:paraId="52C6B372" w14:textId="77777777">
            <w:pPr>
              <w:spacing w:after="240"/>
              <w:jc w:val="both"/>
              <w:textAlignment w:val="baseline"/>
              <w:rPr>
                <w:sz w:val="20"/>
                <w:szCs w:val="20"/>
                <w:lang w:val="en-GB"/>
              </w:rPr>
            </w:pPr>
            <w:r w:rsidRPr="009C48DA">
              <w:rPr>
                <w:sz w:val="20"/>
                <w:szCs w:val="20"/>
                <w:lang w:val="en-GB"/>
              </w:rPr>
              <w:t>means the European Union (Withdrawal) Act 2018;</w:t>
            </w:r>
          </w:p>
        </w:tc>
      </w:tr>
      <w:tr w:rsidRPr="009C48DA" w:rsidR="00B23F18" w:rsidTr="00FA0364" w14:paraId="348F23F7" w14:textId="77777777">
        <w:tc>
          <w:tcPr>
            <w:tcW w:w="2511" w:type="dxa"/>
          </w:tcPr>
          <w:p w:rsidRPr="009C48DA" w:rsidR="00B23F18" w:rsidP="00B23F18" w:rsidRDefault="00B23F18" w14:paraId="3950C016" w14:textId="6818D97F">
            <w:pPr>
              <w:spacing w:after="240"/>
              <w:ind w:right="72"/>
              <w:textAlignment w:val="baseline"/>
              <w:rPr>
                <w:b/>
                <w:color w:val="000000"/>
                <w:sz w:val="20"/>
                <w:szCs w:val="20"/>
                <w:lang w:val="en-GB"/>
              </w:rPr>
            </w:pPr>
            <w:r w:rsidRPr="009C48DA">
              <w:rPr>
                <w:b/>
                <w:color w:val="000000"/>
                <w:sz w:val="20"/>
                <w:szCs w:val="20"/>
                <w:lang w:val="en-GB"/>
              </w:rPr>
              <w:t>Exchange Act</w:t>
            </w:r>
          </w:p>
        </w:tc>
        <w:tc>
          <w:tcPr>
            <w:tcW w:w="6693" w:type="dxa"/>
          </w:tcPr>
          <w:p w:rsidRPr="009C48DA" w:rsidR="00B23F18" w:rsidP="00B23F18" w:rsidRDefault="00B23F18" w14:paraId="69E5EBAC" w14:textId="593DE76E">
            <w:pPr>
              <w:spacing w:after="240"/>
              <w:jc w:val="both"/>
              <w:textAlignment w:val="baseline"/>
              <w:rPr>
                <w:sz w:val="20"/>
                <w:szCs w:val="20"/>
                <w:lang w:val="en-GB"/>
              </w:rPr>
            </w:pPr>
            <w:r w:rsidRPr="009C48DA">
              <w:rPr>
                <w:color w:val="000000"/>
                <w:sz w:val="20"/>
                <w:szCs w:val="20"/>
                <w:lang w:val="en-GB"/>
              </w:rPr>
              <w:t>means the United States Securities Exchange Act of 1934, as amended;</w:t>
            </w:r>
          </w:p>
        </w:tc>
      </w:tr>
      <w:tr w:rsidRPr="009C48DA" w:rsidR="00B23F18" w:rsidTr="00FA0364" w14:paraId="369F4386" w14:textId="77777777">
        <w:tc>
          <w:tcPr>
            <w:tcW w:w="2511" w:type="dxa"/>
          </w:tcPr>
          <w:p w:rsidRPr="009C48DA" w:rsidR="00B23F18" w:rsidP="00B23F18" w:rsidRDefault="00B23F18" w14:paraId="72638595" w14:textId="5C15795C">
            <w:pPr>
              <w:spacing w:after="240"/>
              <w:ind w:right="72"/>
              <w:textAlignment w:val="baseline"/>
              <w:rPr>
                <w:b/>
                <w:color w:val="000000"/>
                <w:sz w:val="20"/>
                <w:szCs w:val="20"/>
                <w:lang w:val="en-GB"/>
              </w:rPr>
            </w:pPr>
            <w:r w:rsidRPr="009C48DA">
              <w:rPr>
                <w:b/>
                <w:color w:val="000000"/>
                <w:sz w:val="20"/>
                <w:szCs w:val="20"/>
                <w:lang w:val="en-GB"/>
              </w:rPr>
              <w:t>Executive Directors</w:t>
            </w:r>
          </w:p>
        </w:tc>
        <w:tc>
          <w:tcPr>
            <w:tcW w:w="6693" w:type="dxa"/>
          </w:tcPr>
          <w:p w:rsidRPr="009C48DA" w:rsidR="00B23F18" w:rsidP="00B23F18" w:rsidRDefault="00B23F18" w14:paraId="6F089093" w14:textId="1BB474B1">
            <w:pPr>
              <w:spacing w:after="240"/>
              <w:jc w:val="both"/>
              <w:textAlignment w:val="baseline"/>
              <w:rPr>
                <w:color w:val="000000"/>
                <w:sz w:val="20"/>
                <w:szCs w:val="20"/>
                <w:lang w:val="en-GB"/>
              </w:rPr>
            </w:pPr>
            <w:r w:rsidRPr="009C48DA">
              <w:rPr>
                <w:sz w:val="20"/>
                <w:szCs w:val="20"/>
                <w:lang w:val="en-GB"/>
              </w:rPr>
              <w:t>means the executive Directors as of the date of this Registration Document, and “</w:t>
            </w:r>
            <w:r w:rsidRPr="009C48DA">
              <w:rPr>
                <w:b/>
                <w:sz w:val="20"/>
                <w:szCs w:val="20"/>
                <w:lang w:val="en-GB"/>
              </w:rPr>
              <w:t>Executive Director</w:t>
            </w:r>
            <w:r w:rsidRPr="009C48DA">
              <w:rPr>
                <w:sz w:val="20"/>
                <w:szCs w:val="20"/>
                <w:lang w:val="en-GB"/>
              </w:rPr>
              <w:t>” means any one of them in this Registration Document;</w:t>
            </w:r>
          </w:p>
        </w:tc>
      </w:tr>
      <w:tr w:rsidRPr="009C48DA" w:rsidR="00B23F18" w:rsidTr="00FA0364" w14:paraId="577FFC5C" w14:textId="77777777">
        <w:tc>
          <w:tcPr>
            <w:tcW w:w="2511" w:type="dxa"/>
          </w:tcPr>
          <w:p w:rsidRPr="009C48DA" w:rsidR="00B23F18" w:rsidP="00B23F18" w:rsidRDefault="00B23F18" w14:paraId="6401395B" w14:textId="55E49324">
            <w:pPr>
              <w:spacing w:after="240"/>
              <w:ind w:right="72"/>
              <w:textAlignment w:val="baseline"/>
              <w:rPr>
                <w:b/>
                <w:color w:val="000000"/>
                <w:sz w:val="20"/>
                <w:szCs w:val="20"/>
                <w:lang w:val="en-GB"/>
              </w:rPr>
            </w:pPr>
            <w:r w:rsidRPr="009C48DA">
              <w:rPr>
                <w:b/>
                <w:color w:val="000000"/>
                <w:sz w:val="20"/>
                <w:szCs w:val="20"/>
                <w:lang w:val="en-GB"/>
              </w:rPr>
              <w:t>FCA</w:t>
            </w:r>
          </w:p>
        </w:tc>
        <w:tc>
          <w:tcPr>
            <w:tcW w:w="6693" w:type="dxa"/>
          </w:tcPr>
          <w:p w:rsidRPr="009C48DA" w:rsidR="00B23F18" w:rsidP="00B23F18" w:rsidRDefault="00B23F18" w14:paraId="1E0240E3" w14:textId="74088484">
            <w:pPr>
              <w:spacing w:after="240"/>
              <w:jc w:val="both"/>
              <w:textAlignment w:val="baseline"/>
              <w:rPr>
                <w:color w:val="000000"/>
                <w:sz w:val="20"/>
                <w:szCs w:val="20"/>
                <w:lang w:val="en-GB"/>
              </w:rPr>
            </w:pPr>
            <w:r w:rsidRPr="009C48DA">
              <w:rPr>
                <w:color w:val="000000"/>
                <w:sz w:val="20"/>
                <w:szCs w:val="20"/>
                <w:lang w:val="en-GB"/>
              </w:rPr>
              <w:t>means the Financial Conduct Authority;</w:t>
            </w:r>
          </w:p>
        </w:tc>
      </w:tr>
      <w:tr w:rsidRPr="009C48DA" w:rsidR="00B23F18" w:rsidTr="00FA0364" w14:paraId="6C0944CC" w14:textId="77777777">
        <w:tc>
          <w:tcPr>
            <w:tcW w:w="2511" w:type="dxa"/>
          </w:tcPr>
          <w:p w:rsidRPr="009C48DA" w:rsidR="00B23F18" w:rsidP="00B23F18" w:rsidRDefault="00B23F18" w14:paraId="0D7D49B4" w14:textId="7D71BEA1">
            <w:pPr>
              <w:spacing w:after="240"/>
              <w:ind w:right="72"/>
              <w:textAlignment w:val="baseline"/>
              <w:rPr>
                <w:b/>
                <w:color w:val="000000"/>
                <w:sz w:val="20"/>
                <w:szCs w:val="20"/>
                <w:lang w:val="en-GB"/>
              </w:rPr>
            </w:pPr>
            <w:r w:rsidRPr="009C48DA">
              <w:rPr>
                <w:b/>
                <w:color w:val="000000"/>
                <w:sz w:val="20"/>
                <w:szCs w:val="20"/>
                <w:lang w:val="en-GB"/>
              </w:rPr>
              <w:t>Financial Adviser</w:t>
            </w:r>
          </w:p>
        </w:tc>
        <w:tc>
          <w:tcPr>
            <w:tcW w:w="6693" w:type="dxa"/>
          </w:tcPr>
          <w:p w:rsidRPr="009C48DA" w:rsidR="00B23F18" w:rsidP="00B23F18" w:rsidRDefault="00B23F18" w14:paraId="1A81438D" w14:textId="0FAB2F63">
            <w:pPr>
              <w:spacing w:after="240"/>
              <w:jc w:val="both"/>
              <w:textAlignment w:val="baseline"/>
              <w:rPr>
                <w:color w:val="000000"/>
                <w:sz w:val="20"/>
                <w:szCs w:val="20"/>
                <w:lang w:val="en-GB"/>
              </w:rPr>
            </w:pPr>
            <w:r w:rsidRPr="009C48DA">
              <w:rPr>
                <w:color w:val="000000"/>
                <w:sz w:val="20"/>
                <w:szCs w:val="20"/>
                <w:lang w:val="en-GB"/>
              </w:rPr>
              <w:t>means Moelis &amp; Company UK LLP;</w:t>
            </w:r>
          </w:p>
        </w:tc>
      </w:tr>
      <w:tr w:rsidRPr="009C48DA" w:rsidR="00B23F18" w:rsidTr="00FA0364" w14:paraId="56DE7D2D" w14:textId="77777777">
        <w:tc>
          <w:tcPr>
            <w:tcW w:w="2511" w:type="dxa"/>
          </w:tcPr>
          <w:p w:rsidRPr="009C48DA" w:rsidR="00B23F18" w:rsidP="00B23F18" w:rsidRDefault="00B23F18" w14:paraId="16EE49B8" w14:textId="77777777">
            <w:pPr>
              <w:spacing w:after="240"/>
              <w:ind w:right="72"/>
              <w:textAlignment w:val="baseline"/>
              <w:rPr>
                <w:b/>
                <w:color w:val="000000"/>
                <w:sz w:val="20"/>
                <w:szCs w:val="20"/>
                <w:lang w:val="en-GB"/>
              </w:rPr>
            </w:pPr>
            <w:r w:rsidRPr="009C48DA">
              <w:rPr>
                <w:b/>
                <w:color w:val="000000"/>
                <w:sz w:val="20"/>
                <w:szCs w:val="20"/>
                <w:lang w:val="en-GB"/>
              </w:rPr>
              <w:t>Forward-looking Statements</w:t>
            </w:r>
          </w:p>
        </w:tc>
        <w:tc>
          <w:tcPr>
            <w:tcW w:w="6693" w:type="dxa"/>
          </w:tcPr>
          <w:p w:rsidRPr="009C48DA" w:rsidR="00B23F18" w:rsidP="00B23F18" w:rsidRDefault="00B23F18" w14:paraId="4E8EC9BF" w14:textId="630314A2">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Forward-looking Statements</w:t>
            </w:r>
            <w:r w:rsidRPr="009C48DA">
              <w:rPr>
                <w:color w:val="000000"/>
                <w:sz w:val="20"/>
                <w:szCs w:val="20"/>
                <w:lang w:val="en-GB"/>
              </w:rPr>
              <w:t xml:space="preserve">” in </w:t>
            </w:r>
            <w:r w:rsidRPr="009C48DA">
              <w:rPr>
                <w:color w:val="000000"/>
                <w:sz w:val="20"/>
                <w:szCs w:val="20"/>
                <w:lang w:val="en-GB"/>
              </w:rPr>
              <w:fldChar w:fldCharType="begin"/>
            </w:r>
            <w:r w:rsidRPr="009C48DA">
              <w:rPr>
                <w:color w:val="000000"/>
                <w:sz w:val="20"/>
                <w:szCs w:val="20"/>
                <w:lang w:val="en-GB"/>
              </w:rPr>
              <w:instrText xml:space="preserve"> REF _Ref71146374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II</w:t>
            </w:r>
            <w:r w:rsidRPr="009C48DA">
              <w:rPr>
                <w:color w:val="000000"/>
                <w:sz w:val="20"/>
                <w:szCs w:val="20"/>
                <w:lang w:val="en-GB"/>
              </w:rPr>
              <w:fldChar w:fldCharType="end"/>
            </w:r>
            <w:r w:rsidRPr="009C48DA">
              <w:rPr>
                <w:i/>
                <w:sz w:val="20"/>
                <w:szCs w:val="20"/>
                <w:lang w:val="en-GB"/>
              </w:rPr>
              <w:t xml:space="preserve"> (</w:t>
            </w:r>
            <w:r w:rsidRPr="009C48DA">
              <w:rPr>
                <w:i/>
                <w:sz w:val="20"/>
                <w:szCs w:val="20"/>
                <w:lang w:val="en-GB"/>
              </w:rPr>
            </w:r>
            <w:r w:rsidRPr="007C3D19" w:rsidR="007C3D19">
              <w:rPr>
                <w:i/>
                <w:sz w:val="20"/>
                <w:szCs w:val="20"/>
                <w:lang w:val="en-GB"/>
              </w:rPr>
              <w:t>Presentation Of Financial And Other Information</w:t>
            </w:r>
            <w:r w:rsidRPr="009C48DA">
              <w:rPr>
                <w:i/>
                <w:sz w:val="20"/>
                <w:szCs w:val="20"/>
                <w:lang w:val="en-GB"/>
              </w:rPr>
              <w:t>)</w:t>
            </w:r>
            <w:r w:rsidRPr="009C48DA">
              <w:rPr>
                <w:color w:val="000000"/>
                <w:sz w:val="20"/>
                <w:szCs w:val="20"/>
                <w:lang w:val="en-GB"/>
              </w:rPr>
              <w:t>;</w:t>
            </w:r>
          </w:p>
        </w:tc>
      </w:tr>
      <w:tr w:rsidRPr="009C48DA" w:rsidR="00B23F18" w:rsidTr="00FA0364" w14:paraId="6EC49FE4" w14:textId="77777777">
        <w:tc>
          <w:tcPr>
            <w:tcW w:w="2511" w:type="dxa"/>
          </w:tcPr>
          <w:p w:rsidRPr="009C48DA" w:rsidR="00B23F18" w:rsidP="00B23F18" w:rsidRDefault="00B23F18" w14:paraId="30750A8E" w14:textId="77777777">
            <w:pPr>
              <w:spacing w:after="240"/>
              <w:ind w:right="72"/>
              <w:textAlignment w:val="baseline"/>
              <w:rPr>
                <w:b/>
                <w:color w:val="000000"/>
                <w:sz w:val="20"/>
                <w:szCs w:val="20"/>
                <w:lang w:val="en-GB"/>
              </w:rPr>
            </w:pPr>
            <w:r w:rsidRPr="009C48DA">
              <w:rPr>
                <w:b/>
                <w:color w:val="000000"/>
                <w:sz w:val="20"/>
                <w:szCs w:val="20"/>
                <w:lang w:val="en-GB"/>
              </w:rPr>
              <w:t>FSMA</w:t>
            </w:r>
          </w:p>
        </w:tc>
        <w:tc>
          <w:tcPr>
            <w:tcW w:w="6693" w:type="dxa"/>
          </w:tcPr>
          <w:p w:rsidRPr="009C48DA" w:rsidR="00B23F18" w:rsidP="00B23F18" w:rsidRDefault="00B23F18" w14:paraId="1522AFF2" w14:textId="5096BEA9">
            <w:pPr>
              <w:spacing w:after="240"/>
              <w:jc w:val="both"/>
              <w:textAlignment w:val="baseline"/>
              <w:rPr>
                <w:color w:val="000000"/>
                <w:sz w:val="20"/>
                <w:szCs w:val="20"/>
                <w:lang w:val="en-GB"/>
              </w:rPr>
            </w:pPr>
            <w:r w:rsidRPr="009C48DA">
              <w:rPr>
                <w:color w:val="000000"/>
                <w:sz w:val="20"/>
                <w:szCs w:val="20"/>
                <w:lang w:val="en-GB"/>
              </w:rPr>
              <w:t>means the Financial Services and Markets Act 2000, as amended from time to time;</w:t>
            </w:r>
          </w:p>
        </w:tc>
      </w:tr>
      <w:tr w:rsidRPr="009C48DA" w:rsidR="00B23F18" w:rsidTr="00FA0364" w14:paraId="38D7CDA2" w14:textId="77777777">
        <w:tc>
          <w:tcPr>
            <w:tcW w:w="2511" w:type="dxa"/>
          </w:tcPr>
          <w:p w:rsidRPr="009C48DA" w:rsidR="00B23F18" w:rsidP="00B23F18" w:rsidRDefault="00B23F18" w14:paraId="7FFEDEF8" w14:textId="6F9D844D">
            <w:pPr>
              <w:spacing w:after="240"/>
              <w:ind w:right="72"/>
              <w:textAlignment w:val="baseline"/>
              <w:rPr>
                <w:b/>
                <w:color w:val="000000"/>
                <w:sz w:val="20"/>
                <w:szCs w:val="20"/>
                <w:lang w:val="en-GB"/>
              </w:rPr>
            </w:pPr>
            <w:r w:rsidRPr="009C48DA">
              <w:rPr>
                <w:b/>
                <w:color w:val="000000"/>
                <w:sz w:val="20"/>
                <w:szCs w:val="20"/>
                <w:lang w:val="en-GB"/>
              </w:rPr>
              <w:t xml:space="preserve">FTE </w:t>
            </w:r>
          </w:p>
        </w:tc>
        <w:tc>
          <w:tcPr>
            <w:tcW w:w="6693" w:type="dxa"/>
          </w:tcPr>
          <w:p w:rsidRPr="009C48DA" w:rsidR="00B23F18" w:rsidP="00B23F18" w:rsidRDefault="00B23F18" w14:paraId="6FBCCB80" w14:textId="1E20AF8C">
            <w:pPr>
              <w:spacing w:after="240"/>
              <w:jc w:val="both"/>
              <w:textAlignment w:val="baseline"/>
              <w:rPr>
                <w:color w:val="000000"/>
                <w:sz w:val="20"/>
                <w:szCs w:val="20"/>
                <w:lang w:val="en-GB"/>
              </w:rPr>
            </w:pPr>
            <w:r w:rsidRPr="009C48DA">
              <w:rPr>
                <w:color w:val="000000"/>
                <w:sz w:val="20"/>
                <w:szCs w:val="20"/>
                <w:lang w:val="en-GB"/>
              </w:rPr>
              <w:t>means full time employee;</w:t>
            </w:r>
          </w:p>
        </w:tc>
      </w:tr>
      <w:tr w:rsidRPr="009C48DA" w:rsidR="00B23F18" w:rsidTr="00FA0364" w14:paraId="5CF5F902" w14:textId="77777777">
        <w:tc>
          <w:tcPr>
            <w:tcW w:w="2511" w:type="dxa"/>
          </w:tcPr>
          <w:p w:rsidRPr="009C48DA" w:rsidR="00B23F18" w:rsidP="00B23F18" w:rsidRDefault="00B23F18" w14:paraId="597BF3F3" w14:textId="50A8A643">
            <w:pPr>
              <w:spacing w:after="240"/>
              <w:ind w:right="72"/>
              <w:textAlignment w:val="baseline"/>
              <w:rPr>
                <w:b/>
                <w:color w:val="000000"/>
                <w:sz w:val="20"/>
                <w:szCs w:val="20"/>
                <w:lang w:val="en-GB"/>
              </w:rPr>
            </w:pPr>
            <w:r w:rsidRPr="009C48DA">
              <w:rPr>
                <w:b/>
                <w:color w:val="000000"/>
                <w:sz w:val="20"/>
                <w:szCs w:val="20"/>
                <w:lang w:val="en-GB"/>
              </w:rPr>
              <w:t>Fund Manager</w:t>
            </w:r>
          </w:p>
        </w:tc>
        <w:tc>
          <w:tcPr>
            <w:tcW w:w="6693" w:type="dxa"/>
          </w:tcPr>
          <w:p w:rsidRPr="009C48DA" w:rsidR="00B23F18" w:rsidP="00B23F18" w:rsidRDefault="00B23F18" w14:paraId="034A85A7" w14:textId="3866119E">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Risks Related to the Group’s Business, Industry and Markets</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_Ref71136204 \r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w:t>
            </w:r>
            <w:r w:rsidRPr="009C48DA">
              <w:rPr>
                <w:color w:val="000000"/>
                <w:sz w:val="20"/>
                <w:szCs w:val="20"/>
                <w:lang w:val="en-GB"/>
              </w:rPr>
              <w:fldChar w:fldCharType="end"/>
            </w:r>
            <w:r w:rsidRPr="009C48DA">
              <w:rPr>
                <w:sz w:val="20"/>
                <w:szCs w:val="20"/>
                <w:lang w:val="en-GB"/>
              </w:rPr>
              <w:t xml:space="preserve"> (</w:t>
            </w:r>
            <w:r w:rsidRPr="009C48DA">
              <w:rPr>
                <w:i/>
                <w:iCs/>
                <w:sz w:val="20"/>
                <w:szCs w:val="20"/>
                <w:lang w:val="en-GB"/>
              </w:rPr>
              <w:fldChar w:fldCharType="begin"/>
            </w:r>
            <w:r w:rsidRPr="009C48DA">
              <w:rPr>
                <w:i/>
                <w:iCs/>
                <w:sz w:val="20"/>
                <w:szCs w:val="20"/>
                <w:lang w:val="en-GB"/>
              </w:rPr>
              <w:instrText xml:space="preserve"> REF _Ref75190583 \h  \* MERGEFORMAT </w:instrText>
            </w:r>
            <w:r w:rsidRPr="009C48DA">
              <w:rPr>
                <w:i/>
                <w:iCs/>
                <w:sz w:val="20"/>
                <w:szCs w:val="20"/>
                <w:lang w:val="en-GB"/>
              </w:rPr>
            </w:r>
            <w:r w:rsidRPr="009C48DA">
              <w:rPr>
                <w:i/>
                <w:iCs/>
                <w:sz w:val="20"/>
                <w:szCs w:val="20"/>
                <w:lang w:val="en-GB"/>
              </w:rPr>
              <w:fldChar w:fldCharType="separate"/>
            </w:r>
            <w:r w:rsidRPr="007C3D19" w:rsidR="007C3D19">
              <w:rPr>
                <w:i/>
                <w:iCs/>
                <w:sz w:val="20"/>
                <w:szCs w:val="20"/>
                <w:lang w:val="en-GB"/>
              </w:rPr>
              <w:t>Risk Factors</w:t>
            </w:r>
            <w:r w:rsidRPr="009C48DA">
              <w:rPr>
                <w:i/>
                <w:iCs/>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1B5E18B1" w14:textId="77777777">
        <w:tc>
          <w:tcPr>
            <w:tcW w:w="2511" w:type="dxa"/>
          </w:tcPr>
          <w:p w:rsidRPr="009C48DA" w:rsidR="00B23F18" w:rsidP="00B23F18" w:rsidRDefault="00B23F18" w14:paraId="33DBB1C0" w14:textId="1271C9DC">
            <w:pPr>
              <w:spacing w:after="240"/>
              <w:ind w:right="72"/>
              <w:textAlignment w:val="baseline"/>
              <w:rPr>
                <w:b/>
                <w:color w:val="000000"/>
                <w:sz w:val="20"/>
                <w:szCs w:val="20"/>
                <w:lang w:val="en-GB"/>
              </w:rPr>
            </w:pPr>
            <w:r w:rsidRPr="009C48DA">
              <w:rPr>
                <w:b/>
                <w:color w:val="000000"/>
                <w:sz w:val="20"/>
                <w:szCs w:val="20"/>
                <w:lang w:val="en-GB"/>
              </w:rPr>
              <w:t>GDPR</w:t>
            </w:r>
          </w:p>
        </w:tc>
        <w:tc>
          <w:tcPr>
            <w:tcW w:w="6693" w:type="dxa"/>
          </w:tcPr>
          <w:p w:rsidRPr="009C48DA" w:rsidR="00B23F18" w:rsidP="00B23F18" w:rsidRDefault="00B23F18" w14:paraId="0E3ED42A" w14:textId="22FEEE2A">
            <w:pPr>
              <w:spacing w:after="240"/>
              <w:jc w:val="both"/>
              <w:textAlignment w:val="baseline"/>
              <w:rPr>
                <w:color w:val="000000"/>
                <w:sz w:val="20"/>
                <w:szCs w:val="20"/>
                <w:lang w:val="en-GB"/>
              </w:rPr>
            </w:pPr>
            <w:r w:rsidRPr="009C48DA">
              <w:rPr>
                <w:color w:val="000000"/>
                <w:sz w:val="20"/>
                <w:szCs w:val="20"/>
                <w:lang w:val="en-GB"/>
              </w:rPr>
              <w:t>means the General Data Protection Regulation (EU) 2016/679;</w:t>
            </w:r>
          </w:p>
        </w:tc>
      </w:tr>
      <w:tr w:rsidRPr="009C48DA" w:rsidR="00B23F18" w:rsidTr="00FA0364" w14:paraId="5178D1DE" w14:textId="77777777">
        <w:tc>
          <w:tcPr>
            <w:tcW w:w="2511" w:type="dxa"/>
          </w:tcPr>
          <w:p w:rsidRPr="009C48DA" w:rsidR="00B23F18" w:rsidP="00B23F18" w:rsidRDefault="00B23F18" w14:paraId="42354361" w14:textId="1D283E19">
            <w:pPr>
              <w:spacing w:after="240"/>
              <w:ind w:right="72"/>
              <w:textAlignment w:val="baseline"/>
              <w:rPr>
                <w:b/>
                <w:color w:val="000000"/>
                <w:sz w:val="20"/>
                <w:szCs w:val="20"/>
                <w:lang w:val="en-GB"/>
              </w:rPr>
            </w:pPr>
            <w:r w:rsidRPr="009C48DA">
              <w:rPr>
                <w:b/>
                <w:color w:val="000000"/>
                <w:sz w:val="20"/>
                <w:szCs w:val="20"/>
                <w:lang w:val="en-GB"/>
              </w:rPr>
              <w:t>Gross MOIC</w:t>
            </w:r>
          </w:p>
        </w:tc>
        <w:tc>
          <w:tcPr>
            <w:tcW w:w="6693" w:type="dxa"/>
          </w:tcPr>
          <w:p w:rsidRPr="009C48DA" w:rsidR="00B23F18" w:rsidP="00B23F18" w:rsidRDefault="00B23F18" w14:paraId="1066C3F9" w14:textId="28362F90">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Overview</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_Ref72799527 \r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r>
            <w:r w:rsidRPr="007C3D19" w:rsidR="007C3D19">
              <w:rPr>
                <w:i/>
                <w:sz w:val="20"/>
                <w:szCs w:val="20"/>
                <w:lang w:val="en-GB"/>
              </w:rPr>
              <w:t>The Business</w:t>
            </w:r>
            <w:r w:rsidRPr="009C48DA">
              <w:rPr>
                <w:sz w:val="20"/>
                <w:szCs w:val="20"/>
                <w:lang w:val="en-GB"/>
              </w:rPr>
              <w:t>)</w:t>
            </w:r>
            <w:r w:rsidRPr="009C48DA">
              <w:rPr>
                <w:color w:val="000000"/>
                <w:sz w:val="20"/>
                <w:szCs w:val="20"/>
                <w:lang w:val="en-GB"/>
              </w:rPr>
              <w:t>;</w:t>
            </w:r>
          </w:p>
        </w:tc>
      </w:tr>
      <w:tr w:rsidRPr="009C48DA" w:rsidR="00B23F18" w:rsidTr="00FA0364" w14:paraId="7F1ED99D" w14:textId="77777777">
        <w:tc>
          <w:tcPr>
            <w:tcW w:w="2511" w:type="dxa"/>
          </w:tcPr>
          <w:p w:rsidRPr="009C48DA" w:rsidR="00B23F18" w:rsidP="00B23F18" w:rsidRDefault="00B23F18" w14:paraId="0836EAE3" w14:textId="41472408">
            <w:pPr>
              <w:spacing w:after="240"/>
              <w:ind w:right="72"/>
              <w:textAlignment w:val="baseline"/>
              <w:rPr>
                <w:b/>
                <w:color w:val="000000"/>
                <w:sz w:val="20"/>
                <w:szCs w:val="20"/>
                <w:lang w:val="en-GB"/>
              </w:rPr>
            </w:pPr>
            <w:r w:rsidRPr="009C48DA">
              <w:rPr>
                <w:b/>
                <w:color w:val="000000"/>
                <w:sz w:val="20"/>
                <w:szCs w:val="20"/>
                <w:lang w:val="en-GB"/>
              </w:rPr>
              <w:t>Group</w:t>
            </w:r>
          </w:p>
        </w:tc>
        <w:tc>
          <w:tcPr>
            <w:tcW w:w="6693" w:type="dxa"/>
          </w:tcPr>
          <w:p w:rsidRPr="009C48DA" w:rsidR="00B23F18" w:rsidP="00B23F18" w:rsidRDefault="00B23F18" w14:paraId="3DDDC016" w14:textId="16869607">
            <w:pPr>
              <w:spacing w:after="240"/>
              <w:jc w:val="both"/>
              <w:textAlignment w:val="baseline"/>
              <w:rPr>
                <w:color w:val="000000"/>
                <w:sz w:val="20"/>
                <w:szCs w:val="20"/>
                <w:lang w:val="en-GB"/>
              </w:rPr>
            </w:pPr>
            <w:r w:rsidRPr="009C48DA">
              <w:rPr>
                <w:color w:val="000000"/>
                <w:sz w:val="20"/>
                <w:szCs w:val="20"/>
                <w:lang w:val="en-GB"/>
              </w:rPr>
              <w:t>means the Company and each of its direct and indirect subsidiaries (and “</w:t>
            </w:r>
            <w:r w:rsidRPr="009C48DA">
              <w:rPr>
                <w:b/>
                <w:color w:val="000000"/>
                <w:sz w:val="20"/>
                <w:szCs w:val="20"/>
                <w:lang w:val="en-GB"/>
              </w:rPr>
              <w:t>subsidiary</w:t>
            </w:r>
            <w:r w:rsidRPr="009C48DA">
              <w:rPr>
                <w:color w:val="000000"/>
                <w:sz w:val="20"/>
                <w:szCs w:val="20"/>
                <w:lang w:val="en-GB"/>
              </w:rPr>
              <w:t>” shall have the meaning ascribed to it in the Companies Act 2006);</w:t>
            </w:r>
          </w:p>
        </w:tc>
      </w:tr>
      <w:tr w:rsidRPr="009C48DA" w:rsidR="00B23F18" w:rsidTr="00FA0364" w14:paraId="3C6349B8" w14:textId="77777777">
        <w:tc>
          <w:tcPr>
            <w:tcW w:w="2511" w:type="dxa"/>
          </w:tcPr>
          <w:p w:rsidRPr="009C48DA" w:rsidR="00B23F18" w:rsidP="00B23F18" w:rsidRDefault="00B23F18" w14:paraId="6137BB81" w14:textId="1989447B">
            <w:pPr>
              <w:spacing w:after="240"/>
              <w:ind w:right="72"/>
              <w:textAlignment w:val="baseline"/>
              <w:rPr>
                <w:b/>
                <w:color w:val="000000"/>
                <w:sz w:val="20"/>
                <w:szCs w:val="20"/>
                <w:lang w:val="en-GB"/>
              </w:rPr>
            </w:pPr>
            <w:r w:rsidRPr="009C48DA">
              <w:rPr>
                <w:b/>
                <w:sz w:val="20"/>
                <w:szCs w:val="20"/>
                <w:lang w:val="en-GB"/>
              </w:rPr>
              <w:t>Historical Financial Information</w:t>
            </w:r>
          </w:p>
        </w:tc>
        <w:tc>
          <w:tcPr>
            <w:tcW w:w="6693" w:type="dxa"/>
          </w:tcPr>
          <w:p w:rsidRPr="009C48DA" w:rsidR="00B23F18" w:rsidP="00B23F18" w:rsidRDefault="00B23F18" w14:paraId="322123B3" w14:textId="59972291">
            <w:pPr>
              <w:spacing w:after="240"/>
              <w:jc w:val="both"/>
              <w:textAlignment w:val="baseline"/>
              <w:rPr>
                <w:color w:val="000000"/>
                <w:sz w:val="20"/>
                <w:szCs w:val="20"/>
                <w:lang w:val="en-GB"/>
              </w:rPr>
            </w:pPr>
            <w:r w:rsidRPr="009C48DA">
              <w:rPr>
                <w:sz w:val="20"/>
                <w:szCs w:val="20"/>
                <w:lang w:val="en-GB"/>
              </w:rPr>
              <w:t xml:space="preserve">means the information set out in </w:t>
            </w:r>
            <w:r w:rsidRPr="009C48DA">
              <w:rPr>
                <w:sz w:val="20"/>
                <w:szCs w:val="20"/>
                <w:lang w:val="en-GB"/>
              </w:rPr>
              <w:fldChar w:fldCharType="begin"/>
            </w:r>
            <w:r w:rsidRPr="009C48DA">
              <w:rPr>
                <w:sz w:val="20"/>
                <w:szCs w:val="20"/>
                <w:lang w:val="en-GB"/>
              </w:rPr>
              <w:instrText xml:space="preserve"> REF _Ref71146392 \n \h  \* MERGEFORMAT </w:instrText>
            </w:r>
            <w:r w:rsidRPr="009C48DA">
              <w:rPr>
                <w:sz w:val="20"/>
                <w:szCs w:val="20"/>
                <w:lang w:val="en-GB"/>
              </w:rPr>
            </w:r>
            <w:r w:rsidRPr="009C48DA">
              <w:rPr>
                <w:sz w:val="20"/>
                <w:szCs w:val="20"/>
                <w:lang w:val="en-GB"/>
              </w:rPr>
              <w:fldChar w:fldCharType="separate"/>
            </w:r>
            <w:r w:rsidR="007C3D19">
              <w:rPr>
                <w:sz w:val="20"/>
                <w:szCs w:val="20"/>
                <w:lang w:val="en-GB"/>
              </w:rPr>
              <w:t>Part X</w:t>
            </w:r>
            <w:r w:rsidRPr="009C48DA">
              <w:rPr>
                <w:sz w:val="20"/>
                <w:szCs w:val="20"/>
                <w:lang w:val="en-GB"/>
              </w:rPr>
              <w:fldChar w:fldCharType="end"/>
            </w:r>
            <w:r w:rsidRPr="009C48DA">
              <w:rPr>
                <w:sz w:val="20"/>
                <w:szCs w:val="20"/>
                <w:lang w:val="en-GB"/>
              </w:rPr>
              <w:t xml:space="preserve"> (</w:t>
            </w:r>
            <w:r w:rsidRPr="009C48DA">
              <w:rPr>
                <w:i/>
                <w:sz w:val="20"/>
                <w:szCs w:val="20"/>
                <w:lang w:val="en-GB"/>
              </w:rPr>
            </w:r>
            <w:r w:rsidRPr="007C3D19" w:rsidR="007C3D19">
              <w:rPr>
                <w:i/>
                <w:sz w:val="20"/>
                <w:szCs w:val="20"/>
                <w:lang w:val="en-GB"/>
              </w:rPr>
              <w:t>Historical Financial Information</w:t>
            </w:r>
            <w:r w:rsidRPr="009C48DA">
              <w:rPr>
                <w:sz w:val="20"/>
                <w:szCs w:val="20"/>
                <w:lang w:val="en-GB"/>
              </w:rPr>
              <w:t>);</w:t>
            </w:r>
          </w:p>
        </w:tc>
      </w:tr>
      <w:tr w:rsidRPr="009C48DA" w:rsidR="00B23F18" w:rsidTr="00FA0364" w14:paraId="4650EF94" w14:textId="77777777">
        <w:tc>
          <w:tcPr>
            <w:tcW w:w="2511" w:type="dxa"/>
          </w:tcPr>
          <w:p w:rsidRPr="009C48DA" w:rsidR="00B23F18" w:rsidP="00B23F18" w:rsidRDefault="00B23F18" w14:paraId="5D8F6321" w14:textId="4473D154">
            <w:pPr>
              <w:spacing w:after="240"/>
              <w:ind w:right="72"/>
              <w:textAlignment w:val="baseline"/>
              <w:rPr>
                <w:b/>
                <w:color w:val="000000"/>
                <w:sz w:val="20"/>
                <w:szCs w:val="20"/>
                <w:lang w:val="en-GB"/>
              </w:rPr>
            </w:pPr>
            <w:r w:rsidRPr="009C48DA">
              <w:rPr>
                <w:b/>
                <w:color w:val="000000"/>
                <w:sz w:val="20"/>
                <w:szCs w:val="20"/>
                <w:lang w:val="en-GB"/>
              </w:rPr>
              <w:t>HNWIs</w:t>
            </w:r>
            <w:r w:rsidRPr="009C48DA" w:rsidDel="00B35A63">
              <w:rPr>
                <w:b/>
                <w:sz w:val="20"/>
                <w:szCs w:val="20"/>
                <w:lang w:val="en-GB"/>
              </w:rPr>
              <w:t xml:space="preserve"> </w:t>
            </w:r>
          </w:p>
        </w:tc>
        <w:tc>
          <w:tcPr>
            <w:tcW w:w="6693" w:type="dxa"/>
          </w:tcPr>
          <w:p w:rsidRPr="009C48DA" w:rsidR="00B23F18" w:rsidP="00B23F18" w:rsidRDefault="00B23F18" w14:paraId="60DAD602" w14:textId="2A2F2887">
            <w:pPr>
              <w:spacing w:after="240"/>
              <w:jc w:val="both"/>
              <w:textAlignment w:val="baseline"/>
              <w:rPr>
                <w:color w:val="000000"/>
                <w:sz w:val="20"/>
                <w:szCs w:val="20"/>
                <w:lang w:val="en-GB"/>
              </w:rPr>
            </w:pPr>
            <w:r w:rsidRPr="009C48DA">
              <w:rPr>
                <w:color w:val="000000"/>
                <w:sz w:val="20"/>
                <w:szCs w:val="20"/>
                <w:lang w:val="en-GB"/>
              </w:rPr>
              <w:t>means high-net-worth individuals;</w:t>
            </w:r>
          </w:p>
        </w:tc>
      </w:tr>
      <w:tr w:rsidRPr="009C48DA" w:rsidR="00B23F18" w:rsidTr="00FA0364" w14:paraId="08164F47" w14:textId="77777777">
        <w:tc>
          <w:tcPr>
            <w:tcW w:w="2511" w:type="dxa"/>
          </w:tcPr>
          <w:p w:rsidRPr="009C48DA" w:rsidR="00B23F18" w:rsidP="00B23F18" w:rsidRDefault="00B23F18" w14:paraId="4725C3F3" w14:textId="1B533466">
            <w:pPr>
              <w:spacing w:after="240"/>
              <w:ind w:right="72"/>
              <w:textAlignment w:val="baseline"/>
              <w:rPr>
                <w:b/>
                <w:sz w:val="20"/>
                <w:szCs w:val="20"/>
                <w:lang w:val="en-GB"/>
              </w:rPr>
            </w:pPr>
            <w:r w:rsidRPr="009C48DA">
              <w:rPr>
                <w:rFonts w:eastAsia="Microsoft JhengHei"/>
                <w:b/>
                <w:sz w:val="20"/>
                <w:szCs w:val="20"/>
                <w:lang w:val="en-GB"/>
              </w:rPr>
              <w:t>IASB</w:t>
            </w:r>
          </w:p>
        </w:tc>
        <w:tc>
          <w:tcPr>
            <w:tcW w:w="6693" w:type="dxa"/>
          </w:tcPr>
          <w:p w:rsidRPr="009C48DA" w:rsidR="00B23F18" w:rsidP="00B23F18" w:rsidRDefault="00B23F18" w14:paraId="0EDB2490" w14:textId="32E3CC3A">
            <w:pPr>
              <w:spacing w:after="240"/>
              <w:jc w:val="both"/>
              <w:textAlignment w:val="baseline"/>
              <w:rPr>
                <w:sz w:val="20"/>
                <w:szCs w:val="20"/>
                <w:lang w:val="en-GB"/>
              </w:rPr>
            </w:pPr>
            <w:r w:rsidRPr="009C48DA">
              <w:rPr>
                <w:color w:val="000000"/>
                <w:sz w:val="20"/>
                <w:szCs w:val="20"/>
                <w:lang w:val="en-GB"/>
              </w:rPr>
              <w:t>has the meaning given in “</w:t>
            </w:r>
            <w:r w:rsidRPr="009C48DA">
              <w:rPr>
                <w:i/>
                <w:color w:val="000000"/>
                <w:sz w:val="20"/>
                <w:szCs w:val="20"/>
                <w:lang w:val="en-GB"/>
              </w:rPr>
              <w:t>Legal, Regulatory and Governance Risks</w:t>
            </w:r>
            <w:r w:rsidRPr="009C48DA">
              <w:rPr>
                <w:color w:val="000000"/>
                <w:sz w:val="20"/>
                <w:szCs w:val="20"/>
                <w:lang w:val="en-GB"/>
              </w:rPr>
              <w:t xml:space="preserve">” of </w:t>
            </w:r>
            <w:r w:rsidR="00B74D38">
              <w:rPr>
                <w:color w:val="000000"/>
                <w:sz w:val="20"/>
                <w:szCs w:val="20"/>
                <w:lang w:val="en-GB"/>
              </w:rPr>
              <w:br/>
            </w:r>
            <w:r w:rsidRPr="009C48DA">
              <w:rPr>
                <w:color w:val="000000"/>
                <w:sz w:val="20"/>
                <w:szCs w:val="20"/>
                <w:lang w:val="en-GB"/>
              </w:rPr>
              <w:fldChar w:fldCharType="begin"/>
            </w:r>
            <w:r w:rsidRPr="009C48DA">
              <w:rPr>
                <w:color w:val="000000"/>
                <w:sz w:val="20"/>
                <w:szCs w:val="20"/>
                <w:lang w:val="en-GB"/>
              </w:rPr>
              <w:instrText xml:space="preserve"> REF _Ref71136204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_Ref75190583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Risk Factors</w:t>
            </w:r>
            <w:r w:rsidRPr="009C48DA">
              <w:rPr>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57B9FC8C" w14:textId="77777777">
        <w:tc>
          <w:tcPr>
            <w:tcW w:w="2511" w:type="dxa"/>
          </w:tcPr>
          <w:p w:rsidRPr="009C48DA" w:rsidR="00B23F18" w:rsidP="00B23F18" w:rsidRDefault="00B23F18" w14:paraId="6F4D8BE5" w14:textId="4A339A04">
            <w:pPr>
              <w:spacing w:after="240"/>
              <w:ind w:right="72"/>
              <w:textAlignment w:val="baseline"/>
              <w:rPr>
                <w:b/>
                <w:sz w:val="20"/>
                <w:szCs w:val="20"/>
                <w:lang w:val="en-GB"/>
              </w:rPr>
            </w:pPr>
            <w:r w:rsidRPr="009C48DA">
              <w:rPr>
                <w:b/>
                <w:sz w:val="20"/>
                <w:szCs w:val="20"/>
                <w:lang w:val="en-GB"/>
              </w:rPr>
              <w:t>IFD</w:t>
            </w:r>
          </w:p>
        </w:tc>
        <w:tc>
          <w:tcPr>
            <w:tcW w:w="6693" w:type="dxa"/>
          </w:tcPr>
          <w:p w:rsidRPr="009C48DA" w:rsidR="00B23F18" w:rsidP="00B23F18" w:rsidRDefault="00B23F18" w14:paraId="0CFCC263" w14:textId="1FB70E65">
            <w:pPr>
              <w:spacing w:after="240"/>
              <w:jc w:val="both"/>
              <w:textAlignment w:val="baseline"/>
              <w:rPr>
                <w:sz w:val="20"/>
                <w:szCs w:val="20"/>
                <w:lang w:val="en-GB"/>
              </w:rPr>
            </w:pPr>
            <w:r w:rsidRPr="009C48DA">
              <w:rPr>
                <w:sz w:val="20"/>
                <w:szCs w:val="20"/>
                <w:lang w:val="en-GB"/>
              </w:rPr>
              <w:t>means the Investment Firms Directive 2019/2034;</w:t>
            </w:r>
          </w:p>
        </w:tc>
      </w:tr>
      <w:tr w:rsidRPr="009C48DA" w:rsidR="00B23F18" w:rsidTr="00FA0364" w14:paraId="6FCFB59B" w14:textId="77777777">
        <w:tc>
          <w:tcPr>
            <w:tcW w:w="2511" w:type="dxa"/>
          </w:tcPr>
          <w:p w:rsidRPr="009C48DA" w:rsidR="00B23F18" w:rsidP="00B23F18" w:rsidRDefault="00B23F18" w14:paraId="13F75F29" w14:textId="7FD06263">
            <w:pPr>
              <w:spacing w:after="240"/>
              <w:ind w:right="72"/>
              <w:textAlignment w:val="baseline"/>
              <w:rPr>
                <w:b/>
                <w:sz w:val="20"/>
                <w:szCs w:val="20"/>
                <w:lang w:val="en-GB"/>
              </w:rPr>
            </w:pPr>
            <w:r w:rsidRPr="009C48DA">
              <w:rPr>
                <w:b/>
                <w:sz w:val="20"/>
                <w:szCs w:val="20"/>
                <w:lang w:val="en-GB"/>
              </w:rPr>
              <w:t>IFPR</w:t>
            </w:r>
          </w:p>
        </w:tc>
        <w:tc>
          <w:tcPr>
            <w:tcW w:w="6693" w:type="dxa"/>
          </w:tcPr>
          <w:p w:rsidRPr="009C48DA" w:rsidR="00B23F18" w:rsidP="00B23F18" w:rsidRDefault="00B23F18" w14:paraId="140A724D" w14:textId="2396C0EE">
            <w:pPr>
              <w:spacing w:after="240"/>
              <w:jc w:val="both"/>
              <w:textAlignment w:val="baseline"/>
              <w:rPr>
                <w:sz w:val="20"/>
                <w:szCs w:val="20"/>
                <w:lang w:val="en-GB"/>
              </w:rPr>
            </w:pPr>
            <w:r w:rsidRPr="009C48DA">
              <w:rPr>
                <w:color w:val="000000"/>
                <w:sz w:val="20"/>
                <w:szCs w:val="20"/>
                <w:lang w:val="en-GB"/>
              </w:rPr>
              <w:t>has the meaning given in “</w:t>
            </w:r>
            <w:r w:rsidRPr="009C48DA">
              <w:rPr>
                <w:i/>
                <w:color w:val="000000"/>
                <w:sz w:val="20"/>
                <w:szCs w:val="20"/>
                <w:lang w:val="en-GB"/>
              </w:rPr>
              <w:t>Legal, Regulatory and Governance Risks</w:t>
            </w:r>
            <w:r w:rsidRPr="009C48DA">
              <w:rPr>
                <w:color w:val="000000"/>
                <w:sz w:val="20"/>
                <w:szCs w:val="20"/>
                <w:lang w:val="en-GB"/>
              </w:rPr>
              <w:t xml:space="preserve">” of </w:t>
            </w:r>
            <w:r w:rsidR="00B74D38">
              <w:rPr>
                <w:color w:val="000000"/>
                <w:sz w:val="20"/>
                <w:szCs w:val="20"/>
                <w:lang w:val="en-GB"/>
              </w:rPr>
              <w:br/>
            </w:r>
            <w:r w:rsidRPr="009C48DA">
              <w:rPr>
                <w:color w:val="000000"/>
                <w:sz w:val="20"/>
                <w:szCs w:val="20"/>
                <w:lang w:val="en-GB"/>
              </w:rPr>
              <w:fldChar w:fldCharType="begin"/>
            </w:r>
            <w:r w:rsidRPr="009C48DA">
              <w:rPr>
                <w:color w:val="000000"/>
                <w:sz w:val="20"/>
                <w:szCs w:val="20"/>
                <w:lang w:val="en-GB"/>
              </w:rPr>
              <w:instrText xml:space="preserve"> REF _Ref71136204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_Ref75190583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Risk Factors</w:t>
            </w:r>
            <w:r w:rsidRPr="009C48DA">
              <w:rPr>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139336E1" w14:textId="77777777">
        <w:tc>
          <w:tcPr>
            <w:tcW w:w="2511" w:type="dxa"/>
          </w:tcPr>
          <w:p w:rsidRPr="009C48DA" w:rsidR="00B23F18" w:rsidP="00B23F18" w:rsidRDefault="00B23F18" w14:paraId="4B55E5AA" w14:textId="34F2DE04">
            <w:pPr>
              <w:spacing w:after="240"/>
              <w:ind w:right="72"/>
              <w:textAlignment w:val="baseline"/>
              <w:rPr>
                <w:b/>
                <w:sz w:val="20"/>
                <w:szCs w:val="20"/>
                <w:lang w:val="en-GB"/>
              </w:rPr>
            </w:pPr>
            <w:r w:rsidRPr="009C48DA">
              <w:rPr>
                <w:b/>
                <w:sz w:val="20"/>
                <w:szCs w:val="20"/>
                <w:lang w:val="en-GB"/>
              </w:rPr>
              <w:lastRenderedPageBreak/>
              <w:t>IFR</w:t>
            </w:r>
          </w:p>
        </w:tc>
        <w:tc>
          <w:tcPr>
            <w:tcW w:w="6693" w:type="dxa"/>
          </w:tcPr>
          <w:p w:rsidRPr="009C48DA" w:rsidR="00B23F18" w:rsidP="00B23F18" w:rsidRDefault="00B23F18" w14:paraId="39588280" w14:textId="75B98B65">
            <w:pPr>
              <w:spacing w:after="240"/>
              <w:jc w:val="both"/>
              <w:textAlignment w:val="baseline"/>
              <w:rPr>
                <w:sz w:val="20"/>
                <w:szCs w:val="20"/>
                <w:lang w:val="en-GB"/>
              </w:rPr>
            </w:pPr>
            <w:r w:rsidRPr="009C48DA">
              <w:rPr>
                <w:sz w:val="20"/>
                <w:szCs w:val="20"/>
                <w:lang w:val="en-GB"/>
              </w:rPr>
              <w:t>means the Investment Firms Regulation 2020/2033;</w:t>
            </w:r>
          </w:p>
        </w:tc>
      </w:tr>
      <w:tr w:rsidRPr="009C48DA" w:rsidR="00B23F18" w:rsidTr="00FA0364" w14:paraId="7CA8083C" w14:textId="77777777">
        <w:tc>
          <w:tcPr>
            <w:tcW w:w="2511" w:type="dxa"/>
          </w:tcPr>
          <w:p w:rsidRPr="009C48DA" w:rsidR="00B23F18" w:rsidP="00B23F18" w:rsidRDefault="00B23F18" w14:paraId="2A03ED57" w14:textId="77777777">
            <w:pPr>
              <w:spacing w:after="240"/>
              <w:ind w:right="72"/>
              <w:textAlignment w:val="baseline"/>
              <w:rPr>
                <w:b/>
                <w:color w:val="000000"/>
                <w:sz w:val="20"/>
                <w:szCs w:val="20"/>
                <w:lang w:val="en-GB"/>
              </w:rPr>
            </w:pPr>
            <w:r w:rsidRPr="009C48DA">
              <w:rPr>
                <w:b/>
                <w:color w:val="000000"/>
                <w:sz w:val="20"/>
                <w:szCs w:val="20"/>
                <w:lang w:val="en-GB"/>
              </w:rPr>
              <w:t>IFRS</w:t>
            </w:r>
          </w:p>
        </w:tc>
        <w:tc>
          <w:tcPr>
            <w:tcW w:w="6693" w:type="dxa"/>
          </w:tcPr>
          <w:p w:rsidRPr="009C48DA" w:rsidR="00B23F18" w:rsidP="00B23F18" w:rsidRDefault="00B23F18" w14:paraId="73B4DDA5" w14:textId="6B4A1DB0">
            <w:pPr>
              <w:spacing w:after="240"/>
              <w:jc w:val="both"/>
              <w:textAlignment w:val="baseline"/>
              <w:rPr>
                <w:color w:val="000000"/>
                <w:sz w:val="20"/>
                <w:szCs w:val="20"/>
                <w:lang w:val="en-GB"/>
              </w:rPr>
            </w:pPr>
            <w:r w:rsidRPr="009C48DA">
              <w:rPr>
                <w:color w:val="000000"/>
                <w:sz w:val="20"/>
                <w:szCs w:val="20"/>
                <w:lang w:val="en-GB"/>
              </w:rPr>
              <w:t>means the international accounting standards in conformity with the requirements of the Companies Act 2006;</w:t>
            </w:r>
          </w:p>
        </w:tc>
      </w:tr>
      <w:tr w:rsidRPr="009C48DA" w:rsidR="00B23F18" w:rsidTr="00FA0364" w14:paraId="5E232356" w14:textId="77777777">
        <w:tc>
          <w:tcPr>
            <w:tcW w:w="2511" w:type="dxa"/>
          </w:tcPr>
          <w:p w:rsidRPr="009C48DA" w:rsidR="00B23F18" w:rsidP="00B23F18" w:rsidRDefault="00B23F18" w14:paraId="642A5B8F" w14:textId="7511BAC8">
            <w:pPr>
              <w:spacing w:after="240"/>
              <w:ind w:right="72"/>
              <w:textAlignment w:val="baseline"/>
              <w:rPr>
                <w:b/>
                <w:color w:val="000000"/>
                <w:sz w:val="20"/>
                <w:szCs w:val="20"/>
                <w:lang w:val="en-GB"/>
              </w:rPr>
            </w:pPr>
            <w:r w:rsidRPr="009C48DA">
              <w:rPr>
                <w:b/>
                <w:color w:val="000000"/>
                <w:sz w:val="20"/>
                <w:szCs w:val="20"/>
                <w:lang w:val="en-GB"/>
              </w:rPr>
              <w:t>Investment Company Act</w:t>
            </w:r>
          </w:p>
        </w:tc>
        <w:tc>
          <w:tcPr>
            <w:tcW w:w="6693" w:type="dxa"/>
          </w:tcPr>
          <w:p w:rsidRPr="009C48DA" w:rsidR="00B23F18" w:rsidP="00B23F18" w:rsidRDefault="00B23F18" w14:paraId="4807610E" w14:textId="7606D9D8">
            <w:pPr>
              <w:spacing w:after="240"/>
              <w:jc w:val="both"/>
              <w:textAlignment w:val="baseline"/>
              <w:rPr>
                <w:color w:val="000000"/>
                <w:sz w:val="20"/>
                <w:szCs w:val="20"/>
                <w:lang w:val="en-GB"/>
              </w:rPr>
            </w:pPr>
            <w:r w:rsidRPr="009C48DA">
              <w:rPr>
                <w:color w:val="000000"/>
                <w:sz w:val="20"/>
                <w:szCs w:val="20"/>
                <w:lang w:val="en-GB"/>
              </w:rPr>
              <w:t xml:space="preserve">means the United States Investment Company Act of 1940; </w:t>
            </w:r>
          </w:p>
        </w:tc>
      </w:tr>
      <w:tr w:rsidRPr="009C48DA" w:rsidR="00B23F18" w:rsidTr="00FA0364" w14:paraId="50DBDFE2" w14:textId="77777777">
        <w:tc>
          <w:tcPr>
            <w:tcW w:w="2511" w:type="dxa"/>
          </w:tcPr>
          <w:p w:rsidRPr="009C48DA" w:rsidR="00B23F18" w:rsidP="00B23F18" w:rsidRDefault="00B23F18" w14:paraId="6C3E7189" w14:textId="083A1801">
            <w:pPr>
              <w:spacing w:after="240"/>
              <w:ind w:right="72"/>
              <w:textAlignment w:val="baseline"/>
              <w:rPr>
                <w:b/>
                <w:color w:val="000000"/>
                <w:sz w:val="20"/>
                <w:szCs w:val="20"/>
                <w:lang w:val="en-GB"/>
              </w:rPr>
            </w:pPr>
            <w:r w:rsidRPr="009C48DA">
              <w:rPr>
                <w:b/>
                <w:color w:val="000000"/>
                <w:sz w:val="20"/>
                <w:szCs w:val="20"/>
                <w:lang w:val="en-GB"/>
              </w:rPr>
              <w:t>Investment Income</w:t>
            </w:r>
          </w:p>
        </w:tc>
        <w:tc>
          <w:tcPr>
            <w:tcW w:w="6693" w:type="dxa"/>
          </w:tcPr>
          <w:p w:rsidRPr="009C48DA" w:rsidR="00B23F18" w:rsidP="00B23F18" w:rsidRDefault="00B23F18" w14:paraId="3296738E" w14:textId="69469D31">
            <w:pPr>
              <w:spacing w:after="240"/>
              <w:jc w:val="both"/>
              <w:textAlignment w:val="baseline"/>
              <w:rPr>
                <w:color w:val="000000"/>
                <w:sz w:val="20"/>
                <w:szCs w:val="20"/>
                <w:lang w:val="en-GB"/>
              </w:rPr>
            </w:pPr>
            <w:r w:rsidRPr="009C48DA">
              <w:rPr>
                <w:sz w:val="20"/>
                <w:szCs w:val="20"/>
                <w:lang w:val="en-GB"/>
              </w:rPr>
              <w:t>has the meaning given in “</w:t>
            </w:r>
            <w:r w:rsidRPr="009C48DA">
              <w:rPr>
                <w:i/>
                <w:sz w:val="20"/>
                <w:szCs w:val="20"/>
                <w:lang w:val="en-GB"/>
              </w:rPr>
              <w:t>Financial Model—Carried Interest and Investment Income</w:t>
            </w:r>
            <w:r w:rsidRPr="009C48DA">
              <w:rPr>
                <w:sz w:val="20"/>
                <w:szCs w:val="20"/>
                <w:lang w:val="en-GB"/>
              </w:rPr>
              <w:t xml:space="preserve">” of </w:t>
            </w:r>
            <w:r w:rsidRPr="009C48DA">
              <w:rPr>
                <w:sz w:val="20"/>
                <w:szCs w:val="20"/>
                <w:lang w:val="en-GB"/>
              </w:rPr>
              <w:fldChar w:fldCharType="begin"/>
            </w:r>
            <w:r w:rsidRPr="009C48DA">
              <w:rPr>
                <w:sz w:val="20"/>
                <w:szCs w:val="20"/>
                <w:lang w:val="en-GB"/>
              </w:rPr>
              <w:instrText xml:space="preserve"> REF _Ref71144174 \n \h  \* MERGEFORMAT </w:instrText>
            </w:r>
            <w:r w:rsidRPr="009C48DA">
              <w:rPr>
                <w:sz w:val="20"/>
                <w:szCs w:val="20"/>
                <w:lang w:val="en-GB"/>
              </w:rPr>
            </w:r>
            <w:r w:rsidRPr="009C48DA">
              <w:rPr>
                <w:sz w:val="20"/>
                <w:szCs w:val="20"/>
                <w:lang w:val="en-GB"/>
              </w:rPr>
              <w:fldChar w:fldCharType="separate"/>
            </w:r>
            <w:r w:rsidR="007C3D19">
              <w:rPr>
                <w:sz w:val="20"/>
                <w:szCs w:val="20"/>
                <w:lang w:val="en-GB"/>
              </w:rPr>
              <w:t>Part IX</w:t>
            </w:r>
            <w:r w:rsidRPr="009C48DA">
              <w:rPr>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_Ref75191226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Operating and Financial Review</w:t>
            </w:r>
            <w:r w:rsidRPr="009C48DA">
              <w:rPr>
                <w:i/>
                <w:sz w:val="20"/>
                <w:szCs w:val="20"/>
                <w:lang w:val="en-GB"/>
              </w:rPr>
              <w:fldChar w:fldCharType="end"/>
            </w:r>
            <w:r w:rsidRPr="009C48DA">
              <w:rPr>
                <w:sz w:val="20"/>
                <w:szCs w:val="20"/>
                <w:lang w:val="en-GB"/>
              </w:rPr>
              <w:t>);</w:t>
            </w:r>
          </w:p>
        </w:tc>
      </w:tr>
      <w:tr w:rsidRPr="009C48DA" w:rsidR="00B23F18" w:rsidTr="00FA0364" w14:paraId="1EE502A7" w14:textId="77777777">
        <w:tc>
          <w:tcPr>
            <w:tcW w:w="2511" w:type="dxa"/>
          </w:tcPr>
          <w:p w:rsidRPr="009C48DA" w:rsidR="00B23F18" w:rsidP="00B23F18" w:rsidRDefault="00B23F18" w14:paraId="43ADC180" w14:textId="12C7DBD9">
            <w:pPr>
              <w:spacing w:after="240"/>
              <w:ind w:right="72"/>
              <w:textAlignment w:val="baseline"/>
              <w:rPr>
                <w:b/>
                <w:color w:val="000000"/>
                <w:sz w:val="20"/>
                <w:szCs w:val="20"/>
                <w:lang w:val="en-GB"/>
              </w:rPr>
            </w:pPr>
            <w:r w:rsidRPr="009C48DA">
              <w:rPr>
                <w:b/>
                <w:color w:val="000000"/>
                <w:sz w:val="20"/>
                <w:szCs w:val="20"/>
                <w:lang w:val="en-GB"/>
              </w:rPr>
              <w:t>IRR</w:t>
            </w:r>
          </w:p>
        </w:tc>
        <w:tc>
          <w:tcPr>
            <w:tcW w:w="6693" w:type="dxa"/>
          </w:tcPr>
          <w:p w:rsidRPr="009C48DA" w:rsidR="00B23F18" w:rsidP="00B23F18" w:rsidRDefault="00B23F18" w14:paraId="7BE51860" w14:textId="5AD0C1B5">
            <w:pPr>
              <w:spacing w:after="240"/>
              <w:jc w:val="both"/>
              <w:textAlignment w:val="baseline"/>
              <w:rPr>
                <w:color w:val="000000"/>
                <w:sz w:val="20"/>
                <w:szCs w:val="20"/>
                <w:lang w:val="en-GB"/>
              </w:rPr>
            </w:pPr>
            <w:r w:rsidRPr="009C48DA">
              <w:rPr>
                <w:color w:val="000000"/>
                <w:sz w:val="20"/>
                <w:szCs w:val="20"/>
                <w:lang w:val="en-GB"/>
              </w:rPr>
              <w:t>means internal rate of return;</w:t>
            </w:r>
          </w:p>
        </w:tc>
      </w:tr>
      <w:tr w:rsidRPr="009C48DA" w:rsidR="00B23F18" w:rsidTr="00FA0364" w14:paraId="70A9A962" w14:textId="77777777">
        <w:tc>
          <w:tcPr>
            <w:tcW w:w="2511" w:type="dxa"/>
          </w:tcPr>
          <w:p w:rsidRPr="009C48DA" w:rsidR="00B23F18" w:rsidP="00B23F18" w:rsidRDefault="00B23F18" w14:paraId="6FA74E4C" w14:textId="69CA28A6">
            <w:pPr>
              <w:spacing w:after="240"/>
              <w:ind w:right="72"/>
              <w:textAlignment w:val="baseline"/>
              <w:rPr>
                <w:b/>
                <w:color w:val="000000"/>
                <w:sz w:val="20"/>
                <w:szCs w:val="20"/>
                <w:lang w:val="en-GB"/>
              </w:rPr>
            </w:pPr>
            <w:r w:rsidRPr="009C48DA">
              <w:rPr>
                <w:b/>
                <w:sz w:val="20"/>
                <w:szCs w:val="20"/>
                <w:lang w:val="en-GB"/>
              </w:rPr>
              <w:t>KPI</w:t>
            </w:r>
          </w:p>
        </w:tc>
        <w:tc>
          <w:tcPr>
            <w:tcW w:w="6693" w:type="dxa"/>
          </w:tcPr>
          <w:p w:rsidRPr="009C48DA" w:rsidR="00B23F18" w:rsidP="00B23F18" w:rsidRDefault="00B23F18" w14:paraId="0073AC67" w14:textId="0B8650E8">
            <w:pPr>
              <w:spacing w:after="240"/>
              <w:jc w:val="both"/>
              <w:textAlignment w:val="baseline"/>
              <w:rPr>
                <w:color w:val="000000"/>
                <w:sz w:val="20"/>
                <w:szCs w:val="20"/>
                <w:lang w:val="en-GB"/>
              </w:rPr>
            </w:pPr>
            <w:r w:rsidRPr="009C48DA">
              <w:rPr>
                <w:rFonts w:eastAsia="Microsoft JhengHei"/>
                <w:color w:val="000000"/>
                <w:sz w:val="20"/>
                <w:szCs w:val="20"/>
                <w:lang w:val="en-GB"/>
              </w:rPr>
              <w:t>means key performance indicators;</w:t>
            </w:r>
          </w:p>
        </w:tc>
      </w:tr>
      <w:tr w:rsidRPr="009C48DA" w:rsidR="00B23F18" w:rsidTr="00FA0364" w14:paraId="29F7CAE0" w14:textId="77777777">
        <w:tc>
          <w:tcPr>
            <w:tcW w:w="2511" w:type="dxa"/>
          </w:tcPr>
          <w:p w:rsidRPr="009C48DA" w:rsidR="00B23F18" w:rsidP="00B23F18" w:rsidRDefault="00B23F18" w14:paraId="5550EB65" w14:textId="77777777">
            <w:pPr>
              <w:spacing w:after="240"/>
              <w:ind w:right="72"/>
              <w:textAlignment w:val="baseline"/>
              <w:rPr>
                <w:b/>
                <w:color w:val="000000"/>
                <w:sz w:val="20"/>
                <w:szCs w:val="20"/>
                <w:lang w:val="en-GB"/>
              </w:rPr>
            </w:pPr>
            <w:r w:rsidRPr="009C48DA">
              <w:rPr>
                <w:b/>
                <w:color w:val="000000"/>
                <w:sz w:val="20"/>
                <w:szCs w:val="20"/>
                <w:lang w:val="en-GB"/>
              </w:rPr>
              <w:t>LEI</w:t>
            </w:r>
          </w:p>
        </w:tc>
        <w:tc>
          <w:tcPr>
            <w:tcW w:w="6693" w:type="dxa"/>
          </w:tcPr>
          <w:p w:rsidRPr="009C48DA" w:rsidR="00B23F18" w:rsidP="00B23F18" w:rsidRDefault="00B23F18" w14:paraId="1C635670" w14:textId="77777777">
            <w:pPr>
              <w:spacing w:after="240"/>
              <w:jc w:val="both"/>
              <w:textAlignment w:val="baseline"/>
              <w:rPr>
                <w:color w:val="000000"/>
                <w:sz w:val="20"/>
                <w:szCs w:val="20"/>
                <w:lang w:val="en-GB"/>
              </w:rPr>
            </w:pPr>
            <w:r w:rsidRPr="009C48DA">
              <w:rPr>
                <w:color w:val="000000"/>
                <w:sz w:val="20"/>
                <w:szCs w:val="20"/>
                <w:lang w:val="en-GB"/>
              </w:rPr>
              <w:t>means a Legal Entity Identifier;</w:t>
            </w:r>
          </w:p>
        </w:tc>
      </w:tr>
      <w:tr w:rsidRPr="009C48DA" w:rsidR="00B23F18" w:rsidTr="00FA0364" w14:paraId="69A27ED5" w14:textId="77777777">
        <w:tc>
          <w:tcPr>
            <w:tcW w:w="2511" w:type="dxa"/>
          </w:tcPr>
          <w:p w:rsidRPr="009C48DA" w:rsidR="00B23F18" w:rsidP="00B23F18" w:rsidRDefault="00B23F18" w14:paraId="4145B994" w14:textId="377B693B">
            <w:pPr>
              <w:spacing w:after="240"/>
              <w:ind w:right="72"/>
              <w:textAlignment w:val="baseline"/>
              <w:rPr>
                <w:b/>
                <w:color w:val="000000"/>
                <w:sz w:val="20"/>
                <w:szCs w:val="20"/>
                <w:lang w:val="en-GB"/>
              </w:rPr>
            </w:pPr>
            <w:r w:rsidRPr="009C48DA">
              <w:rPr>
                <w:b/>
                <w:color w:val="000000"/>
                <w:sz w:val="20"/>
                <w:szCs w:val="20"/>
                <w:lang w:val="en-GB"/>
              </w:rPr>
              <w:t>LIBOR</w:t>
            </w:r>
          </w:p>
        </w:tc>
        <w:tc>
          <w:tcPr>
            <w:tcW w:w="6693" w:type="dxa"/>
          </w:tcPr>
          <w:p w:rsidRPr="009C48DA" w:rsidR="00B23F18" w:rsidP="00B23F18" w:rsidRDefault="00B23F18" w14:paraId="2AED38A3" w14:textId="127FE82A">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Financial Risks</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_Ref71136204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_Ref75190583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Risk Factors</w:t>
            </w:r>
            <w:r w:rsidRPr="009C48DA">
              <w:rPr>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40795B19" w14:textId="77777777">
        <w:tc>
          <w:tcPr>
            <w:tcW w:w="2511" w:type="dxa"/>
          </w:tcPr>
          <w:p w:rsidRPr="009C48DA" w:rsidR="00B23F18" w:rsidP="00B23F18" w:rsidRDefault="00B23F18" w14:paraId="3DCB1C45" w14:textId="0EC816CC">
            <w:pPr>
              <w:spacing w:after="240"/>
              <w:ind w:right="72"/>
              <w:textAlignment w:val="baseline"/>
              <w:rPr>
                <w:b/>
                <w:color w:val="000000"/>
                <w:sz w:val="20"/>
                <w:szCs w:val="20"/>
                <w:lang w:val="en-GB"/>
              </w:rPr>
            </w:pPr>
            <w:r w:rsidRPr="009C48DA">
              <w:rPr>
                <w:b/>
                <w:sz w:val="20"/>
                <w:szCs w:val="20"/>
                <w:lang w:val="en-GB"/>
              </w:rPr>
              <w:t>Listing Rules</w:t>
            </w:r>
          </w:p>
        </w:tc>
        <w:tc>
          <w:tcPr>
            <w:tcW w:w="6693" w:type="dxa"/>
          </w:tcPr>
          <w:p w:rsidRPr="009C48DA" w:rsidR="00B23F18" w:rsidP="00B23F18" w:rsidRDefault="00B23F18" w14:paraId="340860E1" w14:textId="2D1F4D67">
            <w:pPr>
              <w:spacing w:after="240"/>
              <w:jc w:val="both"/>
              <w:textAlignment w:val="baseline"/>
              <w:rPr>
                <w:color w:val="000000"/>
                <w:sz w:val="20"/>
                <w:szCs w:val="20"/>
                <w:lang w:val="en-GB"/>
              </w:rPr>
            </w:pPr>
            <w:r w:rsidRPr="009C48DA">
              <w:rPr>
                <w:sz w:val="20"/>
                <w:szCs w:val="20"/>
                <w:lang w:val="en-GB"/>
              </w:rPr>
              <w:t>means the listing rules made by the FCA under Part VI of FSMA (as set out in the FCA Handbook);</w:t>
            </w:r>
          </w:p>
        </w:tc>
      </w:tr>
      <w:tr w:rsidRPr="009C48DA" w:rsidR="00B23F18" w:rsidTr="00FA0364" w14:paraId="6228D848" w14:textId="77777777">
        <w:tc>
          <w:tcPr>
            <w:tcW w:w="2511" w:type="dxa"/>
          </w:tcPr>
          <w:p w:rsidRPr="009C48DA" w:rsidR="00B23F18" w:rsidP="00B23F18" w:rsidRDefault="00B23F18" w14:paraId="316A6B95" w14:textId="4608A7E6">
            <w:pPr>
              <w:spacing w:after="240"/>
              <w:ind w:right="72"/>
              <w:textAlignment w:val="baseline"/>
              <w:rPr>
                <w:b/>
                <w:color w:val="000000"/>
                <w:sz w:val="20"/>
                <w:szCs w:val="20"/>
                <w:lang w:val="en-GB"/>
              </w:rPr>
            </w:pPr>
            <w:r w:rsidRPr="009C48DA">
              <w:rPr>
                <w:b/>
                <w:color w:val="000000"/>
                <w:sz w:val="20"/>
                <w:szCs w:val="20"/>
                <w:lang w:val="en-GB"/>
              </w:rPr>
              <w:t xml:space="preserve">NatWest Group </w:t>
            </w:r>
          </w:p>
        </w:tc>
        <w:tc>
          <w:tcPr>
            <w:tcW w:w="6693" w:type="dxa"/>
          </w:tcPr>
          <w:p w:rsidRPr="009C48DA" w:rsidR="00B23F18" w:rsidP="00B23F18" w:rsidRDefault="00B23F18" w14:paraId="5AAE0CAB" w14:textId="551DEEFB">
            <w:pPr>
              <w:spacing w:after="240"/>
              <w:jc w:val="both"/>
              <w:textAlignment w:val="baseline"/>
              <w:rPr>
                <w:color w:val="000000"/>
                <w:sz w:val="20"/>
                <w:szCs w:val="20"/>
                <w:lang w:val="en-GB"/>
              </w:rPr>
            </w:pPr>
            <w:r w:rsidRPr="009C48DA">
              <w:rPr>
                <w:sz w:val="20"/>
                <w:szCs w:val="20"/>
                <w:lang w:val="en-GB"/>
              </w:rPr>
              <w:t>means NatWest Group plc;</w:t>
            </w:r>
          </w:p>
        </w:tc>
      </w:tr>
      <w:tr w:rsidRPr="009C48DA" w:rsidR="00B23F18" w:rsidTr="00FA0364" w14:paraId="47848962" w14:textId="77777777">
        <w:tc>
          <w:tcPr>
            <w:tcW w:w="2511" w:type="dxa"/>
          </w:tcPr>
          <w:p w:rsidRPr="009C48DA" w:rsidR="00B23F18" w:rsidP="00B23F18" w:rsidRDefault="00B23F18" w14:paraId="6A3800A4" w14:textId="3280DB24">
            <w:pPr>
              <w:spacing w:after="240"/>
              <w:ind w:right="72"/>
              <w:textAlignment w:val="baseline"/>
              <w:rPr>
                <w:b/>
                <w:color w:val="000000"/>
                <w:sz w:val="20"/>
                <w:szCs w:val="20"/>
                <w:lang w:val="en-GB"/>
              </w:rPr>
            </w:pPr>
            <w:r w:rsidRPr="009C48DA">
              <w:rPr>
                <w:b/>
                <w:color w:val="000000"/>
                <w:sz w:val="20"/>
                <w:szCs w:val="20"/>
                <w:lang w:val="en-GB"/>
              </w:rPr>
              <w:t xml:space="preserve">Net Invested Capital </w:t>
            </w:r>
          </w:p>
        </w:tc>
        <w:tc>
          <w:tcPr>
            <w:tcW w:w="6693" w:type="dxa"/>
          </w:tcPr>
          <w:p w:rsidRPr="009C48DA" w:rsidR="00B23F18" w:rsidP="00B23F18" w:rsidRDefault="00B23F18" w14:paraId="017D85D9" w14:textId="56DFDD97">
            <w:pPr>
              <w:spacing w:after="240"/>
              <w:jc w:val="both"/>
              <w:textAlignment w:val="baseline"/>
              <w:rPr>
                <w:sz w:val="20"/>
                <w:szCs w:val="20"/>
                <w:lang w:val="en-GB"/>
              </w:rPr>
            </w:pPr>
            <w:r w:rsidRPr="009C48DA">
              <w:rPr>
                <w:sz w:val="20"/>
                <w:szCs w:val="20"/>
                <w:lang w:val="en-GB"/>
              </w:rPr>
              <w:t>has the meaning given in “</w:t>
            </w:r>
            <w:r w:rsidRPr="009C48DA">
              <w:rPr>
                <w:i/>
                <w:sz w:val="20"/>
                <w:szCs w:val="20"/>
                <w:lang w:val="en-GB"/>
              </w:rPr>
              <w:t>Financial Model—Introduction to the private investment funds financial model and fund life cycle and the financial model of the Group—Post-commitment period</w:t>
            </w:r>
            <w:r w:rsidRPr="009C48DA">
              <w:rPr>
                <w:sz w:val="20"/>
                <w:szCs w:val="20"/>
                <w:lang w:val="en-GB"/>
              </w:rPr>
              <w:t xml:space="preserve">” of </w:t>
            </w:r>
            <w:r w:rsidRPr="009C48DA">
              <w:rPr>
                <w:sz w:val="20"/>
                <w:szCs w:val="20"/>
                <w:lang w:val="en-GB"/>
              </w:rPr>
              <w:fldChar w:fldCharType="begin"/>
            </w:r>
            <w:r w:rsidRPr="009C48DA">
              <w:rPr>
                <w:sz w:val="20"/>
                <w:szCs w:val="20"/>
                <w:lang w:val="en-GB"/>
              </w:rPr>
              <w:instrText xml:space="preserve"> REF _Ref74476534 \n \h  \* MERGEFORMAT </w:instrText>
            </w:r>
            <w:r w:rsidRPr="009C48DA">
              <w:rPr>
                <w:sz w:val="20"/>
                <w:szCs w:val="20"/>
                <w:lang w:val="en-GB"/>
              </w:rPr>
            </w:r>
            <w:r w:rsidRPr="009C48DA">
              <w:rPr>
                <w:sz w:val="20"/>
                <w:szCs w:val="20"/>
                <w:lang w:val="en-GB"/>
              </w:rPr>
              <w:fldChar w:fldCharType="separate"/>
            </w:r>
            <w:r w:rsidR="007C3D19">
              <w:rPr>
                <w:sz w:val="20"/>
                <w:szCs w:val="20"/>
                <w:lang w:val="en-GB"/>
              </w:rPr>
              <w:t>Part IX</w:t>
            </w:r>
            <w:r w:rsidRPr="009C48DA">
              <w:rPr>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_Ref75191226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Operating and Financial Review</w:t>
            </w:r>
            <w:r w:rsidRPr="009C48DA">
              <w:rPr>
                <w:i/>
                <w:sz w:val="20"/>
                <w:szCs w:val="20"/>
                <w:lang w:val="en-GB"/>
              </w:rPr>
              <w:fldChar w:fldCharType="end"/>
            </w:r>
            <w:r w:rsidRPr="009C48DA">
              <w:rPr>
                <w:sz w:val="20"/>
                <w:szCs w:val="20"/>
                <w:lang w:val="en-GB"/>
              </w:rPr>
              <w:t>);</w:t>
            </w:r>
          </w:p>
        </w:tc>
      </w:tr>
      <w:tr w:rsidRPr="009C48DA" w:rsidR="00B23F18" w:rsidTr="00FA0364" w14:paraId="798C8BA2" w14:textId="77777777">
        <w:tc>
          <w:tcPr>
            <w:tcW w:w="2511" w:type="dxa"/>
          </w:tcPr>
          <w:p w:rsidRPr="009C48DA" w:rsidR="00B23F18" w:rsidP="00B23F18" w:rsidRDefault="00B23F18" w14:paraId="222EB218" w14:textId="77777777">
            <w:pPr>
              <w:spacing w:after="240"/>
              <w:ind w:right="72"/>
              <w:textAlignment w:val="baseline"/>
              <w:rPr>
                <w:b/>
                <w:color w:val="000000"/>
                <w:sz w:val="20"/>
                <w:szCs w:val="20"/>
                <w:lang w:val="en-GB"/>
              </w:rPr>
            </w:pPr>
            <w:r w:rsidRPr="009C48DA">
              <w:rPr>
                <w:b/>
                <w:color w:val="000000"/>
                <w:sz w:val="20"/>
                <w:szCs w:val="20"/>
                <w:lang w:val="en-GB"/>
              </w:rPr>
              <w:t>Non-Executive Directors</w:t>
            </w:r>
          </w:p>
        </w:tc>
        <w:tc>
          <w:tcPr>
            <w:tcW w:w="6693" w:type="dxa"/>
          </w:tcPr>
          <w:p w:rsidRPr="009C48DA" w:rsidR="00B23F18" w:rsidP="004C2810" w:rsidRDefault="00B23F18" w14:paraId="7472F777" w14:textId="6A478D80">
            <w:pPr>
              <w:spacing w:after="240"/>
              <w:jc w:val="both"/>
              <w:textAlignment w:val="baseline"/>
              <w:rPr>
                <w:sz w:val="20"/>
                <w:szCs w:val="20"/>
                <w:lang w:val="en-GB"/>
              </w:rPr>
            </w:pPr>
            <w:r w:rsidRPr="009C48DA">
              <w:rPr>
                <w:sz w:val="20"/>
                <w:szCs w:val="20"/>
                <w:lang w:val="en-GB"/>
              </w:rPr>
              <w:t xml:space="preserve">means the non-executive Directors of the Company as of the date of this Registration Document, whose details are set out in </w:t>
            </w:r>
            <w:r w:rsidR="004C2810">
              <w:rPr>
                <w:sz w:val="20"/>
                <w:szCs w:val="20"/>
                <w:lang w:val="en-GB"/>
              </w:rPr>
              <w:t>“</w:t>
            </w:r>
            <w:r w:rsidRPr="009C48DA">
              <w:rPr>
                <w:i/>
                <w:color w:val="000000"/>
                <w:sz w:val="20"/>
                <w:szCs w:val="20"/>
                <w:lang w:val="en-GB"/>
              </w:rPr>
            </w:r>
            <w:r w:rsidRPr="007C3D19" w:rsidR="007C3D19">
              <w:rPr>
                <w:i/>
                <w:sz w:val="20"/>
                <w:szCs w:val="20"/>
                <w:lang w:val="en-GB"/>
              </w:rPr>
              <w:t>Directors</w:t>
            </w:r>
            <w:r w:rsidR="004C2810">
              <w:rPr>
                <w:sz w:val="20"/>
                <w:szCs w:val="20"/>
                <w:lang w:val="en-GB"/>
              </w:rPr>
              <w:t>”</w:t>
            </w:r>
            <w:r w:rsidRPr="009C48DA">
              <w:rPr>
                <w:sz w:val="20"/>
                <w:szCs w:val="20"/>
                <w:lang w:val="en-GB"/>
              </w:rPr>
              <w:t xml:space="preserve"> of </w:t>
            </w:r>
            <w:r w:rsidRPr="009C48DA">
              <w:rPr>
                <w:sz w:val="20"/>
                <w:szCs w:val="20"/>
                <w:lang w:val="en-GB"/>
              </w:rPr>
              <w:fldChar w:fldCharType="begin"/>
            </w:r>
            <w:r w:rsidRPr="009C48DA">
              <w:rPr>
                <w:sz w:val="20"/>
                <w:szCs w:val="20"/>
                <w:lang w:val="en-GB"/>
              </w:rPr>
              <w:instrText xml:space="preserve"> REF _Ref71146420 \n \h  \* MERGEFORMAT </w:instrText>
            </w:r>
            <w:r w:rsidRPr="009C48DA">
              <w:rPr>
                <w:sz w:val="20"/>
                <w:szCs w:val="20"/>
                <w:lang w:val="en-GB"/>
              </w:rPr>
            </w:r>
            <w:r w:rsidRPr="009C48DA">
              <w:rPr>
                <w:sz w:val="20"/>
                <w:szCs w:val="20"/>
                <w:lang w:val="en-GB"/>
              </w:rPr>
              <w:fldChar w:fldCharType="separate"/>
            </w:r>
            <w:r w:rsidR="007C3D19">
              <w:rPr>
                <w:sz w:val="20"/>
                <w:szCs w:val="20"/>
                <w:lang w:val="en-GB"/>
              </w:rPr>
              <w:t>Part VII</w:t>
            </w:r>
            <w:r w:rsidRPr="009C48DA">
              <w:rPr>
                <w:sz w:val="20"/>
                <w:szCs w:val="20"/>
                <w:lang w:val="en-GB"/>
              </w:rPr>
              <w:fldChar w:fldCharType="end"/>
            </w:r>
            <w:r w:rsidRPr="009C48DA">
              <w:rPr>
                <w:sz w:val="20"/>
                <w:szCs w:val="20"/>
                <w:lang w:val="en-GB"/>
              </w:rPr>
              <w:t xml:space="preserve"> (</w:t>
            </w:r>
            <w:r w:rsidRPr="009C48DA">
              <w:rPr>
                <w:i/>
                <w:color w:val="000000"/>
                <w:sz w:val="20"/>
                <w:szCs w:val="20"/>
                <w:lang w:val="en-GB"/>
              </w:rPr>
            </w:r>
            <w:r w:rsidRPr="007C3D19" w:rsidR="007C3D19">
              <w:rPr>
                <w:i/>
                <w:sz w:val="20"/>
                <w:lang w:val="en-GB"/>
              </w:rPr>
              <w:t>Directors, Senior Management, Employees And Corporate Governance</w:t>
            </w:r>
            <w:r w:rsidRPr="009C48DA">
              <w:rPr>
                <w:sz w:val="20"/>
                <w:szCs w:val="20"/>
                <w:lang w:val="en-GB"/>
              </w:rPr>
              <w:t>) and “</w:t>
            </w:r>
            <w:r w:rsidRPr="009C48DA">
              <w:rPr>
                <w:b/>
                <w:sz w:val="20"/>
                <w:szCs w:val="20"/>
                <w:lang w:val="en-GB"/>
              </w:rPr>
              <w:t>Non-Executive Director</w:t>
            </w:r>
            <w:r w:rsidRPr="009C48DA">
              <w:rPr>
                <w:sz w:val="20"/>
                <w:szCs w:val="20"/>
                <w:lang w:val="en-GB"/>
              </w:rPr>
              <w:t>” means any one of them;</w:t>
            </w:r>
          </w:p>
        </w:tc>
      </w:tr>
      <w:tr w:rsidRPr="009C48DA" w:rsidR="00B23F18" w:rsidTr="00FA0364" w14:paraId="2F7A729D" w14:textId="77777777">
        <w:tc>
          <w:tcPr>
            <w:tcW w:w="2511" w:type="dxa"/>
          </w:tcPr>
          <w:p w:rsidRPr="009C48DA" w:rsidR="00B23F18" w:rsidP="00B23F18" w:rsidRDefault="00B23F18" w14:paraId="408222A7" w14:textId="22E7A45A">
            <w:pPr>
              <w:spacing w:after="240"/>
              <w:ind w:right="72"/>
              <w:textAlignment w:val="baseline"/>
              <w:rPr>
                <w:b/>
                <w:color w:val="000000"/>
                <w:sz w:val="20"/>
                <w:szCs w:val="20"/>
                <w:lang w:val="en-GB"/>
              </w:rPr>
            </w:pPr>
            <w:r w:rsidRPr="009C48DA">
              <w:rPr>
                <w:b/>
                <w:color w:val="000000"/>
                <w:sz w:val="20"/>
                <w:szCs w:val="20"/>
                <w:lang w:val="en-GB"/>
              </w:rPr>
              <w:t>NPPRs</w:t>
            </w:r>
          </w:p>
        </w:tc>
        <w:tc>
          <w:tcPr>
            <w:tcW w:w="6693" w:type="dxa"/>
          </w:tcPr>
          <w:p w:rsidRPr="009C48DA" w:rsidR="00B23F18" w:rsidP="00B23F18" w:rsidRDefault="00B23F18" w14:paraId="5B7841A0" w14:textId="2B98CE10">
            <w:pPr>
              <w:spacing w:after="240"/>
              <w:jc w:val="both"/>
              <w:textAlignment w:val="baseline"/>
              <w:rPr>
                <w:sz w:val="20"/>
                <w:szCs w:val="20"/>
                <w:lang w:val="en-GB"/>
              </w:rPr>
            </w:pPr>
            <w:r w:rsidRPr="009C48DA">
              <w:rPr>
                <w:color w:val="000000"/>
                <w:sz w:val="20"/>
                <w:szCs w:val="20"/>
                <w:lang w:val="en-GB"/>
              </w:rPr>
              <w:t>means national private placement regimes;</w:t>
            </w:r>
          </w:p>
        </w:tc>
      </w:tr>
      <w:tr w:rsidRPr="009C48DA" w:rsidR="00B23F18" w:rsidTr="00FA0364" w14:paraId="3D97E8EE" w14:textId="77777777">
        <w:tc>
          <w:tcPr>
            <w:tcW w:w="2511" w:type="dxa"/>
          </w:tcPr>
          <w:p w:rsidRPr="009C48DA" w:rsidR="00B23F18" w:rsidP="00B23F18" w:rsidRDefault="00B23F18" w14:paraId="2949E31A" w14:textId="28357195">
            <w:pPr>
              <w:spacing w:after="240"/>
              <w:ind w:right="72"/>
              <w:textAlignment w:val="baseline"/>
              <w:rPr>
                <w:b/>
                <w:color w:val="000000"/>
                <w:sz w:val="20"/>
                <w:szCs w:val="20"/>
                <w:lang w:val="en-GB"/>
              </w:rPr>
            </w:pPr>
            <w:r w:rsidRPr="009C48DA">
              <w:rPr>
                <w:b/>
                <w:color w:val="000000"/>
                <w:sz w:val="20"/>
                <w:szCs w:val="20"/>
                <w:lang w:val="en-GB"/>
              </w:rPr>
              <w:t>PFIC</w:t>
            </w:r>
          </w:p>
        </w:tc>
        <w:tc>
          <w:tcPr>
            <w:tcW w:w="6693" w:type="dxa"/>
          </w:tcPr>
          <w:p w:rsidRPr="009C48DA" w:rsidR="00B23F18" w:rsidP="00B23F18" w:rsidRDefault="00B23F18" w14:paraId="129A1EAF" w14:textId="17E97E8F">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Tax Risks</w:t>
            </w:r>
            <w:r w:rsidRPr="009C48DA">
              <w:rPr>
                <w:color w:val="000000"/>
                <w:sz w:val="20"/>
                <w:szCs w:val="20"/>
                <w:lang w:val="en-GB"/>
              </w:rPr>
              <w:t xml:space="preserve">” in </w:t>
            </w:r>
            <w:r w:rsidRPr="009C48DA">
              <w:rPr>
                <w:color w:val="000000"/>
                <w:sz w:val="20"/>
                <w:szCs w:val="20"/>
                <w:lang w:val="en-GB"/>
              </w:rPr>
              <w:fldChar w:fldCharType="begin"/>
            </w:r>
            <w:r w:rsidRPr="009C48DA">
              <w:rPr>
                <w:color w:val="000000"/>
                <w:sz w:val="20"/>
                <w:szCs w:val="20"/>
                <w:lang w:val="en-GB"/>
              </w:rPr>
              <w:instrText xml:space="preserve"> REF _Ref71136204 \r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_Ref75190583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Risk Factors</w:t>
            </w:r>
            <w:r w:rsidRPr="009C48DA">
              <w:rPr>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11405FDA" w14:textId="77777777">
        <w:tc>
          <w:tcPr>
            <w:tcW w:w="2511" w:type="dxa"/>
          </w:tcPr>
          <w:p w:rsidRPr="009C48DA" w:rsidR="00B23F18" w:rsidP="00B23F18" w:rsidRDefault="00B23F18" w14:paraId="06AF62C4" w14:textId="77777777">
            <w:pPr>
              <w:spacing w:after="240"/>
              <w:ind w:right="72"/>
              <w:textAlignment w:val="baseline"/>
              <w:rPr>
                <w:b/>
                <w:color w:val="000000"/>
                <w:sz w:val="20"/>
                <w:szCs w:val="20"/>
                <w:lang w:val="en-GB"/>
              </w:rPr>
            </w:pPr>
            <w:r w:rsidRPr="009C48DA">
              <w:rPr>
                <w:b/>
                <w:color w:val="000000"/>
                <w:sz w:val="20"/>
                <w:szCs w:val="20"/>
                <w:lang w:val="en-GB"/>
              </w:rPr>
              <w:t>PR Regulation</w:t>
            </w:r>
          </w:p>
        </w:tc>
        <w:tc>
          <w:tcPr>
            <w:tcW w:w="6693" w:type="dxa"/>
          </w:tcPr>
          <w:p w:rsidRPr="009C48DA" w:rsidR="00B23F18" w:rsidP="00B23F18" w:rsidRDefault="00B23F18" w14:paraId="116CAD48" w14:textId="77777777">
            <w:pPr>
              <w:spacing w:after="240"/>
              <w:jc w:val="both"/>
              <w:textAlignment w:val="baseline"/>
              <w:rPr>
                <w:color w:val="000000"/>
                <w:sz w:val="20"/>
                <w:szCs w:val="20"/>
                <w:lang w:val="en-GB"/>
              </w:rPr>
            </w:pPr>
            <w:r w:rsidRPr="009C48DA">
              <w:rPr>
                <w:color w:val="000000"/>
                <w:sz w:val="20"/>
                <w:szCs w:val="20"/>
                <w:lang w:val="en-GB"/>
              </w:rPr>
              <w:t>means the Commission Delegated Regulation (EU) 2019/980 supplementing the Prospectus Regulation as regards the format, content, scrutiny and approval of the prospectus to be published when securities are offered to the public or admitted to trading on a regulated market, and repealing Commission Regulation (EC) No 809/2004 as it forms part of retained EU law as defined by EUWA;</w:t>
            </w:r>
          </w:p>
        </w:tc>
      </w:tr>
      <w:tr w:rsidRPr="009C48DA" w:rsidR="00B23F18" w:rsidTr="00FA0364" w14:paraId="6175028D" w14:textId="77777777">
        <w:tc>
          <w:tcPr>
            <w:tcW w:w="2511" w:type="dxa"/>
          </w:tcPr>
          <w:p w:rsidRPr="009C48DA" w:rsidR="00B23F18" w:rsidP="00B23F18" w:rsidRDefault="00B23F18" w14:paraId="1FD5CC5A" w14:textId="77777777">
            <w:pPr>
              <w:spacing w:after="240"/>
              <w:ind w:right="72"/>
              <w:textAlignment w:val="baseline"/>
              <w:rPr>
                <w:b/>
                <w:color w:val="000000"/>
                <w:sz w:val="20"/>
                <w:szCs w:val="20"/>
                <w:lang w:val="en-GB"/>
              </w:rPr>
            </w:pPr>
            <w:r w:rsidRPr="009C48DA">
              <w:rPr>
                <w:b/>
                <w:color w:val="000000"/>
                <w:sz w:val="20"/>
                <w:szCs w:val="20"/>
                <w:lang w:val="en-GB"/>
              </w:rPr>
              <w:t>Prospectus Regulation Rules</w:t>
            </w:r>
          </w:p>
        </w:tc>
        <w:tc>
          <w:tcPr>
            <w:tcW w:w="6693" w:type="dxa"/>
          </w:tcPr>
          <w:p w:rsidRPr="009C48DA" w:rsidR="00B23F18" w:rsidP="00B23F18" w:rsidRDefault="00B23F18" w14:paraId="680D4DF8" w14:textId="360614F3">
            <w:pPr>
              <w:spacing w:after="240"/>
              <w:jc w:val="both"/>
              <w:textAlignment w:val="baseline"/>
              <w:rPr>
                <w:color w:val="000000"/>
                <w:sz w:val="20"/>
                <w:szCs w:val="20"/>
                <w:lang w:val="en-GB"/>
              </w:rPr>
            </w:pPr>
            <w:r w:rsidRPr="009C48DA">
              <w:rPr>
                <w:color w:val="000000"/>
                <w:sz w:val="20"/>
                <w:szCs w:val="20"/>
                <w:lang w:val="en-GB"/>
              </w:rPr>
              <w:t>means the prospectus regulation rules made by the FCA under section 73A of FSMA (as set out in the FCA Handbook);</w:t>
            </w:r>
          </w:p>
        </w:tc>
      </w:tr>
      <w:tr w:rsidRPr="009C48DA" w:rsidR="00B23F18" w:rsidTr="00FA0364" w14:paraId="4769637A" w14:textId="77777777">
        <w:tc>
          <w:tcPr>
            <w:tcW w:w="2511" w:type="dxa"/>
          </w:tcPr>
          <w:p w:rsidRPr="009C48DA" w:rsidR="00B23F18" w:rsidP="00B23F18" w:rsidRDefault="00B23F18" w14:paraId="60EFC4CC" w14:textId="77777777">
            <w:pPr>
              <w:spacing w:after="240"/>
              <w:ind w:right="72"/>
              <w:textAlignment w:val="baseline"/>
              <w:rPr>
                <w:b/>
                <w:color w:val="000000"/>
                <w:sz w:val="20"/>
                <w:szCs w:val="20"/>
                <w:lang w:val="en-GB"/>
              </w:rPr>
            </w:pPr>
            <w:r w:rsidRPr="009C48DA">
              <w:rPr>
                <w:b/>
                <w:color w:val="000000"/>
                <w:sz w:val="20"/>
                <w:szCs w:val="20"/>
                <w:lang w:val="en-GB"/>
              </w:rPr>
              <w:t>Registration Document</w:t>
            </w:r>
          </w:p>
        </w:tc>
        <w:tc>
          <w:tcPr>
            <w:tcW w:w="6693" w:type="dxa"/>
          </w:tcPr>
          <w:p w:rsidRPr="009C48DA" w:rsidR="00B23F18" w:rsidP="00B23F18" w:rsidRDefault="00B23F18" w14:paraId="695D9D53" w14:textId="77777777">
            <w:pPr>
              <w:spacing w:after="240"/>
              <w:jc w:val="both"/>
              <w:textAlignment w:val="baseline"/>
              <w:rPr>
                <w:color w:val="000000"/>
                <w:sz w:val="20"/>
                <w:szCs w:val="20"/>
                <w:lang w:val="en-GB"/>
              </w:rPr>
            </w:pPr>
            <w:r w:rsidRPr="009C48DA">
              <w:rPr>
                <w:color w:val="000000"/>
                <w:sz w:val="20"/>
                <w:szCs w:val="20"/>
                <w:lang w:val="en-GB"/>
              </w:rPr>
              <w:t>means this registration document;</w:t>
            </w:r>
          </w:p>
        </w:tc>
      </w:tr>
      <w:tr w:rsidRPr="009C48DA" w:rsidR="00B23F18" w:rsidTr="00FA0364" w14:paraId="55FF53D1" w14:textId="77777777">
        <w:tc>
          <w:tcPr>
            <w:tcW w:w="2511" w:type="dxa"/>
          </w:tcPr>
          <w:p w:rsidRPr="009C48DA" w:rsidR="00B23F18" w:rsidP="00B23F18" w:rsidRDefault="00B23F18" w14:paraId="40CBAEC5" w14:textId="69509E54">
            <w:pPr>
              <w:spacing w:after="240"/>
              <w:ind w:right="72"/>
              <w:textAlignment w:val="baseline"/>
              <w:rPr>
                <w:b/>
                <w:color w:val="000000"/>
                <w:sz w:val="20"/>
                <w:szCs w:val="20"/>
                <w:lang w:val="en-GB"/>
              </w:rPr>
            </w:pPr>
            <w:r w:rsidRPr="009C48DA">
              <w:rPr>
                <w:b/>
                <w:color w:val="000000"/>
                <w:sz w:val="20"/>
                <w:szCs w:val="20"/>
                <w:lang w:val="en-GB"/>
              </w:rPr>
              <w:t>Regulation S</w:t>
            </w:r>
          </w:p>
        </w:tc>
        <w:tc>
          <w:tcPr>
            <w:tcW w:w="6693" w:type="dxa"/>
          </w:tcPr>
          <w:p w:rsidRPr="009C48DA" w:rsidR="00B23F18" w:rsidP="00B23F18" w:rsidRDefault="00B23F18" w14:paraId="60FC9C26" w14:textId="36E1728C">
            <w:pPr>
              <w:spacing w:after="240"/>
              <w:jc w:val="both"/>
              <w:textAlignment w:val="baseline"/>
              <w:rPr>
                <w:color w:val="000000"/>
                <w:sz w:val="20"/>
                <w:szCs w:val="20"/>
                <w:lang w:val="en-GB"/>
              </w:rPr>
            </w:pPr>
            <w:r w:rsidRPr="009C48DA">
              <w:rPr>
                <w:color w:val="000000"/>
                <w:sz w:val="20"/>
                <w:szCs w:val="20"/>
                <w:lang w:val="en-GB"/>
              </w:rPr>
              <w:t>means Regulation S under the U.S. Securities Act;</w:t>
            </w:r>
          </w:p>
        </w:tc>
      </w:tr>
      <w:tr w:rsidRPr="009C48DA" w:rsidR="00B23F18" w:rsidTr="00FA0364" w14:paraId="12182C87" w14:textId="77777777">
        <w:tc>
          <w:tcPr>
            <w:tcW w:w="2511" w:type="dxa"/>
          </w:tcPr>
          <w:p w:rsidRPr="009C48DA" w:rsidR="00B23F18" w:rsidP="00B23F18" w:rsidRDefault="00B23F18" w14:paraId="01AA2CB1" w14:textId="3603C84E">
            <w:pPr>
              <w:spacing w:after="240"/>
              <w:ind w:right="72"/>
              <w:textAlignment w:val="baseline"/>
              <w:rPr>
                <w:b/>
                <w:color w:val="000000"/>
                <w:sz w:val="20"/>
                <w:szCs w:val="20"/>
                <w:lang w:val="en-GB"/>
              </w:rPr>
            </w:pPr>
            <w:r w:rsidRPr="009C48DA">
              <w:rPr>
                <w:b/>
                <w:color w:val="000000"/>
                <w:sz w:val="20"/>
                <w:szCs w:val="20"/>
                <w:lang w:val="en-GB"/>
              </w:rPr>
              <w:t>Reporting Accountant</w:t>
            </w:r>
          </w:p>
        </w:tc>
        <w:tc>
          <w:tcPr>
            <w:tcW w:w="6693" w:type="dxa"/>
          </w:tcPr>
          <w:p w:rsidRPr="009C48DA" w:rsidR="00B23F18" w:rsidP="00B23F18" w:rsidRDefault="00B23F18" w14:paraId="788143EF" w14:textId="172586E3">
            <w:pPr>
              <w:spacing w:after="240"/>
              <w:jc w:val="both"/>
              <w:textAlignment w:val="baseline"/>
              <w:rPr>
                <w:color w:val="000000"/>
                <w:sz w:val="20"/>
                <w:szCs w:val="20"/>
                <w:lang w:val="en-GB"/>
              </w:rPr>
            </w:pPr>
            <w:r w:rsidRPr="009C48DA">
              <w:rPr>
                <w:color w:val="000000"/>
                <w:sz w:val="20"/>
                <w:szCs w:val="20"/>
                <w:lang w:val="en-GB"/>
              </w:rPr>
              <w:t>means PricewaterhouseCoopers LLP;</w:t>
            </w:r>
          </w:p>
        </w:tc>
      </w:tr>
      <w:tr w:rsidRPr="009C48DA" w:rsidR="00B23F18" w:rsidTr="00FA0364" w14:paraId="18918C03" w14:textId="77777777">
        <w:tc>
          <w:tcPr>
            <w:tcW w:w="2511" w:type="dxa"/>
          </w:tcPr>
          <w:p w:rsidRPr="009C48DA" w:rsidR="00B23F18" w:rsidP="00B23F18" w:rsidRDefault="00B23F18" w14:paraId="5D892E8F" w14:textId="2060C187">
            <w:pPr>
              <w:spacing w:after="240"/>
              <w:ind w:right="72"/>
              <w:textAlignment w:val="baseline"/>
              <w:rPr>
                <w:b/>
                <w:color w:val="000000"/>
                <w:sz w:val="20"/>
                <w:szCs w:val="20"/>
                <w:lang w:val="en-GB"/>
              </w:rPr>
            </w:pPr>
            <w:r w:rsidRPr="009C48DA">
              <w:rPr>
                <w:b/>
                <w:color w:val="000000"/>
                <w:sz w:val="20"/>
                <w:szCs w:val="20"/>
                <w:lang w:val="en-GB"/>
              </w:rPr>
              <w:t xml:space="preserve">Revolving Credit Facilities </w:t>
            </w:r>
          </w:p>
        </w:tc>
        <w:tc>
          <w:tcPr>
            <w:tcW w:w="6693" w:type="dxa"/>
          </w:tcPr>
          <w:p w:rsidRPr="009C48DA" w:rsidR="00B23F18" w:rsidP="00B23F18" w:rsidRDefault="00B23F18" w14:paraId="72CC0966" w14:textId="5C938C99">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Liquidity and Capital Resources—Total financial debt</w:t>
            </w:r>
            <w:r w:rsidRPr="009C48DA">
              <w:rPr>
                <w:color w:val="000000"/>
                <w:sz w:val="20"/>
                <w:szCs w:val="20"/>
                <w:lang w:val="en-GB"/>
              </w:rPr>
              <w:t xml:space="preserve">” of </w:t>
            </w:r>
            <w:r w:rsidRPr="009C48DA">
              <w:rPr>
                <w:sz w:val="20"/>
                <w:szCs w:val="20"/>
                <w:lang w:val="en-GB"/>
              </w:rPr>
              <w:fldChar w:fldCharType="begin"/>
            </w:r>
            <w:r w:rsidRPr="009C48DA">
              <w:rPr>
                <w:sz w:val="20"/>
                <w:szCs w:val="20"/>
                <w:lang w:val="en-GB"/>
              </w:rPr>
              <w:instrText xml:space="preserve"> REF _Ref71144174 \n \h  \* MERGEFORMAT </w:instrText>
            </w:r>
            <w:r w:rsidRPr="009C48DA">
              <w:rPr>
                <w:sz w:val="20"/>
                <w:szCs w:val="20"/>
                <w:lang w:val="en-GB"/>
              </w:rPr>
            </w:r>
            <w:r w:rsidRPr="009C48DA">
              <w:rPr>
                <w:sz w:val="20"/>
                <w:szCs w:val="20"/>
                <w:lang w:val="en-GB"/>
              </w:rPr>
              <w:fldChar w:fldCharType="separate"/>
            </w:r>
            <w:r w:rsidR="007C3D19">
              <w:rPr>
                <w:sz w:val="20"/>
                <w:szCs w:val="20"/>
                <w:lang w:val="en-GB"/>
              </w:rPr>
              <w:t>Part IX</w:t>
            </w:r>
            <w:r w:rsidRPr="009C48DA">
              <w:rPr>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_Ref75191226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Operating and Financial Review</w:t>
            </w:r>
            <w:r w:rsidRPr="009C48DA">
              <w:rPr>
                <w:i/>
                <w:sz w:val="20"/>
                <w:szCs w:val="20"/>
                <w:lang w:val="en-GB"/>
              </w:rPr>
              <w:fldChar w:fldCharType="end"/>
            </w:r>
            <w:r w:rsidRPr="009C48DA">
              <w:rPr>
                <w:sz w:val="20"/>
                <w:szCs w:val="20"/>
                <w:lang w:val="en-GB"/>
              </w:rPr>
              <w:t>)</w:t>
            </w:r>
            <w:r w:rsidRPr="009C48DA">
              <w:rPr>
                <w:color w:val="000000"/>
                <w:sz w:val="20"/>
                <w:szCs w:val="20"/>
                <w:lang w:val="en-GB"/>
              </w:rPr>
              <w:t xml:space="preserve">; </w:t>
            </w:r>
          </w:p>
        </w:tc>
      </w:tr>
      <w:tr w:rsidRPr="009C48DA" w:rsidR="00B23F18" w:rsidTr="00FA0364" w14:paraId="4B7B08D7" w14:textId="77777777">
        <w:tc>
          <w:tcPr>
            <w:tcW w:w="2511" w:type="dxa"/>
          </w:tcPr>
          <w:p w:rsidRPr="009C48DA" w:rsidR="00B23F18" w:rsidP="00B23F18" w:rsidRDefault="00B23F18" w14:paraId="7FC7819F" w14:textId="64B3C0D2">
            <w:pPr>
              <w:spacing w:after="240"/>
              <w:ind w:right="72"/>
              <w:textAlignment w:val="baseline"/>
              <w:rPr>
                <w:b/>
                <w:color w:val="000000"/>
                <w:sz w:val="20"/>
                <w:szCs w:val="20"/>
                <w:lang w:val="en-GB"/>
              </w:rPr>
            </w:pPr>
            <w:r w:rsidRPr="009C48DA">
              <w:rPr>
                <w:b/>
                <w:color w:val="000000"/>
                <w:sz w:val="20"/>
                <w:szCs w:val="20"/>
                <w:lang w:val="en-GB"/>
              </w:rPr>
              <w:t>Rule 144A</w:t>
            </w:r>
          </w:p>
        </w:tc>
        <w:tc>
          <w:tcPr>
            <w:tcW w:w="6693" w:type="dxa"/>
          </w:tcPr>
          <w:p w:rsidRPr="009C48DA" w:rsidR="00B23F18" w:rsidP="00B23F18" w:rsidRDefault="00B23F18" w14:paraId="23C4AF05" w14:textId="5DA287A6">
            <w:pPr>
              <w:spacing w:after="240"/>
              <w:jc w:val="both"/>
              <w:textAlignment w:val="baseline"/>
              <w:rPr>
                <w:color w:val="000000"/>
                <w:sz w:val="20"/>
                <w:szCs w:val="20"/>
                <w:lang w:val="en-GB"/>
              </w:rPr>
            </w:pPr>
            <w:r w:rsidRPr="009C48DA">
              <w:rPr>
                <w:color w:val="000000"/>
                <w:sz w:val="20"/>
                <w:szCs w:val="20"/>
                <w:lang w:val="en-GB"/>
              </w:rPr>
              <w:t>means Rule 144A under the U.S. Securities Act;</w:t>
            </w:r>
          </w:p>
        </w:tc>
      </w:tr>
      <w:tr w:rsidRPr="009C48DA" w:rsidR="00B23F18" w:rsidTr="00FA0364" w14:paraId="3531A634" w14:textId="77777777">
        <w:tc>
          <w:tcPr>
            <w:tcW w:w="2511" w:type="dxa"/>
          </w:tcPr>
          <w:p w:rsidRPr="009C48DA" w:rsidR="00B23F18" w:rsidP="00B23F18" w:rsidRDefault="00B23F18" w14:paraId="2B54A059" w14:textId="5464E011">
            <w:pPr>
              <w:spacing w:after="240"/>
              <w:ind w:right="72"/>
              <w:textAlignment w:val="baseline"/>
              <w:rPr>
                <w:b/>
                <w:color w:val="000000"/>
                <w:sz w:val="20"/>
                <w:szCs w:val="20"/>
                <w:lang w:val="en-GB"/>
              </w:rPr>
            </w:pPr>
            <w:r w:rsidRPr="009C48DA">
              <w:rPr>
                <w:b/>
                <w:color w:val="000000"/>
                <w:sz w:val="20"/>
                <w:szCs w:val="20"/>
                <w:lang w:val="en-GB"/>
              </w:rPr>
              <w:t>SEC</w:t>
            </w:r>
          </w:p>
        </w:tc>
        <w:tc>
          <w:tcPr>
            <w:tcW w:w="6693" w:type="dxa"/>
          </w:tcPr>
          <w:p w:rsidRPr="009C48DA" w:rsidR="00B23F18" w:rsidP="00B23F18" w:rsidRDefault="00B23F18" w14:paraId="689848E7" w14:textId="7966A8BA">
            <w:pPr>
              <w:spacing w:after="240"/>
              <w:jc w:val="both"/>
              <w:textAlignment w:val="baseline"/>
              <w:rPr>
                <w:color w:val="000000"/>
                <w:sz w:val="20"/>
                <w:szCs w:val="20"/>
                <w:lang w:val="en-GB"/>
              </w:rPr>
            </w:pPr>
            <w:r w:rsidRPr="009C48DA">
              <w:rPr>
                <w:color w:val="000000"/>
                <w:sz w:val="20"/>
                <w:szCs w:val="20"/>
                <w:lang w:val="en-GB"/>
              </w:rPr>
              <w:t xml:space="preserve">means the U.S. Securities and Exchange Commission; </w:t>
            </w:r>
          </w:p>
        </w:tc>
      </w:tr>
      <w:tr w:rsidRPr="009C48DA" w:rsidR="00B23F18" w:rsidTr="00FA0364" w14:paraId="4329DE33" w14:textId="77777777">
        <w:tc>
          <w:tcPr>
            <w:tcW w:w="2511" w:type="dxa"/>
          </w:tcPr>
          <w:p w:rsidRPr="009C48DA" w:rsidR="00B23F18" w:rsidP="00B23F18" w:rsidRDefault="00B23F18" w14:paraId="1DB9349F" w14:textId="082FD7D2">
            <w:pPr>
              <w:spacing w:after="240"/>
              <w:ind w:right="72"/>
              <w:textAlignment w:val="baseline"/>
              <w:rPr>
                <w:b/>
                <w:color w:val="000000"/>
                <w:sz w:val="20"/>
                <w:szCs w:val="20"/>
                <w:lang w:val="en-GB"/>
              </w:rPr>
            </w:pPr>
            <w:r w:rsidRPr="009C48DA">
              <w:rPr>
                <w:b/>
                <w:color w:val="000000"/>
                <w:sz w:val="20"/>
                <w:szCs w:val="20"/>
                <w:lang w:val="en-GB"/>
              </w:rPr>
              <w:lastRenderedPageBreak/>
              <w:t>Securitisation Regulation</w:t>
            </w:r>
          </w:p>
        </w:tc>
        <w:tc>
          <w:tcPr>
            <w:tcW w:w="6693" w:type="dxa"/>
          </w:tcPr>
          <w:p w:rsidRPr="009C48DA" w:rsidR="00B23F18" w:rsidP="00B23F18" w:rsidRDefault="00B23F18" w14:paraId="65247859" w14:textId="11230112">
            <w:pPr>
              <w:spacing w:after="240"/>
              <w:jc w:val="both"/>
              <w:textAlignment w:val="baseline"/>
              <w:rPr>
                <w:color w:val="000000"/>
                <w:sz w:val="20"/>
                <w:szCs w:val="20"/>
                <w:lang w:val="en-GB"/>
              </w:rPr>
            </w:pPr>
            <w:r w:rsidRPr="009C48DA">
              <w:rPr>
                <w:color w:val="000000"/>
                <w:sz w:val="20"/>
                <w:szCs w:val="20"/>
                <w:lang w:val="en-GB"/>
              </w:rPr>
              <w:t xml:space="preserve">means the EU Securitisation Regulation; </w:t>
            </w:r>
          </w:p>
        </w:tc>
      </w:tr>
      <w:tr w:rsidRPr="009C48DA" w:rsidR="00B23F18" w:rsidTr="00FA0364" w14:paraId="3E869EFB" w14:textId="77777777">
        <w:tc>
          <w:tcPr>
            <w:tcW w:w="2511" w:type="dxa"/>
          </w:tcPr>
          <w:p w:rsidRPr="009C48DA" w:rsidR="00B23F18" w:rsidP="00B23F18" w:rsidRDefault="00B23F18" w14:paraId="429920A4" w14:textId="60781B57">
            <w:pPr>
              <w:spacing w:after="240"/>
              <w:ind w:right="72"/>
              <w:textAlignment w:val="baseline"/>
              <w:rPr>
                <w:b/>
                <w:color w:val="000000"/>
                <w:sz w:val="20"/>
                <w:szCs w:val="20"/>
                <w:lang w:val="en-GB"/>
              </w:rPr>
            </w:pPr>
            <w:r w:rsidRPr="009C48DA">
              <w:rPr>
                <w:b/>
                <w:color w:val="000000"/>
                <w:sz w:val="20"/>
                <w:szCs w:val="20"/>
                <w:lang w:val="en-GB"/>
              </w:rPr>
              <w:t>Total AUM</w:t>
            </w:r>
          </w:p>
        </w:tc>
        <w:tc>
          <w:tcPr>
            <w:tcW w:w="6693" w:type="dxa"/>
          </w:tcPr>
          <w:p w:rsidRPr="009C48DA" w:rsidR="00B23F18" w:rsidP="00B23F18" w:rsidRDefault="00B23F18" w14:paraId="07861956" w14:textId="01D05566">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Alternative Performance Measures and Key Performance Indicators—AUM and Total AUM</w:t>
            </w:r>
            <w:r w:rsidRPr="009C48DA">
              <w:rPr>
                <w:color w:val="000000"/>
                <w:sz w:val="20"/>
                <w:szCs w:val="20"/>
                <w:lang w:val="en-GB"/>
              </w:rPr>
              <w:t xml:space="preserve">” of </w:t>
            </w:r>
            <w:r w:rsidRPr="009C48DA">
              <w:rPr>
                <w:sz w:val="20"/>
                <w:szCs w:val="20"/>
                <w:lang w:val="en-GB"/>
              </w:rPr>
              <w:fldChar w:fldCharType="begin"/>
            </w:r>
            <w:r w:rsidRPr="009C48DA">
              <w:rPr>
                <w:sz w:val="20"/>
                <w:szCs w:val="20"/>
                <w:lang w:val="en-GB"/>
              </w:rPr>
              <w:instrText xml:space="preserve"> REF _Ref71144174 \n \h  \* MERGEFORMAT </w:instrText>
            </w:r>
            <w:r w:rsidRPr="009C48DA">
              <w:rPr>
                <w:sz w:val="20"/>
                <w:szCs w:val="20"/>
                <w:lang w:val="en-GB"/>
              </w:rPr>
            </w:r>
            <w:r w:rsidRPr="009C48DA">
              <w:rPr>
                <w:sz w:val="20"/>
                <w:szCs w:val="20"/>
                <w:lang w:val="en-GB"/>
              </w:rPr>
              <w:fldChar w:fldCharType="separate"/>
            </w:r>
            <w:r w:rsidR="007C3D19">
              <w:rPr>
                <w:sz w:val="20"/>
                <w:szCs w:val="20"/>
                <w:lang w:val="en-GB"/>
              </w:rPr>
              <w:t>Part IX</w:t>
            </w:r>
            <w:r w:rsidRPr="009C48DA">
              <w:rPr>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_Ref75191226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Operating and Financial Review</w:t>
            </w:r>
            <w:r w:rsidRPr="009C48DA">
              <w:rPr>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77C9B40A" w14:textId="77777777">
        <w:tc>
          <w:tcPr>
            <w:tcW w:w="2511" w:type="dxa"/>
          </w:tcPr>
          <w:p w:rsidRPr="009C48DA" w:rsidR="00B23F18" w:rsidP="00B23F18" w:rsidRDefault="00B23F18" w14:paraId="45914CCA" w14:textId="3AFA2CDB">
            <w:pPr>
              <w:spacing w:after="240"/>
              <w:textAlignment w:val="baseline"/>
              <w:rPr>
                <w:b/>
                <w:color w:val="000000"/>
                <w:sz w:val="20"/>
                <w:szCs w:val="20"/>
                <w:lang w:val="en-GB"/>
              </w:rPr>
            </w:pPr>
            <w:r w:rsidRPr="009C48DA">
              <w:rPr>
                <w:b/>
                <w:color w:val="000000"/>
                <w:sz w:val="20"/>
                <w:szCs w:val="20"/>
                <w:lang w:val="en-GB"/>
              </w:rPr>
              <w:t xml:space="preserve">Trade and Cooperation Agreement </w:t>
            </w:r>
          </w:p>
        </w:tc>
        <w:tc>
          <w:tcPr>
            <w:tcW w:w="6693" w:type="dxa"/>
          </w:tcPr>
          <w:p w:rsidRPr="009C48DA" w:rsidR="00B23F18" w:rsidP="00B23F18" w:rsidRDefault="00B23F18" w14:paraId="723BB633" w14:textId="675671B3">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Risks Related to the Group’s Business, Industry and Markets</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_Ref71136204 \r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_Ref75190583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Risk Factors</w:t>
            </w:r>
            <w:r w:rsidRPr="009C48DA">
              <w:rPr>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72BAAA7B" w14:textId="77777777">
        <w:tc>
          <w:tcPr>
            <w:tcW w:w="2511" w:type="dxa"/>
          </w:tcPr>
          <w:p w:rsidRPr="009C48DA" w:rsidR="00B23F18" w:rsidP="00B23F18" w:rsidRDefault="00B23F18" w14:paraId="17A0D607" w14:textId="17DBB9E2">
            <w:pPr>
              <w:spacing w:after="240"/>
              <w:textAlignment w:val="baseline"/>
              <w:rPr>
                <w:b/>
                <w:color w:val="000000"/>
                <w:sz w:val="20"/>
                <w:szCs w:val="20"/>
                <w:lang w:val="en-GB"/>
              </w:rPr>
            </w:pPr>
            <w:r w:rsidRPr="009C48DA">
              <w:rPr>
                <w:b/>
                <w:color w:val="000000"/>
                <w:sz w:val="20"/>
                <w:szCs w:val="20"/>
                <w:lang w:val="en-GB"/>
              </w:rPr>
              <w:t>UK AIFMD</w:t>
            </w:r>
          </w:p>
        </w:tc>
        <w:tc>
          <w:tcPr>
            <w:tcW w:w="6693" w:type="dxa"/>
          </w:tcPr>
          <w:p w:rsidRPr="009C48DA" w:rsidR="00B23F18" w:rsidP="00B23F18" w:rsidRDefault="00B23F18" w14:paraId="103F9819" w14:textId="75660FCC">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United Kingdom—Applicable Regulatory Framework for Bridgepoint Entities</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_Ref71146307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fldChar w:fldCharType="begin"/>
            </w:r>
            <w:r w:rsidRPr="009C48DA">
              <w:rPr>
                <w:i/>
                <w:color w:val="000000"/>
                <w:sz w:val="20"/>
                <w:szCs w:val="20"/>
                <w:lang w:val="en-GB"/>
              </w:rPr>
              <w:instrText xml:space="preserve"> REF _Ref75192095 \h  \* MERGEFORMAT </w:instrText>
            </w:r>
            <w:r w:rsidRPr="009C48DA">
              <w:rPr>
                <w:i/>
                <w:color w:val="000000"/>
                <w:sz w:val="20"/>
                <w:szCs w:val="20"/>
                <w:lang w:val="en-GB"/>
              </w:rPr>
            </w:r>
            <w:r w:rsidRPr="009C48DA">
              <w:rPr>
                <w:i/>
                <w:color w:val="000000"/>
                <w:sz w:val="20"/>
                <w:szCs w:val="20"/>
                <w:lang w:val="en-GB"/>
              </w:rPr>
              <w:fldChar w:fldCharType="separate"/>
            </w:r>
            <w:r w:rsidRPr="007C3D19" w:rsidR="007C3D19">
              <w:rPr>
                <w:i/>
                <w:sz w:val="20"/>
                <w:szCs w:val="20"/>
                <w:lang w:val="en-GB"/>
              </w:rPr>
              <w:t>Regulatory Overview</w:t>
            </w:r>
            <w:r w:rsidRPr="009C48DA">
              <w:rPr>
                <w:i/>
                <w:color w:val="000000"/>
                <w:sz w:val="20"/>
                <w:szCs w:val="20"/>
                <w:lang w:val="en-GB"/>
              </w:rPr>
              <w:fldChar w:fldCharType="end"/>
            </w:r>
            <w:r w:rsidRPr="009C48DA">
              <w:rPr>
                <w:color w:val="000000"/>
                <w:sz w:val="20"/>
                <w:szCs w:val="20"/>
                <w:lang w:val="en-GB"/>
              </w:rPr>
              <w:t>);</w:t>
            </w:r>
          </w:p>
        </w:tc>
      </w:tr>
      <w:tr w:rsidRPr="009C48DA" w:rsidR="00B23F18" w:rsidTr="00FA0364" w14:paraId="5453374B" w14:textId="77777777">
        <w:tc>
          <w:tcPr>
            <w:tcW w:w="2511" w:type="dxa"/>
          </w:tcPr>
          <w:p w:rsidRPr="009C48DA" w:rsidR="00B23F18" w:rsidP="00B23F18" w:rsidRDefault="00B23F18" w14:paraId="18C84FA6" w14:textId="00BB8E3B">
            <w:pPr>
              <w:spacing w:after="240"/>
              <w:textAlignment w:val="baseline"/>
              <w:rPr>
                <w:b/>
                <w:color w:val="000000"/>
                <w:sz w:val="20"/>
                <w:szCs w:val="20"/>
                <w:lang w:val="en-GB"/>
              </w:rPr>
            </w:pPr>
            <w:r w:rsidRPr="009C48DA">
              <w:rPr>
                <w:b/>
                <w:color w:val="000000"/>
                <w:sz w:val="20"/>
                <w:szCs w:val="20"/>
                <w:lang w:val="en-GB"/>
              </w:rPr>
              <w:t>UK Investment Firm Prudential Regime or IFPR</w:t>
            </w:r>
          </w:p>
        </w:tc>
        <w:tc>
          <w:tcPr>
            <w:tcW w:w="6693" w:type="dxa"/>
          </w:tcPr>
          <w:p w:rsidRPr="009C48DA" w:rsidR="00B23F18" w:rsidP="00B23F18" w:rsidRDefault="00B23F18" w14:paraId="57A44761" w14:textId="0B87A81A">
            <w:pPr>
              <w:spacing w:after="240"/>
              <w:jc w:val="both"/>
              <w:textAlignment w:val="baseline"/>
              <w:rPr>
                <w:color w:val="000000"/>
                <w:sz w:val="20"/>
                <w:szCs w:val="20"/>
                <w:lang w:val="en-GB"/>
              </w:rPr>
            </w:pPr>
            <w:r w:rsidRPr="009C48DA">
              <w:rPr>
                <w:color w:val="000000"/>
                <w:sz w:val="20"/>
                <w:szCs w:val="20"/>
                <w:lang w:val="en-GB"/>
              </w:rPr>
              <w:t>means the UK’s own version of the IFD/IFR;</w:t>
            </w:r>
          </w:p>
        </w:tc>
      </w:tr>
      <w:tr w:rsidRPr="009C48DA" w:rsidR="00B23F18" w:rsidTr="00FA0364" w14:paraId="6D5DB3A2" w14:textId="77777777">
        <w:tc>
          <w:tcPr>
            <w:tcW w:w="2511" w:type="dxa"/>
          </w:tcPr>
          <w:p w:rsidRPr="009C48DA" w:rsidR="00B23F18" w:rsidP="00B23F18" w:rsidRDefault="00B23F18" w14:paraId="72DD3039" w14:textId="3B74FB45">
            <w:pPr>
              <w:spacing w:after="240"/>
              <w:ind w:right="72"/>
              <w:textAlignment w:val="baseline"/>
              <w:rPr>
                <w:b/>
                <w:color w:val="000000"/>
                <w:sz w:val="20"/>
                <w:szCs w:val="20"/>
                <w:lang w:val="en-GB"/>
              </w:rPr>
            </w:pPr>
            <w:r w:rsidRPr="009C48DA">
              <w:rPr>
                <w:b/>
                <w:sz w:val="20"/>
                <w:szCs w:val="20"/>
                <w:lang w:val="en-GB"/>
              </w:rPr>
              <w:t>UK Market Abuse Regulation</w:t>
            </w:r>
          </w:p>
        </w:tc>
        <w:tc>
          <w:tcPr>
            <w:tcW w:w="6693" w:type="dxa"/>
          </w:tcPr>
          <w:p w:rsidRPr="009C48DA" w:rsidR="00B23F18" w:rsidP="00B23F18" w:rsidRDefault="00B23F18" w14:paraId="2A8FE555" w14:textId="11D8496E">
            <w:pPr>
              <w:spacing w:after="240"/>
              <w:jc w:val="both"/>
              <w:textAlignment w:val="baseline"/>
              <w:rPr>
                <w:color w:val="000000"/>
                <w:sz w:val="20"/>
                <w:szCs w:val="20"/>
                <w:lang w:val="en-GB"/>
              </w:rPr>
            </w:pPr>
            <w:r w:rsidRPr="009C48DA">
              <w:rPr>
                <w:sz w:val="20"/>
                <w:szCs w:val="20"/>
                <w:lang w:val="en-GB"/>
              </w:rPr>
              <w:t>means Regulation (EU) 596/2014 as it forms part of retained EU law as defined in the EUWA;</w:t>
            </w:r>
          </w:p>
        </w:tc>
      </w:tr>
      <w:tr w:rsidRPr="009C48DA" w:rsidR="00B23F18" w:rsidTr="00FA0364" w14:paraId="4BF30752" w14:textId="77777777">
        <w:tc>
          <w:tcPr>
            <w:tcW w:w="2511" w:type="dxa"/>
          </w:tcPr>
          <w:p w:rsidRPr="009C48DA" w:rsidR="00B23F18" w:rsidP="00B23F18" w:rsidRDefault="00B23F18" w14:paraId="31DCEA32" w14:textId="742A0600">
            <w:pPr>
              <w:spacing w:after="240"/>
              <w:ind w:right="72"/>
              <w:textAlignment w:val="baseline"/>
              <w:rPr>
                <w:b/>
                <w:sz w:val="20"/>
                <w:szCs w:val="20"/>
                <w:lang w:val="en-GB"/>
              </w:rPr>
            </w:pPr>
            <w:r w:rsidRPr="009C48DA">
              <w:rPr>
                <w:b/>
                <w:sz w:val="20"/>
                <w:szCs w:val="20"/>
                <w:lang w:val="en-GB"/>
              </w:rPr>
              <w:t>UK MiFID</w:t>
            </w:r>
          </w:p>
        </w:tc>
        <w:tc>
          <w:tcPr>
            <w:tcW w:w="6693" w:type="dxa"/>
          </w:tcPr>
          <w:p w:rsidRPr="009C48DA" w:rsidR="00B23F18" w:rsidP="00B23F18" w:rsidRDefault="00B23F18" w14:paraId="03115B95" w14:textId="3F67CF36">
            <w:pPr>
              <w:spacing w:after="240"/>
              <w:jc w:val="both"/>
              <w:textAlignment w:val="baseline"/>
              <w:rPr>
                <w:sz w:val="20"/>
                <w:szCs w:val="20"/>
                <w:lang w:val="en-GB"/>
              </w:rPr>
            </w:pPr>
            <w:r w:rsidRPr="009C48DA">
              <w:rPr>
                <w:color w:val="000000"/>
                <w:sz w:val="20"/>
                <w:szCs w:val="20"/>
                <w:lang w:val="en-GB"/>
              </w:rPr>
              <w:t>has the meaning given in “</w:t>
            </w:r>
            <w:r w:rsidRPr="009C48DA">
              <w:rPr>
                <w:i/>
                <w:color w:val="000000"/>
                <w:sz w:val="20"/>
                <w:szCs w:val="20"/>
                <w:lang w:val="en-GB"/>
              </w:rPr>
              <w:t>United Kingdom—Applicable Regulatory Framework for Bridgepoint Entities</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_Ref71146307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VI</w:t>
            </w:r>
            <w:r w:rsidRPr="009C48DA">
              <w:rPr>
                <w:color w:val="000000"/>
                <w:sz w:val="20"/>
                <w:szCs w:val="20"/>
                <w:lang w:val="en-GB"/>
              </w:rPr>
              <w:fldChar w:fldCharType="end"/>
            </w:r>
            <w:r w:rsidRPr="009C48DA">
              <w:rPr>
                <w:color w:val="000000"/>
                <w:sz w:val="20"/>
                <w:szCs w:val="20"/>
                <w:lang w:val="en-GB"/>
              </w:rPr>
              <w:t xml:space="preserve"> (</w:t>
            </w:r>
            <w:r w:rsidRPr="009C48DA">
              <w:rPr>
                <w:i/>
                <w:color w:val="000000"/>
                <w:sz w:val="20"/>
                <w:szCs w:val="20"/>
                <w:lang w:val="en-GB"/>
              </w:rPr>
              <w:fldChar w:fldCharType="begin"/>
            </w:r>
            <w:r w:rsidRPr="009C48DA">
              <w:rPr>
                <w:i/>
                <w:color w:val="000000"/>
                <w:sz w:val="20"/>
                <w:szCs w:val="20"/>
                <w:lang w:val="en-GB"/>
              </w:rPr>
              <w:instrText xml:space="preserve"> REF _Ref75192095 \h  \* MERGEFORMAT </w:instrText>
            </w:r>
            <w:r w:rsidRPr="009C48DA">
              <w:rPr>
                <w:i/>
                <w:color w:val="000000"/>
                <w:sz w:val="20"/>
                <w:szCs w:val="20"/>
                <w:lang w:val="en-GB"/>
              </w:rPr>
            </w:r>
            <w:r w:rsidRPr="009C48DA">
              <w:rPr>
                <w:i/>
                <w:color w:val="000000"/>
                <w:sz w:val="20"/>
                <w:szCs w:val="20"/>
                <w:lang w:val="en-GB"/>
              </w:rPr>
              <w:fldChar w:fldCharType="separate"/>
            </w:r>
            <w:r w:rsidRPr="007C3D19" w:rsidR="007C3D19">
              <w:rPr>
                <w:i/>
                <w:sz w:val="20"/>
                <w:szCs w:val="20"/>
                <w:lang w:val="en-GB"/>
              </w:rPr>
              <w:t>Regulatory Overview</w:t>
            </w:r>
            <w:r w:rsidRPr="009C48DA">
              <w:rPr>
                <w:i/>
                <w:color w:val="000000"/>
                <w:sz w:val="20"/>
                <w:szCs w:val="20"/>
                <w:lang w:val="en-GB"/>
              </w:rPr>
              <w:fldChar w:fldCharType="end"/>
            </w:r>
            <w:r w:rsidRPr="009C48DA">
              <w:rPr>
                <w:color w:val="000000"/>
                <w:sz w:val="20"/>
                <w:szCs w:val="20"/>
                <w:lang w:val="en-GB"/>
              </w:rPr>
              <w:t>);</w:t>
            </w:r>
          </w:p>
        </w:tc>
      </w:tr>
      <w:tr w:rsidRPr="009C48DA" w:rsidR="00B23F18" w:rsidTr="00FA0364" w14:paraId="25C6716C" w14:textId="77777777">
        <w:tc>
          <w:tcPr>
            <w:tcW w:w="2511" w:type="dxa"/>
          </w:tcPr>
          <w:p w:rsidRPr="009C48DA" w:rsidR="00B23F18" w:rsidP="00B23F18" w:rsidRDefault="00B23F18" w14:paraId="740676F0" w14:textId="47699266">
            <w:pPr>
              <w:spacing w:after="240"/>
              <w:ind w:right="72"/>
              <w:textAlignment w:val="baseline"/>
              <w:rPr>
                <w:b/>
                <w:color w:val="000000"/>
                <w:sz w:val="20"/>
                <w:szCs w:val="20"/>
                <w:lang w:val="en-GB"/>
              </w:rPr>
            </w:pPr>
            <w:r w:rsidRPr="009C48DA">
              <w:rPr>
                <w:b/>
                <w:color w:val="000000"/>
                <w:sz w:val="20"/>
                <w:szCs w:val="20"/>
                <w:lang w:val="en-GB"/>
              </w:rPr>
              <w:t>UK Prospectus Regulation</w:t>
            </w:r>
          </w:p>
        </w:tc>
        <w:tc>
          <w:tcPr>
            <w:tcW w:w="6693" w:type="dxa"/>
          </w:tcPr>
          <w:p w:rsidRPr="009C48DA" w:rsidR="00B23F18" w:rsidP="00B23F18" w:rsidRDefault="00B23F18" w14:paraId="370DC189" w14:textId="1EC6FC23">
            <w:pPr>
              <w:spacing w:after="240"/>
              <w:jc w:val="both"/>
              <w:textAlignment w:val="baseline"/>
              <w:rPr>
                <w:color w:val="000000"/>
                <w:sz w:val="20"/>
                <w:szCs w:val="20"/>
                <w:lang w:val="en-GB"/>
              </w:rPr>
            </w:pPr>
            <w:r w:rsidRPr="009C48DA">
              <w:rPr>
                <w:color w:val="000000"/>
                <w:sz w:val="20"/>
                <w:szCs w:val="20"/>
                <w:lang w:val="en-GB"/>
              </w:rPr>
              <w:t>means Regulation (EU) 2017/1129, as it forms part of retained EU law as defined in the EUWA;</w:t>
            </w:r>
          </w:p>
        </w:tc>
      </w:tr>
      <w:tr w:rsidRPr="009C48DA" w:rsidR="00B23F18" w:rsidTr="00FA0364" w14:paraId="26DAE40D" w14:textId="77777777">
        <w:tc>
          <w:tcPr>
            <w:tcW w:w="2511" w:type="dxa"/>
          </w:tcPr>
          <w:p w:rsidRPr="009C48DA" w:rsidR="00B23F18" w:rsidP="00B23F18" w:rsidRDefault="00B23F18" w14:paraId="298B904D" w14:textId="07405F36">
            <w:pPr>
              <w:spacing w:after="240"/>
              <w:ind w:right="72"/>
              <w:textAlignment w:val="baseline"/>
              <w:rPr>
                <w:b/>
                <w:color w:val="000000"/>
                <w:sz w:val="20"/>
                <w:szCs w:val="20"/>
                <w:lang w:val="en-GB"/>
              </w:rPr>
            </w:pPr>
            <w:r w:rsidRPr="009C48DA">
              <w:rPr>
                <w:b/>
                <w:sz w:val="20"/>
                <w:szCs w:val="20"/>
                <w:lang w:val="en-GB"/>
              </w:rPr>
              <w:t>Underlying EBITDA</w:t>
            </w:r>
          </w:p>
        </w:tc>
        <w:tc>
          <w:tcPr>
            <w:tcW w:w="6693" w:type="dxa"/>
          </w:tcPr>
          <w:p w:rsidRPr="009C48DA" w:rsidR="00B23F18" w:rsidP="00B23F18" w:rsidRDefault="00B23F18" w14:paraId="6A2BA161" w14:textId="07F6DA6C">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Alternative Performance Measures and Key Performance Indicators—</w:t>
            </w:r>
            <w:r w:rsidRPr="009C48DA">
              <w:rPr>
                <w:rFonts w:eastAsia="Calibri" w:cs="Arial"/>
                <w:i/>
                <w:sz w:val="20"/>
                <w:szCs w:val="20"/>
                <w:lang w:val="en-GB"/>
              </w:rPr>
              <w:t xml:space="preserve">EBITDA, </w:t>
            </w:r>
            <w:r w:rsidRPr="009C48DA">
              <w:rPr>
                <w:i/>
                <w:color w:val="000000"/>
                <w:sz w:val="20"/>
                <w:szCs w:val="20"/>
                <w:lang w:val="en-GB"/>
              </w:rPr>
              <w:t>Underlying EBITDA and Underlying EBITDA Margin</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_Ref74476668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IX</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_Ref75191226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Operating and Financial Review</w:t>
            </w:r>
            <w:r w:rsidRPr="009C48DA">
              <w:rPr>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27FBC68E" w14:textId="77777777">
        <w:tc>
          <w:tcPr>
            <w:tcW w:w="2511" w:type="dxa"/>
          </w:tcPr>
          <w:p w:rsidRPr="009C48DA" w:rsidR="00B23F18" w:rsidP="00B23F18" w:rsidRDefault="00B23F18" w14:paraId="79643584" w14:textId="09F41473">
            <w:pPr>
              <w:spacing w:after="240"/>
              <w:ind w:right="72"/>
              <w:textAlignment w:val="baseline"/>
              <w:rPr>
                <w:b/>
                <w:color w:val="000000"/>
                <w:sz w:val="20"/>
                <w:szCs w:val="20"/>
                <w:lang w:val="en-GB"/>
              </w:rPr>
            </w:pPr>
            <w:r w:rsidRPr="009C48DA">
              <w:rPr>
                <w:b/>
                <w:sz w:val="20"/>
                <w:szCs w:val="20"/>
                <w:lang w:val="en-GB"/>
              </w:rPr>
              <w:t>Underlying EBITDA Margin</w:t>
            </w:r>
          </w:p>
        </w:tc>
        <w:tc>
          <w:tcPr>
            <w:tcW w:w="6693" w:type="dxa"/>
          </w:tcPr>
          <w:p w:rsidRPr="009C48DA" w:rsidR="00B23F18" w:rsidP="00B23F18" w:rsidRDefault="00B23F18" w14:paraId="1465FF31" w14:textId="15CE8BD3">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Alternative Performance Measures and Key Performance Indicators—</w:t>
            </w:r>
            <w:r w:rsidRPr="009C48DA">
              <w:rPr>
                <w:rFonts w:eastAsia="Calibri" w:cs="Arial"/>
                <w:i/>
                <w:sz w:val="20"/>
                <w:szCs w:val="20"/>
                <w:lang w:val="en-GB"/>
              </w:rPr>
              <w:t>EBITDA</w:t>
            </w:r>
            <w:r w:rsidRPr="009C48DA">
              <w:rPr>
                <w:i/>
                <w:color w:val="000000"/>
                <w:sz w:val="20"/>
                <w:szCs w:val="20"/>
                <w:lang w:val="en-GB"/>
              </w:rPr>
              <w:t>, Underlying EBITDA and Underlying EBITDA Margin</w:t>
            </w:r>
            <w:r w:rsidRPr="009C48DA">
              <w:rPr>
                <w:color w:val="000000"/>
                <w:sz w:val="20"/>
                <w:szCs w:val="20"/>
                <w:lang w:val="en-GB"/>
              </w:rPr>
              <w:t xml:space="preserve">” of </w:t>
            </w:r>
            <w:r w:rsidRPr="009C48DA">
              <w:rPr>
                <w:color w:val="000000"/>
                <w:sz w:val="20"/>
                <w:szCs w:val="20"/>
                <w:lang w:val="en-GB"/>
              </w:rPr>
              <w:fldChar w:fldCharType="begin"/>
            </w:r>
            <w:r w:rsidRPr="009C48DA">
              <w:rPr>
                <w:color w:val="000000"/>
                <w:sz w:val="20"/>
                <w:szCs w:val="20"/>
                <w:lang w:val="en-GB"/>
              </w:rPr>
              <w:instrText xml:space="preserve"> REF _Ref74476668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IX</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_Ref75191226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Operating and Financial Review</w:t>
            </w:r>
            <w:r w:rsidRPr="009C48DA">
              <w:rPr>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16698D44" w14:textId="77777777">
        <w:tc>
          <w:tcPr>
            <w:tcW w:w="2511" w:type="dxa"/>
          </w:tcPr>
          <w:p w:rsidRPr="009C48DA" w:rsidR="00B23F18" w:rsidP="00B23F18" w:rsidRDefault="00B23F18" w14:paraId="279C89AD" w14:textId="5916580E">
            <w:pPr>
              <w:spacing w:after="240"/>
              <w:ind w:right="72"/>
              <w:textAlignment w:val="baseline"/>
              <w:rPr>
                <w:b/>
                <w:sz w:val="20"/>
                <w:szCs w:val="20"/>
                <w:lang w:val="en-GB"/>
              </w:rPr>
            </w:pPr>
            <w:r w:rsidRPr="009C48DA">
              <w:rPr>
                <w:b/>
                <w:sz w:val="20"/>
                <w:szCs w:val="20"/>
                <w:lang w:val="en-GB"/>
              </w:rPr>
              <w:t>Underlying FRE</w:t>
            </w:r>
          </w:p>
        </w:tc>
        <w:tc>
          <w:tcPr>
            <w:tcW w:w="6693" w:type="dxa"/>
          </w:tcPr>
          <w:p w:rsidRPr="009C48DA" w:rsidR="00B23F18" w:rsidP="00B23F18" w:rsidRDefault="00B23F18" w14:paraId="3B5A688C" w14:textId="410C66C6">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Alternative Performance Measures and Key Performance Indicators—</w:t>
            </w:r>
            <w:r w:rsidRPr="009C48DA">
              <w:rPr>
                <w:i/>
                <w:sz w:val="20"/>
                <w:szCs w:val="20"/>
                <w:lang w:val="en-GB"/>
              </w:rPr>
              <w:t>Underlying FRE and Underlying FRE Margin</w:t>
            </w:r>
            <w:r w:rsidRPr="009C48DA">
              <w:rPr>
                <w:color w:val="000000"/>
                <w:sz w:val="20"/>
                <w:szCs w:val="20"/>
                <w:lang w:val="en-GB"/>
              </w:rPr>
              <w:t xml:space="preserve">” of </w:t>
            </w:r>
            <w:r w:rsidR="00B74D38">
              <w:rPr>
                <w:color w:val="000000"/>
                <w:sz w:val="20"/>
                <w:szCs w:val="20"/>
                <w:lang w:val="en-GB"/>
              </w:rPr>
              <w:br/>
            </w:r>
            <w:r w:rsidRPr="009C48DA">
              <w:rPr>
                <w:color w:val="000000"/>
                <w:sz w:val="20"/>
                <w:szCs w:val="20"/>
                <w:lang w:val="en-GB"/>
              </w:rPr>
              <w:fldChar w:fldCharType="begin"/>
            </w:r>
            <w:r w:rsidRPr="009C48DA">
              <w:rPr>
                <w:color w:val="000000"/>
                <w:sz w:val="20"/>
                <w:szCs w:val="20"/>
                <w:lang w:val="en-GB"/>
              </w:rPr>
              <w:instrText xml:space="preserve"> REF _Ref74476668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IX</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_Ref75191226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Operating and Financial Review</w:t>
            </w:r>
            <w:r w:rsidRPr="009C48DA">
              <w:rPr>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2168AD3F" w14:textId="77777777">
        <w:tc>
          <w:tcPr>
            <w:tcW w:w="2511" w:type="dxa"/>
          </w:tcPr>
          <w:p w:rsidRPr="009C48DA" w:rsidR="00B23F18" w:rsidP="00B23F18" w:rsidRDefault="00B23F18" w14:paraId="2AF3419B" w14:textId="563CB1C2">
            <w:pPr>
              <w:spacing w:after="240"/>
              <w:ind w:right="72"/>
              <w:textAlignment w:val="baseline"/>
              <w:rPr>
                <w:b/>
                <w:color w:val="000000"/>
                <w:sz w:val="20"/>
                <w:szCs w:val="20"/>
                <w:lang w:val="en-GB"/>
              </w:rPr>
            </w:pPr>
            <w:r w:rsidRPr="009C48DA">
              <w:rPr>
                <w:b/>
                <w:sz w:val="20"/>
                <w:szCs w:val="20"/>
                <w:lang w:val="en-GB"/>
              </w:rPr>
              <w:t>Underlying FRE Margin</w:t>
            </w:r>
          </w:p>
        </w:tc>
        <w:tc>
          <w:tcPr>
            <w:tcW w:w="6693" w:type="dxa"/>
          </w:tcPr>
          <w:p w:rsidRPr="009C48DA" w:rsidR="00B23F18" w:rsidP="00B74D38" w:rsidRDefault="00B23F18" w14:paraId="5128B305" w14:textId="45AC0EFF">
            <w:pPr>
              <w:spacing w:after="240"/>
              <w:jc w:val="both"/>
              <w:textAlignment w:val="baseline"/>
              <w:rPr>
                <w:color w:val="000000"/>
                <w:sz w:val="20"/>
                <w:szCs w:val="20"/>
                <w:lang w:val="en-GB"/>
              </w:rPr>
            </w:pPr>
            <w:r w:rsidRPr="009C48DA">
              <w:rPr>
                <w:color w:val="000000"/>
                <w:sz w:val="20"/>
                <w:szCs w:val="20"/>
                <w:lang w:val="en-GB"/>
              </w:rPr>
              <w:t>has the meaning given in “</w:t>
            </w:r>
            <w:r w:rsidRPr="009C48DA">
              <w:rPr>
                <w:i/>
                <w:color w:val="000000"/>
                <w:sz w:val="20"/>
                <w:szCs w:val="20"/>
                <w:lang w:val="en-GB"/>
              </w:rPr>
              <w:t>Alternative Performance Measures and Key Performance Indicators—</w:t>
            </w:r>
            <w:r w:rsidRPr="009C48DA">
              <w:rPr>
                <w:i/>
                <w:sz w:val="20"/>
                <w:szCs w:val="20"/>
                <w:lang w:val="en-GB"/>
              </w:rPr>
              <w:t>Underlying FRE and Underlying FRE Margin</w:t>
            </w:r>
            <w:r w:rsidRPr="009C48DA">
              <w:rPr>
                <w:color w:val="000000"/>
                <w:sz w:val="20"/>
                <w:szCs w:val="20"/>
                <w:lang w:val="en-GB"/>
              </w:rPr>
              <w:t>” of</w:t>
            </w:r>
            <w:r w:rsidR="00B74D38">
              <w:rPr>
                <w:color w:val="000000"/>
                <w:sz w:val="20"/>
                <w:szCs w:val="20"/>
                <w:lang w:val="en-GB"/>
              </w:rPr>
              <w:br/>
            </w:r>
            <w:r w:rsidRPr="009C48DA">
              <w:rPr>
                <w:color w:val="000000"/>
                <w:sz w:val="20"/>
                <w:szCs w:val="20"/>
                <w:lang w:val="en-GB"/>
              </w:rPr>
              <w:fldChar w:fldCharType="begin"/>
            </w:r>
            <w:r w:rsidRPr="009C48DA">
              <w:rPr>
                <w:color w:val="000000"/>
                <w:sz w:val="20"/>
                <w:szCs w:val="20"/>
                <w:lang w:val="en-GB"/>
              </w:rPr>
              <w:instrText xml:space="preserve"> REF _Ref74476668 \n \h  \* MERGEFORMAT </w:instrText>
            </w:r>
            <w:r w:rsidRPr="009C48DA">
              <w:rPr>
                <w:color w:val="000000"/>
                <w:sz w:val="20"/>
                <w:szCs w:val="20"/>
                <w:lang w:val="en-GB"/>
              </w:rPr>
            </w:r>
            <w:r w:rsidRPr="009C48DA">
              <w:rPr>
                <w:color w:val="000000"/>
                <w:sz w:val="20"/>
                <w:szCs w:val="20"/>
                <w:lang w:val="en-GB"/>
              </w:rPr>
              <w:fldChar w:fldCharType="separate"/>
            </w:r>
            <w:r w:rsidR="007C3D19">
              <w:rPr>
                <w:color w:val="000000"/>
                <w:sz w:val="20"/>
                <w:szCs w:val="20"/>
                <w:lang w:val="en-GB"/>
              </w:rPr>
              <w:t>Part IX</w:t>
            </w:r>
            <w:r w:rsidRPr="009C48DA">
              <w:rPr>
                <w:color w:val="000000"/>
                <w:sz w:val="20"/>
                <w:szCs w:val="20"/>
                <w:lang w:val="en-GB"/>
              </w:rPr>
              <w:fldChar w:fldCharType="end"/>
            </w:r>
            <w:r w:rsidRPr="009C48DA">
              <w:rPr>
                <w:sz w:val="20"/>
                <w:szCs w:val="20"/>
                <w:lang w:val="en-GB"/>
              </w:rPr>
              <w:t xml:space="preserve"> (</w:t>
            </w:r>
            <w:r w:rsidRPr="009C48DA">
              <w:rPr>
                <w:i/>
                <w:sz w:val="20"/>
                <w:szCs w:val="20"/>
                <w:lang w:val="en-GB"/>
              </w:rPr>
              <w:fldChar w:fldCharType="begin"/>
            </w:r>
            <w:r w:rsidRPr="009C48DA">
              <w:rPr>
                <w:i/>
                <w:sz w:val="20"/>
                <w:szCs w:val="20"/>
                <w:lang w:val="en-GB"/>
              </w:rPr>
              <w:instrText xml:space="preserve"> REF _Ref75191226 \h  \* MERGEFORMAT </w:instrText>
            </w:r>
            <w:r w:rsidRPr="009C48DA">
              <w:rPr>
                <w:i/>
                <w:sz w:val="20"/>
                <w:szCs w:val="20"/>
                <w:lang w:val="en-GB"/>
              </w:rPr>
            </w:r>
            <w:r w:rsidRPr="009C48DA">
              <w:rPr>
                <w:i/>
                <w:sz w:val="20"/>
                <w:szCs w:val="20"/>
                <w:lang w:val="en-GB"/>
              </w:rPr>
              <w:fldChar w:fldCharType="separate"/>
            </w:r>
            <w:r w:rsidRPr="007C3D19" w:rsidR="007C3D19">
              <w:rPr>
                <w:i/>
                <w:sz w:val="20"/>
                <w:szCs w:val="20"/>
                <w:lang w:val="en-GB"/>
              </w:rPr>
              <w:t>Operating and Financial Review</w:t>
            </w:r>
            <w:r w:rsidRPr="009C48DA">
              <w:rPr>
                <w:i/>
                <w:sz w:val="20"/>
                <w:szCs w:val="20"/>
                <w:lang w:val="en-GB"/>
              </w:rPr>
              <w:fldChar w:fldCharType="end"/>
            </w:r>
            <w:r w:rsidRPr="009C48DA">
              <w:rPr>
                <w:sz w:val="20"/>
                <w:szCs w:val="20"/>
                <w:lang w:val="en-GB"/>
              </w:rPr>
              <w:t>)</w:t>
            </w:r>
            <w:r w:rsidRPr="009C48DA">
              <w:rPr>
                <w:color w:val="000000"/>
                <w:sz w:val="20"/>
                <w:szCs w:val="20"/>
                <w:lang w:val="en-GB"/>
              </w:rPr>
              <w:t>;</w:t>
            </w:r>
          </w:p>
        </w:tc>
      </w:tr>
      <w:tr w:rsidRPr="009C48DA" w:rsidR="00B23F18" w:rsidTr="00FA0364" w14:paraId="2E5A69E6" w14:textId="77777777">
        <w:tc>
          <w:tcPr>
            <w:tcW w:w="2511" w:type="dxa"/>
          </w:tcPr>
          <w:p w:rsidRPr="009C48DA" w:rsidR="00B23F18" w:rsidP="00B23F18" w:rsidRDefault="00B23F18" w14:paraId="22F90288" w14:textId="767691E1">
            <w:pPr>
              <w:spacing w:after="240"/>
              <w:ind w:right="72"/>
              <w:textAlignment w:val="baseline"/>
              <w:rPr>
                <w:b/>
                <w:color w:val="000000"/>
                <w:sz w:val="20"/>
                <w:szCs w:val="20"/>
                <w:lang w:val="en-GB"/>
              </w:rPr>
            </w:pPr>
            <w:r w:rsidRPr="009C48DA">
              <w:rPr>
                <w:b/>
                <w:color w:val="000000"/>
                <w:sz w:val="20"/>
                <w:szCs w:val="20"/>
                <w:lang w:val="en-GB"/>
              </w:rPr>
              <w:t>United Kingdom or UK</w:t>
            </w:r>
          </w:p>
        </w:tc>
        <w:tc>
          <w:tcPr>
            <w:tcW w:w="6693" w:type="dxa"/>
          </w:tcPr>
          <w:p w:rsidRPr="009C48DA" w:rsidR="00B23F18" w:rsidP="00B23F18" w:rsidRDefault="00B23F18" w14:paraId="45E2F193" w14:textId="520D97F2">
            <w:pPr>
              <w:spacing w:after="240"/>
              <w:jc w:val="both"/>
              <w:textAlignment w:val="baseline"/>
              <w:rPr>
                <w:color w:val="000000"/>
                <w:sz w:val="20"/>
                <w:szCs w:val="20"/>
                <w:lang w:val="en-GB"/>
              </w:rPr>
            </w:pPr>
            <w:r w:rsidRPr="009C48DA">
              <w:rPr>
                <w:color w:val="000000"/>
                <w:sz w:val="20"/>
                <w:szCs w:val="20"/>
                <w:lang w:val="en-GB"/>
              </w:rPr>
              <w:t>means the United Kingdom of Great Britain and Northern Ireland; and</w:t>
            </w:r>
          </w:p>
        </w:tc>
      </w:tr>
      <w:tr w:rsidRPr="009C48DA" w:rsidR="00B23F18" w:rsidTr="00FA0364" w14:paraId="0D76C194" w14:textId="77777777">
        <w:tc>
          <w:tcPr>
            <w:tcW w:w="2511" w:type="dxa"/>
          </w:tcPr>
          <w:p w:rsidRPr="009C48DA" w:rsidR="00B23F18" w:rsidP="00B23F18" w:rsidRDefault="00B23F18" w14:paraId="295F792B" w14:textId="2813A8DA">
            <w:pPr>
              <w:spacing w:after="240"/>
              <w:ind w:right="72"/>
              <w:textAlignment w:val="baseline"/>
              <w:rPr>
                <w:b/>
                <w:color w:val="000000"/>
                <w:sz w:val="20"/>
                <w:szCs w:val="20"/>
                <w:lang w:val="en-GB"/>
              </w:rPr>
            </w:pPr>
            <w:r w:rsidRPr="009C48DA">
              <w:rPr>
                <w:b/>
                <w:color w:val="000000"/>
                <w:sz w:val="20"/>
                <w:szCs w:val="20"/>
                <w:lang w:val="en-GB"/>
              </w:rPr>
              <w:t>U.S. Securities Act</w:t>
            </w:r>
          </w:p>
        </w:tc>
        <w:tc>
          <w:tcPr>
            <w:tcW w:w="6693" w:type="dxa"/>
          </w:tcPr>
          <w:p w:rsidRPr="009C48DA" w:rsidR="00B23F18" w:rsidP="00B23F18" w:rsidRDefault="00B23F18" w14:paraId="4EB83FDC" w14:textId="77777777">
            <w:pPr>
              <w:spacing w:after="240"/>
              <w:jc w:val="both"/>
              <w:textAlignment w:val="baseline"/>
              <w:rPr>
                <w:color w:val="000000"/>
                <w:sz w:val="20"/>
                <w:szCs w:val="20"/>
                <w:lang w:val="en-GB"/>
              </w:rPr>
            </w:pPr>
            <w:r w:rsidRPr="009C48DA">
              <w:rPr>
                <w:color w:val="000000"/>
                <w:sz w:val="20"/>
                <w:szCs w:val="20"/>
                <w:lang w:val="en-GB"/>
              </w:rPr>
              <w:t xml:space="preserve">means the United States Securities Act of 1933, as amended; </w:t>
            </w:r>
          </w:p>
        </w:tc>
      </w:tr>
    </w:tbl>
    <w:p w:rsidRPr="009C48DA" w:rsidR="00DA7B9D" w:rsidP="0087688D" w:rsidRDefault="00DA7B9D" w14:paraId="5314E7FC" w14:textId="34FA043E">
      <w:pPr>
        <w:rPr>
          <w:b/>
          <w:color w:val="000000"/>
          <w:sz w:val="20"/>
          <w:szCs w:val="20"/>
          <w:lang w:val="en-GB"/>
        </w:rPr>
      </w:pPr>
    </w:p>
    <w:sectPr w:rsidRPr="009C48DA" w:rsidR="00DA7B9D" w:rsidSect="00D07543">
      <w:headerReference w:type="even" r:id="rId78"/>
      <w:headerReference w:type="default" r:id="rId79"/>
      <w:footerReference w:type="even" r:id="rId80"/>
      <w:footerReference w:type="default" r:id="rId81"/>
      <w:headerReference w:type="first" r:id="rId82"/>
      <w:footerReference w:type="first" r:id="rId83"/>
      <w:pgSz w:w="11906" w:h="16838" w:code="9"/>
      <w:pgMar w:top="1440" w:right="1440" w:bottom="1440" w:left="141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803" w:rsidRDefault="00A74803" w14:paraId="4F321F76" w14:textId="77777777">
      <w:r>
        <w:separator/>
      </w:r>
    </w:p>
  </w:endnote>
  <w:endnote w:type="continuationSeparator" w:id="0">
    <w:p w:rsidR="00A74803" w:rsidRDefault="00A74803" w14:paraId="4CF4C42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default"/>
    <w:sig w:usb0="00000000"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1"/>
    <w:family w:val="roman"/>
    <w:pitch w:val="default"/>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Yu Gothic UI">
    <w:panose1 w:val="020B05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454" w:rsidRDefault="009D2454" w14:paraId="33658BF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57516"/>
      <w:docPartObj>
        <w:docPartGallery w:val="Page Numbers (Bottom of Page)"/>
        <w:docPartUnique/>
      </w:docPartObj>
    </w:sdtPr>
    <w:sdtEndPr>
      <w:rPr>
        <w:noProof/>
        <w:sz w:val="20"/>
        <w:szCs w:val="20"/>
      </w:rPr>
    </w:sdtEndPr>
    <w:sdtContent>
      <w:p w:rsidRPr="00AE0991" w:rsidR="00A74803" w:rsidP="00447D95" w:rsidRDefault="00A74803" w14:paraId="2F01F3DC" w14:textId="0F0EB60D">
        <w:pPr>
          <w:pStyle w:val="Footer"/>
          <w:jc w:val="center"/>
          <w:rPr>
            <w:sz w:val="20"/>
            <w:szCs w:val="20"/>
          </w:rPr>
        </w:pPr>
        <w:r w:rsidRPr="00AE0991">
          <w:rPr>
            <w:sz w:val="20"/>
            <w:szCs w:val="20"/>
          </w:rPr>
          <w:fldChar w:fldCharType="begin"/>
        </w:r>
        <w:r w:rsidRPr="00AE0991">
          <w:rPr>
            <w:sz w:val="20"/>
            <w:szCs w:val="20"/>
          </w:rPr>
          <w:instrText xml:space="preserve"> PAGE   \* MERGEFORMAT </w:instrText>
        </w:r>
        <w:r w:rsidRPr="00AE0991">
          <w:rPr>
            <w:sz w:val="20"/>
            <w:szCs w:val="20"/>
          </w:rPr>
          <w:fldChar w:fldCharType="separate"/>
        </w:r>
        <w:r w:rsidR="007C3D19">
          <w:rPr>
            <w:noProof/>
            <w:sz w:val="20"/>
            <w:szCs w:val="20"/>
          </w:rPr>
          <w:t>143</w:t>
        </w:r>
        <w:r w:rsidRPr="00AE0991">
          <w:rPr>
            <w:noProof/>
            <w:sz w:val="2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03" w:rsidRDefault="00A74803" w14:paraId="23A8176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9141345"/>
      <w:docPartObj>
        <w:docPartGallery w:val="Page Numbers (Bottom of Page)"/>
        <w:docPartUnique/>
      </w:docPartObj>
    </w:sdtPr>
    <w:sdtEndPr>
      <w:rPr>
        <w:noProof/>
        <w:sz w:val="20"/>
        <w:szCs w:val="20"/>
      </w:rPr>
    </w:sdtEndPr>
    <w:sdtContent>
      <w:p w:rsidRPr="00AE0991" w:rsidR="00A74803" w:rsidP="000D6C1F" w:rsidRDefault="00A74803" w14:paraId="3BD3C31A" w14:textId="3748A9ED">
        <w:pPr>
          <w:pStyle w:val="Footer"/>
          <w:jc w:val="center"/>
          <w:rPr>
            <w:sz w:val="20"/>
            <w:szCs w:val="20"/>
          </w:rPr>
        </w:pPr>
        <w:r w:rsidRPr="00AE0991">
          <w:rPr>
            <w:sz w:val="20"/>
            <w:szCs w:val="20"/>
          </w:rPr>
          <w:fldChar w:fldCharType="begin"/>
        </w:r>
        <w:r w:rsidRPr="00AE0991">
          <w:rPr>
            <w:sz w:val="20"/>
            <w:szCs w:val="20"/>
          </w:rPr>
          <w:instrText xml:space="preserve"> PAGE   \* MERGEFORMAT </w:instrText>
        </w:r>
        <w:r w:rsidRPr="00AE0991">
          <w:rPr>
            <w:sz w:val="20"/>
            <w:szCs w:val="20"/>
          </w:rPr>
          <w:fldChar w:fldCharType="separate"/>
        </w:r>
        <w:r w:rsidR="007C3D19">
          <w:rPr>
            <w:noProof/>
            <w:sz w:val="20"/>
            <w:szCs w:val="20"/>
          </w:rPr>
          <w:t>203</w:t>
        </w:r>
        <w:r w:rsidRPr="00AE0991">
          <w:rPr>
            <w:noProof/>
            <w:sz w:val="20"/>
            <w:szCs w:val="20"/>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E0991" w:rsidR="00A74803" w:rsidP="00C82FFD" w:rsidRDefault="007C3D19" w14:paraId="075F0CFB" w14:textId="1C58B9F9">
    <w:pPr>
      <w:pStyle w:val="Footer"/>
      <w:jc w:val="center"/>
      <w:rPr>
        <w:sz w:val="20"/>
        <w:szCs w:val="20"/>
      </w:rPr>
    </w:pPr>
    <w:sdt>
      <w:sdtPr>
        <w:rPr>
          <w:sz w:val="20"/>
          <w:szCs w:val="20"/>
        </w:rPr>
        <w:id w:val="959001319"/>
        <w:docPartObj>
          <w:docPartGallery w:val="Page Numbers (Bottom of Page)"/>
          <w:docPartUnique/>
        </w:docPartObj>
      </w:sdtPr>
      <w:sdtEndPr>
        <w:rPr>
          <w:noProof/>
        </w:rPr>
      </w:sdtEndPr>
      <w:sdtContent>
        <w:r w:rsidRPr="00AE0991" w:rsidR="00A74803">
          <w:rPr>
            <w:sz w:val="20"/>
            <w:szCs w:val="20"/>
          </w:rPr>
          <w:fldChar w:fldCharType="begin"/>
        </w:r>
        <w:r w:rsidRPr="00AE0991" w:rsidR="00A74803">
          <w:rPr>
            <w:sz w:val="20"/>
            <w:szCs w:val="20"/>
          </w:rPr>
          <w:instrText xml:space="preserve"> PAGE   \* MERGEFORMAT </w:instrText>
        </w:r>
        <w:r w:rsidRPr="00AE0991" w:rsidR="00A74803">
          <w:rPr>
            <w:sz w:val="20"/>
            <w:szCs w:val="20"/>
          </w:rPr>
          <w:fldChar w:fldCharType="separate"/>
        </w:r>
        <w:r>
          <w:rPr>
            <w:noProof/>
            <w:sz w:val="20"/>
            <w:szCs w:val="20"/>
          </w:rPr>
          <w:t>211</w:t>
        </w:r>
        <w:r w:rsidRPr="00AE0991" w:rsidR="00A74803">
          <w:rPr>
            <w:noProof/>
            <w:sz w:val="20"/>
            <w:szCs w:val="20"/>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E0991" w:rsidR="00A74803" w:rsidRDefault="00A74803" w14:paraId="07AC9AB0" w14:textId="77777777">
    <w:pPr>
      <w:pStyle w:val="Footer"/>
      <w:rPr>
        <w:sz w:val="20"/>
        <w:szCs w:val="20"/>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52358354"/>
      <w:docPartObj>
        <w:docPartGallery w:val="Page Numbers (Bottom of Page)"/>
        <w:docPartUnique/>
      </w:docPartObj>
    </w:sdtPr>
    <w:sdtEndPr>
      <w:rPr>
        <w:noProof/>
      </w:rPr>
    </w:sdtEndPr>
    <w:sdtContent>
      <w:p w:rsidRPr="00AE0991" w:rsidR="00A74803" w:rsidRDefault="00A74803" w14:paraId="2100F20B" w14:textId="2CE2D6DD">
        <w:pPr>
          <w:pStyle w:val="Footer"/>
          <w:jc w:val="center"/>
          <w:rPr>
            <w:noProof/>
            <w:sz w:val="20"/>
            <w:szCs w:val="20"/>
          </w:rPr>
        </w:pPr>
        <w:r w:rsidRPr="00AE0991">
          <w:rPr>
            <w:sz w:val="20"/>
            <w:szCs w:val="20"/>
          </w:rPr>
          <w:fldChar w:fldCharType="begin"/>
        </w:r>
        <w:r w:rsidRPr="00AE0991">
          <w:rPr>
            <w:sz w:val="20"/>
            <w:szCs w:val="20"/>
          </w:rPr>
          <w:instrText xml:space="preserve"> PAGE   \* MERGEFORMAT </w:instrText>
        </w:r>
        <w:r w:rsidRPr="00AE0991">
          <w:rPr>
            <w:sz w:val="20"/>
            <w:szCs w:val="20"/>
          </w:rPr>
          <w:fldChar w:fldCharType="separate"/>
        </w:r>
        <w:r w:rsidR="007C3D19">
          <w:rPr>
            <w:noProof/>
            <w:sz w:val="20"/>
            <w:szCs w:val="20"/>
          </w:rPr>
          <w:t>232</w:t>
        </w:r>
        <w:r w:rsidRPr="00AE0991">
          <w:rPr>
            <w:noProof/>
            <w:sz w:val="20"/>
            <w:szCs w:val="20"/>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03" w:rsidP="00AE78AF" w:rsidRDefault="007C3D19" w14:paraId="2D29C69C" w14:textId="3478DE90">
    <w:pPr>
      <w:pStyle w:val="Footer"/>
      <w:jc w:val="center"/>
    </w:pPr>
    <w:sdt>
      <w:sdtPr>
        <w:id w:val="1716859309"/>
        <w:docPartObj>
          <w:docPartGallery w:val="Page Numbers (Bottom of Page)"/>
          <w:docPartUnique/>
        </w:docPartObj>
      </w:sdtPr>
      <w:sdtEndPr>
        <w:rPr>
          <w:noProof/>
        </w:rPr>
      </w:sdtEndPr>
      <w:sdtContent>
        <w:r w:rsidR="00A74803">
          <w:fldChar w:fldCharType="begin"/>
        </w:r>
        <w:r w:rsidR="00A74803">
          <w:instrText xml:space="preserve"> PAGE   \* MERGEFORMAT </w:instrText>
        </w:r>
        <w:r w:rsidR="00A74803">
          <w:fldChar w:fldCharType="separate"/>
        </w:r>
        <w:r>
          <w:rPr>
            <w:noProof/>
          </w:rPr>
          <w:t>212</w:t>
        </w:r>
        <w:r w:rsidR="00A74803">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454" w:rsidRDefault="009D2454" w14:paraId="48B4C2D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454" w:rsidRDefault="009D2454" w14:paraId="5A8D8DF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03" w:rsidRDefault="00A74803" w14:paraId="7D0366E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387711"/>
      <w:docPartObj>
        <w:docPartGallery w:val="Page Numbers (Bottom of Page)"/>
        <w:docPartUnique/>
      </w:docPartObj>
    </w:sdtPr>
    <w:sdtEndPr>
      <w:rPr>
        <w:noProof/>
        <w:sz w:val="20"/>
      </w:rPr>
    </w:sdtEndPr>
    <w:sdtContent>
      <w:p w:rsidR="00A74803" w:rsidRDefault="00A74803" w14:paraId="63F12E2C" w14:textId="77777777">
        <w:pPr>
          <w:pStyle w:val="Footer"/>
          <w:jc w:val="center"/>
        </w:pPr>
      </w:p>
      <w:p w:rsidRPr="005F59A4" w:rsidR="00A74803" w:rsidRDefault="00A74803" w14:paraId="3625FB29" w14:textId="2DCCDBA8">
        <w:pPr>
          <w:pStyle w:val="Footer"/>
          <w:jc w:val="center"/>
          <w:rPr>
            <w:sz w:val="20"/>
          </w:rPr>
        </w:pPr>
        <w:r w:rsidRPr="005F59A4">
          <w:rPr>
            <w:sz w:val="20"/>
          </w:rPr>
          <w:fldChar w:fldCharType="begin"/>
        </w:r>
        <w:r w:rsidRPr="005F59A4">
          <w:rPr>
            <w:sz w:val="20"/>
          </w:rPr>
          <w:instrText xml:space="preserve"> PAGE   \* MERGEFORMAT </w:instrText>
        </w:r>
        <w:r w:rsidRPr="005F59A4">
          <w:rPr>
            <w:sz w:val="20"/>
          </w:rPr>
          <w:fldChar w:fldCharType="separate"/>
        </w:r>
        <w:r w:rsidR="007C3D19">
          <w:rPr>
            <w:noProof/>
            <w:sz w:val="20"/>
          </w:rPr>
          <w:t>139</w:t>
        </w:r>
        <w:r w:rsidRPr="005F59A4">
          <w:rPr>
            <w:noProof/>
            <w:sz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071541"/>
      <w:docPartObj>
        <w:docPartGallery w:val="Page Numbers (Bottom of Page)"/>
        <w:docPartUnique/>
      </w:docPartObj>
    </w:sdtPr>
    <w:sdtEndPr>
      <w:rPr>
        <w:noProof/>
      </w:rPr>
    </w:sdtEndPr>
    <w:sdtContent>
      <w:p w:rsidR="00A74803" w:rsidRDefault="00A74803" w14:paraId="43023AC8" w14:textId="1932F3B5">
        <w:pPr>
          <w:pStyle w:val="Footer"/>
          <w:jc w:val="center"/>
        </w:pPr>
        <w:r>
          <w:fldChar w:fldCharType="begin"/>
        </w:r>
        <w:r>
          <w:instrText xml:space="preserve"> PAGE   \* MERGEFORMAT </w:instrText>
        </w:r>
        <w:r>
          <w:fldChar w:fldCharType="separate"/>
        </w:r>
        <w:r w:rsidR="007C3D19">
          <w:rPr>
            <w:noProof/>
          </w:rPr>
          <w:t>1</w:t>
        </w:r>
        <w:r>
          <w:rPr>
            <w:noProof/>
          </w:rPr>
          <w:fldChar w:fldCharType="end"/>
        </w:r>
      </w:p>
    </w:sdtContent>
  </w:sdt>
  <w:p w:rsidR="00A74803" w:rsidRDefault="00A74803" w14:paraId="4DBB35E3" w14:textId="6E2F4BE1">
    <w:pPr>
      <w:pStyle w:val="Footer"/>
      <w:jc w:val="center"/>
      <w:rPr>
        <w:noProof/>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367297363"/>
      <w:docPartObj>
        <w:docPartGallery w:val="Page Numbers (Bottom of Page)"/>
        <w:docPartUnique/>
      </w:docPartObj>
    </w:sdtPr>
    <w:sdtEndPr>
      <w:rPr>
        <w:noProof/>
      </w:rPr>
    </w:sdtEndPr>
    <w:sdtContent>
      <w:p w:rsidRPr="00AE0991" w:rsidR="00A74803" w:rsidRDefault="00A74803" w14:paraId="26B1F8C5" w14:textId="75677AD5">
        <w:pPr>
          <w:pStyle w:val="Footer"/>
          <w:jc w:val="center"/>
          <w:rPr>
            <w:sz w:val="20"/>
            <w:szCs w:val="20"/>
          </w:rPr>
        </w:pPr>
        <w:r w:rsidRPr="00AE0991">
          <w:rPr>
            <w:sz w:val="20"/>
            <w:szCs w:val="20"/>
          </w:rPr>
          <w:fldChar w:fldCharType="begin"/>
        </w:r>
        <w:r w:rsidRPr="00AE0991">
          <w:rPr>
            <w:sz w:val="20"/>
            <w:szCs w:val="20"/>
          </w:rPr>
          <w:instrText xml:space="preserve"> PAGE   \* MERGEFORMAT </w:instrText>
        </w:r>
        <w:r w:rsidRPr="00AE0991">
          <w:rPr>
            <w:sz w:val="20"/>
            <w:szCs w:val="20"/>
          </w:rPr>
          <w:fldChar w:fldCharType="separate"/>
        </w:r>
        <w:r w:rsidR="007C3D19">
          <w:rPr>
            <w:noProof/>
            <w:sz w:val="20"/>
            <w:szCs w:val="20"/>
          </w:rPr>
          <w:t>141</w:t>
        </w:r>
        <w:r w:rsidRPr="00AE0991">
          <w:rPr>
            <w:noProof/>
            <w:sz w:val="20"/>
            <w:szCs w:val="20"/>
          </w:rPr>
          <w:fldChar w:fldCharType="end"/>
        </w:r>
      </w:p>
    </w:sdtContent>
  </w:sdt>
</w:ftr>
</file>

<file path=word/footer8.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3463475"/>
      <w:docPartObj>
        <w:docPartGallery w:val="Page Numbers (Bottom of Page)"/>
        <w:docPartUnique/>
      </w:docPartObj>
    </w:sdtPr>
    <w:sdtEndPr>
      <w:rPr>
        <w:noProof/>
        <w:sz w:val="20"/>
        <w:szCs w:val="20"/>
      </w:rPr>
    </w:sdtEndPr>
    <w:sdtContent>
      <w:p w:rsidRPr="0018546A" w:rsidR="00A74803" w:rsidP="00794BFF" w:rsidRDefault="00A74803" w14:paraId="3BCE7651" w14:textId="77777777">
        <w:pPr>
          <w:spacing w:line="200" w:lineRule="atLeast"/>
          <w:rPr>
            <w:rFonts w:ascii="Georgia" w:hAnsi="Georgia" w:eastAsia="Calibri" w:cs="Times New Roman"/>
            <w:i/>
            <w:noProof/>
            <w:sz w:val="18"/>
            <w:szCs w:val="22"/>
            <w:lang w:val="en-GB" w:eastAsia="en-GB"/>
          </w:rPr>
        </w:pPr>
        <w:r w:rsidRPr="0018546A">
          <w:rPr>
            <w:rFonts w:ascii="Georgia" w:hAnsi="Georgia" w:eastAsia="Calibri" w:cs="Times New Roman"/>
            <w:i/>
            <w:noProof/>
            <w:sz w:val="18"/>
            <w:szCs w:val="22"/>
            <w:lang w:val="en-GB" w:eastAsia="en-GB"/>
          </w:rPr>
          <w:t xml:space="preserve">PricewaterhouseCoopers LLP, </w:t>
        </w:r>
        <w:bookmarkStart w:name="Address" w:id="709"/>
        <w:r w:rsidRPr="0018546A">
          <w:rPr>
            <w:rFonts w:ascii="Georgia" w:hAnsi="Georgia" w:eastAsia="Calibri" w:cs="Times New Roman"/>
            <w:i/>
            <w:noProof/>
            <w:sz w:val="18"/>
            <w:szCs w:val="22"/>
            <w:lang w:val="en-GB" w:eastAsia="en-GB"/>
          </w:rPr>
          <w:t>1 Embankment Place, London, WC2N 6RH</w:t>
        </w:r>
      </w:p>
      <w:p w:rsidRPr="0018546A" w:rsidR="00A74803" w:rsidP="00794BFF" w:rsidRDefault="00A74803" w14:paraId="7A9DCC93" w14:textId="77777777">
        <w:pPr>
          <w:spacing w:line="200" w:lineRule="atLeast"/>
          <w:rPr>
            <w:rFonts w:ascii="Georgia" w:hAnsi="Georgia" w:eastAsia="Calibri" w:cs="Times New Roman"/>
            <w:i/>
            <w:noProof/>
            <w:sz w:val="18"/>
            <w:szCs w:val="22"/>
            <w:lang w:val="en-GB" w:eastAsia="en-GB"/>
          </w:rPr>
        </w:pPr>
        <w:r w:rsidRPr="0018546A">
          <w:rPr>
            <w:rFonts w:ascii="Georgia" w:hAnsi="Georgia" w:eastAsia="Calibri" w:cs="Times New Roman"/>
            <w:i/>
            <w:noProof/>
            <w:sz w:val="18"/>
            <w:szCs w:val="22"/>
            <w:lang w:val="en-GB" w:eastAsia="en-GB"/>
          </w:rPr>
          <w:t>T: +44 (0) 2075 835 000, F: +44 (0) 2072 124 652</w:t>
        </w:r>
        <w:bookmarkEnd w:id="709"/>
        <w:r w:rsidRPr="0018546A">
          <w:rPr>
            <w:rFonts w:ascii="Georgia" w:hAnsi="Georgia" w:eastAsia="Calibri" w:cs="Times New Roman"/>
            <w:i/>
            <w:noProof/>
            <w:sz w:val="18"/>
            <w:szCs w:val="22"/>
            <w:lang w:val="en-GB" w:eastAsia="en-GB"/>
          </w:rPr>
          <w:t>, www.pwc.co.uk</w:t>
        </w:r>
        <w:r w:rsidRPr="0018546A">
          <w:rPr>
            <w:rFonts w:ascii="Georgia" w:hAnsi="Georgia" w:eastAsia="Calibri" w:cs="Times New Roman"/>
            <w:i/>
            <w:noProof/>
            <w:sz w:val="18"/>
            <w:szCs w:val="22"/>
          </w:rPr>
          <mc:AlternateContent>
            <mc:Choice Requires="wps">
              <w:drawing>
                <wp:anchor distT="0" distB="0" distL="114300" distR="114300" simplePos="0" relativeHeight="251674624" behindDoc="0" locked="1" layoutInCell="1" allowOverlap="1" wp14:editId="330B49C7" wp14:anchorId="72549CAB">
                  <wp:simplePos x="0" y="0"/>
                  <wp:positionH relativeFrom="margin">
                    <wp:align>left</wp:align>
                  </wp:positionH>
                  <wp:positionV relativeFrom="paragraph">
                    <wp:posOffset>-329565</wp:posOffset>
                  </wp:positionV>
                  <wp:extent cx="5904230" cy="144145"/>
                  <wp:effectExtent l="0" t="0" r="20320" b="27305"/>
                  <wp:wrapNone/>
                  <wp:docPr id="49" name="Freeform 49" descr="" tit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4230" cy="144145"/>
                          </a:xfrm>
                          <a:custGeom>
                            <a:avLst/>
                            <a:gdLst>
                              <a:gd name="T0" fmla="*/ 0 w 9299"/>
                              <a:gd name="T1" fmla="*/ 228 h 228"/>
                              <a:gd name="T2" fmla="*/ 0 w 9299"/>
                              <a:gd name="T3" fmla="*/ 0 h 228"/>
                              <a:gd name="T4" fmla="*/ 9299 w 9299"/>
                              <a:gd name="T5" fmla="*/ 0 h 228"/>
                            </a:gdLst>
                            <a:ahLst/>
                            <a:cxnLst>
                              <a:cxn ang="0">
                                <a:pos x="T0" y="T1"/>
                              </a:cxn>
                              <a:cxn ang="0">
                                <a:pos x="T2" y="T3"/>
                              </a:cxn>
                              <a:cxn ang="0">
                                <a:pos x="T4" y="T5"/>
                              </a:cxn>
                            </a:cxnLst>
                            <a:rect l="0" t="0" r="r" b="b"/>
                            <a:pathLst>
                              <a:path w="9299" h="228">
                                <a:moveTo>
                                  <a:pt x="0" y="228"/>
                                </a:moveTo>
                                <a:lnTo>
                                  <a:pt x="0" y="0"/>
                                </a:lnTo>
                                <a:lnTo>
                                  <a:pt x="9299" y="0"/>
                                </a:lnTo>
                              </a:path>
                            </a:pathLst>
                          </a:custGeom>
                          <a:noFill/>
                          <a:ln w="12700">
                            <a:solidFill>
                              <a:srgbClr val="FFCD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A74803" w:rsidP="00794BFF" w:rsidRDefault="00A74803" w14:paraId="7C2F409B"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9" style="position:absolute;margin-left:0;margin-top:-25.95pt;width:464.9pt;height:11.3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lt="" coordsize="9299,228" o:spid="_x0000_s1026" filled="f" strokecolor="#ffcd00" strokeweight="1pt" o:spt="100" adj="-11796480,,5400" path="m,228l,,92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" w14:anchorId="72549CAB">
                  <v:stroke joinstyle="round" dashstyle="1 1"/>
                  <v:formulas/>
                  <v:path textboxrect="0,0,9299,228" arrowok="t" o:connecttype="custom" o:connectlocs="0,144145;0,0;5904230,0" o:connectangles="0,0,0"/>
                  <v:textbox>
                    <w:txbxContent>
                      <w:p w:rsidR="00A74803" w:rsidP="00794BFF" w:rsidRDefault="00A74803" w14:paraId="7C2F409B" w14:textId="77777777">
                        <w:pPr>
                          <w:jc w:val="center"/>
                        </w:pPr>
                      </w:p>
                    </w:txbxContent>
                  </v:textbox>
                  <w10:wrap anchorx="margin"/>
                  <w10:anchorlock/>
                </v:shape>
              </w:pict>
            </mc:Fallback>
          </mc:AlternateContent>
        </w:r>
      </w:p>
      <w:p w:rsidRPr="0018546A" w:rsidR="00A74803" w:rsidP="00794BFF" w:rsidRDefault="00A74803" w14:paraId="12BE2ABA" w14:textId="77777777">
        <w:pPr>
          <w:spacing w:line="140" w:lineRule="atLeast"/>
          <w:rPr>
            <w:rFonts w:ascii="Calibri" w:hAnsi="Calibri" w:eastAsia="Calibri" w:cs="Arial"/>
            <w:noProof/>
            <w:sz w:val="12"/>
            <w:szCs w:val="22"/>
            <w:lang w:val="en-GB" w:eastAsia="en-GB"/>
          </w:rPr>
        </w:pPr>
      </w:p>
      <w:p w:rsidRPr="0018546A" w:rsidR="00A74803" w:rsidP="00794BFF" w:rsidRDefault="00A74803" w14:paraId="2479D6D9" w14:textId="77777777">
        <w:pPr>
          <w:spacing w:line="140" w:lineRule="atLeast"/>
          <w:rPr>
            <w:rFonts w:ascii="Calibri" w:hAnsi="Calibri" w:eastAsia="Calibri" w:cs="Arial"/>
            <w:noProof/>
            <w:sz w:val="12"/>
            <w:szCs w:val="22"/>
            <w:lang w:val="en-GB" w:eastAsia="en-GB"/>
          </w:rPr>
        </w:pPr>
        <w:bookmarkStart w:name="Disc3" w:id="710"/>
        <w:r w:rsidRPr="0018546A">
          <w:rPr>
            <w:rFonts w:ascii="Calibri" w:hAnsi="Calibri" w:eastAsia="Calibri" w:cs="Arial"/>
            <w:noProof/>
            <w:sz w:val="12"/>
            <w:szCs w:val="22"/>
            <w:lang w:val="en-GB" w:eastAsia="en-GB"/>
          </w:rPr>
          <w:t>PricewaterhouseCoopers LLP is a limited liability partnership registered in England wi</w:t>
        </w:r>
        <w:r>
          <w:rPr>
            <w:rFonts w:ascii="Calibri" w:hAnsi="Calibri" w:eastAsia="Calibri" w:cs="Arial"/>
            <w:noProof/>
            <w:sz w:val="12"/>
            <w:szCs w:val="22"/>
            <w:lang w:val="en-GB" w:eastAsia="en-GB"/>
          </w:rPr>
          <w:t xml:space="preserve">th registered number OC303525. </w:t>
        </w:r>
        <w:r w:rsidRPr="0018546A">
          <w:rPr>
            <w:rFonts w:ascii="Calibri" w:hAnsi="Calibri" w:eastAsia="Calibri" w:cs="Arial"/>
            <w:noProof/>
            <w:sz w:val="12"/>
            <w:szCs w:val="22"/>
            <w:lang w:val="en-GB" w:eastAsia="en-GB"/>
          </w:rPr>
          <w:t xml:space="preserve">The registered office of </w:t>
        </w:r>
      </w:p>
      <w:p w:rsidRPr="0018546A" w:rsidR="00A74803" w:rsidP="00794BFF" w:rsidRDefault="00A74803" w14:paraId="7133FBED" w14:textId="77777777">
        <w:pPr>
          <w:spacing w:line="140" w:lineRule="atLeast"/>
          <w:rPr>
            <w:rFonts w:ascii="Calibri" w:hAnsi="Calibri" w:eastAsia="Calibri" w:cs="Arial"/>
            <w:noProof/>
            <w:sz w:val="12"/>
            <w:szCs w:val="22"/>
            <w:lang w:val="en-GB" w:eastAsia="en-GB"/>
          </w:rPr>
        </w:pPr>
        <w:r w:rsidRPr="0018546A">
          <w:rPr>
            <w:rFonts w:ascii="Calibri" w:hAnsi="Calibri" w:eastAsia="Calibri" w:cs="Arial"/>
            <w:noProof/>
            <w:sz w:val="12"/>
            <w:szCs w:val="22"/>
            <w:lang w:val="en-GB" w:eastAsia="en-GB"/>
          </w:rPr>
          <w:t>PricewaterhouseCoopers LLP is 1 Emba</w:t>
        </w:r>
        <w:r>
          <w:rPr>
            <w:rFonts w:ascii="Calibri" w:hAnsi="Calibri" w:eastAsia="Calibri" w:cs="Arial"/>
            <w:noProof/>
            <w:sz w:val="12"/>
            <w:szCs w:val="22"/>
            <w:lang w:val="en-GB" w:eastAsia="en-GB"/>
          </w:rPr>
          <w:t xml:space="preserve">nkment Place, London WC2N 6RH. </w:t>
        </w:r>
        <w:r w:rsidRPr="0018546A">
          <w:rPr>
            <w:rFonts w:ascii="Calibri" w:hAnsi="Calibri" w:eastAsia="Calibri" w:cs="Arial"/>
            <w:noProof/>
            <w:sz w:val="12"/>
            <w:szCs w:val="22"/>
            <w:lang w:val="en-GB" w:eastAsia="en-GB"/>
          </w:rPr>
          <w:t>PricewaterhouseCoopers LLP is authorised and regulated by the Financial Conduct Authority for designated investment business.</w:t>
        </w:r>
        <w:bookmarkEnd w:id="710"/>
      </w:p>
      <w:p w:rsidRPr="00AE0991" w:rsidR="00A74803" w:rsidRDefault="00A74803" w14:paraId="0D8D845E" w14:textId="334CF5FF">
        <w:pPr>
          <w:pStyle w:val="Footer"/>
          <w:jc w:val="center"/>
          <w:rPr>
            <w:noProof/>
            <w:sz w:val="20"/>
            <w:szCs w:val="20"/>
          </w:rPr>
        </w:pPr>
        <w:r w:rsidRPr="00AE0991">
          <w:rPr>
            <w:sz w:val="20"/>
            <w:szCs w:val="20"/>
          </w:rPr>
          <w:fldChar w:fldCharType="begin"/>
        </w:r>
        <w:r w:rsidRPr="00AE0991">
          <w:rPr>
            <w:sz w:val="20"/>
            <w:szCs w:val="20"/>
          </w:rPr>
          <w:instrText xml:space="preserve"> PAGE   \* MERGEFORMAT </w:instrText>
        </w:r>
        <w:r w:rsidRPr="00AE0991">
          <w:rPr>
            <w:sz w:val="20"/>
            <w:szCs w:val="20"/>
          </w:rPr>
          <w:fldChar w:fldCharType="separate"/>
        </w:r>
        <w:r w:rsidR="007C3D19">
          <w:rPr>
            <w:noProof/>
            <w:sz w:val="20"/>
            <w:szCs w:val="20"/>
          </w:rPr>
          <w:t>140</w:t>
        </w:r>
        <w:r w:rsidRPr="00AE0991">
          <w:rPr>
            <w:noProof/>
            <w:sz w:val="20"/>
            <w:szCs w:val="2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03" w:rsidRDefault="00A74803" w14:paraId="467ED14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803" w:rsidRDefault="00A74803" w14:paraId="2588F103" w14:textId="77777777">
      <w:r>
        <w:separator/>
      </w:r>
    </w:p>
  </w:footnote>
  <w:footnote w:type="continuationSeparator" w:id="0">
    <w:p w:rsidR="00A74803" w:rsidRDefault="00A74803" w14:paraId="48FBD9ED" w14:textId="77777777">
      <w:r>
        <w:continuationSeparator/>
      </w:r>
    </w:p>
  </w:footnote>
  <w:footnote w:id="1">
    <w:p w:rsidRPr="00507C65" w:rsidR="00A74803" w:rsidP="003C36B4" w:rsidRDefault="00A74803" w14:paraId="3A9697F8" w14:textId="77777777">
      <w:pPr>
        <w:pStyle w:val="FootnoteText"/>
        <w:spacing w:after="0"/>
        <w:rPr>
          <w:lang w:val="en-GB"/>
        </w:rPr>
      </w:pPr>
      <w:r>
        <w:rPr>
          <w:rStyle w:val="FootnoteReference"/>
        </w:rPr>
        <w:footnoteRef/>
      </w:r>
      <w:r>
        <w:t xml:space="preserve"> </w:t>
      </w:r>
      <w:r w:rsidRPr="00507C65">
        <w:rPr>
          <w:i/>
        </w:rPr>
        <w:t>Source</w:t>
      </w:r>
      <w:r w:rsidRPr="006B0BA6">
        <w:t xml:space="preserve">: PwC, </w:t>
      </w:r>
      <w:r w:rsidRPr="00794221">
        <w:rPr>
          <w:i/>
        </w:rPr>
        <w:t>Asset and wealth management revolution: the power to shape the future</w:t>
      </w:r>
      <w:r w:rsidRPr="006B0BA6">
        <w:t>, December 2020.</w:t>
      </w:r>
    </w:p>
  </w:footnote>
  <w:footnote w:id="2">
    <w:p w:rsidRPr="00626A7E" w:rsidR="00A74803" w:rsidP="00C42236" w:rsidRDefault="00A74803" w14:paraId="458F5A61" w14:textId="218A7876">
      <w:pPr>
        <w:pStyle w:val="FootnoteText"/>
        <w:spacing w:after="0"/>
        <w:rPr>
          <w:lang w:val="en-GB"/>
        </w:rPr>
      </w:pPr>
      <w:r>
        <w:rPr>
          <w:rStyle w:val="FootnoteReference"/>
        </w:rPr>
        <w:footnoteRef/>
      </w:r>
      <w:r>
        <w:t xml:space="preserve"> </w:t>
      </w:r>
      <w:r w:rsidRPr="003C36B4">
        <w:rPr>
          <w:i/>
        </w:rPr>
        <w:t xml:space="preserve">Source: </w:t>
      </w:r>
      <w:r w:rsidRPr="00794221">
        <w:t>Preqin</w:t>
      </w:r>
      <w:r w:rsidRPr="003C36B4">
        <w:rPr>
          <w:i/>
        </w:rPr>
        <w:t xml:space="preserve">, Preqin Special Report: The Future of Alternatives 2025, </w:t>
      </w:r>
      <w:r w:rsidRPr="00794221">
        <w:t>November 2020.</w:t>
      </w:r>
    </w:p>
  </w:footnote>
  <w:footnote w:id="3">
    <w:p w:rsidR="00A74803" w:rsidRDefault="00A74803" w14:paraId="28E49A35" w14:textId="664936F0">
      <w:pPr>
        <w:pStyle w:val="FootnoteText"/>
      </w:pPr>
      <w:r>
        <w:rPr>
          <w:rStyle w:val="FootnoteReference"/>
        </w:rPr>
        <w:footnoteRef/>
      </w:r>
      <w:r>
        <w:t xml:space="preserve"> </w:t>
      </w:r>
      <w:r w:rsidRPr="00042309">
        <w:rPr>
          <w:i/>
        </w:rPr>
        <w:t>Source</w:t>
      </w:r>
      <w:r w:rsidRPr="003C36B4">
        <w:t xml:space="preserve">: Private Equity International, </w:t>
      </w:r>
      <w:r w:rsidRPr="00794221">
        <w:rPr>
          <w:i/>
        </w:rPr>
        <w:t>LP Perspectives 2021 Study</w:t>
      </w:r>
      <w:r w:rsidRPr="003C36B4">
        <w:t>, January 2021.</w:t>
      </w:r>
    </w:p>
  </w:footnote>
  <w:footnote w:id="4">
    <w:p w:rsidRPr="00421504" w:rsidR="00A74803" w:rsidRDefault="00A74803" w14:paraId="7CF6525E" w14:textId="6F883727">
      <w:pPr>
        <w:pStyle w:val="FootnoteText"/>
        <w:rPr>
          <w:szCs w:val="18"/>
          <w:lang w:val="en-GB"/>
        </w:rPr>
      </w:pPr>
      <w:r w:rsidRPr="00421504">
        <w:rPr>
          <w:rStyle w:val="FootnoteReference"/>
          <w:szCs w:val="18"/>
        </w:rPr>
        <w:footnoteRef/>
      </w:r>
      <w:r w:rsidRPr="00421504">
        <w:rPr>
          <w:szCs w:val="18"/>
        </w:rPr>
        <w:t xml:space="preserve"> </w:t>
      </w:r>
      <w:r w:rsidRPr="00421504">
        <w:rPr>
          <w:rFonts w:eastAsia="Calibri" w:cs="Arial"/>
          <w:i/>
          <w:szCs w:val="18"/>
          <w:lang w:val="en-GB"/>
        </w:rPr>
        <w:t>Source</w:t>
      </w:r>
      <w:r w:rsidRPr="00421504">
        <w:rPr>
          <w:rFonts w:eastAsia="Calibri" w:cs="Arial"/>
          <w:szCs w:val="18"/>
          <w:lang w:val="en-GB"/>
        </w:rPr>
        <w:t xml:space="preserve">: Pitchbook, </w:t>
      </w:r>
      <w:r w:rsidRPr="00794221">
        <w:rPr>
          <w:rFonts w:eastAsia="Calibri" w:cs="Arial"/>
          <w:i/>
          <w:szCs w:val="18"/>
          <w:lang w:val="en-GB"/>
        </w:rPr>
        <w:t>The Pitchbook Decade Report, Vol. II: Investments 2001</w:t>
      </w:r>
      <w:r>
        <w:rPr>
          <w:rFonts w:eastAsia="Calibri" w:cs="Arial"/>
          <w:i/>
          <w:szCs w:val="18"/>
          <w:lang w:val="en-GB"/>
        </w:rPr>
        <w:t>–</w:t>
      </w:r>
      <w:r w:rsidRPr="00794221">
        <w:rPr>
          <w:rFonts w:eastAsia="Calibri" w:cs="Arial"/>
          <w:i/>
          <w:szCs w:val="18"/>
          <w:lang w:val="en-GB"/>
        </w:rPr>
        <w:t>2010</w:t>
      </w:r>
      <w:r w:rsidRPr="00421504">
        <w:rPr>
          <w:rFonts w:eastAsia="Calibri" w:cs="Arial"/>
          <w:szCs w:val="18"/>
          <w:lang w:val="en-GB"/>
        </w:rPr>
        <w:t>.</w:t>
      </w:r>
    </w:p>
  </w:footnote>
  <w:footnote w:id="5">
    <w:p w:rsidRPr="00C118A6" w:rsidR="00A74803" w:rsidP="00E15E59" w:rsidRDefault="00A74803" w14:paraId="6E5DF507" w14:textId="77777777">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PwC, </w:t>
      </w:r>
      <w:r w:rsidRPr="00C118A6">
        <w:rPr>
          <w:rFonts w:cs="Times New Roman"/>
          <w:i/>
          <w:szCs w:val="18"/>
        </w:rPr>
        <w:t>Asset and wealth management revolution: the power to shape the future</w:t>
      </w:r>
      <w:r w:rsidRPr="00794221">
        <w:rPr>
          <w:rFonts w:cs="Times New Roman"/>
          <w:szCs w:val="18"/>
        </w:rPr>
        <w:t>,</w:t>
      </w:r>
      <w:r w:rsidRPr="00C118A6">
        <w:rPr>
          <w:rFonts w:cs="Times New Roman"/>
          <w:i/>
          <w:szCs w:val="18"/>
        </w:rPr>
        <w:t xml:space="preserve"> </w:t>
      </w:r>
      <w:r w:rsidRPr="00C118A6">
        <w:rPr>
          <w:rFonts w:cs="Times New Roman"/>
          <w:szCs w:val="18"/>
        </w:rPr>
        <w:t>December 2020.</w:t>
      </w:r>
    </w:p>
  </w:footnote>
  <w:footnote w:id="6">
    <w:p w:rsidRPr="00C118A6" w:rsidR="00A74803" w:rsidP="00E15E59" w:rsidRDefault="00A74803" w14:paraId="258E0F3F" w14:textId="77777777">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PwC, </w:t>
      </w:r>
      <w:r w:rsidRPr="00C118A6">
        <w:rPr>
          <w:rFonts w:cs="Times New Roman"/>
          <w:i/>
          <w:szCs w:val="18"/>
        </w:rPr>
        <w:t>Asset and wealth management revolution: the power to shape the future</w:t>
      </w:r>
      <w:r w:rsidRPr="00794221">
        <w:rPr>
          <w:rFonts w:cs="Times New Roman"/>
          <w:szCs w:val="18"/>
        </w:rPr>
        <w:t>,</w:t>
      </w:r>
      <w:r w:rsidRPr="00C118A6">
        <w:rPr>
          <w:rFonts w:cs="Times New Roman"/>
          <w:i/>
          <w:szCs w:val="18"/>
        </w:rPr>
        <w:t xml:space="preserve"> </w:t>
      </w:r>
      <w:r w:rsidRPr="00C118A6">
        <w:rPr>
          <w:rFonts w:cs="Times New Roman"/>
          <w:szCs w:val="18"/>
        </w:rPr>
        <w:t>December 2020.</w:t>
      </w:r>
    </w:p>
  </w:footnote>
  <w:footnote w:id="7">
    <w:p w:rsidRPr="00C118A6" w:rsidR="00A74803" w:rsidP="00E15E59" w:rsidRDefault="00A74803" w14:paraId="055A6648" w14:textId="03D01DD6">
      <w:pPr>
        <w:pStyle w:val="FootnoteText"/>
        <w:spacing w:after="0"/>
        <w:rPr>
          <w:rFonts w:cs="Times New Roman"/>
          <w:i/>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Coller Capital, </w:t>
      </w:r>
      <w:r w:rsidRPr="005323B1">
        <w:rPr>
          <w:rFonts w:cs="Times New Roman"/>
          <w:szCs w:val="18"/>
        </w:rPr>
        <w:t>https://www.collercapital.com/about-secondaries/history-secondaries</w:t>
      </w:r>
      <w:r w:rsidRPr="00C118A6">
        <w:rPr>
          <w:rFonts w:cs="Times New Roman"/>
          <w:szCs w:val="18"/>
        </w:rPr>
        <w:t xml:space="preserve"> (last </w:t>
      </w:r>
      <w:r>
        <w:rPr>
          <w:rFonts w:cs="Times New Roman"/>
          <w:szCs w:val="18"/>
        </w:rPr>
        <w:t xml:space="preserve">accessed on </w:t>
      </w:r>
      <w:r>
        <w:t>21</w:t>
      </w:r>
      <w:r>
        <w:rPr>
          <w:rFonts w:cs="Times New Roman"/>
          <w:szCs w:val="18"/>
        </w:rPr>
        <w:t xml:space="preserve"> June </w:t>
      </w:r>
      <w:r w:rsidRPr="00C118A6">
        <w:rPr>
          <w:rFonts w:cs="Times New Roman"/>
          <w:szCs w:val="18"/>
        </w:rPr>
        <w:t>2021).</w:t>
      </w:r>
      <w:r>
        <w:rPr>
          <w:rFonts w:cs="Times New Roman"/>
          <w:szCs w:val="18"/>
        </w:rPr>
        <w:t xml:space="preserve"> </w:t>
      </w:r>
    </w:p>
  </w:footnote>
  <w:footnote w:id="8">
    <w:p w:rsidRPr="00803357" w:rsidR="00A74803" w:rsidP="00E15E59" w:rsidRDefault="00A74803" w14:paraId="78128436" w14:textId="7E761731">
      <w:pPr>
        <w:pStyle w:val="FootnoteText"/>
        <w:spacing w:after="0"/>
        <w:rPr>
          <w:lang w:val="en-GB"/>
        </w:rPr>
      </w:pPr>
      <w:r>
        <w:rPr>
          <w:rStyle w:val="FootnoteReference"/>
        </w:rPr>
        <w:footnoteRef/>
      </w:r>
      <w:r>
        <w:t xml:space="preserve"> </w:t>
      </w:r>
      <w:r w:rsidRPr="005E29B0">
        <w:rPr>
          <w:i/>
        </w:rPr>
        <w:t>Source</w:t>
      </w:r>
      <w:r>
        <w:t xml:space="preserve">: </w:t>
      </w:r>
      <w:r w:rsidRPr="00FA6470">
        <w:t xml:space="preserve">Orbis Europe – </w:t>
      </w:r>
      <w:r w:rsidRPr="00FA6470">
        <w:rPr>
          <w:i/>
        </w:rPr>
        <w:t>Bureau van Dijk, June 2021</w:t>
      </w:r>
      <w:r>
        <w:rPr>
          <w:i/>
        </w:rPr>
        <w:t>.</w:t>
      </w:r>
    </w:p>
  </w:footnote>
  <w:footnote w:id="9">
    <w:p w:rsidRPr="00803357" w:rsidR="00A74803" w:rsidP="00E15E59" w:rsidRDefault="00A74803" w14:paraId="79670453" w14:textId="77777777">
      <w:pPr>
        <w:pStyle w:val="FootnoteText"/>
        <w:spacing w:after="0"/>
        <w:rPr>
          <w:lang w:val="en-GB"/>
        </w:rPr>
      </w:pPr>
      <w:r>
        <w:rPr>
          <w:rStyle w:val="FootnoteReference"/>
        </w:rPr>
        <w:footnoteRef/>
      </w:r>
      <w:r>
        <w:t xml:space="preserve"> </w:t>
      </w:r>
      <w:r>
        <w:rPr>
          <w:i/>
          <w:lang w:val="en-GB"/>
        </w:rPr>
        <w:t>Source</w:t>
      </w:r>
      <w:r>
        <w:rPr>
          <w:lang w:val="en-GB"/>
        </w:rPr>
        <w:t xml:space="preserve">: International Monetary Fund, </w:t>
      </w:r>
      <w:r>
        <w:rPr>
          <w:i/>
          <w:lang w:val="en-GB"/>
        </w:rPr>
        <w:t>World Economic Outlook</w:t>
      </w:r>
      <w:r>
        <w:rPr>
          <w:lang w:val="en-GB"/>
        </w:rPr>
        <w:t>, October 2020.</w:t>
      </w:r>
    </w:p>
  </w:footnote>
  <w:footnote w:id="10">
    <w:p w:rsidRPr="00803357" w:rsidR="00A74803" w:rsidP="00E15E59" w:rsidRDefault="00A74803" w14:paraId="001DD5F9" w14:textId="21EC41EC">
      <w:pPr>
        <w:pStyle w:val="FootnoteText"/>
        <w:spacing w:after="0"/>
        <w:rPr>
          <w:lang w:val="en-GB"/>
        </w:rPr>
      </w:pPr>
      <w:r>
        <w:rPr>
          <w:rStyle w:val="FootnoteReference"/>
        </w:rPr>
        <w:footnoteRef/>
      </w:r>
      <w:r>
        <w:t xml:space="preserve"> </w:t>
      </w:r>
      <w:r>
        <w:rPr>
          <w:i/>
          <w:lang w:val="en-GB"/>
        </w:rPr>
        <w:t>Source:</w:t>
      </w:r>
      <w:r>
        <w:rPr>
          <w:lang w:val="en-GB"/>
        </w:rPr>
        <w:t xml:space="preserve"> Euromonitor </w:t>
      </w:r>
      <w:r w:rsidRPr="00342097">
        <w:rPr>
          <w:lang w:val="en-GB"/>
        </w:rPr>
        <w:t xml:space="preserve">International, </w:t>
      </w:r>
      <w:r w:rsidRPr="00794221">
        <w:rPr>
          <w:i/>
          <w:lang w:val="en-GB"/>
        </w:rPr>
        <w:t>Exports of Goods and Services</w:t>
      </w:r>
      <w:r>
        <w:rPr>
          <w:lang w:val="en-GB"/>
        </w:rPr>
        <w:t xml:space="preserve">, data exported as of </w:t>
      </w:r>
      <w:r w:rsidRPr="00342097">
        <w:rPr>
          <w:lang w:val="en-GB"/>
        </w:rPr>
        <w:t>31 March 2021.</w:t>
      </w:r>
    </w:p>
  </w:footnote>
  <w:footnote w:id="11">
    <w:p w:rsidRPr="00803357" w:rsidR="00A74803" w:rsidP="00E15E59" w:rsidRDefault="00A74803" w14:paraId="13A661A4" w14:textId="77777777">
      <w:pPr>
        <w:pStyle w:val="FootnoteText"/>
        <w:spacing w:after="0"/>
        <w:rPr>
          <w:lang w:val="en-GB"/>
        </w:rPr>
      </w:pPr>
      <w:r>
        <w:rPr>
          <w:rStyle w:val="FootnoteReference"/>
        </w:rPr>
        <w:footnoteRef/>
      </w:r>
      <w:r>
        <w:t xml:space="preserve"> </w:t>
      </w:r>
      <w:r>
        <w:rPr>
          <w:i/>
        </w:rPr>
        <w:t>Source</w:t>
      </w:r>
      <w:r w:rsidRPr="00803357">
        <w:t>: United Nations</w:t>
      </w:r>
      <w:r>
        <w:rPr>
          <w:lang w:val="en-GB"/>
        </w:rPr>
        <w:t xml:space="preserve">, Department of Economics and Social Affairs, Population Division (2019), </w:t>
      </w:r>
      <w:r>
        <w:rPr>
          <w:i/>
          <w:lang w:val="en-GB"/>
        </w:rPr>
        <w:t>World Population Prospects 2019, Online Edition, Rev.1</w:t>
      </w:r>
      <w:r>
        <w:rPr>
          <w:lang w:val="en-GB"/>
        </w:rPr>
        <w:t>, August 2019.</w:t>
      </w:r>
    </w:p>
  </w:footnote>
  <w:footnote w:id="12">
    <w:p w:rsidRPr="00C118A6" w:rsidR="00A74803" w:rsidP="00E15E59" w:rsidRDefault="00A74803" w14:paraId="70FC7C2F" w14:textId="77777777">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3C369F">
        <w:rPr>
          <w:i/>
          <w:szCs w:val="18"/>
          <w:lang w:val="de-DE"/>
        </w:rPr>
        <w:t>Source</w:t>
      </w:r>
      <w:r w:rsidRPr="003C369F">
        <w:rPr>
          <w:szCs w:val="18"/>
          <w:lang w:val="de-DE"/>
        </w:rPr>
        <w:t xml:space="preserve">: </w:t>
      </w:r>
      <w:r w:rsidRPr="00C118A6">
        <w:rPr>
          <w:rFonts w:cs="Times New Roman"/>
          <w:szCs w:val="18"/>
        </w:rPr>
        <w:t xml:space="preserve">Pitchbook, </w:t>
      </w:r>
      <w:r w:rsidRPr="00C118A6">
        <w:rPr>
          <w:rFonts w:cs="Times New Roman"/>
          <w:i/>
          <w:szCs w:val="18"/>
        </w:rPr>
        <w:t>2020 Annual US PE Middle Market Report</w:t>
      </w:r>
      <w:r w:rsidRPr="00C118A6">
        <w:rPr>
          <w:rFonts w:cs="Times New Roman"/>
          <w:szCs w:val="18"/>
        </w:rPr>
        <w:t>, January 2021.</w:t>
      </w:r>
    </w:p>
  </w:footnote>
  <w:footnote w:id="13">
    <w:p w:rsidRPr="00803357" w:rsidR="00A74803" w:rsidP="00E15E59" w:rsidRDefault="00A74803" w14:paraId="21351AB5" w14:textId="69E47058">
      <w:pPr>
        <w:pStyle w:val="FootnoteText"/>
        <w:spacing w:after="0"/>
        <w:rPr>
          <w:lang w:val="en-GB"/>
        </w:rPr>
      </w:pPr>
      <w:r>
        <w:rPr>
          <w:rStyle w:val="FootnoteReference"/>
        </w:rPr>
        <w:footnoteRef/>
      </w:r>
      <w:r>
        <w:t xml:space="preserve"> </w:t>
      </w:r>
      <w:r>
        <w:rPr>
          <w:i/>
          <w:lang w:val="en-GB"/>
        </w:rPr>
        <w:t>Source</w:t>
      </w:r>
      <w:r>
        <w:rPr>
          <w:lang w:val="en-GB"/>
        </w:rPr>
        <w:t xml:space="preserve">: </w:t>
      </w:r>
      <w:r w:rsidRPr="00794221">
        <w:rPr>
          <w:lang w:val="en-GB"/>
        </w:rPr>
        <w:t>Unquote by</w:t>
      </w:r>
      <w:r>
        <w:rPr>
          <w:lang w:val="en-GB"/>
        </w:rPr>
        <w:t xml:space="preserve"> MergerMarket, data as of 31 December 2020.</w:t>
      </w:r>
    </w:p>
  </w:footnote>
  <w:footnote w:id="14">
    <w:p w:rsidRPr="00C118A6" w:rsidR="00A74803" w:rsidP="001C3CEC" w:rsidRDefault="00A74803" w14:paraId="0D4E5292" w14:textId="77777777">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Preqin, </w:t>
      </w:r>
      <w:r w:rsidRPr="00C118A6">
        <w:rPr>
          <w:rFonts w:cs="Times New Roman"/>
          <w:i/>
          <w:szCs w:val="18"/>
        </w:rPr>
        <w:t>Preqin Special Report: The Future of Alternatives 2025</w:t>
      </w:r>
      <w:r w:rsidRPr="00C118A6">
        <w:rPr>
          <w:rFonts w:cs="Times New Roman"/>
          <w:szCs w:val="18"/>
        </w:rPr>
        <w:t>, November 2020.</w:t>
      </w:r>
    </w:p>
  </w:footnote>
  <w:footnote w:id="15">
    <w:p w:rsidRPr="00C118A6" w:rsidR="00A74803" w:rsidP="001C3CEC" w:rsidRDefault="00A74803" w14:paraId="10C26317" w14:textId="77777777">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Hamilton Lane, </w:t>
      </w:r>
      <w:r>
        <w:rPr>
          <w:rFonts w:cs="Times New Roman"/>
          <w:i/>
        </w:rPr>
        <w:t>2021 Market Overview</w:t>
      </w:r>
      <w:r w:rsidRPr="00C118A6">
        <w:rPr>
          <w:rFonts w:cs="Times New Roman"/>
          <w:szCs w:val="18"/>
        </w:rPr>
        <w:t>, 2021.</w:t>
      </w:r>
    </w:p>
  </w:footnote>
  <w:footnote w:id="16">
    <w:p w:rsidRPr="00A201ED" w:rsidR="00A74803" w:rsidP="001C3CEC" w:rsidRDefault="00A74803" w14:paraId="5D7B71D8" w14:textId="77777777">
      <w:pPr>
        <w:pStyle w:val="FootnoteText"/>
        <w:spacing w:after="0"/>
        <w:rPr>
          <w:rFonts w:cs="Times New Roman"/>
          <w:sz w:val="16"/>
          <w:szCs w:val="16"/>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Hamilton Lane, </w:t>
      </w:r>
      <w:r>
        <w:rPr>
          <w:rFonts w:cs="Times New Roman"/>
          <w:i/>
        </w:rPr>
        <w:t>2021 Market Overview</w:t>
      </w:r>
      <w:r w:rsidRPr="00C118A6">
        <w:rPr>
          <w:rFonts w:cs="Times New Roman"/>
          <w:szCs w:val="18"/>
        </w:rPr>
        <w:t>, 2021.</w:t>
      </w:r>
    </w:p>
  </w:footnote>
  <w:footnote w:id="17">
    <w:p w:rsidRPr="00507C65" w:rsidR="00A74803" w:rsidP="001C3CEC" w:rsidRDefault="00A74803" w14:paraId="63CB508C" w14:textId="32264FF0">
      <w:pPr>
        <w:pStyle w:val="FootnoteText"/>
        <w:spacing w:after="0"/>
        <w:rPr>
          <w:lang w:val="de-DE"/>
        </w:rPr>
      </w:pPr>
      <w:r>
        <w:rPr>
          <w:rStyle w:val="FootnoteReference"/>
        </w:rPr>
        <w:footnoteRef/>
      </w:r>
      <w:r>
        <w:t xml:space="preserve"> </w:t>
      </w:r>
      <w:r w:rsidRPr="00507C65">
        <w:rPr>
          <w:i/>
          <w:lang w:val="de-DE"/>
        </w:rPr>
        <w:t>Source</w:t>
      </w:r>
      <w:r>
        <w:rPr>
          <w:lang w:val="de-DE"/>
        </w:rPr>
        <w:t xml:space="preserve">: </w:t>
      </w:r>
      <w:r>
        <w:t xml:space="preserve">Hamilton Lane, </w:t>
      </w:r>
      <w:r>
        <w:rPr>
          <w:i/>
        </w:rPr>
        <w:t>2021 Market Overview</w:t>
      </w:r>
      <w:r w:rsidRPr="00794221">
        <w:t>,</w:t>
      </w:r>
      <w:r>
        <w:rPr>
          <w:i/>
        </w:rPr>
        <w:t xml:space="preserve"> </w:t>
      </w:r>
      <w:r>
        <w:t>2021</w:t>
      </w:r>
      <w:r>
        <w:rPr>
          <w:lang w:val="de-DE"/>
        </w:rPr>
        <w:t>.</w:t>
      </w:r>
    </w:p>
  </w:footnote>
  <w:footnote w:id="18">
    <w:p w:rsidRPr="00C118A6" w:rsidR="00A74803" w:rsidP="001C3CEC" w:rsidRDefault="00A74803" w14:paraId="09DDE5FA" w14:textId="77777777">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Hamilton Lane, </w:t>
      </w:r>
      <w:r>
        <w:rPr>
          <w:rFonts w:cs="Times New Roman"/>
          <w:i/>
        </w:rPr>
        <w:t>2021 Market Overview</w:t>
      </w:r>
      <w:r w:rsidRPr="00C118A6">
        <w:rPr>
          <w:rFonts w:cs="Times New Roman"/>
          <w:szCs w:val="18"/>
        </w:rPr>
        <w:t>, 2021.</w:t>
      </w:r>
    </w:p>
  </w:footnote>
  <w:footnote w:id="19">
    <w:p w:rsidRPr="00A07A79" w:rsidR="00A74803" w:rsidP="001C3CEC" w:rsidRDefault="00A74803" w14:paraId="20CC5681" w14:textId="77777777">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w:t>
      </w:r>
      <w:r>
        <w:rPr>
          <w:rFonts w:cs="Times New Roman"/>
          <w:szCs w:val="18"/>
        </w:rPr>
        <w:t xml:space="preserve">Private Equity International, </w:t>
      </w:r>
      <w:r w:rsidRPr="00803357">
        <w:rPr>
          <w:rFonts w:cs="Times New Roman"/>
          <w:i/>
          <w:szCs w:val="18"/>
        </w:rPr>
        <w:t>LP</w:t>
      </w:r>
      <w:r>
        <w:rPr>
          <w:rFonts w:cs="Times New Roman"/>
          <w:i/>
          <w:szCs w:val="18"/>
        </w:rPr>
        <w:t xml:space="preserve"> Perspectives 2021 Study</w:t>
      </w:r>
      <w:r>
        <w:rPr>
          <w:rFonts w:cs="Times New Roman"/>
          <w:szCs w:val="18"/>
        </w:rPr>
        <w:t>, January 2021.</w:t>
      </w:r>
    </w:p>
  </w:footnote>
  <w:footnote w:id="20">
    <w:p w:rsidRPr="00D25F54" w:rsidR="00A74803" w:rsidP="001C3CEC" w:rsidRDefault="00A74803" w14:paraId="5A1F4C8F" w14:textId="77777777">
      <w:pPr>
        <w:pStyle w:val="FootnoteText"/>
        <w:spacing w:after="0"/>
        <w:rPr>
          <w:rFonts w:cs="Times New Roman"/>
          <w:sz w:val="16"/>
          <w:szCs w:val="16"/>
          <w:lang w:val="de-DE"/>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w:t>
      </w:r>
      <w:r w:rsidRPr="00C118A6">
        <w:rPr>
          <w:rFonts w:cs="Times New Roman"/>
          <w:szCs w:val="18"/>
          <w:lang w:val="de-DE"/>
        </w:rPr>
        <w:t xml:space="preserve">Preqin, </w:t>
      </w:r>
      <w:r w:rsidRPr="00C118A6">
        <w:rPr>
          <w:rFonts w:cs="Times New Roman"/>
          <w:i/>
          <w:szCs w:val="18"/>
          <w:lang w:val="de-DE"/>
        </w:rPr>
        <w:t>2021 Preqin Global Private Equity and Venture Capital Report</w:t>
      </w:r>
      <w:r w:rsidRPr="00C118A6">
        <w:rPr>
          <w:rFonts w:cs="Times New Roman"/>
          <w:szCs w:val="18"/>
          <w:lang w:val="de-DE"/>
        </w:rPr>
        <w:t>, January 2021</w:t>
      </w:r>
      <w:r>
        <w:rPr>
          <w:rFonts w:cs="Times New Roman"/>
          <w:szCs w:val="18"/>
          <w:lang w:val="de-DE"/>
        </w:rPr>
        <w:t>.</w:t>
      </w:r>
    </w:p>
  </w:footnote>
  <w:footnote w:id="21">
    <w:p w:rsidRPr="00C118A6" w:rsidR="00A74803" w:rsidP="001C3CEC" w:rsidRDefault="00A74803" w14:paraId="7DC8DE8A" w14:textId="0C553A61">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w:t>
      </w:r>
      <w:r w:rsidRPr="00C118A6">
        <w:rPr>
          <w:rFonts w:cs="Times New Roman"/>
          <w:szCs w:val="18"/>
          <w:lang w:val="de-DE"/>
        </w:rPr>
        <w:t xml:space="preserve">Preqin, </w:t>
      </w:r>
      <w:r w:rsidRPr="00C118A6">
        <w:rPr>
          <w:rFonts w:cs="Times New Roman"/>
          <w:i/>
          <w:szCs w:val="18"/>
          <w:lang w:val="de-DE"/>
        </w:rPr>
        <w:t>2021 Preqin Global Private Equity and Venture Capital Report</w:t>
      </w:r>
      <w:r w:rsidRPr="00C118A6">
        <w:rPr>
          <w:rFonts w:cs="Times New Roman"/>
          <w:szCs w:val="18"/>
          <w:lang w:val="de-DE"/>
        </w:rPr>
        <w:t>, January 2021</w:t>
      </w:r>
      <w:r>
        <w:rPr>
          <w:rFonts w:cs="Times New Roman"/>
          <w:szCs w:val="18"/>
          <w:lang w:val="de-DE"/>
        </w:rPr>
        <w:t>;</w:t>
      </w:r>
      <w:r w:rsidRPr="00C118A6">
        <w:rPr>
          <w:rFonts w:cs="Times New Roman"/>
          <w:szCs w:val="18"/>
          <w:lang w:val="de-DE"/>
        </w:rPr>
        <w:t xml:space="preserve"> and Preqin, </w:t>
      </w:r>
      <w:r w:rsidRPr="00C118A6">
        <w:rPr>
          <w:rFonts w:cs="Times New Roman"/>
          <w:i/>
          <w:szCs w:val="18"/>
          <w:lang w:val="de-DE"/>
        </w:rPr>
        <w:t>2021 Preqin Global Private Debt Report</w:t>
      </w:r>
      <w:r w:rsidRPr="00C118A6">
        <w:rPr>
          <w:rFonts w:cs="Times New Roman"/>
          <w:szCs w:val="18"/>
          <w:lang w:val="de-DE"/>
        </w:rPr>
        <w:t>, January 2021</w:t>
      </w:r>
      <w:r>
        <w:rPr>
          <w:rFonts w:cs="Times New Roman"/>
          <w:szCs w:val="18"/>
          <w:lang w:val="de-DE"/>
        </w:rPr>
        <w:t>.</w:t>
      </w:r>
    </w:p>
  </w:footnote>
  <w:footnote w:id="22">
    <w:p w:rsidRPr="00C118A6" w:rsidR="00A74803" w:rsidP="001C3CEC" w:rsidRDefault="00A74803" w14:paraId="1E0E571C" w14:textId="414560D4">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w:t>
      </w:r>
      <w:r w:rsidRPr="00C118A6">
        <w:rPr>
          <w:rFonts w:cs="Times New Roman"/>
          <w:szCs w:val="18"/>
          <w:lang w:val="de-DE"/>
        </w:rPr>
        <w:t xml:space="preserve">Preqin, </w:t>
      </w:r>
      <w:r w:rsidRPr="00C118A6">
        <w:rPr>
          <w:rFonts w:cs="Times New Roman"/>
          <w:i/>
          <w:szCs w:val="18"/>
          <w:lang w:val="de-DE"/>
        </w:rPr>
        <w:t>2021 Preqin Global Private Equity and Venture Capital Report</w:t>
      </w:r>
      <w:r w:rsidRPr="00C118A6">
        <w:rPr>
          <w:rFonts w:cs="Times New Roman"/>
          <w:szCs w:val="18"/>
          <w:lang w:val="de-DE"/>
        </w:rPr>
        <w:t>, January 2021</w:t>
      </w:r>
      <w:r>
        <w:rPr>
          <w:rFonts w:cs="Times New Roman"/>
          <w:szCs w:val="18"/>
          <w:lang w:val="de-DE"/>
        </w:rPr>
        <w:t>;</w:t>
      </w:r>
      <w:r w:rsidRPr="00C118A6">
        <w:rPr>
          <w:rFonts w:cs="Times New Roman"/>
          <w:szCs w:val="18"/>
          <w:lang w:val="de-DE"/>
        </w:rPr>
        <w:t xml:space="preserve"> and Preqin, </w:t>
      </w:r>
      <w:r w:rsidRPr="00C118A6">
        <w:rPr>
          <w:rFonts w:cs="Times New Roman"/>
          <w:i/>
          <w:szCs w:val="18"/>
          <w:lang w:val="de-DE"/>
        </w:rPr>
        <w:t>2021 Preqin Global Private Debt Report</w:t>
      </w:r>
      <w:r w:rsidRPr="00C118A6">
        <w:rPr>
          <w:rFonts w:cs="Times New Roman"/>
          <w:szCs w:val="18"/>
          <w:lang w:val="de-DE"/>
        </w:rPr>
        <w:t>, January 2021</w:t>
      </w:r>
      <w:r>
        <w:rPr>
          <w:rFonts w:cs="Times New Roman"/>
          <w:szCs w:val="18"/>
          <w:lang w:val="de-DE"/>
        </w:rPr>
        <w:t>.</w:t>
      </w:r>
    </w:p>
  </w:footnote>
  <w:footnote w:id="23">
    <w:p w:rsidRPr="00D25F54" w:rsidR="00A74803" w:rsidP="001C3CEC" w:rsidRDefault="00A74803" w14:paraId="27309421" w14:textId="77777777">
      <w:pPr>
        <w:pStyle w:val="FootnoteText"/>
        <w:spacing w:after="0"/>
        <w:rPr>
          <w:rFonts w:cs="Times New Roman"/>
          <w:sz w:val="16"/>
          <w:szCs w:val="16"/>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Hamilton Lane, </w:t>
      </w:r>
      <w:r>
        <w:rPr>
          <w:rFonts w:cs="Times New Roman"/>
          <w:i/>
        </w:rPr>
        <w:t>2021 Market Overview</w:t>
      </w:r>
      <w:r w:rsidRPr="00C118A6">
        <w:rPr>
          <w:rFonts w:cs="Times New Roman"/>
          <w:szCs w:val="18"/>
        </w:rPr>
        <w:t>, 2021</w:t>
      </w:r>
      <w:r>
        <w:rPr>
          <w:rFonts w:cs="Times New Roman"/>
          <w:szCs w:val="18"/>
        </w:rPr>
        <w:t>.</w:t>
      </w:r>
    </w:p>
  </w:footnote>
  <w:footnote w:id="24">
    <w:p w:rsidRPr="00A05252" w:rsidR="00A74803" w:rsidP="001C3CEC" w:rsidRDefault="00A74803" w14:paraId="0DAF905B" w14:textId="06EDDD35">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Preqin, </w:t>
      </w:r>
      <w:r w:rsidRPr="00C118A6">
        <w:rPr>
          <w:rFonts w:cs="Times New Roman"/>
          <w:i/>
          <w:szCs w:val="18"/>
        </w:rPr>
        <w:t>Private Equity and Venture Capital Report, 2021; Private Debt Report 2021</w:t>
      </w:r>
      <w:r>
        <w:rPr>
          <w:rFonts w:cs="Times New Roman"/>
          <w:szCs w:val="18"/>
        </w:rPr>
        <w:t>.</w:t>
      </w:r>
      <w:r>
        <w:rPr>
          <w:rFonts w:cs="Times New Roman"/>
          <w:i/>
          <w:szCs w:val="18"/>
        </w:rPr>
        <w:t xml:space="preserve"> </w:t>
      </w:r>
    </w:p>
  </w:footnote>
  <w:footnote w:id="25">
    <w:p w:rsidRPr="00D25F54" w:rsidR="00A74803" w:rsidP="001C3CEC" w:rsidRDefault="00A74803" w14:paraId="2341A8C9" w14:textId="421A2308">
      <w:pPr>
        <w:pStyle w:val="FootnoteText"/>
        <w:spacing w:after="0"/>
        <w:rPr>
          <w:rFonts w:cs="Times New Roman"/>
          <w:sz w:val="16"/>
          <w:szCs w:val="16"/>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w:t>
      </w:r>
      <w:r w:rsidRPr="00C118A6">
        <w:rPr>
          <w:rFonts w:cs="Times New Roman"/>
          <w:szCs w:val="18"/>
          <w:lang w:val="de-DE"/>
        </w:rPr>
        <w:t xml:space="preserve">Preqin, </w:t>
      </w:r>
      <w:r w:rsidRPr="00C118A6">
        <w:rPr>
          <w:rFonts w:cs="Times New Roman"/>
          <w:i/>
          <w:szCs w:val="18"/>
          <w:lang w:val="de-DE"/>
        </w:rPr>
        <w:t>2021 Preqin Global Private Equity and Venture Capital Report</w:t>
      </w:r>
      <w:r w:rsidRPr="00C118A6">
        <w:rPr>
          <w:rFonts w:cs="Times New Roman"/>
          <w:szCs w:val="18"/>
          <w:lang w:val="de-DE"/>
        </w:rPr>
        <w:t>, January 2021</w:t>
      </w:r>
      <w:r>
        <w:rPr>
          <w:rFonts w:cs="Times New Roman"/>
          <w:szCs w:val="18"/>
          <w:lang w:val="de-DE"/>
        </w:rPr>
        <w:t>;</w:t>
      </w:r>
      <w:r w:rsidRPr="00C118A6">
        <w:rPr>
          <w:rFonts w:cs="Times New Roman"/>
          <w:szCs w:val="18"/>
          <w:lang w:val="de-DE"/>
        </w:rPr>
        <w:t xml:space="preserve"> and Preqin, </w:t>
      </w:r>
      <w:r w:rsidRPr="00C118A6">
        <w:rPr>
          <w:rFonts w:cs="Times New Roman"/>
          <w:i/>
          <w:szCs w:val="18"/>
          <w:lang w:val="de-DE"/>
        </w:rPr>
        <w:t>2021 Preqin Global Private Debt Report</w:t>
      </w:r>
      <w:r w:rsidRPr="00C118A6">
        <w:rPr>
          <w:rFonts w:cs="Times New Roman"/>
          <w:szCs w:val="18"/>
          <w:lang w:val="de-DE"/>
        </w:rPr>
        <w:t>, January 2021</w:t>
      </w:r>
      <w:r>
        <w:rPr>
          <w:rFonts w:cs="Times New Roman"/>
          <w:szCs w:val="18"/>
          <w:lang w:val="de-DE"/>
        </w:rPr>
        <w:t>.</w:t>
      </w:r>
    </w:p>
  </w:footnote>
  <w:footnote w:id="26">
    <w:p w:rsidRPr="00C118A6" w:rsidR="00A74803" w:rsidP="001C3CEC" w:rsidRDefault="00A74803" w14:paraId="28F4E390" w14:textId="77777777">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w:t>
      </w:r>
      <w:r w:rsidRPr="002B366B">
        <w:rPr>
          <w:rFonts w:cs="Times New Roman"/>
        </w:rPr>
        <w:t xml:space="preserve">Preqin, </w:t>
      </w:r>
      <w:r>
        <w:rPr>
          <w:rFonts w:cs="Times New Roman"/>
          <w:i/>
        </w:rPr>
        <w:t xml:space="preserve">2021 Private Equity and Venture Capital Report, 2021 Private Debt Report, 2021 Real Estate Report </w:t>
      </w:r>
      <w:r>
        <w:rPr>
          <w:rFonts w:cs="Times New Roman"/>
        </w:rPr>
        <w:t>and</w:t>
      </w:r>
      <w:r>
        <w:rPr>
          <w:rFonts w:cs="Times New Roman"/>
          <w:i/>
        </w:rPr>
        <w:t xml:space="preserve"> 2021 Infrastructure Report</w:t>
      </w:r>
      <w:r w:rsidRPr="00794221">
        <w:rPr>
          <w:rFonts w:cs="Times New Roman"/>
        </w:rPr>
        <w:t>,</w:t>
      </w:r>
      <w:r w:rsidRPr="002B366B">
        <w:rPr>
          <w:rFonts w:cs="Times New Roman"/>
        </w:rPr>
        <w:t xml:space="preserve"> March 2021</w:t>
      </w:r>
      <w:r>
        <w:rPr>
          <w:rFonts w:cs="Times New Roman"/>
        </w:rPr>
        <w:t>.</w:t>
      </w:r>
    </w:p>
  </w:footnote>
  <w:footnote w:id="27">
    <w:p w:rsidRPr="00D25F54" w:rsidR="00A74803" w:rsidP="001C3CEC" w:rsidRDefault="00A74803" w14:paraId="55CADC29" w14:textId="77777777">
      <w:pPr>
        <w:pStyle w:val="FootnoteText"/>
        <w:spacing w:after="0"/>
        <w:rPr>
          <w:rFonts w:cs="Times New Roman"/>
          <w:sz w:val="16"/>
          <w:szCs w:val="16"/>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w:t>
      </w:r>
      <w:r w:rsidRPr="00C118A6">
        <w:rPr>
          <w:rFonts w:cs="Times New Roman"/>
          <w:szCs w:val="18"/>
          <w:lang w:val="de-DE"/>
        </w:rPr>
        <w:t xml:space="preserve">Preqin, </w:t>
      </w:r>
      <w:r w:rsidRPr="00C118A6">
        <w:rPr>
          <w:rFonts w:cs="Times New Roman"/>
          <w:i/>
          <w:szCs w:val="18"/>
          <w:lang w:val="de-DE"/>
        </w:rPr>
        <w:t>2021 Preqin Global Private Equity and Venture Capital Report</w:t>
      </w:r>
      <w:r w:rsidRPr="00C118A6">
        <w:rPr>
          <w:rFonts w:cs="Times New Roman"/>
          <w:szCs w:val="18"/>
          <w:lang w:val="de-DE"/>
        </w:rPr>
        <w:t>, January 2021</w:t>
      </w:r>
      <w:r>
        <w:rPr>
          <w:rFonts w:cs="Times New Roman"/>
          <w:szCs w:val="18"/>
          <w:lang w:val="de-DE"/>
        </w:rPr>
        <w:t>.</w:t>
      </w:r>
    </w:p>
  </w:footnote>
  <w:footnote w:id="28">
    <w:p w:rsidRPr="00C118A6" w:rsidR="00A74803" w:rsidP="001C3CEC" w:rsidRDefault="00A74803" w14:paraId="626CEA5B" w14:textId="77777777">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w:t>
      </w:r>
      <w:r w:rsidRPr="00C118A6">
        <w:rPr>
          <w:rFonts w:cs="Times New Roman"/>
          <w:szCs w:val="18"/>
          <w:lang w:val="de-DE"/>
        </w:rPr>
        <w:t xml:space="preserve">Preqin, </w:t>
      </w:r>
      <w:r w:rsidRPr="00C118A6">
        <w:rPr>
          <w:rFonts w:cs="Times New Roman"/>
          <w:i/>
          <w:szCs w:val="18"/>
          <w:lang w:val="de-DE"/>
        </w:rPr>
        <w:t>2021 Preqin Investor Outlook Alternative Assets H1 2021</w:t>
      </w:r>
      <w:r w:rsidRPr="00C118A6">
        <w:rPr>
          <w:rFonts w:cs="Times New Roman"/>
          <w:szCs w:val="18"/>
          <w:lang w:val="de-DE"/>
        </w:rPr>
        <w:t>, November 2020</w:t>
      </w:r>
      <w:r>
        <w:rPr>
          <w:rFonts w:cs="Times New Roman"/>
          <w:szCs w:val="18"/>
          <w:lang w:val="de-DE"/>
        </w:rPr>
        <w:t>.</w:t>
      </w:r>
    </w:p>
  </w:footnote>
  <w:footnote w:id="29">
    <w:p w:rsidR="00A74803" w:rsidP="001C3CEC" w:rsidRDefault="00A74803" w14:paraId="0767A09E" w14:textId="77777777">
      <w:pPr>
        <w:pStyle w:val="FootnoteText"/>
        <w:spacing w:after="0"/>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w:t>
      </w:r>
      <w:r w:rsidRPr="00C118A6">
        <w:rPr>
          <w:rFonts w:cs="Times New Roman"/>
          <w:szCs w:val="18"/>
          <w:lang w:val="de-DE"/>
        </w:rPr>
        <w:t xml:space="preserve">Preqin, </w:t>
      </w:r>
      <w:r w:rsidRPr="00C118A6">
        <w:rPr>
          <w:rFonts w:cs="Times New Roman"/>
          <w:i/>
          <w:szCs w:val="18"/>
          <w:lang w:val="de-DE"/>
        </w:rPr>
        <w:t>2021 Preqin Investor Outlook Alternative Assets H1 2021</w:t>
      </w:r>
      <w:r w:rsidRPr="00C118A6">
        <w:rPr>
          <w:rFonts w:cs="Times New Roman"/>
          <w:szCs w:val="18"/>
          <w:lang w:val="de-DE"/>
        </w:rPr>
        <w:t>, November 2020</w:t>
      </w:r>
      <w:r>
        <w:rPr>
          <w:rFonts w:cs="Times New Roman"/>
          <w:szCs w:val="18"/>
          <w:lang w:val="de-DE"/>
        </w:rPr>
        <w:t>.</w:t>
      </w:r>
    </w:p>
  </w:footnote>
  <w:footnote w:id="30">
    <w:p w:rsidRPr="00C118A6" w:rsidR="00A74803" w:rsidP="001C3CEC" w:rsidRDefault="00A74803" w14:paraId="71DFCCC2" w14:textId="15828FAA">
      <w:pPr>
        <w:pStyle w:val="FootnoteText"/>
        <w:spacing w:after="0"/>
        <w:rPr>
          <w:lang w:val="de-DE"/>
        </w:rPr>
      </w:pPr>
      <w:r>
        <w:rPr>
          <w:rStyle w:val="FootnoteReference"/>
        </w:rPr>
        <w:footnoteRef/>
      </w:r>
      <w:r>
        <w:t xml:space="preserve"> </w:t>
      </w:r>
      <w:r w:rsidRPr="00C118A6">
        <w:rPr>
          <w:i/>
          <w:lang w:val="de-DE"/>
        </w:rPr>
        <w:t>Source</w:t>
      </w:r>
      <w:r>
        <w:rPr>
          <w:lang w:val="de-DE"/>
        </w:rPr>
        <w:t xml:space="preserve">: </w:t>
      </w:r>
      <w:r w:rsidRPr="00C118A6">
        <w:rPr>
          <w:rFonts w:cs="Times New Roman"/>
          <w:szCs w:val="18"/>
        </w:rPr>
        <w:t xml:space="preserve">Preqin, </w:t>
      </w:r>
      <w:r w:rsidRPr="00C118A6">
        <w:rPr>
          <w:rFonts w:cs="Times New Roman"/>
          <w:i/>
          <w:szCs w:val="18"/>
        </w:rPr>
        <w:t>Preqin Special Report: The Future of Alternatives 2025</w:t>
      </w:r>
      <w:r w:rsidRPr="00C118A6">
        <w:rPr>
          <w:rFonts w:cs="Times New Roman"/>
          <w:szCs w:val="18"/>
        </w:rPr>
        <w:t>, November 2020</w:t>
      </w:r>
      <w:r>
        <w:rPr>
          <w:rFonts w:cs="Times New Roman"/>
          <w:szCs w:val="18"/>
        </w:rPr>
        <w:t>; based on assets under management for private equity, private debt, real estate and infrastructure.</w:t>
      </w:r>
    </w:p>
  </w:footnote>
  <w:footnote w:id="31">
    <w:p w:rsidRPr="009B0797" w:rsidR="00A74803" w:rsidP="001C3CEC" w:rsidRDefault="00A74803" w14:paraId="31BF2FCE" w14:textId="02DAB551">
      <w:pPr>
        <w:pStyle w:val="FootnoteText"/>
        <w:spacing w:after="0"/>
        <w:rPr>
          <w:i/>
          <w:lang w:val="en-GB"/>
        </w:rPr>
      </w:pPr>
      <w:r>
        <w:rPr>
          <w:rStyle w:val="FootnoteReference"/>
        </w:rPr>
        <w:footnoteRef/>
      </w:r>
      <w:r>
        <w:t xml:space="preserve"> </w:t>
      </w:r>
      <w:r>
        <w:rPr>
          <w:i/>
          <w:lang w:val="en-GB"/>
        </w:rPr>
        <w:t>Source</w:t>
      </w:r>
      <w:r>
        <w:rPr>
          <w:lang w:val="en-GB"/>
        </w:rPr>
        <w:t xml:space="preserve">: </w:t>
      </w:r>
      <w:r w:rsidRPr="00F347A2">
        <w:rPr>
          <w:lang w:val="de-DE"/>
        </w:rPr>
        <w:t>Cambridge Associates</w:t>
      </w:r>
      <w:r>
        <w:rPr>
          <w:lang w:val="de-DE"/>
        </w:rPr>
        <w:t xml:space="preserve">, </w:t>
      </w:r>
      <w:r w:rsidRPr="008C1A5A">
        <w:rPr>
          <w:i/>
          <w:lang w:val="de-DE"/>
        </w:rPr>
        <w:t>Index and Benchmark Statistics – Private Credit</w:t>
      </w:r>
      <w:r>
        <w:rPr>
          <w:i/>
          <w:lang w:val="de-DE"/>
        </w:rPr>
        <w:t xml:space="preserve"> (Credit Opportunities)</w:t>
      </w:r>
      <w:r>
        <w:rPr>
          <w:lang w:val="de-DE"/>
        </w:rPr>
        <w:t>, September 2020.</w:t>
      </w:r>
      <w:r w:rsidRPr="00DA1079">
        <w:t xml:space="preserve"> </w:t>
      </w:r>
      <w:r w:rsidRPr="00DA1079">
        <w:rPr>
          <w:lang w:val="de-DE"/>
        </w:rPr>
        <w:t>Cambridge Associates data is continuously updated and therefore subject to change.</w:t>
      </w:r>
    </w:p>
  </w:footnote>
  <w:footnote w:id="32">
    <w:p w:rsidRPr="00C118A6" w:rsidR="00A74803" w:rsidP="001C3CEC" w:rsidRDefault="00A74803" w14:paraId="0CD5BF5F" w14:textId="179C0097">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Preqin, </w:t>
      </w:r>
      <w:r w:rsidRPr="00C118A6">
        <w:rPr>
          <w:rFonts w:cs="Times New Roman"/>
          <w:i/>
          <w:szCs w:val="18"/>
        </w:rPr>
        <w:t>2021 Preqin Global Private Debt Report</w:t>
      </w:r>
      <w:r w:rsidRPr="00C118A6">
        <w:rPr>
          <w:rFonts w:cs="Times New Roman"/>
          <w:szCs w:val="18"/>
        </w:rPr>
        <w:t>, January 2021</w:t>
      </w:r>
      <w:r>
        <w:rPr>
          <w:rFonts w:cs="Times New Roman"/>
          <w:szCs w:val="18"/>
        </w:rPr>
        <w:t>.</w:t>
      </w:r>
    </w:p>
  </w:footnote>
  <w:footnote w:id="33">
    <w:p w:rsidRPr="00C92560" w:rsidR="00A74803" w:rsidP="001C3CEC" w:rsidRDefault="00A74803" w14:paraId="7F1B55D5" w14:textId="6F857480">
      <w:pPr>
        <w:pStyle w:val="FootnoteText"/>
        <w:spacing w:after="0"/>
        <w:rPr>
          <w:rFonts w:cs="Times New Roman"/>
          <w:sz w:val="16"/>
          <w:szCs w:val="16"/>
        </w:rPr>
      </w:pPr>
      <w:r w:rsidRPr="00C118A6">
        <w:rPr>
          <w:rStyle w:val="FootnoteReference"/>
          <w:rFonts w:cs="Times New Roman"/>
          <w:szCs w:val="18"/>
        </w:rPr>
        <w:footnoteRef/>
      </w:r>
      <w:r>
        <w:rPr>
          <w:rFonts w:cs="Times New Roman"/>
          <w:szCs w:val="18"/>
        </w:rPr>
        <w:t> </w:t>
      </w:r>
      <w:r w:rsidRPr="00C118A6">
        <w:rPr>
          <w:rFonts w:cs="Times New Roman"/>
          <w:i/>
          <w:szCs w:val="18"/>
        </w:rPr>
        <w:t>Source</w:t>
      </w:r>
      <w:r w:rsidRPr="00C118A6">
        <w:rPr>
          <w:rFonts w:cs="Times New Roman"/>
          <w:szCs w:val="18"/>
        </w:rPr>
        <w:t xml:space="preserve">: </w:t>
      </w:r>
      <w:r w:rsidRPr="00F347A2">
        <w:rPr>
          <w:lang w:val="de-DE"/>
        </w:rPr>
        <w:t>Cambridge Associates</w:t>
      </w:r>
      <w:r>
        <w:rPr>
          <w:lang w:val="de-DE"/>
        </w:rPr>
        <w:t xml:space="preserve">, </w:t>
      </w:r>
      <w:r w:rsidRPr="008C1A5A">
        <w:rPr>
          <w:i/>
          <w:lang w:val="de-DE"/>
        </w:rPr>
        <w:t>Index and Benchmark Statistics – Private Credit</w:t>
      </w:r>
      <w:r>
        <w:rPr>
          <w:i/>
          <w:lang w:val="de-DE"/>
        </w:rPr>
        <w:t xml:space="preserve"> (Credit Opportunities)</w:t>
      </w:r>
      <w:r>
        <w:rPr>
          <w:lang w:val="de-DE"/>
        </w:rPr>
        <w:t>, September 2020</w:t>
      </w:r>
      <w:r>
        <w:rPr>
          <w:rFonts w:cs="Times New Roman"/>
          <w:szCs w:val="18"/>
        </w:rPr>
        <w:t>.</w:t>
      </w:r>
    </w:p>
  </w:footnote>
  <w:footnote w:id="34">
    <w:p w:rsidRPr="00C118A6" w:rsidR="00A74803" w:rsidP="001C3CEC" w:rsidRDefault="00A74803" w14:paraId="56B8C0AB" w14:textId="77777777">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Preqin, </w:t>
      </w:r>
      <w:r w:rsidRPr="00C118A6">
        <w:rPr>
          <w:rFonts w:cs="Times New Roman"/>
          <w:i/>
          <w:szCs w:val="18"/>
        </w:rPr>
        <w:t>Preqin Special Report: The Future of Alternatives 2025</w:t>
      </w:r>
      <w:r w:rsidRPr="00C118A6">
        <w:rPr>
          <w:rFonts w:cs="Times New Roman"/>
          <w:szCs w:val="18"/>
        </w:rPr>
        <w:t>, November 2020</w:t>
      </w:r>
      <w:r>
        <w:rPr>
          <w:rFonts w:cs="Times New Roman"/>
          <w:szCs w:val="18"/>
        </w:rPr>
        <w:t>.</w:t>
      </w:r>
    </w:p>
  </w:footnote>
  <w:footnote w:id="35">
    <w:p w:rsidRPr="00C118A6" w:rsidR="00A74803" w:rsidP="001C3CEC" w:rsidRDefault="00A74803" w14:paraId="08C4365E" w14:textId="77777777">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The PEW Charitable Trust, </w:t>
      </w:r>
      <w:r w:rsidRPr="00C118A6">
        <w:rPr>
          <w:rFonts w:cs="Times New Roman"/>
          <w:i/>
          <w:szCs w:val="18"/>
        </w:rPr>
        <w:t>The State Pension Funding Gap: 2018</w:t>
      </w:r>
      <w:r w:rsidRPr="00C118A6">
        <w:rPr>
          <w:rFonts w:cs="Times New Roman"/>
          <w:szCs w:val="18"/>
        </w:rPr>
        <w:t>, June 2020</w:t>
      </w:r>
      <w:r>
        <w:rPr>
          <w:rFonts w:cs="Times New Roman"/>
          <w:szCs w:val="18"/>
        </w:rPr>
        <w:t>.</w:t>
      </w:r>
    </w:p>
  </w:footnote>
  <w:footnote w:id="36">
    <w:p w:rsidRPr="00C118A6" w:rsidR="00A74803" w:rsidP="001C3CEC" w:rsidRDefault="00A74803" w14:paraId="6A666A3F" w14:textId="27AB39EC">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Preqin, </w:t>
      </w:r>
      <w:r w:rsidRPr="00C118A6">
        <w:rPr>
          <w:rFonts w:cs="Times New Roman"/>
          <w:i/>
          <w:szCs w:val="18"/>
        </w:rPr>
        <w:t>Preqin Special Report: The Future of Alternatives 2025</w:t>
      </w:r>
      <w:r w:rsidRPr="00C118A6">
        <w:rPr>
          <w:rFonts w:cs="Times New Roman"/>
          <w:szCs w:val="18"/>
        </w:rPr>
        <w:t>, November 2020</w:t>
      </w:r>
      <w:r>
        <w:rPr>
          <w:rFonts w:cs="Times New Roman"/>
          <w:szCs w:val="18"/>
        </w:rPr>
        <w:t xml:space="preserve">; and Preqin, </w:t>
      </w:r>
      <w:r w:rsidRPr="00C118A6">
        <w:rPr>
          <w:rFonts w:cs="Times New Roman"/>
          <w:i/>
          <w:szCs w:val="18"/>
        </w:rPr>
        <w:t xml:space="preserve">2021 Preqin Global Private </w:t>
      </w:r>
      <w:r>
        <w:rPr>
          <w:rFonts w:cs="Times New Roman"/>
          <w:i/>
          <w:szCs w:val="18"/>
        </w:rPr>
        <w:t xml:space="preserve">Equity and Venture Capital </w:t>
      </w:r>
      <w:r w:rsidRPr="00C118A6">
        <w:rPr>
          <w:rFonts w:cs="Times New Roman"/>
          <w:i/>
          <w:szCs w:val="18"/>
        </w:rPr>
        <w:t>Report</w:t>
      </w:r>
      <w:r w:rsidRPr="00C118A6">
        <w:rPr>
          <w:rFonts w:cs="Times New Roman"/>
          <w:szCs w:val="18"/>
        </w:rPr>
        <w:t>, January 2021</w:t>
      </w:r>
      <w:r>
        <w:rPr>
          <w:rFonts w:cs="Times New Roman"/>
          <w:szCs w:val="18"/>
        </w:rPr>
        <w:t>.</w:t>
      </w:r>
    </w:p>
  </w:footnote>
  <w:footnote w:id="37">
    <w:p w:rsidRPr="006636C2" w:rsidR="00A74803" w:rsidP="001C3CEC" w:rsidRDefault="00A74803" w14:paraId="7606D244" w14:textId="77777777">
      <w:pPr>
        <w:pStyle w:val="FootnoteText"/>
        <w:spacing w:after="0"/>
        <w:rPr>
          <w:rFonts w:cs="Times New Roman"/>
          <w:szCs w:val="18"/>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w:t>
      </w:r>
      <w:r>
        <w:rPr>
          <w:rFonts w:cs="Times New Roman"/>
          <w:szCs w:val="18"/>
        </w:rPr>
        <w:t xml:space="preserve">J.P. Morgan Research, </w:t>
      </w:r>
      <w:r>
        <w:rPr>
          <w:rFonts w:cs="Times New Roman"/>
          <w:i/>
          <w:szCs w:val="18"/>
        </w:rPr>
        <w:t>Global Data Watch</w:t>
      </w:r>
      <w:r>
        <w:rPr>
          <w:rFonts w:cs="Times New Roman"/>
          <w:szCs w:val="18"/>
        </w:rPr>
        <w:t>, May 2021.</w:t>
      </w:r>
    </w:p>
  </w:footnote>
  <w:footnote w:id="38">
    <w:p w:rsidRPr="00C92560" w:rsidR="00A74803" w:rsidP="001C3CEC" w:rsidRDefault="00A74803" w14:paraId="7EBD83AB" w14:textId="77777777">
      <w:pPr>
        <w:pStyle w:val="FootnoteText"/>
        <w:spacing w:after="0"/>
        <w:rPr>
          <w:rFonts w:cs="Times New Roman"/>
          <w:sz w:val="16"/>
          <w:szCs w:val="16"/>
        </w:rPr>
      </w:pPr>
      <w:r w:rsidRPr="00C118A6">
        <w:rPr>
          <w:rStyle w:val="FootnoteReference"/>
          <w:rFonts w:cs="Times New Roman"/>
          <w:szCs w:val="18"/>
        </w:rPr>
        <w:footnoteRef/>
      </w:r>
      <w:r w:rsidRPr="00C118A6">
        <w:rPr>
          <w:rFonts w:cs="Times New Roman"/>
          <w:szCs w:val="18"/>
        </w:rPr>
        <w:t xml:space="preserve"> </w:t>
      </w:r>
      <w:r w:rsidRPr="00C118A6">
        <w:rPr>
          <w:rFonts w:cs="Times New Roman"/>
          <w:i/>
          <w:szCs w:val="18"/>
        </w:rPr>
        <w:t>Source</w:t>
      </w:r>
      <w:r w:rsidRPr="00C118A6">
        <w:rPr>
          <w:rFonts w:cs="Times New Roman"/>
          <w:szCs w:val="18"/>
        </w:rPr>
        <w:t xml:space="preserve">: </w:t>
      </w:r>
      <w:r>
        <w:rPr>
          <w:rFonts w:cs="Times New Roman"/>
          <w:szCs w:val="18"/>
        </w:rPr>
        <w:t xml:space="preserve">Preqin, </w:t>
      </w:r>
      <w:r w:rsidRPr="00C118A6">
        <w:rPr>
          <w:rFonts w:cs="Times New Roman"/>
          <w:i/>
          <w:szCs w:val="18"/>
        </w:rPr>
        <w:t xml:space="preserve">2021 Preqin Global Private </w:t>
      </w:r>
      <w:r>
        <w:rPr>
          <w:rFonts w:cs="Times New Roman"/>
          <w:i/>
          <w:szCs w:val="18"/>
        </w:rPr>
        <w:t xml:space="preserve">Equity and Venture Capital </w:t>
      </w:r>
      <w:r w:rsidRPr="00C118A6">
        <w:rPr>
          <w:rFonts w:cs="Times New Roman"/>
          <w:i/>
          <w:szCs w:val="18"/>
        </w:rPr>
        <w:t>Report</w:t>
      </w:r>
      <w:r w:rsidRPr="00C118A6">
        <w:rPr>
          <w:rFonts w:cs="Times New Roman"/>
          <w:szCs w:val="18"/>
        </w:rPr>
        <w:t>, January 2021</w:t>
      </w:r>
      <w:r>
        <w:rPr>
          <w:rFonts w:cs="Times New Roman"/>
          <w:szCs w:val="18"/>
        </w:rPr>
        <w:t>.</w:t>
      </w:r>
    </w:p>
  </w:footnote>
  <w:footnote w:id="39">
    <w:p w:rsidRPr="00C5673C" w:rsidR="00A74803" w:rsidP="001C3CEC" w:rsidRDefault="00A74803" w14:paraId="477138D2" w14:textId="4D9635E7">
      <w:pPr>
        <w:pStyle w:val="FootnoteText"/>
        <w:spacing w:after="0"/>
        <w:rPr>
          <w:lang w:val="en-GB"/>
        </w:rPr>
      </w:pPr>
      <w:r>
        <w:rPr>
          <w:rStyle w:val="FootnoteReference"/>
        </w:rPr>
        <w:footnoteRef/>
      </w:r>
      <w:r>
        <w:t xml:space="preserve"> </w:t>
      </w:r>
      <w:r w:rsidRPr="00C5673C">
        <w:rPr>
          <w:i/>
          <w:lang w:val="de-DE"/>
        </w:rPr>
        <w:t>Source</w:t>
      </w:r>
      <w:r w:rsidRPr="00F347A2">
        <w:rPr>
          <w:lang w:val="de-DE"/>
        </w:rPr>
        <w:t>: Cambridge Associates</w:t>
      </w:r>
      <w:r>
        <w:rPr>
          <w:lang w:val="de-DE"/>
        </w:rPr>
        <w:t xml:space="preserve">, </w:t>
      </w:r>
      <w:r w:rsidRPr="009B0797">
        <w:rPr>
          <w:i/>
          <w:lang w:val="de-DE"/>
        </w:rPr>
        <w:t>Index and Benchmark Statistics – Private Credit</w:t>
      </w:r>
      <w:r>
        <w:rPr>
          <w:i/>
          <w:lang w:val="de-DE"/>
        </w:rPr>
        <w:t xml:space="preserve"> (Credit Opportunities) and Private Equity (Europe)</w:t>
      </w:r>
      <w:r w:rsidRPr="00794221">
        <w:rPr>
          <w:lang w:val="de-DE"/>
        </w:rPr>
        <w:t>,</w:t>
      </w:r>
      <w:r>
        <w:rPr>
          <w:i/>
          <w:lang w:val="de-DE"/>
        </w:rPr>
        <w:t xml:space="preserve"> </w:t>
      </w:r>
      <w:r>
        <w:rPr>
          <w:lang w:val="de-DE"/>
        </w:rPr>
        <w:t xml:space="preserve">30 September 2020. </w:t>
      </w:r>
    </w:p>
  </w:footnote>
  <w:footnote w:id="40">
    <w:p w:rsidRPr="00507C65" w:rsidR="00A74803" w:rsidP="001C3CEC" w:rsidRDefault="00A74803" w14:paraId="5C41D62A" w14:textId="4640B24E">
      <w:pPr>
        <w:pStyle w:val="FootnoteText"/>
        <w:spacing w:after="0"/>
        <w:rPr>
          <w:lang w:val="de-DE"/>
        </w:rPr>
      </w:pPr>
      <w:r>
        <w:rPr>
          <w:rStyle w:val="FootnoteReference"/>
        </w:rPr>
        <w:footnoteRef/>
      </w:r>
      <w:r>
        <w:t xml:space="preserve"> </w:t>
      </w:r>
      <w:r w:rsidRPr="00507C65">
        <w:rPr>
          <w:i/>
          <w:lang w:val="de-DE"/>
        </w:rPr>
        <w:t>Source</w:t>
      </w:r>
      <w:r>
        <w:rPr>
          <w:lang w:val="de-DE"/>
        </w:rPr>
        <w:t>: Preqin, data as of 31 December 2020 sourced from website (last accessed on 25 May 2021).</w:t>
      </w:r>
    </w:p>
  </w:footnote>
  <w:footnote w:id="41">
    <w:p w:rsidRPr="009B0797" w:rsidR="00A74803" w:rsidP="001C3CEC" w:rsidRDefault="00A74803" w14:paraId="5E194F81" w14:textId="0D21A5F8">
      <w:pPr>
        <w:pStyle w:val="FootnoteText"/>
        <w:spacing w:after="0"/>
        <w:rPr>
          <w:lang w:val="de-DE"/>
        </w:rPr>
      </w:pPr>
      <w:r>
        <w:rPr>
          <w:rStyle w:val="FootnoteReference"/>
        </w:rPr>
        <w:footnoteRef/>
      </w:r>
      <w:r>
        <w:t xml:space="preserve"> </w:t>
      </w:r>
      <w:r w:rsidRPr="00C5673C">
        <w:rPr>
          <w:i/>
          <w:lang w:val="de-DE"/>
        </w:rPr>
        <w:t>Source</w:t>
      </w:r>
      <w:r w:rsidRPr="00C94E0F">
        <w:rPr>
          <w:lang w:val="de-DE"/>
        </w:rPr>
        <w:t xml:space="preserve">: </w:t>
      </w:r>
      <w:r w:rsidRPr="008044EA">
        <w:rPr>
          <w:lang w:val="de-DE"/>
        </w:rPr>
        <w:t xml:space="preserve">Cambridge Associates, </w:t>
      </w:r>
      <w:r w:rsidRPr="009B0797">
        <w:rPr>
          <w:i/>
          <w:lang w:val="de-DE"/>
        </w:rPr>
        <w:t>In</w:t>
      </w:r>
      <w:r>
        <w:rPr>
          <w:i/>
          <w:lang w:val="de-DE"/>
        </w:rPr>
        <w:t>dex and Benchmark Statistics–</w:t>
      </w:r>
      <w:r w:rsidRPr="009B0797">
        <w:rPr>
          <w:i/>
          <w:lang w:val="de-DE"/>
        </w:rPr>
        <w:t>Private Equity</w:t>
      </w:r>
      <w:r>
        <w:rPr>
          <w:lang w:val="de-DE"/>
        </w:rPr>
        <w:t xml:space="preserve"> (Europe), 30 September 2020.</w:t>
      </w:r>
      <w:r w:rsidRPr="00DA1079">
        <w:t xml:space="preserve"> </w:t>
      </w:r>
      <w:r w:rsidRPr="00DA1079">
        <w:rPr>
          <w:lang w:val="de-DE"/>
        </w:rPr>
        <w:t>Cambridge Associates data is continuously updated and therefore subject to change.</w:t>
      </w:r>
    </w:p>
  </w:footnote>
  <w:footnote w:id="42">
    <w:p w:rsidRPr="00C5673C" w:rsidR="00A74803" w:rsidP="001C3CEC" w:rsidRDefault="00A74803" w14:paraId="0C0BF7E2" w14:textId="36D7E2E5">
      <w:pPr>
        <w:pStyle w:val="FootnoteText"/>
        <w:spacing w:after="0"/>
        <w:rPr>
          <w:lang w:val="en-GB"/>
        </w:rPr>
      </w:pPr>
      <w:r>
        <w:rPr>
          <w:rStyle w:val="FootnoteReference"/>
        </w:rPr>
        <w:footnoteRef/>
      </w:r>
      <w:r>
        <w:t xml:space="preserve"> </w:t>
      </w:r>
      <w:r w:rsidRPr="003F7555">
        <w:rPr>
          <w:i/>
          <w:lang w:val="en-GB"/>
        </w:rPr>
        <w:t>Source</w:t>
      </w:r>
      <w:r w:rsidRPr="003A48CD">
        <w:rPr>
          <w:lang w:val="en-GB"/>
        </w:rPr>
        <w:t xml:space="preserve">: </w:t>
      </w:r>
      <w:r w:rsidRPr="008044EA">
        <w:rPr>
          <w:lang w:val="de-DE"/>
        </w:rPr>
        <w:t xml:space="preserve">Cambridge Associates, </w:t>
      </w:r>
      <w:r w:rsidRPr="00E84A59">
        <w:rPr>
          <w:i/>
          <w:lang w:val="de-DE"/>
        </w:rPr>
        <w:t>Index and B</w:t>
      </w:r>
      <w:r>
        <w:rPr>
          <w:i/>
          <w:lang w:val="de-DE"/>
        </w:rPr>
        <w:t>enchmark Statistics–</w:t>
      </w:r>
      <w:r w:rsidRPr="00E84A59">
        <w:rPr>
          <w:i/>
          <w:lang w:val="de-DE"/>
        </w:rPr>
        <w:t>Private Equity</w:t>
      </w:r>
      <w:r>
        <w:rPr>
          <w:lang w:val="de-DE"/>
        </w:rPr>
        <w:t xml:space="preserve"> (Europe), 30 September 2020.</w:t>
      </w:r>
      <w:r w:rsidRPr="00DA1079">
        <w:t xml:space="preserve"> </w:t>
      </w:r>
      <w:r w:rsidRPr="00DA1079">
        <w:rPr>
          <w:lang w:val="de-DE"/>
        </w:rPr>
        <w:t>Cambridge Associates data is continuously updated and therefore subject to change.</w:t>
      </w:r>
    </w:p>
  </w:footnote>
  <w:footnote w:id="43">
    <w:p w:rsidR="00A74803" w:rsidP="001C3CEC" w:rsidRDefault="00A74803" w14:paraId="10B174F4" w14:textId="184D04E4">
      <w:pPr>
        <w:pStyle w:val="FootnoteText"/>
        <w:spacing w:after="0"/>
        <w:rPr>
          <w:lang w:val="en-GB"/>
        </w:rPr>
      </w:pPr>
      <w:r>
        <w:rPr>
          <w:rStyle w:val="FootnoteReference"/>
        </w:rPr>
        <w:footnoteRef/>
      </w:r>
      <w:r>
        <w:t xml:space="preserve"> </w:t>
      </w:r>
      <w:r w:rsidRPr="00FA6470">
        <w:rPr>
          <w:i/>
        </w:rPr>
        <w:t>Source: Orbis Europe – Bureau van Dijk, June 2021</w:t>
      </w:r>
      <w:r>
        <w:rPr>
          <w:i/>
        </w:rPr>
        <w:t>.</w:t>
      </w:r>
    </w:p>
  </w:footnote>
  <w:footnote w:id="44">
    <w:p w:rsidRPr="00C118A6" w:rsidR="00A74803" w:rsidP="00FA30C8" w:rsidRDefault="00A74803" w14:paraId="6E0566ED" w14:textId="77777777">
      <w:pPr>
        <w:pStyle w:val="FootnoteText"/>
        <w:spacing w:after="0"/>
        <w:rPr>
          <w:lang w:val="de-DE"/>
        </w:rPr>
      </w:pPr>
      <w:r>
        <w:rPr>
          <w:rStyle w:val="FootnoteReference"/>
        </w:rPr>
        <w:footnoteRef/>
      </w:r>
      <w:r>
        <w:t xml:space="preserve"> </w:t>
      </w:r>
      <w:r w:rsidRPr="00C118A6">
        <w:rPr>
          <w:i/>
          <w:lang w:val="de-DE"/>
        </w:rPr>
        <w:t>Source</w:t>
      </w:r>
      <w:r>
        <w:rPr>
          <w:lang w:val="de-DE"/>
        </w:rPr>
        <w:t xml:space="preserve">: </w:t>
      </w:r>
      <w:r w:rsidRPr="00C118A6">
        <w:rPr>
          <w:rFonts w:cs="Times New Roman"/>
          <w:szCs w:val="18"/>
        </w:rPr>
        <w:t xml:space="preserve">Preqin, </w:t>
      </w:r>
      <w:r w:rsidRPr="00C118A6">
        <w:rPr>
          <w:rFonts w:cs="Times New Roman"/>
          <w:i/>
          <w:szCs w:val="18"/>
        </w:rPr>
        <w:t>Preqin Special Report: The Future of Alternatives 2025</w:t>
      </w:r>
      <w:r w:rsidRPr="00C118A6">
        <w:rPr>
          <w:rFonts w:cs="Times New Roman"/>
          <w:szCs w:val="18"/>
        </w:rPr>
        <w:t>, November 2020</w:t>
      </w:r>
      <w:r>
        <w:rPr>
          <w:rFonts w:cs="Times New Roman"/>
          <w:szCs w:val="18"/>
        </w:rPr>
        <w:t>; based on assets under management for private equity, private debt, real estate and infrastructure.</w:t>
      </w:r>
    </w:p>
  </w:footnote>
  <w:footnote w:id="45">
    <w:p w:rsidRPr="009B0797" w:rsidR="00A74803" w:rsidP="00FA30C8" w:rsidRDefault="00A74803" w14:paraId="27236E00" w14:textId="77777777">
      <w:pPr>
        <w:pStyle w:val="FootnoteText"/>
        <w:spacing w:after="0"/>
        <w:rPr>
          <w:i/>
          <w:lang w:val="en-GB"/>
        </w:rPr>
      </w:pPr>
      <w:r>
        <w:rPr>
          <w:rStyle w:val="FootnoteReference"/>
        </w:rPr>
        <w:footnoteRef/>
      </w:r>
      <w:r>
        <w:t xml:space="preserve"> </w:t>
      </w:r>
      <w:r>
        <w:rPr>
          <w:i/>
          <w:lang w:val="en-GB"/>
        </w:rPr>
        <w:t>Source</w:t>
      </w:r>
      <w:r>
        <w:rPr>
          <w:lang w:val="en-GB"/>
        </w:rPr>
        <w:t xml:space="preserve">: </w:t>
      </w:r>
      <w:r w:rsidRPr="00F347A2">
        <w:rPr>
          <w:lang w:val="de-DE"/>
        </w:rPr>
        <w:t>Cambridge Associates</w:t>
      </w:r>
      <w:r>
        <w:rPr>
          <w:lang w:val="de-DE"/>
        </w:rPr>
        <w:t xml:space="preserve">, </w:t>
      </w:r>
      <w:r w:rsidRPr="008C1A5A">
        <w:rPr>
          <w:i/>
          <w:lang w:val="de-DE"/>
        </w:rPr>
        <w:t>Index and Benchmark Statistics – Private Credit</w:t>
      </w:r>
      <w:r>
        <w:rPr>
          <w:i/>
          <w:lang w:val="de-DE"/>
        </w:rPr>
        <w:t xml:space="preserve"> (Credit Opportunities)</w:t>
      </w:r>
      <w:r>
        <w:rPr>
          <w:lang w:val="de-DE"/>
        </w:rPr>
        <w:t>, September 2020.</w:t>
      </w:r>
    </w:p>
  </w:footnote>
  <w:footnote w:id="46">
    <w:p w:rsidRPr="007C768C" w:rsidR="00A74803" w:rsidP="00B51E80" w:rsidRDefault="00A74803" w14:paraId="43195250" w14:textId="0AA0999B">
      <w:pPr>
        <w:pStyle w:val="FootnoteText"/>
        <w:spacing w:after="0"/>
        <w:rPr>
          <w:lang w:val="en-GB"/>
        </w:rPr>
      </w:pPr>
      <w:r>
        <w:rPr>
          <w:rStyle w:val="FootnoteReference"/>
        </w:rPr>
        <w:footnoteRef/>
      </w:r>
      <w:r>
        <w:t xml:space="preserve"> </w:t>
      </w:r>
      <w:r w:rsidRPr="00FA6470">
        <w:rPr>
          <w:i/>
        </w:rPr>
        <w:t>Source: CapIQ (data as of 31 March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454" w:rsidRDefault="009D2454" w14:paraId="10E8FF7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03" w:rsidRDefault="00A74803" w14:paraId="4FFB78D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03" w:rsidRDefault="00A74803" w14:paraId="68E43AA3"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271E1" w:rsidR="00A74803" w:rsidP="00800B3F" w:rsidRDefault="00A74803" w14:paraId="709FA822" w14:textId="77777777">
    <w:pPr>
      <w:pStyle w:val="Header"/>
      <w:spacing w:after="240"/>
      <w:jc w:val="center"/>
      <w:rPr>
        <w:b/>
      </w:rPr>
    </w:pPr>
    <w:r w:rsidRPr="000271E1">
      <w:rPr>
        <w:b/>
      </w:rPr>
      <w:t>Atlantic Investments Holdings Limited</w:t>
    </w:r>
  </w:p>
  <w:p w:rsidRPr="000271E1" w:rsidR="00A74803" w:rsidP="00800B3F" w:rsidRDefault="00A74803" w14:paraId="38022042" w14:textId="77777777">
    <w:pPr>
      <w:pStyle w:val="Header"/>
      <w:spacing w:after="240"/>
      <w:jc w:val="center"/>
      <w:rPr>
        <w:b/>
      </w:rPr>
    </w:pPr>
    <w:r w:rsidRPr="000271E1">
      <w:rPr>
        <w:b/>
      </w:rPr>
      <w:t>Consolidated Income Statement</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E0991" w:rsidR="00A74803" w:rsidP="00800B3F" w:rsidRDefault="00A74803" w14:paraId="37EAD567" w14:textId="77777777">
    <w:pPr>
      <w:pStyle w:val="Header"/>
      <w:spacing w:after="240"/>
      <w:jc w:val="center"/>
      <w:rPr>
        <w:b/>
        <w:sz w:val="20"/>
        <w:szCs w:val="20"/>
      </w:rPr>
    </w:pPr>
    <w:r w:rsidRPr="00AE0991">
      <w:rPr>
        <w:b/>
        <w:sz w:val="20"/>
        <w:szCs w:val="20"/>
      </w:rPr>
      <w:t>Atlantic Investments Holdings Limited</w:t>
    </w:r>
  </w:p>
  <w:p w:rsidRPr="00AE0991" w:rsidR="00A74803" w:rsidP="00800B3F" w:rsidRDefault="00A74803" w14:paraId="47099B1F" w14:textId="77777777">
    <w:pPr>
      <w:pStyle w:val="Header"/>
      <w:spacing w:after="240"/>
      <w:jc w:val="center"/>
      <w:rPr>
        <w:sz w:val="20"/>
        <w:szCs w:val="20"/>
      </w:rPr>
    </w:pPr>
    <w:r w:rsidRPr="00AE0991">
      <w:rPr>
        <w:b/>
        <w:sz w:val="20"/>
        <w:szCs w:val="20"/>
      </w:rPr>
      <w:t>Consolidated Statement of Comprehensive Income</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E0991" w:rsidR="00A74803" w:rsidP="00800B3F" w:rsidRDefault="00A74803" w14:paraId="0CCC66C9" w14:textId="77777777">
    <w:pPr>
      <w:pStyle w:val="Header"/>
      <w:spacing w:after="240"/>
      <w:jc w:val="center"/>
      <w:rPr>
        <w:b/>
        <w:sz w:val="20"/>
        <w:szCs w:val="20"/>
      </w:rPr>
    </w:pPr>
    <w:r w:rsidRPr="00AE0991">
      <w:rPr>
        <w:b/>
        <w:sz w:val="20"/>
        <w:szCs w:val="20"/>
      </w:rPr>
      <w:t>Atlantic Investments Holdings Limited</w:t>
    </w:r>
  </w:p>
  <w:p w:rsidRPr="00AE0991" w:rsidR="00A74803" w:rsidP="00800B3F" w:rsidRDefault="00A74803" w14:paraId="188FD5EF" w14:textId="77777777">
    <w:pPr>
      <w:pStyle w:val="Header"/>
      <w:spacing w:after="240"/>
      <w:jc w:val="center"/>
      <w:rPr>
        <w:sz w:val="20"/>
        <w:szCs w:val="20"/>
      </w:rPr>
    </w:pPr>
    <w:r w:rsidRPr="00AE0991">
      <w:rPr>
        <w:b/>
        <w:sz w:val="20"/>
        <w:szCs w:val="20"/>
      </w:rPr>
      <w:t>Consolidated Statement of Financial Position</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E0991" w:rsidR="00A74803" w:rsidP="00800B3F" w:rsidRDefault="00A74803" w14:paraId="14824102" w14:textId="77777777">
    <w:pPr>
      <w:pStyle w:val="Header"/>
      <w:spacing w:after="240"/>
      <w:jc w:val="center"/>
      <w:rPr>
        <w:b/>
        <w:sz w:val="20"/>
        <w:szCs w:val="20"/>
      </w:rPr>
    </w:pPr>
    <w:r w:rsidRPr="00AE0991">
      <w:rPr>
        <w:b/>
        <w:sz w:val="20"/>
        <w:szCs w:val="20"/>
      </w:rPr>
      <w:t>Atlantic Investments Holdings Limited</w:t>
    </w:r>
  </w:p>
  <w:p w:rsidRPr="00AE0991" w:rsidR="00A74803" w:rsidP="00800B3F" w:rsidRDefault="00A74803" w14:paraId="6404A97D" w14:textId="77777777">
    <w:pPr>
      <w:pStyle w:val="Header"/>
      <w:spacing w:after="240"/>
      <w:jc w:val="center"/>
      <w:rPr>
        <w:sz w:val="20"/>
        <w:szCs w:val="20"/>
      </w:rPr>
    </w:pPr>
    <w:r w:rsidRPr="00AE0991">
      <w:rPr>
        <w:b/>
        <w:sz w:val="20"/>
        <w:szCs w:val="20"/>
      </w:rPr>
      <w:t>Consolidated Statement of Changes in Equity</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E0991" w:rsidR="00A74803" w:rsidP="00800B3F" w:rsidRDefault="00A74803" w14:paraId="386B34C6" w14:textId="77777777">
    <w:pPr>
      <w:pStyle w:val="Header"/>
      <w:spacing w:after="240"/>
      <w:jc w:val="center"/>
      <w:rPr>
        <w:b/>
        <w:sz w:val="20"/>
        <w:szCs w:val="20"/>
      </w:rPr>
    </w:pPr>
    <w:r w:rsidRPr="00AE0991">
      <w:rPr>
        <w:b/>
        <w:sz w:val="20"/>
        <w:szCs w:val="20"/>
      </w:rPr>
      <w:t>Atlantic Investments Holdings Limited</w:t>
    </w:r>
  </w:p>
  <w:p w:rsidRPr="00AE0991" w:rsidR="00A74803" w:rsidP="00800B3F" w:rsidRDefault="00A74803" w14:paraId="03D44EE0" w14:textId="77777777">
    <w:pPr>
      <w:pStyle w:val="Header"/>
      <w:spacing w:after="240"/>
      <w:jc w:val="center"/>
      <w:rPr>
        <w:sz w:val="20"/>
        <w:szCs w:val="20"/>
      </w:rPr>
    </w:pPr>
    <w:r w:rsidRPr="00AE0991">
      <w:rPr>
        <w:b/>
        <w:sz w:val="20"/>
        <w:szCs w:val="20"/>
      </w:rPr>
      <w:t>Consolidated Statement of Cash Flows</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E0991" w:rsidR="00A74803" w:rsidP="00800B3F" w:rsidRDefault="00A74803" w14:paraId="47EE8ACD" w14:textId="77777777">
    <w:pPr>
      <w:pStyle w:val="Header"/>
      <w:spacing w:after="240"/>
      <w:jc w:val="center"/>
      <w:rPr>
        <w:b/>
        <w:sz w:val="20"/>
        <w:szCs w:val="20"/>
      </w:rPr>
    </w:pPr>
    <w:r w:rsidRPr="00AE0991">
      <w:rPr>
        <w:b/>
        <w:sz w:val="20"/>
        <w:szCs w:val="20"/>
      </w:rPr>
      <w:t>Atlantic Investments Holdings Limited</w:t>
    </w:r>
  </w:p>
  <w:p w:rsidRPr="00AE0991" w:rsidR="00A74803" w:rsidP="00800B3F" w:rsidRDefault="00A74803" w14:paraId="254FBBA9" w14:textId="77777777">
    <w:pPr>
      <w:pStyle w:val="Header"/>
      <w:spacing w:after="240"/>
      <w:jc w:val="center"/>
      <w:rPr>
        <w:sz w:val="20"/>
        <w:szCs w:val="20"/>
      </w:rPr>
    </w:pPr>
    <w:r w:rsidRPr="00AE0991">
      <w:rPr>
        <w:b/>
        <w:sz w:val="20"/>
        <w:szCs w:val="20"/>
      </w:rPr>
      <w:t>Notes to the Historical Financial Information</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E0991" w:rsidR="007856B7" w:rsidP="007856B7" w:rsidRDefault="007856B7" w14:paraId="26A515D7" w14:textId="77777777">
    <w:pPr>
      <w:pStyle w:val="Header"/>
      <w:spacing w:after="240"/>
      <w:jc w:val="center"/>
      <w:rPr>
        <w:b/>
        <w:sz w:val="20"/>
        <w:szCs w:val="20"/>
      </w:rPr>
    </w:pPr>
    <w:r w:rsidRPr="00AE0991">
      <w:rPr>
        <w:b/>
        <w:sz w:val="20"/>
        <w:szCs w:val="20"/>
      </w:rPr>
      <w:t>Atlantic Investments Holdings Limited</w:t>
    </w:r>
  </w:p>
  <w:p w:rsidRPr="007856B7" w:rsidR="00A74803" w:rsidP="007856B7" w:rsidRDefault="007856B7" w14:paraId="05231A80" w14:textId="493D23F7">
    <w:pPr>
      <w:pStyle w:val="Header"/>
      <w:spacing w:after="240"/>
      <w:jc w:val="center"/>
      <w:rPr>
        <w:sz w:val="20"/>
        <w:szCs w:val="20"/>
      </w:rPr>
    </w:pPr>
    <w:r w:rsidRPr="00AE0991">
      <w:rPr>
        <w:b/>
        <w:sz w:val="20"/>
        <w:szCs w:val="20"/>
      </w:rPr>
      <w:t>Notes to the Historical Financial Information</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E0991" w:rsidR="00A74803" w:rsidRDefault="00A74803" w14:paraId="3B0DEF8A" w14:textId="77777777">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454" w:rsidRDefault="009D2454" w14:paraId="0B491D6B"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E0991" w:rsidR="00A74803" w:rsidRDefault="00A74803" w14:paraId="69B3C9C8" w14:textId="77777777">
    <w:pPr>
      <w:pStyle w:val="Header"/>
      <w:rPr>
        <w:sz w:val="20"/>
        <w:szCs w:val="20"/>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03" w:rsidRDefault="00A74803" w14:paraId="3B7784A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454" w:rsidRDefault="009D2454" w14:paraId="51D1E9F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03" w:rsidRDefault="00A74803" w14:paraId="6FCD382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03" w:rsidRDefault="00A74803" w14:paraId="2D5A076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03" w:rsidRDefault="00A74803" w14:paraId="4B937A36" w14:textId="77777777">
    <w:pPr>
      <w:pStyle w:val="Header"/>
    </w:pPr>
  </w:p>
</w:hdr>
</file>

<file path=word/header7.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03" w:rsidRDefault="00A74803" w14:paraId="6A990B9F" w14:textId="7DE6F2ED">
    <w:pPr>
      <w:pStyle w:val="Header"/>
    </w:pPr>
    <w:r>
      <w:rPr>
        <w:noProof/>
      </w:rPr>
      <w:drawing>
        <wp:anchor distT="0" distB="0" distL="114300" distR="114300" simplePos="0" relativeHeight="251672576" behindDoc="0" locked="1" layoutInCell="1" allowOverlap="1" wp14:editId="179939CB" wp14:anchorId="20026995">
          <wp:simplePos x="0" y="0"/>
          <wp:positionH relativeFrom="page">
            <wp:posOffset>1066800</wp:posOffset>
          </wp:positionH>
          <wp:positionV relativeFrom="page">
            <wp:posOffset>457200</wp:posOffset>
          </wp:positionV>
          <wp:extent cx="965200" cy="736600"/>
          <wp:effectExtent l="0" t="0" r="6350" b="6350"/>
          <wp:wrapNone/>
          <wp:docPr id="4" name="clsLogo1" descr="" title=""/>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965200" cy="736600"/>
                  </a:xfrm>
                  <a:prstGeom prst="rect">
                    <a:avLst/>
                  </a:prstGeom>
                </pic:spPr>
              </pic:pic>
            </a:graphicData>
          </a:graphic>
        </wp:anchor>
      </w:drawing>
    </w:r>
  </w:p>
</w:hdr>
</file>

<file path=word/header8.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03" w:rsidRDefault="00A74803" w14:paraId="1A16182E" w14:textId="680ED0F6">
    <w:pPr>
      <w:pStyle w:val="Header"/>
    </w:pPr>
    <w:r>
      <w:rPr>
        <w:noProof/>
      </w:rPr>
      <w:drawing>
        <wp:anchor distT="0" distB="0" distL="114300" distR="114300" simplePos="0" relativeHeight="251676672" behindDoc="0" locked="1" layoutInCell="1" allowOverlap="1" wp14:editId="324B793C" wp14:anchorId="1B735333">
          <wp:simplePos x="0" y="0"/>
          <wp:positionH relativeFrom="page">
            <wp:posOffset>1066800</wp:posOffset>
          </wp:positionH>
          <wp:positionV relativeFrom="page">
            <wp:posOffset>457200</wp:posOffset>
          </wp:positionV>
          <wp:extent cx="965200" cy="736600"/>
          <wp:effectExtent l="0" t="0" r="6350" b="6350"/>
          <wp:wrapNone/>
          <wp:docPr id="6" name="clsLogo1" descr="" title=""/>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965200" cy="736600"/>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03" w:rsidRDefault="00A74803" w14:paraId="08CFCEC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40D136"/>
    <w:name w:val="List Number 5"/>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3C80AA2"/>
    <w:name w:val="List Number 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F36F29A"/>
    <w:name w:val="List Number 3"/>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A669AB6"/>
    <w:name w:val="List Number 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660B552"/>
    <w:name w:val="List Bullet 5"/>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0E5794"/>
    <w:name w:val="List Bullet 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AC2006C"/>
    <w:name w:val="List Bullet 3"/>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4149920"/>
    <w:name w:val="List Bullet 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CC9D0E"/>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F68847E"/>
    <w:name w:val="List Bullet"/>
    <w:lvl w:ilvl="0">
      <w:start w:val="1"/>
      <w:numFmt w:val="bullet"/>
      <w:pStyle w:val="ListBullet"/>
      <w:lvlText w:val=""/>
      <w:lvlJc w:val="left"/>
      <w:pPr>
        <w:ind w:left="360" w:hanging="360"/>
      </w:pPr>
      <w:rPr>
        <w:rFonts w:ascii="Symbol" w:hAnsi="Symbol" w:hint="default"/>
      </w:rPr>
    </w:lvl>
  </w:abstractNum>
  <w:abstractNum w:abstractNumId="10" w15:restartNumberingAfterBreak="0">
    <w:nsid w:val="02BA4EE7"/>
    <w:multiLevelType w:val="hybridMultilevel"/>
    <w:tmpl w:val="6FD24662"/>
    <w:name w:val="STB List Number 3"/>
    <w:lvl w:ilvl="0" w:tplc="E50C87F4">
      <w:start w:val="1"/>
      <w:numFmt w:val="decimal"/>
      <w:pStyle w:val="STBListNumber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C247E57"/>
    <w:multiLevelType w:val="hybridMultilevel"/>
    <w:tmpl w:val="0980D162"/>
    <w:name w:val="STB List Number 1"/>
    <w:lvl w:ilvl="0" w:tplc="3376867E">
      <w:start w:val="1"/>
      <w:numFmt w:val="decimal"/>
      <w:pStyle w:val="STBListNumber1"/>
      <w:lvlText w:val="(%1)"/>
      <w:lvlJc w:val="left"/>
      <w:pPr>
        <w:ind w:left="1224" w:hanging="50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F99175D"/>
    <w:multiLevelType w:val="hybridMultilevel"/>
    <w:tmpl w:val="DE7A8252"/>
    <w:name w:val="STB List Number 2 DBL"/>
    <w:lvl w:ilvl="0" w:tplc="48F4135C">
      <w:start w:val="1"/>
      <w:numFmt w:val="decimal"/>
      <w:pStyle w:val="STBListNumber2DB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0245BF7"/>
    <w:multiLevelType w:val="hybridMultilevel"/>
    <w:tmpl w:val="9C223F12"/>
    <w:lvl w:ilvl="0" w:tplc="AB00B750">
      <w:start w:val="1"/>
      <w:numFmt w:val="bullet"/>
      <w:lvlRestart w:val="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8036C1"/>
    <w:multiLevelType w:val="hybridMultilevel"/>
    <w:tmpl w:val="D464AE3A"/>
    <w:name w:val="STB Bullet 3 DBL"/>
    <w:lvl w:ilvl="0" w:tplc="81123522">
      <w:start w:val="1"/>
      <w:numFmt w:val="bullet"/>
      <w:pStyle w:val="STBBullet3DBL"/>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3D05907"/>
    <w:multiLevelType w:val="singleLevel"/>
    <w:tmpl w:val="251AAF34"/>
    <w:name w:val="Normal bullets"/>
    <w:lvl w:ilvl="0">
      <w:start w:val="1"/>
      <w:numFmt w:val="bullet"/>
      <w:lvlRestart w:val="0"/>
      <w:lvlText w:val="·"/>
      <w:lvlJc w:val="left"/>
      <w:pPr>
        <w:tabs>
          <w:tab w:val="num" w:pos="425"/>
        </w:tabs>
        <w:ind w:left="425" w:hanging="425"/>
      </w:pPr>
      <w:rPr>
        <w:rFonts w:ascii="Symbol" w:hAnsi="Symbol" w:hint="default"/>
        <w:color w:val="auto"/>
        <w:sz w:val="20"/>
        <w:szCs w:val="22"/>
      </w:rPr>
    </w:lvl>
  </w:abstractNum>
  <w:abstractNum w:abstractNumId="16" w15:restartNumberingAfterBreak="0">
    <w:nsid w:val="1AD6370F"/>
    <w:multiLevelType w:val="hybridMultilevel"/>
    <w:tmpl w:val="20C20E54"/>
    <w:name w:val="STB Bullet 4 DBL"/>
    <w:lvl w:ilvl="0" w:tplc="24DA4AB8">
      <w:start w:val="1"/>
      <w:numFmt w:val="bullet"/>
      <w:pStyle w:val="STBBullet4DBL"/>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E7F1A15"/>
    <w:multiLevelType w:val="hybridMultilevel"/>
    <w:tmpl w:val="AD1486C8"/>
    <w:name w:val="STB List Number 3 DBL"/>
    <w:lvl w:ilvl="0" w:tplc="11E871C0">
      <w:start w:val="1"/>
      <w:numFmt w:val="decimal"/>
      <w:pStyle w:val="STBListNumber3DB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FDA1BFD"/>
    <w:multiLevelType w:val="hybridMultilevel"/>
    <w:tmpl w:val="81B0CFEA"/>
    <w:name w:val="List (1)*"/>
    <w:lvl w:ilvl="0" w:tplc="F8D2137E">
      <w:start w:val="1"/>
      <w:numFmt w:val="decimal"/>
      <w:lvlText w:val="(%1)"/>
      <w:lvlJc w:val="left"/>
      <w:pPr>
        <w:ind w:left="720" w:hanging="360"/>
      </w:pPr>
      <w:rPr>
        <w:rFonts w:ascii="Arial" w:hAnsi="Arial"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6C4417"/>
    <w:multiLevelType w:val="multilevel"/>
    <w:tmpl w:val="2C588C3A"/>
    <w:lvl w:ilvl="0">
      <w:start w:val="1"/>
      <w:numFmt w:val="upperRoman"/>
      <w:suff w:val="nothing"/>
      <w:lvlText w:val="Part %1"/>
      <w:lvlJc w:val="left"/>
      <w:pPr>
        <w:ind w:left="0" w:firstLine="0"/>
      </w:pPr>
      <w:rPr>
        <w:rFonts w:ascii="Times New Roman" w:hAnsi="Times New Roman" w:hint="default"/>
        <w:b/>
        <w:i w:val="0"/>
        <w:caps/>
        <w:color w:val="010000"/>
        <w:u w:val="none"/>
      </w:rPr>
    </w:lvl>
    <w:lvl w:ilvl="1">
      <w:start w:val="1"/>
      <w:numFmt w:val="upperLetter"/>
      <w:lvlText w:val="%2."/>
      <w:lvlJc w:val="left"/>
      <w:pPr>
        <w:ind w:left="720" w:hanging="720"/>
      </w:pPr>
      <w:rPr>
        <w:rFonts w:ascii="Times New Roman" w:hAnsi="Times New Roman" w:hint="default"/>
        <w:b/>
        <w:i w:val="0"/>
        <w:color w:val="010000"/>
        <w:u w:val="none"/>
      </w:rPr>
    </w:lvl>
    <w:lvl w:ilvl="2">
      <w:start w:val="1"/>
      <w:numFmt w:val="decimal"/>
      <w:lvlText w:val="%3."/>
      <w:lvlJc w:val="left"/>
      <w:pPr>
        <w:ind w:left="720" w:hanging="720"/>
      </w:pPr>
      <w:rPr>
        <w:rFonts w:hint="default"/>
        <w:b/>
        <w:i w:val="0"/>
        <w:color w:val="010000"/>
        <w:u w:val="none"/>
      </w:rPr>
    </w:lvl>
    <w:lvl w:ilvl="3">
      <w:start w:val="1"/>
      <w:numFmt w:val="decimal"/>
      <w:lvlText w:val="%3.%4"/>
      <w:lvlJc w:val="left"/>
      <w:pPr>
        <w:ind w:left="720" w:hanging="720"/>
      </w:pPr>
      <w:rPr>
        <w:rFonts w:ascii="Times New Roman" w:hAnsi="Times New Roman" w:cs="Times New Roman" w:hint="default"/>
        <w:b/>
        <w:i w:val="0"/>
        <w:color w:val="010000"/>
        <w:u w:val="none"/>
      </w:rPr>
    </w:lvl>
    <w:lvl w:ilvl="4">
      <w:start w:val="1"/>
      <w:numFmt w:val="lowerLetter"/>
      <w:lvlText w:val="(%5)"/>
      <w:lvlJc w:val="left"/>
      <w:pPr>
        <w:ind w:left="720" w:hanging="720"/>
      </w:pPr>
      <w:rPr>
        <w:rFonts w:hint="default"/>
        <w:b w:val="0"/>
        <w:color w:val="010000"/>
        <w:u w:val="none"/>
      </w:rPr>
    </w:lvl>
    <w:lvl w:ilvl="5">
      <w:start w:val="1"/>
      <w:numFmt w:val="lowerRoman"/>
      <w:lvlText w:val="(%6)"/>
      <w:lvlJc w:val="left"/>
      <w:pPr>
        <w:ind w:left="720" w:hanging="720"/>
      </w:pPr>
      <w:rPr>
        <w:rFonts w:hint="default"/>
        <w:color w:val="010000"/>
        <w:u w:val="none"/>
      </w:rPr>
    </w:lvl>
    <w:lvl w:ilvl="6">
      <w:start w:val="1"/>
      <w:numFmt w:val="upperLetter"/>
      <w:lvlText w:val="(%7)"/>
      <w:lvlJc w:val="left"/>
      <w:pPr>
        <w:tabs>
          <w:tab w:val="num" w:pos="2880"/>
        </w:tabs>
        <w:ind w:left="2880" w:hanging="720"/>
      </w:pPr>
      <w:rPr>
        <w:rFonts w:hint="default"/>
        <w:color w:val="010000"/>
        <w:u w:val="none"/>
      </w:rPr>
    </w:lvl>
    <w:lvl w:ilvl="7">
      <w:start w:val="1"/>
      <w:numFmt w:val="lowerLetter"/>
      <w:lvlText w:val="%8."/>
      <w:lvlJc w:val="left"/>
      <w:pPr>
        <w:tabs>
          <w:tab w:val="num" w:pos="2880"/>
        </w:tabs>
        <w:ind w:left="2880" w:hanging="360"/>
      </w:pPr>
      <w:rPr>
        <w:rFonts w:hint="default"/>
        <w:color w:val="010000"/>
        <w:u w:val="none"/>
      </w:rPr>
    </w:lvl>
    <w:lvl w:ilvl="8">
      <w:start w:val="1"/>
      <w:numFmt w:val="lowerRoman"/>
      <w:lvlText w:val="%9."/>
      <w:lvlJc w:val="left"/>
      <w:pPr>
        <w:tabs>
          <w:tab w:val="num" w:pos="3240"/>
        </w:tabs>
        <w:ind w:left="3240" w:hanging="360"/>
      </w:pPr>
      <w:rPr>
        <w:rFonts w:hint="default"/>
        <w:color w:val="010000"/>
        <w:u w:val="none"/>
      </w:rPr>
    </w:lvl>
  </w:abstractNum>
  <w:abstractNum w:abstractNumId="20" w15:restartNumberingAfterBreak="0">
    <w:nsid w:val="22B64FDE"/>
    <w:multiLevelType w:val="hybridMultilevel"/>
    <w:tmpl w:val="877E6E34"/>
    <w:lvl w:ilvl="0" w:tplc="F28A2DD2">
      <w:start w:val="1"/>
      <w:numFmt w:val="bullet"/>
      <w:lvlRestart w:val="0"/>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102CA2"/>
    <w:multiLevelType w:val="multilevel"/>
    <w:tmpl w:val="EC60BB16"/>
    <w:lvl w:ilvl="0">
      <w:numFmt w:val="bullet"/>
      <w:lvlText w:val="·"/>
      <w:lvlJc w:val="left"/>
      <w:pPr>
        <w:tabs>
          <w:tab w:val="left" w:pos="288"/>
        </w:tabs>
      </w:pPr>
      <w:rPr>
        <w:rFonts w:ascii="Symbol" w:eastAsia="Symbol" w:hAnsi="Symbo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145B82"/>
    <w:multiLevelType w:val="hybridMultilevel"/>
    <w:tmpl w:val="AA8400E0"/>
    <w:name w:val="STB List Number 4"/>
    <w:lvl w:ilvl="0" w:tplc="EDEE6648">
      <w:start w:val="1"/>
      <w:numFmt w:val="decimal"/>
      <w:pStyle w:val="STBListNumber4"/>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B5E43EA"/>
    <w:multiLevelType w:val="multilevel"/>
    <w:tmpl w:val="C360B154"/>
    <w:name w:val="Body Text Numbered"/>
    <w:lvl w:ilvl="0">
      <w:start w:val="1"/>
      <w:numFmt w:val="decimal"/>
      <w:pStyle w:val="BodyTextNumbered"/>
      <w:lvlText w:val="%1."/>
      <w:lvlJc w:val="left"/>
      <w:pPr>
        <w:ind w:left="1800" w:hanging="360"/>
      </w:pPr>
      <w:rPr>
        <w:rFonts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24" w15:restartNumberingAfterBreak="0">
    <w:nsid w:val="3BA91321"/>
    <w:multiLevelType w:val="multilevel"/>
    <w:tmpl w:val="387EAB68"/>
    <w:name w:val="Scheme 4-Scheme 1"/>
    <w:lvl w:ilvl="0">
      <w:start w:val="1"/>
      <w:numFmt w:val="upperRoman"/>
      <w:suff w:val="nothing"/>
      <w:lvlText w:val="PART %1"/>
      <w:lvlJc w:val="left"/>
      <w:pPr>
        <w:ind w:left="0" w:firstLine="0"/>
      </w:pPr>
      <w:rPr>
        <w:rFonts w:ascii="Times New Roman Bold" w:hAnsi="Times New Roman Bold" w:cs="Times New Roman" w:hint="default"/>
        <w:b/>
        <w:i w:val="0"/>
        <w:caps w:val="0"/>
        <w:vanish w:val="0"/>
        <w:color w:val="000000"/>
        <w:sz w:val="20"/>
        <w:u w:val="none"/>
      </w:rPr>
    </w:lvl>
    <w:lvl w:ilvl="1">
      <w:start w:val="1"/>
      <w:numFmt w:val="decimal"/>
      <w:lvlText w:val="%2."/>
      <w:lvlJc w:val="left"/>
      <w:pPr>
        <w:tabs>
          <w:tab w:val="num" w:pos="720"/>
        </w:tabs>
        <w:ind w:left="720" w:hanging="720"/>
      </w:pPr>
      <w:rPr>
        <w:rFonts w:hint="default"/>
        <w:b w:val="0"/>
        <w:i w:val="0"/>
        <w:vanish w:val="0"/>
        <w:color w:val="000000"/>
        <w:u w:val="none"/>
      </w:rPr>
    </w:lvl>
    <w:lvl w:ilvl="2">
      <w:start w:val="1"/>
      <w:numFmt w:val="decimal"/>
      <w:isLgl/>
      <w:lvlText w:val="%2.%3."/>
      <w:lvlJc w:val="left"/>
      <w:pPr>
        <w:tabs>
          <w:tab w:val="num" w:pos="720"/>
        </w:tabs>
        <w:ind w:left="720" w:hanging="720"/>
      </w:pPr>
      <w:rPr>
        <w:rFonts w:hint="default"/>
        <w:b w:val="0"/>
        <w:i w:val="0"/>
        <w:vanish w:val="0"/>
        <w:color w:val="000000"/>
        <w:u w:val="none"/>
      </w:rPr>
    </w:lvl>
    <w:lvl w:ilvl="3">
      <w:start w:val="1"/>
      <w:numFmt w:val="lowerLetter"/>
      <w:lvlText w:val="%4."/>
      <w:lvlJc w:val="left"/>
      <w:pPr>
        <w:tabs>
          <w:tab w:val="num" w:pos="2880"/>
        </w:tabs>
        <w:ind w:left="2880" w:hanging="720"/>
      </w:pPr>
      <w:rPr>
        <w:rFonts w:hint="default"/>
        <w:vanish w:val="0"/>
        <w:color w:val="000000"/>
        <w:u w:val="none"/>
      </w:rPr>
    </w:lvl>
    <w:lvl w:ilvl="4">
      <w:start w:val="1"/>
      <w:numFmt w:val="decimal"/>
      <w:lvlText w:val="(%5)"/>
      <w:lvlJc w:val="left"/>
      <w:pPr>
        <w:tabs>
          <w:tab w:val="num" w:pos="3600"/>
        </w:tabs>
        <w:ind w:left="3600" w:hanging="720"/>
      </w:pPr>
      <w:rPr>
        <w:rFonts w:hint="default"/>
        <w:vanish w:val="0"/>
        <w:color w:val="000000"/>
        <w:u w:val="none"/>
      </w:rPr>
    </w:lvl>
    <w:lvl w:ilvl="5">
      <w:start w:val="1"/>
      <w:numFmt w:val="lowerRoman"/>
      <w:lvlText w:val="%6."/>
      <w:lvlJc w:val="left"/>
      <w:pPr>
        <w:tabs>
          <w:tab w:val="num" w:pos="4320"/>
        </w:tabs>
        <w:ind w:left="4320" w:hanging="720"/>
      </w:pPr>
      <w:rPr>
        <w:rFonts w:hint="default"/>
        <w:vanish w:val="0"/>
        <w:color w:val="010000"/>
        <w:u w:val="none"/>
      </w:rPr>
    </w:lvl>
    <w:lvl w:ilvl="6">
      <w:start w:val="1"/>
      <w:numFmt w:val="lowerRoman"/>
      <w:lvlText w:val="(%7)"/>
      <w:lvlJc w:val="left"/>
      <w:pPr>
        <w:tabs>
          <w:tab w:val="num" w:pos="5040"/>
        </w:tabs>
        <w:ind w:left="4320" w:firstLine="0"/>
      </w:pPr>
      <w:rPr>
        <w:rFonts w:hint="default"/>
        <w:vanish w:val="0"/>
        <w:color w:val="010000"/>
        <w:u w:val="none"/>
      </w:rPr>
    </w:lvl>
    <w:lvl w:ilvl="7">
      <w:start w:val="1"/>
      <w:numFmt w:val="lowerLetter"/>
      <w:lvlText w:val="(%8)"/>
      <w:lvlJc w:val="left"/>
      <w:pPr>
        <w:tabs>
          <w:tab w:val="num" w:pos="5400"/>
        </w:tabs>
        <w:ind w:left="5040" w:firstLine="0"/>
      </w:pPr>
      <w:rPr>
        <w:rFonts w:hint="default"/>
        <w:vanish w:val="0"/>
        <w:color w:val="010000"/>
        <w:u w:val="none"/>
      </w:rPr>
    </w:lvl>
    <w:lvl w:ilvl="8">
      <w:start w:val="1"/>
      <w:numFmt w:val="upperRoman"/>
      <w:lvlText w:val="(%9)"/>
      <w:lvlJc w:val="left"/>
      <w:pPr>
        <w:tabs>
          <w:tab w:val="num" w:pos="6480"/>
        </w:tabs>
        <w:ind w:left="5760" w:firstLine="0"/>
      </w:pPr>
      <w:rPr>
        <w:rFonts w:hint="default"/>
        <w:vanish w:val="0"/>
        <w:color w:val="010000"/>
        <w:u w:val="none"/>
      </w:rPr>
    </w:lvl>
  </w:abstractNum>
  <w:abstractNum w:abstractNumId="25" w15:restartNumberingAfterBreak="0">
    <w:nsid w:val="3C40234C"/>
    <w:multiLevelType w:val="hybridMultilevel"/>
    <w:tmpl w:val="A1C45DFA"/>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0634F2D"/>
    <w:multiLevelType w:val="multilevel"/>
    <w:tmpl w:val="B6FC5E1A"/>
    <w:lvl w:ilvl="0">
      <w:start w:val="1"/>
      <w:numFmt w:val="upperRoman"/>
      <w:pStyle w:val="Heading1"/>
      <w:suff w:val="nothing"/>
      <w:lvlText w:val="Part %1"/>
      <w:lvlJc w:val="left"/>
      <w:pPr>
        <w:ind w:left="0" w:firstLine="0"/>
      </w:pPr>
      <w:rPr>
        <w:rFonts w:ascii="Times New Roman Bold" w:hAnsi="Times New Roman Bold" w:hint="default"/>
        <w:b/>
        <w:bCs w:val="0"/>
        <w:i w:val="0"/>
        <w:iCs w:val="0"/>
        <w:caps/>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pStyle w:val="Heading2"/>
      <w:suff w:val="space"/>
      <w:lvlText w:val="Part %2"/>
      <w:lvlJc w:val="left"/>
      <w:pPr>
        <w:ind w:left="0" w:firstLine="0"/>
      </w:pPr>
      <w:rPr>
        <w:rFonts w:hint="default"/>
        <w:b/>
        <w:i w:val="0"/>
        <w:caps/>
        <w:vanish w:val="0"/>
        <w:color w:val="000000"/>
        <w:u w:val="none"/>
      </w:rPr>
    </w:lvl>
    <w:lvl w:ilvl="2">
      <w:start w:val="1"/>
      <w:numFmt w:val="decimal"/>
      <w:pStyle w:val="Heading3"/>
      <w:lvlText w:val="%3."/>
      <w:lvlJc w:val="left"/>
      <w:pPr>
        <w:tabs>
          <w:tab w:val="num" w:pos="720"/>
        </w:tabs>
        <w:ind w:left="720" w:hanging="720"/>
      </w:pPr>
      <w:rPr>
        <w:rFonts w:hint="default"/>
        <w:b w:val="0"/>
        <w:i w:val="0"/>
        <w:caps/>
        <w:vanish w:val="0"/>
        <w:color w:val="000000"/>
        <w:sz w:val="20"/>
        <w:szCs w:val="20"/>
        <w:u w:val="none"/>
      </w:rPr>
    </w:lvl>
    <w:lvl w:ilvl="3">
      <w:start w:val="1"/>
      <w:numFmt w:val="decimal"/>
      <w:pStyle w:val="Heading4"/>
      <w:lvlText w:val="%3.%4"/>
      <w:lvlJc w:val="left"/>
      <w:pPr>
        <w:tabs>
          <w:tab w:val="num" w:pos="720"/>
        </w:tabs>
        <w:ind w:left="720" w:hanging="720"/>
      </w:pPr>
      <w:rPr>
        <w:rFonts w:hint="default"/>
        <w:b/>
        <w:i w:val="0"/>
        <w:vanish w:val="0"/>
        <w:color w:val="000000"/>
        <w:u w:val="none"/>
      </w:rPr>
    </w:lvl>
    <w:lvl w:ilvl="4">
      <w:start w:val="1"/>
      <w:numFmt w:val="lowerLetter"/>
      <w:pStyle w:val="Heading5"/>
      <w:lvlText w:val="(%5)"/>
      <w:lvlJc w:val="left"/>
      <w:pPr>
        <w:tabs>
          <w:tab w:val="num" w:pos="1440"/>
        </w:tabs>
        <w:ind w:left="1440" w:hanging="720"/>
      </w:pPr>
      <w:rPr>
        <w:rFonts w:hint="default"/>
        <w:b w:val="0"/>
        <w:vanish w:val="0"/>
        <w:color w:val="000000"/>
        <w:u w:val="none"/>
      </w:rPr>
    </w:lvl>
    <w:lvl w:ilvl="5">
      <w:start w:val="1"/>
      <w:numFmt w:val="lowerRoman"/>
      <w:pStyle w:val="Heading6"/>
      <w:lvlText w:val="(%6)"/>
      <w:lvlJc w:val="left"/>
      <w:pPr>
        <w:tabs>
          <w:tab w:val="num" w:pos="2160"/>
        </w:tabs>
        <w:ind w:left="2160" w:hanging="720"/>
      </w:pPr>
      <w:rPr>
        <w:rFonts w:hint="default"/>
        <w:vanish w:val="0"/>
        <w:color w:val="010000"/>
        <w:u w:val="none"/>
      </w:rPr>
    </w:lvl>
    <w:lvl w:ilvl="6">
      <w:start w:val="1"/>
      <w:numFmt w:val="upperLetter"/>
      <w:pStyle w:val="Heading7"/>
      <w:lvlText w:val="(%7)"/>
      <w:lvlJc w:val="left"/>
      <w:pPr>
        <w:tabs>
          <w:tab w:val="num" w:pos="1429"/>
        </w:tabs>
        <w:ind w:left="1429" w:hanging="720"/>
      </w:pPr>
      <w:rPr>
        <w:rFonts w:hint="default"/>
        <w:b w:val="0"/>
        <w:vanish w:val="0"/>
        <w:color w:val="010000"/>
        <w:u w:val="none"/>
      </w:rPr>
    </w:lvl>
    <w:lvl w:ilvl="7">
      <w:start w:val="1"/>
      <w:numFmt w:val="decimal"/>
      <w:pStyle w:val="Heading8"/>
      <w:lvlText w:val="(%8)"/>
      <w:lvlJc w:val="left"/>
      <w:pPr>
        <w:tabs>
          <w:tab w:val="num" w:pos="3600"/>
        </w:tabs>
        <w:ind w:left="3600" w:hanging="720"/>
      </w:pPr>
      <w:rPr>
        <w:rFonts w:hint="default"/>
        <w:vanish w:val="0"/>
        <w:color w:val="010000"/>
        <w:u w:val="none"/>
      </w:rPr>
    </w:lvl>
    <w:lvl w:ilvl="8">
      <w:start w:val="1"/>
      <w:numFmt w:val="lowerRoman"/>
      <w:pStyle w:val="Heading9"/>
      <w:lvlText w:val="(%9)"/>
      <w:lvlJc w:val="left"/>
      <w:pPr>
        <w:tabs>
          <w:tab w:val="num" w:pos="6480"/>
        </w:tabs>
        <w:ind w:left="5760" w:firstLine="0"/>
      </w:pPr>
      <w:rPr>
        <w:rFonts w:hint="default"/>
        <w:vanish w:val="0"/>
        <w:color w:val="auto"/>
        <w:u w:val="none"/>
      </w:rPr>
    </w:lvl>
  </w:abstractNum>
  <w:abstractNum w:abstractNumId="27" w15:restartNumberingAfterBreak="0">
    <w:nsid w:val="41AA6432"/>
    <w:multiLevelType w:val="multilevel"/>
    <w:tmpl w:val="58005840"/>
    <w:lvl w:ilvl="0">
      <w:numFmt w:val="bullet"/>
      <w:lvlText w:val="·"/>
      <w:lvlJc w:val="left"/>
      <w:pPr>
        <w:tabs>
          <w:tab w:val="left" w:pos="288"/>
        </w:tabs>
      </w:pPr>
      <w:rPr>
        <w:rFonts w:ascii="Symbol" w:eastAsia="Symbol" w:hAnsi="Symbo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963177"/>
    <w:multiLevelType w:val="hybridMultilevel"/>
    <w:tmpl w:val="ABB2377A"/>
    <w:name w:val="STB Bullet 3"/>
    <w:lvl w:ilvl="0" w:tplc="9CF8603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CFB739E"/>
    <w:multiLevelType w:val="hybridMultilevel"/>
    <w:tmpl w:val="A06E3F94"/>
    <w:name w:val="STB List Number 4 DBL"/>
    <w:lvl w:ilvl="0" w:tplc="0540B372">
      <w:start w:val="1"/>
      <w:numFmt w:val="decimal"/>
      <w:pStyle w:val="STBListNumber4DB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24206E"/>
    <w:multiLevelType w:val="multilevel"/>
    <w:tmpl w:val="C8FC0D16"/>
    <w:name w:val="Creditors"/>
    <w:lvl w:ilvl="0">
      <w:start w:val="1"/>
      <w:numFmt w:val="none"/>
      <w:lvlText w:val="Creditors:"/>
      <w:lvlJc w:val="left"/>
      <w:pPr>
        <w:tabs>
          <w:tab w:val="num" w:pos="907"/>
        </w:tabs>
        <w:ind w:left="907" w:hanging="907"/>
      </w:pPr>
      <w:rPr>
        <w:rFonts w:ascii="Arial" w:hAnsi="Arial" w:hint="default"/>
        <w:b/>
        <w:i/>
        <w:sz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36E6AB4"/>
    <w:multiLevelType w:val="hybridMultilevel"/>
    <w:tmpl w:val="9CDE8ECA"/>
    <w:name w:val="Table Text*Bullet 1"/>
    <w:lvl w:ilvl="0" w:tplc="62327C3C">
      <w:start w:val="1"/>
      <w:numFmt w:val="bullet"/>
      <w:lvlText w:val=""/>
      <w:lvlJc w:val="left"/>
      <w:pPr>
        <w:ind w:left="720" w:hanging="360"/>
      </w:pPr>
      <w:rPr>
        <w:rFonts w:ascii="Symbol" w:hAnsi="Symbol" w:cs="Symbol" w:hint="default"/>
        <w:color w:val="auto"/>
        <w:spacing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1C630A"/>
    <w:multiLevelType w:val="hybridMultilevel"/>
    <w:tmpl w:val="A3EC3A98"/>
    <w:name w:val="STB Bullet 4"/>
    <w:lvl w:ilvl="0" w:tplc="5E3814D4">
      <w:start w:val="1"/>
      <w:numFmt w:val="bullet"/>
      <w:pStyle w:val="STBBullet4"/>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97F34BA"/>
    <w:multiLevelType w:val="hybridMultilevel"/>
    <w:tmpl w:val="114E431C"/>
    <w:name w:val="STB List Number 1 DBL"/>
    <w:lvl w:ilvl="0" w:tplc="49FCD316">
      <w:start w:val="1"/>
      <w:numFmt w:val="decimal"/>
      <w:pStyle w:val="STBListNumber1DB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B8430B9"/>
    <w:multiLevelType w:val="multilevel"/>
    <w:tmpl w:val="B90A2944"/>
    <w:name w:val="Agreement"/>
    <w:lvl w:ilvl="0">
      <w:start w:val="1"/>
      <w:numFmt w:val="decimal"/>
      <w:lvlText w:val="%1"/>
      <w:lvlJc w:val="left"/>
      <w:pPr>
        <w:ind w:left="720" w:hanging="720"/>
      </w:pPr>
      <w:rPr>
        <w:rFonts w:ascii="Times New Roman" w:hAnsi="Times New Roman" w:cs="Times New Roman" w:hint="default"/>
        <w:b/>
        <w:i w:val="0"/>
        <w:caps w:val="0"/>
        <w:strike w:val="0"/>
        <w:dstrike w:val="0"/>
        <w:vanish w:val="0"/>
        <w:color w:val="auto"/>
        <w:sz w:val="22"/>
        <w:u w:val="none"/>
        <w:effect w:val="none"/>
        <w:vertAlign w:val="baseline"/>
      </w:rPr>
    </w:lvl>
    <w:lvl w:ilvl="1">
      <w:start w:val="1"/>
      <w:numFmt w:val="decimal"/>
      <w:isLgl/>
      <w:lvlText w:val="%1.%2"/>
      <w:lvlJc w:val="left"/>
      <w:pPr>
        <w:ind w:left="720" w:hanging="720"/>
      </w:pPr>
      <w:rPr>
        <w:rFonts w:ascii="Arial" w:hAnsi="Arial" w:cs="Arial" w:hint="default"/>
        <w:b w:val="0"/>
        <w:i w:val="0"/>
        <w:caps w:val="0"/>
        <w:strike w:val="0"/>
        <w:dstrike w:val="0"/>
        <w:vanish w:val="0"/>
        <w:color w:val="auto"/>
        <w:sz w:val="21"/>
        <w:u w:val="none"/>
        <w:effect w:val="none"/>
        <w:vertAlign w:val="baseline"/>
      </w:rPr>
    </w:lvl>
    <w:lvl w:ilvl="2">
      <w:start w:val="1"/>
      <w:numFmt w:val="lowerLetter"/>
      <w:lvlText w:val="(%3)"/>
      <w:lvlJc w:val="left"/>
      <w:pPr>
        <w:ind w:left="1440" w:hanging="720"/>
      </w:pPr>
      <w:rPr>
        <w:rFonts w:ascii="Arial" w:hAnsi="Arial" w:cs="Arial" w:hint="default"/>
        <w:b w:val="0"/>
        <w:i w:val="0"/>
        <w:caps w:val="0"/>
        <w:strike w:val="0"/>
        <w:dstrike w:val="0"/>
        <w:vanish w:val="0"/>
        <w:color w:val="auto"/>
        <w:sz w:val="21"/>
        <w:u w:val="none"/>
        <w:effect w:val="none"/>
        <w:vertAlign w:val="baseline"/>
      </w:rPr>
    </w:lvl>
    <w:lvl w:ilvl="3">
      <w:start w:val="1"/>
      <w:numFmt w:val="lowerRoman"/>
      <w:lvlText w:val="(%4)"/>
      <w:lvlJc w:val="left"/>
      <w:pPr>
        <w:ind w:left="2160" w:hanging="720"/>
      </w:pPr>
      <w:rPr>
        <w:rFonts w:ascii="Arial" w:hAnsi="Arial" w:cs="Arial" w:hint="default"/>
        <w:b w:val="0"/>
        <w:i w:val="0"/>
        <w:caps w:val="0"/>
        <w:strike w:val="0"/>
        <w:dstrike w:val="0"/>
        <w:vanish w:val="0"/>
        <w:color w:val="auto"/>
        <w:sz w:val="21"/>
        <w:u w:val="none"/>
        <w:effect w:val="none"/>
        <w:vertAlign w:val="baseline"/>
      </w:rPr>
    </w:lvl>
    <w:lvl w:ilvl="4">
      <w:start w:val="1"/>
      <w:numFmt w:val="upperLetter"/>
      <w:lvlText w:val="(%5)"/>
      <w:lvlJc w:val="left"/>
      <w:pPr>
        <w:ind w:left="2880" w:hanging="720"/>
      </w:pPr>
      <w:rPr>
        <w:rFonts w:ascii="Arial" w:hAnsi="Arial" w:cs="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cs="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abstractNum>
  <w:abstractNum w:abstractNumId="35" w15:restartNumberingAfterBreak="0">
    <w:nsid w:val="5D972B36"/>
    <w:multiLevelType w:val="hybridMultilevel"/>
    <w:tmpl w:val="0576DFCE"/>
    <w:name w:val="List Bullet Sgl"/>
    <w:lvl w:ilvl="0" w:tplc="1D9894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30616E"/>
    <w:multiLevelType w:val="hybridMultilevel"/>
    <w:tmpl w:val="EFD0B1D8"/>
    <w:name w:val="List (1)"/>
    <w:lvl w:ilvl="0" w:tplc="2A123A16">
      <w:start w:val="1"/>
      <w:numFmt w:val="decimal"/>
      <w:lvlText w:val="(%1)"/>
      <w:lvlJc w:val="left"/>
      <w:pPr>
        <w:ind w:left="1080" w:hanging="360"/>
      </w:pPr>
      <w:rPr>
        <w:rFonts w:ascii="Arial" w:hAnsi="Arial"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55577A"/>
    <w:multiLevelType w:val="hybridMultilevel"/>
    <w:tmpl w:val="1E1C8D7E"/>
    <w:name w:val="STB Bullet 1"/>
    <w:lvl w:ilvl="0" w:tplc="C0F06718">
      <w:start w:val="1"/>
      <w:numFmt w:val="bullet"/>
      <w:pStyle w:val="STBBullet1"/>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276023E"/>
    <w:multiLevelType w:val="hybridMultilevel"/>
    <w:tmpl w:val="3E745FC6"/>
    <w:name w:val="List (a)"/>
    <w:lvl w:ilvl="0" w:tplc="DBE8DCA4">
      <w:start w:val="1"/>
      <w:numFmt w:val="lowerLetter"/>
      <w:lvlText w:val="(%1)"/>
      <w:lvlJc w:val="left"/>
      <w:pPr>
        <w:ind w:left="1080" w:hanging="360"/>
      </w:pPr>
      <w:rPr>
        <w:rFonts w:ascii="Arial" w:hAnsi="Arial"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5920F1"/>
    <w:multiLevelType w:val="hybridMultilevel"/>
    <w:tmpl w:val="1770663A"/>
    <w:name w:val="STB Bullet 2 DBL"/>
    <w:lvl w:ilvl="0" w:tplc="1DF23F52">
      <w:start w:val="1"/>
      <w:numFmt w:val="bullet"/>
      <w:pStyle w:val="STBBullet2DBL"/>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47D4D70"/>
    <w:multiLevelType w:val="hybridMultilevel"/>
    <w:tmpl w:val="BE926E3C"/>
    <w:name w:val="List (i)"/>
    <w:lvl w:ilvl="0" w:tplc="73EA33CE">
      <w:start w:val="1"/>
      <w:numFmt w:val="lowerRoman"/>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2D6F49"/>
    <w:multiLevelType w:val="multilevel"/>
    <w:tmpl w:val="7D5213D2"/>
    <w:name w:val="Bullet"/>
    <w:lvl w:ilvl="0">
      <w:start w:val="1"/>
      <w:numFmt w:val="bullet"/>
      <w:lvlText w:val="■"/>
      <w:lvlJc w:val="left"/>
      <w:pPr>
        <w:ind w:left="284" w:hanging="284"/>
      </w:pPr>
      <w:rPr>
        <w:rFonts w:ascii="Arial" w:hAnsi="Arial" w:cs="Times New Roman" w:hint="default"/>
        <w:color w:val="97989A"/>
        <w:sz w:val="24"/>
      </w:rPr>
    </w:lvl>
    <w:lvl w:ilvl="1">
      <w:start w:val="1"/>
      <w:numFmt w:val="bullet"/>
      <w:lvlText w:val="–"/>
      <w:lvlJc w:val="left"/>
      <w:pPr>
        <w:ind w:left="567" w:hanging="283"/>
      </w:pPr>
      <w:rPr>
        <w:rFonts w:ascii="Arial" w:hAnsi="Arial" w:cs="Times New Roman" w:hint="default"/>
        <w:color w:val="97989A"/>
      </w:rPr>
    </w:lvl>
    <w:lvl w:ilvl="2">
      <w:start w:val="1"/>
      <w:numFmt w:val="bullet"/>
      <w:lvlRestart w:val="1"/>
      <w:lvlText w:val="■"/>
      <w:lvlJc w:val="left"/>
      <w:pPr>
        <w:tabs>
          <w:tab w:val="num" w:pos="851"/>
        </w:tabs>
        <w:ind w:left="851" w:hanging="284"/>
      </w:pPr>
      <w:rPr>
        <w:rFonts w:ascii="Arial" w:hAnsi="Arial" w:cs="Times New Roman" w:hint="default"/>
        <w:color w:val="97989A"/>
      </w:rPr>
    </w:lvl>
    <w:lvl w:ilvl="3">
      <w:start w:val="1"/>
      <w:numFmt w:val="bullet"/>
      <w:lvlText w:val="–"/>
      <w:lvlJc w:val="left"/>
      <w:pPr>
        <w:ind w:left="1134" w:hanging="283"/>
      </w:pPr>
      <w:rPr>
        <w:rFonts w:ascii="Arial" w:hAnsi="Arial" w:cs="Times New Roman" w:hint="default"/>
        <w:color w:val="97989A"/>
      </w:rPr>
    </w:lvl>
    <w:lvl w:ilvl="4">
      <w:start w:val="1"/>
      <w:numFmt w:val="bullet"/>
      <w:lvlText w:val="■"/>
      <w:lvlJc w:val="left"/>
      <w:pPr>
        <w:ind w:left="1701" w:hanging="281"/>
      </w:pPr>
      <w:rPr>
        <w:rFonts w:ascii="Arial" w:hAnsi="Arial" w:cs="Times New Roman" w:hint="default"/>
        <w:color w:val="97989A"/>
      </w:rPr>
    </w:lvl>
    <w:lvl w:ilvl="5">
      <w:start w:val="1"/>
      <w:numFmt w:val="bullet"/>
      <w:lvlText w:val="–"/>
      <w:lvlJc w:val="left"/>
      <w:pPr>
        <w:ind w:left="1985" w:hanging="284"/>
      </w:pPr>
      <w:rPr>
        <w:rFonts w:ascii="Arial" w:hAnsi="Arial" w:cs="Times New Roman" w:hint="default"/>
        <w:color w:val="97989A"/>
      </w:rPr>
    </w:lvl>
    <w:lvl w:ilvl="6">
      <w:start w:val="1"/>
      <w:numFmt w:val="bullet"/>
      <w:lvlText w:val="■"/>
      <w:lvlJc w:val="left"/>
      <w:pPr>
        <w:ind w:left="2268" w:hanging="283"/>
      </w:pPr>
      <w:rPr>
        <w:rFonts w:ascii="Arial" w:hAnsi="Arial" w:cs="Times New Roman" w:hint="default"/>
        <w:color w:val="97989A"/>
      </w:rPr>
    </w:lvl>
    <w:lvl w:ilvl="7">
      <w:start w:val="1"/>
      <w:numFmt w:val="bullet"/>
      <w:lvlText w:val="–"/>
      <w:lvlJc w:val="left"/>
      <w:pPr>
        <w:ind w:left="2552" w:hanging="284"/>
      </w:pPr>
      <w:rPr>
        <w:rFonts w:ascii="Arial" w:hAnsi="Arial" w:cs="Times New Roman" w:hint="default"/>
        <w:color w:val="97989A"/>
      </w:rPr>
    </w:lvl>
    <w:lvl w:ilvl="8">
      <w:start w:val="1"/>
      <w:numFmt w:val="bullet"/>
      <w:lvlText w:val="■"/>
      <w:lvlJc w:val="left"/>
      <w:pPr>
        <w:ind w:left="2835" w:hanging="283"/>
      </w:pPr>
      <w:rPr>
        <w:rFonts w:ascii="Arial" w:hAnsi="Arial" w:cs="Times New Roman" w:hint="default"/>
        <w:color w:val="97989A"/>
      </w:rPr>
    </w:lvl>
  </w:abstractNum>
  <w:abstractNum w:abstractNumId="42" w15:restartNumberingAfterBreak="0">
    <w:nsid w:val="67EE66BA"/>
    <w:multiLevelType w:val="hybridMultilevel"/>
    <w:tmpl w:val="7EE204F8"/>
    <w:name w:val="STB List Number 2"/>
    <w:lvl w:ilvl="0" w:tplc="AA04108A">
      <w:start w:val="1"/>
      <w:numFmt w:val="decimal"/>
      <w:pStyle w:val="STB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8E90EEA"/>
    <w:multiLevelType w:val="hybridMultilevel"/>
    <w:tmpl w:val="BE3C83BE"/>
    <w:name w:val="Scheme 12-Scheme 12"/>
    <w:lvl w:ilvl="0" w:tplc="08145FAE">
      <w:start w:val="1"/>
      <w:numFmt w:val="bullet"/>
      <w:lvlRestart w:val="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F95473"/>
    <w:multiLevelType w:val="multilevel"/>
    <w:tmpl w:val="2C588C3A"/>
    <w:lvl w:ilvl="0">
      <w:start w:val="1"/>
      <w:numFmt w:val="upperRoman"/>
      <w:suff w:val="nothing"/>
      <w:lvlText w:val="Part %1"/>
      <w:lvlJc w:val="left"/>
      <w:pPr>
        <w:ind w:left="0" w:firstLine="0"/>
      </w:pPr>
      <w:rPr>
        <w:rFonts w:ascii="Times New Roman" w:hAnsi="Times New Roman" w:hint="default"/>
        <w:b/>
        <w:i w:val="0"/>
        <w:caps/>
        <w:color w:val="010000"/>
        <w:u w:val="none"/>
      </w:rPr>
    </w:lvl>
    <w:lvl w:ilvl="1">
      <w:start w:val="1"/>
      <w:numFmt w:val="upperLetter"/>
      <w:lvlText w:val="%2."/>
      <w:lvlJc w:val="left"/>
      <w:pPr>
        <w:ind w:left="720" w:hanging="720"/>
      </w:pPr>
      <w:rPr>
        <w:rFonts w:ascii="Times New Roman" w:hAnsi="Times New Roman" w:hint="default"/>
        <w:b/>
        <w:i w:val="0"/>
        <w:color w:val="010000"/>
        <w:u w:val="none"/>
      </w:rPr>
    </w:lvl>
    <w:lvl w:ilvl="2">
      <w:start w:val="1"/>
      <w:numFmt w:val="decimal"/>
      <w:lvlText w:val="%3."/>
      <w:lvlJc w:val="left"/>
      <w:pPr>
        <w:ind w:left="720" w:hanging="720"/>
      </w:pPr>
      <w:rPr>
        <w:rFonts w:hint="default"/>
        <w:b/>
        <w:i w:val="0"/>
        <w:color w:val="010000"/>
        <w:u w:val="none"/>
      </w:rPr>
    </w:lvl>
    <w:lvl w:ilvl="3">
      <w:start w:val="1"/>
      <w:numFmt w:val="decimal"/>
      <w:lvlText w:val="%3.%4"/>
      <w:lvlJc w:val="left"/>
      <w:pPr>
        <w:ind w:left="720" w:hanging="720"/>
      </w:pPr>
      <w:rPr>
        <w:rFonts w:ascii="Times New Roman" w:hAnsi="Times New Roman" w:cs="Times New Roman" w:hint="default"/>
        <w:b/>
        <w:i w:val="0"/>
        <w:color w:val="010000"/>
        <w:u w:val="none"/>
      </w:rPr>
    </w:lvl>
    <w:lvl w:ilvl="4">
      <w:start w:val="1"/>
      <w:numFmt w:val="lowerLetter"/>
      <w:lvlText w:val="(%5)"/>
      <w:lvlJc w:val="left"/>
      <w:pPr>
        <w:ind w:left="720" w:hanging="720"/>
      </w:pPr>
      <w:rPr>
        <w:rFonts w:hint="default"/>
        <w:b w:val="0"/>
        <w:color w:val="010000"/>
        <w:u w:val="none"/>
      </w:rPr>
    </w:lvl>
    <w:lvl w:ilvl="5">
      <w:start w:val="1"/>
      <w:numFmt w:val="lowerRoman"/>
      <w:lvlText w:val="(%6)"/>
      <w:lvlJc w:val="left"/>
      <w:pPr>
        <w:ind w:left="720" w:hanging="720"/>
      </w:pPr>
      <w:rPr>
        <w:rFonts w:hint="default"/>
        <w:color w:val="010000"/>
        <w:u w:val="none"/>
      </w:rPr>
    </w:lvl>
    <w:lvl w:ilvl="6">
      <w:start w:val="1"/>
      <w:numFmt w:val="upperLetter"/>
      <w:lvlText w:val="(%7)"/>
      <w:lvlJc w:val="left"/>
      <w:pPr>
        <w:tabs>
          <w:tab w:val="num" w:pos="2880"/>
        </w:tabs>
        <w:ind w:left="2880" w:hanging="720"/>
      </w:pPr>
      <w:rPr>
        <w:rFonts w:hint="default"/>
        <w:color w:val="010000"/>
        <w:u w:val="none"/>
      </w:rPr>
    </w:lvl>
    <w:lvl w:ilvl="7">
      <w:start w:val="1"/>
      <w:numFmt w:val="lowerLetter"/>
      <w:lvlText w:val="%8."/>
      <w:lvlJc w:val="left"/>
      <w:pPr>
        <w:tabs>
          <w:tab w:val="num" w:pos="2880"/>
        </w:tabs>
        <w:ind w:left="2880" w:hanging="360"/>
      </w:pPr>
      <w:rPr>
        <w:rFonts w:hint="default"/>
        <w:color w:val="010000"/>
        <w:u w:val="none"/>
      </w:rPr>
    </w:lvl>
    <w:lvl w:ilvl="8">
      <w:start w:val="1"/>
      <w:numFmt w:val="lowerRoman"/>
      <w:lvlText w:val="%9."/>
      <w:lvlJc w:val="left"/>
      <w:pPr>
        <w:tabs>
          <w:tab w:val="num" w:pos="3240"/>
        </w:tabs>
        <w:ind w:left="3240" w:hanging="360"/>
      </w:pPr>
      <w:rPr>
        <w:rFonts w:hint="default"/>
        <w:color w:val="010000"/>
        <w:u w:val="none"/>
      </w:rPr>
    </w:lvl>
  </w:abstractNum>
  <w:abstractNum w:abstractNumId="45" w15:restartNumberingAfterBreak="0">
    <w:nsid w:val="6D4E1211"/>
    <w:multiLevelType w:val="multilevel"/>
    <w:tmpl w:val="2C588C3A"/>
    <w:name w:val="Scheme  8"/>
    <w:lvl w:ilvl="0">
      <w:start w:val="1"/>
      <w:numFmt w:val="upperRoman"/>
      <w:suff w:val="nothing"/>
      <w:lvlText w:val="Part %1"/>
      <w:lvlJc w:val="left"/>
      <w:pPr>
        <w:ind w:left="0" w:firstLine="0"/>
      </w:pPr>
      <w:rPr>
        <w:rFonts w:ascii="Times New Roman" w:hAnsi="Times New Roman" w:hint="default"/>
        <w:b/>
        <w:i w:val="0"/>
        <w:caps/>
        <w:color w:val="010000"/>
        <w:u w:val="none"/>
      </w:rPr>
    </w:lvl>
    <w:lvl w:ilvl="1">
      <w:start w:val="1"/>
      <w:numFmt w:val="upperLetter"/>
      <w:lvlText w:val="%2."/>
      <w:lvlJc w:val="left"/>
      <w:pPr>
        <w:ind w:left="720" w:hanging="720"/>
      </w:pPr>
      <w:rPr>
        <w:rFonts w:ascii="Times New Roman" w:hAnsi="Times New Roman" w:hint="default"/>
        <w:b/>
        <w:i w:val="0"/>
        <w:color w:val="010000"/>
        <w:u w:val="none"/>
      </w:rPr>
    </w:lvl>
    <w:lvl w:ilvl="2">
      <w:start w:val="1"/>
      <w:numFmt w:val="decimal"/>
      <w:lvlText w:val="%3."/>
      <w:lvlJc w:val="left"/>
      <w:pPr>
        <w:ind w:left="720" w:hanging="720"/>
      </w:pPr>
      <w:rPr>
        <w:rFonts w:hint="default"/>
        <w:b/>
        <w:i w:val="0"/>
        <w:color w:val="010000"/>
        <w:u w:val="none"/>
      </w:rPr>
    </w:lvl>
    <w:lvl w:ilvl="3">
      <w:start w:val="1"/>
      <w:numFmt w:val="decimal"/>
      <w:lvlText w:val="%3.%4"/>
      <w:lvlJc w:val="left"/>
      <w:pPr>
        <w:ind w:left="720" w:hanging="720"/>
      </w:pPr>
      <w:rPr>
        <w:rFonts w:ascii="Times New Roman" w:hAnsi="Times New Roman" w:cs="Times New Roman" w:hint="default"/>
        <w:b/>
        <w:i w:val="0"/>
        <w:color w:val="010000"/>
        <w:u w:val="none"/>
      </w:rPr>
    </w:lvl>
    <w:lvl w:ilvl="4">
      <w:start w:val="1"/>
      <w:numFmt w:val="lowerLetter"/>
      <w:lvlText w:val="(%5)"/>
      <w:lvlJc w:val="left"/>
      <w:pPr>
        <w:ind w:left="720" w:hanging="720"/>
      </w:pPr>
      <w:rPr>
        <w:rFonts w:hint="default"/>
        <w:b w:val="0"/>
        <w:color w:val="010000"/>
        <w:u w:val="none"/>
      </w:rPr>
    </w:lvl>
    <w:lvl w:ilvl="5">
      <w:start w:val="1"/>
      <w:numFmt w:val="lowerRoman"/>
      <w:lvlText w:val="(%6)"/>
      <w:lvlJc w:val="left"/>
      <w:pPr>
        <w:ind w:left="720" w:hanging="720"/>
      </w:pPr>
      <w:rPr>
        <w:rFonts w:hint="default"/>
        <w:color w:val="010000"/>
        <w:u w:val="none"/>
      </w:rPr>
    </w:lvl>
    <w:lvl w:ilvl="6">
      <w:start w:val="1"/>
      <w:numFmt w:val="upperLetter"/>
      <w:lvlText w:val="(%7)"/>
      <w:lvlJc w:val="left"/>
      <w:pPr>
        <w:tabs>
          <w:tab w:val="num" w:pos="2880"/>
        </w:tabs>
        <w:ind w:left="2880" w:hanging="720"/>
      </w:pPr>
      <w:rPr>
        <w:rFonts w:hint="default"/>
        <w:color w:val="010000"/>
        <w:u w:val="none"/>
      </w:rPr>
    </w:lvl>
    <w:lvl w:ilvl="7">
      <w:start w:val="1"/>
      <w:numFmt w:val="lowerLetter"/>
      <w:lvlText w:val="%8."/>
      <w:lvlJc w:val="left"/>
      <w:pPr>
        <w:tabs>
          <w:tab w:val="num" w:pos="2880"/>
        </w:tabs>
        <w:ind w:left="2880" w:hanging="360"/>
      </w:pPr>
      <w:rPr>
        <w:rFonts w:hint="default"/>
        <w:color w:val="010000"/>
        <w:u w:val="none"/>
      </w:rPr>
    </w:lvl>
    <w:lvl w:ilvl="8">
      <w:start w:val="1"/>
      <w:numFmt w:val="lowerRoman"/>
      <w:lvlText w:val="%9."/>
      <w:lvlJc w:val="left"/>
      <w:pPr>
        <w:tabs>
          <w:tab w:val="num" w:pos="3240"/>
        </w:tabs>
        <w:ind w:left="3240" w:hanging="360"/>
      </w:pPr>
      <w:rPr>
        <w:rFonts w:hint="default"/>
        <w:color w:val="010000"/>
        <w:u w:val="none"/>
      </w:rPr>
    </w:lvl>
  </w:abstractNum>
  <w:abstractNum w:abstractNumId="46" w15:restartNumberingAfterBreak="0">
    <w:nsid w:val="73C767E7"/>
    <w:multiLevelType w:val="hybridMultilevel"/>
    <w:tmpl w:val="D10A2860"/>
    <w:lvl w:ilvl="0" w:tplc="187CA5FA">
      <w:start w:val="1"/>
      <w:numFmt w:val="bullet"/>
      <w:lvlRestart w:val="0"/>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254F0A"/>
    <w:multiLevelType w:val="multilevel"/>
    <w:tmpl w:val="14602320"/>
    <w:lvl w:ilvl="0">
      <w:numFmt w:val="bullet"/>
      <w:lvlText w:val="·"/>
      <w:lvlJc w:val="left"/>
      <w:pPr>
        <w:tabs>
          <w:tab w:val="left" w:pos="288"/>
        </w:tabs>
      </w:pPr>
      <w:rPr>
        <w:rFonts w:ascii="Symbol" w:eastAsia="Symbol" w:hAnsi="Symbo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8B76381"/>
    <w:multiLevelType w:val="multilevel"/>
    <w:tmpl w:val="1E8C4286"/>
    <w:lvl w:ilvl="0">
      <w:start w:val="3"/>
      <w:numFmt w:val="decimal"/>
      <w:lvlText w:val="%1."/>
      <w:lvlJc w:val="left"/>
      <w:pPr>
        <w:tabs>
          <w:tab w:val="num" w:pos="0"/>
        </w:tabs>
        <w:ind w:left="0" w:hanging="425"/>
      </w:pPr>
      <w:rPr>
        <w:rFonts w:hint="default"/>
      </w:rPr>
    </w:lvl>
    <w:lvl w:ilvl="1">
      <w:start w:val="1"/>
      <w:numFmt w:val="none"/>
      <w:pStyle w:val="NotesHeadingcontinuedAC"/>
      <w:lvlText w:val="%1."/>
      <w:lvlJc w:val="left"/>
      <w:pPr>
        <w:tabs>
          <w:tab w:val="num" w:pos="0"/>
        </w:tabs>
        <w:ind w:left="0" w:hanging="425"/>
      </w:pPr>
      <w:rPr>
        <w:rFonts w:hint="default"/>
      </w:rPr>
    </w:lvl>
    <w:lvl w:ilvl="2">
      <w:start w:val="1"/>
      <w:numFmt w:val="lowerLetter"/>
      <w:lvlRestart w:val="1"/>
      <w:pStyle w:val="NotesSubheadingAC"/>
      <w:lvlText w:val="(%3)"/>
      <w:lvlJc w:val="left"/>
      <w:pPr>
        <w:tabs>
          <w:tab w:val="num" w:pos="567"/>
        </w:tabs>
        <w:ind w:left="567" w:hanging="567"/>
      </w:pPr>
      <w:rPr>
        <w:rFonts w:hint="default"/>
      </w:rPr>
    </w:lvl>
    <w:lvl w:ilvl="3">
      <w:start w:val="1"/>
      <w:numFmt w:val="decimal"/>
      <w:lvlText w:val="%4."/>
      <w:lvlJc w:val="left"/>
      <w:pPr>
        <w:ind w:left="2455" w:hanging="360"/>
      </w:pPr>
      <w:rPr>
        <w:rFonts w:hint="default"/>
      </w:rPr>
    </w:lvl>
    <w:lvl w:ilvl="4">
      <w:start w:val="1"/>
      <w:numFmt w:val="lowerLetter"/>
      <w:lvlText w:val="%5."/>
      <w:lvlJc w:val="left"/>
      <w:pPr>
        <w:ind w:left="3175" w:hanging="360"/>
      </w:pPr>
      <w:rPr>
        <w:rFonts w:hint="default"/>
      </w:rPr>
    </w:lvl>
    <w:lvl w:ilvl="5">
      <w:start w:val="1"/>
      <w:numFmt w:val="lowerRoman"/>
      <w:lvlText w:val="%6."/>
      <w:lvlJc w:val="right"/>
      <w:pPr>
        <w:ind w:left="3895" w:hanging="180"/>
      </w:pPr>
      <w:rPr>
        <w:rFonts w:hint="default"/>
      </w:rPr>
    </w:lvl>
    <w:lvl w:ilvl="6">
      <w:start w:val="1"/>
      <w:numFmt w:val="decimal"/>
      <w:lvlText w:val="%7."/>
      <w:lvlJc w:val="left"/>
      <w:pPr>
        <w:ind w:left="4615" w:hanging="360"/>
      </w:pPr>
      <w:rPr>
        <w:rFonts w:hint="default"/>
      </w:rPr>
    </w:lvl>
    <w:lvl w:ilvl="7">
      <w:start w:val="1"/>
      <w:numFmt w:val="lowerLetter"/>
      <w:lvlText w:val="%8."/>
      <w:lvlJc w:val="left"/>
      <w:pPr>
        <w:ind w:left="5335" w:hanging="360"/>
      </w:pPr>
      <w:rPr>
        <w:rFonts w:hint="default"/>
      </w:rPr>
    </w:lvl>
    <w:lvl w:ilvl="8">
      <w:start w:val="1"/>
      <w:numFmt w:val="lowerRoman"/>
      <w:lvlText w:val="%9."/>
      <w:lvlJc w:val="right"/>
      <w:pPr>
        <w:ind w:left="6055" w:hanging="180"/>
      </w:pPr>
      <w:rPr>
        <w:rFonts w:hint="default"/>
      </w:rPr>
    </w:lvl>
  </w:abstractNum>
  <w:abstractNum w:abstractNumId="49" w15:restartNumberingAfterBreak="0">
    <w:nsid w:val="7D143CF1"/>
    <w:multiLevelType w:val="hybridMultilevel"/>
    <w:tmpl w:val="C1928996"/>
    <w:name w:val="STB Bullet 2"/>
    <w:lvl w:ilvl="0" w:tplc="09986664">
      <w:start w:val="1"/>
      <w:numFmt w:val="bullet"/>
      <w:pStyle w:val="STBBullet3"/>
      <w:lvlText w:val=""/>
      <w:lvlJc w:val="left"/>
      <w:pPr>
        <w:ind w:left="1080" w:hanging="360"/>
      </w:pPr>
      <w:rPr>
        <w:rFonts w:ascii="Symbol" w:hAnsi="Symbol" w:hint="default"/>
      </w:rPr>
    </w:lvl>
    <w:lvl w:ilvl="1" w:tplc="BA6EA24E">
      <w:start w:val="1"/>
      <w:numFmt w:val="bullet"/>
      <w:pStyle w:val="STBBullet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E8765D1"/>
    <w:multiLevelType w:val="hybridMultilevel"/>
    <w:tmpl w:val="207232AE"/>
    <w:name w:val="STB Bullet 1 DBL"/>
    <w:lvl w:ilvl="0" w:tplc="B5147640">
      <w:start w:val="1"/>
      <w:numFmt w:val="bullet"/>
      <w:pStyle w:val="STBBullet1DBL"/>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3"/>
  </w:num>
  <w:num w:numId="12">
    <w:abstractNumId w:val="37"/>
  </w:num>
  <w:num w:numId="13">
    <w:abstractNumId w:val="49"/>
  </w:num>
  <w:num w:numId="14">
    <w:abstractNumId w:val="50"/>
  </w:num>
  <w:num w:numId="15">
    <w:abstractNumId w:val="39"/>
  </w:num>
  <w:num w:numId="16">
    <w:abstractNumId w:val="14"/>
  </w:num>
  <w:num w:numId="17">
    <w:abstractNumId w:val="32"/>
  </w:num>
  <w:num w:numId="18">
    <w:abstractNumId w:val="16"/>
  </w:num>
  <w:num w:numId="19">
    <w:abstractNumId w:val="11"/>
  </w:num>
  <w:num w:numId="20">
    <w:abstractNumId w:val="33"/>
  </w:num>
  <w:num w:numId="21">
    <w:abstractNumId w:val="42"/>
  </w:num>
  <w:num w:numId="22">
    <w:abstractNumId w:val="12"/>
  </w:num>
  <w:num w:numId="23">
    <w:abstractNumId w:val="10"/>
  </w:num>
  <w:num w:numId="24">
    <w:abstractNumId w:val="17"/>
  </w:num>
  <w:num w:numId="25">
    <w:abstractNumId w:val="22"/>
  </w:num>
  <w:num w:numId="26">
    <w:abstractNumId w:val="29"/>
  </w:num>
  <w:num w:numId="27">
    <w:abstractNumId w:val="26"/>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8"/>
  </w:num>
  <w:num w:numId="33">
    <w:abstractNumId w:val="44"/>
  </w:num>
  <w:num w:numId="34">
    <w:abstractNumId w:val="21"/>
  </w:num>
  <w:num w:numId="35">
    <w:abstractNumId w:val="27"/>
  </w:num>
  <w:num w:numId="36">
    <w:abstractNumId w:val="47"/>
  </w:num>
  <w:num w:numId="37">
    <w:abstractNumId w:val="13"/>
  </w:num>
  <w:num w:numId="38">
    <w:abstractNumId w:val="46"/>
  </w:num>
  <w:num w:numId="39">
    <w:abstractNumId w:val="19"/>
  </w:num>
  <w:num w:numId="40">
    <w:abstractNumId w:val="26"/>
  </w:num>
  <w:num w:numId="41">
    <w:abstractNumId w:val="49"/>
  </w:num>
  <w:num w:numId="42">
    <w:abstractNumId w:val="49"/>
  </w:num>
  <w:num w:numId="43">
    <w:abstractNumId w:val="20"/>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93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B9D"/>
    <w:rsid w:val="00001A83"/>
    <w:rsid w:val="00002BC2"/>
    <w:rsid w:val="00003914"/>
    <w:rsid w:val="00004300"/>
    <w:rsid w:val="00004CC4"/>
    <w:rsid w:val="00004F13"/>
    <w:rsid w:val="00004F21"/>
    <w:rsid w:val="0000516F"/>
    <w:rsid w:val="00005C51"/>
    <w:rsid w:val="00006AF2"/>
    <w:rsid w:val="00011CCA"/>
    <w:rsid w:val="00014A68"/>
    <w:rsid w:val="00014E1E"/>
    <w:rsid w:val="00014F2C"/>
    <w:rsid w:val="00015818"/>
    <w:rsid w:val="00015D71"/>
    <w:rsid w:val="00015DAD"/>
    <w:rsid w:val="00015F17"/>
    <w:rsid w:val="0001616A"/>
    <w:rsid w:val="00020057"/>
    <w:rsid w:val="00020192"/>
    <w:rsid w:val="00020432"/>
    <w:rsid w:val="000234F0"/>
    <w:rsid w:val="00023A5D"/>
    <w:rsid w:val="000244A8"/>
    <w:rsid w:val="000257F8"/>
    <w:rsid w:val="0002594D"/>
    <w:rsid w:val="0002759F"/>
    <w:rsid w:val="0003035D"/>
    <w:rsid w:val="000312AA"/>
    <w:rsid w:val="00032B2F"/>
    <w:rsid w:val="0003331F"/>
    <w:rsid w:val="000334A1"/>
    <w:rsid w:val="0003405D"/>
    <w:rsid w:val="00034156"/>
    <w:rsid w:val="00037C0B"/>
    <w:rsid w:val="00037FAA"/>
    <w:rsid w:val="00041436"/>
    <w:rsid w:val="00041E7E"/>
    <w:rsid w:val="00042309"/>
    <w:rsid w:val="00043202"/>
    <w:rsid w:val="00043C31"/>
    <w:rsid w:val="0004443B"/>
    <w:rsid w:val="000454BB"/>
    <w:rsid w:val="00046891"/>
    <w:rsid w:val="00046AE8"/>
    <w:rsid w:val="00051C27"/>
    <w:rsid w:val="00051D5C"/>
    <w:rsid w:val="000537D2"/>
    <w:rsid w:val="00057954"/>
    <w:rsid w:val="00057D2A"/>
    <w:rsid w:val="00060263"/>
    <w:rsid w:val="0006067D"/>
    <w:rsid w:val="00061E5D"/>
    <w:rsid w:val="00062DF1"/>
    <w:rsid w:val="00064DA0"/>
    <w:rsid w:val="0006510B"/>
    <w:rsid w:val="000651BE"/>
    <w:rsid w:val="00065D72"/>
    <w:rsid w:val="00066F2F"/>
    <w:rsid w:val="00067630"/>
    <w:rsid w:val="0007069B"/>
    <w:rsid w:val="00070A8B"/>
    <w:rsid w:val="00072E22"/>
    <w:rsid w:val="000737A5"/>
    <w:rsid w:val="00073CA8"/>
    <w:rsid w:val="00073E6A"/>
    <w:rsid w:val="000746F0"/>
    <w:rsid w:val="00077E3C"/>
    <w:rsid w:val="00080705"/>
    <w:rsid w:val="00080B75"/>
    <w:rsid w:val="0008291A"/>
    <w:rsid w:val="00083290"/>
    <w:rsid w:val="000836B3"/>
    <w:rsid w:val="00083BEB"/>
    <w:rsid w:val="00085C6A"/>
    <w:rsid w:val="000865FF"/>
    <w:rsid w:val="0008765C"/>
    <w:rsid w:val="000902B9"/>
    <w:rsid w:val="00090889"/>
    <w:rsid w:val="00090A6F"/>
    <w:rsid w:val="00091CC9"/>
    <w:rsid w:val="00092571"/>
    <w:rsid w:val="00093441"/>
    <w:rsid w:val="0009390D"/>
    <w:rsid w:val="000947C9"/>
    <w:rsid w:val="00094E89"/>
    <w:rsid w:val="00097EB1"/>
    <w:rsid w:val="000A01EB"/>
    <w:rsid w:val="000A2325"/>
    <w:rsid w:val="000A3ACA"/>
    <w:rsid w:val="000A69FB"/>
    <w:rsid w:val="000A78EB"/>
    <w:rsid w:val="000A7C71"/>
    <w:rsid w:val="000B150A"/>
    <w:rsid w:val="000B1B37"/>
    <w:rsid w:val="000B1C12"/>
    <w:rsid w:val="000B1DF9"/>
    <w:rsid w:val="000B1EAF"/>
    <w:rsid w:val="000B2319"/>
    <w:rsid w:val="000B2AFD"/>
    <w:rsid w:val="000B2EF1"/>
    <w:rsid w:val="000B4014"/>
    <w:rsid w:val="000B592D"/>
    <w:rsid w:val="000B76FC"/>
    <w:rsid w:val="000B7F2F"/>
    <w:rsid w:val="000C376E"/>
    <w:rsid w:val="000C3EA1"/>
    <w:rsid w:val="000C43CA"/>
    <w:rsid w:val="000C4FC0"/>
    <w:rsid w:val="000C5637"/>
    <w:rsid w:val="000C5E72"/>
    <w:rsid w:val="000C6E28"/>
    <w:rsid w:val="000D1922"/>
    <w:rsid w:val="000D32D1"/>
    <w:rsid w:val="000D3E7A"/>
    <w:rsid w:val="000D41A5"/>
    <w:rsid w:val="000D4EDA"/>
    <w:rsid w:val="000D6A7E"/>
    <w:rsid w:val="000D6C1F"/>
    <w:rsid w:val="000D6F48"/>
    <w:rsid w:val="000D7538"/>
    <w:rsid w:val="000E0C9C"/>
    <w:rsid w:val="000E1326"/>
    <w:rsid w:val="000E1FF1"/>
    <w:rsid w:val="000E4044"/>
    <w:rsid w:val="000E409A"/>
    <w:rsid w:val="000E4436"/>
    <w:rsid w:val="000E5BB6"/>
    <w:rsid w:val="000E655E"/>
    <w:rsid w:val="000E6749"/>
    <w:rsid w:val="000E7078"/>
    <w:rsid w:val="000E70DD"/>
    <w:rsid w:val="000F0321"/>
    <w:rsid w:val="000F08D9"/>
    <w:rsid w:val="000F0DE8"/>
    <w:rsid w:val="000F1DAF"/>
    <w:rsid w:val="000F211B"/>
    <w:rsid w:val="000F2315"/>
    <w:rsid w:val="000F2378"/>
    <w:rsid w:val="000F23B2"/>
    <w:rsid w:val="000F302B"/>
    <w:rsid w:val="000F368A"/>
    <w:rsid w:val="000F3A10"/>
    <w:rsid w:val="000F4908"/>
    <w:rsid w:val="000F4B00"/>
    <w:rsid w:val="000F4D6A"/>
    <w:rsid w:val="000F4E05"/>
    <w:rsid w:val="000F5D0C"/>
    <w:rsid w:val="000F7ABD"/>
    <w:rsid w:val="0010088D"/>
    <w:rsid w:val="00100F9B"/>
    <w:rsid w:val="001047AE"/>
    <w:rsid w:val="00105536"/>
    <w:rsid w:val="001055C9"/>
    <w:rsid w:val="001069FB"/>
    <w:rsid w:val="00107017"/>
    <w:rsid w:val="00110BB6"/>
    <w:rsid w:val="00110DF0"/>
    <w:rsid w:val="00113187"/>
    <w:rsid w:val="00113B0C"/>
    <w:rsid w:val="00113BDC"/>
    <w:rsid w:val="00114BDC"/>
    <w:rsid w:val="0011601E"/>
    <w:rsid w:val="001163A3"/>
    <w:rsid w:val="00116BD1"/>
    <w:rsid w:val="00120027"/>
    <w:rsid w:val="00120BEF"/>
    <w:rsid w:val="00122E59"/>
    <w:rsid w:val="001247A3"/>
    <w:rsid w:val="00125E05"/>
    <w:rsid w:val="00130DC3"/>
    <w:rsid w:val="00131DF2"/>
    <w:rsid w:val="00132A97"/>
    <w:rsid w:val="00134E14"/>
    <w:rsid w:val="00134F7D"/>
    <w:rsid w:val="00135AA9"/>
    <w:rsid w:val="0013735C"/>
    <w:rsid w:val="001413B4"/>
    <w:rsid w:val="00141CC8"/>
    <w:rsid w:val="00141EB5"/>
    <w:rsid w:val="00142BA8"/>
    <w:rsid w:val="00142F19"/>
    <w:rsid w:val="00143262"/>
    <w:rsid w:val="00143D62"/>
    <w:rsid w:val="001462A5"/>
    <w:rsid w:val="0014706D"/>
    <w:rsid w:val="00151373"/>
    <w:rsid w:val="0015173D"/>
    <w:rsid w:val="001526C8"/>
    <w:rsid w:val="001540A4"/>
    <w:rsid w:val="00154238"/>
    <w:rsid w:val="001553C9"/>
    <w:rsid w:val="0015732E"/>
    <w:rsid w:val="00157938"/>
    <w:rsid w:val="0016064C"/>
    <w:rsid w:val="00161FAF"/>
    <w:rsid w:val="0016222C"/>
    <w:rsid w:val="0016350F"/>
    <w:rsid w:val="0016497A"/>
    <w:rsid w:val="00164EEC"/>
    <w:rsid w:val="0016654D"/>
    <w:rsid w:val="001702CC"/>
    <w:rsid w:val="00170558"/>
    <w:rsid w:val="00170C84"/>
    <w:rsid w:val="00170E13"/>
    <w:rsid w:val="00170E36"/>
    <w:rsid w:val="001715BA"/>
    <w:rsid w:val="001726F8"/>
    <w:rsid w:val="00172879"/>
    <w:rsid w:val="00173CF9"/>
    <w:rsid w:val="00174138"/>
    <w:rsid w:val="001748DD"/>
    <w:rsid w:val="001749F6"/>
    <w:rsid w:val="00175C0A"/>
    <w:rsid w:val="00177777"/>
    <w:rsid w:val="00180123"/>
    <w:rsid w:val="00180574"/>
    <w:rsid w:val="00182418"/>
    <w:rsid w:val="0018444D"/>
    <w:rsid w:val="001846BB"/>
    <w:rsid w:val="0018546A"/>
    <w:rsid w:val="001868F5"/>
    <w:rsid w:val="00187806"/>
    <w:rsid w:val="00190876"/>
    <w:rsid w:val="00191222"/>
    <w:rsid w:val="00192203"/>
    <w:rsid w:val="001923D4"/>
    <w:rsid w:val="00192FCB"/>
    <w:rsid w:val="00194674"/>
    <w:rsid w:val="0019469B"/>
    <w:rsid w:val="00194E98"/>
    <w:rsid w:val="0019519F"/>
    <w:rsid w:val="00195D59"/>
    <w:rsid w:val="00195E5C"/>
    <w:rsid w:val="00195E9D"/>
    <w:rsid w:val="001A03FE"/>
    <w:rsid w:val="001A3FD2"/>
    <w:rsid w:val="001A4C77"/>
    <w:rsid w:val="001A4D5E"/>
    <w:rsid w:val="001A6942"/>
    <w:rsid w:val="001A6DC6"/>
    <w:rsid w:val="001B024C"/>
    <w:rsid w:val="001B04C9"/>
    <w:rsid w:val="001B0C1F"/>
    <w:rsid w:val="001B0C5A"/>
    <w:rsid w:val="001B1AC7"/>
    <w:rsid w:val="001B2A20"/>
    <w:rsid w:val="001B2CC4"/>
    <w:rsid w:val="001B45EC"/>
    <w:rsid w:val="001B483B"/>
    <w:rsid w:val="001B5BD2"/>
    <w:rsid w:val="001B5DDE"/>
    <w:rsid w:val="001B6BE4"/>
    <w:rsid w:val="001B7256"/>
    <w:rsid w:val="001B7278"/>
    <w:rsid w:val="001B73C7"/>
    <w:rsid w:val="001C024D"/>
    <w:rsid w:val="001C0812"/>
    <w:rsid w:val="001C136C"/>
    <w:rsid w:val="001C1F98"/>
    <w:rsid w:val="001C3CEC"/>
    <w:rsid w:val="001C491C"/>
    <w:rsid w:val="001C532B"/>
    <w:rsid w:val="001C61FE"/>
    <w:rsid w:val="001C6A2F"/>
    <w:rsid w:val="001C6DC6"/>
    <w:rsid w:val="001D0D01"/>
    <w:rsid w:val="001D2A02"/>
    <w:rsid w:val="001D3673"/>
    <w:rsid w:val="001D36C7"/>
    <w:rsid w:val="001D379E"/>
    <w:rsid w:val="001D38AC"/>
    <w:rsid w:val="001D3E0D"/>
    <w:rsid w:val="001D4044"/>
    <w:rsid w:val="001D5E51"/>
    <w:rsid w:val="001D725B"/>
    <w:rsid w:val="001E1164"/>
    <w:rsid w:val="001E18B6"/>
    <w:rsid w:val="001E220D"/>
    <w:rsid w:val="001E24E2"/>
    <w:rsid w:val="001E2866"/>
    <w:rsid w:val="001E33E1"/>
    <w:rsid w:val="001E4357"/>
    <w:rsid w:val="001E74E5"/>
    <w:rsid w:val="001F09FE"/>
    <w:rsid w:val="001F0A8E"/>
    <w:rsid w:val="001F0CF7"/>
    <w:rsid w:val="001F1397"/>
    <w:rsid w:val="001F3217"/>
    <w:rsid w:val="001F3ACB"/>
    <w:rsid w:val="001F3BFF"/>
    <w:rsid w:val="001F413F"/>
    <w:rsid w:val="001F5107"/>
    <w:rsid w:val="001F5EE0"/>
    <w:rsid w:val="002002D4"/>
    <w:rsid w:val="00200515"/>
    <w:rsid w:val="002007DF"/>
    <w:rsid w:val="00200B3C"/>
    <w:rsid w:val="00201E0B"/>
    <w:rsid w:val="00203760"/>
    <w:rsid w:val="002043B3"/>
    <w:rsid w:val="00204C44"/>
    <w:rsid w:val="00204DEE"/>
    <w:rsid w:val="00204E20"/>
    <w:rsid w:val="00205506"/>
    <w:rsid w:val="00207876"/>
    <w:rsid w:val="00207F3D"/>
    <w:rsid w:val="00213390"/>
    <w:rsid w:val="002139F4"/>
    <w:rsid w:val="00214EE9"/>
    <w:rsid w:val="0021508A"/>
    <w:rsid w:val="002154ED"/>
    <w:rsid w:val="00216437"/>
    <w:rsid w:val="00216DFB"/>
    <w:rsid w:val="002172B5"/>
    <w:rsid w:val="00221ED2"/>
    <w:rsid w:val="002224F4"/>
    <w:rsid w:val="00222930"/>
    <w:rsid w:val="00222ED2"/>
    <w:rsid w:val="00223775"/>
    <w:rsid w:val="00223DE3"/>
    <w:rsid w:val="00224F74"/>
    <w:rsid w:val="002256A5"/>
    <w:rsid w:val="00225C62"/>
    <w:rsid w:val="00234355"/>
    <w:rsid w:val="00234585"/>
    <w:rsid w:val="00235E4D"/>
    <w:rsid w:val="002365FE"/>
    <w:rsid w:val="00236764"/>
    <w:rsid w:val="00237938"/>
    <w:rsid w:val="002417D1"/>
    <w:rsid w:val="00241C33"/>
    <w:rsid w:val="00242331"/>
    <w:rsid w:val="002427EB"/>
    <w:rsid w:val="00243F6D"/>
    <w:rsid w:val="00244390"/>
    <w:rsid w:val="00245540"/>
    <w:rsid w:val="0024570B"/>
    <w:rsid w:val="002473C9"/>
    <w:rsid w:val="00247E35"/>
    <w:rsid w:val="00252C11"/>
    <w:rsid w:val="002537CA"/>
    <w:rsid w:val="002549C2"/>
    <w:rsid w:val="00255546"/>
    <w:rsid w:val="0025698D"/>
    <w:rsid w:val="002572A8"/>
    <w:rsid w:val="00260E1B"/>
    <w:rsid w:val="00261E8C"/>
    <w:rsid w:val="0026219A"/>
    <w:rsid w:val="0026450C"/>
    <w:rsid w:val="00264E3B"/>
    <w:rsid w:val="00265583"/>
    <w:rsid w:val="00265909"/>
    <w:rsid w:val="00265B7A"/>
    <w:rsid w:val="00267E17"/>
    <w:rsid w:val="00270813"/>
    <w:rsid w:val="00271A85"/>
    <w:rsid w:val="00271C4C"/>
    <w:rsid w:val="00271E30"/>
    <w:rsid w:val="0027693D"/>
    <w:rsid w:val="00276BF3"/>
    <w:rsid w:val="0028003F"/>
    <w:rsid w:val="00280F77"/>
    <w:rsid w:val="00282E8D"/>
    <w:rsid w:val="00283320"/>
    <w:rsid w:val="002855AA"/>
    <w:rsid w:val="002864C3"/>
    <w:rsid w:val="0029114B"/>
    <w:rsid w:val="00291235"/>
    <w:rsid w:val="00291939"/>
    <w:rsid w:val="002927EE"/>
    <w:rsid w:val="00293D23"/>
    <w:rsid w:val="00294D03"/>
    <w:rsid w:val="00294ECF"/>
    <w:rsid w:val="00296584"/>
    <w:rsid w:val="002A042A"/>
    <w:rsid w:val="002A2B2D"/>
    <w:rsid w:val="002A2EB4"/>
    <w:rsid w:val="002A4E36"/>
    <w:rsid w:val="002A617E"/>
    <w:rsid w:val="002A6186"/>
    <w:rsid w:val="002A629D"/>
    <w:rsid w:val="002A6BEB"/>
    <w:rsid w:val="002B0C4C"/>
    <w:rsid w:val="002B0DFC"/>
    <w:rsid w:val="002B2C7F"/>
    <w:rsid w:val="002B2DD1"/>
    <w:rsid w:val="002B435B"/>
    <w:rsid w:val="002B6DD9"/>
    <w:rsid w:val="002B73E4"/>
    <w:rsid w:val="002C0C1C"/>
    <w:rsid w:val="002C11F7"/>
    <w:rsid w:val="002C18DF"/>
    <w:rsid w:val="002C2354"/>
    <w:rsid w:val="002C2A19"/>
    <w:rsid w:val="002C2E6C"/>
    <w:rsid w:val="002C584F"/>
    <w:rsid w:val="002D188C"/>
    <w:rsid w:val="002D245E"/>
    <w:rsid w:val="002D32B3"/>
    <w:rsid w:val="002D38B3"/>
    <w:rsid w:val="002D3E52"/>
    <w:rsid w:val="002D4841"/>
    <w:rsid w:val="002D547B"/>
    <w:rsid w:val="002D5746"/>
    <w:rsid w:val="002D6747"/>
    <w:rsid w:val="002D69DB"/>
    <w:rsid w:val="002D7116"/>
    <w:rsid w:val="002D7E34"/>
    <w:rsid w:val="002E040D"/>
    <w:rsid w:val="002E0B41"/>
    <w:rsid w:val="002E4E0C"/>
    <w:rsid w:val="002E5AB3"/>
    <w:rsid w:val="002E5FB6"/>
    <w:rsid w:val="002F0A73"/>
    <w:rsid w:val="002F1158"/>
    <w:rsid w:val="002F14BC"/>
    <w:rsid w:val="002F35CA"/>
    <w:rsid w:val="002F379E"/>
    <w:rsid w:val="002F44C0"/>
    <w:rsid w:val="002F479E"/>
    <w:rsid w:val="002F507D"/>
    <w:rsid w:val="002F5CA7"/>
    <w:rsid w:val="002F790F"/>
    <w:rsid w:val="0030013D"/>
    <w:rsid w:val="003003A3"/>
    <w:rsid w:val="00300B08"/>
    <w:rsid w:val="00302A7A"/>
    <w:rsid w:val="00303018"/>
    <w:rsid w:val="0030488C"/>
    <w:rsid w:val="003050D6"/>
    <w:rsid w:val="0030615B"/>
    <w:rsid w:val="00310F36"/>
    <w:rsid w:val="00311363"/>
    <w:rsid w:val="0031137A"/>
    <w:rsid w:val="00311BA3"/>
    <w:rsid w:val="0031258A"/>
    <w:rsid w:val="00312632"/>
    <w:rsid w:val="00312835"/>
    <w:rsid w:val="0031318E"/>
    <w:rsid w:val="003144B4"/>
    <w:rsid w:val="00316500"/>
    <w:rsid w:val="00321C6F"/>
    <w:rsid w:val="0032371F"/>
    <w:rsid w:val="00324334"/>
    <w:rsid w:val="0032597B"/>
    <w:rsid w:val="00326108"/>
    <w:rsid w:val="003262F7"/>
    <w:rsid w:val="00326505"/>
    <w:rsid w:val="0033052D"/>
    <w:rsid w:val="00330F94"/>
    <w:rsid w:val="00331ED2"/>
    <w:rsid w:val="0033221A"/>
    <w:rsid w:val="00332822"/>
    <w:rsid w:val="00332D81"/>
    <w:rsid w:val="00335360"/>
    <w:rsid w:val="0033588A"/>
    <w:rsid w:val="003402FA"/>
    <w:rsid w:val="00340A0A"/>
    <w:rsid w:val="0034172A"/>
    <w:rsid w:val="00341856"/>
    <w:rsid w:val="00342097"/>
    <w:rsid w:val="00342E35"/>
    <w:rsid w:val="0034549F"/>
    <w:rsid w:val="00345F8B"/>
    <w:rsid w:val="00346105"/>
    <w:rsid w:val="00346537"/>
    <w:rsid w:val="003473C7"/>
    <w:rsid w:val="003520D4"/>
    <w:rsid w:val="003521A5"/>
    <w:rsid w:val="003531DD"/>
    <w:rsid w:val="0035637C"/>
    <w:rsid w:val="0036034E"/>
    <w:rsid w:val="0036079A"/>
    <w:rsid w:val="00361CE8"/>
    <w:rsid w:val="00361ED4"/>
    <w:rsid w:val="003624D4"/>
    <w:rsid w:val="00362994"/>
    <w:rsid w:val="00363AD3"/>
    <w:rsid w:val="003644CA"/>
    <w:rsid w:val="00364894"/>
    <w:rsid w:val="00366F5C"/>
    <w:rsid w:val="00371D04"/>
    <w:rsid w:val="00373D15"/>
    <w:rsid w:val="003745DD"/>
    <w:rsid w:val="00374AAC"/>
    <w:rsid w:val="00375373"/>
    <w:rsid w:val="00381ED3"/>
    <w:rsid w:val="00384243"/>
    <w:rsid w:val="003842C9"/>
    <w:rsid w:val="00384F77"/>
    <w:rsid w:val="0038502A"/>
    <w:rsid w:val="00385839"/>
    <w:rsid w:val="00387E99"/>
    <w:rsid w:val="00390345"/>
    <w:rsid w:val="003907F1"/>
    <w:rsid w:val="00390EF9"/>
    <w:rsid w:val="00391CD1"/>
    <w:rsid w:val="00392042"/>
    <w:rsid w:val="00393E33"/>
    <w:rsid w:val="003956B5"/>
    <w:rsid w:val="00395783"/>
    <w:rsid w:val="003A00E7"/>
    <w:rsid w:val="003A19C8"/>
    <w:rsid w:val="003A2426"/>
    <w:rsid w:val="003A36DC"/>
    <w:rsid w:val="003A6406"/>
    <w:rsid w:val="003A6C44"/>
    <w:rsid w:val="003B0996"/>
    <w:rsid w:val="003B20CD"/>
    <w:rsid w:val="003B4093"/>
    <w:rsid w:val="003B40B6"/>
    <w:rsid w:val="003B5304"/>
    <w:rsid w:val="003B5DA5"/>
    <w:rsid w:val="003B5FB9"/>
    <w:rsid w:val="003B5FD6"/>
    <w:rsid w:val="003B60BA"/>
    <w:rsid w:val="003B623F"/>
    <w:rsid w:val="003B6A31"/>
    <w:rsid w:val="003B6EF5"/>
    <w:rsid w:val="003B78DB"/>
    <w:rsid w:val="003C36B4"/>
    <w:rsid w:val="003C538B"/>
    <w:rsid w:val="003D0207"/>
    <w:rsid w:val="003D12F1"/>
    <w:rsid w:val="003D2746"/>
    <w:rsid w:val="003D283E"/>
    <w:rsid w:val="003D309C"/>
    <w:rsid w:val="003D5638"/>
    <w:rsid w:val="003D61F9"/>
    <w:rsid w:val="003D674B"/>
    <w:rsid w:val="003D69BF"/>
    <w:rsid w:val="003D6EB0"/>
    <w:rsid w:val="003D72CC"/>
    <w:rsid w:val="003E0EF1"/>
    <w:rsid w:val="003E1653"/>
    <w:rsid w:val="003E18B5"/>
    <w:rsid w:val="003E24E1"/>
    <w:rsid w:val="003E33E7"/>
    <w:rsid w:val="003E390F"/>
    <w:rsid w:val="003E449A"/>
    <w:rsid w:val="003E700F"/>
    <w:rsid w:val="003E745C"/>
    <w:rsid w:val="003F02C4"/>
    <w:rsid w:val="003F0AC1"/>
    <w:rsid w:val="003F1A56"/>
    <w:rsid w:val="003F3260"/>
    <w:rsid w:val="003F3801"/>
    <w:rsid w:val="003F4BC0"/>
    <w:rsid w:val="003F6AB3"/>
    <w:rsid w:val="003F7555"/>
    <w:rsid w:val="003F7A07"/>
    <w:rsid w:val="0040029D"/>
    <w:rsid w:val="00401BD5"/>
    <w:rsid w:val="004025EE"/>
    <w:rsid w:val="004028A5"/>
    <w:rsid w:val="0040343C"/>
    <w:rsid w:val="00404462"/>
    <w:rsid w:val="00405173"/>
    <w:rsid w:val="00405D3E"/>
    <w:rsid w:val="00410762"/>
    <w:rsid w:val="0041285E"/>
    <w:rsid w:val="00416073"/>
    <w:rsid w:val="00416190"/>
    <w:rsid w:val="00420153"/>
    <w:rsid w:val="00421504"/>
    <w:rsid w:val="004219AE"/>
    <w:rsid w:val="00421F8D"/>
    <w:rsid w:val="00423331"/>
    <w:rsid w:val="00424438"/>
    <w:rsid w:val="004273B5"/>
    <w:rsid w:val="00427CB5"/>
    <w:rsid w:val="00430798"/>
    <w:rsid w:val="00430AAD"/>
    <w:rsid w:val="00431928"/>
    <w:rsid w:val="004338DD"/>
    <w:rsid w:val="004353FA"/>
    <w:rsid w:val="004355B6"/>
    <w:rsid w:val="0043694D"/>
    <w:rsid w:val="00436DE2"/>
    <w:rsid w:val="00436F6D"/>
    <w:rsid w:val="004374B1"/>
    <w:rsid w:val="00437AE4"/>
    <w:rsid w:val="00442926"/>
    <w:rsid w:val="00446073"/>
    <w:rsid w:val="004460D9"/>
    <w:rsid w:val="004471C1"/>
    <w:rsid w:val="00447D95"/>
    <w:rsid w:val="00456F2C"/>
    <w:rsid w:val="004577C0"/>
    <w:rsid w:val="004605F3"/>
    <w:rsid w:val="0046193B"/>
    <w:rsid w:val="00461973"/>
    <w:rsid w:val="004619FF"/>
    <w:rsid w:val="0046368D"/>
    <w:rsid w:val="0046384C"/>
    <w:rsid w:val="00464426"/>
    <w:rsid w:val="004661FB"/>
    <w:rsid w:val="00470574"/>
    <w:rsid w:val="00470ADC"/>
    <w:rsid w:val="0047114C"/>
    <w:rsid w:val="00471ACC"/>
    <w:rsid w:val="00471DC2"/>
    <w:rsid w:val="00471E04"/>
    <w:rsid w:val="00474CBF"/>
    <w:rsid w:val="00475213"/>
    <w:rsid w:val="00475977"/>
    <w:rsid w:val="00475D91"/>
    <w:rsid w:val="00480351"/>
    <w:rsid w:val="00481119"/>
    <w:rsid w:val="00482A5C"/>
    <w:rsid w:val="00484821"/>
    <w:rsid w:val="00491908"/>
    <w:rsid w:val="00492B7A"/>
    <w:rsid w:val="004930B6"/>
    <w:rsid w:val="00494016"/>
    <w:rsid w:val="00495B88"/>
    <w:rsid w:val="00495F4D"/>
    <w:rsid w:val="00496130"/>
    <w:rsid w:val="0049642E"/>
    <w:rsid w:val="004977ED"/>
    <w:rsid w:val="004A08E3"/>
    <w:rsid w:val="004A2A93"/>
    <w:rsid w:val="004A5559"/>
    <w:rsid w:val="004A6AB8"/>
    <w:rsid w:val="004A6BAF"/>
    <w:rsid w:val="004A7659"/>
    <w:rsid w:val="004B0F2A"/>
    <w:rsid w:val="004B118C"/>
    <w:rsid w:val="004B150D"/>
    <w:rsid w:val="004B24F8"/>
    <w:rsid w:val="004B53DF"/>
    <w:rsid w:val="004B762B"/>
    <w:rsid w:val="004B76D9"/>
    <w:rsid w:val="004C2810"/>
    <w:rsid w:val="004C30FB"/>
    <w:rsid w:val="004C312B"/>
    <w:rsid w:val="004C4215"/>
    <w:rsid w:val="004C4A59"/>
    <w:rsid w:val="004C6F0D"/>
    <w:rsid w:val="004C70BE"/>
    <w:rsid w:val="004D153E"/>
    <w:rsid w:val="004D2862"/>
    <w:rsid w:val="004D302C"/>
    <w:rsid w:val="004D3616"/>
    <w:rsid w:val="004D45AB"/>
    <w:rsid w:val="004D6C9B"/>
    <w:rsid w:val="004D6D48"/>
    <w:rsid w:val="004D6F09"/>
    <w:rsid w:val="004D72DE"/>
    <w:rsid w:val="004E0570"/>
    <w:rsid w:val="004E282C"/>
    <w:rsid w:val="004E2FE4"/>
    <w:rsid w:val="004E3568"/>
    <w:rsid w:val="004E7177"/>
    <w:rsid w:val="004F00D6"/>
    <w:rsid w:val="004F20E7"/>
    <w:rsid w:val="004F3D33"/>
    <w:rsid w:val="004F4EDB"/>
    <w:rsid w:val="004F5ED7"/>
    <w:rsid w:val="004F5FF1"/>
    <w:rsid w:val="004F797F"/>
    <w:rsid w:val="00500C4A"/>
    <w:rsid w:val="005010EE"/>
    <w:rsid w:val="00502559"/>
    <w:rsid w:val="005035EB"/>
    <w:rsid w:val="005040E2"/>
    <w:rsid w:val="005048B8"/>
    <w:rsid w:val="00505670"/>
    <w:rsid w:val="0050695B"/>
    <w:rsid w:val="00506C1B"/>
    <w:rsid w:val="00506FCD"/>
    <w:rsid w:val="00507844"/>
    <w:rsid w:val="00507C02"/>
    <w:rsid w:val="005112A3"/>
    <w:rsid w:val="00512544"/>
    <w:rsid w:val="00513A74"/>
    <w:rsid w:val="00513F0A"/>
    <w:rsid w:val="00513F3A"/>
    <w:rsid w:val="00516DC3"/>
    <w:rsid w:val="00517815"/>
    <w:rsid w:val="00520F83"/>
    <w:rsid w:val="00522D7C"/>
    <w:rsid w:val="00525CC7"/>
    <w:rsid w:val="005321E0"/>
    <w:rsid w:val="0053432D"/>
    <w:rsid w:val="00535ABF"/>
    <w:rsid w:val="00536C87"/>
    <w:rsid w:val="0053704F"/>
    <w:rsid w:val="00537620"/>
    <w:rsid w:val="00537A7B"/>
    <w:rsid w:val="0054099D"/>
    <w:rsid w:val="00541169"/>
    <w:rsid w:val="00541287"/>
    <w:rsid w:val="005429EF"/>
    <w:rsid w:val="00546D9B"/>
    <w:rsid w:val="00547FB8"/>
    <w:rsid w:val="00547FDA"/>
    <w:rsid w:val="00550398"/>
    <w:rsid w:val="00551B3E"/>
    <w:rsid w:val="00551D4E"/>
    <w:rsid w:val="00552569"/>
    <w:rsid w:val="00552809"/>
    <w:rsid w:val="00552B07"/>
    <w:rsid w:val="00553075"/>
    <w:rsid w:val="0055361B"/>
    <w:rsid w:val="00553878"/>
    <w:rsid w:val="00555ACC"/>
    <w:rsid w:val="00556A69"/>
    <w:rsid w:val="00557473"/>
    <w:rsid w:val="005576D6"/>
    <w:rsid w:val="00557DEA"/>
    <w:rsid w:val="005611CA"/>
    <w:rsid w:val="005612FF"/>
    <w:rsid w:val="005614AE"/>
    <w:rsid w:val="00561C09"/>
    <w:rsid w:val="005620F0"/>
    <w:rsid w:val="00563879"/>
    <w:rsid w:val="005649C8"/>
    <w:rsid w:val="00567155"/>
    <w:rsid w:val="0056750B"/>
    <w:rsid w:val="00570404"/>
    <w:rsid w:val="005709B1"/>
    <w:rsid w:val="00570E89"/>
    <w:rsid w:val="005720C9"/>
    <w:rsid w:val="00574C22"/>
    <w:rsid w:val="00574DB5"/>
    <w:rsid w:val="00583757"/>
    <w:rsid w:val="005844FE"/>
    <w:rsid w:val="00585F8B"/>
    <w:rsid w:val="00590789"/>
    <w:rsid w:val="00595158"/>
    <w:rsid w:val="00596711"/>
    <w:rsid w:val="00596880"/>
    <w:rsid w:val="00597ED2"/>
    <w:rsid w:val="005A0185"/>
    <w:rsid w:val="005A02BB"/>
    <w:rsid w:val="005A0658"/>
    <w:rsid w:val="005A3647"/>
    <w:rsid w:val="005A3F50"/>
    <w:rsid w:val="005A463D"/>
    <w:rsid w:val="005A692A"/>
    <w:rsid w:val="005B1470"/>
    <w:rsid w:val="005B343C"/>
    <w:rsid w:val="005B60F3"/>
    <w:rsid w:val="005B6132"/>
    <w:rsid w:val="005C226A"/>
    <w:rsid w:val="005C290C"/>
    <w:rsid w:val="005C34BE"/>
    <w:rsid w:val="005C4299"/>
    <w:rsid w:val="005C4448"/>
    <w:rsid w:val="005C4A2F"/>
    <w:rsid w:val="005C4A35"/>
    <w:rsid w:val="005C50DF"/>
    <w:rsid w:val="005C6280"/>
    <w:rsid w:val="005C6CD7"/>
    <w:rsid w:val="005D10FC"/>
    <w:rsid w:val="005D6E80"/>
    <w:rsid w:val="005D7F45"/>
    <w:rsid w:val="005E08F4"/>
    <w:rsid w:val="005E32A6"/>
    <w:rsid w:val="005E3900"/>
    <w:rsid w:val="005E4626"/>
    <w:rsid w:val="005E4D13"/>
    <w:rsid w:val="005E56C5"/>
    <w:rsid w:val="005E7D8E"/>
    <w:rsid w:val="005F07E7"/>
    <w:rsid w:val="005F2A4B"/>
    <w:rsid w:val="005F2D44"/>
    <w:rsid w:val="005F3AAF"/>
    <w:rsid w:val="005F4A80"/>
    <w:rsid w:val="005F566D"/>
    <w:rsid w:val="005F59A4"/>
    <w:rsid w:val="00600260"/>
    <w:rsid w:val="00600E87"/>
    <w:rsid w:val="0060161D"/>
    <w:rsid w:val="006046AE"/>
    <w:rsid w:val="00605393"/>
    <w:rsid w:val="006053E4"/>
    <w:rsid w:val="00606D29"/>
    <w:rsid w:val="0060782E"/>
    <w:rsid w:val="00611834"/>
    <w:rsid w:val="00612926"/>
    <w:rsid w:val="0061313C"/>
    <w:rsid w:val="00613B99"/>
    <w:rsid w:val="00614040"/>
    <w:rsid w:val="00614534"/>
    <w:rsid w:val="006166E6"/>
    <w:rsid w:val="00616A14"/>
    <w:rsid w:val="00616E5A"/>
    <w:rsid w:val="00616F99"/>
    <w:rsid w:val="00620AC6"/>
    <w:rsid w:val="0062154A"/>
    <w:rsid w:val="00622A92"/>
    <w:rsid w:val="0062373B"/>
    <w:rsid w:val="006237DC"/>
    <w:rsid w:val="00624212"/>
    <w:rsid w:val="00625F10"/>
    <w:rsid w:val="00626A7E"/>
    <w:rsid w:val="00627D97"/>
    <w:rsid w:val="00630A15"/>
    <w:rsid w:val="006320D1"/>
    <w:rsid w:val="00632E05"/>
    <w:rsid w:val="00633701"/>
    <w:rsid w:val="00634066"/>
    <w:rsid w:val="00634BA1"/>
    <w:rsid w:val="00634BD3"/>
    <w:rsid w:val="00635099"/>
    <w:rsid w:val="00635A00"/>
    <w:rsid w:val="006360E7"/>
    <w:rsid w:val="00637193"/>
    <w:rsid w:val="0063745F"/>
    <w:rsid w:val="00637926"/>
    <w:rsid w:val="00640498"/>
    <w:rsid w:val="00641439"/>
    <w:rsid w:val="00641458"/>
    <w:rsid w:val="00641CB9"/>
    <w:rsid w:val="0064349D"/>
    <w:rsid w:val="0064363A"/>
    <w:rsid w:val="00643C79"/>
    <w:rsid w:val="006456F7"/>
    <w:rsid w:val="00646E6E"/>
    <w:rsid w:val="00646FA1"/>
    <w:rsid w:val="00647FDA"/>
    <w:rsid w:val="0065001E"/>
    <w:rsid w:val="00650C3D"/>
    <w:rsid w:val="00650C7F"/>
    <w:rsid w:val="0065135D"/>
    <w:rsid w:val="00651A6F"/>
    <w:rsid w:val="0065238A"/>
    <w:rsid w:val="00652799"/>
    <w:rsid w:val="00652A9E"/>
    <w:rsid w:val="00653564"/>
    <w:rsid w:val="00653B94"/>
    <w:rsid w:val="00655FCF"/>
    <w:rsid w:val="006610BA"/>
    <w:rsid w:val="00661519"/>
    <w:rsid w:val="006678D1"/>
    <w:rsid w:val="00670208"/>
    <w:rsid w:val="006708E6"/>
    <w:rsid w:val="00670AD9"/>
    <w:rsid w:val="006725C8"/>
    <w:rsid w:val="00672B9A"/>
    <w:rsid w:val="006732BA"/>
    <w:rsid w:val="00674C72"/>
    <w:rsid w:val="00674EFC"/>
    <w:rsid w:val="00676CA5"/>
    <w:rsid w:val="00677126"/>
    <w:rsid w:val="00677F59"/>
    <w:rsid w:val="006815FE"/>
    <w:rsid w:val="00681E1F"/>
    <w:rsid w:val="006826D5"/>
    <w:rsid w:val="00682799"/>
    <w:rsid w:val="00682965"/>
    <w:rsid w:val="006842E5"/>
    <w:rsid w:val="00684D00"/>
    <w:rsid w:val="0068630A"/>
    <w:rsid w:val="0068713B"/>
    <w:rsid w:val="006876CA"/>
    <w:rsid w:val="00687D89"/>
    <w:rsid w:val="00687E51"/>
    <w:rsid w:val="0069087B"/>
    <w:rsid w:val="006910B2"/>
    <w:rsid w:val="00691201"/>
    <w:rsid w:val="006912B8"/>
    <w:rsid w:val="00691A30"/>
    <w:rsid w:val="00696269"/>
    <w:rsid w:val="00696C6E"/>
    <w:rsid w:val="006972B7"/>
    <w:rsid w:val="00697378"/>
    <w:rsid w:val="006A08C5"/>
    <w:rsid w:val="006A120E"/>
    <w:rsid w:val="006A20DD"/>
    <w:rsid w:val="006A29E4"/>
    <w:rsid w:val="006A633E"/>
    <w:rsid w:val="006A6999"/>
    <w:rsid w:val="006A72B2"/>
    <w:rsid w:val="006B1C94"/>
    <w:rsid w:val="006B202F"/>
    <w:rsid w:val="006B2EA5"/>
    <w:rsid w:val="006B4376"/>
    <w:rsid w:val="006B502F"/>
    <w:rsid w:val="006B59FB"/>
    <w:rsid w:val="006B5DCF"/>
    <w:rsid w:val="006B7314"/>
    <w:rsid w:val="006B79DE"/>
    <w:rsid w:val="006C0A34"/>
    <w:rsid w:val="006C2397"/>
    <w:rsid w:val="006C2817"/>
    <w:rsid w:val="006C2AB7"/>
    <w:rsid w:val="006C3487"/>
    <w:rsid w:val="006C47BE"/>
    <w:rsid w:val="006C4D34"/>
    <w:rsid w:val="006C558B"/>
    <w:rsid w:val="006C731C"/>
    <w:rsid w:val="006C73F7"/>
    <w:rsid w:val="006C7589"/>
    <w:rsid w:val="006C75E3"/>
    <w:rsid w:val="006C7953"/>
    <w:rsid w:val="006D183E"/>
    <w:rsid w:val="006D279D"/>
    <w:rsid w:val="006D5BFE"/>
    <w:rsid w:val="006D6465"/>
    <w:rsid w:val="006D6A27"/>
    <w:rsid w:val="006D72CA"/>
    <w:rsid w:val="006D7B83"/>
    <w:rsid w:val="006E1F7E"/>
    <w:rsid w:val="006E2EFC"/>
    <w:rsid w:val="006E3BE7"/>
    <w:rsid w:val="006E4D9B"/>
    <w:rsid w:val="006E5132"/>
    <w:rsid w:val="006E513B"/>
    <w:rsid w:val="006E5C0A"/>
    <w:rsid w:val="006E5C6D"/>
    <w:rsid w:val="006E7F4C"/>
    <w:rsid w:val="006F1C81"/>
    <w:rsid w:val="006F29D6"/>
    <w:rsid w:val="006F4509"/>
    <w:rsid w:val="006F4DC9"/>
    <w:rsid w:val="006F510B"/>
    <w:rsid w:val="006F5756"/>
    <w:rsid w:val="00705868"/>
    <w:rsid w:val="00705E1E"/>
    <w:rsid w:val="00706AA8"/>
    <w:rsid w:val="00707013"/>
    <w:rsid w:val="007076EF"/>
    <w:rsid w:val="00710A34"/>
    <w:rsid w:val="00710AA4"/>
    <w:rsid w:val="00711050"/>
    <w:rsid w:val="007114D3"/>
    <w:rsid w:val="007114EF"/>
    <w:rsid w:val="0071189B"/>
    <w:rsid w:val="00711B9B"/>
    <w:rsid w:val="00712828"/>
    <w:rsid w:val="00714643"/>
    <w:rsid w:val="007155D4"/>
    <w:rsid w:val="00716296"/>
    <w:rsid w:val="00721042"/>
    <w:rsid w:val="007223DD"/>
    <w:rsid w:val="00722671"/>
    <w:rsid w:val="007240D9"/>
    <w:rsid w:val="00724C3F"/>
    <w:rsid w:val="0072514F"/>
    <w:rsid w:val="00725970"/>
    <w:rsid w:val="00726E6F"/>
    <w:rsid w:val="00727421"/>
    <w:rsid w:val="00727A72"/>
    <w:rsid w:val="00727C85"/>
    <w:rsid w:val="00727E05"/>
    <w:rsid w:val="00727E10"/>
    <w:rsid w:val="00732396"/>
    <w:rsid w:val="0073260B"/>
    <w:rsid w:val="00732C9D"/>
    <w:rsid w:val="007338ED"/>
    <w:rsid w:val="00734D4B"/>
    <w:rsid w:val="0073560E"/>
    <w:rsid w:val="00736438"/>
    <w:rsid w:val="00737993"/>
    <w:rsid w:val="00737E78"/>
    <w:rsid w:val="00740604"/>
    <w:rsid w:val="007443E5"/>
    <w:rsid w:val="00744B52"/>
    <w:rsid w:val="007452D5"/>
    <w:rsid w:val="00745DB8"/>
    <w:rsid w:val="00750351"/>
    <w:rsid w:val="00750C2F"/>
    <w:rsid w:val="007514BE"/>
    <w:rsid w:val="00751718"/>
    <w:rsid w:val="00751792"/>
    <w:rsid w:val="00753307"/>
    <w:rsid w:val="007542E5"/>
    <w:rsid w:val="00754479"/>
    <w:rsid w:val="00755185"/>
    <w:rsid w:val="00755EE8"/>
    <w:rsid w:val="007570AC"/>
    <w:rsid w:val="00760E18"/>
    <w:rsid w:val="00764393"/>
    <w:rsid w:val="00765795"/>
    <w:rsid w:val="0076721B"/>
    <w:rsid w:val="0076739B"/>
    <w:rsid w:val="00770117"/>
    <w:rsid w:val="00770C4F"/>
    <w:rsid w:val="00770FC6"/>
    <w:rsid w:val="007714CF"/>
    <w:rsid w:val="00772711"/>
    <w:rsid w:val="00772A50"/>
    <w:rsid w:val="00772C37"/>
    <w:rsid w:val="00774975"/>
    <w:rsid w:val="00775341"/>
    <w:rsid w:val="00775848"/>
    <w:rsid w:val="007767F1"/>
    <w:rsid w:val="00776A1E"/>
    <w:rsid w:val="007800DB"/>
    <w:rsid w:val="00780EC2"/>
    <w:rsid w:val="00781091"/>
    <w:rsid w:val="0078256C"/>
    <w:rsid w:val="0078267B"/>
    <w:rsid w:val="00782B8B"/>
    <w:rsid w:val="007835DE"/>
    <w:rsid w:val="007840F1"/>
    <w:rsid w:val="007844E1"/>
    <w:rsid w:val="007848A5"/>
    <w:rsid w:val="00784E37"/>
    <w:rsid w:val="007856B7"/>
    <w:rsid w:val="00785ED0"/>
    <w:rsid w:val="00787B93"/>
    <w:rsid w:val="00794221"/>
    <w:rsid w:val="00794BFF"/>
    <w:rsid w:val="0079617A"/>
    <w:rsid w:val="00796EAD"/>
    <w:rsid w:val="00797302"/>
    <w:rsid w:val="00797835"/>
    <w:rsid w:val="00797AFA"/>
    <w:rsid w:val="007A03DC"/>
    <w:rsid w:val="007A1A68"/>
    <w:rsid w:val="007A47D8"/>
    <w:rsid w:val="007A4BF0"/>
    <w:rsid w:val="007A58CC"/>
    <w:rsid w:val="007A61B8"/>
    <w:rsid w:val="007A694D"/>
    <w:rsid w:val="007B00E5"/>
    <w:rsid w:val="007B016F"/>
    <w:rsid w:val="007B028D"/>
    <w:rsid w:val="007B0C27"/>
    <w:rsid w:val="007B1351"/>
    <w:rsid w:val="007B211B"/>
    <w:rsid w:val="007B2140"/>
    <w:rsid w:val="007B372F"/>
    <w:rsid w:val="007B4929"/>
    <w:rsid w:val="007B4B97"/>
    <w:rsid w:val="007B5CE7"/>
    <w:rsid w:val="007C2879"/>
    <w:rsid w:val="007C3C90"/>
    <w:rsid w:val="007C3D19"/>
    <w:rsid w:val="007C524F"/>
    <w:rsid w:val="007C572D"/>
    <w:rsid w:val="007C62A8"/>
    <w:rsid w:val="007C6CDA"/>
    <w:rsid w:val="007C6FC4"/>
    <w:rsid w:val="007C768C"/>
    <w:rsid w:val="007D031B"/>
    <w:rsid w:val="007D0E54"/>
    <w:rsid w:val="007D0FD1"/>
    <w:rsid w:val="007D2E1B"/>
    <w:rsid w:val="007D5332"/>
    <w:rsid w:val="007D5B8F"/>
    <w:rsid w:val="007D714B"/>
    <w:rsid w:val="007E0224"/>
    <w:rsid w:val="007E0FBF"/>
    <w:rsid w:val="007E1B29"/>
    <w:rsid w:val="007E3107"/>
    <w:rsid w:val="007E5D59"/>
    <w:rsid w:val="007E6165"/>
    <w:rsid w:val="007E67B0"/>
    <w:rsid w:val="007F0DBD"/>
    <w:rsid w:val="007F399F"/>
    <w:rsid w:val="007F3CAA"/>
    <w:rsid w:val="007F453A"/>
    <w:rsid w:val="007F4D66"/>
    <w:rsid w:val="007F4EB7"/>
    <w:rsid w:val="007F7925"/>
    <w:rsid w:val="007F7AA9"/>
    <w:rsid w:val="00800B3F"/>
    <w:rsid w:val="0080145B"/>
    <w:rsid w:val="008022A6"/>
    <w:rsid w:val="00802BB8"/>
    <w:rsid w:val="00802DD4"/>
    <w:rsid w:val="008036A7"/>
    <w:rsid w:val="0080386C"/>
    <w:rsid w:val="008058C8"/>
    <w:rsid w:val="00805D67"/>
    <w:rsid w:val="0080766A"/>
    <w:rsid w:val="008111D9"/>
    <w:rsid w:val="0081541D"/>
    <w:rsid w:val="00820281"/>
    <w:rsid w:val="00820937"/>
    <w:rsid w:val="00820E13"/>
    <w:rsid w:val="00820E60"/>
    <w:rsid w:val="00822115"/>
    <w:rsid w:val="00822468"/>
    <w:rsid w:val="00823672"/>
    <w:rsid w:val="00825E48"/>
    <w:rsid w:val="00826102"/>
    <w:rsid w:val="00826D72"/>
    <w:rsid w:val="00827D56"/>
    <w:rsid w:val="00827D64"/>
    <w:rsid w:val="0083000C"/>
    <w:rsid w:val="00830D64"/>
    <w:rsid w:val="00831105"/>
    <w:rsid w:val="0083180E"/>
    <w:rsid w:val="008320A9"/>
    <w:rsid w:val="0083297F"/>
    <w:rsid w:val="008401C0"/>
    <w:rsid w:val="0084051A"/>
    <w:rsid w:val="00842B6F"/>
    <w:rsid w:val="00842D7B"/>
    <w:rsid w:val="00843502"/>
    <w:rsid w:val="00843E7C"/>
    <w:rsid w:val="008451ED"/>
    <w:rsid w:val="008453E7"/>
    <w:rsid w:val="008469A1"/>
    <w:rsid w:val="0085023D"/>
    <w:rsid w:val="00850428"/>
    <w:rsid w:val="008518A0"/>
    <w:rsid w:val="00852B1F"/>
    <w:rsid w:val="00855178"/>
    <w:rsid w:val="0085686E"/>
    <w:rsid w:val="00857E40"/>
    <w:rsid w:val="00860A5C"/>
    <w:rsid w:val="008616CC"/>
    <w:rsid w:val="0086296B"/>
    <w:rsid w:val="008643D6"/>
    <w:rsid w:val="0086462F"/>
    <w:rsid w:val="00864C99"/>
    <w:rsid w:val="008651BF"/>
    <w:rsid w:val="0086568D"/>
    <w:rsid w:val="008668CE"/>
    <w:rsid w:val="0087038F"/>
    <w:rsid w:val="0087165D"/>
    <w:rsid w:val="00871CFA"/>
    <w:rsid w:val="00871D5F"/>
    <w:rsid w:val="00872DBF"/>
    <w:rsid w:val="00875F4E"/>
    <w:rsid w:val="0087688D"/>
    <w:rsid w:val="008776DD"/>
    <w:rsid w:val="0088062F"/>
    <w:rsid w:val="0088106E"/>
    <w:rsid w:val="008824FD"/>
    <w:rsid w:val="0088317D"/>
    <w:rsid w:val="00883C77"/>
    <w:rsid w:val="00887260"/>
    <w:rsid w:val="008873DF"/>
    <w:rsid w:val="0088744C"/>
    <w:rsid w:val="00890CC2"/>
    <w:rsid w:val="008910D4"/>
    <w:rsid w:val="0089288E"/>
    <w:rsid w:val="00893D2A"/>
    <w:rsid w:val="00893FA9"/>
    <w:rsid w:val="00894F8B"/>
    <w:rsid w:val="00897979"/>
    <w:rsid w:val="00897A7E"/>
    <w:rsid w:val="008A28C5"/>
    <w:rsid w:val="008A4BFE"/>
    <w:rsid w:val="008A4F11"/>
    <w:rsid w:val="008A6389"/>
    <w:rsid w:val="008B04D3"/>
    <w:rsid w:val="008B175F"/>
    <w:rsid w:val="008B2C9B"/>
    <w:rsid w:val="008B4124"/>
    <w:rsid w:val="008B453A"/>
    <w:rsid w:val="008B4704"/>
    <w:rsid w:val="008B4BAB"/>
    <w:rsid w:val="008B545A"/>
    <w:rsid w:val="008B5A07"/>
    <w:rsid w:val="008B5DAC"/>
    <w:rsid w:val="008B735B"/>
    <w:rsid w:val="008B7A39"/>
    <w:rsid w:val="008B7E1A"/>
    <w:rsid w:val="008C02A7"/>
    <w:rsid w:val="008C0346"/>
    <w:rsid w:val="008C06C3"/>
    <w:rsid w:val="008C1469"/>
    <w:rsid w:val="008C1862"/>
    <w:rsid w:val="008C25EB"/>
    <w:rsid w:val="008C3CF9"/>
    <w:rsid w:val="008C3F8D"/>
    <w:rsid w:val="008C412E"/>
    <w:rsid w:val="008C441B"/>
    <w:rsid w:val="008C4B9C"/>
    <w:rsid w:val="008C6BAA"/>
    <w:rsid w:val="008C6FFA"/>
    <w:rsid w:val="008C7B89"/>
    <w:rsid w:val="008D0B3C"/>
    <w:rsid w:val="008D186B"/>
    <w:rsid w:val="008D2C81"/>
    <w:rsid w:val="008D2CD1"/>
    <w:rsid w:val="008D3A35"/>
    <w:rsid w:val="008D4866"/>
    <w:rsid w:val="008D5C3D"/>
    <w:rsid w:val="008D645E"/>
    <w:rsid w:val="008D70EC"/>
    <w:rsid w:val="008E14C6"/>
    <w:rsid w:val="008E46C4"/>
    <w:rsid w:val="008E5AB6"/>
    <w:rsid w:val="008E6AE2"/>
    <w:rsid w:val="008E7306"/>
    <w:rsid w:val="008E7387"/>
    <w:rsid w:val="008E796E"/>
    <w:rsid w:val="008E7BED"/>
    <w:rsid w:val="008E7DB2"/>
    <w:rsid w:val="008F0157"/>
    <w:rsid w:val="008F020D"/>
    <w:rsid w:val="008F1EC0"/>
    <w:rsid w:val="008F2F1F"/>
    <w:rsid w:val="008F3054"/>
    <w:rsid w:val="008F3B48"/>
    <w:rsid w:val="008F552D"/>
    <w:rsid w:val="008F6332"/>
    <w:rsid w:val="008F673C"/>
    <w:rsid w:val="008F6F07"/>
    <w:rsid w:val="008F740A"/>
    <w:rsid w:val="009001AD"/>
    <w:rsid w:val="00900542"/>
    <w:rsid w:val="00900754"/>
    <w:rsid w:val="00900BCD"/>
    <w:rsid w:val="00900E43"/>
    <w:rsid w:val="0090365C"/>
    <w:rsid w:val="00904941"/>
    <w:rsid w:val="00904A27"/>
    <w:rsid w:val="00904BDE"/>
    <w:rsid w:val="00905898"/>
    <w:rsid w:val="009058FD"/>
    <w:rsid w:val="00905A0E"/>
    <w:rsid w:val="00906490"/>
    <w:rsid w:val="009064AD"/>
    <w:rsid w:val="00906792"/>
    <w:rsid w:val="0090771A"/>
    <w:rsid w:val="00911F9A"/>
    <w:rsid w:val="00914F3B"/>
    <w:rsid w:val="00915140"/>
    <w:rsid w:val="0091646E"/>
    <w:rsid w:val="00917094"/>
    <w:rsid w:val="00917735"/>
    <w:rsid w:val="00920611"/>
    <w:rsid w:val="00920716"/>
    <w:rsid w:val="00920EBC"/>
    <w:rsid w:val="0092157F"/>
    <w:rsid w:val="00921C4A"/>
    <w:rsid w:val="009222EE"/>
    <w:rsid w:val="0092283C"/>
    <w:rsid w:val="0092331E"/>
    <w:rsid w:val="0092342A"/>
    <w:rsid w:val="00924010"/>
    <w:rsid w:val="00924117"/>
    <w:rsid w:val="009254AB"/>
    <w:rsid w:val="00925E6C"/>
    <w:rsid w:val="00926C95"/>
    <w:rsid w:val="00926F9D"/>
    <w:rsid w:val="0092717A"/>
    <w:rsid w:val="00927451"/>
    <w:rsid w:val="00927EA9"/>
    <w:rsid w:val="009304CE"/>
    <w:rsid w:val="00931C9C"/>
    <w:rsid w:val="00933174"/>
    <w:rsid w:val="00936B7C"/>
    <w:rsid w:val="00937D58"/>
    <w:rsid w:val="009420E1"/>
    <w:rsid w:val="00942C99"/>
    <w:rsid w:val="00942DD9"/>
    <w:rsid w:val="00942F97"/>
    <w:rsid w:val="0094374F"/>
    <w:rsid w:val="00943AE8"/>
    <w:rsid w:val="0094466A"/>
    <w:rsid w:val="00945C37"/>
    <w:rsid w:val="0094778E"/>
    <w:rsid w:val="00951B45"/>
    <w:rsid w:val="00954400"/>
    <w:rsid w:val="009559A5"/>
    <w:rsid w:val="00955DCB"/>
    <w:rsid w:val="00956468"/>
    <w:rsid w:val="00956A2E"/>
    <w:rsid w:val="00956D25"/>
    <w:rsid w:val="00961BEE"/>
    <w:rsid w:val="00962B19"/>
    <w:rsid w:val="00964675"/>
    <w:rsid w:val="009657BB"/>
    <w:rsid w:val="00965C85"/>
    <w:rsid w:val="009702F8"/>
    <w:rsid w:val="00970636"/>
    <w:rsid w:val="009717FB"/>
    <w:rsid w:val="00971B19"/>
    <w:rsid w:val="00973017"/>
    <w:rsid w:val="0097519E"/>
    <w:rsid w:val="009772EC"/>
    <w:rsid w:val="0098054A"/>
    <w:rsid w:val="0098080C"/>
    <w:rsid w:val="00980A70"/>
    <w:rsid w:val="00985035"/>
    <w:rsid w:val="009854B2"/>
    <w:rsid w:val="00985B0F"/>
    <w:rsid w:val="00995159"/>
    <w:rsid w:val="009962FB"/>
    <w:rsid w:val="0099686B"/>
    <w:rsid w:val="00997426"/>
    <w:rsid w:val="009A0710"/>
    <w:rsid w:val="009A1766"/>
    <w:rsid w:val="009A314B"/>
    <w:rsid w:val="009A3DF9"/>
    <w:rsid w:val="009A5717"/>
    <w:rsid w:val="009A5F42"/>
    <w:rsid w:val="009A613B"/>
    <w:rsid w:val="009A6282"/>
    <w:rsid w:val="009A6637"/>
    <w:rsid w:val="009A69F6"/>
    <w:rsid w:val="009A7419"/>
    <w:rsid w:val="009A7BED"/>
    <w:rsid w:val="009B11AD"/>
    <w:rsid w:val="009B1813"/>
    <w:rsid w:val="009B2B8B"/>
    <w:rsid w:val="009B4AE3"/>
    <w:rsid w:val="009B574A"/>
    <w:rsid w:val="009B58C2"/>
    <w:rsid w:val="009B78F8"/>
    <w:rsid w:val="009B7B20"/>
    <w:rsid w:val="009C227F"/>
    <w:rsid w:val="009C2652"/>
    <w:rsid w:val="009C37E2"/>
    <w:rsid w:val="009C3A85"/>
    <w:rsid w:val="009C48DA"/>
    <w:rsid w:val="009C4F8B"/>
    <w:rsid w:val="009C6DF1"/>
    <w:rsid w:val="009C6FE6"/>
    <w:rsid w:val="009C7078"/>
    <w:rsid w:val="009C783E"/>
    <w:rsid w:val="009D0F7F"/>
    <w:rsid w:val="009D1EDA"/>
    <w:rsid w:val="009D21C1"/>
    <w:rsid w:val="009D2417"/>
    <w:rsid w:val="009D2454"/>
    <w:rsid w:val="009D3A72"/>
    <w:rsid w:val="009D61BB"/>
    <w:rsid w:val="009D61DB"/>
    <w:rsid w:val="009D71B8"/>
    <w:rsid w:val="009D7EFC"/>
    <w:rsid w:val="009E151D"/>
    <w:rsid w:val="009E158E"/>
    <w:rsid w:val="009E18D6"/>
    <w:rsid w:val="009E1E2A"/>
    <w:rsid w:val="009E21C9"/>
    <w:rsid w:val="009E2E57"/>
    <w:rsid w:val="009E49DC"/>
    <w:rsid w:val="009E586B"/>
    <w:rsid w:val="009E6923"/>
    <w:rsid w:val="009E75C1"/>
    <w:rsid w:val="009F013D"/>
    <w:rsid w:val="009F1426"/>
    <w:rsid w:val="009F315E"/>
    <w:rsid w:val="009F6032"/>
    <w:rsid w:val="009F6A71"/>
    <w:rsid w:val="009F7252"/>
    <w:rsid w:val="00A004E9"/>
    <w:rsid w:val="00A02226"/>
    <w:rsid w:val="00A02C88"/>
    <w:rsid w:val="00A05252"/>
    <w:rsid w:val="00A05CE9"/>
    <w:rsid w:val="00A06B26"/>
    <w:rsid w:val="00A07BDB"/>
    <w:rsid w:val="00A10B4B"/>
    <w:rsid w:val="00A12018"/>
    <w:rsid w:val="00A13900"/>
    <w:rsid w:val="00A13C17"/>
    <w:rsid w:val="00A152A7"/>
    <w:rsid w:val="00A15A9D"/>
    <w:rsid w:val="00A2000A"/>
    <w:rsid w:val="00A2112D"/>
    <w:rsid w:val="00A21A07"/>
    <w:rsid w:val="00A22002"/>
    <w:rsid w:val="00A220CE"/>
    <w:rsid w:val="00A22451"/>
    <w:rsid w:val="00A22861"/>
    <w:rsid w:val="00A23619"/>
    <w:rsid w:val="00A23A6A"/>
    <w:rsid w:val="00A242D0"/>
    <w:rsid w:val="00A2445E"/>
    <w:rsid w:val="00A24F78"/>
    <w:rsid w:val="00A25645"/>
    <w:rsid w:val="00A25DF1"/>
    <w:rsid w:val="00A26C47"/>
    <w:rsid w:val="00A273AC"/>
    <w:rsid w:val="00A27426"/>
    <w:rsid w:val="00A30CA1"/>
    <w:rsid w:val="00A31C7F"/>
    <w:rsid w:val="00A31D45"/>
    <w:rsid w:val="00A3222A"/>
    <w:rsid w:val="00A32B42"/>
    <w:rsid w:val="00A357F1"/>
    <w:rsid w:val="00A364F3"/>
    <w:rsid w:val="00A419B8"/>
    <w:rsid w:val="00A424D7"/>
    <w:rsid w:val="00A42B81"/>
    <w:rsid w:val="00A45177"/>
    <w:rsid w:val="00A46800"/>
    <w:rsid w:val="00A47F37"/>
    <w:rsid w:val="00A47FAA"/>
    <w:rsid w:val="00A503E4"/>
    <w:rsid w:val="00A51908"/>
    <w:rsid w:val="00A52224"/>
    <w:rsid w:val="00A531B6"/>
    <w:rsid w:val="00A535E4"/>
    <w:rsid w:val="00A56A12"/>
    <w:rsid w:val="00A574D7"/>
    <w:rsid w:val="00A60774"/>
    <w:rsid w:val="00A612B3"/>
    <w:rsid w:val="00A618B1"/>
    <w:rsid w:val="00A627C8"/>
    <w:rsid w:val="00A6443F"/>
    <w:rsid w:val="00A65391"/>
    <w:rsid w:val="00A65814"/>
    <w:rsid w:val="00A66644"/>
    <w:rsid w:val="00A67612"/>
    <w:rsid w:val="00A7038F"/>
    <w:rsid w:val="00A739EC"/>
    <w:rsid w:val="00A7453F"/>
    <w:rsid w:val="00A74803"/>
    <w:rsid w:val="00A80444"/>
    <w:rsid w:val="00A81165"/>
    <w:rsid w:val="00A85F8B"/>
    <w:rsid w:val="00A903E4"/>
    <w:rsid w:val="00A9228B"/>
    <w:rsid w:val="00A92879"/>
    <w:rsid w:val="00A93473"/>
    <w:rsid w:val="00A938F7"/>
    <w:rsid w:val="00A95DF5"/>
    <w:rsid w:val="00A95E1A"/>
    <w:rsid w:val="00A97446"/>
    <w:rsid w:val="00A977CF"/>
    <w:rsid w:val="00AA091C"/>
    <w:rsid w:val="00AA1A62"/>
    <w:rsid w:val="00AA219A"/>
    <w:rsid w:val="00AA2F4D"/>
    <w:rsid w:val="00AA42B8"/>
    <w:rsid w:val="00AA5531"/>
    <w:rsid w:val="00AA6D5E"/>
    <w:rsid w:val="00AB0898"/>
    <w:rsid w:val="00AB1B7F"/>
    <w:rsid w:val="00AB2253"/>
    <w:rsid w:val="00AB314A"/>
    <w:rsid w:val="00AB319D"/>
    <w:rsid w:val="00AB552B"/>
    <w:rsid w:val="00AB6514"/>
    <w:rsid w:val="00AB7430"/>
    <w:rsid w:val="00AC390A"/>
    <w:rsid w:val="00AC5098"/>
    <w:rsid w:val="00AC526E"/>
    <w:rsid w:val="00AC63DD"/>
    <w:rsid w:val="00AC66DE"/>
    <w:rsid w:val="00AC6DEB"/>
    <w:rsid w:val="00AD0154"/>
    <w:rsid w:val="00AD15E0"/>
    <w:rsid w:val="00AD220D"/>
    <w:rsid w:val="00AD26A6"/>
    <w:rsid w:val="00AD2CB5"/>
    <w:rsid w:val="00AD3493"/>
    <w:rsid w:val="00AD3798"/>
    <w:rsid w:val="00AD3E30"/>
    <w:rsid w:val="00AD66DD"/>
    <w:rsid w:val="00AD78CB"/>
    <w:rsid w:val="00AE0991"/>
    <w:rsid w:val="00AE0D88"/>
    <w:rsid w:val="00AE3700"/>
    <w:rsid w:val="00AE4CAA"/>
    <w:rsid w:val="00AE4E3B"/>
    <w:rsid w:val="00AE54E7"/>
    <w:rsid w:val="00AE5EEE"/>
    <w:rsid w:val="00AE6CCE"/>
    <w:rsid w:val="00AE7155"/>
    <w:rsid w:val="00AE7507"/>
    <w:rsid w:val="00AE78AF"/>
    <w:rsid w:val="00AF0230"/>
    <w:rsid w:val="00AF0B9A"/>
    <w:rsid w:val="00AF162D"/>
    <w:rsid w:val="00AF29E3"/>
    <w:rsid w:val="00AF3D54"/>
    <w:rsid w:val="00AF4B45"/>
    <w:rsid w:val="00AF5013"/>
    <w:rsid w:val="00AF5C72"/>
    <w:rsid w:val="00B00240"/>
    <w:rsid w:val="00B0058F"/>
    <w:rsid w:val="00B01262"/>
    <w:rsid w:val="00B043A9"/>
    <w:rsid w:val="00B05D7D"/>
    <w:rsid w:val="00B0619A"/>
    <w:rsid w:val="00B07F4C"/>
    <w:rsid w:val="00B10F5E"/>
    <w:rsid w:val="00B13674"/>
    <w:rsid w:val="00B16D26"/>
    <w:rsid w:val="00B172FA"/>
    <w:rsid w:val="00B209E0"/>
    <w:rsid w:val="00B20B6C"/>
    <w:rsid w:val="00B2203C"/>
    <w:rsid w:val="00B23E10"/>
    <w:rsid w:val="00B23F18"/>
    <w:rsid w:val="00B2522E"/>
    <w:rsid w:val="00B263E6"/>
    <w:rsid w:val="00B26A1D"/>
    <w:rsid w:val="00B2783D"/>
    <w:rsid w:val="00B30012"/>
    <w:rsid w:val="00B30F0D"/>
    <w:rsid w:val="00B317E9"/>
    <w:rsid w:val="00B319B1"/>
    <w:rsid w:val="00B31A6A"/>
    <w:rsid w:val="00B336EC"/>
    <w:rsid w:val="00B33D8E"/>
    <w:rsid w:val="00B33DCB"/>
    <w:rsid w:val="00B35893"/>
    <w:rsid w:val="00B359CE"/>
    <w:rsid w:val="00B35A63"/>
    <w:rsid w:val="00B35FEA"/>
    <w:rsid w:val="00B36C1D"/>
    <w:rsid w:val="00B3772E"/>
    <w:rsid w:val="00B40843"/>
    <w:rsid w:val="00B40E18"/>
    <w:rsid w:val="00B41930"/>
    <w:rsid w:val="00B4201B"/>
    <w:rsid w:val="00B46E8D"/>
    <w:rsid w:val="00B50286"/>
    <w:rsid w:val="00B51847"/>
    <w:rsid w:val="00B51E80"/>
    <w:rsid w:val="00B53CF5"/>
    <w:rsid w:val="00B54438"/>
    <w:rsid w:val="00B54958"/>
    <w:rsid w:val="00B5546E"/>
    <w:rsid w:val="00B56A37"/>
    <w:rsid w:val="00B574D9"/>
    <w:rsid w:val="00B57DE6"/>
    <w:rsid w:val="00B60A44"/>
    <w:rsid w:val="00B61181"/>
    <w:rsid w:val="00B6295E"/>
    <w:rsid w:val="00B63FD1"/>
    <w:rsid w:val="00B641E8"/>
    <w:rsid w:val="00B64980"/>
    <w:rsid w:val="00B65B1D"/>
    <w:rsid w:val="00B67D52"/>
    <w:rsid w:val="00B712EE"/>
    <w:rsid w:val="00B714A9"/>
    <w:rsid w:val="00B71702"/>
    <w:rsid w:val="00B739C4"/>
    <w:rsid w:val="00B74D38"/>
    <w:rsid w:val="00B751AC"/>
    <w:rsid w:val="00B77A0D"/>
    <w:rsid w:val="00B80379"/>
    <w:rsid w:val="00B8128D"/>
    <w:rsid w:val="00B8133B"/>
    <w:rsid w:val="00B8246C"/>
    <w:rsid w:val="00B83C37"/>
    <w:rsid w:val="00B8430B"/>
    <w:rsid w:val="00B846A4"/>
    <w:rsid w:val="00B86746"/>
    <w:rsid w:val="00B86BA4"/>
    <w:rsid w:val="00B8738A"/>
    <w:rsid w:val="00B9239F"/>
    <w:rsid w:val="00B95DD0"/>
    <w:rsid w:val="00B96576"/>
    <w:rsid w:val="00B96687"/>
    <w:rsid w:val="00B97618"/>
    <w:rsid w:val="00B97C82"/>
    <w:rsid w:val="00B97D40"/>
    <w:rsid w:val="00BA00CD"/>
    <w:rsid w:val="00BA203F"/>
    <w:rsid w:val="00BA3614"/>
    <w:rsid w:val="00BA3F6B"/>
    <w:rsid w:val="00BA61E8"/>
    <w:rsid w:val="00BA77C1"/>
    <w:rsid w:val="00BB1587"/>
    <w:rsid w:val="00BB1654"/>
    <w:rsid w:val="00BB3340"/>
    <w:rsid w:val="00BB4C0D"/>
    <w:rsid w:val="00BB4FC4"/>
    <w:rsid w:val="00BB61B9"/>
    <w:rsid w:val="00BB7720"/>
    <w:rsid w:val="00BB773E"/>
    <w:rsid w:val="00BB7DE8"/>
    <w:rsid w:val="00BC1A3E"/>
    <w:rsid w:val="00BC37CC"/>
    <w:rsid w:val="00BC3C2D"/>
    <w:rsid w:val="00BC3FC8"/>
    <w:rsid w:val="00BC4057"/>
    <w:rsid w:val="00BC4768"/>
    <w:rsid w:val="00BC4C61"/>
    <w:rsid w:val="00BC58C1"/>
    <w:rsid w:val="00BC60EB"/>
    <w:rsid w:val="00BC6CF0"/>
    <w:rsid w:val="00BD0955"/>
    <w:rsid w:val="00BD0C14"/>
    <w:rsid w:val="00BD0FC0"/>
    <w:rsid w:val="00BD15F6"/>
    <w:rsid w:val="00BD21C2"/>
    <w:rsid w:val="00BD2AEF"/>
    <w:rsid w:val="00BD3172"/>
    <w:rsid w:val="00BD5A01"/>
    <w:rsid w:val="00BD5F9E"/>
    <w:rsid w:val="00BD5FFF"/>
    <w:rsid w:val="00BE117F"/>
    <w:rsid w:val="00BE1A8D"/>
    <w:rsid w:val="00BE1C88"/>
    <w:rsid w:val="00BE30B4"/>
    <w:rsid w:val="00BE3402"/>
    <w:rsid w:val="00BE3D6C"/>
    <w:rsid w:val="00BE4262"/>
    <w:rsid w:val="00BE48CD"/>
    <w:rsid w:val="00BE4DC3"/>
    <w:rsid w:val="00BE7AE4"/>
    <w:rsid w:val="00BF0A4C"/>
    <w:rsid w:val="00BF11DA"/>
    <w:rsid w:val="00BF1788"/>
    <w:rsid w:val="00BF1B52"/>
    <w:rsid w:val="00BF22EE"/>
    <w:rsid w:val="00BF2CE2"/>
    <w:rsid w:val="00BF401C"/>
    <w:rsid w:val="00BF7DC0"/>
    <w:rsid w:val="00C02148"/>
    <w:rsid w:val="00C02AD2"/>
    <w:rsid w:val="00C04217"/>
    <w:rsid w:val="00C04691"/>
    <w:rsid w:val="00C057DC"/>
    <w:rsid w:val="00C10336"/>
    <w:rsid w:val="00C10F88"/>
    <w:rsid w:val="00C121D7"/>
    <w:rsid w:val="00C12AFA"/>
    <w:rsid w:val="00C12BAC"/>
    <w:rsid w:val="00C13C31"/>
    <w:rsid w:val="00C13C93"/>
    <w:rsid w:val="00C147F9"/>
    <w:rsid w:val="00C154BA"/>
    <w:rsid w:val="00C15AF3"/>
    <w:rsid w:val="00C15C71"/>
    <w:rsid w:val="00C15EAC"/>
    <w:rsid w:val="00C1663A"/>
    <w:rsid w:val="00C17497"/>
    <w:rsid w:val="00C17C2E"/>
    <w:rsid w:val="00C200CC"/>
    <w:rsid w:val="00C215E0"/>
    <w:rsid w:val="00C21D3F"/>
    <w:rsid w:val="00C2218D"/>
    <w:rsid w:val="00C2327A"/>
    <w:rsid w:val="00C23DD4"/>
    <w:rsid w:val="00C24FAF"/>
    <w:rsid w:val="00C277BE"/>
    <w:rsid w:val="00C30710"/>
    <w:rsid w:val="00C32086"/>
    <w:rsid w:val="00C32EFD"/>
    <w:rsid w:val="00C3464A"/>
    <w:rsid w:val="00C34E1F"/>
    <w:rsid w:val="00C36606"/>
    <w:rsid w:val="00C36DF6"/>
    <w:rsid w:val="00C42236"/>
    <w:rsid w:val="00C42CE1"/>
    <w:rsid w:val="00C45E1E"/>
    <w:rsid w:val="00C46AFD"/>
    <w:rsid w:val="00C46CFC"/>
    <w:rsid w:val="00C5293E"/>
    <w:rsid w:val="00C536FB"/>
    <w:rsid w:val="00C53A7C"/>
    <w:rsid w:val="00C542D5"/>
    <w:rsid w:val="00C54C9E"/>
    <w:rsid w:val="00C54DB2"/>
    <w:rsid w:val="00C60AED"/>
    <w:rsid w:val="00C60D3D"/>
    <w:rsid w:val="00C60E30"/>
    <w:rsid w:val="00C61262"/>
    <w:rsid w:val="00C61CF0"/>
    <w:rsid w:val="00C61F89"/>
    <w:rsid w:val="00C6232D"/>
    <w:rsid w:val="00C62739"/>
    <w:rsid w:val="00C63741"/>
    <w:rsid w:val="00C645CB"/>
    <w:rsid w:val="00C66475"/>
    <w:rsid w:val="00C67CCA"/>
    <w:rsid w:val="00C700B4"/>
    <w:rsid w:val="00C70B19"/>
    <w:rsid w:val="00C7149F"/>
    <w:rsid w:val="00C7174F"/>
    <w:rsid w:val="00C72624"/>
    <w:rsid w:val="00C726A9"/>
    <w:rsid w:val="00C726C1"/>
    <w:rsid w:val="00C72953"/>
    <w:rsid w:val="00C73A6B"/>
    <w:rsid w:val="00C74C3D"/>
    <w:rsid w:val="00C771B4"/>
    <w:rsid w:val="00C818E5"/>
    <w:rsid w:val="00C82FFD"/>
    <w:rsid w:val="00C84C0D"/>
    <w:rsid w:val="00C8616A"/>
    <w:rsid w:val="00C86C2D"/>
    <w:rsid w:val="00C8795A"/>
    <w:rsid w:val="00C9057B"/>
    <w:rsid w:val="00C90F62"/>
    <w:rsid w:val="00C91CBA"/>
    <w:rsid w:val="00C925C2"/>
    <w:rsid w:val="00C9380D"/>
    <w:rsid w:val="00CA1F8F"/>
    <w:rsid w:val="00CA28E7"/>
    <w:rsid w:val="00CA3546"/>
    <w:rsid w:val="00CA368F"/>
    <w:rsid w:val="00CA3747"/>
    <w:rsid w:val="00CA3FB7"/>
    <w:rsid w:val="00CA4D35"/>
    <w:rsid w:val="00CA73E8"/>
    <w:rsid w:val="00CA76E9"/>
    <w:rsid w:val="00CA7783"/>
    <w:rsid w:val="00CA7F6D"/>
    <w:rsid w:val="00CB0E12"/>
    <w:rsid w:val="00CB0F8D"/>
    <w:rsid w:val="00CB28F5"/>
    <w:rsid w:val="00CB2CB6"/>
    <w:rsid w:val="00CB2CDE"/>
    <w:rsid w:val="00CB3705"/>
    <w:rsid w:val="00CB3778"/>
    <w:rsid w:val="00CB3D2F"/>
    <w:rsid w:val="00CB4931"/>
    <w:rsid w:val="00CB4D62"/>
    <w:rsid w:val="00CB4EA4"/>
    <w:rsid w:val="00CB6737"/>
    <w:rsid w:val="00CB6CE6"/>
    <w:rsid w:val="00CC020D"/>
    <w:rsid w:val="00CC08F7"/>
    <w:rsid w:val="00CC160D"/>
    <w:rsid w:val="00CC24BA"/>
    <w:rsid w:val="00CC31A9"/>
    <w:rsid w:val="00CC3DE1"/>
    <w:rsid w:val="00CC3F8F"/>
    <w:rsid w:val="00CC4946"/>
    <w:rsid w:val="00CC5DE0"/>
    <w:rsid w:val="00CC6AF7"/>
    <w:rsid w:val="00CC6F5F"/>
    <w:rsid w:val="00CC7216"/>
    <w:rsid w:val="00CC7603"/>
    <w:rsid w:val="00CC77CE"/>
    <w:rsid w:val="00CC7F07"/>
    <w:rsid w:val="00CD060E"/>
    <w:rsid w:val="00CD2359"/>
    <w:rsid w:val="00CD3B44"/>
    <w:rsid w:val="00CD5579"/>
    <w:rsid w:val="00CD6132"/>
    <w:rsid w:val="00CD771C"/>
    <w:rsid w:val="00CE1129"/>
    <w:rsid w:val="00CE1B7C"/>
    <w:rsid w:val="00CE3171"/>
    <w:rsid w:val="00CE3323"/>
    <w:rsid w:val="00CE4A5B"/>
    <w:rsid w:val="00CE4FB4"/>
    <w:rsid w:val="00CE6E74"/>
    <w:rsid w:val="00CF04DD"/>
    <w:rsid w:val="00CF112B"/>
    <w:rsid w:val="00CF1235"/>
    <w:rsid w:val="00CF23F8"/>
    <w:rsid w:val="00CF3140"/>
    <w:rsid w:val="00CF42AF"/>
    <w:rsid w:val="00CF47B6"/>
    <w:rsid w:val="00CF50B0"/>
    <w:rsid w:val="00CF54E4"/>
    <w:rsid w:val="00CF56DC"/>
    <w:rsid w:val="00CF6B3C"/>
    <w:rsid w:val="00D00E4B"/>
    <w:rsid w:val="00D01706"/>
    <w:rsid w:val="00D01E77"/>
    <w:rsid w:val="00D0274A"/>
    <w:rsid w:val="00D042F1"/>
    <w:rsid w:val="00D06056"/>
    <w:rsid w:val="00D06DF0"/>
    <w:rsid w:val="00D07543"/>
    <w:rsid w:val="00D07AA5"/>
    <w:rsid w:val="00D10049"/>
    <w:rsid w:val="00D13D51"/>
    <w:rsid w:val="00D14A4B"/>
    <w:rsid w:val="00D14F8E"/>
    <w:rsid w:val="00D16A07"/>
    <w:rsid w:val="00D16B58"/>
    <w:rsid w:val="00D17DDD"/>
    <w:rsid w:val="00D210D7"/>
    <w:rsid w:val="00D234F6"/>
    <w:rsid w:val="00D23508"/>
    <w:rsid w:val="00D235E4"/>
    <w:rsid w:val="00D24672"/>
    <w:rsid w:val="00D260F8"/>
    <w:rsid w:val="00D26D43"/>
    <w:rsid w:val="00D26D4A"/>
    <w:rsid w:val="00D31BAA"/>
    <w:rsid w:val="00D31D3D"/>
    <w:rsid w:val="00D31D96"/>
    <w:rsid w:val="00D321CC"/>
    <w:rsid w:val="00D34438"/>
    <w:rsid w:val="00D34F7D"/>
    <w:rsid w:val="00D40335"/>
    <w:rsid w:val="00D42BBF"/>
    <w:rsid w:val="00D42EDF"/>
    <w:rsid w:val="00D431CE"/>
    <w:rsid w:val="00D43E9F"/>
    <w:rsid w:val="00D4580F"/>
    <w:rsid w:val="00D4615A"/>
    <w:rsid w:val="00D46607"/>
    <w:rsid w:val="00D46DBF"/>
    <w:rsid w:val="00D477AD"/>
    <w:rsid w:val="00D47FD1"/>
    <w:rsid w:val="00D5056B"/>
    <w:rsid w:val="00D50BE3"/>
    <w:rsid w:val="00D52B93"/>
    <w:rsid w:val="00D5449F"/>
    <w:rsid w:val="00D54971"/>
    <w:rsid w:val="00D54F48"/>
    <w:rsid w:val="00D54FE1"/>
    <w:rsid w:val="00D55181"/>
    <w:rsid w:val="00D55EC5"/>
    <w:rsid w:val="00D56F5B"/>
    <w:rsid w:val="00D5702E"/>
    <w:rsid w:val="00D57626"/>
    <w:rsid w:val="00D57EE5"/>
    <w:rsid w:val="00D60EFA"/>
    <w:rsid w:val="00D61A58"/>
    <w:rsid w:val="00D61EEC"/>
    <w:rsid w:val="00D62A11"/>
    <w:rsid w:val="00D62BDA"/>
    <w:rsid w:val="00D62E61"/>
    <w:rsid w:val="00D63B35"/>
    <w:rsid w:val="00D63FC9"/>
    <w:rsid w:val="00D643E6"/>
    <w:rsid w:val="00D6493E"/>
    <w:rsid w:val="00D66DFD"/>
    <w:rsid w:val="00D704F0"/>
    <w:rsid w:val="00D70949"/>
    <w:rsid w:val="00D71938"/>
    <w:rsid w:val="00D7218B"/>
    <w:rsid w:val="00D72819"/>
    <w:rsid w:val="00D74E1D"/>
    <w:rsid w:val="00D756AC"/>
    <w:rsid w:val="00D7595A"/>
    <w:rsid w:val="00D81326"/>
    <w:rsid w:val="00D8221B"/>
    <w:rsid w:val="00D82860"/>
    <w:rsid w:val="00D83066"/>
    <w:rsid w:val="00D8325E"/>
    <w:rsid w:val="00D83459"/>
    <w:rsid w:val="00D8644A"/>
    <w:rsid w:val="00D872B8"/>
    <w:rsid w:val="00D90671"/>
    <w:rsid w:val="00D918C6"/>
    <w:rsid w:val="00D91BE3"/>
    <w:rsid w:val="00D92C78"/>
    <w:rsid w:val="00DA1079"/>
    <w:rsid w:val="00DA11D1"/>
    <w:rsid w:val="00DA77E0"/>
    <w:rsid w:val="00DA794A"/>
    <w:rsid w:val="00DA7B9D"/>
    <w:rsid w:val="00DB11C9"/>
    <w:rsid w:val="00DB1797"/>
    <w:rsid w:val="00DB1980"/>
    <w:rsid w:val="00DB4079"/>
    <w:rsid w:val="00DB45E9"/>
    <w:rsid w:val="00DB583A"/>
    <w:rsid w:val="00DB7F28"/>
    <w:rsid w:val="00DC0963"/>
    <w:rsid w:val="00DC09A5"/>
    <w:rsid w:val="00DC0FE8"/>
    <w:rsid w:val="00DC3411"/>
    <w:rsid w:val="00DC49AD"/>
    <w:rsid w:val="00DC5E56"/>
    <w:rsid w:val="00DC5FEF"/>
    <w:rsid w:val="00DC7577"/>
    <w:rsid w:val="00DC7667"/>
    <w:rsid w:val="00DC7991"/>
    <w:rsid w:val="00DD395C"/>
    <w:rsid w:val="00DD47C4"/>
    <w:rsid w:val="00DD782A"/>
    <w:rsid w:val="00DD7A30"/>
    <w:rsid w:val="00DE021F"/>
    <w:rsid w:val="00DE02CD"/>
    <w:rsid w:val="00DE1825"/>
    <w:rsid w:val="00DE18D7"/>
    <w:rsid w:val="00DE29DD"/>
    <w:rsid w:val="00DE4789"/>
    <w:rsid w:val="00DE493C"/>
    <w:rsid w:val="00DE6D10"/>
    <w:rsid w:val="00DE73A4"/>
    <w:rsid w:val="00DF06F8"/>
    <w:rsid w:val="00DF25E3"/>
    <w:rsid w:val="00DF289B"/>
    <w:rsid w:val="00DF2E01"/>
    <w:rsid w:val="00DF315C"/>
    <w:rsid w:val="00DF379C"/>
    <w:rsid w:val="00DF5468"/>
    <w:rsid w:val="00DF75A3"/>
    <w:rsid w:val="00E00D01"/>
    <w:rsid w:val="00E01729"/>
    <w:rsid w:val="00E0232A"/>
    <w:rsid w:val="00E0255F"/>
    <w:rsid w:val="00E03387"/>
    <w:rsid w:val="00E0374D"/>
    <w:rsid w:val="00E05750"/>
    <w:rsid w:val="00E0672F"/>
    <w:rsid w:val="00E06A87"/>
    <w:rsid w:val="00E074A1"/>
    <w:rsid w:val="00E105DB"/>
    <w:rsid w:val="00E1091B"/>
    <w:rsid w:val="00E10DB0"/>
    <w:rsid w:val="00E12448"/>
    <w:rsid w:val="00E14DF1"/>
    <w:rsid w:val="00E14FDF"/>
    <w:rsid w:val="00E15E59"/>
    <w:rsid w:val="00E1682F"/>
    <w:rsid w:val="00E16DD3"/>
    <w:rsid w:val="00E16FAF"/>
    <w:rsid w:val="00E17CC1"/>
    <w:rsid w:val="00E205F0"/>
    <w:rsid w:val="00E20926"/>
    <w:rsid w:val="00E20B5D"/>
    <w:rsid w:val="00E21FEE"/>
    <w:rsid w:val="00E2427E"/>
    <w:rsid w:val="00E24F1D"/>
    <w:rsid w:val="00E25C97"/>
    <w:rsid w:val="00E26A71"/>
    <w:rsid w:val="00E26B5C"/>
    <w:rsid w:val="00E3050A"/>
    <w:rsid w:val="00E3197E"/>
    <w:rsid w:val="00E31AFA"/>
    <w:rsid w:val="00E325CA"/>
    <w:rsid w:val="00E32707"/>
    <w:rsid w:val="00E366D1"/>
    <w:rsid w:val="00E37D26"/>
    <w:rsid w:val="00E40336"/>
    <w:rsid w:val="00E4072D"/>
    <w:rsid w:val="00E41D5E"/>
    <w:rsid w:val="00E42C97"/>
    <w:rsid w:val="00E43396"/>
    <w:rsid w:val="00E43D7C"/>
    <w:rsid w:val="00E4530B"/>
    <w:rsid w:val="00E45892"/>
    <w:rsid w:val="00E45A32"/>
    <w:rsid w:val="00E46A11"/>
    <w:rsid w:val="00E474D9"/>
    <w:rsid w:val="00E50343"/>
    <w:rsid w:val="00E50A27"/>
    <w:rsid w:val="00E5148E"/>
    <w:rsid w:val="00E51663"/>
    <w:rsid w:val="00E529E1"/>
    <w:rsid w:val="00E53776"/>
    <w:rsid w:val="00E541A5"/>
    <w:rsid w:val="00E550F9"/>
    <w:rsid w:val="00E56006"/>
    <w:rsid w:val="00E5611C"/>
    <w:rsid w:val="00E57AE9"/>
    <w:rsid w:val="00E602F6"/>
    <w:rsid w:val="00E60F9E"/>
    <w:rsid w:val="00E615D3"/>
    <w:rsid w:val="00E639F5"/>
    <w:rsid w:val="00E6792A"/>
    <w:rsid w:val="00E71A14"/>
    <w:rsid w:val="00E726E3"/>
    <w:rsid w:val="00E727B0"/>
    <w:rsid w:val="00E73745"/>
    <w:rsid w:val="00E746DF"/>
    <w:rsid w:val="00E748FF"/>
    <w:rsid w:val="00E74DC1"/>
    <w:rsid w:val="00E754E9"/>
    <w:rsid w:val="00E75607"/>
    <w:rsid w:val="00E75EFA"/>
    <w:rsid w:val="00E76773"/>
    <w:rsid w:val="00E81BAD"/>
    <w:rsid w:val="00E829C8"/>
    <w:rsid w:val="00E831F9"/>
    <w:rsid w:val="00E83E6A"/>
    <w:rsid w:val="00E84C35"/>
    <w:rsid w:val="00E85776"/>
    <w:rsid w:val="00E85E93"/>
    <w:rsid w:val="00E86866"/>
    <w:rsid w:val="00E907CF"/>
    <w:rsid w:val="00E92A3C"/>
    <w:rsid w:val="00E93730"/>
    <w:rsid w:val="00E93866"/>
    <w:rsid w:val="00E939CB"/>
    <w:rsid w:val="00E95F0D"/>
    <w:rsid w:val="00E96A77"/>
    <w:rsid w:val="00E97923"/>
    <w:rsid w:val="00EA0402"/>
    <w:rsid w:val="00EA2058"/>
    <w:rsid w:val="00EA331A"/>
    <w:rsid w:val="00EA346E"/>
    <w:rsid w:val="00EA4A90"/>
    <w:rsid w:val="00EA4E11"/>
    <w:rsid w:val="00EA5225"/>
    <w:rsid w:val="00EA6C1F"/>
    <w:rsid w:val="00EA6DA6"/>
    <w:rsid w:val="00EA7EC0"/>
    <w:rsid w:val="00EB0CFF"/>
    <w:rsid w:val="00EB0EF5"/>
    <w:rsid w:val="00EB1667"/>
    <w:rsid w:val="00EB1FF1"/>
    <w:rsid w:val="00EB285C"/>
    <w:rsid w:val="00EB5090"/>
    <w:rsid w:val="00EB6486"/>
    <w:rsid w:val="00EB6531"/>
    <w:rsid w:val="00EB6E36"/>
    <w:rsid w:val="00EB72E5"/>
    <w:rsid w:val="00EB7629"/>
    <w:rsid w:val="00EC0E89"/>
    <w:rsid w:val="00EC139A"/>
    <w:rsid w:val="00EC13B3"/>
    <w:rsid w:val="00EC1FB5"/>
    <w:rsid w:val="00EC28B6"/>
    <w:rsid w:val="00EC29B6"/>
    <w:rsid w:val="00EC2ED5"/>
    <w:rsid w:val="00EC3B90"/>
    <w:rsid w:val="00EC3D3B"/>
    <w:rsid w:val="00EC5FCA"/>
    <w:rsid w:val="00EC76BA"/>
    <w:rsid w:val="00ED0A20"/>
    <w:rsid w:val="00ED3DFE"/>
    <w:rsid w:val="00ED629C"/>
    <w:rsid w:val="00ED663C"/>
    <w:rsid w:val="00ED7CE2"/>
    <w:rsid w:val="00EE07BF"/>
    <w:rsid w:val="00EE128D"/>
    <w:rsid w:val="00EE1CD4"/>
    <w:rsid w:val="00EE2083"/>
    <w:rsid w:val="00EE2752"/>
    <w:rsid w:val="00EE3365"/>
    <w:rsid w:val="00EE3C99"/>
    <w:rsid w:val="00EE4217"/>
    <w:rsid w:val="00EE49BC"/>
    <w:rsid w:val="00EE4AF4"/>
    <w:rsid w:val="00EE57B9"/>
    <w:rsid w:val="00EE59DF"/>
    <w:rsid w:val="00EE7C0E"/>
    <w:rsid w:val="00EF1201"/>
    <w:rsid w:val="00EF1E72"/>
    <w:rsid w:val="00EF20D3"/>
    <w:rsid w:val="00EF2F2F"/>
    <w:rsid w:val="00EF5CA6"/>
    <w:rsid w:val="00EF6784"/>
    <w:rsid w:val="00EF6B12"/>
    <w:rsid w:val="00EF6B47"/>
    <w:rsid w:val="00F002B3"/>
    <w:rsid w:val="00F00B3C"/>
    <w:rsid w:val="00F00CC9"/>
    <w:rsid w:val="00F01B25"/>
    <w:rsid w:val="00F01EF8"/>
    <w:rsid w:val="00F02DD3"/>
    <w:rsid w:val="00F02DE2"/>
    <w:rsid w:val="00F039BD"/>
    <w:rsid w:val="00F04F82"/>
    <w:rsid w:val="00F04FEA"/>
    <w:rsid w:val="00F05100"/>
    <w:rsid w:val="00F0650A"/>
    <w:rsid w:val="00F072B7"/>
    <w:rsid w:val="00F075B0"/>
    <w:rsid w:val="00F07C79"/>
    <w:rsid w:val="00F10B04"/>
    <w:rsid w:val="00F114F6"/>
    <w:rsid w:val="00F11C65"/>
    <w:rsid w:val="00F13459"/>
    <w:rsid w:val="00F13CCB"/>
    <w:rsid w:val="00F16DF0"/>
    <w:rsid w:val="00F17046"/>
    <w:rsid w:val="00F172AB"/>
    <w:rsid w:val="00F20A2B"/>
    <w:rsid w:val="00F22AC3"/>
    <w:rsid w:val="00F239DB"/>
    <w:rsid w:val="00F25C3C"/>
    <w:rsid w:val="00F26197"/>
    <w:rsid w:val="00F2747F"/>
    <w:rsid w:val="00F2757A"/>
    <w:rsid w:val="00F27D77"/>
    <w:rsid w:val="00F30EC3"/>
    <w:rsid w:val="00F31014"/>
    <w:rsid w:val="00F31A70"/>
    <w:rsid w:val="00F31EE0"/>
    <w:rsid w:val="00F33112"/>
    <w:rsid w:val="00F33AF7"/>
    <w:rsid w:val="00F3535D"/>
    <w:rsid w:val="00F357F3"/>
    <w:rsid w:val="00F36631"/>
    <w:rsid w:val="00F36E44"/>
    <w:rsid w:val="00F40286"/>
    <w:rsid w:val="00F40C0C"/>
    <w:rsid w:val="00F414A3"/>
    <w:rsid w:val="00F4180F"/>
    <w:rsid w:val="00F42457"/>
    <w:rsid w:val="00F428F0"/>
    <w:rsid w:val="00F42BB9"/>
    <w:rsid w:val="00F44636"/>
    <w:rsid w:val="00F446F0"/>
    <w:rsid w:val="00F451A7"/>
    <w:rsid w:val="00F463B0"/>
    <w:rsid w:val="00F52DE2"/>
    <w:rsid w:val="00F531F7"/>
    <w:rsid w:val="00F53E79"/>
    <w:rsid w:val="00F55DF1"/>
    <w:rsid w:val="00F561EF"/>
    <w:rsid w:val="00F56F91"/>
    <w:rsid w:val="00F616CA"/>
    <w:rsid w:val="00F622C3"/>
    <w:rsid w:val="00F62560"/>
    <w:rsid w:val="00F64369"/>
    <w:rsid w:val="00F64454"/>
    <w:rsid w:val="00F65349"/>
    <w:rsid w:val="00F666B5"/>
    <w:rsid w:val="00F66880"/>
    <w:rsid w:val="00F66B71"/>
    <w:rsid w:val="00F66C25"/>
    <w:rsid w:val="00F7236D"/>
    <w:rsid w:val="00F73274"/>
    <w:rsid w:val="00F738C6"/>
    <w:rsid w:val="00F7498A"/>
    <w:rsid w:val="00F76D3A"/>
    <w:rsid w:val="00F77190"/>
    <w:rsid w:val="00F775BD"/>
    <w:rsid w:val="00F77D9C"/>
    <w:rsid w:val="00F816AB"/>
    <w:rsid w:val="00F81FFC"/>
    <w:rsid w:val="00F825CD"/>
    <w:rsid w:val="00F830B9"/>
    <w:rsid w:val="00F83C8B"/>
    <w:rsid w:val="00F83E3A"/>
    <w:rsid w:val="00F85312"/>
    <w:rsid w:val="00F8762E"/>
    <w:rsid w:val="00F87FCD"/>
    <w:rsid w:val="00F91FA6"/>
    <w:rsid w:val="00F92D41"/>
    <w:rsid w:val="00F936EF"/>
    <w:rsid w:val="00F94147"/>
    <w:rsid w:val="00F94AB1"/>
    <w:rsid w:val="00F95030"/>
    <w:rsid w:val="00F951B6"/>
    <w:rsid w:val="00F9528B"/>
    <w:rsid w:val="00F95A3B"/>
    <w:rsid w:val="00F95CB5"/>
    <w:rsid w:val="00F969DE"/>
    <w:rsid w:val="00F97859"/>
    <w:rsid w:val="00FA0364"/>
    <w:rsid w:val="00FA1550"/>
    <w:rsid w:val="00FA30C8"/>
    <w:rsid w:val="00FA3C97"/>
    <w:rsid w:val="00FA4508"/>
    <w:rsid w:val="00FA45DA"/>
    <w:rsid w:val="00FA6470"/>
    <w:rsid w:val="00FA6C48"/>
    <w:rsid w:val="00FA6D70"/>
    <w:rsid w:val="00FA722F"/>
    <w:rsid w:val="00FA7BBF"/>
    <w:rsid w:val="00FB01A7"/>
    <w:rsid w:val="00FB09DC"/>
    <w:rsid w:val="00FB111A"/>
    <w:rsid w:val="00FB185F"/>
    <w:rsid w:val="00FB2EA2"/>
    <w:rsid w:val="00FB4259"/>
    <w:rsid w:val="00FB63DB"/>
    <w:rsid w:val="00FB6A2A"/>
    <w:rsid w:val="00FB6A72"/>
    <w:rsid w:val="00FB6C9B"/>
    <w:rsid w:val="00FB71EC"/>
    <w:rsid w:val="00FB71F3"/>
    <w:rsid w:val="00FC0C3A"/>
    <w:rsid w:val="00FC2157"/>
    <w:rsid w:val="00FC348C"/>
    <w:rsid w:val="00FC36A7"/>
    <w:rsid w:val="00FC3771"/>
    <w:rsid w:val="00FC3A2B"/>
    <w:rsid w:val="00FC44EE"/>
    <w:rsid w:val="00FC6717"/>
    <w:rsid w:val="00FC699F"/>
    <w:rsid w:val="00FD030F"/>
    <w:rsid w:val="00FD0449"/>
    <w:rsid w:val="00FD097A"/>
    <w:rsid w:val="00FD18D1"/>
    <w:rsid w:val="00FD1FC0"/>
    <w:rsid w:val="00FD231D"/>
    <w:rsid w:val="00FD288A"/>
    <w:rsid w:val="00FD2E83"/>
    <w:rsid w:val="00FD3548"/>
    <w:rsid w:val="00FD3574"/>
    <w:rsid w:val="00FD3AB2"/>
    <w:rsid w:val="00FD3DE1"/>
    <w:rsid w:val="00FD4F0E"/>
    <w:rsid w:val="00FD60DC"/>
    <w:rsid w:val="00FD75BF"/>
    <w:rsid w:val="00FD776D"/>
    <w:rsid w:val="00FD7A15"/>
    <w:rsid w:val="00FE0340"/>
    <w:rsid w:val="00FE0A6F"/>
    <w:rsid w:val="00FE3148"/>
    <w:rsid w:val="00FE4625"/>
    <w:rsid w:val="00FE5CFF"/>
    <w:rsid w:val="00FE69EA"/>
    <w:rsid w:val="00FE7A95"/>
    <w:rsid w:val="00FF1652"/>
    <w:rsid w:val="00FF2118"/>
    <w:rsid w:val="00FF2774"/>
    <w:rsid w:val="00FF3403"/>
    <w:rsid w:val="00FF41F5"/>
    <w:rsid w:val="00FF42BF"/>
    <w:rsid w:val="00FF4A6C"/>
    <w:rsid w:val="00FF543B"/>
    <w:rsid w:val="00FF579B"/>
    <w:rsid w:val="00FF57E7"/>
    <w:rsid w:val="00FF5F18"/>
    <w:rsid w:val="00FF640E"/>
    <w:rsid w:val="00FF65B4"/>
    <w:rsid w:val="00FF68E4"/>
    <w:rsid w:val="00FF6B4E"/>
    <w:rsid w:val="00FF72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93569"/>
    <o:shapelayout v:ext="edit">
      <o:idmap v:ext="edit" data="1"/>
    </o:shapelayout>
  </w:shapeDefaults>
  <w:doNotEmbedSmartTags/>
  <w:decimalSymbol w:val="."/>
  <w:listSeparator w:val=","/>
  <w14:docId w14:val="0742BBF8"/>
  <w15:docId w15:val="{CB4F0D04-3F5B-4F46-9740-547A3BFE1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qFormat="1"/>
    <w:lsdException w:name="List Number" w:uiPriority="19"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semiHidden="1" w:unhideWhenUsed="1" w:qFormat="1"/>
    <w:lsdException w:name="List Bullet 3" w:uiPriority="1" w:semiHidden="1" w:unhideWhenUsed="1" w:qFormat="1"/>
    <w:lsdException w:name="List Bullet 4" w:uiPriority="1" w:semiHidden="1" w:unhideWhenUsed="1" w:qFormat="1"/>
    <w:lsdException w:name="List Bullet 5" w:uiPriority="1" w:semiHidden="1" w:unhideWhenUsed="1" w:qFormat="1"/>
    <w:lsdException w:name="List Number 2" w:uiPriority="19" w:semiHidden="1" w:unhideWhenUsed="1"/>
    <w:lsdException w:name="List Number 3" w:uiPriority="19" w:semiHidden="1" w:unhideWhenUsed="1"/>
    <w:lsdException w:name="List Number 4" w:uiPriority="19" w:semiHidden="1" w:unhideWhenUsed="1"/>
    <w:lsdException w:name="List Number 5" w:uiPriority="19" w:semiHidden="1" w:unhideWhenUsed="1"/>
    <w:lsdException w:name="Title" w:uiPriority="10" w:qFormat="1"/>
    <w:lsdException w:name="Closing" w:uiPriority="0" w:semiHidden="1" w:unhideWhenUsed="1" w:qFormat="1"/>
    <w:lsdException w:name="Signature" w:semiHidden="1" w:unhideWhenUsed="1"/>
    <w:lsdException w:name="Default Paragraph Font" w:uiPriority="1" w:semiHidden="1" w:unhideWhenUsed="1"/>
    <w:lsdException w:name="Body Text" w:uiPriority="1" w:semiHidden="1" w:unhideWhenUsed="1" w:qFormat="1"/>
    <w:lsdException w:name="Body Text Indent" w:uiPriority="0" w:semiHidden="1" w:unhideWhenUsed="1" w:qFormat="1"/>
    <w:lsdException w:name="List Continue" w:uiPriority="2" w:semiHidden="1" w:unhideWhenUsed="1" w:qFormat="1"/>
    <w:lsdException w:name="List Continue 2" w:uiPriority="2" w:semiHidden="1" w:unhideWhenUsed="1" w:qFormat="1"/>
    <w:lsdException w:name="List Continue 3" w:uiPriority="2" w:semiHidden="1" w:unhideWhenUsed="1" w:qFormat="1"/>
    <w:lsdException w:name="List Continue 4" w:uiPriority="2" w:semiHidden="1" w:unhideWhenUsed="1" w:qFormat="1"/>
    <w:lsdException w:name="List Continue 5" w:uiPriority="2" w:semiHidden="1" w:unhideWhenUsed="1" w:qFormat="1"/>
    <w:lsdException w:name="Message Header" w:semiHidden="1" w:unhideWhenUsed="1"/>
    <w:lsdException w:name="Subtitle" w:uiPriority="11" w:qFormat="1"/>
    <w:lsdException w:name="Salutation" w:uiPriority="9" w:semiHidden="1" w:unhideWhenUsed="1" w:qFormat="1"/>
    <w:lsdException w:name="Date" w:uiPriority="0" w:semiHidden="1" w:unhideWhenUsed="1"/>
    <w:lsdException w:name="Body Text First Indent" w:uiPriority="0" w:semiHidden="1" w:unhideWhenUsed="1" w:qFormat="1"/>
    <w:lsdException w:name="Body Text First Indent 2" w:semiHidden="1" w:unhideWhenUsed="1"/>
    <w:lsdException w:name="Note Heading" w:semiHidden="1" w:unhideWhenUsed="1"/>
    <w:lsdException w:name="Body Text 2" w:uiPriority="0" w:semiHidden="1" w:unhideWhenUsed="1" w:qFormat="1"/>
    <w:lsdException w:name="Body Text 3" w:uiPriority="0" w:semiHidden="1" w:unhideWhenUsed="1" w:qFormat="1"/>
    <w:lsdException w:name="Body Text Indent 2" w:uiPriority="0" w:semiHidden="1" w:unhideWhenUsed="1" w:qFormat="1"/>
    <w:lsdException w:name="Body Text Indent 3" w:uiPriority="0" w:semiHidden="1" w:unhideWhenUsed="1" w:qFormat="1"/>
    <w:lsdException w:name="Block Text" w:uiPriority="0"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8502A"/>
    <w:rPr>
      <w:sz w:val="22"/>
    </w:rPr>
  </w:style>
  <w:style w:type="paragraph" w:styleId="Heading1">
    <w:name w:val="heading 1"/>
    <w:basedOn w:val="Normal"/>
    <w:next w:val="Heading2"/>
    <w:link w:val="Heading1Char"/>
    <w:uiPriority w:val="1"/>
    <w:qFormat/>
    <w:rsid w:val="007443E5"/>
    <w:pPr>
      <w:keepLines/>
      <w:numPr>
        <w:numId w:val="27"/>
      </w:numPr>
      <w:spacing w:after="360"/>
      <w:jc w:val="center"/>
      <w:outlineLvl w:val="0"/>
    </w:pPr>
    <w:rPr>
      <w:rFonts w:eastAsiaTheme="majorEastAsia" w:cstheme="majorBidi"/>
      <w:b/>
      <w:bCs/>
      <w:caps/>
      <w:sz w:val="20"/>
      <w:szCs w:val="28"/>
    </w:rPr>
  </w:style>
  <w:style w:type="paragraph" w:styleId="Heading2">
    <w:name w:val="heading 2"/>
    <w:basedOn w:val="Normal"/>
    <w:next w:val="Heading3"/>
    <w:link w:val="Heading2Char"/>
    <w:uiPriority w:val="1"/>
    <w:qFormat/>
    <w:pPr>
      <w:numPr>
        <w:ilvl w:val="1"/>
        <w:numId w:val="27"/>
      </w:numPr>
      <w:spacing w:after="240"/>
      <w:jc w:val="both"/>
      <w:outlineLvl w:val="1"/>
    </w:pPr>
    <w:rPr>
      <w:rFonts w:eastAsiaTheme="majorEastAsia" w:cstheme="majorBidi"/>
      <w:b/>
      <w:bCs/>
      <w:szCs w:val="26"/>
    </w:rPr>
  </w:style>
  <w:style w:type="paragraph" w:styleId="Heading3">
    <w:name w:val="heading 3"/>
    <w:basedOn w:val="Normal"/>
    <w:link w:val="Heading3Char"/>
    <w:uiPriority w:val="1"/>
    <w:qFormat/>
    <w:rsid w:val="004D72DE"/>
    <w:pPr>
      <w:numPr>
        <w:ilvl w:val="2"/>
        <w:numId w:val="27"/>
      </w:numPr>
      <w:tabs>
        <w:tab w:val="left" w:pos="720"/>
      </w:tabs>
      <w:spacing w:after="240"/>
      <w:jc w:val="both"/>
      <w:outlineLvl w:val="2"/>
    </w:pPr>
    <w:rPr>
      <w:rFonts w:ascii="Times New Roman Bold" w:hAnsi="Times New Roman Bold" w:eastAsiaTheme="majorEastAsia" w:cstheme="majorBidi"/>
      <w:b/>
      <w:bCs/>
      <w:caps/>
      <w:sz w:val="20"/>
    </w:rPr>
  </w:style>
  <w:style w:type="paragraph" w:styleId="Heading4">
    <w:name w:val="heading 4"/>
    <w:basedOn w:val="Normal"/>
    <w:next w:val="BlockTextSglJIndent"/>
    <w:link w:val="Heading4Char"/>
    <w:uiPriority w:val="9"/>
    <w:qFormat/>
    <w:rsid w:val="004D72DE"/>
    <w:pPr>
      <w:numPr>
        <w:ilvl w:val="3"/>
        <w:numId w:val="27"/>
      </w:numPr>
      <w:tabs>
        <w:tab w:val="left" w:pos="720"/>
      </w:tabs>
      <w:spacing w:after="240"/>
      <w:jc w:val="both"/>
      <w:outlineLvl w:val="3"/>
    </w:pPr>
    <w:rPr>
      <w:rFonts w:eastAsiaTheme="majorEastAsia" w:cstheme="majorBidi"/>
      <w:bCs/>
      <w:iCs/>
      <w:sz w:val="20"/>
    </w:rPr>
  </w:style>
  <w:style w:type="paragraph" w:styleId="Heading5">
    <w:name w:val="heading 5"/>
    <w:basedOn w:val="Normal"/>
    <w:link w:val="Heading5Char"/>
    <w:uiPriority w:val="9"/>
    <w:qFormat/>
    <w:rsid w:val="0060161D"/>
    <w:pPr>
      <w:numPr>
        <w:ilvl w:val="4"/>
        <w:numId w:val="27"/>
      </w:numPr>
      <w:tabs>
        <w:tab w:val="left" w:pos="21600"/>
      </w:tabs>
      <w:spacing w:after="240"/>
      <w:jc w:val="both"/>
      <w:outlineLvl w:val="4"/>
    </w:pPr>
    <w:rPr>
      <w:rFonts w:eastAsiaTheme="majorEastAsia" w:cstheme="majorBidi"/>
      <w:sz w:val="20"/>
    </w:rPr>
  </w:style>
  <w:style w:type="paragraph" w:styleId="Heading6">
    <w:name w:val="heading 6"/>
    <w:basedOn w:val="Normal"/>
    <w:link w:val="Heading6Char"/>
    <w:uiPriority w:val="9"/>
    <w:qFormat/>
    <w:pPr>
      <w:numPr>
        <w:ilvl w:val="5"/>
        <w:numId w:val="27"/>
      </w:numPr>
      <w:tabs>
        <w:tab w:val="left" w:pos="2160"/>
      </w:tabs>
      <w:spacing w:after="240"/>
      <w:jc w:val="both"/>
      <w:outlineLvl w:val="5"/>
    </w:pPr>
    <w:rPr>
      <w:rFonts w:eastAsiaTheme="majorEastAsia" w:cstheme="majorBidi"/>
      <w:iCs/>
    </w:rPr>
  </w:style>
  <w:style w:type="paragraph" w:styleId="Heading7">
    <w:name w:val="heading 7"/>
    <w:basedOn w:val="Normal"/>
    <w:link w:val="Heading7Char"/>
    <w:uiPriority w:val="9"/>
    <w:qFormat/>
    <w:pPr>
      <w:numPr>
        <w:ilvl w:val="6"/>
        <w:numId w:val="27"/>
      </w:numPr>
      <w:tabs>
        <w:tab w:val="left" w:pos="2880"/>
      </w:tabs>
      <w:spacing w:after="240"/>
      <w:jc w:val="both"/>
      <w:outlineLvl w:val="6"/>
    </w:pPr>
    <w:rPr>
      <w:rFonts w:eastAsiaTheme="majorEastAsia" w:cstheme="majorBidi"/>
      <w:iCs/>
    </w:rPr>
  </w:style>
  <w:style w:type="paragraph" w:styleId="Heading8">
    <w:name w:val="heading 8"/>
    <w:basedOn w:val="Normal"/>
    <w:link w:val="Heading8Char"/>
    <w:uiPriority w:val="9"/>
    <w:qFormat/>
    <w:pPr>
      <w:numPr>
        <w:ilvl w:val="7"/>
        <w:numId w:val="27"/>
      </w:numPr>
      <w:tabs>
        <w:tab w:val="left" w:pos="3600"/>
      </w:tabs>
      <w:spacing w:after="240"/>
      <w:jc w:val="both"/>
      <w:outlineLvl w:val="7"/>
    </w:pPr>
    <w:rPr>
      <w:rFonts w:eastAsiaTheme="majorEastAsia" w:cstheme="majorBidi"/>
      <w:szCs w:val="20"/>
    </w:rPr>
  </w:style>
  <w:style w:type="paragraph" w:styleId="Heading9">
    <w:name w:val="heading 9"/>
    <w:basedOn w:val="Normal"/>
    <w:link w:val="Heading9Char"/>
    <w:uiPriority w:val="9"/>
    <w:qFormat/>
    <w:pPr>
      <w:numPr>
        <w:ilvl w:val="8"/>
        <w:numId w:val="27"/>
      </w:numPr>
      <w:tabs>
        <w:tab w:val="left" w:pos="6480"/>
      </w:tabs>
      <w:spacing w:after="240"/>
      <w:jc w:val="both"/>
      <w:outlineLvl w:val="8"/>
    </w:pPr>
    <w:rPr>
      <w:rFonts w:eastAsiaTheme="majorEastAsia" w:cstheme="majorBidi"/>
      <w:iCs/>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DocID" w:customStyle="1">
    <w:name w:val="DocID"/>
    <w:basedOn w:val="DefaultParagraphFont"/>
    <w:unhideWhenUsed/>
    <w:rPr>
      <w:sz w:val="14"/>
    </w:rPr>
  </w:style>
  <w:style w:type="paragraph" w:styleId="BalloonText">
    <w:name w:val="Balloon Text"/>
    <w:basedOn w:val="Normal"/>
    <w:link w:val="BalloonTextChar"/>
    <w:uiPriority w:val="99"/>
    <w:unhideWhenUsed/>
    <w:rPr>
      <w:rFonts w:ascii="Tahoma" w:hAnsi="Tahoma" w:cs="Tahoma"/>
      <w:sz w:val="16"/>
      <w:szCs w:val="16"/>
    </w:rPr>
  </w:style>
  <w:style w:type="character" w:styleId="BalloonTextChar" w:customStyle="1">
    <w:name w:val="Balloon Text Char"/>
    <w:basedOn w:val="DefaultParagraphFont"/>
    <w:link w:val="BalloonText"/>
    <w:uiPriority w:val="99"/>
    <w:rPr>
      <w:rFonts w:ascii="Tahoma" w:hAnsi="Tahoma" w:cs="Tahoma"/>
      <w:sz w:val="16"/>
      <w:szCs w:val="16"/>
    </w:rPr>
  </w:style>
  <w:style w:type="paragraph" w:styleId="Bibliography">
    <w:name w:val="Bibliography"/>
    <w:basedOn w:val="Normal"/>
    <w:next w:val="Normal"/>
    <w:uiPriority w:val="37"/>
    <w:semiHidden/>
    <w:unhideWhenUsed/>
  </w:style>
  <w:style w:type="paragraph" w:styleId="BlockText">
    <w:name w:val="Block Text"/>
    <w:basedOn w:val="Normal"/>
    <w:qFormat/>
    <w:pPr>
      <w:spacing w:line="480" w:lineRule="auto"/>
    </w:pPr>
    <w:rPr>
      <w:rFonts w:eastAsiaTheme="minorEastAsia"/>
      <w:iCs/>
    </w:rPr>
  </w:style>
  <w:style w:type="paragraph" w:styleId="BodyText">
    <w:name w:val="Body Text"/>
    <w:basedOn w:val="Normal"/>
    <w:link w:val="BodyTextChar"/>
    <w:uiPriority w:val="1"/>
    <w:qFormat/>
    <w:pPr>
      <w:spacing w:line="480" w:lineRule="auto"/>
      <w:ind w:firstLine="1440"/>
    </w:pPr>
  </w:style>
  <w:style w:type="character" w:styleId="BodyTextChar" w:customStyle="1">
    <w:name w:val="Body Text Char"/>
    <w:basedOn w:val="DefaultParagraphFont"/>
    <w:link w:val="BodyText"/>
    <w:uiPriority w:val="1"/>
  </w:style>
  <w:style w:type="paragraph" w:styleId="BodyText2">
    <w:name w:val="Body Text 2"/>
    <w:basedOn w:val="Normal"/>
    <w:link w:val="BodyText2Char"/>
    <w:qFormat/>
    <w:pPr>
      <w:spacing w:line="480" w:lineRule="auto"/>
      <w:ind w:firstLine="720"/>
    </w:pPr>
  </w:style>
  <w:style w:type="character" w:styleId="BodyText2Char" w:customStyle="1">
    <w:name w:val="Body Text 2 Char"/>
    <w:basedOn w:val="DefaultParagraphFont"/>
    <w:link w:val="BodyText2"/>
  </w:style>
  <w:style w:type="paragraph" w:styleId="BodyText3">
    <w:name w:val="Body Text 3"/>
    <w:basedOn w:val="Normal"/>
    <w:link w:val="BodyText3Char"/>
    <w:qFormat/>
    <w:pPr>
      <w:spacing w:line="360" w:lineRule="auto"/>
      <w:ind w:firstLine="1440"/>
    </w:pPr>
    <w:rPr>
      <w:sz w:val="16"/>
      <w:szCs w:val="16"/>
    </w:rPr>
  </w:style>
  <w:style w:type="character" w:styleId="BodyText3Char" w:customStyle="1">
    <w:name w:val="Body Text 3 Char"/>
    <w:basedOn w:val="DefaultParagraphFont"/>
    <w:link w:val="BodyText3"/>
    <w:rPr>
      <w:sz w:val="16"/>
      <w:szCs w:val="16"/>
    </w:rPr>
  </w:style>
  <w:style w:type="paragraph" w:styleId="BodyTextFirstIndent">
    <w:name w:val="Body Text First Indent"/>
    <w:basedOn w:val="BodyText"/>
    <w:link w:val="BodyTextFirstIndentChar"/>
    <w:qFormat/>
    <w:pPr>
      <w:spacing w:after="240" w:line="240" w:lineRule="auto"/>
      <w:ind w:firstLine="720"/>
    </w:pPr>
  </w:style>
  <w:style w:type="character" w:styleId="BodyTextFirstIndentChar" w:customStyle="1">
    <w:name w:val="Body Text First Indent Char"/>
    <w:basedOn w:val="BodyTextChar"/>
    <w:link w:val="BodyTextFirstIndent"/>
  </w:style>
  <w:style w:type="paragraph" w:styleId="BodyTextIndent">
    <w:name w:val="Body Text Indent"/>
    <w:basedOn w:val="Normal"/>
    <w:link w:val="BodyTextIndentChar"/>
    <w:qFormat/>
    <w:pPr>
      <w:spacing w:after="240"/>
      <w:ind w:left="720"/>
    </w:pPr>
  </w:style>
  <w:style w:type="character" w:styleId="BodyTextIndentChar" w:customStyle="1">
    <w:name w:val="Body Text Indent Char"/>
    <w:basedOn w:val="DefaultParagraphFont"/>
    <w:link w:val="BodyTextIndent"/>
  </w:style>
  <w:style w:type="paragraph" w:styleId="BodyTextFirstIndent2">
    <w:name w:val="Body Text First Indent 2"/>
    <w:basedOn w:val="BodyTextIndent"/>
    <w:link w:val="BodyTextFirstIndent2Char"/>
    <w:uiPriority w:val="99"/>
    <w:unhideWhenUsed/>
    <w:pPr>
      <w:ind w:firstLine="360"/>
    </w:pPr>
  </w:style>
  <w:style w:type="character" w:styleId="BodyTextFirstIndent2Char" w:customStyle="1">
    <w:name w:val="Body Text First Indent 2 Char"/>
    <w:basedOn w:val="BodyTextIndentChar"/>
    <w:link w:val="BodyTextFirstIndent2"/>
    <w:uiPriority w:val="99"/>
  </w:style>
  <w:style w:type="paragraph" w:styleId="BodyTextIndent2">
    <w:name w:val="Body Text Indent 2"/>
    <w:basedOn w:val="Normal"/>
    <w:link w:val="BodyTextIndent2Char"/>
    <w:qFormat/>
    <w:pPr>
      <w:spacing w:line="480" w:lineRule="auto"/>
      <w:ind w:left="720"/>
    </w:pPr>
  </w:style>
  <w:style w:type="character" w:styleId="BodyTextIndent2Char" w:customStyle="1">
    <w:name w:val="Body Text Indent 2 Char"/>
    <w:basedOn w:val="DefaultParagraphFont"/>
    <w:link w:val="BodyTextIndent2"/>
  </w:style>
  <w:style w:type="paragraph" w:styleId="BodyTextIndent3">
    <w:name w:val="Body Text Indent 3"/>
    <w:basedOn w:val="Normal"/>
    <w:link w:val="BodyTextIndent3Char"/>
    <w:qFormat/>
    <w:pPr>
      <w:spacing w:after="240"/>
      <w:ind w:left="720"/>
    </w:pPr>
    <w:rPr>
      <w:sz w:val="16"/>
      <w:szCs w:val="16"/>
    </w:rPr>
  </w:style>
  <w:style w:type="character" w:styleId="BodyTextIndent3Char" w:customStyle="1">
    <w:name w:val="Body Text Indent 3 Char"/>
    <w:basedOn w:val="DefaultParagraphFont"/>
    <w:link w:val="BodyTextIndent3"/>
    <w:rPr>
      <w:sz w:val="16"/>
      <w:szCs w:val="16"/>
    </w:rPr>
  </w:style>
  <w:style w:type="paragraph" w:styleId="Caption">
    <w:name w:val="caption"/>
    <w:basedOn w:val="Normal"/>
    <w:next w:val="Normal"/>
    <w:uiPriority w:val="35"/>
    <w:unhideWhenUsed/>
    <w:qFormat/>
    <w:rPr>
      <w:b/>
      <w:bCs/>
      <w:color w:val="4F81BD" w:themeColor="accent1"/>
      <w:sz w:val="18"/>
      <w:szCs w:val="18"/>
    </w:rPr>
  </w:style>
  <w:style w:type="paragraph" w:styleId="Closing">
    <w:name w:val="Closing"/>
    <w:basedOn w:val="Normal"/>
    <w:link w:val="ClosingChar"/>
    <w:qFormat/>
    <w:pPr>
      <w:spacing w:after="600"/>
      <w:ind w:left="4320"/>
    </w:pPr>
  </w:style>
  <w:style w:type="character" w:styleId="ClosingChar" w:customStyle="1">
    <w:name w:val="Closing Char"/>
    <w:basedOn w:val="DefaultParagraphFont"/>
    <w:link w:val="Closing"/>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unhideWhenUsed/>
    <w:rPr>
      <w:b/>
      <w:bCs/>
    </w:rPr>
  </w:style>
  <w:style w:type="character" w:styleId="CommentSubjectChar" w:customStyle="1">
    <w:name w:val="Comment Subject Char"/>
    <w:basedOn w:val="CommentTextChar"/>
    <w:link w:val="CommentSubject"/>
    <w:uiPriority w:val="99"/>
    <w:rPr>
      <w:b/>
      <w:bCs/>
      <w:sz w:val="20"/>
      <w:szCs w:val="20"/>
    </w:rPr>
  </w:style>
  <w:style w:type="paragraph" w:styleId="Date">
    <w:name w:val="Date"/>
    <w:basedOn w:val="Normal"/>
    <w:next w:val="Normal"/>
    <w:link w:val="DateChar"/>
    <w:pPr>
      <w:spacing w:after="240"/>
    </w:pPr>
  </w:style>
  <w:style w:type="character" w:styleId="DateChar" w:customStyle="1">
    <w:name w:val="Date Char"/>
    <w:basedOn w:val="DefaultParagraphFont"/>
    <w:link w:val="Date"/>
  </w:style>
  <w:style w:type="paragraph" w:styleId="DocumentMap">
    <w:name w:val="Document Map"/>
    <w:basedOn w:val="Normal"/>
    <w:link w:val="DocumentMapChar"/>
    <w:uiPriority w:val="99"/>
    <w:unhideWhenUsed/>
    <w:rPr>
      <w:rFonts w:ascii="Tahoma" w:hAnsi="Tahoma" w:cs="Tahoma"/>
      <w:sz w:val="16"/>
      <w:szCs w:val="16"/>
    </w:rPr>
  </w:style>
  <w:style w:type="character" w:styleId="DocumentMapChar" w:customStyle="1">
    <w:name w:val="Document Map Char"/>
    <w:basedOn w:val="DefaultParagraphFont"/>
    <w:link w:val="DocumentMap"/>
    <w:uiPriority w:val="99"/>
    <w:rPr>
      <w:rFonts w:ascii="Tahoma" w:hAnsi="Tahoma" w:cs="Tahoma"/>
      <w:sz w:val="16"/>
      <w:szCs w:val="16"/>
    </w:rPr>
  </w:style>
  <w:style w:type="paragraph" w:styleId="E-mailSignature">
    <w:name w:val="E-mail Signature"/>
    <w:basedOn w:val="Normal"/>
    <w:link w:val="E-mailSignatureChar"/>
    <w:uiPriority w:val="99"/>
    <w:unhideWhenUsed/>
  </w:style>
  <w:style w:type="character" w:styleId="E-mailSignatureChar" w:customStyle="1">
    <w:name w:val="E-mail Signature Char"/>
    <w:basedOn w:val="DefaultParagraphFont"/>
    <w:link w:val="E-mailSignature"/>
    <w:uiPriority w:val="99"/>
  </w:style>
  <w:style w:type="paragraph" w:styleId="EndnoteText">
    <w:name w:val="endnote text"/>
    <w:basedOn w:val="Normal"/>
    <w:next w:val="EndnoteTextMore"/>
    <w:link w:val="EndnoteTextChar"/>
    <w:uiPriority w:val="99"/>
    <w:unhideWhenUsed/>
    <w:qFormat/>
    <w:pPr>
      <w:spacing w:after="240"/>
      <w:ind w:left="720" w:hanging="720"/>
    </w:pPr>
    <w:rPr>
      <w:szCs w:val="20"/>
    </w:rPr>
  </w:style>
  <w:style w:type="character" w:styleId="EndnoteTextChar" w:customStyle="1">
    <w:name w:val="Endnote Text Char"/>
    <w:basedOn w:val="DefaultParagraphFont"/>
    <w:link w:val="EndnoteText"/>
    <w:uiPriority w:val="99"/>
    <w:rPr>
      <w:szCs w:val="20"/>
    </w:rPr>
  </w:style>
  <w:style w:type="paragraph" w:styleId="EnvelopeAddress">
    <w:name w:val="envelope address"/>
    <w:basedOn w:val="Normal"/>
    <w:uiPriority w:val="99"/>
    <w:unhideWhenUsed/>
    <w:qFormat/>
    <w:pPr>
      <w:framePr w:w="7920" w:h="1980" w:hSpace="180" w:wrap="auto" w:hAnchor="page" w:xAlign="center" w:yAlign="bottom" w:hRule="exact"/>
      <w:ind w:left="2880"/>
    </w:pPr>
    <w:rPr>
      <w:rFonts w:eastAsiaTheme="majorEastAsia" w:cstheme="majorBidi"/>
    </w:rPr>
  </w:style>
  <w:style w:type="paragraph" w:styleId="EnvelopeReturn">
    <w:name w:val="envelope return"/>
    <w:basedOn w:val="Normal"/>
    <w:uiPriority w:val="99"/>
    <w:unhideWhenUsed/>
    <w:rPr>
      <w:rFonts w:eastAsiaTheme="majorEastAsia" w:cstheme="majorBidi"/>
      <w:sz w:val="20"/>
      <w:szCs w:val="20"/>
    </w:rPr>
  </w:style>
  <w:style w:type="paragraph" w:styleId="Footer">
    <w:name w:val="footer"/>
    <w:aliases w:val="Footer (AC)"/>
    <w:basedOn w:val="Normal"/>
    <w:link w:val="FooterChar"/>
    <w:uiPriority w:val="99"/>
    <w:pPr>
      <w:tabs>
        <w:tab w:val="center" w:pos="4680"/>
        <w:tab w:val="right" w:pos="9360"/>
      </w:tabs>
    </w:pPr>
  </w:style>
  <w:style w:type="character" w:styleId="FooterChar" w:customStyle="1">
    <w:name w:val="Footer Char"/>
    <w:aliases w:val="Footer (AC) Char"/>
    <w:basedOn w:val="DefaultParagraphFont"/>
    <w:link w:val="Footer"/>
    <w:uiPriority w:val="99"/>
  </w:style>
  <w:style w:type="paragraph" w:styleId="FootnoteText">
    <w:name w:val="footnote text"/>
    <w:basedOn w:val="Normal"/>
    <w:next w:val="FootnoteTextMore"/>
    <w:link w:val="FootnoteTextChar"/>
    <w:uiPriority w:val="99"/>
    <w:unhideWhenUsed/>
    <w:qFormat/>
    <w:rsid w:val="009E18D6"/>
    <w:pPr>
      <w:spacing w:after="60"/>
      <w:jc w:val="both"/>
    </w:pPr>
    <w:rPr>
      <w:sz w:val="18"/>
      <w:szCs w:val="20"/>
    </w:rPr>
  </w:style>
  <w:style w:type="character" w:styleId="FootnoteTextChar" w:customStyle="1">
    <w:name w:val="Footnote Text Char"/>
    <w:basedOn w:val="DefaultParagraphFont"/>
    <w:link w:val="FootnoteText"/>
    <w:uiPriority w:val="99"/>
    <w:rsid w:val="009E18D6"/>
    <w:rPr>
      <w:sz w:val="18"/>
      <w:szCs w:val="20"/>
    </w:rPr>
  </w:style>
  <w:style w:type="paragraph" w:styleId="Header">
    <w:name w:val="header"/>
    <w:basedOn w:val="Normal"/>
    <w:link w:val="HeaderChar"/>
    <w:uiPriority w:val="99"/>
    <w:pPr>
      <w:tabs>
        <w:tab w:val="center" w:pos="4680"/>
        <w:tab w:val="right" w:pos="9360"/>
      </w:tabs>
    </w:pPr>
  </w:style>
  <w:style w:type="character" w:styleId="HeaderChar" w:customStyle="1">
    <w:name w:val="Header Char"/>
    <w:basedOn w:val="DefaultParagraphFont"/>
    <w:link w:val="Header"/>
    <w:uiPriority w:val="99"/>
  </w:style>
  <w:style w:type="character" w:styleId="Heading1Char" w:customStyle="1">
    <w:name w:val="Heading 1 Char"/>
    <w:basedOn w:val="DefaultParagraphFont"/>
    <w:link w:val="Heading1"/>
    <w:uiPriority w:val="1"/>
    <w:rsid w:val="007443E5"/>
    <w:rPr>
      <w:rFonts w:eastAsiaTheme="majorEastAsia" w:cstheme="majorBidi"/>
      <w:b/>
      <w:bCs/>
      <w:caps/>
      <w:sz w:val="20"/>
      <w:szCs w:val="28"/>
    </w:rPr>
  </w:style>
  <w:style w:type="character" w:styleId="Heading2Char" w:customStyle="1">
    <w:name w:val="Heading 2 Char"/>
    <w:basedOn w:val="DefaultParagraphFont"/>
    <w:link w:val="Heading2"/>
    <w:uiPriority w:val="1"/>
    <w:rPr>
      <w:rFonts w:eastAsiaTheme="majorEastAsia" w:cstheme="majorBidi"/>
      <w:b/>
      <w:bCs/>
      <w:sz w:val="22"/>
      <w:szCs w:val="26"/>
    </w:rPr>
  </w:style>
  <w:style w:type="character" w:styleId="Heading3Char" w:customStyle="1">
    <w:name w:val="Heading 3 Char"/>
    <w:basedOn w:val="DefaultParagraphFont"/>
    <w:link w:val="Heading3"/>
    <w:uiPriority w:val="1"/>
    <w:rsid w:val="004D72DE"/>
    <w:rPr>
      <w:rFonts w:ascii="Times New Roman Bold" w:hAnsi="Times New Roman Bold" w:eastAsiaTheme="majorEastAsia" w:cstheme="majorBidi"/>
      <w:b/>
      <w:bCs/>
      <w:caps/>
      <w:sz w:val="20"/>
    </w:rPr>
  </w:style>
  <w:style w:type="character" w:styleId="Heading4Char" w:customStyle="1">
    <w:name w:val="Heading 4 Char"/>
    <w:basedOn w:val="DefaultParagraphFont"/>
    <w:link w:val="Heading4"/>
    <w:uiPriority w:val="9"/>
    <w:rsid w:val="004D72DE"/>
    <w:rPr>
      <w:rFonts w:eastAsiaTheme="majorEastAsia" w:cstheme="majorBidi"/>
      <w:bCs/>
      <w:iCs/>
      <w:sz w:val="20"/>
    </w:rPr>
  </w:style>
  <w:style w:type="character" w:styleId="Heading5Char" w:customStyle="1">
    <w:name w:val="Heading 5 Char"/>
    <w:basedOn w:val="DefaultParagraphFont"/>
    <w:link w:val="Heading5"/>
    <w:uiPriority w:val="9"/>
    <w:rsid w:val="0060161D"/>
    <w:rPr>
      <w:rFonts w:eastAsiaTheme="majorEastAsia" w:cstheme="majorBidi"/>
      <w:sz w:val="20"/>
    </w:rPr>
  </w:style>
  <w:style w:type="character" w:styleId="Heading6Char" w:customStyle="1">
    <w:name w:val="Heading 6 Char"/>
    <w:basedOn w:val="DefaultParagraphFont"/>
    <w:link w:val="Heading6"/>
    <w:uiPriority w:val="9"/>
    <w:rPr>
      <w:rFonts w:eastAsiaTheme="majorEastAsia" w:cstheme="majorBidi"/>
      <w:iCs/>
      <w:sz w:val="22"/>
    </w:rPr>
  </w:style>
  <w:style w:type="character" w:styleId="Heading7Char" w:customStyle="1">
    <w:name w:val="Heading 7 Char"/>
    <w:basedOn w:val="DefaultParagraphFont"/>
    <w:link w:val="Heading7"/>
    <w:uiPriority w:val="9"/>
    <w:rPr>
      <w:rFonts w:eastAsiaTheme="majorEastAsia" w:cstheme="majorBidi"/>
      <w:iCs/>
      <w:sz w:val="22"/>
    </w:rPr>
  </w:style>
  <w:style w:type="character" w:styleId="Heading8Char" w:customStyle="1">
    <w:name w:val="Heading 8 Char"/>
    <w:basedOn w:val="DefaultParagraphFont"/>
    <w:link w:val="Heading8"/>
    <w:uiPriority w:val="9"/>
    <w:rPr>
      <w:rFonts w:eastAsiaTheme="majorEastAsia" w:cstheme="majorBidi"/>
      <w:sz w:val="22"/>
      <w:szCs w:val="20"/>
    </w:rPr>
  </w:style>
  <w:style w:type="character" w:styleId="Heading9Char" w:customStyle="1">
    <w:name w:val="Heading 9 Char"/>
    <w:basedOn w:val="DefaultParagraphFont"/>
    <w:link w:val="Heading9"/>
    <w:uiPriority w:val="9"/>
    <w:rPr>
      <w:rFonts w:eastAsiaTheme="majorEastAsia" w:cstheme="majorBidi"/>
      <w:iCs/>
      <w:sz w:val="22"/>
      <w:szCs w:val="20"/>
    </w:rPr>
  </w:style>
  <w:style w:type="paragraph" w:styleId="HTMLAddress">
    <w:name w:val="HTML Address"/>
    <w:basedOn w:val="Normal"/>
    <w:link w:val="HTMLAddressChar"/>
    <w:uiPriority w:val="99"/>
    <w:unhideWhenUsed/>
    <w:rPr>
      <w:i/>
      <w:iCs/>
    </w:rPr>
  </w:style>
  <w:style w:type="character" w:styleId="HTMLAddressChar" w:customStyle="1">
    <w:name w:val="HTML Address Char"/>
    <w:basedOn w:val="DefaultParagraphFont"/>
    <w:link w:val="HTMLAddress"/>
    <w:uiPriority w:val="99"/>
    <w:rPr>
      <w:i/>
      <w:iCs/>
    </w:rPr>
  </w:style>
  <w:style w:type="paragraph" w:styleId="HTMLPreformatted">
    <w:name w:val="HTML Preformatted"/>
    <w:basedOn w:val="Normal"/>
    <w:link w:val="HTMLPreformattedChar"/>
    <w:uiPriority w:val="99"/>
    <w:unhideWhenUsed/>
    <w:rPr>
      <w:rFonts w:ascii="Consolas" w:hAnsi="Consolas"/>
      <w:sz w:val="20"/>
      <w:szCs w:val="20"/>
    </w:rPr>
  </w:style>
  <w:style w:type="character" w:styleId="HTMLPreformattedChar" w:customStyle="1">
    <w:name w:val="HTML Preformatted Char"/>
    <w:basedOn w:val="DefaultParagraphFont"/>
    <w:link w:val="HTMLPreformatted"/>
    <w:uiPriority w:val="99"/>
    <w:rPr>
      <w:rFonts w:ascii="Consolas" w:hAnsi="Consolas"/>
      <w:sz w:val="20"/>
      <w:szCs w:val="20"/>
    </w:rPr>
  </w:style>
  <w:style w:type="paragraph" w:styleId="Index1">
    <w:name w:val="index 1"/>
    <w:basedOn w:val="Normal"/>
    <w:next w:val="Normal"/>
    <w:autoRedefine/>
    <w:uiPriority w:val="99"/>
    <w:unhideWhenUsed/>
    <w:pPr>
      <w:ind w:left="220" w:hanging="220"/>
    </w:pPr>
  </w:style>
  <w:style w:type="paragraph" w:styleId="Index2">
    <w:name w:val="index 2"/>
    <w:basedOn w:val="Normal"/>
    <w:next w:val="Normal"/>
    <w:autoRedefine/>
    <w:uiPriority w:val="99"/>
    <w:unhideWhenUsed/>
    <w:pPr>
      <w:ind w:left="440" w:hanging="220"/>
    </w:pPr>
  </w:style>
  <w:style w:type="paragraph" w:styleId="Index3">
    <w:name w:val="index 3"/>
    <w:basedOn w:val="Normal"/>
    <w:next w:val="Normal"/>
    <w:autoRedefine/>
    <w:uiPriority w:val="99"/>
    <w:unhideWhenUsed/>
    <w:pPr>
      <w:ind w:left="660" w:hanging="220"/>
    </w:pPr>
  </w:style>
  <w:style w:type="paragraph" w:styleId="Index4">
    <w:name w:val="index 4"/>
    <w:basedOn w:val="Normal"/>
    <w:next w:val="Normal"/>
    <w:autoRedefine/>
    <w:uiPriority w:val="99"/>
    <w:unhideWhenUsed/>
    <w:pPr>
      <w:ind w:left="880" w:hanging="220"/>
    </w:pPr>
  </w:style>
  <w:style w:type="paragraph" w:styleId="Index5">
    <w:name w:val="index 5"/>
    <w:basedOn w:val="Normal"/>
    <w:next w:val="Normal"/>
    <w:autoRedefine/>
    <w:uiPriority w:val="99"/>
    <w:unhideWhenUsed/>
    <w:pPr>
      <w:ind w:left="1100" w:hanging="220"/>
    </w:pPr>
  </w:style>
  <w:style w:type="paragraph" w:styleId="Index6">
    <w:name w:val="index 6"/>
    <w:basedOn w:val="Normal"/>
    <w:next w:val="Normal"/>
    <w:autoRedefine/>
    <w:uiPriority w:val="99"/>
    <w:unhideWhenUsed/>
    <w:pPr>
      <w:ind w:left="1320" w:hanging="220"/>
    </w:pPr>
  </w:style>
  <w:style w:type="paragraph" w:styleId="Index7">
    <w:name w:val="index 7"/>
    <w:basedOn w:val="Normal"/>
    <w:next w:val="Normal"/>
    <w:autoRedefine/>
    <w:uiPriority w:val="99"/>
    <w:unhideWhenUsed/>
    <w:pPr>
      <w:ind w:left="1540" w:hanging="220"/>
    </w:pPr>
  </w:style>
  <w:style w:type="paragraph" w:styleId="Index8">
    <w:name w:val="index 8"/>
    <w:basedOn w:val="Normal"/>
    <w:next w:val="Normal"/>
    <w:autoRedefine/>
    <w:uiPriority w:val="99"/>
    <w:unhideWhenUsed/>
    <w:pPr>
      <w:ind w:left="1760" w:hanging="220"/>
    </w:pPr>
  </w:style>
  <w:style w:type="paragraph" w:styleId="Index9">
    <w:name w:val="index 9"/>
    <w:basedOn w:val="Normal"/>
    <w:next w:val="Normal"/>
    <w:autoRedefine/>
    <w:uiPriority w:val="99"/>
    <w:unhideWhenUsed/>
    <w:pPr>
      <w:ind w:left="1980" w:hanging="220"/>
    </w:pPr>
  </w:style>
  <w:style w:type="paragraph" w:styleId="IndexHeading">
    <w:name w:val="index heading"/>
    <w:basedOn w:val="Normal"/>
    <w:next w:val="Index1"/>
    <w:uiPriority w:val="99"/>
    <w:unhideWhenUsed/>
    <w:rPr>
      <w:rFonts w:asciiTheme="majorHAnsi" w:hAnsiTheme="majorHAnsi" w:eastAsiaTheme="majorEastAsia" w:cstheme="majorBidi"/>
      <w:b/>
      <w:bCs/>
    </w:rPr>
  </w:style>
  <w:style w:type="paragraph" w:styleId="IntenseQuote">
    <w:name w:val="Intense Quote"/>
    <w:basedOn w:val="Normal"/>
    <w:next w:val="Normal"/>
    <w:link w:val="IntenseQuoteChar"/>
    <w:uiPriority w:val="30"/>
    <w:qFormat/>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Pr>
      <w:b/>
      <w:bCs/>
      <w:i/>
      <w:iCs/>
      <w:color w:val="4F81BD" w:themeColor="accent1"/>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4">
    <w:name w:val="List 4"/>
    <w:basedOn w:val="Normal"/>
    <w:uiPriority w:val="99"/>
    <w:unhideWhenUsed/>
    <w:pPr>
      <w:ind w:left="1440" w:hanging="360"/>
      <w:contextualSpacing/>
    </w:pPr>
  </w:style>
  <w:style w:type="paragraph" w:styleId="List5">
    <w:name w:val="List 5"/>
    <w:basedOn w:val="Normal"/>
    <w:uiPriority w:val="99"/>
    <w:unhideWhenUsed/>
    <w:pPr>
      <w:ind w:left="1800" w:hanging="360"/>
      <w:contextualSpacing/>
    </w:pPr>
  </w:style>
  <w:style w:type="paragraph" w:styleId="ListBullet">
    <w:name w:val="List Bullet"/>
    <w:basedOn w:val="Normal"/>
    <w:uiPriority w:val="1"/>
    <w:qFormat/>
    <w:rsid w:val="00475213"/>
    <w:pPr>
      <w:numPr>
        <w:numId w:val="1"/>
      </w:numPr>
      <w:spacing w:after="240"/>
      <w:jc w:val="both"/>
    </w:pPr>
  </w:style>
  <w:style w:type="paragraph" w:styleId="ListBullet2">
    <w:name w:val="List Bullet 2"/>
    <w:basedOn w:val="Normal"/>
    <w:uiPriority w:val="1"/>
    <w:qFormat/>
    <w:pPr>
      <w:numPr>
        <w:numId w:val="3"/>
      </w:numPr>
      <w:contextualSpacing/>
    </w:pPr>
  </w:style>
  <w:style w:type="paragraph" w:styleId="ListBullet3">
    <w:name w:val="List Bullet 3"/>
    <w:basedOn w:val="Normal"/>
    <w:uiPriority w:val="1"/>
    <w:qFormat/>
    <w:pPr>
      <w:numPr>
        <w:numId w:val="4"/>
      </w:numPr>
      <w:contextualSpacing/>
    </w:pPr>
  </w:style>
  <w:style w:type="paragraph" w:styleId="ListBullet4">
    <w:name w:val="List Bullet 4"/>
    <w:basedOn w:val="Normal"/>
    <w:uiPriority w:val="1"/>
    <w:qFormat/>
    <w:pPr>
      <w:numPr>
        <w:numId w:val="5"/>
      </w:numPr>
      <w:contextualSpacing/>
    </w:pPr>
  </w:style>
  <w:style w:type="paragraph" w:styleId="ListBullet5">
    <w:name w:val="List Bullet 5"/>
    <w:basedOn w:val="Normal"/>
    <w:uiPriority w:val="1"/>
    <w:qFormat/>
    <w:pPr>
      <w:numPr>
        <w:numId w:val="6"/>
      </w:numPr>
      <w:contextualSpacing/>
    </w:pPr>
  </w:style>
  <w:style w:type="paragraph" w:styleId="ListContinue">
    <w:name w:val="List Continue"/>
    <w:basedOn w:val="Normal"/>
    <w:uiPriority w:val="2"/>
    <w:qFormat/>
    <w:pPr>
      <w:spacing w:after="240"/>
    </w:pPr>
  </w:style>
  <w:style w:type="paragraph" w:styleId="ListContinue2">
    <w:name w:val="List Continue 2"/>
    <w:basedOn w:val="Normal"/>
    <w:uiPriority w:val="2"/>
    <w:qFormat/>
    <w:pPr>
      <w:spacing w:after="240"/>
      <w:ind w:left="720"/>
    </w:pPr>
  </w:style>
  <w:style w:type="paragraph" w:styleId="ListContinue3">
    <w:name w:val="List Continue 3"/>
    <w:basedOn w:val="Normal"/>
    <w:uiPriority w:val="2"/>
    <w:qFormat/>
    <w:pPr>
      <w:spacing w:after="240"/>
      <w:ind w:left="1080"/>
    </w:pPr>
  </w:style>
  <w:style w:type="paragraph" w:styleId="ListContinue4">
    <w:name w:val="List Continue 4"/>
    <w:basedOn w:val="Normal"/>
    <w:uiPriority w:val="2"/>
    <w:qFormat/>
    <w:pPr>
      <w:spacing w:after="240"/>
      <w:ind w:left="1440"/>
    </w:pPr>
  </w:style>
  <w:style w:type="paragraph" w:styleId="ListContinue5">
    <w:name w:val="List Continue 5"/>
    <w:basedOn w:val="Normal"/>
    <w:uiPriority w:val="2"/>
    <w:qFormat/>
    <w:pPr>
      <w:spacing w:after="240"/>
      <w:ind w:left="1800"/>
    </w:pPr>
  </w:style>
  <w:style w:type="paragraph" w:styleId="ListNumber">
    <w:name w:val="List Number"/>
    <w:basedOn w:val="Normal"/>
    <w:uiPriority w:val="19"/>
    <w:unhideWhenUsed/>
    <w:pPr>
      <w:numPr>
        <w:numId w:val="2"/>
      </w:numPr>
      <w:contextualSpacing/>
    </w:pPr>
  </w:style>
  <w:style w:type="paragraph" w:styleId="ListNumber2">
    <w:name w:val="List Number 2"/>
    <w:basedOn w:val="Normal"/>
    <w:uiPriority w:val="19"/>
    <w:unhideWhenUsed/>
    <w:pPr>
      <w:numPr>
        <w:numId w:val="7"/>
      </w:numPr>
      <w:contextualSpacing/>
    </w:pPr>
  </w:style>
  <w:style w:type="paragraph" w:styleId="ListNumber3">
    <w:name w:val="List Number 3"/>
    <w:basedOn w:val="Normal"/>
    <w:uiPriority w:val="19"/>
    <w:unhideWhenUsed/>
    <w:pPr>
      <w:numPr>
        <w:numId w:val="8"/>
      </w:numPr>
      <w:contextualSpacing/>
    </w:pPr>
  </w:style>
  <w:style w:type="paragraph" w:styleId="ListNumber4">
    <w:name w:val="List Number 4"/>
    <w:basedOn w:val="Normal"/>
    <w:uiPriority w:val="19"/>
    <w:unhideWhenUsed/>
    <w:pPr>
      <w:numPr>
        <w:numId w:val="9"/>
      </w:numPr>
      <w:contextualSpacing/>
    </w:pPr>
  </w:style>
  <w:style w:type="paragraph" w:styleId="ListNumber5">
    <w:name w:val="List Number 5"/>
    <w:basedOn w:val="Normal"/>
    <w:uiPriority w:val="19"/>
    <w:unhideWhenUsed/>
    <w:pPr>
      <w:numPr>
        <w:numId w:val="10"/>
      </w:numPr>
      <w:contextualSpacing/>
    </w:pPr>
  </w:style>
  <w:style w:type="paragraph" w:styleId="ListParagraph">
    <w:name w:val="List Paragraph"/>
    <w:basedOn w:val="Normal"/>
    <w:uiPriority w:val="1"/>
    <w:qFormat/>
    <w:rsid w:val="0088317D"/>
    <w:pPr>
      <w:spacing w:after="240"/>
      <w:ind w:left="720"/>
    </w:pPr>
  </w:style>
  <w:style w:type="paragraph" w:styleId="MacroText">
    <w:name w:val="macro"/>
    <w:link w:val="MacroTextChar"/>
    <w:uiPriority w:val="99"/>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styleId="MacroTextChar" w:customStyle="1">
    <w:name w:val="Macro Text Char"/>
    <w:basedOn w:val="DefaultParagraphFont"/>
    <w:link w:val="MacroText"/>
    <w:uiPriority w:val="99"/>
    <w:rPr>
      <w:rFonts w:ascii="Consolas" w:hAnsi="Consolas"/>
      <w:sz w:val="20"/>
      <w:szCs w:val="20"/>
    </w:rPr>
  </w:style>
  <w:style w:type="paragraph" w:styleId="MessageHeader">
    <w:name w:val="Message Header"/>
    <w:basedOn w:val="Normal"/>
    <w:link w:val="MessageHeaderChar"/>
    <w:uiPriority w:val="99"/>
    <w:unhideWhenUsed/>
    <w:pPr>
      <w:pBdr>
        <w:top w:val="single" w:color="auto" w:sz="6" w:space="1"/>
        <w:left w:val="single" w:color="auto" w:sz="6" w:space="1"/>
        <w:bottom w:val="single" w:color="auto" w:sz="6" w:space="1"/>
        <w:right w:val="single" w:color="auto" w:sz="6" w:space="1"/>
      </w:pBdr>
      <w:shd w:val="pct20" w:color="auto" w:fill="auto"/>
      <w:ind w:left="1080" w:hanging="1080"/>
    </w:pPr>
    <w:rPr>
      <w:rFonts w:asciiTheme="majorHAnsi" w:hAnsiTheme="majorHAnsi" w:eastAsiaTheme="majorEastAsia" w:cstheme="majorBidi"/>
    </w:rPr>
  </w:style>
  <w:style w:type="character" w:styleId="MessageHeaderChar" w:customStyle="1">
    <w:name w:val="Message Header Char"/>
    <w:basedOn w:val="DefaultParagraphFont"/>
    <w:link w:val="MessageHeader"/>
    <w:uiPriority w:val="99"/>
    <w:rPr>
      <w:rFonts w:asciiTheme="majorHAnsi" w:hAnsiTheme="majorHAnsi" w:eastAsiaTheme="majorEastAsia" w:cstheme="majorBidi"/>
      <w:shd w:val="pct20" w:color="auto" w:fill="auto"/>
    </w:rPr>
  </w:style>
  <w:style w:type="paragraph" w:styleId="NoSpacing">
    <w:name w:val="No Spacing"/>
    <w:link w:val="NoSpacingChar"/>
    <w:uiPriority w:val="99"/>
    <w:qFormat/>
  </w:style>
  <w:style w:type="paragraph" w:styleId="NormalWeb">
    <w:name w:val="Normal (Web)"/>
    <w:basedOn w:val="Normal"/>
    <w:uiPriority w:val="99"/>
    <w:unhideWhenUsed/>
    <w:rPr>
      <w:rFonts w:cs="Times New Roman"/>
    </w:rPr>
  </w:style>
  <w:style w:type="paragraph" w:styleId="NormalIndent">
    <w:name w:val="Normal Indent"/>
    <w:basedOn w:val="Normal"/>
    <w:uiPriority w:val="99"/>
    <w:unhideWhenUsed/>
    <w:pPr>
      <w:ind w:left="720"/>
    </w:pPr>
  </w:style>
  <w:style w:type="paragraph" w:styleId="NoteHeading">
    <w:name w:val="Note Heading"/>
    <w:basedOn w:val="Normal"/>
    <w:next w:val="Normal"/>
    <w:link w:val="NoteHeadingChar"/>
    <w:uiPriority w:val="99"/>
    <w:unhideWhenUsed/>
  </w:style>
  <w:style w:type="character" w:styleId="NoteHeadingChar" w:customStyle="1">
    <w:name w:val="Note Heading Char"/>
    <w:basedOn w:val="DefaultParagraphFont"/>
    <w:link w:val="NoteHeading"/>
    <w:uiPriority w:val="99"/>
  </w:style>
  <w:style w:type="paragraph" w:styleId="PlainText">
    <w:name w:val="Plain Text"/>
    <w:basedOn w:val="Normal"/>
    <w:link w:val="PlainTextChar"/>
    <w:uiPriority w:val="99"/>
    <w:unhideWhenUsed/>
    <w:rPr>
      <w:rFonts w:ascii="Consolas" w:hAnsi="Consolas"/>
      <w:sz w:val="21"/>
      <w:szCs w:val="21"/>
    </w:rPr>
  </w:style>
  <w:style w:type="character" w:styleId="PlainTextChar" w:customStyle="1">
    <w:name w:val="Plain Text Char"/>
    <w:basedOn w:val="DefaultParagraphFont"/>
    <w:link w:val="PlainText"/>
    <w:uiPriority w:val="99"/>
    <w:rPr>
      <w:rFonts w:ascii="Consolas" w:hAnsi="Consolas"/>
      <w:sz w:val="21"/>
      <w:szCs w:val="21"/>
    </w:rPr>
  </w:style>
  <w:style w:type="paragraph" w:styleId="Quote">
    <w:name w:val="Quote"/>
    <w:basedOn w:val="Normal"/>
    <w:next w:val="Normal"/>
    <w:link w:val="QuoteChar"/>
    <w:uiPriority w:val="29"/>
    <w:qFormat/>
    <w:rPr>
      <w:i/>
      <w:iCs/>
      <w:color w:val="000000" w:themeColor="text1"/>
    </w:rPr>
  </w:style>
  <w:style w:type="character" w:styleId="QuoteChar" w:customStyle="1">
    <w:name w:val="Quote Char"/>
    <w:basedOn w:val="DefaultParagraphFont"/>
    <w:link w:val="Quote"/>
    <w:uiPriority w:val="29"/>
    <w:rPr>
      <w:i/>
      <w:iCs/>
      <w:color w:val="000000" w:themeColor="text1"/>
    </w:rPr>
  </w:style>
  <w:style w:type="paragraph" w:styleId="Salutation">
    <w:name w:val="Salutation"/>
    <w:basedOn w:val="Normal"/>
    <w:next w:val="Normal"/>
    <w:link w:val="SalutationChar"/>
    <w:uiPriority w:val="9"/>
    <w:qFormat/>
  </w:style>
  <w:style w:type="character" w:styleId="SalutationChar" w:customStyle="1">
    <w:name w:val="Salutation Char"/>
    <w:basedOn w:val="DefaultParagraphFont"/>
    <w:link w:val="Salutation"/>
    <w:uiPriority w:val="9"/>
  </w:style>
  <w:style w:type="paragraph" w:styleId="Signature">
    <w:name w:val="Signature"/>
    <w:basedOn w:val="Normal"/>
    <w:link w:val="SignatureChar"/>
    <w:uiPriority w:val="99"/>
    <w:unhideWhenUsed/>
    <w:pPr>
      <w:ind w:left="4320"/>
    </w:pPr>
  </w:style>
  <w:style w:type="character" w:styleId="SignatureChar" w:customStyle="1">
    <w:name w:val="Signature Char"/>
    <w:basedOn w:val="DefaultParagraphFont"/>
    <w:link w:val="Signature"/>
    <w:uiPriority w:val="99"/>
  </w:style>
  <w:style w:type="paragraph" w:styleId="Subtitle">
    <w:name w:val="Subtitle"/>
    <w:basedOn w:val="Normal"/>
    <w:link w:val="SubtitleChar"/>
    <w:uiPriority w:val="11"/>
    <w:qFormat/>
    <w:pPr>
      <w:numPr>
        <w:ilvl w:val="1"/>
      </w:numPr>
      <w:spacing w:after="240"/>
      <w:jc w:val="center"/>
      <w:outlineLvl w:val="1"/>
    </w:pPr>
    <w:rPr>
      <w:rFonts w:eastAsiaTheme="majorEastAsia" w:cstheme="majorBidi"/>
      <w:iCs/>
    </w:rPr>
  </w:style>
  <w:style w:type="character" w:styleId="SubtitleChar" w:customStyle="1">
    <w:name w:val="Subtitle Char"/>
    <w:basedOn w:val="DefaultParagraphFont"/>
    <w:link w:val="Subtitle"/>
    <w:uiPriority w:val="11"/>
    <w:rPr>
      <w:rFonts w:eastAsiaTheme="majorEastAsia" w:cstheme="majorBidi"/>
      <w:iCs/>
    </w:rPr>
  </w:style>
  <w:style w:type="paragraph" w:styleId="TableofAuthorities">
    <w:name w:val="table of authorities"/>
    <w:basedOn w:val="Normal"/>
    <w:next w:val="Normal"/>
    <w:uiPriority w:val="99"/>
    <w:unhideWhenUsed/>
    <w:pPr>
      <w:ind w:left="220" w:hanging="220"/>
    </w:pPr>
  </w:style>
  <w:style w:type="paragraph" w:styleId="TableofFigures">
    <w:name w:val="table of figures"/>
    <w:basedOn w:val="Normal"/>
    <w:next w:val="Normal"/>
    <w:uiPriority w:val="99"/>
    <w:unhideWhenUsed/>
  </w:style>
  <w:style w:type="paragraph" w:styleId="Title">
    <w:name w:val="Title"/>
    <w:basedOn w:val="Normal"/>
    <w:next w:val="BodyText"/>
    <w:link w:val="TitleChar"/>
    <w:uiPriority w:val="10"/>
    <w:qFormat/>
    <w:pPr>
      <w:spacing w:after="240"/>
      <w:jc w:val="center"/>
      <w:outlineLvl w:val="0"/>
    </w:pPr>
    <w:rPr>
      <w:rFonts w:eastAsiaTheme="majorEastAsia" w:cstheme="majorBidi"/>
      <w:b/>
      <w:szCs w:val="52"/>
    </w:rPr>
  </w:style>
  <w:style w:type="character" w:styleId="TitleChar" w:customStyle="1">
    <w:name w:val="Title Char"/>
    <w:basedOn w:val="DefaultParagraphFont"/>
    <w:link w:val="Title"/>
    <w:uiPriority w:val="10"/>
    <w:rPr>
      <w:rFonts w:eastAsiaTheme="majorEastAsia" w:cstheme="majorBidi"/>
      <w:b/>
      <w:szCs w:val="52"/>
    </w:rPr>
  </w:style>
  <w:style w:type="paragraph" w:styleId="TOAHeading">
    <w:name w:val="toa heading"/>
    <w:basedOn w:val="Normal"/>
    <w:next w:val="Normal"/>
    <w:uiPriority w:val="99"/>
    <w:unhideWhenUsed/>
    <w:pPr>
      <w:spacing w:before="120"/>
    </w:pPr>
    <w:rPr>
      <w:rFonts w:asciiTheme="majorHAnsi" w:hAnsiTheme="majorHAnsi" w:eastAsiaTheme="majorEastAsia" w:cstheme="majorBidi"/>
      <w:b/>
      <w:bCs/>
    </w:rPr>
  </w:style>
  <w:style w:type="paragraph" w:styleId="TOC1">
    <w:name w:val="toc 1"/>
    <w:aliases w:val="Financial Statements Table of Contents"/>
    <w:basedOn w:val="Normal"/>
    <w:next w:val="Normal"/>
    <w:uiPriority w:val="39"/>
    <w:unhideWhenUsed/>
    <w:qFormat/>
    <w:rsid w:val="001C0812"/>
    <w:pPr>
      <w:tabs>
        <w:tab w:val="right" w:leader="dot" w:pos="9016"/>
      </w:tabs>
      <w:spacing w:after="100"/>
      <w:ind w:right="431"/>
    </w:pPr>
    <w:rPr>
      <w:caps/>
      <w:noProof/>
      <w:lang w:val="en-GB" w:eastAsia="en-GB"/>
    </w:rPr>
  </w:style>
  <w:style w:type="paragraph" w:styleId="TOC2">
    <w:name w:val="toc 2"/>
    <w:basedOn w:val="Normal"/>
    <w:next w:val="Normal"/>
    <w:uiPriority w:val="39"/>
    <w:unhideWhenUsed/>
    <w:rsid w:val="00F02DE2"/>
    <w:pPr>
      <w:spacing w:after="100"/>
      <w:ind w:right="431"/>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OCHeading">
    <w:name w:val="TOC Heading"/>
    <w:basedOn w:val="Normal"/>
    <w:next w:val="TOC1"/>
    <w:uiPriority w:val="39"/>
    <w:unhideWhenUsed/>
    <w:qFormat/>
    <w:pPr>
      <w:spacing w:after="240"/>
      <w:jc w:val="center"/>
    </w:pPr>
    <w:rPr>
      <w:b/>
      <w:caps/>
    </w:rPr>
  </w:style>
  <w:style w:type="paragraph" w:styleId="BlockText5" w:customStyle="1">
    <w:name w:val="Block Text .5"/>
    <w:basedOn w:val="Normal"/>
    <w:qFormat/>
    <w:pPr>
      <w:spacing w:line="480" w:lineRule="auto"/>
      <w:ind w:left="720" w:right="720"/>
    </w:pPr>
  </w:style>
  <w:style w:type="paragraph" w:styleId="BlockText5J" w:customStyle="1">
    <w:name w:val="Block Text .5 J"/>
    <w:basedOn w:val="Normal"/>
    <w:qFormat/>
    <w:pPr>
      <w:spacing w:line="480" w:lineRule="auto"/>
      <w:ind w:left="720" w:right="720"/>
      <w:jc w:val="both"/>
    </w:pPr>
  </w:style>
  <w:style w:type="paragraph" w:styleId="BlockText5Sgl" w:customStyle="1">
    <w:name w:val="Block Text .5 Sgl"/>
    <w:basedOn w:val="Normal"/>
    <w:qFormat/>
    <w:pPr>
      <w:spacing w:after="240"/>
      <w:ind w:left="720" w:right="720"/>
    </w:pPr>
  </w:style>
  <w:style w:type="paragraph" w:styleId="BlockText5SglJ" w:customStyle="1">
    <w:name w:val="Block Text .5 Sgl J"/>
    <w:basedOn w:val="Normal"/>
    <w:qFormat/>
    <w:rsid w:val="0060161D"/>
    <w:pPr>
      <w:spacing w:after="240"/>
      <w:ind w:left="720"/>
      <w:jc w:val="both"/>
    </w:pPr>
    <w:rPr>
      <w:sz w:val="20"/>
    </w:rPr>
  </w:style>
  <w:style w:type="paragraph" w:styleId="BlockText1" w:customStyle="1">
    <w:name w:val="Block Text 1"/>
    <w:basedOn w:val="Normal"/>
    <w:qFormat/>
    <w:pPr>
      <w:spacing w:line="480" w:lineRule="auto"/>
      <w:ind w:left="1440" w:right="1440"/>
    </w:pPr>
  </w:style>
  <w:style w:type="paragraph" w:styleId="BlockText1J" w:customStyle="1">
    <w:name w:val="Block Text 1 J"/>
    <w:basedOn w:val="Normal"/>
    <w:qFormat/>
    <w:pPr>
      <w:spacing w:line="480" w:lineRule="auto"/>
      <w:ind w:left="1440" w:right="1440"/>
      <w:jc w:val="both"/>
    </w:pPr>
  </w:style>
  <w:style w:type="paragraph" w:styleId="BlockText1Sgl" w:customStyle="1">
    <w:name w:val="Block Text 1 Sgl"/>
    <w:basedOn w:val="Normal"/>
    <w:qFormat/>
    <w:pPr>
      <w:spacing w:after="240"/>
      <w:ind w:left="1440" w:right="1440"/>
    </w:pPr>
  </w:style>
  <w:style w:type="paragraph" w:styleId="BlockText1SglJ" w:customStyle="1">
    <w:name w:val="Block Text 1 Sgl J"/>
    <w:basedOn w:val="Normal"/>
    <w:qFormat/>
    <w:pPr>
      <w:spacing w:after="240"/>
      <w:ind w:left="1440"/>
      <w:jc w:val="both"/>
    </w:pPr>
  </w:style>
  <w:style w:type="paragraph" w:styleId="BlockTextJ" w:customStyle="1">
    <w:name w:val="Block Text J"/>
    <w:basedOn w:val="BlockText"/>
    <w:qFormat/>
    <w:pPr>
      <w:jc w:val="both"/>
    </w:pPr>
  </w:style>
  <w:style w:type="paragraph" w:styleId="BlockTextSgl" w:customStyle="1">
    <w:name w:val="Block Text Sgl"/>
    <w:basedOn w:val="Normal"/>
    <w:qFormat/>
    <w:pPr>
      <w:spacing w:after="240"/>
    </w:pPr>
  </w:style>
  <w:style w:type="paragraph" w:styleId="BlockTextSglJ" w:customStyle="1">
    <w:name w:val="Block Text Sgl J"/>
    <w:basedOn w:val="Normal"/>
    <w:qFormat/>
    <w:rsid w:val="00C121D7"/>
    <w:pPr>
      <w:spacing w:after="240"/>
      <w:jc w:val="both"/>
    </w:pPr>
    <w:rPr>
      <w:sz w:val="20"/>
    </w:rPr>
  </w:style>
  <w:style w:type="paragraph" w:styleId="BodyText2J" w:customStyle="1">
    <w:name w:val="Body Text 2 J"/>
    <w:basedOn w:val="BodyText2"/>
    <w:qFormat/>
    <w:pPr>
      <w:jc w:val="both"/>
    </w:pPr>
  </w:style>
  <w:style w:type="paragraph" w:styleId="BodyText2Sgl" w:customStyle="1">
    <w:name w:val="Body Text 2 Sgl"/>
    <w:basedOn w:val="Normal"/>
    <w:qFormat/>
    <w:pPr>
      <w:spacing w:after="240"/>
      <w:ind w:firstLine="720"/>
    </w:pPr>
  </w:style>
  <w:style w:type="paragraph" w:styleId="BodyText2SglJ" w:customStyle="1">
    <w:name w:val="Body Text 2 Sgl J"/>
    <w:basedOn w:val="BodyText2Sgl"/>
    <w:qFormat/>
    <w:rsid w:val="00DB11C9"/>
    <w:pPr>
      <w:jc w:val="both"/>
    </w:pPr>
    <w:rPr>
      <w:sz w:val="20"/>
    </w:rPr>
  </w:style>
  <w:style w:type="paragraph" w:styleId="BodyText3J" w:customStyle="1">
    <w:name w:val="Body Text 3 J"/>
    <w:basedOn w:val="BodyText3"/>
    <w:qFormat/>
    <w:pPr>
      <w:jc w:val="both"/>
    </w:pPr>
  </w:style>
  <w:style w:type="paragraph" w:styleId="BodyTextIndentInch" w:customStyle="1">
    <w:name w:val="Body Text Indent Inch"/>
    <w:basedOn w:val="Normal"/>
    <w:qFormat/>
    <w:pPr>
      <w:spacing w:line="480" w:lineRule="auto"/>
      <w:ind w:left="1440"/>
    </w:pPr>
  </w:style>
  <w:style w:type="paragraph" w:styleId="BodyTextIndentInchJ" w:customStyle="1">
    <w:name w:val="Body Text Indent Inch J"/>
    <w:basedOn w:val="Normal"/>
    <w:qFormat/>
    <w:pPr>
      <w:spacing w:line="480" w:lineRule="auto"/>
      <w:ind w:left="1440"/>
      <w:jc w:val="both"/>
    </w:pPr>
  </w:style>
  <w:style w:type="paragraph" w:styleId="BodyTextIndentInchSgl" w:customStyle="1">
    <w:name w:val="Body Text Indent Inch Sgl"/>
    <w:basedOn w:val="Normal"/>
    <w:qFormat/>
    <w:pPr>
      <w:spacing w:after="240"/>
      <w:ind w:left="1440"/>
    </w:pPr>
  </w:style>
  <w:style w:type="paragraph" w:styleId="BodyTextIndentInchSglJ" w:customStyle="1">
    <w:name w:val="Body Text Indent Inch Sgl J"/>
    <w:basedOn w:val="Normal"/>
    <w:qFormat/>
    <w:pPr>
      <w:spacing w:after="240"/>
      <w:ind w:left="1440"/>
      <w:jc w:val="both"/>
    </w:pPr>
  </w:style>
  <w:style w:type="paragraph" w:styleId="BodyTextIndentJ" w:customStyle="1">
    <w:name w:val="Body Text Indent J"/>
    <w:basedOn w:val="Normal"/>
    <w:qFormat/>
    <w:pPr>
      <w:spacing w:line="480" w:lineRule="auto"/>
      <w:ind w:left="720"/>
      <w:jc w:val="both"/>
    </w:pPr>
  </w:style>
  <w:style w:type="paragraph" w:styleId="BodyTextIndentSgl" w:customStyle="1">
    <w:name w:val="Body Text Indent Sgl"/>
    <w:basedOn w:val="Normal"/>
    <w:qFormat/>
    <w:pPr>
      <w:spacing w:after="240"/>
      <w:ind w:left="720"/>
    </w:pPr>
  </w:style>
  <w:style w:type="paragraph" w:styleId="BodyTextIndentSglJ" w:customStyle="1">
    <w:name w:val="Body Text Indent Sgl J"/>
    <w:basedOn w:val="Normal"/>
    <w:qFormat/>
    <w:pPr>
      <w:spacing w:after="240"/>
      <w:ind w:left="720"/>
      <w:jc w:val="both"/>
    </w:pPr>
  </w:style>
  <w:style w:type="paragraph" w:styleId="BodyTextJ" w:customStyle="1">
    <w:name w:val="Body Text J"/>
    <w:basedOn w:val="BodyText"/>
    <w:qFormat/>
    <w:pPr>
      <w:jc w:val="both"/>
    </w:pPr>
  </w:style>
  <w:style w:type="paragraph" w:styleId="BodyTextNumbered" w:customStyle="1">
    <w:name w:val="Body Text Numbered"/>
    <w:basedOn w:val="BodyText"/>
    <w:qFormat/>
    <w:pPr>
      <w:numPr>
        <w:numId w:val="11"/>
      </w:numPr>
      <w:tabs>
        <w:tab w:val="left" w:pos="2160"/>
      </w:tabs>
      <w:ind w:left="0" w:firstLine="1440"/>
      <w:outlineLvl w:val="0"/>
    </w:pPr>
  </w:style>
  <w:style w:type="paragraph" w:styleId="EndnoteTextMore" w:customStyle="1">
    <w:name w:val="Endnote TextMore"/>
    <w:basedOn w:val="EndnoteText"/>
    <w:qFormat/>
    <w:pPr>
      <w:ind w:firstLine="0"/>
    </w:pPr>
  </w:style>
  <w:style w:type="paragraph" w:styleId="BodyTextSgl" w:customStyle="1">
    <w:name w:val="Body Text Sgl"/>
    <w:basedOn w:val="Normal"/>
    <w:qFormat/>
    <w:pPr>
      <w:spacing w:after="240"/>
      <w:ind w:firstLine="1440"/>
    </w:pPr>
  </w:style>
  <w:style w:type="paragraph" w:styleId="BodyTextSglJ" w:customStyle="1">
    <w:name w:val="Body Text Sgl J"/>
    <w:basedOn w:val="Normal"/>
    <w:qFormat/>
    <w:pPr>
      <w:ind w:firstLine="1440"/>
      <w:jc w:val="both"/>
    </w:pPr>
  </w:style>
  <w:style w:type="paragraph" w:styleId="CenteredB" w:customStyle="1">
    <w:name w:val="Centered B"/>
    <w:basedOn w:val="Normal"/>
    <w:qFormat/>
    <w:pPr>
      <w:spacing w:after="240"/>
      <w:jc w:val="center"/>
    </w:pPr>
    <w:rPr>
      <w:b/>
    </w:rPr>
  </w:style>
  <w:style w:type="paragraph" w:styleId="CenteredBU" w:customStyle="1">
    <w:name w:val="Centered BU"/>
    <w:basedOn w:val="Normal"/>
    <w:qFormat/>
    <w:pPr>
      <w:spacing w:after="240"/>
      <w:jc w:val="center"/>
    </w:pPr>
    <w:rPr>
      <w:b/>
      <w:u w:val="single"/>
    </w:rPr>
  </w:style>
  <w:style w:type="paragraph" w:styleId="CenteredText" w:customStyle="1">
    <w:name w:val="Centered Text"/>
    <w:basedOn w:val="Normal"/>
    <w:qFormat/>
    <w:pPr>
      <w:spacing w:after="240"/>
      <w:jc w:val="center"/>
    </w:pPr>
  </w:style>
  <w:style w:type="paragraph" w:styleId="CenteredU" w:customStyle="1">
    <w:name w:val="Centered U"/>
    <w:basedOn w:val="Normal"/>
    <w:qFormat/>
    <w:pPr>
      <w:spacing w:after="240"/>
      <w:jc w:val="center"/>
    </w:pPr>
    <w:rPr>
      <w:u w:val="single"/>
    </w:rPr>
  </w:style>
  <w:style w:type="character" w:styleId="FollowedHyperlink">
    <w:name w:val="FollowedHyperlink"/>
    <w:basedOn w:val="DefaultParagraphFont"/>
    <w:uiPriority w:val="99"/>
    <w:unhideWhenUsed/>
    <w:qFormat/>
    <w:rPr>
      <w:color w:val="800080" w:themeColor="followedHyperlink"/>
      <w:u w:val="single"/>
    </w:rPr>
  </w:style>
  <w:style w:type="paragraph" w:styleId="FooterLandscape" w:customStyle="1">
    <w:name w:val="Footer Landscape"/>
    <w:basedOn w:val="Normal"/>
    <w:qFormat/>
    <w:pPr>
      <w:tabs>
        <w:tab w:val="center" w:pos="7200"/>
        <w:tab w:val="right" w:pos="14400"/>
      </w:tabs>
    </w:pPr>
    <w:rPr>
      <w:rFonts w:ascii="Arial" w:hAnsi="Arial"/>
    </w:rPr>
  </w:style>
  <w:style w:type="paragraph" w:styleId="FootnoteTextMore" w:customStyle="1">
    <w:name w:val="Footnote TextMore"/>
    <w:basedOn w:val="Normal"/>
    <w:qFormat/>
    <w:pPr>
      <w:spacing w:after="240"/>
      <w:ind w:left="720" w:hanging="720"/>
    </w:pPr>
  </w:style>
  <w:style w:type="paragraph" w:styleId="STBBullet1" w:customStyle="1">
    <w:name w:val="STB Bullet 1"/>
    <w:basedOn w:val="Normal"/>
    <w:qFormat/>
    <w:rsid w:val="00D60EFA"/>
    <w:pPr>
      <w:numPr>
        <w:numId w:val="12"/>
      </w:numPr>
      <w:spacing w:after="240"/>
      <w:ind w:left="1440" w:hanging="720"/>
      <w:jc w:val="both"/>
    </w:pPr>
    <w:rPr>
      <w:lang w:val="en-GB"/>
    </w:rPr>
  </w:style>
  <w:style w:type="paragraph" w:styleId="STBBullet2" w:customStyle="1">
    <w:name w:val="STB Bullet 2"/>
    <w:basedOn w:val="Normal"/>
    <w:qFormat/>
    <w:rsid w:val="008D70EC"/>
    <w:pPr>
      <w:numPr>
        <w:ilvl w:val="1"/>
        <w:numId w:val="13"/>
      </w:numPr>
      <w:spacing w:after="240"/>
      <w:jc w:val="both"/>
    </w:pPr>
  </w:style>
  <w:style w:type="paragraph" w:styleId="STBBullet1DBL" w:customStyle="1">
    <w:name w:val="STB Bullet 1 DBL"/>
    <w:basedOn w:val="Normal"/>
    <w:qFormat/>
    <w:pPr>
      <w:numPr>
        <w:numId w:val="14"/>
      </w:numPr>
      <w:tabs>
        <w:tab w:val="left" w:pos="720"/>
      </w:tabs>
      <w:spacing w:line="480" w:lineRule="auto"/>
      <w:ind w:left="0" w:firstLine="360"/>
    </w:pPr>
  </w:style>
  <w:style w:type="paragraph" w:styleId="STBBullet2DBL" w:customStyle="1">
    <w:name w:val="STB Bullet 2 DBL"/>
    <w:basedOn w:val="Normal"/>
    <w:qFormat/>
    <w:pPr>
      <w:numPr>
        <w:numId w:val="15"/>
      </w:numPr>
      <w:tabs>
        <w:tab w:val="left" w:pos="1080"/>
      </w:tabs>
      <w:spacing w:line="480" w:lineRule="auto"/>
      <w:ind w:left="0" w:firstLine="720"/>
    </w:pPr>
  </w:style>
  <w:style w:type="paragraph" w:styleId="STBBullet3" w:customStyle="1">
    <w:name w:val="STB Bullet 3"/>
    <w:basedOn w:val="STBBullet2"/>
    <w:qFormat/>
    <w:rsid w:val="00DB11C9"/>
    <w:pPr>
      <w:numPr>
        <w:ilvl w:val="0"/>
      </w:numPr>
    </w:pPr>
    <w:rPr>
      <w:sz w:val="20"/>
    </w:rPr>
  </w:style>
  <w:style w:type="paragraph" w:styleId="STBBullet3DBL" w:customStyle="1">
    <w:name w:val="STB Bullet 3 DBL"/>
    <w:basedOn w:val="Normal"/>
    <w:qFormat/>
    <w:pPr>
      <w:numPr>
        <w:numId w:val="16"/>
      </w:numPr>
      <w:tabs>
        <w:tab w:val="left" w:pos="1440"/>
      </w:tabs>
      <w:spacing w:line="480" w:lineRule="auto"/>
      <w:ind w:left="0" w:firstLine="1080"/>
    </w:pPr>
  </w:style>
  <w:style w:type="paragraph" w:styleId="STBBullet4" w:customStyle="1">
    <w:name w:val="STB Bullet 4"/>
    <w:basedOn w:val="Normal"/>
    <w:qFormat/>
    <w:pPr>
      <w:numPr>
        <w:numId w:val="17"/>
      </w:numPr>
      <w:tabs>
        <w:tab w:val="left" w:pos="1800"/>
      </w:tabs>
      <w:spacing w:after="240"/>
      <w:ind w:left="0" w:firstLine="1440"/>
    </w:pPr>
  </w:style>
  <w:style w:type="paragraph" w:styleId="STBBullet4DBL" w:customStyle="1">
    <w:name w:val="STB Bullet 4 DBL"/>
    <w:basedOn w:val="Normal"/>
    <w:qFormat/>
    <w:pPr>
      <w:numPr>
        <w:numId w:val="18"/>
      </w:numPr>
      <w:tabs>
        <w:tab w:val="left" w:pos="1800"/>
      </w:tabs>
      <w:spacing w:line="480" w:lineRule="auto"/>
      <w:ind w:left="0" w:firstLine="1440"/>
    </w:pPr>
  </w:style>
  <w:style w:type="paragraph" w:styleId="STBListNumber1" w:customStyle="1">
    <w:name w:val="STB List Number 1"/>
    <w:basedOn w:val="Normal"/>
    <w:qFormat/>
    <w:pPr>
      <w:numPr>
        <w:numId w:val="19"/>
      </w:numPr>
      <w:spacing w:after="240"/>
      <w:jc w:val="both"/>
    </w:pPr>
  </w:style>
  <w:style w:type="paragraph" w:styleId="STBListNumber1DBL" w:customStyle="1">
    <w:name w:val="STB List Number 1 DBL"/>
    <w:basedOn w:val="Normal"/>
    <w:qFormat/>
    <w:pPr>
      <w:numPr>
        <w:numId w:val="20"/>
      </w:numPr>
      <w:spacing w:line="480" w:lineRule="auto"/>
      <w:ind w:left="0" w:firstLine="720"/>
    </w:pPr>
  </w:style>
  <w:style w:type="paragraph" w:styleId="STBListNumber2" w:customStyle="1">
    <w:name w:val="STB List Number 2"/>
    <w:basedOn w:val="Normal"/>
    <w:qFormat/>
    <w:pPr>
      <w:numPr>
        <w:numId w:val="21"/>
      </w:numPr>
      <w:spacing w:after="240"/>
      <w:ind w:left="0" w:firstLine="1440"/>
    </w:pPr>
  </w:style>
  <w:style w:type="paragraph" w:styleId="STBListNumber2DBL" w:customStyle="1">
    <w:name w:val="STB List Number 2 DBL"/>
    <w:basedOn w:val="Normal"/>
    <w:qFormat/>
    <w:pPr>
      <w:numPr>
        <w:numId w:val="22"/>
      </w:numPr>
      <w:spacing w:line="480" w:lineRule="auto"/>
      <w:ind w:left="0" w:firstLine="1440"/>
    </w:pPr>
  </w:style>
  <w:style w:type="paragraph" w:styleId="STBListNumber3" w:customStyle="1">
    <w:name w:val="STB List Number 3"/>
    <w:basedOn w:val="Normal"/>
    <w:qFormat/>
    <w:pPr>
      <w:numPr>
        <w:numId w:val="23"/>
      </w:numPr>
      <w:spacing w:after="240"/>
      <w:ind w:left="0" w:firstLine="2160"/>
    </w:pPr>
  </w:style>
  <w:style w:type="paragraph" w:styleId="STBListNumber3DBL" w:customStyle="1">
    <w:name w:val="STB List Number 3 DBL"/>
    <w:basedOn w:val="Normal"/>
    <w:qFormat/>
    <w:pPr>
      <w:numPr>
        <w:numId w:val="24"/>
      </w:numPr>
      <w:spacing w:line="480" w:lineRule="auto"/>
      <w:ind w:left="0" w:firstLine="2160"/>
    </w:pPr>
  </w:style>
  <w:style w:type="paragraph" w:styleId="STBListNumber4" w:customStyle="1">
    <w:name w:val="STB List Number 4"/>
    <w:basedOn w:val="Normal"/>
    <w:qFormat/>
    <w:pPr>
      <w:numPr>
        <w:numId w:val="25"/>
      </w:numPr>
      <w:spacing w:after="240"/>
      <w:ind w:left="0" w:firstLine="2880"/>
    </w:pPr>
  </w:style>
  <w:style w:type="paragraph" w:styleId="STBListNumber4DBL" w:customStyle="1">
    <w:name w:val="STB List Number 4 DBL"/>
    <w:basedOn w:val="Normal"/>
    <w:qFormat/>
    <w:pPr>
      <w:numPr>
        <w:numId w:val="26"/>
      </w:numPr>
      <w:spacing w:line="480" w:lineRule="auto"/>
      <w:ind w:left="0" w:firstLine="2880"/>
    </w:pPr>
  </w:style>
  <w:style w:type="paragraph" w:styleId="TitleB" w:customStyle="1">
    <w:name w:val="Title B"/>
    <w:basedOn w:val="Normal"/>
    <w:next w:val="BodyText"/>
    <w:qFormat/>
    <w:rsid w:val="00DB11C9"/>
    <w:pPr>
      <w:keepNext/>
      <w:spacing w:after="240"/>
      <w:jc w:val="both"/>
    </w:pPr>
    <w:rPr>
      <w:b/>
      <w:sz w:val="20"/>
    </w:rPr>
  </w:style>
  <w:style w:type="paragraph" w:styleId="TitleBC" w:customStyle="1">
    <w:name w:val="Title BC"/>
    <w:basedOn w:val="Normal"/>
    <w:qFormat/>
    <w:pPr>
      <w:spacing w:after="240"/>
      <w:jc w:val="center"/>
      <w:outlineLvl w:val="0"/>
    </w:pPr>
    <w:rPr>
      <w:b/>
    </w:rPr>
  </w:style>
  <w:style w:type="paragraph" w:styleId="TitleBU" w:customStyle="1">
    <w:name w:val="Title BU"/>
    <w:basedOn w:val="Normal"/>
    <w:next w:val="BodyText"/>
    <w:qFormat/>
    <w:pPr>
      <w:spacing w:after="240"/>
      <w:outlineLvl w:val="0"/>
    </w:pPr>
    <w:rPr>
      <w:b/>
      <w:u w:val="single"/>
    </w:rPr>
  </w:style>
  <w:style w:type="paragraph" w:styleId="TitleBUC" w:customStyle="1">
    <w:name w:val="Title BUC"/>
    <w:basedOn w:val="Normal"/>
    <w:next w:val="BodyText"/>
    <w:qFormat/>
    <w:pPr>
      <w:spacing w:after="240"/>
      <w:jc w:val="center"/>
      <w:outlineLvl w:val="0"/>
    </w:pPr>
    <w:rPr>
      <w:b/>
      <w:u w:val="single"/>
    </w:rPr>
  </w:style>
  <w:style w:type="paragraph" w:styleId="TitleC" w:customStyle="1">
    <w:name w:val="Title C"/>
    <w:basedOn w:val="Normal"/>
    <w:next w:val="Normal"/>
    <w:qFormat/>
    <w:pPr>
      <w:spacing w:after="240"/>
      <w:jc w:val="center"/>
      <w:outlineLvl w:val="0"/>
    </w:pPr>
  </w:style>
  <w:style w:type="paragraph" w:styleId="TitleL" w:customStyle="1">
    <w:name w:val="Title L"/>
    <w:basedOn w:val="Title"/>
    <w:qFormat/>
    <w:pPr>
      <w:jc w:val="left"/>
    </w:pPr>
  </w:style>
  <w:style w:type="paragraph" w:styleId="TitleUC" w:customStyle="1">
    <w:name w:val="Title UC"/>
    <w:basedOn w:val="Normal"/>
    <w:next w:val="Normal"/>
    <w:qFormat/>
    <w:pPr>
      <w:spacing w:after="240"/>
      <w:jc w:val="center"/>
      <w:outlineLvl w:val="0"/>
    </w:pPr>
    <w:rPr>
      <w:u w:val="single"/>
    </w:rPr>
  </w:style>
  <w:style w:type="paragraph" w:styleId="BlockTextSglJIndent" w:customStyle="1">
    <w:name w:val="Block Text Sgl J Indent"/>
    <w:basedOn w:val="Normal"/>
    <w:qFormat/>
    <w:pPr>
      <w:spacing w:after="240"/>
      <w:ind w:left="720"/>
      <w:jc w:val="both"/>
    </w:pPr>
  </w:style>
  <w:style w:type="paragraph" w:styleId="BlockTextSglJIndent2" w:customStyle="1">
    <w:name w:val="Block Text Sgl J Indent 2"/>
    <w:basedOn w:val="Normal"/>
    <w:qFormat/>
    <w:pPr>
      <w:spacing w:after="240"/>
      <w:ind w:left="1440"/>
      <w:jc w:val="both"/>
    </w:pPr>
  </w:style>
  <w:style w:type="paragraph" w:styleId="BlockTextSglJIndent3" w:customStyle="1">
    <w:name w:val="Block Text Sgl J Indent 3"/>
    <w:basedOn w:val="Normal"/>
    <w:qFormat/>
    <w:pPr>
      <w:spacing w:after="240"/>
      <w:ind w:left="2160"/>
      <w:jc w:val="both"/>
    </w:pPr>
  </w:style>
  <w:style w:type="paragraph" w:styleId="BlockTextSglJIndent4" w:customStyle="1">
    <w:name w:val="Block Text Sgl J Indent 4"/>
    <w:basedOn w:val="Normal"/>
    <w:qFormat/>
    <w:pPr>
      <w:spacing w:after="240"/>
      <w:ind w:left="2880"/>
      <w:jc w:val="both"/>
    </w:pPr>
  </w:style>
  <w:style w:type="paragraph" w:styleId="BTSJNSBodyTextSglJNoSpace" w:customStyle="1">
    <w:name w:val="BTSJNS Body Text Sgl J No Space"/>
    <w:basedOn w:val="Normal"/>
    <w:qFormat/>
    <w:pPr>
      <w:jc w:val="both"/>
    </w:pPr>
  </w:style>
  <w:style w:type="paragraph" w:styleId="BTFLBodyTextFirstLine5SglJ" w:customStyle="1">
    <w:name w:val="BTFL Body Text First Line .5 Sgl J"/>
    <w:basedOn w:val="BTSJNSBodyTextSglJNoSpace"/>
    <w:qFormat/>
    <w:pPr>
      <w:spacing w:after="240"/>
      <w:ind w:firstLine="720"/>
    </w:pPr>
  </w:style>
  <w:style w:type="paragraph" w:styleId="BTFLLBodyTextFirstLine5SglJLead" w:customStyle="1">
    <w:name w:val="BTFLL Body Text First Line .5 Sgl J Lead"/>
    <w:basedOn w:val="BTFLBodyTextFirstLine5SglJ"/>
    <w:qFormat/>
    <w:pPr>
      <w:spacing w:before="240"/>
    </w:pPr>
  </w:style>
  <w:style w:type="paragraph" w:styleId="BTSJBodyTextSglJ" w:customStyle="1">
    <w:name w:val="BTSJ Body Text Sgl J"/>
    <w:basedOn w:val="Normal"/>
    <w:qFormat/>
    <w:pPr>
      <w:spacing w:after="240"/>
      <w:jc w:val="both"/>
    </w:pPr>
  </w:style>
  <w:style w:type="paragraph" w:styleId="BTRJBodyTextSglRightJ" w:customStyle="1">
    <w:name w:val="BTRJ Body Text Sgl Right J"/>
    <w:basedOn w:val="BTSJBodyTextSglJ"/>
    <w:qFormat/>
    <w:pPr>
      <w:jc w:val="right"/>
    </w:pPr>
  </w:style>
  <w:style w:type="paragraph" w:styleId="BTSJLBodyTextSglJLead" w:customStyle="1">
    <w:name w:val="BTSJL Body Text Sgl J Lead"/>
    <w:basedOn w:val="BTSJBodyTextSglJ"/>
    <w:qFormat/>
    <w:pPr>
      <w:spacing w:before="240"/>
    </w:pPr>
  </w:style>
  <w:style w:type="paragraph" w:styleId="BTSJNSLBodyTextSglJNoSpaceLead" w:customStyle="1">
    <w:name w:val="BTSJNSL Body Text Sgl J No Space Lead"/>
    <w:basedOn w:val="BTSJNSBodyTextSglJNoSpace"/>
    <w:qFormat/>
    <w:pPr>
      <w:spacing w:before="240"/>
    </w:pPr>
  </w:style>
  <w:style w:type="character" w:styleId="BookTitle">
    <w:name w:val="Book Title"/>
    <w:basedOn w:val="DefaultParagraphFont"/>
    <w:uiPriority w:val="33"/>
    <w:qFormat/>
    <w:rPr>
      <w:b/>
      <w:bCs/>
      <w:i/>
      <w:iCs/>
      <w:spacing w:val="5"/>
    </w:rPr>
  </w:style>
  <w:style w:type="character" w:styleId="CommentReference">
    <w:name w:val="annotation reference"/>
    <w:basedOn w:val="DefaultParagraphFont"/>
    <w:uiPriority w:val="99"/>
    <w:unhideWhenUsed/>
    <w:rPr>
      <w:sz w:val="16"/>
      <w:szCs w:val="16"/>
    </w:rPr>
  </w:style>
  <w:style w:type="character" w:styleId="Emphasis">
    <w:name w:val="Emphasis"/>
    <w:basedOn w:val="DefaultParagraphFont"/>
    <w:uiPriority w:val="20"/>
    <w:qFormat/>
    <w:rPr>
      <w:i/>
      <w:iCs/>
    </w:rPr>
  </w:style>
  <w:style w:type="character" w:styleId="EndnoteReference">
    <w:name w:val="endnote reference"/>
    <w:basedOn w:val="DefaultParagraphFont"/>
    <w:uiPriority w:val="99"/>
    <w:unhideWhenUsed/>
    <w:rPr>
      <w:vertAlign w:val="superscript"/>
    </w:rPr>
  </w:style>
  <w:style w:type="character" w:styleId="FootnoteReference">
    <w:name w:val="footnote reference"/>
    <w:basedOn w:val="DefaultParagraphFont"/>
    <w:uiPriority w:val="99"/>
    <w:unhideWhenUsed/>
    <w:rPr>
      <w:vertAlign w:val="superscript"/>
    </w:rPr>
  </w:style>
  <w:style w:type="character" w:styleId="HTMLAcronym">
    <w:name w:val="HTML Acronym"/>
    <w:basedOn w:val="DefaultParagraphFont"/>
    <w:uiPriority w:val="99"/>
    <w:unhideWhenUsed/>
  </w:style>
  <w:style w:type="character" w:styleId="HTMLCite">
    <w:name w:val="HTML Cite"/>
    <w:basedOn w:val="DefaultParagraphFont"/>
    <w:uiPriority w:val="99"/>
    <w:unhideWhenUsed/>
    <w:rPr>
      <w:i/>
      <w:iCs/>
    </w:rPr>
  </w:style>
  <w:style w:type="character" w:styleId="HTMLCode">
    <w:name w:val="HTML Code"/>
    <w:basedOn w:val="DefaultParagraphFont"/>
    <w:uiPriority w:val="99"/>
    <w:unhideWhenUsed/>
    <w:rPr>
      <w:rFonts w:ascii="Consolas" w:hAnsi="Consolas"/>
      <w:sz w:val="20"/>
      <w:szCs w:val="20"/>
    </w:rPr>
  </w:style>
  <w:style w:type="character" w:styleId="HTMLDefinition">
    <w:name w:val="HTML Definition"/>
    <w:basedOn w:val="DefaultParagraphFont"/>
    <w:uiPriority w:val="99"/>
    <w:unhideWhenUsed/>
    <w:rPr>
      <w:i/>
      <w:iCs/>
    </w:rPr>
  </w:style>
  <w:style w:type="character" w:styleId="HTMLKeyboard">
    <w:name w:val="HTML Keyboard"/>
    <w:basedOn w:val="DefaultParagraphFont"/>
    <w:uiPriority w:val="99"/>
    <w:unhideWhenUsed/>
    <w:rPr>
      <w:rFonts w:ascii="Consolas" w:hAnsi="Consolas"/>
      <w:sz w:val="20"/>
      <w:szCs w:val="20"/>
    </w:rPr>
  </w:style>
  <w:style w:type="character" w:styleId="HTMLSample">
    <w:name w:val="HTML Sample"/>
    <w:basedOn w:val="DefaultParagraphFont"/>
    <w:uiPriority w:val="99"/>
    <w:unhideWhenUsed/>
    <w:rPr>
      <w:rFonts w:ascii="Consolas" w:hAnsi="Consolas"/>
      <w:sz w:val="24"/>
      <w:szCs w:val="24"/>
    </w:rPr>
  </w:style>
  <w:style w:type="character" w:styleId="HTMLTypewriter">
    <w:name w:val="HTML Typewriter"/>
    <w:basedOn w:val="DefaultParagraphFont"/>
    <w:uiPriority w:val="99"/>
    <w:unhideWhenUsed/>
    <w:rPr>
      <w:rFonts w:ascii="Consolas" w:hAnsi="Consolas"/>
      <w:sz w:val="20"/>
      <w:szCs w:val="20"/>
    </w:rPr>
  </w:style>
  <w:style w:type="character" w:styleId="HTMLVariable">
    <w:name w:val="HTML Variable"/>
    <w:basedOn w:val="DefaultParagraphFont"/>
    <w:uiPriority w:val="99"/>
    <w:unhideWhenUsed/>
    <w:rPr>
      <w:i/>
      <w:iCs/>
    </w:rPr>
  </w:style>
  <w:style w:type="character" w:styleId="Hyperlink">
    <w:name w:val="Hyperlink"/>
    <w:basedOn w:val="DefaultParagraphFont"/>
    <w:uiPriority w:val="99"/>
    <w:unhideWhenUsed/>
    <w:rPr>
      <w:color w:val="0000FF" w:themeColor="hyperlink"/>
      <w:u w:val="single"/>
    </w:rPr>
  </w:style>
  <w:style w:type="character" w:styleId="IntenseEmphasis">
    <w:name w:val="Intense Emphasis"/>
    <w:basedOn w:val="DefaultParagraphFont"/>
    <w:uiPriority w:val="21"/>
    <w:qFormat/>
    <w:rPr>
      <w:i/>
      <w:iCs/>
      <w:color w:val="4F81BD" w:themeColor="accent1"/>
    </w:rPr>
  </w:style>
  <w:style w:type="character" w:styleId="IntenseReference">
    <w:name w:val="Intense Reference"/>
    <w:basedOn w:val="DefaultParagraphFont"/>
    <w:uiPriority w:val="32"/>
    <w:qFormat/>
    <w:rPr>
      <w:b/>
      <w:bCs/>
      <w:smallCaps/>
      <w:color w:val="4F81BD" w:themeColor="accent1"/>
      <w:spacing w:val="5"/>
    </w:rPr>
  </w:style>
  <w:style w:type="character" w:styleId="LineNumber">
    <w:name w:val="line number"/>
    <w:basedOn w:val="DefaultParagraphFont"/>
    <w:uiPriority w:val="99"/>
    <w:unhideWhenUsed/>
  </w:style>
  <w:style w:type="character" w:styleId="PageNumber">
    <w:name w:val="page number"/>
    <w:basedOn w:val="DefaultParagraphFont"/>
    <w:uiPriority w:val="99"/>
    <w:unhideWhenUsed/>
  </w:style>
  <w:style w:type="character" w:styleId="PlaceholderText">
    <w:name w:val="Placeholder Text"/>
    <w:basedOn w:val="DefaultParagraphFont"/>
    <w:uiPriority w:val="99"/>
    <w:semiHidden/>
    <w:rPr>
      <w:color w:val="808080"/>
    </w:rPr>
  </w:style>
  <w:style w:type="character" w:styleId="Strong">
    <w:name w:val="Strong"/>
    <w:basedOn w:val="DefaultParagraphFont"/>
    <w:uiPriority w:val="22"/>
    <w:qFormat/>
    <w:rPr>
      <w:b/>
      <w:bCs/>
    </w:rPr>
  </w:style>
  <w:style w:type="character" w:styleId="SubtleEmphasis">
    <w:name w:val="Subtle Emphasis"/>
    <w:basedOn w:val="DefaultParagraphFont"/>
    <w:uiPriority w:val="19"/>
    <w:qFormat/>
    <w:rPr>
      <w:i/>
      <w:iCs/>
      <w:color w:val="404040" w:themeColor="text1" w:themeTint="BF"/>
    </w:rPr>
  </w:style>
  <w:style w:type="character" w:styleId="SubtleReference">
    <w:name w:val="Subtle Reference"/>
    <w:basedOn w:val="DefaultParagraphFont"/>
    <w:uiPriority w:val="31"/>
    <w:qFormat/>
    <w:rPr>
      <w:smallCaps/>
      <w:color w:val="5A5A5A" w:themeColor="text1" w:themeTint="A5"/>
    </w:rPr>
  </w:style>
  <w:style w:type="table" w:styleId="TableGrid">
    <w:name w:val="Table Grid"/>
    <w:basedOn w:val="TableNormal"/>
    <w:uiPriority w:val="59"/>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Page" w:customStyle="1">
    <w:name w:val="TOC Page"/>
    <w:basedOn w:val="Normal"/>
    <w:next w:val="Normal"/>
    <w:link w:val="TOCPageChar"/>
    <w:pPr>
      <w:spacing w:after="240"/>
      <w:jc w:val="right"/>
    </w:pPr>
    <w:rPr>
      <w:b/>
    </w:rPr>
  </w:style>
  <w:style w:type="character" w:styleId="TOCPageChar" w:customStyle="1">
    <w:name w:val="TOC Page Char"/>
    <w:basedOn w:val="DefaultParagraphFont"/>
    <w:link w:val="TOCPage"/>
    <w:rPr>
      <w:b/>
      <w:sz w:val="22"/>
    </w:rPr>
  </w:style>
  <w:style w:type="paragraph" w:styleId="TitleBI" w:customStyle="1">
    <w:name w:val="Title BI"/>
    <w:basedOn w:val="Normal"/>
    <w:qFormat/>
    <w:rsid w:val="00DB11C9"/>
    <w:pPr>
      <w:keepNext/>
      <w:spacing w:after="240"/>
      <w:jc w:val="both"/>
      <w:textAlignment w:val="baseline"/>
    </w:pPr>
    <w:rPr>
      <w:b/>
      <w:i/>
      <w:color w:val="000000"/>
      <w:sz w:val="20"/>
    </w:rPr>
  </w:style>
  <w:style w:type="paragraph" w:styleId="TitleI" w:customStyle="1">
    <w:name w:val="Title I"/>
    <w:basedOn w:val="Normal"/>
    <w:qFormat/>
    <w:rsid w:val="00826D72"/>
    <w:pPr>
      <w:keepNext/>
      <w:spacing w:after="240"/>
      <w:textAlignment w:val="baseline"/>
    </w:pPr>
    <w:rPr>
      <w:i/>
      <w:color w:val="000000"/>
    </w:rPr>
  </w:style>
  <w:style w:type="paragraph" w:styleId="TitleBI5" w:customStyle="1">
    <w:name w:val="Title BI .5"/>
    <w:basedOn w:val="TitleBI"/>
    <w:qFormat/>
    <w:pPr>
      <w:ind w:left="720"/>
    </w:pPr>
    <w:rPr>
      <w:lang w:val="en-GB"/>
    </w:rPr>
  </w:style>
  <w:style w:type="paragraph" w:styleId="TableNotesLine" w:customStyle="1">
    <w:name w:val="Table Notes Line"/>
    <w:basedOn w:val="Normal"/>
    <w:qFormat/>
    <w:pPr>
      <w:pBdr>
        <w:bottom w:val="single" w:color="auto" w:sz="4" w:space="1"/>
      </w:pBdr>
      <w:ind w:left="720" w:right="7200"/>
    </w:pPr>
  </w:style>
  <w:style w:type="paragraph" w:styleId="TableNotes" w:customStyle="1">
    <w:name w:val="Table Notes"/>
    <w:basedOn w:val="Normal"/>
    <w:qFormat/>
    <w:pPr>
      <w:spacing w:after="240"/>
      <w:ind w:left="1080" w:hanging="360"/>
      <w:contextualSpacing/>
    </w:pPr>
    <w:rPr>
      <w:color w:val="000000"/>
      <w:sz w:val="17"/>
      <w:szCs w:val="17"/>
    </w:rPr>
  </w:style>
  <w:style w:type="paragraph" w:styleId="TableNotesLine2" w:customStyle="1">
    <w:name w:val="Table Notes Line 2"/>
    <w:basedOn w:val="TableNotesLine"/>
    <w:rsid w:val="00826D72"/>
    <w:pPr>
      <w:keepNext/>
      <w:ind w:left="0"/>
    </w:pPr>
  </w:style>
  <w:style w:type="paragraph" w:styleId="TableNotes2" w:customStyle="1">
    <w:name w:val="Table Notes 2"/>
    <w:basedOn w:val="TableNotes"/>
    <w:qFormat/>
    <w:rsid w:val="00DD782A"/>
    <w:pPr>
      <w:ind w:left="360" w:right="-40"/>
      <w:jc w:val="both"/>
    </w:pPr>
  </w:style>
  <w:style w:type="table" w:styleId="TableGrid1" w:customStyle="1">
    <w:name w:val="Table Grid1"/>
    <w:basedOn w:val="TableNormal"/>
    <w:next w:val="TableGri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 w:customStyle="1">
    <w:name w:val="No List1"/>
    <w:next w:val="NoList"/>
    <w:uiPriority w:val="99"/>
    <w:semiHidden/>
    <w:unhideWhenUsed/>
  </w:style>
  <w:style w:type="table" w:styleId="TableGrid11" w:customStyle="1">
    <w:name w:val="Table Grid11"/>
    <w:basedOn w:val="TableNormal"/>
    <w:next w:val="TableGri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Pr>
      <w:rFonts w:ascii="Calibri" w:hAnsi="Calibri"/>
      <w:sz w:val="22"/>
      <w:szCs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1" w:customStyle="1">
    <w:name w:val="Table Grid21"/>
    <w:basedOn w:val="TableNormal"/>
    <w:next w:val="TableGrid"/>
    <w:uiPriority w:val="39"/>
    <w:pPr>
      <w:spacing w:after="120" w:line="264" w:lineRule="auto"/>
    </w:pPr>
    <w:rPr>
      <w:rFonts w:ascii="Arial" w:hAnsi="Arial" w:eastAsia="Times New Roman"/>
      <w:sz w:val="20"/>
      <w:szCs w:val="20"/>
      <w:lang w:eastAsia="zh-TW"/>
    </w:rPr>
    <w:tblPr>
      <w:tblInd w:w="57" w:type="dxa"/>
      <w:tblBorders>
        <w:top w:val="single" w:color="auto" w:sz="4" w:space="0"/>
        <w:bottom w:val="single" w:color="auto" w:sz="8" w:space="0"/>
        <w:insideH w:val="single" w:color="AAA19A" w:sz="4" w:space="0"/>
      </w:tblBorders>
      <w:tblCellMar>
        <w:left w:w="0" w:type="dxa"/>
        <w:right w:w="0" w:type="dxa"/>
      </w:tblCellMar>
    </w:tblPr>
    <w:tblStylePr w:type="firstRow">
      <w:tblPr/>
      <w:trPr>
        <w:tblHeader/>
      </w:trPr>
    </w:tblStylePr>
  </w:style>
  <w:style w:type="table" w:styleId="TableGrid22" w:customStyle="1">
    <w:name w:val="Table Grid22"/>
    <w:basedOn w:val="TableNormal"/>
    <w:next w:val="TableGrid"/>
    <w:pPr>
      <w:spacing w:after="120" w:line="264" w:lineRule="auto"/>
    </w:pPr>
    <w:rPr>
      <w:rFonts w:ascii="Arial" w:hAnsi="Arial" w:eastAsia="Times New Roman"/>
      <w:sz w:val="20"/>
      <w:szCs w:val="20"/>
      <w:lang w:eastAsia="zh-TW"/>
    </w:rPr>
    <w:tblPr>
      <w:tblInd w:w="57" w:type="dxa"/>
      <w:tblBorders>
        <w:top w:val="single" w:color="auto" w:sz="4" w:space="0"/>
        <w:bottom w:val="single" w:color="auto" w:sz="8" w:space="0"/>
        <w:insideH w:val="single" w:color="AAA19A" w:sz="4" w:space="0"/>
      </w:tblBorders>
      <w:tblCellMar>
        <w:left w:w="0" w:type="dxa"/>
        <w:right w:w="0" w:type="dxa"/>
      </w:tblCellMar>
    </w:tblPr>
    <w:tblStylePr w:type="firstRow">
      <w:tblPr/>
      <w:trPr>
        <w:tblHeader/>
      </w:trPr>
    </w:tblStylePr>
  </w:style>
  <w:style w:type="paragraph" w:styleId="Cover1" w:customStyle="1">
    <w:name w:val="Cover 1"/>
    <w:basedOn w:val="Normal"/>
    <w:pPr>
      <w:tabs>
        <w:tab w:val="right" w:pos="4820"/>
      </w:tabs>
      <w:overflowPunct w:val="0"/>
      <w:autoSpaceDE w:val="0"/>
      <w:autoSpaceDN w:val="0"/>
      <w:adjustRightInd w:val="0"/>
      <w:spacing w:before="160" w:after="360"/>
      <w:textAlignment w:val="baseline"/>
    </w:pPr>
    <w:rPr>
      <w:rFonts w:ascii="Arial" w:hAnsi="Arial" w:eastAsia="Times New Roman" w:cs="Times New Roman"/>
      <w:b/>
      <w:sz w:val="32"/>
      <w:szCs w:val="20"/>
      <w:lang w:val="en-GB"/>
    </w:rPr>
  </w:style>
  <w:style w:type="paragraph" w:styleId="Tableheading" w:customStyle="1">
    <w:name w:val="Table heading"/>
    <w:basedOn w:val="Normal"/>
    <w:qFormat/>
    <w:pPr>
      <w:overflowPunct w:val="0"/>
      <w:autoSpaceDE w:val="0"/>
      <w:autoSpaceDN w:val="0"/>
      <w:adjustRightInd w:val="0"/>
      <w:spacing w:before="20" w:after="20"/>
      <w:ind w:right="57"/>
      <w:jc w:val="right"/>
      <w:textAlignment w:val="baseline"/>
    </w:pPr>
    <w:rPr>
      <w:rFonts w:eastAsia="Times New Roman" w:cs="Times New Roman"/>
      <w:i/>
      <w:sz w:val="20"/>
      <w:szCs w:val="20"/>
      <w:lang w:val="en-GB"/>
    </w:rPr>
  </w:style>
  <w:style w:type="paragraph" w:styleId="TableBoldItalic" w:customStyle="1">
    <w:name w:val="Table Bold Italic"/>
    <w:basedOn w:val="Normal"/>
    <w:qFormat/>
    <w:pPr>
      <w:spacing w:before="100" w:after="20" w:line="120" w:lineRule="atLeast"/>
    </w:pPr>
    <w:rPr>
      <w:rFonts w:ascii="Arial" w:hAnsi="Arial" w:eastAsia="Times New Roman" w:cs="Arial"/>
      <w:b/>
      <w:i/>
      <w:sz w:val="18"/>
      <w:lang w:val="en-GB"/>
    </w:rPr>
  </w:style>
  <w:style w:type="paragraph" w:styleId="TableText" w:customStyle="1">
    <w:name w:val="Table Text"/>
    <w:basedOn w:val="TableBoldItalic"/>
    <w:qFormat/>
    <w:pPr>
      <w:spacing w:before="20" w:line="240" w:lineRule="auto"/>
      <w:ind w:right="57"/>
    </w:pPr>
    <w:rPr>
      <w:rFonts w:ascii="Times New Roman" w:hAnsi="Times New Roman"/>
      <w:b w:val="0"/>
      <w:i w:val="0"/>
      <w:sz w:val="20"/>
    </w:rPr>
  </w:style>
  <w:style w:type="paragraph" w:styleId="TableFigureUnderline" w:customStyle="1">
    <w:name w:val="Table Figure Underline"/>
    <w:basedOn w:val="TableFigures"/>
    <w:qFormat/>
    <w:pPr>
      <w:pBdr>
        <w:bottom w:val="single" w:color="auto" w:sz="2" w:space="0"/>
      </w:pBdr>
      <w:spacing w:before="5" w:after="5"/>
    </w:pPr>
  </w:style>
  <w:style w:type="paragraph" w:styleId="TableFigures" w:customStyle="1">
    <w:name w:val="Table Figures"/>
    <w:basedOn w:val="Normal"/>
    <w:qFormat/>
    <w:pPr>
      <w:tabs>
        <w:tab w:val="decimal" w:pos="1077"/>
      </w:tabs>
      <w:overflowPunct w:val="0"/>
      <w:autoSpaceDE w:val="0"/>
      <w:autoSpaceDN w:val="0"/>
      <w:adjustRightInd w:val="0"/>
      <w:spacing w:before="20" w:after="20"/>
      <w:textAlignment w:val="baseline"/>
    </w:pPr>
    <w:rPr>
      <w:rFonts w:eastAsia="Times New Roman" w:cs="Times New Roman"/>
      <w:sz w:val="20"/>
      <w:szCs w:val="20"/>
      <w:lang w:val="en-GB"/>
    </w:rPr>
  </w:style>
  <w:style w:type="paragraph" w:styleId="Tableheadingcurrency" w:customStyle="1">
    <w:name w:val="Table heading (currency)"/>
    <w:basedOn w:val="Tableheading"/>
    <w:qFormat/>
    <w:pPr>
      <w:spacing w:after="240"/>
    </w:pPr>
  </w:style>
  <w:style w:type="paragraph" w:styleId="TableFigureDoubleUnderline" w:customStyle="1">
    <w:name w:val="Table Figure Double Underline"/>
    <w:basedOn w:val="TableFigures"/>
    <w:qFormat/>
    <w:pPr>
      <w:pBdr>
        <w:bottom w:val="double" w:color="auto" w:sz="4" w:space="0"/>
      </w:pBdr>
      <w:spacing w:before="0" w:after="0"/>
    </w:pPr>
  </w:style>
  <w:style w:type="paragraph" w:styleId="TableFigureSubtotal" w:customStyle="1">
    <w:name w:val="Table Figure Subtotal"/>
    <w:basedOn w:val="Normal"/>
    <w:qFormat/>
    <w:pPr>
      <w:pBdr>
        <w:top w:val="single" w:color="auto" w:sz="2" w:space="0"/>
        <w:bottom w:val="single" w:color="auto" w:sz="2" w:space="0"/>
      </w:pBdr>
      <w:tabs>
        <w:tab w:val="decimal" w:pos="1077"/>
      </w:tabs>
      <w:overflowPunct w:val="0"/>
      <w:autoSpaceDE w:val="0"/>
      <w:autoSpaceDN w:val="0"/>
      <w:adjustRightInd w:val="0"/>
      <w:spacing w:before="5" w:after="5"/>
      <w:textAlignment w:val="baseline"/>
    </w:pPr>
    <w:rPr>
      <w:rFonts w:eastAsia="Times New Roman" w:cs="Times New Roman"/>
      <w:sz w:val="20"/>
      <w:szCs w:val="20"/>
      <w:lang w:val="en-GB"/>
    </w:rPr>
  </w:style>
  <w:style w:type="paragraph" w:styleId="NotesHeadingAC" w:customStyle="1">
    <w:name w:val="Notes Heading (AC)"/>
    <w:basedOn w:val="Heading1"/>
    <w:next w:val="Normal"/>
    <w:pPr>
      <w:keepNext/>
      <w:numPr>
        <w:numId w:val="0"/>
      </w:numPr>
      <w:overflowPunct w:val="0"/>
      <w:autoSpaceDE w:val="0"/>
      <w:autoSpaceDN w:val="0"/>
      <w:adjustRightInd w:val="0"/>
      <w:spacing w:before="240" w:after="0"/>
      <w:jc w:val="left"/>
      <w:textAlignment w:val="baseline"/>
    </w:pPr>
    <w:rPr>
      <w:rFonts w:ascii="Arial" w:hAnsi="Arial" w:eastAsia="Times New Roman" w:cs="Times New Roman"/>
      <w:bCs w:val="0"/>
      <w:caps w:val="0"/>
      <w:szCs w:val="20"/>
      <w:lang w:val="en-GB"/>
    </w:rPr>
  </w:style>
  <w:style w:type="paragraph" w:styleId="TableFigureTotal" w:customStyle="1">
    <w:name w:val="Table Figure Total"/>
    <w:basedOn w:val="TableFigures"/>
    <w:qFormat/>
    <w:pPr>
      <w:pBdr>
        <w:top w:val="single" w:color="auto" w:sz="2" w:space="0"/>
        <w:bottom w:val="double" w:color="auto" w:sz="4" w:space="0"/>
      </w:pBdr>
      <w:spacing w:before="0" w:after="0"/>
    </w:pPr>
  </w:style>
  <w:style w:type="table" w:styleId="AccountsTable" w:customStyle="1">
    <w:name w:val="Accounts Table"/>
    <w:basedOn w:val="TableNormal"/>
    <w:uiPriority w:val="99"/>
    <w:rPr>
      <w:rFonts w:eastAsia="Times New Roman" w:cs="Times New Roman"/>
      <w:sz w:val="20"/>
      <w:szCs w:val="20"/>
      <w:lang w:val="nl-NL" w:eastAsia="nl-NL"/>
    </w:rPr>
    <w:tblPr/>
    <w:tcPr>
      <w:vAlign w:val="bottom"/>
    </w:tcPr>
    <w:tblStylePr w:type="firstRow">
      <w:pPr>
        <w:jc w:val="right"/>
      </w:pPr>
    </w:tblStylePr>
    <w:tblStylePr w:type="firstCol">
      <w:pPr>
        <w:jc w:val="left"/>
      </w:pPr>
    </w:tblStylePr>
  </w:style>
  <w:style w:type="table" w:styleId="PlainTable3">
    <w:name w:val="Plain Table 3"/>
    <w:basedOn w:val="TableNormal"/>
    <w:uiPriority w:val="43"/>
    <w:rPr>
      <w:rFonts w:asciiTheme="minorHAnsi" w:hAnsiTheme="minorHAnsi"/>
      <w:sz w:val="22"/>
      <w:szCs w:val="22"/>
      <w:lang w:val="en-GB"/>
    </w:r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Pr>
      <w:rFonts w:asciiTheme="minorHAnsi" w:hAnsiTheme="minorHAnsi"/>
      <w:sz w:val="22"/>
      <w:szCs w:val="22"/>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te" w:customStyle="1">
    <w:name w:val="Titlte"/>
    <w:basedOn w:val="BlockTextSglJ"/>
    <w:rPr>
      <w:b/>
      <w:color w:val="000000"/>
      <w:lang w:val="en-GB"/>
    </w:rPr>
  </w:style>
  <w:style w:type="paragraph" w:styleId="Figures" w:customStyle="1">
    <w:name w:val="Figures"/>
    <w:basedOn w:val="Normal"/>
    <w:qFormat/>
    <w:pPr>
      <w:tabs>
        <w:tab w:val="decimal" w:pos="907"/>
      </w:tabs>
      <w:overflowPunct w:val="0"/>
      <w:autoSpaceDE w:val="0"/>
      <w:autoSpaceDN w:val="0"/>
      <w:adjustRightInd w:val="0"/>
      <w:spacing w:before="20" w:after="20" w:line="240" w:lineRule="atLeast"/>
      <w:ind w:left="-113"/>
      <w:textAlignment w:val="baseline"/>
    </w:pPr>
    <w:rPr>
      <w:rFonts w:eastAsia="Times New Roman" w:cs="Times New Roman"/>
      <w:sz w:val="20"/>
      <w:szCs w:val="20"/>
      <w:lang w:val="en-GB"/>
    </w:rPr>
  </w:style>
  <w:style w:type="paragraph" w:styleId="SingleSpaceAC" w:customStyle="1">
    <w:name w:val="Single Space (AC)"/>
    <w:basedOn w:val="Normal"/>
    <w:pPr>
      <w:overflowPunct w:val="0"/>
      <w:autoSpaceDE w:val="0"/>
      <w:autoSpaceDN w:val="0"/>
      <w:adjustRightInd w:val="0"/>
      <w:spacing w:line="240" w:lineRule="atLeast"/>
      <w:textAlignment w:val="baseline"/>
    </w:pPr>
    <w:rPr>
      <w:rFonts w:eastAsia="Times New Roman" w:cs="Times New Roman"/>
      <w:sz w:val="20"/>
      <w:szCs w:val="20"/>
      <w:lang w:val="en-GB"/>
    </w:rPr>
  </w:style>
  <w:style w:type="table" w:styleId="TableGrid12" w:customStyle="1">
    <w:name w:val="Table Grid12"/>
    <w:basedOn w:val="TableNormal"/>
    <w:next w:val="TableGri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39"/>
    <w:rsid w:val="00F561EF"/>
    <w:rPr>
      <w:rFonts w:ascii="Arial" w:hAnsi="Arial" w:eastAsia="Calibri" w:cs="Times New Roman"/>
      <w:sz w:val="20"/>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U" w:customStyle="1">
    <w:name w:val="Title U"/>
    <w:basedOn w:val="Normal"/>
    <w:qFormat/>
    <w:rsid w:val="00826D72"/>
    <w:pPr>
      <w:keepNext/>
      <w:spacing w:after="240"/>
      <w:jc w:val="both"/>
    </w:pPr>
    <w:rPr>
      <w:szCs w:val="22"/>
      <w:u w:val="single"/>
    </w:rPr>
  </w:style>
  <w:style w:type="paragraph" w:styleId="BodyTextList5" w:customStyle="1">
    <w:name w:val="Body Text List .5"/>
    <w:basedOn w:val="Normal"/>
    <w:qFormat/>
    <w:rsid w:val="00CB2CDE"/>
    <w:pPr>
      <w:spacing w:after="240"/>
      <w:ind w:firstLine="720"/>
      <w:jc w:val="both"/>
    </w:pPr>
    <w:rPr>
      <w:szCs w:val="22"/>
    </w:rPr>
  </w:style>
  <w:style w:type="character" w:styleId="EquationCaption" w:customStyle="1">
    <w:name w:val="_Equation Caption"/>
    <w:rsid w:val="00C60AED"/>
  </w:style>
  <w:style w:type="character" w:styleId="Table10pt" w:customStyle="1">
    <w:name w:val="Table 10pt"/>
    <w:uiPriority w:val="1"/>
    <w:qFormat/>
    <w:rsid w:val="00C60AED"/>
    <w:rPr>
      <w:sz w:val="20"/>
    </w:rPr>
  </w:style>
  <w:style w:type="character" w:styleId="Table11pt" w:customStyle="1">
    <w:name w:val="Table 11pt"/>
    <w:uiPriority w:val="1"/>
    <w:qFormat/>
    <w:rsid w:val="00C60AED"/>
    <w:rPr>
      <w:sz w:val="22"/>
    </w:rPr>
  </w:style>
  <w:style w:type="paragraph" w:styleId="Tableline" w:customStyle="1">
    <w:name w:val="Table line"/>
    <w:basedOn w:val="Normal"/>
    <w:qFormat/>
    <w:rsid w:val="00C60AED"/>
    <w:pPr>
      <w:pBdr>
        <w:bottom w:val="single" w:color="auto" w:sz="4" w:space="1"/>
      </w:pBdr>
      <w:ind w:right="7920"/>
    </w:pPr>
    <w:rPr>
      <w:rFonts w:eastAsia="Calibri" w:cs="Arial"/>
      <w:vanish/>
      <w:szCs w:val="20"/>
      <w:lang w:val="en-GB"/>
    </w:rPr>
  </w:style>
  <w:style w:type="paragraph" w:styleId="Tablenote" w:customStyle="1">
    <w:name w:val="Table note"/>
    <w:basedOn w:val="Normal"/>
    <w:qFormat/>
    <w:rsid w:val="00C60AED"/>
    <w:pPr>
      <w:suppressAutoHyphens/>
      <w:spacing w:after="240"/>
      <w:ind w:left="360" w:hanging="360"/>
      <w:contextualSpacing/>
      <w:jc w:val="both"/>
    </w:pPr>
    <w:rPr>
      <w:rFonts w:eastAsia="Calibri" w:cs="Arial"/>
      <w:sz w:val="16"/>
      <w:szCs w:val="20"/>
      <w:lang w:val="en-GB"/>
    </w:rPr>
  </w:style>
  <w:style w:type="character" w:styleId="Table8pt" w:customStyle="1">
    <w:name w:val="Table 8pt"/>
    <w:uiPriority w:val="1"/>
    <w:qFormat/>
    <w:rsid w:val="00C60AED"/>
    <w:rPr>
      <w:sz w:val="16"/>
    </w:rPr>
  </w:style>
  <w:style w:type="character" w:styleId="Table9pt" w:customStyle="1">
    <w:name w:val="Table 9pt"/>
    <w:uiPriority w:val="1"/>
    <w:qFormat/>
    <w:rsid w:val="00C60AED"/>
    <w:rPr>
      <w:sz w:val="18"/>
    </w:rPr>
  </w:style>
  <w:style w:type="paragraph" w:styleId="TitleI5" w:customStyle="1">
    <w:name w:val="Title I .5"/>
    <w:basedOn w:val="Normal"/>
    <w:qFormat/>
    <w:rsid w:val="00C60AED"/>
    <w:pPr>
      <w:keepNext/>
      <w:spacing w:after="240"/>
      <w:ind w:left="720"/>
    </w:pPr>
    <w:rPr>
      <w:rFonts w:eastAsia="Calibri" w:cs="Arial"/>
      <w:i/>
      <w:lang w:val="en-GB"/>
    </w:rPr>
  </w:style>
  <w:style w:type="paragraph" w:styleId="Rightalign" w:customStyle="1">
    <w:name w:val="Right align"/>
    <w:basedOn w:val="Normal"/>
    <w:qFormat/>
    <w:rsid w:val="00C60AED"/>
    <w:pPr>
      <w:spacing w:after="240"/>
      <w:jc w:val="right"/>
    </w:pPr>
    <w:rPr>
      <w:rFonts w:eastAsia="Calibri" w:cs="Arial"/>
      <w:lang w:val="en-GB"/>
    </w:rPr>
  </w:style>
  <w:style w:type="paragraph" w:styleId="CenteredB12pt" w:customStyle="1">
    <w:name w:val="Centered B*12pt"/>
    <w:basedOn w:val="CenteredB"/>
    <w:qFormat/>
    <w:rsid w:val="00C60AED"/>
    <w:rPr>
      <w:rFonts w:ascii="Arial" w:hAnsi="Arial" w:eastAsia="Calibri" w:cs="Arial"/>
      <w:sz w:val="24"/>
    </w:rPr>
  </w:style>
  <w:style w:type="paragraph" w:styleId="TableText0" w:customStyle="1">
    <w:name w:val="Table Text*"/>
    <w:basedOn w:val="Normal"/>
    <w:qFormat/>
    <w:rsid w:val="00C60AED"/>
    <w:rPr>
      <w:rFonts w:ascii="Arial" w:hAnsi="Arial" w:eastAsia="Calibri" w:cs="Times New Roman"/>
      <w:sz w:val="20"/>
      <w:szCs w:val="22"/>
    </w:rPr>
  </w:style>
  <w:style w:type="paragraph" w:styleId="ListBullet3Sgl" w:customStyle="1">
    <w:name w:val="List Bullet 3 Sgl"/>
    <w:basedOn w:val="ListBullet3"/>
    <w:qFormat/>
    <w:rsid w:val="00C60AED"/>
    <w:pPr>
      <w:numPr>
        <w:numId w:val="0"/>
      </w:numPr>
      <w:tabs>
        <w:tab w:val="num" w:pos="720"/>
      </w:tabs>
      <w:spacing w:after="240"/>
      <w:ind w:left="720" w:hanging="360"/>
      <w:contextualSpacing w:val="0"/>
      <w:jc w:val="both"/>
    </w:pPr>
    <w:rPr>
      <w:rFonts w:ascii="Arial" w:hAnsi="Arial" w:eastAsia="Calibri" w:cs="Arial"/>
      <w:sz w:val="20"/>
    </w:rPr>
  </w:style>
  <w:style w:type="paragraph" w:styleId="Listi" w:customStyle="1">
    <w:name w:val="List (i)"/>
    <w:basedOn w:val="Normal"/>
    <w:qFormat/>
    <w:rsid w:val="00C60AED"/>
    <w:pPr>
      <w:spacing w:after="240"/>
      <w:ind w:left="720" w:firstLine="720"/>
      <w:jc w:val="both"/>
    </w:pPr>
    <w:rPr>
      <w:rFonts w:ascii="Arial" w:hAnsi="Arial" w:eastAsia="Calibri" w:cs="Arial"/>
      <w:sz w:val="20"/>
    </w:rPr>
  </w:style>
  <w:style w:type="paragraph" w:styleId="ListBullet4Sgl" w:customStyle="1">
    <w:name w:val="List Bullet 4 Sgl"/>
    <w:basedOn w:val="ListBullet4"/>
    <w:qFormat/>
    <w:rsid w:val="00C60AED"/>
    <w:pPr>
      <w:spacing w:after="240"/>
      <w:contextualSpacing w:val="0"/>
      <w:jc w:val="both"/>
    </w:pPr>
    <w:rPr>
      <w:rFonts w:ascii="Arial" w:hAnsi="Arial" w:eastAsia="Calibri" w:cs="Arial"/>
      <w:sz w:val="20"/>
    </w:rPr>
  </w:style>
  <w:style w:type="paragraph" w:styleId="NoteHeading1" w:customStyle="1">
    <w:name w:val="Note Heading1"/>
    <w:basedOn w:val="Normal"/>
    <w:next w:val="Normal"/>
    <w:uiPriority w:val="99"/>
    <w:semiHidden/>
    <w:unhideWhenUsed/>
    <w:rsid w:val="00C60AED"/>
    <w:rPr>
      <w:rFonts w:ascii="Arial" w:hAnsi="Arial" w:eastAsia="Calibri" w:cs="Arial"/>
      <w:sz w:val="20"/>
    </w:rPr>
  </w:style>
  <w:style w:type="character" w:styleId="NoteHeadingChar1" w:customStyle="1">
    <w:name w:val="Note Heading Char1"/>
    <w:rsid w:val="00C60AED"/>
    <w:rPr>
      <w:rFonts w:eastAsia="Calibri" w:cs="Arial"/>
      <w:sz w:val="24"/>
      <w:szCs w:val="24"/>
    </w:rPr>
  </w:style>
  <w:style w:type="numbering" w:styleId="NoList11" w:customStyle="1">
    <w:name w:val="No List11"/>
    <w:next w:val="NoList"/>
    <w:uiPriority w:val="99"/>
    <w:semiHidden/>
    <w:rsid w:val="00C60AED"/>
  </w:style>
  <w:style w:type="paragraph" w:styleId="Default" w:customStyle="1">
    <w:name w:val="Default"/>
    <w:rsid w:val="00C60AED"/>
    <w:pPr>
      <w:autoSpaceDE w:val="0"/>
      <w:autoSpaceDN w:val="0"/>
      <w:adjustRightInd w:val="0"/>
    </w:pPr>
    <w:rPr>
      <w:rFonts w:ascii="Book Antiqua" w:hAnsi="Book Antiqua" w:eastAsia="Calibri" w:cs="Book Antiqua"/>
      <w:color w:val="000000"/>
      <w:lang w:val="en-GB"/>
    </w:rPr>
  </w:style>
  <w:style w:type="paragraph" w:styleId="Revision">
    <w:name w:val="Revision"/>
    <w:hidden/>
    <w:uiPriority w:val="99"/>
    <w:semiHidden/>
    <w:rsid w:val="00C60AED"/>
    <w:rPr>
      <w:rFonts w:eastAsia="Calibri" w:cs="Arial"/>
    </w:rPr>
  </w:style>
  <w:style w:type="paragraph" w:styleId="TableTextBullet1" w:customStyle="1">
    <w:name w:val="Table Text*Bullet 1"/>
    <w:basedOn w:val="TableText12ptsafterJ"/>
    <w:qFormat/>
    <w:rsid w:val="00C60AED"/>
    <w:pPr>
      <w:ind w:left="720" w:hanging="360"/>
    </w:pPr>
    <w:rPr>
      <w:lang w:val="en-GB"/>
    </w:rPr>
  </w:style>
  <w:style w:type="paragraph" w:styleId="TableText12ptsafterJ" w:customStyle="1">
    <w:name w:val="Table Text*12pts after J"/>
    <w:basedOn w:val="Normal"/>
    <w:qFormat/>
    <w:rsid w:val="00C60AED"/>
    <w:pPr>
      <w:spacing w:after="240"/>
      <w:jc w:val="both"/>
    </w:pPr>
    <w:rPr>
      <w:rFonts w:ascii="Arial" w:hAnsi="Arial" w:eastAsia="Calibri" w:cs="Arial"/>
      <w:sz w:val="20"/>
    </w:rPr>
  </w:style>
  <w:style w:type="paragraph" w:styleId="List1" w:customStyle="1">
    <w:name w:val="List (1)"/>
    <w:basedOn w:val="Normal"/>
    <w:qFormat/>
    <w:rsid w:val="00C60AED"/>
    <w:pPr>
      <w:spacing w:after="240"/>
      <w:ind w:left="1440" w:hanging="720"/>
      <w:jc w:val="both"/>
    </w:pPr>
    <w:rPr>
      <w:rFonts w:ascii="Arial" w:hAnsi="Arial" w:eastAsia="Calibri" w:cs="Arial"/>
      <w:sz w:val="20"/>
    </w:rPr>
  </w:style>
  <w:style w:type="paragraph" w:styleId="BodyTextFirstIndentSglJ" w:customStyle="1">
    <w:name w:val="Body Text First Indent Sgl J"/>
    <w:basedOn w:val="BodyTextFirstIndent2"/>
    <w:qFormat/>
    <w:rsid w:val="00C60AED"/>
    <w:pPr>
      <w:ind w:left="1440" w:firstLine="720"/>
      <w:jc w:val="both"/>
    </w:pPr>
    <w:rPr>
      <w:rFonts w:ascii="Arial" w:hAnsi="Arial" w:eastAsia="Calibri" w:cs="Arial"/>
      <w:sz w:val="20"/>
    </w:rPr>
  </w:style>
  <w:style w:type="paragraph" w:styleId="List10" w:customStyle="1">
    <w:name w:val="List (1)*"/>
    <w:basedOn w:val="Normal"/>
    <w:qFormat/>
    <w:rsid w:val="00C60AED"/>
    <w:pPr>
      <w:spacing w:after="240"/>
      <w:ind w:left="1440" w:hanging="720"/>
      <w:jc w:val="both"/>
    </w:pPr>
    <w:rPr>
      <w:rFonts w:ascii="Arial" w:hAnsi="Arial" w:eastAsia="Calibri" w:cs="Arial"/>
      <w:sz w:val="20"/>
    </w:rPr>
  </w:style>
  <w:style w:type="paragraph" w:styleId="Lista" w:customStyle="1">
    <w:name w:val="List (a)"/>
    <w:basedOn w:val="Normal"/>
    <w:qFormat/>
    <w:rsid w:val="00C60AED"/>
    <w:pPr>
      <w:spacing w:after="240"/>
      <w:ind w:left="1440" w:hanging="720"/>
      <w:jc w:val="both"/>
    </w:pPr>
    <w:rPr>
      <w:rFonts w:ascii="Arial" w:hAnsi="Arial" w:eastAsia="Calibri" w:cs="Arial"/>
      <w:sz w:val="20"/>
      <w:lang w:val="en-GB"/>
    </w:rPr>
  </w:style>
  <w:style w:type="paragraph" w:styleId="TableTextIndex" w:customStyle="1">
    <w:name w:val="Table Text*Index"/>
    <w:basedOn w:val="Normal"/>
    <w:qFormat/>
    <w:rsid w:val="00C60AED"/>
    <w:rPr>
      <w:rFonts w:ascii="Arial" w:hAnsi="Arial" w:eastAsia="Calibri" w:cs="Arial"/>
      <w:bCs/>
      <w:sz w:val="20"/>
    </w:rPr>
  </w:style>
  <w:style w:type="paragraph" w:styleId="TableText12ptsafter" w:customStyle="1">
    <w:name w:val="Table Text*12pts after"/>
    <w:basedOn w:val="Normal"/>
    <w:qFormat/>
    <w:rsid w:val="00C60AED"/>
    <w:pPr>
      <w:spacing w:after="240"/>
    </w:pPr>
    <w:rPr>
      <w:rFonts w:ascii="Arial" w:hAnsi="Arial" w:eastAsia="Calibri" w:cs="Arial"/>
      <w:sz w:val="20"/>
    </w:rPr>
  </w:style>
  <w:style w:type="paragraph" w:styleId="Agreement1" w:customStyle="1">
    <w:name w:val="Agreement 1"/>
    <w:aliases w:val="A1"/>
    <w:basedOn w:val="Normal"/>
    <w:next w:val="Normal"/>
    <w:uiPriority w:val="1"/>
    <w:qFormat/>
    <w:rsid w:val="00C60AED"/>
    <w:pPr>
      <w:keepNext/>
      <w:spacing w:before="240" w:after="120"/>
      <w:ind w:left="720" w:hanging="720"/>
      <w:jc w:val="both"/>
      <w:outlineLvl w:val="0"/>
    </w:pPr>
    <w:rPr>
      <w:rFonts w:ascii="Arial Bold" w:hAnsi="Arial Bold" w:eastAsia="Calibri" w:cs="Times New Roman"/>
      <w:b/>
      <w:szCs w:val="21"/>
      <w:lang w:val="en-GB" w:eastAsia="en-IE"/>
    </w:rPr>
  </w:style>
  <w:style w:type="paragraph" w:styleId="Agreement2" w:customStyle="1">
    <w:name w:val="Agreement 2"/>
    <w:aliases w:val="A2"/>
    <w:basedOn w:val="Normal"/>
    <w:uiPriority w:val="3"/>
    <w:qFormat/>
    <w:rsid w:val="00C60AED"/>
    <w:pPr>
      <w:spacing w:before="240" w:after="120"/>
      <w:ind w:left="720" w:hanging="720"/>
      <w:jc w:val="both"/>
      <w:outlineLvl w:val="1"/>
    </w:pPr>
    <w:rPr>
      <w:rFonts w:ascii="Arial" w:hAnsi="Arial" w:eastAsia="Calibri" w:cs="Times New Roman"/>
      <w:sz w:val="21"/>
      <w:szCs w:val="21"/>
      <w:lang w:val="en-GB" w:eastAsia="en-IE"/>
    </w:rPr>
  </w:style>
  <w:style w:type="paragraph" w:styleId="Agreement3" w:customStyle="1">
    <w:name w:val="Agreement 3"/>
    <w:aliases w:val="A3"/>
    <w:basedOn w:val="Normal"/>
    <w:uiPriority w:val="5"/>
    <w:qFormat/>
    <w:rsid w:val="00C60AED"/>
    <w:pPr>
      <w:spacing w:before="240" w:after="120"/>
      <w:ind w:left="1440" w:hanging="720"/>
      <w:jc w:val="both"/>
      <w:outlineLvl w:val="2"/>
    </w:pPr>
    <w:rPr>
      <w:rFonts w:ascii="Arial" w:hAnsi="Arial" w:eastAsia="Calibri" w:cs="Times New Roman"/>
      <w:sz w:val="21"/>
      <w:szCs w:val="21"/>
      <w:lang w:val="en-GB" w:eastAsia="en-IE"/>
    </w:rPr>
  </w:style>
  <w:style w:type="paragraph" w:styleId="Agreement4" w:customStyle="1">
    <w:name w:val="Agreement 4"/>
    <w:aliases w:val="A4"/>
    <w:basedOn w:val="Normal"/>
    <w:uiPriority w:val="7"/>
    <w:qFormat/>
    <w:rsid w:val="00C60AED"/>
    <w:pPr>
      <w:spacing w:before="240" w:after="120"/>
      <w:ind w:left="2160" w:hanging="720"/>
      <w:jc w:val="both"/>
      <w:outlineLvl w:val="3"/>
    </w:pPr>
    <w:rPr>
      <w:rFonts w:ascii="Arial" w:hAnsi="Arial" w:eastAsia="Calibri" w:cs="Times New Roman"/>
      <w:sz w:val="21"/>
      <w:szCs w:val="21"/>
      <w:lang w:val="en-GB" w:eastAsia="en-IE"/>
    </w:rPr>
  </w:style>
  <w:style w:type="paragraph" w:styleId="Agreement5" w:customStyle="1">
    <w:name w:val="Agreement 5"/>
    <w:aliases w:val="A5"/>
    <w:basedOn w:val="Normal"/>
    <w:uiPriority w:val="9"/>
    <w:qFormat/>
    <w:rsid w:val="00C60AED"/>
    <w:pPr>
      <w:spacing w:before="240" w:after="120"/>
      <w:ind w:left="2880" w:hanging="720"/>
      <w:jc w:val="both"/>
      <w:outlineLvl w:val="4"/>
    </w:pPr>
    <w:rPr>
      <w:rFonts w:ascii="Arial" w:hAnsi="Arial" w:eastAsia="Calibri" w:cs="Times New Roman"/>
      <w:sz w:val="21"/>
      <w:szCs w:val="21"/>
      <w:lang w:val="en-GB" w:eastAsia="en-IE"/>
    </w:rPr>
  </w:style>
  <w:style w:type="paragraph" w:styleId="TitleIU" w:customStyle="1">
    <w:name w:val="Title IU"/>
    <w:basedOn w:val="TitleI"/>
    <w:qFormat/>
    <w:rsid w:val="00C60AED"/>
    <w:pPr>
      <w:textAlignment w:val="auto"/>
    </w:pPr>
    <w:rPr>
      <w:rFonts w:eastAsia="Calibri" w:cs="Arial"/>
      <w:color w:val="auto"/>
      <w:u w:val="single"/>
    </w:rPr>
  </w:style>
  <w:style w:type="paragraph" w:styleId="15INDENT" w:customStyle="1">
    <w:name w:val="1.5 INDENT"/>
    <w:basedOn w:val="Normal"/>
    <w:qFormat/>
    <w:rsid w:val="00C60AED"/>
    <w:pPr>
      <w:tabs>
        <w:tab w:val="left" w:pos="-720"/>
        <w:tab w:val="left" w:pos="0"/>
      </w:tabs>
      <w:suppressAutoHyphens/>
      <w:spacing w:after="240"/>
      <w:ind w:left="2160"/>
      <w:jc w:val="both"/>
    </w:pPr>
    <w:rPr>
      <w:rFonts w:ascii="Arial" w:hAnsi="Arial" w:eastAsia="Calibri" w:cs="Arial"/>
      <w:sz w:val="20"/>
      <w:szCs w:val="20"/>
    </w:rPr>
  </w:style>
  <w:style w:type="paragraph" w:styleId="55justify" w:customStyle="1">
    <w:name w:val=".5/.5 justify"/>
    <w:basedOn w:val="Normal"/>
    <w:qFormat/>
    <w:rsid w:val="00C60AED"/>
    <w:pPr>
      <w:tabs>
        <w:tab w:val="left" w:pos="-720"/>
      </w:tabs>
      <w:suppressAutoHyphens/>
      <w:spacing w:after="240"/>
      <w:ind w:left="720" w:firstLine="720"/>
      <w:jc w:val="both"/>
    </w:pPr>
    <w:rPr>
      <w:rFonts w:ascii="Arial" w:hAnsi="Arial" w:eastAsia="Calibri" w:cs="Arial"/>
      <w:sz w:val="20"/>
      <w:szCs w:val="20"/>
    </w:rPr>
  </w:style>
  <w:style w:type="paragraph" w:styleId="Level4Bullet" w:customStyle="1">
    <w:name w:val="Level 4 Bullet"/>
    <w:basedOn w:val="Heading3"/>
    <w:rsid w:val="00C60AED"/>
    <w:pPr>
      <w:numPr>
        <w:ilvl w:val="0"/>
        <w:numId w:val="0"/>
      </w:numPr>
      <w:tabs>
        <w:tab w:val="clear" w:pos="720"/>
      </w:tabs>
      <w:spacing w:after="0"/>
      <w:ind w:left="2126"/>
      <w:jc w:val="left"/>
      <w:outlineLvl w:val="9"/>
    </w:pPr>
    <w:rPr>
      <w:rFonts w:ascii="Verdana" w:hAnsi="Verdana" w:eastAsia="Times New Roman" w:cs="Arial"/>
      <w:b w:val="0"/>
      <w:bCs w:val="0"/>
      <w:szCs w:val="18"/>
      <w:lang w:val="en-GB"/>
    </w:rPr>
  </w:style>
  <w:style w:type="paragraph" w:styleId="ReportTitle" w:customStyle="1">
    <w:name w:val="Report Title"/>
    <w:basedOn w:val="Normal"/>
    <w:rsid w:val="00C60AED"/>
    <w:pPr>
      <w:snapToGrid w:val="0"/>
      <w:jc w:val="both"/>
    </w:pPr>
    <w:rPr>
      <w:rFonts w:eastAsia="Times New Roman" w:cs="Times New Roman"/>
      <w:sz w:val="28"/>
      <w:szCs w:val="20"/>
      <w:lang w:val="en-GB"/>
    </w:rPr>
  </w:style>
  <w:style w:type="paragraph" w:styleId="bulls" w:customStyle="1">
    <w:name w:val="bulls"/>
    <w:basedOn w:val="Normal"/>
    <w:rsid w:val="00C60AED"/>
    <w:pPr>
      <w:snapToGrid w:val="0"/>
      <w:ind w:left="850" w:hanging="425"/>
      <w:jc w:val="both"/>
    </w:pPr>
    <w:rPr>
      <w:rFonts w:eastAsia="Times New Roman" w:cs="Times New Roman"/>
      <w:szCs w:val="20"/>
      <w:lang w:val="en-GB"/>
    </w:rPr>
  </w:style>
  <w:style w:type="paragraph" w:styleId="tab2" w:customStyle="1">
    <w:name w:val="tab2"/>
    <w:basedOn w:val="Normal"/>
    <w:rsid w:val="00C60AED"/>
    <w:pPr>
      <w:tabs>
        <w:tab w:val="left" w:pos="461"/>
        <w:tab w:val="left" w:pos="691"/>
        <w:tab w:val="left" w:pos="922"/>
        <w:tab w:val="decimal" w:pos="8505"/>
        <w:tab w:val="decimal" w:pos="9781"/>
        <w:tab w:val="decimal" w:pos="11057"/>
      </w:tabs>
      <w:suppressAutoHyphens/>
      <w:jc w:val="both"/>
    </w:pPr>
    <w:rPr>
      <w:rFonts w:eastAsia="Times New Roman" w:cs="Times New Roman"/>
      <w:spacing w:val="-2"/>
      <w:szCs w:val="20"/>
      <w:lang w:val="en-GB"/>
    </w:rPr>
  </w:style>
  <w:style w:type="character" w:styleId="T2Char" w:customStyle="1">
    <w:name w:val="T2 Char"/>
    <w:link w:val="T2"/>
    <w:locked/>
    <w:rsid w:val="00C60AED"/>
    <w:rPr>
      <w:rFonts w:ascii="Arial" w:hAnsi="Arial"/>
      <w:sz w:val="19"/>
    </w:rPr>
  </w:style>
  <w:style w:type="paragraph" w:styleId="T2" w:customStyle="1">
    <w:name w:val="T2"/>
    <w:basedOn w:val="Normal"/>
    <w:link w:val="T2Char"/>
    <w:rsid w:val="00C60AED"/>
    <w:pPr>
      <w:keepNext/>
      <w:spacing w:line="301" w:lineRule="atLeast"/>
    </w:pPr>
    <w:rPr>
      <w:rFonts w:ascii="Arial" w:hAnsi="Arial"/>
      <w:sz w:val="19"/>
    </w:rPr>
  </w:style>
  <w:style w:type="paragraph" w:styleId="Thin" w:customStyle="1">
    <w:name w:val="Thin"/>
    <w:basedOn w:val="Normal"/>
    <w:next w:val="Normal"/>
    <w:rsid w:val="00C60AED"/>
    <w:pPr>
      <w:keepNext/>
      <w:tabs>
        <w:tab w:val="decimal" w:pos="1202"/>
      </w:tabs>
      <w:spacing w:line="100" w:lineRule="exact"/>
    </w:pPr>
    <w:rPr>
      <w:rFonts w:ascii="Arial" w:hAnsi="Arial" w:eastAsia="Times New Roman" w:cs="Times New Roman"/>
      <w:noProof/>
      <w:position w:val="4"/>
      <w:sz w:val="19"/>
      <w:szCs w:val="20"/>
      <w:lang w:val="en-GB"/>
    </w:rPr>
  </w:style>
  <w:style w:type="character" w:styleId="Header3Char" w:customStyle="1">
    <w:name w:val="Header 3 Char"/>
    <w:link w:val="Header3"/>
    <w:locked/>
    <w:rsid w:val="00C60AED"/>
    <w:rPr>
      <w:rFonts w:ascii="Arial" w:hAnsi="Arial"/>
      <w:u w:val="single"/>
    </w:rPr>
  </w:style>
  <w:style w:type="paragraph" w:styleId="Header3" w:customStyle="1">
    <w:name w:val="Header 3"/>
    <w:basedOn w:val="Normal"/>
    <w:link w:val="Header3Char"/>
    <w:rsid w:val="00C60AED"/>
    <w:rPr>
      <w:rFonts w:ascii="Arial" w:hAnsi="Arial"/>
      <w:sz w:val="24"/>
      <w:u w:val="single"/>
    </w:rPr>
  </w:style>
  <w:style w:type="character" w:styleId="FinancialstatementsheaderChar" w:customStyle="1">
    <w:name w:val="Financial statements header Char"/>
    <w:link w:val="Financialstatementsheader"/>
    <w:locked/>
    <w:rsid w:val="00C60AED"/>
    <w:rPr>
      <w:rFonts w:ascii="Verdana" w:hAnsi="Verdana"/>
      <w:b/>
      <w:sz w:val="22"/>
      <w:szCs w:val="18"/>
    </w:rPr>
  </w:style>
  <w:style w:type="paragraph" w:styleId="Financialstatementsheader" w:customStyle="1">
    <w:name w:val="Financial statements header"/>
    <w:basedOn w:val="Normal"/>
    <w:link w:val="FinancialstatementsheaderChar"/>
    <w:qFormat/>
    <w:rsid w:val="00C60AED"/>
    <w:pPr>
      <w:tabs>
        <w:tab w:val="left" w:pos="1418"/>
      </w:tabs>
      <w:jc w:val="both"/>
    </w:pPr>
    <w:rPr>
      <w:rFonts w:ascii="Verdana" w:hAnsi="Verdana"/>
      <w:b/>
      <w:szCs w:val="18"/>
    </w:rPr>
  </w:style>
  <w:style w:type="character" w:styleId="FinancialstatementsChar1" w:customStyle="1">
    <w:name w:val="Financial statements Char1"/>
    <w:link w:val="Financialstatements"/>
    <w:locked/>
    <w:rsid w:val="00C60AED"/>
    <w:rPr>
      <w:rFonts w:ascii="Verdana" w:hAnsi="Verdana"/>
      <w:b/>
      <w:sz w:val="22"/>
      <w:szCs w:val="18"/>
    </w:rPr>
  </w:style>
  <w:style w:type="paragraph" w:styleId="Financialstatements" w:customStyle="1">
    <w:name w:val="Financial statements"/>
    <w:link w:val="FinancialstatementsChar1"/>
    <w:qFormat/>
    <w:rsid w:val="00C60AED"/>
    <w:rPr>
      <w:rFonts w:ascii="Verdana" w:hAnsi="Verdana"/>
      <w:b/>
      <w:sz w:val="22"/>
      <w:szCs w:val="18"/>
    </w:rPr>
  </w:style>
  <w:style w:type="character" w:styleId="TextChar" w:customStyle="1">
    <w:name w:val="Text Char"/>
    <w:aliases w:val="Body Text Char1,b Char,t Char,z Char,Letter Body Char,Memo Body Char,Body text Char,tx Char,t Char1,z Char1,b Char1,z + Italic + Black Char,Left:  1.27 cm Char Char,Body Text KAS Char,Tempo Body Text Char,bt Char,body text Char,BODY TEXT Char"/>
    <w:link w:val="Text"/>
    <w:locked/>
    <w:rsid w:val="00C60AED"/>
    <w:rPr>
      <w:sz w:val="22"/>
    </w:rPr>
  </w:style>
  <w:style w:type="paragraph" w:styleId="Text" w:customStyle="1">
    <w:name w:val="Text"/>
    <w:aliases w:val="Body text,b,t,t1,z,Letter Body,Memo Body,z + Italic + Black,Left:  1.27 cm,tx,txt,table text,Table text,sm,s,Small,heading,Table,table,tble,txt sm,Table Table Text,tablet text,tbt,Body Text Proposal,b-heading,Bod,bo,Report Body"/>
    <w:basedOn w:val="Normal"/>
    <w:link w:val="TextChar"/>
    <w:qFormat/>
    <w:rsid w:val="00C60AED"/>
    <w:pPr>
      <w:overflowPunct w:val="0"/>
      <w:autoSpaceDE w:val="0"/>
      <w:autoSpaceDN w:val="0"/>
      <w:adjustRightInd w:val="0"/>
      <w:spacing w:after="130" w:line="260" w:lineRule="exact"/>
      <w:ind w:left="709"/>
      <w:jc w:val="both"/>
    </w:pPr>
  </w:style>
  <w:style w:type="character" w:styleId="FinancialstatementsChar" w:customStyle="1">
    <w:name w:val="Financial statements Char"/>
    <w:rsid w:val="00C60AED"/>
  </w:style>
  <w:style w:type="character" w:styleId="larger" w:customStyle="1">
    <w:name w:val="larger"/>
    <w:rsid w:val="00C60AED"/>
  </w:style>
  <w:style w:type="paragraph" w:styleId="Body" w:customStyle="1">
    <w:name w:val="Body"/>
    <w:basedOn w:val="Normal"/>
    <w:link w:val="BodyChar"/>
    <w:rsid w:val="00C60AED"/>
    <w:pPr>
      <w:spacing w:after="140" w:line="290" w:lineRule="auto"/>
      <w:jc w:val="both"/>
    </w:pPr>
    <w:rPr>
      <w:rFonts w:ascii="Arial" w:hAnsi="Arial" w:eastAsia="Times New Roman" w:cs="Times New Roman"/>
      <w:kern w:val="20"/>
      <w:sz w:val="20"/>
      <w:lang w:val="en-GB" w:eastAsia="en-GB"/>
    </w:rPr>
  </w:style>
  <w:style w:type="numbering" w:styleId="NoList111" w:customStyle="1">
    <w:name w:val="No List111"/>
    <w:next w:val="NoList"/>
    <w:uiPriority w:val="99"/>
    <w:semiHidden/>
    <w:rsid w:val="00C60AED"/>
  </w:style>
  <w:style w:type="paragraph" w:styleId="TitleUI" w:customStyle="1">
    <w:name w:val="Title UI"/>
    <w:basedOn w:val="TitleU"/>
    <w:qFormat/>
    <w:rsid w:val="00C60AED"/>
    <w:pPr>
      <w:keepNext w:val="0"/>
      <w:jc w:val="left"/>
    </w:pPr>
    <w:rPr>
      <w:rFonts w:eastAsia="Calibri" w:cs="Arial"/>
      <w:i/>
      <w:szCs w:val="24"/>
      <w:lang w:val="en-GB"/>
    </w:rPr>
  </w:style>
  <w:style w:type="paragraph" w:styleId="BlockText15SglJ" w:customStyle="1">
    <w:name w:val="Block Text 1.5 Sgl J"/>
    <w:basedOn w:val="Normal"/>
    <w:qFormat/>
    <w:rsid w:val="00C60AED"/>
    <w:pPr>
      <w:spacing w:after="240"/>
      <w:ind w:left="2160"/>
      <w:jc w:val="both"/>
    </w:pPr>
    <w:rPr>
      <w:rFonts w:eastAsia="Calibri" w:cs="Arial"/>
      <w:lang w:val="en-GB"/>
    </w:rPr>
  </w:style>
  <w:style w:type="paragraph" w:styleId="Tableline2" w:customStyle="1">
    <w:name w:val="Table line 2"/>
    <w:basedOn w:val="Tableline"/>
    <w:qFormat/>
    <w:rsid w:val="00C60AED"/>
    <w:pPr>
      <w:ind w:left="720"/>
    </w:pPr>
  </w:style>
  <w:style w:type="paragraph" w:styleId="Tablenote2" w:customStyle="1">
    <w:name w:val="Table note 2"/>
    <w:basedOn w:val="Tablenote"/>
    <w:qFormat/>
    <w:rsid w:val="00C60AED"/>
    <w:pPr>
      <w:ind w:left="1080"/>
    </w:pPr>
  </w:style>
  <w:style w:type="numbering" w:styleId="NoList2" w:customStyle="1">
    <w:name w:val="No List2"/>
    <w:next w:val="NoList"/>
    <w:uiPriority w:val="99"/>
    <w:semiHidden/>
    <w:unhideWhenUsed/>
    <w:rsid w:val="00C60AED"/>
  </w:style>
  <w:style w:type="numbering" w:styleId="NoList12" w:customStyle="1">
    <w:name w:val="No List12"/>
    <w:next w:val="NoList"/>
    <w:uiPriority w:val="99"/>
    <w:semiHidden/>
    <w:unhideWhenUsed/>
    <w:rsid w:val="00C60AED"/>
  </w:style>
  <w:style w:type="numbering" w:styleId="NoList112" w:customStyle="1">
    <w:name w:val="No List112"/>
    <w:next w:val="NoList"/>
    <w:uiPriority w:val="99"/>
    <w:semiHidden/>
    <w:unhideWhenUsed/>
    <w:rsid w:val="00C60AED"/>
  </w:style>
  <w:style w:type="numbering" w:styleId="NoList1111" w:customStyle="1">
    <w:name w:val="No List1111"/>
    <w:next w:val="NoList"/>
    <w:semiHidden/>
    <w:rsid w:val="00C60AED"/>
  </w:style>
  <w:style w:type="numbering" w:styleId="NoList11111" w:customStyle="1">
    <w:name w:val="No List11111"/>
    <w:next w:val="NoList"/>
    <w:uiPriority w:val="99"/>
    <w:semiHidden/>
    <w:rsid w:val="00C60AED"/>
  </w:style>
  <w:style w:type="numbering" w:styleId="NoList111111" w:customStyle="1">
    <w:name w:val="No List111111"/>
    <w:next w:val="NoList"/>
    <w:semiHidden/>
    <w:rsid w:val="00C60AED"/>
  </w:style>
  <w:style w:type="paragraph" w:styleId="BodyText0Space" w:customStyle="1">
    <w:name w:val="Body Text 0 Space"/>
    <w:basedOn w:val="Normal"/>
    <w:rsid w:val="00C60AED"/>
    <w:pPr>
      <w:suppressAutoHyphens/>
      <w:jc w:val="both"/>
    </w:pPr>
    <w:rPr>
      <w:rFonts w:eastAsia="Calibri" w:cs="Arial"/>
      <w:sz w:val="20"/>
      <w:szCs w:val="20"/>
      <w:lang w:val="en-GB"/>
    </w:rPr>
  </w:style>
  <w:style w:type="paragraph" w:styleId="HangingIndent5" w:customStyle="1">
    <w:name w:val="Hanging Indent .5"/>
    <w:basedOn w:val="Normal"/>
    <w:qFormat/>
    <w:rsid w:val="00C60AED"/>
    <w:pPr>
      <w:spacing w:after="240"/>
      <w:ind w:left="720" w:hanging="720"/>
      <w:jc w:val="both"/>
    </w:pPr>
    <w:rPr>
      <w:rFonts w:eastAsia="Calibri" w:cs="Arial"/>
      <w:lang w:val="en-GB"/>
    </w:rPr>
  </w:style>
  <w:style w:type="paragraph" w:styleId="s19" w:customStyle="1">
    <w:name w:val="s19"/>
    <w:basedOn w:val="Normal"/>
    <w:rsid w:val="00C60AED"/>
    <w:pPr>
      <w:spacing w:before="100" w:beforeAutospacing="1" w:after="100" w:afterAutospacing="1"/>
    </w:pPr>
    <w:rPr>
      <w:rFonts w:eastAsia="Calibri" w:cs="Times New Roman"/>
      <w:sz w:val="24"/>
      <w:lang w:val="en-GB" w:eastAsia="en-GB"/>
    </w:rPr>
  </w:style>
  <w:style w:type="character" w:styleId="s18" w:customStyle="1">
    <w:name w:val="s18"/>
    <w:rsid w:val="00C60AED"/>
  </w:style>
  <w:style w:type="paragraph" w:styleId="CellHead" w:customStyle="1">
    <w:name w:val="CellHead"/>
    <w:basedOn w:val="Normal"/>
    <w:rsid w:val="00C60AED"/>
    <w:pPr>
      <w:keepNext/>
      <w:spacing w:before="60" w:after="60" w:line="259" w:lineRule="auto"/>
    </w:pPr>
    <w:rPr>
      <w:rFonts w:eastAsia="Times New Roman" w:cs="Times New Roman"/>
      <w:b/>
      <w:kern w:val="20"/>
      <w:sz w:val="20"/>
      <w:szCs w:val="20"/>
      <w:lang w:val="en-GB"/>
    </w:rPr>
  </w:style>
  <w:style w:type="paragraph" w:styleId="CellBody" w:customStyle="1">
    <w:name w:val="CellBody"/>
    <w:basedOn w:val="Normal"/>
    <w:rsid w:val="00C60AED"/>
    <w:pPr>
      <w:spacing w:before="60" w:after="60" w:line="290" w:lineRule="auto"/>
    </w:pPr>
    <w:rPr>
      <w:rFonts w:eastAsia="Times New Roman" w:cs="Times New Roman"/>
      <w:kern w:val="20"/>
      <w:sz w:val="20"/>
      <w:szCs w:val="20"/>
      <w:lang w:val="en-GB"/>
    </w:rPr>
  </w:style>
  <w:style w:type="character" w:styleId="BodyChar" w:customStyle="1">
    <w:name w:val="Body Char"/>
    <w:link w:val="Body"/>
    <w:rsid w:val="00C60AED"/>
    <w:rPr>
      <w:rFonts w:ascii="Arial" w:hAnsi="Arial" w:eastAsia="Times New Roman" w:cs="Times New Roman"/>
      <w:kern w:val="20"/>
      <w:sz w:val="20"/>
      <w:lang w:val="en-GB" w:eastAsia="en-GB"/>
    </w:rPr>
  </w:style>
  <w:style w:type="paragraph" w:styleId="Cell-Headitalic" w:customStyle="1">
    <w:name w:val="Cell-Headitalic"/>
    <w:basedOn w:val="CellHead"/>
    <w:rsid w:val="00C60AED"/>
    <w:pPr>
      <w:spacing w:before="40" w:after="120" w:line="290" w:lineRule="auto"/>
      <w:jc w:val="center"/>
    </w:pPr>
    <w:rPr>
      <w:b w:val="0"/>
      <w:i/>
    </w:rPr>
  </w:style>
  <w:style w:type="paragraph" w:styleId="CellRowSpacer" w:customStyle="1">
    <w:name w:val="CellRowSpacer"/>
    <w:basedOn w:val="Normal"/>
    <w:rsid w:val="00C60AED"/>
    <w:pPr>
      <w:spacing w:before="40" w:after="40" w:line="290" w:lineRule="auto"/>
    </w:pPr>
    <w:rPr>
      <w:rFonts w:eastAsia="Times New Roman" w:cs="Times New Roman"/>
      <w:kern w:val="20"/>
      <w:sz w:val="20"/>
      <w:szCs w:val="20"/>
      <w:lang w:val="en-GB"/>
    </w:rPr>
  </w:style>
  <w:style w:type="paragraph" w:styleId="TableFootnote" w:customStyle="1">
    <w:name w:val="Table Footnote"/>
    <w:basedOn w:val="Normal"/>
    <w:rsid w:val="00C60AED"/>
    <w:pPr>
      <w:spacing w:after="200" w:line="288" w:lineRule="auto"/>
      <w:ind w:left="908" w:hanging="284"/>
      <w:jc w:val="both"/>
    </w:pPr>
    <w:rPr>
      <w:rFonts w:eastAsia="Times New Roman" w:cs="Times"/>
      <w:sz w:val="16"/>
      <w:szCs w:val="20"/>
      <w:lang w:val="en-GB"/>
    </w:rPr>
  </w:style>
  <w:style w:type="paragraph" w:styleId="TableLine0" w:customStyle="1">
    <w:name w:val="Table Line"/>
    <w:basedOn w:val="Normal"/>
    <w:rsid w:val="00C60AED"/>
    <w:pPr>
      <w:pBdr>
        <w:bottom w:val="single" w:color="auto" w:sz="4" w:space="1"/>
      </w:pBdr>
      <w:spacing w:after="120"/>
      <w:ind w:right="7920"/>
      <w:jc w:val="both"/>
    </w:pPr>
    <w:rPr>
      <w:rFonts w:eastAsia="Times New Roman" w:cs="Times"/>
      <w:sz w:val="20"/>
      <w:szCs w:val="20"/>
      <w:lang w:val="en-GB"/>
    </w:rPr>
  </w:style>
  <w:style w:type="paragraph" w:styleId="Address" w:customStyle="1">
    <w:name w:val="Address"/>
    <w:basedOn w:val="Normal"/>
    <w:next w:val="Normal"/>
    <w:rsid w:val="00C60AED"/>
    <w:pPr>
      <w:tabs>
        <w:tab w:val="right" w:pos="6940"/>
        <w:tab w:val="left" w:pos="7394"/>
      </w:tabs>
      <w:overflowPunct w:val="0"/>
      <w:autoSpaceDE w:val="0"/>
      <w:autoSpaceDN w:val="0"/>
      <w:adjustRightInd w:val="0"/>
      <w:jc w:val="both"/>
    </w:pPr>
    <w:rPr>
      <w:rFonts w:eastAsia="Times New Roman" w:cs="Times New Roman"/>
      <w:szCs w:val="20"/>
      <w:lang w:val="en-GB"/>
    </w:rPr>
  </w:style>
  <w:style w:type="character" w:styleId="BulletChar" w:customStyle="1">
    <w:name w:val="Bullet Char"/>
    <w:link w:val="Bullet"/>
    <w:locked/>
    <w:rsid w:val="00C60AED"/>
    <w:rPr>
      <w:rFonts w:ascii="Calibri" w:hAnsi="Calibri" w:eastAsia="Calibri"/>
    </w:rPr>
  </w:style>
  <w:style w:type="paragraph" w:styleId="Bullet" w:customStyle="1">
    <w:name w:val="Bullet"/>
    <w:aliases w:val="bl"/>
    <w:basedOn w:val="Normal"/>
    <w:link w:val="BulletChar"/>
    <w:qFormat/>
    <w:rsid w:val="00C60AED"/>
    <w:pPr>
      <w:spacing w:after="130"/>
      <w:ind w:left="284" w:hanging="284"/>
    </w:pPr>
    <w:rPr>
      <w:rFonts w:ascii="Calibri" w:hAnsi="Calibri" w:eastAsia="Calibri"/>
      <w:sz w:val="24"/>
    </w:rPr>
  </w:style>
  <w:style w:type="paragraph" w:styleId="ListBulletSgl" w:customStyle="1">
    <w:name w:val="List Bullet Sgl"/>
    <w:basedOn w:val="Normal"/>
    <w:qFormat/>
    <w:rsid w:val="00C60AED"/>
    <w:pPr>
      <w:spacing w:after="240"/>
      <w:ind w:left="360" w:hanging="360"/>
    </w:pPr>
    <w:rPr>
      <w:rFonts w:eastAsia="Calibri" w:cs="Times New Roman"/>
      <w:sz w:val="20"/>
    </w:rPr>
  </w:style>
  <w:style w:type="paragraph" w:styleId="underlinedcustom" w:customStyle="1">
    <w:name w:val="underlinedcustom"/>
    <w:basedOn w:val="Normal"/>
    <w:link w:val="underlinedcustomChar"/>
    <w:qFormat/>
    <w:rsid w:val="00C60AED"/>
    <w:pPr>
      <w:pBdr>
        <w:bottom w:val="single" w:color="auto" w:sz="4" w:space="1"/>
      </w:pBdr>
    </w:pPr>
    <w:rPr>
      <w:rFonts w:ascii="Arial" w:hAnsi="Arial" w:eastAsia="Times New Roman" w:cs="Arial"/>
      <w:sz w:val="18"/>
      <w:szCs w:val="18"/>
      <w:lang w:val="en-GB"/>
    </w:rPr>
  </w:style>
  <w:style w:type="character" w:styleId="underlinedcustomChar" w:customStyle="1">
    <w:name w:val="underlinedcustom Char"/>
    <w:link w:val="underlinedcustom"/>
    <w:rsid w:val="00C60AED"/>
    <w:rPr>
      <w:rFonts w:ascii="Arial" w:hAnsi="Arial" w:eastAsia="Times New Roman" w:cs="Arial"/>
      <w:sz w:val="18"/>
      <w:szCs w:val="18"/>
      <w:lang w:val="en-GB"/>
    </w:rPr>
  </w:style>
  <w:style w:type="table" w:styleId="TableGrid4" w:customStyle="1">
    <w:name w:val="Table Grid4"/>
    <w:basedOn w:val="TableNormal"/>
    <w:next w:val="TableGrid"/>
    <w:uiPriority w:val="39"/>
    <w:rsid w:val="00C60AED"/>
    <w:rPr>
      <w:rFonts w:eastAsia="Microsoft JhengHei" w:cs="Times New Roman"/>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oldText" w:customStyle="1">
    <w:name w:val="BoldText"/>
    <w:uiPriority w:val="15"/>
    <w:qFormat/>
    <w:rsid w:val="00C60AED"/>
    <w:rPr>
      <w:b/>
    </w:rPr>
  </w:style>
  <w:style w:type="paragraph" w:styleId="PageSubHeader" w:customStyle="1">
    <w:name w:val="Page SubHeader"/>
    <w:basedOn w:val="Normal"/>
    <w:next w:val="Normal"/>
    <w:rsid w:val="00C60AED"/>
    <w:pPr>
      <w:overflowPunct w:val="0"/>
      <w:autoSpaceDE w:val="0"/>
      <w:autoSpaceDN w:val="0"/>
      <w:adjustRightInd w:val="0"/>
      <w:spacing w:before="120" w:after="400"/>
      <w:textAlignment w:val="baseline"/>
    </w:pPr>
    <w:rPr>
      <w:rFonts w:ascii="Arial" w:hAnsi="Arial" w:eastAsia="Times New Roman" w:cs="Times New Roman"/>
      <w:b/>
      <w:sz w:val="20"/>
      <w:szCs w:val="20"/>
      <w:lang w:val="en-GB"/>
    </w:rPr>
  </w:style>
  <w:style w:type="paragraph" w:styleId="Cover2" w:customStyle="1">
    <w:name w:val="Cover 2"/>
    <w:basedOn w:val="Normal"/>
    <w:next w:val="Cover3"/>
    <w:rsid w:val="00C60AED"/>
    <w:pPr>
      <w:spacing w:before="80" w:after="120"/>
    </w:pPr>
    <w:rPr>
      <w:rFonts w:ascii="Arial" w:hAnsi="Arial" w:eastAsia="Times New Roman" w:cs="Times New Roman"/>
      <w:b/>
      <w:sz w:val="24"/>
      <w:lang w:val="en-GB"/>
    </w:rPr>
  </w:style>
  <w:style w:type="paragraph" w:styleId="Cover3" w:customStyle="1">
    <w:name w:val="Cover 3"/>
    <w:basedOn w:val="Cover2"/>
    <w:next w:val="Normal"/>
    <w:rsid w:val="00C60AED"/>
    <w:pPr>
      <w:spacing w:before="240" w:after="0"/>
    </w:pPr>
    <w:rPr>
      <w:b w:val="0"/>
      <w:bCs/>
      <w:sz w:val="22"/>
    </w:rPr>
  </w:style>
  <w:style w:type="paragraph" w:styleId="FunduncertaintyHeading" w:customStyle="1">
    <w:name w:val="Fund' uncertainty Heading"/>
    <w:basedOn w:val="Normal"/>
    <w:next w:val="Normal"/>
    <w:rsid w:val="00C60AED"/>
    <w:pPr>
      <w:spacing w:before="80" w:after="200"/>
      <w:jc w:val="both"/>
    </w:pPr>
    <w:rPr>
      <w:rFonts w:eastAsia="Times New Roman" w:cs="Times New Roman"/>
      <w:i/>
      <w:sz w:val="20"/>
      <w:lang w:val="en-GB"/>
    </w:rPr>
  </w:style>
  <w:style w:type="paragraph" w:styleId="RegNumber" w:customStyle="1">
    <w:name w:val="Reg Number"/>
    <w:basedOn w:val="Normal"/>
    <w:rsid w:val="00C60AED"/>
    <w:rPr>
      <w:rFonts w:ascii="Arial" w:hAnsi="Arial" w:eastAsia="Times New Roman" w:cs="Times New Roman"/>
      <w:sz w:val="20"/>
      <w:lang w:val="en-GB"/>
    </w:rPr>
  </w:style>
  <w:style w:type="paragraph" w:styleId="Normalbullets" w:customStyle="1">
    <w:name w:val="Normal bullets"/>
    <w:basedOn w:val="Normal"/>
    <w:rsid w:val="00C60AED"/>
    <w:pPr>
      <w:tabs>
        <w:tab w:val="num" w:pos="425"/>
      </w:tabs>
      <w:spacing w:before="80" w:after="100"/>
      <w:ind w:left="425" w:hanging="425"/>
    </w:pPr>
    <w:rPr>
      <w:rFonts w:eastAsia="Times New Roman" w:cs="Times New Roman"/>
      <w:sz w:val="20"/>
      <w:lang w:val="en-GB"/>
    </w:rPr>
  </w:style>
  <w:style w:type="paragraph" w:styleId="PageHeader" w:customStyle="1">
    <w:name w:val="Page Header"/>
    <w:basedOn w:val="Normal"/>
    <w:qFormat/>
    <w:rsid w:val="00C60AED"/>
    <w:pPr>
      <w:overflowPunct w:val="0"/>
      <w:autoSpaceDE w:val="0"/>
      <w:autoSpaceDN w:val="0"/>
      <w:adjustRightInd w:val="0"/>
      <w:spacing w:before="240" w:line="400" w:lineRule="atLeast"/>
      <w:textAlignment w:val="baseline"/>
    </w:pPr>
    <w:rPr>
      <w:rFonts w:ascii="Arial" w:hAnsi="Arial" w:eastAsia="Times New Roman" w:cs="Times New Roman"/>
      <w:b/>
      <w:sz w:val="32"/>
      <w:szCs w:val="20"/>
      <w:lang w:val="en-GB"/>
    </w:rPr>
  </w:style>
  <w:style w:type="paragraph" w:styleId="TableFigures2decimalpoint" w:customStyle="1">
    <w:name w:val="Table Figures (2 decimal point)"/>
    <w:basedOn w:val="SingleSpaceAC"/>
    <w:qFormat/>
    <w:rsid w:val="00C60AED"/>
    <w:pPr>
      <w:tabs>
        <w:tab w:val="decimal" w:pos="680"/>
      </w:tabs>
    </w:pPr>
  </w:style>
  <w:style w:type="paragraph" w:styleId="NoteNumber" w:customStyle="1">
    <w:name w:val="Note Number"/>
    <w:basedOn w:val="Normal"/>
    <w:qFormat/>
    <w:rsid w:val="00C60AED"/>
    <w:pPr>
      <w:overflowPunct w:val="0"/>
      <w:autoSpaceDE w:val="0"/>
      <w:autoSpaceDN w:val="0"/>
      <w:adjustRightInd w:val="0"/>
      <w:spacing w:before="20" w:after="20"/>
      <w:ind w:right="113"/>
      <w:jc w:val="right"/>
      <w:textAlignment w:val="baseline"/>
    </w:pPr>
    <w:rPr>
      <w:rFonts w:eastAsia="Times New Roman" w:cs="Times New Roman"/>
      <w:sz w:val="20"/>
      <w:szCs w:val="20"/>
      <w:lang w:val="en-GB"/>
    </w:rPr>
  </w:style>
  <w:style w:type="paragraph" w:styleId="NotesHeadingcontinuedAC" w:customStyle="1">
    <w:name w:val="Notes Heading (continued) (AC)"/>
    <w:basedOn w:val="NotesHeadingAC"/>
    <w:qFormat/>
    <w:rsid w:val="00C60AED"/>
    <w:pPr>
      <w:numPr>
        <w:ilvl w:val="1"/>
        <w:numId w:val="29"/>
      </w:numPr>
    </w:pPr>
    <w:rPr>
      <w:bCs/>
    </w:rPr>
  </w:style>
  <w:style w:type="paragraph" w:styleId="Creditors" w:customStyle="1">
    <w:name w:val="Creditors"/>
    <w:basedOn w:val="TableBoldItalic"/>
    <w:qFormat/>
    <w:rsid w:val="00C60AED"/>
    <w:pPr>
      <w:tabs>
        <w:tab w:val="num" w:pos="907"/>
      </w:tabs>
      <w:ind w:left="907" w:hanging="907"/>
    </w:pPr>
    <w:rPr>
      <w:rFonts w:ascii="Times New Roman" w:hAnsi="Times New Roman"/>
      <w:b w:val="0"/>
      <w:i w:val="0"/>
      <w:sz w:val="20"/>
    </w:rPr>
  </w:style>
  <w:style w:type="paragraph" w:styleId="NotesSubheadingAC" w:customStyle="1">
    <w:name w:val="Notes Subheading (AC)"/>
    <w:basedOn w:val="NotesHeadingAC"/>
    <w:qFormat/>
    <w:rsid w:val="00C60AED"/>
    <w:pPr>
      <w:numPr>
        <w:ilvl w:val="2"/>
        <w:numId w:val="29"/>
      </w:numPr>
      <w:spacing w:before="80" w:after="100"/>
    </w:pPr>
    <w:rPr>
      <w:rFonts w:ascii="Times New Roman" w:hAnsi="Times New Roman"/>
      <w:b w:val="0"/>
    </w:rPr>
  </w:style>
  <w:style w:type="paragraph" w:styleId="TableTextItalic" w:customStyle="1">
    <w:name w:val="Table Text Italic"/>
    <w:basedOn w:val="TableText"/>
    <w:qFormat/>
    <w:rsid w:val="00C60AED"/>
    <w:rPr>
      <w:i/>
    </w:rPr>
  </w:style>
  <w:style w:type="paragraph" w:styleId="Tablebodyrightaligned" w:customStyle="1">
    <w:name w:val="Table body right aligned"/>
    <w:basedOn w:val="Normal"/>
    <w:qFormat/>
    <w:rsid w:val="00C60AED"/>
    <w:pPr>
      <w:tabs>
        <w:tab w:val="right" w:pos="6237"/>
        <w:tab w:val="right" w:pos="7371"/>
        <w:tab w:val="right" w:pos="8505"/>
      </w:tabs>
      <w:overflowPunct w:val="0"/>
      <w:autoSpaceDE w:val="0"/>
      <w:autoSpaceDN w:val="0"/>
      <w:adjustRightInd w:val="0"/>
      <w:spacing w:before="20" w:line="240" w:lineRule="atLeast"/>
      <w:ind w:left="30"/>
      <w:jc w:val="right"/>
      <w:textAlignment w:val="baseline"/>
    </w:pPr>
    <w:rPr>
      <w:rFonts w:eastAsia="Times New Roman" w:cs="Times New Roman"/>
      <w:iCs/>
      <w:sz w:val="20"/>
      <w:szCs w:val="20"/>
      <w:lang w:val="en-GB"/>
    </w:rPr>
  </w:style>
  <w:style w:type="paragraph" w:styleId="TablebodyrightalignedBorderdouble" w:customStyle="1">
    <w:name w:val="Table body right aligned + Border (double)"/>
    <w:basedOn w:val="Tablebodyrightaligned"/>
    <w:qFormat/>
    <w:rsid w:val="00C60AED"/>
  </w:style>
  <w:style w:type="paragraph" w:styleId="Alphabullethanging" w:customStyle="1">
    <w:name w:val="Alpha bullet hanging"/>
    <w:basedOn w:val="Normal"/>
    <w:qFormat/>
    <w:rsid w:val="00C60AED"/>
    <w:pPr>
      <w:spacing w:before="80" w:after="100"/>
      <w:ind w:left="567" w:hanging="567"/>
    </w:pPr>
    <w:rPr>
      <w:rFonts w:eastAsia="Yu Gothic UI" w:cs="Times New Roman"/>
      <w:sz w:val="20"/>
      <w:lang w:val="en-GB" w:eastAsia="en-GB"/>
    </w:rPr>
  </w:style>
  <w:style w:type="paragraph" w:styleId="AlphaBullethanginglevel2" w:customStyle="1">
    <w:name w:val="Alpha Bullet hanging level 2"/>
    <w:basedOn w:val="Alphabullethanging"/>
    <w:qFormat/>
    <w:rsid w:val="00C60AED"/>
  </w:style>
  <w:style w:type="paragraph" w:styleId="EYBodytextwithparaspace" w:customStyle="1">
    <w:name w:val="EY Body text (with para space)"/>
    <w:basedOn w:val="Normal"/>
    <w:link w:val="EYBodytextwithparaspaceChar"/>
    <w:rsid w:val="00C60AED"/>
    <w:pPr>
      <w:suppressAutoHyphens/>
      <w:spacing w:after="240"/>
    </w:pPr>
    <w:rPr>
      <w:rFonts w:ascii="Arial" w:hAnsi="Arial" w:eastAsia="Times New Roman" w:cs="Times New Roman"/>
      <w:kern w:val="12"/>
      <w:sz w:val="20"/>
      <w:lang w:val="en-GB"/>
    </w:rPr>
  </w:style>
  <w:style w:type="character" w:styleId="EYBodytextwithparaspaceChar" w:customStyle="1">
    <w:name w:val="EY Body text (with para space) Char"/>
    <w:link w:val="EYBodytextwithparaspace"/>
    <w:rsid w:val="00C60AED"/>
    <w:rPr>
      <w:rFonts w:ascii="Arial" w:hAnsi="Arial" w:eastAsia="Times New Roman" w:cs="Times New Roman"/>
      <w:kern w:val="12"/>
      <w:sz w:val="20"/>
      <w:lang w:val="en-GB"/>
    </w:rPr>
  </w:style>
  <w:style w:type="table" w:styleId="TableGridLight">
    <w:name w:val="Grid Table Light"/>
    <w:basedOn w:val="TableNormal"/>
    <w:uiPriority w:val="40"/>
    <w:rsid w:val="00C60AED"/>
    <w:rPr>
      <w:rFonts w:ascii="Calibri" w:hAnsi="Calibri" w:eastAsia="Calibri" w:cs="Arial"/>
      <w:sz w:val="22"/>
      <w:szCs w:val="22"/>
      <w:lang w:val="en-GB" w:eastAsia="en-GB"/>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styleId="TableGrid111" w:customStyle="1">
    <w:name w:val="Table Grid111"/>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TextChar1" w:customStyle="1">
    <w:name w:val="Comment Text Char1"/>
    <w:uiPriority w:val="99"/>
    <w:semiHidden/>
    <w:rsid w:val="00C60AED"/>
    <w:rPr>
      <w:lang w:val="en-GB" w:eastAsia="en-US"/>
    </w:rPr>
  </w:style>
  <w:style w:type="character" w:styleId="BalloonTextChar1" w:customStyle="1">
    <w:name w:val="Balloon Text Char1"/>
    <w:semiHidden/>
    <w:rsid w:val="00C60AED"/>
    <w:rPr>
      <w:rFonts w:ascii="Segoe UI" w:hAnsi="Segoe UI" w:cs="Segoe UI"/>
      <w:sz w:val="18"/>
      <w:szCs w:val="18"/>
      <w:lang w:val="en-GB" w:eastAsia="en-US"/>
    </w:rPr>
  </w:style>
  <w:style w:type="table" w:styleId="TableGrid13" w:customStyle="1">
    <w:name w:val="Table Grid13"/>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 w:customStyle="1">
    <w:name w:val="Table Grid14"/>
    <w:basedOn w:val="TableNormal"/>
    <w:next w:val="TableGrid"/>
    <w:uiPriority w:val="59"/>
    <w:rsid w:val="00C60AED"/>
    <w:rPr>
      <w:rFonts w:eastAsia="Calibri" w:cs="Times New Roman"/>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5" w:customStyle="1">
    <w:name w:val="Table Grid15"/>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6" w:customStyle="1">
    <w:name w:val="Table Grid16"/>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1" w:customStyle="1">
    <w:name w:val="Table Grid121"/>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2" w:customStyle="1">
    <w:name w:val="Table Grid122"/>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7" w:customStyle="1">
    <w:name w:val="Table Grid17"/>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21" w:customStyle="1">
    <w:name w:val="Table Grid221"/>
    <w:basedOn w:val="TableNormal"/>
    <w:next w:val="TableGrid"/>
    <w:rsid w:val="00C60AED"/>
    <w:pPr>
      <w:spacing w:after="120" w:line="264" w:lineRule="auto"/>
    </w:pPr>
    <w:rPr>
      <w:rFonts w:ascii="Arial" w:hAnsi="Arial" w:eastAsia="Times New Roman" w:cs="Arial"/>
      <w:sz w:val="20"/>
      <w:szCs w:val="20"/>
      <w:lang w:val="en-GB" w:eastAsia="zh-TW"/>
    </w:rPr>
    <w:tblPr>
      <w:tblInd w:w="57" w:type="dxa"/>
      <w:tblBorders>
        <w:top w:val="single" w:color="auto" w:sz="4" w:space="0"/>
        <w:bottom w:val="single" w:color="auto" w:sz="8" w:space="0"/>
        <w:insideH w:val="single" w:color="AAA19A" w:sz="4" w:space="0"/>
      </w:tblBorders>
      <w:tblCellMar>
        <w:left w:w="0" w:type="dxa"/>
        <w:right w:w="0" w:type="dxa"/>
      </w:tblCellMar>
    </w:tblPr>
    <w:tblStylePr w:type="firstRow">
      <w:tblPr/>
      <w:trPr>
        <w:tblHeader/>
      </w:trPr>
    </w:tblStylePr>
  </w:style>
  <w:style w:type="table" w:styleId="TableGrid123" w:customStyle="1">
    <w:name w:val="Table Grid123"/>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8" w:customStyle="1">
    <w:name w:val="Table Grid18"/>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9" w:customStyle="1">
    <w:name w:val="Table Grid19"/>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0" w:customStyle="1">
    <w:name w:val="Table Grid110"/>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2" w:customStyle="1">
    <w:name w:val="Table Grid112"/>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3" w:customStyle="1">
    <w:name w:val="Table Grid113"/>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4" w:customStyle="1">
    <w:name w:val="Table Grid114"/>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4" w:customStyle="1">
    <w:name w:val="Table Grid124"/>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5" w:customStyle="1">
    <w:name w:val="Table Grid115"/>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6" w:customStyle="1">
    <w:name w:val="Table Grid116"/>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7" w:customStyle="1">
    <w:name w:val="Table Grid117"/>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8" w:customStyle="1">
    <w:name w:val="Table Grid118"/>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9" w:customStyle="1">
    <w:name w:val="Table Grid119"/>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0" w:customStyle="1">
    <w:name w:val="Table Grid120"/>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5" w:customStyle="1">
    <w:name w:val="Table Grid125"/>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6" w:customStyle="1">
    <w:name w:val="Table Grid126"/>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7" w:customStyle="1">
    <w:name w:val="Table Grid127"/>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8" w:customStyle="1">
    <w:name w:val="Table Grid128"/>
    <w:basedOn w:val="TableNormal"/>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9" w:customStyle="1">
    <w:name w:val="Table Grid129"/>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10" w:customStyle="1">
    <w:name w:val="Table Grid1210"/>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iscUserDefined3" w:customStyle="1">
    <w:name w:val="$Misc=User Defined 3"/>
    <w:basedOn w:val="Normal"/>
    <w:uiPriority w:val="16"/>
    <w:qFormat/>
    <w:rsid w:val="00C60AED"/>
    <w:pPr>
      <w:spacing w:after="240"/>
    </w:pPr>
    <w:rPr>
      <w:rFonts w:ascii="Arial" w:hAnsi="Arial" w:eastAsia="Times New Roman" w:cs="Times New Roman"/>
      <w:sz w:val="20"/>
      <w:szCs w:val="20"/>
      <w:lang w:val="en-GB" w:eastAsia="en-CA"/>
    </w:rPr>
  </w:style>
  <w:style w:type="table" w:styleId="TableGrid1211" w:customStyle="1">
    <w:name w:val="Table Grid1211"/>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locktextsglj0" w:customStyle="1">
    <w:name w:val="blocktextsglj"/>
    <w:basedOn w:val="Normal"/>
    <w:rsid w:val="00C60AED"/>
    <w:pPr>
      <w:spacing w:after="240"/>
      <w:jc w:val="both"/>
    </w:pPr>
    <w:rPr>
      <w:rFonts w:eastAsia="Calibri" w:cs="Times New Roman"/>
      <w:szCs w:val="20"/>
      <w:lang w:val="en-GB" w:eastAsia="en-GB"/>
    </w:rPr>
  </w:style>
  <w:style w:type="table" w:styleId="TableGrid1212" w:customStyle="1">
    <w:name w:val="Table Grid1212"/>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13" w:customStyle="1">
    <w:name w:val="Table Grid1213"/>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14" w:customStyle="1">
    <w:name w:val="Table Grid1214"/>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1" w:customStyle="1">
    <w:name w:val="Table Grid1111"/>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15" w:customStyle="1">
    <w:name w:val="Table Grid1215"/>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16" w:customStyle="1">
    <w:name w:val="Table Grid1216"/>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2" w:customStyle="1">
    <w:name w:val="Table Grid1112"/>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30" w:customStyle="1">
    <w:name w:val="Table Grid130"/>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31" w:customStyle="1">
    <w:name w:val="Table Grid131"/>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32" w:customStyle="1">
    <w:name w:val="Table Grid132"/>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33" w:customStyle="1">
    <w:name w:val="Table Grid133"/>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17" w:customStyle="1">
    <w:name w:val="Table Grid1217"/>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18" w:customStyle="1">
    <w:name w:val="Table Grid1218"/>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34" w:customStyle="1">
    <w:name w:val="Table Grid134"/>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19" w:customStyle="1">
    <w:name w:val="Table Grid1219"/>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35" w:customStyle="1">
    <w:name w:val="Table Grid135"/>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36" w:customStyle="1">
    <w:name w:val="Table Grid136"/>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3" w:customStyle="1">
    <w:name w:val="No List3"/>
    <w:next w:val="NoList"/>
    <w:uiPriority w:val="99"/>
    <w:semiHidden/>
    <w:unhideWhenUsed/>
    <w:rsid w:val="00C60AED"/>
  </w:style>
  <w:style w:type="table" w:styleId="TableGrid5" w:customStyle="1">
    <w:name w:val="Table Grid5"/>
    <w:basedOn w:val="TableNormal"/>
    <w:next w:val="TableGrid"/>
    <w:uiPriority w:val="39"/>
    <w:rsid w:val="00C60AED"/>
    <w:rPr>
      <w:rFonts w:eastAsia="Microsoft JhengHei" w:cs="Times New Roman"/>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37" w:customStyle="1">
    <w:name w:val="Table Grid137"/>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0" w:customStyle="1">
    <w:name w:val="Table Grid1110"/>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22" w:customStyle="1">
    <w:name w:val="Table Grid222"/>
    <w:basedOn w:val="TableNormal"/>
    <w:next w:val="TableGrid"/>
    <w:rsid w:val="00C60AED"/>
    <w:pPr>
      <w:spacing w:after="120" w:line="264" w:lineRule="auto"/>
    </w:pPr>
    <w:rPr>
      <w:rFonts w:ascii="Arial" w:hAnsi="Arial" w:eastAsia="Times New Roman" w:cs="Arial"/>
      <w:sz w:val="20"/>
      <w:szCs w:val="20"/>
      <w:lang w:val="en-GB" w:eastAsia="zh-TW"/>
    </w:rPr>
    <w:tblPr>
      <w:tblInd w:w="57" w:type="dxa"/>
      <w:tblBorders>
        <w:top w:val="single" w:color="auto" w:sz="4" w:space="0"/>
        <w:bottom w:val="single" w:color="auto" w:sz="8" w:space="0"/>
        <w:insideH w:val="single" w:color="AAA19A" w:sz="4" w:space="0"/>
      </w:tblBorders>
      <w:tblCellMar>
        <w:left w:w="0" w:type="dxa"/>
        <w:right w:w="0" w:type="dxa"/>
      </w:tblCellMar>
    </w:tblPr>
    <w:tblStylePr w:type="firstRow">
      <w:tblPr/>
      <w:trPr>
        <w:tblHeader/>
      </w:trPr>
    </w:tblStylePr>
  </w:style>
  <w:style w:type="table" w:styleId="PlainTable31" w:customStyle="1">
    <w:name w:val="Plain Table 31"/>
    <w:basedOn w:val="TableNormal"/>
    <w:next w:val="PlainTable3"/>
    <w:uiPriority w:val="43"/>
    <w:rsid w:val="00C60AED"/>
    <w:rPr>
      <w:rFonts w:ascii="Calibri" w:hAnsi="Calibri" w:eastAsia="Calibri" w:cs="Arial"/>
      <w:sz w:val="22"/>
      <w:szCs w:val="22"/>
      <w:lang w:val="en-GB" w:eastAsia="en-GB"/>
    </w:rPr>
    <w:tblPr>
      <w:tblStyleRowBandSize w:val="1"/>
      <w:tblStyleColBandSize w:val="1"/>
    </w:tblPr>
    <w:tblStylePr w:type="firstRow">
      <w:rPr>
        <w:b/>
        <w:bCs/>
        <w:caps/>
      </w:rPr>
      <w:tblPr/>
      <w:tcPr>
        <w:tcBorders>
          <w:bottom w:val="single" w:color="7F7F7F" w:sz="4" w:space="0"/>
        </w:tcBorders>
      </w:tcPr>
    </w:tblStylePr>
    <w:tblStylePr w:type="lastRow">
      <w:rPr>
        <w:b/>
        <w:bCs/>
        <w:caps/>
      </w:rPr>
      <w:tblPr/>
      <w:tcPr>
        <w:tcBorders>
          <w:top w:val="nil"/>
        </w:tcBorders>
      </w:tcPr>
    </w:tblStylePr>
    <w:tblStylePr w:type="firstCol">
      <w:rPr>
        <w:b/>
        <w:bCs/>
        <w:caps/>
      </w:rPr>
      <w:tblPr/>
      <w:tcPr>
        <w:tcBorders>
          <w:right w:val="single" w:color="7F7F7F" w:sz="4" w:space="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1" w:customStyle="1">
    <w:name w:val="Plain Table 41"/>
    <w:basedOn w:val="TableNormal"/>
    <w:next w:val="PlainTable4"/>
    <w:uiPriority w:val="44"/>
    <w:rsid w:val="00C60AED"/>
    <w:rPr>
      <w:rFonts w:ascii="Calibri" w:hAnsi="Calibri" w:eastAsia="Calibri" w:cs="Arial"/>
      <w:sz w:val="22"/>
      <w:szCs w:val="22"/>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1" w:customStyle="1">
    <w:name w:val="Table Grid Light1"/>
    <w:basedOn w:val="TableNormal"/>
    <w:next w:val="TableGridLight"/>
    <w:uiPriority w:val="40"/>
    <w:rsid w:val="00C60AED"/>
    <w:rPr>
      <w:rFonts w:ascii="Calibri" w:hAnsi="Calibri" w:eastAsia="Calibri" w:cs="Arial"/>
      <w:sz w:val="22"/>
      <w:szCs w:val="22"/>
      <w:lang w:val="en-GB" w:eastAsia="en-GB"/>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numbering" w:styleId="NoList13" w:customStyle="1">
    <w:name w:val="No List13"/>
    <w:next w:val="NoList"/>
    <w:uiPriority w:val="99"/>
    <w:semiHidden/>
    <w:unhideWhenUsed/>
    <w:rsid w:val="00C60AED"/>
  </w:style>
  <w:style w:type="table" w:styleId="TableGrid1220" w:customStyle="1">
    <w:name w:val="Table Grid1220"/>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3" w:customStyle="1">
    <w:name w:val="Table Grid1113"/>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LeftRegular" w:customStyle="1">
    <w:name w:val="Title Left Regular"/>
    <w:basedOn w:val="Normal"/>
    <w:qFormat/>
    <w:rsid w:val="00C60AED"/>
    <w:pPr>
      <w:keepNext/>
      <w:spacing w:after="240"/>
    </w:pPr>
    <w:rPr>
      <w:rFonts w:eastAsia="Calibri" w:cs="Arial"/>
      <w:lang w:val="en-GB"/>
    </w:rPr>
  </w:style>
  <w:style w:type="paragraph" w:styleId="Indent5Hang5" w:customStyle="1">
    <w:name w:val="Indent .5 Hang .5"/>
    <w:basedOn w:val="Normal"/>
    <w:qFormat/>
    <w:rsid w:val="00C60AED"/>
    <w:pPr>
      <w:spacing w:after="240"/>
      <w:ind w:left="1440" w:hanging="720"/>
      <w:jc w:val="both"/>
    </w:pPr>
    <w:rPr>
      <w:rFonts w:eastAsia="Calibri" w:cs="Arial"/>
      <w:lang w:val="en-GB" w:eastAsia="en-GB"/>
    </w:rPr>
  </w:style>
  <w:style w:type="table" w:styleId="TableGrid138" w:customStyle="1">
    <w:name w:val="Table Grid138"/>
    <w:basedOn w:val="TableNormal"/>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39" w:customStyle="1">
    <w:name w:val="Table Grid139"/>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0" w:customStyle="1">
    <w:name w:val="Table Grid140"/>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1" w:customStyle="1">
    <w:name w:val="Table Grid141"/>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2" w:customStyle="1">
    <w:name w:val="Table Grid142"/>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4" w:customStyle="1">
    <w:name w:val="No List4"/>
    <w:next w:val="NoList"/>
    <w:uiPriority w:val="99"/>
    <w:semiHidden/>
    <w:unhideWhenUsed/>
    <w:rsid w:val="00C60AED"/>
  </w:style>
  <w:style w:type="table" w:styleId="TableGrid6" w:customStyle="1">
    <w:name w:val="Table Grid6"/>
    <w:basedOn w:val="TableNormal"/>
    <w:next w:val="TableGrid"/>
    <w:uiPriority w:val="39"/>
    <w:rsid w:val="00C60AED"/>
    <w:rPr>
      <w:rFonts w:eastAsia="Microsoft JhengHei" w:cs="Times New Roman"/>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3" w:customStyle="1">
    <w:name w:val="Table Grid143"/>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4" w:customStyle="1">
    <w:name w:val="Table Grid1114"/>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23" w:customStyle="1">
    <w:name w:val="Table Grid223"/>
    <w:basedOn w:val="TableNormal"/>
    <w:next w:val="TableGrid"/>
    <w:rsid w:val="00C60AED"/>
    <w:pPr>
      <w:spacing w:after="120" w:line="264" w:lineRule="auto"/>
    </w:pPr>
    <w:rPr>
      <w:rFonts w:ascii="Arial" w:hAnsi="Arial" w:eastAsia="Times New Roman" w:cs="Arial"/>
      <w:sz w:val="20"/>
      <w:szCs w:val="20"/>
      <w:lang w:val="en-GB" w:eastAsia="zh-TW"/>
    </w:rPr>
    <w:tblPr>
      <w:tblInd w:w="57" w:type="dxa"/>
      <w:tblBorders>
        <w:top w:val="single" w:color="auto" w:sz="4" w:space="0"/>
        <w:bottom w:val="single" w:color="auto" w:sz="8" w:space="0"/>
        <w:insideH w:val="single" w:color="AAA19A" w:sz="4" w:space="0"/>
      </w:tblBorders>
      <w:tblCellMar>
        <w:left w:w="0" w:type="dxa"/>
        <w:right w:w="0" w:type="dxa"/>
      </w:tblCellMar>
    </w:tblPr>
    <w:tblStylePr w:type="firstRow">
      <w:tblPr/>
      <w:trPr>
        <w:tblHeader/>
      </w:trPr>
    </w:tblStylePr>
  </w:style>
  <w:style w:type="table" w:styleId="PlainTable32" w:customStyle="1">
    <w:name w:val="Plain Table 32"/>
    <w:basedOn w:val="TableNormal"/>
    <w:next w:val="PlainTable3"/>
    <w:uiPriority w:val="43"/>
    <w:rsid w:val="00C60AED"/>
    <w:rPr>
      <w:rFonts w:ascii="Calibri" w:hAnsi="Calibri" w:eastAsia="Calibri" w:cs="Arial"/>
      <w:sz w:val="22"/>
      <w:szCs w:val="22"/>
      <w:lang w:val="en-GB" w:eastAsia="en-GB"/>
    </w:rPr>
    <w:tblPr>
      <w:tblStyleRowBandSize w:val="1"/>
      <w:tblStyleColBandSize w:val="1"/>
    </w:tblPr>
    <w:tblStylePr w:type="firstRow">
      <w:rPr>
        <w:b/>
        <w:bCs/>
        <w:caps/>
      </w:rPr>
      <w:tblPr/>
      <w:tcPr>
        <w:tcBorders>
          <w:bottom w:val="single" w:color="7F7F7F" w:sz="4" w:space="0"/>
        </w:tcBorders>
      </w:tcPr>
    </w:tblStylePr>
    <w:tblStylePr w:type="lastRow">
      <w:rPr>
        <w:b/>
        <w:bCs/>
        <w:caps/>
      </w:rPr>
      <w:tblPr/>
      <w:tcPr>
        <w:tcBorders>
          <w:top w:val="nil"/>
        </w:tcBorders>
      </w:tcPr>
    </w:tblStylePr>
    <w:tblStylePr w:type="firstCol">
      <w:rPr>
        <w:b/>
        <w:bCs/>
        <w:caps/>
      </w:rPr>
      <w:tblPr/>
      <w:tcPr>
        <w:tcBorders>
          <w:right w:val="single" w:color="7F7F7F" w:sz="4" w:space="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2" w:customStyle="1">
    <w:name w:val="Plain Table 42"/>
    <w:basedOn w:val="TableNormal"/>
    <w:next w:val="PlainTable4"/>
    <w:uiPriority w:val="44"/>
    <w:rsid w:val="00C60AED"/>
    <w:rPr>
      <w:rFonts w:ascii="Calibri" w:hAnsi="Calibri" w:eastAsia="Calibri" w:cs="Arial"/>
      <w:sz w:val="22"/>
      <w:szCs w:val="22"/>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2" w:customStyle="1">
    <w:name w:val="Table Grid Light2"/>
    <w:basedOn w:val="TableNormal"/>
    <w:next w:val="TableGridLight"/>
    <w:uiPriority w:val="40"/>
    <w:rsid w:val="00C60AED"/>
    <w:rPr>
      <w:rFonts w:ascii="Calibri" w:hAnsi="Calibri" w:eastAsia="Calibri" w:cs="Arial"/>
      <w:sz w:val="22"/>
      <w:szCs w:val="22"/>
      <w:lang w:val="en-GB" w:eastAsia="en-GB"/>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numbering" w:styleId="NoList14" w:customStyle="1">
    <w:name w:val="No List14"/>
    <w:next w:val="NoList"/>
    <w:uiPriority w:val="99"/>
    <w:semiHidden/>
    <w:unhideWhenUsed/>
    <w:rsid w:val="00C60AED"/>
  </w:style>
  <w:style w:type="table" w:styleId="TableGrid1221" w:customStyle="1">
    <w:name w:val="Table Grid1221"/>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3" w:customStyle="1">
    <w:name w:val="Table Grid23"/>
    <w:basedOn w:val="TableNormal"/>
    <w:next w:val="TableGrid"/>
    <w:uiPriority w:val="39"/>
    <w:rsid w:val="00C60AED"/>
    <w:rPr>
      <w:rFonts w:ascii="Calibri" w:hAnsi="Calibri" w:eastAsia="Calibri" w:cs="Arial"/>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5" w:customStyle="1">
    <w:name w:val="Table Grid1115"/>
    <w:basedOn w:val="TableNormal"/>
    <w:next w:val="TableGrid"/>
    <w:uiPriority w:val="59"/>
    <w:rsid w:val="00C60AED"/>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xmsonormal" w:customStyle="1">
    <w:name w:val="x_msonormal"/>
    <w:basedOn w:val="Normal"/>
    <w:rsid w:val="00C60AED"/>
    <w:rPr>
      <w:rFonts w:ascii="Calibri" w:hAnsi="Calibri" w:eastAsia="Calibri" w:cs="Calibri"/>
      <w:szCs w:val="22"/>
      <w:lang w:val="en-GB" w:eastAsia="en-GB"/>
    </w:rPr>
  </w:style>
  <w:style w:type="paragraph" w:styleId="TitleIC" w:customStyle="1">
    <w:name w:val="Title IC"/>
    <w:basedOn w:val="Normal"/>
    <w:qFormat/>
    <w:rsid w:val="00C60AED"/>
    <w:pPr>
      <w:spacing w:after="240"/>
      <w:jc w:val="center"/>
    </w:pPr>
    <w:rPr>
      <w:rFonts w:eastAsia="Calibri" w:cs="Times New Roman"/>
      <w:i/>
      <w:noProof/>
      <w:lang w:val="en-GB" w:eastAsia="en-GB"/>
    </w:rPr>
  </w:style>
  <w:style w:type="paragraph" w:styleId="TitleB5Indent" w:customStyle="1">
    <w:name w:val="Title B .5 Indent"/>
    <w:basedOn w:val="Normal"/>
    <w:qFormat/>
    <w:rsid w:val="00C60AED"/>
    <w:pPr>
      <w:spacing w:after="240"/>
      <w:ind w:firstLine="720"/>
    </w:pPr>
    <w:rPr>
      <w:rFonts w:eastAsia="Calibri" w:cs="Arial"/>
      <w:b/>
      <w:lang w:val="en-GB"/>
    </w:rPr>
  </w:style>
  <w:style w:type="paragraph" w:styleId="TitleRU" w:customStyle="1">
    <w:name w:val="Title RU"/>
    <w:basedOn w:val="Normal"/>
    <w:qFormat/>
    <w:rsid w:val="00C60AED"/>
    <w:pPr>
      <w:spacing w:after="240"/>
      <w:jc w:val="right"/>
    </w:pPr>
    <w:rPr>
      <w:rFonts w:eastAsia="Calibri" w:cs="Times New Roman"/>
      <w:u w:val="single"/>
      <w:lang w:val="en-GB"/>
    </w:rPr>
  </w:style>
  <w:style w:type="paragraph" w:styleId="BodyJItal" w:customStyle="1">
    <w:name w:val="Body J Ital"/>
    <w:basedOn w:val="Normal"/>
    <w:qFormat/>
    <w:rsid w:val="00C60AED"/>
    <w:pPr>
      <w:spacing w:after="240"/>
      <w:jc w:val="both"/>
    </w:pPr>
    <w:rPr>
      <w:rFonts w:eastAsia="Calibri" w:cs="Times New Roman"/>
      <w:i/>
      <w:lang w:val="en-GB"/>
    </w:rPr>
  </w:style>
  <w:style w:type="paragraph" w:styleId="TitleBAllCaps" w:customStyle="1">
    <w:name w:val="Title B All Caps"/>
    <w:basedOn w:val="Normal"/>
    <w:qFormat/>
    <w:rsid w:val="0038502A"/>
    <w:pPr>
      <w:keepNext/>
      <w:spacing w:after="240"/>
      <w:outlineLvl w:val="1"/>
    </w:pPr>
    <w:rPr>
      <w:rFonts w:ascii="Times New Roman Bold" w:hAnsi="Times New Roman Bold" w:eastAsia="Calibri" w:cs="Times New Roman"/>
      <w:b/>
      <w:caps/>
      <w:sz w:val="20"/>
      <w:lang w:val="en-GB"/>
    </w:rPr>
  </w:style>
  <w:style w:type="paragraph" w:styleId="TableNoteAsterisk" w:customStyle="1">
    <w:name w:val="Table Note Asterisk"/>
    <w:basedOn w:val="Normal"/>
    <w:qFormat/>
    <w:rsid w:val="00C60AED"/>
    <w:pPr>
      <w:spacing w:after="240"/>
      <w:ind w:left="360" w:hanging="360"/>
      <w:jc w:val="both"/>
    </w:pPr>
    <w:rPr>
      <w:rFonts w:eastAsia="Calibri" w:cs="Arial"/>
      <w:sz w:val="16"/>
      <w:szCs w:val="16"/>
      <w:lang w:val="en-GB"/>
    </w:rPr>
  </w:style>
  <w:style w:type="paragraph" w:styleId="TableSeparator" w:customStyle="1">
    <w:name w:val="Table Separator"/>
    <w:basedOn w:val="Normal"/>
    <w:qFormat/>
    <w:rsid w:val="00C60AED"/>
    <w:pPr>
      <w:spacing w:after="120"/>
    </w:pPr>
    <w:rPr>
      <w:rFonts w:eastAsia="Calibri" w:cs="Arial"/>
      <w:lang w:val="en-GB"/>
    </w:rPr>
  </w:style>
  <w:style w:type="character" w:styleId="UnresolvedMention" w:customStyle="1">
    <w:name w:val="Unresolved Mention"/>
    <w:basedOn w:val="DefaultParagraphFont"/>
    <w:uiPriority w:val="99"/>
    <w:semiHidden/>
    <w:unhideWhenUsed/>
    <w:rsid w:val="00F451A7"/>
    <w:rPr>
      <w:color w:val="605E5C"/>
      <w:shd w:val="clear" w:color="auto" w:fill="E1DFDD"/>
    </w:rPr>
  </w:style>
  <w:style w:type="paragraph" w:styleId="msonormal0" w:customStyle="1">
    <w:name w:val="msonormal"/>
    <w:basedOn w:val="Normal"/>
    <w:rsid w:val="000F08D9"/>
    <w:pPr>
      <w:spacing w:before="100" w:beforeAutospacing="1" w:after="100" w:afterAutospacing="1"/>
    </w:pPr>
    <w:rPr>
      <w:rFonts w:eastAsia="Times New Roman" w:cs="Times New Roman"/>
      <w:sz w:val="24"/>
      <w:lang w:val="en-GB" w:eastAsia="en-GB"/>
    </w:rPr>
  </w:style>
  <w:style w:type="paragraph" w:styleId="font5" w:customStyle="1">
    <w:name w:val="font5"/>
    <w:basedOn w:val="Normal"/>
    <w:rsid w:val="000F08D9"/>
    <w:pPr>
      <w:spacing w:before="100" w:beforeAutospacing="1" w:after="100" w:afterAutospacing="1"/>
    </w:pPr>
    <w:rPr>
      <w:rFonts w:ascii="Arial" w:hAnsi="Arial" w:eastAsia="Times New Roman" w:cs="Arial"/>
      <w:color w:val="000000"/>
      <w:szCs w:val="22"/>
      <w:lang w:val="en-GB" w:eastAsia="en-GB"/>
    </w:rPr>
  </w:style>
  <w:style w:type="paragraph" w:styleId="xl71" w:customStyle="1">
    <w:name w:val="xl71"/>
    <w:basedOn w:val="Normal"/>
    <w:rsid w:val="000F08D9"/>
    <w:pPr>
      <w:spacing w:before="100" w:beforeAutospacing="1" w:after="100" w:afterAutospacing="1"/>
    </w:pPr>
    <w:rPr>
      <w:rFonts w:ascii="Verdana" w:hAnsi="Verdana" w:eastAsia="Times New Roman" w:cs="Times New Roman"/>
      <w:sz w:val="24"/>
      <w:lang w:val="en-GB" w:eastAsia="en-GB"/>
    </w:rPr>
  </w:style>
  <w:style w:type="paragraph" w:styleId="xl72" w:customStyle="1">
    <w:name w:val="xl72"/>
    <w:basedOn w:val="Normal"/>
    <w:rsid w:val="000F08D9"/>
    <w:pPr>
      <w:spacing w:before="100" w:beforeAutospacing="1" w:after="100" w:afterAutospacing="1"/>
    </w:pPr>
    <w:rPr>
      <w:rFonts w:ascii="Verdana" w:hAnsi="Verdana" w:eastAsia="Times New Roman" w:cs="Times New Roman"/>
      <w:sz w:val="20"/>
      <w:szCs w:val="20"/>
      <w:lang w:val="en-GB" w:eastAsia="en-GB"/>
    </w:rPr>
  </w:style>
  <w:style w:type="paragraph" w:styleId="xl73" w:customStyle="1">
    <w:name w:val="xl73"/>
    <w:basedOn w:val="Normal"/>
    <w:rsid w:val="000F08D9"/>
    <w:pPr>
      <w:spacing w:before="100" w:beforeAutospacing="1" w:after="100" w:afterAutospacing="1"/>
    </w:pPr>
    <w:rPr>
      <w:rFonts w:ascii="Verdana" w:hAnsi="Verdana" w:eastAsia="Times New Roman" w:cs="Times New Roman"/>
      <w:b/>
      <w:bCs/>
      <w:sz w:val="20"/>
      <w:szCs w:val="20"/>
      <w:lang w:val="en-GB" w:eastAsia="en-GB"/>
    </w:rPr>
  </w:style>
  <w:style w:type="paragraph" w:styleId="xl74" w:customStyle="1">
    <w:name w:val="xl74"/>
    <w:basedOn w:val="Normal"/>
    <w:rsid w:val="000F08D9"/>
    <w:pPr>
      <w:spacing w:before="100" w:beforeAutospacing="1" w:after="100" w:afterAutospacing="1"/>
    </w:pPr>
    <w:rPr>
      <w:rFonts w:ascii="Verdana" w:hAnsi="Verdana" w:eastAsia="Times New Roman" w:cs="Times New Roman"/>
      <w:b/>
      <w:bCs/>
      <w:sz w:val="24"/>
      <w:lang w:val="en-GB" w:eastAsia="en-GB"/>
    </w:rPr>
  </w:style>
  <w:style w:type="paragraph" w:styleId="xl75" w:customStyle="1">
    <w:name w:val="xl75"/>
    <w:basedOn w:val="Normal"/>
    <w:rsid w:val="000F08D9"/>
    <w:pPr>
      <w:spacing w:before="100" w:beforeAutospacing="1" w:after="100" w:afterAutospacing="1"/>
      <w:jc w:val="center"/>
      <w:textAlignment w:val="center"/>
    </w:pPr>
    <w:rPr>
      <w:rFonts w:ascii="Verdana" w:hAnsi="Verdana" w:eastAsia="Times New Roman" w:cs="Times New Roman"/>
      <w:b/>
      <w:bCs/>
      <w:sz w:val="20"/>
      <w:szCs w:val="20"/>
      <w:lang w:val="en-GB" w:eastAsia="en-GB"/>
    </w:rPr>
  </w:style>
  <w:style w:type="paragraph" w:styleId="xl76" w:customStyle="1">
    <w:name w:val="xl76"/>
    <w:basedOn w:val="Normal"/>
    <w:rsid w:val="000F08D9"/>
    <w:pPr>
      <w:spacing w:before="100" w:beforeAutospacing="1" w:after="100" w:afterAutospacing="1"/>
    </w:pPr>
    <w:rPr>
      <w:rFonts w:ascii="Verdana" w:hAnsi="Verdana" w:eastAsia="Times New Roman" w:cs="Times New Roman"/>
      <w:sz w:val="24"/>
      <w:lang w:val="en-GB" w:eastAsia="en-GB"/>
    </w:rPr>
  </w:style>
  <w:style w:type="paragraph" w:styleId="xl77" w:customStyle="1">
    <w:name w:val="xl77"/>
    <w:basedOn w:val="Normal"/>
    <w:rsid w:val="000F08D9"/>
    <w:pPr>
      <w:spacing w:before="100" w:beforeAutospacing="1" w:after="100" w:afterAutospacing="1"/>
      <w:jc w:val="center"/>
    </w:pPr>
    <w:rPr>
      <w:rFonts w:ascii="Verdana" w:hAnsi="Verdana" w:eastAsia="Times New Roman" w:cs="Times New Roman"/>
      <w:sz w:val="20"/>
      <w:szCs w:val="20"/>
      <w:lang w:val="en-GB" w:eastAsia="en-GB"/>
    </w:rPr>
  </w:style>
  <w:style w:type="paragraph" w:styleId="xl78" w:customStyle="1">
    <w:name w:val="xl78"/>
    <w:basedOn w:val="Normal"/>
    <w:rsid w:val="000F08D9"/>
    <w:pPr>
      <w:pBdr>
        <w:top w:val="single" w:color="000000" w:sz="4" w:space="0"/>
      </w:pBdr>
      <w:spacing w:before="100" w:beforeAutospacing="1" w:after="100" w:afterAutospacing="1"/>
    </w:pPr>
    <w:rPr>
      <w:rFonts w:ascii="Verdana" w:hAnsi="Verdana" w:eastAsia="Times New Roman" w:cs="Times New Roman"/>
      <w:sz w:val="20"/>
      <w:szCs w:val="20"/>
      <w:lang w:val="en-GB" w:eastAsia="en-GB"/>
    </w:rPr>
  </w:style>
  <w:style w:type="paragraph" w:styleId="xl79" w:customStyle="1">
    <w:name w:val="xl79"/>
    <w:basedOn w:val="Normal"/>
    <w:rsid w:val="000F08D9"/>
    <w:pPr>
      <w:shd w:val="clear" w:color="E2EFD9" w:fill="E2EFD9"/>
      <w:spacing w:before="100" w:beforeAutospacing="1" w:after="100" w:afterAutospacing="1"/>
    </w:pPr>
    <w:rPr>
      <w:rFonts w:ascii="Verdana" w:hAnsi="Verdana" w:eastAsia="Times New Roman" w:cs="Times New Roman"/>
      <w:sz w:val="20"/>
      <w:szCs w:val="20"/>
      <w:lang w:val="en-GB" w:eastAsia="en-GB"/>
    </w:rPr>
  </w:style>
  <w:style w:type="paragraph" w:styleId="xl80" w:customStyle="1">
    <w:name w:val="xl80"/>
    <w:basedOn w:val="Normal"/>
    <w:rsid w:val="000F08D9"/>
    <w:pPr>
      <w:spacing w:before="100" w:beforeAutospacing="1" w:after="100" w:afterAutospacing="1"/>
      <w:textAlignment w:val="center"/>
    </w:pPr>
    <w:rPr>
      <w:rFonts w:ascii="Verdana" w:hAnsi="Verdana" w:eastAsia="Times New Roman" w:cs="Times New Roman"/>
      <w:sz w:val="20"/>
      <w:szCs w:val="20"/>
      <w:lang w:val="en-GB" w:eastAsia="en-GB"/>
    </w:rPr>
  </w:style>
  <w:style w:type="paragraph" w:styleId="xl81" w:customStyle="1">
    <w:name w:val="xl81"/>
    <w:basedOn w:val="Normal"/>
    <w:rsid w:val="000F08D9"/>
    <w:pPr>
      <w:spacing w:before="100" w:beforeAutospacing="1" w:after="100" w:afterAutospacing="1"/>
    </w:pPr>
    <w:rPr>
      <w:rFonts w:ascii="Verdana" w:hAnsi="Verdana" w:eastAsia="Times New Roman" w:cs="Times New Roman"/>
      <w:color w:val="FF0000"/>
      <w:sz w:val="24"/>
      <w:lang w:val="en-GB" w:eastAsia="en-GB"/>
    </w:rPr>
  </w:style>
  <w:style w:type="paragraph" w:styleId="xl82" w:customStyle="1">
    <w:name w:val="xl82"/>
    <w:basedOn w:val="Normal"/>
    <w:rsid w:val="000F08D9"/>
    <w:pPr>
      <w:spacing w:before="100" w:beforeAutospacing="1" w:after="100" w:afterAutospacing="1"/>
      <w:jc w:val="right"/>
      <w:textAlignment w:val="center"/>
    </w:pPr>
    <w:rPr>
      <w:rFonts w:ascii="Verdana" w:hAnsi="Verdana" w:eastAsia="Times New Roman" w:cs="Times New Roman"/>
      <w:b/>
      <w:bCs/>
      <w:sz w:val="24"/>
      <w:lang w:val="en-GB" w:eastAsia="en-GB"/>
    </w:rPr>
  </w:style>
  <w:style w:type="paragraph" w:styleId="xl83" w:customStyle="1">
    <w:name w:val="xl83"/>
    <w:basedOn w:val="Normal"/>
    <w:rsid w:val="000F08D9"/>
    <w:pPr>
      <w:spacing w:before="100" w:beforeAutospacing="1" w:after="100" w:afterAutospacing="1"/>
      <w:jc w:val="right"/>
      <w:textAlignment w:val="center"/>
    </w:pPr>
    <w:rPr>
      <w:rFonts w:ascii="Verdana" w:hAnsi="Verdana" w:eastAsia="Times New Roman" w:cs="Times New Roman"/>
      <w:b/>
      <w:bCs/>
      <w:color w:val="FFFFFF"/>
      <w:sz w:val="24"/>
      <w:lang w:val="en-GB" w:eastAsia="en-GB"/>
    </w:rPr>
  </w:style>
  <w:style w:type="paragraph" w:styleId="xl84" w:customStyle="1">
    <w:name w:val="xl84"/>
    <w:basedOn w:val="Normal"/>
    <w:rsid w:val="000F08D9"/>
    <w:pPr>
      <w:spacing w:before="100" w:beforeAutospacing="1" w:after="100" w:afterAutospacing="1"/>
      <w:jc w:val="right"/>
      <w:textAlignment w:val="center"/>
    </w:pPr>
    <w:rPr>
      <w:rFonts w:ascii="Verdana" w:hAnsi="Verdana" w:eastAsia="Times New Roman" w:cs="Times New Roman"/>
      <w:sz w:val="24"/>
      <w:lang w:val="en-GB" w:eastAsia="en-GB"/>
    </w:rPr>
  </w:style>
  <w:style w:type="paragraph" w:styleId="xl85" w:customStyle="1">
    <w:name w:val="xl85"/>
    <w:basedOn w:val="Normal"/>
    <w:rsid w:val="000F08D9"/>
    <w:pPr>
      <w:spacing w:before="100" w:beforeAutospacing="1" w:after="100" w:afterAutospacing="1"/>
      <w:jc w:val="right"/>
      <w:textAlignment w:val="center"/>
    </w:pPr>
    <w:rPr>
      <w:rFonts w:ascii="Verdana" w:hAnsi="Verdana" w:eastAsia="Times New Roman" w:cs="Times New Roman"/>
      <w:color w:val="FFFFFF"/>
      <w:sz w:val="24"/>
      <w:lang w:val="en-GB" w:eastAsia="en-GB"/>
    </w:rPr>
  </w:style>
  <w:style w:type="paragraph" w:styleId="xl86" w:customStyle="1">
    <w:name w:val="xl86"/>
    <w:basedOn w:val="Normal"/>
    <w:rsid w:val="000F08D9"/>
    <w:pPr>
      <w:spacing w:before="100" w:beforeAutospacing="1" w:after="100" w:afterAutospacing="1"/>
    </w:pPr>
    <w:rPr>
      <w:rFonts w:ascii="Verdana" w:hAnsi="Verdana" w:eastAsia="Times New Roman" w:cs="Times New Roman"/>
      <w:sz w:val="24"/>
      <w:lang w:val="en-GB" w:eastAsia="en-GB"/>
    </w:rPr>
  </w:style>
  <w:style w:type="paragraph" w:styleId="xl87" w:customStyle="1">
    <w:name w:val="xl87"/>
    <w:basedOn w:val="Normal"/>
    <w:rsid w:val="000F08D9"/>
    <w:pPr>
      <w:spacing w:before="100" w:beforeAutospacing="1" w:after="100" w:afterAutospacing="1"/>
    </w:pPr>
    <w:rPr>
      <w:rFonts w:ascii="Verdana" w:hAnsi="Verdana" w:eastAsia="Times New Roman" w:cs="Times New Roman"/>
      <w:color w:val="FFFFFF"/>
      <w:sz w:val="24"/>
      <w:lang w:val="en-GB" w:eastAsia="en-GB"/>
    </w:rPr>
  </w:style>
  <w:style w:type="paragraph" w:styleId="xl88" w:customStyle="1">
    <w:name w:val="xl88"/>
    <w:basedOn w:val="Normal"/>
    <w:rsid w:val="000F08D9"/>
    <w:pPr>
      <w:spacing w:before="100" w:beforeAutospacing="1" w:after="100" w:afterAutospacing="1"/>
    </w:pPr>
    <w:rPr>
      <w:rFonts w:ascii="Verdana" w:hAnsi="Verdana" w:eastAsia="Times New Roman" w:cs="Times New Roman"/>
      <w:b/>
      <w:bCs/>
      <w:sz w:val="24"/>
      <w:lang w:val="en-GB" w:eastAsia="en-GB"/>
    </w:rPr>
  </w:style>
  <w:style w:type="paragraph" w:styleId="xl89" w:customStyle="1">
    <w:name w:val="xl89"/>
    <w:basedOn w:val="Normal"/>
    <w:rsid w:val="000F08D9"/>
    <w:pPr>
      <w:spacing w:before="100" w:beforeAutospacing="1" w:after="100" w:afterAutospacing="1"/>
      <w:textAlignment w:val="center"/>
    </w:pPr>
    <w:rPr>
      <w:rFonts w:ascii="Verdana" w:hAnsi="Verdana" w:eastAsia="Times New Roman" w:cs="Times New Roman"/>
      <w:b/>
      <w:bCs/>
      <w:sz w:val="24"/>
      <w:lang w:val="en-GB" w:eastAsia="en-GB"/>
    </w:rPr>
  </w:style>
  <w:style w:type="paragraph" w:styleId="xl90" w:customStyle="1">
    <w:name w:val="xl90"/>
    <w:basedOn w:val="Normal"/>
    <w:rsid w:val="000F08D9"/>
    <w:pPr>
      <w:spacing w:before="100" w:beforeAutospacing="1" w:after="100" w:afterAutospacing="1"/>
      <w:jc w:val="center"/>
      <w:textAlignment w:val="center"/>
    </w:pPr>
    <w:rPr>
      <w:rFonts w:ascii="Verdana" w:hAnsi="Verdana" w:eastAsia="Times New Roman" w:cs="Times New Roman"/>
      <w:sz w:val="24"/>
      <w:lang w:val="en-GB" w:eastAsia="en-GB"/>
    </w:rPr>
  </w:style>
  <w:style w:type="paragraph" w:styleId="xl91" w:customStyle="1">
    <w:name w:val="xl91"/>
    <w:basedOn w:val="Normal"/>
    <w:rsid w:val="000F08D9"/>
    <w:pPr>
      <w:spacing w:before="100" w:beforeAutospacing="1" w:after="100" w:afterAutospacing="1"/>
      <w:textAlignment w:val="center"/>
    </w:pPr>
    <w:rPr>
      <w:rFonts w:ascii="Verdana" w:hAnsi="Verdana" w:eastAsia="Times New Roman" w:cs="Times New Roman"/>
      <w:sz w:val="24"/>
      <w:lang w:val="en-GB" w:eastAsia="en-GB"/>
    </w:rPr>
  </w:style>
  <w:style w:type="paragraph" w:styleId="xl92" w:customStyle="1">
    <w:name w:val="xl92"/>
    <w:basedOn w:val="Normal"/>
    <w:rsid w:val="000F08D9"/>
    <w:pPr>
      <w:spacing w:before="100" w:beforeAutospacing="1" w:after="100" w:afterAutospacing="1"/>
      <w:textAlignment w:val="center"/>
    </w:pPr>
    <w:rPr>
      <w:rFonts w:ascii="Verdana" w:hAnsi="Verdana" w:eastAsia="Times New Roman" w:cs="Times New Roman"/>
      <w:sz w:val="24"/>
      <w:lang w:val="en-GB" w:eastAsia="en-GB"/>
    </w:rPr>
  </w:style>
  <w:style w:type="paragraph" w:styleId="xl93" w:customStyle="1">
    <w:name w:val="xl93"/>
    <w:basedOn w:val="Normal"/>
    <w:rsid w:val="000F08D9"/>
    <w:pPr>
      <w:spacing w:before="100" w:beforeAutospacing="1" w:after="100" w:afterAutospacing="1"/>
      <w:jc w:val="center"/>
      <w:textAlignment w:val="center"/>
    </w:pPr>
    <w:rPr>
      <w:rFonts w:ascii="Verdana" w:hAnsi="Verdana" w:eastAsia="Times New Roman" w:cs="Times New Roman"/>
      <w:b/>
      <w:bCs/>
      <w:sz w:val="24"/>
      <w:lang w:val="en-GB" w:eastAsia="en-GB"/>
    </w:rPr>
  </w:style>
  <w:style w:type="paragraph" w:styleId="xl94" w:customStyle="1">
    <w:name w:val="xl94"/>
    <w:basedOn w:val="Normal"/>
    <w:rsid w:val="000F08D9"/>
    <w:pPr>
      <w:spacing w:before="100" w:beforeAutospacing="1" w:after="100" w:afterAutospacing="1"/>
      <w:textAlignment w:val="top"/>
    </w:pPr>
    <w:rPr>
      <w:rFonts w:ascii="Verdana" w:hAnsi="Verdana" w:eastAsia="Times New Roman" w:cs="Times New Roman"/>
      <w:sz w:val="24"/>
      <w:lang w:val="en-GB" w:eastAsia="en-GB"/>
    </w:rPr>
  </w:style>
  <w:style w:type="paragraph" w:styleId="xl95" w:customStyle="1">
    <w:name w:val="xl95"/>
    <w:basedOn w:val="Normal"/>
    <w:rsid w:val="000F08D9"/>
    <w:pPr>
      <w:spacing w:before="100" w:beforeAutospacing="1" w:after="100" w:afterAutospacing="1"/>
    </w:pPr>
    <w:rPr>
      <w:rFonts w:ascii="Verdana" w:hAnsi="Verdana" w:eastAsia="Times New Roman" w:cs="Times New Roman"/>
      <w:sz w:val="24"/>
      <w:lang w:val="en-GB" w:eastAsia="en-GB"/>
    </w:rPr>
  </w:style>
  <w:style w:type="paragraph" w:styleId="xl96" w:customStyle="1">
    <w:name w:val="xl96"/>
    <w:basedOn w:val="Normal"/>
    <w:rsid w:val="000F08D9"/>
    <w:pPr>
      <w:spacing w:before="100" w:beforeAutospacing="1" w:after="100" w:afterAutospacing="1"/>
      <w:textAlignment w:val="top"/>
    </w:pPr>
    <w:rPr>
      <w:rFonts w:ascii="Verdana" w:hAnsi="Verdana" w:eastAsia="Times New Roman" w:cs="Times New Roman"/>
      <w:sz w:val="24"/>
      <w:lang w:val="en-GB" w:eastAsia="en-GB"/>
    </w:rPr>
  </w:style>
  <w:style w:type="paragraph" w:styleId="xl97" w:customStyle="1">
    <w:name w:val="xl97"/>
    <w:basedOn w:val="Normal"/>
    <w:rsid w:val="000F08D9"/>
    <w:pPr>
      <w:spacing w:before="100" w:beforeAutospacing="1" w:after="100" w:afterAutospacing="1"/>
      <w:textAlignment w:val="top"/>
    </w:pPr>
    <w:rPr>
      <w:rFonts w:ascii="Verdana" w:hAnsi="Verdana" w:eastAsia="Times New Roman" w:cs="Times New Roman"/>
      <w:sz w:val="20"/>
      <w:szCs w:val="20"/>
      <w:lang w:val="en-GB" w:eastAsia="en-GB"/>
    </w:rPr>
  </w:style>
  <w:style w:type="paragraph" w:styleId="xl98" w:customStyle="1">
    <w:name w:val="xl98"/>
    <w:basedOn w:val="Normal"/>
    <w:rsid w:val="000F08D9"/>
    <w:pPr>
      <w:spacing w:before="100" w:beforeAutospacing="1" w:after="100" w:afterAutospacing="1"/>
      <w:textAlignment w:val="center"/>
    </w:pPr>
    <w:rPr>
      <w:rFonts w:ascii="Verdana" w:hAnsi="Verdana" w:eastAsia="Times New Roman" w:cs="Times New Roman"/>
      <w:b/>
      <w:bCs/>
      <w:sz w:val="20"/>
      <w:szCs w:val="20"/>
      <w:lang w:val="en-GB" w:eastAsia="en-GB"/>
    </w:rPr>
  </w:style>
  <w:style w:type="paragraph" w:styleId="xl99" w:customStyle="1">
    <w:name w:val="xl99"/>
    <w:basedOn w:val="Normal"/>
    <w:rsid w:val="000F08D9"/>
    <w:pPr>
      <w:spacing w:before="100" w:beforeAutospacing="1" w:after="100" w:afterAutospacing="1"/>
      <w:jc w:val="center"/>
      <w:textAlignment w:val="center"/>
    </w:pPr>
    <w:rPr>
      <w:rFonts w:ascii="Verdana" w:hAnsi="Verdana" w:eastAsia="Times New Roman" w:cs="Times New Roman"/>
      <w:b/>
      <w:bCs/>
      <w:sz w:val="20"/>
      <w:szCs w:val="20"/>
      <w:lang w:val="en-GB" w:eastAsia="en-GB"/>
    </w:rPr>
  </w:style>
  <w:style w:type="paragraph" w:styleId="xl100" w:customStyle="1">
    <w:name w:val="xl100"/>
    <w:basedOn w:val="Normal"/>
    <w:rsid w:val="000F08D9"/>
    <w:pPr>
      <w:spacing w:before="100" w:beforeAutospacing="1" w:after="100" w:afterAutospacing="1"/>
      <w:textAlignment w:val="center"/>
    </w:pPr>
    <w:rPr>
      <w:rFonts w:ascii="Verdana" w:hAnsi="Verdana" w:eastAsia="Times New Roman" w:cs="Times New Roman"/>
      <w:sz w:val="20"/>
      <w:szCs w:val="20"/>
      <w:lang w:val="en-GB" w:eastAsia="en-GB"/>
    </w:rPr>
  </w:style>
  <w:style w:type="paragraph" w:styleId="xl101" w:customStyle="1">
    <w:name w:val="xl101"/>
    <w:basedOn w:val="Normal"/>
    <w:rsid w:val="000F08D9"/>
    <w:pPr>
      <w:shd w:val="clear" w:color="E2EFD9" w:fill="E2EFD9"/>
      <w:spacing w:before="100" w:beforeAutospacing="1" w:after="100" w:afterAutospacing="1"/>
      <w:jc w:val="right"/>
      <w:textAlignment w:val="center"/>
    </w:pPr>
    <w:rPr>
      <w:rFonts w:ascii="Verdana" w:hAnsi="Verdana" w:eastAsia="Times New Roman" w:cs="Times New Roman"/>
      <w:sz w:val="20"/>
      <w:szCs w:val="20"/>
      <w:lang w:val="en-GB" w:eastAsia="en-GB"/>
    </w:rPr>
  </w:style>
  <w:style w:type="paragraph" w:styleId="xl102" w:customStyle="1">
    <w:name w:val="xl102"/>
    <w:basedOn w:val="Normal"/>
    <w:rsid w:val="000F08D9"/>
    <w:pPr>
      <w:pBdr>
        <w:bottom w:val="double" w:color="000000" w:sz="6" w:space="0"/>
      </w:pBdr>
      <w:shd w:val="clear" w:color="E2EFD9" w:fill="E2EFD9"/>
      <w:spacing w:before="100" w:beforeAutospacing="1" w:after="100" w:afterAutospacing="1"/>
      <w:jc w:val="right"/>
      <w:textAlignment w:val="center"/>
    </w:pPr>
    <w:rPr>
      <w:rFonts w:ascii="Verdana" w:hAnsi="Verdana" w:eastAsia="Times New Roman" w:cs="Times New Roman"/>
      <w:sz w:val="20"/>
      <w:szCs w:val="20"/>
      <w:lang w:val="en-GB" w:eastAsia="en-GB"/>
    </w:rPr>
  </w:style>
  <w:style w:type="paragraph" w:styleId="xl103" w:customStyle="1">
    <w:name w:val="xl103"/>
    <w:basedOn w:val="Normal"/>
    <w:rsid w:val="000F08D9"/>
    <w:pPr>
      <w:spacing w:before="100" w:beforeAutospacing="1" w:after="100" w:afterAutospacing="1"/>
      <w:textAlignment w:val="center"/>
    </w:pPr>
    <w:rPr>
      <w:rFonts w:ascii="Verdana" w:hAnsi="Verdana" w:eastAsia="Times New Roman" w:cs="Times New Roman"/>
      <w:b/>
      <w:bCs/>
      <w:sz w:val="20"/>
      <w:szCs w:val="20"/>
      <w:lang w:val="en-GB" w:eastAsia="en-GB"/>
    </w:rPr>
  </w:style>
  <w:style w:type="paragraph" w:styleId="xl104" w:customStyle="1">
    <w:name w:val="xl104"/>
    <w:basedOn w:val="Normal"/>
    <w:rsid w:val="000F08D9"/>
    <w:pPr>
      <w:spacing w:before="100" w:beforeAutospacing="1" w:after="100" w:afterAutospacing="1"/>
    </w:pPr>
    <w:rPr>
      <w:rFonts w:ascii="Verdana" w:hAnsi="Verdana" w:eastAsia="Times New Roman" w:cs="Times New Roman"/>
      <w:i/>
      <w:iCs/>
      <w:sz w:val="20"/>
      <w:szCs w:val="20"/>
      <w:lang w:val="en-GB" w:eastAsia="en-GB"/>
    </w:rPr>
  </w:style>
  <w:style w:type="paragraph" w:styleId="xl105" w:customStyle="1">
    <w:name w:val="xl105"/>
    <w:basedOn w:val="Normal"/>
    <w:rsid w:val="000F08D9"/>
    <w:pPr>
      <w:spacing w:before="100" w:beforeAutospacing="1" w:after="100" w:afterAutospacing="1"/>
    </w:pPr>
    <w:rPr>
      <w:rFonts w:ascii="Verdana" w:hAnsi="Verdana" w:eastAsia="Times New Roman" w:cs="Times New Roman"/>
      <w:color w:val="000000"/>
      <w:sz w:val="20"/>
      <w:szCs w:val="20"/>
      <w:lang w:val="en-GB" w:eastAsia="en-GB"/>
    </w:rPr>
  </w:style>
  <w:style w:type="paragraph" w:styleId="xl106" w:customStyle="1">
    <w:name w:val="xl106"/>
    <w:basedOn w:val="Normal"/>
    <w:rsid w:val="000F08D9"/>
    <w:pPr>
      <w:shd w:val="clear" w:color="E2EFD9" w:fill="E2EFD9"/>
      <w:spacing w:before="100" w:beforeAutospacing="1" w:after="100" w:afterAutospacing="1"/>
      <w:jc w:val="right"/>
      <w:textAlignment w:val="center"/>
    </w:pPr>
    <w:rPr>
      <w:rFonts w:ascii="Verdana" w:hAnsi="Verdana" w:eastAsia="Times New Roman" w:cs="Times New Roman"/>
      <w:b/>
      <w:bCs/>
      <w:sz w:val="20"/>
      <w:szCs w:val="20"/>
      <w:lang w:val="en-GB" w:eastAsia="en-GB"/>
    </w:rPr>
  </w:style>
  <w:style w:type="paragraph" w:styleId="xl107" w:customStyle="1">
    <w:name w:val="xl107"/>
    <w:basedOn w:val="Normal"/>
    <w:rsid w:val="000F08D9"/>
    <w:pPr>
      <w:spacing w:before="100" w:beforeAutospacing="1" w:after="100" w:afterAutospacing="1"/>
      <w:jc w:val="right"/>
      <w:textAlignment w:val="center"/>
    </w:pPr>
    <w:rPr>
      <w:rFonts w:ascii="Verdana" w:hAnsi="Verdana" w:eastAsia="Times New Roman" w:cs="Times New Roman"/>
      <w:sz w:val="20"/>
      <w:szCs w:val="20"/>
      <w:lang w:val="en-GB" w:eastAsia="en-GB"/>
    </w:rPr>
  </w:style>
  <w:style w:type="paragraph" w:styleId="xl108" w:customStyle="1">
    <w:name w:val="xl108"/>
    <w:basedOn w:val="Normal"/>
    <w:rsid w:val="000F08D9"/>
    <w:pPr>
      <w:spacing w:before="100" w:beforeAutospacing="1" w:after="100" w:afterAutospacing="1"/>
      <w:jc w:val="right"/>
    </w:pPr>
    <w:rPr>
      <w:rFonts w:ascii="Verdana" w:hAnsi="Verdana" w:eastAsia="Times New Roman" w:cs="Times New Roman"/>
      <w:sz w:val="24"/>
      <w:lang w:val="en-GB" w:eastAsia="en-GB"/>
    </w:rPr>
  </w:style>
  <w:style w:type="paragraph" w:styleId="xl109" w:customStyle="1">
    <w:name w:val="xl109"/>
    <w:basedOn w:val="Normal"/>
    <w:rsid w:val="000F08D9"/>
    <w:pPr>
      <w:spacing w:before="100" w:beforeAutospacing="1" w:after="100" w:afterAutospacing="1"/>
    </w:pPr>
    <w:rPr>
      <w:rFonts w:ascii="Verdana" w:hAnsi="Verdana" w:eastAsia="Times New Roman" w:cs="Times New Roman"/>
      <w:sz w:val="24"/>
      <w:lang w:val="en-GB" w:eastAsia="en-GB"/>
    </w:rPr>
  </w:style>
  <w:style w:type="paragraph" w:styleId="xl110" w:customStyle="1">
    <w:name w:val="xl110"/>
    <w:basedOn w:val="Normal"/>
    <w:rsid w:val="000F08D9"/>
    <w:pPr>
      <w:spacing w:before="100" w:beforeAutospacing="1" w:after="100" w:afterAutospacing="1"/>
      <w:textAlignment w:val="center"/>
    </w:pPr>
    <w:rPr>
      <w:rFonts w:ascii="Verdana" w:hAnsi="Verdana" w:eastAsia="Times New Roman" w:cs="Times New Roman"/>
      <w:b/>
      <w:bCs/>
      <w:sz w:val="24"/>
      <w:lang w:val="en-GB" w:eastAsia="en-GB"/>
    </w:rPr>
  </w:style>
  <w:style w:type="paragraph" w:styleId="xl111" w:customStyle="1">
    <w:name w:val="xl111"/>
    <w:basedOn w:val="Normal"/>
    <w:rsid w:val="000F08D9"/>
    <w:pPr>
      <w:spacing w:before="100" w:beforeAutospacing="1" w:after="100" w:afterAutospacing="1"/>
      <w:textAlignment w:val="center"/>
    </w:pPr>
    <w:rPr>
      <w:rFonts w:ascii="Verdana" w:hAnsi="Verdana" w:eastAsia="Times New Roman" w:cs="Times New Roman"/>
      <w:b/>
      <w:bCs/>
      <w:sz w:val="24"/>
      <w:lang w:val="en-GB" w:eastAsia="en-GB"/>
    </w:rPr>
  </w:style>
  <w:style w:type="paragraph" w:styleId="xl112" w:customStyle="1">
    <w:name w:val="xl112"/>
    <w:basedOn w:val="Normal"/>
    <w:rsid w:val="000F08D9"/>
    <w:pPr>
      <w:spacing w:before="100" w:beforeAutospacing="1" w:after="100" w:afterAutospacing="1"/>
    </w:pPr>
    <w:rPr>
      <w:rFonts w:ascii="Verdana" w:hAnsi="Verdana" w:eastAsia="Times New Roman" w:cs="Times New Roman"/>
      <w:color w:val="000000"/>
      <w:sz w:val="24"/>
      <w:lang w:val="en-GB" w:eastAsia="en-GB"/>
    </w:rPr>
  </w:style>
  <w:style w:type="paragraph" w:styleId="xl113" w:customStyle="1">
    <w:name w:val="xl113"/>
    <w:basedOn w:val="Normal"/>
    <w:rsid w:val="000F08D9"/>
    <w:pPr>
      <w:spacing w:before="100" w:beforeAutospacing="1" w:after="100" w:afterAutospacing="1"/>
      <w:jc w:val="right"/>
    </w:pPr>
    <w:rPr>
      <w:rFonts w:ascii="Verdana" w:hAnsi="Verdana" w:eastAsia="Times New Roman" w:cs="Times New Roman"/>
      <w:sz w:val="20"/>
      <w:szCs w:val="20"/>
      <w:lang w:val="en-GB" w:eastAsia="en-GB"/>
    </w:rPr>
  </w:style>
  <w:style w:type="paragraph" w:styleId="xl114" w:customStyle="1">
    <w:name w:val="xl114"/>
    <w:basedOn w:val="Normal"/>
    <w:rsid w:val="000F08D9"/>
    <w:pPr>
      <w:spacing w:before="100" w:beforeAutospacing="1" w:after="100" w:afterAutospacing="1"/>
      <w:jc w:val="center"/>
    </w:pPr>
    <w:rPr>
      <w:rFonts w:ascii="Verdana" w:hAnsi="Verdana" w:eastAsia="Times New Roman" w:cs="Times New Roman"/>
      <w:i/>
      <w:iCs/>
      <w:sz w:val="20"/>
      <w:szCs w:val="20"/>
      <w:lang w:val="en-GB" w:eastAsia="en-GB"/>
    </w:rPr>
  </w:style>
  <w:style w:type="paragraph" w:styleId="xl115" w:customStyle="1">
    <w:name w:val="xl115"/>
    <w:basedOn w:val="Normal"/>
    <w:rsid w:val="000F08D9"/>
    <w:pPr>
      <w:pBdr>
        <w:top w:val="single" w:color="000000" w:sz="4" w:space="0"/>
      </w:pBdr>
      <w:shd w:val="clear" w:color="E2EFD9" w:fill="E2EFD9"/>
      <w:spacing w:before="100" w:beforeAutospacing="1" w:after="100" w:afterAutospacing="1"/>
      <w:jc w:val="right"/>
    </w:pPr>
    <w:rPr>
      <w:rFonts w:ascii="Verdana" w:hAnsi="Verdana" w:eastAsia="Times New Roman" w:cs="Times New Roman"/>
      <w:sz w:val="20"/>
      <w:szCs w:val="20"/>
      <w:lang w:val="en-GB" w:eastAsia="en-GB"/>
    </w:rPr>
  </w:style>
  <w:style w:type="paragraph" w:styleId="xl116" w:customStyle="1">
    <w:name w:val="xl116"/>
    <w:basedOn w:val="Normal"/>
    <w:rsid w:val="000F08D9"/>
    <w:pPr>
      <w:spacing w:before="100" w:beforeAutospacing="1" w:after="100" w:afterAutospacing="1"/>
      <w:textAlignment w:val="center"/>
    </w:pPr>
    <w:rPr>
      <w:rFonts w:ascii="Verdana" w:hAnsi="Verdana" w:eastAsia="Times New Roman" w:cs="Times New Roman"/>
      <w:b/>
      <w:bCs/>
      <w:i/>
      <w:iCs/>
      <w:sz w:val="24"/>
      <w:lang w:val="en-GB" w:eastAsia="en-GB"/>
    </w:rPr>
  </w:style>
  <w:style w:type="paragraph" w:styleId="xl117" w:customStyle="1">
    <w:name w:val="xl117"/>
    <w:basedOn w:val="Normal"/>
    <w:rsid w:val="000F08D9"/>
    <w:pPr>
      <w:spacing w:before="100" w:beforeAutospacing="1" w:after="100" w:afterAutospacing="1"/>
      <w:jc w:val="center"/>
    </w:pPr>
    <w:rPr>
      <w:rFonts w:ascii="Verdana" w:hAnsi="Verdana" w:eastAsia="Times New Roman" w:cs="Times New Roman"/>
      <w:b/>
      <w:bCs/>
      <w:sz w:val="20"/>
      <w:szCs w:val="20"/>
      <w:lang w:val="en-GB" w:eastAsia="en-GB"/>
    </w:rPr>
  </w:style>
  <w:style w:type="paragraph" w:styleId="xl118" w:customStyle="1">
    <w:name w:val="xl118"/>
    <w:basedOn w:val="Normal"/>
    <w:rsid w:val="000F08D9"/>
    <w:pPr>
      <w:spacing w:before="100" w:beforeAutospacing="1" w:after="100" w:afterAutospacing="1"/>
    </w:pPr>
    <w:rPr>
      <w:rFonts w:ascii="Verdana" w:hAnsi="Verdana" w:eastAsia="Times New Roman" w:cs="Times New Roman"/>
      <w:b/>
      <w:bCs/>
      <w:i/>
      <w:iCs/>
      <w:sz w:val="24"/>
      <w:lang w:val="en-GB" w:eastAsia="en-GB"/>
    </w:rPr>
  </w:style>
  <w:style w:type="paragraph" w:styleId="xl119" w:customStyle="1">
    <w:name w:val="xl119"/>
    <w:basedOn w:val="Normal"/>
    <w:rsid w:val="000F08D9"/>
    <w:pPr>
      <w:spacing w:before="100" w:beforeAutospacing="1" w:after="100" w:afterAutospacing="1"/>
    </w:pPr>
    <w:rPr>
      <w:rFonts w:ascii="Verdana" w:hAnsi="Verdana" w:eastAsia="Times New Roman" w:cs="Times New Roman"/>
      <w:b/>
      <w:bCs/>
      <w:sz w:val="20"/>
      <w:szCs w:val="20"/>
      <w:lang w:val="en-GB" w:eastAsia="en-GB"/>
    </w:rPr>
  </w:style>
  <w:style w:type="paragraph" w:styleId="xl120" w:customStyle="1">
    <w:name w:val="xl120"/>
    <w:basedOn w:val="Normal"/>
    <w:rsid w:val="000F08D9"/>
    <w:pPr>
      <w:spacing w:before="100" w:beforeAutospacing="1" w:after="100" w:afterAutospacing="1"/>
      <w:jc w:val="right"/>
    </w:pPr>
    <w:rPr>
      <w:rFonts w:ascii="Verdana" w:hAnsi="Verdana" w:eastAsia="Times New Roman" w:cs="Times New Roman"/>
      <w:sz w:val="20"/>
      <w:szCs w:val="20"/>
      <w:lang w:val="en-GB" w:eastAsia="en-GB"/>
    </w:rPr>
  </w:style>
  <w:style w:type="paragraph" w:styleId="xl121" w:customStyle="1">
    <w:name w:val="xl121"/>
    <w:basedOn w:val="Normal"/>
    <w:rsid w:val="000F08D9"/>
    <w:pPr>
      <w:shd w:val="clear" w:color="00B050" w:fill="00B050"/>
      <w:spacing w:before="100" w:beforeAutospacing="1" w:after="100" w:afterAutospacing="1"/>
    </w:pPr>
    <w:rPr>
      <w:rFonts w:ascii="Verdana" w:hAnsi="Verdana" w:eastAsia="Times New Roman" w:cs="Times New Roman"/>
      <w:sz w:val="24"/>
      <w:lang w:val="en-GB" w:eastAsia="en-GB"/>
    </w:rPr>
  </w:style>
  <w:style w:type="paragraph" w:styleId="xl122" w:customStyle="1">
    <w:name w:val="xl122"/>
    <w:basedOn w:val="Normal"/>
    <w:rsid w:val="000F08D9"/>
    <w:pPr>
      <w:spacing w:before="100" w:beforeAutospacing="1" w:after="100" w:afterAutospacing="1"/>
      <w:jc w:val="center"/>
    </w:pPr>
    <w:rPr>
      <w:rFonts w:ascii="Verdana" w:hAnsi="Verdana" w:eastAsia="Times New Roman" w:cs="Times New Roman"/>
      <w:b/>
      <w:bCs/>
      <w:color w:val="333399"/>
      <w:sz w:val="24"/>
      <w:lang w:val="en-GB" w:eastAsia="en-GB"/>
    </w:rPr>
  </w:style>
  <w:style w:type="paragraph" w:styleId="xl123" w:customStyle="1">
    <w:name w:val="xl123"/>
    <w:basedOn w:val="Normal"/>
    <w:rsid w:val="000F08D9"/>
    <w:pPr>
      <w:pBdr>
        <w:bottom w:val="single" w:color="000000" w:sz="4" w:space="0"/>
      </w:pBdr>
      <w:spacing w:before="100" w:beforeAutospacing="1" w:after="100" w:afterAutospacing="1"/>
      <w:jc w:val="center"/>
      <w:textAlignment w:val="center"/>
    </w:pPr>
    <w:rPr>
      <w:rFonts w:ascii="Verdana" w:hAnsi="Verdana" w:eastAsia="Times New Roman" w:cs="Times New Roman"/>
      <w:b/>
      <w:bCs/>
      <w:color w:val="000000"/>
      <w:sz w:val="20"/>
      <w:szCs w:val="20"/>
      <w:lang w:val="en-GB" w:eastAsia="en-GB"/>
    </w:rPr>
  </w:style>
  <w:style w:type="paragraph" w:styleId="xl124" w:customStyle="1">
    <w:name w:val="xl124"/>
    <w:basedOn w:val="Normal"/>
    <w:rsid w:val="000F08D9"/>
    <w:pPr>
      <w:shd w:val="clear" w:color="D8D8D8" w:fill="D8D8D8"/>
      <w:spacing w:before="100" w:beforeAutospacing="1" w:after="100" w:afterAutospacing="1"/>
    </w:pPr>
    <w:rPr>
      <w:rFonts w:ascii="Verdana" w:hAnsi="Verdana" w:eastAsia="Times New Roman" w:cs="Times New Roman"/>
      <w:b/>
      <w:bCs/>
      <w:color w:val="000000"/>
      <w:sz w:val="20"/>
      <w:szCs w:val="20"/>
      <w:lang w:val="en-GB" w:eastAsia="en-GB"/>
    </w:rPr>
  </w:style>
  <w:style w:type="paragraph" w:styleId="xl125" w:customStyle="1">
    <w:name w:val="xl125"/>
    <w:basedOn w:val="Normal"/>
    <w:rsid w:val="000F08D9"/>
    <w:pPr>
      <w:shd w:val="clear" w:color="D8D8D8" w:fill="D8D8D8"/>
      <w:spacing w:before="100" w:beforeAutospacing="1" w:after="100" w:afterAutospacing="1"/>
    </w:pPr>
    <w:rPr>
      <w:rFonts w:ascii="Verdana" w:hAnsi="Verdana" w:eastAsia="Times New Roman" w:cs="Times New Roman"/>
      <w:sz w:val="20"/>
      <w:szCs w:val="20"/>
      <w:lang w:val="en-GB" w:eastAsia="en-GB"/>
    </w:rPr>
  </w:style>
  <w:style w:type="paragraph" w:styleId="xl126" w:customStyle="1">
    <w:name w:val="xl126"/>
    <w:basedOn w:val="Normal"/>
    <w:rsid w:val="000F08D9"/>
    <w:pPr>
      <w:shd w:val="clear" w:color="D8D8D8" w:fill="D8D8D8"/>
      <w:spacing w:before="100" w:beforeAutospacing="1" w:after="100" w:afterAutospacing="1"/>
      <w:jc w:val="right"/>
    </w:pPr>
    <w:rPr>
      <w:rFonts w:ascii="Verdana" w:hAnsi="Verdana" w:eastAsia="Times New Roman" w:cs="Times New Roman"/>
      <w:color w:val="000000"/>
      <w:sz w:val="20"/>
      <w:szCs w:val="20"/>
      <w:lang w:val="en-GB" w:eastAsia="en-GB"/>
    </w:rPr>
  </w:style>
  <w:style w:type="paragraph" w:styleId="xl127" w:customStyle="1">
    <w:name w:val="xl127"/>
    <w:basedOn w:val="Normal"/>
    <w:rsid w:val="000F08D9"/>
    <w:pPr>
      <w:shd w:val="clear" w:color="D8D8D8" w:fill="D8D8D8"/>
      <w:spacing w:before="100" w:beforeAutospacing="1" w:after="100" w:afterAutospacing="1"/>
    </w:pPr>
    <w:rPr>
      <w:rFonts w:ascii="Verdana" w:hAnsi="Verdana" w:eastAsia="Times New Roman" w:cs="Times New Roman"/>
      <w:color w:val="000000"/>
      <w:sz w:val="20"/>
      <w:szCs w:val="20"/>
      <w:lang w:val="en-GB" w:eastAsia="en-GB"/>
    </w:rPr>
  </w:style>
  <w:style w:type="paragraph" w:styleId="xl128" w:customStyle="1">
    <w:name w:val="xl128"/>
    <w:basedOn w:val="Normal"/>
    <w:rsid w:val="000F08D9"/>
    <w:pPr>
      <w:shd w:val="clear" w:color="D8D8D8" w:fill="D8D8D8"/>
      <w:spacing w:before="100" w:beforeAutospacing="1" w:after="100" w:afterAutospacing="1"/>
    </w:pPr>
    <w:rPr>
      <w:rFonts w:ascii="Verdana" w:hAnsi="Verdana" w:eastAsia="Times New Roman" w:cs="Times New Roman"/>
      <w:color w:val="000000"/>
      <w:sz w:val="20"/>
      <w:szCs w:val="20"/>
      <w:lang w:val="en-GB" w:eastAsia="en-GB"/>
    </w:rPr>
  </w:style>
  <w:style w:type="paragraph" w:styleId="xl129" w:customStyle="1">
    <w:name w:val="xl129"/>
    <w:basedOn w:val="Normal"/>
    <w:rsid w:val="000F08D9"/>
    <w:pPr>
      <w:pBdr>
        <w:bottom w:val="single" w:color="000000" w:sz="4" w:space="0"/>
      </w:pBdr>
      <w:shd w:val="clear" w:color="D8D8D8" w:fill="D8D8D8"/>
      <w:spacing w:before="100" w:beforeAutospacing="1" w:after="100" w:afterAutospacing="1"/>
      <w:jc w:val="right"/>
    </w:pPr>
    <w:rPr>
      <w:rFonts w:ascii="Verdana" w:hAnsi="Verdana" w:eastAsia="Times New Roman" w:cs="Times New Roman"/>
      <w:color w:val="000000"/>
      <w:sz w:val="20"/>
      <w:szCs w:val="20"/>
      <w:lang w:val="en-GB" w:eastAsia="en-GB"/>
    </w:rPr>
  </w:style>
  <w:style w:type="paragraph" w:styleId="xl130" w:customStyle="1">
    <w:name w:val="xl130"/>
    <w:basedOn w:val="Normal"/>
    <w:rsid w:val="000F08D9"/>
    <w:pPr>
      <w:shd w:val="clear" w:color="D8D8D8" w:fill="D8D8D8"/>
      <w:spacing w:before="100" w:beforeAutospacing="1" w:after="100" w:afterAutospacing="1"/>
      <w:jc w:val="right"/>
    </w:pPr>
    <w:rPr>
      <w:rFonts w:ascii="Verdana" w:hAnsi="Verdana" w:eastAsia="Times New Roman" w:cs="Times New Roman"/>
      <w:b/>
      <w:bCs/>
      <w:color w:val="000000"/>
      <w:sz w:val="20"/>
      <w:szCs w:val="20"/>
      <w:lang w:val="en-GB" w:eastAsia="en-GB"/>
    </w:rPr>
  </w:style>
  <w:style w:type="paragraph" w:styleId="xl131" w:customStyle="1">
    <w:name w:val="xl131"/>
    <w:basedOn w:val="Normal"/>
    <w:rsid w:val="000F08D9"/>
    <w:pPr>
      <w:spacing w:before="100" w:beforeAutospacing="1" w:after="100" w:afterAutospacing="1"/>
    </w:pPr>
    <w:rPr>
      <w:rFonts w:ascii="Verdana" w:hAnsi="Verdana" w:eastAsia="Times New Roman" w:cs="Times New Roman"/>
      <w:b/>
      <w:bCs/>
      <w:color w:val="000000"/>
      <w:sz w:val="20"/>
      <w:szCs w:val="20"/>
      <w:lang w:val="en-GB" w:eastAsia="en-GB"/>
    </w:rPr>
  </w:style>
  <w:style w:type="paragraph" w:styleId="xl132" w:customStyle="1">
    <w:name w:val="xl132"/>
    <w:basedOn w:val="Normal"/>
    <w:rsid w:val="000F08D9"/>
    <w:pPr>
      <w:spacing w:before="100" w:beforeAutospacing="1" w:after="100" w:afterAutospacing="1"/>
      <w:jc w:val="right"/>
    </w:pPr>
    <w:rPr>
      <w:rFonts w:ascii="Verdana" w:hAnsi="Verdana" w:eastAsia="Times New Roman" w:cs="Times New Roman"/>
      <w:color w:val="000000"/>
      <w:sz w:val="20"/>
      <w:szCs w:val="20"/>
      <w:lang w:val="en-GB" w:eastAsia="en-GB"/>
    </w:rPr>
  </w:style>
  <w:style w:type="paragraph" w:styleId="xl133" w:customStyle="1">
    <w:name w:val="xl133"/>
    <w:basedOn w:val="Normal"/>
    <w:rsid w:val="000F08D9"/>
    <w:pPr>
      <w:shd w:val="clear" w:color="E2EFD9" w:fill="E2EFD9"/>
      <w:spacing w:before="100" w:beforeAutospacing="1" w:after="100" w:afterAutospacing="1"/>
      <w:jc w:val="right"/>
    </w:pPr>
    <w:rPr>
      <w:rFonts w:ascii="Verdana" w:hAnsi="Verdana" w:eastAsia="Times New Roman" w:cs="Times New Roman"/>
      <w:color w:val="000000"/>
      <w:sz w:val="20"/>
      <w:szCs w:val="20"/>
      <w:lang w:val="en-GB" w:eastAsia="en-GB"/>
    </w:rPr>
  </w:style>
  <w:style w:type="paragraph" w:styleId="xl134" w:customStyle="1">
    <w:name w:val="xl134"/>
    <w:basedOn w:val="Normal"/>
    <w:rsid w:val="000F08D9"/>
    <w:pPr>
      <w:spacing w:before="100" w:beforeAutospacing="1" w:after="100" w:afterAutospacing="1"/>
    </w:pPr>
    <w:rPr>
      <w:rFonts w:ascii="Verdana" w:hAnsi="Verdana" w:eastAsia="Times New Roman" w:cs="Times New Roman"/>
      <w:color w:val="000000"/>
      <w:sz w:val="20"/>
      <w:szCs w:val="20"/>
      <w:lang w:val="en-GB" w:eastAsia="en-GB"/>
    </w:rPr>
  </w:style>
  <w:style w:type="paragraph" w:styleId="xl135" w:customStyle="1">
    <w:name w:val="xl135"/>
    <w:basedOn w:val="Normal"/>
    <w:rsid w:val="000F08D9"/>
    <w:pPr>
      <w:spacing w:before="100" w:beforeAutospacing="1" w:after="100" w:afterAutospacing="1"/>
      <w:jc w:val="center"/>
    </w:pPr>
    <w:rPr>
      <w:rFonts w:ascii="Verdana" w:hAnsi="Verdana" w:eastAsia="Times New Roman" w:cs="Times New Roman"/>
      <w:color w:val="000000"/>
      <w:sz w:val="20"/>
      <w:szCs w:val="20"/>
      <w:lang w:val="en-GB" w:eastAsia="en-GB"/>
    </w:rPr>
  </w:style>
  <w:style w:type="paragraph" w:styleId="xl136" w:customStyle="1">
    <w:name w:val="xl136"/>
    <w:basedOn w:val="Normal"/>
    <w:rsid w:val="000F08D9"/>
    <w:pPr>
      <w:spacing w:before="100" w:beforeAutospacing="1" w:after="100" w:afterAutospacing="1"/>
    </w:pPr>
    <w:rPr>
      <w:rFonts w:ascii="Verdana" w:hAnsi="Verdana" w:eastAsia="Times New Roman" w:cs="Times New Roman"/>
      <w:color w:val="000000"/>
      <w:sz w:val="20"/>
      <w:szCs w:val="20"/>
      <w:lang w:val="en-GB" w:eastAsia="en-GB"/>
    </w:rPr>
  </w:style>
  <w:style w:type="paragraph" w:styleId="xl137" w:customStyle="1">
    <w:name w:val="xl137"/>
    <w:basedOn w:val="Normal"/>
    <w:rsid w:val="000F08D9"/>
    <w:pPr>
      <w:pBdr>
        <w:bottom w:val="single" w:color="000000" w:sz="4" w:space="0"/>
      </w:pBdr>
      <w:spacing w:before="100" w:beforeAutospacing="1" w:after="100" w:afterAutospacing="1"/>
      <w:jc w:val="right"/>
    </w:pPr>
    <w:rPr>
      <w:rFonts w:ascii="Verdana" w:hAnsi="Verdana" w:eastAsia="Times New Roman" w:cs="Times New Roman"/>
      <w:color w:val="000000"/>
      <w:sz w:val="20"/>
      <w:szCs w:val="20"/>
      <w:lang w:val="en-GB" w:eastAsia="en-GB"/>
    </w:rPr>
  </w:style>
  <w:style w:type="paragraph" w:styleId="xl138" w:customStyle="1">
    <w:name w:val="xl138"/>
    <w:basedOn w:val="Normal"/>
    <w:rsid w:val="000F08D9"/>
    <w:pPr>
      <w:pBdr>
        <w:bottom w:val="single" w:color="000000" w:sz="4" w:space="0"/>
      </w:pBdr>
      <w:shd w:val="clear" w:color="E2EFD9" w:fill="E2EFD9"/>
      <w:spacing w:before="100" w:beforeAutospacing="1" w:after="100" w:afterAutospacing="1"/>
      <w:jc w:val="right"/>
    </w:pPr>
    <w:rPr>
      <w:rFonts w:ascii="Verdana" w:hAnsi="Verdana" w:eastAsia="Times New Roman" w:cs="Times New Roman"/>
      <w:color w:val="000000"/>
      <w:sz w:val="20"/>
      <w:szCs w:val="20"/>
      <w:lang w:val="en-GB" w:eastAsia="en-GB"/>
    </w:rPr>
  </w:style>
  <w:style w:type="paragraph" w:styleId="xl139" w:customStyle="1">
    <w:name w:val="xl139"/>
    <w:basedOn w:val="Normal"/>
    <w:rsid w:val="000F08D9"/>
    <w:pPr>
      <w:spacing w:before="100" w:beforeAutospacing="1" w:after="100" w:afterAutospacing="1"/>
      <w:jc w:val="right"/>
    </w:pPr>
    <w:rPr>
      <w:rFonts w:ascii="Verdana" w:hAnsi="Verdana" w:eastAsia="Times New Roman" w:cs="Times New Roman"/>
      <w:b/>
      <w:bCs/>
      <w:color w:val="000000"/>
      <w:sz w:val="20"/>
      <w:szCs w:val="20"/>
      <w:lang w:val="en-GB" w:eastAsia="en-GB"/>
    </w:rPr>
  </w:style>
  <w:style w:type="paragraph" w:styleId="xl140" w:customStyle="1">
    <w:name w:val="xl140"/>
    <w:basedOn w:val="Normal"/>
    <w:rsid w:val="000F08D9"/>
    <w:pPr>
      <w:shd w:val="clear" w:color="E2EFD9" w:fill="E2EFD9"/>
      <w:spacing w:before="100" w:beforeAutospacing="1" w:after="100" w:afterAutospacing="1"/>
      <w:jc w:val="right"/>
    </w:pPr>
    <w:rPr>
      <w:rFonts w:ascii="Verdana" w:hAnsi="Verdana" w:eastAsia="Times New Roman" w:cs="Times New Roman"/>
      <w:b/>
      <w:bCs/>
      <w:color w:val="000000"/>
      <w:sz w:val="20"/>
      <w:szCs w:val="20"/>
      <w:lang w:val="en-GB" w:eastAsia="en-GB"/>
    </w:rPr>
  </w:style>
  <w:style w:type="paragraph" w:styleId="xl141" w:customStyle="1">
    <w:name w:val="xl141"/>
    <w:basedOn w:val="Normal"/>
    <w:rsid w:val="000F08D9"/>
    <w:pPr>
      <w:spacing w:before="100" w:beforeAutospacing="1" w:after="100" w:afterAutospacing="1"/>
    </w:pPr>
    <w:rPr>
      <w:rFonts w:ascii="Verdana" w:hAnsi="Verdana" w:eastAsia="Times New Roman" w:cs="Times New Roman"/>
      <w:sz w:val="18"/>
      <w:szCs w:val="18"/>
      <w:lang w:val="en-GB" w:eastAsia="en-GB"/>
    </w:rPr>
  </w:style>
  <w:style w:type="paragraph" w:styleId="xl142" w:customStyle="1">
    <w:name w:val="xl142"/>
    <w:basedOn w:val="Normal"/>
    <w:rsid w:val="000F08D9"/>
    <w:pPr>
      <w:spacing w:before="100" w:beforeAutospacing="1" w:after="100" w:afterAutospacing="1"/>
      <w:textAlignment w:val="top"/>
    </w:pPr>
    <w:rPr>
      <w:rFonts w:ascii="Verdana" w:hAnsi="Verdana" w:eastAsia="Times New Roman" w:cs="Times New Roman"/>
      <w:b/>
      <w:bCs/>
      <w:color w:val="000000"/>
      <w:sz w:val="20"/>
      <w:szCs w:val="20"/>
      <w:lang w:val="en-GB" w:eastAsia="en-GB"/>
    </w:rPr>
  </w:style>
  <w:style w:type="paragraph" w:styleId="xl143" w:customStyle="1">
    <w:name w:val="xl143"/>
    <w:basedOn w:val="Normal"/>
    <w:rsid w:val="000F08D9"/>
    <w:pPr>
      <w:shd w:val="clear" w:color="D8D8D8" w:fill="D8D8D8"/>
      <w:spacing w:before="100" w:beforeAutospacing="1" w:after="100" w:afterAutospacing="1"/>
    </w:pPr>
    <w:rPr>
      <w:rFonts w:ascii="Verdana" w:hAnsi="Verdana" w:eastAsia="Times New Roman" w:cs="Times New Roman"/>
      <w:i/>
      <w:iCs/>
      <w:color w:val="000000"/>
      <w:sz w:val="20"/>
      <w:szCs w:val="20"/>
      <w:lang w:val="en-GB" w:eastAsia="en-GB"/>
    </w:rPr>
  </w:style>
  <w:style w:type="paragraph" w:styleId="xl144" w:customStyle="1">
    <w:name w:val="xl144"/>
    <w:basedOn w:val="Normal"/>
    <w:rsid w:val="000F08D9"/>
    <w:pPr>
      <w:spacing w:before="100" w:beforeAutospacing="1" w:after="100" w:afterAutospacing="1"/>
    </w:pPr>
    <w:rPr>
      <w:rFonts w:ascii="Verdana" w:hAnsi="Verdana" w:eastAsia="Times New Roman" w:cs="Times New Roman"/>
      <w:i/>
      <w:iCs/>
      <w:color w:val="000000"/>
      <w:sz w:val="20"/>
      <w:szCs w:val="20"/>
      <w:lang w:val="en-GB" w:eastAsia="en-GB"/>
    </w:rPr>
  </w:style>
  <w:style w:type="paragraph" w:styleId="xl145" w:customStyle="1">
    <w:name w:val="xl145"/>
    <w:basedOn w:val="Normal"/>
    <w:rsid w:val="000F08D9"/>
    <w:pPr>
      <w:spacing w:before="100" w:beforeAutospacing="1" w:after="100" w:afterAutospacing="1"/>
    </w:pPr>
    <w:rPr>
      <w:rFonts w:ascii="Verdana" w:hAnsi="Verdana" w:eastAsia="Times New Roman" w:cs="Times New Roman"/>
      <w:b/>
      <w:bCs/>
      <w:color w:val="000000"/>
      <w:sz w:val="20"/>
      <w:szCs w:val="20"/>
      <w:u w:val="single"/>
      <w:lang w:val="en-GB" w:eastAsia="en-GB"/>
    </w:rPr>
  </w:style>
  <w:style w:type="paragraph" w:styleId="xl146" w:customStyle="1">
    <w:name w:val="xl146"/>
    <w:basedOn w:val="Normal"/>
    <w:rsid w:val="000F08D9"/>
    <w:pPr>
      <w:spacing w:before="100" w:beforeAutospacing="1" w:after="100" w:afterAutospacing="1"/>
      <w:jc w:val="right"/>
      <w:textAlignment w:val="center"/>
    </w:pPr>
    <w:rPr>
      <w:rFonts w:ascii="Verdana" w:hAnsi="Verdana" w:eastAsia="Times New Roman" w:cs="Times New Roman"/>
      <w:b/>
      <w:bCs/>
      <w:color w:val="000000"/>
      <w:sz w:val="20"/>
      <w:szCs w:val="20"/>
      <w:lang w:val="en-GB" w:eastAsia="en-GB"/>
    </w:rPr>
  </w:style>
  <w:style w:type="paragraph" w:styleId="xl147" w:customStyle="1">
    <w:name w:val="xl147"/>
    <w:basedOn w:val="Normal"/>
    <w:rsid w:val="000F08D9"/>
    <w:pPr>
      <w:pBdr>
        <w:top w:val="single" w:color="000000" w:sz="4" w:space="0"/>
        <w:bottom w:val="single" w:color="000000" w:sz="4" w:space="0"/>
      </w:pBdr>
      <w:spacing w:before="100" w:beforeAutospacing="1" w:after="100" w:afterAutospacing="1"/>
      <w:jc w:val="right"/>
    </w:pPr>
    <w:rPr>
      <w:rFonts w:ascii="Verdana" w:hAnsi="Verdana" w:eastAsia="Times New Roman" w:cs="Times New Roman"/>
      <w:b/>
      <w:bCs/>
      <w:color w:val="000000"/>
      <w:sz w:val="20"/>
      <w:szCs w:val="20"/>
      <w:lang w:val="en-GB" w:eastAsia="en-GB"/>
    </w:rPr>
  </w:style>
  <w:style w:type="paragraph" w:styleId="xl148" w:customStyle="1">
    <w:name w:val="xl148"/>
    <w:basedOn w:val="Normal"/>
    <w:rsid w:val="000F08D9"/>
    <w:pPr>
      <w:pBdr>
        <w:top w:val="single" w:color="000000" w:sz="4" w:space="0"/>
        <w:bottom w:val="single" w:color="000000" w:sz="4" w:space="0"/>
      </w:pBdr>
      <w:shd w:val="clear" w:color="E2EFD9" w:fill="E2EFD9"/>
      <w:spacing w:before="100" w:beforeAutospacing="1" w:after="100" w:afterAutospacing="1"/>
      <w:jc w:val="right"/>
    </w:pPr>
    <w:rPr>
      <w:rFonts w:ascii="Verdana" w:hAnsi="Verdana" w:eastAsia="Times New Roman" w:cs="Times New Roman"/>
      <w:b/>
      <w:bCs/>
      <w:color w:val="000000"/>
      <w:sz w:val="20"/>
      <w:szCs w:val="20"/>
      <w:lang w:val="en-GB" w:eastAsia="en-GB"/>
    </w:rPr>
  </w:style>
  <w:style w:type="paragraph" w:styleId="xl149" w:customStyle="1">
    <w:name w:val="xl149"/>
    <w:basedOn w:val="Normal"/>
    <w:rsid w:val="000F08D9"/>
    <w:pPr>
      <w:pBdr>
        <w:top w:val="single" w:color="000000" w:sz="4" w:space="0"/>
        <w:bottom w:val="double" w:color="000000" w:sz="6" w:space="0"/>
      </w:pBdr>
      <w:spacing w:before="100" w:beforeAutospacing="1" w:after="100" w:afterAutospacing="1"/>
      <w:jc w:val="right"/>
    </w:pPr>
    <w:rPr>
      <w:rFonts w:ascii="Verdana" w:hAnsi="Verdana" w:eastAsia="Times New Roman" w:cs="Times New Roman"/>
      <w:b/>
      <w:bCs/>
      <w:color w:val="000000"/>
      <w:sz w:val="20"/>
      <w:szCs w:val="20"/>
      <w:lang w:val="en-GB" w:eastAsia="en-GB"/>
    </w:rPr>
  </w:style>
  <w:style w:type="paragraph" w:styleId="xl150" w:customStyle="1">
    <w:name w:val="xl150"/>
    <w:basedOn w:val="Normal"/>
    <w:rsid w:val="000F08D9"/>
    <w:pPr>
      <w:pBdr>
        <w:top w:val="single" w:color="000000" w:sz="4" w:space="0"/>
        <w:bottom w:val="double" w:color="000000" w:sz="6" w:space="0"/>
      </w:pBdr>
      <w:shd w:val="clear" w:color="E2EFD9" w:fill="E2EFD9"/>
      <w:spacing w:before="100" w:beforeAutospacing="1" w:after="100" w:afterAutospacing="1"/>
      <w:jc w:val="right"/>
    </w:pPr>
    <w:rPr>
      <w:rFonts w:ascii="Verdana" w:hAnsi="Verdana" w:eastAsia="Times New Roman" w:cs="Times New Roman"/>
      <w:b/>
      <w:bCs/>
      <w:color w:val="000000"/>
      <w:sz w:val="20"/>
      <w:szCs w:val="20"/>
      <w:lang w:val="en-GB" w:eastAsia="en-GB"/>
    </w:rPr>
  </w:style>
  <w:style w:type="paragraph" w:styleId="xl151" w:customStyle="1">
    <w:name w:val="xl151"/>
    <w:basedOn w:val="Normal"/>
    <w:rsid w:val="000F08D9"/>
    <w:pPr>
      <w:shd w:val="clear" w:color="E2EFD9" w:fill="E2EFD9"/>
      <w:spacing w:before="100" w:beforeAutospacing="1" w:after="100" w:afterAutospacing="1"/>
    </w:pPr>
    <w:rPr>
      <w:rFonts w:ascii="Verdana" w:hAnsi="Verdana" w:eastAsia="Times New Roman" w:cs="Times New Roman"/>
      <w:b/>
      <w:bCs/>
      <w:sz w:val="20"/>
      <w:szCs w:val="20"/>
      <w:lang w:val="en-GB" w:eastAsia="en-GB"/>
    </w:rPr>
  </w:style>
  <w:style w:type="paragraph" w:styleId="xl152" w:customStyle="1">
    <w:name w:val="xl152"/>
    <w:basedOn w:val="Normal"/>
    <w:rsid w:val="000F08D9"/>
    <w:pPr>
      <w:shd w:val="clear" w:color="E2EFD9" w:fill="E2EFD9"/>
      <w:spacing w:before="100" w:beforeAutospacing="1" w:after="100" w:afterAutospacing="1"/>
      <w:jc w:val="center"/>
      <w:textAlignment w:val="center"/>
    </w:pPr>
    <w:rPr>
      <w:rFonts w:ascii="Verdana" w:hAnsi="Verdana" w:eastAsia="Times New Roman" w:cs="Times New Roman"/>
      <w:b/>
      <w:bCs/>
      <w:sz w:val="20"/>
      <w:szCs w:val="20"/>
      <w:lang w:val="en-GB" w:eastAsia="en-GB"/>
    </w:rPr>
  </w:style>
  <w:style w:type="paragraph" w:styleId="xl153" w:customStyle="1">
    <w:name w:val="xl153"/>
    <w:basedOn w:val="Normal"/>
    <w:rsid w:val="000F08D9"/>
    <w:pPr>
      <w:shd w:val="clear" w:color="E2EFD9" w:fill="E2EFD9"/>
      <w:spacing w:before="100" w:beforeAutospacing="1" w:after="100" w:afterAutospacing="1"/>
      <w:jc w:val="center"/>
      <w:textAlignment w:val="center"/>
    </w:pPr>
    <w:rPr>
      <w:rFonts w:ascii="Verdana" w:hAnsi="Verdana" w:eastAsia="Times New Roman" w:cs="Times New Roman"/>
      <w:b/>
      <w:bCs/>
      <w:sz w:val="20"/>
      <w:szCs w:val="20"/>
      <w:lang w:val="en-GB" w:eastAsia="en-GB"/>
    </w:rPr>
  </w:style>
  <w:style w:type="paragraph" w:styleId="xl154" w:customStyle="1">
    <w:name w:val="xl154"/>
    <w:basedOn w:val="Normal"/>
    <w:rsid w:val="000F08D9"/>
    <w:pPr>
      <w:pBdr>
        <w:top w:val="single" w:color="000000" w:sz="4" w:space="0"/>
      </w:pBdr>
      <w:shd w:val="clear" w:color="E2EFD9" w:fill="E2EFD9"/>
      <w:spacing w:before="100" w:beforeAutospacing="1" w:after="100" w:afterAutospacing="1"/>
    </w:pPr>
    <w:rPr>
      <w:rFonts w:ascii="Verdana" w:hAnsi="Verdana" w:eastAsia="Times New Roman" w:cs="Times New Roman"/>
      <w:sz w:val="20"/>
      <w:szCs w:val="20"/>
      <w:lang w:val="en-GB" w:eastAsia="en-GB"/>
    </w:rPr>
  </w:style>
  <w:style w:type="paragraph" w:styleId="xl155" w:customStyle="1">
    <w:name w:val="xl155"/>
    <w:basedOn w:val="Normal"/>
    <w:rsid w:val="000F08D9"/>
    <w:pPr>
      <w:pBdr>
        <w:top w:val="single" w:color="000000" w:sz="4" w:space="0"/>
        <w:bottom w:val="double" w:color="000000" w:sz="6" w:space="0"/>
      </w:pBdr>
      <w:shd w:val="clear" w:color="E2EFD9" w:fill="E2EFD9"/>
      <w:spacing w:before="100" w:beforeAutospacing="1" w:after="100" w:afterAutospacing="1"/>
    </w:pPr>
    <w:rPr>
      <w:rFonts w:ascii="Verdana" w:hAnsi="Verdana" w:eastAsia="Times New Roman" w:cs="Times New Roman"/>
      <w:sz w:val="20"/>
      <w:szCs w:val="20"/>
      <w:lang w:val="en-GB" w:eastAsia="en-GB"/>
    </w:rPr>
  </w:style>
  <w:style w:type="paragraph" w:styleId="xl156" w:customStyle="1">
    <w:name w:val="xl156"/>
    <w:basedOn w:val="Normal"/>
    <w:rsid w:val="000F08D9"/>
    <w:pPr>
      <w:pBdr>
        <w:top w:val="single" w:color="000000" w:sz="4" w:space="0"/>
        <w:bottom w:val="double" w:color="000000" w:sz="6" w:space="0"/>
      </w:pBdr>
      <w:shd w:val="clear" w:color="E2EFD9" w:fill="E2EFD9"/>
      <w:spacing w:before="100" w:beforeAutospacing="1" w:after="100" w:afterAutospacing="1"/>
    </w:pPr>
    <w:rPr>
      <w:rFonts w:ascii="Verdana" w:hAnsi="Verdana" w:eastAsia="Times New Roman" w:cs="Times New Roman"/>
      <w:b/>
      <w:bCs/>
      <w:sz w:val="20"/>
      <w:szCs w:val="20"/>
      <w:lang w:val="en-GB" w:eastAsia="en-GB"/>
    </w:rPr>
  </w:style>
  <w:style w:type="paragraph" w:styleId="xl157" w:customStyle="1">
    <w:name w:val="xl157"/>
    <w:basedOn w:val="Normal"/>
    <w:rsid w:val="000F08D9"/>
    <w:pPr>
      <w:pBdr>
        <w:bottom w:val="single" w:color="000000" w:sz="8" w:space="0"/>
      </w:pBdr>
      <w:shd w:val="clear" w:color="E2EFD9" w:fill="E2EFD9"/>
      <w:spacing w:before="100" w:beforeAutospacing="1" w:after="100" w:afterAutospacing="1"/>
      <w:jc w:val="right"/>
      <w:textAlignment w:val="center"/>
    </w:pPr>
    <w:rPr>
      <w:rFonts w:ascii="Verdana" w:hAnsi="Verdana" w:eastAsia="Times New Roman" w:cs="Times New Roman"/>
      <w:sz w:val="20"/>
      <w:szCs w:val="20"/>
      <w:lang w:val="en-GB" w:eastAsia="en-GB"/>
    </w:rPr>
  </w:style>
  <w:style w:type="paragraph" w:styleId="xl158" w:customStyle="1">
    <w:name w:val="xl158"/>
    <w:basedOn w:val="Normal"/>
    <w:rsid w:val="000F08D9"/>
    <w:pPr>
      <w:spacing w:before="100" w:beforeAutospacing="1" w:after="100" w:afterAutospacing="1"/>
      <w:textAlignment w:val="center"/>
    </w:pPr>
    <w:rPr>
      <w:rFonts w:ascii="Verdana" w:hAnsi="Verdana" w:eastAsia="Times New Roman" w:cs="Times New Roman"/>
      <w:i/>
      <w:iCs/>
      <w:sz w:val="20"/>
      <w:szCs w:val="20"/>
      <w:lang w:val="en-GB" w:eastAsia="en-GB"/>
    </w:rPr>
  </w:style>
  <w:style w:type="paragraph" w:styleId="xl159" w:customStyle="1">
    <w:name w:val="xl159"/>
    <w:basedOn w:val="Normal"/>
    <w:rsid w:val="000F08D9"/>
    <w:pPr>
      <w:pBdr>
        <w:bottom w:val="single" w:color="000000" w:sz="4" w:space="0"/>
      </w:pBdr>
      <w:spacing w:before="100" w:beforeAutospacing="1" w:after="100" w:afterAutospacing="1"/>
      <w:jc w:val="center"/>
    </w:pPr>
    <w:rPr>
      <w:rFonts w:ascii="Verdana" w:hAnsi="Verdana" w:eastAsia="Times New Roman" w:cs="Times New Roman"/>
      <w:b/>
      <w:bCs/>
      <w:color w:val="000000"/>
      <w:sz w:val="20"/>
      <w:szCs w:val="20"/>
      <w:lang w:val="en-GB" w:eastAsia="en-GB"/>
    </w:rPr>
  </w:style>
  <w:style w:type="paragraph" w:styleId="xl160" w:customStyle="1">
    <w:name w:val="xl160"/>
    <w:basedOn w:val="Normal"/>
    <w:rsid w:val="000F08D9"/>
    <w:pPr>
      <w:spacing w:before="100" w:beforeAutospacing="1" w:after="100" w:afterAutospacing="1"/>
    </w:pPr>
    <w:rPr>
      <w:rFonts w:ascii="Verdana" w:hAnsi="Verdana" w:eastAsia="Times New Roman" w:cs="Times New Roman"/>
      <w:b/>
      <w:bCs/>
      <w:color w:val="000000"/>
      <w:sz w:val="20"/>
      <w:szCs w:val="20"/>
      <w:lang w:val="en-GB" w:eastAsia="en-GB"/>
    </w:rPr>
  </w:style>
  <w:style w:type="paragraph" w:styleId="xl161" w:customStyle="1">
    <w:name w:val="xl161"/>
    <w:basedOn w:val="Normal"/>
    <w:rsid w:val="000F08D9"/>
    <w:pPr>
      <w:spacing w:before="100" w:beforeAutospacing="1" w:after="100" w:afterAutospacing="1"/>
    </w:pPr>
    <w:rPr>
      <w:rFonts w:ascii="Verdana" w:hAnsi="Verdana" w:eastAsia="Times New Roman" w:cs="Times New Roman"/>
      <w:sz w:val="20"/>
      <w:szCs w:val="20"/>
      <w:lang w:val="en-GB" w:eastAsia="en-GB"/>
    </w:rPr>
  </w:style>
  <w:style w:type="paragraph" w:styleId="xl162" w:customStyle="1">
    <w:name w:val="xl162"/>
    <w:basedOn w:val="Normal"/>
    <w:rsid w:val="000F08D9"/>
    <w:pPr>
      <w:spacing w:before="100" w:beforeAutospacing="1" w:after="100" w:afterAutospacing="1"/>
      <w:jc w:val="right"/>
    </w:pPr>
    <w:rPr>
      <w:rFonts w:ascii="Verdana" w:hAnsi="Verdana" w:eastAsia="Times New Roman" w:cs="Times New Roman"/>
      <w:b/>
      <w:bCs/>
      <w:color w:val="000000"/>
      <w:sz w:val="20"/>
      <w:szCs w:val="20"/>
      <w:lang w:val="en-GB" w:eastAsia="en-GB"/>
    </w:rPr>
  </w:style>
  <w:style w:type="paragraph" w:styleId="xl163" w:customStyle="1">
    <w:name w:val="xl163"/>
    <w:basedOn w:val="Normal"/>
    <w:rsid w:val="000F08D9"/>
    <w:pPr>
      <w:shd w:val="clear" w:color="E2EFD9" w:fill="E2EFD9"/>
      <w:spacing w:before="100" w:beforeAutospacing="1" w:after="100" w:afterAutospacing="1"/>
      <w:jc w:val="right"/>
    </w:pPr>
    <w:rPr>
      <w:rFonts w:ascii="Verdana" w:hAnsi="Verdana" w:eastAsia="Times New Roman" w:cs="Times New Roman"/>
      <w:b/>
      <w:bCs/>
      <w:color w:val="000000"/>
      <w:sz w:val="20"/>
      <w:szCs w:val="20"/>
      <w:lang w:val="en-GB" w:eastAsia="en-GB"/>
    </w:rPr>
  </w:style>
  <w:style w:type="paragraph" w:styleId="xl164" w:customStyle="1">
    <w:name w:val="xl164"/>
    <w:basedOn w:val="Normal"/>
    <w:rsid w:val="000F08D9"/>
    <w:pPr>
      <w:spacing w:before="100" w:beforeAutospacing="1" w:after="100" w:afterAutospacing="1"/>
    </w:pPr>
    <w:rPr>
      <w:rFonts w:ascii="Verdana" w:hAnsi="Verdana" w:eastAsia="Times New Roman" w:cs="Times New Roman"/>
      <w:b/>
      <w:bCs/>
      <w:color w:val="FF0000"/>
      <w:sz w:val="24"/>
      <w:lang w:val="en-GB" w:eastAsia="en-GB"/>
    </w:rPr>
  </w:style>
  <w:style w:type="paragraph" w:styleId="xl165" w:customStyle="1">
    <w:name w:val="xl165"/>
    <w:basedOn w:val="Normal"/>
    <w:rsid w:val="000F08D9"/>
    <w:pPr>
      <w:shd w:val="clear" w:color="E2EFD9" w:fill="E2EFD9"/>
      <w:spacing w:before="100" w:beforeAutospacing="1" w:after="100" w:afterAutospacing="1"/>
    </w:pPr>
    <w:rPr>
      <w:rFonts w:ascii="Verdana" w:hAnsi="Verdana" w:eastAsia="Times New Roman" w:cs="Times New Roman"/>
      <w:b/>
      <w:bCs/>
      <w:i/>
      <w:iCs/>
      <w:sz w:val="24"/>
      <w:lang w:val="en-GB" w:eastAsia="en-GB"/>
    </w:rPr>
  </w:style>
  <w:style w:type="paragraph" w:styleId="xl166" w:customStyle="1">
    <w:name w:val="xl166"/>
    <w:basedOn w:val="Normal"/>
    <w:rsid w:val="000F08D9"/>
    <w:pPr>
      <w:shd w:val="clear" w:color="E2EFD9" w:fill="E2EFD9"/>
      <w:spacing w:before="100" w:beforeAutospacing="1" w:after="100" w:afterAutospacing="1"/>
    </w:pPr>
    <w:rPr>
      <w:rFonts w:ascii="Verdana" w:hAnsi="Verdana" w:eastAsia="Times New Roman" w:cs="Times New Roman"/>
      <w:sz w:val="24"/>
      <w:lang w:val="en-GB" w:eastAsia="en-GB"/>
    </w:rPr>
  </w:style>
  <w:style w:type="paragraph" w:styleId="xl167" w:customStyle="1">
    <w:name w:val="xl167"/>
    <w:basedOn w:val="Normal"/>
    <w:rsid w:val="000F08D9"/>
    <w:pPr>
      <w:spacing w:before="100" w:beforeAutospacing="1" w:after="100" w:afterAutospacing="1"/>
    </w:pPr>
    <w:rPr>
      <w:rFonts w:ascii="Verdana" w:hAnsi="Verdana" w:eastAsia="Times New Roman" w:cs="Times New Roman"/>
      <w:i/>
      <w:iCs/>
      <w:sz w:val="24"/>
      <w:lang w:val="en-GB" w:eastAsia="en-GB"/>
    </w:rPr>
  </w:style>
  <w:style w:type="paragraph" w:styleId="xl168" w:customStyle="1">
    <w:name w:val="xl168"/>
    <w:basedOn w:val="Normal"/>
    <w:rsid w:val="000F08D9"/>
    <w:pPr>
      <w:shd w:val="clear" w:color="D8D8D8" w:fill="D8D8D8"/>
      <w:spacing w:before="100" w:beforeAutospacing="1" w:after="100" w:afterAutospacing="1"/>
    </w:pPr>
    <w:rPr>
      <w:rFonts w:ascii="Verdana" w:hAnsi="Verdana" w:eastAsia="Times New Roman" w:cs="Times New Roman"/>
      <w:b/>
      <w:bCs/>
      <w:color w:val="000000"/>
      <w:sz w:val="24"/>
      <w:lang w:val="en-GB" w:eastAsia="en-GB"/>
    </w:rPr>
  </w:style>
  <w:style w:type="paragraph" w:styleId="xl169" w:customStyle="1">
    <w:name w:val="xl169"/>
    <w:basedOn w:val="Normal"/>
    <w:rsid w:val="000F08D9"/>
    <w:pPr>
      <w:shd w:val="clear" w:color="D8D8D8" w:fill="D8D8D8"/>
      <w:spacing w:before="100" w:beforeAutospacing="1" w:after="100" w:afterAutospacing="1"/>
    </w:pPr>
    <w:rPr>
      <w:rFonts w:ascii="Verdana" w:hAnsi="Verdana" w:eastAsia="Times New Roman" w:cs="Times New Roman"/>
      <w:sz w:val="24"/>
      <w:lang w:val="en-GB" w:eastAsia="en-GB"/>
    </w:rPr>
  </w:style>
  <w:style w:type="paragraph" w:styleId="xl170" w:customStyle="1">
    <w:name w:val="xl170"/>
    <w:basedOn w:val="Normal"/>
    <w:rsid w:val="000F08D9"/>
    <w:pPr>
      <w:shd w:val="clear" w:color="D8D8D8" w:fill="D8D8D8"/>
      <w:spacing w:before="100" w:beforeAutospacing="1" w:after="100" w:afterAutospacing="1"/>
    </w:pPr>
    <w:rPr>
      <w:rFonts w:ascii="Verdana" w:hAnsi="Verdana" w:eastAsia="Times New Roman" w:cs="Times New Roman"/>
      <w:color w:val="000000"/>
      <w:sz w:val="24"/>
      <w:lang w:val="en-GB" w:eastAsia="en-GB"/>
    </w:rPr>
  </w:style>
  <w:style w:type="paragraph" w:styleId="xl171" w:customStyle="1">
    <w:name w:val="xl171"/>
    <w:basedOn w:val="Normal"/>
    <w:rsid w:val="000F08D9"/>
    <w:pPr>
      <w:shd w:val="clear" w:color="D8D8D8" w:fill="D8D8D8"/>
      <w:spacing w:before="100" w:beforeAutospacing="1" w:after="100" w:afterAutospacing="1"/>
    </w:pPr>
    <w:rPr>
      <w:rFonts w:ascii="Verdana" w:hAnsi="Verdana" w:eastAsia="Times New Roman" w:cs="Times New Roman"/>
      <w:color w:val="000000"/>
      <w:sz w:val="24"/>
      <w:lang w:val="en-GB" w:eastAsia="en-GB"/>
    </w:rPr>
  </w:style>
  <w:style w:type="paragraph" w:styleId="xl172" w:customStyle="1">
    <w:name w:val="xl172"/>
    <w:basedOn w:val="Normal"/>
    <w:rsid w:val="000F08D9"/>
    <w:pPr>
      <w:spacing w:before="100" w:beforeAutospacing="1" w:after="100" w:afterAutospacing="1"/>
    </w:pPr>
    <w:rPr>
      <w:rFonts w:ascii="Verdana" w:hAnsi="Verdana" w:eastAsia="Times New Roman" w:cs="Times New Roman"/>
      <w:b/>
      <w:bCs/>
      <w:color w:val="000000"/>
      <w:sz w:val="24"/>
      <w:lang w:val="en-GB" w:eastAsia="en-GB"/>
    </w:rPr>
  </w:style>
  <w:style w:type="paragraph" w:styleId="xl173" w:customStyle="1">
    <w:name w:val="xl173"/>
    <w:basedOn w:val="Normal"/>
    <w:rsid w:val="000F08D9"/>
    <w:pPr>
      <w:spacing w:before="100" w:beforeAutospacing="1" w:after="100" w:afterAutospacing="1"/>
    </w:pPr>
    <w:rPr>
      <w:rFonts w:ascii="Verdana" w:hAnsi="Verdana" w:eastAsia="Times New Roman" w:cs="Times New Roman"/>
      <w:color w:val="000000"/>
      <w:sz w:val="24"/>
      <w:lang w:val="en-GB" w:eastAsia="en-GB"/>
    </w:rPr>
  </w:style>
  <w:style w:type="paragraph" w:styleId="xl174" w:customStyle="1">
    <w:name w:val="xl174"/>
    <w:basedOn w:val="Normal"/>
    <w:rsid w:val="000F08D9"/>
    <w:pPr>
      <w:spacing w:before="100" w:beforeAutospacing="1" w:after="100" w:afterAutospacing="1"/>
      <w:jc w:val="center"/>
    </w:pPr>
    <w:rPr>
      <w:rFonts w:ascii="Verdana" w:hAnsi="Verdana" w:eastAsia="Times New Roman" w:cs="Times New Roman"/>
      <w:color w:val="000000"/>
      <w:sz w:val="24"/>
      <w:lang w:val="en-GB" w:eastAsia="en-GB"/>
    </w:rPr>
  </w:style>
  <w:style w:type="paragraph" w:styleId="xl175" w:customStyle="1">
    <w:name w:val="xl175"/>
    <w:basedOn w:val="Normal"/>
    <w:rsid w:val="000F08D9"/>
    <w:pPr>
      <w:spacing w:before="100" w:beforeAutospacing="1" w:after="100" w:afterAutospacing="1"/>
    </w:pPr>
    <w:rPr>
      <w:rFonts w:ascii="Verdana" w:hAnsi="Verdana" w:eastAsia="Times New Roman" w:cs="Times New Roman"/>
      <w:color w:val="000000"/>
      <w:sz w:val="24"/>
      <w:lang w:val="en-GB" w:eastAsia="en-GB"/>
    </w:rPr>
  </w:style>
  <w:style w:type="paragraph" w:styleId="xl176" w:customStyle="1">
    <w:name w:val="xl176"/>
    <w:basedOn w:val="Normal"/>
    <w:rsid w:val="000F08D9"/>
    <w:pPr>
      <w:spacing w:before="100" w:beforeAutospacing="1" w:after="100" w:afterAutospacing="1"/>
      <w:jc w:val="right"/>
    </w:pPr>
    <w:rPr>
      <w:rFonts w:ascii="Verdana" w:hAnsi="Verdana" w:eastAsia="Times New Roman" w:cs="Times New Roman"/>
      <w:color w:val="000000"/>
      <w:sz w:val="24"/>
      <w:lang w:val="en-GB" w:eastAsia="en-GB"/>
    </w:rPr>
  </w:style>
  <w:style w:type="paragraph" w:styleId="xl177" w:customStyle="1">
    <w:name w:val="xl177"/>
    <w:basedOn w:val="Normal"/>
    <w:rsid w:val="000F08D9"/>
    <w:pPr>
      <w:shd w:val="clear" w:color="D8D8D8" w:fill="D8D8D8"/>
      <w:spacing w:before="100" w:beforeAutospacing="1" w:after="100" w:afterAutospacing="1"/>
      <w:textAlignment w:val="top"/>
    </w:pPr>
    <w:rPr>
      <w:rFonts w:ascii="Verdana" w:hAnsi="Verdana" w:eastAsia="Times New Roman" w:cs="Times New Roman"/>
      <w:b/>
      <w:bCs/>
      <w:color w:val="000000"/>
      <w:sz w:val="24"/>
      <w:lang w:val="en-GB" w:eastAsia="en-GB"/>
    </w:rPr>
  </w:style>
  <w:style w:type="paragraph" w:styleId="xl178" w:customStyle="1">
    <w:name w:val="xl178"/>
    <w:basedOn w:val="Normal"/>
    <w:rsid w:val="000F08D9"/>
    <w:pPr>
      <w:shd w:val="clear" w:color="D8D8D8" w:fill="D8D8D8"/>
      <w:spacing w:before="100" w:beforeAutospacing="1" w:after="100" w:afterAutospacing="1"/>
      <w:jc w:val="right"/>
    </w:pPr>
    <w:rPr>
      <w:rFonts w:ascii="Verdana" w:hAnsi="Verdana" w:eastAsia="Times New Roman" w:cs="Times New Roman"/>
      <w:color w:val="000000"/>
      <w:sz w:val="24"/>
      <w:lang w:val="en-GB" w:eastAsia="en-GB"/>
    </w:rPr>
  </w:style>
  <w:style w:type="paragraph" w:styleId="xl179" w:customStyle="1">
    <w:name w:val="xl179"/>
    <w:basedOn w:val="Normal"/>
    <w:rsid w:val="000F08D9"/>
    <w:pPr>
      <w:shd w:val="clear" w:color="D8D8D8" w:fill="D8D8D8"/>
      <w:spacing w:before="100" w:beforeAutospacing="1" w:after="100" w:afterAutospacing="1"/>
    </w:pPr>
    <w:rPr>
      <w:rFonts w:ascii="Verdana" w:hAnsi="Verdana" w:eastAsia="Times New Roman" w:cs="Times New Roman"/>
      <w:i/>
      <w:iCs/>
      <w:color w:val="000000"/>
      <w:sz w:val="24"/>
      <w:lang w:val="en-GB" w:eastAsia="en-GB"/>
    </w:rPr>
  </w:style>
  <w:style w:type="paragraph" w:styleId="xl180" w:customStyle="1">
    <w:name w:val="xl180"/>
    <w:basedOn w:val="Normal"/>
    <w:rsid w:val="000F08D9"/>
    <w:pPr>
      <w:spacing w:before="100" w:beforeAutospacing="1" w:after="100" w:afterAutospacing="1"/>
    </w:pPr>
    <w:rPr>
      <w:rFonts w:ascii="Verdana" w:hAnsi="Verdana" w:eastAsia="Times New Roman" w:cs="Times New Roman"/>
      <w:i/>
      <w:iCs/>
      <w:color w:val="000000"/>
      <w:sz w:val="24"/>
      <w:lang w:val="en-GB" w:eastAsia="en-GB"/>
    </w:rPr>
  </w:style>
  <w:style w:type="paragraph" w:styleId="xl181" w:customStyle="1">
    <w:name w:val="xl181"/>
    <w:basedOn w:val="Normal"/>
    <w:rsid w:val="000F08D9"/>
    <w:pPr>
      <w:spacing w:before="100" w:beforeAutospacing="1" w:after="100" w:afterAutospacing="1"/>
      <w:jc w:val="right"/>
    </w:pPr>
    <w:rPr>
      <w:rFonts w:ascii="Verdana" w:hAnsi="Verdana" w:eastAsia="Times New Roman" w:cs="Times New Roman"/>
      <w:b/>
      <w:bCs/>
      <w:color w:val="000000"/>
      <w:sz w:val="24"/>
      <w:lang w:val="en-GB" w:eastAsia="en-GB"/>
    </w:rPr>
  </w:style>
  <w:style w:type="paragraph" w:styleId="xl182" w:customStyle="1">
    <w:name w:val="xl182"/>
    <w:basedOn w:val="Normal"/>
    <w:rsid w:val="000F08D9"/>
    <w:pPr>
      <w:spacing w:before="100" w:beforeAutospacing="1" w:after="100" w:afterAutospacing="1"/>
    </w:pPr>
    <w:rPr>
      <w:rFonts w:ascii="Verdana" w:hAnsi="Verdana" w:eastAsia="Times New Roman" w:cs="Times New Roman"/>
      <w:b/>
      <w:bCs/>
      <w:color w:val="000000"/>
      <w:sz w:val="24"/>
      <w:u w:val="single"/>
      <w:lang w:val="en-GB" w:eastAsia="en-GB"/>
    </w:rPr>
  </w:style>
  <w:style w:type="paragraph" w:styleId="xl183" w:customStyle="1">
    <w:name w:val="xl183"/>
    <w:basedOn w:val="Normal"/>
    <w:rsid w:val="000F08D9"/>
    <w:pPr>
      <w:pBdr>
        <w:bottom w:val="single" w:color="000000" w:sz="8" w:space="0"/>
      </w:pBdr>
      <w:shd w:val="clear" w:color="E2EFD9" w:fill="E2EFD9"/>
      <w:spacing w:before="100" w:beforeAutospacing="1" w:after="100" w:afterAutospacing="1"/>
      <w:jc w:val="right"/>
      <w:textAlignment w:val="center"/>
    </w:pPr>
    <w:rPr>
      <w:rFonts w:ascii="Verdana" w:hAnsi="Verdana" w:eastAsia="Times New Roman" w:cs="Times New Roman"/>
      <w:sz w:val="24"/>
      <w:lang w:val="en-GB" w:eastAsia="en-GB"/>
    </w:rPr>
  </w:style>
  <w:style w:type="paragraph" w:styleId="xl184" w:customStyle="1">
    <w:name w:val="xl184"/>
    <w:basedOn w:val="Normal"/>
    <w:rsid w:val="000F08D9"/>
    <w:pPr>
      <w:pBdr>
        <w:bottom w:val="double" w:color="000000" w:sz="6" w:space="0"/>
      </w:pBdr>
      <w:shd w:val="clear" w:color="E2EFD9" w:fill="E2EFD9"/>
      <w:spacing w:before="100" w:beforeAutospacing="1" w:after="100" w:afterAutospacing="1"/>
      <w:jc w:val="right"/>
      <w:textAlignment w:val="center"/>
    </w:pPr>
    <w:rPr>
      <w:rFonts w:ascii="Verdana" w:hAnsi="Verdana" w:eastAsia="Times New Roman" w:cs="Times New Roman"/>
      <w:sz w:val="24"/>
      <w:lang w:val="en-GB" w:eastAsia="en-GB"/>
    </w:rPr>
  </w:style>
  <w:style w:type="paragraph" w:styleId="xl185" w:customStyle="1">
    <w:name w:val="xl185"/>
    <w:basedOn w:val="Normal"/>
    <w:rsid w:val="000F08D9"/>
    <w:pPr>
      <w:spacing w:before="100" w:beforeAutospacing="1" w:after="100" w:afterAutospacing="1"/>
      <w:jc w:val="center"/>
      <w:textAlignment w:val="center"/>
    </w:pPr>
    <w:rPr>
      <w:rFonts w:ascii="Verdana" w:hAnsi="Verdana" w:eastAsia="Times New Roman" w:cs="Times New Roman"/>
      <w:b/>
      <w:bCs/>
      <w:color w:val="FFFFFF"/>
      <w:sz w:val="24"/>
      <w:lang w:val="en-GB" w:eastAsia="en-GB"/>
    </w:rPr>
  </w:style>
  <w:style w:type="paragraph" w:styleId="xl186" w:customStyle="1">
    <w:name w:val="xl186"/>
    <w:basedOn w:val="Normal"/>
    <w:rsid w:val="000F08D9"/>
    <w:pPr>
      <w:pBdr>
        <w:top w:val="double" w:color="000000" w:sz="6" w:space="0"/>
      </w:pBdr>
      <w:spacing w:before="100" w:beforeAutospacing="1" w:after="100" w:afterAutospacing="1"/>
    </w:pPr>
    <w:rPr>
      <w:rFonts w:ascii="Verdana" w:hAnsi="Verdana" w:eastAsia="Times New Roman" w:cs="Times New Roman"/>
      <w:b/>
      <w:bCs/>
      <w:sz w:val="20"/>
      <w:szCs w:val="20"/>
      <w:lang w:val="en-GB" w:eastAsia="en-GB"/>
    </w:rPr>
  </w:style>
  <w:style w:type="paragraph" w:styleId="xl187" w:customStyle="1">
    <w:name w:val="xl187"/>
    <w:basedOn w:val="Normal"/>
    <w:rsid w:val="000F08D9"/>
    <w:pPr>
      <w:spacing w:before="100" w:beforeAutospacing="1" w:after="100" w:afterAutospacing="1"/>
    </w:pPr>
    <w:rPr>
      <w:rFonts w:ascii="Verdana" w:hAnsi="Verdana" w:eastAsia="Times New Roman" w:cs="Times New Roman"/>
      <w:b/>
      <w:bCs/>
      <w:color w:val="FFFFFF"/>
      <w:sz w:val="24"/>
      <w:lang w:val="en-GB" w:eastAsia="en-GB"/>
    </w:rPr>
  </w:style>
  <w:style w:type="paragraph" w:styleId="xl188" w:customStyle="1">
    <w:name w:val="xl188"/>
    <w:basedOn w:val="Normal"/>
    <w:rsid w:val="000F08D9"/>
    <w:pPr>
      <w:spacing w:before="100" w:beforeAutospacing="1" w:after="100" w:afterAutospacing="1"/>
      <w:textAlignment w:val="top"/>
    </w:pPr>
    <w:rPr>
      <w:rFonts w:ascii="Verdana" w:hAnsi="Verdana" w:eastAsia="Times New Roman" w:cs="Times New Roman"/>
      <w:sz w:val="24"/>
      <w:lang w:val="en-GB" w:eastAsia="en-GB"/>
    </w:rPr>
  </w:style>
  <w:style w:type="paragraph" w:styleId="xl189" w:customStyle="1">
    <w:name w:val="xl189"/>
    <w:basedOn w:val="Normal"/>
    <w:rsid w:val="000F08D9"/>
    <w:pPr>
      <w:spacing w:before="100" w:beforeAutospacing="1" w:after="100" w:afterAutospacing="1"/>
      <w:textAlignment w:val="top"/>
    </w:pPr>
    <w:rPr>
      <w:rFonts w:ascii="Verdana" w:hAnsi="Verdana" w:eastAsia="Times New Roman" w:cs="Times New Roman"/>
      <w:b/>
      <w:bCs/>
      <w:i/>
      <w:iCs/>
      <w:sz w:val="24"/>
      <w:lang w:val="en-GB" w:eastAsia="en-GB"/>
    </w:rPr>
  </w:style>
  <w:style w:type="paragraph" w:styleId="xl190" w:customStyle="1">
    <w:name w:val="xl190"/>
    <w:basedOn w:val="Normal"/>
    <w:rsid w:val="000F08D9"/>
    <w:pPr>
      <w:spacing w:before="100" w:beforeAutospacing="1" w:after="100" w:afterAutospacing="1"/>
      <w:textAlignment w:val="center"/>
    </w:pPr>
    <w:rPr>
      <w:rFonts w:ascii="Verdana" w:hAnsi="Verdana" w:eastAsia="Times New Roman" w:cs="Times New Roman"/>
      <w:b/>
      <w:bCs/>
      <w:i/>
      <w:iCs/>
      <w:sz w:val="24"/>
      <w:lang w:val="en-GB" w:eastAsia="en-GB"/>
    </w:rPr>
  </w:style>
  <w:style w:type="paragraph" w:styleId="xl191" w:customStyle="1">
    <w:name w:val="xl191"/>
    <w:basedOn w:val="Normal"/>
    <w:rsid w:val="000F08D9"/>
    <w:pPr>
      <w:spacing w:before="100" w:beforeAutospacing="1" w:after="100" w:afterAutospacing="1"/>
      <w:textAlignment w:val="center"/>
    </w:pPr>
    <w:rPr>
      <w:rFonts w:ascii="Verdana" w:hAnsi="Verdana" w:eastAsia="Times New Roman" w:cs="Times New Roman"/>
      <w:sz w:val="24"/>
      <w:lang w:val="en-GB" w:eastAsia="en-GB"/>
    </w:rPr>
  </w:style>
  <w:style w:type="paragraph" w:styleId="xl192" w:customStyle="1">
    <w:name w:val="xl192"/>
    <w:basedOn w:val="Normal"/>
    <w:rsid w:val="000F08D9"/>
    <w:pPr>
      <w:spacing w:before="100" w:beforeAutospacing="1" w:after="100" w:afterAutospacing="1"/>
      <w:textAlignment w:val="center"/>
    </w:pPr>
    <w:rPr>
      <w:rFonts w:ascii="Verdana" w:hAnsi="Verdana" w:eastAsia="Times New Roman" w:cs="Times New Roman"/>
      <w:b/>
      <w:bCs/>
      <w:sz w:val="20"/>
      <w:szCs w:val="20"/>
      <w:lang w:val="en-GB" w:eastAsia="en-GB"/>
    </w:rPr>
  </w:style>
  <w:style w:type="paragraph" w:styleId="xl193" w:customStyle="1">
    <w:name w:val="xl193"/>
    <w:basedOn w:val="Normal"/>
    <w:rsid w:val="000F08D9"/>
    <w:pPr>
      <w:spacing w:before="100" w:beforeAutospacing="1" w:after="100" w:afterAutospacing="1"/>
      <w:jc w:val="center"/>
      <w:textAlignment w:val="center"/>
    </w:pPr>
    <w:rPr>
      <w:rFonts w:ascii="Verdana" w:hAnsi="Verdana" w:eastAsia="Times New Roman" w:cs="Times New Roman"/>
      <w:sz w:val="20"/>
      <w:szCs w:val="20"/>
      <w:lang w:val="en-GB" w:eastAsia="en-GB"/>
    </w:rPr>
  </w:style>
  <w:style w:type="paragraph" w:styleId="xl194" w:customStyle="1">
    <w:name w:val="xl194"/>
    <w:basedOn w:val="Normal"/>
    <w:rsid w:val="000F08D9"/>
    <w:pPr>
      <w:spacing w:before="100" w:beforeAutospacing="1" w:after="100" w:afterAutospacing="1"/>
      <w:textAlignment w:val="center"/>
    </w:pPr>
    <w:rPr>
      <w:rFonts w:ascii="Verdana" w:hAnsi="Verdana" w:eastAsia="Times New Roman" w:cs="Times New Roman"/>
      <w:b/>
      <w:bCs/>
      <w:sz w:val="20"/>
      <w:szCs w:val="20"/>
      <w:lang w:val="en-GB" w:eastAsia="en-GB"/>
    </w:rPr>
  </w:style>
  <w:style w:type="paragraph" w:styleId="xl195" w:customStyle="1">
    <w:name w:val="xl195"/>
    <w:basedOn w:val="Normal"/>
    <w:rsid w:val="000F08D9"/>
    <w:pPr>
      <w:shd w:val="clear" w:color="E2EFD9" w:fill="E2EFD9"/>
      <w:spacing w:before="100" w:beforeAutospacing="1" w:after="100" w:afterAutospacing="1"/>
      <w:jc w:val="right"/>
    </w:pPr>
    <w:rPr>
      <w:rFonts w:ascii="Verdana" w:hAnsi="Verdana" w:eastAsia="Times New Roman" w:cs="Times New Roman"/>
      <w:sz w:val="20"/>
      <w:szCs w:val="20"/>
      <w:lang w:val="en-GB" w:eastAsia="en-GB"/>
    </w:rPr>
  </w:style>
  <w:style w:type="paragraph" w:styleId="xl196" w:customStyle="1">
    <w:name w:val="xl196"/>
    <w:basedOn w:val="Normal"/>
    <w:rsid w:val="000F08D9"/>
    <w:pPr>
      <w:pBdr>
        <w:top w:val="single" w:color="000000" w:sz="8" w:space="0"/>
        <w:bottom w:val="double" w:color="000000" w:sz="6" w:space="0"/>
      </w:pBdr>
      <w:shd w:val="clear" w:color="E2EFD9" w:fill="E2EFD9"/>
      <w:spacing w:before="100" w:beforeAutospacing="1" w:after="100" w:afterAutospacing="1"/>
      <w:jc w:val="right"/>
    </w:pPr>
    <w:rPr>
      <w:rFonts w:ascii="Verdana" w:hAnsi="Verdana" w:eastAsia="Times New Roman" w:cs="Times New Roman"/>
      <w:b/>
      <w:bCs/>
      <w:sz w:val="20"/>
      <w:szCs w:val="20"/>
      <w:lang w:val="en-GB" w:eastAsia="en-GB"/>
    </w:rPr>
  </w:style>
  <w:style w:type="paragraph" w:styleId="xl197" w:customStyle="1">
    <w:name w:val="xl197"/>
    <w:basedOn w:val="Normal"/>
    <w:rsid w:val="000F08D9"/>
    <w:pPr>
      <w:spacing w:before="100" w:beforeAutospacing="1" w:after="100" w:afterAutospacing="1"/>
      <w:textAlignment w:val="center"/>
    </w:pPr>
    <w:rPr>
      <w:rFonts w:ascii="Verdana" w:hAnsi="Verdana" w:eastAsia="Times New Roman" w:cs="Times New Roman"/>
      <w:b/>
      <w:bCs/>
      <w:sz w:val="24"/>
      <w:lang w:val="en-GB" w:eastAsia="en-GB"/>
    </w:rPr>
  </w:style>
  <w:style w:type="paragraph" w:styleId="xl198" w:customStyle="1">
    <w:name w:val="xl198"/>
    <w:basedOn w:val="Normal"/>
    <w:rsid w:val="000F08D9"/>
    <w:pPr>
      <w:spacing w:before="100" w:beforeAutospacing="1" w:after="100" w:afterAutospacing="1"/>
    </w:pPr>
    <w:rPr>
      <w:rFonts w:ascii="Verdana" w:hAnsi="Verdana" w:eastAsia="Times New Roman" w:cs="Times New Roman"/>
      <w:b/>
      <w:bCs/>
      <w:color w:val="FF0000"/>
      <w:sz w:val="24"/>
      <w:lang w:val="en-GB" w:eastAsia="en-GB"/>
    </w:rPr>
  </w:style>
  <w:style w:type="paragraph" w:styleId="xl199" w:customStyle="1">
    <w:name w:val="xl199"/>
    <w:basedOn w:val="Normal"/>
    <w:rsid w:val="000F08D9"/>
    <w:pPr>
      <w:shd w:val="clear" w:color="FEF2CB" w:fill="FEF2CB"/>
      <w:spacing w:before="100" w:beforeAutospacing="1" w:after="100" w:afterAutospacing="1"/>
    </w:pPr>
    <w:rPr>
      <w:rFonts w:ascii="Verdana" w:hAnsi="Verdana" w:eastAsia="Times New Roman" w:cs="Times New Roman"/>
      <w:sz w:val="24"/>
      <w:lang w:val="en-GB" w:eastAsia="en-GB"/>
    </w:rPr>
  </w:style>
  <w:style w:type="paragraph" w:styleId="xl200" w:customStyle="1">
    <w:name w:val="xl200"/>
    <w:basedOn w:val="Normal"/>
    <w:rsid w:val="000F08D9"/>
    <w:pPr>
      <w:pBdr>
        <w:top w:val="single" w:color="000000" w:sz="4" w:space="0"/>
        <w:bottom w:val="double" w:color="000000" w:sz="6" w:space="0"/>
      </w:pBdr>
      <w:spacing w:before="100" w:beforeAutospacing="1" w:after="100" w:afterAutospacing="1"/>
      <w:textAlignment w:val="center"/>
    </w:pPr>
    <w:rPr>
      <w:rFonts w:ascii="Verdana" w:hAnsi="Verdana" w:eastAsia="Times New Roman" w:cs="Times New Roman"/>
      <w:sz w:val="20"/>
      <w:szCs w:val="20"/>
      <w:lang w:val="en-GB" w:eastAsia="en-GB"/>
    </w:rPr>
  </w:style>
  <w:style w:type="paragraph" w:styleId="xl201" w:customStyle="1">
    <w:name w:val="xl201"/>
    <w:basedOn w:val="Normal"/>
    <w:rsid w:val="000F08D9"/>
    <w:pPr>
      <w:pBdr>
        <w:top w:val="single" w:color="000000" w:sz="4" w:space="0"/>
        <w:bottom w:val="double" w:color="000000" w:sz="6" w:space="0"/>
      </w:pBdr>
      <w:spacing w:before="100" w:beforeAutospacing="1" w:after="100" w:afterAutospacing="1"/>
    </w:pPr>
    <w:rPr>
      <w:rFonts w:ascii="Verdana" w:hAnsi="Verdana" w:eastAsia="Times New Roman" w:cs="Times New Roman"/>
      <w:sz w:val="20"/>
      <w:szCs w:val="20"/>
      <w:lang w:val="en-GB" w:eastAsia="en-GB"/>
    </w:rPr>
  </w:style>
  <w:style w:type="paragraph" w:styleId="xl202" w:customStyle="1">
    <w:name w:val="xl202"/>
    <w:basedOn w:val="Normal"/>
    <w:rsid w:val="000F08D9"/>
    <w:pPr>
      <w:pBdr>
        <w:top w:val="single" w:color="000000" w:sz="4" w:space="0"/>
        <w:bottom w:val="double" w:color="000000" w:sz="6" w:space="0"/>
      </w:pBdr>
      <w:spacing w:before="100" w:beforeAutospacing="1" w:after="100" w:afterAutospacing="1"/>
      <w:jc w:val="right"/>
      <w:textAlignment w:val="center"/>
    </w:pPr>
    <w:rPr>
      <w:rFonts w:ascii="Verdana" w:hAnsi="Verdana" w:eastAsia="Times New Roman" w:cs="Times New Roman"/>
      <w:sz w:val="20"/>
      <w:szCs w:val="20"/>
      <w:lang w:val="en-GB" w:eastAsia="en-GB"/>
    </w:rPr>
  </w:style>
  <w:style w:type="paragraph" w:styleId="xl203" w:customStyle="1">
    <w:name w:val="xl203"/>
    <w:basedOn w:val="Normal"/>
    <w:rsid w:val="000F08D9"/>
    <w:pPr>
      <w:pBdr>
        <w:top w:val="single" w:color="000000" w:sz="4" w:space="0"/>
        <w:bottom w:val="double" w:color="000000" w:sz="6" w:space="0"/>
      </w:pBdr>
      <w:spacing w:before="100" w:beforeAutospacing="1" w:after="100" w:afterAutospacing="1"/>
      <w:jc w:val="right"/>
      <w:textAlignment w:val="center"/>
    </w:pPr>
    <w:rPr>
      <w:rFonts w:ascii="Verdana" w:hAnsi="Verdana" w:eastAsia="Times New Roman" w:cs="Times New Roman"/>
      <w:sz w:val="20"/>
      <w:szCs w:val="20"/>
      <w:lang w:val="en-GB" w:eastAsia="en-GB"/>
    </w:rPr>
  </w:style>
  <w:style w:type="paragraph" w:styleId="xl204" w:customStyle="1">
    <w:name w:val="xl204"/>
    <w:basedOn w:val="Normal"/>
    <w:rsid w:val="000F08D9"/>
    <w:pPr>
      <w:pBdr>
        <w:top w:val="single" w:color="000000" w:sz="4" w:space="0"/>
        <w:bottom w:val="double" w:color="000000" w:sz="6" w:space="0"/>
      </w:pBdr>
      <w:spacing w:before="100" w:beforeAutospacing="1" w:after="100" w:afterAutospacing="1"/>
      <w:jc w:val="right"/>
      <w:textAlignment w:val="center"/>
    </w:pPr>
    <w:rPr>
      <w:rFonts w:ascii="Verdana" w:hAnsi="Verdana" w:eastAsia="Times New Roman" w:cs="Times New Roman"/>
      <w:sz w:val="20"/>
      <w:szCs w:val="20"/>
      <w:lang w:val="en-GB" w:eastAsia="en-GB"/>
    </w:rPr>
  </w:style>
  <w:style w:type="paragraph" w:styleId="xl205" w:customStyle="1">
    <w:name w:val="xl205"/>
    <w:basedOn w:val="Normal"/>
    <w:rsid w:val="000F08D9"/>
    <w:pPr>
      <w:shd w:val="clear" w:color="FEF2CB" w:fill="FEF2CB"/>
      <w:spacing w:before="100" w:beforeAutospacing="1" w:after="100" w:afterAutospacing="1"/>
    </w:pPr>
    <w:rPr>
      <w:rFonts w:ascii="Verdana" w:hAnsi="Verdana" w:eastAsia="Times New Roman" w:cs="Times New Roman"/>
      <w:sz w:val="24"/>
      <w:lang w:val="en-GB" w:eastAsia="en-GB"/>
    </w:rPr>
  </w:style>
  <w:style w:type="paragraph" w:styleId="xl206" w:customStyle="1">
    <w:name w:val="xl206"/>
    <w:basedOn w:val="Normal"/>
    <w:rsid w:val="000F08D9"/>
    <w:pPr>
      <w:spacing w:before="100" w:beforeAutospacing="1" w:after="100" w:afterAutospacing="1"/>
      <w:textAlignment w:val="top"/>
    </w:pPr>
    <w:rPr>
      <w:rFonts w:ascii="Verdana" w:hAnsi="Verdana" w:eastAsia="Times New Roman" w:cs="Times New Roman"/>
      <w:b/>
      <w:bCs/>
      <w:color w:val="000000"/>
      <w:sz w:val="20"/>
      <w:szCs w:val="20"/>
      <w:lang w:val="en-GB" w:eastAsia="en-GB"/>
    </w:rPr>
  </w:style>
  <w:style w:type="paragraph" w:styleId="xl207" w:customStyle="1">
    <w:name w:val="xl207"/>
    <w:basedOn w:val="Normal"/>
    <w:rsid w:val="000F08D9"/>
    <w:pPr>
      <w:spacing w:before="100" w:beforeAutospacing="1" w:after="100" w:afterAutospacing="1"/>
      <w:textAlignment w:val="top"/>
    </w:pPr>
    <w:rPr>
      <w:rFonts w:ascii="Verdana" w:hAnsi="Verdana" w:eastAsia="Times New Roman" w:cs="Times New Roman"/>
      <w:sz w:val="20"/>
      <w:szCs w:val="20"/>
      <w:lang w:val="en-GB" w:eastAsia="en-GB"/>
    </w:rPr>
  </w:style>
  <w:style w:type="paragraph" w:styleId="xl208" w:customStyle="1">
    <w:name w:val="xl208"/>
    <w:basedOn w:val="Normal"/>
    <w:rsid w:val="000F08D9"/>
    <w:pPr>
      <w:spacing w:before="100" w:beforeAutospacing="1" w:after="100" w:afterAutospacing="1"/>
    </w:pPr>
    <w:rPr>
      <w:rFonts w:ascii="Verdana" w:hAnsi="Verdana" w:eastAsia="Times New Roman" w:cs="Times New Roman"/>
      <w:sz w:val="20"/>
      <w:szCs w:val="20"/>
      <w:lang w:val="en-GB" w:eastAsia="en-GB"/>
    </w:rPr>
  </w:style>
  <w:style w:type="paragraph" w:styleId="xl209" w:customStyle="1">
    <w:name w:val="xl209"/>
    <w:basedOn w:val="Normal"/>
    <w:rsid w:val="000F08D9"/>
    <w:pPr>
      <w:shd w:val="clear" w:color="E2EFD9" w:fill="E2EFD9"/>
      <w:spacing w:before="100" w:beforeAutospacing="1" w:after="100" w:afterAutospacing="1"/>
      <w:jc w:val="right"/>
    </w:pPr>
    <w:rPr>
      <w:rFonts w:ascii="Verdana" w:hAnsi="Verdana" w:eastAsia="Times New Roman" w:cs="Times New Roman"/>
      <w:sz w:val="20"/>
      <w:szCs w:val="20"/>
      <w:lang w:val="en-GB" w:eastAsia="en-GB"/>
    </w:rPr>
  </w:style>
  <w:style w:type="paragraph" w:styleId="xl210" w:customStyle="1">
    <w:name w:val="xl210"/>
    <w:basedOn w:val="Normal"/>
    <w:rsid w:val="000F08D9"/>
    <w:pPr>
      <w:spacing w:before="100" w:beforeAutospacing="1" w:after="100" w:afterAutospacing="1"/>
    </w:pPr>
    <w:rPr>
      <w:rFonts w:ascii="Verdana" w:hAnsi="Verdana" w:eastAsia="Times New Roman" w:cs="Times New Roman"/>
      <w:sz w:val="20"/>
      <w:szCs w:val="20"/>
      <w:lang w:val="en-GB" w:eastAsia="en-GB"/>
    </w:rPr>
  </w:style>
  <w:style w:type="paragraph" w:styleId="xl211" w:customStyle="1">
    <w:name w:val="xl211"/>
    <w:basedOn w:val="Normal"/>
    <w:rsid w:val="000F08D9"/>
    <w:pPr>
      <w:spacing w:before="100" w:beforeAutospacing="1" w:after="100" w:afterAutospacing="1"/>
    </w:pPr>
    <w:rPr>
      <w:rFonts w:ascii="Verdana" w:hAnsi="Verdana" w:eastAsia="Times New Roman" w:cs="Times New Roman"/>
      <w:b/>
      <w:bCs/>
      <w:sz w:val="20"/>
      <w:szCs w:val="20"/>
      <w:lang w:val="en-GB" w:eastAsia="en-GB"/>
    </w:rPr>
  </w:style>
  <w:style w:type="paragraph" w:styleId="xl212" w:customStyle="1">
    <w:name w:val="xl212"/>
    <w:basedOn w:val="Normal"/>
    <w:rsid w:val="000F08D9"/>
    <w:pPr>
      <w:pBdr>
        <w:top w:val="single" w:color="000000" w:sz="4" w:space="0"/>
      </w:pBdr>
      <w:spacing w:before="100" w:beforeAutospacing="1" w:after="100" w:afterAutospacing="1"/>
      <w:jc w:val="right"/>
    </w:pPr>
    <w:rPr>
      <w:rFonts w:ascii="Verdana" w:hAnsi="Verdana" w:eastAsia="Times New Roman" w:cs="Times New Roman"/>
      <w:sz w:val="20"/>
      <w:szCs w:val="20"/>
      <w:lang w:val="en-GB" w:eastAsia="en-GB"/>
    </w:rPr>
  </w:style>
  <w:style w:type="paragraph" w:styleId="xl213" w:customStyle="1">
    <w:name w:val="xl213"/>
    <w:basedOn w:val="Normal"/>
    <w:rsid w:val="000F08D9"/>
    <w:pPr>
      <w:pBdr>
        <w:top w:val="single" w:color="000000" w:sz="4" w:space="0"/>
        <w:bottom w:val="single" w:color="000000" w:sz="4" w:space="0"/>
      </w:pBdr>
      <w:spacing w:before="100" w:beforeAutospacing="1" w:after="100" w:afterAutospacing="1"/>
      <w:jc w:val="right"/>
    </w:pPr>
    <w:rPr>
      <w:rFonts w:ascii="Verdana" w:hAnsi="Verdana" w:eastAsia="Times New Roman" w:cs="Times New Roman"/>
      <w:sz w:val="20"/>
      <w:szCs w:val="20"/>
      <w:lang w:val="en-GB" w:eastAsia="en-GB"/>
    </w:rPr>
  </w:style>
  <w:style w:type="paragraph" w:styleId="xl214" w:customStyle="1">
    <w:name w:val="xl214"/>
    <w:basedOn w:val="Normal"/>
    <w:rsid w:val="000F08D9"/>
    <w:pPr>
      <w:pBdr>
        <w:top w:val="single" w:color="000000" w:sz="4" w:space="0"/>
        <w:bottom w:val="single" w:color="000000" w:sz="4" w:space="0"/>
      </w:pBdr>
      <w:shd w:val="clear" w:color="E2EFD9" w:fill="E2EFD9"/>
      <w:spacing w:before="100" w:beforeAutospacing="1" w:after="100" w:afterAutospacing="1"/>
      <w:jc w:val="right"/>
    </w:pPr>
    <w:rPr>
      <w:rFonts w:ascii="Verdana" w:hAnsi="Verdana" w:eastAsia="Times New Roman" w:cs="Times New Roman"/>
      <w:sz w:val="20"/>
      <w:szCs w:val="20"/>
      <w:lang w:val="en-GB" w:eastAsia="en-GB"/>
    </w:rPr>
  </w:style>
  <w:style w:type="paragraph" w:styleId="xl215" w:customStyle="1">
    <w:name w:val="xl215"/>
    <w:basedOn w:val="Normal"/>
    <w:rsid w:val="000F08D9"/>
    <w:pPr>
      <w:pBdr>
        <w:top w:val="single" w:color="000000" w:sz="4" w:space="0"/>
        <w:bottom w:val="double" w:color="000000" w:sz="6" w:space="0"/>
      </w:pBdr>
      <w:shd w:val="clear" w:color="E2EFD9" w:fill="E2EFD9"/>
      <w:spacing w:before="100" w:beforeAutospacing="1" w:after="100" w:afterAutospacing="1"/>
      <w:jc w:val="right"/>
    </w:pPr>
    <w:rPr>
      <w:rFonts w:ascii="Verdana" w:hAnsi="Verdana" w:eastAsia="Times New Roman" w:cs="Times New Roman"/>
      <w:sz w:val="20"/>
      <w:szCs w:val="20"/>
      <w:lang w:val="en-GB" w:eastAsia="en-GB"/>
    </w:rPr>
  </w:style>
  <w:style w:type="paragraph" w:styleId="xl216" w:customStyle="1">
    <w:name w:val="xl216"/>
    <w:basedOn w:val="Normal"/>
    <w:rsid w:val="000F08D9"/>
    <w:pPr>
      <w:pBdr>
        <w:top w:val="single" w:color="000000" w:sz="8" w:space="0"/>
        <w:bottom w:val="double" w:color="000000" w:sz="6" w:space="0"/>
      </w:pBdr>
      <w:shd w:val="clear" w:color="E2EFD9" w:fill="E2EFD9"/>
      <w:spacing w:before="100" w:beforeAutospacing="1" w:after="100" w:afterAutospacing="1"/>
      <w:jc w:val="right"/>
      <w:textAlignment w:val="center"/>
    </w:pPr>
    <w:rPr>
      <w:rFonts w:ascii="Verdana" w:hAnsi="Verdana" w:eastAsia="Times New Roman" w:cs="Times New Roman"/>
      <w:b/>
      <w:bCs/>
      <w:sz w:val="20"/>
      <w:szCs w:val="20"/>
      <w:lang w:val="en-GB" w:eastAsia="en-GB"/>
    </w:rPr>
  </w:style>
  <w:style w:type="paragraph" w:styleId="xl217" w:customStyle="1">
    <w:name w:val="xl217"/>
    <w:basedOn w:val="Normal"/>
    <w:rsid w:val="000F08D9"/>
    <w:pPr>
      <w:spacing w:before="100" w:beforeAutospacing="1" w:after="100" w:afterAutospacing="1"/>
      <w:jc w:val="right"/>
      <w:textAlignment w:val="center"/>
    </w:pPr>
    <w:rPr>
      <w:rFonts w:ascii="Verdana" w:hAnsi="Verdana" w:eastAsia="Times New Roman" w:cs="Times New Roman"/>
      <w:b/>
      <w:bCs/>
      <w:i/>
      <w:iCs/>
      <w:sz w:val="24"/>
      <w:lang w:val="en-GB" w:eastAsia="en-GB"/>
    </w:rPr>
  </w:style>
  <w:style w:type="paragraph" w:styleId="xl218" w:customStyle="1">
    <w:name w:val="xl218"/>
    <w:basedOn w:val="Normal"/>
    <w:rsid w:val="000F08D9"/>
    <w:pPr>
      <w:spacing w:before="100" w:beforeAutospacing="1" w:after="100" w:afterAutospacing="1"/>
      <w:textAlignment w:val="center"/>
    </w:pPr>
    <w:rPr>
      <w:rFonts w:ascii="Verdana" w:hAnsi="Verdana" w:eastAsia="Times New Roman" w:cs="Times New Roman"/>
      <w:b/>
      <w:bCs/>
      <w:i/>
      <w:iCs/>
      <w:sz w:val="24"/>
      <w:lang w:val="en-GB" w:eastAsia="en-GB"/>
    </w:rPr>
  </w:style>
  <w:style w:type="paragraph" w:styleId="xl219" w:customStyle="1">
    <w:name w:val="xl219"/>
    <w:basedOn w:val="Normal"/>
    <w:rsid w:val="000F08D9"/>
    <w:pPr>
      <w:pBdr>
        <w:top w:val="single" w:color="000000" w:sz="8" w:space="0"/>
        <w:bottom w:val="double" w:color="000000" w:sz="6" w:space="0"/>
      </w:pBdr>
      <w:spacing w:before="100" w:beforeAutospacing="1" w:after="100" w:afterAutospacing="1"/>
      <w:jc w:val="right"/>
      <w:textAlignment w:val="center"/>
    </w:pPr>
    <w:rPr>
      <w:rFonts w:ascii="Verdana" w:hAnsi="Verdana" w:eastAsia="Times New Roman" w:cs="Times New Roman"/>
      <w:b/>
      <w:bCs/>
      <w:sz w:val="20"/>
      <w:szCs w:val="20"/>
      <w:lang w:val="en-GB" w:eastAsia="en-GB"/>
    </w:rPr>
  </w:style>
  <w:style w:type="paragraph" w:styleId="xl220" w:customStyle="1">
    <w:name w:val="xl220"/>
    <w:basedOn w:val="Normal"/>
    <w:rsid w:val="000F08D9"/>
    <w:pPr>
      <w:spacing w:before="100" w:beforeAutospacing="1" w:after="100" w:afterAutospacing="1"/>
    </w:pPr>
    <w:rPr>
      <w:rFonts w:ascii="Verdana" w:hAnsi="Verdana" w:eastAsia="Times New Roman" w:cs="Times New Roman"/>
      <w:i/>
      <w:iCs/>
      <w:sz w:val="24"/>
      <w:u w:val="single"/>
      <w:lang w:val="en-GB" w:eastAsia="en-GB"/>
    </w:rPr>
  </w:style>
  <w:style w:type="paragraph" w:styleId="xl221" w:customStyle="1">
    <w:name w:val="xl221"/>
    <w:basedOn w:val="Normal"/>
    <w:rsid w:val="000F08D9"/>
    <w:pPr>
      <w:shd w:val="clear" w:color="E2EFD9" w:fill="E2EFD9"/>
      <w:spacing w:before="100" w:beforeAutospacing="1" w:after="100" w:afterAutospacing="1"/>
      <w:jc w:val="center"/>
    </w:pPr>
    <w:rPr>
      <w:rFonts w:ascii="Verdana" w:hAnsi="Verdana" w:eastAsia="Times New Roman" w:cs="Times New Roman"/>
      <w:b/>
      <w:bCs/>
      <w:sz w:val="20"/>
      <w:szCs w:val="20"/>
      <w:lang w:val="en-GB" w:eastAsia="en-GB"/>
    </w:rPr>
  </w:style>
  <w:style w:type="paragraph" w:styleId="xl222" w:customStyle="1">
    <w:name w:val="xl222"/>
    <w:basedOn w:val="Normal"/>
    <w:rsid w:val="000F08D9"/>
    <w:pPr>
      <w:spacing w:before="100" w:beforeAutospacing="1" w:after="100" w:afterAutospacing="1"/>
      <w:textAlignment w:val="center"/>
    </w:pPr>
    <w:rPr>
      <w:rFonts w:ascii="Verdana" w:hAnsi="Verdana" w:eastAsia="Times New Roman" w:cs="Times New Roman"/>
      <w:i/>
      <w:iCs/>
      <w:sz w:val="20"/>
      <w:szCs w:val="20"/>
      <w:lang w:val="en-GB" w:eastAsia="en-GB"/>
    </w:rPr>
  </w:style>
  <w:style w:type="paragraph" w:styleId="xl223" w:customStyle="1">
    <w:name w:val="xl223"/>
    <w:basedOn w:val="Normal"/>
    <w:rsid w:val="000F08D9"/>
    <w:pPr>
      <w:pBdr>
        <w:top w:val="single" w:color="000000" w:sz="4" w:space="0"/>
      </w:pBdr>
      <w:shd w:val="clear" w:color="E2EFD9" w:fill="E2EFD9"/>
      <w:spacing w:before="100" w:beforeAutospacing="1" w:after="100" w:afterAutospacing="1"/>
      <w:textAlignment w:val="center"/>
    </w:pPr>
    <w:rPr>
      <w:rFonts w:ascii="Verdana" w:hAnsi="Verdana" w:eastAsia="Times New Roman" w:cs="Times New Roman"/>
      <w:sz w:val="20"/>
      <w:szCs w:val="20"/>
      <w:lang w:val="en-GB" w:eastAsia="en-GB"/>
    </w:rPr>
  </w:style>
  <w:style w:type="paragraph" w:styleId="xl224" w:customStyle="1">
    <w:name w:val="xl224"/>
    <w:basedOn w:val="Normal"/>
    <w:rsid w:val="000F08D9"/>
    <w:pPr>
      <w:pBdr>
        <w:top w:val="single" w:color="000000" w:sz="4" w:space="0"/>
      </w:pBdr>
      <w:shd w:val="clear" w:color="E2EFD9" w:fill="E2EFD9"/>
      <w:spacing w:before="100" w:beforeAutospacing="1" w:after="100" w:afterAutospacing="1"/>
      <w:textAlignment w:val="center"/>
    </w:pPr>
    <w:rPr>
      <w:rFonts w:ascii="Verdana" w:hAnsi="Verdana" w:eastAsia="Times New Roman" w:cs="Times New Roman"/>
      <w:sz w:val="20"/>
      <w:szCs w:val="20"/>
      <w:lang w:val="en-GB" w:eastAsia="en-GB"/>
    </w:rPr>
  </w:style>
  <w:style w:type="paragraph" w:styleId="xl225" w:customStyle="1">
    <w:name w:val="xl225"/>
    <w:basedOn w:val="Normal"/>
    <w:rsid w:val="000F08D9"/>
    <w:pPr>
      <w:shd w:val="clear" w:color="E2EFD9" w:fill="E2EFD9"/>
      <w:spacing w:before="100" w:beforeAutospacing="1" w:after="100" w:afterAutospacing="1"/>
      <w:textAlignment w:val="center"/>
    </w:pPr>
    <w:rPr>
      <w:rFonts w:ascii="Verdana" w:hAnsi="Verdana" w:eastAsia="Times New Roman" w:cs="Times New Roman"/>
      <w:sz w:val="20"/>
      <w:szCs w:val="20"/>
      <w:lang w:val="en-GB" w:eastAsia="en-GB"/>
    </w:rPr>
  </w:style>
  <w:style w:type="paragraph" w:styleId="xl226" w:customStyle="1">
    <w:name w:val="xl226"/>
    <w:basedOn w:val="Normal"/>
    <w:rsid w:val="000F08D9"/>
    <w:pPr>
      <w:shd w:val="clear" w:color="E2EFD9" w:fill="E2EFD9"/>
      <w:spacing w:before="100" w:beforeAutospacing="1" w:after="100" w:afterAutospacing="1"/>
      <w:textAlignment w:val="center"/>
    </w:pPr>
    <w:rPr>
      <w:rFonts w:ascii="Verdana" w:hAnsi="Verdana" w:eastAsia="Times New Roman" w:cs="Times New Roman"/>
      <w:sz w:val="20"/>
      <w:szCs w:val="20"/>
      <w:lang w:val="en-GB" w:eastAsia="en-GB"/>
    </w:rPr>
  </w:style>
  <w:style w:type="paragraph" w:styleId="xl227" w:customStyle="1">
    <w:name w:val="xl227"/>
    <w:basedOn w:val="Normal"/>
    <w:rsid w:val="000F08D9"/>
    <w:pPr>
      <w:pBdr>
        <w:bottom w:val="single" w:color="000000" w:sz="8" w:space="0"/>
      </w:pBdr>
      <w:shd w:val="clear" w:color="E2EFD9" w:fill="E2EFD9"/>
      <w:spacing w:before="100" w:beforeAutospacing="1" w:after="100" w:afterAutospacing="1"/>
      <w:textAlignment w:val="center"/>
    </w:pPr>
    <w:rPr>
      <w:rFonts w:ascii="Verdana" w:hAnsi="Verdana" w:eastAsia="Times New Roman" w:cs="Times New Roman"/>
      <w:sz w:val="20"/>
      <w:szCs w:val="20"/>
      <w:lang w:val="en-GB" w:eastAsia="en-GB"/>
    </w:rPr>
  </w:style>
  <w:style w:type="paragraph" w:styleId="xl228" w:customStyle="1">
    <w:name w:val="xl228"/>
    <w:basedOn w:val="Normal"/>
    <w:rsid w:val="000F08D9"/>
    <w:pPr>
      <w:pBdr>
        <w:bottom w:val="double" w:color="000000" w:sz="6" w:space="0"/>
      </w:pBdr>
      <w:shd w:val="clear" w:color="E2EFD9" w:fill="E2EFD9"/>
      <w:spacing w:before="100" w:beforeAutospacing="1" w:after="100" w:afterAutospacing="1"/>
      <w:textAlignment w:val="center"/>
    </w:pPr>
    <w:rPr>
      <w:rFonts w:ascii="Verdana" w:hAnsi="Verdana" w:eastAsia="Times New Roman" w:cs="Times New Roman"/>
      <w:sz w:val="20"/>
      <w:szCs w:val="20"/>
      <w:lang w:val="en-GB" w:eastAsia="en-GB"/>
    </w:rPr>
  </w:style>
  <w:style w:type="paragraph" w:styleId="xl229" w:customStyle="1">
    <w:name w:val="xl229"/>
    <w:basedOn w:val="Normal"/>
    <w:rsid w:val="000F08D9"/>
    <w:pPr>
      <w:shd w:val="clear" w:color="D8D8D8" w:fill="D8D8D8"/>
      <w:spacing w:before="100" w:beforeAutospacing="1" w:after="100" w:afterAutospacing="1"/>
      <w:textAlignment w:val="center"/>
    </w:pPr>
    <w:rPr>
      <w:rFonts w:ascii="Verdana" w:hAnsi="Verdana" w:eastAsia="Times New Roman" w:cs="Times New Roman"/>
      <w:sz w:val="24"/>
      <w:lang w:val="en-GB" w:eastAsia="en-GB"/>
    </w:rPr>
  </w:style>
  <w:style w:type="paragraph" w:styleId="xl230" w:customStyle="1">
    <w:name w:val="xl230"/>
    <w:basedOn w:val="Normal"/>
    <w:rsid w:val="000F08D9"/>
    <w:pPr>
      <w:shd w:val="clear" w:color="D8D8D8" w:fill="D8D8D8"/>
      <w:spacing w:before="100" w:beforeAutospacing="1" w:after="100" w:afterAutospacing="1"/>
      <w:textAlignment w:val="center"/>
    </w:pPr>
    <w:rPr>
      <w:rFonts w:ascii="Verdana" w:hAnsi="Verdana" w:eastAsia="Times New Roman" w:cs="Times New Roman"/>
      <w:b/>
      <w:bCs/>
      <w:sz w:val="24"/>
      <w:lang w:val="en-GB" w:eastAsia="en-GB"/>
    </w:rPr>
  </w:style>
  <w:style w:type="paragraph" w:styleId="xl231" w:customStyle="1">
    <w:name w:val="xl231"/>
    <w:basedOn w:val="Normal"/>
    <w:rsid w:val="000F08D9"/>
    <w:pPr>
      <w:shd w:val="clear" w:color="D8D8D8" w:fill="D8D8D8"/>
      <w:spacing w:before="100" w:beforeAutospacing="1" w:after="100" w:afterAutospacing="1"/>
    </w:pPr>
    <w:rPr>
      <w:rFonts w:ascii="Verdana" w:hAnsi="Verdana" w:eastAsia="Times New Roman" w:cs="Times New Roman"/>
      <w:b/>
      <w:bCs/>
      <w:sz w:val="24"/>
      <w:lang w:val="en-GB" w:eastAsia="en-GB"/>
    </w:rPr>
  </w:style>
  <w:style w:type="paragraph" w:styleId="xl232" w:customStyle="1">
    <w:name w:val="xl232"/>
    <w:basedOn w:val="Normal"/>
    <w:rsid w:val="000F08D9"/>
    <w:pPr>
      <w:shd w:val="clear" w:color="D8D8D8" w:fill="D8D8D8"/>
      <w:spacing w:before="100" w:beforeAutospacing="1" w:after="100" w:afterAutospacing="1"/>
      <w:textAlignment w:val="center"/>
    </w:pPr>
    <w:rPr>
      <w:rFonts w:ascii="Verdana" w:hAnsi="Verdana" w:eastAsia="Times New Roman" w:cs="Times New Roman"/>
      <w:i/>
      <w:iCs/>
      <w:sz w:val="24"/>
      <w:lang w:val="en-GB" w:eastAsia="en-GB"/>
    </w:rPr>
  </w:style>
  <w:style w:type="paragraph" w:styleId="xl233" w:customStyle="1">
    <w:name w:val="xl233"/>
    <w:basedOn w:val="Normal"/>
    <w:rsid w:val="000F08D9"/>
    <w:pPr>
      <w:pBdr>
        <w:top w:val="single" w:color="000000" w:sz="4" w:space="0"/>
      </w:pBdr>
      <w:shd w:val="clear" w:color="D8D8D8" w:fill="D8D8D8"/>
      <w:spacing w:before="100" w:beforeAutospacing="1" w:after="100" w:afterAutospacing="1"/>
      <w:textAlignment w:val="center"/>
    </w:pPr>
    <w:rPr>
      <w:rFonts w:ascii="Verdana" w:hAnsi="Verdana" w:eastAsia="Times New Roman" w:cs="Times New Roman"/>
      <w:sz w:val="24"/>
      <w:lang w:val="en-GB" w:eastAsia="en-GB"/>
    </w:rPr>
  </w:style>
  <w:style w:type="paragraph" w:styleId="xl234" w:customStyle="1">
    <w:name w:val="xl234"/>
    <w:basedOn w:val="Normal"/>
    <w:rsid w:val="000F08D9"/>
    <w:pPr>
      <w:pBdr>
        <w:top w:val="single" w:color="000000" w:sz="4" w:space="0"/>
      </w:pBdr>
      <w:shd w:val="clear" w:color="D8D8D8" w:fill="D8D8D8"/>
      <w:spacing w:before="100" w:beforeAutospacing="1" w:after="100" w:afterAutospacing="1"/>
    </w:pPr>
    <w:rPr>
      <w:rFonts w:ascii="Verdana" w:hAnsi="Verdana" w:eastAsia="Times New Roman" w:cs="Times New Roman"/>
      <w:sz w:val="24"/>
      <w:lang w:val="en-GB" w:eastAsia="en-GB"/>
    </w:rPr>
  </w:style>
  <w:style w:type="paragraph" w:styleId="xl235" w:customStyle="1">
    <w:name w:val="xl235"/>
    <w:basedOn w:val="Normal"/>
    <w:rsid w:val="000F08D9"/>
    <w:pPr>
      <w:pBdr>
        <w:top w:val="single" w:color="000000" w:sz="8" w:space="0"/>
        <w:bottom w:val="double" w:color="000000" w:sz="6" w:space="0"/>
      </w:pBdr>
      <w:shd w:val="clear" w:color="D8D8D8" w:fill="D8D8D8"/>
      <w:spacing w:before="100" w:beforeAutospacing="1" w:after="100" w:afterAutospacing="1"/>
      <w:jc w:val="right"/>
      <w:textAlignment w:val="center"/>
    </w:pPr>
    <w:rPr>
      <w:rFonts w:ascii="Verdana" w:hAnsi="Verdana" w:eastAsia="Times New Roman" w:cs="Times New Roman"/>
      <w:b/>
      <w:bCs/>
      <w:sz w:val="24"/>
      <w:lang w:val="en-GB" w:eastAsia="en-GB"/>
    </w:rPr>
  </w:style>
  <w:style w:type="paragraph" w:styleId="xl236" w:customStyle="1">
    <w:name w:val="xl236"/>
    <w:basedOn w:val="Normal"/>
    <w:rsid w:val="000F08D9"/>
    <w:pPr>
      <w:spacing w:before="100" w:beforeAutospacing="1" w:after="100" w:afterAutospacing="1"/>
      <w:textAlignment w:val="center"/>
    </w:pPr>
    <w:rPr>
      <w:rFonts w:ascii="Verdana" w:hAnsi="Verdana" w:eastAsia="Times New Roman" w:cs="Times New Roman"/>
      <w:b/>
      <w:bCs/>
      <w:color w:val="000000"/>
      <w:sz w:val="18"/>
      <w:szCs w:val="18"/>
      <w:lang w:val="en-GB" w:eastAsia="en-GB"/>
    </w:rPr>
  </w:style>
  <w:style w:type="paragraph" w:styleId="xl237" w:customStyle="1">
    <w:name w:val="xl237"/>
    <w:basedOn w:val="Normal"/>
    <w:rsid w:val="000F08D9"/>
    <w:pPr>
      <w:spacing w:before="100" w:beforeAutospacing="1" w:after="100" w:afterAutospacing="1"/>
      <w:jc w:val="center"/>
    </w:pPr>
    <w:rPr>
      <w:rFonts w:ascii="Verdana" w:hAnsi="Verdana" w:eastAsia="Times New Roman" w:cs="Times New Roman"/>
      <w:b/>
      <w:bCs/>
      <w:color w:val="000000"/>
      <w:sz w:val="18"/>
      <w:szCs w:val="18"/>
      <w:lang w:val="en-GB" w:eastAsia="en-GB"/>
    </w:rPr>
  </w:style>
  <w:style w:type="paragraph" w:styleId="xl238" w:customStyle="1">
    <w:name w:val="xl238"/>
    <w:basedOn w:val="Normal"/>
    <w:rsid w:val="000F08D9"/>
    <w:pPr>
      <w:pBdr>
        <w:top w:val="single" w:color="000000" w:sz="4" w:space="0"/>
      </w:pBdr>
      <w:spacing w:before="100" w:beforeAutospacing="1" w:after="100" w:afterAutospacing="1"/>
    </w:pPr>
    <w:rPr>
      <w:rFonts w:ascii="Verdana" w:hAnsi="Verdana" w:eastAsia="Times New Roman" w:cs="Times New Roman"/>
      <w:sz w:val="18"/>
      <w:szCs w:val="18"/>
      <w:lang w:val="en-GB" w:eastAsia="en-GB"/>
    </w:rPr>
  </w:style>
  <w:style w:type="paragraph" w:styleId="xl239" w:customStyle="1">
    <w:name w:val="xl239"/>
    <w:basedOn w:val="Normal"/>
    <w:rsid w:val="000F08D9"/>
    <w:pPr>
      <w:shd w:val="clear" w:color="E2EFD9" w:fill="E2EFD9"/>
      <w:spacing w:before="100" w:beforeAutospacing="1" w:after="100" w:afterAutospacing="1"/>
    </w:pPr>
    <w:rPr>
      <w:rFonts w:ascii="Verdana" w:hAnsi="Verdana" w:eastAsia="Times New Roman" w:cs="Times New Roman"/>
      <w:sz w:val="18"/>
      <w:szCs w:val="18"/>
      <w:lang w:val="en-GB" w:eastAsia="en-GB"/>
    </w:rPr>
  </w:style>
  <w:style w:type="paragraph" w:styleId="xl240" w:customStyle="1">
    <w:name w:val="xl240"/>
    <w:basedOn w:val="Normal"/>
    <w:rsid w:val="000F08D9"/>
    <w:pPr>
      <w:spacing w:before="100" w:beforeAutospacing="1" w:after="100" w:afterAutospacing="1"/>
    </w:pPr>
    <w:rPr>
      <w:rFonts w:ascii="Verdana" w:hAnsi="Verdana" w:eastAsia="Times New Roman" w:cs="Times New Roman"/>
      <w:sz w:val="18"/>
      <w:szCs w:val="18"/>
      <w:lang w:val="en-GB" w:eastAsia="en-GB"/>
    </w:rPr>
  </w:style>
  <w:style w:type="paragraph" w:styleId="xl241" w:customStyle="1">
    <w:name w:val="xl241"/>
    <w:basedOn w:val="Normal"/>
    <w:rsid w:val="000F08D9"/>
    <w:pPr>
      <w:pBdr>
        <w:bottom w:val="double" w:color="000000" w:sz="6" w:space="0"/>
      </w:pBdr>
      <w:spacing w:before="100" w:beforeAutospacing="1" w:after="100" w:afterAutospacing="1"/>
    </w:pPr>
    <w:rPr>
      <w:rFonts w:ascii="Verdana" w:hAnsi="Verdana" w:eastAsia="Times New Roman" w:cs="Times New Roman"/>
      <w:sz w:val="18"/>
      <w:szCs w:val="18"/>
      <w:lang w:val="en-GB" w:eastAsia="en-GB"/>
    </w:rPr>
  </w:style>
  <w:style w:type="paragraph" w:styleId="xl242" w:customStyle="1">
    <w:name w:val="xl242"/>
    <w:basedOn w:val="Normal"/>
    <w:rsid w:val="000F08D9"/>
    <w:pPr>
      <w:pBdr>
        <w:bottom w:val="double" w:color="000000" w:sz="6" w:space="0"/>
      </w:pBdr>
      <w:shd w:val="clear" w:color="E2EFD9" w:fill="E2EFD9"/>
      <w:spacing w:before="100" w:beforeAutospacing="1" w:after="100" w:afterAutospacing="1"/>
    </w:pPr>
    <w:rPr>
      <w:rFonts w:ascii="Verdana" w:hAnsi="Verdana" w:eastAsia="Times New Roman" w:cs="Times New Roman"/>
      <w:sz w:val="18"/>
      <w:szCs w:val="18"/>
      <w:lang w:val="en-GB" w:eastAsia="en-GB"/>
    </w:rPr>
  </w:style>
  <w:style w:type="paragraph" w:styleId="xl243" w:customStyle="1">
    <w:name w:val="xl243"/>
    <w:basedOn w:val="Normal"/>
    <w:rsid w:val="000F08D9"/>
    <w:pPr>
      <w:spacing w:before="100" w:beforeAutospacing="1" w:after="100" w:afterAutospacing="1"/>
    </w:pPr>
    <w:rPr>
      <w:rFonts w:ascii="Verdana" w:hAnsi="Verdana" w:eastAsia="Times New Roman" w:cs="Times New Roman"/>
      <w:b/>
      <w:bCs/>
      <w:sz w:val="18"/>
      <w:szCs w:val="18"/>
      <w:lang w:val="en-GB" w:eastAsia="en-GB"/>
    </w:rPr>
  </w:style>
  <w:style w:type="paragraph" w:styleId="xl244" w:customStyle="1">
    <w:name w:val="xl244"/>
    <w:basedOn w:val="Normal"/>
    <w:rsid w:val="000F08D9"/>
    <w:pPr>
      <w:shd w:val="clear" w:color="E2EFD9" w:fill="E2EFD9"/>
      <w:spacing w:before="100" w:beforeAutospacing="1" w:after="100" w:afterAutospacing="1"/>
    </w:pPr>
    <w:rPr>
      <w:rFonts w:ascii="Verdana" w:hAnsi="Verdana" w:eastAsia="Times New Roman" w:cs="Times New Roman"/>
      <w:b/>
      <w:bCs/>
      <w:sz w:val="18"/>
      <w:szCs w:val="18"/>
      <w:lang w:val="en-GB" w:eastAsia="en-GB"/>
    </w:rPr>
  </w:style>
  <w:style w:type="paragraph" w:styleId="xl245" w:customStyle="1">
    <w:name w:val="xl245"/>
    <w:basedOn w:val="Normal"/>
    <w:rsid w:val="000F08D9"/>
    <w:pPr>
      <w:shd w:val="clear" w:color="D8D8D8" w:fill="D8D8D8"/>
      <w:spacing w:before="100" w:beforeAutospacing="1" w:after="100" w:afterAutospacing="1"/>
      <w:jc w:val="center"/>
      <w:textAlignment w:val="center"/>
    </w:pPr>
    <w:rPr>
      <w:rFonts w:ascii="Verdana" w:hAnsi="Verdana" w:eastAsia="Times New Roman" w:cs="Times New Roman"/>
      <w:b/>
      <w:bCs/>
      <w:color w:val="000000"/>
      <w:sz w:val="24"/>
      <w:lang w:val="en-GB" w:eastAsia="en-GB"/>
    </w:rPr>
  </w:style>
  <w:style w:type="paragraph" w:styleId="xl246" w:customStyle="1">
    <w:name w:val="xl246"/>
    <w:basedOn w:val="Normal"/>
    <w:rsid w:val="000F08D9"/>
    <w:pPr>
      <w:shd w:val="clear" w:color="D8D8D8" w:fill="D8D8D8"/>
      <w:spacing w:before="100" w:beforeAutospacing="1" w:after="100" w:afterAutospacing="1"/>
    </w:pPr>
    <w:rPr>
      <w:rFonts w:ascii="Verdana" w:hAnsi="Verdana" w:eastAsia="Times New Roman" w:cs="Times New Roman"/>
      <w:sz w:val="24"/>
      <w:lang w:val="en-GB" w:eastAsia="en-GB"/>
    </w:rPr>
  </w:style>
  <w:style w:type="paragraph" w:styleId="xl247" w:customStyle="1">
    <w:name w:val="xl247"/>
    <w:basedOn w:val="Normal"/>
    <w:rsid w:val="000F08D9"/>
    <w:pPr>
      <w:pBdr>
        <w:bottom w:val="double" w:color="000000" w:sz="6" w:space="0"/>
      </w:pBdr>
      <w:shd w:val="clear" w:color="D8D8D8" w:fill="D8D8D8"/>
      <w:spacing w:before="100" w:beforeAutospacing="1" w:after="100" w:afterAutospacing="1"/>
    </w:pPr>
    <w:rPr>
      <w:rFonts w:ascii="Verdana" w:hAnsi="Verdana" w:eastAsia="Times New Roman" w:cs="Times New Roman"/>
      <w:sz w:val="24"/>
      <w:lang w:val="en-GB" w:eastAsia="en-GB"/>
    </w:rPr>
  </w:style>
  <w:style w:type="paragraph" w:styleId="xl248" w:customStyle="1">
    <w:name w:val="xl248"/>
    <w:basedOn w:val="Normal"/>
    <w:rsid w:val="000F08D9"/>
    <w:pPr>
      <w:shd w:val="clear" w:color="D8D8D8" w:fill="D8D8D8"/>
      <w:spacing w:before="100" w:beforeAutospacing="1" w:after="100" w:afterAutospacing="1"/>
    </w:pPr>
    <w:rPr>
      <w:rFonts w:ascii="Verdana" w:hAnsi="Verdana" w:eastAsia="Times New Roman" w:cs="Times New Roman"/>
      <w:b/>
      <w:bCs/>
      <w:sz w:val="24"/>
      <w:lang w:val="en-GB" w:eastAsia="en-GB"/>
    </w:rPr>
  </w:style>
  <w:style w:type="paragraph" w:styleId="xl249" w:customStyle="1">
    <w:name w:val="xl249"/>
    <w:basedOn w:val="Normal"/>
    <w:rsid w:val="000F08D9"/>
    <w:pPr>
      <w:shd w:val="clear" w:color="E2EFD9" w:fill="E2EFD9"/>
      <w:spacing w:before="100" w:beforeAutospacing="1" w:after="100" w:afterAutospacing="1"/>
      <w:jc w:val="right"/>
    </w:pPr>
    <w:rPr>
      <w:rFonts w:ascii="Verdana" w:hAnsi="Verdana" w:eastAsia="Times New Roman" w:cs="Times New Roman"/>
      <w:sz w:val="18"/>
      <w:szCs w:val="18"/>
      <w:lang w:val="en-GB" w:eastAsia="en-GB"/>
    </w:rPr>
  </w:style>
  <w:style w:type="paragraph" w:styleId="xl250" w:customStyle="1">
    <w:name w:val="xl250"/>
    <w:basedOn w:val="Normal"/>
    <w:rsid w:val="000F08D9"/>
    <w:pPr>
      <w:spacing w:before="100" w:beforeAutospacing="1" w:after="100" w:afterAutospacing="1"/>
      <w:jc w:val="right"/>
    </w:pPr>
    <w:rPr>
      <w:rFonts w:ascii="Verdana" w:hAnsi="Verdana" w:eastAsia="Times New Roman" w:cs="Times New Roman"/>
      <w:sz w:val="18"/>
      <w:szCs w:val="18"/>
      <w:lang w:val="en-GB" w:eastAsia="en-GB"/>
    </w:rPr>
  </w:style>
  <w:style w:type="paragraph" w:styleId="xl251" w:customStyle="1">
    <w:name w:val="xl251"/>
    <w:basedOn w:val="Normal"/>
    <w:rsid w:val="000F08D9"/>
    <w:pPr>
      <w:pBdr>
        <w:bottom w:val="double" w:color="000000" w:sz="6" w:space="0"/>
      </w:pBdr>
      <w:shd w:val="clear" w:color="E2EFD9" w:fill="E2EFD9"/>
      <w:spacing w:before="100" w:beforeAutospacing="1" w:after="100" w:afterAutospacing="1"/>
      <w:jc w:val="right"/>
    </w:pPr>
    <w:rPr>
      <w:rFonts w:ascii="Verdana" w:hAnsi="Verdana" w:eastAsia="Times New Roman" w:cs="Times New Roman"/>
      <w:b/>
      <w:bCs/>
      <w:sz w:val="18"/>
      <w:szCs w:val="18"/>
      <w:lang w:val="en-GB" w:eastAsia="en-GB"/>
    </w:rPr>
  </w:style>
  <w:style w:type="paragraph" w:styleId="xl252" w:customStyle="1">
    <w:name w:val="xl252"/>
    <w:basedOn w:val="Normal"/>
    <w:rsid w:val="000F08D9"/>
    <w:pPr>
      <w:pBdr>
        <w:bottom w:val="double" w:color="000000" w:sz="6" w:space="0"/>
      </w:pBdr>
      <w:spacing w:before="100" w:beforeAutospacing="1" w:after="100" w:afterAutospacing="1"/>
      <w:jc w:val="right"/>
    </w:pPr>
    <w:rPr>
      <w:rFonts w:ascii="Verdana" w:hAnsi="Verdana" w:eastAsia="Times New Roman" w:cs="Times New Roman"/>
      <w:b/>
      <w:bCs/>
      <w:sz w:val="18"/>
      <w:szCs w:val="18"/>
      <w:lang w:val="en-GB" w:eastAsia="en-GB"/>
    </w:rPr>
  </w:style>
  <w:style w:type="paragraph" w:styleId="xl253" w:customStyle="1">
    <w:name w:val="xl253"/>
    <w:basedOn w:val="Normal"/>
    <w:rsid w:val="000F08D9"/>
    <w:pPr>
      <w:shd w:val="clear" w:color="D8D8D8" w:fill="D8D8D8"/>
      <w:spacing w:before="100" w:beforeAutospacing="1" w:after="100" w:afterAutospacing="1"/>
      <w:jc w:val="center"/>
      <w:textAlignment w:val="center"/>
    </w:pPr>
    <w:rPr>
      <w:rFonts w:ascii="Verdana" w:hAnsi="Verdana" w:eastAsia="Times New Roman" w:cs="Times New Roman"/>
      <w:b/>
      <w:bCs/>
      <w:sz w:val="24"/>
      <w:lang w:val="en-GB" w:eastAsia="en-GB"/>
    </w:rPr>
  </w:style>
  <w:style w:type="paragraph" w:styleId="xl254" w:customStyle="1">
    <w:name w:val="xl254"/>
    <w:basedOn w:val="Normal"/>
    <w:rsid w:val="000F08D9"/>
    <w:pPr>
      <w:pBdr>
        <w:bottom w:val="single" w:color="000000" w:sz="4" w:space="0"/>
      </w:pBdr>
      <w:shd w:val="clear" w:color="D8D8D8" w:fill="D8D8D8"/>
      <w:spacing w:before="100" w:beforeAutospacing="1" w:after="100" w:afterAutospacing="1"/>
    </w:pPr>
    <w:rPr>
      <w:rFonts w:ascii="Verdana" w:hAnsi="Verdana" w:eastAsia="Times New Roman" w:cs="Times New Roman"/>
      <w:sz w:val="24"/>
      <w:lang w:val="en-GB" w:eastAsia="en-GB"/>
    </w:rPr>
  </w:style>
  <w:style w:type="paragraph" w:styleId="xl255" w:customStyle="1">
    <w:name w:val="xl255"/>
    <w:basedOn w:val="Normal"/>
    <w:rsid w:val="000F08D9"/>
    <w:pPr>
      <w:pBdr>
        <w:bottom w:val="double" w:color="000000" w:sz="6" w:space="0"/>
      </w:pBdr>
      <w:shd w:val="clear" w:color="D8D8D8" w:fill="D8D8D8"/>
      <w:spacing w:before="100" w:beforeAutospacing="1" w:after="100" w:afterAutospacing="1"/>
    </w:pPr>
    <w:rPr>
      <w:rFonts w:ascii="Verdana" w:hAnsi="Verdana" w:eastAsia="Times New Roman" w:cs="Times New Roman"/>
      <w:b/>
      <w:bCs/>
      <w:sz w:val="24"/>
      <w:lang w:val="en-GB" w:eastAsia="en-GB"/>
    </w:rPr>
  </w:style>
  <w:style w:type="paragraph" w:styleId="xl256" w:customStyle="1">
    <w:name w:val="xl256"/>
    <w:basedOn w:val="Normal"/>
    <w:rsid w:val="000F08D9"/>
    <w:pPr>
      <w:pBdr>
        <w:top w:val="single" w:color="000000" w:sz="4" w:space="0"/>
      </w:pBdr>
      <w:spacing w:before="100" w:beforeAutospacing="1" w:after="100" w:afterAutospacing="1"/>
      <w:textAlignment w:val="center"/>
    </w:pPr>
    <w:rPr>
      <w:rFonts w:ascii="Verdana" w:hAnsi="Verdana" w:eastAsia="Times New Roman" w:cs="Times New Roman"/>
      <w:sz w:val="24"/>
      <w:lang w:val="en-GB" w:eastAsia="en-GB"/>
    </w:rPr>
  </w:style>
  <w:style w:type="paragraph" w:styleId="xl257" w:customStyle="1">
    <w:name w:val="xl257"/>
    <w:basedOn w:val="Normal"/>
    <w:rsid w:val="000F08D9"/>
    <w:pPr>
      <w:pBdr>
        <w:top w:val="single" w:color="000000" w:sz="4" w:space="0"/>
      </w:pBdr>
      <w:spacing w:before="100" w:beforeAutospacing="1" w:after="100" w:afterAutospacing="1"/>
      <w:textAlignment w:val="center"/>
    </w:pPr>
    <w:rPr>
      <w:rFonts w:ascii="Verdana" w:hAnsi="Verdana" w:eastAsia="Times New Roman" w:cs="Times New Roman"/>
      <w:color w:val="000000"/>
      <w:sz w:val="24"/>
      <w:lang w:val="en-GB" w:eastAsia="en-GB"/>
    </w:rPr>
  </w:style>
  <w:style w:type="paragraph" w:styleId="xl258" w:customStyle="1">
    <w:name w:val="xl258"/>
    <w:basedOn w:val="Normal"/>
    <w:rsid w:val="000F08D9"/>
    <w:pPr>
      <w:pBdr>
        <w:top w:val="single" w:color="000000" w:sz="4" w:space="0"/>
      </w:pBdr>
      <w:shd w:val="clear" w:color="E2EFD9" w:fill="E2EFD9"/>
      <w:spacing w:before="100" w:beforeAutospacing="1" w:after="100" w:afterAutospacing="1"/>
      <w:textAlignment w:val="center"/>
    </w:pPr>
    <w:rPr>
      <w:rFonts w:ascii="Verdana" w:hAnsi="Verdana" w:eastAsia="Times New Roman" w:cs="Times New Roman"/>
      <w:color w:val="000000"/>
      <w:sz w:val="24"/>
      <w:lang w:val="en-GB" w:eastAsia="en-GB"/>
    </w:rPr>
  </w:style>
  <w:style w:type="paragraph" w:styleId="xl259" w:customStyle="1">
    <w:name w:val="xl259"/>
    <w:basedOn w:val="Normal"/>
    <w:rsid w:val="000F08D9"/>
    <w:pPr>
      <w:spacing w:before="100" w:beforeAutospacing="1" w:after="100" w:afterAutospacing="1"/>
      <w:textAlignment w:val="center"/>
    </w:pPr>
    <w:rPr>
      <w:rFonts w:ascii="Verdana" w:hAnsi="Verdana" w:eastAsia="Times New Roman" w:cs="Times New Roman"/>
      <w:color w:val="000000"/>
      <w:sz w:val="24"/>
      <w:lang w:val="en-GB" w:eastAsia="en-GB"/>
    </w:rPr>
  </w:style>
  <w:style w:type="paragraph" w:styleId="xl260" w:customStyle="1">
    <w:name w:val="xl260"/>
    <w:basedOn w:val="Normal"/>
    <w:rsid w:val="000F08D9"/>
    <w:pPr>
      <w:pBdr>
        <w:bottom w:val="single" w:color="000000" w:sz="4" w:space="0"/>
      </w:pBdr>
      <w:spacing w:before="100" w:beforeAutospacing="1" w:after="100" w:afterAutospacing="1"/>
      <w:textAlignment w:val="center"/>
    </w:pPr>
    <w:rPr>
      <w:rFonts w:ascii="Verdana" w:hAnsi="Verdana" w:eastAsia="Times New Roman" w:cs="Times New Roman"/>
      <w:sz w:val="24"/>
      <w:lang w:val="en-GB" w:eastAsia="en-GB"/>
    </w:rPr>
  </w:style>
  <w:style w:type="paragraph" w:styleId="xl261" w:customStyle="1">
    <w:name w:val="xl261"/>
    <w:basedOn w:val="Normal"/>
    <w:rsid w:val="000F08D9"/>
    <w:pPr>
      <w:pBdr>
        <w:bottom w:val="single" w:color="000000" w:sz="4" w:space="0"/>
      </w:pBdr>
      <w:spacing w:before="100" w:beforeAutospacing="1" w:after="100" w:afterAutospacing="1"/>
      <w:textAlignment w:val="center"/>
    </w:pPr>
    <w:rPr>
      <w:rFonts w:ascii="Verdana" w:hAnsi="Verdana" w:eastAsia="Times New Roman" w:cs="Times New Roman"/>
      <w:color w:val="000000"/>
      <w:sz w:val="24"/>
      <w:lang w:val="en-GB" w:eastAsia="en-GB"/>
    </w:rPr>
  </w:style>
  <w:style w:type="paragraph" w:styleId="xl262" w:customStyle="1">
    <w:name w:val="xl262"/>
    <w:basedOn w:val="Normal"/>
    <w:rsid w:val="000F08D9"/>
    <w:pPr>
      <w:spacing w:before="100" w:beforeAutospacing="1" w:after="100" w:afterAutospacing="1"/>
      <w:jc w:val="right"/>
      <w:textAlignment w:val="center"/>
    </w:pPr>
    <w:rPr>
      <w:rFonts w:ascii="Verdana" w:hAnsi="Verdana" w:eastAsia="Times New Roman" w:cs="Times New Roman"/>
      <w:color w:val="000000"/>
      <w:sz w:val="24"/>
      <w:lang w:val="en-GB" w:eastAsia="en-GB"/>
    </w:rPr>
  </w:style>
  <w:style w:type="paragraph" w:styleId="xl263" w:customStyle="1">
    <w:name w:val="xl263"/>
    <w:basedOn w:val="Normal"/>
    <w:rsid w:val="000F08D9"/>
    <w:pPr>
      <w:pBdr>
        <w:bottom w:val="double" w:color="000000" w:sz="6" w:space="0"/>
      </w:pBdr>
      <w:shd w:val="clear" w:color="E2EFD9" w:fill="E2EFD9"/>
      <w:spacing w:before="100" w:beforeAutospacing="1" w:after="100" w:afterAutospacing="1"/>
      <w:textAlignment w:val="center"/>
    </w:pPr>
    <w:rPr>
      <w:rFonts w:ascii="Verdana" w:hAnsi="Verdana" w:eastAsia="Times New Roman" w:cs="Times New Roman"/>
      <w:b/>
      <w:bCs/>
      <w:sz w:val="24"/>
      <w:lang w:val="en-GB" w:eastAsia="en-GB"/>
    </w:rPr>
  </w:style>
  <w:style w:type="paragraph" w:styleId="xl264" w:customStyle="1">
    <w:name w:val="xl264"/>
    <w:basedOn w:val="Normal"/>
    <w:rsid w:val="000F08D9"/>
    <w:pPr>
      <w:pBdr>
        <w:top w:val="double" w:color="000000" w:sz="6" w:space="0"/>
      </w:pBdr>
      <w:spacing w:before="100" w:beforeAutospacing="1" w:after="100" w:afterAutospacing="1"/>
      <w:textAlignment w:val="center"/>
    </w:pPr>
    <w:rPr>
      <w:rFonts w:ascii="Verdana" w:hAnsi="Verdana" w:eastAsia="Times New Roman" w:cs="Times New Roman"/>
      <w:b/>
      <w:bCs/>
      <w:sz w:val="24"/>
      <w:lang w:val="en-GB" w:eastAsia="en-GB"/>
    </w:rPr>
  </w:style>
  <w:style w:type="paragraph" w:styleId="xl265" w:customStyle="1">
    <w:name w:val="xl265"/>
    <w:basedOn w:val="Normal"/>
    <w:rsid w:val="000F08D9"/>
    <w:pPr>
      <w:pBdr>
        <w:bottom w:val="single" w:color="000000" w:sz="4" w:space="0"/>
      </w:pBdr>
      <w:spacing w:before="100" w:beforeAutospacing="1" w:after="100" w:afterAutospacing="1"/>
      <w:jc w:val="center"/>
    </w:pPr>
    <w:rPr>
      <w:rFonts w:ascii="Verdana" w:hAnsi="Verdana" w:eastAsia="Times New Roman" w:cs="Times New Roman"/>
      <w:b/>
      <w:bCs/>
      <w:sz w:val="20"/>
      <w:szCs w:val="20"/>
      <w:lang w:val="en-GB" w:eastAsia="en-GB"/>
    </w:rPr>
  </w:style>
  <w:style w:type="paragraph" w:styleId="xl266" w:customStyle="1">
    <w:name w:val="xl266"/>
    <w:basedOn w:val="Normal"/>
    <w:rsid w:val="000F08D9"/>
    <w:pPr>
      <w:shd w:val="clear" w:color="E2EFD9" w:fill="E2EFD9"/>
      <w:spacing w:before="100" w:beforeAutospacing="1" w:after="100" w:afterAutospacing="1"/>
      <w:jc w:val="center"/>
      <w:textAlignment w:val="center"/>
    </w:pPr>
    <w:rPr>
      <w:rFonts w:ascii="Verdana" w:hAnsi="Verdana" w:eastAsia="Times New Roman" w:cs="Times New Roman"/>
      <w:sz w:val="20"/>
      <w:szCs w:val="20"/>
      <w:lang w:val="en-GB" w:eastAsia="en-GB"/>
    </w:rPr>
  </w:style>
  <w:style w:type="paragraph" w:styleId="xl267" w:customStyle="1">
    <w:name w:val="xl267"/>
    <w:basedOn w:val="Normal"/>
    <w:rsid w:val="000F08D9"/>
    <w:pPr>
      <w:spacing w:before="100" w:beforeAutospacing="1" w:after="100" w:afterAutospacing="1"/>
      <w:jc w:val="center"/>
      <w:textAlignment w:val="center"/>
    </w:pPr>
    <w:rPr>
      <w:rFonts w:ascii="Verdana" w:hAnsi="Verdana" w:eastAsia="Times New Roman" w:cs="Times New Roman"/>
      <w:sz w:val="20"/>
      <w:szCs w:val="20"/>
      <w:lang w:val="en-GB" w:eastAsia="en-GB"/>
    </w:rPr>
  </w:style>
  <w:style w:type="paragraph" w:styleId="xl268" w:customStyle="1">
    <w:name w:val="xl268"/>
    <w:basedOn w:val="Normal"/>
    <w:rsid w:val="000F08D9"/>
    <w:pPr>
      <w:pBdr>
        <w:bottom w:val="single" w:color="000000" w:sz="4" w:space="0"/>
      </w:pBdr>
      <w:spacing w:before="100" w:beforeAutospacing="1" w:after="100" w:afterAutospacing="1"/>
      <w:jc w:val="center"/>
      <w:textAlignment w:val="center"/>
    </w:pPr>
    <w:rPr>
      <w:rFonts w:ascii="Verdana" w:hAnsi="Verdana" w:eastAsia="Times New Roman" w:cs="Times New Roman"/>
      <w:sz w:val="20"/>
      <w:szCs w:val="20"/>
      <w:lang w:val="en-GB" w:eastAsia="en-GB"/>
    </w:rPr>
  </w:style>
  <w:style w:type="paragraph" w:styleId="xl269" w:customStyle="1">
    <w:name w:val="xl269"/>
    <w:basedOn w:val="Normal"/>
    <w:rsid w:val="000F08D9"/>
    <w:pPr>
      <w:pBdr>
        <w:bottom w:val="single" w:color="000000" w:sz="4" w:space="0"/>
      </w:pBdr>
      <w:spacing w:before="100" w:beforeAutospacing="1" w:after="100" w:afterAutospacing="1"/>
      <w:textAlignment w:val="center"/>
    </w:pPr>
    <w:rPr>
      <w:rFonts w:ascii="Verdana" w:hAnsi="Verdana" w:eastAsia="Times New Roman" w:cs="Times New Roman"/>
      <w:sz w:val="20"/>
      <w:szCs w:val="20"/>
      <w:lang w:val="en-GB" w:eastAsia="en-GB"/>
    </w:rPr>
  </w:style>
  <w:style w:type="paragraph" w:styleId="xl270" w:customStyle="1">
    <w:name w:val="xl270"/>
    <w:basedOn w:val="Normal"/>
    <w:rsid w:val="000F08D9"/>
    <w:pPr>
      <w:pBdr>
        <w:bottom w:val="single" w:color="000000" w:sz="4" w:space="0"/>
      </w:pBdr>
      <w:spacing w:before="100" w:beforeAutospacing="1" w:after="100" w:afterAutospacing="1"/>
      <w:jc w:val="center"/>
      <w:textAlignment w:val="center"/>
    </w:pPr>
    <w:rPr>
      <w:rFonts w:ascii="Verdana" w:hAnsi="Verdana" w:eastAsia="Times New Roman" w:cs="Times New Roman"/>
      <w:sz w:val="20"/>
      <w:szCs w:val="20"/>
      <w:lang w:val="en-GB" w:eastAsia="en-GB"/>
    </w:rPr>
  </w:style>
  <w:style w:type="paragraph" w:styleId="xl271" w:customStyle="1">
    <w:name w:val="xl271"/>
    <w:basedOn w:val="Normal"/>
    <w:rsid w:val="000F08D9"/>
    <w:pPr>
      <w:spacing w:before="100" w:beforeAutospacing="1" w:after="100" w:afterAutospacing="1"/>
    </w:pPr>
    <w:rPr>
      <w:rFonts w:ascii="Verdana" w:hAnsi="Verdana" w:eastAsia="Times New Roman" w:cs="Times New Roman"/>
      <w:b/>
      <w:bCs/>
      <w:color w:val="000000"/>
      <w:sz w:val="20"/>
      <w:szCs w:val="20"/>
      <w:lang w:val="en-GB" w:eastAsia="en-GB"/>
    </w:rPr>
  </w:style>
  <w:style w:type="paragraph" w:styleId="xl272" w:customStyle="1">
    <w:name w:val="xl272"/>
    <w:basedOn w:val="Normal"/>
    <w:rsid w:val="000F08D9"/>
    <w:pPr>
      <w:spacing w:before="100" w:beforeAutospacing="1" w:after="100" w:afterAutospacing="1"/>
      <w:jc w:val="right"/>
      <w:textAlignment w:val="top"/>
    </w:pPr>
    <w:rPr>
      <w:rFonts w:ascii="Verdana" w:hAnsi="Verdana" w:eastAsia="Times New Roman" w:cs="Times New Roman"/>
      <w:b/>
      <w:bCs/>
      <w:sz w:val="20"/>
      <w:szCs w:val="20"/>
      <w:lang w:val="en-GB" w:eastAsia="en-GB"/>
    </w:rPr>
  </w:style>
  <w:style w:type="paragraph" w:styleId="xl273" w:customStyle="1">
    <w:name w:val="xl273"/>
    <w:basedOn w:val="Normal"/>
    <w:rsid w:val="000F08D9"/>
    <w:pPr>
      <w:shd w:val="clear" w:color="E2EFD9" w:fill="E2EFD9"/>
      <w:spacing w:before="100" w:beforeAutospacing="1" w:after="100" w:afterAutospacing="1"/>
    </w:pPr>
    <w:rPr>
      <w:rFonts w:ascii="Verdana" w:hAnsi="Verdana" w:eastAsia="Times New Roman" w:cs="Times New Roman"/>
      <w:b/>
      <w:bCs/>
      <w:color w:val="000000"/>
      <w:sz w:val="20"/>
      <w:szCs w:val="20"/>
      <w:lang w:val="en-GB" w:eastAsia="en-GB"/>
    </w:rPr>
  </w:style>
  <w:style w:type="paragraph" w:styleId="xl274" w:customStyle="1">
    <w:name w:val="xl274"/>
    <w:basedOn w:val="Normal"/>
    <w:rsid w:val="000F08D9"/>
    <w:pPr>
      <w:spacing w:before="100" w:beforeAutospacing="1" w:after="100" w:afterAutospacing="1"/>
    </w:pPr>
    <w:rPr>
      <w:rFonts w:ascii="Verdana" w:hAnsi="Verdana" w:eastAsia="Times New Roman" w:cs="Times New Roman"/>
      <w:b/>
      <w:bCs/>
      <w:color w:val="000000"/>
      <w:sz w:val="20"/>
      <w:szCs w:val="20"/>
      <w:lang w:val="en-GB" w:eastAsia="en-GB"/>
    </w:rPr>
  </w:style>
  <w:style w:type="paragraph" w:styleId="xl275" w:customStyle="1">
    <w:name w:val="xl275"/>
    <w:basedOn w:val="Normal"/>
    <w:rsid w:val="000F08D9"/>
    <w:pPr>
      <w:spacing w:before="100" w:beforeAutospacing="1" w:after="100" w:afterAutospacing="1"/>
    </w:pPr>
    <w:rPr>
      <w:rFonts w:ascii="Verdana" w:hAnsi="Verdana" w:eastAsia="Times New Roman" w:cs="Times New Roman"/>
      <w:b/>
      <w:bCs/>
      <w:color w:val="000000"/>
      <w:sz w:val="24"/>
      <w:lang w:val="en-GB" w:eastAsia="en-GB"/>
    </w:rPr>
  </w:style>
  <w:style w:type="paragraph" w:styleId="xl276" w:customStyle="1">
    <w:name w:val="xl276"/>
    <w:basedOn w:val="Normal"/>
    <w:rsid w:val="000F08D9"/>
    <w:pPr>
      <w:pBdr>
        <w:bottom w:val="single" w:color="000000" w:sz="8" w:space="0"/>
      </w:pBdr>
      <w:spacing w:before="100" w:beforeAutospacing="1" w:after="100" w:afterAutospacing="1"/>
      <w:jc w:val="center"/>
      <w:textAlignment w:val="center"/>
    </w:pPr>
    <w:rPr>
      <w:rFonts w:ascii="Verdana" w:hAnsi="Verdana" w:eastAsia="Times New Roman" w:cs="Times New Roman"/>
      <w:b/>
      <w:bCs/>
      <w:sz w:val="20"/>
      <w:szCs w:val="20"/>
      <w:lang w:val="en-GB" w:eastAsia="en-GB"/>
    </w:rPr>
  </w:style>
  <w:style w:type="paragraph" w:styleId="xl277" w:customStyle="1">
    <w:name w:val="xl277"/>
    <w:basedOn w:val="Normal"/>
    <w:rsid w:val="000F08D9"/>
    <w:pPr>
      <w:spacing w:before="100" w:beforeAutospacing="1" w:after="100" w:afterAutospacing="1"/>
      <w:jc w:val="center"/>
      <w:textAlignment w:val="center"/>
    </w:pPr>
    <w:rPr>
      <w:rFonts w:ascii="Verdana" w:hAnsi="Verdana" w:eastAsia="Times New Roman" w:cs="Times New Roman"/>
      <w:b/>
      <w:bCs/>
      <w:sz w:val="20"/>
      <w:szCs w:val="20"/>
      <w:lang w:val="en-GB" w:eastAsia="en-GB"/>
    </w:rPr>
  </w:style>
  <w:style w:type="paragraph" w:styleId="xl278" w:customStyle="1">
    <w:name w:val="xl278"/>
    <w:basedOn w:val="Normal"/>
    <w:rsid w:val="000F08D9"/>
    <w:pPr>
      <w:pBdr>
        <w:bottom w:val="single" w:color="000000" w:sz="4" w:space="0"/>
      </w:pBdr>
      <w:spacing w:before="100" w:beforeAutospacing="1" w:after="100" w:afterAutospacing="1"/>
      <w:jc w:val="center"/>
      <w:textAlignment w:val="center"/>
    </w:pPr>
    <w:rPr>
      <w:rFonts w:ascii="Verdana" w:hAnsi="Verdana" w:eastAsia="Times New Roman" w:cs="Times New Roman"/>
      <w:b/>
      <w:bCs/>
      <w:sz w:val="20"/>
      <w:szCs w:val="20"/>
      <w:lang w:val="en-GB" w:eastAsia="en-GB"/>
    </w:rPr>
  </w:style>
  <w:style w:type="paragraph" w:styleId="xl279" w:customStyle="1">
    <w:name w:val="xl279"/>
    <w:basedOn w:val="Normal"/>
    <w:rsid w:val="000F08D9"/>
    <w:pPr>
      <w:spacing w:before="100" w:beforeAutospacing="1" w:after="100" w:afterAutospacing="1"/>
      <w:jc w:val="center"/>
      <w:textAlignment w:val="center"/>
    </w:pPr>
    <w:rPr>
      <w:rFonts w:ascii="Verdana" w:hAnsi="Verdana" w:eastAsia="Times New Roman" w:cs="Times New Roman"/>
      <w:b/>
      <w:bCs/>
      <w:sz w:val="24"/>
      <w:lang w:val="en-GB" w:eastAsia="en-GB"/>
    </w:rPr>
  </w:style>
  <w:style w:type="paragraph" w:styleId="xl280" w:customStyle="1">
    <w:name w:val="xl280"/>
    <w:basedOn w:val="Normal"/>
    <w:rsid w:val="000F08D9"/>
    <w:pPr>
      <w:shd w:val="clear" w:color="D8D8D8" w:fill="D8D8D8"/>
      <w:spacing w:before="100" w:beforeAutospacing="1" w:after="100" w:afterAutospacing="1"/>
    </w:pPr>
    <w:rPr>
      <w:rFonts w:ascii="Verdana" w:hAnsi="Verdana" w:eastAsia="Times New Roman" w:cs="Times New Roman"/>
      <w:sz w:val="24"/>
      <w:lang w:val="en-GB" w:eastAsia="en-GB"/>
    </w:rPr>
  </w:style>
  <w:style w:type="paragraph" w:styleId="xl281" w:customStyle="1">
    <w:name w:val="xl281"/>
    <w:basedOn w:val="Normal"/>
    <w:rsid w:val="000F08D9"/>
    <w:pPr>
      <w:spacing w:before="100" w:beforeAutospacing="1" w:after="100" w:afterAutospacing="1"/>
      <w:jc w:val="right"/>
    </w:pPr>
    <w:rPr>
      <w:rFonts w:ascii="Verdana" w:hAnsi="Verdana" w:eastAsia="Times New Roman" w:cs="Times New Roman"/>
      <w:b/>
      <w:bCs/>
      <w:color w:val="000000"/>
      <w:sz w:val="20"/>
      <w:szCs w:val="20"/>
      <w:lang w:val="en-GB" w:eastAsia="en-GB"/>
    </w:rPr>
  </w:style>
  <w:style w:type="paragraph" w:styleId="xl282" w:customStyle="1">
    <w:name w:val="xl282"/>
    <w:basedOn w:val="Normal"/>
    <w:rsid w:val="000F08D9"/>
    <w:pPr>
      <w:pBdr>
        <w:top w:val="single" w:color="000000" w:sz="4" w:space="0"/>
      </w:pBdr>
      <w:shd w:val="clear" w:color="000000" w:fill="FFFF00"/>
      <w:spacing w:before="100" w:beforeAutospacing="1" w:after="100" w:afterAutospacing="1"/>
      <w:textAlignment w:val="top"/>
    </w:pPr>
    <w:rPr>
      <w:rFonts w:ascii="Verdana" w:hAnsi="Verdana" w:eastAsia="Times New Roman" w:cs="Times New Roman"/>
      <w:sz w:val="20"/>
      <w:szCs w:val="20"/>
      <w:lang w:val="en-GB" w:eastAsia="en-GB"/>
    </w:rPr>
  </w:style>
  <w:style w:type="paragraph" w:styleId="xl283" w:customStyle="1">
    <w:name w:val="xl283"/>
    <w:basedOn w:val="Normal"/>
    <w:rsid w:val="000F08D9"/>
    <w:pPr>
      <w:pBdr>
        <w:top w:val="single" w:color="000000" w:sz="4" w:space="0"/>
      </w:pBdr>
      <w:shd w:val="clear" w:color="E2EFD9" w:fill="FFFF00"/>
      <w:spacing w:before="100" w:beforeAutospacing="1" w:after="100" w:afterAutospacing="1"/>
      <w:jc w:val="right"/>
    </w:pPr>
    <w:rPr>
      <w:rFonts w:ascii="Verdana" w:hAnsi="Verdana" w:eastAsia="Times New Roman" w:cs="Times New Roman"/>
      <w:sz w:val="18"/>
      <w:szCs w:val="18"/>
      <w:lang w:val="en-GB" w:eastAsia="en-GB"/>
    </w:rPr>
  </w:style>
  <w:style w:type="paragraph" w:styleId="xl284" w:customStyle="1">
    <w:name w:val="xl284"/>
    <w:basedOn w:val="Normal"/>
    <w:rsid w:val="000F08D9"/>
    <w:pPr>
      <w:pBdr>
        <w:top w:val="single" w:color="000000" w:sz="4" w:space="0"/>
      </w:pBdr>
      <w:shd w:val="clear" w:color="000000" w:fill="FFFF00"/>
      <w:spacing w:before="100" w:beforeAutospacing="1" w:after="100" w:afterAutospacing="1"/>
      <w:jc w:val="right"/>
    </w:pPr>
    <w:rPr>
      <w:rFonts w:ascii="Verdana" w:hAnsi="Verdana" w:eastAsia="Times New Roman" w:cs="Times New Roman"/>
      <w:sz w:val="18"/>
      <w:szCs w:val="18"/>
      <w:lang w:val="en-GB" w:eastAsia="en-GB"/>
    </w:rPr>
  </w:style>
  <w:style w:type="paragraph" w:styleId="xl285" w:customStyle="1">
    <w:name w:val="xl285"/>
    <w:basedOn w:val="Normal"/>
    <w:rsid w:val="000F08D9"/>
    <w:pPr>
      <w:shd w:val="clear" w:color="000000" w:fill="FFFF00"/>
      <w:spacing w:before="100" w:beforeAutospacing="1" w:after="100" w:afterAutospacing="1"/>
      <w:textAlignment w:val="top"/>
    </w:pPr>
    <w:rPr>
      <w:rFonts w:ascii="Verdana" w:hAnsi="Verdana" w:eastAsia="Times New Roman" w:cs="Times New Roman"/>
      <w:sz w:val="20"/>
      <w:szCs w:val="20"/>
      <w:lang w:val="en-GB" w:eastAsia="en-GB"/>
    </w:rPr>
  </w:style>
  <w:style w:type="paragraph" w:styleId="xl286" w:customStyle="1">
    <w:name w:val="xl286"/>
    <w:basedOn w:val="Normal"/>
    <w:rsid w:val="000F08D9"/>
    <w:pPr>
      <w:shd w:val="clear" w:color="E2EFD9" w:fill="FFFF00"/>
      <w:spacing w:before="100" w:beforeAutospacing="1" w:after="100" w:afterAutospacing="1"/>
      <w:jc w:val="right"/>
    </w:pPr>
    <w:rPr>
      <w:rFonts w:ascii="Verdana" w:hAnsi="Verdana" w:eastAsia="Times New Roman" w:cs="Times New Roman"/>
      <w:sz w:val="18"/>
      <w:szCs w:val="18"/>
      <w:lang w:val="en-GB" w:eastAsia="en-GB"/>
    </w:rPr>
  </w:style>
  <w:style w:type="paragraph" w:styleId="xl287" w:customStyle="1">
    <w:name w:val="xl287"/>
    <w:basedOn w:val="Normal"/>
    <w:rsid w:val="000F08D9"/>
    <w:pPr>
      <w:shd w:val="clear" w:color="000000" w:fill="FFFF00"/>
      <w:spacing w:before="100" w:beforeAutospacing="1" w:after="100" w:afterAutospacing="1"/>
      <w:jc w:val="right"/>
    </w:pPr>
    <w:rPr>
      <w:rFonts w:ascii="Verdana" w:hAnsi="Verdana" w:eastAsia="Times New Roman" w:cs="Times New Roman"/>
      <w:sz w:val="18"/>
      <w:szCs w:val="18"/>
      <w:lang w:val="en-GB" w:eastAsia="en-GB"/>
    </w:rPr>
  </w:style>
  <w:style w:type="paragraph" w:styleId="xl288" w:customStyle="1">
    <w:name w:val="xl288"/>
    <w:basedOn w:val="Normal"/>
    <w:rsid w:val="000F08D9"/>
    <w:pPr>
      <w:pBdr>
        <w:bottom w:val="single" w:color="000000" w:sz="4" w:space="0"/>
      </w:pBdr>
      <w:shd w:val="clear" w:color="000000" w:fill="FFFF00"/>
      <w:spacing w:before="100" w:beforeAutospacing="1" w:after="100" w:afterAutospacing="1"/>
      <w:textAlignment w:val="top"/>
    </w:pPr>
    <w:rPr>
      <w:rFonts w:ascii="Verdana" w:hAnsi="Verdana" w:eastAsia="Times New Roman" w:cs="Times New Roman"/>
      <w:sz w:val="20"/>
      <w:szCs w:val="20"/>
      <w:lang w:val="en-GB" w:eastAsia="en-GB"/>
    </w:rPr>
  </w:style>
  <w:style w:type="paragraph" w:styleId="xl289" w:customStyle="1">
    <w:name w:val="xl289"/>
    <w:basedOn w:val="Normal"/>
    <w:rsid w:val="000F08D9"/>
    <w:pPr>
      <w:pBdr>
        <w:bottom w:val="single" w:color="000000" w:sz="4" w:space="0"/>
      </w:pBdr>
      <w:shd w:val="clear" w:color="E2EFD9" w:fill="FFFF00"/>
      <w:spacing w:before="100" w:beforeAutospacing="1" w:after="100" w:afterAutospacing="1"/>
      <w:jc w:val="right"/>
    </w:pPr>
    <w:rPr>
      <w:rFonts w:ascii="Verdana" w:hAnsi="Verdana" w:eastAsia="Times New Roman" w:cs="Times New Roman"/>
      <w:sz w:val="18"/>
      <w:szCs w:val="18"/>
      <w:lang w:val="en-GB" w:eastAsia="en-GB"/>
    </w:rPr>
  </w:style>
  <w:style w:type="paragraph" w:styleId="xl290" w:customStyle="1">
    <w:name w:val="xl290"/>
    <w:basedOn w:val="Normal"/>
    <w:rsid w:val="000F08D9"/>
    <w:pPr>
      <w:pBdr>
        <w:bottom w:val="single" w:color="000000" w:sz="4" w:space="0"/>
      </w:pBdr>
      <w:shd w:val="clear" w:color="000000" w:fill="FFFF00"/>
      <w:spacing w:before="100" w:beforeAutospacing="1" w:after="100" w:afterAutospacing="1"/>
      <w:jc w:val="right"/>
    </w:pPr>
    <w:rPr>
      <w:rFonts w:ascii="Verdana" w:hAnsi="Verdana" w:eastAsia="Times New Roman" w:cs="Times New Roman"/>
      <w:sz w:val="18"/>
      <w:szCs w:val="18"/>
      <w:lang w:val="en-GB" w:eastAsia="en-GB"/>
    </w:rPr>
  </w:style>
  <w:style w:type="paragraph" w:styleId="xl291" w:customStyle="1">
    <w:name w:val="xl291"/>
    <w:basedOn w:val="Normal"/>
    <w:rsid w:val="000F08D9"/>
    <w:pPr>
      <w:shd w:val="clear" w:color="E2EFD9" w:fill="FFFF00"/>
      <w:spacing w:before="100" w:beforeAutospacing="1" w:after="100" w:afterAutospacing="1"/>
      <w:jc w:val="right"/>
    </w:pPr>
    <w:rPr>
      <w:rFonts w:ascii="Verdana" w:hAnsi="Verdana" w:eastAsia="Times New Roman" w:cs="Times New Roman"/>
      <w:sz w:val="20"/>
      <w:szCs w:val="20"/>
      <w:lang w:val="en-GB" w:eastAsia="en-GB"/>
    </w:rPr>
  </w:style>
  <w:style w:type="paragraph" w:styleId="xl292" w:customStyle="1">
    <w:name w:val="xl292"/>
    <w:basedOn w:val="Normal"/>
    <w:rsid w:val="000F08D9"/>
    <w:pPr>
      <w:pBdr>
        <w:top w:val="single" w:color="000000" w:sz="4" w:space="0"/>
        <w:bottom w:val="double" w:color="000000" w:sz="6" w:space="0"/>
      </w:pBdr>
      <w:shd w:val="clear" w:color="000000" w:fill="FFFF00"/>
      <w:spacing w:before="100" w:beforeAutospacing="1" w:after="100" w:afterAutospacing="1"/>
      <w:jc w:val="right"/>
    </w:pPr>
    <w:rPr>
      <w:rFonts w:ascii="Verdana" w:hAnsi="Verdana" w:eastAsia="Times New Roman" w:cs="Times New Roman"/>
      <w:sz w:val="20"/>
      <w:szCs w:val="20"/>
      <w:lang w:val="en-GB" w:eastAsia="en-GB"/>
    </w:rPr>
  </w:style>
  <w:style w:type="paragraph" w:styleId="xl293" w:customStyle="1">
    <w:name w:val="xl293"/>
    <w:basedOn w:val="Normal"/>
    <w:rsid w:val="000F08D9"/>
    <w:pPr>
      <w:pBdr>
        <w:top w:val="single" w:color="000000" w:sz="4" w:space="0"/>
        <w:bottom w:val="double" w:color="000000" w:sz="6" w:space="0"/>
      </w:pBdr>
      <w:shd w:val="clear" w:color="E2EFD9" w:fill="FFFF00"/>
      <w:spacing w:before="100" w:beforeAutospacing="1" w:after="100" w:afterAutospacing="1"/>
      <w:jc w:val="right"/>
    </w:pPr>
    <w:rPr>
      <w:rFonts w:ascii="Verdana" w:hAnsi="Verdana" w:eastAsia="Times New Roman" w:cs="Times New Roman"/>
      <w:sz w:val="20"/>
      <w:szCs w:val="20"/>
      <w:lang w:val="en-GB" w:eastAsia="en-GB"/>
    </w:rPr>
  </w:style>
  <w:style w:type="paragraph" w:styleId="xl294" w:customStyle="1">
    <w:name w:val="xl294"/>
    <w:basedOn w:val="Normal"/>
    <w:rsid w:val="000F08D9"/>
    <w:pPr>
      <w:spacing w:before="100" w:beforeAutospacing="1" w:after="100" w:afterAutospacing="1"/>
      <w:textAlignment w:val="center"/>
    </w:pPr>
    <w:rPr>
      <w:rFonts w:ascii="Verdana" w:hAnsi="Verdana" w:eastAsia="Times New Roman" w:cs="Times New Roman"/>
      <w:sz w:val="20"/>
      <w:szCs w:val="20"/>
      <w:lang w:val="en-GB" w:eastAsia="en-GB"/>
    </w:rPr>
  </w:style>
  <w:style w:type="paragraph" w:styleId="xl295" w:customStyle="1">
    <w:name w:val="xl295"/>
    <w:basedOn w:val="Normal"/>
    <w:rsid w:val="000F08D9"/>
    <w:pPr>
      <w:pBdr>
        <w:bottom w:val="single" w:color="000000" w:sz="4" w:space="0"/>
      </w:pBdr>
      <w:spacing w:before="100" w:beforeAutospacing="1" w:after="100" w:afterAutospacing="1"/>
    </w:pPr>
    <w:rPr>
      <w:rFonts w:ascii="Arial" w:hAnsi="Arial" w:eastAsia="Times New Roman" w:cs="Arial"/>
      <w:sz w:val="24"/>
      <w:lang w:val="en-GB" w:eastAsia="en-GB"/>
    </w:rPr>
  </w:style>
  <w:style w:type="paragraph" w:styleId="xl296" w:customStyle="1">
    <w:name w:val="xl296"/>
    <w:basedOn w:val="Normal"/>
    <w:rsid w:val="000F08D9"/>
    <w:pPr>
      <w:spacing w:before="100" w:beforeAutospacing="1" w:after="100" w:afterAutospacing="1"/>
    </w:pPr>
    <w:rPr>
      <w:rFonts w:ascii="Arial" w:hAnsi="Arial" w:eastAsia="Times New Roman" w:cs="Arial"/>
      <w:sz w:val="24"/>
      <w:lang w:val="en-GB" w:eastAsia="en-GB"/>
    </w:rPr>
  </w:style>
  <w:style w:type="paragraph" w:styleId="xl297" w:customStyle="1">
    <w:name w:val="xl297"/>
    <w:basedOn w:val="Normal"/>
    <w:rsid w:val="000F08D9"/>
    <w:pPr>
      <w:spacing w:before="100" w:beforeAutospacing="1" w:after="100" w:afterAutospacing="1"/>
    </w:pPr>
    <w:rPr>
      <w:rFonts w:ascii="Arial" w:hAnsi="Arial" w:eastAsia="Times New Roman" w:cs="Arial"/>
      <w:sz w:val="24"/>
      <w:lang w:val="en-GB" w:eastAsia="en-GB"/>
    </w:rPr>
  </w:style>
  <w:style w:type="paragraph" w:styleId="xl298" w:customStyle="1">
    <w:name w:val="xl298"/>
    <w:basedOn w:val="Normal"/>
    <w:rsid w:val="000F08D9"/>
    <w:pPr>
      <w:shd w:val="clear" w:color="E2EFD9" w:fill="E2EFD9"/>
      <w:spacing w:before="100" w:beforeAutospacing="1" w:after="100" w:afterAutospacing="1"/>
      <w:textAlignment w:val="top"/>
    </w:pPr>
    <w:rPr>
      <w:rFonts w:ascii="Verdana" w:hAnsi="Verdana" w:eastAsia="Times New Roman" w:cs="Times New Roman"/>
      <w:sz w:val="24"/>
      <w:lang w:val="en-GB" w:eastAsia="en-GB"/>
    </w:rPr>
  </w:style>
  <w:style w:type="paragraph" w:styleId="xl299" w:customStyle="1">
    <w:name w:val="xl299"/>
    <w:basedOn w:val="Normal"/>
    <w:rsid w:val="000F08D9"/>
    <w:pPr>
      <w:spacing w:before="100" w:beforeAutospacing="1" w:after="100" w:afterAutospacing="1"/>
    </w:pPr>
    <w:rPr>
      <w:rFonts w:ascii="Arial" w:hAnsi="Arial" w:eastAsia="Times New Roman" w:cs="Arial"/>
      <w:sz w:val="24"/>
      <w:lang w:val="en-GB" w:eastAsia="en-GB"/>
    </w:rPr>
  </w:style>
  <w:style w:type="paragraph" w:styleId="xl300" w:customStyle="1">
    <w:name w:val="xl300"/>
    <w:basedOn w:val="Normal"/>
    <w:rsid w:val="000F08D9"/>
    <w:pPr>
      <w:spacing w:before="100" w:beforeAutospacing="1" w:after="100" w:afterAutospacing="1"/>
    </w:pPr>
    <w:rPr>
      <w:rFonts w:ascii="Arial" w:hAnsi="Arial" w:eastAsia="Times New Roman" w:cs="Arial"/>
      <w:sz w:val="24"/>
      <w:lang w:val="en-GB" w:eastAsia="en-GB"/>
    </w:rPr>
  </w:style>
  <w:style w:type="paragraph" w:styleId="xl301" w:customStyle="1">
    <w:name w:val="xl301"/>
    <w:basedOn w:val="Normal"/>
    <w:rsid w:val="000F08D9"/>
    <w:pPr>
      <w:spacing w:before="100" w:beforeAutospacing="1" w:after="100" w:afterAutospacing="1"/>
    </w:pPr>
    <w:rPr>
      <w:rFonts w:ascii="Arial" w:hAnsi="Arial" w:eastAsia="Times New Roman" w:cs="Arial"/>
      <w:sz w:val="24"/>
      <w:lang w:val="en-GB" w:eastAsia="en-GB"/>
    </w:rPr>
  </w:style>
  <w:style w:type="paragraph" w:styleId="xl302" w:customStyle="1">
    <w:name w:val="xl302"/>
    <w:basedOn w:val="Normal"/>
    <w:rsid w:val="000F08D9"/>
    <w:pPr>
      <w:spacing w:before="100" w:beforeAutospacing="1" w:after="100" w:afterAutospacing="1"/>
    </w:pPr>
    <w:rPr>
      <w:rFonts w:ascii="Arial" w:hAnsi="Arial" w:eastAsia="Times New Roman" w:cs="Arial"/>
      <w:sz w:val="24"/>
      <w:lang w:val="en-GB" w:eastAsia="en-GB"/>
    </w:rPr>
  </w:style>
  <w:style w:type="paragraph" w:styleId="xl303" w:customStyle="1">
    <w:name w:val="xl303"/>
    <w:basedOn w:val="Normal"/>
    <w:rsid w:val="000F08D9"/>
    <w:pPr>
      <w:spacing w:before="100" w:beforeAutospacing="1" w:after="100" w:afterAutospacing="1"/>
    </w:pPr>
    <w:rPr>
      <w:rFonts w:ascii="Arial" w:hAnsi="Arial" w:eastAsia="Times New Roman" w:cs="Arial"/>
      <w:sz w:val="24"/>
      <w:lang w:val="en-GB" w:eastAsia="en-GB"/>
    </w:rPr>
  </w:style>
  <w:style w:type="paragraph" w:styleId="xl304" w:customStyle="1">
    <w:name w:val="xl304"/>
    <w:basedOn w:val="Normal"/>
    <w:rsid w:val="000F08D9"/>
    <w:pPr>
      <w:spacing w:before="100" w:beforeAutospacing="1" w:after="100" w:afterAutospacing="1"/>
    </w:pPr>
    <w:rPr>
      <w:rFonts w:ascii="Arial" w:hAnsi="Arial" w:eastAsia="Times New Roman" w:cs="Arial"/>
      <w:sz w:val="24"/>
      <w:lang w:val="en-GB" w:eastAsia="en-GB"/>
    </w:rPr>
  </w:style>
  <w:style w:type="paragraph" w:styleId="xl305" w:customStyle="1">
    <w:name w:val="xl305"/>
    <w:basedOn w:val="Normal"/>
    <w:rsid w:val="000F08D9"/>
    <w:pPr>
      <w:spacing w:before="100" w:beforeAutospacing="1" w:after="100" w:afterAutospacing="1"/>
    </w:pPr>
    <w:rPr>
      <w:rFonts w:ascii="Arial" w:hAnsi="Arial" w:eastAsia="Times New Roman" w:cs="Arial"/>
      <w:sz w:val="24"/>
      <w:lang w:val="en-GB" w:eastAsia="en-GB"/>
    </w:rPr>
  </w:style>
  <w:style w:type="paragraph" w:styleId="xl306" w:customStyle="1">
    <w:name w:val="xl306"/>
    <w:basedOn w:val="Normal"/>
    <w:rsid w:val="000F08D9"/>
    <w:pPr>
      <w:pBdr>
        <w:bottom w:val="single" w:color="000000" w:sz="4" w:space="0"/>
      </w:pBdr>
      <w:spacing w:before="100" w:beforeAutospacing="1" w:after="100" w:afterAutospacing="1"/>
      <w:textAlignment w:val="center"/>
    </w:pPr>
    <w:rPr>
      <w:rFonts w:ascii="Verdana" w:hAnsi="Verdana" w:eastAsia="Times New Roman" w:cs="Times New Roman"/>
      <w:sz w:val="20"/>
      <w:szCs w:val="20"/>
      <w:lang w:val="en-GB" w:eastAsia="en-GB"/>
    </w:rPr>
  </w:style>
  <w:style w:type="paragraph" w:styleId="xl307" w:customStyle="1">
    <w:name w:val="xl307"/>
    <w:basedOn w:val="Normal"/>
    <w:rsid w:val="000F08D9"/>
    <w:pPr>
      <w:spacing w:before="100" w:beforeAutospacing="1" w:after="100" w:afterAutospacing="1"/>
      <w:textAlignment w:val="center"/>
    </w:pPr>
    <w:rPr>
      <w:rFonts w:ascii="Verdana" w:hAnsi="Verdana" w:eastAsia="Times New Roman" w:cs="Times New Roman"/>
      <w:sz w:val="24"/>
      <w:lang w:val="en-GB" w:eastAsia="en-GB"/>
    </w:rPr>
  </w:style>
  <w:style w:type="paragraph" w:styleId="xl308" w:customStyle="1">
    <w:name w:val="xl308"/>
    <w:basedOn w:val="Normal"/>
    <w:rsid w:val="000F08D9"/>
    <w:pPr>
      <w:shd w:val="clear" w:color="E2EFD9" w:fill="E2EFD9"/>
      <w:spacing w:before="100" w:beforeAutospacing="1" w:after="100" w:afterAutospacing="1"/>
      <w:textAlignment w:val="center"/>
    </w:pPr>
    <w:rPr>
      <w:rFonts w:ascii="Verdana" w:hAnsi="Verdana" w:eastAsia="Times New Roman" w:cs="Times New Roman"/>
      <w:sz w:val="24"/>
      <w:lang w:val="en-GB" w:eastAsia="en-GB"/>
    </w:rPr>
  </w:style>
  <w:style w:type="paragraph" w:styleId="xl309" w:customStyle="1">
    <w:name w:val="xl309"/>
    <w:basedOn w:val="Normal"/>
    <w:rsid w:val="000F08D9"/>
    <w:pPr>
      <w:shd w:val="clear" w:color="E2EFD9" w:fill="E2EFD9"/>
      <w:spacing w:before="100" w:beforeAutospacing="1" w:after="100" w:afterAutospacing="1"/>
    </w:pPr>
    <w:rPr>
      <w:rFonts w:ascii="Verdana" w:hAnsi="Verdana" w:eastAsia="Times New Roman" w:cs="Times New Roman"/>
      <w:sz w:val="24"/>
      <w:lang w:val="en-GB" w:eastAsia="en-GB"/>
    </w:rPr>
  </w:style>
  <w:style w:type="paragraph" w:styleId="xl310" w:customStyle="1">
    <w:name w:val="xl310"/>
    <w:basedOn w:val="Normal"/>
    <w:rsid w:val="000F08D9"/>
    <w:pPr>
      <w:shd w:val="clear" w:color="E2EFD9" w:fill="E2EFD9"/>
      <w:spacing w:before="100" w:beforeAutospacing="1" w:after="100" w:afterAutospacing="1"/>
      <w:textAlignment w:val="top"/>
    </w:pPr>
    <w:rPr>
      <w:rFonts w:ascii="Verdana" w:hAnsi="Verdana" w:eastAsia="Times New Roman" w:cs="Times New Roman"/>
      <w:sz w:val="24"/>
      <w:lang w:val="en-GB" w:eastAsia="en-GB"/>
    </w:rPr>
  </w:style>
  <w:style w:type="paragraph" w:styleId="xl311" w:customStyle="1">
    <w:name w:val="xl311"/>
    <w:basedOn w:val="Normal"/>
    <w:rsid w:val="000F08D9"/>
    <w:pPr>
      <w:spacing w:before="100" w:beforeAutospacing="1" w:after="100" w:afterAutospacing="1"/>
      <w:textAlignment w:val="center"/>
    </w:pPr>
    <w:rPr>
      <w:rFonts w:ascii="Verdana" w:hAnsi="Verdana" w:eastAsia="Times New Roman" w:cs="Times New Roman"/>
      <w:color w:val="000000"/>
      <w:sz w:val="24"/>
      <w:lang w:val="en-GB" w:eastAsia="en-GB"/>
    </w:rPr>
  </w:style>
  <w:style w:type="paragraph" w:styleId="xl312" w:customStyle="1">
    <w:name w:val="xl312"/>
    <w:basedOn w:val="Normal"/>
    <w:rsid w:val="000F08D9"/>
    <w:pPr>
      <w:spacing w:before="100" w:beforeAutospacing="1" w:after="100" w:afterAutospacing="1"/>
      <w:textAlignment w:val="center"/>
    </w:pPr>
    <w:rPr>
      <w:rFonts w:ascii="Verdana" w:hAnsi="Verdana" w:eastAsia="Times New Roman" w:cs="Times New Roman"/>
      <w:sz w:val="24"/>
      <w:lang w:val="en-GB" w:eastAsia="en-GB"/>
    </w:rPr>
  </w:style>
  <w:style w:type="paragraph" w:styleId="xl313" w:customStyle="1">
    <w:name w:val="xl313"/>
    <w:basedOn w:val="Normal"/>
    <w:rsid w:val="000F08D9"/>
    <w:pPr>
      <w:shd w:val="clear" w:color="E2EFD9" w:fill="E2EFD9"/>
      <w:spacing w:before="100" w:beforeAutospacing="1" w:after="100" w:afterAutospacing="1"/>
      <w:textAlignment w:val="center"/>
    </w:pPr>
    <w:rPr>
      <w:rFonts w:ascii="Verdana" w:hAnsi="Verdana" w:eastAsia="Times New Roman" w:cs="Times New Roman"/>
      <w:sz w:val="24"/>
      <w:lang w:val="en-GB" w:eastAsia="en-GB"/>
    </w:rPr>
  </w:style>
  <w:style w:type="paragraph" w:styleId="xl314" w:customStyle="1">
    <w:name w:val="xl314"/>
    <w:basedOn w:val="Normal"/>
    <w:rsid w:val="000F08D9"/>
    <w:pPr>
      <w:shd w:val="clear" w:color="D8D8D8" w:fill="D8D8D8"/>
      <w:spacing w:before="100" w:beforeAutospacing="1" w:after="100" w:afterAutospacing="1"/>
    </w:pPr>
    <w:rPr>
      <w:rFonts w:ascii="Verdana" w:hAnsi="Verdana" w:eastAsia="Times New Roman" w:cs="Times New Roman"/>
      <w:sz w:val="24"/>
      <w:lang w:val="en-GB" w:eastAsia="en-GB"/>
    </w:rPr>
  </w:style>
  <w:style w:type="paragraph" w:styleId="xl315" w:customStyle="1">
    <w:name w:val="xl315"/>
    <w:basedOn w:val="Normal"/>
    <w:rsid w:val="000F08D9"/>
    <w:pPr>
      <w:spacing w:before="100" w:beforeAutospacing="1" w:after="100" w:afterAutospacing="1"/>
      <w:textAlignment w:val="top"/>
    </w:pPr>
    <w:rPr>
      <w:rFonts w:ascii="Verdana" w:hAnsi="Verdana" w:eastAsia="Times New Roman" w:cs="Times New Roman"/>
      <w:b/>
      <w:bCs/>
      <w:color w:val="000000"/>
      <w:sz w:val="20"/>
      <w:szCs w:val="20"/>
      <w:lang w:val="en-GB" w:eastAsia="en-GB"/>
    </w:rPr>
  </w:style>
  <w:style w:type="paragraph" w:styleId="xl317" w:customStyle="1">
    <w:name w:val="xl317"/>
    <w:basedOn w:val="Normal"/>
    <w:rsid w:val="000F08D9"/>
    <w:pPr>
      <w:spacing w:before="100" w:beforeAutospacing="1" w:after="100" w:afterAutospacing="1"/>
    </w:pPr>
    <w:rPr>
      <w:rFonts w:ascii="Verdana" w:hAnsi="Verdana" w:eastAsia="Times New Roman" w:cs="Times New Roman"/>
      <w:i/>
      <w:iCs/>
      <w:sz w:val="20"/>
      <w:szCs w:val="20"/>
      <w:lang w:val="en-GB" w:eastAsia="en-GB"/>
    </w:rPr>
  </w:style>
  <w:style w:type="paragraph" w:styleId="xl318" w:customStyle="1">
    <w:name w:val="xl318"/>
    <w:basedOn w:val="Normal"/>
    <w:rsid w:val="000F08D9"/>
    <w:pPr>
      <w:shd w:val="clear" w:color="E2EFD9" w:fill="E2EFD9"/>
      <w:spacing w:before="100" w:beforeAutospacing="1" w:after="100" w:afterAutospacing="1"/>
      <w:textAlignment w:val="top"/>
    </w:pPr>
    <w:rPr>
      <w:rFonts w:ascii="Verdana" w:hAnsi="Verdana" w:eastAsia="Times New Roman" w:cs="Times New Roman"/>
      <w:sz w:val="24"/>
      <w:lang w:val="en-GB" w:eastAsia="en-GB"/>
    </w:rPr>
  </w:style>
  <w:style w:type="paragraph" w:styleId="xl319" w:customStyle="1">
    <w:name w:val="xl319"/>
    <w:basedOn w:val="Normal"/>
    <w:rsid w:val="000F08D9"/>
    <w:pPr>
      <w:shd w:val="clear" w:color="E2EFD9" w:fill="E2EFD9"/>
      <w:spacing w:before="100" w:beforeAutospacing="1" w:after="100" w:afterAutospacing="1"/>
    </w:pPr>
    <w:rPr>
      <w:rFonts w:ascii="Verdana" w:hAnsi="Verdana" w:eastAsia="Times New Roman" w:cs="Times New Roman"/>
      <w:sz w:val="24"/>
      <w:lang w:val="en-GB" w:eastAsia="en-GB"/>
    </w:rPr>
  </w:style>
  <w:style w:type="paragraph" w:styleId="xl320" w:customStyle="1">
    <w:name w:val="xl320"/>
    <w:basedOn w:val="Normal"/>
    <w:rsid w:val="000F08D9"/>
    <w:pPr>
      <w:shd w:val="clear" w:color="E2EFD9" w:fill="E2EFD9"/>
      <w:spacing w:before="100" w:beforeAutospacing="1" w:after="100" w:afterAutospacing="1"/>
      <w:jc w:val="center"/>
      <w:textAlignment w:val="top"/>
    </w:pPr>
    <w:rPr>
      <w:rFonts w:ascii="Verdana" w:hAnsi="Verdana" w:eastAsia="Times New Roman" w:cs="Times New Roman"/>
      <w:sz w:val="24"/>
      <w:lang w:val="en-GB" w:eastAsia="en-GB"/>
    </w:rPr>
  </w:style>
  <w:style w:type="paragraph" w:styleId="xl321" w:customStyle="1">
    <w:name w:val="xl321"/>
    <w:basedOn w:val="Normal"/>
    <w:rsid w:val="000F08D9"/>
    <w:pPr>
      <w:shd w:val="clear" w:color="E2EFD9" w:fill="E2EFD9"/>
      <w:spacing w:before="100" w:beforeAutospacing="1" w:after="100" w:afterAutospacing="1"/>
      <w:textAlignment w:val="center"/>
    </w:pPr>
    <w:rPr>
      <w:rFonts w:ascii="Verdana" w:hAnsi="Verdana" w:eastAsia="Times New Roman" w:cs="Times New Roman"/>
      <w:sz w:val="24"/>
      <w:lang w:val="en-GB" w:eastAsia="en-GB"/>
    </w:rPr>
  </w:style>
  <w:style w:type="paragraph" w:styleId="xl322" w:customStyle="1">
    <w:name w:val="xl322"/>
    <w:basedOn w:val="Normal"/>
    <w:rsid w:val="000F08D9"/>
    <w:pPr>
      <w:shd w:val="clear" w:color="E2EFD9" w:fill="E2EFD9"/>
      <w:spacing w:before="100" w:beforeAutospacing="1" w:after="100" w:afterAutospacing="1"/>
    </w:pPr>
    <w:rPr>
      <w:rFonts w:ascii="Verdana" w:hAnsi="Verdana" w:eastAsia="Times New Roman" w:cs="Times New Roman"/>
      <w:sz w:val="24"/>
      <w:lang w:val="en-GB" w:eastAsia="en-GB"/>
    </w:rPr>
  </w:style>
  <w:style w:type="paragraph" w:styleId="font6" w:customStyle="1">
    <w:name w:val="font6"/>
    <w:basedOn w:val="Normal"/>
    <w:rsid w:val="000F08D9"/>
    <w:pPr>
      <w:spacing w:before="100" w:beforeAutospacing="1" w:after="100" w:afterAutospacing="1"/>
    </w:pPr>
    <w:rPr>
      <w:rFonts w:ascii="Verdana" w:hAnsi="Verdana" w:eastAsia="Times New Roman" w:cs="Times New Roman"/>
      <w:color w:val="000000"/>
      <w:szCs w:val="22"/>
      <w:lang w:val="en-GB" w:eastAsia="en-GB"/>
    </w:rPr>
  </w:style>
  <w:style w:type="paragraph" w:styleId="font7" w:customStyle="1">
    <w:name w:val="font7"/>
    <w:basedOn w:val="Normal"/>
    <w:rsid w:val="000F08D9"/>
    <w:pPr>
      <w:spacing w:before="100" w:beforeAutospacing="1" w:after="100" w:afterAutospacing="1"/>
    </w:pPr>
    <w:rPr>
      <w:rFonts w:ascii="Verdana" w:hAnsi="Verdana" w:eastAsia="Times New Roman" w:cs="Times New Roman"/>
      <w:szCs w:val="22"/>
      <w:lang w:val="en-GB" w:eastAsia="en-GB"/>
    </w:rPr>
  </w:style>
  <w:style w:type="paragraph" w:styleId="font8" w:customStyle="1">
    <w:name w:val="font8"/>
    <w:basedOn w:val="Normal"/>
    <w:rsid w:val="000F08D9"/>
    <w:pPr>
      <w:spacing w:before="100" w:beforeAutospacing="1" w:after="100" w:afterAutospacing="1"/>
    </w:pPr>
    <w:rPr>
      <w:rFonts w:ascii="Georgia" w:hAnsi="Georgia" w:eastAsia="Times New Roman" w:cs="Times New Roman"/>
      <w:szCs w:val="22"/>
      <w:lang w:val="en-GB" w:eastAsia="en-GB"/>
    </w:rPr>
  </w:style>
  <w:style w:type="paragraph" w:styleId="font9" w:customStyle="1">
    <w:name w:val="font9"/>
    <w:basedOn w:val="Normal"/>
    <w:rsid w:val="000F08D9"/>
    <w:pPr>
      <w:spacing w:before="100" w:beforeAutospacing="1" w:after="100" w:afterAutospacing="1"/>
    </w:pPr>
    <w:rPr>
      <w:rFonts w:ascii="Georgia" w:hAnsi="Georgia" w:eastAsia="Times New Roman" w:cs="Times New Roman"/>
      <w:color w:val="000000"/>
      <w:szCs w:val="22"/>
      <w:lang w:val="en-GB" w:eastAsia="en-GB"/>
    </w:rPr>
  </w:style>
  <w:style w:type="numbering" w:styleId="NoList5" w:customStyle="1">
    <w:name w:val="No List5"/>
    <w:next w:val="NoList"/>
    <w:uiPriority w:val="99"/>
    <w:semiHidden/>
    <w:unhideWhenUsed/>
    <w:rsid w:val="00E25C97"/>
  </w:style>
  <w:style w:type="numbering" w:styleId="NoList15" w:customStyle="1">
    <w:name w:val="No List15"/>
    <w:next w:val="NoList"/>
    <w:uiPriority w:val="99"/>
    <w:semiHidden/>
    <w:unhideWhenUsed/>
    <w:rsid w:val="00E25C97"/>
  </w:style>
  <w:style w:type="numbering" w:styleId="NoList113" w:customStyle="1">
    <w:name w:val="No List113"/>
    <w:next w:val="NoList"/>
    <w:uiPriority w:val="99"/>
    <w:semiHidden/>
    <w:rsid w:val="00E25C97"/>
  </w:style>
  <w:style w:type="table" w:styleId="TableGrid7" w:customStyle="1">
    <w:name w:val="Table Grid7"/>
    <w:basedOn w:val="TableNormal"/>
    <w:next w:val="TableGrid"/>
    <w:uiPriority w:val="39"/>
    <w:rsid w:val="00E25C97"/>
    <w:rPr>
      <w:rFonts w:ascii="Arial" w:hAnsi="Arial" w:eastAsia="Calibri" w:cs="Times New Roman"/>
      <w:sz w:val="20"/>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4" w:customStyle="1">
    <w:name w:val="Table Grid144"/>
    <w:basedOn w:val="TableNormal"/>
    <w:next w:val="TableGrid"/>
    <w:uiPriority w:val="59"/>
    <w:rsid w:val="00E25C97"/>
    <w:rPr>
      <w:rFonts w:ascii="Calibri" w:hAnsi="Calibri" w:eastAsia="Times New Roman" w:cs="Times New Roman"/>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112" w:customStyle="1">
    <w:name w:val="No List1112"/>
    <w:next w:val="NoList"/>
    <w:uiPriority w:val="99"/>
    <w:semiHidden/>
    <w:rsid w:val="00E25C97"/>
  </w:style>
  <w:style w:type="numbering" w:styleId="NoList21" w:customStyle="1">
    <w:name w:val="No List21"/>
    <w:next w:val="NoList"/>
    <w:uiPriority w:val="99"/>
    <w:semiHidden/>
    <w:unhideWhenUsed/>
    <w:rsid w:val="00E25C97"/>
  </w:style>
  <w:style w:type="numbering" w:styleId="NoList121" w:customStyle="1">
    <w:name w:val="No List121"/>
    <w:next w:val="NoList"/>
    <w:uiPriority w:val="99"/>
    <w:semiHidden/>
    <w:unhideWhenUsed/>
    <w:rsid w:val="00E25C97"/>
  </w:style>
  <w:style w:type="numbering" w:styleId="NoList1121" w:customStyle="1">
    <w:name w:val="No List1121"/>
    <w:next w:val="NoList"/>
    <w:uiPriority w:val="99"/>
    <w:semiHidden/>
    <w:unhideWhenUsed/>
    <w:rsid w:val="00E25C97"/>
  </w:style>
  <w:style w:type="numbering" w:styleId="NoList11112" w:customStyle="1">
    <w:name w:val="No List11112"/>
    <w:next w:val="NoList"/>
    <w:semiHidden/>
    <w:rsid w:val="00E25C97"/>
  </w:style>
  <w:style w:type="numbering" w:styleId="NoList111112" w:customStyle="1">
    <w:name w:val="No List111112"/>
    <w:next w:val="NoList"/>
    <w:uiPriority w:val="99"/>
    <w:semiHidden/>
    <w:rsid w:val="00E25C97"/>
  </w:style>
  <w:style w:type="numbering" w:styleId="NoList1111111" w:customStyle="1">
    <w:name w:val="No List1111111"/>
    <w:next w:val="NoList"/>
    <w:semiHidden/>
    <w:rsid w:val="00E25C97"/>
  </w:style>
  <w:style w:type="table" w:styleId="TableGrid24" w:customStyle="1">
    <w:name w:val="Table Grid24"/>
    <w:basedOn w:val="TableNormal"/>
    <w:next w:val="TableGrid"/>
    <w:uiPriority w:val="59"/>
    <w:rsid w:val="00E25C97"/>
    <w:pPr>
      <w:adjustRightInd w:val="0"/>
    </w:pPr>
    <w:rPr>
      <w:rFonts w:eastAsia="Calibri" w:cs="Times New Roman"/>
      <w:sz w:val="20"/>
      <w:szCs w:val="20"/>
      <w:lang w:val="en-GB" w:eastAsia="en-GB"/>
    </w:rPr>
    <w:tblPr>
      <w:tblBorders>
        <w:top w:val="single" w:color="auto" w:sz="4" w:space="0"/>
        <w:left w:val="single" w:color="auto" w:sz="4" w:space="0"/>
        <w:bottom w:val="single" w:color="auto" w:sz="4" w:space="0"/>
        <w:right w:val="single" w:color="auto" w:sz="4" w:space="0"/>
      </w:tblBorders>
      <w:tblCellMar>
        <w:top w:w="3" w:type="dxa"/>
        <w:bottom w:w="3" w:type="dxa"/>
      </w:tblCellMar>
    </w:tblPr>
  </w:style>
  <w:style w:type="table" w:styleId="TableGrid31" w:customStyle="1">
    <w:name w:val="Table Grid31"/>
    <w:basedOn w:val="TableNormal"/>
    <w:next w:val="TableGrid"/>
    <w:uiPriority w:val="39"/>
    <w:rsid w:val="00E25C97"/>
    <w:rPr>
      <w:rFonts w:eastAsia="Microsoft JhengHei" w:cs="Times New Roman"/>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6" w:customStyle="1">
    <w:name w:val="Table Grid1116"/>
    <w:basedOn w:val="TableNormal"/>
    <w:next w:val="TableGrid"/>
    <w:uiPriority w:val="59"/>
    <w:rsid w:val="00E25C97"/>
    <w:rPr>
      <w:rFonts w:eastAsia="Calibri" w:cs="Times New Roman"/>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24" w:customStyle="1">
    <w:name w:val="Table Grid224"/>
    <w:basedOn w:val="TableNormal"/>
    <w:next w:val="TableGrid"/>
    <w:rsid w:val="00E25C97"/>
    <w:pPr>
      <w:spacing w:after="120" w:line="264" w:lineRule="auto"/>
    </w:pPr>
    <w:rPr>
      <w:rFonts w:ascii="Arial" w:hAnsi="Arial" w:eastAsia="Times New Roman" w:cs="Arial"/>
      <w:sz w:val="20"/>
      <w:szCs w:val="20"/>
      <w:lang w:val="en-GB" w:eastAsia="zh-TW"/>
    </w:rPr>
    <w:tblPr>
      <w:tblInd w:w="57" w:type="dxa"/>
      <w:tblBorders>
        <w:top w:val="single" w:color="auto" w:sz="4" w:space="0"/>
        <w:bottom w:val="single" w:color="auto" w:sz="8" w:space="0"/>
        <w:insideH w:val="single" w:color="AAA19A" w:sz="4" w:space="0"/>
      </w:tblBorders>
      <w:tblCellMar>
        <w:left w:w="0" w:type="dxa"/>
        <w:right w:w="0" w:type="dxa"/>
      </w:tblCellMar>
    </w:tblPr>
    <w:tblStylePr w:type="firstRow">
      <w:tblPr/>
      <w:trPr>
        <w:tblHeader/>
      </w:trPr>
    </w:tblStylePr>
  </w:style>
  <w:style w:type="table" w:styleId="TableGrid1222" w:customStyle="1">
    <w:name w:val="Table Grid1222"/>
    <w:basedOn w:val="TableNormal"/>
    <w:next w:val="TableGrid"/>
    <w:uiPriority w:val="59"/>
    <w:rsid w:val="00E25C97"/>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33" w:customStyle="1">
    <w:name w:val="Plain Table 33"/>
    <w:basedOn w:val="TableNormal"/>
    <w:next w:val="PlainTable3"/>
    <w:uiPriority w:val="43"/>
    <w:rsid w:val="00E25C97"/>
    <w:rPr>
      <w:rFonts w:ascii="Calibri" w:hAnsi="Calibri" w:eastAsia="Calibri" w:cs="Arial"/>
      <w:sz w:val="22"/>
      <w:szCs w:val="22"/>
      <w:lang w:val="en-GB" w:eastAsia="en-GB"/>
    </w:rPr>
    <w:tblPr>
      <w:tblStyleRowBandSize w:val="1"/>
      <w:tblStyleColBandSize w:val="1"/>
    </w:tblPr>
    <w:tblStylePr w:type="firstRow">
      <w:rPr>
        <w:b/>
        <w:bCs/>
        <w:caps/>
      </w:rPr>
      <w:tblPr/>
      <w:tcPr>
        <w:tcBorders>
          <w:bottom w:val="single" w:color="7F7F7F" w:sz="4" w:space="0"/>
        </w:tcBorders>
      </w:tcPr>
    </w:tblStylePr>
    <w:tblStylePr w:type="lastRow">
      <w:rPr>
        <w:b/>
        <w:bCs/>
        <w:caps/>
      </w:rPr>
      <w:tblPr/>
      <w:tcPr>
        <w:tcBorders>
          <w:top w:val="nil"/>
        </w:tcBorders>
      </w:tcPr>
    </w:tblStylePr>
    <w:tblStylePr w:type="firstCol">
      <w:rPr>
        <w:b/>
        <w:bCs/>
        <w:caps/>
      </w:rPr>
      <w:tblPr/>
      <w:tcPr>
        <w:tcBorders>
          <w:right w:val="single" w:color="7F7F7F" w:sz="4" w:space="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3" w:customStyle="1">
    <w:name w:val="Plain Table 43"/>
    <w:basedOn w:val="TableNormal"/>
    <w:next w:val="PlainTable4"/>
    <w:uiPriority w:val="44"/>
    <w:rsid w:val="00E25C97"/>
    <w:rPr>
      <w:rFonts w:ascii="Calibri" w:hAnsi="Calibri" w:eastAsia="Calibri" w:cs="Arial"/>
      <w:sz w:val="22"/>
      <w:szCs w:val="22"/>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styleId="NoList31" w:customStyle="1">
    <w:name w:val="No List31"/>
    <w:next w:val="NoList"/>
    <w:uiPriority w:val="99"/>
    <w:semiHidden/>
    <w:unhideWhenUsed/>
    <w:rsid w:val="00E25C97"/>
  </w:style>
  <w:style w:type="numbering" w:styleId="NoList131" w:customStyle="1">
    <w:name w:val="No List131"/>
    <w:next w:val="NoList"/>
    <w:uiPriority w:val="99"/>
    <w:semiHidden/>
    <w:unhideWhenUsed/>
    <w:rsid w:val="00E25C97"/>
  </w:style>
  <w:style w:type="table" w:styleId="TableGrid211" w:customStyle="1">
    <w:name w:val="Table Grid211"/>
    <w:basedOn w:val="TableNormal"/>
    <w:next w:val="TableGrid"/>
    <w:uiPriority w:val="39"/>
    <w:rsid w:val="00E25C97"/>
    <w:rPr>
      <w:rFonts w:ascii="Calibri" w:hAnsi="Calibri" w:eastAsia="Calibri" w:cs="Arial"/>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41" w:customStyle="1">
    <w:name w:val="No List41"/>
    <w:next w:val="NoList"/>
    <w:uiPriority w:val="99"/>
    <w:semiHidden/>
    <w:unhideWhenUsed/>
    <w:rsid w:val="00E25C97"/>
  </w:style>
  <w:style w:type="numbering" w:styleId="NoList141" w:customStyle="1">
    <w:name w:val="No List141"/>
    <w:next w:val="NoList"/>
    <w:uiPriority w:val="99"/>
    <w:semiHidden/>
    <w:unhideWhenUsed/>
    <w:rsid w:val="00E25C97"/>
  </w:style>
  <w:style w:type="paragraph" w:styleId="BlockTextSglJBI" w:customStyle="1">
    <w:name w:val="Block Text Sgl J BI"/>
    <w:basedOn w:val="BlockTextSglJ"/>
    <w:qFormat/>
    <w:rsid w:val="00E25C97"/>
    <w:pPr>
      <w:keepNext/>
    </w:pPr>
    <w:rPr>
      <w:b/>
      <w:i/>
    </w:rPr>
  </w:style>
  <w:style w:type="table" w:styleId="TableGrid71" w:customStyle="1">
    <w:name w:val="Table Grid71"/>
    <w:basedOn w:val="TableNormal"/>
    <w:next w:val="TableGrid"/>
    <w:uiPriority w:val="39"/>
    <w:rsid w:val="00E25C97"/>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E25C97"/>
    <w:rPr>
      <w:color w:val="605E5C"/>
      <w:shd w:val="clear" w:color="auto" w:fill="E1DFDD"/>
    </w:rPr>
  </w:style>
  <w:style w:type="table" w:styleId="TableGrid8" w:customStyle="1">
    <w:name w:val="Table Grid8"/>
    <w:basedOn w:val="TableNormal"/>
    <w:next w:val="TableGrid"/>
    <w:uiPriority w:val="59"/>
    <w:rsid w:val="00E25C97"/>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9" w:customStyle="1">
    <w:name w:val="Table Grid9"/>
    <w:basedOn w:val="TableNormal"/>
    <w:next w:val="TableGrid"/>
    <w:uiPriority w:val="59"/>
    <w:rsid w:val="00E25C97"/>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0" w:customStyle="1">
    <w:name w:val="Table Grid10"/>
    <w:basedOn w:val="TableNormal"/>
    <w:next w:val="TableGrid"/>
    <w:uiPriority w:val="59"/>
    <w:rsid w:val="00E25C97"/>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0" w:customStyle="1">
    <w:name w:val="Table Grid20"/>
    <w:basedOn w:val="TableNormal"/>
    <w:next w:val="TableGrid"/>
    <w:uiPriority w:val="59"/>
    <w:rsid w:val="00E25C97"/>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41" w:customStyle="1">
    <w:name w:val="Table Grid241"/>
    <w:basedOn w:val="TableNormal"/>
    <w:next w:val="TableGrid"/>
    <w:uiPriority w:val="59"/>
    <w:rsid w:val="00E25C97"/>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5" w:customStyle="1">
    <w:name w:val="Table Grid25"/>
    <w:basedOn w:val="TableNormal"/>
    <w:next w:val="TableGrid"/>
    <w:uiPriority w:val="59"/>
    <w:rsid w:val="00E25C97"/>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SpacingChar" w:customStyle="1">
    <w:name w:val="No Spacing Char"/>
    <w:basedOn w:val="DefaultParagraphFont"/>
    <w:link w:val="NoSpacing"/>
    <w:uiPriority w:val="99"/>
    <w:rsid w:val="00E25C97"/>
  </w:style>
  <w:style w:type="character" w:styleId="FooterChar1" w:customStyle="1">
    <w:name w:val="Footer Char1"/>
    <w:aliases w:val="Footer (AC) Char1"/>
    <w:basedOn w:val="DefaultParagraphFont"/>
    <w:uiPriority w:val="99"/>
    <w:semiHidden/>
    <w:rsid w:val="00D55181"/>
    <w:rPr>
      <w:sz w:val="22"/>
      <w:lang w:val="en-GB"/>
    </w:rPr>
  </w:style>
  <w:style w:type="numbering" w:styleId="NoList6" w:customStyle="1">
    <w:name w:val="No List6"/>
    <w:next w:val="NoList"/>
    <w:uiPriority w:val="99"/>
    <w:semiHidden/>
    <w:unhideWhenUsed/>
    <w:rsid w:val="00FF68E4"/>
  </w:style>
  <w:style w:type="paragraph" w:styleId="TableParagraph" w:customStyle="1">
    <w:name w:val="Table Paragraph"/>
    <w:basedOn w:val="Normal"/>
    <w:uiPriority w:val="1"/>
    <w:qFormat/>
    <w:rsid w:val="00FF68E4"/>
    <w:pPr>
      <w:widowControl w:val="0"/>
    </w:pPr>
    <w:rPr>
      <w:rFonts w:asciiTheme="minorHAnsi" w:hAnsiTheme="minorHAnsi"/>
      <w:szCs w:val="22"/>
    </w:rPr>
  </w:style>
  <w:style w:type="numbering" w:styleId="NoList7" w:customStyle="1">
    <w:name w:val="No List7"/>
    <w:next w:val="NoList"/>
    <w:uiPriority w:val="99"/>
    <w:semiHidden/>
    <w:unhideWhenUsed/>
    <w:rsid w:val="00214EE9"/>
  </w:style>
  <w:style w:type="numbering" w:styleId="NoList16" w:customStyle="1">
    <w:name w:val="No List16"/>
    <w:next w:val="NoList"/>
    <w:uiPriority w:val="99"/>
    <w:semiHidden/>
    <w:unhideWhenUsed/>
    <w:rsid w:val="00214EE9"/>
  </w:style>
  <w:style w:type="numbering" w:styleId="NoList114" w:customStyle="1">
    <w:name w:val="No List114"/>
    <w:next w:val="NoList"/>
    <w:uiPriority w:val="99"/>
    <w:semiHidden/>
    <w:rsid w:val="00214EE9"/>
  </w:style>
  <w:style w:type="table" w:styleId="TableGrid26" w:customStyle="1">
    <w:name w:val="Table Grid26"/>
    <w:basedOn w:val="TableNormal"/>
    <w:next w:val="TableGrid"/>
    <w:uiPriority w:val="59"/>
    <w:rsid w:val="00214EE9"/>
    <w:rPr>
      <w:rFonts w:ascii="Arial" w:hAnsi="Arial" w:eastAsia="Calibri" w:cs="Times New Roman"/>
      <w:sz w:val="20"/>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5" w:customStyle="1">
    <w:name w:val="Table Grid145"/>
    <w:basedOn w:val="TableNormal"/>
    <w:next w:val="TableGrid"/>
    <w:uiPriority w:val="59"/>
    <w:rsid w:val="00214EE9"/>
    <w:rPr>
      <w:rFonts w:ascii="Calibri" w:hAnsi="Calibri" w:eastAsia="Times New Roman" w:cs="Times New Roman"/>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113" w:customStyle="1">
    <w:name w:val="No List1113"/>
    <w:next w:val="NoList"/>
    <w:uiPriority w:val="99"/>
    <w:semiHidden/>
    <w:rsid w:val="00214EE9"/>
  </w:style>
  <w:style w:type="numbering" w:styleId="NoList22" w:customStyle="1">
    <w:name w:val="No List22"/>
    <w:next w:val="NoList"/>
    <w:uiPriority w:val="99"/>
    <w:semiHidden/>
    <w:unhideWhenUsed/>
    <w:rsid w:val="00214EE9"/>
  </w:style>
  <w:style w:type="numbering" w:styleId="NoList122" w:customStyle="1">
    <w:name w:val="No List122"/>
    <w:next w:val="NoList"/>
    <w:uiPriority w:val="99"/>
    <w:semiHidden/>
    <w:unhideWhenUsed/>
    <w:rsid w:val="00214EE9"/>
  </w:style>
  <w:style w:type="numbering" w:styleId="NoList1122" w:customStyle="1">
    <w:name w:val="No List1122"/>
    <w:next w:val="NoList"/>
    <w:uiPriority w:val="99"/>
    <w:semiHidden/>
    <w:unhideWhenUsed/>
    <w:rsid w:val="00214EE9"/>
  </w:style>
  <w:style w:type="numbering" w:styleId="NoList11113" w:customStyle="1">
    <w:name w:val="No List11113"/>
    <w:next w:val="NoList"/>
    <w:semiHidden/>
    <w:rsid w:val="00214EE9"/>
  </w:style>
  <w:style w:type="numbering" w:styleId="NoList111113" w:customStyle="1">
    <w:name w:val="No List111113"/>
    <w:next w:val="NoList"/>
    <w:uiPriority w:val="99"/>
    <w:semiHidden/>
    <w:rsid w:val="00214EE9"/>
  </w:style>
  <w:style w:type="numbering" w:styleId="NoList1111112" w:customStyle="1">
    <w:name w:val="No List1111112"/>
    <w:next w:val="NoList"/>
    <w:semiHidden/>
    <w:rsid w:val="00214EE9"/>
  </w:style>
  <w:style w:type="table" w:styleId="TableGrid27" w:customStyle="1">
    <w:name w:val="Table Grid27"/>
    <w:basedOn w:val="TableNormal"/>
    <w:next w:val="TableGrid"/>
    <w:uiPriority w:val="39"/>
    <w:rsid w:val="00214EE9"/>
    <w:pPr>
      <w:adjustRightInd w:val="0"/>
    </w:pPr>
    <w:rPr>
      <w:rFonts w:eastAsia="Calibri" w:cs="Times New Roman"/>
      <w:sz w:val="20"/>
      <w:szCs w:val="20"/>
      <w:lang w:val="en-GB" w:eastAsia="en-GB"/>
    </w:rPr>
    <w:tblPr>
      <w:tblBorders>
        <w:top w:val="single" w:color="auto" w:sz="4" w:space="0"/>
        <w:left w:val="single" w:color="auto" w:sz="4" w:space="0"/>
        <w:bottom w:val="single" w:color="auto" w:sz="4" w:space="0"/>
        <w:right w:val="single" w:color="auto" w:sz="4" w:space="0"/>
      </w:tblBorders>
      <w:tblCellMar>
        <w:top w:w="3" w:type="dxa"/>
        <w:bottom w:w="3" w:type="dxa"/>
      </w:tblCellMar>
    </w:tblPr>
  </w:style>
  <w:style w:type="table" w:styleId="TableGrid32" w:customStyle="1">
    <w:name w:val="Table Grid32"/>
    <w:basedOn w:val="TableNormal"/>
    <w:next w:val="TableGrid"/>
    <w:uiPriority w:val="39"/>
    <w:rsid w:val="00214EE9"/>
    <w:rPr>
      <w:rFonts w:eastAsia="Microsoft JhengHei" w:cs="Times New Roman"/>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7" w:customStyle="1">
    <w:name w:val="Table Grid1117"/>
    <w:basedOn w:val="TableNormal"/>
    <w:next w:val="TableGrid"/>
    <w:uiPriority w:val="59"/>
    <w:rsid w:val="00214EE9"/>
    <w:rPr>
      <w:rFonts w:eastAsia="Calibri" w:cs="Times New Roman"/>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25" w:customStyle="1">
    <w:name w:val="Table Grid225"/>
    <w:basedOn w:val="TableNormal"/>
    <w:next w:val="TableGrid"/>
    <w:rsid w:val="00214EE9"/>
    <w:pPr>
      <w:spacing w:after="120" w:line="264" w:lineRule="auto"/>
    </w:pPr>
    <w:rPr>
      <w:rFonts w:ascii="Arial" w:hAnsi="Arial" w:eastAsia="Times New Roman" w:cs="Arial"/>
      <w:sz w:val="20"/>
      <w:szCs w:val="20"/>
      <w:lang w:val="en-GB" w:eastAsia="zh-TW"/>
    </w:rPr>
    <w:tblPr>
      <w:tblInd w:w="57" w:type="dxa"/>
      <w:tblBorders>
        <w:top w:val="single" w:color="auto" w:sz="4" w:space="0"/>
        <w:bottom w:val="single" w:color="auto" w:sz="8" w:space="0"/>
        <w:insideH w:val="single" w:color="AAA19A" w:sz="4" w:space="0"/>
      </w:tblBorders>
      <w:tblCellMar>
        <w:left w:w="0" w:type="dxa"/>
        <w:right w:w="0" w:type="dxa"/>
      </w:tblCellMar>
    </w:tblPr>
    <w:tblStylePr w:type="firstRow">
      <w:tblPr/>
      <w:trPr>
        <w:tblHeader/>
      </w:trPr>
    </w:tblStylePr>
  </w:style>
  <w:style w:type="table" w:styleId="TableGrid1223" w:customStyle="1">
    <w:name w:val="Table Grid1223"/>
    <w:basedOn w:val="TableNormal"/>
    <w:next w:val="TableGrid"/>
    <w:uiPriority w:val="59"/>
    <w:rsid w:val="00214EE9"/>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34" w:customStyle="1">
    <w:name w:val="Plain Table 34"/>
    <w:basedOn w:val="TableNormal"/>
    <w:next w:val="PlainTable3"/>
    <w:uiPriority w:val="43"/>
    <w:rsid w:val="00214EE9"/>
    <w:rPr>
      <w:rFonts w:ascii="Calibri" w:hAnsi="Calibri" w:eastAsia="Calibri" w:cs="Arial"/>
      <w:sz w:val="22"/>
      <w:szCs w:val="22"/>
      <w:lang w:val="en-GB" w:eastAsia="en-GB"/>
    </w:rPr>
    <w:tblPr>
      <w:tblStyleRowBandSize w:val="1"/>
      <w:tblStyleColBandSize w:val="1"/>
    </w:tblPr>
    <w:tblStylePr w:type="firstRow">
      <w:rPr>
        <w:b/>
        <w:bCs/>
        <w:caps/>
      </w:rPr>
      <w:tblPr/>
      <w:tcPr>
        <w:tcBorders>
          <w:bottom w:val="single" w:color="7F7F7F" w:sz="4" w:space="0"/>
        </w:tcBorders>
      </w:tcPr>
    </w:tblStylePr>
    <w:tblStylePr w:type="lastRow">
      <w:rPr>
        <w:b/>
        <w:bCs/>
        <w:caps/>
      </w:rPr>
      <w:tblPr/>
      <w:tcPr>
        <w:tcBorders>
          <w:top w:val="nil"/>
        </w:tcBorders>
      </w:tcPr>
    </w:tblStylePr>
    <w:tblStylePr w:type="firstCol">
      <w:rPr>
        <w:b/>
        <w:bCs/>
        <w:caps/>
      </w:rPr>
      <w:tblPr/>
      <w:tcPr>
        <w:tcBorders>
          <w:right w:val="single" w:color="7F7F7F" w:sz="4" w:space="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4" w:customStyle="1">
    <w:name w:val="Plain Table 44"/>
    <w:basedOn w:val="TableNormal"/>
    <w:next w:val="PlainTable4"/>
    <w:uiPriority w:val="44"/>
    <w:rsid w:val="00214EE9"/>
    <w:rPr>
      <w:rFonts w:ascii="Calibri" w:hAnsi="Calibri" w:eastAsia="Calibri" w:cs="Arial"/>
      <w:sz w:val="22"/>
      <w:szCs w:val="22"/>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styleId="NoList32" w:customStyle="1">
    <w:name w:val="No List32"/>
    <w:next w:val="NoList"/>
    <w:uiPriority w:val="99"/>
    <w:semiHidden/>
    <w:unhideWhenUsed/>
    <w:rsid w:val="00214EE9"/>
  </w:style>
  <w:style w:type="numbering" w:styleId="NoList132" w:customStyle="1">
    <w:name w:val="No List132"/>
    <w:next w:val="NoList"/>
    <w:uiPriority w:val="99"/>
    <w:semiHidden/>
    <w:unhideWhenUsed/>
    <w:rsid w:val="00214EE9"/>
  </w:style>
  <w:style w:type="table" w:styleId="TableGrid212" w:customStyle="1">
    <w:name w:val="Table Grid212"/>
    <w:basedOn w:val="TableNormal"/>
    <w:next w:val="TableGrid"/>
    <w:uiPriority w:val="39"/>
    <w:rsid w:val="00214EE9"/>
    <w:rPr>
      <w:rFonts w:ascii="Calibri" w:hAnsi="Calibri" w:eastAsia="Calibri" w:cs="Arial"/>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42" w:customStyle="1">
    <w:name w:val="No List42"/>
    <w:next w:val="NoList"/>
    <w:uiPriority w:val="99"/>
    <w:semiHidden/>
    <w:unhideWhenUsed/>
    <w:rsid w:val="00214EE9"/>
  </w:style>
  <w:style w:type="numbering" w:styleId="NoList142" w:customStyle="1">
    <w:name w:val="No List142"/>
    <w:next w:val="NoList"/>
    <w:uiPriority w:val="99"/>
    <w:semiHidden/>
    <w:unhideWhenUsed/>
    <w:rsid w:val="00214EE9"/>
  </w:style>
  <w:style w:type="table" w:styleId="TableGrid72" w:customStyle="1">
    <w:name w:val="Table Grid72"/>
    <w:basedOn w:val="TableNormal"/>
    <w:next w:val="TableGrid"/>
    <w:uiPriority w:val="39"/>
    <w:rsid w:val="00214EE9"/>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42" w:customStyle="1">
    <w:name w:val="Table Grid242"/>
    <w:basedOn w:val="TableNormal"/>
    <w:next w:val="TableGrid"/>
    <w:uiPriority w:val="59"/>
    <w:rsid w:val="00214EE9"/>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51" w:customStyle="1">
    <w:name w:val="No List51"/>
    <w:next w:val="NoList"/>
    <w:uiPriority w:val="99"/>
    <w:semiHidden/>
    <w:unhideWhenUsed/>
    <w:rsid w:val="00214EE9"/>
  </w:style>
  <w:style w:type="table" w:styleId="TableGrid261" w:customStyle="1">
    <w:name w:val="Table Grid261"/>
    <w:basedOn w:val="TableNormal"/>
    <w:next w:val="TableGrid"/>
    <w:uiPriority w:val="59"/>
    <w:rsid w:val="00214EE9"/>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41" w:customStyle="1">
    <w:name w:val="Table Grid1441"/>
    <w:basedOn w:val="TableNormal"/>
    <w:next w:val="TableGrid"/>
    <w:uiPriority w:val="59"/>
    <w:rsid w:val="00214EE9"/>
    <w:rPr>
      <w:rFonts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51" w:customStyle="1">
    <w:name w:val="No List151"/>
    <w:next w:val="NoList"/>
    <w:uiPriority w:val="99"/>
    <w:semiHidden/>
    <w:unhideWhenUsed/>
    <w:rsid w:val="00214EE9"/>
  </w:style>
  <w:style w:type="table" w:styleId="TableGrid11161" w:customStyle="1">
    <w:name w:val="Table Grid11161"/>
    <w:basedOn w:val="TableNormal"/>
    <w:next w:val="TableGrid"/>
    <w:uiPriority w:val="59"/>
    <w:rsid w:val="00214EE9"/>
    <w:rPr>
      <w:rFonts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71" w:customStyle="1">
    <w:name w:val="Table Grid271"/>
    <w:basedOn w:val="TableNormal"/>
    <w:next w:val="TableGrid"/>
    <w:uiPriority w:val="39"/>
    <w:rsid w:val="00214EE9"/>
    <w:rPr>
      <w:rFonts w:ascii="Calibri" w:hAnsi="Calibri" w:eastAsia="Calibri" w:cs="Arial"/>
      <w:sz w:val="22"/>
      <w:szCs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111" w:customStyle="1">
    <w:name w:val="Table Grid2111"/>
    <w:basedOn w:val="TableNormal"/>
    <w:next w:val="TableGrid"/>
    <w:uiPriority w:val="39"/>
    <w:rsid w:val="00214EE9"/>
    <w:pPr>
      <w:spacing w:after="120" w:line="264" w:lineRule="auto"/>
    </w:pPr>
    <w:rPr>
      <w:rFonts w:ascii="Arial" w:hAnsi="Arial" w:eastAsia="Times New Roman" w:cs="Arial"/>
      <w:sz w:val="20"/>
      <w:szCs w:val="20"/>
      <w:lang w:eastAsia="zh-TW"/>
    </w:rPr>
    <w:tblPr>
      <w:tblInd w:w="57" w:type="dxa"/>
      <w:tblBorders>
        <w:top w:val="single" w:color="auto" w:sz="4" w:space="0"/>
        <w:bottom w:val="single" w:color="auto" w:sz="8" w:space="0"/>
        <w:insideH w:val="single" w:color="AAA19A" w:sz="4" w:space="0"/>
      </w:tblBorders>
      <w:tblCellMar>
        <w:left w:w="0" w:type="dxa"/>
        <w:right w:w="0" w:type="dxa"/>
      </w:tblCellMar>
    </w:tblPr>
    <w:tblStylePr w:type="firstRow">
      <w:tblPr/>
      <w:trPr>
        <w:tblHeader/>
      </w:trPr>
    </w:tblStylePr>
  </w:style>
  <w:style w:type="table" w:styleId="TableGrid311" w:customStyle="1">
    <w:name w:val="Table Grid311"/>
    <w:basedOn w:val="TableNormal"/>
    <w:next w:val="TableGrid"/>
    <w:uiPriority w:val="39"/>
    <w:rsid w:val="00214EE9"/>
    <w:rPr>
      <w:rFonts w:ascii="Arial" w:hAnsi="Arial" w:eastAsia="Calibri" w:cs="Times New Roman"/>
      <w:sz w:val="20"/>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131" w:customStyle="1">
    <w:name w:val="No List1131"/>
    <w:next w:val="NoList"/>
    <w:uiPriority w:val="99"/>
    <w:semiHidden/>
    <w:rsid w:val="00214EE9"/>
  </w:style>
  <w:style w:type="numbering" w:styleId="NoList11121" w:customStyle="1">
    <w:name w:val="No List11121"/>
    <w:next w:val="NoList"/>
    <w:uiPriority w:val="99"/>
    <w:semiHidden/>
    <w:rsid w:val="00214EE9"/>
  </w:style>
  <w:style w:type="numbering" w:styleId="NoList211" w:customStyle="1">
    <w:name w:val="No List211"/>
    <w:next w:val="NoList"/>
    <w:uiPriority w:val="99"/>
    <w:semiHidden/>
    <w:unhideWhenUsed/>
    <w:rsid w:val="00214EE9"/>
  </w:style>
  <w:style w:type="numbering" w:styleId="NoList1211" w:customStyle="1">
    <w:name w:val="No List1211"/>
    <w:next w:val="NoList"/>
    <w:uiPriority w:val="99"/>
    <w:semiHidden/>
    <w:unhideWhenUsed/>
    <w:rsid w:val="00214EE9"/>
  </w:style>
  <w:style w:type="numbering" w:styleId="NoList11211" w:customStyle="1">
    <w:name w:val="No List11211"/>
    <w:next w:val="NoList"/>
    <w:uiPriority w:val="99"/>
    <w:semiHidden/>
    <w:unhideWhenUsed/>
    <w:rsid w:val="00214EE9"/>
  </w:style>
  <w:style w:type="numbering" w:styleId="NoList111121" w:customStyle="1">
    <w:name w:val="No List111121"/>
    <w:next w:val="NoList"/>
    <w:semiHidden/>
    <w:rsid w:val="00214EE9"/>
  </w:style>
  <w:style w:type="numbering" w:styleId="NoList1111121" w:customStyle="1">
    <w:name w:val="No List1111121"/>
    <w:next w:val="NoList"/>
    <w:uiPriority w:val="99"/>
    <w:semiHidden/>
    <w:rsid w:val="00214EE9"/>
  </w:style>
  <w:style w:type="numbering" w:styleId="NoList11111111" w:customStyle="1">
    <w:name w:val="No List11111111"/>
    <w:next w:val="NoList"/>
    <w:semiHidden/>
    <w:rsid w:val="00214EE9"/>
  </w:style>
  <w:style w:type="numbering" w:styleId="NoList311" w:customStyle="1">
    <w:name w:val="No List311"/>
    <w:next w:val="NoList"/>
    <w:uiPriority w:val="99"/>
    <w:semiHidden/>
    <w:unhideWhenUsed/>
    <w:rsid w:val="00214EE9"/>
  </w:style>
  <w:style w:type="numbering" w:styleId="NoList1311" w:customStyle="1">
    <w:name w:val="No List1311"/>
    <w:next w:val="NoList"/>
    <w:uiPriority w:val="99"/>
    <w:semiHidden/>
    <w:unhideWhenUsed/>
    <w:rsid w:val="00214EE9"/>
  </w:style>
  <w:style w:type="numbering" w:styleId="NoList411" w:customStyle="1">
    <w:name w:val="No List411"/>
    <w:next w:val="NoList"/>
    <w:uiPriority w:val="99"/>
    <w:semiHidden/>
    <w:unhideWhenUsed/>
    <w:rsid w:val="00214EE9"/>
  </w:style>
  <w:style w:type="numbering" w:styleId="NoList1411" w:customStyle="1">
    <w:name w:val="No List1411"/>
    <w:next w:val="NoList"/>
    <w:uiPriority w:val="99"/>
    <w:semiHidden/>
    <w:unhideWhenUsed/>
    <w:rsid w:val="00214EE9"/>
  </w:style>
  <w:style w:type="numbering" w:styleId="NoList61" w:customStyle="1">
    <w:name w:val="No List61"/>
    <w:next w:val="NoList"/>
    <w:uiPriority w:val="99"/>
    <w:semiHidden/>
    <w:unhideWhenUsed/>
    <w:rsid w:val="00214EE9"/>
  </w:style>
  <w:style w:type="numbering" w:styleId="NoList71" w:customStyle="1">
    <w:name w:val="No List71"/>
    <w:next w:val="NoList"/>
    <w:uiPriority w:val="99"/>
    <w:semiHidden/>
    <w:unhideWhenUsed/>
    <w:rsid w:val="00214EE9"/>
  </w:style>
  <w:style w:type="numbering" w:styleId="NoList8" w:customStyle="1">
    <w:name w:val="No List8"/>
    <w:next w:val="NoList"/>
    <w:uiPriority w:val="99"/>
    <w:semiHidden/>
    <w:unhideWhenUsed/>
    <w:rsid w:val="00214EE9"/>
  </w:style>
  <w:style w:type="numbering" w:styleId="NoList9" w:customStyle="1">
    <w:name w:val="No List9"/>
    <w:next w:val="NoList"/>
    <w:uiPriority w:val="99"/>
    <w:semiHidden/>
    <w:unhideWhenUsed/>
    <w:rsid w:val="00345F8B"/>
  </w:style>
  <w:style w:type="numbering" w:styleId="NoList17" w:customStyle="1">
    <w:name w:val="No List17"/>
    <w:next w:val="NoList"/>
    <w:uiPriority w:val="99"/>
    <w:semiHidden/>
    <w:unhideWhenUsed/>
    <w:rsid w:val="00345F8B"/>
  </w:style>
  <w:style w:type="numbering" w:styleId="NoList115" w:customStyle="1">
    <w:name w:val="No List115"/>
    <w:next w:val="NoList"/>
    <w:uiPriority w:val="99"/>
    <w:semiHidden/>
    <w:rsid w:val="00345F8B"/>
  </w:style>
  <w:style w:type="table" w:styleId="TableGrid28" w:customStyle="1">
    <w:name w:val="Table Grid28"/>
    <w:basedOn w:val="TableNormal"/>
    <w:next w:val="TableGrid"/>
    <w:uiPriority w:val="59"/>
    <w:rsid w:val="00345F8B"/>
    <w:rPr>
      <w:rFonts w:ascii="Arial" w:hAnsi="Arial" w:eastAsia="Calibri" w:cs="Times New Roman"/>
      <w:sz w:val="20"/>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6" w:customStyle="1">
    <w:name w:val="Table Grid146"/>
    <w:basedOn w:val="TableNormal"/>
    <w:next w:val="TableGrid"/>
    <w:uiPriority w:val="59"/>
    <w:rsid w:val="00345F8B"/>
    <w:rPr>
      <w:rFonts w:ascii="Calibri" w:hAnsi="Calibri" w:eastAsia="Times New Roman" w:cs="Times New Roman"/>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114" w:customStyle="1">
    <w:name w:val="No List1114"/>
    <w:next w:val="NoList"/>
    <w:uiPriority w:val="99"/>
    <w:semiHidden/>
    <w:rsid w:val="00345F8B"/>
  </w:style>
  <w:style w:type="numbering" w:styleId="NoList23" w:customStyle="1">
    <w:name w:val="No List23"/>
    <w:next w:val="NoList"/>
    <w:uiPriority w:val="99"/>
    <w:semiHidden/>
    <w:unhideWhenUsed/>
    <w:rsid w:val="00345F8B"/>
  </w:style>
  <w:style w:type="numbering" w:styleId="NoList123" w:customStyle="1">
    <w:name w:val="No List123"/>
    <w:next w:val="NoList"/>
    <w:uiPriority w:val="99"/>
    <w:semiHidden/>
    <w:unhideWhenUsed/>
    <w:rsid w:val="00345F8B"/>
  </w:style>
  <w:style w:type="numbering" w:styleId="NoList1123" w:customStyle="1">
    <w:name w:val="No List1123"/>
    <w:next w:val="NoList"/>
    <w:uiPriority w:val="99"/>
    <w:semiHidden/>
    <w:unhideWhenUsed/>
    <w:rsid w:val="00345F8B"/>
  </w:style>
  <w:style w:type="numbering" w:styleId="NoList11114" w:customStyle="1">
    <w:name w:val="No List11114"/>
    <w:next w:val="NoList"/>
    <w:semiHidden/>
    <w:rsid w:val="00345F8B"/>
  </w:style>
  <w:style w:type="numbering" w:styleId="NoList111114" w:customStyle="1">
    <w:name w:val="No List111114"/>
    <w:next w:val="NoList"/>
    <w:uiPriority w:val="99"/>
    <w:semiHidden/>
    <w:rsid w:val="00345F8B"/>
  </w:style>
  <w:style w:type="numbering" w:styleId="NoList1111113" w:customStyle="1">
    <w:name w:val="No List1111113"/>
    <w:next w:val="NoList"/>
    <w:semiHidden/>
    <w:rsid w:val="00345F8B"/>
  </w:style>
  <w:style w:type="table" w:styleId="TableGrid29" w:customStyle="1">
    <w:name w:val="Table Grid29"/>
    <w:basedOn w:val="TableNormal"/>
    <w:next w:val="TableGrid"/>
    <w:uiPriority w:val="39"/>
    <w:rsid w:val="00345F8B"/>
    <w:pPr>
      <w:adjustRightInd w:val="0"/>
    </w:pPr>
    <w:rPr>
      <w:rFonts w:eastAsia="Calibri" w:cs="Times New Roman"/>
      <w:sz w:val="20"/>
      <w:szCs w:val="20"/>
      <w:lang w:val="en-GB" w:eastAsia="en-GB"/>
    </w:rPr>
    <w:tblPr>
      <w:tblBorders>
        <w:top w:val="single" w:color="auto" w:sz="4" w:space="0"/>
        <w:left w:val="single" w:color="auto" w:sz="4" w:space="0"/>
        <w:bottom w:val="single" w:color="auto" w:sz="4" w:space="0"/>
        <w:right w:val="single" w:color="auto" w:sz="4" w:space="0"/>
      </w:tblBorders>
      <w:tblCellMar>
        <w:top w:w="3" w:type="dxa"/>
        <w:bottom w:w="3" w:type="dxa"/>
      </w:tblCellMar>
    </w:tblPr>
  </w:style>
  <w:style w:type="table" w:styleId="TableGrid33" w:customStyle="1">
    <w:name w:val="Table Grid33"/>
    <w:basedOn w:val="TableNormal"/>
    <w:next w:val="TableGrid"/>
    <w:uiPriority w:val="39"/>
    <w:rsid w:val="00345F8B"/>
    <w:rPr>
      <w:rFonts w:eastAsia="Microsoft JhengHei" w:cs="Times New Roman"/>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8" w:customStyle="1">
    <w:name w:val="Table Grid1118"/>
    <w:basedOn w:val="TableNormal"/>
    <w:next w:val="TableGrid"/>
    <w:uiPriority w:val="59"/>
    <w:rsid w:val="00345F8B"/>
    <w:rPr>
      <w:rFonts w:eastAsia="Calibri" w:cs="Times New Roman"/>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26" w:customStyle="1">
    <w:name w:val="Table Grid226"/>
    <w:basedOn w:val="TableNormal"/>
    <w:next w:val="TableGrid"/>
    <w:rsid w:val="00345F8B"/>
    <w:pPr>
      <w:spacing w:after="120" w:line="264" w:lineRule="auto"/>
    </w:pPr>
    <w:rPr>
      <w:rFonts w:ascii="Arial" w:hAnsi="Arial" w:eastAsia="Times New Roman" w:cs="Arial"/>
      <w:sz w:val="20"/>
      <w:szCs w:val="20"/>
      <w:lang w:val="en-GB" w:eastAsia="zh-TW"/>
    </w:rPr>
    <w:tblPr>
      <w:tblInd w:w="57" w:type="dxa"/>
      <w:tblBorders>
        <w:top w:val="single" w:color="auto" w:sz="4" w:space="0"/>
        <w:bottom w:val="single" w:color="auto" w:sz="8" w:space="0"/>
        <w:insideH w:val="single" w:color="AAA19A" w:sz="4" w:space="0"/>
      </w:tblBorders>
      <w:tblCellMar>
        <w:left w:w="0" w:type="dxa"/>
        <w:right w:w="0" w:type="dxa"/>
      </w:tblCellMar>
    </w:tblPr>
    <w:tblStylePr w:type="firstRow">
      <w:tblPr/>
      <w:trPr>
        <w:tblHeader/>
      </w:trPr>
    </w:tblStylePr>
  </w:style>
  <w:style w:type="table" w:styleId="TableGrid1224" w:customStyle="1">
    <w:name w:val="Table Grid1224"/>
    <w:basedOn w:val="TableNormal"/>
    <w:next w:val="TableGrid"/>
    <w:uiPriority w:val="59"/>
    <w:rsid w:val="00345F8B"/>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35" w:customStyle="1">
    <w:name w:val="Plain Table 35"/>
    <w:basedOn w:val="TableNormal"/>
    <w:next w:val="PlainTable3"/>
    <w:uiPriority w:val="43"/>
    <w:rsid w:val="00345F8B"/>
    <w:rPr>
      <w:rFonts w:ascii="Calibri" w:hAnsi="Calibri" w:eastAsia="Calibri" w:cs="Arial"/>
      <w:sz w:val="22"/>
      <w:szCs w:val="22"/>
      <w:lang w:val="en-GB" w:eastAsia="en-GB"/>
    </w:rPr>
    <w:tblPr>
      <w:tblStyleRowBandSize w:val="1"/>
      <w:tblStyleColBandSize w:val="1"/>
    </w:tblPr>
    <w:tblStylePr w:type="firstRow">
      <w:rPr>
        <w:b/>
        <w:bCs/>
        <w:caps/>
      </w:rPr>
      <w:tblPr/>
      <w:tcPr>
        <w:tcBorders>
          <w:bottom w:val="single" w:color="7F7F7F" w:sz="4" w:space="0"/>
        </w:tcBorders>
      </w:tcPr>
    </w:tblStylePr>
    <w:tblStylePr w:type="lastRow">
      <w:rPr>
        <w:b/>
        <w:bCs/>
        <w:caps/>
      </w:rPr>
      <w:tblPr/>
      <w:tcPr>
        <w:tcBorders>
          <w:top w:val="nil"/>
        </w:tcBorders>
      </w:tcPr>
    </w:tblStylePr>
    <w:tblStylePr w:type="firstCol">
      <w:rPr>
        <w:b/>
        <w:bCs/>
        <w:caps/>
      </w:rPr>
      <w:tblPr/>
      <w:tcPr>
        <w:tcBorders>
          <w:right w:val="single" w:color="7F7F7F" w:sz="4" w:space="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5" w:customStyle="1">
    <w:name w:val="Plain Table 45"/>
    <w:basedOn w:val="TableNormal"/>
    <w:next w:val="PlainTable4"/>
    <w:uiPriority w:val="44"/>
    <w:rsid w:val="00345F8B"/>
    <w:rPr>
      <w:rFonts w:ascii="Calibri" w:hAnsi="Calibri" w:eastAsia="Calibri" w:cs="Arial"/>
      <w:sz w:val="22"/>
      <w:szCs w:val="22"/>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styleId="NoList33" w:customStyle="1">
    <w:name w:val="No List33"/>
    <w:next w:val="NoList"/>
    <w:uiPriority w:val="99"/>
    <w:semiHidden/>
    <w:unhideWhenUsed/>
    <w:rsid w:val="00345F8B"/>
  </w:style>
  <w:style w:type="numbering" w:styleId="NoList133" w:customStyle="1">
    <w:name w:val="No List133"/>
    <w:next w:val="NoList"/>
    <w:uiPriority w:val="99"/>
    <w:semiHidden/>
    <w:unhideWhenUsed/>
    <w:rsid w:val="00345F8B"/>
  </w:style>
  <w:style w:type="table" w:styleId="TableGrid213" w:customStyle="1">
    <w:name w:val="Table Grid213"/>
    <w:basedOn w:val="TableNormal"/>
    <w:next w:val="TableGrid"/>
    <w:uiPriority w:val="39"/>
    <w:rsid w:val="00345F8B"/>
    <w:rPr>
      <w:rFonts w:ascii="Calibri" w:hAnsi="Calibri" w:eastAsia="Calibri" w:cs="Arial"/>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43" w:customStyle="1">
    <w:name w:val="No List43"/>
    <w:next w:val="NoList"/>
    <w:uiPriority w:val="99"/>
    <w:semiHidden/>
    <w:unhideWhenUsed/>
    <w:rsid w:val="00345F8B"/>
  </w:style>
  <w:style w:type="numbering" w:styleId="NoList143" w:customStyle="1">
    <w:name w:val="No List143"/>
    <w:next w:val="NoList"/>
    <w:uiPriority w:val="99"/>
    <w:semiHidden/>
    <w:unhideWhenUsed/>
    <w:rsid w:val="00345F8B"/>
  </w:style>
  <w:style w:type="table" w:styleId="TableGrid73" w:customStyle="1">
    <w:name w:val="Table Grid73"/>
    <w:basedOn w:val="TableNormal"/>
    <w:next w:val="TableGrid"/>
    <w:uiPriority w:val="39"/>
    <w:rsid w:val="00345F8B"/>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43" w:customStyle="1">
    <w:name w:val="Table Grid243"/>
    <w:basedOn w:val="TableNormal"/>
    <w:next w:val="TableGrid"/>
    <w:uiPriority w:val="59"/>
    <w:rsid w:val="00345F8B"/>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52" w:customStyle="1">
    <w:name w:val="No List52"/>
    <w:next w:val="NoList"/>
    <w:uiPriority w:val="99"/>
    <w:semiHidden/>
    <w:unhideWhenUsed/>
    <w:rsid w:val="00345F8B"/>
  </w:style>
  <w:style w:type="table" w:styleId="TableGrid262" w:customStyle="1">
    <w:name w:val="Table Grid262"/>
    <w:basedOn w:val="TableNormal"/>
    <w:next w:val="TableGrid"/>
    <w:uiPriority w:val="59"/>
    <w:rsid w:val="00345F8B"/>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42" w:customStyle="1">
    <w:name w:val="Table Grid1442"/>
    <w:basedOn w:val="TableNormal"/>
    <w:next w:val="TableGrid"/>
    <w:uiPriority w:val="59"/>
    <w:rsid w:val="00345F8B"/>
    <w:rPr>
      <w:rFonts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52" w:customStyle="1">
    <w:name w:val="No List152"/>
    <w:next w:val="NoList"/>
    <w:uiPriority w:val="99"/>
    <w:semiHidden/>
    <w:unhideWhenUsed/>
    <w:rsid w:val="00345F8B"/>
  </w:style>
  <w:style w:type="table" w:styleId="TableGrid11162" w:customStyle="1">
    <w:name w:val="Table Grid11162"/>
    <w:basedOn w:val="TableNormal"/>
    <w:next w:val="TableGrid"/>
    <w:uiPriority w:val="59"/>
    <w:rsid w:val="00345F8B"/>
    <w:rPr>
      <w:rFonts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72" w:customStyle="1">
    <w:name w:val="Table Grid272"/>
    <w:basedOn w:val="TableNormal"/>
    <w:next w:val="TableGrid"/>
    <w:uiPriority w:val="39"/>
    <w:rsid w:val="00345F8B"/>
    <w:rPr>
      <w:rFonts w:ascii="Calibri" w:hAnsi="Calibri" w:eastAsia="Calibri" w:cs="Arial"/>
      <w:sz w:val="22"/>
      <w:szCs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112" w:customStyle="1">
    <w:name w:val="Table Grid2112"/>
    <w:basedOn w:val="TableNormal"/>
    <w:next w:val="TableGrid"/>
    <w:uiPriority w:val="39"/>
    <w:rsid w:val="00345F8B"/>
    <w:pPr>
      <w:spacing w:after="120" w:line="264" w:lineRule="auto"/>
    </w:pPr>
    <w:rPr>
      <w:rFonts w:ascii="Arial" w:hAnsi="Arial" w:eastAsia="Times New Roman" w:cs="Arial"/>
      <w:sz w:val="20"/>
      <w:szCs w:val="20"/>
      <w:lang w:eastAsia="zh-TW"/>
    </w:rPr>
    <w:tblPr>
      <w:tblInd w:w="57" w:type="dxa"/>
      <w:tblBorders>
        <w:top w:val="single" w:color="auto" w:sz="4" w:space="0"/>
        <w:bottom w:val="single" w:color="auto" w:sz="8" w:space="0"/>
        <w:insideH w:val="single" w:color="AAA19A" w:sz="4" w:space="0"/>
      </w:tblBorders>
      <w:tblCellMar>
        <w:left w:w="0" w:type="dxa"/>
        <w:right w:w="0" w:type="dxa"/>
      </w:tblCellMar>
    </w:tblPr>
    <w:tblStylePr w:type="firstRow">
      <w:tblPr/>
      <w:trPr>
        <w:tblHeader/>
      </w:trPr>
    </w:tblStylePr>
  </w:style>
  <w:style w:type="table" w:styleId="TableGrid312" w:customStyle="1">
    <w:name w:val="Table Grid312"/>
    <w:basedOn w:val="TableNormal"/>
    <w:next w:val="TableGrid"/>
    <w:uiPriority w:val="39"/>
    <w:rsid w:val="00345F8B"/>
    <w:rPr>
      <w:rFonts w:ascii="Arial" w:hAnsi="Arial" w:eastAsia="Calibri" w:cs="Times New Roman"/>
      <w:sz w:val="20"/>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132" w:customStyle="1">
    <w:name w:val="No List1132"/>
    <w:next w:val="NoList"/>
    <w:uiPriority w:val="99"/>
    <w:semiHidden/>
    <w:rsid w:val="00345F8B"/>
  </w:style>
  <w:style w:type="numbering" w:styleId="NoList11122" w:customStyle="1">
    <w:name w:val="No List11122"/>
    <w:next w:val="NoList"/>
    <w:uiPriority w:val="99"/>
    <w:semiHidden/>
    <w:rsid w:val="00345F8B"/>
  </w:style>
  <w:style w:type="numbering" w:styleId="NoList212" w:customStyle="1">
    <w:name w:val="No List212"/>
    <w:next w:val="NoList"/>
    <w:uiPriority w:val="99"/>
    <w:semiHidden/>
    <w:unhideWhenUsed/>
    <w:rsid w:val="00345F8B"/>
  </w:style>
  <w:style w:type="numbering" w:styleId="NoList1212" w:customStyle="1">
    <w:name w:val="No List1212"/>
    <w:next w:val="NoList"/>
    <w:uiPriority w:val="99"/>
    <w:semiHidden/>
    <w:unhideWhenUsed/>
    <w:rsid w:val="00345F8B"/>
  </w:style>
  <w:style w:type="numbering" w:styleId="NoList11212" w:customStyle="1">
    <w:name w:val="No List11212"/>
    <w:next w:val="NoList"/>
    <w:uiPriority w:val="99"/>
    <w:semiHidden/>
    <w:unhideWhenUsed/>
    <w:rsid w:val="00345F8B"/>
  </w:style>
  <w:style w:type="numbering" w:styleId="NoList111122" w:customStyle="1">
    <w:name w:val="No List111122"/>
    <w:next w:val="NoList"/>
    <w:semiHidden/>
    <w:rsid w:val="00345F8B"/>
  </w:style>
  <w:style w:type="numbering" w:styleId="NoList1111122" w:customStyle="1">
    <w:name w:val="No List1111122"/>
    <w:next w:val="NoList"/>
    <w:uiPriority w:val="99"/>
    <w:semiHidden/>
    <w:rsid w:val="00345F8B"/>
  </w:style>
  <w:style w:type="numbering" w:styleId="NoList11111112" w:customStyle="1">
    <w:name w:val="No List11111112"/>
    <w:next w:val="NoList"/>
    <w:semiHidden/>
    <w:rsid w:val="00345F8B"/>
  </w:style>
  <w:style w:type="numbering" w:styleId="NoList312" w:customStyle="1">
    <w:name w:val="No List312"/>
    <w:next w:val="NoList"/>
    <w:uiPriority w:val="99"/>
    <w:semiHidden/>
    <w:unhideWhenUsed/>
    <w:rsid w:val="00345F8B"/>
  </w:style>
  <w:style w:type="numbering" w:styleId="NoList1312" w:customStyle="1">
    <w:name w:val="No List1312"/>
    <w:next w:val="NoList"/>
    <w:uiPriority w:val="99"/>
    <w:semiHidden/>
    <w:unhideWhenUsed/>
    <w:rsid w:val="00345F8B"/>
  </w:style>
  <w:style w:type="numbering" w:styleId="NoList412" w:customStyle="1">
    <w:name w:val="No List412"/>
    <w:next w:val="NoList"/>
    <w:uiPriority w:val="99"/>
    <w:semiHidden/>
    <w:unhideWhenUsed/>
    <w:rsid w:val="00345F8B"/>
  </w:style>
  <w:style w:type="numbering" w:styleId="NoList1412" w:customStyle="1">
    <w:name w:val="No List1412"/>
    <w:next w:val="NoList"/>
    <w:uiPriority w:val="99"/>
    <w:semiHidden/>
    <w:unhideWhenUsed/>
    <w:rsid w:val="00345F8B"/>
  </w:style>
  <w:style w:type="numbering" w:styleId="NoList62" w:customStyle="1">
    <w:name w:val="No List62"/>
    <w:next w:val="NoList"/>
    <w:uiPriority w:val="99"/>
    <w:semiHidden/>
    <w:unhideWhenUsed/>
    <w:rsid w:val="00345F8B"/>
  </w:style>
  <w:style w:type="numbering" w:styleId="NoList72" w:customStyle="1">
    <w:name w:val="No List72"/>
    <w:next w:val="NoList"/>
    <w:uiPriority w:val="99"/>
    <w:semiHidden/>
    <w:unhideWhenUsed/>
    <w:rsid w:val="00345F8B"/>
  </w:style>
  <w:style w:type="numbering" w:styleId="NoList81" w:customStyle="1">
    <w:name w:val="No List81"/>
    <w:next w:val="NoList"/>
    <w:uiPriority w:val="99"/>
    <w:semiHidden/>
    <w:unhideWhenUsed/>
    <w:rsid w:val="00345F8B"/>
  </w:style>
  <w:style w:type="table" w:styleId="TableGrid711" w:customStyle="1">
    <w:name w:val="Table Grid711"/>
    <w:basedOn w:val="TableNormal"/>
    <w:next w:val="TableGrid"/>
    <w:uiPriority w:val="59"/>
    <w:rsid w:val="002E5AB3"/>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411" w:customStyle="1">
    <w:name w:val="Table Grid2411"/>
    <w:basedOn w:val="TableNormal"/>
    <w:next w:val="TableGrid"/>
    <w:uiPriority w:val="59"/>
    <w:rsid w:val="002E5AB3"/>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61" w:customStyle="1">
    <w:name w:val="No List161"/>
    <w:next w:val="NoList"/>
    <w:uiPriority w:val="99"/>
    <w:semiHidden/>
    <w:unhideWhenUsed/>
    <w:rsid w:val="002E5AB3"/>
  </w:style>
  <w:style w:type="numbering" w:styleId="NoList1141" w:customStyle="1">
    <w:name w:val="No List1141"/>
    <w:next w:val="NoList"/>
    <w:uiPriority w:val="99"/>
    <w:semiHidden/>
    <w:rsid w:val="002E5AB3"/>
  </w:style>
  <w:style w:type="table" w:styleId="TableGrid1451" w:customStyle="1">
    <w:name w:val="Table Grid1451"/>
    <w:basedOn w:val="TableNormal"/>
    <w:next w:val="TableGrid"/>
    <w:uiPriority w:val="59"/>
    <w:rsid w:val="002E5AB3"/>
    <w:rPr>
      <w:rFonts w:ascii="Calibri" w:hAnsi="Calibri" w:eastAsia="Times New Roman" w:cs="Times New Roman"/>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1131" w:customStyle="1">
    <w:name w:val="No List11131"/>
    <w:next w:val="NoList"/>
    <w:uiPriority w:val="99"/>
    <w:semiHidden/>
    <w:rsid w:val="002E5AB3"/>
  </w:style>
  <w:style w:type="numbering" w:styleId="NoList221" w:customStyle="1">
    <w:name w:val="No List221"/>
    <w:next w:val="NoList"/>
    <w:uiPriority w:val="99"/>
    <w:semiHidden/>
    <w:unhideWhenUsed/>
    <w:rsid w:val="002E5AB3"/>
  </w:style>
  <w:style w:type="numbering" w:styleId="NoList1221" w:customStyle="1">
    <w:name w:val="No List1221"/>
    <w:next w:val="NoList"/>
    <w:uiPriority w:val="99"/>
    <w:semiHidden/>
    <w:unhideWhenUsed/>
    <w:rsid w:val="002E5AB3"/>
  </w:style>
  <w:style w:type="numbering" w:styleId="NoList11221" w:customStyle="1">
    <w:name w:val="No List11221"/>
    <w:next w:val="NoList"/>
    <w:uiPriority w:val="99"/>
    <w:semiHidden/>
    <w:unhideWhenUsed/>
    <w:rsid w:val="002E5AB3"/>
  </w:style>
  <w:style w:type="numbering" w:styleId="NoList111131" w:customStyle="1">
    <w:name w:val="No List111131"/>
    <w:next w:val="NoList"/>
    <w:semiHidden/>
    <w:rsid w:val="002E5AB3"/>
  </w:style>
  <w:style w:type="numbering" w:styleId="NoList1111131" w:customStyle="1">
    <w:name w:val="No List1111131"/>
    <w:next w:val="NoList"/>
    <w:uiPriority w:val="99"/>
    <w:semiHidden/>
    <w:rsid w:val="002E5AB3"/>
  </w:style>
  <w:style w:type="numbering" w:styleId="NoList11111121" w:customStyle="1">
    <w:name w:val="No List11111121"/>
    <w:next w:val="NoList"/>
    <w:semiHidden/>
    <w:rsid w:val="002E5AB3"/>
  </w:style>
  <w:style w:type="table" w:styleId="TableGrid321" w:customStyle="1">
    <w:name w:val="Table Grid321"/>
    <w:basedOn w:val="TableNormal"/>
    <w:next w:val="TableGrid"/>
    <w:uiPriority w:val="39"/>
    <w:rsid w:val="002E5AB3"/>
    <w:rPr>
      <w:rFonts w:eastAsia="Microsoft JhengHei" w:cs="Times New Roman"/>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71" w:customStyle="1">
    <w:name w:val="Table Grid11171"/>
    <w:basedOn w:val="TableNormal"/>
    <w:next w:val="TableGrid"/>
    <w:uiPriority w:val="59"/>
    <w:rsid w:val="002E5AB3"/>
    <w:rPr>
      <w:rFonts w:eastAsia="Calibri" w:cs="Times New Roman"/>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251" w:customStyle="1">
    <w:name w:val="Table Grid2251"/>
    <w:basedOn w:val="TableNormal"/>
    <w:next w:val="TableGrid"/>
    <w:rsid w:val="002E5AB3"/>
    <w:pPr>
      <w:spacing w:after="120" w:line="264" w:lineRule="auto"/>
    </w:pPr>
    <w:rPr>
      <w:rFonts w:ascii="Arial" w:hAnsi="Arial" w:eastAsia="Times New Roman" w:cs="Arial"/>
      <w:sz w:val="20"/>
      <w:szCs w:val="20"/>
      <w:lang w:val="en-GB" w:eastAsia="zh-TW"/>
    </w:rPr>
    <w:tblPr>
      <w:tblInd w:w="57" w:type="dxa"/>
      <w:tblBorders>
        <w:top w:val="single" w:color="auto" w:sz="4" w:space="0"/>
        <w:bottom w:val="single" w:color="auto" w:sz="8" w:space="0"/>
        <w:insideH w:val="single" w:color="AAA19A" w:sz="4" w:space="0"/>
      </w:tblBorders>
      <w:tblCellMar>
        <w:left w:w="0" w:type="dxa"/>
        <w:right w:w="0" w:type="dxa"/>
      </w:tblCellMar>
    </w:tblPr>
    <w:tblStylePr w:type="firstRow">
      <w:tblPr/>
      <w:trPr>
        <w:tblHeader/>
      </w:trPr>
    </w:tblStylePr>
  </w:style>
  <w:style w:type="table" w:styleId="TableGrid12231" w:customStyle="1">
    <w:name w:val="Table Grid12231"/>
    <w:basedOn w:val="TableNormal"/>
    <w:next w:val="TableGrid"/>
    <w:uiPriority w:val="59"/>
    <w:rsid w:val="002E5AB3"/>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341" w:customStyle="1">
    <w:name w:val="Plain Table 341"/>
    <w:basedOn w:val="TableNormal"/>
    <w:next w:val="PlainTable3"/>
    <w:uiPriority w:val="43"/>
    <w:rsid w:val="002E5AB3"/>
    <w:rPr>
      <w:rFonts w:ascii="Calibri" w:hAnsi="Calibri" w:eastAsia="Calibri" w:cs="Arial"/>
      <w:sz w:val="22"/>
      <w:szCs w:val="22"/>
      <w:lang w:val="en-GB" w:eastAsia="en-GB"/>
    </w:rPr>
    <w:tblPr>
      <w:tblStyleRowBandSize w:val="1"/>
      <w:tblStyleColBandSize w:val="1"/>
    </w:tblPr>
    <w:tblStylePr w:type="firstRow">
      <w:rPr>
        <w:b/>
        <w:bCs/>
        <w:caps/>
      </w:rPr>
      <w:tblPr/>
      <w:tcPr>
        <w:tcBorders>
          <w:bottom w:val="single" w:color="7F7F7F" w:sz="4" w:space="0"/>
        </w:tcBorders>
      </w:tcPr>
    </w:tblStylePr>
    <w:tblStylePr w:type="lastRow">
      <w:rPr>
        <w:b/>
        <w:bCs/>
        <w:caps/>
      </w:rPr>
      <w:tblPr/>
      <w:tcPr>
        <w:tcBorders>
          <w:top w:val="nil"/>
        </w:tcBorders>
      </w:tcPr>
    </w:tblStylePr>
    <w:tblStylePr w:type="firstCol">
      <w:rPr>
        <w:b/>
        <w:bCs/>
        <w:caps/>
      </w:rPr>
      <w:tblPr/>
      <w:tcPr>
        <w:tcBorders>
          <w:right w:val="single" w:color="7F7F7F" w:sz="4" w:space="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41" w:customStyle="1">
    <w:name w:val="Plain Table 441"/>
    <w:basedOn w:val="TableNormal"/>
    <w:next w:val="PlainTable4"/>
    <w:uiPriority w:val="44"/>
    <w:rsid w:val="002E5AB3"/>
    <w:rPr>
      <w:rFonts w:ascii="Calibri" w:hAnsi="Calibri" w:eastAsia="Calibri" w:cs="Arial"/>
      <w:sz w:val="22"/>
      <w:szCs w:val="22"/>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styleId="NoList321" w:customStyle="1">
    <w:name w:val="No List321"/>
    <w:next w:val="NoList"/>
    <w:uiPriority w:val="99"/>
    <w:semiHidden/>
    <w:unhideWhenUsed/>
    <w:rsid w:val="002E5AB3"/>
  </w:style>
  <w:style w:type="numbering" w:styleId="NoList1321" w:customStyle="1">
    <w:name w:val="No List1321"/>
    <w:next w:val="NoList"/>
    <w:uiPriority w:val="99"/>
    <w:semiHidden/>
    <w:unhideWhenUsed/>
    <w:rsid w:val="002E5AB3"/>
  </w:style>
  <w:style w:type="table" w:styleId="TableGrid2121" w:customStyle="1">
    <w:name w:val="Table Grid2121"/>
    <w:basedOn w:val="TableNormal"/>
    <w:next w:val="TableGrid"/>
    <w:uiPriority w:val="39"/>
    <w:rsid w:val="002E5AB3"/>
    <w:rPr>
      <w:rFonts w:ascii="Calibri" w:hAnsi="Calibri" w:eastAsia="Calibri" w:cs="Arial"/>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421" w:customStyle="1">
    <w:name w:val="No List421"/>
    <w:next w:val="NoList"/>
    <w:uiPriority w:val="99"/>
    <w:semiHidden/>
    <w:unhideWhenUsed/>
    <w:rsid w:val="002E5AB3"/>
  </w:style>
  <w:style w:type="numbering" w:styleId="NoList1421" w:customStyle="1">
    <w:name w:val="No List1421"/>
    <w:next w:val="NoList"/>
    <w:uiPriority w:val="99"/>
    <w:semiHidden/>
    <w:unhideWhenUsed/>
    <w:rsid w:val="002E5AB3"/>
  </w:style>
  <w:style w:type="numbering" w:styleId="NoList511" w:customStyle="1">
    <w:name w:val="No List511"/>
    <w:next w:val="NoList"/>
    <w:uiPriority w:val="99"/>
    <w:semiHidden/>
    <w:unhideWhenUsed/>
    <w:rsid w:val="002E5AB3"/>
  </w:style>
  <w:style w:type="table" w:styleId="TableGrid2611" w:customStyle="1">
    <w:name w:val="Table Grid2611"/>
    <w:basedOn w:val="TableNormal"/>
    <w:next w:val="TableGrid"/>
    <w:uiPriority w:val="59"/>
    <w:rsid w:val="002E5AB3"/>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411" w:customStyle="1">
    <w:name w:val="Table Grid14411"/>
    <w:basedOn w:val="TableNormal"/>
    <w:next w:val="TableGrid"/>
    <w:uiPriority w:val="59"/>
    <w:rsid w:val="002E5AB3"/>
    <w:rPr>
      <w:rFonts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511" w:customStyle="1">
    <w:name w:val="No List1511"/>
    <w:next w:val="NoList"/>
    <w:uiPriority w:val="99"/>
    <w:semiHidden/>
    <w:unhideWhenUsed/>
    <w:rsid w:val="002E5AB3"/>
  </w:style>
  <w:style w:type="table" w:styleId="TableGrid111611" w:customStyle="1">
    <w:name w:val="Table Grid111611"/>
    <w:basedOn w:val="TableNormal"/>
    <w:next w:val="TableGrid"/>
    <w:uiPriority w:val="59"/>
    <w:rsid w:val="002E5AB3"/>
    <w:rPr>
      <w:rFonts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711" w:customStyle="1">
    <w:name w:val="Table Grid2711"/>
    <w:basedOn w:val="TableNormal"/>
    <w:next w:val="TableGrid"/>
    <w:uiPriority w:val="39"/>
    <w:rsid w:val="002E5AB3"/>
    <w:rPr>
      <w:rFonts w:ascii="Calibri" w:hAnsi="Calibri" w:eastAsia="Calibri" w:cs="Arial"/>
      <w:sz w:val="22"/>
      <w:szCs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1111" w:customStyle="1">
    <w:name w:val="Table Grid21111"/>
    <w:basedOn w:val="TableNormal"/>
    <w:next w:val="TableGrid"/>
    <w:uiPriority w:val="39"/>
    <w:rsid w:val="002E5AB3"/>
    <w:pPr>
      <w:spacing w:after="120" w:line="264" w:lineRule="auto"/>
    </w:pPr>
    <w:rPr>
      <w:rFonts w:ascii="Arial" w:hAnsi="Arial" w:eastAsia="Times New Roman" w:cs="Arial"/>
      <w:sz w:val="20"/>
      <w:szCs w:val="20"/>
      <w:lang w:eastAsia="zh-TW"/>
    </w:rPr>
    <w:tblPr>
      <w:tblInd w:w="57" w:type="dxa"/>
      <w:tblBorders>
        <w:top w:val="single" w:color="auto" w:sz="4" w:space="0"/>
        <w:bottom w:val="single" w:color="auto" w:sz="8" w:space="0"/>
        <w:insideH w:val="single" w:color="AAA19A" w:sz="4" w:space="0"/>
      </w:tblBorders>
      <w:tblCellMar>
        <w:left w:w="0" w:type="dxa"/>
        <w:right w:w="0" w:type="dxa"/>
      </w:tblCellMar>
    </w:tblPr>
    <w:tblStylePr w:type="firstRow">
      <w:tblPr/>
      <w:trPr>
        <w:tblHeader/>
      </w:trPr>
    </w:tblStylePr>
  </w:style>
  <w:style w:type="table" w:styleId="TableGrid3111" w:customStyle="1">
    <w:name w:val="Table Grid3111"/>
    <w:basedOn w:val="TableNormal"/>
    <w:next w:val="TableGrid"/>
    <w:uiPriority w:val="39"/>
    <w:rsid w:val="002E5AB3"/>
    <w:rPr>
      <w:rFonts w:ascii="Arial" w:hAnsi="Arial" w:eastAsia="Calibri" w:cs="Times New Roman"/>
      <w:sz w:val="20"/>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1311" w:customStyle="1">
    <w:name w:val="No List11311"/>
    <w:next w:val="NoList"/>
    <w:uiPriority w:val="99"/>
    <w:semiHidden/>
    <w:rsid w:val="002E5AB3"/>
  </w:style>
  <w:style w:type="numbering" w:styleId="NoList111211" w:customStyle="1">
    <w:name w:val="No List111211"/>
    <w:next w:val="NoList"/>
    <w:uiPriority w:val="99"/>
    <w:semiHidden/>
    <w:rsid w:val="002E5AB3"/>
  </w:style>
  <w:style w:type="numbering" w:styleId="NoList2111" w:customStyle="1">
    <w:name w:val="No List2111"/>
    <w:next w:val="NoList"/>
    <w:uiPriority w:val="99"/>
    <w:semiHidden/>
    <w:unhideWhenUsed/>
    <w:rsid w:val="002E5AB3"/>
  </w:style>
  <w:style w:type="numbering" w:styleId="NoList12111" w:customStyle="1">
    <w:name w:val="No List12111"/>
    <w:next w:val="NoList"/>
    <w:uiPriority w:val="99"/>
    <w:semiHidden/>
    <w:unhideWhenUsed/>
    <w:rsid w:val="002E5AB3"/>
  </w:style>
  <w:style w:type="numbering" w:styleId="NoList112111" w:customStyle="1">
    <w:name w:val="No List112111"/>
    <w:next w:val="NoList"/>
    <w:uiPriority w:val="99"/>
    <w:semiHidden/>
    <w:unhideWhenUsed/>
    <w:rsid w:val="002E5AB3"/>
  </w:style>
  <w:style w:type="numbering" w:styleId="NoList1111211" w:customStyle="1">
    <w:name w:val="No List1111211"/>
    <w:next w:val="NoList"/>
    <w:semiHidden/>
    <w:rsid w:val="002E5AB3"/>
  </w:style>
  <w:style w:type="numbering" w:styleId="NoList11111211" w:customStyle="1">
    <w:name w:val="No List11111211"/>
    <w:next w:val="NoList"/>
    <w:uiPriority w:val="99"/>
    <w:semiHidden/>
    <w:rsid w:val="002E5AB3"/>
  </w:style>
  <w:style w:type="numbering" w:styleId="NoList111111111" w:customStyle="1">
    <w:name w:val="No List111111111"/>
    <w:next w:val="NoList"/>
    <w:semiHidden/>
    <w:rsid w:val="002E5AB3"/>
  </w:style>
  <w:style w:type="numbering" w:styleId="NoList3111" w:customStyle="1">
    <w:name w:val="No List3111"/>
    <w:next w:val="NoList"/>
    <w:uiPriority w:val="99"/>
    <w:semiHidden/>
    <w:unhideWhenUsed/>
    <w:rsid w:val="002E5AB3"/>
  </w:style>
  <w:style w:type="numbering" w:styleId="NoList13111" w:customStyle="1">
    <w:name w:val="No List13111"/>
    <w:next w:val="NoList"/>
    <w:uiPriority w:val="99"/>
    <w:semiHidden/>
    <w:unhideWhenUsed/>
    <w:rsid w:val="002E5AB3"/>
  </w:style>
  <w:style w:type="numbering" w:styleId="NoList4111" w:customStyle="1">
    <w:name w:val="No List4111"/>
    <w:next w:val="NoList"/>
    <w:uiPriority w:val="99"/>
    <w:semiHidden/>
    <w:unhideWhenUsed/>
    <w:rsid w:val="002E5AB3"/>
  </w:style>
  <w:style w:type="numbering" w:styleId="NoList14111" w:customStyle="1">
    <w:name w:val="No List14111"/>
    <w:next w:val="NoList"/>
    <w:uiPriority w:val="99"/>
    <w:semiHidden/>
    <w:unhideWhenUsed/>
    <w:rsid w:val="002E5AB3"/>
  </w:style>
  <w:style w:type="numbering" w:styleId="NoList611" w:customStyle="1">
    <w:name w:val="No List611"/>
    <w:next w:val="NoList"/>
    <w:uiPriority w:val="99"/>
    <w:semiHidden/>
    <w:unhideWhenUsed/>
    <w:rsid w:val="002E5AB3"/>
  </w:style>
  <w:style w:type="numbering" w:styleId="NoList711" w:customStyle="1">
    <w:name w:val="No List711"/>
    <w:next w:val="NoList"/>
    <w:uiPriority w:val="99"/>
    <w:semiHidden/>
    <w:unhideWhenUsed/>
    <w:rsid w:val="002E5AB3"/>
  </w:style>
  <w:style w:type="numbering" w:styleId="NoList91" w:customStyle="1">
    <w:name w:val="No List91"/>
    <w:next w:val="NoList"/>
    <w:uiPriority w:val="99"/>
    <w:semiHidden/>
    <w:unhideWhenUsed/>
    <w:rsid w:val="002E5AB3"/>
  </w:style>
  <w:style w:type="table" w:styleId="TableGrid281" w:customStyle="1">
    <w:name w:val="Table Grid281"/>
    <w:basedOn w:val="TableNormal"/>
    <w:next w:val="TableGrid"/>
    <w:uiPriority w:val="59"/>
    <w:rsid w:val="002E5AB3"/>
    <w:rPr>
      <w:rFonts w:ascii="Arial" w:hAnsi="Arial" w:eastAsia="Calibri" w:cs="Times New Roman"/>
      <w:sz w:val="20"/>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91" w:customStyle="1">
    <w:name w:val="Table Grid291"/>
    <w:basedOn w:val="TableNormal"/>
    <w:next w:val="TableGrid"/>
    <w:uiPriority w:val="39"/>
    <w:rsid w:val="002E5AB3"/>
    <w:pPr>
      <w:adjustRightInd w:val="0"/>
    </w:pPr>
    <w:rPr>
      <w:rFonts w:eastAsia="Calibri" w:cs="Times New Roman"/>
      <w:sz w:val="20"/>
      <w:szCs w:val="20"/>
      <w:lang w:val="en-GB" w:eastAsia="en-GB"/>
    </w:rPr>
    <w:tblPr>
      <w:tblBorders>
        <w:top w:val="single" w:color="auto" w:sz="4" w:space="0"/>
        <w:left w:val="single" w:color="auto" w:sz="4" w:space="0"/>
        <w:bottom w:val="single" w:color="auto" w:sz="4" w:space="0"/>
        <w:right w:val="single" w:color="auto" w:sz="4" w:space="0"/>
      </w:tblBorders>
      <w:tblCellMar>
        <w:top w:w="3" w:type="dxa"/>
        <w:bottom w:w="3" w:type="dxa"/>
      </w:tblCellMar>
    </w:tblPr>
  </w:style>
  <w:style w:type="numbering" w:styleId="NoList811" w:customStyle="1">
    <w:name w:val="No List811"/>
    <w:next w:val="NoList"/>
    <w:uiPriority w:val="99"/>
    <w:semiHidden/>
    <w:unhideWhenUsed/>
    <w:rsid w:val="002E5AB3"/>
  </w:style>
  <w:style w:type="numbering" w:styleId="NoList10" w:customStyle="1">
    <w:name w:val="No List10"/>
    <w:next w:val="NoList"/>
    <w:uiPriority w:val="99"/>
    <w:semiHidden/>
    <w:unhideWhenUsed/>
    <w:rsid w:val="002E5AB3"/>
  </w:style>
  <w:style w:type="table" w:styleId="TableGrid30" w:customStyle="1">
    <w:name w:val="Table Grid30"/>
    <w:basedOn w:val="TableNormal"/>
    <w:next w:val="TableGrid"/>
    <w:uiPriority w:val="39"/>
    <w:rsid w:val="002E5AB3"/>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8" w:customStyle="1">
    <w:name w:val="No List18"/>
    <w:next w:val="NoList"/>
    <w:uiPriority w:val="99"/>
    <w:semiHidden/>
    <w:unhideWhenUsed/>
    <w:rsid w:val="0072514F"/>
  </w:style>
  <w:style w:type="numbering" w:styleId="NoList19" w:customStyle="1">
    <w:name w:val="No List19"/>
    <w:next w:val="NoList"/>
    <w:uiPriority w:val="99"/>
    <w:semiHidden/>
    <w:unhideWhenUsed/>
    <w:rsid w:val="0072514F"/>
  </w:style>
  <w:style w:type="numbering" w:styleId="NoList116" w:customStyle="1">
    <w:name w:val="No List116"/>
    <w:next w:val="NoList"/>
    <w:uiPriority w:val="99"/>
    <w:semiHidden/>
    <w:rsid w:val="0072514F"/>
  </w:style>
  <w:style w:type="table" w:styleId="TableGrid34" w:customStyle="1">
    <w:name w:val="Table Grid34"/>
    <w:basedOn w:val="TableNormal"/>
    <w:next w:val="TableGrid"/>
    <w:uiPriority w:val="59"/>
    <w:rsid w:val="0072514F"/>
    <w:rPr>
      <w:rFonts w:ascii="Arial" w:hAnsi="Arial" w:eastAsia="Calibri" w:cs="Times New Roman"/>
      <w:sz w:val="20"/>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7" w:customStyle="1">
    <w:name w:val="Table Grid147"/>
    <w:basedOn w:val="TableNormal"/>
    <w:next w:val="TableGrid"/>
    <w:uiPriority w:val="59"/>
    <w:rsid w:val="0072514F"/>
    <w:rPr>
      <w:rFonts w:ascii="Calibri" w:hAnsi="Calibri" w:eastAsia="Times New Roman" w:cs="Times New Roman"/>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115" w:customStyle="1">
    <w:name w:val="No List1115"/>
    <w:next w:val="NoList"/>
    <w:uiPriority w:val="99"/>
    <w:semiHidden/>
    <w:rsid w:val="0072514F"/>
  </w:style>
  <w:style w:type="numbering" w:styleId="NoList24" w:customStyle="1">
    <w:name w:val="No List24"/>
    <w:next w:val="NoList"/>
    <w:uiPriority w:val="99"/>
    <w:semiHidden/>
    <w:unhideWhenUsed/>
    <w:rsid w:val="0072514F"/>
  </w:style>
  <w:style w:type="numbering" w:styleId="NoList124" w:customStyle="1">
    <w:name w:val="No List124"/>
    <w:next w:val="NoList"/>
    <w:uiPriority w:val="99"/>
    <w:semiHidden/>
    <w:unhideWhenUsed/>
    <w:rsid w:val="0072514F"/>
  </w:style>
  <w:style w:type="numbering" w:styleId="NoList1124" w:customStyle="1">
    <w:name w:val="No List1124"/>
    <w:next w:val="NoList"/>
    <w:uiPriority w:val="99"/>
    <w:semiHidden/>
    <w:unhideWhenUsed/>
    <w:rsid w:val="0072514F"/>
  </w:style>
  <w:style w:type="numbering" w:styleId="NoList11115" w:customStyle="1">
    <w:name w:val="No List11115"/>
    <w:next w:val="NoList"/>
    <w:semiHidden/>
    <w:rsid w:val="0072514F"/>
  </w:style>
  <w:style w:type="numbering" w:styleId="NoList111115" w:customStyle="1">
    <w:name w:val="No List111115"/>
    <w:next w:val="NoList"/>
    <w:uiPriority w:val="99"/>
    <w:semiHidden/>
    <w:rsid w:val="0072514F"/>
  </w:style>
  <w:style w:type="numbering" w:styleId="NoList1111114" w:customStyle="1">
    <w:name w:val="No List1111114"/>
    <w:next w:val="NoList"/>
    <w:semiHidden/>
    <w:rsid w:val="0072514F"/>
  </w:style>
  <w:style w:type="table" w:styleId="TableGrid210" w:customStyle="1">
    <w:name w:val="Table Grid210"/>
    <w:basedOn w:val="TableNormal"/>
    <w:next w:val="TableGrid"/>
    <w:uiPriority w:val="39"/>
    <w:rsid w:val="0072514F"/>
    <w:pPr>
      <w:adjustRightInd w:val="0"/>
    </w:pPr>
    <w:rPr>
      <w:rFonts w:eastAsia="Calibri" w:cs="Times New Roman"/>
      <w:sz w:val="20"/>
      <w:szCs w:val="20"/>
      <w:lang w:val="en-GB" w:eastAsia="en-GB"/>
    </w:rPr>
    <w:tblPr>
      <w:tblBorders>
        <w:top w:val="single" w:color="auto" w:sz="4" w:space="0"/>
        <w:left w:val="single" w:color="auto" w:sz="4" w:space="0"/>
        <w:bottom w:val="single" w:color="auto" w:sz="4" w:space="0"/>
        <w:right w:val="single" w:color="auto" w:sz="4" w:space="0"/>
      </w:tblBorders>
      <w:tblCellMar>
        <w:top w:w="3" w:type="dxa"/>
        <w:bottom w:w="3" w:type="dxa"/>
      </w:tblCellMar>
    </w:tblPr>
  </w:style>
  <w:style w:type="table" w:styleId="TableGrid35" w:customStyle="1">
    <w:name w:val="Table Grid35"/>
    <w:basedOn w:val="TableNormal"/>
    <w:next w:val="TableGrid"/>
    <w:uiPriority w:val="39"/>
    <w:rsid w:val="0072514F"/>
    <w:rPr>
      <w:rFonts w:eastAsia="Microsoft JhengHei" w:cs="Times New Roman"/>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9" w:customStyle="1">
    <w:name w:val="Table Grid1119"/>
    <w:basedOn w:val="TableNormal"/>
    <w:next w:val="TableGrid"/>
    <w:uiPriority w:val="59"/>
    <w:rsid w:val="0072514F"/>
    <w:rPr>
      <w:rFonts w:eastAsia="Calibri" w:cs="Times New Roman"/>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27" w:customStyle="1">
    <w:name w:val="Table Grid227"/>
    <w:basedOn w:val="TableNormal"/>
    <w:next w:val="TableGrid"/>
    <w:rsid w:val="0072514F"/>
    <w:pPr>
      <w:spacing w:after="120" w:line="264" w:lineRule="auto"/>
    </w:pPr>
    <w:rPr>
      <w:rFonts w:ascii="Arial" w:hAnsi="Arial" w:eastAsia="Times New Roman" w:cs="Arial"/>
      <w:sz w:val="20"/>
      <w:szCs w:val="20"/>
      <w:lang w:val="en-GB" w:eastAsia="zh-TW"/>
    </w:rPr>
    <w:tblPr>
      <w:tblInd w:w="57" w:type="dxa"/>
      <w:tblBorders>
        <w:top w:val="single" w:color="auto" w:sz="4" w:space="0"/>
        <w:bottom w:val="single" w:color="auto" w:sz="8" w:space="0"/>
        <w:insideH w:val="single" w:color="AAA19A" w:sz="4" w:space="0"/>
      </w:tblBorders>
      <w:tblCellMar>
        <w:left w:w="0" w:type="dxa"/>
        <w:right w:w="0" w:type="dxa"/>
      </w:tblCellMar>
    </w:tblPr>
    <w:tblStylePr w:type="firstRow">
      <w:tblPr/>
      <w:trPr>
        <w:tblHeader/>
      </w:trPr>
    </w:tblStylePr>
  </w:style>
  <w:style w:type="table" w:styleId="TableGrid1225" w:customStyle="1">
    <w:name w:val="Table Grid1225"/>
    <w:basedOn w:val="TableNormal"/>
    <w:next w:val="TableGrid"/>
    <w:uiPriority w:val="59"/>
    <w:rsid w:val="0072514F"/>
    <w:rPr>
      <w:rFonts w:eastAsia="Calibri" w:cs="Arial"/>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36" w:customStyle="1">
    <w:name w:val="Plain Table 36"/>
    <w:basedOn w:val="TableNormal"/>
    <w:next w:val="PlainTable3"/>
    <w:uiPriority w:val="43"/>
    <w:rsid w:val="0072514F"/>
    <w:rPr>
      <w:rFonts w:ascii="Calibri" w:hAnsi="Calibri" w:eastAsia="Calibri" w:cs="Arial"/>
      <w:sz w:val="22"/>
      <w:szCs w:val="22"/>
      <w:lang w:val="en-GB" w:eastAsia="en-GB"/>
    </w:rPr>
    <w:tblPr>
      <w:tblStyleRowBandSize w:val="1"/>
      <w:tblStyleColBandSize w:val="1"/>
    </w:tblPr>
    <w:tblStylePr w:type="firstRow">
      <w:rPr>
        <w:b/>
        <w:bCs/>
        <w:caps/>
      </w:rPr>
      <w:tblPr/>
      <w:tcPr>
        <w:tcBorders>
          <w:bottom w:val="single" w:color="7F7F7F" w:sz="4" w:space="0"/>
        </w:tcBorders>
      </w:tcPr>
    </w:tblStylePr>
    <w:tblStylePr w:type="lastRow">
      <w:rPr>
        <w:b/>
        <w:bCs/>
        <w:caps/>
      </w:rPr>
      <w:tblPr/>
      <w:tcPr>
        <w:tcBorders>
          <w:top w:val="nil"/>
        </w:tcBorders>
      </w:tcPr>
    </w:tblStylePr>
    <w:tblStylePr w:type="firstCol">
      <w:rPr>
        <w:b/>
        <w:bCs/>
        <w:caps/>
      </w:rPr>
      <w:tblPr/>
      <w:tcPr>
        <w:tcBorders>
          <w:right w:val="single" w:color="7F7F7F" w:sz="4" w:space="0"/>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6" w:customStyle="1">
    <w:name w:val="Plain Table 46"/>
    <w:basedOn w:val="TableNormal"/>
    <w:next w:val="PlainTable4"/>
    <w:uiPriority w:val="44"/>
    <w:rsid w:val="0072514F"/>
    <w:rPr>
      <w:rFonts w:ascii="Calibri" w:hAnsi="Calibri" w:eastAsia="Calibri" w:cs="Arial"/>
      <w:sz w:val="22"/>
      <w:szCs w:val="22"/>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styleId="NoList34" w:customStyle="1">
    <w:name w:val="No List34"/>
    <w:next w:val="NoList"/>
    <w:uiPriority w:val="99"/>
    <w:semiHidden/>
    <w:unhideWhenUsed/>
    <w:rsid w:val="0072514F"/>
  </w:style>
  <w:style w:type="numbering" w:styleId="NoList134" w:customStyle="1">
    <w:name w:val="No List134"/>
    <w:next w:val="NoList"/>
    <w:uiPriority w:val="99"/>
    <w:semiHidden/>
    <w:unhideWhenUsed/>
    <w:rsid w:val="0072514F"/>
  </w:style>
  <w:style w:type="table" w:styleId="TableGrid214" w:customStyle="1">
    <w:name w:val="Table Grid214"/>
    <w:basedOn w:val="TableNormal"/>
    <w:next w:val="TableGrid"/>
    <w:uiPriority w:val="39"/>
    <w:rsid w:val="0072514F"/>
    <w:rPr>
      <w:rFonts w:ascii="Calibri" w:hAnsi="Calibri" w:eastAsia="Calibri" w:cs="Arial"/>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44" w:customStyle="1">
    <w:name w:val="No List44"/>
    <w:next w:val="NoList"/>
    <w:uiPriority w:val="99"/>
    <w:semiHidden/>
    <w:unhideWhenUsed/>
    <w:rsid w:val="0072514F"/>
  </w:style>
  <w:style w:type="numbering" w:styleId="NoList144" w:customStyle="1">
    <w:name w:val="No List144"/>
    <w:next w:val="NoList"/>
    <w:uiPriority w:val="99"/>
    <w:semiHidden/>
    <w:unhideWhenUsed/>
    <w:rsid w:val="0072514F"/>
  </w:style>
  <w:style w:type="table" w:styleId="TableGrid74" w:customStyle="1">
    <w:name w:val="Table Grid74"/>
    <w:basedOn w:val="TableNormal"/>
    <w:next w:val="TableGrid"/>
    <w:uiPriority w:val="39"/>
    <w:rsid w:val="0072514F"/>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44" w:customStyle="1">
    <w:name w:val="Table Grid244"/>
    <w:basedOn w:val="TableNormal"/>
    <w:next w:val="TableGrid"/>
    <w:uiPriority w:val="59"/>
    <w:rsid w:val="0072514F"/>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53" w:customStyle="1">
    <w:name w:val="No List53"/>
    <w:next w:val="NoList"/>
    <w:uiPriority w:val="99"/>
    <w:semiHidden/>
    <w:unhideWhenUsed/>
    <w:rsid w:val="0072514F"/>
  </w:style>
  <w:style w:type="table" w:styleId="TableGrid263" w:customStyle="1">
    <w:name w:val="Table Grid263"/>
    <w:basedOn w:val="TableNormal"/>
    <w:next w:val="TableGrid"/>
    <w:uiPriority w:val="59"/>
    <w:rsid w:val="0072514F"/>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43" w:customStyle="1">
    <w:name w:val="Table Grid1443"/>
    <w:basedOn w:val="TableNormal"/>
    <w:next w:val="TableGrid"/>
    <w:uiPriority w:val="59"/>
    <w:rsid w:val="0072514F"/>
    <w:rPr>
      <w:rFonts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53" w:customStyle="1">
    <w:name w:val="No List153"/>
    <w:next w:val="NoList"/>
    <w:uiPriority w:val="99"/>
    <w:semiHidden/>
    <w:unhideWhenUsed/>
    <w:rsid w:val="0072514F"/>
  </w:style>
  <w:style w:type="table" w:styleId="TableGrid11163" w:customStyle="1">
    <w:name w:val="Table Grid11163"/>
    <w:basedOn w:val="TableNormal"/>
    <w:next w:val="TableGrid"/>
    <w:uiPriority w:val="59"/>
    <w:rsid w:val="0072514F"/>
    <w:rPr>
      <w:rFonts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73" w:customStyle="1">
    <w:name w:val="Table Grid273"/>
    <w:basedOn w:val="TableNormal"/>
    <w:next w:val="TableGrid"/>
    <w:uiPriority w:val="39"/>
    <w:rsid w:val="0072514F"/>
    <w:rPr>
      <w:rFonts w:ascii="Calibri" w:hAnsi="Calibri" w:eastAsia="Calibri" w:cs="Arial"/>
      <w:sz w:val="22"/>
      <w:szCs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113" w:customStyle="1">
    <w:name w:val="Table Grid2113"/>
    <w:basedOn w:val="TableNormal"/>
    <w:next w:val="TableGrid"/>
    <w:uiPriority w:val="39"/>
    <w:rsid w:val="0072514F"/>
    <w:pPr>
      <w:spacing w:after="120" w:line="264" w:lineRule="auto"/>
    </w:pPr>
    <w:rPr>
      <w:rFonts w:ascii="Arial" w:hAnsi="Arial" w:eastAsia="Times New Roman" w:cs="Arial"/>
      <w:sz w:val="20"/>
      <w:szCs w:val="20"/>
      <w:lang w:eastAsia="zh-TW"/>
    </w:rPr>
    <w:tblPr>
      <w:tblInd w:w="57" w:type="dxa"/>
      <w:tblBorders>
        <w:top w:val="single" w:color="auto" w:sz="4" w:space="0"/>
        <w:bottom w:val="single" w:color="auto" w:sz="8" w:space="0"/>
        <w:insideH w:val="single" w:color="AAA19A" w:sz="4" w:space="0"/>
      </w:tblBorders>
      <w:tblCellMar>
        <w:left w:w="0" w:type="dxa"/>
        <w:right w:w="0" w:type="dxa"/>
      </w:tblCellMar>
    </w:tblPr>
    <w:tblStylePr w:type="firstRow">
      <w:tblPr/>
      <w:trPr>
        <w:tblHeader/>
      </w:trPr>
    </w:tblStylePr>
  </w:style>
  <w:style w:type="table" w:styleId="TableGrid313" w:customStyle="1">
    <w:name w:val="Table Grid313"/>
    <w:basedOn w:val="TableNormal"/>
    <w:next w:val="TableGrid"/>
    <w:uiPriority w:val="39"/>
    <w:rsid w:val="0072514F"/>
    <w:rPr>
      <w:rFonts w:ascii="Arial" w:hAnsi="Arial" w:eastAsia="Calibri" w:cs="Times New Roman"/>
      <w:sz w:val="20"/>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133" w:customStyle="1">
    <w:name w:val="No List1133"/>
    <w:next w:val="NoList"/>
    <w:uiPriority w:val="99"/>
    <w:semiHidden/>
    <w:rsid w:val="0072514F"/>
  </w:style>
  <w:style w:type="numbering" w:styleId="NoList11123" w:customStyle="1">
    <w:name w:val="No List11123"/>
    <w:next w:val="NoList"/>
    <w:uiPriority w:val="99"/>
    <w:semiHidden/>
    <w:rsid w:val="0072514F"/>
  </w:style>
  <w:style w:type="numbering" w:styleId="NoList213" w:customStyle="1">
    <w:name w:val="No List213"/>
    <w:next w:val="NoList"/>
    <w:uiPriority w:val="99"/>
    <w:semiHidden/>
    <w:unhideWhenUsed/>
    <w:rsid w:val="0072514F"/>
  </w:style>
  <w:style w:type="numbering" w:styleId="NoList1213" w:customStyle="1">
    <w:name w:val="No List1213"/>
    <w:next w:val="NoList"/>
    <w:uiPriority w:val="99"/>
    <w:semiHidden/>
    <w:unhideWhenUsed/>
    <w:rsid w:val="0072514F"/>
  </w:style>
  <w:style w:type="numbering" w:styleId="NoList11213" w:customStyle="1">
    <w:name w:val="No List11213"/>
    <w:next w:val="NoList"/>
    <w:uiPriority w:val="99"/>
    <w:semiHidden/>
    <w:unhideWhenUsed/>
    <w:rsid w:val="0072514F"/>
  </w:style>
  <w:style w:type="numbering" w:styleId="NoList111123" w:customStyle="1">
    <w:name w:val="No List111123"/>
    <w:next w:val="NoList"/>
    <w:semiHidden/>
    <w:rsid w:val="0072514F"/>
  </w:style>
  <w:style w:type="numbering" w:styleId="NoList1111123" w:customStyle="1">
    <w:name w:val="No List1111123"/>
    <w:next w:val="NoList"/>
    <w:uiPriority w:val="99"/>
    <w:semiHidden/>
    <w:rsid w:val="0072514F"/>
  </w:style>
  <w:style w:type="numbering" w:styleId="NoList11111113" w:customStyle="1">
    <w:name w:val="No List11111113"/>
    <w:next w:val="NoList"/>
    <w:semiHidden/>
    <w:rsid w:val="0072514F"/>
  </w:style>
  <w:style w:type="numbering" w:styleId="NoList313" w:customStyle="1">
    <w:name w:val="No List313"/>
    <w:next w:val="NoList"/>
    <w:uiPriority w:val="99"/>
    <w:semiHidden/>
    <w:unhideWhenUsed/>
    <w:rsid w:val="0072514F"/>
  </w:style>
  <w:style w:type="numbering" w:styleId="NoList1313" w:customStyle="1">
    <w:name w:val="No List1313"/>
    <w:next w:val="NoList"/>
    <w:uiPriority w:val="99"/>
    <w:semiHidden/>
    <w:unhideWhenUsed/>
    <w:rsid w:val="0072514F"/>
  </w:style>
  <w:style w:type="numbering" w:styleId="NoList413" w:customStyle="1">
    <w:name w:val="No List413"/>
    <w:next w:val="NoList"/>
    <w:uiPriority w:val="99"/>
    <w:semiHidden/>
    <w:unhideWhenUsed/>
    <w:rsid w:val="0072514F"/>
  </w:style>
  <w:style w:type="numbering" w:styleId="NoList1413" w:customStyle="1">
    <w:name w:val="No List1413"/>
    <w:next w:val="NoList"/>
    <w:uiPriority w:val="99"/>
    <w:semiHidden/>
    <w:unhideWhenUsed/>
    <w:rsid w:val="0072514F"/>
  </w:style>
  <w:style w:type="numbering" w:styleId="NoList63" w:customStyle="1">
    <w:name w:val="No List63"/>
    <w:next w:val="NoList"/>
    <w:uiPriority w:val="99"/>
    <w:semiHidden/>
    <w:unhideWhenUsed/>
    <w:rsid w:val="0072514F"/>
  </w:style>
  <w:style w:type="numbering" w:styleId="NoList73" w:customStyle="1">
    <w:name w:val="No List73"/>
    <w:next w:val="NoList"/>
    <w:uiPriority w:val="99"/>
    <w:semiHidden/>
    <w:unhideWhenUsed/>
    <w:rsid w:val="0072514F"/>
  </w:style>
  <w:style w:type="numbering" w:styleId="NoList82" w:customStyle="1">
    <w:name w:val="No List82"/>
    <w:next w:val="NoList"/>
    <w:uiPriority w:val="99"/>
    <w:semiHidden/>
    <w:unhideWhenUsed/>
    <w:rsid w:val="0072514F"/>
  </w:style>
  <w:style w:type="numbering" w:styleId="NoList92" w:customStyle="1">
    <w:name w:val="No List92"/>
    <w:next w:val="NoList"/>
    <w:uiPriority w:val="99"/>
    <w:semiHidden/>
    <w:unhideWhenUsed/>
    <w:rsid w:val="0072514F"/>
  </w:style>
  <w:style w:type="table" w:styleId="TableGrid282" w:customStyle="1">
    <w:name w:val="Table Grid282"/>
    <w:basedOn w:val="TableNormal"/>
    <w:next w:val="TableGrid"/>
    <w:uiPriority w:val="59"/>
    <w:rsid w:val="0072514F"/>
    <w:rPr>
      <w:rFonts w:eastAsia="PMingLiU"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52" w:customStyle="1">
    <w:name w:val="Table Grid1452"/>
    <w:basedOn w:val="TableNormal"/>
    <w:next w:val="TableGrid"/>
    <w:uiPriority w:val="59"/>
    <w:rsid w:val="0072514F"/>
    <w:rPr>
      <w:rFonts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62" w:customStyle="1">
    <w:name w:val="No List162"/>
    <w:next w:val="NoList"/>
    <w:uiPriority w:val="99"/>
    <w:semiHidden/>
    <w:unhideWhenUsed/>
    <w:rsid w:val="0072514F"/>
  </w:style>
  <w:style w:type="table" w:styleId="TableGrid11172" w:customStyle="1">
    <w:name w:val="Table Grid11172"/>
    <w:basedOn w:val="TableNormal"/>
    <w:next w:val="TableGrid"/>
    <w:uiPriority w:val="59"/>
    <w:rsid w:val="0072514F"/>
    <w:rPr>
      <w:rFonts w:eastAsia="Calibri"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92" w:customStyle="1">
    <w:name w:val="Table Grid292"/>
    <w:basedOn w:val="TableNormal"/>
    <w:next w:val="TableGrid"/>
    <w:uiPriority w:val="39"/>
    <w:rsid w:val="0072514F"/>
    <w:rPr>
      <w:rFonts w:ascii="Calibri" w:hAnsi="Calibri" w:eastAsia="Calibri" w:cs="Arial"/>
      <w:sz w:val="22"/>
      <w:szCs w:val="22"/>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122" w:customStyle="1">
    <w:name w:val="Table Grid2122"/>
    <w:basedOn w:val="TableNormal"/>
    <w:next w:val="TableGrid"/>
    <w:uiPriority w:val="39"/>
    <w:rsid w:val="0072514F"/>
    <w:pPr>
      <w:spacing w:after="120" w:line="264" w:lineRule="auto"/>
    </w:pPr>
    <w:rPr>
      <w:rFonts w:ascii="Arial" w:hAnsi="Arial" w:eastAsia="Times New Roman" w:cs="Arial"/>
      <w:sz w:val="20"/>
      <w:szCs w:val="20"/>
      <w:lang w:eastAsia="zh-TW"/>
    </w:rPr>
    <w:tblPr>
      <w:tblInd w:w="57" w:type="dxa"/>
      <w:tblBorders>
        <w:top w:val="single" w:color="auto" w:sz="4" w:space="0"/>
        <w:bottom w:val="single" w:color="auto" w:sz="8" w:space="0"/>
        <w:insideH w:val="single" w:color="AAA19A" w:sz="4" w:space="0"/>
      </w:tblBorders>
      <w:tblCellMar>
        <w:left w:w="0" w:type="dxa"/>
        <w:right w:w="0" w:type="dxa"/>
      </w:tblCellMar>
    </w:tblPr>
    <w:tblStylePr w:type="firstRow">
      <w:tblPr/>
      <w:trPr>
        <w:tblHeader/>
      </w:trPr>
    </w:tblStylePr>
  </w:style>
  <w:style w:type="table" w:styleId="TableGrid322" w:customStyle="1">
    <w:name w:val="Table Grid322"/>
    <w:basedOn w:val="TableNormal"/>
    <w:next w:val="TableGrid"/>
    <w:uiPriority w:val="39"/>
    <w:rsid w:val="0072514F"/>
    <w:rPr>
      <w:rFonts w:ascii="Arial" w:hAnsi="Arial" w:eastAsia="Calibri" w:cs="Times New Roman"/>
      <w:sz w:val="20"/>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142" w:customStyle="1">
    <w:name w:val="No List1142"/>
    <w:next w:val="NoList"/>
    <w:uiPriority w:val="99"/>
    <w:semiHidden/>
    <w:rsid w:val="0072514F"/>
  </w:style>
  <w:style w:type="numbering" w:styleId="NoList11132" w:customStyle="1">
    <w:name w:val="No List11132"/>
    <w:next w:val="NoList"/>
    <w:uiPriority w:val="99"/>
    <w:semiHidden/>
    <w:rsid w:val="0072514F"/>
  </w:style>
  <w:style w:type="numbering" w:styleId="NoList222" w:customStyle="1">
    <w:name w:val="No List222"/>
    <w:next w:val="NoList"/>
    <w:uiPriority w:val="99"/>
    <w:semiHidden/>
    <w:unhideWhenUsed/>
    <w:rsid w:val="0072514F"/>
  </w:style>
  <w:style w:type="numbering" w:styleId="NoList1222" w:customStyle="1">
    <w:name w:val="No List1222"/>
    <w:next w:val="NoList"/>
    <w:uiPriority w:val="99"/>
    <w:semiHidden/>
    <w:unhideWhenUsed/>
    <w:rsid w:val="0072514F"/>
  </w:style>
  <w:style w:type="numbering" w:styleId="NoList11222" w:customStyle="1">
    <w:name w:val="No List11222"/>
    <w:next w:val="NoList"/>
    <w:uiPriority w:val="99"/>
    <w:semiHidden/>
    <w:unhideWhenUsed/>
    <w:rsid w:val="0072514F"/>
  </w:style>
  <w:style w:type="numbering" w:styleId="NoList111132" w:customStyle="1">
    <w:name w:val="No List111132"/>
    <w:next w:val="NoList"/>
    <w:semiHidden/>
    <w:rsid w:val="0072514F"/>
  </w:style>
  <w:style w:type="numbering" w:styleId="NoList1111132" w:customStyle="1">
    <w:name w:val="No List1111132"/>
    <w:next w:val="NoList"/>
    <w:uiPriority w:val="99"/>
    <w:semiHidden/>
    <w:rsid w:val="0072514F"/>
  </w:style>
  <w:style w:type="numbering" w:styleId="NoList11111122" w:customStyle="1">
    <w:name w:val="No List11111122"/>
    <w:next w:val="NoList"/>
    <w:semiHidden/>
    <w:rsid w:val="0072514F"/>
  </w:style>
  <w:style w:type="numbering" w:styleId="NoList322" w:customStyle="1">
    <w:name w:val="No List322"/>
    <w:next w:val="NoList"/>
    <w:uiPriority w:val="99"/>
    <w:semiHidden/>
    <w:unhideWhenUsed/>
    <w:rsid w:val="0072514F"/>
  </w:style>
  <w:style w:type="numbering" w:styleId="NoList1322" w:customStyle="1">
    <w:name w:val="No List1322"/>
    <w:next w:val="NoList"/>
    <w:uiPriority w:val="99"/>
    <w:semiHidden/>
    <w:unhideWhenUsed/>
    <w:rsid w:val="0072514F"/>
  </w:style>
  <w:style w:type="numbering" w:styleId="NoList422" w:customStyle="1">
    <w:name w:val="No List422"/>
    <w:next w:val="NoList"/>
    <w:uiPriority w:val="99"/>
    <w:semiHidden/>
    <w:unhideWhenUsed/>
    <w:rsid w:val="0072514F"/>
  </w:style>
  <w:style w:type="numbering" w:styleId="NoList1422" w:customStyle="1">
    <w:name w:val="No List1422"/>
    <w:next w:val="NoList"/>
    <w:uiPriority w:val="99"/>
    <w:semiHidden/>
    <w:unhideWhenUsed/>
    <w:rsid w:val="0072514F"/>
  </w:style>
  <w:style w:type="numbering" w:styleId="NoList512" w:customStyle="1">
    <w:name w:val="No List512"/>
    <w:next w:val="NoList"/>
    <w:uiPriority w:val="99"/>
    <w:semiHidden/>
    <w:unhideWhenUsed/>
    <w:rsid w:val="0072514F"/>
  </w:style>
  <w:style w:type="numbering" w:styleId="NoList1512" w:customStyle="1">
    <w:name w:val="No List1512"/>
    <w:next w:val="NoList"/>
    <w:uiPriority w:val="99"/>
    <w:semiHidden/>
    <w:unhideWhenUsed/>
    <w:rsid w:val="0072514F"/>
  </w:style>
  <w:style w:type="numbering" w:styleId="NoList11312" w:customStyle="1">
    <w:name w:val="No List11312"/>
    <w:next w:val="NoList"/>
    <w:uiPriority w:val="99"/>
    <w:semiHidden/>
    <w:rsid w:val="0072514F"/>
  </w:style>
  <w:style w:type="table" w:styleId="TableGrid712" w:customStyle="1">
    <w:name w:val="Table Grid712"/>
    <w:basedOn w:val="TableNormal"/>
    <w:next w:val="TableGrid"/>
    <w:uiPriority w:val="39"/>
    <w:rsid w:val="0072514F"/>
    <w:rPr>
      <w:rFonts w:ascii="Arial" w:hAnsi="Arial" w:eastAsia="Calibri" w:cs="Times New Roman"/>
      <w:sz w:val="20"/>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412" w:customStyle="1">
    <w:name w:val="Table Grid14412"/>
    <w:basedOn w:val="TableNormal"/>
    <w:next w:val="TableGrid"/>
    <w:uiPriority w:val="59"/>
    <w:rsid w:val="0072514F"/>
    <w:rPr>
      <w:rFonts w:ascii="Calibri" w:hAnsi="Calibri" w:eastAsia="Times New Roman" w:cs="Times New Roman"/>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11212" w:customStyle="1">
    <w:name w:val="No List111212"/>
    <w:next w:val="NoList"/>
    <w:uiPriority w:val="99"/>
    <w:semiHidden/>
    <w:rsid w:val="0072514F"/>
  </w:style>
  <w:style w:type="numbering" w:styleId="NoList2112" w:customStyle="1">
    <w:name w:val="No List2112"/>
    <w:next w:val="NoList"/>
    <w:uiPriority w:val="99"/>
    <w:semiHidden/>
    <w:unhideWhenUsed/>
    <w:rsid w:val="0072514F"/>
  </w:style>
  <w:style w:type="numbering" w:styleId="NoList12112" w:customStyle="1">
    <w:name w:val="No List12112"/>
    <w:next w:val="NoList"/>
    <w:uiPriority w:val="99"/>
    <w:semiHidden/>
    <w:unhideWhenUsed/>
    <w:rsid w:val="0072514F"/>
  </w:style>
  <w:style w:type="numbering" w:styleId="NoList112112" w:customStyle="1">
    <w:name w:val="No List112112"/>
    <w:next w:val="NoList"/>
    <w:uiPriority w:val="99"/>
    <w:semiHidden/>
    <w:unhideWhenUsed/>
    <w:rsid w:val="0072514F"/>
  </w:style>
  <w:style w:type="numbering" w:styleId="NoList1111212" w:customStyle="1">
    <w:name w:val="No List1111212"/>
    <w:next w:val="NoList"/>
    <w:semiHidden/>
    <w:rsid w:val="0072514F"/>
  </w:style>
  <w:style w:type="numbering" w:styleId="NoList11111212" w:customStyle="1">
    <w:name w:val="No List11111212"/>
    <w:next w:val="NoList"/>
    <w:uiPriority w:val="99"/>
    <w:semiHidden/>
    <w:rsid w:val="0072514F"/>
  </w:style>
  <w:style w:type="numbering" w:styleId="NoList111111112" w:customStyle="1">
    <w:name w:val="No List111111112"/>
    <w:next w:val="NoList"/>
    <w:semiHidden/>
    <w:rsid w:val="0072514F"/>
  </w:style>
  <w:style w:type="table" w:styleId="TableGrid2412" w:customStyle="1">
    <w:name w:val="Table Grid2412"/>
    <w:basedOn w:val="TableNormal"/>
    <w:next w:val="TableGrid"/>
    <w:uiPriority w:val="59"/>
    <w:rsid w:val="0072514F"/>
    <w:pPr>
      <w:adjustRightInd w:val="0"/>
    </w:pPr>
    <w:rPr>
      <w:rFonts w:eastAsia="Calibri" w:cs="Times New Roman"/>
      <w:sz w:val="20"/>
      <w:szCs w:val="20"/>
      <w:lang w:val="en-GB" w:eastAsia="en-GB"/>
    </w:rPr>
    <w:tblPr>
      <w:tblBorders>
        <w:top w:val="single" w:color="auto" w:sz="4" w:space="0"/>
        <w:left w:val="single" w:color="auto" w:sz="4" w:space="0"/>
        <w:bottom w:val="single" w:color="auto" w:sz="4" w:space="0"/>
        <w:right w:val="single" w:color="auto" w:sz="4" w:space="0"/>
      </w:tblBorders>
      <w:tblCellMar>
        <w:top w:w="3" w:type="dxa"/>
        <w:bottom w:w="3" w:type="dxa"/>
      </w:tblCellMar>
    </w:tblPr>
  </w:style>
  <w:style w:type="table" w:styleId="TableGrid3112" w:customStyle="1">
    <w:name w:val="Table Grid3112"/>
    <w:basedOn w:val="TableNormal"/>
    <w:next w:val="TableGrid"/>
    <w:uiPriority w:val="39"/>
    <w:rsid w:val="0072514F"/>
    <w:rPr>
      <w:rFonts w:eastAsia="Microsoft JhengHei" w:cs="Times New Roman"/>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612" w:customStyle="1">
    <w:name w:val="Table Grid111612"/>
    <w:basedOn w:val="TableNormal"/>
    <w:next w:val="TableGrid"/>
    <w:uiPriority w:val="59"/>
    <w:rsid w:val="0072514F"/>
    <w:rPr>
      <w:rFonts w:eastAsia="Calibri" w:cs="Times New Roman"/>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3112" w:customStyle="1">
    <w:name w:val="No List3112"/>
    <w:next w:val="NoList"/>
    <w:uiPriority w:val="99"/>
    <w:semiHidden/>
    <w:unhideWhenUsed/>
    <w:rsid w:val="0072514F"/>
  </w:style>
  <w:style w:type="numbering" w:styleId="NoList13112" w:customStyle="1">
    <w:name w:val="No List13112"/>
    <w:next w:val="NoList"/>
    <w:uiPriority w:val="99"/>
    <w:semiHidden/>
    <w:unhideWhenUsed/>
    <w:rsid w:val="0072514F"/>
  </w:style>
  <w:style w:type="table" w:styleId="TableGrid21112" w:customStyle="1">
    <w:name w:val="Table Grid21112"/>
    <w:basedOn w:val="TableNormal"/>
    <w:next w:val="TableGrid"/>
    <w:uiPriority w:val="39"/>
    <w:rsid w:val="0072514F"/>
    <w:rPr>
      <w:rFonts w:ascii="Calibri" w:hAnsi="Calibri" w:eastAsia="Calibri" w:cs="Arial"/>
      <w:sz w:val="22"/>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4112" w:customStyle="1">
    <w:name w:val="No List4112"/>
    <w:next w:val="NoList"/>
    <w:uiPriority w:val="99"/>
    <w:semiHidden/>
    <w:unhideWhenUsed/>
    <w:rsid w:val="0072514F"/>
  </w:style>
  <w:style w:type="numbering" w:styleId="NoList14112" w:customStyle="1">
    <w:name w:val="No List14112"/>
    <w:next w:val="NoList"/>
    <w:uiPriority w:val="99"/>
    <w:semiHidden/>
    <w:unhideWhenUsed/>
    <w:rsid w:val="0072514F"/>
  </w:style>
  <w:style w:type="numbering" w:styleId="NoList612" w:customStyle="1">
    <w:name w:val="No List612"/>
    <w:next w:val="NoList"/>
    <w:uiPriority w:val="99"/>
    <w:semiHidden/>
    <w:unhideWhenUsed/>
    <w:rsid w:val="0072514F"/>
  </w:style>
  <w:style w:type="numbering" w:styleId="NoList712" w:customStyle="1">
    <w:name w:val="No List712"/>
    <w:next w:val="NoList"/>
    <w:uiPriority w:val="99"/>
    <w:semiHidden/>
    <w:unhideWhenUsed/>
    <w:rsid w:val="0072514F"/>
  </w:style>
  <w:style w:type="numbering" w:styleId="NoList1611" w:customStyle="1">
    <w:name w:val="No List1611"/>
    <w:next w:val="NoList"/>
    <w:uiPriority w:val="99"/>
    <w:semiHidden/>
    <w:unhideWhenUsed/>
    <w:rsid w:val="0072514F"/>
  </w:style>
  <w:style w:type="numbering" w:styleId="NoList11411" w:customStyle="1">
    <w:name w:val="No List11411"/>
    <w:next w:val="NoList"/>
    <w:uiPriority w:val="99"/>
    <w:semiHidden/>
    <w:rsid w:val="0072514F"/>
  </w:style>
  <w:style w:type="table" w:styleId="TableGrid2612" w:customStyle="1">
    <w:name w:val="Table Grid2612"/>
    <w:basedOn w:val="TableNormal"/>
    <w:next w:val="TableGrid"/>
    <w:uiPriority w:val="59"/>
    <w:rsid w:val="0072514F"/>
    <w:rPr>
      <w:rFonts w:ascii="Arial" w:hAnsi="Arial" w:eastAsia="Calibri" w:cs="Times New Roman"/>
      <w:sz w:val="20"/>
      <w:szCs w:val="22"/>
      <w:lang w:val="en-GB"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11311" w:customStyle="1">
    <w:name w:val="No List111311"/>
    <w:next w:val="NoList"/>
    <w:uiPriority w:val="99"/>
    <w:semiHidden/>
    <w:rsid w:val="0072514F"/>
  </w:style>
  <w:style w:type="numbering" w:styleId="NoList2211" w:customStyle="1">
    <w:name w:val="No List2211"/>
    <w:next w:val="NoList"/>
    <w:uiPriority w:val="99"/>
    <w:semiHidden/>
    <w:unhideWhenUsed/>
    <w:rsid w:val="0072514F"/>
  </w:style>
  <w:style w:type="numbering" w:styleId="NoList12211" w:customStyle="1">
    <w:name w:val="No List12211"/>
    <w:next w:val="NoList"/>
    <w:uiPriority w:val="99"/>
    <w:semiHidden/>
    <w:unhideWhenUsed/>
    <w:rsid w:val="0072514F"/>
  </w:style>
  <w:style w:type="numbering" w:styleId="NoList112211" w:customStyle="1">
    <w:name w:val="No List112211"/>
    <w:next w:val="NoList"/>
    <w:uiPriority w:val="99"/>
    <w:semiHidden/>
    <w:unhideWhenUsed/>
    <w:rsid w:val="0072514F"/>
  </w:style>
  <w:style w:type="numbering" w:styleId="NoList1111311" w:customStyle="1">
    <w:name w:val="No List1111311"/>
    <w:next w:val="NoList"/>
    <w:semiHidden/>
    <w:rsid w:val="0072514F"/>
  </w:style>
  <w:style w:type="numbering" w:styleId="NoList11111311" w:customStyle="1">
    <w:name w:val="No List11111311"/>
    <w:next w:val="NoList"/>
    <w:uiPriority w:val="99"/>
    <w:semiHidden/>
    <w:rsid w:val="0072514F"/>
  </w:style>
  <w:style w:type="numbering" w:styleId="NoList111111211" w:customStyle="1">
    <w:name w:val="No List111111211"/>
    <w:next w:val="NoList"/>
    <w:semiHidden/>
    <w:rsid w:val="0072514F"/>
  </w:style>
  <w:style w:type="table" w:styleId="TableGrid2712" w:customStyle="1">
    <w:name w:val="Table Grid2712"/>
    <w:basedOn w:val="TableNormal"/>
    <w:next w:val="TableGrid"/>
    <w:uiPriority w:val="39"/>
    <w:rsid w:val="0072514F"/>
    <w:pPr>
      <w:adjustRightInd w:val="0"/>
    </w:pPr>
    <w:rPr>
      <w:rFonts w:eastAsia="Calibri" w:cs="Times New Roman"/>
      <w:sz w:val="20"/>
      <w:szCs w:val="20"/>
      <w:lang w:val="en-GB" w:eastAsia="en-GB"/>
    </w:rPr>
    <w:tblPr>
      <w:tblBorders>
        <w:top w:val="single" w:color="auto" w:sz="4" w:space="0"/>
        <w:left w:val="single" w:color="auto" w:sz="4" w:space="0"/>
        <w:bottom w:val="single" w:color="auto" w:sz="4" w:space="0"/>
        <w:right w:val="single" w:color="auto" w:sz="4" w:space="0"/>
      </w:tblBorders>
      <w:tblCellMar>
        <w:top w:w="3" w:type="dxa"/>
        <w:bottom w:w="3" w:type="dxa"/>
      </w:tblCellMar>
    </w:tblPr>
  </w:style>
  <w:style w:type="numbering" w:styleId="NoList3211" w:customStyle="1">
    <w:name w:val="No List3211"/>
    <w:next w:val="NoList"/>
    <w:uiPriority w:val="99"/>
    <w:semiHidden/>
    <w:unhideWhenUsed/>
    <w:rsid w:val="0072514F"/>
  </w:style>
  <w:style w:type="numbering" w:styleId="NoList13211" w:customStyle="1">
    <w:name w:val="No List13211"/>
    <w:next w:val="NoList"/>
    <w:uiPriority w:val="99"/>
    <w:semiHidden/>
    <w:unhideWhenUsed/>
    <w:rsid w:val="0072514F"/>
  </w:style>
  <w:style w:type="numbering" w:styleId="NoList4211" w:customStyle="1">
    <w:name w:val="No List4211"/>
    <w:next w:val="NoList"/>
    <w:uiPriority w:val="99"/>
    <w:semiHidden/>
    <w:unhideWhenUsed/>
    <w:rsid w:val="0072514F"/>
  </w:style>
  <w:style w:type="numbering" w:styleId="NoList14211" w:customStyle="1">
    <w:name w:val="No List14211"/>
    <w:next w:val="NoList"/>
    <w:uiPriority w:val="99"/>
    <w:semiHidden/>
    <w:unhideWhenUsed/>
    <w:rsid w:val="0072514F"/>
  </w:style>
  <w:style w:type="numbering" w:styleId="NoList5111" w:customStyle="1">
    <w:name w:val="No List5111"/>
    <w:next w:val="NoList"/>
    <w:uiPriority w:val="99"/>
    <w:semiHidden/>
    <w:unhideWhenUsed/>
    <w:rsid w:val="0072514F"/>
  </w:style>
  <w:style w:type="numbering" w:styleId="NoList15111" w:customStyle="1">
    <w:name w:val="No List15111"/>
    <w:next w:val="NoList"/>
    <w:uiPriority w:val="99"/>
    <w:semiHidden/>
    <w:unhideWhenUsed/>
    <w:rsid w:val="0072514F"/>
  </w:style>
  <w:style w:type="numbering" w:styleId="NoList113111" w:customStyle="1">
    <w:name w:val="No List113111"/>
    <w:next w:val="NoList"/>
    <w:uiPriority w:val="99"/>
    <w:semiHidden/>
    <w:rsid w:val="0072514F"/>
  </w:style>
  <w:style w:type="numbering" w:styleId="NoList1112111" w:customStyle="1">
    <w:name w:val="No List1112111"/>
    <w:next w:val="NoList"/>
    <w:uiPriority w:val="99"/>
    <w:semiHidden/>
    <w:rsid w:val="0072514F"/>
  </w:style>
  <w:style w:type="numbering" w:styleId="NoList21111" w:customStyle="1">
    <w:name w:val="No List21111"/>
    <w:next w:val="NoList"/>
    <w:uiPriority w:val="99"/>
    <w:semiHidden/>
    <w:unhideWhenUsed/>
    <w:rsid w:val="0072514F"/>
  </w:style>
  <w:style w:type="numbering" w:styleId="NoList121111" w:customStyle="1">
    <w:name w:val="No List121111"/>
    <w:next w:val="NoList"/>
    <w:uiPriority w:val="99"/>
    <w:semiHidden/>
    <w:unhideWhenUsed/>
    <w:rsid w:val="0072514F"/>
  </w:style>
  <w:style w:type="numbering" w:styleId="NoList1121111" w:customStyle="1">
    <w:name w:val="No List1121111"/>
    <w:next w:val="NoList"/>
    <w:uiPriority w:val="99"/>
    <w:semiHidden/>
    <w:unhideWhenUsed/>
    <w:rsid w:val="0072514F"/>
  </w:style>
  <w:style w:type="numbering" w:styleId="NoList11112111" w:customStyle="1">
    <w:name w:val="No List11112111"/>
    <w:next w:val="NoList"/>
    <w:semiHidden/>
    <w:rsid w:val="0072514F"/>
  </w:style>
  <w:style w:type="numbering" w:styleId="NoList111112111" w:customStyle="1">
    <w:name w:val="No List111112111"/>
    <w:next w:val="NoList"/>
    <w:uiPriority w:val="99"/>
    <w:semiHidden/>
    <w:rsid w:val="0072514F"/>
  </w:style>
  <w:style w:type="numbering" w:styleId="NoList1111111111" w:customStyle="1">
    <w:name w:val="No List1111111111"/>
    <w:next w:val="NoList"/>
    <w:semiHidden/>
    <w:rsid w:val="0072514F"/>
  </w:style>
  <w:style w:type="numbering" w:styleId="NoList31111" w:customStyle="1">
    <w:name w:val="No List31111"/>
    <w:next w:val="NoList"/>
    <w:uiPriority w:val="99"/>
    <w:semiHidden/>
    <w:unhideWhenUsed/>
    <w:rsid w:val="0072514F"/>
  </w:style>
  <w:style w:type="numbering" w:styleId="NoList131111" w:customStyle="1">
    <w:name w:val="No List131111"/>
    <w:next w:val="NoList"/>
    <w:uiPriority w:val="99"/>
    <w:semiHidden/>
    <w:unhideWhenUsed/>
    <w:rsid w:val="0072514F"/>
  </w:style>
  <w:style w:type="numbering" w:styleId="NoList41111" w:customStyle="1">
    <w:name w:val="No List41111"/>
    <w:next w:val="NoList"/>
    <w:uiPriority w:val="99"/>
    <w:semiHidden/>
    <w:unhideWhenUsed/>
    <w:rsid w:val="0072514F"/>
  </w:style>
  <w:style w:type="numbering" w:styleId="NoList141111" w:customStyle="1">
    <w:name w:val="No List141111"/>
    <w:next w:val="NoList"/>
    <w:uiPriority w:val="99"/>
    <w:semiHidden/>
    <w:unhideWhenUsed/>
    <w:rsid w:val="0072514F"/>
  </w:style>
  <w:style w:type="numbering" w:styleId="NoList6111" w:customStyle="1">
    <w:name w:val="No List6111"/>
    <w:next w:val="NoList"/>
    <w:uiPriority w:val="99"/>
    <w:semiHidden/>
    <w:unhideWhenUsed/>
    <w:rsid w:val="0072514F"/>
  </w:style>
  <w:style w:type="numbering" w:styleId="NoList7111" w:customStyle="1">
    <w:name w:val="No List7111"/>
    <w:next w:val="NoList"/>
    <w:uiPriority w:val="99"/>
    <w:semiHidden/>
    <w:unhideWhenUsed/>
    <w:rsid w:val="0072514F"/>
  </w:style>
  <w:style w:type="numbering" w:styleId="NoList812" w:customStyle="1">
    <w:name w:val="No List812"/>
    <w:next w:val="NoList"/>
    <w:uiPriority w:val="99"/>
    <w:semiHidden/>
    <w:unhideWhenUsed/>
    <w:rsid w:val="0072514F"/>
  </w:style>
  <w:style w:type="numbering" w:styleId="NoList911" w:customStyle="1">
    <w:name w:val="No List911"/>
    <w:next w:val="NoList"/>
    <w:uiPriority w:val="99"/>
    <w:semiHidden/>
    <w:unhideWhenUsed/>
    <w:rsid w:val="0072514F"/>
  </w:style>
  <w:style w:type="numbering" w:styleId="NoList171" w:customStyle="1">
    <w:name w:val="No List171"/>
    <w:next w:val="NoList"/>
    <w:uiPriority w:val="99"/>
    <w:semiHidden/>
    <w:unhideWhenUsed/>
    <w:rsid w:val="0072514F"/>
  </w:style>
  <w:style w:type="numbering" w:styleId="NoList1151" w:customStyle="1">
    <w:name w:val="No List1151"/>
    <w:next w:val="NoList"/>
    <w:uiPriority w:val="99"/>
    <w:semiHidden/>
    <w:rsid w:val="0072514F"/>
  </w:style>
  <w:style w:type="numbering" w:styleId="NoList11141" w:customStyle="1">
    <w:name w:val="No List11141"/>
    <w:next w:val="NoList"/>
    <w:uiPriority w:val="99"/>
    <w:semiHidden/>
    <w:rsid w:val="0072514F"/>
  </w:style>
  <w:style w:type="numbering" w:styleId="NoList231" w:customStyle="1">
    <w:name w:val="No List231"/>
    <w:next w:val="NoList"/>
    <w:uiPriority w:val="99"/>
    <w:semiHidden/>
    <w:unhideWhenUsed/>
    <w:rsid w:val="0072514F"/>
  </w:style>
  <w:style w:type="numbering" w:styleId="NoList1231" w:customStyle="1">
    <w:name w:val="No List1231"/>
    <w:next w:val="NoList"/>
    <w:uiPriority w:val="99"/>
    <w:semiHidden/>
    <w:unhideWhenUsed/>
    <w:rsid w:val="0072514F"/>
  </w:style>
  <w:style w:type="numbering" w:styleId="NoList11231" w:customStyle="1">
    <w:name w:val="No List11231"/>
    <w:next w:val="NoList"/>
    <w:uiPriority w:val="99"/>
    <w:semiHidden/>
    <w:unhideWhenUsed/>
    <w:rsid w:val="0072514F"/>
  </w:style>
  <w:style w:type="numbering" w:styleId="NoList111141" w:customStyle="1">
    <w:name w:val="No List111141"/>
    <w:next w:val="NoList"/>
    <w:semiHidden/>
    <w:rsid w:val="0072514F"/>
  </w:style>
  <w:style w:type="numbering" w:styleId="NoList1111141" w:customStyle="1">
    <w:name w:val="No List1111141"/>
    <w:next w:val="NoList"/>
    <w:uiPriority w:val="99"/>
    <w:semiHidden/>
    <w:rsid w:val="0072514F"/>
  </w:style>
  <w:style w:type="numbering" w:styleId="NoList11111131" w:customStyle="1">
    <w:name w:val="No List11111131"/>
    <w:next w:val="NoList"/>
    <w:semiHidden/>
    <w:rsid w:val="0072514F"/>
  </w:style>
  <w:style w:type="numbering" w:styleId="NoList331" w:customStyle="1">
    <w:name w:val="No List331"/>
    <w:next w:val="NoList"/>
    <w:uiPriority w:val="99"/>
    <w:semiHidden/>
    <w:unhideWhenUsed/>
    <w:rsid w:val="0072514F"/>
  </w:style>
  <w:style w:type="numbering" w:styleId="NoList1331" w:customStyle="1">
    <w:name w:val="No List1331"/>
    <w:next w:val="NoList"/>
    <w:uiPriority w:val="99"/>
    <w:semiHidden/>
    <w:unhideWhenUsed/>
    <w:rsid w:val="0072514F"/>
  </w:style>
  <w:style w:type="numbering" w:styleId="NoList431" w:customStyle="1">
    <w:name w:val="No List431"/>
    <w:next w:val="NoList"/>
    <w:uiPriority w:val="99"/>
    <w:semiHidden/>
    <w:unhideWhenUsed/>
    <w:rsid w:val="0072514F"/>
  </w:style>
  <w:style w:type="numbering" w:styleId="NoList1431" w:customStyle="1">
    <w:name w:val="No List1431"/>
    <w:next w:val="NoList"/>
    <w:uiPriority w:val="99"/>
    <w:semiHidden/>
    <w:unhideWhenUsed/>
    <w:rsid w:val="0072514F"/>
  </w:style>
  <w:style w:type="numbering" w:styleId="NoList521" w:customStyle="1">
    <w:name w:val="No List521"/>
    <w:next w:val="NoList"/>
    <w:uiPriority w:val="99"/>
    <w:semiHidden/>
    <w:unhideWhenUsed/>
    <w:rsid w:val="0072514F"/>
  </w:style>
  <w:style w:type="numbering" w:styleId="NoList1521" w:customStyle="1">
    <w:name w:val="No List1521"/>
    <w:next w:val="NoList"/>
    <w:uiPriority w:val="99"/>
    <w:semiHidden/>
    <w:unhideWhenUsed/>
    <w:rsid w:val="0072514F"/>
  </w:style>
  <w:style w:type="numbering" w:styleId="NoList11321" w:customStyle="1">
    <w:name w:val="No List11321"/>
    <w:next w:val="NoList"/>
    <w:uiPriority w:val="99"/>
    <w:semiHidden/>
    <w:rsid w:val="0072514F"/>
  </w:style>
  <w:style w:type="numbering" w:styleId="NoList111221" w:customStyle="1">
    <w:name w:val="No List111221"/>
    <w:next w:val="NoList"/>
    <w:uiPriority w:val="99"/>
    <w:semiHidden/>
    <w:rsid w:val="0072514F"/>
  </w:style>
  <w:style w:type="numbering" w:styleId="NoList2121" w:customStyle="1">
    <w:name w:val="No List2121"/>
    <w:next w:val="NoList"/>
    <w:uiPriority w:val="99"/>
    <w:semiHidden/>
    <w:unhideWhenUsed/>
    <w:rsid w:val="0072514F"/>
  </w:style>
  <w:style w:type="numbering" w:styleId="NoList12121" w:customStyle="1">
    <w:name w:val="No List12121"/>
    <w:next w:val="NoList"/>
    <w:uiPriority w:val="99"/>
    <w:semiHidden/>
    <w:unhideWhenUsed/>
    <w:rsid w:val="0072514F"/>
  </w:style>
  <w:style w:type="numbering" w:styleId="NoList112121" w:customStyle="1">
    <w:name w:val="No List112121"/>
    <w:next w:val="NoList"/>
    <w:uiPriority w:val="99"/>
    <w:semiHidden/>
    <w:unhideWhenUsed/>
    <w:rsid w:val="0072514F"/>
  </w:style>
  <w:style w:type="numbering" w:styleId="NoList1111221" w:customStyle="1">
    <w:name w:val="No List1111221"/>
    <w:next w:val="NoList"/>
    <w:semiHidden/>
    <w:rsid w:val="0072514F"/>
  </w:style>
  <w:style w:type="numbering" w:styleId="NoList11111221" w:customStyle="1">
    <w:name w:val="No List11111221"/>
    <w:next w:val="NoList"/>
    <w:uiPriority w:val="99"/>
    <w:semiHidden/>
    <w:rsid w:val="0072514F"/>
  </w:style>
  <w:style w:type="numbering" w:styleId="NoList111111121" w:customStyle="1">
    <w:name w:val="No List111111121"/>
    <w:next w:val="NoList"/>
    <w:semiHidden/>
    <w:rsid w:val="0072514F"/>
  </w:style>
  <w:style w:type="numbering" w:styleId="NoList3121" w:customStyle="1">
    <w:name w:val="No List3121"/>
    <w:next w:val="NoList"/>
    <w:uiPriority w:val="99"/>
    <w:semiHidden/>
    <w:unhideWhenUsed/>
    <w:rsid w:val="0072514F"/>
  </w:style>
  <w:style w:type="numbering" w:styleId="NoList13121" w:customStyle="1">
    <w:name w:val="No List13121"/>
    <w:next w:val="NoList"/>
    <w:uiPriority w:val="99"/>
    <w:semiHidden/>
    <w:unhideWhenUsed/>
    <w:rsid w:val="0072514F"/>
  </w:style>
  <w:style w:type="numbering" w:styleId="NoList4121" w:customStyle="1">
    <w:name w:val="No List4121"/>
    <w:next w:val="NoList"/>
    <w:uiPriority w:val="99"/>
    <w:semiHidden/>
    <w:unhideWhenUsed/>
    <w:rsid w:val="0072514F"/>
  </w:style>
  <w:style w:type="numbering" w:styleId="NoList14121" w:customStyle="1">
    <w:name w:val="No List14121"/>
    <w:next w:val="NoList"/>
    <w:uiPriority w:val="99"/>
    <w:semiHidden/>
    <w:unhideWhenUsed/>
    <w:rsid w:val="0072514F"/>
  </w:style>
  <w:style w:type="numbering" w:styleId="NoList621" w:customStyle="1">
    <w:name w:val="No List621"/>
    <w:next w:val="NoList"/>
    <w:uiPriority w:val="99"/>
    <w:semiHidden/>
    <w:unhideWhenUsed/>
    <w:rsid w:val="0072514F"/>
  </w:style>
  <w:style w:type="numbering" w:styleId="NoList721" w:customStyle="1">
    <w:name w:val="No List721"/>
    <w:next w:val="NoList"/>
    <w:uiPriority w:val="99"/>
    <w:semiHidden/>
    <w:unhideWhenUsed/>
    <w:rsid w:val="0072514F"/>
  </w:style>
  <w:style w:type="numbering" w:styleId="NoList8111" w:customStyle="1">
    <w:name w:val="No List8111"/>
    <w:next w:val="NoList"/>
    <w:uiPriority w:val="99"/>
    <w:semiHidden/>
    <w:unhideWhenUsed/>
    <w:rsid w:val="0072514F"/>
  </w:style>
  <w:style w:type="numbering" w:styleId="NoList101" w:customStyle="1">
    <w:name w:val="No List101"/>
    <w:next w:val="NoList"/>
    <w:uiPriority w:val="99"/>
    <w:semiHidden/>
    <w:unhideWhenUsed/>
    <w:rsid w:val="0072514F"/>
  </w:style>
  <w:style w:type="paragraph" w:styleId="BodyText2SglJItal" w:customStyle="1">
    <w:name w:val="Body Text 2 Sgl J Ital"/>
    <w:basedOn w:val="BodyJItal"/>
    <w:qFormat/>
    <w:rsid w:val="003D6EB0"/>
    <w:pPr>
      <w:ind w:firstLine="72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936">
      <w:bodyDiv w:val="1"/>
      <w:marLeft w:val="0"/>
      <w:marRight w:val="0"/>
      <w:marTop w:val="0"/>
      <w:marBottom w:val="0"/>
      <w:divBdr>
        <w:top w:val="none" w:sz="0" w:space="0" w:color="auto"/>
        <w:left w:val="none" w:sz="0" w:space="0" w:color="auto"/>
        <w:bottom w:val="none" w:sz="0" w:space="0" w:color="auto"/>
        <w:right w:val="none" w:sz="0" w:space="0" w:color="auto"/>
      </w:divBdr>
    </w:div>
    <w:div w:id="29844731">
      <w:bodyDiv w:val="1"/>
      <w:marLeft w:val="0"/>
      <w:marRight w:val="0"/>
      <w:marTop w:val="0"/>
      <w:marBottom w:val="0"/>
      <w:divBdr>
        <w:top w:val="none" w:sz="0" w:space="0" w:color="auto"/>
        <w:left w:val="none" w:sz="0" w:space="0" w:color="auto"/>
        <w:bottom w:val="none" w:sz="0" w:space="0" w:color="auto"/>
        <w:right w:val="none" w:sz="0" w:space="0" w:color="auto"/>
      </w:divBdr>
    </w:div>
    <w:div w:id="44762249">
      <w:bodyDiv w:val="1"/>
      <w:marLeft w:val="0"/>
      <w:marRight w:val="0"/>
      <w:marTop w:val="0"/>
      <w:marBottom w:val="0"/>
      <w:divBdr>
        <w:top w:val="none" w:sz="0" w:space="0" w:color="auto"/>
        <w:left w:val="none" w:sz="0" w:space="0" w:color="auto"/>
        <w:bottom w:val="none" w:sz="0" w:space="0" w:color="auto"/>
        <w:right w:val="none" w:sz="0" w:space="0" w:color="auto"/>
      </w:divBdr>
    </w:div>
    <w:div w:id="50812484">
      <w:bodyDiv w:val="1"/>
      <w:marLeft w:val="0"/>
      <w:marRight w:val="0"/>
      <w:marTop w:val="0"/>
      <w:marBottom w:val="0"/>
      <w:divBdr>
        <w:top w:val="none" w:sz="0" w:space="0" w:color="auto"/>
        <w:left w:val="none" w:sz="0" w:space="0" w:color="auto"/>
        <w:bottom w:val="none" w:sz="0" w:space="0" w:color="auto"/>
        <w:right w:val="none" w:sz="0" w:space="0" w:color="auto"/>
      </w:divBdr>
    </w:div>
    <w:div w:id="110369892">
      <w:bodyDiv w:val="1"/>
      <w:marLeft w:val="0"/>
      <w:marRight w:val="0"/>
      <w:marTop w:val="0"/>
      <w:marBottom w:val="0"/>
      <w:divBdr>
        <w:top w:val="none" w:sz="0" w:space="0" w:color="auto"/>
        <w:left w:val="none" w:sz="0" w:space="0" w:color="auto"/>
        <w:bottom w:val="none" w:sz="0" w:space="0" w:color="auto"/>
        <w:right w:val="none" w:sz="0" w:space="0" w:color="auto"/>
      </w:divBdr>
    </w:div>
    <w:div w:id="123741736">
      <w:bodyDiv w:val="1"/>
      <w:marLeft w:val="0"/>
      <w:marRight w:val="0"/>
      <w:marTop w:val="0"/>
      <w:marBottom w:val="0"/>
      <w:divBdr>
        <w:top w:val="none" w:sz="0" w:space="0" w:color="auto"/>
        <w:left w:val="none" w:sz="0" w:space="0" w:color="auto"/>
        <w:bottom w:val="none" w:sz="0" w:space="0" w:color="auto"/>
        <w:right w:val="none" w:sz="0" w:space="0" w:color="auto"/>
      </w:divBdr>
    </w:div>
    <w:div w:id="140847574">
      <w:bodyDiv w:val="1"/>
      <w:marLeft w:val="0"/>
      <w:marRight w:val="0"/>
      <w:marTop w:val="0"/>
      <w:marBottom w:val="0"/>
      <w:divBdr>
        <w:top w:val="none" w:sz="0" w:space="0" w:color="auto"/>
        <w:left w:val="none" w:sz="0" w:space="0" w:color="auto"/>
        <w:bottom w:val="none" w:sz="0" w:space="0" w:color="auto"/>
        <w:right w:val="none" w:sz="0" w:space="0" w:color="auto"/>
      </w:divBdr>
    </w:div>
    <w:div w:id="178929058">
      <w:bodyDiv w:val="1"/>
      <w:marLeft w:val="0"/>
      <w:marRight w:val="0"/>
      <w:marTop w:val="0"/>
      <w:marBottom w:val="0"/>
      <w:divBdr>
        <w:top w:val="none" w:sz="0" w:space="0" w:color="auto"/>
        <w:left w:val="none" w:sz="0" w:space="0" w:color="auto"/>
        <w:bottom w:val="none" w:sz="0" w:space="0" w:color="auto"/>
        <w:right w:val="none" w:sz="0" w:space="0" w:color="auto"/>
      </w:divBdr>
    </w:div>
    <w:div w:id="220677376">
      <w:bodyDiv w:val="1"/>
      <w:marLeft w:val="0"/>
      <w:marRight w:val="0"/>
      <w:marTop w:val="0"/>
      <w:marBottom w:val="0"/>
      <w:divBdr>
        <w:top w:val="none" w:sz="0" w:space="0" w:color="auto"/>
        <w:left w:val="none" w:sz="0" w:space="0" w:color="auto"/>
        <w:bottom w:val="none" w:sz="0" w:space="0" w:color="auto"/>
        <w:right w:val="none" w:sz="0" w:space="0" w:color="auto"/>
      </w:divBdr>
    </w:div>
    <w:div w:id="277220095">
      <w:bodyDiv w:val="1"/>
      <w:marLeft w:val="0"/>
      <w:marRight w:val="0"/>
      <w:marTop w:val="0"/>
      <w:marBottom w:val="0"/>
      <w:divBdr>
        <w:top w:val="none" w:sz="0" w:space="0" w:color="auto"/>
        <w:left w:val="none" w:sz="0" w:space="0" w:color="auto"/>
        <w:bottom w:val="none" w:sz="0" w:space="0" w:color="auto"/>
        <w:right w:val="none" w:sz="0" w:space="0" w:color="auto"/>
      </w:divBdr>
    </w:div>
    <w:div w:id="284047290">
      <w:bodyDiv w:val="1"/>
      <w:marLeft w:val="0"/>
      <w:marRight w:val="0"/>
      <w:marTop w:val="0"/>
      <w:marBottom w:val="0"/>
      <w:divBdr>
        <w:top w:val="none" w:sz="0" w:space="0" w:color="auto"/>
        <w:left w:val="none" w:sz="0" w:space="0" w:color="auto"/>
        <w:bottom w:val="none" w:sz="0" w:space="0" w:color="auto"/>
        <w:right w:val="none" w:sz="0" w:space="0" w:color="auto"/>
      </w:divBdr>
    </w:div>
    <w:div w:id="298851575">
      <w:bodyDiv w:val="1"/>
      <w:marLeft w:val="0"/>
      <w:marRight w:val="0"/>
      <w:marTop w:val="0"/>
      <w:marBottom w:val="0"/>
      <w:divBdr>
        <w:top w:val="none" w:sz="0" w:space="0" w:color="auto"/>
        <w:left w:val="none" w:sz="0" w:space="0" w:color="auto"/>
        <w:bottom w:val="none" w:sz="0" w:space="0" w:color="auto"/>
        <w:right w:val="none" w:sz="0" w:space="0" w:color="auto"/>
      </w:divBdr>
    </w:div>
    <w:div w:id="301816601">
      <w:bodyDiv w:val="1"/>
      <w:marLeft w:val="0"/>
      <w:marRight w:val="0"/>
      <w:marTop w:val="0"/>
      <w:marBottom w:val="0"/>
      <w:divBdr>
        <w:top w:val="none" w:sz="0" w:space="0" w:color="auto"/>
        <w:left w:val="none" w:sz="0" w:space="0" w:color="auto"/>
        <w:bottom w:val="none" w:sz="0" w:space="0" w:color="auto"/>
        <w:right w:val="none" w:sz="0" w:space="0" w:color="auto"/>
      </w:divBdr>
    </w:div>
    <w:div w:id="329136893">
      <w:bodyDiv w:val="1"/>
      <w:marLeft w:val="0"/>
      <w:marRight w:val="0"/>
      <w:marTop w:val="0"/>
      <w:marBottom w:val="0"/>
      <w:divBdr>
        <w:top w:val="none" w:sz="0" w:space="0" w:color="auto"/>
        <w:left w:val="none" w:sz="0" w:space="0" w:color="auto"/>
        <w:bottom w:val="none" w:sz="0" w:space="0" w:color="auto"/>
        <w:right w:val="none" w:sz="0" w:space="0" w:color="auto"/>
      </w:divBdr>
    </w:div>
    <w:div w:id="348718841">
      <w:bodyDiv w:val="1"/>
      <w:marLeft w:val="0"/>
      <w:marRight w:val="0"/>
      <w:marTop w:val="0"/>
      <w:marBottom w:val="0"/>
      <w:divBdr>
        <w:top w:val="none" w:sz="0" w:space="0" w:color="auto"/>
        <w:left w:val="none" w:sz="0" w:space="0" w:color="auto"/>
        <w:bottom w:val="none" w:sz="0" w:space="0" w:color="auto"/>
        <w:right w:val="none" w:sz="0" w:space="0" w:color="auto"/>
      </w:divBdr>
    </w:div>
    <w:div w:id="353003049">
      <w:bodyDiv w:val="1"/>
      <w:marLeft w:val="0"/>
      <w:marRight w:val="0"/>
      <w:marTop w:val="0"/>
      <w:marBottom w:val="0"/>
      <w:divBdr>
        <w:top w:val="none" w:sz="0" w:space="0" w:color="auto"/>
        <w:left w:val="none" w:sz="0" w:space="0" w:color="auto"/>
        <w:bottom w:val="none" w:sz="0" w:space="0" w:color="auto"/>
        <w:right w:val="none" w:sz="0" w:space="0" w:color="auto"/>
      </w:divBdr>
    </w:div>
    <w:div w:id="388454160">
      <w:bodyDiv w:val="1"/>
      <w:marLeft w:val="0"/>
      <w:marRight w:val="0"/>
      <w:marTop w:val="0"/>
      <w:marBottom w:val="0"/>
      <w:divBdr>
        <w:top w:val="none" w:sz="0" w:space="0" w:color="auto"/>
        <w:left w:val="none" w:sz="0" w:space="0" w:color="auto"/>
        <w:bottom w:val="none" w:sz="0" w:space="0" w:color="auto"/>
        <w:right w:val="none" w:sz="0" w:space="0" w:color="auto"/>
      </w:divBdr>
    </w:div>
    <w:div w:id="410811593">
      <w:bodyDiv w:val="1"/>
      <w:marLeft w:val="0"/>
      <w:marRight w:val="0"/>
      <w:marTop w:val="0"/>
      <w:marBottom w:val="0"/>
      <w:divBdr>
        <w:top w:val="none" w:sz="0" w:space="0" w:color="auto"/>
        <w:left w:val="none" w:sz="0" w:space="0" w:color="auto"/>
        <w:bottom w:val="none" w:sz="0" w:space="0" w:color="auto"/>
        <w:right w:val="none" w:sz="0" w:space="0" w:color="auto"/>
      </w:divBdr>
    </w:div>
    <w:div w:id="427241660">
      <w:bodyDiv w:val="1"/>
      <w:marLeft w:val="0"/>
      <w:marRight w:val="0"/>
      <w:marTop w:val="0"/>
      <w:marBottom w:val="0"/>
      <w:divBdr>
        <w:top w:val="none" w:sz="0" w:space="0" w:color="auto"/>
        <w:left w:val="none" w:sz="0" w:space="0" w:color="auto"/>
        <w:bottom w:val="none" w:sz="0" w:space="0" w:color="auto"/>
        <w:right w:val="none" w:sz="0" w:space="0" w:color="auto"/>
      </w:divBdr>
    </w:div>
    <w:div w:id="437453310">
      <w:bodyDiv w:val="1"/>
      <w:marLeft w:val="0"/>
      <w:marRight w:val="0"/>
      <w:marTop w:val="0"/>
      <w:marBottom w:val="0"/>
      <w:divBdr>
        <w:top w:val="none" w:sz="0" w:space="0" w:color="auto"/>
        <w:left w:val="none" w:sz="0" w:space="0" w:color="auto"/>
        <w:bottom w:val="none" w:sz="0" w:space="0" w:color="auto"/>
        <w:right w:val="none" w:sz="0" w:space="0" w:color="auto"/>
      </w:divBdr>
    </w:div>
    <w:div w:id="516506654">
      <w:bodyDiv w:val="1"/>
      <w:marLeft w:val="0"/>
      <w:marRight w:val="0"/>
      <w:marTop w:val="0"/>
      <w:marBottom w:val="0"/>
      <w:divBdr>
        <w:top w:val="none" w:sz="0" w:space="0" w:color="auto"/>
        <w:left w:val="none" w:sz="0" w:space="0" w:color="auto"/>
        <w:bottom w:val="none" w:sz="0" w:space="0" w:color="auto"/>
        <w:right w:val="none" w:sz="0" w:space="0" w:color="auto"/>
      </w:divBdr>
    </w:div>
    <w:div w:id="518474555">
      <w:bodyDiv w:val="1"/>
      <w:marLeft w:val="0"/>
      <w:marRight w:val="0"/>
      <w:marTop w:val="0"/>
      <w:marBottom w:val="0"/>
      <w:divBdr>
        <w:top w:val="none" w:sz="0" w:space="0" w:color="auto"/>
        <w:left w:val="none" w:sz="0" w:space="0" w:color="auto"/>
        <w:bottom w:val="none" w:sz="0" w:space="0" w:color="auto"/>
        <w:right w:val="none" w:sz="0" w:space="0" w:color="auto"/>
      </w:divBdr>
    </w:div>
    <w:div w:id="566300739">
      <w:bodyDiv w:val="1"/>
      <w:marLeft w:val="0"/>
      <w:marRight w:val="0"/>
      <w:marTop w:val="0"/>
      <w:marBottom w:val="0"/>
      <w:divBdr>
        <w:top w:val="none" w:sz="0" w:space="0" w:color="auto"/>
        <w:left w:val="none" w:sz="0" w:space="0" w:color="auto"/>
        <w:bottom w:val="none" w:sz="0" w:space="0" w:color="auto"/>
        <w:right w:val="none" w:sz="0" w:space="0" w:color="auto"/>
      </w:divBdr>
    </w:div>
    <w:div w:id="577251084">
      <w:bodyDiv w:val="1"/>
      <w:marLeft w:val="0"/>
      <w:marRight w:val="0"/>
      <w:marTop w:val="0"/>
      <w:marBottom w:val="0"/>
      <w:divBdr>
        <w:top w:val="none" w:sz="0" w:space="0" w:color="auto"/>
        <w:left w:val="none" w:sz="0" w:space="0" w:color="auto"/>
        <w:bottom w:val="none" w:sz="0" w:space="0" w:color="auto"/>
        <w:right w:val="none" w:sz="0" w:space="0" w:color="auto"/>
      </w:divBdr>
    </w:div>
    <w:div w:id="617446575">
      <w:bodyDiv w:val="1"/>
      <w:marLeft w:val="0"/>
      <w:marRight w:val="0"/>
      <w:marTop w:val="0"/>
      <w:marBottom w:val="0"/>
      <w:divBdr>
        <w:top w:val="none" w:sz="0" w:space="0" w:color="auto"/>
        <w:left w:val="none" w:sz="0" w:space="0" w:color="auto"/>
        <w:bottom w:val="none" w:sz="0" w:space="0" w:color="auto"/>
        <w:right w:val="none" w:sz="0" w:space="0" w:color="auto"/>
      </w:divBdr>
    </w:div>
    <w:div w:id="679350685">
      <w:bodyDiv w:val="1"/>
      <w:marLeft w:val="0"/>
      <w:marRight w:val="0"/>
      <w:marTop w:val="0"/>
      <w:marBottom w:val="0"/>
      <w:divBdr>
        <w:top w:val="none" w:sz="0" w:space="0" w:color="auto"/>
        <w:left w:val="none" w:sz="0" w:space="0" w:color="auto"/>
        <w:bottom w:val="none" w:sz="0" w:space="0" w:color="auto"/>
        <w:right w:val="none" w:sz="0" w:space="0" w:color="auto"/>
      </w:divBdr>
    </w:div>
    <w:div w:id="712922364">
      <w:bodyDiv w:val="1"/>
      <w:marLeft w:val="0"/>
      <w:marRight w:val="0"/>
      <w:marTop w:val="0"/>
      <w:marBottom w:val="0"/>
      <w:divBdr>
        <w:top w:val="none" w:sz="0" w:space="0" w:color="auto"/>
        <w:left w:val="none" w:sz="0" w:space="0" w:color="auto"/>
        <w:bottom w:val="none" w:sz="0" w:space="0" w:color="auto"/>
        <w:right w:val="none" w:sz="0" w:space="0" w:color="auto"/>
      </w:divBdr>
    </w:div>
    <w:div w:id="775757015">
      <w:bodyDiv w:val="1"/>
      <w:marLeft w:val="0"/>
      <w:marRight w:val="0"/>
      <w:marTop w:val="0"/>
      <w:marBottom w:val="0"/>
      <w:divBdr>
        <w:top w:val="none" w:sz="0" w:space="0" w:color="auto"/>
        <w:left w:val="none" w:sz="0" w:space="0" w:color="auto"/>
        <w:bottom w:val="none" w:sz="0" w:space="0" w:color="auto"/>
        <w:right w:val="none" w:sz="0" w:space="0" w:color="auto"/>
      </w:divBdr>
    </w:div>
    <w:div w:id="777716313">
      <w:bodyDiv w:val="1"/>
      <w:marLeft w:val="0"/>
      <w:marRight w:val="0"/>
      <w:marTop w:val="0"/>
      <w:marBottom w:val="0"/>
      <w:divBdr>
        <w:top w:val="none" w:sz="0" w:space="0" w:color="auto"/>
        <w:left w:val="none" w:sz="0" w:space="0" w:color="auto"/>
        <w:bottom w:val="none" w:sz="0" w:space="0" w:color="auto"/>
        <w:right w:val="none" w:sz="0" w:space="0" w:color="auto"/>
      </w:divBdr>
    </w:div>
    <w:div w:id="908730081">
      <w:bodyDiv w:val="1"/>
      <w:marLeft w:val="0"/>
      <w:marRight w:val="0"/>
      <w:marTop w:val="0"/>
      <w:marBottom w:val="0"/>
      <w:divBdr>
        <w:top w:val="none" w:sz="0" w:space="0" w:color="auto"/>
        <w:left w:val="none" w:sz="0" w:space="0" w:color="auto"/>
        <w:bottom w:val="none" w:sz="0" w:space="0" w:color="auto"/>
        <w:right w:val="none" w:sz="0" w:space="0" w:color="auto"/>
      </w:divBdr>
    </w:div>
    <w:div w:id="935862665">
      <w:bodyDiv w:val="1"/>
      <w:marLeft w:val="0"/>
      <w:marRight w:val="0"/>
      <w:marTop w:val="0"/>
      <w:marBottom w:val="0"/>
      <w:divBdr>
        <w:top w:val="none" w:sz="0" w:space="0" w:color="auto"/>
        <w:left w:val="none" w:sz="0" w:space="0" w:color="auto"/>
        <w:bottom w:val="none" w:sz="0" w:space="0" w:color="auto"/>
        <w:right w:val="none" w:sz="0" w:space="0" w:color="auto"/>
      </w:divBdr>
    </w:div>
    <w:div w:id="943221303">
      <w:bodyDiv w:val="1"/>
      <w:marLeft w:val="0"/>
      <w:marRight w:val="0"/>
      <w:marTop w:val="0"/>
      <w:marBottom w:val="0"/>
      <w:divBdr>
        <w:top w:val="none" w:sz="0" w:space="0" w:color="auto"/>
        <w:left w:val="none" w:sz="0" w:space="0" w:color="auto"/>
        <w:bottom w:val="none" w:sz="0" w:space="0" w:color="auto"/>
        <w:right w:val="none" w:sz="0" w:space="0" w:color="auto"/>
      </w:divBdr>
    </w:div>
    <w:div w:id="950361358">
      <w:bodyDiv w:val="1"/>
      <w:marLeft w:val="0"/>
      <w:marRight w:val="0"/>
      <w:marTop w:val="0"/>
      <w:marBottom w:val="0"/>
      <w:divBdr>
        <w:top w:val="none" w:sz="0" w:space="0" w:color="auto"/>
        <w:left w:val="none" w:sz="0" w:space="0" w:color="auto"/>
        <w:bottom w:val="none" w:sz="0" w:space="0" w:color="auto"/>
        <w:right w:val="none" w:sz="0" w:space="0" w:color="auto"/>
      </w:divBdr>
    </w:div>
    <w:div w:id="1029452807">
      <w:bodyDiv w:val="1"/>
      <w:marLeft w:val="0"/>
      <w:marRight w:val="0"/>
      <w:marTop w:val="0"/>
      <w:marBottom w:val="0"/>
      <w:divBdr>
        <w:top w:val="none" w:sz="0" w:space="0" w:color="auto"/>
        <w:left w:val="none" w:sz="0" w:space="0" w:color="auto"/>
        <w:bottom w:val="none" w:sz="0" w:space="0" w:color="auto"/>
        <w:right w:val="none" w:sz="0" w:space="0" w:color="auto"/>
      </w:divBdr>
    </w:div>
    <w:div w:id="1052654357">
      <w:bodyDiv w:val="1"/>
      <w:marLeft w:val="0"/>
      <w:marRight w:val="0"/>
      <w:marTop w:val="0"/>
      <w:marBottom w:val="0"/>
      <w:divBdr>
        <w:top w:val="none" w:sz="0" w:space="0" w:color="auto"/>
        <w:left w:val="none" w:sz="0" w:space="0" w:color="auto"/>
        <w:bottom w:val="none" w:sz="0" w:space="0" w:color="auto"/>
        <w:right w:val="none" w:sz="0" w:space="0" w:color="auto"/>
      </w:divBdr>
    </w:div>
    <w:div w:id="1122848419">
      <w:bodyDiv w:val="1"/>
      <w:marLeft w:val="0"/>
      <w:marRight w:val="0"/>
      <w:marTop w:val="0"/>
      <w:marBottom w:val="0"/>
      <w:divBdr>
        <w:top w:val="none" w:sz="0" w:space="0" w:color="auto"/>
        <w:left w:val="none" w:sz="0" w:space="0" w:color="auto"/>
        <w:bottom w:val="none" w:sz="0" w:space="0" w:color="auto"/>
        <w:right w:val="none" w:sz="0" w:space="0" w:color="auto"/>
      </w:divBdr>
    </w:div>
    <w:div w:id="1139686202">
      <w:bodyDiv w:val="1"/>
      <w:marLeft w:val="0"/>
      <w:marRight w:val="0"/>
      <w:marTop w:val="0"/>
      <w:marBottom w:val="0"/>
      <w:divBdr>
        <w:top w:val="none" w:sz="0" w:space="0" w:color="auto"/>
        <w:left w:val="none" w:sz="0" w:space="0" w:color="auto"/>
        <w:bottom w:val="none" w:sz="0" w:space="0" w:color="auto"/>
        <w:right w:val="none" w:sz="0" w:space="0" w:color="auto"/>
      </w:divBdr>
    </w:div>
    <w:div w:id="1153641516">
      <w:bodyDiv w:val="1"/>
      <w:marLeft w:val="0"/>
      <w:marRight w:val="0"/>
      <w:marTop w:val="0"/>
      <w:marBottom w:val="0"/>
      <w:divBdr>
        <w:top w:val="none" w:sz="0" w:space="0" w:color="auto"/>
        <w:left w:val="none" w:sz="0" w:space="0" w:color="auto"/>
        <w:bottom w:val="none" w:sz="0" w:space="0" w:color="auto"/>
        <w:right w:val="none" w:sz="0" w:space="0" w:color="auto"/>
      </w:divBdr>
    </w:div>
    <w:div w:id="1202087889">
      <w:bodyDiv w:val="1"/>
      <w:marLeft w:val="0"/>
      <w:marRight w:val="0"/>
      <w:marTop w:val="0"/>
      <w:marBottom w:val="0"/>
      <w:divBdr>
        <w:top w:val="none" w:sz="0" w:space="0" w:color="auto"/>
        <w:left w:val="none" w:sz="0" w:space="0" w:color="auto"/>
        <w:bottom w:val="none" w:sz="0" w:space="0" w:color="auto"/>
        <w:right w:val="none" w:sz="0" w:space="0" w:color="auto"/>
      </w:divBdr>
    </w:div>
    <w:div w:id="1251352899">
      <w:bodyDiv w:val="1"/>
      <w:marLeft w:val="0"/>
      <w:marRight w:val="0"/>
      <w:marTop w:val="0"/>
      <w:marBottom w:val="0"/>
      <w:divBdr>
        <w:top w:val="none" w:sz="0" w:space="0" w:color="auto"/>
        <w:left w:val="none" w:sz="0" w:space="0" w:color="auto"/>
        <w:bottom w:val="none" w:sz="0" w:space="0" w:color="auto"/>
        <w:right w:val="none" w:sz="0" w:space="0" w:color="auto"/>
      </w:divBdr>
    </w:div>
    <w:div w:id="1255895552">
      <w:bodyDiv w:val="1"/>
      <w:marLeft w:val="0"/>
      <w:marRight w:val="0"/>
      <w:marTop w:val="0"/>
      <w:marBottom w:val="0"/>
      <w:divBdr>
        <w:top w:val="none" w:sz="0" w:space="0" w:color="auto"/>
        <w:left w:val="none" w:sz="0" w:space="0" w:color="auto"/>
        <w:bottom w:val="none" w:sz="0" w:space="0" w:color="auto"/>
        <w:right w:val="none" w:sz="0" w:space="0" w:color="auto"/>
      </w:divBdr>
    </w:div>
    <w:div w:id="1284119554">
      <w:bodyDiv w:val="1"/>
      <w:marLeft w:val="0"/>
      <w:marRight w:val="0"/>
      <w:marTop w:val="0"/>
      <w:marBottom w:val="0"/>
      <w:divBdr>
        <w:top w:val="none" w:sz="0" w:space="0" w:color="auto"/>
        <w:left w:val="none" w:sz="0" w:space="0" w:color="auto"/>
        <w:bottom w:val="none" w:sz="0" w:space="0" w:color="auto"/>
        <w:right w:val="none" w:sz="0" w:space="0" w:color="auto"/>
      </w:divBdr>
    </w:div>
    <w:div w:id="1296521264">
      <w:bodyDiv w:val="1"/>
      <w:marLeft w:val="0"/>
      <w:marRight w:val="0"/>
      <w:marTop w:val="0"/>
      <w:marBottom w:val="0"/>
      <w:divBdr>
        <w:top w:val="none" w:sz="0" w:space="0" w:color="auto"/>
        <w:left w:val="none" w:sz="0" w:space="0" w:color="auto"/>
        <w:bottom w:val="none" w:sz="0" w:space="0" w:color="auto"/>
        <w:right w:val="none" w:sz="0" w:space="0" w:color="auto"/>
      </w:divBdr>
    </w:div>
    <w:div w:id="1365012306">
      <w:bodyDiv w:val="1"/>
      <w:marLeft w:val="0"/>
      <w:marRight w:val="0"/>
      <w:marTop w:val="0"/>
      <w:marBottom w:val="0"/>
      <w:divBdr>
        <w:top w:val="none" w:sz="0" w:space="0" w:color="auto"/>
        <w:left w:val="none" w:sz="0" w:space="0" w:color="auto"/>
        <w:bottom w:val="none" w:sz="0" w:space="0" w:color="auto"/>
        <w:right w:val="none" w:sz="0" w:space="0" w:color="auto"/>
      </w:divBdr>
    </w:div>
    <w:div w:id="1365667788">
      <w:bodyDiv w:val="1"/>
      <w:marLeft w:val="0"/>
      <w:marRight w:val="0"/>
      <w:marTop w:val="0"/>
      <w:marBottom w:val="0"/>
      <w:divBdr>
        <w:top w:val="none" w:sz="0" w:space="0" w:color="auto"/>
        <w:left w:val="none" w:sz="0" w:space="0" w:color="auto"/>
        <w:bottom w:val="none" w:sz="0" w:space="0" w:color="auto"/>
        <w:right w:val="none" w:sz="0" w:space="0" w:color="auto"/>
      </w:divBdr>
    </w:div>
    <w:div w:id="1446577356">
      <w:bodyDiv w:val="1"/>
      <w:marLeft w:val="0"/>
      <w:marRight w:val="0"/>
      <w:marTop w:val="0"/>
      <w:marBottom w:val="0"/>
      <w:divBdr>
        <w:top w:val="none" w:sz="0" w:space="0" w:color="auto"/>
        <w:left w:val="none" w:sz="0" w:space="0" w:color="auto"/>
        <w:bottom w:val="none" w:sz="0" w:space="0" w:color="auto"/>
        <w:right w:val="none" w:sz="0" w:space="0" w:color="auto"/>
      </w:divBdr>
    </w:div>
    <w:div w:id="1473215338">
      <w:bodyDiv w:val="1"/>
      <w:marLeft w:val="0"/>
      <w:marRight w:val="0"/>
      <w:marTop w:val="0"/>
      <w:marBottom w:val="0"/>
      <w:divBdr>
        <w:top w:val="none" w:sz="0" w:space="0" w:color="auto"/>
        <w:left w:val="none" w:sz="0" w:space="0" w:color="auto"/>
        <w:bottom w:val="none" w:sz="0" w:space="0" w:color="auto"/>
        <w:right w:val="none" w:sz="0" w:space="0" w:color="auto"/>
      </w:divBdr>
    </w:div>
    <w:div w:id="1487429565">
      <w:bodyDiv w:val="1"/>
      <w:marLeft w:val="0"/>
      <w:marRight w:val="0"/>
      <w:marTop w:val="0"/>
      <w:marBottom w:val="0"/>
      <w:divBdr>
        <w:top w:val="none" w:sz="0" w:space="0" w:color="auto"/>
        <w:left w:val="none" w:sz="0" w:space="0" w:color="auto"/>
        <w:bottom w:val="none" w:sz="0" w:space="0" w:color="auto"/>
        <w:right w:val="none" w:sz="0" w:space="0" w:color="auto"/>
      </w:divBdr>
    </w:div>
    <w:div w:id="1498109027">
      <w:bodyDiv w:val="1"/>
      <w:marLeft w:val="0"/>
      <w:marRight w:val="0"/>
      <w:marTop w:val="0"/>
      <w:marBottom w:val="0"/>
      <w:divBdr>
        <w:top w:val="none" w:sz="0" w:space="0" w:color="auto"/>
        <w:left w:val="none" w:sz="0" w:space="0" w:color="auto"/>
        <w:bottom w:val="none" w:sz="0" w:space="0" w:color="auto"/>
        <w:right w:val="none" w:sz="0" w:space="0" w:color="auto"/>
      </w:divBdr>
    </w:div>
    <w:div w:id="1558012192">
      <w:bodyDiv w:val="1"/>
      <w:marLeft w:val="0"/>
      <w:marRight w:val="0"/>
      <w:marTop w:val="0"/>
      <w:marBottom w:val="0"/>
      <w:divBdr>
        <w:top w:val="none" w:sz="0" w:space="0" w:color="auto"/>
        <w:left w:val="none" w:sz="0" w:space="0" w:color="auto"/>
        <w:bottom w:val="none" w:sz="0" w:space="0" w:color="auto"/>
        <w:right w:val="none" w:sz="0" w:space="0" w:color="auto"/>
      </w:divBdr>
    </w:div>
    <w:div w:id="1562713300">
      <w:bodyDiv w:val="1"/>
      <w:marLeft w:val="0"/>
      <w:marRight w:val="0"/>
      <w:marTop w:val="0"/>
      <w:marBottom w:val="0"/>
      <w:divBdr>
        <w:top w:val="none" w:sz="0" w:space="0" w:color="auto"/>
        <w:left w:val="none" w:sz="0" w:space="0" w:color="auto"/>
        <w:bottom w:val="none" w:sz="0" w:space="0" w:color="auto"/>
        <w:right w:val="none" w:sz="0" w:space="0" w:color="auto"/>
      </w:divBdr>
    </w:div>
    <w:div w:id="1568803852">
      <w:bodyDiv w:val="1"/>
      <w:marLeft w:val="0"/>
      <w:marRight w:val="0"/>
      <w:marTop w:val="0"/>
      <w:marBottom w:val="0"/>
      <w:divBdr>
        <w:top w:val="none" w:sz="0" w:space="0" w:color="auto"/>
        <w:left w:val="none" w:sz="0" w:space="0" w:color="auto"/>
        <w:bottom w:val="none" w:sz="0" w:space="0" w:color="auto"/>
        <w:right w:val="none" w:sz="0" w:space="0" w:color="auto"/>
      </w:divBdr>
    </w:div>
    <w:div w:id="1585408186">
      <w:bodyDiv w:val="1"/>
      <w:marLeft w:val="0"/>
      <w:marRight w:val="0"/>
      <w:marTop w:val="0"/>
      <w:marBottom w:val="0"/>
      <w:divBdr>
        <w:top w:val="none" w:sz="0" w:space="0" w:color="auto"/>
        <w:left w:val="none" w:sz="0" w:space="0" w:color="auto"/>
        <w:bottom w:val="none" w:sz="0" w:space="0" w:color="auto"/>
        <w:right w:val="none" w:sz="0" w:space="0" w:color="auto"/>
      </w:divBdr>
    </w:div>
    <w:div w:id="1614509233">
      <w:bodyDiv w:val="1"/>
      <w:marLeft w:val="0"/>
      <w:marRight w:val="0"/>
      <w:marTop w:val="0"/>
      <w:marBottom w:val="0"/>
      <w:divBdr>
        <w:top w:val="none" w:sz="0" w:space="0" w:color="auto"/>
        <w:left w:val="none" w:sz="0" w:space="0" w:color="auto"/>
        <w:bottom w:val="none" w:sz="0" w:space="0" w:color="auto"/>
        <w:right w:val="none" w:sz="0" w:space="0" w:color="auto"/>
      </w:divBdr>
    </w:div>
    <w:div w:id="1712340400">
      <w:bodyDiv w:val="1"/>
      <w:marLeft w:val="0"/>
      <w:marRight w:val="0"/>
      <w:marTop w:val="0"/>
      <w:marBottom w:val="0"/>
      <w:divBdr>
        <w:top w:val="none" w:sz="0" w:space="0" w:color="auto"/>
        <w:left w:val="none" w:sz="0" w:space="0" w:color="auto"/>
        <w:bottom w:val="none" w:sz="0" w:space="0" w:color="auto"/>
        <w:right w:val="none" w:sz="0" w:space="0" w:color="auto"/>
      </w:divBdr>
    </w:div>
    <w:div w:id="1746876088">
      <w:bodyDiv w:val="1"/>
      <w:marLeft w:val="0"/>
      <w:marRight w:val="0"/>
      <w:marTop w:val="0"/>
      <w:marBottom w:val="0"/>
      <w:divBdr>
        <w:top w:val="none" w:sz="0" w:space="0" w:color="auto"/>
        <w:left w:val="none" w:sz="0" w:space="0" w:color="auto"/>
        <w:bottom w:val="none" w:sz="0" w:space="0" w:color="auto"/>
        <w:right w:val="none" w:sz="0" w:space="0" w:color="auto"/>
      </w:divBdr>
    </w:div>
    <w:div w:id="1747457802">
      <w:bodyDiv w:val="1"/>
      <w:marLeft w:val="0"/>
      <w:marRight w:val="0"/>
      <w:marTop w:val="0"/>
      <w:marBottom w:val="0"/>
      <w:divBdr>
        <w:top w:val="none" w:sz="0" w:space="0" w:color="auto"/>
        <w:left w:val="none" w:sz="0" w:space="0" w:color="auto"/>
        <w:bottom w:val="none" w:sz="0" w:space="0" w:color="auto"/>
        <w:right w:val="none" w:sz="0" w:space="0" w:color="auto"/>
      </w:divBdr>
    </w:div>
    <w:div w:id="1819613379">
      <w:bodyDiv w:val="1"/>
      <w:marLeft w:val="0"/>
      <w:marRight w:val="0"/>
      <w:marTop w:val="0"/>
      <w:marBottom w:val="0"/>
      <w:divBdr>
        <w:top w:val="none" w:sz="0" w:space="0" w:color="auto"/>
        <w:left w:val="none" w:sz="0" w:space="0" w:color="auto"/>
        <w:bottom w:val="none" w:sz="0" w:space="0" w:color="auto"/>
        <w:right w:val="none" w:sz="0" w:space="0" w:color="auto"/>
      </w:divBdr>
    </w:div>
    <w:div w:id="1868908709">
      <w:bodyDiv w:val="1"/>
      <w:marLeft w:val="0"/>
      <w:marRight w:val="0"/>
      <w:marTop w:val="0"/>
      <w:marBottom w:val="0"/>
      <w:divBdr>
        <w:top w:val="none" w:sz="0" w:space="0" w:color="auto"/>
        <w:left w:val="none" w:sz="0" w:space="0" w:color="auto"/>
        <w:bottom w:val="none" w:sz="0" w:space="0" w:color="auto"/>
        <w:right w:val="none" w:sz="0" w:space="0" w:color="auto"/>
      </w:divBdr>
    </w:div>
    <w:div w:id="1874423082">
      <w:bodyDiv w:val="1"/>
      <w:marLeft w:val="0"/>
      <w:marRight w:val="0"/>
      <w:marTop w:val="0"/>
      <w:marBottom w:val="0"/>
      <w:divBdr>
        <w:top w:val="none" w:sz="0" w:space="0" w:color="auto"/>
        <w:left w:val="none" w:sz="0" w:space="0" w:color="auto"/>
        <w:bottom w:val="none" w:sz="0" w:space="0" w:color="auto"/>
        <w:right w:val="none" w:sz="0" w:space="0" w:color="auto"/>
      </w:divBdr>
    </w:div>
    <w:div w:id="1925338020">
      <w:bodyDiv w:val="1"/>
      <w:marLeft w:val="0"/>
      <w:marRight w:val="0"/>
      <w:marTop w:val="0"/>
      <w:marBottom w:val="0"/>
      <w:divBdr>
        <w:top w:val="none" w:sz="0" w:space="0" w:color="auto"/>
        <w:left w:val="none" w:sz="0" w:space="0" w:color="auto"/>
        <w:bottom w:val="none" w:sz="0" w:space="0" w:color="auto"/>
        <w:right w:val="none" w:sz="0" w:space="0" w:color="auto"/>
      </w:divBdr>
    </w:div>
    <w:div w:id="1937401952">
      <w:bodyDiv w:val="1"/>
      <w:marLeft w:val="0"/>
      <w:marRight w:val="0"/>
      <w:marTop w:val="0"/>
      <w:marBottom w:val="0"/>
      <w:divBdr>
        <w:top w:val="none" w:sz="0" w:space="0" w:color="auto"/>
        <w:left w:val="none" w:sz="0" w:space="0" w:color="auto"/>
        <w:bottom w:val="none" w:sz="0" w:space="0" w:color="auto"/>
        <w:right w:val="none" w:sz="0" w:space="0" w:color="auto"/>
      </w:divBdr>
    </w:div>
    <w:div w:id="1945527814">
      <w:bodyDiv w:val="1"/>
      <w:marLeft w:val="0"/>
      <w:marRight w:val="0"/>
      <w:marTop w:val="0"/>
      <w:marBottom w:val="0"/>
      <w:divBdr>
        <w:top w:val="none" w:sz="0" w:space="0" w:color="auto"/>
        <w:left w:val="none" w:sz="0" w:space="0" w:color="auto"/>
        <w:bottom w:val="none" w:sz="0" w:space="0" w:color="auto"/>
        <w:right w:val="none" w:sz="0" w:space="0" w:color="auto"/>
      </w:divBdr>
    </w:div>
    <w:div w:id="1989623604">
      <w:bodyDiv w:val="1"/>
      <w:marLeft w:val="0"/>
      <w:marRight w:val="0"/>
      <w:marTop w:val="0"/>
      <w:marBottom w:val="0"/>
      <w:divBdr>
        <w:top w:val="none" w:sz="0" w:space="0" w:color="auto"/>
        <w:left w:val="none" w:sz="0" w:space="0" w:color="auto"/>
        <w:bottom w:val="none" w:sz="0" w:space="0" w:color="auto"/>
        <w:right w:val="none" w:sz="0" w:space="0" w:color="auto"/>
      </w:divBdr>
    </w:div>
    <w:div w:id="2040156749">
      <w:bodyDiv w:val="1"/>
      <w:marLeft w:val="0"/>
      <w:marRight w:val="0"/>
      <w:marTop w:val="0"/>
      <w:marBottom w:val="0"/>
      <w:divBdr>
        <w:top w:val="none" w:sz="0" w:space="0" w:color="auto"/>
        <w:left w:val="none" w:sz="0" w:space="0" w:color="auto"/>
        <w:bottom w:val="none" w:sz="0" w:space="0" w:color="auto"/>
        <w:right w:val="none" w:sz="0" w:space="0" w:color="auto"/>
      </w:divBdr>
    </w:div>
    <w:div w:id="2087678522">
      <w:bodyDiv w:val="1"/>
      <w:marLeft w:val="0"/>
      <w:marRight w:val="0"/>
      <w:marTop w:val="0"/>
      <w:marBottom w:val="0"/>
      <w:divBdr>
        <w:top w:val="none" w:sz="0" w:space="0" w:color="auto"/>
        <w:left w:val="none" w:sz="0" w:space="0" w:color="auto"/>
        <w:bottom w:val="none" w:sz="0" w:space="0" w:color="auto"/>
        <w:right w:val="none" w:sz="0" w:space="0" w:color="auto"/>
      </w:divBdr>
    </w:div>
    <w:div w:id="209455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7.wmf" Id="rId26" /><Relationship Type="http://schemas.openxmlformats.org/officeDocument/2006/relationships/image" Target="media/image2.emf" Id="rId21" /><Relationship Type="http://schemas.openxmlformats.org/officeDocument/2006/relationships/image" Target="media/image23.emf" Id="rId42" /><Relationship Type="http://schemas.openxmlformats.org/officeDocument/2006/relationships/image" Target="media/image28.emf" Id="rId47" /><Relationship Type="http://schemas.openxmlformats.org/officeDocument/2006/relationships/footer" Target="footer9.xml" Id="rId63" /><Relationship Type="http://schemas.openxmlformats.org/officeDocument/2006/relationships/footer" Target="footer12.xml" Id="rId68" /><Relationship Type="http://schemas.openxmlformats.org/officeDocument/2006/relationships/fontTable" Target="fontTable.xml" Id="rId84" /><Relationship Type="http://schemas.openxmlformats.org/officeDocument/2006/relationships/header" Target="header5.xml" Id="rId16" /><Relationship Type="http://schemas.openxmlformats.org/officeDocument/2006/relationships/footer" Target="footer1.xml" Id="rId11" /><Relationship Type="http://schemas.openxmlformats.org/officeDocument/2006/relationships/image" Target="media/image13.wmf" Id="rId32" /><Relationship Type="http://schemas.openxmlformats.org/officeDocument/2006/relationships/image" Target="media/image18.emf" Id="rId37" /><Relationship Type="http://schemas.openxmlformats.org/officeDocument/2006/relationships/image" Target="media/image34.emf" Id="rId53" /><Relationship Type="http://schemas.openxmlformats.org/officeDocument/2006/relationships/footer" Target="footer7.xml" Id="rId58" /><Relationship Type="http://schemas.openxmlformats.org/officeDocument/2006/relationships/header" Target="header18.xml" Id="rId74" /><Relationship Type="http://schemas.openxmlformats.org/officeDocument/2006/relationships/header" Target="header20.xml" Id="rId79" /><Relationship Type="http://schemas.openxmlformats.org/officeDocument/2006/relationships/webSettings" Target="webSettings.xml" Id="rId5" /><Relationship Type="http://schemas.openxmlformats.org/officeDocument/2006/relationships/header" Target="header6.xml" Id="rId19" /><Relationship Type="http://schemas.openxmlformats.org/officeDocument/2006/relationships/footer" Target="footer3.xml" Id="rId14" /><Relationship Type="http://schemas.openxmlformats.org/officeDocument/2006/relationships/image" Target="media/image3.wmf" Id="rId22" /><Relationship Type="http://schemas.openxmlformats.org/officeDocument/2006/relationships/image" Target="media/image8.wmf" Id="rId27" /><Relationship Type="http://schemas.openxmlformats.org/officeDocument/2006/relationships/image" Target="media/image11.wmf" Id="rId30" /><Relationship Type="http://schemas.openxmlformats.org/officeDocument/2006/relationships/image" Target="media/image16.wmf" Id="rId35" /><Relationship Type="http://schemas.openxmlformats.org/officeDocument/2006/relationships/image" Target="media/image24.emf" Id="rId43" /><Relationship Type="http://schemas.openxmlformats.org/officeDocument/2006/relationships/image" Target="media/image29.emf" Id="rId48" /><Relationship Type="http://schemas.openxmlformats.org/officeDocument/2006/relationships/image" Target="media/image37.emf" Id="rId56" /><Relationship Type="http://schemas.openxmlformats.org/officeDocument/2006/relationships/footer" Target="footer10.xml" Id="rId64" /><Relationship Type="http://schemas.openxmlformats.org/officeDocument/2006/relationships/header" Target="header13.xml" Id="rId69" /><Relationship Type="http://schemas.openxmlformats.org/officeDocument/2006/relationships/hyperlink" Target="https://www.bridgepoint.eu/" TargetMode="External" Id="rId77" /><Relationship Type="http://schemas.openxmlformats.org/officeDocument/2006/relationships/image" Target="media/image1.png" Id="rId8" /><Relationship Type="http://schemas.openxmlformats.org/officeDocument/2006/relationships/image" Target="media/image32.emf" Id="rId51" /><Relationship Type="http://schemas.openxmlformats.org/officeDocument/2006/relationships/header" Target="header16.xml" Id="rId72" /><Relationship Type="http://schemas.openxmlformats.org/officeDocument/2006/relationships/footer" Target="footer14.xml" Id="rId80" /><Relationship Type="http://schemas.openxmlformats.org/officeDocument/2006/relationships/theme" Target="theme/theme1.xml" Id="rId85" /><Relationship Type="http://schemas.openxmlformats.org/officeDocument/2006/relationships/styles" Target="styles.xml" Id="rId3"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image" Target="media/image6.wmf" Id="rId25" /><Relationship Type="http://schemas.openxmlformats.org/officeDocument/2006/relationships/image" Target="media/image14.wmf" Id="rId33" /><Relationship Type="http://schemas.openxmlformats.org/officeDocument/2006/relationships/image" Target="media/image19.emf" Id="rId38" /><Relationship Type="http://schemas.openxmlformats.org/officeDocument/2006/relationships/image" Target="media/image27.emf" Id="rId46" /><Relationship Type="http://schemas.openxmlformats.org/officeDocument/2006/relationships/header" Target="header8.xml" Id="rId59" /><Relationship Type="http://schemas.openxmlformats.org/officeDocument/2006/relationships/header" Target="header12.xml" Id="rId67" /><Relationship Type="http://schemas.openxmlformats.org/officeDocument/2006/relationships/footer" Target="footer6.xml" Id="rId20" /><Relationship Type="http://schemas.openxmlformats.org/officeDocument/2006/relationships/image" Target="media/image22.emf" Id="rId41" /><Relationship Type="http://schemas.openxmlformats.org/officeDocument/2006/relationships/image" Target="media/image35.emf" Id="rId54" /><Relationship Type="http://schemas.openxmlformats.org/officeDocument/2006/relationships/header" Target="header10.xml" Id="rId62" /><Relationship Type="http://schemas.openxmlformats.org/officeDocument/2006/relationships/header" Target="header14.xml" Id="rId70" /><Relationship Type="http://schemas.openxmlformats.org/officeDocument/2006/relationships/footer" Target="footer13.xml" Id="rId75" /><Relationship Type="http://schemas.openxmlformats.org/officeDocument/2006/relationships/footer" Target="footer16.xml" Id="rId83" /><Relationship Type="http://schemas.openxmlformats.org/officeDocument/2006/relationships/footnotes" Target="footnotes.xml" Id="rId6" /><Relationship Type="http://schemas.openxmlformats.org/officeDocument/2006/relationships/header" Target="header4.xml" Id="rId15" /><Relationship Type="http://schemas.openxmlformats.org/officeDocument/2006/relationships/image" Target="media/image4.wmf" Id="rId23" /><Relationship Type="http://schemas.openxmlformats.org/officeDocument/2006/relationships/image" Target="media/image9.wmf" Id="rId28" /><Relationship Type="http://schemas.openxmlformats.org/officeDocument/2006/relationships/image" Target="media/image17.emf" Id="rId36" /><Relationship Type="http://schemas.openxmlformats.org/officeDocument/2006/relationships/image" Target="media/image30.emf" Id="rId49" /><Relationship Type="http://schemas.openxmlformats.org/officeDocument/2006/relationships/header" Target="header7.xml" Id="rId57" /><Relationship Type="http://schemas.openxmlformats.org/officeDocument/2006/relationships/header" Target="header2.xml" Id="rId10" /><Relationship Type="http://schemas.openxmlformats.org/officeDocument/2006/relationships/image" Target="media/image12.wmf" Id="rId31" /><Relationship Type="http://schemas.openxmlformats.org/officeDocument/2006/relationships/image" Target="media/image25.wmf" Id="rId44" /><Relationship Type="http://schemas.openxmlformats.org/officeDocument/2006/relationships/image" Target="media/image33.emf" Id="rId52" /><Relationship Type="http://schemas.openxmlformats.org/officeDocument/2006/relationships/footer" Target="footer8.xml" Id="rId60" /><Relationship Type="http://schemas.openxmlformats.org/officeDocument/2006/relationships/header" Target="header11.xml" Id="rId65" /><Relationship Type="http://schemas.openxmlformats.org/officeDocument/2006/relationships/header" Target="header17.xml" Id="rId73" /><Relationship Type="http://schemas.openxmlformats.org/officeDocument/2006/relationships/header" Target="header19.xml" Id="rId78" /><Relationship Type="http://schemas.openxmlformats.org/officeDocument/2006/relationships/footer" Target="footer15.xml" Id="rId81"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eader" Target="header3.xml" Id="rId13" /><Relationship Type="http://schemas.openxmlformats.org/officeDocument/2006/relationships/footer" Target="footer5.xml" Id="rId18" /><Relationship Type="http://schemas.openxmlformats.org/officeDocument/2006/relationships/image" Target="media/image20.emf" Id="rId39" /><Relationship Type="http://schemas.openxmlformats.org/officeDocument/2006/relationships/image" Target="media/image15.wmf" Id="rId34" /><Relationship Type="http://schemas.openxmlformats.org/officeDocument/2006/relationships/image" Target="media/image31.emf" Id="rId50" /><Relationship Type="http://schemas.openxmlformats.org/officeDocument/2006/relationships/image" Target="media/image36.emf" Id="rId55" /><Relationship Type="http://schemas.openxmlformats.org/officeDocument/2006/relationships/image" Target="media/image39.png" Id="rId76" /><Relationship Type="http://schemas.openxmlformats.org/officeDocument/2006/relationships/endnotes" Target="endnotes.xml" Id="rId7" /><Relationship Type="http://schemas.openxmlformats.org/officeDocument/2006/relationships/header" Target="header15.xml" Id="rId71" /><Relationship Type="http://schemas.openxmlformats.org/officeDocument/2006/relationships/numbering" Target="numbering.xml" Id="rId2" /><Relationship Type="http://schemas.openxmlformats.org/officeDocument/2006/relationships/image" Target="media/image10.wmf" Id="rId29" /><Relationship Type="http://schemas.openxmlformats.org/officeDocument/2006/relationships/image" Target="media/image5.wmf" Id="rId24" /><Relationship Type="http://schemas.openxmlformats.org/officeDocument/2006/relationships/image" Target="media/image21.emf" Id="rId40" /><Relationship Type="http://schemas.openxmlformats.org/officeDocument/2006/relationships/image" Target="media/image26.emf" Id="rId45" /><Relationship Type="http://schemas.openxmlformats.org/officeDocument/2006/relationships/footer" Target="footer11.xml" Id="rId66" /><Relationship Type="http://schemas.openxmlformats.org/officeDocument/2006/relationships/header" Target="header9.xml" Id="rId61" /><Relationship Type="http://schemas.openxmlformats.org/officeDocument/2006/relationships/header" Target="header21.xml" Id="rId82" /></Relationships>
</file>

<file path=word/_rels/header7.xml.rels><?xml version="1.0" encoding="UTF-8" standalone="yes"?>
<Relationships xmlns="http://schemas.openxmlformats.org/package/2006/relationships"><Relationship Id="rId1" Type="http://schemas.openxmlformats.org/officeDocument/2006/relationships/image" Target="media/image38.png"/></Relationships>
</file>

<file path=word/_rels/header8.xml.rels><?xml version="1.0" encoding="UTF-8" standalone="yes"?>
<Relationships xmlns="http://schemas.openxmlformats.org/package/2006/relationships"><Relationship Id="rId1"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1900-01-01T05:00:00.0000000Z</lastPrinted>
  <dcterms:created xsi:type="dcterms:W3CDTF">1900-01-01T05:00:00.0000000Z</dcterms:created>
  <dcterms:modified xsi:type="dcterms:W3CDTF">2021-06-29T02:14:20.0000000Z</dcterms:modified>
</coreProperties>
</file>

<file path=docProps/custom.xml><?xml version="1.0" encoding="utf-8"?>
<op:Properties xmlns:vt="http://schemas.openxmlformats.org/officeDocument/2006/docPropsVTypes" xmlns:op="http://schemas.openxmlformats.org/officeDocument/2006/custom-properties"/>
</file>